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0AB" w:rsidRPr="00EA59C0" w:rsidRDefault="007470AB" w:rsidP="002319A5">
      <w:pPr>
        <w:widowControl w:val="0"/>
        <w:tabs>
          <w:tab w:val="left" w:pos="720"/>
        </w:tabs>
        <w:spacing w:line="480" w:lineRule="auto"/>
        <w:ind w:right="-720"/>
        <w:rPr>
          <w:b/>
        </w:rPr>
      </w:pPr>
      <w:r w:rsidRPr="00EA59C0">
        <w:rPr>
          <w:b/>
        </w:rPr>
        <w:t>U.S.</w:t>
      </w:r>
      <w:r w:rsidR="00C026A6" w:rsidRPr="00EA59C0">
        <w:rPr>
          <w:b/>
        </w:rPr>
        <w:t xml:space="preserve"> </w:t>
      </w:r>
      <w:r w:rsidRPr="00EA59C0">
        <w:rPr>
          <w:b/>
        </w:rPr>
        <w:t>DEPARTMENT</w:t>
      </w:r>
      <w:r w:rsidR="00C026A6" w:rsidRPr="00EA59C0">
        <w:rPr>
          <w:b/>
        </w:rPr>
        <w:t xml:space="preserve"> </w:t>
      </w:r>
      <w:r w:rsidRPr="00EA59C0">
        <w:rPr>
          <w:b/>
        </w:rPr>
        <w:t>OF</w:t>
      </w:r>
      <w:r w:rsidR="00C026A6" w:rsidRPr="00EA59C0">
        <w:rPr>
          <w:b/>
        </w:rPr>
        <w:t xml:space="preserve"> </w:t>
      </w:r>
      <w:r w:rsidRPr="00EA59C0">
        <w:rPr>
          <w:b/>
        </w:rPr>
        <w:t>LABOR</w:t>
      </w:r>
      <w:permStart w:id="762210461" w:edGrp="everyone"/>
      <w:permEnd w:id="762210461"/>
    </w:p>
    <w:p w:rsidR="007470AB" w:rsidRPr="00EA59C0" w:rsidRDefault="007470AB" w:rsidP="002319A5">
      <w:pPr>
        <w:widowControl w:val="0"/>
        <w:spacing w:line="480" w:lineRule="auto"/>
        <w:rPr>
          <w:b/>
        </w:rPr>
      </w:pPr>
      <w:r w:rsidRPr="00EA59C0">
        <w:rPr>
          <w:b/>
        </w:rPr>
        <w:t>Employment</w:t>
      </w:r>
      <w:r w:rsidR="00C026A6" w:rsidRPr="00EA59C0">
        <w:rPr>
          <w:b/>
        </w:rPr>
        <w:t xml:space="preserve"> </w:t>
      </w:r>
      <w:r w:rsidRPr="00EA59C0">
        <w:rPr>
          <w:b/>
        </w:rPr>
        <w:t>and</w:t>
      </w:r>
      <w:r w:rsidR="00C026A6" w:rsidRPr="00EA59C0">
        <w:rPr>
          <w:b/>
        </w:rPr>
        <w:t xml:space="preserve"> </w:t>
      </w:r>
      <w:r w:rsidRPr="00EA59C0">
        <w:rPr>
          <w:b/>
        </w:rPr>
        <w:t>Training</w:t>
      </w:r>
      <w:r w:rsidR="00C026A6" w:rsidRPr="00EA59C0">
        <w:rPr>
          <w:b/>
        </w:rPr>
        <w:t xml:space="preserve"> </w:t>
      </w:r>
      <w:r w:rsidRPr="00EA59C0">
        <w:rPr>
          <w:b/>
        </w:rPr>
        <w:t>Administration</w:t>
      </w:r>
    </w:p>
    <w:p w:rsidR="00B93729" w:rsidRPr="00EA59C0" w:rsidRDefault="007470AB" w:rsidP="002319A5">
      <w:pPr>
        <w:widowControl w:val="0"/>
        <w:spacing w:line="480" w:lineRule="auto"/>
        <w:rPr>
          <w:b/>
        </w:rPr>
      </w:pPr>
      <w:r w:rsidRPr="00EA59C0">
        <w:rPr>
          <w:b/>
        </w:rPr>
        <w:t>Notice</w:t>
      </w:r>
      <w:r w:rsidR="00C026A6" w:rsidRPr="00EA59C0">
        <w:rPr>
          <w:b/>
        </w:rPr>
        <w:t xml:space="preserve"> </w:t>
      </w:r>
      <w:r w:rsidRPr="00EA59C0">
        <w:rPr>
          <w:b/>
        </w:rPr>
        <w:t>of</w:t>
      </w:r>
      <w:r w:rsidR="00C026A6" w:rsidRPr="00EA59C0">
        <w:rPr>
          <w:b/>
        </w:rPr>
        <w:t xml:space="preserve"> </w:t>
      </w:r>
      <w:r w:rsidRPr="00EA59C0">
        <w:rPr>
          <w:b/>
        </w:rPr>
        <w:t>Availability</w:t>
      </w:r>
      <w:r w:rsidR="00C026A6" w:rsidRPr="00EA59C0">
        <w:rPr>
          <w:b/>
        </w:rPr>
        <w:t xml:space="preserve"> </w:t>
      </w:r>
      <w:r w:rsidRPr="00EA59C0">
        <w:rPr>
          <w:b/>
        </w:rPr>
        <w:t>of</w:t>
      </w:r>
      <w:r w:rsidR="00C026A6" w:rsidRPr="00EA59C0">
        <w:rPr>
          <w:b/>
        </w:rPr>
        <w:t xml:space="preserve"> </w:t>
      </w:r>
      <w:r w:rsidRPr="00EA59C0">
        <w:rPr>
          <w:b/>
        </w:rPr>
        <w:t>Funds</w:t>
      </w:r>
      <w:r w:rsidR="00C026A6" w:rsidRPr="00EA59C0">
        <w:rPr>
          <w:b/>
        </w:rPr>
        <w:t xml:space="preserve"> </w:t>
      </w:r>
      <w:r w:rsidRPr="00EA59C0">
        <w:rPr>
          <w:b/>
        </w:rPr>
        <w:t>and</w:t>
      </w:r>
      <w:r w:rsidR="00C026A6" w:rsidRPr="00EA59C0">
        <w:rPr>
          <w:b/>
        </w:rPr>
        <w:t xml:space="preserve"> </w:t>
      </w:r>
      <w:r w:rsidRPr="00EA59C0">
        <w:rPr>
          <w:b/>
        </w:rPr>
        <w:t>Solicitation</w:t>
      </w:r>
      <w:r w:rsidR="00C026A6" w:rsidRPr="00EA59C0">
        <w:rPr>
          <w:b/>
        </w:rPr>
        <w:t xml:space="preserve"> </w:t>
      </w:r>
      <w:r w:rsidRPr="00EA59C0">
        <w:rPr>
          <w:b/>
        </w:rPr>
        <w:t>for</w:t>
      </w:r>
      <w:r w:rsidR="00C026A6" w:rsidRPr="00EA59C0">
        <w:rPr>
          <w:b/>
        </w:rPr>
        <w:t xml:space="preserve"> </w:t>
      </w:r>
      <w:r w:rsidRPr="00EA59C0">
        <w:rPr>
          <w:b/>
        </w:rPr>
        <w:t>Grant</w:t>
      </w:r>
      <w:r w:rsidR="00C026A6" w:rsidRPr="00EA59C0">
        <w:rPr>
          <w:b/>
        </w:rPr>
        <w:t xml:space="preserve"> </w:t>
      </w:r>
      <w:r w:rsidRPr="00EA59C0">
        <w:rPr>
          <w:b/>
        </w:rPr>
        <w:t>Applications</w:t>
      </w:r>
      <w:r w:rsidR="00C026A6" w:rsidRPr="00EA59C0">
        <w:rPr>
          <w:b/>
        </w:rPr>
        <w:t xml:space="preserve"> </w:t>
      </w:r>
      <w:r w:rsidRPr="00EA59C0">
        <w:rPr>
          <w:b/>
        </w:rPr>
        <w:t>for</w:t>
      </w:r>
      <w:r w:rsidR="00C026A6" w:rsidRPr="00EA59C0">
        <w:rPr>
          <w:b/>
        </w:rPr>
        <w:t xml:space="preserve"> </w:t>
      </w:r>
    </w:p>
    <w:p w:rsidR="007470AB" w:rsidRPr="00EA59C0" w:rsidRDefault="0074754D" w:rsidP="002319A5">
      <w:pPr>
        <w:widowControl w:val="0"/>
        <w:spacing w:line="480" w:lineRule="auto"/>
      </w:pPr>
      <w:r w:rsidRPr="00EA59C0">
        <w:rPr>
          <w:b/>
        </w:rPr>
        <w:t>Trade</w:t>
      </w:r>
      <w:r w:rsidR="00C026A6" w:rsidRPr="00EA59C0">
        <w:rPr>
          <w:b/>
        </w:rPr>
        <w:t xml:space="preserve"> </w:t>
      </w:r>
      <w:r w:rsidRPr="00EA59C0">
        <w:rPr>
          <w:b/>
        </w:rPr>
        <w:t>Adjustment</w:t>
      </w:r>
      <w:r w:rsidR="00C026A6" w:rsidRPr="00EA59C0">
        <w:rPr>
          <w:b/>
        </w:rPr>
        <w:t xml:space="preserve"> </w:t>
      </w:r>
      <w:r w:rsidRPr="00EA59C0">
        <w:rPr>
          <w:b/>
        </w:rPr>
        <w:t>Assistance</w:t>
      </w:r>
      <w:r w:rsidR="00C026A6" w:rsidRPr="00EA59C0">
        <w:rPr>
          <w:b/>
        </w:rPr>
        <w:t xml:space="preserve"> </w:t>
      </w:r>
      <w:r w:rsidRPr="00EA59C0">
        <w:rPr>
          <w:b/>
        </w:rPr>
        <w:t>Community</w:t>
      </w:r>
      <w:r w:rsidR="00C026A6" w:rsidRPr="00EA59C0">
        <w:rPr>
          <w:b/>
        </w:rPr>
        <w:t xml:space="preserve"> </w:t>
      </w:r>
      <w:r w:rsidRPr="00EA59C0">
        <w:rPr>
          <w:b/>
        </w:rPr>
        <w:t>College</w:t>
      </w:r>
      <w:r w:rsidR="00C026A6" w:rsidRPr="00EA59C0">
        <w:rPr>
          <w:b/>
        </w:rPr>
        <w:t xml:space="preserve"> </w:t>
      </w:r>
      <w:r w:rsidRPr="00EA59C0">
        <w:rPr>
          <w:b/>
        </w:rPr>
        <w:t>and</w:t>
      </w:r>
      <w:r w:rsidR="00C026A6" w:rsidRPr="00EA59C0">
        <w:rPr>
          <w:b/>
        </w:rPr>
        <w:t xml:space="preserve"> </w:t>
      </w:r>
      <w:r w:rsidRPr="00EA59C0">
        <w:rPr>
          <w:b/>
        </w:rPr>
        <w:t>Career</w:t>
      </w:r>
      <w:r w:rsidR="00C026A6" w:rsidRPr="00EA59C0">
        <w:rPr>
          <w:b/>
        </w:rPr>
        <w:t xml:space="preserve"> </w:t>
      </w:r>
      <w:r w:rsidRPr="00EA59C0">
        <w:rPr>
          <w:b/>
        </w:rPr>
        <w:t>Training</w:t>
      </w:r>
      <w:r w:rsidR="00C026A6" w:rsidRPr="00EA59C0">
        <w:rPr>
          <w:b/>
        </w:rPr>
        <w:t xml:space="preserve"> </w:t>
      </w:r>
      <w:r w:rsidRPr="00EA59C0">
        <w:rPr>
          <w:b/>
        </w:rPr>
        <w:t>Grants</w:t>
      </w:r>
      <w:r w:rsidR="00C026A6" w:rsidRPr="00EA59C0">
        <w:rPr>
          <w:b/>
        </w:rPr>
        <w:t xml:space="preserve"> </w:t>
      </w:r>
      <w:r w:rsidRPr="00EA59C0">
        <w:rPr>
          <w:b/>
        </w:rPr>
        <w:t>Program</w:t>
      </w:r>
    </w:p>
    <w:p w:rsidR="007470AB" w:rsidRPr="00EA59C0" w:rsidRDefault="007470AB" w:rsidP="007A73AC">
      <w:r w:rsidRPr="00EA59C0">
        <w:rPr>
          <w:b/>
          <w:iCs/>
        </w:rPr>
        <w:t>Announcement</w:t>
      </w:r>
      <w:r w:rsidR="00C026A6" w:rsidRPr="00EA59C0">
        <w:rPr>
          <w:b/>
          <w:iCs/>
        </w:rPr>
        <w:t xml:space="preserve"> </w:t>
      </w:r>
      <w:r w:rsidRPr="00EA59C0">
        <w:rPr>
          <w:b/>
          <w:iCs/>
        </w:rPr>
        <w:t>Type</w:t>
      </w:r>
      <w:r w:rsidRPr="00EA59C0">
        <w:t>:</w:t>
      </w:r>
      <w:r w:rsidR="00C026A6" w:rsidRPr="00EA59C0">
        <w:t xml:space="preserve">  </w:t>
      </w:r>
      <w:r w:rsidR="00711441" w:rsidRPr="00EA59C0">
        <w:t>Initial</w:t>
      </w:r>
    </w:p>
    <w:p w:rsidR="007470AB" w:rsidRPr="00EA59C0" w:rsidRDefault="007470AB" w:rsidP="007A73AC">
      <w:pPr>
        <w:rPr>
          <w:b/>
        </w:rPr>
      </w:pPr>
      <w:r w:rsidRPr="00EA59C0">
        <w:rPr>
          <w:b/>
          <w:iCs/>
        </w:rPr>
        <w:t>Funding</w:t>
      </w:r>
      <w:r w:rsidR="00C026A6" w:rsidRPr="00EA59C0">
        <w:rPr>
          <w:b/>
          <w:iCs/>
        </w:rPr>
        <w:t xml:space="preserve"> </w:t>
      </w:r>
      <w:r w:rsidRPr="00EA59C0">
        <w:rPr>
          <w:b/>
          <w:iCs/>
        </w:rPr>
        <w:t>Opportunity</w:t>
      </w:r>
      <w:r w:rsidR="00C026A6" w:rsidRPr="00EA59C0">
        <w:rPr>
          <w:b/>
          <w:iCs/>
        </w:rPr>
        <w:t xml:space="preserve"> </w:t>
      </w:r>
      <w:r w:rsidRPr="00EA59C0">
        <w:rPr>
          <w:b/>
          <w:iCs/>
        </w:rPr>
        <w:t>Number</w:t>
      </w:r>
      <w:r w:rsidRPr="00EA59C0">
        <w:rPr>
          <w:b/>
        </w:rPr>
        <w:t>:</w:t>
      </w:r>
      <w:r w:rsidR="00C026A6" w:rsidRPr="00EA59C0">
        <w:t xml:space="preserve">  </w:t>
      </w:r>
      <w:r w:rsidRPr="00EA59C0">
        <w:t>SGA/DFA</w:t>
      </w:r>
      <w:r w:rsidR="00C026A6" w:rsidRPr="00EA59C0">
        <w:t xml:space="preserve"> </w:t>
      </w:r>
      <w:r w:rsidRPr="00EA59C0">
        <w:t>PY-</w:t>
      </w:r>
      <w:r w:rsidR="00A7374C" w:rsidRPr="00EA59C0">
        <w:t>13</w:t>
      </w:r>
      <w:r w:rsidRPr="00EA59C0">
        <w:t>-</w:t>
      </w:r>
      <w:r w:rsidR="00A7374C" w:rsidRPr="00EA59C0">
        <w:t>10</w:t>
      </w:r>
    </w:p>
    <w:p w:rsidR="007470AB" w:rsidRPr="00EA59C0" w:rsidRDefault="007470AB" w:rsidP="007A73AC">
      <w:r w:rsidRPr="00EA59C0">
        <w:rPr>
          <w:b/>
        </w:rPr>
        <w:t>Catalog</w:t>
      </w:r>
      <w:r w:rsidR="00C026A6" w:rsidRPr="00EA59C0">
        <w:rPr>
          <w:b/>
        </w:rPr>
        <w:t xml:space="preserve"> </w:t>
      </w:r>
      <w:r w:rsidRPr="00EA59C0">
        <w:rPr>
          <w:b/>
        </w:rPr>
        <w:t>of</w:t>
      </w:r>
      <w:r w:rsidR="00C026A6" w:rsidRPr="00EA59C0">
        <w:rPr>
          <w:b/>
        </w:rPr>
        <w:t xml:space="preserve"> </w:t>
      </w:r>
      <w:r w:rsidRPr="00EA59C0">
        <w:rPr>
          <w:b/>
        </w:rPr>
        <w:t>Federal</w:t>
      </w:r>
      <w:r w:rsidR="00C026A6" w:rsidRPr="00EA59C0">
        <w:rPr>
          <w:b/>
        </w:rPr>
        <w:t xml:space="preserve"> </w:t>
      </w:r>
      <w:r w:rsidRPr="00EA59C0">
        <w:rPr>
          <w:b/>
        </w:rPr>
        <w:t>Domestic</w:t>
      </w:r>
      <w:r w:rsidR="00C026A6" w:rsidRPr="00EA59C0">
        <w:rPr>
          <w:b/>
        </w:rPr>
        <w:t xml:space="preserve"> </w:t>
      </w:r>
      <w:r w:rsidRPr="00EA59C0">
        <w:rPr>
          <w:b/>
        </w:rPr>
        <w:t>Assistance</w:t>
      </w:r>
      <w:r w:rsidR="00C026A6" w:rsidRPr="00EA59C0">
        <w:rPr>
          <w:b/>
        </w:rPr>
        <w:t xml:space="preserve"> </w:t>
      </w:r>
      <w:r w:rsidRPr="00EA59C0">
        <w:rPr>
          <w:b/>
        </w:rPr>
        <w:t>(CFDA)</w:t>
      </w:r>
      <w:r w:rsidR="00C026A6" w:rsidRPr="00EA59C0">
        <w:rPr>
          <w:b/>
        </w:rPr>
        <w:t xml:space="preserve"> </w:t>
      </w:r>
      <w:r w:rsidRPr="00EA59C0">
        <w:rPr>
          <w:b/>
        </w:rPr>
        <w:t>Number:</w:t>
      </w:r>
      <w:r w:rsidR="00C026A6" w:rsidRPr="00EA59C0">
        <w:t xml:space="preserve">  </w:t>
      </w:r>
      <w:r w:rsidRPr="00EA59C0">
        <w:t>17.2</w:t>
      </w:r>
      <w:r w:rsidR="00A7374C" w:rsidRPr="00EA59C0">
        <w:t>82</w:t>
      </w:r>
    </w:p>
    <w:p w:rsidR="007470AB" w:rsidRPr="00EA59C0" w:rsidRDefault="007470AB" w:rsidP="007A73AC">
      <w:pPr>
        <w:widowControl w:val="0"/>
        <w:rPr>
          <w:b/>
        </w:rPr>
      </w:pPr>
      <w:r w:rsidRPr="00EA59C0">
        <w:rPr>
          <w:b/>
        </w:rPr>
        <w:t>Key</w:t>
      </w:r>
      <w:r w:rsidR="00C026A6" w:rsidRPr="00EA59C0">
        <w:rPr>
          <w:b/>
        </w:rPr>
        <w:t xml:space="preserve"> </w:t>
      </w:r>
      <w:r w:rsidRPr="00EA59C0">
        <w:rPr>
          <w:b/>
        </w:rPr>
        <w:t>Dates:</w:t>
      </w:r>
      <w:r w:rsidR="00C026A6" w:rsidRPr="00EA59C0">
        <w:t xml:space="preserve"> </w:t>
      </w:r>
      <w:r w:rsidRPr="00EA59C0">
        <w:t>The</w:t>
      </w:r>
      <w:r w:rsidR="00C026A6" w:rsidRPr="00EA59C0">
        <w:t xml:space="preserve"> </w:t>
      </w:r>
      <w:r w:rsidRPr="00EA59C0">
        <w:t>closing</w:t>
      </w:r>
      <w:r w:rsidR="00C026A6" w:rsidRPr="00EA59C0">
        <w:t xml:space="preserve"> </w:t>
      </w:r>
      <w:r w:rsidRPr="00EA59C0">
        <w:t>date</w:t>
      </w:r>
      <w:r w:rsidR="00C026A6" w:rsidRPr="00EA59C0">
        <w:t xml:space="preserve"> </w:t>
      </w:r>
      <w:r w:rsidRPr="00EA59C0">
        <w:t>for</w:t>
      </w:r>
      <w:r w:rsidR="00C026A6" w:rsidRPr="00EA59C0">
        <w:t xml:space="preserve"> </w:t>
      </w:r>
      <w:r w:rsidRPr="00EA59C0">
        <w:t>receipt</w:t>
      </w:r>
      <w:r w:rsidR="00C026A6" w:rsidRPr="00EA59C0">
        <w:t xml:space="preserve"> </w:t>
      </w:r>
      <w:r w:rsidRPr="00EA59C0">
        <w:t>of</w:t>
      </w:r>
      <w:r w:rsidR="00C026A6" w:rsidRPr="00EA59C0">
        <w:t xml:space="preserve"> </w:t>
      </w:r>
      <w:r w:rsidRPr="00EA59C0">
        <w:t>applications</w:t>
      </w:r>
      <w:r w:rsidR="00C026A6" w:rsidRPr="00EA59C0">
        <w:t xml:space="preserve"> </w:t>
      </w:r>
      <w:r w:rsidRPr="00EA59C0">
        <w:t>under</w:t>
      </w:r>
      <w:r w:rsidR="00C026A6" w:rsidRPr="00EA59C0">
        <w:t xml:space="preserve"> </w:t>
      </w:r>
      <w:r w:rsidRPr="00EA59C0">
        <w:t>this</w:t>
      </w:r>
      <w:r w:rsidR="00C026A6" w:rsidRPr="00EA59C0">
        <w:t xml:space="preserve"> </w:t>
      </w:r>
      <w:r w:rsidRPr="00EA59C0">
        <w:t>announcement</w:t>
      </w:r>
      <w:r w:rsidR="00C026A6" w:rsidRPr="00EA59C0">
        <w:t xml:space="preserve"> </w:t>
      </w:r>
      <w:r w:rsidRPr="00EA59C0">
        <w:t>is</w:t>
      </w:r>
      <w:r w:rsidR="00C026A6" w:rsidRPr="00EA59C0">
        <w:t xml:space="preserve"> </w:t>
      </w:r>
      <w:r w:rsidRPr="00EA59C0">
        <w:rPr>
          <w:b/>
        </w:rPr>
        <w:t>[</w:t>
      </w:r>
      <w:r w:rsidRPr="00EA59C0">
        <w:rPr>
          <w:b/>
          <w:i/>
        </w:rPr>
        <w:t>insert</w:t>
      </w:r>
      <w:r w:rsidR="00C026A6" w:rsidRPr="00EA59C0">
        <w:rPr>
          <w:b/>
          <w:i/>
        </w:rPr>
        <w:t xml:space="preserve"> </w:t>
      </w:r>
      <w:r w:rsidRPr="00EA59C0">
        <w:rPr>
          <w:b/>
          <w:i/>
        </w:rPr>
        <w:t>date</w:t>
      </w:r>
      <w:r w:rsidR="00C026A6" w:rsidRPr="00EA59C0">
        <w:rPr>
          <w:b/>
          <w:i/>
        </w:rPr>
        <w:t xml:space="preserve"> </w:t>
      </w:r>
      <w:r w:rsidRPr="00EA59C0">
        <w:rPr>
          <w:b/>
          <w:i/>
        </w:rPr>
        <w:t>XX</w:t>
      </w:r>
      <w:r w:rsidR="00C026A6" w:rsidRPr="00EA59C0">
        <w:rPr>
          <w:b/>
          <w:i/>
        </w:rPr>
        <w:t xml:space="preserve"> </w:t>
      </w:r>
      <w:r w:rsidRPr="00EA59C0">
        <w:rPr>
          <w:b/>
          <w:i/>
        </w:rPr>
        <w:t>days</w:t>
      </w:r>
      <w:r w:rsidR="00C026A6" w:rsidRPr="00EA59C0">
        <w:rPr>
          <w:b/>
          <w:i/>
        </w:rPr>
        <w:t xml:space="preserve"> </w:t>
      </w:r>
      <w:r w:rsidRPr="00EA59C0">
        <w:rPr>
          <w:b/>
          <w:i/>
        </w:rPr>
        <w:t>after</w:t>
      </w:r>
      <w:r w:rsidR="00C026A6" w:rsidRPr="00EA59C0">
        <w:rPr>
          <w:b/>
          <w:i/>
        </w:rPr>
        <w:t xml:space="preserve"> </w:t>
      </w:r>
      <w:r w:rsidRPr="00EA59C0">
        <w:rPr>
          <w:b/>
          <w:i/>
        </w:rPr>
        <w:t>date</w:t>
      </w:r>
      <w:r w:rsidR="00C026A6" w:rsidRPr="00EA59C0">
        <w:rPr>
          <w:b/>
          <w:i/>
        </w:rPr>
        <w:t xml:space="preserve"> </w:t>
      </w:r>
      <w:r w:rsidRPr="00EA59C0">
        <w:rPr>
          <w:b/>
          <w:i/>
        </w:rPr>
        <w:t>of</w:t>
      </w:r>
      <w:r w:rsidR="00C026A6" w:rsidRPr="00EA59C0">
        <w:rPr>
          <w:b/>
          <w:i/>
        </w:rPr>
        <w:t xml:space="preserve"> </w:t>
      </w:r>
      <w:r w:rsidRPr="00EA59C0">
        <w:rPr>
          <w:b/>
          <w:i/>
        </w:rPr>
        <w:t>publication</w:t>
      </w:r>
      <w:r w:rsidR="00C026A6" w:rsidRPr="00EA59C0">
        <w:rPr>
          <w:b/>
          <w:i/>
        </w:rPr>
        <w:t xml:space="preserve"> </w:t>
      </w:r>
      <w:r w:rsidR="003109D6" w:rsidRPr="00EA59C0">
        <w:rPr>
          <w:b/>
          <w:i/>
        </w:rPr>
        <w:t>of</w:t>
      </w:r>
      <w:r w:rsidR="00C026A6" w:rsidRPr="00EA59C0">
        <w:rPr>
          <w:b/>
          <w:i/>
        </w:rPr>
        <w:t xml:space="preserve"> </w:t>
      </w:r>
      <w:r w:rsidR="003109D6" w:rsidRPr="00EA59C0">
        <w:rPr>
          <w:b/>
          <w:i/>
        </w:rPr>
        <w:t>the</w:t>
      </w:r>
      <w:r w:rsidR="00C026A6" w:rsidRPr="00EA59C0">
        <w:rPr>
          <w:b/>
          <w:i/>
        </w:rPr>
        <w:t xml:space="preserve"> </w:t>
      </w:r>
      <w:r w:rsidR="00544350" w:rsidRPr="00EA59C0">
        <w:rPr>
          <w:b/>
          <w:i/>
        </w:rPr>
        <w:t>one</w:t>
      </w:r>
      <w:r w:rsidR="00C026A6" w:rsidRPr="00EA59C0">
        <w:rPr>
          <w:b/>
          <w:i/>
        </w:rPr>
        <w:t xml:space="preserve"> </w:t>
      </w:r>
      <w:r w:rsidR="00544350" w:rsidRPr="00EA59C0">
        <w:rPr>
          <w:b/>
          <w:i/>
        </w:rPr>
        <w:t>page</w:t>
      </w:r>
      <w:r w:rsidR="00C026A6" w:rsidRPr="00EA59C0">
        <w:rPr>
          <w:b/>
          <w:i/>
        </w:rPr>
        <w:t xml:space="preserve"> </w:t>
      </w:r>
      <w:r w:rsidR="003109D6" w:rsidRPr="00EA59C0">
        <w:rPr>
          <w:b/>
          <w:i/>
        </w:rPr>
        <w:t>notice</w:t>
      </w:r>
      <w:r w:rsidR="00C026A6" w:rsidRPr="00EA59C0">
        <w:rPr>
          <w:b/>
          <w:i/>
        </w:rPr>
        <w:t xml:space="preserve"> </w:t>
      </w:r>
      <w:r w:rsidRPr="00EA59C0">
        <w:rPr>
          <w:b/>
          <w:i/>
        </w:rPr>
        <w:t>in</w:t>
      </w:r>
      <w:r w:rsidR="00C026A6" w:rsidRPr="00EA59C0">
        <w:rPr>
          <w:b/>
          <w:i/>
        </w:rPr>
        <w:t xml:space="preserve"> </w:t>
      </w:r>
      <w:r w:rsidR="003109D6" w:rsidRPr="00EA59C0">
        <w:rPr>
          <w:b/>
          <w:i/>
        </w:rPr>
        <w:t>the</w:t>
      </w:r>
      <w:r w:rsidR="00C026A6" w:rsidRPr="00EA59C0">
        <w:rPr>
          <w:b/>
          <w:i/>
        </w:rPr>
        <w:t xml:space="preserve"> </w:t>
      </w:r>
      <w:r w:rsidRPr="00EA59C0">
        <w:rPr>
          <w:b/>
          <w:i/>
        </w:rPr>
        <w:t>Federal</w:t>
      </w:r>
      <w:r w:rsidR="00C026A6" w:rsidRPr="00EA59C0">
        <w:rPr>
          <w:b/>
          <w:i/>
        </w:rPr>
        <w:t xml:space="preserve"> </w:t>
      </w:r>
      <w:r w:rsidRPr="00EA59C0">
        <w:rPr>
          <w:b/>
          <w:i/>
        </w:rPr>
        <w:t>Register</w:t>
      </w:r>
      <w:r w:rsidRPr="00EA59C0">
        <w:rPr>
          <w:b/>
        </w:rPr>
        <w:t>]</w:t>
      </w:r>
      <w:r w:rsidRPr="00EA59C0">
        <w:t>.</w:t>
      </w:r>
      <w:r w:rsidR="00C026A6" w:rsidRPr="00EA59C0">
        <w:t xml:space="preserve">  </w:t>
      </w:r>
      <w:r w:rsidRPr="00EA59C0">
        <w:t>Applications</w:t>
      </w:r>
      <w:r w:rsidR="00C026A6" w:rsidRPr="00EA59C0">
        <w:t xml:space="preserve"> </w:t>
      </w:r>
      <w:r w:rsidRPr="00EA59C0">
        <w:t>must</w:t>
      </w:r>
      <w:r w:rsidR="00C026A6" w:rsidRPr="00EA59C0">
        <w:t xml:space="preserve"> </w:t>
      </w:r>
      <w:r w:rsidRPr="00EA59C0">
        <w:t>be</w:t>
      </w:r>
      <w:r w:rsidR="00C026A6" w:rsidRPr="00EA59C0">
        <w:t xml:space="preserve"> </w:t>
      </w:r>
      <w:r w:rsidRPr="00EA59C0">
        <w:t>received</w:t>
      </w:r>
      <w:r w:rsidR="00C026A6" w:rsidRPr="00EA59C0">
        <w:t xml:space="preserve"> </w:t>
      </w:r>
      <w:r w:rsidRPr="00EA59C0">
        <w:t>no</w:t>
      </w:r>
      <w:r w:rsidR="00C026A6" w:rsidRPr="00EA59C0">
        <w:t xml:space="preserve"> </w:t>
      </w:r>
      <w:r w:rsidRPr="00EA59C0">
        <w:t>later</w:t>
      </w:r>
      <w:r w:rsidR="00C026A6" w:rsidRPr="00EA59C0">
        <w:t xml:space="preserve"> </w:t>
      </w:r>
      <w:r w:rsidRPr="00EA59C0">
        <w:t>than</w:t>
      </w:r>
      <w:r w:rsidR="00C026A6" w:rsidRPr="00EA59C0">
        <w:t xml:space="preserve"> </w:t>
      </w:r>
      <w:r w:rsidRPr="00EA59C0">
        <w:t>4:00:00</w:t>
      </w:r>
      <w:r w:rsidR="00C026A6" w:rsidRPr="00EA59C0">
        <w:t xml:space="preserve"> </w:t>
      </w:r>
      <w:r w:rsidRPr="00EA59C0">
        <w:t>p.m.</w:t>
      </w:r>
      <w:r w:rsidR="00C026A6" w:rsidRPr="00EA59C0">
        <w:t xml:space="preserve"> </w:t>
      </w:r>
      <w:r w:rsidRPr="00EA59C0">
        <w:t>Eastern</w:t>
      </w:r>
      <w:r w:rsidR="00C026A6" w:rsidRPr="00EA59C0">
        <w:t xml:space="preserve"> </w:t>
      </w:r>
      <w:r w:rsidRPr="00EA59C0">
        <w:t>Time.</w:t>
      </w:r>
      <w:r w:rsidR="00C026A6" w:rsidRPr="00EA59C0">
        <w:rPr>
          <w:b/>
        </w:rPr>
        <w:t xml:space="preserve">  </w:t>
      </w:r>
    </w:p>
    <w:p w:rsidR="007470AB" w:rsidRPr="00EA59C0" w:rsidRDefault="007470AB" w:rsidP="007A73AC">
      <w:pPr>
        <w:widowControl w:val="0"/>
      </w:pPr>
      <w:r w:rsidRPr="00EA59C0">
        <w:rPr>
          <w:b/>
        </w:rPr>
        <w:t>Addresses:</w:t>
      </w:r>
      <w:r w:rsidR="00C026A6" w:rsidRPr="00EA59C0">
        <w:t xml:space="preserve"> </w:t>
      </w:r>
      <w:r w:rsidRPr="00EA59C0">
        <w:t>Mailed</w:t>
      </w:r>
      <w:r w:rsidR="00C026A6" w:rsidRPr="00EA59C0">
        <w:t xml:space="preserve"> </w:t>
      </w:r>
      <w:r w:rsidRPr="00EA59C0">
        <w:t>applications</w:t>
      </w:r>
      <w:r w:rsidR="00C026A6" w:rsidRPr="00EA59C0">
        <w:t xml:space="preserve"> </w:t>
      </w:r>
      <w:r w:rsidRPr="00EA59C0">
        <w:t>must</w:t>
      </w:r>
      <w:r w:rsidR="00C026A6" w:rsidRPr="00EA59C0">
        <w:t xml:space="preserve"> </w:t>
      </w:r>
      <w:r w:rsidRPr="00EA59C0">
        <w:t>be</w:t>
      </w:r>
      <w:r w:rsidR="00C026A6" w:rsidRPr="00EA59C0">
        <w:t xml:space="preserve"> </w:t>
      </w:r>
      <w:r w:rsidRPr="00EA59C0">
        <w:t>addressed</w:t>
      </w:r>
      <w:r w:rsidR="00C026A6" w:rsidRPr="00EA59C0">
        <w:t xml:space="preserve"> </w:t>
      </w:r>
      <w:r w:rsidRPr="00EA59C0">
        <w:t>to</w:t>
      </w:r>
      <w:r w:rsidR="00C026A6" w:rsidRPr="00EA59C0">
        <w:t xml:space="preserve"> </w:t>
      </w:r>
      <w:r w:rsidRPr="00EA59C0">
        <w:t>the</w:t>
      </w:r>
      <w:r w:rsidR="00C026A6" w:rsidRPr="00EA59C0">
        <w:t xml:space="preserve"> </w:t>
      </w:r>
      <w:r w:rsidRPr="00EA59C0">
        <w:t>U.S.</w:t>
      </w:r>
      <w:r w:rsidR="00C026A6" w:rsidRPr="00EA59C0">
        <w:t xml:space="preserve"> </w:t>
      </w:r>
      <w:r w:rsidRPr="00EA59C0">
        <w:t>Department</w:t>
      </w:r>
      <w:r w:rsidR="00C026A6" w:rsidRPr="00EA59C0">
        <w:t xml:space="preserve"> </w:t>
      </w:r>
      <w:r w:rsidRPr="00EA59C0">
        <w:t>of</w:t>
      </w:r>
      <w:r w:rsidR="00C026A6" w:rsidRPr="00EA59C0">
        <w:t xml:space="preserve"> </w:t>
      </w:r>
      <w:r w:rsidRPr="00EA59C0">
        <w:t>Labor,</w:t>
      </w:r>
      <w:r w:rsidR="00C026A6" w:rsidRPr="00EA59C0">
        <w:t xml:space="preserve"> </w:t>
      </w:r>
      <w:r w:rsidRPr="00EA59C0">
        <w:t>Employment</w:t>
      </w:r>
      <w:r w:rsidR="00C026A6" w:rsidRPr="00EA59C0">
        <w:t xml:space="preserve"> </w:t>
      </w:r>
      <w:r w:rsidRPr="00EA59C0">
        <w:t>and</w:t>
      </w:r>
      <w:r w:rsidR="00C026A6" w:rsidRPr="00EA59C0">
        <w:t xml:space="preserve"> </w:t>
      </w:r>
      <w:r w:rsidRPr="00EA59C0">
        <w:t>Training</w:t>
      </w:r>
      <w:r w:rsidR="00C026A6" w:rsidRPr="00EA59C0">
        <w:t xml:space="preserve"> </w:t>
      </w:r>
      <w:r w:rsidRPr="00EA59C0">
        <w:t>Administration,</w:t>
      </w:r>
      <w:r w:rsidR="00C026A6" w:rsidRPr="00EA59C0">
        <w:t xml:space="preserve"> </w:t>
      </w:r>
      <w:r w:rsidRPr="00EA59C0">
        <w:t>Office</w:t>
      </w:r>
      <w:r w:rsidR="00C026A6" w:rsidRPr="00EA59C0">
        <w:t xml:space="preserve"> </w:t>
      </w:r>
      <w:r w:rsidRPr="00EA59C0">
        <w:t>of</w:t>
      </w:r>
      <w:r w:rsidR="00C026A6" w:rsidRPr="00EA59C0">
        <w:t xml:space="preserve"> </w:t>
      </w:r>
      <w:r w:rsidRPr="00EA59C0">
        <w:t>Grants</w:t>
      </w:r>
      <w:r w:rsidR="00C026A6" w:rsidRPr="00EA59C0">
        <w:t xml:space="preserve"> </w:t>
      </w:r>
      <w:r w:rsidRPr="00EA59C0">
        <w:t>Management,</w:t>
      </w:r>
      <w:r w:rsidR="00C026A6" w:rsidRPr="00EA59C0">
        <w:t xml:space="preserve"> </w:t>
      </w:r>
      <w:r w:rsidRPr="00EA59C0">
        <w:t>Attention:</w:t>
      </w:r>
      <w:r w:rsidR="00C026A6" w:rsidRPr="00EA59C0">
        <w:t xml:space="preserve">  </w:t>
      </w:r>
      <w:r w:rsidR="006B7204" w:rsidRPr="00EA59C0">
        <w:t>Steven</w:t>
      </w:r>
      <w:r w:rsidR="00C026A6" w:rsidRPr="00EA59C0">
        <w:t xml:space="preserve"> </w:t>
      </w:r>
      <w:r w:rsidR="006B7204" w:rsidRPr="00EA59C0">
        <w:t>A.</w:t>
      </w:r>
      <w:r w:rsidR="00C026A6" w:rsidRPr="00EA59C0">
        <w:t xml:space="preserve"> </w:t>
      </w:r>
      <w:r w:rsidR="006B7204" w:rsidRPr="00EA59C0">
        <w:t>Rietzke</w:t>
      </w:r>
      <w:r w:rsidRPr="00EA59C0">
        <w:t>,</w:t>
      </w:r>
      <w:r w:rsidR="00C026A6" w:rsidRPr="00EA59C0">
        <w:t xml:space="preserve"> </w:t>
      </w:r>
      <w:r w:rsidRPr="00EA59C0">
        <w:t>Grant</w:t>
      </w:r>
      <w:r w:rsidR="00C026A6" w:rsidRPr="00EA59C0">
        <w:t xml:space="preserve"> </w:t>
      </w:r>
      <w:r w:rsidRPr="00EA59C0">
        <w:t>Officer,</w:t>
      </w:r>
      <w:r w:rsidR="00C026A6" w:rsidRPr="00EA59C0">
        <w:t xml:space="preserve"> </w:t>
      </w:r>
      <w:r w:rsidRPr="00EA59C0">
        <w:t>Reference</w:t>
      </w:r>
      <w:r w:rsidR="00C026A6" w:rsidRPr="00EA59C0">
        <w:t xml:space="preserve"> </w:t>
      </w:r>
      <w:r w:rsidRPr="00EA59C0">
        <w:t>SGA/DFA</w:t>
      </w:r>
      <w:r w:rsidR="00C026A6" w:rsidRPr="00EA59C0">
        <w:t xml:space="preserve"> </w:t>
      </w:r>
      <w:r w:rsidRPr="00EA59C0">
        <w:t>PY</w:t>
      </w:r>
      <w:r w:rsidR="00C026A6" w:rsidRPr="00EA59C0">
        <w:t xml:space="preserve"> </w:t>
      </w:r>
      <w:r w:rsidR="00A7374C" w:rsidRPr="00EA59C0">
        <w:t>13</w:t>
      </w:r>
      <w:r w:rsidRPr="00EA59C0">
        <w:t>-</w:t>
      </w:r>
      <w:r w:rsidR="00A7374C" w:rsidRPr="00EA59C0">
        <w:t>10</w:t>
      </w:r>
      <w:r w:rsidRPr="00EA59C0">
        <w:t>,</w:t>
      </w:r>
      <w:r w:rsidR="00C026A6" w:rsidRPr="00EA59C0">
        <w:t xml:space="preserve"> </w:t>
      </w:r>
      <w:r w:rsidRPr="00EA59C0">
        <w:t>200</w:t>
      </w:r>
      <w:r w:rsidR="00C026A6" w:rsidRPr="00EA59C0">
        <w:t xml:space="preserve"> </w:t>
      </w:r>
      <w:r w:rsidRPr="00EA59C0">
        <w:t>Constitution</w:t>
      </w:r>
      <w:r w:rsidR="00C026A6" w:rsidRPr="00EA59C0">
        <w:t xml:space="preserve"> </w:t>
      </w:r>
      <w:r w:rsidRPr="00EA59C0">
        <w:t>Avenue,</w:t>
      </w:r>
      <w:r w:rsidR="00C026A6" w:rsidRPr="00EA59C0">
        <w:t xml:space="preserve"> </w:t>
      </w:r>
      <w:r w:rsidRPr="00EA59C0">
        <w:t>NW,</w:t>
      </w:r>
      <w:r w:rsidR="00C026A6" w:rsidRPr="00EA59C0">
        <w:t xml:space="preserve"> </w:t>
      </w:r>
      <w:r w:rsidRPr="00EA59C0">
        <w:t>Room</w:t>
      </w:r>
      <w:r w:rsidR="00C026A6" w:rsidRPr="00EA59C0">
        <w:t xml:space="preserve"> </w:t>
      </w:r>
      <w:r w:rsidRPr="00EA59C0">
        <w:t>N4716,</w:t>
      </w:r>
      <w:r w:rsidR="00C026A6" w:rsidRPr="00EA59C0">
        <w:t xml:space="preserve"> </w:t>
      </w:r>
      <w:r w:rsidRPr="00EA59C0">
        <w:t>Washington,</w:t>
      </w:r>
      <w:r w:rsidR="00C026A6" w:rsidRPr="00EA59C0">
        <w:t xml:space="preserve"> </w:t>
      </w:r>
      <w:r w:rsidRPr="00EA59C0">
        <w:t>DC</w:t>
      </w:r>
      <w:r w:rsidR="00C026A6" w:rsidRPr="00EA59C0">
        <w:t xml:space="preserve"> </w:t>
      </w:r>
      <w:r w:rsidRPr="00EA59C0">
        <w:t>20210.</w:t>
      </w:r>
      <w:r w:rsidR="00C026A6" w:rsidRPr="00EA59C0">
        <w:t xml:space="preserve">  </w:t>
      </w:r>
      <w:r w:rsidRPr="00EA59C0">
        <w:t>For</w:t>
      </w:r>
      <w:r w:rsidR="00C026A6" w:rsidRPr="00EA59C0">
        <w:t xml:space="preserve"> </w:t>
      </w:r>
      <w:r w:rsidRPr="00EA59C0">
        <w:t>complete</w:t>
      </w:r>
      <w:r w:rsidR="00C026A6" w:rsidRPr="00EA59C0">
        <w:t xml:space="preserve"> </w:t>
      </w:r>
      <w:r w:rsidRPr="00EA59C0">
        <w:t>application</w:t>
      </w:r>
      <w:r w:rsidR="00C026A6" w:rsidRPr="00EA59C0">
        <w:t xml:space="preserve"> </w:t>
      </w:r>
      <w:r w:rsidRPr="00EA59C0">
        <w:t>and</w:t>
      </w:r>
      <w:r w:rsidR="00C026A6" w:rsidRPr="00EA59C0">
        <w:t xml:space="preserve"> </w:t>
      </w:r>
      <w:r w:rsidRPr="00EA59C0">
        <w:t>submission</w:t>
      </w:r>
      <w:r w:rsidR="00C026A6" w:rsidRPr="00EA59C0">
        <w:t xml:space="preserve"> </w:t>
      </w:r>
      <w:r w:rsidRPr="00EA59C0">
        <w:t>information,</w:t>
      </w:r>
      <w:r w:rsidR="00C026A6" w:rsidRPr="00EA59C0">
        <w:t xml:space="preserve"> </w:t>
      </w:r>
      <w:r w:rsidRPr="00EA59C0">
        <w:t>including</w:t>
      </w:r>
      <w:r w:rsidR="00C026A6" w:rsidRPr="00EA59C0">
        <w:t xml:space="preserve"> </w:t>
      </w:r>
      <w:r w:rsidRPr="00EA59C0">
        <w:t>online</w:t>
      </w:r>
      <w:r w:rsidR="00C026A6" w:rsidRPr="00EA59C0">
        <w:t xml:space="preserve"> </w:t>
      </w:r>
      <w:r w:rsidRPr="00EA59C0">
        <w:t>application</w:t>
      </w:r>
      <w:r w:rsidR="00C026A6" w:rsidRPr="00EA59C0">
        <w:t xml:space="preserve"> </w:t>
      </w:r>
      <w:r w:rsidRPr="00EA59C0">
        <w:t>instructions,</w:t>
      </w:r>
      <w:r w:rsidR="00C026A6" w:rsidRPr="00EA59C0">
        <w:t xml:space="preserve"> </w:t>
      </w:r>
      <w:r w:rsidRPr="00EA59C0">
        <w:t>please</w:t>
      </w:r>
      <w:r w:rsidR="00C026A6" w:rsidRPr="00EA59C0">
        <w:t xml:space="preserve"> </w:t>
      </w:r>
      <w:r w:rsidRPr="00EA59C0">
        <w:t>refer</w:t>
      </w:r>
      <w:r w:rsidR="00C026A6" w:rsidRPr="00EA59C0">
        <w:t xml:space="preserve"> </w:t>
      </w:r>
      <w:r w:rsidRPr="00EA59C0">
        <w:t>to</w:t>
      </w:r>
      <w:r w:rsidR="00C026A6" w:rsidRPr="00EA59C0">
        <w:t xml:space="preserve"> </w:t>
      </w:r>
      <w:r w:rsidR="00711441" w:rsidRPr="00EA59C0">
        <w:t>S</w:t>
      </w:r>
      <w:r w:rsidRPr="00EA59C0">
        <w:t>ection</w:t>
      </w:r>
      <w:r w:rsidR="00C026A6" w:rsidRPr="00EA59C0">
        <w:t xml:space="preserve"> </w:t>
      </w:r>
      <w:r w:rsidRPr="00EA59C0">
        <w:t>IV.</w:t>
      </w:r>
    </w:p>
    <w:p w:rsidR="00F07019" w:rsidRPr="00EA59C0" w:rsidRDefault="00F07019" w:rsidP="00C672D1">
      <w:pPr>
        <w:spacing w:line="480" w:lineRule="auto"/>
        <w:rPr>
          <w:b/>
        </w:rPr>
      </w:pPr>
    </w:p>
    <w:p w:rsidR="007470AB" w:rsidRPr="00EA59C0" w:rsidRDefault="006373E5" w:rsidP="00C672D1">
      <w:pPr>
        <w:spacing w:line="480" w:lineRule="auto"/>
        <w:rPr>
          <w:b/>
        </w:rPr>
      </w:pPr>
      <w:r w:rsidRPr="00EA59C0">
        <w:rPr>
          <w:b/>
        </w:rPr>
        <w:t>Executive</w:t>
      </w:r>
      <w:r w:rsidR="00C026A6" w:rsidRPr="00EA59C0">
        <w:rPr>
          <w:b/>
        </w:rPr>
        <w:t xml:space="preserve"> </w:t>
      </w:r>
      <w:r w:rsidR="007470AB" w:rsidRPr="00EA59C0">
        <w:rPr>
          <w:b/>
        </w:rPr>
        <w:t>Summary:</w:t>
      </w:r>
      <w:r w:rsidR="00C026A6" w:rsidRPr="00EA59C0">
        <w:rPr>
          <w:b/>
        </w:rPr>
        <w:t xml:space="preserve"> </w:t>
      </w:r>
    </w:p>
    <w:p w:rsidR="007470AB" w:rsidRPr="00EA59C0" w:rsidRDefault="007470AB" w:rsidP="007A73AC">
      <w:r w:rsidRPr="00EA59C0">
        <w:t>The</w:t>
      </w:r>
      <w:r w:rsidR="00C026A6" w:rsidRPr="00EA59C0">
        <w:t xml:space="preserve"> </w:t>
      </w:r>
      <w:r w:rsidRPr="00EA59C0">
        <w:t>Employment</w:t>
      </w:r>
      <w:r w:rsidR="00C026A6" w:rsidRPr="00EA59C0">
        <w:t xml:space="preserve"> </w:t>
      </w:r>
      <w:r w:rsidRPr="00EA59C0">
        <w:t>and</w:t>
      </w:r>
      <w:r w:rsidR="00C026A6" w:rsidRPr="00EA59C0">
        <w:t xml:space="preserve"> </w:t>
      </w:r>
      <w:r w:rsidRPr="00EA59C0">
        <w:t>Training</w:t>
      </w:r>
      <w:r w:rsidR="00C026A6" w:rsidRPr="00EA59C0">
        <w:t xml:space="preserve"> </w:t>
      </w:r>
      <w:r w:rsidRPr="00EA59C0">
        <w:t>Administration</w:t>
      </w:r>
      <w:r w:rsidR="00C026A6" w:rsidRPr="00EA59C0">
        <w:t xml:space="preserve"> </w:t>
      </w:r>
      <w:r w:rsidRPr="00EA59C0">
        <w:t>(ETA),</w:t>
      </w:r>
      <w:r w:rsidR="00C026A6" w:rsidRPr="00EA59C0">
        <w:t xml:space="preserve"> </w:t>
      </w:r>
      <w:r w:rsidRPr="00EA59C0">
        <w:t>U.S.</w:t>
      </w:r>
      <w:r w:rsidR="00C026A6" w:rsidRPr="00EA59C0">
        <w:t xml:space="preserve"> </w:t>
      </w:r>
      <w:r w:rsidRPr="00EA59C0">
        <w:t>Department</w:t>
      </w:r>
      <w:r w:rsidR="00C026A6" w:rsidRPr="00EA59C0">
        <w:t xml:space="preserve"> </w:t>
      </w:r>
      <w:r w:rsidRPr="00EA59C0">
        <w:t>of</w:t>
      </w:r>
      <w:r w:rsidR="00C026A6" w:rsidRPr="00EA59C0">
        <w:t xml:space="preserve"> </w:t>
      </w:r>
      <w:r w:rsidRPr="00EA59C0">
        <w:t>Labor</w:t>
      </w:r>
      <w:r w:rsidR="00C026A6" w:rsidRPr="00EA59C0">
        <w:t xml:space="preserve"> </w:t>
      </w:r>
      <w:r w:rsidRPr="00EA59C0">
        <w:t>(DOL,</w:t>
      </w:r>
      <w:r w:rsidR="00C026A6" w:rsidRPr="00EA59C0">
        <w:t xml:space="preserve"> </w:t>
      </w:r>
      <w:r w:rsidRPr="00EA59C0">
        <w:t>or</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announces</w:t>
      </w:r>
      <w:r w:rsidR="00C026A6" w:rsidRPr="00EA59C0">
        <w:t xml:space="preserve"> </w:t>
      </w:r>
      <w:r w:rsidRPr="00EA59C0">
        <w:t>the</w:t>
      </w:r>
      <w:r w:rsidR="00C026A6" w:rsidRPr="00EA59C0">
        <w:t xml:space="preserve"> </w:t>
      </w:r>
      <w:r w:rsidRPr="00EA59C0">
        <w:t>availability</w:t>
      </w:r>
      <w:r w:rsidR="00C026A6" w:rsidRPr="00EA59C0">
        <w:t xml:space="preserve"> </w:t>
      </w:r>
      <w:r w:rsidRPr="00EA59C0">
        <w:t>of</w:t>
      </w:r>
      <w:r w:rsidR="00C026A6" w:rsidRPr="00EA59C0">
        <w:t xml:space="preserve"> </w:t>
      </w:r>
      <w:r w:rsidRPr="00EA59C0">
        <w:t>approximately</w:t>
      </w:r>
      <w:r w:rsidR="00C026A6" w:rsidRPr="00EA59C0">
        <w:t xml:space="preserve"> </w:t>
      </w:r>
      <w:r w:rsidRPr="00EA59C0">
        <w:t>$</w:t>
      </w:r>
      <w:r w:rsidR="00FA265D" w:rsidRPr="00EA59C0">
        <w:t>450</w:t>
      </w:r>
      <w:r w:rsidR="00C026A6" w:rsidRPr="00EA59C0">
        <w:t xml:space="preserve"> </w:t>
      </w:r>
      <w:r w:rsidR="00421FB0" w:rsidRPr="00EA59C0">
        <w:t>million</w:t>
      </w:r>
      <w:r w:rsidR="00C026A6" w:rsidRPr="00EA59C0">
        <w:t xml:space="preserve"> </w:t>
      </w:r>
      <w:r w:rsidRPr="00EA59C0" w:rsidDel="00CD178E">
        <w:t>in</w:t>
      </w:r>
      <w:r w:rsidR="00C026A6" w:rsidRPr="00EA59C0">
        <w:t xml:space="preserve"> </w:t>
      </w:r>
      <w:r w:rsidRPr="00EA59C0">
        <w:t>grant</w:t>
      </w:r>
      <w:r w:rsidR="00C026A6" w:rsidRPr="00EA59C0">
        <w:t xml:space="preserve"> </w:t>
      </w:r>
      <w:r w:rsidRPr="00EA59C0">
        <w:t>funds</w:t>
      </w:r>
      <w:r w:rsidR="00C026A6" w:rsidRPr="00EA59C0">
        <w:t xml:space="preserve"> </w:t>
      </w:r>
      <w:r w:rsidRPr="00EA59C0">
        <w:t>authorized</w:t>
      </w:r>
      <w:r w:rsidR="00C026A6" w:rsidRPr="00EA59C0">
        <w:t xml:space="preserve"> </w:t>
      </w:r>
      <w:r w:rsidRPr="00EA59C0">
        <w:t>for</w:t>
      </w:r>
      <w:r w:rsidR="00C026A6" w:rsidRPr="00EA59C0">
        <w:t xml:space="preserve"> </w:t>
      </w:r>
      <w:r w:rsidR="00421FB0" w:rsidRPr="00EA59C0">
        <w:t>the</w:t>
      </w:r>
      <w:r w:rsidR="00C026A6" w:rsidRPr="00EA59C0">
        <w:t xml:space="preserve"> </w:t>
      </w:r>
      <w:r w:rsidR="00421FB0" w:rsidRPr="00EA59C0">
        <w:t>Trade</w:t>
      </w:r>
      <w:r w:rsidR="00C026A6" w:rsidRPr="00EA59C0">
        <w:t xml:space="preserve"> </w:t>
      </w:r>
      <w:r w:rsidR="00421FB0" w:rsidRPr="00EA59C0">
        <w:t>Adjustment</w:t>
      </w:r>
      <w:r w:rsidR="00C026A6" w:rsidRPr="00EA59C0">
        <w:t xml:space="preserve"> </w:t>
      </w:r>
      <w:r w:rsidR="00421FB0" w:rsidRPr="00EA59C0">
        <w:t>Assistance</w:t>
      </w:r>
      <w:r w:rsidR="00C026A6" w:rsidRPr="00EA59C0">
        <w:t xml:space="preserve"> </w:t>
      </w:r>
      <w:r w:rsidR="00421FB0" w:rsidRPr="00EA59C0">
        <w:t>Community</w:t>
      </w:r>
      <w:r w:rsidR="00C026A6" w:rsidRPr="00EA59C0">
        <w:t xml:space="preserve"> </w:t>
      </w:r>
      <w:r w:rsidR="00421FB0" w:rsidRPr="00EA59C0">
        <w:t>College</w:t>
      </w:r>
      <w:r w:rsidR="00C026A6" w:rsidRPr="00EA59C0">
        <w:t xml:space="preserve"> </w:t>
      </w:r>
      <w:r w:rsidR="00421FB0" w:rsidRPr="00EA59C0">
        <w:t>and</w:t>
      </w:r>
      <w:r w:rsidR="00C026A6" w:rsidRPr="00EA59C0">
        <w:t xml:space="preserve"> </w:t>
      </w:r>
      <w:r w:rsidR="00421FB0" w:rsidRPr="00EA59C0">
        <w:t>Career</w:t>
      </w:r>
      <w:r w:rsidR="00C026A6" w:rsidRPr="00EA59C0">
        <w:t xml:space="preserve"> </w:t>
      </w:r>
      <w:r w:rsidR="00421FB0" w:rsidRPr="00EA59C0">
        <w:t>Training</w:t>
      </w:r>
      <w:r w:rsidR="00C026A6" w:rsidRPr="00EA59C0">
        <w:t xml:space="preserve"> </w:t>
      </w:r>
      <w:r w:rsidR="00B3143B" w:rsidRPr="00EA59C0">
        <w:t>(TAACCCT)</w:t>
      </w:r>
      <w:r w:rsidR="00C026A6" w:rsidRPr="00EA59C0">
        <w:t xml:space="preserve"> </w:t>
      </w:r>
      <w:r w:rsidR="00421FB0" w:rsidRPr="00EA59C0">
        <w:t>Grant</w:t>
      </w:r>
      <w:r w:rsidR="00C026A6" w:rsidRPr="00EA59C0">
        <w:t xml:space="preserve"> </w:t>
      </w:r>
      <w:r w:rsidR="00421FB0" w:rsidRPr="00EA59C0">
        <w:t>Program</w:t>
      </w:r>
      <w:r w:rsidR="00D140A0" w:rsidRPr="00EA59C0">
        <w:t>.</w:t>
      </w:r>
    </w:p>
    <w:p w:rsidR="00DE107F" w:rsidRPr="00EA59C0" w:rsidRDefault="00DE107F" w:rsidP="007A73AC">
      <w:pPr>
        <w:rPr>
          <w:b/>
        </w:rPr>
      </w:pPr>
    </w:p>
    <w:p w:rsidR="00DE107F" w:rsidRPr="00EA59C0" w:rsidRDefault="00DE107F" w:rsidP="00C672D1">
      <w:pPr>
        <w:spacing w:line="480" w:lineRule="auto"/>
        <w:rPr>
          <w:b/>
        </w:rPr>
      </w:pPr>
      <w:r w:rsidRPr="00EA59C0">
        <w:rPr>
          <w:b/>
        </w:rPr>
        <w:t>TABLE</w:t>
      </w:r>
      <w:r w:rsidR="00C026A6" w:rsidRPr="00EA59C0">
        <w:rPr>
          <w:b/>
        </w:rPr>
        <w:t xml:space="preserve"> </w:t>
      </w:r>
      <w:r w:rsidRPr="00EA59C0">
        <w:rPr>
          <w:b/>
        </w:rPr>
        <w:t>OF</w:t>
      </w:r>
      <w:r w:rsidR="00C026A6" w:rsidRPr="00EA59C0">
        <w:rPr>
          <w:b/>
        </w:rPr>
        <w:t xml:space="preserve"> </w:t>
      </w:r>
      <w:r w:rsidRPr="00EA59C0">
        <w:rPr>
          <w:b/>
        </w:rPr>
        <w:t>CONTENTS:</w:t>
      </w:r>
      <w:r w:rsidR="00C026A6" w:rsidRPr="00EA59C0">
        <w:rPr>
          <w:b/>
        </w:rPr>
        <w:t xml:space="preserve"> </w:t>
      </w:r>
      <w:r w:rsidRPr="00EA59C0">
        <w:rPr>
          <w:b/>
        </w:rPr>
        <w:t>This</w:t>
      </w:r>
      <w:r w:rsidR="00C026A6" w:rsidRPr="00EA59C0">
        <w:rPr>
          <w:b/>
        </w:rPr>
        <w:t xml:space="preserve"> </w:t>
      </w:r>
      <w:r w:rsidRPr="00EA59C0">
        <w:rPr>
          <w:b/>
        </w:rPr>
        <w:t>solicitation</w:t>
      </w:r>
      <w:r w:rsidR="00C026A6" w:rsidRPr="00EA59C0">
        <w:rPr>
          <w:b/>
        </w:rPr>
        <w:t xml:space="preserve"> </w:t>
      </w:r>
      <w:r w:rsidRPr="00EA59C0">
        <w:rPr>
          <w:b/>
        </w:rPr>
        <w:t>consists</w:t>
      </w:r>
      <w:r w:rsidR="00C026A6" w:rsidRPr="00EA59C0">
        <w:rPr>
          <w:b/>
        </w:rPr>
        <w:t xml:space="preserve"> </w:t>
      </w:r>
      <w:r w:rsidRPr="00EA59C0">
        <w:rPr>
          <w:b/>
        </w:rPr>
        <w:t>of</w:t>
      </w:r>
      <w:r w:rsidR="00C026A6" w:rsidRPr="00EA59C0">
        <w:rPr>
          <w:b/>
        </w:rPr>
        <w:t xml:space="preserve"> </w:t>
      </w:r>
      <w:r w:rsidR="000C4CBB" w:rsidRPr="00EA59C0">
        <w:rPr>
          <w:b/>
        </w:rPr>
        <w:t>nine</w:t>
      </w:r>
      <w:r w:rsidR="00C026A6" w:rsidRPr="00EA59C0">
        <w:rPr>
          <w:b/>
        </w:rPr>
        <w:t xml:space="preserve"> </w:t>
      </w:r>
      <w:r w:rsidRPr="00EA59C0">
        <w:rPr>
          <w:b/>
        </w:rPr>
        <w:t>sections:</w:t>
      </w:r>
    </w:p>
    <w:p w:rsidR="00C216D0" w:rsidRPr="00EA59C0" w:rsidRDefault="00DE107F" w:rsidP="00C672D1">
      <w:pPr>
        <w:spacing w:line="480" w:lineRule="auto"/>
        <w:rPr>
          <w:b/>
        </w:rPr>
      </w:pPr>
      <w:r w:rsidRPr="00EA59C0">
        <w:rPr>
          <w:b/>
        </w:rPr>
        <w:t>Executive</w:t>
      </w:r>
      <w:r w:rsidR="00C026A6" w:rsidRPr="00EA59C0">
        <w:rPr>
          <w:b/>
        </w:rPr>
        <w:t xml:space="preserve"> </w:t>
      </w:r>
      <w:r w:rsidRPr="00EA59C0">
        <w:rPr>
          <w:b/>
        </w:rPr>
        <w:t>Summary</w:t>
      </w:r>
    </w:p>
    <w:p w:rsidR="00DE107F" w:rsidRPr="00EA59C0" w:rsidRDefault="00DE107F" w:rsidP="00080097">
      <w:pPr>
        <w:pStyle w:val="ListParagraph"/>
        <w:numPr>
          <w:ilvl w:val="0"/>
          <w:numId w:val="33"/>
        </w:numPr>
      </w:pPr>
      <w:r w:rsidRPr="00EA59C0">
        <w:t>Funding</w:t>
      </w:r>
      <w:r w:rsidR="00C026A6" w:rsidRPr="00EA59C0">
        <w:t xml:space="preserve"> </w:t>
      </w:r>
      <w:r w:rsidRPr="00EA59C0">
        <w:t>Opportunity</w:t>
      </w:r>
    </w:p>
    <w:p w:rsidR="00DE107F" w:rsidRPr="00EA59C0" w:rsidRDefault="00DE107F" w:rsidP="00080097">
      <w:pPr>
        <w:pStyle w:val="ListParagraph"/>
        <w:numPr>
          <w:ilvl w:val="1"/>
          <w:numId w:val="33"/>
        </w:numPr>
      </w:pPr>
      <w:r w:rsidRPr="00EA59C0">
        <w:t>Program</w:t>
      </w:r>
      <w:r w:rsidR="00C026A6" w:rsidRPr="00EA59C0">
        <w:t xml:space="preserve"> </w:t>
      </w:r>
      <w:r w:rsidRPr="00EA59C0">
        <w:t>Purpose</w:t>
      </w:r>
    </w:p>
    <w:p w:rsidR="00DE107F" w:rsidRPr="00EA59C0" w:rsidRDefault="00DE107F" w:rsidP="00080097">
      <w:pPr>
        <w:pStyle w:val="ListParagraph"/>
        <w:numPr>
          <w:ilvl w:val="1"/>
          <w:numId w:val="33"/>
        </w:numPr>
      </w:pPr>
      <w:r w:rsidRPr="00EA59C0">
        <w:t>TAACCCT</w:t>
      </w:r>
      <w:r w:rsidR="00C026A6" w:rsidRPr="00EA59C0">
        <w:t xml:space="preserve"> </w:t>
      </w:r>
      <w:r w:rsidRPr="00EA59C0">
        <w:t>Core</w:t>
      </w:r>
      <w:r w:rsidR="00C026A6" w:rsidRPr="00EA59C0">
        <w:t xml:space="preserve"> </w:t>
      </w:r>
      <w:r w:rsidRPr="00EA59C0">
        <w:t>Elements</w:t>
      </w:r>
    </w:p>
    <w:p w:rsidR="00DE107F" w:rsidRPr="00EA59C0" w:rsidRDefault="00DE107F" w:rsidP="00080097">
      <w:pPr>
        <w:pStyle w:val="ListParagraph"/>
        <w:numPr>
          <w:ilvl w:val="2"/>
          <w:numId w:val="33"/>
        </w:numPr>
      </w:pPr>
      <w:r w:rsidRPr="00EA59C0">
        <w:t>Core</w:t>
      </w:r>
      <w:r w:rsidR="00C026A6" w:rsidRPr="00EA59C0">
        <w:t xml:space="preserve"> </w:t>
      </w:r>
      <w:r w:rsidRPr="00EA59C0">
        <w:t>Element</w:t>
      </w:r>
      <w:r w:rsidR="00C026A6" w:rsidRPr="00EA59C0">
        <w:t xml:space="preserve"> </w:t>
      </w:r>
      <w:r w:rsidRPr="00EA59C0">
        <w:t>1:</w:t>
      </w:r>
      <w:r w:rsidR="00C026A6" w:rsidRPr="00EA59C0">
        <w:t xml:space="preserve"> </w:t>
      </w:r>
      <w:r w:rsidRPr="00EA59C0">
        <w:t>Evidence-Based</w:t>
      </w:r>
      <w:r w:rsidR="00C026A6" w:rsidRPr="00EA59C0">
        <w:t xml:space="preserve"> </w:t>
      </w:r>
      <w:r w:rsidRPr="00EA59C0">
        <w:t>Design</w:t>
      </w:r>
    </w:p>
    <w:p w:rsidR="00DE107F" w:rsidRPr="00EA59C0" w:rsidRDefault="00DE107F" w:rsidP="00080097">
      <w:pPr>
        <w:pStyle w:val="ListParagraph"/>
        <w:numPr>
          <w:ilvl w:val="2"/>
          <w:numId w:val="33"/>
        </w:numPr>
      </w:pPr>
      <w:r w:rsidRPr="00EA59C0">
        <w:t>Core</w:t>
      </w:r>
      <w:r w:rsidR="00C026A6" w:rsidRPr="00EA59C0">
        <w:t xml:space="preserve"> </w:t>
      </w:r>
      <w:r w:rsidRPr="00EA59C0">
        <w:t>Element</w:t>
      </w:r>
      <w:r w:rsidR="00C026A6" w:rsidRPr="00EA59C0">
        <w:t xml:space="preserve"> </w:t>
      </w:r>
      <w:r w:rsidRPr="00EA59C0">
        <w:t>2:</w:t>
      </w:r>
      <w:r w:rsidR="00C026A6" w:rsidRPr="00EA59C0">
        <w:t xml:space="preserve"> </w:t>
      </w:r>
      <w:r w:rsidRPr="00EA59C0">
        <w:t>Career</w:t>
      </w:r>
      <w:r w:rsidR="00C026A6" w:rsidRPr="00EA59C0">
        <w:t xml:space="preserve"> </w:t>
      </w:r>
      <w:r w:rsidRPr="00EA59C0">
        <w:t>Pathways</w:t>
      </w:r>
    </w:p>
    <w:p w:rsidR="00DE107F" w:rsidRPr="00EA59C0" w:rsidRDefault="00DE107F" w:rsidP="00080097">
      <w:pPr>
        <w:pStyle w:val="ListParagraph"/>
        <w:numPr>
          <w:ilvl w:val="2"/>
          <w:numId w:val="33"/>
        </w:numPr>
      </w:pPr>
      <w:r w:rsidRPr="00EA59C0">
        <w:t>Core</w:t>
      </w:r>
      <w:r w:rsidR="00C026A6" w:rsidRPr="00EA59C0">
        <w:t xml:space="preserve"> </w:t>
      </w:r>
      <w:r w:rsidRPr="00EA59C0">
        <w:t>Element</w:t>
      </w:r>
      <w:r w:rsidR="00C026A6" w:rsidRPr="00EA59C0">
        <w:t xml:space="preserve"> </w:t>
      </w:r>
      <w:r w:rsidRPr="00EA59C0">
        <w:t>3:</w:t>
      </w:r>
      <w:r w:rsidR="00C026A6" w:rsidRPr="00EA59C0">
        <w:t xml:space="preserve"> </w:t>
      </w:r>
      <w:r w:rsidRPr="00EA59C0">
        <w:t>Advanced</w:t>
      </w:r>
      <w:r w:rsidR="00C026A6" w:rsidRPr="00EA59C0">
        <w:t xml:space="preserve"> </w:t>
      </w:r>
      <w:r w:rsidRPr="00EA59C0">
        <w:t>Online</w:t>
      </w:r>
      <w:r w:rsidR="00C026A6" w:rsidRPr="00EA59C0">
        <w:t xml:space="preserve"> </w:t>
      </w:r>
      <w:r w:rsidRPr="00EA59C0">
        <w:t>and</w:t>
      </w:r>
      <w:r w:rsidR="00C026A6" w:rsidRPr="00EA59C0">
        <w:t xml:space="preserve"> </w:t>
      </w:r>
      <w:r w:rsidRPr="00EA59C0">
        <w:t>Technology-Enabled</w:t>
      </w:r>
      <w:r w:rsidR="00C026A6" w:rsidRPr="00EA59C0">
        <w:t xml:space="preserve"> </w:t>
      </w:r>
      <w:r w:rsidRPr="00EA59C0">
        <w:t>Learning</w:t>
      </w:r>
    </w:p>
    <w:p w:rsidR="00DE107F" w:rsidRPr="00EA59C0" w:rsidRDefault="00DE107F" w:rsidP="00080097">
      <w:pPr>
        <w:pStyle w:val="ListParagraph"/>
        <w:numPr>
          <w:ilvl w:val="2"/>
          <w:numId w:val="33"/>
        </w:numPr>
      </w:pPr>
      <w:r w:rsidRPr="00EA59C0">
        <w:t>Core</w:t>
      </w:r>
      <w:r w:rsidR="00C026A6" w:rsidRPr="00EA59C0">
        <w:t xml:space="preserve"> </w:t>
      </w:r>
      <w:r w:rsidRPr="00EA59C0">
        <w:t>Element</w:t>
      </w:r>
      <w:r w:rsidR="00C026A6" w:rsidRPr="00EA59C0">
        <w:t xml:space="preserve"> </w:t>
      </w:r>
      <w:r w:rsidRPr="00EA59C0">
        <w:t>4:</w:t>
      </w:r>
      <w:r w:rsidR="00C026A6" w:rsidRPr="00EA59C0">
        <w:t xml:space="preserve"> </w:t>
      </w:r>
      <w:r w:rsidRPr="00EA59C0">
        <w:t>Strategic</w:t>
      </w:r>
      <w:r w:rsidR="00C026A6" w:rsidRPr="00EA59C0">
        <w:t xml:space="preserve"> </w:t>
      </w:r>
      <w:r w:rsidRPr="00EA59C0">
        <w:t>Alignment</w:t>
      </w:r>
      <w:r w:rsidR="00C026A6" w:rsidRPr="00EA59C0">
        <w:t xml:space="preserve"> </w:t>
      </w:r>
      <w:r w:rsidRPr="00EA59C0">
        <w:t>with</w:t>
      </w:r>
      <w:r w:rsidR="00C026A6" w:rsidRPr="00EA59C0">
        <w:t xml:space="preserve"> </w:t>
      </w:r>
      <w:r w:rsidRPr="00EA59C0">
        <w:t>the</w:t>
      </w:r>
      <w:r w:rsidR="00C026A6" w:rsidRPr="00EA59C0">
        <w:t xml:space="preserve"> </w:t>
      </w:r>
      <w:r w:rsidRPr="00EA59C0">
        <w:t>Workforce</w:t>
      </w:r>
      <w:r w:rsidR="00C026A6" w:rsidRPr="00EA59C0">
        <w:t xml:space="preserve"> </w:t>
      </w:r>
      <w:r w:rsidRPr="00EA59C0">
        <w:t>System</w:t>
      </w:r>
      <w:r w:rsidR="00C026A6" w:rsidRPr="00EA59C0">
        <w:t xml:space="preserve"> </w:t>
      </w:r>
      <w:r w:rsidRPr="00EA59C0">
        <w:t>and</w:t>
      </w:r>
      <w:r w:rsidR="00C026A6" w:rsidRPr="00EA59C0">
        <w:t xml:space="preserve"> </w:t>
      </w:r>
      <w:r w:rsidRPr="00EA59C0">
        <w:t>Other</w:t>
      </w:r>
      <w:r w:rsidR="00C026A6" w:rsidRPr="00EA59C0">
        <w:t xml:space="preserve"> </w:t>
      </w:r>
      <w:r w:rsidRPr="00EA59C0">
        <w:t>Stakeholders</w:t>
      </w:r>
    </w:p>
    <w:p w:rsidR="00DE107F" w:rsidRPr="00EA59C0" w:rsidRDefault="00DE107F" w:rsidP="00080097">
      <w:pPr>
        <w:pStyle w:val="ListParagraph"/>
        <w:numPr>
          <w:ilvl w:val="2"/>
          <w:numId w:val="33"/>
        </w:numPr>
      </w:pPr>
      <w:r w:rsidRPr="00EA59C0">
        <w:t>Core</w:t>
      </w:r>
      <w:r w:rsidR="00C026A6" w:rsidRPr="00EA59C0">
        <w:t xml:space="preserve"> </w:t>
      </w:r>
      <w:r w:rsidRPr="00EA59C0">
        <w:t>Element</w:t>
      </w:r>
      <w:r w:rsidR="00C026A6" w:rsidRPr="00EA59C0">
        <w:t xml:space="preserve"> </w:t>
      </w:r>
      <w:r w:rsidRPr="00EA59C0">
        <w:t>5:</w:t>
      </w:r>
      <w:r w:rsidR="00C026A6" w:rsidRPr="00EA59C0">
        <w:t xml:space="preserve"> </w:t>
      </w:r>
      <w:r w:rsidRPr="00EA59C0">
        <w:t>Alignment</w:t>
      </w:r>
      <w:r w:rsidR="00C026A6" w:rsidRPr="00EA59C0">
        <w:t xml:space="preserve"> </w:t>
      </w:r>
      <w:r w:rsidRPr="00EA59C0">
        <w:t>with</w:t>
      </w:r>
      <w:r w:rsidR="00C026A6" w:rsidRPr="00EA59C0">
        <w:t xml:space="preserve"> </w:t>
      </w:r>
      <w:r w:rsidRPr="00EA59C0">
        <w:t>Previously-Funded</w:t>
      </w:r>
      <w:r w:rsidR="00C026A6" w:rsidRPr="00EA59C0">
        <w:t xml:space="preserve"> </w:t>
      </w:r>
      <w:r w:rsidRPr="00EA59C0">
        <w:t>TAACCCT</w:t>
      </w:r>
      <w:r w:rsidR="00C026A6" w:rsidRPr="00EA59C0">
        <w:t xml:space="preserve"> </w:t>
      </w:r>
      <w:r w:rsidRPr="00EA59C0">
        <w:t>Projects</w:t>
      </w:r>
    </w:p>
    <w:p w:rsidR="00DE107F" w:rsidRPr="00EA59C0" w:rsidRDefault="00DE107F" w:rsidP="00080097">
      <w:pPr>
        <w:pStyle w:val="ListParagraph"/>
        <w:numPr>
          <w:ilvl w:val="2"/>
          <w:numId w:val="33"/>
        </w:numPr>
      </w:pPr>
      <w:r w:rsidRPr="00EA59C0">
        <w:t>Core</w:t>
      </w:r>
      <w:r w:rsidR="00C026A6" w:rsidRPr="00EA59C0">
        <w:t xml:space="preserve"> </w:t>
      </w:r>
      <w:r w:rsidRPr="00EA59C0">
        <w:t>Element</w:t>
      </w:r>
      <w:r w:rsidR="00C026A6" w:rsidRPr="00EA59C0">
        <w:t xml:space="preserve"> </w:t>
      </w:r>
      <w:r w:rsidRPr="00EA59C0">
        <w:t>6:</w:t>
      </w:r>
      <w:r w:rsidR="00C026A6" w:rsidRPr="00EA59C0">
        <w:t xml:space="preserve"> </w:t>
      </w:r>
      <w:r w:rsidRPr="00EA59C0">
        <w:t>Sector</w:t>
      </w:r>
      <w:r w:rsidR="00C026A6" w:rsidRPr="00EA59C0">
        <w:t xml:space="preserve"> </w:t>
      </w:r>
      <w:r w:rsidRPr="00EA59C0">
        <w:t>Strategies</w:t>
      </w:r>
      <w:r w:rsidR="00C026A6" w:rsidRPr="00EA59C0">
        <w:t xml:space="preserve"> </w:t>
      </w:r>
      <w:r w:rsidRPr="00EA59C0">
        <w:t>and</w:t>
      </w:r>
      <w:r w:rsidR="00C026A6" w:rsidRPr="00EA59C0">
        <w:t xml:space="preserve"> </w:t>
      </w:r>
      <w:r w:rsidRPr="00EA59C0">
        <w:t>Employer</w:t>
      </w:r>
      <w:r w:rsidR="00C026A6" w:rsidRPr="00EA59C0">
        <w:t xml:space="preserve"> </w:t>
      </w:r>
      <w:r w:rsidRPr="00EA59C0">
        <w:t>Engagement</w:t>
      </w:r>
    </w:p>
    <w:p w:rsidR="00DE107F" w:rsidRPr="00EA59C0" w:rsidRDefault="00DE107F" w:rsidP="00080097">
      <w:pPr>
        <w:pStyle w:val="ListParagraph"/>
        <w:numPr>
          <w:ilvl w:val="1"/>
          <w:numId w:val="33"/>
        </w:numPr>
      </w:pPr>
      <w:r w:rsidRPr="00EA59C0">
        <w:t>Program</w:t>
      </w:r>
      <w:r w:rsidR="00C026A6" w:rsidRPr="00EA59C0">
        <w:t xml:space="preserve"> </w:t>
      </w:r>
      <w:r w:rsidRPr="00EA59C0">
        <w:t>Strategies</w:t>
      </w:r>
    </w:p>
    <w:p w:rsidR="00DE107F" w:rsidRPr="00EA59C0" w:rsidRDefault="00DE107F" w:rsidP="00080097">
      <w:pPr>
        <w:pStyle w:val="ListParagraph"/>
        <w:numPr>
          <w:ilvl w:val="2"/>
          <w:numId w:val="33"/>
        </w:numPr>
      </w:pPr>
      <w:r w:rsidRPr="00EA59C0">
        <w:t>Single</w:t>
      </w:r>
      <w:r w:rsidR="00C026A6" w:rsidRPr="00EA59C0">
        <w:t xml:space="preserve"> </w:t>
      </w:r>
      <w:r w:rsidRPr="00EA59C0">
        <w:t>Institution</w:t>
      </w:r>
      <w:r w:rsidR="00C026A6" w:rsidRPr="00EA59C0">
        <w:t xml:space="preserve"> </w:t>
      </w:r>
      <w:r w:rsidRPr="00EA59C0">
        <w:t>Applicants</w:t>
      </w:r>
    </w:p>
    <w:p w:rsidR="00DE107F" w:rsidRPr="00EA59C0" w:rsidRDefault="00DE107F" w:rsidP="00080097">
      <w:pPr>
        <w:pStyle w:val="ListParagraph"/>
        <w:numPr>
          <w:ilvl w:val="2"/>
          <w:numId w:val="33"/>
        </w:numPr>
      </w:pPr>
      <w:r w:rsidRPr="00EA59C0">
        <w:t>Consortium</w:t>
      </w:r>
      <w:r w:rsidR="00C026A6" w:rsidRPr="00EA59C0">
        <w:t xml:space="preserve"> </w:t>
      </w:r>
      <w:r w:rsidRPr="00EA59C0">
        <w:t>Applicants</w:t>
      </w:r>
    </w:p>
    <w:p w:rsidR="00DE107F" w:rsidRPr="00EA59C0" w:rsidRDefault="00DE107F" w:rsidP="00080097">
      <w:pPr>
        <w:pStyle w:val="ListParagraph"/>
        <w:numPr>
          <w:ilvl w:val="1"/>
          <w:numId w:val="33"/>
        </w:numPr>
      </w:pPr>
      <w:r w:rsidRPr="00EA59C0">
        <w:t>Program</w:t>
      </w:r>
      <w:r w:rsidR="00C026A6" w:rsidRPr="00EA59C0">
        <w:t xml:space="preserve"> </w:t>
      </w:r>
      <w:r w:rsidRPr="00EA59C0">
        <w:t>Authority</w:t>
      </w:r>
      <w:r w:rsidR="00C026A6" w:rsidRPr="00EA59C0">
        <w:t xml:space="preserve"> </w:t>
      </w:r>
    </w:p>
    <w:p w:rsidR="00DE107F" w:rsidRPr="00EA59C0" w:rsidRDefault="00DE107F" w:rsidP="007A73AC">
      <w:pPr>
        <w:pStyle w:val="ListParagraph"/>
      </w:pPr>
    </w:p>
    <w:p w:rsidR="00DE107F" w:rsidRPr="00EA59C0" w:rsidRDefault="00DE107F" w:rsidP="00080097">
      <w:pPr>
        <w:pStyle w:val="ListParagraph"/>
        <w:numPr>
          <w:ilvl w:val="0"/>
          <w:numId w:val="33"/>
        </w:numPr>
      </w:pPr>
      <w:r w:rsidRPr="00EA59C0">
        <w:t>Award</w:t>
      </w:r>
      <w:r w:rsidR="00C026A6" w:rsidRPr="00EA59C0">
        <w:t xml:space="preserve"> </w:t>
      </w:r>
      <w:r w:rsidRPr="00EA59C0">
        <w:t>Information</w:t>
      </w:r>
    </w:p>
    <w:p w:rsidR="00DE107F" w:rsidRPr="00EA59C0" w:rsidRDefault="00DE107F" w:rsidP="00080097">
      <w:pPr>
        <w:pStyle w:val="ListParagraph"/>
        <w:numPr>
          <w:ilvl w:val="1"/>
          <w:numId w:val="33"/>
        </w:numPr>
      </w:pPr>
      <w:r w:rsidRPr="00EA59C0">
        <w:t>Award</w:t>
      </w:r>
      <w:r w:rsidR="00C026A6" w:rsidRPr="00EA59C0">
        <w:t xml:space="preserve"> </w:t>
      </w:r>
      <w:r w:rsidRPr="00EA59C0">
        <w:t>Type</w:t>
      </w:r>
      <w:r w:rsidR="00C026A6" w:rsidRPr="00EA59C0">
        <w:t xml:space="preserve"> </w:t>
      </w:r>
      <w:r w:rsidRPr="00EA59C0">
        <w:t>and</w:t>
      </w:r>
      <w:r w:rsidR="00C026A6" w:rsidRPr="00EA59C0">
        <w:t xml:space="preserve"> </w:t>
      </w:r>
      <w:r w:rsidRPr="00EA59C0">
        <w:t>Amount</w:t>
      </w:r>
    </w:p>
    <w:p w:rsidR="007A0B52" w:rsidRPr="00EA59C0" w:rsidRDefault="007A0B52" w:rsidP="00080097">
      <w:pPr>
        <w:pStyle w:val="ListParagraph"/>
        <w:numPr>
          <w:ilvl w:val="2"/>
          <w:numId w:val="33"/>
        </w:numPr>
      </w:pPr>
      <w:r w:rsidRPr="00EA59C0">
        <w:t>Award for Institutions in Each State</w:t>
      </w:r>
    </w:p>
    <w:p w:rsidR="00DE107F" w:rsidRPr="00EA59C0" w:rsidRDefault="00DE107F" w:rsidP="00080097">
      <w:pPr>
        <w:pStyle w:val="ListParagraph"/>
        <w:numPr>
          <w:ilvl w:val="2"/>
          <w:numId w:val="33"/>
        </w:numPr>
      </w:pPr>
      <w:r w:rsidRPr="00EA59C0">
        <w:t>Award</w:t>
      </w:r>
      <w:r w:rsidR="00C026A6" w:rsidRPr="00EA59C0">
        <w:t xml:space="preserve"> </w:t>
      </w:r>
      <w:r w:rsidRPr="00EA59C0">
        <w:t>Amount</w:t>
      </w:r>
      <w:r w:rsidR="00C026A6" w:rsidRPr="00EA59C0">
        <w:t xml:space="preserve"> </w:t>
      </w:r>
      <w:r w:rsidRPr="00EA59C0">
        <w:t>for</w:t>
      </w:r>
      <w:r w:rsidR="00C026A6" w:rsidRPr="00EA59C0">
        <w:t xml:space="preserve"> </w:t>
      </w:r>
      <w:r w:rsidRPr="00EA59C0">
        <w:t>Single</w:t>
      </w:r>
      <w:r w:rsidR="00C026A6" w:rsidRPr="00EA59C0">
        <w:t xml:space="preserve"> </w:t>
      </w:r>
      <w:r w:rsidRPr="00EA59C0">
        <w:t>Institution</w:t>
      </w:r>
      <w:r w:rsidR="00C026A6" w:rsidRPr="00EA59C0">
        <w:t xml:space="preserve"> </w:t>
      </w:r>
      <w:r w:rsidRPr="00EA59C0">
        <w:t>Applicants</w:t>
      </w:r>
    </w:p>
    <w:p w:rsidR="003D6FBF" w:rsidRPr="00EA59C0" w:rsidRDefault="003D6FBF" w:rsidP="00080097">
      <w:pPr>
        <w:pStyle w:val="ListParagraph"/>
        <w:numPr>
          <w:ilvl w:val="2"/>
          <w:numId w:val="33"/>
        </w:numPr>
      </w:pPr>
      <w:r w:rsidRPr="00EA59C0">
        <w:t>Award Amount for Single Institution Applicants Seeking to Exceed the Funding Cap</w:t>
      </w:r>
    </w:p>
    <w:p w:rsidR="00DE107F" w:rsidRPr="00EA59C0" w:rsidRDefault="00DE107F" w:rsidP="00080097">
      <w:pPr>
        <w:pStyle w:val="ListParagraph"/>
        <w:numPr>
          <w:ilvl w:val="2"/>
          <w:numId w:val="33"/>
        </w:numPr>
      </w:pPr>
      <w:r w:rsidRPr="00EA59C0">
        <w:t>Award</w:t>
      </w:r>
      <w:r w:rsidR="00C026A6" w:rsidRPr="00EA59C0">
        <w:t xml:space="preserve"> </w:t>
      </w:r>
      <w:r w:rsidRPr="00EA59C0">
        <w:t>Amount</w:t>
      </w:r>
      <w:r w:rsidR="00C026A6" w:rsidRPr="00EA59C0">
        <w:t xml:space="preserve"> </w:t>
      </w:r>
      <w:r w:rsidRPr="00EA59C0">
        <w:t>for</w:t>
      </w:r>
      <w:r w:rsidR="00C026A6" w:rsidRPr="00EA59C0">
        <w:t xml:space="preserve"> </w:t>
      </w:r>
      <w:r w:rsidRPr="00EA59C0">
        <w:t>Consortium</w:t>
      </w:r>
      <w:r w:rsidR="00C026A6" w:rsidRPr="00EA59C0">
        <w:t xml:space="preserve"> </w:t>
      </w:r>
      <w:r w:rsidRPr="00EA59C0">
        <w:t>Applicants</w:t>
      </w:r>
    </w:p>
    <w:p w:rsidR="00DE107F" w:rsidRPr="00EA59C0" w:rsidRDefault="00DE107F" w:rsidP="00080097">
      <w:pPr>
        <w:pStyle w:val="ListParagraph"/>
        <w:numPr>
          <w:ilvl w:val="2"/>
          <w:numId w:val="33"/>
        </w:numPr>
      </w:pPr>
      <w:r w:rsidRPr="00EA59C0">
        <w:t>Award</w:t>
      </w:r>
      <w:r w:rsidR="00C026A6" w:rsidRPr="00EA59C0">
        <w:t xml:space="preserve"> </w:t>
      </w:r>
      <w:r w:rsidRPr="00EA59C0">
        <w:t>Amount</w:t>
      </w:r>
      <w:r w:rsidR="00C026A6" w:rsidRPr="00EA59C0">
        <w:t xml:space="preserve"> </w:t>
      </w:r>
      <w:r w:rsidRPr="00EA59C0">
        <w:t>for</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Seeking</w:t>
      </w:r>
      <w:r w:rsidR="00C026A6" w:rsidRPr="00EA59C0">
        <w:t xml:space="preserve"> </w:t>
      </w:r>
      <w:r w:rsidRPr="00EA59C0">
        <w:t>to</w:t>
      </w:r>
      <w:r w:rsidR="00C026A6" w:rsidRPr="00EA59C0">
        <w:t xml:space="preserve"> </w:t>
      </w:r>
      <w:r w:rsidRPr="00EA59C0">
        <w:t>Exceed</w:t>
      </w:r>
      <w:r w:rsidR="00C026A6" w:rsidRPr="00EA59C0">
        <w:t xml:space="preserve"> </w:t>
      </w:r>
      <w:r w:rsidRPr="00EA59C0">
        <w:t>the</w:t>
      </w:r>
      <w:r w:rsidR="00C026A6" w:rsidRPr="00EA59C0">
        <w:t xml:space="preserve"> </w:t>
      </w:r>
      <w:r w:rsidRPr="00EA59C0">
        <w:t>Funding</w:t>
      </w:r>
      <w:r w:rsidR="00C026A6" w:rsidRPr="00EA59C0">
        <w:t xml:space="preserve"> </w:t>
      </w:r>
      <w:r w:rsidRPr="00EA59C0">
        <w:t>Cap</w:t>
      </w:r>
    </w:p>
    <w:p w:rsidR="003D6FBF" w:rsidRPr="00EA59C0" w:rsidRDefault="003D6FBF" w:rsidP="00080097">
      <w:pPr>
        <w:pStyle w:val="ListParagraph"/>
        <w:numPr>
          <w:ilvl w:val="2"/>
          <w:numId w:val="33"/>
        </w:numPr>
      </w:pPr>
      <w:r w:rsidRPr="00EA59C0">
        <w:rPr>
          <w:bCs/>
        </w:rPr>
        <w:t>Overview of Options for Exceeding the Funding Cap</w:t>
      </w:r>
    </w:p>
    <w:p w:rsidR="00DE107F" w:rsidRPr="00EA59C0" w:rsidRDefault="00DE107F" w:rsidP="00080097">
      <w:pPr>
        <w:pStyle w:val="ListParagraph"/>
        <w:numPr>
          <w:ilvl w:val="1"/>
          <w:numId w:val="33"/>
        </w:numPr>
      </w:pPr>
      <w:r w:rsidRPr="00EA59C0">
        <w:t>Period</w:t>
      </w:r>
      <w:r w:rsidR="00C026A6" w:rsidRPr="00EA59C0">
        <w:t xml:space="preserve"> </w:t>
      </w:r>
      <w:r w:rsidRPr="00EA59C0">
        <w:t>of</w:t>
      </w:r>
      <w:r w:rsidR="00C026A6" w:rsidRPr="00EA59C0">
        <w:t xml:space="preserve"> </w:t>
      </w:r>
      <w:r w:rsidRPr="00EA59C0">
        <w:t>Performance</w:t>
      </w:r>
      <w:r w:rsidR="00C026A6" w:rsidRPr="00EA59C0">
        <w:t xml:space="preserve"> </w:t>
      </w:r>
    </w:p>
    <w:p w:rsidR="00DE107F" w:rsidRPr="00EA59C0" w:rsidRDefault="00DE107F" w:rsidP="007A73AC"/>
    <w:p w:rsidR="00DE107F" w:rsidRPr="00EA59C0" w:rsidRDefault="00DE107F" w:rsidP="00080097">
      <w:pPr>
        <w:pStyle w:val="ListParagraph"/>
        <w:numPr>
          <w:ilvl w:val="0"/>
          <w:numId w:val="33"/>
        </w:numPr>
      </w:pPr>
      <w:r w:rsidRPr="00EA59C0">
        <w:t>Eligibility</w:t>
      </w:r>
      <w:r w:rsidR="00C026A6" w:rsidRPr="00EA59C0">
        <w:t xml:space="preserve"> </w:t>
      </w:r>
      <w:r w:rsidRPr="00EA59C0">
        <w:t>Information</w:t>
      </w:r>
    </w:p>
    <w:p w:rsidR="00DE107F" w:rsidRPr="00EA59C0" w:rsidRDefault="00DE107F" w:rsidP="00080097">
      <w:pPr>
        <w:pStyle w:val="ListParagraph"/>
        <w:numPr>
          <w:ilvl w:val="1"/>
          <w:numId w:val="33"/>
        </w:numPr>
      </w:pPr>
      <w:r w:rsidRPr="00EA59C0">
        <w:t>Eligible</w:t>
      </w:r>
      <w:r w:rsidR="00C026A6" w:rsidRPr="00EA59C0">
        <w:t xml:space="preserve"> </w:t>
      </w:r>
      <w:r w:rsidRPr="00EA59C0">
        <w:t>Applicants</w:t>
      </w:r>
    </w:p>
    <w:p w:rsidR="00DE107F" w:rsidRPr="00EA59C0" w:rsidRDefault="00DE107F" w:rsidP="00080097">
      <w:pPr>
        <w:pStyle w:val="ListParagraph"/>
        <w:numPr>
          <w:ilvl w:val="2"/>
          <w:numId w:val="33"/>
        </w:numPr>
      </w:pPr>
      <w:r w:rsidRPr="00EA59C0">
        <w:t>Single</w:t>
      </w:r>
      <w:r w:rsidR="00C026A6" w:rsidRPr="00EA59C0">
        <w:t xml:space="preserve"> </w:t>
      </w:r>
      <w:r w:rsidRPr="00EA59C0">
        <w:t>Institution</w:t>
      </w:r>
      <w:r w:rsidR="00C026A6" w:rsidRPr="00EA59C0">
        <w:t xml:space="preserve"> </w:t>
      </w:r>
      <w:r w:rsidRPr="00EA59C0">
        <w:t>Applicants</w:t>
      </w:r>
    </w:p>
    <w:p w:rsidR="00DE107F" w:rsidRPr="00EA59C0" w:rsidRDefault="00DE107F" w:rsidP="00080097">
      <w:pPr>
        <w:pStyle w:val="ListParagraph"/>
        <w:numPr>
          <w:ilvl w:val="2"/>
          <w:numId w:val="33"/>
        </w:numPr>
      </w:pPr>
      <w:r w:rsidRPr="00EA59C0">
        <w:t>Consortium</w:t>
      </w:r>
      <w:r w:rsidR="00C026A6" w:rsidRPr="00EA59C0">
        <w:t xml:space="preserve"> </w:t>
      </w:r>
      <w:r w:rsidRPr="00EA59C0">
        <w:t>Applicants</w:t>
      </w:r>
      <w:r w:rsidR="00C026A6" w:rsidRPr="00EA59C0">
        <w:t xml:space="preserve"> </w:t>
      </w:r>
    </w:p>
    <w:p w:rsidR="00DE107F" w:rsidRPr="00EA59C0" w:rsidRDefault="00DE107F" w:rsidP="00080097">
      <w:pPr>
        <w:pStyle w:val="ListParagraph"/>
        <w:numPr>
          <w:ilvl w:val="1"/>
          <w:numId w:val="33"/>
        </w:numPr>
      </w:pPr>
      <w:r w:rsidRPr="00EA59C0">
        <w:t>Allowable</w:t>
      </w:r>
      <w:r w:rsidR="00C026A6" w:rsidRPr="00EA59C0">
        <w:t xml:space="preserve"> </w:t>
      </w:r>
      <w:r w:rsidRPr="00EA59C0">
        <w:t>Activities</w:t>
      </w:r>
      <w:r w:rsidR="00C026A6" w:rsidRPr="00EA59C0">
        <w:t xml:space="preserve"> </w:t>
      </w:r>
      <w:r w:rsidRPr="00EA59C0">
        <w:t>for</w:t>
      </w:r>
      <w:r w:rsidR="00C026A6" w:rsidRPr="00EA59C0">
        <w:t xml:space="preserve"> </w:t>
      </w:r>
      <w:r w:rsidRPr="00EA59C0">
        <w:t>all</w:t>
      </w:r>
      <w:r w:rsidR="00C026A6" w:rsidRPr="00EA59C0">
        <w:t xml:space="preserve"> </w:t>
      </w:r>
      <w:r w:rsidRPr="00EA59C0">
        <w:t>Applicants</w:t>
      </w:r>
    </w:p>
    <w:p w:rsidR="00DE107F" w:rsidRPr="00EA59C0" w:rsidRDefault="00DE107F" w:rsidP="00080097">
      <w:pPr>
        <w:pStyle w:val="ListParagraph"/>
        <w:numPr>
          <w:ilvl w:val="1"/>
          <w:numId w:val="33"/>
        </w:numPr>
      </w:pPr>
      <w:r w:rsidRPr="00EA59C0">
        <w:t>Cost</w:t>
      </w:r>
      <w:r w:rsidR="00C026A6" w:rsidRPr="00EA59C0">
        <w:t xml:space="preserve"> </w:t>
      </w:r>
      <w:r w:rsidRPr="00EA59C0">
        <w:t>Sharing</w:t>
      </w:r>
      <w:r w:rsidR="00C026A6" w:rsidRPr="00EA59C0">
        <w:t xml:space="preserve"> </w:t>
      </w:r>
      <w:r w:rsidRPr="00EA59C0">
        <w:t>or</w:t>
      </w:r>
      <w:r w:rsidR="00C026A6" w:rsidRPr="00EA59C0">
        <w:t xml:space="preserve"> </w:t>
      </w:r>
      <w:r w:rsidRPr="00EA59C0">
        <w:t>Matching</w:t>
      </w:r>
    </w:p>
    <w:p w:rsidR="00DE107F" w:rsidRPr="00EA59C0" w:rsidRDefault="00DE107F" w:rsidP="00080097">
      <w:pPr>
        <w:pStyle w:val="ListParagraph"/>
        <w:numPr>
          <w:ilvl w:val="1"/>
          <w:numId w:val="33"/>
        </w:numPr>
      </w:pPr>
      <w:r w:rsidRPr="00EA59C0">
        <w:t>Other</w:t>
      </w:r>
      <w:r w:rsidR="00C026A6" w:rsidRPr="00EA59C0">
        <w:t xml:space="preserve"> </w:t>
      </w:r>
      <w:r w:rsidRPr="00EA59C0">
        <w:t>Information</w:t>
      </w:r>
    </w:p>
    <w:p w:rsidR="00DE107F" w:rsidRPr="00EA59C0" w:rsidRDefault="00DE107F" w:rsidP="007A73AC">
      <w:pPr>
        <w:pStyle w:val="ListParagraph"/>
      </w:pPr>
    </w:p>
    <w:p w:rsidR="00DE107F" w:rsidRPr="00EA59C0" w:rsidRDefault="00DE107F" w:rsidP="00080097">
      <w:pPr>
        <w:pStyle w:val="ListParagraph"/>
        <w:numPr>
          <w:ilvl w:val="0"/>
          <w:numId w:val="33"/>
        </w:numPr>
      </w:pPr>
      <w:r w:rsidRPr="00EA59C0">
        <w:t>Application</w:t>
      </w:r>
      <w:r w:rsidR="00C026A6" w:rsidRPr="00EA59C0">
        <w:t xml:space="preserve"> </w:t>
      </w:r>
      <w:r w:rsidRPr="00EA59C0">
        <w:t>and</w:t>
      </w:r>
      <w:r w:rsidR="00C026A6" w:rsidRPr="00EA59C0">
        <w:t xml:space="preserve"> </w:t>
      </w:r>
      <w:r w:rsidRPr="00EA59C0">
        <w:t>Submission</w:t>
      </w:r>
      <w:r w:rsidR="00C026A6" w:rsidRPr="00EA59C0">
        <w:t xml:space="preserve"> </w:t>
      </w:r>
      <w:r w:rsidRPr="00EA59C0">
        <w:t>Information</w:t>
      </w:r>
    </w:p>
    <w:p w:rsidR="00DE107F" w:rsidRPr="00EA59C0" w:rsidRDefault="00DE107F" w:rsidP="00080097">
      <w:pPr>
        <w:pStyle w:val="ListParagraph"/>
        <w:numPr>
          <w:ilvl w:val="1"/>
          <w:numId w:val="33"/>
        </w:numPr>
      </w:pPr>
      <w:r w:rsidRPr="00EA59C0">
        <w:t>How</w:t>
      </w:r>
      <w:r w:rsidR="00C026A6" w:rsidRPr="00EA59C0">
        <w:t xml:space="preserve"> </w:t>
      </w:r>
      <w:r w:rsidRPr="00EA59C0">
        <w:t>to</w:t>
      </w:r>
      <w:r w:rsidR="00C026A6" w:rsidRPr="00EA59C0">
        <w:t xml:space="preserve"> </w:t>
      </w:r>
      <w:r w:rsidRPr="00EA59C0">
        <w:t>Obtain</w:t>
      </w:r>
      <w:r w:rsidR="00C026A6" w:rsidRPr="00EA59C0">
        <w:t xml:space="preserve"> </w:t>
      </w:r>
      <w:r w:rsidRPr="00EA59C0">
        <w:t>an</w:t>
      </w:r>
      <w:r w:rsidR="00C026A6" w:rsidRPr="00EA59C0">
        <w:t xml:space="preserve"> </w:t>
      </w:r>
      <w:r w:rsidRPr="00EA59C0">
        <w:t>Application</w:t>
      </w:r>
      <w:r w:rsidR="00C026A6" w:rsidRPr="00EA59C0">
        <w:t xml:space="preserve"> </w:t>
      </w:r>
      <w:r w:rsidRPr="00EA59C0">
        <w:t>Package</w:t>
      </w:r>
    </w:p>
    <w:p w:rsidR="00DE107F" w:rsidRPr="00EA59C0" w:rsidRDefault="00DE107F" w:rsidP="00080097">
      <w:pPr>
        <w:pStyle w:val="ListParagraph"/>
        <w:numPr>
          <w:ilvl w:val="1"/>
          <w:numId w:val="33"/>
        </w:numPr>
      </w:pPr>
      <w:r w:rsidRPr="00EA59C0">
        <w:t>Content</w:t>
      </w:r>
      <w:r w:rsidR="00C026A6" w:rsidRPr="00EA59C0">
        <w:t xml:space="preserve"> </w:t>
      </w:r>
      <w:r w:rsidRPr="00EA59C0">
        <w:t>and</w:t>
      </w:r>
      <w:r w:rsidR="00C026A6" w:rsidRPr="00EA59C0">
        <w:t xml:space="preserve"> </w:t>
      </w:r>
      <w:r w:rsidRPr="00EA59C0">
        <w:t>Form</w:t>
      </w:r>
      <w:r w:rsidR="00C026A6" w:rsidRPr="00EA59C0">
        <w:t xml:space="preserve"> </w:t>
      </w:r>
      <w:r w:rsidRPr="00EA59C0">
        <w:t>of</w:t>
      </w:r>
      <w:r w:rsidR="00C026A6" w:rsidRPr="00EA59C0">
        <w:t xml:space="preserve"> </w:t>
      </w:r>
      <w:r w:rsidRPr="00EA59C0">
        <w:t>Application</w:t>
      </w:r>
      <w:r w:rsidR="00C026A6" w:rsidRPr="00EA59C0">
        <w:t xml:space="preserve"> </w:t>
      </w:r>
      <w:r w:rsidRPr="00EA59C0">
        <w:t>Submission</w:t>
      </w:r>
      <w:r w:rsidR="00C026A6" w:rsidRPr="00EA59C0">
        <w:t xml:space="preserve"> </w:t>
      </w:r>
    </w:p>
    <w:p w:rsidR="00DE107F" w:rsidRPr="00EA59C0" w:rsidRDefault="00DE107F" w:rsidP="00080097">
      <w:pPr>
        <w:pStyle w:val="ListParagraph"/>
        <w:numPr>
          <w:ilvl w:val="2"/>
          <w:numId w:val="33"/>
        </w:numPr>
      </w:pPr>
      <w:r w:rsidRPr="00EA59C0">
        <w:t>SF</w:t>
      </w:r>
      <w:r w:rsidR="00C026A6" w:rsidRPr="00EA59C0">
        <w:t xml:space="preserve"> </w:t>
      </w:r>
      <w:r w:rsidRPr="00EA59C0">
        <w:t>424,</w:t>
      </w:r>
      <w:r w:rsidR="00C026A6" w:rsidRPr="00EA59C0">
        <w:t xml:space="preserve"> </w:t>
      </w:r>
      <w:r w:rsidRPr="00EA59C0">
        <w:t>Application</w:t>
      </w:r>
      <w:r w:rsidR="00C026A6" w:rsidRPr="00EA59C0">
        <w:t xml:space="preserve"> </w:t>
      </w:r>
      <w:r w:rsidRPr="00EA59C0">
        <w:t>for</w:t>
      </w:r>
      <w:r w:rsidR="00C026A6" w:rsidRPr="00EA59C0">
        <w:t xml:space="preserve"> </w:t>
      </w:r>
      <w:r w:rsidRPr="00EA59C0">
        <w:t>Federal</w:t>
      </w:r>
      <w:r w:rsidR="00C026A6" w:rsidRPr="00EA59C0">
        <w:t xml:space="preserve"> </w:t>
      </w:r>
      <w:r w:rsidRPr="00EA59C0">
        <w:t>Assistance</w:t>
      </w:r>
    </w:p>
    <w:p w:rsidR="00DE107F" w:rsidRPr="00EA59C0" w:rsidRDefault="00DE107F" w:rsidP="00080097">
      <w:pPr>
        <w:pStyle w:val="ListParagraph"/>
        <w:numPr>
          <w:ilvl w:val="2"/>
          <w:numId w:val="33"/>
        </w:numPr>
      </w:pPr>
      <w:r w:rsidRPr="00EA59C0">
        <w:t>Project</w:t>
      </w:r>
      <w:r w:rsidR="00C026A6" w:rsidRPr="00EA59C0">
        <w:t xml:space="preserve"> </w:t>
      </w:r>
      <w:r w:rsidRPr="00EA59C0">
        <w:t>Budget</w:t>
      </w:r>
      <w:r w:rsidR="00C026A6" w:rsidRPr="00EA59C0">
        <w:t xml:space="preserve"> </w:t>
      </w:r>
    </w:p>
    <w:p w:rsidR="00DE107F" w:rsidRPr="00EA59C0" w:rsidRDefault="00DE107F" w:rsidP="00080097">
      <w:pPr>
        <w:pStyle w:val="ListParagraph"/>
        <w:numPr>
          <w:ilvl w:val="2"/>
          <w:numId w:val="33"/>
        </w:numPr>
      </w:pPr>
      <w:r w:rsidRPr="00EA59C0">
        <w:t>Project</w:t>
      </w:r>
      <w:r w:rsidR="00C026A6" w:rsidRPr="00EA59C0">
        <w:t xml:space="preserve"> </w:t>
      </w:r>
      <w:r w:rsidRPr="00EA59C0">
        <w:t>Narrative</w:t>
      </w:r>
    </w:p>
    <w:p w:rsidR="00DE107F" w:rsidRPr="00EA59C0" w:rsidRDefault="00DE107F" w:rsidP="00080097">
      <w:pPr>
        <w:pStyle w:val="ListParagraph"/>
        <w:numPr>
          <w:ilvl w:val="3"/>
          <w:numId w:val="33"/>
        </w:numPr>
      </w:pPr>
      <w:r w:rsidRPr="00EA59C0">
        <w:t>Preparing</w:t>
      </w:r>
      <w:r w:rsidR="00C026A6" w:rsidRPr="00EA59C0">
        <w:t xml:space="preserve"> </w:t>
      </w:r>
      <w:r w:rsidRPr="00EA59C0">
        <w:t>Narrative</w:t>
      </w:r>
    </w:p>
    <w:p w:rsidR="00DE107F" w:rsidRPr="00EA59C0" w:rsidRDefault="00DE107F" w:rsidP="00080097">
      <w:pPr>
        <w:pStyle w:val="ListParagraph"/>
        <w:numPr>
          <w:ilvl w:val="2"/>
          <w:numId w:val="33"/>
        </w:numPr>
      </w:pPr>
      <w:r w:rsidRPr="00EA59C0">
        <w:t>Attachments</w:t>
      </w:r>
      <w:r w:rsidR="00C026A6" w:rsidRPr="00EA59C0">
        <w:t xml:space="preserve"> </w:t>
      </w:r>
      <w:r w:rsidRPr="00EA59C0">
        <w:t>to</w:t>
      </w:r>
      <w:r w:rsidR="00C026A6" w:rsidRPr="00EA59C0">
        <w:t xml:space="preserve"> </w:t>
      </w:r>
      <w:r w:rsidRPr="00EA59C0">
        <w:t>the</w:t>
      </w:r>
      <w:r w:rsidR="00C026A6" w:rsidRPr="00EA59C0">
        <w:t xml:space="preserve"> </w:t>
      </w:r>
      <w:r w:rsidRPr="00EA59C0">
        <w:t>Project</w:t>
      </w:r>
      <w:r w:rsidR="00C026A6" w:rsidRPr="00EA59C0">
        <w:t xml:space="preserve"> </w:t>
      </w:r>
      <w:r w:rsidRPr="00EA59C0">
        <w:t>Narrative</w:t>
      </w:r>
    </w:p>
    <w:p w:rsidR="00DE107F" w:rsidRPr="00EA59C0" w:rsidRDefault="00DE107F" w:rsidP="00080097">
      <w:pPr>
        <w:pStyle w:val="ListParagraph"/>
        <w:numPr>
          <w:ilvl w:val="1"/>
          <w:numId w:val="33"/>
        </w:numPr>
      </w:pPr>
      <w:r w:rsidRPr="00EA59C0">
        <w:t>Submission</w:t>
      </w:r>
      <w:r w:rsidR="00C026A6" w:rsidRPr="00EA59C0">
        <w:t xml:space="preserve"> </w:t>
      </w:r>
      <w:r w:rsidRPr="00EA59C0">
        <w:t>Date,</w:t>
      </w:r>
      <w:r w:rsidR="00C026A6" w:rsidRPr="00EA59C0">
        <w:t xml:space="preserve"> </w:t>
      </w:r>
      <w:r w:rsidRPr="00EA59C0">
        <w:t>Times,</w:t>
      </w:r>
      <w:r w:rsidR="00C026A6" w:rsidRPr="00EA59C0">
        <w:t xml:space="preserve"> </w:t>
      </w:r>
      <w:r w:rsidRPr="00EA59C0">
        <w:t>Processes,</w:t>
      </w:r>
      <w:r w:rsidR="00C026A6" w:rsidRPr="00EA59C0">
        <w:t xml:space="preserve"> </w:t>
      </w:r>
      <w:r w:rsidRPr="00EA59C0">
        <w:t>and</w:t>
      </w:r>
      <w:r w:rsidR="00C026A6" w:rsidRPr="00EA59C0">
        <w:t xml:space="preserve"> </w:t>
      </w:r>
      <w:r w:rsidRPr="00EA59C0">
        <w:t>Addresses</w:t>
      </w:r>
    </w:p>
    <w:p w:rsidR="00DE107F" w:rsidRPr="00EA59C0" w:rsidRDefault="00DE107F" w:rsidP="00080097">
      <w:pPr>
        <w:pStyle w:val="ListParagraph"/>
        <w:numPr>
          <w:ilvl w:val="1"/>
          <w:numId w:val="33"/>
        </w:numPr>
      </w:pPr>
      <w:r w:rsidRPr="00EA59C0">
        <w:t>Intergovernmental</w:t>
      </w:r>
      <w:r w:rsidR="00C026A6" w:rsidRPr="00EA59C0">
        <w:t xml:space="preserve"> </w:t>
      </w:r>
      <w:r w:rsidRPr="00EA59C0">
        <w:t>Review</w:t>
      </w:r>
    </w:p>
    <w:p w:rsidR="00DE107F" w:rsidRPr="00EA59C0" w:rsidRDefault="00DE107F" w:rsidP="00080097">
      <w:pPr>
        <w:pStyle w:val="ListParagraph"/>
        <w:numPr>
          <w:ilvl w:val="1"/>
          <w:numId w:val="33"/>
        </w:numPr>
      </w:pPr>
      <w:r w:rsidRPr="00EA59C0">
        <w:t>Funding</w:t>
      </w:r>
      <w:r w:rsidR="00C026A6" w:rsidRPr="00EA59C0">
        <w:t xml:space="preserve"> </w:t>
      </w:r>
      <w:r w:rsidRPr="00EA59C0">
        <w:t>Restrictions</w:t>
      </w:r>
    </w:p>
    <w:p w:rsidR="00DE107F" w:rsidRPr="00EA59C0" w:rsidRDefault="00DE107F" w:rsidP="00080097">
      <w:pPr>
        <w:pStyle w:val="ListParagraph"/>
        <w:numPr>
          <w:ilvl w:val="1"/>
          <w:numId w:val="33"/>
        </w:numPr>
      </w:pPr>
      <w:r w:rsidRPr="00EA59C0">
        <w:t>Other</w:t>
      </w:r>
      <w:r w:rsidR="00C026A6" w:rsidRPr="00EA59C0">
        <w:t xml:space="preserve"> </w:t>
      </w:r>
      <w:r w:rsidRPr="00EA59C0">
        <w:t>submission</w:t>
      </w:r>
      <w:r w:rsidR="00C026A6" w:rsidRPr="00EA59C0">
        <w:t xml:space="preserve"> </w:t>
      </w:r>
      <w:r w:rsidRPr="00EA59C0">
        <w:t>Requirements</w:t>
      </w:r>
    </w:p>
    <w:p w:rsidR="00DE107F" w:rsidRPr="00EA59C0" w:rsidRDefault="00DE107F" w:rsidP="007A73AC"/>
    <w:p w:rsidR="00DE107F" w:rsidRPr="00EA59C0" w:rsidRDefault="00DE107F" w:rsidP="00080097">
      <w:pPr>
        <w:pStyle w:val="ListParagraph"/>
        <w:numPr>
          <w:ilvl w:val="0"/>
          <w:numId w:val="33"/>
        </w:numPr>
      </w:pPr>
      <w:r w:rsidRPr="00EA59C0">
        <w:t>Application</w:t>
      </w:r>
      <w:r w:rsidR="00C026A6" w:rsidRPr="00EA59C0">
        <w:t xml:space="preserve"> </w:t>
      </w:r>
      <w:r w:rsidRPr="00EA59C0">
        <w:t>Review</w:t>
      </w:r>
      <w:r w:rsidR="00C026A6" w:rsidRPr="00EA59C0">
        <w:t xml:space="preserve"> </w:t>
      </w:r>
      <w:r w:rsidRPr="00EA59C0">
        <w:t>Information</w:t>
      </w:r>
    </w:p>
    <w:p w:rsidR="00DE107F" w:rsidRPr="00EA59C0" w:rsidRDefault="00DE107F" w:rsidP="00080097">
      <w:pPr>
        <w:pStyle w:val="ListParagraph"/>
        <w:numPr>
          <w:ilvl w:val="1"/>
          <w:numId w:val="33"/>
        </w:numPr>
      </w:pPr>
      <w:r w:rsidRPr="00EA59C0">
        <w:t>Criteria</w:t>
      </w:r>
      <w:r w:rsidR="00C026A6" w:rsidRPr="00EA59C0">
        <w:t xml:space="preserve"> </w:t>
      </w:r>
      <w:r w:rsidRPr="00EA59C0">
        <w:t>for</w:t>
      </w:r>
      <w:r w:rsidR="00C026A6" w:rsidRPr="00EA59C0">
        <w:t xml:space="preserve"> </w:t>
      </w:r>
      <w:r w:rsidRPr="00EA59C0">
        <w:t>All</w:t>
      </w:r>
      <w:r w:rsidR="00C026A6" w:rsidRPr="00EA59C0">
        <w:t xml:space="preserve"> </w:t>
      </w:r>
      <w:r w:rsidRPr="00EA59C0">
        <w:t>Applicants</w:t>
      </w:r>
    </w:p>
    <w:p w:rsidR="00DE107F" w:rsidRPr="00EA59C0" w:rsidRDefault="00DE107F" w:rsidP="00080097">
      <w:pPr>
        <w:pStyle w:val="ListParagraph"/>
        <w:numPr>
          <w:ilvl w:val="1"/>
          <w:numId w:val="33"/>
        </w:numPr>
      </w:pPr>
      <w:r w:rsidRPr="00EA59C0">
        <w:t>Evaluation</w:t>
      </w:r>
      <w:r w:rsidR="00C026A6" w:rsidRPr="00EA59C0">
        <w:t xml:space="preserve"> </w:t>
      </w:r>
      <w:r w:rsidRPr="00EA59C0">
        <w:t>of</w:t>
      </w:r>
      <w:r w:rsidR="00C026A6" w:rsidRPr="00EA59C0">
        <w:t xml:space="preserve"> </w:t>
      </w:r>
      <w:r w:rsidRPr="00EA59C0">
        <w:t>Supplementary</w:t>
      </w:r>
      <w:r w:rsidR="00C026A6" w:rsidRPr="00EA59C0">
        <w:t xml:space="preserve"> </w:t>
      </w:r>
      <w:r w:rsidRPr="00EA59C0">
        <w:t>Materials</w:t>
      </w:r>
    </w:p>
    <w:p w:rsidR="00DE107F" w:rsidRPr="00EA59C0" w:rsidRDefault="00DE107F" w:rsidP="00080097">
      <w:pPr>
        <w:pStyle w:val="ListParagraph"/>
        <w:numPr>
          <w:ilvl w:val="1"/>
          <w:numId w:val="33"/>
        </w:numPr>
      </w:pPr>
      <w:r w:rsidRPr="00EA59C0">
        <w:t>Review</w:t>
      </w:r>
      <w:r w:rsidR="00C026A6" w:rsidRPr="00EA59C0">
        <w:t xml:space="preserve"> </w:t>
      </w:r>
      <w:r w:rsidRPr="00EA59C0">
        <w:t>and</w:t>
      </w:r>
      <w:r w:rsidR="00C026A6" w:rsidRPr="00EA59C0">
        <w:t xml:space="preserve"> </w:t>
      </w:r>
      <w:r w:rsidRPr="00EA59C0">
        <w:t>Selection</w:t>
      </w:r>
      <w:r w:rsidR="00C026A6" w:rsidRPr="00EA59C0">
        <w:t xml:space="preserve"> </w:t>
      </w:r>
      <w:r w:rsidRPr="00EA59C0">
        <w:t>Process</w:t>
      </w:r>
    </w:p>
    <w:p w:rsidR="00DE107F" w:rsidRPr="00EA59C0" w:rsidRDefault="00DE107F" w:rsidP="00080097">
      <w:pPr>
        <w:pStyle w:val="ListParagraph"/>
        <w:numPr>
          <w:ilvl w:val="1"/>
          <w:numId w:val="33"/>
        </w:numPr>
      </w:pPr>
      <w:r w:rsidRPr="00EA59C0">
        <w:t>Program</w:t>
      </w:r>
      <w:r w:rsidR="00C026A6" w:rsidRPr="00EA59C0">
        <w:t xml:space="preserve"> </w:t>
      </w:r>
      <w:r w:rsidRPr="00EA59C0">
        <w:t>Evaluation</w:t>
      </w:r>
    </w:p>
    <w:p w:rsidR="000C4CBB" w:rsidRPr="00EA59C0" w:rsidRDefault="000C4CBB" w:rsidP="000C4CBB">
      <w:pPr>
        <w:pStyle w:val="ListParagraph"/>
      </w:pPr>
    </w:p>
    <w:p w:rsidR="000C4CBB" w:rsidRPr="00EA59C0" w:rsidRDefault="000C4CBB" w:rsidP="00080097">
      <w:pPr>
        <w:pStyle w:val="ListParagraph"/>
        <w:numPr>
          <w:ilvl w:val="0"/>
          <w:numId w:val="33"/>
        </w:numPr>
      </w:pPr>
      <w:r w:rsidRPr="00EA59C0">
        <w:t>Award</w:t>
      </w:r>
      <w:r w:rsidR="00C026A6" w:rsidRPr="00EA59C0">
        <w:t xml:space="preserve"> </w:t>
      </w:r>
      <w:r w:rsidRPr="00EA59C0">
        <w:t>Administration</w:t>
      </w:r>
      <w:r w:rsidR="00C026A6" w:rsidRPr="00EA59C0">
        <w:t xml:space="preserve"> </w:t>
      </w:r>
      <w:r w:rsidRPr="00EA59C0">
        <w:t>Information</w:t>
      </w:r>
    </w:p>
    <w:p w:rsidR="000C4CBB" w:rsidRPr="00EA59C0" w:rsidRDefault="000C4CBB" w:rsidP="00080097">
      <w:pPr>
        <w:pStyle w:val="ListParagraph"/>
        <w:numPr>
          <w:ilvl w:val="1"/>
          <w:numId w:val="33"/>
        </w:numPr>
      </w:pPr>
      <w:r w:rsidRPr="00EA59C0">
        <w:t>Award</w:t>
      </w:r>
      <w:r w:rsidR="00C026A6" w:rsidRPr="00EA59C0">
        <w:t xml:space="preserve"> </w:t>
      </w:r>
      <w:r w:rsidRPr="00EA59C0">
        <w:t>Notices</w:t>
      </w:r>
    </w:p>
    <w:p w:rsidR="000C4CBB" w:rsidRPr="00EA59C0" w:rsidRDefault="000C4CBB" w:rsidP="00080097">
      <w:pPr>
        <w:pStyle w:val="ListParagraph"/>
        <w:numPr>
          <w:ilvl w:val="1"/>
          <w:numId w:val="33"/>
        </w:numPr>
      </w:pPr>
      <w:r w:rsidRPr="00EA59C0">
        <w:t>Administrative</w:t>
      </w:r>
      <w:r w:rsidR="00C026A6" w:rsidRPr="00EA59C0">
        <w:t xml:space="preserve"> </w:t>
      </w:r>
      <w:r w:rsidRPr="00EA59C0">
        <w:t>and</w:t>
      </w:r>
      <w:r w:rsidR="00C026A6" w:rsidRPr="00EA59C0">
        <w:t xml:space="preserve"> </w:t>
      </w:r>
      <w:r w:rsidRPr="00EA59C0">
        <w:t>National</w:t>
      </w:r>
      <w:r w:rsidR="00C026A6" w:rsidRPr="00EA59C0">
        <w:t xml:space="preserve"> </w:t>
      </w:r>
      <w:r w:rsidRPr="00EA59C0">
        <w:t>Policy</w:t>
      </w:r>
      <w:r w:rsidR="00C026A6" w:rsidRPr="00EA59C0">
        <w:t xml:space="preserve"> </w:t>
      </w:r>
      <w:r w:rsidRPr="00EA59C0">
        <w:t>Requirements</w:t>
      </w:r>
      <w:r w:rsidR="00C026A6" w:rsidRPr="00EA59C0">
        <w:t xml:space="preserve"> </w:t>
      </w:r>
    </w:p>
    <w:p w:rsidR="000C4CBB" w:rsidRPr="00EA59C0" w:rsidRDefault="000C4CBB" w:rsidP="00080097">
      <w:pPr>
        <w:pStyle w:val="ListParagraph"/>
        <w:numPr>
          <w:ilvl w:val="1"/>
          <w:numId w:val="33"/>
        </w:numPr>
      </w:pPr>
      <w:r w:rsidRPr="00EA59C0">
        <w:t>Reporting</w:t>
      </w:r>
    </w:p>
    <w:p w:rsidR="000C4CBB" w:rsidRPr="00EA59C0" w:rsidRDefault="000C4CBB" w:rsidP="00080097">
      <w:pPr>
        <w:pStyle w:val="ListParagraph"/>
        <w:numPr>
          <w:ilvl w:val="0"/>
          <w:numId w:val="33"/>
        </w:numPr>
      </w:pPr>
      <w:r w:rsidRPr="00EA59C0">
        <w:t>Agency</w:t>
      </w:r>
      <w:r w:rsidR="00C026A6" w:rsidRPr="00EA59C0">
        <w:t xml:space="preserve"> </w:t>
      </w:r>
      <w:r w:rsidRPr="00EA59C0">
        <w:t>Contacts</w:t>
      </w:r>
    </w:p>
    <w:p w:rsidR="000C4CBB" w:rsidRPr="00EA59C0" w:rsidRDefault="000C4CBB" w:rsidP="00080097">
      <w:pPr>
        <w:pStyle w:val="ListParagraph"/>
        <w:numPr>
          <w:ilvl w:val="0"/>
          <w:numId w:val="33"/>
        </w:numPr>
      </w:pPr>
      <w:r w:rsidRPr="00EA59C0">
        <w:t>Other</w:t>
      </w:r>
      <w:r w:rsidR="00C026A6" w:rsidRPr="00EA59C0">
        <w:t xml:space="preserve"> </w:t>
      </w:r>
      <w:r w:rsidRPr="00EA59C0">
        <w:t>Information</w:t>
      </w:r>
    </w:p>
    <w:p w:rsidR="000C4CBB" w:rsidRPr="00EA59C0" w:rsidRDefault="000C4CBB" w:rsidP="00080097">
      <w:pPr>
        <w:pStyle w:val="ListParagraph"/>
        <w:numPr>
          <w:ilvl w:val="0"/>
          <w:numId w:val="33"/>
        </w:numPr>
      </w:pPr>
      <w:r w:rsidRPr="00EA59C0">
        <w:t>OMB</w:t>
      </w:r>
      <w:r w:rsidR="00C026A6" w:rsidRPr="00EA59C0">
        <w:t xml:space="preserve"> </w:t>
      </w:r>
      <w:r w:rsidRPr="00EA59C0">
        <w:t>Information</w:t>
      </w:r>
      <w:r w:rsidR="00C026A6" w:rsidRPr="00EA59C0">
        <w:t xml:space="preserve"> </w:t>
      </w:r>
      <w:r w:rsidRPr="00EA59C0">
        <w:t>Collection</w:t>
      </w:r>
    </w:p>
    <w:p w:rsidR="00667095" w:rsidRPr="00EA59C0" w:rsidRDefault="0021071E" w:rsidP="008826BE">
      <w:pPr>
        <w:pStyle w:val="Heading1"/>
        <w:numPr>
          <w:ilvl w:val="0"/>
          <w:numId w:val="17"/>
        </w:numPr>
        <w:rPr>
          <w:rFonts w:ascii="Times New Roman" w:hAnsi="Times New Roman"/>
        </w:rPr>
      </w:pPr>
      <w:bookmarkStart w:id="0" w:name="_Toc207778194"/>
      <w:bookmarkStart w:id="1" w:name="_Toc208654588"/>
      <w:bookmarkStart w:id="2" w:name="_Toc228885472"/>
      <w:bookmarkStart w:id="3" w:name="_Toc229889130"/>
      <w:r w:rsidRPr="00EA59C0">
        <w:rPr>
          <w:rFonts w:ascii="Times New Roman" w:hAnsi="Times New Roman"/>
        </w:rPr>
        <w:t>Funding</w:t>
      </w:r>
      <w:r w:rsidR="00C026A6" w:rsidRPr="00EA59C0">
        <w:rPr>
          <w:rFonts w:ascii="Times New Roman" w:hAnsi="Times New Roman"/>
        </w:rPr>
        <w:t xml:space="preserve"> </w:t>
      </w:r>
      <w:r w:rsidRPr="00EA59C0">
        <w:rPr>
          <w:rFonts w:ascii="Times New Roman" w:hAnsi="Times New Roman"/>
        </w:rPr>
        <w:t>Opportunity</w:t>
      </w:r>
      <w:r w:rsidR="00C026A6" w:rsidRPr="00EA59C0">
        <w:rPr>
          <w:rFonts w:ascii="Times New Roman" w:hAnsi="Times New Roman"/>
        </w:rPr>
        <w:t xml:space="preserve"> </w:t>
      </w:r>
      <w:r w:rsidRPr="00EA59C0">
        <w:rPr>
          <w:rFonts w:ascii="Times New Roman" w:hAnsi="Times New Roman"/>
        </w:rPr>
        <w:t>Description</w:t>
      </w:r>
      <w:bookmarkStart w:id="4" w:name="_Toc222224643"/>
      <w:bookmarkEnd w:id="0"/>
      <w:bookmarkEnd w:id="1"/>
      <w:bookmarkEnd w:id="2"/>
      <w:bookmarkEnd w:id="3"/>
      <w:bookmarkEnd w:id="4"/>
    </w:p>
    <w:p w:rsidR="00144DF0" w:rsidRPr="00EA59C0" w:rsidRDefault="00685F18" w:rsidP="008826BE">
      <w:pPr>
        <w:pStyle w:val="Heading1"/>
        <w:numPr>
          <w:ilvl w:val="1"/>
          <w:numId w:val="17"/>
        </w:numPr>
        <w:rPr>
          <w:rFonts w:ascii="Times New Roman" w:hAnsi="Times New Roman"/>
        </w:rPr>
      </w:pPr>
      <w:r w:rsidRPr="00EA59C0">
        <w:t>Program</w:t>
      </w:r>
      <w:r w:rsidR="00C026A6" w:rsidRPr="00EA59C0">
        <w:t xml:space="preserve"> </w:t>
      </w:r>
      <w:r w:rsidRPr="00EA59C0">
        <w:t>Purpose</w:t>
      </w:r>
    </w:p>
    <w:p w:rsidR="00CD4308" w:rsidRPr="00EA59C0" w:rsidRDefault="00CD4308" w:rsidP="007A73AC">
      <w:pPr>
        <w:ind w:left="360"/>
      </w:pPr>
      <w:r w:rsidRPr="00EA59C0">
        <w:t>In</w:t>
      </w:r>
      <w:r w:rsidR="00C026A6" w:rsidRPr="00EA59C0">
        <w:t xml:space="preserve"> </w:t>
      </w:r>
      <w:r w:rsidRPr="00EA59C0">
        <w:t>an</w:t>
      </w:r>
      <w:r w:rsidR="00C026A6" w:rsidRPr="00EA59C0">
        <w:t xml:space="preserve"> </w:t>
      </w:r>
      <w:r w:rsidRPr="00EA59C0">
        <w:t>increasingly</w:t>
      </w:r>
      <w:r w:rsidR="00C026A6" w:rsidRPr="00EA59C0">
        <w:t xml:space="preserve"> </w:t>
      </w:r>
      <w:r w:rsidRPr="00EA59C0">
        <w:t>competitive</w:t>
      </w:r>
      <w:r w:rsidR="00C026A6" w:rsidRPr="00EA59C0">
        <w:t xml:space="preserve"> </w:t>
      </w:r>
      <w:r w:rsidRPr="00EA59C0">
        <w:t>global</w:t>
      </w:r>
      <w:r w:rsidR="00C026A6" w:rsidRPr="00EA59C0">
        <w:t xml:space="preserve"> </w:t>
      </w:r>
      <w:r w:rsidRPr="00EA59C0">
        <w:t>economy,</w:t>
      </w:r>
      <w:r w:rsidR="00C026A6" w:rsidRPr="00EA59C0">
        <w:t xml:space="preserve"> </w:t>
      </w:r>
      <w:r w:rsidRPr="00EA59C0">
        <w:t>America’s</w:t>
      </w:r>
      <w:r w:rsidR="00C026A6" w:rsidRPr="00EA59C0">
        <w:t xml:space="preserve"> </w:t>
      </w:r>
      <w:r w:rsidRPr="00EA59C0">
        <w:t>economic</w:t>
      </w:r>
      <w:r w:rsidR="00C026A6" w:rsidRPr="00EA59C0">
        <w:t xml:space="preserve"> </w:t>
      </w:r>
      <w:r w:rsidRPr="00EA59C0">
        <w:t>strength</w:t>
      </w:r>
      <w:r w:rsidR="00C026A6" w:rsidRPr="00EA59C0">
        <w:t xml:space="preserve"> </w:t>
      </w:r>
      <w:r w:rsidRPr="00EA59C0">
        <w:t>depends</w:t>
      </w:r>
      <w:r w:rsidR="00C026A6" w:rsidRPr="00EA59C0">
        <w:t xml:space="preserve"> </w:t>
      </w:r>
      <w:r w:rsidRPr="00EA59C0">
        <w:t>on</w:t>
      </w:r>
      <w:r w:rsidR="00C026A6" w:rsidRPr="00EA59C0">
        <w:t xml:space="preserve"> </w:t>
      </w:r>
      <w:r w:rsidRPr="00EA59C0">
        <w:t>the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skills</w:t>
      </w:r>
      <w:r w:rsidR="00C026A6" w:rsidRPr="00EA59C0">
        <w:t xml:space="preserve"> </w:t>
      </w:r>
      <w:r w:rsidRPr="00EA59C0">
        <w:t>of</w:t>
      </w:r>
      <w:r w:rsidR="00C026A6" w:rsidRPr="00EA59C0">
        <w:t xml:space="preserve"> </w:t>
      </w:r>
      <w:r w:rsidRPr="00EA59C0">
        <w:t>its</w:t>
      </w:r>
      <w:r w:rsidR="00C026A6" w:rsidRPr="00EA59C0">
        <w:t xml:space="preserve"> </w:t>
      </w:r>
      <w:r w:rsidRPr="00EA59C0">
        <w:t>workers.</w:t>
      </w:r>
      <w:r w:rsidR="00C026A6" w:rsidRPr="00EA59C0">
        <w:t xml:space="preserve">  </w:t>
      </w:r>
      <w:r w:rsidRPr="00EA59C0">
        <w:t>The</w:t>
      </w:r>
      <w:r w:rsidR="00C026A6" w:rsidRPr="00EA59C0">
        <w:t xml:space="preserve"> </w:t>
      </w:r>
      <w:r w:rsidRPr="00EA59C0">
        <w:t>nation</w:t>
      </w:r>
      <w:r w:rsidR="00C026A6" w:rsidRPr="00EA59C0">
        <w:t xml:space="preserve"> </w:t>
      </w:r>
      <w:r w:rsidRPr="00EA59C0">
        <w:t>needs</w:t>
      </w:r>
      <w:r w:rsidR="00C026A6" w:rsidRPr="00EA59C0">
        <w:t xml:space="preserve"> </w:t>
      </w:r>
      <w:r w:rsidRPr="00EA59C0">
        <w:t>workers</w:t>
      </w:r>
      <w:r w:rsidR="00C026A6" w:rsidRPr="00EA59C0">
        <w:t xml:space="preserve"> </w:t>
      </w:r>
      <w:r w:rsidRPr="00EA59C0">
        <w:t>with</w:t>
      </w:r>
      <w:r w:rsidR="00C026A6" w:rsidRPr="00EA59C0">
        <w:t xml:space="preserve"> </w:t>
      </w:r>
      <w:r w:rsidRPr="00EA59C0">
        <w:t>the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skills</w:t>
      </w:r>
      <w:r w:rsidR="00C026A6" w:rsidRPr="00EA59C0">
        <w:t xml:space="preserve"> </w:t>
      </w:r>
      <w:r w:rsidRPr="00EA59C0">
        <w:t>to</w:t>
      </w:r>
      <w:r w:rsidR="00C026A6" w:rsidRPr="00EA59C0">
        <w:t xml:space="preserve"> </w:t>
      </w:r>
      <w:r w:rsidRPr="00EA59C0">
        <w:t>succeed</w:t>
      </w:r>
      <w:r w:rsidR="00C026A6" w:rsidRPr="00EA59C0">
        <w:t xml:space="preserve"> </w:t>
      </w:r>
      <w:r w:rsidRPr="00EA59C0">
        <w:t>in</w:t>
      </w:r>
      <w:r w:rsidR="00C026A6" w:rsidRPr="00EA59C0">
        <w:t xml:space="preserve"> </w:t>
      </w:r>
      <w:r w:rsidRPr="00EA59C0">
        <w:t>fast</w:t>
      </w:r>
      <w:r w:rsidR="00602300" w:rsidRPr="00EA59C0">
        <w:t>-</w:t>
      </w:r>
      <w:r w:rsidR="00C026A6" w:rsidRPr="00EA59C0">
        <w:t xml:space="preserve"> </w:t>
      </w:r>
      <w:r w:rsidRPr="00EA59C0">
        <w:t>growing,</w:t>
      </w:r>
      <w:r w:rsidR="00C026A6" w:rsidRPr="00EA59C0">
        <w:t xml:space="preserve"> </w:t>
      </w:r>
      <w:r w:rsidRPr="00EA59C0">
        <w:t>high-wage</w:t>
      </w:r>
      <w:r w:rsidR="00C026A6" w:rsidRPr="00EA59C0">
        <w:t xml:space="preserve"> </w:t>
      </w:r>
      <w:r w:rsidRPr="00EA59C0">
        <w:t>occupations.</w:t>
      </w:r>
      <w:r w:rsidR="00C026A6" w:rsidRPr="00EA59C0">
        <w:t xml:space="preserve">  </w:t>
      </w:r>
      <w:r w:rsidRPr="00EA59C0">
        <w:t>The</w:t>
      </w:r>
      <w:r w:rsidR="00C026A6" w:rsidRPr="00EA59C0">
        <w:t xml:space="preserve"> </w:t>
      </w:r>
      <w:r w:rsidRPr="00EA59C0">
        <w:t>TAACCCT</w:t>
      </w:r>
      <w:r w:rsidR="00C026A6" w:rsidRPr="00EA59C0">
        <w:t xml:space="preserve"> </w:t>
      </w:r>
      <w:r w:rsidRPr="00EA59C0">
        <w:t>program</w:t>
      </w:r>
      <w:r w:rsidR="00C026A6" w:rsidRPr="00EA59C0">
        <w:t xml:space="preserve"> </w:t>
      </w:r>
      <w:r w:rsidRPr="00EA59C0">
        <w:t>provides</w:t>
      </w:r>
      <w:r w:rsidR="00C026A6" w:rsidRPr="00EA59C0">
        <w:t xml:space="preserve"> </w:t>
      </w:r>
      <w:r w:rsidRPr="00EA59C0">
        <w:t>capacity-building</w:t>
      </w:r>
      <w:r w:rsidR="00C026A6" w:rsidRPr="00EA59C0">
        <w:t xml:space="preserve"> </w:t>
      </w:r>
      <w:r w:rsidRPr="00EA59C0">
        <w:t>grants</w:t>
      </w:r>
      <w:r w:rsidR="00C026A6" w:rsidRPr="00EA59C0">
        <w:t xml:space="preserve"> </w:t>
      </w:r>
      <w:r w:rsidRPr="00EA59C0">
        <w:t>to</w:t>
      </w:r>
      <w:r w:rsidR="00C026A6" w:rsidRPr="00EA59C0">
        <w:t xml:space="preserve"> </w:t>
      </w:r>
      <w:r w:rsidR="00A37D2E" w:rsidRPr="00EA59C0">
        <w:t>spur</w:t>
      </w:r>
      <w:r w:rsidR="00C026A6" w:rsidRPr="00EA59C0">
        <w:t xml:space="preserve"> </w:t>
      </w:r>
      <w:r w:rsidRPr="00EA59C0">
        <w:t>innovation</w:t>
      </w:r>
      <w:r w:rsidR="00C026A6" w:rsidRPr="00EA59C0">
        <w:t xml:space="preserve"> </w:t>
      </w:r>
      <w:r w:rsidRPr="00EA59C0">
        <w:t>and</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of</w:t>
      </w:r>
      <w:r w:rsidR="00C026A6" w:rsidRPr="00EA59C0">
        <w:t xml:space="preserve"> </w:t>
      </w:r>
      <w:r w:rsidRPr="00EA59C0">
        <w:t>model</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at</w:t>
      </w:r>
      <w:r w:rsidR="00C026A6" w:rsidRPr="00EA59C0">
        <w:t xml:space="preserve"> </w:t>
      </w:r>
      <w:r w:rsidRPr="00EA59C0">
        <w:t>America’s</w:t>
      </w:r>
      <w:r w:rsidR="00C026A6" w:rsidRPr="00EA59C0">
        <w:t xml:space="preserve"> </w:t>
      </w:r>
      <w:r w:rsidRPr="00EA59C0">
        <w:t>community</w:t>
      </w:r>
      <w:r w:rsidR="00C026A6" w:rsidRPr="00EA59C0">
        <w:t xml:space="preserve"> </w:t>
      </w:r>
      <w:r w:rsidRPr="00EA59C0">
        <w:t>colleges</w:t>
      </w:r>
      <w:r w:rsidR="00C026A6" w:rsidRPr="00EA59C0">
        <w:t xml:space="preserve"> </w:t>
      </w:r>
      <w:r w:rsidRPr="00EA59C0">
        <w:t>and</w:t>
      </w:r>
      <w:r w:rsidR="00C026A6" w:rsidRPr="00EA59C0">
        <w:t xml:space="preserve"> </w:t>
      </w:r>
      <w:r w:rsidRPr="00EA59C0">
        <w:t>universities.</w:t>
      </w:r>
      <w:r w:rsidR="00C026A6" w:rsidRPr="00EA59C0">
        <w:t xml:space="preserve">  </w:t>
      </w:r>
      <w:r w:rsidRPr="00EA59C0">
        <w:t>TAACCCT-funded</w:t>
      </w:r>
      <w:r w:rsidR="00C026A6" w:rsidRPr="00EA59C0">
        <w:t xml:space="preserve"> </w:t>
      </w:r>
      <w:r w:rsidRPr="00EA59C0">
        <w:t>programs</w:t>
      </w:r>
      <w:r w:rsidR="00C026A6" w:rsidRPr="00EA59C0">
        <w:t xml:space="preserve"> </w:t>
      </w:r>
      <w:r w:rsidRPr="00EA59C0">
        <w:t>will</w:t>
      </w:r>
      <w:r w:rsidR="00C026A6" w:rsidRPr="00EA59C0">
        <w:t xml:space="preserve"> </w:t>
      </w:r>
      <w:r w:rsidRPr="00EA59C0">
        <w:t>prepare</w:t>
      </w:r>
      <w:r w:rsidR="00C026A6" w:rsidRPr="00EA59C0">
        <w:t xml:space="preserve"> </w:t>
      </w:r>
      <w:r w:rsidRPr="00EA59C0">
        <w:t>participants</w:t>
      </w:r>
      <w:r w:rsidR="00C026A6" w:rsidRPr="00EA59C0">
        <w:t xml:space="preserve"> </w:t>
      </w:r>
      <w:r w:rsidRPr="00EA59C0">
        <w:t>for</w:t>
      </w:r>
      <w:r w:rsidR="00C026A6" w:rsidRPr="00EA59C0">
        <w:t xml:space="preserve"> </w:t>
      </w:r>
      <w:r w:rsidRPr="00EA59C0">
        <w:t>employment</w:t>
      </w:r>
      <w:r w:rsidR="00C026A6" w:rsidRPr="00EA59C0">
        <w:t xml:space="preserve"> </w:t>
      </w:r>
      <w:r w:rsidRPr="00EA59C0">
        <w:t>in</w:t>
      </w:r>
      <w:r w:rsidR="00C026A6" w:rsidRPr="00EA59C0">
        <w:t xml:space="preserve"> </w:t>
      </w:r>
      <w:r w:rsidRPr="00EA59C0">
        <w:t>high-wage,</w:t>
      </w:r>
      <w:r w:rsidR="00C026A6" w:rsidRPr="00EA59C0">
        <w:t xml:space="preserve"> </w:t>
      </w:r>
      <w:r w:rsidRPr="00EA59C0">
        <w:t>high-skill</w:t>
      </w:r>
      <w:r w:rsidR="00C026A6" w:rsidRPr="00EA59C0">
        <w:t xml:space="preserve"> </w:t>
      </w:r>
      <w:r w:rsidRPr="00EA59C0">
        <w:t>occupations</w:t>
      </w:r>
      <w:r w:rsidR="00C026A6" w:rsidRPr="00EA59C0">
        <w:t xml:space="preserve"> </w:t>
      </w:r>
      <w:r w:rsidRPr="00EA59C0">
        <w:t>by</w:t>
      </w:r>
      <w:r w:rsidR="00C026A6" w:rsidRPr="00EA59C0">
        <w:t xml:space="preserve"> </w:t>
      </w:r>
      <w:r w:rsidRPr="00EA59C0">
        <w:t>using</w:t>
      </w:r>
      <w:r w:rsidR="00C026A6" w:rsidRPr="00EA59C0">
        <w:t xml:space="preserve"> </w:t>
      </w:r>
      <w:r w:rsidRPr="00EA59C0">
        <w:t>innovative</w:t>
      </w:r>
      <w:r w:rsidR="00C026A6" w:rsidRPr="00EA59C0">
        <w:t xml:space="preserve"> </w:t>
      </w:r>
      <w:r w:rsidRPr="00EA59C0">
        <w:t>and</w:t>
      </w:r>
      <w:r w:rsidR="00C026A6" w:rsidRPr="00EA59C0">
        <w:t xml:space="preserve"> </w:t>
      </w:r>
      <w:r w:rsidRPr="00EA59C0">
        <w:t>sophisticated</w:t>
      </w:r>
      <w:r w:rsidR="00C026A6" w:rsidRPr="00EA59C0">
        <w:t xml:space="preserve"> </w:t>
      </w:r>
      <w:r w:rsidRPr="00EA59C0">
        <w:t>strategies</w:t>
      </w:r>
      <w:r w:rsidR="00C026A6" w:rsidRPr="00EA59C0">
        <w:t xml:space="preserve"> </w:t>
      </w:r>
      <w:r w:rsidRPr="00EA59C0">
        <w:t>that</w:t>
      </w:r>
      <w:r w:rsidR="00C026A6" w:rsidRPr="00EA59C0">
        <w:t xml:space="preserve"> </w:t>
      </w:r>
      <w:r w:rsidRPr="00EA59C0">
        <w:t>address</w:t>
      </w:r>
      <w:r w:rsidR="00C026A6" w:rsidRPr="00EA59C0">
        <w:t xml:space="preserve"> </w:t>
      </w:r>
      <w:r w:rsidRPr="00EA59C0">
        <w:t>the</w:t>
      </w:r>
      <w:r w:rsidR="00C026A6" w:rsidRPr="00EA59C0">
        <w:t xml:space="preserve"> </w:t>
      </w:r>
      <w:r w:rsidRPr="00EA59C0">
        <w:t>unique</w:t>
      </w:r>
      <w:r w:rsidR="00C026A6" w:rsidRPr="00EA59C0">
        <w:t xml:space="preserve"> </w:t>
      </w:r>
      <w:r w:rsidRPr="00EA59C0">
        <w:t>needs</w:t>
      </w:r>
      <w:r w:rsidR="00C026A6" w:rsidRPr="00EA59C0">
        <w:t xml:space="preserve"> </w:t>
      </w:r>
      <w:r w:rsidRPr="00EA59C0">
        <w:t>of</w:t>
      </w:r>
      <w:r w:rsidR="00C026A6" w:rsidRPr="00EA59C0">
        <w:t xml:space="preserve"> </w:t>
      </w:r>
      <w:r w:rsidRPr="00EA59C0">
        <w:t>unemployed</w:t>
      </w:r>
      <w:r w:rsidR="00C026A6" w:rsidRPr="00EA59C0">
        <w:t xml:space="preserve"> </w:t>
      </w:r>
      <w:r w:rsidRPr="00EA59C0">
        <w:t>or</w:t>
      </w:r>
      <w:r w:rsidR="00C026A6" w:rsidRPr="00EA59C0">
        <w:t xml:space="preserve"> </w:t>
      </w:r>
      <w:r w:rsidRPr="00EA59C0">
        <w:t>under-employed</w:t>
      </w:r>
      <w:r w:rsidR="00C026A6" w:rsidRPr="00EA59C0">
        <w:t xml:space="preserve"> </w:t>
      </w:r>
      <w:r w:rsidRPr="00EA59C0">
        <w:t>adults.</w:t>
      </w:r>
      <w:r w:rsidR="00C026A6" w:rsidRPr="00EA59C0">
        <w:t xml:space="preserve">  </w:t>
      </w:r>
      <w:r w:rsidRPr="00EA59C0">
        <w:t>Throughout</w:t>
      </w:r>
      <w:r w:rsidR="00C026A6" w:rsidRPr="00EA59C0">
        <w:t xml:space="preserve"> </w:t>
      </w:r>
      <w:r w:rsidRPr="00EA59C0">
        <w:t>the</w:t>
      </w:r>
      <w:r w:rsidR="00C026A6" w:rsidRPr="00EA59C0">
        <w:t xml:space="preserve"> </w:t>
      </w:r>
      <w:r w:rsidRPr="00EA59C0">
        <w:t>first</w:t>
      </w:r>
      <w:r w:rsidR="00C026A6" w:rsidRPr="00EA59C0">
        <w:t xml:space="preserve"> </w:t>
      </w:r>
      <w:r w:rsidRPr="00EA59C0">
        <w:t>three</w:t>
      </w:r>
      <w:r w:rsidR="00C026A6" w:rsidRPr="00EA59C0">
        <w:t xml:space="preserve"> </w:t>
      </w:r>
      <w:r w:rsidRPr="00EA59C0">
        <w:t>rounds</w:t>
      </w:r>
      <w:r w:rsidR="00C026A6" w:rsidRPr="00EA59C0">
        <w:t xml:space="preserve"> </w:t>
      </w:r>
      <w:r w:rsidRPr="00EA59C0">
        <w:t>of</w:t>
      </w:r>
      <w:r w:rsidR="00C026A6" w:rsidRPr="00EA59C0">
        <w:t xml:space="preserve"> </w:t>
      </w:r>
      <w:r w:rsidRPr="00EA59C0">
        <w:t>TAACCCT,</w:t>
      </w:r>
      <w:r w:rsidR="00C026A6" w:rsidRPr="00EA59C0">
        <w:t xml:space="preserve"> </w:t>
      </w:r>
      <w:r w:rsidRPr="00EA59C0">
        <w:t>grantees</w:t>
      </w:r>
      <w:r w:rsidR="00C026A6" w:rsidRPr="00EA59C0">
        <w:t xml:space="preserve"> </w:t>
      </w:r>
      <w:r w:rsidRPr="00EA59C0">
        <w:t>have</w:t>
      </w:r>
      <w:r w:rsidR="00C026A6" w:rsidRPr="00EA59C0">
        <w:t xml:space="preserve"> </w:t>
      </w:r>
      <w:r w:rsidR="008F2CC5" w:rsidRPr="00EA59C0">
        <w:t>transformed</w:t>
      </w:r>
      <w:r w:rsidR="00C026A6" w:rsidRPr="00EA59C0">
        <w:t xml:space="preserve"> </w:t>
      </w:r>
      <w:r w:rsidRPr="00EA59C0">
        <w:t>the</w:t>
      </w:r>
      <w:r w:rsidR="00C026A6" w:rsidRPr="00EA59C0">
        <w:t xml:space="preserve"> </w:t>
      </w:r>
      <w:r w:rsidRPr="00EA59C0">
        <w:t>ways</w:t>
      </w:r>
      <w:r w:rsidR="00C026A6" w:rsidRPr="00EA59C0">
        <w:t xml:space="preserve"> </w:t>
      </w:r>
      <w:r w:rsidRPr="00EA59C0">
        <w:t>they</w:t>
      </w:r>
      <w:r w:rsidR="00C026A6" w:rsidRPr="00EA59C0">
        <w:t xml:space="preserve"> </w:t>
      </w:r>
      <w:r w:rsidRPr="00EA59C0">
        <w:t>design</w:t>
      </w:r>
      <w:r w:rsidR="00C026A6" w:rsidRPr="00EA59C0">
        <w:t xml:space="preserve"> </w:t>
      </w:r>
      <w:r w:rsidRPr="00EA59C0">
        <w:t>and</w:t>
      </w:r>
      <w:r w:rsidR="00C026A6" w:rsidRPr="00EA59C0">
        <w:t xml:space="preserve"> </w:t>
      </w:r>
      <w:r w:rsidRPr="00EA59C0">
        <w:t>deliver</w:t>
      </w:r>
      <w:r w:rsidR="00C026A6" w:rsidRPr="00EA59C0">
        <w:t xml:space="preserve"> </w:t>
      </w:r>
      <w:r w:rsidRPr="00EA59C0">
        <w:t>courses</w:t>
      </w:r>
      <w:r w:rsidR="00C026A6" w:rsidRPr="00EA59C0">
        <w:t xml:space="preserve"> </w:t>
      </w:r>
      <w:r w:rsidRPr="00EA59C0">
        <w:t>to</w:t>
      </w:r>
      <w:r w:rsidR="00C026A6" w:rsidRPr="00EA59C0">
        <w:t xml:space="preserve"> </w:t>
      </w:r>
      <w:r w:rsidRPr="00EA59C0">
        <w:t>adults</w:t>
      </w:r>
      <w:r w:rsidR="00C026A6" w:rsidRPr="00EA59C0">
        <w:t xml:space="preserve"> </w:t>
      </w:r>
      <w:r w:rsidRPr="00EA59C0">
        <w:t>through</w:t>
      </w:r>
      <w:r w:rsidR="00C026A6" w:rsidRPr="00EA59C0">
        <w:t xml:space="preserve"> </w:t>
      </w:r>
      <w:r w:rsidRPr="00EA59C0">
        <w:t>accelerated</w:t>
      </w:r>
      <w:r w:rsidR="00C026A6" w:rsidRPr="00EA59C0">
        <w:t xml:space="preserve"> </w:t>
      </w:r>
      <w:r w:rsidRPr="00EA59C0">
        <w:t>learning</w:t>
      </w:r>
      <w:r w:rsidR="00C026A6" w:rsidRPr="00EA59C0">
        <w:t xml:space="preserve"> </w:t>
      </w:r>
      <w:r w:rsidRPr="00EA59C0">
        <w:t>strategies,</w:t>
      </w:r>
      <w:r w:rsidR="00C026A6" w:rsidRPr="00EA59C0">
        <w:t xml:space="preserve"> </w:t>
      </w:r>
      <w:r w:rsidRPr="00EA59C0">
        <w:t>redesigned</w:t>
      </w:r>
      <w:r w:rsidR="00C026A6" w:rsidRPr="00EA59C0">
        <w:t xml:space="preserve"> </w:t>
      </w:r>
      <w:r w:rsidRPr="00EA59C0">
        <w:t>curricula,</w:t>
      </w:r>
      <w:r w:rsidR="00C026A6" w:rsidRPr="00EA59C0">
        <w:t xml:space="preserve"> </w:t>
      </w:r>
      <w:r w:rsidRPr="00EA59C0">
        <w:t>and</w:t>
      </w:r>
      <w:r w:rsidR="00C026A6" w:rsidRPr="00EA59C0">
        <w:t xml:space="preserve"> </w:t>
      </w:r>
      <w:r w:rsidR="008F2CC5" w:rsidRPr="00EA59C0">
        <w:t>tech</w:t>
      </w:r>
      <w:r w:rsidR="00776E49" w:rsidRPr="00EA59C0">
        <w:t>n</w:t>
      </w:r>
      <w:r w:rsidR="008F2CC5" w:rsidRPr="00EA59C0">
        <w:t>ology</w:t>
      </w:r>
      <w:r w:rsidR="00776E49" w:rsidRPr="00EA59C0">
        <w:t>-</w:t>
      </w:r>
      <w:r w:rsidR="008F2CC5" w:rsidRPr="00EA59C0">
        <w:t>enhanced</w:t>
      </w:r>
      <w:r w:rsidR="00C026A6" w:rsidRPr="00EA59C0">
        <w:t xml:space="preserve"> </w:t>
      </w:r>
      <w:r w:rsidRPr="00EA59C0">
        <w:t>learning</w:t>
      </w:r>
      <w:r w:rsidR="00C026A6" w:rsidRPr="00EA59C0">
        <w:t xml:space="preserve"> </w:t>
      </w:r>
      <w:r w:rsidRPr="00EA59C0">
        <w:t>activities</w:t>
      </w:r>
      <w:r w:rsidR="008F2CC5" w:rsidRPr="00EA59C0">
        <w:t>.</w:t>
      </w:r>
      <w:r w:rsidR="00C026A6" w:rsidRPr="00EA59C0">
        <w:t xml:space="preserve">  </w:t>
      </w:r>
      <w:r w:rsidR="008F2CC5" w:rsidRPr="00EA59C0">
        <w:t>These</w:t>
      </w:r>
      <w:r w:rsidR="00C026A6" w:rsidRPr="00EA59C0">
        <w:t xml:space="preserve"> </w:t>
      </w:r>
      <w:r w:rsidR="008F2CC5" w:rsidRPr="00EA59C0">
        <w:t>have</w:t>
      </w:r>
      <w:r w:rsidR="00C026A6" w:rsidRPr="00EA59C0">
        <w:t xml:space="preserve"> </w:t>
      </w:r>
      <w:r w:rsidR="008F2CC5" w:rsidRPr="00EA59C0">
        <w:t>included</w:t>
      </w:r>
      <w:r w:rsidR="00C026A6" w:rsidRPr="00EA59C0">
        <w:t xml:space="preserve"> </w:t>
      </w:r>
      <w:r w:rsidR="008F2CC5" w:rsidRPr="00EA59C0">
        <w:t>the</w:t>
      </w:r>
      <w:r w:rsidR="00C026A6" w:rsidRPr="00EA59C0">
        <w:t xml:space="preserve"> </w:t>
      </w:r>
      <w:r w:rsidR="008F2CC5" w:rsidRPr="00EA59C0">
        <w:t>incorporation</w:t>
      </w:r>
      <w:r w:rsidR="00C026A6" w:rsidRPr="00EA59C0">
        <w:t xml:space="preserve"> </w:t>
      </w:r>
      <w:r w:rsidR="008F2CC5" w:rsidRPr="00EA59C0">
        <w:t>of</w:t>
      </w:r>
      <w:r w:rsidR="00C026A6" w:rsidRPr="00EA59C0">
        <w:t xml:space="preserve"> </w:t>
      </w:r>
      <w:r w:rsidRPr="00EA59C0">
        <w:t>prior</w:t>
      </w:r>
      <w:r w:rsidR="00C026A6" w:rsidRPr="00EA59C0">
        <w:t xml:space="preserve"> </w:t>
      </w:r>
      <w:r w:rsidRPr="00EA59C0">
        <w:t>learning</w:t>
      </w:r>
      <w:r w:rsidR="00C026A6" w:rsidRPr="00EA59C0">
        <w:t xml:space="preserve"> </w:t>
      </w:r>
      <w:r w:rsidRPr="00EA59C0">
        <w:t>and</w:t>
      </w:r>
      <w:r w:rsidR="00C026A6" w:rsidRPr="00EA59C0">
        <w:t xml:space="preserve"> </w:t>
      </w:r>
      <w:r w:rsidRPr="00EA59C0">
        <w:t>knowledge,</w:t>
      </w:r>
      <w:r w:rsidR="00C026A6" w:rsidRPr="00EA59C0">
        <w:t xml:space="preserve"> </w:t>
      </w:r>
      <w:r w:rsidRPr="00EA59C0">
        <w:t>integrated</w:t>
      </w:r>
      <w:r w:rsidR="00C026A6" w:rsidRPr="00EA59C0">
        <w:t xml:space="preserve"> </w:t>
      </w:r>
      <w:r w:rsidRPr="00EA59C0">
        <w:t>occupational</w:t>
      </w:r>
      <w:r w:rsidR="00C026A6" w:rsidRPr="00EA59C0">
        <w:t xml:space="preserve"> </w:t>
      </w:r>
      <w:r w:rsidRPr="00EA59C0">
        <w:t>and</w:t>
      </w:r>
      <w:r w:rsidR="00C026A6" w:rsidRPr="00EA59C0">
        <w:t xml:space="preserve"> </w:t>
      </w:r>
      <w:r w:rsidRPr="00EA59C0">
        <w:t>academic</w:t>
      </w:r>
      <w:r w:rsidR="00C026A6" w:rsidRPr="00EA59C0">
        <w:t xml:space="preserve"> </w:t>
      </w:r>
      <w:r w:rsidRPr="00EA59C0">
        <w:t>learning,</w:t>
      </w:r>
      <w:r w:rsidR="00C026A6" w:rsidRPr="00EA59C0">
        <w:t xml:space="preserve"> </w:t>
      </w:r>
      <w:r w:rsidR="008F2CC5" w:rsidRPr="00EA59C0">
        <w:t>new</w:t>
      </w:r>
      <w:r w:rsidR="00C026A6" w:rsidRPr="00EA59C0">
        <w:t xml:space="preserve"> </w:t>
      </w:r>
      <w:r w:rsidR="008F2CC5" w:rsidRPr="00EA59C0">
        <w:t>educational</w:t>
      </w:r>
      <w:r w:rsidR="00C026A6" w:rsidRPr="00EA59C0">
        <w:t xml:space="preserve"> </w:t>
      </w:r>
      <w:r w:rsidR="008F2CC5" w:rsidRPr="00EA59C0">
        <w:t>technology,</w:t>
      </w:r>
      <w:r w:rsidR="00C026A6" w:rsidRPr="00EA59C0">
        <w:t xml:space="preserve"> </w:t>
      </w:r>
      <w:r w:rsidRPr="00EA59C0">
        <w:t>work-based</w:t>
      </w:r>
      <w:r w:rsidR="00C026A6" w:rsidRPr="00EA59C0">
        <w:t xml:space="preserve"> </w:t>
      </w:r>
      <w:r w:rsidRPr="00EA59C0">
        <w:t>learning</w:t>
      </w:r>
      <w:r w:rsidR="00C026A6" w:rsidRPr="00EA59C0">
        <w:t xml:space="preserve"> </w:t>
      </w:r>
      <w:r w:rsidR="008F2CC5" w:rsidRPr="00EA59C0">
        <w:t>opportunities,</w:t>
      </w:r>
      <w:r w:rsidR="00C026A6" w:rsidRPr="00EA59C0">
        <w:t xml:space="preserve"> </w:t>
      </w:r>
      <w:r w:rsidRPr="00EA59C0">
        <w:t>and</w:t>
      </w:r>
      <w:r w:rsidR="00C026A6" w:rsidRPr="00EA59C0">
        <w:t xml:space="preserve"> </w:t>
      </w:r>
      <w:r w:rsidRPr="00EA59C0">
        <w:t>online</w:t>
      </w:r>
      <w:r w:rsidR="00C026A6" w:rsidRPr="00EA59C0">
        <w:t xml:space="preserve"> </w:t>
      </w:r>
      <w:r w:rsidRPr="00EA59C0">
        <w:t>and</w:t>
      </w:r>
      <w:r w:rsidR="00C026A6" w:rsidRPr="00EA59C0">
        <w:t xml:space="preserve"> </w:t>
      </w:r>
      <w:r w:rsidRPr="00EA59C0">
        <w:t>distance</w:t>
      </w:r>
      <w:r w:rsidR="00C026A6" w:rsidRPr="00EA59C0">
        <w:t xml:space="preserve"> </w:t>
      </w:r>
      <w:r w:rsidRPr="00EA59C0">
        <w:t>learning</w:t>
      </w:r>
      <w:r w:rsidR="00C026A6" w:rsidRPr="00EA59C0">
        <w:t xml:space="preserve"> </w:t>
      </w:r>
      <w:r w:rsidRPr="00EA59C0">
        <w:t>opportunities.</w:t>
      </w:r>
      <w:r w:rsidR="00C026A6" w:rsidRPr="00EA59C0">
        <w:t xml:space="preserve"> </w:t>
      </w:r>
    </w:p>
    <w:p w:rsidR="00CD4308" w:rsidRPr="00EA59C0" w:rsidRDefault="00CD4308" w:rsidP="007A73AC">
      <w:pPr>
        <w:ind w:left="360"/>
      </w:pPr>
    </w:p>
    <w:p w:rsidR="00CD4308" w:rsidRPr="00EA59C0" w:rsidRDefault="00CD4308" w:rsidP="007A73AC">
      <w:pPr>
        <w:ind w:left="360"/>
      </w:pPr>
      <w:r w:rsidRPr="00EA59C0">
        <w:t>The</w:t>
      </w:r>
      <w:r w:rsidR="00C026A6" w:rsidRPr="00EA59C0">
        <w:t xml:space="preserve"> </w:t>
      </w:r>
      <w:r w:rsidRPr="00EA59C0">
        <w:t>TAACCCT</w:t>
      </w:r>
      <w:r w:rsidR="00C026A6" w:rsidRPr="00EA59C0">
        <w:t xml:space="preserve"> </w:t>
      </w:r>
      <w:r w:rsidRPr="00EA59C0">
        <w:t>program</w:t>
      </w:r>
      <w:r w:rsidR="00C026A6" w:rsidRPr="00EA59C0">
        <w:t xml:space="preserve"> </w:t>
      </w:r>
      <w:r w:rsidR="00B93729" w:rsidRPr="00EA59C0">
        <w:t>seek</w:t>
      </w:r>
      <w:r w:rsidR="00BD014A" w:rsidRPr="00EA59C0">
        <w:t>s</w:t>
      </w:r>
      <w:r w:rsidR="00C026A6" w:rsidRPr="00EA59C0">
        <w:t xml:space="preserve"> </w:t>
      </w:r>
      <w:r w:rsidRPr="00EA59C0">
        <w:t>to</w:t>
      </w:r>
      <w:r w:rsidR="00C026A6" w:rsidRPr="00EA59C0">
        <w:t xml:space="preserve"> </w:t>
      </w:r>
      <w:r w:rsidRPr="00EA59C0">
        <w:t>increase</w:t>
      </w:r>
      <w:r w:rsidR="00C026A6" w:rsidRPr="00EA59C0">
        <w:t xml:space="preserve"> </w:t>
      </w:r>
      <w:r w:rsidRPr="00EA59C0">
        <w:t>the</w:t>
      </w:r>
      <w:r w:rsidR="00C026A6" w:rsidRPr="00EA59C0">
        <w:t xml:space="preserve"> </w:t>
      </w:r>
      <w:r w:rsidRPr="00EA59C0">
        <w:t>number</w:t>
      </w:r>
      <w:r w:rsidR="00C026A6" w:rsidRPr="00EA59C0">
        <w:t xml:space="preserve"> </w:t>
      </w:r>
      <w:r w:rsidRPr="00EA59C0">
        <w:t>of</w:t>
      </w:r>
      <w:r w:rsidR="00C026A6" w:rsidRPr="00EA59C0">
        <w:t xml:space="preserve"> </w:t>
      </w:r>
      <w:r w:rsidRPr="00EA59C0">
        <w:t>workers</w:t>
      </w:r>
      <w:r w:rsidR="00C026A6" w:rsidRPr="00EA59C0">
        <w:t xml:space="preserve"> </w:t>
      </w:r>
      <w:r w:rsidRPr="00EA59C0">
        <w:t>who</w:t>
      </w:r>
      <w:r w:rsidR="00C026A6" w:rsidRPr="00EA59C0">
        <w:t xml:space="preserve"> </w:t>
      </w:r>
      <w:r w:rsidRPr="00EA59C0">
        <w:t>attain</w:t>
      </w:r>
      <w:r w:rsidR="00C026A6" w:rsidRPr="00EA59C0">
        <w:t xml:space="preserve"> </w:t>
      </w:r>
      <w:r w:rsidRPr="00EA59C0">
        <w:t>certificates,</w:t>
      </w:r>
      <w:r w:rsidR="00C026A6" w:rsidRPr="00EA59C0">
        <w:t xml:space="preserve"> </w:t>
      </w:r>
      <w:r w:rsidRPr="00EA59C0">
        <w:t>degrees,</w:t>
      </w:r>
      <w:r w:rsidR="00C026A6" w:rsidRPr="00EA59C0">
        <w:t xml:space="preserve"> </w:t>
      </w:r>
      <w:r w:rsidRPr="00EA59C0">
        <w:t>and</w:t>
      </w:r>
      <w:r w:rsidR="00C026A6" w:rsidRPr="00EA59C0">
        <w:t xml:space="preserve"> </w:t>
      </w:r>
      <w:r w:rsidRPr="00EA59C0">
        <w:t>other</w:t>
      </w:r>
      <w:r w:rsidR="00C026A6" w:rsidRPr="00EA59C0">
        <w:t xml:space="preserve"> </w:t>
      </w:r>
      <w:r w:rsidRPr="00EA59C0">
        <w:t>industry-recognized</w:t>
      </w:r>
      <w:r w:rsidR="00C026A6" w:rsidRPr="00EA59C0">
        <w:t xml:space="preserve"> </w:t>
      </w:r>
      <w:r w:rsidRPr="00EA59C0">
        <w:t>credentials,</w:t>
      </w:r>
      <w:r w:rsidR="00C026A6" w:rsidRPr="00EA59C0">
        <w:t xml:space="preserve"> </w:t>
      </w:r>
      <w:r w:rsidRPr="00EA59C0">
        <w:t>helping</w:t>
      </w:r>
      <w:r w:rsidR="00C026A6" w:rsidRPr="00EA59C0">
        <w:t xml:space="preserve"> </w:t>
      </w:r>
      <w:r w:rsidR="00D1478F" w:rsidRPr="00EA59C0">
        <w:t>to</w:t>
      </w:r>
      <w:r w:rsidR="00C026A6" w:rsidRPr="00EA59C0">
        <w:t xml:space="preserve"> </w:t>
      </w:r>
      <w:r w:rsidRPr="00EA59C0">
        <w:t>meet</w:t>
      </w:r>
      <w:r w:rsidR="00C026A6" w:rsidRPr="00EA59C0">
        <w:t xml:space="preserve"> </w:t>
      </w:r>
      <w:r w:rsidRPr="00EA59C0">
        <w:t>President</w:t>
      </w:r>
      <w:r w:rsidR="00C026A6" w:rsidRPr="00EA59C0">
        <w:t xml:space="preserve"> </w:t>
      </w:r>
      <w:r w:rsidRPr="00EA59C0">
        <w:t>Obama’s</w:t>
      </w:r>
      <w:r w:rsidR="00C026A6" w:rsidRPr="00EA59C0">
        <w:t xml:space="preserve"> </w:t>
      </w:r>
      <w:r w:rsidRPr="00EA59C0">
        <w:t>college</w:t>
      </w:r>
      <w:r w:rsidR="00C026A6" w:rsidRPr="00EA59C0">
        <w:t xml:space="preserve"> </w:t>
      </w:r>
      <w:r w:rsidRPr="00EA59C0">
        <w:t>graduation</w:t>
      </w:r>
      <w:r w:rsidR="00C026A6" w:rsidRPr="00EA59C0">
        <w:t xml:space="preserve"> </w:t>
      </w:r>
      <w:r w:rsidRPr="00EA59C0">
        <w:t>goal</w:t>
      </w:r>
      <w:r w:rsidR="00C026A6" w:rsidRPr="00EA59C0">
        <w:t xml:space="preserve"> </w:t>
      </w:r>
      <w:r w:rsidRPr="00EA59C0">
        <w:t>of</w:t>
      </w:r>
      <w:r w:rsidR="00C026A6" w:rsidRPr="00EA59C0">
        <w:t xml:space="preserve"> </w:t>
      </w:r>
      <w:r w:rsidRPr="00EA59C0">
        <w:t>increasing</w:t>
      </w:r>
      <w:r w:rsidR="00C026A6" w:rsidRPr="00EA59C0">
        <w:t xml:space="preserve"> </w:t>
      </w:r>
      <w:r w:rsidRPr="00EA59C0">
        <w:t>the</w:t>
      </w:r>
      <w:r w:rsidR="00C026A6" w:rsidRPr="00EA59C0">
        <w:t xml:space="preserve"> </w:t>
      </w:r>
      <w:r w:rsidRPr="00EA59C0">
        <w:t>percentage</w:t>
      </w:r>
      <w:r w:rsidR="00C026A6" w:rsidRPr="00EA59C0">
        <w:t xml:space="preserve"> </w:t>
      </w:r>
      <w:r w:rsidRPr="00EA59C0">
        <w:t>of</w:t>
      </w:r>
      <w:r w:rsidR="00C026A6" w:rsidRPr="00EA59C0">
        <w:t xml:space="preserve"> </w:t>
      </w:r>
      <w:r w:rsidRPr="00EA59C0">
        <w:t>adults</w:t>
      </w:r>
      <w:r w:rsidR="00C026A6" w:rsidRPr="00EA59C0">
        <w:t xml:space="preserve"> </w:t>
      </w:r>
      <w:r w:rsidRPr="00EA59C0">
        <w:t>with</w:t>
      </w:r>
      <w:r w:rsidR="00C026A6" w:rsidRPr="00EA59C0">
        <w:t xml:space="preserve"> </w:t>
      </w:r>
      <w:r w:rsidRPr="00EA59C0">
        <w:t>a</w:t>
      </w:r>
      <w:r w:rsidR="00C026A6" w:rsidRPr="00EA59C0">
        <w:t xml:space="preserve"> </w:t>
      </w:r>
      <w:r w:rsidRPr="00EA59C0">
        <w:t>post-secondary</w:t>
      </w:r>
      <w:r w:rsidR="00C026A6" w:rsidRPr="00EA59C0">
        <w:t xml:space="preserve"> </w:t>
      </w:r>
      <w:r w:rsidRPr="00EA59C0">
        <w:t>credential</w:t>
      </w:r>
      <w:r w:rsidR="00C026A6" w:rsidRPr="00EA59C0">
        <w:t xml:space="preserve"> </w:t>
      </w:r>
      <w:r w:rsidRPr="00EA59C0">
        <w:t>by</w:t>
      </w:r>
      <w:r w:rsidR="00C026A6" w:rsidRPr="00EA59C0">
        <w:t xml:space="preserve"> </w:t>
      </w:r>
      <w:r w:rsidRPr="00EA59C0">
        <w:t>2020.</w:t>
      </w:r>
      <w:r w:rsidR="00C026A6" w:rsidRPr="00EA59C0">
        <w:t xml:space="preserve">  </w:t>
      </w:r>
      <w:r w:rsidRPr="00EA59C0">
        <w:t>The</w:t>
      </w:r>
      <w:r w:rsidR="00C026A6" w:rsidRPr="00EA59C0">
        <w:t xml:space="preserve"> </w:t>
      </w:r>
      <w:r w:rsidRPr="00EA59C0">
        <w:t>overarching</w:t>
      </w:r>
      <w:r w:rsidR="00C026A6" w:rsidRPr="00EA59C0">
        <w:t xml:space="preserve"> </w:t>
      </w:r>
      <w:r w:rsidRPr="00EA59C0">
        <w:t>goals</w:t>
      </w:r>
      <w:r w:rsidR="00C026A6" w:rsidRPr="00EA59C0">
        <w:t xml:space="preserve"> </w:t>
      </w:r>
      <w:r w:rsidRPr="00EA59C0">
        <w:t>of</w:t>
      </w:r>
      <w:r w:rsidR="00C026A6" w:rsidRPr="00EA59C0">
        <w:t xml:space="preserve"> </w:t>
      </w:r>
      <w:r w:rsidRPr="00EA59C0">
        <w:t>the</w:t>
      </w:r>
      <w:r w:rsidR="00C026A6" w:rsidRPr="00EA59C0">
        <w:t xml:space="preserve"> </w:t>
      </w:r>
      <w:r w:rsidRPr="00EA59C0">
        <w:t>program</w:t>
      </w:r>
      <w:r w:rsidR="00C026A6" w:rsidRPr="00EA59C0">
        <w:t xml:space="preserve"> </w:t>
      </w:r>
      <w:r w:rsidRPr="00EA59C0">
        <w:t>are</w:t>
      </w:r>
      <w:r w:rsidR="00C026A6" w:rsidRPr="00EA59C0">
        <w:t xml:space="preserve"> </w:t>
      </w:r>
      <w:r w:rsidRPr="00EA59C0">
        <w:t>to:</w:t>
      </w:r>
      <w:r w:rsidR="00C026A6" w:rsidRPr="00EA59C0">
        <w:t xml:space="preserve">  </w:t>
      </w:r>
      <w:r w:rsidRPr="00EA59C0">
        <w:t>(1)</w:t>
      </w:r>
      <w:r w:rsidR="00C026A6" w:rsidRPr="00EA59C0">
        <w:t xml:space="preserve"> </w:t>
      </w:r>
      <w:r w:rsidRPr="00EA59C0">
        <w:t>increase</w:t>
      </w:r>
      <w:r w:rsidR="00C026A6" w:rsidRPr="00EA59C0">
        <w:t xml:space="preserve"> </w:t>
      </w:r>
      <w:r w:rsidRPr="00EA59C0">
        <w:t>attainment</w:t>
      </w:r>
      <w:r w:rsidR="00C026A6" w:rsidRPr="00EA59C0">
        <w:t xml:space="preserve"> </w:t>
      </w:r>
      <w:r w:rsidRPr="00EA59C0">
        <w:t>of</w:t>
      </w:r>
      <w:r w:rsidR="00C026A6" w:rsidRPr="00EA59C0">
        <w:t xml:space="preserve"> </w:t>
      </w:r>
      <w:r w:rsidRPr="00EA59C0">
        <w:t>degrees,</w:t>
      </w:r>
      <w:r w:rsidR="00C026A6" w:rsidRPr="00EA59C0">
        <w:t xml:space="preserve"> </w:t>
      </w:r>
      <w:r w:rsidRPr="00EA59C0">
        <w:t>certifications,</w:t>
      </w:r>
      <w:r w:rsidR="00C026A6" w:rsidRPr="00EA59C0">
        <w:t xml:space="preserve"> </w:t>
      </w:r>
      <w:r w:rsidRPr="00EA59C0">
        <w:t>certificates,</w:t>
      </w:r>
      <w:r w:rsidR="00C026A6" w:rsidRPr="00EA59C0">
        <w:t xml:space="preserve"> </w:t>
      </w:r>
      <w:r w:rsidRPr="00EA59C0">
        <w:t>diplomas,</w:t>
      </w:r>
      <w:r w:rsidR="00C026A6" w:rsidRPr="00EA59C0">
        <w:t xml:space="preserve"> </w:t>
      </w:r>
      <w:r w:rsidRPr="00EA59C0">
        <w:t>and</w:t>
      </w:r>
      <w:r w:rsidR="00C026A6" w:rsidRPr="00EA59C0">
        <w:t xml:space="preserve"> </w:t>
      </w:r>
      <w:r w:rsidRPr="00EA59C0">
        <w:t>other</w:t>
      </w:r>
      <w:r w:rsidR="00C026A6" w:rsidRPr="00EA59C0">
        <w:t xml:space="preserve"> </w:t>
      </w:r>
      <w:r w:rsidRPr="00EA59C0">
        <w:t>industry-recognized</w:t>
      </w:r>
      <w:r w:rsidR="00C026A6" w:rsidRPr="00EA59C0">
        <w:t xml:space="preserve"> </w:t>
      </w:r>
      <w:r w:rsidRPr="00EA59C0">
        <w:t>credentials</w:t>
      </w:r>
      <w:r w:rsidR="00C026A6" w:rsidRPr="00EA59C0">
        <w:t xml:space="preserve"> </w:t>
      </w:r>
      <w:r w:rsidRPr="00EA59C0">
        <w:t>that</w:t>
      </w:r>
      <w:r w:rsidR="00C026A6" w:rsidRPr="00EA59C0">
        <w:t xml:space="preserve"> </w:t>
      </w:r>
      <w:r w:rsidRPr="00EA59C0">
        <w:t>match</w:t>
      </w:r>
      <w:r w:rsidR="00C026A6" w:rsidRPr="00EA59C0">
        <w:t xml:space="preserve"> </w:t>
      </w:r>
      <w:r w:rsidRPr="00EA59C0">
        <w:t>the</w:t>
      </w:r>
      <w:r w:rsidR="00C026A6" w:rsidRPr="00EA59C0">
        <w:t xml:space="preserve"> </w:t>
      </w:r>
      <w:r w:rsidRPr="00EA59C0">
        <w:t>skills</w:t>
      </w:r>
      <w:r w:rsidR="00C026A6" w:rsidRPr="00EA59C0">
        <w:t xml:space="preserve"> </w:t>
      </w:r>
      <w:r w:rsidRPr="00EA59C0">
        <w:t>needed</w:t>
      </w:r>
      <w:r w:rsidR="00C026A6" w:rsidRPr="00EA59C0">
        <w:t xml:space="preserve"> </w:t>
      </w:r>
      <w:r w:rsidRPr="00EA59C0">
        <w:t>by</w:t>
      </w:r>
      <w:r w:rsidR="00C026A6" w:rsidRPr="00EA59C0">
        <w:t xml:space="preserve"> </w:t>
      </w:r>
      <w:r w:rsidRPr="00EA59C0">
        <w:t>employers</w:t>
      </w:r>
      <w:r w:rsidR="00C026A6" w:rsidRPr="00EA59C0">
        <w:t xml:space="preserve"> </w:t>
      </w:r>
      <w:r w:rsidRPr="00EA59C0">
        <w:t>to</w:t>
      </w:r>
      <w:r w:rsidR="00C026A6" w:rsidRPr="00EA59C0">
        <w:t xml:space="preserve"> </w:t>
      </w:r>
      <w:r w:rsidRPr="00EA59C0">
        <w:t>better</w:t>
      </w:r>
      <w:r w:rsidR="00C026A6" w:rsidRPr="00EA59C0">
        <w:t xml:space="preserve"> </w:t>
      </w:r>
      <w:r w:rsidRPr="00EA59C0">
        <w:t>prepare</w:t>
      </w:r>
      <w:r w:rsidR="00C026A6" w:rsidRPr="00EA59C0">
        <w:t xml:space="preserve"> </w:t>
      </w:r>
      <w:r w:rsidR="0044396A" w:rsidRPr="00EA59C0">
        <w:t>workers</w:t>
      </w:r>
      <w:r w:rsidR="00C026A6" w:rsidRPr="00EA59C0">
        <w:t xml:space="preserve"> </w:t>
      </w:r>
      <w:r w:rsidR="0044396A" w:rsidRPr="00EA59C0">
        <w:t>eligible</w:t>
      </w:r>
      <w:r w:rsidR="00C026A6" w:rsidRPr="00EA59C0">
        <w:t xml:space="preserve"> </w:t>
      </w:r>
      <w:r w:rsidR="0044396A" w:rsidRPr="00EA59C0">
        <w:t>for</w:t>
      </w:r>
      <w:r w:rsidR="00C026A6" w:rsidRPr="00EA59C0">
        <w:t xml:space="preserve"> </w:t>
      </w:r>
      <w:r w:rsidR="0044396A" w:rsidRPr="00EA59C0">
        <w:t>training</w:t>
      </w:r>
      <w:r w:rsidR="00C026A6" w:rsidRPr="00EA59C0">
        <w:t xml:space="preserve"> </w:t>
      </w:r>
      <w:r w:rsidR="0044396A" w:rsidRPr="00EA59C0">
        <w:t>under</w:t>
      </w:r>
      <w:r w:rsidR="00C026A6" w:rsidRPr="00EA59C0">
        <w:t xml:space="preserve"> </w:t>
      </w:r>
      <w:r w:rsidR="0044396A" w:rsidRPr="00EA59C0">
        <w:t>the</w:t>
      </w:r>
      <w:r w:rsidR="00C026A6" w:rsidRPr="00EA59C0">
        <w:t xml:space="preserve"> </w:t>
      </w:r>
      <w:r w:rsidR="0044396A" w:rsidRPr="00EA59C0">
        <w:t>Trade</w:t>
      </w:r>
      <w:r w:rsidR="00C026A6" w:rsidRPr="00EA59C0">
        <w:t xml:space="preserve"> </w:t>
      </w:r>
      <w:r w:rsidR="0044396A" w:rsidRPr="00EA59C0">
        <w:t>Adjustment</w:t>
      </w:r>
      <w:r w:rsidR="00C026A6" w:rsidRPr="00EA59C0">
        <w:t xml:space="preserve"> </w:t>
      </w:r>
      <w:r w:rsidR="0044396A" w:rsidRPr="00EA59C0">
        <w:t>Assistance</w:t>
      </w:r>
      <w:r w:rsidR="00C026A6" w:rsidRPr="00EA59C0">
        <w:t xml:space="preserve"> </w:t>
      </w:r>
      <w:r w:rsidR="0044396A" w:rsidRPr="00EA59C0">
        <w:t>(TAA)</w:t>
      </w:r>
      <w:r w:rsidR="00C026A6" w:rsidRPr="00EA59C0">
        <w:t xml:space="preserve"> </w:t>
      </w:r>
      <w:r w:rsidR="0044396A" w:rsidRPr="00EA59C0">
        <w:t>for</w:t>
      </w:r>
      <w:r w:rsidR="00C026A6" w:rsidRPr="00EA59C0">
        <w:t xml:space="preserve"> </w:t>
      </w:r>
      <w:r w:rsidR="0044396A" w:rsidRPr="00EA59C0">
        <w:t>Workers</w:t>
      </w:r>
      <w:r w:rsidR="00C026A6" w:rsidRPr="00EA59C0">
        <w:t xml:space="preserve"> </w:t>
      </w:r>
      <w:r w:rsidR="0044396A" w:rsidRPr="00EA59C0">
        <w:t>Program</w:t>
      </w:r>
      <w:r w:rsidR="00C026A6" w:rsidRPr="00EA59C0">
        <w:t xml:space="preserve"> </w:t>
      </w:r>
      <w:r w:rsidR="0044396A" w:rsidRPr="00EA59C0">
        <w:t>(“</w:t>
      </w:r>
      <w:r w:rsidRPr="00EA59C0">
        <w:t>TAA-eligible</w:t>
      </w:r>
      <w:r w:rsidR="00C026A6" w:rsidRPr="00EA59C0">
        <w:t xml:space="preserve"> </w:t>
      </w:r>
      <w:r w:rsidRPr="00EA59C0">
        <w:t>workers</w:t>
      </w:r>
      <w:r w:rsidR="0044396A" w:rsidRPr="00EA59C0">
        <w:t>”)</w:t>
      </w:r>
      <w:r w:rsidR="00C026A6" w:rsidRPr="00EA59C0">
        <w:t xml:space="preserve"> </w:t>
      </w:r>
      <w:r w:rsidR="0044396A" w:rsidRPr="00EA59C0">
        <w:t>of</w:t>
      </w:r>
      <w:r w:rsidR="00C026A6" w:rsidRPr="00EA59C0">
        <w:t xml:space="preserve"> </w:t>
      </w:r>
      <w:r w:rsidR="0044396A" w:rsidRPr="00EA59C0">
        <w:t>chapter</w:t>
      </w:r>
      <w:r w:rsidR="00C026A6" w:rsidRPr="00EA59C0">
        <w:t xml:space="preserve"> </w:t>
      </w:r>
      <w:r w:rsidR="0044396A" w:rsidRPr="00EA59C0">
        <w:t>2</w:t>
      </w:r>
      <w:r w:rsidR="00C026A6" w:rsidRPr="00EA59C0">
        <w:t xml:space="preserve"> </w:t>
      </w:r>
      <w:r w:rsidR="0044396A" w:rsidRPr="00EA59C0">
        <w:t>of</w:t>
      </w:r>
      <w:r w:rsidR="00C026A6" w:rsidRPr="00EA59C0">
        <w:t xml:space="preserve"> </w:t>
      </w:r>
      <w:r w:rsidR="0044396A" w:rsidRPr="00EA59C0">
        <w:t>title</w:t>
      </w:r>
      <w:r w:rsidR="00C026A6" w:rsidRPr="00EA59C0">
        <w:t xml:space="preserve"> </w:t>
      </w:r>
      <w:r w:rsidR="0044396A" w:rsidRPr="00EA59C0">
        <w:t>II</w:t>
      </w:r>
      <w:r w:rsidR="00C026A6" w:rsidRPr="00EA59C0">
        <w:t xml:space="preserve"> </w:t>
      </w:r>
      <w:r w:rsidR="0044396A" w:rsidRPr="00EA59C0">
        <w:t>of</w:t>
      </w:r>
      <w:r w:rsidR="00C026A6" w:rsidRPr="00EA59C0">
        <w:t xml:space="preserve"> </w:t>
      </w:r>
      <w:r w:rsidR="0044396A" w:rsidRPr="00EA59C0">
        <w:t>the</w:t>
      </w:r>
      <w:r w:rsidR="00C026A6" w:rsidRPr="00EA59C0">
        <w:t xml:space="preserve"> </w:t>
      </w:r>
      <w:r w:rsidR="0044396A" w:rsidRPr="00EA59C0">
        <w:t>Trade</w:t>
      </w:r>
      <w:r w:rsidR="00C026A6" w:rsidRPr="00EA59C0">
        <w:t xml:space="preserve"> </w:t>
      </w:r>
      <w:r w:rsidR="0044396A" w:rsidRPr="00EA59C0">
        <w:t>Act</w:t>
      </w:r>
      <w:r w:rsidR="00C026A6" w:rsidRPr="00EA59C0">
        <w:t xml:space="preserve"> </w:t>
      </w:r>
      <w:r w:rsidR="0044396A" w:rsidRPr="00EA59C0">
        <w:t>of</w:t>
      </w:r>
      <w:r w:rsidR="00C026A6" w:rsidRPr="00EA59C0">
        <w:t xml:space="preserve"> </w:t>
      </w:r>
      <w:r w:rsidR="0044396A" w:rsidRPr="00EA59C0">
        <w:t>1974,</w:t>
      </w:r>
      <w:r w:rsidR="00C026A6" w:rsidRPr="00EA59C0">
        <w:t xml:space="preserve"> </w:t>
      </w:r>
      <w:r w:rsidR="0044396A" w:rsidRPr="00EA59C0">
        <w:t>19</w:t>
      </w:r>
      <w:r w:rsidR="00C026A6" w:rsidRPr="00EA59C0">
        <w:t xml:space="preserve"> </w:t>
      </w:r>
      <w:r w:rsidR="0044396A" w:rsidRPr="00EA59C0">
        <w:t>U.S.C.</w:t>
      </w:r>
      <w:r w:rsidR="00C026A6" w:rsidRPr="00EA59C0">
        <w:t xml:space="preserve"> </w:t>
      </w:r>
      <w:r w:rsidR="0044396A" w:rsidRPr="00EA59C0">
        <w:t>2271-2323,</w:t>
      </w:r>
      <w:r w:rsidR="00C026A6" w:rsidRPr="00EA59C0">
        <w:t xml:space="preserve"> </w:t>
      </w:r>
      <w:r w:rsidRPr="00EA59C0">
        <w:t>and</w:t>
      </w:r>
      <w:r w:rsidR="00C026A6" w:rsidRPr="00EA59C0">
        <w:t xml:space="preserve"> </w:t>
      </w:r>
      <w:r w:rsidRPr="00EA59C0">
        <w:t>other</w:t>
      </w:r>
      <w:r w:rsidR="00C026A6" w:rsidRPr="00EA59C0">
        <w:t xml:space="preserve"> </w:t>
      </w:r>
      <w:r w:rsidRPr="00EA59C0">
        <w:t>adults</w:t>
      </w:r>
      <w:r w:rsidR="00C026A6" w:rsidRPr="00EA59C0">
        <w:t xml:space="preserve"> </w:t>
      </w:r>
      <w:r w:rsidRPr="00EA59C0">
        <w:t>for</w:t>
      </w:r>
      <w:r w:rsidR="00C026A6" w:rsidRPr="00EA59C0">
        <w:t xml:space="preserve"> </w:t>
      </w:r>
      <w:r w:rsidRPr="00EA59C0">
        <w:t>high-wage,</w:t>
      </w:r>
      <w:r w:rsidR="00C026A6" w:rsidRPr="00EA59C0">
        <w:t xml:space="preserve"> </w:t>
      </w:r>
      <w:r w:rsidRPr="00EA59C0">
        <w:t>high-skill</w:t>
      </w:r>
      <w:r w:rsidR="00C026A6" w:rsidRPr="00EA59C0">
        <w:t xml:space="preserve"> </w:t>
      </w:r>
      <w:r w:rsidRPr="00EA59C0">
        <w:t>employment</w:t>
      </w:r>
      <w:r w:rsidR="00C026A6" w:rsidRPr="00EA59C0">
        <w:t xml:space="preserve"> </w:t>
      </w:r>
      <w:r w:rsidRPr="00EA59C0">
        <w:t>or</w:t>
      </w:r>
      <w:r w:rsidR="00C026A6" w:rsidRPr="00EA59C0">
        <w:t xml:space="preserve"> </w:t>
      </w:r>
      <w:r w:rsidRPr="00EA59C0">
        <w:t>re-employment</w:t>
      </w:r>
      <w:r w:rsidR="00C026A6" w:rsidRPr="00EA59C0">
        <w:t xml:space="preserve"> </w:t>
      </w:r>
      <w:r w:rsidRPr="00EA59C0">
        <w:t>in</w:t>
      </w:r>
      <w:r w:rsidR="00C026A6" w:rsidRPr="00EA59C0">
        <w:t xml:space="preserve"> </w:t>
      </w:r>
      <w:r w:rsidRPr="00EA59C0">
        <w:t>growth</w:t>
      </w:r>
      <w:r w:rsidR="00C026A6" w:rsidRPr="00EA59C0">
        <w:t xml:space="preserve"> </w:t>
      </w:r>
      <w:r w:rsidRPr="00EA59C0">
        <w:t>industry</w:t>
      </w:r>
      <w:r w:rsidR="00C026A6" w:rsidRPr="00EA59C0">
        <w:t xml:space="preserve"> </w:t>
      </w:r>
      <w:r w:rsidRPr="00EA59C0">
        <w:t>sectors;</w:t>
      </w:r>
      <w:r w:rsidR="00C026A6" w:rsidRPr="00EA59C0">
        <w:t xml:space="preserve"> </w:t>
      </w:r>
      <w:r w:rsidRPr="00EA59C0">
        <w:t>(2)</w:t>
      </w:r>
      <w:r w:rsidR="00C026A6" w:rsidRPr="00EA59C0">
        <w:t xml:space="preserve"> </w:t>
      </w:r>
      <w:r w:rsidRPr="00EA59C0">
        <w:t>introduce</w:t>
      </w:r>
      <w:r w:rsidR="00C026A6" w:rsidRPr="00EA59C0">
        <w:t xml:space="preserve"> </w:t>
      </w:r>
      <w:r w:rsidRPr="00EA59C0">
        <w:t>or</w:t>
      </w:r>
      <w:r w:rsidR="00C026A6" w:rsidRPr="00EA59C0">
        <w:t xml:space="preserve"> </w:t>
      </w:r>
      <w:r w:rsidRPr="00EA59C0">
        <w:t>replicate</w:t>
      </w:r>
      <w:r w:rsidR="00C026A6" w:rsidRPr="00EA59C0">
        <w:t xml:space="preserve"> </w:t>
      </w:r>
      <w:r w:rsidRPr="00EA59C0">
        <w:t>innovative</w:t>
      </w:r>
      <w:r w:rsidR="00C026A6" w:rsidRPr="00EA59C0">
        <w:t xml:space="preserve"> </w:t>
      </w:r>
      <w:r w:rsidRPr="00EA59C0">
        <w:t>and</w:t>
      </w:r>
      <w:r w:rsidR="00C026A6" w:rsidRPr="00EA59C0">
        <w:t xml:space="preserve"> </w:t>
      </w:r>
      <w:r w:rsidRPr="00EA59C0">
        <w:t>effective</w:t>
      </w:r>
      <w:r w:rsidR="00C026A6" w:rsidRPr="00EA59C0">
        <w:t xml:space="preserve"> </w:t>
      </w:r>
      <w:r w:rsidRPr="00EA59C0">
        <w:t>methods</w:t>
      </w:r>
      <w:r w:rsidR="00C026A6" w:rsidRPr="00EA59C0">
        <w:t xml:space="preserve"> </w:t>
      </w:r>
      <w:r w:rsidRPr="00EA59C0">
        <w:t>for</w:t>
      </w:r>
      <w:r w:rsidR="00C026A6" w:rsidRPr="00EA59C0">
        <w:t xml:space="preserve"> </w:t>
      </w:r>
      <w:r w:rsidRPr="00EA59C0">
        <w:t>designing</w:t>
      </w:r>
      <w:r w:rsidR="00C026A6" w:rsidRPr="00EA59C0">
        <w:t xml:space="preserve"> </w:t>
      </w:r>
      <w:r w:rsidRPr="00EA59C0">
        <w:t>and</w:t>
      </w:r>
      <w:r w:rsidR="00C026A6" w:rsidRPr="00EA59C0">
        <w:t xml:space="preserve"> </w:t>
      </w:r>
      <w:r w:rsidRPr="00EA59C0">
        <w:t>delivering</w:t>
      </w:r>
      <w:r w:rsidR="00C026A6" w:rsidRPr="00EA59C0">
        <w:t xml:space="preserve"> </w:t>
      </w:r>
      <w:r w:rsidRPr="00EA59C0">
        <w:t>instruction</w:t>
      </w:r>
      <w:r w:rsidR="00C026A6" w:rsidRPr="00EA59C0">
        <w:t xml:space="preserve"> </w:t>
      </w:r>
      <w:r w:rsidRPr="00EA59C0">
        <w:t>that</w:t>
      </w:r>
      <w:r w:rsidR="00C026A6" w:rsidRPr="00EA59C0">
        <w:t xml:space="preserve"> </w:t>
      </w:r>
      <w:r w:rsidRPr="00EA59C0">
        <w:t>address</w:t>
      </w:r>
      <w:r w:rsidR="00C026A6" w:rsidRPr="00EA59C0">
        <w:t xml:space="preserve"> </w:t>
      </w:r>
      <w:r w:rsidRPr="00EA59C0">
        <w:t>specific</w:t>
      </w:r>
      <w:r w:rsidR="00C026A6" w:rsidRPr="00EA59C0">
        <w:t xml:space="preserve"> </w:t>
      </w:r>
      <w:r w:rsidRPr="00EA59C0">
        <w:t>industry</w:t>
      </w:r>
      <w:r w:rsidR="00C026A6" w:rsidRPr="00EA59C0">
        <w:t xml:space="preserve"> </w:t>
      </w:r>
      <w:r w:rsidRPr="00EA59C0">
        <w:t>needs</w:t>
      </w:r>
      <w:r w:rsidR="00C026A6" w:rsidRPr="00EA59C0">
        <w:t xml:space="preserve"> </w:t>
      </w:r>
      <w:r w:rsidRPr="00EA59C0">
        <w:t>and</w:t>
      </w:r>
      <w:r w:rsidR="00C026A6" w:rsidRPr="00EA59C0">
        <w:t xml:space="preserve"> </w:t>
      </w:r>
      <w:r w:rsidRPr="00EA59C0">
        <w:t>lead</w:t>
      </w:r>
      <w:r w:rsidR="00C026A6" w:rsidRPr="00EA59C0">
        <w:t xml:space="preserve"> </w:t>
      </w:r>
      <w:r w:rsidRPr="00EA59C0">
        <w:t>to</w:t>
      </w:r>
      <w:r w:rsidR="00C026A6" w:rsidRPr="00EA59C0">
        <w:t xml:space="preserve"> </w:t>
      </w:r>
      <w:r w:rsidRPr="00EA59C0">
        <w:t>improved</w:t>
      </w:r>
      <w:r w:rsidR="00C026A6" w:rsidRPr="00EA59C0">
        <w:t xml:space="preserve"> </w:t>
      </w:r>
      <w:r w:rsidRPr="00EA59C0">
        <w:t>learning,</w:t>
      </w:r>
      <w:r w:rsidR="00C026A6" w:rsidRPr="00EA59C0">
        <w:t xml:space="preserve"> </w:t>
      </w:r>
      <w:r w:rsidRPr="00EA59C0">
        <w:t>completion,</w:t>
      </w:r>
      <w:r w:rsidR="00C026A6" w:rsidRPr="00EA59C0">
        <w:t xml:space="preserve"> </w:t>
      </w:r>
      <w:r w:rsidRPr="00EA59C0">
        <w:t>and</w:t>
      </w:r>
      <w:r w:rsidR="00C026A6" w:rsidRPr="00EA59C0">
        <w:t xml:space="preserve"> </w:t>
      </w:r>
      <w:r w:rsidRPr="00EA59C0">
        <w:t>other</w:t>
      </w:r>
      <w:r w:rsidR="00C026A6" w:rsidRPr="00EA59C0">
        <w:t xml:space="preserve"> </w:t>
      </w:r>
      <w:r w:rsidRPr="00EA59C0">
        <w:t>outcomes</w:t>
      </w:r>
      <w:r w:rsidR="00C026A6" w:rsidRPr="00EA59C0">
        <w:t xml:space="preserve"> </w:t>
      </w:r>
      <w:r w:rsidRPr="00EA59C0">
        <w:t>for</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and</w:t>
      </w:r>
      <w:r w:rsidR="00C026A6" w:rsidRPr="00EA59C0">
        <w:t xml:space="preserve"> </w:t>
      </w:r>
      <w:r w:rsidRPr="00EA59C0">
        <w:t>other</w:t>
      </w:r>
      <w:r w:rsidR="00C026A6" w:rsidRPr="00EA59C0">
        <w:t xml:space="preserve"> </w:t>
      </w:r>
      <w:r w:rsidRPr="00EA59C0">
        <w:t>adults;</w:t>
      </w:r>
      <w:r w:rsidR="00C026A6" w:rsidRPr="00EA59C0">
        <w:t xml:space="preserve"> </w:t>
      </w:r>
      <w:r w:rsidRPr="00EA59C0">
        <w:t>and</w:t>
      </w:r>
      <w:r w:rsidR="00C026A6" w:rsidRPr="00EA59C0">
        <w:t xml:space="preserve"> </w:t>
      </w:r>
      <w:r w:rsidRPr="00EA59C0">
        <w:t>(3)</w:t>
      </w:r>
      <w:r w:rsidR="00C026A6" w:rsidRPr="00EA59C0">
        <w:t xml:space="preserve"> </w:t>
      </w:r>
      <w:r w:rsidRPr="00EA59C0">
        <w:t>demonstrate</w:t>
      </w:r>
      <w:r w:rsidR="00C026A6" w:rsidRPr="00EA59C0">
        <w:t xml:space="preserve"> </w:t>
      </w:r>
      <w:r w:rsidRPr="00EA59C0">
        <w:t>improved</w:t>
      </w:r>
      <w:r w:rsidR="00C026A6" w:rsidRPr="00EA59C0">
        <w:t xml:space="preserve"> </w:t>
      </w:r>
      <w:r w:rsidRPr="00EA59C0">
        <w:t>employment</w:t>
      </w:r>
      <w:r w:rsidR="00C026A6" w:rsidRPr="00EA59C0">
        <w:t xml:space="preserve"> </w:t>
      </w:r>
      <w:r w:rsidRPr="00EA59C0">
        <w:t>outcomes.</w:t>
      </w:r>
    </w:p>
    <w:p w:rsidR="00472029" w:rsidRPr="00EA59C0" w:rsidRDefault="00472029" w:rsidP="007A73AC">
      <w:pPr>
        <w:ind w:left="360"/>
      </w:pPr>
    </w:p>
    <w:p w:rsidR="00CD4308" w:rsidRPr="00EA59C0" w:rsidRDefault="00CD4308" w:rsidP="007A73AC">
      <w:pPr>
        <w:ind w:left="360"/>
      </w:pPr>
      <w:r w:rsidRPr="00EA59C0">
        <w:t>The</w:t>
      </w:r>
      <w:r w:rsidR="00C026A6" w:rsidRPr="00EA59C0">
        <w:t xml:space="preserve"> </w:t>
      </w:r>
      <w:r w:rsidRPr="00EA59C0">
        <w:t>Department</w:t>
      </w:r>
      <w:r w:rsidR="00C026A6" w:rsidRPr="00EA59C0">
        <w:t xml:space="preserve"> </w:t>
      </w:r>
      <w:r w:rsidRPr="00EA59C0">
        <w:t>is</w:t>
      </w:r>
      <w:r w:rsidR="00C026A6" w:rsidRPr="00EA59C0">
        <w:t xml:space="preserve"> </w:t>
      </w:r>
      <w:r w:rsidRPr="00EA59C0">
        <w:t>implementing</w:t>
      </w:r>
      <w:r w:rsidR="00C026A6" w:rsidRPr="00EA59C0">
        <w:t xml:space="preserve"> </w:t>
      </w:r>
      <w:r w:rsidRPr="00EA59C0">
        <w:t>TAACCCT</w:t>
      </w:r>
      <w:r w:rsidR="00C026A6" w:rsidRPr="00EA59C0">
        <w:t xml:space="preserve"> </w:t>
      </w:r>
      <w:r w:rsidRPr="00EA59C0">
        <w:t>in</w:t>
      </w:r>
      <w:r w:rsidR="00C026A6" w:rsidRPr="00EA59C0">
        <w:t xml:space="preserve"> </w:t>
      </w:r>
      <w:r w:rsidRPr="00EA59C0">
        <w:t>partnership</w:t>
      </w:r>
      <w:r w:rsidR="00C026A6" w:rsidRPr="00EA59C0">
        <w:t xml:space="preserve"> </w:t>
      </w:r>
      <w:r w:rsidRPr="00EA59C0">
        <w:t>with</w:t>
      </w:r>
      <w:r w:rsidR="00C026A6" w:rsidRPr="00EA59C0">
        <w:t xml:space="preserve"> </w:t>
      </w:r>
      <w:r w:rsidRPr="00EA59C0">
        <w:t>the</w:t>
      </w:r>
      <w:r w:rsidR="00C026A6" w:rsidRPr="00EA59C0">
        <w:t xml:space="preserve"> </w:t>
      </w:r>
      <w:r w:rsidRPr="00EA59C0">
        <w:t>U.S.</w:t>
      </w:r>
      <w:r w:rsidR="00C026A6" w:rsidRPr="00EA59C0">
        <w:t xml:space="preserve"> </w:t>
      </w:r>
      <w:r w:rsidRPr="00EA59C0">
        <w:t>Department</w:t>
      </w:r>
      <w:r w:rsidR="00C026A6" w:rsidRPr="00EA59C0">
        <w:t xml:space="preserve"> </w:t>
      </w:r>
      <w:r w:rsidRPr="00EA59C0">
        <w:t>of</w:t>
      </w:r>
      <w:r w:rsidR="00C026A6" w:rsidRPr="00EA59C0">
        <w:t xml:space="preserve"> </w:t>
      </w:r>
      <w:r w:rsidRPr="00EA59C0">
        <w:t>Education</w:t>
      </w:r>
      <w:r w:rsidR="0009044A" w:rsidRPr="00EA59C0">
        <w:t xml:space="preserve">.  The two Departments believe that </w:t>
      </w:r>
      <w:r w:rsidRPr="00EA59C0">
        <w:t>the</w:t>
      </w:r>
      <w:r w:rsidR="00C026A6" w:rsidRPr="00EA59C0">
        <w:t xml:space="preserve"> </w:t>
      </w:r>
      <w:r w:rsidRPr="00EA59C0">
        <w:t>TAACCCT</w:t>
      </w:r>
      <w:r w:rsidR="00C026A6" w:rsidRPr="00EA59C0">
        <w:t xml:space="preserve"> </w:t>
      </w:r>
      <w:r w:rsidRPr="00EA59C0">
        <w:t>program</w:t>
      </w:r>
      <w:r w:rsidR="00C026A6" w:rsidRPr="00EA59C0">
        <w:t xml:space="preserve"> </w:t>
      </w:r>
      <w:r w:rsidRPr="00EA59C0">
        <w:t>plays</w:t>
      </w:r>
      <w:r w:rsidR="00C026A6" w:rsidRPr="00EA59C0">
        <w:t xml:space="preserve"> </w:t>
      </w:r>
      <w:r w:rsidRPr="00EA59C0">
        <w:t>a</w:t>
      </w:r>
      <w:r w:rsidR="00C026A6" w:rsidRPr="00EA59C0">
        <w:t xml:space="preserve"> </w:t>
      </w:r>
      <w:r w:rsidRPr="00EA59C0">
        <w:t>major</w:t>
      </w:r>
      <w:r w:rsidR="00C026A6" w:rsidRPr="00EA59C0">
        <w:t xml:space="preserve"> </w:t>
      </w:r>
      <w:r w:rsidRPr="00EA59C0">
        <w:t>role</w:t>
      </w:r>
      <w:r w:rsidR="00C026A6" w:rsidRPr="00EA59C0">
        <w:t xml:space="preserve"> </w:t>
      </w:r>
      <w:r w:rsidRPr="00EA59C0">
        <w:t>in</w:t>
      </w:r>
      <w:r w:rsidR="00C026A6" w:rsidRPr="00EA59C0">
        <w:t xml:space="preserve"> </w:t>
      </w:r>
      <w:r w:rsidRPr="00EA59C0">
        <w:t>helping</w:t>
      </w:r>
      <w:r w:rsidR="00C026A6" w:rsidRPr="00EA59C0">
        <w:t xml:space="preserve"> </w:t>
      </w:r>
      <w:r w:rsidRPr="00EA59C0">
        <w:t>America’s</w:t>
      </w:r>
      <w:r w:rsidR="00C026A6" w:rsidRPr="00EA59C0">
        <w:t xml:space="preserve"> </w:t>
      </w:r>
      <w:r w:rsidRPr="00EA59C0">
        <w:t>community</w:t>
      </w:r>
      <w:r w:rsidR="00C026A6" w:rsidRPr="00EA59C0">
        <w:t xml:space="preserve"> </w:t>
      </w:r>
      <w:r w:rsidRPr="00EA59C0">
        <w:t>colleges</w:t>
      </w:r>
      <w:r w:rsidR="00C026A6" w:rsidRPr="00EA59C0">
        <w:t xml:space="preserve"> </w:t>
      </w:r>
      <w:r w:rsidRPr="00EA59C0">
        <w:t>and</w:t>
      </w:r>
      <w:r w:rsidR="00C026A6" w:rsidRPr="00EA59C0">
        <w:t xml:space="preserve"> </w:t>
      </w:r>
      <w:r w:rsidRPr="00EA59C0">
        <w:t>other</w:t>
      </w:r>
      <w:r w:rsidR="00C026A6" w:rsidRPr="00EA59C0">
        <w:t xml:space="preserve"> </w:t>
      </w:r>
      <w:r w:rsidRPr="00EA59C0">
        <w:t>higher</w:t>
      </w:r>
      <w:r w:rsidR="00C026A6" w:rsidRPr="00EA59C0">
        <w:t xml:space="preserve"> </w:t>
      </w:r>
      <w:r w:rsidRPr="00EA59C0">
        <w:t>education</w:t>
      </w:r>
      <w:r w:rsidR="00C026A6" w:rsidRPr="00EA59C0">
        <w:t xml:space="preserve"> </w:t>
      </w:r>
      <w:r w:rsidRPr="00EA59C0">
        <w:t>institutions</w:t>
      </w:r>
      <w:r w:rsidR="0009044A" w:rsidRPr="00EA59C0">
        <w:t xml:space="preserve"> </w:t>
      </w:r>
      <w:r w:rsidR="00A37D2E" w:rsidRPr="00EA59C0">
        <w:t>drive changes in designing and delivering</w:t>
      </w:r>
      <w:r w:rsidR="00C026A6" w:rsidRPr="00EA59C0">
        <w:t xml:space="preserve"> </w:t>
      </w:r>
      <w:r w:rsidRPr="00EA59C0">
        <w:t>programs</w:t>
      </w:r>
      <w:r w:rsidR="00C026A6" w:rsidRPr="00EA59C0">
        <w:t xml:space="preserve"> </w:t>
      </w:r>
      <w:r w:rsidRPr="00EA59C0">
        <w:t>that</w:t>
      </w:r>
      <w:r w:rsidR="00C026A6" w:rsidRPr="00EA59C0">
        <w:t xml:space="preserve"> </w:t>
      </w:r>
      <w:r w:rsidRPr="00EA59C0">
        <w:t>provide</w:t>
      </w:r>
      <w:r w:rsidR="00C026A6" w:rsidRPr="00EA59C0">
        <w:t xml:space="preserve"> </w:t>
      </w:r>
      <w:r w:rsidRPr="00EA59C0">
        <w:t>career</w:t>
      </w:r>
      <w:r w:rsidR="00C026A6" w:rsidRPr="00EA59C0">
        <w:t xml:space="preserve"> </w:t>
      </w:r>
      <w:r w:rsidRPr="00EA59C0">
        <w:t>pathways</w:t>
      </w:r>
      <w:r w:rsidR="00C026A6" w:rsidRPr="00EA59C0">
        <w:t xml:space="preserve"> </w:t>
      </w:r>
      <w:r w:rsidRPr="00EA59C0">
        <w:t>to</w:t>
      </w:r>
      <w:r w:rsidR="00C026A6" w:rsidRPr="00EA59C0">
        <w:t xml:space="preserve"> </w:t>
      </w:r>
      <w:r w:rsidRPr="00EA59C0">
        <w:t>good</w:t>
      </w:r>
      <w:r w:rsidR="00C026A6" w:rsidRPr="00EA59C0">
        <w:t xml:space="preserve"> </w:t>
      </w:r>
      <w:r w:rsidRPr="00EA59C0">
        <w:t>jobs</w:t>
      </w:r>
      <w:r w:rsidR="00C026A6" w:rsidRPr="00EA59C0">
        <w:t xml:space="preserve"> </w:t>
      </w:r>
      <w:r w:rsidRPr="00EA59C0">
        <w:t>for</w:t>
      </w:r>
      <w:r w:rsidR="00C026A6" w:rsidRPr="00EA59C0">
        <w:t xml:space="preserve"> </w:t>
      </w:r>
      <w:r w:rsidRPr="00EA59C0">
        <w:t>adult</w:t>
      </w:r>
      <w:r w:rsidR="00C026A6" w:rsidRPr="00EA59C0">
        <w:t xml:space="preserve"> </w:t>
      </w:r>
      <w:r w:rsidRPr="00EA59C0">
        <w:t>workers</w:t>
      </w:r>
      <w:r w:rsidR="00C026A6" w:rsidRPr="00EA59C0">
        <w:t xml:space="preserve"> </w:t>
      </w:r>
      <w:r w:rsidRPr="00EA59C0">
        <w:t>and</w:t>
      </w:r>
      <w:r w:rsidR="00C026A6" w:rsidRPr="00EA59C0">
        <w:t xml:space="preserve"> </w:t>
      </w:r>
      <w:r w:rsidRPr="00EA59C0">
        <w:t>meet</w:t>
      </w:r>
      <w:r w:rsidR="00C026A6" w:rsidRPr="00EA59C0">
        <w:t xml:space="preserve"> </w:t>
      </w:r>
      <w:r w:rsidRPr="00EA59C0">
        <w:t>employer</w:t>
      </w:r>
      <w:r w:rsidR="00C026A6" w:rsidRPr="00EA59C0">
        <w:t xml:space="preserve"> </w:t>
      </w:r>
      <w:r w:rsidRPr="00EA59C0">
        <w:t>needs</w:t>
      </w:r>
      <w:r w:rsidR="00C026A6" w:rsidRPr="00EA59C0">
        <w:t xml:space="preserve"> </w:t>
      </w:r>
      <w:r w:rsidRPr="00EA59C0">
        <w:t>for</w:t>
      </w:r>
      <w:r w:rsidR="00C026A6" w:rsidRPr="00EA59C0">
        <w:t xml:space="preserve"> </w:t>
      </w:r>
      <w:r w:rsidRPr="00EA59C0">
        <w:t>highly</w:t>
      </w:r>
      <w:r w:rsidR="00C026A6" w:rsidRPr="00EA59C0">
        <w:t xml:space="preserve"> </w:t>
      </w:r>
      <w:r w:rsidRPr="00EA59C0">
        <w:t>skilled</w:t>
      </w:r>
      <w:r w:rsidR="00C026A6" w:rsidRPr="00EA59C0">
        <w:t xml:space="preserve"> </w:t>
      </w:r>
      <w:r w:rsidRPr="00EA59C0">
        <w:t>workers</w:t>
      </w:r>
      <w:r w:rsidR="00C026A6" w:rsidRPr="00EA59C0">
        <w:t xml:space="preserve"> </w:t>
      </w:r>
      <w:r w:rsidRPr="00EA59C0">
        <w:t>in</w:t>
      </w:r>
      <w:r w:rsidR="00C026A6" w:rsidRPr="00EA59C0">
        <w:t xml:space="preserve"> </w:t>
      </w:r>
      <w:r w:rsidRPr="00EA59C0">
        <w:t>growth</w:t>
      </w:r>
      <w:r w:rsidR="00C026A6" w:rsidRPr="00EA59C0">
        <w:t xml:space="preserve"> </w:t>
      </w:r>
      <w:r w:rsidRPr="00EA59C0">
        <w:t>industries.</w:t>
      </w:r>
      <w:r w:rsidR="00C026A6" w:rsidRPr="00EA59C0">
        <w:t xml:space="preserve">  </w:t>
      </w:r>
    </w:p>
    <w:p w:rsidR="00CD4308" w:rsidRPr="00EA59C0" w:rsidRDefault="00CD4308" w:rsidP="007A73AC">
      <w:pPr>
        <w:ind w:left="360"/>
      </w:pPr>
    </w:p>
    <w:p w:rsidR="00421FB0" w:rsidRPr="00EA59C0" w:rsidRDefault="00CD4308" w:rsidP="007A73AC">
      <w:pPr>
        <w:ind w:left="360"/>
      </w:pPr>
      <w:r w:rsidRPr="00EA59C0">
        <w:t>With</w:t>
      </w:r>
      <w:r w:rsidR="00C026A6" w:rsidRPr="00EA59C0">
        <w:t xml:space="preserve"> </w:t>
      </w:r>
      <w:r w:rsidRPr="00EA59C0">
        <w:t>this</w:t>
      </w:r>
      <w:r w:rsidR="00C026A6" w:rsidRPr="00EA59C0">
        <w:t xml:space="preserve"> </w:t>
      </w:r>
      <w:r w:rsidRPr="00EA59C0">
        <w:t>final</w:t>
      </w:r>
      <w:r w:rsidR="00C026A6" w:rsidRPr="00EA59C0">
        <w:t xml:space="preserve"> </w:t>
      </w:r>
      <w:r w:rsidRPr="00EA59C0">
        <w:t>round</w:t>
      </w:r>
      <w:r w:rsidR="00C026A6" w:rsidRPr="00EA59C0">
        <w:t xml:space="preserve"> </w:t>
      </w:r>
      <w:r w:rsidRPr="00EA59C0">
        <w:t>of</w:t>
      </w:r>
      <w:r w:rsidR="00C026A6" w:rsidRPr="00EA59C0">
        <w:t xml:space="preserve"> </w:t>
      </w:r>
      <w:r w:rsidRPr="00EA59C0">
        <w:t>TAACCCT</w:t>
      </w:r>
      <w:r w:rsidR="00C026A6" w:rsidRPr="00EA59C0">
        <w:t xml:space="preserve"> </w:t>
      </w:r>
      <w:r w:rsidRPr="00EA59C0">
        <w:t>funding,</w:t>
      </w:r>
      <w:r w:rsidR="00C026A6" w:rsidRPr="00EA59C0">
        <w:t xml:space="preserve"> </w:t>
      </w:r>
      <w:r w:rsidRPr="00EA59C0">
        <w:t>the</w:t>
      </w:r>
      <w:r w:rsidR="00C026A6" w:rsidRPr="00EA59C0">
        <w:t xml:space="preserve"> </w:t>
      </w:r>
      <w:r w:rsidRPr="00EA59C0">
        <w:t>Department</w:t>
      </w:r>
      <w:r w:rsidR="00C026A6" w:rsidRPr="00EA59C0">
        <w:t xml:space="preserve"> </w:t>
      </w:r>
      <w:r w:rsidR="00E16108" w:rsidRPr="00EA59C0">
        <w:t>is</w:t>
      </w:r>
      <w:r w:rsidR="00C026A6" w:rsidRPr="00EA59C0">
        <w:t xml:space="preserve"> </w:t>
      </w:r>
      <w:r w:rsidRPr="00EA59C0">
        <w:t>focused</w:t>
      </w:r>
      <w:r w:rsidR="00C026A6" w:rsidRPr="00EA59C0">
        <w:t xml:space="preserve"> </w:t>
      </w:r>
      <w:r w:rsidRPr="00EA59C0">
        <w:t>on</w:t>
      </w:r>
      <w:r w:rsidR="00C026A6" w:rsidRPr="00EA59C0">
        <w:t xml:space="preserve"> </w:t>
      </w:r>
      <w:r w:rsidRPr="00EA59C0">
        <w:t>advancing</w:t>
      </w:r>
      <w:r w:rsidR="00C026A6" w:rsidRPr="00EA59C0">
        <w:t xml:space="preserve"> </w:t>
      </w:r>
      <w:r w:rsidRPr="00EA59C0">
        <w:t>innovative</w:t>
      </w:r>
      <w:r w:rsidR="00AC45F9" w:rsidRPr="00EA59C0">
        <w:t>,</w:t>
      </w:r>
      <w:r w:rsidR="00C026A6" w:rsidRPr="00EA59C0">
        <w:t xml:space="preserve"> </w:t>
      </w:r>
      <w:r w:rsidR="00AC45F9" w:rsidRPr="00EA59C0">
        <w:t>sector-based</w:t>
      </w:r>
      <w:r w:rsidR="00C026A6" w:rsidRPr="00EA59C0">
        <w:t xml:space="preserve"> </w:t>
      </w:r>
      <w:r w:rsidRPr="00EA59C0">
        <w:t>system</w:t>
      </w:r>
      <w:r w:rsidR="00C026A6" w:rsidRPr="00EA59C0">
        <w:t xml:space="preserve"> </w:t>
      </w:r>
      <w:r w:rsidRPr="00EA59C0">
        <w:t>change</w:t>
      </w:r>
      <w:r w:rsidR="00C026A6" w:rsidRPr="00EA59C0">
        <w:t xml:space="preserve"> </w:t>
      </w:r>
      <w:r w:rsidR="00AC45F9" w:rsidRPr="00EA59C0">
        <w:t>in</w:t>
      </w:r>
      <w:r w:rsidR="00C026A6" w:rsidRPr="00EA59C0">
        <w:t xml:space="preserve"> </w:t>
      </w:r>
      <w:r w:rsidR="00160EC9" w:rsidRPr="00EA59C0">
        <w:t>regional</w:t>
      </w:r>
      <w:r w:rsidR="00C026A6" w:rsidRPr="00EA59C0">
        <w:t xml:space="preserve"> </w:t>
      </w:r>
      <w:r w:rsidR="00160EC9" w:rsidRPr="00EA59C0">
        <w:t>and</w:t>
      </w:r>
      <w:r w:rsidR="00C026A6" w:rsidRPr="00EA59C0">
        <w:t xml:space="preserve"> </w:t>
      </w:r>
      <w:r w:rsidR="00160EC9" w:rsidRPr="00EA59C0">
        <w:t>statewide</w:t>
      </w:r>
      <w:r w:rsidR="00C026A6" w:rsidRPr="00EA59C0">
        <w:t xml:space="preserve"> </w:t>
      </w:r>
      <w:r w:rsidR="00160EC9" w:rsidRPr="00EA59C0">
        <w:t>economies</w:t>
      </w:r>
      <w:r w:rsidR="00C026A6" w:rsidRPr="00EA59C0">
        <w:t xml:space="preserve"> </w:t>
      </w:r>
      <w:r w:rsidR="00AC45F9" w:rsidRPr="00EA59C0">
        <w:t>through</w:t>
      </w:r>
      <w:r w:rsidR="00C026A6" w:rsidRPr="00EA59C0">
        <w:t xml:space="preserve"> </w:t>
      </w:r>
      <w:r w:rsidR="00AC45F9" w:rsidRPr="00EA59C0">
        <w:t>grants</w:t>
      </w:r>
      <w:r w:rsidR="00C026A6" w:rsidRPr="00EA59C0">
        <w:t xml:space="preserve"> </w:t>
      </w:r>
      <w:r w:rsidR="00AC45F9" w:rsidRPr="00EA59C0">
        <w:t>to</w:t>
      </w:r>
      <w:r w:rsidR="00C026A6" w:rsidRPr="00EA59C0">
        <w:t xml:space="preserve"> </w:t>
      </w:r>
      <w:r w:rsidR="00AC45F9" w:rsidRPr="00EA59C0">
        <w:t>single</w:t>
      </w:r>
      <w:r w:rsidR="00C026A6" w:rsidRPr="00EA59C0">
        <w:t xml:space="preserve"> </w:t>
      </w:r>
      <w:r w:rsidR="00AC45F9" w:rsidRPr="00EA59C0">
        <w:t>eligible</w:t>
      </w:r>
      <w:r w:rsidR="00C026A6" w:rsidRPr="00EA59C0">
        <w:t xml:space="preserve"> </w:t>
      </w:r>
      <w:r w:rsidR="00AC45F9" w:rsidRPr="00EA59C0">
        <w:t>institutions</w:t>
      </w:r>
      <w:r w:rsidR="00C026A6" w:rsidRPr="00EA59C0">
        <w:t xml:space="preserve"> </w:t>
      </w:r>
      <w:r w:rsidR="00AC45F9" w:rsidRPr="00EA59C0">
        <w:t>and</w:t>
      </w:r>
      <w:r w:rsidR="00C026A6" w:rsidRPr="00EA59C0">
        <w:t xml:space="preserve"> </w:t>
      </w:r>
      <w:r w:rsidR="00683257" w:rsidRPr="00EA59C0">
        <w:t>consortia</w:t>
      </w:r>
      <w:r w:rsidR="00C026A6" w:rsidRPr="00EA59C0">
        <w:t xml:space="preserve"> </w:t>
      </w:r>
      <w:r w:rsidR="00AC45F9" w:rsidRPr="00EA59C0">
        <w:t>of</w:t>
      </w:r>
      <w:r w:rsidR="00C026A6" w:rsidRPr="00EA59C0">
        <w:t xml:space="preserve"> </w:t>
      </w:r>
      <w:r w:rsidR="00AC45F9" w:rsidRPr="00EA59C0">
        <w:t>eligible</w:t>
      </w:r>
      <w:r w:rsidR="00C026A6" w:rsidRPr="00EA59C0">
        <w:t xml:space="preserve"> </w:t>
      </w:r>
      <w:r w:rsidR="00AC45F9" w:rsidRPr="00EA59C0">
        <w:t>institutions</w:t>
      </w:r>
      <w:r w:rsidRPr="00EA59C0">
        <w:t>.</w:t>
      </w:r>
      <w:r w:rsidR="00C026A6" w:rsidRPr="00EA59C0">
        <w:t xml:space="preserve">  </w:t>
      </w:r>
      <w:r w:rsidRPr="00EA59C0">
        <w:t>These</w:t>
      </w:r>
      <w:r w:rsidR="00C026A6" w:rsidRPr="00EA59C0">
        <w:t xml:space="preserve"> </w:t>
      </w:r>
      <w:r w:rsidRPr="00EA59C0">
        <w:t>grant</w:t>
      </w:r>
      <w:r w:rsidR="00C026A6" w:rsidRPr="00EA59C0">
        <w:t xml:space="preserve"> </w:t>
      </w:r>
      <w:r w:rsidRPr="00EA59C0">
        <w:t>projects</w:t>
      </w:r>
      <w:r w:rsidR="00C026A6" w:rsidRPr="00EA59C0">
        <w:t xml:space="preserve"> </w:t>
      </w:r>
      <w:r w:rsidRPr="00EA59C0">
        <w:t>will</w:t>
      </w:r>
      <w:r w:rsidR="00C026A6" w:rsidRPr="00EA59C0">
        <w:t xml:space="preserve"> </w:t>
      </w:r>
      <w:r w:rsidRPr="00EA59C0">
        <w:t>create</w:t>
      </w:r>
      <w:r w:rsidR="00C026A6" w:rsidRPr="00EA59C0">
        <w:t xml:space="preserve"> </w:t>
      </w:r>
      <w:r w:rsidRPr="00EA59C0">
        <w:t>industry-driven</w:t>
      </w:r>
      <w:r w:rsidR="00C026A6" w:rsidRPr="00EA59C0">
        <w:t xml:space="preserve"> </w:t>
      </w:r>
      <w:r w:rsidRPr="00EA59C0">
        <w:t>strategies</w:t>
      </w:r>
      <w:r w:rsidR="00C026A6" w:rsidRPr="00EA59C0">
        <w:t xml:space="preserve"> </w:t>
      </w:r>
      <w:r w:rsidRPr="00EA59C0">
        <w:t>that</w:t>
      </w:r>
      <w:r w:rsidR="00C026A6" w:rsidRPr="00EA59C0">
        <w:t xml:space="preserve"> </w:t>
      </w:r>
      <w:r w:rsidRPr="00EA59C0">
        <w:t>are</w:t>
      </w:r>
      <w:r w:rsidR="00C026A6" w:rsidRPr="00EA59C0">
        <w:t xml:space="preserve"> </w:t>
      </w:r>
      <w:r w:rsidRPr="00EA59C0">
        <w:t>responsive</w:t>
      </w:r>
      <w:r w:rsidR="00C026A6" w:rsidRPr="00EA59C0">
        <w:t xml:space="preserve"> </w:t>
      </w:r>
      <w:r w:rsidRPr="00EA59C0">
        <w:t>to</w:t>
      </w:r>
      <w:r w:rsidR="00C026A6" w:rsidRPr="00EA59C0">
        <w:t xml:space="preserve"> </w:t>
      </w:r>
      <w:r w:rsidRPr="00EA59C0">
        <w:t>regional</w:t>
      </w:r>
      <w:r w:rsidR="00C026A6" w:rsidRPr="00EA59C0">
        <w:t xml:space="preserve"> </w:t>
      </w:r>
      <w:r w:rsidRPr="00EA59C0">
        <w:t>labor</w:t>
      </w:r>
      <w:r w:rsidR="00C026A6" w:rsidRPr="00EA59C0">
        <w:t xml:space="preserve"> </w:t>
      </w:r>
      <w:r w:rsidRPr="00EA59C0">
        <w:t>markets</w:t>
      </w:r>
      <w:r w:rsidR="00C026A6" w:rsidRPr="00EA59C0">
        <w:t xml:space="preserve"> </w:t>
      </w:r>
      <w:r w:rsidRPr="00EA59C0">
        <w:t>and</w:t>
      </w:r>
      <w:r w:rsidR="00C026A6" w:rsidRPr="00EA59C0">
        <w:t xml:space="preserve"> </w:t>
      </w:r>
      <w:r w:rsidRPr="00EA59C0">
        <w:t>state</w:t>
      </w:r>
      <w:r w:rsidR="00C026A6" w:rsidRPr="00EA59C0">
        <w:t xml:space="preserve"> </w:t>
      </w:r>
      <w:r w:rsidRPr="00EA59C0">
        <w:t>economies.</w:t>
      </w:r>
      <w:r w:rsidR="00C026A6" w:rsidRPr="00EA59C0">
        <w:t xml:space="preserve">  </w:t>
      </w:r>
      <w:r w:rsidR="004D6A49" w:rsidRPr="00EA59C0">
        <w:t>Institutions</w:t>
      </w:r>
      <w:r w:rsidR="00C026A6" w:rsidRPr="00EA59C0">
        <w:t xml:space="preserve"> </w:t>
      </w:r>
      <w:r w:rsidR="004D6A49" w:rsidRPr="00EA59C0">
        <w:t>within</w:t>
      </w:r>
      <w:r w:rsidR="00C026A6" w:rsidRPr="00EA59C0">
        <w:t xml:space="preserve"> </w:t>
      </w:r>
      <w:r w:rsidR="004D6A49" w:rsidRPr="00EA59C0">
        <w:t>a</w:t>
      </w:r>
      <w:r w:rsidR="00C026A6" w:rsidRPr="00EA59C0">
        <w:t xml:space="preserve"> </w:t>
      </w:r>
      <w:r w:rsidR="004D6A49" w:rsidRPr="00EA59C0">
        <w:t>consortium</w:t>
      </w:r>
      <w:r w:rsidR="00C026A6" w:rsidRPr="00EA59C0">
        <w:t xml:space="preserve"> </w:t>
      </w:r>
      <w:r w:rsidR="004D6A49" w:rsidRPr="00EA59C0">
        <w:t>project</w:t>
      </w:r>
      <w:r w:rsidR="00C026A6" w:rsidRPr="00EA59C0">
        <w:t xml:space="preserve"> </w:t>
      </w:r>
      <w:r w:rsidR="004D6A49" w:rsidRPr="00EA59C0">
        <w:t>will</w:t>
      </w:r>
      <w:r w:rsidR="00C026A6" w:rsidRPr="00EA59C0">
        <w:t xml:space="preserve"> </w:t>
      </w:r>
      <w:r w:rsidR="004D6A49" w:rsidRPr="00EA59C0">
        <w:t>accomplish</w:t>
      </w:r>
      <w:r w:rsidR="00C026A6" w:rsidRPr="00EA59C0">
        <w:t xml:space="preserve"> </w:t>
      </w:r>
      <w:r w:rsidR="004D6A49" w:rsidRPr="00EA59C0">
        <w:t>this</w:t>
      </w:r>
      <w:r w:rsidR="00C026A6" w:rsidRPr="00EA59C0">
        <w:t xml:space="preserve"> </w:t>
      </w:r>
      <w:r w:rsidR="004D6A49" w:rsidRPr="00EA59C0">
        <w:t>by</w:t>
      </w:r>
      <w:r w:rsidR="00C026A6" w:rsidRPr="00EA59C0">
        <w:t xml:space="preserve"> </w:t>
      </w:r>
      <w:r w:rsidR="004D6A49" w:rsidRPr="00EA59C0">
        <w:t>working</w:t>
      </w:r>
      <w:r w:rsidR="00C026A6" w:rsidRPr="00EA59C0">
        <w:t xml:space="preserve"> </w:t>
      </w:r>
      <w:r w:rsidR="004D6A49" w:rsidRPr="00EA59C0">
        <w:t>across</w:t>
      </w:r>
      <w:r w:rsidR="00C026A6" w:rsidRPr="00EA59C0">
        <w:t xml:space="preserve"> </w:t>
      </w:r>
      <w:r w:rsidR="004D6A49" w:rsidRPr="00EA59C0">
        <w:t>institutions</w:t>
      </w:r>
      <w:r w:rsidR="00C026A6" w:rsidRPr="00EA59C0">
        <w:t xml:space="preserve"> </w:t>
      </w:r>
      <w:r w:rsidR="004D6A49" w:rsidRPr="00EA59C0">
        <w:t>within</w:t>
      </w:r>
      <w:r w:rsidR="00C026A6" w:rsidRPr="00EA59C0">
        <w:t xml:space="preserve"> </w:t>
      </w:r>
      <w:r w:rsidR="004D6A49" w:rsidRPr="00EA59C0">
        <w:t>a</w:t>
      </w:r>
      <w:r w:rsidR="00C026A6" w:rsidRPr="00EA59C0">
        <w:t xml:space="preserve"> </w:t>
      </w:r>
      <w:r w:rsidR="004D6A49" w:rsidRPr="00EA59C0">
        <w:t>local</w:t>
      </w:r>
      <w:r w:rsidR="00C026A6" w:rsidRPr="00EA59C0">
        <w:t xml:space="preserve"> </w:t>
      </w:r>
      <w:r w:rsidR="004D6A49" w:rsidRPr="00EA59C0">
        <w:t>region</w:t>
      </w:r>
      <w:r w:rsidR="00C026A6" w:rsidRPr="00EA59C0">
        <w:t xml:space="preserve"> </w:t>
      </w:r>
      <w:r w:rsidR="004D6A49" w:rsidRPr="00EA59C0">
        <w:t>or</w:t>
      </w:r>
      <w:r w:rsidR="00C026A6" w:rsidRPr="00EA59C0">
        <w:t xml:space="preserve"> </w:t>
      </w:r>
      <w:r w:rsidR="004D6A49" w:rsidRPr="00EA59C0">
        <w:t>throughout</w:t>
      </w:r>
      <w:r w:rsidR="00C026A6" w:rsidRPr="00EA59C0">
        <w:t xml:space="preserve"> </w:t>
      </w:r>
      <w:r w:rsidR="004D6A49" w:rsidRPr="00EA59C0">
        <w:t>a</w:t>
      </w:r>
      <w:r w:rsidR="00C026A6" w:rsidRPr="00EA59C0">
        <w:t xml:space="preserve"> </w:t>
      </w:r>
      <w:r w:rsidR="004D6A49" w:rsidRPr="00EA59C0">
        <w:t>state</w:t>
      </w:r>
      <w:r w:rsidR="00C026A6" w:rsidRPr="00EA59C0">
        <w:t xml:space="preserve"> </w:t>
      </w:r>
      <w:r w:rsidR="004D6A49" w:rsidRPr="00EA59C0">
        <w:t>while</w:t>
      </w:r>
      <w:r w:rsidR="00C026A6" w:rsidRPr="00EA59C0">
        <w:t xml:space="preserve"> </w:t>
      </w:r>
      <w:r w:rsidR="004D6A49" w:rsidRPr="00EA59C0">
        <w:t>individual</w:t>
      </w:r>
      <w:r w:rsidR="00C026A6" w:rsidRPr="00EA59C0">
        <w:t xml:space="preserve"> </w:t>
      </w:r>
      <w:r w:rsidR="004D6A49" w:rsidRPr="00EA59C0">
        <w:t>institutions</w:t>
      </w:r>
      <w:r w:rsidR="00C026A6" w:rsidRPr="00EA59C0">
        <w:t xml:space="preserve"> </w:t>
      </w:r>
      <w:r w:rsidR="004D6A49" w:rsidRPr="00EA59C0">
        <w:t>will</w:t>
      </w:r>
      <w:r w:rsidR="00C026A6" w:rsidRPr="00EA59C0">
        <w:t xml:space="preserve"> </w:t>
      </w:r>
      <w:r w:rsidR="004D6A49" w:rsidRPr="00EA59C0">
        <w:t>coordinate</w:t>
      </w:r>
      <w:r w:rsidR="00C026A6" w:rsidRPr="00EA59C0">
        <w:t xml:space="preserve"> </w:t>
      </w:r>
      <w:r w:rsidR="00C32858" w:rsidRPr="00EA59C0">
        <w:t>with</w:t>
      </w:r>
      <w:r w:rsidR="00C026A6" w:rsidRPr="00EA59C0">
        <w:t xml:space="preserve"> </w:t>
      </w:r>
      <w:r w:rsidR="00C32858" w:rsidRPr="00EA59C0">
        <w:t>other</w:t>
      </w:r>
      <w:r w:rsidR="00C026A6" w:rsidRPr="00EA59C0">
        <w:t xml:space="preserve"> </w:t>
      </w:r>
      <w:r w:rsidR="00C32858" w:rsidRPr="00EA59C0">
        <w:t>organizations</w:t>
      </w:r>
      <w:r w:rsidR="00C026A6" w:rsidRPr="00EA59C0">
        <w:t xml:space="preserve"> </w:t>
      </w:r>
      <w:r w:rsidR="004D6A49" w:rsidRPr="00EA59C0">
        <w:t>within</w:t>
      </w:r>
      <w:r w:rsidR="00C026A6" w:rsidRPr="00EA59C0">
        <w:t xml:space="preserve"> </w:t>
      </w:r>
      <w:r w:rsidR="004D6A49" w:rsidRPr="00EA59C0">
        <w:t>their</w:t>
      </w:r>
      <w:r w:rsidR="00C026A6" w:rsidRPr="00EA59C0">
        <w:t xml:space="preserve"> </w:t>
      </w:r>
      <w:r w:rsidR="004D6A49" w:rsidRPr="00EA59C0">
        <w:t>local</w:t>
      </w:r>
      <w:r w:rsidR="00C026A6" w:rsidRPr="00EA59C0">
        <w:t xml:space="preserve"> </w:t>
      </w:r>
      <w:r w:rsidR="004D6A49" w:rsidRPr="00EA59C0">
        <w:t>regional</w:t>
      </w:r>
      <w:r w:rsidR="00C026A6" w:rsidRPr="00EA59C0">
        <w:t xml:space="preserve"> </w:t>
      </w:r>
      <w:r w:rsidR="004D6A49" w:rsidRPr="00EA59C0">
        <w:t>economy.</w:t>
      </w:r>
    </w:p>
    <w:p w:rsidR="00421FB0" w:rsidRPr="00EA59C0" w:rsidRDefault="00421FB0" w:rsidP="00783782">
      <w:pPr>
        <w:ind w:left="360"/>
      </w:pPr>
    </w:p>
    <w:p w:rsidR="007D3369" w:rsidRPr="00EA59C0" w:rsidRDefault="00160EC9" w:rsidP="007A73AC">
      <w:pPr>
        <w:ind w:left="360"/>
      </w:pPr>
      <w:r w:rsidRPr="00EA59C0">
        <w:t>These</w:t>
      </w:r>
      <w:r w:rsidR="00C026A6" w:rsidRPr="00EA59C0">
        <w:t xml:space="preserve"> </w:t>
      </w:r>
      <w:r w:rsidRPr="00EA59C0">
        <w:t>s</w:t>
      </w:r>
      <w:r w:rsidR="00CD4308" w:rsidRPr="00EA59C0">
        <w:t>ector</w:t>
      </w:r>
      <w:r w:rsidR="00C026A6" w:rsidRPr="00EA59C0">
        <w:t xml:space="preserve"> </w:t>
      </w:r>
      <w:r w:rsidR="00CD4308" w:rsidRPr="00EA59C0">
        <w:t>strategies</w:t>
      </w:r>
      <w:r w:rsidR="00C026A6" w:rsidRPr="00EA59C0">
        <w:t xml:space="preserve"> </w:t>
      </w:r>
      <w:r w:rsidRPr="00EA59C0">
        <w:t>will</w:t>
      </w:r>
      <w:r w:rsidR="00C026A6" w:rsidRPr="00EA59C0">
        <w:t xml:space="preserve"> </w:t>
      </w:r>
      <w:r w:rsidR="00CD4308" w:rsidRPr="00EA59C0">
        <w:t>target</w:t>
      </w:r>
      <w:r w:rsidR="00C026A6" w:rsidRPr="00EA59C0">
        <w:t xml:space="preserve"> </w:t>
      </w:r>
      <w:r w:rsidR="00CD4308" w:rsidRPr="00EA59C0">
        <w:t>a</w:t>
      </w:r>
      <w:r w:rsidR="00C026A6" w:rsidRPr="00EA59C0">
        <w:t xml:space="preserve"> </w:t>
      </w:r>
      <w:r w:rsidR="00CD4308" w:rsidRPr="00EA59C0">
        <w:t>specific</w:t>
      </w:r>
      <w:r w:rsidR="00C026A6" w:rsidRPr="00EA59C0">
        <w:t xml:space="preserve"> </w:t>
      </w:r>
      <w:r w:rsidR="00CD4308" w:rsidRPr="00EA59C0">
        <w:t>industry</w:t>
      </w:r>
      <w:r w:rsidR="00C026A6" w:rsidRPr="00EA59C0">
        <w:t xml:space="preserve"> </w:t>
      </w:r>
      <w:r w:rsidR="00CD4308" w:rsidRPr="00EA59C0">
        <w:t>or</w:t>
      </w:r>
      <w:r w:rsidR="00C026A6" w:rsidRPr="00EA59C0">
        <w:t xml:space="preserve"> </w:t>
      </w:r>
      <w:r w:rsidR="00CD4308" w:rsidRPr="00EA59C0">
        <w:t>cluster</w:t>
      </w:r>
      <w:r w:rsidR="00C026A6" w:rsidRPr="00EA59C0">
        <w:t xml:space="preserve"> </w:t>
      </w:r>
      <w:r w:rsidR="00CD4308" w:rsidRPr="00EA59C0">
        <w:t>of</w:t>
      </w:r>
      <w:r w:rsidR="00C026A6" w:rsidRPr="00EA59C0">
        <w:t xml:space="preserve"> </w:t>
      </w:r>
      <w:r w:rsidR="00CD4308" w:rsidRPr="00EA59C0">
        <w:t>occupations</w:t>
      </w:r>
      <w:r w:rsidR="00C026A6" w:rsidRPr="00EA59C0">
        <w:t xml:space="preserve"> </w:t>
      </w:r>
      <w:r w:rsidR="00CD4308" w:rsidRPr="00EA59C0">
        <w:t>and</w:t>
      </w:r>
      <w:r w:rsidR="00C026A6" w:rsidRPr="00EA59C0">
        <w:t xml:space="preserve"> </w:t>
      </w:r>
      <w:r w:rsidR="00CD4308" w:rsidRPr="00EA59C0">
        <w:t>work</w:t>
      </w:r>
      <w:r w:rsidR="00C026A6" w:rsidRPr="00EA59C0">
        <w:t xml:space="preserve"> </w:t>
      </w:r>
      <w:r w:rsidR="00CD4308" w:rsidRPr="00EA59C0">
        <w:t>to</w:t>
      </w:r>
      <w:r w:rsidR="00C026A6" w:rsidRPr="00EA59C0">
        <w:t xml:space="preserve"> </w:t>
      </w:r>
      <w:r w:rsidR="00CD4308" w:rsidRPr="00EA59C0">
        <w:t>meet</w:t>
      </w:r>
      <w:r w:rsidR="00C026A6" w:rsidRPr="00EA59C0">
        <w:t xml:space="preserve"> </w:t>
      </w:r>
      <w:r w:rsidR="00CD4308" w:rsidRPr="00EA59C0">
        <w:t>the</w:t>
      </w:r>
      <w:r w:rsidR="00C026A6" w:rsidRPr="00EA59C0">
        <w:t xml:space="preserve"> </w:t>
      </w:r>
      <w:r w:rsidR="00CD4308" w:rsidRPr="00EA59C0">
        <w:t>workforce</w:t>
      </w:r>
      <w:r w:rsidR="00C026A6" w:rsidRPr="00EA59C0">
        <w:t xml:space="preserve"> </w:t>
      </w:r>
      <w:r w:rsidR="00CD4308" w:rsidRPr="00EA59C0">
        <w:t>needs</w:t>
      </w:r>
      <w:r w:rsidR="00C026A6" w:rsidRPr="00EA59C0">
        <w:t xml:space="preserve"> </w:t>
      </w:r>
      <w:r w:rsidR="00CD4308" w:rsidRPr="00EA59C0">
        <w:t>of</w:t>
      </w:r>
      <w:r w:rsidR="00C026A6" w:rsidRPr="00EA59C0">
        <w:t xml:space="preserve"> </w:t>
      </w:r>
      <w:r w:rsidR="00CD4308" w:rsidRPr="00EA59C0">
        <w:t>employers</w:t>
      </w:r>
      <w:r w:rsidR="00C026A6" w:rsidRPr="00EA59C0">
        <w:t xml:space="preserve"> </w:t>
      </w:r>
      <w:r w:rsidR="00CD4308" w:rsidRPr="00EA59C0">
        <w:t>in</w:t>
      </w:r>
      <w:r w:rsidR="00C026A6" w:rsidRPr="00EA59C0">
        <w:t xml:space="preserve"> </w:t>
      </w:r>
      <w:r w:rsidR="00CD4308" w:rsidRPr="00EA59C0">
        <w:t>this</w:t>
      </w:r>
      <w:r w:rsidR="00C026A6" w:rsidRPr="00EA59C0">
        <w:t xml:space="preserve"> </w:t>
      </w:r>
      <w:r w:rsidR="00CD4308" w:rsidRPr="00EA59C0">
        <w:t>sector</w:t>
      </w:r>
      <w:r w:rsidR="00C026A6" w:rsidRPr="00EA59C0">
        <w:t xml:space="preserve"> </w:t>
      </w:r>
      <w:r w:rsidR="00CD4308" w:rsidRPr="00EA59C0">
        <w:t>while</w:t>
      </w:r>
      <w:r w:rsidR="00C026A6" w:rsidRPr="00EA59C0">
        <w:t xml:space="preserve"> </w:t>
      </w:r>
      <w:r w:rsidR="00CD4308" w:rsidRPr="00EA59C0">
        <w:t>supporting</w:t>
      </w:r>
      <w:r w:rsidR="00C026A6" w:rsidRPr="00EA59C0">
        <w:t xml:space="preserve"> </w:t>
      </w:r>
      <w:r w:rsidR="0044396A" w:rsidRPr="00EA59C0">
        <w:t>TAA-eligible</w:t>
      </w:r>
      <w:r w:rsidR="00C026A6" w:rsidRPr="00EA59C0">
        <w:t xml:space="preserve"> </w:t>
      </w:r>
      <w:r w:rsidR="0044396A" w:rsidRPr="00EA59C0">
        <w:t>and</w:t>
      </w:r>
      <w:r w:rsidR="00C026A6" w:rsidRPr="00EA59C0">
        <w:t xml:space="preserve"> </w:t>
      </w:r>
      <w:r w:rsidR="0044396A" w:rsidRPr="00EA59C0">
        <w:t>other</w:t>
      </w:r>
      <w:r w:rsidR="00C026A6" w:rsidRPr="00EA59C0">
        <w:t xml:space="preserve"> </w:t>
      </w:r>
      <w:r w:rsidR="00CD4308" w:rsidRPr="00EA59C0">
        <w:t>workers</w:t>
      </w:r>
      <w:r w:rsidR="00C026A6" w:rsidRPr="00EA59C0">
        <w:t xml:space="preserve"> </w:t>
      </w:r>
      <w:r w:rsidR="00CD4308" w:rsidRPr="00EA59C0">
        <w:t>in</w:t>
      </w:r>
      <w:r w:rsidR="00C026A6" w:rsidRPr="00EA59C0">
        <w:t xml:space="preserve"> </w:t>
      </w:r>
      <w:r w:rsidR="00CD4308" w:rsidRPr="00EA59C0">
        <w:t>attaining</w:t>
      </w:r>
      <w:r w:rsidR="00C026A6" w:rsidRPr="00EA59C0">
        <w:t xml:space="preserve"> </w:t>
      </w:r>
      <w:r w:rsidR="00CD4308" w:rsidRPr="00EA59C0">
        <w:t>the</w:t>
      </w:r>
      <w:r w:rsidR="00C026A6" w:rsidRPr="00EA59C0">
        <w:t xml:space="preserve"> </w:t>
      </w:r>
      <w:r w:rsidR="00CD4308" w:rsidRPr="00EA59C0">
        <w:t>necessary</w:t>
      </w:r>
      <w:r w:rsidR="00C026A6" w:rsidRPr="00EA59C0">
        <w:t xml:space="preserve"> </w:t>
      </w:r>
      <w:r w:rsidR="00CD4308" w:rsidRPr="00EA59C0">
        <w:t>skills</w:t>
      </w:r>
      <w:r w:rsidR="00C026A6" w:rsidRPr="00EA59C0">
        <w:t xml:space="preserve"> </w:t>
      </w:r>
      <w:r w:rsidR="00CD44CF" w:rsidRPr="00EA59C0">
        <w:t>and</w:t>
      </w:r>
      <w:r w:rsidR="00C026A6" w:rsidRPr="00EA59C0">
        <w:t xml:space="preserve"> </w:t>
      </w:r>
      <w:r w:rsidR="00CD44CF" w:rsidRPr="00EA59C0">
        <w:t>credentials</w:t>
      </w:r>
      <w:r w:rsidR="00F50580" w:rsidRPr="00EA59C0">
        <w:t>.</w:t>
      </w:r>
      <w:r w:rsidR="00C026A6" w:rsidRPr="00EA59C0">
        <w:t xml:space="preserve">  </w:t>
      </w:r>
      <w:r w:rsidR="00EA038A" w:rsidRPr="00EA59C0">
        <w:t>Successful</w:t>
      </w:r>
      <w:r w:rsidR="00C026A6" w:rsidRPr="00EA59C0">
        <w:t xml:space="preserve"> </w:t>
      </w:r>
      <w:r w:rsidR="00CD4308" w:rsidRPr="00EA59C0">
        <w:t>applicants</w:t>
      </w:r>
      <w:r w:rsidR="00C026A6" w:rsidRPr="00EA59C0">
        <w:t xml:space="preserve"> </w:t>
      </w:r>
      <w:r w:rsidR="00CA552C" w:rsidRPr="00EA59C0">
        <w:t>will</w:t>
      </w:r>
      <w:r w:rsidR="00C026A6" w:rsidRPr="00EA59C0">
        <w:t xml:space="preserve"> </w:t>
      </w:r>
      <w:r w:rsidR="00F74E11" w:rsidRPr="00EA59C0">
        <w:t>develop</w:t>
      </w:r>
      <w:r w:rsidR="00002631" w:rsidRPr="00EA59C0">
        <w:t>,</w:t>
      </w:r>
      <w:r w:rsidR="00C026A6" w:rsidRPr="00EA59C0">
        <w:t xml:space="preserve"> </w:t>
      </w:r>
      <w:r w:rsidRPr="00EA59C0">
        <w:t>expand</w:t>
      </w:r>
      <w:r w:rsidR="00C026A6" w:rsidRPr="00EA59C0">
        <w:t xml:space="preserve"> </w:t>
      </w:r>
      <w:r w:rsidRPr="00EA59C0">
        <w:t>or</w:t>
      </w:r>
      <w:r w:rsidR="00C026A6" w:rsidRPr="00EA59C0">
        <w:t xml:space="preserve"> </w:t>
      </w:r>
      <w:r w:rsidRPr="00EA59C0">
        <w:t>improve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programs</w:t>
      </w:r>
      <w:r w:rsidR="00C026A6" w:rsidRPr="00EA59C0">
        <w:t xml:space="preserve"> </w:t>
      </w:r>
      <w:r w:rsidR="00F74E11" w:rsidRPr="00EA59C0">
        <w:t>suitable</w:t>
      </w:r>
      <w:r w:rsidR="00C026A6" w:rsidRPr="00EA59C0">
        <w:t xml:space="preserve"> </w:t>
      </w:r>
      <w:r w:rsidR="0044396A" w:rsidRPr="00EA59C0">
        <w:t>for</w:t>
      </w:r>
      <w:r w:rsidR="00C026A6" w:rsidRPr="00EA59C0">
        <w:t xml:space="preserve"> </w:t>
      </w:r>
      <w:r w:rsidR="0044396A" w:rsidRPr="00EA59C0">
        <w:t>TAA-eligible</w:t>
      </w:r>
      <w:r w:rsidR="00C026A6" w:rsidRPr="00EA59C0">
        <w:t xml:space="preserve"> </w:t>
      </w:r>
      <w:r w:rsidR="0044396A" w:rsidRPr="00EA59C0">
        <w:t>workers</w:t>
      </w:r>
      <w:r w:rsidR="00C026A6" w:rsidRPr="00EA59C0">
        <w:t xml:space="preserve"> </w:t>
      </w:r>
      <w:r w:rsidR="00F100C0" w:rsidRPr="00EA59C0">
        <w:t>and</w:t>
      </w:r>
      <w:r w:rsidR="00C026A6" w:rsidRPr="00EA59C0">
        <w:t xml:space="preserve"> </w:t>
      </w:r>
      <w:r w:rsidR="00F100C0" w:rsidRPr="00EA59C0">
        <w:t>other</w:t>
      </w:r>
      <w:r w:rsidR="00C026A6" w:rsidRPr="00EA59C0">
        <w:t xml:space="preserve"> </w:t>
      </w:r>
      <w:r w:rsidR="00F100C0" w:rsidRPr="00EA59C0">
        <w:t>adults</w:t>
      </w:r>
      <w:r w:rsidR="00C026A6" w:rsidRPr="00EA59C0">
        <w:t xml:space="preserve"> </w:t>
      </w:r>
      <w:r w:rsidRPr="00EA59C0">
        <w:t>by</w:t>
      </w:r>
      <w:r w:rsidR="00C026A6" w:rsidRPr="00EA59C0">
        <w:t xml:space="preserve"> </w:t>
      </w:r>
      <w:r w:rsidRPr="00EA59C0">
        <w:t>developing</w:t>
      </w:r>
      <w:r w:rsidR="00C026A6" w:rsidRPr="00EA59C0">
        <w:t xml:space="preserve"> </w:t>
      </w:r>
      <w:r w:rsidRPr="00EA59C0">
        <w:t>and/or</w:t>
      </w:r>
      <w:r w:rsidR="00C026A6" w:rsidRPr="00EA59C0">
        <w:t xml:space="preserve"> </w:t>
      </w:r>
      <w:r w:rsidRPr="00EA59C0">
        <w:t>taking</w:t>
      </w:r>
      <w:r w:rsidR="00C026A6" w:rsidRPr="00EA59C0">
        <w:t xml:space="preserve"> </w:t>
      </w:r>
      <w:r w:rsidRPr="00EA59C0">
        <w:t>to</w:t>
      </w:r>
      <w:r w:rsidR="00C026A6" w:rsidRPr="00EA59C0">
        <w:t xml:space="preserve"> </w:t>
      </w:r>
      <w:r w:rsidRPr="00EA59C0">
        <w:t>scale</w:t>
      </w:r>
      <w:r w:rsidR="00C026A6" w:rsidRPr="00EA59C0">
        <w:t xml:space="preserve"> </w:t>
      </w:r>
      <w:r w:rsidRPr="00EA59C0">
        <w:t>successful</w:t>
      </w:r>
      <w:r w:rsidR="00C026A6" w:rsidRPr="00EA59C0">
        <w:t xml:space="preserve"> </w:t>
      </w:r>
      <w:r w:rsidRPr="00EA59C0">
        <w:t>sector-focused</w:t>
      </w:r>
      <w:r w:rsidR="00C026A6" w:rsidRPr="00EA59C0">
        <w:t xml:space="preserve"> </w:t>
      </w:r>
      <w:r w:rsidRPr="00EA59C0">
        <w:t>strategies</w:t>
      </w:r>
      <w:r w:rsidR="00C026A6" w:rsidRPr="00EA59C0">
        <w:t xml:space="preserve"> </w:t>
      </w:r>
      <w:r w:rsidRPr="00EA59C0">
        <w:t>based</w:t>
      </w:r>
      <w:r w:rsidR="00C026A6" w:rsidRPr="00EA59C0">
        <w:t xml:space="preserve"> </w:t>
      </w:r>
      <w:r w:rsidRPr="00EA59C0">
        <w:t>on</w:t>
      </w:r>
      <w:r w:rsidR="00C026A6" w:rsidRPr="00EA59C0">
        <w:t xml:space="preserve"> </w:t>
      </w:r>
      <w:r w:rsidRPr="00EA59C0">
        <w:t>the</w:t>
      </w:r>
      <w:r w:rsidR="00C026A6" w:rsidRPr="00EA59C0">
        <w:t xml:space="preserve"> </w:t>
      </w:r>
      <w:r w:rsidRPr="00EA59C0">
        <w:t>use</w:t>
      </w:r>
      <w:r w:rsidR="00C026A6" w:rsidRPr="00EA59C0">
        <w:t xml:space="preserve"> </w:t>
      </w:r>
      <w:r w:rsidRPr="00EA59C0">
        <w:t>of</w:t>
      </w:r>
      <w:r w:rsidR="00C026A6" w:rsidRPr="00EA59C0">
        <w:t xml:space="preserve"> </w:t>
      </w:r>
      <w:r w:rsidRPr="00EA59C0">
        <w:t>real-time</w:t>
      </w:r>
      <w:r w:rsidR="00C026A6" w:rsidRPr="00EA59C0">
        <w:t xml:space="preserve"> </w:t>
      </w:r>
      <w:r w:rsidRPr="00EA59C0">
        <w:t>labor</w:t>
      </w:r>
      <w:r w:rsidR="00C026A6" w:rsidRPr="00EA59C0">
        <w:t xml:space="preserve"> </w:t>
      </w:r>
      <w:r w:rsidRPr="00EA59C0">
        <w:t>market</w:t>
      </w:r>
      <w:r w:rsidR="00C026A6" w:rsidRPr="00EA59C0">
        <w:t xml:space="preserve"> </w:t>
      </w:r>
      <w:r w:rsidRPr="00EA59C0">
        <w:t>information.</w:t>
      </w:r>
      <w:r w:rsidR="00C026A6" w:rsidRPr="00EA59C0">
        <w:t xml:space="preserve">  </w:t>
      </w:r>
    </w:p>
    <w:p w:rsidR="00160EC9" w:rsidRPr="00EA59C0" w:rsidRDefault="00160EC9" w:rsidP="007A73AC">
      <w:pPr>
        <w:ind w:left="360"/>
      </w:pPr>
    </w:p>
    <w:p w:rsidR="00CD4308" w:rsidRPr="00EA59C0" w:rsidRDefault="00160EC9" w:rsidP="007A73AC">
      <w:pPr>
        <w:ind w:left="360"/>
      </w:pPr>
      <w:r w:rsidRPr="00EA59C0">
        <w:t>Successful</w:t>
      </w:r>
      <w:r w:rsidR="00C026A6" w:rsidRPr="00EA59C0">
        <w:t xml:space="preserve"> </w:t>
      </w:r>
      <w:r w:rsidRPr="00EA59C0">
        <w:t>applicants</w:t>
      </w:r>
      <w:r w:rsidR="00C026A6" w:rsidRPr="00EA59C0">
        <w:t xml:space="preserve"> </w:t>
      </w:r>
      <w:r w:rsidRPr="00EA59C0">
        <w:t>will</w:t>
      </w:r>
      <w:r w:rsidR="00C026A6" w:rsidRPr="00EA59C0">
        <w:t xml:space="preserve"> </w:t>
      </w:r>
      <w:r w:rsidR="00CD4308" w:rsidRPr="00EA59C0">
        <w:t>engage</w:t>
      </w:r>
      <w:r w:rsidR="00C026A6" w:rsidRPr="00EA59C0">
        <w:t xml:space="preserve"> </w:t>
      </w:r>
      <w:r w:rsidR="00CD4308" w:rsidRPr="00EA59C0">
        <w:t>employers</w:t>
      </w:r>
      <w:r w:rsidR="00683257" w:rsidRPr="00EA59C0">
        <w:t>,</w:t>
      </w:r>
      <w:r w:rsidR="00C026A6" w:rsidRPr="00EA59C0">
        <w:t xml:space="preserve"> </w:t>
      </w:r>
      <w:r w:rsidR="00683257" w:rsidRPr="00EA59C0">
        <w:t>regional</w:t>
      </w:r>
      <w:r w:rsidR="00C026A6" w:rsidRPr="00EA59C0">
        <w:t xml:space="preserve"> </w:t>
      </w:r>
      <w:r w:rsidR="00B51CEF" w:rsidRPr="00EA59C0">
        <w:t>industry</w:t>
      </w:r>
      <w:r w:rsidR="00C026A6" w:rsidRPr="00EA59C0">
        <w:t xml:space="preserve"> </w:t>
      </w:r>
      <w:r w:rsidR="00B51CEF" w:rsidRPr="00EA59C0">
        <w:t>organizations,</w:t>
      </w:r>
      <w:r w:rsidR="00C026A6" w:rsidRPr="00EA59C0">
        <w:t xml:space="preserve"> </w:t>
      </w:r>
      <w:r w:rsidR="00683257" w:rsidRPr="00EA59C0">
        <w:t>national</w:t>
      </w:r>
      <w:r w:rsidR="00C026A6" w:rsidRPr="00EA59C0">
        <w:t xml:space="preserve"> </w:t>
      </w:r>
      <w:r w:rsidR="00CD4308" w:rsidRPr="00EA59C0">
        <w:t>industry</w:t>
      </w:r>
      <w:r w:rsidR="00C026A6" w:rsidRPr="00EA59C0">
        <w:t xml:space="preserve"> </w:t>
      </w:r>
      <w:r w:rsidR="00C66F54" w:rsidRPr="00EA59C0">
        <w:t>organizations</w:t>
      </w:r>
      <w:r w:rsidR="00C026A6" w:rsidRPr="00EA59C0">
        <w:t xml:space="preserve"> </w:t>
      </w:r>
      <w:r w:rsidR="00B51CEF" w:rsidRPr="00EA59C0">
        <w:t>(if</w:t>
      </w:r>
      <w:r w:rsidR="00C026A6" w:rsidRPr="00EA59C0">
        <w:t xml:space="preserve"> </w:t>
      </w:r>
      <w:r w:rsidR="00B51CEF" w:rsidRPr="00EA59C0">
        <w:t>applicable)</w:t>
      </w:r>
      <w:r w:rsidR="00CD4308" w:rsidRPr="00EA59C0">
        <w:t>,</w:t>
      </w:r>
      <w:r w:rsidR="00C026A6" w:rsidRPr="00EA59C0">
        <w:t xml:space="preserve"> </w:t>
      </w:r>
      <w:r w:rsidRPr="00EA59C0">
        <w:t>State</w:t>
      </w:r>
      <w:r w:rsidR="00C026A6" w:rsidRPr="00EA59C0">
        <w:t xml:space="preserve"> </w:t>
      </w:r>
      <w:r w:rsidR="00CD4308" w:rsidRPr="00EA59C0">
        <w:t>and</w:t>
      </w:r>
      <w:r w:rsidR="00C026A6" w:rsidRPr="00EA59C0">
        <w:t xml:space="preserve"> </w:t>
      </w:r>
      <w:r w:rsidR="00CD4308" w:rsidRPr="00EA59C0">
        <w:t>local</w:t>
      </w:r>
      <w:r w:rsidR="00C026A6" w:rsidRPr="00EA59C0">
        <w:t xml:space="preserve"> </w:t>
      </w:r>
      <w:r w:rsidR="00CD4308" w:rsidRPr="00EA59C0">
        <w:t>workforce</w:t>
      </w:r>
      <w:r w:rsidR="00C026A6" w:rsidRPr="00EA59C0">
        <w:t xml:space="preserve"> </w:t>
      </w:r>
      <w:r w:rsidR="00CD4308" w:rsidRPr="00EA59C0">
        <w:t>boards,</w:t>
      </w:r>
      <w:r w:rsidR="00C026A6" w:rsidRPr="00EA59C0">
        <w:t xml:space="preserve"> </w:t>
      </w:r>
      <w:r w:rsidR="00CD4308" w:rsidRPr="00EA59C0">
        <w:t>and</w:t>
      </w:r>
      <w:r w:rsidR="00C026A6" w:rsidRPr="00EA59C0">
        <w:t xml:space="preserve"> </w:t>
      </w:r>
      <w:r w:rsidR="00CD4308" w:rsidRPr="00EA59C0">
        <w:t>educational</w:t>
      </w:r>
      <w:r w:rsidR="00C026A6" w:rsidRPr="00EA59C0">
        <w:t xml:space="preserve"> </w:t>
      </w:r>
      <w:r w:rsidR="00CD4308" w:rsidRPr="00EA59C0">
        <w:t>and</w:t>
      </w:r>
      <w:r w:rsidR="00C026A6" w:rsidRPr="00EA59C0">
        <w:t xml:space="preserve"> </w:t>
      </w:r>
      <w:r w:rsidR="00CD4308" w:rsidRPr="00EA59C0">
        <w:t>economic</w:t>
      </w:r>
      <w:r w:rsidR="00C026A6" w:rsidRPr="00EA59C0">
        <w:t xml:space="preserve"> </w:t>
      </w:r>
      <w:r w:rsidR="00CD4308" w:rsidRPr="00EA59C0">
        <w:t>development</w:t>
      </w:r>
      <w:r w:rsidR="00C026A6" w:rsidRPr="00EA59C0">
        <w:t xml:space="preserve"> </w:t>
      </w:r>
      <w:r w:rsidR="00C66F54" w:rsidRPr="00EA59C0">
        <w:t>entities</w:t>
      </w:r>
      <w:r w:rsidRPr="00EA59C0">
        <w:t>.</w:t>
      </w:r>
      <w:r w:rsidR="00C026A6" w:rsidRPr="00EA59C0">
        <w:t xml:space="preserve">  </w:t>
      </w:r>
      <w:r w:rsidR="00CD4308" w:rsidRPr="00EA59C0">
        <w:t>By</w:t>
      </w:r>
      <w:r w:rsidR="00C026A6" w:rsidRPr="00EA59C0">
        <w:t xml:space="preserve"> </w:t>
      </w:r>
      <w:r w:rsidR="00CD4308" w:rsidRPr="00EA59C0">
        <w:t>fully</w:t>
      </w:r>
      <w:r w:rsidR="00C026A6" w:rsidRPr="00EA59C0">
        <w:t xml:space="preserve"> </w:t>
      </w:r>
      <w:r w:rsidR="00CD4308" w:rsidRPr="00EA59C0">
        <w:t>engaging</w:t>
      </w:r>
      <w:r w:rsidR="00C026A6" w:rsidRPr="00EA59C0">
        <w:t xml:space="preserve"> </w:t>
      </w:r>
      <w:r w:rsidR="00CD4308" w:rsidRPr="00EA59C0">
        <w:t>employers</w:t>
      </w:r>
      <w:r w:rsidR="00C026A6" w:rsidRPr="00EA59C0">
        <w:t xml:space="preserve"> </w:t>
      </w:r>
      <w:r w:rsidR="00CD4308" w:rsidRPr="00EA59C0">
        <w:t>and</w:t>
      </w:r>
      <w:r w:rsidR="00C026A6" w:rsidRPr="00EA59C0">
        <w:t xml:space="preserve"> </w:t>
      </w:r>
      <w:r w:rsidR="00CD4308" w:rsidRPr="00EA59C0">
        <w:t>industry</w:t>
      </w:r>
      <w:r w:rsidR="00C026A6" w:rsidRPr="00EA59C0">
        <w:t xml:space="preserve"> </w:t>
      </w:r>
      <w:r w:rsidR="00C66F54" w:rsidRPr="00EA59C0">
        <w:t>organizations</w:t>
      </w:r>
      <w:r w:rsidR="00C026A6" w:rsidRPr="00EA59C0">
        <w:t xml:space="preserve"> </w:t>
      </w:r>
      <w:r w:rsidR="00CD4308" w:rsidRPr="00EA59C0">
        <w:t>in</w:t>
      </w:r>
      <w:r w:rsidR="00C026A6" w:rsidRPr="00EA59C0">
        <w:t xml:space="preserve"> </w:t>
      </w:r>
      <w:r w:rsidR="00CD4308" w:rsidRPr="00EA59C0">
        <w:t>activities</w:t>
      </w:r>
      <w:r w:rsidR="00C026A6" w:rsidRPr="00EA59C0">
        <w:t xml:space="preserve"> </w:t>
      </w:r>
      <w:r w:rsidR="00CD4308" w:rsidRPr="00EA59C0">
        <w:t>such</w:t>
      </w:r>
      <w:r w:rsidR="00C026A6" w:rsidRPr="00EA59C0">
        <w:t xml:space="preserve"> </w:t>
      </w:r>
      <w:r w:rsidR="00CD4308" w:rsidRPr="00EA59C0">
        <w:t>as</w:t>
      </w:r>
      <w:r w:rsidR="00C026A6" w:rsidRPr="00EA59C0">
        <w:t xml:space="preserve"> </w:t>
      </w:r>
      <w:r w:rsidR="00CD4308" w:rsidRPr="00EA59C0">
        <w:t>project</w:t>
      </w:r>
      <w:r w:rsidR="00C026A6" w:rsidRPr="00EA59C0">
        <w:t xml:space="preserve"> </w:t>
      </w:r>
      <w:r w:rsidR="00CD4308" w:rsidRPr="00EA59C0">
        <w:t>planning</w:t>
      </w:r>
      <w:r w:rsidR="00C026A6" w:rsidRPr="00EA59C0">
        <w:t xml:space="preserve"> </w:t>
      </w:r>
      <w:r w:rsidR="00CD4308" w:rsidRPr="00EA59C0">
        <w:t>efforts,</w:t>
      </w:r>
      <w:r w:rsidR="00C026A6" w:rsidRPr="00EA59C0">
        <w:t xml:space="preserve"> </w:t>
      </w:r>
      <w:r w:rsidR="00CD4308" w:rsidRPr="00EA59C0">
        <w:t>curriculum</w:t>
      </w:r>
      <w:r w:rsidR="00C026A6" w:rsidRPr="00EA59C0">
        <w:t xml:space="preserve"> </w:t>
      </w:r>
      <w:r w:rsidR="00CD4308" w:rsidRPr="00EA59C0">
        <w:t>development,</w:t>
      </w:r>
      <w:r w:rsidR="00C026A6" w:rsidRPr="00EA59C0">
        <w:t xml:space="preserve"> </w:t>
      </w:r>
      <w:r w:rsidR="00B20E0D" w:rsidRPr="00EA59C0">
        <w:t>career</w:t>
      </w:r>
      <w:r w:rsidR="00C026A6" w:rsidRPr="00EA59C0">
        <w:t xml:space="preserve"> </w:t>
      </w:r>
      <w:r w:rsidR="00CD44CF" w:rsidRPr="00EA59C0">
        <w:t>pathway</w:t>
      </w:r>
      <w:r w:rsidR="00C026A6" w:rsidRPr="00EA59C0">
        <w:t xml:space="preserve"> </w:t>
      </w:r>
      <w:r w:rsidR="00B06867" w:rsidRPr="00EA59C0">
        <w:t>development,</w:t>
      </w:r>
      <w:r w:rsidR="00C026A6" w:rsidRPr="00EA59C0">
        <w:t xml:space="preserve"> </w:t>
      </w:r>
      <w:r w:rsidR="005164D1" w:rsidRPr="00EA59C0">
        <w:t>defining</w:t>
      </w:r>
      <w:r w:rsidR="00C026A6" w:rsidRPr="00EA59C0">
        <w:t xml:space="preserve"> </w:t>
      </w:r>
      <w:r w:rsidR="005164D1" w:rsidRPr="00EA59C0">
        <w:t>and</w:t>
      </w:r>
      <w:r w:rsidR="00C026A6" w:rsidRPr="00EA59C0">
        <w:t xml:space="preserve"> </w:t>
      </w:r>
      <w:r w:rsidR="005164D1" w:rsidRPr="00EA59C0">
        <w:t>mapping</w:t>
      </w:r>
      <w:r w:rsidR="00C026A6" w:rsidRPr="00EA59C0">
        <w:t xml:space="preserve"> </w:t>
      </w:r>
      <w:r w:rsidR="005164D1" w:rsidRPr="00EA59C0">
        <w:t>of</w:t>
      </w:r>
      <w:r w:rsidR="00C026A6" w:rsidRPr="00EA59C0">
        <w:t xml:space="preserve"> </w:t>
      </w:r>
      <w:r w:rsidR="005164D1" w:rsidRPr="00EA59C0">
        <w:t>competencies</w:t>
      </w:r>
      <w:r w:rsidR="00CD4308" w:rsidRPr="00EA59C0">
        <w:t>,</w:t>
      </w:r>
      <w:r w:rsidR="00C026A6" w:rsidRPr="00EA59C0">
        <w:t xml:space="preserve"> </w:t>
      </w:r>
      <w:r w:rsidR="00DF604A" w:rsidRPr="00EA59C0">
        <w:t>credentials,</w:t>
      </w:r>
      <w:r w:rsidR="00C026A6" w:rsidRPr="00EA59C0">
        <w:t xml:space="preserve"> </w:t>
      </w:r>
      <w:r w:rsidR="00CD44CF" w:rsidRPr="00EA59C0">
        <w:t>and</w:t>
      </w:r>
      <w:r w:rsidR="00C026A6" w:rsidRPr="00EA59C0">
        <w:t xml:space="preserve"> </w:t>
      </w:r>
      <w:r w:rsidR="00CD44CF" w:rsidRPr="00EA59C0">
        <w:t>work-based</w:t>
      </w:r>
      <w:r w:rsidR="00C026A6" w:rsidRPr="00EA59C0">
        <w:t xml:space="preserve"> </w:t>
      </w:r>
      <w:r w:rsidR="00CD44CF" w:rsidRPr="00EA59C0">
        <w:t>training</w:t>
      </w:r>
      <w:r w:rsidR="00C026A6" w:rsidRPr="00EA59C0">
        <w:t xml:space="preserve"> </w:t>
      </w:r>
      <w:r w:rsidR="00CD44CF" w:rsidRPr="00EA59C0">
        <w:t>and</w:t>
      </w:r>
      <w:r w:rsidR="00C026A6" w:rsidRPr="00EA59C0">
        <w:t xml:space="preserve"> </w:t>
      </w:r>
      <w:r w:rsidR="00CD44CF" w:rsidRPr="00EA59C0">
        <w:t>hiring,</w:t>
      </w:r>
      <w:r w:rsidR="00C026A6" w:rsidRPr="00EA59C0">
        <w:t xml:space="preserve"> </w:t>
      </w:r>
      <w:r w:rsidR="00CD4308" w:rsidRPr="00EA59C0">
        <w:t>the</w:t>
      </w:r>
      <w:r w:rsidR="00C026A6" w:rsidRPr="00EA59C0">
        <w:t xml:space="preserve"> </w:t>
      </w:r>
      <w:r w:rsidR="00CD4308" w:rsidRPr="00EA59C0">
        <w:t>Department</w:t>
      </w:r>
      <w:r w:rsidR="00C026A6" w:rsidRPr="00EA59C0">
        <w:t xml:space="preserve"> </w:t>
      </w:r>
      <w:r w:rsidR="00CD4308" w:rsidRPr="00EA59C0">
        <w:t>believes</w:t>
      </w:r>
      <w:r w:rsidR="00C026A6" w:rsidRPr="00EA59C0">
        <w:t xml:space="preserve"> </w:t>
      </w:r>
      <w:r w:rsidR="00CD4308" w:rsidRPr="00EA59C0">
        <w:t>that</w:t>
      </w:r>
      <w:r w:rsidR="00C026A6" w:rsidRPr="00EA59C0">
        <w:t xml:space="preserve"> </w:t>
      </w:r>
      <w:r w:rsidR="00CD4308" w:rsidRPr="00EA59C0">
        <w:t>TAACCCT</w:t>
      </w:r>
      <w:r w:rsidR="00C026A6" w:rsidRPr="00EA59C0">
        <w:t xml:space="preserve"> </w:t>
      </w:r>
      <w:r w:rsidR="00CD4308" w:rsidRPr="00EA59C0">
        <w:t>can</w:t>
      </w:r>
      <w:r w:rsidR="00C026A6" w:rsidRPr="00EA59C0">
        <w:t xml:space="preserve"> </w:t>
      </w:r>
      <w:r w:rsidR="00CD4308" w:rsidRPr="00EA59C0">
        <w:t>play</w:t>
      </w:r>
      <w:r w:rsidR="00C026A6" w:rsidRPr="00EA59C0">
        <w:t xml:space="preserve"> </w:t>
      </w:r>
      <w:r w:rsidR="00CD4308" w:rsidRPr="00EA59C0">
        <w:t>a</w:t>
      </w:r>
      <w:r w:rsidR="00C026A6" w:rsidRPr="00EA59C0">
        <w:t xml:space="preserve"> </w:t>
      </w:r>
      <w:r w:rsidR="00CD4308" w:rsidRPr="00EA59C0">
        <w:t>critical</w:t>
      </w:r>
      <w:r w:rsidR="00C026A6" w:rsidRPr="00EA59C0">
        <w:t xml:space="preserve"> </w:t>
      </w:r>
      <w:r w:rsidR="00CD4308" w:rsidRPr="00EA59C0">
        <w:t>role</w:t>
      </w:r>
      <w:r w:rsidR="00C026A6" w:rsidRPr="00EA59C0">
        <w:t xml:space="preserve"> </w:t>
      </w:r>
      <w:r w:rsidR="00CD4308" w:rsidRPr="00EA59C0">
        <w:t>in</w:t>
      </w:r>
      <w:r w:rsidR="00C026A6" w:rsidRPr="00EA59C0">
        <w:t xml:space="preserve"> </w:t>
      </w:r>
      <w:r w:rsidR="00CD4308" w:rsidRPr="00EA59C0">
        <w:t>helping</w:t>
      </w:r>
      <w:r w:rsidR="00C026A6" w:rsidRPr="00EA59C0">
        <w:t xml:space="preserve"> </w:t>
      </w:r>
      <w:r w:rsidR="00CD4308" w:rsidRPr="00EA59C0">
        <w:t>to</w:t>
      </w:r>
      <w:r w:rsidR="00C026A6" w:rsidRPr="00EA59C0">
        <w:t xml:space="preserve"> </w:t>
      </w:r>
      <w:r w:rsidR="00CD4308" w:rsidRPr="00EA59C0">
        <w:t>build</w:t>
      </w:r>
      <w:r w:rsidR="00C026A6" w:rsidRPr="00EA59C0">
        <w:t xml:space="preserve"> </w:t>
      </w:r>
      <w:r w:rsidR="00CD4308" w:rsidRPr="00EA59C0">
        <w:t>responsive</w:t>
      </w:r>
      <w:r w:rsidR="00C026A6" w:rsidRPr="00EA59C0">
        <w:t xml:space="preserve"> </w:t>
      </w:r>
      <w:r w:rsidR="00CD4308" w:rsidRPr="00EA59C0">
        <w:t>and</w:t>
      </w:r>
      <w:r w:rsidR="00C026A6" w:rsidRPr="00EA59C0">
        <w:t xml:space="preserve"> </w:t>
      </w:r>
      <w:r w:rsidR="00CD4308" w:rsidRPr="00EA59C0">
        <w:t>effective</w:t>
      </w:r>
      <w:r w:rsidR="00C026A6" w:rsidRPr="00EA59C0">
        <w:t xml:space="preserve"> </w:t>
      </w:r>
      <w:r w:rsidR="00CD4308" w:rsidRPr="00EA59C0">
        <w:t>career</w:t>
      </w:r>
      <w:r w:rsidR="00C026A6" w:rsidRPr="00EA59C0">
        <w:t xml:space="preserve"> </w:t>
      </w:r>
      <w:r w:rsidR="00CD4308" w:rsidRPr="00EA59C0">
        <w:t>pathways</w:t>
      </w:r>
      <w:r w:rsidR="00C026A6" w:rsidRPr="00EA59C0">
        <w:t xml:space="preserve"> </w:t>
      </w:r>
      <w:r w:rsidR="00CD4308" w:rsidRPr="00EA59C0">
        <w:t>and</w:t>
      </w:r>
      <w:r w:rsidR="00C026A6" w:rsidRPr="00EA59C0">
        <w:t xml:space="preserve"> </w:t>
      </w:r>
      <w:r w:rsidR="00CD4308" w:rsidRPr="00EA59C0">
        <w:t>training</w:t>
      </w:r>
      <w:r w:rsidR="00C026A6" w:rsidRPr="00EA59C0">
        <w:t xml:space="preserve"> </w:t>
      </w:r>
      <w:r w:rsidR="00CD4308" w:rsidRPr="00EA59C0">
        <w:t>programs</w:t>
      </w:r>
      <w:r w:rsidR="00C026A6" w:rsidRPr="00EA59C0">
        <w:t xml:space="preserve"> </w:t>
      </w:r>
      <w:r w:rsidR="00CD4308" w:rsidRPr="00EA59C0">
        <w:t>that</w:t>
      </w:r>
      <w:r w:rsidR="00C026A6" w:rsidRPr="00EA59C0">
        <w:t xml:space="preserve"> </w:t>
      </w:r>
      <w:r w:rsidR="00CD4308" w:rsidRPr="00EA59C0">
        <w:t>align</w:t>
      </w:r>
      <w:r w:rsidR="00C026A6" w:rsidRPr="00EA59C0">
        <w:t xml:space="preserve"> </w:t>
      </w:r>
      <w:r w:rsidR="00CD4308" w:rsidRPr="00EA59C0">
        <w:t>with</w:t>
      </w:r>
      <w:r w:rsidR="00C026A6" w:rsidRPr="00EA59C0">
        <w:t xml:space="preserve"> </w:t>
      </w:r>
      <w:r w:rsidR="00CD4308" w:rsidRPr="00EA59C0">
        <w:t>current</w:t>
      </w:r>
      <w:r w:rsidR="00C026A6" w:rsidRPr="00EA59C0">
        <w:t xml:space="preserve"> </w:t>
      </w:r>
      <w:r w:rsidR="00CD4308" w:rsidRPr="00EA59C0">
        <w:t>industry</w:t>
      </w:r>
      <w:r w:rsidR="00C026A6" w:rsidRPr="00EA59C0">
        <w:t xml:space="preserve"> </w:t>
      </w:r>
      <w:r w:rsidR="00CD4308" w:rsidRPr="00EA59C0">
        <w:t>needs.</w:t>
      </w:r>
      <w:r w:rsidR="00C026A6" w:rsidRPr="00EA59C0">
        <w:t xml:space="preserve">  </w:t>
      </w:r>
    </w:p>
    <w:p w:rsidR="00CD4308" w:rsidRPr="00EA59C0" w:rsidRDefault="00CD4308" w:rsidP="004C3998">
      <w:pPr>
        <w:ind w:left="360"/>
      </w:pPr>
    </w:p>
    <w:p w:rsidR="00372BB3" w:rsidRPr="00EA59C0" w:rsidRDefault="00421FB0" w:rsidP="007A73AC">
      <w:pPr>
        <w:ind w:left="360"/>
      </w:pPr>
      <w:r w:rsidRPr="00EA59C0">
        <w:t>This</w:t>
      </w:r>
      <w:r w:rsidR="00C026A6" w:rsidRPr="00EA59C0">
        <w:t xml:space="preserve"> </w:t>
      </w:r>
      <w:r w:rsidRPr="00EA59C0">
        <w:t>round</w:t>
      </w:r>
      <w:r w:rsidR="00C026A6" w:rsidRPr="00EA59C0">
        <w:t xml:space="preserve"> </w:t>
      </w:r>
      <w:r w:rsidRPr="00EA59C0">
        <w:t>of</w:t>
      </w:r>
      <w:r w:rsidR="00C026A6" w:rsidRPr="00EA59C0">
        <w:t xml:space="preserve"> </w:t>
      </w:r>
      <w:r w:rsidRPr="00EA59C0">
        <w:t>funding</w:t>
      </w:r>
      <w:r w:rsidR="00C026A6" w:rsidRPr="00EA59C0">
        <w:t xml:space="preserve"> </w:t>
      </w:r>
      <w:r w:rsidRPr="00EA59C0">
        <w:t>also</w:t>
      </w:r>
      <w:r w:rsidR="00C026A6" w:rsidRPr="00EA59C0">
        <w:t xml:space="preserve"> </w:t>
      </w:r>
      <w:r w:rsidRPr="00EA59C0">
        <w:t>seeks</w:t>
      </w:r>
      <w:r w:rsidR="00C026A6" w:rsidRPr="00EA59C0">
        <w:t xml:space="preserve"> </w:t>
      </w:r>
      <w:r w:rsidRPr="00EA59C0">
        <w:t>to</w:t>
      </w:r>
      <w:r w:rsidR="00C026A6" w:rsidRPr="00EA59C0">
        <w:t xml:space="preserve"> </w:t>
      </w:r>
      <w:r w:rsidR="0028611F" w:rsidRPr="00EA59C0">
        <w:t>take</w:t>
      </w:r>
      <w:r w:rsidR="00C026A6" w:rsidRPr="00EA59C0">
        <w:t xml:space="preserve"> </w:t>
      </w:r>
      <w:r w:rsidR="0028611F" w:rsidRPr="00EA59C0">
        <w:t>successful</w:t>
      </w:r>
      <w:r w:rsidR="00C026A6" w:rsidRPr="00EA59C0">
        <w:t xml:space="preserve"> </w:t>
      </w:r>
      <w:r w:rsidR="0028611F" w:rsidRPr="00EA59C0">
        <w:t>approaches</w:t>
      </w:r>
      <w:r w:rsidR="00C026A6" w:rsidRPr="00EA59C0">
        <w:t xml:space="preserve"> </w:t>
      </w:r>
      <w:r w:rsidR="0028611F" w:rsidRPr="00EA59C0">
        <w:t>to</w:t>
      </w:r>
      <w:r w:rsidR="00C026A6" w:rsidRPr="00EA59C0">
        <w:t xml:space="preserve"> </w:t>
      </w:r>
      <w:r w:rsidR="0028611F" w:rsidRPr="00EA59C0">
        <w:t>scale</w:t>
      </w:r>
      <w:r w:rsidR="00C026A6" w:rsidRPr="00EA59C0">
        <w:t xml:space="preserve"> </w:t>
      </w:r>
      <w:r w:rsidR="0028611F" w:rsidRPr="00EA59C0">
        <w:t>and</w:t>
      </w:r>
      <w:r w:rsidR="00C026A6" w:rsidRPr="00EA59C0">
        <w:t xml:space="preserve"> </w:t>
      </w:r>
      <w:r w:rsidRPr="00EA59C0">
        <w:t>drive</w:t>
      </w:r>
      <w:r w:rsidR="00C026A6" w:rsidRPr="00EA59C0">
        <w:t xml:space="preserve"> </w:t>
      </w:r>
      <w:r w:rsidRPr="00EA59C0">
        <w:t>policy</w:t>
      </w:r>
      <w:r w:rsidR="00C026A6" w:rsidRPr="00EA59C0">
        <w:t xml:space="preserve"> </w:t>
      </w:r>
      <w:r w:rsidRPr="00EA59C0">
        <w:t>changes</w:t>
      </w:r>
      <w:r w:rsidR="00C026A6" w:rsidRPr="00EA59C0">
        <w:t xml:space="preserve"> </w:t>
      </w:r>
      <w:r w:rsidRPr="00EA59C0">
        <w:t>that</w:t>
      </w:r>
      <w:r w:rsidR="00C026A6" w:rsidRPr="00EA59C0">
        <w:t xml:space="preserve"> </w:t>
      </w:r>
      <w:r w:rsidRPr="00EA59C0">
        <w:t>will</w:t>
      </w:r>
      <w:r w:rsidR="00C026A6" w:rsidRPr="00EA59C0">
        <w:t xml:space="preserve"> </w:t>
      </w:r>
      <w:r w:rsidRPr="00EA59C0">
        <w:t>lead</w:t>
      </w:r>
      <w:r w:rsidR="00C026A6" w:rsidRPr="00EA59C0">
        <w:t xml:space="preserve"> </w:t>
      </w:r>
      <w:r w:rsidRPr="00EA59C0">
        <w:t>to</w:t>
      </w:r>
      <w:r w:rsidR="00C026A6" w:rsidRPr="00EA59C0">
        <w:t xml:space="preserve"> </w:t>
      </w:r>
      <w:r w:rsidRPr="00EA59C0">
        <w:t>changes</w:t>
      </w:r>
      <w:r w:rsidR="00C026A6" w:rsidRPr="00EA59C0">
        <w:t xml:space="preserve"> </w:t>
      </w:r>
      <w:r w:rsidRPr="00EA59C0">
        <w:t>within</w:t>
      </w:r>
      <w:r w:rsidR="00C026A6" w:rsidRPr="00EA59C0">
        <w:t xml:space="preserve"> </w:t>
      </w:r>
      <w:r w:rsidR="00372BB3" w:rsidRPr="00EA59C0">
        <w:t>institutions,</w:t>
      </w:r>
      <w:r w:rsidR="00C026A6" w:rsidRPr="00EA59C0">
        <w:t xml:space="preserve"> </w:t>
      </w:r>
      <w:r w:rsidRPr="00EA59C0">
        <w:t>state</w:t>
      </w:r>
      <w:r w:rsidR="00C026A6" w:rsidRPr="00EA59C0">
        <w:t xml:space="preserve"> </w:t>
      </w:r>
      <w:r w:rsidRPr="00EA59C0">
        <w:t>community</w:t>
      </w:r>
      <w:r w:rsidR="00C026A6" w:rsidRPr="00EA59C0">
        <w:t xml:space="preserve"> </w:t>
      </w:r>
      <w:r w:rsidRPr="00EA59C0">
        <w:t>college</w:t>
      </w:r>
      <w:r w:rsidR="00C026A6" w:rsidRPr="00EA59C0">
        <w:t xml:space="preserve"> </w:t>
      </w:r>
      <w:r w:rsidRPr="00EA59C0">
        <w:t>systems</w:t>
      </w:r>
      <w:r w:rsidR="002933CE" w:rsidRPr="00EA59C0">
        <w:t>,</w:t>
      </w:r>
      <w:r w:rsidR="00C026A6" w:rsidRPr="00EA59C0">
        <w:t xml:space="preserve"> </w:t>
      </w:r>
      <w:r w:rsidR="002933CE" w:rsidRPr="00EA59C0">
        <w:t>or</w:t>
      </w:r>
      <w:r w:rsidR="00C026A6" w:rsidRPr="00EA59C0">
        <w:t xml:space="preserve"> </w:t>
      </w:r>
      <w:r w:rsidR="002933CE" w:rsidRPr="00EA59C0">
        <w:t>across</w:t>
      </w:r>
      <w:r w:rsidR="00C026A6" w:rsidRPr="00EA59C0">
        <w:t xml:space="preserve"> </w:t>
      </w:r>
      <w:r w:rsidR="002933CE" w:rsidRPr="00EA59C0">
        <w:t>all</w:t>
      </w:r>
      <w:r w:rsidR="00C026A6" w:rsidRPr="00EA59C0">
        <w:t xml:space="preserve"> </w:t>
      </w:r>
      <w:r w:rsidR="002933CE" w:rsidRPr="00EA59C0">
        <w:t>community</w:t>
      </w:r>
      <w:r w:rsidR="00C026A6" w:rsidRPr="00EA59C0">
        <w:t xml:space="preserve"> </w:t>
      </w:r>
      <w:r w:rsidR="002933CE" w:rsidRPr="00EA59C0">
        <w:t>colleges</w:t>
      </w:r>
      <w:r w:rsidR="00C026A6" w:rsidRPr="00EA59C0">
        <w:t xml:space="preserve"> </w:t>
      </w:r>
      <w:r w:rsidR="002933CE" w:rsidRPr="00EA59C0">
        <w:t>in</w:t>
      </w:r>
      <w:r w:rsidR="00C026A6" w:rsidRPr="00EA59C0">
        <w:t xml:space="preserve"> </w:t>
      </w:r>
      <w:r w:rsidR="002933CE" w:rsidRPr="00EA59C0">
        <w:t>state</w:t>
      </w:r>
      <w:r w:rsidR="00372BB3" w:rsidRPr="00EA59C0">
        <w:t>s</w:t>
      </w:r>
      <w:r w:rsidR="00C026A6" w:rsidRPr="00EA59C0">
        <w:t xml:space="preserve"> </w:t>
      </w:r>
      <w:r w:rsidR="002933CE" w:rsidRPr="00EA59C0">
        <w:t>where</w:t>
      </w:r>
      <w:r w:rsidR="00C026A6" w:rsidRPr="00EA59C0">
        <w:t xml:space="preserve"> </w:t>
      </w:r>
      <w:r w:rsidR="002933CE" w:rsidRPr="00EA59C0">
        <w:t>centralized</w:t>
      </w:r>
      <w:r w:rsidR="00C026A6" w:rsidRPr="00EA59C0">
        <w:t xml:space="preserve"> </w:t>
      </w:r>
      <w:r w:rsidR="002933CE" w:rsidRPr="00EA59C0">
        <w:t>systems</w:t>
      </w:r>
      <w:r w:rsidR="00C026A6" w:rsidRPr="00EA59C0">
        <w:t xml:space="preserve"> </w:t>
      </w:r>
      <w:r w:rsidR="002933CE" w:rsidRPr="00EA59C0">
        <w:t>do</w:t>
      </w:r>
      <w:r w:rsidR="00C026A6" w:rsidRPr="00EA59C0">
        <w:t xml:space="preserve"> </w:t>
      </w:r>
      <w:r w:rsidR="002933CE" w:rsidRPr="00EA59C0">
        <w:t>not</w:t>
      </w:r>
      <w:r w:rsidR="00C026A6" w:rsidRPr="00EA59C0">
        <w:t xml:space="preserve"> </w:t>
      </w:r>
      <w:r w:rsidR="002933CE" w:rsidRPr="00EA59C0">
        <w:t>exist</w:t>
      </w:r>
      <w:r w:rsidR="00C026A6" w:rsidRPr="00EA59C0">
        <w:t xml:space="preserve"> </w:t>
      </w:r>
      <w:r w:rsidR="00573DFD" w:rsidRPr="00EA59C0">
        <w:t>to</w:t>
      </w:r>
      <w:r w:rsidR="00C026A6" w:rsidRPr="00EA59C0">
        <w:t xml:space="preserve"> </w:t>
      </w:r>
      <w:r w:rsidR="00573DFD" w:rsidRPr="00EA59C0">
        <w:t>improve</w:t>
      </w:r>
      <w:r w:rsidR="00C026A6" w:rsidRPr="00EA59C0">
        <w:t xml:space="preserve"> </w:t>
      </w:r>
      <w:r w:rsidR="00573DFD" w:rsidRPr="00EA59C0">
        <w:t>the</w:t>
      </w:r>
      <w:r w:rsidR="00C026A6" w:rsidRPr="00EA59C0">
        <w:t xml:space="preserve"> </w:t>
      </w:r>
      <w:r w:rsidR="00573DFD" w:rsidRPr="00EA59C0">
        <w:t>delivery</w:t>
      </w:r>
      <w:r w:rsidR="00C026A6" w:rsidRPr="00EA59C0">
        <w:t xml:space="preserve"> </w:t>
      </w:r>
      <w:r w:rsidR="00573DFD" w:rsidRPr="00EA59C0">
        <w:t>of</w:t>
      </w:r>
      <w:r w:rsidR="00C026A6" w:rsidRPr="00EA59C0">
        <w:t xml:space="preserve"> </w:t>
      </w:r>
      <w:r w:rsidR="00573DFD" w:rsidRPr="00EA59C0">
        <w:t>needed</w:t>
      </w:r>
      <w:r w:rsidR="00C026A6" w:rsidRPr="00EA59C0">
        <w:t xml:space="preserve"> </w:t>
      </w:r>
      <w:r w:rsidR="00573DFD" w:rsidRPr="00EA59C0">
        <w:t>training</w:t>
      </w:r>
      <w:r w:rsidR="00C026A6" w:rsidRPr="00EA59C0">
        <w:t xml:space="preserve"> </w:t>
      </w:r>
      <w:r w:rsidR="00573DFD" w:rsidRPr="00EA59C0">
        <w:t>for</w:t>
      </w:r>
      <w:r w:rsidR="00C026A6" w:rsidRPr="00EA59C0">
        <w:t xml:space="preserve"> </w:t>
      </w:r>
      <w:r w:rsidR="00573DFD" w:rsidRPr="00EA59C0">
        <w:t>TAA-eligible</w:t>
      </w:r>
      <w:r w:rsidR="00C026A6" w:rsidRPr="00EA59C0">
        <w:t xml:space="preserve"> </w:t>
      </w:r>
      <w:r w:rsidR="00573DFD" w:rsidRPr="00EA59C0">
        <w:t>workers</w:t>
      </w:r>
      <w:r w:rsidR="00C026A6" w:rsidRPr="00EA59C0">
        <w:t xml:space="preserve"> </w:t>
      </w:r>
      <w:r w:rsidR="00573DFD" w:rsidRPr="00EA59C0">
        <w:t>and</w:t>
      </w:r>
      <w:r w:rsidR="00C026A6" w:rsidRPr="00EA59C0">
        <w:t xml:space="preserve"> </w:t>
      </w:r>
      <w:r w:rsidR="00573DFD" w:rsidRPr="00EA59C0">
        <w:t>other</w:t>
      </w:r>
      <w:r w:rsidR="00C026A6" w:rsidRPr="00EA59C0">
        <w:t xml:space="preserve"> </w:t>
      </w:r>
      <w:r w:rsidR="00573DFD" w:rsidRPr="00EA59C0">
        <w:t>adults</w:t>
      </w:r>
      <w:r w:rsidRPr="00EA59C0">
        <w:t>.</w:t>
      </w:r>
      <w:r w:rsidR="00C026A6" w:rsidRPr="00EA59C0">
        <w:t xml:space="preserve">  </w:t>
      </w:r>
      <w:r w:rsidR="00B06867" w:rsidRPr="00EA59C0">
        <w:t>To</w:t>
      </w:r>
      <w:r w:rsidR="00C026A6" w:rsidRPr="00EA59C0">
        <w:t xml:space="preserve"> </w:t>
      </w:r>
      <w:r w:rsidR="00B06867" w:rsidRPr="00EA59C0">
        <w:t>accomplish</w:t>
      </w:r>
      <w:r w:rsidR="00C026A6" w:rsidRPr="00EA59C0">
        <w:t xml:space="preserve"> </w:t>
      </w:r>
      <w:r w:rsidR="00B06867" w:rsidRPr="00EA59C0">
        <w:t>this,</w:t>
      </w:r>
      <w:r w:rsidR="00C026A6" w:rsidRPr="00EA59C0">
        <w:t xml:space="preserve"> </w:t>
      </w:r>
      <w:r w:rsidR="008B01F7" w:rsidRPr="00EA59C0">
        <w:t>successful</w:t>
      </w:r>
      <w:r w:rsidR="00C026A6" w:rsidRPr="00EA59C0">
        <w:t xml:space="preserve"> </w:t>
      </w:r>
      <w:r w:rsidR="00B06867" w:rsidRPr="00EA59C0">
        <w:t>applicants</w:t>
      </w:r>
      <w:r w:rsidR="00C026A6" w:rsidRPr="00EA59C0">
        <w:t xml:space="preserve"> </w:t>
      </w:r>
      <w:r w:rsidR="00B06867" w:rsidRPr="00EA59C0">
        <w:t>will</w:t>
      </w:r>
      <w:r w:rsidR="00C026A6" w:rsidRPr="00EA59C0">
        <w:t xml:space="preserve"> </w:t>
      </w:r>
      <w:r w:rsidR="00B06867" w:rsidRPr="00EA59C0">
        <w:t>propose</w:t>
      </w:r>
      <w:r w:rsidR="00C026A6" w:rsidRPr="00EA59C0">
        <w:t xml:space="preserve"> </w:t>
      </w:r>
      <w:r w:rsidR="00160EC9" w:rsidRPr="00EA59C0">
        <w:t>s</w:t>
      </w:r>
      <w:r w:rsidRPr="00EA59C0">
        <w:t>trategies</w:t>
      </w:r>
      <w:r w:rsidR="00C026A6" w:rsidRPr="00EA59C0">
        <w:t xml:space="preserve"> </w:t>
      </w:r>
      <w:r w:rsidR="00B06867" w:rsidRPr="00EA59C0">
        <w:t>that</w:t>
      </w:r>
      <w:r w:rsidR="00C026A6" w:rsidRPr="00EA59C0">
        <w:t xml:space="preserve"> </w:t>
      </w:r>
      <w:r w:rsidR="00040FB7" w:rsidRPr="00EA59C0">
        <w:t>take</w:t>
      </w:r>
      <w:r w:rsidR="00C026A6" w:rsidRPr="00EA59C0">
        <w:t xml:space="preserve"> </w:t>
      </w:r>
      <w:r w:rsidR="00040FB7" w:rsidRPr="00EA59C0">
        <w:t>to</w:t>
      </w:r>
      <w:r w:rsidR="00C026A6" w:rsidRPr="00EA59C0">
        <w:t xml:space="preserve"> </w:t>
      </w:r>
      <w:r w:rsidRPr="00EA59C0">
        <w:t>scale</w:t>
      </w:r>
      <w:r w:rsidR="00C026A6" w:rsidRPr="00EA59C0">
        <w:t xml:space="preserve"> </w:t>
      </w:r>
      <w:r w:rsidRPr="00EA59C0">
        <w:t>the</w:t>
      </w:r>
      <w:r w:rsidR="00C026A6" w:rsidRPr="00EA59C0">
        <w:t xml:space="preserve"> </w:t>
      </w:r>
      <w:r w:rsidRPr="00EA59C0">
        <w:t>adoption</w:t>
      </w:r>
      <w:r w:rsidR="00C026A6" w:rsidRPr="00EA59C0">
        <w:t xml:space="preserve"> </w:t>
      </w:r>
      <w:r w:rsidRPr="00EA59C0">
        <w:t>of</w:t>
      </w:r>
      <w:r w:rsidR="00C026A6" w:rsidRPr="00EA59C0">
        <w:t xml:space="preserve"> </w:t>
      </w:r>
      <w:r w:rsidRPr="00EA59C0">
        <w:t>policies</w:t>
      </w:r>
      <w:r w:rsidR="00F100C0" w:rsidRPr="00EA59C0">
        <w:t>,</w:t>
      </w:r>
      <w:r w:rsidR="00C026A6" w:rsidRPr="00EA59C0">
        <w:t xml:space="preserve"> </w:t>
      </w:r>
      <w:r w:rsidRPr="00EA59C0">
        <w:t>supported</w:t>
      </w:r>
      <w:r w:rsidR="00C026A6" w:rsidRPr="00EA59C0">
        <w:t xml:space="preserve"> </w:t>
      </w:r>
      <w:r w:rsidRPr="00EA59C0">
        <w:t>by</w:t>
      </w:r>
      <w:r w:rsidR="00C026A6" w:rsidRPr="00EA59C0">
        <w:t xml:space="preserve"> </w:t>
      </w:r>
      <w:r w:rsidRPr="00EA59C0">
        <w:t>evidence</w:t>
      </w:r>
      <w:r w:rsidR="00C026A6" w:rsidRPr="00EA59C0">
        <w:t xml:space="preserve"> </w:t>
      </w:r>
      <w:r w:rsidRPr="00EA59C0">
        <w:t>where</w:t>
      </w:r>
      <w:r w:rsidR="00C026A6" w:rsidRPr="00EA59C0">
        <w:t xml:space="preserve"> </w:t>
      </w:r>
      <w:r w:rsidRPr="00EA59C0">
        <w:t>it</w:t>
      </w:r>
      <w:r w:rsidR="00C026A6" w:rsidRPr="00EA59C0">
        <w:t xml:space="preserve"> </w:t>
      </w:r>
      <w:r w:rsidRPr="00EA59C0">
        <w:t>exists,</w:t>
      </w:r>
      <w:r w:rsidR="00C026A6" w:rsidRPr="00EA59C0">
        <w:t xml:space="preserve"> </w:t>
      </w:r>
      <w:r w:rsidR="00160EC9" w:rsidRPr="00EA59C0">
        <w:t>that</w:t>
      </w:r>
      <w:r w:rsidR="00C026A6" w:rsidRPr="00EA59C0">
        <w:t xml:space="preserve"> </w:t>
      </w:r>
      <w:r w:rsidRPr="00EA59C0">
        <w:t>increase</w:t>
      </w:r>
      <w:r w:rsidR="00C026A6" w:rsidRPr="00EA59C0">
        <w:t xml:space="preserve"> </w:t>
      </w:r>
      <w:r w:rsidR="007F4739" w:rsidRPr="00EA59C0">
        <w:t>training</w:t>
      </w:r>
      <w:r w:rsidR="00C026A6" w:rsidRPr="00EA59C0">
        <w:t xml:space="preserve"> </w:t>
      </w:r>
      <w:r w:rsidRPr="00EA59C0">
        <w:t>retention,</w:t>
      </w:r>
      <w:r w:rsidR="00C026A6" w:rsidRPr="00EA59C0">
        <w:t xml:space="preserve"> </w:t>
      </w:r>
      <w:r w:rsidRPr="00EA59C0">
        <w:t>completion,</w:t>
      </w:r>
      <w:r w:rsidR="00C026A6" w:rsidRPr="00EA59C0">
        <w:t xml:space="preserve"> </w:t>
      </w:r>
      <w:r w:rsidR="00CA552C" w:rsidRPr="00EA59C0">
        <w:t>and</w:t>
      </w:r>
      <w:r w:rsidR="00C026A6" w:rsidRPr="00EA59C0">
        <w:t xml:space="preserve"> </w:t>
      </w:r>
      <w:r w:rsidRPr="00EA59C0">
        <w:t>promote</w:t>
      </w:r>
      <w:r w:rsidR="00C026A6" w:rsidRPr="00EA59C0">
        <w:t xml:space="preserve"> </w:t>
      </w:r>
      <w:r w:rsidRPr="00EA59C0">
        <w:t>faster</w:t>
      </w:r>
      <w:r w:rsidR="00C026A6" w:rsidRPr="00EA59C0">
        <w:t xml:space="preserve"> </w:t>
      </w:r>
      <w:r w:rsidRPr="00EA59C0">
        <w:t>time</w:t>
      </w:r>
      <w:r w:rsidR="00C026A6" w:rsidRPr="00EA59C0">
        <w:t xml:space="preserve"> </w:t>
      </w:r>
      <w:r w:rsidRPr="00EA59C0">
        <w:t>to</w:t>
      </w:r>
      <w:r w:rsidR="00C026A6" w:rsidRPr="00EA59C0">
        <w:t xml:space="preserve"> </w:t>
      </w:r>
      <w:r w:rsidR="007F4739" w:rsidRPr="00EA59C0">
        <w:t>employment</w:t>
      </w:r>
      <w:r w:rsidR="00CA552C" w:rsidRPr="00EA59C0">
        <w:t>.</w:t>
      </w:r>
      <w:r w:rsidR="00C026A6" w:rsidRPr="00EA59C0">
        <w:t xml:space="preserve">  </w:t>
      </w:r>
      <w:r w:rsidR="00CA552C" w:rsidRPr="00EA59C0">
        <w:t>Applicants</w:t>
      </w:r>
      <w:r w:rsidR="00C026A6" w:rsidRPr="00EA59C0">
        <w:t xml:space="preserve"> </w:t>
      </w:r>
      <w:r w:rsidR="00CA552C" w:rsidRPr="00EA59C0">
        <w:t>are</w:t>
      </w:r>
      <w:r w:rsidR="00C026A6" w:rsidRPr="00EA59C0">
        <w:t xml:space="preserve"> </w:t>
      </w:r>
      <w:r w:rsidR="00CA552C" w:rsidRPr="00EA59C0">
        <w:t>also</w:t>
      </w:r>
      <w:r w:rsidR="00C026A6" w:rsidRPr="00EA59C0">
        <w:t xml:space="preserve"> </w:t>
      </w:r>
      <w:r w:rsidR="00CA552C" w:rsidRPr="00EA59C0">
        <w:t>encouraged</w:t>
      </w:r>
      <w:r w:rsidR="00C026A6" w:rsidRPr="00EA59C0">
        <w:t xml:space="preserve"> </w:t>
      </w:r>
      <w:r w:rsidR="00CA552C" w:rsidRPr="00EA59C0">
        <w:t>to</w:t>
      </w:r>
      <w:r w:rsidR="00C026A6" w:rsidRPr="00EA59C0">
        <w:t xml:space="preserve"> </w:t>
      </w:r>
      <w:r w:rsidR="00CA552C" w:rsidRPr="00EA59C0">
        <w:t>pursue</w:t>
      </w:r>
      <w:r w:rsidR="00C026A6" w:rsidRPr="00EA59C0">
        <w:t xml:space="preserve"> </w:t>
      </w:r>
      <w:r w:rsidR="00CA552C" w:rsidRPr="00EA59C0">
        <w:t>strategies</w:t>
      </w:r>
      <w:r w:rsidR="00C026A6" w:rsidRPr="00EA59C0">
        <w:t xml:space="preserve"> </w:t>
      </w:r>
      <w:r w:rsidR="00CA552C" w:rsidRPr="00EA59C0">
        <w:t>that</w:t>
      </w:r>
      <w:r w:rsidR="00C026A6" w:rsidRPr="00EA59C0">
        <w:t xml:space="preserve"> </w:t>
      </w:r>
      <w:r w:rsidR="00CA552C" w:rsidRPr="00EA59C0">
        <w:t>lead</w:t>
      </w:r>
      <w:r w:rsidR="00C026A6" w:rsidRPr="00EA59C0">
        <w:t xml:space="preserve"> </w:t>
      </w:r>
      <w:r w:rsidR="00CA552C" w:rsidRPr="00EA59C0">
        <w:t>to</w:t>
      </w:r>
      <w:r w:rsidR="00C026A6" w:rsidRPr="00EA59C0">
        <w:t xml:space="preserve"> </w:t>
      </w:r>
      <w:r w:rsidR="00F43124" w:rsidRPr="00EA59C0">
        <w:t>increased</w:t>
      </w:r>
      <w:r w:rsidR="00C026A6" w:rsidRPr="00EA59C0">
        <w:t xml:space="preserve"> </w:t>
      </w:r>
      <w:r w:rsidR="00F43124" w:rsidRPr="00EA59C0">
        <w:t>wages</w:t>
      </w:r>
      <w:r w:rsidR="00C026A6" w:rsidRPr="00EA59C0">
        <w:t xml:space="preserve"> </w:t>
      </w:r>
      <w:r w:rsidR="00F43124" w:rsidRPr="00EA59C0">
        <w:t>compared</w:t>
      </w:r>
      <w:r w:rsidR="00C026A6" w:rsidRPr="00EA59C0">
        <w:t xml:space="preserve"> </w:t>
      </w:r>
      <w:r w:rsidR="00F43124" w:rsidRPr="00EA59C0">
        <w:t>to</w:t>
      </w:r>
      <w:r w:rsidR="00C026A6" w:rsidRPr="00EA59C0">
        <w:t xml:space="preserve"> </w:t>
      </w:r>
      <w:r w:rsidR="00F43124" w:rsidRPr="00EA59C0">
        <w:t>prior</w:t>
      </w:r>
      <w:r w:rsidR="00C026A6" w:rsidRPr="00EA59C0">
        <w:t xml:space="preserve"> </w:t>
      </w:r>
      <w:r w:rsidR="00F43124" w:rsidRPr="00EA59C0">
        <w:t>employment</w:t>
      </w:r>
      <w:r w:rsidR="00C026A6" w:rsidRPr="00EA59C0">
        <w:t xml:space="preserve"> </w:t>
      </w:r>
      <w:r w:rsidR="00CA552C" w:rsidRPr="00EA59C0">
        <w:t>of</w:t>
      </w:r>
      <w:r w:rsidR="00C026A6" w:rsidRPr="00EA59C0">
        <w:t xml:space="preserve"> </w:t>
      </w:r>
      <w:r w:rsidR="00CA552C" w:rsidRPr="00EA59C0">
        <w:t>participants</w:t>
      </w:r>
      <w:r w:rsidR="00CD44CF" w:rsidRPr="00EA59C0">
        <w:t>.</w:t>
      </w:r>
      <w:r w:rsidR="00CC60DE" w:rsidRPr="00EA59C0">
        <w:t xml:space="preserve">  </w:t>
      </w:r>
    </w:p>
    <w:p w:rsidR="00372BB3" w:rsidRPr="00EA59C0" w:rsidRDefault="00372BB3" w:rsidP="007A73AC">
      <w:pPr>
        <w:ind w:left="360"/>
      </w:pPr>
    </w:p>
    <w:p w:rsidR="001F017F" w:rsidRPr="00EA59C0" w:rsidRDefault="008B01F7" w:rsidP="007A73AC">
      <w:pPr>
        <w:ind w:left="360"/>
      </w:pPr>
      <w:r w:rsidRPr="00EA59C0">
        <w:t>Additionally,</w:t>
      </w:r>
      <w:r w:rsidR="00C026A6" w:rsidRPr="00EA59C0">
        <w:t xml:space="preserve"> </w:t>
      </w:r>
      <w:r w:rsidRPr="00EA59C0">
        <w:t>s</w:t>
      </w:r>
      <w:r w:rsidR="00CD44CF" w:rsidRPr="00EA59C0">
        <w:t>uccessful</w:t>
      </w:r>
      <w:r w:rsidR="00C026A6" w:rsidRPr="00EA59C0">
        <w:t xml:space="preserve"> </w:t>
      </w:r>
      <w:r w:rsidR="00372BB3" w:rsidRPr="00EA59C0">
        <w:t>consortia</w:t>
      </w:r>
      <w:r w:rsidR="00C026A6" w:rsidRPr="00EA59C0">
        <w:t xml:space="preserve"> </w:t>
      </w:r>
      <w:r w:rsidR="00CD44CF" w:rsidRPr="00EA59C0">
        <w:t>applicants</w:t>
      </w:r>
      <w:r w:rsidR="00C026A6" w:rsidRPr="00EA59C0">
        <w:t xml:space="preserve"> </w:t>
      </w:r>
      <w:r w:rsidR="00CD44CF" w:rsidRPr="00EA59C0">
        <w:t>will</w:t>
      </w:r>
      <w:r w:rsidR="00C026A6" w:rsidRPr="00EA59C0">
        <w:t xml:space="preserve"> </w:t>
      </w:r>
      <w:r w:rsidR="00CD44CF" w:rsidRPr="00EA59C0">
        <w:t>propose</w:t>
      </w:r>
      <w:r w:rsidR="00C026A6" w:rsidRPr="00EA59C0">
        <w:t xml:space="preserve"> </w:t>
      </w:r>
      <w:r w:rsidR="00CD44CF" w:rsidRPr="00EA59C0">
        <w:t>policy</w:t>
      </w:r>
      <w:r w:rsidR="00C026A6" w:rsidRPr="00EA59C0">
        <w:t xml:space="preserve"> </w:t>
      </w:r>
      <w:r w:rsidR="00CD44CF" w:rsidRPr="00EA59C0">
        <w:t>alignment</w:t>
      </w:r>
      <w:r w:rsidR="00C026A6" w:rsidRPr="00EA59C0">
        <w:t xml:space="preserve"> </w:t>
      </w:r>
      <w:r w:rsidR="00CD44CF" w:rsidRPr="00EA59C0">
        <w:t>across</w:t>
      </w:r>
      <w:r w:rsidR="00C026A6" w:rsidRPr="00EA59C0">
        <w:t xml:space="preserve"> </w:t>
      </w:r>
      <w:r w:rsidR="00CD44CF" w:rsidRPr="00EA59C0">
        <w:t>institutions</w:t>
      </w:r>
      <w:r w:rsidR="00C026A6" w:rsidRPr="00EA59C0">
        <w:t xml:space="preserve"> </w:t>
      </w:r>
      <w:r w:rsidR="00CD44CF" w:rsidRPr="00EA59C0">
        <w:t>to</w:t>
      </w:r>
      <w:r w:rsidR="00C026A6" w:rsidRPr="00EA59C0">
        <w:t xml:space="preserve"> </w:t>
      </w:r>
      <w:r w:rsidR="00CD44CF" w:rsidRPr="00EA59C0">
        <w:t>bring</w:t>
      </w:r>
      <w:r w:rsidR="00C026A6" w:rsidRPr="00EA59C0">
        <w:t xml:space="preserve"> </w:t>
      </w:r>
      <w:r w:rsidR="00CD44CF" w:rsidRPr="00EA59C0">
        <w:t>institutional</w:t>
      </w:r>
      <w:r w:rsidR="00C026A6" w:rsidRPr="00EA59C0">
        <w:t xml:space="preserve"> </w:t>
      </w:r>
      <w:r w:rsidR="000C3A47" w:rsidRPr="00EA59C0">
        <w:t>changes</w:t>
      </w:r>
      <w:r w:rsidR="00C026A6" w:rsidRPr="00EA59C0">
        <w:t xml:space="preserve"> </w:t>
      </w:r>
      <w:r w:rsidR="000C3A47" w:rsidRPr="00EA59C0">
        <w:t>to</w:t>
      </w:r>
      <w:r w:rsidR="00C026A6" w:rsidRPr="00EA59C0">
        <w:t xml:space="preserve"> </w:t>
      </w:r>
      <w:r w:rsidR="000C3A47" w:rsidRPr="00EA59C0">
        <w:t>scale,</w:t>
      </w:r>
      <w:r w:rsidR="00C026A6" w:rsidRPr="00EA59C0">
        <w:t xml:space="preserve"> </w:t>
      </w:r>
      <w:r w:rsidR="000C3A47" w:rsidRPr="00EA59C0">
        <w:t>such</w:t>
      </w:r>
      <w:r w:rsidR="00C026A6" w:rsidRPr="00EA59C0">
        <w:t xml:space="preserve"> </w:t>
      </w:r>
      <w:r w:rsidR="000C3A47" w:rsidRPr="00EA59C0">
        <w:t>as</w:t>
      </w:r>
      <w:r w:rsidR="00C026A6" w:rsidRPr="00EA59C0">
        <w:t xml:space="preserve"> </w:t>
      </w:r>
      <w:r w:rsidR="000C3A47" w:rsidRPr="00EA59C0">
        <w:t>the</w:t>
      </w:r>
      <w:r w:rsidR="00C026A6" w:rsidRPr="00EA59C0">
        <w:t xml:space="preserve"> </w:t>
      </w:r>
      <w:r w:rsidR="000C3A47" w:rsidRPr="00EA59C0">
        <w:t>development</w:t>
      </w:r>
      <w:r w:rsidR="00C026A6" w:rsidRPr="00EA59C0">
        <w:t xml:space="preserve"> </w:t>
      </w:r>
      <w:r w:rsidR="000C3A47" w:rsidRPr="00EA59C0">
        <w:t>of</w:t>
      </w:r>
      <w:r w:rsidR="00C026A6" w:rsidRPr="00EA59C0">
        <w:t xml:space="preserve"> </w:t>
      </w:r>
      <w:r w:rsidR="00372BB3" w:rsidRPr="00EA59C0">
        <w:t>statewide</w:t>
      </w:r>
      <w:r w:rsidR="00C026A6" w:rsidRPr="00EA59C0">
        <w:t xml:space="preserve"> </w:t>
      </w:r>
      <w:r w:rsidR="000C3A47" w:rsidRPr="00EA59C0">
        <w:t>systems</w:t>
      </w:r>
      <w:r w:rsidR="00C026A6" w:rsidRPr="00EA59C0">
        <w:t xml:space="preserve"> </w:t>
      </w:r>
      <w:r w:rsidR="000C3A47" w:rsidRPr="00EA59C0">
        <w:t>of</w:t>
      </w:r>
      <w:r w:rsidR="00C026A6" w:rsidRPr="00EA59C0">
        <w:t xml:space="preserve"> </w:t>
      </w:r>
      <w:r w:rsidR="000C3A47" w:rsidRPr="00EA59C0">
        <w:t>sector-focused</w:t>
      </w:r>
      <w:r w:rsidR="00C026A6" w:rsidRPr="00EA59C0">
        <w:t xml:space="preserve"> </w:t>
      </w:r>
      <w:r w:rsidR="000C3A47" w:rsidRPr="00EA59C0">
        <w:t>career</w:t>
      </w:r>
      <w:r w:rsidR="00C026A6" w:rsidRPr="00EA59C0">
        <w:t xml:space="preserve"> </w:t>
      </w:r>
      <w:r w:rsidR="000C3A47" w:rsidRPr="00EA59C0">
        <w:t>pathways</w:t>
      </w:r>
      <w:r w:rsidR="00EC131A" w:rsidRPr="00EA59C0">
        <w:t>,</w:t>
      </w:r>
      <w:r w:rsidR="00C026A6" w:rsidRPr="00EA59C0">
        <w:t xml:space="preserve"> </w:t>
      </w:r>
      <w:r w:rsidR="00D46872" w:rsidRPr="00EA59C0">
        <w:t>contextualizing</w:t>
      </w:r>
      <w:r w:rsidR="00C026A6" w:rsidRPr="00EA59C0">
        <w:t xml:space="preserve"> </w:t>
      </w:r>
      <w:r w:rsidR="00D46872" w:rsidRPr="00EA59C0">
        <w:t>and</w:t>
      </w:r>
      <w:r w:rsidR="00C026A6" w:rsidRPr="00EA59C0">
        <w:t xml:space="preserve"> </w:t>
      </w:r>
      <w:r w:rsidR="00D46872" w:rsidRPr="00EA59C0">
        <w:t>accelerating</w:t>
      </w:r>
      <w:r w:rsidR="00C026A6" w:rsidRPr="00EA59C0">
        <w:t xml:space="preserve"> </w:t>
      </w:r>
      <w:r w:rsidR="00EC131A" w:rsidRPr="00EA59C0">
        <w:t>remedial</w:t>
      </w:r>
      <w:r w:rsidR="00C026A6" w:rsidRPr="00EA59C0">
        <w:t xml:space="preserve"> </w:t>
      </w:r>
      <w:r w:rsidR="00EC131A" w:rsidRPr="00EA59C0">
        <w:t>education,</w:t>
      </w:r>
      <w:r w:rsidR="00C026A6" w:rsidRPr="00EA59C0">
        <w:t xml:space="preserve"> </w:t>
      </w:r>
      <w:r w:rsidR="00EC131A" w:rsidRPr="00EA59C0">
        <w:t>adopting</w:t>
      </w:r>
      <w:r w:rsidR="00C026A6" w:rsidRPr="00EA59C0">
        <w:t xml:space="preserve"> </w:t>
      </w:r>
      <w:r w:rsidR="00EC131A" w:rsidRPr="00EA59C0">
        <w:t>innovative</w:t>
      </w:r>
      <w:r w:rsidR="00C026A6" w:rsidRPr="00EA59C0">
        <w:t xml:space="preserve"> </w:t>
      </w:r>
      <w:r w:rsidR="00683257" w:rsidRPr="00EA59C0">
        <w:t>approaches</w:t>
      </w:r>
      <w:r w:rsidR="00C026A6" w:rsidRPr="00EA59C0">
        <w:t xml:space="preserve"> </w:t>
      </w:r>
      <w:r w:rsidR="00EC131A" w:rsidRPr="00EA59C0">
        <w:t>to</w:t>
      </w:r>
      <w:r w:rsidR="00C026A6" w:rsidRPr="00EA59C0">
        <w:t xml:space="preserve"> </w:t>
      </w:r>
      <w:r w:rsidR="00EC131A" w:rsidRPr="00EA59C0">
        <w:t>accelerate</w:t>
      </w:r>
      <w:r w:rsidR="00C026A6" w:rsidRPr="00EA59C0">
        <w:t xml:space="preserve"> </w:t>
      </w:r>
      <w:r w:rsidR="00EC131A" w:rsidRPr="00EA59C0">
        <w:t>credit</w:t>
      </w:r>
      <w:r w:rsidR="00C026A6" w:rsidRPr="00EA59C0">
        <w:t xml:space="preserve"> </w:t>
      </w:r>
      <w:r w:rsidR="00EC131A" w:rsidRPr="00EA59C0">
        <w:t>accumulation</w:t>
      </w:r>
      <w:r w:rsidR="00C026A6" w:rsidRPr="00EA59C0">
        <w:t xml:space="preserve"> </w:t>
      </w:r>
      <w:r w:rsidR="00EC131A" w:rsidRPr="00EA59C0">
        <w:t>and</w:t>
      </w:r>
      <w:r w:rsidR="00C026A6" w:rsidRPr="00EA59C0">
        <w:t xml:space="preserve"> </w:t>
      </w:r>
      <w:r w:rsidR="00EC131A" w:rsidRPr="00EA59C0">
        <w:t>postsecondary</w:t>
      </w:r>
      <w:r w:rsidR="00C026A6" w:rsidRPr="00EA59C0">
        <w:t xml:space="preserve"> </w:t>
      </w:r>
      <w:r w:rsidR="00EC131A" w:rsidRPr="00EA59C0">
        <w:t>credential</w:t>
      </w:r>
      <w:r w:rsidR="00C026A6" w:rsidRPr="00EA59C0">
        <w:t xml:space="preserve"> </w:t>
      </w:r>
      <w:r w:rsidR="00EC131A" w:rsidRPr="00EA59C0">
        <w:t>attainment,</w:t>
      </w:r>
      <w:r w:rsidR="00C026A6" w:rsidRPr="00EA59C0">
        <w:t xml:space="preserve"> </w:t>
      </w:r>
      <w:r w:rsidR="00EC131A" w:rsidRPr="00EA59C0">
        <w:t>and</w:t>
      </w:r>
      <w:r w:rsidR="00C026A6" w:rsidRPr="00EA59C0">
        <w:t xml:space="preserve"> </w:t>
      </w:r>
      <w:r w:rsidR="00EC131A" w:rsidRPr="00EA59C0">
        <w:t>improving</w:t>
      </w:r>
      <w:r w:rsidR="00C026A6" w:rsidRPr="00EA59C0">
        <w:t xml:space="preserve"> </w:t>
      </w:r>
      <w:r w:rsidR="00EC131A" w:rsidRPr="00EA59C0">
        <w:t>data</w:t>
      </w:r>
      <w:r w:rsidR="00C026A6" w:rsidRPr="00EA59C0">
        <w:t xml:space="preserve"> </w:t>
      </w:r>
      <w:r w:rsidR="00EC131A" w:rsidRPr="00EA59C0">
        <w:t>collection,</w:t>
      </w:r>
      <w:r w:rsidR="00C026A6" w:rsidRPr="00EA59C0">
        <w:t xml:space="preserve"> </w:t>
      </w:r>
      <w:r w:rsidR="00EC131A" w:rsidRPr="00EA59C0">
        <w:t>integration</w:t>
      </w:r>
      <w:r w:rsidR="00C026A6" w:rsidRPr="00EA59C0">
        <w:t xml:space="preserve"> </w:t>
      </w:r>
      <w:r w:rsidR="00EC131A" w:rsidRPr="00EA59C0">
        <w:t>and</w:t>
      </w:r>
      <w:r w:rsidR="00C026A6" w:rsidRPr="00EA59C0">
        <w:t xml:space="preserve"> </w:t>
      </w:r>
      <w:r w:rsidR="00EC131A" w:rsidRPr="00EA59C0">
        <w:t>use</w:t>
      </w:r>
      <w:r w:rsidR="00C026A6" w:rsidRPr="00EA59C0">
        <w:t xml:space="preserve"> </w:t>
      </w:r>
      <w:r w:rsidR="00EC131A" w:rsidRPr="00EA59C0">
        <w:t>across</w:t>
      </w:r>
      <w:r w:rsidR="00C026A6" w:rsidRPr="00EA59C0">
        <w:t xml:space="preserve"> </w:t>
      </w:r>
      <w:r w:rsidR="00EC131A" w:rsidRPr="00EA59C0">
        <w:t>state</w:t>
      </w:r>
      <w:r w:rsidR="00C026A6" w:rsidRPr="00EA59C0">
        <w:t xml:space="preserve"> </w:t>
      </w:r>
      <w:r w:rsidR="00EC131A" w:rsidRPr="00EA59C0">
        <w:t>community</w:t>
      </w:r>
      <w:r w:rsidR="00C026A6" w:rsidRPr="00EA59C0">
        <w:t xml:space="preserve"> </w:t>
      </w:r>
      <w:r w:rsidR="00EC131A" w:rsidRPr="00EA59C0">
        <w:t>college</w:t>
      </w:r>
      <w:r w:rsidR="00C026A6" w:rsidRPr="00EA59C0">
        <w:t xml:space="preserve"> </w:t>
      </w:r>
      <w:r w:rsidR="00EC131A" w:rsidRPr="00EA59C0">
        <w:t>systems</w:t>
      </w:r>
      <w:r w:rsidR="000C3A47" w:rsidRPr="00EA59C0">
        <w:t>.</w:t>
      </w:r>
      <w:r w:rsidR="00C026A6" w:rsidRPr="00EA59C0">
        <w:t xml:space="preserve">  </w:t>
      </w:r>
      <w:r w:rsidR="00EC131A" w:rsidRPr="00EA59C0">
        <w:t>These</w:t>
      </w:r>
      <w:r w:rsidR="00C026A6" w:rsidRPr="00EA59C0">
        <w:t xml:space="preserve"> </w:t>
      </w:r>
      <w:r w:rsidR="00EC131A" w:rsidRPr="00EA59C0">
        <w:t>career</w:t>
      </w:r>
      <w:r w:rsidR="00C026A6" w:rsidRPr="00EA59C0">
        <w:t xml:space="preserve"> </w:t>
      </w:r>
      <w:r w:rsidR="00EC131A" w:rsidRPr="00EA59C0">
        <w:t>pathway</w:t>
      </w:r>
      <w:r w:rsidR="00C026A6" w:rsidRPr="00EA59C0">
        <w:t xml:space="preserve"> </w:t>
      </w:r>
      <w:r w:rsidR="00372BB3" w:rsidRPr="00EA59C0">
        <w:t>systems</w:t>
      </w:r>
      <w:r w:rsidR="00C026A6" w:rsidRPr="00EA59C0">
        <w:t xml:space="preserve"> </w:t>
      </w:r>
      <w:r w:rsidR="00EC131A" w:rsidRPr="00EA59C0">
        <w:t>will</w:t>
      </w:r>
      <w:r w:rsidR="00C026A6" w:rsidRPr="00EA59C0">
        <w:t xml:space="preserve"> </w:t>
      </w:r>
      <w:r w:rsidR="00EC131A" w:rsidRPr="00EA59C0">
        <w:t>provide</w:t>
      </w:r>
      <w:r w:rsidR="00C026A6" w:rsidRPr="00EA59C0">
        <w:t xml:space="preserve"> </w:t>
      </w:r>
      <w:r w:rsidR="00EC131A" w:rsidRPr="00EA59C0">
        <w:t>adults</w:t>
      </w:r>
      <w:r w:rsidR="00C026A6" w:rsidRPr="00EA59C0">
        <w:t xml:space="preserve"> </w:t>
      </w:r>
      <w:r w:rsidR="00EC131A" w:rsidRPr="00EA59C0">
        <w:t>a</w:t>
      </w:r>
      <w:r w:rsidR="00C026A6" w:rsidRPr="00EA59C0">
        <w:t xml:space="preserve"> </w:t>
      </w:r>
      <w:r w:rsidR="00EC131A" w:rsidRPr="00EA59C0">
        <w:t>clear</w:t>
      </w:r>
      <w:r w:rsidR="00C026A6" w:rsidRPr="00EA59C0">
        <w:t xml:space="preserve"> </w:t>
      </w:r>
      <w:r w:rsidR="00EC131A" w:rsidRPr="00EA59C0">
        <w:t>and</w:t>
      </w:r>
      <w:r w:rsidR="00C026A6" w:rsidRPr="00EA59C0">
        <w:t xml:space="preserve"> </w:t>
      </w:r>
      <w:r w:rsidR="00EC131A" w:rsidRPr="00EA59C0">
        <w:t>aligned</w:t>
      </w:r>
      <w:r w:rsidR="00C026A6" w:rsidRPr="00EA59C0">
        <w:t xml:space="preserve"> </w:t>
      </w:r>
      <w:r w:rsidR="00EC131A" w:rsidRPr="00EA59C0">
        <w:t>sequence</w:t>
      </w:r>
      <w:r w:rsidR="00C026A6" w:rsidRPr="00EA59C0">
        <w:t xml:space="preserve"> </w:t>
      </w:r>
      <w:r w:rsidR="00EC131A" w:rsidRPr="00EA59C0">
        <w:t>of</w:t>
      </w:r>
      <w:r w:rsidR="00C026A6" w:rsidRPr="00EA59C0">
        <w:t xml:space="preserve"> </w:t>
      </w:r>
      <w:r w:rsidR="00EC131A" w:rsidRPr="00EA59C0">
        <w:t>industry</w:t>
      </w:r>
      <w:r w:rsidR="00C026A6" w:rsidRPr="00EA59C0">
        <w:t xml:space="preserve"> </w:t>
      </w:r>
      <w:r w:rsidR="00EC131A" w:rsidRPr="00EA59C0">
        <w:t>relevant</w:t>
      </w:r>
      <w:r w:rsidR="00C026A6" w:rsidRPr="00EA59C0">
        <w:t xml:space="preserve"> </w:t>
      </w:r>
      <w:r w:rsidR="00EC131A" w:rsidRPr="00EA59C0">
        <w:t>coursework</w:t>
      </w:r>
      <w:r w:rsidR="00C026A6" w:rsidRPr="00EA59C0">
        <w:t xml:space="preserve"> </w:t>
      </w:r>
      <w:r w:rsidR="00EC131A" w:rsidRPr="00EA59C0">
        <w:t>and</w:t>
      </w:r>
      <w:r w:rsidR="00C026A6" w:rsidRPr="00EA59C0">
        <w:t xml:space="preserve"> </w:t>
      </w:r>
      <w:r w:rsidR="00EC131A" w:rsidRPr="00EA59C0">
        <w:t>stacked</w:t>
      </w:r>
      <w:r w:rsidR="00C026A6" w:rsidRPr="00EA59C0">
        <w:t xml:space="preserve"> </w:t>
      </w:r>
      <w:r w:rsidR="00EC131A" w:rsidRPr="00EA59C0">
        <w:t>and</w:t>
      </w:r>
      <w:r w:rsidR="00C026A6" w:rsidRPr="00EA59C0">
        <w:t xml:space="preserve"> </w:t>
      </w:r>
      <w:r w:rsidR="00EC131A" w:rsidRPr="00EA59C0">
        <w:t>latticed</w:t>
      </w:r>
      <w:r w:rsidR="00C026A6" w:rsidRPr="00EA59C0">
        <w:t xml:space="preserve"> </w:t>
      </w:r>
      <w:r w:rsidR="00EC131A" w:rsidRPr="00EA59C0">
        <w:t>credentials</w:t>
      </w:r>
      <w:r w:rsidR="00C026A6" w:rsidRPr="00EA59C0">
        <w:t xml:space="preserve"> </w:t>
      </w:r>
      <w:r w:rsidR="00EC131A" w:rsidRPr="00EA59C0">
        <w:t>that</w:t>
      </w:r>
      <w:r w:rsidR="00C026A6" w:rsidRPr="00EA59C0">
        <w:t xml:space="preserve"> </w:t>
      </w:r>
      <w:r w:rsidR="00EC131A" w:rsidRPr="00EA59C0">
        <w:t>will</w:t>
      </w:r>
      <w:r w:rsidR="00C026A6" w:rsidRPr="00EA59C0">
        <w:t xml:space="preserve"> </w:t>
      </w:r>
      <w:r w:rsidR="00EC131A" w:rsidRPr="00EA59C0">
        <w:t>enable</w:t>
      </w:r>
      <w:r w:rsidR="00C026A6" w:rsidRPr="00EA59C0">
        <w:t xml:space="preserve"> </w:t>
      </w:r>
      <w:r w:rsidR="00EC131A" w:rsidRPr="00EA59C0">
        <w:t>them</w:t>
      </w:r>
      <w:r w:rsidR="00C026A6" w:rsidRPr="00EA59C0">
        <w:t xml:space="preserve"> </w:t>
      </w:r>
      <w:r w:rsidR="00EC131A" w:rsidRPr="00EA59C0">
        <w:t>to</w:t>
      </w:r>
      <w:r w:rsidR="00C026A6" w:rsidRPr="00EA59C0">
        <w:t xml:space="preserve"> </w:t>
      </w:r>
      <w:r w:rsidR="00EC131A" w:rsidRPr="00EA59C0">
        <w:t>attain</w:t>
      </w:r>
      <w:r w:rsidR="00C026A6" w:rsidRPr="00EA59C0">
        <w:t xml:space="preserve"> </w:t>
      </w:r>
      <w:r w:rsidR="00EC131A" w:rsidRPr="00EA59C0">
        <w:t>and</w:t>
      </w:r>
      <w:r w:rsidR="00C026A6" w:rsidRPr="00EA59C0">
        <w:t xml:space="preserve"> </w:t>
      </w:r>
      <w:r w:rsidR="00EC131A" w:rsidRPr="00EA59C0">
        <w:t>retain</w:t>
      </w:r>
      <w:r w:rsidR="00C026A6" w:rsidRPr="00EA59C0">
        <w:t xml:space="preserve"> </w:t>
      </w:r>
      <w:r w:rsidR="00EC131A" w:rsidRPr="00EA59C0">
        <w:t>employment.</w:t>
      </w:r>
      <w:r w:rsidR="00C026A6" w:rsidRPr="00EA59C0">
        <w:t xml:space="preserve">  </w:t>
      </w:r>
      <w:r w:rsidR="003F4913" w:rsidRPr="00EA59C0">
        <w:t>All</w:t>
      </w:r>
      <w:r w:rsidR="00C026A6" w:rsidRPr="00EA59C0">
        <w:t xml:space="preserve"> </w:t>
      </w:r>
      <w:r w:rsidR="003F4913" w:rsidRPr="00EA59C0">
        <w:t>applicants</w:t>
      </w:r>
      <w:r w:rsidR="00C026A6" w:rsidRPr="00EA59C0">
        <w:t xml:space="preserve"> </w:t>
      </w:r>
      <w:r w:rsidR="003F4913" w:rsidRPr="00EA59C0">
        <w:t>may</w:t>
      </w:r>
      <w:r w:rsidR="00C026A6" w:rsidRPr="00EA59C0">
        <w:t xml:space="preserve"> </w:t>
      </w:r>
      <w:r w:rsidR="000C3A47" w:rsidRPr="00EA59C0">
        <w:t>promote</w:t>
      </w:r>
      <w:r w:rsidR="00C026A6" w:rsidRPr="00EA59C0">
        <w:t xml:space="preserve"> </w:t>
      </w:r>
      <w:r w:rsidR="000C3A47" w:rsidRPr="00EA59C0">
        <w:t>the</w:t>
      </w:r>
      <w:r w:rsidR="00C026A6" w:rsidRPr="00EA59C0">
        <w:t xml:space="preserve"> </w:t>
      </w:r>
      <w:r w:rsidR="001F017F" w:rsidRPr="00EA59C0">
        <w:t>defining</w:t>
      </w:r>
      <w:r w:rsidR="00C026A6" w:rsidRPr="00EA59C0">
        <w:t xml:space="preserve"> </w:t>
      </w:r>
      <w:r w:rsidR="001F017F" w:rsidRPr="00EA59C0">
        <w:t>and</w:t>
      </w:r>
      <w:r w:rsidR="00C026A6" w:rsidRPr="00EA59C0">
        <w:t xml:space="preserve"> </w:t>
      </w:r>
      <w:r w:rsidR="001F017F" w:rsidRPr="00EA59C0">
        <w:t>mapping</w:t>
      </w:r>
      <w:r w:rsidR="00C026A6" w:rsidRPr="00EA59C0">
        <w:t xml:space="preserve"> </w:t>
      </w:r>
      <w:r w:rsidR="001F017F" w:rsidRPr="00EA59C0">
        <w:t>of</w:t>
      </w:r>
      <w:r w:rsidR="00C026A6" w:rsidRPr="00EA59C0">
        <w:t xml:space="preserve"> </w:t>
      </w:r>
      <w:r w:rsidR="001F017F" w:rsidRPr="00EA59C0">
        <w:t>competencies,</w:t>
      </w:r>
      <w:r w:rsidR="00C026A6" w:rsidRPr="00EA59C0">
        <w:t xml:space="preserve"> </w:t>
      </w:r>
      <w:r w:rsidR="001F017F" w:rsidRPr="00EA59C0">
        <w:t>creation</w:t>
      </w:r>
      <w:r w:rsidR="00C026A6" w:rsidRPr="00EA59C0">
        <w:t xml:space="preserve"> </w:t>
      </w:r>
      <w:r w:rsidR="001F017F" w:rsidRPr="00EA59C0">
        <w:t>of</w:t>
      </w:r>
      <w:r w:rsidR="00C026A6" w:rsidRPr="00EA59C0">
        <w:t xml:space="preserve"> </w:t>
      </w:r>
      <w:r w:rsidR="001F017F" w:rsidRPr="00EA59C0">
        <w:t>industry-recognized</w:t>
      </w:r>
      <w:r w:rsidR="00C026A6" w:rsidRPr="00EA59C0">
        <w:t xml:space="preserve"> </w:t>
      </w:r>
      <w:r w:rsidR="001F017F" w:rsidRPr="00EA59C0">
        <w:t>credentials</w:t>
      </w:r>
      <w:r w:rsidR="00C026A6" w:rsidRPr="00EA59C0">
        <w:t xml:space="preserve"> </w:t>
      </w:r>
      <w:r w:rsidR="001F017F" w:rsidRPr="00EA59C0">
        <w:t>and</w:t>
      </w:r>
      <w:r w:rsidR="00C026A6" w:rsidRPr="00EA59C0">
        <w:t xml:space="preserve"> </w:t>
      </w:r>
      <w:r w:rsidR="001F017F" w:rsidRPr="00EA59C0">
        <w:t>assessments,</w:t>
      </w:r>
      <w:r w:rsidR="00C026A6" w:rsidRPr="00EA59C0">
        <w:t xml:space="preserve"> </w:t>
      </w:r>
      <w:r w:rsidR="001F017F" w:rsidRPr="00EA59C0">
        <w:t>and</w:t>
      </w:r>
      <w:r w:rsidR="00C026A6" w:rsidRPr="00EA59C0">
        <w:t xml:space="preserve"> </w:t>
      </w:r>
      <w:r w:rsidR="001F017F" w:rsidRPr="00EA59C0">
        <w:t>development</w:t>
      </w:r>
      <w:r w:rsidR="00C026A6" w:rsidRPr="00EA59C0">
        <w:t xml:space="preserve"> </w:t>
      </w:r>
      <w:r w:rsidR="001F017F" w:rsidRPr="00EA59C0">
        <w:t>of</w:t>
      </w:r>
      <w:r w:rsidR="00C026A6" w:rsidRPr="00EA59C0">
        <w:t xml:space="preserve"> </w:t>
      </w:r>
      <w:r w:rsidR="001F017F" w:rsidRPr="00EA59C0">
        <w:t>competency-based</w:t>
      </w:r>
      <w:r w:rsidR="00C026A6" w:rsidRPr="00EA59C0">
        <w:t xml:space="preserve"> </w:t>
      </w:r>
      <w:r w:rsidR="00834D65" w:rsidRPr="00EA59C0">
        <w:t>and</w:t>
      </w:r>
      <w:r w:rsidR="00C026A6" w:rsidRPr="00EA59C0">
        <w:t xml:space="preserve"> </w:t>
      </w:r>
      <w:r w:rsidR="00834D65" w:rsidRPr="00EA59C0">
        <w:t>accelerated</w:t>
      </w:r>
      <w:r w:rsidR="00C026A6" w:rsidRPr="00EA59C0">
        <w:t xml:space="preserve"> </w:t>
      </w:r>
      <w:r w:rsidR="001F017F" w:rsidRPr="00EA59C0">
        <w:t>education</w:t>
      </w:r>
      <w:r w:rsidR="00C026A6" w:rsidRPr="00EA59C0">
        <w:t xml:space="preserve"> </w:t>
      </w:r>
      <w:r w:rsidR="001F017F" w:rsidRPr="00EA59C0">
        <w:t>programs</w:t>
      </w:r>
      <w:r w:rsidR="00C026A6" w:rsidRPr="00EA59C0">
        <w:t xml:space="preserve"> </w:t>
      </w:r>
      <w:r w:rsidR="001F017F" w:rsidRPr="00EA59C0">
        <w:t>in</w:t>
      </w:r>
      <w:r w:rsidR="00C026A6" w:rsidRPr="00EA59C0">
        <w:t xml:space="preserve"> </w:t>
      </w:r>
      <w:r w:rsidR="001F017F" w:rsidRPr="00EA59C0">
        <w:t>high-growth,</w:t>
      </w:r>
      <w:r w:rsidR="00C026A6" w:rsidRPr="00EA59C0">
        <w:t xml:space="preserve"> </w:t>
      </w:r>
      <w:r w:rsidR="001F017F" w:rsidRPr="00EA59C0">
        <w:t>high-</w:t>
      </w:r>
      <w:r w:rsidR="000C3A47" w:rsidRPr="00EA59C0">
        <w:t>wage</w:t>
      </w:r>
      <w:r w:rsidR="00C026A6" w:rsidRPr="00EA59C0">
        <w:t xml:space="preserve"> </w:t>
      </w:r>
      <w:r w:rsidR="000C3A47" w:rsidRPr="00EA59C0">
        <w:t>industrie</w:t>
      </w:r>
      <w:r w:rsidR="00834D65" w:rsidRPr="00EA59C0">
        <w:t>s.</w:t>
      </w:r>
      <w:r w:rsidR="00C026A6" w:rsidRPr="00EA59C0">
        <w:t xml:space="preserve">  </w:t>
      </w:r>
      <w:r w:rsidR="003F4913" w:rsidRPr="00EA59C0">
        <w:t>Those</w:t>
      </w:r>
      <w:r w:rsidR="00C026A6" w:rsidRPr="00EA59C0">
        <w:t xml:space="preserve"> </w:t>
      </w:r>
      <w:r w:rsidR="003F4913" w:rsidRPr="00EA59C0">
        <w:t>applicants</w:t>
      </w:r>
      <w:r w:rsidR="00C026A6" w:rsidRPr="00EA59C0">
        <w:t xml:space="preserve"> </w:t>
      </w:r>
      <w:r w:rsidR="003F4913" w:rsidRPr="00EA59C0">
        <w:t>working</w:t>
      </w:r>
      <w:r w:rsidR="00C026A6" w:rsidRPr="00EA59C0">
        <w:t xml:space="preserve"> </w:t>
      </w:r>
      <w:r w:rsidR="003F4913" w:rsidRPr="00EA59C0">
        <w:t>with</w:t>
      </w:r>
      <w:r w:rsidR="00C026A6" w:rsidRPr="00EA59C0">
        <w:t xml:space="preserve"> </w:t>
      </w:r>
      <w:r w:rsidR="003F4913" w:rsidRPr="00EA59C0">
        <w:t>national</w:t>
      </w:r>
      <w:r w:rsidR="00C026A6" w:rsidRPr="00EA59C0">
        <w:t xml:space="preserve"> </w:t>
      </w:r>
      <w:r w:rsidR="003F4913" w:rsidRPr="00EA59C0">
        <w:t>industry</w:t>
      </w:r>
      <w:r w:rsidR="00C026A6" w:rsidRPr="00EA59C0">
        <w:t xml:space="preserve"> </w:t>
      </w:r>
      <w:r w:rsidR="0054597A" w:rsidRPr="00EA59C0">
        <w:t>or</w:t>
      </w:r>
      <w:r w:rsidR="00C026A6" w:rsidRPr="00EA59C0">
        <w:t xml:space="preserve"> </w:t>
      </w:r>
      <w:r w:rsidR="0054597A" w:rsidRPr="00EA59C0">
        <w:t>employer</w:t>
      </w:r>
      <w:r w:rsidR="00C026A6" w:rsidRPr="00EA59C0">
        <w:t xml:space="preserve"> </w:t>
      </w:r>
      <w:r w:rsidR="003F4913" w:rsidRPr="00EA59C0">
        <w:t>associations</w:t>
      </w:r>
      <w:r w:rsidR="00C026A6" w:rsidRPr="00EA59C0">
        <w:t xml:space="preserve"> </w:t>
      </w:r>
      <w:r w:rsidR="003F4913" w:rsidRPr="00EA59C0">
        <w:t>will</w:t>
      </w:r>
      <w:r w:rsidR="00C026A6" w:rsidRPr="00EA59C0">
        <w:t xml:space="preserve"> </w:t>
      </w:r>
      <w:r w:rsidR="003F4913" w:rsidRPr="00EA59C0">
        <w:t>have</w:t>
      </w:r>
      <w:r w:rsidR="00C026A6" w:rsidRPr="00EA59C0">
        <w:t xml:space="preserve"> </w:t>
      </w:r>
      <w:r w:rsidR="003F4913" w:rsidRPr="00EA59C0">
        <w:t>an</w:t>
      </w:r>
      <w:r w:rsidR="00C026A6" w:rsidRPr="00EA59C0">
        <w:t xml:space="preserve"> </w:t>
      </w:r>
      <w:r w:rsidR="003F4913" w:rsidRPr="00EA59C0">
        <w:t>opportunity</w:t>
      </w:r>
      <w:r w:rsidR="00C026A6" w:rsidRPr="00EA59C0">
        <w:t xml:space="preserve"> </w:t>
      </w:r>
      <w:r w:rsidR="003F4913" w:rsidRPr="00EA59C0">
        <w:t>to</w:t>
      </w:r>
      <w:r w:rsidR="00C026A6" w:rsidRPr="00EA59C0">
        <w:t xml:space="preserve"> </w:t>
      </w:r>
      <w:r w:rsidR="0054597A" w:rsidRPr="00EA59C0">
        <w:t>t</w:t>
      </w:r>
      <w:r w:rsidR="007F0EED" w:rsidRPr="00EA59C0">
        <w:t>ake</w:t>
      </w:r>
      <w:r w:rsidR="00C026A6" w:rsidRPr="00EA59C0">
        <w:t xml:space="preserve"> </w:t>
      </w:r>
      <w:r w:rsidR="007F0EED" w:rsidRPr="00EA59C0">
        <w:t>to</w:t>
      </w:r>
      <w:r w:rsidR="00C026A6" w:rsidRPr="00EA59C0">
        <w:t xml:space="preserve"> </w:t>
      </w:r>
      <w:r w:rsidR="007F0EED" w:rsidRPr="00EA59C0">
        <w:t>scale</w:t>
      </w:r>
      <w:r w:rsidR="00C026A6" w:rsidRPr="00EA59C0">
        <w:t xml:space="preserve"> </w:t>
      </w:r>
      <w:r w:rsidR="0054597A" w:rsidRPr="00EA59C0">
        <w:t>nationally</w:t>
      </w:r>
      <w:r w:rsidR="00C026A6" w:rsidRPr="00EA59C0">
        <w:t xml:space="preserve"> </w:t>
      </w:r>
      <w:r w:rsidR="0054597A" w:rsidRPr="00EA59C0">
        <w:t>recognized</w:t>
      </w:r>
      <w:r w:rsidR="00C026A6" w:rsidRPr="00EA59C0">
        <w:t xml:space="preserve"> </w:t>
      </w:r>
      <w:r w:rsidR="0054597A" w:rsidRPr="00EA59C0">
        <w:t>credentials</w:t>
      </w:r>
      <w:r w:rsidR="00C026A6" w:rsidRPr="00EA59C0">
        <w:t xml:space="preserve"> </w:t>
      </w:r>
      <w:r w:rsidR="0054597A" w:rsidRPr="00EA59C0">
        <w:t>and</w:t>
      </w:r>
      <w:r w:rsidR="00C026A6" w:rsidRPr="00EA59C0">
        <w:t xml:space="preserve"> </w:t>
      </w:r>
      <w:r w:rsidR="0054597A" w:rsidRPr="00EA59C0">
        <w:t>effective</w:t>
      </w:r>
      <w:r w:rsidR="00C026A6" w:rsidRPr="00EA59C0">
        <w:t xml:space="preserve"> </w:t>
      </w:r>
      <w:r w:rsidR="0054597A" w:rsidRPr="00EA59C0">
        <w:t>training</w:t>
      </w:r>
      <w:r w:rsidR="00C026A6" w:rsidRPr="00EA59C0">
        <w:t xml:space="preserve"> </w:t>
      </w:r>
      <w:r w:rsidR="0054597A" w:rsidRPr="00EA59C0">
        <w:t>programs</w:t>
      </w:r>
      <w:r w:rsidR="00C026A6" w:rsidRPr="00EA59C0">
        <w:t xml:space="preserve"> </w:t>
      </w:r>
      <w:r w:rsidR="0054597A" w:rsidRPr="00EA59C0">
        <w:t>to</w:t>
      </w:r>
      <w:r w:rsidR="00C026A6" w:rsidRPr="00EA59C0">
        <w:t xml:space="preserve"> </w:t>
      </w:r>
      <w:r w:rsidR="0054597A" w:rsidRPr="00EA59C0">
        <w:t>other</w:t>
      </w:r>
      <w:r w:rsidR="00C026A6" w:rsidRPr="00EA59C0">
        <w:t xml:space="preserve"> </w:t>
      </w:r>
      <w:r w:rsidR="0054597A" w:rsidRPr="00EA59C0">
        <w:t>economic</w:t>
      </w:r>
      <w:r w:rsidR="00C026A6" w:rsidRPr="00EA59C0">
        <w:t xml:space="preserve"> </w:t>
      </w:r>
      <w:r w:rsidR="0054597A" w:rsidRPr="00EA59C0">
        <w:t>regions.</w:t>
      </w:r>
    </w:p>
    <w:p w:rsidR="00931892" w:rsidRPr="00EA59C0" w:rsidRDefault="00931892" w:rsidP="007A73AC">
      <w:pPr>
        <w:ind w:left="360"/>
      </w:pPr>
    </w:p>
    <w:p w:rsidR="00FD2853" w:rsidRPr="00EA59C0" w:rsidRDefault="0027303B" w:rsidP="007A73AC">
      <w:pPr>
        <w:ind w:left="360"/>
      </w:pPr>
      <w:r w:rsidRPr="00EA59C0">
        <w:t>Along with other programs appropriate for TAA-eligible workers and other adults, t</w:t>
      </w:r>
      <w:r w:rsidR="00FD2853" w:rsidRPr="00EA59C0">
        <w:t>he</w:t>
      </w:r>
      <w:r w:rsidR="00C026A6" w:rsidRPr="00EA59C0">
        <w:t xml:space="preserve"> </w:t>
      </w:r>
      <w:r w:rsidR="00FD2853" w:rsidRPr="00EA59C0">
        <w:t>Department</w:t>
      </w:r>
      <w:r w:rsidR="00C026A6" w:rsidRPr="00EA59C0">
        <w:t xml:space="preserve"> </w:t>
      </w:r>
      <w:r w:rsidR="00FD2853" w:rsidRPr="00EA59C0">
        <w:t>hopes</w:t>
      </w:r>
      <w:r w:rsidR="00C026A6" w:rsidRPr="00EA59C0">
        <w:t xml:space="preserve"> </w:t>
      </w:r>
      <w:r w:rsidR="00FD2853" w:rsidRPr="00EA59C0">
        <w:t>to</w:t>
      </w:r>
      <w:r w:rsidR="00C026A6" w:rsidRPr="00EA59C0">
        <w:t xml:space="preserve"> </w:t>
      </w:r>
      <w:r w:rsidR="00FD2853" w:rsidRPr="00EA59C0">
        <w:t>foster</w:t>
      </w:r>
      <w:r w:rsidR="00C026A6" w:rsidRPr="00EA59C0">
        <w:t xml:space="preserve"> </w:t>
      </w:r>
      <w:r w:rsidR="00FD2853" w:rsidRPr="00EA59C0">
        <w:t>creative</w:t>
      </w:r>
      <w:r w:rsidR="00C026A6" w:rsidRPr="00EA59C0">
        <w:t xml:space="preserve"> </w:t>
      </w:r>
      <w:r w:rsidR="00FD2853" w:rsidRPr="00EA59C0">
        <w:t>and</w:t>
      </w:r>
      <w:r w:rsidR="00C026A6" w:rsidRPr="00EA59C0">
        <w:t xml:space="preserve"> </w:t>
      </w:r>
      <w:r w:rsidR="00FD2853" w:rsidRPr="00EA59C0">
        <w:t>outcomes-based</w:t>
      </w:r>
      <w:r w:rsidR="00C026A6" w:rsidRPr="00EA59C0">
        <w:t xml:space="preserve"> </w:t>
      </w:r>
      <w:r w:rsidR="00FD2853" w:rsidRPr="00EA59C0">
        <w:t>approaches</w:t>
      </w:r>
      <w:r w:rsidR="00C026A6" w:rsidRPr="00EA59C0">
        <w:t xml:space="preserve"> </w:t>
      </w:r>
      <w:r w:rsidR="00FD2853" w:rsidRPr="00EA59C0">
        <w:t>that</w:t>
      </w:r>
      <w:r w:rsidR="00C026A6" w:rsidRPr="00EA59C0">
        <w:t xml:space="preserve"> </w:t>
      </w:r>
      <w:r w:rsidR="00FD2853" w:rsidRPr="00EA59C0">
        <w:t>enhance</w:t>
      </w:r>
      <w:r w:rsidR="00C026A6" w:rsidRPr="00EA59C0">
        <w:t xml:space="preserve"> </w:t>
      </w:r>
      <w:r w:rsidR="00FD2853" w:rsidRPr="00EA59C0">
        <w:t>entrepreneurship</w:t>
      </w:r>
      <w:r w:rsidR="00C026A6" w:rsidRPr="00EA59C0">
        <w:t xml:space="preserve"> </w:t>
      </w:r>
      <w:r w:rsidR="00FD2853" w:rsidRPr="00EA59C0">
        <w:t>skills.</w:t>
      </w:r>
      <w:r w:rsidR="00C026A6" w:rsidRPr="00EA59C0">
        <w:t xml:space="preserve"> </w:t>
      </w:r>
      <w:r w:rsidR="000612E7" w:rsidRPr="00EA59C0">
        <w:t xml:space="preserve">Particularly </w:t>
      </w:r>
      <w:r w:rsidR="00FD2853" w:rsidRPr="00EA59C0">
        <w:t>in</w:t>
      </w:r>
      <w:r w:rsidR="00C026A6" w:rsidRPr="00EA59C0">
        <w:t xml:space="preserve"> </w:t>
      </w:r>
      <w:r w:rsidR="00FD2853" w:rsidRPr="00EA59C0">
        <w:t>regions</w:t>
      </w:r>
      <w:r w:rsidR="00C026A6" w:rsidRPr="00EA59C0">
        <w:t xml:space="preserve"> </w:t>
      </w:r>
      <w:r w:rsidR="00FD2853" w:rsidRPr="00EA59C0">
        <w:t>where</w:t>
      </w:r>
      <w:r w:rsidR="00C026A6" w:rsidRPr="00EA59C0">
        <w:t xml:space="preserve"> </w:t>
      </w:r>
      <w:r w:rsidR="00FD2853" w:rsidRPr="00EA59C0">
        <w:t>economic</w:t>
      </w:r>
      <w:r w:rsidR="00C026A6" w:rsidRPr="00EA59C0">
        <w:t xml:space="preserve"> </w:t>
      </w:r>
      <w:r w:rsidR="00FD2853" w:rsidRPr="00EA59C0">
        <w:t>recovery</w:t>
      </w:r>
      <w:r w:rsidR="00C026A6" w:rsidRPr="00EA59C0">
        <w:t xml:space="preserve"> </w:t>
      </w:r>
      <w:r w:rsidR="00FD2853" w:rsidRPr="00EA59C0">
        <w:t>has</w:t>
      </w:r>
      <w:r w:rsidR="00C026A6" w:rsidRPr="00EA59C0">
        <w:t xml:space="preserve"> </w:t>
      </w:r>
      <w:r w:rsidR="00FD2853" w:rsidRPr="00EA59C0">
        <w:t>been</w:t>
      </w:r>
      <w:r w:rsidR="00C026A6" w:rsidRPr="00EA59C0">
        <w:t xml:space="preserve"> </w:t>
      </w:r>
      <w:r w:rsidR="00FD2853" w:rsidRPr="00EA59C0">
        <w:t>slow</w:t>
      </w:r>
      <w:r w:rsidR="00C026A6" w:rsidRPr="00EA59C0">
        <w:t xml:space="preserve"> </w:t>
      </w:r>
      <w:r w:rsidR="00FD2853" w:rsidRPr="00EA59C0">
        <w:t>or</w:t>
      </w:r>
      <w:r w:rsidR="00C026A6" w:rsidRPr="00EA59C0">
        <w:t xml:space="preserve"> </w:t>
      </w:r>
      <w:r w:rsidR="00FD2853" w:rsidRPr="00EA59C0">
        <w:t>where</w:t>
      </w:r>
      <w:r w:rsidR="00C026A6" w:rsidRPr="00EA59C0">
        <w:t xml:space="preserve"> </w:t>
      </w:r>
      <w:r w:rsidR="00FD2853" w:rsidRPr="00EA59C0">
        <w:t>economic</w:t>
      </w:r>
      <w:r w:rsidR="00C026A6" w:rsidRPr="00EA59C0">
        <w:t xml:space="preserve"> </w:t>
      </w:r>
      <w:r w:rsidR="00FD2853" w:rsidRPr="00EA59C0">
        <w:t>opportunities</w:t>
      </w:r>
      <w:r w:rsidR="00C026A6" w:rsidRPr="00EA59C0">
        <w:t xml:space="preserve"> </w:t>
      </w:r>
      <w:r w:rsidR="00FD2853" w:rsidRPr="00EA59C0">
        <w:t>are</w:t>
      </w:r>
      <w:r w:rsidR="00C026A6" w:rsidRPr="00EA59C0">
        <w:t xml:space="preserve"> </w:t>
      </w:r>
      <w:r w:rsidR="00FD2853" w:rsidRPr="00EA59C0">
        <w:t>limited,</w:t>
      </w:r>
      <w:r w:rsidR="00C026A6" w:rsidRPr="00EA59C0">
        <w:t xml:space="preserve"> </w:t>
      </w:r>
      <w:r w:rsidR="00FD2853" w:rsidRPr="00EA59C0">
        <w:t>the</w:t>
      </w:r>
      <w:r w:rsidR="00C026A6" w:rsidRPr="00EA59C0">
        <w:t xml:space="preserve"> </w:t>
      </w:r>
      <w:r w:rsidR="00FD2853" w:rsidRPr="00EA59C0">
        <w:t>Department</w:t>
      </w:r>
      <w:r w:rsidR="00C026A6" w:rsidRPr="00EA59C0">
        <w:t xml:space="preserve"> </w:t>
      </w:r>
      <w:r w:rsidR="00FD2853" w:rsidRPr="00EA59C0">
        <w:t>encourages</w:t>
      </w:r>
      <w:r w:rsidR="00C026A6" w:rsidRPr="00EA59C0">
        <w:t xml:space="preserve"> </w:t>
      </w:r>
      <w:r w:rsidR="00FD2853" w:rsidRPr="00EA59C0">
        <w:t>comprehensive</w:t>
      </w:r>
      <w:r w:rsidR="00C026A6" w:rsidRPr="00EA59C0">
        <w:t xml:space="preserve"> </w:t>
      </w:r>
      <w:r w:rsidR="00FD2853" w:rsidRPr="00EA59C0">
        <w:t>entrepreneurship</w:t>
      </w:r>
      <w:r w:rsidR="00C026A6" w:rsidRPr="00EA59C0">
        <w:t xml:space="preserve"> </w:t>
      </w:r>
      <w:r w:rsidR="00FD2853" w:rsidRPr="00EA59C0">
        <w:t>training</w:t>
      </w:r>
      <w:r w:rsidR="00C026A6" w:rsidRPr="00EA59C0">
        <w:t xml:space="preserve"> </w:t>
      </w:r>
      <w:r w:rsidR="00FD2853" w:rsidRPr="00EA59C0">
        <w:t>programs</w:t>
      </w:r>
      <w:r w:rsidR="00C026A6" w:rsidRPr="00EA59C0">
        <w:t xml:space="preserve"> </w:t>
      </w:r>
      <w:r w:rsidR="00FD2853" w:rsidRPr="00EA59C0">
        <w:t>tied</w:t>
      </w:r>
      <w:r w:rsidR="00C026A6" w:rsidRPr="00EA59C0">
        <w:t xml:space="preserve"> </w:t>
      </w:r>
      <w:r w:rsidR="00FD2853" w:rsidRPr="00EA59C0">
        <w:t>to</w:t>
      </w:r>
      <w:r w:rsidR="00C026A6" w:rsidRPr="00EA59C0">
        <w:t xml:space="preserve"> </w:t>
      </w:r>
      <w:r w:rsidR="00FD2853" w:rsidRPr="00EA59C0">
        <w:t>industry</w:t>
      </w:r>
      <w:r w:rsidR="00C026A6" w:rsidRPr="00EA59C0">
        <w:t xml:space="preserve"> </w:t>
      </w:r>
      <w:r w:rsidR="00FD2853" w:rsidRPr="00EA59C0">
        <w:t>sectors</w:t>
      </w:r>
      <w:r w:rsidR="00C026A6" w:rsidRPr="00EA59C0">
        <w:t xml:space="preserve"> </w:t>
      </w:r>
      <w:r w:rsidR="00FD2853" w:rsidRPr="00EA59C0">
        <w:t>identified</w:t>
      </w:r>
      <w:r w:rsidR="00C026A6" w:rsidRPr="00EA59C0">
        <w:t xml:space="preserve"> </w:t>
      </w:r>
      <w:r w:rsidR="00FD2853" w:rsidRPr="00EA59C0">
        <w:t>in</w:t>
      </w:r>
      <w:r w:rsidR="00C026A6" w:rsidRPr="00EA59C0">
        <w:t xml:space="preserve"> </w:t>
      </w:r>
      <w:r w:rsidR="00FD2853" w:rsidRPr="00EA59C0">
        <w:t>the</w:t>
      </w:r>
      <w:r w:rsidR="00C026A6" w:rsidRPr="00EA59C0">
        <w:t xml:space="preserve"> </w:t>
      </w:r>
      <w:r w:rsidR="00FD2853" w:rsidRPr="00EA59C0">
        <w:t>proposal.</w:t>
      </w:r>
      <w:r w:rsidR="00C026A6" w:rsidRPr="00EA59C0">
        <w:t xml:space="preserve">  </w:t>
      </w:r>
      <w:r w:rsidR="00FD2853" w:rsidRPr="00EA59C0">
        <w:t>Startup</w:t>
      </w:r>
      <w:r w:rsidR="00C026A6" w:rsidRPr="00EA59C0">
        <w:t xml:space="preserve"> </w:t>
      </w:r>
      <w:r w:rsidR="00FD2853" w:rsidRPr="00EA59C0">
        <w:t>accelerators</w:t>
      </w:r>
      <w:r w:rsidR="00C026A6" w:rsidRPr="00EA59C0">
        <w:t xml:space="preserve"> </w:t>
      </w:r>
      <w:r w:rsidR="00FD2853" w:rsidRPr="00EA59C0">
        <w:t>and</w:t>
      </w:r>
      <w:r w:rsidR="00C026A6" w:rsidRPr="00EA59C0">
        <w:t xml:space="preserve"> </w:t>
      </w:r>
      <w:r w:rsidR="00FD2853" w:rsidRPr="00EA59C0">
        <w:t>incubators</w:t>
      </w:r>
      <w:r w:rsidR="00C026A6" w:rsidRPr="00EA59C0">
        <w:t xml:space="preserve"> </w:t>
      </w:r>
      <w:r w:rsidR="00FD2853" w:rsidRPr="00EA59C0">
        <w:t>can</w:t>
      </w:r>
      <w:r w:rsidR="00C026A6" w:rsidRPr="00EA59C0">
        <w:t xml:space="preserve"> </w:t>
      </w:r>
      <w:r w:rsidR="00FD2853" w:rsidRPr="00EA59C0">
        <w:t>give</w:t>
      </w:r>
      <w:r w:rsidR="00C026A6" w:rsidRPr="00EA59C0">
        <w:t xml:space="preserve"> </w:t>
      </w:r>
      <w:r w:rsidR="00FD2853" w:rsidRPr="00EA59C0">
        <w:t>adult</w:t>
      </w:r>
      <w:r w:rsidR="00C026A6" w:rsidRPr="00EA59C0">
        <w:t xml:space="preserve"> </w:t>
      </w:r>
      <w:r w:rsidR="00FD2853" w:rsidRPr="00EA59C0">
        <w:t>job-seekers</w:t>
      </w:r>
      <w:r w:rsidR="00C026A6" w:rsidRPr="00EA59C0">
        <w:t xml:space="preserve"> </w:t>
      </w:r>
      <w:r w:rsidR="00FD2853" w:rsidRPr="00EA59C0">
        <w:t>the</w:t>
      </w:r>
      <w:r w:rsidR="00C026A6" w:rsidRPr="00EA59C0">
        <w:t xml:space="preserve"> </w:t>
      </w:r>
      <w:r w:rsidR="00FD2853" w:rsidRPr="00EA59C0">
        <w:t>opportunity</w:t>
      </w:r>
      <w:r w:rsidR="00C026A6" w:rsidRPr="00EA59C0">
        <w:t xml:space="preserve"> </w:t>
      </w:r>
      <w:r w:rsidR="00FD2853" w:rsidRPr="00EA59C0">
        <w:t>to</w:t>
      </w:r>
      <w:r w:rsidR="00C026A6" w:rsidRPr="00EA59C0">
        <w:t xml:space="preserve"> </w:t>
      </w:r>
      <w:r w:rsidR="00FD2853" w:rsidRPr="00EA59C0">
        <w:t>turn</w:t>
      </w:r>
      <w:r w:rsidR="00C026A6" w:rsidRPr="00EA59C0">
        <w:t xml:space="preserve"> </w:t>
      </w:r>
      <w:r w:rsidR="00FD2853" w:rsidRPr="00EA59C0">
        <w:t>their</w:t>
      </w:r>
      <w:r w:rsidR="00C026A6" w:rsidRPr="00EA59C0">
        <w:t xml:space="preserve"> </w:t>
      </w:r>
      <w:r w:rsidR="00FD2853" w:rsidRPr="00EA59C0">
        <w:t>expertise</w:t>
      </w:r>
      <w:r w:rsidR="00C026A6" w:rsidRPr="00EA59C0">
        <w:t xml:space="preserve"> </w:t>
      </w:r>
      <w:r w:rsidR="00FD2853" w:rsidRPr="00EA59C0">
        <w:t>and</w:t>
      </w:r>
      <w:r w:rsidR="00C026A6" w:rsidRPr="00EA59C0">
        <w:t xml:space="preserve"> </w:t>
      </w:r>
      <w:r w:rsidR="00FD2853" w:rsidRPr="00EA59C0">
        <w:t>ideas</w:t>
      </w:r>
      <w:r w:rsidR="00C026A6" w:rsidRPr="00EA59C0">
        <w:t xml:space="preserve"> </w:t>
      </w:r>
      <w:r w:rsidR="00FD2853" w:rsidRPr="00EA59C0">
        <w:t>into</w:t>
      </w:r>
      <w:r w:rsidR="00C026A6" w:rsidRPr="00EA59C0">
        <w:t xml:space="preserve"> </w:t>
      </w:r>
      <w:r w:rsidR="00FD2853" w:rsidRPr="00EA59C0">
        <w:t>new</w:t>
      </w:r>
      <w:r w:rsidR="00C026A6" w:rsidRPr="00EA59C0">
        <w:t xml:space="preserve"> </w:t>
      </w:r>
      <w:r w:rsidR="00FD2853" w:rsidRPr="00EA59C0">
        <w:t>businesses</w:t>
      </w:r>
      <w:r w:rsidR="00C026A6" w:rsidRPr="00EA59C0">
        <w:t xml:space="preserve"> </w:t>
      </w:r>
      <w:r w:rsidR="00FD2853" w:rsidRPr="00EA59C0">
        <w:t>by</w:t>
      </w:r>
      <w:r w:rsidR="00C026A6" w:rsidRPr="00EA59C0">
        <w:t xml:space="preserve"> </w:t>
      </w:r>
      <w:r w:rsidR="00FD2853" w:rsidRPr="00EA59C0">
        <w:t>providing</w:t>
      </w:r>
      <w:r w:rsidR="00C026A6" w:rsidRPr="00EA59C0">
        <w:t xml:space="preserve"> </w:t>
      </w:r>
      <w:r w:rsidR="00FD2853" w:rsidRPr="00EA59C0">
        <w:t>common</w:t>
      </w:r>
      <w:r w:rsidR="00C026A6" w:rsidRPr="00EA59C0">
        <w:t xml:space="preserve"> </w:t>
      </w:r>
      <w:r w:rsidR="00FD2853" w:rsidRPr="00EA59C0">
        <w:t>infrastructure,</w:t>
      </w:r>
      <w:r w:rsidR="00C026A6" w:rsidRPr="00EA59C0">
        <w:t xml:space="preserve"> </w:t>
      </w:r>
      <w:r w:rsidR="00FD2853" w:rsidRPr="00EA59C0">
        <w:t>training,</w:t>
      </w:r>
      <w:r w:rsidR="00C026A6" w:rsidRPr="00EA59C0">
        <w:t xml:space="preserve"> </w:t>
      </w:r>
      <w:r w:rsidR="00FD2853" w:rsidRPr="00EA59C0">
        <w:t>and</w:t>
      </w:r>
      <w:r w:rsidR="00C026A6" w:rsidRPr="00EA59C0">
        <w:t xml:space="preserve"> </w:t>
      </w:r>
      <w:r w:rsidR="00FD2853" w:rsidRPr="00EA59C0">
        <w:t>intensive</w:t>
      </w:r>
      <w:r w:rsidR="00C026A6" w:rsidRPr="00EA59C0">
        <w:t xml:space="preserve"> </w:t>
      </w:r>
      <w:r w:rsidR="00FD2853" w:rsidRPr="00EA59C0">
        <w:t>mentoring,</w:t>
      </w:r>
      <w:r w:rsidR="00C026A6" w:rsidRPr="00EA59C0">
        <w:t xml:space="preserve"> </w:t>
      </w:r>
      <w:r w:rsidR="00FD2853" w:rsidRPr="00EA59C0">
        <w:t>or</w:t>
      </w:r>
      <w:r w:rsidR="00C026A6" w:rsidRPr="00EA59C0">
        <w:t xml:space="preserve"> </w:t>
      </w:r>
      <w:r w:rsidR="00FD2853" w:rsidRPr="00EA59C0">
        <w:t>access</w:t>
      </w:r>
      <w:r w:rsidR="00C026A6" w:rsidRPr="00EA59C0">
        <w:t xml:space="preserve"> </w:t>
      </w:r>
      <w:r w:rsidR="00FD2853" w:rsidRPr="00EA59C0">
        <w:t>to</w:t>
      </w:r>
      <w:r w:rsidR="00C026A6" w:rsidRPr="00EA59C0">
        <w:t xml:space="preserve"> </w:t>
      </w:r>
      <w:r w:rsidR="00FD2853" w:rsidRPr="00EA59C0">
        <w:t>financing</w:t>
      </w:r>
      <w:r w:rsidR="00C026A6" w:rsidRPr="00EA59C0">
        <w:t xml:space="preserve"> </w:t>
      </w:r>
      <w:r w:rsidR="00FD2853" w:rsidRPr="00EA59C0">
        <w:t>to</w:t>
      </w:r>
      <w:r w:rsidR="00C026A6" w:rsidRPr="00EA59C0">
        <w:t xml:space="preserve"> </w:t>
      </w:r>
      <w:r w:rsidR="00FD2853" w:rsidRPr="00EA59C0">
        <w:t>an</w:t>
      </w:r>
      <w:r w:rsidR="00C026A6" w:rsidRPr="00EA59C0">
        <w:t xml:space="preserve"> </w:t>
      </w:r>
      <w:r w:rsidR="00FD2853" w:rsidRPr="00EA59C0">
        <w:t>array</w:t>
      </w:r>
      <w:r w:rsidR="00C026A6" w:rsidRPr="00EA59C0">
        <w:t xml:space="preserve"> </w:t>
      </w:r>
      <w:r w:rsidR="00FD2853" w:rsidRPr="00EA59C0">
        <w:t>of</w:t>
      </w:r>
      <w:r w:rsidR="00C026A6" w:rsidRPr="00EA59C0">
        <w:t xml:space="preserve"> </w:t>
      </w:r>
      <w:r w:rsidR="00FD2853" w:rsidRPr="00EA59C0">
        <w:t>potential</w:t>
      </w:r>
      <w:r w:rsidR="00C026A6" w:rsidRPr="00EA59C0">
        <w:t xml:space="preserve"> </w:t>
      </w:r>
      <w:r w:rsidR="00FD2853" w:rsidRPr="00EA59C0">
        <w:t>startups.</w:t>
      </w:r>
      <w:r w:rsidR="00C026A6" w:rsidRPr="00EA59C0">
        <w:t xml:space="preserve">  </w:t>
      </w:r>
      <w:r w:rsidR="00FD2853" w:rsidRPr="00EA59C0">
        <w:t>Applicants</w:t>
      </w:r>
      <w:r w:rsidR="00C026A6" w:rsidRPr="00EA59C0">
        <w:t xml:space="preserve"> </w:t>
      </w:r>
      <w:r w:rsidR="00FD2853" w:rsidRPr="00EA59C0">
        <w:t>that</w:t>
      </w:r>
      <w:r w:rsidR="00C026A6" w:rsidRPr="00EA59C0">
        <w:t xml:space="preserve"> </w:t>
      </w:r>
      <w:r w:rsidR="00FD2853" w:rsidRPr="00EA59C0">
        <w:t>include</w:t>
      </w:r>
      <w:r w:rsidR="00C026A6" w:rsidRPr="00EA59C0">
        <w:t xml:space="preserve"> </w:t>
      </w:r>
      <w:r w:rsidR="00FD2853" w:rsidRPr="00EA59C0">
        <w:t>entrepreneurship</w:t>
      </w:r>
      <w:r w:rsidR="00C026A6" w:rsidRPr="00EA59C0">
        <w:t xml:space="preserve"> </w:t>
      </w:r>
      <w:r w:rsidR="00FD2853" w:rsidRPr="00EA59C0">
        <w:t>training</w:t>
      </w:r>
      <w:r w:rsidR="00C026A6" w:rsidRPr="00EA59C0">
        <w:t xml:space="preserve"> </w:t>
      </w:r>
      <w:r w:rsidR="00FD2853" w:rsidRPr="00EA59C0">
        <w:t>are</w:t>
      </w:r>
      <w:r w:rsidR="00C026A6" w:rsidRPr="00EA59C0">
        <w:t xml:space="preserve"> </w:t>
      </w:r>
      <w:r w:rsidR="00FD2853" w:rsidRPr="00EA59C0">
        <w:t>encouraged</w:t>
      </w:r>
      <w:r w:rsidR="00C026A6" w:rsidRPr="00EA59C0">
        <w:t xml:space="preserve"> </w:t>
      </w:r>
      <w:r w:rsidR="00FD2853" w:rsidRPr="00EA59C0">
        <w:t>to</w:t>
      </w:r>
      <w:r w:rsidR="00C026A6" w:rsidRPr="00EA59C0">
        <w:t xml:space="preserve"> </w:t>
      </w:r>
      <w:r w:rsidR="00FD2853" w:rsidRPr="00EA59C0">
        <w:t>focus</w:t>
      </w:r>
      <w:r w:rsidR="00C026A6" w:rsidRPr="00EA59C0">
        <w:t xml:space="preserve"> </w:t>
      </w:r>
      <w:r w:rsidR="00FD2853" w:rsidRPr="00EA59C0">
        <w:t>on</w:t>
      </w:r>
      <w:r w:rsidR="00C026A6" w:rsidRPr="00EA59C0">
        <w:t xml:space="preserve"> </w:t>
      </w:r>
      <w:r w:rsidR="00FD2853" w:rsidRPr="00EA59C0">
        <w:t>the</w:t>
      </w:r>
      <w:r w:rsidR="00C026A6" w:rsidRPr="00EA59C0">
        <w:t xml:space="preserve"> </w:t>
      </w:r>
      <w:r w:rsidR="00FD2853" w:rsidRPr="00EA59C0">
        <w:t>actual</w:t>
      </w:r>
      <w:r w:rsidR="00C026A6" w:rsidRPr="00EA59C0">
        <w:t xml:space="preserve"> </w:t>
      </w:r>
      <w:r w:rsidR="00FD2853" w:rsidRPr="00EA59C0">
        <w:t>experience</w:t>
      </w:r>
      <w:r w:rsidR="00C026A6" w:rsidRPr="00EA59C0">
        <w:t xml:space="preserve"> </w:t>
      </w:r>
      <w:r w:rsidR="00FD2853" w:rsidRPr="00EA59C0">
        <w:t>of</w:t>
      </w:r>
      <w:r w:rsidR="00C026A6" w:rsidRPr="00EA59C0">
        <w:t xml:space="preserve"> </w:t>
      </w:r>
      <w:r w:rsidR="00FD2853" w:rsidRPr="00EA59C0">
        <w:t>entrepreneurship</w:t>
      </w:r>
      <w:r w:rsidR="00C026A6" w:rsidRPr="00EA59C0">
        <w:t xml:space="preserve"> </w:t>
      </w:r>
      <w:r w:rsidR="00FD2853" w:rsidRPr="00EA59C0">
        <w:t>rather</w:t>
      </w:r>
      <w:r w:rsidR="00C026A6" w:rsidRPr="00EA59C0">
        <w:t xml:space="preserve"> </w:t>
      </w:r>
      <w:r w:rsidR="00FD2853" w:rsidRPr="00EA59C0">
        <w:t>than</w:t>
      </w:r>
      <w:r w:rsidR="00C026A6" w:rsidRPr="00EA59C0">
        <w:t xml:space="preserve"> </w:t>
      </w:r>
      <w:r w:rsidR="00FD2853" w:rsidRPr="00EA59C0">
        <w:t>simply</w:t>
      </w:r>
      <w:r w:rsidR="00C026A6" w:rsidRPr="00EA59C0">
        <w:t xml:space="preserve"> </w:t>
      </w:r>
      <w:r w:rsidR="00FD2853" w:rsidRPr="00EA59C0">
        <w:t>classroom</w:t>
      </w:r>
      <w:r w:rsidR="00C026A6" w:rsidRPr="00EA59C0">
        <w:t xml:space="preserve"> </w:t>
      </w:r>
      <w:r w:rsidR="00FD2853" w:rsidRPr="00EA59C0">
        <w:t>instruction.</w:t>
      </w:r>
      <w:r w:rsidR="00C026A6" w:rsidRPr="00EA59C0">
        <w:t xml:space="preserve">  </w:t>
      </w:r>
      <w:r w:rsidR="00FD2853" w:rsidRPr="00EA59C0">
        <w:t>In</w:t>
      </w:r>
      <w:r w:rsidR="00C026A6" w:rsidRPr="00EA59C0">
        <w:t xml:space="preserve"> </w:t>
      </w:r>
      <w:r w:rsidR="00FD2853" w:rsidRPr="00EA59C0">
        <w:t>some</w:t>
      </w:r>
      <w:r w:rsidR="00C026A6" w:rsidRPr="00EA59C0">
        <w:t xml:space="preserve"> </w:t>
      </w:r>
      <w:r w:rsidR="00FD2853" w:rsidRPr="00EA59C0">
        <w:t>instances,</w:t>
      </w:r>
      <w:r w:rsidR="00C026A6" w:rsidRPr="00EA59C0">
        <w:t xml:space="preserve"> </w:t>
      </w:r>
      <w:r w:rsidR="00FD2853" w:rsidRPr="00EA59C0">
        <w:t>entrepreneurship</w:t>
      </w:r>
      <w:r w:rsidR="00C026A6" w:rsidRPr="00EA59C0">
        <w:t xml:space="preserve"> </w:t>
      </w:r>
      <w:r w:rsidR="00FD2853" w:rsidRPr="00EA59C0">
        <w:t>incubators</w:t>
      </w:r>
      <w:r w:rsidR="00C026A6" w:rsidRPr="00EA59C0">
        <w:t xml:space="preserve"> </w:t>
      </w:r>
      <w:r w:rsidR="00FD2853" w:rsidRPr="00EA59C0">
        <w:t>and</w:t>
      </w:r>
      <w:r w:rsidR="00C026A6" w:rsidRPr="00EA59C0">
        <w:t xml:space="preserve"> </w:t>
      </w:r>
      <w:r w:rsidR="00FD2853" w:rsidRPr="00EA59C0">
        <w:t>accelerators</w:t>
      </w:r>
      <w:r w:rsidR="00C026A6" w:rsidRPr="00EA59C0">
        <w:t xml:space="preserve"> </w:t>
      </w:r>
      <w:r w:rsidR="00FD2853" w:rsidRPr="00EA59C0">
        <w:t>are</w:t>
      </w:r>
      <w:r w:rsidR="00C026A6" w:rsidRPr="00EA59C0">
        <w:t xml:space="preserve"> </w:t>
      </w:r>
      <w:r w:rsidR="00FD2853" w:rsidRPr="00EA59C0">
        <w:t>housed</w:t>
      </w:r>
      <w:r w:rsidR="00C026A6" w:rsidRPr="00EA59C0">
        <w:t xml:space="preserve"> </w:t>
      </w:r>
      <w:r w:rsidR="00FD2853" w:rsidRPr="00EA59C0">
        <w:t>in</w:t>
      </w:r>
      <w:r w:rsidR="00C026A6" w:rsidRPr="00EA59C0">
        <w:t xml:space="preserve"> </w:t>
      </w:r>
      <w:r w:rsidR="00FD2853" w:rsidRPr="00EA59C0">
        <w:t>four-year</w:t>
      </w:r>
      <w:r w:rsidR="00C026A6" w:rsidRPr="00EA59C0">
        <w:t xml:space="preserve"> </w:t>
      </w:r>
      <w:r w:rsidR="00FD2853" w:rsidRPr="00EA59C0">
        <w:t>higher</w:t>
      </w:r>
      <w:r w:rsidR="00C026A6" w:rsidRPr="00EA59C0">
        <w:t xml:space="preserve"> </w:t>
      </w:r>
      <w:r w:rsidR="00FD2853" w:rsidRPr="00EA59C0">
        <w:t>education</w:t>
      </w:r>
      <w:r w:rsidR="00C026A6" w:rsidRPr="00EA59C0">
        <w:t xml:space="preserve"> </w:t>
      </w:r>
      <w:r w:rsidR="00FD2853" w:rsidRPr="00EA59C0">
        <w:t>institutions</w:t>
      </w:r>
      <w:r w:rsidR="001175B3" w:rsidRPr="00EA59C0">
        <w:t>,</w:t>
      </w:r>
      <w:r w:rsidR="00C026A6" w:rsidRPr="00EA59C0">
        <w:t xml:space="preserve"> </w:t>
      </w:r>
      <w:r w:rsidR="00FD2853" w:rsidRPr="00EA59C0">
        <w:t>but</w:t>
      </w:r>
      <w:r w:rsidR="00C026A6" w:rsidRPr="00EA59C0">
        <w:t xml:space="preserve"> </w:t>
      </w:r>
      <w:r w:rsidR="00FD2853" w:rsidRPr="00EA59C0">
        <w:t>offer</w:t>
      </w:r>
      <w:r w:rsidR="00C026A6" w:rsidRPr="00EA59C0">
        <w:t xml:space="preserve"> </w:t>
      </w:r>
      <w:r w:rsidR="00FD2853" w:rsidRPr="00EA59C0">
        <w:t>training,</w:t>
      </w:r>
      <w:r w:rsidR="00C026A6" w:rsidRPr="00EA59C0">
        <w:t xml:space="preserve"> </w:t>
      </w:r>
      <w:r w:rsidR="00FD2853" w:rsidRPr="00EA59C0">
        <w:t>mentoring,</w:t>
      </w:r>
      <w:r w:rsidR="00C026A6" w:rsidRPr="00EA59C0">
        <w:t xml:space="preserve"> </w:t>
      </w:r>
      <w:r w:rsidR="00FD2853" w:rsidRPr="00EA59C0">
        <w:t>and</w:t>
      </w:r>
      <w:r w:rsidR="00C026A6" w:rsidRPr="00EA59C0">
        <w:t xml:space="preserve"> </w:t>
      </w:r>
      <w:r w:rsidR="00FD2853" w:rsidRPr="00EA59C0">
        <w:t>career</w:t>
      </w:r>
      <w:r w:rsidR="00C026A6" w:rsidRPr="00EA59C0">
        <w:t xml:space="preserve"> </w:t>
      </w:r>
      <w:r w:rsidR="00FD2853" w:rsidRPr="00EA59C0">
        <w:t>counseling</w:t>
      </w:r>
      <w:r w:rsidR="00C026A6" w:rsidRPr="00EA59C0">
        <w:t xml:space="preserve"> </w:t>
      </w:r>
      <w:r w:rsidR="00FD2853" w:rsidRPr="00EA59C0">
        <w:t>through</w:t>
      </w:r>
      <w:r w:rsidR="00C026A6" w:rsidRPr="00EA59C0">
        <w:t xml:space="preserve"> </w:t>
      </w:r>
      <w:r w:rsidR="00FD2853" w:rsidRPr="00EA59C0">
        <w:t>community</w:t>
      </w:r>
      <w:r w:rsidR="00C026A6" w:rsidRPr="00EA59C0">
        <w:t xml:space="preserve"> </w:t>
      </w:r>
      <w:r w:rsidR="00FD2853" w:rsidRPr="00EA59C0">
        <w:t>colleges.</w:t>
      </w:r>
      <w:r w:rsidR="00C026A6" w:rsidRPr="00EA59C0">
        <w:t xml:space="preserve">  </w:t>
      </w:r>
      <w:r w:rsidR="00FD2853" w:rsidRPr="00EA59C0">
        <w:t>The</w:t>
      </w:r>
      <w:r w:rsidR="00C026A6" w:rsidRPr="00EA59C0">
        <w:t xml:space="preserve"> </w:t>
      </w:r>
      <w:r w:rsidR="00FD2853" w:rsidRPr="00EA59C0">
        <w:t>Department</w:t>
      </w:r>
      <w:r w:rsidR="00C026A6" w:rsidRPr="00EA59C0">
        <w:t xml:space="preserve"> </w:t>
      </w:r>
      <w:r w:rsidR="00FD2853" w:rsidRPr="00EA59C0">
        <w:t>encourages</w:t>
      </w:r>
      <w:r w:rsidR="00C026A6" w:rsidRPr="00EA59C0">
        <w:t xml:space="preserve"> </w:t>
      </w:r>
      <w:r w:rsidR="00FD2853" w:rsidRPr="00EA59C0">
        <w:t>these</w:t>
      </w:r>
      <w:r w:rsidR="00C026A6" w:rsidRPr="00EA59C0">
        <w:t xml:space="preserve"> </w:t>
      </w:r>
      <w:r w:rsidR="00FD2853" w:rsidRPr="00EA59C0">
        <w:t>types</w:t>
      </w:r>
      <w:r w:rsidR="00C026A6" w:rsidRPr="00EA59C0">
        <w:t xml:space="preserve"> </w:t>
      </w:r>
      <w:r w:rsidR="00FD2853" w:rsidRPr="00EA59C0">
        <w:t>of</w:t>
      </w:r>
      <w:r w:rsidR="00C026A6" w:rsidRPr="00EA59C0">
        <w:t xml:space="preserve"> </w:t>
      </w:r>
      <w:r w:rsidR="00FD2853" w:rsidRPr="00EA59C0">
        <w:t>partnerships</w:t>
      </w:r>
      <w:r w:rsidR="00C026A6" w:rsidRPr="00EA59C0">
        <w:t xml:space="preserve"> </w:t>
      </w:r>
      <w:r w:rsidR="00FD2853" w:rsidRPr="00EA59C0">
        <w:t>between</w:t>
      </w:r>
      <w:r w:rsidR="00C026A6" w:rsidRPr="00EA59C0">
        <w:t xml:space="preserve"> </w:t>
      </w:r>
      <w:r w:rsidR="00FD2853" w:rsidRPr="00EA59C0">
        <w:t>two-year</w:t>
      </w:r>
      <w:r w:rsidR="00C026A6" w:rsidRPr="00EA59C0">
        <w:t xml:space="preserve"> </w:t>
      </w:r>
      <w:r w:rsidR="00FD2853" w:rsidRPr="00EA59C0">
        <w:t>and</w:t>
      </w:r>
      <w:r w:rsidR="00C026A6" w:rsidRPr="00EA59C0">
        <w:t xml:space="preserve"> </w:t>
      </w:r>
      <w:r w:rsidR="00FD2853" w:rsidRPr="00EA59C0">
        <w:t>four-year</w:t>
      </w:r>
      <w:r w:rsidR="00C026A6" w:rsidRPr="00EA59C0">
        <w:t xml:space="preserve"> </w:t>
      </w:r>
      <w:r w:rsidR="00FD2853" w:rsidRPr="00EA59C0">
        <w:t>educational</w:t>
      </w:r>
      <w:r w:rsidR="00C026A6" w:rsidRPr="00EA59C0">
        <w:t xml:space="preserve"> </w:t>
      </w:r>
      <w:r w:rsidR="00FD2853" w:rsidRPr="00EA59C0">
        <w:t>institutions,</w:t>
      </w:r>
      <w:r w:rsidR="00C026A6" w:rsidRPr="00EA59C0">
        <w:t xml:space="preserve"> </w:t>
      </w:r>
      <w:r w:rsidR="00FD2853" w:rsidRPr="00EA59C0">
        <w:t>in</w:t>
      </w:r>
      <w:r w:rsidR="00C026A6" w:rsidRPr="00EA59C0">
        <w:t xml:space="preserve"> </w:t>
      </w:r>
      <w:r w:rsidR="00FD2853" w:rsidRPr="00EA59C0">
        <w:t>addition</w:t>
      </w:r>
      <w:r w:rsidR="00C026A6" w:rsidRPr="00EA59C0">
        <w:t xml:space="preserve"> </w:t>
      </w:r>
      <w:r w:rsidR="00FD2853" w:rsidRPr="00EA59C0">
        <w:t>to</w:t>
      </w:r>
      <w:r w:rsidR="00C026A6" w:rsidRPr="00EA59C0">
        <w:t xml:space="preserve"> </w:t>
      </w:r>
      <w:r w:rsidR="00FD2853" w:rsidRPr="00EA59C0">
        <w:t>other</w:t>
      </w:r>
      <w:r w:rsidR="00C026A6" w:rsidRPr="00EA59C0">
        <w:t xml:space="preserve"> </w:t>
      </w:r>
      <w:r w:rsidR="00FD2853" w:rsidRPr="00EA59C0">
        <w:t>areas</w:t>
      </w:r>
      <w:r w:rsidR="00C026A6" w:rsidRPr="00EA59C0">
        <w:t xml:space="preserve"> </w:t>
      </w:r>
      <w:r w:rsidR="00FD2853" w:rsidRPr="00EA59C0">
        <w:t>where</w:t>
      </w:r>
      <w:r w:rsidR="00C026A6" w:rsidRPr="00EA59C0">
        <w:t xml:space="preserve"> </w:t>
      </w:r>
      <w:r w:rsidR="00FD2853" w:rsidRPr="00EA59C0">
        <w:t>these</w:t>
      </w:r>
      <w:r w:rsidR="00C026A6" w:rsidRPr="00EA59C0">
        <w:t xml:space="preserve"> </w:t>
      </w:r>
      <w:r w:rsidR="00FD2853" w:rsidRPr="00EA59C0">
        <w:t>entities</w:t>
      </w:r>
      <w:r w:rsidR="00C026A6" w:rsidRPr="00EA59C0">
        <w:t xml:space="preserve"> </w:t>
      </w:r>
      <w:r w:rsidR="00FD2853" w:rsidRPr="00EA59C0">
        <w:t>can</w:t>
      </w:r>
      <w:r w:rsidR="00C026A6" w:rsidRPr="00EA59C0">
        <w:t xml:space="preserve"> </w:t>
      </w:r>
      <w:r w:rsidR="00FD2853" w:rsidRPr="00EA59C0">
        <w:t>collaborate</w:t>
      </w:r>
      <w:r w:rsidR="00C026A6" w:rsidRPr="00EA59C0">
        <w:t xml:space="preserve"> </w:t>
      </w:r>
      <w:r w:rsidR="00FD2853" w:rsidRPr="00EA59C0">
        <w:t>cited</w:t>
      </w:r>
      <w:r w:rsidR="00C026A6" w:rsidRPr="00EA59C0">
        <w:t xml:space="preserve"> </w:t>
      </w:r>
      <w:r w:rsidR="00FD2853" w:rsidRPr="00EA59C0">
        <w:t>throughout</w:t>
      </w:r>
      <w:r w:rsidR="00C026A6" w:rsidRPr="00EA59C0">
        <w:t xml:space="preserve"> </w:t>
      </w:r>
      <w:r w:rsidR="00FD2853" w:rsidRPr="00EA59C0">
        <w:t>this</w:t>
      </w:r>
      <w:r w:rsidR="00C026A6" w:rsidRPr="00EA59C0">
        <w:t xml:space="preserve"> </w:t>
      </w:r>
      <w:r w:rsidR="00FD2853" w:rsidRPr="00EA59C0">
        <w:t>SGA.</w:t>
      </w:r>
      <w:r w:rsidR="00C026A6" w:rsidRPr="00EA59C0">
        <w:t xml:space="preserve">  </w:t>
      </w:r>
      <w:r w:rsidR="00FD2853" w:rsidRPr="00EA59C0">
        <w:t>The</w:t>
      </w:r>
      <w:r w:rsidR="00C026A6" w:rsidRPr="00EA59C0">
        <w:t xml:space="preserve"> </w:t>
      </w:r>
      <w:r w:rsidR="00FD2853" w:rsidRPr="00EA59C0">
        <w:t>Department</w:t>
      </w:r>
      <w:r w:rsidR="00C026A6" w:rsidRPr="00EA59C0">
        <w:t xml:space="preserve"> </w:t>
      </w:r>
      <w:r w:rsidR="00FD2853" w:rsidRPr="00EA59C0">
        <w:t>also</w:t>
      </w:r>
      <w:r w:rsidR="00C026A6" w:rsidRPr="00EA59C0">
        <w:t xml:space="preserve"> </w:t>
      </w:r>
      <w:r w:rsidR="00FD2853" w:rsidRPr="00EA59C0">
        <w:t>encourages</w:t>
      </w:r>
      <w:r w:rsidR="00C026A6" w:rsidRPr="00EA59C0">
        <w:t xml:space="preserve"> </w:t>
      </w:r>
      <w:r w:rsidR="00FD2853" w:rsidRPr="00EA59C0">
        <w:t>applicants</w:t>
      </w:r>
      <w:r w:rsidR="00C026A6" w:rsidRPr="00EA59C0">
        <w:t xml:space="preserve"> </w:t>
      </w:r>
      <w:r w:rsidR="00FD2853" w:rsidRPr="00EA59C0">
        <w:t>to</w:t>
      </w:r>
      <w:r w:rsidR="00C026A6" w:rsidRPr="00EA59C0">
        <w:t xml:space="preserve"> </w:t>
      </w:r>
      <w:r w:rsidR="00FD2853" w:rsidRPr="00EA59C0">
        <w:t>propose</w:t>
      </w:r>
      <w:r w:rsidR="00C026A6" w:rsidRPr="00EA59C0">
        <w:t xml:space="preserve"> </w:t>
      </w:r>
      <w:r w:rsidR="00FD2853" w:rsidRPr="00EA59C0">
        <w:t>activities</w:t>
      </w:r>
      <w:r w:rsidR="00C026A6" w:rsidRPr="00EA59C0">
        <w:t xml:space="preserve"> </w:t>
      </w:r>
      <w:r w:rsidR="00FD2853" w:rsidRPr="00EA59C0">
        <w:t>related</w:t>
      </w:r>
      <w:r w:rsidR="00C026A6" w:rsidRPr="00EA59C0">
        <w:t xml:space="preserve"> </w:t>
      </w:r>
      <w:r w:rsidR="00FD2853" w:rsidRPr="00EA59C0">
        <w:t>to</w:t>
      </w:r>
      <w:r w:rsidR="00C026A6" w:rsidRPr="00EA59C0">
        <w:t xml:space="preserve"> </w:t>
      </w:r>
      <w:r w:rsidR="00FD2853" w:rsidRPr="00EA59C0">
        <w:t>either</w:t>
      </w:r>
      <w:r w:rsidR="00C026A6" w:rsidRPr="00EA59C0">
        <w:t xml:space="preserve"> </w:t>
      </w:r>
      <w:r w:rsidR="00FD2853" w:rsidRPr="00EA59C0">
        <w:t>“generalized”</w:t>
      </w:r>
      <w:r w:rsidR="00C026A6" w:rsidRPr="00EA59C0">
        <w:t xml:space="preserve"> </w:t>
      </w:r>
      <w:r w:rsidR="00FD2853" w:rsidRPr="00EA59C0">
        <w:t>entrepreneurship</w:t>
      </w:r>
      <w:r w:rsidR="00C026A6" w:rsidRPr="00EA59C0">
        <w:t xml:space="preserve"> </w:t>
      </w:r>
      <w:r w:rsidR="00FD2853" w:rsidRPr="00EA59C0">
        <w:t>training</w:t>
      </w:r>
      <w:r w:rsidR="00C026A6" w:rsidRPr="00EA59C0">
        <w:t xml:space="preserve"> </w:t>
      </w:r>
      <w:r w:rsidR="00FD2853" w:rsidRPr="00EA59C0">
        <w:t>as</w:t>
      </w:r>
      <w:r w:rsidR="00C026A6" w:rsidRPr="00EA59C0">
        <w:t xml:space="preserve"> </w:t>
      </w:r>
      <w:r w:rsidR="00FD2853" w:rsidRPr="00EA59C0">
        <w:t>a</w:t>
      </w:r>
      <w:r w:rsidR="00C026A6" w:rsidRPr="00EA59C0">
        <w:t xml:space="preserve"> </w:t>
      </w:r>
      <w:r w:rsidR="00FD2853" w:rsidRPr="00EA59C0">
        <w:t>complement</w:t>
      </w:r>
      <w:r w:rsidR="00C026A6" w:rsidRPr="00EA59C0">
        <w:t xml:space="preserve"> </w:t>
      </w:r>
      <w:r w:rsidR="00FD2853" w:rsidRPr="00EA59C0">
        <w:t>to</w:t>
      </w:r>
      <w:r w:rsidR="00C026A6" w:rsidRPr="00EA59C0">
        <w:t xml:space="preserve"> </w:t>
      </w:r>
      <w:r w:rsidR="00FD2853" w:rsidRPr="00EA59C0">
        <w:t>skills-based</w:t>
      </w:r>
      <w:r w:rsidR="00C026A6" w:rsidRPr="00EA59C0">
        <w:t xml:space="preserve"> </w:t>
      </w:r>
      <w:r w:rsidR="00FD2853" w:rsidRPr="00EA59C0">
        <w:t>credentials,</w:t>
      </w:r>
      <w:r w:rsidR="00C026A6" w:rsidRPr="00EA59C0">
        <w:t xml:space="preserve"> </w:t>
      </w:r>
      <w:r w:rsidR="00FD2853" w:rsidRPr="00EA59C0">
        <w:t>or</w:t>
      </w:r>
      <w:r w:rsidR="00C026A6" w:rsidRPr="00EA59C0">
        <w:t xml:space="preserve"> </w:t>
      </w:r>
      <w:r w:rsidR="00FD2853" w:rsidRPr="00EA59C0">
        <w:t>“customized”</w:t>
      </w:r>
      <w:r w:rsidR="00C026A6" w:rsidRPr="00EA59C0">
        <w:t xml:space="preserve"> </w:t>
      </w:r>
      <w:r w:rsidR="00FD2853" w:rsidRPr="00EA59C0">
        <w:t>entrepreneurship</w:t>
      </w:r>
      <w:r w:rsidR="00C026A6" w:rsidRPr="00EA59C0">
        <w:t xml:space="preserve"> </w:t>
      </w:r>
      <w:r w:rsidR="00FD2853" w:rsidRPr="00EA59C0">
        <w:t>training</w:t>
      </w:r>
      <w:r w:rsidR="00C026A6" w:rsidRPr="00EA59C0">
        <w:t xml:space="preserve"> </w:t>
      </w:r>
      <w:r w:rsidR="00FD2853" w:rsidRPr="00EA59C0">
        <w:t>designed</w:t>
      </w:r>
      <w:r w:rsidR="00C026A6" w:rsidRPr="00EA59C0">
        <w:t xml:space="preserve"> </w:t>
      </w:r>
      <w:r w:rsidR="00FD2853" w:rsidRPr="00EA59C0">
        <w:t>for</w:t>
      </w:r>
      <w:r w:rsidR="00C026A6" w:rsidRPr="00EA59C0">
        <w:t xml:space="preserve"> </w:t>
      </w:r>
      <w:r w:rsidR="00FD2853" w:rsidRPr="00EA59C0">
        <w:t>specific</w:t>
      </w:r>
      <w:r w:rsidR="00C026A6" w:rsidRPr="00EA59C0">
        <w:t xml:space="preserve"> </w:t>
      </w:r>
      <w:r w:rsidR="00FD2853" w:rsidRPr="00EA59C0">
        <w:t>career</w:t>
      </w:r>
      <w:r w:rsidR="00C026A6" w:rsidRPr="00EA59C0">
        <w:t xml:space="preserve"> </w:t>
      </w:r>
      <w:r w:rsidR="00FD2853" w:rsidRPr="00EA59C0">
        <w:t>pathways.</w:t>
      </w:r>
      <w:r w:rsidR="00C026A6" w:rsidRPr="00EA59C0">
        <w:t xml:space="preserve">  </w:t>
      </w:r>
    </w:p>
    <w:p w:rsidR="000612E7" w:rsidRPr="00EA59C0" w:rsidRDefault="000612E7" w:rsidP="007A73AC">
      <w:pPr>
        <w:ind w:left="360"/>
      </w:pPr>
    </w:p>
    <w:p w:rsidR="00AB6F93" w:rsidRPr="00EA59C0" w:rsidRDefault="00421FB0" w:rsidP="007A73AC">
      <w:pPr>
        <w:ind w:left="360"/>
      </w:pPr>
      <w:r w:rsidRPr="00EA59C0">
        <w:t>TAACCCT</w:t>
      </w:r>
      <w:r w:rsidR="00C026A6" w:rsidRPr="00EA59C0">
        <w:t xml:space="preserve"> </w:t>
      </w:r>
      <w:r w:rsidRPr="00EA59C0">
        <w:t>represents</w:t>
      </w:r>
      <w:r w:rsidR="00C026A6" w:rsidRPr="00EA59C0">
        <w:t xml:space="preserve"> </w:t>
      </w:r>
      <w:r w:rsidRPr="00EA59C0">
        <w:t>a</w:t>
      </w:r>
      <w:r w:rsidR="00C026A6" w:rsidRPr="00EA59C0">
        <w:t xml:space="preserve"> </w:t>
      </w:r>
      <w:r w:rsidRPr="00EA59C0">
        <w:t>substantial</w:t>
      </w:r>
      <w:r w:rsidR="00C026A6" w:rsidRPr="00EA59C0">
        <w:t xml:space="preserve"> </w:t>
      </w:r>
      <w:r w:rsidRPr="00EA59C0">
        <w:t>investment</w:t>
      </w:r>
      <w:r w:rsidR="00C026A6" w:rsidRPr="00EA59C0">
        <w:t xml:space="preserve"> </w:t>
      </w:r>
      <w:r w:rsidRPr="00EA59C0">
        <w:t>in</w:t>
      </w:r>
      <w:r w:rsidR="00C026A6" w:rsidRPr="00EA59C0">
        <w:t xml:space="preserve"> </w:t>
      </w:r>
      <w:r w:rsidRPr="00EA59C0">
        <w:t>community</w:t>
      </w:r>
      <w:r w:rsidR="00C026A6" w:rsidRPr="00EA59C0">
        <w:t xml:space="preserve"> </w:t>
      </w:r>
      <w:r w:rsidRPr="00EA59C0">
        <w:t>colleges</w:t>
      </w:r>
      <w:r w:rsidR="00C026A6" w:rsidRPr="00EA59C0">
        <w:t xml:space="preserve"> </w:t>
      </w:r>
      <w:r w:rsidRPr="00EA59C0">
        <w:t>throughout</w:t>
      </w:r>
      <w:r w:rsidR="00C026A6" w:rsidRPr="00EA59C0">
        <w:t xml:space="preserve"> </w:t>
      </w:r>
      <w:r w:rsidRPr="00EA59C0">
        <w:t>the</w:t>
      </w:r>
      <w:r w:rsidR="00C026A6" w:rsidRPr="00EA59C0">
        <w:t xml:space="preserve"> </w:t>
      </w:r>
      <w:r w:rsidRPr="00EA59C0">
        <w:t>country</w:t>
      </w:r>
      <w:r w:rsidR="00D76EBE" w:rsidRPr="00EA59C0">
        <w:t>.</w:t>
      </w:r>
      <w:r w:rsidR="00C026A6" w:rsidRPr="00EA59C0">
        <w:t xml:space="preserve">  </w:t>
      </w:r>
      <w:r w:rsidR="00D76EBE" w:rsidRPr="00EA59C0">
        <w:t>T</w:t>
      </w:r>
      <w:r w:rsidRPr="00EA59C0">
        <w:t>he</w:t>
      </w:r>
      <w:r w:rsidR="00C026A6" w:rsidRPr="00EA59C0">
        <w:t xml:space="preserve"> </w:t>
      </w:r>
      <w:r w:rsidRPr="00EA59C0">
        <w:t>Department</w:t>
      </w:r>
      <w:r w:rsidR="00C026A6" w:rsidRPr="00EA59C0">
        <w:t xml:space="preserve"> </w:t>
      </w:r>
      <w:r w:rsidRPr="00EA59C0">
        <w:t>is</w:t>
      </w:r>
      <w:r w:rsidR="00C026A6" w:rsidRPr="00EA59C0">
        <w:t xml:space="preserve"> </w:t>
      </w:r>
      <w:r w:rsidRPr="00EA59C0">
        <w:t>interested</w:t>
      </w:r>
      <w:r w:rsidR="00C026A6" w:rsidRPr="00EA59C0">
        <w:t xml:space="preserve"> </w:t>
      </w:r>
      <w:r w:rsidRPr="00EA59C0">
        <w:t>in</w:t>
      </w:r>
      <w:r w:rsidR="00C026A6" w:rsidRPr="00EA59C0">
        <w:t xml:space="preserve"> </w:t>
      </w:r>
      <w:r w:rsidRPr="00EA59C0">
        <w:t>leveraging</w:t>
      </w:r>
      <w:r w:rsidR="00C026A6" w:rsidRPr="00EA59C0">
        <w:t xml:space="preserve"> </w:t>
      </w:r>
      <w:r w:rsidRPr="00EA59C0">
        <w:t>this</w:t>
      </w:r>
      <w:r w:rsidR="00C026A6" w:rsidRPr="00EA59C0">
        <w:t xml:space="preserve"> </w:t>
      </w:r>
      <w:r w:rsidRPr="00EA59C0">
        <w:t>investment</w:t>
      </w:r>
      <w:r w:rsidR="00C026A6" w:rsidRPr="00EA59C0">
        <w:t xml:space="preserve"> </w:t>
      </w:r>
      <w:r w:rsidRPr="00EA59C0">
        <w:t>to</w:t>
      </w:r>
      <w:r w:rsidR="00C026A6" w:rsidRPr="00EA59C0">
        <w:t xml:space="preserve"> </w:t>
      </w:r>
      <w:r w:rsidRPr="00EA59C0">
        <w:t>build</w:t>
      </w:r>
      <w:r w:rsidR="00C026A6" w:rsidRPr="00EA59C0">
        <w:t xml:space="preserve"> </w:t>
      </w:r>
      <w:r w:rsidRPr="00EA59C0">
        <w:t>the</w:t>
      </w:r>
      <w:r w:rsidR="00C026A6" w:rsidRPr="00EA59C0">
        <w:t xml:space="preserve"> </w:t>
      </w:r>
      <w:r w:rsidRPr="00EA59C0">
        <w:t>capacity</w:t>
      </w:r>
      <w:r w:rsidR="00C026A6" w:rsidRPr="00EA59C0">
        <w:t xml:space="preserve"> </w:t>
      </w:r>
      <w:r w:rsidRPr="00EA59C0">
        <w:t>of</w:t>
      </w:r>
      <w:r w:rsidR="00C026A6" w:rsidRPr="00EA59C0">
        <w:t xml:space="preserve"> </w:t>
      </w:r>
      <w:r w:rsidRPr="00EA59C0">
        <w:t>community</w:t>
      </w:r>
      <w:r w:rsidR="00C026A6" w:rsidRPr="00EA59C0">
        <w:t xml:space="preserve"> </w:t>
      </w:r>
      <w:r w:rsidRPr="00EA59C0">
        <w:t>colleges</w:t>
      </w:r>
      <w:r w:rsidR="00C026A6" w:rsidRPr="00EA59C0">
        <w:t xml:space="preserve"> </w:t>
      </w:r>
      <w:r w:rsidRPr="00EA59C0">
        <w:t>and</w:t>
      </w:r>
      <w:r w:rsidR="00C026A6" w:rsidRPr="00EA59C0">
        <w:t xml:space="preserve"> </w:t>
      </w:r>
      <w:r w:rsidRPr="00EA59C0">
        <w:t>States</w:t>
      </w:r>
      <w:r w:rsidR="00C026A6" w:rsidRPr="00EA59C0">
        <w:t xml:space="preserve"> </w:t>
      </w:r>
      <w:r w:rsidRPr="00EA59C0">
        <w:t>to</w:t>
      </w:r>
      <w:r w:rsidR="00C026A6" w:rsidRPr="00EA59C0">
        <w:t xml:space="preserve"> </w:t>
      </w:r>
      <w:r w:rsidRPr="00EA59C0">
        <w:t>collect</w:t>
      </w:r>
      <w:r w:rsidR="00C026A6" w:rsidRPr="00EA59C0">
        <w:t xml:space="preserve"> </w:t>
      </w:r>
      <w:r w:rsidRPr="00EA59C0">
        <w:t>and</w:t>
      </w:r>
      <w:r w:rsidR="00C026A6" w:rsidRPr="00EA59C0">
        <w:t xml:space="preserve"> </w:t>
      </w:r>
      <w:r w:rsidRPr="00EA59C0">
        <w:t>report</w:t>
      </w:r>
      <w:r w:rsidR="00C026A6" w:rsidRPr="00EA59C0">
        <w:t xml:space="preserve"> </w:t>
      </w:r>
      <w:r w:rsidRPr="00EA59C0">
        <w:t>employment</w:t>
      </w:r>
      <w:r w:rsidR="00C026A6" w:rsidRPr="00EA59C0">
        <w:t xml:space="preserve"> </w:t>
      </w:r>
      <w:r w:rsidRPr="00EA59C0">
        <w:t>and</w:t>
      </w:r>
      <w:r w:rsidR="00C026A6" w:rsidRPr="00EA59C0">
        <w:t xml:space="preserve"> </w:t>
      </w:r>
      <w:r w:rsidRPr="00EA59C0">
        <w:t>completion</w:t>
      </w:r>
      <w:r w:rsidR="00C026A6" w:rsidRPr="00EA59C0">
        <w:t xml:space="preserve"> </w:t>
      </w:r>
      <w:r w:rsidRPr="00EA59C0">
        <w:t>data</w:t>
      </w:r>
      <w:r w:rsidR="00C026A6" w:rsidRPr="00EA59C0">
        <w:t xml:space="preserve"> </w:t>
      </w:r>
      <w:r w:rsidRPr="00EA59C0">
        <w:t>by</w:t>
      </w:r>
      <w:r w:rsidR="00C026A6" w:rsidRPr="00EA59C0">
        <w:t xml:space="preserve"> </w:t>
      </w:r>
      <w:r w:rsidRPr="00EA59C0">
        <w:t>program</w:t>
      </w:r>
      <w:r w:rsidR="00C026A6" w:rsidRPr="00EA59C0">
        <w:t xml:space="preserve"> </w:t>
      </w:r>
      <w:r w:rsidRPr="00EA59C0">
        <w:t>of</w:t>
      </w:r>
      <w:r w:rsidR="00C026A6" w:rsidRPr="00EA59C0">
        <w:t xml:space="preserve"> </w:t>
      </w:r>
      <w:r w:rsidRPr="00EA59C0">
        <w:t>study,</w:t>
      </w:r>
      <w:r w:rsidR="00C026A6" w:rsidRPr="00EA59C0">
        <w:t xml:space="preserve"> </w:t>
      </w:r>
      <w:r w:rsidRPr="00EA59C0">
        <w:t>so</w:t>
      </w:r>
      <w:r w:rsidR="00C026A6" w:rsidRPr="00EA59C0">
        <w:t xml:space="preserve"> </w:t>
      </w:r>
      <w:r w:rsidRPr="00EA59C0">
        <w:t>that</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and</w:t>
      </w:r>
      <w:r w:rsidR="00C026A6" w:rsidRPr="00EA59C0">
        <w:t xml:space="preserve"> </w:t>
      </w:r>
      <w:r w:rsidRPr="00EA59C0">
        <w:t>other</w:t>
      </w:r>
      <w:r w:rsidR="00C026A6" w:rsidRPr="00EA59C0">
        <w:t xml:space="preserve"> </w:t>
      </w:r>
      <w:r w:rsidRPr="00EA59C0">
        <w:t>prospective</w:t>
      </w:r>
      <w:r w:rsidR="00C026A6" w:rsidRPr="00EA59C0">
        <w:t xml:space="preserve"> </w:t>
      </w:r>
      <w:r w:rsidRPr="00EA59C0">
        <w:t>students</w:t>
      </w:r>
      <w:r w:rsidR="00C026A6" w:rsidRPr="00EA59C0">
        <w:t xml:space="preserve"> </w:t>
      </w:r>
      <w:r w:rsidRPr="00EA59C0">
        <w:t>have</w:t>
      </w:r>
      <w:r w:rsidR="00C026A6" w:rsidRPr="00EA59C0">
        <w:t xml:space="preserve"> </w:t>
      </w:r>
      <w:r w:rsidRPr="00EA59C0">
        <w:t>easy</w:t>
      </w:r>
      <w:r w:rsidR="00C026A6" w:rsidRPr="00EA59C0">
        <w:t xml:space="preserve"> </w:t>
      </w:r>
      <w:r w:rsidRPr="00EA59C0">
        <w:t>access</w:t>
      </w:r>
      <w:r w:rsidR="00C026A6" w:rsidRPr="00EA59C0">
        <w:t xml:space="preserve"> </w:t>
      </w:r>
      <w:r w:rsidRPr="00EA59C0">
        <w:t>to</w:t>
      </w:r>
      <w:r w:rsidR="00C026A6" w:rsidRPr="00EA59C0">
        <w:t xml:space="preserve"> </w:t>
      </w:r>
      <w:r w:rsidRPr="00EA59C0">
        <w:t>information</w:t>
      </w:r>
      <w:r w:rsidR="00C026A6" w:rsidRPr="00EA59C0">
        <w:t xml:space="preserve"> </w:t>
      </w:r>
      <w:r w:rsidRPr="00EA59C0">
        <w:t>to</w:t>
      </w:r>
      <w:r w:rsidR="00C026A6" w:rsidRPr="00EA59C0">
        <w:t xml:space="preserve"> </w:t>
      </w:r>
      <w:r w:rsidRPr="00EA59C0">
        <w:t>decide</w:t>
      </w:r>
      <w:r w:rsidR="00C026A6" w:rsidRPr="00EA59C0">
        <w:t xml:space="preserve"> </w:t>
      </w:r>
      <w:r w:rsidRPr="00EA59C0">
        <w:t>whether</w:t>
      </w:r>
      <w:r w:rsidR="00C026A6" w:rsidRPr="00EA59C0">
        <w:t xml:space="preserve"> </w:t>
      </w:r>
      <w:r w:rsidRPr="00EA59C0">
        <w:t>a</w:t>
      </w:r>
      <w:r w:rsidR="00C026A6" w:rsidRPr="00EA59C0">
        <w:t xml:space="preserve"> </w:t>
      </w:r>
      <w:r w:rsidRPr="00EA59C0">
        <w:t>program</w:t>
      </w:r>
      <w:r w:rsidR="00C026A6" w:rsidRPr="00EA59C0">
        <w:t xml:space="preserve"> </w:t>
      </w:r>
      <w:r w:rsidRPr="00EA59C0">
        <w:t>is</w:t>
      </w:r>
      <w:r w:rsidR="00C026A6" w:rsidRPr="00EA59C0">
        <w:t xml:space="preserve"> </w:t>
      </w:r>
      <w:r w:rsidRPr="00EA59C0">
        <w:t>a</w:t>
      </w:r>
      <w:r w:rsidR="00C026A6" w:rsidRPr="00EA59C0">
        <w:t xml:space="preserve"> </w:t>
      </w:r>
      <w:r w:rsidRPr="00EA59C0">
        <w:t>good</w:t>
      </w:r>
      <w:r w:rsidR="00C026A6" w:rsidRPr="00EA59C0">
        <w:t xml:space="preserve"> </w:t>
      </w:r>
      <w:r w:rsidRPr="00EA59C0">
        <w:t>fit</w:t>
      </w:r>
      <w:r w:rsidR="00C026A6" w:rsidRPr="00EA59C0">
        <w:t xml:space="preserve"> </w:t>
      </w:r>
      <w:r w:rsidRPr="00EA59C0">
        <w:t>for</w:t>
      </w:r>
      <w:r w:rsidR="00C026A6" w:rsidRPr="00EA59C0">
        <w:t xml:space="preserve"> </w:t>
      </w:r>
      <w:r w:rsidRPr="00EA59C0">
        <w:t>them</w:t>
      </w:r>
      <w:r w:rsidR="00206592" w:rsidRPr="00EA59C0">
        <w:t>,</w:t>
      </w:r>
      <w:r w:rsidR="00C026A6" w:rsidRPr="00EA59C0">
        <w:t xml:space="preserve"> </w:t>
      </w:r>
      <w:r w:rsidR="002B086C" w:rsidRPr="00EA59C0">
        <w:t xml:space="preserve">can compare the outcomes of TAACCCT-funded programs with other educational opportunities in their area, </w:t>
      </w:r>
      <w:r w:rsidR="00CE2499" w:rsidRPr="00EA59C0">
        <w:t xml:space="preserve">and </w:t>
      </w:r>
      <w:r w:rsidR="002B086C" w:rsidRPr="00EA59C0">
        <w:t xml:space="preserve">can better determine </w:t>
      </w:r>
      <w:r w:rsidR="00206592" w:rsidRPr="00EA59C0">
        <w:t>which</w:t>
      </w:r>
      <w:r w:rsidR="00C026A6" w:rsidRPr="00EA59C0">
        <w:t xml:space="preserve"> </w:t>
      </w:r>
      <w:r w:rsidR="00206592" w:rsidRPr="00EA59C0">
        <w:t>programs</w:t>
      </w:r>
      <w:r w:rsidR="00C026A6" w:rsidRPr="00EA59C0">
        <w:t xml:space="preserve"> </w:t>
      </w:r>
      <w:r w:rsidR="00C032E1" w:rsidRPr="00EA59C0">
        <w:t>and</w:t>
      </w:r>
      <w:r w:rsidR="00C026A6" w:rsidRPr="00EA59C0">
        <w:t xml:space="preserve"> </w:t>
      </w:r>
      <w:r w:rsidR="00C032E1" w:rsidRPr="00EA59C0">
        <w:t>credentials</w:t>
      </w:r>
      <w:r w:rsidR="00C026A6" w:rsidRPr="00EA59C0">
        <w:t xml:space="preserve"> </w:t>
      </w:r>
      <w:r w:rsidR="00C032E1" w:rsidRPr="00EA59C0">
        <w:t>have</w:t>
      </w:r>
      <w:r w:rsidR="00C026A6" w:rsidRPr="00EA59C0">
        <w:t xml:space="preserve"> </w:t>
      </w:r>
      <w:r w:rsidR="00C032E1" w:rsidRPr="00EA59C0">
        <w:t>the</w:t>
      </w:r>
      <w:r w:rsidR="00C026A6" w:rsidRPr="00EA59C0">
        <w:t xml:space="preserve"> </w:t>
      </w:r>
      <w:r w:rsidR="00C032E1" w:rsidRPr="00EA59C0">
        <w:t>potential</w:t>
      </w:r>
      <w:r w:rsidR="00C026A6" w:rsidRPr="00EA59C0">
        <w:t xml:space="preserve"> </w:t>
      </w:r>
      <w:r w:rsidR="00C032E1" w:rsidRPr="00EA59C0">
        <w:t>to</w:t>
      </w:r>
      <w:r w:rsidR="00C026A6" w:rsidRPr="00EA59C0">
        <w:t xml:space="preserve"> </w:t>
      </w:r>
      <w:r w:rsidR="00C032E1" w:rsidRPr="00EA59C0">
        <w:t>substantially</w:t>
      </w:r>
      <w:r w:rsidR="00C026A6" w:rsidRPr="00EA59C0">
        <w:t xml:space="preserve"> </w:t>
      </w:r>
      <w:r w:rsidR="00C032E1" w:rsidRPr="00EA59C0">
        <w:t>increase</w:t>
      </w:r>
      <w:r w:rsidR="00C026A6" w:rsidRPr="00EA59C0">
        <w:t xml:space="preserve"> </w:t>
      </w:r>
      <w:r w:rsidR="00C032E1" w:rsidRPr="00EA59C0">
        <w:t>their</w:t>
      </w:r>
      <w:r w:rsidR="00C026A6" w:rsidRPr="00EA59C0">
        <w:t xml:space="preserve"> </w:t>
      </w:r>
      <w:r w:rsidR="00C032E1" w:rsidRPr="00EA59C0">
        <w:t>wages,</w:t>
      </w:r>
      <w:r w:rsidR="00C026A6" w:rsidRPr="00EA59C0">
        <w:t xml:space="preserve"> </w:t>
      </w:r>
      <w:r w:rsidRPr="00EA59C0">
        <w:t>and</w:t>
      </w:r>
      <w:r w:rsidR="00C026A6" w:rsidRPr="00EA59C0">
        <w:t xml:space="preserve"> </w:t>
      </w:r>
      <w:r w:rsidR="002B086C" w:rsidRPr="00EA59C0">
        <w:t xml:space="preserve">so </w:t>
      </w:r>
      <w:r w:rsidRPr="00EA59C0">
        <w:t>colleges</w:t>
      </w:r>
      <w:r w:rsidR="00C026A6" w:rsidRPr="00EA59C0">
        <w:t xml:space="preserve"> </w:t>
      </w:r>
      <w:r w:rsidRPr="00EA59C0">
        <w:t>can</w:t>
      </w:r>
      <w:r w:rsidR="00C026A6" w:rsidRPr="00EA59C0">
        <w:t xml:space="preserve"> </w:t>
      </w:r>
      <w:r w:rsidRPr="00EA59C0">
        <w:t>monitor</w:t>
      </w:r>
      <w:r w:rsidR="00C026A6" w:rsidRPr="00EA59C0">
        <w:t xml:space="preserve"> </w:t>
      </w:r>
      <w:r w:rsidRPr="00EA59C0">
        <w:t>the</w:t>
      </w:r>
      <w:r w:rsidR="00C026A6" w:rsidRPr="00EA59C0">
        <w:t xml:space="preserve"> </w:t>
      </w:r>
      <w:r w:rsidRPr="00EA59C0">
        <w:t>success</w:t>
      </w:r>
      <w:r w:rsidR="00C026A6" w:rsidRPr="00EA59C0">
        <w:t xml:space="preserve"> </w:t>
      </w:r>
      <w:r w:rsidRPr="00EA59C0">
        <w:t>of</w:t>
      </w:r>
      <w:r w:rsidR="00C026A6" w:rsidRPr="00EA59C0">
        <w:t xml:space="preserve"> </w:t>
      </w:r>
      <w:r w:rsidRPr="00EA59C0">
        <w:t>their</w:t>
      </w:r>
      <w:r w:rsidR="00C026A6" w:rsidRPr="00EA59C0">
        <w:t xml:space="preserve"> </w:t>
      </w:r>
      <w:r w:rsidRPr="00EA59C0">
        <w:t>programs.</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also</w:t>
      </w:r>
      <w:r w:rsidR="00C026A6" w:rsidRPr="00EA59C0">
        <w:t xml:space="preserve"> </w:t>
      </w:r>
      <w:r w:rsidRPr="00EA59C0">
        <w:t>believes</w:t>
      </w:r>
      <w:r w:rsidR="00C026A6" w:rsidRPr="00EA59C0">
        <w:t xml:space="preserve"> </w:t>
      </w:r>
      <w:r w:rsidRPr="00EA59C0">
        <w:t>that</w:t>
      </w:r>
      <w:r w:rsidR="00C026A6" w:rsidRPr="00EA59C0">
        <w:t xml:space="preserve"> </w:t>
      </w:r>
      <w:r w:rsidRPr="00EA59C0">
        <w:t>community</w:t>
      </w:r>
      <w:r w:rsidR="00C026A6" w:rsidRPr="00EA59C0">
        <w:t xml:space="preserve"> </w:t>
      </w:r>
      <w:r w:rsidRPr="00EA59C0">
        <w:t>colleges</w:t>
      </w:r>
      <w:r w:rsidR="00C026A6" w:rsidRPr="00EA59C0">
        <w:t xml:space="preserve"> </w:t>
      </w:r>
      <w:r w:rsidR="005B35B4" w:rsidRPr="00EA59C0">
        <w:t>and</w:t>
      </w:r>
      <w:r w:rsidR="00C026A6" w:rsidRPr="00EA59C0">
        <w:t xml:space="preserve"> </w:t>
      </w:r>
      <w:r w:rsidR="005B35B4" w:rsidRPr="00EA59C0">
        <w:t>other</w:t>
      </w:r>
      <w:r w:rsidR="00C026A6" w:rsidRPr="00EA59C0">
        <w:t xml:space="preserve"> </w:t>
      </w:r>
      <w:r w:rsidR="005B35B4" w:rsidRPr="00EA59C0">
        <w:t>institutions</w:t>
      </w:r>
      <w:r w:rsidR="00C026A6" w:rsidRPr="00EA59C0">
        <w:t xml:space="preserve"> </w:t>
      </w:r>
      <w:r w:rsidR="005B35B4" w:rsidRPr="00EA59C0">
        <w:t>of</w:t>
      </w:r>
      <w:r w:rsidR="00C026A6" w:rsidRPr="00EA59C0">
        <w:t xml:space="preserve"> </w:t>
      </w:r>
      <w:r w:rsidR="005B35B4" w:rsidRPr="00EA59C0">
        <w:t>higher</w:t>
      </w:r>
      <w:r w:rsidR="00C026A6" w:rsidRPr="00EA59C0">
        <w:t xml:space="preserve"> </w:t>
      </w:r>
      <w:r w:rsidR="005B35B4" w:rsidRPr="00EA59C0">
        <w:t>education</w:t>
      </w:r>
      <w:r w:rsidR="00C026A6" w:rsidRPr="00EA59C0">
        <w:t xml:space="preserve"> </w:t>
      </w:r>
      <w:r w:rsidRPr="00EA59C0">
        <w:t>should</w:t>
      </w:r>
      <w:r w:rsidR="00C026A6" w:rsidRPr="00EA59C0">
        <w:t xml:space="preserve"> </w:t>
      </w:r>
      <w:r w:rsidRPr="00EA59C0">
        <w:t>actively</w:t>
      </w:r>
      <w:r w:rsidR="00C026A6" w:rsidRPr="00EA59C0">
        <w:t xml:space="preserve"> </w:t>
      </w:r>
      <w:r w:rsidRPr="00EA59C0">
        <w:t>and</w:t>
      </w:r>
      <w:r w:rsidR="00C026A6" w:rsidRPr="00EA59C0">
        <w:t xml:space="preserve"> </w:t>
      </w:r>
      <w:r w:rsidRPr="00EA59C0">
        <w:t>extensively</w:t>
      </w:r>
      <w:r w:rsidR="00C026A6" w:rsidRPr="00EA59C0">
        <w:t xml:space="preserve"> </w:t>
      </w:r>
      <w:r w:rsidRPr="00EA59C0">
        <w:t>use</w:t>
      </w:r>
      <w:r w:rsidR="00C026A6" w:rsidRPr="00EA59C0">
        <w:t xml:space="preserve"> </w:t>
      </w:r>
      <w:r w:rsidRPr="00EA59C0">
        <w:t>labor</w:t>
      </w:r>
      <w:r w:rsidR="00C026A6" w:rsidRPr="00EA59C0">
        <w:t xml:space="preserve"> </w:t>
      </w:r>
      <w:r w:rsidRPr="00EA59C0">
        <w:t>market</w:t>
      </w:r>
      <w:r w:rsidR="00C026A6" w:rsidRPr="00EA59C0">
        <w:t xml:space="preserve"> </w:t>
      </w:r>
      <w:r w:rsidRPr="00EA59C0">
        <w:t>information</w:t>
      </w:r>
      <w:r w:rsidR="00C026A6" w:rsidRPr="00EA59C0">
        <w:t xml:space="preserve"> </w:t>
      </w:r>
      <w:r w:rsidRPr="00EA59C0">
        <w:t>to</w:t>
      </w:r>
      <w:r w:rsidR="00C026A6" w:rsidRPr="00EA59C0">
        <w:t xml:space="preserve"> </w:t>
      </w:r>
      <w:r w:rsidRPr="00EA59C0">
        <w:t>inform</w:t>
      </w:r>
      <w:r w:rsidR="00C026A6" w:rsidRPr="00EA59C0">
        <w:t xml:space="preserve"> </w:t>
      </w:r>
      <w:r w:rsidRPr="00EA59C0">
        <w:t>their</w:t>
      </w:r>
      <w:r w:rsidR="00C026A6" w:rsidRPr="00EA59C0">
        <w:t xml:space="preserve"> </w:t>
      </w:r>
      <w:r w:rsidRPr="00EA59C0">
        <w:t>course</w:t>
      </w:r>
      <w:r w:rsidR="00C026A6" w:rsidRPr="00EA59C0">
        <w:t xml:space="preserve"> </w:t>
      </w:r>
      <w:r w:rsidRPr="00EA59C0">
        <w:t>offerings.</w:t>
      </w:r>
      <w:r w:rsidR="00C026A6" w:rsidRPr="00EA59C0">
        <w:t xml:space="preserve"> </w:t>
      </w:r>
    </w:p>
    <w:p w:rsidR="00AB6F93" w:rsidRPr="00EA59C0" w:rsidRDefault="00AB6F93" w:rsidP="007A73AC">
      <w:pPr>
        <w:ind w:left="360"/>
      </w:pPr>
    </w:p>
    <w:p w:rsidR="004227FD" w:rsidRPr="00EA59C0" w:rsidRDefault="00421FB0" w:rsidP="007A73AC">
      <w:pPr>
        <w:ind w:left="360"/>
      </w:pPr>
      <w:r w:rsidRPr="00EA59C0">
        <w:t>Providing</w:t>
      </w:r>
      <w:r w:rsidR="00C026A6" w:rsidRPr="00EA59C0">
        <w:t xml:space="preserve"> </w:t>
      </w:r>
      <w:r w:rsidRPr="00EA59C0">
        <w:t>prospective</w:t>
      </w:r>
      <w:r w:rsidR="00C026A6" w:rsidRPr="00EA59C0">
        <w:t xml:space="preserve"> </w:t>
      </w:r>
      <w:r w:rsidRPr="00EA59C0">
        <w:t>students</w:t>
      </w:r>
      <w:r w:rsidR="00C026A6" w:rsidRPr="00EA59C0">
        <w:t xml:space="preserve"> </w:t>
      </w:r>
      <w:r w:rsidRPr="00EA59C0">
        <w:t>with</w:t>
      </w:r>
      <w:r w:rsidR="00C026A6" w:rsidRPr="00EA59C0">
        <w:t xml:space="preserve"> </w:t>
      </w:r>
      <w:r w:rsidRPr="00EA59C0">
        <w:t>access</w:t>
      </w:r>
      <w:r w:rsidR="00C026A6" w:rsidRPr="00EA59C0">
        <w:t xml:space="preserve"> </w:t>
      </w:r>
      <w:r w:rsidRPr="00EA59C0">
        <w:t>to</w:t>
      </w:r>
      <w:r w:rsidR="00C026A6" w:rsidRPr="00EA59C0">
        <w:t xml:space="preserve"> </w:t>
      </w:r>
      <w:r w:rsidRPr="00EA59C0">
        <w:t>data</w:t>
      </w:r>
      <w:r w:rsidR="00C026A6" w:rsidRPr="00EA59C0">
        <w:t xml:space="preserve"> </w:t>
      </w:r>
      <w:r w:rsidRPr="00EA59C0">
        <w:t>on</w:t>
      </w:r>
      <w:r w:rsidR="00C026A6" w:rsidRPr="00EA59C0">
        <w:t xml:space="preserve"> </w:t>
      </w:r>
      <w:r w:rsidRPr="00EA59C0">
        <w:t>program</w:t>
      </w:r>
      <w:r w:rsidR="00C026A6" w:rsidRPr="00EA59C0">
        <w:t xml:space="preserve"> </w:t>
      </w:r>
      <w:r w:rsidRPr="00EA59C0">
        <w:t>outcomes</w:t>
      </w:r>
      <w:r w:rsidR="00C026A6" w:rsidRPr="00EA59C0">
        <w:t xml:space="preserve"> </w:t>
      </w:r>
      <w:r w:rsidRPr="00EA59C0">
        <w:t>and</w:t>
      </w:r>
      <w:r w:rsidR="00C026A6" w:rsidRPr="00EA59C0">
        <w:t xml:space="preserve"> </w:t>
      </w:r>
      <w:r w:rsidRPr="00EA59C0">
        <w:t>incorporating</w:t>
      </w:r>
      <w:r w:rsidR="00C026A6" w:rsidRPr="00EA59C0">
        <w:t xml:space="preserve"> </w:t>
      </w:r>
      <w:r w:rsidRPr="00EA59C0">
        <w:t>the</w:t>
      </w:r>
      <w:r w:rsidR="00C026A6" w:rsidRPr="00EA59C0">
        <w:t xml:space="preserve"> </w:t>
      </w:r>
      <w:r w:rsidRPr="00EA59C0">
        <w:t>use</w:t>
      </w:r>
      <w:r w:rsidR="00C026A6" w:rsidRPr="00EA59C0">
        <w:t xml:space="preserve"> </w:t>
      </w:r>
      <w:r w:rsidRPr="00EA59C0">
        <w:t>of</w:t>
      </w:r>
      <w:r w:rsidR="00C026A6" w:rsidRPr="00EA59C0">
        <w:t xml:space="preserve"> </w:t>
      </w:r>
      <w:r w:rsidRPr="00EA59C0">
        <w:t>labor</w:t>
      </w:r>
      <w:r w:rsidR="00C026A6" w:rsidRPr="00EA59C0">
        <w:t xml:space="preserve"> </w:t>
      </w:r>
      <w:r w:rsidRPr="00EA59C0">
        <w:t>market</w:t>
      </w:r>
      <w:r w:rsidR="00C026A6" w:rsidRPr="00EA59C0">
        <w:t xml:space="preserve"> </w:t>
      </w:r>
      <w:r w:rsidRPr="00EA59C0">
        <w:t>information</w:t>
      </w:r>
      <w:r w:rsidR="00C026A6" w:rsidRPr="00EA59C0">
        <w:t xml:space="preserve"> </w:t>
      </w:r>
      <w:r w:rsidRPr="00EA59C0">
        <w:t>into</w:t>
      </w:r>
      <w:r w:rsidR="00C026A6" w:rsidRPr="00EA59C0">
        <w:t xml:space="preserve"> </w:t>
      </w:r>
      <w:r w:rsidRPr="00EA59C0">
        <w:t>college-wide</w:t>
      </w:r>
      <w:r w:rsidR="00C026A6" w:rsidRPr="00EA59C0">
        <w:t xml:space="preserve"> </w:t>
      </w:r>
      <w:r w:rsidRPr="00EA59C0">
        <w:t>decision-making</w:t>
      </w:r>
      <w:r w:rsidR="00C026A6" w:rsidRPr="00EA59C0">
        <w:t xml:space="preserve"> </w:t>
      </w:r>
      <w:r w:rsidR="009932B8" w:rsidRPr="00EA59C0">
        <w:t xml:space="preserve">regarding program development and course offerings </w:t>
      </w:r>
      <w:r w:rsidRPr="00EA59C0">
        <w:t>is</w:t>
      </w:r>
      <w:r w:rsidR="00C026A6" w:rsidRPr="00EA59C0">
        <w:t xml:space="preserve"> </w:t>
      </w:r>
      <w:r w:rsidRPr="00EA59C0">
        <w:t>critical</w:t>
      </w:r>
      <w:r w:rsidR="00C026A6" w:rsidRPr="00EA59C0">
        <w:t xml:space="preserve"> </w:t>
      </w:r>
      <w:r w:rsidRPr="00EA59C0">
        <w:t>to</w:t>
      </w:r>
      <w:r w:rsidR="00C026A6" w:rsidRPr="00EA59C0">
        <w:t xml:space="preserve"> </w:t>
      </w:r>
      <w:r w:rsidRPr="00EA59C0">
        <w:t>building</w:t>
      </w:r>
      <w:r w:rsidR="00C026A6" w:rsidRPr="00EA59C0">
        <w:t xml:space="preserve"> </w:t>
      </w:r>
      <w:r w:rsidRPr="00EA59C0">
        <w:t>the</w:t>
      </w:r>
      <w:r w:rsidR="00C026A6" w:rsidRPr="00EA59C0">
        <w:t xml:space="preserve"> </w:t>
      </w:r>
      <w:r w:rsidRPr="00EA59C0">
        <w:t>capacity</w:t>
      </w:r>
      <w:r w:rsidR="00C026A6" w:rsidRPr="00EA59C0">
        <w:t xml:space="preserve"> </w:t>
      </w:r>
      <w:r w:rsidRPr="00EA59C0">
        <w:t>of</w:t>
      </w:r>
      <w:r w:rsidR="00C026A6" w:rsidRPr="00EA59C0">
        <w:t xml:space="preserve"> </w:t>
      </w:r>
      <w:r w:rsidRPr="00EA59C0">
        <w:t>community</w:t>
      </w:r>
      <w:r w:rsidR="00C026A6" w:rsidRPr="00EA59C0">
        <w:t xml:space="preserve"> </w:t>
      </w:r>
      <w:r w:rsidRPr="00EA59C0">
        <w:t>colleges</w:t>
      </w:r>
      <w:r w:rsidR="00C026A6" w:rsidRPr="00EA59C0">
        <w:t xml:space="preserve"> </w:t>
      </w:r>
      <w:r w:rsidR="005B35B4" w:rsidRPr="00EA59C0">
        <w:t>and</w:t>
      </w:r>
      <w:r w:rsidR="00C026A6" w:rsidRPr="00EA59C0">
        <w:t xml:space="preserve"> </w:t>
      </w:r>
      <w:r w:rsidR="005B35B4" w:rsidRPr="00EA59C0">
        <w:t>other</w:t>
      </w:r>
      <w:r w:rsidR="00C026A6" w:rsidRPr="00EA59C0">
        <w:t xml:space="preserve"> </w:t>
      </w:r>
      <w:r w:rsidR="005B35B4" w:rsidRPr="00EA59C0">
        <w:t>institutions</w:t>
      </w:r>
      <w:r w:rsidR="00C026A6" w:rsidRPr="00EA59C0">
        <w:t xml:space="preserve"> </w:t>
      </w:r>
      <w:r w:rsidR="005B35B4" w:rsidRPr="00EA59C0">
        <w:t>of</w:t>
      </w:r>
      <w:r w:rsidR="00C026A6" w:rsidRPr="00EA59C0">
        <w:t xml:space="preserve"> </w:t>
      </w:r>
      <w:r w:rsidR="005B35B4" w:rsidRPr="00EA59C0">
        <w:t>higher</w:t>
      </w:r>
      <w:r w:rsidR="00C026A6" w:rsidRPr="00EA59C0">
        <w:t xml:space="preserve"> </w:t>
      </w:r>
      <w:r w:rsidR="005B35B4" w:rsidRPr="00EA59C0">
        <w:t>education</w:t>
      </w:r>
      <w:r w:rsidR="00C026A6" w:rsidRPr="00EA59C0">
        <w:t xml:space="preserve"> </w:t>
      </w:r>
      <w:r w:rsidRPr="00EA59C0">
        <w:t>to</w:t>
      </w:r>
      <w:r w:rsidR="00C026A6" w:rsidRPr="00EA59C0">
        <w:t xml:space="preserve"> </w:t>
      </w:r>
      <w:r w:rsidRPr="00EA59C0">
        <w:t>respond</w:t>
      </w:r>
      <w:r w:rsidR="00C026A6" w:rsidRPr="00EA59C0">
        <w:t xml:space="preserve"> </w:t>
      </w:r>
      <w:r w:rsidRPr="00EA59C0">
        <w:t>to</w:t>
      </w:r>
      <w:r w:rsidR="00C026A6" w:rsidRPr="00EA59C0">
        <w:t xml:space="preserve"> </w:t>
      </w:r>
      <w:r w:rsidRPr="00EA59C0">
        <w:t>the</w:t>
      </w:r>
      <w:r w:rsidR="00C026A6" w:rsidRPr="00EA59C0">
        <w:t xml:space="preserve"> </w:t>
      </w:r>
      <w:r w:rsidRPr="00EA59C0">
        <w:t>needs</w:t>
      </w:r>
      <w:r w:rsidR="00C026A6" w:rsidRPr="00EA59C0">
        <w:t xml:space="preserve"> </w:t>
      </w:r>
      <w:r w:rsidRPr="00EA59C0">
        <w:t>of</w:t>
      </w:r>
      <w:r w:rsidR="00C026A6" w:rsidRPr="00EA59C0">
        <w:t xml:space="preserve"> </w:t>
      </w:r>
      <w:r w:rsidRPr="00EA59C0">
        <w:t>employers</w:t>
      </w:r>
      <w:r w:rsidR="00C026A6" w:rsidRPr="00EA59C0">
        <w:t xml:space="preserve"> </w:t>
      </w:r>
      <w:r w:rsidR="00372BB3" w:rsidRPr="00EA59C0">
        <w:t>in</w:t>
      </w:r>
      <w:r w:rsidR="00C026A6" w:rsidRPr="00EA59C0">
        <w:t xml:space="preserve"> </w:t>
      </w:r>
      <w:r w:rsidRPr="00EA59C0">
        <w:t>the</w:t>
      </w:r>
      <w:r w:rsidR="00C026A6" w:rsidRPr="00EA59C0">
        <w:t xml:space="preserve"> </w:t>
      </w:r>
      <w:r w:rsidRPr="00EA59C0">
        <w:t>regional</w:t>
      </w:r>
      <w:r w:rsidR="00C026A6" w:rsidRPr="00EA59C0">
        <w:t xml:space="preserve"> </w:t>
      </w:r>
      <w:r w:rsidRPr="00EA59C0">
        <w:t>labor</w:t>
      </w:r>
      <w:r w:rsidR="00C026A6" w:rsidRPr="00EA59C0">
        <w:t xml:space="preserve"> </w:t>
      </w:r>
      <w:r w:rsidRPr="00EA59C0">
        <w:t>market.</w:t>
      </w:r>
      <w:r w:rsidR="00C026A6" w:rsidRPr="00EA59C0">
        <w:t xml:space="preserve">  </w:t>
      </w:r>
      <w:r w:rsidR="00372BB3" w:rsidRPr="00EA59C0">
        <w:t>Successful</w:t>
      </w:r>
      <w:r w:rsidR="00C026A6" w:rsidRPr="00EA59C0">
        <w:t xml:space="preserve"> </w:t>
      </w:r>
      <w:r w:rsidRPr="00EA59C0">
        <w:t>consortia</w:t>
      </w:r>
      <w:r w:rsidR="00C026A6" w:rsidRPr="00EA59C0">
        <w:t xml:space="preserve"> </w:t>
      </w:r>
      <w:r w:rsidRPr="00EA59C0">
        <w:t>applicants</w:t>
      </w:r>
      <w:r w:rsidR="00C026A6" w:rsidRPr="00EA59C0">
        <w:t xml:space="preserve"> </w:t>
      </w:r>
      <w:r w:rsidR="00372BB3" w:rsidRPr="00EA59C0">
        <w:t>will</w:t>
      </w:r>
      <w:r w:rsidR="00C026A6" w:rsidRPr="00EA59C0">
        <w:t xml:space="preserve"> </w:t>
      </w:r>
      <w:r w:rsidRPr="00EA59C0">
        <w:t>use</w:t>
      </w:r>
      <w:r w:rsidR="00C026A6" w:rsidRPr="00EA59C0">
        <w:t xml:space="preserve"> </w:t>
      </w:r>
      <w:r w:rsidRPr="00EA59C0">
        <w:t>local</w:t>
      </w:r>
      <w:r w:rsidR="00C026A6" w:rsidRPr="00EA59C0">
        <w:t xml:space="preserve"> </w:t>
      </w:r>
      <w:r w:rsidRPr="00EA59C0">
        <w:t>and</w:t>
      </w:r>
      <w:r w:rsidR="00C026A6" w:rsidRPr="00EA59C0">
        <w:t xml:space="preserve"> </w:t>
      </w:r>
      <w:r w:rsidRPr="00EA59C0">
        <w:t>regional</w:t>
      </w:r>
      <w:r w:rsidR="00C026A6" w:rsidRPr="00EA59C0">
        <w:t xml:space="preserve"> </w:t>
      </w:r>
      <w:r w:rsidRPr="00EA59C0">
        <w:t>labor</w:t>
      </w:r>
      <w:r w:rsidR="00C026A6" w:rsidRPr="00EA59C0">
        <w:t xml:space="preserve"> </w:t>
      </w:r>
      <w:r w:rsidRPr="00EA59C0">
        <w:t>market</w:t>
      </w:r>
      <w:r w:rsidR="00C026A6" w:rsidRPr="00EA59C0">
        <w:t xml:space="preserve"> </w:t>
      </w:r>
      <w:r w:rsidRPr="00EA59C0">
        <w:t>data</w:t>
      </w:r>
      <w:r w:rsidR="00C026A6" w:rsidRPr="00EA59C0">
        <w:t xml:space="preserve"> </w:t>
      </w:r>
      <w:r w:rsidRPr="00EA59C0">
        <w:t>to</w:t>
      </w:r>
      <w:r w:rsidR="00C026A6" w:rsidRPr="00EA59C0">
        <w:t xml:space="preserve"> </w:t>
      </w:r>
      <w:r w:rsidR="00372BB3" w:rsidRPr="00EA59C0">
        <w:t>make</w:t>
      </w:r>
      <w:r w:rsidR="00C026A6" w:rsidRPr="00EA59C0">
        <w:t xml:space="preserve"> </w:t>
      </w:r>
      <w:r w:rsidR="00372BB3" w:rsidRPr="00EA59C0">
        <w:t>decisions</w:t>
      </w:r>
      <w:r w:rsidR="00C026A6" w:rsidRPr="00EA59C0">
        <w:t xml:space="preserve"> </w:t>
      </w:r>
      <w:r w:rsidRPr="00EA59C0">
        <w:t>on</w:t>
      </w:r>
      <w:r w:rsidR="00C026A6" w:rsidRPr="00EA59C0">
        <w:t xml:space="preserve"> </w:t>
      </w:r>
      <w:r w:rsidRPr="00EA59C0">
        <w:t>course</w:t>
      </w:r>
      <w:r w:rsidR="00C026A6" w:rsidRPr="00EA59C0">
        <w:t xml:space="preserve"> </w:t>
      </w:r>
      <w:r w:rsidRPr="00EA59C0">
        <w:t>offering</w:t>
      </w:r>
      <w:r w:rsidR="00AB6F93" w:rsidRPr="00EA59C0">
        <w:t>s</w:t>
      </w:r>
      <w:r w:rsidR="00C026A6" w:rsidRPr="00EA59C0">
        <w:t xml:space="preserve"> </w:t>
      </w:r>
      <w:r w:rsidR="00AB6F93" w:rsidRPr="00EA59C0">
        <w:t>and</w:t>
      </w:r>
      <w:r w:rsidR="00C026A6" w:rsidRPr="00EA59C0">
        <w:t xml:space="preserve"> </w:t>
      </w:r>
      <w:r w:rsidR="00372BB3" w:rsidRPr="00EA59C0">
        <w:t>provide</w:t>
      </w:r>
      <w:r w:rsidR="00C026A6" w:rsidRPr="00EA59C0">
        <w:t xml:space="preserve"> </w:t>
      </w:r>
      <w:r w:rsidR="00372BB3" w:rsidRPr="00EA59C0">
        <w:t>data</w:t>
      </w:r>
      <w:r w:rsidR="00C026A6" w:rsidRPr="00EA59C0">
        <w:t xml:space="preserve"> </w:t>
      </w:r>
      <w:r w:rsidR="00372BB3" w:rsidRPr="00EA59C0">
        <w:t>to</w:t>
      </w:r>
      <w:r w:rsidR="00C026A6" w:rsidRPr="00EA59C0">
        <w:t xml:space="preserve"> </w:t>
      </w:r>
      <w:r w:rsidR="00372BB3" w:rsidRPr="00EA59C0">
        <w:t>inform</w:t>
      </w:r>
      <w:r w:rsidR="00C026A6" w:rsidRPr="00EA59C0">
        <w:t xml:space="preserve"> </w:t>
      </w:r>
      <w:r w:rsidRPr="00EA59C0">
        <w:t>student</w:t>
      </w:r>
      <w:r w:rsidR="00C026A6" w:rsidRPr="00EA59C0">
        <w:t xml:space="preserve"> </w:t>
      </w:r>
      <w:r w:rsidRPr="00EA59C0">
        <w:t>choice</w:t>
      </w:r>
      <w:r w:rsidR="00C026A6" w:rsidRPr="00EA59C0">
        <w:t xml:space="preserve"> </w:t>
      </w:r>
      <w:r w:rsidRPr="00EA59C0">
        <w:t>about</w:t>
      </w:r>
      <w:r w:rsidR="00C026A6" w:rsidRPr="00EA59C0">
        <w:t xml:space="preserve"> </w:t>
      </w:r>
      <w:r w:rsidRPr="00EA59C0">
        <w:t>course</w:t>
      </w:r>
      <w:r w:rsidR="00C026A6" w:rsidRPr="00EA59C0">
        <w:t xml:space="preserve"> </w:t>
      </w:r>
      <w:r w:rsidRPr="00EA59C0">
        <w:t>participation.</w:t>
      </w:r>
      <w:r w:rsidR="00C026A6" w:rsidRPr="00EA59C0">
        <w:t xml:space="preserve">  </w:t>
      </w:r>
    </w:p>
    <w:p w:rsidR="004227FD" w:rsidRPr="00EA59C0" w:rsidRDefault="004227FD" w:rsidP="007A73AC">
      <w:pPr>
        <w:ind w:left="360"/>
      </w:pPr>
    </w:p>
    <w:p w:rsidR="00B62BED" w:rsidRPr="00EA59C0" w:rsidRDefault="00B62BED" w:rsidP="007A73AC">
      <w:pPr>
        <w:ind w:left="360"/>
      </w:pPr>
      <w:r w:rsidRPr="00EA59C0">
        <w:t xml:space="preserve">TAACCCT also represents an investment in the next generation of open educational resources (OER) by continuing to require that all new intellectual property, including all digital content be openly licensed for free use, adaptation, and improvement by others.  With the high quality OER produced in the first rounds of TAACCCT, TAA-eligible and other adult workers are better able to obtain affordable, high-quality training that will lead to careers in high-wage industries.  Applicants will build upon and contribute to the body of OER and continue to create innovative, technology driven innovations in career training and education by openly licensing all work under Creative Commons Attribution 4.0 (CC BY) license.  </w:t>
      </w:r>
      <w:r w:rsidR="007409F2" w:rsidRPr="00EA59C0">
        <w:t>Applicants should search existing OER repositories for open learning objects and, where appropriate, re-use these learning objects instead of duplicating existing objects as components of their proposed programs.</w:t>
      </w:r>
      <w:r w:rsidR="00BD2B95" w:rsidRPr="00EA59C0">
        <w:t xml:space="preserve">  In cases where no existing OER is appropriate to the specific needs of proposed programs, applicants are encouraged to consider the most efficient and practical means of acquiring content, for example licensing or purchasing content or purchasing existing intellectual property, where the cost to do so is not substantially greater than licensing alone.  </w:t>
      </w:r>
    </w:p>
    <w:p w:rsidR="00B62BED" w:rsidRPr="00EA59C0" w:rsidRDefault="00B62BED" w:rsidP="007A73AC">
      <w:pPr>
        <w:ind w:left="360"/>
      </w:pPr>
    </w:p>
    <w:p w:rsidR="00421FB0" w:rsidRPr="00EA59C0" w:rsidRDefault="00372BB3" w:rsidP="007A73AC">
      <w:pPr>
        <w:ind w:left="360"/>
      </w:pPr>
      <w:r w:rsidRPr="00EA59C0">
        <w:t>Successful</w:t>
      </w:r>
      <w:r w:rsidR="00C026A6" w:rsidRPr="00EA59C0">
        <w:t xml:space="preserve"> </w:t>
      </w:r>
      <w:r w:rsidRPr="00EA59C0">
        <w:t>c</w:t>
      </w:r>
      <w:r w:rsidR="00421FB0" w:rsidRPr="00EA59C0">
        <w:t>onsortia</w:t>
      </w:r>
      <w:r w:rsidR="00C026A6" w:rsidRPr="00EA59C0">
        <w:t xml:space="preserve"> </w:t>
      </w:r>
      <w:r w:rsidR="00421FB0" w:rsidRPr="00EA59C0">
        <w:t>applicants</w:t>
      </w:r>
      <w:r w:rsidR="00C026A6" w:rsidRPr="00EA59C0">
        <w:t xml:space="preserve"> </w:t>
      </w:r>
      <w:r w:rsidR="00421FB0" w:rsidRPr="00EA59C0">
        <w:t>will</w:t>
      </w:r>
      <w:r w:rsidR="00C026A6" w:rsidRPr="00EA59C0">
        <w:t xml:space="preserve"> </w:t>
      </w:r>
      <w:r w:rsidRPr="00EA59C0">
        <w:t>also</w:t>
      </w:r>
      <w:r w:rsidR="00C026A6" w:rsidRPr="00EA59C0">
        <w:t xml:space="preserve"> </w:t>
      </w:r>
      <w:r w:rsidR="00421FB0" w:rsidRPr="00EA59C0">
        <w:t>provide</w:t>
      </w:r>
      <w:r w:rsidR="00C026A6" w:rsidRPr="00EA59C0">
        <w:t xml:space="preserve"> </w:t>
      </w:r>
      <w:r w:rsidR="00421FB0" w:rsidRPr="00EA59C0">
        <w:t>information</w:t>
      </w:r>
      <w:r w:rsidR="00C026A6" w:rsidRPr="00EA59C0">
        <w:t xml:space="preserve"> </w:t>
      </w:r>
      <w:r w:rsidR="00421FB0" w:rsidRPr="00EA59C0">
        <w:t>on</w:t>
      </w:r>
      <w:r w:rsidR="00C026A6" w:rsidRPr="00EA59C0">
        <w:t xml:space="preserve"> </w:t>
      </w:r>
      <w:r w:rsidR="00FB1180" w:rsidRPr="00EA59C0">
        <w:t>their</w:t>
      </w:r>
      <w:r w:rsidR="00C026A6" w:rsidRPr="00EA59C0">
        <w:t xml:space="preserve"> </w:t>
      </w:r>
      <w:r w:rsidRPr="00EA59C0">
        <w:t>progress</w:t>
      </w:r>
      <w:r w:rsidR="00C026A6" w:rsidRPr="00EA59C0">
        <w:t xml:space="preserve"> </w:t>
      </w:r>
      <w:r w:rsidRPr="00EA59C0">
        <w:t>towards</w:t>
      </w:r>
      <w:r w:rsidR="00C026A6" w:rsidRPr="00EA59C0">
        <w:t xml:space="preserve"> </w:t>
      </w:r>
      <w:r w:rsidR="00421FB0" w:rsidRPr="00EA59C0">
        <w:t>processes</w:t>
      </w:r>
      <w:r w:rsidR="00C026A6" w:rsidRPr="00EA59C0">
        <w:t xml:space="preserve"> </w:t>
      </w:r>
      <w:r w:rsidRPr="00EA59C0">
        <w:t>that</w:t>
      </w:r>
      <w:r w:rsidR="00C026A6" w:rsidRPr="00EA59C0">
        <w:t xml:space="preserve"> </w:t>
      </w:r>
      <w:r w:rsidR="00421FB0" w:rsidRPr="00EA59C0">
        <w:t>track</w:t>
      </w:r>
      <w:r w:rsidR="00C026A6" w:rsidRPr="00EA59C0">
        <w:t xml:space="preserve"> </w:t>
      </w:r>
      <w:r w:rsidRPr="00EA59C0">
        <w:t>long-term</w:t>
      </w:r>
      <w:r w:rsidR="00C026A6" w:rsidRPr="00EA59C0">
        <w:t xml:space="preserve"> </w:t>
      </w:r>
      <w:r w:rsidR="001D00DF" w:rsidRPr="00EA59C0">
        <w:t>student</w:t>
      </w:r>
      <w:r w:rsidR="00C026A6" w:rsidRPr="00EA59C0">
        <w:t xml:space="preserve"> </w:t>
      </w:r>
      <w:r w:rsidR="00FB1180" w:rsidRPr="00EA59C0">
        <w:t>performance</w:t>
      </w:r>
      <w:r w:rsidR="001D00DF" w:rsidRPr="00EA59C0">
        <w:t>.</w:t>
      </w:r>
      <w:r w:rsidR="00C026A6" w:rsidRPr="00EA59C0">
        <w:t xml:space="preserve"> </w:t>
      </w:r>
      <w:r w:rsidR="00421FB0" w:rsidRPr="00EA59C0">
        <w:t>Consortia</w:t>
      </w:r>
      <w:r w:rsidR="00C026A6" w:rsidRPr="00EA59C0">
        <w:t xml:space="preserve"> </w:t>
      </w:r>
      <w:r w:rsidR="00AB6F93" w:rsidRPr="00EA59C0">
        <w:t>applicants</w:t>
      </w:r>
      <w:r w:rsidR="00C026A6" w:rsidRPr="00EA59C0">
        <w:t xml:space="preserve"> </w:t>
      </w:r>
      <w:r w:rsidR="00421FB0" w:rsidRPr="00EA59C0">
        <w:t>within</w:t>
      </w:r>
      <w:r w:rsidR="00C026A6" w:rsidRPr="00EA59C0">
        <w:t xml:space="preserve"> </w:t>
      </w:r>
      <w:r w:rsidR="00421FB0" w:rsidRPr="00EA59C0">
        <w:t>a</w:t>
      </w:r>
      <w:r w:rsidR="00C026A6" w:rsidRPr="00EA59C0">
        <w:t xml:space="preserve"> </w:t>
      </w:r>
      <w:r w:rsidR="00421FB0" w:rsidRPr="00EA59C0">
        <w:t>single</w:t>
      </w:r>
      <w:r w:rsidR="00C026A6" w:rsidRPr="00EA59C0">
        <w:t xml:space="preserve"> </w:t>
      </w:r>
      <w:r w:rsidR="00421FB0" w:rsidRPr="00EA59C0">
        <w:t>state</w:t>
      </w:r>
      <w:r w:rsidR="00C026A6" w:rsidRPr="00EA59C0">
        <w:t xml:space="preserve"> </w:t>
      </w:r>
      <w:r w:rsidR="00421FB0" w:rsidRPr="00EA59C0">
        <w:t>will</w:t>
      </w:r>
      <w:r w:rsidR="00C026A6" w:rsidRPr="00EA59C0">
        <w:t xml:space="preserve"> </w:t>
      </w:r>
      <w:r w:rsidR="00421FB0" w:rsidRPr="00EA59C0">
        <w:t>be</w:t>
      </w:r>
      <w:r w:rsidR="00C026A6" w:rsidRPr="00EA59C0">
        <w:t xml:space="preserve"> </w:t>
      </w:r>
      <w:r w:rsidR="00421FB0" w:rsidRPr="00EA59C0">
        <w:t>required</w:t>
      </w:r>
      <w:r w:rsidR="00C026A6" w:rsidRPr="00EA59C0">
        <w:t xml:space="preserve"> </w:t>
      </w:r>
      <w:r w:rsidR="00421FB0" w:rsidRPr="00EA59C0">
        <w:t>to</w:t>
      </w:r>
      <w:r w:rsidR="00C026A6" w:rsidRPr="00EA59C0">
        <w:t xml:space="preserve"> </w:t>
      </w:r>
      <w:r w:rsidR="004227FD" w:rsidRPr="00EA59C0">
        <w:t>provide</w:t>
      </w:r>
      <w:r w:rsidR="00C026A6" w:rsidRPr="00EA59C0">
        <w:t xml:space="preserve"> </w:t>
      </w:r>
      <w:r w:rsidR="004227FD" w:rsidRPr="00EA59C0">
        <w:t>a</w:t>
      </w:r>
      <w:r w:rsidR="00C026A6" w:rsidRPr="00EA59C0">
        <w:t xml:space="preserve"> </w:t>
      </w:r>
      <w:r w:rsidR="004227FD" w:rsidRPr="00EA59C0">
        <w:t>plan</w:t>
      </w:r>
      <w:r w:rsidR="00C026A6" w:rsidRPr="00EA59C0">
        <w:t xml:space="preserve"> </w:t>
      </w:r>
      <w:r w:rsidR="004227FD" w:rsidRPr="00EA59C0">
        <w:t>to</w:t>
      </w:r>
      <w:r w:rsidR="00C026A6" w:rsidRPr="00EA59C0">
        <w:t xml:space="preserve"> </w:t>
      </w:r>
      <w:r w:rsidR="00421FB0" w:rsidRPr="00EA59C0">
        <w:t>develop</w:t>
      </w:r>
      <w:r w:rsidR="00C026A6" w:rsidRPr="00EA59C0">
        <w:t xml:space="preserve"> </w:t>
      </w:r>
      <w:r w:rsidR="00421FB0" w:rsidRPr="00EA59C0">
        <w:t>and</w:t>
      </w:r>
      <w:r w:rsidR="00C026A6" w:rsidRPr="00EA59C0">
        <w:t xml:space="preserve"> </w:t>
      </w:r>
      <w:r w:rsidR="00421FB0" w:rsidRPr="00EA59C0">
        <w:t>implement</w:t>
      </w:r>
      <w:r w:rsidR="00C026A6" w:rsidRPr="00EA59C0">
        <w:t xml:space="preserve"> </w:t>
      </w:r>
      <w:r w:rsidR="00421FB0" w:rsidRPr="00EA59C0">
        <w:t>a</w:t>
      </w:r>
      <w:r w:rsidR="00C026A6" w:rsidRPr="00EA59C0">
        <w:t xml:space="preserve"> </w:t>
      </w:r>
      <w:r w:rsidR="00421FB0" w:rsidRPr="00EA59C0">
        <w:t>standard</w:t>
      </w:r>
      <w:r w:rsidR="00C026A6" w:rsidRPr="00EA59C0">
        <w:t xml:space="preserve"> </w:t>
      </w:r>
      <w:r w:rsidR="00421FB0" w:rsidRPr="00EA59C0">
        <w:t>online</w:t>
      </w:r>
      <w:r w:rsidR="00C026A6" w:rsidRPr="00EA59C0">
        <w:t xml:space="preserve"> </w:t>
      </w:r>
      <w:r w:rsidR="00421FB0" w:rsidRPr="00EA59C0">
        <w:t>scorecard.</w:t>
      </w:r>
      <w:r w:rsidR="00C026A6" w:rsidRPr="00EA59C0">
        <w:t xml:space="preserve">  </w:t>
      </w:r>
      <w:r w:rsidR="00421FB0" w:rsidRPr="00EA59C0">
        <w:t>Although</w:t>
      </w:r>
      <w:r w:rsidR="00C026A6" w:rsidRPr="00EA59C0">
        <w:t xml:space="preserve"> </w:t>
      </w:r>
      <w:r w:rsidR="00421FB0" w:rsidRPr="00EA59C0">
        <w:t>consortia</w:t>
      </w:r>
      <w:r w:rsidR="00C026A6" w:rsidRPr="00EA59C0">
        <w:t xml:space="preserve"> </w:t>
      </w:r>
      <w:r w:rsidR="00421FB0" w:rsidRPr="00EA59C0">
        <w:t>applicants</w:t>
      </w:r>
      <w:r w:rsidR="00C026A6" w:rsidRPr="00EA59C0">
        <w:t xml:space="preserve"> </w:t>
      </w:r>
      <w:r w:rsidR="00421FB0" w:rsidRPr="00EA59C0">
        <w:t>crossing</w:t>
      </w:r>
      <w:r w:rsidR="00C026A6" w:rsidRPr="00EA59C0">
        <w:t xml:space="preserve"> </w:t>
      </w:r>
      <w:r w:rsidR="00421FB0" w:rsidRPr="00EA59C0">
        <w:t>state</w:t>
      </w:r>
      <w:r w:rsidR="00C026A6" w:rsidRPr="00EA59C0">
        <w:t xml:space="preserve"> </w:t>
      </w:r>
      <w:r w:rsidR="00421FB0" w:rsidRPr="00EA59C0">
        <w:t>lines</w:t>
      </w:r>
      <w:r w:rsidR="00C026A6" w:rsidRPr="00EA59C0">
        <w:t xml:space="preserve"> </w:t>
      </w:r>
      <w:r w:rsidR="00421FB0" w:rsidRPr="00EA59C0">
        <w:t>will</w:t>
      </w:r>
      <w:r w:rsidR="00C026A6" w:rsidRPr="00EA59C0">
        <w:t xml:space="preserve"> </w:t>
      </w:r>
      <w:r w:rsidR="00421FB0" w:rsidRPr="00EA59C0">
        <w:t>not</w:t>
      </w:r>
      <w:r w:rsidR="00C026A6" w:rsidRPr="00EA59C0">
        <w:t xml:space="preserve"> </w:t>
      </w:r>
      <w:r w:rsidR="00421FB0" w:rsidRPr="00EA59C0">
        <w:t>be</w:t>
      </w:r>
      <w:r w:rsidR="00C026A6" w:rsidRPr="00EA59C0">
        <w:t xml:space="preserve"> </w:t>
      </w:r>
      <w:r w:rsidR="00421FB0" w:rsidRPr="00EA59C0">
        <w:t>required</w:t>
      </w:r>
      <w:r w:rsidR="00C026A6" w:rsidRPr="00EA59C0">
        <w:t xml:space="preserve"> </w:t>
      </w:r>
      <w:r w:rsidR="00AD4C4D" w:rsidRPr="00EA59C0">
        <w:t>to</w:t>
      </w:r>
      <w:r w:rsidR="00C026A6" w:rsidRPr="00EA59C0">
        <w:t xml:space="preserve"> </w:t>
      </w:r>
      <w:r w:rsidR="00421FB0" w:rsidRPr="00EA59C0">
        <w:t>implement</w:t>
      </w:r>
      <w:r w:rsidR="00C026A6" w:rsidRPr="00EA59C0">
        <w:t xml:space="preserve"> </w:t>
      </w:r>
      <w:r w:rsidR="00421FB0" w:rsidRPr="00EA59C0">
        <w:t>these</w:t>
      </w:r>
      <w:r w:rsidR="00C026A6" w:rsidRPr="00EA59C0">
        <w:t xml:space="preserve"> </w:t>
      </w:r>
      <w:r w:rsidR="00421FB0" w:rsidRPr="00EA59C0">
        <w:t>scorecards</w:t>
      </w:r>
      <w:r w:rsidR="00C026A6" w:rsidRPr="00EA59C0">
        <w:t xml:space="preserve"> </w:t>
      </w:r>
      <w:r w:rsidR="00421FB0" w:rsidRPr="00EA59C0">
        <w:t>before</w:t>
      </w:r>
      <w:r w:rsidR="00C026A6" w:rsidRPr="00EA59C0">
        <w:t xml:space="preserve"> </w:t>
      </w:r>
      <w:r w:rsidR="00421FB0" w:rsidRPr="00EA59C0">
        <w:t>the</w:t>
      </w:r>
      <w:r w:rsidR="00C026A6" w:rsidRPr="00EA59C0">
        <w:t xml:space="preserve"> </w:t>
      </w:r>
      <w:r w:rsidR="00421FB0" w:rsidRPr="00EA59C0">
        <w:t>end</w:t>
      </w:r>
      <w:r w:rsidR="00C026A6" w:rsidRPr="00EA59C0">
        <w:t xml:space="preserve"> </w:t>
      </w:r>
      <w:r w:rsidR="00421FB0" w:rsidRPr="00EA59C0">
        <w:t>of</w:t>
      </w:r>
      <w:r w:rsidR="00C026A6" w:rsidRPr="00EA59C0">
        <w:t xml:space="preserve"> </w:t>
      </w:r>
      <w:r w:rsidR="00421FB0" w:rsidRPr="00EA59C0">
        <w:t>the</w:t>
      </w:r>
      <w:r w:rsidR="00C026A6" w:rsidRPr="00EA59C0">
        <w:t xml:space="preserve"> </w:t>
      </w:r>
      <w:r w:rsidR="00421FB0" w:rsidRPr="00EA59C0">
        <w:t>grant,</w:t>
      </w:r>
      <w:r w:rsidR="00C026A6" w:rsidRPr="00EA59C0">
        <w:t xml:space="preserve"> </w:t>
      </w:r>
      <w:r w:rsidR="00421FB0" w:rsidRPr="00EA59C0">
        <w:t>they</w:t>
      </w:r>
      <w:r w:rsidR="00C026A6" w:rsidRPr="00EA59C0">
        <w:t xml:space="preserve"> </w:t>
      </w:r>
      <w:r w:rsidR="00AB6F93" w:rsidRPr="00EA59C0">
        <w:t>will</w:t>
      </w:r>
      <w:r w:rsidR="00C026A6" w:rsidRPr="00EA59C0">
        <w:t xml:space="preserve"> </w:t>
      </w:r>
      <w:r w:rsidR="00AB6F93" w:rsidRPr="00EA59C0">
        <w:t>be</w:t>
      </w:r>
      <w:r w:rsidR="00C026A6" w:rsidRPr="00EA59C0">
        <w:t xml:space="preserve"> </w:t>
      </w:r>
      <w:r w:rsidR="00421FB0" w:rsidRPr="00EA59C0">
        <w:t>required</w:t>
      </w:r>
      <w:r w:rsidR="00C026A6" w:rsidRPr="00EA59C0">
        <w:t xml:space="preserve"> </w:t>
      </w:r>
      <w:r w:rsidR="00421FB0" w:rsidRPr="00EA59C0">
        <w:t>to</w:t>
      </w:r>
      <w:r w:rsidR="00C026A6" w:rsidRPr="00EA59C0">
        <w:t xml:space="preserve"> </w:t>
      </w:r>
      <w:r w:rsidR="00421FB0" w:rsidRPr="00EA59C0">
        <w:t>submit</w:t>
      </w:r>
      <w:r w:rsidR="00C026A6" w:rsidRPr="00EA59C0">
        <w:t xml:space="preserve"> </w:t>
      </w:r>
      <w:r w:rsidR="00421FB0" w:rsidRPr="00EA59C0">
        <w:t>a</w:t>
      </w:r>
      <w:r w:rsidR="00C026A6" w:rsidRPr="00EA59C0">
        <w:t xml:space="preserve"> </w:t>
      </w:r>
      <w:r w:rsidR="00421FB0" w:rsidRPr="00EA59C0">
        <w:t>plan</w:t>
      </w:r>
      <w:r w:rsidR="00C026A6" w:rsidRPr="00EA59C0">
        <w:t xml:space="preserve"> </w:t>
      </w:r>
      <w:r w:rsidR="00421FB0" w:rsidRPr="00EA59C0">
        <w:t>demonstrating</w:t>
      </w:r>
      <w:r w:rsidR="00C026A6" w:rsidRPr="00EA59C0">
        <w:t xml:space="preserve"> </w:t>
      </w:r>
      <w:r w:rsidR="00421FB0" w:rsidRPr="00EA59C0">
        <w:t>how</w:t>
      </w:r>
      <w:r w:rsidR="00C026A6" w:rsidRPr="00EA59C0">
        <w:t xml:space="preserve"> </w:t>
      </w:r>
      <w:r w:rsidR="00421FB0" w:rsidRPr="00EA59C0">
        <w:t>their</w:t>
      </w:r>
      <w:r w:rsidR="00C026A6" w:rsidRPr="00EA59C0">
        <w:t xml:space="preserve"> </w:t>
      </w:r>
      <w:r w:rsidR="00421FB0" w:rsidRPr="00EA59C0">
        <w:t>members</w:t>
      </w:r>
      <w:r w:rsidR="00C026A6" w:rsidRPr="00EA59C0">
        <w:t xml:space="preserve"> </w:t>
      </w:r>
      <w:r w:rsidR="00421FB0" w:rsidRPr="00EA59C0">
        <w:t>are</w:t>
      </w:r>
      <w:r w:rsidR="00C026A6" w:rsidRPr="00EA59C0">
        <w:t xml:space="preserve"> </w:t>
      </w:r>
      <w:r w:rsidR="00421FB0" w:rsidRPr="00EA59C0">
        <w:t>working</w:t>
      </w:r>
      <w:r w:rsidR="00C026A6" w:rsidRPr="00EA59C0">
        <w:t xml:space="preserve"> </w:t>
      </w:r>
      <w:r w:rsidR="00421FB0" w:rsidRPr="00EA59C0">
        <w:t>to</w:t>
      </w:r>
      <w:r w:rsidR="00C026A6" w:rsidRPr="00EA59C0">
        <w:t xml:space="preserve"> </w:t>
      </w:r>
      <w:r w:rsidR="00421FB0" w:rsidRPr="00EA59C0">
        <w:t>make</w:t>
      </w:r>
      <w:r w:rsidR="00C026A6" w:rsidRPr="00EA59C0">
        <w:t xml:space="preserve"> </w:t>
      </w:r>
      <w:r w:rsidR="00421FB0" w:rsidRPr="00EA59C0">
        <w:t>data</w:t>
      </w:r>
      <w:r w:rsidR="00C026A6" w:rsidRPr="00EA59C0">
        <w:t xml:space="preserve"> </w:t>
      </w:r>
      <w:r w:rsidR="00421FB0" w:rsidRPr="00EA59C0">
        <w:t>available</w:t>
      </w:r>
      <w:r w:rsidR="00C026A6" w:rsidRPr="00EA59C0">
        <w:t xml:space="preserve"> </w:t>
      </w:r>
      <w:r w:rsidR="00421FB0" w:rsidRPr="00EA59C0">
        <w:t>on</w:t>
      </w:r>
      <w:r w:rsidR="00C026A6" w:rsidRPr="00EA59C0">
        <w:t xml:space="preserve"> </w:t>
      </w:r>
      <w:r w:rsidR="00421FB0" w:rsidRPr="00EA59C0">
        <w:t>student</w:t>
      </w:r>
      <w:r w:rsidR="00C026A6" w:rsidRPr="00EA59C0">
        <w:t xml:space="preserve"> </w:t>
      </w:r>
      <w:r w:rsidR="00421FB0" w:rsidRPr="00EA59C0">
        <w:t>outcomes.</w:t>
      </w:r>
    </w:p>
    <w:p w:rsidR="00421FB0" w:rsidRPr="00EA59C0" w:rsidRDefault="00421FB0" w:rsidP="007A73AC">
      <w:pPr>
        <w:ind w:left="360"/>
      </w:pPr>
    </w:p>
    <w:p w:rsidR="00CD4308" w:rsidRPr="00EA59C0" w:rsidRDefault="00421FB0" w:rsidP="007A73AC">
      <w:pPr>
        <w:ind w:left="360"/>
      </w:pPr>
      <w:r w:rsidRPr="00EA59C0">
        <w:t>TAACCCT</w:t>
      </w:r>
      <w:r w:rsidR="00C026A6" w:rsidRPr="00EA59C0">
        <w:t xml:space="preserve"> </w:t>
      </w:r>
      <w:r w:rsidR="00732676" w:rsidRPr="00EA59C0">
        <w:t>has</w:t>
      </w:r>
      <w:r w:rsidR="00C026A6" w:rsidRPr="00EA59C0">
        <w:t xml:space="preserve"> </w:t>
      </w:r>
      <w:r w:rsidRPr="00EA59C0">
        <w:t>a</w:t>
      </w:r>
      <w:r w:rsidR="00C026A6" w:rsidRPr="00EA59C0">
        <w:t xml:space="preserve"> </w:t>
      </w:r>
      <w:r w:rsidRPr="00EA59C0">
        <w:t>strong</w:t>
      </w:r>
      <w:r w:rsidR="00C026A6" w:rsidRPr="00EA59C0">
        <w:t xml:space="preserve"> </w:t>
      </w:r>
      <w:r w:rsidRPr="00EA59C0">
        <w:t>focus</w:t>
      </w:r>
      <w:r w:rsidR="00C026A6" w:rsidRPr="00EA59C0">
        <w:t xml:space="preserve"> </w:t>
      </w:r>
      <w:r w:rsidRPr="00EA59C0">
        <w:t>on</w:t>
      </w:r>
      <w:r w:rsidR="00C026A6" w:rsidRPr="00EA59C0">
        <w:t xml:space="preserve"> </w:t>
      </w:r>
      <w:r w:rsidRPr="00EA59C0">
        <w:t>evidence-based</w:t>
      </w:r>
      <w:r w:rsidR="00C026A6" w:rsidRPr="00EA59C0">
        <w:t xml:space="preserve"> </w:t>
      </w:r>
      <w:r w:rsidRPr="00EA59C0">
        <w:t>practice</w:t>
      </w:r>
      <w:r w:rsidR="00C026A6" w:rsidRPr="00EA59C0">
        <w:t xml:space="preserve"> </w:t>
      </w:r>
      <w:r w:rsidRPr="00EA59C0">
        <w:t>and</w:t>
      </w:r>
      <w:r w:rsidR="00C026A6" w:rsidRPr="00EA59C0">
        <w:t xml:space="preserve"> </w:t>
      </w:r>
      <w:r w:rsidRPr="00EA59C0">
        <w:t>evaluation.</w:t>
      </w:r>
      <w:r w:rsidR="00C026A6" w:rsidRPr="00EA59C0">
        <w:t xml:space="preserve">  </w:t>
      </w:r>
      <w:r w:rsidRPr="00EA59C0">
        <w:t>As</w:t>
      </w:r>
      <w:r w:rsidR="00C026A6" w:rsidRPr="00EA59C0">
        <w:t xml:space="preserve"> </w:t>
      </w:r>
      <w:r w:rsidRPr="00EA59C0">
        <w:t>a</w:t>
      </w:r>
      <w:r w:rsidR="00C026A6" w:rsidRPr="00EA59C0">
        <w:t xml:space="preserve"> </w:t>
      </w:r>
      <w:r w:rsidRPr="00EA59C0">
        <w:t>result,</w:t>
      </w:r>
      <w:r w:rsidR="00C026A6" w:rsidRPr="00EA59C0">
        <w:t xml:space="preserve"> </w:t>
      </w:r>
      <w:r w:rsidRPr="00EA59C0">
        <w:t>applicants</w:t>
      </w:r>
      <w:r w:rsidR="00C026A6" w:rsidRPr="00EA59C0">
        <w:t xml:space="preserve"> </w:t>
      </w:r>
      <w:r w:rsidRPr="00EA59C0">
        <w:t>are</w:t>
      </w:r>
      <w:r w:rsidR="00C026A6" w:rsidRPr="00EA59C0">
        <w:t xml:space="preserve"> </w:t>
      </w:r>
      <w:r w:rsidRPr="00EA59C0">
        <w:t>required</w:t>
      </w:r>
      <w:r w:rsidR="00C026A6" w:rsidRPr="00EA59C0">
        <w:t xml:space="preserve"> </w:t>
      </w:r>
      <w:r w:rsidRPr="00EA59C0">
        <w:t>to</w:t>
      </w:r>
      <w:r w:rsidR="00C026A6" w:rsidRPr="00EA59C0">
        <w:t xml:space="preserve"> </w:t>
      </w:r>
      <w:r w:rsidRPr="00EA59C0">
        <w:t>retain</w:t>
      </w:r>
      <w:r w:rsidR="00C026A6" w:rsidRPr="00EA59C0">
        <w:t xml:space="preserve"> </w:t>
      </w:r>
      <w:r w:rsidRPr="00EA59C0">
        <w:t>a</w:t>
      </w:r>
      <w:r w:rsidR="00AB6F93" w:rsidRPr="00EA59C0">
        <w:t>n</w:t>
      </w:r>
      <w:r w:rsidR="00C026A6" w:rsidRPr="00EA59C0">
        <w:t xml:space="preserve"> </w:t>
      </w:r>
      <w:r w:rsidR="00AB6F93" w:rsidRPr="00EA59C0">
        <w:t>independent,</w:t>
      </w:r>
      <w:r w:rsidR="00C026A6" w:rsidRPr="00EA59C0">
        <w:t xml:space="preserve"> </w:t>
      </w:r>
      <w:r w:rsidRPr="00EA59C0">
        <w:t>third-party</w:t>
      </w:r>
      <w:r w:rsidR="00C026A6" w:rsidRPr="00EA59C0">
        <w:t xml:space="preserve"> </w:t>
      </w:r>
      <w:r w:rsidRPr="00EA59C0">
        <w:t>evaluator</w:t>
      </w:r>
      <w:r w:rsidR="00C026A6" w:rsidRPr="00EA59C0">
        <w:t xml:space="preserve"> </w:t>
      </w:r>
      <w:r w:rsidRPr="00EA59C0">
        <w:t>to</w:t>
      </w:r>
      <w:r w:rsidR="00C026A6" w:rsidRPr="00EA59C0">
        <w:t xml:space="preserve"> </w:t>
      </w:r>
      <w:r w:rsidRPr="00EA59C0">
        <w:t>design</w:t>
      </w:r>
      <w:r w:rsidR="00C026A6" w:rsidRPr="00EA59C0">
        <w:t xml:space="preserve"> </w:t>
      </w:r>
      <w:r w:rsidRPr="00EA59C0">
        <w:t>and</w:t>
      </w:r>
      <w:r w:rsidR="00C026A6" w:rsidRPr="00EA59C0">
        <w:t xml:space="preserve"> </w:t>
      </w:r>
      <w:r w:rsidRPr="00EA59C0">
        <w:t>execute</w:t>
      </w:r>
      <w:r w:rsidR="00C026A6" w:rsidRPr="00EA59C0">
        <w:t xml:space="preserve"> </w:t>
      </w:r>
      <w:r w:rsidRPr="00EA59C0">
        <w:t>a</w:t>
      </w:r>
      <w:r w:rsidR="00C026A6" w:rsidRPr="00EA59C0">
        <w:t xml:space="preserve"> </w:t>
      </w:r>
      <w:r w:rsidRPr="00EA59C0">
        <w:t>rigorous</w:t>
      </w:r>
      <w:r w:rsidR="00C026A6" w:rsidRPr="00EA59C0">
        <w:t xml:space="preserve"> </w:t>
      </w:r>
      <w:r w:rsidRPr="00EA59C0">
        <w:t>evaluation</w:t>
      </w:r>
      <w:r w:rsidR="00C026A6" w:rsidRPr="00EA59C0">
        <w:t xml:space="preserve"> </w:t>
      </w:r>
      <w:r w:rsidRPr="00EA59C0">
        <w:t>of</w:t>
      </w:r>
      <w:r w:rsidR="00C026A6" w:rsidRPr="00EA59C0">
        <w:t xml:space="preserve"> </w:t>
      </w:r>
      <w:r w:rsidRPr="00EA59C0">
        <w:t>each</w:t>
      </w:r>
      <w:r w:rsidR="00C026A6" w:rsidRPr="00EA59C0">
        <w:t xml:space="preserve"> </w:t>
      </w:r>
      <w:r w:rsidRPr="00EA59C0">
        <w:t>funded</w:t>
      </w:r>
      <w:r w:rsidR="00C026A6" w:rsidRPr="00EA59C0">
        <w:t xml:space="preserve"> </w:t>
      </w:r>
      <w:r w:rsidRPr="00EA59C0">
        <w:t>project.</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believes</w:t>
      </w:r>
      <w:r w:rsidR="00C026A6" w:rsidRPr="00EA59C0">
        <w:t xml:space="preserve"> </w:t>
      </w:r>
      <w:r w:rsidRPr="00EA59C0">
        <w:t>that</w:t>
      </w:r>
      <w:r w:rsidR="00C026A6" w:rsidRPr="00EA59C0">
        <w:t xml:space="preserve"> </w:t>
      </w:r>
      <w:r w:rsidRPr="00EA59C0">
        <w:t>successful</w:t>
      </w:r>
      <w:r w:rsidR="00C026A6" w:rsidRPr="00EA59C0">
        <w:t xml:space="preserve"> </w:t>
      </w:r>
      <w:r w:rsidRPr="00EA59C0">
        <w:t>projects</w:t>
      </w:r>
      <w:r w:rsidR="00C026A6" w:rsidRPr="00EA59C0">
        <w:t xml:space="preserve"> </w:t>
      </w:r>
      <w:r w:rsidRPr="00EA59C0">
        <w:t>can</w:t>
      </w:r>
      <w:r w:rsidR="00C026A6" w:rsidRPr="00EA59C0">
        <w:t xml:space="preserve"> </w:t>
      </w:r>
      <w:r w:rsidRPr="00EA59C0">
        <w:t>develop</w:t>
      </w:r>
      <w:r w:rsidR="00C026A6" w:rsidRPr="00EA59C0">
        <w:t xml:space="preserve"> </w:t>
      </w:r>
      <w:r w:rsidRPr="00EA59C0">
        <w:t>evidence</w:t>
      </w:r>
      <w:r w:rsidR="00C026A6" w:rsidRPr="00EA59C0">
        <w:t xml:space="preserve"> </w:t>
      </w:r>
      <w:r w:rsidRPr="00EA59C0">
        <w:t>on</w:t>
      </w:r>
      <w:r w:rsidR="00C026A6" w:rsidRPr="00EA59C0">
        <w:t xml:space="preserve"> </w:t>
      </w:r>
      <w:r w:rsidRPr="00EA59C0">
        <w:t>effective</w:t>
      </w:r>
      <w:r w:rsidR="00C026A6" w:rsidRPr="00EA59C0">
        <w:t xml:space="preserve"> </w:t>
      </w:r>
      <w:r w:rsidRPr="00EA59C0">
        <w:t>workforce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strategies</w:t>
      </w:r>
      <w:r w:rsidR="00C026A6" w:rsidRPr="00EA59C0">
        <w:t xml:space="preserve"> </w:t>
      </w:r>
      <w:r w:rsidRPr="00EA59C0">
        <w:t>to</w:t>
      </w:r>
      <w:r w:rsidR="00C026A6" w:rsidRPr="00EA59C0">
        <w:t xml:space="preserve"> </w:t>
      </w:r>
      <w:r w:rsidRPr="00EA59C0">
        <w:t>serve</w:t>
      </w:r>
      <w:r w:rsidR="00C026A6" w:rsidRPr="00EA59C0">
        <w:t xml:space="preserve"> </w:t>
      </w:r>
      <w:r w:rsidRPr="00EA59C0">
        <w:t>TAA-eligible</w:t>
      </w:r>
      <w:r w:rsidR="00C026A6" w:rsidRPr="00EA59C0">
        <w:t xml:space="preserve"> </w:t>
      </w:r>
      <w:r w:rsidRPr="00EA59C0">
        <w:t>and</w:t>
      </w:r>
      <w:r w:rsidR="00C026A6" w:rsidRPr="00EA59C0">
        <w:t xml:space="preserve"> </w:t>
      </w:r>
      <w:r w:rsidRPr="00EA59C0">
        <w:t>other</w:t>
      </w:r>
      <w:r w:rsidR="00C026A6" w:rsidRPr="00EA59C0">
        <w:t xml:space="preserve"> </w:t>
      </w:r>
      <w:r w:rsidRPr="00EA59C0">
        <w:t>adult</w:t>
      </w:r>
      <w:r w:rsidR="00C026A6" w:rsidRPr="00EA59C0">
        <w:t xml:space="preserve"> </w:t>
      </w:r>
      <w:r w:rsidRPr="00EA59C0">
        <w:t>workers</w:t>
      </w:r>
      <w:r w:rsidR="00C026A6" w:rsidRPr="00EA59C0">
        <w:t xml:space="preserve"> </w:t>
      </w:r>
      <w:r w:rsidRPr="00EA59C0">
        <w:t>that</w:t>
      </w:r>
      <w:r w:rsidR="00C026A6" w:rsidRPr="00EA59C0">
        <w:t xml:space="preserve"> </w:t>
      </w:r>
      <w:r w:rsidRPr="00EA59C0">
        <w:t>can</w:t>
      </w:r>
      <w:r w:rsidR="00C026A6" w:rsidRPr="00EA59C0">
        <w:t xml:space="preserve"> </w:t>
      </w:r>
      <w:r w:rsidRPr="00EA59C0">
        <w:t>be</w:t>
      </w:r>
      <w:r w:rsidR="00C026A6" w:rsidRPr="00EA59C0">
        <w:t xml:space="preserve"> </w:t>
      </w:r>
      <w:r w:rsidRPr="00EA59C0">
        <w:t>replicated</w:t>
      </w:r>
      <w:r w:rsidR="00C026A6" w:rsidRPr="00EA59C0">
        <w:t xml:space="preserve"> </w:t>
      </w:r>
      <w:r w:rsidRPr="00EA59C0">
        <w:t>broadly.</w:t>
      </w:r>
      <w:r w:rsidR="00C026A6" w:rsidRPr="00EA59C0">
        <w:t xml:space="preserve">  </w:t>
      </w:r>
      <w:r w:rsidRPr="00EA59C0">
        <w:t>In</w:t>
      </w:r>
      <w:r w:rsidR="00C026A6" w:rsidRPr="00EA59C0">
        <w:t xml:space="preserve"> </w:t>
      </w:r>
      <w:r w:rsidRPr="00EA59C0">
        <w:t>addition,</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will</w:t>
      </w:r>
      <w:r w:rsidR="00C026A6" w:rsidRPr="00EA59C0">
        <w:t xml:space="preserve"> </w:t>
      </w:r>
      <w:r w:rsidRPr="00EA59C0">
        <w:t>conduct</w:t>
      </w:r>
      <w:r w:rsidR="00C026A6" w:rsidRPr="00EA59C0">
        <w:t xml:space="preserve"> </w:t>
      </w:r>
      <w:r w:rsidRPr="00EA59C0">
        <w:t>a</w:t>
      </w:r>
      <w:r w:rsidR="00C026A6" w:rsidRPr="00EA59C0">
        <w:t xml:space="preserve"> </w:t>
      </w:r>
      <w:r w:rsidRPr="00EA59C0">
        <w:t>national</w:t>
      </w:r>
      <w:r w:rsidR="00C026A6" w:rsidRPr="00EA59C0">
        <w:t xml:space="preserve"> </w:t>
      </w:r>
      <w:r w:rsidRPr="00EA59C0">
        <w:t>evaluation</w:t>
      </w:r>
      <w:r w:rsidR="00C026A6" w:rsidRPr="00EA59C0">
        <w:t xml:space="preserve"> </w:t>
      </w:r>
      <w:r w:rsidRPr="00EA59C0">
        <w:t>of</w:t>
      </w:r>
      <w:r w:rsidR="00C026A6" w:rsidRPr="00EA59C0">
        <w:t xml:space="preserve"> </w:t>
      </w:r>
      <w:r w:rsidRPr="00EA59C0">
        <w:t>the</w:t>
      </w:r>
      <w:r w:rsidR="00C026A6" w:rsidRPr="00EA59C0">
        <w:t xml:space="preserve"> </w:t>
      </w:r>
      <w:r w:rsidRPr="00EA59C0">
        <w:t>TAACCCT</w:t>
      </w:r>
      <w:r w:rsidR="00C026A6" w:rsidRPr="00EA59C0">
        <w:t xml:space="preserve"> </w:t>
      </w:r>
      <w:r w:rsidRPr="00EA59C0">
        <w:t>projects</w:t>
      </w:r>
      <w:r w:rsidR="00C026A6" w:rsidRPr="00EA59C0">
        <w:t xml:space="preserve"> </w:t>
      </w:r>
      <w:r w:rsidRPr="00EA59C0">
        <w:t>to</w:t>
      </w:r>
      <w:r w:rsidR="00C026A6" w:rsidRPr="00EA59C0">
        <w:t xml:space="preserve"> </w:t>
      </w:r>
      <w:r w:rsidRPr="00EA59C0">
        <w:t>inform</w:t>
      </w:r>
      <w:r w:rsidR="00C026A6" w:rsidRPr="00EA59C0">
        <w:t xml:space="preserve"> </w:t>
      </w:r>
      <w:r w:rsidRPr="00EA59C0">
        <w:t>workforce</w:t>
      </w:r>
      <w:r w:rsidR="00C026A6" w:rsidRPr="00EA59C0">
        <w:t xml:space="preserve"> </w:t>
      </w:r>
      <w:r w:rsidRPr="00EA59C0">
        <w:t>development</w:t>
      </w:r>
      <w:r w:rsidR="00C026A6" w:rsidRPr="00EA59C0">
        <w:t xml:space="preserve"> </w:t>
      </w:r>
      <w:r w:rsidRPr="00EA59C0">
        <w:t>policy</w:t>
      </w:r>
      <w:r w:rsidR="00C026A6" w:rsidRPr="00EA59C0">
        <w:t xml:space="preserve"> </w:t>
      </w:r>
      <w:r w:rsidRPr="00EA59C0">
        <w:t>and</w:t>
      </w:r>
      <w:r w:rsidR="00C026A6" w:rsidRPr="00EA59C0">
        <w:t xml:space="preserve"> </w:t>
      </w:r>
      <w:r w:rsidRPr="00EA59C0">
        <w:t>advance</w:t>
      </w:r>
      <w:r w:rsidR="00C026A6" w:rsidRPr="00EA59C0">
        <w:t xml:space="preserve"> </w:t>
      </w:r>
      <w:r w:rsidRPr="00EA59C0">
        <w:t>DOL’s</w:t>
      </w:r>
      <w:r w:rsidR="00C026A6" w:rsidRPr="00EA59C0">
        <w:t xml:space="preserve"> </w:t>
      </w:r>
      <w:r w:rsidRPr="00EA59C0">
        <w:t>mission</w:t>
      </w:r>
      <w:r w:rsidR="00C026A6" w:rsidRPr="00EA59C0">
        <w:t xml:space="preserve"> </w:t>
      </w:r>
      <w:r w:rsidRPr="00EA59C0">
        <w:t>to</w:t>
      </w:r>
      <w:r w:rsidR="00C026A6" w:rsidRPr="00EA59C0">
        <w:t xml:space="preserve"> </w:t>
      </w:r>
      <w:r w:rsidRPr="00EA59C0">
        <w:t>help</w:t>
      </w:r>
      <w:r w:rsidR="00C026A6" w:rsidRPr="00EA59C0">
        <w:t xml:space="preserve"> </w:t>
      </w:r>
      <w:r w:rsidRPr="00EA59C0">
        <w:t>the</w:t>
      </w:r>
      <w:r w:rsidR="00C026A6" w:rsidRPr="00EA59C0">
        <w:t xml:space="preserve"> </w:t>
      </w:r>
      <w:r w:rsidRPr="00EA59C0">
        <w:t>nation’s</w:t>
      </w:r>
      <w:r w:rsidR="00C026A6" w:rsidRPr="00EA59C0">
        <w:t xml:space="preserve"> </w:t>
      </w:r>
      <w:r w:rsidRPr="00EA59C0">
        <w:t>employers</w:t>
      </w:r>
      <w:r w:rsidR="00C026A6" w:rsidRPr="00EA59C0">
        <w:t xml:space="preserve"> </w:t>
      </w:r>
      <w:r w:rsidRPr="00EA59C0">
        <w:t>and</w:t>
      </w:r>
      <w:r w:rsidR="00C026A6" w:rsidRPr="00EA59C0">
        <w:t xml:space="preserve"> </w:t>
      </w:r>
      <w:r w:rsidRPr="00EA59C0">
        <w:t>workers.</w:t>
      </w:r>
    </w:p>
    <w:p w:rsidR="00421FB0" w:rsidRPr="00EA59C0" w:rsidRDefault="00421FB0" w:rsidP="007A73AC">
      <w:pPr>
        <w:ind w:left="360"/>
      </w:pPr>
    </w:p>
    <w:p w:rsidR="00421FB0" w:rsidRPr="00EA59C0" w:rsidRDefault="00421FB0" w:rsidP="007A73AC"/>
    <w:p w:rsidR="00472029" w:rsidRPr="00EA59C0" w:rsidRDefault="00472029" w:rsidP="000604C5">
      <w:pPr>
        <w:pStyle w:val="Heading1"/>
        <w:numPr>
          <w:ilvl w:val="1"/>
          <w:numId w:val="17"/>
        </w:numPr>
      </w:pPr>
      <w:r w:rsidRPr="00EA59C0">
        <w:t>TAACCCT</w:t>
      </w:r>
      <w:r w:rsidR="00C026A6" w:rsidRPr="00EA59C0">
        <w:t xml:space="preserve"> </w:t>
      </w:r>
      <w:r w:rsidRPr="00EA59C0">
        <w:t>Core</w:t>
      </w:r>
      <w:r w:rsidR="00C026A6" w:rsidRPr="00EA59C0">
        <w:t xml:space="preserve"> </w:t>
      </w:r>
      <w:r w:rsidRPr="00EA59C0">
        <w:t>Elements</w:t>
      </w:r>
      <w:r w:rsidR="00C026A6" w:rsidRPr="00EA59C0">
        <w:t xml:space="preserve"> </w:t>
      </w:r>
    </w:p>
    <w:p w:rsidR="00472029" w:rsidRPr="00EA59C0" w:rsidRDefault="00472029" w:rsidP="007A73AC">
      <w:pPr>
        <w:ind w:left="360"/>
      </w:pPr>
      <w:r w:rsidRPr="00EA59C0">
        <w:t>To</w:t>
      </w:r>
      <w:r w:rsidR="00C026A6" w:rsidRPr="00EA59C0">
        <w:t xml:space="preserve"> </w:t>
      </w:r>
      <w:r w:rsidRPr="00EA59C0">
        <w:t>ensure</w:t>
      </w:r>
      <w:r w:rsidR="00C026A6" w:rsidRPr="00EA59C0">
        <w:t xml:space="preserve"> </w:t>
      </w:r>
      <w:r w:rsidRPr="00EA59C0">
        <w:t>that</w:t>
      </w:r>
      <w:r w:rsidR="00C026A6" w:rsidRPr="00EA59C0">
        <w:t xml:space="preserve"> </w:t>
      </w:r>
      <w:r w:rsidRPr="00EA59C0">
        <w:t>TAACCCT</w:t>
      </w:r>
      <w:r w:rsidR="00C026A6" w:rsidRPr="00EA59C0">
        <w:t xml:space="preserve"> </w:t>
      </w:r>
      <w:r w:rsidRPr="00EA59C0">
        <w:t>projects</w:t>
      </w:r>
      <w:r w:rsidR="00C026A6" w:rsidRPr="00EA59C0">
        <w:t xml:space="preserve"> </w:t>
      </w:r>
      <w:r w:rsidRPr="00EA59C0">
        <w:t>accomplish</w:t>
      </w:r>
      <w:r w:rsidR="00C026A6" w:rsidRPr="00EA59C0">
        <w:t xml:space="preserve"> </w:t>
      </w:r>
      <w:r w:rsidRPr="00EA59C0">
        <w:t>the</w:t>
      </w:r>
      <w:r w:rsidR="00C026A6" w:rsidRPr="00EA59C0">
        <w:t xml:space="preserve"> </w:t>
      </w:r>
      <w:r w:rsidRPr="00EA59C0">
        <w:t>goals</w:t>
      </w:r>
      <w:r w:rsidR="00C026A6" w:rsidRPr="00EA59C0">
        <w:t xml:space="preserve"> </w:t>
      </w:r>
      <w:r w:rsidRPr="00EA59C0">
        <w:t>stated</w:t>
      </w:r>
      <w:r w:rsidR="00C026A6" w:rsidRPr="00EA59C0">
        <w:t xml:space="preserve"> </w:t>
      </w:r>
      <w:r w:rsidRPr="00EA59C0">
        <w:t>above</w:t>
      </w:r>
      <w:r w:rsidR="00C026A6" w:rsidRPr="00EA59C0">
        <w:t xml:space="preserve"> </w:t>
      </w:r>
      <w:r w:rsidRPr="00EA59C0">
        <w:t>in</w:t>
      </w:r>
      <w:r w:rsidR="00C026A6" w:rsidRPr="00EA59C0">
        <w:t xml:space="preserve"> </w:t>
      </w:r>
      <w:r w:rsidRPr="00EA59C0">
        <w:t>Section</w:t>
      </w:r>
      <w:r w:rsidR="00C026A6" w:rsidRPr="00EA59C0">
        <w:t xml:space="preserve"> </w:t>
      </w:r>
      <w:r w:rsidRPr="00EA59C0">
        <w:t>I.A.,</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will</w:t>
      </w:r>
      <w:r w:rsidR="00C026A6" w:rsidRPr="00EA59C0">
        <w:t xml:space="preserve"> </w:t>
      </w:r>
      <w:r w:rsidRPr="00EA59C0">
        <w:t>fund</w:t>
      </w:r>
      <w:r w:rsidR="00C026A6" w:rsidRPr="00EA59C0">
        <w:t xml:space="preserve"> </w:t>
      </w:r>
      <w:r w:rsidRPr="00EA59C0">
        <w:t>applications</w:t>
      </w:r>
      <w:r w:rsidR="00C026A6" w:rsidRPr="00EA59C0">
        <w:t xml:space="preserve"> </w:t>
      </w:r>
      <w:r w:rsidRPr="00EA59C0">
        <w:t>that</w:t>
      </w:r>
      <w:r w:rsidR="00C026A6" w:rsidRPr="00EA59C0">
        <w:t xml:space="preserve"> </w:t>
      </w:r>
      <w:r w:rsidRPr="00EA59C0">
        <w:t>address</w:t>
      </w:r>
      <w:r w:rsidR="00C026A6" w:rsidRPr="00EA59C0">
        <w:t xml:space="preserve"> </w:t>
      </w:r>
      <w:r w:rsidRPr="00EA59C0">
        <w:t>all</w:t>
      </w:r>
      <w:r w:rsidR="00C026A6" w:rsidRPr="00EA59C0">
        <w:t xml:space="preserve"> </w:t>
      </w:r>
      <w:r w:rsidRPr="00EA59C0">
        <w:t>of</w:t>
      </w:r>
      <w:r w:rsidR="00C026A6" w:rsidRPr="00EA59C0">
        <w:t xml:space="preserve"> </w:t>
      </w:r>
      <w:r w:rsidRPr="00EA59C0">
        <w:t>the</w:t>
      </w:r>
      <w:r w:rsidR="00C026A6" w:rsidRPr="00EA59C0">
        <w:t xml:space="preserve"> </w:t>
      </w:r>
      <w:r w:rsidRPr="00EA59C0">
        <w:t>following</w:t>
      </w:r>
      <w:r w:rsidR="00C026A6" w:rsidRPr="00EA59C0">
        <w:t xml:space="preserve"> </w:t>
      </w:r>
      <w:r w:rsidR="00732676" w:rsidRPr="00EA59C0">
        <w:t>six</w:t>
      </w:r>
      <w:r w:rsidR="00C026A6" w:rsidRPr="00EA59C0">
        <w:t xml:space="preserve"> </w:t>
      </w:r>
      <w:r w:rsidRPr="00EA59C0">
        <w:t>core</w:t>
      </w:r>
      <w:r w:rsidR="00C026A6" w:rsidRPr="00EA59C0">
        <w:t xml:space="preserve"> </w:t>
      </w:r>
      <w:r w:rsidRPr="00EA59C0">
        <w:t>elements</w:t>
      </w:r>
      <w:r w:rsidR="00C026A6" w:rsidRPr="00EA59C0">
        <w:t xml:space="preserve"> </w:t>
      </w:r>
      <w:r w:rsidRPr="00EA59C0">
        <w:t>in</w:t>
      </w:r>
      <w:r w:rsidR="00C026A6" w:rsidRPr="00EA59C0">
        <w:t xml:space="preserve"> </w:t>
      </w:r>
      <w:r w:rsidRPr="00EA59C0">
        <w:t>the</w:t>
      </w:r>
      <w:r w:rsidR="00C026A6" w:rsidRPr="00EA59C0">
        <w:t xml:space="preserve"> </w:t>
      </w:r>
      <w:r w:rsidRPr="00EA59C0">
        <w:t>proposal.</w:t>
      </w:r>
      <w:r w:rsidR="00C026A6" w:rsidRPr="00EA59C0">
        <w:t xml:space="preserve">  </w:t>
      </w:r>
      <w:r w:rsidR="00372BB3" w:rsidRPr="00EA59C0">
        <w:t>Successful</w:t>
      </w:r>
      <w:r w:rsidR="00C026A6" w:rsidRPr="00EA59C0">
        <w:t xml:space="preserve"> </w:t>
      </w:r>
      <w:r w:rsidRPr="00EA59C0">
        <w:t>applicants</w:t>
      </w:r>
      <w:r w:rsidR="00C026A6" w:rsidRPr="00EA59C0">
        <w:t xml:space="preserve"> </w:t>
      </w:r>
      <w:r w:rsidR="00372BB3" w:rsidRPr="00EA59C0">
        <w:t>will</w:t>
      </w:r>
      <w:r w:rsidR="00C026A6" w:rsidRPr="00EA59C0">
        <w:t xml:space="preserve"> </w:t>
      </w:r>
      <w:r w:rsidRPr="00EA59C0">
        <w:t>propose</w:t>
      </w:r>
      <w:r w:rsidR="00C026A6" w:rsidRPr="00EA59C0">
        <w:t xml:space="preserve"> </w:t>
      </w:r>
      <w:r w:rsidRPr="00EA59C0">
        <w:t>projects</w:t>
      </w:r>
      <w:r w:rsidR="00C026A6" w:rsidRPr="00EA59C0">
        <w:t xml:space="preserve"> </w:t>
      </w:r>
      <w:r w:rsidRPr="00EA59C0">
        <w:t>that</w:t>
      </w:r>
      <w:r w:rsidR="00C026A6" w:rsidRPr="00EA59C0">
        <w:t xml:space="preserve"> </w:t>
      </w:r>
      <w:r w:rsidRPr="00EA59C0">
        <w:t>address</w:t>
      </w:r>
      <w:r w:rsidR="00C026A6" w:rsidRPr="00EA59C0">
        <w:t xml:space="preserve"> </w:t>
      </w:r>
      <w:r w:rsidRPr="00EA59C0">
        <w:t>all</w:t>
      </w:r>
      <w:r w:rsidR="00C026A6" w:rsidRPr="00EA59C0">
        <w:t xml:space="preserve"> </w:t>
      </w:r>
      <w:r w:rsidRPr="00EA59C0">
        <w:t>of</w:t>
      </w:r>
      <w:r w:rsidR="00C026A6" w:rsidRPr="00EA59C0">
        <w:t xml:space="preserve"> </w:t>
      </w:r>
      <w:r w:rsidRPr="00EA59C0">
        <w:t>these</w:t>
      </w:r>
      <w:r w:rsidR="00C026A6" w:rsidRPr="00EA59C0">
        <w:t xml:space="preserve"> </w:t>
      </w:r>
      <w:r w:rsidRPr="00EA59C0">
        <w:t>core</w:t>
      </w:r>
      <w:r w:rsidR="00C026A6" w:rsidRPr="00EA59C0">
        <w:t xml:space="preserve"> </w:t>
      </w:r>
      <w:r w:rsidRPr="00EA59C0">
        <w:t>elements.</w:t>
      </w:r>
      <w:r w:rsidR="00C026A6" w:rsidRPr="00EA59C0">
        <w:t xml:space="preserve">  </w:t>
      </w:r>
    </w:p>
    <w:p w:rsidR="00AB6F93" w:rsidRPr="00EA59C0" w:rsidRDefault="00AB6F93" w:rsidP="007A73AC"/>
    <w:p w:rsidR="00472029" w:rsidRPr="00EA59C0" w:rsidRDefault="00472029" w:rsidP="006A3F7F">
      <w:pPr>
        <w:pStyle w:val="Heading1"/>
        <w:numPr>
          <w:ilvl w:val="2"/>
          <w:numId w:val="17"/>
        </w:numPr>
      </w:pPr>
      <w:r w:rsidRPr="00EA59C0">
        <w:t>Core</w:t>
      </w:r>
      <w:r w:rsidR="00C026A6" w:rsidRPr="00EA59C0">
        <w:t xml:space="preserve"> </w:t>
      </w:r>
      <w:r w:rsidRPr="00EA59C0">
        <w:t>Element</w:t>
      </w:r>
      <w:r w:rsidR="00C026A6" w:rsidRPr="00EA59C0">
        <w:t xml:space="preserve"> </w:t>
      </w:r>
      <w:r w:rsidRPr="00EA59C0">
        <w:t>1:</w:t>
      </w:r>
      <w:r w:rsidR="00C026A6" w:rsidRPr="00EA59C0">
        <w:t xml:space="preserve"> </w:t>
      </w:r>
      <w:r w:rsidRPr="00EA59C0">
        <w:t>Evidence-Based</w:t>
      </w:r>
      <w:r w:rsidR="00C026A6" w:rsidRPr="00EA59C0">
        <w:t xml:space="preserve"> </w:t>
      </w:r>
      <w:r w:rsidRPr="00EA59C0">
        <w:t>Design</w:t>
      </w:r>
    </w:p>
    <w:p w:rsidR="00EE2FD0" w:rsidRPr="00EA59C0" w:rsidRDefault="00372BB3" w:rsidP="007A73AC">
      <w:pPr>
        <w:tabs>
          <w:tab w:val="left" w:pos="540"/>
        </w:tabs>
        <w:ind w:left="1080"/>
      </w:pPr>
      <w:r w:rsidRPr="00EA59C0">
        <w:t>The</w:t>
      </w:r>
      <w:r w:rsidR="00C026A6" w:rsidRPr="00EA59C0">
        <w:t xml:space="preserve"> </w:t>
      </w:r>
      <w:r w:rsidRPr="00EA59C0">
        <w:t>Department</w:t>
      </w:r>
      <w:r w:rsidR="00C026A6" w:rsidRPr="00EA59C0">
        <w:t xml:space="preserve"> </w:t>
      </w:r>
      <w:r w:rsidRPr="00EA59C0">
        <w:t>is</w:t>
      </w:r>
      <w:r w:rsidR="00C026A6" w:rsidRPr="00EA59C0">
        <w:t xml:space="preserve"> </w:t>
      </w:r>
      <w:r w:rsidRPr="00EA59C0">
        <w:t>committed</w:t>
      </w:r>
      <w:r w:rsidR="00C026A6" w:rsidRPr="00EA59C0">
        <w:t xml:space="preserve"> </w:t>
      </w:r>
      <w:r w:rsidRPr="00EA59C0">
        <w:t>to</w:t>
      </w:r>
      <w:r w:rsidR="00C026A6" w:rsidRPr="00EA59C0">
        <w:t xml:space="preserve"> </w:t>
      </w:r>
      <w:r w:rsidRPr="00EA59C0">
        <w:t>funding</w:t>
      </w:r>
      <w:r w:rsidR="00C026A6" w:rsidRPr="00EA59C0">
        <w:t xml:space="preserve"> </w:t>
      </w:r>
      <w:r w:rsidRPr="00EA59C0">
        <w:t>programs</w:t>
      </w:r>
      <w:r w:rsidR="00C026A6" w:rsidRPr="00EA59C0">
        <w:t xml:space="preserve"> </w:t>
      </w:r>
      <w:r w:rsidRPr="00EA59C0">
        <w:t>that</w:t>
      </w:r>
      <w:r w:rsidR="00C026A6" w:rsidRPr="00EA59C0">
        <w:t xml:space="preserve"> </w:t>
      </w:r>
      <w:r w:rsidRPr="00EA59C0">
        <w:t>are</w:t>
      </w:r>
      <w:r w:rsidR="00C026A6" w:rsidRPr="00EA59C0">
        <w:t xml:space="preserve"> </w:t>
      </w:r>
      <w:r w:rsidRPr="00EA59C0">
        <w:t>likely</w:t>
      </w:r>
      <w:r w:rsidR="00C026A6" w:rsidRPr="00EA59C0">
        <w:t xml:space="preserve"> </w:t>
      </w:r>
      <w:r w:rsidRPr="00EA59C0">
        <w:t>to</w:t>
      </w:r>
      <w:r w:rsidR="00C026A6" w:rsidRPr="00EA59C0">
        <w:t xml:space="preserve"> </w:t>
      </w:r>
      <w:r w:rsidRPr="00EA59C0">
        <w:t>improve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employment</w:t>
      </w:r>
      <w:r w:rsidR="00C026A6" w:rsidRPr="00EA59C0">
        <w:t xml:space="preserve"> </w:t>
      </w:r>
      <w:r w:rsidRPr="00EA59C0">
        <w:t>outcomes</w:t>
      </w:r>
      <w:r w:rsidR="00C026A6" w:rsidRPr="00EA59C0">
        <w:t xml:space="preserve"> </w:t>
      </w:r>
      <w:r w:rsidRPr="00EA59C0">
        <w:t>for</w:t>
      </w:r>
      <w:r w:rsidR="00C026A6" w:rsidRPr="00EA59C0">
        <w:t xml:space="preserve"> </w:t>
      </w:r>
      <w:r w:rsidRPr="00EA59C0">
        <w:t>program</w:t>
      </w:r>
      <w:r w:rsidR="00C026A6" w:rsidRPr="00EA59C0">
        <w:t xml:space="preserve"> </w:t>
      </w:r>
      <w:r w:rsidRPr="00EA59C0">
        <w:t>participants.</w:t>
      </w:r>
      <w:r w:rsidR="00C026A6" w:rsidRPr="00EA59C0">
        <w:t xml:space="preserve">  </w:t>
      </w:r>
      <w:r w:rsidRPr="00EA59C0">
        <w:t>Successful</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develop</w:t>
      </w:r>
      <w:r w:rsidR="00C026A6" w:rsidRPr="00EA59C0">
        <w:t xml:space="preserve"> </w:t>
      </w:r>
      <w:r w:rsidR="00EE2FD0" w:rsidRPr="00EA59C0">
        <w:t>new</w:t>
      </w:r>
      <w:r w:rsidR="00C026A6" w:rsidRPr="00EA59C0">
        <w:t xml:space="preserve"> </w:t>
      </w:r>
      <w:r w:rsidR="00EE2FD0" w:rsidRPr="00EA59C0">
        <w:t>strategies</w:t>
      </w:r>
      <w:r w:rsidR="00683257" w:rsidRPr="00EA59C0">
        <w:t>,</w:t>
      </w:r>
      <w:r w:rsidR="00C026A6" w:rsidRPr="00EA59C0">
        <w:t xml:space="preserve"> </w:t>
      </w:r>
      <w:r w:rsidR="00EE2FD0" w:rsidRPr="00EA59C0">
        <w:t>or</w:t>
      </w:r>
      <w:r w:rsidR="00C026A6" w:rsidRPr="00EA59C0">
        <w:t xml:space="preserve"> </w:t>
      </w:r>
      <w:r w:rsidR="00EE2FD0" w:rsidRPr="00EA59C0">
        <w:t>replicat</w:t>
      </w:r>
      <w:r w:rsidRPr="00EA59C0">
        <w:t>e</w:t>
      </w:r>
      <w:r w:rsidR="00C026A6" w:rsidRPr="00EA59C0">
        <w:t xml:space="preserve"> </w:t>
      </w:r>
      <w:r w:rsidR="00683257" w:rsidRPr="00EA59C0">
        <w:t>or</w:t>
      </w:r>
      <w:r w:rsidR="00C026A6" w:rsidRPr="00EA59C0">
        <w:t xml:space="preserve"> </w:t>
      </w:r>
      <w:r w:rsidR="00683257" w:rsidRPr="00EA59C0">
        <w:t>adapt</w:t>
      </w:r>
      <w:r w:rsidR="00C026A6" w:rsidRPr="00EA59C0">
        <w:t xml:space="preserve"> </w:t>
      </w:r>
      <w:r w:rsidR="00EE2FD0" w:rsidRPr="00EA59C0">
        <w:t>existing</w:t>
      </w:r>
      <w:r w:rsidR="00C026A6" w:rsidRPr="00EA59C0">
        <w:t xml:space="preserve"> </w:t>
      </w:r>
      <w:r w:rsidR="00EE2FD0" w:rsidRPr="00EA59C0">
        <w:t>evidence-based</w:t>
      </w:r>
      <w:r w:rsidR="00C026A6" w:rsidRPr="00EA59C0">
        <w:t xml:space="preserve"> </w:t>
      </w:r>
      <w:r w:rsidR="00EE2FD0" w:rsidRPr="00EA59C0">
        <w:t>strategies</w:t>
      </w:r>
      <w:r w:rsidR="00CC55F5" w:rsidRPr="00EA59C0">
        <w:t>,</w:t>
      </w:r>
      <w:r w:rsidR="00C026A6" w:rsidRPr="00EA59C0">
        <w:t xml:space="preserve"> </w:t>
      </w:r>
      <w:r w:rsidR="00413FB4" w:rsidRPr="00EA59C0">
        <w:t>and</w:t>
      </w:r>
      <w:r w:rsidR="00C026A6" w:rsidRPr="00EA59C0">
        <w:t xml:space="preserve"> </w:t>
      </w:r>
      <w:r w:rsidR="00413FB4" w:rsidRPr="00EA59C0">
        <w:t>will</w:t>
      </w:r>
      <w:r w:rsidR="00C026A6" w:rsidRPr="00EA59C0">
        <w:t xml:space="preserve"> </w:t>
      </w:r>
      <w:r w:rsidR="00413FB4" w:rsidRPr="00EA59C0">
        <w:t>be</w:t>
      </w:r>
      <w:r w:rsidR="00C026A6" w:rsidRPr="00EA59C0">
        <w:t xml:space="preserve"> </w:t>
      </w:r>
      <w:r w:rsidR="00EE2FD0" w:rsidRPr="00EA59C0">
        <w:t>committed</w:t>
      </w:r>
      <w:r w:rsidR="00C026A6" w:rsidRPr="00EA59C0">
        <w:t xml:space="preserve"> </w:t>
      </w:r>
      <w:r w:rsidR="00EE2FD0" w:rsidRPr="00EA59C0">
        <w:t>to</w:t>
      </w:r>
      <w:r w:rsidR="00C026A6" w:rsidRPr="00EA59C0">
        <w:t xml:space="preserve"> </w:t>
      </w:r>
      <w:r w:rsidR="00EE2FD0" w:rsidRPr="00EA59C0">
        <w:t>using</w:t>
      </w:r>
      <w:r w:rsidR="00C026A6" w:rsidRPr="00EA59C0">
        <w:t xml:space="preserve"> </w:t>
      </w:r>
      <w:r w:rsidR="00EE2FD0" w:rsidRPr="00EA59C0">
        <w:t>data</w:t>
      </w:r>
      <w:r w:rsidR="00C026A6" w:rsidRPr="00EA59C0">
        <w:t xml:space="preserve"> </w:t>
      </w:r>
      <w:r w:rsidR="00EE2FD0" w:rsidRPr="00EA59C0">
        <w:t>for</w:t>
      </w:r>
      <w:r w:rsidR="00C026A6" w:rsidRPr="00EA59C0">
        <w:t xml:space="preserve"> </w:t>
      </w:r>
      <w:r w:rsidR="00EE2FD0" w:rsidRPr="00EA59C0">
        <w:t>continuous</w:t>
      </w:r>
      <w:r w:rsidR="00C026A6" w:rsidRPr="00EA59C0">
        <w:t xml:space="preserve"> </w:t>
      </w:r>
      <w:r w:rsidR="00EE2FD0" w:rsidRPr="00EA59C0">
        <w:t>improvement</w:t>
      </w:r>
      <w:r w:rsidR="00C026A6" w:rsidRPr="00EA59C0">
        <w:t xml:space="preserve"> </w:t>
      </w:r>
      <w:r w:rsidR="00EE2FD0" w:rsidRPr="00EA59C0">
        <w:t>of</w:t>
      </w:r>
      <w:r w:rsidR="00C026A6" w:rsidRPr="00EA59C0">
        <w:t xml:space="preserve"> </w:t>
      </w:r>
      <w:r w:rsidR="00EE2FD0" w:rsidRPr="00EA59C0">
        <w:t>programs</w:t>
      </w:r>
      <w:r w:rsidR="00C026A6" w:rsidRPr="00EA59C0">
        <w:t xml:space="preserve"> </w:t>
      </w:r>
      <w:r w:rsidR="00EE2FD0" w:rsidRPr="00EA59C0">
        <w:t>that</w:t>
      </w:r>
      <w:r w:rsidR="00C026A6" w:rsidRPr="00EA59C0">
        <w:t xml:space="preserve"> </w:t>
      </w:r>
      <w:r w:rsidR="00EE2FD0" w:rsidRPr="00EA59C0">
        <w:t>provide</w:t>
      </w:r>
      <w:r w:rsidR="00C026A6" w:rsidRPr="00EA59C0">
        <w:t xml:space="preserve"> </w:t>
      </w:r>
      <w:r w:rsidR="00EE2FD0" w:rsidRPr="00EA59C0">
        <w:t>workers</w:t>
      </w:r>
      <w:r w:rsidR="00C026A6" w:rsidRPr="00EA59C0">
        <w:t xml:space="preserve"> </w:t>
      </w:r>
      <w:r w:rsidR="00EE2FD0" w:rsidRPr="00EA59C0">
        <w:t>with</w:t>
      </w:r>
      <w:r w:rsidR="00C026A6" w:rsidRPr="00EA59C0">
        <w:t xml:space="preserve"> </w:t>
      </w:r>
      <w:r w:rsidR="00EE2FD0" w:rsidRPr="00EA59C0">
        <w:t>the</w:t>
      </w:r>
      <w:r w:rsidR="00C026A6" w:rsidRPr="00EA59C0">
        <w:t xml:space="preserve"> </w:t>
      </w:r>
      <w:r w:rsidR="00EE2FD0" w:rsidRPr="00EA59C0">
        <w:t>education</w:t>
      </w:r>
      <w:r w:rsidR="00C026A6" w:rsidRPr="00EA59C0">
        <w:t xml:space="preserve"> </w:t>
      </w:r>
      <w:r w:rsidR="00EE2FD0" w:rsidRPr="00EA59C0">
        <w:t>and</w:t>
      </w:r>
      <w:r w:rsidR="00C026A6" w:rsidRPr="00EA59C0">
        <w:t xml:space="preserve"> </w:t>
      </w:r>
      <w:r w:rsidR="00EE2FD0" w:rsidRPr="00EA59C0">
        <w:t>skills</w:t>
      </w:r>
      <w:r w:rsidR="00C026A6" w:rsidRPr="00EA59C0">
        <w:t xml:space="preserve"> </w:t>
      </w:r>
      <w:r w:rsidR="00EE2FD0" w:rsidRPr="00EA59C0">
        <w:t>to</w:t>
      </w:r>
      <w:r w:rsidR="00C026A6" w:rsidRPr="00EA59C0">
        <w:t xml:space="preserve"> </w:t>
      </w:r>
      <w:r w:rsidR="00EE2FD0" w:rsidRPr="00EA59C0">
        <w:t>succeed</w:t>
      </w:r>
      <w:r w:rsidR="00C026A6" w:rsidRPr="00EA59C0">
        <w:t xml:space="preserve"> </w:t>
      </w:r>
      <w:r w:rsidR="00EE2FD0" w:rsidRPr="00EA59C0">
        <w:t>in</w:t>
      </w:r>
      <w:r w:rsidR="00C026A6" w:rsidRPr="00EA59C0">
        <w:t xml:space="preserve"> </w:t>
      </w:r>
      <w:r w:rsidR="00EE2FD0" w:rsidRPr="00EA59C0">
        <w:t>high-wage,</w:t>
      </w:r>
      <w:r w:rsidR="00C026A6" w:rsidRPr="00EA59C0">
        <w:t xml:space="preserve"> </w:t>
      </w:r>
      <w:r w:rsidR="00EE2FD0" w:rsidRPr="00EA59C0">
        <w:t>high-skill</w:t>
      </w:r>
      <w:r w:rsidR="00C026A6" w:rsidRPr="00EA59C0">
        <w:t xml:space="preserve"> </w:t>
      </w:r>
      <w:r w:rsidR="00EE2FD0" w:rsidRPr="00EA59C0">
        <w:t>occupations.</w:t>
      </w:r>
      <w:r w:rsidR="00C026A6" w:rsidRPr="00EA59C0">
        <w:t xml:space="preserve">  </w:t>
      </w:r>
    </w:p>
    <w:p w:rsidR="00EE2FD0" w:rsidRPr="00EA59C0" w:rsidRDefault="00EE2FD0" w:rsidP="007A73AC">
      <w:pPr>
        <w:tabs>
          <w:tab w:val="left" w:pos="540"/>
        </w:tabs>
        <w:ind w:left="1080"/>
      </w:pPr>
    </w:p>
    <w:p w:rsidR="00EE2FD0" w:rsidRPr="00EA59C0" w:rsidRDefault="00E9747C" w:rsidP="007A73AC">
      <w:pPr>
        <w:tabs>
          <w:tab w:val="left" w:pos="540"/>
        </w:tabs>
        <w:ind w:left="1080"/>
      </w:pPr>
      <w:r w:rsidRPr="00EA59C0">
        <w:t>G</w:t>
      </w:r>
      <w:r w:rsidR="00EE2FD0" w:rsidRPr="00EA59C0">
        <w:t>rants</w:t>
      </w:r>
      <w:r w:rsidR="00C026A6" w:rsidRPr="00EA59C0">
        <w:t xml:space="preserve"> </w:t>
      </w:r>
      <w:r w:rsidR="00EE2FD0" w:rsidRPr="00EA59C0">
        <w:t>awarded</w:t>
      </w:r>
      <w:r w:rsidR="00C026A6" w:rsidRPr="00EA59C0">
        <w:t xml:space="preserve"> </w:t>
      </w:r>
      <w:r w:rsidR="00EE2FD0" w:rsidRPr="00EA59C0">
        <w:t>in</w:t>
      </w:r>
      <w:r w:rsidR="00C026A6" w:rsidRPr="00EA59C0">
        <w:t xml:space="preserve"> </w:t>
      </w:r>
      <w:r w:rsidR="00EE2FD0" w:rsidRPr="00EA59C0">
        <w:t>the</w:t>
      </w:r>
      <w:r w:rsidR="00C026A6" w:rsidRPr="00EA59C0">
        <w:t xml:space="preserve"> </w:t>
      </w:r>
      <w:r w:rsidR="00EE2FD0" w:rsidRPr="00EA59C0">
        <w:t>TAACCCT</w:t>
      </w:r>
      <w:r w:rsidR="00C026A6" w:rsidRPr="00EA59C0">
        <w:t xml:space="preserve"> </w:t>
      </w:r>
      <w:r w:rsidR="00EE2FD0" w:rsidRPr="00EA59C0">
        <w:t>program</w:t>
      </w:r>
      <w:r w:rsidR="00C026A6" w:rsidRPr="00EA59C0">
        <w:t xml:space="preserve"> </w:t>
      </w:r>
      <w:r w:rsidR="00EE2FD0" w:rsidRPr="00EA59C0">
        <w:t>will</w:t>
      </w:r>
      <w:r w:rsidR="00C026A6" w:rsidRPr="00EA59C0">
        <w:t xml:space="preserve"> </w:t>
      </w:r>
      <w:r w:rsidR="00EE2FD0" w:rsidRPr="00EA59C0">
        <w:t>support</w:t>
      </w:r>
      <w:r w:rsidR="00C026A6" w:rsidRPr="00EA59C0">
        <w:t xml:space="preserve"> </w:t>
      </w:r>
      <w:r w:rsidR="00EE2FD0" w:rsidRPr="00EA59C0">
        <w:t>the</w:t>
      </w:r>
      <w:r w:rsidR="00C026A6" w:rsidRPr="00EA59C0">
        <w:t xml:space="preserve"> </w:t>
      </w:r>
      <w:r w:rsidR="00EE2FD0" w:rsidRPr="00EA59C0">
        <w:t>development</w:t>
      </w:r>
      <w:r w:rsidR="00C026A6" w:rsidRPr="00EA59C0">
        <w:t xml:space="preserve"> </w:t>
      </w:r>
      <w:r w:rsidR="00EE2FD0" w:rsidRPr="00EA59C0">
        <w:t>of</w:t>
      </w:r>
      <w:r w:rsidR="00C026A6" w:rsidRPr="00EA59C0">
        <w:t xml:space="preserve"> </w:t>
      </w:r>
      <w:r w:rsidR="00EE2FD0" w:rsidRPr="00EA59C0">
        <w:t>innovative</w:t>
      </w:r>
      <w:r w:rsidR="00C026A6" w:rsidRPr="00EA59C0">
        <w:t xml:space="preserve"> </w:t>
      </w:r>
      <w:r w:rsidR="00EE2FD0" w:rsidRPr="00EA59C0">
        <w:t>program</w:t>
      </w:r>
      <w:r w:rsidR="00C026A6" w:rsidRPr="00EA59C0">
        <w:t xml:space="preserve"> </w:t>
      </w:r>
      <w:r w:rsidR="00EE2FD0" w:rsidRPr="00EA59C0">
        <w:t>models</w:t>
      </w:r>
      <w:r w:rsidR="00C026A6" w:rsidRPr="00EA59C0">
        <w:t xml:space="preserve"> </w:t>
      </w:r>
      <w:r w:rsidR="00EE2FD0" w:rsidRPr="00EA59C0">
        <w:t>that</w:t>
      </w:r>
      <w:r w:rsidR="00C026A6" w:rsidRPr="00EA59C0">
        <w:t xml:space="preserve"> </w:t>
      </w:r>
      <w:r w:rsidR="00EE2FD0" w:rsidRPr="00EA59C0">
        <w:t>can</w:t>
      </w:r>
      <w:r w:rsidR="00C026A6" w:rsidRPr="00EA59C0">
        <w:t xml:space="preserve"> </w:t>
      </w:r>
      <w:r w:rsidR="00EE2FD0" w:rsidRPr="00EA59C0">
        <w:t>be</w:t>
      </w:r>
      <w:r w:rsidR="00C026A6" w:rsidRPr="00EA59C0">
        <w:t xml:space="preserve"> </w:t>
      </w:r>
      <w:r w:rsidR="00EE2FD0" w:rsidRPr="00EA59C0">
        <w:t>evaluated.</w:t>
      </w:r>
      <w:r w:rsidR="00C026A6" w:rsidRPr="00EA59C0">
        <w:t xml:space="preserve">  </w:t>
      </w:r>
      <w:r w:rsidRPr="00EA59C0">
        <w:t>An</w:t>
      </w:r>
      <w:r w:rsidR="00C026A6" w:rsidRPr="00EA59C0">
        <w:t xml:space="preserve"> </w:t>
      </w:r>
      <w:r w:rsidRPr="00EA59C0">
        <w:t>important</w:t>
      </w:r>
      <w:r w:rsidR="00C026A6" w:rsidRPr="00EA59C0">
        <w:t xml:space="preserve"> </w:t>
      </w:r>
      <w:r w:rsidRPr="00EA59C0">
        <w:t>goal</w:t>
      </w:r>
      <w:r w:rsidR="00C026A6" w:rsidRPr="00EA59C0">
        <w:t xml:space="preserve"> </w:t>
      </w:r>
      <w:r w:rsidRPr="00EA59C0">
        <w:t>of</w:t>
      </w:r>
      <w:r w:rsidR="00C026A6" w:rsidRPr="00EA59C0">
        <w:t xml:space="preserve"> </w:t>
      </w:r>
      <w:r w:rsidRPr="00EA59C0">
        <w:t>the</w:t>
      </w:r>
      <w:r w:rsidR="00C026A6" w:rsidRPr="00EA59C0">
        <w:t xml:space="preserve"> </w:t>
      </w:r>
      <w:r w:rsidR="00EE2FD0" w:rsidRPr="00EA59C0">
        <w:t>TAACCCT</w:t>
      </w:r>
      <w:r w:rsidR="00C026A6" w:rsidRPr="00EA59C0">
        <w:t xml:space="preserve"> </w:t>
      </w:r>
      <w:r w:rsidR="00EE2FD0" w:rsidRPr="00EA59C0">
        <w:t>program</w:t>
      </w:r>
      <w:r w:rsidR="00C026A6" w:rsidRPr="00EA59C0">
        <w:t xml:space="preserve"> </w:t>
      </w:r>
      <w:r w:rsidRPr="00EA59C0">
        <w:t>is</w:t>
      </w:r>
      <w:r w:rsidR="00C026A6" w:rsidRPr="00EA59C0">
        <w:t xml:space="preserve"> </w:t>
      </w:r>
      <w:r w:rsidRPr="00EA59C0">
        <w:t>to</w:t>
      </w:r>
      <w:r w:rsidR="00C026A6" w:rsidRPr="00EA59C0">
        <w:t xml:space="preserve"> </w:t>
      </w:r>
      <w:r w:rsidR="00EE2FD0" w:rsidRPr="00EA59C0">
        <w:t>build</w:t>
      </w:r>
      <w:r w:rsidR="00C026A6" w:rsidRPr="00EA59C0">
        <w:t xml:space="preserve"> </w:t>
      </w:r>
      <w:r w:rsidR="00EE2FD0" w:rsidRPr="00EA59C0">
        <w:t>knowledge</w:t>
      </w:r>
      <w:r w:rsidR="00C026A6" w:rsidRPr="00EA59C0">
        <w:t xml:space="preserve"> </w:t>
      </w:r>
      <w:r w:rsidR="00EE2FD0" w:rsidRPr="00EA59C0">
        <w:t>about</w:t>
      </w:r>
      <w:r w:rsidR="00C026A6" w:rsidRPr="00EA59C0">
        <w:t xml:space="preserve"> </w:t>
      </w:r>
      <w:r w:rsidR="00EE2FD0" w:rsidRPr="00EA59C0">
        <w:t>program</w:t>
      </w:r>
      <w:r w:rsidR="00C026A6" w:rsidRPr="00EA59C0">
        <w:t xml:space="preserve"> </w:t>
      </w:r>
      <w:r w:rsidR="00EE2FD0" w:rsidRPr="00EA59C0">
        <w:t>models</w:t>
      </w:r>
      <w:r w:rsidR="00C026A6" w:rsidRPr="00EA59C0">
        <w:t xml:space="preserve"> </w:t>
      </w:r>
      <w:r w:rsidR="00EE2FD0" w:rsidRPr="00EA59C0">
        <w:t>so</w:t>
      </w:r>
      <w:r w:rsidR="00C026A6" w:rsidRPr="00EA59C0">
        <w:t xml:space="preserve"> </w:t>
      </w:r>
      <w:r w:rsidR="00EE2FD0" w:rsidRPr="00EA59C0">
        <w:t>that,</w:t>
      </w:r>
      <w:r w:rsidR="00C026A6" w:rsidRPr="00EA59C0">
        <w:t xml:space="preserve"> </w:t>
      </w:r>
      <w:r w:rsidR="00EE2FD0" w:rsidRPr="00EA59C0">
        <w:t>in</w:t>
      </w:r>
      <w:r w:rsidR="00C026A6" w:rsidRPr="00EA59C0">
        <w:t xml:space="preserve"> </w:t>
      </w:r>
      <w:r w:rsidR="008E4315" w:rsidRPr="00EA59C0">
        <w:t>the future</w:t>
      </w:r>
      <w:r w:rsidR="00EE2FD0" w:rsidRPr="00EA59C0">
        <w:t>,</w:t>
      </w:r>
      <w:r w:rsidR="00C026A6" w:rsidRPr="00EA59C0">
        <w:t xml:space="preserve"> </w:t>
      </w:r>
      <w:r w:rsidR="00EE2FD0" w:rsidRPr="00EA59C0">
        <w:t>institutions</w:t>
      </w:r>
      <w:r w:rsidR="00C026A6" w:rsidRPr="00EA59C0">
        <w:t xml:space="preserve"> </w:t>
      </w:r>
      <w:r w:rsidR="00EE2FD0" w:rsidRPr="00EA59C0">
        <w:t>can</w:t>
      </w:r>
      <w:r w:rsidR="00C026A6" w:rsidRPr="00EA59C0">
        <w:t xml:space="preserve"> </w:t>
      </w:r>
      <w:r w:rsidR="00EE2FD0" w:rsidRPr="00EA59C0">
        <w:t>replicate</w:t>
      </w:r>
      <w:r w:rsidR="00C026A6" w:rsidRPr="00EA59C0">
        <w:t xml:space="preserve"> </w:t>
      </w:r>
      <w:r w:rsidR="00EE2FD0" w:rsidRPr="00EA59C0">
        <w:t>practices</w:t>
      </w:r>
      <w:r w:rsidR="00C026A6" w:rsidRPr="00EA59C0">
        <w:t xml:space="preserve"> </w:t>
      </w:r>
      <w:r w:rsidR="00EE2FD0" w:rsidRPr="00EA59C0">
        <w:t>that</w:t>
      </w:r>
      <w:r w:rsidR="00C026A6" w:rsidRPr="00EA59C0">
        <w:t xml:space="preserve"> </w:t>
      </w:r>
      <w:r w:rsidR="00EE2FD0" w:rsidRPr="00EA59C0">
        <w:t>are</w:t>
      </w:r>
      <w:r w:rsidR="00C026A6" w:rsidRPr="00EA59C0">
        <w:t xml:space="preserve"> </w:t>
      </w:r>
      <w:r w:rsidR="00EE2FD0" w:rsidRPr="00EA59C0">
        <w:t>effective</w:t>
      </w:r>
      <w:r w:rsidR="00C026A6" w:rsidRPr="00EA59C0">
        <w:t xml:space="preserve"> </w:t>
      </w:r>
      <w:r w:rsidR="00EE2FD0" w:rsidRPr="00EA59C0">
        <w:t>and</w:t>
      </w:r>
      <w:r w:rsidR="00C026A6" w:rsidRPr="00EA59C0">
        <w:t xml:space="preserve"> </w:t>
      </w:r>
      <w:r w:rsidR="00EE2FD0" w:rsidRPr="00EA59C0">
        <w:t>identify</w:t>
      </w:r>
      <w:r w:rsidR="00C026A6" w:rsidRPr="00EA59C0">
        <w:t xml:space="preserve"> </w:t>
      </w:r>
      <w:r w:rsidR="00EE2FD0" w:rsidRPr="00EA59C0">
        <w:t>and</w:t>
      </w:r>
      <w:r w:rsidR="00C026A6" w:rsidRPr="00EA59C0">
        <w:t xml:space="preserve"> </w:t>
      </w:r>
      <w:r w:rsidR="00EE2FD0" w:rsidRPr="00EA59C0">
        <w:t>strengthen</w:t>
      </w:r>
      <w:r w:rsidR="00C026A6" w:rsidRPr="00EA59C0">
        <w:t xml:space="preserve"> </w:t>
      </w:r>
      <w:r w:rsidR="00EE2FD0" w:rsidRPr="00EA59C0">
        <w:t>practices</w:t>
      </w:r>
      <w:r w:rsidR="00C026A6" w:rsidRPr="00EA59C0">
        <w:t xml:space="preserve"> </w:t>
      </w:r>
      <w:r w:rsidR="00EE2FD0" w:rsidRPr="00EA59C0">
        <w:t>in</w:t>
      </w:r>
      <w:r w:rsidR="00C026A6" w:rsidRPr="00EA59C0">
        <w:t xml:space="preserve"> </w:t>
      </w:r>
      <w:r w:rsidR="00EE2FD0" w:rsidRPr="00EA59C0">
        <w:t>need</w:t>
      </w:r>
      <w:r w:rsidR="00C026A6" w:rsidRPr="00EA59C0">
        <w:t xml:space="preserve"> </w:t>
      </w:r>
      <w:r w:rsidR="00EE2FD0" w:rsidRPr="00EA59C0">
        <w:t>of</w:t>
      </w:r>
      <w:r w:rsidR="00C026A6" w:rsidRPr="00EA59C0">
        <w:t xml:space="preserve"> </w:t>
      </w:r>
      <w:r w:rsidR="00EE2FD0" w:rsidRPr="00EA59C0">
        <w:t>improvement.</w:t>
      </w:r>
      <w:r w:rsidR="00C026A6" w:rsidRPr="00EA59C0">
        <w:t xml:space="preserve">  </w:t>
      </w:r>
    </w:p>
    <w:p w:rsidR="00EE2FD0" w:rsidRPr="00EA59C0" w:rsidRDefault="00EE2FD0" w:rsidP="007A73AC">
      <w:pPr>
        <w:tabs>
          <w:tab w:val="left" w:pos="540"/>
        </w:tabs>
        <w:ind w:left="1080"/>
      </w:pPr>
    </w:p>
    <w:p w:rsidR="00515500" w:rsidRPr="00EA59C0" w:rsidRDefault="00EE2FD0" w:rsidP="007A73AC">
      <w:pPr>
        <w:tabs>
          <w:tab w:val="left" w:pos="540"/>
        </w:tabs>
        <w:ind w:left="1080"/>
      </w:pPr>
      <w:r w:rsidRPr="00EA59C0">
        <w:t>As</w:t>
      </w:r>
      <w:r w:rsidR="00C026A6" w:rsidRPr="00EA59C0">
        <w:t xml:space="preserve"> </w:t>
      </w:r>
      <w:r w:rsidRPr="00EA59C0">
        <w:t>specified</w:t>
      </w:r>
      <w:r w:rsidR="00C026A6" w:rsidRPr="00EA59C0">
        <w:t xml:space="preserve"> </w:t>
      </w:r>
      <w:r w:rsidRPr="00EA59C0">
        <w:t>in</w:t>
      </w:r>
      <w:r w:rsidR="00C026A6" w:rsidRPr="00EA59C0">
        <w:t xml:space="preserve"> </w:t>
      </w:r>
      <w:r w:rsidRPr="00EA59C0">
        <w:t>Section</w:t>
      </w:r>
      <w:r w:rsidR="00C026A6" w:rsidRPr="00EA59C0">
        <w:t xml:space="preserve"> </w:t>
      </w:r>
      <w:r w:rsidR="006E2F65" w:rsidRPr="00EA59C0">
        <w:t>V</w:t>
      </w:r>
      <w:r w:rsidRPr="00EA59C0">
        <w:t>.A.2.</w:t>
      </w:r>
      <w:r w:rsidR="006E2F65" w:rsidRPr="00EA59C0">
        <w:t>a</w:t>
      </w:r>
      <w:r w:rsidRPr="00EA59C0">
        <w:t>,</w:t>
      </w:r>
      <w:r w:rsidR="00C026A6" w:rsidRPr="00EA59C0">
        <w:t xml:space="preserve"> </w:t>
      </w:r>
      <w:r w:rsidR="002A28E8" w:rsidRPr="00EA59C0">
        <w:t>all</w:t>
      </w:r>
      <w:r w:rsidR="00C026A6" w:rsidRPr="00EA59C0">
        <w:t xml:space="preserve"> </w:t>
      </w:r>
      <w:r w:rsidRPr="00EA59C0">
        <w:t>applicants</w:t>
      </w:r>
      <w:r w:rsidR="00C026A6" w:rsidRPr="00EA59C0">
        <w:t xml:space="preserve"> </w:t>
      </w:r>
      <w:r w:rsidR="002A28E8" w:rsidRPr="00EA59C0">
        <w:t>will</w:t>
      </w:r>
      <w:r w:rsidR="00C026A6" w:rsidRPr="00EA59C0">
        <w:t xml:space="preserve"> </w:t>
      </w:r>
      <w:r w:rsidRPr="00EA59C0">
        <w:t>base</w:t>
      </w:r>
      <w:r w:rsidR="00C026A6" w:rsidRPr="00EA59C0">
        <w:t xml:space="preserve"> </w:t>
      </w:r>
      <w:r w:rsidRPr="00EA59C0">
        <w:t>their</w:t>
      </w:r>
      <w:r w:rsidR="00C026A6" w:rsidRPr="00EA59C0">
        <w:t xml:space="preserve"> </w:t>
      </w:r>
      <w:r w:rsidRPr="00EA59C0">
        <w:t>program</w:t>
      </w:r>
      <w:r w:rsidR="00C026A6" w:rsidRPr="00EA59C0">
        <w:t xml:space="preserve"> </w:t>
      </w:r>
      <w:r w:rsidRPr="00EA59C0">
        <w:t>design</w:t>
      </w:r>
      <w:r w:rsidR="00C026A6" w:rsidRPr="00EA59C0">
        <w:t xml:space="preserve"> </w:t>
      </w:r>
      <w:r w:rsidRPr="00EA59C0">
        <w:t>on</w:t>
      </w:r>
      <w:r w:rsidR="00C026A6" w:rsidRPr="00EA59C0">
        <w:t xml:space="preserve"> </w:t>
      </w:r>
      <w:r w:rsidRPr="00EA59C0">
        <w:t>a</w:t>
      </w:r>
      <w:r w:rsidR="00C026A6" w:rsidRPr="00EA59C0">
        <w:t xml:space="preserve"> </w:t>
      </w:r>
      <w:r w:rsidRPr="00EA59C0">
        <w:t>level</w:t>
      </w:r>
      <w:r w:rsidR="00C026A6" w:rsidRPr="00EA59C0">
        <w:t xml:space="preserve"> </w:t>
      </w:r>
      <w:r w:rsidRPr="00EA59C0">
        <w:t>of</w:t>
      </w:r>
      <w:r w:rsidR="00C026A6" w:rsidRPr="00EA59C0">
        <w:t xml:space="preserve"> </w:t>
      </w:r>
      <w:r w:rsidRPr="00EA59C0">
        <w:t>evidence</w:t>
      </w:r>
      <w:r w:rsidR="00C026A6" w:rsidRPr="00EA59C0">
        <w:t xml:space="preserve"> </w:t>
      </w:r>
      <w:r w:rsidRPr="00EA59C0">
        <w:t>that</w:t>
      </w:r>
      <w:r w:rsidR="00C026A6" w:rsidRPr="00EA59C0">
        <w:t xml:space="preserve"> </w:t>
      </w:r>
      <w:r w:rsidRPr="00EA59C0">
        <w:t>is</w:t>
      </w:r>
      <w:r w:rsidR="00C026A6" w:rsidRPr="00EA59C0">
        <w:t xml:space="preserve"> </w:t>
      </w:r>
      <w:r w:rsidRPr="00EA59C0">
        <w:t>appropriate</w:t>
      </w:r>
      <w:r w:rsidR="00C026A6" w:rsidRPr="00EA59C0">
        <w:t xml:space="preserve"> </w:t>
      </w:r>
      <w:r w:rsidRPr="00EA59C0">
        <w:t>to</w:t>
      </w:r>
      <w:r w:rsidR="00C026A6" w:rsidRPr="00EA59C0">
        <w:t xml:space="preserve"> </w:t>
      </w:r>
      <w:r w:rsidRPr="00EA59C0">
        <w:t>the</w:t>
      </w:r>
      <w:r w:rsidR="00C026A6" w:rsidRPr="00EA59C0">
        <w:t xml:space="preserve"> </w:t>
      </w:r>
      <w:r w:rsidRPr="00EA59C0">
        <w:t>project</w:t>
      </w:r>
      <w:r w:rsidR="00C026A6" w:rsidRPr="00EA59C0">
        <w:t xml:space="preserve"> </w:t>
      </w:r>
      <w:r w:rsidRPr="00EA59C0">
        <w:t>proposed.</w:t>
      </w:r>
      <w:r w:rsidR="00C026A6" w:rsidRPr="00EA59C0">
        <w:t xml:space="preserve">  </w:t>
      </w:r>
      <w:r w:rsidR="00413FB4" w:rsidRPr="00EA59C0">
        <w:t>Applicants</w:t>
      </w:r>
      <w:r w:rsidR="00C026A6" w:rsidRPr="00EA59C0">
        <w:t xml:space="preserve"> </w:t>
      </w:r>
      <w:r w:rsidR="00413FB4" w:rsidRPr="00EA59C0">
        <w:t>will</w:t>
      </w:r>
      <w:r w:rsidR="00C026A6" w:rsidRPr="00EA59C0">
        <w:t xml:space="preserve"> </w:t>
      </w:r>
      <w:r w:rsidR="003D6E6B" w:rsidRPr="00EA59C0">
        <w:t>either</w:t>
      </w:r>
      <w:r w:rsidR="00C026A6" w:rsidRPr="00EA59C0">
        <w:t xml:space="preserve"> </w:t>
      </w:r>
      <w:r w:rsidR="00413FB4" w:rsidRPr="00EA59C0">
        <w:t>replicat</w:t>
      </w:r>
      <w:r w:rsidR="003D6E6B" w:rsidRPr="00EA59C0">
        <w:t>e</w:t>
      </w:r>
      <w:r w:rsidR="00C026A6" w:rsidRPr="00EA59C0">
        <w:t xml:space="preserve"> </w:t>
      </w:r>
      <w:r w:rsidR="00515500" w:rsidRPr="00EA59C0">
        <w:t>or</w:t>
      </w:r>
      <w:r w:rsidR="00C026A6" w:rsidRPr="00EA59C0">
        <w:t xml:space="preserve"> </w:t>
      </w:r>
      <w:r w:rsidR="00515500" w:rsidRPr="00EA59C0">
        <w:t>adapt</w:t>
      </w:r>
      <w:r w:rsidR="00C026A6" w:rsidRPr="00EA59C0">
        <w:t xml:space="preserve"> </w:t>
      </w:r>
      <w:r w:rsidR="00413FB4" w:rsidRPr="00EA59C0">
        <w:t>existing</w:t>
      </w:r>
      <w:r w:rsidR="003D6E6B" w:rsidRPr="00EA59C0">
        <w:t>,</w:t>
      </w:r>
      <w:r w:rsidR="00C026A6" w:rsidRPr="00EA59C0">
        <w:t xml:space="preserve"> </w:t>
      </w:r>
      <w:r w:rsidR="00515500" w:rsidRPr="00EA59C0">
        <w:t>evidence-based</w:t>
      </w:r>
      <w:r w:rsidR="00C026A6" w:rsidRPr="00EA59C0">
        <w:t xml:space="preserve"> </w:t>
      </w:r>
      <w:r w:rsidR="00413FB4" w:rsidRPr="00EA59C0">
        <w:t>strategies</w:t>
      </w:r>
      <w:r w:rsidR="00C026A6" w:rsidRPr="00EA59C0">
        <w:t xml:space="preserve"> </w:t>
      </w:r>
      <w:r w:rsidR="00413FB4" w:rsidRPr="00EA59C0">
        <w:t>or</w:t>
      </w:r>
      <w:r w:rsidR="00C026A6" w:rsidRPr="00EA59C0">
        <w:t xml:space="preserve"> </w:t>
      </w:r>
      <w:r w:rsidR="00413FB4" w:rsidRPr="00EA59C0">
        <w:t>develop</w:t>
      </w:r>
      <w:r w:rsidR="00C026A6" w:rsidRPr="00EA59C0">
        <w:t xml:space="preserve"> </w:t>
      </w:r>
      <w:r w:rsidR="00413FB4" w:rsidRPr="00EA59C0">
        <w:t>new,</w:t>
      </w:r>
      <w:r w:rsidR="00C026A6" w:rsidRPr="00EA59C0">
        <w:t xml:space="preserve"> </w:t>
      </w:r>
      <w:r w:rsidR="00413FB4" w:rsidRPr="00EA59C0">
        <w:t>untested</w:t>
      </w:r>
      <w:r w:rsidR="00C026A6" w:rsidRPr="00EA59C0">
        <w:t xml:space="preserve"> </w:t>
      </w:r>
      <w:r w:rsidR="00413FB4" w:rsidRPr="00EA59C0">
        <w:t>strategies.</w:t>
      </w:r>
      <w:r w:rsidR="00C026A6" w:rsidRPr="00EA59C0">
        <w:t xml:space="preserve">  </w:t>
      </w:r>
      <w:r w:rsidR="00515500" w:rsidRPr="00EA59C0">
        <w:t>Applicants</w:t>
      </w:r>
      <w:r w:rsidR="00C026A6" w:rsidRPr="00EA59C0">
        <w:t xml:space="preserve"> </w:t>
      </w:r>
      <w:r w:rsidR="00515500" w:rsidRPr="00EA59C0">
        <w:t>who</w:t>
      </w:r>
      <w:r w:rsidR="00C026A6" w:rsidRPr="00EA59C0">
        <w:t xml:space="preserve"> </w:t>
      </w:r>
      <w:r w:rsidR="00515500" w:rsidRPr="00EA59C0">
        <w:t>propose</w:t>
      </w:r>
      <w:r w:rsidR="00C026A6" w:rsidRPr="00EA59C0">
        <w:t xml:space="preserve"> </w:t>
      </w:r>
      <w:r w:rsidR="00515500" w:rsidRPr="00EA59C0">
        <w:t>to</w:t>
      </w:r>
      <w:r w:rsidR="00C026A6" w:rsidRPr="00EA59C0">
        <w:t xml:space="preserve"> </w:t>
      </w:r>
      <w:r w:rsidR="00515500" w:rsidRPr="00EA59C0">
        <w:t>replicate</w:t>
      </w:r>
      <w:r w:rsidR="00C026A6" w:rsidRPr="00EA59C0">
        <w:t xml:space="preserve"> </w:t>
      </w:r>
      <w:r w:rsidR="00515500" w:rsidRPr="00EA59C0">
        <w:t>or</w:t>
      </w:r>
      <w:r w:rsidR="00C026A6" w:rsidRPr="00EA59C0">
        <w:t xml:space="preserve"> </w:t>
      </w:r>
      <w:r w:rsidR="00515500" w:rsidRPr="00EA59C0">
        <w:t>adapt</w:t>
      </w:r>
      <w:r w:rsidR="00C026A6" w:rsidRPr="00EA59C0">
        <w:t xml:space="preserve"> </w:t>
      </w:r>
      <w:r w:rsidR="00515500" w:rsidRPr="00EA59C0">
        <w:t>existing,</w:t>
      </w:r>
      <w:r w:rsidR="00C026A6" w:rsidRPr="00EA59C0">
        <w:t xml:space="preserve"> </w:t>
      </w:r>
      <w:r w:rsidR="00515500" w:rsidRPr="00EA59C0">
        <w:t>evidence-based</w:t>
      </w:r>
      <w:r w:rsidR="00C026A6" w:rsidRPr="00EA59C0">
        <w:t xml:space="preserve"> </w:t>
      </w:r>
      <w:r w:rsidR="00515500" w:rsidRPr="00EA59C0">
        <w:t>strategies</w:t>
      </w:r>
      <w:r w:rsidR="00C026A6" w:rsidRPr="00EA59C0">
        <w:t xml:space="preserve"> </w:t>
      </w:r>
      <w:r w:rsidR="00515500" w:rsidRPr="00EA59C0">
        <w:t>should</w:t>
      </w:r>
      <w:r w:rsidR="00C026A6" w:rsidRPr="00EA59C0">
        <w:t xml:space="preserve"> </w:t>
      </w:r>
      <w:r w:rsidR="00515500" w:rsidRPr="00EA59C0">
        <w:t>cite</w:t>
      </w:r>
      <w:r w:rsidR="00C026A6" w:rsidRPr="00EA59C0">
        <w:t xml:space="preserve"> </w:t>
      </w:r>
      <w:r w:rsidR="00515500" w:rsidRPr="00EA59C0">
        <w:t>strong</w:t>
      </w:r>
      <w:r w:rsidR="00C026A6" w:rsidRPr="00EA59C0">
        <w:t xml:space="preserve"> </w:t>
      </w:r>
      <w:r w:rsidR="00515500" w:rsidRPr="00EA59C0">
        <w:t>or</w:t>
      </w:r>
      <w:r w:rsidR="00C026A6" w:rsidRPr="00EA59C0">
        <w:t xml:space="preserve"> </w:t>
      </w:r>
      <w:r w:rsidR="00515500" w:rsidRPr="00EA59C0">
        <w:t>moderate</w:t>
      </w:r>
      <w:r w:rsidR="00C026A6" w:rsidRPr="00EA59C0">
        <w:t xml:space="preserve"> </w:t>
      </w:r>
      <w:r w:rsidR="00515500" w:rsidRPr="00EA59C0">
        <w:t>evidence</w:t>
      </w:r>
      <w:r w:rsidR="00C026A6" w:rsidRPr="00EA59C0">
        <w:t xml:space="preserve"> </w:t>
      </w:r>
      <w:r w:rsidR="00515500" w:rsidRPr="00EA59C0">
        <w:t>of</w:t>
      </w:r>
      <w:r w:rsidR="00C026A6" w:rsidRPr="00EA59C0">
        <w:t xml:space="preserve"> </w:t>
      </w:r>
      <w:r w:rsidR="00515500" w:rsidRPr="00EA59C0">
        <w:t>effectiveness</w:t>
      </w:r>
      <w:r w:rsidR="00C026A6" w:rsidRPr="00EA59C0">
        <w:t xml:space="preserve"> </w:t>
      </w:r>
      <w:r w:rsidR="00515500" w:rsidRPr="00EA59C0">
        <w:t>from</w:t>
      </w:r>
      <w:r w:rsidR="00C026A6" w:rsidRPr="00EA59C0">
        <w:t xml:space="preserve"> </w:t>
      </w:r>
      <w:r w:rsidR="00515500" w:rsidRPr="00EA59C0">
        <w:t>prior</w:t>
      </w:r>
      <w:r w:rsidR="00C026A6" w:rsidRPr="00EA59C0">
        <w:t xml:space="preserve"> </w:t>
      </w:r>
      <w:r w:rsidR="00515500" w:rsidRPr="00EA59C0">
        <w:t>research</w:t>
      </w:r>
      <w:r w:rsidR="00C026A6" w:rsidRPr="00EA59C0">
        <w:t xml:space="preserve"> </w:t>
      </w:r>
      <w:r w:rsidR="00515500" w:rsidRPr="00EA59C0">
        <w:t>to</w:t>
      </w:r>
      <w:r w:rsidR="00C026A6" w:rsidRPr="00EA59C0">
        <w:t xml:space="preserve"> </w:t>
      </w:r>
      <w:r w:rsidR="00515500" w:rsidRPr="00EA59C0">
        <w:t>support</w:t>
      </w:r>
      <w:r w:rsidR="00C026A6" w:rsidRPr="00EA59C0">
        <w:t xml:space="preserve"> </w:t>
      </w:r>
      <w:r w:rsidR="00515500" w:rsidRPr="00EA59C0">
        <w:t>the</w:t>
      </w:r>
      <w:r w:rsidR="00C026A6" w:rsidRPr="00EA59C0">
        <w:t xml:space="preserve"> </w:t>
      </w:r>
      <w:r w:rsidR="00515500" w:rsidRPr="00EA59C0">
        <w:t>proposed</w:t>
      </w:r>
      <w:r w:rsidR="00C026A6" w:rsidRPr="00EA59C0">
        <w:t xml:space="preserve"> </w:t>
      </w:r>
      <w:r w:rsidR="00515500" w:rsidRPr="00EA59C0">
        <w:t>project</w:t>
      </w:r>
      <w:r w:rsidR="00C026A6" w:rsidRPr="00EA59C0">
        <w:t xml:space="preserve"> </w:t>
      </w:r>
      <w:r w:rsidR="00515500" w:rsidRPr="00EA59C0">
        <w:t>design.</w:t>
      </w:r>
      <w:r w:rsidR="00C026A6" w:rsidRPr="00EA59C0">
        <w:t xml:space="preserve">  </w:t>
      </w:r>
      <w:r w:rsidR="00515500" w:rsidRPr="00EA59C0">
        <w:t>For</w:t>
      </w:r>
      <w:r w:rsidR="00C026A6" w:rsidRPr="00EA59C0">
        <w:t xml:space="preserve"> </w:t>
      </w:r>
      <w:r w:rsidR="00515500" w:rsidRPr="00EA59C0">
        <w:t>any</w:t>
      </w:r>
      <w:r w:rsidR="00C026A6" w:rsidRPr="00EA59C0">
        <w:t xml:space="preserve"> </w:t>
      </w:r>
      <w:r w:rsidR="00515500" w:rsidRPr="00EA59C0">
        <w:t>adaptation</w:t>
      </w:r>
      <w:r w:rsidR="00C026A6" w:rsidRPr="00EA59C0">
        <w:t xml:space="preserve"> </w:t>
      </w:r>
      <w:r w:rsidR="00515500" w:rsidRPr="00EA59C0">
        <w:t>of</w:t>
      </w:r>
      <w:r w:rsidR="00C026A6" w:rsidRPr="00EA59C0">
        <w:t xml:space="preserve"> </w:t>
      </w:r>
      <w:r w:rsidR="00515500" w:rsidRPr="00EA59C0">
        <w:t>existing,</w:t>
      </w:r>
      <w:r w:rsidR="00C026A6" w:rsidRPr="00EA59C0">
        <w:t xml:space="preserve"> </w:t>
      </w:r>
      <w:r w:rsidR="00515500" w:rsidRPr="00EA59C0">
        <w:t>evidence-based</w:t>
      </w:r>
      <w:r w:rsidR="00C026A6" w:rsidRPr="00EA59C0">
        <w:t xml:space="preserve"> </w:t>
      </w:r>
      <w:r w:rsidR="00515500" w:rsidRPr="00EA59C0">
        <w:t>strategies,</w:t>
      </w:r>
      <w:r w:rsidR="00C026A6" w:rsidRPr="00EA59C0">
        <w:t xml:space="preserve"> </w:t>
      </w:r>
      <w:r w:rsidR="00515500" w:rsidRPr="00EA59C0">
        <w:t>the</w:t>
      </w:r>
      <w:r w:rsidR="00C026A6" w:rsidRPr="00EA59C0">
        <w:t xml:space="preserve"> </w:t>
      </w:r>
      <w:r w:rsidR="00515500" w:rsidRPr="00EA59C0">
        <w:t>applicant</w:t>
      </w:r>
      <w:r w:rsidR="00C026A6" w:rsidRPr="00EA59C0">
        <w:t xml:space="preserve"> </w:t>
      </w:r>
      <w:r w:rsidR="00515500" w:rsidRPr="00EA59C0">
        <w:t>would</w:t>
      </w:r>
      <w:r w:rsidR="00C026A6" w:rsidRPr="00EA59C0">
        <w:t xml:space="preserve"> </w:t>
      </w:r>
      <w:r w:rsidR="00515500" w:rsidRPr="00EA59C0">
        <w:t>need</w:t>
      </w:r>
      <w:r w:rsidR="00C026A6" w:rsidRPr="00EA59C0">
        <w:t xml:space="preserve"> </w:t>
      </w:r>
      <w:r w:rsidR="00515500" w:rsidRPr="00EA59C0">
        <w:t>to</w:t>
      </w:r>
      <w:r w:rsidR="00C026A6" w:rsidRPr="00EA59C0">
        <w:t xml:space="preserve"> </w:t>
      </w:r>
      <w:r w:rsidR="00515500" w:rsidRPr="00EA59C0">
        <w:t>fully</w:t>
      </w:r>
      <w:r w:rsidR="00C026A6" w:rsidRPr="00EA59C0">
        <w:t xml:space="preserve"> </w:t>
      </w:r>
      <w:r w:rsidR="00515500" w:rsidRPr="00EA59C0">
        <w:t>explain</w:t>
      </w:r>
      <w:r w:rsidR="00C026A6" w:rsidRPr="00EA59C0">
        <w:t xml:space="preserve"> </w:t>
      </w:r>
      <w:r w:rsidR="00515500" w:rsidRPr="00EA59C0">
        <w:t>how</w:t>
      </w:r>
      <w:r w:rsidR="00C026A6" w:rsidRPr="00EA59C0">
        <w:t xml:space="preserve"> </w:t>
      </w:r>
      <w:r w:rsidR="00515500" w:rsidRPr="00EA59C0">
        <w:t>the</w:t>
      </w:r>
      <w:r w:rsidR="00C026A6" w:rsidRPr="00EA59C0">
        <w:t xml:space="preserve"> </w:t>
      </w:r>
      <w:r w:rsidR="00515500" w:rsidRPr="00EA59C0">
        <w:t>cited</w:t>
      </w:r>
      <w:r w:rsidR="00C026A6" w:rsidRPr="00EA59C0">
        <w:t xml:space="preserve"> </w:t>
      </w:r>
      <w:r w:rsidR="00515500" w:rsidRPr="00EA59C0">
        <w:t>study</w:t>
      </w:r>
      <w:r w:rsidR="00C026A6" w:rsidRPr="00EA59C0">
        <w:t xml:space="preserve"> </w:t>
      </w:r>
      <w:r w:rsidR="00515500" w:rsidRPr="00EA59C0">
        <w:t>will</w:t>
      </w:r>
      <w:r w:rsidR="00C026A6" w:rsidRPr="00EA59C0">
        <w:t xml:space="preserve"> </w:t>
      </w:r>
      <w:r w:rsidR="00515500" w:rsidRPr="00EA59C0">
        <w:t>support</w:t>
      </w:r>
      <w:r w:rsidR="00C026A6" w:rsidRPr="00EA59C0">
        <w:t xml:space="preserve"> </w:t>
      </w:r>
      <w:r w:rsidR="00515500" w:rsidRPr="00EA59C0">
        <w:t>their</w:t>
      </w:r>
      <w:r w:rsidR="00C026A6" w:rsidRPr="00EA59C0">
        <w:t xml:space="preserve"> </w:t>
      </w:r>
      <w:r w:rsidR="00515500" w:rsidRPr="00EA59C0">
        <w:t>proposed</w:t>
      </w:r>
      <w:r w:rsidR="00C026A6" w:rsidRPr="00EA59C0">
        <w:t xml:space="preserve"> </w:t>
      </w:r>
      <w:r w:rsidR="00515500" w:rsidRPr="00EA59C0">
        <w:t>intervention.</w:t>
      </w:r>
      <w:r w:rsidR="00C026A6" w:rsidRPr="00EA59C0">
        <w:t xml:space="preserve">  </w:t>
      </w:r>
      <w:r w:rsidR="00515500" w:rsidRPr="00EA59C0">
        <w:t>Alternatively,</w:t>
      </w:r>
      <w:r w:rsidR="00C026A6" w:rsidRPr="00EA59C0">
        <w:t xml:space="preserve"> </w:t>
      </w:r>
      <w:r w:rsidR="00515500" w:rsidRPr="00EA59C0">
        <w:t>applicants</w:t>
      </w:r>
      <w:r w:rsidR="00C026A6" w:rsidRPr="00EA59C0">
        <w:t xml:space="preserve"> </w:t>
      </w:r>
      <w:r w:rsidR="00515500" w:rsidRPr="00EA59C0">
        <w:t>who</w:t>
      </w:r>
      <w:r w:rsidR="00C026A6" w:rsidRPr="00EA59C0">
        <w:t xml:space="preserve"> </w:t>
      </w:r>
      <w:r w:rsidR="00515500" w:rsidRPr="00EA59C0">
        <w:t>propose</w:t>
      </w:r>
      <w:r w:rsidR="00C026A6" w:rsidRPr="00EA59C0">
        <w:t xml:space="preserve"> </w:t>
      </w:r>
      <w:r w:rsidR="00515500" w:rsidRPr="00EA59C0">
        <w:t>to</w:t>
      </w:r>
      <w:r w:rsidR="00C026A6" w:rsidRPr="00EA59C0">
        <w:t xml:space="preserve"> </w:t>
      </w:r>
      <w:r w:rsidR="00515500" w:rsidRPr="00EA59C0">
        <w:t>develop</w:t>
      </w:r>
      <w:r w:rsidR="00C026A6" w:rsidRPr="00EA59C0">
        <w:t xml:space="preserve"> </w:t>
      </w:r>
      <w:r w:rsidR="00515500" w:rsidRPr="00EA59C0">
        <w:t>new,</w:t>
      </w:r>
      <w:r w:rsidR="00C026A6" w:rsidRPr="00EA59C0">
        <w:t xml:space="preserve"> </w:t>
      </w:r>
      <w:r w:rsidR="00515500" w:rsidRPr="00EA59C0">
        <w:t>untested</w:t>
      </w:r>
      <w:r w:rsidR="00C026A6" w:rsidRPr="00EA59C0">
        <w:t xml:space="preserve"> </w:t>
      </w:r>
      <w:r w:rsidR="00515500" w:rsidRPr="00EA59C0">
        <w:t>strategies</w:t>
      </w:r>
      <w:r w:rsidR="00C026A6" w:rsidRPr="00EA59C0">
        <w:t xml:space="preserve"> </w:t>
      </w:r>
      <w:r w:rsidR="00515500" w:rsidRPr="00EA59C0">
        <w:t>should</w:t>
      </w:r>
      <w:r w:rsidR="00C026A6" w:rsidRPr="00EA59C0">
        <w:t xml:space="preserve"> </w:t>
      </w:r>
      <w:r w:rsidR="00B01F81" w:rsidRPr="00EA59C0">
        <w:t>cite</w:t>
      </w:r>
      <w:r w:rsidR="00C026A6" w:rsidRPr="00EA59C0">
        <w:t xml:space="preserve"> </w:t>
      </w:r>
      <w:r w:rsidR="00515500" w:rsidRPr="00EA59C0">
        <w:t>preliminary</w:t>
      </w:r>
      <w:r w:rsidR="00C026A6" w:rsidRPr="00EA59C0">
        <w:t xml:space="preserve"> </w:t>
      </w:r>
      <w:r w:rsidR="00515500" w:rsidRPr="00EA59C0">
        <w:t>research</w:t>
      </w:r>
      <w:r w:rsidR="00C026A6" w:rsidRPr="00EA59C0">
        <w:t xml:space="preserve"> </w:t>
      </w:r>
      <w:r w:rsidR="00515500" w:rsidRPr="00EA59C0">
        <w:t>findings,</w:t>
      </w:r>
      <w:r w:rsidR="00C026A6" w:rsidRPr="00EA59C0">
        <w:t xml:space="preserve"> </w:t>
      </w:r>
      <w:r w:rsidR="00515500" w:rsidRPr="00EA59C0">
        <w:t>related</w:t>
      </w:r>
      <w:r w:rsidR="00C026A6" w:rsidRPr="00EA59C0">
        <w:t xml:space="preserve"> </w:t>
      </w:r>
      <w:r w:rsidR="00515500" w:rsidRPr="00EA59C0">
        <w:t>research</w:t>
      </w:r>
      <w:r w:rsidR="00C026A6" w:rsidRPr="00EA59C0">
        <w:t xml:space="preserve"> </w:t>
      </w:r>
      <w:r w:rsidR="00515500" w:rsidRPr="00EA59C0">
        <w:t>findings,</w:t>
      </w:r>
      <w:r w:rsidR="00C026A6" w:rsidRPr="00EA59C0">
        <w:t xml:space="preserve"> </w:t>
      </w:r>
      <w:r w:rsidR="00515500" w:rsidRPr="00EA59C0">
        <w:t>and/or</w:t>
      </w:r>
      <w:r w:rsidR="00C026A6" w:rsidRPr="00EA59C0">
        <w:t xml:space="preserve"> </w:t>
      </w:r>
      <w:r w:rsidR="00515500" w:rsidRPr="00EA59C0">
        <w:t>strong</w:t>
      </w:r>
      <w:r w:rsidR="00C026A6" w:rsidRPr="00EA59C0">
        <w:t xml:space="preserve"> </w:t>
      </w:r>
      <w:r w:rsidR="00515500" w:rsidRPr="00EA59C0">
        <w:t>theory</w:t>
      </w:r>
      <w:r w:rsidR="00C026A6" w:rsidRPr="00EA59C0">
        <w:t xml:space="preserve"> </w:t>
      </w:r>
      <w:r w:rsidR="00515500" w:rsidRPr="00EA59C0">
        <w:t>to</w:t>
      </w:r>
      <w:r w:rsidR="00C026A6" w:rsidRPr="00EA59C0">
        <w:t xml:space="preserve"> </w:t>
      </w:r>
      <w:r w:rsidR="00515500" w:rsidRPr="00EA59C0">
        <w:t>support</w:t>
      </w:r>
      <w:r w:rsidR="00C026A6" w:rsidRPr="00EA59C0">
        <w:t xml:space="preserve"> </w:t>
      </w:r>
      <w:r w:rsidR="00515500" w:rsidRPr="00EA59C0">
        <w:t>the</w:t>
      </w:r>
      <w:r w:rsidR="00C026A6" w:rsidRPr="00EA59C0">
        <w:t xml:space="preserve"> </w:t>
      </w:r>
      <w:r w:rsidR="00515500" w:rsidRPr="00EA59C0">
        <w:t>design</w:t>
      </w:r>
      <w:r w:rsidR="00C026A6" w:rsidRPr="00EA59C0">
        <w:t xml:space="preserve"> </w:t>
      </w:r>
      <w:r w:rsidR="00515500" w:rsidRPr="00EA59C0">
        <w:t>of</w:t>
      </w:r>
      <w:r w:rsidR="00C026A6" w:rsidRPr="00EA59C0">
        <w:t xml:space="preserve"> </w:t>
      </w:r>
      <w:r w:rsidR="00515500" w:rsidRPr="00EA59C0">
        <w:t>the</w:t>
      </w:r>
      <w:r w:rsidR="00C026A6" w:rsidRPr="00EA59C0">
        <w:t xml:space="preserve"> </w:t>
      </w:r>
      <w:r w:rsidR="00515500" w:rsidRPr="00EA59C0">
        <w:t>project.</w:t>
      </w:r>
      <w:r w:rsidR="00C026A6" w:rsidRPr="00EA59C0">
        <w:t xml:space="preserve">  </w:t>
      </w:r>
    </w:p>
    <w:p w:rsidR="00515500" w:rsidRPr="00EA59C0" w:rsidRDefault="00515500" w:rsidP="007A73AC">
      <w:pPr>
        <w:tabs>
          <w:tab w:val="left" w:pos="540"/>
        </w:tabs>
        <w:ind w:left="1080"/>
      </w:pPr>
    </w:p>
    <w:p w:rsidR="00515500" w:rsidRPr="00EA59C0" w:rsidRDefault="00515500" w:rsidP="007A73AC">
      <w:pPr>
        <w:tabs>
          <w:tab w:val="left" w:pos="540"/>
        </w:tabs>
        <w:ind w:left="1080"/>
      </w:pPr>
      <w:r w:rsidRPr="00EA59C0">
        <w:t>Refer</w:t>
      </w:r>
      <w:r w:rsidR="00C026A6" w:rsidRPr="00EA59C0">
        <w:t xml:space="preserve"> </w:t>
      </w:r>
      <w:r w:rsidRPr="00EA59C0">
        <w:t>to</w:t>
      </w:r>
      <w:r w:rsidR="00C026A6" w:rsidRPr="00EA59C0">
        <w:t xml:space="preserve"> </w:t>
      </w:r>
      <w:r w:rsidRPr="00EA59C0">
        <w:t>the</w:t>
      </w:r>
      <w:r w:rsidR="00C026A6" w:rsidRPr="00EA59C0">
        <w:t xml:space="preserve"> </w:t>
      </w:r>
      <w:r w:rsidRPr="00EA59C0">
        <w:t>Strength</w:t>
      </w:r>
      <w:r w:rsidR="00C026A6" w:rsidRPr="00EA59C0">
        <w:t xml:space="preserve"> </w:t>
      </w:r>
      <w:r w:rsidRPr="00EA59C0">
        <w:t>of</w:t>
      </w:r>
      <w:r w:rsidR="00C026A6" w:rsidRPr="00EA59C0">
        <w:t xml:space="preserve"> </w:t>
      </w:r>
      <w:r w:rsidRPr="00EA59C0">
        <w:t>Evidence</w:t>
      </w:r>
      <w:r w:rsidR="00C026A6" w:rsidRPr="00EA59C0">
        <w:t xml:space="preserve"> </w:t>
      </w:r>
      <w:r w:rsidRPr="00EA59C0">
        <w:t>Definitions</w:t>
      </w:r>
      <w:r w:rsidR="00C026A6" w:rsidRPr="00EA59C0">
        <w:t xml:space="preserve"> </w:t>
      </w:r>
      <w:r w:rsidRPr="00EA59C0">
        <w:t>in</w:t>
      </w:r>
      <w:r w:rsidR="00C026A6" w:rsidRPr="00EA59C0">
        <w:t xml:space="preserve"> </w:t>
      </w:r>
      <w:r w:rsidRPr="00EA59C0">
        <w:t>Appendix</w:t>
      </w:r>
      <w:r w:rsidR="00C026A6" w:rsidRPr="00EA59C0">
        <w:t xml:space="preserve"> </w:t>
      </w:r>
      <w:r w:rsidR="002E3D1D" w:rsidRPr="00EA59C0">
        <w:t>B</w:t>
      </w:r>
      <w:r w:rsidR="00C026A6" w:rsidRPr="00EA59C0">
        <w:t xml:space="preserve"> </w:t>
      </w:r>
      <w:r w:rsidRPr="00EA59C0">
        <w:t>for</w:t>
      </w:r>
      <w:r w:rsidR="00C026A6" w:rsidRPr="00EA59C0">
        <w:t xml:space="preserve"> </w:t>
      </w:r>
      <w:r w:rsidRPr="00EA59C0">
        <w:t>more</w:t>
      </w:r>
      <w:r w:rsidR="00C026A6" w:rsidRPr="00EA59C0">
        <w:t xml:space="preserve"> </w:t>
      </w:r>
      <w:r w:rsidRPr="00EA59C0">
        <w:t>information</w:t>
      </w:r>
      <w:r w:rsidR="00C026A6" w:rsidRPr="00EA59C0">
        <w:t xml:space="preserve"> </w:t>
      </w:r>
      <w:r w:rsidRPr="00EA59C0">
        <w:t>about</w:t>
      </w:r>
      <w:r w:rsidR="00C026A6" w:rsidRPr="00EA59C0">
        <w:t xml:space="preserve"> </w:t>
      </w:r>
      <w:r w:rsidRPr="00EA59C0">
        <w:t>the</w:t>
      </w:r>
      <w:r w:rsidR="00C026A6" w:rsidRPr="00EA59C0">
        <w:t xml:space="preserve"> </w:t>
      </w:r>
      <w:r w:rsidRPr="00EA59C0">
        <w:t>levels</w:t>
      </w:r>
      <w:r w:rsidR="00C026A6" w:rsidRPr="00EA59C0">
        <w:t xml:space="preserve"> </w:t>
      </w:r>
      <w:r w:rsidRPr="00EA59C0">
        <w:t>of</w:t>
      </w:r>
      <w:r w:rsidR="00C026A6" w:rsidRPr="00EA59C0">
        <w:t xml:space="preserve"> </w:t>
      </w:r>
      <w:r w:rsidRPr="00EA59C0">
        <w:t>evidence.</w:t>
      </w:r>
    </w:p>
    <w:p w:rsidR="00515500" w:rsidRPr="00EA59C0" w:rsidRDefault="00515500" w:rsidP="007A73AC">
      <w:pPr>
        <w:ind w:left="720"/>
      </w:pPr>
    </w:p>
    <w:p w:rsidR="00472029" w:rsidRPr="00EA59C0" w:rsidRDefault="006E2F65" w:rsidP="005A5AC2">
      <w:pPr>
        <w:pStyle w:val="Heading1"/>
        <w:numPr>
          <w:ilvl w:val="2"/>
          <w:numId w:val="17"/>
        </w:numPr>
      </w:pPr>
      <w:r w:rsidRPr="00EA59C0">
        <w:t>Co</w:t>
      </w:r>
      <w:r w:rsidR="00472029" w:rsidRPr="00EA59C0">
        <w:t>re</w:t>
      </w:r>
      <w:r w:rsidR="00C026A6" w:rsidRPr="00EA59C0">
        <w:t xml:space="preserve"> </w:t>
      </w:r>
      <w:r w:rsidR="00472029" w:rsidRPr="00EA59C0">
        <w:t>Element</w:t>
      </w:r>
      <w:r w:rsidR="00C026A6" w:rsidRPr="00EA59C0">
        <w:t xml:space="preserve"> </w:t>
      </w:r>
      <w:r w:rsidR="00472029" w:rsidRPr="00EA59C0">
        <w:t>2:</w:t>
      </w:r>
      <w:r w:rsidR="00C026A6" w:rsidRPr="00EA59C0">
        <w:t xml:space="preserve"> </w:t>
      </w:r>
      <w:r w:rsidR="00C216D0" w:rsidRPr="00EA59C0">
        <w:t>Career</w:t>
      </w:r>
      <w:r w:rsidR="00C026A6" w:rsidRPr="00EA59C0">
        <w:t xml:space="preserve"> </w:t>
      </w:r>
      <w:r w:rsidR="00C216D0" w:rsidRPr="00EA59C0">
        <w:t>Pathways</w:t>
      </w:r>
      <w:r w:rsidR="00C026A6" w:rsidRPr="00EA59C0">
        <w:t xml:space="preserve"> </w:t>
      </w:r>
    </w:p>
    <w:p w:rsidR="00373322" w:rsidRPr="00EA59C0" w:rsidRDefault="002E1C76" w:rsidP="00373322">
      <w:pPr>
        <w:pStyle w:val="ListParagraph"/>
        <w:ind w:left="1080"/>
      </w:pPr>
      <w:r w:rsidRPr="00EA59C0">
        <w:t>The</w:t>
      </w:r>
      <w:r w:rsidR="00C026A6" w:rsidRPr="00EA59C0">
        <w:t xml:space="preserve"> </w:t>
      </w:r>
      <w:r w:rsidRPr="00EA59C0">
        <w:t>Department</w:t>
      </w:r>
      <w:r w:rsidR="00C026A6" w:rsidRPr="00EA59C0">
        <w:t xml:space="preserve"> </w:t>
      </w:r>
      <w:r w:rsidRPr="00EA59C0">
        <w:t>is</w:t>
      </w:r>
      <w:r w:rsidR="00C026A6" w:rsidRPr="00EA59C0">
        <w:t xml:space="preserve"> </w:t>
      </w:r>
      <w:r w:rsidRPr="00EA59C0">
        <w:t>interested</w:t>
      </w:r>
      <w:r w:rsidR="00C026A6" w:rsidRPr="00EA59C0">
        <w:t xml:space="preserve"> </w:t>
      </w:r>
      <w:r w:rsidRPr="00EA59C0">
        <w:t>in</w:t>
      </w:r>
      <w:r w:rsidR="00C026A6" w:rsidRPr="00EA59C0">
        <w:t xml:space="preserve"> </w:t>
      </w:r>
      <w:r w:rsidR="00395208" w:rsidRPr="00EA59C0">
        <w:t>assisting</w:t>
      </w:r>
      <w:r w:rsidR="00C026A6" w:rsidRPr="00EA59C0">
        <w:t xml:space="preserve"> </w:t>
      </w:r>
      <w:r w:rsidR="004D4134" w:rsidRPr="00EA59C0">
        <w:t>TAA-eligible</w:t>
      </w:r>
      <w:r w:rsidR="00C026A6" w:rsidRPr="00EA59C0">
        <w:t xml:space="preserve"> </w:t>
      </w:r>
      <w:r w:rsidR="004D4134" w:rsidRPr="00EA59C0">
        <w:t>and</w:t>
      </w:r>
      <w:r w:rsidR="00C026A6" w:rsidRPr="00EA59C0">
        <w:t xml:space="preserve"> </w:t>
      </w:r>
      <w:r w:rsidR="004D4134" w:rsidRPr="00EA59C0">
        <w:t>other</w:t>
      </w:r>
      <w:r w:rsidR="00C026A6" w:rsidRPr="00EA59C0">
        <w:t xml:space="preserve"> </w:t>
      </w:r>
      <w:r w:rsidRPr="00EA59C0">
        <w:t>unemployed</w:t>
      </w:r>
      <w:r w:rsidR="00C026A6" w:rsidRPr="00EA59C0">
        <w:t xml:space="preserve"> </w:t>
      </w:r>
      <w:r w:rsidRPr="00EA59C0">
        <w:t>adult</w:t>
      </w:r>
      <w:r w:rsidR="00C026A6" w:rsidRPr="00EA59C0">
        <w:t xml:space="preserve"> </w:t>
      </w:r>
      <w:r w:rsidRPr="00EA59C0">
        <w:t>workers</w:t>
      </w:r>
      <w:r w:rsidR="00C026A6" w:rsidRPr="00EA59C0">
        <w:t xml:space="preserve"> </w:t>
      </w:r>
      <w:r w:rsidR="00395208" w:rsidRPr="00EA59C0">
        <w:t>in</w:t>
      </w:r>
      <w:r w:rsidR="00C026A6" w:rsidRPr="00EA59C0">
        <w:t xml:space="preserve"> </w:t>
      </w:r>
      <w:r w:rsidR="00395208" w:rsidRPr="00EA59C0">
        <w:t>their</w:t>
      </w:r>
      <w:r w:rsidR="00C026A6" w:rsidRPr="00EA59C0">
        <w:t xml:space="preserve"> </w:t>
      </w:r>
      <w:r w:rsidRPr="00EA59C0">
        <w:t>transition</w:t>
      </w:r>
      <w:r w:rsidR="00C026A6" w:rsidRPr="00EA59C0">
        <w:t xml:space="preserve"> </w:t>
      </w:r>
      <w:r w:rsidRPr="00EA59C0">
        <w:t>from</w:t>
      </w:r>
      <w:r w:rsidR="00C026A6" w:rsidRPr="00EA59C0">
        <w:t xml:space="preserve"> </w:t>
      </w:r>
      <w:r w:rsidRPr="00EA59C0">
        <w:t>education</w:t>
      </w:r>
      <w:r w:rsidR="00C026A6" w:rsidRPr="00EA59C0">
        <w:t xml:space="preserve"> </w:t>
      </w:r>
      <w:r w:rsidRPr="00EA59C0">
        <w:t>into</w:t>
      </w:r>
      <w:r w:rsidR="00C026A6" w:rsidRPr="00EA59C0">
        <w:t xml:space="preserve"> </w:t>
      </w:r>
      <w:r w:rsidRPr="00EA59C0">
        <w:t>the</w:t>
      </w:r>
      <w:r w:rsidR="00C026A6" w:rsidRPr="00EA59C0">
        <w:t xml:space="preserve"> </w:t>
      </w:r>
      <w:r w:rsidRPr="00EA59C0">
        <w:t>workforce</w:t>
      </w:r>
      <w:r w:rsidR="00C026A6" w:rsidRPr="00EA59C0">
        <w:t xml:space="preserve"> </w:t>
      </w:r>
      <w:r w:rsidRPr="00EA59C0">
        <w:t>through</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of</w:t>
      </w:r>
      <w:r w:rsidR="00C026A6" w:rsidRPr="00EA59C0">
        <w:t xml:space="preserve"> </w:t>
      </w:r>
      <w:r w:rsidRPr="00EA59C0">
        <w:t>career</w:t>
      </w:r>
      <w:r w:rsidR="00C026A6" w:rsidRPr="00EA59C0">
        <w:t xml:space="preserve"> </w:t>
      </w:r>
      <w:r w:rsidRPr="00EA59C0">
        <w:t>pathway</w:t>
      </w:r>
      <w:r w:rsidR="00C026A6" w:rsidRPr="00EA59C0">
        <w:t xml:space="preserve"> </w:t>
      </w:r>
      <w:r w:rsidRPr="00EA59C0">
        <w:t>programs</w:t>
      </w:r>
      <w:r w:rsidR="00C026A6" w:rsidRPr="00EA59C0">
        <w:t xml:space="preserve"> </w:t>
      </w:r>
      <w:r w:rsidRPr="00EA59C0">
        <w:t>and</w:t>
      </w:r>
      <w:r w:rsidR="00C026A6" w:rsidRPr="00EA59C0">
        <w:t xml:space="preserve"> </w:t>
      </w:r>
      <w:r w:rsidRPr="00EA59C0">
        <w:t>systems.</w:t>
      </w:r>
      <w:r w:rsidR="00C026A6" w:rsidRPr="00EA59C0">
        <w:t xml:space="preserve">  </w:t>
      </w:r>
      <w:r w:rsidRPr="00EA59C0">
        <w:t>Career</w:t>
      </w:r>
      <w:r w:rsidR="00C026A6" w:rsidRPr="00EA59C0">
        <w:t xml:space="preserve"> </w:t>
      </w:r>
      <w:r w:rsidR="008A4F4D" w:rsidRPr="00EA59C0">
        <w:t>p</w:t>
      </w:r>
      <w:r w:rsidRPr="00EA59C0">
        <w:t>athway</w:t>
      </w:r>
      <w:r w:rsidR="00C026A6" w:rsidRPr="00EA59C0">
        <w:t xml:space="preserve"> </w:t>
      </w:r>
      <w:r w:rsidRPr="00EA59C0">
        <w:t>programs</w:t>
      </w:r>
      <w:r w:rsidR="00C026A6" w:rsidRPr="00EA59C0">
        <w:t xml:space="preserve"> </w:t>
      </w:r>
      <w:r w:rsidRPr="00EA59C0">
        <w:t>offer</w:t>
      </w:r>
      <w:r w:rsidR="00C026A6" w:rsidRPr="00EA59C0">
        <w:t xml:space="preserve"> </w:t>
      </w:r>
      <w:r w:rsidRPr="00EA59C0">
        <w:t>a</w:t>
      </w:r>
      <w:r w:rsidR="00C026A6" w:rsidRPr="00EA59C0">
        <w:t xml:space="preserve"> </w:t>
      </w:r>
      <w:r w:rsidRPr="00EA59C0">
        <w:t>clear</w:t>
      </w:r>
      <w:r w:rsidR="00C026A6" w:rsidRPr="00EA59C0">
        <w:t xml:space="preserve"> </w:t>
      </w:r>
      <w:r w:rsidRPr="00EA59C0">
        <w:t>sequence</w:t>
      </w:r>
      <w:r w:rsidR="00C026A6" w:rsidRPr="00EA59C0">
        <w:t xml:space="preserve"> </w:t>
      </w:r>
      <w:r w:rsidRPr="00EA59C0">
        <w:t>of</w:t>
      </w:r>
      <w:r w:rsidR="00C026A6" w:rsidRPr="00EA59C0">
        <w:t xml:space="preserve"> </w:t>
      </w:r>
      <w:r w:rsidRPr="00EA59C0">
        <w:t>education</w:t>
      </w:r>
      <w:r w:rsidR="00C026A6" w:rsidRPr="00EA59C0">
        <w:t xml:space="preserve"> </w:t>
      </w:r>
      <w:r w:rsidRPr="00EA59C0">
        <w:t>coursework</w:t>
      </w:r>
      <w:r w:rsidR="00C026A6" w:rsidRPr="00EA59C0">
        <w:t xml:space="preserve"> </w:t>
      </w:r>
      <w:r w:rsidRPr="00EA59C0">
        <w:t>and/or</w:t>
      </w:r>
      <w:r w:rsidR="00C026A6" w:rsidRPr="00EA59C0">
        <w:t xml:space="preserve"> </w:t>
      </w:r>
      <w:r w:rsidRPr="00EA59C0">
        <w:t>training</w:t>
      </w:r>
      <w:r w:rsidR="00C026A6" w:rsidRPr="00EA59C0">
        <w:t xml:space="preserve"> </w:t>
      </w:r>
      <w:r w:rsidRPr="00EA59C0">
        <w:t>credentials</w:t>
      </w:r>
      <w:r w:rsidR="00C026A6" w:rsidRPr="00EA59C0">
        <w:t xml:space="preserve"> </w:t>
      </w:r>
      <w:r w:rsidRPr="00EA59C0">
        <w:t>aligned</w:t>
      </w:r>
      <w:r w:rsidR="00C026A6" w:rsidRPr="00EA59C0">
        <w:t xml:space="preserve"> </w:t>
      </w:r>
      <w:r w:rsidRPr="00EA59C0">
        <w:t>with</w:t>
      </w:r>
      <w:r w:rsidR="00C026A6" w:rsidRPr="00EA59C0">
        <w:t xml:space="preserve"> </w:t>
      </w:r>
      <w:r w:rsidRPr="00EA59C0">
        <w:t>employer-validated</w:t>
      </w:r>
      <w:r w:rsidR="00C026A6" w:rsidRPr="00EA59C0">
        <w:t xml:space="preserve"> </w:t>
      </w:r>
      <w:r w:rsidRPr="00EA59C0">
        <w:t>work</w:t>
      </w:r>
      <w:r w:rsidR="00C026A6" w:rsidRPr="00EA59C0">
        <w:t xml:space="preserve"> </w:t>
      </w:r>
      <w:r w:rsidRPr="00EA59C0">
        <w:t>readiness</w:t>
      </w:r>
      <w:r w:rsidR="00C026A6" w:rsidRPr="00EA59C0">
        <w:t xml:space="preserve"> </w:t>
      </w:r>
      <w:r w:rsidRPr="00EA59C0">
        <w:t>standards</w:t>
      </w:r>
      <w:r w:rsidR="00C026A6" w:rsidRPr="00EA59C0">
        <w:t xml:space="preserve"> </w:t>
      </w:r>
      <w:r w:rsidRPr="00EA59C0">
        <w:t>and</w:t>
      </w:r>
      <w:r w:rsidR="00C026A6" w:rsidRPr="00EA59C0">
        <w:t xml:space="preserve"> </w:t>
      </w:r>
      <w:r w:rsidRPr="00EA59C0">
        <w:t>competencies</w:t>
      </w:r>
      <w:r w:rsidR="00C026A6" w:rsidRPr="00EA59C0">
        <w:t xml:space="preserve"> </w:t>
      </w:r>
      <w:r w:rsidRPr="00EA59C0">
        <w:t>and</w:t>
      </w:r>
      <w:r w:rsidR="00C026A6" w:rsidRPr="00EA59C0">
        <w:t xml:space="preserve"> </w:t>
      </w:r>
      <w:r w:rsidRPr="00EA59C0">
        <w:t>integrate</w:t>
      </w:r>
      <w:r w:rsidR="00C026A6" w:rsidRPr="00EA59C0">
        <w:t xml:space="preserve"> </w:t>
      </w:r>
      <w:r w:rsidRPr="00EA59C0">
        <w:t>academic</w:t>
      </w:r>
      <w:r w:rsidR="00C026A6" w:rsidRPr="00EA59C0">
        <w:t xml:space="preserve"> </w:t>
      </w:r>
      <w:r w:rsidRPr="00EA59C0">
        <w:t>and</w:t>
      </w:r>
      <w:r w:rsidR="00C026A6" w:rsidRPr="00EA59C0">
        <w:t xml:space="preserve"> </w:t>
      </w:r>
      <w:r w:rsidRPr="00EA59C0">
        <w:t>occupational</w:t>
      </w:r>
      <w:r w:rsidR="00C026A6" w:rsidRPr="00EA59C0">
        <w:t xml:space="preserve"> </w:t>
      </w:r>
      <w:r w:rsidRPr="00EA59C0">
        <w:t>skills</w:t>
      </w:r>
      <w:r w:rsidR="00C026A6" w:rsidRPr="00EA59C0">
        <w:t xml:space="preserve"> </w:t>
      </w:r>
      <w:r w:rsidRPr="00EA59C0">
        <w:t>training.</w:t>
      </w:r>
      <w:r w:rsidR="00C026A6" w:rsidRPr="00EA59C0">
        <w:t xml:space="preserve">  </w:t>
      </w:r>
      <w:r w:rsidR="00395208" w:rsidRPr="00EA59C0">
        <w:t>Career</w:t>
      </w:r>
      <w:r w:rsidR="00C026A6" w:rsidRPr="00EA59C0">
        <w:t xml:space="preserve"> </w:t>
      </w:r>
      <w:r w:rsidR="00395208" w:rsidRPr="00EA59C0">
        <w:t>Pathways</w:t>
      </w:r>
      <w:r w:rsidR="00C026A6" w:rsidRPr="00EA59C0">
        <w:t xml:space="preserve"> </w:t>
      </w:r>
      <w:r w:rsidR="00395208" w:rsidRPr="00EA59C0">
        <w:t>are</w:t>
      </w:r>
      <w:r w:rsidR="00C026A6" w:rsidRPr="00EA59C0">
        <w:t xml:space="preserve"> </w:t>
      </w:r>
      <w:r w:rsidR="00395208" w:rsidRPr="00EA59C0">
        <w:t>focused</w:t>
      </w:r>
      <w:r w:rsidR="00C026A6" w:rsidRPr="00EA59C0">
        <w:t xml:space="preserve"> </w:t>
      </w:r>
      <w:r w:rsidR="00395208" w:rsidRPr="00EA59C0">
        <w:t>on</w:t>
      </w:r>
      <w:r w:rsidR="00C026A6" w:rsidRPr="00EA59C0">
        <w:t xml:space="preserve"> </w:t>
      </w:r>
      <w:r w:rsidR="00395208" w:rsidRPr="00EA59C0">
        <w:t>one</w:t>
      </w:r>
      <w:r w:rsidR="00C026A6" w:rsidRPr="00EA59C0">
        <w:t xml:space="preserve"> </w:t>
      </w:r>
      <w:r w:rsidR="00395208" w:rsidRPr="00EA59C0">
        <w:t>or</w:t>
      </w:r>
      <w:r w:rsidR="00C026A6" w:rsidRPr="00EA59C0">
        <w:t xml:space="preserve"> </w:t>
      </w:r>
      <w:r w:rsidR="00395208" w:rsidRPr="00EA59C0">
        <w:t>more</w:t>
      </w:r>
      <w:r w:rsidR="00C026A6" w:rsidRPr="00EA59C0">
        <w:t xml:space="preserve"> </w:t>
      </w:r>
      <w:r w:rsidR="00395208" w:rsidRPr="00EA59C0">
        <w:t>industry</w:t>
      </w:r>
      <w:r w:rsidR="00C026A6" w:rsidRPr="00EA59C0">
        <w:t xml:space="preserve"> </w:t>
      </w:r>
      <w:r w:rsidR="00395208" w:rsidRPr="00EA59C0">
        <w:t>sectors.</w:t>
      </w:r>
      <w:r w:rsidR="00C026A6" w:rsidRPr="00EA59C0">
        <w:t xml:space="preserve">  </w:t>
      </w:r>
      <w:r w:rsidR="00373322" w:rsidRPr="00EA59C0">
        <w:t>For</w:t>
      </w:r>
      <w:r w:rsidR="00C026A6" w:rsidRPr="00EA59C0">
        <w:t xml:space="preserve"> </w:t>
      </w:r>
      <w:r w:rsidR="00373322" w:rsidRPr="00EA59C0">
        <w:t>TAA-eligible</w:t>
      </w:r>
      <w:r w:rsidR="00C026A6" w:rsidRPr="00EA59C0">
        <w:t xml:space="preserve"> </w:t>
      </w:r>
      <w:r w:rsidR="00373322" w:rsidRPr="00EA59C0">
        <w:t>workers</w:t>
      </w:r>
      <w:r w:rsidR="00C026A6" w:rsidRPr="00EA59C0">
        <w:t xml:space="preserve"> </w:t>
      </w:r>
      <w:r w:rsidR="00373322" w:rsidRPr="00EA59C0">
        <w:t>and</w:t>
      </w:r>
      <w:r w:rsidR="00C026A6" w:rsidRPr="00EA59C0">
        <w:t xml:space="preserve"> </w:t>
      </w:r>
      <w:r w:rsidR="00373322" w:rsidRPr="00EA59C0">
        <w:t>other</w:t>
      </w:r>
      <w:r w:rsidR="00C026A6" w:rsidRPr="00EA59C0">
        <w:t xml:space="preserve"> </w:t>
      </w:r>
      <w:r w:rsidR="00373322" w:rsidRPr="00EA59C0">
        <w:t>adults,</w:t>
      </w:r>
      <w:r w:rsidR="00C026A6" w:rsidRPr="00EA59C0">
        <w:t xml:space="preserve"> </w:t>
      </w:r>
      <w:r w:rsidR="00373322" w:rsidRPr="00EA59C0">
        <w:t>these</w:t>
      </w:r>
      <w:r w:rsidR="00C026A6" w:rsidRPr="00EA59C0">
        <w:t xml:space="preserve"> </w:t>
      </w:r>
      <w:r w:rsidR="00373322" w:rsidRPr="00EA59C0">
        <w:t>components,</w:t>
      </w:r>
      <w:r w:rsidR="00C026A6" w:rsidRPr="00EA59C0">
        <w:t xml:space="preserve"> </w:t>
      </w:r>
      <w:r w:rsidR="00373322" w:rsidRPr="00EA59C0">
        <w:t>integrated</w:t>
      </w:r>
      <w:r w:rsidR="00C026A6" w:rsidRPr="00EA59C0">
        <w:t xml:space="preserve"> </w:t>
      </w:r>
      <w:r w:rsidR="00373322" w:rsidRPr="00EA59C0">
        <w:t>within</w:t>
      </w:r>
      <w:r w:rsidR="00C026A6" w:rsidRPr="00EA59C0">
        <w:t xml:space="preserve"> </w:t>
      </w:r>
      <w:r w:rsidR="00373322" w:rsidRPr="00EA59C0">
        <w:t>a</w:t>
      </w:r>
      <w:r w:rsidR="00C026A6" w:rsidRPr="00EA59C0">
        <w:t xml:space="preserve"> </w:t>
      </w:r>
      <w:r w:rsidR="00373322" w:rsidRPr="00EA59C0">
        <w:t>comprehensive</w:t>
      </w:r>
      <w:r w:rsidR="00C026A6" w:rsidRPr="00EA59C0">
        <w:t xml:space="preserve"> </w:t>
      </w:r>
      <w:r w:rsidR="00373322" w:rsidRPr="00EA59C0">
        <w:t>workforce</w:t>
      </w:r>
      <w:r w:rsidR="00C026A6" w:rsidRPr="00EA59C0">
        <w:t xml:space="preserve"> </w:t>
      </w:r>
      <w:r w:rsidR="00373322" w:rsidRPr="00EA59C0">
        <w:t>and</w:t>
      </w:r>
      <w:r w:rsidR="00C026A6" w:rsidRPr="00EA59C0">
        <w:t xml:space="preserve"> </w:t>
      </w:r>
      <w:r w:rsidR="00373322" w:rsidRPr="00EA59C0">
        <w:t>education</w:t>
      </w:r>
      <w:r w:rsidR="00C026A6" w:rsidRPr="00EA59C0">
        <w:t xml:space="preserve"> </w:t>
      </w:r>
      <w:r w:rsidR="00373322" w:rsidRPr="00EA59C0">
        <w:t>strategy,</w:t>
      </w:r>
      <w:r w:rsidR="00C026A6" w:rsidRPr="00EA59C0">
        <w:t xml:space="preserve"> </w:t>
      </w:r>
      <w:r w:rsidR="00373322" w:rsidRPr="00EA59C0">
        <w:t>can</w:t>
      </w:r>
      <w:r w:rsidR="00C026A6" w:rsidRPr="00EA59C0">
        <w:t xml:space="preserve"> </w:t>
      </w:r>
      <w:r w:rsidR="00373322" w:rsidRPr="00EA59C0">
        <w:t>provide</w:t>
      </w:r>
      <w:r w:rsidR="00C026A6" w:rsidRPr="00EA59C0">
        <w:t xml:space="preserve"> </w:t>
      </w:r>
      <w:r w:rsidR="00373322" w:rsidRPr="00EA59C0">
        <w:t>opportunities</w:t>
      </w:r>
      <w:r w:rsidR="00C026A6" w:rsidRPr="00EA59C0">
        <w:t xml:space="preserve"> </w:t>
      </w:r>
      <w:r w:rsidR="00373322" w:rsidRPr="00EA59C0">
        <w:t>to</w:t>
      </w:r>
      <w:r w:rsidR="00C026A6" w:rsidRPr="00EA59C0">
        <w:t xml:space="preserve"> </w:t>
      </w:r>
      <w:r w:rsidR="00373322" w:rsidRPr="00EA59C0">
        <w:t>earn</w:t>
      </w:r>
      <w:r w:rsidR="00C026A6" w:rsidRPr="00EA59C0">
        <w:t xml:space="preserve"> </w:t>
      </w:r>
      <w:r w:rsidR="00373322" w:rsidRPr="00EA59C0">
        <w:t>a</w:t>
      </w:r>
      <w:r w:rsidR="00C026A6" w:rsidRPr="00EA59C0">
        <w:t xml:space="preserve"> </w:t>
      </w:r>
      <w:r w:rsidR="00373322" w:rsidRPr="00EA59C0">
        <w:t>variety</w:t>
      </w:r>
      <w:r w:rsidR="00C026A6" w:rsidRPr="00EA59C0">
        <w:t xml:space="preserve"> </w:t>
      </w:r>
      <w:r w:rsidR="00373322" w:rsidRPr="00EA59C0">
        <w:t>of</w:t>
      </w:r>
      <w:r w:rsidR="00C026A6" w:rsidRPr="00EA59C0">
        <w:t xml:space="preserve"> </w:t>
      </w:r>
      <w:r w:rsidR="00373322" w:rsidRPr="00EA59C0">
        <w:t>post-secondary</w:t>
      </w:r>
      <w:r w:rsidR="00C026A6" w:rsidRPr="00EA59C0">
        <w:t xml:space="preserve"> </w:t>
      </w:r>
      <w:r w:rsidR="00373322" w:rsidRPr="00EA59C0">
        <w:t>credentials</w:t>
      </w:r>
      <w:r w:rsidR="00C026A6" w:rsidRPr="00EA59C0">
        <w:t xml:space="preserve"> </w:t>
      </w:r>
      <w:r w:rsidR="00373322" w:rsidRPr="00EA59C0">
        <w:t>that</w:t>
      </w:r>
      <w:r w:rsidR="00C026A6" w:rsidRPr="00EA59C0">
        <w:t xml:space="preserve"> </w:t>
      </w:r>
      <w:r w:rsidR="00373322" w:rsidRPr="00EA59C0">
        <w:t>have</w:t>
      </w:r>
      <w:r w:rsidR="00C026A6" w:rsidRPr="00EA59C0">
        <w:t xml:space="preserve"> </w:t>
      </w:r>
      <w:r w:rsidR="00373322" w:rsidRPr="00EA59C0">
        <w:t>labor</w:t>
      </w:r>
      <w:r w:rsidR="00C026A6" w:rsidRPr="00EA59C0">
        <w:t xml:space="preserve"> </w:t>
      </w:r>
      <w:r w:rsidR="00373322" w:rsidRPr="00EA59C0">
        <w:t>market</w:t>
      </w:r>
      <w:r w:rsidR="00C026A6" w:rsidRPr="00EA59C0">
        <w:t xml:space="preserve"> </w:t>
      </w:r>
      <w:r w:rsidR="00373322" w:rsidRPr="00EA59C0">
        <w:t>value.</w:t>
      </w:r>
      <w:r w:rsidR="00C026A6" w:rsidRPr="00EA59C0">
        <w:t xml:space="preserve"> </w:t>
      </w:r>
    </w:p>
    <w:p w:rsidR="002E1C76" w:rsidRPr="00EA59C0" w:rsidRDefault="002E1C76" w:rsidP="007A73AC">
      <w:pPr>
        <w:ind w:left="1080"/>
      </w:pPr>
    </w:p>
    <w:p w:rsidR="002B0F2A" w:rsidRPr="00EA59C0" w:rsidRDefault="008A4F4D" w:rsidP="007A73AC">
      <w:pPr>
        <w:pStyle w:val="ListParagraph"/>
        <w:ind w:left="1080"/>
      </w:pPr>
      <w:r w:rsidRPr="00EA59C0">
        <w:t>To</w:t>
      </w:r>
      <w:r w:rsidR="00C026A6" w:rsidRPr="00EA59C0">
        <w:t xml:space="preserve"> </w:t>
      </w:r>
      <w:r w:rsidRPr="00EA59C0">
        <w:t>meet</w:t>
      </w:r>
      <w:r w:rsidR="00C026A6" w:rsidRPr="00EA59C0">
        <w:t xml:space="preserve"> </w:t>
      </w:r>
      <w:r w:rsidRPr="00EA59C0">
        <w:t>the</w:t>
      </w:r>
      <w:r w:rsidR="00C026A6" w:rsidRPr="00EA59C0">
        <w:t xml:space="preserve"> </w:t>
      </w:r>
      <w:r w:rsidRPr="00EA59C0">
        <w:t>needs</w:t>
      </w:r>
      <w:r w:rsidR="00C026A6" w:rsidRPr="00EA59C0">
        <w:t xml:space="preserve"> </w:t>
      </w:r>
      <w:r w:rsidRPr="00EA59C0">
        <w:t>of</w:t>
      </w:r>
      <w:r w:rsidR="00C026A6" w:rsidRPr="00EA59C0">
        <w:t xml:space="preserve"> </w:t>
      </w:r>
      <w:r w:rsidRPr="00EA59C0">
        <w:t>adult</w:t>
      </w:r>
      <w:r w:rsidR="00C026A6" w:rsidRPr="00EA59C0">
        <w:t xml:space="preserve"> </w:t>
      </w:r>
      <w:r w:rsidRPr="00EA59C0">
        <w:t>workers</w:t>
      </w:r>
      <w:r w:rsidR="00C026A6" w:rsidRPr="00EA59C0">
        <w:t xml:space="preserve"> </w:t>
      </w:r>
      <w:r w:rsidRPr="00EA59C0">
        <w:t>to</w:t>
      </w:r>
      <w:r w:rsidR="00C026A6" w:rsidRPr="00EA59C0">
        <w:t xml:space="preserve"> </w:t>
      </w:r>
      <w:r w:rsidRPr="00EA59C0">
        <w:t>accelerate</w:t>
      </w:r>
      <w:r w:rsidR="00C026A6" w:rsidRPr="00EA59C0">
        <w:t xml:space="preserve"> </w:t>
      </w:r>
      <w:r w:rsidRPr="00EA59C0">
        <w:t>the</w:t>
      </w:r>
      <w:r w:rsidR="00C026A6" w:rsidRPr="00EA59C0">
        <w:t xml:space="preserve"> </w:t>
      </w:r>
      <w:r w:rsidRPr="00EA59C0">
        <w:t>time</w:t>
      </w:r>
      <w:r w:rsidR="00C026A6" w:rsidRPr="00EA59C0">
        <w:t xml:space="preserve"> </w:t>
      </w:r>
      <w:r w:rsidRPr="00EA59C0">
        <w:t>to</w:t>
      </w:r>
      <w:r w:rsidR="00C026A6" w:rsidRPr="00EA59C0">
        <w:t xml:space="preserve"> </w:t>
      </w:r>
      <w:r w:rsidRPr="00EA59C0">
        <w:t>degree</w:t>
      </w:r>
      <w:r w:rsidR="00C026A6" w:rsidRPr="00EA59C0">
        <w:t xml:space="preserve"> </w:t>
      </w:r>
      <w:r w:rsidRPr="00EA59C0">
        <w:t>completion</w:t>
      </w:r>
      <w:r w:rsidR="00C026A6" w:rsidRPr="00EA59C0">
        <w:t xml:space="preserve"> </w:t>
      </w:r>
      <w:r w:rsidRPr="00EA59C0">
        <w:t>and</w:t>
      </w:r>
      <w:r w:rsidR="00C026A6" w:rsidRPr="00EA59C0">
        <w:t xml:space="preserve"> </w:t>
      </w:r>
      <w:r w:rsidRPr="00EA59C0">
        <w:t>employment,</w:t>
      </w:r>
      <w:r w:rsidR="00C026A6" w:rsidRPr="00EA59C0">
        <w:t xml:space="preserve"> </w:t>
      </w:r>
      <w:r w:rsidR="00103366" w:rsidRPr="00EA59C0">
        <w:t>i</w:t>
      </w:r>
      <w:r w:rsidR="002E1C76" w:rsidRPr="00EA59C0">
        <w:t>ndividual</w:t>
      </w:r>
      <w:r w:rsidR="00C026A6" w:rsidRPr="00EA59C0">
        <w:t xml:space="preserve"> </w:t>
      </w:r>
      <w:r w:rsidR="002E1C76" w:rsidRPr="00EA59C0">
        <w:t>components</w:t>
      </w:r>
      <w:r w:rsidR="00C026A6" w:rsidRPr="00EA59C0">
        <w:t xml:space="preserve"> </w:t>
      </w:r>
      <w:r w:rsidR="00B06867" w:rsidRPr="00EA59C0">
        <w:t>of</w:t>
      </w:r>
      <w:r w:rsidR="00C026A6" w:rsidRPr="00EA59C0">
        <w:t xml:space="preserve"> </w:t>
      </w:r>
      <w:r w:rsidR="00B06867" w:rsidRPr="00EA59C0">
        <w:t>career</w:t>
      </w:r>
      <w:r w:rsidR="00C026A6" w:rsidRPr="00EA59C0">
        <w:t xml:space="preserve"> </w:t>
      </w:r>
      <w:r w:rsidRPr="00EA59C0">
        <w:t>p</w:t>
      </w:r>
      <w:r w:rsidR="002E1C76" w:rsidRPr="00EA59C0">
        <w:t>athway</w:t>
      </w:r>
      <w:r w:rsidR="00526DDB" w:rsidRPr="00EA59C0">
        <w:t>s</w:t>
      </w:r>
      <w:r w:rsidR="00C026A6" w:rsidRPr="00EA59C0">
        <w:t xml:space="preserve"> </w:t>
      </w:r>
      <w:r w:rsidRPr="00EA59C0">
        <w:t>developed</w:t>
      </w:r>
      <w:r w:rsidR="00C026A6" w:rsidRPr="00EA59C0">
        <w:t xml:space="preserve"> </w:t>
      </w:r>
      <w:r w:rsidRPr="00EA59C0">
        <w:t>through</w:t>
      </w:r>
      <w:r w:rsidR="00C026A6" w:rsidRPr="00EA59C0">
        <w:t xml:space="preserve"> </w:t>
      </w:r>
      <w:r w:rsidRPr="00EA59C0">
        <w:t>the</w:t>
      </w:r>
      <w:r w:rsidR="00C026A6" w:rsidRPr="00EA59C0">
        <w:t xml:space="preserve"> </w:t>
      </w:r>
      <w:r w:rsidRPr="00EA59C0">
        <w:t>TAACCCT</w:t>
      </w:r>
      <w:r w:rsidR="00C026A6" w:rsidRPr="00EA59C0">
        <w:t xml:space="preserve"> </w:t>
      </w:r>
      <w:r w:rsidR="002E1C76" w:rsidRPr="00EA59C0">
        <w:t>program</w:t>
      </w:r>
      <w:r w:rsidR="00C026A6" w:rsidRPr="00EA59C0">
        <w:t xml:space="preserve"> </w:t>
      </w:r>
      <w:r w:rsidR="00252CF8" w:rsidRPr="00EA59C0">
        <w:t>will</w:t>
      </w:r>
      <w:r w:rsidR="00C026A6" w:rsidRPr="00EA59C0">
        <w:t xml:space="preserve"> </w:t>
      </w:r>
      <w:r w:rsidRPr="00EA59C0">
        <w:t>include</w:t>
      </w:r>
      <w:r w:rsidR="00C026A6" w:rsidRPr="00EA59C0">
        <w:t xml:space="preserve"> </w:t>
      </w:r>
      <w:r w:rsidR="002B0F2A" w:rsidRPr="00EA59C0">
        <w:t>the</w:t>
      </w:r>
      <w:r w:rsidR="00C026A6" w:rsidRPr="00EA59C0">
        <w:t xml:space="preserve"> </w:t>
      </w:r>
      <w:r w:rsidR="002B0F2A" w:rsidRPr="00EA59C0">
        <w:t>following</w:t>
      </w:r>
      <w:r w:rsidRPr="00EA59C0">
        <w:t>:</w:t>
      </w:r>
      <w:r w:rsidR="00C026A6" w:rsidRPr="00EA59C0">
        <w:t xml:space="preserve"> </w:t>
      </w:r>
    </w:p>
    <w:p w:rsidR="00B06867" w:rsidRPr="00EA59C0" w:rsidRDefault="00B06867" w:rsidP="007A73AC">
      <w:pPr>
        <w:pStyle w:val="ListParagraph"/>
        <w:ind w:left="1080"/>
      </w:pPr>
    </w:p>
    <w:p w:rsidR="002B0F2A" w:rsidRPr="00EA59C0" w:rsidRDefault="002B0F2A" w:rsidP="009938F6">
      <w:pPr>
        <w:pStyle w:val="ListParagraph"/>
        <w:numPr>
          <w:ilvl w:val="0"/>
          <w:numId w:val="14"/>
        </w:numPr>
        <w:tabs>
          <w:tab w:val="left" w:pos="1440"/>
        </w:tabs>
        <w:ind w:left="1440"/>
      </w:pPr>
      <w:r w:rsidRPr="00EA59C0">
        <w:t>I</w:t>
      </w:r>
      <w:r w:rsidR="008A4F4D" w:rsidRPr="00EA59C0">
        <w:t>ntegrated</w:t>
      </w:r>
      <w:r w:rsidR="00C026A6" w:rsidRPr="00EA59C0">
        <w:t xml:space="preserve"> </w:t>
      </w:r>
      <w:r w:rsidR="008A4F4D" w:rsidRPr="00EA59C0">
        <w:t>education</w:t>
      </w:r>
      <w:r w:rsidR="00C026A6" w:rsidRPr="00EA59C0">
        <w:t xml:space="preserve"> </w:t>
      </w:r>
      <w:r w:rsidR="00CF61E5" w:rsidRPr="00EA59C0">
        <w:t>and</w:t>
      </w:r>
      <w:r w:rsidR="00C026A6" w:rsidRPr="00EA59C0">
        <w:t xml:space="preserve"> </w:t>
      </w:r>
      <w:r w:rsidR="00CF61E5" w:rsidRPr="00EA59C0">
        <w:t>career-focused</w:t>
      </w:r>
      <w:r w:rsidR="00C026A6" w:rsidRPr="00EA59C0">
        <w:t xml:space="preserve"> </w:t>
      </w:r>
      <w:r w:rsidR="00CF61E5" w:rsidRPr="00EA59C0">
        <w:t>training</w:t>
      </w:r>
      <w:r w:rsidR="00C026A6" w:rsidRPr="00EA59C0">
        <w:t xml:space="preserve"> </w:t>
      </w:r>
      <w:r w:rsidR="008A4F4D" w:rsidRPr="00EA59C0">
        <w:t>programs</w:t>
      </w:r>
      <w:r w:rsidR="00C026A6" w:rsidRPr="00EA59C0">
        <w:t xml:space="preserve"> </w:t>
      </w:r>
      <w:r w:rsidR="008A4F4D" w:rsidRPr="00EA59C0">
        <w:t>that</w:t>
      </w:r>
      <w:r w:rsidR="00C026A6" w:rsidRPr="00EA59C0">
        <w:t xml:space="preserve"> </w:t>
      </w:r>
      <w:r w:rsidR="000E3898" w:rsidRPr="00EA59C0">
        <w:t>offer</w:t>
      </w:r>
      <w:r w:rsidR="00C026A6" w:rsidRPr="00EA59C0">
        <w:t xml:space="preserve"> </w:t>
      </w:r>
      <w:r w:rsidR="000E3898" w:rsidRPr="00EA59C0">
        <w:t>accelerated</w:t>
      </w:r>
      <w:r w:rsidR="00C026A6" w:rsidRPr="00EA59C0">
        <w:t xml:space="preserve"> </w:t>
      </w:r>
      <w:r w:rsidR="000E3898" w:rsidRPr="00EA59C0">
        <w:t>and</w:t>
      </w:r>
      <w:r w:rsidR="00C026A6" w:rsidRPr="00EA59C0">
        <w:t xml:space="preserve"> </w:t>
      </w:r>
      <w:r w:rsidR="008A4F4D" w:rsidRPr="00EA59C0">
        <w:t>contextualize</w:t>
      </w:r>
      <w:r w:rsidR="000E3898" w:rsidRPr="00EA59C0">
        <w:t>d</w:t>
      </w:r>
      <w:r w:rsidR="00C026A6" w:rsidRPr="00EA59C0">
        <w:t xml:space="preserve"> </w:t>
      </w:r>
      <w:r w:rsidR="00B649C1" w:rsidRPr="00EA59C0">
        <w:t>remediation</w:t>
      </w:r>
      <w:r w:rsidRPr="00EA59C0">
        <w:t>;</w:t>
      </w:r>
    </w:p>
    <w:p w:rsidR="00FD7A33" w:rsidRPr="00EA59C0" w:rsidRDefault="00FD7A33" w:rsidP="009938F6">
      <w:pPr>
        <w:pStyle w:val="ListParagraph"/>
        <w:numPr>
          <w:ilvl w:val="0"/>
          <w:numId w:val="14"/>
        </w:numPr>
        <w:tabs>
          <w:tab w:val="left" w:pos="1440"/>
        </w:tabs>
        <w:ind w:left="1440"/>
      </w:pPr>
      <w:r w:rsidRPr="00EA59C0">
        <w:t>Comprehensive</w:t>
      </w:r>
      <w:r w:rsidR="00C026A6" w:rsidRPr="00EA59C0">
        <w:t xml:space="preserve"> </w:t>
      </w:r>
      <w:r w:rsidRPr="00EA59C0">
        <w:t>and</w:t>
      </w:r>
      <w:r w:rsidR="00C026A6" w:rsidRPr="00EA59C0">
        <w:t xml:space="preserve"> </w:t>
      </w:r>
      <w:r w:rsidRPr="00EA59C0">
        <w:t>personalized</w:t>
      </w:r>
      <w:r w:rsidR="00C026A6" w:rsidRPr="00EA59C0">
        <w:t xml:space="preserve"> </w:t>
      </w:r>
      <w:r w:rsidRPr="00EA59C0">
        <w:t>student</w:t>
      </w:r>
      <w:r w:rsidR="00C026A6" w:rsidRPr="00EA59C0">
        <w:t xml:space="preserve"> </w:t>
      </w:r>
      <w:r w:rsidRPr="00EA59C0">
        <w:t>support</w:t>
      </w:r>
      <w:r w:rsidR="00C026A6" w:rsidRPr="00EA59C0">
        <w:t xml:space="preserve"> </w:t>
      </w:r>
      <w:r w:rsidRPr="00EA59C0">
        <w:t>services</w:t>
      </w:r>
      <w:r w:rsidR="00C026A6" w:rsidRPr="00EA59C0">
        <w:t xml:space="preserve"> </w:t>
      </w:r>
      <w:r w:rsidRPr="00EA59C0">
        <w:t>and</w:t>
      </w:r>
      <w:r w:rsidR="00C026A6" w:rsidRPr="00EA59C0">
        <w:t xml:space="preserve"> </w:t>
      </w:r>
      <w:r w:rsidRPr="00EA59C0">
        <w:t>career</w:t>
      </w:r>
      <w:r w:rsidR="00C026A6" w:rsidRPr="00EA59C0">
        <w:t xml:space="preserve"> </w:t>
      </w:r>
      <w:r w:rsidRPr="00EA59C0">
        <w:t>guidance;</w:t>
      </w:r>
    </w:p>
    <w:p w:rsidR="002B0F2A" w:rsidRPr="00EA59C0" w:rsidRDefault="002B0F2A" w:rsidP="009938F6">
      <w:pPr>
        <w:pStyle w:val="ListParagraph"/>
        <w:numPr>
          <w:ilvl w:val="0"/>
          <w:numId w:val="14"/>
        </w:numPr>
        <w:tabs>
          <w:tab w:val="left" w:pos="1440"/>
        </w:tabs>
        <w:ind w:left="1440"/>
      </w:pPr>
      <w:r w:rsidRPr="00EA59C0">
        <w:t>C</w:t>
      </w:r>
      <w:r w:rsidR="002E1C76" w:rsidRPr="00EA59C0">
        <w:t>redit</w:t>
      </w:r>
      <w:r w:rsidR="00C026A6" w:rsidRPr="00EA59C0">
        <w:t xml:space="preserve"> </w:t>
      </w:r>
      <w:r w:rsidR="002E1C76" w:rsidRPr="00EA59C0">
        <w:t>for</w:t>
      </w:r>
      <w:r w:rsidR="00C026A6" w:rsidRPr="00EA59C0">
        <w:t xml:space="preserve"> </w:t>
      </w:r>
      <w:r w:rsidR="002E1C76" w:rsidRPr="00EA59C0">
        <w:t>prior</w:t>
      </w:r>
      <w:r w:rsidR="00C026A6" w:rsidRPr="00EA59C0">
        <w:t xml:space="preserve"> </w:t>
      </w:r>
      <w:r w:rsidR="002E1C76" w:rsidRPr="00EA59C0">
        <w:t>learning</w:t>
      </w:r>
      <w:r w:rsidR="00C026A6" w:rsidRPr="00EA59C0">
        <w:t xml:space="preserve"> </w:t>
      </w:r>
      <w:r w:rsidR="002E1C76" w:rsidRPr="00EA59C0">
        <w:t>and</w:t>
      </w:r>
      <w:r w:rsidR="00C026A6" w:rsidRPr="00EA59C0">
        <w:t xml:space="preserve"> </w:t>
      </w:r>
      <w:r w:rsidR="002E1C76" w:rsidRPr="00EA59C0">
        <w:t>prior</w:t>
      </w:r>
      <w:r w:rsidR="00C026A6" w:rsidRPr="00EA59C0">
        <w:t xml:space="preserve"> </w:t>
      </w:r>
      <w:r w:rsidR="002E1C76" w:rsidRPr="00EA59C0">
        <w:t>learning</w:t>
      </w:r>
      <w:r w:rsidR="00C026A6" w:rsidRPr="00EA59C0">
        <w:t xml:space="preserve"> </w:t>
      </w:r>
      <w:r w:rsidR="002E1C76" w:rsidRPr="00EA59C0">
        <w:t>assessments</w:t>
      </w:r>
      <w:r w:rsidRPr="00EA59C0">
        <w:t>;</w:t>
      </w:r>
      <w:r w:rsidR="00C026A6" w:rsidRPr="00EA59C0">
        <w:t xml:space="preserve"> </w:t>
      </w:r>
    </w:p>
    <w:p w:rsidR="002B0F2A" w:rsidRPr="00EA59C0" w:rsidRDefault="002B0F2A" w:rsidP="009938F6">
      <w:pPr>
        <w:pStyle w:val="ListParagraph"/>
        <w:numPr>
          <w:ilvl w:val="0"/>
          <w:numId w:val="14"/>
        </w:numPr>
        <w:tabs>
          <w:tab w:val="left" w:pos="1440"/>
        </w:tabs>
        <w:ind w:left="1440"/>
      </w:pPr>
      <w:r w:rsidRPr="00EA59C0">
        <w:t>Competency</w:t>
      </w:r>
      <w:r w:rsidR="002E1C76" w:rsidRPr="00EA59C0">
        <w:t>-based</w:t>
      </w:r>
      <w:r w:rsidR="00C026A6" w:rsidRPr="00EA59C0">
        <w:t xml:space="preserve"> </w:t>
      </w:r>
      <w:r w:rsidR="002E1C76" w:rsidRPr="00EA59C0">
        <w:t>assessment</w:t>
      </w:r>
      <w:r w:rsidR="000E3898" w:rsidRPr="00EA59C0">
        <w:t>s</w:t>
      </w:r>
      <w:r w:rsidR="00C026A6" w:rsidRPr="00EA59C0">
        <w:t xml:space="preserve"> </w:t>
      </w:r>
      <w:r w:rsidR="002E1C76" w:rsidRPr="00EA59C0">
        <w:t>and</w:t>
      </w:r>
      <w:r w:rsidR="00C026A6" w:rsidRPr="00EA59C0">
        <w:t xml:space="preserve"> </w:t>
      </w:r>
      <w:r w:rsidRPr="00EA59C0">
        <w:t>training</w:t>
      </w:r>
      <w:r w:rsidR="00C026A6" w:rsidRPr="00EA59C0">
        <w:t xml:space="preserve"> </w:t>
      </w:r>
      <w:r w:rsidRPr="00EA59C0">
        <w:t>courses;</w:t>
      </w:r>
      <w:r w:rsidR="00C026A6" w:rsidRPr="00EA59C0">
        <w:t xml:space="preserve"> </w:t>
      </w:r>
    </w:p>
    <w:p w:rsidR="0030493E" w:rsidRPr="00EA59C0" w:rsidRDefault="0030493E" w:rsidP="009938F6">
      <w:pPr>
        <w:pStyle w:val="ListParagraph"/>
        <w:numPr>
          <w:ilvl w:val="0"/>
          <w:numId w:val="14"/>
        </w:numPr>
        <w:tabs>
          <w:tab w:val="left" w:pos="1440"/>
        </w:tabs>
        <w:ind w:left="1440"/>
      </w:pPr>
      <w:r w:rsidRPr="00EA59C0">
        <w:t>Modularized</w:t>
      </w:r>
      <w:r w:rsidR="00C026A6" w:rsidRPr="00EA59C0">
        <w:t xml:space="preserve"> </w:t>
      </w:r>
      <w:r w:rsidR="005A1832" w:rsidRPr="00EA59C0">
        <w:t>curriculum</w:t>
      </w:r>
      <w:r w:rsidR="00186933" w:rsidRPr="00EA59C0">
        <w:t>;</w:t>
      </w:r>
    </w:p>
    <w:p w:rsidR="002B0F2A" w:rsidRPr="00EA59C0" w:rsidRDefault="002B0F2A" w:rsidP="009938F6">
      <w:pPr>
        <w:pStyle w:val="ListParagraph"/>
        <w:numPr>
          <w:ilvl w:val="0"/>
          <w:numId w:val="14"/>
        </w:numPr>
        <w:tabs>
          <w:tab w:val="left" w:pos="1440"/>
        </w:tabs>
        <w:ind w:left="1440"/>
      </w:pPr>
      <w:r w:rsidRPr="00EA59C0">
        <w:t>Stacked</w:t>
      </w:r>
      <w:r w:rsidR="00C026A6" w:rsidRPr="00EA59C0">
        <w:t xml:space="preserve"> </w:t>
      </w:r>
      <w:r w:rsidR="002E1C76" w:rsidRPr="00EA59C0">
        <w:t>and</w:t>
      </w:r>
      <w:r w:rsidR="00C026A6" w:rsidRPr="00EA59C0">
        <w:t xml:space="preserve"> </w:t>
      </w:r>
      <w:r w:rsidR="002E1C76" w:rsidRPr="00EA59C0">
        <w:t>latticed</w:t>
      </w:r>
      <w:r w:rsidR="00C026A6" w:rsidRPr="00EA59C0">
        <w:t xml:space="preserve"> </w:t>
      </w:r>
      <w:r w:rsidR="002E1C76" w:rsidRPr="00EA59C0">
        <w:t>credentials</w:t>
      </w:r>
      <w:r w:rsidRPr="00EA59C0">
        <w:t>;</w:t>
      </w:r>
      <w:r w:rsidR="00C026A6" w:rsidRPr="00EA59C0">
        <w:t xml:space="preserve"> </w:t>
      </w:r>
      <w:r w:rsidRPr="00EA59C0">
        <w:t>and</w:t>
      </w:r>
    </w:p>
    <w:p w:rsidR="002B0F2A" w:rsidRPr="00EA59C0" w:rsidRDefault="002B0F2A" w:rsidP="009938F6">
      <w:pPr>
        <w:pStyle w:val="ListParagraph"/>
        <w:numPr>
          <w:ilvl w:val="0"/>
          <w:numId w:val="14"/>
        </w:numPr>
        <w:tabs>
          <w:tab w:val="left" w:pos="1440"/>
        </w:tabs>
        <w:ind w:left="1440"/>
      </w:pPr>
      <w:r w:rsidRPr="00EA59C0">
        <w:t>Online</w:t>
      </w:r>
      <w:r w:rsidR="00C026A6" w:rsidRPr="00EA59C0">
        <w:t xml:space="preserve"> </w:t>
      </w:r>
      <w:r w:rsidR="002E1C76" w:rsidRPr="00EA59C0">
        <w:t>and</w:t>
      </w:r>
      <w:r w:rsidR="00C026A6" w:rsidRPr="00EA59C0">
        <w:t xml:space="preserve"> </w:t>
      </w:r>
      <w:r w:rsidR="002E1C76" w:rsidRPr="00EA59C0">
        <w:t>technology-based</w:t>
      </w:r>
      <w:r w:rsidR="00C026A6" w:rsidRPr="00EA59C0">
        <w:t xml:space="preserve"> </w:t>
      </w:r>
      <w:r w:rsidR="002E1C76" w:rsidRPr="00EA59C0">
        <w:t>learning</w:t>
      </w:r>
      <w:r w:rsidR="00C026A6" w:rsidRPr="00EA59C0">
        <w:t xml:space="preserve"> </w:t>
      </w:r>
      <w:r w:rsidRPr="00EA59C0">
        <w:t>strategies</w:t>
      </w:r>
      <w:r w:rsidR="002E1C76" w:rsidRPr="00EA59C0">
        <w:t>.</w:t>
      </w:r>
      <w:r w:rsidR="00C026A6" w:rsidRPr="00EA59C0">
        <w:t xml:space="preserve"> </w:t>
      </w:r>
    </w:p>
    <w:p w:rsidR="00AE5460" w:rsidRPr="00EA59C0" w:rsidRDefault="00AE5460" w:rsidP="00B01F81"/>
    <w:p w:rsidR="00CF61E5" w:rsidRPr="00EA59C0" w:rsidRDefault="00CF61E5">
      <w:pPr>
        <w:pStyle w:val="ListParagraph"/>
        <w:ind w:left="1080"/>
      </w:pPr>
      <w:r w:rsidRPr="00EA59C0">
        <w:t>Refer</w:t>
      </w:r>
      <w:r w:rsidR="00C026A6" w:rsidRPr="00EA59C0">
        <w:t xml:space="preserve"> </w:t>
      </w:r>
      <w:r w:rsidRPr="00EA59C0">
        <w:t>to</w:t>
      </w:r>
      <w:r w:rsidR="00C026A6" w:rsidRPr="00EA59C0">
        <w:t xml:space="preserve"> </w:t>
      </w:r>
      <w:r w:rsidRPr="00EA59C0">
        <w:t>Appendix</w:t>
      </w:r>
      <w:r w:rsidR="00C026A6" w:rsidRPr="00EA59C0">
        <w:t xml:space="preserve"> </w:t>
      </w:r>
      <w:r w:rsidR="002E3D1D" w:rsidRPr="00EA59C0">
        <w:t>C</w:t>
      </w:r>
      <w:r w:rsidR="00C026A6" w:rsidRPr="00EA59C0">
        <w:t xml:space="preserve"> </w:t>
      </w:r>
      <w:r w:rsidRPr="00EA59C0">
        <w:t>for</w:t>
      </w:r>
      <w:r w:rsidR="00C026A6" w:rsidRPr="00EA59C0">
        <w:t xml:space="preserve"> </w:t>
      </w:r>
      <w:r w:rsidRPr="00EA59C0">
        <w:t>more</w:t>
      </w:r>
      <w:r w:rsidR="00C026A6" w:rsidRPr="00EA59C0">
        <w:t xml:space="preserve"> </w:t>
      </w:r>
      <w:r w:rsidRPr="00EA59C0">
        <w:t>information</w:t>
      </w:r>
      <w:r w:rsidR="00C026A6" w:rsidRPr="00EA59C0">
        <w:t xml:space="preserve"> </w:t>
      </w:r>
      <w:r w:rsidRPr="00EA59C0">
        <w:t>and</w:t>
      </w:r>
      <w:r w:rsidR="00C026A6" w:rsidRPr="00EA59C0">
        <w:t xml:space="preserve"> </w:t>
      </w:r>
      <w:r w:rsidRPr="00EA59C0">
        <w:t>resources</w:t>
      </w:r>
      <w:r w:rsidR="00C026A6" w:rsidRPr="00EA59C0">
        <w:t xml:space="preserve"> </w:t>
      </w:r>
      <w:r w:rsidRPr="00EA59C0">
        <w:t>on</w:t>
      </w:r>
      <w:r w:rsidR="00C026A6" w:rsidRPr="00EA59C0">
        <w:t xml:space="preserve"> </w:t>
      </w:r>
      <w:r w:rsidRPr="00EA59C0">
        <w:t>the</w:t>
      </w:r>
      <w:r w:rsidR="00C026A6" w:rsidRPr="00EA59C0">
        <w:t xml:space="preserve"> </w:t>
      </w:r>
      <w:r w:rsidRPr="00EA59C0">
        <w:t>strategies</w:t>
      </w:r>
      <w:r w:rsidR="00C026A6" w:rsidRPr="00EA59C0">
        <w:t xml:space="preserve"> </w:t>
      </w:r>
      <w:r w:rsidRPr="00EA59C0">
        <w:t>listed</w:t>
      </w:r>
      <w:r w:rsidR="00C026A6" w:rsidRPr="00EA59C0">
        <w:t xml:space="preserve"> </w:t>
      </w:r>
      <w:r w:rsidRPr="00EA59C0">
        <w:t>above.</w:t>
      </w:r>
      <w:r w:rsidR="00C026A6" w:rsidRPr="00EA59C0">
        <w:t xml:space="preserve"> </w:t>
      </w:r>
    </w:p>
    <w:p w:rsidR="00C744BD" w:rsidRPr="00EA59C0" w:rsidRDefault="00C744BD">
      <w:pPr>
        <w:ind w:left="1080"/>
      </w:pPr>
    </w:p>
    <w:p w:rsidR="007B748B" w:rsidRPr="00EA59C0" w:rsidRDefault="007B748B">
      <w:pPr>
        <w:ind w:left="1080"/>
        <w:rPr>
          <w:u w:val="single"/>
        </w:rPr>
      </w:pPr>
      <w:r w:rsidRPr="00EA59C0">
        <w:rPr>
          <w:u w:val="single"/>
        </w:rPr>
        <w:t>Stacked</w:t>
      </w:r>
      <w:r w:rsidR="00C026A6" w:rsidRPr="00EA59C0">
        <w:rPr>
          <w:u w:val="single"/>
        </w:rPr>
        <w:t xml:space="preserve"> </w:t>
      </w:r>
      <w:r w:rsidRPr="00EA59C0">
        <w:rPr>
          <w:u w:val="single"/>
        </w:rPr>
        <w:t>and</w:t>
      </w:r>
      <w:r w:rsidR="00C026A6" w:rsidRPr="00EA59C0">
        <w:rPr>
          <w:u w:val="single"/>
        </w:rPr>
        <w:t xml:space="preserve"> </w:t>
      </w:r>
      <w:r w:rsidRPr="00EA59C0">
        <w:rPr>
          <w:u w:val="single"/>
        </w:rPr>
        <w:t>Latticed</w:t>
      </w:r>
      <w:r w:rsidR="00C026A6" w:rsidRPr="00EA59C0">
        <w:rPr>
          <w:u w:val="single"/>
        </w:rPr>
        <w:t xml:space="preserve"> </w:t>
      </w:r>
      <w:r w:rsidRPr="00EA59C0">
        <w:rPr>
          <w:u w:val="single"/>
        </w:rPr>
        <w:t>Credentials</w:t>
      </w:r>
    </w:p>
    <w:p w:rsidR="001E2BD2" w:rsidRPr="00EA59C0" w:rsidRDefault="001E2BD2">
      <w:pPr>
        <w:ind w:left="1080"/>
      </w:pPr>
      <w:r w:rsidRPr="00EA59C0">
        <w:t>Applicants</w:t>
      </w:r>
      <w:r w:rsidR="00C026A6" w:rsidRPr="00EA59C0">
        <w:t xml:space="preserve"> </w:t>
      </w:r>
      <w:r w:rsidR="00746187" w:rsidRPr="00EA59C0">
        <w:t>will</w:t>
      </w:r>
      <w:r w:rsidR="00C026A6" w:rsidRPr="00EA59C0">
        <w:t xml:space="preserve"> </w:t>
      </w:r>
      <w:r w:rsidRPr="00EA59C0">
        <w:t>incorporate</w:t>
      </w:r>
      <w:r w:rsidR="00C026A6" w:rsidRPr="00EA59C0">
        <w:t xml:space="preserve"> </w:t>
      </w:r>
      <w:r w:rsidRPr="00EA59C0">
        <w:t>a</w:t>
      </w:r>
      <w:r w:rsidR="00C026A6" w:rsidRPr="00EA59C0">
        <w:t xml:space="preserve"> </w:t>
      </w:r>
      <w:r w:rsidRPr="00EA59C0">
        <w:t>variety</w:t>
      </w:r>
      <w:r w:rsidR="00C026A6" w:rsidRPr="00EA59C0">
        <w:t xml:space="preserve"> </w:t>
      </w:r>
      <w:r w:rsidRPr="00EA59C0">
        <w:t>of</w:t>
      </w:r>
      <w:r w:rsidR="00C026A6" w:rsidRPr="00EA59C0">
        <w:t xml:space="preserve"> </w:t>
      </w:r>
      <w:r w:rsidRPr="00EA59C0">
        <w:t>credit-bearing</w:t>
      </w:r>
      <w:r w:rsidR="00C026A6" w:rsidRPr="00EA59C0">
        <w:t xml:space="preserve"> </w:t>
      </w:r>
      <w:r w:rsidRPr="00EA59C0">
        <w:t>postsecondary</w:t>
      </w:r>
      <w:r w:rsidR="00C026A6" w:rsidRPr="00EA59C0">
        <w:t xml:space="preserve"> </w:t>
      </w:r>
      <w:r w:rsidRPr="00EA59C0">
        <w:t>credentials,</w:t>
      </w:r>
      <w:r w:rsidR="00C026A6" w:rsidRPr="00EA59C0">
        <w:t xml:space="preserve"> </w:t>
      </w:r>
      <w:r w:rsidRPr="00EA59C0">
        <w:t>including</w:t>
      </w:r>
      <w:r w:rsidR="00C026A6" w:rsidRPr="00EA59C0">
        <w:t xml:space="preserve"> </w:t>
      </w:r>
      <w:r w:rsidRPr="00EA59C0">
        <w:t>certificates,</w:t>
      </w:r>
      <w:r w:rsidR="00C026A6" w:rsidRPr="00EA59C0">
        <w:t xml:space="preserve"> </w:t>
      </w:r>
      <w:r w:rsidRPr="00EA59C0">
        <w:t>certifications,</w:t>
      </w:r>
      <w:r w:rsidR="00C026A6" w:rsidRPr="00EA59C0">
        <w:t xml:space="preserve"> </w:t>
      </w:r>
      <w:r w:rsidRPr="00EA59C0">
        <w:t>diplomas,</w:t>
      </w:r>
      <w:r w:rsidR="00C026A6" w:rsidRPr="00EA59C0">
        <w:t xml:space="preserve"> </w:t>
      </w:r>
      <w:r w:rsidRPr="00EA59C0">
        <w:t>and</w:t>
      </w:r>
      <w:r w:rsidR="00C026A6" w:rsidRPr="00EA59C0">
        <w:t xml:space="preserve"> </w:t>
      </w:r>
      <w:r w:rsidRPr="00EA59C0">
        <w:t>degrees,</w:t>
      </w:r>
      <w:r w:rsidR="00C026A6" w:rsidRPr="00EA59C0">
        <w:t xml:space="preserve"> </w:t>
      </w:r>
      <w:r w:rsidRPr="00EA59C0">
        <w:t>into</w:t>
      </w:r>
      <w:r w:rsidR="00C026A6" w:rsidRPr="00EA59C0">
        <w:t xml:space="preserve"> </w:t>
      </w:r>
      <w:r w:rsidRPr="00EA59C0">
        <w:t>the</w:t>
      </w:r>
      <w:r w:rsidR="00C026A6" w:rsidRPr="00EA59C0">
        <w:t xml:space="preserve"> </w:t>
      </w:r>
      <w:r w:rsidRPr="00EA59C0">
        <w:t>proposed</w:t>
      </w:r>
      <w:r w:rsidR="00C026A6" w:rsidRPr="00EA59C0">
        <w:t xml:space="preserve"> </w:t>
      </w:r>
      <w:r w:rsidRPr="00EA59C0">
        <w:t>program</w:t>
      </w:r>
      <w:r w:rsidR="00C026A6" w:rsidRPr="00EA59C0">
        <w:t xml:space="preserve"> </w:t>
      </w:r>
      <w:r w:rsidRPr="00EA59C0">
        <w:t>design.</w:t>
      </w:r>
      <w:r w:rsidR="00C026A6" w:rsidRPr="00EA59C0">
        <w:t xml:space="preserve">  </w:t>
      </w:r>
      <w:r w:rsidR="005D5CB0" w:rsidRPr="00EA59C0">
        <w:t xml:space="preserve">Successful </w:t>
      </w:r>
      <w:r w:rsidRPr="00EA59C0">
        <w:t>applicants</w:t>
      </w:r>
      <w:r w:rsidR="00C026A6" w:rsidRPr="00EA59C0">
        <w:t xml:space="preserve"> </w:t>
      </w:r>
      <w:r w:rsidR="005D5CB0" w:rsidRPr="00EA59C0">
        <w:t xml:space="preserve">will </w:t>
      </w:r>
      <w:r w:rsidRPr="00EA59C0">
        <w:t>design</w:t>
      </w:r>
      <w:r w:rsidR="00C026A6" w:rsidRPr="00EA59C0">
        <w:t xml:space="preserve"> </w:t>
      </w:r>
      <w:r w:rsidRPr="00EA59C0">
        <w:t>or</w:t>
      </w:r>
      <w:r w:rsidR="00C026A6" w:rsidRPr="00EA59C0">
        <w:t xml:space="preserve"> </w:t>
      </w:r>
      <w:r w:rsidRPr="00EA59C0">
        <w:t>adapt</w:t>
      </w:r>
      <w:r w:rsidR="00C026A6" w:rsidRPr="00EA59C0">
        <w:t xml:space="preserve"> </w:t>
      </w:r>
      <w:r w:rsidRPr="00EA59C0">
        <w:t>credentials</w:t>
      </w:r>
      <w:r w:rsidR="00C026A6" w:rsidRPr="00EA59C0">
        <w:t xml:space="preserve"> </w:t>
      </w:r>
      <w:r w:rsidRPr="00EA59C0">
        <w:t>that</w:t>
      </w:r>
      <w:r w:rsidR="00C026A6" w:rsidRPr="00EA59C0">
        <w:t xml:space="preserve"> </w:t>
      </w:r>
      <w:r w:rsidRPr="00EA59C0">
        <w:t>are</w:t>
      </w:r>
      <w:r w:rsidR="00C026A6" w:rsidRPr="00EA59C0">
        <w:t xml:space="preserve"> </w:t>
      </w:r>
      <w:r w:rsidRPr="00EA59C0">
        <w:t>competency-based,</w:t>
      </w:r>
      <w:r w:rsidR="00C026A6" w:rsidRPr="00EA59C0">
        <w:t xml:space="preserve"> </w:t>
      </w:r>
      <w:r w:rsidRPr="00EA59C0">
        <w:t>attest</w:t>
      </w:r>
      <w:r w:rsidR="00C026A6" w:rsidRPr="00EA59C0">
        <w:t xml:space="preserve"> </w:t>
      </w:r>
      <w:r w:rsidRPr="00EA59C0">
        <w:t>to</w:t>
      </w:r>
      <w:r w:rsidR="00C026A6" w:rsidRPr="00EA59C0">
        <w:t xml:space="preserve"> </w:t>
      </w:r>
      <w:r w:rsidRPr="00EA59C0">
        <w:t>the</w:t>
      </w:r>
      <w:r w:rsidR="00C026A6" w:rsidRPr="00EA59C0">
        <w:t xml:space="preserve"> </w:t>
      </w:r>
      <w:r w:rsidRPr="00EA59C0">
        <w:t>mastery</w:t>
      </w:r>
      <w:r w:rsidR="00C026A6" w:rsidRPr="00EA59C0">
        <w:t xml:space="preserve"> </w:t>
      </w:r>
      <w:r w:rsidRPr="00EA59C0">
        <w:t>of</w:t>
      </w:r>
      <w:r w:rsidR="00C026A6" w:rsidRPr="00EA59C0">
        <w:t xml:space="preserve"> </w:t>
      </w:r>
      <w:r w:rsidRPr="00EA59C0">
        <w:t>specific</w:t>
      </w:r>
      <w:r w:rsidR="00C026A6" w:rsidRPr="00EA59C0">
        <w:t xml:space="preserve"> </w:t>
      </w:r>
      <w:r w:rsidRPr="00EA59C0">
        <w:t>skills</w:t>
      </w:r>
      <w:r w:rsidR="00C026A6" w:rsidRPr="00EA59C0">
        <w:t xml:space="preserve"> </w:t>
      </w:r>
      <w:r w:rsidRPr="00EA59C0">
        <w:t>and</w:t>
      </w:r>
      <w:r w:rsidR="00C026A6" w:rsidRPr="00EA59C0">
        <w:t xml:space="preserve"> </w:t>
      </w:r>
      <w:r w:rsidRPr="00EA59C0">
        <w:t>knowledge</w:t>
      </w:r>
      <w:r w:rsidR="00C026A6" w:rsidRPr="00EA59C0">
        <w:t xml:space="preserve"> </w:t>
      </w:r>
      <w:r w:rsidRPr="00EA59C0">
        <w:t>learned</w:t>
      </w:r>
      <w:r w:rsidR="00C026A6" w:rsidRPr="00EA59C0">
        <w:t xml:space="preserve"> </w:t>
      </w:r>
      <w:r w:rsidRPr="00EA59C0">
        <w:t>by</w:t>
      </w:r>
      <w:r w:rsidR="00C026A6" w:rsidRPr="00EA59C0">
        <w:t xml:space="preserve"> </w:t>
      </w:r>
      <w:r w:rsidRPr="00EA59C0">
        <w:t>students,</w:t>
      </w:r>
      <w:r w:rsidR="00C026A6" w:rsidRPr="00EA59C0">
        <w:t xml:space="preserve"> </w:t>
      </w:r>
      <w:r w:rsidRPr="00EA59C0">
        <w:t>and</w:t>
      </w:r>
      <w:r w:rsidR="00C026A6" w:rsidRPr="00EA59C0">
        <w:t xml:space="preserve"> </w:t>
      </w:r>
      <w:r w:rsidRPr="00EA59C0">
        <w:t>are</w:t>
      </w:r>
      <w:r w:rsidR="00C026A6" w:rsidRPr="00EA59C0">
        <w:t xml:space="preserve"> </w:t>
      </w:r>
      <w:r w:rsidRPr="00EA59C0">
        <w:t>valued</w:t>
      </w:r>
      <w:r w:rsidR="00C026A6" w:rsidRPr="00EA59C0">
        <w:t xml:space="preserve"> </w:t>
      </w:r>
      <w:r w:rsidRPr="00EA59C0">
        <w:t>by</w:t>
      </w:r>
      <w:r w:rsidR="00C026A6" w:rsidRPr="00EA59C0">
        <w:t xml:space="preserve"> </w:t>
      </w:r>
      <w:r w:rsidRPr="00EA59C0">
        <w:t>employers.</w:t>
      </w:r>
      <w:r w:rsidR="00C026A6" w:rsidRPr="00EA59C0">
        <w:t xml:space="preserve">  </w:t>
      </w:r>
      <w:r w:rsidRPr="00EA59C0">
        <w:t>For</w:t>
      </w:r>
      <w:r w:rsidR="00C026A6" w:rsidRPr="00EA59C0">
        <w:t xml:space="preserve"> </w:t>
      </w:r>
      <w:r w:rsidRPr="00EA59C0">
        <w:t>certifications,</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actively</w:t>
      </w:r>
      <w:r w:rsidR="00C026A6" w:rsidRPr="00EA59C0">
        <w:t xml:space="preserve"> </w:t>
      </w:r>
      <w:r w:rsidRPr="00EA59C0">
        <w:t>engage</w:t>
      </w:r>
      <w:r w:rsidR="00C026A6" w:rsidRPr="00EA59C0">
        <w:t xml:space="preserve"> </w:t>
      </w:r>
      <w:r w:rsidRPr="00EA59C0">
        <w:t>employers</w:t>
      </w:r>
      <w:r w:rsidR="00C026A6" w:rsidRPr="00EA59C0">
        <w:t xml:space="preserve"> </w:t>
      </w:r>
      <w:r w:rsidRPr="00EA59C0">
        <w:t>and/or</w:t>
      </w:r>
      <w:r w:rsidR="00C026A6" w:rsidRPr="00EA59C0">
        <w:t xml:space="preserve"> </w:t>
      </w:r>
      <w:r w:rsidRPr="00EA59C0">
        <w:t>industry</w:t>
      </w:r>
      <w:r w:rsidR="00C026A6" w:rsidRPr="00EA59C0">
        <w:t xml:space="preserve"> </w:t>
      </w:r>
      <w:r w:rsidRPr="00EA59C0">
        <w:t>associations</w:t>
      </w:r>
      <w:r w:rsidR="00C026A6" w:rsidRPr="00EA59C0">
        <w:t xml:space="preserve"> </w:t>
      </w:r>
      <w:r w:rsidRPr="00EA59C0">
        <w:t>to</w:t>
      </w:r>
      <w:r w:rsidR="00C026A6" w:rsidRPr="00EA59C0">
        <w:t xml:space="preserve"> </w:t>
      </w:r>
      <w:r w:rsidRPr="00EA59C0">
        <w:t>identify</w:t>
      </w:r>
      <w:r w:rsidR="00C026A6" w:rsidRPr="00EA59C0">
        <w:t xml:space="preserve"> </w:t>
      </w:r>
      <w:r w:rsidRPr="00EA59C0">
        <w:t>any</w:t>
      </w:r>
      <w:r w:rsidR="00C026A6" w:rsidRPr="00EA59C0">
        <w:t xml:space="preserve"> </w:t>
      </w:r>
      <w:r w:rsidRPr="00EA59C0">
        <w:t>certifications</w:t>
      </w:r>
      <w:r w:rsidR="00C026A6" w:rsidRPr="00EA59C0">
        <w:t xml:space="preserve"> </w:t>
      </w:r>
      <w:r w:rsidRPr="00EA59C0">
        <w:t>that</w:t>
      </w:r>
      <w:r w:rsidR="00C026A6" w:rsidRPr="00EA59C0">
        <w:t xml:space="preserve"> </w:t>
      </w:r>
      <w:r w:rsidRPr="00EA59C0">
        <w:t>are</w:t>
      </w:r>
      <w:r w:rsidR="00C026A6" w:rsidRPr="00EA59C0">
        <w:t xml:space="preserve"> </w:t>
      </w:r>
      <w:r w:rsidRPr="00EA59C0">
        <w:t>either</w:t>
      </w:r>
      <w:r w:rsidR="00C026A6" w:rsidRPr="00EA59C0">
        <w:t xml:space="preserve"> </w:t>
      </w:r>
      <w:r w:rsidRPr="00EA59C0">
        <w:t>necessary</w:t>
      </w:r>
      <w:r w:rsidR="00C026A6" w:rsidRPr="00EA59C0">
        <w:t xml:space="preserve"> </w:t>
      </w:r>
      <w:r w:rsidRPr="00EA59C0">
        <w:t>for</w:t>
      </w:r>
      <w:r w:rsidR="00C026A6" w:rsidRPr="00EA59C0">
        <w:t xml:space="preserve"> </w:t>
      </w:r>
      <w:r w:rsidRPr="00EA59C0">
        <w:t>employment</w:t>
      </w:r>
      <w:r w:rsidR="00C026A6" w:rsidRPr="00EA59C0">
        <w:t xml:space="preserve"> </w:t>
      </w:r>
      <w:r w:rsidRPr="00EA59C0">
        <w:t>in</w:t>
      </w:r>
      <w:r w:rsidR="00C026A6" w:rsidRPr="00EA59C0">
        <w:t xml:space="preserve"> </w:t>
      </w:r>
      <w:r w:rsidRPr="00EA59C0">
        <w:t>the</w:t>
      </w:r>
      <w:r w:rsidR="00C026A6" w:rsidRPr="00EA59C0">
        <w:t xml:space="preserve"> </w:t>
      </w:r>
      <w:r w:rsidRPr="00EA59C0">
        <w:t>field</w:t>
      </w:r>
      <w:r w:rsidR="00C026A6" w:rsidRPr="00EA59C0">
        <w:t xml:space="preserve"> </w:t>
      </w:r>
      <w:r w:rsidRPr="00EA59C0">
        <w:t>of</w:t>
      </w:r>
      <w:r w:rsidR="00C026A6" w:rsidRPr="00EA59C0">
        <w:t xml:space="preserve"> </w:t>
      </w:r>
      <w:r w:rsidRPr="00EA59C0">
        <w:t>study</w:t>
      </w:r>
      <w:r w:rsidR="00C026A6" w:rsidRPr="00EA59C0">
        <w:t xml:space="preserve"> </w:t>
      </w:r>
      <w:r w:rsidRPr="00EA59C0">
        <w:t>or</w:t>
      </w:r>
      <w:r w:rsidR="00C026A6" w:rsidRPr="00EA59C0">
        <w:t xml:space="preserve"> </w:t>
      </w:r>
      <w:r w:rsidRPr="00EA59C0">
        <w:t>are</w:t>
      </w:r>
      <w:r w:rsidR="00C026A6" w:rsidRPr="00EA59C0">
        <w:t xml:space="preserve"> </w:t>
      </w:r>
      <w:r w:rsidRPr="00EA59C0">
        <w:t>widely</w:t>
      </w:r>
      <w:r w:rsidR="00C026A6" w:rsidRPr="00EA59C0">
        <w:t xml:space="preserve"> </w:t>
      </w:r>
      <w:r w:rsidRPr="00EA59C0">
        <w:t>used</w:t>
      </w:r>
      <w:r w:rsidR="00C026A6" w:rsidRPr="00EA59C0">
        <w:t xml:space="preserve"> </w:t>
      </w:r>
      <w:r w:rsidRPr="00EA59C0">
        <w:t>by</w:t>
      </w:r>
      <w:r w:rsidR="00C026A6" w:rsidRPr="00EA59C0">
        <w:t xml:space="preserve"> </w:t>
      </w:r>
      <w:r w:rsidRPr="00EA59C0">
        <w:t>employers</w:t>
      </w:r>
      <w:r w:rsidR="00C026A6" w:rsidRPr="00EA59C0">
        <w:t xml:space="preserve"> </w:t>
      </w:r>
      <w:r w:rsidRPr="00EA59C0">
        <w:t>for</w:t>
      </w:r>
      <w:r w:rsidR="00C026A6" w:rsidRPr="00EA59C0">
        <w:t xml:space="preserve"> </w:t>
      </w:r>
      <w:r w:rsidRPr="00EA59C0">
        <w:t>hiring</w:t>
      </w:r>
      <w:r w:rsidR="00C026A6" w:rsidRPr="00EA59C0">
        <w:t xml:space="preserve"> </w:t>
      </w:r>
      <w:r w:rsidRPr="00EA59C0">
        <w:t>and</w:t>
      </w:r>
      <w:r w:rsidR="00C026A6" w:rsidRPr="00EA59C0">
        <w:t xml:space="preserve"> </w:t>
      </w:r>
      <w:r w:rsidRPr="00EA59C0">
        <w:t>promotion</w:t>
      </w:r>
      <w:r w:rsidR="00C026A6" w:rsidRPr="00EA59C0">
        <w:t xml:space="preserve"> </w:t>
      </w:r>
      <w:r w:rsidRPr="00EA59C0">
        <w:t>purposes,</w:t>
      </w:r>
      <w:r w:rsidR="00C026A6" w:rsidRPr="00EA59C0">
        <w:t xml:space="preserve"> </w:t>
      </w:r>
      <w:r w:rsidRPr="00EA59C0">
        <w:t>and</w:t>
      </w:r>
      <w:r w:rsidR="00C026A6" w:rsidRPr="00EA59C0">
        <w:t xml:space="preserve"> </w:t>
      </w:r>
      <w:r w:rsidRPr="00EA59C0">
        <w:t>embed</w:t>
      </w:r>
      <w:r w:rsidR="00C026A6" w:rsidRPr="00EA59C0">
        <w:t xml:space="preserve"> </w:t>
      </w:r>
      <w:r w:rsidRPr="00EA59C0">
        <w:t>these</w:t>
      </w:r>
      <w:r w:rsidR="00C026A6" w:rsidRPr="00EA59C0">
        <w:t xml:space="preserve"> </w:t>
      </w:r>
      <w:r w:rsidRPr="00EA59C0">
        <w:t>into</w:t>
      </w:r>
      <w:r w:rsidR="00C026A6" w:rsidRPr="00EA59C0">
        <w:t xml:space="preserve"> </w:t>
      </w:r>
      <w:r w:rsidRPr="00EA59C0">
        <w:t>the</w:t>
      </w:r>
      <w:r w:rsidR="00C026A6" w:rsidRPr="00EA59C0">
        <w:t xml:space="preserve"> </w:t>
      </w:r>
      <w:r w:rsidRPr="00EA59C0">
        <w:t>career</w:t>
      </w:r>
      <w:r w:rsidR="00C026A6" w:rsidRPr="00EA59C0">
        <w:t xml:space="preserve"> </w:t>
      </w:r>
      <w:r w:rsidRPr="00EA59C0">
        <w:t>pathway</w:t>
      </w:r>
      <w:r w:rsidR="00C026A6" w:rsidRPr="00EA59C0">
        <w:t xml:space="preserve"> </w:t>
      </w:r>
      <w:r w:rsidRPr="00EA59C0">
        <w:t>training</w:t>
      </w:r>
      <w:r w:rsidR="00C026A6" w:rsidRPr="00EA59C0">
        <w:t xml:space="preserve"> </w:t>
      </w:r>
      <w:r w:rsidRPr="00EA59C0">
        <w:t>programs.</w:t>
      </w:r>
      <w:r w:rsidR="00C026A6" w:rsidRPr="00EA59C0">
        <w:t xml:space="preserve"> </w:t>
      </w:r>
    </w:p>
    <w:p w:rsidR="001E2BD2" w:rsidRPr="00EA59C0" w:rsidRDefault="001E2BD2">
      <w:pPr>
        <w:ind w:left="1080"/>
      </w:pPr>
    </w:p>
    <w:p w:rsidR="00C744BD" w:rsidRPr="00EA59C0" w:rsidRDefault="00C744BD">
      <w:pPr>
        <w:ind w:left="1080"/>
      </w:pPr>
      <w:r w:rsidRPr="00EA59C0">
        <w:t>Each</w:t>
      </w:r>
      <w:r w:rsidR="00C026A6" w:rsidRPr="00EA59C0">
        <w:t xml:space="preserve"> </w:t>
      </w:r>
      <w:r w:rsidRPr="00EA59C0">
        <w:t>of</w:t>
      </w:r>
      <w:r w:rsidR="00C026A6" w:rsidRPr="00EA59C0">
        <w:t xml:space="preserve"> </w:t>
      </w:r>
      <w:r w:rsidRPr="00EA59C0">
        <w:t>these</w:t>
      </w:r>
      <w:r w:rsidR="00C026A6" w:rsidRPr="00EA59C0">
        <w:t xml:space="preserve"> </w:t>
      </w:r>
      <w:r w:rsidRPr="00EA59C0">
        <w:t>credentials</w:t>
      </w:r>
      <w:r w:rsidR="00C026A6" w:rsidRPr="00EA59C0">
        <w:t xml:space="preserve"> </w:t>
      </w:r>
      <w:r w:rsidRPr="00EA59C0">
        <w:t>can</w:t>
      </w:r>
      <w:r w:rsidR="00C026A6" w:rsidRPr="00EA59C0">
        <w:t xml:space="preserve"> </w:t>
      </w:r>
      <w:r w:rsidRPr="00EA59C0">
        <w:t>be</w:t>
      </w:r>
      <w:r w:rsidR="00C026A6" w:rsidRPr="00EA59C0">
        <w:t xml:space="preserve"> </w:t>
      </w:r>
      <w:r w:rsidRPr="00EA59C0">
        <w:t>earned</w:t>
      </w:r>
      <w:r w:rsidR="00C026A6" w:rsidRPr="00EA59C0">
        <w:t xml:space="preserve"> </w:t>
      </w:r>
      <w:r w:rsidRPr="00EA59C0">
        <w:t>in</w:t>
      </w:r>
      <w:r w:rsidR="00C026A6" w:rsidRPr="00EA59C0">
        <w:t xml:space="preserve"> </w:t>
      </w:r>
      <w:r w:rsidRPr="00EA59C0">
        <w:t>sequence</w:t>
      </w:r>
      <w:r w:rsidR="00C026A6" w:rsidRPr="00EA59C0">
        <w:t xml:space="preserve"> </w:t>
      </w:r>
      <w:r w:rsidRPr="00EA59C0">
        <w:t>and</w:t>
      </w:r>
      <w:r w:rsidR="00C026A6" w:rsidRPr="00EA59C0">
        <w:t xml:space="preserve"> </w:t>
      </w:r>
      <w:r w:rsidRPr="00EA59C0">
        <w:t>build</w:t>
      </w:r>
      <w:r w:rsidR="00C026A6" w:rsidRPr="00EA59C0">
        <w:t xml:space="preserve"> </w:t>
      </w:r>
      <w:r w:rsidRPr="00EA59C0">
        <w:t>on</w:t>
      </w:r>
      <w:r w:rsidR="00C026A6" w:rsidRPr="00EA59C0">
        <w:t xml:space="preserve"> </w:t>
      </w:r>
      <w:r w:rsidRPr="00EA59C0">
        <w:t>previously-learned</w:t>
      </w:r>
      <w:r w:rsidR="00C026A6" w:rsidRPr="00EA59C0">
        <w:t xml:space="preserve"> </w:t>
      </w:r>
      <w:r w:rsidRPr="00EA59C0">
        <w:t>content,</w:t>
      </w:r>
      <w:r w:rsidR="00C026A6" w:rsidRPr="00EA59C0">
        <w:t xml:space="preserve"> </w:t>
      </w:r>
      <w:r w:rsidRPr="00EA59C0">
        <w:t>or</w:t>
      </w:r>
      <w:r w:rsidR="00C026A6" w:rsidRPr="00EA59C0">
        <w:t xml:space="preserve"> </w:t>
      </w:r>
      <w:r w:rsidRPr="00EA59C0">
        <w:t>“stacked,”</w:t>
      </w:r>
      <w:r w:rsidR="00C026A6" w:rsidRPr="00EA59C0">
        <w:t xml:space="preserve"> </w:t>
      </w:r>
      <w:r w:rsidRPr="00EA59C0">
        <w:t>as</w:t>
      </w:r>
      <w:r w:rsidR="00C026A6" w:rsidRPr="00EA59C0">
        <w:t xml:space="preserve"> </w:t>
      </w:r>
      <w:r w:rsidR="00AC4D51" w:rsidRPr="00EA59C0">
        <w:t>students’</w:t>
      </w:r>
      <w:r w:rsidR="00C026A6" w:rsidRPr="00EA59C0">
        <w:t xml:space="preserve"> </w:t>
      </w:r>
      <w:r w:rsidRPr="00EA59C0">
        <w:t>progress</w:t>
      </w:r>
      <w:r w:rsidR="00C026A6" w:rsidRPr="00EA59C0">
        <w:t xml:space="preserve"> </w:t>
      </w:r>
      <w:r w:rsidRPr="00EA59C0">
        <w:t>through</w:t>
      </w:r>
      <w:r w:rsidR="00C026A6" w:rsidRPr="00EA59C0">
        <w:t xml:space="preserve"> </w:t>
      </w:r>
      <w:r w:rsidRPr="00EA59C0">
        <w:t>their</w:t>
      </w:r>
      <w:r w:rsidR="00C026A6" w:rsidRPr="00EA59C0">
        <w:t xml:space="preserve"> </w:t>
      </w:r>
      <w:r w:rsidRPr="00EA59C0">
        <w:t>programs,</w:t>
      </w:r>
      <w:r w:rsidR="00C026A6" w:rsidRPr="00EA59C0">
        <w:t xml:space="preserve"> </w:t>
      </w:r>
      <w:r w:rsidRPr="00EA59C0">
        <w:t>allowing</w:t>
      </w:r>
      <w:r w:rsidR="00C026A6" w:rsidRPr="00EA59C0">
        <w:t xml:space="preserve"> </w:t>
      </w:r>
      <w:r w:rsidRPr="00EA59C0">
        <w:t>them</w:t>
      </w:r>
      <w:r w:rsidR="00C026A6" w:rsidRPr="00EA59C0">
        <w:t xml:space="preserve"> </w:t>
      </w:r>
      <w:r w:rsidRPr="00EA59C0">
        <w:t>to</w:t>
      </w:r>
      <w:r w:rsidR="00C026A6" w:rsidRPr="00EA59C0">
        <w:t xml:space="preserve"> </w:t>
      </w:r>
      <w:r w:rsidRPr="00EA59C0">
        <w:t>build</w:t>
      </w:r>
      <w:r w:rsidR="00C026A6" w:rsidRPr="00EA59C0">
        <w:t xml:space="preserve"> </w:t>
      </w:r>
      <w:r w:rsidRPr="00EA59C0">
        <w:t>a</w:t>
      </w:r>
      <w:r w:rsidR="00C026A6" w:rsidRPr="00EA59C0">
        <w:t xml:space="preserve"> </w:t>
      </w:r>
      <w:r w:rsidRPr="00EA59C0">
        <w:t>portfolio</w:t>
      </w:r>
      <w:r w:rsidR="00C026A6" w:rsidRPr="00EA59C0">
        <w:t xml:space="preserve"> </w:t>
      </w:r>
      <w:r w:rsidRPr="00EA59C0">
        <w:t>of</w:t>
      </w:r>
      <w:r w:rsidR="00C026A6" w:rsidRPr="00EA59C0">
        <w:t xml:space="preserve"> </w:t>
      </w:r>
      <w:r w:rsidRPr="00EA59C0">
        <w:t>credentials</w:t>
      </w:r>
      <w:r w:rsidR="00C026A6" w:rsidRPr="00EA59C0">
        <w:t xml:space="preserve"> </w:t>
      </w:r>
      <w:r w:rsidRPr="00EA59C0">
        <w:t>that</w:t>
      </w:r>
      <w:r w:rsidR="00C026A6" w:rsidRPr="00EA59C0">
        <w:t xml:space="preserve"> </w:t>
      </w:r>
      <w:r w:rsidRPr="00EA59C0">
        <w:t>can</w:t>
      </w:r>
      <w:r w:rsidR="00C026A6" w:rsidRPr="00EA59C0">
        <w:t xml:space="preserve"> </w:t>
      </w:r>
      <w:r w:rsidRPr="00EA59C0">
        <w:t>serve</w:t>
      </w:r>
      <w:r w:rsidR="00C026A6" w:rsidRPr="00EA59C0">
        <w:t xml:space="preserve"> </w:t>
      </w:r>
      <w:r w:rsidRPr="00EA59C0">
        <w:t>them</w:t>
      </w:r>
      <w:r w:rsidR="00C026A6" w:rsidRPr="00EA59C0">
        <w:t xml:space="preserve"> </w:t>
      </w:r>
      <w:r w:rsidRPr="00EA59C0">
        <w:t>well</w:t>
      </w:r>
      <w:r w:rsidR="00C026A6" w:rsidRPr="00EA59C0">
        <w:t xml:space="preserve"> </w:t>
      </w:r>
      <w:r w:rsidRPr="00EA59C0">
        <w:t>as</w:t>
      </w:r>
      <w:r w:rsidR="00C026A6" w:rsidRPr="00EA59C0">
        <w:t xml:space="preserve"> </w:t>
      </w:r>
      <w:r w:rsidRPr="00EA59C0">
        <w:t>they</w:t>
      </w:r>
      <w:r w:rsidR="00C026A6" w:rsidRPr="00EA59C0">
        <w:t xml:space="preserve"> </w:t>
      </w:r>
      <w:r w:rsidRPr="00EA59C0">
        <w:t>transition</w:t>
      </w:r>
      <w:r w:rsidR="00C026A6" w:rsidRPr="00EA59C0">
        <w:t xml:space="preserve"> </w:t>
      </w:r>
      <w:r w:rsidRPr="00EA59C0">
        <w:t>from</w:t>
      </w:r>
      <w:r w:rsidR="00C026A6" w:rsidRPr="00EA59C0">
        <w:t xml:space="preserve"> </w:t>
      </w:r>
      <w:r w:rsidRPr="00EA59C0">
        <w:t>learning</w:t>
      </w:r>
      <w:r w:rsidR="00C026A6" w:rsidRPr="00EA59C0">
        <w:t xml:space="preserve"> </w:t>
      </w:r>
      <w:r w:rsidRPr="00EA59C0">
        <w:t>to</w:t>
      </w:r>
      <w:r w:rsidR="00C026A6" w:rsidRPr="00EA59C0">
        <w:t xml:space="preserve"> </w:t>
      </w:r>
      <w:r w:rsidR="00270164" w:rsidRPr="00EA59C0">
        <w:t>employment</w:t>
      </w:r>
      <w:r w:rsidRPr="00EA59C0">
        <w:t>.</w:t>
      </w:r>
      <w:r w:rsidR="00C026A6" w:rsidRPr="00EA59C0">
        <w:t xml:space="preserve">  </w:t>
      </w:r>
    </w:p>
    <w:p w:rsidR="00C744BD" w:rsidRPr="00EA59C0" w:rsidRDefault="00C744BD">
      <w:pPr>
        <w:ind w:left="1080"/>
      </w:pPr>
    </w:p>
    <w:p w:rsidR="00C744BD" w:rsidRPr="00EA59C0" w:rsidRDefault="00C744BD">
      <w:pPr>
        <w:ind w:left="1080"/>
      </w:pPr>
      <w:r w:rsidRPr="00EA59C0">
        <w:t>In</w:t>
      </w:r>
      <w:r w:rsidR="00C026A6" w:rsidRPr="00EA59C0">
        <w:t xml:space="preserve"> </w:t>
      </w:r>
      <w:r w:rsidRPr="00EA59C0">
        <w:t>addition</w:t>
      </w:r>
      <w:r w:rsidR="00C026A6" w:rsidRPr="00EA59C0">
        <w:t xml:space="preserve"> </w:t>
      </w:r>
      <w:r w:rsidRPr="00EA59C0">
        <w:t>to</w:t>
      </w:r>
      <w:r w:rsidR="00C026A6" w:rsidRPr="00EA59C0">
        <w:t xml:space="preserve"> </w:t>
      </w:r>
      <w:r w:rsidRPr="00EA59C0">
        <w:t>stacking</w:t>
      </w:r>
      <w:r w:rsidR="00C026A6" w:rsidRPr="00EA59C0">
        <w:t xml:space="preserve"> </w:t>
      </w:r>
      <w:r w:rsidRPr="00EA59C0">
        <w:t>certificates</w:t>
      </w:r>
      <w:r w:rsidR="00C026A6" w:rsidRPr="00EA59C0">
        <w:t xml:space="preserve"> </w:t>
      </w:r>
      <w:r w:rsidRPr="00EA59C0">
        <w:t>that</w:t>
      </w:r>
      <w:r w:rsidR="00C026A6" w:rsidRPr="00EA59C0">
        <w:t xml:space="preserve"> </w:t>
      </w:r>
      <w:r w:rsidRPr="00EA59C0">
        <w:t>lead</w:t>
      </w:r>
      <w:r w:rsidR="00C026A6" w:rsidRPr="00EA59C0">
        <w:t xml:space="preserve"> </w:t>
      </w:r>
      <w:r w:rsidRPr="00EA59C0">
        <w:t>toward</w:t>
      </w:r>
      <w:r w:rsidR="00C026A6" w:rsidRPr="00EA59C0">
        <w:t xml:space="preserve"> </w:t>
      </w:r>
      <w:r w:rsidRPr="00EA59C0">
        <w:t>an</w:t>
      </w:r>
      <w:r w:rsidR="00C026A6" w:rsidRPr="00EA59C0">
        <w:t xml:space="preserve"> </w:t>
      </w:r>
      <w:r w:rsidRPr="00EA59C0">
        <w:t>undergraduate</w:t>
      </w:r>
      <w:r w:rsidR="00C026A6" w:rsidRPr="00EA59C0">
        <w:t xml:space="preserve"> </w:t>
      </w:r>
      <w:r w:rsidRPr="00EA59C0">
        <w:t>degree,</w:t>
      </w:r>
      <w:r w:rsidR="00C026A6" w:rsidRPr="00EA59C0">
        <w:t xml:space="preserve"> </w:t>
      </w:r>
      <w:r w:rsidRPr="00EA59C0">
        <w:t>programs</w:t>
      </w:r>
      <w:r w:rsidR="00C026A6" w:rsidRPr="00EA59C0">
        <w:t xml:space="preserve"> </w:t>
      </w:r>
      <w:r w:rsidRPr="00EA59C0">
        <w:t>may</w:t>
      </w:r>
      <w:r w:rsidR="00C026A6" w:rsidRPr="00EA59C0">
        <w:t xml:space="preserve"> </w:t>
      </w:r>
      <w:r w:rsidRPr="00EA59C0">
        <w:t>allow</w:t>
      </w:r>
      <w:r w:rsidR="00C026A6" w:rsidRPr="00EA59C0">
        <w:t xml:space="preserve"> </w:t>
      </w:r>
      <w:r w:rsidRPr="00EA59C0">
        <w:t>the</w:t>
      </w:r>
      <w:r w:rsidR="00C026A6" w:rsidRPr="00EA59C0">
        <w:t xml:space="preserve"> </w:t>
      </w:r>
      <w:r w:rsidRPr="00EA59C0">
        <w:t>option</w:t>
      </w:r>
      <w:r w:rsidR="00C026A6" w:rsidRPr="00EA59C0">
        <w:t xml:space="preserve"> </w:t>
      </w:r>
      <w:r w:rsidRPr="00EA59C0">
        <w:t>to</w:t>
      </w:r>
      <w:r w:rsidR="00C026A6" w:rsidRPr="00EA59C0">
        <w:t xml:space="preserve"> </w:t>
      </w:r>
      <w:r w:rsidRPr="00EA59C0">
        <w:t>“lattice”</w:t>
      </w:r>
      <w:r w:rsidR="00C026A6" w:rsidRPr="00EA59C0">
        <w:t xml:space="preserve"> </w:t>
      </w:r>
      <w:r w:rsidRPr="00EA59C0">
        <w:t>these</w:t>
      </w:r>
      <w:r w:rsidR="00C026A6" w:rsidRPr="00EA59C0">
        <w:t xml:space="preserve"> </w:t>
      </w:r>
      <w:r w:rsidRPr="00EA59C0">
        <w:t>credentials.</w:t>
      </w:r>
      <w:r w:rsidR="00C026A6" w:rsidRPr="00EA59C0">
        <w:t xml:space="preserve">  </w:t>
      </w:r>
      <w:r w:rsidRPr="00EA59C0">
        <w:t>"Latticing,"</w:t>
      </w:r>
      <w:r w:rsidR="00C026A6" w:rsidRPr="00EA59C0">
        <w:t xml:space="preserve"> </w:t>
      </w:r>
      <w:r w:rsidRPr="00EA59C0">
        <w:t>as</w:t>
      </w:r>
      <w:r w:rsidR="00C026A6" w:rsidRPr="00EA59C0">
        <w:t xml:space="preserve"> </w:t>
      </w:r>
      <w:r w:rsidRPr="00EA59C0">
        <w:t>the</w:t>
      </w:r>
      <w:r w:rsidR="00C026A6" w:rsidRPr="00EA59C0">
        <w:t xml:space="preserve"> </w:t>
      </w:r>
      <w:r w:rsidRPr="00EA59C0">
        <w:t>name</w:t>
      </w:r>
      <w:r w:rsidR="00C026A6" w:rsidRPr="00EA59C0">
        <w:t xml:space="preserve"> </w:t>
      </w:r>
      <w:r w:rsidRPr="00EA59C0">
        <w:t>implies,</w:t>
      </w:r>
      <w:r w:rsidR="00C026A6" w:rsidRPr="00EA59C0">
        <w:t xml:space="preserve"> </w:t>
      </w:r>
      <w:r w:rsidRPr="00EA59C0">
        <w:t>allows</w:t>
      </w:r>
      <w:r w:rsidR="00C026A6" w:rsidRPr="00EA59C0">
        <w:t xml:space="preserve"> </w:t>
      </w:r>
      <w:r w:rsidRPr="00EA59C0">
        <w:t>for</w:t>
      </w:r>
      <w:r w:rsidR="00C026A6" w:rsidRPr="00EA59C0">
        <w:t xml:space="preserve"> </w:t>
      </w:r>
      <w:r w:rsidRPr="00EA59C0">
        <w:t>side-to-side</w:t>
      </w:r>
      <w:r w:rsidR="00C026A6" w:rsidRPr="00EA59C0">
        <w:t xml:space="preserve"> </w:t>
      </w:r>
      <w:r w:rsidRPr="00EA59C0">
        <w:t>credentialing.</w:t>
      </w:r>
      <w:r w:rsidR="00C026A6" w:rsidRPr="00EA59C0">
        <w:t xml:space="preserve">  </w:t>
      </w:r>
      <w:r w:rsidRPr="00EA59C0">
        <w:t>As</w:t>
      </w:r>
      <w:r w:rsidR="00C026A6" w:rsidRPr="00EA59C0">
        <w:t xml:space="preserve"> </w:t>
      </w:r>
      <w:r w:rsidRPr="00EA59C0">
        <w:t>students</w:t>
      </w:r>
      <w:r w:rsidR="00C026A6" w:rsidRPr="00EA59C0">
        <w:t xml:space="preserve"> </w:t>
      </w:r>
      <w:r w:rsidRPr="00EA59C0">
        <w:t>progress</w:t>
      </w:r>
      <w:r w:rsidR="00C026A6" w:rsidRPr="00EA59C0">
        <w:t xml:space="preserve"> </w:t>
      </w:r>
      <w:r w:rsidRPr="00EA59C0">
        <w:t>through</w:t>
      </w:r>
      <w:r w:rsidR="00C026A6" w:rsidRPr="00EA59C0">
        <w:t xml:space="preserve"> </w:t>
      </w:r>
      <w:r w:rsidRPr="00EA59C0">
        <w:t>a</w:t>
      </w:r>
      <w:r w:rsidR="00C026A6" w:rsidRPr="00EA59C0">
        <w:t xml:space="preserve"> </w:t>
      </w:r>
      <w:r w:rsidRPr="00EA59C0">
        <w:t>degree</w:t>
      </w:r>
      <w:r w:rsidR="00C026A6" w:rsidRPr="00EA59C0">
        <w:t xml:space="preserve"> </w:t>
      </w:r>
      <w:r w:rsidRPr="00EA59C0">
        <w:t>plan,</w:t>
      </w:r>
      <w:r w:rsidR="00C026A6" w:rsidRPr="00EA59C0">
        <w:t xml:space="preserve"> </w:t>
      </w:r>
      <w:r w:rsidRPr="00EA59C0">
        <w:t>earning</w:t>
      </w:r>
      <w:r w:rsidR="00C026A6" w:rsidRPr="00EA59C0">
        <w:t xml:space="preserve"> </w:t>
      </w:r>
      <w:r w:rsidRPr="00EA59C0">
        <w:t>certificates</w:t>
      </w:r>
      <w:r w:rsidR="00C026A6" w:rsidRPr="00EA59C0">
        <w:t xml:space="preserve"> </w:t>
      </w:r>
      <w:r w:rsidRPr="00EA59C0">
        <w:t>along</w:t>
      </w:r>
      <w:r w:rsidR="00C026A6" w:rsidRPr="00EA59C0">
        <w:t xml:space="preserve"> </w:t>
      </w:r>
      <w:r w:rsidRPr="00EA59C0">
        <w:t>the</w:t>
      </w:r>
      <w:r w:rsidR="00C026A6" w:rsidRPr="00EA59C0">
        <w:t xml:space="preserve"> </w:t>
      </w:r>
      <w:r w:rsidRPr="00EA59C0">
        <w:t>way,</w:t>
      </w:r>
      <w:r w:rsidR="00C026A6" w:rsidRPr="00EA59C0">
        <w:t xml:space="preserve"> </w:t>
      </w:r>
      <w:r w:rsidRPr="00EA59C0">
        <w:t>they</w:t>
      </w:r>
      <w:r w:rsidR="00C026A6" w:rsidRPr="00EA59C0">
        <w:t xml:space="preserve"> </w:t>
      </w:r>
      <w:r w:rsidRPr="00EA59C0">
        <w:t>may</w:t>
      </w:r>
      <w:r w:rsidR="00C026A6" w:rsidRPr="00EA59C0">
        <w:t xml:space="preserve"> </w:t>
      </w:r>
      <w:r w:rsidRPr="00EA59C0">
        <w:t>get</w:t>
      </w:r>
      <w:r w:rsidR="00C026A6" w:rsidRPr="00EA59C0">
        <w:t xml:space="preserve"> </w:t>
      </w:r>
      <w:r w:rsidRPr="00EA59C0">
        <w:t>to</w:t>
      </w:r>
      <w:r w:rsidR="00C026A6" w:rsidRPr="00EA59C0">
        <w:t xml:space="preserve"> </w:t>
      </w:r>
      <w:r w:rsidRPr="00EA59C0">
        <w:t>a</w:t>
      </w:r>
      <w:r w:rsidR="00C026A6" w:rsidRPr="00EA59C0">
        <w:t xml:space="preserve"> </w:t>
      </w:r>
      <w:r w:rsidRPr="00EA59C0">
        <w:t>point</w:t>
      </w:r>
      <w:r w:rsidR="00C026A6" w:rsidRPr="00EA59C0">
        <w:t xml:space="preserve"> </w:t>
      </w:r>
      <w:r w:rsidRPr="00EA59C0">
        <w:t>where</w:t>
      </w:r>
      <w:r w:rsidR="00C026A6" w:rsidRPr="00EA59C0">
        <w:t xml:space="preserve"> </w:t>
      </w:r>
      <w:r w:rsidRPr="00EA59C0">
        <w:t>they</w:t>
      </w:r>
      <w:r w:rsidR="00C026A6" w:rsidRPr="00EA59C0">
        <w:t xml:space="preserve"> </w:t>
      </w:r>
      <w:r w:rsidRPr="00EA59C0">
        <w:t>want</w:t>
      </w:r>
      <w:r w:rsidR="00C026A6" w:rsidRPr="00EA59C0">
        <w:t xml:space="preserve"> </w:t>
      </w:r>
      <w:r w:rsidRPr="00EA59C0">
        <w:t>to</w:t>
      </w:r>
      <w:r w:rsidR="00C026A6" w:rsidRPr="00EA59C0">
        <w:t xml:space="preserve"> </w:t>
      </w:r>
      <w:r w:rsidRPr="00EA59C0">
        <w:t>add</w:t>
      </w:r>
      <w:r w:rsidR="00C026A6" w:rsidRPr="00EA59C0">
        <w:t xml:space="preserve"> </w:t>
      </w:r>
      <w:r w:rsidRPr="00EA59C0">
        <w:t>or</w:t>
      </w:r>
      <w:r w:rsidR="00C026A6" w:rsidRPr="00EA59C0">
        <w:t xml:space="preserve"> </w:t>
      </w:r>
      <w:r w:rsidRPr="00EA59C0">
        <w:t>shift</w:t>
      </w:r>
      <w:r w:rsidR="00C026A6" w:rsidRPr="00EA59C0">
        <w:t xml:space="preserve"> </w:t>
      </w:r>
      <w:r w:rsidRPr="00EA59C0">
        <w:t>to</w:t>
      </w:r>
      <w:r w:rsidR="00C026A6" w:rsidRPr="00EA59C0">
        <w:t xml:space="preserve"> </w:t>
      </w:r>
      <w:r w:rsidRPr="00EA59C0">
        <w:t>another</w:t>
      </w:r>
      <w:r w:rsidR="00C026A6" w:rsidRPr="00EA59C0">
        <w:t xml:space="preserve"> </w:t>
      </w:r>
      <w:r w:rsidRPr="00EA59C0">
        <w:t>related</w:t>
      </w:r>
      <w:r w:rsidR="00C026A6" w:rsidRPr="00EA59C0">
        <w:t xml:space="preserve"> </w:t>
      </w:r>
      <w:r w:rsidRPr="00EA59C0">
        <w:t>field</w:t>
      </w:r>
      <w:r w:rsidR="00C026A6" w:rsidRPr="00EA59C0">
        <w:t xml:space="preserve"> </w:t>
      </w:r>
      <w:r w:rsidRPr="00EA59C0">
        <w:t>of</w:t>
      </w:r>
      <w:r w:rsidR="00C026A6" w:rsidRPr="00EA59C0">
        <w:t xml:space="preserve"> </w:t>
      </w:r>
      <w:r w:rsidRPr="00EA59C0">
        <w:t>study.</w:t>
      </w:r>
      <w:r w:rsidR="00C026A6" w:rsidRPr="00EA59C0">
        <w:t xml:space="preserve">  </w:t>
      </w:r>
      <w:r w:rsidRPr="00EA59C0">
        <w:t>For</w:t>
      </w:r>
      <w:r w:rsidR="00C026A6" w:rsidRPr="00EA59C0">
        <w:t xml:space="preserve"> </w:t>
      </w:r>
      <w:r w:rsidRPr="00EA59C0">
        <w:t>example,</w:t>
      </w:r>
      <w:r w:rsidR="00C026A6" w:rsidRPr="00EA59C0">
        <w:t xml:space="preserve"> </w:t>
      </w:r>
      <w:r w:rsidRPr="00EA59C0">
        <w:t>a</w:t>
      </w:r>
      <w:r w:rsidR="00C026A6" w:rsidRPr="00EA59C0">
        <w:t xml:space="preserve"> </w:t>
      </w:r>
      <w:r w:rsidRPr="00EA59C0">
        <w:t>student</w:t>
      </w:r>
      <w:r w:rsidR="00C026A6" w:rsidRPr="00EA59C0">
        <w:t xml:space="preserve"> </w:t>
      </w:r>
      <w:r w:rsidRPr="00EA59C0">
        <w:t>may</w:t>
      </w:r>
      <w:r w:rsidR="00C026A6" w:rsidRPr="00EA59C0">
        <w:t xml:space="preserve"> </w:t>
      </w:r>
      <w:r w:rsidRPr="00EA59C0">
        <w:t>be</w:t>
      </w:r>
      <w:r w:rsidR="00C026A6" w:rsidRPr="00EA59C0">
        <w:t xml:space="preserve"> </w:t>
      </w:r>
      <w:r w:rsidRPr="00EA59C0">
        <w:t>pursuing</w:t>
      </w:r>
      <w:r w:rsidR="00C026A6" w:rsidRPr="00EA59C0">
        <w:t xml:space="preserve"> </w:t>
      </w:r>
      <w:r w:rsidRPr="00EA59C0">
        <w:t>an</w:t>
      </w:r>
      <w:r w:rsidR="00C026A6" w:rsidRPr="00EA59C0">
        <w:t xml:space="preserve"> </w:t>
      </w:r>
      <w:r w:rsidRPr="00EA59C0">
        <w:t>associate’s</w:t>
      </w:r>
      <w:r w:rsidR="00C026A6" w:rsidRPr="00EA59C0">
        <w:t xml:space="preserve"> </w:t>
      </w:r>
      <w:r w:rsidRPr="00EA59C0">
        <w:t>degree</w:t>
      </w:r>
      <w:r w:rsidR="00C026A6" w:rsidRPr="00EA59C0">
        <w:t xml:space="preserve"> </w:t>
      </w:r>
      <w:r w:rsidRPr="00EA59C0">
        <w:t>in</w:t>
      </w:r>
      <w:r w:rsidR="00C026A6" w:rsidRPr="00EA59C0">
        <w:t xml:space="preserve"> </w:t>
      </w:r>
      <w:r w:rsidRPr="00EA59C0">
        <w:t>nursing,</w:t>
      </w:r>
      <w:r w:rsidR="00C026A6" w:rsidRPr="00EA59C0">
        <w:t xml:space="preserve"> </w:t>
      </w:r>
      <w:r w:rsidRPr="00EA59C0">
        <w:t>but</w:t>
      </w:r>
      <w:r w:rsidR="00C026A6" w:rsidRPr="00EA59C0">
        <w:t xml:space="preserve"> </w:t>
      </w:r>
      <w:r w:rsidRPr="00EA59C0">
        <w:t>during</w:t>
      </w:r>
      <w:r w:rsidR="00C026A6" w:rsidRPr="00EA59C0">
        <w:t xml:space="preserve"> </w:t>
      </w:r>
      <w:r w:rsidRPr="00EA59C0">
        <w:t>the</w:t>
      </w:r>
      <w:r w:rsidR="00C026A6" w:rsidRPr="00EA59C0">
        <w:t xml:space="preserve"> </w:t>
      </w:r>
      <w:r w:rsidRPr="00EA59C0">
        <w:t>process</w:t>
      </w:r>
      <w:r w:rsidR="00C026A6" w:rsidRPr="00EA59C0">
        <w:t xml:space="preserve"> </w:t>
      </w:r>
      <w:r w:rsidRPr="00EA59C0">
        <w:t>decides</w:t>
      </w:r>
      <w:r w:rsidR="00C026A6" w:rsidRPr="00EA59C0">
        <w:t xml:space="preserve"> </w:t>
      </w:r>
      <w:r w:rsidRPr="00EA59C0">
        <w:t>to</w:t>
      </w:r>
      <w:r w:rsidR="00C026A6" w:rsidRPr="00EA59C0">
        <w:t xml:space="preserve"> </w:t>
      </w:r>
      <w:r w:rsidRPr="00EA59C0">
        <w:t>add</w:t>
      </w:r>
      <w:r w:rsidR="00C026A6" w:rsidRPr="00EA59C0">
        <w:t xml:space="preserve"> </w:t>
      </w:r>
      <w:r w:rsidRPr="00EA59C0">
        <w:t>an</w:t>
      </w:r>
      <w:r w:rsidR="00C026A6" w:rsidRPr="00EA59C0">
        <w:t xml:space="preserve"> </w:t>
      </w:r>
      <w:r w:rsidRPr="00EA59C0">
        <w:t>occupational</w:t>
      </w:r>
      <w:r w:rsidR="00C026A6" w:rsidRPr="00EA59C0">
        <w:t xml:space="preserve"> </w:t>
      </w:r>
      <w:r w:rsidRPr="00EA59C0">
        <w:t>therapy</w:t>
      </w:r>
      <w:r w:rsidR="00C026A6" w:rsidRPr="00EA59C0">
        <w:t xml:space="preserve"> </w:t>
      </w:r>
      <w:r w:rsidRPr="00EA59C0">
        <w:t>certificate</w:t>
      </w:r>
      <w:r w:rsidR="00C026A6" w:rsidRPr="00EA59C0">
        <w:t xml:space="preserve"> </w:t>
      </w:r>
      <w:r w:rsidRPr="00EA59C0">
        <w:t>as</w:t>
      </w:r>
      <w:r w:rsidR="00C026A6" w:rsidRPr="00EA59C0">
        <w:t xml:space="preserve"> </w:t>
      </w:r>
      <w:r w:rsidRPr="00EA59C0">
        <w:t>a</w:t>
      </w:r>
      <w:r w:rsidR="00C026A6" w:rsidRPr="00EA59C0">
        <w:t xml:space="preserve"> </w:t>
      </w:r>
      <w:r w:rsidRPr="00EA59C0">
        <w:t>related</w:t>
      </w:r>
      <w:r w:rsidR="00C026A6" w:rsidRPr="00EA59C0">
        <w:t xml:space="preserve"> </w:t>
      </w:r>
      <w:r w:rsidRPr="00EA59C0">
        <w:t>field</w:t>
      </w:r>
      <w:r w:rsidR="00C026A6" w:rsidRPr="00EA59C0">
        <w:t xml:space="preserve"> </w:t>
      </w:r>
      <w:r w:rsidRPr="00EA59C0">
        <w:t>of</w:t>
      </w:r>
      <w:r w:rsidR="00C026A6" w:rsidRPr="00EA59C0">
        <w:t xml:space="preserve"> </w:t>
      </w:r>
      <w:r w:rsidRPr="00EA59C0">
        <w:t>study.</w:t>
      </w:r>
      <w:r w:rsidR="00C026A6" w:rsidRPr="00EA59C0">
        <w:t xml:space="preserve">  </w:t>
      </w:r>
    </w:p>
    <w:p w:rsidR="00C744BD" w:rsidRPr="00EA59C0" w:rsidRDefault="00C744BD">
      <w:pPr>
        <w:ind w:left="1080"/>
      </w:pPr>
    </w:p>
    <w:p w:rsidR="007B748B" w:rsidRPr="00EA59C0" w:rsidRDefault="007B748B">
      <w:pPr>
        <w:ind w:left="1080"/>
        <w:rPr>
          <w:u w:val="single"/>
        </w:rPr>
      </w:pPr>
      <w:r w:rsidRPr="00EA59C0">
        <w:rPr>
          <w:u w:val="single"/>
        </w:rPr>
        <w:t>Competency-Based</w:t>
      </w:r>
      <w:r w:rsidR="00C026A6" w:rsidRPr="00EA59C0">
        <w:rPr>
          <w:u w:val="single"/>
        </w:rPr>
        <w:t xml:space="preserve"> </w:t>
      </w:r>
      <w:r w:rsidRPr="00EA59C0">
        <w:rPr>
          <w:u w:val="single"/>
        </w:rPr>
        <w:t>Education</w:t>
      </w:r>
    </w:p>
    <w:p w:rsidR="00C744BD" w:rsidRPr="00EA59C0" w:rsidRDefault="00C744BD">
      <w:pPr>
        <w:ind w:left="1080"/>
      </w:pPr>
      <w:r w:rsidRPr="00EA59C0">
        <w:t>To</w:t>
      </w:r>
      <w:r w:rsidR="00C026A6" w:rsidRPr="00EA59C0">
        <w:t xml:space="preserve"> </w:t>
      </w:r>
      <w:r w:rsidRPr="00EA59C0">
        <w:t>provide</w:t>
      </w:r>
      <w:r w:rsidR="00C026A6" w:rsidRPr="00EA59C0">
        <w:t xml:space="preserve"> </w:t>
      </w:r>
      <w:r w:rsidRPr="00EA59C0">
        <w:t>a</w:t>
      </w:r>
      <w:r w:rsidR="00C026A6" w:rsidRPr="00EA59C0">
        <w:t xml:space="preserve"> </w:t>
      </w:r>
      <w:r w:rsidRPr="00EA59C0">
        <w:t>means</w:t>
      </w:r>
      <w:r w:rsidR="00C026A6" w:rsidRPr="00EA59C0">
        <w:t xml:space="preserve"> </w:t>
      </w:r>
      <w:r w:rsidRPr="00EA59C0">
        <w:t>for</w:t>
      </w:r>
      <w:r w:rsidR="00C026A6" w:rsidRPr="00EA59C0">
        <w:t xml:space="preserve"> </w:t>
      </w:r>
      <w:r w:rsidRPr="00EA59C0">
        <w:t>an</w:t>
      </w:r>
      <w:r w:rsidR="00C026A6" w:rsidRPr="00EA59C0">
        <w:t xml:space="preserve"> </w:t>
      </w:r>
      <w:r w:rsidRPr="00EA59C0">
        <w:t>accelerated</w:t>
      </w:r>
      <w:r w:rsidR="00C026A6" w:rsidRPr="00EA59C0">
        <w:t xml:space="preserve"> </w:t>
      </w:r>
      <w:r w:rsidRPr="00EA59C0">
        <w:t>path</w:t>
      </w:r>
      <w:r w:rsidR="00C026A6" w:rsidRPr="00EA59C0">
        <w:t xml:space="preserve"> </w:t>
      </w:r>
      <w:r w:rsidRPr="00EA59C0">
        <w:t>toward</w:t>
      </w:r>
      <w:r w:rsidR="00C026A6" w:rsidRPr="00EA59C0">
        <w:t xml:space="preserve"> </w:t>
      </w:r>
      <w:r w:rsidRPr="00EA59C0">
        <w:t>credential</w:t>
      </w:r>
      <w:r w:rsidR="00C026A6" w:rsidRPr="00EA59C0">
        <w:t xml:space="preserve"> </w:t>
      </w:r>
      <w:r w:rsidRPr="00EA59C0">
        <w:t>attainment,</w:t>
      </w:r>
      <w:r w:rsidR="00C026A6" w:rsidRPr="00EA59C0">
        <w:t xml:space="preserve"> </w:t>
      </w:r>
      <w:r w:rsidR="002E1C76" w:rsidRPr="00EA59C0">
        <w:t>applicants</w:t>
      </w:r>
      <w:r w:rsidR="00C026A6" w:rsidRPr="00EA59C0">
        <w:t xml:space="preserve"> </w:t>
      </w:r>
      <w:r w:rsidR="005446A4" w:rsidRPr="00EA59C0">
        <w:t>will</w:t>
      </w:r>
      <w:r w:rsidR="00C026A6" w:rsidRPr="00EA59C0">
        <w:t xml:space="preserve"> </w:t>
      </w:r>
      <w:r w:rsidRPr="00EA59C0">
        <w:t>develop</w:t>
      </w:r>
      <w:r w:rsidR="00C026A6" w:rsidRPr="00EA59C0">
        <w:t xml:space="preserve"> </w:t>
      </w:r>
      <w:r w:rsidRPr="00EA59C0">
        <w:t>competency-based</w:t>
      </w:r>
      <w:r w:rsidR="00C026A6" w:rsidRPr="00EA59C0">
        <w:t xml:space="preserve"> </w:t>
      </w:r>
      <w:r w:rsidRPr="00EA59C0">
        <w:t>educational</w:t>
      </w:r>
      <w:r w:rsidR="00C026A6" w:rsidRPr="00EA59C0">
        <w:t xml:space="preserve"> </w:t>
      </w:r>
      <w:r w:rsidRPr="00EA59C0">
        <w:t>programs.</w:t>
      </w:r>
      <w:r w:rsidR="00C026A6" w:rsidRPr="00EA59C0">
        <w:t xml:space="preserve">  </w:t>
      </w:r>
      <w:r w:rsidRPr="00EA59C0">
        <w:t>Competency-based</w:t>
      </w:r>
      <w:r w:rsidR="00C026A6" w:rsidRPr="00EA59C0">
        <w:t xml:space="preserve"> </w:t>
      </w:r>
      <w:r w:rsidRPr="00EA59C0">
        <w:t>education</w:t>
      </w:r>
      <w:r w:rsidR="00C026A6" w:rsidRPr="00EA59C0">
        <w:t xml:space="preserve"> </w:t>
      </w:r>
      <w:r w:rsidRPr="00EA59C0">
        <w:t>is</w:t>
      </w:r>
      <w:r w:rsidR="00C026A6" w:rsidRPr="00EA59C0">
        <w:t xml:space="preserve"> </w:t>
      </w:r>
      <w:r w:rsidRPr="00EA59C0">
        <w:t>an</w:t>
      </w:r>
      <w:r w:rsidR="00C026A6" w:rsidRPr="00EA59C0">
        <w:t xml:space="preserve"> </w:t>
      </w:r>
      <w:r w:rsidRPr="00EA59C0">
        <w:t>outcomes-oriented</w:t>
      </w:r>
      <w:r w:rsidR="00C026A6" w:rsidRPr="00EA59C0">
        <w:t xml:space="preserve"> </w:t>
      </w:r>
      <w:r w:rsidRPr="00EA59C0">
        <w:t>approach</w:t>
      </w:r>
      <w:r w:rsidR="00C026A6" w:rsidRPr="00EA59C0">
        <w:t xml:space="preserve"> </w:t>
      </w:r>
      <w:r w:rsidRPr="00EA59C0">
        <w:t>that</w:t>
      </w:r>
      <w:r w:rsidR="00C026A6" w:rsidRPr="00EA59C0">
        <w:t xml:space="preserve"> </w:t>
      </w:r>
      <w:r w:rsidRPr="00EA59C0">
        <w:t>is</w:t>
      </w:r>
      <w:r w:rsidR="00C026A6" w:rsidRPr="00EA59C0">
        <w:t xml:space="preserve"> </w:t>
      </w:r>
      <w:r w:rsidRPr="00EA59C0">
        <w:t>not</w:t>
      </w:r>
      <w:r w:rsidR="00C026A6" w:rsidRPr="00EA59C0">
        <w:t xml:space="preserve"> </w:t>
      </w:r>
      <w:r w:rsidRPr="00EA59C0">
        <w:t>dependent</w:t>
      </w:r>
      <w:r w:rsidR="00C026A6" w:rsidRPr="00EA59C0">
        <w:t xml:space="preserve"> </w:t>
      </w:r>
      <w:r w:rsidRPr="00EA59C0">
        <w:t>on</w:t>
      </w:r>
      <w:r w:rsidR="00C026A6" w:rsidRPr="00EA59C0">
        <w:t xml:space="preserve"> </w:t>
      </w:r>
      <w:r w:rsidRPr="00EA59C0">
        <w:t>seat</w:t>
      </w:r>
      <w:r w:rsidR="00C026A6" w:rsidRPr="00EA59C0">
        <w:t xml:space="preserve"> </w:t>
      </w:r>
      <w:r w:rsidRPr="00EA59C0">
        <w:t>time</w:t>
      </w:r>
      <w:r w:rsidR="00C026A6" w:rsidRPr="00EA59C0">
        <w:t xml:space="preserve"> </w:t>
      </w:r>
      <w:r w:rsidRPr="00EA59C0">
        <w:t>measures</w:t>
      </w:r>
      <w:r w:rsidR="00C026A6" w:rsidRPr="00EA59C0">
        <w:t xml:space="preserve"> </w:t>
      </w:r>
      <w:r w:rsidRPr="00EA59C0">
        <w:t>of</w:t>
      </w:r>
      <w:r w:rsidR="00C026A6" w:rsidRPr="00EA59C0">
        <w:t xml:space="preserve"> </w:t>
      </w:r>
      <w:r w:rsidRPr="00EA59C0">
        <w:t>learning.</w:t>
      </w:r>
      <w:r w:rsidR="00C026A6" w:rsidRPr="00EA59C0">
        <w:t xml:space="preserve">  </w:t>
      </w:r>
      <w:r w:rsidRPr="00EA59C0">
        <w:t>Instead,</w:t>
      </w:r>
      <w:r w:rsidR="00C026A6" w:rsidRPr="00EA59C0">
        <w:t xml:space="preserve"> </w:t>
      </w:r>
      <w:r w:rsidRPr="00EA59C0">
        <w:t>student</w:t>
      </w:r>
      <w:r w:rsidR="00C026A6" w:rsidRPr="00EA59C0">
        <w:t xml:space="preserve"> </w:t>
      </w:r>
      <w:r w:rsidRPr="00EA59C0">
        <w:t>achievement</w:t>
      </w:r>
      <w:r w:rsidR="00C026A6" w:rsidRPr="00EA59C0">
        <w:t xml:space="preserve"> </w:t>
      </w:r>
      <w:r w:rsidRPr="00EA59C0">
        <w:t>of</w:t>
      </w:r>
      <w:r w:rsidR="00C026A6" w:rsidRPr="00EA59C0">
        <w:t xml:space="preserve"> </w:t>
      </w:r>
      <w:r w:rsidRPr="00EA59C0">
        <w:t>learning</w:t>
      </w:r>
      <w:r w:rsidR="00C026A6" w:rsidRPr="00EA59C0">
        <w:t xml:space="preserve"> </w:t>
      </w:r>
      <w:r w:rsidRPr="00EA59C0">
        <w:t>outcomes</w:t>
      </w:r>
      <w:r w:rsidR="00C026A6" w:rsidRPr="00EA59C0">
        <w:t xml:space="preserve"> </w:t>
      </w:r>
      <w:r w:rsidRPr="00EA59C0">
        <w:t>is</w:t>
      </w:r>
      <w:r w:rsidR="00C026A6" w:rsidRPr="00EA59C0">
        <w:t xml:space="preserve"> </w:t>
      </w:r>
      <w:r w:rsidRPr="00EA59C0">
        <w:t>assessed</w:t>
      </w:r>
      <w:r w:rsidR="00C026A6" w:rsidRPr="00EA59C0">
        <w:t xml:space="preserve"> </w:t>
      </w:r>
      <w:r w:rsidRPr="00EA59C0">
        <w:t>and</w:t>
      </w:r>
      <w:r w:rsidR="00C026A6" w:rsidRPr="00EA59C0">
        <w:t xml:space="preserve"> </w:t>
      </w:r>
      <w:r w:rsidRPr="00EA59C0">
        <w:t>certified</w:t>
      </w:r>
      <w:r w:rsidR="00C026A6" w:rsidRPr="00EA59C0">
        <w:t xml:space="preserve"> </w:t>
      </w:r>
      <w:r w:rsidRPr="00EA59C0">
        <w:t>through</w:t>
      </w:r>
      <w:r w:rsidR="00C026A6" w:rsidRPr="00EA59C0">
        <w:t xml:space="preserve"> </w:t>
      </w:r>
      <w:r w:rsidRPr="00EA59C0">
        <w:t>observational</w:t>
      </w:r>
      <w:r w:rsidR="00C026A6" w:rsidRPr="00EA59C0">
        <w:t xml:space="preserve"> </w:t>
      </w:r>
      <w:r w:rsidRPr="00EA59C0">
        <w:t>methods,</w:t>
      </w:r>
      <w:r w:rsidR="00C026A6" w:rsidRPr="00EA59C0">
        <w:t xml:space="preserve"> </w:t>
      </w:r>
      <w:r w:rsidRPr="00EA59C0">
        <w:t>such</w:t>
      </w:r>
      <w:r w:rsidR="00C026A6" w:rsidRPr="00EA59C0">
        <w:t xml:space="preserve"> </w:t>
      </w:r>
      <w:r w:rsidRPr="00EA59C0">
        <w:t>as</w:t>
      </w:r>
      <w:r w:rsidR="00C026A6" w:rsidRPr="00EA59C0">
        <w:t xml:space="preserve"> </w:t>
      </w:r>
      <w:r w:rsidRPr="00EA59C0">
        <w:t>task</w:t>
      </w:r>
      <w:r w:rsidR="00C026A6" w:rsidRPr="00EA59C0">
        <w:t xml:space="preserve"> </w:t>
      </w:r>
      <w:r w:rsidRPr="00EA59C0">
        <w:t>performance,</w:t>
      </w:r>
      <w:r w:rsidR="00C026A6" w:rsidRPr="00EA59C0">
        <w:t xml:space="preserve"> </w:t>
      </w:r>
      <w:r w:rsidRPr="00EA59C0">
        <w:t>exams,</w:t>
      </w:r>
      <w:r w:rsidR="00C026A6" w:rsidRPr="00EA59C0">
        <w:t xml:space="preserve"> </w:t>
      </w:r>
      <w:r w:rsidRPr="00EA59C0">
        <w:t>demonstrations,</w:t>
      </w:r>
      <w:r w:rsidR="00C026A6" w:rsidRPr="00EA59C0">
        <w:t xml:space="preserve"> </w:t>
      </w:r>
      <w:r w:rsidR="00CF61E5" w:rsidRPr="00EA59C0">
        <w:t>portfolios,</w:t>
      </w:r>
      <w:r w:rsidR="00C026A6" w:rsidRPr="00EA59C0">
        <w:t xml:space="preserve"> </w:t>
      </w:r>
      <w:r w:rsidRPr="00EA59C0">
        <w:t>or</w:t>
      </w:r>
      <w:r w:rsidR="00C026A6" w:rsidRPr="00EA59C0">
        <w:t xml:space="preserve"> </w:t>
      </w:r>
      <w:r w:rsidRPr="00EA59C0">
        <w:t>other</w:t>
      </w:r>
      <w:r w:rsidR="00C026A6" w:rsidRPr="00EA59C0">
        <w:t xml:space="preserve"> </w:t>
      </w:r>
      <w:r w:rsidRPr="00EA59C0">
        <w:t>direct</w:t>
      </w:r>
      <w:r w:rsidR="00C026A6" w:rsidRPr="00EA59C0">
        <w:t xml:space="preserve"> </w:t>
      </w:r>
      <w:r w:rsidRPr="00EA59C0">
        <w:t>measures</w:t>
      </w:r>
      <w:r w:rsidR="00C026A6" w:rsidRPr="00EA59C0">
        <w:t xml:space="preserve"> </w:t>
      </w:r>
      <w:r w:rsidRPr="00EA59C0">
        <w:t>of</w:t>
      </w:r>
      <w:r w:rsidR="00C026A6" w:rsidRPr="00EA59C0">
        <w:t xml:space="preserve"> </w:t>
      </w:r>
      <w:r w:rsidRPr="00EA59C0">
        <w:t>proficiency,</w:t>
      </w:r>
      <w:r w:rsidR="00C026A6" w:rsidRPr="00EA59C0">
        <w:t xml:space="preserve"> </w:t>
      </w:r>
      <w:r w:rsidRPr="00EA59C0">
        <w:t>and</w:t>
      </w:r>
      <w:r w:rsidR="00C026A6" w:rsidRPr="00EA59C0">
        <w:t xml:space="preserve"> </w:t>
      </w:r>
      <w:r w:rsidRPr="00EA59C0">
        <w:t>credentials</w:t>
      </w:r>
      <w:r w:rsidR="00C026A6" w:rsidRPr="00EA59C0">
        <w:t xml:space="preserve"> </w:t>
      </w:r>
      <w:r w:rsidRPr="00EA59C0">
        <w:t>are</w:t>
      </w:r>
      <w:r w:rsidR="00C026A6" w:rsidRPr="00EA59C0">
        <w:t xml:space="preserve"> </w:t>
      </w:r>
      <w:r w:rsidRPr="00EA59C0">
        <w:t>awarded</w:t>
      </w:r>
      <w:r w:rsidR="00C026A6" w:rsidRPr="00EA59C0">
        <w:t xml:space="preserve"> </w:t>
      </w:r>
      <w:r w:rsidRPr="00EA59C0">
        <w:t>based</w:t>
      </w:r>
      <w:r w:rsidR="00C026A6" w:rsidRPr="00EA59C0">
        <w:t xml:space="preserve"> </w:t>
      </w:r>
      <w:r w:rsidRPr="00EA59C0">
        <w:t>on</w:t>
      </w:r>
      <w:r w:rsidR="00C026A6" w:rsidRPr="00EA59C0">
        <w:t xml:space="preserve"> </w:t>
      </w:r>
      <w:r w:rsidRPr="00EA59C0">
        <w:t>successful</w:t>
      </w:r>
      <w:r w:rsidR="00C026A6" w:rsidRPr="00EA59C0">
        <w:t xml:space="preserve"> </w:t>
      </w:r>
      <w:r w:rsidRPr="00EA59C0">
        <w:t>demonstration</w:t>
      </w:r>
      <w:r w:rsidR="00C026A6" w:rsidRPr="00EA59C0">
        <w:t xml:space="preserve"> </w:t>
      </w:r>
      <w:r w:rsidRPr="00EA59C0">
        <w:t>of</w:t>
      </w:r>
      <w:r w:rsidR="00C026A6" w:rsidRPr="00EA59C0">
        <w:t xml:space="preserve"> </w:t>
      </w:r>
      <w:r w:rsidRPr="00EA59C0">
        <w:t>competence.</w:t>
      </w:r>
      <w:r w:rsidR="00C026A6" w:rsidRPr="00EA59C0">
        <w:t xml:space="preserve">  </w:t>
      </w:r>
      <w:r w:rsidRPr="00EA59C0">
        <w:t>The</w:t>
      </w:r>
      <w:r w:rsidR="00C026A6" w:rsidRPr="00EA59C0">
        <w:t xml:space="preserve"> </w:t>
      </w:r>
      <w:r w:rsidRPr="00EA59C0">
        <w:t>emphasis</w:t>
      </w:r>
      <w:r w:rsidR="00C026A6" w:rsidRPr="00EA59C0">
        <w:t xml:space="preserve"> </w:t>
      </w:r>
      <w:r w:rsidRPr="00EA59C0">
        <w:t>of</w:t>
      </w:r>
      <w:r w:rsidR="00C026A6" w:rsidRPr="00EA59C0">
        <w:t xml:space="preserve"> </w:t>
      </w:r>
      <w:r w:rsidRPr="00EA59C0">
        <w:t>this</w:t>
      </w:r>
      <w:r w:rsidR="00C026A6" w:rsidRPr="00EA59C0">
        <w:t xml:space="preserve"> </w:t>
      </w:r>
      <w:r w:rsidRPr="00EA59C0">
        <w:t>approach</w:t>
      </w:r>
      <w:r w:rsidR="00C026A6" w:rsidRPr="00EA59C0">
        <w:t xml:space="preserve"> </w:t>
      </w:r>
      <w:r w:rsidRPr="00EA59C0">
        <w:t>is</w:t>
      </w:r>
      <w:r w:rsidR="00C026A6" w:rsidRPr="00EA59C0">
        <w:t xml:space="preserve"> </w:t>
      </w:r>
      <w:r w:rsidRPr="00EA59C0">
        <w:t>on</w:t>
      </w:r>
      <w:r w:rsidR="00C026A6" w:rsidRPr="00EA59C0">
        <w:t xml:space="preserve"> </w:t>
      </w:r>
      <w:r w:rsidRPr="00EA59C0">
        <w:t>the</w:t>
      </w:r>
      <w:r w:rsidR="00C026A6" w:rsidRPr="00EA59C0">
        <w:t xml:space="preserve"> </w:t>
      </w:r>
      <w:r w:rsidRPr="00EA59C0">
        <w:t>mastery</w:t>
      </w:r>
      <w:r w:rsidR="00C026A6" w:rsidRPr="00EA59C0">
        <w:t xml:space="preserve"> </w:t>
      </w:r>
      <w:r w:rsidRPr="00EA59C0">
        <w:t>of</w:t>
      </w:r>
      <w:r w:rsidR="00C026A6" w:rsidRPr="00EA59C0">
        <w:t xml:space="preserve"> </w:t>
      </w:r>
      <w:r w:rsidRPr="00EA59C0">
        <w:t>specific</w:t>
      </w:r>
      <w:r w:rsidR="00C026A6" w:rsidRPr="00EA59C0">
        <w:t xml:space="preserve"> </w:t>
      </w:r>
      <w:r w:rsidRPr="00EA59C0">
        <w:t>competencies</w:t>
      </w:r>
      <w:r w:rsidR="00C026A6" w:rsidRPr="00EA59C0">
        <w:t xml:space="preserve"> </w:t>
      </w:r>
      <w:r w:rsidRPr="00EA59C0">
        <w:t>as</w:t>
      </w:r>
      <w:r w:rsidR="00C026A6" w:rsidRPr="00EA59C0">
        <w:t xml:space="preserve"> </w:t>
      </w:r>
      <w:r w:rsidRPr="00EA59C0">
        <w:t>demonstrated</w:t>
      </w:r>
      <w:r w:rsidR="00C026A6" w:rsidRPr="00EA59C0">
        <w:t xml:space="preserve"> </w:t>
      </w:r>
      <w:r w:rsidRPr="00EA59C0">
        <w:t>through</w:t>
      </w:r>
      <w:r w:rsidR="00C026A6" w:rsidRPr="00EA59C0">
        <w:t xml:space="preserve"> </w:t>
      </w:r>
      <w:r w:rsidRPr="00EA59C0">
        <w:t>performance-based</w:t>
      </w:r>
      <w:r w:rsidR="00C026A6" w:rsidRPr="00EA59C0">
        <w:t xml:space="preserve"> </w:t>
      </w:r>
      <w:r w:rsidRPr="00EA59C0">
        <w:t>assessments.</w:t>
      </w:r>
      <w:r w:rsidR="00C026A6" w:rsidRPr="00EA59C0">
        <w:t xml:space="preserve">  </w:t>
      </w:r>
      <w:r w:rsidR="00DA1A19" w:rsidRPr="00EA59C0">
        <w:t>Applicants</w:t>
      </w:r>
      <w:r w:rsidR="00C026A6" w:rsidRPr="00EA59C0">
        <w:t xml:space="preserve"> </w:t>
      </w:r>
      <w:r w:rsidR="0099141F" w:rsidRPr="00EA59C0">
        <w:t>are</w:t>
      </w:r>
      <w:r w:rsidR="00C026A6" w:rsidRPr="00EA59C0">
        <w:t xml:space="preserve"> </w:t>
      </w:r>
      <w:r w:rsidR="00DA1A19" w:rsidRPr="00EA59C0">
        <w:t>also</w:t>
      </w:r>
      <w:r w:rsidR="00C026A6" w:rsidRPr="00EA59C0">
        <w:t xml:space="preserve"> </w:t>
      </w:r>
      <w:r w:rsidR="0099141F" w:rsidRPr="00EA59C0">
        <w:t>encouraged</w:t>
      </w:r>
      <w:r w:rsidR="00C026A6" w:rsidRPr="00EA59C0">
        <w:t xml:space="preserve"> </w:t>
      </w:r>
      <w:r w:rsidR="0099141F" w:rsidRPr="00EA59C0">
        <w:t>to</w:t>
      </w:r>
      <w:r w:rsidR="00C026A6" w:rsidRPr="00EA59C0">
        <w:t xml:space="preserve"> </w:t>
      </w:r>
      <w:r w:rsidR="00DA1A19" w:rsidRPr="00EA59C0">
        <w:t>consider</w:t>
      </w:r>
      <w:r w:rsidR="00C026A6" w:rsidRPr="00EA59C0">
        <w:t xml:space="preserve"> </w:t>
      </w:r>
      <w:r w:rsidR="00DA1A19" w:rsidRPr="00EA59C0">
        <w:t>conducting</w:t>
      </w:r>
      <w:r w:rsidR="00C026A6" w:rsidRPr="00EA59C0">
        <w:t xml:space="preserve"> </w:t>
      </w:r>
      <w:r w:rsidR="00DA1A19" w:rsidRPr="00EA59C0">
        <w:t>a</w:t>
      </w:r>
      <w:r w:rsidR="00C026A6" w:rsidRPr="00EA59C0">
        <w:t xml:space="preserve"> </w:t>
      </w:r>
      <w:r w:rsidR="00DA1A19" w:rsidRPr="00EA59C0">
        <w:t>Cognitive</w:t>
      </w:r>
      <w:r w:rsidR="00C026A6" w:rsidRPr="00EA59C0">
        <w:t xml:space="preserve"> </w:t>
      </w:r>
      <w:r w:rsidR="00DA1A19" w:rsidRPr="00EA59C0">
        <w:t>Task</w:t>
      </w:r>
      <w:r w:rsidR="00C026A6" w:rsidRPr="00EA59C0">
        <w:t xml:space="preserve"> </w:t>
      </w:r>
      <w:r w:rsidR="00DA1A19" w:rsidRPr="00EA59C0">
        <w:t>Analysis</w:t>
      </w:r>
      <w:r w:rsidR="00C026A6" w:rsidRPr="00EA59C0">
        <w:t xml:space="preserve"> </w:t>
      </w:r>
      <w:r w:rsidR="00DA1A19" w:rsidRPr="00EA59C0">
        <w:t>(CTA)</w:t>
      </w:r>
      <w:r w:rsidR="00C026A6" w:rsidRPr="00EA59C0">
        <w:t xml:space="preserve"> </w:t>
      </w:r>
      <w:r w:rsidR="00DA1A19" w:rsidRPr="00EA59C0">
        <w:t>within</w:t>
      </w:r>
      <w:r w:rsidR="00C026A6" w:rsidRPr="00EA59C0">
        <w:t xml:space="preserve"> </w:t>
      </w:r>
      <w:r w:rsidR="00DA1A19" w:rsidRPr="00EA59C0">
        <w:t>a</w:t>
      </w:r>
      <w:r w:rsidR="00C026A6" w:rsidRPr="00EA59C0">
        <w:t xml:space="preserve"> </w:t>
      </w:r>
      <w:r w:rsidR="00DA1A19" w:rsidRPr="00EA59C0">
        <w:t>sector</w:t>
      </w:r>
      <w:r w:rsidR="00C026A6" w:rsidRPr="00EA59C0">
        <w:t xml:space="preserve"> </w:t>
      </w:r>
      <w:r w:rsidR="008B2007" w:rsidRPr="00EA59C0">
        <w:t>(which</w:t>
      </w:r>
      <w:r w:rsidR="00C026A6" w:rsidRPr="00EA59C0">
        <w:t xml:space="preserve"> </w:t>
      </w:r>
      <w:r w:rsidR="008B2007" w:rsidRPr="00EA59C0">
        <w:t>is</w:t>
      </w:r>
      <w:r w:rsidR="00C026A6" w:rsidRPr="00EA59C0">
        <w:t xml:space="preserve"> </w:t>
      </w:r>
      <w:r w:rsidR="008B2007" w:rsidRPr="00EA59C0">
        <w:t>described</w:t>
      </w:r>
      <w:r w:rsidR="00C026A6" w:rsidRPr="00EA59C0">
        <w:t xml:space="preserve"> </w:t>
      </w:r>
      <w:r w:rsidR="008B2007" w:rsidRPr="00EA59C0">
        <w:t>more</w:t>
      </w:r>
      <w:r w:rsidR="00C026A6" w:rsidRPr="00EA59C0">
        <w:t xml:space="preserve"> </w:t>
      </w:r>
      <w:r w:rsidR="008B2007" w:rsidRPr="00EA59C0">
        <w:t>fully</w:t>
      </w:r>
      <w:r w:rsidR="00C026A6" w:rsidRPr="00EA59C0">
        <w:t xml:space="preserve"> </w:t>
      </w:r>
      <w:r w:rsidR="008B2007" w:rsidRPr="00EA59C0">
        <w:t>in</w:t>
      </w:r>
      <w:r w:rsidR="00C026A6" w:rsidRPr="00EA59C0">
        <w:t xml:space="preserve"> </w:t>
      </w:r>
      <w:r w:rsidR="008B2007" w:rsidRPr="00EA59C0">
        <w:t>Core</w:t>
      </w:r>
      <w:r w:rsidR="00C026A6" w:rsidRPr="00EA59C0">
        <w:t xml:space="preserve"> </w:t>
      </w:r>
      <w:r w:rsidR="008B2007" w:rsidRPr="00EA59C0">
        <w:t>Element</w:t>
      </w:r>
      <w:r w:rsidR="00C026A6" w:rsidRPr="00EA59C0">
        <w:t xml:space="preserve"> </w:t>
      </w:r>
      <w:r w:rsidR="008B2007" w:rsidRPr="00EA59C0">
        <w:t>6)</w:t>
      </w:r>
      <w:r w:rsidR="00DA1A19" w:rsidRPr="00EA59C0">
        <w:t>.</w:t>
      </w:r>
      <w:r w:rsidR="00C026A6" w:rsidRPr="00EA59C0">
        <w:t xml:space="preserve"> </w:t>
      </w:r>
    </w:p>
    <w:p w:rsidR="005C4115" w:rsidRPr="00EA59C0" w:rsidRDefault="005C4115">
      <w:pPr>
        <w:ind w:left="1080"/>
      </w:pPr>
    </w:p>
    <w:p w:rsidR="00C744BD" w:rsidRPr="00EA59C0" w:rsidRDefault="005C4115">
      <w:pPr>
        <w:ind w:left="1080"/>
      </w:pPr>
      <w:r w:rsidRPr="00EA59C0">
        <w:t>Applicants</w:t>
      </w:r>
      <w:r w:rsidR="00C026A6" w:rsidRPr="00EA59C0">
        <w:t xml:space="preserve"> </w:t>
      </w:r>
      <w:r w:rsidRPr="00EA59C0">
        <w:t>interested</w:t>
      </w:r>
      <w:r w:rsidR="00C026A6" w:rsidRPr="00EA59C0">
        <w:t xml:space="preserve"> </w:t>
      </w:r>
      <w:r w:rsidRPr="00EA59C0">
        <w:t>in</w:t>
      </w:r>
      <w:r w:rsidR="00C026A6" w:rsidRPr="00EA59C0">
        <w:t xml:space="preserve"> </w:t>
      </w:r>
      <w:r w:rsidRPr="00EA59C0">
        <w:t>qualifying</w:t>
      </w:r>
      <w:r w:rsidR="00C026A6" w:rsidRPr="00EA59C0">
        <w:t xml:space="preserve"> </w:t>
      </w:r>
      <w:r w:rsidRPr="00EA59C0">
        <w:t>new,</w:t>
      </w:r>
      <w:r w:rsidR="00C026A6" w:rsidRPr="00EA59C0">
        <w:t xml:space="preserve"> </w:t>
      </w:r>
      <w:r w:rsidRPr="00EA59C0">
        <w:t>competency-based</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for</w:t>
      </w:r>
      <w:r w:rsidR="00C026A6" w:rsidRPr="00EA59C0">
        <w:t xml:space="preserve"> </w:t>
      </w:r>
      <w:r w:rsidR="003F5886" w:rsidRPr="00EA59C0">
        <w:t>Federal</w:t>
      </w:r>
      <w:r w:rsidR="00C026A6" w:rsidRPr="00EA59C0">
        <w:t xml:space="preserve"> </w:t>
      </w:r>
      <w:r w:rsidRPr="00EA59C0">
        <w:t>student</w:t>
      </w:r>
      <w:r w:rsidR="00C026A6" w:rsidRPr="00EA59C0">
        <w:t xml:space="preserve"> </w:t>
      </w:r>
      <w:r w:rsidRPr="00EA59C0">
        <w:t>aid</w:t>
      </w:r>
      <w:r w:rsidR="00C026A6" w:rsidRPr="00EA59C0">
        <w:t xml:space="preserve"> </w:t>
      </w:r>
      <w:r w:rsidRPr="00EA59C0">
        <w:t>programs</w:t>
      </w:r>
      <w:r w:rsidR="00C026A6" w:rsidRPr="00EA59C0">
        <w:t xml:space="preserve"> </w:t>
      </w:r>
      <w:r w:rsidR="00BB5F1D" w:rsidRPr="00EA59C0">
        <w:t>authorized</w:t>
      </w:r>
      <w:r w:rsidR="00C026A6" w:rsidRPr="00EA59C0">
        <w:t xml:space="preserve"> </w:t>
      </w:r>
      <w:r w:rsidRPr="00EA59C0">
        <w:t>under</w:t>
      </w:r>
      <w:r w:rsidR="00C026A6" w:rsidRPr="00EA59C0">
        <w:t xml:space="preserve"> </w:t>
      </w:r>
      <w:r w:rsidRPr="00EA59C0">
        <w:t>Title</w:t>
      </w:r>
      <w:r w:rsidR="00C026A6" w:rsidRPr="00EA59C0">
        <w:t xml:space="preserve"> </w:t>
      </w:r>
      <w:r w:rsidRPr="00EA59C0">
        <w:t>IV</w:t>
      </w:r>
      <w:r w:rsidR="00C026A6" w:rsidRPr="00EA59C0">
        <w:t xml:space="preserve"> </w:t>
      </w:r>
      <w:r w:rsidRPr="00EA59C0">
        <w:t>of</w:t>
      </w:r>
      <w:r w:rsidR="00C026A6" w:rsidRPr="00EA59C0">
        <w:t xml:space="preserve"> </w:t>
      </w:r>
      <w:r w:rsidRPr="00EA59C0">
        <w:t>the</w:t>
      </w:r>
      <w:r w:rsidR="00C026A6" w:rsidRPr="00EA59C0">
        <w:t xml:space="preserve"> </w:t>
      </w:r>
      <w:r w:rsidRPr="00EA59C0">
        <w:t>Higher</w:t>
      </w:r>
      <w:r w:rsidR="00C026A6" w:rsidRPr="00EA59C0">
        <w:t xml:space="preserve"> </w:t>
      </w:r>
      <w:r w:rsidRPr="00EA59C0">
        <w:t>Education</w:t>
      </w:r>
      <w:r w:rsidR="00C026A6" w:rsidRPr="00EA59C0">
        <w:t xml:space="preserve"> </w:t>
      </w:r>
      <w:r w:rsidRPr="00EA59C0">
        <w:t>Act</w:t>
      </w:r>
      <w:r w:rsidR="00C026A6" w:rsidRPr="00EA59C0">
        <w:t xml:space="preserve"> </w:t>
      </w:r>
      <w:r w:rsidRPr="00EA59C0">
        <w:t>through</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of</w:t>
      </w:r>
      <w:r w:rsidR="00C026A6" w:rsidRPr="00EA59C0">
        <w:t xml:space="preserve"> </w:t>
      </w:r>
      <w:r w:rsidRPr="00EA59C0">
        <w:t>Education’s</w:t>
      </w:r>
      <w:r w:rsidR="00C026A6" w:rsidRPr="00EA59C0">
        <w:t xml:space="preserve"> </w:t>
      </w:r>
      <w:r w:rsidRPr="00EA59C0">
        <w:t>direct</w:t>
      </w:r>
      <w:r w:rsidR="00C026A6" w:rsidRPr="00EA59C0">
        <w:t xml:space="preserve"> </w:t>
      </w:r>
      <w:r w:rsidRPr="00EA59C0">
        <w:t>assessment</w:t>
      </w:r>
      <w:r w:rsidR="00C026A6" w:rsidRPr="00EA59C0">
        <w:t xml:space="preserve"> </w:t>
      </w:r>
      <w:r w:rsidRPr="00EA59C0">
        <w:t>authority</w:t>
      </w:r>
      <w:r w:rsidR="00C026A6" w:rsidRPr="00EA59C0">
        <w:t xml:space="preserve"> </w:t>
      </w:r>
      <w:r w:rsidRPr="00EA59C0">
        <w:t>will</w:t>
      </w:r>
      <w:r w:rsidR="00C026A6" w:rsidRPr="00EA59C0">
        <w:t xml:space="preserve"> </w:t>
      </w:r>
      <w:r w:rsidRPr="00EA59C0">
        <w:t>find</w:t>
      </w:r>
      <w:r w:rsidR="00C026A6" w:rsidRPr="00EA59C0">
        <w:t xml:space="preserve"> </w:t>
      </w:r>
      <w:r w:rsidRPr="00EA59C0">
        <w:t>more</w:t>
      </w:r>
      <w:r w:rsidR="00C026A6" w:rsidRPr="00EA59C0">
        <w:t xml:space="preserve"> </w:t>
      </w:r>
      <w:r w:rsidRPr="00EA59C0">
        <w:t>information</w:t>
      </w:r>
      <w:r w:rsidR="00C026A6" w:rsidRPr="00EA59C0">
        <w:t xml:space="preserve"> </w:t>
      </w:r>
      <w:r w:rsidRPr="00EA59C0">
        <w:t>and</w:t>
      </w:r>
      <w:r w:rsidR="00C026A6" w:rsidRPr="00EA59C0">
        <w:t xml:space="preserve"> </w:t>
      </w:r>
      <w:r w:rsidRPr="00EA59C0">
        <w:t>resources</w:t>
      </w:r>
      <w:r w:rsidR="00C026A6" w:rsidRPr="00EA59C0">
        <w:t xml:space="preserve"> </w:t>
      </w:r>
      <w:r w:rsidRPr="00EA59C0">
        <w:t>at</w:t>
      </w:r>
      <w:r w:rsidR="00C026A6" w:rsidRPr="00EA59C0">
        <w:t xml:space="preserve"> </w:t>
      </w:r>
      <w:hyperlink r:id="rId232" w:history="1">
        <w:r w:rsidRPr="00EA59C0">
          <w:rPr>
            <w:rStyle w:val="Hyperlink"/>
            <w:color w:val="auto"/>
          </w:rPr>
          <w:t>http://ifap.ed.gov/dpcletters/GEN1310.html</w:t>
        </w:r>
      </w:hyperlink>
      <w:r w:rsidRPr="00EA59C0">
        <w:t>.</w:t>
      </w:r>
    </w:p>
    <w:p w:rsidR="005C4115" w:rsidRPr="00EA59C0" w:rsidRDefault="005C4115">
      <w:pPr>
        <w:ind w:left="1080"/>
      </w:pPr>
    </w:p>
    <w:p w:rsidR="00EE2FD0" w:rsidRPr="00EA59C0" w:rsidRDefault="009717AF">
      <w:pPr>
        <w:ind w:left="1080"/>
      </w:pPr>
      <w:r w:rsidRPr="00EA59C0">
        <w:t>Successful a</w:t>
      </w:r>
      <w:r w:rsidR="00C744BD" w:rsidRPr="00EA59C0">
        <w:t>pplicants</w:t>
      </w:r>
      <w:r w:rsidR="00C026A6" w:rsidRPr="00EA59C0">
        <w:t xml:space="preserve"> </w:t>
      </w:r>
      <w:r w:rsidR="00917131" w:rsidRPr="00EA59C0">
        <w:t>will</w:t>
      </w:r>
      <w:r w:rsidR="005A1832" w:rsidRPr="00EA59C0">
        <w:t xml:space="preserve"> </w:t>
      </w:r>
      <w:r w:rsidR="00C744BD" w:rsidRPr="00EA59C0">
        <w:t>conduct</w:t>
      </w:r>
      <w:r w:rsidR="00C026A6" w:rsidRPr="00EA59C0">
        <w:t xml:space="preserve"> </w:t>
      </w:r>
      <w:r w:rsidR="00C744BD" w:rsidRPr="00EA59C0">
        <w:t>competency-based</w:t>
      </w:r>
      <w:r w:rsidR="00C026A6" w:rsidRPr="00EA59C0">
        <w:t xml:space="preserve"> </w:t>
      </w:r>
      <w:r w:rsidR="00C744BD" w:rsidRPr="00EA59C0">
        <w:t>assessments</w:t>
      </w:r>
      <w:r w:rsidR="00C026A6" w:rsidRPr="00EA59C0">
        <w:t xml:space="preserve"> </w:t>
      </w:r>
      <w:r w:rsidR="00C744BD" w:rsidRPr="00EA59C0">
        <w:t>that</w:t>
      </w:r>
      <w:r w:rsidR="00C026A6" w:rsidRPr="00EA59C0">
        <w:t xml:space="preserve"> </w:t>
      </w:r>
      <w:r w:rsidR="00C744BD" w:rsidRPr="00EA59C0">
        <w:t>award</w:t>
      </w:r>
      <w:r w:rsidR="00C026A6" w:rsidRPr="00EA59C0">
        <w:t xml:space="preserve"> </w:t>
      </w:r>
      <w:r w:rsidR="00C744BD" w:rsidRPr="00EA59C0">
        <w:t>credit</w:t>
      </w:r>
      <w:r w:rsidR="00C026A6" w:rsidRPr="00EA59C0">
        <w:t xml:space="preserve"> </w:t>
      </w:r>
      <w:r w:rsidR="00C744BD" w:rsidRPr="00EA59C0">
        <w:t>for</w:t>
      </w:r>
      <w:r w:rsidR="00C026A6" w:rsidRPr="00EA59C0">
        <w:t xml:space="preserve"> </w:t>
      </w:r>
      <w:r w:rsidR="00C744BD" w:rsidRPr="00EA59C0">
        <w:t>prior</w:t>
      </w:r>
      <w:r w:rsidR="00C026A6" w:rsidRPr="00EA59C0">
        <w:t xml:space="preserve"> </w:t>
      </w:r>
      <w:r w:rsidR="00C744BD" w:rsidRPr="00EA59C0">
        <w:t>learning</w:t>
      </w:r>
      <w:r w:rsidR="00C026A6" w:rsidRPr="00EA59C0">
        <w:t xml:space="preserve"> </w:t>
      </w:r>
      <w:r w:rsidR="00C744BD" w:rsidRPr="00EA59C0">
        <w:t>and</w:t>
      </w:r>
      <w:r w:rsidR="00C026A6" w:rsidRPr="00EA59C0">
        <w:t xml:space="preserve"> </w:t>
      </w:r>
      <w:r w:rsidR="00C744BD" w:rsidRPr="00EA59C0">
        <w:t>experiences</w:t>
      </w:r>
      <w:r w:rsidR="00C026A6" w:rsidRPr="00EA59C0">
        <w:t xml:space="preserve"> </w:t>
      </w:r>
      <w:r w:rsidR="00C744BD" w:rsidRPr="00EA59C0">
        <w:t>of</w:t>
      </w:r>
      <w:r w:rsidR="00C026A6" w:rsidRPr="00EA59C0">
        <w:t xml:space="preserve"> </w:t>
      </w:r>
      <w:r w:rsidR="00C744BD" w:rsidRPr="00EA59C0">
        <w:t>TAA-eligible</w:t>
      </w:r>
      <w:r w:rsidR="00C026A6" w:rsidRPr="00EA59C0">
        <w:t xml:space="preserve"> </w:t>
      </w:r>
      <w:r w:rsidR="00C744BD" w:rsidRPr="00EA59C0">
        <w:t>workers</w:t>
      </w:r>
      <w:r w:rsidR="00C026A6" w:rsidRPr="00EA59C0">
        <w:t xml:space="preserve"> </w:t>
      </w:r>
      <w:r w:rsidR="00C744BD" w:rsidRPr="00EA59C0">
        <w:t>and</w:t>
      </w:r>
      <w:r w:rsidR="00C026A6" w:rsidRPr="00EA59C0">
        <w:t xml:space="preserve"> </w:t>
      </w:r>
      <w:r w:rsidR="00C744BD" w:rsidRPr="00EA59C0">
        <w:t>other</w:t>
      </w:r>
      <w:r w:rsidR="00C026A6" w:rsidRPr="00EA59C0">
        <w:t xml:space="preserve"> </w:t>
      </w:r>
      <w:r w:rsidR="00C744BD" w:rsidRPr="00EA59C0">
        <w:t>adults</w:t>
      </w:r>
      <w:r w:rsidR="00C026A6" w:rsidRPr="00EA59C0">
        <w:t xml:space="preserve"> </w:t>
      </w:r>
      <w:r w:rsidR="00C744BD" w:rsidRPr="00EA59C0">
        <w:t>who</w:t>
      </w:r>
      <w:r w:rsidR="00C026A6" w:rsidRPr="00EA59C0">
        <w:t xml:space="preserve"> </w:t>
      </w:r>
      <w:r w:rsidR="00C744BD" w:rsidRPr="00EA59C0">
        <w:t>enter</w:t>
      </w:r>
      <w:r w:rsidR="00C026A6" w:rsidRPr="00EA59C0">
        <w:t xml:space="preserve"> </w:t>
      </w:r>
      <w:r w:rsidR="00C744BD" w:rsidRPr="00EA59C0">
        <w:t>their</w:t>
      </w:r>
      <w:r w:rsidR="00C026A6" w:rsidRPr="00EA59C0">
        <w:t xml:space="preserve"> </w:t>
      </w:r>
      <w:r w:rsidR="00C744BD" w:rsidRPr="00EA59C0">
        <w:t>program(s),</w:t>
      </w:r>
      <w:r w:rsidR="00C026A6" w:rsidRPr="00EA59C0">
        <w:t xml:space="preserve"> </w:t>
      </w:r>
      <w:r w:rsidR="00C744BD" w:rsidRPr="00EA59C0">
        <w:t>including</w:t>
      </w:r>
      <w:r w:rsidR="00C026A6" w:rsidRPr="00EA59C0">
        <w:t xml:space="preserve"> </w:t>
      </w:r>
      <w:r w:rsidR="00C744BD" w:rsidRPr="00EA59C0">
        <w:t>adults</w:t>
      </w:r>
      <w:r w:rsidR="00C026A6" w:rsidRPr="00EA59C0">
        <w:t xml:space="preserve"> </w:t>
      </w:r>
      <w:r w:rsidR="00C744BD" w:rsidRPr="00EA59C0">
        <w:t>who</w:t>
      </w:r>
      <w:r w:rsidR="00C026A6" w:rsidRPr="00EA59C0">
        <w:t xml:space="preserve"> </w:t>
      </w:r>
      <w:r w:rsidR="00C744BD" w:rsidRPr="00EA59C0">
        <w:t>have</w:t>
      </w:r>
      <w:r w:rsidR="00C026A6" w:rsidRPr="00EA59C0">
        <w:t xml:space="preserve"> </w:t>
      </w:r>
      <w:r w:rsidR="00C744BD" w:rsidRPr="00EA59C0">
        <w:t>served</w:t>
      </w:r>
      <w:r w:rsidR="00C026A6" w:rsidRPr="00EA59C0">
        <w:t xml:space="preserve"> </w:t>
      </w:r>
      <w:r w:rsidR="00C744BD" w:rsidRPr="00EA59C0">
        <w:t>in</w:t>
      </w:r>
      <w:r w:rsidR="00C026A6" w:rsidRPr="00EA59C0">
        <w:t xml:space="preserve"> </w:t>
      </w:r>
      <w:r w:rsidR="00C744BD" w:rsidRPr="00EA59C0">
        <w:t>the</w:t>
      </w:r>
      <w:r w:rsidR="00C026A6" w:rsidRPr="00EA59C0">
        <w:t xml:space="preserve"> </w:t>
      </w:r>
      <w:r w:rsidR="00C744BD" w:rsidRPr="00EA59C0">
        <w:t>Armed</w:t>
      </w:r>
      <w:r w:rsidR="00C026A6" w:rsidRPr="00EA59C0">
        <w:t xml:space="preserve"> </w:t>
      </w:r>
      <w:r w:rsidR="00C744BD" w:rsidRPr="00EA59C0">
        <w:t>Services</w:t>
      </w:r>
      <w:r w:rsidR="00C026A6" w:rsidRPr="00EA59C0">
        <w:t xml:space="preserve"> </w:t>
      </w:r>
      <w:r w:rsidR="00C744BD" w:rsidRPr="00EA59C0">
        <w:t>or</w:t>
      </w:r>
      <w:r w:rsidR="00C026A6" w:rsidRPr="00EA59C0">
        <w:t xml:space="preserve"> </w:t>
      </w:r>
      <w:r w:rsidR="00C744BD" w:rsidRPr="00EA59C0">
        <w:t>in</w:t>
      </w:r>
      <w:r w:rsidR="00C026A6" w:rsidRPr="00EA59C0">
        <w:t xml:space="preserve"> </w:t>
      </w:r>
      <w:r w:rsidR="00C744BD" w:rsidRPr="00EA59C0">
        <w:t>Registered</w:t>
      </w:r>
      <w:r w:rsidR="00C026A6" w:rsidRPr="00EA59C0">
        <w:t xml:space="preserve"> </w:t>
      </w:r>
      <w:r w:rsidR="00C744BD" w:rsidRPr="00EA59C0">
        <w:t>Apprenticeship</w:t>
      </w:r>
      <w:r w:rsidR="00C026A6" w:rsidRPr="00EA59C0">
        <w:t xml:space="preserve"> </w:t>
      </w:r>
      <w:r w:rsidR="00C744BD" w:rsidRPr="00EA59C0">
        <w:t>programs.</w:t>
      </w:r>
      <w:r w:rsidR="00C026A6" w:rsidRPr="00EA59C0">
        <w:t xml:space="preserve">  </w:t>
      </w:r>
      <w:r w:rsidR="00C744BD" w:rsidRPr="00EA59C0">
        <w:t>Many</w:t>
      </w:r>
      <w:r w:rsidR="00C026A6" w:rsidRPr="00EA59C0">
        <w:t xml:space="preserve"> </w:t>
      </w:r>
      <w:r w:rsidR="00043CEF" w:rsidRPr="00EA59C0">
        <w:t>of</w:t>
      </w:r>
      <w:r w:rsidR="00C026A6" w:rsidRPr="00EA59C0">
        <w:t xml:space="preserve"> </w:t>
      </w:r>
      <w:r w:rsidR="00043CEF" w:rsidRPr="00EA59C0">
        <w:t>these</w:t>
      </w:r>
      <w:r w:rsidR="00C026A6" w:rsidRPr="00EA59C0">
        <w:t xml:space="preserve"> </w:t>
      </w:r>
      <w:r w:rsidR="00C744BD" w:rsidRPr="00EA59C0">
        <w:t>individuals</w:t>
      </w:r>
      <w:r w:rsidR="00C026A6" w:rsidRPr="00EA59C0">
        <w:t xml:space="preserve"> </w:t>
      </w:r>
      <w:r w:rsidR="00C744BD" w:rsidRPr="00EA59C0">
        <w:t>will</w:t>
      </w:r>
      <w:r w:rsidR="00C026A6" w:rsidRPr="00EA59C0">
        <w:t xml:space="preserve"> </w:t>
      </w:r>
      <w:r w:rsidR="00C744BD" w:rsidRPr="00EA59C0">
        <w:t>have</w:t>
      </w:r>
      <w:r w:rsidR="00C026A6" w:rsidRPr="00EA59C0">
        <w:t xml:space="preserve"> </w:t>
      </w:r>
      <w:r w:rsidR="00C744BD" w:rsidRPr="00EA59C0">
        <w:t>prior</w:t>
      </w:r>
      <w:r w:rsidR="00C026A6" w:rsidRPr="00EA59C0">
        <w:t xml:space="preserve"> </w:t>
      </w:r>
      <w:r w:rsidR="00C744BD" w:rsidRPr="00EA59C0">
        <w:t>experience</w:t>
      </w:r>
      <w:r w:rsidR="00C026A6" w:rsidRPr="00EA59C0">
        <w:t xml:space="preserve"> </w:t>
      </w:r>
      <w:r w:rsidR="00C744BD" w:rsidRPr="00EA59C0">
        <w:t>in</w:t>
      </w:r>
      <w:r w:rsidR="00C026A6" w:rsidRPr="00EA59C0">
        <w:t xml:space="preserve"> </w:t>
      </w:r>
      <w:r w:rsidR="00C744BD" w:rsidRPr="00EA59C0">
        <w:t>the</w:t>
      </w:r>
      <w:r w:rsidR="00C026A6" w:rsidRPr="00EA59C0">
        <w:t xml:space="preserve"> </w:t>
      </w:r>
      <w:r w:rsidR="00C744BD" w:rsidRPr="00EA59C0">
        <w:t>form</w:t>
      </w:r>
      <w:r w:rsidR="00C026A6" w:rsidRPr="00EA59C0">
        <w:t xml:space="preserve"> </w:t>
      </w:r>
      <w:r w:rsidR="00C744BD" w:rsidRPr="00EA59C0">
        <w:t>of</w:t>
      </w:r>
      <w:r w:rsidR="00C026A6" w:rsidRPr="00EA59C0">
        <w:t xml:space="preserve"> </w:t>
      </w:r>
      <w:r w:rsidR="00C744BD" w:rsidRPr="00EA59C0">
        <w:t>academic</w:t>
      </w:r>
      <w:r w:rsidR="00C026A6" w:rsidRPr="00EA59C0">
        <w:t xml:space="preserve"> </w:t>
      </w:r>
      <w:r w:rsidR="00C744BD" w:rsidRPr="00EA59C0">
        <w:t>credit,</w:t>
      </w:r>
      <w:r w:rsidR="00C026A6" w:rsidRPr="00EA59C0">
        <w:t xml:space="preserve"> </w:t>
      </w:r>
      <w:r w:rsidR="00C744BD" w:rsidRPr="00EA59C0">
        <w:t>non-credit</w:t>
      </w:r>
      <w:r w:rsidR="00C026A6" w:rsidRPr="00EA59C0">
        <w:t xml:space="preserve"> </w:t>
      </w:r>
      <w:r w:rsidR="00C744BD" w:rsidRPr="00EA59C0">
        <w:t>or</w:t>
      </w:r>
      <w:r w:rsidR="00C026A6" w:rsidRPr="00EA59C0">
        <w:t xml:space="preserve"> </w:t>
      </w:r>
      <w:r w:rsidR="00C744BD" w:rsidRPr="00EA59C0">
        <w:t>professional</w:t>
      </w:r>
      <w:r w:rsidR="00C026A6" w:rsidRPr="00EA59C0">
        <w:t xml:space="preserve"> </w:t>
      </w:r>
      <w:r w:rsidR="00C744BD" w:rsidRPr="00EA59C0">
        <w:t>development</w:t>
      </w:r>
      <w:r w:rsidR="00C026A6" w:rsidRPr="00EA59C0">
        <w:t xml:space="preserve"> </w:t>
      </w:r>
      <w:r w:rsidR="00C744BD" w:rsidRPr="00EA59C0">
        <w:t>certificates,</w:t>
      </w:r>
      <w:r w:rsidR="00C026A6" w:rsidRPr="00EA59C0">
        <w:t xml:space="preserve"> </w:t>
      </w:r>
      <w:r w:rsidR="00C744BD" w:rsidRPr="00EA59C0">
        <w:t>apprenticeship</w:t>
      </w:r>
      <w:r w:rsidR="00C026A6" w:rsidRPr="00EA59C0">
        <w:t xml:space="preserve"> </w:t>
      </w:r>
      <w:r w:rsidR="00C744BD" w:rsidRPr="00EA59C0">
        <w:t>certificates,</w:t>
      </w:r>
      <w:r w:rsidR="00C026A6" w:rsidRPr="00EA59C0">
        <w:t xml:space="preserve"> </w:t>
      </w:r>
      <w:r w:rsidR="00C744BD" w:rsidRPr="00EA59C0">
        <w:t>and/or</w:t>
      </w:r>
      <w:r w:rsidR="00C026A6" w:rsidRPr="00EA59C0">
        <w:t xml:space="preserve"> </w:t>
      </w:r>
      <w:r w:rsidR="00C744BD" w:rsidRPr="00EA59C0">
        <w:t>work</w:t>
      </w:r>
      <w:r w:rsidR="00C026A6" w:rsidRPr="00EA59C0">
        <w:t xml:space="preserve"> </w:t>
      </w:r>
      <w:r w:rsidR="00C744BD" w:rsidRPr="00EA59C0">
        <w:t>experience,</w:t>
      </w:r>
      <w:r w:rsidR="00C026A6" w:rsidRPr="00EA59C0">
        <w:t xml:space="preserve"> </w:t>
      </w:r>
      <w:r w:rsidR="00C744BD" w:rsidRPr="00EA59C0">
        <w:t>and</w:t>
      </w:r>
      <w:r w:rsidR="00C026A6" w:rsidRPr="00EA59C0">
        <w:t xml:space="preserve"> </w:t>
      </w:r>
      <w:r w:rsidR="00C744BD" w:rsidRPr="00EA59C0">
        <w:t>should</w:t>
      </w:r>
      <w:r w:rsidR="00C026A6" w:rsidRPr="00EA59C0">
        <w:t xml:space="preserve"> </w:t>
      </w:r>
      <w:r w:rsidR="00C744BD" w:rsidRPr="00EA59C0">
        <w:t>be</w:t>
      </w:r>
      <w:r w:rsidR="00C026A6" w:rsidRPr="00EA59C0">
        <w:t xml:space="preserve"> </w:t>
      </w:r>
      <w:r w:rsidR="00C744BD" w:rsidRPr="00EA59C0">
        <w:t>provided</w:t>
      </w:r>
      <w:r w:rsidR="00C026A6" w:rsidRPr="00EA59C0">
        <w:t xml:space="preserve"> </w:t>
      </w:r>
      <w:r w:rsidR="00C744BD" w:rsidRPr="00EA59C0">
        <w:t>the</w:t>
      </w:r>
      <w:r w:rsidR="00C026A6" w:rsidRPr="00EA59C0">
        <w:t xml:space="preserve"> </w:t>
      </w:r>
      <w:r w:rsidR="00C744BD" w:rsidRPr="00EA59C0">
        <w:t>opportunity</w:t>
      </w:r>
      <w:r w:rsidR="00C026A6" w:rsidRPr="00EA59C0">
        <w:t xml:space="preserve"> </w:t>
      </w:r>
      <w:r w:rsidR="00C744BD" w:rsidRPr="00EA59C0">
        <w:t>to</w:t>
      </w:r>
      <w:r w:rsidR="00C026A6" w:rsidRPr="00EA59C0">
        <w:t xml:space="preserve"> </w:t>
      </w:r>
      <w:r w:rsidR="00C744BD" w:rsidRPr="00EA59C0">
        <w:t>demonstrate</w:t>
      </w:r>
      <w:r w:rsidR="00C026A6" w:rsidRPr="00EA59C0">
        <w:t xml:space="preserve"> </w:t>
      </w:r>
      <w:r w:rsidR="00C744BD" w:rsidRPr="00EA59C0">
        <w:t>competencies</w:t>
      </w:r>
      <w:r w:rsidR="00C026A6" w:rsidRPr="00EA59C0">
        <w:t xml:space="preserve"> </w:t>
      </w:r>
      <w:r w:rsidR="00C744BD" w:rsidRPr="00EA59C0">
        <w:t>to</w:t>
      </w:r>
      <w:r w:rsidR="00C026A6" w:rsidRPr="00EA59C0">
        <w:t xml:space="preserve"> </w:t>
      </w:r>
      <w:r w:rsidR="00C744BD" w:rsidRPr="00EA59C0">
        <w:t>earn</w:t>
      </w:r>
      <w:r w:rsidR="00C026A6" w:rsidRPr="00EA59C0">
        <w:t xml:space="preserve"> </w:t>
      </w:r>
      <w:r w:rsidR="00C744BD" w:rsidRPr="00EA59C0">
        <w:t>credit</w:t>
      </w:r>
      <w:r w:rsidR="00C026A6" w:rsidRPr="00EA59C0">
        <w:t xml:space="preserve"> </w:t>
      </w:r>
      <w:r w:rsidR="00C744BD" w:rsidRPr="00EA59C0">
        <w:t>or</w:t>
      </w:r>
      <w:r w:rsidR="00C026A6" w:rsidRPr="00EA59C0">
        <w:t xml:space="preserve"> </w:t>
      </w:r>
      <w:r w:rsidR="00C744BD" w:rsidRPr="00EA59C0">
        <w:t>even</w:t>
      </w:r>
      <w:r w:rsidR="00C026A6" w:rsidRPr="00EA59C0">
        <w:t xml:space="preserve"> </w:t>
      </w:r>
      <w:r w:rsidR="00C744BD" w:rsidRPr="00EA59C0">
        <w:t>complete</w:t>
      </w:r>
      <w:r w:rsidR="00C026A6" w:rsidRPr="00EA59C0">
        <w:t xml:space="preserve"> </w:t>
      </w:r>
      <w:r w:rsidR="00C744BD" w:rsidRPr="00EA59C0">
        <w:t>certificates.</w:t>
      </w:r>
      <w:r w:rsidR="00C026A6" w:rsidRPr="00EA59C0">
        <w:t xml:space="preserve">  </w:t>
      </w:r>
      <w:r w:rsidR="00C744BD" w:rsidRPr="00EA59C0">
        <w:t>Applicants</w:t>
      </w:r>
      <w:r w:rsidR="00C026A6" w:rsidRPr="00EA59C0">
        <w:t xml:space="preserve"> </w:t>
      </w:r>
      <w:r w:rsidR="00C744BD" w:rsidRPr="00EA59C0">
        <w:t>are</w:t>
      </w:r>
      <w:r w:rsidR="00C026A6" w:rsidRPr="00EA59C0">
        <w:t xml:space="preserve"> </w:t>
      </w:r>
      <w:r w:rsidR="00C744BD" w:rsidRPr="00EA59C0">
        <w:t>also</w:t>
      </w:r>
      <w:r w:rsidR="00C026A6" w:rsidRPr="00EA59C0">
        <w:t xml:space="preserve"> </w:t>
      </w:r>
      <w:r w:rsidR="00C744BD" w:rsidRPr="00EA59C0">
        <w:t>encouraged</w:t>
      </w:r>
      <w:r w:rsidR="00C026A6" w:rsidRPr="00EA59C0">
        <w:t xml:space="preserve"> </w:t>
      </w:r>
      <w:r w:rsidR="00C744BD" w:rsidRPr="00EA59C0">
        <w:t>to</w:t>
      </w:r>
      <w:r w:rsidR="00C026A6" w:rsidRPr="00EA59C0">
        <w:t xml:space="preserve"> </w:t>
      </w:r>
      <w:r w:rsidR="00C744BD" w:rsidRPr="00EA59C0">
        <w:t>use</w:t>
      </w:r>
      <w:r w:rsidR="00C026A6" w:rsidRPr="00EA59C0">
        <w:t xml:space="preserve"> </w:t>
      </w:r>
      <w:r w:rsidR="00C744BD" w:rsidRPr="00EA59C0">
        <w:t>simulations</w:t>
      </w:r>
      <w:r w:rsidR="00C026A6" w:rsidRPr="00EA59C0">
        <w:t xml:space="preserve"> </w:t>
      </w:r>
      <w:r w:rsidR="00C744BD" w:rsidRPr="00EA59C0">
        <w:t>and</w:t>
      </w:r>
      <w:r w:rsidR="00C026A6" w:rsidRPr="00EA59C0">
        <w:t xml:space="preserve"> </w:t>
      </w:r>
      <w:r w:rsidR="00C744BD" w:rsidRPr="00EA59C0">
        <w:t>other</w:t>
      </w:r>
      <w:r w:rsidR="00C026A6" w:rsidRPr="00EA59C0">
        <w:t xml:space="preserve"> </w:t>
      </w:r>
      <w:r w:rsidR="00C744BD" w:rsidRPr="00EA59C0">
        <w:t>new</w:t>
      </w:r>
      <w:r w:rsidR="00C026A6" w:rsidRPr="00EA59C0">
        <w:t xml:space="preserve"> </w:t>
      </w:r>
      <w:r w:rsidR="00C744BD" w:rsidRPr="00EA59C0">
        <w:t>tools</w:t>
      </w:r>
      <w:r w:rsidR="00C026A6" w:rsidRPr="00EA59C0">
        <w:t xml:space="preserve"> </w:t>
      </w:r>
      <w:r w:rsidR="00C744BD" w:rsidRPr="00EA59C0">
        <w:t>to</w:t>
      </w:r>
      <w:r w:rsidR="00C026A6" w:rsidRPr="00EA59C0">
        <w:t xml:space="preserve"> </w:t>
      </w:r>
      <w:r w:rsidR="00C744BD" w:rsidRPr="00EA59C0">
        <w:t>conduct</w:t>
      </w:r>
      <w:r w:rsidR="00C026A6" w:rsidRPr="00EA59C0">
        <w:t xml:space="preserve"> </w:t>
      </w:r>
      <w:r w:rsidR="00C744BD" w:rsidRPr="00EA59C0">
        <w:t>assessments</w:t>
      </w:r>
      <w:r w:rsidR="00C026A6" w:rsidRPr="00EA59C0">
        <w:t xml:space="preserve"> </w:t>
      </w:r>
      <w:r w:rsidR="00270164" w:rsidRPr="00EA59C0">
        <w:t>that</w:t>
      </w:r>
      <w:r w:rsidR="00C026A6" w:rsidRPr="00EA59C0">
        <w:t xml:space="preserve"> </w:t>
      </w:r>
      <w:r w:rsidR="00C744BD" w:rsidRPr="00EA59C0">
        <w:t>identify</w:t>
      </w:r>
      <w:r w:rsidR="00C026A6" w:rsidRPr="00EA59C0">
        <w:t xml:space="preserve"> </w:t>
      </w:r>
      <w:r w:rsidR="00C744BD" w:rsidRPr="00EA59C0">
        <w:t>prior</w:t>
      </w:r>
      <w:r w:rsidR="00C026A6" w:rsidRPr="00EA59C0">
        <w:t xml:space="preserve"> </w:t>
      </w:r>
      <w:r w:rsidR="00C744BD" w:rsidRPr="00EA59C0">
        <w:t>learning</w:t>
      </w:r>
      <w:r w:rsidR="00C026A6" w:rsidRPr="00EA59C0">
        <w:t xml:space="preserve"> </w:t>
      </w:r>
      <w:r w:rsidR="00C744BD" w:rsidRPr="00EA59C0">
        <w:t>experiences</w:t>
      </w:r>
      <w:r w:rsidR="00C026A6" w:rsidRPr="00EA59C0">
        <w:t xml:space="preserve"> </w:t>
      </w:r>
      <w:r w:rsidR="00C744BD" w:rsidRPr="00EA59C0">
        <w:t>that</w:t>
      </w:r>
      <w:r w:rsidR="00C026A6" w:rsidRPr="00EA59C0">
        <w:t xml:space="preserve"> </w:t>
      </w:r>
      <w:r w:rsidR="00C744BD" w:rsidRPr="00EA59C0">
        <w:t>transfer</w:t>
      </w:r>
      <w:r w:rsidR="00C026A6" w:rsidRPr="00EA59C0">
        <w:t xml:space="preserve"> </w:t>
      </w:r>
      <w:r w:rsidR="00C744BD" w:rsidRPr="00EA59C0">
        <w:t>directly</w:t>
      </w:r>
      <w:r w:rsidR="00C026A6" w:rsidRPr="00EA59C0">
        <w:t xml:space="preserve"> </w:t>
      </w:r>
      <w:r w:rsidR="00C744BD" w:rsidRPr="00EA59C0">
        <w:t>to</w:t>
      </w:r>
      <w:r w:rsidR="00C026A6" w:rsidRPr="00EA59C0">
        <w:t xml:space="preserve"> </w:t>
      </w:r>
      <w:r w:rsidR="00C744BD" w:rsidRPr="00EA59C0">
        <w:t>credit</w:t>
      </w:r>
      <w:r w:rsidR="00C026A6" w:rsidRPr="00EA59C0">
        <w:t xml:space="preserve"> </w:t>
      </w:r>
      <w:r w:rsidR="00C744BD" w:rsidRPr="00EA59C0">
        <w:t>toward</w:t>
      </w:r>
      <w:r w:rsidR="00C026A6" w:rsidRPr="00EA59C0">
        <w:t xml:space="preserve"> </w:t>
      </w:r>
      <w:r w:rsidR="00C744BD" w:rsidRPr="00EA59C0">
        <w:t>credentials,</w:t>
      </w:r>
      <w:r w:rsidR="00C026A6" w:rsidRPr="00EA59C0">
        <w:t xml:space="preserve"> </w:t>
      </w:r>
      <w:r w:rsidR="00C744BD" w:rsidRPr="00EA59C0">
        <w:t>degrees,</w:t>
      </w:r>
      <w:r w:rsidR="00C026A6" w:rsidRPr="00EA59C0">
        <w:t xml:space="preserve"> </w:t>
      </w:r>
      <w:r w:rsidR="00C744BD" w:rsidRPr="00EA59C0">
        <w:t>and/or</w:t>
      </w:r>
      <w:r w:rsidR="00C026A6" w:rsidRPr="00EA59C0">
        <w:t xml:space="preserve"> </w:t>
      </w:r>
      <w:r w:rsidR="00C744BD" w:rsidRPr="00EA59C0">
        <w:t>future</w:t>
      </w:r>
      <w:r w:rsidR="00C026A6" w:rsidRPr="00EA59C0">
        <w:t xml:space="preserve"> </w:t>
      </w:r>
      <w:r w:rsidR="00C744BD" w:rsidRPr="00EA59C0">
        <w:t>employment.</w:t>
      </w:r>
    </w:p>
    <w:p w:rsidR="007B748B" w:rsidRPr="00EA59C0" w:rsidRDefault="007B748B">
      <w:pPr>
        <w:ind w:left="1080"/>
      </w:pPr>
    </w:p>
    <w:p w:rsidR="007B748B" w:rsidRPr="00EA59C0" w:rsidRDefault="007B748B">
      <w:pPr>
        <w:ind w:left="1080"/>
        <w:rPr>
          <w:u w:val="single"/>
        </w:rPr>
      </w:pPr>
      <w:r w:rsidRPr="00EA59C0">
        <w:rPr>
          <w:u w:val="single"/>
        </w:rPr>
        <w:t>Transferability</w:t>
      </w:r>
      <w:r w:rsidR="00C026A6" w:rsidRPr="00EA59C0">
        <w:rPr>
          <w:u w:val="single"/>
        </w:rPr>
        <w:t xml:space="preserve"> </w:t>
      </w:r>
      <w:r w:rsidRPr="00EA59C0">
        <w:rPr>
          <w:u w:val="single"/>
        </w:rPr>
        <w:t>and</w:t>
      </w:r>
      <w:r w:rsidR="00C026A6" w:rsidRPr="00EA59C0">
        <w:rPr>
          <w:u w:val="single"/>
        </w:rPr>
        <w:t xml:space="preserve"> </w:t>
      </w:r>
      <w:r w:rsidRPr="00EA59C0">
        <w:rPr>
          <w:u w:val="single"/>
        </w:rPr>
        <w:t>Articulation</w:t>
      </w:r>
      <w:r w:rsidR="00C026A6" w:rsidRPr="00EA59C0">
        <w:rPr>
          <w:u w:val="single"/>
        </w:rPr>
        <w:t xml:space="preserve"> </w:t>
      </w:r>
      <w:r w:rsidRPr="00EA59C0">
        <w:rPr>
          <w:u w:val="single"/>
        </w:rPr>
        <w:t>of</w:t>
      </w:r>
      <w:r w:rsidR="00C026A6" w:rsidRPr="00EA59C0">
        <w:rPr>
          <w:u w:val="single"/>
        </w:rPr>
        <w:t xml:space="preserve"> </w:t>
      </w:r>
      <w:r w:rsidRPr="00EA59C0">
        <w:rPr>
          <w:u w:val="single"/>
        </w:rPr>
        <w:t>Credit</w:t>
      </w:r>
    </w:p>
    <w:p w:rsidR="00F140D4" w:rsidRPr="00EA59C0" w:rsidRDefault="00F140D4">
      <w:pPr>
        <w:pStyle w:val="ListParagraph"/>
        <w:ind w:left="1080"/>
      </w:pPr>
      <w:r w:rsidRPr="00EA59C0">
        <w:t>The</w:t>
      </w:r>
      <w:r w:rsidR="00C026A6" w:rsidRPr="00EA59C0">
        <w:t xml:space="preserve"> </w:t>
      </w:r>
      <w:r w:rsidRPr="00EA59C0">
        <w:t>Department</w:t>
      </w:r>
      <w:r w:rsidR="00C026A6" w:rsidRPr="00EA59C0">
        <w:t xml:space="preserve"> </w:t>
      </w:r>
      <w:r w:rsidRPr="00EA59C0">
        <w:t>is</w:t>
      </w:r>
      <w:r w:rsidR="00C026A6" w:rsidRPr="00EA59C0">
        <w:t xml:space="preserve"> </w:t>
      </w:r>
      <w:r w:rsidRPr="00EA59C0">
        <w:t>interested</w:t>
      </w:r>
      <w:r w:rsidR="00C026A6" w:rsidRPr="00EA59C0">
        <w:t xml:space="preserve"> </w:t>
      </w:r>
      <w:r w:rsidRPr="00EA59C0">
        <w:t>in</w:t>
      </w:r>
      <w:r w:rsidR="00C026A6" w:rsidRPr="00EA59C0">
        <w:t xml:space="preserve"> </w:t>
      </w:r>
      <w:r w:rsidRPr="00EA59C0">
        <w:t>the</w:t>
      </w:r>
      <w:r w:rsidR="00C026A6" w:rsidRPr="00EA59C0">
        <w:t xml:space="preserve"> </w:t>
      </w:r>
      <w:r w:rsidRPr="00EA59C0">
        <w:t>transferability</w:t>
      </w:r>
      <w:r w:rsidR="00C026A6" w:rsidRPr="00EA59C0">
        <w:t xml:space="preserve"> </w:t>
      </w:r>
      <w:r w:rsidRPr="00EA59C0">
        <w:t>and</w:t>
      </w:r>
      <w:r w:rsidR="00C026A6" w:rsidRPr="00EA59C0">
        <w:t xml:space="preserve"> </w:t>
      </w:r>
      <w:r w:rsidRPr="00EA59C0">
        <w:t>articulation</w:t>
      </w:r>
      <w:r w:rsidR="00C026A6" w:rsidRPr="00EA59C0">
        <w:t xml:space="preserve"> </w:t>
      </w:r>
      <w:r w:rsidRPr="00EA59C0">
        <w:t>of</w:t>
      </w:r>
      <w:r w:rsidR="00C026A6" w:rsidRPr="00EA59C0">
        <w:t xml:space="preserve"> </w:t>
      </w:r>
      <w:r w:rsidRPr="00EA59C0">
        <w:t>academic</w:t>
      </w:r>
      <w:r w:rsidR="00C026A6" w:rsidRPr="00EA59C0">
        <w:t xml:space="preserve"> </w:t>
      </w:r>
      <w:r w:rsidRPr="00EA59C0">
        <w:t>credit</w:t>
      </w:r>
      <w:r w:rsidR="00C026A6" w:rsidRPr="00EA59C0">
        <w:t xml:space="preserve"> </w:t>
      </w:r>
      <w:r w:rsidRPr="00EA59C0">
        <w:t>that</w:t>
      </w:r>
      <w:r w:rsidR="00C026A6" w:rsidRPr="00EA59C0">
        <w:t xml:space="preserve"> </w:t>
      </w:r>
      <w:r w:rsidRPr="00EA59C0">
        <w:t>will</w:t>
      </w:r>
      <w:r w:rsidR="00C026A6" w:rsidRPr="00EA59C0">
        <w:t xml:space="preserve"> </w:t>
      </w:r>
      <w:r w:rsidR="00164775" w:rsidRPr="00EA59C0">
        <w:t>facilitate</w:t>
      </w:r>
      <w:r w:rsidR="00C026A6" w:rsidRPr="00EA59C0">
        <w:t xml:space="preserve"> </w:t>
      </w:r>
      <w:r w:rsidR="00B06867" w:rsidRPr="00EA59C0">
        <w:t>progress</w:t>
      </w:r>
      <w:r w:rsidR="00C026A6" w:rsidRPr="00EA59C0">
        <w:t xml:space="preserve"> </w:t>
      </w:r>
      <w:r w:rsidR="00B06867" w:rsidRPr="00EA59C0">
        <w:t>along</w:t>
      </w:r>
      <w:r w:rsidR="00C026A6" w:rsidRPr="00EA59C0">
        <w:t xml:space="preserve"> </w:t>
      </w:r>
      <w:r w:rsidR="00B06867" w:rsidRPr="00EA59C0">
        <w:t>c</w:t>
      </w:r>
      <w:r w:rsidRPr="00EA59C0">
        <w:t>areer</w:t>
      </w:r>
      <w:r w:rsidR="00C026A6" w:rsidRPr="00EA59C0">
        <w:t xml:space="preserve"> </w:t>
      </w:r>
      <w:r w:rsidRPr="00EA59C0">
        <w:t>pathways</w:t>
      </w:r>
      <w:r w:rsidR="00C026A6" w:rsidRPr="00EA59C0">
        <w:t xml:space="preserve"> </w:t>
      </w:r>
      <w:r w:rsidRPr="00EA59C0">
        <w:t>for</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and</w:t>
      </w:r>
      <w:r w:rsidR="00C026A6" w:rsidRPr="00EA59C0">
        <w:t xml:space="preserve"> </w:t>
      </w:r>
      <w:r w:rsidRPr="00EA59C0">
        <w:t>other</w:t>
      </w:r>
      <w:r w:rsidR="00C026A6" w:rsidRPr="00EA59C0">
        <w:t xml:space="preserve"> </w:t>
      </w:r>
      <w:r w:rsidRPr="00EA59C0">
        <w:t>adults</w:t>
      </w:r>
      <w:r w:rsidR="00C026A6" w:rsidRPr="00EA59C0">
        <w:t xml:space="preserve"> </w:t>
      </w:r>
      <w:r w:rsidRPr="00EA59C0">
        <w:t>to</w:t>
      </w:r>
      <w:r w:rsidR="00C026A6" w:rsidRPr="00EA59C0">
        <w:t xml:space="preserve"> </w:t>
      </w:r>
      <w:r w:rsidRPr="00EA59C0">
        <w:t>further</w:t>
      </w:r>
      <w:r w:rsidR="00C026A6" w:rsidRPr="00EA59C0">
        <w:t xml:space="preserve"> </w:t>
      </w:r>
      <w:r w:rsidRPr="00EA59C0">
        <w:t>their</w:t>
      </w:r>
      <w:r w:rsidR="00C026A6" w:rsidRPr="00EA59C0">
        <w:t xml:space="preserve"> </w:t>
      </w:r>
      <w:r w:rsidRPr="00EA59C0">
        <w:t>education.</w:t>
      </w:r>
      <w:r w:rsidR="00C026A6" w:rsidRPr="00EA59C0">
        <w:t xml:space="preserve">  </w:t>
      </w:r>
      <w:r w:rsidR="00071C8E" w:rsidRPr="00EA59C0">
        <w:t>This</w:t>
      </w:r>
      <w:r w:rsidR="00C026A6" w:rsidRPr="00EA59C0">
        <w:t xml:space="preserve"> </w:t>
      </w:r>
      <w:r w:rsidR="008211BC" w:rsidRPr="00EA59C0">
        <w:t>will</w:t>
      </w:r>
      <w:r w:rsidR="00C026A6" w:rsidRPr="00EA59C0">
        <w:t xml:space="preserve"> </w:t>
      </w:r>
      <w:r w:rsidR="00071C8E" w:rsidRPr="00EA59C0">
        <w:t>be</w:t>
      </w:r>
      <w:r w:rsidR="00C026A6" w:rsidRPr="00EA59C0">
        <w:t xml:space="preserve"> </w:t>
      </w:r>
      <w:r w:rsidRPr="00EA59C0">
        <w:t>accomplish</w:t>
      </w:r>
      <w:r w:rsidR="00071C8E" w:rsidRPr="00EA59C0">
        <w:t>ed</w:t>
      </w:r>
      <w:r w:rsidR="00C026A6" w:rsidRPr="00EA59C0">
        <w:t xml:space="preserve"> </w:t>
      </w:r>
      <w:r w:rsidRPr="00EA59C0">
        <w:t>through</w:t>
      </w:r>
      <w:r w:rsidR="00C026A6" w:rsidRPr="00EA59C0">
        <w:t xml:space="preserve"> </w:t>
      </w:r>
      <w:r w:rsidRPr="00EA59C0">
        <w:t>increased</w:t>
      </w:r>
      <w:r w:rsidR="00C026A6" w:rsidRPr="00EA59C0">
        <w:t xml:space="preserve"> </w:t>
      </w:r>
      <w:r w:rsidRPr="00EA59C0">
        <w:t>cooperation</w:t>
      </w:r>
      <w:r w:rsidR="00C026A6" w:rsidRPr="00EA59C0">
        <w:t xml:space="preserve"> </w:t>
      </w:r>
      <w:r w:rsidRPr="00EA59C0">
        <w:t>among</w:t>
      </w:r>
      <w:r w:rsidR="00C026A6" w:rsidRPr="00EA59C0">
        <w:t xml:space="preserve"> </w:t>
      </w:r>
      <w:r w:rsidRPr="00EA59C0">
        <w:t>institutions</w:t>
      </w:r>
      <w:r w:rsidR="00C026A6" w:rsidRPr="00EA59C0">
        <w:t xml:space="preserve"> </w:t>
      </w:r>
      <w:r w:rsidRPr="00EA59C0">
        <w:t>within</w:t>
      </w:r>
      <w:r w:rsidR="00C026A6" w:rsidRPr="00EA59C0">
        <w:t xml:space="preserve"> </w:t>
      </w:r>
      <w:r w:rsidR="00164775" w:rsidRPr="00EA59C0">
        <w:t>regions</w:t>
      </w:r>
      <w:r w:rsidR="00C026A6" w:rsidRPr="00EA59C0">
        <w:t xml:space="preserve"> </w:t>
      </w:r>
      <w:r w:rsidR="00164775" w:rsidRPr="00EA59C0">
        <w:t>or</w:t>
      </w:r>
      <w:r w:rsidR="00C026A6" w:rsidRPr="00EA59C0">
        <w:t xml:space="preserve"> </w:t>
      </w:r>
      <w:r w:rsidR="00164775" w:rsidRPr="00EA59C0">
        <w:t>state</w:t>
      </w:r>
      <w:r w:rsidR="00C026A6" w:rsidRPr="00EA59C0">
        <w:t xml:space="preserve"> </w:t>
      </w:r>
      <w:r w:rsidR="00164775" w:rsidRPr="00EA59C0">
        <w:t>education</w:t>
      </w:r>
      <w:r w:rsidR="00C026A6" w:rsidRPr="00EA59C0">
        <w:t xml:space="preserve"> </w:t>
      </w:r>
      <w:r w:rsidR="00164775" w:rsidRPr="00EA59C0">
        <w:t>systems</w:t>
      </w:r>
      <w:r w:rsidRPr="00EA59C0">
        <w:t>,</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through</w:t>
      </w:r>
      <w:r w:rsidR="00C026A6" w:rsidRPr="00EA59C0">
        <w:t xml:space="preserve"> </w:t>
      </w:r>
      <w:r w:rsidRPr="00EA59C0">
        <w:t>linkages</w:t>
      </w:r>
      <w:r w:rsidR="00C026A6" w:rsidRPr="00EA59C0">
        <w:t xml:space="preserve"> </w:t>
      </w:r>
      <w:r w:rsidRPr="00EA59C0">
        <w:t>with</w:t>
      </w:r>
      <w:r w:rsidR="00C026A6" w:rsidRPr="00EA59C0">
        <w:t xml:space="preserve"> </w:t>
      </w:r>
      <w:r w:rsidRPr="00EA59C0">
        <w:t>programs,</w:t>
      </w:r>
      <w:r w:rsidR="00C026A6" w:rsidRPr="00EA59C0">
        <w:t xml:space="preserve"> </w:t>
      </w:r>
      <w:r w:rsidRPr="00EA59C0">
        <w:t>such</w:t>
      </w:r>
      <w:r w:rsidR="00C026A6" w:rsidRPr="00EA59C0">
        <w:t xml:space="preserve"> </w:t>
      </w:r>
      <w:r w:rsidRPr="00EA59C0">
        <w:t>as</w:t>
      </w:r>
      <w:r w:rsidR="00C026A6" w:rsidRPr="00EA59C0">
        <w:t xml:space="preserve"> </w:t>
      </w:r>
      <w:r w:rsidRPr="00EA59C0">
        <w:t>postsecondary</w:t>
      </w:r>
      <w:r w:rsidR="00C026A6" w:rsidRPr="00EA59C0">
        <w:t xml:space="preserve"> </w:t>
      </w:r>
      <w:r w:rsidRPr="00EA59C0">
        <w:t>career</w:t>
      </w:r>
      <w:r w:rsidR="00C026A6" w:rsidRPr="00EA59C0">
        <w:t xml:space="preserve"> </w:t>
      </w:r>
      <w:r w:rsidRPr="00EA59C0">
        <w:t>and</w:t>
      </w:r>
      <w:r w:rsidR="00C026A6" w:rsidRPr="00EA59C0">
        <w:t xml:space="preserve"> </w:t>
      </w:r>
      <w:r w:rsidRPr="00EA59C0">
        <w:t>technical</w:t>
      </w:r>
      <w:r w:rsidR="00C026A6" w:rsidRPr="00EA59C0">
        <w:t xml:space="preserve"> </w:t>
      </w:r>
      <w:r w:rsidRPr="00EA59C0">
        <w:t>education,</w:t>
      </w:r>
      <w:r w:rsidR="00C026A6" w:rsidRPr="00EA59C0">
        <w:t xml:space="preserve"> </w:t>
      </w:r>
      <w:r w:rsidRPr="00EA59C0">
        <w:t>pre-apprenticeship</w:t>
      </w:r>
      <w:r w:rsidR="00C026A6" w:rsidRPr="00EA59C0">
        <w:t xml:space="preserve"> </w:t>
      </w:r>
      <w:r w:rsidRPr="00EA59C0">
        <w:t>and</w:t>
      </w:r>
      <w:r w:rsidR="00C026A6" w:rsidRPr="00EA59C0">
        <w:t xml:space="preserve"> </w:t>
      </w:r>
      <w:r w:rsidRPr="00EA59C0">
        <w:t>apprenticeship</w:t>
      </w:r>
      <w:r w:rsidR="00C026A6" w:rsidRPr="00EA59C0">
        <w:t xml:space="preserve"> </w:t>
      </w:r>
      <w:r w:rsidRPr="00EA59C0">
        <w:t>programs,</w:t>
      </w:r>
      <w:r w:rsidR="00C026A6" w:rsidRPr="00EA59C0">
        <w:t xml:space="preserve"> </w:t>
      </w:r>
      <w:r w:rsidRPr="00EA59C0">
        <w:t>and</w:t>
      </w:r>
      <w:r w:rsidR="00C026A6" w:rsidRPr="00EA59C0">
        <w:t xml:space="preserve"> </w:t>
      </w:r>
      <w:r w:rsidRPr="00EA59C0">
        <w:t>other</w:t>
      </w:r>
      <w:r w:rsidR="00C026A6" w:rsidRPr="00EA59C0">
        <w:t xml:space="preserve"> </w:t>
      </w:r>
      <w:r w:rsidRPr="00EA59C0">
        <w:t>programs</w:t>
      </w:r>
      <w:r w:rsidR="00C026A6" w:rsidRPr="00EA59C0">
        <w:t xml:space="preserve"> </w:t>
      </w:r>
      <w:r w:rsidRPr="00EA59C0">
        <w:t>that</w:t>
      </w:r>
      <w:r w:rsidR="00C026A6" w:rsidRPr="00EA59C0">
        <w:t xml:space="preserve"> </w:t>
      </w:r>
      <w:r w:rsidRPr="00EA59C0">
        <w:t>lead</w:t>
      </w:r>
      <w:r w:rsidR="00C026A6" w:rsidRPr="00EA59C0">
        <w:t xml:space="preserve"> </w:t>
      </w:r>
      <w:r w:rsidRPr="00EA59C0">
        <w:t>to</w:t>
      </w:r>
      <w:r w:rsidR="00C026A6" w:rsidRPr="00EA59C0">
        <w:t xml:space="preserve"> </w:t>
      </w:r>
      <w:r w:rsidRPr="00EA59C0">
        <w:t>credit-bearing</w:t>
      </w:r>
      <w:r w:rsidR="00C026A6" w:rsidRPr="00EA59C0">
        <w:t xml:space="preserve"> </w:t>
      </w:r>
      <w:r w:rsidRPr="00EA59C0">
        <w:t>coursework</w:t>
      </w:r>
      <w:r w:rsidR="00C026A6" w:rsidRPr="00EA59C0">
        <w:t xml:space="preserve"> </w:t>
      </w:r>
      <w:r w:rsidRPr="00EA59C0">
        <w:t>and</w:t>
      </w:r>
      <w:r w:rsidR="00C026A6" w:rsidRPr="00EA59C0">
        <w:t xml:space="preserve"> </w:t>
      </w:r>
      <w:r w:rsidRPr="00EA59C0">
        <w:t>employment.</w:t>
      </w:r>
      <w:r w:rsidR="00C026A6" w:rsidRPr="00EA59C0">
        <w:t xml:space="preserve">  </w:t>
      </w:r>
      <w:r w:rsidRPr="00EA59C0">
        <w:t>In</w:t>
      </w:r>
      <w:r w:rsidR="00C026A6" w:rsidRPr="00EA59C0">
        <w:t xml:space="preserve"> </w:t>
      </w:r>
      <w:r w:rsidRPr="00EA59C0">
        <w:t>the</w:t>
      </w:r>
      <w:r w:rsidR="00C026A6" w:rsidRPr="00EA59C0">
        <w:t xml:space="preserve"> </w:t>
      </w:r>
      <w:r w:rsidRPr="00EA59C0">
        <w:t>case</w:t>
      </w:r>
      <w:r w:rsidR="00C026A6" w:rsidRPr="00EA59C0">
        <w:t xml:space="preserve"> </w:t>
      </w:r>
      <w:r w:rsidRPr="00EA59C0">
        <w:t>of</w:t>
      </w:r>
      <w:r w:rsidR="00C026A6" w:rsidRPr="00EA59C0">
        <w:t xml:space="preserve"> </w:t>
      </w:r>
      <w:r w:rsidRPr="00EA59C0">
        <w:t>awarding</w:t>
      </w:r>
      <w:r w:rsidR="00C026A6" w:rsidRPr="00EA59C0">
        <w:t xml:space="preserve"> </w:t>
      </w:r>
      <w:r w:rsidRPr="00EA59C0">
        <w:t>credit</w:t>
      </w:r>
      <w:r w:rsidR="00C026A6" w:rsidRPr="00EA59C0">
        <w:t xml:space="preserve"> </w:t>
      </w:r>
      <w:r w:rsidRPr="00EA59C0">
        <w:t>for</w:t>
      </w:r>
      <w:r w:rsidR="00C026A6" w:rsidRPr="00EA59C0">
        <w:t xml:space="preserve"> </w:t>
      </w:r>
      <w:r w:rsidRPr="00EA59C0">
        <w:t>completion</w:t>
      </w:r>
      <w:r w:rsidR="00C026A6" w:rsidRPr="00EA59C0">
        <w:t xml:space="preserve"> </w:t>
      </w:r>
      <w:r w:rsidRPr="00EA59C0">
        <w:t>of</w:t>
      </w:r>
      <w:r w:rsidR="00C026A6" w:rsidRPr="00EA59C0">
        <w:t xml:space="preserve"> </w:t>
      </w:r>
      <w:r w:rsidRPr="00EA59C0">
        <w:t>apprenticeship</w:t>
      </w:r>
      <w:r w:rsidR="00C026A6" w:rsidRPr="00EA59C0">
        <w:t xml:space="preserve"> </w:t>
      </w:r>
      <w:r w:rsidRPr="00EA59C0">
        <w:t>programs,</w:t>
      </w:r>
      <w:r w:rsidR="00C026A6" w:rsidRPr="00EA59C0">
        <w:t xml:space="preserve"> </w:t>
      </w:r>
      <w:r w:rsidRPr="00EA59C0">
        <w:t>applicants</w:t>
      </w:r>
      <w:r w:rsidR="00C026A6" w:rsidRPr="00EA59C0">
        <w:t xml:space="preserve"> </w:t>
      </w:r>
      <w:r w:rsidRPr="00EA59C0">
        <w:t>are</w:t>
      </w:r>
      <w:r w:rsidR="00C026A6" w:rsidRPr="00EA59C0">
        <w:t xml:space="preserve"> </w:t>
      </w:r>
      <w:r w:rsidRPr="00EA59C0">
        <w:t>encouraged</w:t>
      </w:r>
      <w:r w:rsidR="00C026A6" w:rsidRPr="00EA59C0">
        <w:t xml:space="preserve"> </w:t>
      </w:r>
      <w:r w:rsidRPr="00EA59C0">
        <w:t>to</w:t>
      </w:r>
      <w:r w:rsidR="00C026A6" w:rsidRPr="00EA59C0">
        <w:t xml:space="preserve"> </w:t>
      </w:r>
      <w:r w:rsidRPr="00EA59C0">
        <w:t>work</w:t>
      </w:r>
      <w:r w:rsidR="00C026A6" w:rsidRPr="00EA59C0">
        <w:t xml:space="preserve"> </w:t>
      </w:r>
      <w:r w:rsidRPr="00EA59C0">
        <w:t>with</w:t>
      </w:r>
      <w:r w:rsidR="00C026A6" w:rsidRPr="00EA59C0">
        <w:t xml:space="preserve"> </w:t>
      </w:r>
      <w:r w:rsidRPr="00EA59C0">
        <w:t>the</w:t>
      </w:r>
      <w:r w:rsidR="00C026A6" w:rsidRPr="00EA59C0">
        <w:t xml:space="preserve"> </w:t>
      </w:r>
      <w:r w:rsidRPr="00EA59C0">
        <w:t>Registered</w:t>
      </w:r>
      <w:r w:rsidR="00C026A6" w:rsidRPr="00EA59C0">
        <w:t xml:space="preserve"> </w:t>
      </w:r>
      <w:r w:rsidRPr="00EA59C0">
        <w:t>Apprenticeship</w:t>
      </w:r>
      <w:r w:rsidR="00C026A6" w:rsidRPr="00EA59C0">
        <w:t xml:space="preserve"> </w:t>
      </w:r>
      <w:r w:rsidRPr="00EA59C0">
        <w:t>Community</w:t>
      </w:r>
      <w:r w:rsidR="00C026A6" w:rsidRPr="00EA59C0">
        <w:t xml:space="preserve"> </w:t>
      </w:r>
      <w:r w:rsidRPr="00EA59C0">
        <w:t>College</w:t>
      </w:r>
      <w:r w:rsidR="00C026A6" w:rsidRPr="00EA59C0">
        <w:t xml:space="preserve"> </w:t>
      </w:r>
      <w:r w:rsidRPr="00EA59C0">
        <w:t>Consortium</w:t>
      </w:r>
      <w:r w:rsidR="00C026A6" w:rsidRPr="00EA59C0">
        <w:t xml:space="preserve"> </w:t>
      </w:r>
      <w:r w:rsidRPr="00EA59C0">
        <w:t>to</w:t>
      </w:r>
      <w:r w:rsidR="00C026A6" w:rsidRPr="00EA59C0">
        <w:t xml:space="preserve"> </w:t>
      </w:r>
      <w:r w:rsidRPr="00EA59C0">
        <w:t>develop</w:t>
      </w:r>
      <w:r w:rsidR="00C026A6" w:rsidRPr="00EA59C0">
        <w:t xml:space="preserve"> </w:t>
      </w:r>
      <w:r w:rsidRPr="00EA59C0">
        <w:t>credit</w:t>
      </w:r>
      <w:r w:rsidR="00C026A6" w:rsidRPr="00EA59C0">
        <w:t xml:space="preserve"> </w:t>
      </w:r>
      <w:r w:rsidRPr="00EA59C0">
        <w:t>recommendations</w:t>
      </w:r>
      <w:r w:rsidR="00C026A6" w:rsidRPr="00EA59C0">
        <w:t xml:space="preserve"> </w:t>
      </w:r>
      <w:r w:rsidRPr="00EA59C0">
        <w:t>and</w:t>
      </w:r>
      <w:r w:rsidR="00C026A6" w:rsidRPr="00EA59C0">
        <w:t xml:space="preserve"> </w:t>
      </w:r>
      <w:r w:rsidRPr="00EA59C0">
        <w:t>articulation</w:t>
      </w:r>
      <w:r w:rsidR="00C026A6" w:rsidRPr="00EA59C0">
        <w:t xml:space="preserve"> </w:t>
      </w:r>
      <w:r w:rsidRPr="00EA59C0">
        <w:t>agreements.</w:t>
      </w:r>
      <w:r w:rsidR="00C026A6" w:rsidRPr="00EA59C0">
        <w:t xml:space="preserve">  </w:t>
      </w:r>
      <w:r w:rsidRPr="00EA59C0">
        <w:t>For</w:t>
      </w:r>
      <w:r w:rsidR="00C026A6" w:rsidRPr="00EA59C0">
        <w:t xml:space="preserve"> </w:t>
      </w:r>
      <w:r w:rsidRPr="00EA59C0">
        <w:t>more</w:t>
      </w:r>
      <w:r w:rsidR="00C026A6" w:rsidRPr="00EA59C0">
        <w:t xml:space="preserve"> </w:t>
      </w:r>
      <w:r w:rsidRPr="00EA59C0">
        <w:t>information,</w:t>
      </w:r>
      <w:r w:rsidR="00C026A6" w:rsidRPr="00EA59C0">
        <w:t xml:space="preserve"> </w:t>
      </w:r>
      <w:r w:rsidRPr="00EA59C0">
        <w:t>visit</w:t>
      </w:r>
      <w:r w:rsidR="00C026A6" w:rsidRPr="00EA59C0">
        <w:t xml:space="preserve"> </w:t>
      </w:r>
      <w:hyperlink r:id="rId233" w:history="1">
        <w:r w:rsidRPr="00EA59C0">
          <w:rPr>
            <w:rStyle w:val="Hyperlink"/>
            <w:color w:val="auto"/>
          </w:rPr>
          <w:t>http://www.doleta.gov/OA/pdf/ra_cc.pdf</w:t>
        </w:r>
      </w:hyperlink>
      <w:r w:rsidRPr="00EA59C0">
        <w:t>.</w:t>
      </w:r>
      <w:r w:rsidR="00C026A6" w:rsidRPr="00EA59C0">
        <w:t xml:space="preserve">  </w:t>
      </w:r>
    </w:p>
    <w:p w:rsidR="00F140D4" w:rsidRPr="00EA59C0" w:rsidRDefault="00F140D4">
      <w:pPr>
        <w:pStyle w:val="ListParagraph"/>
        <w:ind w:left="1080"/>
      </w:pPr>
    </w:p>
    <w:p w:rsidR="00071C8E" w:rsidRPr="00EA59C0" w:rsidRDefault="005C4115">
      <w:pPr>
        <w:pStyle w:val="ListParagraph"/>
        <w:ind w:left="1080"/>
      </w:pPr>
      <w:r w:rsidRPr="00EA59C0">
        <w:t>All</w:t>
      </w:r>
      <w:r w:rsidR="00C026A6" w:rsidRPr="00EA59C0">
        <w:t xml:space="preserve"> </w:t>
      </w:r>
      <w:r w:rsidRPr="00EA59C0">
        <w:t>successful</w:t>
      </w:r>
      <w:r w:rsidR="00C026A6" w:rsidRPr="00EA59C0">
        <w:t xml:space="preserve"> </w:t>
      </w:r>
      <w:r w:rsidRPr="00EA59C0">
        <w:t>applicants</w:t>
      </w:r>
      <w:r w:rsidR="00C026A6" w:rsidRPr="00EA59C0">
        <w:t xml:space="preserve"> </w:t>
      </w:r>
      <w:r w:rsidR="0052365D" w:rsidRPr="00EA59C0">
        <w:t>will</w:t>
      </w:r>
      <w:r w:rsidR="00C026A6" w:rsidRPr="00EA59C0">
        <w:t xml:space="preserve"> </w:t>
      </w:r>
      <w:r w:rsidR="00F140D4" w:rsidRPr="00EA59C0">
        <w:t>work</w:t>
      </w:r>
      <w:r w:rsidR="00C026A6" w:rsidRPr="00EA59C0">
        <w:t xml:space="preserve"> </w:t>
      </w:r>
      <w:r w:rsidR="00F140D4" w:rsidRPr="00EA59C0">
        <w:t>with</w:t>
      </w:r>
      <w:r w:rsidR="00C026A6" w:rsidRPr="00EA59C0">
        <w:t xml:space="preserve"> </w:t>
      </w:r>
      <w:r w:rsidR="00F140D4" w:rsidRPr="00EA59C0">
        <w:t>other</w:t>
      </w:r>
      <w:r w:rsidR="00C026A6" w:rsidRPr="00EA59C0">
        <w:t xml:space="preserve"> </w:t>
      </w:r>
      <w:r w:rsidR="00F140D4" w:rsidRPr="00EA59C0">
        <w:t>two-year</w:t>
      </w:r>
      <w:r w:rsidR="00C026A6" w:rsidRPr="00EA59C0">
        <w:t xml:space="preserve"> </w:t>
      </w:r>
      <w:r w:rsidR="00F140D4" w:rsidRPr="00EA59C0">
        <w:t>colleges</w:t>
      </w:r>
      <w:r w:rsidR="00C026A6" w:rsidRPr="00EA59C0">
        <w:t xml:space="preserve"> </w:t>
      </w:r>
      <w:r w:rsidR="00F140D4" w:rsidRPr="00EA59C0">
        <w:t>and</w:t>
      </w:r>
      <w:r w:rsidR="00C026A6" w:rsidRPr="00EA59C0">
        <w:t xml:space="preserve"> </w:t>
      </w:r>
      <w:r w:rsidR="00F140D4" w:rsidRPr="00EA59C0">
        <w:t>four-year</w:t>
      </w:r>
      <w:r w:rsidR="00C026A6" w:rsidRPr="00EA59C0">
        <w:t xml:space="preserve"> </w:t>
      </w:r>
      <w:r w:rsidR="00F140D4" w:rsidRPr="00EA59C0">
        <w:t>institutions</w:t>
      </w:r>
      <w:r w:rsidR="00C026A6" w:rsidRPr="00EA59C0">
        <w:t xml:space="preserve"> </w:t>
      </w:r>
      <w:r w:rsidR="00F140D4" w:rsidRPr="00EA59C0">
        <w:t>in</w:t>
      </w:r>
      <w:r w:rsidR="00C026A6" w:rsidRPr="00EA59C0">
        <w:t xml:space="preserve"> </w:t>
      </w:r>
      <w:r w:rsidR="00F140D4" w:rsidRPr="00EA59C0">
        <w:t>their</w:t>
      </w:r>
      <w:r w:rsidR="00C026A6" w:rsidRPr="00EA59C0">
        <w:t xml:space="preserve"> </w:t>
      </w:r>
      <w:r w:rsidR="00F140D4" w:rsidRPr="00EA59C0">
        <w:t>state</w:t>
      </w:r>
      <w:r w:rsidR="00C026A6" w:rsidRPr="00EA59C0">
        <w:t xml:space="preserve"> </w:t>
      </w:r>
      <w:r w:rsidR="00F140D4" w:rsidRPr="00EA59C0">
        <w:t>to</w:t>
      </w:r>
      <w:r w:rsidR="00C026A6" w:rsidRPr="00EA59C0">
        <w:t xml:space="preserve"> </w:t>
      </w:r>
      <w:r w:rsidR="00F140D4" w:rsidRPr="00EA59C0">
        <w:t>confirm</w:t>
      </w:r>
      <w:r w:rsidR="00C026A6" w:rsidRPr="00EA59C0">
        <w:t xml:space="preserve"> </w:t>
      </w:r>
      <w:r w:rsidR="00F140D4" w:rsidRPr="00EA59C0">
        <w:t>transferability</w:t>
      </w:r>
      <w:r w:rsidR="00C026A6" w:rsidRPr="00EA59C0">
        <w:t xml:space="preserve"> </w:t>
      </w:r>
      <w:r w:rsidR="00F140D4" w:rsidRPr="00EA59C0">
        <w:t>and</w:t>
      </w:r>
      <w:r w:rsidR="00C026A6" w:rsidRPr="00EA59C0">
        <w:t xml:space="preserve"> </w:t>
      </w:r>
      <w:r w:rsidR="00F140D4" w:rsidRPr="00EA59C0">
        <w:t>develop</w:t>
      </w:r>
      <w:r w:rsidR="00C026A6" w:rsidRPr="00EA59C0">
        <w:t xml:space="preserve"> </w:t>
      </w:r>
      <w:r w:rsidR="00F140D4" w:rsidRPr="00EA59C0">
        <w:t>articulation</w:t>
      </w:r>
      <w:r w:rsidR="00C026A6" w:rsidRPr="00EA59C0">
        <w:t xml:space="preserve"> </w:t>
      </w:r>
      <w:r w:rsidR="00F140D4" w:rsidRPr="00EA59C0">
        <w:t>agreements</w:t>
      </w:r>
      <w:r w:rsidR="00C026A6" w:rsidRPr="00EA59C0">
        <w:t xml:space="preserve"> </w:t>
      </w:r>
      <w:r w:rsidR="00F140D4" w:rsidRPr="00EA59C0">
        <w:t>for</w:t>
      </w:r>
      <w:r w:rsidR="00C026A6" w:rsidRPr="00EA59C0">
        <w:t xml:space="preserve"> </w:t>
      </w:r>
      <w:r w:rsidR="00F140D4" w:rsidRPr="00EA59C0">
        <w:t>TAACCCT-funded</w:t>
      </w:r>
      <w:r w:rsidR="00C026A6" w:rsidRPr="00EA59C0">
        <w:t xml:space="preserve"> </w:t>
      </w:r>
      <w:r w:rsidR="00F140D4" w:rsidRPr="00EA59C0">
        <w:t>courses</w:t>
      </w:r>
      <w:r w:rsidR="00C026A6" w:rsidRPr="00EA59C0">
        <w:t xml:space="preserve"> </w:t>
      </w:r>
      <w:r w:rsidR="00F140D4" w:rsidRPr="00EA59C0">
        <w:t>and</w:t>
      </w:r>
      <w:r w:rsidR="00C026A6" w:rsidRPr="00EA59C0">
        <w:t xml:space="preserve"> </w:t>
      </w:r>
      <w:r w:rsidR="00F140D4" w:rsidRPr="00EA59C0">
        <w:t>credentials,</w:t>
      </w:r>
      <w:r w:rsidR="00C026A6" w:rsidRPr="00EA59C0">
        <w:t xml:space="preserve"> </w:t>
      </w:r>
      <w:r w:rsidR="00F140D4" w:rsidRPr="00EA59C0">
        <w:t>including</w:t>
      </w:r>
      <w:r w:rsidR="00C026A6" w:rsidRPr="00EA59C0">
        <w:t xml:space="preserve"> </w:t>
      </w:r>
      <w:r w:rsidR="00F140D4" w:rsidRPr="00EA59C0">
        <w:t>building</w:t>
      </w:r>
      <w:r w:rsidR="00C026A6" w:rsidRPr="00EA59C0">
        <w:t xml:space="preserve"> </w:t>
      </w:r>
      <w:r w:rsidR="00F140D4" w:rsidRPr="00EA59C0">
        <w:t>bridges</w:t>
      </w:r>
      <w:r w:rsidR="00C026A6" w:rsidRPr="00EA59C0">
        <w:t xml:space="preserve"> </w:t>
      </w:r>
      <w:r w:rsidR="00F140D4" w:rsidRPr="00EA59C0">
        <w:t>from</w:t>
      </w:r>
      <w:r w:rsidR="00C026A6" w:rsidRPr="00EA59C0">
        <w:t xml:space="preserve"> </w:t>
      </w:r>
      <w:r w:rsidR="00F140D4" w:rsidRPr="00EA59C0">
        <w:t>non-credit</w:t>
      </w:r>
      <w:r w:rsidR="00C026A6" w:rsidRPr="00EA59C0">
        <w:t xml:space="preserve"> </w:t>
      </w:r>
      <w:r w:rsidR="00F140D4" w:rsidRPr="00EA59C0">
        <w:t>courses</w:t>
      </w:r>
      <w:r w:rsidR="00C026A6" w:rsidRPr="00EA59C0">
        <w:t xml:space="preserve"> </w:t>
      </w:r>
      <w:r w:rsidR="00F140D4" w:rsidRPr="00EA59C0">
        <w:t>and</w:t>
      </w:r>
      <w:r w:rsidR="00C026A6" w:rsidRPr="00EA59C0">
        <w:t xml:space="preserve"> </w:t>
      </w:r>
      <w:r w:rsidR="00F140D4" w:rsidRPr="00EA59C0">
        <w:t>programs</w:t>
      </w:r>
      <w:r w:rsidR="00C026A6" w:rsidRPr="00EA59C0">
        <w:t xml:space="preserve"> </w:t>
      </w:r>
      <w:r w:rsidR="00F140D4" w:rsidRPr="00EA59C0">
        <w:t>to</w:t>
      </w:r>
      <w:r w:rsidR="00C026A6" w:rsidRPr="00EA59C0">
        <w:t xml:space="preserve"> </w:t>
      </w:r>
      <w:r w:rsidR="00F140D4" w:rsidRPr="00EA59C0">
        <w:t>credit-bearing</w:t>
      </w:r>
      <w:r w:rsidR="00C026A6" w:rsidRPr="00EA59C0">
        <w:t xml:space="preserve"> </w:t>
      </w:r>
      <w:r w:rsidR="00F140D4" w:rsidRPr="00EA59C0">
        <w:t>courses</w:t>
      </w:r>
      <w:r w:rsidR="00C026A6" w:rsidRPr="00EA59C0">
        <w:t xml:space="preserve"> </w:t>
      </w:r>
      <w:r w:rsidR="00F140D4" w:rsidRPr="00EA59C0">
        <w:t>and</w:t>
      </w:r>
      <w:r w:rsidR="00C026A6" w:rsidRPr="00EA59C0">
        <w:t xml:space="preserve"> </w:t>
      </w:r>
      <w:r w:rsidR="00F140D4" w:rsidRPr="00EA59C0">
        <w:t>programs</w:t>
      </w:r>
      <w:r w:rsidR="00C026A6" w:rsidRPr="00EA59C0">
        <w:t xml:space="preserve"> </w:t>
      </w:r>
      <w:r w:rsidR="00F140D4" w:rsidRPr="00EA59C0">
        <w:t>within</w:t>
      </w:r>
      <w:r w:rsidR="00C026A6" w:rsidRPr="00EA59C0">
        <w:t xml:space="preserve"> </w:t>
      </w:r>
      <w:r w:rsidR="00F140D4" w:rsidRPr="00EA59C0">
        <w:t>and</w:t>
      </w:r>
      <w:r w:rsidR="00C026A6" w:rsidRPr="00EA59C0">
        <w:t xml:space="preserve"> </w:t>
      </w:r>
      <w:r w:rsidR="00F140D4" w:rsidRPr="00EA59C0">
        <w:t>between</w:t>
      </w:r>
      <w:r w:rsidR="00C026A6" w:rsidRPr="00EA59C0">
        <w:t xml:space="preserve"> </w:t>
      </w:r>
      <w:r w:rsidR="00F140D4" w:rsidRPr="00EA59C0">
        <w:t>institutions.</w:t>
      </w:r>
      <w:r w:rsidR="00C026A6" w:rsidRPr="00EA59C0">
        <w:t xml:space="preserve"> </w:t>
      </w:r>
    </w:p>
    <w:p w:rsidR="00F140D4" w:rsidRPr="00EA59C0" w:rsidRDefault="00C026A6">
      <w:pPr>
        <w:pStyle w:val="ListParagraph"/>
        <w:ind w:left="1080"/>
      </w:pPr>
      <w:r w:rsidRPr="00EA59C0">
        <w:t xml:space="preserve"> </w:t>
      </w:r>
    </w:p>
    <w:p w:rsidR="00F140D4" w:rsidRPr="00EA59C0" w:rsidRDefault="00F140D4">
      <w:pPr>
        <w:pStyle w:val="ListParagraph"/>
        <w:ind w:left="1080"/>
      </w:pPr>
      <w:r w:rsidRPr="00EA59C0">
        <w:t>For</w:t>
      </w:r>
      <w:r w:rsidR="00C026A6" w:rsidRPr="00EA59C0">
        <w:t xml:space="preserve"> </w:t>
      </w:r>
      <w:r w:rsidR="009E1503" w:rsidRPr="00EA59C0">
        <w:t>successful</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consortium</w:t>
      </w:r>
      <w:r w:rsidR="00C026A6" w:rsidRPr="00EA59C0">
        <w:t xml:space="preserve"> </w:t>
      </w:r>
      <w:r w:rsidRPr="00EA59C0">
        <w:t>member</w:t>
      </w:r>
      <w:r w:rsidR="00C026A6" w:rsidRPr="00EA59C0">
        <w:t xml:space="preserve"> </w:t>
      </w:r>
      <w:r w:rsidRPr="00EA59C0">
        <w:t>institutions</w:t>
      </w:r>
      <w:r w:rsidR="00C026A6" w:rsidRPr="00EA59C0">
        <w:t xml:space="preserve"> </w:t>
      </w:r>
      <w:r w:rsidRPr="00EA59C0">
        <w:t>also</w:t>
      </w:r>
      <w:r w:rsidR="00C026A6" w:rsidRPr="00EA59C0">
        <w:t xml:space="preserve"> </w:t>
      </w:r>
      <w:r w:rsidR="009A4843" w:rsidRPr="00EA59C0">
        <w:t>will</w:t>
      </w:r>
      <w:r w:rsidR="00C026A6" w:rsidRPr="00EA59C0">
        <w:t xml:space="preserve"> </w:t>
      </w:r>
      <w:r w:rsidRPr="00EA59C0">
        <w:t>agree</w:t>
      </w:r>
      <w:r w:rsidR="00C026A6" w:rsidRPr="00EA59C0">
        <w:t xml:space="preserve"> </w:t>
      </w:r>
      <w:r w:rsidRPr="00EA59C0">
        <w:t>to</w:t>
      </w:r>
      <w:r w:rsidR="00C026A6" w:rsidRPr="00EA59C0">
        <w:t xml:space="preserve"> </w:t>
      </w:r>
      <w:r w:rsidRPr="00EA59C0">
        <w:t>accept</w:t>
      </w:r>
      <w:r w:rsidR="00C026A6" w:rsidRPr="00EA59C0">
        <w:t xml:space="preserve"> </w:t>
      </w:r>
      <w:r w:rsidRPr="00EA59C0">
        <w:t>all</w:t>
      </w:r>
      <w:r w:rsidR="00C026A6" w:rsidRPr="00EA59C0">
        <w:t xml:space="preserve"> </w:t>
      </w:r>
      <w:r w:rsidRPr="00EA59C0">
        <w:t>TAACCCT-funded</w:t>
      </w:r>
      <w:r w:rsidR="00C026A6" w:rsidRPr="00EA59C0">
        <w:t xml:space="preserve"> </w:t>
      </w:r>
      <w:r w:rsidRPr="00EA59C0">
        <w:t>courses</w:t>
      </w:r>
      <w:r w:rsidR="00C026A6" w:rsidRPr="00EA59C0">
        <w:t xml:space="preserve"> </w:t>
      </w:r>
      <w:r w:rsidRPr="00EA59C0">
        <w:t>and</w:t>
      </w:r>
      <w:r w:rsidR="00C026A6" w:rsidRPr="00EA59C0">
        <w:t xml:space="preserve"> </w:t>
      </w:r>
      <w:r w:rsidRPr="00EA59C0">
        <w:t>credentials</w:t>
      </w:r>
      <w:r w:rsidR="00C026A6" w:rsidRPr="00EA59C0">
        <w:t xml:space="preserve"> </w:t>
      </w:r>
      <w:r w:rsidRPr="00EA59C0">
        <w:t>(within</w:t>
      </w:r>
      <w:r w:rsidR="00C026A6" w:rsidRPr="00EA59C0">
        <w:t xml:space="preserve"> </w:t>
      </w:r>
      <w:r w:rsidRPr="00EA59C0">
        <w:t>the</w:t>
      </w:r>
      <w:r w:rsidR="00C026A6" w:rsidRPr="00EA59C0">
        <w:t xml:space="preserve"> </w:t>
      </w:r>
      <w:r w:rsidRPr="00EA59C0">
        <w:t>consortium)</w:t>
      </w:r>
      <w:r w:rsidR="00C026A6" w:rsidRPr="00EA59C0">
        <w:t xml:space="preserve"> </w:t>
      </w:r>
      <w:r w:rsidRPr="00EA59C0">
        <w:t>for</w:t>
      </w:r>
      <w:r w:rsidR="00C026A6" w:rsidRPr="00EA59C0">
        <w:t xml:space="preserve"> </w:t>
      </w:r>
      <w:r w:rsidRPr="00EA59C0">
        <w:t>transfer</w:t>
      </w:r>
      <w:r w:rsidR="00C026A6" w:rsidRPr="00EA59C0">
        <w:t xml:space="preserve"> </w:t>
      </w:r>
      <w:r w:rsidRPr="00EA59C0">
        <w:t>to</w:t>
      </w:r>
      <w:r w:rsidR="00C026A6" w:rsidRPr="00EA59C0">
        <w:t xml:space="preserve"> </w:t>
      </w:r>
      <w:r w:rsidRPr="00EA59C0">
        <w:t>their</w:t>
      </w:r>
      <w:r w:rsidR="00C026A6" w:rsidRPr="00EA59C0">
        <w:t xml:space="preserve"> </w:t>
      </w:r>
      <w:r w:rsidRPr="00EA59C0">
        <w:t>respective</w:t>
      </w:r>
      <w:r w:rsidR="00C026A6" w:rsidRPr="00EA59C0">
        <w:t xml:space="preserve"> </w:t>
      </w:r>
      <w:r w:rsidRPr="00EA59C0">
        <w:t>institutions,</w:t>
      </w:r>
      <w:r w:rsidR="00C026A6" w:rsidRPr="00EA59C0">
        <w:t xml:space="preserve"> </w:t>
      </w:r>
      <w:r w:rsidRPr="00EA59C0">
        <w:t>whenever</w:t>
      </w:r>
      <w:r w:rsidR="00C026A6" w:rsidRPr="00EA59C0">
        <w:t xml:space="preserve"> </w:t>
      </w:r>
      <w:r w:rsidRPr="00EA59C0">
        <w:t>feasible.</w:t>
      </w:r>
      <w:r w:rsidR="00C026A6" w:rsidRPr="00EA59C0">
        <w:t xml:space="preserve">  </w:t>
      </w:r>
      <w:r w:rsidRPr="00EA59C0">
        <w:t>To</w:t>
      </w:r>
      <w:r w:rsidR="00C026A6" w:rsidRPr="00EA59C0">
        <w:t xml:space="preserve"> </w:t>
      </w:r>
      <w:r w:rsidRPr="00EA59C0">
        <w:t>expand</w:t>
      </w:r>
      <w:r w:rsidR="00C026A6" w:rsidRPr="00EA59C0">
        <w:t xml:space="preserve"> </w:t>
      </w:r>
      <w:r w:rsidRPr="00EA59C0">
        <w:t>the</w:t>
      </w:r>
      <w:r w:rsidR="00C026A6" w:rsidRPr="00EA59C0">
        <w:t xml:space="preserve"> </w:t>
      </w:r>
      <w:r w:rsidRPr="00EA59C0">
        <w:t>reach</w:t>
      </w:r>
      <w:r w:rsidR="00C026A6" w:rsidRPr="00EA59C0">
        <w:t xml:space="preserve"> </w:t>
      </w:r>
      <w:r w:rsidRPr="00EA59C0">
        <w:t>and</w:t>
      </w:r>
      <w:r w:rsidR="00C026A6" w:rsidRPr="00EA59C0">
        <w:t xml:space="preserve"> </w:t>
      </w:r>
      <w:r w:rsidRPr="00EA59C0">
        <w:t>impact</w:t>
      </w:r>
      <w:r w:rsidR="00C026A6" w:rsidRPr="00EA59C0">
        <w:t xml:space="preserve"> </w:t>
      </w:r>
      <w:r w:rsidRPr="00EA59C0">
        <w:t>of</w:t>
      </w:r>
      <w:r w:rsidR="00C026A6" w:rsidRPr="00EA59C0">
        <w:t xml:space="preserve"> </w:t>
      </w:r>
      <w:r w:rsidRPr="00EA59C0">
        <w:t>TAACCCT-funded</w:t>
      </w:r>
      <w:r w:rsidR="00C026A6" w:rsidRPr="00EA59C0">
        <w:t xml:space="preserve"> </w:t>
      </w:r>
      <w:r w:rsidRPr="00EA59C0">
        <w:t>programs,</w:t>
      </w:r>
      <w:r w:rsidR="00C026A6" w:rsidRPr="00EA59C0">
        <w:t xml:space="preserve"> </w:t>
      </w:r>
      <w:r w:rsidRPr="00EA59C0">
        <w:t>consortia</w:t>
      </w:r>
      <w:r w:rsidR="00C026A6" w:rsidRPr="00EA59C0">
        <w:t xml:space="preserve"> </w:t>
      </w:r>
      <w:r w:rsidRPr="00EA59C0">
        <w:t>that</w:t>
      </w:r>
      <w:r w:rsidR="00C026A6" w:rsidRPr="00EA59C0">
        <w:t xml:space="preserve"> </w:t>
      </w:r>
      <w:r w:rsidRPr="00EA59C0">
        <w:t>receive</w:t>
      </w:r>
      <w:r w:rsidR="00C026A6" w:rsidRPr="00EA59C0">
        <w:t xml:space="preserve"> </w:t>
      </w:r>
      <w:r w:rsidRPr="00EA59C0">
        <w:t>funding</w:t>
      </w:r>
      <w:r w:rsidR="00C026A6" w:rsidRPr="00EA59C0">
        <w:t xml:space="preserve"> </w:t>
      </w:r>
      <w:r w:rsidRPr="00EA59C0">
        <w:t>under</w:t>
      </w:r>
      <w:r w:rsidR="00C026A6" w:rsidRPr="00EA59C0">
        <w:t xml:space="preserve"> </w:t>
      </w:r>
      <w:r w:rsidRPr="00EA59C0">
        <w:t>this</w:t>
      </w:r>
      <w:r w:rsidR="00C026A6" w:rsidRPr="00EA59C0">
        <w:t xml:space="preserve"> </w:t>
      </w:r>
      <w:r w:rsidRPr="00EA59C0">
        <w:t>SGA</w:t>
      </w:r>
      <w:r w:rsidR="00C026A6" w:rsidRPr="00EA59C0">
        <w:t xml:space="preserve"> </w:t>
      </w:r>
      <w:r w:rsidRPr="00EA59C0">
        <w:t>should</w:t>
      </w:r>
      <w:r w:rsidR="00C026A6" w:rsidRPr="00EA59C0">
        <w:t xml:space="preserve"> </w:t>
      </w:r>
      <w:r w:rsidRPr="00EA59C0">
        <w:t>work</w:t>
      </w:r>
      <w:r w:rsidR="00C026A6" w:rsidRPr="00EA59C0">
        <w:t xml:space="preserve"> </w:t>
      </w:r>
      <w:r w:rsidRPr="00EA59C0">
        <w:t>toward</w:t>
      </w:r>
      <w:r w:rsidR="00C026A6" w:rsidRPr="00EA59C0">
        <w:t xml:space="preserve"> </w:t>
      </w:r>
      <w:r w:rsidRPr="00EA59C0">
        <w:t>accepting</w:t>
      </w:r>
      <w:r w:rsidR="00C026A6" w:rsidRPr="00EA59C0">
        <w:t xml:space="preserve"> </w:t>
      </w:r>
      <w:r w:rsidRPr="00EA59C0">
        <w:t>relevant</w:t>
      </w:r>
      <w:r w:rsidR="00C026A6" w:rsidRPr="00EA59C0">
        <w:t xml:space="preserve"> </w:t>
      </w:r>
      <w:r w:rsidRPr="00EA59C0">
        <w:t>courses</w:t>
      </w:r>
      <w:r w:rsidR="00C026A6" w:rsidRPr="00EA59C0">
        <w:t xml:space="preserve"> </w:t>
      </w:r>
      <w:r w:rsidRPr="00EA59C0">
        <w:t>and</w:t>
      </w:r>
      <w:r w:rsidR="00C026A6" w:rsidRPr="00EA59C0">
        <w:t xml:space="preserve"> </w:t>
      </w:r>
      <w:r w:rsidRPr="00EA59C0">
        <w:t>certificates</w:t>
      </w:r>
      <w:r w:rsidR="00C026A6" w:rsidRPr="00EA59C0">
        <w:t xml:space="preserve"> </w:t>
      </w:r>
      <w:r w:rsidRPr="00EA59C0">
        <w:t>from</w:t>
      </w:r>
      <w:r w:rsidR="00C026A6" w:rsidRPr="00EA59C0">
        <w:t xml:space="preserve"> </w:t>
      </w:r>
      <w:r w:rsidRPr="00EA59C0">
        <w:t>programs</w:t>
      </w:r>
      <w:r w:rsidR="00C026A6" w:rsidRPr="00EA59C0">
        <w:t xml:space="preserve"> </w:t>
      </w:r>
      <w:r w:rsidRPr="00EA59C0">
        <w:t>previously-funded</w:t>
      </w:r>
      <w:r w:rsidR="00C026A6" w:rsidRPr="00EA59C0">
        <w:t xml:space="preserve"> </w:t>
      </w:r>
      <w:r w:rsidRPr="00EA59C0">
        <w:t>through</w:t>
      </w:r>
      <w:r w:rsidR="00C026A6" w:rsidRPr="00EA59C0">
        <w:t xml:space="preserve"> </w:t>
      </w:r>
      <w:r w:rsidRPr="00EA59C0">
        <w:t>TAACCCT</w:t>
      </w:r>
      <w:r w:rsidR="00C026A6" w:rsidRPr="00EA59C0">
        <w:t xml:space="preserve"> </w:t>
      </w:r>
      <w:r w:rsidRPr="00EA59C0">
        <w:t>SGA/DFA</w:t>
      </w:r>
      <w:r w:rsidR="00C026A6" w:rsidRPr="00EA59C0">
        <w:t xml:space="preserve"> </w:t>
      </w:r>
      <w:r w:rsidRPr="00EA59C0">
        <w:t>PY</w:t>
      </w:r>
      <w:r w:rsidR="00C026A6" w:rsidRPr="00EA59C0">
        <w:t xml:space="preserve"> </w:t>
      </w:r>
      <w:r w:rsidRPr="00EA59C0">
        <w:t>10-03</w:t>
      </w:r>
      <w:r w:rsidR="00C026A6" w:rsidRPr="00EA59C0">
        <w:t xml:space="preserve"> </w:t>
      </w:r>
      <w:r w:rsidRPr="00EA59C0">
        <w:t>(Round</w:t>
      </w:r>
      <w:r w:rsidR="00C026A6" w:rsidRPr="00EA59C0">
        <w:t xml:space="preserve"> </w:t>
      </w:r>
      <w:r w:rsidRPr="00EA59C0">
        <w:t>1)</w:t>
      </w:r>
      <w:r w:rsidR="00E15035" w:rsidRPr="00EA59C0">
        <w:t>,</w:t>
      </w:r>
      <w:r w:rsidR="00C026A6" w:rsidRPr="00EA59C0">
        <w:t xml:space="preserve"> </w:t>
      </w:r>
      <w:r w:rsidRPr="00EA59C0">
        <w:t>SGA/DFA</w:t>
      </w:r>
      <w:r w:rsidR="00C026A6" w:rsidRPr="00EA59C0">
        <w:t xml:space="preserve"> </w:t>
      </w:r>
      <w:r w:rsidRPr="00EA59C0">
        <w:t>PY</w:t>
      </w:r>
      <w:r w:rsidR="00C026A6" w:rsidRPr="00EA59C0">
        <w:t xml:space="preserve"> </w:t>
      </w:r>
      <w:r w:rsidRPr="00EA59C0">
        <w:t>11-08</w:t>
      </w:r>
      <w:r w:rsidR="00C026A6" w:rsidRPr="00EA59C0">
        <w:t xml:space="preserve"> </w:t>
      </w:r>
      <w:r w:rsidRPr="00EA59C0">
        <w:t>(Round</w:t>
      </w:r>
      <w:r w:rsidR="00C026A6" w:rsidRPr="00EA59C0">
        <w:t xml:space="preserve"> </w:t>
      </w:r>
      <w:r w:rsidRPr="00EA59C0">
        <w:t>2)</w:t>
      </w:r>
      <w:r w:rsidR="00E15035" w:rsidRPr="00EA59C0">
        <w:t>,</w:t>
      </w:r>
      <w:r w:rsidR="00C026A6" w:rsidRPr="00EA59C0">
        <w:t xml:space="preserve"> </w:t>
      </w:r>
      <w:r w:rsidRPr="00EA59C0">
        <w:t>and</w:t>
      </w:r>
      <w:r w:rsidR="00C026A6" w:rsidRPr="00EA59C0">
        <w:t xml:space="preserve"> </w:t>
      </w:r>
      <w:r w:rsidRPr="00EA59C0">
        <w:t>TAACCCT</w:t>
      </w:r>
      <w:r w:rsidR="00C026A6" w:rsidRPr="00EA59C0">
        <w:t xml:space="preserve"> </w:t>
      </w:r>
      <w:r w:rsidRPr="00EA59C0">
        <w:t>SGA/DFA</w:t>
      </w:r>
      <w:r w:rsidR="00C026A6" w:rsidRPr="00EA59C0">
        <w:t xml:space="preserve"> </w:t>
      </w:r>
      <w:r w:rsidRPr="00EA59C0">
        <w:t>PY</w:t>
      </w:r>
      <w:r w:rsidR="00C026A6" w:rsidRPr="00EA59C0">
        <w:t xml:space="preserve"> </w:t>
      </w:r>
      <w:r w:rsidRPr="00EA59C0">
        <w:t>12-10</w:t>
      </w:r>
      <w:r w:rsidR="00C026A6" w:rsidRPr="00EA59C0">
        <w:t xml:space="preserve"> </w:t>
      </w:r>
      <w:r w:rsidRPr="00EA59C0">
        <w:t>(Round</w:t>
      </w:r>
      <w:r w:rsidR="00C026A6" w:rsidRPr="00EA59C0">
        <w:t xml:space="preserve"> </w:t>
      </w:r>
      <w:r w:rsidRPr="00EA59C0">
        <w:t>3)</w:t>
      </w:r>
      <w:r w:rsidR="00C026A6" w:rsidRPr="00EA59C0">
        <w:t xml:space="preserve"> </w:t>
      </w:r>
      <w:r w:rsidRPr="00EA59C0">
        <w:t>for</w:t>
      </w:r>
      <w:r w:rsidR="00C026A6" w:rsidRPr="00EA59C0">
        <w:t xml:space="preserve"> </w:t>
      </w:r>
      <w:r w:rsidRPr="00EA59C0">
        <w:t>transfer</w:t>
      </w:r>
      <w:r w:rsidR="00C026A6" w:rsidRPr="00EA59C0">
        <w:t xml:space="preserve"> </w:t>
      </w:r>
      <w:r w:rsidRPr="00EA59C0">
        <w:t>and</w:t>
      </w:r>
      <w:r w:rsidR="00C026A6" w:rsidRPr="00EA59C0">
        <w:t xml:space="preserve"> </w:t>
      </w:r>
      <w:r w:rsidRPr="00EA59C0">
        <w:t>articulation.</w:t>
      </w:r>
      <w:r w:rsidR="00C026A6" w:rsidRPr="00EA59C0">
        <w:t xml:space="preserve">  </w:t>
      </w:r>
      <w:r w:rsidRPr="00EA59C0">
        <w:t>See</w:t>
      </w:r>
      <w:r w:rsidR="00C026A6" w:rsidRPr="00EA59C0">
        <w:t xml:space="preserve"> </w:t>
      </w:r>
      <w:hyperlink r:id="rId234" w:history="1">
        <w:r w:rsidR="00071C8E" w:rsidRPr="00EA59C0">
          <w:rPr>
            <w:rStyle w:val="Hyperlink"/>
            <w:color w:val="auto"/>
          </w:rPr>
          <w:t>http://www.doleta.gov/taaccct</w:t>
        </w:r>
      </w:hyperlink>
      <w:r w:rsidR="00C026A6" w:rsidRPr="00EA59C0">
        <w:t xml:space="preserve"> </w:t>
      </w:r>
      <w:r w:rsidRPr="00EA59C0">
        <w:t>for</w:t>
      </w:r>
      <w:r w:rsidR="00C026A6" w:rsidRPr="00EA59C0">
        <w:t xml:space="preserve"> </w:t>
      </w:r>
      <w:r w:rsidRPr="00EA59C0">
        <w:t>a</w:t>
      </w:r>
      <w:r w:rsidR="00C026A6" w:rsidRPr="00EA59C0">
        <w:t xml:space="preserve"> </w:t>
      </w:r>
      <w:r w:rsidRPr="00EA59C0">
        <w:t>list</w:t>
      </w:r>
      <w:r w:rsidR="00C026A6" w:rsidRPr="00EA59C0">
        <w:t xml:space="preserve"> </w:t>
      </w:r>
      <w:r w:rsidRPr="00EA59C0">
        <w:t>of</w:t>
      </w:r>
      <w:r w:rsidR="00C026A6" w:rsidRPr="00EA59C0">
        <w:t xml:space="preserve"> </w:t>
      </w:r>
      <w:r w:rsidRPr="00EA59C0">
        <w:t>previously-funded</w:t>
      </w:r>
      <w:r w:rsidR="00C026A6" w:rsidRPr="00EA59C0">
        <w:t xml:space="preserve"> </w:t>
      </w:r>
      <w:r w:rsidRPr="00EA59C0">
        <w:t>TAACCCT</w:t>
      </w:r>
      <w:r w:rsidR="00C026A6" w:rsidRPr="00EA59C0">
        <w:t xml:space="preserve"> </w:t>
      </w:r>
      <w:r w:rsidRPr="00EA59C0">
        <w:t>programs</w:t>
      </w:r>
      <w:r w:rsidR="00C026A6" w:rsidRPr="00EA59C0">
        <w:t xml:space="preserve"> </w:t>
      </w:r>
      <w:r w:rsidRPr="00EA59C0">
        <w:t>or</w:t>
      </w:r>
      <w:r w:rsidR="00C026A6" w:rsidRPr="00EA59C0">
        <w:t xml:space="preserve"> </w:t>
      </w:r>
      <w:hyperlink r:id="rId235" w:history="1">
        <w:r w:rsidR="00071C8E" w:rsidRPr="00EA59C0">
          <w:rPr>
            <w:rStyle w:val="Hyperlink"/>
            <w:color w:val="auto"/>
          </w:rPr>
          <w:t>http://www.dol.gov/dol/grants/</w:t>
        </w:r>
      </w:hyperlink>
      <w:r w:rsidR="00C026A6" w:rsidRPr="00EA59C0">
        <w:t xml:space="preserve"> </w:t>
      </w:r>
      <w:r w:rsidRPr="00EA59C0">
        <w:t>for</w:t>
      </w:r>
      <w:r w:rsidR="00C026A6" w:rsidRPr="00EA59C0">
        <w:t xml:space="preserve"> </w:t>
      </w:r>
      <w:r w:rsidRPr="00EA59C0">
        <w:t>the</w:t>
      </w:r>
      <w:r w:rsidR="00C026A6" w:rsidRPr="00EA59C0">
        <w:t xml:space="preserve"> </w:t>
      </w:r>
      <w:r w:rsidRPr="00EA59C0">
        <w:t>Department’s</w:t>
      </w:r>
      <w:r w:rsidR="00C026A6" w:rsidRPr="00EA59C0">
        <w:t xml:space="preserve"> </w:t>
      </w:r>
      <w:r w:rsidRPr="00EA59C0">
        <w:t>grant</w:t>
      </w:r>
      <w:r w:rsidR="00C026A6" w:rsidRPr="00EA59C0">
        <w:t xml:space="preserve"> </w:t>
      </w:r>
      <w:r w:rsidRPr="00EA59C0">
        <w:t>application</w:t>
      </w:r>
      <w:r w:rsidR="00C026A6" w:rsidRPr="00EA59C0">
        <w:t xml:space="preserve"> </w:t>
      </w:r>
      <w:r w:rsidRPr="00EA59C0">
        <w:t>and</w:t>
      </w:r>
      <w:r w:rsidR="00C026A6" w:rsidRPr="00EA59C0">
        <w:t xml:space="preserve"> </w:t>
      </w:r>
      <w:r w:rsidRPr="00EA59C0">
        <w:t>award</w:t>
      </w:r>
      <w:r w:rsidR="00C026A6" w:rsidRPr="00EA59C0">
        <w:t xml:space="preserve"> </w:t>
      </w:r>
      <w:r w:rsidRPr="00EA59C0">
        <w:t>database.</w:t>
      </w:r>
    </w:p>
    <w:p w:rsidR="009464D1" w:rsidRPr="00EA59C0" w:rsidRDefault="009464D1">
      <w:pPr>
        <w:pStyle w:val="ListParagraph"/>
        <w:ind w:left="360"/>
      </w:pPr>
    </w:p>
    <w:p w:rsidR="00472029" w:rsidRPr="00EA59C0" w:rsidRDefault="00472029" w:rsidP="00B93729">
      <w:pPr>
        <w:pStyle w:val="Heading1"/>
        <w:numPr>
          <w:ilvl w:val="2"/>
          <w:numId w:val="17"/>
        </w:numPr>
      </w:pPr>
      <w:r w:rsidRPr="00EA59C0">
        <w:t>Core</w:t>
      </w:r>
      <w:r w:rsidR="00C026A6" w:rsidRPr="00EA59C0">
        <w:t xml:space="preserve"> </w:t>
      </w:r>
      <w:r w:rsidRPr="00EA59C0">
        <w:t>Element</w:t>
      </w:r>
      <w:r w:rsidR="00C026A6" w:rsidRPr="00EA59C0">
        <w:t xml:space="preserve"> </w:t>
      </w:r>
      <w:r w:rsidR="007D499D" w:rsidRPr="00EA59C0">
        <w:t>3</w:t>
      </w:r>
      <w:r w:rsidRPr="00EA59C0">
        <w:t>:</w:t>
      </w:r>
      <w:r w:rsidR="00C026A6" w:rsidRPr="00EA59C0">
        <w:t xml:space="preserve"> </w:t>
      </w:r>
      <w:r w:rsidRPr="00EA59C0">
        <w:t>Advanced</w:t>
      </w:r>
      <w:r w:rsidR="00C026A6" w:rsidRPr="00EA59C0">
        <w:t xml:space="preserve"> </w:t>
      </w:r>
      <w:r w:rsidRPr="00EA59C0">
        <w:t>Online</w:t>
      </w:r>
      <w:r w:rsidR="00C026A6" w:rsidRPr="00EA59C0">
        <w:t xml:space="preserve"> </w:t>
      </w:r>
      <w:r w:rsidRPr="00EA59C0">
        <w:t>and</w:t>
      </w:r>
      <w:r w:rsidR="00C026A6" w:rsidRPr="00EA59C0">
        <w:t xml:space="preserve"> </w:t>
      </w:r>
      <w:r w:rsidRPr="00EA59C0">
        <w:t>Technology-Enabled</w:t>
      </w:r>
      <w:r w:rsidR="00C026A6" w:rsidRPr="00EA59C0">
        <w:t xml:space="preserve"> </w:t>
      </w:r>
      <w:r w:rsidRPr="00EA59C0">
        <w:t>Learning</w:t>
      </w:r>
    </w:p>
    <w:p w:rsidR="00F140D4" w:rsidRPr="00EA59C0" w:rsidRDefault="009E1503">
      <w:pPr>
        <w:pStyle w:val="ListParagraph"/>
        <w:ind w:left="1080"/>
      </w:pPr>
      <w:r w:rsidRPr="00EA59C0">
        <w:t>Successful</w:t>
      </w:r>
      <w:r w:rsidR="00C026A6" w:rsidRPr="00EA59C0">
        <w:t xml:space="preserve"> </w:t>
      </w:r>
      <w:r w:rsidRPr="00EA59C0">
        <w:t>a</w:t>
      </w:r>
      <w:r w:rsidR="00F140D4" w:rsidRPr="00EA59C0">
        <w:t>pplicants</w:t>
      </w:r>
      <w:r w:rsidR="00C026A6" w:rsidRPr="00EA59C0">
        <w:t xml:space="preserve"> </w:t>
      </w:r>
      <w:r w:rsidR="004B6439" w:rsidRPr="00EA59C0">
        <w:t>will</w:t>
      </w:r>
      <w:r w:rsidR="00C026A6" w:rsidRPr="00EA59C0">
        <w:t xml:space="preserve"> </w:t>
      </w:r>
      <w:r w:rsidR="00F140D4" w:rsidRPr="00EA59C0">
        <w:t>incorporate</w:t>
      </w:r>
      <w:r w:rsidR="00C026A6" w:rsidRPr="00EA59C0">
        <w:t xml:space="preserve"> </w:t>
      </w:r>
      <w:r w:rsidR="00F140D4" w:rsidRPr="00EA59C0">
        <w:t>online</w:t>
      </w:r>
      <w:r w:rsidR="00C026A6" w:rsidRPr="00EA59C0">
        <w:t xml:space="preserve"> </w:t>
      </w:r>
      <w:r w:rsidR="00F140D4" w:rsidRPr="00EA59C0">
        <w:t>and/or</w:t>
      </w:r>
      <w:r w:rsidR="00C026A6" w:rsidRPr="00EA59C0">
        <w:t xml:space="preserve"> </w:t>
      </w:r>
      <w:r w:rsidR="00F140D4" w:rsidRPr="00EA59C0">
        <w:t>technology-enabled</w:t>
      </w:r>
      <w:r w:rsidR="00C026A6" w:rsidRPr="00EA59C0">
        <w:t xml:space="preserve"> </w:t>
      </w:r>
      <w:r w:rsidR="00F140D4" w:rsidRPr="00EA59C0">
        <w:t>learning</w:t>
      </w:r>
      <w:r w:rsidR="00C026A6" w:rsidRPr="00EA59C0">
        <w:t xml:space="preserve"> </w:t>
      </w:r>
      <w:r w:rsidR="00F140D4" w:rsidRPr="00EA59C0">
        <w:t>strategies</w:t>
      </w:r>
      <w:r w:rsidR="00C026A6" w:rsidRPr="00EA59C0">
        <w:t xml:space="preserve"> </w:t>
      </w:r>
      <w:r w:rsidR="00F140D4" w:rsidRPr="00EA59C0">
        <w:t>into</w:t>
      </w:r>
      <w:r w:rsidR="00C026A6" w:rsidRPr="00EA59C0">
        <w:t xml:space="preserve"> </w:t>
      </w:r>
      <w:r w:rsidR="00F140D4" w:rsidRPr="00EA59C0">
        <w:t>their</w:t>
      </w:r>
      <w:r w:rsidR="00C026A6" w:rsidRPr="00EA59C0">
        <w:t xml:space="preserve"> </w:t>
      </w:r>
      <w:r w:rsidR="00F140D4" w:rsidRPr="00EA59C0">
        <w:t>program</w:t>
      </w:r>
      <w:r w:rsidR="00C026A6" w:rsidRPr="00EA59C0">
        <w:t xml:space="preserve"> </w:t>
      </w:r>
      <w:r w:rsidR="00F140D4" w:rsidRPr="00EA59C0">
        <w:t>design.</w:t>
      </w:r>
      <w:r w:rsidR="00C026A6" w:rsidRPr="00EA59C0">
        <w:t xml:space="preserve">  </w:t>
      </w:r>
      <w:r w:rsidR="00F140D4" w:rsidRPr="00EA59C0">
        <w:t>Online</w:t>
      </w:r>
      <w:r w:rsidR="00C026A6" w:rsidRPr="00EA59C0">
        <w:t xml:space="preserve"> </w:t>
      </w:r>
      <w:r w:rsidR="00F140D4" w:rsidRPr="00EA59C0">
        <w:t>and</w:t>
      </w:r>
      <w:r w:rsidR="00C026A6" w:rsidRPr="00EA59C0">
        <w:t xml:space="preserve"> </w:t>
      </w:r>
      <w:r w:rsidR="00F140D4" w:rsidRPr="00EA59C0">
        <w:t>technology-enabled</w:t>
      </w:r>
      <w:r w:rsidR="00C026A6" w:rsidRPr="00EA59C0">
        <w:t xml:space="preserve"> </w:t>
      </w:r>
      <w:r w:rsidR="00F140D4" w:rsidRPr="00EA59C0">
        <w:t>(including</w:t>
      </w:r>
      <w:r w:rsidR="00C026A6" w:rsidRPr="00EA59C0">
        <w:t xml:space="preserve"> </w:t>
      </w:r>
      <w:r w:rsidR="00F140D4" w:rsidRPr="00EA59C0">
        <w:t>hybrid,</w:t>
      </w:r>
      <w:r w:rsidR="00C026A6" w:rsidRPr="00EA59C0">
        <w:t xml:space="preserve"> </w:t>
      </w:r>
      <w:r w:rsidR="00F140D4" w:rsidRPr="00EA59C0">
        <w:t>or</w:t>
      </w:r>
      <w:r w:rsidR="00C026A6" w:rsidRPr="00EA59C0">
        <w:t xml:space="preserve"> </w:t>
      </w:r>
      <w:r w:rsidR="00F140D4" w:rsidRPr="00EA59C0">
        <w:t>a</w:t>
      </w:r>
      <w:r w:rsidR="00C026A6" w:rsidRPr="00EA59C0">
        <w:t xml:space="preserve"> </w:t>
      </w:r>
      <w:r w:rsidR="00F140D4" w:rsidRPr="00EA59C0">
        <w:t>blend</w:t>
      </w:r>
      <w:r w:rsidR="00C026A6" w:rsidRPr="00EA59C0">
        <w:t xml:space="preserve"> </w:t>
      </w:r>
      <w:r w:rsidR="00F140D4" w:rsidRPr="00EA59C0">
        <w:t>of</w:t>
      </w:r>
      <w:r w:rsidR="00C026A6" w:rsidRPr="00EA59C0">
        <w:t xml:space="preserve"> </w:t>
      </w:r>
      <w:r w:rsidR="00F140D4" w:rsidRPr="00EA59C0">
        <w:t>online</w:t>
      </w:r>
      <w:r w:rsidR="00C026A6" w:rsidRPr="00EA59C0">
        <w:t xml:space="preserve"> </w:t>
      </w:r>
      <w:r w:rsidR="00F140D4" w:rsidRPr="00EA59C0">
        <w:t>and</w:t>
      </w:r>
      <w:r w:rsidR="00C026A6" w:rsidRPr="00EA59C0">
        <w:t xml:space="preserve"> </w:t>
      </w:r>
      <w:r w:rsidR="00F140D4" w:rsidRPr="00EA59C0">
        <w:t>classroom</w:t>
      </w:r>
      <w:r w:rsidR="00C026A6" w:rsidRPr="00EA59C0">
        <w:t xml:space="preserve"> </w:t>
      </w:r>
      <w:r w:rsidR="00F140D4" w:rsidRPr="00EA59C0">
        <w:t>instruction)</w:t>
      </w:r>
      <w:r w:rsidR="00C026A6" w:rsidRPr="00EA59C0">
        <w:t xml:space="preserve"> </w:t>
      </w:r>
      <w:r w:rsidR="00F140D4" w:rsidRPr="00EA59C0">
        <w:t>learning</w:t>
      </w:r>
      <w:r w:rsidR="00C026A6" w:rsidRPr="00EA59C0">
        <w:t xml:space="preserve"> </w:t>
      </w:r>
      <w:r w:rsidR="00F140D4" w:rsidRPr="00EA59C0">
        <w:t>strategies</w:t>
      </w:r>
      <w:r w:rsidR="00C026A6" w:rsidRPr="00EA59C0">
        <w:t xml:space="preserve"> </w:t>
      </w:r>
      <w:r w:rsidR="00F140D4" w:rsidRPr="00EA59C0">
        <w:t>provide</w:t>
      </w:r>
      <w:r w:rsidR="00C026A6" w:rsidRPr="00EA59C0">
        <w:t xml:space="preserve"> </w:t>
      </w:r>
      <w:r w:rsidR="00F140D4" w:rsidRPr="00EA59C0">
        <w:t>adults</w:t>
      </w:r>
      <w:r w:rsidR="00C026A6" w:rsidRPr="00EA59C0">
        <w:t xml:space="preserve"> </w:t>
      </w:r>
      <w:r w:rsidR="00F140D4" w:rsidRPr="00EA59C0">
        <w:t>an</w:t>
      </w:r>
      <w:r w:rsidR="00C026A6" w:rsidRPr="00EA59C0">
        <w:t xml:space="preserve"> </w:t>
      </w:r>
      <w:r w:rsidR="00F140D4" w:rsidRPr="00EA59C0">
        <w:t>opportunity</w:t>
      </w:r>
      <w:r w:rsidR="00C026A6" w:rsidRPr="00EA59C0">
        <w:t xml:space="preserve"> </w:t>
      </w:r>
      <w:r w:rsidR="00F140D4" w:rsidRPr="00EA59C0">
        <w:t>to</w:t>
      </w:r>
      <w:r w:rsidR="00C026A6" w:rsidRPr="00EA59C0">
        <w:t xml:space="preserve"> </w:t>
      </w:r>
      <w:r w:rsidR="00F140D4" w:rsidRPr="00EA59C0">
        <w:t>balance</w:t>
      </w:r>
      <w:r w:rsidR="00C026A6" w:rsidRPr="00EA59C0">
        <w:t xml:space="preserve"> </w:t>
      </w:r>
      <w:r w:rsidR="00F140D4" w:rsidRPr="00EA59C0">
        <w:t>the</w:t>
      </w:r>
      <w:r w:rsidR="00C026A6" w:rsidRPr="00EA59C0">
        <w:t xml:space="preserve"> </w:t>
      </w:r>
      <w:r w:rsidR="00F140D4" w:rsidRPr="00EA59C0">
        <w:t>competing</w:t>
      </w:r>
      <w:r w:rsidR="00C026A6" w:rsidRPr="00EA59C0">
        <w:t xml:space="preserve"> </w:t>
      </w:r>
      <w:r w:rsidR="00F140D4" w:rsidRPr="00EA59C0">
        <w:t>demands</w:t>
      </w:r>
      <w:r w:rsidR="00C026A6" w:rsidRPr="00EA59C0">
        <w:t xml:space="preserve"> </w:t>
      </w:r>
      <w:r w:rsidR="00F140D4" w:rsidRPr="00EA59C0">
        <w:t>of</w:t>
      </w:r>
      <w:r w:rsidR="00C026A6" w:rsidRPr="00EA59C0">
        <w:t xml:space="preserve"> </w:t>
      </w:r>
      <w:r w:rsidR="00F140D4" w:rsidRPr="00EA59C0">
        <w:t>work</w:t>
      </w:r>
      <w:r w:rsidR="00C026A6" w:rsidRPr="00EA59C0">
        <w:t xml:space="preserve"> </w:t>
      </w:r>
      <w:r w:rsidR="00F140D4" w:rsidRPr="00EA59C0">
        <w:t>and</w:t>
      </w:r>
      <w:r w:rsidR="00C026A6" w:rsidRPr="00EA59C0">
        <w:t xml:space="preserve"> </w:t>
      </w:r>
      <w:r w:rsidR="00F140D4" w:rsidRPr="00EA59C0">
        <w:t>family</w:t>
      </w:r>
      <w:r w:rsidR="00C026A6" w:rsidRPr="00EA59C0">
        <w:t xml:space="preserve"> </w:t>
      </w:r>
      <w:r w:rsidR="006A3F7F" w:rsidRPr="00EA59C0">
        <w:t xml:space="preserve">with </w:t>
      </w:r>
      <w:r w:rsidR="00F140D4" w:rsidRPr="00EA59C0">
        <w:t>acquiring</w:t>
      </w:r>
      <w:r w:rsidR="00C026A6" w:rsidRPr="00EA59C0">
        <w:t xml:space="preserve"> </w:t>
      </w:r>
      <w:r w:rsidR="00F140D4" w:rsidRPr="00EA59C0">
        <w:t>new</w:t>
      </w:r>
      <w:r w:rsidR="00C026A6" w:rsidRPr="00EA59C0">
        <w:t xml:space="preserve"> </w:t>
      </w:r>
      <w:r w:rsidR="00F140D4" w:rsidRPr="00EA59C0">
        <w:t>knowledge</w:t>
      </w:r>
      <w:r w:rsidR="00C026A6" w:rsidRPr="00EA59C0">
        <w:t xml:space="preserve"> </w:t>
      </w:r>
      <w:r w:rsidR="00F140D4" w:rsidRPr="00EA59C0">
        <w:t>and</w:t>
      </w:r>
      <w:r w:rsidR="00C026A6" w:rsidRPr="00EA59C0">
        <w:t xml:space="preserve"> </w:t>
      </w:r>
      <w:r w:rsidR="00F140D4" w:rsidRPr="00EA59C0">
        <w:t>skills</w:t>
      </w:r>
      <w:r w:rsidR="00C026A6" w:rsidRPr="00EA59C0">
        <w:t xml:space="preserve"> </w:t>
      </w:r>
      <w:r w:rsidR="00F140D4" w:rsidRPr="00EA59C0">
        <w:t>at</w:t>
      </w:r>
      <w:r w:rsidR="00C026A6" w:rsidRPr="00EA59C0">
        <w:t xml:space="preserve"> </w:t>
      </w:r>
      <w:r w:rsidR="00F140D4" w:rsidRPr="00EA59C0">
        <w:t>a</w:t>
      </w:r>
      <w:r w:rsidR="00C026A6" w:rsidRPr="00EA59C0">
        <w:t xml:space="preserve"> </w:t>
      </w:r>
      <w:r w:rsidR="00F140D4" w:rsidRPr="00EA59C0">
        <w:t>time,</w:t>
      </w:r>
      <w:r w:rsidR="00C026A6" w:rsidRPr="00EA59C0">
        <w:t xml:space="preserve"> </w:t>
      </w:r>
      <w:r w:rsidR="00F140D4" w:rsidRPr="00EA59C0">
        <w:t>place,</w:t>
      </w:r>
      <w:r w:rsidR="00C026A6" w:rsidRPr="00EA59C0">
        <w:t xml:space="preserve"> </w:t>
      </w:r>
      <w:r w:rsidR="00F140D4" w:rsidRPr="00EA59C0">
        <w:t>and/or</w:t>
      </w:r>
      <w:r w:rsidR="00C026A6" w:rsidRPr="00EA59C0">
        <w:t xml:space="preserve"> </w:t>
      </w:r>
      <w:r w:rsidR="00F140D4" w:rsidRPr="00EA59C0">
        <w:t>pace</w:t>
      </w:r>
      <w:r w:rsidR="00C026A6" w:rsidRPr="00EA59C0">
        <w:t xml:space="preserve"> </w:t>
      </w:r>
      <w:r w:rsidR="00F140D4" w:rsidRPr="00EA59C0">
        <w:t>that</w:t>
      </w:r>
      <w:r w:rsidR="00C026A6" w:rsidRPr="00EA59C0">
        <w:t xml:space="preserve"> </w:t>
      </w:r>
      <w:r w:rsidR="00F140D4" w:rsidRPr="00EA59C0">
        <w:t>are</w:t>
      </w:r>
      <w:r w:rsidR="00C026A6" w:rsidRPr="00EA59C0">
        <w:t xml:space="preserve"> </w:t>
      </w:r>
      <w:r w:rsidR="00F140D4" w:rsidRPr="00EA59C0">
        <w:t>convenient</w:t>
      </w:r>
      <w:r w:rsidR="00C026A6" w:rsidRPr="00EA59C0">
        <w:t xml:space="preserve"> </w:t>
      </w:r>
      <w:r w:rsidR="00F140D4" w:rsidRPr="00EA59C0">
        <w:t>for</w:t>
      </w:r>
      <w:r w:rsidR="00C026A6" w:rsidRPr="00EA59C0">
        <w:t xml:space="preserve"> </w:t>
      </w:r>
      <w:r w:rsidR="00F140D4" w:rsidRPr="00EA59C0">
        <w:t>them.</w:t>
      </w:r>
      <w:r w:rsidR="00C026A6" w:rsidRPr="00EA59C0">
        <w:t xml:space="preserve">  </w:t>
      </w:r>
      <w:r w:rsidR="004B6439" w:rsidRPr="00EA59C0">
        <w:t>Successful</w:t>
      </w:r>
      <w:r w:rsidR="00C026A6" w:rsidRPr="00EA59C0">
        <w:t xml:space="preserve"> </w:t>
      </w:r>
      <w:r w:rsidR="004B6439" w:rsidRPr="00EA59C0">
        <w:t>a</w:t>
      </w:r>
      <w:r w:rsidR="00F140D4" w:rsidRPr="00EA59C0">
        <w:t>pplicants</w:t>
      </w:r>
      <w:r w:rsidR="00C026A6" w:rsidRPr="00EA59C0">
        <w:t xml:space="preserve"> </w:t>
      </w:r>
      <w:r w:rsidR="004B6439" w:rsidRPr="00EA59C0">
        <w:t>will</w:t>
      </w:r>
      <w:r w:rsidR="00C026A6" w:rsidRPr="00EA59C0">
        <w:t xml:space="preserve"> </w:t>
      </w:r>
      <w:r w:rsidR="00F140D4" w:rsidRPr="00EA59C0">
        <w:t>consider</w:t>
      </w:r>
      <w:r w:rsidR="00C026A6" w:rsidRPr="00EA59C0">
        <w:t xml:space="preserve"> </w:t>
      </w:r>
      <w:r w:rsidR="004B6439" w:rsidRPr="00EA59C0">
        <w:t>the</w:t>
      </w:r>
      <w:r w:rsidR="00C026A6" w:rsidRPr="00EA59C0">
        <w:t xml:space="preserve"> </w:t>
      </w:r>
      <w:r w:rsidR="004B6439" w:rsidRPr="00EA59C0">
        <w:t>use</w:t>
      </w:r>
      <w:r w:rsidR="00C026A6" w:rsidRPr="00EA59C0">
        <w:t xml:space="preserve"> </w:t>
      </w:r>
      <w:r w:rsidR="004B6439" w:rsidRPr="00EA59C0">
        <w:t>of</w:t>
      </w:r>
      <w:r w:rsidR="00C026A6" w:rsidRPr="00EA59C0">
        <w:t xml:space="preserve"> </w:t>
      </w:r>
      <w:r w:rsidR="00F140D4" w:rsidRPr="00EA59C0">
        <w:t>technology</w:t>
      </w:r>
      <w:r w:rsidR="00C026A6" w:rsidRPr="00EA59C0">
        <w:t xml:space="preserve"> </w:t>
      </w:r>
      <w:r w:rsidR="00F140D4" w:rsidRPr="00EA59C0">
        <w:t>to</w:t>
      </w:r>
      <w:r w:rsidR="00C026A6" w:rsidRPr="00EA59C0">
        <w:t xml:space="preserve"> </w:t>
      </w:r>
      <w:r w:rsidR="00F140D4" w:rsidRPr="00EA59C0">
        <w:t>enable</w:t>
      </w:r>
      <w:r w:rsidR="00C026A6" w:rsidRPr="00EA59C0">
        <w:t xml:space="preserve"> </w:t>
      </w:r>
      <w:r w:rsidR="00F140D4" w:rsidRPr="00EA59C0">
        <w:t>rolling</w:t>
      </w:r>
      <w:r w:rsidR="00C026A6" w:rsidRPr="00EA59C0">
        <w:t xml:space="preserve"> </w:t>
      </w:r>
      <w:r w:rsidR="00F140D4" w:rsidRPr="00EA59C0">
        <w:t>and</w:t>
      </w:r>
      <w:r w:rsidR="00C026A6" w:rsidRPr="00EA59C0">
        <w:t xml:space="preserve"> </w:t>
      </w:r>
      <w:r w:rsidR="00F140D4" w:rsidRPr="00EA59C0">
        <w:t>open</w:t>
      </w:r>
      <w:r w:rsidR="00C026A6" w:rsidRPr="00EA59C0">
        <w:t xml:space="preserve"> </w:t>
      </w:r>
      <w:r w:rsidR="00F140D4" w:rsidRPr="00EA59C0">
        <w:t>enrollment</w:t>
      </w:r>
      <w:r w:rsidR="00C026A6" w:rsidRPr="00EA59C0">
        <w:t xml:space="preserve"> </w:t>
      </w:r>
      <w:r w:rsidR="00F140D4" w:rsidRPr="00EA59C0">
        <w:t>processes,</w:t>
      </w:r>
      <w:r w:rsidR="00C026A6" w:rsidRPr="00EA59C0">
        <w:t xml:space="preserve"> </w:t>
      </w:r>
      <w:r w:rsidR="00F140D4" w:rsidRPr="00EA59C0">
        <w:t>modularize</w:t>
      </w:r>
      <w:r w:rsidR="00C026A6" w:rsidRPr="00EA59C0">
        <w:t xml:space="preserve"> </w:t>
      </w:r>
      <w:r w:rsidR="00F140D4" w:rsidRPr="00EA59C0">
        <w:t>content</w:t>
      </w:r>
      <w:r w:rsidR="00C026A6" w:rsidRPr="00EA59C0">
        <w:t xml:space="preserve"> </w:t>
      </w:r>
      <w:r w:rsidR="00F140D4" w:rsidRPr="00EA59C0">
        <w:t>delivery,</w:t>
      </w:r>
      <w:r w:rsidR="00C026A6" w:rsidRPr="00EA59C0">
        <w:t xml:space="preserve"> </w:t>
      </w:r>
      <w:r w:rsidR="00F140D4" w:rsidRPr="00EA59C0">
        <w:t>simulate</w:t>
      </w:r>
      <w:r w:rsidR="00C026A6" w:rsidRPr="00EA59C0">
        <w:t xml:space="preserve"> </w:t>
      </w:r>
      <w:r w:rsidR="00F140D4" w:rsidRPr="00EA59C0">
        <w:t>assessments</w:t>
      </w:r>
      <w:r w:rsidR="00C026A6" w:rsidRPr="00EA59C0">
        <w:t xml:space="preserve"> </w:t>
      </w:r>
      <w:r w:rsidR="00F140D4" w:rsidRPr="00EA59C0">
        <w:t>and</w:t>
      </w:r>
      <w:r w:rsidR="00C026A6" w:rsidRPr="00EA59C0">
        <w:t xml:space="preserve"> </w:t>
      </w:r>
      <w:r w:rsidR="00F140D4" w:rsidRPr="00EA59C0">
        <w:t>training,</w:t>
      </w:r>
      <w:r w:rsidR="00C026A6" w:rsidRPr="00EA59C0">
        <w:t xml:space="preserve"> </w:t>
      </w:r>
      <w:r w:rsidR="00F140D4" w:rsidRPr="00EA59C0">
        <w:t>and</w:t>
      </w:r>
      <w:r w:rsidR="00C026A6" w:rsidRPr="00EA59C0">
        <w:t xml:space="preserve"> </w:t>
      </w:r>
      <w:r w:rsidR="00F140D4" w:rsidRPr="00EA59C0">
        <w:t>accelerate</w:t>
      </w:r>
      <w:r w:rsidR="00C026A6" w:rsidRPr="00EA59C0">
        <w:t xml:space="preserve"> </w:t>
      </w:r>
      <w:r w:rsidR="00F140D4" w:rsidRPr="00EA59C0">
        <w:t>course</w:t>
      </w:r>
      <w:r w:rsidR="00C026A6" w:rsidRPr="00EA59C0">
        <w:t xml:space="preserve"> </w:t>
      </w:r>
      <w:r w:rsidR="00F140D4" w:rsidRPr="00EA59C0">
        <w:t>delivery</w:t>
      </w:r>
      <w:r w:rsidR="00C026A6" w:rsidRPr="00EA59C0">
        <w:t xml:space="preserve"> </w:t>
      </w:r>
      <w:r w:rsidR="00F140D4" w:rsidRPr="00EA59C0">
        <w:t>strategies.</w:t>
      </w:r>
    </w:p>
    <w:p w:rsidR="004B6439" w:rsidRPr="00EA59C0" w:rsidRDefault="004B6439">
      <w:pPr>
        <w:pStyle w:val="ListParagraph"/>
        <w:ind w:left="1080"/>
      </w:pPr>
    </w:p>
    <w:p w:rsidR="00F140D4" w:rsidRPr="00EA59C0" w:rsidRDefault="00F140D4">
      <w:pPr>
        <w:pStyle w:val="ListParagraph"/>
        <w:ind w:left="1080"/>
      </w:pPr>
      <w:r w:rsidRPr="00EA59C0">
        <w:t>In</w:t>
      </w:r>
      <w:r w:rsidR="00C026A6" w:rsidRPr="00EA59C0">
        <w:t xml:space="preserve"> </w:t>
      </w:r>
      <w:r w:rsidRPr="00EA59C0">
        <w:t>today’s</w:t>
      </w:r>
      <w:r w:rsidR="00C026A6" w:rsidRPr="00EA59C0">
        <w:t xml:space="preserve"> </w:t>
      </w:r>
      <w:r w:rsidRPr="00EA59C0">
        <w:t>world</w:t>
      </w:r>
      <w:r w:rsidR="00C026A6" w:rsidRPr="00EA59C0">
        <w:t xml:space="preserve"> </w:t>
      </w:r>
      <w:r w:rsidRPr="00EA59C0">
        <w:t>of</w:t>
      </w:r>
      <w:r w:rsidR="00C026A6" w:rsidRPr="00EA59C0">
        <w:t xml:space="preserve"> </w:t>
      </w:r>
      <w:r w:rsidRPr="00EA59C0">
        <w:t>advanced</w:t>
      </w:r>
      <w:r w:rsidR="00C026A6" w:rsidRPr="00EA59C0">
        <w:t xml:space="preserve"> </w:t>
      </w:r>
      <w:r w:rsidRPr="00EA59C0">
        <w:t>educational</w:t>
      </w:r>
      <w:r w:rsidR="00C026A6" w:rsidRPr="00EA59C0">
        <w:t xml:space="preserve"> </w:t>
      </w:r>
      <w:r w:rsidRPr="00EA59C0">
        <w:t>technology</w:t>
      </w:r>
      <w:r w:rsidR="00C026A6" w:rsidRPr="00EA59C0">
        <w:t xml:space="preserve"> </w:t>
      </w:r>
      <w:r w:rsidRPr="00EA59C0">
        <w:t>and</w:t>
      </w:r>
      <w:r w:rsidR="00C026A6" w:rsidRPr="00EA59C0">
        <w:t xml:space="preserve"> </w:t>
      </w:r>
      <w:r w:rsidRPr="00EA59C0">
        <w:t>the</w:t>
      </w:r>
      <w:r w:rsidR="00C026A6" w:rsidRPr="00EA59C0">
        <w:t xml:space="preserve"> </w:t>
      </w:r>
      <w:r w:rsidRPr="00EA59C0">
        <w:t>Internet,</w:t>
      </w:r>
      <w:r w:rsidR="00C026A6" w:rsidRPr="00EA59C0">
        <w:t xml:space="preserve"> </w:t>
      </w:r>
      <w:r w:rsidRPr="00EA59C0">
        <w:t>simply</w:t>
      </w:r>
      <w:r w:rsidR="00C026A6" w:rsidRPr="00EA59C0">
        <w:t xml:space="preserve"> </w:t>
      </w:r>
      <w:r w:rsidRPr="00EA59C0">
        <w:t>delivering</w:t>
      </w:r>
      <w:r w:rsidR="00C026A6" w:rsidRPr="00EA59C0">
        <w:t xml:space="preserve"> </w:t>
      </w:r>
      <w:r w:rsidRPr="00EA59C0">
        <w:t>a</w:t>
      </w:r>
      <w:r w:rsidR="00C026A6" w:rsidRPr="00EA59C0">
        <w:t xml:space="preserve"> </w:t>
      </w:r>
      <w:r w:rsidRPr="00EA59C0">
        <w:t>program</w:t>
      </w:r>
      <w:r w:rsidR="00C026A6" w:rsidRPr="00EA59C0">
        <w:t xml:space="preserve"> </w:t>
      </w:r>
      <w:r w:rsidRPr="00EA59C0">
        <w:t>online</w:t>
      </w:r>
      <w:r w:rsidR="00C026A6" w:rsidRPr="00EA59C0">
        <w:t xml:space="preserve"> </w:t>
      </w:r>
      <w:r w:rsidRPr="00EA59C0">
        <w:t>is</w:t>
      </w:r>
      <w:r w:rsidR="00C026A6" w:rsidRPr="00EA59C0">
        <w:t xml:space="preserve"> </w:t>
      </w:r>
      <w:r w:rsidRPr="00EA59C0">
        <w:t>no</w:t>
      </w:r>
      <w:r w:rsidR="00C026A6" w:rsidRPr="00EA59C0">
        <w:t xml:space="preserve"> </w:t>
      </w:r>
      <w:r w:rsidRPr="00EA59C0">
        <w:t>longer</w:t>
      </w:r>
      <w:r w:rsidR="00C026A6" w:rsidRPr="00EA59C0">
        <w:t xml:space="preserve"> </w:t>
      </w:r>
      <w:r w:rsidRPr="00EA59C0">
        <w:t>considered</w:t>
      </w:r>
      <w:r w:rsidR="00C026A6" w:rsidRPr="00EA59C0">
        <w:t xml:space="preserve"> </w:t>
      </w:r>
      <w:r w:rsidRPr="00EA59C0">
        <w:t>innovative.</w:t>
      </w:r>
      <w:r w:rsidR="00C026A6" w:rsidRPr="00EA59C0">
        <w:t xml:space="preserve">  </w:t>
      </w:r>
      <w:r w:rsidRPr="00EA59C0">
        <w:t>New</w:t>
      </w:r>
      <w:r w:rsidR="00C026A6" w:rsidRPr="00EA59C0">
        <w:t xml:space="preserve"> </w:t>
      </w:r>
      <w:r w:rsidRPr="00EA59C0">
        <w:t>and</w:t>
      </w:r>
      <w:r w:rsidR="00C026A6" w:rsidRPr="00EA59C0">
        <w:t xml:space="preserve"> </w:t>
      </w:r>
      <w:r w:rsidRPr="00EA59C0">
        <w:t>emergent</w:t>
      </w:r>
      <w:r w:rsidR="00C026A6" w:rsidRPr="00EA59C0">
        <w:t xml:space="preserve"> </w:t>
      </w:r>
      <w:r w:rsidRPr="00EA59C0">
        <w:t>strategies</w:t>
      </w:r>
      <w:r w:rsidR="00C026A6" w:rsidRPr="00EA59C0">
        <w:t xml:space="preserve"> </w:t>
      </w:r>
      <w:r w:rsidRPr="00EA59C0">
        <w:t>are</w:t>
      </w:r>
      <w:r w:rsidR="00C026A6" w:rsidRPr="00EA59C0">
        <w:t xml:space="preserve"> </w:t>
      </w:r>
      <w:r w:rsidRPr="00EA59C0">
        <w:t>now</w:t>
      </w:r>
      <w:r w:rsidR="00C026A6" w:rsidRPr="00EA59C0">
        <w:t xml:space="preserve"> </w:t>
      </w:r>
      <w:r w:rsidRPr="00EA59C0">
        <w:t>available</w:t>
      </w:r>
      <w:r w:rsidR="00C026A6" w:rsidRPr="00EA59C0">
        <w:t xml:space="preserve"> </w:t>
      </w:r>
      <w:r w:rsidRPr="00EA59C0">
        <w:t>to</w:t>
      </w:r>
      <w:r w:rsidR="00C026A6" w:rsidRPr="00EA59C0">
        <w:t xml:space="preserve"> </w:t>
      </w:r>
      <w:r w:rsidRPr="00EA59C0">
        <w:t>colleges</w:t>
      </w:r>
      <w:r w:rsidR="00C026A6" w:rsidRPr="00EA59C0">
        <w:t xml:space="preserve"> </w:t>
      </w:r>
      <w:r w:rsidRPr="00EA59C0">
        <w:t>and</w:t>
      </w:r>
      <w:r w:rsidR="00C026A6" w:rsidRPr="00EA59C0">
        <w:t xml:space="preserve"> </w:t>
      </w:r>
      <w:r w:rsidRPr="00EA59C0">
        <w:t>universities</w:t>
      </w:r>
      <w:r w:rsidR="00C026A6" w:rsidRPr="00EA59C0">
        <w:t xml:space="preserve"> </w:t>
      </w:r>
      <w:r w:rsidRPr="00EA59C0">
        <w:t>that</w:t>
      </w:r>
      <w:r w:rsidR="00C026A6" w:rsidRPr="00EA59C0">
        <w:t xml:space="preserve"> </w:t>
      </w:r>
      <w:r w:rsidRPr="00EA59C0">
        <w:t>can</w:t>
      </w:r>
      <w:r w:rsidR="00C026A6" w:rsidRPr="00EA59C0">
        <w:t xml:space="preserve"> </w:t>
      </w:r>
      <w:r w:rsidRPr="00EA59C0">
        <w:t>improve</w:t>
      </w:r>
      <w:r w:rsidR="00C026A6" w:rsidRPr="00EA59C0">
        <w:t xml:space="preserve"> </w:t>
      </w:r>
      <w:r w:rsidRPr="00EA59C0">
        <w:t>the</w:t>
      </w:r>
      <w:r w:rsidR="00C026A6" w:rsidRPr="00EA59C0">
        <w:t xml:space="preserve"> </w:t>
      </w:r>
      <w:r w:rsidRPr="00EA59C0">
        <w:t>quality</w:t>
      </w:r>
      <w:r w:rsidR="00C026A6" w:rsidRPr="00EA59C0">
        <w:t xml:space="preserve"> </w:t>
      </w:r>
      <w:r w:rsidRPr="00EA59C0">
        <w:t>of</w:t>
      </w:r>
      <w:r w:rsidR="00C026A6" w:rsidRPr="00EA59C0">
        <w:t xml:space="preserve"> </w:t>
      </w:r>
      <w:r w:rsidRPr="00EA59C0">
        <w:t>online</w:t>
      </w:r>
      <w:r w:rsidR="00C026A6" w:rsidRPr="00EA59C0">
        <w:t xml:space="preserve"> </w:t>
      </w:r>
      <w:r w:rsidRPr="00EA59C0">
        <w:t>instruction</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contribute</w:t>
      </w:r>
      <w:r w:rsidR="00C026A6" w:rsidRPr="00EA59C0">
        <w:t xml:space="preserve"> </w:t>
      </w:r>
      <w:r w:rsidRPr="00EA59C0">
        <w:t>to</w:t>
      </w:r>
      <w:r w:rsidR="00C026A6" w:rsidRPr="00EA59C0">
        <w:t xml:space="preserve"> </w:t>
      </w:r>
      <w:r w:rsidRPr="00EA59C0">
        <w:t>the</w:t>
      </w:r>
      <w:r w:rsidR="00C026A6" w:rsidRPr="00EA59C0">
        <w:t xml:space="preserve"> </w:t>
      </w:r>
      <w:r w:rsidRPr="00EA59C0">
        <w:t>growing</w:t>
      </w:r>
      <w:r w:rsidR="00C026A6" w:rsidRPr="00EA59C0">
        <w:t xml:space="preserve"> </w:t>
      </w:r>
      <w:r w:rsidRPr="00EA59C0">
        <w:t>amount</w:t>
      </w:r>
      <w:r w:rsidR="00C026A6" w:rsidRPr="00EA59C0">
        <w:t xml:space="preserve"> </w:t>
      </w:r>
      <w:r w:rsidRPr="00EA59C0">
        <w:t>of</w:t>
      </w:r>
      <w:r w:rsidR="00C026A6" w:rsidRPr="00EA59C0">
        <w:t xml:space="preserve"> </w:t>
      </w:r>
      <w:r w:rsidRPr="00EA59C0">
        <w:t>research</w:t>
      </w:r>
      <w:r w:rsidR="00C026A6" w:rsidRPr="00EA59C0">
        <w:t xml:space="preserve"> </w:t>
      </w:r>
      <w:r w:rsidRPr="00EA59C0">
        <w:t>on</w:t>
      </w:r>
      <w:r w:rsidR="00C026A6" w:rsidRPr="00EA59C0">
        <w:t xml:space="preserve"> </w:t>
      </w:r>
      <w:r w:rsidRPr="00EA59C0">
        <w:t>various</w:t>
      </w:r>
      <w:r w:rsidR="00C026A6" w:rsidRPr="00EA59C0">
        <w:t xml:space="preserve"> </w:t>
      </w:r>
      <w:r w:rsidRPr="00EA59C0">
        <w:t>online</w:t>
      </w:r>
      <w:r w:rsidR="00C026A6" w:rsidRPr="00EA59C0">
        <w:t xml:space="preserve"> </w:t>
      </w:r>
      <w:r w:rsidRPr="00EA59C0">
        <w:t>design</w:t>
      </w:r>
      <w:r w:rsidR="00C026A6" w:rsidRPr="00EA59C0">
        <w:t xml:space="preserve"> </w:t>
      </w:r>
      <w:r w:rsidRPr="00EA59C0">
        <w:t>models.</w:t>
      </w:r>
      <w:r w:rsidR="00C026A6" w:rsidRPr="00EA59C0">
        <w:t xml:space="preserve">  </w:t>
      </w:r>
      <w:r w:rsidR="00764B13" w:rsidRPr="00EA59C0">
        <w:t>Applicants</w:t>
      </w:r>
      <w:r w:rsidR="00C026A6" w:rsidRPr="00EA59C0">
        <w:t xml:space="preserve"> </w:t>
      </w:r>
      <w:r w:rsidR="00764B13" w:rsidRPr="00EA59C0">
        <w:t>should</w:t>
      </w:r>
      <w:r w:rsidR="00C026A6" w:rsidRPr="00EA59C0">
        <w:t xml:space="preserve"> </w:t>
      </w:r>
      <w:r w:rsidR="00764B13" w:rsidRPr="00EA59C0">
        <w:t>consider</w:t>
      </w:r>
      <w:r w:rsidR="00C026A6" w:rsidRPr="00EA59C0">
        <w:t xml:space="preserve"> </w:t>
      </w:r>
      <w:r w:rsidRPr="00EA59C0">
        <w:t>a</w:t>
      </w:r>
      <w:r w:rsidR="00C026A6" w:rsidRPr="00EA59C0">
        <w:t xml:space="preserve"> </w:t>
      </w:r>
      <w:r w:rsidRPr="00EA59C0">
        <w:t>range</w:t>
      </w:r>
      <w:r w:rsidR="00C026A6" w:rsidRPr="00EA59C0">
        <w:t xml:space="preserve"> </w:t>
      </w:r>
      <w:r w:rsidRPr="00EA59C0">
        <w:t>of</w:t>
      </w:r>
      <w:r w:rsidR="00C026A6" w:rsidRPr="00EA59C0">
        <w:t xml:space="preserve"> </w:t>
      </w:r>
      <w:r w:rsidRPr="00EA59C0">
        <w:t>online</w:t>
      </w:r>
      <w:r w:rsidR="00C026A6" w:rsidRPr="00EA59C0">
        <w:t xml:space="preserve"> </w:t>
      </w:r>
      <w:r w:rsidRPr="00EA59C0">
        <w:t>and</w:t>
      </w:r>
      <w:r w:rsidR="00C026A6" w:rsidRPr="00EA59C0">
        <w:t xml:space="preserve"> </w:t>
      </w:r>
      <w:r w:rsidRPr="00EA59C0">
        <w:t>technology-enabled</w:t>
      </w:r>
      <w:r w:rsidR="00C026A6" w:rsidRPr="00EA59C0">
        <w:t xml:space="preserve"> </w:t>
      </w:r>
      <w:r w:rsidRPr="00EA59C0">
        <w:t>options</w:t>
      </w:r>
      <w:r w:rsidR="00C026A6" w:rsidRPr="00EA59C0">
        <w:t xml:space="preserve"> </w:t>
      </w:r>
      <w:r w:rsidRPr="00EA59C0">
        <w:t>in</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of</w:t>
      </w:r>
      <w:r w:rsidR="00C026A6" w:rsidRPr="00EA59C0">
        <w:t xml:space="preserve"> </w:t>
      </w:r>
      <w:r w:rsidRPr="00EA59C0">
        <w:t>their</w:t>
      </w:r>
      <w:r w:rsidR="00C026A6" w:rsidRPr="00EA59C0">
        <w:t xml:space="preserve"> </w:t>
      </w:r>
      <w:r w:rsidRPr="00EA59C0">
        <w:t>proposals.</w:t>
      </w:r>
      <w:r w:rsidR="00C026A6" w:rsidRPr="00EA59C0">
        <w:t xml:space="preserve">  </w:t>
      </w:r>
      <w:r w:rsidR="00764B13" w:rsidRPr="00EA59C0">
        <w:t>These</w:t>
      </w:r>
      <w:r w:rsidR="00C026A6" w:rsidRPr="00EA59C0">
        <w:t xml:space="preserve"> </w:t>
      </w:r>
      <w:r w:rsidR="00764B13" w:rsidRPr="00EA59C0">
        <w:t>could</w:t>
      </w:r>
      <w:r w:rsidR="00C026A6" w:rsidRPr="00EA59C0">
        <w:t xml:space="preserve"> </w:t>
      </w:r>
      <w:r w:rsidR="00764B13" w:rsidRPr="00EA59C0">
        <w:t>include</w:t>
      </w:r>
      <w:r w:rsidR="00C026A6" w:rsidRPr="00EA59C0">
        <w:t xml:space="preserve"> </w:t>
      </w:r>
      <w:r w:rsidR="00764B13" w:rsidRPr="00EA59C0">
        <w:t>i</w:t>
      </w:r>
      <w:r w:rsidRPr="00EA59C0">
        <w:t>nteractive</w:t>
      </w:r>
      <w:r w:rsidR="00C026A6" w:rsidRPr="00EA59C0">
        <w:t xml:space="preserve"> </w:t>
      </w:r>
      <w:r w:rsidRPr="00EA59C0">
        <w:t>simulations,</w:t>
      </w:r>
      <w:r w:rsidR="00C026A6" w:rsidRPr="00EA59C0">
        <w:t xml:space="preserve"> </w:t>
      </w:r>
      <w:r w:rsidRPr="00EA59C0">
        <w:t>personalized</w:t>
      </w:r>
      <w:r w:rsidR="00C026A6" w:rsidRPr="00EA59C0">
        <w:t xml:space="preserve"> </w:t>
      </w:r>
      <w:r w:rsidRPr="00EA59C0">
        <w:t>and</w:t>
      </w:r>
      <w:r w:rsidR="00C026A6" w:rsidRPr="00EA59C0">
        <w:t xml:space="preserve"> </w:t>
      </w:r>
      <w:r w:rsidRPr="00EA59C0">
        <w:t>virtual</w:t>
      </w:r>
      <w:r w:rsidR="00C026A6" w:rsidRPr="00EA59C0">
        <w:t xml:space="preserve"> </w:t>
      </w:r>
      <w:r w:rsidRPr="00EA59C0">
        <w:t>instruction,</w:t>
      </w:r>
      <w:r w:rsidR="00C026A6" w:rsidRPr="00EA59C0">
        <w:t xml:space="preserve"> </w:t>
      </w:r>
      <w:r w:rsidRPr="00EA59C0">
        <w:t>educational</w:t>
      </w:r>
      <w:r w:rsidR="00C026A6" w:rsidRPr="00EA59C0">
        <w:t xml:space="preserve"> </w:t>
      </w:r>
      <w:r w:rsidRPr="00EA59C0">
        <w:t>gaming,</w:t>
      </w:r>
      <w:r w:rsidR="00C026A6" w:rsidRPr="00EA59C0">
        <w:t xml:space="preserve"> </w:t>
      </w:r>
      <w:r w:rsidRPr="00EA59C0">
        <w:t>digital</w:t>
      </w:r>
      <w:r w:rsidR="00C026A6" w:rsidRPr="00EA59C0">
        <w:t xml:space="preserve"> </w:t>
      </w:r>
      <w:r w:rsidRPr="00EA59C0">
        <w:t>tutors,</w:t>
      </w:r>
      <w:r w:rsidR="00C026A6" w:rsidRPr="00EA59C0">
        <w:t xml:space="preserve"> </w:t>
      </w:r>
      <w:r w:rsidRPr="00EA59C0">
        <w:t>and</w:t>
      </w:r>
      <w:r w:rsidR="00C026A6" w:rsidRPr="00EA59C0">
        <w:t xml:space="preserve"> </w:t>
      </w:r>
      <w:r w:rsidRPr="00EA59C0">
        <w:t>strategies</w:t>
      </w:r>
      <w:r w:rsidR="00C026A6" w:rsidRPr="00EA59C0">
        <w:t xml:space="preserve"> </w:t>
      </w:r>
      <w:r w:rsidRPr="00EA59C0">
        <w:t>for</w:t>
      </w:r>
      <w:r w:rsidR="00C026A6" w:rsidRPr="00EA59C0">
        <w:t xml:space="preserve"> </w:t>
      </w:r>
      <w:r w:rsidRPr="00EA59C0">
        <w:t>asynchronous</w:t>
      </w:r>
      <w:r w:rsidR="00C026A6" w:rsidRPr="00EA59C0">
        <w:t xml:space="preserve"> </w:t>
      </w:r>
      <w:r w:rsidRPr="00EA59C0">
        <w:t>and</w:t>
      </w:r>
      <w:r w:rsidR="00C026A6" w:rsidRPr="00EA59C0">
        <w:t xml:space="preserve"> </w:t>
      </w:r>
      <w:r w:rsidRPr="00EA59C0">
        <w:t>real-time</w:t>
      </w:r>
      <w:r w:rsidR="00C026A6" w:rsidRPr="00EA59C0">
        <w:t xml:space="preserve"> </w:t>
      </w:r>
      <w:r w:rsidRPr="00EA59C0">
        <w:t>collaboration</w:t>
      </w:r>
      <w:r w:rsidR="00C026A6" w:rsidRPr="00EA59C0">
        <w:t xml:space="preserve"> </w:t>
      </w:r>
      <w:r w:rsidRPr="00EA59C0">
        <w:t>among</w:t>
      </w:r>
      <w:r w:rsidR="00C026A6" w:rsidRPr="00EA59C0">
        <w:t xml:space="preserve"> </w:t>
      </w:r>
      <w:r w:rsidRPr="00EA59C0">
        <w:t>learners</w:t>
      </w:r>
      <w:r w:rsidR="00C026A6" w:rsidRPr="00EA59C0">
        <w:t xml:space="preserve"> </w:t>
      </w:r>
      <w:r w:rsidRPr="00EA59C0">
        <w:t>and</w:t>
      </w:r>
      <w:r w:rsidR="00C026A6" w:rsidRPr="00EA59C0">
        <w:t xml:space="preserve"> </w:t>
      </w:r>
      <w:r w:rsidRPr="00EA59C0">
        <w:t>instructors.</w:t>
      </w:r>
      <w:r w:rsidR="00C026A6" w:rsidRPr="00EA59C0">
        <w:t xml:space="preserve">  </w:t>
      </w:r>
    </w:p>
    <w:p w:rsidR="00764B13" w:rsidRPr="00EA59C0" w:rsidRDefault="00764B13">
      <w:pPr>
        <w:pStyle w:val="ListParagraph"/>
        <w:ind w:left="1080"/>
      </w:pPr>
    </w:p>
    <w:p w:rsidR="007B748B" w:rsidRPr="00EA59C0" w:rsidRDefault="007B748B">
      <w:pPr>
        <w:ind w:left="1080"/>
      </w:pPr>
      <w:r w:rsidRPr="00EA59C0">
        <w:t>In</w:t>
      </w:r>
      <w:r w:rsidR="00C026A6" w:rsidRPr="00EA59C0">
        <w:t xml:space="preserve"> </w:t>
      </w:r>
      <w:r w:rsidRPr="00EA59C0">
        <w:t>addition,</w:t>
      </w:r>
      <w:r w:rsidR="00C026A6" w:rsidRPr="00EA59C0">
        <w:t xml:space="preserve"> </w:t>
      </w:r>
      <w:r w:rsidRPr="00EA59C0">
        <w:t>with</w:t>
      </w:r>
      <w:r w:rsidR="00C026A6" w:rsidRPr="00EA59C0">
        <w:t xml:space="preserve"> </w:t>
      </w:r>
      <w:r w:rsidR="00764B13" w:rsidRPr="00EA59C0">
        <w:t>the</w:t>
      </w:r>
      <w:r w:rsidR="00C026A6" w:rsidRPr="00EA59C0">
        <w:t xml:space="preserve"> </w:t>
      </w:r>
      <w:r w:rsidR="00764B13" w:rsidRPr="00EA59C0">
        <w:t>transition</w:t>
      </w:r>
      <w:r w:rsidR="00C026A6" w:rsidRPr="00EA59C0">
        <w:t xml:space="preserve"> </w:t>
      </w:r>
      <w:r w:rsidR="00764B13" w:rsidRPr="00EA59C0">
        <w:t>from</w:t>
      </w:r>
      <w:r w:rsidR="00C026A6" w:rsidRPr="00EA59C0">
        <w:t xml:space="preserve"> </w:t>
      </w:r>
      <w:r w:rsidR="00764B13" w:rsidRPr="00EA59C0">
        <w:t>traditional,</w:t>
      </w:r>
      <w:r w:rsidR="00C026A6" w:rsidRPr="00EA59C0">
        <w:t xml:space="preserve"> </w:t>
      </w:r>
      <w:r w:rsidR="00764B13" w:rsidRPr="00EA59C0">
        <w:t>face-to-face</w:t>
      </w:r>
      <w:r w:rsidR="00C026A6" w:rsidRPr="00EA59C0">
        <w:t xml:space="preserve"> </w:t>
      </w:r>
      <w:r w:rsidR="00764B13" w:rsidRPr="00EA59C0">
        <w:t>learning</w:t>
      </w:r>
      <w:r w:rsidR="00C026A6" w:rsidRPr="00EA59C0">
        <w:t xml:space="preserve"> </w:t>
      </w:r>
      <w:r w:rsidR="00764B13" w:rsidRPr="00EA59C0">
        <w:t>to</w:t>
      </w:r>
      <w:r w:rsidR="00C026A6" w:rsidRPr="00EA59C0">
        <w:t xml:space="preserve"> </w:t>
      </w:r>
      <w:r w:rsidR="00764B13" w:rsidRPr="00EA59C0">
        <w:t>online</w:t>
      </w:r>
      <w:r w:rsidR="00C026A6" w:rsidRPr="00EA59C0">
        <w:t xml:space="preserve"> </w:t>
      </w:r>
      <w:r w:rsidR="00764B13" w:rsidRPr="00EA59C0">
        <w:t>and</w:t>
      </w:r>
      <w:r w:rsidR="00C026A6" w:rsidRPr="00EA59C0">
        <w:t xml:space="preserve"> </w:t>
      </w:r>
      <w:r w:rsidR="00764B13" w:rsidRPr="00EA59C0">
        <w:t>blended</w:t>
      </w:r>
      <w:r w:rsidR="00C026A6" w:rsidRPr="00EA59C0">
        <w:t xml:space="preserve"> </w:t>
      </w:r>
      <w:r w:rsidR="00764B13" w:rsidRPr="00EA59C0">
        <w:t>learning,</w:t>
      </w:r>
      <w:r w:rsidR="00C026A6" w:rsidRPr="00EA59C0">
        <w:t xml:space="preserve"> </w:t>
      </w:r>
      <w:r w:rsidR="00764B13" w:rsidRPr="00EA59C0">
        <w:t>the</w:t>
      </w:r>
      <w:r w:rsidR="00C026A6" w:rsidRPr="00EA59C0">
        <w:t xml:space="preserve"> </w:t>
      </w:r>
      <w:r w:rsidR="00764B13" w:rsidRPr="00EA59C0">
        <w:t>Department</w:t>
      </w:r>
      <w:r w:rsidR="00C026A6" w:rsidRPr="00EA59C0">
        <w:t xml:space="preserve"> </w:t>
      </w:r>
      <w:r w:rsidR="00764B13" w:rsidRPr="00EA59C0">
        <w:t>believe</w:t>
      </w:r>
      <w:r w:rsidR="00043CEF" w:rsidRPr="00EA59C0">
        <w:t>s</w:t>
      </w:r>
      <w:r w:rsidR="00C026A6" w:rsidRPr="00EA59C0">
        <w:t xml:space="preserve"> </w:t>
      </w:r>
      <w:r w:rsidR="00205A9A" w:rsidRPr="00EA59C0">
        <w:t>applicants</w:t>
      </w:r>
      <w:r w:rsidR="00C026A6" w:rsidRPr="00EA59C0">
        <w:t xml:space="preserve"> </w:t>
      </w:r>
      <w:r w:rsidR="00205A9A" w:rsidRPr="00EA59C0">
        <w:t>have</w:t>
      </w:r>
      <w:r w:rsidR="00C026A6" w:rsidRPr="00EA59C0">
        <w:t xml:space="preserve"> </w:t>
      </w:r>
      <w:r w:rsidR="00764B13" w:rsidRPr="00EA59C0">
        <w:t>an</w:t>
      </w:r>
      <w:r w:rsidR="00C026A6" w:rsidRPr="00EA59C0">
        <w:t xml:space="preserve"> </w:t>
      </w:r>
      <w:r w:rsidR="00764B13" w:rsidRPr="00EA59C0">
        <w:t>opportunity</w:t>
      </w:r>
      <w:r w:rsidR="00C026A6" w:rsidRPr="00EA59C0">
        <w:t xml:space="preserve"> </w:t>
      </w:r>
      <w:r w:rsidR="00764B13" w:rsidRPr="00EA59C0">
        <w:t>to</w:t>
      </w:r>
      <w:r w:rsidR="00C026A6" w:rsidRPr="00EA59C0">
        <w:t xml:space="preserve"> </w:t>
      </w:r>
      <w:r w:rsidR="00764B13" w:rsidRPr="00EA59C0">
        <w:t>contribute</w:t>
      </w:r>
      <w:r w:rsidR="00C026A6" w:rsidRPr="00EA59C0">
        <w:t xml:space="preserve"> </w:t>
      </w:r>
      <w:r w:rsidR="00764B13" w:rsidRPr="00EA59C0">
        <w:t>to</w:t>
      </w:r>
      <w:r w:rsidR="00C026A6" w:rsidRPr="00EA59C0">
        <w:t xml:space="preserve"> </w:t>
      </w:r>
      <w:r w:rsidR="00764B13" w:rsidRPr="00EA59C0">
        <w:t>the</w:t>
      </w:r>
      <w:r w:rsidR="00C026A6" w:rsidRPr="00EA59C0">
        <w:t xml:space="preserve"> </w:t>
      </w:r>
      <w:r w:rsidR="00764B13" w:rsidRPr="00EA59C0">
        <w:t>body</w:t>
      </w:r>
      <w:r w:rsidR="00C026A6" w:rsidRPr="00EA59C0">
        <w:t xml:space="preserve"> </w:t>
      </w:r>
      <w:r w:rsidR="00764B13" w:rsidRPr="00EA59C0">
        <w:t>of</w:t>
      </w:r>
      <w:r w:rsidR="00C026A6" w:rsidRPr="00EA59C0">
        <w:t xml:space="preserve"> </w:t>
      </w:r>
      <w:r w:rsidR="00764B13" w:rsidRPr="00EA59C0">
        <w:t>research</w:t>
      </w:r>
      <w:r w:rsidR="00C026A6" w:rsidRPr="00EA59C0">
        <w:t xml:space="preserve"> </w:t>
      </w:r>
      <w:r w:rsidR="00764B13" w:rsidRPr="00EA59C0">
        <w:t>on</w:t>
      </w:r>
      <w:r w:rsidR="00C026A6" w:rsidRPr="00EA59C0">
        <w:t xml:space="preserve"> </w:t>
      </w:r>
      <w:r w:rsidR="00764B13" w:rsidRPr="00EA59C0">
        <w:t>student</w:t>
      </w:r>
      <w:r w:rsidR="00C026A6" w:rsidRPr="00EA59C0">
        <w:t xml:space="preserve"> </w:t>
      </w:r>
      <w:r w:rsidR="00764B13" w:rsidRPr="00EA59C0">
        <w:t>learning</w:t>
      </w:r>
      <w:r w:rsidR="00C026A6" w:rsidRPr="00EA59C0">
        <w:t xml:space="preserve"> </w:t>
      </w:r>
      <w:r w:rsidR="00764B13" w:rsidRPr="00EA59C0">
        <w:t>and</w:t>
      </w:r>
      <w:r w:rsidR="00C026A6" w:rsidRPr="00EA59C0">
        <w:t xml:space="preserve"> </w:t>
      </w:r>
      <w:r w:rsidR="00764B13" w:rsidRPr="00EA59C0">
        <w:t>instruction</w:t>
      </w:r>
      <w:r w:rsidR="00C026A6" w:rsidRPr="00EA59C0">
        <w:t xml:space="preserve"> </w:t>
      </w:r>
      <w:r w:rsidR="00764B13" w:rsidRPr="00EA59C0">
        <w:t>using</w:t>
      </w:r>
      <w:r w:rsidR="00C026A6" w:rsidRPr="00EA59C0">
        <w:t xml:space="preserve"> </w:t>
      </w:r>
      <w:r w:rsidR="00764B13" w:rsidRPr="00EA59C0">
        <w:t>online</w:t>
      </w:r>
      <w:r w:rsidR="00C026A6" w:rsidRPr="00EA59C0">
        <w:t xml:space="preserve"> </w:t>
      </w:r>
      <w:r w:rsidR="00764B13" w:rsidRPr="00EA59C0">
        <w:t>tools</w:t>
      </w:r>
      <w:r w:rsidR="00C026A6" w:rsidRPr="00EA59C0">
        <w:t xml:space="preserve"> </w:t>
      </w:r>
      <w:r w:rsidR="00764B13" w:rsidRPr="00EA59C0">
        <w:t>that</w:t>
      </w:r>
      <w:r w:rsidR="00C026A6" w:rsidRPr="00EA59C0">
        <w:t xml:space="preserve"> </w:t>
      </w:r>
      <w:r w:rsidR="00764B13" w:rsidRPr="00EA59C0">
        <w:t>provide</w:t>
      </w:r>
      <w:r w:rsidR="00C026A6" w:rsidRPr="00EA59C0">
        <w:t xml:space="preserve"> </w:t>
      </w:r>
      <w:r w:rsidR="00A0623F" w:rsidRPr="00EA59C0">
        <w:t>continuous</w:t>
      </w:r>
      <w:r w:rsidR="00C026A6" w:rsidRPr="00EA59C0">
        <w:t xml:space="preserve"> </w:t>
      </w:r>
      <w:r w:rsidR="00764B13" w:rsidRPr="00EA59C0">
        <w:t>feedback</w:t>
      </w:r>
      <w:r w:rsidR="00C026A6" w:rsidRPr="00EA59C0">
        <w:t xml:space="preserve"> </w:t>
      </w:r>
      <w:r w:rsidR="00764B13" w:rsidRPr="00EA59C0">
        <w:t>on</w:t>
      </w:r>
      <w:r w:rsidR="00C026A6" w:rsidRPr="00EA59C0">
        <w:t xml:space="preserve"> </w:t>
      </w:r>
      <w:r w:rsidR="00764B13" w:rsidRPr="00EA59C0">
        <w:t>student</w:t>
      </w:r>
      <w:r w:rsidR="00C026A6" w:rsidRPr="00EA59C0">
        <w:t xml:space="preserve"> </w:t>
      </w:r>
      <w:r w:rsidR="00764B13" w:rsidRPr="00EA59C0">
        <w:t>performance.</w:t>
      </w:r>
      <w:r w:rsidR="00C026A6" w:rsidRPr="00EA59C0">
        <w:t xml:space="preserve">  </w:t>
      </w:r>
      <w:r w:rsidR="00764B13" w:rsidRPr="00EA59C0">
        <w:t>Applicants</w:t>
      </w:r>
      <w:r w:rsidR="00C026A6" w:rsidRPr="00EA59C0">
        <w:t xml:space="preserve"> </w:t>
      </w:r>
      <w:r w:rsidR="00764B13" w:rsidRPr="00EA59C0">
        <w:t>are</w:t>
      </w:r>
      <w:r w:rsidR="00C026A6" w:rsidRPr="00EA59C0">
        <w:t xml:space="preserve"> </w:t>
      </w:r>
      <w:r w:rsidR="00764B13" w:rsidRPr="00EA59C0">
        <w:t>encouraged</w:t>
      </w:r>
      <w:r w:rsidR="00C026A6" w:rsidRPr="00EA59C0">
        <w:t xml:space="preserve"> </w:t>
      </w:r>
      <w:r w:rsidR="00764B13" w:rsidRPr="00EA59C0">
        <w:t>to</w:t>
      </w:r>
      <w:r w:rsidR="00C026A6" w:rsidRPr="00EA59C0">
        <w:t xml:space="preserve"> </w:t>
      </w:r>
      <w:r w:rsidR="00764B13" w:rsidRPr="00EA59C0">
        <w:t>propose</w:t>
      </w:r>
      <w:r w:rsidR="00C026A6" w:rsidRPr="00EA59C0">
        <w:t xml:space="preserve"> </w:t>
      </w:r>
      <w:r w:rsidR="00764B13" w:rsidRPr="00EA59C0">
        <w:t>new</w:t>
      </w:r>
      <w:r w:rsidR="00C026A6" w:rsidRPr="00EA59C0">
        <w:t xml:space="preserve"> </w:t>
      </w:r>
      <w:r w:rsidR="00764B13" w:rsidRPr="00EA59C0">
        <w:t>applications</w:t>
      </w:r>
      <w:r w:rsidR="00C026A6" w:rsidRPr="00EA59C0">
        <w:t xml:space="preserve"> </w:t>
      </w:r>
      <w:r w:rsidR="00764B13" w:rsidRPr="00EA59C0">
        <w:t>of</w:t>
      </w:r>
      <w:r w:rsidR="00C026A6" w:rsidRPr="00EA59C0">
        <w:t xml:space="preserve"> </w:t>
      </w:r>
      <w:r w:rsidR="00764B13" w:rsidRPr="00EA59C0">
        <w:t>technology</w:t>
      </w:r>
      <w:r w:rsidR="00C026A6" w:rsidRPr="00EA59C0">
        <w:t xml:space="preserve"> </w:t>
      </w:r>
      <w:r w:rsidR="00764B13" w:rsidRPr="00EA59C0">
        <w:t>that</w:t>
      </w:r>
      <w:r w:rsidR="00C026A6" w:rsidRPr="00EA59C0">
        <w:t xml:space="preserve"> </w:t>
      </w:r>
      <w:r w:rsidR="00764B13" w:rsidRPr="00EA59C0">
        <w:t>will</w:t>
      </w:r>
      <w:r w:rsidR="00C026A6" w:rsidRPr="00EA59C0">
        <w:t xml:space="preserve"> </w:t>
      </w:r>
      <w:r w:rsidR="00764B13" w:rsidRPr="00EA59C0">
        <w:t>effectively</w:t>
      </w:r>
      <w:r w:rsidR="00C026A6" w:rsidRPr="00EA59C0">
        <w:t xml:space="preserve"> </w:t>
      </w:r>
      <w:r w:rsidR="00764B13" w:rsidRPr="00EA59C0">
        <w:t>teach</w:t>
      </w:r>
      <w:r w:rsidR="00C026A6" w:rsidRPr="00EA59C0">
        <w:t xml:space="preserve"> </w:t>
      </w:r>
      <w:r w:rsidR="00764B13" w:rsidRPr="00EA59C0">
        <w:t>content</w:t>
      </w:r>
      <w:r w:rsidR="00C026A6" w:rsidRPr="00EA59C0">
        <w:t xml:space="preserve"> </w:t>
      </w:r>
      <w:r w:rsidR="00764B13" w:rsidRPr="00EA59C0">
        <w:t>to</w:t>
      </w:r>
      <w:r w:rsidR="00C026A6" w:rsidRPr="00EA59C0">
        <w:t xml:space="preserve"> </w:t>
      </w:r>
      <w:r w:rsidR="00764B13" w:rsidRPr="00EA59C0">
        <w:t>students,</w:t>
      </w:r>
      <w:r w:rsidR="00C026A6" w:rsidRPr="00EA59C0">
        <w:t xml:space="preserve"> </w:t>
      </w:r>
      <w:r w:rsidR="00764B13" w:rsidRPr="00EA59C0">
        <w:t>enable</w:t>
      </w:r>
      <w:r w:rsidR="00C026A6" w:rsidRPr="00EA59C0">
        <w:t xml:space="preserve"> </w:t>
      </w:r>
      <w:r w:rsidR="00764B13" w:rsidRPr="00EA59C0">
        <w:t>students</w:t>
      </w:r>
      <w:r w:rsidR="00C026A6" w:rsidRPr="00EA59C0">
        <w:t xml:space="preserve"> </w:t>
      </w:r>
      <w:r w:rsidR="00764B13" w:rsidRPr="00EA59C0">
        <w:t>to</w:t>
      </w:r>
      <w:r w:rsidR="00C026A6" w:rsidRPr="00EA59C0">
        <w:t xml:space="preserve"> </w:t>
      </w:r>
      <w:r w:rsidR="00764B13" w:rsidRPr="00EA59C0">
        <w:t>teach</w:t>
      </w:r>
      <w:r w:rsidR="00C026A6" w:rsidRPr="00EA59C0">
        <w:t xml:space="preserve"> </w:t>
      </w:r>
      <w:r w:rsidR="00764B13" w:rsidRPr="00EA59C0">
        <w:t>themselves,</w:t>
      </w:r>
      <w:r w:rsidR="00C026A6" w:rsidRPr="00EA59C0">
        <w:t xml:space="preserve"> </w:t>
      </w:r>
      <w:r w:rsidR="00764B13" w:rsidRPr="00EA59C0">
        <w:t>or</w:t>
      </w:r>
      <w:r w:rsidR="00C026A6" w:rsidRPr="00EA59C0">
        <w:t xml:space="preserve"> </w:t>
      </w:r>
      <w:r w:rsidR="00764B13" w:rsidRPr="00EA59C0">
        <w:t>learn</w:t>
      </w:r>
      <w:r w:rsidR="00C026A6" w:rsidRPr="00EA59C0">
        <w:t xml:space="preserve"> </w:t>
      </w:r>
      <w:r w:rsidR="00764B13" w:rsidRPr="00EA59C0">
        <w:t>from</w:t>
      </w:r>
      <w:r w:rsidR="00C026A6" w:rsidRPr="00EA59C0">
        <w:t xml:space="preserve"> </w:t>
      </w:r>
      <w:r w:rsidR="00764B13" w:rsidRPr="00EA59C0">
        <w:t>other</w:t>
      </w:r>
      <w:r w:rsidR="00C026A6" w:rsidRPr="00EA59C0">
        <w:t xml:space="preserve"> </w:t>
      </w:r>
      <w:r w:rsidR="00764B13" w:rsidRPr="00EA59C0">
        <w:t>students.</w:t>
      </w:r>
      <w:r w:rsidR="00C026A6" w:rsidRPr="00EA59C0">
        <w:t xml:space="preserve">  </w:t>
      </w:r>
    </w:p>
    <w:p w:rsidR="007B748B" w:rsidRPr="00EA59C0" w:rsidRDefault="007B748B">
      <w:pPr>
        <w:ind w:left="1080"/>
      </w:pPr>
    </w:p>
    <w:p w:rsidR="00764B13" w:rsidRPr="00EA59C0" w:rsidRDefault="00764B13">
      <w:pPr>
        <w:ind w:left="1080"/>
      </w:pPr>
      <w:r w:rsidRPr="00EA59C0">
        <w:t>The</w:t>
      </w:r>
      <w:r w:rsidR="00C026A6" w:rsidRPr="00EA59C0">
        <w:t xml:space="preserve"> </w:t>
      </w:r>
      <w:r w:rsidRPr="00EA59C0">
        <w:t>Department</w:t>
      </w:r>
      <w:r w:rsidR="00C026A6" w:rsidRPr="00EA59C0">
        <w:t xml:space="preserve"> </w:t>
      </w:r>
      <w:r w:rsidRPr="00EA59C0">
        <w:t>is</w:t>
      </w:r>
      <w:r w:rsidR="00C026A6" w:rsidRPr="00EA59C0">
        <w:t xml:space="preserve"> </w:t>
      </w:r>
      <w:r w:rsidRPr="00EA59C0">
        <w:t>interested</w:t>
      </w:r>
      <w:r w:rsidR="00C026A6" w:rsidRPr="00EA59C0">
        <w:t xml:space="preserve"> </w:t>
      </w:r>
      <w:r w:rsidRPr="00EA59C0">
        <w:t>in</w:t>
      </w:r>
      <w:r w:rsidR="00C026A6" w:rsidRPr="00EA59C0">
        <w:t xml:space="preserve"> </w:t>
      </w:r>
      <w:r w:rsidRPr="00EA59C0">
        <w:t>a</w:t>
      </w:r>
      <w:r w:rsidR="00C026A6" w:rsidRPr="00EA59C0">
        <w:t xml:space="preserve"> </w:t>
      </w:r>
      <w:r w:rsidRPr="00EA59C0">
        <w:t>combination</w:t>
      </w:r>
      <w:r w:rsidR="00C026A6" w:rsidRPr="00EA59C0">
        <w:t xml:space="preserve"> </w:t>
      </w:r>
      <w:r w:rsidRPr="00EA59C0">
        <w:t>of</w:t>
      </w:r>
      <w:r w:rsidR="00C026A6" w:rsidRPr="00EA59C0">
        <w:t xml:space="preserve"> </w:t>
      </w:r>
      <w:r w:rsidRPr="00EA59C0">
        <w:t>technologies</w:t>
      </w:r>
      <w:r w:rsidR="00C026A6" w:rsidRPr="00EA59C0">
        <w:t xml:space="preserve"> </w:t>
      </w:r>
      <w:r w:rsidRPr="00EA59C0">
        <w:t>and</w:t>
      </w:r>
      <w:r w:rsidR="00C026A6" w:rsidRPr="00EA59C0">
        <w:t xml:space="preserve"> </w:t>
      </w:r>
      <w:r w:rsidRPr="00EA59C0">
        <w:t>approaches</w:t>
      </w:r>
      <w:r w:rsidR="00C026A6" w:rsidRPr="00EA59C0">
        <w:t xml:space="preserve"> </w:t>
      </w:r>
      <w:r w:rsidRPr="00EA59C0">
        <w:t>(predictive</w:t>
      </w:r>
      <w:r w:rsidR="00C026A6" w:rsidRPr="00EA59C0">
        <w:t xml:space="preserve"> </w:t>
      </w:r>
      <w:r w:rsidRPr="00EA59C0">
        <w:t>data</w:t>
      </w:r>
      <w:r w:rsidR="00C026A6" w:rsidRPr="00EA59C0">
        <w:t xml:space="preserve"> </w:t>
      </w:r>
      <w:r w:rsidRPr="00EA59C0">
        <w:t>analytics,</w:t>
      </w:r>
      <w:r w:rsidR="00C026A6" w:rsidRPr="00EA59C0">
        <w:t xml:space="preserve"> </w:t>
      </w:r>
      <w:r w:rsidRPr="00EA59C0">
        <w:t>feedback</w:t>
      </w:r>
      <w:r w:rsidR="00C026A6" w:rsidRPr="00EA59C0">
        <w:t xml:space="preserve"> </w:t>
      </w:r>
      <w:r w:rsidRPr="00EA59C0">
        <w:t>loops,</w:t>
      </w:r>
      <w:r w:rsidR="00C026A6" w:rsidRPr="00EA59C0">
        <w:t xml:space="preserve"> </w:t>
      </w:r>
      <w:r w:rsidRPr="00EA59C0">
        <w:t>visualization,</w:t>
      </w:r>
      <w:r w:rsidR="00C026A6" w:rsidRPr="00EA59C0">
        <w:t xml:space="preserve"> </w:t>
      </w:r>
      <w:r w:rsidRPr="00EA59C0">
        <w:t>A/B</w:t>
      </w:r>
      <w:r w:rsidR="00C026A6" w:rsidRPr="00EA59C0">
        <w:t xml:space="preserve"> </w:t>
      </w:r>
      <w:r w:rsidRPr="00EA59C0">
        <w:t>testing)</w:t>
      </w:r>
      <w:r w:rsidR="00C026A6" w:rsidRPr="00EA59C0">
        <w:t xml:space="preserve"> </w:t>
      </w:r>
      <w:r w:rsidRPr="00EA59C0">
        <w:t>that</w:t>
      </w:r>
      <w:r w:rsidR="00C026A6" w:rsidRPr="00EA59C0">
        <w:t xml:space="preserve"> </w:t>
      </w:r>
      <w:r w:rsidRPr="00EA59C0">
        <w:t>could</w:t>
      </w:r>
      <w:r w:rsidR="00C026A6" w:rsidRPr="00EA59C0">
        <w:t xml:space="preserve"> </w:t>
      </w:r>
      <w:r w:rsidR="007B748B" w:rsidRPr="00EA59C0">
        <w:t>include:</w:t>
      </w:r>
    </w:p>
    <w:p w:rsidR="00764B13" w:rsidRPr="00EA59C0" w:rsidRDefault="00764B13">
      <w:pPr>
        <w:ind w:left="1080"/>
      </w:pPr>
    </w:p>
    <w:p w:rsidR="00764B13" w:rsidRPr="00EA59C0" w:rsidRDefault="00764B13" w:rsidP="00E34EEF">
      <w:pPr>
        <w:pStyle w:val="ListParagraph"/>
        <w:numPr>
          <w:ilvl w:val="0"/>
          <w:numId w:val="8"/>
        </w:numPr>
        <w:ind w:left="1440" w:hanging="360"/>
      </w:pPr>
      <w:r w:rsidRPr="00EA59C0">
        <w:t>Delivery</w:t>
      </w:r>
      <w:r w:rsidR="00C026A6" w:rsidRPr="00EA59C0">
        <w:t xml:space="preserve"> </w:t>
      </w:r>
      <w:r w:rsidRPr="00EA59C0">
        <w:t>of</w:t>
      </w:r>
      <w:r w:rsidR="00C026A6" w:rsidRPr="00EA59C0">
        <w:t xml:space="preserve"> </w:t>
      </w:r>
      <w:r w:rsidRPr="00EA59C0">
        <w:t>personalized</w:t>
      </w:r>
      <w:r w:rsidR="00C026A6" w:rsidRPr="00EA59C0">
        <w:t xml:space="preserve"> </w:t>
      </w:r>
      <w:r w:rsidRPr="00EA59C0">
        <w:t>and</w:t>
      </w:r>
      <w:r w:rsidR="00C026A6" w:rsidRPr="00EA59C0">
        <w:t xml:space="preserve"> </w:t>
      </w:r>
      <w:r w:rsidRPr="00EA59C0">
        <w:t>adaptive</w:t>
      </w:r>
      <w:r w:rsidR="00C026A6" w:rsidRPr="00EA59C0">
        <w:t xml:space="preserve"> </w:t>
      </w:r>
      <w:r w:rsidRPr="00EA59C0">
        <w:t>instruction</w:t>
      </w:r>
      <w:r w:rsidR="00C026A6" w:rsidRPr="00EA59C0">
        <w:t xml:space="preserve"> </w:t>
      </w:r>
      <w:r w:rsidRPr="00EA59C0">
        <w:t>that</w:t>
      </w:r>
      <w:r w:rsidR="00C026A6" w:rsidRPr="00EA59C0">
        <w:t xml:space="preserve"> </w:t>
      </w:r>
      <w:r w:rsidRPr="00EA59C0">
        <w:t>builds</w:t>
      </w:r>
      <w:r w:rsidR="00C026A6" w:rsidRPr="00EA59C0">
        <w:t xml:space="preserve"> </w:t>
      </w:r>
      <w:r w:rsidRPr="00EA59C0">
        <w:t>on</w:t>
      </w:r>
      <w:r w:rsidR="00C026A6" w:rsidRPr="00EA59C0">
        <w:t xml:space="preserve"> </w:t>
      </w:r>
      <w:r w:rsidRPr="00EA59C0">
        <w:t>student</w:t>
      </w:r>
      <w:r w:rsidR="00C026A6" w:rsidRPr="00EA59C0">
        <w:t xml:space="preserve"> </w:t>
      </w:r>
      <w:r w:rsidRPr="00EA59C0">
        <w:t>interests,</w:t>
      </w:r>
      <w:r w:rsidR="00C026A6" w:rsidRPr="00EA59C0">
        <w:t xml:space="preserve"> </w:t>
      </w:r>
      <w:r w:rsidR="006A3F7F" w:rsidRPr="00EA59C0">
        <w:t xml:space="preserve">and </w:t>
      </w:r>
      <w:r w:rsidRPr="00EA59C0">
        <w:t>prior</w:t>
      </w:r>
      <w:r w:rsidR="00C026A6" w:rsidRPr="00EA59C0">
        <w:t xml:space="preserve"> </w:t>
      </w:r>
      <w:r w:rsidRPr="00EA59C0">
        <w:t>knowledge.</w:t>
      </w:r>
      <w:r w:rsidR="00C026A6" w:rsidRPr="00EA59C0">
        <w:t xml:space="preserve">  </w:t>
      </w:r>
      <w:r w:rsidRPr="00EA59C0">
        <w:t>This</w:t>
      </w:r>
      <w:r w:rsidR="00C026A6" w:rsidRPr="00EA59C0">
        <w:t xml:space="preserve"> </w:t>
      </w:r>
      <w:r w:rsidR="00205A9A" w:rsidRPr="00EA59C0">
        <w:t>is</w:t>
      </w:r>
      <w:r w:rsidR="00C026A6" w:rsidRPr="00EA59C0">
        <w:t xml:space="preserve"> </w:t>
      </w:r>
      <w:r w:rsidRPr="00EA59C0">
        <w:t>important</w:t>
      </w:r>
      <w:r w:rsidR="00C026A6" w:rsidRPr="00EA59C0">
        <w:t xml:space="preserve"> </w:t>
      </w:r>
      <w:r w:rsidRPr="00EA59C0">
        <w:t>for</w:t>
      </w:r>
      <w:r w:rsidR="00C026A6" w:rsidRPr="00EA59C0">
        <w:t xml:space="preserve"> </w:t>
      </w:r>
      <w:r w:rsidR="00205A9A" w:rsidRPr="00EA59C0">
        <w:t>adult</w:t>
      </w:r>
      <w:r w:rsidR="00C026A6" w:rsidRPr="00EA59C0">
        <w:t xml:space="preserve"> </w:t>
      </w:r>
      <w:r w:rsidR="00205A9A" w:rsidRPr="00EA59C0">
        <w:t>learners</w:t>
      </w:r>
      <w:r w:rsidR="00C026A6" w:rsidRPr="00EA59C0">
        <w:t xml:space="preserve"> </w:t>
      </w:r>
      <w:r w:rsidRPr="00EA59C0">
        <w:t>who</w:t>
      </w:r>
      <w:r w:rsidR="00C026A6" w:rsidRPr="00EA59C0">
        <w:t xml:space="preserve"> </w:t>
      </w:r>
      <w:r w:rsidR="00205A9A" w:rsidRPr="00EA59C0">
        <w:t>re-enter</w:t>
      </w:r>
      <w:r w:rsidR="00C026A6" w:rsidRPr="00EA59C0">
        <w:t xml:space="preserve"> </w:t>
      </w:r>
      <w:r w:rsidR="00205A9A" w:rsidRPr="00EA59C0">
        <w:t>educational</w:t>
      </w:r>
      <w:r w:rsidR="00C026A6" w:rsidRPr="00EA59C0">
        <w:t xml:space="preserve"> </w:t>
      </w:r>
      <w:r w:rsidR="00205A9A" w:rsidRPr="00EA59C0">
        <w:t>institutions</w:t>
      </w:r>
      <w:r w:rsidR="00C026A6" w:rsidRPr="00EA59C0">
        <w:t xml:space="preserve"> </w:t>
      </w:r>
      <w:r w:rsidRPr="00EA59C0">
        <w:t>with</w:t>
      </w:r>
      <w:r w:rsidR="00C026A6" w:rsidRPr="00EA59C0">
        <w:t xml:space="preserve"> </w:t>
      </w:r>
      <w:r w:rsidRPr="00EA59C0">
        <w:t>a</w:t>
      </w:r>
      <w:r w:rsidR="00C026A6" w:rsidRPr="00EA59C0">
        <w:t xml:space="preserve"> </w:t>
      </w:r>
      <w:r w:rsidRPr="00EA59C0">
        <w:t>wide</w:t>
      </w:r>
      <w:r w:rsidR="00C026A6" w:rsidRPr="00EA59C0">
        <w:t xml:space="preserve"> </w:t>
      </w:r>
      <w:r w:rsidRPr="00EA59C0">
        <w:t>range</w:t>
      </w:r>
      <w:r w:rsidR="00C026A6" w:rsidRPr="00EA59C0">
        <w:t xml:space="preserve"> </w:t>
      </w:r>
      <w:r w:rsidRPr="00EA59C0">
        <w:t>of</w:t>
      </w:r>
      <w:r w:rsidR="00C026A6" w:rsidRPr="00EA59C0">
        <w:t xml:space="preserve"> </w:t>
      </w:r>
      <w:r w:rsidRPr="00EA59C0">
        <w:t>experience</w:t>
      </w:r>
      <w:r w:rsidR="00C026A6" w:rsidRPr="00EA59C0">
        <w:t xml:space="preserve"> </w:t>
      </w:r>
      <w:r w:rsidRPr="00EA59C0">
        <w:t>and</w:t>
      </w:r>
      <w:r w:rsidR="00C026A6" w:rsidRPr="00EA59C0">
        <w:t xml:space="preserve"> </w:t>
      </w:r>
      <w:r w:rsidRPr="00EA59C0">
        <w:t>backgrounds.</w:t>
      </w:r>
      <w:r w:rsidR="00C026A6" w:rsidRPr="00EA59C0">
        <w:t xml:space="preserve">  </w:t>
      </w:r>
      <w:r w:rsidRPr="00EA59C0">
        <w:t>A</w:t>
      </w:r>
      <w:r w:rsidR="00C026A6" w:rsidRPr="00EA59C0">
        <w:t xml:space="preserve"> </w:t>
      </w:r>
      <w:r w:rsidRPr="00EA59C0">
        <w:t>well</w:t>
      </w:r>
      <w:r w:rsidR="00C026A6" w:rsidRPr="00EA59C0">
        <w:t xml:space="preserve"> </w:t>
      </w:r>
      <w:r w:rsidRPr="00EA59C0">
        <w:t>designed</w:t>
      </w:r>
      <w:r w:rsidR="00C026A6" w:rsidRPr="00EA59C0">
        <w:t xml:space="preserve"> </w:t>
      </w:r>
      <w:r w:rsidRPr="00EA59C0">
        <w:t>system</w:t>
      </w:r>
      <w:r w:rsidR="00C026A6" w:rsidRPr="00EA59C0">
        <w:t xml:space="preserve"> </w:t>
      </w:r>
      <w:r w:rsidRPr="00EA59C0">
        <w:t>can</w:t>
      </w:r>
      <w:r w:rsidR="00C026A6" w:rsidRPr="00EA59C0">
        <w:t xml:space="preserve"> </w:t>
      </w:r>
      <w:r w:rsidRPr="00EA59C0">
        <w:t>explore</w:t>
      </w:r>
      <w:r w:rsidR="00C026A6" w:rsidRPr="00EA59C0">
        <w:t xml:space="preserve"> </w:t>
      </w:r>
      <w:r w:rsidRPr="00EA59C0">
        <w:t>each</w:t>
      </w:r>
      <w:r w:rsidR="00C026A6" w:rsidRPr="00EA59C0">
        <w:t xml:space="preserve"> </w:t>
      </w:r>
      <w:r w:rsidRPr="00EA59C0">
        <w:t>student’s</w:t>
      </w:r>
      <w:r w:rsidR="00C026A6" w:rsidRPr="00EA59C0">
        <w:t xml:space="preserve"> </w:t>
      </w:r>
      <w:r w:rsidRPr="00EA59C0">
        <w:t>strengths</w:t>
      </w:r>
      <w:r w:rsidR="00C026A6" w:rsidRPr="00EA59C0">
        <w:t xml:space="preserve"> </w:t>
      </w:r>
      <w:r w:rsidRPr="00EA59C0">
        <w:t>and</w:t>
      </w:r>
      <w:r w:rsidR="00C026A6" w:rsidRPr="00EA59C0">
        <w:t xml:space="preserve"> </w:t>
      </w:r>
      <w:r w:rsidRPr="00EA59C0">
        <w:t>weaknesses</w:t>
      </w:r>
      <w:r w:rsidR="00C026A6" w:rsidRPr="00EA59C0">
        <w:t xml:space="preserve"> </w:t>
      </w:r>
      <w:r w:rsidRPr="00EA59C0">
        <w:t>and</w:t>
      </w:r>
      <w:r w:rsidR="00C026A6" w:rsidRPr="00EA59C0">
        <w:t xml:space="preserve"> </w:t>
      </w:r>
      <w:r w:rsidRPr="00EA59C0">
        <w:t>shape</w:t>
      </w:r>
      <w:r w:rsidR="00C026A6" w:rsidRPr="00EA59C0">
        <w:t xml:space="preserve"> </w:t>
      </w:r>
      <w:r w:rsidRPr="00EA59C0">
        <w:t>the</w:t>
      </w:r>
      <w:r w:rsidR="00C026A6" w:rsidRPr="00EA59C0">
        <w:t xml:space="preserve"> </w:t>
      </w:r>
      <w:r w:rsidRPr="00EA59C0">
        <w:t>instructional</w:t>
      </w:r>
      <w:r w:rsidR="00C026A6" w:rsidRPr="00EA59C0">
        <w:t xml:space="preserve"> </w:t>
      </w:r>
      <w:r w:rsidRPr="00EA59C0">
        <w:t>experience</w:t>
      </w:r>
      <w:r w:rsidR="00C026A6" w:rsidRPr="00EA59C0">
        <w:t xml:space="preserve"> </w:t>
      </w:r>
      <w:r w:rsidRPr="00EA59C0">
        <w:t>to</w:t>
      </w:r>
      <w:r w:rsidR="00C026A6" w:rsidRPr="00EA59C0">
        <w:t xml:space="preserve"> </w:t>
      </w:r>
      <w:r w:rsidRPr="00EA59C0">
        <w:t>f</w:t>
      </w:r>
      <w:r w:rsidR="00043CEF" w:rsidRPr="00EA59C0">
        <w:t>ill</w:t>
      </w:r>
      <w:r w:rsidR="00C026A6" w:rsidRPr="00EA59C0">
        <w:t xml:space="preserve"> </w:t>
      </w:r>
      <w:r w:rsidR="00043CEF" w:rsidRPr="00EA59C0">
        <w:t>gaps</w:t>
      </w:r>
      <w:r w:rsidR="00C026A6" w:rsidRPr="00EA59C0">
        <w:t xml:space="preserve"> </w:t>
      </w:r>
      <w:r w:rsidR="00043CEF" w:rsidRPr="00EA59C0">
        <w:t>and</w:t>
      </w:r>
      <w:r w:rsidR="00C026A6" w:rsidRPr="00EA59C0">
        <w:t xml:space="preserve"> </w:t>
      </w:r>
      <w:r w:rsidR="00043CEF" w:rsidRPr="00EA59C0">
        <w:t>build</w:t>
      </w:r>
      <w:r w:rsidR="00C026A6" w:rsidRPr="00EA59C0">
        <w:t xml:space="preserve"> </w:t>
      </w:r>
      <w:r w:rsidR="00043CEF" w:rsidRPr="00EA59C0">
        <w:t>on</w:t>
      </w:r>
      <w:r w:rsidR="00C026A6" w:rsidRPr="00EA59C0">
        <w:t xml:space="preserve"> </w:t>
      </w:r>
      <w:r w:rsidR="00205A9A" w:rsidRPr="00EA59C0">
        <w:t>existing</w:t>
      </w:r>
      <w:r w:rsidR="00C026A6" w:rsidRPr="00EA59C0">
        <w:t xml:space="preserve"> </w:t>
      </w:r>
      <w:r w:rsidR="00043CEF" w:rsidRPr="00EA59C0">
        <w:t>strengths.</w:t>
      </w:r>
    </w:p>
    <w:p w:rsidR="00043CEF" w:rsidRPr="00EA59C0" w:rsidRDefault="00043CEF" w:rsidP="00E34EEF">
      <w:pPr>
        <w:ind w:left="1080"/>
      </w:pPr>
    </w:p>
    <w:p w:rsidR="00764B13" w:rsidRPr="00EA59C0" w:rsidRDefault="00043CEF" w:rsidP="00E34EEF">
      <w:pPr>
        <w:pStyle w:val="ListParagraph"/>
        <w:numPr>
          <w:ilvl w:val="0"/>
          <w:numId w:val="8"/>
        </w:numPr>
        <w:ind w:left="1440" w:hanging="360"/>
      </w:pPr>
      <w:r w:rsidRPr="00EA59C0">
        <w:t>Interactive</w:t>
      </w:r>
      <w:r w:rsidR="00C026A6" w:rsidRPr="00EA59C0">
        <w:t xml:space="preserve"> </w:t>
      </w:r>
      <w:r w:rsidRPr="00EA59C0">
        <w:t>tools</w:t>
      </w:r>
      <w:r w:rsidR="00C026A6" w:rsidRPr="00EA59C0">
        <w:t xml:space="preserve"> </w:t>
      </w:r>
      <w:r w:rsidRPr="00EA59C0">
        <w:t>that</w:t>
      </w:r>
      <w:r w:rsidR="00C026A6" w:rsidRPr="00EA59C0">
        <w:t xml:space="preserve"> </w:t>
      </w:r>
      <w:r w:rsidRPr="00EA59C0">
        <w:t>improve</w:t>
      </w:r>
      <w:r w:rsidR="00C026A6" w:rsidRPr="00EA59C0">
        <w:t xml:space="preserve"> </w:t>
      </w:r>
      <w:r w:rsidRPr="00EA59C0">
        <w:t>the</w:t>
      </w:r>
      <w:r w:rsidR="00C026A6" w:rsidRPr="00EA59C0">
        <w:t xml:space="preserve"> </w:t>
      </w:r>
      <w:r w:rsidRPr="00EA59C0">
        <w:t>ability</w:t>
      </w:r>
      <w:r w:rsidR="00C026A6" w:rsidRPr="00EA59C0">
        <w:t xml:space="preserve"> </w:t>
      </w:r>
      <w:r w:rsidRPr="00EA59C0">
        <w:t>of</w:t>
      </w:r>
      <w:r w:rsidR="00C026A6" w:rsidRPr="00EA59C0">
        <w:t xml:space="preserve"> </w:t>
      </w:r>
      <w:r w:rsidRPr="00EA59C0">
        <w:t>educators</w:t>
      </w:r>
      <w:r w:rsidR="00C026A6" w:rsidRPr="00EA59C0">
        <w:t xml:space="preserve"> </w:t>
      </w:r>
      <w:r w:rsidRPr="00EA59C0">
        <w:t>to</w:t>
      </w:r>
      <w:r w:rsidR="00C026A6" w:rsidRPr="00EA59C0">
        <w:t xml:space="preserve"> </w:t>
      </w:r>
      <w:r w:rsidR="00764B13" w:rsidRPr="00EA59C0">
        <w:t>predict</w:t>
      </w:r>
      <w:r w:rsidR="00C026A6" w:rsidRPr="00EA59C0">
        <w:t xml:space="preserve"> </w:t>
      </w:r>
      <w:r w:rsidR="00D20E87" w:rsidRPr="00EA59C0">
        <w:t>whether</w:t>
      </w:r>
      <w:r w:rsidR="00C026A6" w:rsidRPr="00EA59C0">
        <w:t xml:space="preserve"> </w:t>
      </w:r>
      <w:r w:rsidR="00764B13" w:rsidRPr="00EA59C0">
        <w:t>students</w:t>
      </w:r>
      <w:r w:rsidR="00C026A6" w:rsidRPr="00EA59C0">
        <w:t xml:space="preserve"> </w:t>
      </w:r>
      <w:r w:rsidR="00764B13" w:rsidRPr="00EA59C0">
        <w:t>are</w:t>
      </w:r>
      <w:r w:rsidR="00C026A6" w:rsidRPr="00EA59C0">
        <w:t xml:space="preserve"> </w:t>
      </w:r>
      <w:r w:rsidR="00764B13" w:rsidRPr="00EA59C0">
        <w:t>at</w:t>
      </w:r>
      <w:r w:rsidR="00C026A6" w:rsidRPr="00EA59C0">
        <w:t xml:space="preserve"> </w:t>
      </w:r>
      <w:r w:rsidR="00764B13" w:rsidRPr="00EA59C0">
        <w:t>risk</w:t>
      </w:r>
      <w:r w:rsidR="00C026A6" w:rsidRPr="00EA59C0">
        <w:t xml:space="preserve"> </w:t>
      </w:r>
      <w:r w:rsidR="00764B13" w:rsidRPr="00EA59C0">
        <w:t>of</w:t>
      </w:r>
      <w:r w:rsidR="00C026A6" w:rsidRPr="00EA59C0">
        <w:t xml:space="preserve"> </w:t>
      </w:r>
      <w:r w:rsidR="00764B13" w:rsidRPr="00EA59C0">
        <w:t>dropping</w:t>
      </w:r>
      <w:r w:rsidR="00C026A6" w:rsidRPr="00EA59C0">
        <w:t xml:space="preserve"> </w:t>
      </w:r>
      <w:r w:rsidR="00764B13" w:rsidRPr="00EA59C0">
        <w:t>out</w:t>
      </w:r>
      <w:r w:rsidR="00C026A6" w:rsidRPr="00EA59C0">
        <w:t xml:space="preserve"> </w:t>
      </w:r>
      <w:r w:rsidR="00764B13" w:rsidRPr="00EA59C0">
        <w:t>or</w:t>
      </w:r>
      <w:r w:rsidR="00C026A6" w:rsidRPr="00EA59C0">
        <w:t xml:space="preserve"> </w:t>
      </w:r>
      <w:r w:rsidR="00764B13" w:rsidRPr="00EA59C0">
        <w:t>failing</w:t>
      </w:r>
      <w:r w:rsidR="00C026A6" w:rsidRPr="00EA59C0">
        <w:t xml:space="preserve"> </w:t>
      </w:r>
      <w:r w:rsidR="00764B13" w:rsidRPr="00EA59C0">
        <w:t>course</w:t>
      </w:r>
      <w:r w:rsidR="00D20E87" w:rsidRPr="00EA59C0">
        <w:t>s</w:t>
      </w:r>
      <w:r w:rsidR="00C026A6" w:rsidRPr="00EA59C0">
        <w:t xml:space="preserve"> </w:t>
      </w:r>
      <w:r w:rsidR="00764B13" w:rsidRPr="00EA59C0">
        <w:t>and</w:t>
      </w:r>
      <w:r w:rsidR="00C026A6" w:rsidRPr="00EA59C0">
        <w:t xml:space="preserve"> </w:t>
      </w:r>
      <w:r w:rsidR="00D20E87" w:rsidRPr="00EA59C0">
        <w:t>to</w:t>
      </w:r>
      <w:r w:rsidR="00C026A6" w:rsidRPr="00EA59C0">
        <w:t xml:space="preserve"> </w:t>
      </w:r>
      <w:r w:rsidR="006A3F7F" w:rsidRPr="00EA59C0">
        <w:t xml:space="preserve">help </w:t>
      </w:r>
      <w:r w:rsidR="00D20E87" w:rsidRPr="00EA59C0">
        <w:t>provide</w:t>
      </w:r>
      <w:r w:rsidR="00C026A6" w:rsidRPr="00EA59C0">
        <w:t xml:space="preserve"> </w:t>
      </w:r>
      <w:r w:rsidR="00D20E87" w:rsidRPr="00EA59C0">
        <w:t>early</w:t>
      </w:r>
      <w:r w:rsidR="00C026A6" w:rsidRPr="00EA59C0">
        <w:t xml:space="preserve"> </w:t>
      </w:r>
      <w:r w:rsidR="00D20E87" w:rsidRPr="00EA59C0">
        <w:t>intervention</w:t>
      </w:r>
      <w:r w:rsidR="00764B13" w:rsidRPr="00EA59C0">
        <w:t>.</w:t>
      </w:r>
    </w:p>
    <w:p w:rsidR="007B748B" w:rsidRPr="00EA59C0" w:rsidRDefault="007B748B" w:rsidP="00E34EEF">
      <w:pPr>
        <w:pStyle w:val="ListParagraph"/>
        <w:ind w:left="1440"/>
      </w:pPr>
    </w:p>
    <w:p w:rsidR="00764B13" w:rsidRPr="00EA59C0" w:rsidRDefault="00E504EE" w:rsidP="00E34EEF">
      <w:pPr>
        <w:pStyle w:val="ListParagraph"/>
        <w:numPr>
          <w:ilvl w:val="0"/>
          <w:numId w:val="8"/>
        </w:numPr>
        <w:ind w:left="1440" w:hanging="360"/>
      </w:pPr>
      <w:r w:rsidRPr="00EA59C0">
        <w:t>Improvements</w:t>
      </w:r>
      <w:r w:rsidR="00C026A6" w:rsidRPr="00EA59C0">
        <w:t xml:space="preserve"> </w:t>
      </w:r>
      <w:r w:rsidRPr="00EA59C0">
        <w:t>in</w:t>
      </w:r>
      <w:r w:rsidR="00C026A6" w:rsidRPr="00EA59C0">
        <w:t xml:space="preserve"> </w:t>
      </w:r>
      <w:r w:rsidRPr="00EA59C0">
        <w:t>assessing</w:t>
      </w:r>
      <w:r w:rsidR="00C026A6" w:rsidRPr="00EA59C0">
        <w:t xml:space="preserve"> </w:t>
      </w:r>
      <w:r w:rsidR="00764B13" w:rsidRPr="00EA59C0">
        <w:t>student</w:t>
      </w:r>
      <w:r w:rsidR="00C026A6" w:rsidRPr="00EA59C0">
        <w:t xml:space="preserve"> </w:t>
      </w:r>
      <w:r w:rsidR="00764B13" w:rsidRPr="00EA59C0">
        <w:t>progress</w:t>
      </w:r>
      <w:r w:rsidR="00C026A6" w:rsidRPr="00EA59C0">
        <w:t xml:space="preserve"> </w:t>
      </w:r>
      <w:r w:rsidR="00764B13" w:rsidRPr="00EA59C0">
        <w:t>and</w:t>
      </w:r>
      <w:r w:rsidR="00C026A6" w:rsidRPr="00EA59C0">
        <w:t xml:space="preserve"> </w:t>
      </w:r>
      <w:r w:rsidR="00764B13" w:rsidRPr="00EA59C0">
        <w:t>mastery</w:t>
      </w:r>
      <w:r w:rsidR="00C026A6" w:rsidRPr="00EA59C0">
        <w:t xml:space="preserve"> </w:t>
      </w:r>
      <w:r w:rsidR="00D20E87" w:rsidRPr="00EA59C0">
        <w:t>of</w:t>
      </w:r>
      <w:r w:rsidR="00C026A6" w:rsidRPr="00EA59C0">
        <w:t xml:space="preserve"> </w:t>
      </w:r>
      <w:r w:rsidR="00D20E87" w:rsidRPr="00EA59C0">
        <w:t>subjects</w:t>
      </w:r>
      <w:r w:rsidRPr="00EA59C0">
        <w:t>,</w:t>
      </w:r>
      <w:r w:rsidR="00C026A6" w:rsidRPr="00EA59C0">
        <w:t xml:space="preserve"> </w:t>
      </w:r>
      <w:r w:rsidR="00764B13" w:rsidRPr="00EA59C0">
        <w:t>such</w:t>
      </w:r>
      <w:r w:rsidR="00C026A6" w:rsidRPr="00EA59C0">
        <w:t xml:space="preserve"> </w:t>
      </w:r>
      <w:r w:rsidR="00764B13" w:rsidRPr="00EA59C0">
        <w:t>as</w:t>
      </w:r>
      <w:r w:rsidR="00C026A6" w:rsidRPr="00EA59C0">
        <w:t xml:space="preserve"> </w:t>
      </w:r>
      <w:r w:rsidR="00764B13" w:rsidRPr="00EA59C0">
        <w:t>simulation-based</w:t>
      </w:r>
      <w:r w:rsidR="00C026A6" w:rsidRPr="00EA59C0">
        <w:t xml:space="preserve"> </w:t>
      </w:r>
      <w:r w:rsidR="00764B13" w:rsidRPr="00EA59C0">
        <w:t>performance</w:t>
      </w:r>
      <w:r w:rsidR="00C026A6" w:rsidRPr="00EA59C0">
        <w:t xml:space="preserve"> </w:t>
      </w:r>
      <w:r w:rsidR="00764B13" w:rsidRPr="00EA59C0">
        <w:t>testing</w:t>
      </w:r>
      <w:r w:rsidRPr="00EA59C0">
        <w:t>,</w:t>
      </w:r>
      <w:r w:rsidR="00C026A6" w:rsidRPr="00EA59C0">
        <w:t xml:space="preserve"> </w:t>
      </w:r>
      <w:r w:rsidR="00764B13" w:rsidRPr="00EA59C0">
        <w:t>that</w:t>
      </w:r>
      <w:r w:rsidR="00C026A6" w:rsidRPr="00EA59C0">
        <w:t xml:space="preserve"> </w:t>
      </w:r>
      <w:r w:rsidR="00764B13" w:rsidRPr="00EA59C0">
        <w:t>is</w:t>
      </w:r>
      <w:r w:rsidR="00C026A6" w:rsidRPr="00EA59C0">
        <w:t xml:space="preserve"> </w:t>
      </w:r>
      <w:r w:rsidR="00764B13" w:rsidRPr="00EA59C0">
        <w:t>more</w:t>
      </w:r>
      <w:r w:rsidR="00C026A6" w:rsidRPr="00EA59C0">
        <w:t xml:space="preserve"> </w:t>
      </w:r>
      <w:r w:rsidR="00764B13" w:rsidRPr="00EA59C0">
        <w:t>valuable</w:t>
      </w:r>
      <w:r w:rsidR="00C026A6" w:rsidRPr="00EA59C0">
        <w:t xml:space="preserve"> </w:t>
      </w:r>
      <w:r w:rsidR="00764B13" w:rsidRPr="00EA59C0">
        <w:t>to</w:t>
      </w:r>
      <w:r w:rsidR="00C026A6" w:rsidRPr="00EA59C0">
        <w:t xml:space="preserve"> </w:t>
      </w:r>
      <w:r w:rsidR="00764B13" w:rsidRPr="00EA59C0">
        <w:t>students</w:t>
      </w:r>
      <w:r w:rsidR="00C026A6" w:rsidRPr="00EA59C0">
        <w:t xml:space="preserve"> </w:t>
      </w:r>
      <w:r w:rsidR="00764B13" w:rsidRPr="00EA59C0">
        <w:t>and</w:t>
      </w:r>
      <w:r w:rsidR="00C026A6" w:rsidRPr="00EA59C0">
        <w:t xml:space="preserve"> </w:t>
      </w:r>
      <w:r w:rsidR="00764B13" w:rsidRPr="00EA59C0">
        <w:t>to</w:t>
      </w:r>
      <w:r w:rsidR="00C026A6" w:rsidRPr="00EA59C0">
        <w:t xml:space="preserve"> </w:t>
      </w:r>
      <w:r w:rsidR="00764B13" w:rsidRPr="00EA59C0">
        <w:t>future</w:t>
      </w:r>
      <w:r w:rsidR="00C026A6" w:rsidRPr="00EA59C0">
        <w:t xml:space="preserve"> </w:t>
      </w:r>
      <w:r w:rsidR="00764B13" w:rsidRPr="00EA59C0">
        <w:t>employers.</w:t>
      </w:r>
    </w:p>
    <w:p w:rsidR="00043CEF" w:rsidRPr="00EA59C0" w:rsidRDefault="00043CEF" w:rsidP="00E34EEF">
      <w:pPr>
        <w:pStyle w:val="ListParagraph"/>
        <w:ind w:left="1440"/>
      </w:pPr>
    </w:p>
    <w:p w:rsidR="00764B13" w:rsidRPr="00EA59C0" w:rsidRDefault="00E231C6" w:rsidP="00E34EEF">
      <w:pPr>
        <w:pStyle w:val="ListParagraph"/>
        <w:numPr>
          <w:ilvl w:val="0"/>
          <w:numId w:val="8"/>
        </w:numPr>
        <w:ind w:left="1440" w:hanging="360"/>
      </w:pPr>
      <w:r w:rsidRPr="00EA59C0">
        <w:t>D</w:t>
      </w:r>
      <w:r w:rsidR="00D018AA" w:rsidRPr="00EA59C0">
        <w:t>evelopment</w:t>
      </w:r>
      <w:r w:rsidR="00C026A6" w:rsidRPr="00EA59C0">
        <w:t xml:space="preserve"> </w:t>
      </w:r>
      <w:r w:rsidR="00D018AA" w:rsidRPr="00EA59C0">
        <w:t>of</w:t>
      </w:r>
      <w:r w:rsidR="00C026A6" w:rsidRPr="00EA59C0">
        <w:t xml:space="preserve"> </w:t>
      </w:r>
      <w:r w:rsidR="00D018AA" w:rsidRPr="00EA59C0">
        <w:t>educational</w:t>
      </w:r>
      <w:r w:rsidR="00C026A6" w:rsidRPr="00EA59C0">
        <w:t xml:space="preserve"> </w:t>
      </w:r>
      <w:r w:rsidR="00D018AA" w:rsidRPr="00EA59C0">
        <w:t>software</w:t>
      </w:r>
      <w:r w:rsidR="00C026A6" w:rsidRPr="00EA59C0">
        <w:t xml:space="preserve"> </w:t>
      </w:r>
      <w:r w:rsidR="00D018AA" w:rsidRPr="00EA59C0">
        <w:t>that</w:t>
      </w:r>
      <w:r w:rsidR="00C026A6" w:rsidRPr="00EA59C0">
        <w:t xml:space="preserve"> </w:t>
      </w:r>
      <w:r w:rsidR="00D018AA" w:rsidRPr="00EA59C0">
        <w:t>is</w:t>
      </w:r>
      <w:r w:rsidR="00C026A6" w:rsidRPr="00EA59C0">
        <w:t xml:space="preserve"> </w:t>
      </w:r>
      <w:r w:rsidR="00D018AA" w:rsidRPr="00EA59C0">
        <w:t>as</w:t>
      </w:r>
      <w:r w:rsidR="00C026A6" w:rsidRPr="00EA59C0">
        <w:t xml:space="preserve"> </w:t>
      </w:r>
      <w:r w:rsidR="00D018AA" w:rsidRPr="00EA59C0">
        <w:t>effective</w:t>
      </w:r>
      <w:r w:rsidR="00C026A6" w:rsidRPr="00EA59C0">
        <w:t xml:space="preserve"> </w:t>
      </w:r>
      <w:r w:rsidR="00D018AA" w:rsidRPr="00EA59C0">
        <w:t>as</w:t>
      </w:r>
      <w:r w:rsidR="00C026A6" w:rsidRPr="00EA59C0">
        <w:t xml:space="preserve"> </w:t>
      </w:r>
      <w:r w:rsidR="00D018AA" w:rsidRPr="00EA59C0">
        <w:t>a</w:t>
      </w:r>
      <w:r w:rsidR="00C026A6" w:rsidRPr="00EA59C0">
        <w:t xml:space="preserve"> </w:t>
      </w:r>
      <w:r w:rsidR="00D018AA" w:rsidRPr="00EA59C0">
        <w:t>personal</w:t>
      </w:r>
      <w:r w:rsidR="00C026A6" w:rsidRPr="00EA59C0">
        <w:t xml:space="preserve"> </w:t>
      </w:r>
      <w:r w:rsidR="00D018AA" w:rsidRPr="00EA59C0">
        <w:t>tutor.</w:t>
      </w:r>
      <w:r w:rsidR="00C026A6" w:rsidRPr="00EA59C0">
        <w:t xml:space="preserve">  </w:t>
      </w:r>
      <w:r w:rsidR="00D018AA" w:rsidRPr="00EA59C0">
        <w:t>Since</w:t>
      </w:r>
      <w:r w:rsidR="00C026A6" w:rsidRPr="00EA59C0">
        <w:t xml:space="preserve"> </w:t>
      </w:r>
      <w:r w:rsidR="00D018AA" w:rsidRPr="00EA59C0">
        <w:t>many</w:t>
      </w:r>
      <w:r w:rsidR="00C026A6" w:rsidRPr="00EA59C0">
        <w:t xml:space="preserve"> </w:t>
      </w:r>
      <w:r w:rsidR="00D018AA" w:rsidRPr="00EA59C0">
        <w:t>TAA-eligible</w:t>
      </w:r>
      <w:r w:rsidR="00C026A6" w:rsidRPr="00EA59C0">
        <w:t xml:space="preserve"> </w:t>
      </w:r>
      <w:r w:rsidR="00D018AA" w:rsidRPr="00EA59C0">
        <w:t>and</w:t>
      </w:r>
      <w:r w:rsidR="00C026A6" w:rsidRPr="00EA59C0">
        <w:t xml:space="preserve"> </w:t>
      </w:r>
      <w:r w:rsidR="00D018AA" w:rsidRPr="00EA59C0">
        <w:t>other</w:t>
      </w:r>
      <w:r w:rsidR="00C026A6" w:rsidRPr="00EA59C0">
        <w:t xml:space="preserve"> </w:t>
      </w:r>
      <w:r w:rsidR="00D018AA" w:rsidRPr="00EA59C0">
        <w:t>adults</w:t>
      </w:r>
      <w:r w:rsidR="00C026A6" w:rsidRPr="00EA59C0">
        <w:t xml:space="preserve"> </w:t>
      </w:r>
      <w:r w:rsidR="00D018AA" w:rsidRPr="00EA59C0">
        <w:t>will</w:t>
      </w:r>
      <w:r w:rsidR="00C026A6" w:rsidRPr="00EA59C0">
        <w:t xml:space="preserve"> </w:t>
      </w:r>
      <w:r w:rsidR="00D018AA" w:rsidRPr="00EA59C0">
        <w:t>enter</w:t>
      </w:r>
      <w:r w:rsidR="00C026A6" w:rsidRPr="00EA59C0">
        <w:t xml:space="preserve"> </w:t>
      </w:r>
      <w:r w:rsidR="00D018AA" w:rsidRPr="00EA59C0">
        <w:t>TAACCCT-funded</w:t>
      </w:r>
      <w:r w:rsidR="00C026A6" w:rsidRPr="00EA59C0">
        <w:t xml:space="preserve"> </w:t>
      </w:r>
      <w:r w:rsidR="00D018AA" w:rsidRPr="00EA59C0">
        <w:t>programs</w:t>
      </w:r>
      <w:r w:rsidR="00C026A6" w:rsidRPr="00EA59C0">
        <w:t xml:space="preserve"> </w:t>
      </w:r>
      <w:r w:rsidR="00D018AA" w:rsidRPr="00EA59C0">
        <w:t>with</w:t>
      </w:r>
      <w:r w:rsidR="00C026A6" w:rsidRPr="00EA59C0">
        <w:t xml:space="preserve"> </w:t>
      </w:r>
      <w:r w:rsidR="00D018AA" w:rsidRPr="00EA59C0">
        <w:t>extensive</w:t>
      </w:r>
      <w:r w:rsidR="00C026A6" w:rsidRPr="00EA59C0">
        <w:t xml:space="preserve"> </w:t>
      </w:r>
      <w:r w:rsidR="00D018AA" w:rsidRPr="00EA59C0">
        <w:t>workplace</w:t>
      </w:r>
      <w:r w:rsidR="00C026A6" w:rsidRPr="00EA59C0">
        <w:t xml:space="preserve"> </w:t>
      </w:r>
      <w:r w:rsidR="00D018AA" w:rsidRPr="00EA59C0">
        <w:t>experience,</w:t>
      </w:r>
      <w:r w:rsidR="00C026A6" w:rsidRPr="00EA59C0">
        <w:t xml:space="preserve"> </w:t>
      </w:r>
      <w:r w:rsidR="00D018AA" w:rsidRPr="00EA59C0">
        <w:t>a</w:t>
      </w:r>
      <w:r w:rsidR="00C026A6" w:rsidRPr="00EA59C0">
        <w:t xml:space="preserve"> </w:t>
      </w:r>
      <w:r w:rsidR="00D018AA" w:rsidRPr="00EA59C0">
        <w:t>well-designed</w:t>
      </w:r>
      <w:r w:rsidR="00C026A6" w:rsidRPr="00EA59C0">
        <w:t xml:space="preserve"> </w:t>
      </w:r>
      <w:r w:rsidR="00D018AA" w:rsidRPr="00EA59C0">
        <w:t>system</w:t>
      </w:r>
      <w:r w:rsidR="00C026A6" w:rsidRPr="00EA59C0">
        <w:t xml:space="preserve"> </w:t>
      </w:r>
      <w:r w:rsidR="00D018AA" w:rsidRPr="00EA59C0">
        <w:t>that</w:t>
      </w:r>
      <w:r w:rsidR="00C026A6" w:rsidRPr="00EA59C0">
        <w:t xml:space="preserve"> </w:t>
      </w:r>
      <w:r w:rsidR="00D018AA" w:rsidRPr="00EA59C0">
        <w:t>allows</w:t>
      </w:r>
      <w:r w:rsidR="00C026A6" w:rsidRPr="00EA59C0">
        <w:t xml:space="preserve"> </w:t>
      </w:r>
      <w:r w:rsidR="00D018AA" w:rsidRPr="00EA59C0">
        <w:t>each</w:t>
      </w:r>
      <w:r w:rsidR="00C026A6" w:rsidRPr="00EA59C0">
        <w:t xml:space="preserve"> </w:t>
      </w:r>
      <w:r w:rsidR="00D018AA" w:rsidRPr="00EA59C0">
        <w:t>individual</w:t>
      </w:r>
      <w:r w:rsidR="00C026A6" w:rsidRPr="00EA59C0">
        <w:t xml:space="preserve"> </w:t>
      </w:r>
      <w:r w:rsidR="00D018AA" w:rsidRPr="00EA59C0">
        <w:t>to</w:t>
      </w:r>
      <w:r w:rsidR="00C026A6" w:rsidRPr="00EA59C0">
        <w:t xml:space="preserve"> </w:t>
      </w:r>
      <w:r w:rsidR="00D018AA" w:rsidRPr="00EA59C0">
        <w:t>move</w:t>
      </w:r>
      <w:r w:rsidR="00C026A6" w:rsidRPr="00EA59C0">
        <w:t xml:space="preserve"> </w:t>
      </w:r>
      <w:r w:rsidR="00D018AA" w:rsidRPr="00EA59C0">
        <w:t>through</w:t>
      </w:r>
      <w:r w:rsidR="00C026A6" w:rsidRPr="00EA59C0">
        <w:t xml:space="preserve"> </w:t>
      </w:r>
      <w:r w:rsidR="00D018AA" w:rsidRPr="00EA59C0">
        <w:t>material</w:t>
      </w:r>
      <w:r w:rsidR="00C026A6" w:rsidRPr="00EA59C0">
        <w:t xml:space="preserve"> </w:t>
      </w:r>
      <w:r w:rsidR="00D018AA" w:rsidRPr="00EA59C0">
        <w:t>at</w:t>
      </w:r>
      <w:r w:rsidR="00C026A6" w:rsidRPr="00EA59C0">
        <w:t xml:space="preserve"> </w:t>
      </w:r>
      <w:r w:rsidR="00D018AA" w:rsidRPr="00EA59C0">
        <w:t>a</w:t>
      </w:r>
      <w:r w:rsidR="00C026A6" w:rsidRPr="00EA59C0">
        <w:t xml:space="preserve"> </w:t>
      </w:r>
      <w:r w:rsidR="00D018AA" w:rsidRPr="00EA59C0">
        <w:t>rate</w:t>
      </w:r>
      <w:r w:rsidR="00C026A6" w:rsidRPr="00EA59C0">
        <w:t xml:space="preserve"> </w:t>
      </w:r>
      <w:r w:rsidR="00D018AA" w:rsidRPr="00EA59C0">
        <w:t>tailored</w:t>
      </w:r>
      <w:r w:rsidR="00C026A6" w:rsidRPr="00EA59C0">
        <w:t xml:space="preserve"> </w:t>
      </w:r>
      <w:r w:rsidR="00D018AA" w:rsidRPr="00EA59C0">
        <w:t>to</w:t>
      </w:r>
      <w:r w:rsidR="00C026A6" w:rsidRPr="00EA59C0">
        <w:t xml:space="preserve"> </w:t>
      </w:r>
      <w:r w:rsidR="00D42FE0" w:rsidRPr="00EA59C0">
        <w:t>one’s</w:t>
      </w:r>
      <w:r w:rsidR="00C026A6" w:rsidRPr="00EA59C0">
        <w:t xml:space="preserve"> </w:t>
      </w:r>
      <w:r w:rsidR="00D018AA" w:rsidRPr="00EA59C0">
        <w:t>experience</w:t>
      </w:r>
      <w:r w:rsidR="00C026A6" w:rsidRPr="00EA59C0">
        <w:t xml:space="preserve"> </w:t>
      </w:r>
      <w:r w:rsidR="00D018AA" w:rsidRPr="00EA59C0">
        <w:t>will</w:t>
      </w:r>
      <w:r w:rsidR="00C026A6" w:rsidRPr="00EA59C0">
        <w:t xml:space="preserve"> </w:t>
      </w:r>
      <w:r w:rsidR="00D018AA" w:rsidRPr="00EA59C0">
        <w:t>allow</w:t>
      </w:r>
      <w:r w:rsidR="00C026A6" w:rsidRPr="00EA59C0">
        <w:t xml:space="preserve"> </w:t>
      </w:r>
      <w:r w:rsidR="00D018AA" w:rsidRPr="00EA59C0">
        <w:t>students</w:t>
      </w:r>
      <w:r w:rsidR="00C026A6" w:rsidRPr="00EA59C0">
        <w:t xml:space="preserve"> </w:t>
      </w:r>
      <w:r w:rsidR="00D018AA" w:rsidRPr="00EA59C0">
        <w:t>to</w:t>
      </w:r>
      <w:r w:rsidR="00C026A6" w:rsidRPr="00EA59C0">
        <w:t xml:space="preserve"> </w:t>
      </w:r>
      <w:r w:rsidR="00D018AA" w:rsidRPr="00EA59C0">
        <w:t>master</w:t>
      </w:r>
      <w:r w:rsidR="00C026A6" w:rsidRPr="00EA59C0">
        <w:t xml:space="preserve"> </w:t>
      </w:r>
      <w:r w:rsidR="00D018AA" w:rsidRPr="00EA59C0">
        <w:t>the</w:t>
      </w:r>
      <w:r w:rsidR="00C026A6" w:rsidRPr="00EA59C0">
        <w:t xml:space="preserve"> </w:t>
      </w:r>
      <w:r w:rsidR="00D018AA" w:rsidRPr="00EA59C0">
        <w:t>material</w:t>
      </w:r>
      <w:r w:rsidR="00C026A6" w:rsidRPr="00EA59C0">
        <w:t xml:space="preserve"> </w:t>
      </w:r>
      <w:r w:rsidR="00D018AA" w:rsidRPr="00EA59C0">
        <w:t>much</w:t>
      </w:r>
      <w:r w:rsidR="00C026A6" w:rsidRPr="00EA59C0">
        <w:t xml:space="preserve"> </w:t>
      </w:r>
      <w:r w:rsidR="00D018AA" w:rsidRPr="00EA59C0">
        <w:t>more</w:t>
      </w:r>
      <w:r w:rsidR="00C026A6" w:rsidRPr="00EA59C0">
        <w:t xml:space="preserve"> </w:t>
      </w:r>
      <w:r w:rsidR="00D018AA" w:rsidRPr="00EA59C0">
        <w:t>quickly</w:t>
      </w:r>
      <w:r w:rsidR="00C026A6" w:rsidRPr="00EA59C0">
        <w:t xml:space="preserve"> </w:t>
      </w:r>
      <w:r w:rsidR="00D018AA" w:rsidRPr="00EA59C0">
        <w:t>than</w:t>
      </w:r>
      <w:r w:rsidR="00C026A6" w:rsidRPr="00EA59C0">
        <w:t xml:space="preserve"> </w:t>
      </w:r>
      <w:r w:rsidR="00D42FE0" w:rsidRPr="00EA59C0">
        <w:t>one</w:t>
      </w:r>
      <w:r w:rsidR="00C026A6" w:rsidRPr="00EA59C0">
        <w:t xml:space="preserve"> </w:t>
      </w:r>
      <w:r w:rsidR="00D018AA" w:rsidRPr="00EA59C0">
        <w:t>could</w:t>
      </w:r>
      <w:r w:rsidR="00C026A6" w:rsidRPr="00EA59C0">
        <w:t xml:space="preserve"> </w:t>
      </w:r>
      <w:r w:rsidR="00D018AA" w:rsidRPr="00EA59C0">
        <w:t>in</w:t>
      </w:r>
      <w:r w:rsidR="00C026A6" w:rsidRPr="00EA59C0">
        <w:t xml:space="preserve"> </w:t>
      </w:r>
      <w:r w:rsidR="00D018AA" w:rsidRPr="00EA59C0">
        <w:t>a</w:t>
      </w:r>
      <w:r w:rsidR="00C026A6" w:rsidRPr="00EA59C0">
        <w:t xml:space="preserve"> </w:t>
      </w:r>
      <w:r w:rsidR="00D018AA" w:rsidRPr="00EA59C0">
        <w:t>standard</w:t>
      </w:r>
      <w:r w:rsidR="00C026A6" w:rsidRPr="00EA59C0">
        <w:t xml:space="preserve"> </w:t>
      </w:r>
      <w:r w:rsidR="00D018AA" w:rsidRPr="00EA59C0">
        <w:t>course.</w:t>
      </w:r>
      <w:r w:rsidR="00C026A6" w:rsidRPr="00EA59C0">
        <w:t xml:space="preserve">  </w:t>
      </w:r>
      <w:r w:rsidR="00D018AA" w:rsidRPr="00EA59C0">
        <w:t>For</w:t>
      </w:r>
      <w:r w:rsidR="00C026A6" w:rsidRPr="00EA59C0">
        <w:t xml:space="preserve"> </w:t>
      </w:r>
      <w:r w:rsidR="00D018AA" w:rsidRPr="00EA59C0">
        <w:t>example,</w:t>
      </w:r>
      <w:r w:rsidR="00C026A6" w:rsidRPr="00EA59C0">
        <w:t xml:space="preserve"> </w:t>
      </w:r>
      <w:r w:rsidR="00D018AA" w:rsidRPr="00EA59C0">
        <w:t>the</w:t>
      </w:r>
      <w:r w:rsidR="00C026A6" w:rsidRPr="00EA59C0">
        <w:t xml:space="preserve"> </w:t>
      </w:r>
      <w:r w:rsidR="00D018AA" w:rsidRPr="00EA59C0">
        <w:t>Defense</w:t>
      </w:r>
      <w:r w:rsidR="00C026A6" w:rsidRPr="00EA59C0">
        <w:t xml:space="preserve"> </w:t>
      </w:r>
      <w:r w:rsidR="00D018AA" w:rsidRPr="00EA59C0">
        <w:t>Advanced</w:t>
      </w:r>
      <w:r w:rsidR="00C026A6" w:rsidRPr="00EA59C0">
        <w:t xml:space="preserve"> </w:t>
      </w:r>
      <w:r w:rsidR="00D018AA" w:rsidRPr="00EA59C0">
        <w:t>Research</w:t>
      </w:r>
      <w:r w:rsidR="00C026A6" w:rsidRPr="00EA59C0">
        <w:t xml:space="preserve"> </w:t>
      </w:r>
      <w:r w:rsidR="00D018AA" w:rsidRPr="00EA59C0">
        <w:t>Projects</w:t>
      </w:r>
      <w:r w:rsidR="00C026A6" w:rsidRPr="00EA59C0">
        <w:t xml:space="preserve"> </w:t>
      </w:r>
      <w:r w:rsidR="00D018AA" w:rsidRPr="00EA59C0">
        <w:t>Agency</w:t>
      </w:r>
      <w:r w:rsidR="00C026A6" w:rsidRPr="00EA59C0">
        <w:t xml:space="preserve"> </w:t>
      </w:r>
      <w:r w:rsidR="00D018AA" w:rsidRPr="00EA59C0">
        <w:t>and</w:t>
      </w:r>
      <w:r w:rsidR="00C026A6" w:rsidRPr="00EA59C0">
        <w:t xml:space="preserve"> </w:t>
      </w:r>
      <w:r w:rsidR="00D018AA" w:rsidRPr="00EA59C0">
        <w:t>the</w:t>
      </w:r>
      <w:r w:rsidR="00C026A6" w:rsidRPr="00EA59C0">
        <w:t xml:space="preserve"> </w:t>
      </w:r>
      <w:r w:rsidR="00D018AA" w:rsidRPr="00EA59C0">
        <w:t>U.S.</w:t>
      </w:r>
      <w:r w:rsidR="00C026A6" w:rsidRPr="00EA59C0">
        <w:t xml:space="preserve"> </w:t>
      </w:r>
      <w:r w:rsidR="00D018AA" w:rsidRPr="00EA59C0">
        <w:t>Navy</w:t>
      </w:r>
      <w:r w:rsidR="00C026A6" w:rsidRPr="00EA59C0">
        <w:t xml:space="preserve"> </w:t>
      </w:r>
      <w:r w:rsidR="00D018AA" w:rsidRPr="00EA59C0">
        <w:t>have</w:t>
      </w:r>
      <w:r w:rsidR="00C026A6" w:rsidRPr="00EA59C0">
        <w:t xml:space="preserve"> </w:t>
      </w:r>
      <w:r w:rsidR="00D018AA" w:rsidRPr="00EA59C0">
        <w:t>supported</w:t>
      </w:r>
      <w:r w:rsidR="00C026A6" w:rsidRPr="00EA59C0">
        <w:t xml:space="preserve"> </w:t>
      </w:r>
      <w:r w:rsidR="00D018AA" w:rsidRPr="00EA59C0">
        <w:t>the</w:t>
      </w:r>
      <w:r w:rsidR="00C026A6" w:rsidRPr="00EA59C0">
        <w:t xml:space="preserve"> </w:t>
      </w:r>
      <w:r w:rsidR="00D018AA" w:rsidRPr="00EA59C0">
        <w:t>development</w:t>
      </w:r>
      <w:r w:rsidR="00C026A6" w:rsidRPr="00EA59C0">
        <w:t xml:space="preserve"> </w:t>
      </w:r>
      <w:r w:rsidR="00D018AA" w:rsidRPr="00EA59C0">
        <w:t>of</w:t>
      </w:r>
      <w:r w:rsidR="00C026A6" w:rsidRPr="00EA59C0">
        <w:t xml:space="preserve"> </w:t>
      </w:r>
      <w:r w:rsidR="00D018AA" w:rsidRPr="00EA59C0">
        <w:t>a</w:t>
      </w:r>
      <w:r w:rsidR="00C026A6" w:rsidRPr="00EA59C0">
        <w:t xml:space="preserve"> </w:t>
      </w:r>
      <w:r w:rsidR="00D018AA" w:rsidRPr="00EA59C0">
        <w:t>digital</w:t>
      </w:r>
      <w:r w:rsidR="00C026A6" w:rsidRPr="00EA59C0">
        <w:t xml:space="preserve"> </w:t>
      </w:r>
      <w:r w:rsidR="00D018AA" w:rsidRPr="00EA59C0">
        <w:t>tutor</w:t>
      </w:r>
      <w:r w:rsidR="00C026A6" w:rsidRPr="00EA59C0">
        <w:t xml:space="preserve"> </w:t>
      </w:r>
      <w:r w:rsidR="00D018AA" w:rsidRPr="00EA59C0">
        <w:t>to</w:t>
      </w:r>
      <w:r w:rsidR="00C026A6" w:rsidRPr="00EA59C0">
        <w:t xml:space="preserve"> </w:t>
      </w:r>
      <w:r w:rsidR="00D018AA" w:rsidRPr="00EA59C0">
        <w:t>train</w:t>
      </w:r>
      <w:r w:rsidR="00C026A6" w:rsidRPr="00EA59C0">
        <w:t xml:space="preserve"> </w:t>
      </w:r>
      <w:r w:rsidR="00D018AA" w:rsidRPr="00EA59C0">
        <w:t>new</w:t>
      </w:r>
      <w:r w:rsidR="00C026A6" w:rsidRPr="00EA59C0">
        <w:t xml:space="preserve"> </w:t>
      </w:r>
      <w:r w:rsidR="00D018AA" w:rsidRPr="00EA59C0">
        <w:t>Navy</w:t>
      </w:r>
      <w:r w:rsidR="00C026A6" w:rsidRPr="00EA59C0">
        <w:t xml:space="preserve"> </w:t>
      </w:r>
      <w:r w:rsidR="00D018AA" w:rsidRPr="00EA59C0">
        <w:t>recruits</w:t>
      </w:r>
      <w:r w:rsidR="00C026A6" w:rsidRPr="00EA59C0">
        <w:t xml:space="preserve"> </w:t>
      </w:r>
      <w:r w:rsidR="00D018AA" w:rsidRPr="00EA59C0">
        <w:t>to</w:t>
      </w:r>
      <w:r w:rsidR="00C026A6" w:rsidRPr="00EA59C0">
        <w:t xml:space="preserve"> </w:t>
      </w:r>
      <w:r w:rsidR="00D018AA" w:rsidRPr="00EA59C0">
        <w:t>become</w:t>
      </w:r>
      <w:r w:rsidR="00C026A6" w:rsidRPr="00EA59C0">
        <w:t xml:space="preserve"> </w:t>
      </w:r>
      <w:r w:rsidR="00D018AA" w:rsidRPr="00EA59C0">
        <w:t>I</w:t>
      </w:r>
      <w:r w:rsidR="00403202" w:rsidRPr="00EA59C0">
        <w:t>nformation</w:t>
      </w:r>
      <w:r w:rsidR="00C026A6" w:rsidRPr="00EA59C0">
        <w:t xml:space="preserve"> </w:t>
      </w:r>
      <w:r w:rsidR="00D018AA" w:rsidRPr="00EA59C0">
        <w:t>T</w:t>
      </w:r>
      <w:r w:rsidR="00403202" w:rsidRPr="00EA59C0">
        <w:t>echnology</w:t>
      </w:r>
      <w:r w:rsidR="00C026A6" w:rsidRPr="00EA59C0">
        <w:t xml:space="preserve"> </w:t>
      </w:r>
      <w:r w:rsidR="00D018AA" w:rsidRPr="00EA59C0">
        <w:t>systems</w:t>
      </w:r>
      <w:r w:rsidR="00C026A6" w:rsidRPr="00EA59C0">
        <w:t xml:space="preserve"> </w:t>
      </w:r>
      <w:r w:rsidR="00D018AA" w:rsidRPr="00EA59C0">
        <w:t>administrators,</w:t>
      </w:r>
      <w:r w:rsidR="00C026A6" w:rsidRPr="00EA59C0">
        <w:t xml:space="preserve"> </w:t>
      </w:r>
      <w:r w:rsidR="00D018AA" w:rsidRPr="00EA59C0">
        <w:t>and</w:t>
      </w:r>
      <w:r w:rsidR="00C026A6" w:rsidRPr="00EA59C0">
        <w:t xml:space="preserve"> </w:t>
      </w:r>
      <w:r w:rsidR="00D018AA" w:rsidRPr="00EA59C0">
        <w:t>the</w:t>
      </w:r>
      <w:r w:rsidR="00C026A6" w:rsidRPr="00EA59C0">
        <w:t xml:space="preserve"> </w:t>
      </w:r>
      <w:r w:rsidR="00D018AA" w:rsidRPr="00EA59C0">
        <w:t>early</w:t>
      </w:r>
      <w:r w:rsidR="00C026A6" w:rsidRPr="00EA59C0">
        <w:t xml:space="preserve"> </w:t>
      </w:r>
      <w:r w:rsidR="00D018AA" w:rsidRPr="00EA59C0">
        <w:t>results</w:t>
      </w:r>
      <w:r w:rsidR="00C026A6" w:rsidRPr="00EA59C0">
        <w:t xml:space="preserve"> </w:t>
      </w:r>
      <w:r w:rsidR="00D018AA" w:rsidRPr="00EA59C0">
        <w:t>are</w:t>
      </w:r>
      <w:r w:rsidR="00C026A6" w:rsidRPr="00EA59C0">
        <w:t xml:space="preserve"> </w:t>
      </w:r>
      <w:r w:rsidR="00D018AA" w:rsidRPr="00EA59C0">
        <w:t>very</w:t>
      </w:r>
      <w:r w:rsidR="00C026A6" w:rsidRPr="00EA59C0">
        <w:t xml:space="preserve"> </w:t>
      </w:r>
      <w:r w:rsidR="00D018AA" w:rsidRPr="00EA59C0">
        <w:t>promising.</w:t>
      </w:r>
      <w:r w:rsidR="00C026A6" w:rsidRPr="00EA59C0">
        <w:t xml:space="preserve">  </w:t>
      </w:r>
      <w:r w:rsidR="00D018AA" w:rsidRPr="00EA59C0">
        <w:t>After</w:t>
      </w:r>
      <w:r w:rsidR="00C026A6" w:rsidRPr="00EA59C0">
        <w:t xml:space="preserve"> </w:t>
      </w:r>
      <w:r w:rsidR="00D018AA" w:rsidRPr="00EA59C0">
        <w:t>using</w:t>
      </w:r>
      <w:r w:rsidR="00C026A6" w:rsidRPr="00EA59C0">
        <w:t xml:space="preserve"> </w:t>
      </w:r>
      <w:r w:rsidR="00D018AA" w:rsidRPr="00EA59C0">
        <w:t>the</w:t>
      </w:r>
      <w:r w:rsidR="00C026A6" w:rsidRPr="00EA59C0">
        <w:t xml:space="preserve"> </w:t>
      </w:r>
      <w:r w:rsidR="00D018AA" w:rsidRPr="00EA59C0">
        <w:t>digital</w:t>
      </w:r>
      <w:r w:rsidR="00C026A6" w:rsidRPr="00EA59C0">
        <w:t xml:space="preserve"> </w:t>
      </w:r>
      <w:r w:rsidR="00D018AA" w:rsidRPr="00EA59C0">
        <w:t>tutor</w:t>
      </w:r>
      <w:r w:rsidR="00C026A6" w:rsidRPr="00EA59C0">
        <w:t xml:space="preserve"> </w:t>
      </w:r>
      <w:r w:rsidR="00D018AA" w:rsidRPr="00EA59C0">
        <w:t>for</w:t>
      </w:r>
      <w:r w:rsidR="00C026A6" w:rsidRPr="00EA59C0">
        <w:t xml:space="preserve"> </w:t>
      </w:r>
      <w:r w:rsidR="00D018AA" w:rsidRPr="00EA59C0">
        <w:t>only</w:t>
      </w:r>
      <w:r w:rsidR="00C026A6" w:rsidRPr="00EA59C0">
        <w:t xml:space="preserve"> </w:t>
      </w:r>
      <w:r w:rsidR="00D018AA" w:rsidRPr="00EA59C0">
        <w:t>seven</w:t>
      </w:r>
      <w:r w:rsidR="00C026A6" w:rsidRPr="00EA59C0">
        <w:t xml:space="preserve"> </w:t>
      </w:r>
      <w:r w:rsidR="00D018AA" w:rsidRPr="00EA59C0">
        <w:t>weeks,</w:t>
      </w:r>
      <w:r w:rsidR="00C026A6" w:rsidRPr="00EA59C0">
        <w:t xml:space="preserve"> </w:t>
      </w:r>
      <w:r w:rsidR="00D018AA" w:rsidRPr="00EA59C0">
        <w:t>Navy</w:t>
      </w:r>
      <w:r w:rsidR="00C026A6" w:rsidRPr="00EA59C0">
        <w:t xml:space="preserve"> </w:t>
      </w:r>
      <w:r w:rsidR="00D018AA" w:rsidRPr="00EA59C0">
        <w:t>recruits</w:t>
      </w:r>
      <w:r w:rsidR="00C026A6" w:rsidRPr="00EA59C0">
        <w:t xml:space="preserve"> </w:t>
      </w:r>
      <w:r w:rsidR="00D018AA" w:rsidRPr="00EA59C0">
        <w:t>are</w:t>
      </w:r>
      <w:r w:rsidR="00C026A6" w:rsidRPr="00EA59C0">
        <w:t xml:space="preserve"> </w:t>
      </w:r>
      <w:r w:rsidR="00D018AA" w:rsidRPr="00EA59C0">
        <w:t>dramatically</w:t>
      </w:r>
      <w:r w:rsidR="00C026A6" w:rsidRPr="00EA59C0">
        <w:t xml:space="preserve"> </w:t>
      </w:r>
      <w:r w:rsidR="00D018AA" w:rsidRPr="00EA59C0">
        <w:t>outperforming</w:t>
      </w:r>
      <w:r w:rsidR="00C026A6" w:rsidRPr="00EA59C0">
        <w:t xml:space="preserve"> </w:t>
      </w:r>
      <w:r w:rsidR="00D018AA" w:rsidRPr="00EA59C0">
        <w:t>their</w:t>
      </w:r>
      <w:r w:rsidR="00C026A6" w:rsidRPr="00EA59C0">
        <w:t xml:space="preserve"> </w:t>
      </w:r>
      <w:r w:rsidR="00D018AA" w:rsidRPr="00EA59C0">
        <w:t>peers</w:t>
      </w:r>
      <w:r w:rsidR="00C026A6" w:rsidRPr="00EA59C0">
        <w:t xml:space="preserve"> </w:t>
      </w:r>
      <w:r w:rsidR="00D018AA" w:rsidRPr="00EA59C0">
        <w:t>with</w:t>
      </w:r>
      <w:r w:rsidR="00C026A6" w:rsidRPr="00EA59C0">
        <w:t xml:space="preserve"> </w:t>
      </w:r>
      <w:r w:rsidR="00D018AA" w:rsidRPr="00EA59C0">
        <w:t>three</w:t>
      </w:r>
      <w:r w:rsidR="00C026A6" w:rsidRPr="00EA59C0">
        <w:t xml:space="preserve"> </w:t>
      </w:r>
      <w:r w:rsidR="00D018AA" w:rsidRPr="00EA59C0">
        <w:t>years</w:t>
      </w:r>
      <w:r w:rsidR="00C026A6" w:rsidRPr="00EA59C0">
        <w:t xml:space="preserve"> </w:t>
      </w:r>
      <w:r w:rsidR="00D018AA" w:rsidRPr="00EA59C0">
        <w:t>of</w:t>
      </w:r>
      <w:r w:rsidR="00C026A6" w:rsidRPr="00EA59C0">
        <w:t xml:space="preserve"> </w:t>
      </w:r>
      <w:r w:rsidR="00D018AA" w:rsidRPr="00EA59C0">
        <w:t>experience</w:t>
      </w:r>
      <w:r w:rsidR="00C026A6" w:rsidRPr="00EA59C0">
        <w:t xml:space="preserve"> </w:t>
      </w:r>
      <w:r w:rsidR="00D018AA" w:rsidRPr="00EA59C0">
        <w:t>who</w:t>
      </w:r>
      <w:r w:rsidR="00C026A6" w:rsidRPr="00EA59C0">
        <w:t xml:space="preserve"> </w:t>
      </w:r>
      <w:r w:rsidR="00D018AA" w:rsidRPr="00EA59C0">
        <w:t>received</w:t>
      </w:r>
      <w:r w:rsidR="00C026A6" w:rsidRPr="00EA59C0">
        <w:t xml:space="preserve"> </w:t>
      </w:r>
      <w:r w:rsidR="00D018AA" w:rsidRPr="00EA59C0">
        <w:t>traditional</w:t>
      </w:r>
      <w:r w:rsidR="00C026A6" w:rsidRPr="00EA59C0">
        <w:t xml:space="preserve"> </w:t>
      </w:r>
      <w:r w:rsidR="00D018AA" w:rsidRPr="00EA59C0">
        <w:t>classroom-based</w:t>
      </w:r>
      <w:r w:rsidR="00C026A6" w:rsidRPr="00EA59C0">
        <w:t xml:space="preserve"> </w:t>
      </w:r>
      <w:r w:rsidR="00D018AA" w:rsidRPr="00EA59C0">
        <w:t>instruction</w:t>
      </w:r>
      <w:r w:rsidR="00161054" w:rsidRPr="00EA59C0">
        <w:rPr>
          <w:rStyle w:val="FootnoteReference"/>
        </w:rPr>
        <w:footnoteReference w:id="2"/>
      </w:r>
      <w:r w:rsidR="00D018AA" w:rsidRPr="00EA59C0">
        <w:t>.</w:t>
      </w:r>
      <w:r w:rsidR="00C026A6" w:rsidRPr="00EA59C0">
        <w:t xml:space="preserve">  </w:t>
      </w:r>
    </w:p>
    <w:p w:rsidR="00043CEF" w:rsidRPr="00EA59C0" w:rsidRDefault="00043CEF" w:rsidP="00E34EEF">
      <w:pPr>
        <w:pStyle w:val="ListParagraph"/>
        <w:ind w:left="1080"/>
      </w:pPr>
    </w:p>
    <w:p w:rsidR="007B748B" w:rsidRPr="00EA59C0" w:rsidRDefault="007B748B" w:rsidP="00E34EEF">
      <w:pPr>
        <w:pStyle w:val="ListParagraph"/>
        <w:numPr>
          <w:ilvl w:val="0"/>
          <w:numId w:val="8"/>
        </w:numPr>
        <w:ind w:left="1440" w:hanging="360"/>
      </w:pPr>
      <w:r w:rsidRPr="00EA59C0">
        <w:t>Developing</w:t>
      </w:r>
      <w:r w:rsidR="00C026A6" w:rsidRPr="00EA59C0">
        <w:t xml:space="preserve"> </w:t>
      </w:r>
      <w:r w:rsidRPr="00EA59C0">
        <w:t>and</w:t>
      </w:r>
      <w:r w:rsidR="00C026A6" w:rsidRPr="00EA59C0">
        <w:t xml:space="preserve"> </w:t>
      </w:r>
      <w:r w:rsidRPr="00EA59C0">
        <w:t>sharing</w:t>
      </w:r>
      <w:r w:rsidR="00C026A6" w:rsidRPr="00EA59C0">
        <w:t xml:space="preserve"> </w:t>
      </w:r>
      <w:r w:rsidRPr="00EA59C0">
        <w:t>courses</w:t>
      </w:r>
      <w:r w:rsidR="00C026A6" w:rsidRPr="00EA59C0">
        <w:t xml:space="preserve"> </w:t>
      </w:r>
      <w:r w:rsidRPr="00EA59C0">
        <w:t>that</w:t>
      </w:r>
      <w:r w:rsidR="00C026A6" w:rsidRPr="00EA59C0">
        <w:t xml:space="preserve"> </w:t>
      </w:r>
      <w:r w:rsidRPr="00EA59C0">
        <w:t>are</w:t>
      </w:r>
      <w:r w:rsidR="00C026A6" w:rsidRPr="00EA59C0">
        <w:t xml:space="preserve"> </w:t>
      </w:r>
      <w:r w:rsidRPr="00EA59C0">
        <w:t>available</w:t>
      </w:r>
      <w:r w:rsidR="00C026A6" w:rsidRPr="00EA59C0">
        <w:t xml:space="preserve"> </w:t>
      </w:r>
      <w:r w:rsidRPr="00EA59C0">
        <w:t>at</w:t>
      </w:r>
      <w:r w:rsidR="00C026A6" w:rsidRPr="00EA59C0">
        <w:t xml:space="preserve"> </w:t>
      </w:r>
      <w:r w:rsidRPr="00EA59C0">
        <w:t>a</w:t>
      </w:r>
      <w:r w:rsidR="00C026A6" w:rsidRPr="00EA59C0">
        <w:t xml:space="preserve"> </w:t>
      </w:r>
      <w:r w:rsidRPr="00EA59C0">
        <w:t>reasonable</w:t>
      </w:r>
      <w:r w:rsidR="00C026A6" w:rsidRPr="00EA59C0">
        <w:t xml:space="preserve"> </w:t>
      </w:r>
      <w:r w:rsidRPr="00EA59C0">
        <w:t>cost,</w:t>
      </w:r>
      <w:r w:rsidR="00C026A6" w:rsidRPr="00EA59C0">
        <w:t xml:space="preserve"> </w:t>
      </w:r>
      <w:r w:rsidRPr="00EA59C0">
        <w:t>offered</w:t>
      </w:r>
      <w:r w:rsidR="00C026A6" w:rsidRPr="00EA59C0">
        <w:t xml:space="preserve"> </w:t>
      </w:r>
      <w:r w:rsidRPr="00EA59C0">
        <w:t>during</w:t>
      </w:r>
      <w:r w:rsidR="00C026A6" w:rsidRPr="00EA59C0">
        <w:t xml:space="preserve"> </w:t>
      </w:r>
      <w:r w:rsidRPr="00EA59C0">
        <w:t>the</w:t>
      </w:r>
      <w:r w:rsidR="00C026A6" w:rsidRPr="00EA59C0">
        <w:t xml:space="preserve"> </w:t>
      </w:r>
      <w:r w:rsidRPr="00EA59C0">
        <w:t>day,</w:t>
      </w:r>
      <w:r w:rsidR="00C026A6" w:rsidRPr="00EA59C0">
        <w:t xml:space="preserve"> </w:t>
      </w:r>
      <w:r w:rsidRPr="00EA59C0">
        <w:t>at</w:t>
      </w:r>
      <w:r w:rsidR="00C026A6" w:rsidRPr="00EA59C0">
        <w:t xml:space="preserve"> </w:t>
      </w:r>
      <w:r w:rsidRPr="00EA59C0">
        <w:t>night,</w:t>
      </w:r>
      <w:r w:rsidR="00C026A6" w:rsidRPr="00EA59C0">
        <w:t xml:space="preserve"> </w:t>
      </w:r>
      <w:r w:rsidRPr="00EA59C0">
        <w:t>on</w:t>
      </w:r>
      <w:r w:rsidR="00C026A6" w:rsidRPr="00EA59C0">
        <w:t xml:space="preserve"> </w:t>
      </w:r>
      <w:r w:rsidRPr="00EA59C0">
        <w:t>weekends,</w:t>
      </w:r>
      <w:r w:rsidR="00C026A6" w:rsidRPr="00EA59C0">
        <w:t xml:space="preserve"> </w:t>
      </w:r>
      <w:r w:rsidRPr="00EA59C0">
        <w:t>and</w:t>
      </w:r>
      <w:r w:rsidR="00C026A6" w:rsidRPr="00EA59C0">
        <w:t xml:space="preserve"> </w:t>
      </w:r>
      <w:r w:rsidRPr="00EA59C0">
        <w:t>virtually.</w:t>
      </w:r>
    </w:p>
    <w:p w:rsidR="007B748B" w:rsidRPr="00EA59C0" w:rsidRDefault="007B748B" w:rsidP="00E34EEF">
      <w:pPr>
        <w:pStyle w:val="ListParagraph"/>
        <w:ind w:left="1440"/>
      </w:pPr>
    </w:p>
    <w:p w:rsidR="000D23AC" w:rsidRPr="00EA59C0" w:rsidRDefault="00764B13" w:rsidP="00E34EEF">
      <w:pPr>
        <w:pStyle w:val="ListParagraph"/>
        <w:ind w:left="1080"/>
      </w:pPr>
      <w:r w:rsidRPr="00EA59C0">
        <w:t>To</w:t>
      </w:r>
      <w:r w:rsidR="00C026A6" w:rsidRPr="00EA59C0">
        <w:t xml:space="preserve"> </w:t>
      </w:r>
      <w:r w:rsidRPr="00EA59C0">
        <w:t>further</w:t>
      </w:r>
      <w:r w:rsidR="00C026A6" w:rsidRPr="00EA59C0">
        <w:t xml:space="preserve"> </w:t>
      </w:r>
      <w:r w:rsidRPr="00EA59C0">
        <w:t>the</w:t>
      </w:r>
      <w:r w:rsidR="00C026A6" w:rsidRPr="00EA59C0">
        <w:t xml:space="preserve"> </w:t>
      </w:r>
      <w:r w:rsidRPr="00EA59C0">
        <w:t>goal</w:t>
      </w:r>
      <w:r w:rsidR="00C026A6" w:rsidRPr="00EA59C0">
        <w:t xml:space="preserve"> </w:t>
      </w:r>
      <w:r w:rsidRPr="00EA59C0">
        <w:t>of</w:t>
      </w:r>
      <w:r w:rsidR="00C026A6" w:rsidRPr="00EA59C0">
        <w:t xml:space="preserve"> </w:t>
      </w:r>
      <w:r w:rsidRPr="00EA59C0">
        <w:t>career</w:t>
      </w:r>
      <w:r w:rsidR="00C026A6" w:rsidRPr="00EA59C0">
        <w:t xml:space="preserve"> </w:t>
      </w:r>
      <w:r w:rsidRPr="00EA59C0">
        <w:t>training</w:t>
      </w:r>
      <w:r w:rsidR="00C026A6" w:rsidRPr="00EA59C0">
        <w:t xml:space="preserve"> </w:t>
      </w:r>
      <w:r w:rsidRPr="00EA59C0">
        <w:t>and</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to</w:t>
      </w:r>
      <w:r w:rsidR="00C026A6" w:rsidRPr="00EA59C0">
        <w:t xml:space="preserve"> </w:t>
      </w:r>
      <w:r w:rsidRPr="00EA59C0">
        <w:t>encourage</w:t>
      </w:r>
      <w:r w:rsidR="00C026A6" w:rsidRPr="00EA59C0">
        <w:t xml:space="preserve"> </w:t>
      </w:r>
      <w:r w:rsidRPr="00EA59C0">
        <w:t>innovation</w:t>
      </w:r>
      <w:r w:rsidR="00C026A6" w:rsidRPr="00EA59C0">
        <w:t xml:space="preserve"> </w:t>
      </w:r>
      <w:r w:rsidRPr="00EA59C0">
        <w:t>in</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of</w:t>
      </w:r>
      <w:r w:rsidR="00C026A6" w:rsidRPr="00EA59C0">
        <w:t xml:space="preserve"> </w:t>
      </w:r>
      <w:r w:rsidRPr="00EA59C0">
        <w:t>new</w:t>
      </w:r>
      <w:r w:rsidR="00C026A6" w:rsidRPr="00EA59C0">
        <w:t xml:space="preserve"> </w:t>
      </w:r>
      <w:r w:rsidRPr="00EA59C0">
        <w:t>curricula,</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publicly</w:t>
      </w:r>
      <w:r w:rsidR="00C026A6" w:rsidRPr="00EA59C0">
        <w:t xml:space="preserve"> </w:t>
      </w:r>
      <w:r w:rsidRPr="00EA59C0">
        <w:t>license</w:t>
      </w:r>
      <w:r w:rsidR="00C026A6" w:rsidRPr="00EA59C0">
        <w:t xml:space="preserve"> </w:t>
      </w:r>
      <w:r w:rsidRPr="00EA59C0">
        <w:t>all</w:t>
      </w:r>
      <w:r w:rsidR="00C026A6" w:rsidRPr="00EA59C0">
        <w:t xml:space="preserve"> </w:t>
      </w:r>
      <w:r w:rsidRPr="00EA59C0">
        <w:t>curricula</w:t>
      </w:r>
      <w:r w:rsidR="00C026A6" w:rsidRPr="00EA59C0">
        <w:t xml:space="preserve"> </w:t>
      </w:r>
      <w:r w:rsidRPr="00EA59C0">
        <w:t>and</w:t>
      </w:r>
      <w:r w:rsidR="00C026A6" w:rsidRPr="00EA59C0">
        <w:t xml:space="preserve"> </w:t>
      </w:r>
      <w:r w:rsidRPr="00EA59C0">
        <w:t>training</w:t>
      </w:r>
      <w:r w:rsidR="00C026A6" w:rsidRPr="00EA59C0">
        <w:t xml:space="preserve"> </w:t>
      </w:r>
      <w:r w:rsidRPr="00EA59C0">
        <w:t>materials</w:t>
      </w:r>
      <w:r w:rsidR="00C026A6" w:rsidRPr="00EA59C0">
        <w:t xml:space="preserve"> </w:t>
      </w:r>
      <w:r w:rsidRPr="00EA59C0">
        <w:t>created</w:t>
      </w:r>
      <w:r w:rsidR="00C026A6" w:rsidRPr="00EA59C0">
        <w:t xml:space="preserve"> </w:t>
      </w:r>
      <w:r w:rsidRPr="00EA59C0">
        <w:t>or</w:t>
      </w:r>
      <w:r w:rsidR="00C026A6" w:rsidRPr="00EA59C0">
        <w:t xml:space="preserve"> </w:t>
      </w:r>
      <w:r w:rsidRPr="00EA59C0">
        <w:t>developed</w:t>
      </w:r>
      <w:r w:rsidR="00C026A6" w:rsidRPr="00EA59C0">
        <w:t xml:space="preserve"> </w:t>
      </w:r>
      <w:r w:rsidRPr="00EA59C0">
        <w:t>with</w:t>
      </w:r>
      <w:r w:rsidR="00C026A6" w:rsidRPr="00EA59C0">
        <w:t xml:space="preserve"> </w:t>
      </w:r>
      <w:r w:rsidRPr="00EA59C0">
        <w:t>the</w:t>
      </w:r>
      <w:r w:rsidR="00C026A6" w:rsidRPr="00EA59C0">
        <w:t xml:space="preserve"> </w:t>
      </w:r>
      <w:r w:rsidRPr="00EA59C0">
        <w:t>support</w:t>
      </w:r>
      <w:r w:rsidR="00C026A6" w:rsidRPr="00EA59C0">
        <w:t xml:space="preserve"> </w:t>
      </w:r>
      <w:r w:rsidRPr="00EA59C0">
        <w:t>of</w:t>
      </w:r>
      <w:r w:rsidR="00C026A6" w:rsidRPr="00EA59C0">
        <w:t xml:space="preserve"> </w:t>
      </w:r>
      <w:r w:rsidRPr="00EA59C0">
        <w:t>the</w:t>
      </w:r>
      <w:r w:rsidR="00C026A6" w:rsidRPr="00EA59C0">
        <w:t xml:space="preserve"> </w:t>
      </w:r>
      <w:r w:rsidRPr="00EA59C0">
        <w:t>grant</w:t>
      </w:r>
      <w:r w:rsidR="00C026A6" w:rsidRPr="00EA59C0">
        <w:t xml:space="preserve"> </w:t>
      </w:r>
      <w:r w:rsidRPr="00EA59C0">
        <w:t>under</w:t>
      </w:r>
      <w:r w:rsidR="00C026A6" w:rsidRPr="00EA59C0">
        <w:t xml:space="preserve"> </w:t>
      </w:r>
      <w:r w:rsidRPr="00EA59C0">
        <w:t>a</w:t>
      </w:r>
      <w:r w:rsidR="00C026A6" w:rsidRPr="00EA59C0">
        <w:t xml:space="preserve"> </w:t>
      </w:r>
      <w:r w:rsidRPr="00EA59C0">
        <w:t>Creative</w:t>
      </w:r>
      <w:r w:rsidR="00C026A6" w:rsidRPr="00EA59C0">
        <w:t xml:space="preserve"> </w:t>
      </w:r>
      <w:r w:rsidRPr="00EA59C0">
        <w:t>Commons</w:t>
      </w:r>
      <w:r w:rsidR="00C026A6" w:rsidRPr="00EA59C0">
        <w:t xml:space="preserve"> </w:t>
      </w:r>
      <w:r w:rsidRPr="00EA59C0">
        <w:t>Attribution</w:t>
      </w:r>
      <w:r w:rsidR="00C026A6" w:rsidRPr="00EA59C0">
        <w:t xml:space="preserve"> </w:t>
      </w:r>
      <w:r w:rsidRPr="00EA59C0">
        <w:t>(CC</w:t>
      </w:r>
      <w:r w:rsidR="00C026A6" w:rsidRPr="00EA59C0">
        <w:t xml:space="preserve"> </w:t>
      </w:r>
      <w:r w:rsidRPr="00EA59C0">
        <w:t>BY)</w:t>
      </w:r>
      <w:r w:rsidR="00C026A6" w:rsidRPr="00EA59C0">
        <w:t xml:space="preserve"> </w:t>
      </w:r>
      <w:r w:rsidRPr="00EA59C0">
        <w:t>4.0</w:t>
      </w:r>
      <w:r w:rsidR="00C026A6" w:rsidRPr="00EA59C0">
        <w:t xml:space="preserve"> </w:t>
      </w:r>
      <w:r w:rsidRPr="00EA59C0">
        <w:t>License,</w:t>
      </w:r>
      <w:r w:rsidR="00C026A6" w:rsidRPr="00EA59C0">
        <w:t xml:space="preserve"> </w:t>
      </w:r>
      <w:r w:rsidRPr="00EA59C0">
        <w:t>except</w:t>
      </w:r>
      <w:r w:rsidR="00C026A6" w:rsidRPr="00EA59C0">
        <w:t xml:space="preserve"> </w:t>
      </w:r>
      <w:r w:rsidRPr="00EA59C0">
        <w:t>as</w:t>
      </w:r>
      <w:r w:rsidR="00C026A6" w:rsidRPr="00EA59C0">
        <w:t xml:space="preserve"> </w:t>
      </w:r>
      <w:r w:rsidRPr="00EA59C0">
        <w:t>provided</w:t>
      </w:r>
      <w:r w:rsidR="00C026A6" w:rsidRPr="00EA59C0">
        <w:t xml:space="preserve"> </w:t>
      </w:r>
      <w:r w:rsidRPr="00EA59C0">
        <w:t>in</w:t>
      </w:r>
      <w:r w:rsidR="00C026A6" w:rsidRPr="00EA59C0">
        <w:t xml:space="preserve"> </w:t>
      </w:r>
      <w:r w:rsidRPr="00EA59C0">
        <w:t>Section</w:t>
      </w:r>
      <w:r w:rsidR="00C026A6" w:rsidRPr="00EA59C0">
        <w:t xml:space="preserve"> </w:t>
      </w:r>
      <w:r w:rsidRPr="00EA59C0">
        <w:t>III.D.</w:t>
      </w:r>
      <w:r w:rsidR="00C4770D" w:rsidRPr="00EA59C0">
        <w:t>8</w:t>
      </w:r>
      <w:r w:rsidRPr="00EA59C0">
        <w:t>.</w:t>
      </w:r>
      <w:r w:rsidR="00C026A6" w:rsidRPr="00EA59C0">
        <w:t xml:space="preserve">  </w:t>
      </w:r>
    </w:p>
    <w:p w:rsidR="000D23AC" w:rsidRPr="00EA59C0" w:rsidRDefault="000D23AC" w:rsidP="00E34EEF">
      <w:pPr>
        <w:pStyle w:val="ListParagraph"/>
        <w:ind w:left="1080"/>
      </w:pPr>
    </w:p>
    <w:p w:rsidR="000D23AC" w:rsidRPr="00EA59C0" w:rsidRDefault="00764B13" w:rsidP="00E34EEF">
      <w:pPr>
        <w:pStyle w:val="ListParagraph"/>
        <w:ind w:left="1080"/>
      </w:pPr>
      <w:r w:rsidRPr="00EA59C0">
        <w:t>Applicants</w:t>
      </w:r>
      <w:r w:rsidR="00C026A6" w:rsidRPr="00EA59C0">
        <w:t xml:space="preserve"> </w:t>
      </w:r>
      <w:r w:rsidRPr="00EA59C0">
        <w:t>will</w:t>
      </w:r>
      <w:r w:rsidR="00C026A6" w:rsidRPr="00EA59C0">
        <w:t xml:space="preserve"> </w:t>
      </w:r>
      <w:r w:rsidRPr="00EA59C0">
        <w:t>also</w:t>
      </w:r>
      <w:r w:rsidR="00C026A6" w:rsidRPr="00EA59C0">
        <w:t xml:space="preserve"> </w:t>
      </w:r>
      <w:r w:rsidRPr="00EA59C0">
        <w:t>incorporate</w:t>
      </w:r>
      <w:r w:rsidR="00C026A6" w:rsidRPr="00EA59C0">
        <w:t xml:space="preserve"> </w:t>
      </w:r>
      <w:r w:rsidRPr="00EA59C0">
        <w:t>existing</w:t>
      </w:r>
      <w:r w:rsidR="00C026A6" w:rsidRPr="00EA59C0">
        <w:t xml:space="preserve"> </w:t>
      </w:r>
      <w:r w:rsidRPr="00EA59C0">
        <w:t>Open</w:t>
      </w:r>
      <w:r w:rsidR="00C026A6" w:rsidRPr="00EA59C0">
        <w:t xml:space="preserve"> </w:t>
      </w:r>
      <w:r w:rsidRPr="00EA59C0">
        <w:t>Educational</w:t>
      </w:r>
      <w:r w:rsidR="00C026A6" w:rsidRPr="00EA59C0">
        <w:t xml:space="preserve"> </w:t>
      </w:r>
      <w:r w:rsidRPr="00EA59C0">
        <w:t>Resources</w:t>
      </w:r>
      <w:r w:rsidR="00C026A6" w:rsidRPr="00EA59C0">
        <w:t xml:space="preserve"> </w:t>
      </w:r>
      <w:r w:rsidRPr="00EA59C0">
        <w:t>(OER),</w:t>
      </w:r>
      <w:r w:rsidR="00C026A6" w:rsidRPr="00EA59C0">
        <w:t xml:space="preserve"> </w:t>
      </w:r>
      <w:r w:rsidRPr="00EA59C0">
        <w:t>including</w:t>
      </w:r>
      <w:r w:rsidR="00C026A6" w:rsidRPr="00EA59C0">
        <w:t xml:space="preserve"> </w:t>
      </w:r>
      <w:r w:rsidRPr="00EA59C0">
        <w:t>those</w:t>
      </w:r>
      <w:r w:rsidR="00C026A6" w:rsidRPr="00EA59C0">
        <w:t xml:space="preserve"> </w:t>
      </w:r>
      <w:r w:rsidRPr="00EA59C0">
        <w:t>resources</w:t>
      </w:r>
      <w:r w:rsidR="00C026A6" w:rsidRPr="00EA59C0">
        <w:t xml:space="preserve"> </w:t>
      </w:r>
      <w:r w:rsidRPr="00EA59C0">
        <w:t>developed</w:t>
      </w:r>
      <w:r w:rsidR="00C026A6" w:rsidRPr="00EA59C0">
        <w:t xml:space="preserve"> </w:t>
      </w:r>
      <w:r w:rsidRPr="00EA59C0">
        <w:t>in</w:t>
      </w:r>
      <w:r w:rsidR="00C026A6" w:rsidRPr="00EA59C0">
        <w:t xml:space="preserve"> </w:t>
      </w:r>
      <w:r w:rsidRPr="00EA59C0">
        <w:t>previous</w:t>
      </w:r>
      <w:r w:rsidR="00C026A6" w:rsidRPr="00EA59C0">
        <w:t xml:space="preserve"> </w:t>
      </w:r>
      <w:r w:rsidRPr="00EA59C0">
        <w:t>TAACCCT</w:t>
      </w:r>
      <w:r w:rsidR="00C026A6" w:rsidRPr="00EA59C0">
        <w:t xml:space="preserve"> </w:t>
      </w:r>
      <w:r w:rsidRPr="00EA59C0">
        <w:t>projects,</w:t>
      </w:r>
      <w:r w:rsidR="00C026A6" w:rsidRPr="00EA59C0">
        <w:t xml:space="preserve"> </w:t>
      </w:r>
      <w:r w:rsidRPr="00EA59C0">
        <w:t>into</w:t>
      </w:r>
      <w:r w:rsidR="00C026A6" w:rsidRPr="00EA59C0">
        <w:t xml:space="preserve"> </w:t>
      </w:r>
      <w:r w:rsidRPr="00EA59C0">
        <w:t>their</w:t>
      </w:r>
      <w:r w:rsidR="00C026A6" w:rsidRPr="00EA59C0">
        <w:t xml:space="preserve"> </w:t>
      </w:r>
      <w:r w:rsidRPr="00EA59C0">
        <w:t>programs</w:t>
      </w:r>
      <w:r w:rsidR="001B62A6" w:rsidRPr="00EA59C0">
        <w:t>,</w:t>
      </w:r>
      <w:r w:rsidR="00C026A6" w:rsidRPr="00EA59C0">
        <w:t xml:space="preserve"> </w:t>
      </w:r>
      <w:r w:rsidRPr="00EA59C0">
        <w:t>as</w:t>
      </w:r>
      <w:r w:rsidR="00C026A6" w:rsidRPr="00EA59C0">
        <w:t xml:space="preserve"> </w:t>
      </w:r>
      <w:r w:rsidRPr="00EA59C0">
        <w:t>appropriate</w:t>
      </w:r>
      <w:r w:rsidR="00C026A6" w:rsidRPr="00EA59C0">
        <w:t xml:space="preserve"> </w:t>
      </w:r>
      <w:r w:rsidRPr="00EA59C0">
        <w:t>to</w:t>
      </w:r>
      <w:r w:rsidR="00C026A6" w:rsidRPr="00EA59C0">
        <w:t xml:space="preserve"> </w:t>
      </w:r>
      <w:r w:rsidRPr="00EA59C0">
        <w:t>reduce</w:t>
      </w:r>
      <w:r w:rsidR="00C026A6" w:rsidRPr="00EA59C0">
        <w:t xml:space="preserve"> </w:t>
      </w:r>
      <w:r w:rsidRPr="00EA59C0">
        <w:t>program</w:t>
      </w:r>
      <w:r w:rsidR="00C026A6" w:rsidRPr="00EA59C0">
        <w:t xml:space="preserve"> </w:t>
      </w:r>
      <w:r w:rsidRPr="00EA59C0">
        <w:t>costs</w:t>
      </w:r>
      <w:r w:rsidR="001B62A6" w:rsidRPr="00EA59C0">
        <w:t>, including the cost of program development</w:t>
      </w:r>
      <w:r w:rsidRPr="00EA59C0">
        <w:t>.</w:t>
      </w:r>
      <w:r w:rsidR="00C026A6" w:rsidRPr="00EA59C0">
        <w:t xml:space="preserve">  </w:t>
      </w:r>
      <w:r w:rsidR="000D23AC" w:rsidRPr="00EA59C0">
        <w:t>This</w:t>
      </w:r>
      <w:r w:rsidR="00C026A6" w:rsidRPr="00EA59C0">
        <w:t xml:space="preserve"> </w:t>
      </w:r>
      <w:r w:rsidR="000D23AC" w:rsidRPr="00EA59C0">
        <w:t>reduction</w:t>
      </w:r>
      <w:r w:rsidR="00C026A6" w:rsidRPr="00EA59C0">
        <w:t xml:space="preserve"> </w:t>
      </w:r>
      <w:r w:rsidR="000D23AC" w:rsidRPr="00EA59C0">
        <w:t>in</w:t>
      </w:r>
      <w:r w:rsidR="00C026A6" w:rsidRPr="00EA59C0">
        <w:t xml:space="preserve"> </w:t>
      </w:r>
      <w:r w:rsidR="000D23AC" w:rsidRPr="00EA59C0">
        <w:t>program</w:t>
      </w:r>
      <w:r w:rsidR="00C026A6" w:rsidRPr="00EA59C0">
        <w:t xml:space="preserve"> </w:t>
      </w:r>
      <w:r w:rsidR="000D23AC" w:rsidRPr="00EA59C0">
        <w:t>costs</w:t>
      </w:r>
      <w:r w:rsidR="00C026A6" w:rsidRPr="00EA59C0">
        <w:t xml:space="preserve"> </w:t>
      </w:r>
      <w:r w:rsidR="000D23AC" w:rsidRPr="00EA59C0">
        <w:t>could</w:t>
      </w:r>
      <w:r w:rsidR="00C026A6" w:rsidRPr="00EA59C0">
        <w:t xml:space="preserve"> </w:t>
      </w:r>
      <w:r w:rsidR="000D23AC" w:rsidRPr="00EA59C0">
        <w:t>include</w:t>
      </w:r>
      <w:r w:rsidR="00C026A6" w:rsidRPr="00EA59C0">
        <w:t xml:space="preserve"> </w:t>
      </w:r>
      <w:r w:rsidR="000D23AC" w:rsidRPr="00EA59C0">
        <w:t>savings</w:t>
      </w:r>
      <w:r w:rsidR="00C026A6" w:rsidRPr="00EA59C0">
        <w:t xml:space="preserve"> </w:t>
      </w:r>
      <w:r w:rsidR="000D23AC" w:rsidRPr="00EA59C0">
        <w:t>to</w:t>
      </w:r>
      <w:r w:rsidR="00C026A6" w:rsidRPr="00EA59C0">
        <w:t xml:space="preserve"> </w:t>
      </w:r>
      <w:r w:rsidR="000D23AC" w:rsidRPr="00EA59C0">
        <w:t>students</w:t>
      </w:r>
      <w:r w:rsidR="00C026A6" w:rsidRPr="00EA59C0">
        <w:t xml:space="preserve"> </w:t>
      </w:r>
      <w:r w:rsidR="000D23AC" w:rsidRPr="00EA59C0">
        <w:t>for</w:t>
      </w:r>
      <w:r w:rsidR="00C026A6" w:rsidRPr="00EA59C0">
        <w:t xml:space="preserve"> </w:t>
      </w:r>
      <w:r w:rsidR="000D23AC" w:rsidRPr="00EA59C0">
        <w:t>learning</w:t>
      </w:r>
      <w:r w:rsidR="00C026A6" w:rsidRPr="00EA59C0">
        <w:t xml:space="preserve"> </w:t>
      </w:r>
      <w:r w:rsidR="000D23AC" w:rsidRPr="00EA59C0">
        <w:t>materials,</w:t>
      </w:r>
      <w:r w:rsidR="00C026A6" w:rsidRPr="00EA59C0">
        <w:t xml:space="preserve"> </w:t>
      </w:r>
      <w:r w:rsidR="000D23AC" w:rsidRPr="00EA59C0">
        <w:t>textbooks,</w:t>
      </w:r>
      <w:r w:rsidR="00C026A6" w:rsidRPr="00EA59C0">
        <w:t xml:space="preserve"> </w:t>
      </w:r>
      <w:r w:rsidR="000D23AC" w:rsidRPr="00EA59C0">
        <w:t>and</w:t>
      </w:r>
      <w:r w:rsidR="00C026A6" w:rsidRPr="00EA59C0">
        <w:t xml:space="preserve"> </w:t>
      </w:r>
      <w:r w:rsidR="000D23AC" w:rsidRPr="00EA59C0">
        <w:t>other</w:t>
      </w:r>
      <w:r w:rsidR="00C026A6" w:rsidRPr="00EA59C0">
        <w:t xml:space="preserve"> </w:t>
      </w:r>
      <w:r w:rsidR="000D23AC" w:rsidRPr="00EA59C0">
        <w:t>resources</w:t>
      </w:r>
      <w:r w:rsidR="00C026A6" w:rsidRPr="00EA59C0">
        <w:t xml:space="preserve"> </w:t>
      </w:r>
      <w:r w:rsidR="000D23AC" w:rsidRPr="00EA59C0">
        <w:t>whether</w:t>
      </w:r>
      <w:r w:rsidR="00C026A6" w:rsidRPr="00EA59C0">
        <w:t xml:space="preserve"> </w:t>
      </w:r>
      <w:r w:rsidR="000D23AC" w:rsidRPr="00EA59C0">
        <w:t>required</w:t>
      </w:r>
      <w:r w:rsidR="00C026A6" w:rsidRPr="00EA59C0">
        <w:t xml:space="preserve"> </w:t>
      </w:r>
      <w:r w:rsidR="000D23AC" w:rsidRPr="00EA59C0">
        <w:t>or</w:t>
      </w:r>
      <w:r w:rsidR="00C026A6" w:rsidRPr="00EA59C0">
        <w:t xml:space="preserve"> </w:t>
      </w:r>
      <w:r w:rsidR="000D23AC" w:rsidRPr="00EA59C0">
        <w:t>recommended</w:t>
      </w:r>
      <w:r w:rsidR="00C026A6" w:rsidRPr="00EA59C0">
        <w:t xml:space="preserve"> </w:t>
      </w:r>
      <w:r w:rsidR="000D23AC" w:rsidRPr="00EA59C0">
        <w:t>for</w:t>
      </w:r>
      <w:r w:rsidR="00C026A6" w:rsidRPr="00EA59C0">
        <w:t xml:space="preserve"> </w:t>
      </w:r>
      <w:r w:rsidR="000D23AC" w:rsidRPr="00EA59C0">
        <w:t>the</w:t>
      </w:r>
      <w:r w:rsidR="00C026A6" w:rsidRPr="00EA59C0">
        <w:t xml:space="preserve"> </w:t>
      </w:r>
      <w:r w:rsidR="000D23AC" w:rsidRPr="00EA59C0">
        <w:t>program</w:t>
      </w:r>
      <w:r w:rsidR="00C026A6" w:rsidRPr="00EA59C0">
        <w:t xml:space="preserve"> </w:t>
      </w:r>
      <w:r w:rsidR="000D23AC" w:rsidRPr="00EA59C0">
        <w:t>of</w:t>
      </w:r>
      <w:r w:rsidR="00C026A6" w:rsidRPr="00EA59C0">
        <w:t xml:space="preserve"> </w:t>
      </w:r>
      <w:r w:rsidR="000D23AC" w:rsidRPr="00EA59C0">
        <w:t>study.</w:t>
      </w:r>
      <w:r w:rsidR="00A35B71" w:rsidRPr="00EA59C0">
        <w:t xml:space="preserve">  Reduction in the cost of program development could include the costs to develop digital content and objects, such as open textbooks, 3-D modules, and simulations.  </w:t>
      </w:r>
    </w:p>
    <w:p w:rsidR="000D23AC" w:rsidRPr="00EA59C0" w:rsidRDefault="000D23AC" w:rsidP="00E34EEF">
      <w:pPr>
        <w:pStyle w:val="ListParagraph"/>
        <w:ind w:left="1080"/>
      </w:pPr>
    </w:p>
    <w:p w:rsidR="00764B13" w:rsidRPr="00EA59C0" w:rsidRDefault="00AF68D1" w:rsidP="00E34EEF">
      <w:pPr>
        <w:pStyle w:val="ListParagraph"/>
        <w:ind w:left="1080"/>
      </w:pPr>
      <w:r w:rsidRPr="00EA59C0">
        <w:t>Successful</w:t>
      </w:r>
      <w:r w:rsidR="00C026A6" w:rsidRPr="00EA59C0">
        <w:t xml:space="preserve"> </w:t>
      </w:r>
      <w:r w:rsidR="008A4C4F" w:rsidRPr="00EA59C0">
        <w:t>applicants</w:t>
      </w:r>
      <w:r w:rsidR="00C026A6" w:rsidRPr="00EA59C0">
        <w:t xml:space="preserve"> </w:t>
      </w:r>
      <w:r w:rsidR="00D85FDF" w:rsidRPr="00EA59C0">
        <w:t>will</w:t>
      </w:r>
      <w:r w:rsidR="00C026A6" w:rsidRPr="00EA59C0">
        <w:t xml:space="preserve"> </w:t>
      </w:r>
      <w:r w:rsidR="00D85FDF" w:rsidRPr="00EA59C0">
        <w:t>demonstrate</w:t>
      </w:r>
      <w:r w:rsidR="00C026A6" w:rsidRPr="00EA59C0">
        <w:t xml:space="preserve"> </w:t>
      </w:r>
      <w:r w:rsidRPr="00EA59C0">
        <w:t>a</w:t>
      </w:r>
      <w:r w:rsidR="00C026A6" w:rsidRPr="00EA59C0">
        <w:t xml:space="preserve"> </w:t>
      </w:r>
      <w:r w:rsidRPr="00EA59C0">
        <w:t>clear</w:t>
      </w:r>
      <w:r w:rsidR="00C026A6" w:rsidRPr="00EA59C0">
        <w:t xml:space="preserve"> </w:t>
      </w:r>
      <w:r w:rsidRPr="00EA59C0">
        <w:t>understanding</w:t>
      </w:r>
      <w:r w:rsidR="00C026A6" w:rsidRPr="00EA59C0">
        <w:t xml:space="preserve"> </w:t>
      </w:r>
      <w:r w:rsidRPr="00EA59C0">
        <w:t>of</w:t>
      </w:r>
      <w:r w:rsidR="00C026A6" w:rsidRPr="00EA59C0">
        <w:t xml:space="preserve"> </w:t>
      </w:r>
      <w:r w:rsidRPr="00EA59C0">
        <w:t>issues</w:t>
      </w:r>
      <w:r w:rsidR="00C026A6" w:rsidRPr="00EA59C0">
        <w:t xml:space="preserve"> </w:t>
      </w:r>
      <w:r w:rsidRPr="00EA59C0">
        <w:t>relating</w:t>
      </w:r>
      <w:r w:rsidR="00C026A6" w:rsidRPr="00EA59C0">
        <w:t xml:space="preserve"> </w:t>
      </w:r>
      <w:r w:rsidRPr="00EA59C0">
        <w:t>to</w:t>
      </w:r>
      <w:r w:rsidR="00C026A6" w:rsidRPr="00EA59C0">
        <w:t xml:space="preserve"> </w:t>
      </w:r>
      <w:r w:rsidR="000D23AC" w:rsidRPr="00EA59C0">
        <w:t>OER</w:t>
      </w:r>
      <w:r w:rsidR="00C026A6" w:rsidRPr="00EA59C0">
        <w:t xml:space="preserve"> </w:t>
      </w:r>
      <w:r w:rsidRPr="00EA59C0">
        <w:t>attribution</w:t>
      </w:r>
      <w:r w:rsidR="00C026A6" w:rsidRPr="00EA59C0">
        <w:t xml:space="preserve"> </w:t>
      </w:r>
      <w:r w:rsidRPr="00EA59C0">
        <w:t>and</w:t>
      </w:r>
      <w:r w:rsidR="00C026A6" w:rsidRPr="00EA59C0">
        <w:t xml:space="preserve"> </w:t>
      </w:r>
      <w:r w:rsidRPr="00EA59C0">
        <w:t>license</w:t>
      </w:r>
      <w:r w:rsidR="00C026A6" w:rsidRPr="00EA59C0">
        <w:t xml:space="preserve"> </w:t>
      </w:r>
      <w:r w:rsidRPr="00EA59C0">
        <w:t>compatibility</w:t>
      </w:r>
      <w:r w:rsidR="00D85FDF" w:rsidRPr="00EA59C0">
        <w:t>.</w:t>
      </w:r>
      <w:r w:rsidR="00C026A6" w:rsidRPr="00EA59C0">
        <w:t xml:space="preserve">  </w:t>
      </w:r>
      <w:r w:rsidR="00D85FDF" w:rsidRPr="00EA59C0">
        <w:t>Additionally,</w:t>
      </w:r>
      <w:r w:rsidR="00C026A6" w:rsidRPr="00EA59C0">
        <w:t xml:space="preserve"> </w:t>
      </w:r>
      <w:r w:rsidR="008A4C4F" w:rsidRPr="00EA59C0">
        <w:t>these</w:t>
      </w:r>
      <w:r w:rsidR="00C026A6" w:rsidRPr="00EA59C0">
        <w:t xml:space="preserve"> </w:t>
      </w:r>
      <w:r w:rsidR="008A4C4F" w:rsidRPr="00EA59C0">
        <w:t>applicants</w:t>
      </w:r>
      <w:r w:rsidR="00C026A6" w:rsidRPr="00EA59C0">
        <w:t xml:space="preserve"> </w:t>
      </w:r>
      <w:r w:rsidR="00D85FDF" w:rsidRPr="00EA59C0">
        <w:t>will</w:t>
      </w:r>
      <w:r w:rsidR="00C026A6" w:rsidRPr="00EA59C0">
        <w:t xml:space="preserve"> </w:t>
      </w:r>
      <w:r w:rsidRPr="00EA59C0">
        <w:t>encourag</w:t>
      </w:r>
      <w:r w:rsidR="00D85FDF" w:rsidRPr="00EA59C0">
        <w:t>e</w:t>
      </w:r>
      <w:r w:rsidR="00C026A6" w:rsidRPr="00EA59C0">
        <w:t xml:space="preserve"> </w:t>
      </w:r>
      <w:r w:rsidRPr="00EA59C0">
        <w:t>the</w:t>
      </w:r>
      <w:r w:rsidR="00C026A6" w:rsidRPr="00EA59C0">
        <w:t xml:space="preserve"> </w:t>
      </w:r>
      <w:r w:rsidRPr="00EA59C0">
        <w:t>use</w:t>
      </w:r>
      <w:r w:rsidR="00C026A6" w:rsidRPr="00EA59C0">
        <w:t xml:space="preserve"> </w:t>
      </w:r>
      <w:r w:rsidRPr="00EA59C0">
        <w:t>and</w:t>
      </w:r>
      <w:r w:rsidR="00C026A6" w:rsidRPr="00EA59C0">
        <w:t xml:space="preserve"> </w:t>
      </w:r>
      <w:r w:rsidRPr="00EA59C0">
        <w:t>reuse</w:t>
      </w:r>
      <w:r w:rsidR="00C026A6" w:rsidRPr="00EA59C0">
        <w:t xml:space="preserve"> </w:t>
      </w:r>
      <w:r w:rsidRPr="00EA59C0">
        <w:t>of</w:t>
      </w:r>
      <w:r w:rsidR="00C026A6" w:rsidRPr="00EA59C0">
        <w:t xml:space="preserve"> </w:t>
      </w:r>
      <w:r w:rsidRPr="00EA59C0">
        <w:t>any</w:t>
      </w:r>
      <w:r w:rsidR="00C026A6" w:rsidRPr="00EA59C0">
        <w:t xml:space="preserve"> </w:t>
      </w:r>
      <w:r w:rsidRPr="00EA59C0">
        <w:t>OER</w:t>
      </w:r>
      <w:r w:rsidR="00C026A6" w:rsidRPr="00EA59C0">
        <w:t xml:space="preserve"> </w:t>
      </w:r>
      <w:r w:rsidRPr="00EA59C0">
        <w:t>created</w:t>
      </w:r>
      <w:r w:rsidR="00C026A6" w:rsidRPr="00EA59C0">
        <w:t xml:space="preserve"> </w:t>
      </w:r>
      <w:r w:rsidRPr="00EA59C0">
        <w:t>through</w:t>
      </w:r>
      <w:r w:rsidR="00C026A6" w:rsidRPr="00EA59C0">
        <w:t xml:space="preserve"> </w:t>
      </w:r>
      <w:r w:rsidRPr="00EA59C0">
        <w:t>the</w:t>
      </w:r>
      <w:r w:rsidR="008A4C4F" w:rsidRPr="00EA59C0">
        <w:t>ir</w:t>
      </w:r>
      <w:r w:rsidR="00C026A6" w:rsidRPr="00EA59C0">
        <w:t xml:space="preserve"> </w:t>
      </w:r>
      <w:r w:rsidRPr="00EA59C0">
        <w:t>projects</w:t>
      </w:r>
      <w:r w:rsidR="008A4C4F" w:rsidRPr="00EA59C0">
        <w:t>,</w:t>
      </w:r>
      <w:r w:rsidR="00C026A6" w:rsidRPr="00EA59C0">
        <w:t xml:space="preserve"> </w:t>
      </w:r>
      <w:r w:rsidRPr="00EA59C0">
        <w:t>such</w:t>
      </w:r>
      <w:r w:rsidR="00C026A6" w:rsidRPr="00EA59C0">
        <w:t xml:space="preserve"> </w:t>
      </w:r>
      <w:r w:rsidRPr="00EA59C0">
        <w:t>as</w:t>
      </w:r>
      <w:r w:rsidR="00C026A6" w:rsidRPr="00EA59C0">
        <w:t xml:space="preserve"> </w:t>
      </w:r>
      <w:r w:rsidRPr="00EA59C0">
        <w:t>through</w:t>
      </w:r>
      <w:r w:rsidR="00C026A6" w:rsidRPr="00EA59C0">
        <w:t xml:space="preserve"> </w:t>
      </w:r>
      <w:r w:rsidRPr="00EA59C0">
        <w:t>partnerships</w:t>
      </w:r>
      <w:r w:rsidR="00C026A6" w:rsidRPr="00EA59C0">
        <w:t xml:space="preserve"> </w:t>
      </w:r>
      <w:r w:rsidRPr="00EA59C0">
        <w:t>for</w:t>
      </w:r>
      <w:r w:rsidR="00C026A6" w:rsidRPr="00EA59C0">
        <w:t xml:space="preserve"> </w:t>
      </w:r>
      <w:r w:rsidRPr="00EA59C0">
        <w:t>distribution</w:t>
      </w:r>
      <w:r w:rsidR="00C026A6" w:rsidRPr="00EA59C0">
        <w:t xml:space="preserve"> </w:t>
      </w:r>
      <w:r w:rsidRPr="00EA59C0">
        <w:t>or</w:t>
      </w:r>
      <w:r w:rsidR="00C026A6" w:rsidRPr="00EA59C0">
        <w:t xml:space="preserve"> </w:t>
      </w:r>
      <w:r w:rsidRPr="00EA59C0">
        <w:t>adaptability</w:t>
      </w:r>
      <w:r w:rsidR="00C026A6" w:rsidRPr="00EA59C0">
        <w:t xml:space="preserve"> </w:t>
      </w:r>
      <w:r w:rsidRPr="00EA59C0">
        <w:t>for</w:t>
      </w:r>
      <w:r w:rsidR="00C026A6" w:rsidRPr="00EA59C0">
        <w:t xml:space="preserve"> </w:t>
      </w:r>
      <w:r w:rsidRPr="00EA59C0">
        <w:t>distribution</w:t>
      </w:r>
      <w:r w:rsidR="00C026A6" w:rsidRPr="00EA59C0">
        <w:t xml:space="preserve"> </w:t>
      </w:r>
      <w:r w:rsidRPr="00EA59C0">
        <w:t>on</w:t>
      </w:r>
      <w:r w:rsidR="00C026A6" w:rsidRPr="00EA59C0">
        <w:t xml:space="preserve"> </w:t>
      </w:r>
      <w:r w:rsidRPr="00EA59C0">
        <w:t>multiple</w:t>
      </w:r>
      <w:r w:rsidR="00C026A6" w:rsidRPr="00EA59C0">
        <w:t xml:space="preserve"> </w:t>
      </w:r>
      <w:r w:rsidRPr="00EA59C0">
        <w:t>platforms.</w:t>
      </w:r>
      <w:r w:rsidR="00C026A6" w:rsidRPr="00EA59C0">
        <w:t xml:space="preserve">  </w:t>
      </w:r>
      <w:r w:rsidR="009E1A95" w:rsidRPr="00EA59C0">
        <w:t>Applicants</w:t>
      </w:r>
      <w:r w:rsidR="00C026A6" w:rsidRPr="00EA59C0">
        <w:t xml:space="preserve"> </w:t>
      </w:r>
      <w:r w:rsidR="009E1A95" w:rsidRPr="00EA59C0">
        <w:t>are</w:t>
      </w:r>
      <w:r w:rsidR="00C026A6" w:rsidRPr="00EA59C0">
        <w:t xml:space="preserve"> </w:t>
      </w:r>
      <w:r w:rsidR="009E1A95" w:rsidRPr="00EA59C0">
        <w:t>encouraged</w:t>
      </w:r>
      <w:r w:rsidR="00C026A6" w:rsidRPr="00EA59C0">
        <w:t xml:space="preserve"> </w:t>
      </w:r>
      <w:r w:rsidR="009E1A95" w:rsidRPr="00EA59C0">
        <w:t>to</w:t>
      </w:r>
      <w:r w:rsidR="00C026A6" w:rsidRPr="00EA59C0">
        <w:t xml:space="preserve"> </w:t>
      </w:r>
      <w:r w:rsidR="009E1A95" w:rsidRPr="00EA59C0">
        <w:t>create</w:t>
      </w:r>
      <w:r w:rsidR="00C026A6" w:rsidRPr="00EA59C0">
        <w:t xml:space="preserve"> </w:t>
      </w:r>
      <w:r w:rsidR="009E1A95" w:rsidRPr="00EA59C0">
        <w:t>digital</w:t>
      </w:r>
      <w:r w:rsidR="00C026A6" w:rsidRPr="00EA59C0">
        <w:t xml:space="preserve"> </w:t>
      </w:r>
      <w:r w:rsidR="009E1A95" w:rsidRPr="00EA59C0">
        <w:t>content</w:t>
      </w:r>
      <w:r w:rsidR="00C026A6" w:rsidRPr="00EA59C0">
        <w:t xml:space="preserve"> </w:t>
      </w:r>
      <w:r w:rsidRPr="00EA59C0">
        <w:t>that</w:t>
      </w:r>
      <w:r w:rsidR="00C026A6" w:rsidRPr="00EA59C0">
        <w:t xml:space="preserve"> </w:t>
      </w:r>
      <w:r w:rsidRPr="00EA59C0">
        <w:t>is</w:t>
      </w:r>
      <w:r w:rsidR="00C026A6" w:rsidRPr="00EA59C0">
        <w:t xml:space="preserve"> </w:t>
      </w:r>
      <w:r w:rsidRPr="00EA59C0">
        <w:t>learning</w:t>
      </w:r>
      <w:r w:rsidR="00C026A6" w:rsidRPr="00EA59C0">
        <w:t xml:space="preserve"> </w:t>
      </w:r>
      <w:r w:rsidRPr="00EA59C0">
        <w:t>management</w:t>
      </w:r>
      <w:r w:rsidR="00C026A6" w:rsidRPr="00EA59C0">
        <w:t xml:space="preserve"> </w:t>
      </w:r>
      <w:r w:rsidRPr="00EA59C0">
        <w:t>system</w:t>
      </w:r>
      <w:r w:rsidR="00C026A6" w:rsidRPr="00EA59C0">
        <w:t xml:space="preserve"> </w:t>
      </w:r>
      <w:r w:rsidRPr="00EA59C0">
        <w:t>agnostic</w:t>
      </w:r>
      <w:r w:rsidR="00C026A6" w:rsidRPr="00EA59C0">
        <w:t xml:space="preserve"> </w:t>
      </w:r>
      <w:r w:rsidRPr="00EA59C0">
        <w:t>and</w:t>
      </w:r>
      <w:r w:rsidR="00C026A6" w:rsidRPr="00EA59C0">
        <w:t xml:space="preserve"> </w:t>
      </w:r>
      <w:r w:rsidRPr="00EA59C0">
        <w:t>that</w:t>
      </w:r>
      <w:r w:rsidR="00C026A6" w:rsidRPr="00EA59C0">
        <w:t xml:space="preserve"> </w:t>
      </w:r>
      <w:r w:rsidRPr="00EA59C0">
        <w:t>can</w:t>
      </w:r>
      <w:r w:rsidR="00C026A6" w:rsidRPr="00EA59C0">
        <w:t xml:space="preserve"> </w:t>
      </w:r>
      <w:r w:rsidRPr="00EA59C0">
        <w:t>be</w:t>
      </w:r>
      <w:r w:rsidR="00C026A6" w:rsidRPr="00EA59C0">
        <w:t xml:space="preserve"> </w:t>
      </w:r>
      <w:r w:rsidRPr="00EA59C0">
        <w:t>shared</w:t>
      </w:r>
      <w:r w:rsidR="00C026A6" w:rsidRPr="00EA59C0">
        <w:t xml:space="preserve"> </w:t>
      </w:r>
      <w:r w:rsidRPr="00EA59C0">
        <w:t>using</w:t>
      </w:r>
      <w:r w:rsidR="00C026A6" w:rsidRPr="00EA59C0">
        <w:t xml:space="preserve"> </w:t>
      </w:r>
      <w:r w:rsidRPr="00EA59C0">
        <w:t>a</w:t>
      </w:r>
      <w:r w:rsidR="00C026A6" w:rsidRPr="00EA59C0">
        <w:t xml:space="preserve"> </w:t>
      </w:r>
      <w:r w:rsidRPr="00EA59C0">
        <w:t>common</w:t>
      </w:r>
      <w:r w:rsidR="00C026A6" w:rsidRPr="00EA59C0">
        <w:t xml:space="preserve"> </w:t>
      </w:r>
      <w:r w:rsidRPr="00EA59C0">
        <w:t>course</w:t>
      </w:r>
      <w:r w:rsidR="00C026A6" w:rsidRPr="00EA59C0">
        <w:t xml:space="preserve"> </w:t>
      </w:r>
      <w:r w:rsidRPr="00EA59C0">
        <w:t>cartridge.</w:t>
      </w:r>
    </w:p>
    <w:p w:rsidR="00764B13" w:rsidRPr="00EA59C0" w:rsidRDefault="00764B13" w:rsidP="00E34EEF">
      <w:pPr>
        <w:pStyle w:val="ListParagraph"/>
        <w:ind w:left="1080"/>
      </w:pPr>
    </w:p>
    <w:p w:rsidR="00F140D4" w:rsidRPr="00EA59C0" w:rsidRDefault="00F140D4" w:rsidP="00E34EEF">
      <w:pPr>
        <w:pStyle w:val="ListParagraph"/>
        <w:ind w:left="1080"/>
      </w:pPr>
      <w:r w:rsidRPr="00EA59C0">
        <w:t>All</w:t>
      </w:r>
      <w:r w:rsidR="00C026A6" w:rsidRPr="00EA59C0">
        <w:t xml:space="preserve"> </w:t>
      </w:r>
      <w:r w:rsidR="00F84F14" w:rsidRPr="00EA59C0">
        <w:t>applicants</w:t>
      </w:r>
      <w:r w:rsidR="00C026A6" w:rsidRPr="00EA59C0">
        <w:t xml:space="preserve"> </w:t>
      </w:r>
      <w:r w:rsidRPr="00EA59C0">
        <w:t>should</w:t>
      </w:r>
      <w:r w:rsidR="00C026A6" w:rsidRPr="00EA59C0">
        <w:t xml:space="preserve"> </w:t>
      </w:r>
      <w:r w:rsidRPr="00EA59C0">
        <w:t>consider</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of</w:t>
      </w:r>
      <w:r w:rsidR="00C026A6" w:rsidRPr="00EA59C0">
        <w:t xml:space="preserve"> </w:t>
      </w:r>
      <w:r w:rsidRPr="00EA59C0">
        <w:t>“next</w:t>
      </w:r>
      <w:r w:rsidR="00C026A6" w:rsidRPr="00EA59C0">
        <w:t xml:space="preserve"> </w:t>
      </w:r>
      <w:r w:rsidRPr="00EA59C0">
        <w:t>generation”</w:t>
      </w:r>
      <w:r w:rsidR="00C026A6" w:rsidRPr="00EA59C0">
        <w:t xml:space="preserve"> </w:t>
      </w:r>
      <w:r w:rsidRPr="00EA59C0">
        <w:t>assessments</w:t>
      </w:r>
      <w:r w:rsidR="00C026A6" w:rsidRPr="00EA59C0">
        <w:t xml:space="preserve"> </w:t>
      </w:r>
      <w:r w:rsidRPr="00EA59C0">
        <w:t>for</w:t>
      </w:r>
      <w:r w:rsidR="00C026A6" w:rsidRPr="00EA59C0">
        <w:t xml:space="preserve"> </w:t>
      </w:r>
      <w:r w:rsidRPr="00EA59C0">
        <w:t>continuous</w:t>
      </w:r>
      <w:r w:rsidR="00C026A6" w:rsidRPr="00EA59C0">
        <w:t xml:space="preserve"> </w:t>
      </w:r>
      <w:r w:rsidRPr="00EA59C0">
        <w:t>formative</w:t>
      </w:r>
      <w:r w:rsidR="00C026A6" w:rsidRPr="00EA59C0">
        <w:t xml:space="preserve"> </w:t>
      </w:r>
      <w:r w:rsidRPr="00EA59C0">
        <w:t>assessments</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capstone,</w:t>
      </w:r>
      <w:r w:rsidR="00C026A6" w:rsidRPr="00EA59C0">
        <w:t xml:space="preserve"> </w:t>
      </w:r>
      <w:r w:rsidRPr="00EA59C0">
        <w:t>program,</w:t>
      </w:r>
      <w:r w:rsidR="00C026A6" w:rsidRPr="00EA59C0">
        <w:t xml:space="preserve"> </w:t>
      </w:r>
      <w:r w:rsidRPr="00EA59C0">
        <w:t>and</w:t>
      </w:r>
      <w:r w:rsidR="00C026A6" w:rsidRPr="00EA59C0">
        <w:t xml:space="preserve"> </w:t>
      </w:r>
      <w:r w:rsidRPr="00EA59C0">
        <w:t>other</w:t>
      </w:r>
      <w:r w:rsidR="00C026A6" w:rsidRPr="00EA59C0">
        <w:t xml:space="preserve"> </w:t>
      </w:r>
      <w:r w:rsidRPr="00EA59C0">
        <w:t>high-stakes</w:t>
      </w:r>
      <w:r w:rsidR="00C026A6" w:rsidRPr="00EA59C0">
        <w:t xml:space="preserve"> </w:t>
      </w:r>
      <w:r w:rsidRPr="00EA59C0">
        <w:t>testing.</w:t>
      </w:r>
      <w:r w:rsidR="00C026A6" w:rsidRPr="00EA59C0">
        <w:t xml:space="preserve">  </w:t>
      </w:r>
      <w:r w:rsidRPr="00EA59C0">
        <w:t>Next</w:t>
      </w:r>
      <w:r w:rsidR="00C026A6" w:rsidRPr="00EA59C0">
        <w:t xml:space="preserve"> </w:t>
      </w:r>
      <w:r w:rsidRPr="00EA59C0">
        <w:t>generation</w:t>
      </w:r>
      <w:r w:rsidR="00C026A6" w:rsidRPr="00EA59C0">
        <w:t xml:space="preserve"> </w:t>
      </w:r>
      <w:r w:rsidRPr="00EA59C0">
        <w:t>assessments</w:t>
      </w:r>
      <w:r w:rsidR="00C026A6" w:rsidRPr="00EA59C0">
        <w:t xml:space="preserve"> </w:t>
      </w:r>
      <w:r w:rsidRPr="00EA59C0">
        <w:t>place</w:t>
      </w:r>
      <w:r w:rsidR="00C026A6" w:rsidRPr="00EA59C0">
        <w:t xml:space="preserve"> </w:t>
      </w:r>
      <w:r w:rsidRPr="00EA59C0">
        <w:t>students</w:t>
      </w:r>
      <w:r w:rsidR="00C026A6" w:rsidRPr="00EA59C0">
        <w:t xml:space="preserve"> </w:t>
      </w:r>
      <w:r w:rsidRPr="00EA59C0">
        <w:t>in</w:t>
      </w:r>
      <w:r w:rsidR="00C026A6" w:rsidRPr="00EA59C0">
        <w:t xml:space="preserve"> </w:t>
      </w:r>
      <w:r w:rsidRPr="00EA59C0">
        <w:t>engaging</w:t>
      </w:r>
      <w:r w:rsidR="00C026A6" w:rsidRPr="00EA59C0">
        <w:t xml:space="preserve"> </w:t>
      </w:r>
      <w:r w:rsidRPr="00EA59C0">
        <w:t>environments</w:t>
      </w:r>
      <w:r w:rsidR="00C026A6" w:rsidRPr="00EA59C0">
        <w:t xml:space="preserve"> </w:t>
      </w:r>
      <w:r w:rsidRPr="00EA59C0">
        <w:t>(such</w:t>
      </w:r>
      <w:r w:rsidR="00C026A6" w:rsidRPr="00EA59C0">
        <w:t xml:space="preserve"> </w:t>
      </w:r>
      <w:r w:rsidRPr="00EA59C0">
        <w:t>as</w:t>
      </w:r>
      <w:r w:rsidR="00C026A6" w:rsidRPr="00EA59C0">
        <w:t xml:space="preserve"> </w:t>
      </w:r>
      <w:r w:rsidRPr="00EA59C0">
        <w:t>simulators</w:t>
      </w:r>
      <w:r w:rsidR="00A14FA7" w:rsidRPr="00EA59C0">
        <w:t xml:space="preserve"> and </w:t>
      </w:r>
      <w:r w:rsidRPr="00EA59C0">
        <w:t>virtual</w:t>
      </w:r>
      <w:r w:rsidR="00C026A6" w:rsidRPr="00EA59C0">
        <w:t xml:space="preserve"> </w:t>
      </w:r>
      <w:r w:rsidRPr="00EA59C0">
        <w:t>communities)</w:t>
      </w:r>
      <w:r w:rsidR="00C026A6" w:rsidRPr="00EA59C0">
        <w:t xml:space="preserve"> </w:t>
      </w:r>
      <w:r w:rsidRPr="00EA59C0">
        <w:t>and</w:t>
      </w:r>
      <w:r w:rsidR="00C026A6" w:rsidRPr="00EA59C0">
        <w:t xml:space="preserve"> </w:t>
      </w:r>
      <w:r w:rsidRPr="00EA59C0">
        <w:t>test</w:t>
      </w:r>
      <w:r w:rsidR="00C026A6" w:rsidRPr="00EA59C0">
        <w:t xml:space="preserve"> </w:t>
      </w:r>
      <w:r w:rsidRPr="00EA59C0">
        <w:t>their</w:t>
      </w:r>
      <w:r w:rsidR="00C026A6" w:rsidRPr="00EA59C0">
        <w:t xml:space="preserve"> </w:t>
      </w:r>
      <w:r w:rsidRPr="00EA59C0">
        <w:t>ability</w:t>
      </w:r>
      <w:r w:rsidR="00C026A6" w:rsidRPr="00EA59C0">
        <w:t xml:space="preserve"> </w:t>
      </w:r>
      <w:r w:rsidRPr="00EA59C0">
        <w:t>to</w:t>
      </w:r>
      <w:r w:rsidR="00C026A6" w:rsidRPr="00EA59C0">
        <w:t xml:space="preserve"> </w:t>
      </w:r>
      <w:r w:rsidRPr="00EA59C0">
        <w:t>respond</w:t>
      </w:r>
      <w:r w:rsidR="00C026A6" w:rsidRPr="00EA59C0">
        <w:t xml:space="preserve"> </w:t>
      </w:r>
      <w:r w:rsidRPr="00EA59C0">
        <w:t>to</w:t>
      </w:r>
      <w:r w:rsidR="00C026A6" w:rsidRPr="00EA59C0">
        <w:t xml:space="preserve"> </w:t>
      </w:r>
      <w:r w:rsidRPr="00EA59C0">
        <w:t>real</w:t>
      </w:r>
      <w:r w:rsidR="00C026A6" w:rsidRPr="00EA59C0">
        <w:t xml:space="preserve"> </w:t>
      </w:r>
      <w:r w:rsidRPr="00EA59C0">
        <w:t>world</w:t>
      </w:r>
      <w:r w:rsidR="00C026A6" w:rsidRPr="00EA59C0">
        <w:t xml:space="preserve"> </w:t>
      </w:r>
      <w:r w:rsidRPr="00EA59C0">
        <w:t>challenges</w:t>
      </w:r>
      <w:r w:rsidR="00C026A6" w:rsidRPr="00EA59C0">
        <w:t xml:space="preserve"> </w:t>
      </w:r>
      <w:r w:rsidRPr="00EA59C0">
        <w:t>and</w:t>
      </w:r>
      <w:r w:rsidR="00C026A6" w:rsidRPr="00EA59C0">
        <w:t xml:space="preserve"> </w:t>
      </w:r>
      <w:r w:rsidRPr="00EA59C0">
        <w:t>obstacles.</w:t>
      </w:r>
      <w:r w:rsidR="00C026A6" w:rsidRPr="00EA59C0">
        <w:t xml:space="preserve">  </w:t>
      </w:r>
      <w:r w:rsidRPr="00EA59C0">
        <w:t>These</w:t>
      </w:r>
      <w:r w:rsidR="00C026A6" w:rsidRPr="00EA59C0">
        <w:t xml:space="preserve"> </w:t>
      </w:r>
      <w:r w:rsidRPr="00EA59C0">
        <w:t>systems</w:t>
      </w:r>
      <w:r w:rsidR="00C026A6" w:rsidRPr="00EA59C0">
        <w:t xml:space="preserve"> </w:t>
      </w:r>
      <w:r w:rsidRPr="00EA59C0">
        <w:t>can</w:t>
      </w:r>
      <w:r w:rsidR="00C026A6" w:rsidRPr="00EA59C0">
        <w:t xml:space="preserve"> </w:t>
      </w:r>
      <w:r w:rsidRPr="00EA59C0">
        <w:t>be</w:t>
      </w:r>
      <w:r w:rsidR="00C026A6" w:rsidRPr="00EA59C0">
        <w:t xml:space="preserve"> </w:t>
      </w:r>
      <w:r w:rsidRPr="00EA59C0">
        <w:t>designed</w:t>
      </w:r>
      <w:r w:rsidR="00C026A6" w:rsidRPr="00EA59C0">
        <w:t xml:space="preserve"> </w:t>
      </w:r>
      <w:r w:rsidRPr="00EA59C0">
        <w:t>to</w:t>
      </w:r>
      <w:r w:rsidR="00C026A6" w:rsidRPr="00EA59C0">
        <w:t xml:space="preserve"> </w:t>
      </w:r>
      <w:r w:rsidRPr="00EA59C0">
        <w:t>move</w:t>
      </w:r>
      <w:r w:rsidR="00C026A6" w:rsidRPr="00EA59C0">
        <w:t xml:space="preserve"> </w:t>
      </w:r>
      <w:r w:rsidRPr="00EA59C0">
        <w:t>students</w:t>
      </w:r>
      <w:r w:rsidR="00C026A6" w:rsidRPr="00EA59C0">
        <w:t xml:space="preserve"> </w:t>
      </w:r>
      <w:r w:rsidRPr="00EA59C0">
        <w:t>to</w:t>
      </w:r>
      <w:r w:rsidR="00C026A6" w:rsidRPr="00EA59C0">
        <w:t xml:space="preserve"> </w:t>
      </w:r>
      <w:r w:rsidRPr="00EA59C0">
        <w:t>new</w:t>
      </w:r>
      <w:r w:rsidR="00C026A6" w:rsidRPr="00EA59C0">
        <w:t xml:space="preserve"> </w:t>
      </w:r>
      <w:r w:rsidRPr="00EA59C0">
        <w:t>challenges</w:t>
      </w:r>
      <w:r w:rsidR="00C026A6" w:rsidRPr="00EA59C0">
        <w:t xml:space="preserve"> </w:t>
      </w:r>
      <w:r w:rsidRPr="00EA59C0">
        <w:t>only</w:t>
      </w:r>
      <w:r w:rsidR="00C026A6" w:rsidRPr="00EA59C0">
        <w:t xml:space="preserve"> </w:t>
      </w:r>
      <w:r w:rsidRPr="00EA59C0">
        <w:t>when</w:t>
      </w:r>
      <w:r w:rsidR="00C026A6" w:rsidRPr="00EA59C0">
        <w:t xml:space="preserve"> </w:t>
      </w:r>
      <w:r w:rsidRPr="00EA59C0">
        <w:t>they</w:t>
      </w:r>
      <w:r w:rsidR="00C026A6" w:rsidRPr="00EA59C0">
        <w:t xml:space="preserve"> </w:t>
      </w:r>
      <w:r w:rsidRPr="00EA59C0">
        <w:t>have</w:t>
      </w:r>
      <w:r w:rsidR="00C026A6" w:rsidRPr="00EA59C0">
        <w:t xml:space="preserve"> </w:t>
      </w:r>
      <w:r w:rsidRPr="00EA59C0">
        <w:t>demonstrated</w:t>
      </w:r>
      <w:r w:rsidR="00C026A6" w:rsidRPr="00EA59C0">
        <w:t xml:space="preserve"> </w:t>
      </w:r>
      <w:r w:rsidRPr="00EA59C0">
        <w:t>mastery</w:t>
      </w:r>
      <w:r w:rsidR="00C026A6" w:rsidRPr="00EA59C0">
        <w:t xml:space="preserve"> </w:t>
      </w:r>
      <w:r w:rsidRPr="00EA59C0">
        <w:t>of</w:t>
      </w:r>
      <w:r w:rsidR="00C026A6" w:rsidRPr="00EA59C0">
        <w:t xml:space="preserve"> </w:t>
      </w:r>
      <w:r w:rsidRPr="00EA59C0">
        <w:t>needed</w:t>
      </w:r>
      <w:r w:rsidR="00C026A6" w:rsidRPr="00EA59C0">
        <w:t xml:space="preserve"> </w:t>
      </w:r>
      <w:r w:rsidRPr="00EA59C0">
        <w:t>skills,</w:t>
      </w:r>
      <w:r w:rsidR="00C026A6" w:rsidRPr="00EA59C0">
        <w:t xml:space="preserve"> </w:t>
      </w:r>
      <w:r w:rsidRPr="00EA59C0">
        <w:t>and</w:t>
      </w:r>
      <w:r w:rsidR="00C026A6" w:rsidRPr="00EA59C0">
        <w:t xml:space="preserve"> </w:t>
      </w:r>
      <w:r w:rsidRPr="00EA59C0">
        <w:t>they</w:t>
      </w:r>
      <w:r w:rsidR="00C026A6" w:rsidRPr="00EA59C0">
        <w:t xml:space="preserve"> </w:t>
      </w:r>
      <w:r w:rsidRPr="00EA59C0">
        <w:t>can</w:t>
      </w:r>
      <w:r w:rsidR="00C026A6" w:rsidRPr="00EA59C0">
        <w:t xml:space="preserve"> </w:t>
      </w:r>
      <w:r w:rsidRPr="00EA59C0">
        <w:t>ensure</w:t>
      </w:r>
      <w:r w:rsidR="00C026A6" w:rsidRPr="00EA59C0">
        <w:t xml:space="preserve"> </w:t>
      </w:r>
      <w:r w:rsidRPr="00EA59C0">
        <w:t>retention</w:t>
      </w:r>
      <w:r w:rsidR="00C026A6" w:rsidRPr="00EA59C0">
        <w:t xml:space="preserve"> </w:t>
      </w:r>
      <w:r w:rsidRPr="00EA59C0">
        <w:t>by</w:t>
      </w:r>
      <w:r w:rsidR="00C026A6" w:rsidRPr="00EA59C0">
        <w:t xml:space="preserve"> </w:t>
      </w:r>
      <w:r w:rsidRPr="00EA59C0">
        <w:t>presenting</w:t>
      </w:r>
      <w:r w:rsidR="00C026A6" w:rsidRPr="00EA59C0">
        <w:t xml:space="preserve"> </w:t>
      </w:r>
      <w:r w:rsidRPr="00EA59C0">
        <w:t>challenges</w:t>
      </w:r>
      <w:r w:rsidR="00C026A6" w:rsidRPr="00EA59C0">
        <w:t xml:space="preserve"> </w:t>
      </w:r>
      <w:r w:rsidRPr="00EA59C0">
        <w:t>that</w:t>
      </w:r>
      <w:r w:rsidR="00C026A6" w:rsidRPr="00EA59C0">
        <w:t xml:space="preserve"> </w:t>
      </w:r>
      <w:r w:rsidRPr="00EA59C0">
        <w:t>exercise</w:t>
      </w:r>
      <w:r w:rsidR="00C026A6" w:rsidRPr="00EA59C0">
        <w:t xml:space="preserve"> </w:t>
      </w:r>
      <w:r w:rsidRPr="00EA59C0">
        <w:t>existing</w:t>
      </w:r>
      <w:r w:rsidR="00C026A6" w:rsidRPr="00EA59C0">
        <w:t xml:space="preserve"> </w:t>
      </w:r>
      <w:r w:rsidRPr="00EA59C0">
        <w:t>skills</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demonstrating</w:t>
      </w:r>
      <w:r w:rsidR="00C026A6" w:rsidRPr="00EA59C0">
        <w:t xml:space="preserve"> </w:t>
      </w:r>
      <w:r w:rsidRPr="00EA59C0">
        <w:t>new</w:t>
      </w:r>
      <w:r w:rsidR="00C026A6" w:rsidRPr="00EA59C0">
        <w:t xml:space="preserve"> </w:t>
      </w:r>
      <w:r w:rsidRPr="00EA59C0">
        <w:t>ones.</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encourages</w:t>
      </w:r>
      <w:r w:rsidR="00C026A6" w:rsidRPr="00EA59C0">
        <w:t xml:space="preserve"> </w:t>
      </w:r>
      <w:r w:rsidRPr="00EA59C0">
        <w:t>applicants</w:t>
      </w:r>
      <w:r w:rsidR="00C026A6" w:rsidRPr="00EA59C0">
        <w:t xml:space="preserve"> </w:t>
      </w:r>
      <w:r w:rsidRPr="00EA59C0">
        <w:t>to</w:t>
      </w:r>
      <w:r w:rsidR="00C026A6" w:rsidRPr="00EA59C0">
        <w:t xml:space="preserve"> </w:t>
      </w:r>
      <w:r w:rsidRPr="00EA59C0">
        <w:t>work</w:t>
      </w:r>
      <w:r w:rsidR="00C026A6" w:rsidRPr="00EA59C0">
        <w:t xml:space="preserve"> </w:t>
      </w:r>
      <w:r w:rsidRPr="00EA59C0">
        <w:t>with</w:t>
      </w:r>
      <w:r w:rsidR="00C026A6" w:rsidRPr="00EA59C0">
        <w:t xml:space="preserve"> </w:t>
      </w:r>
      <w:r w:rsidRPr="00EA59C0">
        <w:t>employer</w:t>
      </w:r>
      <w:r w:rsidR="005861EF" w:rsidRPr="00EA59C0">
        <w:t>s</w:t>
      </w:r>
      <w:r w:rsidR="00C026A6" w:rsidRPr="00EA59C0">
        <w:t xml:space="preserve"> </w:t>
      </w:r>
      <w:r w:rsidR="000D23AC" w:rsidRPr="00EA59C0">
        <w:t>and</w:t>
      </w:r>
      <w:r w:rsidR="00C026A6" w:rsidRPr="00EA59C0">
        <w:t xml:space="preserve"> </w:t>
      </w:r>
      <w:r w:rsidR="000D23AC" w:rsidRPr="00EA59C0">
        <w:t>industry</w:t>
      </w:r>
      <w:r w:rsidR="00C026A6" w:rsidRPr="00EA59C0">
        <w:t xml:space="preserve"> </w:t>
      </w:r>
      <w:r w:rsidRPr="00EA59C0">
        <w:t>to</w:t>
      </w:r>
      <w:r w:rsidR="00C026A6" w:rsidRPr="00EA59C0">
        <w:t xml:space="preserve"> </w:t>
      </w:r>
      <w:r w:rsidRPr="00EA59C0">
        <w:t>develop</w:t>
      </w:r>
      <w:r w:rsidR="00C026A6" w:rsidRPr="00EA59C0">
        <w:t xml:space="preserve"> </w:t>
      </w:r>
      <w:r w:rsidRPr="00EA59C0">
        <w:t>assessments</w:t>
      </w:r>
      <w:r w:rsidR="00C026A6" w:rsidRPr="00EA59C0">
        <w:t xml:space="preserve"> </w:t>
      </w:r>
      <w:r w:rsidRPr="00EA59C0">
        <w:t>that</w:t>
      </w:r>
      <w:r w:rsidR="00C026A6" w:rsidRPr="00EA59C0">
        <w:t xml:space="preserve"> </w:t>
      </w:r>
      <w:r w:rsidRPr="00EA59C0">
        <w:t>can</w:t>
      </w:r>
      <w:r w:rsidR="00C026A6" w:rsidRPr="00EA59C0">
        <w:t xml:space="preserve"> </w:t>
      </w:r>
      <w:r w:rsidRPr="00EA59C0">
        <w:t>significantly</w:t>
      </w:r>
      <w:r w:rsidR="00C026A6" w:rsidRPr="00EA59C0">
        <w:t xml:space="preserve"> </w:t>
      </w:r>
      <w:r w:rsidRPr="00EA59C0">
        <w:t>strengthen</w:t>
      </w:r>
      <w:r w:rsidR="00C026A6" w:rsidRPr="00EA59C0">
        <w:t xml:space="preserve"> </w:t>
      </w:r>
      <w:r w:rsidRPr="00EA59C0">
        <w:t>the</w:t>
      </w:r>
      <w:r w:rsidR="00C026A6" w:rsidRPr="00EA59C0">
        <w:t xml:space="preserve"> </w:t>
      </w:r>
      <w:r w:rsidRPr="00EA59C0">
        <w:t>reliability</w:t>
      </w:r>
      <w:r w:rsidR="00C026A6" w:rsidRPr="00EA59C0">
        <w:t xml:space="preserve"> </w:t>
      </w:r>
      <w:r w:rsidRPr="00EA59C0">
        <w:t>of</w:t>
      </w:r>
      <w:r w:rsidR="00C026A6" w:rsidRPr="00EA59C0">
        <w:t xml:space="preserve"> </w:t>
      </w:r>
      <w:r w:rsidRPr="00EA59C0">
        <w:t>student</w:t>
      </w:r>
      <w:r w:rsidR="00C026A6" w:rsidRPr="00EA59C0">
        <w:t xml:space="preserve"> </w:t>
      </w:r>
      <w:r w:rsidRPr="00EA59C0">
        <w:t>learning</w:t>
      </w:r>
      <w:r w:rsidR="00C026A6" w:rsidRPr="00EA59C0">
        <w:t xml:space="preserve"> </w:t>
      </w:r>
      <w:r w:rsidRPr="00EA59C0">
        <w:t>outcome</w:t>
      </w:r>
      <w:r w:rsidR="00C026A6" w:rsidRPr="00EA59C0">
        <w:t xml:space="preserve"> </w:t>
      </w:r>
      <w:r w:rsidRPr="00EA59C0">
        <w:t>measures</w:t>
      </w:r>
      <w:r w:rsidR="00C026A6" w:rsidRPr="00EA59C0">
        <w:t xml:space="preserve"> </w:t>
      </w:r>
      <w:r w:rsidRPr="00EA59C0">
        <w:t>that</w:t>
      </w:r>
      <w:r w:rsidR="00C026A6" w:rsidRPr="00EA59C0">
        <w:t xml:space="preserve"> </w:t>
      </w:r>
      <w:r w:rsidRPr="00EA59C0">
        <w:t>are</w:t>
      </w:r>
      <w:r w:rsidR="00C026A6" w:rsidRPr="00EA59C0">
        <w:t xml:space="preserve"> </w:t>
      </w:r>
      <w:r w:rsidRPr="00EA59C0">
        <w:t>important</w:t>
      </w:r>
      <w:r w:rsidR="00C026A6" w:rsidRPr="00EA59C0">
        <w:t xml:space="preserve"> </w:t>
      </w:r>
      <w:r w:rsidRPr="00EA59C0">
        <w:t>to</w:t>
      </w:r>
      <w:r w:rsidR="00C026A6" w:rsidRPr="00EA59C0">
        <w:t xml:space="preserve"> </w:t>
      </w:r>
      <w:r w:rsidRPr="00EA59C0">
        <w:t>employers.</w:t>
      </w:r>
      <w:r w:rsidR="00C026A6" w:rsidRPr="00EA59C0">
        <w:t xml:space="preserve">  </w:t>
      </w:r>
      <w:r w:rsidRPr="00EA59C0">
        <w:t>Applicants</w:t>
      </w:r>
      <w:r w:rsidR="00C026A6" w:rsidRPr="00EA59C0">
        <w:t xml:space="preserve"> </w:t>
      </w:r>
      <w:r w:rsidRPr="00EA59C0">
        <w:t>are</w:t>
      </w:r>
      <w:r w:rsidR="00C026A6" w:rsidRPr="00EA59C0">
        <w:t xml:space="preserve"> </w:t>
      </w:r>
      <w:r w:rsidRPr="00EA59C0">
        <w:t>also</w:t>
      </w:r>
      <w:r w:rsidR="00C026A6" w:rsidRPr="00EA59C0">
        <w:t xml:space="preserve"> </w:t>
      </w:r>
      <w:r w:rsidRPr="00EA59C0">
        <w:t>encouraged</w:t>
      </w:r>
      <w:r w:rsidR="00C026A6" w:rsidRPr="00EA59C0">
        <w:t xml:space="preserve"> </w:t>
      </w:r>
      <w:r w:rsidRPr="00EA59C0">
        <w:t>to</w:t>
      </w:r>
      <w:r w:rsidR="00C026A6" w:rsidRPr="00EA59C0">
        <w:t xml:space="preserve"> </w:t>
      </w:r>
      <w:r w:rsidRPr="00EA59C0">
        <w:t>leverage</w:t>
      </w:r>
      <w:r w:rsidR="00C026A6" w:rsidRPr="00EA59C0">
        <w:t xml:space="preserve"> </w:t>
      </w:r>
      <w:r w:rsidRPr="00EA59C0">
        <w:t>existing</w:t>
      </w:r>
      <w:r w:rsidR="00C026A6" w:rsidRPr="00EA59C0">
        <w:t xml:space="preserve"> </w:t>
      </w:r>
      <w:r w:rsidRPr="00EA59C0">
        <w:t>high</w:t>
      </w:r>
      <w:r w:rsidR="00C026A6" w:rsidRPr="00EA59C0">
        <w:t xml:space="preserve"> </w:t>
      </w:r>
      <w:r w:rsidRPr="00EA59C0">
        <w:t>quality,</w:t>
      </w:r>
      <w:r w:rsidR="00C026A6" w:rsidRPr="00EA59C0">
        <w:t xml:space="preserve"> </w:t>
      </w:r>
      <w:r w:rsidRPr="00EA59C0">
        <w:t>industry-based</w:t>
      </w:r>
      <w:r w:rsidR="00C026A6" w:rsidRPr="00EA59C0">
        <w:t xml:space="preserve"> </w:t>
      </w:r>
      <w:r w:rsidRPr="00EA59C0">
        <w:t>assessments</w:t>
      </w:r>
      <w:r w:rsidR="00C026A6" w:rsidRPr="00EA59C0">
        <w:t xml:space="preserve"> </w:t>
      </w:r>
      <w:r w:rsidRPr="00EA59C0">
        <w:t>linked</w:t>
      </w:r>
      <w:r w:rsidR="00C026A6" w:rsidRPr="00EA59C0">
        <w:t xml:space="preserve"> </w:t>
      </w:r>
      <w:r w:rsidRPr="00EA59C0">
        <w:t>to</w:t>
      </w:r>
      <w:r w:rsidR="00C026A6" w:rsidRPr="00EA59C0">
        <w:t xml:space="preserve"> </w:t>
      </w:r>
      <w:r w:rsidRPr="00EA59C0">
        <w:t>certifications</w:t>
      </w:r>
      <w:r w:rsidR="00C026A6" w:rsidRPr="00EA59C0">
        <w:t xml:space="preserve"> </w:t>
      </w:r>
      <w:r w:rsidRPr="00EA59C0">
        <w:t>and</w:t>
      </w:r>
      <w:r w:rsidR="00C026A6" w:rsidRPr="00EA59C0">
        <w:t xml:space="preserve"> </w:t>
      </w:r>
      <w:r w:rsidRPr="00EA59C0">
        <w:t>certificates.</w:t>
      </w:r>
      <w:r w:rsidR="00C026A6" w:rsidRPr="00EA59C0">
        <w:t xml:space="preserve">  </w:t>
      </w:r>
    </w:p>
    <w:p w:rsidR="00764B13" w:rsidRPr="00EA59C0" w:rsidRDefault="00764B13" w:rsidP="00E34EEF">
      <w:pPr>
        <w:pStyle w:val="ListParagraph"/>
        <w:ind w:left="1080"/>
      </w:pPr>
    </w:p>
    <w:p w:rsidR="00F140D4" w:rsidRPr="00EA59C0" w:rsidRDefault="00F140D4" w:rsidP="00E34EEF">
      <w:pPr>
        <w:pStyle w:val="ListParagraph"/>
        <w:ind w:left="1080"/>
      </w:pPr>
      <w:r w:rsidRPr="00EA59C0">
        <w:t>Capturing</w:t>
      </w:r>
      <w:r w:rsidR="00C026A6" w:rsidRPr="00EA59C0">
        <w:t xml:space="preserve"> </w:t>
      </w:r>
      <w:r w:rsidRPr="00EA59C0">
        <w:t>the</w:t>
      </w:r>
      <w:r w:rsidR="00C026A6" w:rsidRPr="00EA59C0">
        <w:t xml:space="preserve"> </w:t>
      </w:r>
      <w:r w:rsidRPr="00EA59C0">
        <w:t>opportunities</w:t>
      </w:r>
      <w:r w:rsidR="00C026A6" w:rsidRPr="00EA59C0">
        <w:t xml:space="preserve"> </w:t>
      </w:r>
      <w:r w:rsidRPr="00EA59C0">
        <w:t>presented</w:t>
      </w:r>
      <w:r w:rsidR="00C026A6" w:rsidRPr="00EA59C0">
        <w:t xml:space="preserve"> </w:t>
      </w:r>
      <w:r w:rsidRPr="00EA59C0">
        <w:t>by</w:t>
      </w:r>
      <w:r w:rsidR="00C026A6" w:rsidRPr="00EA59C0">
        <w:t xml:space="preserve"> </w:t>
      </w:r>
      <w:r w:rsidRPr="00EA59C0">
        <w:t>online</w:t>
      </w:r>
      <w:r w:rsidR="00C026A6" w:rsidRPr="00EA59C0">
        <w:t xml:space="preserve"> </w:t>
      </w:r>
      <w:r w:rsidRPr="00EA59C0">
        <w:t>and</w:t>
      </w:r>
      <w:r w:rsidR="00C026A6" w:rsidRPr="00EA59C0">
        <w:t xml:space="preserve"> </w:t>
      </w:r>
      <w:r w:rsidRPr="00EA59C0">
        <w:t>technology-enabled</w:t>
      </w:r>
      <w:r w:rsidR="00C026A6" w:rsidRPr="00EA59C0">
        <w:t xml:space="preserve"> </w:t>
      </w:r>
      <w:r w:rsidRPr="00EA59C0">
        <w:t>learning</w:t>
      </w:r>
      <w:r w:rsidR="00C026A6" w:rsidRPr="00EA59C0">
        <w:t xml:space="preserve"> </w:t>
      </w:r>
      <w:r w:rsidRPr="00EA59C0">
        <w:t>strategies</w:t>
      </w:r>
      <w:r w:rsidR="00C026A6" w:rsidRPr="00EA59C0">
        <w:t xml:space="preserve"> </w:t>
      </w:r>
      <w:r w:rsidRPr="00EA59C0">
        <w:t>requires</w:t>
      </w:r>
      <w:r w:rsidR="00C026A6" w:rsidRPr="00EA59C0">
        <w:t xml:space="preserve"> </w:t>
      </w:r>
      <w:r w:rsidRPr="00EA59C0">
        <w:t>innovation</w:t>
      </w:r>
      <w:r w:rsidR="00C026A6" w:rsidRPr="00EA59C0">
        <w:t xml:space="preserve"> </w:t>
      </w:r>
      <w:r w:rsidRPr="00EA59C0">
        <w:t>in</w:t>
      </w:r>
      <w:r w:rsidR="00C026A6" w:rsidRPr="00EA59C0">
        <w:t xml:space="preserve"> </w:t>
      </w:r>
      <w:r w:rsidRPr="00EA59C0">
        <w:t>the</w:t>
      </w:r>
      <w:r w:rsidR="00C026A6" w:rsidRPr="00EA59C0">
        <w:t xml:space="preserve"> </w:t>
      </w:r>
      <w:r w:rsidRPr="00EA59C0">
        <w:t>way</w:t>
      </w:r>
      <w:r w:rsidR="00C026A6" w:rsidRPr="00EA59C0">
        <w:t xml:space="preserve"> </w:t>
      </w:r>
      <w:r w:rsidRPr="00EA59C0">
        <w:t>courses</w:t>
      </w:r>
      <w:r w:rsidR="00C026A6" w:rsidRPr="00EA59C0">
        <w:t xml:space="preserve"> </w:t>
      </w:r>
      <w:r w:rsidRPr="00EA59C0">
        <w:t>are</w:t>
      </w:r>
      <w:r w:rsidR="00C026A6" w:rsidRPr="00EA59C0">
        <w:t xml:space="preserve"> </w:t>
      </w:r>
      <w:r w:rsidRPr="00EA59C0">
        <w:t>designed</w:t>
      </w:r>
      <w:r w:rsidR="00C026A6" w:rsidRPr="00EA59C0">
        <w:t xml:space="preserve"> </w:t>
      </w:r>
      <w:r w:rsidRPr="00EA59C0">
        <w:t>and</w:t>
      </w:r>
      <w:r w:rsidR="00C026A6" w:rsidRPr="00EA59C0">
        <w:t xml:space="preserve"> </w:t>
      </w:r>
      <w:r w:rsidRPr="00EA59C0">
        <w:t>in</w:t>
      </w:r>
      <w:r w:rsidR="00C026A6" w:rsidRPr="00EA59C0">
        <w:t xml:space="preserve"> </w:t>
      </w:r>
      <w:r w:rsidRPr="00EA59C0">
        <w:t>the</w:t>
      </w:r>
      <w:r w:rsidR="00C026A6" w:rsidRPr="00EA59C0">
        <w:t xml:space="preserve"> </w:t>
      </w:r>
      <w:r w:rsidRPr="00EA59C0">
        <w:t>way</w:t>
      </w:r>
      <w:r w:rsidR="00C026A6" w:rsidRPr="00EA59C0">
        <w:t xml:space="preserve"> </w:t>
      </w:r>
      <w:r w:rsidRPr="00EA59C0">
        <w:t>the</w:t>
      </w:r>
      <w:r w:rsidR="00C026A6" w:rsidRPr="00EA59C0">
        <w:t xml:space="preserve"> </w:t>
      </w:r>
      <w:r w:rsidRPr="00EA59C0">
        <w:t>courses</w:t>
      </w:r>
      <w:r w:rsidR="00C026A6" w:rsidRPr="00EA59C0">
        <w:t xml:space="preserve"> </w:t>
      </w:r>
      <w:r w:rsidRPr="00EA59C0">
        <w:t>are</w:t>
      </w:r>
      <w:r w:rsidR="00C026A6" w:rsidRPr="00EA59C0">
        <w:t xml:space="preserve"> </w:t>
      </w:r>
      <w:r w:rsidRPr="00EA59C0">
        <w:t>delivered.</w:t>
      </w:r>
      <w:r w:rsidR="00C026A6" w:rsidRPr="00EA59C0">
        <w:t xml:space="preserve">  </w:t>
      </w:r>
      <w:r w:rsidRPr="00EA59C0">
        <w:t>Successful</w:t>
      </w:r>
      <w:r w:rsidR="00C026A6" w:rsidRPr="00EA59C0">
        <w:t xml:space="preserve"> </w:t>
      </w:r>
      <w:r w:rsidRPr="00EA59C0">
        <w:t>applicants</w:t>
      </w:r>
      <w:r w:rsidR="00C026A6" w:rsidRPr="00EA59C0">
        <w:t xml:space="preserve"> </w:t>
      </w:r>
      <w:r w:rsidRPr="00EA59C0">
        <w:t>could</w:t>
      </w:r>
      <w:r w:rsidR="00C026A6" w:rsidRPr="00EA59C0">
        <w:t xml:space="preserve"> </w:t>
      </w:r>
      <w:r w:rsidRPr="00EA59C0">
        <w:t>hire</w:t>
      </w:r>
      <w:r w:rsidR="00C026A6" w:rsidRPr="00EA59C0">
        <w:t xml:space="preserve"> </w:t>
      </w:r>
      <w:r w:rsidRPr="00EA59C0">
        <w:t>content</w:t>
      </w:r>
      <w:r w:rsidR="00C026A6" w:rsidRPr="00EA59C0">
        <w:t xml:space="preserve"> </w:t>
      </w:r>
      <w:r w:rsidRPr="00EA59C0">
        <w:t>experts</w:t>
      </w:r>
      <w:r w:rsidR="00C026A6" w:rsidRPr="00EA59C0">
        <w:t xml:space="preserve"> </w:t>
      </w:r>
      <w:r w:rsidRPr="00EA59C0">
        <w:t>from</w:t>
      </w:r>
      <w:r w:rsidR="00C026A6" w:rsidRPr="00EA59C0">
        <w:t xml:space="preserve"> </w:t>
      </w:r>
      <w:r w:rsidRPr="00EA59C0">
        <w:t>several</w:t>
      </w:r>
      <w:r w:rsidR="00C026A6" w:rsidRPr="00EA59C0">
        <w:t xml:space="preserve"> </w:t>
      </w:r>
      <w:r w:rsidRPr="00EA59C0">
        <w:t>different</w:t>
      </w:r>
      <w:r w:rsidR="00C026A6" w:rsidRPr="00EA59C0">
        <w:t xml:space="preserve"> </w:t>
      </w:r>
      <w:r w:rsidRPr="00EA59C0">
        <w:t>disciplines,</w:t>
      </w:r>
      <w:r w:rsidR="00C026A6" w:rsidRPr="00EA59C0">
        <w:t xml:space="preserve"> </w:t>
      </w:r>
      <w:r w:rsidRPr="00EA59C0">
        <w:t>such</w:t>
      </w:r>
      <w:r w:rsidR="00C026A6" w:rsidRPr="00EA59C0">
        <w:t xml:space="preserve"> </w:t>
      </w:r>
      <w:r w:rsidRPr="00EA59C0">
        <w:t>as</w:t>
      </w:r>
      <w:r w:rsidR="00C026A6" w:rsidRPr="00EA59C0">
        <w:t xml:space="preserve"> </w:t>
      </w:r>
      <w:r w:rsidRPr="00EA59C0">
        <w:t>subject</w:t>
      </w:r>
      <w:r w:rsidR="00C026A6" w:rsidRPr="00EA59C0">
        <w:t xml:space="preserve"> </w:t>
      </w:r>
      <w:r w:rsidRPr="00EA59C0">
        <w:t>matter,</w:t>
      </w:r>
      <w:r w:rsidR="00C026A6" w:rsidRPr="00EA59C0">
        <w:t xml:space="preserve"> </w:t>
      </w:r>
      <w:r w:rsidRPr="00EA59C0">
        <w:t>pedagogy,</w:t>
      </w:r>
      <w:r w:rsidR="00C026A6" w:rsidRPr="00EA59C0">
        <w:t xml:space="preserve"> </w:t>
      </w:r>
      <w:r w:rsidRPr="00EA59C0">
        <w:t>software</w:t>
      </w:r>
      <w:r w:rsidR="00C026A6" w:rsidRPr="00EA59C0">
        <w:t xml:space="preserve"> </w:t>
      </w:r>
      <w:r w:rsidRPr="00EA59C0">
        <w:t>design,</w:t>
      </w:r>
      <w:r w:rsidR="00C026A6" w:rsidRPr="00EA59C0">
        <w:t xml:space="preserve"> </w:t>
      </w:r>
      <w:r w:rsidRPr="00EA59C0">
        <w:t>and</w:t>
      </w:r>
      <w:r w:rsidR="00C026A6" w:rsidRPr="00EA59C0">
        <w:t xml:space="preserve"> </w:t>
      </w:r>
      <w:r w:rsidRPr="00EA59C0">
        <w:t>data</w:t>
      </w:r>
      <w:r w:rsidR="00C026A6" w:rsidRPr="00EA59C0">
        <w:t xml:space="preserve"> </w:t>
      </w:r>
      <w:r w:rsidRPr="00EA59C0">
        <w:t>management.</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recognizes</w:t>
      </w:r>
      <w:r w:rsidR="00C026A6" w:rsidRPr="00EA59C0">
        <w:t xml:space="preserve"> </w:t>
      </w:r>
      <w:r w:rsidRPr="00EA59C0">
        <w:t>that</w:t>
      </w:r>
      <w:r w:rsidR="00C026A6" w:rsidRPr="00EA59C0">
        <w:t xml:space="preserve"> </w:t>
      </w:r>
      <w:r w:rsidRPr="00EA59C0">
        <w:t>applicants</w:t>
      </w:r>
      <w:r w:rsidR="00C026A6" w:rsidRPr="00EA59C0">
        <w:t xml:space="preserve"> </w:t>
      </w:r>
      <w:r w:rsidRPr="00EA59C0">
        <w:t>may</w:t>
      </w:r>
      <w:r w:rsidR="00C026A6" w:rsidRPr="00EA59C0">
        <w:t xml:space="preserve"> </w:t>
      </w:r>
      <w:r w:rsidRPr="00EA59C0">
        <w:t>need</w:t>
      </w:r>
      <w:r w:rsidR="00C026A6" w:rsidRPr="00EA59C0">
        <w:t xml:space="preserve"> </w:t>
      </w:r>
      <w:r w:rsidRPr="00EA59C0">
        <w:t>to</w:t>
      </w:r>
      <w:r w:rsidR="00C026A6" w:rsidRPr="00EA59C0">
        <w:t xml:space="preserve"> </w:t>
      </w:r>
      <w:r w:rsidRPr="00EA59C0">
        <w:t>contract</w:t>
      </w:r>
      <w:r w:rsidR="00C026A6" w:rsidRPr="00EA59C0">
        <w:t xml:space="preserve"> </w:t>
      </w:r>
      <w:r w:rsidRPr="00EA59C0">
        <w:t>with</w:t>
      </w:r>
      <w:r w:rsidR="00C026A6" w:rsidRPr="00EA59C0">
        <w:t xml:space="preserve"> </w:t>
      </w:r>
      <w:r w:rsidRPr="00EA59C0">
        <w:t>other</w:t>
      </w:r>
      <w:r w:rsidR="00C026A6" w:rsidRPr="00EA59C0">
        <w:t xml:space="preserve"> </w:t>
      </w:r>
      <w:r w:rsidRPr="00EA59C0">
        <w:t>consortia,</w:t>
      </w:r>
      <w:r w:rsidR="00C026A6" w:rsidRPr="00EA59C0">
        <w:t xml:space="preserve"> </w:t>
      </w:r>
      <w:r w:rsidRPr="00EA59C0">
        <w:t>technology</w:t>
      </w:r>
      <w:r w:rsidR="00C026A6" w:rsidRPr="00EA59C0">
        <w:t xml:space="preserve"> </w:t>
      </w:r>
      <w:r w:rsidRPr="00EA59C0">
        <w:t>companies,</w:t>
      </w:r>
      <w:r w:rsidR="00C026A6" w:rsidRPr="00EA59C0">
        <w:t xml:space="preserve"> </w:t>
      </w:r>
      <w:r w:rsidRPr="00EA59C0">
        <w:t>learning</w:t>
      </w:r>
      <w:r w:rsidR="00C026A6" w:rsidRPr="00EA59C0">
        <w:t xml:space="preserve"> </w:t>
      </w:r>
      <w:r w:rsidRPr="00EA59C0">
        <w:t>scientists</w:t>
      </w:r>
      <w:r w:rsidR="00C026A6" w:rsidRPr="00EA59C0">
        <w:t xml:space="preserve"> </w:t>
      </w:r>
      <w:r w:rsidRPr="00EA59C0">
        <w:t>and</w:t>
      </w:r>
      <w:r w:rsidR="00C026A6" w:rsidRPr="00EA59C0">
        <w:t xml:space="preserve"> </w:t>
      </w:r>
      <w:r w:rsidRPr="00EA59C0">
        <w:t>other</w:t>
      </w:r>
      <w:r w:rsidR="00C026A6" w:rsidRPr="00EA59C0">
        <w:t xml:space="preserve"> </w:t>
      </w:r>
      <w:r w:rsidRPr="00EA59C0">
        <w:t>educational</w:t>
      </w:r>
      <w:r w:rsidR="00C026A6" w:rsidRPr="00EA59C0">
        <w:t xml:space="preserve"> </w:t>
      </w:r>
      <w:r w:rsidRPr="00EA59C0">
        <w:t>research</w:t>
      </w:r>
      <w:r w:rsidR="00C026A6" w:rsidRPr="00EA59C0">
        <w:t xml:space="preserve"> </w:t>
      </w:r>
      <w:r w:rsidRPr="00EA59C0">
        <w:t>professionals,</w:t>
      </w:r>
      <w:r w:rsidR="00C026A6" w:rsidRPr="00EA59C0">
        <w:t xml:space="preserve"> </w:t>
      </w:r>
      <w:r w:rsidRPr="00EA59C0">
        <w:t>and</w:t>
      </w:r>
      <w:r w:rsidR="00C026A6" w:rsidRPr="00EA59C0">
        <w:t xml:space="preserve"> </w:t>
      </w:r>
      <w:r w:rsidRPr="00EA59C0">
        <w:t>research</w:t>
      </w:r>
      <w:r w:rsidR="00C026A6" w:rsidRPr="00EA59C0">
        <w:t xml:space="preserve"> </w:t>
      </w:r>
      <w:r w:rsidRPr="00EA59C0">
        <w:t>universities,</w:t>
      </w:r>
      <w:r w:rsidR="00C026A6" w:rsidRPr="00EA59C0">
        <w:t xml:space="preserve"> </w:t>
      </w:r>
      <w:r w:rsidRPr="00EA59C0">
        <w:t>as</w:t>
      </w:r>
      <w:r w:rsidR="00C026A6" w:rsidRPr="00EA59C0">
        <w:t xml:space="preserve"> </w:t>
      </w:r>
      <w:r w:rsidRPr="00EA59C0">
        <w:t>necessary</w:t>
      </w:r>
      <w:r w:rsidR="00822E17" w:rsidRPr="00EA59C0">
        <w:t>.</w:t>
      </w:r>
      <w:r w:rsidR="00C026A6" w:rsidRPr="00EA59C0">
        <w:t xml:space="preserve">  </w:t>
      </w:r>
      <w:r w:rsidRPr="00EA59C0">
        <w:t>In</w:t>
      </w:r>
      <w:r w:rsidR="00C026A6" w:rsidRPr="00EA59C0">
        <w:t xml:space="preserve"> </w:t>
      </w:r>
      <w:r w:rsidRPr="00EA59C0">
        <w:t>addition</w:t>
      </w:r>
      <w:r w:rsidR="00C026A6" w:rsidRPr="00EA59C0">
        <w:t xml:space="preserve"> </w:t>
      </w:r>
      <w:r w:rsidRPr="00EA59C0">
        <w:t>to</w:t>
      </w:r>
      <w:r w:rsidR="00C026A6" w:rsidRPr="00EA59C0">
        <w:t xml:space="preserve"> </w:t>
      </w:r>
      <w:r w:rsidRPr="00EA59C0">
        <w:t>developing</w:t>
      </w:r>
      <w:r w:rsidR="00C026A6" w:rsidRPr="00EA59C0">
        <w:t xml:space="preserve"> </w:t>
      </w:r>
      <w:r w:rsidRPr="00EA59C0">
        <w:t>courses</w:t>
      </w:r>
      <w:r w:rsidR="00C026A6" w:rsidRPr="00EA59C0">
        <w:t xml:space="preserve"> </w:t>
      </w:r>
      <w:r w:rsidRPr="00EA59C0">
        <w:t>and/or</w:t>
      </w:r>
      <w:r w:rsidR="00C026A6" w:rsidRPr="00EA59C0">
        <w:t xml:space="preserve"> </w:t>
      </w:r>
      <w:r w:rsidRPr="00EA59C0">
        <w:t>programs,</w:t>
      </w:r>
      <w:r w:rsidR="00C026A6" w:rsidRPr="00EA59C0">
        <w:t xml:space="preserve"> </w:t>
      </w:r>
      <w:r w:rsidRPr="00EA59C0">
        <w:t>applicants</w:t>
      </w:r>
      <w:r w:rsidR="00C026A6" w:rsidRPr="00EA59C0">
        <w:t xml:space="preserve"> </w:t>
      </w:r>
      <w:r w:rsidRPr="00EA59C0">
        <w:t>may</w:t>
      </w:r>
      <w:r w:rsidR="00C026A6" w:rsidRPr="00EA59C0">
        <w:t xml:space="preserve"> </w:t>
      </w:r>
      <w:r w:rsidRPr="00EA59C0">
        <w:t>propose</w:t>
      </w:r>
      <w:r w:rsidR="00C026A6" w:rsidRPr="00EA59C0">
        <w:t xml:space="preserve"> </w:t>
      </w:r>
      <w:r w:rsidRPr="00EA59C0">
        <w:t>technology-based</w:t>
      </w:r>
      <w:r w:rsidR="00C026A6" w:rsidRPr="00EA59C0">
        <w:t xml:space="preserve"> </w:t>
      </w:r>
      <w:r w:rsidRPr="00EA59C0">
        <w:t>infrastructure</w:t>
      </w:r>
      <w:r w:rsidR="00C026A6" w:rsidRPr="00EA59C0">
        <w:t xml:space="preserve"> </w:t>
      </w:r>
      <w:r w:rsidRPr="00EA59C0">
        <w:t>projects</w:t>
      </w:r>
      <w:r w:rsidR="00C026A6" w:rsidRPr="00EA59C0">
        <w:t xml:space="preserve"> </w:t>
      </w:r>
      <w:r w:rsidRPr="00EA59C0">
        <w:t>that</w:t>
      </w:r>
      <w:r w:rsidR="00C026A6" w:rsidRPr="00EA59C0">
        <w:t xml:space="preserve"> </w:t>
      </w:r>
      <w:r w:rsidRPr="00EA59C0">
        <w:t>aid</w:t>
      </w:r>
      <w:r w:rsidR="00C026A6" w:rsidRPr="00EA59C0">
        <w:t xml:space="preserve"> </w:t>
      </w:r>
      <w:r w:rsidRPr="00EA59C0">
        <w:t>the</w:t>
      </w:r>
      <w:r w:rsidR="00C026A6" w:rsidRPr="00EA59C0">
        <w:t xml:space="preserve"> </w:t>
      </w:r>
      <w:r w:rsidRPr="00EA59C0">
        <w:t>delivery</w:t>
      </w:r>
      <w:r w:rsidR="00C026A6" w:rsidRPr="00EA59C0">
        <w:t xml:space="preserve"> </w:t>
      </w:r>
      <w:r w:rsidRPr="00EA59C0">
        <w:t>of</w:t>
      </w:r>
      <w:r w:rsidR="00C026A6" w:rsidRPr="00EA59C0">
        <w:t xml:space="preserve"> </w:t>
      </w:r>
      <w:r w:rsidRPr="00EA59C0">
        <w:t>courses</w:t>
      </w:r>
      <w:r w:rsidR="00C026A6" w:rsidRPr="00EA59C0">
        <w:t xml:space="preserve"> </w:t>
      </w:r>
      <w:r w:rsidRPr="00EA59C0">
        <w:t>and</w:t>
      </w:r>
      <w:r w:rsidR="00C026A6" w:rsidRPr="00EA59C0">
        <w:t xml:space="preserve"> </w:t>
      </w:r>
      <w:r w:rsidRPr="00EA59C0">
        <w:t>programs</w:t>
      </w:r>
      <w:r w:rsidR="00C026A6" w:rsidRPr="00EA59C0">
        <w:t xml:space="preserve"> </w:t>
      </w:r>
      <w:r w:rsidRPr="00EA59C0">
        <w:t>and/or</w:t>
      </w:r>
      <w:r w:rsidR="00C026A6" w:rsidRPr="00EA59C0">
        <w:t xml:space="preserve"> </w:t>
      </w:r>
      <w:r w:rsidRPr="00EA59C0">
        <w:t>improve</w:t>
      </w:r>
      <w:r w:rsidR="00C026A6" w:rsidRPr="00EA59C0">
        <w:t xml:space="preserve"> </w:t>
      </w:r>
      <w:r w:rsidRPr="00EA59C0">
        <w:t>the</w:t>
      </w:r>
      <w:r w:rsidR="00C026A6" w:rsidRPr="00EA59C0">
        <w:t xml:space="preserve"> </w:t>
      </w:r>
      <w:r w:rsidRPr="00EA59C0">
        <w:t>effectiveness</w:t>
      </w:r>
      <w:r w:rsidR="00C026A6" w:rsidRPr="00EA59C0">
        <w:t xml:space="preserve"> </w:t>
      </w:r>
      <w:r w:rsidRPr="00EA59C0">
        <w:t>of</w:t>
      </w:r>
      <w:r w:rsidR="00C026A6" w:rsidRPr="00EA59C0">
        <w:t xml:space="preserve"> </w:t>
      </w:r>
      <w:r w:rsidRPr="00EA59C0">
        <w:t>the</w:t>
      </w:r>
      <w:r w:rsidR="00C026A6" w:rsidRPr="00EA59C0">
        <w:t xml:space="preserve"> </w:t>
      </w:r>
      <w:r w:rsidRPr="00EA59C0">
        <w:t>instruction</w:t>
      </w:r>
      <w:r w:rsidR="00C026A6" w:rsidRPr="00EA59C0">
        <w:t xml:space="preserve"> </w:t>
      </w:r>
      <w:r w:rsidRPr="00EA59C0">
        <w:t>they</w:t>
      </w:r>
      <w:r w:rsidR="00C026A6" w:rsidRPr="00EA59C0">
        <w:t xml:space="preserve"> </w:t>
      </w:r>
      <w:r w:rsidRPr="00EA59C0">
        <w:t>deliver.</w:t>
      </w:r>
      <w:r w:rsidR="00C026A6" w:rsidRPr="00EA59C0">
        <w:t xml:space="preserve"> </w:t>
      </w:r>
    </w:p>
    <w:p w:rsidR="001E3FBA" w:rsidRPr="00EA59C0" w:rsidRDefault="001E3FBA" w:rsidP="00E34EEF">
      <w:pPr>
        <w:pStyle w:val="ListParagraph"/>
        <w:ind w:left="1080"/>
      </w:pPr>
    </w:p>
    <w:p w:rsidR="00840481" w:rsidRPr="00EA59C0" w:rsidRDefault="00B06B4B" w:rsidP="00E34EEF">
      <w:pPr>
        <w:pStyle w:val="ListParagraph"/>
        <w:ind w:left="1080"/>
      </w:pPr>
      <w:r w:rsidRPr="00EA59C0">
        <w:t>Resources</w:t>
      </w:r>
      <w:r w:rsidR="00C026A6" w:rsidRPr="00EA59C0">
        <w:t xml:space="preserve"> </w:t>
      </w:r>
      <w:r w:rsidRPr="00EA59C0">
        <w:t>for</w:t>
      </w:r>
      <w:r w:rsidR="00C026A6" w:rsidRPr="00EA59C0">
        <w:t xml:space="preserve"> </w:t>
      </w:r>
      <w:r w:rsidRPr="00EA59C0">
        <w:t>open-source</w:t>
      </w:r>
      <w:r w:rsidR="00C026A6" w:rsidRPr="00EA59C0">
        <w:t xml:space="preserve"> </w:t>
      </w:r>
      <w:r w:rsidRPr="00EA59C0">
        <w:t>learning</w:t>
      </w:r>
      <w:r w:rsidR="00C026A6" w:rsidRPr="00EA59C0">
        <w:t xml:space="preserve"> </w:t>
      </w:r>
      <w:r w:rsidRPr="00EA59C0">
        <w:t>platforms</w:t>
      </w:r>
      <w:r w:rsidR="00C026A6" w:rsidRPr="00EA59C0">
        <w:t xml:space="preserve"> </w:t>
      </w:r>
      <w:r w:rsidRPr="00EA59C0">
        <w:t>and</w:t>
      </w:r>
      <w:r w:rsidR="00C026A6" w:rsidRPr="00EA59C0">
        <w:t xml:space="preserve"> </w:t>
      </w:r>
      <w:r w:rsidRPr="00EA59C0">
        <w:t>tools</w:t>
      </w:r>
      <w:r w:rsidR="00C026A6" w:rsidRPr="00EA59C0">
        <w:t xml:space="preserve"> </w:t>
      </w:r>
      <w:r w:rsidRPr="00EA59C0">
        <w:t>for</w:t>
      </w:r>
      <w:r w:rsidR="00C026A6" w:rsidRPr="00EA59C0">
        <w:t xml:space="preserve"> </w:t>
      </w:r>
      <w:r w:rsidRPr="00EA59C0">
        <w:t>developing</w:t>
      </w:r>
      <w:r w:rsidR="00C026A6" w:rsidRPr="00EA59C0">
        <w:t xml:space="preserve"> </w:t>
      </w:r>
      <w:r w:rsidRPr="00EA59C0">
        <w:t>accessible</w:t>
      </w:r>
      <w:r w:rsidR="00C026A6" w:rsidRPr="00EA59C0">
        <w:t xml:space="preserve"> </w:t>
      </w:r>
      <w:r w:rsidRPr="00EA59C0">
        <w:t>online</w:t>
      </w:r>
      <w:r w:rsidR="00C026A6" w:rsidRPr="00EA59C0">
        <w:t xml:space="preserve"> </w:t>
      </w:r>
      <w:r w:rsidRPr="00EA59C0">
        <w:t>and</w:t>
      </w:r>
      <w:r w:rsidR="00C026A6" w:rsidRPr="00EA59C0">
        <w:t xml:space="preserve"> </w:t>
      </w:r>
      <w:r w:rsidRPr="00EA59C0">
        <w:t>technology-enabled</w:t>
      </w:r>
      <w:r w:rsidR="00C026A6" w:rsidRPr="00EA59C0">
        <w:t xml:space="preserve"> </w:t>
      </w:r>
      <w:r w:rsidRPr="00EA59C0">
        <w:t>learning</w:t>
      </w:r>
      <w:r w:rsidR="00C026A6" w:rsidRPr="00EA59C0">
        <w:t xml:space="preserve"> </w:t>
      </w:r>
      <w:r w:rsidRPr="00EA59C0">
        <w:t>materials</w:t>
      </w:r>
      <w:r w:rsidR="00C026A6" w:rsidRPr="00EA59C0">
        <w:t xml:space="preserve"> </w:t>
      </w:r>
      <w:r w:rsidRPr="00EA59C0">
        <w:t>can</w:t>
      </w:r>
      <w:r w:rsidR="00C026A6" w:rsidRPr="00EA59C0">
        <w:t xml:space="preserve"> </w:t>
      </w:r>
      <w:r w:rsidRPr="00EA59C0">
        <w:t>be</w:t>
      </w:r>
      <w:r w:rsidR="00C026A6" w:rsidRPr="00EA59C0">
        <w:t xml:space="preserve"> </w:t>
      </w:r>
      <w:r w:rsidRPr="00EA59C0">
        <w:t>found</w:t>
      </w:r>
      <w:r w:rsidR="00C026A6" w:rsidRPr="00EA59C0">
        <w:t xml:space="preserve"> </w:t>
      </w:r>
      <w:r w:rsidRPr="00EA59C0">
        <w:t>at</w:t>
      </w:r>
      <w:r w:rsidR="00C026A6" w:rsidRPr="00EA59C0">
        <w:t xml:space="preserve"> </w:t>
      </w:r>
      <w:hyperlink r:id="rId236" w:history="1">
        <w:r w:rsidRPr="00EA59C0">
          <w:rPr>
            <w:rStyle w:val="Hyperlink"/>
            <w:color w:val="auto"/>
          </w:rPr>
          <w:t>http://open4us.org/resources/</w:t>
        </w:r>
      </w:hyperlink>
      <w:r w:rsidRPr="00EA59C0">
        <w:t>.</w:t>
      </w:r>
      <w:r w:rsidR="00C026A6" w:rsidRPr="00EA59C0">
        <w:t xml:space="preserve">  </w:t>
      </w:r>
      <w:r w:rsidRPr="00EA59C0">
        <w:t>Appendix</w:t>
      </w:r>
      <w:r w:rsidR="00C026A6" w:rsidRPr="00EA59C0">
        <w:t xml:space="preserve"> </w:t>
      </w:r>
      <w:r w:rsidR="00113E4E" w:rsidRPr="00EA59C0">
        <w:t>D</w:t>
      </w:r>
      <w:r w:rsidR="00C026A6" w:rsidRPr="00EA59C0">
        <w:t xml:space="preserve"> </w:t>
      </w:r>
      <w:r w:rsidR="00C65032" w:rsidRPr="00EA59C0">
        <w:t>also</w:t>
      </w:r>
      <w:r w:rsidR="00C026A6" w:rsidRPr="00EA59C0">
        <w:t xml:space="preserve"> </w:t>
      </w:r>
      <w:r w:rsidRPr="00EA59C0">
        <w:t>includes</w:t>
      </w:r>
      <w:r w:rsidR="00C026A6" w:rsidRPr="00EA59C0">
        <w:t xml:space="preserve"> </w:t>
      </w:r>
      <w:r w:rsidRPr="00EA59C0">
        <w:t>more</w:t>
      </w:r>
      <w:r w:rsidR="00C026A6" w:rsidRPr="00EA59C0">
        <w:t xml:space="preserve"> </w:t>
      </w:r>
      <w:r w:rsidRPr="00EA59C0">
        <w:t>information</w:t>
      </w:r>
      <w:r w:rsidR="00C026A6" w:rsidRPr="00EA59C0">
        <w:t xml:space="preserve"> </w:t>
      </w:r>
      <w:r w:rsidRPr="00EA59C0">
        <w:t>about</w:t>
      </w:r>
      <w:r w:rsidR="00C026A6" w:rsidRPr="00EA59C0">
        <w:t xml:space="preserve"> </w:t>
      </w:r>
      <w:r w:rsidRPr="00EA59C0">
        <w:t>other</w:t>
      </w:r>
      <w:r w:rsidR="00C026A6" w:rsidRPr="00EA59C0">
        <w:t xml:space="preserve"> </w:t>
      </w:r>
      <w:r w:rsidRPr="00EA59C0">
        <w:t>OER</w:t>
      </w:r>
      <w:r w:rsidR="00C026A6" w:rsidRPr="00EA59C0">
        <w:t xml:space="preserve"> </w:t>
      </w:r>
      <w:r w:rsidRPr="00EA59C0">
        <w:t>open-source</w:t>
      </w:r>
      <w:r w:rsidR="00C026A6" w:rsidRPr="00EA59C0">
        <w:t xml:space="preserve"> </w:t>
      </w:r>
      <w:r w:rsidRPr="00EA59C0">
        <w:t>learning</w:t>
      </w:r>
      <w:r w:rsidR="00C026A6" w:rsidRPr="00EA59C0">
        <w:t xml:space="preserve"> </w:t>
      </w:r>
      <w:r w:rsidRPr="00EA59C0">
        <w:t>platforms</w:t>
      </w:r>
      <w:r w:rsidR="00C026A6" w:rsidRPr="00EA59C0">
        <w:t xml:space="preserve"> </w:t>
      </w:r>
      <w:r w:rsidRPr="00EA59C0">
        <w:t>and</w:t>
      </w:r>
      <w:r w:rsidR="00C026A6" w:rsidRPr="00EA59C0">
        <w:t xml:space="preserve"> </w:t>
      </w:r>
      <w:r w:rsidRPr="00EA59C0">
        <w:t>tools</w:t>
      </w:r>
      <w:r w:rsidR="00C026A6" w:rsidRPr="00EA59C0">
        <w:t xml:space="preserve"> </w:t>
      </w:r>
      <w:r w:rsidRPr="00EA59C0">
        <w:t>for</w:t>
      </w:r>
      <w:r w:rsidR="00C026A6" w:rsidRPr="00EA59C0">
        <w:t xml:space="preserve"> </w:t>
      </w:r>
      <w:r w:rsidRPr="00EA59C0">
        <w:t>developing</w:t>
      </w:r>
      <w:r w:rsidR="00C026A6" w:rsidRPr="00EA59C0">
        <w:t xml:space="preserve"> </w:t>
      </w:r>
      <w:r w:rsidRPr="00EA59C0">
        <w:t>online</w:t>
      </w:r>
      <w:r w:rsidR="00C026A6" w:rsidRPr="00EA59C0">
        <w:t xml:space="preserve"> </w:t>
      </w:r>
      <w:r w:rsidRPr="00EA59C0">
        <w:t>and</w:t>
      </w:r>
      <w:r w:rsidR="00C026A6" w:rsidRPr="00EA59C0">
        <w:t xml:space="preserve"> </w:t>
      </w:r>
      <w:r w:rsidRPr="00EA59C0">
        <w:t>technology-enabled</w:t>
      </w:r>
      <w:r w:rsidR="00C026A6" w:rsidRPr="00EA59C0">
        <w:t xml:space="preserve"> </w:t>
      </w:r>
      <w:r w:rsidRPr="00EA59C0">
        <w:t>learning</w:t>
      </w:r>
      <w:r w:rsidR="00C026A6" w:rsidRPr="00EA59C0">
        <w:t xml:space="preserve"> </w:t>
      </w:r>
      <w:r w:rsidRPr="00EA59C0">
        <w:t>materials,</w:t>
      </w:r>
      <w:r w:rsidR="00C026A6" w:rsidRPr="00EA59C0">
        <w:t xml:space="preserve"> </w:t>
      </w:r>
      <w:r w:rsidRPr="00EA59C0">
        <w:t>including</w:t>
      </w:r>
      <w:r w:rsidR="00C026A6" w:rsidRPr="00EA59C0">
        <w:t xml:space="preserve"> </w:t>
      </w:r>
      <w:r w:rsidRPr="00EA59C0">
        <w:t>the</w:t>
      </w:r>
      <w:r w:rsidR="00C026A6" w:rsidRPr="00EA59C0">
        <w:t xml:space="preserve"> </w:t>
      </w:r>
      <w:r w:rsidRPr="00EA59C0">
        <w:t>U.S.</w:t>
      </w:r>
      <w:r w:rsidR="00C026A6" w:rsidRPr="00EA59C0">
        <w:t xml:space="preserve"> </w:t>
      </w:r>
      <w:r w:rsidRPr="00EA59C0">
        <w:t>Department</w:t>
      </w:r>
      <w:r w:rsidR="00C026A6" w:rsidRPr="00EA59C0">
        <w:t xml:space="preserve"> </w:t>
      </w:r>
      <w:r w:rsidRPr="00EA59C0">
        <w:t>of</w:t>
      </w:r>
      <w:r w:rsidR="00C026A6" w:rsidRPr="00EA59C0">
        <w:t xml:space="preserve"> </w:t>
      </w:r>
      <w:r w:rsidRPr="00EA59C0">
        <w:t>Energy's</w:t>
      </w:r>
      <w:r w:rsidR="00C026A6" w:rsidRPr="00EA59C0">
        <w:t xml:space="preserve"> </w:t>
      </w:r>
      <w:r w:rsidRPr="00EA59C0">
        <w:t>National</w:t>
      </w:r>
      <w:r w:rsidR="00C026A6" w:rsidRPr="00EA59C0">
        <w:t xml:space="preserve"> </w:t>
      </w:r>
      <w:r w:rsidRPr="00EA59C0">
        <w:t>Training</w:t>
      </w:r>
      <w:r w:rsidR="00C026A6" w:rsidRPr="00EA59C0">
        <w:t xml:space="preserve"> </w:t>
      </w:r>
      <w:r w:rsidRPr="00EA59C0">
        <w:t>and</w:t>
      </w:r>
      <w:r w:rsidR="00C026A6" w:rsidRPr="00EA59C0">
        <w:t xml:space="preserve"> </w:t>
      </w:r>
      <w:r w:rsidRPr="00EA59C0">
        <w:t>Education</w:t>
      </w:r>
      <w:r w:rsidR="00C026A6" w:rsidRPr="00EA59C0">
        <w:t xml:space="preserve"> </w:t>
      </w:r>
      <w:r w:rsidRPr="00EA59C0">
        <w:t>Resource</w:t>
      </w:r>
      <w:r w:rsidR="00C026A6" w:rsidRPr="00EA59C0">
        <w:t xml:space="preserve"> </w:t>
      </w:r>
      <w:r w:rsidRPr="00EA59C0">
        <w:t>(NTER)</w:t>
      </w:r>
      <w:r w:rsidR="00C026A6" w:rsidRPr="00EA59C0">
        <w:t xml:space="preserve"> </w:t>
      </w:r>
      <w:r w:rsidRPr="00EA59C0">
        <w:t>(</w:t>
      </w:r>
      <w:hyperlink r:id="rId237" w:history="1">
        <w:r w:rsidRPr="00EA59C0">
          <w:rPr>
            <w:rStyle w:val="Hyperlink"/>
            <w:color w:val="auto"/>
          </w:rPr>
          <w:t>http://energy.gov/eere/education/nter</w:t>
        </w:r>
      </w:hyperlink>
      <w:r w:rsidRPr="00EA59C0">
        <w:t>).</w:t>
      </w:r>
      <w:r w:rsidR="00C026A6" w:rsidRPr="00EA59C0">
        <w:t xml:space="preserve"> </w:t>
      </w:r>
    </w:p>
    <w:p w:rsidR="00840481" w:rsidRPr="00EA59C0" w:rsidRDefault="00840481" w:rsidP="00E34EEF">
      <w:pPr>
        <w:pStyle w:val="ListParagraph"/>
        <w:ind w:left="1080"/>
      </w:pPr>
    </w:p>
    <w:p w:rsidR="00B06B4B" w:rsidRPr="00EA59C0" w:rsidRDefault="00AC4D51" w:rsidP="00E34EEF">
      <w:pPr>
        <w:pStyle w:val="ListParagraph"/>
        <w:ind w:left="1080"/>
      </w:pPr>
      <w:r w:rsidRPr="00EA59C0">
        <w:t>The</w:t>
      </w:r>
      <w:r w:rsidR="00C026A6" w:rsidRPr="00EA59C0">
        <w:t xml:space="preserve"> </w:t>
      </w:r>
      <w:r w:rsidRPr="00EA59C0">
        <w:t>Department</w:t>
      </w:r>
      <w:r w:rsidR="00C026A6" w:rsidRPr="00EA59C0">
        <w:t xml:space="preserve"> </w:t>
      </w:r>
      <w:r w:rsidRPr="00EA59C0">
        <w:t>expects</w:t>
      </w:r>
      <w:r w:rsidR="00C026A6" w:rsidRPr="00EA59C0">
        <w:t xml:space="preserve"> </w:t>
      </w:r>
      <w:r w:rsidRPr="00EA59C0">
        <w:t>to</w:t>
      </w:r>
      <w:r w:rsidR="00C026A6" w:rsidRPr="00EA59C0">
        <w:t xml:space="preserve"> </w:t>
      </w:r>
      <w:r w:rsidRPr="00EA59C0">
        <w:t>provide</w:t>
      </w:r>
      <w:r w:rsidR="00C026A6" w:rsidRPr="00EA59C0">
        <w:t xml:space="preserve"> </w:t>
      </w:r>
      <w:r w:rsidRPr="00EA59C0">
        <w:t>an</w:t>
      </w:r>
      <w:r w:rsidR="00C026A6" w:rsidRPr="00EA59C0">
        <w:t xml:space="preserve"> </w:t>
      </w:r>
      <w:r w:rsidRPr="00EA59C0">
        <w:t>open,</w:t>
      </w:r>
      <w:r w:rsidR="00C026A6" w:rsidRPr="00EA59C0">
        <w:t xml:space="preserve"> </w:t>
      </w:r>
      <w:r w:rsidRPr="00EA59C0">
        <w:t>online</w:t>
      </w:r>
      <w:r w:rsidR="00C026A6" w:rsidRPr="00EA59C0">
        <w:t xml:space="preserve"> </w:t>
      </w:r>
      <w:r w:rsidRPr="00EA59C0">
        <w:t>repository</w:t>
      </w:r>
      <w:r w:rsidR="00C026A6" w:rsidRPr="00EA59C0">
        <w:t xml:space="preserve"> </w:t>
      </w:r>
      <w:r w:rsidRPr="00EA59C0">
        <w:t>for</w:t>
      </w:r>
      <w:r w:rsidR="00C026A6" w:rsidRPr="00EA59C0">
        <w:t xml:space="preserve"> </w:t>
      </w:r>
      <w:r w:rsidRPr="00EA59C0">
        <w:t>storing</w:t>
      </w:r>
      <w:r w:rsidR="00C026A6" w:rsidRPr="00EA59C0">
        <w:t xml:space="preserve"> </w:t>
      </w:r>
      <w:r w:rsidRPr="00EA59C0">
        <w:t>and</w:t>
      </w:r>
      <w:r w:rsidR="00C026A6" w:rsidRPr="00EA59C0">
        <w:t xml:space="preserve"> </w:t>
      </w:r>
      <w:r w:rsidRPr="00EA59C0">
        <w:t>managing</w:t>
      </w:r>
      <w:r w:rsidR="00C026A6" w:rsidRPr="00EA59C0">
        <w:t xml:space="preserve"> </w:t>
      </w:r>
      <w:r w:rsidRPr="00EA59C0">
        <w:t>all</w:t>
      </w:r>
      <w:r w:rsidR="00C026A6" w:rsidRPr="00EA59C0">
        <w:t xml:space="preserve"> </w:t>
      </w:r>
      <w:r w:rsidRPr="00EA59C0">
        <w:t>OER</w:t>
      </w:r>
      <w:r w:rsidR="00C026A6" w:rsidRPr="00EA59C0">
        <w:t xml:space="preserve"> </w:t>
      </w:r>
      <w:r w:rsidRPr="00EA59C0">
        <w:t>content</w:t>
      </w:r>
      <w:r w:rsidR="00C026A6" w:rsidRPr="00EA59C0">
        <w:t xml:space="preserve"> </w:t>
      </w:r>
      <w:r w:rsidRPr="00EA59C0">
        <w:t>developed</w:t>
      </w:r>
      <w:r w:rsidR="00C026A6" w:rsidRPr="00EA59C0">
        <w:t xml:space="preserve"> </w:t>
      </w:r>
      <w:r w:rsidRPr="00EA59C0">
        <w:t>using</w:t>
      </w:r>
      <w:r w:rsidR="00C026A6" w:rsidRPr="00EA59C0">
        <w:t xml:space="preserve"> </w:t>
      </w:r>
      <w:r w:rsidRPr="00EA59C0">
        <w:t>grant</w:t>
      </w:r>
      <w:r w:rsidR="00C026A6" w:rsidRPr="00EA59C0">
        <w:t xml:space="preserve"> </w:t>
      </w:r>
      <w:r w:rsidRPr="00EA59C0">
        <w:t>funds</w:t>
      </w:r>
      <w:r w:rsidR="00BC05B4" w:rsidRPr="00EA59C0">
        <w:t>,</w:t>
      </w:r>
      <w:r w:rsidR="00C026A6" w:rsidRPr="00EA59C0">
        <w:t xml:space="preserve"> </w:t>
      </w:r>
      <w:r w:rsidR="00BC05B4" w:rsidRPr="00EA59C0">
        <w:t>which</w:t>
      </w:r>
      <w:r w:rsidR="00C026A6" w:rsidRPr="00EA59C0">
        <w:t xml:space="preserve"> </w:t>
      </w:r>
      <w:r w:rsidR="00BC05B4" w:rsidRPr="00EA59C0">
        <w:t>will</w:t>
      </w:r>
      <w:r w:rsidR="00C026A6" w:rsidRPr="00EA59C0">
        <w:t xml:space="preserve"> </w:t>
      </w:r>
      <w:r w:rsidR="00BC05B4" w:rsidRPr="00EA59C0">
        <w:t>be</w:t>
      </w:r>
      <w:r w:rsidR="00C026A6" w:rsidRPr="00EA59C0">
        <w:t xml:space="preserve"> </w:t>
      </w:r>
      <w:r w:rsidR="00BC05B4" w:rsidRPr="00EA59C0">
        <w:t>available</w:t>
      </w:r>
      <w:r w:rsidR="00C026A6" w:rsidRPr="00EA59C0">
        <w:t xml:space="preserve"> </w:t>
      </w:r>
      <w:r w:rsidR="00BC05B4" w:rsidRPr="00EA59C0">
        <w:t>for</w:t>
      </w:r>
      <w:r w:rsidR="00C026A6" w:rsidRPr="00EA59C0">
        <w:t xml:space="preserve"> </w:t>
      </w:r>
      <w:r w:rsidR="00BC05B4" w:rsidRPr="00EA59C0">
        <w:t>use</w:t>
      </w:r>
      <w:r w:rsidR="00C026A6" w:rsidRPr="00EA59C0">
        <w:t xml:space="preserve"> </w:t>
      </w:r>
      <w:r w:rsidR="00BC05B4" w:rsidRPr="00EA59C0">
        <w:t>before</w:t>
      </w:r>
      <w:r w:rsidR="00C026A6" w:rsidRPr="00EA59C0">
        <w:t xml:space="preserve"> </w:t>
      </w:r>
      <w:r w:rsidRPr="00EA59C0">
        <w:t>the</w:t>
      </w:r>
      <w:r w:rsidR="00C026A6" w:rsidRPr="00EA59C0">
        <w:t xml:space="preserve"> </w:t>
      </w:r>
      <w:r w:rsidRPr="00EA59C0">
        <w:t>end</w:t>
      </w:r>
      <w:r w:rsidR="00C026A6" w:rsidRPr="00EA59C0">
        <w:t xml:space="preserve"> </w:t>
      </w:r>
      <w:r w:rsidRPr="00EA59C0">
        <w:t>of</w:t>
      </w:r>
      <w:r w:rsidR="00C026A6" w:rsidRPr="00EA59C0">
        <w:t xml:space="preserve"> </w:t>
      </w:r>
      <w:r w:rsidRPr="00EA59C0">
        <w:t>the</w:t>
      </w:r>
      <w:r w:rsidR="00C026A6" w:rsidRPr="00EA59C0">
        <w:t xml:space="preserve"> </w:t>
      </w:r>
      <w:r w:rsidRPr="00EA59C0">
        <w:t>grant</w:t>
      </w:r>
      <w:r w:rsidR="00C026A6" w:rsidRPr="00EA59C0">
        <w:t xml:space="preserve"> </w:t>
      </w:r>
      <w:r w:rsidRPr="00EA59C0">
        <w:t>period.</w:t>
      </w:r>
      <w:r w:rsidR="00C026A6" w:rsidRPr="00EA59C0">
        <w:t xml:space="preserve">  </w:t>
      </w:r>
    </w:p>
    <w:p w:rsidR="00B06B4B" w:rsidRPr="00EA59C0" w:rsidRDefault="00B06B4B" w:rsidP="00E34EEF"/>
    <w:p w:rsidR="00472029" w:rsidRPr="00EA59C0" w:rsidRDefault="00472029" w:rsidP="006A3F7F">
      <w:pPr>
        <w:pStyle w:val="Heading1"/>
        <w:numPr>
          <w:ilvl w:val="2"/>
          <w:numId w:val="17"/>
        </w:numPr>
        <w:spacing w:line="240" w:lineRule="auto"/>
      </w:pPr>
      <w:r w:rsidRPr="00EA59C0">
        <w:t>Core</w:t>
      </w:r>
      <w:r w:rsidR="00C026A6" w:rsidRPr="00EA59C0">
        <w:t xml:space="preserve"> </w:t>
      </w:r>
      <w:r w:rsidRPr="00EA59C0">
        <w:t>Element</w:t>
      </w:r>
      <w:r w:rsidR="00C026A6" w:rsidRPr="00EA59C0">
        <w:t xml:space="preserve"> </w:t>
      </w:r>
      <w:r w:rsidR="00415F45" w:rsidRPr="00EA59C0">
        <w:t>4</w:t>
      </w:r>
      <w:r w:rsidRPr="00EA59C0">
        <w:t>:</w:t>
      </w:r>
      <w:r w:rsidR="00C026A6" w:rsidRPr="00EA59C0">
        <w:t xml:space="preserve"> </w:t>
      </w:r>
      <w:r w:rsidRPr="00EA59C0">
        <w:t>Strategic</w:t>
      </w:r>
      <w:r w:rsidR="00C026A6" w:rsidRPr="00EA59C0">
        <w:t xml:space="preserve"> </w:t>
      </w:r>
      <w:r w:rsidRPr="00EA59C0">
        <w:t>Alignment</w:t>
      </w:r>
      <w:r w:rsidR="00C026A6" w:rsidRPr="00EA59C0">
        <w:t xml:space="preserve"> </w:t>
      </w:r>
      <w:r w:rsidR="00E37CEC" w:rsidRPr="00EA59C0">
        <w:t>with</w:t>
      </w:r>
      <w:r w:rsidR="00C026A6" w:rsidRPr="00EA59C0">
        <w:t xml:space="preserve"> </w:t>
      </w:r>
      <w:r w:rsidR="00E37CEC" w:rsidRPr="00EA59C0">
        <w:t>the</w:t>
      </w:r>
      <w:r w:rsidR="00C026A6" w:rsidRPr="00EA59C0">
        <w:t xml:space="preserve"> </w:t>
      </w:r>
      <w:r w:rsidR="00E37CEC" w:rsidRPr="00EA59C0">
        <w:t>Workforce</w:t>
      </w:r>
      <w:r w:rsidR="00C026A6" w:rsidRPr="00EA59C0">
        <w:t xml:space="preserve"> </w:t>
      </w:r>
      <w:r w:rsidR="00E37CEC" w:rsidRPr="00EA59C0">
        <w:t>System</w:t>
      </w:r>
      <w:r w:rsidR="00C026A6" w:rsidRPr="00EA59C0">
        <w:t xml:space="preserve"> </w:t>
      </w:r>
      <w:r w:rsidR="00E37CEC" w:rsidRPr="00EA59C0">
        <w:t>and</w:t>
      </w:r>
      <w:r w:rsidR="00C026A6" w:rsidRPr="00EA59C0">
        <w:t xml:space="preserve"> </w:t>
      </w:r>
      <w:r w:rsidR="00361FF1" w:rsidRPr="00EA59C0">
        <w:t>Other</w:t>
      </w:r>
      <w:r w:rsidR="00C026A6" w:rsidRPr="00EA59C0">
        <w:t xml:space="preserve"> </w:t>
      </w:r>
      <w:r w:rsidR="00361FF1" w:rsidRPr="00EA59C0">
        <w:t>S</w:t>
      </w:r>
      <w:r w:rsidR="005861EF" w:rsidRPr="00EA59C0">
        <w:t>takeholders</w:t>
      </w:r>
    </w:p>
    <w:p w:rsidR="00EE2FD0" w:rsidRPr="00EA59C0" w:rsidRDefault="00EE2FD0" w:rsidP="00E34EEF">
      <w:pPr>
        <w:pStyle w:val="ListParagraph"/>
        <w:ind w:left="360"/>
      </w:pPr>
    </w:p>
    <w:p w:rsidR="00F140D4" w:rsidRPr="00EA59C0" w:rsidRDefault="008A4C4F" w:rsidP="00E34EEF">
      <w:pPr>
        <w:pStyle w:val="ListParagraph"/>
        <w:ind w:left="1080"/>
      </w:pPr>
      <w:r w:rsidRPr="00EA59C0">
        <w:t>Successful</w:t>
      </w:r>
      <w:r w:rsidR="00C026A6" w:rsidRPr="00EA59C0">
        <w:t xml:space="preserve"> </w:t>
      </w:r>
      <w:r w:rsidRPr="00EA59C0">
        <w:t>a</w:t>
      </w:r>
      <w:r w:rsidR="00F140D4" w:rsidRPr="00EA59C0">
        <w:t>pplicants</w:t>
      </w:r>
      <w:r w:rsidR="00C026A6" w:rsidRPr="00EA59C0">
        <w:t xml:space="preserve"> </w:t>
      </w:r>
      <w:r w:rsidRPr="00EA59C0">
        <w:t>will</w:t>
      </w:r>
      <w:r w:rsidR="00C026A6" w:rsidRPr="00EA59C0">
        <w:t xml:space="preserve"> </w:t>
      </w:r>
      <w:r w:rsidR="00F140D4" w:rsidRPr="00EA59C0">
        <w:t>demonstrate</w:t>
      </w:r>
      <w:r w:rsidR="00C026A6" w:rsidRPr="00EA59C0">
        <w:t xml:space="preserve"> </w:t>
      </w:r>
      <w:r w:rsidR="00F140D4" w:rsidRPr="00EA59C0">
        <w:t>that</w:t>
      </w:r>
      <w:r w:rsidR="00C026A6" w:rsidRPr="00EA59C0">
        <w:t xml:space="preserve"> </w:t>
      </w:r>
      <w:r w:rsidR="00F140D4" w:rsidRPr="00EA59C0">
        <w:t>they</w:t>
      </w:r>
      <w:r w:rsidR="00C026A6" w:rsidRPr="00EA59C0">
        <w:t xml:space="preserve"> </w:t>
      </w:r>
      <w:r w:rsidRPr="00EA59C0">
        <w:t>have</w:t>
      </w:r>
      <w:r w:rsidR="00C026A6" w:rsidRPr="00EA59C0">
        <w:t xml:space="preserve"> </w:t>
      </w:r>
      <w:r w:rsidR="00F140D4" w:rsidRPr="00EA59C0">
        <w:t>performed</w:t>
      </w:r>
      <w:r w:rsidR="00C026A6" w:rsidRPr="00EA59C0">
        <w:t xml:space="preserve"> </w:t>
      </w:r>
      <w:r w:rsidR="00F140D4" w:rsidRPr="00EA59C0">
        <w:t>outreach</w:t>
      </w:r>
      <w:r w:rsidR="00C026A6" w:rsidRPr="00EA59C0">
        <w:t xml:space="preserve"> </w:t>
      </w:r>
      <w:r w:rsidR="00F140D4" w:rsidRPr="00EA59C0">
        <w:t>to,</w:t>
      </w:r>
      <w:r w:rsidR="00C026A6" w:rsidRPr="00EA59C0">
        <w:t xml:space="preserve"> </w:t>
      </w:r>
      <w:r w:rsidR="00F140D4" w:rsidRPr="00EA59C0">
        <w:t>and</w:t>
      </w:r>
      <w:r w:rsidR="00C026A6" w:rsidRPr="00EA59C0">
        <w:t xml:space="preserve"> </w:t>
      </w:r>
      <w:r w:rsidR="00F140D4" w:rsidRPr="00EA59C0">
        <w:t>gathered</w:t>
      </w:r>
      <w:r w:rsidR="00C026A6" w:rsidRPr="00EA59C0">
        <w:t xml:space="preserve"> </w:t>
      </w:r>
      <w:r w:rsidR="00F140D4" w:rsidRPr="00EA59C0">
        <w:t>information</w:t>
      </w:r>
      <w:r w:rsidR="00C026A6" w:rsidRPr="00EA59C0">
        <w:t xml:space="preserve"> </w:t>
      </w:r>
      <w:r w:rsidR="00F140D4" w:rsidRPr="00EA59C0">
        <w:t>on,</w:t>
      </w:r>
      <w:r w:rsidR="00C026A6" w:rsidRPr="00EA59C0">
        <w:t xml:space="preserve"> </w:t>
      </w:r>
      <w:r w:rsidR="00F140D4" w:rsidRPr="00EA59C0">
        <w:t>relevant</w:t>
      </w:r>
      <w:r w:rsidR="00C026A6" w:rsidRPr="00EA59C0">
        <w:t xml:space="preserve"> </w:t>
      </w:r>
      <w:r w:rsidR="00F140D4" w:rsidRPr="00EA59C0">
        <w:t>entities</w:t>
      </w:r>
      <w:r w:rsidR="00C026A6" w:rsidRPr="00EA59C0">
        <w:t xml:space="preserve"> </w:t>
      </w:r>
      <w:r w:rsidR="00F140D4" w:rsidRPr="00EA59C0">
        <w:t>in</w:t>
      </w:r>
      <w:r w:rsidR="00C026A6" w:rsidRPr="00EA59C0">
        <w:t xml:space="preserve"> </w:t>
      </w:r>
      <w:r w:rsidR="00F140D4" w:rsidRPr="00EA59C0">
        <w:t>the</w:t>
      </w:r>
      <w:r w:rsidR="00C026A6" w:rsidRPr="00EA59C0">
        <w:t xml:space="preserve"> </w:t>
      </w:r>
      <w:r w:rsidR="00D83B75" w:rsidRPr="00EA59C0">
        <w:t>community(-</w:t>
      </w:r>
      <w:r w:rsidR="00DA0A9F" w:rsidRPr="00EA59C0">
        <w:t>ie</w:t>
      </w:r>
      <w:r w:rsidR="00D7386F" w:rsidRPr="00EA59C0">
        <w:t>s</w:t>
      </w:r>
      <w:r w:rsidR="003E1A74" w:rsidRPr="00EA59C0">
        <w:t>)</w:t>
      </w:r>
      <w:r w:rsidR="00C026A6" w:rsidRPr="00EA59C0">
        <w:t xml:space="preserve"> </w:t>
      </w:r>
      <w:r w:rsidR="00F140D4" w:rsidRPr="00EA59C0">
        <w:t>to</w:t>
      </w:r>
      <w:r w:rsidR="00C026A6" w:rsidRPr="00EA59C0">
        <w:t xml:space="preserve"> </w:t>
      </w:r>
      <w:r w:rsidR="00F140D4" w:rsidRPr="00EA59C0">
        <w:t>be</w:t>
      </w:r>
      <w:r w:rsidR="00C026A6" w:rsidRPr="00EA59C0">
        <w:t xml:space="preserve"> </w:t>
      </w:r>
      <w:r w:rsidR="00F140D4" w:rsidRPr="00EA59C0">
        <w:t>served</w:t>
      </w:r>
      <w:r w:rsidR="00C026A6" w:rsidRPr="00EA59C0">
        <w:t xml:space="preserve"> </w:t>
      </w:r>
      <w:r w:rsidR="00F140D4" w:rsidRPr="00EA59C0">
        <w:t>by</w:t>
      </w:r>
      <w:r w:rsidR="00C026A6" w:rsidRPr="00EA59C0">
        <w:t xml:space="preserve"> </w:t>
      </w:r>
      <w:r w:rsidR="00F140D4" w:rsidRPr="00EA59C0">
        <w:t>the</w:t>
      </w:r>
      <w:r w:rsidR="00C026A6" w:rsidRPr="00EA59C0">
        <w:t xml:space="preserve"> </w:t>
      </w:r>
      <w:r w:rsidR="00F140D4" w:rsidRPr="00EA59C0">
        <w:t>project,</w:t>
      </w:r>
      <w:r w:rsidR="00C026A6" w:rsidRPr="00EA59C0">
        <w:t xml:space="preserve"> </w:t>
      </w:r>
      <w:r w:rsidR="00F140D4" w:rsidRPr="00EA59C0">
        <w:t>including</w:t>
      </w:r>
      <w:r w:rsidR="00C026A6" w:rsidRPr="00EA59C0">
        <w:t xml:space="preserve"> </w:t>
      </w:r>
      <w:r w:rsidR="00F140D4" w:rsidRPr="00EA59C0">
        <w:t>entities</w:t>
      </w:r>
      <w:r w:rsidR="00C026A6" w:rsidRPr="00EA59C0">
        <w:t xml:space="preserve"> </w:t>
      </w:r>
      <w:r w:rsidR="00F140D4" w:rsidRPr="00EA59C0">
        <w:t>that</w:t>
      </w:r>
      <w:r w:rsidR="00C026A6" w:rsidRPr="00EA59C0">
        <w:t xml:space="preserve"> </w:t>
      </w:r>
      <w:r w:rsidR="00F140D4" w:rsidRPr="00EA59C0">
        <w:t>can</w:t>
      </w:r>
      <w:r w:rsidR="00C026A6" w:rsidRPr="00EA59C0">
        <w:t xml:space="preserve"> </w:t>
      </w:r>
      <w:r w:rsidR="00F140D4" w:rsidRPr="00EA59C0">
        <w:t>provide</w:t>
      </w:r>
      <w:r w:rsidR="00C026A6" w:rsidRPr="00EA59C0">
        <w:t xml:space="preserve"> </w:t>
      </w:r>
      <w:r w:rsidR="00F140D4" w:rsidRPr="00EA59C0">
        <w:t>data</w:t>
      </w:r>
      <w:r w:rsidR="00C026A6" w:rsidRPr="00EA59C0">
        <w:t xml:space="preserve"> </w:t>
      </w:r>
      <w:r w:rsidR="00F140D4" w:rsidRPr="00EA59C0">
        <w:t>on</w:t>
      </w:r>
      <w:r w:rsidR="00C026A6" w:rsidRPr="00EA59C0">
        <w:t xml:space="preserve"> </w:t>
      </w:r>
      <w:r w:rsidR="00F140D4" w:rsidRPr="00EA59C0">
        <w:t>the</w:t>
      </w:r>
      <w:r w:rsidR="00C026A6" w:rsidRPr="00EA59C0">
        <w:t xml:space="preserve"> </w:t>
      </w:r>
      <w:r w:rsidR="00F140D4" w:rsidRPr="00EA59C0">
        <w:t>characteristics</w:t>
      </w:r>
      <w:r w:rsidR="00C026A6" w:rsidRPr="00EA59C0">
        <w:t xml:space="preserve"> </w:t>
      </w:r>
      <w:r w:rsidR="00F140D4" w:rsidRPr="00EA59C0">
        <w:t>and</w:t>
      </w:r>
      <w:r w:rsidR="00C026A6" w:rsidRPr="00EA59C0">
        <w:t xml:space="preserve"> </w:t>
      </w:r>
      <w:r w:rsidR="00F140D4" w:rsidRPr="00EA59C0">
        <w:t>skill</w:t>
      </w:r>
      <w:r w:rsidR="00C026A6" w:rsidRPr="00EA59C0">
        <w:t xml:space="preserve"> </w:t>
      </w:r>
      <w:r w:rsidR="00F140D4" w:rsidRPr="00EA59C0">
        <w:t>needs</w:t>
      </w:r>
      <w:r w:rsidR="00C026A6" w:rsidRPr="00EA59C0">
        <w:t xml:space="preserve"> </w:t>
      </w:r>
      <w:r w:rsidR="00F140D4" w:rsidRPr="00EA59C0">
        <w:t>of</w:t>
      </w:r>
      <w:r w:rsidR="00C026A6" w:rsidRPr="00EA59C0">
        <w:t xml:space="preserve"> </w:t>
      </w:r>
      <w:r w:rsidR="00F140D4" w:rsidRPr="00EA59C0">
        <w:t>workers</w:t>
      </w:r>
      <w:r w:rsidR="00C026A6" w:rsidRPr="00EA59C0">
        <w:t xml:space="preserve"> </w:t>
      </w:r>
      <w:r w:rsidR="00F140D4" w:rsidRPr="00EA59C0">
        <w:t>receiving</w:t>
      </w:r>
      <w:r w:rsidR="00C026A6" w:rsidRPr="00EA59C0">
        <w:t xml:space="preserve"> </w:t>
      </w:r>
      <w:r w:rsidR="00F140D4" w:rsidRPr="00EA59C0">
        <w:t>TAA</w:t>
      </w:r>
      <w:r w:rsidR="00C026A6" w:rsidRPr="00EA59C0">
        <w:t xml:space="preserve"> </w:t>
      </w:r>
      <w:r w:rsidR="00F140D4" w:rsidRPr="00EA59C0">
        <w:t>benefits</w:t>
      </w:r>
      <w:r w:rsidR="00C026A6" w:rsidRPr="00EA59C0">
        <w:t xml:space="preserve"> </w:t>
      </w:r>
      <w:r w:rsidR="00F140D4" w:rsidRPr="00EA59C0">
        <w:t>and</w:t>
      </w:r>
      <w:r w:rsidR="00C026A6" w:rsidRPr="00EA59C0">
        <w:t xml:space="preserve"> </w:t>
      </w:r>
      <w:r w:rsidR="00F140D4" w:rsidRPr="00EA59C0">
        <w:t>services</w:t>
      </w:r>
      <w:r w:rsidR="00C026A6" w:rsidRPr="00EA59C0">
        <w:t xml:space="preserve"> </w:t>
      </w:r>
      <w:r w:rsidR="00F140D4" w:rsidRPr="00EA59C0">
        <w:t>in</w:t>
      </w:r>
      <w:r w:rsidR="00C026A6" w:rsidRPr="00EA59C0">
        <w:t xml:space="preserve"> </w:t>
      </w:r>
      <w:r w:rsidR="00F140D4" w:rsidRPr="00EA59C0">
        <w:t>the</w:t>
      </w:r>
      <w:r w:rsidR="00C026A6" w:rsidRPr="00EA59C0">
        <w:t xml:space="preserve"> </w:t>
      </w:r>
      <w:r w:rsidR="00F140D4" w:rsidRPr="00EA59C0">
        <w:t>community.</w:t>
      </w:r>
      <w:r w:rsidR="00C026A6" w:rsidRPr="00EA59C0">
        <w:t xml:space="preserve">  </w:t>
      </w:r>
      <w:r w:rsidR="00F140D4" w:rsidRPr="00EA59C0">
        <w:t>For</w:t>
      </w:r>
      <w:r w:rsidR="00C026A6" w:rsidRPr="00EA59C0">
        <w:t xml:space="preserve"> </w:t>
      </w:r>
      <w:r w:rsidR="00F140D4" w:rsidRPr="00EA59C0">
        <w:t>purposes</w:t>
      </w:r>
      <w:r w:rsidR="00C026A6" w:rsidRPr="00EA59C0">
        <w:t xml:space="preserve"> </w:t>
      </w:r>
      <w:r w:rsidR="00F140D4" w:rsidRPr="00EA59C0">
        <w:t>of</w:t>
      </w:r>
      <w:r w:rsidR="00C026A6" w:rsidRPr="00EA59C0">
        <w:t xml:space="preserve"> </w:t>
      </w:r>
      <w:r w:rsidR="00F140D4" w:rsidRPr="00EA59C0">
        <w:t>the</w:t>
      </w:r>
      <w:r w:rsidR="00C026A6" w:rsidRPr="00EA59C0">
        <w:t xml:space="preserve"> </w:t>
      </w:r>
      <w:r w:rsidR="00F140D4" w:rsidRPr="00EA59C0">
        <w:t>TAACCCT</w:t>
      </w:r>
      <w:r w:rsidR="00C026A6" w:rsidRPr="00EA59C0">
        <w:t xml:space="preserve"> </w:t>
      </w:r>
      <w:r w:rsidR="00F140D4" w:rsidRPr="00EA59C0">
        <w:t>program,</w:t>
      </w:r>
      <w:r w:rsidR="00C026A6" w:rsidRPr="00EA59C0">
        <w:t xml:space="preserve"> </w:t>
      </w:r>
      <w:r w:rsidR="00F140D4" w:rsidRPr="00EA59C0">
        <w:t>a</w:t>
      </w:r>
      <w:r w:rsidR="00C026A6" w:rsidRPr="00EA59C0">
        <w:t xml:space="preserve"> </w:t>
      </w:r>
      <w:r w:rsidR="00F140D4" w:rsidRPr="00EA59C0">
        <w:t>“</w:t>
      </w:r>
      <w:r w:rsidR="00361FF1" w:rsidRPr="00EA59C0">
        <w:t>community</w:t>
      </w:r>
      <w:r w:rsidR="00F140D4" w:rsidRPr="00EA59C0">
        <w:t>”</w:t>
      </w:r>
      <w:r w:rsidR="00C026A6" w:rsidRPr="00EA59C0">
        <w:t xml:space="preserve"> </w:t>
      </w:r>
      <w:r w:rsidR="006201A5" w:rsidRPr="00EA59C0">
        <w:t xml:space="preserve">or “region” </w:t>
      </w:r>
      <w:r w:rsidR="00F140D4" w:rsidRPr="00EA59C0">
        <w:t>is</w:t>
      </w:r>
      <w:r w:rsidR="00C026A6" w:rsidRPr="00EA59C0">
        <w:t xml:space="preserve"> </w:t>
      </w:r>
      <w:r w:rsidR="00F140D4" w:rsidRPr="00EA59C0">
        <w:t>a</w:t>
      </w:r>
      <w:r w:rsidR="00C026A6" w:rsidRPr="00EA59C0">
        <w:t xml:space="preserve"> </w:t>
      </w:r>
      <w:r w:rsidR="00F140D4" w:rsidRPr="00EA59C0">
        <w:t>city,</w:t>
      </w:r>
      <w:r w:rsidR="00C026A6" w:rsidRPr="00EA59C0">
        <w:t xml:space="preserve"> </w:t>
      </w:r>
      <w:r w:rsidR="00F140D4" w:rsidRPr="00EA59C0">
        <w:t>county,</w:t>
      </w:r>
      <w:r w:rsidR="00C026A6" w:rsidRPr="00EA59C0">
        <w:t xml:space="preserve"> </w:t>
      </w:r>
      <w:r w:rsidR="00F140D4" w:rsidRPr="00EA59C0">
        <w:t>or</w:t>
      </w:r>
      <w:r w:rsidR="00C026A6" w:rsidRPr="00EA59C0">
        <w:t xml:space="preserve"> </w:t>
      </w:r>
      <w:r w:rsidR="00F140D4" w:rsidRPr="00EA59C0">
        <w:t>other</w:t>
      </w:r>
      <w:r w:rsidR="00C026A6" w:rsidRPr="00EA59C0">
        <w:t xml:space="preserve"> </w:t>
      </w:r>
      <w:r w:rsidR="00F140D4" w:rsidRPr="00EA59C0">
        <w:t>political</w:t>
      </w:r>
      <w:r w:rsidR="00C026A6" w:rsidRPr="00EA59C0">
        <w:t xml:space="preserve"> </w:t>
      </w:r>
      <w:r w:rsidR="00F140D4" w:rsidRPr="00EA59C0">
        <w:t>subdivision</w:t>
      </w:r>
      <w:r w:rsidR="00C026A6" w:rsidRPr="00EA59C0">
        <w:t xml:space="preserve"> </w:t>
      </w:r>
      <w:r w:rsidR="00F140D4" w:rsidRPr="00EA59C0">
        <w:t>of</w:t>
      </w:r>
      <w:r w:rsidR="00C026A6" w:rsidRPr="00EA59C0">
        <w:t xml:space="preserve"> </w:t>
      </w:r>
      <w:r w:rsidR="00F140D4" w:rsidRPr="00EA59C0">
        <w:t>a</w:t>
      </w:r>
      <w:r w:rsidR="00C026A6" w:rsidRPr="00EA59C0">
        <w:t xml:space="preserve"> </w:t>
      </w:r>
      <w:r w:rsidR="00F140D4" w:rsidRPr="00EA59C0">
        <w:t>State</w:t>
      </w:r>
      <w:r w:rsidR="00C026A6" w:rsidRPr="00EA59C0">
        <w:t xml:space="preserve"> </w:t>
      </w:r>
      <w:r w:rsidR="00F140D4" w:rsidRPr="00EA59C0">
        <w:t>or</w:t>
      </w:r>
      <w:r w:rsidR="00C026A6" w:rsidRPr="00EA59C0">
        <w:t xml:space="preserve"> </w:t>
      </w:r>
      <w:r w:rsidR="00F140D4" w:rsidRPr="00EA59C0">
        <w:t>a</w:t>
      </w:r>
      <w:r w:rsidR="00C026A6" w:rsidRPr="00EA59C0">
        <w:t xml:space="preserve"> </w:t>
      </w:r>
      <w:r w:rsidR="00F140D4" w:rsidRPr="00EA59C0">
        <w:t>group</w:t>
      </w:r>
      <w:r w:rsidR="00C026A6" w:rsidRPr="00EA59C0">
        <w:t xml:space="preserve"> </w:t>
      </w:r>
      <w:r w:rsidR="00F140D4" w:rsidRPr="00EA59C0">
        <w:t>of</w:t>
      </w:r>
      <w:r w:rsidR="00C026A6" w:rsidRPr="00EA59C0">
        <w:t xml:space="preserve"> </w:t>
      </w:r>
      <w:r w:rsidR="00F140D4" w:rsidRPr="00EA59C0">
        <w:t>political</w:t>
      </w:r>
      <w:r w:rsidR="00C026A6" w:rsidRPr="00EA59C0">
        <w:t xml:space="preserve"> </w:t>
      </w:r>
      <w:r w:rsidR="00F140D4" w:rsidRPr="00EA59C0">
        <w:t>subdivisions</w:t>
      </w:r>
      <w:r w:rsidR="00C026A6" w:rsidRPr="00EA59C0">
        <w:t xml:space="preserve"> </w:t>
      </w:r>
      <w:r w:rsidR="00F140D4" w:rsidRPr="00EA59C0">
        <w:t>of</w:t>
      </w:r>
      <w:r w:rsidR="00C026A6" w:rsidRPr="00EA59C0">
        <w:t xml:space="preserve"> </w:t>
      </w:r>
      <w:r w:rsidR="00F140D4" w:rsidRPr="00EA59C0">
        <w:t>a</w:t>
      </w:r>
      <w:r w:rsidR="00C026A6" w:rsidRPr="00EA59C0">
        <w:t xml:space="preserve"> </w:t>
      </w:r>
      <w:r w:rsidR="00F140D4" w:rsidRPr="00EA59C0">
        <w:t>State</w:t>
      </w:r>
      <w:r w:rsidR="00302592" w:rsidRPr="00EA59C0">
        <w:t xml:space="preserve"> or of adjacent states</w:t>
      </w:r>
      <w:r w:rsidR="00F140D4" w:rsidRPr="00EA59C0">
        <w:t>.</w:t>
      </w:r>
    </w:p>
    <w:p w:rsidR="00F140D4" w:rsidRPr="00EA59C0" w:rsidRDefault="00F140D4" w:rsidP="00E34EEF">
      <w:pPr>
        <w:pStyle w:val="ListParagraph"/>
        <w:ind w:left="1080"/>
      </w:pPr>
    </w:p>
    <w:p w:rsidR="00A60BA6" w:rsidRPr="00EA59C0" w:rsidRDefault="00F140D4" w:rsidP="00E34EEF">
      <w:pPr>
        <w:pStyle w:val="ListParagraph"/>
        <w:ind w:left="1080"/>
      </w:pPr>
      <w:r w:rsidRPr="00EA59C0">
        <w:t>Applicants</w:t>
      </w:r>
      <w:r w:rsidR="00C026A6" w:rsidRPr="00EA59C0">
        <w:t xml:space="preserve"> </w:t>
      </w:r>
      <w:r w:rsidR="00D20E87" w:rsidRPr="00EA59C0">
        <w:t>will</w:t>
      </w:r>
      <w:r w:rsidR="00C026A6" w:rsidRPr="00EA59C0">
        <w:t xml:space="preserve"> </w:t>
      </w:r>
      <w:r w:rsidRPr="00EA59C0">
        <w:t>also</w:t>
      </w:r>
      <w:r w:rsidR="00C026A6" w:rsidRPr="00EA59C0">
        <w:t xml:space="preserve"> </w:t>
      </w:r>
      <w:r w:rsidR="004C0FE7" w:rsidRPr="00EA59C0">
        <w:t>provide</w:t>
      </w:r>
      <w:r w:rsidR="00C026A6" w:rsidRPr="00EA59C0">
        <w:t xml:space="preserve"> </w:t>
      </w:r>
      <w:r w:rsidRPr="00EA59C0">
        <w:t>evidence</w:t>
      </w:r>
      <w:r w:rsidR="00C026A6" w:rsidRPr="00EA59C0">
        <w:t xml:space="preserve"> </w:t>
      </w:r>
      <w:r w:rsidRPr="00EA59C0">
        <w:t>of</w:t>
      </w:r>
      <w:r w:rsidR="00C026A6" w:rsidRPr="00EA59C0">
        <w:t xml:space="preserve"> </w:t>
      </w:r>
      <w:r w:rsidRPr="00EA59C0">
        <w:t>outreach</w:t>
      </w:r>
      <w:r w:rsidR="00C026A6" w:rsidRPr="00EA59C0">
        <w:t xml:space="preserve"> </w:t>
      </w:r>
      <w:r w:rsidRPr="00EA59C0">
        <w:t>to</w:t>
      </w:r>
      <w:r w:rsidR="00C026A6" w:rsidRPr="00EA59C0">
        <w:t xml:space="preserve"> </w:t>
      </w:r>
      <w:r w:rsidRPr="00EA59C0">
        <w:t>ensure</w:t>
      </w:r>
      <w:r w:rsidR="00C026A6" w:rsidRPr="00EA59C0">
        <w:t xml:space="preserve"> </w:t>
      </w:r>
      <w:r w:rsidRPr="00EA59C0">
        <w:t>leveraging</w:t>
      </w:r>
      <w:r w:rsidR="00C026A6" w:rsidRPr="00EA59C0">
        <w:t xml:space="preserve"> </w:t>
      </w:r>
      <w:r w:rsidRPr="00EA59C0">
        <w:t>of</w:t>
      </w:r>
      <w:r w:rsidR="00C026A6" w:rsidRPr="00EA59C0">
        <w:t xml:space="preserve"> </w:t>
      </w:r>
      <w:r w:rsidRPr="00EA59C0">
        <w:t>existing</w:t>
      </w:r>
      <w:r w:rsidR="00C026A6" w:rsidRPr="00EA59C0">
        <w:t xml:space="preserve"> </w:t>
      </w:r>
      <w:r w:rsidRPr="00EA59C0">
        <w:t>supports</w:t>
      </w:r>
      <w:r w:rsidR="00C026A6" w:rsidRPr="00EA59C0">
        <w:t xml:space="preserve"> </w:t>
      </w:r>
      <w:r w:rsidRPr="00EA59C0">
        <w:t>and</w:t>
      </w:r>
      <w:r w:rsidR="00C026A6" w:rsidRPr="00EA59C0">
        <w:t xml:space="preserve"> </w:t>
      </w:r>
      <w:r w:rsidRPr="00EA59C0">
        <w:t>services</w:t>
      </w:r>
      <w:r w:rsidR="00C026A6" w:rsidRPr="00EA59C0">
        <w:t xml:space="preserve"> </w:t>
      </w:r>
      <w:r w:rsidR="005D3E45" w:rsidRPr="00EA59C0">
        <w:t>already</w:t>
      </w:r>
      <w:r w:rsidR="00C026A6" w:rsidRPr="00EA59C0">
        <w:t xml:space="preserve"> </w:t>
      </w:r>
      <w:r w:rsidR="005D3E45" w:rsidRPr="00EA59C0">
        <w:t>available</w:t>
      </w:r>
      <w:r w:rsidR="00C026A6" w:rsidRPr="00EA59C0">
        <w:t xml:space="preserve"> </w:t>
      </w:r>
      <w:r w:rsidRPr="00EA59C0">
        <w:t>to</w:t>
      </w:r>
      <w:r w:rsidR="00C026A6" w:rsidRPr="00EA59C0">
        <w:t xml:space="preserve"> </w:t>
      </w:r>
      <w:r w:rsidRPr="00EA59C0">
        <w:t>participant</w:t>
      </w:r>
      <w:r w:rsidR="005D3E45" w:rsidRPr="00EA59C0">
        <w:t>s</w:t>
      </w:r>
      <w:r w:rsidR="00C026A6" w:rsidRPr="00EA59C0">
        <w:t xml:space="preserve"> </w:t>
      </w:r>
      <w:r w:rsidRPr="00EA59C0">
        <w:t>in</w:t>
      </w:r>
      <w:r w:rsidR="00C026A6" w:rsidRPr="00EA59C0">
        <w:t xml:space="preserve"> </w:t>
      </w:r>
      <w:r w:rsidRPr="00EA59C0">
        <w:t>the</w:t>
      </w:r>
      <w:r w:rsidR="00C026A6" w:rsidRPr="00EA59C0">
        <w:t xml:space="preserve"> </w:t>
      </w:r>
      <w:r w:rsidR="006201A5" w:rsidRPr="00EA59C0">
        <w:t>region</w:t>
      </w:r>
      <w:r w:rsidRPr="00EA59C0">
        <w:t>.</w:t>
      </w:r>
      <w:r w:rsidR="00C026A6" w:rsidRPr="00EA59C0">
        <w:t xml:space="preserve">  </w:t>
      </w:r>
      <w:r w:rsidR="00A60BA6" w:rsidRPr="00EA59C0">
        <w:t>This</w:t>
      </w:r>
      <w:r w:rsidR="00C026A6" w:rsidRPr="00EA59C0">
        <w:t xml:space="preserve"> </w:t>
      </w:r>
      <w:r w:rsidRPr="00EA59C0">
        <w:t>will</w:t>
      </w:r>
      <w:r w:rsidR="00C026A6" w:rsidRPr="00EA59C0">
        <w:t xml:space="preserve"> </w:t>
      </w:r>
      <w:r w:rsidRPr="00EA59C0">
        <w:t>help</w:t>
      </w:r>
      <w:r w:rsidR="00C026A6" w:rsidRPr="00EA59C0">
        <w:t xml:space="preserve"> </w:t>
      </w:r>
      <w:r w:rsidRPr="00EA59C0">
        <w:t>ensure</w:t>
      </w:r>
      <w:r w:rsidR="00C026A6" w:rsidRPr="00EA59C0">
        <w:t xml:space="preserve"> </w:t>
      </w:r>
      <w:r w:rsidRPr="00EA59C0">
        <w:t>that</w:t>
      </w:r>
      <w:r w:rsidR="00C026A6" w:rsidRPr="00EA59C0">
        <w:t xml:space="preserve"> </w:t>
      </w:r>
      <w:r w:rsidRPr="00EA59C0">
        <w:t>the</w:t>
      </w:r>
      <w:r w:rsidR="00C026A6" w:rsidRPr="00EA59C0">
        <w:t xml:space="preserve"> </w:t>
      </w:r>
      <w:r w:rsidRPr="00EA59C0">
        <w:t>project</w:t>
      </w:r>
      <w:r w:rsidR="00C026A6" w:rsidRPr="00EA59C0">
        <w:t xml:space="preserve"> </w:t>
      </w:r>
      <w:r w:rsidRPr="00EA59C0">
        <w:t>complements</w:t>
      </w:r>
      <w:r w:rsidR="00C026A6" w:rsidRPr="00EA59C0">
        <w:t xml:space="preserve"> </w:t>
      </w:r>
      <w:r w:rsidRPr="00EA59C0">
        <w:t>and</w:t>
      </w:r>
      <w:r w:rsidR="00C026A6" w:rsidRPr="00EA59C0">
        <w:t xml:space="preserve"> </w:t>
      </w:r>
      <w:r w:rsidRPr="00EA59C0">
        <w:t>does</w:t>
      </w:r>
      <w:r w:rsidR="00C026A6" w:rsidRPr="00EA59C0">
        <w:t xml:space="preserve"> </w:t>
      </w:r>
      <w:r w:rsidRPr="00EA59C0">
        <w:t>not</w:t>
      </w:r>
      <w:r w:rsidR="00C026A6" w:rsidRPr="00EA59C0">
        <w:t xml:space="preserve"> </w:t>
      </w:r>
      <w:r w:rsidRPr="00EA59C0">
        <w:t>duplicate</w:t>
      </w:r>
      <w:r w:rsidR="00C026A6" w:rsidRPr="00EA59C0">
        <w:t xml:space="preserve"> </w:t>
      </w:r>
      <w:r w:rsidRPr="00EA59C0">
        <w:t>existing</w:t>
      </w:r>
      <w:r w:rsidR="00C026A6" w:rsidRPr="00EA59C0">
        <w:t xml:space="preserve"> </w:t>
      </w:r>
      <w:r w:rsidRPr="00EA59C0">
        <w:t>programs</w:t>
      </w:r>
      <w:r w:rsidR="00C026A6" w:rsidRPr="00EA59C0">
        <w:t xml:space="preserve"> </w:t>
      </w:r>
      <w:r w:rsidRPr="00EA59C0">
        <w:t>in</w:t>
      </w:r>
      <w:r w:rsidR="00C026A6" w:rsidRPr="00EA59C0">
        <w:t xml:space="preserve"> </w:t>
      </w:r>
      <w:r w:rsidRPr="00EA59C0">
        <w:t>the</w:t>
      </w:r>
      <w:r w:rsidR="00C026A6" w:rsidRPr="00EA59C0">
        <w:t xml:space="preserve"> </w:t>
      </w:r>
      <w:r w:rsidR="006201A5" w:rsidRPr="00EA59C0">
        <w:t>region</w:t>
      </w:r>
      <w:r w:rsidRPr="00EA59C0">
        <w:t>,</w:t>
      </w:r>
      <w:r w:rsidR="00C026A6" w:rsidRPr="00EA59C0">
        <w:t xml:space="preserve"> </w:t>
      </w:r>
      <w:r w:rsidRPr="00EA59C0">
        <w:t>and</w:t>
      </w:r>
      <w:r w:rsidR="00C026A6" w:rsidRPr="00EA59C0">
        <w:t xml:space="preserve"> </w:t>
      </w:r>
      <w:r w:rsidRPr="00EA59C0">
        <w:t>that</w:t>
      </w:r>
      <w:r w:rsidR="00C026A6" w:rsidRPr="00EA59C0">
        <w:t xml:space="preserve"> </w:t>
      </w:r>
      <w:r w:rsidRPr="00EA59C0">
        <w:t>plans</w:t>
      </w:r>
      <w:r w:rsidR="00C026A6" w:rsidRPr="00EA59C0">
        <w:t xml:space="preserve"> </w:t>
      </w:r>
      <w:r w:rsidRPr="00EA59C0">
        <w:t>to</w:t>
      </w:r>
      <w:r w:rsidR="00C026A6" w:rsidRPr="00EA59C0">
        <w:t xml:space="preserve"> </w:t>
      </w:r>
      <w:r w:rsidRPr="00EA59C0">
        <w:t>strategically</w:t>
      </w:r>
      <w:r w:rsidR="00C026A6" w:rsidRPr="00EA59C0">
        <w:t xml:space="preserve"> </w:t>
      </w:r>
      <w:r w:rsidRPr="00EA59C0">
        <w:t>leverage</w:t>
      </w:r>
      <w:r w:rsidR="00C026A6" w:rsidRPr="00EA59C0">
        <w:t xml:space="preserve"> </w:t>
      </w:r>
      <w:r w:rsidRPr="00EA59C0">
        <w:t>supports</w:t>
      </w:r>
      <w:r w:rsidR="00C026A6" w:rsidRPr="00EA59C0">
        <w:t xml:space="preserve"> </w:t>
      </w:r>
      <w:r w:rsidRPr="00EA59C0">
        <w:t>will</w:t>
      </w:r>
      <w:r w:rsidR="00C026A6" w:rsidRPr="00EA59C0">
        <w:t xml:space="preserve"> </w:t>
      </w:r>
      <w:r w:rsidRPr="00EA59C0">
        <w:t>further</w:t>
      </w:r>
      <w:r w:rsidR="00C026A6" w:rsidRPr="00EA59C0">
        <w:t xml:space="preserve"> </w:t>
      </w:r>
      <w:r w:rsidRPr="00EA59C0">
        <w:t>increase</w:t>
      </w:r>
      <w:r w:rsidR="00C026A6" w:rsidRPr="00EA59C0">
        <w:t xml:space="preserve"> </w:t>
      </w:r>
      <w:r w:rsidRPr="00EA59C0">
        <w:t>and</w:t>
      </w:r>
      <w:r w:rsidR="00C026A6" w:rsidRPr="00EA59C0">
        <w:t xml:space="preserve"> </w:t>
      </w:r>
      <w:r w:rsidRPr="00EA59C0">
        <w:t>ensure</w:t>
      </w:r>
      <w:r w:rsidR="00C026A6" w:rsidRPr="00EA59C0">
        <w:t xml:space="preserve"> </w:t>
      </w:r>
      <w:r w:rsidRPr="00EA59C0">
        <w:t>participant</w:t>
      </w:r>
      <w:r w:rsidR="00C026A6" w:rsidRPr="00EA59C0">
        <w:t xml:space="preserve"> </w:t>
      </w:r>
      <w:r w:rsidRPr="00EA59C0">
        <w:t>success</w:t>
      </w:r>
      <w:r w:rsidR="00C026A6" w:rsidRPr="00EA59C0">
        <w:t xml:space="preserve"> </w:t>
      </w:r>
      <w:r w:rsidRPr="00EA59C0">
        <w:t>in</w:t>
      </w:r>
      <w:r w:rsidR="00C026A6" w:rsidRPr="00EA59C0">
        <w:t xml:space="preserve"> </w:t>
      </w:r>
      <w:r w:rsidRPr="00EA59C0">
        <w:t>the</w:t>
      </w:r>
      <w:r w:rsidR="00C026A6" w:rsidRPr="00EA59C0">
        <w:t xml:space="preserve"> </w:t>
      </w:r>
      <w:r w:rsidRPr="00EA59C0">
        <w:t>classroom</w:t>
      </w:r>
      <w:r w:rsidR="00C026A6" w:rsidRPr="00EA59C0">
        <w:t xml:space="preserve"> </w:t>
      </w:r>
      <w:r w:rsidRPr="00EA59C0">
        <w:t>and</w:t>
      </w:r>
      <w:r w:rsidR="00C026A6" w:rsidRPr="00EA59C0">
        <w:t xml:space="preserve"> </w:t>
      </w:r>
      <w:r w:rsidRPr="00EA59C0">
        <w:t>the</w:t>
      </w:r>
      <w:r w:rsidR="00C026A6" w:rsidRPr="00EA59C0">
        <w:t xml:space="preserve"> </w:t>
      </w:r>
      <w:r w:rsidRPr="00EA59C0">
        <w:t>workplace.</w:t>
      </w:r>
      <w:r w:rsidR="00C026A6" w:rsidRPr="00EA59C0">
        <w:t xml:space="preserve">  </w:t>
      </w:r>
    </w:p>
    <w:p w:rsidR="009E1A95" w:rsidRPr="00EA59C0" w:rsidRDefault="009E1A95" w:rsidP="00E34EEF">
      <w:pPr>
        <w:pStyle w:val="ListParagraph"/>
        <w:ind w:left="1080"/>
      </w:pPr>
    </w:p>
    <w:p w:rsidR="00F140D4" w:rsidRPr="00EA59C0" w:rsidRDefault="00F140D4" w:rsidP="00E34EEF">
      <w:pPr>
        <w:pStyle w:val="ListParagraph"/>
        <w:ind w:left="1080"/>
      </w:pPr>
      <w:r w:rsidRPr="00EA59C0">
        <w:t>Applicants</w:t>
      </w:r>
      <w:r w:rsidR="00C026A6" w:rsidRPr="00EA59C0">
        <w:t xml:space="preserve"> </w:t>
      </w:r>
      <w:r w:rsidR="00D20E87" w:rsidRPr="00EA59C0">
        <w:t>will</w:t>
      </w:r>
      <w:r w:rsidR="00C026A6" w:rsidRPr="00EA59C0">
        <w:t xml:space="preserve"> </w:t>
      </w:r>
      <w:r w:rsidRPr="00EA59C0">
        <w:t>demonstrate</w:t>
      </w:r>
      <w:r w:rsidR="00C026A6" w:rsidRPr="00EA59C0">
        <w:t xml:space="preserve"> </w:t>
      </w:r>
      <w:r w:rsidR="00D20E87" w:rsidRPr="00EA59C0">
        <w:t>whether</w:t>
      </w:r>
      <w:r w:rsidR="00C026A6" w:rsidRPr="00EA59C0">
        <w:t xml:space="preserve"> </w:t>
      </w:r>
      <w:r w:rsidRPr="00EA59C0">
        <w:t>the</w:t>
      </w:r>
      <w:r w:rsidR="00C026A6" w:rsidRPr="00EA59C0">
        <w:t xml:space="preserve"> </w:t>
      </w:r>
      <w:r w:rsidRPr="00EA59C0">
        <w:t>strategies</w:t>
      </w:r>
      <w:r w:rsidR="00C026A6" w:rsidRPr="00EA59C0">
        <w:t xml:space="preserve"> </w:t>
      </w:r>
      <w:r w:rsidRPr="00EA59C0">
        <w:t>proposed</w:t>
      </w:r>
      <w:r w:rsidR="00C026A6" w:rsidRPr="00EA59C0">
        <w:t xml:space="preserve"> </w:t>
      </w:r>
      <w:r w:rsidRPr="00EA59C0">
        <w:t>in</w:t>
      </w:r>
      <w:r w:rsidR="00C026A6" w:rsidRPr="00EA59C0">
        <w:t xml:space="preserve"> </w:t>
      </w:r>
      <w:r w:rsidRPr="00EA59C0">
        <w:t>the</w:t>
      </w:r>
      <w:r w:rsidR="00C026A6" w:rsidRPr="00EA59C0">
        <w:t xml:space="preserve"> </w:t>
      </w:r>
      <w:r w:rsidRPr="00EA59C0">
        <w:t>TAACCCT</w:t>
      </w:r>
      <w:r w:rsidR="00C026A6" w:rsidRPr="00EA59C0">
        <w:t xml:space="preserve"> </w:t>
      </w:r>
      <w:r w:rsidRPr="00EA59C0">
        <w:t>project</w:t>
      </w:r>
      <w:r w:rsidR="00C026A6" w:rsidRPr="00EA59C0">
        <w:t xml:space="preserve"> </w:t>
      </w:r>
      <w:r w:rsidRPr="00EA59C0">
        <w:t>are</w:t>
      </w:r>
      <w:r w:rsidR="00C026A6" w:rsidRPr="00EA59C0">
        <w:t xml:space="preserve"> </w:t>
      </w:r>
      <w:r w:rsidRPr="00EA59C0">
        <w:t>in</w:t>
      </w:r>
      <w:r w:rsidR="00C026A6" w:rsidRPr="00EA59C0">
        <w:t xml:space="preserve"> </w:t>
      </w:r>
      <w:r w:rsidRPr="00EA59C0">
        <w:t>alignment</w:t>
      </w:r>
      <w:r w:rsidR="00C026A6" w:rsidRPr="00EA59C0">
        <w:t xml:space="preserve"> </w:t>
      </w:r>
      <w:r w:rsidRPr="00EA59C0">
        <w:t>with</w:t>
      </w:r>
      <w:r w:rsidR="00C026A6" w:rsidRPr="00EA59C0">
        <w:t xml:space="preserve"> </w:t>
      </w:r>
      <w:r w:rsidRPr="00EA59C0">
        <w:t>both</w:t>
      </w:r>
      <w:r w:rsidR="00C026A6" w:rsidRPr="00EA59C0">
        <w:t xml:space="preserve"> </w:t>
      </w:r>
      <w:r w:rsidRPr="00EA59C0">
        <w:t>the</w:t>
      </w:r>
      <w:r w:rsidR="00C026A6" w:rsidRPr="00EA59C0">
        <w:t xml:space="preserve"> </w:t>
      </w:r>
      <w:r w:rsidRPr="00EA59C0">
        <w:t>Governor’s</w:t>
      </w:r>
      <w:r w:rsidR="00C026A6" w:rsidRPr="00EA59C0">
        <w:t xml:space="preserve"> </w:t>
      </w:r>
      <w:r w:rsidRPr="00EA59C0">
        <w:t>Economic</w:t>
      </w:r>
      <w:r w:rsidR="00C026A6" w:rsidRPr="00EA59C0">
        <w:t xml:space="preserve"> </w:t>
      </w:r>
      <w:r w:rsidRPr="00EA59C0">
        <w:t>Development</w:t>
      </w:r>
      <w:r w:rsidR="00C026A6" w:rsidRPr="00EA59C0">
        <w:t xml:space="preserve"> </w:t>
      </w:r>
      <w:r w:rsidRPr="00EA59C0">
        <w:t>plan</w:t>
      </w:r>
      <w:r w:rsidR="00C026A6" w:rsidRPr="00EA59C0">
        <w:t xml:space="preserve"> </w:t>
      </w:r>
      <w:r w:rsidRPr="00EA59C0">
        <w:t>and</w:t>
      </w:r>
      <w:r w:rsidR="00C026A6" w:rsidRPr="00EA59C0">
        <w:t xml:space="preserve"> </w:t>
      </w:r>
      <w:r w:rsidRPr="00EA59C0">
        <w:t>the</w:t>
      </w:r>
      <w:r w:rsidR="00C026A6" w:rsidRPr="00EA59C0">
        <w:t xml:space="preserve"> </w:t>
      </w:r>
      <w:r w:rsidRPr="00EA59C0">
        <w:t>Workforce</w:t>
      </w:r>
      <w:r w:rsidR="00C026A6" w:rsidRPr="00EA59C0">
        <w:t xml:space="preserve"> </w:t>
      </w:r>
      <w:r w:rsidRPr="00EA59C0">
        <w:t>Investment</w:t>
      </w:r>
      <w:r w:rsidR="00C026A6" w:rsidRPr="00EA59C0">
        <w:t xml:space="preserve"> </w:t>
      </w:r>
      <w:r w:rsidRPr="00EA59C0">
        <w:t>Act–Wagner</w:t>
      </w:r>
      <w:r w:rsidR="00C026A6" w:rsidRPr="00EA59C0">
        <w:t xml:space="preserve"> </w:t>
      </w:r>
      <w:r w:rsidRPr="00EA59C0">
        <w:t>Peyser</w:t>
      </w:r>
      <w:r w:rsidR="00C026A6" w:rsidRPr="00EA59C0">
        <w:t xml:space="preserve"> </w:t>
      </w:r>
      <w:r w:rsidR="009059E1" w:rsidRPr="00EA59C0">
        <w:t>Act</w:t>
      </w:r>
      <w:r w:rsidR="00C026A6" w:rsidRPr="00EA59C0">
        <w:t xml:space="preserve"> </w:t>
      </w:r>
      <w:r w:rsidRPr="00EA59C0">
        <w:t>(WIA-WP)</w:t>
      </w:r>
      <w:r w:rsidR="00C026A6" w:rsidRPr="00EA59C0">
        <w:t xml:space="preserve"> </w:t>
      </w:r>
      <w:r w:rsidRPr="00EA59C0">
        <w:t>integrated</w:t>
      </w:r>
      <w:r w:rsidR="00C026A6" w:rsidRPr="00EA59C0">
        <w:t xml:space="preserve"> </w:t>
      </w:r>
      <w:r w:rsidRPr="00EA59C0">
        <w:t>state</w:t>
      </w:r>
      <w:r w:rsidR="00C026A6" w:rsidRPr="00EA59C0">
        <w:t xml:space="preserve"> </w:t>
      </w:r>
      <w:r w:rsidRPr="00EA59C0">
        <w:t>workforce</w:t>
      </w:r>
      <w:r w:rsidR="00C026A6" w:rsidRPr="00EA59C0">
        <w:t xml:space="preserve"> </w:t>
      </w:r>
      <w:r w:rsidRPr="00EA59C0">
        <w:t>plan</w:t>
      </w:r>
      <w:r w:rsidR="00C026A6" w:rsidRPr="00EA59C0">
        <w:t xml:space="preserve"> </w:t>
      </w:r>
      <w:r w:rsidRPr="00EA59C0">
        <w:t>for</w:t>
      </w:r>
      <w:r w:rsidR="00C026A6" w:rsidRPr="00EA59C0">
        <w:t xml:space="preserve"> </w:t>
      </w:r>
      <w:r w:rsidRPr="00EA59C0">
        <w:t>each</w:t>
      </w:r>
      <w:r w:rsidR="00C026A6" w:rsidRPr="00EA59C0">
        <w:t xml:space="preserve"> </w:t>
      </w:r>
      <w:r w:rsidRPr="00EA59C0">
        <w:t>of</w:t>
      </w:r>
      <w:r w:rsidR="00C026A6" w:rsidRPr="00EA59C0">
        <w:t xml:space="preserve"> </w:t>
      </w:r>
      <w:r w:rsidRPr="00EA59C0">
        <w:t>the</w:t>
      </w:r>
      <w:r w:rsidR="00C026A6" w:rsidRPr="00EA59C0">
        <w:t xml:space="preserve"> </w:t>
      </w:r>
      <w:r w:rsidRPr="00EA59C0">
        <w:t>states</w:t>
      </w:r>
      <w:r w:rsidR="00C026A6" w:rsidRPr="00EA59C0">
        <w:t xml:space="preserve"> </w:t>
      </w:r>
      <w:r w:rsidRPr="00EA59C0">
        <w:t>targeted</w:t>
      </w:r>
      <w:r w:rsidR="00C026A6" w:rsidRPr="00EA59C0">
        <w:t xml:space="preserve"> </w:t>
      </w:r>
      <w:r w:rsidRPr="00EA59C0">
        <w:t>by</w:t>
      </w:r>
      <w:r w:rsidR="00C026A6" w:rsidRPr="00EA59C0">
        <w:t xml:space="preserve"> </w:t>
      </w:r>
      <w:r w:rsidRPr="00EA59C0">
        <w:t>the</w:t>
      </w:r>
      <w:r w:rsidR="00C026A6" w:rsidRPr="00EA59C0">
        <w:t xml:space="preserve"> </w:t>
      </w:r>
      <w:r w:rsidRPr="00EA59C0">
        <w:t>project.</w:t>
      </w:r>
      <w:r w:rsidR="00C026A6" w:rsidRPr="00EA59C0">
        <w:t xml:space="preserve">  </w:t>
      </w:r>
      <w:r w:rsidR="007B2569" w:rsidRPr="00EA59C0">
        <w:t>Applicants</w:t>
      </w:r>
      <w:r w:rsidR="00C026A6" w:rsidRPr="00EA59C0">
        <w:t xml:space="preserve"> </w:t>
      </w:r>
      <w:r w:rsidR="007B2569" w:rsidRPr="00EA59C0">
        <w:t>are</w:t>
      </w:r>
      <w:r w:rsidR="00C026A6" w:rsidRPr="00EA59C0">
        <w:t xml:space="preserve"> </w:t>
      </w:r>
      <w:r w:rsidR="007B2569" w:rsidRPr="00EA59C0">
        <w:t>also</w:t>
      </w:r>
      <w:r w:rsidR="00C026A6" w:rsidRPr="00EA59C0">
        <w:t xml:space="preserve"> </w:t>
      </w:r>
      <w:r w:rsidR="007B2569" w:rsidRPr="00EA59C0">
        <w:t>encouraged</w:t>
      </w:r>
      <w:r w:rsidR="00C026A6" w:rsidRPr="00EA59C0">
        <w:t xml:space="preserve"> </w:t>
      </w:r>
      <w:r w:rsidR="007B2569" w:rsidRPr="00EA59C0">
        <w:t>to</w:t>
      </w:r>
      <w:r w:rsidR="00C026A6" w:rsidRPr="00EA59C0">
        <w:t xml:space="preserve"> </w:t>
      </w:r>
      <w:r w:rsidR="007B2569" w:rsidRPr="00EA59C0">
        <w:t>identify</w:t>
      </w:r>
      <w:r w:rsidR="00C026A6" w:rsidRPr="00EA59C0">
        <w:t xml:space="preserve"> </w:t>
      </w:r>
      <w:r w:rsidR="007B2569" w:rsidRPr="00EA59C0">
        <w:t>alignment</w:t>
      </w:r>
      <w:r w:rsidR="00C026A6" w:rsidRPr="00EA59C0">
        <w:t xml:space="preserve"> </w:t>
      </w:r>
      <w:r w:rsidR="007B2569" w:rsidRPr="00EA59C0">
        <w:t>and</w:t>
      </w:r>
      <w:r w:rsidR="00C026A6" w:rsidRPr="00EA59C0">
        <w:t xml:space="preserve"> </w:t>
      </w:r>
      <w:r w:rsidR="007B2569" w:rsidRPr="00EA59C0">
        <w:t>collaboration</w:t>
      </w:r>
      <w:r w:rsidR="00C026A6" w:rsidRPr="00EA59C0">
        <w:t xml:space="preserve"> </w:t>
      </w:r>
      <w:r w:rsidR="007B2569" w:rsidRPr="00EA59C0">
        <w:t>with</w:t>
      </w:r>
      <w:r w:rsidR="00C026A6" w:rsidRPr="00EA59C0">
        <w:t xml:space="preserve"> </w:t>
      </w:r>
      <w:r w:rsidR="007B2569" w:rsidRPr="00EA59C0">
        <w:t>other</w:t>
      </w:r>
      <w:r w:rsidR="00C026A6" w:rsidRPr="00EA59C0">
        <w:t xml:space="preserve"> </w:t>
      </w:r>
      <w:r w:rsidR="007B2569" w:rsidRPr="00EA59C0">
        <w:t>federal</w:t>
      </w:r>
      <w:r w:rsidR="00C026A6" w:rsidRPr="00EA59C0">
        <w:t xml:space="preserve"> </w:t>
      </w:r>
      <w:r w:rsidR="007B2569" w:rsidRPr="00EA59C0">
        <w:t>and</w:t>
      </w:r>
      <w:r w:rsidR="00C026A6" w:rsidRPr="00EA59C0">
        <w:t xml:space="preserve"> </w:t>
      </w:r>
      <w:r w:rsidR="007B2569" w:rsidRPr="00EA59C0">
        <w:t>state</w:t>
      </w:r>
      <w:r w:rsidR="00C026A6" w:rsidRPr="00EA59C0">
        <w:t xml:space="preserve"> </w:t>
      </w:r>
      <w:r w:rsidR="007B2569" w:rsidRPr="00EA59C0">
        <w:t>initiatives</w:t>
      </w:r>
      <w:r w:rsidR="00C026A6" w:rsidRPr="00EA59C0">
        <w:t xml:space="preserve"> </w:t>
      </w:r>
      <w:r w:rsidR="007B2569" w:rsidRPr="00EA59C0">
        <w:t>designed</w:t>
      </w:r>
      <w:r w:rsidR="00C026A6" w:rsidRPr="00EA59C0">
        <w:t xml:space="preserve"> </w:t>
      </w:r>
      <w:r w:rsidR="007B2569" w:rsidRPr="00EA59C0">
        <w:t>to</w:t>
      </w:r>
      <w:r w:rsidR="00C026A6" w:rsidRPr="00EA59C0">
        <w:t xml:space="preserve"> </w:t>
      </w:r>
      <w:r w:rsidR="007B2569" w:rsidRPr="00EA59C0">
        <w:t>improve</w:t>
      </w:r>
      <w:r w:rsidR="00C026A6" w:rsidRPr="00EA59C0">
        <w:t xml:space="preserve"> </w:t>
      </w:r>
      <w:r w:rsidR="007B2569" w:rsidRPr="00EA59C0">
        <w:t>employment</w:t>
      </w:r>
      <w:r w:rsidR="00C026A6" w:rsidRPr="00EA59C0">
        <w:t xml:space="preserve"> </w:t>
      </w:r>
      <w:r w:rsidR="007B2569" w:rsidRPr="00EA59C0">
        <w:t>outcomes,</w:t>
      </w:r>
      <w:r w:rsidR="00C026A6" w:rsidRPr="00EA59C0">
        <w:t xml:space="preserve"> </w:t>
      </w:r>
      <w:r w:rsidR="007B2569" w:rsidRPr="00EA59C0">
        <w:t>such</w:t>
      </w:r>
      <w:r w:rsidR="00C026A6" w:rsidRPr="00EA59C0">
        <w:t xml:space="preserve"> </w:t>
      </w:r>
      <w:r w:rsidR="007B2569" w:rsidRPr="00EA59C0">
        <w:t>as</w:t>
      </w:r>
      <w:r w:rsidR="00C026A6" w:rsidRPr="00EA59C0">
        <w:t xml:space="preserve"> </w:t>
      </w:r>
      <w:r w:rsidR="007B2569" w:rsidRPr="00EA59C0">
        <w:t>Career</w:t>
      </w:r>
      <w:r w:rsidR="00C026A6" w:rsidRPr="00EA59C0">
        <w:t xml:space="preserve"> </w:t>
      </w:r>
      <w:r w:rsidR="007B2569" w:rsidRPr="00EA59C0">
        <w:t>and</w:t>
      </w:r>
      <w:r w:rsidR="00C026A6" w:rsidRPr="00EA59C0">
        <w:t xml:space="preserve"> </w:t>
      </w:r>
      <w:r w:rsidR="007B2569" w:rsidRPr="00EA59C0">
        <w:t>Technical</w:t>
      </w:r>
      <w:r w:rsidR="00C026A6" w:rsidRPr="00EA59C0">
        <w:t xml:space="preserve"> </w:t>
      </w:r>
      <w:r w:rsidR="007B2569" w:rsidRPr="00EA59C0">
        <w:t>Education</w:t>
      </w:r>
      <w:r w:rsidR="00C026A6" w:rsidRPr="00EA59C0">
        <w:t xml:space="preserve"> </w:t>
      </w:r>
      <w:r w:rsidR="007B2569" w:rsidRPr="00EA59C0">
        <w:t>and</w:t>
      </w:r>
      <w:r w:rsidR="00C026A6" w:rsidRPr="00EA59C0">
        <w:t xml:space="preserve"> </w:t>
      </w:r>
      <w:r w:rsidR="007B2569" w:rsidRPr="00EA59C0">
        <w:t>Vocational</w:t>
      </w:r>
      <w:r w:rsidR="00C026A6" w:rsidRPr="00EA59C0">
        <w:t xml:space="preserve"> </w:t>
      </w:r>
      <w:r w:rsidR="007B2569" w:rsidRPr="00EA59C0">
        <w:t>Rehabilitatio</w:t>
      </w:r>
      <w:r w:rsidR="00EA3A9C" w:rsidRPr="00EA59C0">
        <w:t>n</w:t>
      </w:r>
      <w:r w:rsidR="007B2569" w:rsidRPr="00EA59C0">
        <w:t>.</w:t>
      </w:r>
      <w:r w:rsidR="00C026A6" w:rsidRPr="00EA59C0">
        <w:t xml:space="preserve"> </w:t>
      </w:r>
    </w:p>
    <w:p w:rsidR="00F140D4" w:rsidRPr="00EA59C0" w:rsidRDefault="00F140D4" w:rsidP="00E34EEF">
      <w:pPr>
        <w:pStyle w:val="ListParagraph"/>
        <w:ind w:left="1080"/>
      </w:pPr>
    </w:p>
    <w:p w:rsidR="00F140D4" w:rsidRPr="00EA59C0" w:rsidRDefault="006609CB" w:rsidP="00E34EEF">
      <w:pPr>
        <w:pStyle w:val="ListParagraph"/>
        <w:ind w:left="1080"/>
      </w:pPr>
      <w:r w:rsidRPr="00EA59C0">
        <w:t>A</w:t>
      </w:r>
      <w:r w:rsidR="00F140D4" w:rsidRPr="00EA59C0">
        <w:t>pplicants</w:t>
      </w:r>
      <w:r w:rsidR="00C026A6" w:rsidRPr="00EA59C0">
        <w:t xml:space="preserve"> </w:t>
      </w:r>
      <w:r w:rsidR="00F140D4" w:rsidRPr="00EA59C0">
        <w:t>are</w:t>
      </w:r>
      <w:r w:rsidR="00C026A6" w:rsidRPr="00EA59C0">
        <w:t xml:space="preserve"> </w:t>
      </w:r>
      <w:r w:rsidR="00F140D4" w:rsidRPr="00EA59C0">
        <w:t>strongly</w:t>
      </w:r>
      <w:r w:rsidR="00C026A6" w:rsidRPr="00EA59C0">
        <w:t xml:space="preserve"> </w:t>
      </w:r>
      <w:r w:rsidR="00F140D4" w:rsidRPr="00EA59C0">
        <w:t>encouraged</w:t>
      </w:r>
      <w:r w:rsidR="00C026A6" w:rsidRPr="00EA59C0">
        <w:t xml:space="preserve"> </w:t>
      </w:r>
      <w:r w:rsidR="00F140D4" w:rsidRPr="00EA59C0">
        <w:t>to</w:t>
      </w:r>
      <w:r w:rsidR="00C026A6" w:rsidRPr="00EA59C0">
        <w:t xml:space="preserve"> </w:t>
      </w:r>
      <w:r w:rsidR="00F140D4" w:rsidRPr="00EA59C0">
        <w:t>become</w:t>
      </w:r>
      <w:r w:rsidR="00C026A6" w:rsidRPr="00EA59C0">
        <w:t xml:space="preserve"> </w:t>
      </w:r>
      <w:r w:rsidR="00F140D4" w:rsidRPr="00EA59C0">
        <w:t>aware</w:t>
      </w:r>
      <w:r w:rsidR="00C026A6" w:rsidRPr="00EA59C0">
        <w:t xml:space="preserve"> </w:t>
      </w:r>
      <w:r w:rsidR="00F140D4" w:rsidRPr="00EA59C0">
        <w:t>of,</w:t>
      </w:r>
      <w:r w:rsidR="00C026A6" w:rsidRPr="00EA59C0">
        <w:t xml:space="preserve"> </w:t>
      </w:r>
      <w:r w:rsidR="00F140D4" w:rsidRPr="00EA59C0">
        <w:t>and</w:t>
      </w:r>
      <w:r w:rsidR="00C026A6" w:rsidRPr="00EA59C0">
        <w:t xml:space="preserve"> </w:t>
      </w:r>
      <w:r w:rsidR="00F140D4" w:rsidRPr="00EA59C0">
        <w:t>collaborate</w:t>
      </w:r>
      <w:r w:rsidR="00C026A6" w:rsidRPr="00EA59C0">
        <w:t xml:space="preserve"> </w:t>
      </w:r>
      <w:r w:rsidR="00F140D4" w:rsidRPr="00EA59C0">
        <w:t>with,</w:t>
      </w:r>
      <w:r w:rsidR="00C026A6" w:rsidRPr="00EA59C0">
        <w:t xml:space="preserve"> </w:t>
      </w:r>
      <w:r w:rsidR="00F140D4" w:rsidRPr="00EA59C0">
        <w:t>initiatives</w:t>
      </w:r>
      <w:r w:rsidR="00C026A6" w:rsidRPr="00EA59C0">
        <w:t xml:space="preserve"> </w:t>
      </w:r>
      <w:r w:rsidR="00F140D4" w:rsidRPr="00EA59C0">
        <w:t>in</w:t>
      </w:r>
      <w:r w:rsidR="00C026A6" w:rsidRPr="00EA59C0">
        <w:t xml:space="preserve"> </w:t>
      </w:r>
      <w:r w:rsidR="00F140D4" w:rsidRPr="00EA59C0">
        <w:t>the</w:t>
      </w:r>
      <w:r w:rsidR="00C026A6" w:rsidRPr="00EA59C0">
        <w:t xml:space="preserve"> </w:t>
      </w:r>
      <w:r w:rsidR="006201A5" w:rsidRPr="00EA59C0">
        <w:t>region</w:t>
      </w:r>
      <w:r w:rsidR="00C026A6" w:rsidRPr="00EA59C0">
        <w:t xml:space="preserve"> </w:t>
      </w:r>
      <w:r w:rsidR="00F140D4" w:rsidRPr="00EA59C0">
        <w:t>funded</w:t>
      </w:r>
      <w:r w:rsidR="00C026A6" w:rsidRPr="00EA59C0">
        <w:t xml:space="preserve"> </w:t>
      </w:r>
      <w:r w:rsidR="00F140D4" w:rsidRPr="00EA59C0">
        <w:t>by</w:t>
      </w:r>
      <w:r w:rsidR="00C026A6" w:rsidRPr="00EA59C0">
        <w:t xml:space="preserve"> </w:t>
      </w:r>
      <w:r w:rsidR="00F140D4" w:rsidRPr="00EA59C0">
        <w:t>private</w:t>
      </w:r>
      <w:r w:rsidR="00C026A6" w:rsidRPr="00EA59C0">
        <w:t xml:space="preserve"> </w:t>
      </w:r>
      <w:r w:rsidR="00F140D4" w:rsidRPr="00EA59C0">
        <w:t>sector</w:t>
      </w:r>
      <w:r w:rsidR="00C026A6" w:rsidRPr="00EA59C0">
        <w:t xml:space="preserve"> </w:t>
      </w:r>
      <w:r w:rsidR="00F140D4" w:rsidRPr="00EA59C0">
        <w:t>and/or</w:t>
      </w:r>
      <w:r w:rsidR="00C026A6" w:rsidRPr="00EA59C0">
        <w:t xml:space="preserve"> </w:t>
      </w:r>
      <w:r w:rsidR="00F140D4" w:rsidRPr="00EA59C0">
        <w:t>philanthropic</w:t>
      </w:r>
      <w:r w:rsidR="00C026A6" w:rsidRPr="00EA59C0">
        <w:t xml:space="preserve"> </w:t>
      </w:r>
      <w:r w:rsidR="00F140D4" w:rsidRPr="00EA59C0">
        <w:t>entities</w:t>
      </w:r>
      <w:r w:rsidR="00C026A6" w:rsidRPr="00EA59C0">
        <w:t xml:space="preserve"> </w:t>
      </w:r>
      <w:r w:rsidR="00F140D4" w:rsidRPr="00EA59C0">
        <w:t>that</w:t>
      </w:r>
      <w:r w:rsidR="00C026A6" w:rsidRPr="00EA59C0">
        <w:t xml:space="preserve"> </w:t>
      </w:r>
      <w:r w:rsidR="00F140D4" w:rsidRPr="00EA59C0">
        <w:t>may</w:t>
      </w:r>
      <w:r w:rsidR="00C026A6" w:rsidRPr="00EA59C0">
        <w:t xml:space="preserve"> </w:t>
      </w:r>
      <w:r w:rsidR="00F140D4" w:rsidRPr="00EA59C0">
        <w:t>align</w:t>
      </w:r>
      <w:r w:rsidR="00C026A6" w:rsidRPr="00EA59C0">
        <w:t xml:space="preserve"> </w:t>
      </w:r>
      <w:r w:rsidR="00F140D4" w:rsidRPr="00EA59C0">
        <w:t>with</w:t>
      </w:r>
      <w:r w:rsidR="00C026A6" w:rsidRPr="00EA59C0">
        <w:t xml:space="preserve"> </w:t>
      </w:r>
      <w:r w:rsidR="00F140D4" w:rsidRPr="00EA59C0">
        <w:t>the</w:t>
      </w:r>
      <w:r w:rsidR="00C026A6" w:rsidRPr="00EA59C0">
        <w:t xml:space="preserve"> </w:t>
      </w:r>
      <w:r w:rsidR="00F140D4" w:rsidRPr="00EA59C0">
        <w:t>proposed</w:t>
      </w:r>
      <w:r w:rsidR="00C026A6" w:rsidRPr="00EA59C0">
        <w:t xml:space="preserve"> </w:t>
      </w:r>
      <w:r w:rsidR="00F140D4" w:rsidRPr="00EA59C0">
        <w:t>project,</w:t>
      </w:r>
      <w:r w:rsidR="00C026A6" w:rsidRPr="00EA59C0">
        <w:t xml:space="preserve"> </w:t>
      </w:r>
      <w:r w:rsidR="00F140D4" w:rsidRPr="00EA59C0">
        <w:t>as</w:t>
      </w:r>
      <w:r w:rsidR="00C026A6" w:rsidRPr="00EA59C0">
        <w:t xml:space="preserve"> </w:t>
      </w:r>
      <w:r w:rsidR="00F140D4" w:rsidRPr="00EA59C0">
        <w:t>appropriate.</w:t>
      </w:r>
      <w:r w:rsidR="00C026A6" w:rsidRPr="00EA59C0">
        <w:t xml:space="preserve">  </w:t>
      </w:r>
      <w:r w:rsidR="00F140D4" w:rsidRPr="00EA59C0">
        <w:t>Applicants</w:t>
      </w:r>
      <w:r w:rsidR="00C026A6" w:rsidRPr="00EA59C0">
        <w:t xml:space="preserve"> </w:t>
      </w:r>
      <w:r w:rsidR="00F140D4" w:rsidRPr="00EA59C0">
        <w:t>are</w:t>
      </w:r>
      <w:r w:rsidR="00C026A6" w:rsidRPr="00EA59C0">
        <w:t xml:space="preserve"> </w:t>
      </w:r>
      <w:r w:rsidR="00F140D4" w:rsidRPr="00EA59C0">
        <w:t>also</w:t>
      </w:r>
      <w:r w:rsidR="00C026A6" w:rsidRPr="00EA59C0">
        <w:t xml:space="preserve"> </w:t>
      </w:r>
      <w:r w:rsidR="00F140D4" w:rsidRPr="00EA59C0">
        <w:t>encouraged</w:t>
      </w:r>
      <w:r w:rsidR="00C026A6" w:rsidRPr="00EA59C0">
        <w:t xml:space="preserve"> </w:t>
      </w:r>
      <w:r w:rsidR="00F140D4" w:rsidRPr="00EA59C0">
        <w:t>to</w:t>
      </w:r>
      <w:r w:rsidR="00C026A6" w:rsidRPr="00EA59C0">
        <w:t xml:space="preserve"> </w:t>
      </w:r>
      <w:r w:rsidR="00F140D4" w:rsidRPr="00EA59C0">
        <w:t>include</w:t>
      </w:r>
      <w:r w:rsidR="00C026A6" w:rsidRPr="00EA59C0">
        <w:t xml:space="preserve"> </w:t>
      </w:r>
      <w:r w:rsidR="00F140D4" w:rsidRPr="00EA59C0">
        <w:t>deep</w:t>
      </w:r>
      <w:r w:rsidR="00C026A6" w:rsidRPr="00EA59C0">
        <w:t xml:space="preserve"> </w:t>
      </w:r>
      <w:r w:rsidR="00F140D4" w:rsidRPr="00EA59C0">
        <w:t>and</w:t>
      </w:r>
      <w:r w:rsidR="00C026A6" w:rsidRPr="00EA59C0">
        <w:t xml:space="preserve"> </w:t>
      </w:r>
      <w:r w:rsidR="00F140D4" w:rsidRPr="00EA59C0">
        <w:t>sustained</w:t>
      </w:r>
      <w:r w:rsidR="00C026A6" w:rsidRPr="00EA59C0">
        <w:t xml:space="preserve"> </w:t>
      </w:r>
      <w:r w:rsidR="00F140D4" w:rsidRPr="00EA59C0">
        <w:t>partnerships</w:t>
      </w:r>
      <w:r w:rsidR="00C026A6" w:rsidRPr="00EA59C0">
        <w:t xml:space="preserve"> </w:t>
      </w:r>
      <w:r w:rsidR="00F140D4" w:rsidRPr="00EA59C0">
        <w:t>with</w:t>
      </w:r>
      <w:r w:rsidR="00C026A6" w:rsidRPr="00EA59C0">
        <w:t xml:space="preserve"> </w:t>
      </w:r>
      <w:r w:rsidR="00F140D4" w:rsidRPr="00EA59C0">
        <w:t>organizations</w:t>
      </w:r>
      <w:r w:rsidR="00C026A6" w:rsidRPr="00EA59C0">
        <w:t xml:space="preserve"> </w:t>
      </w:r>
      <w:r w:rsidR="00F140D4" w:rsidRPr="00EA59C0">
        <w:t>whose</w:t>
      </w:r>
      <w:r w:rsidR="00C026A6" w:rsidRPr="00EA59C0">
        <w:t xml:space="preserve"> </w:t>
      </w:r>
      <w:r w:rsidR="00F140D4" w:rsidRPr="00EA59C0">
        <w:t>mission</w:t>
      </w:r>
      <w:r w:rsidR="00C026A6" w:rsidRPr="00EA59C0">
        <w:t xml:space="preserve"> </w:t>
      </w:r>
      <w:r w:rsidR="00F140D4" w:rsidRPr="00EA59C0">
        <w:t>is</w:t>
      </w:r>
      <w:r w:rsidR="00C026A6" w:rsidRPr="00EA59C0">
        <w:t xml:space="preserve"> </w:t>
      </w:r>
      <w:r w:rsidR="00F140D4" w:rsidRPr="00EA59C0">
        <w:t>the</w:t>
      </w:r>
      <w:r w:rsidR="00C026A6" w:rsidRPr="00EA59C0">
        <w:t xml:space="preserve"> </w:t>
      </w:r>
      <w:r w:rsidR="00F140D4" w:rsidRPr="00EA59C0">
        <w:t>welfare</w:t>
      </w:r>
      <w:r w:rsidR="00C026A6" w:rsidRPr="00EA59C0">
        <w:t xml:space="preserve"> </w:t>
      </w:r>
      <w:r w:rsidR="00F140D4" w:rsidRPr="00EA59C0">
        <w:t>of</w:t>
      </w:r>
      <w:r w:rsidR="00C026A6" w:rsidRPr="00EA59C0">
        <w:t xml:space="preserve"> </w:t>
      </w:r>
      <w:r w:rsidR="00F140D4" w:rsidRPr="00EA59C0">
        <w:t>the</w:t>
      </w:r>
      <w:r w:rsidR="00C026A6" w:rsidRPr="00EA59C0">
        <w:t xml:space="preserve"> </w:t>
      </w:r>
      <w:r w:rsidR="00F140D4" w:rsidRPr="00EA59C0">
        <w:t>worker.</w:t>
      </w:r>
    </w:p>
    <w:p w:rsidR="00F140D4" w:rsidRPr="00EA59C0" w:rsidRDefault="00F140D4" w:rsidP="00E34EEF">
      <w:pPr>
        <w:pStyle w:val="ListParagraph"/>
        <w:ind w:left="1080"/>
      </w:pPr>
    </w:p>
    <w:p w:rsidR="005549F3" w:rsidRPr="00EA59C0" w:rsidRDefault="00A60BA6" w:rsidP="00E34EEF">
      <w:pPr>
        <w:pStyle w:val="ListParagraph"/>
        <w:ind w:left="1080"/>
      </w:pPr>
      <w:r w:rsidRPr="00EA59C0">
        <w:t>A</w:t>
      </w:r>
      <w:r w:rsidR="00F140D4" w:rsidRPr="00EA59C0">
        <w:t>pplicants</w:t>
      </w:r>
      <w:r w:rsidR="00C026A6" w:rsidRPr="00EA59C0">
        <w:t xml:space="preserve"> </w:t>
      </w:r>
      <w:r w:rsidR="00D20E87" w:rsidRPr="00EA59C0">
        <w:t>will</w:t>
      </w:r>
      <w:r w:rsidR="00C026A6" w:rsidRPr="00EA59C0">
        <w:t xml:space="preserve"> </w:t>
      </w:r>
      <w:r w:rsidR="005B1963" w:rsidRPr="00EA59C0">
        <w:t>coordinate</w:t>
      </w:r>
      <w:r w:rsidR="00C026A6" w:rsidRPr="00EA59C0">
        <w:t xml:space="preserve"> </w:t>
      </w:r>
      <w:r w:rsidR="00F140D4" w:rsidRPr="00EA59C0">
        <w:t>their</w:t>
      </w:r>
      <w:r w:rsidR="00C026A6" w:rsidRPr="00EA59C0">
        <w:t xml:space="preserve"> </w:t>
      </w:r>
      <w:r w:rsidR="00F140D4" w:rsidRPr="00EA59C0">
        <w:t>programs</w:t>
      </w:r>
      <w:r w:rsidR="00C026A6" w:rsidRPr="00EA59C0">
        <w:t xml:space="preserve"> </w:t>
      </w:r>
      <w:r w:rsidR="00F140D4" w:rsidRPr="00EA59C0">
        <w:t>with</w:t>
      </w:r>
      <w:r w:rsidR="00C026A6" w:rsidRPr="00EA59C0">
        <w:t xml:space="preserve"> </w:t>
      </w:r>
      <w:r w:rsidR="00F140D4" w:rsidRPr="00EA59C0">
        <w:t>at</w:t>
      </w:r>
      <w:r w:rsidR="00C026A6" w:rsidRPr="00EA59C0">
        <w:t xml:space="preserve"> </w:t>
      </w:r>
      <w:r w:rsidR="00F140D4" w:rsidRPr="00EA59C0">
        <w:t>least</w:t>
      </w:r>
      <w:r w:rsidR="00C026A6" w:rsidRPr="00EA59C0">
        <w:t xml:space="preserve"> </w:t>
      </w:r>
      <w:r w:rsidR="00764B13" w:rsidRPr="00EA59C0">
        <w:t>three</w:t>
      </w:r>
      <w:r w:rsidR="00C026A6" w:rsidRPr="00EA59C0">
        <w:t xml:space="preserve"> </w:t>
      </w:r>
      <w:r w:rsidR="00F140D4" w:rsidRPr="00EA59C0">
        <w:t>types</w:t>
      </w:r>
      <w:r w:rsidR="00C026A6" w:rsidRPr="00EA59C0">
        <w:t xml:space="preserve"> </w:t>
      </w:r>
      <w:r w:rsidR="00F140D4" w:rsidRPr="00EA59C0">
        <w:t>of</w:t>
      </w:r>
      <w:r w:rsidR="00C026A6" w:rsidRPr="00EA59C0">
        <w:t xml:space="preserve"> </w:t>
      </w:r>
      <w:r w:rsidR="00F140D4" w:rsidRPr="00EA59C0">
        <w:t>key</w:t>
      </w:r>
      <w:r w:rsidR="00C026A6" w:rsidRPr="00EA59C0">
        <w:t xml:space="preserve"> </w:t>
      </w:r>
      <w:r w:rsidR="00F140D4" w:rsidRPr="00EA59C0">
        <w:t>stakeholders</w:t>
      </w:r>
      <w:r w:rsidR="00C026A6" w:rsidRPr="00EA59C0">
        <w:t xml:space="preserve"> </w:t>
      </w:r>
      <w:r w:rsidR="00F140D4" w:rsidRPr="00EA59C0">
        <w:t>in</w:t>
      </w:r>
      <w:r w:rsidR="00C026A6" w:rsidRPr="00EA59C0">
        <w:t xml:space="preserve"> </w:t>
      </w:r>
      <w:r w:rsidR="00F140D4" w:rsidRPr="00EA59C0">
        <w:t>each</w:t>
      </w:r>
      <w:r w:rsidR="00C026A6" w:rsidRPr="00EA59C0">
        <w:t xml:space="preserve"> </w:t>
      </w:r>
      <w:r w:rsidR="00F140D4" w:rsidRPr="00EA59C0">
        <w:t>of</w:t>
      </w:r>
      <w:r w:rsidR="00C026A6" w:rsidRPr="00EA59C0">
        <w:t xml:space="preserve"> </w:t>
      </w:r>
      <w:r w:rsidR="00F140D4" w:rsidRPr="00EA59C0">
        <w:t>the</w:t>
      </w:r>
      <w:r w:rsidR="00C026A6" w:rsidRPr="00EA59C0">
        <w:t xml:space="preserve"> </w:t>
      </w:r>
      <w:r w:rsidR="00F140D4" w:rsidRPr="00EA59C0">
        <w:t>communities</w:t>
      </w:r>
      <w:r w:rsidR="00C026A6" w:rsidRPr="00EA59C0">
        <w:t xml:space="preserve"> </w:t>
      </w:r>
      <w:r w:rsidR="00F140D4" w:rsidRPr="00EA59C0">
        <w:t>represented:</w:t>
      </w:r>
      <w:r w:rsidR="00C026A6" w:rsidRPr="00EA59C0">
        <w:t xml:space="preserve"> </w:t>
      </w:r>
      <w:r w:rsidR="00F140D4" w:rsidRPr="00EA59C0">
        <w:t>(</w:t>
      </w:r>
      <w:r w:rsidR="0007608C" w:rsidRPr="00EA59C0">
        <w:t>a</w:t>
      </w:r>
      <w:r w:rsidR="00F140D4" w:rsidRPr="00EA59C0">
        <w:t>)</w:t>
      </w:r>
      <w:r w:rsidR="00C026A6" w:rsidRPr="00EA59C0">
        <w:t xml:space="preserve"> </w:t>
      </w:r>
      <w:r w:rsidR="00F140D4" w:rsidRPr="00EA59C0">
        <w:t>Governors;</w:t>
      </w:r>
      <w:r w:rsidR="00C026A6" w:rsidRPr="00EA59C0">
        <w:t xml:space="preserve"> </w:t>
      </w:r>
      <w:r w:rsidR="0007608C" w:rsidRPr="00EA59C0">
        <w:t>(b</w:t>
      </w:r>
      <w:r w:rsidR="00F140D4" w:rsidRPr="00EA59C0">
        <w:t>)</w:t>
      </w:r>
      <w:r w:rsidR="00C026A6" w:rsidRPr="00EA59C0">
        <w:t xml:space="preserve"> </w:t>
      </w:r>
      <w:r w:rsidR="00F140D4" w:rsidRPr="00EA59C0">
        <w:t>the</w:t>
      </w:r>
      <w:r w:rsidR="00C026A6" w:rsidRPr="00EA59C0">
        <w:t xml:space="preserve"> </w:t>
      </w:r>
      <w:r w:rsidR="00F140D4" w:rsidRPr="00EA59C0">
        <w:t>public</w:t>
      </w:r>
      <w:r w:rsidR="00C026A6" w:rsidRPr="00EA59C0">
        <w:t xml:space="preserve"> </w:t>
      </w:r>
      <w:r w:rsidR="00F140D4" w:rsidRPr="00EA59C0">
        <w:t>workforce</w:t>
      </w:r>
      <w:r w:rsidR="00C026A6" w:rsidRPr="00EA59C0">
        <w:t xml:space="preserve"> </w:t>
      </w:r>
      <w:r w:rsidR="00F140D4" w:rsidRPr="00EA59C0">
        <w:t>system;</w:t>
      </w:r>
      <w:r w:rsidR="00C026A6" w:rsidRPr="00EA59C0">
        <w:t xml:space="preserve"> </w:t>
      </w:r>
      <w:r w:rsidR="005549F3" w:rsidRPr="00EA59C0">
        <w:t>and</w:t>
      </w:r>
      <w:r w:rsidR="00C026A6" w:rsidRPr="00EA59C0">
        <w:t xml:space="preserve"> </w:t>
      </w:r>
      <w:r w:rsidR="0007608C" w:rsidRPr="00EA59C0">
        <w:t>(c</w:t>
      </w:r>
      <w:r w:rsidR="00F140D4" w:rsidRPr="00EA59C0">
        <w:t>)</w:t>
      </w:r>
      <w:r w:rsidR="00C026A6" w:rsidRPr="00EA59C0">
        <w:t xml:space="preserve"> </w:t>
      </w:r>
      <w:r w:rsidR="00F140D4" w:rsidRPr="00EA59C0">
        <w:t>philanthropic</w:t>
      </w:r>
      <w:r w:rsidR="00C026A6" w:rsidRPr="00EA59C0">
        <w:t xml:space="preserve"> </w:t>
      </w:r>
      <w:r w:rsidR="00F140D4" w:rsidRPr="00EA59C0">
        <w:t>organizations,</w:t>
      </w:r>
      <w:r w:rsidR="00C026A6" w:rsidRPr="00EA59C0">
        <w:t xml:space="preserve"> </w:t>
      </w:r>
      <w:r w:rsidR="00F140D4" w:rsidRPr="00EA59C0">
        <w:t>business-related</w:t>
      </w:r>
      <w:r w:rsidR="00C026A6" w:rsidRPr="00EA59C0">
        <w:t xml:space="preserve"> </w:t>
      </w:r>
      <w:r w:rsidR="00F140D4" w:rsidRPr="00EA59C0">
        <w:t>and</w:t>
      </w:r>
      <w:r w:rsidR="00C026A6" w:rsidRPr="00EA59C0">
        <w:t xml:space="preserve"> </w:t>
      </w:r>
      <w:r w:rsidR="00F140D4" w:rsidRPr="00EA59C0">
        <w:t>other</w:t>
      </w:r>
      <w:r w:rsidR="00C026A6" w:rsidRPr="00EA59C0">
        <w:t xml:space="preserve"> </w:t>
      </w:r>
      <w:r w:rsidR="00F140D4" w:rsidRPr="00EA59C0">
        <w:t>non-profit</w:t>
      </w:r>
      <w:r w:rsidR="00C026A6" w:rsidRPr="00EA59C0">
        <w:t xml:space="preserve"> </w:t>
      </w:r>
      <w:r w:rsidR="00F140D4" w:rsidRPr="00EA59C0">
        <w:t>organizations,</w:t>
      </w:r>
      <w:r w:rsidR="00C026A6" w:rsidRPr="00EA59C0">
        <w:t xml:space="preserve"> </w:t>
      </w:r>
      <w:r w:rsidR="00F140D4" w:rsidRPr="00EA59C0">
        <w:t>community-based</w:t>
      </w:r>
      <w:r w:rsidR="00C026A6" w:rsidRPr="00EA59C0">
        <w:t xml:space="preserve"> </w:t>
      </w:r>
      <w:r w:rsidR="00F140D4" w:rsidRPr="00EA59C0">
        <w:t>organizations,</w:t>
      </w:r>
      <w:r w:rsidR="00C026A6" w:rsidRPr="00EA59C0">
        <w:t xml:space="preserve"> </w:t>
      </w:r>
      <w:r w:rsidR="00F140D4" w:rsidRPr="00EA59C0">
        <w:t>and</w:t>
      </w:r>
      <w:r w:rsidR="008721A2" w:rsidRPr="00EA59C0">
        <w:t>/or</w:t>
      </w:r>
      <w:r w:rsidR="00C026A6" w:rsidRPr="00EA59C0">
        <w:t xml:space="preserve"> </w:t>
      </w:r>
      <w:r w:rsidR="00F140D4" w:rsidRPr="00EA59C0">
        <w:t>labor</w:t>
      </w:r>
      <w:r w:rsidR="00C026A6" w:rsidRPr="00EA59C0">
        <w:t xml:space="preserve"> </w:t>
      </w:r>
      <w:r w:rsidR="00F140D4" w:rsidRPr="00EA59C0">
        <w:t>organizations</w:t>
      </w:r>
      <w:r w:rsidR="005549F3" w:rsidRPr="00EA59C0">
        <w:t>.</w:t>
      </w:r>
    </w:p>
    <w:p w:rsidR="005549F3" w:rsidRPr="00EA59C0" w:rsidRDefault="005549F3" w:rsidP="00E34EEF">
      <w:pPr>
        <w:pStyle w:val="ListParagraph"/>
        <w:ind w:left="1080"/>
      </w:pPr>
    </w:p>
    <w:p w:rsidR="00F140D4" w:rsidRPr="00EA59C0" w:rsidRDefault="00F140D4" w:rsidP="00E34EEF">
      <w:pPr>
        <w:pStyle w:val="ListParagraph"/>
        <w:ind w:left="1080"/>
      </w:pPr>
      <w:r w:rsidRPr="00EA59C0">
        <w:t>Please</w:t>
      </w:r>
      <w:r w:rsidR="00C026A6" w:rsidRPr="00EA59C0">
        <w:t xml:space="preserve"> </w:t>
      </w:r>
      <w:r w:rsidRPr="00EA59C0">
        <w:t>note</w:t>
      </w:r>
      <w:r w:rsidR="00C026A6" w:rsidRPr="00EA59C0">
        <w:t xml:space="preserve"> </w:t>
      </w:r>
      <w:r w:rsidRPr="00EA59C0">
        <w:t>that</w:t>
      </w:r>
      <w:r w:rsidR="00C026A6" w:rsidRPr="00EA59C0">
        <w:t xml:space="preserve"> </w:t>
      </w:r>
      <w:r w:rsidRPr="00EA59C0">
        <w:t>these</w:t>
      </w:r>
      <w:r w:rsidR="00C026A6" w:rsidRPr="00EA59C0">
        <w:t xml:space="preserve"> </w:t>
      </w:r>
      <w:r w:rsidRPr="00EA59C0">
        <w:t>organizations</w:t>
      </w:r>
      <w:r w:rsidR="00C026A6" w:rsidRPr="00EA59C0">
        <w:t xml:space="preserve"> </w:t>
      </w:r>
      <w:r w:rsidRPr="00EA59C0">
        <w:t>and</w:t>
      </w:r>
      <w:r w:rsidR="00C026A6" w:rsidRPr="00EA59C0">
        <w:t xml:space="preserve"> </w:t>
      </w:r>
      <w:r w:rsidRPr="00EA59C0">
        <w:t>agencies</w:t>
      </w:r>
      <w:r w:rsidR="00C026A6" w:rsidRPr="00EA59C0">
        <w:t xml:space="preserve"> </w:t>
      </w:r>
      <w:r w:rsidRPr="00EA59C0">
        <w:t>are</w:t>
      </w:r>
      <w:r w:rsidR="00C026A6" w:rsidRPr="00EA59C0">
        <w:t xml:space="preserve"> </w:t>
      </w:r>
      <w:r w:rsidRPr="00EA59C0">
        <w:t>not</w:t>
      </w:r>
      <w:r w:rsidR="00C026A6" w:rsidRPr="00EA59C0">
        <w:t xml:space="preserve"> </w:t>
      </w:r>
      <w:r w:rsidRPr="00EA59C0">
        <w:t>eligible</w:t>
      </w:r>
      <w:r w:rsidR="00C026A6" w:rsidRPr="00EA59C0">
        <w:t xml:space="preserve"> </w:t>
      </w:r>
      <w:r w:rsidRPr="00EA59C0">
        <w:t>institutions,</w:t>
      </w:r>
      <w:r w:rsidR="00C026A6" w:rsidRPr="00EA59C0">
        <w:t xml:space="preserve"> </w:t>
      </w:r>
      <w:r w:rsidRPr="00EA59C0">
        <w:t>and</w:t>
      </w:r>
      <w:r w:rsidR="00C026A6" w:rsidRPr="00EA59C0">
        <w:t xml:space="preserve"> </w:t>
      </w:r>
      <w:r w:rsidRPr="00EA59C0">
        <w:t>therefore</w:t>
      </w:r>
      <w:r w:rsidR="00C026A6" w:rsidRPr="00EA59C0">
        <w:t xml:space="preserve"> </w:t>
      </w:r>
      <w:r w:rsidRPr="00EA59C0">
        <w:t>they</w:t>
      </w:r>
      <w:r w:rsidR="00C026A6" w:rsidRPr="00EA59C0">
        <w:t xml:space="preserve"> </w:t>
      </w:r>
      <w:r w:rsidRPr="00EA59C0">
        <w:t>cannot</w:t>
      </w:r>
      <w:r w:rsidR="00C026A6" w:rsidRPr="00EA59C0">
        <w:t xml:space="preserve"> </w:t>
      </w:r>
      <w:r w:rsidRPr="00EA59C0">
        <w:t>be</w:t>
      </w:r>
      <w:r w:rsidR="00C026A6" w:rsidRPr="00EA59C0">
        <w:t xml:space="preserve"> </w:t>
      </w:r>
      <w:r w:rsidRPr="00EA59C0">
        <w:t>grantees</w:t>
      </w:r>
      <w:r w:rsidR="00D26487" w:rsidRPr="00EA59C0">
        <w:t>,</w:t>
      </w:r>
      <w:r w:rsidR="00C026A6" w:rsidRPr="00EA59C0">
        <w:t xml:space="preserve"> </w:t>
      </w:r>
      <w:r w:rsidR="00D26487" w:rsidRPr="00EA59C0">
        <w:t>members</w:t>
      </w:r>
      <w:r w:rsidR="00C026A6" w:rsidRPr="00EA59C0">
        <w:t xml:space="preserve"> </w:t>
      </w:r>
      <w:r w:rsidR="00D26487" w:rsidRPr="00EA59C0">
        <w:t>of</w:t>
      </w:r>
      <w:r w:rsidR="00C026A6" w:rsidRPr="00EA59C0">
        <w:t xml:space="preserve"> </w:t>
      </w:r>
      <w:r w:rsidR="00D26487" w:rsidRPr="00EA59C0">
        <w:t>a</w:t>
      </w:r>
      <w:r w:rsidR="00C026A6" w:rsidRPr="00EA59C0">
        <w:t xml:space="preserve"> </w:t>
      </w:r>
      <w:r w:rsidR="00D26487" w:rsidRPr="00EA59C0">
        <w:t>consortium</w:t>
      </w:r>
      <w:r w:rsidR="001D6C21" w:rsidRPr="00EA59C0">
        <w:t>,</w:t>
      </w:r>
      <w:r w:rsidR="00C026A6" w:rsidRPr="00EA59C0">
        <w:t xml:space="preserve"> </w:t>
      </w:r>
      <w:r w:rsidR="004A3431" w:rsidRPr="00EA59C0">
        <w:t>or</w:t>
      </w:r>
      <w:r w:rsidR="00C026A6" w:rsidRPr="00EA59C0">
        <w:t xml:space="preserve"> </w:t>
      </w:r>
      <w:r w:rsidR="00D26487" w:rsidRPr="00EA59C0">
        <w:t>a</w:t>
      </w:r>
      <w:r w:rsidR="00C026A6" w:rsidRPr="00EA59C0">
        <w:t xml:space="preserve"> </w:t>
      </w:r>
      <w:r w:rsidR="00D26487" w:rsidRPr="00EA59C0">
        <w:t>subrecipient</w:t>
      </w:r>
      <w:r w:rsidR="00C026A6" w:rsidRPr="00EA59C0">
        <w:t xml:space="preserve"> </w:t>
      </w:r>
      <w:r w:rsidR="00D26487" w:rsidRPr="00EA59C0">
        <w:t>under</w:t>
      </w:r>
      <w:r w:rsidR="00C026A6" w:rsidRPr="00EA59C0">
        <w:t xml:space="preserve"> </w:t>
      </w:r>
      <w:r w:rsidR="00D26487" w:rsidRPr="00EA59C0">
        <w:t>this</w:t>
      </w:r>
      <w:r w:rsidR="00C026A6" w:rsidRPr="00EA59C0">
        <w:t xml:space="preserve"> </w:t>
      </w:r>
      <w:r w:rsidR="00D26487" w:rsidRPr="00EA59C0">
        <w:t>grant,</w:t>
      </w:r>
      <w:r w:rsidR="00C026A6" w:rsidRPr="00EA59C0">
        <w:t xml:space="preserve"> </w:t>
      </w:r>
      <w:r w:rsidRPr="00EA59C0">
        <w:t>but</w:t>
      </w:r>
      <w:r w:rsidR="00C026A6" w:rsidRPr="00EA59C0">
        <w:t xml:space="preserve"> </w:t>
      </w:r>
      <w:r w:rsidRPr="00EA59C0">
        <w:t>can</w:t>
      </w:r>
      <w:r w:rsidR="00C026A6" w:rsidRPr="00EA59C0">
        <w:t xml:space="preserve"> </w:t>
      </w:r>
      <w:r w:rsidRPr="00EA59C0">
        <w:t>help</w:t>
      </w:r>
      <w:r w:rsidR="00C026A6" w:rsidRPr="00EA59C0">
        <w:t xml:space="preserve"> </w:t>
      </w:r>
      <w:r w:rsidRPr="00EA59C0">
        <w:t>develop</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models</w:t>
      </w:r>
      <w:r w:rsidR="00C026A6" w:rsidRPr="00EA59C0">
        <w:t xml:space="preserve"> </w:t>
      </w:r>
      <w:r w:rsidRPr="00EA59C0">
        <w:t>and</w:t>
      </w:r>
      <w:r w:rsidR="00C026A6" w:rsidRPr="00EA59C0">
        <w:t xml:space="preserve"> </w:t>
      </w:r>
      <w:r w:rsidRPr="00EA59C0">
        <w:t>provide</w:t>
      </w:r>
      <w:r w:rsidR="00C026A6" w:rsidRPr="00EA59C0">
        <w:t xml:space="preserve"> </w:t>
      </w:r>
      <w:r w:rsidRPr="00EA59C0">
        <w:t>benefits</w:t>
      </w:r>
      <w:r w:rsidR="00C026A6" w:rsidRPr="00EA59C0">
        <w:t xml:space="preserve"> </w:t>
      </w:r>
      <w:r w:rsidRPr="00EA59C0">
        <w:t>not</w:t>
      </w:r>
      <w:r w:rsidR="00C026A6" w:rsidRPr="00EA59C0">
        <w:t xml:space="preserve"> </w:t>
      </w:r>
      <w:r w:rsidRPr="00EA59C0">
        <w:t>funded</w:t>
      </w:r>
      <w:r w:rsidR="00C026A6" w:rsidRPr="00EA59C0">
        <w:t xml:space="preserve"> </w:t>
      </w:r>
      <w:r w:rsidRPr="00EA59C0">
        <w:t>by</w:t>
      </w:r>
      <w:r w:rsidR="00C026A6" w:rsidRPr="00EA59C0">
        <w:t xml:space="preserve"> </w:t>
      </w:r>
      <w:r w:rsidRPr="00EA59C0">
        <w:t>these</w:t>
      </w:r>
      <w:r w:rsidR="00C026A6" w:rsidRPr="00EA59C0">
        <w:t xml:space="preserve"> </w:t>
      </w:r>
      <w:r w:rsidRPr="00EA59C0">
        <w:t>grants</w:t>
      </w:r>
      <w:r w:rsidR="00C026A6" w:rsidRPr="00EA59C0">
        <w:t xml:space="preserve"> </w:t>
      </w:r>
      <w:r w:rsidRPr="00EA59C0">
        <w:t>such</w:t>
      </w:r>
      <w:r w:rsidR="00C026A6" w:rsidRPr="00EA59C0">
        <w:t xml:space="preserve"> </w:t>
      </w:r>
      <w:r w:rsidRPr="00EA59C0">
        <w:t>as</w:t>
      </w:r>
      <w:r w:rsidR="00C026A6" w:rsidRPr="00EA59C0">
        <w:t xml:space="preserve"> </w:t>
      </w:r>
      <w:r w:rsidRPr="00EA59C0">
        <w:t>tuition</w:t>
      </w:r>
      <w:r w:rsidR="00C026A6" w:rsidRPr="00EA59C0">
        <w:t xml:space="preserve"> </w:t>
      </w:r>
      <w:r w:rsidRPr="00EA59C0">
        <w:t>assistance</w:t>
      </w:r>
      <w:r w:rsidR="00C026A6" w:rsidRPr="00EA59C0">
        <w:t xml:space="preserve"> </w:t>
      </w:r>
      <w:r w:rsidRPr="00EA59C0">
        <w:t>and</w:t>
      </w:r>
      <w:r w:rsidR="00C026A6" w:rsidRPr="00EA59C0">
        <w:t xml:space="preserve"> </w:t>
      </w:r>
      <w:r w:rsidRPr="00EA59C0">
        <w:t>wage</w:t>
      </w:r>
      <w:r w:rsidR="00C026A6" w:rsidRPr="00EA59C0">
        <w:t xml:space="preserve"> </w:t>
      </w:r>
      <w:r w:rsidRPr="00EA59C0">
        <w:t>subsidies.</w:t>
      </w:r>
      <w:r w:rsidR="00C026A6" w:rsidRPr="00EA59C0">
        <w:t xml:space="preserve">  </w:t>
      </w:r>
      <w:r w:rsidR="005549F3" w:rsidRPr="00EA59C0">
        <w:t>Alignment</w:t>
      </w:r>
      <w:r w:rsidR="00C026A6" w:rsidRPr="00EA59C0">
        <w:t xml:space="preserve"> </w:t>
      </w:r>
      <w:r w:rsidR="005549F3" w:rsidRPr="00EA59C0">
        <w:t>with</w:t>
      </w:r>
      <w:r w:rsidR="00C026A6" w:rsidRPr="00EA59C0">
        <w:t xml:space="preserve"> </w:t>
      </w:r>
      <w:r w:rsidR="005549F3" w:rsidRPr="00EA59C0">
        <w:t>employers</w:t>
      </w:r>
      <w:r w:rsidR="00C026A6" w:rsidRPr="00EA59C0">
        <w:t xml:space="preserve"> </w:t>
      </w:r>
      <w:r w:rsidR="005549F3" w:rsidRPr="00EA59C0">
        <w:t>and</w:t>
      </w:r>
      <w:r w:rsidR="00C026A6" w:rsidRPr="00EA59C0">
        <w:t xml:space="preserve"> </w:t>
      </w:r>
      <w:r w:rsidR="005549F3" w:rsidRPr="00EA59C0">
        <w:t>industry</w:t>
      </w:r>
      <w:r w:rsidR="00C026A6" w:rsidRPr="00EA59C0">
        <w:t xml:space="preserve"> </w:t>
      </w:r>
      <w:r w:rsidR="005549F3" w:rsidRPr="00EA59C0">
        <w:t>is</w:t>
      </w:r>
      <w:r w:rsidR="00C026A6" w:rsidRPr="00EA59C0">
        <w:t xml:space="preserve"> </w:t>
      </w:r>
      <w:r w:rsidR="005549F3" w:rsidRPr="00EA59C0">
        <w:t>discussed</w:t>
      </w:r>
      <w:r w:rsidR="00C026A6" w:rsidRPr="00EA59C0">
        <w:t xml:space="preserve"> </w:t>
      </w:r>
      <w:r w:rsidR="005549F3" w:rsidRPr="00EA59C0">
        <w:t>separately</w:t>
      </w:r>
      <w:r w:rsidR="00C026A6" w:rsidRPr="00EA59C0">
        <w:t xml:space="preserve"> </w:t>
      </w:r>
      <w:r w:rsidR="005549F3" w:rsidRPr="00EA59C0">
        <w:t>in</w:t>
      </w:r>
      <w:r w:rsidR="00C026A6" w:rsidRPr="00EA59C0">
        <w:t xml:space="preserve"> </w:t>
      </w:r>
      <w:r w:rsidR="005549F3" w:rsidRPr="00EA59C0">
        <w:t>Core</w:t>
      </w:r>
      <w:r w:rsidR="00C026A6" w:rsidRPr="00EA59C0">
        <w:t xml:space="preserve"> </w:t>
      </w:r>
      <w:r w:rsidR="005549F3" w:rsidRPr="00EA59C0">
        <w:t>Element</w:t>
      </w:r>
      <w:r w:rsidR="00C026A6" w:rsidRPr="00EA59C0">
        <w:t xml:space="preserve"> </w:t>
      </w:r>
      <w:r w:rsidR="00764B13" w:rsidRPr="00EA59C0">
        <w:t>6</w:t>
      </w:r>
      <w:r w:rsidR="005549F3" w:rsidRPr="00EA59C0">
        <w:t>,</w:t>
      </w:r>
      <w:r w:rsidR="00C026A6" w:rsidRPr="00EA59C0">
        <w:t xml:space="preserve"> </w:t>
      </w:r>
      <w:r w:rsidR="005549F3" w:rsidRPr="00EA59C0">
        <w:t>“Sector</w:t>
      </w:r>
      <w:r w:rsidR="00C026A6" w:rsidRPr="00EA59C0">
        <w:t xml:space="preserve"> </w:t>
      </w:r>
      <w:r w:rsidR="005549F3" w:rsidRPr="00EA59C0">
        <w:t>Strategies</w:t>
      </w:r>
      <w:r w:rsidR="00C026A6" w:rsidRPr="00EA59C0">
        <w:t xml:space="preserve"> </w:t>
      </w:r>
      <w:r w:rsidR="005549F3" w:rsidRPr="00EA59C0">
        <w:t>and</w:t>
      </w:r>
      <w:r w:rsidR="00C026A6" w:rsidRPr="00EA59C0">
        <w:t xml:space="preserve"> </w:t>
      </w:r>
      <w:r w:rsidR="005549F3" w:rsidRPr="00EA59C0">
        <w:t>Employer</w:t>
      </w:r>
      <w:r w:rsidR="00C026A6" w:rsidRPr="00EA59C0">
        <w:t xml:space="preserve"> </w:t>
      </w:r>
      <w:r w:rsidR="005549F3" w:rsidRPr="00EA59C0">
        <w:t>Engagement.”</w:t>
      </w:r>
      <w:r w:rsidR="00C026A6" w:rsidRPr="00EA59C0">
        <w:t xml:space="preserve">  </w:t>
      </w:r>
    </w:p>
    <w:p w:rsidR="00F140D4" w:rsidRPr="00EA59C0" w:rsidRDefault="00F140D4" w:rsidP="00E34EEF">
      <w:pPr>
        <w:pStyle w:val="ListParagraph"/>
        <w:ind w:left="360"/>
      </w:pPr>
    </w:p>
    <w:p w:rsidR="00472029" w:rsidRPr="00EA59C0" w:rsidRDefault="00472029" w:rsidP="00E34EEF">
      <w:pPr>
        <w:pStyle w:val="ListParagraph"/>
        <w:numPr>
          <w:ilvl w:val="3"/>
          <w:numId w:val="17"/>
        </w:numPr>
      </w:pPr>
      <w:r w:rsidRPr="00EA59C0">
        <w:t>Governors</w:t>
      </w:r>
      <w:r w:rsidR="00C026A6" w:rsidRPr="00EA59C0">
        <w:t xml:space="preserve"> </w:t>
      </w:r>
      <w:r w:rsidRPr="00EA59C0">
        <w:t>(Economic</w:t>
      </w:r>
      <w:r w:rsidR="00C026A6" w:rsidRPr="00EA59C0">
        <w:t xml:space="preserve"> </w:t>
      </w:r>
      <w:r w:rsidRPr="00EA59C0">
        <w:t>Development</w:t>
      </w:r>
      <w:r w:rsidR="00C026A6" w:rsidRPr="00EA59C0">
        <w:t xml:space="preserve"> </w:t>
      </w:r>
      <w:r w:rsidRPr="00EA59C0">
        <w:t>and</w:t>
      </w:r>
      <w:r w:rsidR="00C026A6" w:rsidRPr="00EA59C0">
        <w:t xml:space="preserve"> </w:t>
      </w:r>
      <w:r w:rsidRPr="00EA59C0">
        <w:t>WIA-WP</w:t>
      </w:r>
      <w:r w:rsidR="00C026A6" w:rsidRPr="00EA59C0">
        <w:t xml:space="preserve"> </w:t>
      </w:r>
      <w:r w:rsidRPr="00EA59C0">
        <w:t>Integrated</w:t>
      </w:r>
      <w:r w:rsidR="00C026A6" w:rsidRPr="00EA59C0">
        <w:t xml:space="preserve"> </w:t>
      </w:r>
      <w:r w:rsidRPr="00EA59C0">
        <w:t>State</w:t>
      </w:r>
      <w:r w:rsidR="00C026A6" w:rsidRPr="00EA59C0">
        <w:t xml:space="preserve"> </w:t>
      </w:r>
      <w:r w:rsidRPr="00EA59C0">
        <w:t>Workforce</w:t>
      </w:r>
      <w:r w:rsidR="00C026A6" w:rsidRPr="00EA59C0">
        <w:t xml:space="preserve"> </w:t>
      </w:r>
      <w:r w:rsidRPr="00EA59C0">
        <w:t>Plans)</w:t>
      </w:r>
    </w:p>
    <w:p w:rsidR="00F140D4" w:rsidRPr="00EA59C0" w:rsidRDefault="008A4C4F" w:rsidP="00E34EEF">
      <w:pPr>
        <w:pStyle w:val="ListParagraph"/>
        <w:ind w:left="1440"/>
      </w:pPr>
      <w:r w:rsidRPr="00EA59C0">
        <w:t>All</w:t>
      </w:r>
      <w:r w:rsidR="00C026A6" w:rsidRPr="00EA59C0">
        <w:t xml:space="preserve"> </w:t>
      </w:r>
      <w:r w:rsidRPr="00EA59C0">
        <w:t>a</w:t>
      </w:r>
      <w:r w:rsidR="00F140D4" w:rsidRPr="00EA59C0">
        <w:t>pplicants</w:t>
      </w:r>
      <w:r w:rsidR="00C026A6" w:rsidRPr="00EA59C0">
        <w:t xml:space="preserve"> </w:t>
      </w:r>
      <w:r w:rsidR="008721A2" w:rsidRPr="00EA59C0">
        <w:t>will</w:t>
      </w:r>
      <w:r w:rsidR="00C026A6" w:rsidRPr="00EA59C0">
        <w:t xml:space="preserve"> </w:t>
      </w:r>
      <w:r w:rsidRPr="00EA59C0">
        <w:t>be</w:t>
      </w:r>
      <w:r w:rsidR="00C026A6" w:rsidRPr="00EA59C0">
        <w:t xml:space="preserve"> </w:t>
      </w:r>
      <w:r w:rsidRPr="00EA59C0">
        <w:t>required</w:t>
      </w:r>
      <w:r w:rsidR="00C026A6" w:rsidRPr="00EA59C0">
        <w:t xml:space="preserve"> </w:t>
      </w:r>
      <w:r w:rsidRPr="00EA59C0">
        <w:t>to</w:t>
      </w:r>
      <w:r w:rsidR="00C026A6" w:rsidRPr="00EA59C0">
        <w:t xml:space="preserve"> </w:t>
      </w:r>
      <w:r w:rsidR="00F140D4" w:rsidRPr="00EA59C0">
        <w:t>review</w:t>
      </w:r>
      <w:r w:rsidR="00C026A6" w:rsidRPr="00EA59C0">
        <w:t xml:space="preserve"> </w:t>
      </w:r>
      <w:r w:rsidR="00F140D4" w:rsidRPr="00EA59C0">
        <w:t>and</w:t>
      </w:r>
      <w:r w:rsidR="00C026A6" w:rsidRPr="00EA59C0">
        <w:t xml:space="preserve"> </w:t>
      </w:r>
      <w:r w:rsidR="00F140D4" w:rsidRPr="00EA59C0">
        <w:t>identify</w:t>
      </w:r>
      <w:r w:rsidR="00C026A6" w:rsidRPr="00EA59C0">
        <w:t xml:space="preserve"> </w:t>
      </w:r>
      <w:r w:rsidR="00F140D4" w:rsidRPr="00EA59C0">
        <w:t>specific</w:t>
      </w:r>
      <w:r w:rsidR="00C026A6" w:rsidRPr="00EA59C0">
        <w:t xml:space="preserve"> </w:t>
      </w:r>
      <w:r w:rsidR="00F140D4" w:rsidRPr="00EA59C0">
        <w:t>goals</w:t>
      </w:r>
      <w:r w:rsidR="00C026A6" w:rsidRPr="00EA59C0">
        <w:t xml:space="preserve"> </w:t>
      </w:r>
      <w:r w:rsidR="00F140D4" w:rsidRPr="00EA59C0">
        <w:t>and</w:t>
      </w:r>
      <w:r w:rsidR="00C026A6" w:rsidRPr="00EA59C0">
        <w:t xml:space="preserve"> </w:t>
      </w:r>
      <w:r w:rsidR="00F140D4" w:rsidRPr="00EA59C0">
        <w:t>priorities</w:t>
      </w:r>
      <w:r w:rsidR="00C026A6" w:rsidRPr="00EA59C0">
        <w:t xml:space="preserve"> </w:t>
      </w:r>
      <w:r w:rsidR="00F140D4" w:rsidRPr="00EA59C0">
        <w:t>of</w:t>
      </w:r>
      <w:r w:rsidR="00C026A6" w:rsidRPr="00EA59C0">
        <w:t xml:space="preserve"> </w:t>
      </w:r>
      <w:r w:rsidR="00F140D4" w:rsidRPr="00EA59C0">
        <w:t>the</w:t>
      </w:r>
      <w:r w:rsidR="00C026A6" w:rsidRPr="00EA59C0">
        <w:t xml:space="preserve"> </w:t>
      </w:r>
      <w:r w:rsidR="00F140D4" w:rsidRPr="00EA59C0">
        <w:t>Governor’s</w:t>
      </w:r>
      <w:r w:rsidR="00C026A6" w:rsidRPr="00EA59C0">
        <w:t xml:space="preserve"> </w:t>
      </w:r>
      <w:r w:rsidR="00F140D4" w:rsidRPr="00EA59C0">
        <w:t>Economic</w:t>
      </w:r>
      <w:r w:rsidR="00C026A6" w:rsidRPr="00EA59C0">
        <w:t xml:space="preserve"> </w:t>
      </w:r>
      <w:r w:rsidR="00F140D4" w:rsidRPr="00EA59C0">
        <w:t>Development</w:t>
      </w:r>
      <w:r w:rsidR="00C026A6" w:rsidRPr="00EA59C0">
        <w:t xml:space="preserve"> </w:t>
      </w:r>
      <w:r w:rsidR="00F140D4" w:rsidRPr="00EA59C0">
        <w:t>and</w:t>
      </w:r>
      <w:r w:rsidR="00C026A6" w:rsidRPr="00EA59C0">
        <w:t xml:space="preserve"> </w:t>
      </w:r>
      <w:r w:rsidR="00F140D4" w:rsidRPr="00EA59C0">
        <w:t>WIA-WP</w:t>
      </w:r>
      <w:r w:rsidR="00C026A6" w:rsidRPr="00EA59C0">
        <w:t xml:space="preserve"> </w:t>
      </w:r>
      <w:r w:rsidR="00F140D4" w:rsidRPr="00EA59C0">
        <w:t>integrated</w:t>
      </w:r>
      <w:r w:rsidR="00C026A6" w:rsidRPr="00EA59C0">
        <w:t xml:space="preserve"> </w:t>
      </w:r>
      <w:r w:rsidR="00F140D4" w:rsidRPr="00EA59C0">
        <w:t>state</w:t>
      </w:r>
      <w:r w:rsidR="00C026A6" w:rsidRPr="00EA59C0">
        <w:t xml:space="preserve"> </w:t>
      </w:r>
      <w:r w:rsidR="00F140D4" w:rsidRPr="00EA59C0">
        <w:t>workforce</w:t>
      </w:r>
      <w:r w:rsidR="00C026A6" w:rsidRPr="00EA59C0">
        <w:t xml:space="preserve"> </w:t>
      </w:r>
      <w:r w:rsidR="00F140D4" w:rsidRPr="00EA59C0">
        <w:t>plans</w:t>
      </w:r>
      <w:r w:rsidR="00C026A6" w:rsidRPr="00EA59C0">
        <w:t xml:space="preserve"> </w:t>
      </w:r>
      <w:r w:rsidR="00F140D4" w:rsidRPr="00EA59C0">
        <w:t>and</w:t>
      </w:r>
      <w:r w:rsidR="00C026A6" w:rsidRPr="00EA59C0">
        <w:t xml:space="preserve"> </w:t>
      </w:r>
      <w:r w:rsidRPr="00EA59C0">
        <w:t>propose</w:t>
      </w:r>
      <w:r w:rsidR="00C026A6" w:rsidRPr="00EA59C0">
        <w:t xml:space="preserve"> </w:t>
      </w:r>
      <w:r w:rsidR="00F140D4" w:rsidRPr="00EA59C0">
        <w:t>specific</w:t>
      </w:r>
      <w:r w:rsidR="00C026A6" w:rsidRPr="00EA59C0">
        <w:t xml:space="preserve"> </w:t>
      </w:r>
      <w:r w:rsidR="00F140D4" w:rsidRPr="00EA59C0">
        <w:t>strategies</w:t>
      </w:r>
      <w:r w:rsidR="00C026A6" w:rsidRPr="00EA59C0">
        <w:t xml:space="preserve"> </w:t>
      </w:r>
      <w:r w:rsidR="00B74072" w:rsidRPr="00EA59C0">
        <w:t>that</w:t>
      </w:r>
      <w:r w:rsidR="00C026A6" w:rsidRPr="00EA59C0">
        <w:t xml:space="preserve"> </w:t>
      </w:r>
      <w:r w:rsidR="008721A2" w:rsidRPr="00EA59C0">
        <w:t>target</w:t>
      </w:r>
      <w:r w:rsidR="00C026A6" w:rsidRPr="00EA59C0">
        <w:t xml:space="preserve"> </w:t>
      </w:r>
      <w:r w:rsidR="00F140D4" w:rsidRPr="00EA59C0">
        <w:t>the</w:t>
      </w:r>
      <w:r w:rsidR="00C026A6" w:rsidRPr="00EA59C0">
        <w:t xml:space="preserve"> </w:t>
      </w:r>
      <w:r w:rsidR="00F140D4" w:rsidRPr="00EA59C0">
        <w:t>achievement</w:t>
      </w:r>
      <w:r w:rsidR="00C026A6" w:rsidRPr="00EA59C0">
        <w:t xml:space="preserve"> </w:t>
      </w:r>
      <w:r w:rsidR="00F140D4" w:rsidRPr="00EA59C0">
        <w:t>of</w:t>
      </w:r>
      <w:r w:rsidR="00C026A6" w:rsidRPr="00EA59C0">
        <w:t xml:space="preserve"> </w:t>
      </w:r>
      <w:r w:rsidR="00F140D4" w:rsidRPr="00EA59C0">
        <w:t>these</w:t>
      </w:r>
      <w:r w:rsidR="00C026A6" w:rsidRPr="00EA59C0">
        <w:t xml:space="preserve"> </w:t>
      </w:r>
      <w:r w:rsidR="00F140D4" w:rsidRPr="00EA59C0">
        <w:t>goals</w:t>
      </w:r>
      <w:r w:rsidR="00C026A6" w:rsidRPr="00EA59C0">
        <w:t xml:space="preserve"> </w:t>
      </w:r>
      <w:r w:rsidR="00F140D4" w:rsidRPr="00EA59C0">
        <w:t>and</w:t>
      </w:r>
      <w:r w:rsidR="00C026A6" w:rsidRPr="00EA59C0">
        <w:t xml:space="preserve"> </w:t>
      </w:r>
      <w:r w:rsidR="00F140D4" w:rsidRPr="00EA59C0">
        <w:t>priorities.</w:t>
      </w:r>
    </w:p>
    <w:p w:rsidR="00F140D4" w:rsidRPr="00EA59C0" w:rsidRDefault="00F140D4" w:rsidP="00E34EEF">
      <w:pPr>
        <w:pStyle w:val="ListParagraph"/>
      </w:pPr>
    </w:p>
    <w:p w:rsidR="00472029" w:rsidRPr="00EA59C0" w:rsidRDefault="00472029" w:rsidP="00E34EEF">
      <w:pPr>
        <w:pStyle w:val="ListParagraph"/>
        <w:numPr>
          <w:ilvl w:val="3"/>
          <w:numId w:val="17"/>
        </w:numPr>
      </w:pPr>
      <w:r w:rsidRPr="00EA59C0">
        <w:t>Public</w:t>
      </w:r>
      <w:r w:rsidR="00C026A6" w:rsidRPr="00EA59C0">
        <w:t xml:space="preserve"> </w:t>
      </w:r>
      <w:r w:rsidRPr="00EA59C0">
        <w:t>Workforce</w:t>
      </w:r>
      <w:r w:rsidR="00C026A6" w:rsidRPr="00EA59C0">
        <w:t xml:space="preserve"> </w:t>
      </w:r>
      <w:r w:rsidRPr="00EA59C0">
        <w:t>System</w:t>
      </w:r>
    </w:p>
    <w:p w:rsidR="00BD2B95" w:rsidRPr="00EA59C0" w:rsidRDefault="00BD2B95" w:rsidP="00BD2B95">
      <w:pPr>
        <w:pStyle w:val="ListParagraph"/>
        <w:ind w:left="1440"/>
      </w:pPr>
      <w:r w:rsidRPr="00EA59C0">
        <w:t xml:space="preserve">Applicants will engage and collaborate with local workforce investment boards (WIBs), American Job Centers (AJC’s, also known as One-Stop Career Centers), and the State agency that administers the TAA for workers program, and are encouraged to also work with other potential workforce system partners as defined under Section 121(b)(1) of the Workforce Investment Act (WIA).  Applicants must propose to partner with at least one Local WIB to support this project, and at least one Local WIB or AJC must be involved in the development and implementation of the project.  The State agency that administers the TAA for workers program must be involved in the development and implementation of the grant project.  Some other workforce system entities that could be involved in the project include adult education agencies, career and technical education agencies, state workforce education coordinating boards, and other post-secondary education agencies.  </w:t>
      </w:r>
    </w:p>
    <w:p w:rsidR="00BD2B95" w:rsidRPr="00EA59C0" w:rsidRDefault="00BD2B95" w:rsidP="00BD2B95">
      <w:pPr>
        <w:ind w:left="1440"/>
      </w:pPr>
    </w:p>
    <w:p w:rsidR="00BD2B95" w:rsidRPr="00EA59C0" w:rsidRDefault="00BD2B95" w:rsidP="00BD2B95">
      <w:pPr>
        <w:pStyle w:val="ListParagraph"/>
        <w:ind w:left="1440"/>
      </w:pPr>
      <w:r w:rsidRPr="00EA59C0">
        <w:t>The public workforce system entity may provide a wide array of services and activities in support of the TAACCCT project, using both leveraged resources such as WIA funding as well as funding provided through the TAACCCT grant.  Any TAACCCT funds provided to the workforce system must be in the form of a contract to provide services or activities tailored to the TAACCCT project.</w:t>
      </w:r>
    </w:p>
    <w:p w:rsidR="00BD2B95" w:rsidRPr="00EA59C0" w:rsidRDefault="00BD2B95" w:rsidP="00BD2B95">
      <w:pPr>
        <w:pStyle w:val="ListParagraph"/>
        <w:ind w:left="1440"/>
      </w:pPr>
    </w:p>
    <w:p w:rsidR="00BD2B95" w:rsidRPr="00EA59C0" w:rsidRDefault="00BD2B95" w:rsidP="00BD2B95">
      <w:pPr>
        <w:pStyle w:val="ListParagraph"/>
        <w:ind w:left="1440"/>
      </w:pPr>
      <w:r w:rsidRPr="00EA59C0">
        <w:t>Services and activities currently offered by the public workforce system using leveraged resources include the following:</w:t>
      </w:r>
    </w:p>
    <w:p w:rsidR="00BD2B95" w:rsidRPr="00EA59C0" w:rsidRDefault="00BD2B95" w:rsidP="00BD2B95">
      <w:pPr>
        <w:pStyle w:val="ListParagraph"/>
        <w:numPr>
          <w:ilvl w:val="0"/>
          <w:numId w:val="19"/>
        </w:numPr>
        <w:tabs>
          <w:tab w:val="left" w:pos="1800"/>
        </w:tabs>
        <w:ind w:left="2160"/>
      </w:pPr>
      <w:r w:rsidRPr="00EA59C0">
        <w:t>Referring appropriate candidates to TAACCCT programs for education and training, including TAA-eligible workers;</w:t>
      </w:r>
    </w:p>
    <w:p w:rsidR="00BD2B95" w:rsidRPr="00EA59C0" w:rsidRDefault="00BD2B95" w:rsidP="00BD2B95">
      <w:pPr>
        <w:pStyle w:val="ListParagraph"/>
        <w:numPr>
          <w:ilvl w:val="0"/>
          <w:numId w:val="19"/>
        </w:numPr>
        <w:tabs>
          <w:tab w:val="left" w:pos="1800"/>
        </w:tabs>
        <w:ind w:left="2160"/>
      </w:pPr>
      <w:r w:rsidRPr="00EA59C0">
        <w:t>Co-enrolling TAACCCT participants into WIA Title I programs, where appropriate;</w:t>
      </w:r>
    </w:p>
    <w:p w:rsidR="00BD2B95" w:rsidRPr="00EA59C0" w:rsidRDefault="00BD2B95" w:rsidP="00BD2B95">
      <w:pPr>
        <w:pStyle w:val="ListParagraph"/>
        <w:numPr>
          <w:ilvl w:val="0"/>
          <w:numId w:val="19"/>
        </w:numPr>
        <w:tabs>
          <w:tab w:val="left" w:pos="1800"/>
        </w:tabs>
        <w:ind w:left="2160"/>
      </w:pPr>
      <w:r w:rsidRPr="00EA59C0">
        <w:t>Providing supportive services in a leveraged and coordinated manner with the community college, through WIA and TAA for workers programs, and other resources; and</w:t>
      </w:r>
    </w:p>
    <w:p w:rsidR="00BD2B95" w:rsidRPr="00EA59C0" w:rsidRDefault="00BD2B95" w:rsidP="00BD2B95">
      <w:pPr>
        <w:pStyle w:val="ListParagraph"/>
        <w:numPr>
          <w:ilvl w:val="0"/>
          <w:numId w:val="19"/>
        </w:numPr>
        <w:tabs>
          <w:tab w:val="left" w:pos="1800"/>
        </w:tabs>
        <w:ind w:left="2160"/>
      </w:pPr>
      <w:r w:rsidRPr="00EA59C0">
        <w:t>Working with successful applicants for TAACCCT programs to ensure that proposed Programs of Study qualify for inclusion on appropriate eligible training provider lists.</w:t>
      </w:r>
    </w:p>
    <w:p w:rsidR="00756C3E" w:rsidRPr="00EA59C0" w:rsidRDefault="00756C3E" w:rsidP="004C3998">
      <w:pPr>
        <w:pStyle w:val="ListParagraph"/>
        <w:tabs>
          <w:tab w:val="left" w:pos="1800"/>
        </w:tabs>
        <w:ind w:left="2160"/>
      </w:pPr>
    </w:p>
    <w:p w:rsidR="00BD2B95" w:rsidRPr="00EA59C0" w:rsidRDefault="00BD2B95" w:rsidP="00BD2B95">
      <w:pPr>
        <w:ind w:left="1440"/>
      </w:pPr>
      <w:r w:rsidRPr="00EA59C0">
        <w:t xml:space="preserve">Other customized services and activities to support the implementation of TAACCCT programs that may be provided through contracts with WIBs may include the following examples:  </w:t>
      </w:r>
    </w:p>
    <w:p w:rsidR="00BD2B95" w:rsidRPr="00EA59C0" w:rsidRDefault="00BD2B95" w:rsidP="00BD2B95">
      <w:pPr>
        <w:ind w:left="1440"/>
      </w:pPr>
    </w:p>
    <w:p w:rsidR="00BD2B95" w:rsidRPr="00EA59C0" w:rsidRDefault="00BD2B95" w:rsidP="00BD2B95">
      <w:pPr>
        <w:pStyle w:val="ListParagraph"/>
        <w:numPr>
          <w:ilvl w:val="0"/>
          <w:numId w:val="19"/>
        </w:numPr>
        <w:tabs>
          <w:tab w:val="left" w:pos="1800"/>
        </w:tabs>
        <w:ind w:left="2160"/>
      </w:pPr>
      <w:r w:rsidRPr="00EA59C0">
        <w:t xml:space="preserve">Helping facilitate employer engagement in the sector strategy, supporting their involvement in both required and encouraged roles in the TAACCCT partnership; </w:t>
      </w:r>
    </w:p>
    <w:p w:rsidR="00BD2B95" w:rsidRPr="00EA59C0" w:rsidRDefault="00BD2B95" w:rsidP="00BD2B95">
      <w:pPr>
        <w:pStyle w:val="ListParagraph"/>
        <w:numPr>
          <w:ilvl w:val="0"/>
          <w:numId w:val="19"/>
        </w:numPr>
        <w:tabs>
          <w:tab w:val="left" w:pos="1800"/>
        </w:tabs>
        <w:ind w:left="2160"/>
      </w:pPr>
      <w:r w:rsidRPr="00EA59C0">
        <w:t>Creating and implementing a comprehensive strategy of determining the skills needs of employers and the suitability of individuals for training and the attainment of associated credentials.</w:t>
      </w:r>
    </w:p>
    <w:p w:rsidR="00BD2B95" w:rsidRPr="00EA59C0" w:rsidRDefault="00BD2B95" w:rsidP="00BD2B95">
      <w:pPr>
        <w:pStyle w:val="ListParagraph"/>
        <w:numPr>
          <w:ilvl w:val="0"/>
          <w:numId w:val="19"/>
        </w:numPr>
        <w:tabs>
          <w:tab w:val="left" w:pos="1800"/>
        </w:tabs>
        <w:ind w:left="2160"/>
      </w:pPr>
      <w:r w:rsidRPr="00EA59C0">
        <w:t>Assisting grantee by providing comprehensive counseling and coaching to TAACCCT participants to help improve participant retention and completion of the TAACCCT program.  Specific strategies could include intrusive counseling, expanded and extensive mentoring services, and technology-enabled advising not otherwise available at the AJC.</w:t>
      </w:r>
    </w:p>
    <w:p w:rsidR="00BD2B95" w:rsidRPr="00EA59C0" w:rsidRDefault="00BD2B95" w:rsidP="00BD2B95">
      <w:pPr>
        <w:pStyle w:val="ListParagraph"/>
        <w:numPr>
          <w:ilvl w:val="0"/>
          <w:numId w:val="19"/>
        </w:numPr>
        <w:tabs>
          <w:tab w:val="left" w:pos="1800"/>
        </w:tabs>
        <w:ind w:left="2160"/>
      </w:pPr>
      <w:r w:rsidRPr="00EA59C0">
        <w:t>Customizing tracking and reporting outcomes data for all TAACCCT participants as they complete the program and enter the workforce, to improve reporting on TAACCCT programs;</w:t>
      </w:r>
    </w:p>
    <w:p w:rsidR="00BD2B95" w:rsidRPr="00EA59C0" w:rsidRDefault="00BD2B95" w:rsidP="00BD2B95">
      <w:pPr>
        <w:pStyle w:val="ListParagraph"/>
        <w:numPr>
          <w:ilvl w:val="0"/>
          <w:numId w:val="19"/>
        </w:numPr>
        <w:tabs>
          <w:tab w:val="left" w:pos="1800"/>
        </w:tabs>
        <w:ind w:left="2160"/>
      </w:pPr>
      <w:r w:rsidRPr="00EA59C0">
        <w:t>Connecting TAACCCT participants with employer partners to assist them in recruiting and hiring individuals who complete the TAACCCT program and achieving the grant’s overall employment and retention goals.</w:t>
      </w:r>
    </w:p>
    <w:p w:rsidR="00BD2B95" w:rsidRPr="00EA59C0" w:rsidRDefault="00BD2B95" w:rsidP="00BD2B95">
      <w:pPr>
        <w:pStyle w:val="ListParagraph"/>
        <w:numPr>
          <w:ilvl w:val="0"/>
          <w:numId w:val="19"/>
        </w:numPr>
        <w:tabs>
          <w:tab w:val="left" w:pos="1800"/>
        </w:tabs>
        <w:ind w:left="2160"/>
      </w:pPr>
      <w:r w:rsidRPr="00EA59C0">
        <w:t xml:space="preserve">Providing seamless coordination of college and AJC assessment, support, counseling, and other services for TAACCCT participants through Career Coaches, such as Workforce Navigators for the TAACCCT program. </w:t>
      </w:r>
    </w:p>
    <w:p w:rsidR="00BD2B95" w:rsidRPr="00EA59C0" w:rsidRDefault="00BD2B95" w:rsidP="00BD2B95">
      <w:pPr>
        <w:pStyle w:val="ListParagraph"/>
        <w:ind w:left="1440"/>
      </w:pPr>
    </w:p>
    <w:p w:rsidR="00BD2B95" w:rsidRPr="00EA59C0" w:rsidRDefault="00BD2B95" w:rsidP="00BD2B95">
      <w:pPr>
        <w:ind w:left="1440"/>
      </w:pPr>
      <w:r w:rsidRPr="00EA59C0">
        <w:t>Where appropriate, the services could be provided on the campus of the eligible institution in order to leverage campus-based services and provide greater ease of access for the TAA-eligible worker and other unemployed adults enrolled in training on campus.  Alternatively, targeted student services related to the TAACCCT project that could create opportunities for broader community outreach to TAA-eligible and other unemployed workers could be provided in an AJC.</w:t>
      </w:r>
    </w:p>
    <w:p w:rsidR="00BD2B95" w:rsidRPr="00EA59C0" w:rsidRDefault="00BD2B95" w:rsidP="00BD2B95">
      <w:pPr>
        <w:ind w:left="1440"/>
      </w:pPr>
    </w:p>
    <w:p w:rsidR="00BD2B95" w:rsidRPr="00EA59C0" w:rsidRDefault="00BD2B95" w:rsidP="00BD2B95">
      <w:pPr>
        <w:ind w:left="1440"/>
      </w:pPr>
      <w:r w:rsidRPr="00EA59C0">
        <w:t>Applicants should note that any activities and services provided through contracts with WIBs or located at an AJC must be dedicated resources to the TAACCCT program and not already funded through other Federal funding programs.</w:t>
      </w:r>
    </w:p>
    <w:p w:rsidR="00BD2B95" w:rsidRPr="00EA59C0" w:rsidRDefault="00BD2B95" w:rsidP="00E34EEF">
      <w:pPr>
        <w:ind w:left="1440"/>
      </w:pPr>
    </w:p>
    <w:p w:rsidR="00F826C6" w:rsidRPr="00EA59C0" w:rsidRDefault="00F826C6" w:rsidP="00D03948">
      <w:pPr>
        <w:pStyle w:val="ListParagraph"/>
        <w:ind w:left="1440"/>
      </w:pPr>
    </w:p>
    <w:p w:rsidR="00472029" w:rsidRPr="00EA59C0" w:rsidRDefault="00472029" w:rsidP="00D03948">
      <w:pPr>
        <w:pStyle w:val="ListParagraph"/>
        <w:numPr>
          <w:ilvl w:val="3"/>
          <w:numId w:val="17"/>
        </w:numPr>
      </w:pPr>
      <w:r w:rsidRPr="00EA59C0">
        <w:t>Philanthropic</w:t>
      </w:r>
      <w:r w:rsidR="00C026A6" w:rsidRPr="00EA59C0">
        <w:t xml:space="preserve"> </w:t>
      </w:r>
      <w:r w:rsidRPr="00EA59C0">
        <w:t>Organizations,</w:t>
      </w:r>
      <w:r w:rsidR="00C026A6" w:rsidRPr="00EA59C0">
        <w:t xml:space="preserve"> </w:t>
      </w:r>
      <w:r w:rsidRPr="00EA59C0">
        <w:t>Business-related</w:t>
      </w:r>
      <w:r w:rsidR="00C026A6" w:rsidRPr="00EA59C0">
        <w:t xml:space="preserve"> </w:t>
      </w:r>
      <w:r w:rsidRPr="00EA59C0">
        <w:t>and</w:t>
      </w:r>
      <w:r w:rsidR="00C026A6" w:rsidRPr="00EA59C0">
        <w:t xml:space="preserve"> </w:t>
      </w:r>
      <w:r w:rsidRPr="00EA59C0">
        <w:t>Other</w:t>
      </w:r>
      <w:r w:rsidR="00C026A6" w:rsidRPr="00EA59C0">
        <w:t xml:space="preserve"> </w:t>
      </w:r>
      <w:r w:rsidRPr="00EA59C0">
        <w:t>Non</w:t>
      </w:r>
      <w:r w:rsidR="00792D5C" w:rsidRPr="00EA59C0">
        <w:t>p</w:t>
      </w:r>
      <w:r w:rsidR="000121F3" w:rsidRPr="00EA59C0">
        <w:t>rofit</w:t>
      </w:r>
      <w:r w:rsidR="00C026A6" w:rsidRPr="00EA59C0">
        <w:t xml:space="preserve"> </w:t>
      </w:r>
      <w:r w:rsidRPr="00EA59C0">
        <w:t>Organizations,</w:t>
      </w:r>
      <w:r w:rsidR="00C026A6" w:rsidRPr="00EA59C0">
        <w:t xml:space="preserve"> </w:t>
      </w:r>
      <w:r w:rsidRPr="00EA59C0">
        <w:t>Community-based</w:t>
      </w:r>
      <w:r w:rsidR="00C026A6" w:rsidRPr="00EA59C0">
        <w:t xml:space="preserve"> </w:t>
      </w:r>
      <w:r w:rsidRPr="00EA59C0">
        <w:t>Organizations,</w:t>
      </w:r>
      <w:r w:rsidR="00C026A6" w:rsidRPr="00EA59C0">
        <w:t xml:space="preserve"> </w:t>
      </w:r>
      <w:r w:rsidRPr="00EA59C0">
        <w:t>and</w:t>
      </w:r>
      <w:r w:rsidR="00C026A6" w:rsidRPr="00EA59C0">
        <w:t xml:space="preserve"> </w:t>
      </w:r>
      <w:r w:rsidRPr="00EA59C0">
        <w:t>Labor</w:t>
      </w:r>
      <w:r w:rsidR="00C026A6" w:rsidRPr="00EA59C0">
        <w:t xml:space="preserve"> </w:t>
      </w:r>
      <w:r w:rsidRPr="00EA59C0">
        <w:t>Organizations</w:t>
      </w:r>
    </w:p>
    <w:p w:rsidR="00F826C6" w:rsidRPr="00EA59C0" w:rsidRDefault="00F826C6" w:rsidP="00D03948">
      <w:pPr>
        <w:pStyle w:val="ListParagraph"/>
        <w:ind w:left="1440"/>
      </w:pPr>
    </w:p>
    <w:p w:rsidR="0032215C" w:rsidRPr="00EA59C0" w:rsidRDefault="0032215C" w:rsidP="00D03948">
      <w:pPr>
        <w:pStyle w:val="ListParagraph"/>
        <w:ind w:left="1440"/>
      </w:pPr>
      <w:r w:rsidRPr="00EA59C0">
        <w:t>Philanthropic</w:t>
      </w:r>
      <w:r w:rsidR="00C026A6" w:rsidRPr="00EA59C0">
        <w:t xml:space="preserve"> </w:t>
      </w:r>
      <w:r w:rsidRPr="00EA59C0">
        <w:t>organizations,</w:t>
      </w:r>
      <w:r w:rsidR="00C026A6" w:rsidRPr="00EA59C0">
        <w:t xml:space="preserve"> </w:t>
      </w:r>
      <w:r w:rsidRPr="00EA59C0">
        <w:t>business-related</w:t>
      </w:r>
      <w:r w:rsidR="00C026A6" w:rsidRPr="00EA59C0">
        <w:t xml:space="preserve"> </w:t>
      </w:r>
      <w:r w:rsidRPr="00EA59C0">
        <w:t>and</w:t>
      </w:r>
      <w:r w:rsidR="00C026A6" w:rsidRPr="00EA59C0">
        <w:t xml:space="preserve"> </w:t>
      </w:r>
      <w:r w:rsidRPr="00EA59C0">
        <w:t>other</w:t>
      </w:r>
      <w:r w:rsidR="00C026A6" w:rsidRPr="00EA59C0">
        <w:t xml:space="preserve"> </w:t>
      </w:r>
      <w:r w:rsidRPr="00EA59C0">
        <w:t>non-profit</w:t>
      </w:r>
      <w:r w:rsidR="00C026A6" w:rsidRPr="00EA59C0">
        <w:t xml:space="preserve"> </w:t>
      </w:r>
      <w:r w:rsidRPr="00EA59C0">
        <w:t>organizations,</w:t>
      </w:r>
      <w:r w:rsidR="00C026A6" w:rsidRPr="00EA59C0">
        <w:t xml:space="preserve"> </w:t>
      </w:r>
      <w:r w:rsidRPr="00EA59C0">
        <w:t>community-based</w:t>
      </w:r>
      <w:r w:rsidR="00C026A6" w:rsidRPr="00EA59C0">
        <w:t xml:space="preserve"> </w:t>
      </w:r>
      <w:r w:rsidRPr="00EA59C0">
        <w:t>organizations,</w:t>
      </w:r>
      <w:r w:rsidR="00C026A6" w:rsidRPr="00EA59C0">
        <w:t xml:space="preserve"> </w:t>
      </w:r>
      <w:r w:rsidRPr="00EA59C0">
        <w:t>and</w:t>
      </w:r>
      <w:r w:rsidR="00C026A6" w:rsidRPr="00EA59C0">
        <w:t xml:space="preserve"> </w:t>
      </w:r>
      <w:r w:rsidRPr="00EA59C0">
        <w:t>labor</w:t>
      </w:r>
      <w:r w:rsidR="00C026A6" w:rsidRPr="00EA59C0">
        <w:t xml:space="preserve"> </w:t>
      </w:r>
      <w:r w:rsidRPr="00EA59C0">
        <w:t>organizations</w:t>
      </w:r>
      <w:r w:rsidR="00C026A6" w:rsidRPr="00EA59C0">
        <w:t xml:space="preserve"> </w:t>
      </w:r>
      <w:r w:rsidRPr="00EA59C0">
        <w:t>can</w:t>
      </w:r>
      <w:r w:rsidR="00C026A6" w:rsidRPr="00EA59C0">
        <w:t xml:space="preserve"> </w:t>
      </w:r>
      <w:r w:rsidRPr="00EA59C0">
        <w:t>be</w:t>
      </w:r>
      <w:r w:rsidR="00C026A6" w:rsidRPr="00EA59C0">
        <w:t xml:space="preserve"> </w:t>
      </w:r>
      <w:r w:rsidRPr="00EA59C0">
        <w:t>invaluable</w:t>
      </w:r>
      <w:r w:rsidR="00C026A6" w:rsidRPr="00EA59C0">
        <w:t xml:space="preserve"> </w:t>
      </w:r>
      <w:r w:rsidR="00BC05B4" w:rsidRPr="00EA59C0">
        <w:t>in</w:t>
      </w:r>
      <w:r w:rsidR="00C026A6" w:rsidRPr="00EA59C0">
        <w:t xml:space="preserve"> </w:t>
      </w:r>
      <w:r w:rsidR="00BC05B4" w:rsidRPr="00EA59C0">
        <w:t>aiding</w:t>
      </w:r>
      <w:r w:rsidR="00C026A6" w:rsidRPr="00EA59C0">
        <w:t xml:space="preserve"> </w:t>
      </w:r>
      <w:r w:rsidRPr="00EA59C0">
        <w:t>community</w:t>
      </w:r>
      <w:r w:rsidR="00C026A6" w:rsidRPr="00EA59C0">
        <w:t xml:space="preserve"> </w:t>
      </w:r>
      <w:r w:rsidRPr="00EA59C0">
        <w:t>colleges</w:t>
      </w:r>
      <w:r w:rsidR="00C026A6" w:rsidRPr="00EA59C0">
        <w:t xml:space="preserve"> </w:t>
      </w:r>
      <w:r w:rsidR="00E7439D" w:rsidRPr="00EA59C0">
        <w:t>and</w:t>
      </w:r>
      <w:r w:rsidR="00C026A6" w:rsidRPr="00EA59C0">
        <w:t xml:space="preserve"> </w:t>
      </w:r>
      <w:r w:rsidR="00E7439D" w:rsidRPr="00EA59C0">
        <w:t>other</w:t>
      </w:r>
      <w:r w:rsidR="00C026A6" w:rsidRPr="00EA59C0">
        <w:t xml:space="preserve"> </w:t>
      </w:r>
      <w:r w:rsidR="00E7439D" w:rsidRPr="00EA59C0">
        <w:t>eligible</w:t>
      </w:r>
      <w:r w:rsidR="00C026A6" w:rsidRPr="00EA59C0">
        <w:t xml:space="preserve"> </w:t>
      </w:r>
      <w:r w:rsidR="00E7439D" w:rsidRPr="00EA59C0">
        <w:t>institutions</w:t>
      </w:r>
      <w:r w:rsidR="00C026A6" w:rsidRPr="00EA59C0">
        <w:t xml:space="preserve"> </w:t>
      </w:r>
      <w:r w:rsidRPr="00EA59C0">
        <w:t>to</w:t>
      </w:r>
      <w:r w:rsidR="00C026A6" w:rsidRPr="00EA59C0">
        <w:t xml:space="preserve"> </w:t>
      </w:r>
      <w:r w:rsidRPr="00EA59C0">
        <w:t>support</w:t>
      </w:r>
      <w:r w:rsidR="00C026A6" w:rsidRPr="00EA59C0">
        <w:t xml:space="preserve"> </w:t>
      </w:r>
      <w:r w:rsidRPr="00EA59C0">
        <w:t>workers</w:t>
      </w:r>
      <w:r w:rsidR="00C026A6" w:rsidRPr="00EA59C0">
        <w:t xml:space="preserve"> </w:t>
      </w:r>
      <w:r w:rsidRPr="00EA59C0">
        <w:t>as</w:t>
      </w:r>
      <w:r w:rsidR="00C026A6" w:rsidRPr="00EA59C0">
        <w:t xml:space="preserve"> </w:t>
      </w:r>
      <w:r w:rsidRPr="00EA59C0">
        <w:t>they</w:t>
      </w:r>
      <w:r w:rsidR="00C026A6" w:rsidRPr="00EA59C0">
        <w:t xml:space="preserve"> </w:t>
      </w:r>
      <w:r w:rsidRPr="00EA59C0">
        <w:t>improve</w:t>
      </w:r>
      <w:r w:rsidR="00C026A6" w:rsidRPr="00EA59C0">
        <w:t xml:space="preserve"> </w:t>
      </w:r>
      <w:r w:rsidRPr="00EA59C0">
        <w:t>employment-related</w:t>
      </w:r>
      <w:r w:rsidR="00C026A6" w:rsidRPr="00EA59C0">
        <w:t xml:space="preserve"> </w:t>
      </w:r>
      <w:r w:rsidRPr="00EA59C0">
        <w:t>skills.</w:t>
      </w:r>
      <w:r w:rsidR="00C026A6" w:rsidRPr="00EA59C0">
        <w:t xml:space="preserve">  </w:t>
      </w:r>
      <w:r w:rsidR="00BC05B4" w:rsidRPr="00EA59C0">
        <w:t>Successful</w:t>
      </w:r>
      <w:r w:rsidR="00C026A6" w:rsidRPr="00EA59C0">
        <w:t xml:space="preserve"> </w:t>
      </w:r>
      <w:r w:rsidR="00BC05B4" w:rsidRPr="00EA59C0">
        <w:t>a</w:t>
      </w:r>
      <w:r w:rsidRPr="00EA59C0">
        <w:t>pplicants</w:t>
      </w:r>
      <w:r w:rsidR="00C026A6" w:rsidRPr="00EA59C0">
        <w:t xml:space="preserve"> </w:t>
      </w:r>
      <w:r w:rsidR="006402D0" w:rsidRPr="00EA59C0">
        <w:t>should</w:t>
      </w:r>
      <w:r w:rsidR="00C026A6" w:rsidRPr="00EA59C0">
        <w:t xml:space="preserve"> </w:t>
      </w:r>
      <w:r w:rsidRPr="00EA59C0">
        <w:t>plan</w:t>
      </w:r>
      <w:r w:rsidR="00C026A6" w:rsidRPr="00EA59C0">
        <w:t xml:space="preserve"> </w:t>
      </w:r>
      <w:r w:rsidRPr="00EA59C0">
        <w:t>to</w:t>
      </w:r>
      <w:r w:rsidR="00C026A6" w:rsidRPr="00EA59C0">
        <w:t xml:space="preserve"> </w:t>
      </w:r>
      <w:r w:rsidRPr="00EA59C0">
        <w:t>leverage</w:t>
      </w:r>
      <w:r w:rsidR="00C026A6" w:rsidRPr="00EA59C0">
        <w:t xml:space="preserve"> </w:t>
      </w:r>
      <w:r w:rsidRPr="00EA59C0">
        <w:t>the</w:t>
      </w:r>
      <w:r w:rsidR="00C026A6" w:rsidRPr="00EA59C0">
        <w:t xml:space="preserve"> </w:t>
      </w:r>
      <w:r w:rsidRPr="00EA59C0">
        <w:t>work</w:t>
      </w:r>
      <w:r w:rsidR="00C026A6" w:rsidRPr="00EA59C0">
        <w:t xml:space="preserve"> </w:t>
      </w:r>
      <w:r w:rsidRPr="00EA59C0">
        <w:t>of</w:t>
      </w:r>
      <w:r w:rsidR="00C026A6" w:rsidRPr="00EA59C0">
        <w:t xml:space="preserve"> </w:t>
      </w:r>
      <w:r w:rsidRPr="00EA59C0">
        <w:t>these</w:t>
      </w:r>
      <w:r w:rsidR="00C026A6" w:rsidRPr="00EA59C0">
        <w:t xml:space="preserve"> </w:t>
      </w:r>
      <w:r w:rsidRPr="00EA59C0">
        <w:t>organizations</w:t>
      </w:r>
      <w:r w:rsidR="00C026A6" w:rsidRPr="00EA59C0">
        <w:t xml:space="preserve"> </w:t>
      </w:r>
      <w:r w:rsidRPr="00EA59C0">
        <w:t>in</w:t>
      </w:r>
      <w:r w:rsidR="00C026A6" w:rsidRPr="00EA59C0">
        <w:t xml:space="preserve"> </w:t>
      </w:r>
      <w:r w:rsidRPr="00EA59C0">
        <w:t>areas,</w:t>
      </w:r>
      <w:r w:rsidR="00C026A6" w:rsidRPr="00EA59C0">
        <w:t xml:space="preserve"> </w:t>
      </w:r>
      <w:r w:rsidRPr="00EA59C0">
        <w:t>including</w:t>
      </w:r>
      <w:r w:rsidR="00C026A6" w:rsidRPr="00EA59C0">
        <w:t xml:space="preserve"> </w:t>
      </w:r>
      <w:r w:rsidRPr="00EA59C0">
        <w:t>but</w:t>
      </w:r>
      <w:r w:rsidR="00C026A6" w:rsidRPr="00EA59C0">
        <w:t xml:space="preserve"> </w:t>
      </w:r>
      <w:r w:rsidRPr="00EA59C0">
        <w:t>not</w:t>
      </w:r>
      <w:r w:rsidR="00C026A6" w:rsidRPr="00EA59C0">
        <w:t xml:space="preserve"> </w:t>
      </w:r>
      <w:r w:rsidRPr="00EA59C0">
        <w:t>limited</w:t>
      </w:r>
      <w:r w:rsidR="00C026A6" w:rsidRPr="00EA59C0">
        <w:t xml:space="preserve"> </w:t>
      </w:r>
      <w:r w:rsidRPr="00EA59C0">
        <w:t>to:</w:t>
      </w:r>
      <w:r w:rsidR="00C026A6" w:rsidRPr="00EA59C0">
        <w:t xml:space="preserve">  </w:t>
      </w:r>
      <w:r w:rsidRPr="00EA59C0">
        <w:t>community</w:t>
      </w:r>
      <w:r w:rsidR="00C026A6" w:rsidRPr="00EA59C0">
        <w:t xml:space="preserve"> </w:t>
      </w:r>
      <w:r w:rsidRPr="00EA59C0">
        <w:t>outreach,</w:t>
      </w:r>
      <w:r w:rsidR="00C026A6" w:rsidRPr="00EA59C0">
        <w:t xml:space="preserve"> </w:t>
      </w:r>
      <w:r w:rsidRPr="00EA59C0">
        <w:t>recruitment</w:t>
      </w:r>
      <w:r w:rsidR="00C026A6" w:rsidRPr="00EA59C0">
        <w:t xml:space="preserve"> </w:t>
      </w:r>
      <w:r w:rsidRPr="00EA59C0">
        <w:t>and</w:t>
      </w:r>
      <w:r w:rsidR="00C026A6" w:rsidRPr="00EA59C0">
        <w:t xml:space="preserve"> </w:t>
      </w:r>
      <w:r w:rsidRPr="00EA59C0">
        <w:t>screening</w:t>
      </w:r>
      <w:r w:rsidR="00C026A6" w:rsidRPr="00EA59C0">
        <w:t xml:space="preserve"> </w:t>
      </w:r>
      <w:r w:rsidRPr="00EA59C0">
        <w:t>of</w:t>
      </w:r>
      <w:r w:rsidR="00C026A6" w:rsidRPr="00EA59C0">
        <w:t xml:space="preserve"> </w:t>
      </w:r>
      <w:r w:rsidRPr="00EA59C0">
        <w:t>program</w:t>
      </w:r>
      <w:r w:rsidR="00C026A6" w:rsidRPr="00EA59C0">
        <w:t xml:space="preserve"> </w:t>
      </w:r>
      <w:r w:rsidRPr="00EA59C0">
        <w:t>participants,</w:t>
      </w:r>
      <w:r w:rsidR="00C026A6" w:rsidRPr="00EA59C0">
        <w:t xml:space="preserve"> </w:t>
      </w:r>
      <w:r w:rsidRPr="00EA59C0">
        <w:t>career</w:t>
      </w:r>
      <w:r w:rsidR="00C026A6" w:rsidRPr="00EA59C0">
        <w:t xml:space="preserve"> </w:t>
      </w:r>
      <w:r w:rsidRPr="00EA59C0">
        <w:t>counseling,</w:t>
      </w:r>
      <w:r w:rsidR="00C026A6" w:rsidRPr="00EA59C0">
        <w:t xml:space="preserve"> </w:t>
      </w:r>
      <w:r w:rsidRPr="00EA59C0">
        <w:t>wrap-around</w:t>
      </w:r>
      <w:r w:rsidR="00C026A6" w:rsidRPr="00EA59C0">
        <w:t xml:space="preserve"> </w:t>
      </w:r>
      <w:r w:rsidRPr="00EA59C0">
        <w:t>support</w:t>
      </w:r>
      <w:r w:rsidR="00C026A6" w:rsidRPr="00EA59C0">
        <w:t xml:space="preserve"> </w:t>
      </w:r>
      <w:r w:rsidRPr="00EA59C0">
        <w:t>services,</w:t>
      </w:r>
      <w:r w:rsidR="00C026A6" w:rsidRPr="00EA59C0">
        <w:t xml:space="preserve"> </w:t>
      </w:r>
      <w:r w:rsidRPr="00EA59C0">
        <w:t>and</w:t>
      </w:r>
      <w:r w:rsidR="00C026A6" w:rsidRPr="00EA59C0">
        <w:t xml:space="preserve"> </w:t>
      </w:r>
      <w:r w:rsidRPr="00EA59C0">
        <w:t>employer</w:t>
      </w:r>
      <w:r w:rsidR="00C026A6" w:rsidRPr="00EA59C0">
        <w:t xml:space="preserve"> </w:t>
      </w:r>
      <w:r w:rsidRPr="00EA59C0">
        <w:t>engagement.</w:t>
      </w:r>
    </w:p>
    <w:p w:rsidR="0032215C" w:rsidRPr="00EA59C0" w:rsidRDefault="0032215C" w:rsidP="00D03948">
      <w:pPr>
        <w:pStyle w:val="ListParagraph"/>
        <w:ind w:left="1440"/>
      </w:pPr>
    </w:p>
    <w:p w:rsidR="0032215C" w:rsidRPr="00EA59C0" w:rsidRDefault="0032215C" w:rsidP="00161054">
      <w:pPr>
        <w:ind w:left="1440"/>
      </w:pPr>
      <w:r w:rsidRPr="00EA59C0">
        <w:t>These</w:t>
      </w:r>
      <w:r w:rsidR="00C026A6" w:rsidRPr="00EA59C0">
        <w:t xml:space="preserve"> </w:t>
      </w:r>
      <w:r w:rsidRPr="00EA59C0">
        <w:t>types</w:t>
      </w:r>
      <w:r w:rsidR="00C026A6" w:rsidRPr="00EA59C0">
        <w:t xml:space="preserve"> </w:t>
      </w:r>
      <w:r w:rsidRPr="00EA59C0">
        <w:t>of</w:t>
      </w:r>
      <w:r w:rsidR="00C026A6" w:rsidRPr="00EA59C0">
        <w:t xml:space="preserve"> </w:t>
      </w:r>
      <w:r w:rsidRPr="00EA59C0">
        <w:t>organizations</w:t>
      </w:r>
      <w:r w:rsidR="00C026A6" w:rsidRPr="00EA59C0">
        <w:t xml:space="preserve"> </w:t>
      </w:r>
      <w:r w:rsidRPr="00EA59C0">
        <w:t>may</w:t>
      </w:r>
      <w:r w:rsidR="00C026A6" w:rsidRPr="00EA59C0">
        <w:t xml:space="preserve"> </w:t>
      </w:r>
      <w:r w:rsidRPr="00EA59C0">
        <w:t>also</w:t>
      </w:r>
      <w:r w:rsidR="00C026A6" w:rsidRPr="00EA59C0">
        <w:t xml:space="preserve"> </w:t>
      </w:r>
      <w:r w:rsidRPr="00EA59C0">
        <w:t>have</w:t>
      </w:r>
      <w:r w:rsidR="00C026A6" w:rsidRPr="00EA59C0">
        <w:t xml:space="preserve"> </w:t>
      </w:r>
      <w:r w:rsidRPr="00EA59C0">
        <w:t>critical</w:t>
      </w:r>
      <w:r w:rsidR="00C026A6" w:rsidRPr="00EA59C0">
        <w:t xml:space="preserve"> </w:t>
      </w:r>
      <w:r w:rsidRPr="00EA59C0">
        <w:t>relationships</w:t>
      </w:r>
      <w:r w:rsidR="00C026A6" w:rsidRPr="00EA59C0">
        <w:t xml:space="preserve"> </w:t>
      </w:r>
      <w:r w:rsidRPr="00EA59C0">
        <w:t>with</w:t>
      </w:r>
      <w:r w:rsidR="00C026A6" w:rsidRPr="00EA59C0">
        <w:t xml:space="preserve"> </w:t>
      </w:r>
      <w:r w:rsidRPr="00EA59C0">
        <w:t>employers</w:t>
      </w:r>
      <w:r w:rsidR="00C026A6" w:rsidRPr="00EA59C0">
        <w:t xml:space="preserve"> </w:t>
      </w:r>
      <w:r w:rsidRPr="00EA59C0">
        <w:t>and</w:t>
      </w:r>
      <w:r w:rsidR="00C026A6" w:rsidRPr="00EA59C0">
        <w:t xml:space="preserve"> </w:t>
      </w:r>
      <w:r w:rsidRPr="00EA59C0">
        <w:t>industry.</w:t>
      </w:r>
      <w:r w:rsidR="00C026A6" w:rsidRPr="00EA59C0">
        <w:t xml:space="preserve">  </w:t>
      </w:r>
      <w:r w:rsidRPr="00EA59C0">
        <w:t>Applicants</w:t>
      </w:r>
      <w:r w:rsidR="00C026A6" w:rsidRPr="00EA59C0">
        <w:t xml:space="preserve"> </w:t>
      </w:r>
      <w:r w:rsidRPr="00EA59C0">
        <w:t>are</w:t>
      </w:r>
      <w:r w:rsidR="00C026A6" w:rsidRPr="00EA59C0">
        <w:t xml:space="preserve"> </w:t>
      </w:r>
      <w:r w:rsidRPr="00EA59C0">
        <w:t>encouraged</w:t>
      </w:r>
      <w:r w:rsidR="00C026A6" w:rsidRPr="00EA59C0">
        <w:t xml:space="preserve"> </w:t>
      </w:r>
      <w:r w:rsidRPr="00EA59C0">
        <w:t>to</w:t>
      </w:r>
      <w:r w:rsidR="00C026A6" w:rsidRPr="00EA59C0">
        <w:t xml:space="preserve"> </w:t>
      </w:r>
      <w:r w:rsidRPr="00EA59C0">
        <w:t>work</w:t>
      </w:r>
      <w:r w:rsidR="00C026A6" w:rsidRPr="00EA59C0">
        <w:t xml:space="preserve"> </w:t>
      </w:r>
      <w:r w:rsidRPr="00EA59C0">
        <w:t>with</w:t>
      </w:r>
      <w:r w:rsidR="00C026A6" w:rsidRPr="00EA59C0">
        <w:t xml:space="preserve"> </w:t>
      </w:r>
      <w:r w:rsidRPr="00EA59C0">
        <w:t>non-profit</w:t>
      </w:r>
      <w:r w:rsidR="00C026A6" w:rsidRPr="00EA59C0">
        <w:t xml:space="preserve"> </w:t>
      </w:r>
      <w:r w:rsidRPr="00EA59C0">
        <w:t>and</w:t>
      </w:r>
      <w:r w:rsidR="00C026A6" w:rsidRPr="00EA59C0">
        <w:t xml:space="preserve"> </w:t>
      </w:r>
      <w:r w:rsidRPr="00EA59C0">
        <w:t>philanthropic</w:t>
      </w:r>
      <w:r w:rsidR="00C026A6" w:rsidRPr="00EA59C0">
        <w:t xml:space="preserve"> </w:t>
      </w:r>
      <w:r w:rsidRPr="00EA59C0">
        <w:t>organizations</w:t>
      </w:r>
      <w:r w:rsidR="00C026A6" w:rsidRPr="00EA59C0">
        <w:t xml:space="preserve"> </w:t>
      </w:r>
      <w:r w:rsidRPr="00EA59C0">
        <w:t>that</w:t>
      </w:r>
      <w:r w:rsidR="00C026A6" w:rsidRPr="00EA59C0">
        <w:t xml:space="preserve"> </w:t>
      </w:r>
      <w:r w:rsidRPr="00EA59C0">
        <w:t>have</w:t>
      </w:r>
      <w:r w:rsidR="00C026A6" w:rsidRPr="00EA59C0">
        <w:t xml:space="preserve"> </w:t>
      </w:r>
      <w:r w:rsidRPr="00EA59C0">
        <w:t>long-term</w:t>
      </w:r>
      <w:r w:rsidR="00C026A6" w:rsidRPr="00EA59C0">
        <w:t xml:space="preserve"> </w:t>
      </w:r>
      <w:r w:rsidRPr="00EA59C0">
        <w:t>relationship</w:t>
      </w:r>
      <w:r w:rsidR="00C93FA4" w:rsidRPr="00EA59C0">
        <w:t>s</w:t>
      </w:r>
      <w:r w:rsidR="00C026A6" w:rsidRPr="00EA59C0">
        <w:t xml:space="preserve"> </w:t>
      </w:r>
      <w:r w:rsidRPr="00EA59C0">
        <w:t>with</w:t>
      </w:r>
      <w:r w:rsidR="00C026A6" w:rsidRPr="00EA59C0">
        <w:t xml:space="preserve"> </w:t>
      </w:r>
      <w:r w:rsidRPr="00EA59C0">
        <w:t>employers,</w:t>
      </w:r>
      <w:r w:rsidR="00C026A6" w:rsidRPr="00EA59C0">
        <w:t xml:space="preserve"> </w:t>
      </w:r>
      <w:r w:rsidRPr="00EA59C0">
        <w:t>particularly</w:t>
      </w:r>
      <w:r w:rsidR="00C026A6" w:rsidRPr="00EA59C0">
        <w:t xml:space="preserve"> </w:t>
      </w:r>
      <w:r w:rsidRPr="00EA59C0">
        <w:t>non-profit</w:t>
      </w:r>
      <w:r w:rsidR="00C026A6" w:rsidRPr="00EA59C0">
        <w:t xml:space="preserve"> </w:t>
      </w:r>
      <w:r w:rsidRPr="00EA59C0">
        <w:t>organizations</w:t>
      </w:r>
      <w:r w:rsidR="00C026A6" w:rsidRPr="00EA59C0">
        <w:t xml:space="preserve"> </w:t>
      </w:r>
      <w:r w:rsidRPr="00EA59C0">
        <w:t>that</w:t>
      </w:r>
      <w:r w:rsidR="00C026A6" w:rsidRPr="00EA59C0">
        <w:t xml:space="preserve"> </w:t>
      </w:r>
      <w:r w:rsidRPr="00EA59C0">
        <w:t>have</w:t>
      </w:r>
      <w:r w:rsidR="00C026A6" w:rsidRPr="00EA59C0">
        <w:t xml:space="preserve"> </w:t>
      </w:r>
      <w:r w:rsidRPr="00EA59C0">
        <w:t>deep</w:t>
      </w:r>
      <w:r w:rsidR="00C026A6" w:rsidRPr="00EA59C0">
        <w:t xml:space="preserve"> </w:t>
      </w:r>
      <w:r w:rsidRPr="00EA59C0">
        <w:t>knowledge</w:t>
      </w:r>
      <w:r w:rsidR="00C026A6" w:rsidRPr="00EA59C0">
        <w:t xml:space="preserve"> </w:t>
      </w:r>
      <w:r w:rsidRPr="00EA59C0">
        <w:t>of</w:t>
      </w:r>
      <w:r w:rsidR="00C026A6" w:rsidRPr="00EA59C0">
        <w:t xml:space="preserve"> </w:t>
      </w:r>
      <w:r w:rsidRPr="00EA59C0">
        <w:t>particular</w:t>
      </w:r>
      <w:r w:rsidR="00C026A6" w:rsidRPr="00EA59C0">
        <w:t xml:space="preserve"> </w:t>
      </w:r>
      <w:r w:rsidRPr="00EA59C0">
        <w:t>sectors</w:t>
      </w:r>
      <w:r w:rsidR="00C026A6" w:rsidRPr="00EA59C0">
        <w:t xml:space="preserve"> </w:t>
      </w:r>
      <w:r w:rsidRPr="00EA59C0">
        <w:t>in</w:t>
      </w:r>
      <w:r w:rsidR="00C026A6" w:rsidRPr="00EA59C0">
        <w:t xml:space="preserve"> </w:t>
      </w:r>
      <w:r w:rsidRPr="00EA59C0">
        <w:t>which</w:t>
      </w:r>
      <w:r w:rsidR="00C026A6" w:rsidRPr="00EA59C0">
        <w:t xml:space="preserve"> </w:t>
      </w:r>
      <w:r w:rsidR="00E7439D" w:rsidRPr="00EA59C0">
        <w:t>eligible</w:t>
      </w:r>
      <w:r w:rsidR="00C026A6" w:rsidRPr="00EA59C0">
        <w:t xml:space="preserve"> </w:t>
      </w:r>
      <w:r w:rsidR="00E7439D" w:rsidRPr="00EA59C0">
        <w:t>intuitions</w:t>
      </w:r>
      <w:r w:rsidR="00C026A6" w:rsidRPr="00EA59C0">
        <w:t xml:space="preserve"> </w:t>
      </w:r>
      <w:r w:rsidRPr="00EA59C0">
        <w:t>are</w:t>
      </w:r>
      <w:r w:rsidR="00C026A6" w:rsidRPr="00EA59C0">
        <w:t xml:space="preserve"> </w:t>
      </w:r>
      <w:r w:rsidRPr="00EA59C0">
        <w:t>proposing</w:t>
      </w:r>
      <w:r w:rsidR="00C026A6" w:rsidRPr="00EA59C0">
        <w:t xml:space="preserve"> </w:t>
      </w:r>
      <w:r w:rsidRPr="00EA59C0">
        <w:t>training</w:t>
      </w:r>
      <w:r w:rsidR="00C026A6" w:rsidRPr="00EA59C0">
        <w:t xml:space="preserve"> </w:t>
      </w:r>
      <w:r w:rsidRPr="00EA59C0">
        <w:t>and</w:t>
      </w:r>
      <w:r w:rsidR="00C026A6" w:rsidRPr="00EA59C0">
        <w:t xml:space="preserve"> </w:t>
      </w:r>
      <w:r w:rsidRPr="00EA59C0">
        <w:t>education</w:t>
      </w:r>
      <w:r w:rsidR="00C026A6" w:rsidRPr="00EA59C0">
        <w:t xml:space="preserve"> </w:t>
      </w:r>
      <w:r w:rsidRPr="00EA59C0">
        <w:t>programs.</w:t>
      </w:r>
      <w:r w:rsidR="00C026A6" w:rsidRPr="00EA59C0">
        <w:t xml:space="preserve">  </w:t>
      </w:r>
      <w:r w:rsidRPr="00EA59C0">
        <w:t>In</w:t>
      </w:r>
      <w:r w:rsidR="00C026A6" w:rsidRPr="00EA59C0">
        <w:t xml:space="preserve"> </w:t>
      </w:r>
      <w:r w:rsidRPr="00EA59C0">
        <w:t>addition</w:t>
      </w:r>
      <w:r w:rsidR="00C026A6" w:rsidRPr="00EA59C0">
        <w:t xml:space="preserve"> </w:t>
      </w:r>
      <w:r w:rsidRPr="00EA59C0">
        <w:t>to</w:t>
      </w:r>
      <w:r w:rsidR="00C026A6" w:rsidRPr="00EA59C0">
        <w:t xml:space="preserve"> </w:t>
      </w:r>
      <w:r w:rsidRPr="00EA59C0">
        <w:t>responding</w:t>
      </w:r>
      <w:r w:rsidR="00C026A6" w:rsidRPr="00EA59C0">
        <w:t xml:space="preserve"> </w:t>
      </w:r>
      <w:r w:rsidRPr="00EA59C0">
        <w:t>to</w:t>
      </w:r>
      <w:r w:rsidR="00C026A6" w:rsidRPr="00EA59C0">
        <w:t xml:space="preserve"> </w:t>
      </w:r>
      <w:r w:rsidRPr="00EA59C0">
        <w:t>the</w:t>
      </w:r>
      <w:r w:rsidR="00C026A6" w:rsidRPr="00EA59C0">
        <w:t xml:space="preserve"> </w:t>
      </w:r>
      <w:r w:rsidRPr="00EA59C0">
        <w:t>needs</w:t>
      </w:r>
      <w:r w:rsidR="00C026A6" w:rsidRPr="00EA59C0">
        <w:t xml:space="preserve"> </w:t>
      </w:r>
      <w:r w:rsidRPr="00EA59C0">
        <w:t>of</w:t>
      </w:r>
      <w:r w:rsidR="00C026A6" w:rsidRPr="00EA59C0">
        <w:t xml:space="preserve"> </w:t>
      </w:r>
      <w:r w:rsidRPr="00EA59C0">
        <w:t>employers</w:t>
      </w:r>
      <w:r w:rsidR="00C026A6" w:rsidRPr="00EA59C0">
        <w:t xml:space="preserve"> </w:t>
      </w:r>
      <w:r w:rsidRPr="00EA59C0">
        <w:t>and</w:t>
      </w:r>
      <w:r w:rsidR="00C026A6" w:rsidRPr="00EA59C0">
        <w:t xml:space="preserve"> </w:t>
      </w:r>
      <w:r w:rsidRPr="00EA59C0">
        <w:t>improving</w:t>
      </w:r>
      <w:r w:rsidR="00C026A6" w:rsidRPr="00EA59C0">
        <w:t xml:space="preserve"> </w:t>
      </w:r>
      <w:r w:rsidRPr="00EA59C0">
        <w:t>their</w:t>
      </w:r>
      <w:r w:rsidR="00C026A6" w:rsidRPr="00EA59C0">
        <w:t xml:space="preserve"> </w:t>
      </w:r>
      <w:r w:rsidRPr="00EA59C0">
        <w:t>competiveness,</w:t>
      </w:r>
      <w:r w:rsidR="00C026A6" w:rsidRPr="00EA59C0">
        <w:t xml:space="preserve"> </w:t>
      </w:r>
      <w:r w:rsidRPr="00EA59C0">
        <w:t>these</w:t>
      </w:r>
      <w:r w:rsidR="00C026A6" w:rsidRPr="00EA59C0">
        <w:t xml:space="preserve"> </w:t>
      </w:r>
      <w:r w:rsidRPr="00EA59C0">
        <w:t>organizations</w:t>
      </w:r>
      <w:r w:rsidR="00C026A6" w:rsidRPr="00EA59C0">
        <w:t xml:space="preserve"> </w:t>
      </w:r>
      <w:r w:rsidRPr="00EA59C0">
        <w:t>may</w:t>
      </w:r>
      <w:r w:rsidR="00C026A6" w:rsidRPr="00EA59C0">
        <w:t xml:space="preserve"> </w:t>
      </w:r>
      <w:r w:rsidRPr="00EA59C0">
        <w:t>also</w:t>
      </w:r>
      <w:r w:rsidR="00C026A6" w:rsidRPr="00EA59C0">
        <w:t xml:space="preserve"> </w:t>
      </w:r>
      <w:r w:rsidRPr="00EA59C0">
        <w:t>be</w:t>
      </w:r>
      <w:r w:rsidR="00C026A6" w:rsidRPr="00EA59C0">
        <w:t xml:space="preserve"> </w:t>
      </w:r>
      <w:r w:rsidRPr="00EA59C0">
        <w:t>adept</w:t>
      </w:r>
      <w:r w:rsidR="00C026A6" w:rsidRPr="00EA59C0">
        <w:t xml:space="preserve"> </w:t>
      </w:r>
      <w:r w:rsidRPr="00EA59C0">
        <w:t>at</w:t>
      </w:r>
      <w:r w:rsidR="00C026A6" w:rsidRPr="00EA59C0">
        <w:t xml:space="preserve"> </w:t>
      </w:r>
      <w:r w:rsidRPr="00EA59C0">
        <w:t>working</w:t>
      </w:r>
      <w:r w:rsidR="00C026A6" w:rsidRPr="00EA59C0">
        <w:t xml:space="preserve"> </w:t>
      </w:r>
      <w:r w:rsidRPr="00EA59C0">
        <w:t>with</w:t>
      </w:r>
      <w:r w:rsidR="00C026A6" w:rsidRPr="00EA59C0">
        <w:t xml:space="preserve"> </w:t>
      </w:r>
      <w:r w:rsidRPr="00EA59C0">
        <w:t>employers</w:t>
      </w:r>
      <w:r w:rsidR="00C026A6" w:rsidRPr="00EA59C0">
        <w:t xml:space="preserve"> </w:t>
      </w:r>
      <w:r w:rsidRPr="00EA59C0">
        <w:t>to</w:t>
      </w:r>
      <w:r w:rsidR="00C026A6" w:rsidRPr="00EA59C0">
        <w:t xml:space="preserve"> </w:t>
      </w:r>
      <w:r w:rsidRPr="00EA59C0">
        <w:t>improve</w:t>
      </w:r>
      <w:r w:rsidR="00C026A6" w:rsidRPr="00EA59C0">
        <w:t xml:space="preserve"> </w:t>
      </w:r>
      <w:r w:rsidRPr="00EA59C0">
        <w:t>job</w:t>
      </w:r>
      <w:r w:rsidR="00C026A6" w:rsidRPr="00EA59C0">
        <w:t xml:space="preserve"> </w:t>
      </w:r>
      <w:r w:rsidRPr="00EA59C0">
        <w:t>quality</w:t>
      </w:r>
      <w:r w:rsidR="00C026A6" w:rsidRPr="00EA59C0">
        <w:t xml:space="preserve"> </w:t>
      </w:r>
      <w:r w:rsidRPr="00EA59C0">
        <w:t>and</w:t>
      </w:r>
      <w:r w:rsidR="00C026A6" w:rsidRPr="00EA59C0">
        <w:t xml:space="preserve"> </w:t>
      </w:r>
      <w:r w:rsidRPr="00EA59C0">
        <w:t>to</w:t>
      </w:r>
      <w:r w:rsidR="00C026A6" w:rsidRPr="00EA59C0">
        <w:t xml:space="preserve"> </w:t>
      </w:r>
      <w:r w:rsidRPr="00EA59C0">
        <w:t>create</w:t>
      </w:r>
      <w:r w:rsidR="00C026A6" w:rsidRPr="00EA59C0">
        <w:t xml:space="preserve"> </w:t>
      </w:r>
      <w:r w:rsidRPr="00EA59C0">
        <w:t>career</w:t>
      </w:r>
      <w:r w:rsidR="00C026A6" w:rsidRPr="00EA59C0">
        <w:t xml:space="preserve"> </w:t>
      </w:r>
      <w:r w:rsidRPr="00EA59C0">
        <w:t>ladders</w:t>
      </w:r>
      <w:r w:rsidR="00C026A6" w:rsidRPr="00EA59C0">
        <w:t xml:space="preserve"> </w:t>
      </w:r>
      <w:r w:rsidRPr="00EA59C0">
        <w:t>that</w:t>
      </w:r>
      <w:r w:rsidR="00C026A6" w:rsidRPr="00EA59C0">
        <w:t xml:space="preserve"> </w:t>
      </w:r>
      <w:r w:rsidRPr="00EA59C0">
        <w:t>lead</w:t>
      </w:r>
      <w:r w:rsidR="00C026A6" w:rsidRPr="00EA59C0">
        <w:t xml:space="preserve"> </w:t>
      </w:r>
      <w:r w:rsidRPr="00EA59C0">
        <w:t>to</w:t>
      </w:r>
      <w:r w:rsidR="00C026A6" w:rsidRPr="00EA59C0">
        <w:t xml:space="preserve"> </w:t>
      </w:r>
      <w:r w:rsidRPr="00EA59C0">
        <w:t>high-skill</w:t>
      </w:r>
      <w:r w:rsidR="00C026A6" w:rsidRPr="00EA59C0">
        <w:t xml:space="preserve"> </w:t>
      </w:r>
      <w:r w:rsidRPr="00EA59C0">
        <w:t>jobs.</w:t>
      </w:r>
      <w:r w:rsidR="00883500" w:rsidRPr="00EA59C0">
        <w:t xml:space="preserve">  </w:t>
      </w:r>
      <w:r w:rsidR="00DA7634" w:rsidRPr="00EA59C0">
        <w:t xml:space="preserve">These organizations may also provide workers with a range of critical supportive and other services that are important to their labor market success, as noted above, often through existing initiatives.  Applicants are encouraged to align with </w:t>
      </w:r>
      <w:r w:rsidR="00DF6716" w:rsidRPr="00EA59C0">
        <w:t>key stakeholders and leverage existing initiatives to address workers supportive</w:t>
      </w:r>
      <w:r w:rsidR="002310FD" w:rsidRPr="00EA59C0">
        <w:t xml:space="preserve"> service</w:t>
      </w:r>
      <w:r w:rsidR="00DF6716" w:rsidRPr="00EA59C0">
        <w:t xml:space="preserve"> and other needs.  </w:t>
      </w:r>
      <w:r w:rsidR="00DA7634" w:rsidRPr="00EA59C0">
        <w:t>Applicants that are a partner in a designated  “Promise Zone”  through the</w:t>
      </w:r>
      <w:r w:rsidR="00F90D62" w:rsidRPr="00EA59C0">
        <w:t xml:space="preserve"> Department of Housing and Urban Development </w:t>
      </w:r>
      <w:r w:rsidR="00DA7634" w:rsidRPr="00EA59C0">
        <w:t xml:space="preserve">Promise Zone Initiative are encouraged to use their designation as evidence of alignment with key stakeholders involved in supporting workers across a range of outcomes, including increased economic security, increased public safety, and access to quality and affordable healthcare and housing.  </w:t>
      </w:r>
    </w:p>
    <w:p w:rsidR="0032215C" w:rsidRPr="00EA59C0" w:rsidRDefault="0032215C" w:rsidP="00D03948">
      <w:pPr>
        <w:pStyle w:val="ListParagraph"/>
        <w:ind w:left="360"/>
      </w:pPr>
    </w:p>
    <w:p w:rsidR="00472029" w:rsidRPr="00EA59C0" w:rsidRDefault="00472029" w:rsidP="005A5AC2">
      <w:pPr>
        <w:pStyle w:val="Heading1"/>
        <w:numPr>
          <w:ilvl w:val="2"/>
          <w:numId w:val="17"/>
        </w:numPr>
        <w:spacing w:line="240" w:lineRule="auto"/>
      </w:pPr>
      <w:r w:rsidRPr="00EA59C0">
        <w:t>Core</w:t>
      </w:r>
      <w:r w:rsidR="00C026A6" w:rsidRPr="00EA59C0">
        <w:t xml:space="preserve"> </w:t>
      </w:r>
      <w:r w:rsidRPr="00EA59C0">
        <w:t>Element</w:t>
      </w:r>
      <w:r w:rsidR="00C026A6" w:rsidRPr="00EA59C0">
        <w:t xml:space="preserve"> </w:t>
      </w:r>
      <w:r w:rsidR="000360E1" w:rsidRPr="00EA59C0">
        <w:t>5</w:t>
      </w:r>
      <w:r w:rsidRPr="00EA59C0">
        <w:t>:</w:t>
      </w:r>
      <w:r w:rsidR="00C026A6" w:rsidRPr="00EA59C0">
        <w:t xml:space="preserve">  </w:t>
      </w:r>
      <w:r w:rsidRPr="00EA59C0">
        <w:t>Alignment</w:t>
      </w:r>
      <w:r w:rsidR="00C026A6" w:rsidRPr="00EA59C0">
        <w:t xml:space="preserve"> </w:t>
      </w:r>
      <w:r w:rsidRPr="00EA59C0">
        <w:t>with</w:t>
      </w:r>
      <w:r w:rsidR="00C026A6" w:rsidRPr="00EA59C0">
        <w:t xml:space="preserve"> </w:t>
      </w:r>
      <w:r w:rsidRPr="00EA59C0">
        <w:t>Previously-Funded</w:t>
      </w:r>
      <w:r w:rsidR="00C026A6" w:rsidRPr="00EA59C0">
        <w:t xml:space="preserve"> </w:t>
      </w:r>
      <w:r w:rsidRPr="00EA59C0">
        <w:t>TAACCCT</w:t>
      </w:r>
      <w:r w:rsidR="00C026A6" w:rsidRPr="00EA59C0">
        <w:t xml:space="preserve"> </w:t>
      </w:r>
      <w:r w:rsidRPr="00EA59C0">
        <w:t>Projects</w:t>
      </w:r>
    </w:p>
    <w:p w:rsidR="00EE2FD0" w:rsidRPr="00EA59C0" w:rsidRDefault="00EE2FD0" w:rsidP="00D03948">
      <w:pPr>
        <w:ind w:left="720"/>
      </w:pPr>
    </w:p>
    <w:p w:rsidR="00DB0AFD" w:rsidRPr="00EA59C0" w:rsidRDefault="00DB0AFD" w:rsidP="00D03948">
      <w:pPr>
        <w:ind w:left="1080"/>
      </w:pPr>
      <w:r w:rsidRPr="00EA59C0">
        <w:t>To</w:t>
      </w:r>
      <w:r w:rsidR="00C026A6" w:rsidRPr="00EA59C0">
        <w:t xml:space="preserve"> </w:t>
      </w:r>
      <w:r w:rsidRPr="00EA59C0">
        <w:t>minimize</w:t>
      </w:r>
      <w:r w:rsidR="00C026A6" w:rsidRPr="00EA59C0">
        <w:t xml:space="preserve"> </w:t>
      </w:r>
      <w:r w:rsidRPr="00EA59C0">
        <w:t>duplication</w:t>
      </w:r>
      <w:r w:rsidR="00C026A6" w:rsidRPr="00EA59C0">
        <w:t xml:space="preserve"> </w:t>
      </w:r>
      <w:r w:rsidRPr="00EA59C0">
        <w:t>and</w:t>
      </w:r>
      <w:r w:rsidR="00C026A6" w:rsidRPr="00EA59C0">
        <w:t xml:space="preserve"> </w:t>
      </w:r>
      <w:r w:rsidRPr="00EA59C0">
        <w:t>to</w:t>
      </w:r>
      <w:r w:rsidR="00C026A6" w:rsidRPr="00EA59C0">
        <w:t xml:space="preserve"> </w:t>
      </w:r>
      <w:r w:rsidRPr="00EA59C0">
        <w:t>broaden</w:t>
      </w:r>
      <w:r w:rsidR="00C026A6" w:rsidRPr="00EA59C0">
        <w:t xml:space="preserve"> </w:t>
      </w:r>
      <w:r w:rsidRPr="00EA59C0">
        <w:t>the</w:t>
      </w:r>
      <w:r w:rsidR="00C026A6" w:rsidRPr="00EA59C0">
        <w:t xml:space="preserve"> </w:t>
      </w:r>
      <w:r w:rsidRPr="00EA59C0">
        <w:t>geographic</w:t>
      </w:r>
      <w:r w:rsidR="00C026A6" w:rsidRPr="00EA59C0">
        <w:t xml:space="preserve"> </w:t>
      </w:r>
      <w:r w:rsidRPr="00EA59C0">
        <w:t>reach</w:t>
      </w:r>
      <w:r w:rsidR="00C026A6" w:rsidRPr="00EA59C0">
        <w:t xml:space="preserve"> </w:t>
      </w:r>
      <w:r w:rsidRPr="00EA59C0">
        <w:t>of</w:t>
      </w:r>
      <w:r w:rsidR="00C026A6" w:rsidRPr="00EA59C0">
        <w:t xml:space="preserve"> </w:t>
      </w:r>
      <w:r w:rsidRPr="00EA59C0">
        <w:t>their</w:t>
      </w:r>
      <w:r w:rsidR="00C026A6" w:rsidRPr="00EA59C0">
        <w:t xml:space="preserve"> </w:t>
      </w:r>
      <w:r w:rsidRPr="00EA59C0">
        <w:t>projects,</w:t>
      </w:r>
      <w:r w:rsidR="00C026A6" w:rsidRPr="00EA59C0">
        <w:t xml:space="preserve"> </w:t>
      </w:r>
      <w:r w:rsidRPr="00EA59C0">
        <w:t>all</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coordinate</w:t>
      </w:r>
      <w:r w:rsidR="00C026A6" w:rsidRPr="00EA59C0">
        <w:t xml:space="preserve"> </w:t>
      </w:r>
      <w:r w:rsidRPr="00EA59C0">
        <w:t>efforts</w:t>
      </w:r>
      <w:r w:rsidR="00C026A6" w:rsidRPr="00EA59C0">
        <w:t xml:space="preserve"> </w:t>
      </w:r>
      <w:r w:rsidRPr="00EA59C0">
        <w:t>where</w:t>
      </w:r>
      <w:r w:rsidR="00C026A6" w:rsidRPr="00EA59C0">
        <w:t xml:space="preserve"> </w:t>
      </w:r>
      <w:r w:rsidRPr="00EA59C0">
        <w:t>possible</w:t>
      </w:r>
      <w:r w:rsidR="00C026A6" w:rsidRPr="00EA59C0">
        <w:t xml:space="preserve"> </w:t>
      </w:r>
      <w:r w:rsidRPr="00EA59C0">
        <w:t>with</w:t>
      </w:r>
      <w:r w:rsidR="00C026A6" w:rsidRPr="00EA59C0">
        <w:t xml:space="preserve"> </w:t>
      </w:r>
      <w:r w:rsidRPr="00EA59C0">
        <w:t>educational</w:t>
      </w:r>
      <w:r w:rsidR="00C026A6" w:rsidRPr="00EA59C0">
        <w:t xml:space="preserve"> </w:t>
      </w:r>
      <w:r w:rsidRPr="00EA59C0">
        <w:t>institutions</w:t>
      </w:r>
      <w:r w:rsidR="00C026A6" w:rsidRPr="00EA59C0">
        <w:t xml:space="preserve"> </w:t>
      </w:r>
      <w:r w:rsidRPr="00EA59C0">
        <w:t>funded</w:t>
      </w:r>
      <w:r w:rsidR="00C026A6" w:rsidRPr="00EA59C0">
        <w:t xml:space="preserve"> </w:t>
      </w:r>
      <w:r w:rsidRPr="00EA59C0">
        <w:t>through</w:t>
      </w:r>
      <w:r w:rsidR="00C026A6" w:rsidRPr="00EA59C0">
        <w:t xml:space="preserve"> </w:t>
      </w:r>
      <w:r w:rsidRPr="00EA59C0">
        <w:t>prior</w:t>
      </w:r>
      <w:r w:rsidR="00C026A6" w:rsidRPr="00EA59C0">
        <w:t xml:space="preserve"> </w:t>
      </w:r>
      <w:r w:rsidRPr="00EA59C0">
        <w:t>rounds</w:t>
      </w:r>
      <w:r w:rsidR="00C026A6" w:rsidRPr="00EA59C0">
        <w:t xml:space="preserve"> </w:t>
      </w:r>
      <w:r w:rsidRPr="00EA59C0">
        <w:t>of</w:t>
      </w:r>
      <w:r w:rsidR="00C026A6" w:rsidRPr="00EA59C0">
        <w:t xml:space="preserve"> </w:t>
      </w:r>
      <w:r w:rsidRPr="00EA59C0">
        <w:t>TAACCCT.</w:t>
      </w:r>
      <w:r w:rsidR="00C026A6" w:rsidRPr="00EA59C0">
        <w:t xml:space="preserve">  </w:t>
      </w:r>
    </w:p>
    <w:p w:rsidR="00DB0AFD" w:rsidRPr="00EA59C0" w:rsidRDefault="00DB0AFD" w:rsidP="00D03948">
      <w:pPr>
        <w:ind w:left="1080"/>
      </w:pPr>
    </w:p>
    <w:p w:rsidR="007220F2" w:rsidRPr="00EA59C0" w:rsidRDefault="00DB0AFD" w:rsidP="001647BB">
      <w:pPr>
        <w:ind w:left="1080"/>
      </w:pPr>
      <w:r w:rsidRPr="00EA59C0">
        <w:t>All</w:t>
      </w:r>
      <w:r w:rsidR="00C026A6" w:rsidRPr="00EA59C0">
        <w:t xml:space="preserve"> </w:t>
      </w:r>
      <w:r w:rsidR="00BC05B4" w:rsidRPr="00EA59C0">
        <w:t>a</w:t>
      </w:r>
      <w:r w:rsidR="005549F3" w:rsidRPr="00EA59C0">
        <w:t>pplicants</w:t>
      </w:r>
      <w:r w:rsidR="00C026A6" w:rsidRPr="00EA59C0">
        <w:t xml:space="preserve"> </w:t>
      </w:r>
      <w:r w:rsidR="00DA0767" w:rsidRPr="00EA59C0">
        <w:t>will</w:t>
      </w:r>
      <w:r w:rsidR="00C026A6" w:rsidRPr="00EA59C0">
        <w:t xml:space="preserve"> </w:t>
      </w:r>
      <w:r w:rsidRPr="00EA59C0">
        <w:t>conduct</w:t>
      </w:r>
      <w:r w:rsidR="00C026A6" w:rsidRPr="00EA59C0">
        <w:t xml:space="preserve"> </w:t>
      </w:r>
      <w:r w:rsidRPr="00EA59C0">
        <w:t>research</w:t>
      </w:r>
      <w:r w:rsidR="00C026A6" w:rsidRPr="00EA59C0">
        <w:t xml:space="preserve"> </w:t>
      </w:r>
      <w:r w:rsidRPr="00EA59C0">
        <w:t>on</w:t>
      </w:r>
      <w:r w:rsidR="00C026A6" w:rsidRPr="00EA59C0">
        <w:t xml:space="preserve"> </w:t>
      </w:r>
      <w:r w:rsidR="005549F3" w:rsidRPr="00EA59C0">
        <w:t>TAACCCT</w:t>
      </w:r>
      <w:r w:rsidR="00C026A6" w:rsidRPr="00EA59C0">
        <w:t xml:space="preserve"> </w:t>
      </w:r>
      <w:r w:rsidR="005549F3" w:rsidRPr="00EA59C0">
        <w:t>grantees</w:t>
      </w:r>
      <w:r w:rsidR="00C026A6" w:rsidRPr="00EA59C0">
        <w:t xml:space="preserve"> </w:t>
      </w:r>
      <w:r w:rsidR="005549F3" w:rsidRPr="00EA59C0">
        <w:t>that</w:t>
      </w:r>
      <w:r w:rsidR="00C026A6" w:rsidRPr="00EA59C0">
        <w:t xml:space="preserve"> </w:t>
      </w:r>
      <w:r w:rsidR="005549F3" w:rsidRPr="00EA59C0">
        <w:t>are</w:t>
      </w:r>
      <w:r w:rsidR="00C026A6" w:rsidRPr="00EA59C0">
        <w:t xml:space="preserve"> </w:t>
      </w:r>
      <w:r w:rsidR="005549F3" w:rsidRPr="00EA59C0">
        <w:t>developing</w:t>
      </w:r>
      <w:r w:rsidR="00C026A6" w:rsidRPr="00EA59C0">
        <w:t xml:space="preserve"> </w:t>
      </w:r>
      <w:r w:rsidR="005549F3" w:rsidRPr="00EA59C0">
        <w:t>and</w:t>
      </w:r>
      <w:r w:rsidR="00C026A6" w:rsidRPr="00EA59C0">
        <w:t xml:space="preserve"> </w:t>
      </w:r>
      <w:r w:rsidR="005549F3" w:rsidRPr="00EA59C0">
        <w:t>delivering</w:t>
      </w:r>
      <w:r w:rsidR="00C026A6" w:rsidRPr="00EA59C0">
        <w:t xml:space="preserve"> </w:t>
      </w:r>
      <w:r w:rsidR="005549F3" w:rsidRPr="00EA59C0">
        <w:t>content</w:t>
      </w:r>
      <w:r w:rsidR="00C026A6" w:rsidRPr="00EA59C0">
        <w:t xml:space="preserve"> </w:t>
      </w:r>
      <w:r w:rsidR="005549F3" w:rsidRPr="00EA59C0">
        <w:t>within</w:t>
      </w:r>
      <w:r w:rsidR="00C026A6" w:rsidRPr="00EA59C0">
        <w:t xml:space="preserve"> </w:t>
      </w:r>
      <w:r w:rsidR="005549F3" w:rsidRPr="00EA59C0">
        <w:t>the</w:t>
      </w:r>
      <w:r w:rsidR="00C026A6" w:rsidRPr="00EA59C0">
        <w:t xml:space="preserve"> </w:t>
      </w:r>
      <w:r w:rsidR="005549F3" w:rsidRPr="00EA59C0">
        <w:t>same</w:t>
      </w:r>
      <w:r w:rsidR="00C026A6" w:rsidRPr="00EA59C0">
        <w:t xml:space="preserve"> </w:t>
      </w:r>
      <w:r w:rsidR="005549F3" w:rsidRPr="00EA59C0">
        <w:t>targeted</w:t>
      </w:r>
      <w:r w:rsidR="00C026A6" w:rsidRPr="00EA59C0">
        <w:t xml:space="preserve"> </w:t>
      </w:r>
      <w:r w:rsidR="005549F3" w:rsidRPr="00EA59C0">
        <w:t>occupation</w:t>
      </w:r>
      <w:r w:rsidR="00C026A6" w:rsidRPr="00EA59C0">
        <w:t xml:space="preserve"> </w:t>
      </w:r>
      <w:r w:rsidR="005549F3" w:rsidRPr="00EA59C0">
        <w:t>or</w:t>
      </w:r>
      <w:r w:rsidR="00C026A6" w:rsidRPr="00EA59C0">
        <w:t xml:space="preserve"> </w:t>
      </w:r>
      <w:r w:rsidR="005549F3" w:rsidRPr="00EA59C0">
        <w:t>industry,</w:t>
      </w:r>
      <w:r w:rsidR="00C026A6" w:rsidRPr="00EA59C0">
        <w:t xml:space="preserve"> </w:t>
      </w:r>
      <w:r w:rsidR="005549F3" w:rsidRPr="00EA59C0">
        <w:t>or</w:t>
      </w:r>
      <w:r w:rsidR="00C026A6" w:rsidRPr="00EA59C0">
        <w:t xml:space="preserve"> </w:t>
      </w:r>
      <w:r w:rsidR="005549F3" w:rsidRPr="00EA59C0">
        <w:t>that</w:t>
      </w:r>
      <w:r w:rsidR="00C026A6" w:rsidRPr="00EA59C0">
        <w:t xml:space="preserve"> </w:t>
      </w:r>
      <w:r w:rsidR="005549F3" w:rsidRPr="00EA59C0">
        <w:t>have</w:t>
      </w:r>
      <w:r w:rsidR="00C026A6" w:rsidRPr="00EA59C0">
        <w:t xml:space="preserve"> </w:t>
      </w:r>
      <w:r w:rsidR="005549F3" w:rsidRPr="00EA59C0">
        <w:t>designed</w:t>
      </w:r>
      <w:r w:rsidR="00C026A6" w:rsidRPr="00EA59C0">
        <w:t xml:space="preserve"> </w:t>
      </w:r>
      <w:r w:rsidR="005549F3" w:rsidRPr="00EA59C0">
        <w:t>a</w:t>
      </w:r>
      <w:r w:rsidR="00C026A6" w:rsidRPr="00EA59C0">
        <w:t xml:space="preserve"> </w:t>
      </w:r>
      <w:r w:rsidR="005549F3" w:rsidRPr="00EA59C0">
        <w:t>technology</w:t>
      </w:r>
      <w:r w:rsidR="00C026A6" w:rsidRPr="00EA59C0">
        <w:t xml:space="preserve"> </w:t>
      </w:r>
      <w:r w:rsidR="005549F3" w:rsidRPr="00EA59C0">
        <w:t>infrastructure</w:t>
      </w:r>
      <w:r w:rsidR="00C026A6" w:rsidRPr="00EA59C0">
        <w:t xml:space="preserve"> </w:t>
      </w:r>
      <w:r w:rsidR="005549F3" w:rsidRPr="00EA59C0">
        <w:t>which</w:t>
      </w:r>
      <w:r w:rsidR="00C026A6" w:rsidRPr="00EA59C0">
        <w:t xml:space="preserve"> </w:t>
      </w:r>
      <w:r w:rsidR="005549F3" w:rsidRPr="00EA59C0">
        <w:t>enhances</w:t>
      </w:r>
      <w:r w:rsidR="00C026A6" w:rsidRPr="00EA59C0">
        <w:t xml:space="preserve"> </w:t>
      </w:r>
      <w:r w:rsidR="005549F3" w:rsidRPr="00EA59C0">
        <w:t>the</w:t>
      </w:r>
      <w:r w:rsidR="00C026A6" w:rsidRPr="00EA59C0">
        <w:t xml:space="preserve"> </w:t>
      </w:r>
      <w:r w:rsidR="005549F3" w:rsidRPr="00EA59C0">
        <w:t>teaching</w:t>
      </w:r>
      <w:r w:rsidR="00C026A6" w:rsidRPr="00EA59C0">
        <w:t xml:space="preserve"> </w:t>
      </w:r>
      <w:r w:rsidR="005549F3" w:rsidRPr="00EA59C0">
        <w:t>and</w:t>
      </w:r>
      <w:r w:rsidR="00C026A6" w:rsidRPr="00EA59C0">
        <w:t xml:space="preserve"> </w:t>
      </w:r>
      <w:r w:rsidR="005549F3" w:rsidRPr="00EA59C0">
        <w:t>learning</w:t>
      </w:r>
      <w:r w:rsidR="00C026A6" w:rsidRPr="00EA59C0">
        <w:t xml:space="preserve"> </w:t>
      </w:r>
      <w:r w:rsidR="005549F3" w:rsidRPr="00EA59C0">
        <w:t>experience</w:t>
      </w:r>
      <w:r w:rsidR="00E65C25" w:rsidRPr="00EA59C0">
        <w:t>.</w:t>
      </w:r>
      <w:r w:rsidR="00C026A6" w:rsidRPr="00EA59C0">
        <w:t xml:space="preserve">  </w:t>
      </w:r>
      <w:r w:rsidR="001647BB" w:rsidRPr="00EA59C0">
        <w:t>Since</w:t>
      </w:r>
      <w:r w:rsidR="00C026A6" w:rsidRPr="00EA59C0">
        <w:t xml:space="preserve"> </w:t>
      </w:r>
      <w:r w:rsidR="001647BB" w:rsidRPr="00EA59C0">
        <w:t>all</w:t>
      </w:r>
      <w:r w:rsidR="00C026A6" w:rsidRPr="00EA59C0">
        <w:t xml:space="preserve"> </w:t>
      </w:r>
      <w:r w:rsidR="001647BB" w:rsidRPr="00EA59C0">
        <w:t>instructional</w:t>
      </w:r>
      <w:r w:rsidR="00C026A6" w:rsidRPr="00EA59C0">
        <w:t xml:space="preserve"> </w:t>
      </w:r>
      <w:r w:rsidR="001647BB" w:rsidRPr="00EA59C0">
        <w:t>resources</w:t>
      </w:r>
      <w:r w:rsidR="00C026A6" w:rsidRPr="00EA59C0">
        <w:t xml:space="preserve"> </w:t>
      </w:r>
      <w:r w:rsidR="001647BB" w:rsidRPr="00EA59C0">
        <w:t>developed</w:t>
      </w:r>
      <w:r w:rsidR="00C026A6" w:rsidRPr="00EA59C0">
        <w:t xml:space="preserve"> </w:t>
      </w:r>
      <w:r w:rsidR="00580CEA" w:rsidRPr="00EA59C0">
        <w:t>in</w:t>
      </w:r>
      <w:r w:rsidR="00C026A6" w:rsidRPr="00EA59C0">
        <w:t xml:space="preserve"> </w:t>
      </w:r>
      <w:r w:rsidR="001647BB" w:rsidRPr="00EA59C0">
        <w:t>previous</w:t>
      </w:r>
      <w:r w:rsidR="00C026A6" w:rsidRPr="00EA59C0">
        <w:t xml:space="preserve"> </w:t>
      </w:r>
      <w:r w:rsidR="001647BB" w:rsidRPr="00EA59C0">
        <w:t>rounds</w:t>
      </w:r>
      <w:r w:rsidR="00C026A6" w:rsidRPr="00EA59C0">
        <w:t xml:space="preserve"> </w:t>
      </w:r>
      <w:r w:rsidR="001647BB" w:rsidRPr="00EA59C0">
        <w:t>is</w:t>
      </w:r>
      <w:r w:rsidR="00C026A6" w:rsidRPr="00EA59C0">
        <w:t xml:space="preserve"> </w:t>
      </w:r>
      <w:r w:rsidR="001647BB" w:rsidRPr="00EA59C0">
        <w:t>openly</w:t>
      </w:r>
      <w:r w:rsidR="00C026A6" w:rsidRPr="00EA59C0">
        <w:t xml:space="preserve"> </w:t>
      </w:r>
      <w:r w:rsidR="001647BB" w:rsidRPr="00EA59C0">
        <w:t>licensed</w:t>
      </w:r>
      <w:r w:rsidR="00C026A6" w:rsidRPr="00EA59C0">
        <w:t xml:space="preserve"> </w:t>
      </w:r>
      <w:r w:rsidR="001647BB" w:rsidRPr="00EA59C0">
        <w:t>and</w:t>
      </w:r>
      <w:r w:rsidR="00C026A6" w:rsidRPr="00EA59C0">
        <w:t xml:space="preserve"> </w:t>
      </w:r>
      <w:r w:rsidR="001647BB" w:rsidRPr="00EA59C0">
        <w:t>freely</w:t>
      </w:r>
      <w:r w:rsidR="00C026A6" w:rsidRPr="00EA59C0">
        <w:t xml:space="preserve"> </w:t>
      </w:r>
      <w:r w:rsidR="001647BB" w:rsidRPr="00EA59C0">
        <w:t>used</w:t>
      </w:r>
      <w:r w:rsidR="00C026A6" w:rsidRPr="00EA59C0">
        <w:t xml:space="preserve"> </w:t>
      </w:r>
      <w:r w:rsidR="001647BB" w:rsidRPr="00EA59C0">
        <w:t>by</w:t>
      </w:r>
      <w:r w:rsidR="00C026A6" w:rsidRPr="00EA59C0">
        <w:t xml:space="preserve"> </w:t>
      </w:r>
      <w:r w:rsidR="001647BB" w:rsidRPr="00EA59C0">
        <w:t>all</w:t>
      </w:r>
      <w:r w:rsidR="00C026A6" w:rsidRPr="00EA59C0">
        <w:t xml:space="preserve"> </w:t>
      </w:r>
      <w:r w:rsidR="001647BB" w:rsidRPr="00EA59C0">
        <w:t>applicants,</w:t>
      </w:r>
      <w:r w:rsidR="00C026A6" w:rsidRPr="00EA59C0">
        <w:t xml:space="preserve"> </w:t>
      </w:r>
      <w:r w:rsidR="001647BB" w:rsidRPr="00EA59C0">
        <w:t>applicants</w:t>
      </w:r>
      <w:r w:rsidR="00C026A6" w:rsidRPr="00EA59C0">
        <w:t xml:space="preserve"> </w:t>
      </w:r>
      <w:r w:rsidR="001647BB" w:rsidRPr="00EA59C0">
        <w:t>can</w:t>
      </w:r>
      <w:r w:rsidR="00C026A6" w:rsidRPr="00EA59C0">
        <w:t xml:space="preserve"> </w:t>
      </w:r>
      <w:r w:rsidR="001647BB" w:rsidRPr="00EA59C0">
        <w:t>connect</w:t>
      </w:r>
      <w:r w:rsidR="00C026A6" w:rsidRPr="00EA59C0">
        <w:t xml:space="preserve"> </w:t>
      </w:r>
      <w:r w:rsidR="001647BB" w:rsidRPr="00EA59C0">
        <w:t>with</w:t>
      </w:r>
      <w:r w:rsidR="00C026A6" w:rsidRPr="00EA59C0">
        <w:t xml:space="preserve"> </w:t>
      </w:r>
      <w:r w:rsidR="001647BB" w:rsidRPr="00EA59C0">
        <w:t>previous</w:t>
      </w:r>
      <w:r w:rsidR="00C026A6" w:rsidRPr="00EA59C0">
        <w:t xml:space="preserve"> </w:t>
      </w:r>
      <w:r w:rsidR="001647BB" w:rsidRPr="00EA59C0">
        <w:t>grantees</w:t>
      </w:r>
      <w:r w:rsidR="00C026A6" w:rsidRPr="00EA59C0">
        <w:t xml:space="preserve"> </w:t>
      </w:r>
      <w:r w:rsidR="001647BB" w:rsidRPr="00EA59C0">
        <w:t>by</w:t>
      </w:r>
      <w:r w:rsidR="00C026A6" w:rsidRPr="00EA59C0">
        <w:t xml:space="preserve"> </w:t>
      </w:r>
      <w:r w:rsidR="007220F2" w:rsidRPr="00EA59C0">
        <w:t>incorporati</w:t>
      </w:r>
      <w:r w:rsidR="001647BB" w:rsidRPr="00EA59C0">
        <w:t>ng</w:t>
      </w:r>
      <w:r w:rsidR="00C026A6" w:rsidRPr="00EA59C0">
        <w:t xml:space="preserve"> </w:t>
      </w:r>
      <w:r w:rsidR="007220F2" w:rsidRPr="00EA59C0">
        <w:t>existing</w:t>
      </w:r>
      <w:r w:rsidR="00C026A6" w:rsidRPr="00EA59C0">
        <w:t xml:space="preserve"> </w:t>
      </w:r>
      <w:r w:rsidR="007220F2" w:rsidRPr="00EA59C0">
        <w:t>OER</w:t>
      </w:r>
      <w:r w:rsidR="00C026A6" w:rsidRPr="00EA59C0">
        <w:t xml:space="preserve"> </w:t>
      </w:r>
      <w:r w:rsidR="007220F2" w:rsidRPr="00EA59C0">
        <w:t>in</w:t>
      </w:r>
      <w:r w:rsidR="001647BB" w:rsidRPr="00EA59C0">
        <w:t>to</w:t>
      </w:r>
      <w:r w:rsidR="00C026A6" w:rsidRPr="00EA59C0">
        <w:t xml:space="preserve"> </w:t>
      </w:r>
      <w:r w:rsidR="007220F2" w:rsidRPr="00EA59C0">
        <w:t>new</w:t>
      </w:r>
      <w:r w:rsidR="00C026A6" w:rsidRPr="00EA59C0">
        <w:t xml:space="preserve"> </w:t>
      </w:r>
      <w:r w:rsidR="007220F2" w:rsidRPr="00EA59C0">
        <w:t>curriculum</w:t>
      </w:r>
      <w:r w:rsidR="001647BB" w:rsidRPr="00EA59C0">
        <w:t>.</w:t>
      </w:r>
      <w:r w:rsidR="00C026A6" w:rsidRPr="00EA59C0">
        <w:t xml:space="preserve">  </w:t>
      </w:r>
      <w:r w:rsidR="001647BB" w:rsidRPr="00EA59C0">
        <w:t>In</w:t>
      </w:r>
      <w:r w:rsidR="00C026A6" w:rsidRPr="00EA59C0">
        <w:t xml:space="preserve"> </w:t>
      </w:r>
      <w:r w:rsidR="001647BB" w:rsidRPr="00EA59C0">
        <w:t>addition,</w:t>
      </w:r>
      <w:r w:rsidR="00C026A6" w:rsidRPr="00EA59C0">
        <w:t xml:space="preserve"> </w:t>
      </w:r>
      <w:r w:rsidR="001647BB" w:rsidRPr="00EA59C0">
        <w:t>applicants</w:t>
      </w:r>
      <w:r w:rsidR="00C026A6" w:rsidRPr="00EA59C0">
        <w:t xml:space="preserve"> </w:t>
      </w:r>
      <w:r w:rsidR="001647BB" w:rsidRPr="00EA59C0">
        <w:t>can</w:t>
      </w:r>
      <w:r w:rsidR="00C026A6" w:rsidRPr="00EA59C0">
        <w:t xml:space="preserve"> </w:t>
      </w:r>
      <w:r w:rsidR="007220F2" w:rsidRPr="00EA59C0">
        <w:t>shar</w:t>
      </w:r>
      <w:r w:rsidR="001647BB" w:rsidRPr="00EA59C0">
        <w:t>e</w:t>
      </w:r>
      <w:r w:rsidR="00C026A6" w:rsidRPr="00EA59C0">
        <w:t xml:space="preserve"> </w:t>
      </w:r>
      <w:r w:rsidR="007220F2" w:rsidRPr="00EA59C0">
        <w:t>program</w:t>
      </w:r>
      <w:r w:rsidR="00C026A6" w:rsidRPr="00EA59C0">
        <w:t xml:space="preserve"> </w:t>
      </w:r>
      <w:r w:rsidR="007220F2" w:rsidRPr="00EA59C0">
        <w:t>content</w:t>
      </w:r>
      <w:r w:rsidR="00C026A6" w:rsidRPr="00EA59C0">
        <w:t xml:space="preserve"> </w:t>
      </w:r>
      <w:r w:rsidR="007220F2" w:rsidRPr="00EA59C0">
        <w:t>or</w:t>
      </w:r>
      <w:r w:rsidR="00C026A6" w:rsidRPr="00EA59C0">
        <w:t xml:space="preserve"> </w:t>
      </w:r>
      <w:r w:rsidR="007220F2" w:rsidRPr="00EA59C0">
        <w:t>technological</w:t>
      </w:r>
      <w:r w:rsidR="00C026A6" w:rsidRPr="00EA59C0">
        <w:t xml:space="preserve"> </w:t>
      </w:r>
      <w:r w:rsidR="007220F2" w:rsidRPr="00EA59C0">
        <w:t>innovations,</w:t>
      </w:r>
      <w:r w:rsidR="00C026A6" w:rsidRPr="00EA59C0">
        <w:t xml:space="preserve"> </w:t>
      </w:r>
      <w:r w:rsidR="007220F2" w:rsidRPr="00EA59C0">
        <w:t>develop</w:t>
      </w:r>
      <w:r w:rsidR="00C026A6" w:rsidRPr="00EA59C0">
        <w:t xml:space="preserve"> </w:t>
      </w:r>
      <w:r w:rsidR="007220F2" w:rsidRPr="00EA59C0">
        <w:t>transferability</w:t>
      </w:r>
      <w:r w:rsidR="00C026A6" w:rsidRPr="00EA59C0">
        <w:t xml:space="preserve"> </w:t>
      </w:r>
      <w:r w:rsidR="007220F2" w:rsidRPr="00EA59C0">
        <w:t>and</w:t>
      </w:r>
      <w:r w:rsidR="00C026A6" w:rsidRPr="00EA59C0">
        <w:t xml:space="preserve"> </w:t>
      </w:r>
      <w:r w:rsidR="007220F2" w:rsidRPr="00EA59C0">
        <w:t>articulation</w:t>
      </w:r>
      <w:r w:rsidR="00C026A6" w:rsidRPr="00EA59C0">
        <w:t xml:space="preserve"> </w:t>
      </w:r>
      <w:r w:rsidR="007220F2" w:rsidRPr="00EA59C0">
        <w:t>agreements,</w:t>
      </w:r>
      <w:r w:rsidR="00C026A6" w:rsidRPr="00EA59C0">
        <w:t xml:space="preserve"> </w:t>
      </w:r>
      <w:r w:rsidR="001647BB" w:rsidRPr="00EA59C0">
        <w:t>cooperate</w:t>
      </w:r>
      <w:r w:rsidR="00C026A6" w:rsidRPr="00EA59C0">
        <w:t xml:space="preserve"> </w:t>
      </w:r>
      <w:r w:rsidR="001647BB" w:rsidRPr="00EA59C0">
        <w:t>on</w:t>
      </w:r>
      <w:r w:rsidR="00C026A6" w:rsidRPr="00EA59C0">
        <w:t xml:space="preserve"> </w:t>
      </w:r>
      <w:r w:rsidR="007220F2" w:rsidRPr="00EA59C0">
        <w:t>efforts</w:t>
      </w:r>
      <w:r w:rsidR="00C026A6" w:rsidRPr="00EA59C0">
        <w:t xml:space="preserve"> </w:t>
      </w:r>
      <w:r w:rsidR="007220F2" w:rsidRPr="00EA59C0">
        <w:t>to</w:t>
      </w:r>
      <w:r w:rsidR="00C026A6" w:rsidRPr="00EA59C0">
        <w:t xml:space="preserve"> </w:t>
      </w:r>
      <w:r w:rsidR="007220F2" w:rsidRPr="00EA59C0">
        <w:t>develop</w:t>
      </w:r>
      <w:r w:rsidR="00C026A6" w:rsidRPr="00EA59C0">
        <w:t xml:space="preserve"> </w:t>
      </w:r>
      <w:r w:rsidR="007220F2" w:rsidRPr="00EA59C0">
        <w:t>standardized</w:t>
      </w:r>
      <w:r w:rsidR="00C026A6" w:rsidRPr="00EA59C0">
        <w:t xml:space="preserve"> </w:t>
      </w:r>
      <w:r w:rsidR="007220F2" w:rsidRPr="00EA59C0">
        <w:t>credentials,</w:t>
      </w:r>
      <w:r w:rsidR="00C026A6" w:rsidRPr="00EA59C0">
        <w:t xml:space="preserve"> </w:t>
      </w:r>
      <w:r w:rsidR="007220F2" w:rsidRPr="00EA59C0">
        <w:t>and</w:t>
      </w:r>
      <w:r w:rsidR="00C026A6" w:rsidRPr="00EA59C0">
        <w:t xml:space="preserve"> </w:t>
      </w:r>
      <w:r w:rsidR="007220F2" w:rsidRPr="00EA59C0">
        <w:t>exchang</w:t>
      </w:r>
      <w:r w:rsidR="001647BB" w:rsidRPr="00EA59C0">
        <w:t>e</w:t>
      </w:r>
      <w:r w:rsidR="00C026A6" w:rsidRPr="00EA59C0">
        <w:t xml:space="preserve"> </w:t>
      </w:r>
      <w:r w:rsidR="007220F2" w:rsidRPr="00EA59C0">
        <w:t>best</w:t>
      </w:r>
      <w:r w:rsidR="00C026A6" w:rsidRPr="00EA59C0">
        <w:t xml:space="preserve"> </w:t>
      </w:r>
      <w:r w:rsidR="007220F2" w:rsidRPr="00EA59C0">
        <w:t>practices.</w:t>
      </w:r>
      <w:r w:rsidR="00C026A6" w:rsidRPr="00EA59C0">
        <w:t xml:space="preserve"> </w:t>
      </w:r>
    </w:p>
    <w:p w:rsidR="007220F2" w:rsidRPr="00EA59C0" w:rsidRDefault="007220F2" w:rsidP="00D03948">
      <w:pPr>
        <w:ind w:left="1080"/>
      </w:pPr>
    </w:p>
    <w:p w:rsidR="00076399" w:rsidRPr="00EA59C0" w:rsidRDefault="005549F3" w:rsidP="00D03948">
      <w:pPr>
        <w:ind w:left="1080"/>
      </w:pPr>
      <w:r w:rsidRPr="00EA59C0">
        <w:t>Applicants</w:t>
      </w:r>
      <w:r w:rsidR="00C026A6" w:rsidRPr="00EA59C0">
        <w:t xml:space="preserve"> </w:t>
      </w:r>
      <w:r w:rsidR="001647BB" w:rsidRPr="00EA59C0">
        <w:t>are</w:t>
      </w:r>
      <w:r w:rsidR="00C026A6" w:rsidRPr="00EA59C0">
        <w:t xml:space="preserve"> </w:t>
      </w:r>
      <w:r w:rsidR="001647BB" w:rsidRPr="00EA59C0">
        <w:t>encouraged</w:t>
      </w:r>
      <w:r w:rsidR="00C026A6" w:rsidRPr="00EA59C0">
        <w:t xml:space="preserve"> </w:t>
      </w:r>
      <w:r w:rsidR="001647BB" w:rsidRPr="00EA59C0">
        <w:t>to</w:t>
      </w:r>
      <w:r w:rsidR="00C026A6" w:rsidRPr="00EA59C0">
        <w:t xml:space="preserve"> </w:t>
      </w:r>
      <w:r w:rsidR="001647BB" w:rsidRPr="00EA59C0">
        <w:t>develop</w:t>
      </w:r>
      <w:r w:rsidR="00C026A6" w:rsidRPr="00EA59C0">
        <w:t xml:space="preserve"> </w:t>
      </w:r>
      <w:r w:rsidRPr="00EA59C0">
        <w:t>new</w:t>
      </w:r>
      <w:r w:rsidR="00C026A6" w:rsidRPr="00EA59C0">
        <w:t xml:space="preserve"> </w:t>
      </w:r>
      <w:r w:rsidRPr="00EA59C0">
        <w:t>programs</w:t>
      </w:r>
      <w:r w:rsidR="00C026A6" w:rsidRPr="00EA59C0">
        <w:t xml:space="preserve"> </w:t>
      </w:r>
      <w:r w:rsidRPr="00EA59C0">
        <w:t>that</w:t>
      </w:r>
      <w:r w:rsidR="00C026A6" w:rsidRPr="00EA59C0">
        <w:t xml:space="preserve"> </w:t>
      </w:r>
      <w:r w:rsidRPr="00EA59C0">
        <w:t>complement</w:t>
      </w:r>
      <w:r w:rsidR="00C026A6" w:rsidRPr="00EA59C0">
        <w:t xml:space="preserve"> </w:t>
      </w:r>
      <w:r w:rsidRPr="00EA59C0">
        <w:t>those</w:t>
      </w:r>
      <w:r w:rsidR="00C026A6" w:rsidRPr="00EA59C0">
        <w:t xml:space="preserve"> </w:t>
      </w:r>
      <w:r w:rsidRPr="00EA59C0">
        <w:t>already</w:t>
      </w:r>
      <w:r w:rsidR="00C026A6" w:rsidRPr="00EA59C0">
        <w:t xml:space="preserve"> </w:t>
      </w:r>
      <w:r w:rsidRPr="00EA59C0">
        <w:t>operating</w:t>
      </w:r>
      <w:r w:rsidR="00C026A6" w:rsidRPr="00EA59C0">
        <w:t xml:space="preserve"> </w:t>
      </w:r>
      <w:r w:rsidRPr="00EA59C0">
        <w:t>to</w:t>
      </w:r>
      <w:r w:rsidR="00C026A6" w:rsidRPr="00EA59C0">
        <w:t xml:space="preserve"> </w:t>
      </w:r>
      <w:r w:rsidRPr="00EA59C0">
        <w:t>build</w:t>
      </w:r>
      <w:r w:rsidR="00C026A6" w:rsidRPr="00EA59C0">
        <w:t xml:space="preserve"> </w:t>
      </w:r>
      <w:r w:rsidRPr="00EA59C0">
        <w:t>a</w:t>
      </w:r>
      <w:r w:rsidR="00C026A6" w:rsidRPr="00EA59C0">
        <w:t xml:space="preserve"> </w:t>
      </w:r>
      <w:r w:rsidRPr="00EA59C0">
        <w:t>network</w:t>
      </w:r>
      <w:r w:rsidR="00C026A6" w:rsidRPr="00EA59C0">
        <w:t xml:space="preserve"> </w:t>
      </w:r>
      <w:r w:rsidRPr="00EA59C0">
        <w:t>of</w:t>
      </w:r>
      <w:r w:rsidR="00C026A6" w:rsidRPr="00EA59C0">
        <w:t xml:space="preserve"> </w:t>
      </w:r>
      <w:r w:rsidRPr="00EA59C0">
        <w:t>programming</w:t>
      </w:r>
      <w:r w:rsidR="00C026A6" w:rsidRPr="00EA59C0">
        <w:t xml:space="preserve"> </w:t>
      </w:r>
      <w:r w:rsidRPr="00EA59C0">
        <w:t>across</w:t>
      </w:r>
      <w:r w:rsidR="00C026A6" w:rsidRPr="00EA59C0">
        <w:t xml:space="preserve"> </w:t>
      </w:r>
      <w:r w:rsidRPr="00EA59C0">
        <w:t>the</w:t>
      </w:r>
      <w:r w:rsidR="00C026A6" w:rsidRPr="00EA59C0">
        <w:t xml:space="preserve"> </w:t>
      </w:r>
      <w:r w:rsidRPr="00EA59C0">
        <w:t>state,</w:t>
      </w:r>
      <w:r w:rsidR="00C026A6" w:rsidRPr="00EA59C0">
        <w:t xml:space="preserve"> </w:t>
      </w:r>
      <w:r w:rsidRPr="00EA59C0">
        <w:t>region</w:t>
      </w:r>
      <w:r w:rsidR="00C026A6" w:rsidRPr="00EA59C0">
        <w:t xml:space="preserve"> </w:t>
      </w:r>
      <w:r w:rsidRPr="00EA59C0">
        <w:t>or</w:t>
      </w:r>
      <w:r w:rsidR="00C026A6" w:rsidRPr="00EA59C0">
        <w:t xml:space="preserve"> </w:t>
      </w:r>
      <w:r w:rsidRPr="00EA59C0">
        <w:t>country.</w:t>
      </w:r>
      <w:r w:rsidR="00C026A6" w:rsidRPr="00EA59C0">
        <w:t xml:space="preserve">  </w:t>
      </w:r>
      <w:r w:rsidR="00DB0AFD" w:rsidRPr="00EA59C0">
        <w:t>It</w:t>
      </w:r>
      <w:r w:rsidR="00C026A6" w:rsidRPr="00EA59C0">
        <w:t xml:space="preserve"> </w:t>
      </w:r>
      <w:r w:rsidR="00DB0AFD" w:rsidRPr="00EA59C0">
        <w:t>is</w:t>
      </w:r>
      <w:r w:rsidR="00C026A6" w:rsidRPr="00EA59C0">
        <w:t xml:space="preserve"> </w:t>
      </w:r>
      <w:r w:rsidR="00DB0AFD" w:rsidRPr="00EA59C0">
        <w:t>the</w:t>
      </w:r>
      <w:r w:rsidR="00C026A6" w:rsidRPr="00EA59C0">
        <w:t xml:space="preserve"> </w:t>
      </w:r>
      <w:r w:rsidR="00DB0AFD" w:rsidRPr="00EA59C0">
        <w:t>Department’s</w:t>
      </w:r>
      <w:r w:rsidR="00C026A6" w:rsidRPr="00EA59C0">
        <w:t xml:space="preserve"> </w:t>
      </w:r>
      <w:r w:rsidR="00DB0AFD" w:rsidRPr="00EA59C0">
        <w:t>intent</w:t>
      </w:r>
      <w:r w:rsidR="00C026A6" w:rsidRPr="00EA59C0">
        <w:t xml:space="preserve"> </w:t>
      </w:r>
      <w:r w:rsidR="007220F2" w:rsidRPr="00EA59C0">
        <w:t>that</w:t>
      </w:r>
      <w:r w:rsidR="00C026A6" w:rsidRPr="00EA59C0">
        <w:t xml:space="preserve"> </w:t>
      </w:r>
      <w:r w:rsidR="007220F2" w:rsidRPr="00EA59C0">
        <w:t>applicants</w:t>
      </w:r>
      <w:r w:rsidR="00C026A6" w:rsidRPr="00EA59C0">
        <w:t xml:space="preserve"> </w:t>
      </w:r>
      <w:r w:rsidR="007220F2" w:rsidRPr="00EA59C0">
        <w:t>will</w:t>
      </w:r>
      <w:r w:rsidR="00C026A6" w:rsidRPr="00EA59C0">
        <w:t xml:space="preserve"> </w:t>
      </w:r>
      <w:r w:rsidR="007220F2" w:rsidRPr="00EA59C0">
        <w:t>not</w:t>
      </w:r>
      <w:r w:rsidR="00C026A6" w:rsidRPr="00EA59C0">
        <w:t xml:space="preserve"> </w:t>
      </w:r>
      <w:r w:rsidR="007220F2" w:rsidRPr="00EA59C0">
        <w:t>simply</w:t>
      </w:r>
      <w:r w:rsidR="00C026A6" w:rsidRPr="00EA59C0">
        <w:t xml:space="preserve"> </w:t>
      </w:r>
      <w:r w:rsidR="007220F2" w:rsidRPr="00EA59C0">
        <w:t>offer</w:t>
      </w:r>
      <w:r w:rsidR="00C026A6" w:rsidRPr="00EA59C0">
        <w:t xml:space="preserve"> </w:t>
      </w:r>
      <w:r w:rsidR="007220F2" w:rsidRPr="00EA59C0">
        <w:t>existing</w:t>
      </w:r>
      <w:r w:rsidR="00C026A6" w:rsidRPr="00EA59C0">
        <w:t xml:space="preserve"> </w:t>
      </w:r>
      <w:r w:rsidR="007220F2" w:rsidRPr="00EA59C0">
        <w:t>courses</w:t>
      </w:r>
      <w:r w:rsidR="00C026A6" w:rsidRPr="00EA59C0">
        <w:t xml:space="preserve"> </w:t>
      </w:r>
      <w:r w:rsidR="007220F2" w:rsidRPr="00EA59C0">
        <w:t>to</w:t>
      </w:r>
      <w:r w:rsidR="00C026A6" w:rsidRPr="00EA59C0">
        <w:t xml:space="preserve"> </w:t>
      </w:r>
      <w:r w:rsidR="007220F2" w:rsidRPr="00EA59C0">
        <w:t>more</w:t>
      </w:r>
      <w:r w:rsidR="00C026A6" w:rsidRPr="00EA59C0">
        <w:t xml:space="preserve"> </w:t>
      </w:r>
      <w:r w:rsidR="007220F2" w:rsidRPr="00EA59C0">
        <w:t>workers</w:t>
      </w:r>
      <w:r w:rsidR="00C026A6" w:rsidRPr="00EA59C0">
        <w:t xml:space="preserve"> </w:t>
      </w:r>
      <w:r w:rsidR="007220F2" w:rsidRPr="00EA59C0">
        <w:t>and</w:t>
      </w:r>
      <w:r w:rsidR="00C026A6" w:rsidRPr="00EA59C0">
        <w:t xml:space="preserve"> </w:t>
      </w:r>
      <w:r w:rsidR="007220F2" w:rsidRPr="00EA59C0">
        <w:t>other</w:t>
      </w:r>
      <w:r w:rsidR="00C026A6" w:rsidRPr="00EA59C0">
        <w:t xml:space="preserve"> </w:t>
      </w:r>
      <w:r w:rsidR="007220F2" w:rsidRPr="00EA59C0">
        <w:t>students.</w:t>
      </w:r>
      <w:r w:rsidR="00C026A6" w:rsidRPr="00EA59C0">
        <w:t xml:space="preserve">  </w:t>
      </w:r>
    </w:p>
    <w:p w:rsidR="00076399" w:rsidRPr="00EA59C0" w:rsidRDefault="00076399" w:rsidP="00D03948">
      <w:pPr>
        <w:ind w:left="1080"/>
      </w:pPr>
    </w:p>
    <w:p w:rsidR="00EE2FD0" w:rsidRPr="00EA59C0" w:rsidRDefault="005549F3" w:rsidP="00D03948">
      <w:pPr>
        <w:ind w:left="1080"/>
      </w:pPr>
      <w:r w:rsidRPr="00EA59C0">
        <w:t>To</w:t>
      </w:r>
      <w:r w:rsidR="00C026A6" w:rsidRPr="00EA59C0">
        <w:t xml:space="preserve"> </w:t>
      </w:r>
      <w:r w:rsidRPr="00EA59C0">
        <w:t>promote</w:t>
      </w:r>
      <w:r w:rsidR="00C026A6" w:rsidRPr="00EA59C0">
        <w:t xml:space="preserve"> </w:t>
      </w:r>
      <w:r w:rsidRPr="00EA59C0">
        <w:t>better</w:t>
      </w:r>
      <w:r w:rsidR="00C026A6" w:rsidRPr="00EA59C0">
        <w:t xml:space="preserve"> </w:t>
      </w:r>
      <w:r w:rsidRPr="00EA59C0">
        <w:t>coordination</w:t>
      </w:r>
      <w:r w:rsidR="00C026A6" w:rsidRPr="00EA59C0">
        <w:t xml:space="preserve"> </w:t>
      </w:r>
      <w:r w:rsidR="00AA2AAE" w:rsidRPr="00EA59C0">
        <w:t>and</w:t>
      </w:r>
      <w:r w:rsidR="00C026A6" w:rsidRPr="00EA59C0">
        <w:t xml:space="preserve"> </w:t>
      </w:r>
      <w:r w:rsidR="00AA2AAE" w:rsidRPr="00EA59C0">
        <w:t>to</w:t>
      </w:r>
      <w:r w:rsidR="00C026A6" w:rsidRPr="00EA59C0">
        <w:t xml:space="preserve"> </w:t>
      </w:r>
      <w:r w:rsidR="00AA2AAE" w:rsidRPr="00EA59C0">
        <w:t>increase</w:t>
      </w:r>
      <w:r w:rsidR="00C026A6" w:rsidRPr="00EA59C0">
        <w:t xml:space="preserve"> </w:t>
      </w:r>
      <w:r w:rsidR="00AA2AAE" w:rsidRPr="00EA59C0">
        <w:t>the</w:t>
      </w:r>
      <w:r w:rsidR="00C026A6" w:rsidRPr="00EA59C0">
        <w:t xml:space="preserve"> </w:t>
      </w:r>
      <w:r w:rsidR="00AA2AAE" w:rsidRPr="00EA59C0">
        <w:t>likelihood</w:t>
      </w:r>
      <w:r w:rsidR="00C026A6" w:rsidRPr="00EA59C0">
        <w:t xml:space="preserve"> </w:t>
      </w:r>
      <w:r w:rsidR="00AA2AAE" w:rsidRPr="00EA59C0">
        <w:t>that</w:t>
      </w:r>
      <w:r w:rsidR="00C026A6" w:rsidRPr="00EA59C0">
        <w:t xml:space="preserve"> </w:t>
      </w:r>
      <w:r w:rsidR="00AA2AAE" w:rsidRPr="00EA59C0">
        <w:t>each</w:t>
      </w:r>
      <w:r w:rsidR="00C026A6" w:rsidRPr="00EA59C0">
        <w:t xml:space="preserve"> </w:t>
      </w:r>
      <w:r w:rsidR="00AA2AAE" w:rsidRPr="00EA59C0">
        <w:t>state</w:t>
      </w:r>
      <w:r w:rsidR="00C026A6" w:rsidRPr="00EA59C0">
        <w:t xml:space="preserve"> </w:t>
      </w:r>
      <w:r w:rsidR="00AA2AAE" w:rsidRPr="00EA59C0">
        <w:t>is</w:t>
      </w:r>
      <w:r w:rsidR="00C026A6" w:rsidRPr="00EA59C0">
        <w:t xml:space="preserve"> </w:t>
      </w:r>
      <w:r w:rsidR="00AA2AAE" w:rsidRPr="00EA59C0">
        <w:t>represented</w:t>
      </w:r>
      <w:r w:rsidR="00C026A6" w:rsidRPr="00EA59C0">
        <w:t xml:space="preserve"> </w:t>
      </w:r>
      <w:r w:rsidR="00AA2AAE" w:rsidRPr="00EA59C0">
        <w:t>by</w:t>
      </w:r>
      <w:r w:rsidR="00C026A6" w:rsidRPr="00EA59C0">
        <w:t xml:space="preserve"> </w:t>
      </w:r>
      <w:r w:rsidR="00AA2AAE" w:rsidRPr="00EA59C0">
        <w:t>at</w:t>
      </w:r>
      <w:r w:rsidR="00C026A6" w:rsidRPr="00EA59C0">
        <w:t xml:space="preserve"> </w:t>
      </w:r>
      <w:r w:rsidR="00AA2AAE" w:rsidRPr="00EA59C0">
        <w:t>least</w:t>
      </w:r>
      <w:r w:rsidR="00C026A6" w:rsidRPr="00EA59C0">
        <w:t xml:space="preserve"> </w:t>
      </w:r>
      <w:r w:rsidR="00AA2AAE" w:rsidRPr="00EA59C0">
        <w:t>one</w:t>
      </w:r>
      <w:r w:rsidR="00C026A6" w:rsidRPr="00EA59C0">
        <w:t xml:space="preserve"> </w:t>
      </w:r>
      <w:r w:rsidR="00AA2AAE" w:rsidRPr="00EA59C0">
        <w:t>fundable</w:t>
      </w:r>
      <w:r w:rsidR="00C026A6" w:rsidRPr="00EA59C0">
        <w:t xml:space="preserve"> </w:t>
      </w:r>
      <w:r w:rsidR="00AA2AAE" w:rsidRPr="00EA59C0">
        <w:t>single</w:t>
      </w:r>
      <w:r w:rsidR="00C026A6" w:rsidRPr="00EA59C0">
        <w:t xml:space="preserve"> </w:t>
      </w:r>
      <w:r w:rsidR="00AA2AAE" w:rsidRPr="00EA59C0">
        <w:t>institution</w:t>
      </w:r>
      <w:r w:rsidR="00C026A6" w:rsidRPr="00EA59C0">
        <w:t xml:space="preserve"> </w:t>
      </w:r>
      <w:r w:rsidR="00AA2AAE" w:rsidRPr="00EA59C0">
        <w:t>application</w:t>
      </w:r>
      <w:r w:rsidRPr="00EA59C0">
        <w:t>,</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encourages</w:t>
      </w:r>
      <w:r w:rsidR="00C026A6" w:rsidRPr="00EA59C0">
        <w:t xml:space="preserve"> </w:t>
      </w:r>
      <w:r w:rsidRPr="00EA59C0">
        <w:t>applicants</w:t>
      </w:r>
      <w:r w:rsidR="00C026A6" w:rsidRPr="00EA59C0">
        <w:t xml:space="preserve"> </w:t>
      </w:r>
      <w:r w:rsidRPr="00EA59C0">
        <w:t>to</w:t>
      </w:r>
      <w:r w:rsidR="00C026A6" w:rsidRPr="00EA59C0">
        <w:t xml:space="preserve"> </w:t>
      </w:r>
      <w:r w:rsidRPr="00EA59C0">
        <w:t>share</w:t>
      </w:r>
      <w:r w:rsidR="00C026A6" w:rsidRPr="00EA59C0">
        <w:t xml:space="preserve"> </w:t>
      </w:r>
      <w:r w:rsidRPr="00EA59C0">
        <w:t>widely</w:t>
      </w:r>
      <w:r w:rsidR="00C026A6" w:rsidRPr="00EA59C0">
        <w:t xml:space="preserve"> </w:t>
      </w:r>
      <w:r w:rsidRPr="00EA59C0">
        <w:t>their</w:t>
      </w:r>
      <w:r w:rsidR="00C026A6" w:rsidRPr="00EA59C0">
        <w:t xml:space="preserve"> </w:t>
      </w:r>
      <w:r w:rsidRPr="00EA59C0">
        <w:t>intent</w:t>
      </w:r>
      <w:r w:rsidR="00C026A6" w:rsidRPr="00EA59C0">
        <w:t xml:space="preserve"> </w:t>
      </w:r>
      <w:r w:rsidRPr="00EA59C0">
        <w:t>to</w:t>
      </w:r>
      <w:r w:rsidR="00C026A6" w:rsidRPr="00EA59C0">
        <w:t xml:space="preserve"> </w:t>
      </w:r>
      <w:r w:rsidRPr="00EA59C0">
        <w:t>apply</w:t>
      </w:r>
      <w:r w:rsidR="00C026A6" w:rsidRPr="00EA59C0">
        <w:t xml:space="preserve"> </w:t>
      </w:r>
      <w:r w:rsidRPr="00EA59C0">
        <w:t>for</w:t>
      </w:r>
      <w:r w:rsidR="00C026A6" w:rsidRPr="00EA59C0">
        <w:t xml:space="preserve"> </w:t>
      </w:r>
      <w:r w:rsidRPr="00EA59C0">
        <w:t>TAACCCT</w:t>
      </w:r>
      <w:r w:rsidR="00C026A6" w:rsidRPr="00EA59C0">
        <w:t xml:space="preserve"> </w:t>
      </w:r>
      <w:r w:rsidRPr="00EA59C0">
        <w:t>funds</w:t>
      </w:r>
      <w:r w:rsidR="00C026A6" w:rsidRPr="00EA59C0">
        <w:t xml:space="preserve"> </w:t>
      </w:r>
      <w:r w:rsidRPr="00EA59C0">
        <w:t>by</w:t>
      </w:r>
      <w:r w:rsidR="00C026A6" w:rsidRPr="00EA59C0">
        <w:t xml:space="preserve"> </w:t>
      </w:r>
      <w:r w:rsidRPr="00EA59C0">
        <w:t>notifying</w:t>
      </w:r>
      <w:r w:rsidR="00C026A6" w:rsidRPr="00EA59C0">
        <w:t xml:space="preserve"> </w:t>
      </w:r>
      <w:r w:rsidRPr="00EA59C0">
        <w:t>their</w:t>
      </w:r>
      <w:r w:rsidR="00C026A6" w:rsidRPr="00EA59C0">
        <w:t xml:space="preserve"> </w:t>
      </w:r>
      <w:r w:rsidRPr="00EA59C0">
        <w:t>state</w:t>
      </w:r>
      <w:r w:rsidR="00C026A6" w:rsidRPr="00EA59C0">
        <w:t xml:space="preserve"> </w:t>
      </w:r>
      <w:r w:rsidRPr="00EA59C0">
        <w:t>higher</w:t>
      </w:r>
      <w:r w:rsidR="00C026A6" w:rsidRPr="00EA59C0">
        <w:t xml:space="preserve"> </w:t>
      </w:r>
      <w:r w:rsidRPr="00EA59C0">
        <w:t>education</w:t>
      </w:r>
      <w:r w:rsidR="00C026A6" w:rsidRPr="00EA59C0">
        <w:t xml:space="preserve"> </w:t>
      </w:r>
      <w:r w:rsidRPr="00EA59C0">
        <w:t>associations</w:t>
      </w:r>
      <w:r w:rsidR="00C026A6" w:rsidRPr="00EA59C0">
        <w:t xml:space="preserve"> </w:t>
      </w:r>
      <w:r w:rsidRPr="00EA59C0">
        <w:t>and/or</w:t>
      </w:r>
      <w:r w:rsidR="00C026A6" w:rsidRPr="00EA59C0">
        <w:t xml:space="preserve"> </w:t>
      </w:r>
      <w:r w:rsidRPr="00EA59C0">
        <w:t>governing</w:t>
      </w:r>
      <w:r w:rsidR="00C026A6" w:rsidRPr="00EA59C0">
        <w:t xml:space="preserve"> </w:t>
      </w:r>
      <w:r w:rsidRPr="00EA59C0">
        <w:t>boards.</w:t>
      </w:r>
      <w:r w:rsidR="00C026A6" w:rsidRPr="00EA59C0">
        <w:t xml:space="preserve">  </w:t>
      </w:r>
      <w:r w:rsidRPr="00EA59C0">
        <w:t>By</w:t>
      </w:r>
      <w:r w:rsidR="00C026A6" w:rsidRPr="00EA59C0">
        <w:t xml:space="preserve"> </w:t>
      </w:r>
      <w:r w:rsidRPr="00EA59C0">
        <w:t>reducing</w:t>
      </w:r>
      <w:r w:rsidR="00C026A6" w:rsidRPr="00EA59C0">
        <w:t xml:space="preserve"> </w:t>
      </w:r>
      <w:r w:rsidRPr="00EA59C0">
        <w:t>duplication,</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be</w:t>
      </w:r>
      <w:r w:rsidR="00C026A6" w:rsidRPr="00EA59C0">
        <w:t xml:space="preserve"> </w:t>
      </w:r>
      <w:r w:rsidRPr="00EA59C0">
        <w:t>making</w:t>
      </w:r>
      <w:r w:rsidR="00C026A6" w:rsidRPr="00EA59C0">
        <w:t xml:space="preserve"> </w:t>
      </w:r>
      <w:r w:rsidRPr="00EA59C0">
        <w:t>the</w:t>
      </w:r>
      <w:r w:rsidR="00C026A6" w:rsidRPr="00EA59C0">
        <w:t xml:space="preserve"> </w:t>
      </w:r>
      <w:r w:rsidRPr="00EA59C0">
        <w:t>best</w:t>
      </w:r>
      <w:r w:rsidR="00C026A6" w:rsidRPr="00EA59C0">
        <w:t xml:space="preserve"> </w:t>
      </w:r>
      <w:r w:rsidRPr="00EA59C0">
        <w:t>use</w:t>
      </w:r>
      <w:r w:rsidR="00C026A6" w:rsidRPr="00EA59C0">
        <w:t xml:space="preserve"> </w:t>
      </w:r>
      <w:r w:rsidRPr="00EA59C0">
        <w:t>of</w:t>
      </w:r>
      <w:r w:rsidR="00C026A6" w:rsidRPr="00EA59C0">
        <w:t xml:space="preserve"> </w:t>
      </w:r>
      <w:r w:rsidRPr="00EA59C0">
        <w:t>TAACCCT</w:t>
      </w:r>
      <w:r w:rsidR="00C026A6" w:rsidRPr="00EA59C0">
        <w:t xml:space="preserve"> </w:t>
      </w:r>
      <w:r w:rsidRPr="00EA59C0">
        <w:t>funds.</w:t>
      </w:r>
      <w:r w:rsidR="00C026A6" w:rsidRPr="00EA59C0">
        <w:t xml:space="preserve">  </w:t>
      </w:r>
      <w:r w:rsidRPr="00EA59C0">
        <w:t>Descriptions</w:t>
      </w:r>
      <w:r w:rsidR="00C026A6" w:rsidRPr="00EA59C0">
        <w:t xml:space="preserve"> </w:t>
      </w:r>
      <w:r w:rsidRPr="00EA59C0">
        <w:t>of</w:t>
      </w:r>
      <w:r w:rsidR="00C026A6" w:rsidRPr="00EA59C0">
        <w:t xml:space="preserve"> </w:t>
      </w:r>
      <w:r w:rsidRPr="00EA59C0">
        <w:t>funded</w:t>
      </w:r>
      <w:r w:rsidR="00C026A6" w:rsidRPr="00EA59C0">
        <w:t xml:space="preserve"> </w:t>
      </w:r>
      <w:r w:rsidRPr="00EA59C0">
        <w:t>projects</w:t>
      </w:r>
      <w:r w:rsidR="00C026A6" w:rsidRPr="00EA59C0">
        <w:t xml:space="preserve"> </w:t>
      </w:r>
      <w:r w:rsidRPr="00EA59C0">
        <w:t>from</w:t>
      </w:r>
      <w:r w:rsidR="00C026A6" w:rsidRPr="00EA59C0">
        <w:t xml:space="preserve"> </w:t>
      </w:r>
      <w:r w:rsidRPr="00EA59C0">
        <w:t>Rounds</w:t>
      </w:r>
      <w:r w:rsidR="00C026A6" w:rsidRPr="00EA59C0">
        <w:t xml:space="preserve"> </w:t>
      </w:r>
      <w:r w:rsidRPr="00EA59C0">
        <w:t>1</w:t>
      </w:r>
      <w:r w:rsidR="00C026A6" w:rsidRPr="00EA59C0">
        <w:t xml:space="preserve"> </w:t>
      </w:r>
      <w:r w:rsidRPr="00EA59C0">
        <w:t>through</w:t>
      </w:r>
      <w:r w:rsidR="00C026A6" w:rsidRPr="00EA59C0">
        <w:t xml:space="preserve"> </w:t>
      </w:r>
      <w:r w:rsidRPr="00EA59C0">
        <w:t>3</w:t>
      </w:r>
      <w:r w:rsidR="00C026A6" w:rsidRPr="00EA59C0">
        <w:t xml:space="preserve"> </w:t>
      </w:r>
      <w:r w:rsidRPr="00EA59C0">
        <w:t>can</w:t>
      </w:r>
      <w:r w:rsidR="00C026A6" w:rsidRPr="00EA59C0">
        <w:t xml:space="preserve"> </w:t>
      </w:r>
      <w:r w:rsidRPr="00EA59C0">
        <w:t>be</w:t>
      </w:r>
      <w:r w:rsidR="00C026A6" w:rsidRPr="00EA59C0">
        <w:t xml:space="preserve"> </w:t>
      </w:r>
      <w:r w:rsidRPr="00EA59C0">
        <w:t>found</w:t>
      </w:r>
      <w:r w:rsidR="00C026A6" w:rsidRPr="00EA59C0">
        <w:t xml:space="preserve"> </w:t>
      </w:r>
      <w:r w:rsidRPr="00EA59C0">
        <w:t>at</w:t>
      </w:r>
      <w:r w:rsidR="00C026A6" w:rsidRPr="00EA59C0">
        <w:t xml:space="preserve"> </w:t>
      </w:r>
      <w:hyperlink r:id="rId238" w:history="1">
        <w:r w:rsidRPr="00EA59C0">
          <w:rPr>
            <w:rStyle w:val="Hyperlink"/>
            <w:color w:val="auto"/>
          </w:rPr>
          <w:t>www.doleta.gov/taaccct</w:t>
        </w:r>
      </w:hyperlink>
      <w:r w:rsidRPr="00EA59C0">
        <w:t>.</w:t>
      </w:r>
      <w:r w:rsidR="00C026A6" w:rsidRPr="00EA59C0">
        <w:t xml:space="preserve"> </w:t>
      </w:r>
    </w:p>
    <w:p w:rsidR="00EE2FD0" w:rsidRPr="00EA59C0" w:rsidRDefault="00EE2FD0" w:rsidP="00D03948"/>
    <w:p w:rsidR="00472029" w:rsidRPr="00EA59C0" w:rsidRDefault="00472029" w:rsidP="005A5AC2">
      <w:pPr>
        <w:pStyle w:val="Heading1"/>
        <w:numPr>
          <w:ilvl w:val="2"/>
          <w:numId w:val="17"/>
        </w:numPr>
        <w:spacing w:line="240" w:lineRule="auto"/>
      </w:pPr>
      <w:r w:rsidRPr="00EA59C0">
        <w:t>Core</w:t>
      </w:r>
      <w:r w:rsidR="00C026A6" w:rsidRPr="00EA59C0">
        <w:t xml:space="preserve"> </w:t>
      </w:r>
      <w:r w:rsidRPr="00EA59C0">
        <w:t>Element</w:t>
      </w:r>
      <w:r w:rsidR="00C026A6" w:rsidRPr="00EA59C0">
        <w:t xml:space="preserve"> </w:t>
      </w:r>
      <w:r w:rsidR="000360E1" w:rsidRPr="00EA59C0">
        <w:t>6</w:t>
      </w:r>
      <w:r w:rsidRPr="00EA59C0">
        <w:t>:</w:t>
      </w:r>
      <w:r w:rsidR="00C026A6" w:rsidRPr="00EA59C0">
        <w:t xml:space="preserve">  </w:t>
      </w:r>
      <w:r w:rsidRPr="00EA59C0">
        <w:t>Sector</w:t>
      </w:r>
      <w:r w:rsidR="00C026A6" w:rsidRPr="00EA59C0">
        <w:t xml:space="preserve"> </w:t>
      </w:r>
      <w:r w:rsidRPr="00EA59C0">
        <w:t>Strateg</w:t>
      </w:r>
      <w:r w:rsidR="005549F3" w:rsidRPr="00EA59C0">
        <w:t>ies</w:t>
      </w:r>
      <w:r w:rsidR="00C026A6" w:rsidRPr="00EA59C0">
        <w:t xml:space="preserve"> </w:t>
      </w:r>
      <w:r w:rsidR="005549F3" w:rsidRPr="00EA59C0">
        <w:t>and</w:t>
      </w:r>
      <w:r w:rsidR="00C026A6" w:rsidRPr="00EA59C0">
        <w:t xml:space="preserve"> </w:t>
      </w:r>
      <w:r w:rsidR="005549F3" w:rsidRPr="00EA59C0">
        <w:t>Employer</w:t>
      </w:r>
      <w:r w:rsidR="00C026A6" w:rsidRPr="00EA59C0">
        <w:t xml:space="preserve"> </w:t>
      </w:r>
      <w:r w:rsidR="005549F3" w:rsidRPr="00EA59C0">
        <w:t>Engagement</w:t>
      </w:r>
    </w:p>
    <w:p w:rsidR="00472029" w:rsidRPr="00EA59C0" w:rsidRDefault="00472029" w:rsidP="00D03948">
      <w:pPr>
        <w:ind w:left="720"/>
      </w:pPr>
    </w:p>
    <w:p w:rsidR="005549F3" w:rsidRPr="00EA59C0" w:rsidRDefault="005549F3" w:rsidP="0009044A">
      <w:pPr>
        <w:ind w:left="1080"/>
      </w:pPr>
      <w:r w:rsidRPr="00EA59C0">
        <w:t>In</w:t>
      </w:r>
      <w:r w:rsidR="00C026A6" w:rsidRPr="00EA59C0">
        <w:t xml:space="preserve"> </w:t>
      </w:r>
      <w:r w:rsidRPr="00EA59C0">
        <w:t>this</w:t>
      </w:r>
      <w:r w:rsidR="00C026A6" w:rsidRPr="00EA59C0">
        <w:t xml:space="preserve"> </w:t>
      </w:r>
      <w:r w:rsidRPr="00EA59C0">
        <w:t>SGA,</w:t>
      </w:r>
      <w:r w:rsidR="00C026A6" w:rsidRPr="00EA59C0">
        <w:t xml:space="preserve"> </w:t>
      </w:r>
      <w:r w:rsidRPr="00EA59C0">
        <w:t>applicants</w:t>
      </w:r>
      <w:r w:rsidR="00C026A6" w:rsidRPr="00EA59C0">
        <w:t xml:space="preserve"> </w:t>
      </w:r>
      <w:r w:rsidRPr="00EA59C0">
        <w:t>are</w:t>
      </w:r>
      <w:r w:rsidR="00C026A6" w:rsidRPr="00EA59C0">
        <w:t xml:space="preserve"> </w:t>
      </w:r>
      <w:r w:rsidRPr="00EA59C0">
        <w:t>required</w:t>
      </w:r>
      <w:r w:rsidR="00C026A6" w:rsidRPr="00EA59C0">
        <w:t xml:space="preserve"> </w:t>
      </w:r>
      <w:r w:rsidRPr="00EA59C0">
        <w:t>to</w:t>
      </w:r>
      <w:r w:rsidR="00C026A6" w:rsidRPr="00EA59C0">
        <w:t xml:space="preserve"> </w:t>
      </w:r>
      <w:r w:rsidRPr="00EA59C0">
        <w:t>develop</w:t>
      </w:r>
      <w:r w:rsidR="00C026A6" w:rsidRPr="00EA59C0">
        <w:t xml:space="preserve"> </w:t>
      </w:r>
      <w:r w:rsidRPr="00EA59C0">
        <w:t>new</w:t>
      </w:r>
      <w:r w:rsidR="00C026A6" w:rsidRPr="00EA59C0">
        <w:t xml:space="preserve"> </w:t>
      </w:r>
      <w:r w:rsidRPr="00EA59C0">
        <w:t>and/or</w:t>
      </w:r>
      <w:r w:rsidR="00C026A6" w:rsidRPr="00EA59C0">
        <w:t xml:space="preserve"> </w:t>
      </w:r>
      <w:r w:rsidR="00247709" w:rsidRPr="00EA59C0">
        <w:t>take</w:t>
      </w:r>
      <w:r w:rsidR="00C026A6" w:rsidRPr="00EA59C0">
        <w:t xml:space="preserve"> </w:t>
      </w:r>
      <w:r w:rsidR="00247709" w:rsidRPr="00EA59C0">
        <w:t>to</w:t>
      </w:r>
      <w:r w:rsidR="00C026A6" w:rsidRPr="00EA59C0">
        <w:t xml:space="preserve"> </w:t>
      </w:r>
      <w:r w:rsidRPr="00EA59C0">
        <w:t>scale</w:t>
      </w:r>
      <w:r w:rsidR="00C026A6" w:rsidRPr="00EA59C0">
        <w:t xml:space="preserve"> </w:t>
      </w:r>
      <w:r w:rsidRPr="00EA59C0">
        <w:t>successful</w:t>
      </w:r>
      <w:r w:rsidR="00C026A6" w:rsidRPr="00EA59C0">
        <w:t xml:space="preserve"> </w:t>
      </w:r>
      <w:r w:rsidR="006D6662" w:rsidRPr="00EA59C0">
        <w:t>industry</w:t>
      </w:r>
      <w:r w:rsidR="00C026A6" w:rsidRPr="00EA59C0">
        <w:t xml:space="preserve"> </w:t>
      </w:r>
      <w:r w:rsidRPr="00EA59C0">
        <w:t>sector</w:t>
      </w:r>
      <w:r w:rsidR="00C026A6" w:rsidRPr="00EA59C0">
        <w:t xml:space="preserve"> </w:t>
      </w:r>
      <w:r w:rsidRPr="00EA59C0">
        <w:t>strategies.</w:t>
      </w:r>
      <w:r w:rsidR="00C026A6" w:rsidRPr="00EA59C0">
        <w:t xml:space="preserve">  </w:t>
      </w:r>
      <w:r w:rsidRPr="00EA59C0">
        <w:t>These</w:t>
      </w:r>
      <w:r w:rsidR="00C026A6" w:rsidRPr="00EA59C0">
        <w:t xml:space="preserve"> </w:t>
      </w:r>
      <w:r w:rsidRPr="00EA59C0">
        <w:t>sector</w:t>
      </w:r>
      <w:r w:rsidR="00C026A6" w:rsidRPr="00EA59C0">
        <w:t xml:space="preserve"> </w:t>
      </w:r>
      <w:r w:rsidRPr="00EA59C0">
        <w:t>strategies</w:t>
      </w:r>
      <w:r w:rsidR="00C026A6" w:rsidRPr="00EA59C0">
        <w:t xml:space="preserve"> </w:t>
      </w:r>
      <w:r w:rsidRPr="00EA59C0">
        <w:t>must</w:t>
      </w:r>
      <w:r w:rsidR="00C026A6" w:rsidRPr="00EA59C0">
        <w:t xml:space="preserve"> </w:t>
      </w:r>
      <w:r w:rsidRPr="00EA59C0">
        <w:t>focus</w:t>
      </w:r>
      <w:r w:rsidR="00C026A6" w:rsidRPr="00EA59C0">
        <w:t xml:space="preserve"> </w:t>
      </w:r>
      <w:r w:rsidRPr="00EA59C0">
        <w:t>on</w:t>
      </w:r>
      <w:r w:rsidR="00C026A6" w:rsidRPr="00EA59C0">
        <w:t xml:space="preserve"> </w:t>
      </w:r>
      <w:r w:rsidRPr="00EA59C0">
        <w:t>addressing</w:t>
      </w:r>
      <w:r w:rsidR="00C026A6" w:rsidRPr="00EA59C0">
        <w:t xml:space="preserve"> </w:t>
      </w:r>
      <w:r w:rsidRPr="00EA59C0">
        <w:t>employers’</w:t>
      </w:r>
      <w:r w:rsidR="00C026A6" w:rsidRPr="00EA59C0">
        <w:t xml:space="preserve"> </w:t>
      </w:r>
      <w:r w:rsidRPr="00EA59C0">
        <w:t>workforce</w:t>
      </w:r>
      <w:r w:rsidR="00C026A6" w:rsidRPr="00EA59C0">
        <w:t xml:space="preserve"> </w:t>
      </w:r>
      <w:r w:rsidRPr="00EA59C0">
        <w:t>needs</w:t>
      </w:r>
      <w:r w:rsidR="00C026A6" w:rsidRPr="00EA59C0">
        <w:t xml:space="preserve"> </w:t>
      </w:r>
      <w:r w:rsidRPr="00EA59C0">
        <w:t>by</w:t>
      </w:r>
      <w:r w:rsidR="00C026A6" w:rsidRPr="00EA59C0">
        <w:t xml:space="preserve"> </w:t>
      </w:r>
      <w:r w:rsidRPr="00EA59C0">
        <w:t>expanding</w:t>
      </w:r>
      <w:r w:rsidR="00C026A6" w:rsidRPr="00EA59C0">
        <w:t xml:space="preserve"> </w:t>
      </w:r>
      <w:r w:rsidRPr="00EA59C0">
        <w:t>or</w:t>
      </w:r>
      <w:r w:rsidR="00C026A6" w:rsidRPr="00EA59C0">
        <w:t xml:space="preserve"> </w:t>
      </w:r>
      <w:r w:rsidRPr="00EA59C0">
        <w:t>improving</w:t>
      </w:r>
      <w:r w:rsidR="00C026A6" w:rsidRPr="00EA59C0">
        <w:t xml:space="preserve"> </w:t>
      </w:r>
      <w:r w:rsidRPr="00EA59C0">
        <w:t>applicants’</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based</w:t>
      </w:r>
      <w:r w:rsidR="00C026A6" w:rsidRPr="00EA59C0">
        <w:t xml:space="preserve"> </w:t>
      </w:r>
      <w:r w:rsidRPr="00EA59C0">
        <w:t>on</w:t>
      </w:r>
      <w:r w:rsidR="00C026A6" w:rsidRPr="00EA59C0">
        <w:t xml:space="preserve"> </w:t>
      </w:r>
      <w:r w:rsidRPr="00EA59C0">
        <w:t>the</w:t>
      </w:r>
      <w:r w:rsidR="00C026A6" w:rsidRPr="00EA59C0">
        <w:t xml:space="preserve"> </w:t>
      </w:r>
      <w:r w:rsidRPr="00EA59C0">
        <w:t>use</w:t>
      </w:r>
      <w:r w:rsidR="00C026A6" w:rsidRPr="00EA59C0">
        <w:t xml:space="preserve"> </w:t>
      </w:r>
      <w:r w:rsidRPr="00EA59C0">
        <w:t>of</w:t>
      </w:r>
      <w:r w:rsidR="00C026A6" w:rsidRPr="00EA59C0">
        <w:t xml:space="preserve"> </w:t>
      </w:r>
      <w:r w:rsidR="00674BA0" w:rsidRPr="00EA59C0">
        <w:t>both</w:t>
      </w:r>
      <w:r w:rsidR="00C026A6" w:rsidRPr="00EA59C0">
        <w:t xml:space="preserve"> </w:t>
      </w:r>
      <w:r w:rsidR="00674BA0" w:rsidRPr="00EA59C0">
        <w:t>traditional</w:t>
      </w:r>
      <w:r w:rsidR="00C026A6" w:rsidRPr="00EA59C0">
        <w:t xml:space="preserve"> </w:t>
      </w:r>
      <w:r w:rsidR="00674BA0" w:rsidRPr="00EA59C0">
        <w:t>and</w:t>
      </w:r>
      <w:r w:rsidR="00C026A6" w:rsidRPr="00EA59C0">
        <w:t xml:space="preserve"> </w:t>
      </w:r>
      <w:r w:rsidRPr="00EA59C0">
        <w:t>real-time</w:t>
      </w:r>
      <w:r w:rsidR="00C026A6" w:rsidRPr="00EA59C0">
        <w:t xml:space="preserve"> </w:t>
      </w:r>
      <w:r w:rsidRPr="00EA59C0">
        <w:t>labor</w:t>
      </w:r>
      <w:r w:rsidR="00C026A6" w:rsidRPr="00EA59C0">
        <w:t xml:space="preserve"> </w:t>
      </w:r>
      <w:r w:rsidRPr="00EA59C0">
        <w:t>market</w:t>
      </w:r>
      <w:r w:rsidR="00C026A6" w:rsidRPr="00EA59C0">
        <w:t xml:space="preserve"> </w:t>
      </w:r>
      <w:r w:rsidRPr="00EA59C0">
        <w:t>information</w:t>
      </w:r>
      <w:r w:rsidR="00DA0767" w:rsidRPr="00EA59C0">
        <w:t>.</w:t>
      </w:r>
      <w:r w:rsidR="0009044A" w:rsidRPr="00EA59C0">
        <w:t xml:space="preserve"> Resources on sector strategies are provided in Appendix A. </w:t>
      </w:r>
    </w:p>
    <w:p w:rsidR="005549F3" w:rsidRPr="00EA59C0" w:rsidRDefault="005549F3" w:rsidP="00D03948">
      <w:pPr>
        <w:ind w:left="1080"/>
      </w:pPr>
    </w:p>
    <w:p w:rsidR="00B77834" w:rsidRPr="00EA59C0" w:rsidRDefault="0026016C" w:rsidP="00D03948">
      <w:pPr>
        <w:ind w:left="1080"/>
      </w:pPr>
      <w:r w:rsidRPr="00EA59C0">
        <w:t>Effective</w:t>
      </w:r>
      <w:r w:rsidR="00C026A6" w:rsidRPr="00EA59C0">
        <w:t xml:space="preserve"> </w:t>
      </w:r>
      <w:r w:rsidRPr="00EA59C0">
        <w:t>sector</w:t>
      </w:r>
      <w:r w:rsidR="00C026A6" w:rsidRPr="00EA59C0">
        <w:t xml:space="preserve"> </w:t>
      </w:r>
      <w:r w:rsidRPr="00EA59C0">
        <w:t>strategies</w:t>
      </w:r>
      <w:r w:rsidR="00C026A6" w:rsidRPr="00EA59C0">
        <w:t xml:space="preserve"> </w:t>
      </w:r>
      <w:r w:rsidRPr="00EA59C0">
        <w:t>hinge</w:t>
      </w:r>
      <w:r w:rsidR="00C026A6" w:rsidRPr="00EA59C0">
        <w:t xml:space="preserve"> </w:t>
      </w:r>
      <w:r w:rsidRPr="00EA59C0">
        <w:t>on</w:t>
      </w:r>
      <w:r w:rsidR="00C026A6" w:rsidRPr="00EA59C0">
        <w:t xml:space="preserve"> </w:t>
      </w:r>
      <w:r w:rsidRPr="00EA59C0">
        <w:t>deep</w:t>
      </w:r>
      <w:r w:rsidR="00C026A6" w:rsidRPr="00EA59C0">
        <w:t xml:space="preserve"> </w:t>
      </w:r>
      <w:r w:rsidRPr="00EA59C0">
        <w:t>partnerships</w:t>
      </w:r>
      <w:r w:rsidR="00C026A6" w:rsidRPr="00EA59C0">
        <w:t xml:space="preserve"> </w:t>
      </w:r>
      <w:r w:rsidRPr="00EA59C0">
        <w:t>with</w:t>
      </w:r>
      <w:r w:rsidR="00C026A6" w:rsidRPr="00EA59C0">
        <w:t xml:space="preserve"> </w:t>
      </w:r>
      <w:r w:rsidRPr="00EA59C0">
        <w:t>employers</w:t>
      </w:r>
      <w:r w:rsidR="00C026A6" w:rsidRPr="00EA59C0">
        <w:t xml:space="preserve"> </w:t>
      </w:r>
      <w:r w:rsidR="00E84BE2" w:rsidRPr="00EA59C0">
        <w:t>and</w:t>
      </w:r>
      <w:r w:rsidR="00C026A6" w:rsidRPr="00EA59C0">
        <w:t xml:space="preserve"> </w:t>
      </w:r>
      <w:r w:rsidR="00E84BE2" w:rsidRPr="00EA59C0">
        <w:t>regional</w:t>
      </w:r>
      <w:r w:rsidR="00C026A6" w:rsidRPr="00EA59C0">
        <w:t xml:space="preserve"> </w:t>
      </w:r>
      <w:r w:rsidR="00E84BE2" w:rsidRPr="00EA59C0">
        <w:t>industry</w:t>
      </w:r>
      <w:r w:rsidR="00C026A6" w:rsidRPr="00EA59C0">
        <w:t xml:space="preserve"> </w:t>
      </w:r>
      <w:r w:rsidR="00E84BE2" w:rsidRPr="00EA59C0">
        <w:t>representatives</w:t>
      </w:r>
      <w:r w:rsidRPr="00EA59C0">
        <w:t>,</w:t>
      </w:r>
      <w:r w:rsidR="00C026A6" w:rsidRPr="00EA59C0">
        <w:t xml:space="preserve"> </w:t>
      </w:r>
      <w:r w:rsidRPr="00EA59C0">
        <w:t>and</w:t>
      </w:r>
      <w:r w:rsidR="00C026A6" w:rsidRPr="00EA59C0">
        <w:t xml:space="preserve"> </w:t>
      </w:r>
      <w:r w:rsidR="00DE594A" w:rsidRPr="00EA59C0">
        <w:t>where</w:t>
      </w:r>
      <w:r w:rsidR="00C026A6" w:rsidRPr="00EA59C0">
        <w:t xml:space="preserve"> </w:t>
      </w:r>
      <w:r w:rsidR="00DE594A" w:rsidRPr="00EA59C0">
        <w:t>appropriate</w:t>
      </w:r>
      <w:r w:rsidR="00C026A6" w:rsidRPr="00EA59C0">
        <w:t xml:space="preserve"> </w:t>
      </w:r>
      <w:r w:rsidR="00E84BE2" w:rsidRPr="00EA59C0">
        <w:t>national</w:t>
      </w:r>
      <w:r w:rsidR="00C026A6" w:rsidRPr="00EA59C0">
        <w:t xml:space="preserve"> </w:t>
      </w:r>
      <w:r w:rsidRPr="00EA59C0">
        <w:t>industry</w:t>
      </w:r>
      <w:r w:rsidR="00C026A6" w:rsidRPr="00EA59C0">
        <w:t xml:space="preserve"> </w:t>
      </w:r>
      <w:r w:rsidRPr="00EA59C0">
        <w:t>representatives.</w:t>
      </w:r>
      <w:r w:rsidR="00C026A6" w:rsidRPr="00EA59C0">
        <w:t xml:space="preserve">  </w:t>
      </w:r>
      <w:r w:rsidR="00B77834" w:rsidRPr="00EA59C0">
        <w:t>To</w:t>
      </w:r>
      <w:r w:rsidR="00C026A6" w:rsidRPr="00EA59C0">
        <w:t xml:space="preserve"> </w:t>
      </w:r>
      <w:r w:rsidR="00B77834" w:rsidRPr="00EA59C0">
        <w:t>that</w:t>
      </w:r>
      <w:r w:rsidR="00C026A6" w:rsidRPr="00EA59C0">
        <w:t xml:space="preserve"> </w:t>
      </w:r>
      <w:r w:rsidR="00B77834" w:rsidRPr="00EA59C0">
        <w:t>end,</w:t>
      </w:r>
      <w:r w:rsidR="00C026A6" w:rsidRPr="00EA59C0">
        <w:t xml:space="preserve"> </w:t>
      </w:r>
      <w:r w:rsidR="00B77834" w:rsidRPr="00EA59C0">
        <w:t>successful</w:t>
      </w:r>
      <w:r w:rsidR="00C026A6" w:rsidRPr="00EA59C0">
        <w:t xml:space="preserve"> </w:t>
      </w:r>
      <w:r w:rsidR="00B77834" w:rsidRPr="00EA59C0">
        <w:t>applicants</w:t>
      </w:r>
      <w:r w:rsidR="00C026A6" w:rsidRPr="00EA59C0">
        <w:t xml:space="preserve"> </w:t>
      </w:r>
      <w:r w:rsidR="00B77834" w:rsidRPr="00EA59C0">
        <w:t>will</w:t>
      </w:r>
      <w:r w:rsidR="00C026A6" w:rsidRPr="00EA59C0">
        <w:t xml:space="preserve"> </w:t>
      </w:r>
      <w:r w:rsidR="00B77834" w:rsidRPr="00EA59C0">
        <w:t>identify</w:t>
      </w:r>
      <w:r w:rsidR="00C026A6" w:rsidRPr="00EA59C0">
        <w:t xml:space="preserve"> </w:t>
      </w:r>
      <w:r w:rsidR="00B77834" w:rsidRPr="00EA59C0">
        <w:t>one</w:t>
      </w:r>
      <w:r w:rsidR="00C026A6" w:rsidRPr="00EA59C0">
        <w:t xml:space="preserve"> </w:t>
      </w:r>
      <w:r w:rsidR="00B77834" w:rsidRPr="00EA59C0">
        <w:t>or</w:t>
      </w:r>
      <w:r w:rsidR="00C026A6" w:rsidRPr="00EA59C0">
        <w:t xml:space="preserve"> </w:t>
      </w:r>
      <w:r w:rsidR="00B77834" w:rsidRPr="00EA59C0">
        <w:t>more</w:t>
      </w:r>
      <w:r w:rsidR="00C026A6" w:rsidRPr="00EA59C0">
        <w:t xml:space="preserve"> </w:t>
      </w:r>
      <w:r w:rsidR="00B77834" w:rsidRPr="00EA59C0">
        <w:t>specific</w:t>
      </w:r>
      <w:r w:rsidR="00C026A6" w:rsidRPr="00EA59C0">
        <w:t xml:space="preserve"> </w:t>
      </w:r>
      <w:r w:rsidR="00B77834" w:rsidRPr="00EA59C0">
        <w:t>industry</w:t>
      </w:r>
      <w:r w:rsidR="00C026A6" w:rsidRPr="00EA59C0">
        <w:t xml:space="preserve"> </w:t>
      </w:r>
      <w:r w:rsidR="00B77834" w:rsidRPr="00EA59C0">
        <w:t>sectors</w:t>
      </w:r>
      <w:r w:rsidR="00C026A6" w:rsidRPr="00EA59C0">
        <w:t xml:space="preserve"> </w:t>
      </w:r>
      <w:r w:rsidR="00B77834" w:rsidRPr="00EA59C0">
        <w:t>on</w:t>
      </w:r>
      <w:r w:rsidR="00C026A6" w:rsidRPr="00EA59C0">
        <w:t xml:space="preserve"> </w:t>
      </w:r>
      <w:r w:rsidR="00B77834" w:rsidRPr="00EA59C0">
        <w:t>which</w:t>
      </w:r>
      <w:r w:rsidR="00C026A6" w:rsidRPr="00EA59C0">
        <w:t xml:space="preserve"> </w:t>
      </w:r>
      <w:r w:rsidR="00B77834" w:rsidRPr="00EA59C0">
        <w:t>they</w:t>
      </w:r>
      <w:r w:rsidR="00C026A6" w:rsidRPr="00EA59C0">
        <w:t xml:space="preserve"> </w:t>
      </w:r>
      <w:r w:rsidR="00B77834" w:rsidRPr="00EA59C0">
        <w:t>will</w:t>
      </w:r>
      <w:r w:rsidR="00C026A6" w:rsidRPr="00EA59C0">
        <w:t xml:space="preserve"> </w:t>
      </w:r>
      <w:r w:rsidR="00B77834" w:rsidRPr="00EA59C0">
        <w:t>focus</w:t>
      </w:r>
      <w:r w:rsidR="00C026A6" w:rsidRPr="00EA59C0">
        <w:t xml:space="preserve"> </w:t>
      </w:r>
      <w:r w:rsidR="00B77834" w:rsidRPr="00EA59C0">
        <w:t>and</w:t>
      </w:r>
      <w:r w:rsidR="00C026A6" w:rsidRPr="00EA59C0">
        <w:t xml:space="preserve"> </w:t>
      </w:r>
      <w:r w:rsidR="00B77834" w:rsidRPr="00EA59C0">
        <w:t>involve</w:t>
      </w:r>
      <w:r w:rsidR="00C026A6" w:rsidRPr="00EA59C0">
        <w:t xml:space="preserve"> </w:t>
      </w:r>
      <w:r w:rsidR="00B77834" w:rsidRPr="00EA59C0">
        <w:t>at</w:t>
      </w:r>
      <w:r w:rsidR="00C026A6" w:rsidRPr="00EA59C0">
        <w:t xml:space="preserve"> </w:t>
      </w:r>
      <w:r w:rsidR="00B77834" w:rsidRPr="00EA59C0">
        <w:t>least</w:t>
      </w:r>
      <w:r w:rsidR="00C026A6" w:rsidRPr="00EA59C0">
        <w:t xml:space="preserve"> </w:t>
      </w:r>
      <w:r w:rsidR="00B77834" w:rsidRPr="00EA59C0">
        <w:t>two</w:t>
      </w:r>
      <w:r w:rsidR="00C026A6" w:rsidRPr="00EA59C0">
        <w:t xml:space="preserve"> </w:t>
      </w:r>
      <w:r w:rsidR="00B77834" w:rsidRPr="00EA59C0">
        <w:t>employer</w:t>
      </w:r>
      <w:r w:rsidR="00427249" w:rsidRPr="00EA59C0">
        <w:t>s</w:t>
      </w:r>
      <w:r w:rsidR="00DA0767" w:rsidRPr="00EA59C0">
        <w:t>,</w:t>
      </w:r>
      <w:r w:rsidR="00C026A6" w:rsidRPr="00EA59C0">
        <w:t xml:space="preserve"> </w:t>
      </w:r>
      <w:r w:rsidR="00C43448" w:rsidRPr="00EA59C0">
        <w:t>and</w:t>
      </w:r>
      <w:r w:rsidR="00C026A6" w:rsidRPr="00EA59C0">
        <w:t xml:space="preserve"> </w:t>
      </w:r>
      <w:r w:rsidR="003766A2" w:rsidRPr="00EA59C0">
        <w:t>a</w:t>
      </w:r>
      <w:r w:rsidR="00C026A6" w:rsidRPr="00EA59C0">
        <w:t xml:space="preserve"> </w:t>
      </w:r>
      <w:r w:rsidR="00C43448" w:rsidRPr="00EA59C0">
        <w:t>regional</w:t>
      </w:r>
      <w:r w:rsidR="00C026A6" w:rsidRPr="00EA59C0">
        <w:t xml:space="preserve"> </w:t>
      </w:r>
      <w:r w:rsidR="003766A2" w:rsidRPr="00EA59C0">
        <w:t>industry</w:t>
      </w:r>
      <w:r w:rsidR="00C026A6" w:rsidRPr="00EA59C0">
        <w:t xml:space="preserve"> </w:t>
      </w:r>
      <w:r w:rsidR="003766A2" w:rsidRPr="00EA59C0">
        <w:t>representative</w:t>
      </w:r>
      <w:r w:rsidR="008C567C" w:rsidRPr="00EA59C0">
        <w:t>,</w:t>
      </w:r>
      <w:r w:rsidR="00C026A6" w:rsidRPr="00EA59C0">
        <w:t xml:space="preserve"> </w:t>
      </w:r>
      <w:r w:rsidR="00B77834" w:rsidRPr="00EA59C0">
        <w:t>for</w:t>
      </w:r>
      <w:r w:rsidR="00C026A6" w:rsidRPr="00EA59C0">
        <w:t xml:space="preserve"> </w:t>
      </w:r>
      <w:r w:rsidR="00B77834" w:rsidRPr="00EA59C0">
        <w:t>each</w:t>
      </w:r>
      <w:r w:rsidR="00C026A6" w:rsidRPr="00EA59C0">
        <w:t xml:space="preserve"> </w:t>
      </w:r>
      <w:r w:rsidR="00B77834" w:rsidRPr="00EA59C0">
        <w:t>targeted</w:t>
      </w:r>
      <w:r w:rsidR="00C026A6" w:rsidRPr="00EA59C0">
        <w:t xml:space="preserve"> </w:t>
      </w:r>
      <w:r w:rsidR="00B77834" w:rsidRPr="00EA59C0">
        <w:t>sector</w:t>
      </w:r>
      <w:r w:rsidR="00C026A6" w:rsidRPr="00EA59C0">
        <w:t xml:space="preserve"> </w:t>
      </w:r>
      <w:r w:rsidR="00B77834" w:rsidRPr="00EA59C0">
        <w:t>in</w:t>
      </w:r>
      <w:r w:rsidR="00C026A6" w:rsidRPr="00EA59C0">
        <w:t xml:space="preserve"> </w:t>
      </w:r>
      <w:r w:rsidR="00B77834" w:rsidRPr="00EA59C0">
        <w:t>each</w:t>
      </w:r>
      <w:r w:rsidR="00C026A6" w:rsidRPr="00EA59C0">
        <w:t xml:space="preserve"> </w:t>
      </w:r>
      <w:r w:rsidR="00B77834" w:rsidRPr="00EA59C0">
        <w:t>site</w:t>
      </w:r>
      <w:r w:rsidR="00C026A6" w:rsidRPr="00EA59C0">
        <w:t xml:space="preserve"> </w:t>
      </w:r>
      <w:r w:rsidR="00B77834" w:rsidRPr="00EA59C0">
        <w:t>location</w:t>
      </w:r>
      <w:r w:rsidR="00C026A6" w:rsidRPr="00EA59C0">
        <w:t xml:space="preserve"> </w:t>
      </w:r>
      <w:r w:rsidR="00B77834" w:rsidRPr="00EA59C0">
        <w:t>served</w:t>
      </w:r>
      <w:r w:rsidR="00C026A6" w:rsidRPr="00EA59C0">
        <w:t xml:space="preserve"> </w:t>
      </w:r>
      <w:r w:rsidR="00B77834" w:rsidRPr="00EA59C0">
        <w:t>by</w:t>
      </w:r>
      <w:r w:rsidR="00C026A6" w:rsidRPr="00EA59C0">
        <w:t xml:space="preserve"> </w:t>
      </w:r>
      <w:r w:rsidR="00B77834" w:rsidRPr="00EA59C0">
        <w:t>the</w:t>
      </w:r>
      <w:r w:rsidR="00C026A6" w:rsidRPr="00EA59C0">
        <w:t xml:space="preserve"> </w:t>
      </w:r>
      <w:r w:rsidR="00B77834" w:rsidRPr="00EA59C0">
        <w:t>program.</w:t>
      </w:r>
      <w:r w:rsidR="00C026A6" w:rsidRPr="00EA59C0">
        <w:t xml:space="preserve">  </w:t>
      </w:r>
      <w:r w:rsidR="00B77834" w:rsidRPr="00EA59C0">
        <w:t>These</w:t>
      </w:r>
      <w:r w:rsidR="00C026A6" w:rsidRPr="00EA59C0">
        <w:t xml:space="preserve"> </w:t>
      </w:r>
      <w:r w:rsidR="00B77834" w:rsidRPr="00EA59C0">
        <w:t>employers</w:t>
      </w:r>
      <w:r w:rsidR="00C026A6" w:rsidRPr="00EA59C0">
        <w:t xml:space="preserve"> </w:t>
      </w:r>
      <w:r w:rsidR="00B77834" w:rsidRPr="00EA59C0">
        <w:t>would</w:t>
      </w:r>
      <w:r w:rsidR="00C026A6" w:rsidRPr="00EA59C0">
        <w:t xml:space="preserve"> </w:t>
      </w:r>
      <w:r w:rsidR="00B77834" w:rsidRPr="00EA59C0">
        <w:t>either</w:t>
      </w:r>
      <w:r w:rsidR="00C026A6" w:rsidRPr="00EA59C0">
        <w:t xml:space="preserve"> </w:t>
      </w:r>
      <w:r w:rsidR="00B77834" w:rsidRPr="00EA59C0">
        <w:t>be</w:t>
      </w:r>
      <w:r w:rsidR="00C026A6" w:rsidRPr="00EA59C0">
        <w:t xml:space="preserve"> </w:t>
      </w:r>
      <w:r w:rsidR="00B77834" w:rsidRPr="00EA59C0">
        <w:t>located</w:t>
      </w:r>
      <w:r w:rsidR="00C026A6" w:rsidRPr="00EA59C0">
        <w:t xml:space="preserve"> </w:t>
      </w:r>
      <w:r w:rsidR="00B77834" w:rsidRPr="00EA59C0">
        <w:t>in</w:t>
      </w:r>
      <w:r w:rsidR="00C026A6" w:rsidRPr="00EA59C0">
        <w:t xml:space="preserve"> </w:t>
      </w:r>
      <w:r w:rsidR="00B77834" w:rsidRPr="00EA59C0">
        <w:t>each</w:t>
      </w:r>
      <w:r w:rsidR="00C026A6" w:rsidRPr="00EA59C0">
        <w:t xml:space="preserve"> </w:t>
      </w:r>
      <w:r w:rsidR="00B77834" w:rsidRPr="00EA59C0">
        <w:t>site</w:t>
      </w:r>
      <w:r w:rsidR="00C026A6" w:rsidRPr="00EA59C0">
        <w:t xml:space="preserve"> </w:t>
      </w:r>
      <w:r w:rsidR="00B77834" w:rsidRPr="00EA59C0">
        <w:t>or</w:t>
      </w:r>
      <w:r w:rsidR="00C026A6" w:rsidRPr="00EA59C0">
        <w:t xml:space="preserve"> </w:t>
      </w:r>
      <w:r w:rsidR="00B77834" w:rsidRPr="00EA59C0">
        <w:t>would</w:t>
      </w:r>
      <w:r w:rsidR="00C026A6" w:rsidRPr="00EA59C0">
        <w:t xml:space="preserve"> </w:t>
      </w:r>
      <w:r w:rsidR="00B77834" w:rsidRPr="00EA59C0">
        <w:t>hire</w:t>
      </w:r>
      <w:r w:rsidR="00C026A6" w:rsidRPr="00EA59C0">
        <w:t xml:space="preserve"> </w:t>
      </w:r>
      <w:r w:rsidR="00B77834" w:rsidRPr="00EA59C0">
        <w:t>individuals</w:t>
      </w:r>
      <w:r w:rsidR="00C026A6" w:rsidRPr="00EA59C0">
        <w:t xml:space="preserve"> </w:t>
      </w:r>
      <w:r w:rsidR="00B77834" w:rsidRPr="00EA59C0">
        <w:t>from</w:t>
      </w:r>
      <w:r w:rsidR="00C026A6" w:rsidRPr="00EA59C0">
        <w:t xml:space="preserve"> </w:t>
      </w:r>
      <w:r w:rsidR="00B77834" w:rsidRPr="00EA59C0">
        <w:t>that</w:t>
      </w:r>
      <w:r w:rsidR="00C026A6" w:rsidRPr="00EA59C0">
        <w:t xml:space="preserve"> </w:t>
      </w:r>
      <w:r w:rsidR="00C43448" w:rsidRPr="00EA59C0">
        <w:t>region</w:t>
      </w:r>
      <w:r w:rsidR="00B77834" w:rsidRPr="00EA59C0">
        <w:t>.</w:t>
      </w:r>
      <w:r w:rsidR="00C026A6" w:rsidRPr="00EA59C0">
        <w:t xml:space="preserve"> </w:t>
      </w:r>
    </w:p>
    <w:p w:rsidR="00B77834" w:rsidRPr="00EA59C0" w:rsidRDefault="00B77834" w:rsidP="00D03948">
      <w:pPr>
        <w:ind w:left="1080"/>
      </w:pPr>
    </w:p>
    <w:p w:rsidR="004E49F2" w:rsidRPr="00EA59C0" w:rsidRDefault="0026016C" w:rsidP="00D03948">
      <w:pPr>
        <w:ind w:left="1080"/>
      </w:pPr>
      <w:r w:rsidRPr="00EA59C0">
        <w:t>Employer</w:t>
      </w:r>
      <w:r w:rsidR="00427249" w:rsidRPr="00EA59C0">
        <w:t>s</w:t>
      </w:r>
      <w:r w:rsidR="00C026A6" w:rsidRPr="00EA59C0">
        <w:t xml:space="preserve"> </w:t>
      </w:r>
      <w:r w:rsidR="00265A2E" w:rsidRPr="00EA59C0">
        <w:t>and</w:t>
      </w:r>
      <w:r w:rsidR="00C026A6" w:rsidRPr="00EA59C0">
        <w:t xml:space="preserve"> </w:t>
      </w:r>
      <w:r w:rsidR="00265A2E" w:rsidRPr="00EA59C0">
        <w:t>regional</w:t>
      </w:r>
      <w:r w:rsidR="00C026A6" w:rsidRPr="00EA59C0">
        <w:t xml:space="preserve"> </w:t>
      </w:r>
      <w:r w:rsidR="00265A2E" w:rsidRPr="00EA59C0">
        <w:t>industry</w:t>
      </w:r>
      <w:r w:rsidR="00C026A6" w:rsidRPr="00EA59C0">
        <w:t xml:space="preserve"> </w:t>
      </w:r>
      <w:r w:rsidR="00265A2E" w:rsidRPr="00EA59C0">
        <w:t>representatives</w:t>
      </w:r>
      <w:r w:rsidR="00296DC7" w:rsidRPr="00EA59C0">
        <w:t>,</w:t>
      </w:r>
      <w:r w:rsidR="00C026A6" w:rsidRPr="00EA59C0">
        <w:t xml:space="preserve"> </w:t>
      </w:r>
      <w:r w:rsidR="00296DC7" w:rsidRPr="00EA59C0">
        <w:t>and</w:t>
      </w:r>
      <w:r w:rsidR="00C026A6" w:rsidRPr="00EA59C0">
        <w:t xml:space="preserve"> </w:t>
      </w:r>
      <w:r w:rsidR="00296DC7" w:rsidRPr="00EA59C0">
        <w:t>national</w:t>
      </w:r>
      <w:r w:rsidR="00C026A6" w:rsidRPr="00EA59C0">
        <w:t xml:space="preserve"> </w:t>
      </w:r>
      <w:r w:rsidR="00296DC7" w:rsidRPr="00EA59C0">
        <w:t>industry</w:t>
      </w:r>
      <w:r w:rsidR="00C026A6" w:rsidRPr="00EA59C0">
        <w:t xml:space="preserve"> </w:t>
      </w:r>
      <w:r w:rsidR="00296DC7" w:rsidRPr="00EA59C0">
        <w:t>representatives</w:t>
      </w:r>
      <w:r w:rsidR="00C026A6" w:rsidRPr="00EA59C0">
        <w:t xml:space="preserve"> </w:t>
      </w:r>
      <w:r w:rsidR="00086F7C" w:rsidRPr="00EA59C0">
        <w:t>if</w:t>
      </w:r>
      <w:r w:rsidR="00C026A6" w:rsidRPr="00EA59C0">
        <w:t xml:space="preserve"> </w:t>
      </w:r>
      <w:r w:rsidR="00086F7C" w:rsidRPr="00EA59C0">
        <w:t>applicable</w:t>
      </w:r>
      <w:r w:rsidR="00296DC7" w:rsidRPr="00EA59C0">
        <w:t>,</w:t>
      </w:r>
      <w:r w:rsidR="00C026A6" w:rsidRPr="00EA59C0">
        <w:t xml:space="preserve"> </w:t>
      </w:r>
      <w:r w:rsidR="001145DB" w:rsidRPr="00EA59C0">
        <w:t>will</w:t>
      </w:r>
      <w:r w:rsidR="00C026A6" w:rsidRPr="00EA59C0">
        <w:t xml:space="preserve"> </w:t>
      </w:r>
      <w:r w:rsidRPr="00EA59C0">
        <w:t>be</w:t>
      </w:r>
      <w:r w:rsidR="00C026A6" w:rsidRPr="00EA59C0">
        <w:t xml:space="preserve"> </w:t>
      </w:r>
      <w:r w:rsidRPr="00EA59C0">
        <w:t>actively</w:t>
      </w:r>
      <w:r w:rsidR="00C026A6" w:rsidRPr="00EA59C0">
        <w:t xml:space="preserve"> </w:t>
      </w:r>
      <w:r w:rsidRPr="00EA59C0">
        <w:t>engaged</w:t>
      </w:r>
      <w:r w:rsidR="00C026A6" w:rsidRPr="00EA59C0">
        <w:t xml:space="preserve"> </w:t>
      </w:r>
      <w:r w:rsidRPr="00EA59C0">
        <w:t>in</w:t>
      </w:r>
      <w:r w:rsidR="00C026A6" w:rsidRPr="00EA59C0">
        <w:t xml:space="preserve"> </w:t>
      </w:r>
      <w:r w:rsidR="00C43448" w:rsidRPr="00EA59C0">
        <w:t>designing</w:t>
      </w:r>
      <w:r w:rsidR="00C026A6" w:rsidRPr="00EA59C0">
        <w:t xml:space="preserve"> </w:t>
      </w:r>
      <w:r w:rsidR="00C43448" w:rsidRPr="00EA59C0">
        <w:t>and</w:t>
      </w:r>
      <w:r w:rsidR="00C026A6" w:rsidRPr="00EA59C0">
        <w:t xml:space="preserve"> </w:t>
      </w:r>
      <w:r w:rsidR="00C43448" w:rsidRPr="00EA59C0">
        <w:t>implementing</w:t>
      </w:r>
      <w:r w:rsidR="00C026A6" w:rsidRPr="00EA59C0">
        <w:t xml:space="preserve"> </w:t>
      </w:r>
      <w:r w:rsidRPr="00EA59C0">
        <w:t>the</w:t>
      </w:r>
      <w:r w:rsidR="00C026A6" w:rsidRPr="00EA59C0">
        <w:t xml:space="preserve"> </w:t>
      </w:r>
      <w:r w:rsidRPr="00EA59C0">
        <w:t>sector</w:t>
      </w:r>
      <w:r w:rsidR="00C026A6" w:rsidRPr="00EA59C0">
        <w:t xml:space="preserve"> </w:t>
      </w:r>
      <w:r w:rsidRPr="00EA59C0">
        <w:t>strategy</w:t>
      </w:r>
      <w:r w:rsidR="00C026A6" w:rsidRPr="00EA59C0">
        <w:t xml:space="preserve"> </w:t>
      </w:r>
      <w:r w:rsidRPr="00EA59C0">
        <w:t>in</w:t>
      </w:r>
      <w:r w:rsidR="00C026A6" w:rsidRPr="00EA59C0">
        <w:t xml:space="preserve"> </w:t>
      </w:r>
      <w:r w:rsidR="0083763C" w:rsidRPr="00EA59C0">
        <w:t>five</w:t>
      </w:r>
      <w:r w:rsidR="00C026A6" w:rsidRPr="00EA59C0">
        <w:t xml:space="preserve"> </w:t>
      </w:r>
      <w:r w:rsidRPr="00EA59C0">
        <w:t>key</w:t>
      </w:r>
      <w:r w:rsidR="00C026A6" w:rsidRPr="00EA59C0">
        <w:t xml:space="preserve"> </w:t>
      </w:r>
      <w:r w:rsidRPr="00EA59C0">
        <w:t>areas:</w:t>
      </w:r>
      <w:r w:rsidR="00C026A6" w:rsidRPr="00EA59C0">
        <w:t xml:space="preserve"> </w:t>
      </w:r>
      <w:r w:rsidR="0083763C" w:rsidRPr="00EA59C0">
        <w:t>(1)</w:t>
      </w:r>
      <w:r w:rsidR="00C026A6" w:rsidRPr="00EA59C0">
        <w:t xml:space="preserve"> </w:t>
      </w:r>
      <w:r w:rsidRPr="00EA59C0">
        <w:t>serving</w:t>
      </w:r>
      <w:r w:rsidR="00C026A6" w:rsidRPr="00EA59C0">
        <w:t xml:space="preserve"> </w:t>
      </w:r>
      <w:r w:rsidRPr="00EA59C0">
        <w:t>on</w:t>
      </w:r>
      <w:r w:rsidR="00C026A6" w:rsidRPr="00EA59C0">
        <w:t xml:space="preserve"> </w:t>
      </w:r>
      <w:r w:rsidRPr="00EA59C0">
        <w:t>the</w:t>
      </w:r>
      <w:r w:rsidR="00C026A6" w:rsidRPr="00EA59C0">
        <w:t xml:space="preserve"> </w:t>
      </w:r>
      <w:r w:rsidRPr="00EA59C0">
        <w:t>project’s</w:t>
      </w:r>
      <w:r w:rsidR="00C026A6" w:rsidRPr="00EA59C0">
        <w:t xml:space="preserve"> </w:t>
      </w:r>
      <w:r w:rsidRPr="00EA59C0">
        <w:t>leadership</w:t>
      </w:r>
      <w:r w:rsidR="00C026A6" w:rsidRPr="00EA59C0">
        <w:t xml:space="preserve"> </w:t>
      </w:r>
      <w:r w:rsidRPr="00EA59C0">
        <w:t>team;</w:t>
      </w:r>
      <w:r w:rsidR="00C026A6" w:rsidRPr="00EA59C0">
        <w:t xml:space="preserve"> </w:t>
      </w:r>
      <w:r w:rsidR="0083763C" w:rsidRPr="00EA59C0">
        <w:t>(2)</w:t>
      </w:r>
      <w:r w:rsidR="00C026A6" w:rsidRPr="00EA59C0">
        <w:t xml:space="preserve"> </w:t>
      </w:r>
      <w:r w:rsidRPr="00EA59C0">
        <w:t>helping</w:t>
      </w:r>
      <w:r w:rsidR="00C026A6" w:rsidRPr="00EA59C0">
        <w:t xml:space="preserve"> </w:t>
      </w:r>
      <w:r w:rsidR="00DA0767" w:rsidRPr="00EA59C0">
        <w:t>implement</w:t>
      </w:r>
      <w:r w:rsidR="00C026A6" w:rsidRPr="00EA59C0">
        <w:t xml:space="preserve"> </w:t>
      </w:r>
      <w:r w:rsidRPr="00EA59C0">
        <w:t>program</w:t>
      </w:r>
      <w:r w:rsidR="00C026A6" w:rsidRPr="00EA59C0">
        <w:t xml:space="preserve"> </w:t>
      </w:r>
      <w:r w:rsidRPr="00EA59C0">
        <w:t>strategies</w:t>
      </w:r>
      <w:r w:rsidR="00C026A6" w:rsidRPr="00EA59C0">
        <w:t xml:space="preserve"> </w:t>
      </w:r>
      <w:r w:rsidRPr="00EA59C0">
        <w:t>and</w:t>
      </w:r>
      <w:r w:rsidR="00C026A6" w:rsidRPr="00EA59C0">
        <w:t xml:space="preserve"> </w:t>
      </w:r>
      <w:r w:rsidRPr="00EA59C0">
        <w:t>goals;</w:t>
      </w:r>
      <w:r w:rsidR="00C026A6" w:rsidRPr="00EA59C0">
        <w:t xml:space="preserve"> </w:t>
      </w:r>
      <w:r w:rsidR="0083763C" w:rsidRPr="00EA59C0">
        <w:t>(3</w:t>
      </w:r>
      <w:r w:rsidRPr="00EA59C0">
        <w:t>)</w:t>
      </w:r>
      <w:r w:rsidR="00C026A6" w:rsidRPr="00EA59C0">
        <w:t xml:space="preserve"> </w:t>
      </w:r>
      <w:r w:rsidRPr="00EA59C0">
        <w:t>identifying</w:t>
      </w:r>
      <w:r w:rsidR="00C026A6" w:rsidRPr="00EA59C0">
        <w:t xml:space="preserve"> </w:t>
      </w:r>
      <w:r w:rsidRPr="00EA59C0">
        <w:t>and</w:t>
      </w:r>
      <w:r w:rsidR="00C026A6" w:rsidRPr="00EA59C0">
        <w:t xml:space="preserve"> </w:t>
      </w:r>
      <w:r w:rsidRPr="00EA59C0">
        <w:t>mapping</w:t>
      </w:r>
      <w:r w:rsidR="00C026A6" w:rsidRPr="00EA59C0">
        <w:t xml:space="preserve"> </w:t>
      </w:r>
      <w:r w:rsidRPr="00EA59C0">
        <w:t>the</w:t>
      </w:r>
      <w:r w:rsidR="00C026A6" w:rsidRPr="00EA59C0">
        <w:t xml:space="preserve"> </w:t>
      </w:r>
      <w:r w:rsidRPr="00EA59C0">
        <w:t>necessary</w:t>
      </w:r>
      <w:r w:rsidR="00C026A6" w:rsidRPr="00EA59C0">
        <w:t xml:space="preserve"> </w:t>
      </w:r>
      <w:r w:rsidRPr="00EA59C0">
        <w:t>skills</w:t>
      </w:r>
      <w:r w:rsidR="00C026A6" w:rsidRPr="00EA59C0">
        <w:t xml:space="preserve"> </w:t>
      </w:r>
      <w:r w:rsidRPr="00EA59C0">
        <w:t>and</w:t>
      </w:r>
      <w:r w:rsidR="00C026A6" w:rsidRPr="00EA59C0">
        <w:t xml:space="preserve"> </w:t>
      </w:r>
      <w:r w:rsidRPr="00EA59C0">
        <w:t>competencies</w:t>
      </w:r>
      <w:r w:rsidR="00C026A6" w:rsidRPr="00EA59C0">
        <w:t xml:space="preserve"> </w:t>
      </w:r>
      <w:r w:rsidRPr="00EA59C0">
        <w:t>for</w:t>
      </w:r>
      <w:r w:rsidR="00C026A6" w:rsidRPr="00EA59C0">
        <w:t xml:space="preserve"> </w:t>
      </w:r>
      <w:r w:rsidRPr="00EA59C0">
        <w:t>the</w:t>
      </w:r>
      <w:r w:rsidR="00C026A6" w:rsidRPr="00EA59C0">
        <w:t xml:space="preserve"> </w:t>
      </w:r>
      <w:r w:rsidRPr="00EA59C0">
        <w:t>program(s);</w:t>
      </w:r>
      <w:r w:rsidR="00C026A6" w:rsidRPr="00EA59C0">
        <w:t xml:space="preserve"> </w:t>
      </w:r>
      <w:r w:rsidR="0083763C" w:rsidRPr="00EA59C0">
        <w:t>(4</w:t>
      </w:r>
      <w:r w:rsidRPr="00EA59C0">
        <w:t>)</w:t>
      </w:r>
      <w:r w:rsidR="00C026A6" w:rsidRPr="00EA59C0">
        <w:t xml:space="preserve"> </w:t>
      </w:r>
      <w:r w:rsidRPr="00EA59C0">
        <w:t>assisting</w:t>
      </w:r>
      <w:r w:rsidR="00C026A6" w:rsidRPr="00EA59C0">
        <w:t xml:space="preserve"> </w:t>
      </w:r>
      <w:r w:rsidRPr="00EA59C0">
        <w:t>with</w:t>
      </w:r>
      <w:r w:rsidR="00C026A6" w:rsidRPr="00EA59C0">
        <w:t xml:space="preserve"> </w:t>
      </w:r>
      <w:r w:rsidRPr="00EA59C0">
        <w:t>curriculum</w:t>
      </w:r>
      <w:r w:rsidR="00C026A6" w:rsidRPr="00EA59C0">
        <w:t xml:space="preserve"> </w:t>
      </w:r>
      <w:r w:rsidRPr="00EA59C0">
        <w:t>development</w:t>
      </w:r>
      <w:r w:rsidR="00C026A6" w:rsidRPr="00EA59C0">
        <w:t xml:space="preserve"> </w:t>
      </w:r>
      <w:r w:rsidRPr="00EA59C0">
        <w:t>and</w:t>
      </w:r>
      <w:r w:rsidR="00C026A6" w:rsidRPr="00EA59C0">
        <w:t xml:space="preserve"> </w:t>
      </w:r>
      <w:r w:rsidR="00C43448" w:rsidRPr="00EA59C0">
        <w:t>designing</w:t>
      </w:r>
      <w:r w:rsidR="00C026A6" w:rsidRPr="00EA59C0">
        <w:t xml:space="preserve"> </w:t>
      </w:r>
      <w:r w:rsidR="00C43448" w:rsidRPr="00EA59C0">
        <w:t>the</w:t>
      </w:r>
      <w:r w:rsidR="00C026A6" w:rsidRPr="00EA59C0">
        <w:t xml:space="preserve"> </w:t>
      </w:r>
      <w:r w:rsidRPr="00EA59C0">
        <w:t>program</w:t>
      </w:r>
      <w:r w:rsidR="0083763C" w:rsidRPr="00EA59C0">
        <w:t>;</w:t>
      </w:r>
      <w:r w:rsidR="00C026A6" w:rsidRPr="00EA59C0">
        <w:t xml:space="preserve"> </w:t>
      </w:r>
      <w:r w:rsidR="0083763C" w:rsidRPr="00EA59C0">
        <w:t>and</w:t>
      </w:r>
      <w:r w:rsidR="00C026A6" w:rsidRPr="00EA59C0">
        <w:t xml:space="preserve"> </w:t>
      </w:r>
      <w:r w:rsidR="0083763C" w:rsidRPr="00EA59C0">
        <w:t>(5</w:t>
      </w:r>
      <w:r w:rsidR="00E633CC" w:rsidRPr="00EA59C0">
        <w:t>)</w:t>
      </w:r>
      <w:r w:rsidR="00C026A6" w:rsidRPr="00EA59C0">
        <w:t xml:space="preserve"> </w:t>
      </w:r>
      <w:r w:rsidR="00E633CC" w:rsidRPr="00EA59C0">
        <w:t>where</w:t>
      </w:r>
      <w:r w:rsidR="00C026A6" w:rsidRPr="00EA59C0">
        <w:t xml:space="preserve"> </w:t>
      </w:r>
      <w:r w:rsidR="00E633CC" w:rsidRPr="00EA59C0">
        <w:t>appropriate,</w:t>
      </w:r>
      <w:r w:rsidR="00C026A6" w:rsidRPr="00EA59C0">
        <w:t xml:space="preserve"> </w:t>
      </w:r>
      <w:r w:rsidR="00E633CC" w:rsidRPr="00EA59C0">
        <w:t>assisting</w:t>
      </w:r>
      <w:r w:rsidR="00C026A6" w:rsidRPr="00EA59C0">
        <w:t xml:space="preserve"> </w:t>
      </w:r>
      <w:r w:rsidR="00E633CC" w:rsidRPr="00EA59C0">
        <w:t>with</w:t>
      </w:r>
      <w:r w:rsidR="00C026A6" w:rsidRPr="00EA59C0">
        <w:t xml:space="preserve"> </w:t>
      </w:r>
      <w:r w:rsidR="00E633CC" w:rsidRPr="00EA59C0">
        <w:t>the</w:t>
      </w:r>
      <w:r w:rsidR="00C026A6" w:rsidRPr="00EA59C0">
        <w:t xml:space="preserve"> </w:t>
      </w:r>
      <w:r w:rsidR="00E633CC" w:rsidRPr="00EA59C0">
        <w:t>design</w:t>
      </w:r>
      <w:r w:rsidR="00C026A6" w:rsidRPr="00EA59C0">
        <w:t xml:space="preserve"> </w:t>
      </w:r>
      <w:r w:rsidR="00E633CC" w:rsidRPr="00EA59C0">
        <w:t>of</w:t>
      </w:r>
      <w:r w:rsidR="00C026A6" w:rsidRPr="00EA59C0">
        <w:t xml:space="preserve"> </w:t>
      </w:r>
      <w:r w:rsidR="00E633CC" w:rsidRPr="00EA59C0">
        <w:t>an</w:t>
      </w:r>
      <w:r w:rsidR="00C026A6" w:rsidRPr="00EA59C0">
        <w:t xml:space="preserve"> </w:t>
      </w:r>
      <w:r w:rsidR="00E633CC" w:rsidRPr="00EA59C0">
        <w:t>assessment</w:t>
      </w:r>
      <w:r w:rsidR="00C026A6" w:rsidRPr="00EA59C0">
        <w:t xml:space="preserve"> </w:t>
      </w:r>
      <w:r w:rsidR="00E633CC" w:rsidRPr="00EA59C0">
        <w:t>or</w:t>
      </w:r>
      <w:r w:rsidR="00C026A6" w:rsidRPr="00EA59C0">
        <w:t xml:space="preserve"> </w:t>
      </w:r>
      <w:r w:rsidR="00E633CC" w:rsidRPr="00EA59C0">
        <w:t>credential</w:t>
      </w:r>
      <w:r w:rsidR="00C026A6" w:rsidRPr="00EA59C0">
        <w:t xml:space="preserve"> </w:t>
      </w:r>
      <w:r w:rsidR="00E633CC" w:rsidRPr="00EA59C0">
        <w:t>that</w:t>
      </w:r>
      <w:r w:rsidR="00C026A6" w:rsidRPr="00EA59C0">
        <w:t xml:space="preserve"> </w:t>
      </w:r>
      <w:r w:rsidR="00997A44" w:rsidRPr="00EA59C0">
        <w:t>will</w:t>
      </w:r>
      <w:r w:rsidR="00C026A6" w:rsidRPr="00EA59C0">
        <w:t xml:space="preserve"> </w:t>
      </w:r>
      <w:r w:rsidR="00997A44" w:rsidRPr="00EA59C0">
        <w:t>address</w:t>
      </w:r>
      <w:r w:rsidR="00C026A6" w:rsidRPr="00EA59C0">
        <w:t xml:space="preserve"> </w:t>
      </w:r>
      <w:r w:rsidR="00997A44" w:rsidRPr="00EA59C0">
        <w:t>industry</w:t>
      </w:r>
      <w:r w:rsidR="00C026A6" w:rsidRPr="00EA59C0">
        <w:t xml:space="preserve"> </w:t>
      </w:r>
      <w:r w:rsidR="00997A44" w:rsidRPr="00EA59C0">
        <w:t>skill</w:t>
      </w:r>
      <w:r w:rsidR="00C026A6" w:rsidRPr="00EA59C0">
        <w:t xml:space="preserve"> </w:t>
      </w:r>
      <w:r w:rsidR="00997A44" w:rsidRPr="00EA59C0">
        <w:t>needs</w:t>
      </w:r>
      <w:r w:rsidR="001145DB" w:rsidRPr="00EA59C0">
        <w:t>.</w:t>
      </w:r>
      <w:r w:rsidR="00C026A6" w:rsidRPr="00EA59C0">
        <w:t xml:space="preserve">  </w:t>
      </w:r>
      <w:r w:rsidR="004E49F2" w:rsidRPr="00EA59C0">
        <w:t>Relationships</w:t>
      </w:r>
      <w:r w:rsidR="00C026A6" w:rsidRPr="00EA59C0">
        <w:t xml:space="preserve"> </w:t>
      </w:r>
      <w:r w:rsidR="004E49F2" w:rsidRPr="00EA59C0">
        <w:t>with</w:t>
      </w:r>
      <w:r w:rsidR="00C026A6" w:rsidRPr="00EA59C0">
        <w:t xml:space="preserve"> </w:t>
      </w:r>
      <w:r w:rsidR="004E49F2" w:rsidRPr="00EA59C0">
        <w:t>employers</w:t>
      </w:r>
      <w:r w:rsidR="00C026A6" w:rsidRPr="00EA59C0">
        <w:t xml:space="preserve"> </w:t>
      </w:r>
      <w:r w:rsidR="00A16E6E" w:rsidRPr="00EA59C0">
        <w:t>and</w:t>
      </w:r>
      <w:r w:rsidR="00C026A6" w:rsidRPr="00EA59C0">
        <w:t xml:space="preserve"> </w:t>
      </w:r>
      <w:r w:rsidR="00A16E6E" w:rsidRPr="00EA59C0">
        <w:t>regional</w:t>
      </w:r>
      <w:r w:rsidR="00C026A6" w:rsidRPr="00EA59C0">
        <w:t xml:space="preserve"> </w:t>
      </w:r>
      <w:r w:rsidR="00A16E6E" w:rsidRPr="00EA59C0">
        <w:t>industry</w:t>
      </w:r>
      <w:r w:rsidR="00C026A6" w:rsidRPr="00EA59C0">
        <w:t xml:space="preserve"> </w:t>
      </w:r>
      <w:r w:rsidR="00A16E6E" w:rsidRPr="00EA59C0">
        <w:t>representatives</w:t>
      </w:r>
      <w:r w:rsidR="00C026A6" w:rsidRPr="00EA59C0">
        <w:t xml:space="preserve"> </w:t>
      </w:r>
      <w:r w:rsidR="004E49F2" w:rsidRPr="00EA59C0">
        <w:t>will</w:t>
      </w:r>
      <w:r w:rsidR="00C026A6" w:rsidRPr="00EA59C0">
        <w:t xml:space="preserve"> </w:t>
      </w:r>
      <w:r w:rsidR="004E49F2" w:rsidRPr="00EA59C0">
        <w:t>be</w:t>
      </w:r>
      <w:r w:rsidR="00C026A6" w:rsidRPr="00EA59C0">
        <w:t xml:space="preserve"> </w:t>
      </w:r>
      <w:r w:rsidR="004E49F2" w:rsidRPr="00EA59C0">
        <w:t>sustained</w:t>
      </w:r>
      <w:r w:rsidR="00C026A6" w:rsidRPr="00EA59C0">
        <w:t xml:space="preserve"> </w:t>
      </w:r>
      <w:r w:rsidR="004E49F2" w:rsidRPr="00EA59C0">
        <w:t>throughout</w:t>
      </w:r>
      <w:r w:rsidR="00C026A6" w:rsidRPr="00EA59C0">
        <w:t xml:space="preserve"> </w:t>
      </w:r>
      <w:r w:rsidR="004E49F2" w:rsidRPr="00EA59C0">
        <w:t>the</w:t>
      </w:r>
      <w:r w:rsidR="00C026A6" w:rsidRPr="00EA59C0">
        <w:t xml:space="preserve"> </w:t>
      </w:r>
      <w:r w:rsidR="004E49F2" w:rsidRPr="00EA59C0">
        <w:t>duration</w:t>
      </w:r>
      <w:r w:rsidR="00C026A6" w:rsidRPr="00EA59C0">
        <w:t xml:space="preserve"> </w:t>
      </w:r>
      <w:r w:rsidR="004E49F2" w:rsidRPr="00EA59C0">
        <w:t>of</w:t>
      </w:r>
      <w:r w:rsidR="00C026A6" w:rsidRPr="00EA59C0">
        <w:t xml:space="preserve"> </w:t>
      </w:r>
      <w:r w:rsidR="004E49F2" w:rsidRPr="00EA59C0">
        <w:t>the</w:t>
      </w:r>
      <w:r w:rsidR="00C026A6" w:rsidRPr="00EA59C0">
        <w:t xml:space="preserve"> </w:t>
      </w:r>
      <w:r w:rsidR="004E49F2" w:rsidRPr="00EA59C0">
        <w:t>program</w:t>
      </w:r>
      <w:r w:rsidR="00C026A6" w:rsidRPr="00EA59C0">
        <w:t xml:space="preserve"> </w:t>
      </w:r>
      <w:r w:rsidR="004E49F2" w:rsidRPr="00EA59C0">
        <w:t>and</w:t>
      </w:r>
      <w:r w:rsidR="00C026A6" w:rsidRPr="00EA59C0">
        <w:t xml:space="preserve"> </w:t>
      </w:r>
      <w:r w:rsidR="004E49F2" w:rsidRPr="00EA59C0">
        <w:t>beyond.</w:t>
      </w:r>
      <w:r w:rsidR="00C026A6" w:rsidRPr="00EA59C0">
        <w:t xml:space="preserve"> </w:t>
      </w:r>
    </w:p>
    <w:p w:rsidR="004E49F2" w:rsidRPr="00EA59C0" w:rsidRDefault="004E49F2" w:rsidP="00D03948">
      <w:pPr>
        <w:ind w:left="1080"/>
      </w:pPr>
    </w:p>
    <w:p w:rsidR="0026016C" w:rsidRPr="00EA59C0" w:rsidRDefault="0026016C" w:rsidP="00D03948">
      <w:pPr>
        <w:ind w:left="1080"/>
      </w:pPr>
      <w:r w:rsidRPr="00EA59C0">
        <w:t>Employers</w:t>
      </w:r>
      <w:r w:rsidR="00C026A6" w:rsidRPr="00EA59C0">
        <w:t xml:space="preserve"> </w:t>
      </w:r>
      <w:r w:rsidRPr="00EA59C0">
        <w:t>and</w:t>
      </w:r>
      <w:r w:rsidR="00C026A6" w:rsidRPr="00EA59C0">
        <w:t xml:space="preserve"> </w:t>
      </w:r>
      <w:r w:rsidR="004073BC" w:rsidRPr="00EA59C0">
        <w:t>regional</w:t>
      </w:r>
      <w:r w:rsidR="00C026A6" w:rsidRPr="00EA59C0">
        <w:t xml:space="preserve"> </w:t>
      </w:r>
      <w:r w:rsidRPr="00EA59C0">
        <w:t>industry</w:t>
      </w:r>
      <w:r w:rsidR="00C026A6" w:rsidRPr="00EA59C0">
        <w:t xml:space="preserve"> </w:t>
      </w:r>
      <w:r w:rsidRPr="00EA59C0">
        <w:t>representatives</w:t>
      </w:r>
      <w:r w:rsidR="004073BC" w:rsidRPr="00EA59C0">
        <w:t>,</w:t>
      </w:r>
      <w:r w:rsidR="00C026A6" w:rsidRPr="00EA59C0">
        <w:t xml:space="preserve"> </w:t>
      </w:r>
      <w:r w:rsidR="004073BC" w:rsidRPr="00EA59C0">
        <w:t>and</w:t>
      </w:r>
      <w:r w:rsidR="00C026A6" w:rsidRPr="00EA59C0">
        <w:t xml:space="preserve"> </w:t>
      </w:r>
      <w:r w:rsidR="004073BC" w:rsidRPr="00EA59C0">
        <w:t>national</w:t>
      </w:r>
      <w:r w:rsidR="00C026A6" w:rsidRPr="00EA59C0">
        <w:t xml:space="preserve"> </w:t>
      </w:r>
      <w:r w:rsidR="004073BC" w:rsidRPr="00EA59C0">
        <w:t>industry</w:t>
      </w:r>
      <w:r w:rsidR="00C026A6" w:rsidRPr="00EA59C0">
        <w:t xml:space="preserve"> </w:t>
      </w:r>
      <w:r w:rsidR="004073BC" w:rsidRPr="00EA59C0">
        <w:t>representatives</w:t>
      </w:r>
      <w:r w:rsidR="00C026A6" w:rsidRPr="00EA59C0">
        <w:t xml:space="preserve"> </w:t>
      </w:r>
      <w:r w:rsidR="004073BC" w:rsidRPr="00EA59C0">
        <w:t>(if</w:t>
      </w:r>
      <w:r w:rsidR="00C026A6" w:rsidRPr="00EA59C0">
        <w:t xml:space="preserve"> </w:t>
      </w:r>
      <w:r w:rsidR="004073BC" w:rsidRPr="00EA59C0">
        <w:t>applicable)</w:t>
      </w:r>
      <w:r w:rsidR="00C026A6" w:rsidRPr="00EA59C0">
        <w:t xml:space="preserve"> </w:t>
      </w:r>
      <w:r w:rsidR="003277BE" w:rsidRPr="00EA59C0">
        <w:t>will</w:t>
      </w:r>
      <w:r w:rsidR="00C026A6" w:rsidRPr="00EA59C0">
        <w:t xml:space="preserve"> </w:t>
      </w:r>
      <w:r w:rsidRPr="00EA59C0">
        <w:t>also</w:t>
      </w:r>
      <w:r w:rsidR="00C026A6" w:rsidRPr="00EA59C0">
        <w:t xml:space="preserve"> </w:t>
      </w:r>
      <w:r w:rsidRPr="00EA59C0">
        <w:t>participate</w:t>
      </w:r>
      <w:r w:rsidR="00C026A6" w:rsidRPr="00EA59C0">
        <w:t xml:space="preserve"> </w:t>
      </w:r>
      <w:r w:rsidRPr="00EA59C0">
        <w:t>in</w:t>
      </w:r>
      <w:r w:rsidR="00C026A6" w:rsidRPr="00EA59C0">
        <w:t xml:space="preserve"> </w:t>
      </w:r>
      <w:r w:rsidRPr="00EA59C0">
        <w:t>the</w:t>
      </w:r>
      <w:r w:rsidR="00C026A6" w:rsidRPr="00EA59C0">
        <w:t xml:space="preserve"> </w:t>
      </w:r>
      <w:r w:rsidRPr="00EA59C0">
        <w:t>sector</w:t>
      </w:r>
      <w:r w:rsidR="00C026A6" w:rsidRPr="00EA59C0">
        <w:t xml:space="preserve"> </w:t>
      </w:r>
      <w:r w:rsidRPr="00EA59C0">
        <w:t>strategy</w:t>
      </w:r>
      <w:r w:rsidR="00C026A6" w:rsidRPr="00EA59C0">
        <w:t xml:space="preserve"> </w:t>
      </w:r>
      <w:r w:rsidRPr="00EA59C0">
        <w:t>in</w:t>
      </w:r>
      <w:r w:rsidR="00C026A6" w:rsidRPr="00EA59C0">
        <w:t xml:space="preserve"> </w:t>
      </w:r>
      <w:r w:rsidRPr="00EA59C0">
        <w:t>one</w:t>
      </w:r>
      <w:r w:rsidR="00C026A6" w:rsidRPr="00EA59C0">
        <w:t xml:space="preserve"> </w:t>
      </w:r>
      <w:r w:rsidRPr="00EA59C0">
        <w:t>or</w:t>
      </w:r>
      <w:r w:rsidR="00C026A6" w:rsidRPr="00EA59C0">
        <w:t xml:space="preserve"> </w:t>
      </w:r>
      <w:r w:rsidRPr="00EA59C0">
        <w:t>more</w:t>
      </w:r>
      <w:r w:rsidR="00C026A6" w:rsidRPr="00EA59C0">
        <w:t xml:space="preserve"> </w:t>
      </w:r>
      <w:r w:rsidRPr="00EA59C0">
        <w:t>of</w:t>
      </w:r>
      <w:r w:rsidR="00C026A6" w:rsidRPr="00EA59C0">
        <w:t xml:space="preserve"> </w:t>
      </w:r>
      <w:r w:rsidRPr="00EA59C0">
        <w:t>the</w:t>
      </w:r>
      <w:r w:rsidR="00C026A6" w:rsidRPr="00EA59C0">
        <w:t xml:space="preserve"> </w:t>
      </w:r>
      <w:r w:rsidRPr="00EA59C0">
        <w:t>following</w:t>
      </w:r>
      <w:r w:rsidR="00C026A6" w:rsidRPr="00EA59C0">
        <w:t xml:space="preserve"> </w:t>
      </w:r>
      <w:r w:rsidRPr="00EA59C0">
        <w:t>ways:</w:t>
      </w:r>
      <w:r w:rsidR="00C026A6" w:rsidRPr="00EA59C0">
        <w:t xml:space="preserve">  </w:t>
      </w:r>
      <w:r w:rsidRPr="00EA59C0">
        <w:t>developing</w:t>
      </w:r>
      <w:r w:rsidR="00C026A6" w:rsidRPr="00EA59C0">
        <w:t xml:space="preserve"> </w:t>
      </w:r>
      <w:r w:rsidRPr="00EA59C0">
        <w:t>industry-recognized</w:t>
      </w:r>
      <w:r w:rsidR="00C026A6" w:rsidRPr="00EA59C0">
        <w:t xml:space="preserve"> </w:t>
      </w:r>
      <w:r w:rsidRPr="00EA59C0">
        <w:t>credentials</w:t>
      </w:r>
      <w:r w:rsidR="00C026A6" w:rsidRPr="00EA59C0">
        <w:t xml:space="preserve"> </w:t>
      </w:r>
      <w:r w:rsidRPr="00EA59C0">
        <w:t>needed</w:t>
      </w:r>
      <w:r w:rsidR="00C026A6" w:rsidRPr="00EA59C0">
        <w:t xml:space="preserve"> </w:t>
      </w:r>
      <w:r w:rsidRPr="00EA59C0">
        <w:t>for</w:t>
      </w:r>
      <w:r w:rsidR="00C026A6" w:rsidRPr="00EA59C0">
        <w:t xml:space="preserve"> </w:t>
      </w:r>
      <w:r w:rsidRPr="00EA59C0">
        <w:t>targeted</w:t>
      </w:r>
      <w:r w:rsidR="00C026A6" w:rsidRPr="00EA59C0">
        <w:t xml:space="preserve"> </w:t>
      </w:r>
      <w:r w:rsidRPr="00EA59C0">
        <w:t>jobs;</w:t>
      </w:r>
      <w:r w:rsidR="00C026A6" w:rsidRPr="00EA59C0">
        <w:t xml:space="preserve"> </w:t>
      </w:r>
      <w:r w:rsidRPr="00EA59C0">
        <w:t>providing</w:t>
      </w:r>
      <w:r w:rsidR="00C026A6" w:rsidRPr="00EA59C0">
        <w:t xml:space="preserve"> </w:t>
      </w:r>
      <w:r w:rsidR="00C43448" w:rsidRPr="00EA59C0">
        <w:t>leveraged</w:t>
      </w:r>
      <w:r w:rsidR="00C026A6" w:rsidRPr="00EA59C0">
        <w:t xml:space="preserve"> </w:t>
      </w:r>
      <w:r w:rsidRPr="00EA59C0">
        <w:t>resources</w:t>
      </w:r>
      <w:r w:rsidR="00C026A6" w:rsidRPr="00EA59C0">
        <w:t xml:space="preserve"> </w:t>
      </w:r>
      <w:r w:rsidRPr="00EA59C0">
        <w:t>to</w:t>
      </w:r>
      <w:r w:rsidR="00C026A6" w:rsidRPr="00EA59C0">
        <w:t xml:space="preserve"> </w:t>
      </w:r>
      <w:r w:rsidRPr="00EA59C0">
        <w:t>support</w:t>
      </w:r>
      <w:r w:rsidR="00C026A6" w:rsidRPr="00EA59C0">
        <w:t xml:space="preserve"> </w:t>
      </w:r>
      <w:r w:rsidRPr="00EA59C0">
        <w:t>education/training</w:t>
      </w:r>
      <w:r w:rsidR="00C026A6" w:rsidRPr="00EA59C0">
        <w:t xml:space="preserve"> </w:t>
      </w:r>
      <w:r w:rsidRPr="00EA59C0">
        <w:t>(such</w:t>
      </w:r>
      <w:r w:rsidR="00C026A6" w:rsidRPr="00EA59C0">
        <w:t xml:space="preserve"> </w:t>
      </w:r>
      <w:r w:rsidRPr="00EA59C0">
        <w:t>as</w:t>
      </w:r>
      <w:r w:rsidR="00C026A6" w:rsidRPr="00EA59C0">
        <w:t xml:space="preserve"> </w:t>
      </w:r>
      <w:r w:rsidRPr="00EA59C0">
        <w:t>equipment,</w:t>
      </w:r>
      <w:r w:rsidR="00C026A6" w:rsidRPr="00EA59C0">
        <w:t xml:space="preserve"> </w:t>
      </w:r>
      <w:r w:rsidRPr="00EA59C0">
        <w:t>facilities,</w:t>
      </w:r>
      <w:r w:rsidR="00C026A6" w:rsidRPr="00EA59C0">
        <w:t xml:space="preserve"> </w:t>
      </w:r>
      <w:r w:rsidR="00EB0C39" w:rsidRPr="00EA59C0">
        <w:t>and</w:t>
      </w:r>
      <w:r w:rsidR="00C026A6" w:rsidRPr="00EA59C0">
        <w:t xml:space="preserve"> </w:t>
      </w:r>
      <w:r w:rsidRPr="00EA59C0">
        <w:t>instructors);</w:t>
      </w:r>
      <w:r w:rsidR="00C026A6" w:rsidRPr="00EA59C0">
        <w:t xml:space="preserve"> </w:t>
      </w:r>
      <w:r w:rsidR="00C9157A" w:rsidRPr="00EA59C0">
        <w:t>and</w:t>
      </w:r>
      <w:r w:rsidR="00C026A6" w:rsidRPr="00EA59C0">
        <w:t xml:space="preserve"> </w:t>
      </w:r>
      <w:r w:rsidRPr="00EA59C0">
        <w:t>committing</w:t>
      </w:r>
      <w:r w:rsidR="00C026A6" w:rsidRPr="00EA59C0">
        <w:t xml:space="preserve"> </w:t>
      </w:r>
      <w:r w:rsidRPr="00EA59C0">
        <w:t>to</w:t>
      </w:r>
      <w:r w:rsidR="00C026A6" w:rsidRPr="00EA59C0">
        <w:t xml:space="preserve"> </w:t>
      </w:r>
      <w:r w:rsidRPr="00EA59C0">
        <w:t>hire,</w:t>
      </w:r>
      <w:r w:rsidR="00C026A6" w:rsidRPr="00EA59C0">
        <w:t xml:space="preserve"> </w:t>
      </w:r>
      <w:r w:rsidRPr="00EA59C0">
        <w:t>promote,</w:t>
      </w:r>
      <w:r w:rsidR="00C026A6" w:rsidRPr="00EA59C0">
        <w:t xml:space="preserve"> </w:t>
      </w:r>
      <w:r w:rsidRPr="00EA59C0">
        <w:t>and/or</w:t>
      </w:r>
      <w:r w:rsidR="00C026A6" w:rsidRPr="00EA59C0">
        <w:t xml:space="preserve"> </w:t>
      </w:r>
      <w:r w:rsidRPr="00EA59C0">
        <w:t>retain</w:t>
      </w:r>
      <w:r w:rsidR="00C026A6" w:rsidRPr="00EA59C0">
        <w:t xml:space="preserve"> </w:t>
      </w:r>
      <w:r w:rsidRPr="00EA59C0">
        <w:t>qualified</w:t>
      </w:r>
      <w:r w:rsidR="00C026A6" w:rsidRPr="00EA59C0">
        <w:t xml:space="preserve"> </w:t>
      </w:r>
      <w:r w:rsidR="008111B7" w:rsidRPr="00EA59C0">
        <w:t>TAACCCT</w:t>
      </w:r>
      <w:r w:rsidR="00C026A6" w:rsidRPr="00EA59C0">
        <w:t xml:space="preserve"> </w:t>
      </w:r>
      <w:r w:rsidRPr="00EA59C0">
        <w:t>participants</w:t>
      </w:r>
      <w:r w:rsidR="008111B7" w:rsidRPr="00EA59C0">
        <w:t>,</w:t>
      </w:r>
      <w:r w:rsidR="00C026A6" w:rsidRPr="00EA59C0">
        <w:t xml:space="preserve"> </w:t>
      </w:r>
      <w:r w:rsidR="008111B7" w:rsidRPr="00EA59C0">
        <w:t>including</w:t>
      </w:r>
      <w:r w:rsidR="00C026A6" w:rsidRPr="00EA59C0">
        <w:t xml:space="preserve"> </w:t>
      </w:r>
      <w:r w:rsidR="008111B7" w:rsidRPr="00EA59C0">
        <w:t>TAA-eligible</w:t>
      </w:r>
      <w:r w:rsidR="00C026A6" w:rsidRPr="00EA59C0">
        <w:t xml:space="preserve"> </w:t>
      </w:r>
      <w:r w:rsidR="008111B7" w:rsidRPr="00EA59C0">
        <w:t>workers</w:t>
      </w:r>
      <w:r w:rsidR="00346FD3" w:rsidRPr="00EA59C0">
        <w:t>.</w:t>
      </w:r>
      <w:r w:rsidR="00C026A6" w:rsidRPr="00EA59C0">
        <w:t xml:space="preserve">  </w:t>
      </w:r>
      <w:r w:rsidR="00346FD3" w:rsidRPr="00EA59C0">
        <w:t>In</w:t>
      </w:r>
      <w:r w:rsidR="00C026A6" w:rsidRPr="00EA59C0">
        <w:t xml:space="preserve"> </w:t>
      </w:r>
      <w:r w:rsidR="00346FD3" w:rsidRPr="00EA59C0">
        <w:t>addition,</w:t>
      </w:r>
      <w:r w:rsidR="00C026A6" w:rsidRPr="00EA59C0">
        <w:t xml:space="preserve"> </w:t>
      </w:r>
      <w:r w:rsidR="00346FD3" w:rsidRPr="00EA59C0">
        <w:t>the</w:t>
      </w:r>
      <w:r w:rsidR="00C026A6" w:rsidRPr="00EA59C0">
        <w:t xml:space="preserve"> </w:t>
      </w:r>
      <w:r w:rsidR="00346FD3" w:rsidRPr="00EA59C0">
        <w:t>Department</w:t>
      </w:r>
      <w:r w:rsidR="00C026A6" w:rsidRPr="00EA59C0">
        <w:t xml:space="preserve"> </w:t>
      </w:r>
      <w:r w:rsidR="00346FD3" w:rsidRPr="00EA59C0">
        <w:t>is</w:t>
      </w:r>
      <w:r w:rsidR="00C026A6" w:rsidRPr="00EA59C0">
        <w:t xml:space="preserve"> </w:t>
      </w:r>
      <w:r w:rsidR="00346FD3" w:rsidRPr="00EA59C0">
        <w:t>interested</w:t>
      </w:r>
      <w:r w:rsidR="00C026A6" w:rsidRPr="00EA59C0">
        <w:t xml:space="preserve"> </w:t>
      </w:r>
      <w:r w:rsidR="00346FD3" w:rsidRPr="00EA59C0">
        <w:t>in</w:t>
      </w:r>
      <w:r w:rsidR="00C026A6" w:rsidRPr="00EA59C0">
        <w:t xml:space="preserve"> </w:t>
      </w:r>
      <w:r w:rsidR="001145DB" w:rsidRPr="00EA59C0">
        <w:t>providing</w:t>
      </w:r>
      <w:r w:rsidR="00C026A6" w:rsidRPr="00EA59C0">
        <w:t xml:space="preserve"> </w:t>
      </w:r>
      <w:r w:rsidR="001145DB" w:rsidRPr="00EA59C0">
        <w:t>rigorous</w:t>
      </w:r>
      <w:r w:rsidR="00C026A6" w:rsidRPr="00EA59C0">
        <w:t xml:space="preserve"> </w:t>
      </w:r>
      <w:r w:rsidR="001145DB" w:rsidRPr="00EA59C0">
        <w:t>work-based</w:t>
      </w:r>
      <w:r w:rsidR="00C026A6" w:rsidRPr="00EA59C0">
        <w:t xml:space="preserve"> </w:t>
      </w:r>
      <w:r w:rsidR="001145DB" w:rsidRPr="00EA59C0">
        <w:t>training</w:t>
      </w:r>
      <w:r w:rsidR="00C026A6" w:rsidRPr="00EA59C0">
        <w:t xml:space="preserve"> </w:t>
      </w:r>
      <w:r w:rsidR="001145DB" w:rsidRPr="00EA59C0">
        <w:t>opportunities</w:t>
      </w:r>
      <w:r w:rsidR="00C026A6" w:rsidRPr="00EA59C0">
        <w:t xml:space="preserve"> </w:t>
      </w:r>
      <w:r w:rsidR="001145DB" w:rsidRPr="00EA59C0">
        <w:t>for</w:t>
      </w:r>
      <w:r w:rsidR="00C026A6" w:rsidRPr="00EA59C0">
        <w:t xml:space="preserve"> </w:t>
      </w:r>
      <w:r w:rsidR="001145DB" w:rsidRPr="00EA59C0">
        <w:t>program</w:t>
      </w:r>
      <w:r w:rsidR="00C026A6" w:rsidRPr="00EA59C0">
        <w:t xml:space="preserve"> </w:t>
      </w:r>
      <w:r w:rsidR="001145DB" w:rsidRPr="00EA59C0">
        <w:t>participants</w:t>
      </w:r>
      <w:r w:rsidR="00C026A6" w:rsidRPr="00EA59C0">
        <w:t xml:space="preserve"> </w:t>
      </w:r>
      <w:r w:rsidR="001145DB" w:rsidRPr="00EA59C0">
        <w:t>(such</w:t>
      </w:r>
      <w:r w:rsidR="00C026A6" w:rsidRPr="00EA59C0">
        <w:t xml:space="preserve"> </w:t>
      </w:r>
      <w:r w:rsidR="001145DB" w:rsidRPr="00EA59C0">
        <w:t>as</w:t>
      </w:r>
      <w:r w:rsidR="00C026A6" w:rsidRPr="00EA59C0">
        <w:t xml:space="preserve"> </w:t>
      </w:r>
      <w:r w:rsidR="001145DB" w:rsidRPr="00EA59C0">
        <w:t>internships,</w:t>
      </w:r>
      <w:r w:rsidR="00C026A6" w:rsidRPr="00EA59C0">
        <w:t xml:space="preserve"> </w:t>
      </w:r>
      <w:r w:rsidR="001145DB" w:rsidRPr="00EA59C0">
        <w:t>apprenticeships,</w:t>
      </w:r>
      <w:r w:rsidR="00C026A6" w:rsidRPr="00EA59C0">
        <w:t xml:space="preserve"> </w:t>
      </w:r>
      <w:r w:rsidR="001145DB" w:rsidRPr="00EA59C0">
        <w:t>and</w:t>
      </w:r>
      <w:r w:rsidR="00C026A6" w:rsidRPr="00EA59C0">
        <w:t xml:space="preserve"> </w:t>
      </w:r>
      <w:r w:rsidR="001145DB" w:rsidRPr="00EA59C0">
        <w:t>on-the-job</w:t>
      </w:r>
      <w:r w:rsidR="00C026A6" w:rsidRPr="00EA59C0">
        <w:t xml:space="preserve"> </w:t>
      </w:r>
      <w:r w:rsidR="001145DB" w:rsidRPr="00EA59C0">
        <w:t>training)</w:t>
      </w:r>
      <w:r w:rsidR="00C026A6" w:rsidRPr="00EA59C0">
        <w:t xml:space="preserve"> </w:t>
      </w:r>
      <w:r w:rsidR="00346FD3" w:rsidRPr="00EA59C0">
        <w:t>as</w:t>
      </w:r>
      <w:r w:rsidR="00C026A6" w:rsidRPr="00EA59C0">
        <w:t xml:space="preserve"> </w:t>
      </w:r>
      <w:r w:rsidR="00346FD3" w:rsidRPr="00EA59C0">
        <w:t>a</w:t>
      </w:r>
      <w:r w:rsidR="00C026A6" w:rsidRPr="00EA59C0">
        <w:t xml:space="preserve"> </w:t>
      </w:r>
      <w:r w:rsidR="00346FD3" w:rsidRPr="00EA59C0">
        <w:t>component</w:t>
      </w:r>
      <w:r w:rsidR="00C026A6" w:rsidRPr="00EA59C0">
        <w:t xml:space="preserve"> </w:t>
      </w:r>
      <w:r w:rsidR="00346FD3" w:rsidRPr="00EA59C0">
        <w:t>of</w:t>
      </w:r>
      <w:r w:rsidR="00C026A6" w:rsidRPr="00EA59C0">
        <w:t xml:space="preserve"> </w:t>
      </w:r>
      <w:r w:rsidR="00346FD3" w:rsidRPr="00EA59C0">
        <w:t>any</w:t>
      </w:r>
      <w:r w:rsidR="00C026A6" w:rsidRPr="00EA59C0">
        <w:t xml:space="preserve"> </w:t>
      </w:r>
      <w:r w:rsidR="00346FD3" w:rsidRPr="00EA59C0">
        <w:t>program,</w:t>
      </w:r>
      <w:r w:rsidR="00C026A6" w:rsidRPr="00EA59C0">
        <w:t xml:space="preserve"> </w:t>
      </w:r>
      <w:r w:rsidR="00346FD3" w:rsidRPr="00EA59C0">
        <w:t>as</w:t>
      </w:r>
      <w:r w:rsidR="00C026A6" w:rsidRPr="00EA59C0">
        <w:t xml:space="preserve"> </w:t>
      </w:r>
      <w:r w:rsidR="00346FD3" w:rsidRPr="00EA59C0">
        <w:t>appropriate</w:t>
      </w:r>
      <w:r w:rsidR="001145DB" w:rsidRPr="00EA59C0">
        <w:t>.</w:t>
      </w:r>
    </w:p>
    <w:p w:rsidR="0026016C" w:rsidRPr="00EA59C0" w:rsidRDefault="0026016C" w:rsidP="00D03948">
      <w:pPr>
        <w:ind w:left="1080"/>
      </w:pPr>
    </w:p>
    <w:p w:rsidR="003811A6" w:rsidRPr="00EA59C0" w:rsidRDefault="003811A6" w:rsidP="00D03948">
      <w:pPr>
        <w:ind w:left="1080"/>
      </w:pPr>
      <w:r w:rsidRPr="00EA59C0">
        <w:t>Applicants</w:t>
      </w:r>
      <w:r w:rsidR="00C026A6" w:rsidRPr="00EA59C0">
        <w:t xml:space="preserve"> </w:t>
      </w:r>
      <w:r w:rsidRPr="00EA59C0">
        <w:t>are</w:t>
      </w:r>
      <w:r w:rsidR="00C026A6" w:rsidRPr="00EA59C0">
        <w:t xml:space="preserve"> </w:t>
      </w:r>
      <w:r w:rsidRPr="00EA59C0">
        <w:t>also</w:t>
      </w:r>
      <w:r w:rsidR="00C026A6" w:rsidRPr="00EA59C0">
        <w:t xml:space="preserve"> </w:t>
      </w:r>
      <w:r w:rsidRPr="00EA59C0">
        <w:t>encouraged</w:t>
      </w:r>
      <w:r w:rsidR="00C026A6" w:rsidRPr="00EA59C0">
        <w:t xml:space="preserve"> </w:t>
      </w:r>
      <w:r w:rsidRPr="00EA59C0">
        <w:t>to</w:t>
      </w:r>
      <w:r w:rsidR="00C026A6" w:rsidRPr="00EA59C0">
        <w:t xml:space="preserve"> </w:t>
      </w:r>
      <w:r w:rsidR="00C43448" w:rsidRPr="00EA59C0">
        <w:t>partner</w:t>
      </w:r>
      <w:r w:rsidR="00C026A6" w:rsidRPr="00EA59C0">
        <w:t xml:space="preserve"> </w:t>
      </w:r>
      <w:r w:rsidRPr="00EA59C0">
        <w:t>with</w:t>
      </w:r>
      <w:r w:rsidR="00C026A6" w:rsidRPr="00EA59C0">
        <w:t xml:space="preserve"> </w:t>
      </w:r>
      <w:r w:rsidRPr="00EA59C0">
        <w:t>Registered</w:t>
      </w:r>
      <w:r w:rsidR="00C026A6" w:rsidRPr="00EA59C0">
        <w:t xml:space="preserve"> </w:t>
      </w:r>
      <w:r w:rsidRPr="00EA59C0">
        <w:t>Apprenticeship</w:t>
      </w:r>
      <w:r w:rsidR="00C026A6" w:rsidRPr="00EA59C0">
        <w:t xml:space="preserve"> </w:t>
      </w:r>
      <w:r w:rsidRPr="00EA59C0">
        <w:t>Sponsors</w:t>
      </w:r>
      <w:r w:rsidR="00C026A6" w:rsidRPr="00EA59C0">
        <w:t xml:space="preserve"> </w:t>
      </w:r>
      <w:r w:rsidRPr="00EA59C0">
        <w:t>in</w:t>
      </w:r>
      <w:r w:rsidR="00C026A6" w:rsidRPr="00EA59C0">
        <w:t xml:space="preserve"> </w:t>
      </w:r>
      <w:r w:rsidRPr="00EA59C0">
        <w:t>their</w:t>
      </w:r>
      <w:r w:rsidR="00C026A6" w:rsidRPr="00EA59C0">
        <w:t xml:space="preserve"> </w:t>
      </w:r>
      <w:r w:rsidRPr="00EA59C0">
        <w:t>local</w:t>
      </w:r>
      <w:r w:rsidR="00C026A6" w:rsidRPr="00EA59C0">
        <w:t xml:space="preserve"> </w:t>
      </w:r>
      <w:r w:rsidRPr="00EA59C0">
        <w:t>and</w:t>
      </w:r>
      <w:r w:rsidR="00C026A6" w:rsidRPr="00EA59C0">
        <w:t xml:space="preserve"> </w:t>
      </w:r>
      <w:r w:rsidRPr="00EA59C0">
        <w:t>regional</w:t>
      </w:r>
      <w:r w:rsidR="00C026A6" w:rsidRPr="00EA59C0">
        <w:t xml:space="preserve"> </w:t>
      </w:r>
      <w:r w:rsidRPr="00EA59C0">
        <w:t>area</w:t>
      </w:r>
      <w:r w:rsidR="004F0C64" w:rsidRPr="00EA59C0">
        <w:t>,</w:t>
      </w:r>
      <w:r w:rsidR="00C026A6" w:rsidRPr="00EA59C0">
        <w:t xml:space="preserve"> </w:t>
      </w:r>
      <w:r w:rsidR="004F0C64" w:rsidRPr="00EA59C0">
        <w:t>particularly</w:t>
      </w:r>
      <w:r w:rsidR="00C026A6" w:rsidRPr="00EA59C0">
        <w:t xml:space="preserve"> </w:t>
      </w:r>
      <w:r w:rsidR="004F0C64" w:rsidRPr="00EA59C0">
        <w:t>in</w:t>
      </w:r>
      <w:r w:rsidR="00C026A6" w:rsidRPr="00EA59C0">
        <w:t xml:space="preserve"> </w:t>
      </w:r>
      <w:r w:rsidR="004F0C64" w:rsidRPr="00EA59C0">
        <w:t>industry</w:t>
      </w:r>
      <w:r w:rsidR="00C026A6" w:rsidRPr="00EA59C0">
        <w:t xml:space="preserve"> </w:t>
      </w:r>
      <w:r w:rsidR="004F0C64" w:rsidRPr="00EA59C0">
        <w:t>sectors</w:t>
      </w:r>
      <w:r w:rsidR="00C026A6" w:rsidRPr="00EA59C0">
        <w:t xml:space="preserve"> </w:t>
      </w:r>
      <w:r w:rsidR="004F0C64" w:rsidRPr="00EA59C0">
        <w:t>and</w:t>
      </w:r>
      <w:r w:rsidR="00C026A6" w:rsidRPr="00EA59C0">
        <w:t xml:space="preserve"> </w:t>
      </w:r>
      <w:r w:rsidR="004F0C64" w:rsidRPr="00EA59C0">
        <w:t>occupations</w:t>
      </w:r>
      <w:r w:rsidR="00C026A6" w:rsidRPr="00EA59C0">
        <w:t xml:space="preserve"> </w:t>
      </w:r>
      <w:r w:rsidR="004F0C64" w:rsidRPr="00EA59C0">
        <w:t>with</w:t>
      </w:r>
      <w:r w:rsidR="00C026A6" w:rsidRPr="00EA59C0">
        <w:t xml:space="preserve"> </w:t>
      </w:r>
      <w:r w:rsidR="004F0C64" w:rsidRPr="00EA59C0">
        <w:t>expected</w:t>
      </w:r>
      <w:r w:rsidR="00C026A6" w:rsidRPr="00EA59C0">
        <w:t xml:space="preserve"> </w:t>
      </w:r>
      <w:r w:rsidR="004F0C64" w:rsidRPr="00EA59C0">
        <w:t>skill</w:t>
      </w:r>
      <w:r w:rsidR="00C026A6" w:rsidRPr="00EA59C0">
        <w:t xml:space="preserve"> </w:t>
      </w:r>
      <w:r w:rsidR="004F0C64" w:rsidRPr="00EA59C0">
        <w:t>shortages.</w:t>
      </w:r>
      <w:r w:rsidR="00C026A6" w:rsidRPr="00EA59C0">
        <w:t xml:space="preserve">  </w:t>
      </w:r>
      <w:r w:rsidR="004F0C64" w:rsidRPr="00EA59C0">
        <w:t>This</w:t>
      </w:r>
      <w:r w:rsidR="00C026A6" w:rsidRPr="00EA59C0">
        <w:t xml:space="preserve"> </w:t>
      </w:r>
      <w:r w:rsidR="004F0C64" w:rsidRPr="00EA59C0">
        <w:t>partnership</w:t>
      </w:r>
      <w:r w:rsidR="00C026A6" w:rsidRPr="00EA59C0">
        <w:t xml:space="preserve"> </w:t>
      </w:r>
      <w:r w:rsidR="004F0C64" w:rsidRPr="00EA59C0">
        <w:t>could</w:t>
      </w:r>
      <w:r w:rsidR="00C026A6" w:rsidRPr="00EA59C0">
        <w:t xml:space="preserve"> </w:t>
      </w:r>
      <w:r w:rsidR="004F0C64" w:rsidRPr="00EA59C0">
        <w:t>be</w:t>
      </w:r>
      <w:r w:rsidR="00C026A6" w:rsidRPr="00EA59C0">
        <w:t xml:space="preserve"> </w:t>
      </w:r>
      <w:r w:rsidR="004F0C64" w:rsidRPr="00EA59C0">
        <w:t>helpful</w:t>
      </w:r>
      <w:r w:rsidR="00C026A6" w:rsidRPr="00EA59C0">
        <w:t xml:space="preserve"> </w:t>
      </w:r>
      <w:r w:rsidR="004F0C64" w:rsidRPr="00EA59C0">
        <w:t>in</w:t>
      </w:r>
      <w:r w:rsidR="00C026A6" w:rsidRPr="00EA59C0">
        <w:t xml:space="preserve"> </w:t>
      </w:r>
      <w:r w:rsidR="004F0C64" w:rsidRPr="00EA59C0">
        <w:t>determining</w:t>
      </w:r>
      <w:r w:rsidR="00C026A6" w:rsidRPr="00EA59C0">
        <w:t xml:space="preserve"> </w:t>
      </w:r>
      <w:r w:rsidR="004F0C64" w:rsidRPr="00EA59C0">
        <w:t>the</w:t>
      </w:r>
      <w:r w:rsidR="00C026A6" w:rsidRPr="00EA59C0">
        <w:t xml:space="preserve"> </w:t>
      </w:r>
      <w:r w:rsidRPr="00EA59C0">
        <w:t>skill</w:t>
      </w:r>
      <w:r w:rsidR="00C026A6" w:rsidRPr="00EA59C0">
        <w:t xml:space="preserve"> </w:t>
      </w:r>
      <w:r w:rsidRPr="00EA59C0">
        <w:t>needs</w:t>
      </w:r>
      <w:r w:rsidR="00C026A6" w:rsidRPr="00EA59C0">
        <w:t xml:space="preserve"> </w:t>
      </w:r>
      <w:r w:rsidR="004F0C64" w:rsidRPr="00EA59C0">
        <w:t>of</w:t>
      </w:r>
      <w:r w:rsidR="00C026A6" w:rsidRPr="00EA59C0">
        <w:t xml:space="preserve"> </w:t>
      </w:r>
      <w:r w:rsidR="004F0C64" w:rsidRPr="00EA59C0">
        <w:t>industry</w:t>
      </w:r>
      <w:r w:rsidR="00C026A6" w:rsidRPr="00EA59C0">
        <w:t xml:space="preserve"> </w:t>
      </w:r>
      <w:r w:rsidR="004F0C64" w:rsidRPr="00EA59C0">
        <w:t>sectors</w:t>
      </w:r>
      <w:r w:rsidR="00C026A6" w:rsidRPr="00EA59C0">
        <w:t xml:space="preserve"> </w:t>
      </w:r>
      <w:r w:rsidR="004F0C64" w:rsidRPr="00EA59C0">
        <w:t>and</w:t>
      </w:r>
      <w:r w:rsidR="00C026A6" w:rsidRPr="00EA59C0">
        <w:t xml:space="preserve"> </w:t>
      </w:r>
      <w:r w:rsidR="004F0C64" w:rsidRPr="00EA59C0">
        <w:t>occupations</w:t>
      </w:r>
      <w:r w:rsidR="00C026A6" w:rsidRPr="00EA59C0">
        <w:t xml:space="preserve"> </w:t>
      </w:r>
      <w:r w:rsidR="004F0C64" w:rsidRPr="00EA59C0">
        <w:t>so</w:t>
      </w:r>
      <w:r w:rsidR="00C026A6" w:rsidRPr="00EA59C0">
        <w:t xml:space="preserve"> </w:t>
      </w:r>
      <w:r w:rsidR="004F0C64" w:rsidRPr="00EA59C0">
        <w:t>that</w:t>
      </w:r>
      <w:r w:rsidR="00C026A6" w:rsidRPr="00EA59C0">
        <w:t xml:space="preserve"> </w:t>
      </w:r>
      <w:r w:rsidR="004F0C64" w:rsidRPr="00EA59C0">
        <w:t>programs</w:t>
      </w:r>
      <w:r w:rsidR="00C026A6" w:rsidRPr="00EA59C0">
        <w:t xml:space="preserve"> </w:t>
      </w:r>
      <w:r w:rsidRPr="00EA59C0">
        <w:t>develop</w:t>
      </w:r>
      <w:r w:rsidR="004F0C64" w:rsidRPr="00EA59C0">
        <w:t>ed</w:t>
      </w:r>
      <w:r w:rsidR="00C026A6" w:rsidRPr="00EA59C0">
        <w:t xml:space="preserve"> </w:t>
      </w:r>
      <w:r w:rsidR="004F0C64" w:rsidRPr="00EA59C0">
        <w:t>are</w:t>
      </w:r>
      <w:r w:rsidR="00C026A6" w:rsidRPr="00EA59C0">
        <w:t xml:space="preserve"> </w:t>
      </w:r>
      <w:r w:rsidRPr="00EA59C0">
        <w:t>appropriate</w:t>
      </w:r>
      <w:r w:rsidR="00C026A6" w:rsidRPr="00EA59C0">
        <w:t xml:space="preserve"> </w:t>
      </w:r>
      <w:r w:rsidR="009128EC" w:rsidRPr="00EA59C0">
        <w:t>or</w:t>
      </w:r>
      <w:r w:rsidR="00C026A6" w:rsidRPr="00EA59C0">
        <w:t xml:space="preserve"> </w:t>
      </w:r>
      <w:r w:rsidR="004F0C64" w:rsidRPr="00EA59C0">
        <w:t>to</w:t>
      </w:r>
      <w:r w:rsidR="00C026A6" w:rsidRPr="00EA59C0">
        <w:t xml:space="preserve"> </w:t>
      </w:r>
      <w:r w:rsidR="009128EC" w:rsidRPr="00EA59C0">
        <w:t>provide</w:t>
      </w:r>
      <w:r w:rsidR="00C026A6" w:rsidRPr="00EA59C0">
        <w:t xml:space="preserve"> </w:t>
      </w:r>
      <w:r w:rsidR="004F0C64" w:rsidRPr="00EA59C0">
        <w:t>appropriate</w:t>
      </w:r>
      <w:r w:rsidR="00C026A6" w:rsidRPr="00EA59C0">
        <w:t xml:space="preserve"> </w:t>
      </w:r>
      <w:r w:rsidRPr="00EA59C0">
        <w:t>related</w:t>
      </w:r>
      <w:r w:rsidR="00C026A6" w:rsidRPr="00EA59C0">
        <w:t xml:space="preserve"> </w:t>
      </w:r>
      <w:r w:rsidRPr="00EA59C0">
        <w:t>instruction</w:t>
      </w:r>
      <w:r w:rsidR="00C026A6" w:rsidRPr="00EA59C0">
        <w:t xml:space="preserve"> </w:t>
      </w:r>
      <w:r w:rsidRPr="00EA59C0">
        <w:t>to</w:t>
      </w:r>
      <w:r w:rsidR="00C026A6" w:rsidRPr="00EA59C0">
        <w:t xml:space="preserve"> </w:t>
      </w:r>
      <w:r w:rsidRPr="00EA59C0">
        <w:t>apprenticeship</w:t>
      </w:r>
      <w:r w:rsidR="00C026A6" w:rsidRPr="00EA59C0">
        <w:t xml:space="preserve"> </w:t>
      </w:r>
      <w:r w:rsidRPr="00EA59C0">
        <w:t>sponsors.</w:t>
      </w:r>
      <w:r w:rsidR="00C026A6" w:rsidRPr="00EA59C0">
        <w:t xml:space="preserve"> </w:t>
      </w:r>
    </w:p>
    <w:p w:rsidR="003811A6" w:rsidRPr="00EA59C0" w:rsidRDefault="003811A6" w:rsidP="00D03948">
      <w:pPr>
        <w:ind w:left="1080"/>
      </w:pPr>
    </w:p>
    <w:p w:rsidR="0026016C" w:rsidRPr="00EA59C0" w:rsidRDefault="0026016C" w:rsidP="00D03948">
      <w:pPr>
        <w:ind w:left="1080"/>
      </w:pPr>
      <w:r w:rsidRPr="00EA59C0">
        <w:t>Applicants</w:t>
      </w:r>
      <w:r w:rsidR="00C026A6" w:rsidRPr="00EA59C0">
        <w:t xml:space="preserve"> </w:t>
      </w:r>
      <w:r w:rsidRPr="00EA59C0">
        <w:t>are</w:t>
      </w:r>
      <w:r w:rsidR="00C026A6" w:rsidRPr="00EA59C0">
        <w:t xml:space="preserve"> </w:t>
      </w:r>
      <w:r w:rsidRPr="00EA59C0">
        <w:t>also</w:t>
      </w:r>
      <w:r w:rsidR="00C026A6" w:rsidRPr="00EA59C0">
        <w:t xml:space="preserve"> </w:t>
      </w:r>
      <w:r w:rsidRPr="00EA59C0">
        <w:t>encouraged</w:t>
      </w:r>
      <w:r w:rsidR="00C026A6" w:rsidRPr="00EA59C0">
        <w:t xml:space="preserve"> </w:t>
      </w:r>
      <w:r w:rsidRPr="00EA59C0">
        <w:t>to</w:t>
      </w:r>
      <w:r w:rsidR="00C026A6" w:rsidRPr="00EA59C0">
        <w:t xml:space="preserve"> </w:t>
      </w:r>
      <w:r w:rsidRPr="00EA59C0">
        <w:t>work</w:t>
      </w:r>
      <w:r w:rsidR="00C026A6" w:rsidRPr="00EA59C0">
        <w:t xml:space="preserve"> </w:t>
      </w:r>
      <w:r w:rsidRPr="00EA59C0">
        <w:t>with</w:t>
      </w:r>
      <w:r w:rsidR="00C026A6" w:rsidRPr="00EA59C0">
        <w:t xml:space="preserve"> </w:t>
      </w:r>
      <w:r w:rsidRPr="00EA59C0">
        <w:t>employer</w:t>
      </w:r>
      <w:r w:rsidR="00427249" w:rsidRPr="00EA59C0">
        <w:t>s</w:t>
      </w:r>
      <w:r w:rsidR="00C026A6" w:rsidRPr="00EA59C0">
        <w:t xml:space="preserve"> </w:t>
      </w:r>
      <w:r w:rsidR="00E71A8E" w:rsidRPr="00EA59C0">
        <w:t>to</w:t>
      </w:r>
      <w:r w:rsidR="00C026A6" w:rsidRPr="00EA59C0">
        <w:t xml:space="preserve"> </w:t>
      </w:r>
      <w:r w:rsidR="00E71A8E" w:rsidRPr="00EA59C0">
        <w:t>determine</w:t>
      </w:r>
      <w:r w:rsidR="00C026A6" w:rsidRPr="00EA59C0">
        <w:t xml:space="preserve"> </w:t>
      </w:r>
      <w:r w:rsidRPr="00EA59C0">
        <w:t>one</w:t>
      </w:r>
      <w:r w:rsidR="00C026A6" w:rsidRPr="00EA59C0">
        <w:t xml:space="preserve"> </w:t>
      </w:r>
      <w:r w:rsidRPr="00EA59C0">
        <w:t>or</w:t>
      </w:r>
      <w:r w:rsidR="00C026A6" w:rsidRPr="00EA59C0">
        <w:t xml:space="preserve"> </w:t>
      </w:r>
      <w:r w:rsidRPr="00EA59C0">
        <w:t>more</w:t>
      </w:r>
      <w:r w:rsidR="00C026A6" w:rsidRPr="00EA59C0">
        <w:t xml:space="preserve"> </w:t>
      </w:r>
      <w:r w:rsidRPr="00EA59C0">
        <w:t>critical,</w:t>
      </w:r>
      <w:r w:rsidR="00C026A6" w:rsidRPr="00EA59C0">
        <w:t xml:space="preserve"> </w:t>
      </w:r>
      <w:r w:rsidRPr="00EA59C0">
        <w:t>complex</w:t>
      </w:r>
      <w:r w:rsidR="00C026A6" w:rsidRPr="00EA59C0">
        <w:t xml:space="preserve"> </w:t>
      </w:r>
      <w:r w:rsidRPr="00EA59C0">
        <w:t>tasks</w:t>
      </w:r>
      <w:r w:rsidR="00C026A6" w:rsidRPr="00EA59C0">
        <w:t xml:space="preserve"> </w:t>
      </w:r>
      <w:r w:rsidRPr="00EA59C0">
        <w:t>associated</w:t>
      </w:r>
      <w:r w:rsidR="00C026A6" w:rsidRPr="00EA59C0">
        <w:t xml:space="preserve"> </w:t>
      </w:r>
      <w:r w:rsidRPr="00EA59C0">
        <w:t>with</w:t>
      </w:r>
      <w:r w:rsidR="00C026A6" w:rsidRPr="00EA59C0">
        <w:t xml:space="preserve"> </w:t>
      </w:r>
      <w:r w:rsidRPr="00EA59C0">
        <w:t>the</w:t>
      </w:r>
      <w:r w:rsidR="00C026A6" w:rsidRPr="00EA59C0">
        <w:t xml:space="preserve"> </w:t>
      </w:r>
      <w:r w:rsidRPr="00EA59C0">
        <w:t>sector</w:t>
      </w:r>
      <w:r w:rsidR="00C026A6" w:rsidRPr="00EA59C0">
        <w:t xml:space="preserve"> </w:t>
      </w:r>
      <w:r w:rsidRPr="00EA59C0">
        <w:t>occupations</w:t>
      </w:r>
      <w:r w:rsidR="00C026A6" w:rsidRPr="00EA59C0">
        <w:t xml:space="preserve"> </w:t>
      </w:r>
      <w:r w:rsidRPr="00EA59C0">
        <w:t>they</w:t>
      </w:r>
      <w:r w:rsidR="00C026A6" w:rsidRPr="00EA59C0">
        <w:t xml:space="preserve"> </w:t>
      </w:r>
      <w:r w:rsidRPr="00EA59C0">
        <w:t>have</w:t>
      </w:r>
      <w:r w:rsidR="00C026A6" w:rsidRPr="00EA59C0">
        <w:t xml:space="preserve"> </w:t>
      </w:r>
      <w:r w:rsidRPr="00EA59C0">
        <w:t>chosen</w:t>
      </w:r>
      <w:r w:rsidR="00C026A6" w:rsidRPr="00EA59C0">
        <w:t xml:space="preserve"> </w:t>
      </w:r>
      <w:r w:rsidRPr="00EA59C0">
        <w:t>for</w:t>
      </w:r>
      <w:r w:rsidR="00C026A6" w:rsidRPr="00EA59C0">
        <w:t xml:space="preserve"> </w:t>
      </w:r>
      <w:r w:rsidRPr="00EA59C0">
        <w:t>their</w:t>
      </w:r>
      <w:r w:rsidR="00C026A6" w:rsidRPr="00EA59C0">
        <w:t xml:space="preserve"> </w:t>
      </w:r>
      <w:r w:rsidRPr="00EA59C0">
        <w:t>programs,</w:t>
      </w:r>
      <w:r w:rsidR="00C026A6" w:rsidRPr="00EA59C0">
        <w:t xml:space="preserve"> </w:t>
      </w:r>
      <w:r w:rsidRPr="00EA59C0">
        <w:t>or</w:t>
      </w:r>
      <w:r w:rsidR="00C026A6" w:rsidRPr="00EA59C0">
        <w:t xml:space="preserve"> </w:t>
      </w:r>
      <w:r w:rsidRPr="00EA59C0">
        <w:t>a</w:t>
      </w:r>
      <w:r w:rsidR="00C026A6" w:rsidRPr="00EA59C0">
        <w:t xml:space="preserve"> </w:t>
      </w:r>
      <w:r w:rsidRPr="00EA59C0">
        <w:t>Cognitive</w:t>
      </w:r>
      <w:r w:rsidR="00C026A6" w:rsidRPr="00EA59C0">
        <w:t xml:space="preserve"> </w:t>
      </w:r>
      <w:r w:rsidRPr="00EA59C0">
        <w:t>Task</w:t>
      </w:r>
      <w:r w:rsidR="00C026A6" w:rsidRPr="00EA59C0">
        <w:t xml:space="preserve"> </w:t>
      </w:r>
      <w:r w:rsidRPr="00EA59C0">
        <w:t>Analysis</w:t>
      </w:r>
      <w:r w:rsidR="00C026A6" w:rsidRPr="00EA59C0">
        <w:t xml:space="preserve"> </w:t>
      </w:r>
      <w:r w:rsidRPr="00EA59C0">
        <w:t>(CTA).</w:t>
      </w:r>
      <w:r w:rsidR="00C026A6" w:rsidRPr="00EA59C0">
        <w:t xml:space="preserve">  </w:t>
      </w:r>
      <w:r w:rsidRPr="00EA59C0">
        <w:t>CTA</w:t>
      </w:r>
      <w:r w:rsidR="00C026A6" w:rsidRPr="00EA59C0">
        <w:t xml:space="preserve"> </w:t>
      </w:r>
      <w:r w:rsidRPr="00EA59C0">
        <w:t>is</w:t>
      </w:r>
      <w:r w:rsidR="00C026A6" w:rsidRPr="00EA59C0">
        <w:t xml:space="preserve"> </w:t>
      </w:r>
      <w:r w:rsidRPr="00EA59C0">
        <w:t>a</w:t>
      </w:r>
      <w:r w:rsidR="00C026A6" w:rsidRPr="00EA59C0">
        <w:t xml:space="preserve"> </w:t>
      </w:r>
      <w:r w:rsidRPr="00EA59C0">
        <w:t>set</w:t>
      </w:r>
      <w:r w:rsidR="00C026A6" w:rsidRPr="00EA59C0">
        <w:t xml:space="preserve"> </w:t>
      </w:r>
      <w:r w:rsidRPr="00EA59C0">
        <w:t>of</w:t>
      </w:r>
      <w:r w:rsidR="00C026A6" w:rsidRPr="00EA59C0">
        <w:t xml:space="preserve"> </w:t>
      </w:r>
      <w:r w:rsidRPr="00EA59C0">
        <w:t>techniques</w:t>
      </w:r>
      <w:r w:rsidR="00C026A6" w:rsidRPr="00EA59C0">
        <w:t xml:space="preserve"> </w:t>
      </w:r>
      <w:r w:rsidRPr="00EA59C0">
        <w:t>used</w:t>
      </w:r>
      <w:r w:rsidR="00C026A6" w:rsidRPr="00EA59C0">
        <w:t xml:space="preserve"> </w:t>
      </w:r>
      <w:r w:rsidRPr="00EA59C0">
        <w:t>to</w:t>
      </w:r>
      <w:r w:rsidR="00C026A6" w:rsidRPr="00EA59C0">
        <w:t xml:space="preserve"> </w:t>
      </w:r>
      <w:r w:rsidRPr="00EA59C0">
        <w:t>elicit</w:t>
      </w:r>
      <w:r w:rsidR="00C026A6" w:rsidRPr="00EA59C0">
        <w:t xml:space="preserve"> </w:t>
      </w:r>
      <w:r w:rsidRPr="00EA59C0">
        <w:t>from</w:t>
      </w:r>
      <w:r w:rsidR="00C026A6" w:rsidRPr="00EA59C0">
        <w:t xml:space="preserve"> </w:t>
      </w:r>
      <w:r w:rsidRPr="00EA59C0">
        <w:t>experts</w:t>
      </w:r>
      <w:r w:rsidR="00C026A6" w:rsidRPr="00EA59C0">
        <w:t xml:space="preserve"> </w:t>
      </w:r>
      <w:r w:rsidRPr="00EA59C0">
        <w:t>(through</w:t>
      </w:r>
      <w:r w:rsidR="00C026A6" w:rsidRPr="00EA59C0">
        <w:t xml:space="preserve"> </w:t>
      </w:r>
      <w:r w:rsidRPr="00EA59C0">
        <w:t>interviews</w:t>
      </w:r>
      <w:r w:rsidR="00C026A6" w:rsidRPr="00EA59C0">
        <w:t xml:space="preserve"> </w:t>
      </w:r>
      <w:r w:rsidRPr="00EA59C0">
        <w:t>and</w:t>
      </w:r>
      <w:r w:rsidR="00C026A6" w:rsidRPr="00EA59C0">
        <w:t xml:space="preserve"> </w:t>
      </w:r>
      <w:r w:rsidRPr="00EA59C0">
        <w:t>observations)</w:t>
      </w:r>
      <w:r w:rsidR="00C026A6" w:rsidRPr="00EA59C0">
        <w:t xml:space="preserve"> </w:t>
      </w:r>
      <w:r w:rsidRPr="00EA59C0">
        <w:t>the</w:t>
      </w:r>
      <w:r w:rsidR="00C026A6" w:rsidRPr="00EA59C0">
        <w:t xml:space="preserve"> </w:t>
      </w:r>
      <w:r w:rsidRPr="00EA59C0">
        <w:t>processes</w:t>
      </w:r>
      <w:r w:rsidR="00C026A6" w:rsidRPr="00EA59C0">
        <w:t xml:space="preserve"> </w:t>
      </w:r>
      <w:r w:rsidRPr="00EA59C0">
        <w:t>they</w:t>
      </w:r>
      <w:r w:rsidR="00C026A6" w:rsidRPr="00EA59C0">
        <w:t xml:space="preserve"> </w:t>
      </w:r>
      <w:r w:rsidRPr="00EA59C0">
        <w:t>use</w:t>
      </w:r>
      <w:r w:rsidR="00C026A6" w:rsidRPr="00EA59C0">
        <w:t xml:space="preserve"> </w:t>
      </w:r>
      <w:r w:rsidRPr="00EA59C0">
        <w:t>to</w:t>
      </w:r>
      <w:r w:rsidR="00C026A6" w:rsidRPr="00EA59C0">
        <w:t xml:space="preserve"> </w:t>
      </w:r>
      <w:r w:rsidRPr="00EA59C0">
        <w:t>complete</w:t>
      </w:r>
      <w:r w:rsidR="00C026A6" w:rsidRPr="00EA59C0">
        <w:t xml:space="preserve"> </w:t>
      </w:r>
      <w:r w:rsidRPr="00EA59C0">
        <w:t>complex</w:t>
      </w:r>
      <w:r w:rsidR="00C026A6" w:rsidRPr="00EA59C0">
        <w:t xml:space="preserve"> </w:t>
      </w:r>
      <w:r w:rsidRPr="00EA59C0">
        <w:t>tasks.</w:t>
      </w:r>
      <w:r w:rsidR="00C026A6" w:rsidRPr="00EA59C0">
        <w:t xml:space="preserve">  </w:t>
      </w:r>
      <w:r w:rsidRPr="00EA59C0">
        <w:t>A</w:t>
      </w:r>
      <w:r w:rsidR="00C026A6" w:rsidRPr="00EA59C0">
        <w:t xml:space="preserve"> </w:t>
      </w:r>
      <w:r w:rsidRPr="00EA59C0">
        <w:t>meta-analysis</w:t>
      </w:r>
      <w:r w:rsidR="00C026A6" w:rsidRPr="00EA59C0">
        <w:t xml:space="preserve"> </w:t>
      </w:r>
      <w:r w:rsidRPr="00EA59C0">
        <w:t>concluded</w:t>
      </w:r>
      <w:r w:rsidR="00C026A6" w:rsidRPr="00EA59C0">
        <w:t xml:space="preserve"> </w:t>
      </w:r>
      <w:r w:rsidRPr="00EA59C0">
        <w:t>that</w:t>
      </w:r>
      <w:r w:rsidR="00C026A6" w:rsidRPr="00EA59C0">
        <w:t xml:space="preserve"> </w:t>
      </w:r>
      <w:r w:rsidRPr="00EA59C0">
        <w:t>CTA</w:t>
      </w:r>
      <w:r w:rsidR="00C026A6" w:rsidRPr="00EA59C0">
        <w:t xml:space="preserve"> </w:t>
      </w:r>
      <w:r w:rsidRPr="00EA59C0">
        <w:t>can</w:t>
      </w:r>
      <w:r w:rsidR="00C026A6" w:rsidRPr="00EA59C0">
        <w:t xml:space="preserve"> </w:t>
      </w:r>
      <w:r w:rsidRPr="00EA59C0">
        <w:t>significantly</w:t>
      </w:r>
      <w:r w:rsidR="00C026A6" w:rsidRPr="00EA59C0">
        <w:t xml:space="preserve"> </w:t>
      </w:r>
      <w:r w:rsidRPr="00EA59C0">
        <w:t>increase</w:t>
      </w:r>
      <w:r w:rsidR="00C026A6" w:rsidRPr="00EA59C0">
        <w:t xml:space="preserve"> </w:t>
      </w:r>
      <w:r w:rsidRPr="00EA59C0">
        <w:t>the</w:t>
      </w:r>
      <w:r w:rsidR="00C026A6" w:rsidRPr="00EA59C0">
        <w:t xml:space="preserve"> </w:t>
      </w:r>
      <w:r w:rsidRPr="00EA59C0">
        <w:t>effectiveness</w:t>
      </w:r>
      <w:r w:rsidR="00C026A6" w:rsidRPr="00EA59C0">
        <w:t xml:space="preserve"> </w:t>
      </w:r>
      <w:r w:rsidRPr="00EA59C0">
        <w:t>of</w:t>
      </w:r>
      <w:r w:rsidR="00C026A6" w:rsidRPr="00EA59C0">
        <w:t xml:space="preserve"> </w:t>
      </w:r>
      <w:r w:rsidRPr="00EA59C0">
        <w:t>some</w:t>
      </w:r>
      <w:r w:rsidR="00C026A6" w:rsidRPr="00EA59C0">
        <w:t xml:space="preserve"> </w:t>
      </w:r>
      <w:r w:rsidRPr="00EA59C0">
        <w:t>forms</w:t>
      </w:r>
      <w:r w:rsidR="00C026A6" w:rsidRPr="00EA59C0">
        <w:t xml:space="preserve"> </w:t>
      </w:r>
      <w:r w:rsidRPr="00EA59C0">
        <w:t>of</w:t>
      </w:r>
      <w:r w:rsidR="00C026A6" w:rsidRPr="00EA59C0">
        <w:t xml:space="preserve"> </w:t>
      </w:r>
      <w:r w:rsidRPr="00EA59C0">
        <w:t>training</w:t>
      </w:r>
      <w:r w:rsidR="008D3ED0" w:rsidRPr="00EA59C0">
        <w:rPr>
          <w:rStyle w:val="FootnoteReference"/>
        </w:rPr>
        <w:footnoteReference w:id="3"/>
      </w:r>
      <w:r w:rsidRPr="00EA59C0">
        <w:t>.</w:t>
      </w:r>
      <w:r w:rsidR="00C026A6" w:rsidRPr="00EA59C0">
        <w:t xml:space="preserve">  </w:t>
      </w:r>
      <w:r w:rsidRPr="00EA59C0">
        <w:t>Applicants</w:t>
      </w:r>
      <w:r w:rsidR="00C026A6" w:rsidRPr="00EA59C0">
        <w:t xml:space="preserve"> </w:t>
      </w:r>
      <w:r w:rsidRPr="00EA59C0">
        <w:t>interested</w:t>
      </w:r>
      <w:r w:rsidR="00C026A6" w:rsidRPr="00EA59C0">
        <w:t xml:space="preserve"> </w:t>
      </w:r>
      <w:r w:rsidRPr="00EA59C0">
        <w:t>in</w:t>
      </w:r>
      <w:r w:rsidR="00C026A6" w:rsidRPr="00EA59C0">
        <w:t xml:space="preserve"> </w:t>
      </w:r>
      <w:r w:rsidRPr="00EA59C0">
        <w:t>developing</w:t>
      </w:r>
      <w:r w:rsidR="00C026A6" w:rsidRPr="00EA59C0">
        <w:t xml:space="preserve"> </w:t>
      </w:r>
      <w:r w:rsidRPr="00EA59C0">
        <w:t>CTAs</w:t>
      </w:r>
      <w:r w:rsidR="00C026A6" w:rsidRPr="00EA59C0">
        <w:t xml:space="preserve"> </w:t>
      </w:r>
      <w:r w:rsidRPr="00EA59C0">
        <w:t>are</w:t>
      </w:r>
      <w:r w:rsidR="00C026A6" w:rsidRPr="00EA59C0">
        <w:t xml:space="preserve"> </w:t>
      </w:r>
      <w:r w:rsidRPr="00EA59C0">
        <w:t>encouraged</w:t>
      </w:r>
      <w:r w:rsidR="00C026A6" w:rsidRPr="00EA59C0">
        <w:t xml:space="preserve"> </w:t>
      </w:r>
      <w:r w:rsidRPr="00EA59C0">
        <w:t>to</w:t>
      </w:r>
      <w:r w:rsidR="00C026A6" w:rsidRPr="00EA59C0">
        <w:t xml:space="preserve"> </w:t>
      </w:r>
      <w:r w:rsidRPr="00EA59C0">
        <w:t>describe</w:t>
      </w:r>
      <w:r w:rsidR="00C026A6" w:rsidRPr="00EA59C0">
        <w:t xml:space="preserve"> </w:t>
      </w:r>
      <w:r w:rsidRPr="00EA59C0">
        <w:t>plans</w:t>
      </w:r>
      <w:r w:rsidR="00C026A6" w:rsidRPr="00EA59C0">
        <w:t xml:space="preserve"> </w:t>
      </w:r>
      <w:r w:rsidRPr="00EA59C0">
        <w:t>for</w:t>
      </w:r>
      <w:r w:rsidR="00C026A6" w:rsidRPr="00EA59C0">
        <w:t xml:space="preserve"> </w:t>
      </w:r>
      <w:r w:rsidRPr="00EA59C0">
        <w:t>conducting</w:t>
      </w:r>
      <w:r w:rsidR="00C026A6" w:rsidRPr="00EA59C0">
        <w:t xml:space="preserve"> </w:t>
      </w:r>
      <w:r w:rsidRPr="00EA59C0">
        <w:t>a</w:t>
      </w:r>
      <w:r w:rsidR="00C026A6" w:rsidRPr="00EA59C0">
        <w:t xml:space="preserve"> </w:t>
      </w:r>
      <w:r w:rsidRPr="00EA59C0">
        <w:t>CTA</w:t>
      </w:r>
      <w:r w:rsidR="00C026A6" w:rsidRPr="00EA59C0">
        <w:t xml:space="preserve"> </w:t>
      </w:r>
      <w:r w:rsidRPr="00EA59C0">
        <w:t>for</w:t>
      </w:r>
      <w:r w:rsidR="00C026A6" w:rsidRPr="00EA59C0">
        <w:t xml:space="preserve"> </w:t>
      </w:r>
      <w:r w:rsidRPr="00EA59C0">
        <w:t>each</w:t>
      </w:r>
      <w:r w:rsidR="00C026A6" w:rsidRPr="00EA59C0">
        <w:t xml:space="preserve"> </w:t>
      </w:r>
      <w:r w:rsidRPr="00EA59C0">
        <w:t>target</w:t>
      </w:r>
      <w:r w:rsidR="00C026A6" w:rsidRPr="00EA59C0">
        <w:t xml:space="preserve"> </w:t>
      </w:r>
      <w:r w:rsidRPr="00EA59C0">
        <w:t>sector</w:t>
      </w:r>
      <w:r w:rsidR="00C026A6" w:rsidRPr="00EA59C0">
        <w:t xml:space="preserve"> </w:t>
      </w:r>
      <w:r w:rsidRPr="00EA59C0">
        <w:t>identified,</w:t>
      </w:r>
      <w:r w:rsidR="00C026A6" w:rsidRPr="00EA59C0">
        <w:t xml:space="preserve"> </w:t>
      </w:r>
      <w:r w:rsidRPr="00EA59C0">
        <w:t>including</w:t>
      </w:r>
      <w:r w:rsidR="00C026A6" w:rsidRPr="00EA59C0">
        <w:t xml:space="preserve"> </w:t>
      </w:r>
      <w:r w:rsidRPr="00EA59C0">
        <w:t>a</w:t>
      </w:r>
      <w:r w:rsidR="00C026A6" w:rsidRPr="00EA59C0">
        <w:t xml:space="preserve"> </w:t>
      </w:r>
      <w:r w:rsidRPr="00EA59C0">
        <w:t>plan</w:t>
      </w:r>
      <w:r w:rsidR="00C026A6" w:rsidRPr="00EA59C0">
        <w:t xml:space="preserve"> </w:t>
      </w:r>
      <w:r w:rsidRPr="00EA59C0">
        <w:t>for</w:t>
      </w:r>
      <w:r w:rsidR="00C026A6" w:rsidRPr="00EA59C0">
        <w:t xml:space="preserve"> </w:t>
      </w:r>
      <w:r w:rsidRPr="00EA59C0">
        <w:t>incorporating</w:t>
      </w:r>
      <w:r w:rsidR="00C026A6" w:rsidRPr="00EA59C0">
        <w:t xml:space="preserve"> </w:t>
      </w:r>
      <w:r w:rsidRPr="00EA59C0">
        <w:t>the</w:t>
      </w:r>
      <w:r w:rsidR="00C026A6" w:rsidRPr="00EA59C0">
        <w:t xml:space="preserve"> </w:t>
      </w:r>
      <w:r w:rsidRPr="00EA59C0">
        <w:t>results</w:t>
      </w:r>
      <w:r w:rsidR="00C026A6" w:rsidRPr="00EA59C0">
        <w:t xml:space="preserve"> </w:t>
      </w:r>
      <w:r w:rsidRPr="00EA59C0">
        <w:t>of</w:t>
      </w:r>
      <w:r w:rsidR="00C026A6" w:rsidRPr="00EA59C0">
        <w:t xml:space="preserve"> </w:t>
      </w:r>
      <w:r w:rsidRPr="00EA59C0">
        <w:t>the</w:t>
      </w:r>
      <w:r w:rsidR="00C026A6" w:rsidRPr="00EA59C0">
        <w:t xml:space="preserve"> </w:t>
      </w:r>
      <w:r w:rsidRPr="00EA59C0">
        <w:t>analysis</w:t>
      </w:r>
      <w:r w:rsidR="00C026A6" w:rsidRPr="00EA59C0">
        <w:t xml:space="preserve"> </w:t>
      </w:r>
      <w:r w:rsidRPr="00EA59C0">
        <w:t>into</w:t>
      </w:r>
      <w:r w:rsidR="00C026A6" w:rsidRPr="00EA59C0">
        <w:t xml:space="preserve"> </w:t>
      </w:r>
      <w:r w:rsidRPr="00EA59C0">
        <w:t>the</w:t>
      </w:r>
      <w:r w:rsidR="00C026A6" w:rsidRPr="00EA59C0">
        <w:t xml:space="preserve"> </w:t>
      </w:r>
      <w:r w:rsidRPr="00EA59C0">
        <w:t>curriculum</w:t>
      </w:r>
      <w:r w:rsidR="00C026A6" w:rsidRPr="00EA59C0">
        <w:t xml:space="preserve"> </w:t>
      </w:r>
      <w:r w:rsidRPr="00EA59C0">
        <w:t>to</w:t>
      </w:r>
      <w:r w:rsidR="00C026A6" w:rsidRPr="00EA59C0">
        <w:t xml:space="preserve"> </w:t>
      </w:r>
      <w:r w:rsidRPr="00EA59C0">
        <w:t>improve</w:t>
      </w:r>
      <w:r w:rsidR="00C026A6" w:rsidRPr="00EA59C0">
        <w:t xml:space="preserve"> </w:t>
      </w:r>
      <w:r w:rsidRPr="00EA59C0">
        <w:t>learning</w:t>
      </w:r>
      <w:r w:rsidR="00C026A6" w:rsidRPr="00EA59C0">
        <w:t xml:space="preserve"> </w:t>
      </w:r>
      <w:r w:rsidRPr="00EA59C0">
        <w:t>outcomes</w:t>
      </w:r>
      <w:r w:rsidR="00C026A6" w:rsidRPr="00EA59C0">
        <w:t xml:space="preserve"> </w:t>
      </w:r>
      <w:r w:rsidRPr="00EA59C0">
        <w:t>and</w:t>
      </w:r>
      <w:r w:rsidR="00C026A6" w:rsidRPr="00EA59C0">
        <w:t xml:space="preserve"> </w:t>
      </w:r>
      <w:r w:rsidRPr="00EA59C0">
        <w:t>technical</w:t>
      </w:r>
      <w:r w:rsidR="00C026A6" w:rsidRPr="00EA59C0">
        <w:t xml:space="preserve"> </w:t>
      </w:r>
      <w:r w:rsidRPr="00EA59C0">
        <w:t>skills</w:t>
      </w:r>
      <w:r w:rsidR="00C026A6" w:rsidRPr="00EA59C0">
        <w:t xml:space="preserve"> </w:t>
      </w:r>
      <w:r w:rsidRPr="00EA59C0">
        <w:t>gained.</w:t>
      </w:r>
      <w:r w:rsidR="00C026A6" w:rsidRPr="00EA59C0">
        <w:t xml:space="preserve">  </w:t>
      </w:r>
      <w:r w:rsidRPr="00EA59C0">
        <w:t>Resources</w:t>
      </w:r>
      <w:r w:rsidR="00C026A6" w:rsidRPr="00EA59C0">
        <w:t xml:space="preserve"> </w:t>
      </w:r>
      <w:r w:rsidRPr="00EA59C0">
        <w:t>for</w:t>
      </w:r>
      <w:r w:rsidR="00C026A6" w:rsidRPr="00EA59C0">
        <w:t xml:space="preserve"> </w:t>
      </w:r>
      <w:r w:rsidRPr="00EA59C0">
        <w:t>conducting</w:t>
      </w:r>
      <w:r w:rsidR="00C026A6" w:rsidRPr="00EA59C0">
        <w:t xml:space="preserve"> </w:t>
      </w:r>
      <w:r w:rsidRPr="00EA59C0">
        <w:t>CTAs</w:t>
      </w:r>
      <w:r w:rsidR="00C026A6" w:rsidRPr="00EA59C0">
        <w:t xml:space="preserve"> </w:t>
      </w:r>
      <w:r w:rsidRPr="00EA59C0">
        <w:t>can</w:t>
      </w:r>
      <w:r w:rsidR="00C026A6" w:rsidRPr="00EA59C0">
        <w:t xml:space="preserve"> </w:t>
      </w:r>
      <w:r w:rsidRPr="00EA59C0">
        <w:t>be</w:t>
      </w:r>
      <w:r w:rsidR="00C026A6" w:rsidRPr="00EA59C0">
        <w:t xml:space="preserve"> </w:t>
      </w:r>
      <w:r w:rsidRPr="00EA59C0">
        <w:t>found</w:t>
      </w:r>
      <w:r w:rsidR="00C026A6" w:rsidRPr="00EA59C0">
        <w:t xml:space="preserve"> </w:t>
      </w:r>
      <w:r w:rsidRPr="00EA59C0">
        <w:t>in</w:t>
      </w:r>
      <w:r w:rsidR="00C026A6" w:rsidRPr="00EA59C0">
        <w:t xml:space="preserve"> </w:t>
      </w:r>
      <w:r w:rsidRPr="00EA59C0">
        <w:t>Appendix</w:t>
      </w:r>
      <w:r w:rsidR="00C026A6" w:rsidRPr="00EA59C0">
        <w:t xml:space="preserve"> </w:t>
      </w:r>
      <w:r w:rsidR="00113E4E" w:rsidRPr="00EA59C0">
        <w:t>E</w:t>
      </w:r>
      <w:r w:rsidRPr="00EA59C0">
        <w:t>.</w:t>
      </w:r>
      <w:r w:rsidR="00C026A6" w:rsidRPr="00EA59C0">
        <w:t xml:space="preserve"> </w:t>
      </w:r>
    </w:p>
    <w:p w:rsidR="00D70882" w:rsidRPr="00EA59C0" w:rsidRDefault="00D70882" w:rsidP="00D03948">
      <w:pPr>
        <w:ind w:left="1080"/>
      </w:pPr>
    </w:p>
    <w:p w:rsidR="00D70882" w:rsidRPr="00EA59C0" w:rsidRDefault="00D70882" w:rsidP="00D03948">
      <w:pPr>
        <w:ind w:left="1080"/>
      </w:pPr>
      <w:r w:rsidRPr="00EA59C0">
        <w:t>Consortium</w:t>
      </w:r>
      <w:r w:rsidR="00C026A6" w:rsidRPr="00EA59C0">
        <w:t xml:space="preserve"> </w:t>
      </w:r>
      <w:r w:rsidRPr="00EA59C0">
        <w:t>applicants</w:t>
      </w:r>
      <w:r w:rsidR="00C026A6" w:rsidRPr="00EA59C0">
        <w:t xml:space="preserve"> </w:t>
      </w:r>
      <w:r w:rsidRPr="00EA59C0">
        <w:t>that</w:t>
      </w:r>
      <w:r w:rsidR="00C026A6" w:rsidRPr="00EA59C0">
        <w:t xml:space="preserve"> </w:t>
      </w:r>
      <w:r w:rsidRPr="00EA59C0">
        <w:t>have</w:t>
      </w:r>
      <w:r w:rsidR="00C026A6" w:rsidRPr="00EA59C0">
        <w:t xml:space="preserve"> </w:t>
      </w:r>
      <w:r w:rsidRPr="00EA59C0">
        <w:t>been</w:t>
      </w:r>
      <w:r w:rsidR="00C026A6" w:rsidRPr="00EA59C0">
        <w:t xml:space="preserve"> </w:t>
      </w:r>
      <w:r w:rsidRPr="00EA59C0">
        <w:t>designated</w:t>
      </w:r>
      <w:r w:rsidR="00C026A6" w:rsidRPr="00EA59C0">
        <w:t xml:space="preserve"> </w:t>
      </w:r>
      <w:r w:rsidR="005E1336" w:rsidRPr="00EA59C0">
        <w:t xml:space="preserve">part of </w:t>
      </w:r>
      <w:r w:rsidRPr="00EA59C0">
        <w:t>a</w:t>
      </w:r>
      <w:r w:rsidR="00C026A6" w:rsidRPr="00EA59C0">
        <w:t xml:space="preserve"> </w:t>
      </w:r>
      <w:r w:rsidRPr="00EA59C0">
        <w:t>“Manufacturing</w:t>
      </w:r>
      <w:r w:rsidR="00C026A6" w:rsidRPr="00EA59C0">
        <w:t xml:space="preserve"> </w:t>
      </w:r>
      <w:r w:rsidRPr="00EA59C0">
        <w:t>Community”</w:t>
      </w:r>
      <w:r w:rsidR="00C026A6" w:rsidRPr="00EA59C0">
        <w:t xml:space="preserve"> </w:t>
      </w:r>
      <w:r w:rsidRPr="00EA59C0">
        <w:t>through</w:t>
      </w:r>
      <w:r w:rsidR="00C026A6" w:rsidRPr="00EA59C0">
        <w:t xml:space="preserve"> </w:t>
      </w:r>
      <w:r w:rsidRPr="00EA59C0">
        <w:t>the</w:t>
      </w:r>
      <w:r w:rsidR="00C026A6" w:rsidRPr="00EA59C0">
        <w:t xml:space="preserve"> </w:t>
      </w:r>
      <w:r w:rsidRPr="00EA59C0">
        <w:t>Investing</w:t>
      </w:r>
      <w:r w:rsidR="00C026A6" w:rsidRPr="00EA59C0">
        <w:t xml:space="preserve"> </w:t>
      </w:r>
      <w:r w:rsidRPr="00EA59C0">
        <w:t>in</w:t>
      </w:r>
      <w:r w:rsidR="00C026A6" w:rsidRPr="00EA59C0">
        <w:t xml:space="preserve"> </w:t>
      </w:r>
      <w:r w:rsidRPr="00EA59C0">
        <w:t>Manufacturing</w:t>
      </w:r>
      <w:r w:rsidR="00C026A6" w:rsidRPr="00EA59C0">
        <w:t xml:space="preserve"> </w:t>
      </w:r>
      <w:r w:rsidRPr="00EA59C0">
        <w:t>Communities</w:t>
      </w:r>
      <w:r w:rsidR="00C026A6" w:rsidRPr="00EA59C0">
        <w:t xml:space="preserve"> </w:t>
      </w:r>
      <w:r w:rsidRPr="00EA59C0">
        <w:t>Partnership</w:t>
      </w:r>
      <w:r w:rsidR="00C026A6" w:rsidRPr="00EA59C0">
        <w:t xml:space="preserve"> </w:t>
      </w:r>
      <w:r w:rsidRPr="00EA59C0">
        <w:t>(IMCP)</w:t>
      </w:r>
      <w:r w:rsidR="00C026A6" w:rsidRPr="00EA59C0">
        <w:t xml:space="preserve"> </w:t>
      </w:r>
      <w:r w:rsidRPr="00EA59C0">
        <w:t>are</w:t>
      </w:r>
      <w:r w:rsidR="00C026A6" w:rsidRPr="00EA59C0">
        <w:t xml:space="preserve"> </w:t>
      </w:r>
      <w:r w:rsidRPr="00EA59C0">
        <w:t>encouraged</w:t>
      </w:r>
      <w:r w:rsidR="00C026A6" w:rsidRPr="00EA59C0">
        <w:t xml:space="preserve"> </w:t>
      </w:r>
      <w:r w:rsidRPr="00EA59C0">
        <w:t>to</w:t>
      </w:r>
      <w:r w:rsidR="00C026A6" w:rsidRPr="00EA59C0">
        <w:t xml:space="preserve"> </w:t>
      </w:r>
      <w:r w:rsidRPr="00EA59C0">
        <w:t>use</w:t>
      </w:r>
      <w:r w:rsidR="00C026A6" w:rsidRPr="00EA59C0">
        <w:t xml:space="preserve"> </w:t>
      </w:r>
      <w:r w:rsidRPr="00EA59C0">
        <w:t>their</w:t>
      </w:r>
      <w:r w:rsidR="00C026A6" w:rsidRPr="00EA59C0">
        <w:t xml:space="preserve"> </w:t>
      </w:r>
      <w:r w:rsidRPr="00EA59C0">
        <w:t>designation</w:t>
      </w:r>
      <w:r w:rsidR="00C026A6" w:rsidRPr="00EA59C0">
        <w:t xml:space="preserve"> </w:t>
      </w:r>
      <w:r w:rsidRPr="00EA59C0">
        <w:t>as</w:t>
      </w:r>
      <w:r w:rsidR="00C026A6" w:rsidRPr="00EA59C0">
        <w:t xml:space="preserve"> </w:t>
      </w:r>
      <w:r w:rsidRPr="00EA59C0">
        <w:t>evidence</w:t>
      </w:r>
      <w:r w:rsidR="00C026A6" w:rsidRPr="00EA59C0">
        <w:t xml:space="preserve"> </w:t>
      </w:r>
      <w:r w:rsidRPr="00EA59C0">
        <w:t>of</w:t>
      </w:r>
      <w:r w:rsidR="00C026A6" w:rsidRPr="00EA59C0">
        <w:t xml:space="preserve"> </w:t>
      </w:r>
      <w:r w:rsidRPr="00EA59C0">
        <w:t>a</w:t>
      </w:r>
      <w:r w:rsidR="00C026A6" w:rsidRPr="00EA59C0">
        <w:t xml:space="preserve"> </w:t>
      </w:r>
      <w:r w:rsidRPr="00EA59C0">
        <w:t>strong</w:t>
      </w:r>
      <w:r w:rsidR="00C026A6" w:rsidRPr="00EA59C0">
        <w:t xml:space="preserve"> </w:t>
      </w:r>
      <w:r w:rsidRPr="00EA59C0">
        <w:t>existing</w:t>
      </w:r>
      <w:r w:rsidR="00C026A6" w:rsidRPr="00EA59C0">
        <w:t xml:space="preserve"> </w:t>
      </w:r>
      <w:r w:rsidRPr="00EA59C0">
        <w:t>sector</w:t>
      </w:r>
      <w:r w:rsidR="00C026A6" w:rsidRPr="00EA59C0">
        <w:t xml:space="preserve"> </w:t>
      </w:r>
      <w:r w:rsidRPr="00EA59C0">
        <w:t>strategy</w:t>
      </w:r>
      <w:r w:rsidR="00C026A6" w:rsidRPr="00EA59C0">
        <w:t xml:space="preserve"> </w:t>
      </w:r>
      <w:r w:rsidRPr="00EA59C0">
        <w:t>in</w:t>
      </w:r>
      <w:r w:rsidR="00C026A6" w:rsidRPr="00EA59C0">
        <w:t xml:space="preserve"> </w:t>
      </w:r>
      <w:r w:rsidRPr="00EA59C0">
        <w:t>place</w:t>
      </w:r>
      <w:r w:rsidR="00C026A6" w:rsidRPr="00EA59C0">
        <w:t xml:space="preserve"> </w:t>
      </w:r>
      <w:r w:rsidRPr="00EA59C0">
        <w:t>for</w:t>
      </w:r>
      <w:r w:rsidR="00C026A6" w:rsidRPr="00EA59C0">
        <w:t xml:space="preserve"> </w:t>
      </w:r>
      <w:r w:rsidRPr="00EA59C0">
        <w:t>manufacturing</w:t>
      </w:r>
      <w:r w:rsidR="00C026A6" w:rsidRPr="00EA59C0">
        <w:t xml:space="preserve"> </w:t>
      </w:r>
      <w:r w:rsidRPr="00EA59C0">
        <w:t>and</w:t>
      </w:r>
      <w:r w:rsidR="00C026A6" w:rsidRPr="00EA59C0">
        <w:t xml:space="preserve"> </w:t>
      </w:r>
      <w:r w:rsidRPr="00EA59C0">
        <w:t>of</w:t>
      </w:r>
      <w:r w:rsidR="00C026A6" w:rsidRPr="00EA59C0">
        <w:t xml:space="preserve"> </w:t>
      </w:r>
      <w:r w:rsidRPr="00EA59C0">
        <w:t>significant</w:t>
      </w:r>
      <w:r w:rsidR="00C026A6" w:rsidRPr="00EA59C0">
        <w:t xml:space="preserve"> </w:t>
      </w:r>
      <w:r w:rsidRPr="00EA59C0">
        <w:t>efforts</w:t>
      </w:r>
      <w:r w:rsidR="00C026A6" w:rsidRPr="00EA59C0">
        <w:t xml:space="preserve"> </w:t>
      </w:r>
      <w:r w:rsidRPr="00EA59C0">
        <w:t>to</w:t>
      </w:r>
      <w:r w:rsidR="00C026A6" w:rsidRPr="00EA59C0">
        <w:t xml:space="preserve"> </w:t>
      </w:r>
      <w:r w:rsidRPr="00EA59C0">
        <w:t>integrate</w:t>
      </w:r>
      <w:r w:rsidR="00C026A6" w:rsidRPr="00EA59C0">
        <w:t xml:space="preserve"> </w:t>
      </w:r>
      <w:r w:rsidRPr="00EA59C0">
        <w:t>their</w:t>
      </w:r>
      <w:r w:rsidR="00C026A6" w:rsidRPr="00EA59C0">
        <w:t xml:space="preserve"> </w:t>
      </w:r>
      <w:r w:rsidRPr="00EA59C0">
        <w:t>sector</w:t>
      </w:r>
      <w:r w:rsidR="00C026A6" w:rsidRPr="00EA59C0">
        <w:t xml:space="preserve"> </w:t>
      </w:r>
      <w:r w:rsidRPr="00EA59C0">
        <w:t>strategy</w:t>
      </w:r>
      <w:r w:rsidR="00C026A6" w:rsidRPr="00EA59C0">
        <w:t xml:space="preserve"> </w:t>
      </w:r>
      <w:r w:rsidRPr="00EA59C0">
        <w:t>across</w:t>
      </w:r>
      <w:r w:rsidR="00C026A6" w:rsidRPr="00EA59C0">
        <w:t xml:space="preserve"> </w:t>
      </w:r>
      <w:r w:rsidRPr="00EA59C0">
        <w:t>key</w:t>
      </w:r>
      <w:r w:rsidR="00C026A6" w:rsidRPr="00EA59C0">
        <w:t xml:space="preserve"> </w:t>
      </w:r>
      <w:r w:rsidRPr="00EA59C0">
        <w:t>regional</w:t>
      </w:r>
      <w:r w:rsidR="00C026A6" w:rsidRPr="00EA59C0">
        <w:t xml:space="preserve"> </w:t>
      </w:r>
      <w:r w:rsidRPr="00EA59C0">
        <w:t>stakeholders,</w:t>
      </w:r>
      <w:r w:rsidR="00C026A6" w:rsidRPr="00EA59C0">
        <w:t xml:space="preserve"> </w:t>
      </w:r>
      <w:r w:rsidRPr="00EA59C0">
        <w:t>including</w:t>
      </w:r>
      <w:r w:rsidR="00C026A6" w:rsidRPr="00EA59C0">
        <w:t xml:space="preserve"> </w:t>
      </w:r>
      <w:r w:rsidRPr="00EA59C0">
        <w:t>employers.</w:t>
      </w:r>
      <w:r w:rsidR="00C026A6" w:rsidRPr="00EA59C0">
        <w:t xml:space="preserve">  </w:t>
      </w:r>
    </w:p>
    <w:p w:rsidR="005549F3" w:rsidRPr="00EA59C0" w:rsidRDefault="005549F3" w:rsidP="00D03948">
      <w:pPr>
        <w:ind w:left="360"/>
      </w:pPr>
    </w:p>
    <w:p w:rsidR="00997A44" w:rsidRPr="00EA59C0" w:rsidRDefault="00997A44" w:rsidP="00D03948">
      <w:pPr>
        <w:ind w:left="360"/>
      </w:pPr>
    </w:p>
    <w:p w:rsidR="00472029" w:rsidRPr="00EA59C0" w:rsidRDefault="00472029" w:rsidP="008826BE">
      <w:pPr>
        <w:pStyle w:val="ListParagraph"/>
        <w:numPr>
          <w:ilvl w:val="1"/>
          <w:numId w:val="17"/>
        </w:numPr>
        <w:spacing w:line="480" w:lineRule="auto"/>
        <w:rPr>
          <w:b/>
        </w:rPr>
      </w:pPr>
      <w:r w:rsidRPr="00EA59C0">
        <w:rPr>
          <w:b/>
        </w:rPr>
        <w:t>Program</w:t>
      </w:r>
      <w:r w:rsidR="00C026A6" w:rsidRPr="00EA59C0">
        <w:rPr>
          <w:b/>
        </w:rPr>
        <w:t xml:space="preserve"> </w:t>
      </w:r>
      <w:r w:rsidRPr="00EA59C0">
        <w:rPr>
          <w:b/>
        </w:rPr>
        <w:t>Strategies</w:t>
      </w:r>
    </w:p>
    <w:p w:rsidR="00E37CEC" w:rsidRPr="00EA59C0" w:rsidRDefault="00D908CE" w:rsidP="00D03948">
      <w:pPr>
        <w:ind w:left="720"/>
      </w:pPr>
      <w:r w:rsidRPr="00EA59C0">
        <w:t>In</w:t>
      </w:r>
      <w:r w:rsidR="00C026A6" w:rsidRPr="00EA59C0">
        <w:t xml:space="preserve"> </w:t>
      </w:r>
      <w:r w:rsidRPr="00EA59C0">
        <w:t>addressing</w:t>
      </w:r>
      <w:r w:rsidR="00C026A6" w:rsidRPr="00EA59C0">
        <w:t xml:space="preserve"> </w:t>
      </w:r>
      <w:r w:rsidRPr="00EA59C0">
        <w:t>the</w:t>
      </w:r>
      <w:r w:rsidR="00C026A6" w:rsidRPr="00EA59C0">
        <w:t xml:space="preserve"> </w:t>
      </w:r>
      <w:r w:rsidR="00B9353B" w:rsidRPr="00EA59C0">
        <w:t>six</w:t>
      </w:r>
      <w:r w:rsidR="00C026A6" w:rsidRPr="00EA59C0">
        <w:t xml:space="preserve"> </w:t>
      </w:r>
      <w:r w:rsidRPr="00EA59C0">
        <w:t>Core</w:t>
      </w:r>
      <w:r w:rsidR="00C026A6" w:rsidRPr="00EA59C0">
        <w:t xml:space="preserve"> </w:t>
      </w:r>
      <w:r w:rsidRPr="00EA59C0">
        <w:t>Elements</w:t>
      </w:r>
      <w:r w:rsidR="00C026A6" w:rsidRPr="00EA59C0">
        <w:t xml:space="preserve"> </w:t>
      </w:r>
      <w:r w:rsidRPr="00EA59C0">
        <w:t>identified</w:t>
      </w:r>
      <w:r w:rsidR="00C026A6" w:rsidRPr="00EA59C0">
        <w:t xml:space="preserve"> </w:t>
      </w:r>
      <w:r w:rsidRPr="00EA59C0">
        <w:t>in</w:t>
      </w:r>
      <w:r w:rsidR="00C026A6" w:rsidRPr="00EA59C0">
        <w:t xml:space="preserve"> </w:t>
      </w:r>
      <w:r w:rsidRPr="00EA59C0">
        <w:t>Section</w:t>
      </w:r>
      <w:r w:rsidR="00C026A6" w:rsidRPr="00EA59C0">
        <w:t xml:space="preserve"> </w:t>
      </w:r>
      <w:r w:rsidRPr="00EA59C0">
        <w:t>I.B,</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encourages</w:t>
      </w:r>
      <w:r w:rsidR="00C026A6" w:rsidRPr="00EA59C0">
        <w:t xml:space="preserve"> </w:t>
      </w:r>
      <w:r w:rsidRPr="00EA59C0">
        <w:t>applicants</w:t>
      </w:r>
      <w:r w:rsidR="00C026A6" w:rsidRPr="00EA59C0">
        <w:t xml:space="preserve"> </w:t>
      </w:r>
      <w:r w:rsidRPr="00EA59C0">
        <w:t>to</w:t>
      </w:r>
      <w:r w:rsidR="00C026A6" w:rsidRPr="00EA59C0">
        <w:t xml:space="preserve"> </w:t>
      </w:r>
      <w:r w:rsidRPr="00EA59C0">
        <w:t>propose</w:t>
      </w:r>
      <w:r w:rsidR="00C026A6" w:rsidRPr="00EA59C0">
        <w:t xml:space="preserve"> </w:t>
      </w:r>
      <w:r w:rsidRPr="00EA59C0">
        <w:t>strategies</w:t>
      </w:r>
      <w:r w:rsidR="00C026A6" w:rsidRPr="00EA59C0">
        <w:t xml:space="preserve"> </w:t>
      </w:r>
      <w:r w:rsidRPr="00EA59C0">
        <w:t>that</w:t>
      </w:r>
      <w:r w:rsidR="00C026A6" w:rsidRPr="00EA59C0">
        <w:t xml:space="preserve"> </w:t>
      </w:r>
      <w:r w:rsidRPr="00EA59C0">
        <w:t>build</w:t>
      </w:r>
      <w:r w:rsidR="00C026A6" w:rsidRPr="00EA59C0">
        <w:t xml:space="preserve"> </w:t>
      </w:r>
      <w:r w:rsidRPr="00EA59C0">
        <w:t>their</w:t>
      </w:r>
      <w:r w:rsidR="00C026A6" w:rsidRPr="00EA59C0">
        <w:t xml:space="preserve"> </w:t>
      </w:r>
      <w:r w:rsidRPr="00EA59C0">
        <w:t>capacity</w:t>
      </w:r>
      <w:r w:rsidR="00C026A6" w:rsidRPr="00EA59C0">
        <w:t xml:space="preserve"> </w:t>
      </w:r>
      <w:r w:rsidRPr="00EA59C0">
        <w:t>to</w:t>
      </w:r>
      <w:r w:rsidR="00C026A6" w:rsidRPr="00EA59C0">
        <w:t xml:space="preserve"> </w:t>
      </w:r>
      <w:r w:rsidRPr="00EA59C0">
        <w:t>offer</w:t>
      </w:r>
      <w:r w:rsidR="00C026A6" w:rsidRPr="00EA59C0">
        <w:t xml:space="preserve"> </w:t>
      </w:r>
      <w:r w:rsidRPr="00EA59C0">
        <w:t>innovative</w:t>
      </w:r>
      <w:r w:rsidR="00C026A6" w:rsidRPr="00EA59C0">
        <w:t xml:space="preserve"> </w:t>
      </w:r>
      <w:r w:rsidRPr="00EA59C0">
        <w:t>educational</w:t>
      </w:r>
      <w:r w:rsidR="00C026A6" w:rsidRPr="00EA59C0">
        <w:t xml:space="preserve"> </w:t>
      </w:r>
      <w:r w:rsidRPr="00EA59C0">
        <w:t>programs</w:t>
      </w:r>
      <w:r w:rsidR="00C026A6" w:rsidRPr="00EA59C0">
        <w:t xml:space="preserve"> </w:t>
      </w:r>
      <w:r w:rsidRPr="00EA59C0">
        <w:t>that</w:t>
      </w:r>
      <w:r w:rsidR="00C026A6" w:rsidRPr="00EA59C0">
        <w:t xml:space="preserve"> </w:t>
      </w:r>
      <w:r w:rsidRPr="00EA59C0">
        <w:t>meet</w:t>
      </w:r>
      <w:r w:rsidR="00C026A6" w:rsidRPr="00EA59C0">
        <w:t xml:space="preserve"> </w:t>
      </w:r>
      <w:r w:rsidRPr="00EA59C0">
        <w:t>the</w:t>
      </w:r>
      <w:r w:rsidR="00C026A6" w:rsidRPr="00EA59C0">
        <w:t xml:space="preserve"> </w:t>
      </w:r>
      <w:r w:rsidRPr="00EA59C0">
        <w:t>needs</w:t>
      </w:r>
      <w:r w:rsidR="00C026A6" w:rsidRPr="00EA59C0">
        <w:t xml:space="preserve"> </w:t>
      </w:r>
      <w:r w:rsidRPr="00EA59C0">
        <w:t>of</w:t>
      </w:r>
      <w:r w:rsidR="00C026A6" w:rsidRPr="00EA59C0">
        <w:t xml:space="preserve"> </w:t>
      </w:r>
      <w:r w:rsidR="003C79B3" w:rsidRPr="00EA59C0">
        <w:t>TAA-eligible</w:t>
      </w:r>
      <w:r w:rsidR="00C026A6" w:rsidRPr="00EA59C0">
        <w:t xml:space="preserve"> </w:t>
      </w:r>
      <w:r w:rsidRPr="00EA59C0">
        <w:t>workers</w:t>
      </w:r>
      <w:r w:rsidR="00C026A6" w:rsidRPr="00EA59C0">
        <w:t xml:space="preserve"> </w:t>
      </w:r>
      <w:r w:rsidR="003C79B3" w:rsidRPr="00EA59C0">
        <w:t>and</w:t>
      </w:r>
      <w:r w:rsidR="00C026A6" w:rsidRPr="00EA59C0">
        <w:t xml:space="preserve"> </w:t>
      </w:r>
      <w:r w:rsidR="003C79B3" w:rsidRPr="00EA59C0">
        <w:t>other</w:t>
      </w:r>
      <w:r w:rsidR="00C026A6" w:rsidRPr="00EA59C0">
        <w:t xml:space="preserve"> </w:t>
      </w:r>
      <w:r w:rsidR="003C79B3" w:rsidRPr="00EA59C0">
        <w:t>adults,</w:t>
      </w:r>
      <w:r w:rsidR="00C026A6" w:rsidRPr="00EA59C0">
        <w:t xml:space="preserve"> </w:t>
      </w:r>
      <w:r w:rsidRPr="00EA59C0">
        <w:t>and</w:t>
      </w:r>
      <w:r w:rsidR="00C026A6" w:rsidRPr="00EA59C0">
        <w:t xml:space="preserve"> </w:t>
      </w:r>
      <w:r w:rsidRPr="00EA59C0">
        <w:t>employers.</w:t>
      </w:r>
      <w:r w:rsidR="00C026A6" w:rsidRPr="00EA59C0">
        <w:t xml:space="preserve">   </w:t>
      </w:r>
    </w:p>
    <w:p w:rsidR="004F0C64" w:rsidRPr="00EA59C0" w:rsidRDefault="004F0C64" w:rsidP="00D03948">
      <w:pPr>
        <w:ind w:left="720"/>
      </w:pPr>
    </w:p>
    <w:p w:rsidR="009B563E" w:rsidRPr="00EA59C0" w:rsidRDefault="00F54F88" w:rsidP="00D03948">
      <w:pPr>
        <w:ind w:left="720"/>
      </w:pPr>
      <w:r w:rsidRPr="00EA59C0">
        <w:t>All</w:t>
      </w:r>
      <w:r w:rsidR="00C026A6" w:rsidRPr="00EA59C0">
        <w:t xml:space="preserve"> </w:t>
      </w:r>
      <w:r w:rsidRPr="00EA59C0">
        <w:t>applicants</w:t>
      </w:r>
      <w:r w:rsidR="00C026A6" w:rsidRPr="00EA59C0">
        <w:t xml:space="preserve"> </w:t>
      </w:r>
      <w:r w:rsidRPr="00EA59C0">
        <w:t>may</w:t>
      </w:r>
      <w:r w:rsidR="00C026A6" w:rsidRPr="00EA59C0">
        <w:t xml:space="preserve"> </w:t>
      </w:r>
      <w:r w:rsidRPr="00EA59C0">
        <w:t>propose</w:t>
      </w:r>
      <w:r w:rsidR="00C026A6" w:rsidRPr="00EA59C0">
        <w:t xml:space="preserve"> </w:t>
      </w:r>
      <w:r w:rsidRPr="00EA59C0">
        <w:t>projects</w:t>
      </w:r>
      <w:r w:rsidR="00C026A6" w:rsidRPr="00EA59C0">
        <w:t xml:space="preserve"> </w:t>
      </w:r>
      <w:r w:rsidRPr="00EA59C0">
        <w:t>and</w:t>
      </w:r>
      <w:r w:rsidR="00C026A6" w:rsidRPr="00EA59C0">
        <w:t xml:space="preserve"> </w:t>
      </w:r>
      <w:r w:rsidRPr="00EA59C0">
        <w:t>programs</w:t>
      </w:r>
      <w:r w:rsidR="00C026A6" w:rsidRPr="00EA59C0">
        <w:t xml:space="preserve"> </w:t>
      </w:r>
      <w:r w:rsidRPr="00EA59C0">
        <w:t>of</w:t>
      </w:r>
      <w:r w:rsidR="00C026A6" w:rsidRPr="00EA59C0">
        <w:t xml:space="preserve"> </w:t>
      </w:r>
      <w:r w:rsidRPr="00EA59C0">
        <w:t>their</w:t>
      </w:r>
      <w:r w:rsidR="00C026A6" w:rsidRPr="00EA59C0">
        <w:t xml:space="preserve"> </w:t>
      </w:r>
      <w:r w:rsidRPr="00EA59C0">
        <w:t>choosing,</w:t>
      </w:r>
      <w:r w:rsidR="00C026A6" w:rsidRPr="00EA59C0">
        <w:t xml:space="preserve"> </w:t>
      </w:r>
      <w:r w:rsidRPr="00EA59C0">
        <w:t>but</w:t>
      </w:r>
      <w:r w:rsidR="00C026A6" w:rsidRPr="00EA59C0">
        <w:t xml:space="preserve"> </w:t>
      </w:r>
      <w:r w:rsidRPr="00EA59C0">
        <w:t>must</w:t>
      </w:r>
      <w:r w:rsidR="00C026A6" w:rsidRPr="00EA59C0">
        <w:t xml:space="preserve"> </w:t>
      </w:r>
      <w:r w:rsidRPr="00EA59C0">
        <w:t>address</w:t>
      </w:r>
      <w:r w:rsidR="00C026A6" w:rsidRPr="00EA59C0">
        <w:t xml:space="preserve"> </w:t>
      </w:r>
      <w:r w:rsidRPr="00EA59C0">
        <w:t>each</w:t>
      </w:r>
      <w:r w:rsidR="00C026A6" w:rsidRPr="00EA59C0">
        <w:t xml:space="preserve"> </w:t>
      </w:r>
      <w:r w:rsidRPr="00EA59C0">
        <w:t>of</w:t>
      </w:r>
      <w:r w:rsidR="00C026A6" w:rsidRPr="00EA59C0">
        <w:t xml:space="preserve"> </w:t>
      </w:r>
      <w:r w:rsidRPr="00EA59C0">
        <w:t>the</w:t>
      </w:r>
      <w:r w:rsidR="00C026A6" w:rsidRPr="00EA59C0">
        <w:t xml:space="preserve"> </w:t>
      </w:r>
      <w:r w:rsidR="003F4FFA" w:rsidRPr="00EA59C0">
        <w:t>six</w:t>
      </w:r>
      <w:r w:rsidR="00C026A6" w:rsidRPr="00EA59C0">
        <w:t xml:space="preserve"> </w:t>
      </w:r>
      <w:r w:rsidRPr="00EA59C0">
        <w:t>Core</w:t>
      </w:r>
      <w:r w:rsidR="00C026A6" w:rsidRPr="00EA59C0">
        <w:t xml:space="preserve"> </w:t>
      </w:r>
      <w:r w:rsidRPr="00EA59C0">
        <w:t>Elements</w:t>
      </w:r>
      <w:r w:rsidR="00C026A6" w:rsidRPr="00EA59C0">
        <w:t xml:space="preserve"> </w:t>
      </w:r>
      <w:r w:rsidRPr="00EA59C0">
        <w:t>described</w:t>
      </w:r>
      <w:r w:rsidR="00C026A6" w:rsidRPr="00EA59C0">
        <w:t xml:space="preserve"> </w:t>
      </w:r>
      <w:r w:rsidRPr="00EA59C0">
        <w:t>in</w:t>
      </w:r>
      <w:r w:rsidR="00C026A6" w:rsidRPr="00EA59C0">
        <w:t xml:space="preserve"> </w:t>
      </w:r>
      <w:r w:rsidRPr="00EA59C0">
        <w:t>Section</w:t>
      </w:r>
      <w:r w:rsidR="00C026A6" w:rsidRPr="00EA59C0">
        <w:t xml:space="preserve"> </w:t>
      </w:r>
      <w:r w:rsidRPr="00EA59C0">
        <w:t>I.B</w:t>
      </w:r>
      <w:r w:rsidR="00C026A6" w:rsidRPr="00EA59C0">
        <w:t xml:space="preserve"> </w:t>
      </w:r>
      <w:r w:rsidRPr="00EA59C0">
        <w:t>of</w:t>
      </w:r>
      <w:r w:rsidR="00C026A6" w:rsidRPr="00EA59C0">
        <w:t xml:space="preserve"> </w:t>
      </w:r>
      <w:r w:rsidRPr="00EA59C0">
        <w:t>this</w:t>
      </w:r>
      <w:r w:rsidR="00C026A6" w:rsidRPr="00EA59C0">
        <w:t xml:space="preserve"> </w:t>
      </w:r>
      <w:r w:rsidRPr="00EA59C0">
        <w:t>SGA</w:t>
      </w:r>
      <w:r w:rsidR="00C026A6" w:rsidRPr="00EA59C0">
        <w:t xml:space="preserve"> </w:t>
      </w:r>
      <w:r w:rsidR="00B43AEE" w:rsidRPr="00EA59C0">
        <w:t>according</w:t>
      </w:r>
      <w:r w:rsidR="00C026A6" w:rsidRPr="00EA59C0">
        <w:t xml:space="preserve"> </w:t>
      </w:r>
      <w:r w:rsidR="00B43AEE" w:rsidRPr="00EA59C0">
        <w:t>to</w:t>
      </w:r>
      <w:r w:rsidR="00C026A6" w:rsidRPr="00EA59C0">
        <w:t xml:space="preserve"> </w:t>
      </w:r>
      <w:r w:rsidR="00B43AEE" w:rsidRPr="00EA59C0">
        <w:t>the</w:t>
      </w:r>
      <w:r w:rsidR="00C026A6" w:rsidRPr="00EA59C0">
        <w:t xml:space="preserve"> </w:t>
      </w:r>
      <w:r w:rsidR="00B43AEE" w:rsidRPr="00EA59C0">
        <w:t>instructions</w:t>
      </w:r>
      <w:r w:rsidR="00C026A6" w:rsidRPr="00EA59C0">
        <w:t xml:space="preserve"> </w:t>
      </w:r>
      <w:r w:rsidR="00B43AEE" w:rsidRPr="00EA59C0">
        <w:t>for</w:t>
      </w:r>
      <w:r w:rsidR="00C026A6" w:rsidRPr="00EA59C0">
        <w:t xml:space="preserve"> </w:t>
      </w:r>
      <w:r w:rsidR="00B43AEE" w:rsidRPr="00EA59C0">
        <w:t>each</w:t>
      </w:r>
      <w:r w:rsidR="00C026A6" w:rsidRPr="00EA59C0">
        <w:t xml:space="preserve"> </w:t>
      </w:r>
      <w:r w:rsidR="00B43AEE" w:rsidRPr="00EA59C0">
        <w:t>applicant</w:t>
      </w:r>
      <w:r w:rsidR="00C026A6" w:rsidRPr="00EA59C0">
        <w:t xml:space="preserve"> </w:t>
      </w:r>
      <w:r w:rsidR="00B43AEE" w:rsidRPr="00EA59C0">
        <w:t>type</w:t>
      </w:r>
      <w:r w:rsidR="00C026A6" w:rsidRPr="00EA59C0">
        <w:t xml:space="preserve"> </w:t>
      </w:r>
      <w:r w:rsidR="00B43AEE" w:rsidRPr="00EA59C0">
        <w:t>below</w:t>
      </w:r>
      <w:r w:rsidRPr="00EA59C0">
        <w:t>.</w:t>
      </w:r>
      <w:r w:rsidR="00C026A6" w:rsidRPr="00EA59C0">
        <w:t xml:space="preserve">  </w:t>
      </w:r>
    </w:p>
    <w:p w:rsidR="00F54F88" w:rsidRPr="00EA59C0" w:rsidRDefault="00F54F88" w:rsidP="00D03948"/>
    <w:p w:rsidR="00D908CE" w:rsidRPr="00EA59C0" w:rsidRDefault="00D908CE" w:rsidP="00D03948">
      <w:pPr>
        <w:pStyle w:val="ListParagraph"/>
        <w:numPr>
          <w:ilvl w:val="2"/>
          <w:numId w:val="17"/>
        </w:numPr>
        <w:tabs>
          <w:tab w:val="left" w:pos="0"/>
        </w:tabs>
        <w:rPr>
          <w:b/>
        </w:rPr>
      </w:pPr>
      <w:r w:rsidRPr="00EA59C0">
        <w:rPr>
          <w:b/>
        </w:rPr>
        <w:t>Single</w:t>
      </w:r>
      <w:r w:rsidR="00C026A6" w:rsidRPr="00EA59C0">
        <w:rPr>
          <w:b/>
        </w:rPr>
        <w:t xml:space="preserve"> </w:t>
      </w:r>
      <w:r w:rsidRPr="00EA59C0">
        <w:rPr>
          <w:b/>
        </w:rPr>
        <w:t>Institution</w:t>
      </w:r>
      <w:r w:rsidR="00C026A6" w:rsidRPr="00EA59C0">
        <w:rPr>
          <w:b/>
        </w:rPr>
        <w:t xml:space="preserve"> </w:t>
      </w:r>
      <w:r w:rsidRPr="00EA59C0">
        <w:rPr>
          <w:b/>
        </w:rPr>
        <w:t>Applicants</w:t>
      </w:r>
      <w:r w:rsidR="00C026A6" w:rsidRPr="00EA59C0">
        <w:rPr>
          <w:b/>
        </w:rPr>
        <w:t xml:space="preserve"> </w:t>
      </w:r>
    </w:p>
    <w:p w:rsidR="00B43AEE" w:rsidRPr="00EA59C0" w:rsidRDefault="005A755F" w:rsidP="00D03948">
      <w:pPr>
        <w:tabs>
          <w:tab w:val="left" w:pos="720"/>
        </w:tabs>
        <w:ind w:left="1080"/>
      </w:pPr>
      <w:r w:rsidRPr="00EA59C0">
        <w:t>The</w:t>
      </w:r>
      <w:r w:rsidR="00C026A6" w:rsidRPr="00EA59C0">
        <w:t xml:space="preserve"> </w:t>
      </w:r>
      <w:r w:rsidR="009B563E" w:rsidRPr="00EA59C0">
        <w:t>scope</w:t>
      </w:r>
      <w:r w:rsidR="00C026A6" w:rsidRPr="00EA59C0">
        <w:t xml:space="preserve"> </w:t>
      </w:r>
      <w:r w:rsidR="009B563E" w:rsidRPr="00EA59C0">
        <w:t>of</w:t>
      </w:r>
      <w:r w:rsidR="00C026A6" w:rsidRPr="00EA59C0">
        <w:t xml:space="preserve"> </w:t>
      </w:r>
      <w:r w:rsidR="009B563E" w:rsidRPr="00EA59C0">
        <w:t>proposals</w:t>
      </w:r>
      <w:r w:rsidR="00C026A6" w:rsidRPr="00EA59C0">
        <w:t xml:space="preserve"> </w:t>
      </w:r>
      <w:r w:rsidR="00B43AEE" w:rsidRPr="00EA59C0">
        <w:t>from</w:t>
      </w:r>
      <w:r w:rsidR="00C026A6" w:rsidRPr="00EA59C0">
        <w:t xml:space="preserve"> </w:t>
      </w:r>
      <w:r w:rsidR="00B43AEE" w:rsidRPr="00EA59C0">
        <w:t>Single</w:t>
      </w:r>
      <w:r w:rsidR="00C026A6" w:rsidRPr="00EA59C0">
        <w:t xml:space="preserve"> </w:t>
      </w:r>
      <w:r w:rsidR="00B43AEE" w:rsidRPr="00EA59C0">
        <w:t>Institution</w:t>
      </w:r>
      <w:r w:rsidR="00C026A6" w:rsidRPr="00EA59C0">
        <w:t xml:space="preserve"> </w:t>
      </w:r>
      <w:r w:rsidR="00B43AEE" w:rsidRPr="00EA59C0">
        <w:t>Applicants</w:t>
      </w:r>
      <w:r w:rsidR="00C026A6" w:rsidRPr="00EA59C0">
        <w:t xml:space="preserve"> </w:t>
      </w:r>
      <w:r w:rsidR="009B563E" w:rsidRPr="00EA59C0">
        <w:t>should</w:t>
      </w:r>
      <w:r w:rsidR="00C026A6" w:rsidRPr="00EA59C0">
        <w:t xml:space="preserve"> </w:t>
      </w:r>
      <w:r w:rsidR="009B563E" w:rsidRPr="00EA59C0">
        <w:t>appropriately</w:t>
      </w:r>
      <w:r w:rsidR="00C026A6" w:rsidRPr="00EA59C0">
        <w:t xml:space="preserve"> </w:t>
      </w:r>
      <w:r w:rsidR="009B563E" w:rsidRPr="00EA59C0">
        <w:t>reflect</w:t>
      </w:r>
      <w:r w:rsidR="00C026A6" w:rsidRPr="00EA59C0">
        <w:t xml:space="preserve"> </w:t>
      </w:r>
      <w:r w:rsidR="009B563E" w:rsidRPr="00EA59C0">
        <w:t>the</w:t>
      </w:r>
      <w:r w:rsidR="00C026A6" w:rsidRPr="00EA59C0">
        <w:t xml:space="preserve"> </w:t>
      </w:r>
      <w:r w:rsidR="009B563E" w:rsidRPr="00EA59C0">
        <w:t>ability</w:t>
      </w:r>
      <w:r w:rsidR="00C026A6" w:rsidRPr="00EA59C0">
        <w:t xml:space="preserve"> </w:t>
      </w:r>
      <w:r w:rsidR="009B563E" w:rsidRPr="00EA59C0">
        <w:t>of</w:t>
      </w:r>
      <w:r w:rsidR="00C026A6" w:rsidRPr="00EA59C0">
        <w:t xml:space="preserve"> </w:t>
      </w:r>
      <w:r w:rsidR="009B563E" w:rsidRPr="00EA59C0">
        <w:t>the</w:t>
      </w:r>
      <w:r w:rsidR="00C026A6" w:rsidRPr="00EA59C0">
        <w:t xml:space="preserve"> </w:t>
      </w:r>
      <w:r w:rsidR="009B563E" w:rsidRPr="00EA59C0">
        <w:t>individual</w:t>
      </w:r>
      <w:r w:rsidR="00C026A6" w:rsidRPr="00EA59C0">
        <w:t xml:space="preserve"> </w:t>
      </w:r>
      <w:r w:rsidR="009B563E" w:rsidRPr="00EA59C0">
        <w:t>institution</w:t>
      </w:r>
      <w:r w:rsidR="00C026A6" w:rsidRPr="00EA59C0">
        <w:t xml:space="preserve"> </w:t>
      </w:r>
      <w:r w:rsidR="009B563E" w:rsidRPr="00EA59C0">
        <w:t>to</w:t>
      </w:r>
      <w:r w:rsidR="00C026A6" w:rsidRPr="00EA59C0">
        <w:t xml:space="preserve"> </w:t>
      </w:r>
      <w:r w:rsidR="009B563E" w:rsidRPr="00EA59C0">
        <w:t>implement</w:t>
      </w:r>
      <w:r w:rsidR="00C026A6" w:rsidRPr="00EA59C0">
        <w:t xml:space="preserve"> </w:t>
      </w:r>
      <w:r w:rsidR="009B563E" w:rsidRPr="00EA59C0">
        <w:t>this</w:t>
      </w:r>
      <w:r w:rsidR="00C026A6" w:rsidRPr="00EA59C0">
        <w:t xml:space="preserve"> </w:t>
      </w:r>
      <w:r w:rsidR="009B563E" w:rsidRPr="00EA59C0">
        <w:t>project</w:t>
      </w:r>
      <w:r w:rsidR="005571B5" w:rsidRPr="00EA59C0">
        <w:t>.</w:t>
      </w:r>
      <w:r w:rsidR="00C026A6" w:rsidRPr="00EA59C0">
        <w:t xml:space="preserve">  </w:t>
      </w:r>
      <w:r w:rsidR="005571B5" w:rsidRPr="00EA59C0">
        <w:t>A</w:t>
      </w:r>
      <w:r w:rsidR="009B563E" w:rsidRPr="00EA59C0">
        <w:t>pplicants</w:t>
      </w:r>
      <w:r w:rsidR="00C026A6" w:rsidRPr="00EA59C0">
        <w:t xml:space="preserve"> </w:t>
      </w:r>
      <w:r w:rsidR="009B563E" w:rsidRPr="00EA59C0">
        <w:t>are</w:t>
      </w:r>
      <w:r w:rsidR="00C026A6" w:rsidRPr="00EA59C0">
        <w:t xml:space="preserve"> </w:t>
      </w:r>
      <w:r w:rsidR="009B563E" w:rsidRPr="00EA59C0">
        <w:t>encouraged</w:t>
      </w:r>
      <w:r w:rsidR="00C026A6" w:rsidRPr="00EA59C0">
        <w:t xml:space="preserve"> </w:t>
      </w:r>
      <w:r w:rsidR="009B563E" w:rsidRPr="00EA59C0">
        <w:t>to</w:t>
      </w:r>
      <w:r w:rsidR="00C026A6" w:rsidRPr="00EA59C0">
        <w:t xml:space="preserve"> </w:t>
      </w:r>
      <w:r w:rsidR="009B563E" w:rsidRPr="00EA59C0">
        <w:t>consider</w:t>
      </w:r>
      <w:r w:rsidR="00C026A6" w:rsidRPr="00EA59C0">
        <w:t xml:space="preserve"> </w:t>
      </w:r>
      <w:r w:rsidR="009B563E" w:rsidRPr="00EA59C0">
        <w:t>appropriate</w:t>
      </w:r>
      <w:r w:rsidR="00C026A6" w:rsidRPr="00EA59C0">
        <w:t xml:space="preserve"> </w:t>
      </w:r>
      <w:r w:rsidR="009B563E" w:rsidRPr="00EA59C0">
        <w:t>and</w:t>
      </w:r>
      <w:r w:rsidR="00C026A6" w:rsidRPr="00EA59C0">
        <w:t xml:space="preserve"> </w:t>
      </w:r>
      <w:r w:rsidR="009B563E" w:rsidRPr="00EA59C0">
        <w:t>necessary</w:t>
      </w:r>
      <w:r w:rsidR="00C026A6" w:rsidRPr="00EA59C0">
        <w:t xml:space="preserve"> </w:t>
      </w:r>
      <w:r w:rsidR="009B563E" w:rsidRPr="00EA59C0">
        <w:t>infrastructure</w:t>
      </w:r>
      <w:r w:rsidR="00C026A6" w:rsidRPr="00EA59C0">
        <w:t xml:space="preserve"> </w:t>
      </w:r>
      <w:r w:rsidR="009B563E" w:rsidRPr="00EA59C0">
        <w:t>and</w:t>
      </w:r>
      <w:r w:rsidR="00C026A6" w:rsidRPr="00EA59C0">
        <w:t xml:space="preserve"> </w:t>
      </w:r>
      <w:r w:rsidR="009B563E" w:rsidRPr="00EA59C0">
        <w:t>equipment</w:t>
      </w:r>
      <w:r w:rsidR="00C026A6" w:rsidRPr="00EA59C0">
        <w:t xml:space="preserve"> </w:t>
      </w:r>
      <w:r w:rsidR="009B563E" w:rsidRPr="00EA59C0">
        <w:t>costs</w:t>
      </w:r>
      <w:r w:rsidR="00C026A6" w:rsidRPr="00EA59C0">
        <w:t xml:space="preserve"> </w:t>
      </w:r>
      <w:r w:rsidR="009B563E" w:rsidRPr="00EA59C0">
        <w:t>that</w:t>
      </w:r>
      <w:r w:rsidR="00C026A6" w:rsidRPr="00EA59C0">
        <w:t xml:space="preserve"> </w:t>
      </w:r>
      <w:r w:rsidR="009B563E" w:rsidRPr="00EA59C0">
        <w:t>will</w:t>
      </w:r>
      <w:r w:rsidR="00C026A6" w:rsidRPr="00EA59C0">
        <w:t xml:space="preserve"> </w:t>
      </w:r>
      <w:r w:rsidR="009B563E" w:rsidRPr="00EA59C0">
        <w:t>enable</w:t>
      </w:r>
      <w:r w:rsidR="00C026A6" w:rsidRPr="00EA59C0">
        <w:t xml:space="preserve"> </w:t>
      </w:r>
      <w:r w:rsidR="009B563E" w:rsidRPr="00EA59C0">
        <w:t>them</w:t>
      </w:r>
      <w:r w:rsidR="00C026A6" w:rsidRPr="00EA59C0">
        <w:t xml:space="preserve"> </w:t>
      </w:r>
      <w:r w:rsidR="009B563E" w:rsidRPr="00EA59C0">
        <w:t>to</w:t>
      </w:r>
      <w:r w:rsidR="00C026A6" w:rsidRPr="00EA59C0">
        <w:t xml:space="preserve"> </w:t>
      </w:r>
      <w:r w:rsidR="009B563E" w:rsidRPr="00EA59C0">
        <w:t>build</w:t>
      </w:r>
      <w:r w:rsidR="00C026A6" w:rsidRPr="00EA59C0">
        <w:t xml:space="preserve"> </w:t>
      </w:r>
      <w:r w:rsidR="009B563E" w:rsidRPr="00EA59C0">
        <w:t>capacity</w:t>
      </w:r>
      <w:r w:rsidR="00C026A6" w:rsidRPr="00EA59C0">
        <w:t xml:space="preserve"> </w:t>
      </w:r>
      <w:r w:rsidR="009B563E" w:rsidRPr="00EA59C0">
        <w:t>and</w:t>
      </w:r>
      <w:r w:rsidR="00C026A6" w:rsidRPr="00EA59C0">
        <w:t xml:space="preserve"> </w:t>
      </w:r>
      <w:r w:rsidR="009B563E" w:rsidRPr="00EA59C0">
        <w:t>successfully</w:t>
      </w:r>
      <w:r w:rsidR="00C026A6" w:rsidRPr="00EA59C0">
        <w:t xml:space="preserve"> </w:t>
      </w:r>
      <w:r w:rsidR="009B563E" w:rsidRPr="00EA59C0">
        <w:t>deliver</w:t>
      </w:r>
      <w:r w:rsidR="00C026A6" w:rsidRPr="00EA59C0">
        <w:t xml:space="preserve"> </w:t>
      </w:r>
      <w:r w:rsidR="009B563E" w:rsidRPr="00EA59C0">
        <w:t>the</w:t>
      </w:r>
      <w:r w:rsidR="00C026A6" w:rsidRPr="00EA59C0">
        <w:t xml:space="preserve"> </w:t>
      </w:r>
      <w:r w:rsidR="009B563E" w:rsidRPr="00EA59C0">
        <w:t>proposed</w:t>
      </w:r>
      <w:r w:rsidR="00C026A6" w:rsidRPr="00EA59C0">
        <w:t xml:space="preserve"> </w:t>
      </w:r>
      <w:r w:rsidR="009B563E" w:rsidRPr="00EA59C0">
        <w:t>programs.</w:t>
      </w:r>
      <w:r w:rsidR="00C026A6" w:rsidRPr="00EA59C0">
        <w:t xml:space="preserve">  </w:t>
      </w:r>
      <w:r w:rsidR="00B43AEE" w:rsidRPr="00EA59C0">
        <w:t>The</w:t>
      </w:r>
      <w:r w:rsidR="00C026A6" w:rsidRPr="00EA59C0">
        <w:t xml:space="preserve"> </w:t>
      </w:r>
      <w:r w:rsidR="00B43AEE" w:rsidRPr="00EA59C0">
        <w:t>Department</w:t>
      </w:r>
      <w:r w:rsidR="00C026A6" w:rsidRPr="00EA59C0">
        <w:t xml:space="preserve"> </w:t>
      </w:r>
      <w:r w:rsidR="00B43AEE" w:rsidRPr="00EA59C0">
        <w:t>encourages</w:t>
      </w:r>
      <w:r w:rsidR="00C026A6" w:rsidRPr="00EA59C0">
        <w:t xml:space="preserve"> </w:t>
      </w:r>
      <w:r w:rsidR="00B43AEE" w:rsidRPr="00EA59C0">
        <w:t>single</w:t>
      </w:r>
      <w:r w:rsidR="00C026A6" w:rsidRPr="00EA59C0">
        <w:t xml:space="preserve"> </w:t>
      </w:r>
      <w:r w:rsidR="00B43AEE" w:rsidRPr="00EA59C0">
        <w:t>institution</w:t>
      </w:r>
      <w:r w:rsidR="00C026A6" w:rsidRPr="00EA59C0">
        <w:t xml:space="preserve"> </w:t>
      </w:r>
      <w:r w:rsidR="00B43AEE" w:rsidRPr="00EA59C0">
        <w:t>applicants</w:t>
      </w:r>
      <w:r w:rsidR="00C026A6" w:rsidRPr="00EA59C0">
        <w:t xml:space="preserve"> </w:t>
      </w:r>
      <w:r w:rsidR="00B43AEE" w:rsidRPr="00EA59C0">
        <w:t>to</w:t>
      </w:r>
      <w:r w:rsidR="00C026A6" w:rsidRPr="00EA59C0">
        <w:t xml:space="preserve"> </w:t>
      </w:r>
      <w:r w:rsidR="00B43AEE" w:rsidRPr="00EA59C0">
        <w:t>focus</w:t>
      </w:r>
      <w:r w:rsidR="00C026A6" w:rsidRPr="00EA59C0">
        <w:t xml:space="preserve"> </w:t>
      </w:r>
      <w:r w:rsidR="00B43AEE" w:rsidRPr="00EA59C0">
        <w:t>their</w:t>
      </w:r>
      <w:r w:rsidR="00C026A6" w:rsidRPr="00EA59C0">
        <w:t xml:space="preserve"> </w:t>
      </w:r>
      <w:r w:rsidR="00B43AEE" w:rsidRPr="00EA59C0">
        <w:t>proposed</w:t>
      </w:r>
      <w:r w:rsidR="00C026A6" w:rsidRPr="00EA59C0">
        <w:t xml:space="preserve"> </w:t>
      </w:r>
      <w:r w:rsidR="00B43AEE" w:rsidRPr="00EA59C0">
        <w:t>project</w:t>
      </w:r>
      <w:r w:rsidR="00C026A6" w:rsidRPr="00EA59C0">
        <w:t xml:space="preserve"> </w:t>
      </w:r>
      <w:r w:rsidR="00B43AEE" w:rsidRPr="00EA59C0">
        <w:t>on</w:t>
      </w:r>
      <w:r w:rsidR="00C026A6" w:rsidRPr="00EA59C0">
        <w:t xml:space="preserve"> </w:t>
      </w:r>
      <w:r w:rsidR="00B43AEE" w:rsidRPr="00EA59C0">
        <w:t>one</w:t>
      </w:r>
      <w:r w:rsidR="00C026A6" w:rsidRPr="00EA59C0">
        <w:t xml:space="preserve"> </w:t>
      </w:r>
      <w:r w:rsidR="00B43AEE" w:rsidRPr="00EA59C0">
        <w:t>specific</w:t>
      </w:r>
      <w:r w:rsidR="00C026A6" w:rsidRPr="00EA59C0">
        <w:t xml:space="preserve"> </w:t>
      </w:r>
      <w:r w:rsidR="00B43AEE" w:rsidRPr="00EA59C0">
        <w:t>project</w:t>
      </w:r>
      <w:r w:rsidR="00C026A6" w:rsidRPr="00EA59C0">
        <w:t xml:space="preserve"> </w:t>
      </w:r>
      <w:r w:rsidR="00B43AEE" w:rsidRPr="00EA59C0">
        <w:t>strategy</w:t>
      </w:r>
      <w:r w:rsidR="00C026A6" w:rsidRPr="00EA59C0">
        <w:t xml:space="preserve"> </w:t>
      </w:r>
      <w:r w:rsidR="00B43AEE" w:rsidRPr="00EA59C0">
        <w:t>that</w:t>
      </w:r>
      <w:r w:rsidR="00C026A6" w:rsidRPr="00EA59C0">
        <w:t xml:space="preserve"> </w:t>
      </w:r>
      <w:r w:rsidR="00B43AEE" w:rsidRPr="00EA59C0">
        <w:t>can</w:t>
      </w:r>
      <w:r w:rsidR="00C026A6" w:rsidRPr="00EA59C0">
        <w:t xml:space="preserve"> </w:t>
      </w:r>
      <w:r w:rsidR="00B43AEE" w:rsidRPr="00EA59C0">
        <w:t>be</w:t>
      </w:r>
      <w:r w:rsidR="00C026A6" w:rsidRPr="00EA59C0">
        <w:t xml:space="preserve"> </w:t>
      </w:r>
      <w:r w:rsidR="00B43AEE" w:rsidRPr="00EA59C0">
        <w:t>fully</w:t>
      </w:r>
      <w:r w:rsidR="00C026A6" w:rsidRPr="00EA59C0">
        <w:t xml:space="preserve"> </w:t>
      </w:r>
      <w:r w:rsidR="00B43AEE" w:rsidRPr="00EA59C0">
        <w:t>implemented</w:t>
      </w:r>
      <w:r w:rsidR="00C026A6" w:rsidRPr="00EA59C0">
        <w:t xml:space="preserve"> </w:t>
      </w:r>
      <w:r w:rsidR="00B43AEE" w:rsidRPr="00EA59C0">
        <w:t>within</w:t>
      </w:r>
      <w:r w:rsidR="00C026A6" w:rsidRPr="00EA59C0">
        <w:t xml:space="preserve"> </w:t>
      </w:r>
      <w:r w:rsidR="00B43AEE" w:rsidRPr="00EA59C0">
        <w:t>the</w:t>
      </w:r>
      <w:r w:rsidR="00C026A6" w:rsidRPr="00EA59C0">
        <w:t xml:space="preserve"> </w:t>
      </w:r>
      <w:r w:rsidR="00B43AEE" w:rsidRPr="00EA59C0">
        <w:t>grant</w:t>
      </w:r>
      <w:r w:rsidR="00C026A6" w:rsidRPr="00EA59C0">
        <w:t xml:space="preserve"> </w:t>
      </w:r>
      <w:r w:rsidR="00B43AEE" w:rsidRPr="00EA59C0">
        <w:t>period</w:t>
      </w:r>
      <w:r w:rsidR="00C026A6" w:rsidRPr="00EA59C0">
        <w:t xml:space="preserve"> </w:t>
      </w:r>
      <w:r w:rsidR="00B43AEE" w:rsidRPr="00EA59C0">
        <w:t>with</w:t>
      </w:r>
      <w:r w:rsidR="00C026A6" w:rsidRPr="00EA59C0">
        <w:t xml:space="preserve"> </w:t>
      </w:r>
      <w:r w:rsidR="00B43AEE" w:rsidRPr="00EA59C0">
        <w:t>a</w:t>
      </w:r>
      <w:r w:rsidR="00C026A6" w:rsidRPr="00EA59C0">
        <w:t xml:space="preserve"> </w:t>
      </w:r>
      <w:r w:rsidR="00B43AEE" w:rsidRPr="00EA59C0">
        <w:t>scope</w:t>
      </w:r>
      <w:r w:rsidR="00C026A6" w:rsidRPr="00EA59C0">
        <w:t xml:space="preserve"> </w:t>
      </w:r>
      <w:r w:rsidR="00B43AEE" w:rsidRPr="00EA59C0">
        <w:t>that</w:t>
      </w:r>
      <w:r w:rsidR="00C026A6" w:rsidRPr="00EA59C0">
        <w:t xml:space="preserve"> </w:t>
      </w:r>
      <w:r w:rsidR="00B43AEE" w:rsidRPr="00EA59C0">
        <w:t>appropriately</w:t>
      </w:r>
      <w:r w:rsidR="00C026A6" w:rsidRPr="00EA59C0">
        <w:t xml:space="preserve"> </w:t>
      </w:r>
      <w:r w:rsidR="00B43AEE" w:rsidRPr="00EA59C0">
        <w:t>reflects</w:t>
      </w:r>
      <w:r w:rsidR="00C026A6" w:rsidRPr="00EA59C0">
        <w:t xml:space="preserve"> </w:t>
      </w:r>
      <w:r w:rsidR="00B43AEE" w:rsidRPr="00EA59C0">
        <w:t>the</w:t>
      </w:r>
      <w:r w:rsidR="00C026A6" w:rsidRPr="00EA59C0">
        <w:t xml:space="preserve"> </w:t>
      </w:r>
      <w:r w:rsidR="00B43AEE" w:rsidRPr="00EA59C0">
        <w:t>size</w:t>
      </w:r>
      <w:r w:rsidR="00C026A6" w:rsidRPr="00EA59C0">
        <w:t xml:space="preserve"> </w:t>
      </w:r>
      <w:r w:rsidR="00B43AEE" w:rsidRPr="00EA59C0">
        <w:t>of</w:t>
      </w:r>
      <w:r w:rsidR="00C026A6" w:rsidRPr="00EA59C0">
        <w:t xml:space="preserve"> </w:t>
      </w:r>
      <w:r w:rsidR="00B43AEE" w:rsidRPr="00EA59C0">
        <w:t>the</w:t>
      </w:r>
      <w:r w:rsidR="00C026A6" w:rsidRPr="00EA59C0">
        <w:t xml:space="preserve"> </w:t>
      </w:r>
      <w:r w:rsidR="00B43AEE" w:rsidRPr="00EA59C0">
        <w:t>requested</w:t>
      </w:r>
      <w:r w:rsidR="00C026A6" w:rsidRPr="00EA59C0">
        <w:t xml:space="preserve"> </w:t>
      </w:r>
      <w:r w:rsidR="00B43AEE" w:rsidRPr="00EA59C0">
        <w:t>funding</w:t>
      </w:r>
      <w:r w:rsidR="00C026A6" w:rsidRPr="00EA59C0">
        <w:t xml:space="preserve"> </w:t>
      </w:r>
      <w:r w:rsidR="00B43AEE" w:rsidRPr="00EA59C0">
        <w:t>amount,</w:t>
      </w:r>
      <w:r w:rsidR="00C026A6" w:rsidRPr="00EA59C0">
        <w:t xml:space="preserve"> </w:t>
      </w:r>
      <w:r w:rsidR="00B43AEE" w:rsidRPr="00EA59C0">
        <w:t>as</w:t>
      </w:r>
      <w:r w:rsidR="00C026A6" w:rsidRPr="00EA59C0">
        <w:t xml:space="preserve"> </w:t>
      </w:r>
      <w:r w:rsidR="00B43AEE" w:rsidRPr="00EA59C0">
        <w:t>opposed</w:t>
      </w:r>
      <w:r w:rsidR="00C026A6" w:rsidRPr="00EA59C0">
        <w:t xml:space="preserve"> </w:t>
      </w:r>
      <w:r w:rsidR="00B43AEE" w:rsidRPr="00EA59C0">
        <w:t>to</w:t>
      </w:r>
      <w:r w:rsidR="00C026A6" w:rsidRPr="00EA59C0">
        <w:t xml:space="preserve"> </w:t>
      </w:r>
      <w:r w:rsidR="00B43AEE" w:rsidRPr="00EA59C0">
        <w:t>implementing</w:t>
      </w:r>
      <w:r w:rsidR="00C026A6" w:rsidRPr="00EA59C0">
        <w:t xml:space="preserve"> </w:t>
      </w:r>
      <w:r w:rsidR="00B43AEE" w:rsidRPr="00EA59C0">
        <w:t>a</w:t>
      </w:r>
      <w:r w:rsidR="00C026A6" w:rsidRPr="00EA59C0">
        <w:t xml:space="preserve"> </w:t>
      </w:r>
      <w:r w:rsidR="00B43AEE" w:rsidRPr="00EA59C0">
        <w:t>series</w:t>
      </w:r>
      <w:r w:rsidR="00C026A6" w:rsidRPr="00EA59C0">
        <w:t xml:space="preserve"> </w:t>
      </w:r>
      <w:r w:rsidR="00B43AEE" w:rsidRPr="00EA59C0">
        <w:t>of</w:t>
      </w:r>
      <w:r w:rsidR="00C026A6" w:rsidRPr="00EA59C0">
        <w:t xml:space="preserve"> </w:t>
      </w:r>
      <w:r w:rsidR="00B43AEE" w:rsidRPr="00EA59C0">
        <w:t>complex</w:t>
      </w:r>
      <w:r w:rsidR="00C026A6" w:rsidRPr="00EA59C0">
        <w:t xml:space="preserve"> </w:t>
      </w:r>
      <w:r w:rsidR="00B43AEE" w:rsidRPr="00EA59C0">
        <w:t>strategies</w:t>
      </w:r>
      <w:r w:rsidR="00C026A6" w:rsidRPr="00EA59C0">
        <w:t xml:space="preserve"> </w:t>
      </w:r>
      <w:r w:rsidR="00B43AEE" w:rsidRPr="00EA59C0">
        <w:t>that</w:t>
      </w:r>
      <w:r w:rsidR="00C026A6" w:rsidRPr="00EA59C0">
        <w:t xml:space="preserve"> </w:t>
      </w:r>
      <w:r w:rsidR="00B43AEE" w:rsidRPr="00EA59C0">
        <w:t>may</w:t>
      </w:r>
      <w:r w:rsidR="00C026A6" w:rsidRPr="00EA59C0">
        <w:t xml:space="preserve"> </w:t>
      </w:r>
      <w:r w:rsidR="00B43AEE" w:rsidRPr="00EA59C0">
        <w:t>be</w:t>
      </w:r>
      <w:r w:rsidR="00C026A6" w:rsidRPr="00EA59C0">
        <w:t xml:space="preserve"> </w:t>
      </w:r>
      <w:r w:rsidR="00B43AEE" w:rsidRPr="00EA59C0">
        <w:t>challenging</w:t>
      </w:r>
      <w:r w:rsidR="00C026A6" w:rsidRPr="00EA59C0">
        <w:t xml:space="preserve"> </w:t>
      </w:r>
      <w:r w:rsidR="00B43AEE" w:rsidRPr="00EA59C0">
        <w:t>to</w:t>
      </w:r>
      <w:r w:rsidR="00C026A6" w:rsidRPr="00EA59C0">
        <w:t xml:space="preserve"> </w:t>
      </w:r>
      <w:r w:rsidR="00B43AEE" w:rsidRPr="00EA59C0">
        <w:t>complete</w:t>
      </w:r>
      <w:r w:rsidR="00C026A6" w:rsidRPr="00EA59C0">
        <w:t xml:space="preserve"> </w:t>
      </w:r>
      <w:r w:rsidR="00B43AEE" w:rsidRPr="00EA59C0">
        <w:t>within</w:t>
      </w:r>
      <w:r w:rsidR="00C026A6" w:rsidRPr="00EA59C0">
        <w:t xml:space="preserve"> </w:t>
      </w:r>
      <w:r w:rsidR="00B43AEE" w:rsidRPr="00EA59C0">
        <w:t>the</w:t>
      </w:r>
      <w:r w:rsidR="00C026A6" w:rsidRPr="00EA59C0">
        <w:t xml:space="preserve"> </w:t>
      </w:r>
      <w:r w:rsidR="00B43AEE" w:rsidRPr="00EA59C0">
        <w:t>grant</w:t>
      </w:r>
      <w:r w:rsidR="00C026A6" w:rsidRPr="00EA59C0">
        <w:t xml:space="preserve"> </w:t>
      </w:r>
      <w:r w:rsidR="00B43AEE" w:rsidRPr="00EA59C0">
        <w:t>period.</w:t>
      </w:r>
    </w:p>
    <w:p w:rsidR="00D908CE" w:rsidRPr="00EA59C0" w:rsidRDefault="00D908CE" w:rsidP="00D03948">
      <w:pPr>
        <w:tabs>
          <w:tab w:val="left" w:pos="720"/>
        </w:tabs>
      </w:pPr>
    </w:p>
    <w:p w:rsidR="00D908CE" w:rsidRPr="00EA59C0" w:rsidRDefault="00D908CE" w:rsidP="00D03948">
      <w:pPr>
        <w:pStyle w:val="ListParagraph"/>
        <w:numPr>
          <w:ilvl w:val="2"/>
          <w:numId w:val="17"/>
        </w:numPr>
        <w:tabs>
          <w:tab w:val="left" w:pos="0"/>
        </w:tabs>
        <w:rPr>
          <w:b/>
        </w:rPr>
      </w:pPr>
      <w:r w:rsidRPr="00EA59C0">
        <w:rPr>
          <w:b/>
        </w:rPr>
        <w:t>Consortium</w:t>
      </w:r>
      <w:r w:rsidR="00C026A6" w:rsidRPr="00EA59C0">
        <w:rPr>
          <w:b/>
        </w:rPr>
        <w:t xml:space="preserve"> </w:t>
      </w:r>
      <w:r w:rsidRPr="00EA59C0">
        <w:rPr>
          <w:b/>
        </w:rPr>
        <w:t>Applicants</w:t>
      </w:r>
      <w:r w:rsidR="00C026A6" w:rsidRPr="00EA59C0">
        <w:rPr>
          <w:b/>
        </w:rPr>
        <w:t xml:space="preserve"> </w:t>
      </w:r>
      <w:r w:rsidRPr="00EA59C0">
        <w:rPr>
          <w:b/>
        </w:rPr>
        <w:t>(Single-State</w:t>
      </w:r>
      <w:r w:rsidR="00C026A6" w:rsidRPr="00EA59C0">
        <w:rPr>
          <w:b/>
        </w:rPr>
        <w:t xml:space="preserve"> </w:t>
      </w:r>
      <w:r w:rsidRPr="00EA59C0">
        <w:rPr>
          <w:b/>
        </w:rPr>
        <w:t>Consortium</w:t>
      </w:r>
      <w:r w:rsidR="00C026A6" w:rsidRPr="00EA59C0">
        <w:rPr>
          <w:b/>
        </w:rPr>
        <w:t xml:space="preserve"> </w:t>
      </w:r>
      <w:r w:rsidRPr="00EA59C0">
        <w:rPr>
          <w:b/>
        </w:rPr>
        <w:t>and</w:t>
      </w:r>
      <w:r w:rsidR="00C026A6" w:rsidRPr="00EA59C0">
        <w:rPr>
          <w:b/>
        </w:rPr>
        <w:t xml:space="preserve"> </w:t>
      </w:r>
      <w:r w:rsidRPr="00EA59C0">
        <w:rPr>
          <w:b/>
        </w:rPr>
        <w:t>Multi-State</w:t>
      </w:r>
      <w:r w:rsidR="00C026A6" w:rsidRPr="00EA59C0">
        <w:rPr>
          <w:b/>
        </w:rPr>
        <w:t xml:space="preserve"> </w:t>
      </w:r>
      <w:r w:rsidRPr="00EA59C0">
        <w:rPr>
          <w:b/>
        </w:rPr>
        <w:t>Consortium</w:t>
      </w:r>
      <w:r w:rsidR="00C026A6" w:rsidRPr="00EA59C0">
        <w:rPr>
          <w:b/>
        </w:rPr>
        <w:t xml:space="preserve"> </w:t>
      </w:r>
      <w:r w:rsidRPr="00EA59C0">
        <w:rPr>
          <w:b/>
        </w:rPr>
        <w:t>Applicants)</w:t>
      </w:r>
    </w:p>
    <w:p w:rsidR="003F4FFA" w:rsidRPr="00EA59C0" w:rsidRDefault="00707815" w:rsidP="00D03948">
      <w:pPr>
        <w:tabs>
          <w:tab w:val="left" w:pos="720"/>
        </w:tabs>
        <w:ind w:left="1080"/>
      </w:pPr>
      <w:r w:rsidRPr="00EA59C0">
        <w:t>The</w:t>
      </w:r>
      <w:r w:rsidR="00C026A6" w:rsidRPr="00EA59C0">
        <w:t xml:space="preserve"> </w:t>
      </w:r>
      <w:r w:rsidRPr="00EA59C0">
        <w:t>Department</w:t>
      </w:r>
      <w:r w:rsidR="00C026A6" w:rsidRPr="00EA59C0">
        <w:t xml:space="preserve"> </w:t>
      </w:r>
      <w:r w:rsidRPr="00EA59C0">
        <w:t>encourages</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to</w:t>
      </w:r>
      <w:r w:rsidR="00C026A6" w:rsidRPr="00EA59C0">
        <w:t xml:space="preserve"> </w:t>
      </w:r>
      <w:r w:rsidRPr="00EA59C0">
        <w:t>consider</w:t>
      </w:r>
      <w:r w:rsidR="00C026A6" w:rsidRPr="00EA59C0">
        <w:t xml:space="preserve"> </w:t>
      </w:r>
      <w:r w:rsidRPr="00EA59C0">
        <w:t>systematic</w:t>
      </w:r>
      <w:r w:rsidR="00C026A6" w:rsidRPr="00EA59C0">
        <w:t xml:space="preserve"> </w:t>
      </w:r>
      <w:r w:rsidRPr="00EA59C0">
        <w:t>changes</w:t>
      </w:r>
      <w:r w:rsidR="00C026A6" w:rsidRPr="00EA59C0">
        <w:t xml:space="preserve"> </w:t>
      </w:r>
      <w:r w:rsidRPr="00EA59C0">
        <w:t>in</w:t>
      </w:r>
      <w:r w:rsidR="00C026A6" w:rsidRPr="00EA59C0">
        <w:t xml:space="preserve"> </w:t>
      </w:r>
      <w:r w:rsidRPr="00EA59C0">
        <w:t>education</w:t>
      </w:r>
      <w:r w:rsidR="00C026A6" w:rsidRPr="00EA59C0">
        <w:t xml:space="preserve"> </w:t>
      </w:r>
      <w:r w:rsidRPr="00EA59C0">
        <w:t>and</w:t>
      </w:r>
      <w:r w:rsidR="00C026A6" w:rsidRPr="00EA59C0">
        <w:t xml:space="preserve"> </w:t>
      </w:r>
      <w:r w:rsidRPr="00EA59C0">
        <w:t>workforce</w:t>
      </w:r>
      <w:r w:rsidR="00C026A6" w:rsidRPr="00EA59C0">
        <w:t xml:space="preserve"> </w:t>
      </w:r>
      <w:r w:rsidRPr="00EA59C0">
        <w:t>development</w:t>
      </w:r>
      <w:r w:rsidR="00C026A6" w:rsidRPr="00EA59C0">
        <w:t xml:space="preserve"> </w:t>
      </w:r>
      <w:r w:rsidR="00645FD7" w:rsidRPr="00EA59C0">
        <w:t xml:space="preserve">that </w:t>
      </w:r>
      <w:r w:rsidRPr="00EA59C0">
        <w:t>can</w:t>
      </w:r>
      <w:r w:rsidR="00C026A6" w:rsidRPr="00EA59C0">
        <w:t xml:space="preserve"> </w:t>
      </w:r>
      <w:r w:rsidRPr="00EA59C0">
        <w:t>be</w:t>
      </w:r>
      <w:r w:rsidR="00C026A6" w:rsidRPr="00EA59C0">
        <w:t xml:space="preserve"> </w:t>
      </w:r>
      <w:r w:rsidRPr="00EA59C0">
        <w:t>instituted</w:t>
      </w:r>
      <w:r w:rsidR="00C026A6" w:rsidRPr="00EA59C0">
        <w:t xml:space="preserve"> </w:t>
      </w:r>
      <w:r w:rsidRPr="00EA59C0">
        <w:t>as</w:t>
      </w:r>
      <w:r w:rsidR="00C026A6" w:rsidRPr="00EA59C0">
        <w:t xml:space="preserve"> </w:t>
      </w:r>
      <w:r w:rsidRPr="00EA59C0">
        <w:t>a</w:t>
      </w:r>
      <w:r w:rsidR="00C026A6" w:rsidRPr="00EA59C0">
        <w:t xml:space="preserve"> </w:t>
      </w:r>
      <w:r w:rsidRPr="00EA59C0">
        <w:t>result</w:t>
      </w:r>
      <w:r w:rsidR="00C026A6" w:rsidRPr="00EA59C0">
        <w:t xml:space="preserve"> </w:t>
      </w:r>
      <w:r w:rsidRPr="00EA59C0">
        <w:t>of</w:t>
      </w:r>
      <w:r w:rsidR="00C026A6" w:rsidRPr="00EA59C0">
        <w:t xml:space="preserve"> </w:t>
      </w:r>
      <w:r w:rsidRPr="00EA59C0">
        <w:t>the</w:t>
      </w:r>
      <w:r w:rsidR="00C026A6" w:rsidRPr="00EA59C0">
        <w:t xml:space="preserve"> </w:t>
      </w:r>
      <w:r w:rsidRPr="00EA59C0">
        <w:t>TAACCCT</w:t>
      </w:r>
      <w:r w:rsidR="00C026A6" w:rsidRPr="00EA59C0">
        <w:t xml:space="preserve"> </w:t>
      </w:r>
      <w:r w:rsidRPr="00EA59C0">
        <w:t>grant</w:t>
      </w:r>
      <w:r w:rsidR="00C026A6" w:rsidRPr="00EA59C0">
        <w:t xml:space="preserve"> </w:t>
      </w:r>
      <w:r w:rsidRPr="00EA59C0">
        <w:t>programs.</w:t>
      </w:r>
    </w:p>
    <w:p w:rsidR="00042754" w:rsidRPr="00EA59C0" w:rsidRDefault="00042754" w:rsidP="00D03948">
      <w:pPr>
        <w:tabs>
          <w:tab w:val="left" w:pos="720"/>
        </w:tabs>
        <w:ind w:left="1080"/>
      </w:pPr>
    </w:p>
    <w:p w:rsidR="00042754" w:rsidRPr="00EA59C0" w:rsidRDefault="00042754" w:rsidP="00D03948">
      <w:pPr>
        <w:tabs>
          <w:tab w:val="left" w:pos="720"/>
        </w:tabs>
        <w:ind w:left="1080"/>
      </w:pPr>
    </w:p>
    <w:p w:rsidR="00144DF0" w:rsidRPr="00EA59C0" w:rsidRDefault="00685F18" w:rsidP="008826BE">
      <w:pPr>
        <w:pStyle w:val="ListParagraph"/>
        <w:numPr>
          <w:ilvl w:val="1"/>
          <w:numId w:val="17"/>
        </w:numPr>
        <w:spacing w:line="480" w:lineRule="auto"/>
        <w:rPr>
          <w:b/>
        </w:rPr>
      </w:pPr>
      <w:r w:rsidRPr="00EA59C0">
        <w:rPr>
          <w:b/>
        </w:rPr>
        <w:t>Program</w:t>
      </w:r>
      <w:r w:rsidR="00C026A6" w:rsidRPr="00EA59C0">
        <w:rPr>
          <w:b/>
        </w:rPr>
        <w:t xml:space="preserve"> </w:t>
      </w:r>
      <w:r w:rsidRPr="00EA59C0">
        <w:rPr>
          <w:b/>
        </w:rPr>
        <w:t>Authority</w:t>
      </w:r>
    </w:p>
    <w:p w:rsidR="00851FD7" w:rsidRPr="00EA59C0" w:rsidRDefault="0074754D" w:rsidP="006A5D88">
      <w:pPr>
        <w:tabs>
          <w:tab w:val="left" w:pos="720"/>
        </w:tabs>
        <w:ind w:left="720"/>
      </w:pPr>
      <w:bookmarkStart w:id="5" w:name="_Toc207778202"/>
      <w:bookmarkStart w:id="6" w:name="_Toc208654602"/>
      <w:bookmarkStart w:id="7" w:name="_Toc228885476"/>
      <w:bookmarkStart w:id="8" w:name="_Toc229889134"/>
      <w:r w:rsidRPr="00EA59C0">
        <w:t>The</w:t>
      </w:r>
      <w:r w:rsidR="00C026A6" w:rsidRPr="00EA59C0">
        <w:t xml:space="preserve"> </w:t>
      </w:r>
      <w:r w:rsidRPr="00EA59C0">
        <w:t>authority</w:t>
      </w:r>
      <w:r w:rsidR="00C026A6" w:rsidRPr="00EA59C0">
        <w:t xml:space="preserve"> </w:t>
      </w:r>
      <w:r w:rsidRPr="00EA59C0">
        <w:t>for</w:t>
      </w:r>
      <w:r w:rsidR="00C026A6" w:rsidRPr="00EA59C0">
        <w:t xml:space="preserve"> </w:t>
      </w:r>
      <w:r w:rsidRPr="00EA59C0">
        <w:t>the</w:t>
      </w:r>
      <w:r w:rsidR="00C026A6" w:rsidRPr="00EA59C0">
        <w:t xml:space="preserve"> </w:t>
      </w:r>
      <w:r w:rsidRPr="00EA59C0">
        <w:t>TAACCCT</w:t>
      </w:r>
      <w:r w:rsidR="00C026A6" w:rsidRPr="00EA59C0">
        <w:t xml:space="preserve"> </w:t>
      </w:r>
      <w:r w:rsidRPr="00EA59C0">
        <w:t>program</w:t>
      </w:r>
      <w:r w:rsidR="00C026A6" w:rsidRPr="00EA59C0">
        <w:t xml:space="preserve"> </w:t>
      </w:r>
      <w:r w:rsidRPr="00EA59C0">
        <w:t>is</w:t>
      </w:r>
      <w:r w:rsidR="00C026A6" w:rsidRPr="00EA59C0">
        <w:t xml:space="preserve"> </w:t>
      </w:r>
      <w:r w:rsidRPr="00EA59C0">
        <w:t>found</w:t>
      </w:r>
      <w:r w:rsidR="00C026A6" w:rsidRPr="00EA59C0">
        <w:t xml:space="preserve"> </w:t>
      </w:r>
      <w:r w:rsidRPr="00EA59C0">
        <w:t>in</w:t>
      </w:r>
      <w:r w:rsidR="00C026A6" w:rsidRPr="00EA59C0">
        <w:t xml:space="preserve"> </w:t>
      </w:r>
      <w:r w:rsidRPr="00EA59C0">
        <w:t>sections</w:t>
      </w:r>
      <w:r w:rsidR="00C026A6" w:rsidRPr="00EA59C0">
        <w:t xml:space="preserve"> </w:t>
      </w:r>
      <w:r w:rsidRPr="00EA59C0">
        <w:t>271</w:t>
      </w:r>
      <w:r w:rsidR="00C026A6" w:rsidRPr="00EA59C0">
        <w:t xml:space="preserve"> </w:t>
      </w:r>
      <w:r w:rsidRPr="00EA59C0">
        <w:t>and</w:t>
      </w:r>
      <w:r w:rsidR="00C026A6" w:rsidRPr="00EA59C0">
        <w:t xml:space="preserve"> </w:t>
      </w:r>
      <w:r w:rsidRPr="00EA59C0">
        <w:t>272</w:t>
      </w:r>
      <w:r w:rsidR="00C026A6" w:rsidRPr="00EA59C0">
        <w:t xml:space="preserve"> </w:t>
      </w:r>
      <w:r w:rsidRPr="00EA59C0">
        <w:t>of</w:t>
      </w:r>
      <w:r w:rsidR="00C026A6" w:rsidRPr="00EA59C0">
        <w:t xml:space="preserve"> </w:t>
      </w:r>
      <w:r w:rsidRPr="00EA59C0">
        <w:t>the</w:t>
      </w:r>
      <w:r w:rsidR="00C026A6" w:rsidRPr="00EA59C0">
        <w:t xml:space="preserve"> </w:t>
      </w:r>
      <w:r w:rsidRPr="00EA59C0">
        <w:t>Trade</w:t>
      </w:r>
      <w:r w:rsidR="00C026A6" w:rsidRPr="00EA59C0">
        <w:t xml:space="preserve"> </w:t>
      </w:r>
      <w:r w:rsidRPr="00EA59C0">
        <w:t>Act</w:t>
      </w:r>
      <w:r w:rsidR="00C026A6" w:rsidRPr="00EA59C0">
        <w:t xml:space="preserve"> </w:t>
      </w:r>
      <w:r w:rsidRPr="00EA59C0">
        <w:t>of</w:t>
      </w:r>
      <w:r w:rsidR="00C026A6" w:rsidRPr="00EA59C0">
        <w:t xml:space="preserve"> </w:t>
      </w:r>
      <w:r w:rsidRPr="00EA59C0">
        <w:t>1974</w:t>
      </w:r>
      <w:r w:rsidR="00C026A6" w:rsidRPr="00EA59C0">
        <w:t xml:space="preserve"> </w:t>
      </w:r>
      <w:r w:rsidRPr="00EA59C0">
        <w:t>(19</w:t>
      </w:r>
      <w:r w:rsidR="00C026A6" w:rsidRPr="00EA59C0">
        <w:t xml:space="preserve"> </w:t>
      </w:r>
      <w:r w:rsidRPr="00EA59C0">
        <w:t>USC</w:t>
      </w:r>
      <w:r w:rsidR="00C026A6" w:rsidRPr="00EA59C0">
        <w:t xml:space="preserve"> </w:t>
      </w:r>
      <w:r w:rsidRPr="00EA59C0">
        <w:t>2371</w:t>
      </w:r>
      <w:r w:rsidR="00C026A6" w:rsidRPr="00EA59C0">
        <w:t xml:space="preserve"> </w:t>
      </w:r>
      <w:r w:rsidRPr="00EA59C0">
        <w:t>and</w:t>
      </w:r>
      <w:r w:rsidR="00C026A6" w:rsidRPr="00EA59C0">
        <w:t xml:space="preserve"> </w:t>
      </w:r>
      <w:r w:rsidRPr="00EA59C0">
        <w:t>2372).</w:t>
      </w:r>
      <w:r w:rsidR="00C026A6" w:rsidRPr="00EA59C0">
        <w:t xml:space="preserve">  </w:t>
      </w:r>
      <w:r w:rsidRPr="00EA59C0">
        <w:t>The</w:t>
      </w:r>
      <w:r w:rsidR="00C026A6" w:rsidRPr="00EA59C0">
        <w:t xml:space="preserve"> </w:t>
      </w:r>
      <w:r w:rsidRPr="00EA59C0">
        <w:t>Health</w:t>
      </w:r>
      <w:r w:rsidR="00C026A6" w:rsidRPr="00EA59C0">
        <w:t xml:space="preserve"> </w:t>
      </w:r>
      <w:r w:rsidRPr="00EA59C0">
        <w:t>Care</w:t>
      </w:r>
      <w:r w:rsidR="00C026A6" w:rsidRPr="00EA59C0">
        <w:t xml:space="preserve"> </w:t>
      </w:r>
      <w:r w:rsidRPr="00EA59C0">
        <w:t>and</w:t>
      </w:r>
      <w:r w:rsidR="00C026A6" w:rsidRPr="00EA59C0">
        <w:t xml:space="preserve"> </w:t>
      </w:r>
      <w:r w:rsidRPr="00EA59C0">
        <w:t>Education</w:t>
      </w:r>
      <w:r w:rsidR="00C026A6" w:rsidRPr="00EA59C0">
        <w:t xml:space="preserve"> </w:t>
      </w:r>
      <w:r w:rsidRPr="00EA59C0">
        <w:t>Reconciliation</w:t>
      </w:r>
      <w:r w:rsidR="00C026A6" w:rsidRPr="00EA59C0">
        <w:t xml:space="preserve"> </w:t>
      </w:r>
      <w:r w:rsidRPr="00EA59C0">
        <w:t>Act</w:t>
      </w:r>
      <w:r w:rsidR="00C026A6" w:rsidRPr="00EA59C0">
        <w:t xml:space="preserve"> </w:t>
      </w:r>
      <w:r w:rsidRPr="00EA59C0">
        <w:t>of</w:t>
      </w:r>
      <w:r w:rsidR="00C026A6" w:rsidRPr="00EA59C0">
        <w:t xml:space="preserve"> </w:t>
      </w:r>
      <w:r w:rsidRPr="00EA59C0">
        <w:t>2010,</w:t>
      </w:r>
      <w:r w:rsidR="00C026A6" w:rsidRPr="00EA59C0">
        <w:t xml:space="preserve"> </w:t>
      </w:r>
      <w:r w:rsidRPr="00EA59C0">
        <w:t>Pub</w:t>
      </w:r>
      <w:r w:rsidR="00916D16" w:rsidRPr="00EA59C0">
        <w:t>.</w:t>
      </w:r>
      <w:r w:rsidR="00C026A6" w:rsidRPr="00EA59C0">
        <w:t xml:space="preserve"> </w:t>
      </w:r>
      <w:r w:rsidRPr="00EA59C0">
        <w:t>L</w:t>
      </w:r>
      <w:r w:rsidR="00916D16" w:rsidRPr="00EA59C0">
        <w:t>.</w:t>
      </w:r>
      <w:r w:rsidR="00C026A6" w:rsidRPr="00EA59C0">
        <w:t xml:space="preserve"> </w:t>
      </w:r>
      <w:r w:rsidRPr="00EA59C0">
        <w:t>No.</w:t>
      </w:r>
      <w:r w:rsidR="00C026A6" w:rsidRPr="00EA59C0">
        <w:t xml:space="preserve"> </w:t>
      </w:r>
      <w:r w:rsidRPr="00EA59C0">
        <w:t>111-152,</w:t>
      </w:r>
      <w:r w:rsidR="00C026A6" w:rsidRPr="00EA59C0">
        <w:t xml:space="preserve"> </w:t>
      </w:r>
      <w:r w:rsidRPr="00EA59C0">
        <w:t>amended</w:t>
      </w:r>
      <w:r w:rsidR="00C026A6" w:rsidRPr="00EA59C0">
        <w:t xml:space="preserve"> </w:t>
      </w:r>
      <w:r w:rsidRPr="00EA59C0">
        <w:t>the</w:t>
      </w:r>
      <w:r w:rsidR="00C026A6" w:rsidRPr="00EA59C0">
        <w:t xml:space="preserve"> </w:t>
      </w:r>
      <w:r w:rsidRPr="00EA59C0">
        <w:t>Trade</w:t>
      </w:r>
      <w:r w:rsidR="00C026A6" w:rsidRPr="00EA59C0">
        <w:t xml:space="preserve"> </w:t>
      </w:r>
      <w:r w:rsidRPr="00EA59C0">
        <w:t>Act</w:t>
      </w:r>
      <w:r w:rsidR="00C026A6" w:rsidRPr="00EA59C0">
        <w:t xml:space="preserve"> </w:t>
      </w:r>
      <w:r w:rsidRPr="00EA59C0">
        <w:t>to</w:t>
      </w:r>
      <w:r w:rsidR="00C026A6" w:rsidRPr="00EA59C0">
        <w:t xml:space="preserve"> </w:t>
      </w:r>
      <w:r w:rsidRPr="00EA59C0">
        <w:t>expand</w:t>
      </w:r>
      <w:r w:rsidR="00C026A6" w:rsidRPr="00EA59C0">
        <w:t xml:space="preserve"> </w:t>
      </w:r>
      <w:r w:rsidRPr="00EA59C0">
        <w:t>the</w:t>
      </w:r>
      <w:r w:rsidR="00C026A6" w:rsidRPr="00EA59C0">
        <w:t xml:space="preserve"> </w:t>
      </w:r>
      <w:r w:rsidRPr="00EA59C0">
        <w:t>scope</w:t>
      </w:r>
      <w:r w:rsidR="00C026A6" w:rsidRPr="00EA59C0">
        <w:t xml:space="preserve"> </w:t>
      </w:r>
      <w:r w:rsidRPr="00EA59C0">
        <w:t>of</w:t>
      </w:r>
      <w:r w:rsidR="00C026A6" w:rsidRPr="00EA59C0">
        <w:t xml:space="preserve"> </w:t>
      </w:r>
      <w:r w:rsidRPr="00EA59C0">
        <w:t>the</w:t>
      </w:r>
      <w:r w:rsidR="00C026A6" w:rsidRPr="00EA59C0">
        <w:t xml:space="preserve"> </w:t>
      </w:r>
      <w:r w:rsidRPr="00EA59C0">
        <w:t>program</w:t>
      </w:r>
      <w:r w:rsidR="00C026A6" w:rsidRPr="00EA59C0">
        <w:t xml:space="preserve"> </w:t>
      </w:r>
      <w:r w:rsidRPr="00EA59C0">
        <w:t>and</w:t>
      </w:r>
      <w:r w:rsidR="00C026A6" w:rsidRPr="00EA59C0">
        <w:t xml:space="preserve"> </w:t>
      </w:r>
      <w:r w:rsidRPr="00EA59C0">
        <w:t>include</w:t>
      </w:r>
      <w:r w:rsidR="00C026A6" w:rsidRPr="00EA59C0">
        <w:t xml:space="preserve"> </w:t>
      </w:r>
      <w:r w:rsidRPr="00EA59C0">
        <w:t>the</w:t>
      </w:r>
      <w:r w:rsidR="00C026A6" w:rsidRPr="00EA59C0">
        <w:t xml:space="preserve"> </w:t>
      </w:r>
      <w:r w:rsidRPr="00EA59C0">
        <w:t>appropriation</w:t>
      </w:r>
      <w:r w:rsidR="00C026A6" w:rsidRPr="00EA59C0">
        <w:t xml:space="preserve"> </w:t>
      </w:r>
      <w:r w:rsidRPr="00EA59C0">
        <w:t>of</w:t>
      </w:r>
      <w:r w:rsidR="00C026A6" w:rsidRPr="00EA59C0">
        <w:t xml:space="preserve"> </w:t>
      </w:r>
      <w:r w:rsidRPr="00EA59C0">
        <w:t>$2</w:t>
      </w:r>
      <w:r w:rsidR="00C026A6" w:rsidRPr="00EA59C0">
        <w:t xml:space="preserve"> </w:t>
      </w:r>
      <w:r w:rsidRPr="00EA59C0">
        <w:t>billion</w:t>
      </w:r>
      <w:r w:rsidR="00C026A6" w:rsidRPr="00EA59C0">
        <w:t xml:space="preserve"> </w:t>
      </w:r>
      <w:r w:rsidRPr="00EA59C0">
        <w:t>for</w:t>
      </w:r>
      <w:r w:rsidR="00C026A6" w:rsidRPr="00EA59C0">
        <w:t xml:space="preserve"> </w:t>
      </w:r>
      <w:r w:rsidRPr="00EA59C0">
        <w:t>Fiscal</w:t>
      </w:r>
      <w:r w:rsidR="00C026A6" w:rsidRPr="00EA59C0">
        <w:t xml:space="preserve"> </w:t>
      </w:r>
      <w:r w:rsidRPr="00EA59C0">
        <w:t>Years</w:t>
      </w:r>
      <w:r w:rsidR="00C026A6" w:rsidRPr="00EA59C0">
        <w:t xml:space="preserve"> </w:t>
      </w:r>
      <w:r w:rsidRPr="00EA59C0">
        <w:t>(FY)</w:t>
      </w:r>
      <w:r w:rsidR="00C026A6" w:rsidRPr="00EA59C0">
        <w:t xml:space="preserve"> </w:t>
      </w:r>
      <w:r w:rsidRPr="00EA59C0">
        <w:t>2011</w:t>
      </w:r>
      <w:r w:rsidR="00C026A6" w:rsidRPr="00EA59C0">
        <w:t xml:space="preserve"> </w:t>
      </w:r>
      <w:r w:rsidRPr="00EA59C0">
        <w:t>–</w:t>
      </w:r>
      <w:r w:rsidR="00C026A6" w:rsidRPr="00EA59C0">
        <w:t xml:space="preserve"> </w:t>
      </w:r>
      <w:r w:rsidRPr="00EA59C0">
        <w:t>2014</w:t>
      </w:r>
      <w:r w:rsidR="00C026A6" w:rsidRPr="00EA59C0">
        <w:t xml:space="preserve"> </w:t>
      </w:r>
      <w:r w:rsidRPr="00EA59C0">
        <w:t>($500</w:t>
      </w:r>
      <w:r w:rsidR="00C026A6" w:rsidRPr="00EA59C0">
        <w:t xml:space="preserve"> </w:t>
      </w:r>
      <w:r w:rsidRPr="00EA59C0">
        <w:t>million</w:t>
      </w:r>
      <w:r w:rsidR="00C026A6" w:rsidRPr="00EA59C0">
        <w:t xml:space="preserve"> </w:t>
      </w:r>
      <w:r w:rsidRPr="00EA59C0">
        <w:t>annually)</w:t>
      </w:r>
      <w:r w:rsidR="00C026A6" w:rsidRPr="00EA59C0">
        <w:t xml:space="preserve"> </w:t>
      </w:r>
      <w:r w:rsidRPr="00EA59C0">
        <w:t>for</w:t>
      </w:r>
      <w:r w:rsidR="00C026A6" w:rsidRPr="00EA59C0">
        <w:t xml:space="preserve"> </w:t>
      </w:r>
      <w:r w:rsidRPr="00EA59C0">
        <w:t>the</w:t>
      </w:r>
      <w:r w:rsidR="00C026A6" w:rsidRPr="00EA59C0">
        <w:t xml:space="preserve"> </w:t>
      </w:r>
      <w:r w:rsidRPr="00EA59C0">
        <w:t>TAACCCT</w:t>
      </w:r>
      <w:r w:rsidR="00C026A6" w:rsidRPr="00EA59C0">
        <w:t xml:space="preserve"> </w:t>
      </w:r>
      <w:r w:rsidRPr="00EA59C0">
        <w:t>grant</w:t>
      </w:r>
      <w:r w:rsidR="00C026A6" w:rsidRPr="00EA59C0">
        <w:t xml:space="preserve"> </w:t>
      </w:r>
      <w:r w:rsidRPr="00EA59C0">
        <w:t>program.</w:t>
      </w:r>
      <w:r w:rsidR="00C026A6" w:rsidRPr="00EA59C0">
        <w:t xml:space="preserve">  </w:t>
      </w:r>
      <w:r w:rsidRPr="00EA59C0">
        <w:t>The</w:t>
      </w:r>
      <w:r w:rsidR="00C026A6" w:rsidRPr="00EA59C0">
        <w:t xml:space="preserve"> </w:t>
      </w:r>
      <w:r w:rsidRPr="00EA59C0">
        <w:t>Trade</w:t>
      </w:r>
      <w:r w:rsidR="00C026A6" w:rsidRPr="00EA59C0">
        <w:t xml:space="preserve"> </w:t>
      </w:r>
      <w:r w:rsidRPr="00EA59C0">
        <w:t>Adjustment</w:t>
      </w:r>
      <w:r w:rsidR="00C026A6" w:rsidRPr="00EA59C0">
        <w:t xml:space="preserve"> </w:t>
      </w:r>
      <w:r w:rsidRPr="00EA59C0">
        <w:t>Assistance</w:t>
      </w:r>
      <w:r w:rsidR="00C026A6" w:rsidRPr="00EA59C0">
        <w:t xml:space="preserve"> </w:t>
      </w:r>
      <w:r w:rsidRPr="00EA59C0">
        <w:t>Extension</w:t>
      </w:r>
      <w:r w:rsidR="00C026A6" w:rsidRPr="00EA59C0">
        <w:t xml:space="preserve"> </w:t>
      </w:r>
      <w:r w:rsidRPr="00EA59C0">
        <w:t>Act</w:t>
      </w:r>
      <w:r w:rsidR="00C026A6" w:rsidRPr="00EA59C0">
        <w:t xml:space="preserve"> </w:t>
      </w:r>
      <w:r w:rsidRPr="00EA59C0">
        <w:t>of</w:t>
      </w:r>
      <w:r w:rsidR="00C026A6" w:rsidRPr="00EA59C0">
        <w:t xml:space="preserve">  </w:t>
      </w:r>
      <w:r w:rsidRPr="00EA59C0">
        <w:t>2011,</w:t>
      </w:r>
      <w:r w:rsidR="00C026A6" w:rsidRPr="00EA59C0">
        <w:t xml:space="preserve"> </w:t>
      </w:r>
      <w:r w:rsidRPr="00EA59C0">
        <w:t>Pub</w:t>
      </w:r>
      <w:r w:rsidR="00916D16" w:rsidRPr="00EA59C0">
        <w:t>.</w:t>
      </w:r>
      <w:r w:rsidR="00C026A6" w:rsidRPr="00EA59C0">
        <w:t xml:space="preserve"> </w:t>
      </w:r>
      <w:r w:rsidRPr="00EA59C0">
        <w:t>L</w:t>
      </w:r>
      <w:r w:rsidR="00916D16" w:rsidRPr="00EA59C0">
        <w:t>.</w:t>
      </w:r>
      <w:r w:rsidR="00C026A6" w:rsidRPr="00EA59C0">
        <w:t xml:space="preserve"> </w:t>
      </w:r>
      <w:r w:rsidRPr="00EA59C0">
        <w:t>No.</w:t>
      </w:r>
      <w:r w:rsidR="00C026A6" w:rsidRPr="00EA59C0">
        <w:t xml:space="preserve"> </w:t>
      </w:r>
      <w:r w:rsidRPr="00EA59C0">
        <w:t>112-240,</w:t>
      </w:r>
      <w:r w:rsidR="00C026A6" w:rsidRPr="00EA59C0">
        <w:t xml:space="preserve"> </w:t>
      </w:r>
      <w:r w:rsidRPr="00EA59C0">
        <w:t>by</w:t>
      </w:r>
      <w:r w:rsidR="00C026A6" w:rsidRPr="00EA59C0">
        <w:t xml:space="preserve"> </w:t>
      </w:r>
      <w:r w:rsidRPr="00EA59C0">
        <w:t>expanding</w:t>
      </w:r>
      <w:r w:rsidR="00C026A6" w:rsidRPr="00EA59C0">
        <w:t xml:space="preserve"> </w:t>
      </w:r>
      <w:r w:rsidRPr="00EA59C0">
        <w:t>the</w:t>
      </w:r>
      <w:r w:rsidR="00C026A6" w:rsidRPr="00EA59C0">
        <w:t xml:space="preserve"> </w:t>
      </w:r>
      <w:r w:rsidRPr="00EA59C0">
        <w:t>annual</w:t>
      </w:r>
      <w:r w:rsidR="00C026A6" w:rsidRPr="00EA59C0">
        <w:t xml:space="preserve"> </w:t>
      </w:r>
      <w:r w:rsidRPr="00EA59C0">
        <w:t>reporting</w:t>
      </w:r>
      <w:r w:rsidR="00C026A6" w:rsidRPr="00EA59C0">
        <w:t xml:space="preserve"> </w:t>
      </w:r>
      <w:r w:rsidRPr="00EA59C0">
        <w:t>requirement</w:t>
      </w:r>
      <w:r w:rsidR="00C026A6" w:rsidRPr="00EA59C0">
        <w:t xml:space="preserve"> </w:t>
      </w:r>
      <w:r w:rsidRPr="00EA59C0">
        <w:t>for</w:t>
      </w:r>
      <w:r w:rsidR="00C026A6" w:rsidRPr="00EA59C0">
        <w:t xml:space="preserve"> </w:t>
      </w:r>
      <w:r w:rsidRPr="00EA59C0">
        <w:t>grantees,</w:t>
      </w:r>
      <w:r w:rsidR="00C026A6" w:rsidRPr="00EA59C0">
        <w:t xml:space="preserve"> </w:t>
      </w:r>
      <w:r w:rsidRPr="00EA59C0">
        <w:t>required</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to</w:t>
      </w:r>
      <w:r w:rsidR="00C026A6" w:rsidRPr="00EA59C0">
        <w:t xml:space="preserve"> </w:t>
      </w:r>
      <w:r w:rsidRPr="00EA59C0">
        <w:t>collect</w:t>
      </w:r>
      <w:r w:rsidR="00C026A6" w:rsidRPr="00EA59C0">
        <w:t xml:space="preserve"> </w:t>
      </w:r>
      <w:r w:rsidRPr="00EA59C0">
        <w:t>from</w:t>
      </w:r>
      <w:r w:rsidR="00C026A6" w:rsidRPr="00EA59C0">
        <w:t xml:space="preserve"> </w:t>
      </w:r>
      <w:r w:rsidRPr="00EA59C0">
        <w:t>grantees</w:t>
      </w:r>
      <w:r w:rsidR="00C026A6" w:rsidRPr="00EA59C0">
        <w:t xml:space="preserve"> </w:t>
      </w:r>
      <w:r w:rsidRPr="00EA59C0">
        <w:t>more</w:t>
      </w:r>
      <w:r w:rsidR="00C026A6" w:rsidRPr="00EA59C0">
        <w:t xml:space="preserve"> </w:t>
      </w:r>
      <w:r w:rsidRPr="00EA59C0">
        <w:t>data</w:t>
      </w:r>
      <w:r w:rsidR="00C026A6" w:rsidRPr="00EA59C0">
        <w:t xml:space="preserve"> </w:t>
      </w:r>
      <w:r w:rsidRPr="00EA59C0">
        <w:t>relating</w:t>
      </w:r>
      <w:r w:rsidR="00C026A6" w:rsidRPr="00EA59C0">
        <w:t xml:space="preserve"> </w:t>
      </w:r>
      <w:r w:rsidRPr="00EA59C0">
        <w:t>to</w:t>
      </w:r>
      <w:r w:rsidR="00C026A6" w:rsidRPr="00EA59C0">
        <w:t xml:space="preserve"> </w:t>
      </w:r>
      <w:r w:rsidRPr="00EA59C0">
        <w:t>program</w:t>
      </w:r>
      <w:r w:rsidR="00C026A6" w:rsidRPr="00EA59C0">
        <w:t xml:space="preserve"> </w:t>
      </w:r>
      <w:r w:rsidRPr="00EA59C0">
        <w:t>performance</w:t>
      </w:r>
      <w:r w:rsidR="00C026A6" w:rsidRPr="00EA59C0">
        <w:t xml:space="preserve"> </w:t>
      </w:r>
      <w:r w:rsidRPr="00EA59C0">
        <w:t>and</w:t>
      </w:r>
      <w:r w:rsidR="00C026A6" w:rsidRPr="00EA59C0">
        <w:t xml:space="preserve"> </w:t>
      </w:r>
      <w:r w:rsidRPr="00EA59C0">
        <w:t>participant</w:t>
      </w:r>
      <w:r w:rsidR="00C026A6" w:rsidRPr="00EA59C0">
        <w:t xml:space="preserve"> </w:t>
      </w:r>
      <w:r w:rsidRPr="00EA59C0">
        <w:t>outcomes,</w:t>
      </w:r>
      <w:r w:rsidR="00C026A6" w:rsidRPr="00EA59C0">
        <w:t xml:space="preserve"> </w:t>
      </w:r>
      <w:r w:rsidRPr="00EA59C0">
        <w:t>including</w:t>
      </w:r>
      <w:r w:rsidR="00C026A6" w:rsidRPr="00EA59C0">
        <w:t xml:space="preserve"> </w:t>
      </w:r>
      <w:r w:rsidRPr="00EA59C0">
        <w:t>the</w:t>
      </w:r>
      <w:r w:rsidR="00C026A6" w:rsidRPr="00EA59C0">
        <w:t xml:space="preserve"> </w:t>
      </w:r>
      <w:r w:rsidRPr="00EA59C0">
        <w:t>attainment</w:t>
      </w:r>
      <w:r w:rsidR="00C026A6" w:rsidRPr="00EA59C0">
        <w:t xml:space="preserve"> </w:t>
      </w:r>
      <w:r w:rsidRPr="00EA59C0">
        <w:t>of</w:t>
      </w:r>
      <w:r w:rsidR="00C026A6" w:rsidRPr="00EA59C0">
        <w:t xml:space="preserve"> </w:t>
      </w:r>
      <w:r w:rsidRPr="00EA59C0">
        <w:t>credentials.</w:t>
      </w:r>
      <w:r w:rsidR="00C026A6" w:rsidRPr="00EA59C0">
        <w:t xml:space="preserve">  </w:t>
      </w:r>
      <w:r w:rsidR="00BF04DD" w:rsidRPr="00EA59C0">
        <w:t>The</w:t>
      </w:r>
      <w:r w:rsidR="00C026A6" w:rsidRPr="00EA59C0">
        <w:t xml:space="preserve"> </w:t>
      </w:r>
      <w:r w:rsidR="00BF04DD" w:rsidRPr="00EA59C0">
        <w:t>Consolidated</w:t>
      </w:r>
      <w:r w:rsidR="00C026A6" w:rsidRPr="00EA59C0">
        <w:t xml:space="preserve"> </w:t>
      </w:r>
      <w:r w:rsidR="00BF04DD" w:rsidRPr="00EA59C0">
        <w:t>Appropriations</w:t>
      </w:r>
      <w:r w:rsidR="00C026A6" w:rsidRPr="00EA59C0">
        <w:t xml:space="preserve"> </w:t>
      </w:r>
      <w:r w:rsidR="00BF04DD" w:rsidRPr="00EA59C0">
        <w:t>Act</w:t>
      </w:r>
      <w:r w:rsidR="00C026A6" w:rsidRPr="00EA59C0">
        <w:t xml:space="preserve"> </w:t>
      </w:r>
      <w:r w:rsidR="001B31CD" w:rsidRPr="00EA59C0">
        <w:t>of</w:t>
      </w:r>
      <w:r w:rsidR="00C026A6" w:rsidRPr="00EA59C0">
        <w:t xml:space="preserve"> </w:t>
      </w:r>
      <w:r w:rsidR="00BF04DD" w:rsidRPr="00EA59C0">
        <w:t>2014</w:t>
      </w:r>
      <w:r w:rsidR="00C026A6" w:rsidRPr="00EA59C0">
        <w:t xml:space="preserve"> </w:t>
      </w:r>
      <w:r w:rsidR="00BF04DD" w:rsidRPr="00EA59C0">
        <w:t>(Pub.</w:t>
      </w:r>
      <w:r w:rsidR="00C026A6" w:rsidRPr="00EA59C0">
        <w:t xml:space="preserve"> </w:t>
      </w:r>
      <w:r w:rsidR="00BF04DD" w:rsidRPr="00EA59C0">
        <w:t>L.</w:t>
      </w:r>
      <w:r w:rsidR="00C026A6" w:rsidRPr="00EA59C0">
        <w:t xml:space="preserve"> </w:t>
      </w:r>
      <w:r w:rsidR="00BF04DD" w:rsidRPr="00EA59C0">
        <w:t>113-76)</w:t>
      </w:r>
      <w:r w:rsidR="00C026A6" w:rsidRPr="00EA59C0">
        <w:t xml:space="preserve"> </w:t>
      </w:r>
      <w:r w:rsidR="00BF04DD" w:rsidRPr="00EA59C0">
        <w:t>authorizes</w:t>
      </w:r>
      <w:r w:rsidR="00C026A6" w:rsidRPr="00EA59C0">
        <w:t xml:space="preserve"> </w:t>
      </w:r>
      <w:r w:rsidR="00BF04DD" w:rsidRPr="00EA59C0">
        <w:t>eligible</w:t>
      </w:r>
      <w:r w:rsidR="00C026A6" w:rsidRPr="00EA59C0">
        <w:t xml:space="preserve"> </w:t>
      </w:r>
      <w:r w:rsidR="00BF04DD" w:rsidRPr="00EA59C0">
        <w:t>institutions</w:t>
      </w:r>
      <w:r w:rsidR="00C026A6" w:rsidRPr="00EA59C0">
        <w:t xml:space="preserve"> </w:t>
      </w:r>
      <w:r w:rsidR="00BF04DD" w:rsidRPr="00EA59C0">
        <w:t>awarded</w:t>
      </w:r>
      <w:r w:rsidR="00C026A6" w:rsidRPr="00EA59C0">
        <w:t xml:space="preserve"> </w:t>
      </w:r>
      <w:r w:rsidR="00BF04DD" w:rsidRPr="00EA59C0">
        <w:t>grants</w:t>
      </w:r>
      <w:r w:rsidR="00C026A6" w:rsidRPr="00EA59C0">
        <w:t xml:space="preserve"> </w:t>
      </w:r>
      <w:r w:rsidR="00BF04DD" w:rsidRPr="00EA59C0">
        <w:t>under</w:t>
      </w:r>
      <w:r w:rsidR="00C026A6" w:rsidRPr="00EA59C0">
        <w:t xml:space="preserve"> </w:t>
      </w:r>
      <w:r w:rsidR="00BF04DD" w:rsidRPr="00EA59C0">
        <w:t>section</w:t>
      </w:r>
      <w:r w:rsidR="00C026A6" w:rsidRPr="00EA59C0">
        <w:t xml:space="preserve"> </w:t>
      </w:r>
      <w:r w:rsidR="00BF04DD" w:rsidRPr="00EA59C0">
        <w:t>271</w:t>
      </w:r>
      <w:r w:rsidR="00C026A6" w:rsidRPr="00EA59C0">
        <w:t xml:space="preserve"> </w:t>
      </w:r>
      <w:r w:rsidR="00BF04DD" w:rsidRPr="00EA59C0">
        <w:t>of</w:t>
      </w:r>
      <w:r w:rsidR="00C026A6" w:rsidRPr="00EA59C0">
        <w:t xml:space="preserve"> </w:t>
      </w:r>
      <w:r w:rsidR="00BF04DD" w:rsidRPr="00EA59C0">
        <w:t>the</w:t>
      </w:r>
      <w:r w:rsidR="00C026A6" w:rsidRPr="00EA59C0">
        <w:t xml:space="preserve"> </w:t>
      </w:r>
      <w:r w:rsidR="00BF04DD" w:rsidRPr="00EA59C0">
        <w:t>Trade</w:t>
      </w:r>
      <w:r w:rsidR="00C026A6" w:rsidRPr="00EA59C0">
        <w:t xml:space="preserve"> </w:t>
      </w:r>
      <w:r w:rsidR="00BF04DD" w:rsidRPr="00EA59C0">
        <w:t>Act</w:t>
      </w:r>
      <w:r w:rsidR="00C026A6" w:rsidRPr="00EA59C0">
        <w:t xml:space="preserve"> </w:t>
      </w:r>
      <w:r w:rsidR="00BF04DD" w:rsidRPr="00EA59C0">
        <w:t>to</w:t>
      </w:r>
      <w:r w:rsidR="00C026A6" w:rsidRPr="00EA59C0">
        <w:t xml:space="preserve"> </w:t>
      </w:r>
      <w:r w:rsidR="00BF04DD" w:rsidRPr="00EA59C0">
        <w:t>award</w:t>
      </w:r>
      <w:r w:rsidR="00C026A6" w:rsidRPr="00EA59C0">
        <w:t xml:space="preserve"> </w:t>
      </w:r>
      <w:r w:rsidR="00BF04DD" w:rsidRPr="00EA59C0">
        <w:t>subgrants</w:t>
      </w:r>
      <w:r w:rsidR="00C026A6" w:rsidRPr="00EA59C0">
        <w:t xml:space="preserve"> </w:t>
      </w:r>
      <w:r w:rsidR="00BF04DD" w:rsidRPr="00EA59C0">
        <w:t>to</w:t>
      </w:r>
      <w:r w:rsidR="00C026A6" w:rsidRPr="00EA59C0">
        <w:t xml:space="preserve"> </w:t>
      </w:r>
      <w:r w:rsidR="00BF04DD" w:rsidRPr="00EA59C0">
        <w:t>other</w:t>
      </w:r>
      <w:r w:rsidR="00C026A6" w:rsidRPr="00EA59C0">
        <w:t xml:space="preserve"> </w:t>
      </w:r>
      <w:r w:rsidR="00BF04DD" w:rsidRPr="00EA59C0">
        <w:t>eligible</w:t>
      </w:r>
      <w:r w:rsidR="00C026A6" w:rsidRPr="00EA59C0">
        <w:t xml:space="preserve"> </w:t>
      </w:r>
      <w:r w:rsidR="00BF04DD" w:rsidRPr="00EA59C0">
        <w:t>institutions,</w:t>
      </w:r>
      <w:r w:rsidR="00C026A6" w:rsidRPr="00EA59C0">
        <w:t xml:space="preserve"> </w:t>
      </w:r>
      <w:r w:rsidR="00BF04DD" w:rsidRPr="00EA59C0">
        <w:t>subject</w:t>
      </w:r>
      <w:r w:rsidR="00C026A6" w:rsidRPr="00EA59C0">
        <w:t xml:space="preserve"> </w:t>
      </w:r>
      <w:r w:rsidR="00BF04DD" w:rsidRPr="00EA59C0">
        <w:t>to</w:t>
      </w:r>
      <w:r w:rsidR="00C026A6" w:rsidRPr="00EA59C0">
        <w:t xml:space="preserve"> </w:t>
      </w:r>
      <w:r w:rsidR="00BF04DD" w:rsidRPr="00EA59C0">
        <w:t>the</w:t>
      </w:r>
      <w:r w:rsidR="00C026A6" w:rsidRPr="00EA59C0">
        <w:t xml:space="preserve"> </w:t>
      </w:r>
      <w:r w:rsidR="00BF04DD" w:rsidRPr="00EA59C0">
        <w:t>conditions</w:t>
      </w:r>
      <w:r w:rsidR="00C026A6" w:rsidRPr="00EA59C0">
        <w:t xml:space="preserve"> </w:t>
      </w:r>
      <w:r w:rsidR="00BF04DD" w:rsidRPr="00EA59C0">
        <w:t>applicable</w:t>
      </w:r>
      <w:r w:rsidR="00C026A6" w:rsidRPr="00EA59C0">
        <w:t xml:space="preserve"> </w:t>
      </w:r>
      <w:r w:rsidR="00BF04DD" w:rsidRPr="00EA59C0">
        <w:t>to</w:t>
      </w:r>
      <w:r w:rsidR="00C026A6" w:rsidRPr="00EA59C0">
        <w:t xml:space="preserve"> </w:t>
      </w:r>
      <w:r w:rsidR="00BF04DD" w:rsidRPr="00EA59C0">
        <w:t>such</w:t>
      </w:r>
      <w:r w:rsidR="00C026A6" w:rsidRPr="00EA59C0">
        <w:t xml:space="preserve"> </w:t>
      </w:r>
      <w:r w:rsidR="00BF04DD" w:rsidRPr="00EA59C0">
        <w:t>grants</w:t>
      </w:r>
      <w:r w:rsidR="00916D16" w:rsidRPr="00EA59C0">
        <w:t>,</w:t>
      </w:r>
      <w:r w:rsidR="00C026A6" w:rsidRPr="00EA59C0">
        <w:t xml:space="preserve"> </w:t>
      </w:r>
      <w:r w:rsidR="00916D16" w:rsidRPr="00EA59C0">
        <w:t>and</w:t>
      </w:r>
      <w:r w:rsidR="00C026A6" w:rsidRPr="00EA59C0">
        <w:t xml:space="preserve"> </w:t>
      </w:r>
      <w:r w:rsidR="00916D16" w:rsidRPr="00EA59C0">
        <w:t>authorizes</w:t>
      </w:r>
      <w:r w:rsidR="00C026A6" w:rsidRPr="00EA59C0">
        <w:t xml:space="preserve"> </w:t>
      </w:r>
      <w:r w:rsidR="00916D16" w:rsidRPr="00EA59C0">
        <w:t>the</w:t>
      </w:r>
      <w:r w:rsidR="00C026A6" w:rsidRPr="00EA59C0">
        <w:t xml:space="preserve"> </w:t>
      </w:r>
      <w:r w:rsidR="00916D16" w:rsidRPr="00EA59C0">
        <w:t>expenditure</w:t>
      </w:r>
      <w:r w:rsidR="00C026A6" w:rsidRPr="00EA59C0">
        <w:t xml:space="preserve"> </w:t>
      </w:r>
      <w:r w:rsidR="00916D16" w:rsidRPr="00EA59C0">
        <w:t>of</w:t>
      </w:r>
      <w:r w:rsidR="00C026A6" w:rsidRPr="00EA59C0">
        <w:t xml:space="preserve"> </w:t>
      </w:r>
      <w:r w:rsidR="00916D16" w:rsidRPr="00EA59C0">
        <w:t>grant</w:t>
      </w:r>
      <w:r w:rsidR="00C026A6" w:rsidRPr="00EA59C0">
        <w:t xml:space="preserve"> </w:t>
      </w:r>
      <w:r w:rsidR="00916D16" w:rsidRPr="00EA59C0">
        <w:t>funds</w:t>
      </w:r>
      <w:r w:rsidR="00C026A6" w:rsidRPr="00EA59C0">
        <w:t xml:space="preserve"> </w:t>
      </w:r>
      <w:r w:rsidR="00836898" w:rsidRPr="00EA59C0">
        <w:t>by</w:t>
      </w:r>
      <w:r w:rsidR="00C026A6" w:rsidRPr="00EA59C0">
        <w:t xml:space="preserve"> </w:t>
      </w:r>
      <w:r w:rsidR="00836898" w:rsidRPr="00EA59C0">
        <w:t>the</w:t>
      </w:r>
      <w:r w:rsidR="00C026A6" w:rsidRPr="00EA59C0">
        <w:t xml:space="preserve"> </w:t>
      </w:r>
      <w:r w:rsidR="00836898" w:rsidRPr="00EA59C0">
        <w:t>Department</w:t>
      </w:r>
      <w:r w:rsidR="00C026A6" w:rsidRPr="00EA59C0">
        <w:t xml:space="preserve"> </w:t>
      </w:r>
      <w:r w:rsidR="00916D16" w:rsidRPr="00EA59C0">
        <w:t>for</w:t>
      </w:r>
      <w:r w:rsidR="00C026A6" w:rsidRPr="00EA59C0">
        <w:t xml:space="preserve"> </w:t>
      </w:r>
      <w:r w:rsidR="00916D16" w:rsidRPr="00EA59C0">
        <w:t>evaluation</w:t>
      </w:r>
      <w:r w:rsidR="00C026A6" w:rsidRPr="00EA59C0">
        <w:t xml:space="preserve"> </w:t>
      </w:r>
      <w:r w:rsidR="00916D16" w:rsidRPr="00EA59C0">
        <w:t>and</w:t>
      </w:r>
      <w:r w:rsidR="00C026A6" w:rsidRPr="00EA59C0">
        <w:t xml:space="preserve"> </w:t>
      </w:r>
      <w:r w:rsidR="00916D16" w:rsidRPr="00EA59C0">
        <w:t>technical</w:t>
      </w:r>
      <w:r w:rsidR="00C026A6" w:rsidRPr="00EA59C0">
        <w:t xml:space="preserve"> </w:t>
      </w:r>
      <w:r w:rsidR="00916D16" w:rsidRPr="00EA59C0">
        <w:t>assistance</w:t>
      </w:r>
      <w:r w:rsidR="00BF04DD" w:rsidRPr="00EA59C0">
        <w:t>.</w:t>
      </w:r>
    </w:p>
    <w:p w:rsidR="0074754D" w:rsidRPr="00EA59C0" w:rsidRDefault="0074754D" w:rsidP="00D03948"/>
    <w:p w:rsidR="007470AB" w:rsidRPr="00EA59C0" w:rsidRDefault="0021071E" w:rsidP="008826BE">
      <w:pPr>
        <w:pStyle w:val="Heading1"/>
        <w:numPr>
          <w:ilvl w:val="0"/>
          <w:numId w:val="17"/>
        </w:numPr>
        <w:rPr>
          <w:rFonts w:ascii="Times New Roman" w:hAnsi="Times New Roman"/>
        </w:rPr>
      </w:pPr>
      <w:r w:rsidRPr="00EA59C0">
        <w:rPr>
          <w:rFonts w:ascii="Times New Roman" w:hAnsi="Times New Roman"/>
        </w:rPr>
        <w:t>Award</w:t>
      </w:r>
      <w:r w:rsidR="00C026A6" w:rsidRPr="00EA59C0">
        <w:rPr>
          <w:rFonts w:ascii="Times New Roman" w:hAnsi="Times New Roman"/>
        </w:rPr>
        <w:t xml:space="preserve"> </w:t>
      </w:r>
      <w:r w:rsidRPr="00EA59C0">
        <w:rPr>
          <w:rFonts w:ascii="Times New Roman" w:hAnsi="Times New Roman"/>
        </w:rPr>
        <w:t>Information</w:t>
      </w:r>
      <w:bookmarkEnd w:id="5"/>
      <w:bookmarkEnd w:id="6"/>
      <w:bookmarkEnd w:id="7"/>
      <w:bookmarkEnd w:id="8"/>
      <w:r w:rsidR="00C026A6" w:rsidRPr="00EA59C0">
        <w:rPr>
          <w:rFonts w:ascii="Times New Roman" w:hAnsi="Times New Roman"/>
        </w:rPr>
        <w:t xml:space="preserve"> </w:t>
      </w:r>
    </w:p>
    <w:p w:rsidR="00042754" w:rsidRPr="00EA59C0" w:rsidRDefault="007470AB" w:rsidP="006A5D88">
      <w:pPr>
        <w:pStyle w:val="Heading2"/>
        <w:numPr>
          <w:ilvl w:val="1"/>
          <w:numId w:val="17"/>
        </w:numPr>
        <w:spacing w:line="240" w:lineRule="auto"/>
        <w:rPr>
          <w:rFonts w:ascii="Times New Roman" w:hAnsi="Times New Roman"/>
        </w:rPr>
      </w:pPr>
      <w:bookmarkStart w:id="9" w:name="_Toc207778203"/>
      <w:bookmarkStart w:id="10" w:name="_Toc208654603"/>
      <w:bookmarkStart w:id="11" w:name="_Toc228885477"/>
      <w:bookmarkStart w:id="12" w:name="_Toc229889135"/>
      <w:r w:rsidRPr="00EA59C0">
        <w:rPr>
          <w:rFonts w:ascii="Times New Roman" w:hAnsi="Times New Roman"/>
          <w:b w:val="0"/>
          <w:i w:val="0"/>
        </w:rPr>
        <w:t>Award</w:t>
      </w:r>
      <w:r w:rsidR="00C026A6" w:rsidRPr="00EA59C0">
        <w:rPr>
          <w:rFonts w:ascii="Times New Roman" w:hAnsi="Times New Roman"/>
          <w:b w:val="0"/>
          <w:i w:val="0"/>
        </w:rPr>
        <w:t xml:space="preserve"> </w:t>
      </w:r>
      <w:r w:rsidR="008479FF" w:rsidRPr="00EA59C0">
        <w:rPr>
          <w:rFonts w:ascii="Times New Roman" w:hAnsi="Times New Roman"/>
          <w:b w:val="0"/>
          <w:i w:val="0"/>
        </w:rPr>
        <w:t>Type</w:t>
      </w:r>
      <w:r w:rsidR="00C026A6" w:rsidRPr="00EA59C0">
        <w:rPr>
          <w:rFonts w:ascii="Times New Roman" w:hAnsi="Times New Roman"/>
          <w:b w:val="0"/>
          <w:i w:val="0"/>
        </w:rPr>
        <w:t xml:space="preserve"> </w:t>
      </w:r>
      <w:r w:rsidR="008479FF"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Amount</w:t>
      </w:r>
      <w:bookmarkEnd w:id="9"/>
      <w:bookmarkEnd w:id="10"/>
      <w:bookmarkEnd w:id="11"/>
      <w:bookmarkEnd w:id="12"/>
    </w:p>
    <w:p w:rsidR="00882D50" w:rsidRPr="00EA59C0" w:rsidRDefault="00882D50" w:rsidP="006A5D88">
      <w:pPr>
        <w:tabs>
          <w:tab w:val="left" w:pos="720"/>
        </w:tabs>
        <w:ind w:left="720"/>
      </w:pPr>
      <w:r w:rsidRPr="00EA59C0">
        <w:t>Funding</w:t>
      </w:r>
      <w:r w:rsidR="00C026A6" w:rsidRPr="00EA59C0">
        <w:t xml:space="preserve"> </w:t>
      </w:r>
      <w:r w:rsidRPr="00EA59C0">
        <w:t>for</w:t>
      </w:r>
      <w:r w:rsidR="00C026A6" w:rsidRPr="00EA59C0">
        <w:t xml:space="preserve"> </w:t>
      </w:r>
      <w:r w:rsidRPr="00EA59C0">
        <w:t>all</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be</w:t>
      </w:r>
      <w:r w:rsidR="00C026A6" w:rsidRPr="00EA59C0">
        <w:t xml:space="preserve"> </w:t>
      </w:r>
      <w:r w:rsidRPr="00EA59C0">
        <w:t>provided</w:t>
      </w:r>
      <w:r w:rsidR="00C026A6" w:rsidRPr="00EA59C0">
        <w:t xml:space="preserve"> </w:t>
      </w:r>
      <w:r w:rsidRPr="00EA59C0">
        <w:t>in</w:t>
      </w:r>
      <w:r w:rsidR="00C026A6" w:rsidRPr="00EA59C0">
        <w:t xml:space="preserve"> </w:t>
      </w:r>
      <w:r w:rsidRPr="00EA59C0">
        <w:t>the</w:t>
      </w:r>
      <w:r w:rsidR="00C026A6" w:rsidRPr="00EA59C0">
        <w:t xml:space="preserve"> </w:t>
      </w:r>
      <w:r w:rsidRPr="00EA59C0">
        <w:t>form</w:t>
      </w:r>
      <w:r w:rsidR="00C026A6" w:rsidRPr="00EA59C0">
        <w:t xml:space="preserve"> </w:t>
      </w:r>
      <w:r w:rsidRPr="00EA59C0">
        <w:t>of</w:t>
      </w:r>
      <w:r w:rsidR="00C026A6" w:rsidRPr="00EA59C0">
        <w:t xml:space="preserve"> </w:t>
      </w:r>
      <w:r w:rsidRPr="00EA59C0">
        <w:t>a</w:t>
      </w:r>
      <w:r w:rsidR="00C026A6" w:rsidRPr="00EA59C0">
        <w:t xml:space="preserve"> </w:t>
      </w:r>
      <w:r w:rsidRPr="00EA59C0">
        <w:t>grant.</w:t>
      </w:r>
      <w:r w:rsidR="00C026A6" w:rsidRPr="00EA59C0">
        <w:t xml:space="preserve">  </w:t>
      </w:r>
      <w:r w:rsidRPr="00EA59C0">
        <w:t>Approximately</w:t>
      </w:r>
      <w:r w:rsidR="00C026A6" w:rsidRPr="00EA59C0">
        <w:t xml:space="preserve"> </w:t>
      </w:r>
      <w:r w:rsidRPr="00EA59C0">
        <w:t>$</w:t>
      </w:r>
      <w:r w:rsidR="00A13EA8" w:rsidRPr="00EA59C0">
        <w:t>450</w:t>
      </w:r>
      <w:r w:rsidR="00C026A6" w:rsidRPr="00EA59C0">
        <w:t xml:space="preserve"> </w:t>
      </w:r>
      <w:r w:rsidRPr="00EA59C0">
        <w:t>million</w:t>
      </w:r>
      <w:r w:rsidR="00C026A6" w:rsidRPr="00EA59C0">
        <w:t xml:space="preserve"> </w:t>
      </w:r>
      <w:r w:rsidRPr="00EA59C0">
        <w:t>is</w:t>
      </w:r>
      <w:r w:rsidR="00C026A6" w:rsidRPr="00EA59C0">
        <w:t xml:space="preserve"> </w:t>
      </w:r>
      <w:r w:rsidRPr="00EA59C0">
        <w:t>available,</w:t>
      </w:r>
      <w:r w:rsidR="00C026A6" w:rsidRPr="00EA59C0">
        <w:t xml:space="preserve"> </w:t>
      </w:r>
      <w:r w:rsidRPr="00EA59C0">
        <w:t>which</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intends</w:t>
      </w:r>
      <w:r w:rsidR="00C026A6" w:rsidRPr="00EA59C0">
        <w:t xml:space="preserve"> </w:t>
      </w:r>
      <w:r w:rsidRPr="00EA59C0">
        <w:t>to</w:t>
      </w:r>
      <w:r w:rsidR="00C026A6" w:rsidRPr="00EA59C0">
        <w:t xml:space="preserve"> </w:t>
      </w:r>
      <w:r w:rsidRPr="00EA59C0">
        <w:t>award</w:t>
      </w:r>
      <w:r w:rsidR="00C026A6" w:rsidRPr="00EA59C0">
        <w:t xml:space="preserve"> </w:t>
      </w:r>
      <w:r w:rsidRPr="00EA59C0">
        <w:t>to</w:t>
      </w:r>
      <w:r w:rsidR="00C026A6" w:rsidRPr="00EA59C0">
        <w:t xml:space="preserve"> </w:t>
      </w:r>
      <w:r w:rsidRPr="00EA59C0">
        <w:t>single</w:t>
      </w:r>
      <w:r w:rsidR="00C026A6" w:rsidRPr="00EA59C0">
        <w:t xml:space="preserve"> </w:t>
      </w:r>
      <w:r w:rsidRPr="00EA59C0">
        <w:t>and</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as</w:t>
      </w:r>
      <w:r w:rsidR="00C026A6" w:rsidRPr="00EA59C0">
        <w:t xml:space="preserve"> </w:t>
      </w:r>
      <w:r w:rsidRPr="00EA59C0">
        <w:t>specified</w:t>
      </w:r>
      <w:r w:rsidR="00B93729" w:rsidRPr="00EA59C0">
        <w:t xml:space="preserve"> </w:t>
      </w:r>
      <w:r w:rsidRPr="00EA59C0">
        <w:t>in</w:t>
      </w:r>
      <w:r w:rsidR="00C026A6" w:rsidRPr="00EA59C0">
        <w:t xml:space="preserve"> </w:t>
      </w:r>
      <w:r w:rsidRPr="00EA59C0">
        <w:t>Sections</w:t>
      </w:r>
      <w:r w:rsidR="00C026A6" w:rsidRPr="00EA59C0">
        <w:t xml:space="preserve"> </w:t>
      </w:r>
      <w:r w:rsidRPr="00EA59C0">
        <w:t>II.A.1</w:t>
      </w:r>
      <w:r w:rsidR="00C026A6" w:rsidRPr="00EA59C0">
        <w:t xml:space="preserve"> </w:t>
      </w:r>
      <w:r w:rsidRPr="00EA59C0">
        <w:t>and</w:t>
      </w:r>
      <w:r w:rsidR="00C026A6" w:rsidRPr="00EA59C0">
        <w:t xml:space="preserve"> </w:t>
      </w:r>
      <w:r w:rsidRPr="00EA59C0">
        <w:t>II.A.2</w:t>
      </w:r>
      <w:r w:rsidR="00C026A6" w:rsidRPr="00EA59C0">
        <w:t xml:space="preserve"> </w:t>
      </w:r>
      <w:r w:rsidRPr="00EA59C0">
        <w:t>below.</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reserves</w:t>
      </w:r>
      <w:r w:rsidR="00C026A6" w:rsidRPr="00EA59C0">
        <w:t xml:space="preserve"> </w:t>
      </w:r>
      <w:r w:rsidRPr="00EA59C0">
        <w:t>the</w:t>
      </w:r>
      <w:r w:rsidR="00C026A6" w:rsidRPr="00EA59C0">
        <w:t xml:space="preserve"> </w:t>
      </w:r>
      <w:r w:rsidRPr="00EA59C0">
        <w:t>right</w:t>
      </w:r>
      <w:r w:rsidR="00C026A6" w:rsidRPr="00EA59C0">
        <w:t xml:space="preserve"> </w:t>
      </w:r>
      <w:r w:rsidRPr="00EA59C0">
        <w:t>to</w:t>
      </w:r>
      <w:r w:rsidR="00C026A6" w:rsidRPr="00EA59C0">
        <w:t xml:space="preserve"> </w:t>
      </w:r>
      <w:r w:rsidRPr="00EA59C0">
        <w:t>adjust</w:t>
      </w:r>
      <w:r w:rsidR="00C026A6" w:rsidRPr="00EA59C0">
        <w:t xml:space="preserve"> </w:t>
      </w:r>
      <w:r w:rsidRPr="00EA59C0">
        <w:t>the</w:t>
      </w:r>
      <w:r w:rsidR="00C026A6" w:rsidRPr="00EA59C0">
        <w:t xml:space="preserve"> </w:t>
      </w:r>
      <w:r w:rsidRPr="00EA59C0">
        <w:t>distribution</w:t>
      </w:r>
      <w:r w:rsidR="00C026A6" w:rsidRPr="00EA59C0">
        <w:t xml:space="preserve"> </w:t>
      </w:r>
      <w:r w:rsidRPr="00EA59C0">
        <w:t>of</w:t>
      </w:r>
      <w:r w:rsidR="00C026A6" w:rsidRPr="00EA59C0">
        <w:t xml:space="preserve"> </w:t>
      </w:r>
      <w:r w:rsidRPr="00EA59C0">
        <w:t>funding,</w:t>
      </w:r>
      <w:r w:rsidR="00C026A6" w:rsidRPr="00EA59C0">
        <w:t xml:space="preserve"> </w:t>
      </w:r>
      <w:r w:rsidRPr="00EA59C0">
        <w:t>and</w:t>
      </w:r>
      <w:r w:rsidR="00C026A6" w:rsidRPr="00EA59C0">
        <w:t xml:space="preserve"> </w:t>
      </w:r>
      <w:r w:rsidRPr="00EA59C0">
        <w:t>in</w:t>
      </w:r>
      <w:r w:rsidR="00C026A6" w:rsidRPr="00EA59C0">
        <w:t xml:space="preserve"> </w:t>
      </w:r>
      <w:r w:rsidRPr="00EA59C0">
        <w:t>the</w:t>
      </w:r>
      <w:r w:rsidR="00C026A6" w:rsidRPr="00EA59C0">
        <w:t xml:space="preserve"> </w:t>
      </w:r>
      <w:r w:rsidRPr="00EA59C0">
        <w:t>event</w:t>
      </w:r>
      <w:r w:rsidR="00C026A6" w:rsidRPr="00EA59C0">
        <w:t xml:space="preserve"> </w:t>
      </w:r>
      <w:r w:rsidRPr="00EA59C0">
        <w:t>that</w:t>
      </w:r>
      <w:r w:rsidR="00C026A6" w:rsidRPr="00EA59C0">
        <w:t xml:space="preserve"> </w:t>
      </w:r>
      <w:r w:rsidRPr="00EA59C0">
        <w:t>additional</w:t>
      </w:r>
      <w:r w:rsidR="00C026A6" w:rsidRPr="00EA59C0">
        <w:t xml:space="preserve"> </w:t>
      </w:r>
      <w:r w:rsidRPr="00EA59C0">
        <w:t>funds</w:t>
      </w:r>
      <w:r w:rsidR="00C026A6" w:rsidRPr="00EA59C0">
        <w:t xml:space="preserve"> </w:t>
      </w:r>
      <w:r w:rsidRPr="00EA59C0">
        <w:t>become</w:t>
      </w:r>
      <w:r w:rsidR="00C026A6" w:rsidRPr="00EA59C0">
        <w:t xml:space="preserve"> </w:t>
      </w:r>
      <w:r w:rsidRPr="00EA59C0">
        <w:t>available,</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reserves</w:t>
      </w:r>
      <w:r w:rsidR="00C026A6" w:rsidRPr="00EA59C0">
        <w:t xml:space="preserve"> </w:t>
      </w:r>
      <w:r w:rsidRPr="00EA59C0">
        <w:t>the</w:t>
      </w:r>
      <w:r w:rsidR="00C026A6" w:rsidRPr="00EA59C0">
        <w:t xml:space="preserve"> </w:t>
      </w:r>
      <w:r w:rsidRPr="00EA59C0">
        <w:t>right</w:t>
      </w:r>
      <w:r w:rsidR="00C026A6" w:rsidRPr="00EA59C0">
        <w:t xml:space="preserve"> </w:t>
      </w:r>
      <w:r w:rsidRPr="00EA59C0">
        <w:t>to</w:t>
      </w:r>
      <w:r w:rsidR="00C026A6" w:rsidRPr="00EA59C0">
        <w:t xml:space="preserve"> </w:t>
      </w:r>
      <w:r w:rsidRPr="00EA59C0">
        <w:t>use</w:t>
      </w:r>
      <w:r w:rsidR="00C026A6" w:rsidRPr="00EA59C0">
        <w:t xml:space="preserve"> </w:t>
      </w:r>
      <w:r w:rsidRPr="00EA59C0">
        <w:t>such</w:t>
      </w:r>
      <w:r w:rsidR="00C026A6" w:rsidRPr="00EA59C0">
        <w:t xml:space="preserve"> </w:t>
      </w:r>
      <w:r w:rsidRPr="00EA59C0">
        <w:t>funds</w:t>
      </w:r>
      <w:r w:rsidR="00C026A6" w:rsidRPr="00EA59C0">
        <w:t xml:space="preserve"> </w:t>
      </w:r>
      <w:r w:rsidRPr="00EA59C0">
        <w:t>to</w:t>
      </w:r>
      <w:r w:rsidR="00C026A6" w:rsidRPr="00EA59C0">
        <w:t xml:space="preserve"> </w:t>
      </w:r>
      <w:r w:rsidRPr="00EA59C0">
        <w:t>select</w:t>
      </w:r>
      <w:r w:rsidR="00C026A6" w:rsidRPr="00EA59C0">
        <w:t xml:space="preserve"> </w:t>
      </w:r>
      <w:r w:rsidRPr="00EA59C0">
        <w:t>additional</w:t>
      </w:r>
      <w:r w:rsidR="00C026A6" w:rsidRPr="00EA59C0">
        <w:t xml:space="preserve"> </w:t>
      </w:r>
      <w:r w:rsidRPr="00EA59C0">
        <w:t>grantees</w:t>
      </w:r>
      <w:r w:rsidR="00C026A6" w:rsidRPr="00EA59C0">
        <w:t xml:space="preserve"> </w:t>
      </w:r>
      <w:r w:rsidRPr="00EA59C0">
        <w:t>from</w:t>
      </w:r>
      <w:r w:rsidR="00C026A6" w:rsidRPr="00EA59C0">
        <w:t xml:space="preserve"> </w:t>
      </w:r>
      <w:r w:rsidRPr="00EA59C0">
        <w:t>applications</w:t>
      </w:r>
      <w:r w:rsidR="00C026A6" w:rsidRPr="00EA59C0">
        <w:t xml:space="preserve"> </w:t>
      </w:r>
      <w:r w:rsidRPr="00EA59C0">
        <w:t>submitted</w:t>
      </w:r>
      <w:r w:rsidR="00C026A6" w:rsidRPr="00EA59C0">
        <w:t xml:space="preserve"> </w:t>
      </w:r>
      <w:r w:rsidRPr="00EA59C0">
        <w:t>in</w:t>
      </w:r>
      <w:r w:rsidR="00C026A6" w:rsidRPr="00EA59C0">
        <w:t xml:space="preserve"> </w:t>
      </w:r>
      <w:r w:rsidRPr="00EA59C0">
        <w:t>response</w:t>
      </w:r>
      <w:r w:rsidR="00C026A6" w:rsidRPr="00EA59C0">
        <w:t xml:space="preserve"> </w:t>
      </w:r>
      <w:r w:rsidRPr="00EA59C0">
        <w:t>to</w:t>
      </w:r>
      <w:r w:rsidR="00C026A6" w:rsidRPr="00EA59C0">
        <w:t xml:space="preserve"> </w:t>
      </w:r>
      <w:r w:rsidRPr="00EA59C0">
        <w:t>this</w:t>
      </w:r>
      <w:r w:rsidR="00C026A6" w:rsidRPr="00EA59C0">
        <w:t xml:space="preserve"> </w:t>
      </w:r>
      <w:r w:rsidRPr="00EA59C0">
        <w:t>solicitation.</w:t>
      </w:r>
      <w:r w:rsidR="00C026A6" w:rsidRPr="00EA59C0">
        <w:t xml:space="preserve">  </w:t>
      </w:r>
      <w:r w:rsidRPr="00EA59C0">
        <w:t>While</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was</w:t>
      </w:r>
      <w:r w:rsidR="00C026A6" w:rsidRPr="00EA59C0">
        <w:t xml:space="preserve"> </w:t>
      </w:r>
      <w:r w:rsidRPr="00EA59C0">
        <w:t>initially</w:t>
      </w:r>
      <w:r w:rsidR="00C026A6" w:rsidRPr="00EA59C0">
        <w:t xml:space="preserve"> </w:t>
      </w:r>
      <w:r w:rsidRPr="00EA59C0">
        <w:t>appropriated</w:t>
      </w:r>
      <w:r w:rsidR="00C026A6" w:rsidRPr="00EA59C0">
        <w:t xml:space="preserve"> </w:t>
      </w:r>
      <w:r w:rsidRPr="00EA59C0">
        <w:t>$500</w:t>
      </w:r>
      <w:r w:rsidR="00C026A6" w:rsidRPr="00EA59C0">
        <w:t xml:space="preserve"> </w:t>
      </w:r>
      <w:r w:rsidRPr="00EA59C0">
        <w:t>million</w:t>
      </w:r>
      <w:r w:rsidR="00C026A6" w:rsidRPr="00EA59C0">
        <w:t xml:space="preserve"> </w:t>
      </w:r>
      <w:r w:rsidRPr="00EA59C0">
        <w:t>in</w:t>
      </w:r>
      <w:r w:rsidR="00C026A6" w:rsidRPr="00EA59C0">
        <w:t xml:space="preserve"> </w:t>
      </w:r>
      <w:r w:rsidRPr="00EA59C0">
        <w:t>TAACCCT</w:t>
      </w:r>
      <w:r w:rsidR="00C026A6" w:rsidRPr="00EA59C0">
        <w:t xml:space="preserve"> </w:t>
      </w:r>
      <w:r w:rsidRPr="00EA59C0">
        <w:t>funds</w:t>
      </w:r>
      <w:r w:rsidR="00C026A6" w:rsidRPr="00EA59C0">
        <w:t xml:space="preserve"> </w:t>
      </w:r>
      <w:r w:rsidRPr="00EA59C0">
        <w:t>for</w:t>
      </w:r>
      <w:r w:rsidR="00C026A6" w:rsidRPr="00EA59C0">
        <w:t xml:space="preserve"> </w:t>
      </w:r>
      <w:r w:rsidRPr="00EA59C0">
        <w:t>FY</w:t>
      </w:r>
      <w:r w:rsidR="00C026A6" w:rsidRPr="00EA59C0">
        <w:t xml:space="preserve"> </w:t>
      </w:r>
      <w:r w:rsidRPr="00EA59C0">
        <w:t>201</w:t>
      </w:r>
      <w:r w:rsidR="00E37CEC" w:rsidRPr="00EA59C0">
        <w:t>4</w:t>
      </w:r>
      <w:r w:rsidRPr="00EA59C0">
        <w:t>,</w:t>
      </w:r>
      <w:r w:rsidR="00C026A6" w:rsidRPr="00EA59C0">
        <w:t xml:space="preserve"> </w:t>
      </w:r>
      <w:r w:rsidRPr="00EA59C0">
        <w:t>the</w:t>
      </w:r>
      <w:r w:rsidR="00C026A6" w:rsidRPr="00EA59C0">
        <w:t xml:space="preserve"> </w:t>
      </w:r>
      <w:r w:rsidRPr="00EA59C0">
        <w:t>total</w:t>
      </w:r>
      <w:r w:rsidR="00C026A6" w:rsidRPr="00EA59C0">
        <w:t xml:space="preserve"> </w:t>
      </w:r>
      <w:r w:rsidRPr="00EA59C0">
        <w:t>amount</w:t>
      </w:r>
      <w:r w:rsidR="00C026A6" w:rsidRPr="00EA59C0">
        <w:t xml:space="preserve"> </w:t>
      </w:r>
      <w:r w:rsidRPr="00EA59C0">
        <w:t>of</w:t>
      </w:r>
      <w:r w:rsidR="00C026A6" w:rsidRPr="00EA59C0">
        <w:t xml:space="preserve"> </w:t>
      </w:r>
      <w:r w:rsidRPr="00EA59C0">
        <w:t>funds</w:t>
      </w:r>
      <w:r w:rsidR="00C026A6" w:rsidRPr="00EA59C0">
        <w:t xml:space="preserve"> </w:t>
      </w:r>
      <w:r w:rsidRPr="00EA59C0">
        <w:t>available</w:t>
      </w:r>
      <w:r w:rsidR="00C026A6" w:rsidRPr="00EA59C0">
        <w:t xml:space="preserve"> </w:t>
      </w:r>
      <w:r w:rsidRPr="00EA59C0">
        <w:t>is</w:t>
      </w:r>
      <w:r w:rsidR="00C026A6" w:rsidRPr="00EA59C0">
        <w:t xml:space="preserve"> </w:t>
      </w:r>
      <w:r w:rsidR="00DE3F66" w:rsidRPr="00EA59C0">
        <w:t>$450</w:t>
      </w:r>
      <w:r w:rsidR="00C026A6" w:rsidRPr="00EA59C0">
        <w:t xml:space="preserve"> </w:t>
      </w:r>
      <w:r w:rsidRPr="00EA59C0">
        <w:t>million</w:t>
      </w:r>
      <w:r w:rsidR="00C026A6" w:rsidRPr="00EA59C0">
        <w:t xml:space="preserve"> </w:t>
      </w:r>
      <w:r w:rsidRPr="00EA59C0">
        <w:t>as</w:t>
      </w:r>
      <w:r w:rsidR="00C026A6" w:rsidRPr="00EA59C0">
        <w:t xml:space="preserve"> </w:t>
      </w:r>
      <w:r w:rsidRPr="00EA59C0">
        <w:t>a</w:t>
      </w:r>
      <w:r w:rsidR="00C026A6" w:rsidRPr="00EA59C0">
        <w:t xml:space="preserve"> </w:t>
      </w:r>
      <w:r w:rsidRPr="00EA59C0">
        <w:t>result</w:t>
      </w:r>
      <w:r w:rsidR="00C026A6" w:rsidRPr="00EA59C0">
        <w:t xml:space="preserve"> </w:t>
      </w:r>
      <w:r w:rsidRPr="00EA59C0">
        <w:t>of</w:t>
      </w:r>
      <w:r w:rsidR="00C026A6" w:rsidRPr="00EA59C0">
        <w:t xml:space="preserve"> </w:t>
      </w:r>
      <w:r w:rsidRPr="00EA59C0">
        <w:t>the</w:t>
      </w:r>
      <w:r w:rsidR="00C026A6" w:rsidRPr="00EA59C0">
        <w:t xml:space="preserve"> </w:t>
      </w:r>
      <w:r w:rsidRPr="00EA59C0">
        <w:t>sequestration</w:t>
      </w:r>
      <w:r w:rsidR="00C026A6" w:rsidRPr="00EA59C0">
        <w:t xml:space="preserve"> </w:t>
      </w:r>
      <w:r w:rsidRPr="00EA59C0">
        <w:t>required</w:t>
      </w:r>
      <w:r w:rsidR="00C026A6" w:rsidRPr="00EA59C0">
        <w:t xml:space="preserve"> </w:t>
      </w:r>
      <w:r w:rsidRPr="00EA59C0">
        <w:t>by</w:t>
      </w:r>
      <w:r w:rsidR="00C026A6" w:rsidRPr="00EA59C0">
        <w:t xml:space="preserve"> </w:t>
      </w:r>
      <w:r w:rsidRPr="00EA59C0">
        <w:t>the</w:t>
      </w:r>
      <w:r w:rsidR="00C026A6" w:rsidRPr="00EA59C0">
        <w:t xml:space="preserve"> </w:t>
      </w:r>
      <w:r w:rsidRPr="00EA59C0">
        <w:t>Balanced</w:t>
      </w:r>
      <w:r w:rsidR="00C026A6" w:rsidRPr="00EA59C0">
        <w:t xml:space="preserve"> </w:t>
      </w:r>
      <w:r w:rsidRPr="00EA59C0">
        <w:t>Budget</w:t>
      </w:r>
      <w:r w:rsidR="00C026A6" w:rsidRPr="00EA59C0">
        <w:t xml:space="preserve"> </w:t>
      </w:r>
      <w:r w:rsidRPr="00EA59C0">
        <w:t>and</w:t>
      </w:r>
      <w:r w:rsidR="00C026A6" w:rsidRPr="00EA59C0">
        <w:t xml:space="preserve"> </w:t>
      </w:r>
      <w:r w:rsidRPr="00EA59C0">
        <w:t>Emergency</w:t>
      </w:r>
      <w:r w:rsidR="00C026A6" w:rsidRPr="00EA59C0">
        <w:t xml:space="preserve"> </w:t>
      </w:r>
      <w:r w:rsidRPr="00EA59C0">
        <w:t>Deficit</w:t>
      </w:r>
      <w:r w:rsidR="00C026A6" w:rsidRPr="00EA59C0">
        <w:t xml:space="preserve"> </w:t>
      </w:r>
      <w:r w:rsidRPr="00EA59C0">
        <w:t>Control</w:t>
      </w:r>
      <w:r w:rsidR="00C026A6" w:rsidRPr="00EA59C0">
        <w:t xml:space="preserve"> </w:t>
      </w:r>
      <w:r w:rsidRPr="00EA59C0">
        <w:t>Act</w:t>
      </w:r>
      <w:r w:rsidR="00C026A6" w:rsidRPr="00EA59C0">
        <w:t xml:space="preserve"> </w:t>
      </w:r>
      <w:r w:rsidRPr="00EA59C0">
        <w:t>of</w:t>
      </w:r>
      <w:r w:rsidR="00C026A6" w:rsidRPr="00EA59C0">
        <w:t xml:space="preserve"> </w:t>
      </w:r>
      <w:r w:rsidRPr="00EA59C0">
        <w:t>1985</w:t>
      </w:r>
      <w:r w:rsidR="00C026A6" w:rsidRPr="00EA59C0">
        <w:t xml:space="preserve"> </w:t>
      </w:r>
      <w:r w:rsidRPr="00EA59C0">
        <w:t>(Pub.</w:t>
      </w:r>
      <w:r w:rsidR="00C026A6" w:rsidRPr="00EA59C0">
        <w:t xml:space="preserve"> </w:t>
      </w:r>
      <w:r w:rsidRPr="00EA59C0">
        <w:t>L.</w:t>
      </w:r>
      <w:r w:rsidR="00C026A6" w:rsidRPr="00EA59C0">
        <w:t xml:space="preserve"> </w:t>
      </w:r>
      <w:r w:rsidRPr="00EA59C0">
        <w:t>99-177),</w:t>
      </w:r>
      <w:r w:rsidR="00C026A6" w:rsidRPr="00EA59C0">
        <w:t xml:space="preserve"> </w:t>
      </w:r>
      <w:r w:rsidRPr="00EA59C0">
        <w:t>as</w:t>
      </w:r>
      <w:r w:rsidR="00C026A6" w:rsidRPr="00EA59C0">
        <w:t xml:space="preserve"> </w:t>
      </w:r>
      <w:r w:rsidRPr="00EA59C0">
        <w:t>amended</w:t>
      </w:r>
      <w:r w:rsidR="00C026A6" w:rsidRPr="00EA59C0">
        <w:t xml:space="preserve"> </w:t>
      </w:r>
      <w:r w:rsidR="00916D16" w:rsidRPr="00EA59C0">
        <w:t>and</w:t>
      </w:r>
      <w:r w:rsidR="00C026A6" w:rsidRPr="00EA59C0">
        <w:t xml:space="preserve"> </w:t>
      </w:r>
      <w:r w:rsidR="00916D16" w:rsidRPr="00EA59C0">
        <w:t>TAACCCT</w:t>
      </w:r>
      <w:r w:rsidR="00C026A6" w:rsidRPr="00EA59C0">
        <w:t xml:space="preserve"> </w:t>
      </w:r>
      <w:r w:rsidR="00916D16" w:rsidRPr="00EA59C0">
        <w:t>evaluation</w:t>
      </w:r>
      <w:r w:rsidR="00C026A6" w:rsidRPr="00EA59C0">
        <w:t xml:space="preserve"> </w:t>
      </w:r>
      <w:r w:rsidR="00916D16" w:rsidRPr="00EA59C0">
        <w:t>and</w:t>
      </w:r>
      <w:r w:rsidR="00C026A6" w:rsidRPr="00EA59C0">
        <w:t xml:space="preserve"> </w:t>
      </w:r>
      <w:r w:rsidR="00916D16" w:rsidRPr="00EA59C0">
        <w:t>technical</w:t>
      </w:r>
      <w:r w:rsidR="00C026A6" w:rsidRPr="00EA59C0">
        <w:t xml:space="preserve"> </w:t>
      </w:r>
      <w:r w:rsidR="00916D16" w:rsidRPr="00EA59C0">
        <w:t>assistance</w:t>
      </w:r>
      <w:r w:rsidR="00C026A6" w:rsidRPr="00EA59C0">
        <w:t xml:space="preserve"> </w:t>
      </w:r>
      <w:r w:rsidR="00916D16" w:rsidRPr="00EA59C0">
        <w:t>funding</w:t>
      </w:r>
      <w:r w:rsidR="00C026A6" w:rsidRPr="00EA59C0">
        <w:t xml:space="preserve"> </w:t>
      </w:r>
      <w:r w:rsidR="00916D16" w:rsidRPr="00EA59C0">
        <w:t>authorized</w:t>
      </w:r>
      <w:r w:rsidR="00C026A6" w:rsidRPr="00EA59C0">
        <w:t xml:space="preserve"> </w:t>
      </w:r>
      <w:r w:rsidR="00916D16" w:rsidRPr="00EA59C0">
        <w:t>under</w:t>
      </w:r>
      <w:r w:rsidR="00C026A6" w:rsidRPr="00EA59C0">
        <w:t xml:space="preserve"> </w:t>
      </w:r>
      <w:r w:rsidR="00916D16" w:rsidRPr="00EA59C0">
        <w:t>the</w:t>
      </w:r>
      <w:r w:rsidR="00C026A6" w:rsidRPr="00EA59C0">
        <w:t xml:space="preserve"> </w:t>
      </w:r>
      <w:r w:rsidR="00916D16" w:rsidRPr="00EA59C0">
        <w:t>Consolidated</w:t>
      </w:r>
      <w:r w:rsidR="00C026A6" w:rsidRPr="00EA59C0">
        <w:t xml:space="preserve"> </w:t>
      </w:r>
      <w:r w:rsidR="00916D16" w:rsidRPr="00EA59C0">
        <w:t>Appropriations</w:t>
      </w:r>
      <w:r w:rsidR="00C026A6" w:rsidRPr="00EA59C0">
        <w:t xml:space="preserve"> </w:t>
      </w:r>
      <w:r w:rsidR="00916D16" w:rsidRPr="00EA59C0">
        <w:t>Act</w:t>
      </w:r>
      <w:r w:rsidR="00C026A6" w:rsidRPr="00EA59C0">
        <w:t xml:space="preserve"> </w:t>
      </w:r>
      <w:r w:rsidR="00916D16" w:rsidRPr="00EA59C0">
        <w:t>of</w:t>
      </w:r>
      <w:r w:rsidR="00C026A6" w:rsidRPr="00EA59C0">
        <w:t xml:space="preserve"> </w:t>
      </w:r>
      <w:r w:rsidR="00916D16" w:rsidRPr="00EA59C0">
        <w:t>2014.</w:t>
      </w:r>
    </w:p>
    <w:p w:rsidR="00E37CEC" w:rsidRPr="00EA59C0" w:rsidRDefault="00E37CEC" w:rsidP="00D03948">
      <w:pPr>
        <w:ind w:left="360"/>
      </w:pPr>
    </w:p>
    <w:p w:rsidR="00836898" w:rsidRPr="00EA59C0" w:rsidRDefault="00836898" w:rsidP="00080097">
      <w:pPr>
        <w:pStyle w:val="Heading2"/>
        <w:numPr>
          <w:ilvl w:val="2"/>
          <w:numId w:val="17"/>
        </w:numPr>
        <w:spacing w:line="240" w:lineRule="auto"/>
        <w:rPr>
          <w:rFonts w:ascii="Times New Roman" w:hAnsi="Times New Roman"/>
          <w:b w:val="0"/>
          <w:i w:val="0"/>
        </w:rPr>
      </w:pPr>
      <w:r w:rsidRPr="00EA59C0">
        <w:rPr>
          <w:rFonts w:ascii="Times New Roman" w:hAnsi="Times New Roman"/>
          <w:b w:val="0"/>
          <w:i w:val="0"/>
        </w:rPr>
        <w:t>Award</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Institutions</w:t>
      </w:r>
      <w:r w:rsidR="00C026A6" w:rsidRPr="00EA59C0">
        <w:rPr>
          <w:rFonts w:ascii="Times New Roman" w:hAnsi="Times New Roman"/>
          <w:b w:val="0"/>
          <w:i w:val="0"/>
        </w:rPr>
        <w:t xml:space="preserve"> </w:t>
      </w:r>
      <w:r w:rsidRPr="00EA59C0">
        <w:rPr>
          <w:rFonts w:ascii="Times New Roman" w:hAnsi="Times New Roman"/>
          <w:b w:val="0"/>
          <w:i w:val="0"/>
        </w:rPr>
        <w:t>in</w:t>
      </w:r>
      <w:r w:rsidR="00C026A6" w:rsidRPr="00EA59C0">
        <w:rPr>
          <w:rFonts w:ascii="Times New Roman" w:hAnsi="Times New Roman"/>
          <w:b w:val="0"/>
          <w:i w:val="0"/>
        </w:rPr>
        <w:t xml:space="preserve"> </w:t>
      </w:r>
      <w:r w:rsidRPr="00EA59C0">
        <w:rPr>
          <w:rFonts w:ascii="Times New Roman" w:hAnsi="Times New Roman"/>
          <w:b w:val="0"/>
          <w:i w:val="0"/>
        </w:rPr>
        <w:t>Each</w:t>
      </w:r>
      <w:r w:rsidR="00C026A6" w:rsidRPr="00EA59C0">
        <w:rPr>
          <w:rFonts w:ascii="Times New Roman" w:hAnsi="Times New Roman"/>
          <w:b w:val="0"/>
          <w:i w:val="0"/>
        </w:rPr>
        <w:t xml:space="preserve"> </w:t>
      </w:r>
      <w:r w:rsidRPr="00EA59C0">
        <w:rPr>
          <w:rFonts w:ascii="Times New Roman" w:hAnsi="Times New Roman"/>
          <w:b w:val="0"/>
          <w:i w:val="0"/>
        </w:rPr>
        <w:t>State</w:t>
      </w:r>
    </w:p>
    <w:p w:rsidR="00836898" w:rsidRPr="00EA59C0" w:rsidRDefault="00836898" w:rsidP="00836898">
      <w:pPr>
        <w:ind w:left="1080"/>
      </w:pPr>
    </w:p>
    <w:p w:rsidR="00F333B1" w:rsidRPr="00EA59C0" w:rsidRDefault="00F333B1" w:rsidP="00080097">
      <w:pPr>
        <w:pStyle w:val="ListParagraph"/>
        <w:ind w:left="1080"/>
      </w:pPr>
      <w:r w:rsidRPr="00EA59C0">
        <w:t xml:space="preserve">Section 272(b) of the Trade Act of 1974 (19 USC 2372(b)) specifies that not less than 0.5 percent of the amount appropriated for these grant awards will support eligible institutions in each State. </w:t>
      </w:r>
      <w:r w:rsidR="007A066E" w:rsidRPr="00EA59C0">
        <w:t xml:space="preserve"> In the case of an award to a consortium, the amount of funds allocated to each member in the application will be attributed to the state in which the consortium member institution is located.  The Department will add the amounts awarded to consortium member institutions </w:t>
      </w:r>
      <w:r w:rsidRPr="00EA59C0">
        <w:t>to the amounts awarded to any single institution applicants in the state to determine whether at least $2,250,400 in grant funds are awarded to</w:t>
      </w:r>
      <w:r w:rsidR="007A066E" w:rsidRPr="00EA59C0">
        <w:t xml:space="preserve"> eligible institutions in each S</w:t>
      </w:r>
      <w:r w:rsidRPr="00EA59C0">
        <w:t>tate. </w:t>
      </w:r>
    </w:p>
    <w:p w:rsidR="00F333B1" w:rsidRPr="00EA59C0" w:rsidRDefault="00F333B1" w:rsidP="00080097">
      <w:pPr>
        <w:pStyle w:val="ListParagraph"/>
        <w:ind w:left="1080"/>
      </w:pPr>
    </w:p>
    <w:p w:rsidR="00F333B1" w:rsidRPr="00EA59C0" w:rsidRDefault="00F333B1" w:rsidP="00080097">
      <w:pPr>
        <w:pStyle w:val="ListParagraph"/>
        <w:ind w:left="1080"/>
      </w:pPr>
      <w:r w:rsidRPr="00EA59C0">
        <w:t>To ensure that at least one eligible institution from each of the 50 States, the </w:t>
      </w:r>
    </w:p>
    <w:p w:rsidR="001D681C" w:rsidRPr="00EA59C0" w:rsidRDefault="00F333B1" w:rsidP="00C616BC">
      <w:pPr>
        <w:pStyle w:val="ListParagraph"/>
        <w:ind w:left="1080"/>
      </w:pPr>
      <w:r w:rsidRPr="00EA59C0">
        <w:t xml:space="preserve">District of </w:t>
      </w:r>
      <w:r w:rsidR="00080097" w:rsidRPr="00EA59C0">
        <w:t>Columbia</w:t>
      </w:r>
      <w:r w:rsidRPr="00EA59C0">
        <w:t xml:space="preserve"> and Puerto Rico (see Section 247(8) of the Trade Act of 1974, 19 USC 2319(8)) receives an </w:t>
      </w:r>
      <w:r w:rsidR="00080097" w:rsidRPr="00EA59C0">
        <w:t>award;</w:t>
      </w:r>
      <w:r w:rsidRPr="00EA59C0">
        <w:t xml:space="preserve"> the Grant Officer will first select fundable applications that represent as many States as possible. If the Grant Officer finds that a State is not represented by a fundable application, the Grant Officer will determine whether any non-fundable applications can be made fundable by placing conditions on the grant. If the Grant Officer determines that no applications can be made fundable by placing conditions on the grant, or if there are no timely and complete applications received from an eligible institution within a given State or represented by a consortium member institution applicant, DOL will contact the State agency responsible for colleges and universities to identify, and work with, an eligible institution to submit a single institution applicant proposal. </w:t>
      </w:r>
      <w:r w:rsidRPr="00EA59C0" w:rsidDel="00F333B1">
        <w:t xml:space="preserve"> </w:t>
      </w:r>
    </w:p>
    <w:p w:rsidR="00080097" w:rsidRPr="00EA59C0" w:rsidRDefault="00080097" w:rsidP="00D03948">
      <w:pPr>
        <w:ind w:left="360"/>
      </w:pPr>
    </w:p>
    <w:p w:rsidR="00882D50" w:rsidRPr="00EA59C0" w:rsidRDefault="00882D50" w:rsidP="00080097">
      <w:pPr>
        <w:pStyle w:val="Heading2"/>
        <w:numPr>
          <w:ilvl w:val="2"/>
          <w:numId w:val="17"/>
        </w:numPr>
        <w:spacing w:line="240" w:lineRule="auto"/>
        <w:rPr>
          <w:rFonts w:ascii="Times New Roman" w:hAnsi="Times New Roman"/>
          <w:b w:val="0"/>
          <w:i w:val="0"/>
        </w:rPr>
      </w:pPr>
      <w:r w:rsidRPr="00EA59C0">
        <w:rPr>
          <w:rFonts w:ascii="Times New Roman" w:hAnsi="Times New Roman"/>
          <w:b w:val="0"/>
          <w:i w:val="0"/>
        </w:rPr>
        <w:t>Award</w:t>
      </w:r>
      <w:r w:rsidR="00C026A6" w:rsidRPr="00EA59C0">
        <w:rPr>
          <w:rFonts w:ascii="Times New Roman" w:hAnsi="Times New Roman"/>
          <w:b w:val="0"/>
          <w:i w:val="0"/>
        </w:rPr>
        <w:t xml:space="preserve"> </w:t>
      </w:r>
      <w:r w:rsidRPr="00EA59C0">
        <w:rPr>
          <w:rFonts w:ascii="Times New Roman" w:hAnsi="Times New Roman"/>
          <w:b w:val="0"/>
          <w:i w:val="0"/>
        </w:rPr>
        <w:t>Amount</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Single</w:t>
      </w:r>
      <w:r w:rsidR="00C026A6" w:rsidRPr="00EA59C0">
        <w:rPr>
          <w:rFonts w:ascii="Times New Roman" w:hAnsi="Times New Roman"/>
          <w:b w:val="0"/>
          <w:i w:val="0"/>
        </w:rPr>
        <w:t xml:space="preserve"> </w:t>
      </w:r>
      <w:r w:rsidRPr="00EA59C0">
        <w:rPr>
          <w:rFonts w:ascii="Times New Roman" w:hAnsi="Times New Roman"/>
          <w:b w:val="0"/>
          <w:i w:val="0"/>
        </w:rPr>
        <w:t>Institution</w:t>
      </w:r>
      <w:r w:rsidR="00C026A6" w:rsidRPr="00EA59C0">
        <w:rPr>
          <w:rFonts w:ascii="Times New Roman" w:hAnsi="Times New Roman"/>
          <w:b w:val="0"/>
          <w:i w:val="0"/>
        </w:rPr>
        <w:t xml:space="preserve"> </w:t>
      </w:r>
      <w:r w:rsidRPr="00EA59C0">
        <w:rPr>
          <w:rFonts w:ascii="Times New Roman" w:hAnsi="Times New Roman"/>
          <w:b w:val="0"/>
          <w:i w:val="0"/>
        </w:rPr>
        <w:t>Applicants</w:t>
      </w:r>
      <w:r w:rsidRPr="00EA59C0">
        <w:rPr>
          <w:rFonts w:ascii="Times New Roman" w:hAnsi="Times New Roman"/>
          <w:b w:val="0"/>
          <w:i w:val="0"/>
        </w:rPr>
        <w:tab/>
      </w:r>
    </w:p>
    <w:p w:rsidR="00730E5F" w:rsidRPr="00EA59C0" w:rsidRDefault="00BF51C5" w:rsidP="00730E5F">
      <w:pPr>
        <w:pStyle w:val="ListParagraph"/>
        <w:ind w:left="1080"/>
      </w:pPr>
      <w:r w:rsidRPr="00EA59C0">
        <w:t>The</w:t>
      </w:r>
      <w:r w:rsidR="00C026A6" w:rsidRPr="00EA59C0">
        <w:t xml:space="preserve"> </w:t>
      </w:r>
      <w:r w:rsidRPr="00EA59C0">
        <w:t>Department</w:t>
      </w:r>
      <w:r w:rsidR="00C026A6" w:rsidRPr="00EA59C0">
        <w:t xml:space="preserve"> </w:t>
      </w:r>
      <w:r w:rsidR="00882D50" w:rsidRPr="00EA59C0">
        <w:t>intends</w:t>
      </w:r>
      <w:r w:rsidR="00C026A6" w:rsidRPr="00EA59C0">
        <w:t xml:space="preserve"> </w:t>
      </w:r>
      <w:r w:rsidR="00882D50" w:rsidRPr="00EA59C0">
        <w:t>to</w:t>
      </w:r>
      <w:r w:rsidR="00C026A6" w:rsidRPr="00EA59C0">
        <w:t xml:space="preserve"> </w:t>
      </w:r>
      <w:r w:rsidR="00882D50" w:rsidRPr="00EA59C0">
        <w:t>make</w:t>
      </w:r>
      <w:r w:rsidR="00C026A6" w:rsidRPr="00EA59C0">
        <w:t xml:space="preserve"> </w:t>
      </w:r>
      <w:r w:rsidR="00882D50" w:rsidRPr="00EA59C0">
        <w:t>grant</w:t>
      </w:r>
      <w:r w:rsidR="00C026A6" w:rsidRPr="00EA59C0">
        <w:t xml:space="preserve"> </w:t>
      </w:r>
      <w:r w:rsidR="00882D50" w:rsidRPr="00EA59C0">
        <w:t>awards</w:t>
      </w:r>
      <w:r w:rsidR="00C026A6" w:rsidRPr="00EA59C0">
        <w:t xml:space="preserve"> </w:t>
      </w:r>
      <w:r w:rsidR="00882D50" w:rsidRPr="00EA59C0">
        <w:t>to</w:t>
      </w:r>
      <w:r w:rsidR="00C026A6" w:rsidRPr="00EA59C0">
        <w:t xml:space="preserve"> </w:t>
      </w:r>
      <w:r w:rsidR="00882D50" w:rsidRPr="00EA59C0">
        <w:t>eligible</w:t>
      </w:r>
      <w:r w:rsidR="00C026A6" w:rsidRPr="00EA59C0">
        <w:t xml:space="preserve"> </w:t>
      </w:r>
      <w:r w:rsidR="00AA77C5" w:rsidRPr="00EA59C0">
        <w:t>single</w:t>
      </w:r>
      <w:r w:rsidR="00C026A6" w:rsidRPr="00EA59C0">
        <w:t xml:space="preserve"> </w:t>
      </w:r>
      <w:r w:rsidR="00882D50" w:rsidRPr="00EA59C0">
        <w:t>institution</w:t>
      </w:r>
      <w:r w:rsidR="00C026A6" w:rsidRPr="00EA59C0">
        <w:t xml:space="preserve"> </w:t>
      </w:r>
      <w:r w:rsidR="00AA77C5" w:rsidRPr="00EA59C0">
        <w:t>applicants</w:t>
      </w:r>
      <w:r w:rsidR="00C026A6" w:rsidRPr="00EA59C0">
        <w:t xml:space="preserve"> </w:t>
      </w:r>
      <w:r w:rsidR="00AA77C5" w:rsidRPr="00EA59C0">
        <w:t>in</w:t>
      </w:r>
      <w:r w:rsidR="00C026A6" w:rsidRPr="00EA59C0">
        <w:t xml:space="preserve"> </w:t>
      </w:r>
      <w:r w:rsidR="00AA77C5" w:rsidRPr="00EA59C0">
        <w:t>all</w:t>
      </w:r>
      <w:r w:rsidR="00C026A6" w:rsidRPr="00EA59C0">
        <w:t xml:space="preserve"> </w:t>
      </w:r>
      <w:r w:rsidR="00AA77C5" w:rsidRPr="00EA59C0">
        <w:t>states</w:t>
      </w:r>
      <w:r w:rsidR="00C026A6" w:rsidRPr="00EA59C0">
        <w:t xml:space="preserve"> </w:t>
      </w:r>
      <w:r w:rsidR="00882D50" w:rsidRPr="00EA59C0">
        <w:t>ranging</w:t>
      </w:r>
      <w:r w:rsidR="00C026A6" w:rsidRPr="00EA59C0">
        <w:t xml:space="preserve"> </w:t>
      </w:r>
      <w:r w:rsidR="00882D50" w:rsidRPr="00EA59C0">
        <w:t>from</w:t>
      </w:r>
      <w:r w:rsidR="00C026A6" w:rsidRPr="00EA59C0">
        <w:t xml:space="preserve"> </w:t>
      </w:r>
      <w:r w:rsidR="00054590" w:rsidRPr="00EA59C0">
        <w:t>approximately</w:t>
      </w:r>
      <w:r w:rsidR="00C026A6" w:rsidRPr="00EA59C0">
        <w:t xml:space="preserve"> </w:t>
      </w:r>
      <w:r w:rsidR="00054590" w:rsidRPr="00EA59C0">
        <w:t>$2,260,000</w:t>
      </w:r>
      <w:r w:rsidR="00C026A6" w:rsidRPr="00EA59C0">
        <w:t xml:space="preserve"> </w:t>
      </w:r>
      <w:r w:rsidR="00882D50" w:rsidRPr="00EA59C0">
        <w:t>to</w:t>
      </w:r>
      <w:r w:rsidR="00C026A6" w:rsidRPr="00EA59C0">
        <w:t xml:space="preserve"> </w:t>
      </w:r>
      <w:r w:rsidR="00882D50" w:rsidRPr="00EA59C0">
        <w:t>$</w:t>
      </w:r>
      <w:r w:rsidR="00054590" w:rsidRPr="00EA59C0">
        <w:t>2,500,000</w:t>
      </w:r>
      <w:r w:rsidR="00882D50" w:rsidRPr="00EA59C0">
        <w:t>,</w:t>
      </w:r>
      <w:r w:rsidR="00C026A6" w:rsidRPr="00EA59C0">
        <w:t xml:space="preserve"> </w:t>
      </w:r>
      <w:r w:rsidR="00882D50" w:rsidRPr="00EA59C0">
        <w:t>up</w:t>
      </w:r>
      <w:r w:rsidR="00C026A6" w:rsidRPr="00EA59C0">
        <w:t xml:space="preserve"> </w:t>
      </w:r>
      <w:r w:rsidR="00882D50" w:rsidRPr="00EA59C0">
        <w:t>to</w:t>
      </w:r>
      <w:r w:rsidR="00C026A6" w:rsidRPr="00EA59C0">
        <w:t xml:space="preserve"> </w:t>
      </w:r>
      <w:r w:rsidR="00882D50" w:rsidRPr="00EA59C0">
        <w:t>a</w:t>
      </w:r>
      <w:r w:rsidR="00C026A6" w:rsidRPr="00EA59C0">
        <w:t xml:space="preserve"> </w:t>
      </w:r>
      <w:r w:rsidR="00882D50" w:rsidRPr="00EA59C0">
        <w:t>total</w:t>
      </w:r>
      <w:r w:rsidR="00C026A6" w:rsidRPr="00EA59C0">
        <w:t xml:space="preserve"> </w:t>
      </w:r>
      <w:r w:rsidR="00882D50" w:rsidRPr="00EA59C0">
        <w:t>of</w:t>
      </w:r>
      <w:r w:rsidR="00C026A6" w:rsidRPr="00EA59C0">
        <w:t xml:space="preserve"> </w:t>
      </w:r>
      <w:r w:rsidR="00E37CEC" w:rsidRPr="00EA59C0">
        <w:t>approximately</w:t>
      </w:r>
      <w:r w:rsidR="00C026A6" w:rsidRPr="00EA59C0">
        <w:t xml:space="preserve"> </w:t>
      </w:r>
      <w:r w:rsidR="00882D50" w:rsidRPr="00EA59C0">
        <w:t>$</w:t>
      </w:r>
      <w:r w:rsidR="00A13EA8" w:rsidRPr="00EA59C0">
        <w:t>1</w:t>
      </w:r>
      <w:r w:rsidR="00C34924" w:rsidRPr="00EA59C0">
        <w:t>5</w:t>
      </w:r>
      <w:r w:rsidR="00A13EA8" w:rsidRPr="00EA59C0">
        <w:t>0</w:t>
      </w:r>
      <w:r w:rsidR="00C026A6" w:rsidRPr="00EA59C0">
        <w:t xml:space="preserve"> </w:t>
      </w:r>
      <w:r w:rsidR="00882D50" w:rsidRPr="00EA59C0">
        <w:t>million</w:t>
      </w:r>
      <w:r w:rsidR="00730E5F" w:rsidRPr="00EA59C0">
        <w:t>.</w:t>
      </w:r>
      <w:r w:rsidR="00C026A6" w:rsidRPr="00EA59C0">
        <w:t xml:space="preserve">  </w:t>
      </w:r>
    </w:p>
    <w:p w:rsidR="0081711E" w:rsidRPr="00EA59C0" w:rsidRDefault="0081711E" w:rsidP="00730E5F">
      <w:pPr>
        <w:pStyle w:val="ListParagraph"/>
        <w:ind w:left="1080"/>
      </w:pPr>
    </w:p>
    <w:p w:rsidR="0081711E" w:rsidRPr="00EA59C0" w:rsidRDefault="0081711E" w:rsidP="00080097">
      <w:pPr>
        <w:pStyle w:val="Heading2"/>
        <w:numPr>
          <w:ilvl w:val="2"/>
          <w:numId w:val="17"/>
        </w:numPr>
        <w:spacing w:line="240" w:lineRule="auto"/>
        <w:rPr>
          <w:rFonts w:ascii="Times New Roman" w:hAnsi="Times New Roman"/>
          <w:b w:val="0"/>
          <w:i w:val="0"/>
        </w:rPr>
      </w:pPr>
      <w:r w:rsidRPr="00EA59C0">
        <w:rPr>
          <w:rFonts w:ascii="Times New Roman" w:hAnsi="Times New Roman"/>
          <w:b w:val="0"/>
          <w:i w:val="0"/>
        </w:rPr>
        <w:t>Award</w:t>
      </w:r>
      <w:r w:rsidR="00C026A6" w:rsidRPr="00EA59C0">
        <w:rPr>
          <w:rFonts w:ascii="Times New Roman" w:hAnsi="Times New Roman"/>
          <w:b w:val="0"/>
          <w:i w:val="0"/>
        </w:rPr>
        <w:t xml:space="preserve"> </w:t>
      </w:r>
      <w:r w:rsidRPr="00EA59C0">
        <w:rPr>
          <w:rFonts w:ascii="Times New Roman" w:hAnsi="Times New Roman"/>
          <w:b w:val="0"/>
          <w:i w:val="0"/>
        </w:rPr>
        <w:t>Amount</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Single</w:t>
      </w:r>
      <w:r w:rsidR="00C026A6" w:rsidRPr="00EA59C0">
        <w:rPr>
          <w:rFonts w:ascii="Times New Roman" w:hAnsi="Times New Roman"/>
          <w:b w:val="0"/>
          <w:i w:val="0"/>
        </w:rPr>
        <w:t xml:space="preserve"> </w:t>
      </w:r>
      <w:r w:rsidRPr="00EA59C0">
        <w:rPr>
          <w:rFonts w:ascii="Times New Roman" w:hAnsi="Times New Roman"/>
          <w:b w:val="0"/>
          <w:i w:val="0"/>
        </w:rPr>
        <w:t>Institution</w:t>
      </w:r>
      <w:r w:rsidR="00C026A6" w:rsidRPr="00EA59C0">
        <w:rPr>
          <w:rFonts w:ascii="Times New Roman" w:hAnsi="Times New Roman"/>
          <w:b w:val="0"/>
          <w:i w:val="0"/>
        </w:rPr>
        <w:t xml:space="preserve"> </w:t>
      </w:r>
      <w:r w:rsidRPr="00EA59C0">
        <w:rPr>
          <w:rFonts w:ascii="Times New Roman" w:hAnsi="Times New Roman"/>
          <w:b w:val="0"/>
          <w:i w:val="0"/>
        </w:rPr>
        <w:t>Applicants</w:t>
      </w:r>
      <w:r w:rsidR="00C026A6" w:rsidRPr="00EA59C0">
        <w:rPr>
          <w:rFonts w:ascii="Times New Roman" w:hAnsi="Times New Roman"/>
          <w:b w:val="0"/>
          <w:i w:val="0"/>
        </w:rPr>
        <w:t xml:space="preserve"> </w:t>
      </w:r>
      <w:r w:rsidR="007A0B52" w:rsidRPr="00EA59C0">
        <w:rPr>
          <w:rFonts w:ascii="Times New Roman" w:hAnsi="Times New Roman"/>
          <w:b w:val="0"/>
          <w:i w:val="0"/>
        </w:rPr>
        <w:t xml:space="preserve">Seeking to </w:t>
      </w:r>
      <w:r w:rsidR="00F6783E" w:rsidRPr="00EA59C0">
        <w:rPr>
          <w:rFonts w:ascii="Times New Roman" w:hAnsi="Times New Roman"/>
          <w:b w:val="0"/>
          <w:i w:val="0"/>
        </w:rPr>
        <w:t xml:space="preserve">Exceed </w:t>
      </w:r>
      <w:r w:rsidRPr="00EA59C0">
        <w:rPr>
          <w:rFonts w:ascii="Times New Roman" w:hAnsi="Times New Roman"/>
          <w:b w:val="0"/>
          <w:i w:val="0"/>
        </w:rPr>
        <w:t>the</w:t>
      </w:r>
      <w:r w:rsidR="00C026A6" w:rsidRPr="00EA59C0">
        <w:rPr>
          <w:rFonts w:ascii="Times New Roman" w:hAnsi="Times New Roman"/>
          <w:b w:val="0"/>
          <w:i w:val="0"/>
        </w:rPr>
        <w:t xml:space="preserve"> </w:t>
      </w:r>
      <w:r w:rsidR="00F6783E" w:rsidRPr="00EA59C0">
        <w:rPr>
          <w:rFonts w:ascii="Times New Roman" w:hAnsi="Times New Roman"/>
          <w:b w:val="0"/>
          <w:i w:val="0"/>
        </w:rPr>
        <w:t xml:space="preserve">Funding </w:t>
      </w:r>
      <w:r w:rsidRPr="00EA59C0">
        <w:rPr>
          <w:rFonts w:ascii="Times New Roman" w:hAnsi="Times New Roman"/>
          <w:b w:val="0"/>
          <w:i w:val="0"/>
        </w:rPr>
        <w:t>Cap</w:t>
      </w:r>
      <w:r w:rsidR="00C026A6" w:rsidRPr="00EA59C0">
        <w:rPr>
          <w:rFonts w:ascii="Times New Roman" w:hAnsi="Times New Roman"/>
          <w:b w:val="0"/>
          <w:i w:val="0"/>
        </w:rPr>
        <w:t xml:space="preserve">  </w:t>
      </w:r>
    </w:p>
    <w:p w:rsidR="0081711E" w:rsidRPr="00EA59C0" w:rsidRDefault="0081711E" w:rsidP="0081711E">
      <w:pPr>
        <w:ind w:left="1080"/>
      </w:pPr>
      <w:r w:rsidRPr="00EA59C0">
        <w:rPr>
          <w:bCs/>
        </w:rPr>
        <w:t>Single</w:t>
      </w:r>
      <w:r w:rsidR="00C026A6" w:rsidRPr="00EA59C0">
        <w:rPr>
          <w:bCs/>
        </w:rPr>
        <w:t xml:space="preserve"> </w:t>
      </w:r>
      <w:r w:rsidRPr="00EA59C0">
        <w:rPr>
          <w:bCs/>
        </w:rPr>
        <w:t>institution</w:t>
      </w:r>
      <w:r w:rsidR="00C026A6" w:rsidRPr="00EA59C0">
        <w:rPr>
          <w:bCs/>
        </w:rPr>
        <w:t xml:space="preserve"> </w:t>
      </w:r>
      <w:r w:rsidRPr="00EA59C0">
        <w:rPr>
          <w:bCs/>
        </w:rPr>
        <w:t>applicants</w:t>
      </w:r>
      <w:r w:rsidR="00C026A6" w:rsidRPr="00EA59C0">
        <w:rPr>
          <w:bCs/>
        </w:rPr>
        <w:t xml:space="preserve"> </w:t>
      </w:r>
      <w:r w:rsidRPr="00EA59C0">
        <w:rPr>
          <w:bCs/>
        </w:rPr>
        <w:t>may</w:t>
      </w:r>
      <w:r w:rsidR="00C026A6" w:rsidRPr="00EA59C0">
        <w:rPr>
          <w:bCs/>
        </w:rPr>
        <w:t xml:space="preserve"> </w:t>
      </w:r>
      <w:r w:rsidRPr="00EA59C0">
        <w:rPr>
          <w:bCs/>
        </w:rPr>
        <w:t>apply</w:t>
      </w:r>
      <w:r w:rsidR="00C026A6" w:rsidRPr="00EA59C0">
        <w:rPr>
          <w:bCs/>
        </w:rPr>
        <w:t xml:space="preserve"> </w:t>
      </w:r>
      <w:r w:rsidRPr="00EA59C0">
        <w:rPr>
          <w:bCs/>
        </w:rPr>
        <w:t>to</w:t>
      </w:r>
      <w:r w:rsidR="00C026A6" w:rsidRPr="00EA59C0">
        <w:rPr>
          <w:bCs/>
        </w:rPr>
        <w:t xml:space="preserve"> </w:t>
      </w:r>
      <w:r w:rsidRPr="00EA59C0">
        <w:rPr>
          <w:bCs/>
        </w:rPr>
        <w:t>exceed</w:t>
      </w:r>
      <w:r w:rsidR="00C026A6" w:rsidRPr="00EA59C0">
        <w:rPr>
          <w:bCs/>
        </w:rPr>
        <w:t xml:space="preserve"> </w:t>
      </w:r>
      <w:r w:rsidRPr="00EA59C0">
        <w:rPr>
          <w:bCs/>
        </w:rPr>
        <w:t>the</w:t>
      </w:r>
      <w:r w:rsidR="00C026A6" w:rsidRPr="00EA59C0">
        <w:rPr>
          <w:bCs/>
        </w:rPr>
        <w:t xml:space="preserve"> </w:t>
      </w:r>
      <w:r w:rsidRPr="00EA59C0">
        <w:rPr>
          <w:bCs/>
        </w:rPr>
        <w:t>maximum</w:t>
      </w:r>
      <w:r w:rsidR="00C026A6" w:rsidRPr="00EA59C0">
        <w:rPr>
          <w:bCs/>
        </w:rPr>
        <w:t xml:space="preserve"> </w:t>
      </w:r>
      <w:r w:rsidRPr="00EA59C0">
        <w:rPr>
          <w:bCs/>
        </w:rPr>
        <w:t>funding</w:t>
      </w:r>
      <w:r w:rsidR="00C026A6" w:rsidRPr="00EA59C0">
        <w:rPr>
          <w:bCs/>
        </w:rPr>
        <w:t xml:space="preserve"> </w:t>
      </w:r>
      <w:r w:rsidRPr="00EA59C0">
        <w:rPr>
          <w:bCs/>
        </w:rPr>
        <w:t>level</w:t>
      </w:r>
      <w:r w:rsidR="00C026A6" w:rsidRPr="00EA59C0">
        <w:rPr>
          <w:bCs/>
        </w:rPr>
        <w:t xml:space="preserve"> </w:t>
      </w:r>
      <w:r w:rsidRPr="00EA59C0">
        <w:rPr>
          <w:bCs/>
        </w:rPr>
        <w:t>of</w:t>
      </w:r>
      <w:r w:rsidR="00C026A6" w:rsidRPr="00EA59C0">
        <w:rPr>
          <w:bCs/>
        </w:rPr>
        <w:t xml:space="preserve"> </w:t>
      </w:r>
      <w:r w:rsidRPr="00EA59C0">
        <w:rPr>
          <w:bCs/>
        </w:rPr>
        <w:t>$2,500,000</w:t>
      </w:r>
      <w:r w:rsidR="00C026A6" w:rsidRPr="00EA59C0">
        <w:rPr>
          <w:bCs/>
        </w:rPr>
        <w:t xml:space="preserve"> </w:t>
      </w:r>
      <w:r w:rsidRPr="00EA59C0">
        <w:rPr>
          <w:bCs/>
        </w:rPr>
        <w:t>by</w:t>
      </w:r>
      <w:r w:rsidR="00C026A6" w:rsidRPr="00EA59C0">
        <w:rPr>
          <w:bCs/>
        </w:rPr>
        <w:t xml:space="preserve"> </w:t>
      </w:r>
      <w:r w:rsidRPr="00EA59C0">
        <w:rPr>
          <w:bCs/>
        </w:rPr>
        <w:t>proposing</w:t>
      </w:r>
      <w:r w:rsidR="00C026A6" w:rsidRPr="00EA59C0">
        <w:rPr>
          <w:bCs/>
        </w:rPr>
        <w:t xml:space="preserve"> </w:t>
      </w:r>
      <w:r w:rsidR="00A1793F" w:rsidRPr="00EA59C0">
        <w:rPr>
          <w:bCs/>
        </w:rPr>
        <w:t>a</w:t>
      </w:r>
      <w:r w:rsidR="00C026A6" w:rsidRPr="00EA59C0">
        <w:rPr>
          <w:bCs/>
        </w:rPr>
        <w:t xml:space="preserve"> </w:t>
      </w:r>
      <w:r w:rsidR="00A1793F" w:rsidRPr="00EA59C0">
        <w:rPr>
          <w:bCs/>
        </w:rPr>
        <w:t>project</w:t>
      </w:r>
      <w:r w:rsidR="00C026A6" w:rsidRPr="00EA59C0">
        <w:rPr>
          <w:bCs/>
        </w:rPr>
        <w:t xml:space="preserve"> </w:t>
      </w:r>
      <w:r w:rsidR="00A1793F" w:rsidRPr="00EA59C0">
        <w:rPr>
          <w:bCs/>
        </w:rPr>
        <w:t>that</w:t>
      </w:r>
      <w:r w:rsidR="00C026A6" w:rsidRPr="00EA59C0">
        <w:rPr>
          <w:bCs/>
        </w:rPr>
        <w:t xml:space="preserve"> </w:t>
      </w:r>
      <w:r w:rsidR="00A1793F" w:rsidRPr="00EA59C0">
        <w:rPr>
          <w:bCs/>
        </w:rPr>
        <w:t>ad</w:t>
      </w:r>
      <w:r w:rsidR="00682338" w:rsidRPr="00EA59C0">
        <w:rPr>
          <w:bCs/>
        </w:rPr>
        <w:t>dress</w:t>
      </w:r>
      <w:r w:rsidR="000C2B7D" w:rsidRPr="00EA59C0">
        <w:rPr>
          <w:bCs/>
        </w:rPr>
        <w:t>es</w:t>
      </w:r>
      <w:r w:rsidR="00682338" w:rsidRPr="00EA59C0">
        <w:rPr>
          <w:bCs/>
        </w:rPr>
        <w:t xml:space="preserve"> regional capacity building activities</w:t>
      </w:r>
      <w:r w:rsidR="000E40CF" w:rsidRPr="00EA59C0">
        <w:rPr>
          <w:bCs/>
        </w:rPr>
        <w:t>,</w:t>
      </w:r>
      <w:r w:rsidR="00C026A6" w:rsidRPr="00EA59C0">
        <w:rPr>
          <w:bCs/>
        </w:rPr>
        <w:t xml:space="preserve"> </w:t>
      </w:r>
      <w:r w:rsidR="002A14F2" w:rsidRPr="00EA59C0">
        <w:rPr>
          <w:bCs/>
        </w:rPr>
        <w:t>as discussed in Option 3,</w:t>
      </w:r>
      <w:r w:rsidR="00080097" w:rsidRPr="00EA59C0">
        <w:rPr>
          <w:bCs/>
        </w:rPr>
        <w:t xml:space="preserve"> </w:t>
      </w:r>
      <w:r w:rsidR="000E40CF" w:rsidRPr="00EA59C0">
        <w:rPr>
          <w:bCs/>
        </w:rPr>
        <w:t>C</w:t>
      </w:r>
      <w:r w:rsidRPr="00EA59C0">
        <w:rPr>
          <w:bCs/>
        </w:rPr>
        <w:t>r</w:t>
      </w:r>
      <w:r w:rsidR="00E57822" w:rsidRPr="00EA59C0">
        <w:rPr>
          <w:bCs/>
        </w:rPr>
        <w:t>eate</w:t>
      </w:r>
      <w:r w:rsidR="00C026A6" w:rsidRPr="00EA59C0">
        <w:rPr>
          <w:bCs/>
        </w:rPr>
        <w:t xml:space="preserve"> </w:t>
      </w:r>
      <w:r w:rsidR="00E57822" w:rsidRPr="00EA59C0">
        <w:rPr>
          <w:bCs/>
        </w:rPr>
        <w:t>Nationally</w:t>
      </w:r>
      <w:r w:rsidR="00C026A6" w:rsidRPr="00EA59C0">
        <w:rPr>
          <w:bCs/>
        </w:rPr>
        <w:t xml:space="preserve"> </w:t>
      </w:r>
      <w:r w:rsidR="00E57822" w:rsidRPr="00EA59C0">
        <w:rPr>
          <w:bCs/>
        </w:rPr>
        <w:t>Recognized</w:t>
      </w:r>
      <w:r w:rsidR="00C026A6" w:rsidRPr="00EA59C0">
        <w:rPr>
          <w:bCs/>
        </w:rPr>
        <w:t xml:space="preserve"> </w:t>
      </w:r>
      <w:r w:rsidR="001936B6" w:rsidRPr="00EA59C0">
        <w:rPr>
          <w:bCs/>
        </w:rPr>
        <w:t>Competencies</w:t>
      </w:r>
      <w:r w:rsidR="00C026A6" w:rsidRPr="00EA59C0">
        <w:rPr>
          <w:bCs/>
        </w:rPr>
        <w:t xml:space="preserve"> </w:t>
      </w:r>
      <w:r w:rsidR="001936B6" w:rsidRPr="00EA59C0">
        <w:rPr>
          <w:bCs/>
        </w:rPr>
        <w:t>and</w:t>
      </w:r>
      <w:r w:rsidR="00C026A6" w:rsidRPr="00EA59C0">
        <w:rPr>
          <w:bCs/>
        </w:rPr>
        <w:t xml:space="preserve"> </w:t>
      </w:r>
      <w:r w:rsidR="00E57822" w:rsidRPr="00EA59C0">
        <w:rPr>
          <w:bCs/>
        </w:rPr>
        <w:t>C</w:t>
      </w:r>
      <w:r w:rsidRPr="00EA59C0">
        <w:rPr>
          <w:bCs/>
        </w:rPr>
        <w:t>redentials,</w:t>
      </w:r>
      <w:r w:rsidR="00C026A6" w:rsidRPr="00EA59C0">
        <w:rPr>
          <w:bCs/>
        </w:rPr>
        <w:t xml:space="preserve"> </w:t>
      </w:r>
      <w:r w:rsidRPr="00EA59C0">
        <w:rPr>
          <w:bCs/>
        </w:rPr>
        <w:t>as</w:t>
      </w:r>
      <w:r w:rsidR="00C026A6" w:rsidRPr="00EA59C0">
        <w:rPr>
          <w:bCs/>
        </w:rPr>
        <w:t xml:space="preserve"> </w:t>
      </w:r>
      <w:r w:rsidRPr="00EA59C0">
        <w:rPr>
          <w:bCs/>
        </w:rPr>
        <w:t>described</w:t>
      </w:r>
      <w:r w:rsidR="00C026A6" w:rsidRPr="00EA59C0">
        <w:rPr>
          <w:bCs/>
        </w:rPr>
        <w:t xml:space="preserve"> </w:t>
      </w:r>
      <w:r w:rsidRPr="00EA59C0">
        <w:rPr>
          <w:bCs/>
        </w:rPr>
        <w:t>below.</w:t>
      </w:r>
      <w:r w:rsidR="00C026A6" w:rsidRPr="00EA59C0">
        <w:rPr>
          <w:bCs/>
        </w:rPr>
        <w:t xml:space="preserve">  </w:t>
      </w:r>
      <w:r w:rsidRPr="00EA59C0">
        <w:rPr>
          <w:bCs/>
        </w:rPr>
        <w:t>Single</w:t>
      </w:r>
      <w:r w:rsidR="00C026A6" w:rsidRPr="00EA59C0">
        <w:rPr>
          <w:bCs/>
        </w:rPr>
        <w:t xml:space="preserve"> </w:t>
      </w:r>
      <w:r w:rsidRPr="00EA59C0">
        <w:rPr>
          <w:bCs/>
        </w:rPr>
        <w:t>institution</w:t>
      </w:r>
      <w:r w:rsidR="00C026A6" w:rsidRPr="00EA59C0">
        <w:rPr>
          <w:bCs/>
        </w:rPr>
        <w:t xml:space="preserve"> </w:t>
      </w:r>
      <w:r w:rsidRPr="00EA59C0">
        <w:rPr>
          <w:bCs/>
        </w:rPr>
        <w:t>applicants</w:t>
      </w:r>
      <w:r w:rsidR="00C026A6" w:rsidRPr="00EA59C0">
        <w:rPr>
          <w:bCs/>
        </w:rPr>
        <w:t xml:space="preserve"> </w:t>
      </w:r>
      <w:r w:rsidRPr="00EA59C0">
        <w:rPr>
          <w:bCs/>
        </w:rPr>
        <w:t>proposing</w:t>
      </w:r>
      <w:r w:rsidR="00C026A6" w:rsidRPr="00EA59C0">
        <w:rPr>
          <w:bCs/>
        </w:rPr>
        <w:t xml:space="preserve"> </w:t>
      </w:r>
      <w:r w:rsidRPr="00EA59C0">
        <w:rPr>
          <w:bCs/>
        </w:rPr>
        <w:t>this</w:t>
      </w:r>
      <w:r w:rsidR="00C026A6" w:rsidRPr="00EA59C0">
        <w:rPr>
          <w:bCs/>
        </w:rPr>
        <w:t xml:space="preserve"> </w:t>
      </w:r>
      <w:r w:rsidRPr="00EA59C0">
        <w:rPr>
          <w:bCs/>
        </w:rPr>
        <w:t>option</w:t>
      </w:r>
      <w:r w:rsidR="00C026A6" w:rsidRPr="00EA59C0">
        <w:rPr>
          <w:bCs/>
        </w:rPr>
        <w:t xml:space="preserve"> </w:t>
      </w:r>
      <w:r w:rsidRPr="00EA59C0">
        <w:rPr>
          <w:bCs/>
        </w:rPr>
        <w:t>may</w:t>
      </w:r>
      <w:r w:rsidR="00C026A6" w:rsidRPr="00EA59C0">
        <w:rPr>
          <w:bCs/>
        </w:rPr>
        <w:t xml:space="preserve"> </w:t>
      </w:r>
      <w:r w:rsidRPr="00EA59C0">
        <w:rPr>
          <w:bCs/>
        </w:rPr>
        <w:t>seek</w:t>
      </w:r>
      <w:r w:rsidR="00C026A6" w:rsidRPr="00EA59C0">
        <w:rPr>
          <w:bCs/>
        </w:rPr>
        <w:t xml:space="preserve"> </w:t>
      </w:r>
      <w:r w:rsidRPr="00EA59C0">
        <w:rPr>
          <w:bCs/>
        </w:rPr>
        <w:t>up</w:t>
      </w:r>
      <w:r w:rsidR="00C026A6" w:rsidRPr="00EA59C0">
        <w:rPr>
          <w:bCs/>
        </w:rPr>
        <w:t xml:space="preserve"> </w:t>
      </w:r>
      <w:r w:rsidRPr="00EA59C0">
        <w:rPr>
          <w:bCs/>
        </w:rPr>
        <w:t>to</w:t>
      </w:r>
      <w:r w:rsidR="00C026A6" w:rsidRPr="00EA59C0">
        <w:rPr>
          <w:bCs/>
        </w:rPr>
        <w:t xml:space="preserve"> </w:t>
      </w:r>
      <w:r w:rsidRPr="00EA59C0">
        <w:rPr>
          <w:bCs/>
        </w:rPr>
        <w:t>an</w:t>
      </w:r>
      <w:r w:rsidR="00C026A6" w:rsidRPr="00EA59C0">
        <w:rPr>
          <w:bCs/>
        </w:rPr>
        <w:t xml:space="preserve"> </w:t>
      </w:r>
      <w:r w:rsidRPr="00EA59C0">
        <w:rPr>
          <w:bCs/>
        </w:rPr>
        <w:t>additional</w:t>
      </w:r>
      <w:r w:rsidR="00C026A6" w:rsidRPr="00EA59C0">
        <w:rPr>
          <w:bCs/>
        </w:rPr>
        <w:t xml:space="preserve"> </w:t>
      </w:r>
      <w:r w:rsidRPr="00EA59C0">
        <w:rPr>
          <w:bCs/>
        </w:rPr>
        <w:t>$</w:t>
      </w:r>
      <w:r w:rsidR="00F01826" w:rsidRPr="00EA59C0">
        <w:rPr>
          <w:bCs/>
        </w:rPr>
        <w:t>75</w:t>
      </w:r>
      <w:r w:rsidRPr="00EA59C0">
        <w:rPr>
          <w:bCs/>
        </w:rPr>
        <w:t>0,00</w:t>
      </w:r>
      <w:r w:rsidR="00D81001" w:rsidRPr="00EA59C0">
        <w:rPr>
          <w:bCs/>
        </w:rPr>
        <w:t>0</w:t>
      </w:r>
      <w:r w:rsidRPr="00EA59C0">
        <w:rPr>
          <w:bCs/>
        </w:rPr>
        <w:t>,</w:t>
      </w:r>
      <w:r w:rsidR="00C026A6" w:rsidRPr="00EA59C0">
        <w:rPr>
          <w:bCs/>
        </w:rPr>
        <w:t xml:space="preserve"> </w:t>
      </w:r>
      <w:r w:rsidRPr="00EA59C0">
        <w:rPr>
          <w:bCs/>
        </w:rPr>
        <w:t>for</w:t>
      </w:r>
      <w:r w:rsidR="00C026A6" w:rsidRPr="00EA59C0">
        <w:rPr>
          <w:bCs/>
        </w:rPr>
        <w:t xml:space="preserve"> </w:t>
      </w:r>
      <w:r w:rsidRPr="00EA59C0">
        <w:rPr>
          <w:bCs/>
        </w:rPr>
        <w:t>a</w:t>
      </w:r>
      <w:r w:rsidR="00C026A6" w:rsidRPr="00EA59C0">
        <w:rPr>
          <w:bCs/>
        </w:rPr>
        <w:t xml:space="preserve"> </w:t>
      </w:r>
      <w:r w:rsidRPr="00EA59C0">
        <w:rPr>
          <w:bCs/>
        </w:rPr>
        <w:t>total</w:t>
      </w:r>
      <w:r w:rsidR="00C026A6" w:rsidRPr="00EA59C0">
        <w:rPr>
          <w:bCs/>
        </w:rPr>
        <w:t xml:space="preserve"> </w:t>
      </w:r>
      <w:r w:rsidRPr="00EA59C0">
        <w:rPr>
          <w:bCs/>
        </w:rPr>
        <w:t>grant</w:t>
      </w:r>
      <w:r w:rsidR="00C026A6" w:rsidRPr="00EA59C0">
        <w:rPr>
          <w:bCs/>
        </w:rPr>
        <w:t xml:space="preserve"> </w:t>
      </w:r>
      <w:r w:rsidRPr="00EA59C0">
        <w:rPr>
          <w:bCs/>
        </w:rPr>
        <w:t>award</w:t>
      </w:r>
      <w:r w:rsidR="00C026A6" w:rsidRPr="00EA59C0">
        <w:rPr>
          <w:bCs/>
        </w:rPr>
        <w:t xml:space="preserve"> </w:t>
      </w:r>
      <w:r w:rsidRPr="00EA59C0">
        <w:rPr>
          <w:bCs/>
        </w:rPr>
        <w:t>of</w:t>
      </w:r>
      <w:r w:rsidR="00C026A6" w:rsidRPr="00EA59C0">
        <w:rPr>
          <w:bCs/>
        </w:rPr>
        <w:t xml:space="preserve"> </w:t>
      </w:r>
      <w:r w:rsidRPr="00EA59C0">
        <w:rPr>
          <w:bCs/>
        </w:rPr>
        <w:t>$3,</w:t>
      </w:r>
      <w:r w:rsidR="00F01826" w:rsidRPr="00EA59C0">
        <w:rPr>
          <w:bCs/>
        </w:rPr>
        <w:t>25</w:t>
      </w:r>
      <w:r w:rsidRPr="00EA59C0">
        <w:rPr>
          <w:bCs/>
        </w:rPr>
        <w:t>0,000.</w:t>
      </w:r>
    </w:p>
    <w:p w:rsidR="00E37CEC" w:rsidRPr="00EA59C0" w:rsidRDefault="00E37CEC" w:rsidP="008126AD">
      <w:pPr>
        <w:pStyle w:val="ListParagraph"/>
      </w:pPr>
    </w:p>
    <w:p w:rsidR="006B1229" w:rsidRPr="00EA59C0" w:rsidRDefault="00882D50" w:rsidP="00080097">
      <w:pPr>
        <w:pStyle w:val="Heading2"/>
        <w:numPr>
          <w:ilvl w:val="2"/>
          <w:numId w:val="17"/>
        </w:numPr>
        <w:spacing w:line="240" w:lineRule="auto"/>
        <w:rPr>
          <w:rFonts w:ascii="Times New Roman" w:hAnsi="Times New Roman"/>
          <w:b w:val="0"/>
          <w:i w:val="0"/>
        </w:rPr>
      </w:pPr>
      <w:r w:rsidRPr="00EA59C0">
        <w:rPr>
          <w:rFonts w:ascii="Times New Roman" w:hAnsi="Times New Roman"/>
          <w:b w:val="0"/>
          <w:i w:val="0"/>
        </w:rPr>
        <w:t>Award</w:t>
      </w:r>
      <w:r w:rsidR="00C026A6" w:rsidRPr="00EA59C0">
        <w:rPr>
          <w:rFonts w:ascii="Times New Roman" w:hAnsi="Times New Roman"/>
          <w:b w:val="0"/>
          <w:i w:val="0"/>
        </w:rPr>
        <w:t xml:space="preserve"> </w:t>
      </w:r>
      <w:r w:rsidRPr="00EA59C0">
        <w:rPr>
          <w:rFonts w:ascii="Times New Roman" w:hAnsi="Times New Roman"/>
          <w:b w:val="0"/>
          <w:i w:val="0"/>
        </w:rPr>
        <w:t>Amount</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Consortium</w:t>
      </w:r>
      <w:r w:rsidR="00C026A6" w:rsidRPr="00EA59C0">
        <w:rPr>
          <w:rFonts w:ascii="Times New Roman" w:hAnsi="Times New Roman"/>
          <w:b w:val="0"/>
          <w:i w:val="0"/>
        </w:rPr>
        <w:t xml:space="preserve"> </w:t>
      </w:r>
      <w:r w:rsidRPr="00EA59C0">
        <w:rPr>
          <w:rFonts w:ascii="Times New Roman" w:hAnsi="Times New Roman"/>
          <w:b w:val="0"/>
          <w:i w:val="0"/>
        </w:rPr>
        <w:t>Applicants</w:t>
      </w:r>
      <w:r w:rsidR="00C026A6" w:rsidRPr="00EA59C0">
        <w:rPr>
          <w:rFonts w:ascii="Times New Roman" w:hAnsi="Times New Roman"/>
          <w:b w:val="0"/>
          <w:i w:val="0"/>
        </w:rPr>
        <w:t xml:space="preserve"> </w:t>
      </w:r>
    </w:p>
    <w:p w:rsidR="00621CF4" w:rsidRPr="00EA59C0" w:rsidRDefault="00882D50" w:rsidP="00D03948">
      <w:pPr>
        <w:pStyle w:val="ListParagraph"/>
        <w:ind w:left="1080"/>
      </w:pPr>
      <w:r w:rsidRPr="00EA59C0">
        <w:t>Under</w:t>
      </w:r>
      <w:r w:rsidR="00C026A6" w:rsidRPr="00EA59C0">
        <w:t xml:space="preserve"> </w:t>
      </w:r>
      <w:r w:rsidRPr="00EA59C0">
        <w:t>this</w:t>
      </w:r>
      <w:r w:rsidR="00C026A6" w:rsidRPr="00EA59C0">
        <w:t xml:space="preserve"> </w:t>
      </w:r>
      <w:r w:rsidRPr="00EA59C0">
        <w:t>SGA,</w:t>
      </w:r>
      <w:r w:rsidR="00C026A6" w:rsidRPr="00EA59C0">
        <w:t xml:space="preserve"> </w:t>
      </w:r>
      <w:r w:rsidRPr="00EA59C0">
        <w:t>DOL</w:t>
      </w:r>
      <w:r w:rsidR="00C026A6" w:rsidRPr="00EA59C0">
        <w:t xml:space="preserve"> </w:t>
      </w:r>
      <w:r w:rsidRPr="00EA59C0">
        <w:t>intends</w:t>
      </w:r>
      <w:r w:rsidR="00C026A6" w:rsidRPr="00EA59C0">
        <w:t xml:space="preserve"> </w:t>
      </w:r>
      <w:r w:rsidRPr="00EA59C0">
        <w:t>to</w:t>
      </w:r>
      <w:r w:rsidR="00C026A6" w:rsidRPr="00EA59C0">
        <w:t xml:space="preserve"> </w:t>
      </w:r>
      <w:r w:rsidRPr="00EA59C0">
        <w:t>make</w:t>
      </w:r>
      <w:r w:rsidR="00C026A6" w:rsidRPr="00EA59C0">
        <w:t xml:space="preserve"> </w:t>
      </w:r>
      <w:r w:rsidR="00EF45D4" w:rsidRPr="00EA59C0">
        <w:t>approximately</w:t>
      </w:r>
      <w:r w:rsidR="00C026A6" w:rsidRPr="00EA59C0">
        <w:t xml:space="preserve"> </w:t>
      </w:r>
      <w:r w:rsidRPr="00EA59C0">
        <w:t>15</w:t>
      </w:r>
      <w:r w:rsidR="00C026A6" w:rsidRPr="00EA59C0">
        <w:t xml:space="preserve"> </w:t>
      </w:r>
      <w:r w:rsidRPr="00EA59C0">
        <w:t>to</w:t>
      </w:r>
      <w:r w:rsidR="00C026A6" w:rsidRPr="00EA59C0">
        <w:t xml:space="preserve"> </w:t>
      </w:r>
      <w:r w:rsidR="003963A8" w:rsidRPr="00EA59C0">
        <w:t>25</w:t>
      </w:r>
      <w:r w:rsidR="00C026A6" w:rsidRPr="00EA59C0">
        <w:t xml:space="preserve"> </w:t>
      </w:r>
      <w:r w:rsidRPr="00EA59C0">
        <w:t>grant</w:t>
      </w:r>
      <w:r w:rsidR="00C026A6" w:rsidRPr="00EA59C0">
        <w:t xml:space="preserve"> </w:t>
      </w:r>
      <w:r w:rsidRPr="00EA59C0">
        <w:t>awards</w:t>
      </w:r>
      <w:r w:rsidR="00C026A6" w:rsidRPr="00EA59C0">
        <w:t xml:space="preserve"> </w:t>
      </w:r>
      <w:r w:rsidRPr="00EA59C0">
        <w:t>to</w:t>
      </w:r>
      <w:r w:rsidR="00C026A6" w:rsidRPr="00EA59C0">
        <w:t xml:space="preserve"> </w:t>
      </w:r>
      <w:r w:rsidRPr="00EA59C0">
        <w:t>consortia</w:t>
      </w:r>
      <w:r w:rsidR="00C026A6" w:rsidRPr="00EA59C0">
        <w:t xml:space="preserve"> </w:t>
      </w:r>
      <w:r w:rsidRPr="00EA59C0">
        <w:t>of</w:t>
      </w:r>
      <w:r w:rsidR="00C026A6" w:rsidRPr="00EA59C0">
        <w:t xml:space="preserve"> </w:t>
      </w:r>
      <w:r w:rsidRPr="00EA59C0">
        <w:t>eligible</w:t>
      </w:r>
      <w:r w:rsidR="00C026A6" w:rsidRPr="00EA59C0">
        <w:t xml:space="preserve"> </w:t>
      </w:r>
      <w:r w:rsidRPr="00EA59C0">
        <w:t>institutions,</w:t>
      </w:r>
      <w:r w:rsidR="00C026A6" w:rsidRPr="00EA59C0">
        <w:t xml:space="preserve"> </w:t>
      </w:r>
      <w:r w:rsidRPr="00EA59C0">
        <w:t>up</w:t>
      </w:r>
      <w:r w:rsidR="00C026A6" w:rsidRPr="00EA59C0">
        <w:t xml:space="preserve"> </w:t>
      </w:r>
      <w:r w:rsidRPr="00EA59C0">
        <w:t>to</w:t>
      </w:r>
      <w:r w:rsidR="00C026A6" w:rsidRPr="00EA59C0">
        <w:t xml:space="preserve"> </w:t>
      </w:r>
      <w:r w:rsidRPr="00EA59C0">
        <w:t>a</w:t>
      </w:r>
      <w:r w:rsidR="00C026A6" w:rsidRPr="00EA59C0">
        <w:t xml:space="preserve"> </w:t>
      </w:r>
      <w:r w:rsidRPr="00EA59C0">
        <w:t>total</w:t>
      </w:r>
      <w:r w:rsidR="00C026A6" w:rsidRPr="00EA59C0">
        <w:t xml:space="preserve"> </w:t>
      </w:r>
      <w:r w:rsidRPr="00EA59C0">
        <w:t>of</w:t>
      </w:r>
      <w:r w:rsidR="00C026A6" w:rsidRPr="00EA59C0">
        <w:t xml:space="preserve"> </w:t>
      </w:r>
      <w:r w:rsidRPr="00EA59C0">
        <w:t>approximately</w:t>
      </w:r>
      <w:r w:rsidR="00C026A6" w:rsidRPr="00EA59C0">
        <w:t xml:space="preserve"> </w:t>
      </w:r>
      <w:r w:rsidRPr="00EA59C0">
        <w:t>$</w:t>
      </w:r>
      <w:r w:rsidR="00A13EA8" w:rsidRPr="00EA59C0">
        <w:t>3</w:t>
      </w:r>
      <w:r w:rsidR="00F01826" w:rsidRPr="00EA59C0">
        <w:t>0</w:t>
      </w:r>
      <w:r w:rsidR="00A13EA8" w:rsidRPr="00EA59C0">
        <w:t>0</w:t>
      </w:r>
      <w:r w:rsidR="00C026A6" w:rsidRPr="00EA59C0">
        <w:t xml:space="preserve"> </w:t>
      </w:r>
      <w:r w:rsidRPr="00EA59C0">
        <w:t>million</w:t>
      </w:r>
      <w:r w:rsidR="00C026A6" w:rsidRPr="00EA59C0">
        <w:t xml:space="preserve"> </w:t>
      </w:r>
      <w:r w:rsidRPr="00EA59C0">
        <w:t>in</w:t>
      </w:r>
      <w:r w:rsidR="00C026A6" w:rsidRPr="00EA59C0">
        <w:t xml:space="preserve"> </w:t>
      </w:r>
      <w:r w:rsidRPr="00EA59C0">
        <w:t>grant</w:t>
      </w:r>
      <w:r w:rsidR="00C026A6" w:rsidRPr="00EA59C0">
        <w:t xml:space="preserve"> </w:t>
      </w:r>
      <w:r w:rsidRPr="00EA59C0">
        <w:t>awards</w:t>
      </w:r>
      <w:r w:rsidR="00C026A6" w:rsidRPr="00EA59C0">
        <w:t xml:space="preserve"> </w:t>
      </w:r>
      <w:r w:rsidRPr="00EA59C0">
        <w:t>to</w:t>
      </w:r>
      <w:r w:rsidR="00C026A6" w:rsidRPr="00EA59C0">
        <w:t xml:space="preserve"> </w:t>
      </w:r>
      <w:r w:rsidRPr="00EA59C0">
        <w:t>consortium</w:t>
      </w:r>
      <w:r w:rsidR="00C026A6" w:rsidRPr="00EA59C0">
        <w:t xml:space="preserve"> </w:t>
      </w:r>
      <w:r w:rsidRPr="00EA59C0">
        <w:t>applicants.</w:t>
      </w:r>
      <w:r w:rsidR="00C026A6" w:rsidRPr="00EA59C0">
        <w:t xml:space="preserve">  </w:t>
      </w:r>
      <w:r w:rsidR="00614FCC" w:rsidRPr="00EA59C0">
        <w:t>T</w:t>
      </w:r>
      <w:r w:rsidR="00006012" w:rsidRPr="00EA59C0">
        <w:t>he</w:t>
      </w:r>
      <w:r w:rsidR="00C026A6" w:rsidRPr="00EA59C0">
        <w:t xml:space="preserve"> </w:t>
      </w:r>
      <w:r w:rsidR="00006012" w:rsidRPr="00EA59C0">
        <w:t>Department</w:t>
      </w:r>
      <w:r w:rsidR="00C026A6" w:rsidRPr="00EA59C0">
        <w:t xml:space="preserve"> </w:t>
      </w:r>
      <w:r w:rsidR="00006012" w:rsidRPr="00EA59C0">
        <w:t>will</w:t>
      </w:r>
      <w:r w:rsidR="00C026A6" w:rsidRPr="00EA59C0">
        <w:t xml:space="preserve"> </w:t>
      </w:r>
      <w:r w:rsidR="00853E31" w:rsidRPr="00EA59C0">
        <w:t>provide</w:t>
      </w:r>
      <w:r w:rsidR="00C026A6" w:rsidRPr="00EA59C0">
        <w:t xml:space="preserve"> </w:t>
      </w:r>
      <w:r w:rsidR="00853E31" w:rsidRPr="00EA59C0">
        <w:t>two</w:t>
      </w:r>
      <w:r w:rsidR="00C026A6" w:rsidRPr="00EA59C0">
        <w:t xml:space="preserve"> </w:t>
      </w:r>
      <w:r w:rsidR="00853E31" w:rsidRPr="00EA59C0">
        <w:t>tiers</w:t>
      </w:r>
      <w:r w:rsidR="00C026A6" w:rsidRPr="00EA59C0">
        <w:t xml:space="preserve"> </w:t>
      </w:r>
      <w:r w:rsidR="00853E31" w:rsidRPr="00EA59C0">
        <w:t>of</w:t>
      </w:r>
      <w:r w:rsidR="00C026A6" w:rsidRPr="00EA59C0">
        <w:t xml:space="preserve"> </w:t>
      </w:r>
      <w:r w:rsidR="00006012" w:rsidRPr="00EA59C0">
        <w:t>fund</w:t>
      </w:r>
      <w:r w:rsidR="00853E31" w:rsidRPr="00EA59C0">
        <w:t>ing</w:t>
      </w:r>
      <w:r w:rsidR="00C026A6" w:rsidRPr="00EA59C0">
        <w:t xml:space="preserve"> </w:t>
      </w:r>
      <w:r w:rsidR="00853E31" w:rsidRPr="00EA59C0">
        <w:t>for</w:t>
      </w:r>
      <w:r w:rsidR="00C026A6" w:rsidRPr="00EA59C0">
        <w:t xml:space="preserve"> </w:t>
      </w:r>
      <w:r w:rsidR="00853E31" w:rsidRPr="00EA59C0">
        <w:t>consortium</w:t>
      </w:r>
      <w:r w:rsidR="00C026A6" w:rsidRPr="00EA59C0">
        <w:t xml:space="preserve"> </w:t>
      </w:r>
      <w:r w:rsidR="00621CF4" w:rsidRPr="00EA59C0">
        <w:t>grant</w:t>
      </w:r>
      <w:r w:rsidR="00C026A6" w:rsidRPr="00EA59C0">
        <w:t xml:space="preserve"> </w:t>
      </w:r>
      <w:r w:rsidR="00621CF4" w:rsidRPr="00EA59C0">
        <w:t>awards</w:t>
      </w:r>
      <w:r w:rsidR="00853E31" w:rsidRPr="00EA59C0">
        <w:t>,</w:t>
      </w:r>
      <w:r w:rsidR="00C026A6" w:rsidRPr="00EA59C0">
        <w:t xml:space="preserve"> </w:t>
      </w:r>
      <w:r w:rsidR="00006012" w:rsidRPr="00EA59C0">
        <w:t>based</w:t>
      </w:r>
      <w:r w:rsidR="00C026A6" w:rsidRPr="00EA59C0">
        <w:t xml:space="preserve"> </w:t>
      </w:r>
      <w:r w:rsidR="00006012" w:rsidRPr="00EA59C0">
        <w:t>on</w:t>
      </w:r>
      <w:r w:rsidR="00C026A6" w:rsidRPr="00EA59C0">
        <w:t xml:space="preserve"> </w:t>
      </w:r>
      <w:r w:rsidR="00006012" w:rsidRPr="00EA59C0">
        <w:t>the</w:t>
      </w:r>
      <w:r w:rsidR="00C026A6" w:rsidRPr="00EA59C0">
        <w:t xml:space="preserve"> </w:t>
      </w:r>
      <w:r w:rsidR="00006012" w:rsidRPr="00EA59C0">
        <w:t>number</w:t>
      </w:r>
      <w:r w:rsidR="00C026A6" w:rsidRPr="00EA59C0">
        <w:t xml:space="preserve"> </w:t>
      </w:r>
      <w:r w:rsidR="00006012" w:rsidRPr="00EA59C0">
        <w:t>of</w:t>
      </w:r>
      <w:r w:rsidR="00C026A6" w:rsidRPr="00EA59C0">
        <w:t xml:space="preserve"> </w:t>
      </w:r>
      <w:r w:rsidR="00853E31" w:rsidRPr="00EA59C0">
        <w:t>institutions</w:t>
      </w:r>
      <w:r w:rsidR="00C026A6" w:rsidRPr="00EA59C0">
        <w:t xml:space="preserve"> </w:t>
      </w:r>
      <w:r w:rsidR="00006012" w:rsidRPr="00EA59C0">
        <w:t>in</w:t>
      </w:r>
      <w:r w:rsidR="00C026A6" w:rsidRPr="00EA59C0">
        <w:t xml:space="preserve"> </w:t>
      </w:r>
      <w:r w:rsidR="00006012" w:rsidRPr="00EA59C0">
        <w:t>the</w:t>
      </w:r>
      <w:r w:rsidR="00C026A6" w:rsidRPr="00EA59C0">
        <w:t xml:space="preserve"> </w:t>
      </w:r>
      <w:r w:rsidR="00853E31" w:rsidRPr="00EA59C0">
        <w:t>consortium</w:t>
      </w:r>
      <w:r w:rsidR="00614FCC" w:rsidRPr="00EA59C0">
        <w:t>.</w:t>
      </w:r>
    </w:p>
    <w:p w:rsidR="00621CF4" w:rsidRPr="00EA59C0" w:rsidRDefault="00621CF4" w:rsidP="00D03948">
      <w:pPr>
        <w:ind w:left="360"/>
      </w:pPr>
    </w:p>
    <w:p w:rsidR="00621CF4" w:rsidRPr="00EA59C0" w:rsidRDefault="00614FCC" w:rsidP="00D03948">
      <w:pPr>
        <w:pStyle w:val="ListParagraph"/>
        <w:numPr>
          <w:ilvl w:val="0"/>
          <w:numId w:val="11"/>
        </w:numPr>
        <w:ind w:left="1440"/>
      </w:pPr>
      <w:r w:rsidRPr="00EA59C0">
        <w:rPr>
          <w:bCs/>
        </w:rPr>
        <w:t>Tier</w:t>
      </w:r>
      <w:r w:rsidR="00C026A6" w:rsidRPr="00EA59C0">
        <w:rPr>
          <w:bCs/>
        </w:rPr>
        <w:t xml:space="preserve"> </w:t>
      </w:r>
      <w:r w:rsidRPr="00EA59C0">
        <w:rPr>
          <w:bCs/>
        </w:rPr>
        <w:t>1</w:t>
      </w:r>
      <w:r w:rsidR="00621CF4" w:rsidRPr="00EA59C0">
        <w:t>:</w:t>
      </w:r>
      <w:r w:rsidR="00C026A6" w:rsidRPr="00EA59C0">
        <w:rPr>
          <w:bCs/>
        </w:rPr>
        <w:t xml:space="preserve">  </w:t>
      </w:r>
      <w:r w:rsidR="00621CF4" w:rsidRPr="00EA59C0">
        <w:t>These</w:t>
      </w:r>
      <w:r w:rsidR="00C026A6" w:rsidRPr="00EA59C0">
        <w:t xml:space="preserve"> </w:t>
      </w:r>
      <w:r w:rsidR="00621CF4" w:rsidRPr="00EA59C0">
        <w:t>are</w:t>
      </w:r>
      <w:r w:rsidR="00C026A6" w:rsidRPr="00EA59C0">
        <w:t xml:space="preserve"> </w:t>
      </w:r>
      <w:r w:rsidRPr="00EA59C0">
        <w:t>small</w:t>
      </w:r>
      <w:r w:rsidR="00C026A6" w:rsidRPr="00EA59C0">
        <w:t xml:space="preserve"> </w:t>
      </w:r>
      <w:r w:rsidRPr="00EA59C0">
        <w:t>consortia</w:t>
      </w:r>
      <w:r w:rsidR="00C026A6" w:rsidRPr="00EA59C0">
        <w:t xml:space="preserve"> </w:t>
      </w:r>
      <w:r w:rsidR="008E55F9" w:rsidRPr="00EA59C0">
        <w:t>comprised</w:t>
      </w:r>
      <w:r w:rsidR="00C026A6" w:rsidRPr="00EA59C0">
        <w:t xml:space="preserve"> </w:t>
      </w:r>
      <w:r w:rsidR="008E55F9" w:rsidRPr="00EA59C0">
        <w:t>of</w:t>
      </w:r>
      <w:r w:rsidR="00C026A6" w:rsidRPr="00EA59C0">
        <w:t xml:space="preserve"> </w:t>
      </w:r>
      <w:r w:rsidR="006470D0" w:rsidRPr="00EA59C0">
        <w:t>three</w:t>
      </w:r>
      <w:r w:rsidR="00C026A6" w:rsidRPr="00EA59C0">
        <w:t xml:space="preserve"> </w:t>
      </w:r>
      <w:r w:rsidR="00621CF4" w:rsidRPr="00EA59C0">
        <w:t>to</w:t>
      </w:r>
      <w:r w:rsidR="00C026A6" w:rsidRPr="00EA59C0">
        <w:t xml:space="preserve"> </w:t>
      </w:r>
      <w:r w:rsidR="006470D0" w:rsidRPr="00EA59C0">
        <w:t>10</w:t>
      </w:r>
      <w:r w:rsidR="00C026A6" w:rsidRPr="00EA59C0">
        <w:t xml:space="preserve"> </w:t>
      </w:r>
      <w:r w:rsidR="006470D0" w:rsidRPr="00EA59C0">
        <w:t>consortium</w:t>
      </w:r>
      <w:r w:rsidR="00C026A6" w:rsidRPr="00EA59C0">
        <w:t xml:space="preserve"> </w:t>
      </w:r>
      <w:r w:rsidR="006470D0" w:rsidRPr="00EA59C0">
        <w:t>members.</w:t>
      </w:r>
      <w:r w:rsidR="00C026A6" w:rsidRPr="00EA59C0">
        <w:t xml:space="preserve">  </w:t>
      </w:r>
      <w:r w:rsidR="00621CF4" w:rsidRPr="00EA59C0">
        <w:t>The</w:t>
      </w:r>
      <w:r w:rsidR="00C026A6" w:rsidRPr="00EA59C0">
        <w:t xml:space="preserve"> </w:t>
      </w:r>
      <w:r w:rsidR="00621CF4" w:rsidRPr="00EA59C0">
        <w:t>award</w:t>
      </w:r>
      <w:r w:rsidR="00CE52C4" w:rsidRPr="00EA59C0">
        <w:t>s</w:t>
      </w:r>
      <w:r w:rsidR="00C026A6" w:rsidRPr="00EA59C0">
        <w:t xml:space="preserve"> </w:t>
      </w:r>
      <w:r w:rsidR="00CE52C4" w:rsidRPr="00EA59C0">
        <w:t>for</w:t>
      </w:r>
      <w:r w:rsidR="00C026A6" w:rsidRPr="00EA59C0">
        <w:t xml:space="preserve"> </w:t>
      </w:r>
      <w:r w:rsidR="00CE52C4" w:rsidRPr="00EA59C0">
        <w:t>consortia</w:t>
      </w:r>
      <w:r w:rsidR="00C026A6" w:rsidRPr="00EA59C0">
        <w:t xml:space="preserve"> </w:t>
      </w:r>
      <w:r w:rsidR="00CE52C4" w:rsidRPr="00EA59C0">
        <w:t>of</w:t>
      </w:r>
      <w:r w:rsidR="00C026A6" w:rsidRPr="00EA59C0">
        <w:t xml:space="preserve"> </w:t>
      </w:r>
      <w:r w:rsidR="00CE52C4" w:rsidRPr="00EA59C0">
        <w:t>this</w:t>
      </w:r>
      <w:r w:rsidR="00C026A6" w:rsidRPr="00EA59C0">
        <w:t xml:space="preserve"> </w:t>
      </w:r>
      <w:r w:rsidR="00CE52C4" w:rsidRPr="00EA59C0">
        <w:t>size</w:t>
      </w:r>
      <w:r w:rsidR="00C026A6" w:rsidRPr="00EA59C0">
        <w:t xml:space="preserve"> </w:t>
      </w:r>
      <w:r w:rsidR="00CE52C4" w:rsidRPr="00EA59C0">
        <w:t>will</w:t>
      </w:r>
      <w:r w:rsidR="00C026A6" w:rsidRPr="00EA59C0">
        <w:t xml:space="preserve"> </w:t>
      </w:r>
      <w:r w:rsidR="00CE52C4" w:rsidRPr="00EA59C0">
        <w:t>be</w:t>
      </w:r>
      <w:r w:rsidR="00C026A6" w:rsidRPr="00EA59C0">
        <w:t xml:space="preserve"> </w:t>
      </w:r>
      <w:r w:rsidR="00CE52C4" w:rsidRPr="00EA59C0">
        <w:t>capped</w:t>
      </w:r>
      <w:r w:rsidR="00C026A6" w:rsidRPr="00EA59C0">
        <w:t xml:space="preserve"> </w:t>
      </w:r>
      <w:r w:rsidR="00CE52C4" w:rsidRPr="00EA59C0">
        <w:t>at</w:t>
      </w:r>
      <w:r w:rsidR="00C026A6" w:rsidRPr="00EA59C0">
        <w:t xml:space="preserve"> </w:t>
      </w:r>
      <w:r w:rsidR="00621CF4" w:rsidRPr="00EA59C0">
        <w:t>$10</w:t>
      </w:r>
      <w:r w:rsidR="00C026A6" w:rsidRPr="00EA59C0">
        <w:t xml:space="preserve"> </w:t>
      </w:r>
      <w:r w:rsidR="00621CF4" w:rsidRPr="00EA59C0">
        <w:t>million.</w:t>
      </w:r>
    </w:p>
    <w:p w:rsidR="00621CF4" w:rsidRPr="00EA59C0" w:rsidRDefault="00621CF4" w:rsidP="00D03948">
      <w:pPr>
        <w:pStyle w:val="ListParagraph"/>
        <w:ind w:left="1440"/>
      </w:pPr>
    </w:p>
    <w:p w:rsidR="00ED673B" w:rsidRPr="00EA59C0" w:rsidRDefault="00614FCC" w:rsidP="00D03948">
      <w:pPr>
        <w:pStyle w:val="ListParagraph"/>
        <w:numPr>
          <w:ilvl w:val="0"/>
          <w:numId w:val="11"/>
        </w:numPr>
        <w:ind w:left="1440"/>
      </w:pPr>
      <w:r w:rsidRPr="00EA59C0">
        <w:rPr>
          <w:bCs/>
        </w:rPr>
        <w:t>Tier</w:t>
      </w:r>
      <w:r w:rsidR="00C026A6" w:rsidRPr="00EA59C0">
        <w:rPr>
          <w:bCs/>
        </w:rPr>
        <w:t xml:space="preserve"> </w:t>
      </w:r>
      <w:r w:rsidRPr="00EA59C0">
        <w:rPr>
          <w:bCs/>
        </w:rPr>
        <w:t>2</w:t>
      </w:r>
      <w:r w:rsidR="00621CF4" w:rsidRPr="00EA59C0">
        <w:rPr>
          <w:bCs/>
        </w:rPr>
        <w:t>:</w:t>
      </w:r>
      <w:r w:rsidR="00C026A6" w:rsidRPr="00EA59C0">
        <w:rPr>
          <w:b/>
          <w:bCs/>
        </w:rPr>
        <w:t xml:space="preserve"> </w:t>
      </w:r>
      <w:r w:rsidR="00621CF4" w:rsidRPr="00EA59C0">
        <w:t>These</w:t>
      </w:r>
      <w:r w:rsidR="00C026A6" w:rsidRPr="00EA59C0">
        <w:t xml:space="preserve"> </w:t>
      </w:r>
      <w:r w:rsidR="00621CF4" w:rsidRPr="00EA59C0">
        <w:t>are</w:t>
      </w:r>
      <w:r w:rsidR="00C026A6" w:rsidRPr="00EA59C0">
        <w:t xml:space="preserve"> </w:t>
      </w:r>
      <w:r w:rsidR="008E55F9" w:rsidRPr="00EA59C0">
        <w:t>medium</w:t>
      </w:r>
      <w:r w:rsidR="00C026A6" w:rsidRPr="00EA59C0">
        <w:t xml:space="preserve"> </w:t>
      </w:r>
      <w:r w:rsidR="008E55F9" w:rsidRPr="00EA59C0">
        <w:t>to</w:t>
      </w:r>
      <w:r w:rsidR="00C026A6" w:rsidRPr="00EA59C0">
        <w:t xml:space="preserve"> </w:t>
      </w:r>
      <w:r w:rsidR="008E55F9" w:rsidRPr="00EA59C0">
        <w:t>large</w:t>
      </w:r>
      <w:r w:rsidR="00C026A6" w:rsidRPr="00EA59C0">
        <w:t xml:space="preserve"> </w:t>
      </w:r>
      <w:r w:rsidR="008E55F9" w:rsidRPr="00EA59C0">
        <w:t>consortia</w:t>
      </w:r>
      <w:r w:rsidR="00C026A6" w:rsidRPr="00EA59C0">
        <w:t xml:space="preserve"> </w:t>
      </w:r>
      <w:r w:rsidR="008E55F9" w:rsidRPr="00EA59C0">
        <w:t>comprised</w:t>
      </w:r>
      <w:r w:rsidR="00C026A6" w:rsidRPr="00EA59C0">
        <w:t xml:space="preserve"> </w:t>
      </w:r>
      <w:r w:rsidR="008E55F9" w:rsidRPr="00EA59C0">
        <w:t>of</w:t>
      </w:r>
      <w:r w:rsidR="00C026A6" w:rsidRPr="00EA59C0">
        <w:t xml:space="preserve"> </w:t>
      </w:r>
      <w:r w:rsidR="00282E25" w:rsidRPr="00EA59C0">
        <w:t>11</w:t>
      </w:r>
      <w:r w:rsidR="00C026A6" w:rsidRPr="00EA59C0">
        <w:t xml:space="preserve"> </w:t>
      </w:r>
      <w:r w:rsidR="00621CF4" w:rsidRPr="00EA59C0">
        <w:t>or</w:t>
      </w:r>
      <w:r w:rsidR="00C026A6" w:rsidRPr="00EA59C0">
        <w:t xml:space="preserve"> </w:t>
      </w:r>
      <w:r w:rsidR="00621CF4" w:rsidRPr="00EA59C0">
        <w:t>more</w:t>
      </w:r>
      <w:r w:rsidR="00C026A6" w:rsidRPr="00EA59C0">
        <w:t xml:space="preserve"> </w:t>
      </w:r>
      <w:r w:rsidR="00621CF4" w:rsidRPr="00EA59C0">
        <w:t>consortium</w:t>
      </w:r>
      <w:r w:rsidR="00C026A6" w:rsidRPr="00EA59C0">
        <w:t xml:space="preserve"> </w:t>
      </w:r>
      <w:r w:rsidR="00621CF4" w:rsidRPr="00EA59C0">
        <w:t>members.</w:t>
      </w:r>
      <w:r w:rsidR="00C026A6" w:rsidRPr="00EA59C0">
        <w:t xml:space="preserve">  </w:t>
      </w:r>
      <w:r w:rsidR="00621CF4" w:rsidRPr="00EA59C0">
        <w:t>The</w:t>
      </w:r>
      <w:r w:rsidR="00C026A6" w:rsidRPr="00EA59C0">
        <w:t xml:space="preserve"> </w:t>
      </w:r>
      <w:r w:rsidR="00CE52C4" w:rsidRPr="00EA59C0">
        <w:t>award</w:t>
      </w:r>
      <w:r w:rsidR="00C026A6" w:rsidRPr="00EA59C0">
        <w:t xml:space="preserve"> </w:t>
      </w:r>
      <w:r w:rsidR="00CE52C4" w:rsidRPr="00EA59C0">
        <w:t>for</w:t>
      </w:r>
      <w:r w:rsidR="00C026A6" w:rsidRPr="00EA59C0">
        <w:t xml:space="preserve"> </w:t>
      </w:r>
      <w:r w:rsidR="00CE52C4" w:rsidRPr="00EA59C0">
        <w:t>consortia</w:t>
      </w:r>
      <w:r w:rsidR="00C026A6" w:rsidRPr="00EA59C0">
        <w:t xml:space="preserve"> </w:t>
      </w:r>
      <w:r w:rsidR="00621CF4" w:rsidRPr="00EA59C0">
        <w:t>of</w:t>
      </w:r>
      <w:r w:rsidR="00C026A6" w:rsidRPr="00EA59C0">
        <w:t xml:space="preserve"> </w:t>
      </w:r>
      <w:r w:rsidR="00621CF4" w:rsidRPr="00EA59C0">
        <w:t>this</w:t>
      </w:r>
      <w:r w:rsidR="00C026A6" w:rsidRPr="00EA59C0">
        <w:t xml:space="preserve"> </w:t>
      </w:r>
      <w:r w:rsidR="00621CF4" w:rsidRPr="00EA59C0">
        <w:t>size</w:t>
      </w:r>
      <w:r w:rsidR="00C026A6" w:rsidRPr="00EA59C0">
        <w:t xml:space="preserve"> </w:t>
      </w:r>
      <w:r w:rsidR="00CE52C4" w:rsidRPr="00EA59C0">
        <w:t>will</w:t>
      </w:r>
      <w:r w:rsidR="00C026A6" w:rsidRPr="00EA59C0">
        <w:t xml:space="preserve"> </w:t>
      </w:r>
      <w:r w:rsidR="00CE52C4" w:rsidRPr="00EA59C0">
        <w:t>be</w:t>
      </w:r>
      <w:r w:rsidR="00C026A6" w:rsidRPr="00EA59C0">
        <w:t xml:space="preserve"> </w:t>
      </w:r>
      <w:r w:rsidR="00CE52C4" w:rsidRPr="00EA59C0">
        <w:t>capped</w:t>
      </w:r>
      <w:r w:rsidR="00C026A6" w:rsidRPr="00EA59C0">
        <w:t xml:space="preserve"> </w:t>
      </w:r>
      <w:r w:rsidR="00CE52C4" w:rsidRPr="00EA59C0">
        <w:t>at</w:t>
      </w:r>
      <w:r w:rsidR="00C026A6" w:rsidRPr="00EA59C0">
        <w:t xml:space="preserve"> </w:t>
      </w:r>
      <w:r w:rsidR="00621CF4" w:rsidRPr="00EA59C0">
        <w:t>$15</w:t>
      </w:r>
      <w:r w:rsidR="00C026A6" w:rsidRPr="00EA59C0">
        <w:t xml:space="preserve"> </w:t>
      </w:r>
      <w:r w:rsidR="00621CF4" w:rsidRPr="00EA59C0">
        <w:t>million.</w:t>
      </w:r>
    </w:p>
    <w:p w:rsidR="00080097" w:rsidRPr="00EA59C0" w:rsidRDefault="00080097" w:rsidP="00080097">
      <w:pPr>
        <w:pStyle w:val="ListParagraph"/>
        <w:ind w:left="1440"/>
      </w:pPr>
    </w:p>
    <w:p w:rsidR="00CE52C4" w:rsidRPr="00EA59C0" w:rsidRDefault="00623ADE" w:rsidP="00080097">
      <w:pPr>
        <w:pStyle w:val="Heading2"/>
        <w:numPr>
          <w:ilvl w:val="2"/>
          <w:numId w:val="17"/>
        </w:numPr>
        <w:spacing w:line="240" w:lineRule="auto"/>
        <w:rPr>
          <w:rFonts w:ascii="Times New Roman" w:hAnsi="Times New Roman"/>
          <w:b w:val="0"/>
          <w:i w:val="0"/>
        </w:rPr>
      </w:pPr>
      <w:r w:rsidRPr="00EA59C0">
        <w:rPr>
          <w:rFonts w:ascii="Times New Roman" w:hAnsi="Times New Roman"/>
          <w:b w:val="0"/>
          <w:i w:val="0"/>
        </w:rPr>
        <w:t>Award</w:t>
      </w:r>
      <w:r w:rsidR="00C026A6" w:rsidRPr="00EA59C0">
        <w:rPr>
          <w:rFonts w:ascii="Times New Roman" w:hAnsi="Times New Roman"/>
          <w:b w:val="0"/>
          <w:i w:val="0"/>
        </w:rPr>
        <w:t xml:space="preserve"> </w:t>
      </w:r>
      <w:r w:rsidRPr="00EA59C0">
        <w:rPr>
          <w:rFonts w:ascii="Times New Roman" w:hAnsi="Times New Roman"/>
          <w:b w:val="0"/>
          <w:i w:val="0"/>
        </w:rPr>
        <w:t>Amount</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Consortium</w:t>
      </w:r>
      <w:r w:rsidR="00C026A6" w:rsidRPr="00EA59C0">
        <w:rPr>
          <w:rFonts w:ascii="Times New Roman" w:hAnsi="Times New Roman"/>
          <w:b w:val="0"/>
          <w:i w:val="0"/>
        </w:rPr>
        <w:t xml:space="preserve"> </w:t>
      </w:r>
      <w:r w:rsidRPr="00EA59C0">
        <w:rPr>
          <w:rFonts w:ascii="Times New Roman" w:hAnsi="Times New Roman"/>
          <w:b w:val="0"/>
          <w:i w:val="0"/>
        </w:rPr>
        <w:t>Applicants</w:t>
      </w:r>
      <w:r w:rsidR="00C026A6" w:rsidRPr="00EA59C0">
        <w:rPr>
          <w:rFonts w:ascii="Times New Roman" w:hAnsi="Times New Roman"/>
          <w:b w:val="0"/>
          <w:i w:val="0"/>
        </w:rPr>
        <w:t xml:space="preserve"> </w:t>
      </w:r>
      <w:r w:rsidRPr="00EA59C0">
        <w:rPr>
          <w:rFonts w:ascii="Times New Roman" w:hAnsi="Times New Roman"/>
          <w:b w:val="0"/>
          <w:i w:val="0"/>
        </w:rPr>
        <w:t>Seeking</w:t>
      </w:r>
      <w:r w:rsidR="00C026A6" w:rsidRPr="00EA59C0">
        <w:rPr>
          <w:rFonts w:ascii="Times New Roman" w:hAnsi="Times New Roman"/>
          <w:b w:val="0"/>
          <w:i w:val="0"/>
        </w:rPr>
        <w:t xml:space="preserve"> </w:t>
      </w:r>
      <w:r w:rsidRPr="00EA59C0">
        <w:rPr>
          <w:rFonts w:ascii="Times New Roman" w:hAnsi="Times New Roman"/>
          <w:b w:val="0"/>
          <w:i w:val="0"/>
        </w:rPr>
        <w:t>to</w:t>
      </w:r>
      <w:r w:rsidR="00C026A6" w:rsidRPr="00EA59C0">
        <w:rPr>
          <w:rFonts w:ascii="Times New Roman" w:hAnsi="Times New Roman"/>
          <w:b w:val="0"/>
          <w:i w:val="0"/>
        </w:rPr>
        <w:t xml:space="preserve"> </w:t>
      </w:r>
      <w:r w:rsidRPr="00EA59C0">
        <w:rPr>
          <w:rFonts w:ascii="Times New Roman" w:hAnsi="Times New Roman"/>
          <w:b w:val="0"/>
          <w:i w:val="0"/>
        </w:rPr>
        <w:t>Exceed</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Funding</w:t>
      </w:r>
      <w:r w:rsidR="00C026A6" w:rsidRPr="00EA59C0">
        <w:rPr>
          <w:rFonts w:ascii="Times New Roman" w:hAnsi="Times New Roman"/>
          <w:b w:val="0"/>
          <w:i w:val="0"/>
        </w:rPr>
        <w:t xml:space="preserve"> </w:t>
      </w:r>
      <w:r w:rsidR="00CE52C4" w:rsidRPr="00EA59C0">
        <w:rPr>
          <w:rFonts w:ascii="Times New Roman" w:hAnsi="Times New Roman"/>
          <w:b w:val="0"/>
          <w:i w:val="0"/>
        </w:rPr>
        <w:t>Cap</w:t>
      </w:r>
      <w:r w:rsidR="00C026A6" w:rsidRPr="00EA59C0">
        <w:rPr>
          <w:rFonts w:ascii="Times New Roman" w:hAnsi="Times New Roman"/>
          <w:b w:val="0"/>
          <w:i w:val="0"/>
        </w:rPr>
        <w:t xml:space="preserve"> </w:t>
      </w:r>
      <w:r w:rsidR="00346252" w:rsidRPr="00EA59C0">
        <w:rPr>
          <w:rFonts w:ascii="Times New Roman" w:hAnsi="Times New Roman"/>
          <w:b w:val="0"/>
          <w:i w:val="0"/>
        </w:rPr>
        <w:t>Through</w:t>
      </w:r>
      <w:r w:rsidR="00C026A6" w:rsidRPr="00EA59C0">
        <w:rPr>
          <w:rFonts w:ascii="Times New Roman" w:hAnsi="Times New Roman"/>
          <w:b w:val="0"/>
          <w:i w:val="0"/>
        </w:rPr>
        <w:t xml:space="preserve"> </w:t>
      </w:r>
      <w:r w:rsidR="00346252" w:rsidRPr="00EA59C0">
        <w:rPr>
          <w:rFonts w:ascii="Times New Roman" w:hAnsi="Times New Roman"/>
          <w:b w:val="0"/>
          <w:i w:val="0"/>
        </w:rPr>
        <w:t>Implementation</w:t>
      </w:r>
      <w:r w:rsidR="00C026A6" w:rsidRPr="00EA59C0">
        <w:rPr>
          <w:rFonts w:ascii="Times New Roman" w:hAnsi="Times New Roman"/>
          <w:b w:val="0"/>
          <w:i w:val="0"/>
        </w:rPr>
        <w:t xml:space="preserve"> </w:t>
      </w:r>
      <w:r w:rsidR="00346252" w:rsidRPr="00EA59C0">
        <w:rPr>
          <w:rFonts w:ascii="Times New Roman" w:hAnsi="Times New Roman"/>
          <w:b w:val="0"/>
          <w:i w:val="0"/>
        </w:rPr>
        <w:t>of</w:t>
      </w:r>
      <w:r w:rsidR="00C026A6" w:rsidRPr="00EA59C0">
        <w:rPr>
          <w:rFonts w:ascii="Times New Roman" w:hAnsi="Times New Roman"/>
          <w:b w:val="0"/>
          <w:i w:val="0"/>
        </w:rPr>
        <w:t xml:space="preserve"> </w:t>
      </w:r>
      <w:r w:rsidR="0020191F" w:rsidRPr="00EA59C0">
        <w:rPr>
          <w:rFonts w:ascii="Times New Roman" w:hAnsi="Times New Roman"/>
          <w:b w:val="0"/>
          <w:i w:val="0"/>
        </w:rPr>
        <w:t>Selected</w:t>
      </w:r>
      <w:r w:rsidR="00C026A6" w:rsidRPr="00EA59C0">
        <w:rPr>
          <w:rFonts w:ascii="Times New Roman" w:hAnsi="Times New Roman"/>
          <w:b w:val="0"/>
          <w:i w:val="0"/>
        </w:rPr>
        <w:t xml:space="preserve"> </w:t>
      </w:r>
      <w:r w:rsidR="0020191F" w:rsidRPr="00EA59C0">
        <w:rPr>
          <w:rFonts w:ascii="Times New Roman" w:hAnsi="Times New Roman"/>
          <w:b w:val="0"/>
          <w:i w:val="0"/>
        </w:rPr>
        <w:t>Regional</w:t>
      </w:r>
      <w:r w:rsidR="00C026A6" w:rsidRPr="00EA59C0">
        <w:rPr>
          <w:rFonts w:ascii="Times New Roman" w:hAnsi="Times New Roman"/>
          <w:b w:val="0"/>
          <w:i w:val="0"/>
        </w:rPr>
        <w:t xml:space="preserve"> </w:t>
      </w:r>
      <w:r w:rsidR="0020191F" w:rsidRPr="00EA59C0">
        <w:rPr>
          <w:rFonts w:ascii="Times New Roman" w:hAnsi="Times New Roman"/>
          <w:b w:val="0"/>
          <w:i w:val="0"/>
        </w:rPr>
        <w:t>and</w:t>
      </w:r>
      <w:r w:rsidR="00C026A6" w:rsidRPr="00EA59C0">
        <w:rPr>
          <w:rFonts w:ascii="Times New Roman" w:hAnsi="Times New Roman"/>
          <w:b w:val="0"/>
          <w:i w:val="0"/>
        </w:rPr>
        <w:t xml:space="preserve"> </w:t>
      </w:r>
      <w:r w:rsidR="00346252" w:rsidRPr="00EA59C0">
        <w:rPr>
          <w:rFonts w:ascii="Times New Roman" w:hAnsi="Times New Roman"/>
          <w:b w:val="0"/>
          <w:i w:val="0"/>
        </w:rPr>
        <w:t>Statewide</w:t>
      </w:r>
      <w:r w:rsidR="00C026A6" w:rsidRPr="00EA59C0">
        <w:rPr>
          <w:rFonts w:ascii="Times New Roman" w:hAnsi="Times New Roman"/>
          <w:b w:val="0"/>
          <w:i w:val="0"/>
        </w:rPr>
        <w:t xml:space="preserve"> </w:t>
      </w:r>
      <w:r w:rsidR="00346252" w:rsidRPr="00EA59C0">
        <w:rPr>
          <w:rFonts w:ascii="Times New Roman" w:hAnsi="Times New Roman"/>
          <w:b w:val="0"/>
          <w:i w:val="0"/>
        </w:rPr>
        <w:t>Capacity</w:t>
      </w:r>
      <w:r w:rsidR="00C026A6" w:rsidRPr="00EA59C0">
        <w:rPr>
          <w:rFonts w:ascii="Times New Roman" w:hAnsi="Times New Roman"/>
          <w:b w:val="0"/>
          <w:i w:val="0"/>
        </w:rPr>
        <w:t xml:space="preserve"> </w:t>
      </w:r>
      <w:r w:rsidR="00346252" w:rsidRPr="00EA59C0">
        <w:rPr>
          <w:rFonts w:ascii="Times New Roman" w:hAnsi="Times New Roman"/>
          <w:b w:val="0"/>
          <w:i w:val="0"/>
        </w:rPr>
        <w:t>Building</w:t>
      </w:r>
      <w:r w:rsidR="00C026A6" w:rsidRPr="00EA59C0">
        <w:rPr>
          <w:rFonts w:ascii="Times New Roman" w:hAnsi="Times New Roman"/>
          <w:b w:val="0"/>
          <w:i w:val="0"/>
        </w:rPr>
        <w:t xml:space="preserve"> </w:t>
      </w:r>
      <w:r w:rsidR="00346252" w:rsidRPr="00EA59C0">
        <w:rPr>
          <w:rFonts w:ascii="Times New Roman" w:hAnsi="Times New Roman"/>
          <w:b w:val="0"/>
          <w:i w:val="0"/>
        </w:rPr>
        <w:t>Activities</w:t>
      </w:r>
    </w:p>
    <w:p w:rsidR="003A656A" w:rsidRPr="00EA59C0" w:rsidRDefault="0028055D" w:rsidP="00D03948">
      <w:pPr>
        <w:ind w:left="1080"/>
        <w:rPr>
          <w:bCs/>
        </w:rPr>
      </w:pPr>
      <w:r w:rsidRPr="00EA59C0">
        <w:rPr>
          <w:bCs/>
        </w:rPr>
        <w:t>Consortium</w:t>
      </w:r>
      <w:r w:rsidR="00C026A6" w:rsidRPr="00EA59C0">
        <w:rPr>
          <w:bCs/>
        </w:rPr>
        <w:t xml:space="preserve"> </w:t>
      </w:r>
      <w:r w:rsidRPr="00EA59C0">
        <w:rPr>
          <w:bCs/>
        </w:rPr>
        <w:t>applicants</w:t>
      </w:r>
      <w:r w:rsidR="00C026A6" w:rsidRPr="00EA59C0">
        <w:rPr>
          <w:bCs/>
        </w:rPr>
        <w:t xml:space="preserve"> </w:t>
      </w:r>
      <w:r w:rsidRPr="00EA59C0">
        <w:rPr>
          <w:bCs/>
        </w:rPr>
        <w:t>may</w:t>
      </w:r>
      <w:r w:rsidR="00C026A6" w:rsidRPr="00EA59C0">
        <w:rPr>
          <w:bCs/>
        </w:rPr>
        <w:t xml:space="preserve"> </w:t>
      </w:r>
      <w:r w:rsidRPr="00EA59C0">
        <w:rPr>
          <w:bCs/>
        </w:rPr>
        <w:t>apply</w:t>
      </w:r>
      <w:r w:rsidR="00C026A6" w:rsidRPr="00EA59C0">
        <w:rPr>
          <w:bCs/>
        </w:rPr>
        <w:t xml:space="preserve"> </w:t>
      </w:r>
      <w:r w:rsidRPr="00EA59C0">
        <w:rPr>
          <w:bCs/>
        </w:rPr>
        <w:t>to</w:t>
      </w:r>
      <w:r w:rsidR="00C026A6" w:rsidRPr="00EA59C0">
        <w:rPr>
          <w:bCs/>
        </w:rPr>
        <w:t xml:space="preserve"> </w:t>
      </w:r>
      <w:r w:rsidRPr="00EA59C0">
        <w:rPr>
          <w:bCs/>
        </w:rPr>
        <w:t>exceed</w:t>
      </w:r>
      <w:r w:rsidR="00C026A6" w:rsidRPr="00EA59C0">
        <w:rPr>
          <w:bCs/>
        </w:rPr>
        <w:t xml:space="preserve"> </w:t>
      </w:r>
      <w:r w:rsidRPr="00EA59C0">
        <w:rPr>
          <w:bCs/>
        </w:rPr>
        <w:t>the</w:t>
      </w:r>
      <w:r w:rsidR="00C026A6" w:rsidRPr="00EA59C0">
        <w:rPr>
          <w:bCs/>
        </w:rPr>
        <w:t xml:space="preserve"> </w:t>
      </w:r>
      <w:r w:rsidRPr="00EA59C0">
        <w:rPr>
          <w:bCs/>
        </w:rPr>
        <w:t>maximum</w:t>
      </w:r>
      <w:r w:rsidR="00C026A6" w:rsidRPr="00EA59C0">
        <w:rPr>
          <w:bCs/>
        </w:rPr>
        <w:t xml:space="preserve"> </w:t>
      </w:r>
      <w:r w:rsidRPr="00EA59C0">
        <w:rPr>
          <w:bCs/>
        </w:rPr>
        <w:t>funding</w:t>
      </w:r>
      <w:r w:rsidR="00C026A6" w:rsidRPr="00EA59C0">
        <w:rPr>
          <w:bCs/>
        </w:rPr>
        <w:t xml:space="preserve"> </w:t>
      </w:r>
      <w:r w:rsidRPr="00EA59C0">
        <w:rPr>
          <w:bCs/>
        </w:rPr>
        <w:t>level</w:t>
      </w:r>
      <w:r w:rsidR="00C026A6" w:rsidRPr="00EA59C0">
        <w:rPr>
          <w:bCs/>
        </w:rPr>
        <w:t xml:space="preserve"> </w:t>
      </w:r>
      <w:r w:rsidRPr="00EA59C0">
        <w:rPr>
          <w:bCs/>
        </w:rPr>
        <w:t>for</w:t>
      </w:r>
      <w:r w:rsidR="00C026A6" w:rsidRPr="00EA59C0">
        <w:rPr>
          <w:bCs/>
        </w:rPr>
        <w:t xml:space="preserve"> </w:t>
      </w:r>
      <w:r w:rsidRPr="00EA59C0">
        <w:rPr>
          <w:bCs/>
        </w:rPr>
        <w:t>their</w:t>
      </w:r>
      <w:r w:rsidR="00C026A6" w:rsidRPr="00EA59C0">
        <w:rPr>
          <w:bCs/>
        </w:rPr>
        <w:t xml:space="preserve"> </w:t>
      </w:r>
      <w:r w:rsidRPr="00EA59C0">
        <w:rPr>
          <w:bCs/>
        </w:rPr>
        <w:t>tier</w:t>
      </w:r>
      <w:r w:rsidR="00C026A6" w:rsidRPr="00EA59C0">
        <w:rPr>
          <w:bCs/>
        </w:rPr>
        <w:t xml:space="preserve"> </w:t>
      </w:r>
      <w:r w:rsidRPr="00EA59C0">
        <w:rPr>
          <w:bCs/>
        </w:rPr>
        <w:t>by</w:t>
      </w:r>
      <w:r w:rsidR="00C026A6" w:rsidRPr="00EA59C0">
        <w:rPr>
          <w:bCs/>
        </w:rPr>
        <w:t xml:space="preserve"> </w:t>
      </w:r>
      <w:r w:rsidRPr="00EA59C0">
        <w:rPr>
          <w:bCs/>
        </w:rPr>
        <w:t>proposing</w:t>
      </w:r>
      <w:r w:rsidR="00C026A6" w:rsidRPr="00EA59C0">
        <w:rPr>
          <w:bCs/>
        </w:rPr>
        <w:t xml:space="preserve"> </w:t>
      </w:r>
      <w:r w:rsidRPr="00EA59C0">
        <w:rPr>
          <w:bCs/>
        </w:rPr>
        <w:t>to</w:t>
      </w:r>
      <w:r w:rsidR="00C026A6" w:rsidRPr="00EA59C0">
        <w:rPr>
          <w:bCs/>
        </w:rPr>
        <w:t xml:space="preserve"> </w:t>
      </w:r>
      <w:r w:rsidRPr="00EA59C0">
        <w:rPr>
          <w:bCs/>
        </w:rPr>
        <w:t>implement</w:t>
      </w:r>
      <w:r w:rsidR="00C026A6" w:rsidRPr="00EA59C0">
        <w:rPr>
          <w:bCs/>
        </w:rPr>
        <w:t xml:space="preserve"> </w:t>
      </w:r>
      <w:r w:rsidR="00575314" w:rsidRPr="00EA59C0">
        <w:rPr>
          <w:bCs/>
        </w:rPr>
        <w:t>only</w:t>
      </w:r>
      <w:r w:rsidR="00C026A6" w:rsidRPr="00EA59C0">
        <w:rPr>
          <w:bCs/>
        </w:rPr>
        <w:t xml:space="preserve"> </w:t>
      </w:r>
      <w:r w:rsidR="00575314" w:rsidRPr="00EA59C0">
        <w:rPr>
          <w:bCs/>
        </w:rPr>
        <w:t>o</w:t>
      </w:r>
      <w:r w:rsidRPr="00EA59C0">
        <w:rPr>
          <w:bCs/>
        </w:rPr>
        <w:t>ne</w:t>
      </w:r>
      <w:r w:rsidR="00C026A6" w:rsidRPr="00EA59C0">
        <w:rPr>
          <w:bCs/>
        </w:rPr>
        <w:t xml:space="preserve"> </w:t>
      </w:r>
      <w:r w:rsidRPr="00EA59C0">
        <w:rPr>
          <w:bCs/>
        </w:rPr>
        <w:t>of</w:t>
      </w:r>
      <w:r w:rsidR="00C026A6" w:rsidRPr="00EA59C0">
        <w:rPr>
          <w:bCs/>
        </w:rPr>
        <w:t xml:space="preserve"> </w:t>
      </w:r>
      <w:r w:rsidRPr="00EA59C0">
        <w:rPr>
          <w:bCs/>
        </w:rPr>
        <w:t>the</w:t>
      </w:r>
      <w:r w:rsidR="00C026A6" w:rsidRPr="00EA59C0">
        <w:rPr>
          <w:bCs/>
        </w:rPr>
        <w:t xml:space="preserve"> </w:t>
      </w:r>
      <w:r w:rsidRPr="00EA59C0">
        <w:rPr>
          <w:bCs/>
        </w:rPr>
        <w:t>three</w:t>
      </w:r>
      <w:r w:rsidR="00C026A6" w:rsidRPr="00EA59C0">
        <w:rPr>
          <w:bCs/>
        </w:rPr>
        <w:t xml:space="preserve"> </w:t>
      </w:r>
      <w:r w:rsidRPr="00EA59C0">
        <w:rPr>
          <w:bCs/>
        </w:rPr>
        <w:t>types</w:t>
      </w:r>
      <w:r w:rsidR="00C026A6" w:rsidRPr="00EA59C0">
        <w:rPr>
          <w:bCs/>
        </w:rPr>
        <w:t xml:space="preserve"> </w:t>
      </w:r>
      <w:r w:rsidRPr="00EA59C0">
        <w:rPr>
          <w:bCs/>
        </w:rPr>
        <w:t>of</w:t>
      </w:r>
      <w:r w:rsidR="00C026A6" w:rsidRPr="00EA59C0">
        <w:rPr>
          <w:bCs/>
        </w:rPr>
        <w:t xml:space="preserve"> </w:t>
      </w:r>
      <w:r w:rsidR="0020191F" w:rsidRPr="00EA59C0">
        <w:rPr>
          <w:bCs/>
        </w:rPr>
        <w:t>regional</w:t>
      </w:r>
      <w:r w:rsidR="00C026A6" w:rsidRPr="00EA59C0">
        <w:rPr>
          <w:bCs/>
        </w:rPr>
        <w:t xml:space="preserve"> </w:t>
      </w:r>
      <w:r w:rsidR="001936B6" w:rsidRPr="00EA59C0">
        <w:rPr>
          <w:bCs/>
        </w:rPr>
        <w:t>or</w:t>
      </w:r>
      <w:r w:rsidR="00C026A6" w:rsidRPr="00EA59C0">
        <w:rPr>
          <w:bCs/>
        </w:rPr>
        <w:t xml:space="preserve"> </w:t>
      </w:r>
      <w:r w:rsidRPr="00EA59C0">
        <w:rPr>
          <w:bCs/>
        </w:rPr>
        <w:t>statewide</w:t>
      </w:r>
      <w:r w:rsidR="00C026A6" w:rsidRPr="00EA59C0">
        <w:rPr>
          <w:bCs/>
        </w:rPr>
        <w:t xml:space="preserve"> </w:t>
      </w:r>
      <w:r w:rsidRPr="00EA59C0">
        <w:rPr>
          <w:bCs/>
        </w:rPr>
        <w:t>capacity</w:t>
      </w:r>
      <w:r w:rsidR="00C026A6" w:rsidRPr="00EA59C0">
        <w:rPr>
          <w:bCs/>
        </w:rPr>
        <w:t xml:space="preserve"> </w:t>
      </w:r>
      <w:r w:rsidRPr="00EA59C0">
        <w:rPr>
          <w:bCs/>
        </w:rPr>
        <w:t>building</w:t>
      </w:r>
      <w:r w:rsidR="00C026A6" w:rsidRPr="00EA59C0">
        <w:rPr>
          <w:bCs/>
        </w:rPr>
        <w:t xml:space="preserve"> </w:t>
      </w:r>
      <w:r w:rsidRPr="00EA59C0">
        <w:rPr>
          <w:bCs/>
        </w:rPr>
        <w:t>activities</w:t>
      </w:r>
      <w:r w:rsidR="00F10638" w:rsidRPr="00EA59C0">
        <w:rPr>
          <w:bCs/>
        </w:rPr>
        <w:t>:</w:t>
      </w:r>
      <w:r w:rsidR="00C026A6" w:rsidRPr="00EA59C0">
        <w:rPr>
          <w:bCs/>
        </w:rPr>
        <w:t xml:space="preserve"> </w:t>
      </w:r>
      <w:r w:rsidR="006470D0" w:rsidRPr="00EA59C0">
        <w:rPr>
          <w:bCs/>
        </w:rPr>
        <w:t>(1)</w:t>
      </w:r>
      <w:r w:rsidR="00C026A6" w:rsidRPr="00EA59C0">
        <w:rPr>
          <w:bCs/>
        </w:rPr>
        <w:t xml:space="preserve"> </w:t>
      </w:r>
      <w:r w:rsidR="00F10638" w:rsidRPr="00EA59C0">
        <w:rPr>
          <w:bCs/>
        </w:rPr>
        <w:t>Advance</w:t>
      </w:r>
      <w:r w:rsidR="00C026A6" w:rsidRPr="00EA59C0">
        <w:rPr>
          <w:bCs/>
        </w:rPr>
        <w:t xml:space="preserve"> </w:t>
      </w:r>
      <w:r w:rsidR="00F10638" w:rsidRPr="00EA59C0">
        <w:rPr>
          <w:bCs/>
        </w:rPr>
        <w:t>State</w:t>
      </w:r>
      <w:r w:rsidR="00C026A6" w:rsidRPr="00EA59C0">
        <w:rPr>
          <w:bCs/>
        </w:rPr>
        <w:t xml:space="preserve"> </w:t>
      </w:r>
      <w:r w:rsidR="00F10638" w:rsidRPr="00EA59C0">
        <w:rPr>
          <w:bCs/>
        </w:rPr>
        <w:t>Career</w:t>
      </w:r>
      <w:r w:rsidR="00C026A6" w:rsidRPr="00EA59C0">
        <w:rPr>
          <w:bCs/>
        </w:rPr>
        <w:t xml:space="preserve"> </w:t>
      </w:r>
      <w:r w:rsidR="00F10638" w:rsidRPr="00EA59C0">
        <w:rPr>
          <w:bCs/>
        </w:rPr>
        <w:t>Pathway</w:t>
      </w:r>
      <w:r w:rsidR="00C026A6" w:rsidRPr="00EA59C0">
        <w:rPr>
          <w:bCs/>
        </w:rPr>
        <w:t xml:space="preserve"> </w:t>
      </w:r>
      <w:r w:rsidR="00BB05B4" w:rsidRPr="00EA59C0">
        <w:rPr>
          <w:bCs/>
        </w:rPr>
        <w:t>Systems</w:t>
      </w:r>
      <w:r w:rsidR="00F10638" w:rsidRPr="00EA59C0">
        <w:rPr>
          <w:bCs/>
        </w:rPr>
        <w:t>;</w:t>
      </w:r>
      <w:r w:rsidR="00C026A6" w:rsidRPr="00EA59C0">
        <w:rPr>
          <w:bCs/>
        </w:rPr>
        <w:t xml:space="preserve"> </w:t>
      </w:r>
      <w:r w:rsidR="006470D0" w:rsidRPr="00EA59C0">
        <w:rPr>
          <w:bCs/>
        </w:rPr>
        <w:t>(2)</w:t>
      </w:r>
      <w:r w:rsidR="00C026A6" w:rsidRPr="00EA59C0">
        <w:rPr>
          <w:bCs/>
        </w:rPr>
        <w:t xml:space="preserve"> </w:t>
      </w:r>
      <w:r w:rsidR="00F10638" w:rsidRPr="00EA59C0">
        <w:rPr>
          <w:bCs/>
        </w:rPr>
        <w:t>Improve</w:t>
      </w:r>
      <w:r w:rsidR="00C026A6" w:rsidRPr="00EA59C0">
        <w:rPr>
          <w:bCs/>
        </w:rPr>
        <w:t xml:space="preserve"> </w:t>
      </w:r>
      <w:r w:rsidR="00F10638" w:rsidRPr="00EA59C0">
        <w:rPr>
          <w:bCs/>
        </w:rPr>
        <w:t>Statewide</w:t>
      </w:r>
      <w:r w:rsidR="00C026A6" w:rsidRPr="00EA59C0">
        <w:rPr>
          <w:bCs/>
        </w:rPr>
        <w:t xml:space="preserve"> </w:t>
      </w:r>
      <w:r w:rsidR="00F10638" w:rsidRPr="00EA59C0">
        <w:rPr>
          <w:bCs/>
        </w:rPr>
        <w:t>Data</w:t>
      </w:r>
      <w:r w:rsidR="00C026A6" w:rsidRPr="00EA59C0">
        <w:rPr>
          <w:bCs/>
        </w:rPr>
        <w:t xml:space="preserve"> </w:t>
      </w:r>
      <w:r w:rsidR="00F10638" w:rsidRPr="00EA59C0">
        <w:rPr>
          <w:bCs/>
        </w:rPr>
        <w:t>Collection,</w:t>
      </w:r>
      <w:r w:rsidR="00C026A6" w:rsidRPr="00EA59C0">
        <w:rPr>
          <w:bCs/>
        </w:rPr>
        <w:t xml:space="preserve"> </w:t>
      </w:r>
      <w:r w:rsidR="00F10638" w:rsidRPr="00EA59C0">
        <w:rPr>
          <w:bCs/>
        </w:rPr>
        <w:t>Integration,</w:t>
      </w:r>
      <w:r w:rsidR="00C026A6" w:rsidRPr="00EA59C0">
        <w:rPr>
          <w:bCs/>
        </w:rPr>
        <w:t xml:space="preserve"> </w:t>
      </w:r>
      <w:r w:rsidR="00F10638" w:rsidRPr="00EA59C0">
        <w:rPr>
          <w:bCs/>
        </w:rPr>
        <w:t>and</w:t>
      </w:r>
      <w:r w:rsidR="00C026A6" w:rsidRPr="00EA59C0">
        <w:rPr>
          <w:bCs/>
        </w:rPr>
        <w:t xml:space="preserve"> </w:t>
      </w:r>
      <w:r w:rsidR="00F10638" w:rsidRPr="00EA59C0">
        <w:rPr>
          <w:bCs/>
        </w:rPr>
        <w:t>Use;</w:t>
      </w:r>
      <w:r w:rsidR="00C026A6" w:rsidRPr="00EA59C0">
        <w:rPr>
          <w:bCs/>
        </w:rPr>
        <w:t xml:space="preserve"> </w:t>
      </w:r>
      <w:r w:rsidR="00167858" w:rsidRPr="00EA59C0">
        <w:rPr>
          <w:bCs/>
        </w:rPr>
        <w:t>or</w:t>
      </w:r>
      <w:r w:rsidR="00C026A6" w:rsidRPr="00EA59C0">
        <w:rPr>
          <w:bCs/>
        </w:rPr>
        <w:t xml:space="preserve"> </w:t>
      </w:r>
      <w:r w:rsidR="006470D0" w:rsidRPr="00EA59C0">
        <w:rPr>
          <w:bCs/>
        </w:rPr>
        <w:t>(3)</w:t>
      </w:r>
      <w:r w:rsidR="00C026A6" w:rsidRPr="00EA59C0">
        <w:rPr>
          <w:bCs/>
        </w:rPr>
        <w:t xml:space="preserve"> </w:t>
      </w:r>
      <w:r w:rsidR="001936B6" w:rsidRPr="00EA59C0">
        <w:rPr>
          <w:bCs/>
        </w:rPr>
        <w:t>Create</w:t>
      </w:r>
      <w:r w:rsidR="00C026A6" w:rsidRPr="00EA59C0">
        <w:rPr>
          <w:bCs/>
        </w:rPr>
        <w:t xml:space="preserve"> </w:t>
      </w:r>
      <w:r w:rsidR="003264AF" w:rsidRPr="00EA59C0">
        <w:rPr>
          <w:bCs/>
        </w:rPr>
        <w:t>Nationally</w:t>
      </w:r>
      <w:r w:rsidR="00C026A6" w:rsidRPr="00EA59C0">
        <w:rPr>
          <w:bCs/>
        </w:rPr>
        <w:t xml:space="preserve"> </w:t>
      </w:r>
      <w:r w:rsidR="003264AF" w:rsidRPr="00EA59C0">
        <w:rPr>
          <w:bCs/>
        </w:rPr>
        <w:t>Recognized</w:t>
      </w:r>
      <w:r w:rsidR="00C026A6" w:rsidRPr="00EA59C0">
        <w:rPr>
          <w:bCs/>
        </w:rPr>
        <w:t xml:space="preserve"> </w:t>
      </w:r>
      <w:r w:rsidR="003264AF" w:rsidRPr="00EA59C0">
        <w:rPr>
          <w:bCs/>
        </w:rPr>
        <w:t>Competencies</w:t>
      </w:r>
      <w:r w:rsidR="00C026A6" w:rsidRPr="00EA59C0">
        <w:rPr>
          <w:bCs/>
        </w:rPr>
        <w:t xml:space="preserve"> </w:t>
      </w:r>
      <w:r w:rsidR="003264AF" w:rsidRPr="00EA59C0">
        <w:rPr>
          <w:bCs/>
        </w:rPr>
        <w:t>and</w:t>
      </w:r>
      <w:r w:rsidR="00C026A6" w:rsidRPr="00EA59C0">
        <w:rPr>
          <w:bCs/>
        </w:rPr>
        <w:t xml:space="preserve"> </w:t>
      </w:r>
      <w:r w:rsidR="003264AF" w:rsidRPr="00EA59C0">
        <w:rPr>
          <w:bCs/>
        </w:rPr>
        <w:t>Credentials</w:t>
      </w:r>
      <w:r w:rsidR="00F10638" w:rsidRPr="00EA59C0">
        <w:rPr>
          <w:bCs/>
        </w:rPr>
        <w:t>.</w:t>
      </w:r>
      <w:r w:rsidR="00C026A6" w:rsidRPr="00EA59C0">
        <w:rPr>
          <w:bCs/>
        </w:rPr>
        <w:t xml:space="preserve">  </w:t>
      </w:r>
    </w:p>
    <w:p w:rsidR="003A656A" w:rsidRPr="00EA59C0" w:rsidRDefault="003A656A" w:rsidP="00D03948">
      <w:pPr>
        <w:ind w:left="1080"/>
        <w:rPr>
          <w:bCs/>
        </w:rPr>
      </w:pPr>
    </w:p>
    <w:p w:rsidR="00357E8C" w:rsidRPr="00EA59C0" w:rsidRDefault="00357E8C" w:rsidP="00357E8C">
      <w:pPr>
        <w:ind w:left="1080"/>
        <w:rPr>
          <w:bCs/>
        </w:rPr>
      </w:pPr>
      <w:r w:rsidRPr="00EA59C0">
        <w:rPr>
          <w:bCs/>
        </w:rPr>
        <w:t xml:space="preserve">The maximum amount of funding that a consortium applicant seeking to exceed the cap may apply for is based on the number of members in the consortium: </w:t>
      </w:r>
    </w:p>
    <w:p w:rsidR="00357E8C" w:rsidRPr="00EA59C0" w:rsidRDefault="00357E8C" w:rsidP="00357E8C">
      <w:pPr>
        <w:pStyle w:val="ListParagraph"/>
        <w:numPr>
          <w:ilvl w:val="0"/>
          <w:numId w:val="11"/>
        </w:numPr>
        <w:ind w:left="1440"/>
      </w:pPr>
      <w:r w:rsidRPr="00EA59C0">
        <w:rPr>
          <w:b/>
          <w:bCs/>
        </w:rPr>
        <w:t>Tier 1</w:t>
      </w:r>
      <w:r w:rsidRPr="00EA59C0">
        <w:rPr>
          <w:b/>
        </w:rPr>
        <w:t>:</w:t>
      </w:r>
      <w:r w:rsidRPr="00EA59C0">
        <w:rPr>
          <w:b/>
          <w:bCs/>
        </w:rPr>
        <w:t xml:space="preserve">  </w:t>
      </w:r>
      <w:r w:rsidRPr="00EA59C0">
        <w:t>Consortia with three to 10 members that meet the conditions below may request an additional level of funding of up to $2 million.  The maximum award for consortium of this size is $12 million.</w:t>
      </w:r>
    </w:p>
    <w:p w:rsidR="00357E8C" w:rsidRPr="00EA59C0" w:rsidRDefault="00357E8C" w:rsidP="00357E8C">
      <w:pPr>
        <w:pStyle w:val="ListParagraph"/>
        <w:ind w:left="1440"/>
      </w:pPr>
    </w:p>
    <w:p w:rsidR="00357E8C" w:rsidRPr="00EA59C0" w:rsidRDefault="00357E8C" w:rsidP="00357E8C">
      <w:pPr>
        <w:pStyle w:val="ListParagraph"/>
        <w:numPr>
          <w:ilvl w:val="0"/>
          <w:numId w:val="11"/>
        </w:numPr>
        <w:ind w:left="1440"/>
      </w:pPr>
      <w:r w:rsidRPr="00EA59C0">
        <w:rPr>
          <w:b/>
          <w:bCs/>
        </w:rPr>
        <w:t xml:space="preserve">Tier 2: </w:t>
      </w:r>
      <w:r w:rsidRPr="00EA59C0">
        <w:rPr>
          <w:bCs/>
        </w:rPr>
        <w:t xml:space="preserve">Consortia with 11 or </w:t>
      </w:r>
      <w:r w:rsidRPr="00EA59C0">
        <w:t>more consortium members that meet the conditions below may request an additional level of funding of up to $5 million.  The maximum award for consortium of this size is $20 million.</w:t>
      </w:r>
    </w:p>
    <w:p w:rsidR="00357E8C" w:rsidRPr="00EA59C0" w:rsidRDefault="00357E8C" w:rsidP="00D03948">
      <w:pPr>
        <w:ind w:left="1080"/>
        <w:rPr>
          <w:bCs/>
        </w:rPr>
      </w:pPr>
    </w:p>
    <w:p w:rsidR="00357E8C" w:rsidRPr="00EA59C0" w:rsidRDefault="00357E8C" w:rsidP="00080097">
      <w:pPr>
        <w:pStyle w:val="Heading2"/>
        <w:numPr>
          <w:ilvl w:val="2"/>
          <w:numId w:val="17"/>
        </w:numPr>
        <w:spacing w:line="240" w:lineRule="auto"/>
        <w:rPr>
          <w:rFonts w:ascii="Times New Roman" w:hAnsi="Times New Roman"/>
          <w:b w:val="0"/>
          <w:i w:val="0"/>
        </w:rPr>
      </w:pPr>
      <w:r w:rsidRPr="00EA59C0">
        <w:rPr>
          <w:rFonts w:ascii="Times New Roman" w:hAnsi="Times New Roman"/>
          <w:b w:val="0"/>
          <w:i w:val="0"/>
        </w:rPr>
        <w:t>Overview of Optio</w:t>
      </w:r>
      <w:r w:rsidR="00A97125" w:rsidRPr="00EA59C0">
        <w:rPr>
          <w:rFonts w:ascii="Times New Roman" w:hAnsi="Times New Roman"/>
          <w:b w:val="0"/>
          <w:i w:val="0"/>
        </w:rPr>
        <w:t>ns for Exceeding the Funding C</w:t>
      </w:r>
      <w:r w:rsidR="00AF786F" w:rsidRPr="00EA59C0">
        <w:rPr>
          <w:rFonts w:ascii="Times New Roman" w:hAnsi="Times New Roman"/>
          <w:b w:val="0"/>
          <w:i w:val="0"/>
        </w:rPr>
        <w:t>ap</w:t>
      </w:r>
    </w:p>
    <w:p w:rsidR="00357E8C" w:rsidRPr="00EA59C0" w:rsidRDefault="00357E8C" w:rsidP="00D03948">
      <w:pPr>
        <w:ind w:left="1080"/>
        <w:rPr>
          <w:bCs/>
        </w:rPr>
      </w:pPr>
    </w:p>
    <w:p w:rsidR="00915BBD" w:rsidRPr="00EA59C0" w:rsidRDefault="00357E8C" w:rsidP="00D03948">
      <w:pPr>
        <w:ind w:left="1080"/>
        <w:rPr>
          <w:bCs/>
        </w:rPr>
      </w:pPr>
      <w:r w:rsidRPr="00EA59C0">
        <w:rPr>
          <w:bCs/>
        </w:rPr>
        <w:t xml:space="preserve">Single institution applicants may apply to exceed the maximum funding level by proposing a project </w:t>
      </w:r>
      <w:r w:rsidR="002A14F2" w:rsidRPr="00EA59C0">
        <w:rPr>
          <w:bCs/>
        </w:rPr>
        <w:t>to</w:t>
      </w:r>
      <w:r w:rsidR="003A3567" w:rsidRPr="00EA59C0">
        <w:rPr>
          <w:bCs/>
        </w:rPr>
        <w:t>:</w:t>
      </w:r>
      <w:r w:rsidR="002A14F2" w:rsidRPr="00EA59C0">
        <w:rPr>
          <w:bCs/>
        </w:rPr>
        <w:t xml:space="preserve"> </w:t>
      </w:r>
      <w:r w:rsidR="003A3567" w:rsidRPr="00EA59C0">
        <w:rPr>
          <w:bCs/>
        </w:rPr>
        <w:t xml:space="preserve"> </w:t>
      </w:r>
      <w:r w:rsidRPr="00EA59C0">
        <w:rPr>
          <w:bCs/>
        </w:rPr>
        <w:t>Create Nationally Recognized</w:t>
      </w:r>
      <w:r w:rsidR="00915BBD" w:rsidRPr="00EA59C0">
        <w:rPr>
          <w:bCs/>
        </w:rPr>
        <w:t xml:space="preserve"> Competencies and Credentials.  </w:t>
      </w:r>
      <w:r w:rsidR="002A14F2" w:rsidRPr="00EA59C0">
        <w:rPr>
          <w:bCs/>
        </w:rPr>
        <w:t xml:space="preserve">Single applicants may focus their projects on creating nationally recognized competencies and credentials that address the needs of the region they serve.   </w:t>
      </w:r>
      <w:r w:rsidRPr="00EA59C0">
        <w:rPr>
          <w:bCs/>
        </w:rPr>
        <w:t>Consortium applicants may apply to exceed the maximum funding level for their tier by proposing to implement only one of the three types of regional or statewide capacity building activities: (1) Advance State Career Pathway Systems; (2) Improve Statewide Data Collection, Integration, and Use; or (3) Create Nationally Recognized Competencies and Credentials.</w:t>
      </w:r>
      <w:r w:rsidR="00915BBD" w:rsidRPr="00EA59C0">
        <w:rPr>
          <w:bCs/>
        </w:rPr>
        <w:t xml:space="preserve">  All three activities are described in more detail below:</w:t>
      </w:r>
    </w:p>
    <w:p w:rsidR="00915BBD" w:rsidRPr="00EA59C0" w:rsidRDefault="00915BBD" w:rsidP="00D03948">
      <w:pPr>
        <w:ind w:left="1080"/>
        <w:rPr>
          <w:bCs/>
        </w:rPr>
      </w:pPr>
    </w:p>
    <w:p w:rsidR="003A656A" w:rsidRPr="00EA59C0" w:rsidRDefault="006470D0" w:rsidP="00D03948">
      <w:pPr>
        <w:ind w:left="1080"/>
        <w:rPr>
          <w:bCs/>
        </w:rPr>
      </w:pPr>
      <w:r w:rsidRPr="00EA59C0">
        <w:rPr>
          <w:bCs/>
        </w:rPr>
        <w:t>Advancing</w:t>
      </w:r>
      <w:r w:rsidR="00C026A6" w:rsidRPr="00EA59C0">
        <w:rPr>
          <w:bCs/>
        </w:rPr>
        <w:t xml:space="preserve"> </w:t>
      </w:r>
      <w:r w:rsidRPr="00EA59C0">
        <w:rPr>
          <w:bCs/>
        </w:rPr>
        <w:t>state</w:t>
      </w:r>
      <w:r w:rsidR="00C026A6" w:rsidRPr="00EA59C0">
        <w:rPr>
          <w:bCs/>
        </w:rPr>
        <w:t xml:space="preserve"> </w:t>
      </w:r>
      <w:r w:rsidRPr="00EA59C0">
        <w:rPr>
          <w:bCs/>
        </w:rPr>
        <w:t>career</w:t>
      </w:r>
      <w:r w:rsidR="00C026A6" w:rsidRPr="00EA59C0">
        <w:rPr>
          <w:bCs/>
        </w:rPr>
        <w:t xml:space="preserve"> </w:t>
      </w:r>
      <w:r w:rsidRPr="00EA59C0">
        <w:rPr>
          <w:bCs/>
        </w:rPr>
        <w:t>pathways</w:t>
      </w:r>
      <w:r w:rsidR="00C026A6" w:rsidRPr="00EA59C0">
        <w:rPr>
          <w:bCs/>
        </w:rPr>
        <w:t xml:space="preserve"> </w:t>
      </w:r>
      <w:r w:rsidRPr="00EA59C0">
        <w:rPr>
          <w:bCs/>
        </w:rPr>
        <w:t>and</w:t>
      </w:r>
      <w:r w:rsidR="00C026A6" w:rsidRPr="00EA59C0">
        <w:rPr>
          <w:bCs/>
        </w:rPr>
        <w:t xml:space="preserve"> </w:t>
      </w:r>
      <w:r w:rsidRPr="00EA59C0">
        <w:rPr>
          <w:bCs/>
        </w:rPr>
        <w:t>improving</w:t>
      </w:r>
      <w:r w:rsidR="00C026A6" w:rsidRPr="00EA59C0">
        <w:rPr>
          <w:bCs/>
        </w:rPr>
        <w:t xml:space="preserve"> </w:t>
      </w:r>
      <w:r w:rsidRPr="00EA59C0">
        <w:rPr>
          <w:bCs/>
        </w:rPr>
        <w:t>statewide</w:t>
      </w:r>
      <w:r w:rsidR="00C026A6" w:rsidRPr="00EA59C0">
        <w:rPr>
          <w:bCs/>
        </w:rPr>
        <w:t xml:space="preserve"> </w:t>
      </w:r>
      <w:r w:rsidRPr="00EA59C0">
        <w:rPr>
          <w:bCs/>
        </w:rPr>
        <w:t>data</w:t>
      </w:r>
      <w:r w:rsidR="00C026A6" w:rsidRPr="00EA59C0">
        <w:rPr>
          <w:bCs/>
        </w:rPr>
        <w:t xml:space="preserve"> </w:t>
      </w:r>
      <w:r w:rsidRPr="00EA59C0">
        <w:rPr>
          <w:bCs/>
        </w:rPr>
        <w:t>integration,</w:t>
      </w:r>
      <w:r w:rsidR="00C026A6" w:rsidRPr="00EA59C0">
        <w:rPr>
          <w:bCs/>
        </w:rPr>
        <w:t xml:space="preserve"> </w:t>
      </w:r>
      <w:r w:rsidRPr="00EA59C0">
        <w:rPr>
          <w:bCs/>
        </w:rPr>
        <w:t>and</w:t>
      </w:r>
      <w:r w:rsidR="00C026A6" w:rsidRPr="00EA59C0">
        <w:rPr>
          <w:bCs/>
        </w:rPr>
        <w:t xml:space="preserve"> </w:t>
      </w:r>
      <w:r w:rsidRPr="00EA59C0">
        <w:rPr>
          <w:bCs/>
        </w:rPr>
        <w:t>use</w:t>
      </w:r>
      <w:r w:rsidR="00C026A6" w:rsidRPr="00EA59C0">
        <w:rPr>
          <w:bCs/>
        </w:rPr>
        <w:t xml:space="preserve"> </w:t>
      </w:r>
      <w:r w:rsidR="00F10638" w:rsidRPr="00EA59C0">
        <w:rPr>
          <w:bCs/>
        </w:rPr>
        <w:t>will</w:t>
      </w:r>
      <w:r w:rsidR="00C026A6" w:rsidRPr="00EA59C0">
        <w:rPr>
          <w:bCs/>
        </w:rPr>
        <w:t xml:space="preserve"> </w:t>
      </w:r>
      <w:r w:rsidR="00F10638" w:rsidRPr="00EA59C0">
        <w:rPr>
          <w:bCs/>
        </w:rPr>
        <w:t>lead</w:t>
      </w:r>
      <w:r w:rsidR="00C026A6" w:rsidRPr="00EA59C0">
        <w:rPr>
          <w:bCs/>
        </w:rPr>
        <w:t xml:space="preserve"> </w:t>
      </w:r>
      <w:r w:rsidR="00F10638" w:rsidRPr="00EA59C0">
        <w:rPr>
          <w:bCs/>
        </w:rPr>
        <w:t>to</w:t>
      </w:r>
      <w:r w:rsidR="00C026A6" w:rsidRPr="00EA59C0">
        <w:rPr>
          <w:bCs/>
        </w:rPr>
        <w:t xml:space="preserve"> </w:t>
      </w:r>
      <w:r w:rsidR="00F10638" w:rsidRPr="00EA59C0">
        <w:rPr>
          <w:bCs/>
        </w:rPr>
        <w:t>sustained</w:t>
      </w:r>
      <w:r w:rsidR="00C026A6" w:rsidRPr="00EA59C0">
        <w:rPr>
          <w:bCs/>
        </w:rPr>
        <w:t xml:space="preserve"> </w:t>
      </w:r>
      <w:r w:rsidR="00F10638" w:rsidRPr="00EA59C0">
        <w:rPr>
          <w:bCs/>
        </w:rPr>
        <w:t>enhancements</w:t>
      </w:r>
      <w:r w:rsidR="00C026A6" w:rsidRPr="00EA59C0">
        <w:rPr>
          <w:bCs/>
        </w:rPr>
        <w:t xml:space="preserve"> </w:t>
      </w:r>
      <w:r w:rsidR="00F10638" w:rsidRPr="00EA59C0">
        <w:rPr>
          <w:bCs/>
        </w:rPr>
        <w:t>to</w:t>
      </w:r>
      <w:r w:rsidR="00C026A6" w:rsidRPr="00EA59C0">
        <w:rPr>
          <w:bCs/>
        </w:rPr>
        <w:t xml:space="preserve"> </w:t>
      </w:r>
      <w:r w:rsidR="00F10638" w:rsidRPr="00EA59C0">
        <w:rPr>
          <w:bCs/>
        </w:rPr>
        <w:t>community</w:t>
      </w:r>
      <w:r w:rsidR="00C026A6" w:rsidRPr="00EA59C0">
        <w:rPr>
          <w:bCs/>
        </w:rPr>
        <w:t xml:space="preserve"> </w:t>
      </w:r>
      <w:r w:rsidR="00F10638" w:rsidRPr="00EA59C0">
        <w:rPr>
          <w:bCs/>
        </w:rPr>
        <w:t>college</w:t>
      </w:r>
      <w:r w:rsidR="00C026A6" w:rsidRPr="00EA59C0">
        <w:rPr>
          <w:bCs/>
        </w:rPr>
        <w:t xml:space="preserve"> </w:t>
      </w:r>
      <w:r w:rsidR="00F10638" w:rsidRPr="00EA59C0">
        <w:rPr>
          <w:bCs/>
        </w:rPr>
        <w:t>programming</w:t>
      </w:r>
      <w:r w:rsidR="00C026A6" w:rsidRPr="00EA59C0">
        <w:rPr>
          <w:bCs/>
        </w:rPr>
        <w:t xml:space="preserve"> </w:t>
      </w:r>
      <w:r w:rsidR="00F10638" w:rsidRPr="00EA59C0">
        <w:rPr>
          <w:bCs/>
        </w:rPr>
        <w:t>across</w:t>
      </w:r>
      <w:r w:rsidR="00C026A6" w:rsidRPr="00EA59C0">
        <w:rPr>
          <w:bCs/>
        </w:rPr>
        <w:t xml:space="preserve"> </w:t>
      </w:r>
      <w:r w:rsidR="00F10638" w:rsidRPr="00EA59C0">
        <w:rPr>
          <w:bCs/>
        </w:rPr>
        <w:t>the</w:t>
      </w:r>
      <w:r w:rsidR="00C026A6" w:rsidRPr="00EA59C0">
        <w:rPr>
          <w:bCs/>
        </w:rPr>
        <w:t xml:space="preserve"> </w:t>
      </w:r>
      <w:r w:rsidR="00F10638" w:rsidRPr="00EA59C0">
        <w:rPr>
          <w:bCs/>
        </w:rPr>
        <w:t>state,</w:t>
      </w:r>
      <w:r w:rsidR="00C026A6" w:rsidRPr="00EA59C0">
        <w:rPr>
          <w:bCs/>
        </w:rPr>
        <w:t xml:space="preserve"> </w:t>
      </w:r>
      <w:r w:rsidR="00F10638" w:rsidRPr="00EA59C0">
        <w:rPr>
          <w:bCs/>
        </w:rPr>
        <w:t>and</w:t>
      </w:r>
      <w:r w:rsidR="00C026A6" w:rsidRPr="00EA59C0">
        <w:rPr>
          <w:bCs/>
        </w:rPr>
        <w:t xml:space="preserve"> </w:t>
      </w:r>
      <w:r w:rsidR="00F10638" w:rsidRPr="00EA59C0">
        <w:rPr>
          <w:bCs/>
        </w:rPr>
        <w:t>will</w:t>
      </w:r>
      <w:r w:rsidR="00C026A6" w:rsidRPr="00EA59C0">
        <w:rPr>
          <w:bCs/>
        </w:rPr>
        <w:t xml:space="preserve"> </w:t>
      </w:r>
      <w:r w:rsidR="00F10638" w:rsidRPr="00EA59C0">
        <w:rPr>
          <w:bCs/>
        </w:rPr>
        <w:t>continue</w:t>
      </w:r>
      <w:r w:rsidR="00C026A6" w:rsidRPr="00EA59C0">
        <w:rPr>
          <w:bCs/>
        </w:rPr>
        <w:t xml:space="preserve"> </w:t>
      </w:r>
      <w:r w:rsidR="00F10638" w:rsidRPr="00EA59C0">
        <w:rPr>
          <w:bCs/>
        </w:rPr>
        <w:t>to</w:t>
      </w:r>
      <w:r w:rsidR="00C026A6" w:rsidRPr="00EA59C0">
        <w:rPr>
          <w:bCs/>
        </w:rPr>
        <w:t xml:space="preserve"> </w:t>
      </w:r>
      <w:r w:rsidR="00F10638" w:rsidRPr="00EA59C0">
        <w:rPr>
          <w:bCs/>
        </w:rPr>
        <w:t>be</w:t>
      </w:r>
      <w:r w:rsidR="00C026A6" w:rsidRPr="00EA59C0">
        <w:rPr>
          <w:bCs/>
        </w:rPr>
        <w:t xml:space="preserve"> </w:t>
      </w:r>
      <w:r w:rsidR="00F10638" w:rsidRPr="00EA59C0">
        <w:rPr>
          <w:bCs/>
        </w:rPr>
        <w:t>implemented</w:t>
      </w:r>
      <w:r w:rsidR="00C026A6" w:rsidRPr="00EA59C0">
        <w:rPr>
          <w:bCs/>
        </w:rPr>
        <w:t xml:space="preserve"> </w:t>
      </w:r>
      <w:r w:rsidR="00F10638" w:rsidRPr="00EA59C0">
        <w:rPr>
          <w:bCs/>
        </w:rPr>
        <w:t>by</w:t>
      </w:r>
      <w:r w:rsidR="00C026A6" w:rsidRPr="00EA59C0">
        <w:rPr>
          <w:bCs/>
        </w:rPr>
        <w:t xml:space="preserve"> </w:t>
      </w:r>
      <w:r w:rsidR="00F10638" w:rsidRPr="00EA59C0">
        <w:rPr>
          <w:bCs/>
        </w:rPr>
        <w:t>colleges</w:t>
      </w:r>
      <w:r w:rsidR="00C026A6" w:rsidRPr="00EA59C0">
        <w:rPr>
          <w:bCs/>
        </w:rPr>
        <w:t xml:space="preserve"> </w:t>
      </w:r>
      <w:r w:rsidR="00F10638" w:rsidRPr="00EA59C0">
        <w:rPr>
          <w:bCs/>
        </w:rPr>
        <w:t>across</w:t>
      </w:r>
      <w:r w:rsidR="00C026A6" w:rsidRPr="00EA59C0">
        <w:rPr>
          <w:bCs/>
        </w:rPr>
        <w:t xml:space="preserve"> </w:t>
      </w:r>
      <w:r w:rsidR="00F10638" w:rsidRPr="00EA59C0">
        <w:rPr>
          <w:bCs/>
        </w:rPr>
        <w:t>the</w:t>
      </w:r>
      <w:r w:rsidR="00C026A6" w:rsidRPr="00EA59C0">
        <w:rPr>
          <w:bCs/>
        </w:rPr>
        <w:t xml:space="preserve"> </w:t>
      </w:r>
      <w:r w:rsidR="00F10638" w:rsidRPr="00EA59C0">
        <w:rPr>
          <w:bCs/>
        </w:rPr>
        <w:t>state</w:t>
      </w:r>
      <w:r w:rsidR="00C026A6" w:rsidRPr="00EA59C0">
        <w:rPr>
          <w:bCs/>
        </w:rPr>
        <w:t xml:space="preserve"> </w:t>
      </w:r>
      <w:r w:rsidR="00F10638" w:rsidRPr="00EA59C0">
        <w:rPr>
          <w:bCs/>
        </w:rPr>
        <w:t>after</w:t>
      </w:r>
      <w:r w:rsidR="00C026A6" w:rsidRPr="00EA59C0">
        <w:rPr>
          <w:bCs/>
        </w:rPr>
        <w:t xml:space="preserve"> </w:t>
      </w:r>
      <w:r w:rsidR="00F10638" w:rsidRPr="00EA59C0">
        <w:rPr>
          <w:bCs/>
        </w:rPr>
        <w:t>the</w:t>
      </w:r>
      <w:r w:rsidR="00C026A6" w:rsidRPr="00EA59C0">
        <w:rPr>
          <w:bCs/>
        </w:rPr>
        <w:t xml:space="preserve"> </w:t>
      </w:r>
      <w:r w:rsidR="00F10638" w:rsidRPr="00EA59C0">
        <w:rPr>
          <w:bCs/>
        </w:rPr>
        <w:t>grant</w:t>
      </w:r>
      <w:r w:rsidR="00C026A6" w:rsidRPr="00EA59C0">
        <w:rPr>
          <w:bCs/>
        </w:rPr>
        <w:t xml:space="preserve"> </w:t>
      </w:r>
      <w:r w:rsidR="00F10638" w:rsidRPr="00EA59C0">
        <w:rPr>
          <w:bCs/>
        </w:rPr>
        <w:t>ends</w:t>
      </w:r>
      <w:r w:rsidR="0028055D" w:rsidRPr="00EA59C0">
        <w:rPr>
          <w:bCs/>
        </w:rPr>
        <w:t>.</w:t>
      </w:r>
      <w:r w:rsidR="00C026A6" w:rsidRPr="00EA59C0">
        <w:rPr>
          <w:bCs/>
        </w:rPr>
        <w:t xml:space="preserve">  </w:t>
      </w:r>
      <w:r w:rsidR="003A656A" w:rsidRPr="00EA59C0">
        <w:rPr>
          <w:bCs/>
        </w:rPr>
        <w:t>The</w:t>
      </w:r>
      <w:r w:rsidR="00C026A6" w:rsidRPr="00EA59C0">
        <w:rPr>
          <w:bCs/>
        </w:rPr>
        <w:t xml:space="preserve"> </w:t>
      </w:r>
      <w:r w:rsidR="003A656A" w:rsidRPr="00EA59C0">
        <w:rPr>
          <w:bCs/>
        </w:rPr>
        <w:t>Department</w:t>
      </w:r>
      <w:r w:rsidR="00C026A6" w:rsidRPr="00EA59C0">
        <w:rPr>
          <w:bCs/>
        </w:rPr>
        <w:t xml:space="preserve"> </w:t>
      </w:r>
      <w:r w:rsidR="003A656A" w:rsidRPr="00EA59C0">
        <w:rPr>
          <w:bCs/>
        </w:rPr>
        <w:t>encourages</w:t>
      </w:r>
      <w:r w:rsidR="00C026A6" w:rsidRPr="00EA59C0">
        <w:rPr>
          <w:bCs/>
        </w:rPr>
        <w:t xml:space="preserve"> </w:t>
      </w:r>
      <w:r w:rsidR="003A656A" w:rsidRPr="00EA59C0">
        <w:rPr>
          <w:bCs/>
        </w:rPr>
        <w:t>applicants</w:t>
      </w:r>
      <w:r w:rsidR="00C026A6" w:rsidRPr="00EA59C0">
        <w:rPr>
          <w:bCs/>
        </w:rPr>
        <w:t xml:space="preserve"> </w:t>
      </w:r>
      <w:r w:rsidR="003A656A" w:rsidRPr="00EA59C0">
        <w:rPr>
          <w:bCs/>
        </w:rPr>
        <w:t>to</w:t>
      </w:r>
      <w:r w:rsidR="00C026A6" w:rsidRPr="00EA59C0">
        <w:rPr>
          <w:bCs/>
        </w:rPr>
        <w:t xml:space="preserve"> </w:t>
      </w:r>
      <w:r w:rsidR="003A656A" w:rsidRPr="00EA59C0">
        <w:rPr>
          <w:bCs/>
        </w:rPr>
        <w:t>include</w:t>
      </w:r>
      <w:r w:rsidR="00C026A6" w:rsidRPr="00EA59C0">
        <w:rPr>
          <w:bCs/>
        </w:rPr>
        <w:t xml:space="preserve"> </w:t>
      </w:r>
      <w:r w:rsidR="003A656A" w:rsidRPr="00EA59C0">
        <w:rPr>
          <w:bCs/>
        </w:rPr>
        <w:t>as</w:t>
      </w:r>
      <w:r w:rsidR="00C026A6" w:rsidRPr="00EA59C0">
        <w:rPr>
          <w:bCs/>
        </w:rPr>
        <w:t xml:space="preserve"> </w:t>
      </w:r>
      <w:r w:rsidR="003A656A" w:rsidRPr="00EA59C0">
        <w:rPr>
          <w:bCs/>
        </w:rPr>
        <w:t>many</w:t>
      </w:r>
      <w:r w:rsidR="00C026A6" w:rsidRPr="00EA59C0">
        <w:rPr>
          <w:bCs/>
        </w:rPr>
        <w:t xml:space="preserve"> </w:t>
      </w:r>
      <w:r w:rsidR="003A656A" w:rsidRPr="00EA59C0">
        <w:rPr>
          <w:bCs/>
        </w:rPr>
        <w:t>community</w:t>
      </w:r>
      <w:r w:rsidR="00C026A6" w:rsidRPr="00EA59C0">
        <w:rPr>
          <w:bCs/>
        </w:rPr>
        <w:t xml:space="preserve"> </w:t>
      </w:r>
      <w:r w:rsidR="003A656A" w:rsidRPr="00EA59C0">
        <w:rPr>
          <w:bCs/>
        </w:rPr>
        <w:t>colleges</w:t>
      </w:r>
      <w:r w:rsidR="00C026A6" w:rsidRPr="00EA59C0">
        <w:rPr>
          <w:bCs/>
        </w:rPr>
        <w:t xml:space="preserve"> </w:t>
      </w:r>
      <w:r w:rsidR="003A656A" w:rsidRPr="00EA59C0">
        <w:rPr>
          <w:bCs/>
        </w:rPr>
        <w:t>in</w:t>
      </w:r>
      <w:r w:rsidR="00C026A6" w:rsidRPr="00EA59C0">
        <w:rPr>
          <w:bCs/>
        </w:rPr>
        <w:t xml:space="preserve"> </w:t>
      </w:r>
      <w:r w:rsidR="003A656A" w:rsidRPr="00EA59C0">
        <w:rPr>
          <w:bCs/>
        </w:rPr>
        <w:t>their</w:t>
      </w:r>
      <w:r w:rsidR="00C026A6" w:rsidRPr="00EA59C0">
        <w:rPr>
          <w:bCs/>
        </w:rPr>
        <w:t xml:space="preserve"> </w:t>
      </w:r>
      <w:r w:rsidR="003A656A" w:rsidRPr="00EA59C0">
        <w:rPr>
          <w:bCs/>
        </w:rPr>
        <w:t>state</w:t>
      </w:r>
      <w:r w:rsidR="00C026A6" w:rsidRPr="00EA59C0">
        <w:rPr>
          <w:bCs/>
        </w:rPr>
        <w:t xml:space="preserve"> </w:t>
      </w:r>
      <w:r w:rsidR="003A656A" w:rsidRPr="00EA59C0">
        <w:rPr>
          <w:bCs/>
        </w:rPr>
        <w:t>as</w:t>
      </w:r>
      <w:r w:rsidR="00C026A6" w:rsidRPr="00EA59C0">
        <w:rPr>
          <w:bCs/>
        </w:rPr>
        <w:t xml:space="preserve"> </w:t>
      </w:r>
      <w:r w:rsidR="00CA2ADE" w:rsidRPr="00EA59C0">
        <w:rPr>
          <w:bCs/>
        </w:rPr>
        <w:t>possible</w:t>
      </w:r>
      <w:r w:rsidR="00C026A6" w:rsidRPr="00EA59C0">
        <w:rPr>
          <w:bCs/>
        </w:rPr>
        <w:t xml:space="preserve"> </w:t>
      </w:r>
      <w:r w:rsidR="003A656A" w:rsidRPr="00EA59C0">
        <w:rPr>
          <w:bCs/>
        </w:rPr>
        <w:t>in</w:t>
      </w:r>
      <w:r w:rsidR="00C026A6" w:rsidRPr="00EA59C0">
        <w:rPr>
          <w:bCs/>
        </w:rPr>
        <w:t xml:space="preserve"> </w:t>
      </w:r>
      <w:r w:rsidR="003A656A" w:rsidRPr="00EA59C0">
        <w:rPr>
          <w:bCs/>
        </w:rPr>
        <w:t>the</w:t>
      </w:r>
      <w:r w:rsidR="00C026A6" w:rsidRPr="00EA59C0">
        <w:rPr>
          <w:bCs/>
        </w:rPr>
        <w:t xml:space="preserve"> </w:t>
      </w:r>
      <w:r w:rsidR="003A656A" w:rsidRPr="00EA59C0">
        <w:rPr>
          <w:bCs/>
        </w:rPr>
        <w:t>project,</w:t>
      </w:r>
      <w:r w:rsidR="00C026A6" w:rsidRPr="00EA59C0">
        <w:rPr>
          <w:bCs/>
        </w:rPr>
        <w:t xml:space="preserve"> </w:t>
      </w:r>
      <w:r w:rsidR="003A656A" w:rsidRPr="00EA59C0">
        <w:rPr>
          <w:bCs/>
        </w:rPr>
        <w:t>and</w:t>
      </w:r>
      <w:r w:rsidR="00C026A6" w:rsidRPr="00EA59C0">
        <w:rPr>
          <w:bCs/>
        </w:rPr>
        <w:t xml:space="preserve"> </w:t>
      </w:r>
      <w:r w:rsidR="003A656A" w:rsidRPr="00EA59C0">
        <w:rPr>
          <w:bCs/>
        </w:rPr>
        <w:t>all</w:t>
      </w:r>
      <w:r w:rsidR="00C026A6" w:rsidRPr="00EA59C0">
        <w:rPr>
          <w:bCs/>
        </w:rPr>
        <w:t xml:space="preserve"> </w:t>
      </w:r>
      <w:r w:rsidR="003A656A" w:rsidRPr="00EA59C0">
        <w:rPr>
          <w:bCs/>
        </w:rPr>
        <w:t>community</w:t>
      </w:r>
      <w:r w:rsidR="00C026A6" w:rsidRPr="00EA59C0">
        <w:rPr>
          <w:bCs/>
        </w:rPr>
        <w:t xml:space="preserve"> </w:t>
      </w:r>
      <w:r w:rsidR="003A656A" w:rsidRPr="00EA59C0">
        <w:rPr>
          <w:bCs/>
        </w:rPr>
        <w:t>colleges</w:t>
      </w:r>
      <w:r w:rsidR="00C026A6" w:rsidRPr="00EA59C0">
        <w:rPr>
          <w:bCs/>
        </w:rPr>
        <w:t xml:space="preserve"> </w:t>
      </w:r>
      <w:r w:rsidR="003A656A" w:rsidRPr="00EA59C0">
        <w:rPr>
          <w:bCs/>
        </w:rPr>
        <w:t>if</w:t>
      </w:r>
      <w:r w:rsidR="00C026A6" w:rsidRPr="00EA59C0">
        <w:rPr>
          <w:bCs/>
        </w:rPr>
        <w:t xml:space="preserve"> </w:t>
      </w:r>
      <w:r w:rsidR="003A656A" w:rsidRPr="00EA59C0">
        <w:rPr>
          <w:bCs/>
        </w:rPr>
        <w:t>feasible.</w:t>
      </w:r>
      <w:r w:rsidR="00C026A6" w:rsidRPr="00EA59C0">
        <w:rPr>
          <w:bCs/>
        </w:rPr>
        <w:t xml:space="preserve">  </w:t>
      </w:r>
      <w:r w:rsidR="00E31127" w:rsidRPr="00EA59C0">
        <w:rPr>
          <w:bCs/>
        </w:rPr>
        <w:t>Creat</w:t>
      </w:r>
      <w:r w:rsidR="00A1793F" w:rsidRPr="00EA59C0">
        <w:rPr>
          <w:bCs/>
        </w:rPr>
        <w:t>ing</w:t>
      </w:r>
      <w:r w:rsidR="00C026A6" w:rsidRPr="00EA59C0">
        <w:rPr>
          <w:bCs/>
        </w:rPr>
        <w:t xml:space="preserve"> </w:t>
      </w:r>
      <w:r w:rsidR="00A1793F" w:rsidRPr="00EA59C0">
        <w:rPr>
          <w:bCs/>
        </w:rPr>
        <w:t>n</w:t>
      </w:r>
      <w:r w:rsidR="006F3862" w:rsidRPr="00EA59C0">
        <w:rPr>
          <w:bCs/>
        </w:rPr>
        <w:t>ational</w:t>
      </w:r>
      <w:r w:rsidR="002A61C1" w:rsidRPr="00EA59C0">
        <w:rPr>
          <w:bCs/>
        </w:rPr>
        <w:t>ly</w:t>
      </w:r>
      <w:r w:rsidR="00C026A6" w:rsidRPr="00EA59C0">
        <w:rPr>
          <w:bCs/>
        </w:rPr>
        <w:t xml:space="preserve"> </w:t>
      </w:r>
      <w:r w:rsidR="00A1793F" w:rsidRPr="00EA59C0">
        <w:rPr>
          <w:bCs/>
        </w:rPr>
        <w:t>r</w:t>
      </w:r>
      <w:r w:rsidR="006F3862" w:rsidRPr="00EA59C0">
        <w:rPr>
          <w:bCs/>
        </w:rPr>
        <w:t>ecognized</w:t>
      </w:r>
      <w:r w:rsidR="00C026A6" w:rsidRPr="00EA59C0">
        <w:rPr>
          <w:bCs/>
        </w:rPr>
        <w:t xml:space="preserve"> </w:t>
      </w:r>
      <w:r w:rsidR="00A1793F" w:rsidRPr="00EA59C0">
        <w:rPr>
          <w:bCs/>
        </w:rPr>
        <w:t>c</w:t>
      </w:r>
      <w:r w:rsidR="006F3862" w:rsidRPr="00EA59C0">
        <w:rPr>
          <w:bCs/>
        </w:rPr>
        <w:t>ompetencies</w:t>
      </w:r>
      <w:r w:rsidR="00C026A6" w:rsidRPr="00EA59C0">
        <w:rPr>
          <w:bCs/>
        </w:rPr>
        <w:t xml:space="preserve"> </w:t>
      </w:r>
      <w:r w:rsidR="006F3862" w:rsidRPr="00EA59C0">
        <w:rPr>
          <w:bCs/>
        </w:rPr>
        <w:t>and</w:t>
      </w:r>
      <w:r w:rsidR="00C026A6" w:rsidRPr="00EA59C0">
        <w:rPr>
          <w:bCs/>
        </w:rPr>
        <w:t xml:space="preserve"> </w:t>
      </w:r>
      <w:r w:rsidR="00A1793F" w:rsidRPr="00EA59C0">
        <w:rPr>
          <w:bCs/>
        </w:rPr>
        <w:t>c</w:t>
      </w:r>
      <w:r w:rsidR="006F3862" w:rsidRPr="00EA59C0">
        <w:rPr>
          <w:bCs/>
        </w:rPr>
        <w:t>redentials</w:t>
      </w:r>
      <w:r w:rsidR="00C026A6" w:rsidRPr="00EA59C0">
        <w:rPr>
          <w:bCs/>
        </w:rPr>
        <w:t xml:space="preserve"> </w:t>
      </w:r>
      <w:r w:rsidR="006F3862" w:rsidRPr="00EA59C0">
        <w:rPr>
          <w:bCs/>
        </w:rPr>
        <w:t>will</w:t>
      </w:r>
      <w:r w:rsidR="00C026A6" w:rsidRPr="00EA59C0">
        <w:rPr>
          <w:bCs/>
        </w:rPr>
        <w:t xml:space="preserve"> </w:t>
      </w:r>
      <w:r w:rsidR="006F3862" w:rsidRPr="00EA59C0">
        <w:rPr>
          <w:bCs/>
        </w:rPr>
        <w:t>result</w:t>
      </w:r>
      <w:r w:rsidR="00C026A6" w:rsidRPr="00EA59C0">
        <w:rPr>
          <w:bCs/>
        </w:rPr>
        <w:t xml:space="preserve"> </w:t>
      </w:r>
      <w:r w:rsidR="006F3862" w:rsidRPr="00EA59C0">
        <w:rPr>
          <w:bCs/>
        </w:rPr>
        <w:t>in</w:t>
      </w:r>
      <w:r w:rsidR="00C026A6" w:rsidRPr="00EA59C0">
        <w:rPr>
          <w:bCs/>
        </w:rPr>
        <w:t xml:space="preserve"> </w:t>
      </w:r>
      <w:r w:rsidR="006F3862" w:rsidRPr="00EA59C0">
        <w:rPr>
          <w:bCs/>
        </w:rPr>
        <w:t>new</w:t>
      </w:r>
      <w:r w:rsidR="00C026A6" w:rsidRPr="00EA59C0">
        <w:rPr>
          <w:bCs/>
        </w:rPr>
        <w:t xml:space="preserve"> </w:t>
      </w:r>
      <w:r w:rsidR="006F3862" w:rsidRPr="00EA59C0">
        <w:rPr>
          <w:bCs/>
        </w:rPr>
        <w:t>and</w:t>
      </w:r>
      <w:r w:rsidR="00C026A6" w:rsidRPr="00EA59C0">
        <w:rPr>
          <w:bCs/>
        </w:rPr>
        <w:t xml:space="preserve"> </w:t>
      </w:r>
      <w:r w:rsidR="006F3862" w:rsidRPr="00EA59C0">
        <w:rPr>
          <w:bCs/>
        </w:rPr>
        <w:t>improved</w:t>
      </w:r>
      <w:r w:rsidR="00C026A6" w:rsidRPr="00EA59C0">
        <w:rPr>
          <w:bCs/>
        </w:rPr>
        <w:t xml:space="preserve"> </w:t>
      </w:r>
      <w:r w:rsidR="006F3862" w:rsidRPr="00EA59C0">
        <w:rPr>
          <w:bCs/>
        </w:rPr>
        <w:t>credentials</w:t>
      </w:r>
      <w:r w:rsidR="00C026A6" w:rsidRPr="00EA59C0">
        <w:rPr>
          <w:bCs/>
        </w:rPr>
        <w:t xml:space="preserve"> </w:t>
      </w:r>
      <w:r w:rsidR="00E31127" w:rsidRPr="00EA59C0">
        <w:rPr>
          <w:bCs/>
        </w:rPr>
        <w:t>that</w:t>
      </w:r>
      <w:r w:rsidR="00C026A6" w:rsidRPr="00EA59C0">
        <w:rPr>
          <w:bCs/>
        </w:rPr>
        <w:t xml:space="preserve"> </w:t>
      </w:r>
      <w:r w:rsidR="006F3862" w:rsidRPr="00EA59C0">
        <w:rPr>
          <w:bCs/>
        </w:rPr>
        <w:t>are</w:t>
      </w:r>
      <w:r w:rsidR="00C026A6" w:rsidRPr="00EA59C0">
        <w:rPr>
          <w:bCs/>
        </w:rPr>
        <w:t xml:space="preserve"> </w:t>
      </w:r>
      <w:r w:rsidR="006F3862" w:rsidRPr="00EA59C0">
        <w:rPr>
          <w:bCs/>
        </w:rPr>
        <w:t>critical</w:t>
      </w:r>
      <w:r w:rsidR="00C026A6" w:rsidRPr="00EA59C0">
        <w:rPr>
          <w:bCs/>
        </w:rPr>
        <w:t xml:space="preserve"> </w:t>
      </w:r>
      <w:r w:rsidR="006F3862" w:rsidRPr="00EA59C0">
        <w:rPr>
          <w:bCs/>
        </w:rPr>
        <w:t>to</w:t>
      </w:r>
      <w:r w:rsidR="00C026A6" w:rsidRPr="00EA59C0">
        <w:rPr>
          <w:bCs/>
        </w:rPr>
        <w:t xml:space="preserve"> </w:t>
      </w:r>
      <w:r w:rsidR="006F3862" w:rsidRPr="00EA59C0">
        <w:rPr>
          <w:bCs/>
        </w:rPr>
        <w:t>regional</w:t>
      </w:r>
      <w:r w:rsidR="00C026A6" w:rsidRPr="00EA59C0">
        <w:rPr>
          <w:bCs/>
        </w:rPr>
        <w:t xml:space="preserve"> </w:t>
      </w:r>
      <w:r w:rsidR="006F3862" w:rsidRPr="00EA59C0">
        <w:rPr>
          <w:bCs/>
        </w:rPr>
        <w:t>economies,</w:t>
      </w:r>
      <w:r w:rsidR="00C026A6" w:rsidRPr="00EA59C0">
        <w:rPr>
          <w:bCs/>
        </w:rPr>
        <w:t xml:space="preserve"> </w:t>
      </w:r>
      <w:r w:rsidR="006F3862" w:rsidRPr="00EA59C0">
        <w:rPr>
          <w:bCs/>
        </w:rPr>
        <w:t>and</w:t>
      </w:r>
      <w:r w:rsidR="00C026A6" w:rsidRPr="00EA59C0">
        <w:rPr>
          <w:bCs/>
        </w:rPr>
        <w:t xml:space="preserve"> </w:t>
      </w:r>
      <w:r w:rsidR="006F3862" w:rsidRPr="00EA59C0">
        <w:rPr>
          <w:bCs/>
        </w:rPr>
        <w:t>can</w:t>
      </w:r>
      <w:r w:rsidR="00C026A6" w:rsidRPr="00EA59C0">
        <w:rPr>
          <w:bCs/>
        </w:rPr>
        <w:t xml:space="preserve"> </w:t>
      </w:r>
      <w:r w:rsidR="006F3862" w:rsidRPr="00EA59C0">
        <w:rPr>
          <w:bCs/>
        </w:rPr>
        <w:t>be</w:t>
      </w:r>
      <w:r w:rsidR="00C026A6" w:rsidRPr="00EA59C0">
        <w:rPr>
          <w:bCs/>
        </w:rPr>
        <w:t xml:space="preserve"> </w:t>
      </w:r>
      <w:r w:rsidR="006F3862" w:rsidRPr="00EA59C0">
        <w:rPr>
          <w:bCs/>
        </w:rPr>
        <w:t>shared</w:t>
      </w:r>
      <w:r w:rsidR="00C026A6" w:rsidRPr="00EA59C0">
        <w:rPr>
          <w:bCs/>
        </w:rPr>
        <w:t xml:space="preserve"> </w:t>
      </w:r>
      <w:r w:rsidR="006F3862" w:rsidRPr="00EA59C0">
        <w:rPr>
          <w:bCs/>
        </w:rPr>
        <w:t>nationally</w:t>
      </w:r>
      <w:r w:rsidR="00CC03A1" w:rsidRPr="00EA59C0">
        <w:rPr>
          <w:bCs/>
        </w:rPr>
        <w:t>.</w:t>
      </w:r>
      <w:r w:rsidR="00C026A6" w:rsidRPr="00EA59C0">
        <w:rPr>
          <w:bCs/>
        </w:rPr>
        <w:t xml:space="preserve"> </w:t>
      </w:r>
    </w:p>
    <w:p w:rsidR="0028055D" w:rsidRPr="00EA59C0" w:rsidRDefault="0028055D" w:rsidP="00D03948">
      <w:pPr>
        <w:ind w:left="1080"/>
        <w:rPr>
          <w:bCs/>
        </w:rPr>
      </w:pPr>
    </w:p>
    <w:p w:rsidR="0028055D" w:rsidRPr="00EA59C0" w:rsidRDefault="0028055D" w:rsidP="00D03948">
      <w:pPr>
        <w:ind w:left="1080"/>
        <w:rPr>
          <w:bCs/>
        </w:rPr>
      </w:pPr>
      <w:r w:rsidRPr="00EA59C0">
        <w:rPr>
          <w:bCs/>
        </w:rPr>
        <w:t>Consortium</w:t>
      </w:r>
      <w:r w:rsidR="00C026A6" w:rsidRPr="00EA59C0">
        <w:rPr>
          <w:bCs/>
        </w:rPr>
        <w:t xml:space="preserve"> </w:t>
      </w:r>
      <w:r w:rsidRPr="00EA59C0">
        <w:rPr>
          <w:bCs/>
        </w:rPr>
        <w:t>applicants</w:t>
      </w:r>
      <w:r w:rsidR="00C026A6" w:rsidRPr="00EA59C0">
        <w:rPr>
          <w:bCs/>
        </w:rPr>
        <w:t xml:space="preserve"> </w:t>
      </w:r>
      <w:r w:rsidRPr="00EA59C0">
        <w:rPr>
          <w:bCs/>
        </w:rPr>
        <w:t>seeking</w:t>
      </w:r>
      <w:r w:rsidR="00C026A6" w:rsidRPr="00EA59C0">
        <w:rPr>
          <w:bCs/>
        </w:rPr>
        <w:t xml:space="preserve"> </w:t>
      </w:r>
      <w:r w:rsidRPr="00EA59C0">
        <w:rPr>
          <w:bCs/>
        </w:rPr>
        <w:t>to</w:t>
      </w:r>
      <w:r w:rsidR="00C026A6" w:rsidRPr="00EA59C0">
        <w:rPr>
          <w:bCs/>
        </w:rPr>
        <w:t xml:space="preserve"> </w:t>
      </w:r>
      <w:r w:rsidRPr="00EA59C0">
        <w:rPr>
          <w:bCs/>
        </w:rPr>
        <w:t>exceed</w:t>
      </w:r>
      <w:r w:rsidR="00C026A6" w:rsidRPr="00EA59C0">
        <w:rPr>
          <w:bCs/>
        </w:rPr>
        <w:t xml:space="preserve"> </w:t>
      </w:r>
      <w:r w:rsidRPr="00EA59C0">
        <w:rPr>
          <w:bCs/>
        </w:rPr>
        <w:t>the</w:t>
      </w:r>
      <w:r w:rsidR="00C026A6" w:rsidRPr="00EA59C0">
        <w:rPr>
          <w:bCs/>
        </w:rPr>
        <w:t xml:space="preserve"> </w:t>
      </w:r>
      <w:r w:rsidRPr="00EA59C0">
        <w:rPr>
          <w:bCs/>
        </w:rPr>
        <w:t>cap</w:t>
      </w:r>
      <w:r w:rsidR="00C026A6" w:rsidRPr="00EA59C0">
        <w:rPr>
          <w:bCs/>
        </w:rPr>
        <w:t xml:space="preserve"> </w:t>
      </w:r>
      <w:r w:rsidR="00002760" w:rsidRPr="00EA59C0">
        <w:rPr>
          <w:bCs/>
        </w:rPr>
        <w:t>for</w:t>
      </w:r>
      <w:r w:rsidR="00C026A6" w:rsidRPr="00EA59C0">
        <w:rPr>
          <w:bCs/>
        </w:rPr>
        <w:t xml:space="preserve"> </w:t>
      </w:r>
      <w:r w:rsidR="00FA1499" w:rsidRPr="00EA59C0">
        <w:rPr>
          <w:bCs/>
        </w:rPr>
        <w:t>O</w:t>
      </w:r>
      <w:r w:rsidR="00002760" w:rsidRPr="00EA59C0">
        <w:rPr>
          <w:bCs/>
        </w:rPr>
        <w:t>ptions</w:t>
      </w:r>
      <w:r w:rsidR="00C026A6" w:rsidRPr="00EA59C0">
        <w:rPr>
          <w:bCs/>
        </w:rPr>
        <w:t xml:space="preserve"> </w:t>
      </w:r>
      <w:r w:rsidR="00002760" w:rsidRPr="00EA59C0">
        <w:rPr>
          <w:bCs/>
        </w:rPr>
        <w:t>1</w:t>
      </w:r>
      <w:r w:rsidR="00C026A6" w:rsidRPr="00EA59C0">
        <w:rPr>
          <w:bCs/>
        </w:rPr>
        <w:t xml:space="preserve"> </w:t>
      </w:r>
      <w:r w:rsidR="00002760" w:rsidRPr="00EA59C0">
        <w:rPr>
          <w:bCs/>
        </w:rPr>
        <w:t>and</w:t>
      </w:r>
      <w:r w:rsidR="00C026A6" w:rsidRPr="00EA59C0">
        <w:rPr>
          <w:bCs/>
        </w:rPr>
        <w:t xml:space="preserve"> </w:t>
      </w:r>
      <w:r w:rsidR="00002760" w:rsidRPr="00EA59C0">
        <w:rPr>
          <w:bCs/>
        </w:rPr>
        <w:t>2</w:t>
      </w:r>
      <w:r w:rsidR="00C026A6" w:rsidRPr="00EA59C0">
        <w:rPr>
          <w:bCs/>
        </w:rPr>
        <w:t xml:space="preserve"> </w:t>
      </w:r>
      <w:r w:rsidRPr="00EA59C0">
        <w:rPr>
          <w:bCs/>
        </w:rPr>
        <w:t>will</w:t>
      </w:r>
      <w:r w:rsidR="00C026A6" w:rsidRPr="00EA59C0">
        <w:rPr>
          <w:bCs/>
        </w:rPr>
        <w:t xml:space="preserve"> </w:t>
      </w:r>
      <w:r w:rsidRPr="00EA59C0">
        <w:rPr>
          <w:bCs/>
        </w:rPr>
        <w:t>demonstrate</w:t>
      </w:r>
      <w:r w:rsidR="00C026A6" w:rsidRPr="00EA59C0">
        <w:rPr>
          <w:bCs/>
        </w:rPr>
        <w:t xml:space="preserve"> </w:t>
      </w:r>
      <w:r w:rsidRPr="00EA59C0">
        <w:rPr>
          <w:bCs/>
        </w:rPr>
        <w:t>the</w:t>
      </w:r>
      <w:r w:rsidR="00C026A6" w:rsidRPr="00EA59C0">
        <w:rPr>
          <w:bCs/>
        </w:rPr>
        <w:t xml:space="preserve"> </w:t>
      </w:r>
      <w:r w:rsidRPr="00EA59C0">
        <w:rPr>
          <w:bCs/>
        </w:rPr>
        <w:t>following:</w:t>
      </w:r>
    </w:p>
    <w:p w:rsidR="0028055D" w:rsidRPr="00EA59C0" w:rsidRDefault="002A01B7" w:rsidP="002A01B7">
      <w:pPr>
        <w:pStyle w:val="ListParagraph"/>
        <w:numPr>
          <w:ilvl w:val="0"/>
          <w:numId w:val="20"/>
        </w:numPr>
        <w:rPr>
          <w:bCs/>
        </w:rPr>
      </w:pPr>
      <w:r w:rsidRPr="00EA59C0">
        <w:rPr>
          <w:bCs/>
        </w:rPr>
        <w:t>Applicants will demonstrate the state college system’s commitment to adopt and promote the proposed activities statewide.  Applicants will include a letter from the state office that organizes their community colleges that provides evidence of this commitment.  This may be the state community college system office or a single state board that organizes all of their higher education institutions, depending on the state.  For states without a centralized community college system, applicants will describe the specific steps that the consortium will complete to adopt and promote the proposed activities statewide</w:t>
      </w:r>
      <w:r w:rsidR="0028055D" w:rsidRPr="00EA59C0">
        <w:rPr>
          <w:bCs/>
        </w:rPr>
        <w:t>.</w:t>
      </w:r>
    </w:p>
    <w:p w:rsidR="0028055D" w:rsidRPr="00EA59C0" w:rsidRDefault="0028055D" w:rsidP="00D03948">
      <w:pPr>
        <w:pStyle w:val="ListParagraph"/>
        <w:numPr>
          <w:ilvl w:val="0"/>
          <w:numId w:val="20"/>
        </w:numPr>
        <w:rPr>
          <w:bCs/>
        </w:rPr>
      </w:pPr>
      <w:r w:rsidRPr="00EA59C0">
        <w:rPr>
          <w:bCs/>
        </w:rPr>
        <w:t>Applicants</w:t>
      </w:r>
      <w:r w:rsidR="00C026A6" w:rsidRPr="00EA59C0">
        <w:rPr>
          <w:bCs/>
        </w:rPr>
        <w:t xml:space="preserve"> </w:t>
      </w:r>
      <w:r w:rsidRPr="00EA59C0">
        <w:rPr>
          <w:bCs/>
        </w:rPr>
        <w:t>will</w:t>
      </w:r>
      <w:r w:rsidR="00C026A6" w:rsidRPr="00EA59C0">
        <w:rPr>
          <w:bCs/>
        </w:rPr>
        <w:t xml:space="preserve"> </w:t>
      </w:r>
      <w:r w:rsidRPr="00EA59C0">
        <w:rPr>
          <w:bCs/>
        </w:rPr>
        <w:t>demonstrate</w:t>
      </w:r>
      <w:r w:rsidR="00C026A6" w:rsidRPr="00EA59C0">
        <w:rPr>
          <w:bCs/>
        </w:rPr>
        <w:t xml:space="preserve"> </w:t>
      </w:r>
      <w:r w:rsidRPr="00EA59C0">
        <w:rPr>
          <w:bCs/>
        </w:rPr>
        <w:t>that</w:t>
      </w:r>
      <w:r w:rsidR="00C026A6" w:rsidRPr="00EA59C0">
        <w:rPr>
          <w:bCs/>
        </w:rPr>
        <w:t xml:space="preserve"> </w:t>
      </w:r>
      <w:r w:rsidRPr="00EA59C0">
        <w:rPr>
          <w:bCs/>
        </w:rPr>
        <w:t>the</w:t>
      </w:r>
      <w:r w:rsidR="00C026A6" w:rsidRPr="00EA59C0">
        <w:rPr>
          <w:bCs/>
        </w:rPr>
        <w:t xml:space="preserve"> </w:t>
      </w:r>
      <w:r w:rsidRPr="00EA59C0">
        <w:rPr>
          <w:bCs/>
        </w:rPr>
        <w:t>proposed</w:t>
      </w:r>
      <w:r w:rsidR="00C026A6" w:rsidRPr="00EA59C0">
        <w:rPr>
          <w:bCs/>
        </w:rPr>
        <w:t xml:space="preserve"> </w:t>
      </w:r>
      <w:r w:rsidRPr="00EA59C0">
        <w:rPr>
          <w:bCs/>
        </w:rPr>
        <w:t>projects</w:t>
      </w:r>
      <w:r w:rsidR="00C026A6" w:rsidRPr="00EA59C0">
        <w:rPr>
          <w:bCs/>
        </w:rPr>
        <w:t xml:space="preserve"> </w:t>
      </w:r>
      <w:r w:rsidRPr="00EA59C0">
        <w:rPr>
          <w:bCs/>
        </w:rPr>
        <w:t>will</w:t>
      </w:r>
      <w:r w:rsidR="00C026A6" w:rsidRPr="00EA59C0">
        <w:rPr>
          <w:bCs/>
        </w:rPr>
        <w:t xml:space="preserve"> </w:t>
      </w:r>
      <w:r w:rsidRPr="00EA59C0">
        <w:rPr>
          <w:bCs/>
        </w:rPr>
        <w:t>lead</w:t>
      </w:r>
      <w:r w:rsidR="00C026A6" w:rsidRPr="00EA59C0">
        <w:rPr>
          <w:bCs/>
        </w:rPr>
        <w:t xml:space="preserve"> </w:t>
      </w:r>
      <w:r w:rsidRPr="00EA59C0">
        <w:rPr>
          <w:bCs/>
        </w:rPr>
        <w:t>to</w:t>
      </w:r>
      <w:r w:rsidR="00C026A6" w:rsidRPr="00EA59C0">
        <w:rPr>
          <w:bCs/>
        </w:rPr>
        <w:t xml:space="preserve"> </w:t>
      </w:r>
      <w:r w:rsidRPr="00EA59C0">
        <w:rPr>
          <w:bCs/>
        </w:rPr>
        <w:t>sustained</w:t>
      </w:r>
      <w:r w:rsidR="00C026A6" w:rsidRPr="00EA59C0">
        <w:rPr>
          <w:bCs/>
        </w:rPr>
        <w:t xml:space="preserve"> </w:t>
      </w:r>
      <w:r w:rsidRPr="00EA59C0">
        <w:rPr>
          <w:bCs/>
        </w:rPr>
        <w:t>enhancements</w:t>
      </w:r>
      <w:r w:rsidR="00C026A6" w:rsidRPr="00EA59C0">
        <w:rPr>
          <w:bCs/>
        </w:rPr>
        <w:t xml:space="preserve"> </w:t>
      </w:r>
      <w:r w:rsidRPr="00EA59C0">
        <w:rPr>
          <w:bCs/>
        </w:rPr>
        <w:t>to</w:t>
      </w:r>
      <w:r w:rsidR="00C026A6" w:rsidRPr="00EA59C0">
        <w:rPr>
          <w:bCs/>
        </w:rPr>
        <w:t xml:space="preserve"> </w:t>
      </w:r>
      <w:r w:rsidRPr="00EA59C0">
        <w:rPr>
          <w:bCs/>
        </w:rPr>
        <w:t>community</w:t>
      </w:r>
      <w:r w:rsidR="00C026A6" w:rsidRPr="00EA59C0">
        <w:rPr>
          <w:bCs/>
        </w:rPr>
        <w:t xml:space="preserve"> </w:t>
      </w:r>
      <w:r w:rsidRPr="00EA59C0">
        <w:rPr>
          <w:bCs/>
        </w:rPr>
        <w:t>college</w:t>
      </w:r>
      <w:r w:rsidR="00C026A6" w:rsidRPr="00EA59C0">
        <w:rPr>
          <w:bCs/>
        </w:rPr>
        <w:t xml:space="preserve"> </w:t>
      </w:r>
      <w:r w:rsidRPr="00EA59C0">
        <w:rPr>
          <w:bCs/>
        </w:rPr>
        <w:t>programming</w:t>
      </w:r>
      <w:r w:rsidR="00C026A6" w:rsidRPr="00EA59C0">
        <w:rPr>
          <w:bCs/>
        </w:rPr>
        <w:t xml:space="preserve"> </w:t>
      </w:r>
      <w:r w:rsidRPr="00EA59C0">
        <w:rPr>
          <w:bCs/>
        </w:rPr>
        <w:t>across</w:t>
      </w:r>
      <w:r w:rsidR="00C026A6" w:rsidRPr="00EA59C0">
        <w:rPr>
          <w:bCs/>
        </w:rPr>
        <w:t xml:space="preserve"> </w:t>
      </w:r>
      <w:r w:rsidRPr="00EA59C0">
        <w:rPr>
          <w:bCs/>
        </w:rPr>
        <w:t>the</w:t>
      </w:r>
      <w:r w:rsidR="00C026A6" w:rsidRPr="00EA59C0">
        <w:rPr>
          <w:bCs/>
        </w:rPr>
        <w:t xml:space="preserve"> </w:t>
      </w:r>
      <w:r w:rsidRPr="00EA59C0">
        <w:rPr>
          <w:bCs/>
        </w:rPr>
        <w:t>state.</w:t>
      </w:r>
      <w:r w:rsidR="00C026A6" w:rsidRPr="00EA59C0">
        <w:rPr>
          <w:bCs/>
        </w:rPr>
        <w:t xml:space="preserve">  </w:t>
      </w:r>
      <w:r w:rsidRPr="00EA59C0">
        <w:rPr>
          <w:bCs/>
        </w:rPr>
        <w:t>Applicants</w:t>
      </w:r>
      <w:r w:rsidR="00C026A6" w:rsidRPr="00EA59C0">
        <w:rPr>
          <w:bCs/>
        </w:rPr>
        <w:t xml:space="preserve"> </w:t>
      </w:r>
      <w:r w:rsidRPr="00EA59C0">
        <w:rPr>
          <w:bCs/>
        </w:rPr>
        <w:t>will</w:t>
      </w:r>
      <w:r w:rsidR="00C026A6" w:rsidRPr="00EA59C0">
        <w:rPr>
          <w:bCs/>
        </w:rPr>
        <w:t xml:space="preserve"> </w:t>
      </w:r>
      <w:r w:rsidRPr="00EA59C0">
        <w:rPr>
          <w:bCs/>
        </w:rPr>
        <w:t>describe</w:t>
      </w:r>
      <w:r w:rsidR="00C026A6" w:rsidRPr="00EA59C0">
        <w:rPr>
          <w:bCs/>
        </w:rPr>
        <w:t xml:space="preserve"> </w:t>
      </w:r>
      <w:r w:rsidRPr="00EA59C0">
        <w:rPr>
          <w:bCs/>
        </w:rPr>
        <w:t>how</w:t>
      </w:r>
      <w:r w:rsidR="00C026A6" w:rsidRPr="00EA59C0">
        <w:rPr>
          <w:bCs/>
        </w:rPr>
        <w:t xml:space="preserve"> </w:t>
      </w:r>
      <w:r w:rsidRPr="00EA59C0">
        <w:rPr>
          <w:bCs/>
        </w:rPr>
        <w:t>all</w:t>
      </w:r>
      <w:r w:rsidR="00C026A6" w:rsidRPr="00EA59C0">
        <w:rPr>
          <w:bCs/>
        </w:rPr>
        <w:t xml:space="preserve"> </w:t>
      </w:r>
      <w:r w:rsidRPr="00EA59C0">
        <w:rPr>
          <w:bCs/>
        </w:rPr>
        <w:t>consortium</w:t>
      </w:r>
      <w:r w:rsidR="00C026A6" w:rsidRPr="00EA59C0">
        <w:rPr>
          <w:bCs/>
        </w:rPr>
        <w:t xml:space="preserve"> </w:t>
      </w:r>
      <w:r w:rsidRPr="00EA59C0">
        <w:rPr>
          <w:bCs/>
        </w:rPr>
        <w:t>members</w:t>
      </w:r>
      <w:r w:rsidR="00C026A6" w:rsidRPr="00EA59C0">
        <w:rPr>
          <w:bCs/>
        </w:rPr>
        <w:t xml:space="preserve"> </w:t>
      </w:r>
      <w:r w:rsidRPr="00EA59C0">
        <w:rPr>
          <w:bCs/>
        </w:rPr>
        <w:t>and</w:t>
      </w:r>
      <w:r w:rsidR="00C026A6" w:rsidRPr="00EA59C0">
        <w:rPr>
          <w:bCs/>
        </w:rPr>
        <w:t xml:space="preserve"> </w:t>
      </w:r>
      <w:r w:rsidRPr="00EA59C0">
        <w:rPr>
          <w:bCs/>
        </w:rPr>
        <w:t>participating</w:t>
      </w:r>
      <w:r w:rsidR="00C026A6" w:rsidRPr="00EA59C0">
        <w:rPr>
          <w:bCs/>
        </w:rPr>
        <w:t xml:space="preserve"> </w:t>
      </w:r>
      <w:r w:rsidRPr="00EA59C0">
        <w:rPr>
          <w:bCs/>
        </w:rPr>
        <w:t>colleges</w:t>
      </w:r>
      <w:r w:rsidR="00C026A6" w:rsidRPr="00EA59C0">
        <w:rPr>
          <w:bCs/>
        </w:rPr>
        <w:t xml:space="preserve"> </w:t>
      </w:r>
      <w:r w:rsidRPr="00EA59C0">
        <w:rPr>
          <w:bCs/>
        </w:rPr>
        <w:t>that</w:t>
      </w:r>
      <w:r w:rsidR="00C026A6" w:rsidRPr="00EA59C0">
        <w:rPr>
          <w:bCs/>
        </w:rPr>
        <w:t xml:space="preserve"> </w:t>
      </w:r>
      <w:r w:rsidRPr="00EA59C0">
        <w:rPr>
          <w:bCs/>
        </w:rPr>
        <w:t>are</w:t>
      </w:r>
      <w:r w:rsidR="00C026A6" w:rsidRPr="00EA59C0">
        <w:rPr>
          <w:bCs/>
        </w:rPr>
        <w:t xml:space="preserve"> </w:t>
      </w:r>
      <w:r w:rsidRPr="00EA59C0">
        <w:rPr>
          <w:bCs/>
        </w:rPr>
        <w:t>not</w:t>
      </w:r>
      <w:r w:rsidR="00C026A6" w:rsidRPr="00EA59C0">
        <w:rPr>
          <w:bCs/>
        </w:rPr>
        <w:t xml:space="preserve"> </w:t>
      </w:r>
      <w:r w:rsidRPr="00EA59C0">
        <w:rPr>
          <w:bCs/>
        </w:rPr>
        <w:t>receiving</w:t>
      </w:r>
      <w:r w:rsidR="00C026A6" w:rsidRPr="00EA59C0">
        <w:rPr>
          <w:bCs/>
        </w:rPr>
        <w:t xml:space="preserve"> </w:t>
      </w:r>
      <w:r w:rsidRPr="00EA59C0">
        <w:rPr>
          <w:bCs/>
        </w:rPr>
        <w:t>funding</w:t>
      </w:r>
      <w:r w:rsidR="00C026A6" w:rsidRPr="00EA59C0">
        <w:rPr>
          <w:bCs/>
        </w:rPr>
        <w:t xml:space="preserve"> </w:t>
      </w:r>
      <w:r w:rsidRPr="00EA59C0">
        <w:rPr>
          <w:bCs/>
        </w:rPr>
        <w:t>will</w:t>
      </w:r>
      <w:r w:rsidR="00C026A6" w:rsidRPr="00EA59C0">
        <w:rPr>
          <w:bCs/>
        </w:rPr>
        <w:t xml:space="preserve"> </w:t>
      </w:r>
      <w:r w:rsidRPr="00EA59C0">
        <w:rPr>
          <w:bCs/>
        </w:rPr>
        <w:t>implement</w:t>
      </w:r>
      <w:r w:rsidR="00C026A6" w:rsidRPr="00EA59C0">
        <w:rPr>
          <w:bCs/>
        </w:rPr>
        <w:t xml:space="preserve"> </w:t>
      </w:r>
      <w:r w:rsidRPr="00EA59C0">
        <w:rPr>
          <w:bCs/>
        </w:rPr>
        <w:t>the</w:t>
      </w:r>
      <w:r w:rsidR="00C026A6" w:rsidRPr="00EA59C0">
        <w:rPr>
          <w:bCs/>
        </w:rPr>
        <w:t xml:space="preserve"> </w:t>
      </w:r>
      <w:r w:rsidRPr="00EA59C0">
        <w:rPr>
          <w:bCs/>
        </w:rPr>
        <w:t>proposed</w:t>
      </w:r>
      <w:r w:rsidR="00C026A6" w:rsidRPr="00EA59C0">
        <w:rPr>
          <w:bCs/>
        </w:rPr>
        <w:t xml:space="preserve"> </w:t>
      </w:r>
      <w:r w:rsidRPr="00EA59C0">
        <w:rPr>
          <w:bCs/>
        </w:rPr>
        <w:t>activities</w:t>
      </w:r>
      <w:r w:rsidR="00C026A6" w:rsidRPr="00EA59C0">
        <w:rPr>
          <w:bCs/>
        </w:rPr>
        <w:t xml:space="preserve"> </w:t>
      </w:r>
      <w:r w:rsidRPr="00EA59C0">
        <w:rPr>
          <w:bCs/>
        </w:rPr>
        <w:t>during</w:t>
      </w:r>
      <w:r w:rsidR="00C026A6" w:rsidRPr="00EA59C0">
        <w:rPr>
          <w:bCs/>
        </w:rPr>
        <w:t xml:space="preserve"> </w:t>
      </w:r>
      <w:r w:rsidRPr="00EA59C0">
        <w:rPr>
          <w:bCs/>
        </w:rPr>
        <w:t>the</w:t>
      </w:r>
      <w:r w:rsidR="00C026A6" w:rsidRPr="00EA59C0">
        <w:rPr>
          <w:bCs/>
        </w:rPr>
        <w:t xml:space="preserve"> </w:t>
      </w:r>
      <w:r w:rsidRPr="00EA59C0">
        <w:rPr>
          <w:bCs/>
        </w:rPr>
        <w:t>grant</w:t>
      </w:r>
      <w:r w:rsidR="00C026A6" w:rsidRPr="00EA59C0">
        <w:rPr>
          <w:bCs/>
        </w:rPr>
        <w:t xml:space="preserve"> </w:t>
      </w:r>
      <w:r w:rsidRPr="00EA59C0">
        <w:rPr>
          <w:bCs/>
        </w:rPr>
        <w:t>period.</w:t>
      </w:r>
      <w:r w:rsidR="00C026A6" w:rsidRPr="00EA59C0">
        <w:rPr>
          <w:bCs/>
        </w:rPr>
        <w:t xml:space="preserve">  </w:t>
      </w:r>
      <w:r w:rsidRPr="00EA59C0">
        <w:rPr>
          <w:bCs/>
        </w:rPr>
        <w:t>Applicants</w:t>
      </w:r>
      <w:r w:rsidR="00C026A6" w:rsidRPr="00EA59C0">
        <w:rPr>
          <w:bCs/>
        </w:rPr>
        <w:t xml:space="preserve"> </w:t>
      </w:r>
      <w:r w:rsidRPr="00EA59C0">
        <w:rPr>
          <w:bCs/>
        </w:rPr>
        <w:t>will</w:t>
      </w:r>
      <w:r w:rsidR="00C026A6" w:rsidRPr="00EA59C0">
        <w:rPr>
          <w:bCs/>
        </w:rPr>
        <w:t xml:space="preserve"> </w:t>
      </w:r>
      <w:r w:rsidRPr="00EA59C0">
        <w:rPr>
          <w:bCs/>
        </w:rPr>
        <w:t>also</w:t>
      </w:r>
      <w:r w:rsidR="00C026A6" w:rsidRPr="00EA59C0">
        <w:rPr>
          <w:bCs/>
        </w:rPr>
        <w:t xml:space="preserve"> </w:t>
      </w:r>
      <w:r w:rsidRPr="00EA59C0">
        <w:rPr>
          <w:bCs/>
        </w:rPr>
        <w:t>describe</w:t>
      </w:r>
      <w:r w:rsidR="00C026A6" w:rsidRPr="00EA59C0">
        <w:rPr>
          <w:bCs/>
        </w:rPr>
        <w:t xml:space="preserve"> </w:t>
      </w:r>
      <w:r w:rsidRPr="00EA59C0">
        <w:rPr>
          <w:bCs/>
        </w:rPr>
        <w:t>how</w:t>
      </w:r>
      <w:r w:rsidR="00C026A6" w:rsidRPr="00EA59C0">
        <w:rPr>
          <w:bCs/>
        </w:rPr>
        <w:t xml:space="preserve"> </w:t>
      </w:r>
      <w:r w:rsidR="00F15990" w:rsidRPr="00EA59C0">
        <w:rPr>
          <w:bCs/>
        </w:rPr>
        <w:t>they</w:t>
      </w:r>
      <w:r w:rsidR="00C026A6" w:rsidRPr="00EA59C0">
        <w:rPr>
          <w:bCs/>
        </w:rPr>
        <w:t xml:space="preserve"> </w:t>
      </w:r>
      <w:r w:rsidR="00F15990" w:rsidRPr="00EA59C0">
        <w:rPr>
          <w:bCs/>
        </w:rPr>
        <w:t>expect</w:t>
      </w:r>
      <w:r w:rsidR="00C026A6" w:rsidRPr="00EA59C0">
        <w:rPr>
          <w:bCs/>
        </w:rPr>
        <w:t xml:space="preserve"> </w:t>
      </w:r>
      <w:r w:rsidRPr="00EA59C0">
        <w:rPr>
          <w:bCs/>
        </w:rPr>
        <w:t>these</w:t>
      </w:r>
      <w:r w:rsidR="00C026A6" w:rsidRPr="00EA59C0">
        <w:rPr>
          <w:bCs/>
        </w:rPr>
        <w:t xml:space="preserve"> </w:t>
      </w:r>
      <w:r w:rsidRPr="00EA59C0">
        <w:rPr>
          <w:bCs/>
        </w:rPr>
        <w:t>colleges</w:t>
      </w:r>
      <w:r w:rsidR="00C026A6" w:rsidRPr="00EA59C0">
        <w:rPr>
          <w:bCs/>
        </w:rPr>
        <w:t xml:space="preserve"> </w:t>
      </w:r>
      <w:r w:rsidR="00F15990" w:rsidRPr="00EA59C0">
        <w:rPr>
          <w:bCs/>
        </w:rPr>
        <w:t>to</w:t>
      </w:r>
      <w:r w:rsidR="00C026A6" w:rsidRPr="00EA59C0">
        <w:rPr>
          <w:bCs/>
        </w:rPr>
        <w:t xml:space="preserve"> </w:t>
      </w:r>
      <w:r w:rsidRPr="00EA59C0">
        <w:rPr>
          <w:bCs/>
        </w:rPr>
        <w:t>institutionalize</w:t>
      </w:r>
      <w:r w:rsidR="00C026A6" w:rsidRPr="00EA59C0">
        <w:rPr>
          <w:bCs/>
        </w:rPr>
        <w:t xml:space="preserve"> </w:t>
      </w:r>
      <w:r w:rsidRPr="00EA59C0">
        <w:rPr>
          <w:bCs/>
        </w:rPr>
        <w:t>these</w:t>
      </w:r>
      <w:r w:rsidR="00C026A6" w:rsidRPr="00EA59C0">
        <w:rPr>
          <w:bCs/>
        </w:rPr>
        <w:t xml:space="preserve"> </w:t>
      </w:r>
      <w:r w:rsidRPr="00EA59C0">
        <w:rPr>
          <w:bCs/>
        </w:rPr>
        <w:t>activities</w:t>
      </w:r>
      <w:r w:rsidR="00C026A6" w:rsidRPr="00EA59C0">
        <w:rPr>
          <w:bCs/>
        </w:rPr>
        <w:t xml:space="preserve"> </w:t>
      </w:r>
      <w:r w:rsidRPr="00EA59C0">
        <w:rPr>
          <w:bCs/>
        </w:rPr>
        <w:t>into</w:t>
      </w:r>
      <w:r w:rsidR="00C026A6" w:rsidRPr="00EA59C0">
        <w:rPr>
          <w:bCs/>
        </w:rPr>
        <w:t xml:space="preserve"> </w:t>
      </w:r>
      <w:r w:rsidRPr="00EA59C0">
        <w:rPr>
          <w:bCs/>
        </w:rPr>
        <w:t>their</w:t>
      </w:r>
      <w:r w:rsidR="00C026A6" w:rsidRPr="00EA59C0">
        <w:rPr>
          <w:bCs/>
        </w:rPr>
        <w:t xml:space="preserve"> </w:t>
      </w:r>
      <w:r w:rsidRPr="00EA59C0">
        <w:rPr>
          <w:bCs/>
        </w:rPr>
        <w:t>overall,</w:t>
      </w:r>
      <w:r w:rsidR="00C026A6" w:rsidRPr="00EA59C0">
        <w:rPr>
          <w:bCs/>
        </w:rPr>
        <w:t xml:space="preserve"> </w:t>
      </w:r>
      <w:r w:rsidRPr="00EA59C0">
        <w:rPr>
          <w:bCs/>
        </w:rPr>
        <w:t>non-grant-funded</w:t>
      </w:r>
      <w:r w:rsidR="00C026A6" w:rsidRPr="00EA59C0">
        <w:rPr>
          <w:bCs/>
        </w:rPr>
        <w:t xml:space="preserve"> </w:t>
      </w:r>
      <w:r w:rsidRPr="00EA59C0">
        <w:rPr>
          <w:bCs/>
        </w:rPr>
        <w:t>education</w:t>
      </w:r>
      <w:r w:rsidR="00C026A6" w:rsidRPr="00EA59C0">
        <w:rPr>
          <w:bCs/>
        </w:rPr>
        <w:t xml:space="preserve"> </w:t>
      </w:r>
      <w:r w:rsidRPr="00EA59C0">
        <w:rPr>
          <w:bCs/>
        </w:rPr>
        <w:t>and</w:t>
      </w:r>
      <w:r w:rsidR="00C026A6" w:rsidRPr="00EA59C0">
        <w:rPr>
          <w:bCs/>
        </w:rPr>
        <w:t xml:space="preserve"> </w:t>
      </w:r>
      <w:r w:rsidRPr="00EA59C0">
        <w:rPr>
          <w:bCs/>
        </w:rPr>
        <w:t>training</w:t>
      </w:r>
      <w:r w:rsidR="00C026A6" w:rsidRPr="00EA59C0">
        <w:rPr>
          <w:bCs/>
        </w:rPr>
        <w:t xml:space="preserve"> </w:t>
      </w:r>
      <w:r w:rsidRPr="00EA59C0">
        <w:rPr>
          <w:bCs/>
        </w:rPr>
        <w:t>activities,</w:t>
      </w:r>
      <w:r w:rsidR="00C026A6" w:rsidRPr="00EA59C0">
        <w:rPr>
          <w:bCs/>
        </w:rPr>
        <w:t xml:space="preserve"> </w:t>
      </w:r>
      <w:r w:rsidR="00334F01" w:rsidRPr="00EA59C0">
        <w:rPr>
          <w:bCs/>
        </w:rPr>
        <w:t xml:space="preserve">enabling them to continue providing similar activities with non-grant resources </w:t>
      </w:r>
      <w:r w:rsidRPr="00EA59C0">
        <w:rPr>
          <w:bCs/>
        </w:rPr>
        <w:t>when</w:t>
      </w:r>
      <w:r w:rsidR="00C026A6" w:rsidRPr="00EA59C0">
        <w:rPr>
          <w:bCs/>
        </w:rPr>
        <w:t xml:space="preserve"> </w:t>
      </w:r>
      <w:r w:rsidRPr="00EA59C0">
        <w:rPr>
          <w:bCs/>
        </w:rPr>
        <w:t>the</w:t>
      </w:r>
      <w:r w:rsidR="00C026A6" w:rsidRPr="00EA59C0">
        <w:rPr>
          <w:bCs/>
        </w:rPr>
        <w:t xml:space="preserve"> </w:t>
      </w:r>
      <w:r w:rsidRPr="00EA59C0">
        <w:rPr>
          <w:bCs/>
        </w:rPr>
        <w:t>grant</w:t>
      </w:r>
      <w:r w:rsidR="00C026A6" w:rsidRPr="00EA59C0">
        <w:rPr>
          <w:bCs/>
        </w:rPr>
        <w:t xml:space="preserve"> </w:t>
      </w:r>
      <w:r w:rsidRPr="00EA59C0">
        <w:rPr>
          <w:bCs/>
        </w:rPr>
        <w:t>ends.</w:t>
      </w:r>
      <w:r w:rsidR="00C026A6" w:rsidRPr="00EA59C0">
        <w:rPr>
          <w:bCs/>
        </w:rPr>
        <w:t xml:space="preserve">  </w:t>
      </w:r>
      <w:r w:rsidRPr="00EA59C0">
        <w:rPr>
          <w:bCs/>
        </w:rPr>
        <w:t>Applicants</w:t>
      </w:r>
      <w:r w:rsidR="00C026A6" w:rsidRPr="00EA59C0">
        <w:rPr>
          <w:bCs/>
        </w:rPr>
        <w:t xml:space="preserve"> </w:t>
      </w:r>
      <w:r w:rsidRPr="00EA59C0">
        <w:rPr>
          <w:bCs/>
        </w:rPr>
        <w:t>will</w:t>
      </w:r>
      <w:r w:rsidR="00C026A6" w:rsidRPr="00EA59C0">
        <w:rPr>
          <w:bCs/>
        </w:rPr>
        <w:t xml:space="preserve"> </w:t>
      </w:r>
      <w:r w:rsidRPr="00EA59C0">
        <w:rPr>
          <w:bCs/>
        </w:rPr>
        <w:t>describe</w:t>
      </w:r>
      <w:r w:rsidR="00C026A6" w:rsidRPr="00EA59C0">
        <w:rPr>
          <w:bCs/>
        </w:rPr>
        <w:t xml:space="preserve"> </w:t>
      </w:r>
      <w:r w:rsidRPr="00EA59C0">
        <w:rPr>
          <w:bCs/>
        </w:rPr>
        <w:t>the</w:t>
      </w:r>
      <w:r w:rsidR="00C026A6" w:rsidRPr="00EA59C0">
        <w:rPr>
          <w:bCs/>
        </w:rPr>
        <w:t xml:space="preserve"> </w:t>
      </w:r>
      <w:r w:rsidRPr="00EA59C0">
        <w:rPr>
          <w:bCs/>
        </w:rPr>
        <w:t>sustainability</w:t>
      </w:r>
      <w:r w:rsidR="00C026A6" w:rsidRPr="00EA59C0">
        <w:rPr>
          <w:bCs/>
        </w:rPr>
        <w:t xml:space="preserve"> </w:t>
      </w:r>
      <w:r w:rsidRPr="00EA59C0">
        <w:rPr>
          <w:bCs/>
        </w:rPr>
        <w:t>planning</w:t>
      </w:r>
      <w:r w:rsidR="00C026A6" w:rsidRPr="00EA59C0">
        <w:rPr>
          <w:bCs/>
        </w:rPr>
        <w:t xml:space="preserve"> </w:t>
      </w:r>
      <w:r w:rsidRPr="00EA59C0">
        <w:rPr>
          <w:bCs/>
        </w:rPr>
        <w:t>that</w:t>
      </w:r>
      <w:r w:rsidR="00C026A6" w:rsidRPr="00EA59C0">
        <w:rPr>
          <w:bCs/>
        </w:rPr>
        <w:t xml:space="preserve"> </w:t>
      </w:r>
      <w:r w:rsidRPr="00EA59C0">
        <w:rPr>
          <w:bCs/>
        </w:rPr>
        <w:t>participating</w:t>
      </w:r>
      <w:r w:rsidR="00C026A6" w:rsidRPr="00EA59C0">
        <w:rPr>
          <w:bCs/>
        </w:rPr>
        <w:t xml:space="preserve"> </w:t>
      </w:r>
      <w:r w:rsidRPr="00EA59C0">
        <w:rPr>
          <w:bCs/>
        </w:rPr>
        <w:t>colleges</w:t>
      </w:r>
      <w:r w:rsidR="00C026A6" w:rsidRPr="00EA59C0">
        <w:rPr>
          <w:bCs/>
        </w:rPr>
        <w:t xml:space="preserve"> </w:t>
      </w:r>
      <w:r w:rsidRPr="00EA59C0">
        <w:rPr>
          <w:bCs/>
        </w:rPr>
        <w:t>will</w:t>
      </w:r>
      <w:r w:rsidR="00C026A6" w:rsidRPr="00EA59C0">
        <w:rPr>
          <w:bCs/>
        </w:rPr>
        <w:t xml:space="preserve"> </w:t>
      </w:r>
      <w:r w:rsidRPr="00EA59C0">
        <w:rPr>
          <w:bCs/>
        </w:rPr>
        <w:t>complete</w:t>
      </w:r>
      <w:r w:rsidR="00C026A6" w:rsidRPr="00EA59C0">
        <w:rPr>
          <w:bCs/>
        </w:rPr>
        <w:t xml:space="preserve"> </w:t>
      </w:r>
      <w:r w:rsidRPr="00EA59C0">
        <w:rPr>
          <w:bCs/>
        </w:rPr>
        <w:t>throughout</w:t>
      </w:r>
      <w:r w:rsidR="00C026A6" w:rsidRPr="00EA59C0">
        <w:rPr>
          <w:bCs/>
        </w:rPr>
        <w:t xml:space="preserve"> </w:t>
      </w:r>
      <w:r w:rsidRPr="00EA59C0">
        <w:rPr>
          <w:bCs/>
        </w:rPr>
        <w:t>the</w:t>
      </w:r>
      <w:r w:rsidR="00C026A6" w:rsidRPr="00EA59C0">
        <w:rPr>
          <w:bCs/>
        </w:rPr>
        <w:t xml:space="preserve"> </w:t>
      </w:r>
      <w:r w:rsidRPr="00EA59C0">
        <w:rPr>
          <w:bCs/>
        </w:rPr>
        <w:t>grant</w:t>
      </w:r>
      <w:r w:rsidR="00C026A6" w:rsidRPr="00EA59C0">
        <w:rPr>
          <w:bCs/>
        </w:rPr>
        <w:t xml:space="preserve"> </w:t>
      </w:r>
      <w:r w:rsidRPr="00EA59C0">
        <w:rPr>
          <w:bCs/>
        </w:rPr>
        <w:t>period</w:t>
      </w:r>
      <w:r w:rsidR="00C026A6" w:rsidRPr="00EA59C0">
        <w:rPr>
          <w:bCs/>
        </w:rPr>
        <w:t xml:space="preserve"> </w:t>
      </w:r>
      <w:r w:rsidRPr="00EA59C0">
        <w:rPr>
          <w:bCs/>
        </w:rPr>
        <w:t>to</w:t>
      </w:r>
      <w:r w:rsidR="00C026A6" w:rsidRPr="00EA59C0">
        <w:rPr>
          <w:bCs/>
        </w:rPr>
        <w:t xml:space="preserve"> </w:t>
      </w:r>
      <w:r w:rsidR="006F7806" w:rsidRPr="00EA59C0">
        <w:rPr>
          <w:bCs/>
        </w:rPr>
        <w:t xml:space="preserve"> help develop a strategy</w:t>
      </w:r>
      <w:r w:rsidR="00334F01" w:rsidRPr="00EA59C0">
        <w:rPr>
          <w:bCs/>
        </w:rPr>
        <w:t xml:space="preserve"> for the institutionalization of these activities</w:t>
      </w:r>
      <w:r w:rsidRPr="00EA59C0">
        <w:rPr>
          <w:bCs/>
        </w:rPr>
        <w:t>.</w:t>
      </w:r>
      <w:r w:rsidR="00C026A6" w:rsidRPr="00EA59C0">
        <w:rPr>
          <w:bCs/>
        </w:rPr>
        <w:t xml:space="preserve">  </w:t>
      </w:r>
    </w:p>
    <w:p w:rsidR="0028055D" w:rsidRPr="00EA59C0" w:rsidRDefault="0028055D" w:rsidP="00D03948">
      <w:pPr>
        <w:ind w:left="1080"/>
        <w:rPr>
          <w:bCs/>
        </w:rPr>
      </w:pPr>
    </w:p>
    <w:p w:rsidR="0028055D" w:rsidRPr="00EA59C0" w:rsidRDefault="00AF127A" w:rsidP="00D03948">
      <w:pPr>
        <w:ind w:left="1080"/>
        <w:rPr>
          <w:bCs/>
        </w:rPr>
      </w:pPr>
      <w:r w:rsidRPr="00EA59C0">
        <w:rPr>
          <w:bCs/>
        </w:rPr>
        <w:t>For</w:t>
      </w:r>
      <w:r w:rsidR="00C026A6" w:rsidRPr="00EA59C0">
        <w:rPr>
          <w:bCs/>
        </w:rPr>
        <w:t xml:space="preserve"> </w:t>
      </w:r>
      <w:r w:rsidRPr="00EA59C0">
        <w:rPr>
          <w:bCs/>
        </w:rPr>
        <w:t>options</w:t>
      </w:r>
      <w:r w:rsidR="00C026A6" w:rsidRPr="00EA59C0">
        <w:rPr>
          <w:bCs/>
        </w:rPr>
        <w:t xml:space="preserve"> </w:t>
      </w:r>
      <w:r w:rsidRPr="00EA59C0">
        <w:rPr>
          <w:bCs/>
        </w:rPr>
        <w:t>1</w:t>
      </w:r>
      <w:r w:rsidR="00C026A6" w:rsidRPr="00EA59C0">
        <w:rPr>
          <w:bCs/>
        </w:rPr>
        <w:t xml:space="preserve"> </w:t>
      </w:r>
      <w:r w:rsidRPr="00EA59C0">
        <w:rPr>
          <w:bCs/>
        </w:rPr>
        <w:t>and</w:t>
      </w:r>
      <w:r w:rsidR="00C026A6" w:rsidRPr="00EA59C0">
        <w:rPr>
          <w:bCs/>
        </w:rPr>
        <w:t xml:space="preserve"> </w:t>
      </w:r>
      <w:r w:rsidRPr="00EA59C0">
        <w:rPr>
          <w:bCs/>
        </w:rPr>
        <w:t>2,</w:t>
      </w:r>
      <w:r w:rsidR="00C026A6" w:rsidRPr="00EA59C0">
        <w:rPr>
          <w:bCs/>
        </w:rPr>
        <w:t xml:space="preserve"> </w:t>
      </w:r>
      <w:r w:rsidRPr="00EA59C0">
        <w:rPr>
          <w:bCs/>
        </w:rPr>
        <w:t>e</w:t>
      </w:r>
      <w:r w:rsidR="00DA0A99" w:rsidRPr="00EA59C0">
        <w:rPr>
          <w:bCs/>
        </w:rPr>
        <w:t>fforts</w:t>
      </w:r>
      <w:r w:rsidR="00C026A6" w:rsidRPr="00EA59C0">
        <w:rPr>
          <w:bCs/>
        </w:rPr>
        <w:t xml:space="preserve"> </w:t>
      </w:r>
      <w:r w:rsidR="00DA0A99" w:rsidRPr="00EA59C0">
        <w:rPr>
          <w:bCs/>
        </w:rPr>
        <w:t>to</w:t>
      </w:r>
      <w:r w:rsidR="00C026A6" w:rsidRPr="00EA59C0">
        <w:rPr>
          <w:bCs/>
        </w:rPr>
        <w:t xml:space="preserve"> </w:t>
      </w:r>
      <w:r w:rsidR="00DA0A99" w:rsidRPr="00EA59C0">
        <w:rPr>
          <w:bCs/>
        </w:rPr>
        <w:t>adopt</w:t>
      </w:r>
      <w:r w:rsidR="00C026A6" w:rsidRPr="00EA59C0">
        <w:rPr>
          <w:bCs/>
        </w:rPr>
        <w:t xml:space="preserve"> </w:t>
      </w:r>
      <w:r w:rsidR="00DA0A99" w:rsidRPr="00EA59C0">
        <w:rPr>
          <w:bCs/>
        </w:rPr>
        <w:t>and</w:t>
      </w:r>
      <w:r w:rsidR="00C026A6" w:rsidRPr="00EA59C0">
        <w:rPr>
          <w:bCs/>
        </w:rPr>
        <w:t xml:space="preserve"> </w:t>
      </w:r>
      <w:r w:rsidR="00DA0A99" w:rsidRPr="00EA59C0">
        <w:rPr>
          <w:bCs/>
        </w:rPr>
        <w:t>promote</w:t>
      </w:r>
      <w:r w:rsidR="00C026A6" w:rsidRPr="00EA59C0">
        <w:rPr>
          <w:bCs/>
        </w:rPr>
        <w:t xml:space="preserve"> </w:t>
      </w:r>
      <w:r w:rsidR="00DA0A99" w:rsidRPr="00EA59C0">
        <w:rPr>
          <w:bCs/>
        </w:rPr>
        <w:t>the</w:t>
      </w:r>
      <w:r w:rsidR="00C026A6" w:rsidRPr="00EA59C0">
        <w:rPr>
          <w:bCs/>
        </w:rPr>
        <w:t xml:space="preserve"> </w:t>
      </w:r>
      <w:r w:rsidR="00DA0A99" w:rsidRPr="00EA59C0">
        <w:rPr>
          <w:bCs/>
        </w:rPr>
        <w:t>proposed</w:t>
      </w:r>
      <w:r w:rsidR="00C026A6" w:rsidRPr="00EA59C0">
        <w:rPr>
          <w:bCs/>
        </w:rPr>
        <w:t xml:space="preserve"> </w:t>
      </w:r>
      <w:r w:rsidR="00DA0A99" w:rsidRPr="00EA59C0">
        <w:rPr>
          <w:bCs/>
        </w:rPr>
        <w:t>activities</w:t>
      </w:r>
      <w:r w:rsidR="00C026A6" w:rsidRPr="00EA59C0">
        <w:rPr>
          <w:bCs/>
        </w:rPr>
        <w:t xml:space="preserve"> </w:t>
      </w:r>
      <w:r w:rsidR="00DA0A99" w:rsidRPr="00EA59C0">
        <w:rPr>
          <w:bCs/>
        </w:rPr>
        <w:t>statewide</w:t>
      </w:r>
      <w:r w:rsidR="00C026A6" w:rsidRPr="00EA59C0">
        <w:rPr>
          <w:bCs/>
        </w:rPr>
        <w:t xml:space="preserve"> </w:t>
      </w:r>
      <w:r w:rsidR="00DA0A99" w:rsidRPr="00EA59C0">
        <w:rPr>
          <w:bCs/>
        </w:rPr>
        <w:t>will</w:t>
      </w:r>
      <w:r w:rsidR="00C026A6" w:rsidRPr="00EA59C0">
        <w:rPr>
          <w:bCs/>
        </w:rPr>
        <w:t xml:space="preserve"> </w:t>
      </w:r>
      <w:r w:rsidR="00DA0A99" w:rsidRPr="00EA59C0">
        <w:rPr>
          <w:bCs/>
        </w:rPr>
        <w:t>be</w:t>
      </w:r>
      <w:r w:rsidR="00C026A6" w:rsidRPr="00EA59C0">
        <w:rPr>
          <w:bCs/>
        </w:rPr>
        <w:t xml:space="preserve"> </w:t>
      </w:r>
      <w:r w:rsidR="00DA0A99" w:rsidRPr="00EA59C0">
        <w:rPr>
          <w:bCs/>
        </w:rPr>
        <w:t>considered</w:t>
      </w:r>
      <w:r w:rsidR="00C026A6" w:rsidRPr="00EA59C0">
        <w:rPr>
          <w:bCs/>
        </w:rPr>
        <w:t xml:space="preserve"> </w:t>
      </w:r>
      <w:r w:rsidR="00DA0A99" w:rsidRPr="00EA59C0">
        <w:rPr>
          <w:bCs/>
        </w:rPr>
        <w:t>in</w:t>
      </w:r>
      <w:r w:rsidR="00C026A6" w:rsidRPr="00EA59C0">
        <w:rPr>
          <w:bCs/>
        </w:rPr>
        <w:t xml:space="preserve"> </w:t>
      </w:r>
      <w:r w:rsidR="00DA0A99" w:rsidRPr="00EA59C0">
        <w:rPr>
          <w:bCs/>
        </w:rPr>
        <w:t>the</w:t>
      </w:r>
      <w:r w:rsidR="00C026A6" w:rsidRPr="00EA59C0">
        <w:rPr>
          <w:bCs/>
        </w:rPr>
        <w:t xml:space="preserve"> </w:t>
      </w:r>
      <w:r w:rsidR="00DA0A99" w:rsidRPr="00EA59C0">
        <w:rPr>
          <w:bCs/>
        </w:rPr>
        <w:t>evaluation</w:t>
      </w:r>
      <w:r w:rsidR="00C026A6" w:rsidRPr="00EA59C0">
        <w:rPr>
          <w:bCs/>
        </w:rPr>
        <w:t xml:space="preserve"> </w:t>
      </w:r>
      <w:r w:rsidR="00DA0A99" w:rsidRPr="00EA59C0">
        <w:rPr>
          <w:bCs/>
        </w:rPr>
        <w:t>of</w:t>
      </w:r>
      <w:r w:rsidR="00C026A6" w:rsidRPr="00EA59C0">
        <w:rPr>
          <w:bCs/>
        </w:rPr>
        <w:t xml:space="preserve"> </w:t>
      </w:r>
      <w:r w:rsidR="00DA0A99" w:rsidRPr="00EA59C0">
        <w:rPr>
          <w:bCs/>
        </w:rPr>
        <w:t>applications</w:t>
      </w:r>
      <w:r w:rsidR="00C026A6" w:rsidRPr="00EA59C0">
        <w:rPr>
          <w:bCs/>
        </w:rPr>
        <w:t xml:space="preserve"> </w:t>
      </w:r>
      <w:r w:rsidR="00DA0A99" w:rsidRPr="00EA59C0">
        <w:rPr>
          <w:bCs/>
        </w:rPr>
        <w:t>to</w:t>
      </w:r>
      <w:r w:rsidR="00C026A6" w:rsidRPr="00EA59C0">
        <w:rPr>
          <w:bCs/>
        </w:rPr>
        <w:t xml:space="preserve"> </w:t>
      </w:r>
      <w:r w:rsidR="00DA0A99" w:rsidRPr="00EA59C0">
        <w:rPr>
          <w:bCs/>
        </w:rPr>
        <w:t>exceed</w:t>
      </w:r>
      <w:r w:rsidR="00C026A6" w:rsidRPr="00EA59C0">
        <w:rPr>
          <w:bCs/>
        </w:rPr>
        <w:t xml:space="preserve"> </w:t>
      </w:r>
      <w:r w:rsidR="00DA0A99" w:rsidRPr="00EA59C0">
        <w:rPr>
          <w:bCs/>
        </w:rPr>
        <w:t>the</w:t>
      </w:r>
      <w:r w:rsidR="00C026A6" w:rsidRPr="00EA59C0">
        <w:rPr>
          <w:bCs/>
        </w:rPr>
        <w:t xml:space="preserve"> </w:t>
      </w:r>
      <w:r w:rsidR="00DA0A99" w:rsidRPr="00EA59C0">
        <w:rPr>
          <w:bCs/>
        </w:rPr>
        <w:t>consortium</w:t>
      </w:r>
      <w:r w:rsidR="00C026A6" w:rsidRPr="00EA59C0">
        <w:rPr>
          <w:bCs/>
        </w:rPr>
        <w:t xml:space="preserve"> </w:t>
      </w:r>
      <w:r w:rsidR="00DA0A99" w:rsidRPr="00EA59C0">
        <w:rPr>
          <w:bCs/>
        </w:rPr>
        <w:t>funding</w:t>
      </w:r>
      <w:r w:rsidR="00C026A6" w:rsidRPr="00EA59C0">
        <w:rPr>
          <w:bCs/>
        </w:rPr>
        <w:t xml:space="preserve"> </w:t>
      </w:r>
      <w:r w:rsidR="00DA0A99" w:rsidRPr="00EA59C0">
        <w:rPr>
          <w:bCs/>
        </w:rPr>
        <w:t>award</w:t>
      </w:r>
      <w:r w:rsidR="00C026A6" w:rsidRPr="00EA59C0">
        <w:rPr>
          <w:bCs/>
        </w:rPr>
        <w:t xml:space="preserve"> </w:t>
      </w:r>
      <w:r w:rsidR="00DA0A99" w:rsidRPr="00EA59C0">
        <w:rPr>
          <w:bCs/>
        </w:rPr>
        <w:t>ceiling.</w:t>
      </w:r>
      <w:r w:rsidR="00C026A6" w:rsidRPr="00EA59C0">
        <w:rPr>
          <w:bCs/>
        </w:rPr>
        <w:t xml:space="preserve">  </w:t>
      </w:r>
      <w:r w:rsidR="0028055D" w:rsidRPr="00EA59C0">
        <w:rPr>
          <w:bCs/>
        </w:rPr>
        <w:t>TAACCCT</w:t>
      </w:r>
      <w:r w:rsidR="00C026A6" w:rsidRPr="00EA59C0">
        <w:rPr>
          <w:bCs/>
        </w:rPr>
        <w:t xml:space="preserve"> </w:t>
      </w:r>
      <w:r w:rsidR="0028055D" w:rsidRPr="00EA59C0">
        <w:rPr>
          <w:bCs/>
        </w:rPr>
        <w:t>grant</w:t>
      </w:r>
      <w:r w:rsidR="00C026A6" w:rsidRPr="00EA59C0">
        <w:rPr>
          <w:bCs/>
        </w:rPr>
        <w:t xml:space="preserve"> </w:t>
      </w:r>
      <w:r w:rsidR="0028055D" w:rsidRPr="00EA59C0">
        <w:rPr>
          <w:bCs/>
        </w:rPr>
        <w:t>awards</w:t>
      </w:r>
      <w:r w:rsidR="00C026A6" w:rsidRPr="00EA59C0">
        <w:rPr>
          <w:bCs/>
        </w:rPr>
        <w:t xml:space="preserve"> </w:t>
      </w:r>
      <w:r w:rsidR="0028055D" w:rsidRPr="00EA59C0">
        <w:rPr>
          <w:bCs/>
        </w:rPr>
        <w:t>will</w:t>
      </w:r>
      <w:r w:rsidR="00C026A6" w:rsidRPr="00EA59C0">
        <w:rPr>
          <w:bCs/>
        </w:rPr>
        <w:t xml:space="preserve"> </w:t>
      </w:r>
      <w:r w:rsidR="0028055D" w:rsidRPr="00EA59C0">
        <w:rPr>
          <w:bCs/>
        </w:rPr>
        <w:t>provide</w:t>
      </w:r>
      <w:r w:rsidR="00C026A6" w:rsidRPr="00EA59C0">
        <w:rPr>
          <w:bCs/>
        </w:rPr>
        <w:t xml:space="preserve"> </w:t>
      </w:r>
      <w:r w:rsidR="0028055D" w:rsidRPr="00EA59C0">
        <w:rPr>
          <w:bCs/>
        </w:rPr>
        <w:t>applicants</w:t>
      </w:r>
      <w:r w:rsidR="00C026A6" w:rsidRPr="00EA59C0">
        <w:rPr>
          <w:bCs/>
        </w:rPr>
        <w:t xml:space="preserve"> </w:t>
      </w:r>
      <w:r w:rsidR="0028055D" w:rsidRPr="00EA59C0">
        <w:rPr>
          <w:bCs/>
        </w:rPr>
        <w:t>and</w:t>
      </w:r>
      <w:r w:rsidR="00C026A6" w:rsidRPr="00EA59C0">
        <w:rPr>
          <w:bCs/>
        </w:rPr>
        <w:t xml:space="preserve"> </w:t>
      </w:r>
      <w:r w:rsidR="0028055D" w:rsidRPr="00EA59C0">
        <w:rPr>
          <w:bCs/>
        </w:rPr>
        <w:t>their</w:t>
      </w:r>
      <w:r w:rsidR="00C026A6" w:rsidRPr="00EA59C0">
        <w:rPr>
          <w:bCs/>
        </w:rPr>
        <w:t xml:space="preserve"> </w:t>
      </w:r>
      <w:r w:rsidR="0028055D" w:rsidRPr="00EA59C0">
        <w:rPr>
          <w:bCs/>
        </w:rPr>
        <w:t>consortium</w:t>
      </w:r>
      <w:r w:rsidR="00C026A6" w:rsidRPr="00EA59C0">
        <w:rPr>
          <w:bCs/>
        </w:rPr>
        <w:t xml:space="preserve"> </w:t>
      </w:r>
      <w:r w:rsidR="0028055D" w:rsidRPr="00EA59C0">
        <w:rPr>
          <w:bCs/>
        </w:rPr>
        <w:t>members</w:t>
      </w:r>
      <w:r w:rsidR="00C026A6" w:rsidRPr="00EA59C0">
        <w:rPr>
          <w:bCs/>
        </w:rPr>
        <w:t xml:space="preserve"> </w:t>
      </w:r>
      <w:r w:rsidR="0028055D" w:rsidRPr="00EA59C0">
        <w:rPr>
          <w:bCs/>
        </w:rPr>
        <w:t>with</w:t>
      </w:r>
      <w:r w:rsidR="00C026A6" w:rsidRPr="00EA59C0">
        <w:rPr>
          <w:bCs/>
        </w:rPr>
        <w:t xml:space="preserve"> </w:t>
      </w:r>
      <w:r w:rsidR="0028055D" w:rsidRPr="00EA59C0">
        <w:rPr>
          <w:bCs/>
        </w:rPr>
        <w:t>a</w:t>
      </w:r>
      <w:r w:rsidR="00C026A6" w:rsidRPr="00EA59C0">
        <w:rPr>
          <w:bCs/>
        </w:rPr>
        <w:t xml:space="preserve"> </w:t>
      </w:r>
      <w:r w:rsidR="0028055D" w:rsidRPr="00EA59C0">
        <w:rPr>
          <w:bCs/>
        </w:rPr>
        <w:t>significant</w:t>
      </w:r>
      <w:r w:rsidR="00C026A6" w:rsidRPr="00EA59C0">
        <w:rPr>
          <w:bCs/>
        </w:rPr>
        <w:t xml:space="preserve"> </w:t>
      </w:r>
      <w:r w:rsidR="0028055D" w:rsidRPr="00EA59C0">
        <w:rPr>
          <w:bCs/>
        </w:rPr>
        <w:t>amount</w:t>
      </w:r>
      <w:r w:rsidR="00C026A6" w:rsidRPr="00EA59C0">
        <w:rPr>
          <w:bCs/>
        </w:rPr>
        <w:t xml:space="preserve"> </w:t>
      </w:r>
      <w:r w:rsidR="0028055D" w:rsidRPr="00EA59C0">
        <w:rPr>
          <w:bCs/>
        </w:rPr>
        <w:t>of</w:t>
      </w:r>
      <w:r w:rsidR="00C026A6" w:rsidRPr="00EA59C0">
        <w:rPr>
          <w:bCs/>
        </w:rPr>
        <w:t xml:space="preserve"> </w:t>
      </w:r>
      <w:r w:rsidR="0028055D" w:rsidRPr="00EA59C0">
        <w:rPr>
          <w:bCs/>
        </w:rPr>
        <w:t>funding</w:t>
      </w:r>
      <w:r w:rsidR="00C026A6" w:rsidRPr="00EA59C0">
        <w:rPr>
          <w:bCs/>
        </w:rPr>
        <w:t xml:space="preserve"> </w:t>
      </w:r>
      <w:r w:rsidR="0028055D" w:rsidRPr="00EA59C0">
        <w:rPr>
          <w:bCs/>
        </w:rPr>
        <w:t>to</w:t>
      </w:r>
      <w:r w:rsidR="00C026A6" w:rsidRPr="00EA59C0">
        <w:rPr>
          <w:bCs/>
        </w:rPr>
        <w:t xml:space="preserve"> </w:t>
      </w:r>
      <w:r w:rsidR="0028055D" w:rsidRPr="00EA59C0">
        <w:rPr>
          <w:bCs/>
        </w:rPr>
        <w:t>implement</w:t>
      </w:r>
      <w:r w:rsidR="00C026A6" w:rsidRPr="00EA59C0">
        <w:rPr>
          <w:bCs/>
        </w:rPr>
        <w:t xml:space="preserve"> </w:t>
      </w:r>
      <w:r w:rsidR="0028055D" w:rsidRPr="00EA59C0">
        <w:rPr>
          <w:bCs/>
        </w:rPr>
        <w:t>these</w:t>
      </w:r>
      <w:r w:rsidR="00C026A6" w:rsidRPr="00EA59C0">
        <w:rPr>
          <w:bCs/>
        </w:rPr>
        <w:t xml:space="preserve"> </w:t>
      </w:r>
      <w:r w:rsidR="0028055D" w:rsidRPr="00EA59C0">
        <w:rPr>
          <w:bCs/>
        </w:rPr>
        <w:t>statewide</w:t>
      </w:r>
      <w:r w:rsidR="00C026A6" w:rsidRPr="00EA59C0">
        <w:rPr>
          <w:bCs/>
        </w:rPr>
        <w:t xml:space="preserve"> </w:t>
      </w:r>
      <w:r w:rsidR="0028055D" w:rsidRPr="00EA59C0">
        <w:rPr>
          <w:bCs/>
        </w:rPr>
        <w:t>capacity</w:t>
      </w:r>
      <w:r w:rsidR="00C026A6" w:rsidRPr="00EA59C0">
        <w:rPr>
          <w:bCs/>
        </w:rPr>
        <w:t xml:space="preserve"> </w:t>
      </w:r>
      <w:r w:rsidR="0028055D" w:rsidRPr="00EA59C0">
        <w:rPr>
          <w:bCs/>
        </w:rPr>
        <w:t>building</w:t>
      </w:r>
      <w:r w:rsidR="00C026A6" w:rsidRPr="00EA59C0">
        <w:rPr>
          <w:bCs/>
        </w:rPr>
        <w:t xml:space="preserve"> </w:t>
      </w:r>
      <w:r w:rsidR="0028055D" w:rsidRPr="00EA59C0">
        <w:rPr>
          <w:bCs/>
        </w:rPr>
        <w:t>activities.</w:t>
      </w:r>
      <w:r w:rsidR="00C026A6" w:rsidRPr="00EA59C0">
        <w:rPr>
          <w:bCs/>
        </w:rPr>
        <w:t xml:space="preserve">  </w:t>
      </w:r>
      <w:r w:rsidR="00D83B75" w:rsidRPr="00EA59C0">
        <w:rPr>
          <w:bCs/>
        </w:rPr>
        <w:t>The</w:t>
      </w:r>
      <w:r w:rsidR="00C026A6" w:rsidRPr="00EA59C0">
        <w:rPr>
          <w:bCs/>
        </w:rPr>
        <w:t xml:space="preserve"> </w:t>
      </w:r>
      <w:r w:rsidR="00D83B75" w:rsidRPr="00EA59C0">
        <w:rPr>
          <w:bCs/>
        </w:rPr>
        <w:t>Department</w:t>
      </w:r>
      <w:r w:rsidR="00C026A6" w:rsidRPr="00EA59C0">
        <w:rPr>
          <w:bCs/>
        </w:rPr>
        <w:t xml:space="preserve"> </w:t>
      </w:r>
      <w:r w:rsidR="00D83B75" w:rsidRPr="00EA59C0">
        <w:rPr>
          <w:bCs/>
        </w:rPr>
        <w:t>encourages</w:t>
      </w:r>
      <w:r w:rsidR="00C026A6" w:rsidRPr="00EA59C0">
        <w:rPr>
          <w:bCs/>
        </w:rPr>
        <w:t xml:space="preserve"> </w:t>
      </w:r>
      <w:r w:rsidR="00D83B75" w:rsidRPr="00EA59C0">
        <w:rPr>
          <w:bCs/>
        </w:rPr>
        <w:t>applicants</w:t>
      </w:r>
      <w:r w:rsidR="00C026A6" w:rsidRPr="00EA59C0">
        <w:rPr>
          <w:bCs/>
        </w:rPr>
        <w:t xml:space="preserve"> </w:t>
      </w:r>
      <w:r w:rsidR="00D83B75" w:rsidRPr="00EA59C0">
        <w:rPr>
          <w:bCs/>
        </w:rPr>
        <w:t>to</w:t>
      </w:r>
      <w:r w:rsidR="00C026A6" w:rsidRPr="00EA59C0">
        <w:rPr>
          <w:bCs/>
        </w:rPr>
        <w:t xml:space="preserve"> </w:t>
      </w:r>
      <w:r w:rsidR="00D83B75" w:rsidRPr="00EA59C0">
        <w:rPr>
          <w:bCs/>
        </w:rPr>
        <w:t>include</w:t>
      </w:r>
      <w:r w:rsidR="00C026A6" w:rsidRPr="00EA59C0">
        <w:rPr>
          <w:bCs/>
        </w:rPr>
        <w:t xml:space="preserve"> </w:t>
      </w:r>
      <w:r w:rsidR="00D83B75" w:rsidRPr="00EA59C0">
        <w:rPr>
          <w:bCs/>
        </w:rPr>
        <w:t>as</w:t>
      </w:r>
      <w:r w:rsidR="00C026A6" w:rsidRPr="00EA59C0">
        <w:rPr>
          <w:bCs/>
        </w:rPr>
        <w:t xml:space="preserve"> </w:t>
      </w:r>
      <w:r w:rsidR="00D83B75" w:rsidRPr="00EA59C0">
        <w:rPr>
          <w:bCs/>
        </w:rPr>
        <w:t>many</w:t>
      </w:r>
      <w:r w:rsidR="00C026A6" w:rsidRPr="00EA59C0">
        <w:rPr>
          <w:bCs/>
        </w:rPr>
        <w:t xml:space="preserve"> </w:t>
      </w:r>
      <w:r w:rsidR="00D83B75" w:rsidRPr="00EA59C0">
        <w:rPr>
          <w:bCs/>
        </w:rPr>
        <w:t>community</w:t>
      </w:r>
      <w:r w:rsidR="00C026A6" w:rsidRPr="00EA59C0">
        <w:rPr>
          <w:bCs/>
        </w:rPr>
        <w:t xml:space="preserve"> </w:t>
      </w:r>
      <w:r w:rsidR="00D83B75" w:rsidRPr="00EA59C0">
        <w:rPr>
          <w:bCs/>
        </w:rPr>
        <w:t>colleges</w:t>
      </w:r>
      <w:r w:rsidR="00C026A6" w:rsidRPr="00EA59C0">
        <w:rPr>
          <w:bCs/>
        </w:rPr>
        <w:t xml:space="preserve"> </w:t>
      </w:r>
      <w:r w:rsidR="00D83B75" w:rsidRPr="00EA59C0">
        <w:rPr>
          <w:bCs/>
        </w:rPr>
        <w:t>in</w:t>
      </w:r>
      <w:r w:rsidR="00C026A6" w:rsidRPr="00EA59C0">
        <w:rPr>
          <w:bCs/>
        </w:rPr>
        <w:t xml:space="preserve"> </w:t>
      </w:r>
      <w:r w:rsidR="00D83B75" w:rsidRPr="00EA59C0">
        <w:rPr>
          <w:bCs/>
        </w:rPr>
        <w:t>their</w:t>
      </w:r>
      <w:r w:rsidR="00C026A6" w:rsidRPr="00EA59C0">
        <w:rPr>
          <w:bCs/>
        </w:rPr>
        <w:t xml:space="preserve"> </w:t>
      </w:r>
      <w:r w:rsidR="00D83B75" w:rsidRPr="00EA59C0">
        <w:rPr>
          <w:bCs/>
        </w:rPr>
        <w:t>state</w:t>
      </w:r>
      <w:r w:rsidR="00C026A6" w:rsidRPr="00EA59C0">
        <w:rPr>
          <w:bCs/>
        </w:rPr>
        <w:t xml:space="preserve"> </w:t>
      </w:r>
      <w:r w:rsidR="00D83B75" w:rsidRPr="00EA59C0">
        <w:rPr>
          <w:bCs/>
        </w:rPr>
        <w:t>as</w:t>
      </w:r>
      <w:r w:rsidR="00C026A6" w:rsidRPr="00EA59C0">
        <w:rPr>
          <w:bCs/>
        </w:rPr>
        <w:t xml:space="preserve"> </w:t>
      </w:r>
      <w:r w:rsidR="00D83B75" w:rsidRPr="00EA59C0">
        <w:rPr>
          <w:bCs/>
        </w:rPr>
        <w:t>possible</w:t>
      </w:r>
      <w:r w:rsidR="00C026A6" w:rsidRPr="00EA59C0">
        <w:rPr>
          <w:bCs/>
        </w:rPr>
        <w:t xml:space="preserve"> </w:t>
      </w:r>
      <w:r w:rsidR="00D83B75" w:rsidRPr="00EA59C0">
        <w:rPr>
          <w:bCs/>
        </w:rPr>
        <w:t>in</w:t>
      </w:r>
      <w:r w:rsidR="00C026A6" w:rsidRPr="00EA59C0">
        <w:rPr>
          <w:bCs/>
        </w:rPr>
        <w:t xml:space="preserve"> </w:t>
      </w:r>
      <w:r w:rsidR="00D83B75" w:rsidRPr="00EA59C0">
        <w:rPr>
          <w:bCs/>
        </w:rPr>
        <w:t>the</w:t>
      </w:r>
      <w:r w:rsidR="00C026A6" w:rsidRPr="00EA59C0">
        <w:rPr>
          <w:bCs/>
        </w:rPr>
        <w:t xml:space="preserve"> </w:t>
      </w:r>
      <w:r w:rsidR="00D83B75" w:rsidRPr="00EA59C0">
        <w:rPr>
          <w:bCs/>
        </w:rPr>
        <w:t>project,</w:t>
      </w:r>
      <w:r w:rsidR="00C026A6" w:rsidRPr="00EA59C0">
        <w:rPr>
          <w:bCs/>
        </w:rPr>
        <w:t xml:space="preserve"> </w:t>
      </w:r>
      <w:r w:rsidR="00D83B75" w:rsidRPr="00EA59C0">
        <w:rPr>
          <w:bCs/>
        </w:rPr>
        <w:t>and</w:t>
      </w:r>
      <w:r w:rsidR="00C026A6" w:rsidRPr="00EA59C0">
        <w:rPr>
          <w:bCs/>
        </w:rPr>
        <w:t xml:space="preserve"> </w:t>
      </w:r>
      <w:r w:rsidR="00D83B75" w:rsidRPr="00EA59C0">
        <w:rPr>
          <w:bCs/>
        </w:rPr>
        <w:t>include</w:t>
      </w:r>
      <w:r w:rsidR="00C026A6" w:rsidRPr="00EA59C0">
        <w:rPr>
          <w:bCs/>
        </w:rPr>
        <w:t xml:space="preserve"> </w:t>
      </w:r>
      <w:r w:rsidR="00D83B75" w:rsidRPr="00EA59C0">
        <w:rPr>
          <w:bCs/>
        </w:rPr>
        <w:t>all</w:t>
      </w:r>
      <w:r w:rsidR="00C026A6" w:rsidRPr="00EA59C0">
        <w:rPr>
          <w:bCs/>
        </w:rPr>
        <w:t xml:space="preserve"> </w:t>
      </w:r>
      <w:r w:rsidR="00D83B75" w:rsidRPr="00EA59C0">
        <w:rPr>
          <w:bCs/>
        </w:rPr>
        <w:t>community</w:t>
      </w:r>
      <w:r w:rsidR="00C026A6" w:rsidRPr="00EA59C0">
        <w:rPr>
          <w:bCs/>
        </w:rPr>
        <w:t xml:space="preserve"> </w:t>
      </w:r>
      <w:r w:rsidR="00D83B75" w:rsidRPr="00EA59C0">
        <w:rPr>
          <w:bCs/>
        </w:rPr>
        <w:t>colleges</w:t>
      </w:r>
      <w:r w:rsidR="00C026A6" w:rsidRPr="00EA59C0">
        <w:rPr>
          <w:bCs/>
        </w:rPr>
        <w:t xml:space="preserve"> </w:t>
      </w:r>
      <w:r w:rsidR="00D83B75" w:rsidRPr="00EA59C0">
        <w:rPr>
          <w:bCs/>
        </w:rPr>
        <w:t>if</w:t>
      </w:r>
      <w:r w:rsidR="00C026A6" w:rsidRPr="00EA59C0">
        <w:rPr>
          <w:bCs/>
        </w:rPr>
        <w:t xml:space="preserve"> </w:t>
      </w:r>
      <w:r w:rsidR="00D83B75" w:rsidRPr="00EA59C0">
        <w:rPr>
          <w:bCs/>
        </w:rPr>
        <w:t>feasible.</w:t>
      </w:r>
      <w:r w:rsidR="00C026A6" w:rsidRPr="00EA59C0">
        <w:rPr>
          <w:bCs/>
        </w:rPr>
        <w:t xml:space="preserve">  </w:t>
      </w:r>
      <w:r w:rsidR="0028055D" w:rsidRPr="00EA59C0">
        <w:rPr>
          <w:bCs/>
        </w:rPr>
        <w:t>Based</w:t>
      </w:r>
      <w:r w:rsidR="00C026A6" w:rsidRPr="00EA59C0">
        <w:rPr>
          <w:bCs/>
        </w:rPr>
        <w:t xml:space="preserve"> </w:t>
      </w:r>
      <w:r w:rsidR="0028055D" w:rsidRPr="00EA59C0">
        <w:rPr>
          <w:bCs/>
        </w:rPr>
        <w:t>on</w:t>
      </w:r>
      <w:r w:rsidR="00C026A6" w:rsidRPr="00EA59C0">
        <w:rPr>
          <w:bCs/>
        </w:rPr>
        <w:t xml:space="preserve"> </w:t>
      </w:r>
      <w:r w:rsidR="0028055D" w:rsidRPr="00EA59C0">
        <w:rPr>
          <w:bCs/>
        </w:rPr>
        <w:t>the</w:t>
      </w:r>
      <w:r w:rsidR="00C026A6" w:rsidRPr="00EA59C0">
        <w:rPr>
          <w:bCs/>
        </w:rPr>
        <w:t xml:space="preserve"> </w:t>
      </w:r>
      <w:r w:rsidR="0028055D" w:rsidRPr="00EA59C0">
        <w:rPr>
          <w:bCs/>
        </w:rPr>
        <w:t>scope</w:t>
      </w:r>
      <w:r w:rsidR="00C026A6" w:rsidRPr="00EA59C0">
        <w:rPr>
          <w:bCs/>
        </w:rPr>
        <w:t xml:space="preserve"> </w:t>
      </w:r>
      <w:r w:rsidR="0028055D" w:rsidRPr="00EA59C0">
        <w:rPr>
          <w:bCs/>
        </w:rPr>
        <w:t>of</w:t>
      </w:r>
      <w:r w:rsidR="00C026A6" w:rsidRPr="00EA59C0">
        <w:rPr>
          <w:bCs/>
        </w:rPr>
        <w:t xml:space="preserve"> </w:t>
      </w:r>
      <w:r w:rsidR="0028055D" w:rsidRPr="00EA59C0">
        <w:rPr>
          <w:bCs/>
        </w:rPr>
        <w:t>the</w:t>
      </w:r>
      <w:r w:rsidR="00C026A6" w:rsidRPr="00EA59C0">
        <w:rPr>
          <w:bCs/>
        </w:rPr>
        <w:t xml:space="preserve"> </w:t>
      </w:r>
      <w:r w:rsidR="0028055D" w:rsidRPr="00EA59C0">
        <w:rPr>
          <w:bCs/>
        </w:rPr>
        <w:t>proposed</w:t>
      </w:r>
      <w:r w:rsidR="00C026A6" w:rsidRPr="00EA59C0">
        <w:rPr>
          <w:bCs/>
        </w:rPr>
        <w:t xml:space="preserve"> </w:t>
      </w:r>
      <w:r w:rsidR="0028055D" w:rsidRPr="00EA59C0">
        <w:rPr>
          <w:bCs/>
        </w:rPr>
        <w:t>activities</w:t>
      </w:r>
      <w:r w:rsidR="00C026A6" w:rsidRPr="00EA59C0">
        <w:rPr>
          <w:bCs/>
        </w:rPr>
        <w:t xml:space="preserve"> </w:t>
      </w:r>
      <w:r w:rsidR="0028055D" w:rsidRPr="00EA59C0">
        <w:rPr>
          <w:bCs/>
        </w:rPr>
        <w:t>and</w:t>
      </w:r>
      <w:r w:rsidR="00C026A6" w:rsidRPr="00EA59C0">
        <w:rPr>
          <w:bCs/>
        </w:rPr>
        <w:t xml:space="preserve"> </w:t>
      </w:r>
      <w:r w:rsidR="0028055D" w:rsidRPr="00EA59C0">
        <w:rPr>
          <w:bCs/>
        </w:rPr>
        <w:t>the</w:t>
      </w:r>
      <w:r w:rsidR="00C026A6" w:rsidRPr="00EA59C0">
        <w:rPr>
          <w:bCs/>
        </w:rPr>
        <w:t xml:space="preserve"> </w:t>
      </w:r>
      <w:r w:rsidR="0028055D" w:rsidRPr="00EA59C0">
        <w:rPr>
          <w:bCs/>
        </w:rPr>
        <w:t>number</w:t>
      </w:r>
      <w:r w:rsidR="00C026A6" w:rsidRPr="00EA59C0">
        <w:rPr>
          <w:bCs/>
        </w:rPr>
        <w:t xml:space="preserve"> </w:t>
      </w:r>
      <w:r w:rsidR="0028055D" w:rsidRPr="00EA59C0">
        <w:rPr>
          <w:bCs/>
        </w:rPr>
        <w:t>of</w:t>
      </w:r>
      <w:r w:rsidR="00C026A6" w:rsidRPr="00EA59C0">
        <w:rPr>
          <w:bCs/>
        </w:rPr>
        <w:t xml:space="preserve"> </w:t>
      </w:r>
      <w:r w:rsidR="0028055D" w:rsidRPr="00EA59C0">
        <w:rPr>
          <w:bCs/>
        </w:rPr>
        <w:t>colleges</w:t>
      </w:r>
      <w:r w:rsidR="00C026A6" w:rsidRPr="00EA59C0">
        <w:rPr>
          <w:bCs/>
        </w:rPr>
        <w:t xml:space="preserve"> </w:t>
      </w:r>
      <w:r w:rsidR="0028055D" w:rsidRPr="00EA59C0">
        <w:rPr>
          <w:bCs/>
        </w:rPr>
        <w:t>in</w:t>
      </w:r>
      <w:r w:rsidR="00C026A6" w:rsidRPr="00EA59C0">
        <w:rPr>
          <w:bCs/>
        </w:rPr>
        <w:t xml:space="preserve"> </w:t>
      </w:r>
      <w:r w:rsidR="0028055D" w:rsidRPr="00EA59C0">
        <w:rPr>
          <w:bCs/>
        </w:rPr>
        <w:t>some</w:t>
      </w:r>
      <w:r w:rsidR="00C026A6" w:rsidRPr="00EA59C0">
        <w:rPr>
          <w:bCs/>
        </w:rPr>
        <w:t xml:space="preserve"> </w:t>
      </w:r>
      <w:r w:rsidR="0028055D" w:rsidRPr="00EA59C0">
        <w:rPr>
          <w:bCs/>
        </w:rPr>
        <w:t>states,</w:t>
      </w:r>
      <w:r w:rsidR="00C026A6" w:rsidRPr="00EA59C0">
        <w:rPr>
          <w:bCs/>
        </w:rPr>
        <w:t xml:space="preserve"> </w:t>
      </w:r>
      <w:r w:rsidR="0028055D" w:rsidRPr="00EA59C0">
        <w:rPr>
          <w:bCs/>
        </w:rPr>
        <w:t>applicants</w:t>
      </w:r>
      <w:r w:rsidR="00C026A6" w:rsidRPr="00EA59C0">
        <w:rPr>
          <w:bCs/>
        </w:rPr>
        <w:t xml:space="preserve"> </w:t>
      </w:r>
      <w:r w:rsidR="0028055D" w:rsidRPr="00EA59C0">
        <w:rPr>
          <w:bCs/>
        </w:rPr>
        <w:t>may</w:t>
      </w:r>
      <w:r w:rsidR="00C026A6" w:rsidRPr="00EA59C0">
        <w:rPr>
          <w:bCs/>
        </w:rPr>
        <w:t xml:space="preserve"> </w:t>
      </w:r>
      <w:r w:rsidR="0028055D" w:rsidRPr="00EA59C0">
        <w:rPr>
          <w:bCs/>
        </w:rPr>
        <w:t>also</w:t>
      </w:r>
      <w:r w:rsidR="00C026A6" w:rsidRPr="00EA59C0">
        <w:rPr>
          <w:bCs/>
        </w:rPr>
        <w:t xml:space="preserve"> </w:t>
      </w:r>
      <w:r w:rsidR="0028055D" w:rsidRPr="00EA59C0">
        <w:rPr>
          <w:bCs/>
        </w:rPr>
        <w:t>involve</w:t>
      </w:r>
      <w:r w:rsidR="00C026A6" w:rsidRPr="00EA59C0">
        <w:rPr>
          <w:bCs/>
        </w:rPr>
        <w:t xml:space="preserve"> </w:t>
      </w:r>
      <w:r w:rsidR="0028055D" w:rsidRPr="00EA59C0">
        <w:rPr>
          <w:bCs/>
        </w:rPr>
        <w:t>other</w:t>
      </w:r>
      <w:r w:rsidR="00C026A6" w:rsidRPr="00EA59C0">
        <w:rPr>
          <w:bCs/>
        </w:rPr>
        <w:t xml:space="preserve"> </w:t>
      </w:r>
      <w:r w:rsidR="0028055D" w:rsidRPr="00EA59C0">
        <w:rPr>
          <w:bCs/>
        </w:rPr>
        <w:t>colleges</w:t>
      </w:r>
      <w:r w:rsidR="00C026A6" w:rsidRPr="00EA59C0">
        <w:rPr>
          <w:bCs/>
        </w:rPr>
        <w:t xml:space="preserve"> </w:t>
      </w:r>
      <w:r w:rsidR="0028055D" w:rsidRPr="00EA59C0">
        <w:rPr>
          <w:bCs/>
        </w:rPr>
        <w:t>in</w:t>
      </w:r>
      <w:r w:rsidR="00C026A6" w:rsidRPr="00EA59C0">
        <w:rPr>
          <w:bCs/>
        </w:rPr>
        <w:t xml:space="preserve"> </w:t>
      </w:r>
      <w:r w:rsidR="0028055D" w:rsidRPr="00EA59C0">
        <w:rPr>
          <w:bCs/>
        </w:rPr>
        <w:t>the</w:t>
      </w:r>
      <w:r w:rsidR="00C026A6" w:rsidRPr="00EA59C0">
        <w:rPr>
          <w:bCs/>
        </w:rPr>
        <w:t xml:space="preserve"> </w:t>
      </w:r>
      <w:r w:rsidR="0028055D" w:rsidRPr="00EA59C0">
        <w:rPr>
          <w:bCs/>
        </w:rPr>
        <w:t>project</w:t>
      </w:r>
      <w:r w:rsidR="00C026A6" w:rsidRPr="00EA59C0">
        <w:rPr>
          <w:bCs/>
        </w:rPr>
        <w:t xml:space="preserve"> </w:t>
      </w:r>
      <w:r w:rsidR="0028055D" w:rsidRPr="00EA59C0">
        <w:rPr>
          <w:bCs/>
        </w:rPr>
        <w:t>that</w:t>
      </w:r>
      <w:r w:rsidR="00C026A6" w:rsidRPr="00EA59C0">
        <w:rPr>
          <w:bCs/>
        </w:rPr>
        <w:t xml:space="preserve"> </w:t>
      </w:r>
      <w:r w:rsidR="0028055D" w:rsidRPr="00EA59C0">
        <w:rPr>
          <w:bCs/>
        </w:rPr>
        <w:t>are</w:t>
      </w:r>
      <w:r w:rsidR="00C026A6" w:rsidRPr="00EA59C0">
        <w:rPr>
          <w:bCs/>
        </w:rPr>
        <w:t xml:space="preserve"> </w:t>
      </w:r>
      <w:r w:rsidR="0028055D" w:rsidRPr="00EA59C0">
        <w:rPr>
          <w:bCs/>
        </w:rPr>
        <w:t>not</w:t>
      </w:r>
      <w:r w:rsidR="00C026A6" w:rsidRPr="00EA59C0">
        <w:rPr>
          <w:bCs/>
        </w:rPr>
        <w:t xml:space="preserve"> </w:t>
      </w:r>
      <w:r w:rsidR="0028055D" w:rsidRPr="00EA59C0">
        <w:rPr>
          <w:bCs/>
        </w:rPr>
        <w:t>receiving</w:t>
      </w:r>
      <w:r w:rsidR="00C026A6" w:rsidRPr="00EA59C0">
        <w:rPr>
          <w:bCs/>
        </w:rPr>
        <w:t xml:space="preserve"> </w:t>
      </w:r>
      <w:r w:rsidR="0028055D" w:rsidRPr="00EA59C0">
        <w:rPr>
          <w:bCs/>
        </w:rPr>
        <w:t>grant</w:t>
      </w:r>
      <w:r w:rsidR="00C026A6" w:rsidRPr="00EA59C0">
        <w:rPr>
          <w:bCs/>
        </w:rPr>
        <w:t xml:space="preserve"> </w:t>
      </w:r>
      <w:r w:rsidR="0028055D" w:rsidRPr="00EA59C0">
        <w:rPr>
          <w:bCs/>
        </w:rPr>
        <w:t>funds</w:t>
      </w:r>
      <w:r w:rsidR="00C026A6" w:rsidRPr="00EA59C0">
        <w:rPr>
          <w:bCs/>
        </w:rPr>
        <w:t xml:space="preserve"> </w:t>
      </w:r>
      <w:r w:rsidR="00DB652C" w:rsidRPr="00EA59C0">
        <w:rPr>
          <w:bCs/>
        </w:rPr>
        <w:t>to</w:t>
      </w:r>
      <w:r w:rsidR="00C026A6" w:rsidRPr="00EA59C0">
        <w:rPr>
          <w:bCs/>
        </w:rPr>
        <w:t xml:space="preserve"> </w:t>
      </w:r>
      <w:r w:rsidR="00DB652C" w:rsidRPr="00EA59C0">
        <w:rPr>
          <w:bCs/>
        </w:rPr>
        <w:t>implement</w:t>
      </w:r>
      <w:r w:rsidR="00C026A6" w:rsidRPr="00EA59C0">
        <w:rPr>
          <w:bCs/>
        </w:rPr>
        <w:t xml:space="preserve"> </w:t>
      </w:r>
      <w:r w:rsidR="00DB652C" w:rsidRPr="00EA59C0">
        <w:rPr>
          <w:bCs/>
        </w:rPr>
        <w:t>the</w:t>
      </w:r>
      <w:r w:rsidR="00C026A6" w:rsidRPr="00EA59C0">
        <w:rPr>
          <w:bCs/>
        </w:rPr>
        <w:t xml:space="preserve"> </w:t>
      </w:r>
      <w:r w:rsidR="00DB652C" w:rsidRPr="00EA59C0">
        <w:rPr>
          <w:bCs/>
        </w:rPr>
        <w:t>proposed</w:t>
      </w:r>
      <w:r w:rsidR="00C026A6" w:rsidRPr="00EA59C0">
        <w:rPr>
          <w:bCs/>
        </w:rPr>
        <w:t xml:space="preserve"> </w:t>
      </w:r>
      <w:r w:rsidR="00DB652C" w:rsidRPr="00EA59C0">
        <w:rPr>
          <w:bCs/>
        </w:rPr>
        <w:t>project</w:t>
      </w:r>
      <w:r w:rsidR="0028055D" w:rsidRPr="00EA59C0">
        <w:rPr>
          <w:bCs/>
        </w:rPr>
        <w:t>,</w:t>
      </w:r>
      <w:r w:rsidR="00C026A6" w:rsidRPr="00EA59C0">
        <w:rPr>
          <w:bCs/>
        </w:rPr>
        <w:t xml:space="preserve"> </w:t>
      </w:r>
      <w:r w:rsidR="0028055D" w:rsidRPr="00EA59C0">
        <w:rPr>
          <w:bCs/>
        </w:rPr>
        <w:t>and</w:t>
      </w:r>
      <w:r w:rsidR="00C026A6" w:rsidRPr="00EA59C0">
        <w:rPr>
          <w:bCs/>
        </w:rPr>
        <w:t xml:space="preserve"> </w:t>
      </w:r>
      <w:r w:rsidR="0028055D" w:rsidRPr="00EA59C0">
        <w:rPr>
          <w:bCs/>
        </w:rPr>
        <w:t>may</w:t>
      </w:r>
      <w:r w:rsidR="00C026A6" w:rsidRPr="00EA59C0">
        <w:rPr>
          <w:bCs/>
        </w:rPr>
        <w:t xml:space="preserve"> </w:t>
      </w:r>
      <w:r w:rsidR="0028055D" w:rsidRPr="00EA59C0">
        <w:rPr>
          <w:bCs/>
        </w:rPr>
        <w:t>seek</w:t>
      </w:r>
      <w:r w:rsidR="00C026A6" w:rsidRPr="00EA59C0">
        <w:rPr>
          <w:bCs/>
        </w:rPr>
        <w:t xml:space="preserve"> </w:t>
      </w:r>
      <w:r w:rsidR="0028055D" w:rsidRPr="00EA59C0">
        <w:rPr>
          <w:bCs/>
        </w:rPr>
        <w:t>to</w:t>
      </w:r>
      <w:r w:rsidR="00C026A6" w:rsidRPr="00EA59C0">
        <w:rPr>
          <w:bCs/>
        </w:rPr>
        <w:t xml:space="preserve"> </w:t>
      </w:r>
      <w:r w:rsidR="0028055D" w:rsidRPr="00EA59C0">
        <w:rPr>
          <w:bCs/>
        </w:rPr>
        <w:t>leverage</w:t>
      </w:r>
      <w:r w:rsidR="00C026A6" w:rsidRPr="00EA59C0">
        <w:rPr>
          <w:bCs/>
        </w:rPr>
        <w:t xml:space="preserve"> </w:t>
      </w:r>
      <w:r w:rsidR="0028055D" w:rsidRPr="00EA59C0">
        <w:rPr>
          <w:bCs/>
        </w:rPr>
        <w:t>non-grant</w:t>
      </w:r>
      <w:r w:rsidR="00C026A6" w:rsidRPr="00EA59C0">
        <w:rPr>
          <w:bCs/>
        </w:rPr>
        <w:t xml:space="preserve"> </w:t>
      </w:r>
      <w:r w:rsidR="0028055D" w:rsidRPr="00EA59C0">
        <w:rPr>
          <w:bCs/>
        </w:rPr>
        <w:t>resources</w:t>
      </w:r>
      <w:r w:rsidR="00C026A6" w:rsidRPr="00EA59C0">
        <w:rPr>
          <w:bCs/>
        </w:rPr>
        <w:t xml:space="preserve"> </w:t>
      </w:r>
      <w:r w:rsidR="0028055D" w:rsidRPr="00EA59C0">
        <w:rPr>
          <w:bCs/>
        </w:rPr>
        <w:t>to</w:t>
      </w:r>
      <w:r w:rsidR="00C026A6" w:rsidRPr="00EA59C0">
        <w:rPr>
          <w:bCs/>
        </w:rPr>
        <w:t xml:space="preserve"> </w:t>
      </w:r>
      <w:r w:rsidR="0028055D" w:rsidRPr="00EA59C0">
        <w:rPr>
          <w:bCs/>
        </w:rPr>
        <w:t>maximize</w:t>
      </w:r>
      <w:r w:rsidR="00C026A6" w:rsidRPr="00EA59C0">
        <w:rPr>
          <w:bCs/>
        </w:rPr>
        <w:t xml:space="preserve"> </w:t>
      </w:r>
      <w:r w:rsidR="0028055D" w:rsidRPr="00EA59C0">
        <w:rPr>
          <w:bCs/>
        </w:rPr>
        <w:t>the</w:t>
      </w:r>
      <w:r w:rsidR="00C026A6" w:rsidRPr="00EA59C0">
        <w:rPr>
          <w:bCs/>
        </w:rPr>
        <w:t xml:space="preserve"> </w:t>
      </w:r>
      <w:r w:rsidR="0028055D" w:rsidRPr="00EA59C0">
        <w:rPr>
          <w:bCs/>
        </w:rPr>
        <w:t>impact</w:t>
      </w:r>
      <w:r w:rsidR="00C026A6" w:rsidRPr="00EA59C0">
        <w:rPr>
          <w:bCs/>
        </w:rPr>
        <w:t xml:space="preserve"> </w:t>
      </w:r>
      <w:r w:rsidR="0028055D" w:rsidRPr="00EA59C0">
        <w:rPr>
          <w:bCs/>
        </w:rPr>
        <w:t>of</w:t>
      </w:r>
      <w:r w:rsidR="00C026A6" w:rsidRPr="00EA59C0">
        <w:rPr>
          <w:bCs/>
        </w:rPr>
        <w:t xml:space="preserve"> </w:t>
      </w:r>
      <w:r w:rsidR="0028055D" w:rsidRPr="00EA59C0">
        <w:rPr>
          <w:bCs/>
        </w:rPr>
        <w:t>the</w:t>
      </w:r>
      <w:r w:rsidR="00C026A6" w:rsidRPr="00EA59C0">
        <w:rPr>
          <w:bCs/>
        </w:rPr>
        <w:t xml:space="preserve"> </w:t>
      </w:r>
      <w:r w:rsidR="0028055D" w:rsidRPr="00EA59C0">
        <w:rPr>
          <w:bCs/>
        </w:rPr>
        <w:t>project.</w:t>
      </w:r>
      <w:r w:rsidR="00C026A6" w:rsidRPr="00EA59C0">
        <w:rPr>
          <w:bCs/>
        </w:rPr>
        <w:t xml:space="preserve">  </w:t>
      </w:r>
      <w:r w:rsidR="0028055D" w:rsidRPr="00EA59C0">
        <w:rPr>
          <w:bCs/>
        </w:rPr>
        <w:t>The</w:t>
      </w:r>
      <w:r w:rsidR="00C026A6" w:rsidRPr="00EA59C0">
        <w:rPr>
          <w:bCs/>
        </w:rPr>
        <w:t xml:space="preserve"> </w:t>
      </w:r>
      <w:r w:rsidR="0028055D" w:rsidRPr="00EA59C0">
        <w:rPr>
          <w:bCs/>
        </w:rPr>
        <w:t>Department</w:t>
      </w:r>
      <w:r w:rsidR="00C026A6" w:rsidRPr="00EA59C0">
        <w:rPr>
          <w:bCs/>
        </w:rPr>
        <w:t xml:space="preserve"> </w:t>
      </w:r>
      <w:r w:rsidR="0028055D" w:rsidRPr="00EA59C0">
        <w:rPr>
          <w:bCs/>
        </w:rPr>
        <w:t>encourages</w:t>
      </w:r>
      <w:r w:rsidR="00C026A6" w:rsidRPr="00EA59C0">
        <w:rPr>
          <w:bCs/>
        </w:rPr>
        <w:t xml:space="preserve"> </w:t>
      </w:r>
      <w:r w:rsidR="0028055D" w:rsidRPr="00EA59C0">
        <w:rPr>
          <w:bCs/>
        </w:rPr>
        <w:t>applicants</w:t>
      </w:r>
      <w:r w:rsidR="00C026A6" w:rsidRPr="00EA59C0">
        <w:rPr>
          <w:bCs/>
        </w:rPr>
        <w:t xml:space="preserve"> </w:t>
      </w:r>
      <w:r w:rsidR="0028055D" w:rsidRPr="00EA59C0">
        <w:rPr>
          <w:bCs/>
        </w:rPr>
        <w:t>to</w:t>
      </w:r>
      <w:r w:rsidR="00C026A6" w:rsidRPr="00EA59C0">
        <w:rPr>
          <w:bCs/>
        </w:rPr>
        <w:t xml:space="preserve"> </w:t>
      </w:r>
      <w:r w:rsidR="0028055D" w:rsidRPr="00EA59C0">
        <w:rPr>
          <w:bCs/>
        </w:rPr>
        <w:t>utilize</w:t>
      </w:r>
      <w:r w:rsidR="00C026A6" w:rsidRPr="00EA59C0">
        <w:rPr>
          <w:bCs/>
        </w:rPr>
        <w:t xml:space="preserve"> </w:t>
      </w:r>
      <w:r w:rsidR="0028055D" w:rsidRPr="00EA59C0">
        <w:rPr>
          <w:bCs/>
        </w:rPr>
        <w:t>leveraged</w:t>
      </w:r>
      <w:r w:rsidR="00C026A6" w:rsidRPr="00EA59C0">
        <w:rPr>
          <w:bCs/>
        </w:rPr>
        <w:t xml:space="preserve"> </w:t>
      </w:r>
      <w:r w:rsidR="0028055D" w:rsidRPr="00EA59C0">
        <w:rPr>
          <w:bCs/>
        </w:rPr>
        <w:t>resources</w:t>
      </w:r>
      <w:r w:rsidR="00C026A6" w:rsidRPr="00EA59C0">
        <w:rPr>
          <w:bCs/>
        </w:rPr>
        <w:t xml:space="preserve"> </w:t>
      </w:r>
      <w:r w:rsidR="0028055D" w:rsidRPr="00EA59C0">
        <w:rPr>
          <w:bCs/>
        </w:rPr>
        <w:t>to</w:t>
      </w:r>
      <w:r w:rsidR="00C026A6" w:rsidRPr="00EA59C0">
        <w:rPr>
          <w:bCs/>
        </w:rPr>
        <w:t xml:space="preserve"> </w:t>
      </w:r>
      <w:r w:rsidR="0028055D" w:rsidRPr="00EA59C0">
        <w:rPr>
          <w:bCs/>
        </w:rPr>
        <w:t>maximize</w:t>
      </w:r>
      <w:r w:rsidR="00C026A6" w:rsidRPr="00EA59C0">
        <w:rPr>
          <w:bCs/>
        </w:rPr>
        <w:t xml:space="preserve"> </w:t>
      </w:r>
      <w:r w:rsidR="0028055D" w:rsidRPr="00EA59C0">
        <w:rPr>
          <w:bCs/>
        </w:rPr>
        <w:t>the</w:t>
      </w:r>
      <w:r w:rsidR="00C026A6" w:rsidRPr="00EA59C0">
        <w:rPr>
          <w:bCs/>
        </w:rPr>
        <w:t xml:space="preserve"> </w:t>
      </w:r>
      <w:r w:rsidR="0028055D" w:rsidRPr="00EA59C0">
        <w:rPr>
          <w:bCs/>
        </w:rPr>
        <w:t>impact</w:t>
      </w:r>
      <w:r w:rsidR="00C026A6" w:rsidRPr="00EA59C0">
        <w:rPr>
          <w:bCs/>
        </w:rPr>
        <w:t xml:space="preserve"> </w:t>
      </w:r>
      <w:r w:rsidR="0028055D" w:rsidRPr="00EA59C0">
        <w:rPr>
          <w:bCs/>
        </w:rPr>
        <w:t>of</w:t>
      </w:r>
      <w:r w:rsidR="00C026A6" w:rsidRPr="00EA59C0">
        <w:rPr>
          <w:bCs/>
        </w:rPr>
        <w:t xml:space="preserve"> </w:t>
      </w:r>
      <w:r w:rsidR="0028055D" w:rsidRPr="00EA59C0">
        <w:rPr>
          <w:bCs/>
        </w:rPr>
        <w:t>the</w:t>
      </w:r>
      <w:r w:rsidR="00C026A6" w:rsidRPr="00EA59C0">
        <w:rPr>
          <w:bCs/>
        </w:rPr>
        <w:t xml:space="preserve"> </w:t>
      </w:r>
      <w:r w:rsidR="0028055D" w:rsidRPr="00EA59C0">
        <w:rPr>
          <w:bCs/>
        </w:rPr>
        <w:t>proposed</w:t>
      </w:r>
      <w:r w:rsidR="00C026A6" w:rsidRPr="00EA59C0">
        <w:rPr>
          <w:bCs/>
        </w:rPr>
        <w:t xml:space="preserve"> </w:t>
      </w:r>
      <w:r w:rsidR="0028055D" w:rsidRPr="00EA59C0">
        <w:rPr>
          <w:bCs/>
        </w:rPr>
        <w:t>activities,</w:t>
      </w:r>
      <w:r w:rsidR="00C026A6" w:rsidRPr="00EA59C0">
        <w:rPr>
          <w:bCs/>
        </w:rPr>
        <w:t xml:space="preserve"> </w:t>
      </w:r>
      <w:r w:rsidR="0028055D" w:rsidRPr="00EA59C0">
        <w:rPr>
          <w:bCs/>
        </w:rPr>
        <w:t>and</w:t>
      </w:r>
      <w:r w:rsidR="00C026A6" w:rsidRPr="00EA59C0">
        <w:rPr>
          <w:bCs/>
        </w:rPr>
        <w:t xml:space="preserve"> </w:t>
      </w:r>
      <w:r w:rsidR="0028055D" w:rsidRPr="00EA59C0">
        <w:rPr>
          <w:bCs/>
        </w:rPr>
        <w:t>help</w:t>
      </w:r>
      <w:r w:rsidR="00C026A6" w:rsidRPr="00EA59C0">
        <w:rPr>
          <w:bCs/>
        </w:rPr>
        <w:t xml:space="preserve"> </w:t>
      </w:r>
      <w:r w:rsidR="0028055D" w:rsidRPr="00EA59C0">
        <w:rPr>
          <w:bCs/>
        </w:rPr>
        <w:t>ensure</w:t>
      </w:r>
      <w:r w:rsidR="00C026A6" w:rsidRPr="00EA59C0">
        <w:rPr>
          <w:bCs/>
        </w:rPr>
        <w:t xml:space="preserve"> </w:t>
      </w:r>
      <w:r w:rsidR="0028055D" w:rsidRPr="00EA59C0">
        <w:rPr>
          <w:bCs/>
        </w:rPr>
        <w:t>their</w:t>
      </w:r>
      <w:r w:rsidR="00C026A6" w:rsidRPr="00EA59C0">
        <w:rPr>
          <w:bCs/>
        </w:rPr>
        <w:t xml:space="preserve"> </w:t>
      </w:r>
      <w:r w:rsidR="0028055D" w:rsidRPr="00EA59C0">
        <w:rPr>
          <w:bCs/>
        </w:rPr>
        <w:t>continued</w:t>
      </w:r>
      <w:r w:rsidR="00C026A6" w:rsidRPr="00EA59C0">
        <w:rPr>
          <w:bCs/>
        </w:rPr>
        <w:t xml:space="preserve"> </w:t>
      </w:r>
      <w:r w:rsidR="0028055D" w:rsidRPr="00EA59C0">
        <w:rPr>
          <w:bCs/>
        </w:rPr>
        <w:t>implementation</w:t>
      </w:r>
      <w:r w:rsidR="00C026A6" w:rsidRPr="00EA59C0">
        <w:rPr>
          <w:bCs/>
        </w:rPr>
        <w:t xml:space="preserve"> </w:t>
      </w:r>
      <w:r w:rsidR="0028055D" w:rsidRPr="00EA59C0">
        <w:rPr>
          <w:bCs/>
        </w:rPr>
        <w:t>after</w:t>
      </w:r>
      <w:r w:rsidR="00C026A6" w:rsidRPr="00EA59C0">
        <w:rPr>
          <w:bCs/>
        </w:rPr>
        <w:t xml:space="preserve"> </w:t>
      </w:r>
      <w:r w:rsidR="0028055D" w:rsidRPr="00EA59C0">
        <w:rPr>
          <w:bCs/>
        </w:rPr>
        <w:t>the</w:t>
      </w:r>
      <w:r w:rsidR="00C026A6" w:rsidRPr="00EA59C0">
        <w:rPr>
          <w:bCs/>
        </w:rPr>
        <w:t xml:space="preserve"> </w:t>
      </w:r>
      <w:r w:rsidR="0028055D" w:rsidRPr="00EA59C0">
        <w:rPr>
          <w:bCs/>
        </w:rPr>
        <w:t>end</w:t>
      </w:r>
      <w:r w:rsidR="00C026A6" w:rsidRPr="00EA59C0">
        <w:rPr>
          <w:bCs/>
        </w:rPr>
        <w:t xml:space="preserve"> </w:t>
      </w:r>
      <w:r w:rsidR="0028055D" w:rsidRPr="00EA59C0">
        <w:rPr>
          <w:bCs/>
        </w:rPr>
        <w:t>of</w:t>
      </w:r>
      <w:r w:rsidR="00C026A6" w:rsidRPr="00EA59C0">
        <w:rPr>
          <w:bCs/>
        </w:rPr>
        <w:t xml:space="preserve"> </w:t>
      </w:r>
      <w:r w:rsidR="0028055D" w:rsidRPr="00EA59C0">
        <w:rPr>
          <w:bCs/>
        </w:rPr>
        <w:t>the</w:t>
      </w:r>
      <w:r w:rsidR="00C026A6" w:rsidRPr="00EA59C0">
        <w:rPr>
          <w:bCs/>
        </w:rPr>
        <w:t xml:space="preserve"> </w:t>
      </w:r>
      <w:r w:rsidR="0028055D" w:rsidRPr="00EA59C0">
        <w:rPr>
          <w:bCs/>
        </w:rPr>
        <w:t>grant.</w:t>
      </w:r>
      <w:r w:rsidR="00C026A6" w:rsidRPr="00EA59C0">
        <w:rPr>
          <w:bCs/>
        </w:rPr>
        <w:t xml:space="preserve">  </w:t>
      </w:r>
    </w:p>
    <w:p w:rsidR="0028055D" w:rsidRPr="00EA59C0" w:rsidRDefault="00C026A6" w:rsidP="00D03948">
      <w:pPr>
        <w:ind w:left="1080"/>
        <w:rPr>
          <w:bCs/>
        </w:rPr>
      </w:pPr>
      <w:r w:rsidRPr="00EA59C0">
        <w:rPr>
          <w:bCs/>
        </w:rPr>
        <w:t xml:space="preserve"> </w:t>
      </w:r>
    </w:p>
    <w:p w:rsidR="00F6499F" w:rsidRPr="00EA59C0" w:rsidRDefault="00F6499F" w:rsidP="004C3998">
      <w:pPr>
        <w:ind w:left="1080"/>
        <w:rPr>
          <w:bCs/>
        </w:rPr>
      </w:pPr>
      <w:r w:rsidRPr="00EA59C0">
        <w:rPr>
          <w:bCs/>
        </w:rPr>
        <w:t>Single</w:t>
      </w:r>
      <w:r w:rsidR="00C026A6" w:rsidRPr="00EA59C0">
        <w:rPr>
          <w:bCs/>
        </w:rPr>
        <w:t xml:space="preserve"> </w:t>
      </w:r>
      <w:r w:rsidRPr="00EA59C0">
        <w:rPr>
          <w:bCs/>
        </w:rPr>
        <w:t>institution</w:t>
      </w:r>
      <w:r w:rsidR="00C026A6" w:rsidRPr="00EA59C0">
        <w:rPr>
          <w:bCs/>
        </w:rPr>
        <w:t xml:space="preserve"> </w:t>
      </w:r>
      <w:r w:rsidRPr="00EA59C0">
        <w:rPr>
          <w:bCs/>
        </w:rPr>
        <w:t>and</w:t>
      </w:r>
      <w:r w:rsidR="00C026A6" w:rsidRPr="00EA59C0">
        <w:rPr>
          <w:bCs/>
        </w:rPr>
        <w:t xml:space="preserve"> </w:t>
      </w:r>
      <w:r w:rsidRPr="00EA59C0">
        <w:rPr>
          <w:bCs/>
        </w:rPr>
        <w:t>consortium</w:t>
      </w:r>
      <w:r w:rsidR="00C026A6" w:rsidRPr="00EA59C0">
        <w:rPr>
          <w:bCs/>
        </w:rPr>
        <w:t xml:space="preserve"> </w:t>
      </w:r>
      <w:r w:rsidRPr="00EA59C0">
        <w:rPr>
          <w:bCs/>
        </w:rPr>
        <w:t>applicants</w:t>
      </w:r>
      <w:r w:rsidR="00C026A6" w:rsidRPr="00EA59C0">
        <w:rPr>
          <w:bCs/>
        </w:rPr>
        <w:t xml:space="preserve"> </w:t>
      </w:r>
      <w:r w:rsidRPr="00EA59C0">
        <w:rPr>
          <w:bCs/>
        </w:rPr>
        <w:t>seeking</w:t>
      </w:r>
      <w:r w:rsidR="00C026A6" w:rsidRPr="00EA59C0">
        <w:rPr>
          <w:bCs/>
        </w:rPr>
        <w:t xml:space="preserve"> </w:t>
      </w:r>
      <w:r w:rsidRPr="00EA59C0">
        <w:rPr>
          <w:bCs/>
        </w:rPr>
        <w:t>to</w:t>
      </w:r>
      <w:r w:rsidR="00C026A6" w:rsidRPr="00EA59C0">
        <w:rPr>
          <w:bCs/>
        </w:rPr>
        <w:t xml:space="preserve"> </w:t>
      </w:r>
      <w:r w:rsidRPr="00EA59C0">
        <w:rPr>
          <w:bCs/>
        </w:rPr>
        <w:t>exceed</w:t>
      </w:r>
      <w:r w:rsidR="00C026A6" w:rsidRPr="00EA59C0">
        <w:rPr>
          <w:bCs/>
        </w:rPr>
        <w:t xml:space="preserve"> </w:t>
      </w:r>
      <w:r w:rsidRPr="00EA59C0">
        <w:rPr>
          <w:bCs/>
        </w:rPr>
        <w:t>the</w:t>
      </w:r>
      <w:r w:rsidR="00C026A6" w:rsidRPr="00EA59C0">
        <w:rPr>
          <w:bCs/>
        </w:rPr>
        <w:t xml:space="preserve"> </w:t>
      </w:r>
      <w:r w:rsidRPr="00EA59C0">
        <w:rPr>
          <w:bCs/>
        </w:rPr>
        <w:t>cap</w:t>
      </w:r>
      <w:r w:rsidR="00C026A6" w:rsidRPr="00EA59C0">
        <w:rPr>
          <w:bCs/>
        </w:rPr>
        <w:t xml:space="preserve"> </w:t>
      </w:r>
      <w:r w:rsidRPr="00EA59C0">
        <w:rPr>
          <w:bCs/>
        </w:rPr>
        <w:t>for</w:t>
      </w:r>
      <w:r w:rsidR="00C026A6" w:rsidRPr="00EA59C0">
        <w:rPr>
          <w:bCs/>
        </w:rPr>
        <w:t xml:space="preserve"> </w:t>
      </w:r>
      <w:r w:rsidRPr="00EA59C0">
        <w:rPr>
          <w:bCs/>
        </w:rPr>
        <w:t>option</w:t>
      </w:r>
      <w:r w:rsidR="00C026A6" w:rsidRPr="00EA59C0">
        <w:rPr>
          <w:bCs/>
        </w:rPr>
        <w:t xml:space="preserve"> </w:t>
      </w:r>
      <w:r w:rsidRPr="00EA59C0">
        <w:rPr>
          <w:bCs/>
        </w:rPr>
        <w:t>3</w:t>
      </w:r>
      <w:r w:rsidR="00C026A6" w:rsidRPr="00EA59C0">
        <w:rPr>
          <w:bCs/>
        </w:rPr>
        <w:t xml:space="preserve"> </w:t>
      </w:r>
      <w:r w:rsidRPr="00EA59C0">
        <w:rPr>
          <w:bCs/>
        </w:rPr>
        <w:t>will</w:t>
      </w:r>
      <w:r w:rsidR="00C026A6" w:rsidRPr="00EA59C0">
        <w:rPr>
          <w:bCs/>
        </w:rPr>
        <w:t xml:space="preserve"> </w:t>
      </w:r>
      <w:r w:rsidRPr="00EA59C0">
        <w:rPr>
          <w:bCs/>
        </w:rPr>
        <w:t>demonstrate</w:t>
      </w:r>
      <w:r w:rsidR="00C026A6" w:rsidRPr="00EA59C0">
        <w:rPr>
          <w:bCs/>
        </w:rPr>
        <w:t xml:space="preserve"> </w:t>
      </w:r>
      <w:r w:rsidRPr="00EA59C0">
        <w:rPr>
          <w:bCs/>
        </w:rPr>
        <w:t>the</w:t>
      </w:r>
      <w:r w:rsidR="00C026A6" w:rsidRPr="00EA59C0">
        <w:rPr>
          <w:bCs/>
        </w:rPr>
        <w:t xml:space="preserve"> </w:t>
      </w:r>
      <w:r w:rsidRPr="00EA59C0">
        <w:rPr>
          <w:bCs/>
        </w:rPr>
        <w:t>following:</w:t>
      </w:r>
      <w:r w:rsidR="00C026A6" w:rsidRPr="00EA59C0">
        <w:rPr>
          <w:bCs/>
        </w:rPr>
        <w:t xml:space="preserve"> </w:t>
      </w:r>
    </w:p>
    <w:p w:rsidR="00F6499F" w:rsidRPr="00EA59C0" w:rsidRDefault="00F6499F" w:rsidP="00F6499F">
      <w:pPr>
        <w:rPr>
          <w:bCs/>
        </w:rPr>
      </w:pPr>
    </w:p>
    <w:p w:rsidR="00F6499F" w:rsidRPr="00EA59C0" w:rsidRDefault="003410C3" w:rsidP="00F6499F">
      <w:pPr>
        <w:pStyle w:val="ListParagraph"/>
        <w:numPr>
          <w:ilvl w:val="0"/>
          <w:numId w:val="20"/>
        </w:numPr>
        <w:rPr>
          <w:bCs/>
        </w:rPr>
      </w:pPr>
      <w:r w:rsidRPr="00EA59C0">
        <w:rPr>
          <w:bCs/>
        </w:rPr>
        <w:t>C</w:t>
      </w:r>
      <w:r w:rsidR="00F6499F" w:rsidRPr="00EA59C0">
        <w:rPr>
          <w:bCs/>
        </w:rPr>
        <w:t>ommitment</w:t>
      </w:r>
      <w:r w:rsidR="00C026A6" w:rsidRPr="00EA59C0">
        <w:rPr>
          <w:bCs/>
        </w:rPr>
        <w:t xml:space="preserve"> </w:t>
      </w:r>
      <w:r w:rsidR="00F6499F" w:rsidRPr="00EA59C0">
        <w:rPr>
          <w:bCs/>
        </w:rPr>
        <w:t>of</w:t>
      </w:r>
      <w:r w:rsidR="00C026A6" w:rsidRPr="00EA59C0">
        <w:rPr>
          <w:bCs/>
        </w:rPr>
        <w:t xml:space="preserve"> </w:t>
      </w:r>
      <w:r w:rsidR="00353726" w:rsidRPr="00EA59C0">
        <w:rPr>
          <w:bCs/>
        </w:rPr>
        <w:t>a</w:t>
      </w:r>
      <w:r w:rsidR="00C026A6" w:rsidRPr="00EA59C0">
        <w:rPr>
          <w:bCs/>
        </w:rPr>
        <w:t xml:space="preserve"> </w:t>
      </w:r>
      <w:r w:rsidR="00F6499F" w:rsidRPr="00EA59C0">
        <w:rPr>
          <w:bCs/>
        </w:rPr>
        <w:t>national</w:t>
      </w:r>
      <w:r w:rsidR="00C026A6" w:rsidRPr="00EA59C0">
        <w:rPr>
          <w:bCs/>
        </w:rPr>
        <w:t xml:space="preserve"> </w:t>
      </w:r>
      <w:r w:rsidR="004B7662" w:rsidRPr="00EA59C0">
        <w:rPr>
          <w:bCs/>
        </w:rPr>
        <w:t>industry</w:t>
      </w:r>
      <w:r w:rsidR="00C026A6" w:rsidRPr="00EA59C0">
        <w:rPr>
          <w:bCs/>
        </w:rPr>
        <w:t xml:space="preserve"> </w:t>
      </w:r>
      <w:r w:rsidR="004B7662" w:rsidRPr="00EA59C0">
        <w:rPr>
          <w:bCs/>
        </w:rPr>
        <w:t>or</w:t>
      </w:r>
      <w:r w:rsidR="00C026A6" w:rsidRPr="00EA59C0">
        <w:rPr>
          <w:bCs/>
        </w:rPr>
        <w:t xml:space="preserve"> </w:t>
      </w:r>
      <w:r w:rsidR="004B7662" w:rsidRPr="00EA59C0">
        <w:rPr>
          <w:bCs/>
        </w:rPr>
        <w:t>employer</w:t>
      </w:r>
      <w:r w:rsidR="00C026A6" w:rsidRPr="00EA59C0">
        <w:rPr>
          <w:bCs/>
        </w:rPr>
        <w:t xml:space="preserve"> </w:t>
      </w:r>
      <w:r w:rsidR="004B7662" w:rsidRPr="00EA59C0">
        <w:rPr>
          <w:bCs/>
        </w:rPr>
        <w:t>association</w:t>
      </w:r>
      <w:r w:rsidR="00C026A6" w:rsidRPr="00EA59C0">
        <w:rPr>
          <w:bCs/>
        </w:rPr>
        <w:t xml:space="preserve"> </w:t>
      </w:r>
      <w:r w:rsidR="00353726" w:rsidRPr="00EA59C0">
        <w:rPr>
          <w:bCs/>
        </w:rPr>
        <w:t xml:space="preserve">or other national partner(s) </w:t>
      </w:r>
      <w:r w:rsidR="00F6499F" w:rsidRPr="00EA59C0">
        <w:rPr>
          <w:bCs/>
        </w:rPr>
        <w:t>to</w:t>
      </w:r>
      <w:r w:rsidR="00C026A6" w:rsidRPr="00EA59C0">
        <w:rPr>
          <w:bCs/>
        </w:rPr>
        <w:t xml:space="preserve"> </w:t>
      </w:r>
      <w:r w:rsidR="00F6499F" w:rsidRPr="00EA59C0">
        <w:rPr>
          <w:bCs/>
        </w:rPr>
        <w:t>the</w:t>
      </w:r>
      <w:r w:rsidR="00C026A6" w:rsidRPr="00EA59C0">
        <w:rPr>
          <w:bCs/>
        </w:rPr>
        <w:t xml:space="preserve"> </w:t>
      </w:r>
      <w:r w:rsidR="00F6499F" w:rsidRPr="00EA59C0">
        <w:rPr>
          <w:bCs/>
        </w:rPr>
        <w:t>successful</w:t>
      </w:r>
      <w:r w:rsidR="00C026A6" w:rsidRPr="00EA59C0">
        <w:rPr>
          <w:bCs/>
        </w:rPr>
        <w:t xml:space="preserve"> </w:t>
      </w:r>
      <w:r w:rsidR="00F6499F" w:rsidRPr="00EA59C0">
        <w:rPr>
          <w:bCs/>
        </w:rPr>
        <w:t>implementation</w:t>
      </w:r>
      <w:r w:rsidR="00C026A6" w:rsidRPr="00EA59C0">
        <w:rPr>
          <w:bCs/>
        </w:rPr>
        <w:t xml:space="preserve"> </w:t>
      </w:r>
      <w:r w:rsidR="00F6499F" w:rsidRPr="00EA59C0">
        <w:rPr>
          <w:bCs/>
        </w:rPr>
        <w:t>of</w:t>
      </w:r>
      <w:r w:rsidR="00C026A6" w:rsidRPr="00EA59C0">
        <w:rPr>
          <w:bCs/>
        </w:rPr>
        <w:t xml:space="preserve"> </w:t>
      </w:r>
      <w:r w:rsidR="00F6499F" w:rsidRPr="00EA59C0">
        <w:rPr>
          <w:bCs/>
        </w:rPr>
        <w:t>the</w:t>
      </w:r>
      <w:r w:rsidR="00C026A6" w:rsidRPr="00EA59C0">
        <w:rPr>
          <w:bCs/>
        </w:rPr>
        <w:t xml:space="preserve"> </w:t>
      </w:r>
      <w:r w:rsidR="00F6499F" w:rsidRPr="00EA59C0">
        <w:rPr>
          <w:bCs/>
        </w:rPr>
        <w:t>proposed</w:t>
      </w:r>
      <w:r w:rsidR="00C026A6" w:rsidRPr="00EA59C0">
        <w:rPr>
          <w:bCs/>
        </w:rPr>
        <w:t xml:space="preserve"> </w:t>
      </w:r>
      <w:r w:rsidR="00F6499F" w:rsidRPr="00EA59C0">
        <w:rPr>
          <w:bCs/>
        </w:rPr>
        <w:t>competencies</w:t>
      </w:r>
      <w:r w:rsidR="00C026A6" w:rsidRPr="00EA59C0">
        <w:rPr>
          <w:bCs/>
        </w:rPr>
        <w:t xml:space="preserve"> </w:t>
      </w:r>
      <w:r w:rsidR="00F6499F" w:rsidRPr="00EA59C0">
        <w:rPr>
          <w:bCs/>
        </w:rPr>
        <w:t>and</w:t>
      </w:r>
      <w:r w:rsidR="00C026A6" w:rsidRPr="00EA59C0">
        <w:rPr>
          <w:bCs/>
        </w:rPr>
        <w:t xml:space="preserve"> </w:t>
      </w:r>
      <w:r w:rsidR="00F6499F" w:rsidRPr="00EA59C0">
        <w:rPr>
          <w:bCs/>
        </w:rPr>
        <w:t>credentials,</w:t>
      </w:r>
      <w:r w:rsidR="00C026A6" w:rsidRPr="00EA59C0">
        <w:rPr>
          <w:bCs/>
        </w:rPr>
        <w:t xml:space="preserve"> </w:t>
      </w:r>
      <w:r w:rsidR="00F6499F" w:rsidRPr="00EA59C0">
        <w:rPr>
          <w:bCs/>
        </w:rPr>
        <w:t>as</w:t>
      </w:r>
      <w:r w:rsidR="00C026A6" w:rsidRPr="00EA59C0">
        <w:rPr>
          <w:bCs/>
        </w:rPr>
        <w:t xml:space="preserve"> </w:t>
      </w:r>
      <w:r w:rsidR="00F6499F" w:rsidRPr="00EA59C0">
        <w:rPr>
          <w:bCs/>
        </w:rPr>
        <w:t>well</w:t>
      </w:r>
      <w:r w:rsidR="00C026A6" w:rsidRPr="00EA59C0">
        <w:rPr>
          <w:bCs/>
        </w:rPr>
        <w:t xml:space="preserve"> </w:t>
      </w:r>
      <w:r w:rsidR="00F6499F" w:rsidRPr="00EA59C0">
        <w:rPr>
          <w:bCs/>
        </w:rPr>
        <w:t>as</w:t>
      </w:r>
      <w:r w:rsidR="00C026A6" w:rsidRPr="00EA59C0">
        <w:rPr>
          <w:bCs/>
        </w:rPr>
        <w:t xml:space="preserve"> </w:t>
      </w:r>
      <w:r w:rsidR="00F6499F" w:rsidRPr="00EA59C0">
        <w:rPr>
          <w:bCs/>
        </w:rPr>
        <w:t>to</w:t>
      </w:r>
      <w:r w:rsidR="00C026A6" w:rsidRPr="00EA59C0">
        <w:rPr>
          <w:bCs/>
        </w:rPr>
        <w:t xml:space="preserve"> </w:t>
      </w:r>
      <w:r w:rsidR="00F6499F" w:rsidRPr="00EA59C0">
        <w:rPr>
          <w:bCs/>
        </w:rPr>
        <w:t>helping</w:t>
      </w:r>
      <w:r w:rsidR="00C026A6" w:rsidRPr="00EA59C0">
        <w:rPr>
          <w:bCs/>
        </w:rPr>
        <w:t xml:space="preserve"> </w:t>
      </w:r>
      <w:r w:rsidR="00F6499F" w:rsidRPr="00EA59C0">
        <w:rPr>
          <w:bCs/>
        </w:rPr>
        <w:t>implement</w:t>
      </w:r>
      <w:r w:rsidR="00C026A6" w:rsidRPr="00EA59C0">
        <w:rPr>
          <w:bCs/>
        </w:rPr>
        <w:t xml:space="preserve"> </w:t>
      </w:r>
      <w:r w:rsidR="00F6499F" w:rsidRPr="00EA59C0">
        <w:rPr>
          <w:bCs/>
        </w:rPr>
        <w:t>the</w:t>
      </w:r>
      <w:r w:rsidR="00C026A6" w:rsidRPr="00EA59C0">
        <w:rPr>
          <w:bCs/>
        </w:rPr>
        <w:t xml:space="preserve"> </w:t>
      </w:r>
      <w:r w:rsidR="00F6499F" w:rsidRPr="00EA59C0">
        <w:rPr>
          <w:bCs/>
        </w:rPr>
        <w:t>program</w:t>
      </w:r>
      <w:r w:rsidR="00C026A6" w:rsidRPr="00EA59C0">
        <w:rPr>
          <w:bCs/>
        </w:rPr>
        <w:t xml:space="preserve"> </w:t>
      </w:r>
      <w:r w:rsidR="00F6499F" w:rsidRPr="00EA59C0">
        <w:rPr>
          <w:bCs/>
        </w:rPr>
        <w:t>at</w:t>
      </w:r>
      <w:r w:rsidR="00C026A6" w:rsidRPr="00EA59C0">
        <w:rPr>
          <w:bCs/>
        </w:rPr>
        <w:t xml:space="preserve"> </w:t>
      </w:r>
      <w:r w:rsidR="00F6499F" w:rsidRPr="00EA59C0">
        <w:rPr>
          <w:bCs/>
        </w:rPr>
        <w:t>other</w:t>
      </w:r>
      <w:r w:rsidR="00C026A6" w:rsidRPr="00EA59C0">
        <w:rPr>
          <w:bCs/>
        </w:rPr>
        <w:t xml:space="preserve"> </w:t>
      </w:r>
      <w:r w:rsidR="00F6499F" w:rsidRPr="00EA59C0">
        <w:rPr>
          <w:bCs/>
        </w:rPr>
        <w:t>coll</w:t>
      </w:r>
      <w:r w:rsidR="001D3827" w:rsidRPr="00EA59C0">
        <w:rPr>
          <w:bCs/>
        </w:rPr>
        <w:t>eges,</w:t>
      </w:r>
      <w:r w:rsidR="00C026A6" w:rsidRPr="00EA59C0">
        <w:rPr>
          <w:bCs/>
        </w:rPr>
        <w:t xml:space="preserve"> </w:t>
      </w:r>
      <w:r w:rsidR="001D3827" w:rsidRPr="00EA59C0">
        <w:rPr>
          <w:bCs/>
        </w:rPr>
        <w:t>and</w:t>
      </w:r>
      <w:r w:rsidR="00C026A6" w:rsidRPr="00EA59C0">
        <w:rPr>
          <w:bCs/>
        </w:rPr>
        <w:t xml:space="preserve"> </w:t>
      </w:r>
      <w:r w:rsidR="001D3827" w:rsidRPr="00EA59C0">
        <w:rPr>
          <w:bCs/>
        </w:rPr>
        <w:t>disseminating</w:t>
      </w:r>
      <w:r w:rsidR="00C026A6" w:rsidRPr="00EA59C0">
        <w:rPr>
          <w:bCs/>
        </w:rPr>
        <w:t xml:space="preserve"> </w:t>
      </w:r>
      <w:r w:rsidR="001D3827" w:rsidRPr="00EA59C0">
        <w:rPr>
          <w:bCs/>
        </w:rPr>
        <w:t>information</w:t>
      </w:r>
      <w:r w:rsidR="00C026A6" w:rsidRPr="00EA59C0">
        <w:rPr>
          <w:bCs/>
        </w:rPr>
        <w:t xml:space="preserve"> </w:t>
      </w:r>
      <w:r w:rsidR="001D3827" w:rsidRPr="00EA59C0">
        <w:rPr>
          <w:bCs/>
        </w:rPr>
        <w:t>about</w:t>
      </w:r>
      <w:r w:rsidR="00C026A6" w:rsidRPr="00EA59C0">
        <w:rPr>
          <w:bCs/>
        </w:rPr>
        <w:t xml:space="preserve"> </w:t>
      </w:r>
      <w:r w:rsidR="001D3827" w:rsidRPr="00EA59C0">
        <w:rPr>
          <w:bCs/>
        </w:rPr>
        <w:t>the</w:t>
      </w:r>
      <w:r w:rsidR="00C026A6" w:rsidRPr="00EA59C0">
        <w:rPr>
          <w:bCs/>
        </w:rPr>
        <w:t xml:space="preserve"> </w:t>
      </w:r>
      <w:r w:rsidR="001D3827" w:rsidRPr="00EA59C0">
        <w:rPr>
          <w:bCs/>
        </w:rPr>
        <w:t>new</w:t>
      </w:r>
      <w:r w:rsidR="00C026A6" w:rsidRPr="00EA59C0">
        <w:rPr>
          <w:bCs/>
        </w:rPr>
        <w:t xml:space="preserve"> </w:t>
      </w:r>
      <w:r w:rsidR="001D3827" w:rsidRPr="00EA59C0">
        <w:rPr>
          <w:bCs/>
        </w:rPr>
        <w:t>or</w:t>
      </w:r>
      <w:r w:rsidR="00C026A6" w:rsidRPr="00EA59C0">
        <w:rPr>
          <w:bCs/>
        </w:rPr>
        <w:t xml:space="preserve"> </w:t>
      </w:r>
      <w:r w:rsidR="001D3827" w:rsidRPr="00EA59C0">
        <w:rPr>
          <w:bCs/>
        </w:rPr>
        <w:t>enhanced</w:t>
      </w:r>
      <w:r w:rsidR="00C026A6" w:rsidRPr="00EA59C0">
        <w:rPr>
          <w:bCs/>
        </w:rPr>
        <w:t xml:space="preserve"> </w:t>
      </w:r>
      <w:r w:rsidR="001D3827" w:rsidRPr="00EA59C0">
        <w:rPr>
          <w:bCs/>
        </w:rPr>
        <w:t>program</w:t>
      </w:r>
      <w:r w:rsidR="00C026A6" w:rsidRPr="00EA59C0">
        <w:rPr>
          <w:bCs/>
        </w:rPr>
        <w:t xml:space="preserve"> </w:t>
      </w:r>
      <w:r w:rsidR="001D3827" w:rsidRPr="00EA59C0">
        <w:rPr>
          <w:bCs/>
        </w:rPr>
        <w:t>nationally</w:t>
      </w:r>
      <w:r w:rsidR="00F6499F" w:rsidRPr="00EA59C0">
        <w:rPr>
          <w:bCs/>
        </w:rPr>
        <w:t>.</w:t>
      </w:r>
      <w:r w:rsidR="00C026A6" w:rsidRPr="00EA59C0">
        <w:rPr>
          <w:bCs/>
        </w:rPr>
        <w:t xml:space="preserve">  </w:t>
      </w:r>
      <w:r w:rsidR="00F6499F" w:rsidRPr="00EA59C0">
        <w:rPr>
          <w:bCs/>
        </w:rPr>
        <w:t>Applicants</w:t>
      </w:r>
      <w:r w:rsidR="00C026A6" w:rsidRPr="00EA59C0">
        <w:rPr>
          <w:bCs/>
        </w:rPr>
        <w:t xml:space="preserve"> </w:t>
      </w:r>
      <w:r w:rsidR="00F6499F" w:rsidRPr="00EA59C0">
        <w:rPr>
          <w:bCs/>
        </w:rPr>
        <w:t>will</w:t>
      </w:r>
      <w:r w:rsidR="00C026A6" w:rsidRPr="00EA59C0">
        <w:rPr>
          <w:bCs/>
        </w:rPr>
        <w:t xml:space="preserve"> </w:t>
      </w:r>
      <w:r w:rsidR="00F6499F" w:rsidRPr="00EA59C0">
        <w:rPr>
          <w:bCs/>
        </w:rPr>
        <w:t>include</w:t>
      </w:r>
      <w:r w:rsidR="00C026A6" w:rsidRPr="00EA59C0">
        <w:rPr>
          <w:bCs/>
        </w:rPr>
        <w:t xml:space="preserve"> </w:t>
      </w:r>
      <w:r w:rsidR="00F6499F" w:rsidRPr="00EA59C0">
        <w:rPr>
          <w:bCs/>
        </w:rPr>
        <w:t>a</w:t>
      </w:r>
      <w:r w:rsidR="00C026A6" w:rsidRPr="00EA59C0">
        <w:rPr>
          <w:bCs/>
        </w:rPr>
        <w:t xml:space="preserve"> </w:t>
      </w:r>
      <w:r w:rsidR="00F6499F" w:rsidRPr="00EA59C0">
        <w:rPr>
          <w:bCs/>
        </w:rPr>
        <w:t>letter</w:t>
      </w:r>
      <w:r w:rsidR="00C026A6" w:rsidRPr="00EA59C0">
        <w:rPr>
          <w:bCs/>
        </w:rPr>
        <w:t xml:space="preserve"> </w:t>
      </w:r>
      <w:r w:rsidR="00F6499F" w:rsidRPr="00EA59C0">
        <w:rPr>
          <w:bCs/>
        </w:rPr>
        <w:t>from</w:t>
      </w:r>
      <w:r w:rsidR="00C026A6" w:rsidRPr="00EA59C0">
        <w:rPr>
          <w:bCs/>
        </w:rPr>
        <w:t xml:space="preserve"> </w:t>
      </w:r>
      <w:r w:rsidR="00F6499F" w:rsidRPr="00EA59C0">
        <w:rPr>
          <w:bCs/>
        </w:rPr>
        <w:t>the</w:t>
      </w:r>
      <w:r w:rsidR="00C026A6" w:rsidRPr="00EA59C0">
        <w:rPr>
          <w:bCs/>
        </w:rPr>
        <w:t xml:space="preserve"> </w:t>
      </w:r>
      <w:r w:rsidR="00F6499F" w:rsidRPr="00EA59C0">
        <w:rPr>
          <w:bCs/>
        </w:rPr>
        <w:t>national</w:t>
      </w:r>
      <w:r w:rsidR="00C026A6" w:rsidRPr="00EA59C0">
        <w:rPr>
          <w:bCs/>
        </w:rPr>
        <w:t xml:space="preserve"> </w:t>
      </w:r>
      <w:r w:rsidR="00F6499F" w:rsidRPr="00EA59C0">
        <w:rPr>
          <w:bCs/>
        </w:rPr>
        <w:t>partner</w:t>
      </w:r>
      <w:r w:rsidR="00C026A6" w:rsidRPr="00EA59C0">
        <w:rPr>
          <w:bCs/>
        </w:rPr>
        <w:t xml:space="preserve"> </w:t>
      </w:r>
      <w:r w:rsidR="00F6499F" w:rsidRPr="00EA59C0">
        <w:rPr>
          <w:bCs/>
        </w:rPr>
        <w:t>that</w:t>
      </w:r>
      <w:r w:rsidR="00C026A6" w:rsidRPr="00EA59C0">
        <w:rPr>
          <w:bCs/>
        </w:rPr>
        <w:t xml:space="preserve"> </w:t>
      </w:r>
      <w:r w:rsidR="00F6499F" w:rsidRPr="00EA59C0">
        <w:rPr>
          <w:bCs/>
        </w:rPr>
        <w:t>defines</w:t>
      </w:r>
      <w:r w:rsidR="00C026A6" w:rsidRPr="00EA59C0">
        <w:rPr>
          <w:bCs/>
        </w:rPr>
        <w:t xml:space="preserve"> </w:t>
      </w:r>
      <w:r w:rsidR="004B7662" w:rsidRPr="00EA59C0">
        <w:rPr>
          <w:bCs/>
        </w:rPr>
        <w:t>its</w:t>
      </w:r>
      <w:r w:rsidR="00C026A6" w:rsidRPr="00EA59C0">
        <w:rPr>
          <w:bCs/>
        </w:rPr>
        <w:t xml:space="preserve"> </w:t>
      </w:r>
      <w:r w:rsidR="00F6499F" w:rsidRPr="00EA59C0">
        <w:rPr>
          <w:bCs/>
        </w:rPr>
        <w:t>role</w:t>
      </w:r>
      <w:r w:rsidR="00C026A6" w:rsidRPr="00EA59C0">
        <w:rPr>
          <w:bCs/>
        </w:rPr>
        <w:t xml:space="preserve"> </w:t>
      </w:r>
      <w:r w:rsidR="00F6499F" w:rsidRPr="00EA59C0">
        <w:rPr>
          <w:bCs/>
        </w:rPr>
        <w:t>and</w:t>
      </w:r>
      <w:r w:rsidR="00C026A6" w:rsidRPr="00EA59C0">
        <w:rPr>
          <w:bCs/>
        </w:rPr>
        <w:t xml:space="preserve"> </w:t>
      </w:r>
      <w:r w:rsidR="00F6499F" w:rsidRPr="00EA59C0">
        <w:rPr>
          <w:bCs/>
        </w:rPr>
        <w:t>provides</w:t>
      </w:r>
      <w:r w:rsidR="00C026A6" w:rsidRPr="00EA59C0">
        <w:rPr>
          <w:bCs/>
        </w:rPr>
        <w:t xml:space="preserve"> </w:t>
      </w:r>
      <w:r w:rsidR="00F6499F" w:rsidRPr="00EA59C0">
        <w:rPr>
          <w:bCs/>
        </w:rPr>
        <w:t>evidence</w:t>
      </w:r>
      <w:r w:rsidR="00C026A6" w:rsidRPr="00EA59C0">
        <w:rPr>
          <w:bCs/>
        </w:rPr>
        <w:t xml:space="preserve"> </w:t>
      </w:r>
      <w:r w:rsidR="00F6499F" w:rsidRPr="00EA59C0">
        <w:rPr>
          <w:bCs/>
        </w:rPr>
        <w:t>of</w:t>
      </w:r>
      <w:r w:rsidR="00C026A6" w:rsidRPr="00EA59C0">
        <w:rPr>
          <w:bCs/>
        </w:rPr>
        <w:t xml:space="preserve"> </w:t>
      </w:r>
      <w:r w:rsidR="004B7662" w:rsidRPr="00EA59C0">
        <w:rPr>
          <w:bCs/>
        </w:rPr>
        <w:t>its</w:t>
      </w:r>
      <w:r w:rsidR="00C026A6" w:rsidRPr="00EA59C0">
        <w:rPr>
          <w:bCs/>
        </w:rPr>
        <w:t xml:space="preserve"> </w:t>
      </w:r>
      <w:r w:rsidR="00F6499F" w:rsidRPr="00EA59C0">
        <w:rPr>
          <w:bCs/>
        </w:rPr>
        <w:t>commitment.</w:t>
      </w:r>
    </w:p>
    <w:p w:rsidR="00F6499F" w:rsidRPr="00EA59C0" w:rsidRDefault="003410C3" w:rsidP="00F6499F">
      <w:pPr>
        <w:pStyle w:val="ListParagraph"/>
        <w:numPr>
          <w:ilvl w:val="0"/>
          <w:numId w:val="20"/>
        </w:numPr>
        <w:rPr>
          <w:bCs/>
        </w:rPr>
      </w:pPr>
      <w:r w:rsidRPr="00EA59C0">
        <w:rPr>
          <w:bCs/>
        </w:rPr>
        <w:t>Evidence</w:t>
      </w:r>
      <w:r w:rsidR="00C026A6" w:rsidRPr="00EA59C0">
        <w:rPr>
          <w:bCs/>
        </w:rPr>
        <w:t xml:space="preserve"> </w:t>
      </w:r>
      <w:r w:rsidR="00F6499F" w:rsidRPr="00EA59C0">
        <w:rPr>
          <w:bCs/>
        </w:rPr>
        <w:t>that</w:t>
      </w:r>
      <w:r w:rsidR="00C026A6" w:rsidRPr="00EA59C0">
        <w:rPr>
          <w:bCs/>
        </w:rPr>
        <w:t xml:space="preserve"> </w:t>
      </w:r>
      <w:r w:rsidR="00F6499F" w:rsidRPr="00EA59C0">
        <w:rPr>
          <w:bCs/>
        </w:rPr>
        <w:t>the</w:t>
      </w:r>
      <w:r w:rsidR="00C026A6" w:rsidRPr="00EA59C0">
        <w:rPr>
          <w:bCs/>
        </w:rPr>
        <w:t xml:space="preserve"> </w:t>
      </w:r>
      <w:r w:rsidR="00F6499F" w:rsidRPr="00EA59C0">
        <w:rPr>
          <w:bCs/>
        </w:rPr>
        <w:t>proposed</w:t>
      </w:r>
      <w:r w:rsidR="00C026A6" w:rsidRPr="00EA59C0">
        <w:rPr>
          <w:bCs/>
        </w:rPr>
        <w:t xml:space="preserve"> </w:t>
      </w:r>
      <w:r w:rsidR="00F6499F" w:rsidRPr="00EA59C0">
        <w:rPr>
          <w:bCs/>
        </w:rPr>
        <w:t>projects</w:t>
      </w:r>
      <w:r w:rsidR="00C026A6" w:rsidRPr="00EA59C0">
        <w:rPr>
          <w:bCs/>
        </w:rPr>
        <w:t xml:space="preserve"> </w:t>
      </w:r>
      <w:r w:rsidR="00F6499F" w:rsidRPr="00EA59C0">
        <w:rPr>
          <w:bCs/>
        </w:rPr>
        <w:t>will</w:t>
      </w:r>
      <w:r w:rsidR="00C026A6" w:rsidRPr="00EA59C0">
        <w:rPr>
          <w:bCs/>
        </w:rPr>
        <w:t xml:space="preserve"> </w:t>
      </w:r>
      <w:r w:rsidR="00F6499F" w:rsidRPr="00EA59C0">
        <w:rPr>
          <w:bCs/>
        </w:rPr>
        <w:t>lead</w:t>
      </w:r>
      <w:r w:rsidR="00C026A6" w:rsidRPr="00EA59C0">
        <w:rPr>
          <w:bCs/>
        </w:rPr>
        <w:t xml:space="preserve"> </w:t>
      </w:r>
      <w:r w:rsidR="00F6499F" w:rsidRPr="00EA59C0">
        <w:rPr>
          <w:bCs/>
        </w:rPr>
        <w:t>to</w:t>
      </w:r>
      <w:r w:rsidR="00C026A6" w:rsidRPr="00EA59C0">
        <w:rPr>
          <w:bCs/>
        </w:rPr>
        <w:t xml:space="preserve"> </w:t>
      </w:r>
      <w:r w:rsidR="00F6499F" w:rsidRPr="00EA59C0">
        <w:rPr>
          <w:bCs/>
        </w:rPr>
        <w:t>sustained</w:t>
      </w:r>
      <w:r w:rsidR="00C026A6" w:rsidRPr="00EA59C0">
        <w:rPr>
          <w:bCs/>
        </w:rPr>
        <w:t xml:space="preserve"> </w:t>
      </w:r>
      <w:r w:rsidR="00F6499F" w:rsidRPr="00EA59C0">
        <w:rPr>
          <w:bCs/>
        </w:rPr>
        <w:t>enhancements</w:t>
      </w:r>
      <w:r w:rsidR="00C026A6" w:rsidRPr="00EA59C0">
        <w:rPr>
          <w:bCs/>
        </w:rPr>
        <w:t xml:space="preserve"> </w:t>
      </w:r>
      <w:r w:rsidR="00F6499F" w:rsidRPr="00EA59C0">
        <w:rPr>
          <w:bCs/>
        </w:rPr>
        <w:t>to</w:t>
      </w:r>
      <w:r w:rsidR="00C026A6" w:rsidRPr="00EA59C0">
        <w:rPr>
          <w:bCs/>
        </w:rPr>
        <w:t xml:space="preserve"> </w:t>
      </w:r>
      <w:r w:rsidR="00F6499F" w:rsidRPr="00EA59C0">
        <w:rPr>
          <w:bCs/>
        </w:rPr>
        <w:t>community</w:t>
      </w:r>
      <w:r w:rsidR="00C026A6" w:rsidRPr="00EA59C0">
        <w:rPr>
          <w:bCs/>
        </w:rPr>
        <w:t xml:space="preserve"> </w:t>
      </w:r>
      <w:r w:rsidR="00F6499F" w:rsidRPr="00EA59C0">
        <w:rPr>
          <w:bCs/>
        </w:rPr>
        <w:t>coll</w:t>
      </w:r>
      <w:r w:rsidR="00B46D72" w:rsidRPr="00EA59C0">
        <w:rPr>
          <w:bCs/>
        </w:rPr>
        <w:t>ege</w:t>
      </w:r>
      <w:r w:rsidR="00C026A6" w:rsidRPr="00EA59C0">
        <w:rPr>
          <w:bCs/>
        </w:rPr>
        <w:t xml:space="preserve"> </w:t>
      </w:r>
      <w:r w:rsidR="00B46D72" w:rsidRPr="00EA59C0">
        <w:rPr>
          <w:bCs/>
        </w:rPr>
        <w:t>programming</w:t>
      </w:r>
      <w:r w:rsidR="00C026A6" w:rsidRPr="00EA59C0">
        <w:rPr>
          <w:bCs/>
        </w:rPr>
        <w:t xml:space="preserve"> </w:t>
      </w:r>
      <w:r w:rsidR="00B46D72" w:rsidRPr="00EA59C0">
        <w:rPr>
          <w:bCs/>
        </w:rPr>
        <w:t>in</w:t>
      </w:r>
      <w:r w:rsidR="00C026A6" w:rsidRPr="00EA59C0">
        <w:rPr>
          <w:bCs/>
        </w:rPr>
        <w:t xml:space="preserve"> </w:t>
      </w:r>
      <w:r w:rsidR="00B46D72" w:rsidRPr="00EA59C0">
        <w:rPr>
          <w:bCs/>
        </w:rPr>
        <w:t>one</w:t>
      </w:r>
      <w:r w:rsidR="00C026A6" w:rsidRPr="00EA59C0">
        <w:rPr>
          <w:bCs/>
        </w:rPr>
        <w:t xml:space="preserve"> </w:t>
      </w:r>
      <w:r w:rsidR="00B46D72" w:rsidRPr="00EA59C0">
        <w:rPr>
          <w:bCs/>
        </w:rPr>
        <w:t>or</w:t>
      </w:r>
      <w:r w:rsidR="00C026A6" w:rsidRPr="00EA59C0">
        <w:rPr>
          <w:bCs/>
        </w:rPr>
        <w:t xml:space="preserve"> </w:t>
      </w:r>
      <w:r w:rsidR="00B46D72" w:rsidRPr="00EA59C0">
        <w:rPr>
          <w:bCs/>
        </w:rPr>
        <w:t>more</w:t>
      </w:r>
      <w:r w:rsidR="00C026A6" w:rsidRPr="00EA59C0">
        <w:rPr>
          <w:bCs/>
        </w:rPr>
        <w:t xml:space="preserve"> </w:t>
      </w:r>
      <w:r w:rsidR="00F6499F" w:rsidRPr="00EA59C0">
        <w:rPr>
          <w:bCs/>
        </w:rPr>
        <w:t>region</w:t>
      </w:r>
      <w:r w:rsidR="00B46D72" w:rsidRPr="00EA59C0">
        <w:rPr>
          <w:bCs/>
        </w:rPr>
        <w:t>s</w:t>
      </w:r>
      <w:r w:rsidR="00F6499F" w:rsidRPr="00EA59C0">
        <w:rPr>
          <w:bCs/>
        </w:rPr>
        <w:t>.</w:t>
      </w:r>
      <w:r w:rsidR="00C026A6" w:rsidRPr="00EA59C0">
        <w:rPr>
          <w:bCs/>
        </w:rPr>
        <w:t xml:space="preserve">  </w:t>
      </w:r>
      <w:r w:rsidR="00F6499F" w:rsidRPr="00EA59C0">
        <w:rPr>
          <w:bCs/>
        </w:rPr>
        <w:t>Applicants</w:t>
      </w:r>
      <w:r w:rsidR="00C026A6" w:rsidRPr="00EA59C0">
        <w:rPr>
          <w:bCs/>
        </w:rPr>
        <w:t xml:space="preserve"> </w:t>
      </w:r>
      <w:r w:rsidR="00F6499F" w:rsidRPr="00EA59C0">
        <w:rPr>
          <w:bCs/>
        </w:rPr>
        <w:t>will</w:t>
      </w:r>
      <w:r w:rsidR="00C026A6" w:rsidRPr="00EA59C0">
        <w:rPr>
          <w:bCs/>
        </w:rPr>
        <w:t xml:space="preserve"> </w:t>
      </w:r>
      <w:r w:rsidR="00F6499F" w:rsidRPr="00EA59C0">
        <w:rPr>
          <w:bCs/>
        </w:rPr>
        <w:t>describe</w:t>
      </w:r>
      <w:r w:rsidR="00C026A6" w:rsidRPr="00EA59C0">
        <w:rPr>
          <w:bCs/>
        </w:rPr>
        <w:t xml:space="preserve"> </w:t>
      </w:r>
      <w:r w:rsidR="00F6499F" w:rsidRPr="00EA59C0">
        <w:rPr>
          <w:bCs/>
        </w:rPr>
        <w:t>how</w:t>
      </w:r>
      <w:r w:rsidR="00C026A6" w:rsidRPr="00EA59C0">
        <w:rPr>
          <w:bCs/>
        </w:rPr>
        <w:t xml:space="preserve"> </w:t>
      </w:r>
      <w:r w:rsidR="00F6499F" w:rsidRPr="00EA59C0">
        <w:rPr>
          <w:bCs/>
        </w:rPr>
        <w:t>all</w:t>
      </w:r>
      <w:r w:rsidR="00C026A6" w:rsidRPr="00EA59C0">
        <w:rPr>
          <w:bCs/>
        </w:rPr>
        <w:t xml:space="preserve"> </w:t>
      </w:r>
      <w:r w:rsidR="00F6499F" w:rsidRPr="00EA59C0">
        <w:rPr>
          <w:bCs/>
        </w:rPr>
        <w:t>consortium</w:t>
      </w:r>
      <w:r w:rsidR="00C026A6" w:rsidRPr="00EA59C0">
        <w:rPr>
          <w:bCs/>
        </w:rPr>
        <w:t xml:space="preserve"> </w:t>
      </w:r>
      <w:r w:rsidR="00F6499F" w:rsidRPr="00EA59C0">
        <w:rPr>
          <w:bCs/>
        </w:rPr>
        <w:t>members</w:t>
      </w:r>
      <w:r w:rsidR="00C026A6" w:rsidRPr="00EA59C0">
        <w:rPr>
          <w:bCs/>
        </w:rPr>
        <w:t xml:space="preserve"> </w:t>
      </w:r>
      <w:r w:rsidR="00B46D72" w:rsidRPr="00EA59C0">
        <w:rPr>
          <w:bCs/>
        </w:rPr>
        <w:t>(if</w:t>
      </w:r>
      <w:r w:rsidR="00C026A6" w:rsidRPr="00EA59C0">
        <w:rPr>
          <w:bCs/>
        </w:rPr>
        <w:t xml:space="preserve"> </w:t>
      </w:r>
      <w:r w:rsidR="00B46D72" w:rsidRPr="00EA59C0">
        <w:rPr>
          <w:bCs/>
        </w:rPr>
        <w:t>applicable)</w:t>
      </w:r>
      <w:r w:rsidR="00C026A6" w:rsidRPr="00EA59C0">
        <w:rPr>
          <w:bCs/>
        </w:rPr>
        <w:t xml:space="preserve"> </w:t>
      </w:r>
      <w:r w:rsidR="00F6499F" w:rsidRPr="00EA59C0">
        <w:rPr>
          <w:bCs/>
        </w:rPr>
        <w:t>and</w:t>
      </w:r>
      <w:r w:rsidR="00C026A6" w:rsidRPr="00EA59C0">
        <w:rPr>
          <w:bCs/>
        </w:rPr>
        <w:t xml:space="preserve"> </w:t>
      </w:r>
      <w:r w:rsidR="00F6499F" w:rsidRPr="00EA59C0">
        <w:rPr>
          <w:bCs/>
        </w:rPr>
        <w:t>participating</w:t>
      </w:r>
      <w:r w:rsidR="00C026A6" w:rsidRPr="00EA59C0">
        <w:rPr>
          <w:bCs/>
        </w:rPr>
        <w:t xml:space="preserve"> </w:t>
      </w:r>
      <w:r w:rsidR="00F6499F" w:rsidRPr="00EA59C0">
        <w:rPr>
          <w:bCs/>
        </w:rPr>
        <w:t>colleges</w:t>
      </w:r>
      <w:r w:rsidR="00C026A6" w:rsidRPr="00EA59C0">
        <w:rPr>
          <w:bCs/>
        </w:rPr>
        <w:t xml:space="preserve"> </w:t>
      </w:r>
      <w:r w:rsidR="00F6499F" w:rsidRPr="00EA59C0">
        <w:rPr>
          <w:bCs/>
        </w:rPr>
        <w:t>that</w:t>
      </w:r>
      <w:r w:rsidR="00C026A6" w:rsidRPr="00EA59C0">
        <w:rPr>
          <w:bCs/>
        </w:rPr>
        <w:t xml:space="preserve"> </w:t>
      </w:r>
      <w:r w:rsidR="00F6499F" w:rsidRPr="00EA59C0">
        <w:rPr>
          <w:bCs/>
        </w:rPr>
        <w:t>are</w:t>
      </w:r>
      <w:r w:rsidR="00C026A6" w:rsidRPr="00EA59C0">
        <w:rPr>
          <w:bCs/>
        </w:rPr>
        <w:t xml:space="preserve"> </w:t>
      </w:r>
      <w:r w:rsidR="00F6499F" w:rsidRPr="00EA59C0">
        <w:rPr>
          <w:bCs/>
        </w:rPr>
        <w:t>not</w:t>
      </w:r>
      <w:r w:rsidR="00C026A6" w:rsidRPr="00EA59C0">
        <w:rPr>
          <w:bCs/>
        </w:rPr>
        <w:t xml:space="preserve"> </w:t>
      </w:r>
      <w:r w:rsidR="00F6499F" w:rsidRPr="00EA59C0">
        <w:rPr>
          <w:bCs/>
        </w:rPr>
        <w:t>receiving</w:t>
      </w:r>
      <w:r w:rsidR="00C026A6" w:rsidRPr="00EA59C0">
        <w:rPr>
          <w:bCs/>
        </w:rPr>
        <w:t xml:space="preserve"> </w:t>
      </w:r>
      <w:r w:rsidR="00F6499F" w:rsidRPr="00EA59C0">
        <w:rPr>
          <w:bCs/>
        </w:rPr>
        <w:t>funding</w:t>
      </w:r>
      <w:r w:rsidR="00C026A6" w:rsidRPr="00EA59C0">
        <w:rPr>
          <w:bCs/>
        </w:rPr>
        <w:t xml:space="preserve"> </w:t>
      </w:r>
      <w:r w:rsidR="00F6499F" w:rsidRPr="00EA59C0">
        <w:rPr>
          <w:bCs/>
        </w:rPr>
        <w:t>will</w:t>
      </w:r>
      <w:r w:rsidR="00C026A6" w:rsidRPr="00EA59C0">
        <w:rPr>
          <w:bCs/>
        </w:rPr>
        <w:t xml:space="preserve"> </w:t>
      </w:r>
      <w:r w:rsidR="00F6499F" w:rsidRPr="00EA59C0">
        <w:rPr>
          <w:bCs/>
        </w:rPr>
        <w:t>implement</w:t>
      </w:r>
      <w:r w:rsidR="00C026A6" w:rsidRPr="00EA59C0">
        <w:rPr>
          <w:bCs/>
        </w:rPr>
        <w:t xml:space="preserve"> </w:t>
      </w:r>
      <w:r w:rsidR="00F6499F" w:rsidRPr="00EA59C0">
        <w:rPr>
          <w:bCs/>
        </w:rPr>
        <w:t>the</w:t>
      </w:r>
      <w:r w:rsidR="00C026A6" w:rsidRPr="00EA59C0">
        <w:rPr>
          <w:bCs/>
        </w:rPr>
        <w:t xml:space="preserve"> </w:t>
      </w:r>
      <w:r w:rsidR="00F6499F" w:rsidRPr="00EA59C0">
        <w:rPr>
          <w:bCs/>
        </w:rPr>
        <w:t>competencies</w:t>
      </w:r>
      <w:r w:rsidR="00C026A6" w:rsidRPr="00EA59C0">
        <w:rPr>
          <w:bCs/>
        </w:rPr>
        <w:t xml:space="preserve"> </w:t>
      </w:r>
      <w:r w:rsidR="00F6499F" w:rsidRPr="00EA59C0">
        <w:rPr>
          <w:bCs/>
        </w:rPr>
        <w:t>and</w:t>
      </w:r>
      <w:r w:rsidR="00C026A6" w:rsidRPr="00EA59C0">
        <w:rPr>
          <w:bCs/>
        </w:rPr>
        <w:t xml:space="preserve"> </w:t>
      </w:r>
      <w:r w:rsidR="00F6499F" w:rsidRPr="00EA59C0">
        <w:rPr>
          <w:bCs/>
        </w:rPr>
        <w:t>credentials</w:t>
      </w:r>
      <w:r w:rsidR="00C026A6" w:rsidRPr="00EA59C0">
        <w:rPr>
          <w:bCs/>
        </w:rPr>
        <w:t xml:space="preserve"> </w:t>
      </w:r>
      <w:r w:rsidR="00F6499F" w:rsidRPr="00EA59C0">
        <w:rPr>
          <w:bCs/>
        </w:rPr>
        <w:t>during</w:t>
      </w:r>
      <w:r w:rsidR="00C026A6" w:rsidRPr="00EA59C0">
        <w:rPr>
          <w:bCs/>
        </w:rPr>
        <w:t xml:space="preserve"> </w:t>
      </w:r>
      <w:r w:rsidR="00F6499F" w:rsidRPr="00EA59C0">
        <w:rPr>
          <w:bCs/>
        </w:rPr>
        <w:t>the</w:t>
      </w:r>
      <w:r w:rsidR="00C026A6" w:rsidRPr="00EA59C0">
        <w:rPr>
          <w:bCs/>
        </w:rPr>
        <w:t xml:space="preserve"> </w:t>
      </w:r>
      <w:r w:rsidR="00F6499F" w:rsidRPr="00EA59C0">
        <w:rPr>
          <w:bCs/>
        </w:rPr>
        <w:t>grant</w:t>
      </w:r>
      <w:r w:rsidR="00C026A6" w:rsidRPr="00EA59C0">
        <w:rPr>
          <w:bCs/>
        </w:rPr>
        <w:t xml:space="preserve"> </w:t>
      </w:r>
      <w:r w:rsidR="00F6499F" w:rsidRPr="00EA59C0">
        <w:rPr>
          <w:bCs/>
        </w:rPr>
        <w:t>period.</w:t>
      </w:r>
      <w:r w:rsidR="00C026A6" w:rsidRPr="00EA59C0">
        <w:rPr>
          <w:bCs/>
        </w:rPr>
        <w:t xml:space="preserve">  </w:t>
      </w:r>
      <w:r w:rsidR="00F6499F" w:rsidRPr="00EA59C0">
        <w:rPr>
          <w:bCs/>
        </w:rPr>
        <w:t>Applicants</w:t>
      </w:r>
      <w:r w:rsidR="00C026A6" w:rsidRPr="00EA59C0">
        <w:rPr>
          <w:bCs/>
        </w:rPr>
        <w:t xml:space="preserve"> </w:t>
      </w:r>
      <w:r w:rsidR="00F6499F" w:rsidRPr="00EA59C0">
        <w:rPr>
          <w:bCs/>
        </w:rPr>
        <w:t>will</w:t>
      </w:r>
      <w:r w:rsidR="00C026A6" w:rsidRPr="00EA59C0">
        <w:rPr>
          <w:bCs/>
        </w:rPr>
        <w:t xml:space="preserve"> </w:t>
      </w:r>
      <w:r w:rsidR="00F6499F" w:rsidRPr="00EA59C0">
        <w:rPr>
          <w:bCs/>
        </w:rPr>
        <w:t>also</w:t>
      </w:r>
      <w:r w:rsidR="00C026A6" w:rsidRPr="00EA59C0">
        <w:rPr>
          <w:bCs/>
        </w:rPr>
        <w:t xml:space="preserve"> </w:t>
      </w:r>
      <w:r w:rsidR="00F6499F" w:rsidRPr="00EA59C0">
        <w:rPr>
          <w:bCs/>
        </w:rPr>
        <w:t>describe</w:t>
      </w:r>
      <w:r w:rsidR="00C026A6" w:rsidRPr="00EA59C0">
        <w:rPr>
          <w:bCs/>
        </w:rPr>
        <w:t xml:space="preserve"> </w:t>
      </w:r>
      <w:r w:rsidR="00F6499F" w:rsidRPr="00EA59C0">
        <w:rPr>
          <w:bCs/>
        </w:rPr>
        <w:t>how</w:t>
      </w:r>
      <w:r w:rsidR="00C026A6" w:rsidRPr="00EA59C0">
        <w:rPr>
          <w:bCs/>
        </w:rPr>
        <w:t xml:space="preserve"> </w:t>
      </w:r>
      <w:r w:rsidR="00B46D72" w:rsidRPr="00EA59C0">
        <w:rPr>
          <w:bCs/>
        </w:rPr>
        <w:t>colleges</w:t>
      </w:r>
      <w:r w:rsidR="00C026A6" w:rsidRPr="00EA59C0">
        <w:rPr>
          <w:bCs/>
        </w:rPr>
        <w:t xml:space="preserve"> </w:t>
      </w:r>
      <w:r w:rsidR="00B46D72" w:rsidRPr="00EA59C0">
        <w:rPr>
          <w:bCs/>
        </w:rPr>
        <w:t>will</w:t>
      </w:r>
      <w:r w:rsidR="00C026A6" w:rsidRPr="00EA59C0">
        <w:rPr>
          <w:bCs/>
        </w:rPr>
        <w:t xml:space="preserve"> </w:t>
      </w:r>
      <w:r w:rsidR="00F6499F" w:rsidRPr="00EA59C0">
        <w:rPr>
          <w:bCs/>
        </w:rPr>
        <w:t>institutionalize</w:t>
      </w:r>
      <w:r w:rsidR="00C026A6" w:rsidRPr="00EA59C0">
        <w:rPr>
          <w:bCs/>
        </w:rPr>
        <w:t xml:space="preserve"> </w:t>
      </w:r>
      <w:r w:rsidR="00F6499F" w:rsidRPr="00EA59C0">
        <w:rPr>
          <w:bCs/>
        </w:rPr>
        <w:t>these</w:t>
      </w:r>
      <w:r w:rsidR="00C026A6" w:rsidRPr="00EA59C0">
        <w:rPr>
          <w:bCs/>
        </w:rPr>
        <w:t xml:space="preserve"> </w:t>
      </w:r>
      <w:r w:rsidR="00F6499F" w:rsidRPr="00EA59C0">
        <w:rPr>
          <w:bCs/>
        </w:rPr>
        <w:t>activities</w:t>
      </w:r>
      <w:r w:rsidR="00C026A6" w:rsidRPr="00EA59C0">
        <w:rPr>
          <w:bCs/>
        </w:rPr>
        <w:t xml:space="preserve"> </w:t>
      </w:r>
      <w:r w:rsidR="00F6499F" w:rsidRPr="00EA59C0">
        <w:rPr>
          <w:bCs/>
        </w:rPr>
        <w:t>into</w:t>
      </w:r>
      <w:r w:rsidR="00C026A6" w:rsidRPr="00EA59C0">
        <w:rPr>
          <w:bCs/>
        </w:rPr>
        <w:t xml:space="preserve"> </w:t>
      </w:r>
      <w:r w:rsidR="00F6499F" w:rsidRPr="00EA59C0">
        <w:rPr>
          <w:bCs/>
        </w:rPr>
        <w:t>their</w:t>
      </w:r>
      <w:r w:rsidR="00C026A6" w:rsidRPr="00EA59C0">
        <w:rPr>
          <w:bCs/>
        </w:rPr>
        <w:t xml:space="preserve"> </w:t>
      </w:r>
      <w:r w:rsidR="00F6499F" w:rsidRPr="00EA59C0">
        <w:rPr>
          <w:bCs/>
        </w:rPr>
        <w:t>overall,</w:t>
      </w:r>
      <w:r w:rsidR="00C026A6" w:rsidRPr="00EA59C0">
        <w:rPr>
          <w:bCs/>
        </w:rPr>
        <w:t xml:space="preserve"> </w:t>
      </w:r>
      <w:r w:rsidR="00F6499F" w:rsidRPr="00EA59C0">
        <w:rPr>
          <w:bCs/>
        </w:rPr>
        <w:t>non-grant-funded</w:t>
      </w:r>
      <w:r w:rsidR="00C026A6" w:rsidRPr="00EA59C0">
        <w:rPr>
          <w:bCs/>
        </w:rPr>
        <w:t xml:space="preserve"> </w:t>
      </w:r>
      <w:r w:rsidR="00F6499F" w:rsidRPr="00EA59C0">
        <w:rPr>
          <w:bCs/>
        </w:rPr>
        <w:t>education</w:t>
      </w:r>
      <w:r w:rsidR="00C026A6" w:rsidRPr="00EA59C0">
        <w:rPr>
          <w:bCs/>
        </w:rPr>
        <w:t xml:space="preserve"> </w:t>
      </w:r>
      <w:r w:rsidR="00F6499F" w:rsidRPr="00EA59C0">
        <w:rPr>
          <w:bCs/>
        </w:rPr>
        <w:t>and</w:t>
      </w:r>
      <w:r w:rsidR="00C026A6" w:rsidRPr="00EA59C0">
        <w:rPr>
          <w:bCs/>
        </w:rPr>
        <w:t xml:space="preserve"> </w:t>
      </w:r>
      <w:r w:rsidR="00F6499F" w:rsidRPr="00EA59C0">
        <w:rPr>
          <w:bCs/>
        </w:rPr>
        <w:t>training</w:t>
      </w:r>
      <w:r w:rsidR="00C026A6" w:rsidRPr="00EA59C0">
        <w:rPr>
          <w:bCs/>
        </w:rPr>
        <w:t xml:space="preserve"> </w:t>
      </w:r>
      <w:r w:rsidR="00F6499F" w:rsidRPr="00EA59C0">
        <w:rPr>
          <w:bCs/>
        </w:rPr>
        <w:t>activities</w:t>
      </w:r>
      <w:r w:rsidR="00260876" w:rsidRPr="00EA59C0">
        <w:rPr>
          <w:bCs/>
        </w:rPr>
        <w:t>, enabling them to continue providing similar activities with non-grant resources</w:t>
      </w:r>
      <w:r w:rsidR="00C026A6" w:rsidRPr="00EA59C0">
        <w:rPr>
          <w:bCs/>
        </w:rPr>
        <w:t xml:space="preserve"> </w:t>
      </w:r>
      <w:r w:rsidR="00F6499F" w:rsidRPr="00EA59C0">
        <w:rPr>
          <w:bCs/>
        </w:rPr>
        <w:t>when</w:t>
      </w:r>
      <w:r w:rsidR="00C026A6" w:rsidRPr="00EA59C0">
        <w:rPr>
          <w:bCs/>
        </w:rPr>
        <w:t xml:space="preserve"> </w:t>
      </w:r>
      <w:r w:rsidR="00F6499F" w:rsidRPr="00EA59C0">
        <w:rPr>
          <w:bCs/>
        </w:rPr>
        <w:t>the</w:t>
      </w:r>
      <w:r w:rsidR="00C026A6" w:rsidRPr="00EA59C0">
        <w:rPr>
          <w:bCs/>
        </w:rPr>
        <w:t xml:space="preserve"> </w:t>
      </w:r>
      <w:r w:rsidR="00F6499F" w:rsidRPr="00EA59C0">
        <w:rPr>
          <w:bCs/>
        </w:rPr>
        <w:t>grant</w:t>
      </w:r>
      <w:r w:rsidR="00C026A6" w:rsidRPr="00EA59C0">
        <w:rPr>
          <w:bCs/>
        </w:rPr>
        <w:t xml:space="preserve"> </w:t>
      </w:r>
      <w:r w:rsidR="00F6499F" w:rsidRPr="00EA59C0">
        <w:rPr>
          <w:bCs/>
        </w:rPr>
        <w:t>ends.</w:t>
      </w:r>
      <w:r w:rsidR="00C026A6" w:rsidRPr="00EA59C0">
        <w:rPr>
          <w:bCs/>
        </w:rPr>
        <w:t xml:space="preserve">  </w:t>
      </w:r>
      <w:r w:rsidR="00F6499F" w:rsidRPr="00EA59C0">
        <w:rPr>
          <w:bCs/>
        </w:rPr>
        <w:t>Applicants</w:t>
      </w:r>
      <w:r w:rsidR="00C026A6" w:rsidRPr="00EA59C0">
        <w:rPr>
          <w:bCs/>
        </w:rPr>
        <w:t xml:space="preserve"> </w:t>
      </w:r>
      <w:r w:rsidR="00F6499F" w:rsidRPr="00EA59C0">
        <w:rPr>
          <w:bCs/>
        </w:rPr>
        <w:t>will</w:t>
      </w:r>
      <w:r w:rsidR="00C026A6" w:rsidRPr="00EA59C0">
        <w:rPr>
          <w:bCs/>
        </w:rPr>
        <w:t xml:space="preserve"> </w:t>
      </w:r>
      <w:r w:rsidR="00F6499F" w:rsidRPr="00EA59C0">
        <w:rPr>
          <w:bCs/>
        </w:rPr>
        <w:t>describe</w:t>
      </w:r>
      <w:r w:rsidR="00C026A6" w:rsidRPr="00EA59C0">
        <w:rPr>
          <w:bCs/>
        </w:rPr>
        <w:t xml:space="preserve"> </w:t>
      </w:r>
      <w:r w:rsidR="00F6499F" w:rsidRPr="00EA59C0">
        <w:rPr>
          <w:bCs/>
        </w:rPr>
        <w:t>the</w:t>
      </w:r>
      <w:r w:rsidR="00C026A6" w:rsidRPr="00EA59C0">
        <w:rPr>
          <w:bCs/>
        </w:rPr>
        <w:t xml:space="preserve"> </w:t>
      </w:r>
      <w:r w:rsidR="00F6499F" w:rsidRPr="00EA59C0">
        <w:rPr>
          <w:bCs/>
        </w:rPr>
        <w:t>sustainability</w:t>
      </w:r>
      <w:r w:rsidR="00C026A6" w:rsidRPr="00EA59C0">
        <w:rPr>
          <w:bCs/>
        </w:rPr>
        <w:t xml:space="preserve"> </w:t>
      </w:r>
      <w:r w:rsidR="00F6499F" w:rsidRPr="00EA59C0">
        <w:rPr>
          <w:bCs/>
        </w:rPr>
        <w:t>planning</w:t>
      </w:r>
      <w:r w:rsidR="00C026A6" w:rsidRPr="00EA59C0">
        <w:rPr>
          <w:bCs/>
        </w:rPr>
        <w:t xml:space="preserve"> </w:t>
      </w:r>
      <w:r w:rsidR="00F6499F" w:rsidRPr="00EA59C0">
        <w:rPr>
          <w:bCs/>
        </w:rPr>
        <w:t>that</w:t>
      </w:r>
      <w:r w:rsidR="00C026A6" w:rsidRPr="00EA59C0">
        <w:rPr>
          <w:bCs/>
        </w:rPr>
        <w:t xml:space="preserve"> </w:t>
      </w:r>
      <w:r w:rsidR="00F6499F" w:rsidRPr="00EA59C0">
        <w:rPr>
          <w:bCs/>
        </w:rPr>
        <w:t>participating</w:t>
      </w:r>
      <w:r w:rsidR="00C026A6" w:rsidRPr="00EA59C0">
        <w:rPr>
          <w:bCs/>
        </w:rPr>
        <w:t xml:space="preserve"> </w:t>
      </w:r>
      <w:r w:rsidR="00F6499F" w:rsidRPr="00EA59C0">
        <w:rPr>
          <w:bCs/>
        </w:rPr>
        <w:t>colleges</w:t>
      </w:r>
      <w:r w:rsidR="00C026A6" w:rsidRPr="00EA59C0">
        <w:rPr>
          <w:bCs/>
        </w:rPr>
        <w:t xml:space="preserve"> </w:t>
      </w:r>
      <w:r w:rsidR="00F6499F" w:rsidRPr="00EA59C0">
        <w:rPr>
          <w:bCs/>
        </w:rPr>
        <w:t>will</w:t>
      </w:r>
      <w:r w:rsidR="00C026A6" w:rsidRPr="00EA59C0">
        <w:rPr>
          <w:bCs/>
        </w:rPr>
        <w:t xml:space="preserve"> </w:t>
      </w:r>
      <w:r w:rsidR="00F6499F" w:rsidRPr="00EA59C0">
        <w:rPr>
          <w:bCs/>
        </w:rPr>
        <w:t>complete</w:t>
      </w:r>
      <w:r w:rsidR="00C026A6" w:rsidRPr="00EA59C0">
        <w:rPr>
          <w:bCs/>
        </w:rPr>
        <w:t xml:space="preserve"> </w:t>
      </w:r>
      <w:r w:rsidR="00F6499F" w:rsidRPr="00EA59C0">
        <w:rPr>
          <w:bCs/>
        </w:rPr>
        <w:t>throughout</w:t>
      </w:r>
      <w:r w:rsidR="00C026A6" w:rsidRPr="00EA59C0">
        <w:rPr>
          <w:bCs/>
        </w:rPr>
        <w:t xml:space="preserve"> </w:t>
      </w:r>
      <w:r w:rsidR="00F6499F" w:rsidRPr="00EA59C0">
        <w:rPr>
          <w:bCs/>
        </w:rPr>
        <w:t>the</w:t>
      </w:r>
      <w:r w:rsidR="00C026A6" w:rsidRPr="00EA59C0">
        <w:rPr>
          <w:bCs/>
        </w:rPr>
        <w:t xml:space="preserve"> </w:t>
      </w:r>
      <w:r w:rsidR="00F6499F" w:rsidRPr="00EA59C0">
        <w:rPr>
          <w:bCs/>
        </w:rPr>
        <w:t>grant</w:t>
      </w:r>
      <w:r w:rsidR="00C026A6" w:rsidRPr="00EA59C0">
        <w:rPr>
          <w:bCs/>
        </w:rPr>
        <w:t xml:space="preserve"> </w:t>
      </w:r>
      <w:r w:rsidR="00F6499F" w:rsidRPr="00EA59C0">
        <w:rPr>
          <w:bCs/>
        </w:rPr>
        <w:t>period</w:t>
      </w:r>
      <w:r w:rsidR="00E90F34" w:rsidRPr="00EA59C0">
        <w:rPr>
          <w:bCs/>
        </w:rPr>
        <w:t xml:space="preserve"> to help develop a strategy for the institutionalization of these activities</w:t>
      </w:r>
      <w:r w:rsidR="00F6499F" w:rsidRPr="00EA59C0">
        <w:rPr>
          <w:bCs/>
        </w:rPr>
        <w:t>.</w:t>
      </w:r>
    </w:p>
    <w:p w:rsidR="00F6499F" w:rsidRPr="00EA59C0" w:rsidRDefault="00F6499F" w:rsidP="00D03948">
      <w:pPr>
        <w:ind w:left="1080"/>
      </w:pPr>
    </w:p>
    <w:p w:rsidR="0028055D" w:rsidRPr="00EA59C0" w:rsidRDefault="0028055D" w:rsidP="00D03948">
      <w:pPr>
        <w:ind w:left="1080"/>
      </w:pPr>
      <w:r w:rsidRPr="00EA59C0">
        <w:t>All</w:t>
      </w:r>
      <w:r w:rsidR="00C026A6" w:rsidRPr="00EA59C0">
        <w:t xml:space="preserve"> </w:t>
      </w:r>
      <w:r w:rsidRPr="00EA59C0">
        <w:t>applicants</w:t>
      </w:r>
      <w:r w:rsidR="00C026A6" w:rsidRPr="00EA59C0">
        <w:t xml:space="preserve"> </w:t>
      </w:r>
      <w:r w:rsidRPr="00EA59C0">
        <w:t>wishing</w:t>
      </w:r>
      <w:r w:rsidR="00C026A6" w:rsidRPr="00EA59C0">
        <w:t xml:space="preserve"> </w:t>
      </w:r>
      <w:r w:rsidRPr="00EA59C0">
        <w:t>to</w:t>
      </w:r>
      <w:r w:rsidR="00C026A6" w:rsidRPr="00EA59C0">
        <w:t xml:space="preserve"> </w:t>
      </w:r>
      <w:r w:rsidRPr="00EA59C0">
        <w:t>exceed</w:t>
      </w:r>
      <w:r w:rsidR="00C026A6" w:rsidRPr="00EA59C0">
        <w:t xml:space="preserve"> </w:t>
      </w:r>
      <w:r w:rsidRPr="00EA59C0">
        <w:t>the</w:t>
      </w:r>
      <w:r w:rsidR="00C026A6" w:rsidRPr="00EA59C0">
        <w:t xml:space="preserve"> </w:t>
      </w:r>
      <w:r w:rsidRPr="00EA59C0">
        <w:t>funding</w:t>
      </w:r>
      <w:r w:rsidR="00C026A6" w:rsidRPr="00EA59C0">
        <w:t xml:space="preserve"> </w:t>
      </w:r>
      <w:r w:rsidRPr="00EA59C0">
        <w:t>caps</w:t>
      </w:r>
      <w:r w:rsidR="00C026A6" w:rsidRPr="00EA59C0">
        <w:t xml:space="preserve"> </w:t>
      </w:r>
      <w:r w:rsidRPr="00EA59C0">
        <w:t>must</w:t>
      </w:r>
      <w:r w:rsidR="00C026A6" w:rsidRPr="00EA59C0">
        <w:t xml:space="preserve"> </w:t>
      </w:r>
      <w:r w:rsidRPr="00EA59C0">
        <w:t>have</w:t>
      </w:r>
      <w:r w:rsidR="00C026A6" w:rsidRPr="00EA59C0">
        <w:t xml:space="preserve"> </w:t>
      </w:r>
      <w:r w:rsidRPr="00EA59C0">
        <w:t>a</w:t>
      </w:r>
      <w:r w:rsidR="00C026A6" w:rsidRPr="00EA59C0">
        <w:t xml:space="preserve"> </w:t>
      </w:r>
      <w:r w:rsidRPr="00EA59C0">
        <w:t>detailed</w:t>
      </w:r>
      <w:r w:rsidR="00C026A6" w:rsidRPr="00EA59C0">
        <w:t xml:space="preserve"> </w:t>
      </w:r>
      <w:r w:rsidRPr="00EA59C0">
        <w:t>plan</w:t>
      </w:r>
      <w:r w:rsidR="00C026A6" w:rsidRPr="00EA59C0">
        <w:t xml:space="preserve"> </w:t>
      </w:r>
      <w:r w:rsidRPr="00EA59C0">
        <w:t>and</w:t>
      </w:r>
      <w:r w:rsidR="00C026A6" w:rsidRPr="00EA59C0">
        <w:t xml:space="preserve"> </w:t>
      </w:r>
      <w:r w:rsidRPr="00EA59C0">
        <w:t>a</w:t>
      </w:r>
      <w:r w:rsidR="00C026A6" w:rsidRPr="00EA59C0">
        <w:t xml:space="preserve"> </w:t>
      </w:r>
      <w:r w:rsidRPr="00EA59C0">
        <w:t>well-justified</w:t>
      </w:r>
      <w:r w:rsidR="00C026A6" w:rsidRPr="00EA59C0">
        <w:t xml:space="preserve"> </w:t>
      </w:r>
      <w:r w:rsidRPr="00EA59C0">
        <w:t>budget</w:t>
      </w:r>
      <w:r w:rsidR="00C026A6" w:rsidRPr="00EA59C0">
        <w:t xml:space="preserve"> </w:t>
      </w:r>
      <w:r w:rsidRPr="00EA59C0">
        <w:t>that</w:t>
      </w:r>
      <w:r w:rsidR="00C026A6" w:rsidRPr="00EA59C0">
        <w:t xml:space="preserve"> </w:t>
      </w:r>
      <w:r w:rsidRPr="00EA59C0">
        <w:t>describes</w:t>
      </w:r>
      <w:r w:rsidR="00C026A6" w:rsidRPr="00EA59C0">
        <w:t xml:space="preserve"> </w:t>
      </w:r>
      <w:r w:rsidRPr="00EA59C0">
        <w:t>the</w:t>
      </w:r>
      <w:r w:rsidR="00C026A6" w:rsidRPr="00EA59C0">
        <w:t xml:space="preserve"> </w:t>
      </w:r>
      <w:r w:rsidRPr="00EA59C0">
        <w:t>costs</w:t>
      </w:r>
      <w:r w:rsidR="00C026A6" w:rsidRPr="00EA59C0">
        <w:t xml:space="preserve"> </w:t>
      </w:r>
      <w:r w:rsidRPr="00EA59C0">
        <w:t>of</w:t>
      </w:r>
      <w:r w:rsidR="00C026A6" w:rsidRPr="00EA59C0">
        <w:t xml:space="preserve"> </w:t>
      </w:r>
      <w:r w:rsidRPr="00EA59C0">
        <w:t>implementing</w:t>
      </w:r>
      <w:r w:rsidR="00C026A6" w:rsidRPr="00EA59C0">
        <w:t xml:space="preserve"> </w:t>
      </w:r>
      <w:r w:rsidRPr="00EA59C0">
        <w:t>one</w:t>
      </w:r>
      <w:r w:rsidR="00C026A6" w:rsidRPr="00EA59C0">
        <w:t xml:space="preserve"> </w:t>
      </w:r>
      <w:r w:rsidR="001D4C2B" w:rsidRPr="00EA59C0">
        <w:t>or</w:t>
      </w:r>
      <w:r w:rsidR="00C026A6" w:rsidRPr="00EA59C0">
        <w:t xml:space="preserve"> </w:t>
      </w:r>
      <w:r w:rsidR="001D4C2B" w:rsidRPr="00EA59C0">
        <w:t>more</w:t>
      </w:r>
      <w:r w:rsidR="00C026A6" w:rsidRPr="00EA59C0">
        <w:t xml:space="preserve"> </w:t>
      </w:r>
      <w:r w:rsidRPr="00EA59C0">
        <w:t>of</w:t>
      </w:r>
      <w:r w:rsidR="00C026A6" w:rsidRPr="00EA59C0">
        <w:t xml:space="preserve"> </w:t>
      </w:r>
      <w:r w:rsidRPr="00EA59C0">
        <w:t>the</w:t>
      </w:r>
      <w:r w:rsidR="00C026A6" w:rsidRPr="00EA59C0">
        <w:t xml:space="preserve"> </w:t>
      </w:r>
      <w:r w:rsidRPr="00EA59C0">
        <w:t>strategies</w:t>
      </w:r>
      <w:r w:rsidR="00C026A6" w:rsidRPr="00EA59C0">
        <w:t xml:space="preserve"> </w:t>
      </w:r>
      <w:r w:rsidRPr="00EA59C0">
        <w:t>below.</w:t>
      </w:r>
      <w:r w:rsidR="00C026A6" w:rsidRPr="00EA59C0">
        <w:t xml:space="preserve">  </w:t>
      </w:r>
      <w:r w:rsidRPr="00EA59C0">
        <w:t>The</w:t>
      </w:r>
      <w:r w:rsidR="00C026A6" w:rsidRPr="00EA59C0">
        <w:t xml:space="preserve"> </w:t>
      </w:r>
      <w:r w:rsidRPr="00EA59C0">
        <w:t>budget</w:t>
      </w:r>
      <w:r w:rsidR="00C026A6" w:rsidRPr="00EA59C0">
        <w:t xml:space="preserve"> </w:t>
      </w:r>
      <w:r w:rsidRPr="00EA59C0">
        <w:t>must</w:t>
      </w:r>
      <w:r w:rsidR="00C026A6" w:rsidRPr="00EA59C0">
        <w:t xml:space="preserve"> </w:t>
      </w:r>
      <w:r w:rsidRPr="00EA59C0">
        <w:t>be</w:t>
      </w:r>
      <w:r w:rsidR="00C026A6" w:rsidRPr="00EA59C0">
        <w:t xml:space="preserve"> </w:t>
      </w:r>
      <w:r w:rsidRPr="00EA59C0">
        <w:t>commensurate</w:t>
      </w:r>
      <w:r w:rsidR="00C026A6" w:rsidRPr="00EA59C0">
        <w:t xml:space="preserve"> </w:t>
      </w:r>
      <w:r w:rsidRPr="00EA59C0">
        <w:t>with</w:t>
      </w:r>
      <w:r w:rsidR="00C026A6" w:rsidRPr="00EA59C0">
        <w:t xml:space="preserve"> </w:t>
      </w:r>
      <w:r w:rsidRPr="00EA59C0">
        <w:t>the</w:t>
      </w:r>
      <w:r w:rsidR="00C026A6" w:rsidRPr="00EA59C0">
        <w:t xml:space="preserve"> </w:t>
      </w:r>
      <w:r w:rsidRPr="00EA59C0">
        <w:t>project’s</w:t>
      </w:r>
      <w:r w:rsidR="00C026A6" w:rsidRPr="00EA59C0">
        <w:t xml:space="preserve"> </w:t>
      </w:r>
      <w:r w:rsidRPr="00EA59C0">
        <w:t>scope,</w:t>
      </w:r>
      <w:r w:rsidR="00C026A6" w:rsidRPr="00EA59C0">
        <w:t xml:space="preserve"> </w:t>
      </w:r>
      <w:r w:rsidRPr="00EA59C0">
        <w:t>specific</w:t>
      </w:r>
      <w:r w:rsidR="00C026A6" w:rsidRPr="00EA59C0">
        <w:t xml:space="preserve"> </w:t>
      </w:r>
      <w:r w:rsidRPr="00EA59C0">
        <w:t>activity</w:t>
      </w:r>
      <w:r w:rsidR="00C026A6" w:rsidRPr="00EA59C0">
        <w:t xml:space="preserve"> </w:t>
      </w:r>
      <w:r w:rsidRPr="00EA59C0">
        <w:t>costs,</w:t>
      </w:r>
      <w:r w:rsidR="00C026A6" w:rsidRPr="00EA59C0">
        <w:t xml:space="preserve"> </w:t>
      </w:r>
      <w:r w:rsidRPr="00EA59C0">
        <w:t>and</w:t>
      </w:r>
      <w:r w:rsidR="00C026A6" w:rsidRPr="00EA59C0">
        <w:t xml:space="preserve"> </w:t>
      </w:r>
      <w:r w:rsidRPr="00EA59C0">
        <w:t>the</w:t>
      </w:r>
      <w:r w:rsidR="00C026A6" w:rsidRPr="00EA59C0">
        <w:t xml:space="preserve"> </w:t>
      </w:r>
      <w:r w:rsidRPr="00EA59C0">
        <w:t>likely</w:t>
      </w:r>
      <w:r w:rsidR="00C026A6" w:rsidRPr="00EA59C0">
        <w:t xml:space="preserve"> </w:t>
      </w:r>
      <w:r w:rsidRPr="00EA59C0">
        <w:t>importance</w:t>
      </w:r>
      <w:r w:rsidR="00C026A6" w:rsidRPr="00EA59C0">
        <w:t xml:space="preserve"> </w:t>
      </w:r>
      <w:r w:rsidRPr="00EA59C0">
        <w:t>and</w:t>
      </w:r>
      <w:r w:rsidR="00C026A6" w:rsidRPr="00EA59C0">
        <w:t xml:space="preserve"> </w:t>
      </w:r>
      <w:r w:rsidRPr="00EA59C0">
        <w:t>magnitude</w:t>
      </w:r>
      <w:r w:rsidR="00C026A6" w:rsidRPr="00EA59C0">
        <w:t xml:space="preserve"> </w:t>
      </w:r>
      <w:r w:rsidRPr="00EA59C0">
        <w:t>of</w:t>
      </w:r>
      <w:r w:rsidR="00C026A6" w:rsidRPr="00EA59C0">
        <w:t xml:space="preserve"> </w:t>
      </w:r>
      <w:r w:rsidRPr="00EA59C0">
        <w:t>its</w:t>
      </w:r>
      <w:r w:rsidR="00C026A6" w:rsidRPr="00EA59C0">
        <w:t xml:space="preserve"> </w:t>
      </w:r>
      <w:r w:rsidRPr="00EA59C0">
        <w:t>impact</w:t>
      </w:r>
      <w:r w:rsidR="00C026A6" w:rsidRPr="00EA59C0">
        <w:t xml:space="preserve"> </w:t>
      </w:r>
      <w:r w:rsidRPr="00EA59C0">
        <w:t>on</w:t>
      </w:r>
      <w:r w:rsidR="00C026A6" w:rsidRPr="00EA59C0">
        <w:t xml:space="preserve"> </w:t>
      </w:r>
      <w:r w:rsidRPr="00EA59C0">
        <w:t>student</w:t>
      </w:r>
      <w:r w:rsidR="00C026A6" w:rsidRPr="00EA59C0">
        <w:t xml:space="preserve"> </w:t>
      </w:r>
      <w:r w:rsidRPr="00EA59C0">
        <w:t>outcomes.</w:t>
      </w:r>
      <w:r w:rsidR="00C026A6" w:rsidRPr="00EA59C0">
        <w:t xml:space="preserve">  </w:t>
      </w:r>
    </w:p>
    <w:p w:rsidR="0028055D" w:rsidRPr="00EA59C0" w:rsidRDefault="0028055D" w:rsidP="00D03948">
      <w:pPr>
        <w:ind w:left="720"/>
        <w:rPr>
          <w:bCs/>
        </w:rPr>
      </w:pPr>
    </w:p>
    <w:p w:rsidR="0028055D" w:rsidRPr="00EA59C0" w:rsidRDefault="0028055D" w:rsidP="00D03948">
      <w:pPr>
        <w:pStyle w:val="ListParagraph"/>
        <w:ind w:left="1080"/>
      </w:pPr>
      <w:r w:rsidRPr="00EA59C0">
        <w:t>See</w:t>
      </w:r>
      <w:r w:rsidR="00C026A6" w:rsidRPr="00EA59C0">
        <w:t xml:space="preserve"> </w:t>
      </w:r>
      <w:r w:rsidRPr="00EA59C0">
        <w:t>Section</w:t>
      </w:r>
      <w:r w:rsidR="00C026A6" w:rsidRPr="00EA59C0">
        <w:t xml:space="preserve"> </w:t>
      </w:r>
      <w:r w:rsidR="003074F1" w:rsidRPr="00EA59C0">
        <w:t>V.B</w:t>
      </w:r>
      <w:r w:rsidR="00C026A6" w:rsidRPr="00EA59C0">
        <w:t xml:space="preserve"> </w:t>
      </w:r>
      <w:r w:rsidRPr="00EA59C0">
        <w:t>for</w:t>
      </w:r>
      <w:r w:rsidR="00C026A6" w:rsidRPr="00EA59C0">
        <w:t xml:space="preserve"> </w:t>
      </w:r>
      <w:r w:rsidRPr="00EA59C0">
        <w:t>more</w:t>
      </w:r>
      <w:r w:rsidR="00C026A6" w:rsidRPr="00EA59C0">
        <w:t xml:space="preserve"> </w:t>
      </w:r>
      <w:r w:rsidRPr="00EA59C0">
        <w:t>information</w:t>
      </w:r>
      <w:r w:rsidR="00C026A6" w:rsidRPr="00EA59C0">
        <w:t xml:space="preserve"> </w:t>
      </w:r>
      <w:r w:rsidRPr="00EA59C0">
        <w:t>on</w:t>
      </w:r>
      <w:r w:rsidR="00C026A6" w:rsidRPr="00EA59C0">
        <w:t xml:space="preserve"> </w:t>
      </w:r>
      <w:r w:rsidRPr="00EA59C0">
        <w:t>the</w:t>
      </w:r>
      <w:r w:rsidR="00C026A6" w:rsidRPr="00EA59C0">
        <w:t xml:space="preserve"> </w:t>
      </w:r>
      <w:r w:rsidRPr="00EA59C0">
        <w:t>additional</w:t>
      </w:r>
      <w:r w:rsidR="00C026A6" w:rsidRPr="00EA59C0">
        <w:t xml:space="preserve"> </w:t>
      </w:r>
      <w:r w:rsidRPr="00EA59C0">
        <w:t>requirements</w:t>
      </w:r>
      <w:r w:rsidR="00C026A6" w:rsidRPr="00EA59C0">
        <w:t xml:space="preserve"> </w:t>
      </w:r>
      <w:r w:rsidRPr="00EA59C0">
        <w:t>for</w:t>
      </w:r>
      <w:r w:rsidR="00C026A6" w:rsidRPr="00EA59C0">
        <w:t xml:space="preserve"> </w:t>
      </w:r>
      <w:r w:rsidRPr="00EA59C0">
        <w:t>applicants</w:t>
      </w:r>
      <w:r w:rsidR="00C026A6" w:rsidRPr="00EA59C0">
        <w:t xml:space="preserve"> </w:t>
      </w:r>
      <w:r w:rsidRPr="00EA59C0">
        <w:t>who</w:t>
      </w:r>
      <w:r w:rsidR="00C026A6" w:rsidRPr="00EA59C0">
        <w:t xml:space="preserve"> </w:t>
      </w:r>
      <w:r w:rsidRPr="00EA59C0">
        <w:t>wish</w:t>
      </w:r>
      <w:r w:rsidR="00C026A6" w:rsidRPr="00EA59C0">
        <w:t xml:space="preserve"> </w:t>
      </w:r>
      <w:r w:rsidRPr="00EA59C0">
        <w:t>to</w:t>
      </w:r>
      <w:r w:rsidR="00C026A6" w:rsidRPr="00EA59C0">
        <w:t xml:space="preserve"> </w:t>
      </w:r>
      <w:r w:rsidRPr="00EA59C0">
        <w:t>exceed</w:t>
      </w:r>
      <w:r w:rsidR="00C026A6" w:rsidRPr="00EA59C0">
        <w:t xml:space="preserve"> </w:t>
      </w:r>
      <w:r w:rsidRPr="00EA59C0">
        <w:t>the</w:t>
      </w:r>
      <w:r w:rsidR="00C026A6" w:rsidRPr="00EA59C0">
        <w:t xml:space="preserve"> </w:t>
      </w:r>
      <w:r w:rsidRPr="00EA59C0">
        <w:t>funding</w:t>
      </w:r>
      <w:r w:rsidR="00C026A6" w:rsidRPr="00EA59C0">
        <w:t xml:space="preserve"> </w:t>
      </w:r>
      <w:r w:rsidRPr="00EA59C0">
        <w:t>caps,</w:t>
      </w:r>
      <w:r w:rsidR="00C026A6" w:rsidRPr="00EA59C0">
        <w:t xml:space="preserve"> </w:t>
      </w:r>
      <w:r w:rsidRPr="00EA59C0">
        <w:t>including</w:t>
      </w:r>
      <w:r w:rsidR="00C026A6" w:rsidRPr="00EA59C0">
        <w:t xml:space="preserve"> </w:t>
      </w:r>
      <w:r w:rsidRPr="00EA59C0">
        <w:t>additional</w:t>
      </w:r>
      <w:r w:rsidR="00C026A6" w:rsidRPr="00EA59C0">
        <w:t xml:space="preserve"> </w:t>
      </w:r>
      <w:r w:rsidRPr="00EA59C0">
        <w:t>required</w:t>
      </w:r>
      <w:r w:rsidR="00C026A6" w:rsidRPr="00EA59C0">
        <w:t xml:space="preserve"> </w:t>
      </w:r>
      <w:r w:rsidRPr="00EA59C0">
        <w:t>attachments.</w:t>
      </w:r>
      <w:r w:rsidR="00C026A6" w:rsidRPr="00EA59C0">
        <w:t xml:space="preserve">  </w:t>
      </w:r>
      <w:r w:rsidR="009C6F93" w:rsidRPr="00EA59C0">
        <w:t>See Section V.C for information on how the evaluation of supplementary materials for applications requesting funds above the amount of the award ceiling will be considered in the selection process.</w:t>
      </w:r>
    </w:p>
    <w:p w:rsidR="0028055D" w:rsidRPr="00EA59C0" w:rsidRDefault="0028055D" w:rsidP="00D03948">
      <w:pPr>
        <w:pStyle w:val="ListParagraph"/>
        <w:ind w:left="360"/>
      </w:pPr>
    </w:p>
    <w:p w:rsidR="003C1FB3" w:rsidRPr="00EA59C0" w:rsidRDefault="003C1FB3" w:rsidP="00D03948">
      <w:pPr>
        <w:ind w:left="1080"/>
        <w:rPr>
          <w:b/>
        </w:rPr>
      </w:pPr>
      <w:r w:rsidRPr="00EA59C0">
        <w:rPr>
          <w:b/>
        </w:rPr>
        <w:t>Option</w:t>
      </w:r>
      <w:r w:rsidR="00C026A6" w:rsidRPr="00EA59C0">
        <w:rPr>
          <w:b/>
        </w:rPr>
        <w:t xml:space="preserve"> </w:t>
      </w:r>
      <w:r w:rsidRPr="00EA59C0">
        <w:rPr>
          <w:b/>
        </w:rPr>
        <w:t>1:</w:t>
      </w:r>
      <w:r w:rsidR="00C026A6" w:rsidRPr="00EA59C0">
        <w:rPr>
          <w:b/>
        </w:rPr>
        <w:t xml:space="preserve"> </w:t>
      </w:r>
      <w:r w:rsidRPr="00EA59C0">
        <w:rPr>
          <w:b/>
        </w:rPr>
        <w:t>Advance</w:t>
      </w:r>
      <w:r w:rsidR="00C026A6" w:rsidRPr="00EA59C0">
        <w:rPr>
          <w:b/>
        </w:rPr>
        <w:t xml:space="preserve"> </w:t>
      </w:r>
      <w:r w:rsidRPr="00EA59C0">
        <w:rPr>
          <w:b/>
        </w:rPr>
        <w:t>State</w:t>
      </w:r>
      <w:r w:rsidR="00C026A6" w:rsidRPr="00EA59C0">
        <w:rPr>
          <w:b/>
        </w:rPr>
        <w:t xml:space="preserve"> </w:t>
      </w:r>
      <w:r w:rsidRPr="00EA59C0">
        <w:rPr>
          <w:b/>
        </w:rPr>
        <w:t>Career</w:t>
      </w:r>
      <w:r w:rsidR="00C026A6" w:rsidRPr="00EA59C0">
        <w:rPr>
          <w:b/>
        </w:rPr>
        <w:t xml:space="preserve"> </w:t>
      </w:r>
      <w:r w:rsidRPr="00EA59C0">
        <w:rPr>
          <w:b/>
        </w:rPr>
        <w:t>Pathway</w:t>
      </w:r>
      <w:r w:rsidR="00C026A6" w:rsidRPr="00EA59C0">
        <w:rPr>
          <w:b/>
        </w:rPr>
        <w:t xml:space="preserve"> </w:t>
      </w:r>
      <w:r w:rsidRPr="00EA59C0">
        <w:rPr>
          <w:b/>
        </w:rPr>
        <w:t>Systems</w:t>
      </w:r>
      <w:r w:rsidR="00C026A6" w:rsidRPr="00EA59C0">
        <w:rPr>
          <w:b/>
        </w:rPr>
        <w:t xml:space="preserve"> </w:t>
      </w:r>
    </w:p>
    <w:p w:rsidR="003C1FB3" w:rsidRPr="00EA59C0" w:rsidRDefault="003C1FB3" w:rsidP="00D03948">
      <w:pPr>
        <w:ind w:left="1080"/>
      </w:pPr>
      <w:r w:rsidRPr="00EA59C0">
        <w:t>Consortium</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propose</w:t>
      </w:r>
      <w:r w:rsidR="00C026A6" w:rsidRPr="00EA59C0">
        <w:t xml:space="preserve"> </w:t>
      </w:r>
      <w:r w:rsidRPr="00EA59C0">
        <w:t>a</w:t>
      </w:r>
      <w:r w:rsidR="00C026A6" w:rsidRPr="00EA59C0">
        <w:t xml:space="preserve"> </w:t>
      </w:r>
      <w:r w:rsidRPr="00EA59C0">
        <w:t>plan</w:t>
      </w:r>
      <w:r w:rsidR="00C026A6" w:rsidRPr="00EA59C0">
        <w:t xml:space="preserve"> </w:t>
      </w:r>
      <w:r w:rsidRPr="00EA59C0">
        <w:t>to</w:t>
      </w:r>
      <w:r w:rsidR="00C026A6" w:rsidRPr="00EA59C0">
        <w:t xml:space="preserve"> </w:t>
      </w:r>
      <w:r w:rsidRPr="00EA59C0">
        <w:t>engage</w:t>
      </w:r>
      <w:r w:rsidR="00C026A6" w:rsidRPr="00EA59C0">
        <w:t xml:space="preserve"> </w:t>
      </w:r>
      <w:r w:rsidRPr="00EA59C0">
        <w:t>employers,</w:t>
      </w:r>
      <w:r w:rsidR="00C026A6" w:rsidRPr="00EA59C0">
        <w:t xml:space="preserve"> </w:t>
      </w:r>
      <w:r w:rsidRPr="00EA59C0">
        <w:t>educators</w:t>
      </w:r>
      <w:r w:rsidR="00C026A6" w:rsidRPr="00EA59C0">
        <w:t xml:space="preserve"> </w:t>
      </w:r>
      <w:r w:rsidRPr="00EA59C0">
        <w:t>and</w:t>
      </w:r>
      <w:r w:rsidR="00C026A6" w:rsidRPr="00EA59C0">
        <w:t xml:space="preserve"> </w:t>
      </w:r>
      <w:r w:rsidRPr="00EA59C0">
        <w:t>the</w:t>
      </w:r>
      <w:r w:rsidR="00C026A6" w:rsidRPr="00EA59C0">
        <w:t xml:space="preserve"> </w:t>
      </w:r>
      <w:r w:rsidRPr="00EA59C0">
        <w:t>workforce</w:t>
      </w:r>
      <w:r w:rsidR="00C026A6" w:rsidRPr="00EA59C0">
        <w:t xml:space="preserve"> </w:t>
      </w:r>
      <w:r w:rsidRPr="00EA59C0">
        <w:t>system</w:t>
      </w:r>
      <w:r w:rsidR="00C026A6" w:rsidRPr="00EA59C0">
        <w:t xml:space="preserve"> </w:t>
      </w:r>
      <w:r w:rsidRPr="00EA59C0">
        <w:t>in</w:t>
      </w:r>
      <w:r w:rsidR="00C026A6" w:rsidRPr="00EA59C0">
        <w:t xml:space="preserve"> </w:t>
      </w:r>
      <w:r w:rsidRPr="00EA59C0">
        <w:t>building</w:t>
      </w:r>
      <w:r w:rsidR="00C026A6" w:rsidRPr="00EA59C0">
        <w:t xml:space="preserve"> </w:t>
      </w:r>
      <w:r w:rsidRPr="00EA59C0">
        <w:t>policies</w:t>
      </w:r>
      <w:r w:rsidR="00C026A6" w:rsidRPr="00EA59C0">
        <w:t xml:space="preserve"> </w:t>
      </w:r>
      <w:r w:rsidRPr="00EA59C0">
        <w:t>and</w:t>
      </w:r>
      <w:r w:rsidR="00C026A6" w:rsidRPr="00EA59C0">
        <w:t xml:space="preserve"> </w:t>
      </w:r>
      <w:r w:rsidRPr="00EA59C0">
        <w:t>practices</w:t>
      </w:r>
      <w:r w:rsidR="00C026A6" w:rsidRPr="00EA59C0">
        <w:t xml:space="preserve"> </w:t>
      </w:r>
      <w:r w:rsidRPr="00EA59C0">
        <w:t>that</w:t>
      </w:r>
      <w:r w:rsidR="00C026A6" w:rsidRPr="00EA59C0">
        <w:t xml:space="preserve"> </w:t>
      </w:r>
      <w:r w:rsidRPr="00EA59C0">
        <w:t>will</w:t>
      </w:r>
      <w:r w:rsidR="00C026A6" w:rsidRPr="00EA59C0">
        <w:t xml:space="preserve"> </w:t>
      </w:r>
      <w:r w:rsidRPr="00EA59C0">
        <w:t>support</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or</w:t>
      </w:r>
      <w:r w:rsidR="00C026A6" w:rsidRPr="00EA59C0">
        <w:t xml:space="preserve"> </w:t>
      </w:r>
      <w:r w:rsidRPr="00EA59C0">
        <w:t>expansion</w:t>
      </w:r>
      <w:r w:rsidR="00C026A6" w:rsidRPr="00EA59C0">
        <w:t xml:space="preserve"> </w:t>
      </w:r>
      <w:r w:rsidRPr="00EA59C0">
        <w:t>of</w:t>
      </w:r>
      <w:r w:rsidR="00C026A6" w:rsidRPr="00EA59C0">
        <w:t xml:space="preserve"> </w:t>
      </w:r>
      <w:r w:rsidRPr="00EA59C0">
        <w:t>State</w:t>
      </w:r>
      <w:r w:rsidR="00167858" w:rsidRPr="00EA59C0">
        <w:t xml:space="preserve"> </w:t>
      </w:r>
      <w:r w:rsidRPr="00EA59C0">
        <w:t>career</w:t>
      </w:r>
      <w:r w:rsidR="00C026A6" w:rsidRPr="00EA59C0">
        <w:t xml:space="preserve"> </w:t>
      </w:r>
      <w:r w:rsidRPr="00EA59C0">
        <w:t>pathway</w:t>
      </w:r>
      <w:r w:rsidR="00C026A6" w:rsidRPr="00EA59C0">
        <w:t xml:space="preserve"> </w:t>
      </w:r>
      <w:r w:rsidRPr="00EA59C0">
        <w:t>systems</w:t>
      </w:r>
      <w:r w:rsidR="00C026A6" w:rsidRPr="00EA59C0">
        <w:t xml:space="preserve"> </w:t>
      </w:r>
      <w:r w:rsidRPr="00EA59C0">
        <w:t>with</w:t>
      </w:r>
      <w:r w:rsidR="00C026A6" w:rsidRPr="00EA59C0">
        <w:t xml:space="preserve"> </w:t>
      </w:r>
      <w:r w:rsidRPr="00EA59C0">
        <w:t>the</w:t>
      </w:r>
      <w:r w:rsidR="00C026A6" w:rsidRPr="00EA59C0">
        <w:t xml:space="preserve"> </w:t>
      </w:r>
      <w:r w:rsidRPr="00EA59C0">
        <w:t>goal</w:t>
      </w:r>
      <w:r w:rsidR="00C026A6" w:rsidRPr="00EA59C0">
        <w:t xml:space="preserve"> </w:t>
      </w:r>
      <w:r w:rsidRPr="00EA59C0">
        <w:t>of</w:t>
      </w:r>
      <w:r w:rsidR="00C026A6" w:rsidRPr="00EA59C0">
        <w:t xml:space="preserve"> </w:t>
      </w:r>
      <w:r w:rsidRPr="00EA59C0">
        <w:t>significantly</w:t>
      </w:r>
      <w:r w:rsidR="00C026A6" w:rsidRPr="00EA59C0">
        <w:t xml:space="preserve"> </w:t>
      </w:r>
      <w:r w:rsidRPr="00EA59C0">
        <w:t>increasing</w:t>
      </w:r>
      <w:r w:rsidR="00C026A6" w:rsidRPr="00EA59C0">
        <w:t xml:space="preserve"> </w:t>
      </w:r>
      <w:r w:rsidRPr="00EA59C0">
        <w:t>the</w:t>
      </w:r>
      <w:r w:rsidR="00C026A6" w:rsidRPr="00EA59C0">
        <w:t xml:space="preserve"> </w:t>
      </w:r>
      <w:r w:rsidRPr="00EA59C0">
        <w:t>number</w:t>
      </w:r>
      <w:r w:rsidR="00C026A6" w:rsidRPr="00EA59C0">
        <w:t xml:space="preserve"> </w:t>
      </w:r>
      <w:r w:rsidRPr="00EA59C0">
        <w:t>of</w:t>
      </w:r>
      <w:r w:rsidR="00C026A6" w:rsidRPr="00EA59C0">
        <w:t xml:space="preserve"> </w:t>
      </w:r>
      <w:r w:rsidRPr="00EA59C0">
        <w:t>TAA-eligible</w:t>
      </w:r>
      <w:r w:rsidR="00C026A6" w:rsidRPr="00EA59C0">
        <w:t xml:space="preserve"> </w:t>
      </w:r>
      <w:r w:rsidR="00F1347B" w:rsidRPr="00EA59C0">
        <w:t>workers</w:t>
      </w:r>
      <w:r w:rsidR="00C026A6" w:rsidRPr="00EA59C0">
        <w:t xml:space="preserve"> </w:t>
      </w:r>
      <w:r w:rsidRPr="00EA59C0">
        <w:t>and</w:t>
      </w:r>
      <w:r w:rsidR="00C026A6" w:rsidRPr="00EA59C0">
        <w:t xml:space="preserve"> </w:t>
      </w:r>
      <w:r w:rsidRPr="00EA59C0">
        <w:t>other</w:t>
      </w:r>
      <w:r w:rsidR="00C026A6" w:rsidRPr="00EA59C0">
        <w:t xml:space="preserve"> </w:t>
      </w:r>
      <w:r w:rsidRPr="00EA59C0">
        <w:t>adults</w:t>
      </w:r>
      <w:r w:rsidR="00C026A6" w:rsidRPr="00EA59C0">
        <w:t xml:space="preserve"> </w:t>
      </w:r>
      <w:r w:rsidRPr="00EA59C0">
        <w:t>that</w:t>
      </w:r>
      <w:r w:rsidR="00C026A6" w:rsidRPr="00EA59C0">
        <w:t xml:space="preserve"> </w:t>
      </w:r>
      <w:r w:rsidRPr="00EA59C0">
        <w:t>enter</w:t>
      </w:r>
      <w:r w:rsidR="00C026A6" w:rsidRPr="00EA59C0">
        <w:t xml:space="preserve"> </w:t>
      </w:r>
      <w:r w:rsidRPr="00EA59C0">
        <w:t>into</w:t>
      </w:r>
      <w:r w:rsidR="00C026A6" w:rsidRPr="00EA59C0">
        <w:t xml:space="preserve"> </w:t>
      </w:r>
      <w:r w:rsidRPr="00EA59C0">
        <w:t>and</w:t>
      </w:r>
      <w:r w:rsidR="00C026A6" w:rsidRPr="00EA59C0">
        <w:t xml:space="preserve"> </w:t>
      </w:r>
      <w:r w:rsidRPr="00EA59C0">
        <w:t>complete</w:t>
      </w:r>
      <w:r w:rsidR="00C026A6" w:rsidRPr="00EA59C0">
        <w:t xml:space="preserve"> </w:t>
      </w:r>
      <w:r w:rsidRPr="00EA59C0">
        <w:t>credit-bearing</w:t>
      </w:r>
      <w:r w:rsidR="00C026A6" w:rsidRPr="00EA59C0">
        <w:t xml:space="preserve"> </w:t>
      </w:r>
      <w:r w:rsidRPr="00EA59C0">
        <w:t>certificate</w:t>
      </w:r>
      <w:r w:rsidR="00C026A6" w:rsidRPr="00EA59C0">
        <w:t xml:space="preserve"> </w:t>
      </w:r>
      <w:r w:rsidRPr="00EA59C0">
        <w:t>and</w:t>
      </w:r>
      <w:r w:rsidR="00C026A6" w:rsidRPr="00EA59C0">
        <w:t xml:space="preserve"> </w:t>
      </w:r>
      <w:r w:rsidRPr="00EA59C0">
        <w:t>degree</w:t>
      </w:r>
      <w:r w:rsidR="00C026A6" w:rsidRPr="00EA59C0">
        <w:t xml:space="preserve"> </w:t>
      </w:r>
      <w:r w:rsidRPr="00EA59C0">
        <w:t>training</w:t>
      </w:r>
      <w:r w:rsidR="00C026A6" w:rsidRPr="00EA59C0">
        <w:t xml:space="preserve"> </w:t>
      </w:r>
      <w:r w:rsidR="00FF6CED" w:rsidRPr="00EA59C0">
        <w:t>programs</w:t>
      </w:r>
      <w:r w:rsidR="00C026A6" w:rsidRPr="00EA59C0">
        <w:t xml:space="preserve"> </w:t>
      </w:r>
      <w:r w:rsidRPr="00EA59C0">
        <w:t>in</w:t>
      </w:r>
      <w:r w:rsidR="00C026A6" w:rsidRPr="00EA59C0">
        <w:t xml:space="preserve"> </w:t>
      </w:r>
      <w:r w:rsidRPr="00EA59C0">
        <w:t>high-wage,</w:t>
      </w:r>
      <w:r w:rsidR="00C026A6" w:rsidRPr="00EA59C0">
        <w:t xml:space="preserve"> </w:t>
      </w:r>
      <w:r w:rsidRPr="00EA59C0">
        <w:t>high-demand</w:t>
      </w:r>
      <w:r w:rsidR="00C026A6" w:rsidRPr="00EA59C0">
        <w:t xml:space="preserve"> </w:t>
      </w:r>
      <w:r w:rsidRPr="00EA59C0">
        <w:t>fields.</w:t>
      </w:r>
      <w:r w:rsidR="00C026A6" w:rsidRPr="00EA59C0">
        <w:t xml:space="preserve">  </w:t>
      </w:r>
      <w:r w:rsidRPr="00EA59C0">
        <w:t>In</w:t>
      </w:r>
      <w:r w:rsidR="00C026A6" w:rsidRPr="00EA59C0">
        <w:t xml:space="preserve"> </w:t>
      </w:r>
      <w:r w:rsidRPr="00EA59C0">
        <w:t>this</w:t>
      </w:r>
      <w:r w:rsidR="00C026A6" w:rsidRPr="00EA59C0">
        <w:t xml:space="preserve"> </w:t>
      </w:r>
      <w:r w:rsidRPr="00EA59C0">
        <w:t>context</w:t>
      </w:r>
      <w:r w:rsidR="00FF6CED" w:rsidRPr="00EA59C0">
        <w:t>,</w:t>
      </w:r>
      <w:r w:rsidR="00C026A6" w:rsidRPr="00EA59C0">
        <w:t xml:space="preserve"> </w:t>
      </w:r>
      <w:r w:rsidRPr="00EA59C0">
        <w:t>state</w:t>
      </w:r>
      <w:r w:rsidR="00C026A6" w:rsidRPr="00EA59C0">
        <w:t xml:space="preserve"> </w:t>
      </w:r>
      <w:r w:rsidRPr="00EA59C0">
        <w:t>career</w:t>
      </w:r>
      <w:r w:rsidR="00C026A6" w:rsidRPr="00EA59C0">
        <w:t xml:space="preserve"> </w:t>
      </w:r>
      <w:r w:rsidRPr="00EA59C0">
        <w:t>pathways</w:t>
      </w:r>
      <w:r w:rsidR="00C026A6" w:rsidRPr="00EA59C0">
        <w:t xml:space="preserve"> </w:t>
      </w:r>
      <w:r w:rsidRPr="00EA59C0">
        <w:t>systems</w:t>
      </w:r>
      <w:r w:rsidR="00C026A6" w:rsidRPr="00EA59C0">
        <w:t xml:space="preserve"> </w:t>
      </w:r>
      <w:r w:rsidRPr="00EA59C0">
        <w:t>should</w:t>
      </w:r>
      <w:r w:rsidR="00C026A6" w:rsidRPr="00EA59C0">
        <w:t xml:space="preserve"> </w:t>
      </w:r>
      <w:r w:rsidRPr="00EA59C0">
        <w:t>include</w:t>
      </w:r>
      <w:r w:rsidR="00C026A6" w:rsidRPr="00EA59C0">
        <w:t xml:space="preserve"> </w:t>
      </w:r>
      <w:r w:rsidRPr="00EA59C0">
        <w:t>career</w:t>
      </w:r>
      <w:r w:rsidR="00C026A6" w:rsidRPr="00EA59C0">
        <w:t xml:space="preserve"> </w:t>
      </w:r>
      <w:r w:rsidRPr="00EA59C0">
        <w:t>pathways</w:t>
      </w:r>
      <w:r w:rsidR="00C026A6" w:rsidRPr="00EA59C0">
        <w:t xml:space="preserve"> </w:t>
      </w:r>
      <w:r w:rsidRPr="00EA59C0">
        <w:t>and</w:t>
      </w:r>
      <w:r w:rsidR="00C026A6" w:rsidRPr="00EA59C0">
        <w:t xml:space="preserve"> </w:t>
      </w:r>
      <w:r w:rsidRPr="00EA59C0">
        <w:t>programs</w:t>
      </w:r>
      <w:r w:rsidR="00C026A6" w:rsidRPr="00EA59C0">
        <w:t xml:space="preserve"> </w:t>
      </w:r>
      <w:r w:rsidRPr="00EA59C0">
        <w:t>developed</w:t>
      </w:r>
      <w:r w:rsidR="00C026A6" w:rsidRPr="00EA59C0">
        <w:t xml:space="preserve"> </w:t>
      </w:r>
      <w:r w:rsidRPr="00EA59C0">
        <w:t>through</w:t>
      </w:r>
      <w:r w:rsidR="00C026A6" w:rsidRPr="00EA59C0">
        <w:t xml:space="preserve"> </w:t>
      </w:r>
      <w:r w:rsidRPr="00EA59C0">
        <w:t>TAACCCT</w:t>
      </w:r>
      <w:r w:rsidR="00C026A6" w:rsidRPr="00EA59C0">
        <w:t xml:space="preserve"> </w:t>
      </w:r>
      <w:r w:rsidRPr="00EA59C0">
        <w:t>funds</w:t>
      </w:r>
      <w:r w:rsidR="00C026A6" w:rsidRPr="00EA59C0">
        <w:t xml:space="preserve"> </w:t>
      </w:r>
      <w:r w:rsidRPr="00EA59C0">
        <w:t>in</w:t>
      </w:r>
      <w:r w:rsidR="00C026A6" w:rsidRPr="00EA59C0">
        <w:t xml:space="preserve"> </w:t>
      </w:r>
      <w:r w:rsidRPr="00EA59C0">
        <w:t>addition</w:t>
      </w:r>
      <w:r w:rsidR="00C026A6" w:rsidRPr="00EA59C0">
        <w:t xml:space="preserve"> </w:t>
      </w:r>
      <w:r w:rsidRPr="00EA59C0">
        <w:t>to</w:t>
      </w:r>
      <w:r w:rsidR="00C026A6" w:rsidRPr="00EA59C0">
        <w:t xml:space="preserve"> </w:t>
      </w:r>
      <w:r w:rsidRPr="00EA59C0">
        <w:t>others.</w:t>
      </w:r>
      <w:r w:rsidR="00C026A6" w:rsidRPr="00EA59C0">
        <w:t xml:space="preserve">   </w:t>
      </w:r>
    </w:p>
    <w:p w:rsidR="003C1FB3" w:rsidRPr="00EA59C0" w:rsidRDefault="003C1FB3" w:rsidP="00D03948">
      <w:pPr>
        <w:pStyle w:val="ListParagraph"/>
        <w:ind w:left="1080"/>
      </w:pPr>
    </w:p>
    <w:p w:rsidR="003C1FB3" w:rsidRPr="00EA59C0" w:rsidRDefault="003C1FB3" w:rsidP="00D03948">
      <w:pPr>
        <w:pStyle w:val="ListParagraph"/>
        <w:ind w:left="1080"/>
      </w:pPr>
      <w:r w:rsidRPr="00EA59C0">
        <w:t>Specific</w:t>
      </w:r>
      <w:r w:rsidR="00C026A6" w:rsidRPr="00EA59C0">
        <w:t xml:space="preserve"> </w:t>
      </w:r>
      <w:r w:rsidRPr="00EA59C0">
        <w:t>strategies</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could</w:t>
      </w:r>
      <w:r w:rsidR="00C026A6" w:rsidRPr="00EA59C0">
        <w:t xml:space="preserve"> </w:t>
      </w:r>
      <w:r w:rsidRPr="00EA59C0">
        <w:t>pursue</w:t>
      </w:r>
      <w:r w:rsidR="00C026A6" w:rsidRPr="00EA59C0">
        <w:t xml:space="preserve"> </w:t>
      </w:r>
      <w:r w:rsidRPr="00EA59C0">
        <w:t>include:</w:t>
      </w:r>
    </w:p>
    <w:p w:rsidR="009359A6" w:rsidRPr="00EA59C0" w:rsidRDefault="009359A6" w:rsidP="00080097">
      <w:pPr>
        <w:pStyle w:val="ListParagraph"/>
        <w:numPr>
          <w:ilvl w:val="0"/>
          <w:numId w:val="21"/>
        </w:numPr>
      </w:pPr>
      <w:r w:rsidRPr="00EA59C0">
        <w:t>Create</w:t>
      </w:r>
      <w:r w:rsidR="00C026A6" w:rsidRPr="00EA59C0">
        <w:t xml:space="preserve"> </w:t>
      </w:r>
      <w:r w:rsidRPr="00EA59C0">
        <w:t>and</w:t>
      </w:r>
      <w:r w:rsidR="00C026A6" w:rsidRPr="00EA59C0">
        <w:t xml:space="preserve"> </w:t>
      </w:r>
      <w:r w:rsidRPr="00EA59C0">
        <w:t>expand</w:t>
      </w:r>
      <w:r w:rsidR="00C026A6" w:rsidRPr="00EA59C0">
        <w:t xml:space="preserve"> </w:t>
      </w:r>
      <w:r w:rsidRPr="00EA59C0">
        <w:t>linkages</w:t>
      </w:r>
      <w:r w:rsidR="00C026A6" w:rsidRPr="00EA59C0">
        <w:t xml:space="preserve"> </w:t>
      </w:r>
      <w:r w:rsidR="00F1347B" w:rsidRPr="00EA59C0">
        <w:t>of</w:t>
      </w:r>
      <w:r w:rsidR="00C026A6" w:rsidRPr="00EA59C0">
        <w:t xml:space="preserve"> </w:t>
      </w:r>
      <w:r w:rsidR="00F1347B" w:rsidRPr="00EA59C0">
        <w:t>TAACCCT</w:t>
      </w:r>
      <w:r w:rsidR="00C026A6" w:rsidRPr="00EA59C0">
        <w:t xml:space="preserve"> </w:t>
      </w:r>
      <w:r w:rsidRPr="00EA59C0">
        <w:t>to</w:t>
      </w:r>
      <w:r w:rsidR="00C026A6" w:rsidRPr="00EA59C0">
        <w:t xml:space="preserve"> </w:t>
      </w:r>
      <w:r w:rsidRPr="00EA59C0">
        <w:t>bridge</w:t>
      </w:r>
      <w:r w:rsidR="00C026A6" w:rsidRPr="00EA59C0">
        <w:t xml:space="preserve"> </w:t>
      </w:r>
      <w:r w:rsidRPr="00EA59C0">
        <w:t>programs</w:t>
      </w:r>
      <w:r w:rsidR="00C026A6" w:rsidRPr="00EA59C0">
        <w:t xml:space="preserve"> </w:t>
      </w:r>
      <w:r w:rsidRPr="00EA59C0">
        <w:t>within</w:t>
      </w:r>
      <w:r w:rsidR="00C026A6" w:rsidRPr="00EA59C0">
        <w:t xml:space="preserve"> </w:t>
      </w:r>
      <w:r w:rsidRPr="00EA59C0">
        <w:t>the</w:t>
      </w:r>
      <w:r w:rsidR="00C026A6" w:rsidRPr="00EA59C0">
        <w:t xml:space="preserve"> </w:t>
      </w:r>
      <w:r w:rsidRPr="00EA59C0">
        <w:t>career</w:t>
      </w:r>
      <w:r w:rsidR="00C026A6" w:rsidRPr="00EA59C0">
        <w:t xml:space="preserve"> </w:t>
      </w:r>
      <w:r w:rsidRPr="00EA59C0">
        <w:t>pathway</w:t>
      </w:r>
      <w:r w:rsidR="00C026A6" w:rsidRPr="00EA59C0">
        <w:t xml:space="preserve"> </w:t>
      </w:r>
      <w:r w:rsidRPr="00EA59C0">
        <w:t>to</w:t>
      </w:r>
      <w:r w:rsidR="00C026A6" w:rsidRPr="00EA59C0">
        <w:t xml:space="preserve"> </w:t>
      </w:r>
      <w:r w:rsidRPr="00EA59C0">
        <w:t>improve</w:t>
      </w:r>
      <w:r w:rsidR="00C026A6" w:rsidRPr="00EA59C0">
        <w:t xml:space="preserve"> </w:t>
      </w:r>
      <w:r w:rsidRPr="00EA59C0">
        <w:t>alignment</w:t>
      </w:r>
      <w:r w:rsidR="00C026A6" w:rsidRPr="00EA59C0">
        <w:t xml:space="preserve"> </w:t>
      </w:r>
      <w:r w:rsidRPr="00EA59C0">
        <w:t>of</w:t>
      </w:r>
      <w:r w:rsidR="00C026A6" w:rsidRPr="00EA59C0">
        <w:t xml:space="preserve"> </w:t>
      </w:r>
      <w:r w:rsidRPr="00EA59C0">
        <w:t>the</w:t>
      </w:r>
      <w:r w:rsidR="00C026A6" w:rsidRPr="00EA59C0">
        <w:t xml:space="preserve"> </w:t>
      </w:r>
      <w:r w:rsidRPr="00EA59C0">
        <w:t>Adult</w:t>
      </w:r>
      <w:r w:rsidR="00C026A6" w:rsidRPr="00EA59C0">
        <w:t xml:space="preserve"> </w:t>
      </w:r>
      <w:r w:rsidRPr="00EA59C0">
        <w:t>Basic</w:t>
      </w:r>
      <w:r w:rsidR="00C026A6" w:rsidRPr="00EA59C0">
        <w:t xml:space="preserve"> </w:t>
      </w:r>
      <w:r w:rsidRPr="00EA59C0">
        <w:t>Education</w:t>
      </w:r>
      <w:r w:rsidR="00C026A6" w:rsidRPr="00EA59C0">
        <w:t xml:space="preserve"> </w:t>
      </w:r>
      <w:r w:rsidRPr="00EA59C0">
        <w:t>(ABE)</w:t>
      </w:r>
      <w:r w:rsidR="00C026A6" w:rsidRPr="00EA59C0">
        <w:t xml:space="preserve"> </w:t>
      </w:r>
      <w:r w:rsidRPr="00EA59C0">
        <w:t>systems</w:t>
      </w:r>
      <w:r w:rsidR="00C026A6" w:rsidRPr="00EA59C0">
        <w:t xml:space="preserve"> </w:t>
      </w:r>
      <w:r w:rsidRPr="00EA59C0">
        <w:t>to</w:t>
      </w:r>
      <w:r w:rsidR="00C026A6" w:rsidRPr="00EA59C0">
        <w:t xml:space="preserve"> </w:t>
      </w:r>
      <w:r w:rsidRPr="00EA59C0">
        <w:t>increase</w:t>
      </w:r>
      <w:r w:rsidR="00C026A6" w:rsidRPr="00EA59C0">
        <w:t xml:space="preserve"> </w:t>
      </w:r>
      <w:r w:rsidRPr="00EA59C0">
        <w:t>critical</w:t>
      </w:r>
      <w:r w:rsidR="00C026A6" w:rsidRPr="00EA59C0">
        <w:t xml:space="preserve"> </w:t>
      </w:r>
      <w:r w:rsidRPr="00EA59C0">
        <w:t>foundational</w:t>
      </w:r>
      <w:r w:rsidR="00C026A6" w:rsidRPr="00EA59C0">
        <w:t xml:space="preserve"> </w:t>
      </w:r>
      <w:r w:rsidRPr="00EA59C0">
        <w:t>skills</w:t>
      </w:r>
      <w:r w:rsidR="00C026A6" w:rsidRPr="00EA59C0">
        <w:t xml:space="preserve"> </w:t>
      </w:r>
      <w:r w:rsidRPr="00EA59C0">
        <w:t>of</w:t>
      </w:r>
      <w:r w:rsidR="00C026A6" w:rsidRPr="00EA59C0">
        <w:t xml:space="preserve"> </w:t>
      </w:r>
      <w:r w:rsidRPr="00EA59C0">
        <w:t>adult</w:t>
      </w:r>
      <w:r w:rsidR="00C026A6" w:rsidRPr="00EA59C0">
        <w:t xml:space="preserve"> </w:t>
      </w:r>
      <w:r w:rsidRPr="00EA59C0">
        <w:t>students</w:t>
      </w:r>
      <w:r w:rsidR="00C026A6" w:rsidRPr="00EA59C0">
        <w:t xml:space="preserve"> </w:t>
      </w:r>
      <w:r w:rsidRPr="00EA59C0">
        <w:t>and</w:t>
      </w:r>
      <w:r w:rsidR="00C026A6" w:rsidRPr="00EA59C0">
        <w:t xml:space="preserve"> </w:t>
      </w:r>
      <w:r w:rsidRPr="00EA59C0">
        <w:t>improve</w:t>
      </w:r>
      <w:r w:rsidR="00C026A6" w:rsidRPr="00EA59C0">
        <w:t xml:space="preserve"> </w:t>
      </w:r>
      <w:r w:rsidRPr="00EA59C0">
        <w:t>transition</w:t>
      </w:r>
      <w:r w:rsidR="00C026A6" w:rsidRPr="00EA59C0">
        <w:t xml:space="preserve"> </w:t>
      </w:r>
      <w:r w:rsidRPr="00EA59C0">
        <w:t>rates</w:t>
      </w:r>
      <w:r w:rsidR="00C026A6" w:rsidRPr="00EA59C0">
        <w:t xml:space="preserve"> </w:t>
      </w:r>
      <w:r w:rsidRPr="00EA59C0">
        <w:t>into</w:t>
      </w:r>
      <w:r w:rsidR="00C026A6" w:rsidRPr="00EA59C0">
        <w:t xml:space="preserve"> </w:t>
      </w:r>
      <w:r w:rsidRPr="00EA59C0">
        <w:t>postsecondary</w:t>
      </w:r>
      <w:r w:rsidR="00C026A6" w:rsidRPr="00EA59C0">
        <w:t xml:space="preserve"> </w:t>
      </w:r>
      <w:r w:rsidRPr="00EA59C0">
        <w:t>education</w:t>
      </w:r>
      <w:r w:rsidR="00C026A6" w:rsidRPr="00EA59C0">
        <w:t xml:space="preserve"> </w:t>
      </w:r>
      <w:r w:rsidRPr="00EA59C0">
        <w:t>and</w:t>
      </w:r>
      <w:r w:rsidR="00C026A6" w:rsidRPr="00EA59C0">
        <w:t xml:space="preserve"> </w:t>
      </w:r>
      <w:r w:rsidRPr="00EA59C0">
        <w:t>occupational</w:t>
      </w:r>
      <w:r w:rsidR="00C026A6" w:rsidRPr="00EA59C0">
        <w:t xml:space="preserve"> </w:t>
      </w:r>
      <w:r w:rsidRPr="00EA59C0">
        <w:t>skills</w:t>
      </w:r>
      <w:r w:rsidR="00C026A6" w:rsidRPr="00EA59C0">
        <w:t xml:space="preserve"> </w:t>
      </w:r>
      <w:r w:rsidRPr="00EA59C0">
        <w:t>training,</w:t>
      </w:r>
      <w:r w:rsidR="00C026A6" w:rsidRPr="00EA59C0">
        <w:t xml:space="preserve"> </w:t>
      </w:r>
      <w:r w:rsidRPr="00EA59C0">
        <w:t>including</w:t>
      </w:r>
      <w:r w:rsidR="00C026A6" w:rsidRPr="00EA59C0">
        <w:t xml:space="preserve"> </w:t>
      </w:r>
      <w:r w:rsidRPr="00EA59C0">
        <w:t>providing</w:t>
      </w:r>
      <w:r w:rsidR="00C026A6" w:rsidRPr="00EA59C0">
        <w:t xml:space="preserve"> </w:t>
      </w:r>
      <w:r w:rsidRPr="00EA59C0">
        <w:t>increased</w:t>
      </w:r>
      <w:r w:rsidR="00C026A6" w:rsidRPr="00EA59C0">
        <w:t xml:space="preserve"> </w:t>
      </w:r>
      <w:r w:rsidRPr="00EA59C0">
        <w:t>opportunities</w:t>
      </w:r>
      <w:r w:rsidR="00C026A6" w:rsidRPr="00EA59C0">
        <w:t xml:space="preserve"> </w:t>
      </w:r>
      <w:r w:rsidRPr="00EA59C0">
        <w:t>for</w:t>
      </w:r>
      <w:r w:rsidR="00C026A6" w:rsidRPr="00EA59C0">
        <w:t xml:space="preserve"> </w:t>
      </w:r>
      <w:r w:rsidRPr="00EA59C0">
        <w:t>early</w:t>
      </w:r>
      <w:r w:rsidR="00C026A6" w:rsidRPr="00EA59C0">
        <w:t xml:space="preserve"> </w:t>
      </w:r>
      <w:r w:rsidRPr="00EA59C0">
        <w:t>credit</w:t>
      </w:r>
      <w:r w:rsidR="00C026A6" w:rsidRPr="00EA59C0">
        <w:t xml:space="preserve"> </w:t>
      </w:r>
      <w:r w:rsidRPr="00EA59C0">
        <w:t>accumulation</w:t>
      </w:r>
      <w:r w:rsidR="00C026A6" w:rsidRPr="00EA59C0">
        <w:t xml:space="preserve"> </w:t>
      </w:r>
      <w:r w:rsidRPr="00EA59C0">
        <w:t>for</w:t>
      </w:r>
      <w:r w:rsidR="00C026A6" w:rsidRPr="00EA59C0">
        <w:t xml:space="preserve"> </w:t>
      </w:r>
      <w:r w:rsidRPr="00EA59C0">
        <w:t>adult</w:t>
      </w:r>
      <w:r w:rsidR="00C026A6" w:rsidRPr="00EA59C0">
        <w:t xml:space="preserve"> </w:t>
      </w:r>
      <w:r w:rsidRPr="00EA59C0">
        <w:t>students.</w:t>
      </w:r>
      <w:r w:rsidR="00C026A6" w:rsidRPr="00EA59C0">
        <w:t xml:space="preserve">  </w:t>
      </w:r>
      <w:r w:rsidRPr="00EA59C0">
        <w:t>This</w:t>
      </w:r>
      <w:r w:rsidR="00C026A6" w:rsidRPr="00EA59C0">
        <w:t xml:space="preserve"> </w:t>
      </w:r>
      <w:r w:rsidRPr="00EA59C0">
        <w:t>strategy</w:t>
      </w:r>
      <w:r w:rsidR="00C026A6" w:rsidRPr="00EA59C0">
        <w:t xml:space="preserve"> </w:t>
      </w:r>
      <w:r w:rsidRPr="00EA59C0">
        <w:t>also</w:t>
      </w:r>
      <w:r w:rsidR="00C026A6" w:rsidRPr="00EA59C0">
        <w:t xml:space="preserve"> </w:t>
      </w:r>
      <w:r w:rsidRPr="00EA59C0">
        <w:t>should</w:t>
      </w:r>
      <w:r w:rsidR="00C026A6" w:rsidRPr="00EA59C0">
        <w:t xml:space="preserve"> </w:t>
      </w:r>
      <w:r w:rsidRPr="00EA59C0">
        <w:t>include</w:t>
      </w:r>
      <w:r w:rsidR="00C026A6" w:rsidRPr="00EA59C0">
        <w:t xml:space="preserve"> </w:t>
      </w:r>
      <w:r w:rsidRPr="00EA59C0">
        <w:t>accelerated</w:t>
      </w:r>
      <w:r w:rsidR="00C026A6" w:rsidRPr="00EA59C0">
        <w:t xml:space="preserve"> </w:t>
      </w:r>
      <w:r w:rsidRPr="00EA59C0">
        <w:t>and</w:t>
      </w:r>
      <w:r w:rsidR="00C026A6" w:rsidRPr="00EA59C0">
        <w:t xml:space="preserve"> </w:t>
      </w:r>
      <w:r w:rsidRPr="00EA59C0">
        <w:t>contextualized</w:t>
      </w:r>
      <w:r w:rsidR="00C026A6" w:rsidRPr="00EA59C0">
        <w:t xml:space="preserve"> </w:t>
      </w:r>
      <w:r w:rsidRPr="00EA59C0">
        <w:t>remediation</w:t>
      </w:r>
      <w:r w:rsidR="00C026A6" w:rsidRPr="00EA59C0">
        <w:t xml:space="preserve"> </w:t>
      </w:r>
      <w:r w:rsidRPr="00EA59C0">
        <w:t>as</w:t>
      </w:r>
      <w:r w:rsidR="00C026A6" w:rsidRPr="00EA59C0">
        <w:t xml:space="preserve"> </w:t>
      </w:r>
      <w:r w:rsidRPr="00EA59C0">
        <w:t>a</w:t>
      </w:r>
      <w:r w:rsidR="00C026A6" w:rsidRPr="00EA59C0">
        <w:t xml:space="preserve"> </w:t>
      </w:r>
      <w:r w:rsidRPr="00EA59C0">
        <w:t>key</w:t>
      </w:r>
      <w:r w:rsidR="00C026A6" w:rsidRPr="00EA59C0">
        <w:t xml:space="preserve"> </w:t>
      </w:r>
      <w:r w:rsidRPr="00EA59C0">
        <w:t>component.</w:t>
      </w:r>
      <w:r w:rsidR="00C026A6" w:rsidRPr="00EA59C0">
        <w:t xml:space="preserve">   </w:t>
      </w:r>
      <w:r w:rsidRPr="00EA59C0">
        <w:t>Provide</w:t>
      </w:r>
      <w:r w:rsidR="00C026A6" w:rsidRPr="00EA59C0">
        <w:t xml:space="preserve"> </w:t>
      </w:r>
      <w:r w:rsidRPr="00EA59C0">
        <w:t>more</w:t>
      </w:r>
      <w:r w:rsidR="00C026A6" w:rsidRPr="00EA59C0">
        <w:t xml:space="preserve"> </w:t>
      </w:r>
      <w:r w:rsidRPr="00EA59C0">
        <w:t>comprehensive</w:t>
      </w:r>
      <w:r w:rsidR="00C026A6" w:rsidRPr="00EA59C0">
        <w:t xml:space="preserve"> </w:t>
      </w:r>
      <w:r w:rsidRPr="00EA59C0">
        <w:t>and</w:t>
      </w:r>
      <w:r w:rsidR="00C026A6" w:rsidRPr="00EA59C0">
        <w:t xml:space="preserve"> </w:t>
      </w:r>
      <w:r w:rsidRPr="00EA59C0">
        <w:t>effective</w:t>
      </w:r>
      <w:r w:rsidR="00C026A6" w:rsidRPr="00EA59C0">
        <w:t xml:space="preserve"> </w:t>
      </w:r>
      <w:r w:rsidRPr="00EA59C0">
        <w:t>student</w:t>
      </w:r>
      <w:r w:rsidR="00C026A6" w:rsidRPr="00EA59C0">
        <w:t xml:space="preserve"> </w:t>
      </w:r>
      <w:r w:rsidRPr="00EA59C0">
        <w:t>advising</w:t>
      </w:r>
      <w:r w:rsidR="00C026A6" w:rsidRPr="00EA59C0">
        <w:t xml:space="preserve"> </w:t>
      </w:r>
      <w:r w:rsidRPr="00EA59C0">
        <w:t>and</w:t>
      </w:r>
      <w:r w:rsidR="00C026A6" w:rsidRPr="00EA59C0">
        <w:t xml:space="preserve"> </w:t>
      </w:r>
      <w:r w:rsidRPr="00EA59C0">
        <w:t>support</w:t>
      </w:r>
      <w:r w:rsidR="00C026A6" w:rsidRPr="00EA59C0">
        <w:t xml:space="preserve"> </w:t>
      </w:r>
      <w:r w:rsidRPr="00EA59C0">
        <w:t>services</w:t>
      </w:r>
      <w:r w:rsidR="00C026A6" w:rsidRPr="00EA59C0">
        <w:t xml:space="preserve"> </w:t>
      </w:r>
      <w:r w:rsidRPr="00EA59C0">
        <w:t>to</w:t>
      </w:r>
      <w:r w:rsidR="00C026A6" w:rsidRPr="00EA59C0">
        <w:t xml:space="preserve"> </w:t>
      </w:r>
      <w:r w:rsidRPr="00EA59C0">
        <w:t>improve</w:t>
      </w:r>
      <w:r w:rsidR="00C026A6" w:rsidRPr="00EA59C0">
        <w:t xml:space="preserve"> </w:t>
      </w:r>
      <w:r w:rsidRPr="00EA59C0">
        <w:t>adult</w:t>
      </w:r>
      <w:r w:rsidR="00C026A6" w:rsidRPr="00EA59C0">
        <w:t xml:space="preserve"> </w:t>
      </w:r>
      <w:r w:rsidRPr="00EA59C0">
        <w:t>student</w:t>
      </w:r>
      <w:r w:rsidR="00C026A6" w:rsidRPr="00EA59C0">
        <w:t xml:space="preserve"> </w:t>
      </w:r>
      <w:r w:rsidRPr="00EA59C0">
        <w:t>retention</w:t>
      </w:r>
      <w:r w:rsidR="00C026A6" w:rsidRPr="00EA59C0">
        <w:t xml:space="preserve"> </w:t>
      </w:r>
      <w:r w:rsidRPr="00EA59C0">
        <w:t>and</w:t>
      </w:r>
      <w:r w:rsidR="00C026A6" w:rsidRPr="00EA59C0">
        <w:t xml:space="preserve"> </w:t>
      </w:r>
      <w:r w:rsidRPr="00EA59C0">
        <w:t>completion</w:t>
      </w:r>
      <w:r w:rsidR="00C026A6" w:rsidRPr="00EA59C0">
        <w:t xml:space="preserve"> </w:t>
      </w:r>
      <w:r w:rsidRPr="00EA59C0">
        <w:t>rates</w:t>
      </w:r>
      <w:r w:rsidR="00C026A6" w:rsidRPr="00EA59C0">
        <w:t xml:space="preserve"> </w:t>
      </w:r>
      <w:r w:rsidR="00F1347B" w:rsidRPr="00EA59C0">
        <w:t>for</w:t>
      </w:r>
      <w:r w:rsidR="00C026A6" w:rsidRPr="00EA59C0">
        <w:t xml:space="preserve"> </w:t>
      </w:r>
      <w:r w:rsidR="00F1347B" w:rsidRPr="00EA59C0">
        <w:t>TAA-eligible</w:t>
      </w:r>
      <w:r w:rsidR="00C026A6" w:rsidRPr="00EA59C0">
        <w:t xml:space="preserve"> </w:t>
      </w:r>
      <w:r w:rsidR="00F1347B" w:rsidRPr="00EA59C0">
        <w:t>workers</w:t>
      </w:r>
      <w:r w:rsidR="00C026A6" w:rsidRPr="00EA59C0">
        <w:t xml:space="preserve"> </w:t>
      </w:r>
      <w:r w:rsidR="00F1347B" w:rsidRPr="00EA59C0">
        <w:t>and</w:t>
      </w:r>
      <w:r w:rsidR="00C026A6" w:rsidRPr="00EA59C0">
        <w:t xml:space="preserve"> </w:t>
      </w:r>
      <w:r w:rsidR="00F1347B" w:rsidRPr="00EA59C0">
        <w:t>other</w:t>
      </w:r>
      <w:r w:rsidR="00C026A6" w:rsidRPr="00EA59C0">
        <w:t xml:space="preserve"> </w:t>
      </w:r>
      <w:r w:rsidR="00F1347B" w:rsidRPr="00EA59C0">
        <w:t>TAACCCT</w:t>
      </w:r>
      <w:r w:rsidR="00C026A6" w:rsidRPr="00EA59C0">
        <w:t xml:space="preserve"> </w:t>
      </w:r>
      <w:r w:rsidR="00F1347B" w:rsidRPr="00EA59C0">
        <w:t>participants</w:t>
      </w:r>
      <w:r w:rsidR="00B27818" w:rsidRPr="00EA59C0">
        <w:t>.</w:t>
      </w:r>
      <w:r w:rsidR="00C026A6" w:rsidRPr="00EA59C0">
        <w:t xml:space="preserve">  </w:t>
      </w:r>
      <w:r w:rsidRPr="00EA59C0">
        <w:t>Specific</w:t>
      </w:r>
      <w:r w:rsidR="00C026A6" w:rsidRPr="00EA59C0">
        <w:t xml:space="preserve"> </w:t>
      </w:r>
      <w:r w:rsidRPr="00EA59C0">
        <w:t>strategies</w:t>
      </w:r>
      <w:r w:rsidR="00C026A6" w:rsidRPr="00EA59C0">
        <w:t xml:space="preserve"> </w:t>
      </w:r>
      <w:r w:rsidRPr="00EA59C0">
        <w:t>could</w:t>
      </w:r>
      <w:r w:rsidR="00C026A6" w:rsidRPr="00EA59C0">
        <w:t xml:space="preserve"> </w:t>
      </w:r>
      <w:r w:rsidRPr="00EA59C0">
        <w:t>include:</w:t>
      </w:r>
      <w:r w:rsidR="00C026A6" w:rsidRPr="00EA59C0">
        <w:t xml:space="preserve"> </w:t>
      </w:r>
      <w:r w:rsidRPr="00EA59C0">
        <w:t>career</w:t>
      </w:r>
      <w:r w:rsidR="00C026A6" w:rsidRPr="00EA59C0">
        <w:t xml:space="preserve"> </w:t>
      </w:r>
      <w:r w:rsidRPr="00EA59C0">
        <w:t>success</w:t>
      </w:r>
      <w:r w:rsidR="00C026A6" w:rsidRPr="00EA59C0">
        <w:t xml:space="preserve"> </w:t>
      </w:r>
      <w:r w:rsidRPr="00EA59C0">
        <w:t>coaching,</w:t>
      </w:r>
      <w:r w:rsidR="00C026A6" w:rsidRPr="00EA59C0">
        <w:t xml:space="preserve"> </w:t>
      </w:r>
      <w:r w:rsidRPr="00EA59C0">
        <w:t>intrusive</w:t>
      </w:r>
      <w:r w:rsidR="00C026A6" w:rsidRPr="00EA59C0">
        <w:t xml:space="preserve"> </w:t>
      </w:r>
      <w:r w:rsidRPr="00EA59C0">
        <w:t>counseling,</w:t>
      </w:r>
      <w:r w:rsidR="00C026A6" w:rsidRPr="00EA59C0">
        <w:t xml:space="preserve"> </w:t>
      </w:r>
      <w:r w:rsidRPr="00EA59C0">
        <w:t>comprehensive</w:t>
      </w:r>
      <w:r w:rsidR="00C026A6" w:rsidRPr="00EA59C0">
        <w:t xml:space="preserve"> </w:t>
      </w:r>
      <w:r w:rsidRPr="00EA59C0">
        <w:t>case</w:t>
      </w:r>
      <w:r w:rsidR="00C026A6" w:rsidRPr="00EA59C0">
        <w:t xml:space="preserve"> </w:t>
      </w:r>
      <w:r w:rsidRPr="00EA59C0">
        <w:t>management,</w:t>
      </w:r>
      <w:r w:rsidR="00C026A6" w:rsidRPr="00EA59C0">
        <w:t xml:space="preserve"> </w:t>
      </w:r>
      <w:r w:rsidRPr="00EA59C0">
        <w:t>expanded</w:t>
      </w:r>
      <w:r w:rsidR="00C026A6" w:rsidRPr="00EA59C0">
        <w:t xml:space="preserve"> </w:t>
      </w:r>
      <w:r w:rsidRPr="00EA59C0">
        <w:t>and</w:t>
      </w:r>
      <w:r w:rsidR="00C026A6" w:rsidRPr="00EA59C0">
        <w:t xml:space="preserve"> </w:t>
      </w:r>
      <w:r w:rsidRPr="00EA59C0">
        <w:t>extensive</w:t>
      </w:r>
      <w:r w:rsidR="00C026A6" w:rsidRPr="00EA59C0">
        <w:t xml:space="preserve"> </w:t>
      </w:r>
      <w:r w:rsidRPr="00EA59C0">
        <w:t>mentoring</w:t>
      </w:r>
      <w:r w:rsidR="00C026A6" w:rsidRPr="00EA59C0">
        <w:t xml:space="preserve"> </w:t>
      </w:r>
      <w:r w:rsidRPr="00EA59C0">
        <w:t>services,</w:t>
      </w:r>
      <w:r w:rsidR="00C026A6" w:rsidRPr="00EA59C0">
        <w:t xml:space="preserve"> </w:t>
      </w:r>
      <w:r w:rsidRPr="00EA59C0">
        <w:t>technology-enabled</w:t>
      </w:r>
      <w:r w:rsidR="00C026A6" w:rsidRPr="00EA59C0">
        <w:t xml:space="preserve"> </w:t>
      </w:r>
      <w:r w:rsidRPr="00EA59C0">
        <w:t>advising,</w:t>
      </w:r>
      <w:r w:rsidR="00C026A6" w:rsidRPr="00EA59C0">
        <w:t xml:space="preserve"> </w:t>
      </w:r>
      <w:r w:rsidRPr="00EA59C0">
        <w:t>etc.</w:t>
      </w:r>
    </w:p>
    <w:p w:rsidR="009359A6" w:rsidRPr="00EA59C0" w:rsidRDefault="009359A6" w:rsidP="00080097">
      <w:pPr>
        <w:pStyle w:val="ListParagraph"/>
        <w:numPr>
          <w:ilvl w:val="0"/>
          <w:numId w:val="21"/>
        </w:numPr>
      </w:pPr>
      <w:r w:rsidRPr="00EA59C0">
        <w:t>Adopt</w:t>
      </w:r>
      <w:r w:rsidR="00C026A6" w:rsidRPr="00EA59C0">
        <w:t xml:space="preserve"> </w:t>
      </w:r>
      <w:r w:rsidRPr="00EA59C0">
        <w:t>innovative</w:t>
      </w:r>
      <w:r w:rsidR="00C026A6" w:rsidRPr="00EA59C0">
        <w:t xml:space="preserve"> </w:t>
      </w:r>
      <w:r w:rsidRPr="00EA59C0">
        <w:t>practices</w:t>
      </w:r>
      <w:r w:rsidR="00C026A6" w:rsidRPr="00EA59C0">
        <w:t xml:space="preserve"> </w:t>
      </w:r>
      <w:r w:rsidRPr="00EA59C0">
        <w:t>to</w:t>
      </w:r>
      <w:r w:rsidR="00C026A6" w:rsidRPr="00EA59C0">
        <w:t xml:space="preserve"> </w:t>
      </w:r>
      <w:r w:rsidRPr="00EA59C0">
        <w:t>accelerate</w:t>
      </w:r>
      <w:r w:rsidR="00C026A6" w:rsidRPr="00EA59C0">
        <w:t xml:space="preserve"> </w:t>
      </w:r>
      <w:r w:rsidRPr="00EA59C0">
        <w:t>credit</w:t>
      </w:r>
      <w:r w:rsidR="00C026A6" w:rsidRPr="00EA59C0">
        <w:t xml:space="preserve"> </w:t>
      </w:r>
      <w:r w:rsidRPr="00EA59C0">
        <w:t>accumulation</w:t>
      </w:r>
      <w:r w:rsidR="00C026A6" w:rsidRPr="00EA59C0">
        <w:t xml:space="preserve"> </w:t>
      </w:r>
      <w:r w:rsidRPr="00EA59C0">
        <w:t>and</w:t>
      </w:r>
      <w:r w:rsidR="00C026A6" w:rsidRPr="00EA59C0">
        <w:t xml:space="preserve"> </w:t>
      </w:r>
      <w:r w:rsidRPr="00EA59C0">
        <w:t>credential</w:t>
      </w:r>
      <w:r w:rsidR="00C026A6" w:rsidRPr="00EA59C0">
        <w:t xml:space="preserve"> </w:t>
      </w:r>
      <w:r w:rsidRPr="00EA59C0">
        <w:t>attainment</w:t>
      </w:r>
      <w:r w:rsidR="00C026A6" w:rsidRPr="00EA59C0">
        <w:t xml:space="preserve"> </w:t>
      </w:r>
      <w:r w:rsidR="00F1347B" w:rsidRPr="00EA59C0">
        <w:t>for</w:t>
      </w:r>
      <w:r w:rsidR="00C026A6" w:rsidRPr="00EA59C0">
        <w:t xml:space="preserve"> </w:t>
      </w:r>
      <w:r w:rsidR="00F1347B" w:rsidRPr="00EA59C0">
        <w:t>TAA-eligible</w:t>
      </w:r>
      <w:r w:rsidR="00C026A6" w:rsidRPr="00EA59C0">
        <w:t xml:space="preserve"> </w:t>
      </w:r>
      <w:r w:rsidR="00F1347B" w:rsidRPr="00EA59C0">
        <w:t>workers</w:t>
      </w:r>
      <w:r w:rsidR="00C026A6" w:rsidRPr="00EA59C0">
        <w:t xml:space="preserve"> </w:t>
      </w:r>
      <w:r w:rsidR="00F1347B" w:rsidRPr="00EA59C0">
        <w:t>and</w:t>
      </w:r>
      <w:r w:rsidR="00C026A6" w:rsidRPr="00EA59C0">
        <w:t xml:space="preserve"> </w:t>
      </w:r>
      <w:r w:rsidR="00F1347B" w:rsidRPr="00EA59C0">
        <w:t>other</w:t>
      </w:r>
      <w:r w:rsidR="00C026A6" w:rsidRPr="00EA59C0">
        <w:t xml:space="preserve"> </w:t>
      </w:r>
      <w:r w:rsidR="00F1347B" w:rsidRPr="00EA59C0">
        <w:t>TAACCCT</w:t>
      </w:r>
      <w:r w:rsidR="00C026A6" w:rsidRPr="00EA59C0">
        <w:t xml:space="preserve"> </w:t>
      </w:r>
      <w:r w:rsidR="00F1347B" w:rsidRPr="00EA59C0">
        <w:t>participants</w:t>
      </w:r>
      <w:r w:rsidRPr="00EA59C0">
        <w:t>,</w:t>
      </w:r>
      <w:r w:rsidR="00C026A6" w:rsidRPr="00EA59C0">
        <w:t xml:space="preserve"> </w:t>
      </w:r>
      <w:r w:rsidRPr="00EA59C0">
        <w:t>such</w:t>
      </w:r>
      <w:r w:rsidR="00C026A6" w:rsidRPr="00EA59C0">
        <w:t xml:space="preserve"> </w:t>
      </w:r>
      <w:r w:rsidRPr="00EA59C0">
        <w:t>as</w:t>
      </w:r>
      <w:r w:rsidR="00C026A6" w:rsidRPr="00EA59C0">
        <w:t xml:space="preserve"> </w:t>
      </w:r>
      <w:r w:rsidRPr="00EA59C0">
        <w:t>competency-based</w:t>
      </w:r>
      <w:r w:rsidR="00C026A6" w:rsidRPr="00EA59C0">
        <w:t xml:space="preserve"> </w:t>
      </w:r>
      <w:r w:rsidRPr="00EA59C0">
        <w:t>education</w:t>
      </w:r>
      <w:r w:rsidR="00C026A6" w:rsidRPr="00EA59C0">
        <w:t xml:space="preserve"> </w:t>
      </w:r>
      <w:r w:rsidRPr="00EA59C0">
        <w:t>(CBE),</w:t>
      </w:r>
      <w:r w:rsidR="00C026A6" w:rsidRPr="00EA59C0">
        <w:t xml:space="preserve"> </w:t>
      </w:r>
      <w:r w:rsidRPr="00EA59C0">
        <w:t>prior</w:t>
      </w:r>
      <w:r w:rsidR="00C026A6" w:rsidRPr="00EA59C0">
        <w:t xml:space="preserve"> </w:t>
      </w:r>
      <w:r w:rsidRPr="00EA59C0">
        <w:t>learning</w:t>
      </w:r>
      <w:r w:rsidR="00C026A6" w:rsidRPr="00EA59C0">
        <w:t xml:space="preserve"> </w:t>
      </w:r>
      <w:r w:rsidRPr="00EA59C0">
        <w:t>assessments</w:t>
      </w:r>
      <w:r w:rsidR="00C026A6" w:rsidRPr="00EA59C0">
        <w:t xml:space="preserve"> </w:t>
      </w:r>
      <w:r w:rsidRPr="00EA59C0">
        <w:t>(PLA),</w:t>
      </w:r>
      <w:r w:rsidR="00C026A6" w:rsidRPr="00EA59C0">
        <w:t xml:space="preserve"> </w:t>
      </w:r>
      <w:r w:rsidRPr="00EA59C0">
        <w:t>organizing</w:t>
      </w:r>
      <w:r w:rsidR="00C026A6" w:rsidRPr="00EA59C0">
        <w:t xml:space="preserve"> </w:t>
      </w:r>
      <w:r w:rsidRPr="00EA59C0">
        <w:t>courses</w:t>
      </w:r>
      <w:r w:rsidR="00C026A6" w:rsidRPr="00EA59C0">
        <w:t xml:space="preserve"> </w:t>
      </w:r>
      <w:r w:rsidRPr="00EA59C0">
        <w:t>into</w:t>
      </w:r>
      <w:r w:rsidR="00C026A6" w:rsidRPr="00EA59C0">
        <w:t xml:space="preserve"> </w:t>
      </w:r>
      <w:r w:rsidRPr="00EA59C0">
        <w:t>a</w:t>
      </w:r>
      <w:r w:rsidR="00C026A6" w:rsidRPr="00EA59C0">
        <w:t xml:space="preserve"> </w:t>
      </w:r>
      <w:r w:rsidRPr="00EA59C0">
        <w:t>limited</w:t>
      </w:r>
      <w:r w:rsidR="00C026A6" w:rsidRPr="00EA59C0">
        <w:t xml:space="preserve"> </w:t>
      </w:r>
      <w:r w:rsidRPr="00EA59C0">
        <w:t>number</w:t>
      </w:r>
      <w:r w:rsidR="00C026A6" w:rsidRPr="00EA59C0">
        <w:t xml:space="preserve"> </w:t>
      </w:r>
      <w:r w:rsidRPr="00EA59C0">
        <w:t>of</w:t>
      </w:r>
      <w:r w:rsidR="00C026A6" w:rsidRPr="00EA59C0">
        <w:t xml:space="preserve"> </w:t>
      </w:r>
      <w:r w:rsidRPr="00EA59C0">
        <w:t>structured</w:t>
      </w:r>
      <w:r w:rsidR="00C026A6" w:rsidRPr="00EA59C0">
        <w:t xml:space="preserve"> </w:t>
      </w:r>
      <w:r w:rsidRPr="00EA59C0">
        <w:t>certificate</w:t>
      </w:r>
      <w:r w:rsidR="00C026A6" w:rsidRPr="00EA59C0">
        <w:t xml:space="preserve"> </w:t>
      </w:r>
      <w:r w:rsidRPr="00EA59C0">
        <w:t>and</w:t>
      </w:r>
      <w:r w:rsidR="00C026A6" w:rsidRPr="00EA59C0">
        <w:t xml:space="preserve"> </w:t>
      </w:r>
      <w:r w:rsidRPr="00EA59C0">
        <w:t>degree</w:t>
      </w:r>
      <w:r w:rsidR="00C026A6" w:rsidRPr="00EA59C0">
        <w:t xml:space="preserve"> </w:t>
      </w:r>
      <w:r w:rsidRPr="00EA59C0">
        <w:t>pathways,</w:t>
      </w:r>
      <w:r w:rsidR="00C026A6" w:rsidRPr="00EA59C0">
        <w:t xml:space="preserve"> </w:t>
      </w:r>
      <w:r w:rsidRPr="00EA59C0">
        <w:t>and</w:t>
      </w:r>
      <w:r w:rsidR="00C026A6" w:rsidRPr="00EA59C0">
        <w:t xml:space="preserve"> </w:t>
      </w:r>
      <w:r w:rsidRPr="00EA59C0">
        <w:t>advanced</w:t>
      </w:r>
      <w:r w:rsidR="00C026A6" w:rsidRPr="00EA59C0">
        <w:t xml:space="preserve"> </w:t>
      </w:r>
      <w:r w:rsidRPr="00EA59C0">
        <w:t>training</w:t>
      </w:r>
      <w:r w:rsidR="00C026A6" w:rsidRPr="00EA59C0">
        <w:t xml:space="preserve"> </w:t>
      </w:r>
      <w:r w:rsidRPr="00EA59C0">
        <w:t>technologies</w:t>
      </w:r>
      <w:r w:rsidR="00C026A6" w:rsidRPr="00EA59C0">
        <w:t xml:space="preserve"> </w:t>
      </w:r>
      <w:r w:rsidRPr="00EA59C0">
        <w:t>for</w:t>
      </w:r>
      <w:r w:rsidR="00C026A6" w:rsidRPr="00EA59C0">
        <w:t xml:space="preserve"> </w:t>
      </w:r>
      <w:r w:rsidRPr="00EA59C0">
        <w:t>rapid</w:t>
      </w:r>
      <w:r w:rsidR="00C026A6" w:rsidRPr="00EA59C0">
        <w:t xml:space="preserve"> </w:t>
      </w:r>
      <w:r w:rsidRPr="00EA59C0">
        <w:t>feedback</w:t>
      </w:r>
      <w:r w:rsidR="00C026A6" w:rsidRPr="00EA59C0">
        <w:t xml:space="preserve"> </w:t>
      </w:r>
      <w:r w:rsidRPr="00EA59C0">
        <w:t>and</w:t>
      </w:r>
      <w:r w:rsidR="00C026A6" w:rsidRPr="00EA59C0">
        <w:t xml:space="preserve"> </w:t>
      </w:r>
      <w:r w:rsidRPr="00EA59C0">
        <w:t>adaptive</w:t>
      </w:r>
      <w:r w:rsidR="00C026A6" w:rsidRPr="00EA59C0">
        <w:t xml:space="preserve"> </w:t>
      </w:r>
      <w:r w:rsidRPr="00EA59C0">
        <w:t>learning.</w:t>
      </w:r>
      <w:r w:rsidR="00C026A6" w:rsidRPr="00EA59C0">
        <w:t xml:space="preserve">  </w:t>
      </w:r>
    </w:p>
    <w:p w:rsidR="009359A6" w:rsidRPr="00EA59C0" w:rsidRDefault="009359A6" w:rsidP="00313EB6">
      <w:pPr>
        <w:pStyle w:val="ListParagraph"/>
        <w:ind w:left="1800"/>
      </w:pPr>
    </w:p>
    <w:p w:rsidR="00FA1499" w:rsidRPr="00EA59C0" w:rsidRDefault="003C1FB3" w:rsidP="00080097">
      <w:pPr>
        <w:pStyle w:val="ListParagraph"/>
        <w:numPr>
          <w:ilvl w:val="0"/>
          <w:numId w:val="21"/>
        </w:numPr>
      </w:pPr>
      <w:r w:rsidRPr="00EA59C0">
        <w:t>Expand</w:t>
      </w:r>
      <w:r w:rsidR="00C026A6" w:rsidRPr="00EA59C0">
        <w:t xml:space="preserve"> </w:t>
      </w:r>
      <w:r w:rsidRPr="00EA59C0">
        <w:t>articulation</w:t>
      </w:r>
      <w:r w:rsidR="00C026A6" w:rsidRPr="00EA59C0">
        <w:t xml:space="preserve"> </w:t>
      </w:r>
      <w:r w:rsidRPr="00EA59C0">
        <w:t>agreements</w:t>
      </w:r>
      <w:r w:rsidR="00C026A6" w:rsidRPr="00EA59C0">
        <w:t xml:space="preserve"> </w:t>
      </w:r>
      <w:r w:rsidRPr="00EA59C0">
        <w:t>throughout</w:t>
      </w:r>
      <w:r w:rsidR="00C026A6" w:rsidRPr="00EA59C0">
        <w:t xml:space="preserve"> </w:t>
      </w:r>
      <w:r w:rsidRPr="00EA59C0">
        <w:t>a</w:t>
      </w:r>
      <w:r w:rsidR="00C026A6" w:rsidRPr="00EA59C0">
        <w:t xml:space="preserve"> </w:t>
      </w:r>
      <w:r w:rsidRPr="00EA59C0">
        <w:t>career</w:t>
      </w:r>
      <w:r w:rsidR="00C026A6" w:rsidRPr="00EA59C0">
        <w:t xml:space="preserve"> </w:t>
      </w:r>
      <w:r w:rsidRPr="00EA59C0">
        <w:t>pathway,</w:t>
      </w:r>
      <w:r w:rsidR="00C026A6" w:rsidRPr="00EA59C0">
        <w:t xml:space="preserve"> </w:t>
      </w:r>
      <w:r w:rsidRPr="00EA59C0">
        <w:t>to</w:t>
      </w:r>
      <w:r w:rsidR="00C026A6" w:rsidRPr="00EA59C0">
        <w:t xml:space="preserve"> </w:t>
      </w:r>
      <w:r w:rsidRPr="00EA59C0">
        <w:t>encompass</w:t>
      </w:r>
      <w:r w:rsidR="00C026A6" w:rsidRPr="00EA59C0">
        <w:t xml:space="preserve"> </w:t>
      </w:r>
      <w:r w:rsidRPr="00EA59C0">
        <w:t>bridge</w:t>
      </w:r>
      <w:r w:rsidR="00C026A6" w:rsidRPr="00EA59C0">
        <w:t xml:space="preserve"> </w:t>
      </w:r>
      <w:r w:rsidRPr="00EA59C0">
        <w:t>programs,</w:t>
      </w:r>
      <w:r w:rsidR="00C026A6" w:rsidRPr="00EA59C0">
        <w:t xml:space="preserve"> </w:t>
      </w:r>
      <w:r w:rsidRPr="00EA59C0">
        <w:t>career</w:t>
      </w:r>
      <w:r w:rsidR="00C026A6" w:rsidRPr="00EA59C0">
        <w:t xml:space="preserve"> </w:t>
      </w:r>
      <w:r w:rsidRPr="00EA59C0">
        <w:t>and</w:t>
      </w:r>
      <w:r w:rsidR="00C026A6" w:rsidRPr="00EA59C0">
        <w:t xml:space="preserve"> </w:t>
      </w:r>
      <w:r w:rsidRPr="00EA59C0">
        <w:t>technical</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and</w:t>
      </w:r>
      <w:r w:rsidR="00C026A6" w:rsidRPr="00EA59C0">
        <w:t xml:space="preserve"> </w:t>
      </w:r>
      <w:r w:rsidRPr="00EA59C0">
        <w:t>work-based</w:t>
      </w:r>
      <w:r w:rsidR="00C026A6" w:rsidRPr="00EA59C0">
        <w:t xml:space="preserve"> </w:t>
      </w:r>
      <w:r w:rsidR="007F3DDE" w:rsidRPr="00EA59C0">
        <w:t>training</w:t>
      </w:r>
      <w:r w:rsidRPr="00EA59C0">
        <w:t>,</w:t>
      </w:r>
      <w:r w:rsidR="00C026A6" w:rsidRPr="00EA59C0">
        <w:t xml:space="preserve"> </w:t>
      </w:r>
      <w:r w:rsidRPr="00EA59C0">
        <w:t>across</w:t>
      </w:r>
      <w:r w:rsidR="00C026A6" w:rsidRPr="00EA59C0">
        <w:t xml:space="preserve"> </w:t>
      </w:r>
      <w:r w:rsidRPr="00EA59C0">
        <w:t>conso</w:t>
      </w:r>
      <w:r w:rsidR="006470D0" w:rsidRPr="00EA59C0">
        <w:t>rtia</w:t>
      </w:r>
      <w:r w:rsidR="00C026A6" w:rsidRPr="00EA59C0">
        <w:t xml:space="preserve"> </w:t>
      </w:r>
      <w:r w:rsidR="006470D0" w:rsidRPr="00EA59C0">
        <w:t>members</w:t>
      </w:r>
      <w:r w:rsidR="00C026A6" w:rsidRPr="00EA59C0">
        <w:t xml:space="preserve"> </w:t>
      </w:r>
      <w:r w:rsidR="006470D0" w:rsidRPr="00EA59C0">
        <w:t>and</w:t>
      </w:r>
      <w:r w:rsidR="00C026A6" w:rsidRPr="00EA59C0">
        <w:t xml:space="preserve"> </w:t>
      </w:r>
      <w:r w:rsidR="006470D0" w:rsidRPr="00EA59C0">
        <w:t>with</w:t>
      </w:r>
      <w:r w:rsidR="00C026A6" w:rsidRPr="00EA59C0">
        <w:t xml:space="preserve"> </w:t>
      </w:r>
      <w:r w:rsidR="006470D0" w:rsidRPr="00EA59C0">
        <w:t>the</w:t>
      </w:r>
      <w:r w:rsidR="00C026A6" w:rsidRPr="00EA59C0">
        <w:t xml:space="preserve"> </w:t>
      </w:r>
      <w:r w:rsidR="006470D0" w:rsidRPr="00EA59C0">
        <w:t>State’</w:t>
      </w:r>
      <w:r w:rsidRPr="00EA59C0">
        <w:t>s</w:t>
      </w:r>
      <w:r w:rsidR="00C026A6" w:rsidRPr="00EA59C0">
        <w:t xml:space="preserve"> </w:t>
      </w:r>
      <w:r w:rsidRPr="00EA59C0">
        <w:t>four-year</w:t>
      </w:r>
      <w:r w:rsidR="00C026A6" w:rsidRPr="00EA59C0">
        <w:t xml:space="preserve"> </w:t>
      </w:r>
      <w:r w:rsidRPr="00EA59C0">
        <w:t>public</w:t>
      </w:r>
      <w:r w:rsidR="00C026A6" w:rsidRPr="00EA59C0">
        <w:t xml:space="preserve"> </w:t>
      </w:r>
      <w:r w:rsidRPr="00EA59C0">
        <w:t>university</w:t>
      </w:r>
      <w:r w:rsidR="00C026A6" w:rsidRPr="00EA59C0">
        <w:t xml:space="preserve"> </w:t>
      </w:r>
      <w:r w:rsidRPr="00EA59C0">
        <w:t>system(s)</w:t>
      </w:r>
      <w:r w:rsidR="00C026A6" w:rsidRPr="00EA59C0">
        <w:t xml:space="preserve"> </w:t>
      </w:r>
      <w:r w:rsidRPr="00EA59C0">
        <w:t>to</w:t>
      </w:r>
      <w:r w:rsidR="00C026A6" w:rsidRPr="00EA59C0">
        <w:t xml:space="preserve"> </w:t>
      </w:r>
      <w:r w:rsidRPr="00EA59C0">
        <w:t>promote</w:t>
      </w:r>
      <w:r w:rsidR="00C026A6" w:rsidRPr="00EA59C0">
        <w:t xml:space="preserve"> </w:t>
      </w:r>
      <w:r w:rsidRPr="00EA59C0">
        <w:t>greater</w:t>
      </w:r>
      <w:r w:rsidR="00C026A6" w:rsidRPr="00EA59C0">
        <w:t xml:space="preserve"> </w:t>
      </w:r>
      <w:r w:rsidRPr="00EA59C0">
        <w:t>student</w:t>
      </w:r>
      <w:r w:rsidR="00C026A6" w:rsidRPr="00EA59C0">
        <w:t xml:space="preserve"> </w:t>
      </w:r>
      <w:r w:rsidRPr="00EA59C0">
        <w:t>mobility</w:t>
      </w:r>
      <w:r w:rsidR="00C026A6" w:rsidRPr="00EA59C0">
        <w:t xml:space="preserve"> </w:t>
      </w:r>
      <w:r w:rsidRPr="00EA59C0">
        <w:t>and</w:t>
      </w:r>
      <w:r w:rsidR="00C026A6" w:rsidRPr="00EA59C0">
        <w:t xml:space="preserve"> </w:t>
      </w:r>
      <w:r w:rsidRPr="00EA59C0">
        <w:t>faster</w:t>
      </w:r>
      <w:r w:rsidR="00C026A6" w:rsidRPr="00EA59C0">
        <w:t xml:space="preserve"> </w:t>
      </w:r>
      <w:r w:rsidRPr="00EA59C0">
        <w:t>completion</w:t>
      </w:r>
      <w:r w:rsidR="00C026A6" w:rsidRPr="00EA59C0">
        <w:t xml:space="preserve"> </w:t>
      </w:r>
      <w:r w:rsidRPr="00EA59C0">
        <w:t>of</w:t>
      </w:r>
      <w:r w:rsidR="00C026A6" w:rsidRPr="00EA59C0">
        <w:t xml:space="preserve"> </w:t>
      </w:r>
      <w:r w:rsidRPr="00EA59C0">
        <w:t>certifications</w:t>
      </w:r>
      <w:r w:rsidR="00C026A6" w:rsidRPr="00EA59C0">
        <w:t xml:space="preserve"> </w:t>
      </w:r>
      <w:r w:rsidRPr="00EA59C0">
        <w:t>and</w:t>
      </w:r>
      <w:r w:rsidR="00C026A6" w:rsidRPr="00EA59C0">
        <w:t xml:space="preserve"> </w:t>
      </w:r>
      <w:r w:rsidRPr="00EA59C0">
        <w:t>degrees</w:t>
      </w:r>
      <w:r w:rsidR="00C026A6" w:rsidRPr="00EA59C0">
        <w:t xml:space="preserve"> </w:t>
      </w:r>
      <w:r w:rsidR="00F1347B" w:rsidRPr="00EA59C0">
        <w:t>awarded</w:t>
      </w:r>
      <w:r w:rsidR="00C026A6" w:rsidRPr="00EA59C0">
        <w:t xml:space="preserve"> </w:t>
      </w:r>
      <w:r w:rsidR="00F1347B" w:rsidRPr="00EA59C0">
        <w:t>after</w:t>
      </w:r>
      <w:r w:rsidR="00C026A6" w:rsidRPr="00EA59C0">
        <w:t xml:space="preserve"> </w:t>
      </w:r>
      <w:r w:rsidR="00F1347B" w:rsidRPr="00EA59C0">
        <w:t>completion</w:t>
      </w:r>
      <w:r w:rsidR="00C026A6" w:rsidRPr="00EA59C0">
        <w:t xml:space="preserve"> </w:t>
      </w:r>
      <w:r w:rsidR="00F1347B" w:rsidRPr="00EA59C0">
        <w:t>of</w:t>
      </w:r>
      <w:r w:rsidR="00C026A6" w:rsidRPr="00EA59C0">
        <w:t xml:space="preserve"> </w:t>
      </w:r>
      <w:r w:rsidR="00F1347B" w:rsidRPr="00EA59C0">
        <w:t>TAACCCT</w:t>
      </w:r>
      <w:r w:rsidR="00C026A6" w:rsidRPr="00EA59C0">
        <w:t xml:space="preserve"> </w:t>
      </w:r>
      <w:r w:rsidR="00F1347B" w:rsidRPr="00EA59C0">
        <w:t>programs</w:t>
      </w:r>
      <w:r w:rsidRPr="00EA59C0">
        <w:t>.</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should</w:t>
      </w:r>
      <w:r w:rsidR="00C026A6" w:rsidRPr="00EA59C0">
        <w:t xml:space="preserve"> </w:t>
      </w:r>
      <w:r w:rsidRPr="00EA59C0">
        <w:t>also</w:t>
      </w:r>
      <w:r w:rsidR="00C026A6" w:rsidRPr="00EA59C0">
        <w:t xml:space="preserve"> </w:t>
      </w:r>
      <w:r w:rsidRPr="00EA59C0">
        <w:t>work</w:t>
      </w:r>
      <w:r w:rsidR="00C026A6" w:rsidRPr="00EA59C0">
        <w:t xml:space="preserve"> </w:t>
      </w:r>
      <w:r w:rsidRPr="00EA59C0">
        <w:t>to</w:t>
      </w:r>
      <w:r w:rsidR="00C026A6" w:rsidRPr="00EA59C0">
        <w:t xml:space="preserve"> </w:t>
      </w:r>
      <w:r w:rsidRPr="00EA59C0">
        <w:t>establish</w:t>
      </w:r>
      <w:r w:rsidR="00C026A6" w:rsidRPr="00EA59C0">
        <w:t xml:space="preserve"> </w:t>
      </w:r>
      <w:r w:rsidRPr="00EA59C0">
        <w:t>2+2</w:t>
      </w:r>
      <w:r w:rsidR="00C026A6" w:rsidRPr="00EA59C0">
        <w:t xml:space="preserve"> </w:t>
      </w:r>
      <w:r w:rsidRPr="00EA59C0">
        <w:t>deg</w:t>
      </w:r>
      <w:r w:rsidR="006470D0" w:rsidRPr="00EA59C0">
        <w:t>ree</w:t>
      </w:r>
      <w:r w:rsidR="00C026A6" w:rsidRPr="00EA59C0">
        <w:t xml:space="preserve"> </w:t>
      </w:r>
      <w:r w:rsidR="006470D0" w:rsidRPr="00EA59C0">
        <w:t>partnerships</w:t>
      </w:r>
      <w:r w:rsidR="00C026A6" w:rsidRPr="00EA59C0">
        <w:t xml:space="preserve"> </w:t>
      </w:r>
      <w:r w:rsidR="006470D0" w:rsidRPr="00EA59C0">
        <w:t>with</w:t>
      </w:r>
      <w:r w:rsidR="00C026A6" w:rsidRPr="00EA59C0">
        <w:t xml:space="preserve"> </w:t>
      </w:r>
      <w:r w:rsidR="006470D0" w:rsidRPr="00EA59C0">
        <w:t>the</w:t>
      </w:r>
      <w:r w:rsidR="00C026A6" w:rsidRPr="00EA59C0">
        <w:t xml:space="preserve"> </w:t>
      </w:r>
      <w:r w:rsidR="006470D0" w:rsidRPr="00EA59C0">
        <w:t>State’</w:t>
      </w:r>
      <w:r w:rsidRPr="00EA59C0">
        <w:t>s</w:t>
      </w:r>
      <w:r w:rsidR="00C026A6" w:rsidRPr="00EA59C0">
        <w:t xml:space="preserve"> </w:t>
      </w:r>
      <w:r w:rsidRPr="00EA59C0">
        <w:t>four-year</w:t>
      </w:r>
      <w:r w:rsidR="00C026A6" w:rsidRPr="00EA59C0">
        <w:t xml:space="preserve"> </w:t>
      </w:r>
      <w:r w:rsidRPr="00EA59C0">
        <w:t>public</w:t>
      </w:r>
      <w:r w:rsidR="00C026A6" w:rsidRPr="00EA59C0">
        <w:t xml:space="preserve"> </w:t>
      </w:r>
      <w:r w:rsidRPr="00EA59C0">
        <w:t>university</w:t>
      </w:r>
      <w:r w:rsidR="00C026A6" w:rsidRPr="00EA59C0">
        <w:t xml:space="preserve"> </w:t>
      </w:r>
      <w:r w:rsidRPr="00EA59C0">
        <w:t>system(s)</w:t>
      </w:r>
      <w:r w:rsidR="00C026A6" w:rsidRPr="00EA59C0">
        <w:t xml:space="preserve"> </w:t>
      </w:r>
      <w:r w:rsidR="00F1347B" w:rsidRPr="00EA59C0">
        <w:t>to</w:t>
      </w:r>
      <w:r w:rsidR="00C026A6" w:rsidRPr="00EA59C0">
        <w:t xml:space="preserve"> </w:t>
      </w:r>
      <w:r w:rsidR="00F1347B" w:rsidRPr="00EA59C0">
        <w:t>further</w:t>
      </w:r>
      <w:r w:rsidR="00C026A6" w:rsidRPr="00EA59C0">
        <w:t xml:space="preserve"> </w:t>
      </w:r>
      <w:r w:rsidR="00F1347B" w:rsidRPr="00EA59C0">
        <w:t>the</w:t>
      </w:r>
      <w:r w:rsidR="00C026A6" w:rsidRPr="00EA59C0">
        <w:t xml:space="preserve"> </w:t>
      </w:r>
      <w:r w:rsidR="00F1347B" w:rsidRPr="00EA59C0">
        <w:t>credential</w:t>
      </w:r>
      <w:r w:rsidR="00C026A6" w:rsidRPr="00EA59C0">
        <w:t xml:space="preserve"> </w:t>
      </w:r>
      <w:r w:rsidR="00F1347B" w:rsidRPr="00EA59C0">
        <w:t>attainment</w:t>
      </w:r>
      <w:r w:rsidR="00C026A6" w:rsidRPr="00EA59C0">
        <w:t xml:space="preserve"> </w:t>
      </w:r>
      <w:r w:rsidR="00F1347B" w:rsidRPr="00EA59C0">
        <w:t>of</w:t>
      </w:r>
      <w:r w:rsidR="00C026A6" w:rsidRPr="00EA59C0">
        <w:t xml:space="preserve"> </w:t>
      </w:r>
      <w:r w:rsidR="00F1347B" w:rsidRPr="00EA59C0">
        <w:t>TAA-eligible</w:t>
      </w:r>
      <w:r w:rsidR="00C026A6" w:rsidRPr="00EA59C0">
        <w:t xml:space="preserve"> </w:t>
      </w:r>
      <w:r w:rsidR="00F1347B" w:rsidRPr="00EA59C0">
        <w:t>workers</w:t>
      </w:r>
      <w:r w:rsidR="00C026A6" w:rsidRPr="00EA59C0">
        <w:t xml:space="preserve"> </w:t>
      </w:r>
      <w:r w:rsidR="00F1347B" w:rsidRPr="00EA59C0">
        <w:t>and</w:t>
      </w:r>
      <w:r w:rsidR="00C026A6" w:rsidRPr="00EA59C0">
        <w:t xml:space="preserve"> </w:t>
      </w:r>
      <w:r w:rsidR="00F1347B" w:rsidRPr="00EA59C0">
        <w:t>other</w:t>
      </w:r>
      <w:r w:rsidR="00C026A6" w:rsidRPr="00EA59C0">
        <w:t xml:space="preserve"> </w:t>
      </w:r>
      <w:r w:rsidR="00F1347B" w:rsidRPr="00EA59C0">
        <w:t>TAACCCT</w:t>
      </w:r>
      <w:r w:rsidR="00C026A6" w:rsidRPr="00EA59C0">
        <w:t xml:space="preserve"> </w:t>
      </w:r>
      <w:r w:rsidR="00F1347B" w:rsidRPr="00EA59C0">
        <w:t>participants</w:t>
      </w:r>
      <w:r w:rsidRPr="00EA59C0">
        <w:t>.</w:t>
      </w:r>
    </w:p>
    <w:p w:rsidR="00E73F8B" w:rsidRPr="00EA59C0" w:rsidRDefault="007402A5" w:rsidP="00080097">
      <w:pPr>
        <w:numPr>
          <w:ilvl w:val="0"/>
          <w:numId w:val="21"/>
        </w:numPr>
        <w:shd w:val="clear" w:color="auto" w:fill="FFFFFF"/>
        <w:spacing w:before="100" w:beforeAutospacing="1" w:after="100" w:afterAutospacing="1"/>
      </w:pPr>
      <w:r w:rsidRPr="00EA59C0">
        <w:t>Incorporate</w:t>
      </w:r>
      <w:r w:rsidR="00C026A6" w:rsidRPr="00EA59C0">
        <w:t xml:space="preserve"> </w:t>
      </w:r>
      <w:r w:rsidRPr="00EA59C0">
        <w:t>Registered</w:t>
      </w:r>
      <w:r w:rsidR="00C026A6" w:rsidRPr="00EA59C0">
        <w:t xml:space="preserve"> </w:t>
      </w:r>
      <w:r w:rsidRPr="00EA59C0">
        <w:t>Apprenticeship</w:t>
      </w:r>
      <w:r w:rsidR="00C026A6" w:rsidRPr="00EA59C0">
        <w:t xml:space="preserve"> </w:t>
      </w:r>
      <w:r w:rsidR="00FA1499" w:rsidRPr="00EA59C0">
        <w:t>within</w:t>
      </w:r>
      <w:r w:rsidR="00C026A6" w:rsidRPr="00EA59C0">
        <w:t xml:space="preserve"> </w:t>
      </w:r>
      <w:r w:rsidRPr="00EA59C0">
        <w:t>the</w:t>
      </w:r>
      <w:r w:rsidR="00C026A6" w:rsidRPr="00EA59C0">
        <w:t xml:space="preserve"> </w:t>
      </w:r>
      <w:r w:rsidRPr="00EA59C0">
        <w:t>state</w:t>
      </w:r>
      <w:r w:rsidR="00C026A6" w:rsidRPr="00EA59C0">
        <w:t xml:space="preserve"> </w:t>
      </w:r>
      <w:r w:rsidRPr="00EA59C0">
        <w:t>career</w:t>
      </w:r>
      <w:r w:rsidR="00C026A6" w:rsidRPr="00EA59C0">
        <w:t xml:space="preserve"> </w:t>
      </w:r>
      <w:r w:rsidRPr="00EA59C0">
        <w:t>pathway</w:t>
      </w:r>
      <w:r w:rsidR="00C026A6" w:rsidRPr="00EA59C0">
        <w:t xml:space="preserve"> </w:t>
      </w:r>
      <w:r w:rsidRPr="00EA59C0">
        <w:t>system.</w:t>
      </w:r>
      <w:r w:rsidR="00C026A6" w:rsidRPr="00EA59C0">
        <w:t xml:space="preserve">  </w:t>
      </w:r>
      <w:r w:rsidRPr="00EA59C0">
        <w:t>This</w:t>
      </w:r>
      <w:r w:rsidR="00C026A6" w:rsidRPr="00EA59C0">
        <w:t xml:space="preserve"> </w:t>
      </w:r>
      <w:r w:rsidRPr="00EA59C0">
        <w:t>could</w:t>
      </w:r>
      <w:r w:rsidR="00C026A6" w:rsidRPr="00EA59C0">
        <w:t xml:space="preserve"> </w:t>
      </w:r>
      <w:r w:rsidRPr="00EA59C0">
        <w:t>include</w:t>
      </w:r>
      <w:r w:rsidR="00C026A6" w:rsidRPr="00EA59C0">
        <w:t xml:space="preserve"> </w:t>
      </w:r>
      <w:r w:rsidRPr="00EA59C0">
        <w:t>d</w:t>
      </w:r>
      <w:r w:rsidR="00E73F8B" w:rsidRPr="00EA59C0">
        <w:t>evelop</w:t>
      </w:r>
      <w:r w:rsidRPr="00EA59C0">
        <w:t>ing</w:t>
      </w:r>
      <w:r w:rsidR="00C026A6" w:rsidRPr="00EA59C0">
        <w:t xml:space="preserve"> </w:t>
      </w:r>
      <w:r w:rsidRPr="00EA59C0">
        <w:t>new</w:t>
      </w:r>
      <w:r w:rsidR="00C026A6" w:rsidRPr="00EA59C0">
        <w:t xml:space="preserve"> </w:t>
      </w:r>
      <w:r w:rsidRPr="00EA59C0">
        <w:t>or</w:t>
      </w:r>
      <w:r w:rsidR="00C026A6" w:rsidRPr="00EA59C0">
        <w:t xml:space="preserve"> </w:t>
      </w:r>
      <w:r w:rsidRPr="00EA59C0">
        <w:t>enhancing</w:t>
      </w:r>
      <w:r w:rsidR="00C026A6" w:rsidRPr="00EA59C0">
        <w:t xml:space="preserve"> </w:t>
      </w:r>
      <w:r w:rsidR="00E73F8B" w:rsidRPr="00EA59C0">
        <w:t>existing</w:t>
      </w:r>
      <w:r w:rsidR="00C026A6" w:rsidRPr="00EA59C0">
        <w:t xml:space="preserve"> </w:t>
      </w:r>
      <w:r w:rsidR="00E73F8B" w:rsidRPr="00EA59C0">
        <w:t>Registered</w:t>
      </w:r>
      <w:r w:rsidR="00C026A6" w:rsidRPr="00EA59C0">
        <w:t xml:space="preserve"> </w:t>
      </w:r>
      <w:r w:rsidR="00E73F8B" w:rsidRPr="00EA59C0">
        <w:t>Apprentice</w:t>
      </w:r>
      <w:r w:rsidRPr="00EA59C0">
        <w:t>ship</w:t>
      </w:r>
      <w:r w:rsidR="00C026A6" w:rsidRPr="00EA59C0">
        <w:t xml:space="preserve"> </w:t>
      </w:r>
      <w:r w:rsidR="0046587E" w:rsidRPr="00EA59C0">
        <w:t>p</w:t>
      </w:r>
      <w:r w:rsidRPr="00EA59C0">
        <w:t>rograms</w:t>
      </w:r>
      <w:r w:rsidR="00C026A6" w:rsidRPr="00EA59C0">
        <w:t xml:space="preserve"> </w:t>
      </w:r>
      <w:r w:rsidR="00E73F8B" w:rsidRPr="00EA59C0">
        <w:t>across</w:t>
      </w:r>
      <w:r w:rsidR="00C026A6" w:rsidRPr="00EA59C0">
        <w:t xml:space="preserve"> </w:t>
      </w:r>
      <w:r w:rsidR="00E73F8B" w:rsidRPr="00EA59C0">
        <w:t>the</w:t>
      </w:r>
      <w:r w:rsidR="00C026A6" w:rsidRPr="00EA59C0">
        <w:t xml:space="preserve"> </w:t>
      </w:r>
      <w:r w:rsidR="006470D0" w:rsidRPr="00EA59C0">
        <w:t>state</w:t>
      </w:r>
      <w:r w:rsidR="00C026A6" w:rsidRPr="00EA59C0">
        <w:t xml:space="preserve"> </w:t>
      </w:r>
      <w:r w:rsidR="006470D0" w:rsidRPr="00EA59C0">
        <w:t>that</w:t>
      </w:r>
      <w:r w:rsidR="00C026A6" w:rsidRPr="00EA59C0">
        <w:t xml:space="preserve"> </w:t>
      </w:r>
      <w:r w:rsidR="006470D0" w:rsidRPr="00EA59C0">
        <w:t>enables</w:t>
      </w:r>
      <w:r w:rsidR="00C026A6" w:rsidRPr="00EA59C0">
        <w:t xml:space="preserve"> </w:t>
      </w:r>
      <w:r w:rsidR="00E73F8B" w:rsidRPr="00EA59C0">
        <w:t>participants</w:t>
      </w:r>
      <w:r w:rsidR="00C026A6" w:rsidRPr="00EA59C0">
        <w:t xml:space="preserve"> </w:t>
      </w:r>
      <w:r w:rsidR="00E73F8B" w:rsidRPr="00EA59C0">
        <w:t>to</w:t>
      </w:r>
      <w:r w:rsidR="00C026A6" w:rsidRPr="00EA59C0">
        <w:t xml:space="preserve"> </w:t>
      </w:r>
      <w:r w:rsidR="00E73F8B" w:rsidRPr="00EA59C0">
        <w:t>gain</w:t>
      </w:r>
      <w:r w:rsidR="00C026A6" w:rsidRPr="00EA59C0">
        <w:t xml:space="preserve"> </w:t>
      </w:r>
      <w:r w:rsidR="00E73F8B" w:rsidRPr="00EA59C0">
        <w:t>both</w:t>
      </w:r>
      <w:r w:rsidR="00C026A6" w:rsidRPr="00EA59C0">
        <w:t xml:space="preserve"> </w:t>
      </w:r>
      <w:r w:rsidR="00E73F8B" w:rsidRPr="00EA59C0">
        <w:t>apprenticeship</w:t>
      </w:r>
      <w:r w:rsidR="00C026A6" w:rsidRPr="00EA59C0">
        <w:t xml:space="preserve"> </w:t>
      </w:r>
      <w:r w:rsidR="00E73F8B" w:rsidRPr="00EA59C0">
        <w:t>credentials</w:t>
      </w:r>
      <w:r w:rsidR="00C026A6" w:rsidRPr="00EA59C0">
        <w:t xml:space="preserve"> </w:t>
      </w:r>
      <w:r w:rsidR="00E73F8B" w:rsidRPr="00EA59C0">
        <w:t>and</w:t>
      </w:r>
      <w:r w:rsidR="00C026A6" w:rsidRPr="00EA59C0">
        <w:t xml:space="preserve"> </w:t>
      </w:r>
      <w:r w:rsidR="00E73F8B" w:rsidRPr="00EA59C0">
        <w:t>academic</w:t>
      </w:r>
      <w:r w:rsidR="00C026A6" w:rsidRPr="00EA59C0">
        <w:t xml:space="preserve"> </w:t>
      </w:r>
      <w:r w:rsidR="00E73F8B" w:rsidRPr="00EA59C0">
        <w:t>credits.</w:t>
      </w:r>
      <w:r w:rsidR="00C026A6" w:rsidRPr="00EA59C0">
        <w:t xml:space="preserve">  </w:t>
      </w:r>
      <w:r w:rsidRPr="00EA59C0">
        <w:t>This</w:t>
      </w:r>
      <w:r w:rsidR="00C026A6" w:rsidRPr="00EA59C0">
        <w:t xml:space="preserve"> </w:t>
      </w:r>
      <w:r w:rsidRPr="00EA59C0">
        <w:t>could</w:t>
      </w:r>
      <w:r w:rsidR="00C026A6" w:rsidRPr="00EA59C0">
        <w:t xml:space="preserve"> </w:t>
      </w:r>
      <w:r w:rsidRPr="00EA59C0">
        <w:t>also</w:t>
      </w:r>
      <w:r w:rsidR="00C026A6" w:rsidRPr="00EA59C0">
        <w:t xml:space="preserve"> </w:t>
      </w:r>
      <w:r w:rsidRPr="00EA59C0">
        <w:t>include</w:t>
      </w:r>
      <w:r w:rsidR="00C026A6" w:rsidRPr="00EA59C0">
        <w:t xml:space="preserve"> </w:t>
      </w:r>
      <w:r w:rsidRPr="00EA59C0">
        <w:t>developing</w:t>
      </w:r>
      <w:r w:rsidR="00C026A6" w:rsidRPr="00EA59C0">
        <w:t xml:space="preserve"> </w:t>
      </w:r>
      <w:r w:rsidRPr="00EA59C0">
        <w:t>articulation</w:t>
      </w:r>
      <w:r w:rsidR="00C026A6" w:rsidRPr="00EA59C0">
        <w:t xml:space="preserve"> </w:t>
      </w:r>
      <w:r w:rsidRPr="00EA59C0">
        <w:t>agreements</w:t>
      </w:r>
      <w:r w:rsidR="00C026A6" w:rsidRPr="00EA59C0">
        <w:t xml:space="preserve"> </w:t>
      </w:r>
      <w:r w:rsidRPr="00EA59C0">
        <w:t>between</w:t>
      </w:r>
      <w:r w:rsidR="00C026A6" w:rsidRPr="00EA59C0">
        <w:t xml:space="preserve"> </w:t>
      </w:r>
      <w:r w:rsidRPr="00EA59C0">
        <w:t>Registered</w:t>
      </w:r>
      <w:r w:rsidR="00C026A6" w:rsidRPr="00EA59C0">
        <w:t xml:space="preserve"> </w:t>
      </w:r>
      <w:r w:rsidRPr="00EA59C0">
        <w:t>Apprenticeship</w:t>
      </w:r>
      <w:r w:rsidR="00C026A6" w:rsidRPr="00EA59C0">
        <w:t xml:space="preserve"> </w:t>
      </w:r>
      <w:r w:rsidRPr="00EA59C0">
        <w:t>programs</w:t>
      </w:r>
      <w:r w:rsidR="00C026A6" w:rsidRPr="00EA59C0">
        <w:t xml:space="preserve"> </w:t>
      </w:r>
      <w:r w:rsidRPr="00EA59C0">
        <w:t>and</w:t>
      </w:r>
      <w:r w:rsidR="00C026A6" w:rsidRPr="00EA59C0">
        <w:t xml:space="preserve"> </w:t>
      </w:r>
      <w:r w:rsidRPr="00EA59C0">
        <w:t>community</w:t>
      </w:r>
      <w:r w:rsidR="00C026A6" w:rsidRPr="00EA59C0">
        <w:t xml:space="preserve"> </w:t>
      </w:r>
      <w:r w:rsidRPr="00EA59C0">
        <w:t>colleges</w:t>
      </w:r>
      <w:r w:rsidR="00C026A6" w:rsidRPr="00EA59C0">
        <w:t xml:space="preserve"> </w:t>
      </w:r>
      <w:r w:rsidRPr="00EA59C0">
        <w:t>and</w:t>
      </w:r>
      <w:r w:rsidR="00C026A6" w:rsidRPr="00EA59C0">
        <w:t xml:space="preserve"> </w:t>
      </w:r>
      <w:r w:rsidRPr="00EA59C0">
        <w:t>four</w:t>
      </w:r>
      <w:r w:rsidR="00C026A6" w:rsidRPr="00EA59C0">
        <w:t xml:space="preserve"> </w:t>
      </w:r>
      <w:r w:rsidRPr="00EA59C0">
        <w:t>year</w:t>
      </w:r>
      <w:r w:rsidR="00C026A6" w:rsidRPr="00EA59C0">
        <w:t xml:space="preserve"> </w:t>
      </w:r>
      <w:r w:rsidRPr="00EA59C0">
        <w:t>university</w:t>
      </w:r>
      <w:r w:rsidR="00C026A6" w:rsidRPr="00EA59C0">
        <w:t xml:space="preserve"> </w:t>
      </w:r>
      <w:r w:rsidRPr="00EA59C0">
        <w:t>systems</w:t>
      </w:r>
      <w:r w:rsidR="00C026A6" w:rsidRPr="00EA59C0">
        <w:t xml:space="preserve"> </w:t>
      </w:r>
      <w:r w:rsidR="009A2A94" w:rsidRPr="00EA59C0">
        <w:t>statewide</w:t>
      </w:r>
      <w:r w:rsidRPr="00EA59C0">
        <w:t>,</w:t>
      </w:r>
      <w:r w:rsidR="00C026A6" w:rsidRPr="00EA59C0">
        <w:t xml:space="preserve"> </w:t>
      </w:r>
      <w:r w:rsidRPr="00EA59C0">
        <w:t>enabling</w:t>
      </w:r>
      <w:r w:rsidR="00C026A6" w:rsidRPr="00EA59C0">
        <w:t xml:space="preserve"> </w:t>
      </w:r>
      <w:r w:rsidRPr="00EA59C0">
        <w:t>apprentices</w:t>
      </w:r>
      <w:r w:rsidR="00C026A6" w:rsidRPr="00EA59C0">
        <w:t xml:space="preserve"> </w:t>
      </w:r>
      <w:r w:rsidRPr="00EA59C0">
        <w:t>to</w:t>
      </w:r>
      <w:r w:rsidR="00C026A6" w:rsidRPr="00EA59C0">
        <w:t xml:space="preserve"> </w:t>
      </w:r>
      <w:r w:rsidRPr="00EA59C0">
        <w:t>acquire</w:t>
      </w:r>
      <w:r w:rsidR="00C026A6" w:rsidRPr="00EA59C0">
        <w:t xml:space="preserve"> </w:t>
      </w:r>
      <w:r w:rsidRPr="00EA59C0">
        <w:t>academic</w:t>
      </w:r>
      <w:r w:rsidR="00C026A6" w:rsidRPr="00EA59C0">
        <w:t xml:space="preserve"> </w:t>
      </w:r>
      <w:r w:rsidRPr="00EA59C0">
        <w:t>credits</w:t>
      </w:r>
      <w:r w:rsidR="00C026A6" w:rsidRPr="00EA59C0">
        <w:t xml:space="preserve"> </w:t>
      </w:r>
      <w:r w:rsidRPr="00EA59C0">
        <w:t>towards</w:t>
      </w:r>
      <w:r w:rsidR="00C026A6" w:rsidRPr="00EA59C0">
        <w:t xml:space="preserve"> </w:t>
      </w:r>
      <w:r w:rsidRPr="00EA59C0">
        <w:t>associates</w:t>
      </w:r>
      <w:r w:rsidR="00C026A6" w:rsidRPr="00EA59C0">
        <w:t xml:space="preserve"> </w:t>
      </w:r>
      <w:r w:rsidRPr="00EA59C0">
        <w:t>and</w:t>
      </w:r>
      <w:r w:rsidR="00C026A6" w:rsidRPr="00EA59C0">
        <w:t xml:space="preserve"> </w:t>
      </w:r>
      <w:r w:rsidR="00FA1499" w:rsidRPr="00EA59C0">
        <w:t>bachelor’s</w:t>
      </w:r>
      <w:r w:rsidR="00C026A6" w:rsidRPr="00EA59C0">
        <w:t xml:space="preserve"> </w:t>
      </w:r>
      <w:r w:rsidR="00E73F8B" w:rsidRPr="00EA59C0">
        <w:t>degrees,</w:t>
      </w:r>
      <w:r w:rsidR="00C026A6" w:rsidRPr="00EA59C0">
        <w:t xml:space="preserve"> </w:t>
      </w:r>
      <w:r w:rsidRPr="00EA59C0">
        <w:t>respectively.</w:t>
      </w:r>
      <w:r w:rsidR="00C026A6" w:rsidRPr="00EA59C0">
        <w:t xml:space="preserve"> </w:t>
      </w:r>
    </w:p>
    <w:p w:rsidR="00E73F8B" w:rsidRPr="00EA59C0" w:rsidRDefault="00E73F8B" w:rsidP="00193959">
      <w:pPr>
        <w:ind w:left="1440"/>
      </w:pPr>
    </w:p>
    <w:p w:rsidR="000643C1" w:rsidRPr="00EA59C0" w:rsidRDefault="000643C1" w:rsidP="00D03948">
      <w:pPr>
        <w:ind w:left="1080"/>
      </w:pPr>
      <w:r w:rsidRPr="00EA59C0">
        <w:rPr>
          <w:b/>
        </w:rPr>
        <w:t>Option</w:t>
      </w:r>
      <w:r w:rsidR="00C026A6" w:rsidRPr="00EA59C0">
        <w:rPr>
          <w:b/>
        </w:rPr>
        <w:t xml:space="preserve"> </w:t>
      </w:r>
      <w:r w:rsidRPr="00EA59C0">
        <w:rPr>
          <w:b/>
        </w:rPr>
        <w:t>2:</w:t>
      </w:r>
      <w:r w:rsidR="00C026A6" w:rsidRPr="00EA59C0">
        <w:rPr>
          <w:b/>
        </w:rPr>
        <w:t xml:space="preserve">  </w:t>
      </w:r>
      <w:r w:rsidR="00E329F4" w:rsidRPr="00EA59C0">
        <w:rPr>
          <w:b/>
        </w:rPr>
        <w:t>Improve</w:t>
      </w:r>
      <w:r w:rsidR="00C026A6" w:rsidRPr="00EA59C0">
        <w:rPr>
          <w:b/>
        </w:rPr>
        <w:t xml:space="preserve"> </w:t>
      </w:r>
      <w:r w:rsidR="00E329F4" w:rsidRPr="00EA59C0">
        <w:rPr>
          <w:b/>
        </w:rPr>
        <w:t>Statewide</w:t>
      </w:r>
      <w:r w:rsidR="00C026A6" w:rsidRPr="00EA59C0">
        <w:rPr>
          <w:b/>
        </w:rPr>
        <w:t xml:space="preserve"> </w:t>
      </w:r>
      <w:r w:rsidR="00E329F4" w:rsidRPr="00EA59C0">
        <w:rPr>
          <w:b/>
        </w:rPr>
        <w:t>Data</w:t>
      </w:r>
      <w:r w:rsidR="00845063" w:rsidRPr="00EA59C0">
        <w:rPr>
          <w:b/>
        </w:rPr>
        <w:t>,</w:t>
      </w:r>
      <w:r w:rsidR="00C026A6" w:rsidRPr="00EA59C0">
        <w:rPr>
          <w:b/>
        </w:rPr>
        <w:t xml:space="preserve"> </w:t>
      </w:r>
      <w:r w:rsidR="00E329F4" w:rsidRPr="00EA59C0">
        <w:rPr>
          <w:b/>
        </w:rPr>
        <w:t>Integration,</w:t>
      </w:r>
      <w:r w:rsidR="00C026A6" w:rsidRPr="00EA59C0">
        <w:rPr>
          <w:b/>
        </w:rPr>
        <w:t xml:space="preserve"> </w:t>
      </w:r>
      <w:r w:rsidR="00E329F4" w:rsidRPr="00EA59C0">
        <w:rPr>
          <w:b/>
        </w:rPr>
        <w:t>and</w:t>
      </w:r>
      <w:r w:rsidR="00C026A6" w:rsidRPr="00EA59C0">
        <w:rPr>
          <w:b/>
        </w:rPr>
        <w:t xml:space="preserve"> </w:t>
      </w:r>
      <w:r w:rsidR="00E329F4" w:rsidRPr="00EA59C0">
        <w:rPr>
          <w:b/>
        </w:rPr>
        <w:t>Use</w:t>
      </w:r>
    </w:p>
    <w:p w:rsidR="00C47B09" w:rsidRPr="00EA59C0" w:rsidRDefault="00C47B09" w:rsidP="00C47B09">
      <w:pPr>
        <w:ind w:left="1080"/>
      </w:pPr>
      <w:r w:rsidRPr="00EA59C0">
        <w:t>Consortium</w:t>
      </w:r>
      <w:r w:rsidR="00C026A6" w:rsidRPr="00EA59C0">
        <w:t xml:space="preserve"> </w:t>
      </w:r>
      <w:r w:rsidRPr="00EA59C0">
        <w:t>applicants</w:t>
      </w:r>
      <w:r w:rsidR="00C026A6" w:rsidRPr="00EA59C0">
        <w:t xml:space="preserve"> </w:t>
      </w:r>
      <w:r w:rsidRPr="00EA59C0">
        <w:t>selecting</w:t>
      </w:r>
      <w:r w:rsidR="00C026A6" w:rsidRPr="00EA59C0">
        <w:t xml:space="preserve"> </w:t>
      </w:r>
      <w:r w:rsidRPr="00EA59C0">
        <w:t>this</w:t>
      </w:r>
      <w:r w:rsidR="00C026A6" w:rsidRPr="00EA59C0">
        <w:t xml:space="preserve"> </w:t>
      </w:r>
      <w:r w:rsidRPr="00EA59C0">
        <w:t>option</w:t>
      </w:r>
      <w:r w:rsidR="00C026A6" w:rsidRPr="00EA59C0">
        <w:t xml:space="preserve"> </w:t>
      </w:r>
      <w:r w:rsidRPr="00EA59C0">
        <w:t>will</w:t>
      </w:r>
      <w:r w:rsidR="00C026A6" w:rsidRPr="00EA59C0">
        <w:t xml:space="preserve"> </w:t>
      </w:r>
      <w:r w:rsidRPr="00EA59C0">
        <w:t>propose</w:t>
      </w:r>
      <w:r w:rsidR="00C026A6" w:rsidRPr="00EA59C0">
        <w:t xml:space="preserve"> </w:t>
      </w:r>
      <w:r w:rsidRPr="00EA59C0">
        <w:t>a</w:t>
      </w:r>
      <w:r w:rsidR="00C026A6" w:rsidRPr="00EA59C0">
        <w:t xml:space="preserve"> </w:t>
      </w:r>
      <w:r w:rsidRPr="00EA59C0">
        <w:t>plan</w:t>
      </w:r>
      <w:r w:rsidR="00C026A6" w:rsidRPr="00EA59C0">
        <w:t xml:space="preserve"> </w:t>
      </w:r>
      <w:r w:rsidRPr="00EA59C0">
        <w:t>to</w:t>
      </w:r>
      <w:r w:rsidR="00C026A6" w:rsidRPr="00EA59C0">
        <w:t xml:space="preserve"> </w:t>
      </w:r>
      <w:r w:rsidRPr="00EA59C0">
        <w:t>improve</w:t>
      </w:r>
      <w:r w:rsidR="00C026A6" w:rsidRPr="00EA59C0">
        <w:t xml:space="preserve"> </w:t>
      </w:r>
      <w:r w:rsidRPr="00EA59C0">
        <w:t>the</w:t>
      </w:r>
      <w:r w:rsidR="00C026A6" w:rsidRPr="00EA59C0">
        <w:t xml:space="preserve"> </w:t>
      </w:r>
      <w:r w:rsidRPr="00EA59C0">
        <w:t>integration</w:t>
      </w:r>
      <w:r w:rsidR="00C026A6" w:rsidRPr="00EA59C0">
        <w:t xml:space="preserve"> </w:t>
      </w:r>
      <w:r w:rsidRPr="00EA59C0">
        <w:t>and</w:t>
      </w:r>
      <w:r w:rsidR="00C026A6" w:rsidRPr="00EA59C0">
        <w:t xml:space="preserve"> </w:t>
      </w:r>
      <w:r w:rsidRPr="00EA59C0">
        <w:t>use</w:t>
      </w:r>
      <w:r w:rsidR="00C026A6" w:rsidRPr="00EA59C0">
        <w:t xml:space="preserve"> </w:t>
      </w:r>
      <w:r w:rsidRPr="00EA59C0">
        <w:t>of</w:t>
      </w:r>
      <w:r w:rsidR="00C026A6" w:rsidRPr="00EA59C0">
        <w:t xml:space="preserve"> </w:t>
      </w:r>
      <w:r w:rsidRPr="00EA59C0">
        <w:t>education</w:t>
      </w:r>
      <w:r w:rsidR="00C026A6" w:rsidRPr="00EA59C0">
        <w:t xml:space="preserve"> </w:t>
      </w:r>
      <w:r w:rsidRPr="00EA59C0">
        <w:t>and</w:t>
      </w:r>
      <w:r w:rsidR="00C026A6" w:rsidRPr="00EA59C0">
        <w:t xml:space="preserve"> </w:t>
      </w:r>
      <w:r w:rsidRPr="00EA59C0">
        <w:t>workforce</w:t>
      </w:r>
      <w:r w:rsidR="00C026A6" w:rsidRPr="00EA59C0">
        <w:t xml:space="preserve"> </w:t>
      </w:r>
      <w:r w:rsidRPr="00EA59C0">
        <w:t>system</w:t>
      </w:r>
      <w:r w:rsidR="00C026A6" w:rsidRPr="00EA59C0">
        <w:t xml:space="preserve"> </w:t>
      </w:r>
      <w:r w:rsidRPr="00EA59C0">
        <w:t>data</w:t>
      </w:r>
      <w:r w:rsidR="00CD77A1" w:rsidRPr="00EA59C0">
        <w:t>.</w:t>
      </w:r>
      <w:r w:rsidR="00C026A6" w:rsidRPr="00EA59C0">
        <w:t xml:space="preserve">  </w:t>
      </w:r>
      <w:r w:rsidRPr="00EA59C0">
        <w:t>This</w:t>
      </w:r>
      <w:r w:rsidR="00C026A6" w:rsidRPr="00EA59C0">
        <w:t xml:space="preserve"> </w:t>
      </w:r>
      <w:r w:rsidRPr="00EA59C0">
        <w:t>could</w:t>
      </w:r>
      <w:r w:rsidR="00C026A6" w:rsidRPr="00EA59C0">
        <w:t xml:space="preserve"> </w:t>
      </w:r>
      <w:r w:rsidRPr="00EA59C0">
        <w:t>include</w:t>
      </w:r>
      <w:r w:rsidR="00C026A6" w:rsidRPr="00EA59C0">
        <w:t xml:space="preserve"> </w:t>
      </w:r>
      <w:r w:rsidRPr="00EA59C0">
        <w:t>a</w:t>
      </w:r>
      <w:r w:rsidR="00C026A6" w:rsidRPr="00EA59C0">
        <w:t xml:space="preserve"> </w:t>
      </w:r>
      <w:r w:rsidRPr="00EA59C0">
        <w:t>plan</w:t>
      </w:r>
      <w:r w:rsidR="00C026A6" w:rsidRPr="00EA59C0">
        <w:t xml:space="preserve"> </w:t>
      </w:r>
      <w:r w:rsidRPr="00EA59C0">
        <w:t>to</w:t>
      </w:r>
      <w:r w:rsidR="00C026A6" w:rsidRPr="00EA59C0">
        <w:t xml:space="preserve"> </w:t>
      </w:r>
      <w:r w:rsidRPr="00EA59C0">
        <w:t>integrate</w:t>
      </w:r>
      <w:r w:rsidR="00C026A6" w:rsidRPr="00EA59C0">
        <w:t xml:space="preserve"> </w:t>
      </w:r>
      <w:r w:rsidRPr="00EA59C0">
        <w:t>data</w:t>
      </w:r>
      <w:r w:rsidR="00C026A6" w:rsidRPr="00EA59C0">
        <w:t xml:space="preserve"> </w:t>
      </w:r>
      <w:r w:rsidRPr="00EA59C0">
        <w:t>systems</w:t>
      </w:r>
      <w:r w:rsidR="00C026A6" w:rsidRPr="00EA59C0">
        <w:t xml:space="preserve"> </w:t>
      </w:r>
      <w:r w:rsidRPr="00EA59C0">
        <w:t>that</w:t>
      </w:r>
      <w:r w:rsidR="00C026A6" w:rsidRPr="00EA59C0">
        <w:t xml:space="preserve"> </w:t>
      </w:r>
      <w:r w:rsidRPr="00EA59C0">
        <w:t>contain</w:t>
      </w:r>
      <w:r w:rsidR="00C026A6" w:rsidRPr="00EA59C0">
        <w:t xml:space="preserve"> </w:t>
      </w:r>
      <w:r w:rsidRPr="00EA59C0">
        <w:t>both</w:t>
      </w:r>
      <w:r w:rsidR="00C026A6" w:rsidRPr="00EA59C0">
        <w:t xml:space="preserve"> </w:t>
      </w:r>
      <w:r w:rsidRPr="00EA59C0">
        <w:t>employment</w:t>
      </w:r>
      <w:r w:rsidR="00C026A6" w:rsidRPr="00EA59C0">
        <w:t xml:space="preserve"> </w:t>
      </w:r>
      <w:r w:rsidRPr="00EA59C0">
        <w:t>and</w:t>
      </w:r>
      <w:r w:rsidR="00C026A6" w:rsidRPr="00EA59C0">
        <w:t xml:space="preserve"> </w:t>
      </w:r>
      <w:r w:rsidRPr="00EA59C0">
        <w:t>educational</w:t>
      </w:r>
      <w:r w:rsidR="00C026A6" w:rsidRPr="00EA59C0">
        <w:t xml:space="preserve"> </w:t>
      </w:r>
      <w:r w:rsidRPr="00EA59C0">
        <w:t>outcomes</w:t>
      </w:r>
      <w:r w:rsidR="00C026A6" w:rsidRPr="00EA59C0">
        <w:t xml:space="preserve"> </w:t>
      </w:r>
      <w:r w:rsidRPr="00EA59C0">
        <w:t>data</w:t>
      </w:r>
      <w:r w:rsidR="00C026A6" w:rsidRPr="00EA59C0">
        <w:t xml:space="preserve"> </w:t>
      </w:r>
      <w:r w:rsidRPr="00EA59C0">
        <w:t>through</w:t>
      </w:r>
      <w:r w:rsidR="00C026A6" w:rsidRPr="00EA59C0">
        <w:t xml:space="preserve"> </w:t>
      </w:r>
      <w:r w:rsidRPr="00EA59C0">
        <w:t>a</w:t>
      </w:r>
      <w:r w:rsidR="00C026A6" w:rsidRPr="00EA59C0">
        <w:t xml:space="preserve"> </w:t>
      </w:r>
      <w:r w:rsidRPr="00EA59C0">
        <w:t>single,</w:t>
      </w:r>
      <w:r w:rsidR="00C026A6" w:rsidRPr="00EA59C0">
        <w:t xml:space="preserve"> </w:t>
      </w:r>
      <w:r w:rsidRPr="00EA59C0">
        <w:t>unified</w:t>
      </w:r>
      <w:r w:rsidR="00C026A6" w:rsidRPr="00EA59C0">
        <w:t xml:space="preserve"> </w:t>
      </w:r>
      <w:r w:rsidRPr="00EA59C0">
        <w:t>data</w:t>
      </w:r>
      <w:r w:rsidR="00C026A6" w:rsidRPr="00EA59C0">
        <w:t xml:space="preserve"> </w:t>
      </w:r>
      <w:r w:rsidRPr="00EA59C0">
        <w:t>warehouse</w:t>
      </w:r>
      <w:r w:rsidR="00C026A6" w:rsidRPr="00EA59C0">
        <w:t xml:space="preserve"> </w:t>
      </w:r>
      <w:r w:rsidRPr="00EA59C0">
        <w:t>or</w:t>
      </w:r>
      <w:r w:rsidR="00C026A6" w:rsidRPr="00EA59C0">
        <w:t xml:space="preserve"> </w:t>
      </w:r>
      <w:r w:rsidRPr="00EA59C0">
        <w:t>data</w:t>
      </w:r>
      <w:r w:rsidR="00C026A6" w:rsidRPr="00EA59C0">
        <w:t xml:space="preserve"> </w:t>
      </w:r>
      <w:r w:rsidRPr="00EA59C0">
        <w:t>management</w:t>
      </w:r>
      <w:r w:rsidR="00C026A6" w:rsidRPr="00EA59C0">
        <w:t xml:space="preserve"> </w:t>
      </w:r>
      <w:r w:rsidRPr="00EA59C0">
        <w:t>system</w:t>
      </w:r>
      <w:r w:rsidR="00C026A6" w:rsidRPr="00EA59C0">
        <w:t xml:space="preserve"> </w:t>
      </w:r>
      <w:r w:rsidRPr="00EA59C0">
        <w:t>or</w:t>
      </w:r>
      <w:r w:rsidR="00C026A6" w:rsidRPr="00EA59C0">
        <w:t xml:space="preserve"> </w:t>
      </w:r>
      <w:r w:rsidRPr="00EA59C0">
        <w:t>a</w:t>
      </w:r>
      <w:r w:rsidR="00C026A6" w:rsidRPr="00EA59C0">
        <w:t xml:space="preserve"> </w:t>
      </w:r>
      <w:r w:rsidRPr="00EA59C0">
        <w:t>plan</w:t>
      </w:r>
      <w:r w:rsidR="00C026A6" w:rsidRPr="00EA59C0">
        <w:t xml:space="preserve"> </w:t>
      </w:r>
      <w:r w:rsidRPr="00EA59C0">
        <w:t>to</w:t>
      </w:r>
      <w:r w:rsidR="00C026A6" w:rsidRPr="00EA59C0">
        <w:t xml:space="preserve"> </w:t>
      </w:r>
      <w:r w:rsidRPr="00EA59C0">
        <w:t>create</w:t>
      </w:r>
      <w:r w:rsidR="00C026A6" w:rsidRPr="00EA59C0">
        <w:t xml:space="preserve"> </w:t>
      </w:r>
      <w:r w:rsidRPr="00EA59C0">
        <w:t>record</w:t>
      </w:r>
      <w:r w:rsidR="00C026A6" w:rsidRPr="00EA59C0">
        <w:t xml:space="preserve"> </w:t>
      </w:r>
      <w:r w:rsidRPr="00EA59C0">
        <w:t>linkages</w:t>
      </w:r>
      <w:r w:rsidR="00C026A6" w:rsidRPr="00EA59C0">
        <w:t xml:space="preserve"> </w:t>
      </w:r>
      <w:r w:rsidRPr="00EA59C0">
        <w:t>between</w:t>
      </w:r>
      <w:r w:rsidR="00C026A6" w:rsidRPr="00EA59C0">
        <w:t xml:space="preserve"> </w:t>
      </w:r>
      <w:r w:rsidRPr="00EA59C0">
        <w:t>separate</w:t>
      </w:r>
      <w:r w:rsidR="00C026A6" w:rsidRPr="00EA59C0">
        <w:t xml:space="preserve"> </w:t>
      </w:r>
      <w:r w:rsidRPr="00EA59C0">
        <w:t>data</w:t>
      </w:r>
      <w:r w:rsidR="00C026A6" w:rsidRPr="00EA59C0">
        <w:t xml:space="preserve"> </w:t>
      </w:r>
      <w:r w:rsidRPr="00EA59C0">
        <w:t>systems.</w:t>
      </w:r>
    </w:p>
    <w:p w:rsidR="00C47B09" w:rsidRPr="00EA59C0" w:rsidRDefault="00C47B09" w:rsidP="00C47B09">
      <w:pPr>
        <w:ind w:left="1080"/>
      </w:pPr>
    </w:p>
    <w:p w:rsidR="00C47B09" w:rsidRPr="00EA59C0" w:rsidRDefault="00020EF8" w:rsidP="00C47B09">
      <w:pPr>
        <w:ind w:left="1080"/>
      </w:pPr>
      <w:r w:rsidRPr="00EA59C0">
        <w:t>Integrated data systems or systems that allow matching of individual outcomes will enable staff to access current information on projected education and employment outcomes of participants in TAACCCT funded programs and other programs of study.  In addition, statewide integrated systems could allow staff to better assess the progress of TAA-eligible and other unemployed adults that complete TAACCCT funded programs and other programs of study.  Finally, integrated systems could allow job-seekers and others interested in education and training to access valuable information on programs and the educational institutions that offer these programs.</w:t>
      </w:r>
    </w:p>
    <w:p w:rsidR="00C47B09" w:rsidRPr="00EA59C0" w:rsidRDefault="00C47B09" w:rsidP="00C47B09">
      <w:pPr>
        <w:ind w:left="1080"/>
      </w:pPr>
    </w:p>
    <w:p w:rsidR="00D47154" w:rsidRPr="00EA59C0" w:rsidRDefault="0046587E" w:rsidP="00C47B09">
      <w:pPr>
        <w:ind w:left="1080"/>
      </w:pPr>
      <w:r w:rsidRPr="00EA59C0">
        <w:t>T</w:t>
      </w:r>
      <w:r w:rsidR="00C47B09" w:rsidRPr="00EA59C0">
        <w:t>o</w:t>
      </w:r>
      <w:r w:rsidR="00C026A6" w:rsidRPr="00EA59C0">
        <w:t xml:space="preserve"> </w:t>
      </w:r>
      <w:r w:rsidR="00C47B09" w:rsidRPr="00EA59C0">
        <w:t>create</w:t>
      </w:r>
      <w:r w:rsidR="00C026A6" w:rsidRPr="00EA59C0">
        <w:t xml:space="preserve"> </w:t>
      </w:r>
      <w:r w:rsidR="00C47B09" w:rsidRPr="00EA59C0">
        <w:t>a</w:t>
      </w:r>
      <w:r w:rsidR="00C026A6" w:rsidRPr="00EA59C0">
        <w:t xml:space="preserve"> </w:t>
      </w:r>
      <w:r w:rsidR="00C47B09" w:rsidRPr="00EA59C0">
        <w:t>system</w:t>
      </w:r>
      <w:r w:rsidR="00C026A6" w:rsidRPr="00EA59C0">
        <w:t xml:space="preserve"> </w:t>
      </w:r>
      <w:r w:rsidR="00C47B09" w:rsidRPr="00EA59C0">
        <w:t>that</w:t>
      </w:r>
      <w:r w:rsidR="00C026A6" w:rsidRPr="00EA59C0">
        <w:t xml:space="preserve"> </w:t>
      </w:r>
      <w:r w:rsidR="00C47B09" w:rsidRPr="00EA59C0">
        <w:t>will</w:t>
      </w:r>
      <w:r w:rsidR="00C026A6" w:rsidRPr="00EA59C0">
        <w:t xml:space="preserve"> </w:t>
      </w:r>
      <w:r w:rsidR="00C47B09" w:rsidRPr="00EA59C0">
        <w:t>seamlessly</w:t>
      </w:r>
      <w:r w:rsidR="00C026A6" w:rsidRPr="00EA59C0">
        <w:t xml:space="preserve"> </w:t>
      </w:r>
      <w:r w:rsidR="00C47B09" w:rsidRPr="00EA59C0">
        <w:t>integrate</w:t>
      </w:r>
      <w:r w:rsidR="00C026A6" w:rsidRPr="00EA59C0">
        <w:t xml:space="preserve"> </w:t>
      </w:r>
      <w:r w:rsidR="00C47B09" w:rsidRPr="00EA59C0">
        <w:t>across</w:t>
      </w:r>
      <w:r w:rsidR="00C026A6" w:rsidRPr="00EA59C0">
        <w:t xml:space="preserve"> </w:t>
      </w:r>
      <w:r w:rsidR="00C47B09" w:rsidRPr="00EA59C0">
        <w:t>state</w:t>
      </w:r>
      <w:r w:rsidR="00C026A6" w:rsidRPr="00EA59C0">
        <w:t xml:space="preserve"> </w:t>
      </w:r>
      <w:r w:rsidR="00C47B09" w:rsidRPr="00EA59C0">
        <w:t>agencies,</w:t>
      </w:r>
      <w:r w:rsidR="00C026A6" w:rsidRPr="00EA59C0">
        <w:t xml:space="preserve"> </w:t>
      </w:r>
      <w:r w:rsidR="00C47B09" w:rsidRPr="00EA59C0">
        <w:t>consortium</w:t>
      </w:r>
      <w:r w:rsidR="00C026A6" w:rsidRPr="00EA59C0">
        <w:t xml:space="preserve"> </w:t>
      </w:r>
      <w:r w:rsidR="00C47B09" w:rsidRPr="00EA59C0">
        <w:t>applicants</w:t>
      </w:r>
      <w:r w:rsidR="00C026A6" w:rsidRPr="00EA59C0">
        <w:t xml:space="preserve"> </w:t>
      </w:r>
      <w:r w:rsidR="00C47B09" w:rsidRPr="00EA59C0">
        <w:t>and</w:t>
      </w:r>
      <w:r w:rsidR="00C026A6" w:rsidRPr="00EA59C0">
        <w:t xml:space="preserve"> </w:t>
      </w:r>
      <w:r w:rsidR="00C47B09" w:rsidRPr="00EA59C0">
        <w:t>consortium</w:t>
      </w:r>
      <w:r w:rsidR="00C026A6" w:rsidRPr="00EA59C0">
        <w:t xml:space="preserve"> </w:t>
      </w:r>
      <w:r w:rsidR="00C47B09" w:rsidRPr="00EA59C0">
        <w:t>members</w:t>
      </w:r>
      <w:r w:rsidR="00C026A6" w:rsidRPr="00EA59C0">
        <w:t xml:space="preserve"> </w:t>
      </w:r>
      <w:r w:rsidR="00C47B09" w:rsidRPr="00EA59C0">
        <w:t>must</w:t>
      </w:r>
      <w:r w:rsidR="00C026A6" w:rsidRPr="00EA59C0">
        <w:t xml:space="preserve"> </w:t>
      </w:r>
      <w:r w:rsidR="00C47B09" w:rsidRPr="00EA59C0">
        <w:t>first</w:t>
      </w:r>
      <w:r w:rsidR="00C026A6" w:rsidRPr="00EA59C0">
        <w:t xml:space="preserve"> </w:t>
      </w:r>
      <w:r w:rsidR="00C47B09" w:rsidRPr="00EA59C0">
        <w:t>establish</w:t>
      </w:r>
      <w:r w:rsidR="00C026A6" w:rsidRPr="00EA59C0">
        <w:t xml:space="preserve"> </w:t>
      </w:r>
      <w:r w:rsidR="00C47B09" w:rsidRPr="00EA59C0">
        <w:t>a</w:t>
      </w:r>
      <w:r w:rsidR="00C026A6" w:rsidRPr="00EA59C0">
        <w:t xml:space="preserve"> </w:t>
      </w:r>
      <w:r w:rsidR="00C47B09" w:rsidRPr="00EA59C0">
        <w:t>common</w:t>
      </w:r>
      <w:r w:rsidR="00C026A6" w:rsidRPr="00EA59C0">
        <w:t xml:space="preserve"> </w:t>
      </w:r>
      <w:r w:rsidR="00C47B09" w:rsidRPr="00EA59C0">
        <w:t>student</w:t>
      </w:r>
      <w:r w:rsidR="00C026A6" w:rsidRPr="00EA59C0">
        <w:t xml:space="preserve"> </w:t>
      </w:r>
      <w:r w:rsidR="00C47B09" w:rsidRPr="00EA59C0">
        <w:t>data</w:t>
      </w:r>
      <w:r w:rsidR="00C026A6" w:rsidRPr="00EA59C0">
        <w:t xml:space="preserve"> </w:t>
      </w:r>
      <w:r w:rsidR="00C47B09" w:rsidRPr="00EA59C0">
        <w:t>reporting</w:t>
      </w:r>
      <w:r w:rsidR="00C026A6" w:rsidRPr="00EA59C0">
        <w:t xml:space="preserve"> </w:t>
      </w:r>
      <w:r w:rsidR="00C47B09" w:rsidRPr="00EA59C0">
        <w:t>system</w:t>
      </w:r>
      <w:r w:rsidR="00C026A6" w:rsidRPr="00EA59C0">
        <w:t xml:space="preserve"> </w:t>
      </w:r>
      <w:r w:rsidR="00C47B09" w:rsidRPr="00EA59C0">
        <w:t>within</w:t>
      </w:r>
      <w:r w:rsidR="00C026A6" w:rsidRPr="00EA59C0">
        <w:t xml:space="preserve"> </w:t>
      </w:r>
      <w:r w:rsidR="00C47B09" w:rsidRPr="00EA59C0">
        <w:t>consortium</w:t>
      </w:r>
      <w:r w:rsidR="00C026A6" w:rsidRPr="00EA59C0">
        <w:t xml:space="preserve"> </w:t>
      </w:r>
      <w:r w:rsidR="00C47B09" w:rsidRPr="00EA59C0">
        <w:t>member</w:t>
      </w:r>
      <w:r w:rsidR="00C026A6" w:rsidRPr="00EA59C0">
        <w:t xml:space="preserve"> </w:t>
      </w:r>
      <w:r w:rsidR="00C47B09" w:rsidRPr="00EA59C0">
        <w:t>institutions</w:t>
      </w:r>
      <w:r w:rsidR="00C026A6" w:rsidRPr="00EA59C0">
        <w:t xml:space="preserve"> </w:t>
      </w:r>
      <w:r w:rsidR="00C47B09" w:rsidRPr="00EA59C0">
        <w:t>and</w:t>
      </w:r>
      <w:r w:rsidR="00C026A6" w:rsidRPr="00EA59C0">
        <w:t xml:space="preserve"> </w:t>
      </w:r>
      <w:r w:rsidR="00C47B09" w:rsidRPr="00EA59C0">
        <w:t>among</w:t>
      </w:r>
      <w:r w:rsidR="00C026A6" w:rsidRPr="00EA59C0">
        <w:t xml:space="preserve"> </w:t>
      </w:r>
      <w:r w:rsidR="00C47B09" w:rsidRPr="00EA59C0">
        <w:t>a</w:t>
      </w:r>
      <w:r w:rsidR="00C026A6" w:rsidRPr="00EA59C0">
        <w:t xml:space="preserve"> </w:t>
      </w:r>
      <w:r w:rsidR="00C47B09" w:rsidRPr="00EA59C0">
        <w:t>majority</w:t>
      </w:r>
      <w:r w:rsidR="00C026A6" w:rsidRPr="00EA59C0">
        <w:t xml:space="preserve"> </w:t>
      </w:r>
      <w:r w:rsidR="00C47B09" w:rsidRPr="00EA59C0">
        <w:t>of</w:t>
      </w:r>
      <w:r w:rsidR="00C026A6" w:rsidRPr="00EA59C0">
        <w:t xml:space="preserve"> </w:t>
      </w:r>
      <w:r w:rsidR="00C47B09" w:rsidRPr="00EA59C0">
        <w:t>the</w:t>
      </w:r>
      <w:r w:rsidR="00C026A6" w:rsidRPr="00EA59C0">
        <w:t xml:space="preserve"> </w:t>
      </w:r>
      <w:r w:rsidR="00C47B09" w:rsidRPr="00EA59C0">
        <w:t>community</w:t>
      </w:r>
      <w:r w:rsidR="00C026A6" w:rsidRPr="00EA59C0">
        <w:t xml:space="preserve"> </w:t>
      </w:r>
      <w:r w:rsidR="00C47B09" w:rsidRPr="00EA59C0">
        <w:t>colleges</w:t>
      </w:r>
      <w:r w:rsidR="00C026A6" w:rsidRPr="00EA59C0">
        <w:t xml:space="preserve"> </w:t>
      </w:r>
      <w:r w:rsidR="00C47B09" w:rsidRPr="00EA59C0">
        <w:t>in</w:t>
      </w:r>
      <w:r w:rsidR="00C026A6" w:rsidRPr="00EA59C0">
        <w:t xml:space="preserve"> </w:t>
      </w:r>
      <w:r w:rsidR="00C47B09" w:rsidRPr="00EA59C0">
        <w:t>their</w:t>
      </w:r>
      <w:r w:rsidR="00C026A6" w:rsidRPr="00EA59C0">
        <w:t xml:space="preserve"> </w:t>
      </w:r>
      <w:r w:rsidR="00C47B09" w:rsidRPr="00EA59C0">
        <w:t>state.</w:t>
      </w:r>
      <w:r w:rsidR="00C026A6" w:rsidRPr="00EA59C0">
        <w:t xml:space="preserve">  </w:t>
      </w:r>
    </w:p>
    <w:p w:rsidR="00D47154" w:rsidRPr="00EA59C0" w:rsidRDefault="00D47154" w:rsidP="00C47B09">
      <w:pPr>
        <w:ind w:left="1080"/>
      </w:pPr>
    </w:p>
    <w:p w:rsidR="00C47B09" w:rsidRPr="00EA59C0" w:rsidRDefault="00C47B09" w:rsidP="00C47B09">
      <w:pPr>
        <w:ind w:left="1080"/>
      </w:pPr>
      <w:r w:rsidRPr="00EA59C0">
        <w:t>Applicants</w:t>
      </w:r>
      <w:r w:rsidR="00C026A6" w:rsidRPr="00EA59C0">
        <w:t xml:space="preserve"> </w:t>
      </w:r>
      <w:r w:rsidRPr="00EA59C0">
        <w:t>should</w:t>
      </w:r>
      <w:r w:rsidR="00C026A6" w:rsidRPr="00EA59C0">
        <w:t xml:space="preserve"> </w:t>
      </w:r>
      <w:r w:rsidRPr="00EA59C0">
        <w:t>describe</w:t>
      </w:r>
      <w:r w:rsidR="00C026A6" w:rsidRPr="00EA59C0">
        <w:t xml:space="preserve"> </w:t>
      </w:r>
      <w:r w:rsidRPr="00EA59C0">
        <w:t>their</w:t>
      </w:r>
      <w:r w:rsidR="00C026A6" w:rsidRPr="00EA59C0">
        <w:t xml:space="preserve"> </w:t>
      </w:r>
      <w:r w:rsidRPr="00EA59C0">
        <w:t>ability</w:t>
      </w:r>
      <w:r w:rsidR="00C026A6" w:rsidRPr="00EA59C0">
        <w:t xml:space="preserve"> </w:t>
      </w:r>
      <w:r w:rsidRPr="00EA59C0">
        <w:t>to</w:t>
      </w:r>
      <w:r w:rsidR="00C026A6" w:rsidRPr="00EA59C0">
        <w:t xml:space="preserve"> </w:t>
      </w:r>
      <w:r w:rsidRPr="00EA59C0">
        <w:t>ensure</w:t>
      </w:r>
      <w:r w:rsidR="00C026A6" w:rsidRPr="00EA59C0">
        <w:t xml:space="preserve"> </w:t>
      </w:r>
      <w:r w:rsidRPr="00EA59C0">
        <w:t>that</w:t>
      </w:r>
      <w:r w:rsidR="00C026A6" w:rsidRPr="00EA59C0">
        <w:t xml:space="preserve"> </w:t>
      </w:r>
      <w:r w:rsidRPr="00EA59C0">
        <w:t>performance</w:t>
      </w:r>
      <w:r w:rsidR="00C026A6" w:rsidRPr="00EA59C0">
        <w:t xml:space="preserve"> </w:t>
      </w:r>
      <w:r w:rsidRPr="00EA59C0">
        <w:t>and</w:t>
      </w:r>
      <w:r w:rsidR="00C026A6" w:rsidRPr="00EA59C0">
        <w:t xml:space="preserve"> </w:t>
      </w:r>
      <w:r w:rsidRPr="00EA59C0">
        <w:t>outcomes</w:t>
      </w:r>
      <w:r w:rsidR="00C026A6" w:rsidRPr="00EA59C0">
        <w:t xml:space="preserve"> </w:t>
      </w:r>
      <w:r w:rsidRPr="00EA59C0">
        <w:t>for</w:t>
      </w:r>
      <w:r w:rsidR="00C026A6" w:rsidRPr="00EA59C0">
        <w:t xml:space="preserve"> </w:t>
      </w:r>
      <w:r w:rsidRPr="00EA59C0">
        <w:t>all</w:t>
      </w:r>
      <w:r w:rsidR="00C026A6" w:rsidRPr="00EA59C0">
        <w:t xml:space="preserve"> </w:t>
      </w:r>
      <w:r w:rsidRPr="00EA59C0">
        <w:t>students</w:t>
      </w:r>
      <w:r w:rsidR="00C026A6" w:rsidRPr="00EA59C0">
        <w:t xml:space="preserve"> </w:t>
      </w:r>
      <w:r w:rsidRPr="00EA59C0">
        <w:t>can</w:t>
      </w:r>
      <w:r w:rsidR="00C026A6" w:rsidRPr="00EA59C0">
        <w:t xml:space="preserve"> </w:t>
      </w:r>
      <w:r w:rsidRPr="00EA59C0">
        <w:t>be</w:t>
      </w:r>
      <w:r w:rsidR="00C026A6" w:rsidRPr="00EA59C0">
        <w:t xml:space="preserve"> </w:t>
      </w:r>
      <w:r w:rsidRPr="00EA59C0">
        <w:t>tracked</w:t>
      </w:r>
      <w:r w:rsidR="00C026A6" w:rsidRPr="00EA59C0">
        <w:t xml:space="preserve"> </w:t>
      </w:r>
      <w:r w:rsidRPr="00EA59C0">
        <w:t>comprehensively</w:t>
      </w:r>
      <w:r w:rsidR="00C026A6" w:rsidRPr="00EA59C0">
        <w:t xml:space="preserve"> </w:t>
      </w:r>
      <w:r w:rsidRPr="00EA59C0">
        <w:t>and</w:t>
      </w:r>
      <w:r w:rsidR="00C026A6" w:rsidRPr="00EA59C0">
        <w:t xml:space="preserve"> </w:t>
      </w:r>
      <w:r w:rsidRPr="00EA59C0">
        <w:t>consistently,</w:t>
      </w:r>
      <w:r w:rsidR="00C026A6" w:rsidRPr="00EA59C0">
        <w:t xml:space="preserve"> </w:t>
      </w:r>
      <w:r w:rsidRPr="00EA59C0">
        <w:t>and</w:t>
      </w:r>
      <w:r w:rsidR="00C026A6" w:rsidRPr="00EA59C0">
        <w:t xml:space="preserve"> </w:t>
      </w:r>
      <w:r w:rsidRPr="00EA59C0">
        <w:t>that</w:t>
      </w:r>
      <w:r w:rsidR="00C026A6" w:rsidRPr="00EA59C0">
        <w:t xml:space="preserve"> </w:t>
      </w:r>
      <w:r w:rsidRPr="00EA59C0">
        <w:t>student</w:t>
      </w:r>
      <w:r w:rsidR="00C026A6" w:rsidRPr="00EA59C0">
        <w:t xml:space="preserve"> </w:t>
      </w:r>
      <w:r w:rsidRPr="00EA59C0">
        <w:t>mobility</w:t>
      </w:r>
      <w:r w:rsidR="00C026A6" w:rsidRPr="00EA59C0">
        <w:t xml:space="preserve"> </w:t>
      </w:r>
      <w:r w:rsidRPr="00EA59C0">
        <w:t>and</w:t>
      </w:r>
      <w:r w:rsidR="00C026A6" w:rsidRPr="00EA59C0">
        <w:t xml:space="preserve"> </w:t>
      </w:r>
      <w:r w:rsidRPr="00EA59C0">
        <w:t>transitions</w:t>
      </w:r>
      <w:r w:rsidR="00C026A6" w:rsidRPr="00EA59C0">
        <w:t xml:space="preserve"> </w:t>
      </w:r>
      <w:r w:rsidRPr="00EA59C0">
        <w:t>among</w:t>
      </w:r>
      <w:r w:rsidR="00C026A6" w:rsidRPr="00EA59C0">
        <w:t xml:space="preserve"> </w:t>
      </w:r>
      <w:r w:rsidRPr="00EA59C0">
        <w:t>institutions</w:t>
      </w:r>
      <w:r w:rsidR="00C026A6" w:rsidRPr="00EA59C0">
        <w:t xml:space="preserve"> </w:t>
      </w:r>
      <w:r w:rsidRPr="00EA59C0">
        <w:t>within</w:t>
      </w:r>
      <w:r w:rsidR="00C026A6" w:rsidRPr="00EA59C0">
        <w:t xml:space="preserve"> </w:t>
      </w:r>
      <w:r w:rsidRPr="00EA59C0">
        <w:t>the</w:t>
      </w:r>
      <w:r w:rsidR="00C026A6" w:rsidRPr="00EA59C0">
        <w:t xml:space="preserve"> </w:t>
      </w:r>
      <w:r w:rsidRPr="00EA59C0">
        <w:t>state</w:t>
      </w:r>
      <w:r w:rsidR="00C026A6" w:rsidRPr="00EA59C0">
        <w:t xml:space="preserve"> </w:t>
      </w:r>
      <w:r w:rsidRPr="00EA59C0">
        <w:t>can</w:t>
      </w:r>
      <w:r w:rsidR="00C026A6" w:rsidRPr="00EA59C0">
        <w:t xml:space="preserve"> </w:t>
      </w:r>
      <w:r w:rsidRPr="00EA59C0">
        <w:t>be</w:t>
      </w:r>
      <w:r w:rsidR="00C026A6" w:rsidRPr="00EA59C0">
        <w:t xml:space="preserve"> </w:t>
      </w:r>
      <w:r w:rsidRPr="00EA59C0">
        <w:t>captured.</w:t>
      </w:r>
      <w:r w:rsidR="00C026A6" w:rsidRPr="00EA59C0">
        <w:t xml:space="preserve">  </w:t>
      </w:r>
      <w:r w:rsidRPr="00EA59C0">
        <w:t>This</w:t>
      </w:r>
      <w:r w:rsidR="00C026A6" w:rsidRPr="00EA59C0">
        <w:t xml:space="preserve"> </w:t>
      </w:r>
      <w:r w:rsidRPr="00EA59C0">
        <w:t>plan</w:t>
      </w:r>
      <w:r w:rsidR="00C026A6" w:rsidRPr="00EA59C0">
        <w:t xml:space="preserve"> </w:t>
      </w:r>
      <w:r w:rsidRPr="00EA59C0">
        <w:t>should</w:t>
      </w:r>
      <w:r w:rsidR="00C026A6" w:rsidRPr="00EA59C0">
        <w:t xml:space="preserve"> </w:t>
      </w:r>
      <w:r w:rsidRPr="00EA59C0">
        <w:t>describe</w:t>
      </w:r>
      <w:r w:rsidR="00C026A6" w:rsidRPr="00EA59C0">
        <w:t xml:space="preserve"> </w:t>
      </w:r>
      <w:r w:rsidRPr="00EA59C0">
        <w:t>institutional</w:t>
      </w:r>
      <w:r w:rsidR="00C026A6" w:rsidRPr="00EA59C0">
        <w:t xml:space="preserve"> </w:t>
      </w:r>
      <w:r w:rsidRPr="00EA59C0">
        <w:t>actions</w:t>
      </w:r>
      <w:r w:rsidR="00C026A6" w:rsidRPr="00EA59C0">
        <w:t xml:space="preserve"> </w:t>
      </w:r>
      <w:r w:rsidRPr="00EA59C0">
        <w:t>that</w:t>
      </w:r>
      <w:r w:rsidR="00C026A6" w:rsidRPr="00EA59C0">
        <w:t xml:space="preserve"> </w:t>
      </w:r>
      <w:r w:rsidRPr="00EA59C0">
        <w:t>will</w:t>
      </w:r>
      <w:r w:rsidR="00C026A6" w:rsidRPr="00EA59C0">
        <w:t xml:space="preserve"> </w:t>
      </w:r>
      <w:r w:rsidRPr="00EA59C0">
        <w:t>increase</w:t>
      </w:r>
      <w:r w:rsidR="00C026A6" w:rsidRPr="00EA59C0">
        <w:t xml:space="preserve"> </w:t>
      </w:r>
      <w:r w:rsidRPr="00EA59C0">
        <w:t>both</w:t>
      </w:r>
      <w:r w:rsidR="00C026A6" w:rsidRPr="00EA59C0">
        <w:t xml:space="preserve"> </w:t>
      </w:r>
      <w:r w:rsidRPr="00EA59C0">
        <w:t>individual</w:t>
      </w:r>
      <w:r w:rsidR="00C026A6" w:rsidRPr="00EA59C0">
        <w:t xml:space="preserve"> </w:t>
      </w:r>
      <w:r w:rsidRPr="00EA59C0">
        <w:t>student</w:t>
      </w:r>
      <w:r w:rsidR="00C026A6" w:rsidRPr="00EA59C0">
        <w:t xml:space="preserve"> </w:t>
      </w:r>
      <w:r w:rsidRPr="00EA59C0">
        <w:t>and</w:t>
      </w:r>
      <w:r w:rsidR="00C026A6" w:rsidRPr="00EA59C0">
        <w:t xml:space="preserve"> </w:t>
      </w:r>
      <w:r w:rsidRPr="00EA59C0">
        <w:t>institutional</w:t>
      </w:r>
      <w:r w:rsidR="00C026A6" w:rsidRPr="00EA59C0">
        <w:t xml:space="preserve"> </w:t>
      </w:r>
      <w:r w:rsidRPr="00EA59C0">
        <w:t>data</w:t>
      </w:r>
      <w:r w:rsidR="00C026A6" w:rsidRPr="00EA59C0">
        <w:t xml:space="preserve"> </w:t>
      </w:r>
      <w:r w:rsidRPr="00EA59C0">
        <w:t>collection</w:t>
      </w:r>
      <w:r w:rsidR="00C026A6" w:rsidRPr="00EA59C0">
        <w:t xml:space="preserve"> </w:t>
      </w:r>
      <w:r w:rsidRPr="00EA59C0">
        <w:t>and</w:t>
      </w:r>
      <w:r w:rsidR="00C026A6" w:rsidRPr="00EA59C0">
        <w:t xml:space="preserve"> </w:t>
      </w:r>
      <w:r w:rsidRPr="00EA59C0">
        <w:t>tracking,</w:t>
      </w:r>
      <w:r w:rsidR="00C026A6" w:rsidRPr="00EA59C0">
        <w:t xml:space="preserve"> </w:t>
      </w:r>
      <w:r w:rsidRPr="00EA59C0">
        <w:t>align</w:t>
      </w:r>
      <w:r w:rsidR="00C026A6" w:rsidRPr="00EA59C0">
        <w:t xml:space="preserve"> </w:t>
      </w:r>
      <w:r w:rsidRPr="00EA59C0">
        <w:t>metrics</w:t>
      </w:r>
      <w:r w:rsidR="00C026A6" w:rsidRPr="00EA59C0">
        <w:t xml:space="preserve"> </w:t>
      </w:r>
      <w:r w:rsidRPr="00EA59C0">
        <w:t>across</w:t>
      </w:r>
      <w:r w:rsidR="00C026A6" w:rsidRPr="00EA59C0">
        <w:t xml:space="preserve"> </w:t>
      </w:r>
      <w:r w:rsidRPr="00EA59C0">
        <w:t>institutions,</w:t>
      </w:r>
      <w:r w:rsidR="00C026A6" w:rsidRPr="00EA59C0">
        <w:t xml:space="preserve"> </w:t>
      </w:r>
      <w:r w:rsidRPr="00EA59C0">
        <w:t>and,</w:t>
      </w:r>
      <w:r w:rsidR="00C026A6" w:rsidRPr="00EA59C0">
        <w:t xml:space="preserve"> </w:t>
      </w:r>
      <w:r w:rsidRPr="00EA59C0">
        <w:t>as</w:t>
      </w:r>
      <w:r w:rsidR="00C026A6" w:rsidRPr="00EA59C0">
        <w:t xml:space="preserve"> </w:t>
      </w:r>
      <w:r w:rsidRPr="00EA59C0">
        <w:t>applicable,</w:t>
      </w:r>
      <w:r w:rsidR="00C026A6" w:rsidRPr="00EA59C0">
        <w:t xml:space="preserve"> </w:t>
      </w:r>
      <w:r w:rsidRPr="00EA59C0">
        <w:t>align</w:t>
      </w:r>
      <w:r w:rsidR="00C026A6" w:rsidRPr="00EA59C0">
        <w:t xml:space="preserve"> </w:t>
      </w:r>
      <w:r w:rsidRPr="00EA59C0">
        <w:t>student</w:t>
      </w:r>
      <w:r w:rsidR="00C026A6" w:rsidRPr="00EA59C0">
        <w:t xml:space="preserve"> </w:t>
      </w:r>
      <w:r w:rsidRPr="00EA59C0">
        <w:t>and</w:t>
      </w:r>
      <w:r w:rsidR="00C026A6" w:rsidRPr="00EA59C0">
        <w:t xml:space="preserve"> </w:t>
      </w:r>
      <w:r w:rsidRPr="00EA59C0">
        <w:t>institutional</w:t>
      </w:r>
      <w:r w:rsidR="00C026A6" w:rsidRPr="00EA59C0">
        <w:t xml:space="preserve"> </w:t>
      </w:r>
      <w:r w:rsidRPr="00EA59C0">
        <w:t>data</w:t>
      </w:r>
      <w:r w:rsidR="00C026A6" w:rsidRPr="00EA59C0">
        <w:t xml:space="preserve"> </w:t>
      </w:r>
      <w:r w:rsidRPr="00EA59C0">
        <w:t>tracking</w:t>
      </w:r>
      <w:r w:rsidR="00C026A6" w:rsidRPr="00EA59C0">
        <w:t xml:space="preserve"> </w:t>
      </w:r>
      <w:r w:rsidRPr="00EA59C0">
        <w:t>systems</w:t>
      </w:r>
      <w:r w:rsidR="00C026A6" w:rsidRPr="00EA59C0">
        <w:t xml:space="preserve"> </w:t>
      </w:r>
      <w:r w:rsidRPr="00EA59C0">
        <w:t>across</w:t>
      </w:r>
      <w:r w:rsidR="00C026A6" w:rsidRPr="00EA59C0">
        <w:t xml:space="preserve"> </w:t>
      </w:r>
      <w:r w:rsidRPr="00EA59C0">
        <w:t>institutions</w:t>
      </w:r>
      <w:r w:rsidR="00C026A6" w:rsidRPr="00EA59C0">
        <w:t xml:space="preserve"> </w:t>
      </w:r>
      <w:r w:rsidRPr="00EA59C0">
        <w:t>within</w:t>
      </w:r>
      <w:r w:rsidR="00C026A6" w:rsidRPr="00EA59C0">
        <w:t xml:space="preserve"> </w:t>
      </w:r>
      <w:r w:rsidRPr="00EA59C0">
        <w:t>the</w:t>
      </w:r>
      <w:r w:rsidR="00C026A6" w:rsidRPr="00EA59C0">
        <w:t xml:space="preserve"> </w:t>
      </w:r>
      <w:r w:rsidRPr="00EA59C0">
        <w:t>state</w:t>
      </w:r>
      <w:r w:rsidR="00C026A6" w:rsidRPr="00EA59C0">
        <w:t xml:space="preserve"> </w:t>
      </w:r>
      <w:r w:rsidRPr="00EA59C0">
        <w:t>public</w:t>
      </w:r>
      <w:r w:rsidR="00C026A6" w:rsidRPr="00EA59C0">
        <w:t xml:space="preserve"> </w:t>
      </w:r>
      <w:r w:rsidRPr="00EA59C0">
        <w:t>college</w:t>
      </w:r>
      <w:r w:rsidR="00C026A6" w:rsidRPr="00EA59C0">
        <w:t xml:space="preserve"> </w:t>
      </w:r>
      <w:r w:rsidRPr="00EA59C0">
        <w:t>system.</w:t>
      </w:r>
      <w:r w:rsidR="00C026A6" w:rsidRPr="00EA59C0">
        <w:t xml:space="preserve">  </w:t>
      </w:r>
      <w:r w:rsidRPr="00EA59C0">
        <w:t>For</w:t>
      </w:r>
      <w:r w:rsidR="00C026A6" w:rsidRPr="00EA59C0">
        <w:t xml:space="preserve"> </w:t>
      </w:r>
      <w:r w:rsidRPr="00EA59C0">
        <w:t>any</w:t>
      </w:r>
      <w:r w:rsidR="00C026A6" w:rsidRPr="00EA59C0">
        <w:t xml:space="preserve"> </w:t>
      </w:r>
      <w:r w:rsidRPr="00EA59C0">
        <w:t>plan</w:t>
      </w:r>
      <w:r w:rsidR="00C026A6" w:rsidRPr="00EA59C0">
        <w:t xml:space="preserve"> </w:t>
      </w:r>
      <w:r w:rsidRPr="00EA59C0">
        <w:t>that</w:t>
      </w:r>
      <w:r w:rsidR="00C026A6" w:rsidRPr="00EA59C0">
        <w:t xml:space="preserve"> </w:t>
      </w:r>
      <w:r w:rsidRPr="00EA59C0">
        <w:t>includes</w:t>
      </w:r>
      <w:r w:rsidR="00C026A6" w:rsidRPr="00EA59C0">
        <w:t xml:space="preserve"> </w:t>
      </w:r>
      <w:r w:rsidRPr="00EA59C0">
        <w:t>data</w:t>
      </w:r>
      <w:r w:rsidR="00C026A6" w:rsidRPr="00EA59C0">
        <w:t xml:space="preserve"> </w:t>
      </w:r>
      <w:r w:rsidRPr="00EA59C0">
        <w:t>systems</w:t>
      </w:r>
      <w:r w:rsidR="00C026A6" w:rsidRPr="00EA59C0">
        <w:t xml:space="preserve"> </w:t>
      </w:r>
      <w:r w:rsidRPr="00EA59C0">
        <w:t>updates,</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include</w:t>
      </w:r>
      <w:r w:rsidR="00C026A6" w:rsidRPr="00EA59C0">
        <w:t xml:space="preserve"> </w:t>
      </w:r>
      <w:r w:rsidRPr="00EA59C0">
        <w:t>a</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the</w:t>
      </w:r>
      <w:r w:rsidR="00C026A6" w:rsidRPr="00EA59C0">
        <w:t xml:space="preserve"> </w:t>
      </w:r>
      <w:r w:rsidRPr="00EA59C0">
        <w:t>technical</w:t>
      </w:r>
      <w:r w:rsidR="00C026A6" w:rsidRPr="00EA59C0">
        <w:t xml:space="preserve"> </w:t>
      </w:r>
      <w:r w:rsidRPr="00EA59C0">
        <w:t>capabilities</w:t>
      </w:r>
      <w:r w:rsidR="00C026A6" w:rsidRPr="00EA59C0">
        <w:t xml:space="preserve"> </w:t>
      </w:r>
      <w:r w:rsidRPr="00EA59C0">
        <w:t>of</w:t>
      </w:r>
      <w:r w:rsidR="00C026A6" w:rsidRPr="00EA59C0">
        <w:t xml:space="preserve"> </w:t>
      </w:r>
      <w:r w:rsidRPr="00EA59C0">
        <w:t>current</w:t>
      </w:r>
      <w:r w:rsidR="00C026A6" w:rsidRPr="00EA59C0">
        <w:t xml:space="preserve"> </w:t>
      </w:r>
      <w:r w:rsidRPr="00EA59C0">
        <w:t>systems</w:t>
      </w:r>
      <w:r w:rsidR="00C026A6" w:rsidRPr="00EA59C0">
        <w:t xml:space="preserve"> </w:t>
      </w:r>
      <w:r w:rsidRPr="00EA59C0">
        <w:t>and</w:t>
      </w:r>
      <w:r w:rsidR="00C026A6" w:rsidRPr="00EA59C0">
        <w:t xml:space="preserve"> </w:t>
      </w:r>
      <w:r w:rsidRPr="00EA59C0">
        <w:t>the</w:t>
      </w:r>
      <w:r w:rsidR="00C026A6" w:rsidRPr="00EA59C0">
        <w:t xml:space="preserve"> </w:t>
      </w:r>
      <w:r w:rsidRPr="00EA59C0">
        <w:t>technical</w:t>
      </w:r>
      <w:r w:rsidR="00C026A6" w:rsidRPr="00EA59C0">
        <w:t xml:space="preserve"> </w:t>
      </w:r>
      <w:r w:rsidRPr="00EA59C0">
        <w:t>requirements</w:t>
      </w:r>
      <w:r w:rsidR="00C026A6" w:rsidRPr="00EA59C0">
        <w:t xml:space="preserve"> </w:t>
      </w:r>
      <w:r w:rsidRPr="00EA59C0">
        <w:t>and/or</w:t>
      </w:r>
      <w:r w:rsidR="00C026A6" w:rsidRPr="00EA59C0">
        <w:t xml:space="preserve"> </w:t>
      </w:r>
      <w:r w:rsidRPr="00EA59C0">
        <w:t>specifications</w:t>
      </w:r>
      <w:r w:rsidR="00C026A6" w:rsidRPr="00EA59C0">
        <w:t xml:space="preserve"> </w:t>
      </w:r>
      <w:r w:rsidRPr="00EA59C0">
        <w:t>necessary</w:t>
      </w:r>
      <w:r w:rsidR="00C026A6" w:rsidRPr="00EA59C0">
        <w:t xml:space="preserve"> </w:t>
      </w:r>
      <w:r w:rsidRPr="00EA59C0">
        <w:t>to</w:t>
      </w:r>
      <w:r w:rsidR="00C026A6" w:rsidRPr="00EA59C0">
        <w:t xml:space="preserve"> </w:t>
      </w:r>
      <w:r w:rsidRPr="00EA59C0">
        <w:t>adapt</w:t>
      </w:r>
      <w:r w:rsidR="00C026A6" w:rsidRPr="00EA59C0">
        <w:t xml:space="preserve"> </w:t>
      </w:r>
      <w:r w:rsidRPr="00EA59C0">
        <w:t>and</w:t>
      </w:r>
      <w:r w:rsidR="00C026A6" w:rsidRPr="00EA59C0">
        <w:t xml:space="preserve"> </w:t>
      </w:r>
      <w:r w:rsidRPr="00EA59C0">
        <w:t>integrate</w:t>
      </w:r>
      <w:r w:rsidR="00C026A6" w:rsidRPr="00EA59C0">
        <w:t xml:space="preserve"> </w:t>
      </w:r>
      <w:r w:rsidRPr="00EA59C0">
        <w:t>existing</w:t>
      </w:r>
      <w:r w:rsidR="00C026A6" w:rsidRPr="00EA59C0">
        <w:t xml:space="preserve"> </w:t>
      </w:r>
      <w:r w:rsidRPr="00EA59C0">
        <w:t>systems.</w:t>
      </w:r>
      <w:r w:rsidR="00D47154" w:rsidRPr="00EA59C0">
        <w:t xml:space="preserve">  Applicants that do not have a common student data reporting system across their state or community college systems must first propose a plan to develop and adopt standard definitions for a common set of reporting elements, including student or institutional characteristics, measures required for federal program reporting, and performance measures.  Where adopting a common set of elements is not possible, applicants should provide a plan to map reporting elements across institutions with the system. </w:t>
      </w:r>
    </w:p>
    <w:p w:rsidR="00C47B09" w:rsidRPr="00EA59C0" w:rsidRDefault="00C47B09" w:rsidP="00C47B09">
      <w:pPr>
        <w:ind w:left="1080"/>
      </w:pPr>
    </w:p>
    <w:p w:rsidR="00C47B09" w:rsidRPr="00EA59C0" w:rsidRDefault="00C47B09" w:rsidP="00C47B09">
      <w:pPr>
        <w:ind w:left="1080"/>
      </w:pPr>
      <w:r w:rsidRPr="00EA59C0">
        <w:t>All</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propose</w:t>
      </w:r>
      <w:r w:rsidR="00C026A6" w:rsidRPr="00EA59C0">
        <w:t xml:space="preserve"> </w:t>
      </w:r>
      <w:r w:rsidRPr="00EA59C0">
        <w:t>a</w:t>
      </w:r>
      <w:r w:rsidR="00C026A6" w:rsidRPr="00EA59C0">
        <w:t xml:space="preserve"> </w:t>
      </w:r>
      <w:r w:rsidRPr="00EA59C0">
        <w:t>plan</w:t>
      </w:r>
      <w:r w:rsidR="00C026A6" w:rsidRPr="00EA59C0">
        <w:t xml:space="preserve"> </w:t>
      </w:r>
      <w:r w:rsidRPr="00EA59C0">
        <w:t>that</w:t>
      </w:r>
      <w:r w:rsidR="00C026A6" w:rsidRPr="00EA59C0">
        <w:t xml:space="preserve"> </w:t>
      </w:r>
      <w:r w:rsidRPr="00EA59C0">
        <w:t>includes</w:t>
      </w:r>
      <w:r w:rsidR="00C026A6" w:rsidRPr="00EA59C0">
        <w:t xml:space="preserve"> </w:t>
      </w:r>
      <w:r w:rsidRPr="00EA59C0">
        <w:t>all</w:t>
      </w:r>
      <w:r w:rsidR="00C026A6" w:rsidRPr="00EA59C0">
        <w:t xml:space="preserve"> </w:t>
      </w:r>
      <w:r w:rsidRPr="00EA59C0">
        <w:t>of</w:t>
      </w:r>
      <w:r w:rsidR="00C026A6" w:rsidRPr="00EA59C0">
        <w:t xml:space="preserve"> </w:t>
      </w:r>
      <w:r w:rsidRPr="00EA59C0">
        <w:t>the</w:t>
      </w:r>
      <w:r w:rsidR="00C026A6" w:rsidRPr="00EA59C0">
        <w:t xml:space="preserve"> </w:t>
      </w:r>
      <w:r w:rsidRPr="00EA59C0">
        <w:t>following,</w:t>
      </w:r>
      <w:r w:rsidR="00C026A6" w:rsidRPr="00EA59C0">
        <w:t xml:space="preserve"> </w:t>
      </w:r>
      <w:r w:rsidRPr="00EA59C0">
        <w:t>as</w:t>
      </w:r>
      <w:r w:rsidR="00C026A6" w:rsidRPr="00EA59C0">
        <w:t xml:space="preserve"> </w:t>
      </w:r>
      <w:r w:rsidRPr="00EA59C0">
        <w:t>applicable:</w:t>
      </w:r>
    </w:p>
    <w:p w:rsidR="00D47154" w:rsidRPr="00EA59C0" w:rsidRDefault="00D47154" w:rsidP="00D47154">
      <w:pPr>
        <w:pStyle w:val="ListParagraph"/>
        <w:numPr>
          <w:ilvl w:val="0"/>
          <w:numId w:val="54"/>
        </w:numPr>
      </w:pPr>
      <w:r w:rsidRPr="00EA59C0">
        <w:t xml:space="preserve">Develop and adopt standard definitions for a common set of reporting elements for those students enrolled in non-credit and adult education courses that align with those elements collected for students enrolled in credit-bearing courses. </w:t>
      </w:r>
    </w:p>
    <w:p w:rsidR="00D47154" w:rsidRPr="00EA59C0" w:rsidRDefault="00D47154" w:rsidP="00D47154">
      <w:pPr>
        <w:pStyle w:val="ListParagraph"/>
        <w:numPr>
          <w:ilvl w:val="0"/>
          <w:numId w:val="54"/>
        </w:numPr>
      </w:pPr>
      <w:r w:rsidRPr="00EA59C0">
        <w:t>Integrate data on students in both credit and non-credit courses and programs into institutional and statewide data systems.</w:t>
      </w:r>
    </w:p>
    <w:p w:rsidR="00C47B09" w:rsidRPr="00EA59C0" w:rsidRDefault="00C47B09" w:rsidP="00080097">
      <w:pPr>
        <w:pStyle w:val="ListParagraph"/>
        <w:numPr>
          <w:ilvl w:val="0"/>
          <w:numId w:val="54"/>
        </w:numPr>
      </w:pPr>
      <w:r w:rsidRPr="00EA59C0">
        <w:t>Integrate</w:t>
      </w:r>
      <w:r w:rsidR="00C026A6" w:rsidRPr="00EA59C0">
        <w:t xml:space="preserve"> </w:t>
      </w:r>
      <w:r w:rsidRPr="00EA59C0">
        <w:t>data</w:t>
      </w:r>
      <w:r w:rsidR="00C026A6" w:rsidRPr="00EA59C0">
        <w:t xml:space="preserve"> </w:t>
      </w:r>
      <w:r w:rsidRPr="00EA59C0">
        <w:t>on</w:t>
      </w:r>
      <w:r w:rsidR="00C026A6" w:rsidRPr="00EA59C0">
        <w:t xml:space="preserve"> </w:t>
      </w:r>
      <w:r w:rsidRPr="00EA59C0">
        <w:t>attainment</w:t>
      </w:r>
      <w:r w:rsidR="00C026A6" w:rsidRPr="00EA59C0">
        <w:t xml:space="preserve"> </w:t>
      </w:r>
      <w:r w:rsidRPr="00EA59C0">
        <w:t>of</w:t>
      </w:r>
      <w:r w:rsidR="00C026A6" w:rsidRPr="00EA59C0">
        <w:t xml:space="preserve"> </w:t>
      </w:r>
      <w:r w:rsidRPr="00EA59C0">
        <w:t>industry-recognized</w:t>
      </w:r>
      <w:r w:rsidR="00C026A6" w:rsidRPr="00EA59C0">
        <w:t xml:space="preserve"> </w:t>
      </w:r>
      <w:r w:rsidRPr="00EA59C0">
        <w:t>credentials</w:t>
      </w:r>
      <w:r w:rsidR="00C026A6" w:rsidRPr="00EA59C0">
        <w:t xml:space="preserve"> </w:t>
      </w:r>
      <w:r w:rsidRPr="00EA59C0">
        <w:t>into</w:t>
      </w:r>
      <w:r w:rsidR="00C026A6" w:rsidRPr="00EA59C0">
        <w:t xml:space="preserve"> </w:t>
      </w:r>
      <w:r w:rsidRPr="00EA59C0">
        <w:t>the</w:t>
      </w:r>
      <w:r w:rsidR="00C026A6" w:rsidRPr="00EA59C0">
        <w:t xml:space="preserve"> </w:t>
      </w:r>
      <w:r w:rsidRPr="00EA59C0">
        <w:t>common</w:t>
      </w:r>
      <w:r w:rsidR="00C026A6" w:rsidRPr="00EA59C0">
        <w:t xml:space="preserve"> </w:t>
      </w:r>
      <w:r w:rsidRPr="00EA59C0">
        <w:t>set</w:t>
      </w:r>
      <w:r w:rsidR="00C026A6" w:rsidRPr="00EA59C0">
        <w:t xml:space="preserve"> </w:t>
      </w:r>
      <w:r w:rsidRPr="00EA59C0">
        <w:t>of</w:t>
      </w:r>
      <w:r w:rsidR="00C026A6" w:rsidRPr="00EA59C0">
        <w:t xml:space="preserve"> </w:t>
      </w:r>
      <w:r w:rsidRPr="00EA59C0">
        <w:t>institution-wide</w:t>
      </w:r>
      <w:r w:rsidR="00C026A6" w:rsidRPr="00EA59C0">
        <w:t xml:space="preserve"> </w:t>
      </w:r>
      <w:r w:rsidRPr="00EA59C0">
        <w:t>reporting</w:t>
      </w:r>
      <w:r w:rsidR="00C026A6" w:rsidRPr="00EA59C0">
        <w:t xml:space="preserve"> </w:t>
      </w:r>
      <w:r w:rsidRPr="00EA59C0">
        <w:t>elements.</w:t>
      </w:r>
    </w:p>
    <w:p w:rsidR="00D47154" w:rsidRPr="00EA59C0" w:rsidRDefault="00D47154" w:rsidP="00D47154">
      <w:pPr>
        <w:pStyle w:val="ListParagraph"/>
        <w:numPr>
          <w:ilvl w:val="0"/>
          <w:numId w:val="54"/>
        </w:numPr>
      </w:pPr>
      <w:r w:rsidRPr="00EA59C0">
        <w:t>Adopt standard policies for complying with Family Educational Rights and Privacy Act (FERPA) (20 U.S.C. § 1232g; 34 CFR Part 99) requirements, such as policies for accessing student education records when connected with audit or evaluation of Federal or State programs and enforcement of or compliance with Federal legal requirements of those programs, standard practices or agreements for disclosing Personally Identifiable Information (PII) through written agreements, and other PII and records management practices.</w:t>
      </w:r>
    </w:p>
    <w:p w:rsidR="00C47B09" w:rsidRPr="00EA59C0" w:rsidRDefault="00C47B09" w:rsidP="00080097">
      <w:pPr>
        <w:pStyle w:val="ListParagraph"/>
        <w:numPr>
          <w:ilvl w:val="0"/>
          <w:numId w:val="54"/>
        </w:numPr>
      </w:pPr>
      <w:r w:rsidRPr="00EA59C0">
        <w:t>Partner</w:t>
      </w:r>
      <w:r w:rsidR="00C026A6" w:rsidRPr="00EA59C0">
        <w:t xml:space="preserve"> </w:t>
      </w:r>
      <w:r w:rsidRPr="00EA59C0">
        <w:t>with</w:t>
      </w:r>
      <w:r w:rsidR="00C026A6" w:rsidRPr="00EA59C0">
        <w:t xml:space="preserve"> </w:t>
      </w:r>
      <w:r w:rsidRPr="00EA59C0">
        <w:t>state</w:t>
      </w:r>
      <w:r w:rsidR="00C026A6" w:rsidRPr="00EA59C0">
        <w:t xml:space="preserve"> </w:t>
      </w:r>
      <w:r w:rsidRPr="00EA59C0">
        <w:t>workforce</w:t>
      </w:r>
      <w:r w:rsidR="00C026A6" w:rsidRPr="00EA59C0">
        <w:t xml:space="preserve"> </w:t>
      </w:r>
      <w:r w:rsidRPr="00EA59C0">
        <w:t>agencies</w:t>
      </w:r>
      <w:r w:rsidR="00C026A6" w:rsidRPr="00EA59C0">
        <w:t xml:space="preserve"> </w:t>
      </w:r>
      <w:r w:rsidRPr="00EA59C0">
        <w:t>to</w:t>
      </w:r>
      <w:r w:rsidR="00C026A6" w:rsidRPr="00EA59C0">
        <w:t xml:space="preserve"> </w:t>
      </w:r>
      <w:r w:rsidRPr="00EA59C0">
        <w:t>obtain</w:t>
      </w:r>
      <w:r w:rsidR="00C026A6" w:rsidRPr="00EA59C0">
        <w:t xml:space="preserve"> </w:t>
      </w:r>
      <w:r w:rsidRPr="00EA59C0">
        <w:t>LMI</w:t>
      </w:r>
      <w:r w:rsidR="00C026A6" w:rsidRPr="00EA59C0">
        <w:t xml:space="preserve"> </w:t>
      </w:r>
      <w:r w:rsidRPr="00EA59C0">
        <w:t>from</w:t>
      </w:r>
      <w:r w:rsidR="00C026A6" w:rsidRPr="00EA59C0">
        <w:t xml:space="preserve"> </w:t>
      </w:r>
      <w:r w:rsidRPr="00EA59C0">
        <w:t>reported</w:t>
      </w:r>
      <w:r w:rsidR="00C026A6" w:rsidRPr="00EA59C0">
        <w:t xml:space="preserve"> </w:t>
      </w:r>
      <w:r w:rsidRPr="00EA59C0">
        <w:t>sources,</w:t>
      </w:r>
      <w:r w:rsidR="00C026A6" w:rsidRPr="00EA59C0">
        <w:t xml:space="preserve"> </w:t>
      </w:r>
      <w:r w:rsidRPr="00EA59C0">
        <w:t>including</w:t>
      </w:r>
      <w:r w:rsidR="00C026A6" w:rsidRPr="00EA59C0">
        <w:t xml:space="preserve"> </w:t>
      </w:r>
      <w:r w:rsidRPr="00EA59C0">
        <w:t>real-time</w:t>
      </w:r>
      <w:r w:rsidR="00C026A6" w:rsidRPr="00EA59C0">
        <w:t xml:space="preserve"> </w:t>
      </w:r>
      <w:r w:rsidRPr="00EA59C0">
        <w:t>LMI</w:t>
      </w:r>
      <w:r w:rsidR="00C026A6" w:rsidRPr="00EA59C0">
        <w:t xml:space="preserve"> </w:t>
      </w:r>
      <w:r w:rsidRPr="00EA59C0">
        <w:t>for</w:t>
      </w:r>
      <w:r w:rsidR="00C026A6" w:rsidRPr="00EA59C0">
        <w:t xml:space="preserve"> </w:t>
      </w:r>
      <w:r w:rsidRPr="00EA59C0">
        <w:t>state</w:t>
      </w:r>
      <w:r w:rsidR="00C026A6" w:rsidRPr="00EA59C0">
        <w:t xml:space="preserve"> </w:t>
      </w:r>
      <w:r w:rsidRPr="00EA59C0">
        <w:t>and</w:t>
      </w:r>
      <w:r w:rsidR="00C026A6" w:rsidRPr="00EA59C0">
        <w:t xml:space="preserve"> </w:t>
      </w:r>
      <w:r w:rsidRPr="00EA59C0">
        <w:t>regional</w:t>
      </w:r>
      <w:r w:rsidR="00C026A6" w:rsidRPr="00EA59C0">
        <w:t xml:space="preserve"> </w:t>
      </w:r>
      <w:r w:rsidRPr="00EA59C0">
        <w:t>labor</w:t>
      </w:r>
      <w:r w:rsidR="00C026A6" w:rsidRPr="00EA59C0">
        <w:t xml:space="preserve"> </w:t>
      </w:r>
      <w:r w:rsidRPr="00EA59C0">
        <w:t>markets.</w:t>
      </w:r>
      <w:r w:rsidR="00C026A6" w:rsidRPr="00EA59C0">
        <w:t xml:space="preserve">  </w:t>
      </w:r>
      <w:r w:rsidRPr="00EA59C0">
        <w:t>Train</w:t>
      </w:r>
      <w:r w:rsidR="00C026A6" w:rsidRPr="00EA59C0">
        <w:t xml:space="preserve"> </w:t>
      </w:r>
      <w:r w:rsidRPr="00EA59C0">
        <w:t>faculty</w:t>
      </w:r>
      <w:r w:rsidR="00C026A6" w:rsidRPr="00EA59C0">
        <w:t xml:space="preserve"> </w:t>
      </w:r>
      <w:r w:rsidRPr="00EA59C0">
        <w:t>and</w:t>
      </w:r>
      <w:r w:rsidR="00C026A6" w:rsidRPr="00EA59C0">
        <w:t xml:space="preserve"> </w:t>
      </w:r>
      <w:r w:rsidRPr="00EA59C0">
        <w:t>admissions</w:t>
      </w:r>
      <w:r w:rsidR="00C026A6" w:rsidRPr="00EA59C0">
        <w:t xml:space="preserve"> </w:t>
      </w:r>
      <w:r w:rsidRPr="00EA59C0">
        <w:t>counselors</w:t>
      </w:r>
      <w:r w:rsidR="00C026A6" w:rsidRPr="00EA59C0">
        <w:t xml:space="preserve"> </w:t>
      </w:r>
      <w:r w:rsidRPr="00EA59C0">
        <w:t>on</w:t>
      </w:r>
      <w:r w:rsidR="00C026A6" w:rsidRPr="00EA59C0">
        <w:t xml:space="preserve"> </w:t>
      </w:r>
      <w:r w:rsidRPr="00EA59C0">
        <w:t>effective</w:t>
      </w:r>
      <w:r w:rsidR="00C026A6" w:rsidRPr="00EA59C0">
        <w:t xml:space="preserve"> </w:t>
      </w:r>
      <w:r w:rsidRPr="00EA59C0">
        <w:t>use</w:t>
      </w:r>
      <w:r w:rsidR="00C026A6" w:rsidRPr="00EA59C0">
        <w:t xml:space="preserve"> </w:t>
      </w:r>
      <w:r w:rsidRPr="00EA59C0">
        <w:t>of</w:t>
      </w:r>
      <w:r w:rsidR="00C026A6" w:rsidRPr="00EA59C0">
        <w:t xml:space="preserve"> </w:t>
      </w:r>
      <w:r w:rsidRPr="00EA59C0">
        <w:t>LMI</w:t>
      </w:r>
      <w:r w:rsidR="00C026A6" w:rsidRPr="00EA59C0">
        <w:t xml:space="preserve"> </w:t>
      </w:r>
      <w:r w:rsidRPr="00EA59C0">
        <w:t>and</w:t>
      </w:r>
      <w:r w:rsidR="00C026A6" w:rsidRPr="00EA59C0">
        <w:t xml:space="preserve"> </w:t>
      </w:r>
      <w:r w:rsidRPr="00EA59C0">
        <w:t>other</w:t>
      </w:r>
      <w:r w:rsidR="00C026A6" w:rsidRPr="00EA59C0">
        <w:t xml:space="preserve"> </w:t>
      </w:r>
      <w:r w:rsidRPr="00EA59C0">
        <w:t>resources</w:t>
      </w:r>
      <w:r w:rsidR="00C026A6" w:rsidRPr="00EA59C0">
        <w:t xml:space="preserve"> </w:t>
      </w:r>
      <w:r w:rsidRPr="00EA59C0">
        <w:t>to</w:t>
      </w:r>
      <w:r w:rsidR="00C026A6" w:rsidRPr="00EA59C0">
        <w:t xml:space="preserve"> </w:t>
      </w:r>
      <w:r w:rsidRPr="00EA59C0">
        <w:t>assist</w:t>
      </w:r>
      <w:r w:rsidR="00C026A6" w:rsidRPr="00EA59C0">
        <w:t xml:space="preserve"> </w:t>
      </w:r>
      <w:r w:rsidRPr="00EA59C0">
        <w:t>prospective</w:t>
      </w:r>
      <w:r w:rsidR="00C026A6" w:rsidRPr="00EA59C0">
        <w:t xml:space="preserve"> </w:t>
      </w:r>
      <w:r w:rsidRPr="00EA59C0">
        <w:t>students</w:t>
      </w:r>
      <w:r w:rsidR="00C026A6" w:rsidRPr="00EA59C0">
        <w:t xml:space="preserve"> </w:t>
      </w:r>
      <w:r w:rsidRPr="00EA59C0">
        <w:t>in</w:t>
      </w:r>
      <w:r w:rsidR="00C026A6" w:rsidRPr="00EA59C0">
        <w:t xml:space="preserve"> </w:t>
      </w:r>
      <w:r w:rsidRPr="00EA59C0">
        <w:t>selecting</w:t>
      </w:r>
      <w:r w:rsidR="00C026A6" w:rsidRPr="00EA59C0">
        <w:t xml:space="preserve"> </w:t>
      </w:r>
      <w:r w:rsidRPr="00EA59C0">
        <w:t>programs</w:t>
      </w:r>
      <w:r w:rsidR="00C026A6" w:rsidRPr="00EA59C0">
        <w:t xml:space="preserve"> </w:t>
      </w:r>
      <w:r w:rsidRPr="00EA59C0">
        <w:t>that</w:t>
      </w:r>
      <w:r w:rsidR="00C026A6" w:rsidRPr="00EA59C0">
        <w:t xml:space="preserve"> </w:t>
      </w:r>
      <w:r w:rsidRPr="00EA59C0">
        <w:t>will</w:t>
      </w:r>
      <w:r w:rsidR="00C026A6" w:rsidRPr="00EA59C0">
        <w:t xml:space="preserve"> </w:t>
      </w:r>
      <w:r w:rsidRPr="00EA59C0">
        <w:t>result</w:t>
      </w:r>
      <w:r w:rsidR="00C026A6" w:rsidRPr="00EA59C0">
        <w:t xml:space="preserve"> </w:t>
      </w:r>
      <w:r w:rsidRPr="00EA59C0">
        <w:t>in</w:t>
      </w:r>
      <w:r w:rsidR="00C026A6" w:rsidRPr="00EA59C0">
        <w:t xml:space="preserve"> </w:t>
      </w:r>
      <w:r w:rsidRPr="00EA59C0">
        <w:t>training-related</w:t>
      </w:r>
      <w:r w:rsidR="00C026A6" w:rsidRPr="00EA59C0">
        <w:t xml:space="preserve"> </w:t>
      </w:r>
      <w:r w:rsidRPr="00EA59C0">
        <w:t>employment.</w:t>
      </w:r>
      <w:r w:rsidR="00C026A6" w:rsidRPr="00EA59C0">
        <w:t xml:space="preserve">  </w:t>
      </w:r>
      <w:r w:rsidRPr="00EA59C0">
        <w:t>Provide</w:t>
      </w:r>
      <w:r w:rsidR="00C026A6" w:rsidRPr="00EA59C0">
        <w:t xml:space="preserve"> </w:t>
      </w:r>
      <w:r w:rsidRPr="00EA59C0">
        <w:t>current</w:t>
      </w:r>
      <w:r w:rsidR="00C026A6" w:rsidRPr="00EA59C0">
        <w:t xml:space="preserve"> </w:t>
      </w:r>
      <w:r w:rsidRPr="00EA59C0">
        <w:t>and</w:t>
      </w:r>
      <w:r w:rsidR="00C026A6" w:rsidRPr="00EA59C0">
        <w:t xml:space="preserve"> </w:t>
      </w:r>
      <w:r w:rsidRPr="00EA59C0">
        <w:t>prospective</w:t>
      </w:r>
      <w:r w:rsidR="00C026A6" w:rsidRPr="00EA59C0">
        <w:t xml:space="preserve"> </w:t>
      </w:r>
      <w:r w:rsidRPr="00EA59C0">
        <w:t>students</w:t>
      </w:r>
      <w:r w:rsidR="00C026A6" w:rsidRPr="00EA59C0">
        <w:t xml:space="preserve"> </w:t>
      </w:r>
      <w:r w:rsidRPr="00EA59C0">
        <w:t>with</w:t>
      </w:r>
      <w:r w:rsidR="00C026A6" w:rsidRPr="00EA59C0">
        <w:t xml:space="preserve"> </w:t>
      </w:r>
      <w:r w:rsidRPr="00EA59C0">
        <w:t>extensive</w:t>
      </w:r>
      <w:r w:rsidR="00C026A6" w:rsidRPr="00EA59C0">
        <w:t xml:space="preserve"> </w:t>
      </w:r>
      <w:r w:rsidRPr="00EA59C0">
        <w:t>guidance</w:t>
      </w:r>
      <w:r w:rsidR="00C026A6" w:rsidRPr="00EA59C0">
        <w:t xml:space="preserve"> </w:t>
      </w:r>
      <w:r w:rsidRPr="00EA59C0">
        <w:t>on</w:t>
      </w:r>
      <w:r w:rsidR="00C026A6" w:rsidRPr="00EA59C0">
        <w:t xml:space="preserve"> </w:t>
      </w:r>
      <w:r w:rsidRPr="00EA59C0">
        <w:t>use</w:t>
      </w:r>
      <w:r w:rsidR="00C026A6" w:rsidRPr="00EA59C0">
        <w:t xml:space="preserve"> </w:t>
      </w:r>
      <w:r w:rsidRPr="00EA59C0">
        <w:t>of</w:t>
      </w:r>
      <w:r w:rsidR="00C026A6" w:rsidRPr="00EA59C0">
        <w:t xml:space="preserve"> </w:t>
      </w:r>
      <w:r w:rsidRPr="00EA59C0">
        <w:t>LMI</w:t>
      </w:r>
      <w:r w:rsidR="00C026A6" w:rsidRPr="00EA59C0">
        <w:t xml:space="preserve"> </w:t>
      </w:r>
      <w:r w:rsidRPr="00EA59C0">
        <w:t>resources</w:t>
      </w:r>
      <w:r w:rsidR="00C026A6" w:rsidRPr="00EA59C0">
        <w:t xml:space="preserve"> </w:t>
      </w:r>
      <w:r w:rsidRPr="00EA59C0">
        <w:t>to</w:t>
      </w:r>
      <w:r w:rsidR="00C026A6" w:rsidRPr="00EA59C0">
        <w:t xml:space="preserve"> </w:t>
      </w:r>
      <w:r w:rsidRPr="00EA59C0">
        <w:t>make</w:t>
      </w:r>
      <w:r w:rsidR="00C026A6" w:rsidRPr="00EA59C0">
        <w:t xml:space="preserve"> </w:t>
      </w:r>
      <w:r w:rsidRPr="00EA59C0">
        <w:t>program</w:t>
      </w:r>
      <w:r w:rsidR="00C026A6" w:rsidRPr="00EA59C0">
        <w:t xml:space="preserve"> </w:t>
      </w:r>
      <w:r w:rsidRPr="00EA59C0">
        <w:t>choices</w:t>
      </w:r>
      <w:r w:rsidR="00C026A6" w:rsidRPr="00EA59C0">
        <w:t xml:space="preserve"> </w:t>
      </w:r>
      <w:r w:rsidRPr="00EA59C0">
        <w:t>that</w:t>
      </w:r>
      <w:r w:rsidR="00C026A6" w:rsidRPr="00EA59C0">
        <w:t xml:space="preserve"> </w:t>
      </w:r>
      <w:r w:rsidRPr="00EA59C0">
        <w:t>lead</w:t>
      </w:r>
      <w:r w:rsidR="00C026A6" w:rsidRPr="00EA59C0">
        <w:t xml:space="preserve"> </w:t>
      </w:r>
      <w:r w:rsidRPr="00EA59C0">
        <w:t>to</w:t>
      </w:r>
      <w:r w:rsidR="00C026A6" w:rsidRPr="00EA59C0">
        <w:t xml:space="preserve"> </w:t>
      </w:r>
      <w:r w:rsidRPr="00EA59C0">
        <w:t>training-related</w:t>
      </w:r>
      <w:r w:rsidR="00C026A6" w:rsidRPr="00EA59C0">
        <w:t xml:space="preserve"> </w:t>
      </w:r>
      <w:r w:rsidRPr="00EA59C0">
        <w:t>employment.</w:t>
      </w:r>
    </w:p>
    <w:p w:rsidR="00C47B09" w:rsidRPr="00EA59C0" w:rsidRDefault="00C47B09" w:rsidP="00080097">
      <w:pPr>
        <w:pStyle w:val="ListParagraph"/>
        <w:numPr>
          <w:ilvl w:val="0"/>
          <w:numId w:val="54"/>
        </w:numPr>
      </w:pPr>
      <w:r w:rsidRPr="00EA59C0">
        <w:t>Partner</w:t>
      </w:r>
      <w:r w:rsidR="00C026A6" w:rsidRPr="00EA59C0">
        <w:t xml:space="preserve"> </w:t>
      </w:r>
      <w:r w:rsidRPr="00EA59C0">
        <w:t>with</w:t>
      </w:r>
      <w:r w:rsidR="00C026A6" w:rsidRPr="00EA59C0">
        <w:t xml:space="preserve"> </w:t>
      </w:r>
      <w:r w:rsidRPr="00EA59C0">
        <w:t>the</w:t>
      </w:r>
      <w:r w:rsidR="00C026A6" w:rsidRPr="00EA59C0">
        <w:t xml:space="preserve"> </w:t>
      </w:r>
      <w:r w:rsidRPr="00EA59C0">
        <w:t>state</w:t>
      </w:r>
      <w:r w:rsidR="00C026A6" w:rsidRPr="00EA59C0">
        <w:t xml:space="preserve"> </w:t>
      </w:r>
      <w:r w:rsidRPr="00EA59C0">
        <w:t>agencies</w:t>
      </w:r>
      <w:r w:rsidR="00C026A6" w:rsidRPr="00EA59C0">
        <w:t xml:space="preserve"> </w:t>
      </w:r>
      <w:r w:rsidRPr="00EA59C0">
        <w:t>that</w:t>
      </w:r>
      <w:r w:rsidR="00C026A6" w:rsidRPr="00EA59C0">
        <w:t xml:space="preserve"> </w:t>
      </w:r>
      <w:r w:rsidRPr="00EA59C0">
        <w:t>administer</w:t>
      </w:r>
      <w:r w:rsidR="00C026A6" w:rsidRPr="00EA59C0">
        <w:t xml:space="preserve"> </w:t>
      </w:r>
      <w:r w:rsidRPr="00EA59C0">
        <w:t>the</w:t>
      </w:r>
      <w:r w:rsidR="00C026A6" w:rsidRPr="00EA59C0">
        <w:t xml:space="preserve"> </w:t>
      </w:r>
      <w:r w:rsidRPr="00EA59C0">
        <w:t>TAA</w:t>
      </w:r>
      <w:r w:rsidR="00C026A6" w:rsidRPr="00EA59C0">
        <w:t xml:space="preserve"> </w:t>
      </w:r>
      <w:r w:rsidRPr="00EA59C0">
        <w:t>for</w:t>
      </w:r>
      <w:r w:rsidR="00C026A6" w:rsidRPr="00EA59C0">
        <w:t xml:space="preserve"> </w:t>
      </w:r>
      <w:r w:rsidRPr="00EA59C0">
        <w:t>Workers</w:t>
      </w:r>
      <w:r w:rsidR="00C026A6" w:rsidRPr="00EA59C0">
        <w:t xml:space="preserve"> </w:t>
      </w:r>
      <w:r w:rsidRPr="00EA59C0">
        <w:t>and</w:t>
      </w:r>
      <w:r w:rsidR="00C026A6" w:rsidRPr="00EA59C0">
        <w:t xml:space="preserve"> </w:t>
      </w:r>
      <w:r w:rsidRPr="00EA59C0">
        <w:t>WIA</w:t>
      </w:r>
      <w:r w:rsidR="00C026A6" w:rsidRPr="00EA59C0">
        <w:t xml:space="preserve"> </w:t>
      </w:r>
      <w:r w:rsidRPr="00EA59C0">
        <w:t>programs</w:t>
      </w:r>
      <w:r w:rsidR="00C026A6" w:rsidRPr="00EA59C0">
        <w:t xml:space="preserve"> </w:t>
      </w:r>
      <w:r w:rsidRPr="00EA59C0">
        <w:t>and</w:t>
      </w:r>
      <w:r w:rsidR="00C026A6" w:rsidRPr="00EA59C0">
        <w:t xml:space="preserve"> </w:t>
      </w:r>
      <w:r w:rsidRPr="00EA59C0">
        <w:t>the</w:t>
      </w:r>
      <w:r w:rsidR="00C026A6" w:rsidRPr="00EA59C0">
        <w:t xml:space="preserve"> </w:t>
      </w:r>
      <w:r w:rsidRPr="00EA59C0">
        <w:t>State</w:t>
      </w:r>
      <w:r w:rsidR="00C026A6" w:rsidRPr="00EA59C0">
        <w:t xml:space="preserve"> </w:t>
      </w:r>
      <w:r w:rsidRPr="00EA59C0">
        <w:t>Unemployment</w:t>
      </w:r>
      <w:r w:rsidR="00C026A6" w:rsidRPr="00EA59C0">
        <w:t xml:space="preserve"> </w:t>
      </w:r>
      <w:r w:rsidRPr="00EA59C0">
        <w:t>Compensation</w:t>
      </w:r>
      <w:r w:rsidR="00C026A6" w:rsidRPr="00EA59C0">
        <w:t xml:space="preserve"> </w:t>
      </w:r>
      <w:r w:rsidRPr="00EA59C0">
        <w:t>(UC)</w:t>
      </w:r>
      <w:r w:rsidR="00C026A6" w:rsidRPr="00EA59C0">
        <w:t xml:space="preserve"> </w:t>
      </w:r>
      <w:r w:rsidRPr="00EA59C0">
        <w:t>agencies</w:t>
      </w:r>
      <w:r w:rsidR="00C026A6" w:rsidRPr="00EA59C0">
        <w:t xml:space="preserve"> </w:t>
      </w:r>
      <w:r w:rsidRPr="00EA59C0">
        <w:t>to</w:t>
      </w:r>
      <w:r w:rsidR="00C026A6" w:rsidRPr="00EA59C0">
        <w:t xml:space="preserve"> </w:t>
      </w:r>
      <w:r w:rsidRPr="00EA59C0">
        <w:t>develop</w:t>
      </w:r>
      <w:r w:rsidR="00C026A6" w:rsidRPr="00EA59C0">
        <w:t xml:space="preserve"> </w:t>
      </w:r>
      <w:r w:rsidRPr="00EA59C0">
        <w:t>a</w:t>
      </w:r>
      <w:r w:rsidR="00C026A6" w:rsidRPr="00EA59C0">
        <w:t xml:space="preserve"> </w:t>
      </w:r>
      <w:r w:rsidRPr="00EA59C0">
        <w:t>comprehensive</w:t>
      </w:r>
      <w:r w:rsidR="00C026A6" w:rsidRPr="00EA59C0">
        <w:t xml:space="preserve"> </w:t>
      </w:r>
      <w:r w:rsidRPr="00EA59C0">
        <w:t>data</w:t>
      </w:r>
      <w:r w:rsidR="00C026A6" w:rsidRPr="00EA59C0">
        <w:t xml:space="preserve"> </w:t>
      </w:r>
      <w:r w:rsidRPr="00EA59C0">
        <w:t>system</w:t>
      </w:r>
      <w:r w:rsidR="00C026A6" w:rsidRPr="00EA59C0">
        <w:t xml:space="preserve"> </w:t>
      </w:r>
      <w:r w:rsidRPr="00EA59C0">
        <w:t>that</w:t>
      </w:r>
      <w:r w:rsidR="00C026A6" w:rsidRPr="00EA59C0">
        <w:t xml:space="preserve"> </w:t>
      </w:r>
      <w:r w:rsidR="008D3268" w:rsidRPr="00EA59C0">
        <w:t>utilizes</w:t>
      </w:r>
      <w:r w:rsidR="00C026A6" w:rsidRPr="00EA59C0">
        <w:t xml:space="preserve"> </w:t>
      </w:r>
      <w:r w:rsidRPr="00EA59C0">
        <w:t>administrative</w:t>
      </w:r>
      <w:r w:rsidR="00C026A6" w:rsidRPr="00EA59C0">
        <w:t xml:space="preserve"> </w:t>
      </w:r>
      <w:r w:rsidRPr="00EA59C0">
        <w:t>data</w:t>
      </w:r>
      <w:r w:rsidR="00C026A6" w:rsidRPr="00EA59C0">
        <w:t xml:space="preserve"> </w:t>
      </w:r>
      <w:r w:rsidRPr="00EA59C0">
        <w:t>from</w:t>
      </w:r>
      <w:r w:rsidR="00C026A6" w:rsidRPr="00EA59C0">
        <w:t xml:space="preserve"> </w:t>
      </w:r>
      <w:r w:rsidRPr="00EA59C0">
        <w:t>these</w:t>
      </w:r>
      <w:r w:rsidR="00C026A6" w:rsidRPr="00EA59C0">
        <w:t xml:space="preserve"> </w:t>
      </w:r>
      <w:r w:rsidRPr="00EA59C0">
        <w:t>state</w:t>
      </w:r>
      <w:r w:rsidR="00C026A6" w:rsidRPr="00EA59C0">
        <w:t xml:space="preserve"> </w:t>
      </w:r>
      <w:r w:rsidRPr="00EA59C0">
        <w:t>systems.</w:t>
      </w:r>
      <w:r w:rsidR="00C026A6" w:rsidRPr="00EA59C0">
        <w:t xml:space="preserve">  </w:t>
      </w:r>
      <w:r w:rsidRPr="00EA59C0">
        <w:t>Since</w:t>
      </w:r>
      <w:r w:rsidR="00C026A6" w:rsidRPr="00EA59C0">
        <w:t xml:space="preserve"> </w:t>
      </w:r>
      <w:r w:rsidRPr="00EA59C0">
        <w:t>state</w:t>
      </w:r>
      <w:r w:rsidR="00C026A6" w:rsidRPr="00EA59C0">
        <w:t xml:space="preserve"> </w:t>
      </w:r>
      <w:r w:rsidRPr="00EA59C0">
        <w:t>law</w:t>
      </w:r>
      <w:r w:rsidR="00C026A6" w:rsidRPr="00EA59C0">
        <w:t xml:space="preserve"> </w:t>
      </w:r>
      <w:r w:rsidRPr="00EA59C0">
        <w:t>and</w:t>
      </w:r>
      <w:r w:rsidR="00C026A6" w:rsidRPr="00EA59C0">
        <w:t xml:space="preserve"> </w:t>
      </w:r>
      <w:r w:rsidRPr="00EA59C0">
        <w:t>regulations</w:t>
      </w:r>
      <w:r w:rsidR="00C026A6" w:rsidRPr="00EA59C0">
        <w:t xml:space="preserve"> </w:t>
      </w:r>
      <w:r w:rsidRPr="00EA59C0">
        <w:t>on</w:t>
      </w:r>
      <w:r w:rsidR="00C026A6" w:rsidRPr="00EA59C0">
        <w:t xml:space="preserve"> </w:t>
      </w:r>
      <w:r w:rsidRPr="00EA59C0">
        <w:t>disclosure</w:t>
      </w:r>
      <w:r w:rsidR="00C026A6" w:rsidRPr="00EA59C0">
        <w:t xml:space="preserve"> </w:t>
      </w:r>
      <w:r w:rsidRPr="00EA59C0">
        <w:t>differ</w:t>
      </w:r>
      <w:r w:rsidR="00C026A6" w:rsidRPr="00EA59C0">
        <w:t xml:space="preserve"> </w:t>
      </w:r>
      <w:r w:rsidRPr="00EA59C0">
        <w:t>individually</w:t>
      </w:r>
      <w:r w:rsidR="00C026A6" w:rsidRPr="00EA59C0">
        <w:t xml:space="preserve"> </w:t>
      </w:r>
      <w:r w:rsidRPr="00EA59C0">
        <w:t>across</w:t>
      </w:r>
      <w:r w:rsidR="00C026A6" w:rsidRPr="00EA59C0">
        <w:t xml:space="preserve"> </w:t>
      </w:r>
      <w:r w:rsidRPr="00EA59C0">
        <w:t>states,</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consult</w:t>
      </w:r>
      <w:r w:rsidR="00C026A6" w:rsidRPr="00EA59C0">
        <w:t xml:space="preserve"> </w:t>
      </w:r>
      <w:r w:rsidRPr="00EA59C0">
        <w:t>with</w:t>
      </w:r>
      <w:r w:rsidR="00C026A6" w:rsidRPr="00EA59C0">
        <w:t xml:space="preserve"> </w:t>
      </w:r>
      <w:r w:rsidRPr="00EA59C0">
        <w:t>their</w:t>
      </w:r>
      <w:r w:rsidR="00C026A6" w:rsidRPr="00EA59C0">
        <w:t xml:space="preserve"> </w:t>
      </w:r>
      <w:r w:rsidRPr="00EA59C0">
        <w:t>state</w:t>
      </w:r>
      <w:r w:rsidR="00C026A6" w:rsidRPr="00EA59C0">
        <w:t xml:space="preserve"> </w:t>
      </w:r>
      <w:r w:rsidRPr="00EA59C0">
        <w:t>UC</w:t>
      </w:r>
      <w:r w:rsidR="00C026A6" w:rsidRPr="00EA59C0">
        <w:t xml:space="preserve"> </w:t>
      </w:r>
      <w:r w:rsidRPr="00EA59C0">
        <w:t>agent</w:t>
      </w:r>
      <w:r w:rsidR="00C026A6" w:rsidRPr="00EA59C0">
        <w:t xml:space="preserve"> </w:t>
      </w:r>
      <w:r w:rsidRPr="00EA59C0">
        <w:t>to</w:t>
      </w:r>
      <w:r w:rsidR="00C026A6" w:rsidRPr="00EA59C0">
        <w:t xml:space="preserve"> </w:t>
      </w:r>
      <w:r w:rsidRPr="00EA59C0">
        <w:t>determine</w:t>
      </w:r>
      <w:r w:rsidR="00C026A6" w:rsidRPr="00EA59C0">
        <w:t xml:space="preserve"> </w:t>
      </w:r>
      <w:r w:rsidRPr="00EA59C0">
        <w:t>the</w:t>
      </w:r>
      <w:r w:rsidR="00C026A6" w:rsidRPr="00EA59C0">
        <w:t xml:space="preserve"> </w:t>
      </w:r>
      <w:r w:rsidRPr="00EA59C0">
        <w:t>appropriate</w:t>
      </w:r>
      <w:r w:rsidR="00C026A6" w:rsidRPr="00EA59C0">
        <w:t xml:space="preserve"> </w:t>
      </w:r>
      <w:r w:rsidRPr="00EA59C0">
        <w:t>course</w:t>
      </w:r>
      <w:r w:rsidR="00C026A6" w:rsidRPr="00EA59C0">
        <w:t xml:space="preserve"> </w:t>
      </w:r>
      <w:r w:rsidRPr="00EA59C0">
        <w:t>of</w:t>
      </w:r>
      <w:r w:rsidR="00C026A6" w:rsidRPr="00EA59C0">
        <w:t xml:space="preserve"> </w:t>
      </w:r>
      <w:r w:rsidRPr="00EA59C0">
        <w:t>action</w:t>
      </w:r>
      <w:r w:rsidR="00C026A6" w:rsidRPr="00EA59C0">
        <w:t xml:space="preserve"> </w:t>
      </w:r>
      <w:r w:rsidRPr="00EA59C0">
        <w:t>to</w:t>
      </w:r>
      <w:r w:rsidR="00C026A6" w:rsidRPr="00EA59C0">
        <w:t xml:space="preserve"> </w:t>
      </w:r>
      <w:r w:rsidRPr="00EA59C0">
        <w:t>gain</w:t>
      </w:r>
      <w:r w:rsidR="00C026A6" w:rsidRPr="00EA59C0">
        <w:t xml:space="preserve"> </w:t>
      </w:r>
      <w:r w:rsidRPr="00EA59C0">
        <w:t>access</w:t>
      </w:r>
      <w:r w:rsidR="00C026A6" w:rsidRPr="00EA59C0">
        <w:t xml:space="preserve"> </w:t>
      </w:r>
      <w:r w:rsidRPr="00EA59C0">
        <w:t>to</w:t>
      </w:r>
      <w:r w:rsidR="00C026A6" w:rsidRPr="00EA59C0">
        <w:t xml:space="preserve"> </w:t>
      </w:r>
      <w:r w:rsidRPr="00EA59C0">
        <w:t>confidential</w:t>
      </w:r>
      <w:r w:rsidR="00C026A6" w:rsidRPr="00EA59C0">
        <w:t xml:space="preserve"> </w:t>
      </w:r>
      <w:r w:rsidRPr="00EA59C0">
        <w:t>UC</w:t>
      </w:r>
      <w:r w:rsidR="00C026A6" w:rsidRPr="00EA59C0">
        <w:t xml:space="preserve"> </w:t>
      </w:r>
      <w:r w:rsidRPr="00EA59C0">
        <w:t>data</w:t>
      </w:r>
      <w:r w:rsidR="00C026A6" w:rsidRPr="00EA59C0">
        <w:t xml:space="preserve"> </w:t>
      </w:r>
      <w:r w:rsidRPr="00EA59C0">
        <w:t>on</w:t>
      </w:r>
      <w:r w:rsidR="00C026A6" w:rsidRPr="00EA59C0">
        <w:t xml:space="preserve"> </w:t>
      </w:r>
      <w:r w:rsidRPr="00EA59C0">
        <w:t>employment</w:t>
      </w:r>
      <w:r w:rsidR="00C026A6" w:rsidRPr="00EA59C0">
        <w:t xml:space="preserve"> </w:t>
      </w:r>
      <w:r w:rsidRPr="00EA59C0">
        <w:t>outcomes.</w:t>
      </w:r>
      <w:r w:rsidR="00C026A6" w:rsidRPr="00EA59C0">
        <w:t xml:space="preserve">  </w:t>
      </w:r>
    </w:p>
    <w:p w:rsidR="00C47B09" w:rsidRPr="00EA59C0" w:rsidRDefault="00C47B09" w:rsidP="00080097">
      <w:pPr>
        <w:pStyle w:val="ListParagraph"/>
        <w:numPr>
          <w:ilvl w:val="0"/>
          <w:numId w:val="54"/>
        </w:numPr>
      </w:pPr>
      <w:r w:rsidRPr="00EA59C0">
        <w:t>Partner</w:t>
      </w:r>
      <w:r w:rsidR="00C026A6" w:rsidRPr="00EA59C0">
        <w:t xml:space="preserve"> </w:t>
      </w:r>
      <w:r w:rsidRPr="00EA59C0">
        <w:t>with</w:t>
      </w:r>
      <w:r w:rsidR="00C026A6" w:rsidRPr="00EA59C0">
        <w:t xml:space="preserve"> </w:t>
      </w:r>
      <w:r w:rsidRPr="00EA59C0">
        <w:t>employers,</w:t>
      </w:r>
      <w:r w:rsidR="00C026A6" w:rsidRPr="00EA59C0">
        <w:t xml:space="preserve"> </w:t>
      </w:r>
      <w:r w:rsidRPr="00EA59C0">
        <w:t>industry,</w:t>
      </w:r>
      <w:r w:rsidR="00C026A6" w:rsidRPr="00EA59C0">
        <w:t xml:space="preserve"> </w:t>
      </w:r>
      <w:r w:rsidRPr="00EA59C0">
        <w:t>and</w:t>
      </w:r>
      <w:r w:rsidR="00C026A6" w:rsidRPr="00EA59C0">
        <w:t xml:space="preserve"> </w:t>
      </w:r>
      <w:r w:rsidRPr="00EA59C0">
        <w:t>the</w:t>
      </w:r>
      <w:r w:rsidR="00C026A6" w:rsidRPr="00EA59C0">
        <w:t xml:space="preserve"> </w:t>
      </w:r>
      <w:r w:rsidRPr="00EA59C0">
        <w:t>workforce</w:t>
      </w:r>
      <w:r w:rsidR="00C026A6" w:rsidRPr="00EA59C0">
        <w:t xml:space="preserve"> </w:t>
      </w:r>
      <w:r w:rsidRPr="00EA59C0">
        <w:t>system</w:t>
      </w:r>
      <w:r w:rsidR="00C026A6" w:rsidRPr="00EA59C0">
        <w:t xml:space="preserve"> </w:t>
      </w:r>
      <w:r w:rsidRPr="00EA59C0">
        <w:t>to</w:t>
      </w:r>
      <w:r w:rsidR="00C026A6" w:rsidRPr="00EA59C0">
        <w:t xml:space="preserve"> </w:t>
      </w:r>
      <w:r w:rsidRPr="00EA59C0">
        <w:t>supplement</w:t>
      </w:r>
      <w:r w:rsidR="00C026A6" w:rsidRPr="00EA59C0">
        <w:t xml:space="preserve"> </w:t>
      </w:r>
      <w:r w:rsidRPr="00EA59C0">
        <w:t>data</w:t>
      </w:r>
      <w:r w:rsidR="00C026A6" w:rsidRPr="00EA59C0">
        <w:t xml:space="preserve"> </w:t>
      </w:r>
      <w:r w:rsidRPr="00EA59C0">
        <w:t>currently</w:t>
      </w:r>
      <w:r w:rsidR="00C026A6" w:rsidRPr="00EA59C0">
        <w:t xml:space="preserve"> </w:t>
      </w:r>
      <w:r w:rsidRPr="00EA59C0">
        <w:t>available</w:t>
      </w:r>
      <w:r w:rsidR="00C026A6" w:rsidRPr="00EA59C0">
        <w:t xml:space="preserve"> </w:t>
      </w:r>
      <w:r w:rsidRPr="00EA59C0">
        <w:t>through</w:t>
      </w:r>
      <w:r w:rsidR="00C026A6" w:rsidRPr="00EA59C0">
        <w:t xml:space="preserve"> </w:t>
      </w:r>
      <w:r w:rsidRPr="00EA59C0">
        <w:t>state</w:t>
      </w:r>
      <w:r w:rsidR="00C026A6" w:rsidRPr="00EA59C0">
        <w:t xml:space="preserve"> </w:t>
      </w:r>
      <w:r w:rsidRPr="00EA59C0">
        <w:t>agencies</w:t>
      </w:r>
      <w:r w:rsidR="00C026A6" w:rsidRPr="00EA59C0">
        <w:t xml:space="preserve"> </w:t>
      </w:r>
      <w:r w:rsidRPr="00EA59C0">
        <w:t>that</w:t>
      </w:r>
      <w:r w:rsidR="00C026A6" w:rsidRPr="00EA59C0">
        <w:t xml:space="preserve"> </w:t>
      </w:r>
      <w:r w:rsidRPr="00EA59C0">
        <w:t>administer</w:t>
      </w:r>
      <w:r w:rsidR="00C026A6" w:rsidRPr="00EA59C0">
        <w:t xml:space="preserve"> </w:t>
      </w:r>
      <w:r w:rsidRPr="00EA59C0">
        <w:t>TAA</w:t>
      </w:r>
      <w:r w:rsidR="00C026A6" w:rsidRPr="00EA59C0">
        <w:t xml:space="preserve"> </w:t>
      </w:r>
      <w:r w:rsidRPr="00EA59C0">
        <w:t>for</w:t>
      </w:r>
      <w:r w:rsidR="00C026A6" w:rsidRPr="00EA59C0">
        <w:t xml:space="preserve"> </w:t>
      </w:r>
      <w:r w:rsidRPr="00EA59C0">
        <w:t>Workers</w:t>
      </w:r>
      <w:r w:rsidR="00C026A6" w:rsidRPr="00EA59C0">
        <w:t xml:space="preserve"> </w:t>
      </w:r>
      <w:r w:rsidRPr="00EA59C0">
        <w:t>and</w:t>
      </w:r>
      <w:r w:rsidR="00C026A6" w:rsidRPr="00EA59C0">
        <w:t xml:space="preserve"> </w:t>
      </w:r>
      <w:r w:rsidRPr="00EA59C0">
        <w:t>WIA</w:t>
      </w:r>
      <w:r w:rsidR="00C026A6" w:rsidRPr="00EA59C0">
        <w:t xml:space="preserve"> </w:t>
      </w:r>
      <w:r w:rsidRPr="00EA59C0">
        <w:t>programs</w:t>
      </w:r>
      <w:r w:rsidR="00C026A6" w:rsidRPr="00EA59C0">
        <w:t xml:space="preserve"> </w:t>
      </w:r>
      <w:r w:rsidRPr="00EA59C0">
        <w:t>and</w:t>
      </w:r>
      <w:r w:rsidR="00C026A6" w:rsidRPr="00EA59C0">
        <w:t xml:space="preserve"> </w:t>
      </w:r>
      <w:r w:rsidRPr="00EA59C0">
        <w:t>state</w:t>
      </w:r>
      <w:r w:rsidR="00C026A6" w:rsidRPr="00EA59C0">
        <w:t xml:space="preserve"> </w:t>
      </w:r>
      <w:r w:rsidRPr="00EA59C0">
        <w:t>UC</w:t>
      </w:r>
      <w:r w:rsidR="00C026A6" w:rsidRPr="00EA59C0">
        <w:t xml:space="preserve"> </w:t>
      </w:r>
      <w:r w:rsidRPr="00EA59C0">
        <w:t>agencies</w:t>
      </w:r>
      <w:r w:rsidR="00C026A6" w:rsidRPr="00EA59C0">
        <w:t xml:space="preserve"> </w:t>
      </w:r>
      <w:r w:rsidRPr="00EA59C0">
        <w:t>by</w:t>
      </w:r>
      <w:r w:rsidR="00C026A6" w:rsidRPr="00EA59C0">
        <w:t xml:space="preserve"> </w:t>
      </w:r>
      <w:r w:rsidRPr="00EA59C0">
        <w:t>enhancing</w:t>
      </w:r>
      <w:r w:rsidR="00C026A6" w:rsidRPr="00EA59C0">
        <w:t xml:space="preserve"> </w:t>
      </w:r>
      <w:r w:rsidRPr="00EA59C0">
        <w:t>or</w:t>
      </w:r>
      <w:r w:rsidR="00C026A6" w:rsidRPr="00EA59C0">
        <w:t xml:space="preserve"> </w:t>
      </w:r>
      <w:r w:rsidRPr="00EA59C0">
        <w:t>adding</w:t>
      </w:r>
      <w:r w:rsidR="00C026A6" w:rsidRPr="00EA59C0">
        <w:t xml:space="preserve"> </w:t>
      </w:r>
      <w:r w:rsidRPr="00EA59C0">
        <w:t>standard</w:t>
      </w:r>
      <w:r w:rsidR="00C026A6" w:rsidRPr="00EA59C0">
        <w:t xml:space="preserve"> </w:t>
      </w:r>
      <w:r w:rsidRPr="00EA59C0">
        <w:t>occupational</w:t>
      </w:r>
      <w:r w:rsidR="00C026A6" w:rsidRPr="00EA59C0">
        <w:t xml:space="preserve"> </w:t>
      </w:r>
      <w:r w:rsidRPr="00EA59C0">
        <w:t>codes</w:t>
      </w:r>
      <w:r w:rsidR="00C026A6" w:rsidRPr="00EA59C0">
        <w:t xml:space="preserve"> </w:t>
      </w:r>
      <w:r w:rsidRPr="00EA59C0">
        <w:t>for</w:t>
      </w:r>
      <w:r w:rsidR="00C026A6" w:rsidRPr="00EA59C0">
        <w:t xml:space="preserve"> </w:t>
      </w:r>
      <w:r w:rsidRPr="00EA59C0">
        <w:t>employment</w:t>
      </w:r>
      <w:r w:rsidR="00C026A6" w:rsidRPr="00EA59C0">
        <w:t xml:space="preserve"> </w:t>
      </w:r>
      <w:r w:rsidRPr="00EA59C0">
        <w:t>outcomes.</w:t>
      </w:r>
    </w:p>
    <w:p w:rsidR="00363AF5" w:rsidRPr="00EA59C0" w:rsidRDefault="00363AF5" w:rsidP="00080097">
      <w:pPr>
        <w:pStyle w:val="ListParagraph"/>
        <w:numPr>
          <w:ilvl w:val="0"/>
          <w:numId w:val="54"/>
        </w:numPr>
      </w:pPr>
      <w:r w:rsidRPr="00EA59C0">
        <w:t>Partner</w:t>
      </w:r>
      <w:r w:rsidR="00C026A6" w:rsidRPr="00EA59C0">
        <w:t xml:space="preserve"> </w:t>
      </w:r>
      <w:r w:rsidRPr="00EA59C0">
        <w:t>with</w:t>
      </w:r>
      <w:r w:rsidR="00C026A6" w:rsidRPr="00EA59C0">
        <w:t xml:space="preserve"> </w:t>
      </w:r>
      <w:r w:rsidRPr="00EA59C0">
        <w:t>employers</w:t>
      </w:r>
      <w:r w:rsidR="00C026A6" w:rsidRPr="00EA59C0">
        <w:t xml:space="preserve"> </w:t>
      </w:r>
      <w:r w:rsidRPr="00EA59C0">
        <w:t>and</w:t>
      </w:r>
      <w:r w:rsidR="00C026A6" w:rsidRPr="00EA59C0">
        <w:t xml:space="preserve"> </w:t>
      </w:r>
      <w:r w:rsidRPr="00EA59C0">
        <w:t>industry</w:t>
      </w:r>
      <w:r w:rsidR="00C026A6" w:rsidRPr="00EA59C0">
        <w:t xml:space="preserve"> </w:t>
      </w:r>
      <w:r w:rsidRPr="00EA59C0">
        <w:t>to</w:t>
      </w:r>
      <w:r w:rsidR="00C026A6" w:rsidRPr="00EA59C0">
        <w:t xml:space="preserve"> </w:t>
      </w:r>
      <w:r w:rsidRPr="00EA59C0">
        <w:t>capture</w:t>
      </w:r>
      <w:r w:rsidR="00C026A6" w:rsidRPr="00EA59C0">
        <w:t xml:space="preserve"> </w:t>
      </w:r>
      <w:r w:rsidRPr="00EA59C0">
        <w:t>and</w:t>
      </w:r>
      <w:r w:rsidR="00C026A6" w:rsidRPr="00EA59C0">
        <w:t xml:space="preserve"> </w:t>
      </w:r>
      <w:r w:rsidRPr="00EA59C0">
        <w:t>incorporate</w:t>
      </w:r>
      <w:r w:rsidR="00C026A6" w:rsidRPr="00EA59C0">
        <w:t xml:space="preserve"> </w:t>
      </w:r>
      <w:r w:rsidRPr="00EA59C0">
        <w:t>company</w:t>
      </w:r>
      <w:r w:rsidR="00C026A6" w:rsidRPr="00EA59C0">
        <w:t xml:space="preserve"> </w:t>
      </w:r>
      <w:r w:rsidRPr="00EA59C0">
        <w:t>or</w:t>
      </w:r>
      <w:r w:rsidR="00C026A6" w:rsidRPr="00EA59C0">
        <w:t xml:space="preserve"> </w:t>
      </w:r>
      <w:r w:rsidRPr="00EA59C0">
        <w:t>industry</w:t>
      </w:r>
      <w:r w:rsidR="00C026A6" w:rsidRPr="00EA59C0">
        <w:t xml:space="preserve"> </w:t>
      </w:r>
      <w:r w:rsidRPr="00EA59C0">
        <w:t>data</w:t>
      </w:r>
      <w:r w:rsidR="00C026A6" w:rsidRPr="00EA59C0">
        <w:t xml:space="preserve"> </w:t>
      </w:r>
      <w:r w:rsidRPr="00EA59C0">
        <w:t>that</w:t>
      </w:r>
      <w:r w:rsidR="00C026A6" w:rsidRPr="00EA59C0">
        <w:t xml:space="preserve"> </w:t>
      </w:r>
      <w:r w:rsidRPr="00EA59C0">
        <w:t>identifies</w:t>
      </w:r>
      <w:r w:rsidR="00C026A6" w:rsidRPr="00EA59C0">
        <w:t xml:space="preserve"> </w:t>
      </w:r>
      <w:r w:rsidRPr="00EA59C0">
        <w:t>the</w:t>
      </w:r>
      <w:r w:rsidR="00C026A6" w:rsidRPr="00EA59C0">
        <w:t xml:space="preserve"> </w:t>
      </w:r>
      <w:r w:rsidRPr="00EA59C0">
        <w:t>credentials</w:t>
      </w:r>
      <w:r w:rsidR="00C026A6" w:rsidRPr="00EA59C0">
        <w:t xml:space="preserve"> </w:t>
      </w:r>
      <w:r w:rsidRPr="00EA59C0">
        <w:t>on</w:t>
      </w:r>
      <w:r w:rsidR="00C026A6" w:rsidRPr="00EA59C0">
        <w:t xml:space="preserve"> </w:t>
      </w:r>
      <w:r w:rsidRPr="00EA59C0">
        <w:t>which</w:t>
      </w:r>
      <w:r w:rsidR="00C026A6" w:rsidRPr="00EA59C0">
        <w:t xml:space="preserve"> </w:t>
      </w:r>
      <w:r w:rsidRPr="00EA59C0">
        <w:t>they</w:t>
      </w:r>
      <w:r w:rsidR="00C026A6" w:rsidRPr="00EA59C0">
        <w:t xml:space="preserve"> </w:t>
      </w:r>
      <w:r w:rsidRPr="00EA59C0">
        <w:t>have</w:t>
      </w:r>
      <w:r w:rsidR="00C026A6" w:rsidRPr="00EA59C0">
        <w:t xml:space="preserve"> </w:t>
      </w:r>
      <w:r w:rsidRPr="00EA59C0">
        <w:t>been</w:t>
      </w:r>
      <w:r w:rsidR="00C026A6" w:rsidRPr="00EA59C0">
        <w:t xml:space="preserve"> </w:t>
      </w:r>
      <w:r w:rsidRPr="00EA59C0">
        <w:t>most</w:t>
      </w:r>
      <w:r w:rsidR="00C026A6" w:rsidRPr="00EA59C0">
        <w:t xml:space="preserve"> </w:t>
      </w:r>
      <w:r w:rsidRPr="00EA59C0">
        <w:t>likely</w:t>
      </w:r>
      <w:r w:rsidR="00C026A6" w:rsidRPr="00EA59C0">
        <w:t xml:space="preserve"> </w:t>
      </w:r>
      <w:r w:rsidRPr="00EA59C0">
        <w:t>to</w:t>
      </w:r>
      <w:r w:rsidR="00C026A6" w:rsidRPr="00EA59C0">
        <w:t xml:space="preserve"> </w:t>
      </w:r>
      <w:r w:rsidRPr="00EA59C0">
        <w:t>hire</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how</w:t>
      </w:r>
      <w:r w:rsidR="00C026A6" w:rsidRPr="00EA59C0">
        <w:t xml:space="preserve"> </w:t>
      </w:r>
      <w:r w:rsidRPr="00EA59C0">
        <w:t>individuals</w:t>
      </w:r>
      <w:r w:rsidR="00C026A6" w:rsidRPr="00EA59C0">
        <w:t xml:space="preserve"> </w:t>
      </w:r>
      <w:r w:rsidRPr="00EA59C0">
        <w:t>with</w:t>
      </w:r>
      <w:r w:rsidR="00C026A6" w:rsidRPr="00EA59C0">
        <w:t xml:space="preserve"> </w:t>
      </w:r>
      <w:r w:rsidRPr="00EA59C0">
        <w:t>specific</w:t>
      </w:r>
      <w:r w:rsidR="00C026A6" w:rsidRPr="00EA59C0">
        <w:t xml:space="preserve"> </w:t>
      </w:r>
      <w:r w:rsidRPr="00EA59C0">
        <w:t>credentials</w:t>
      </w:r>
      <w:r w:rsidR="00C026A6" w:rsidRPr="00EA59C0">
        <w:t xml:space="preserve"> </w:t>
      </w:r>
      <w:r w:rsidRPr="00EA59C0">
        <w:t>are</w:t>
      </w:r>
      <w:r w:rsidR="00C026A6" w:rsidRPr="00EA59C0">
        <w:t xml:space="preserve"> </w:t>
      </w:r>
      <w:r w:rsidRPr="00EA59C0">
        <w:t>performing</w:t>
      </w:r>
      <w:r w:rsidR="00C026A6" w:rsidRPr="00EA59C0">
        <w:t xml:space="preserve"> </w:t>
      </w:r>
      <w:r w:rsidRPr="00EA59C0">
        <w:t>in</w:t>
      </w:r>
      <w:r w:rsidR="00C026A6" w:rsidRPr="00EA59C0">
        <w:t xml:space="preserve"> </w:t>
      </w:r>
      <w:r w:rsidRPr="00EA59C0">
        <w:t>their</w:t>
      </w:r>
      <w:r w:rsidR="00C026A6" w:rsidRPr="00EA59C0">
        <w:t xml:space="preserve"> </w:t>
      </w:r>
      <w:r w:rsidRPr="00EA59C0">
        <w:t>companies.</w:t>
      </w:r>
      <w:r w:rsidR="00C026A6" w:rsidRPr="00EA59C0">
        <w:t xml:space="preserve">  </w:t>
      </w:r>
    </w:p>
    <w:p w:rsidR="00C47B09" w:rsidRPr="00EA59C0" w:rsidRDefault="00C47B09" w:rsidP="00080097">
      <w:pPr>
        <w:pStyle w:val="ListParagraph"/>
        <w:numPr>
          <w:ilvl w:val="0"/>
          <w:numId w:val="54"/>
        </w:numPr>
      </w:pPr>
      <w:r w:rsidRPr="00EA59C0">
        <w:t>For</w:t>
      </w:r>
      <w:r w:rsidR="00C026A6" w:rsidRPr="00EA59C0">
        <w:t xml:space="preserve"> </w:t>
      </w:r>
      <w:r w:rsidRPr="00EA59C0">
        <w:t>those</w:t>
      </w:r>
      <w:r w:rsidR="00C026A6" w:rsidRPr="00EA59C0">
        <w:t xml:space="preserve"> </w:t>
      </w:r>
      <w:r w:rsidRPr="00EA59C0">
        <w:t>states</w:t>
      </w:r>
      <w:r w:rsidR="00C026A6" w:rsidRPr="00EA59C0">
        <w:t xml:space="preserve"> </w:t>
      </w:r>
      <w:r w:rsidRPr="00EA59C0">
        <w:t>where</w:t>
      </w:r>
      <w:r w:rsidR="00C026A6" w:rsidRPr="00EA59C0">
        <w:t xml:space="preserve"> </w:t>
      </w:r>
      <w:r w:rsidRPr="00EA59C0">
        <w:t>sharing</w:t>
      </w:r>
      <w:r w:rsidR="00C026A6" w:rsidRPr="00EA59C0">
        <w:t xml:space="preserve"> </w:t>
      </w:r>
      <w:r w:rsidRPr="00EA59C0">
        <w:t>of</w:t>
      </w:r>
      <w:r w:rsidR="00C026A6" w:rsidRPr="00EA59C0">
        <w:t xml:space="preserve"> </w:t>
      </w:r>
      <w:r w:rsidRPr="00EA59C0">
        <w:t>data</w:t>
      </w:r>
      <w:r w:rsidR="00C026A6" w:rsidRPr="00EA59C0">
        <w:t xml:space="preserve"> </w:t>
      </w:r>
      <w:r w:rsidRPr="00EA59C0">
        <w:t>between</w:t>
      </w:r>
      <w:r w:rsidR="00C026A6" w:rsidRPr="00EA59C0">
        <w:t xml:space="preserve"> </w:t>
      </w:r>
      <w:r w:rsidRPr="00EA59C0">
        <w:t>state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workforce</w:t>
      </w:r>
      <w:r w:rsidR="00C026A6" w:rsidRPr="00EA59C0">
        <w:t xml:space="preserve"> </w:t>
      </w:r>
      <w:r w:rsidRPr="00EA59C0">
        <w:t>agencies</w:t>
      </w:r>
      <w:r w:rsidR="00C026A6" w:rsidRPr="00EA59C0">
        <w:t xml:space="preserve"> </w:t>
      </w:r>
      <w:r w:rsidRPr="00EA59C0">
        <w:t>is</w:t>
      </w:r>
      <w:r w:rsidR="00C026A6" w:rsidRPr="00EA59C0">
        <w:t xml:space="preserve"> </w:t>
      </w:r>
      <w:r w:rsidRPr="00EA59C0">
        <w:t>limited,</w:t>
      </w:r>
      <w:r w:rsidR="00C026A6" w:rsidRPr="00EA59C0">
        <w:t xml:space="preserve"> </w:t>
      </w:r>
      <w:r w:rsidRPr="00EA59C0">
        <w:t>applicants</w:t>
      </w:r>
      <w:r w:rsidR="00C026A6" w:rsidRPr="00EA59C0">
        <w:t xml:space="preserve"> </w:t>
      </w:r>
      <w:r w:rsidRPr="00EA59C0">
        <w:t>partner</w:t>
      </w:r>
      <w:r w:rsidR="00C026A6" w:rsidRPr="00EA59C0">
        <w:t xml:space="preserve"> </w:t>
      </w:r>
      <w:r w:rsidRPr="00EA59C0">
        <w:t>with</w:t>
      </w:r>
      <w:r w:rsidR="00C026A6" w:rsidRPr="00EA59C0">
        <w:t xml:space="preserve"> </w:t>
      </w:r>
      <w:r w:rsidRPr="00EA59C0">
        <w:t>relevant</w:t>
      </w:r>
      <w:r w:rsidR="00C026A6" w:rsidRPr="00EA59C0">
        <w:t xml:space="preserve"> </w:t>
      </w:r>
      <w:r w:rsidRPr="00EA59C0">
        <w:t>state</w:t>
      </w:r>
      <w:r w:rsidR="00C026A6" w:rsidRPr="00EA59C0">
        <w:t xml:space="preserve"> </w:t>
      </w:r>
      <w:r w:rsidRPr="00EA59C0">
        <w:t>agencies</w:t>
      </w:r>
      <w:r w:rsidR="00C026A6" w:rsidRPr="00EA59C0">
        <w:t xml:space="preserve"> </w:t>
      </w:r>
      <w:r w:rsidRPr="00EA59C0">
        <w:t>to</w:t>
      </w:r>
      <w:r w:rsidR="00C026A6" w:rsidRPr="00EA59C0">
        <w:t xml:space="preserve"> </w:t>
      </w:r>
      <w:r w:rsidRPr="00EA59C0">
        <w:t>explore</w:t>
      </w:r>
      <w:r w:rsidR="00C026A6" w:rsidRPr="00EA59C0">
        <w:t xml:space="preserve"> </w:t>
      </w:r>
      <w:r w:rsidRPr="00EA59C0">
        <w:t>participation</w:t>
      </w:r>
      <w:r w:rsidR="00C026A6" w:rsidRPr="00EA59C0">
        <w:t xml:space="preserve"> </w:t>
      </w:r>
      <w:r w:rsidRPr="00EA59C0">
        <w:t>in</w:t>
      </w:r>
      <w:r w:rsidR="00C026A6" w:rsidRPr="00EA59C0">
        <w:t xml:space="preserve"> </w:t>
      </w:r>
      <w:r w:rsidRPr="00EA59C0">
        <w:t>the</w:t>
      </w:r>
      <w:r w:rsidR="00C026A6" w:rsidRPr="00EA59C0">
        <w:t xml:space="preserve"> </w:t>
      </w:r>
      <w:r w:rsidRPr="00EA59C0">
        <w:t>Wage</w:t>
      </w:r>
      <w:r w:rsidR="00C026A6" w:rsidRPr="00EA59C0">
        <w:t xml:space="preserve"> </w:t>
      </w:r>
      <w:r w:rsidRPr="00EA59C0">
        <w:t>Record</w:t>
      </w:r>
      <w:r w:rsidR="00C026A6" w:rsidRPr="00EA59C0">
        <w:t xml:space="preserve"> </w:t>
      </w:r>
      <w:r w:rsidRPr="00EA59C0">
        <w:t>Interchange</w:t>
      </w:r>
      <w:r w:rsidR="00C026A6" w:rsidRPr="00EA59C0">
        <w:t xml:space="preserve"> </w:t>
      </w:r>
      <w:r w:rsidRPr="00EA59C0">
        <w:t>System</w:t>
      </w:r>
      <w:r w:rsidR="00C026A6" w:rsidRPr="00EA59C0">
        <w:t xml:space="preserve"> </w:t>
      </w:r>
      <w:r w:rsidRPr="00EA59C0">
        <w:t>2</w:t>
      </w:r>
      <w:r w:rsidR="00C026A6" w:rsidRPr="00EA59C0">
        <w:t xml:space="preserve"> </w:t>
      </w:r>
      <w:r w:rsidRPr="00EA59C0">
        <w:t>(WRIS</w:t>
      </w:r>
      <w:r w:rsidR="00C026A6" w:rsidRPr="00EA59C0">
        <w:t xml:space="preserve"> </w:t>
      </w:r>
      <w:r w:rsidRPr="00EA59C0">
        <w:t>2)</w:t>
      </w:r>
      <w:r w:rsidR="00C026A6" w:rsidRPr="00EA59C0">
        <w:t xml:space="preserve"> </w:t>
      </w:r>
      <w:r w:rsidRPr="00EA59C0">
        <w:t>data</w:t>
      </w:r>
      <w:r w:rsidR="00C026A6" w:rsidRPr="00EA59C0">
        <w:t xml:space="preserve"> </w:t>
      </w:r>
      <w:r w:rsidRPr="00EA59C0">
        <w:t>sharing</w:t>
      </w:r>
      <w:r w:rsidR="00C026A6" w:rsidRPr="00EA59C0">
        <w:t xml:space="preserve"> </w:t>
      </w:r>
      <w:r w:rsidRPr="00EA59C0">
        <w:t>agreement.</w:t>
      </w:r>
      <w:r w:rsidR="00C026A6" w:rsidRPr="00EA59C0">
        <w:t xml:space="preserve">  </w:t>
      </w:r>
      <w:r w:rsidRPr="00EA59C0">
        <w:t>States</w:t>
      </w:r>
      <w:r w:rsidR="00C026A6" w:rsidRPr="00EA59C0">
        <w:t xml:space="preserve"> </w:t>
      </w:r>
      <w:r w:rsidRPr="00EA59C0">
        <w:t>that</w:t>
      </w:r>
      <w:r w:rsidR="00C026A6" w:rsidRPr="00EA59C0">
        <w:t xml:space="preserve"> </w:t>
      </w:r>
      <w:r w:rsidRPr="00EA59C0">
        <w:t>are</w:t>
      </w:r>
      <w:r w:rsidR="00C026A6" w:rsidRPr="00EA59C0">
        <w:t xml:space="preserve"> </w:t>
      </w:r>
      <w:r w:rsidRPr="00EA59C0">
        <w:t>parties</w:t>
      </w:r>
      <w:r w:rsidR="00C026A6" w:rsidRPr="00EA59C0">
        <w:t xml:space="preserve"> </w:t>
      </w:r>
      <w:r w:rsidRPr="00EA59C0">
        <w:t>to</w:t>
      </w:r>
      <w:r w:rsidR="00C026A6" w:rsidRPr="00EA59C0">
        <w:t xml:space="preserve"> </w:t>
      </w:r>
      <w:r w:rsidRPr="00EA59C0">
        <w:t>WRIS</w:t>
      </w:r>
      <w:r w:rsidR="00C026A6" w:rsidRPr="00EA59C0">
        <w:t xml:space="preserve"> </w:t>
      </w:r>
      <w:r w:rsidRPr="00EA59C0">
        <w:t>2</w:t>
      </w:r>
      <w:r w:rsidR="00C026A6" w:rsidRPr="00EA59C0">
        <w:t xml:space="preserve"> </w:t>
      </w:r>
      <w:r w:rsidRPr="00EA59C0">
        <w:t>should</w:t>
      </w:r>
      <w:r w:rsidR="00C026A6" w:rsidRPr="00EA59C0">
        <w:t xml:space="preserve"> </w:t>
      </w:r>
      <w:r w:rsidRPr="00EA59C0">
        <w:t>explore</w:t>
      </w:r>
      <w:r w:rsidR="00C026A6" w:rsidRPr="00EA59C0">
        <w:t xml:space="preserve"> </w:t>
      </w:r>
      <w:r w:rsidRPr="00EA59C0">
        <w:t>partnership</w:t>
      </w:r>
      <w:r w:rsidR="00C026A6" w:rsidRPr="00EA59C0">
        <w:t xml:space="preserve"> </w:t>
      </w:r>
      <w:r w:rsidRPr="00EA59C0">
        <w:t>with</w:t>
      </w:r>
      <w:r w:rsidR="00C026A6" w:rsidRPr="00EA59C0">
        <w:t xml:space="preserve"> </w:t>
      </w:r>
      <w:r w:rsidRPr="00EA59C0">
        <w:t>the</w:t>
      </w:r>
      <w:r w:rsidR="00C026A6" w:rsidRPr="00EA59C0">
        <w:t xml:space="preserve"> </w:t>
      </w:r>
      <w:r w:rsidRPr="00EA59C0">
        <w:t>Performance</w:t>
      </w:r>
      <w:r w:rsidR="00C026A6" w:rsidRPr="00EA59C0">
        <w:t xml:space="preserve"> </w:t>
      </w:r>
      <w:r w:rsidRPr="00EA59C0">
        <w:t>Accountability</w:t>
      </w:r>
      <w:r w:rsidR="00C026A6" w:rsidRPr="00EA59C0">
        <w:t xml:space="preserve"> </w:t>
      </w:r>
      <w:r w:rsidRPr="00EA59C0">
        <w:t>and</w:t>
      </w:r>
      <w:r w:rsidR="00C026A6" w:rsidRPr="00EA59C0">
        <w:t xml:space="preserve"> </w:t>
      </w:r>
      <w:r w:rsidRPr="00EA59C0">
        <w:t>Customer</w:t>
      </w:r>
      <w:r w:rsidR="00C026A6" w:rsidRPr="00EA59C0">
        <w:t xml:space="preserve"> </w:t>
      </w:r>
      <w:r w:rsidRPr="00EA59C0">
        <w:t>Information</w:t>
      </w:r>
      <w:r w:rsidR="00C026A6" w:rsidRPr="00EA59C0">
        <w:t xml:space="preserve"> </w:t>
      </w:r>
      <w:r w:rsidRPr="00EA59C0">
        <w:t>Agency</w:t>
      </w:r>
      <w:r w:rsidR="00C026A6" w:rsidRPr="00EA59C0">
        <w:t xml:space="preserve"> </w:t>
      </w:r>
      <w:r w:rsidRPr="00EA59C0">
        <w:t>(PACIA)</w:t>
      </w:r>
      <w:r w:rsidR="00C026A6" w:rsidRPr="00EA59C0">
        <w:t xml:space="preserve"> </w:t>
      </w:r>
      <w:r w:rsidRPr="00EA59C0">
        <w:t>to</w:t>
      </w:r>
      <w:r w:rsidR="00C026A6" w:rsidRPr="00EA59C0">
        <w:t xml:space="preserve"> </w:t>
      </w:r>
      <w:r w:rsidRPr="00EA59C0">
        <w:t>expand</w:t>
      </w:r>
      <w:r w:rsidR="00C026A6" w:rsidRPr="00EA59C0">
        <w:t xml:space="preserve"> </w:t>
      </w:r>
      <w:r w:rsidRPr="00EA59C0">
        <w:t>the</w:t>
      </w:r>
      <w:r w:rsidR="00C026A6" w:rsidRPr="00EA59C0">
        <w:t xml:space="preserve"> </w:t>
      </w:r>
      <w:r w:rsidRPr="00EA59C0">
        <w:t>types</w:t>
      </w:r>
      <w:r w:rsidR="00C026A6" w:rsidRPr="00EA59C0">
        <w:t xml:space="preserve"> </w:t>
      </w:r>
      <w:r w:rsidRPr="00EA59C0">
        <w:t>and</w:t>
      </w:r>
      <w:r w:rsidR="00C026A6" w:rsidRPr="00EA59C0">
        <w:t xml:space="preserve"> </w:t>
      </w:r>
      <w:r w:rsidRPr="00EA59C0">
        <w:t>availability</w:t>
      </w:r>
      <w:r w:rsidR="00C026A6" w:rsidRPr="00EA59C0">
        <w:t xml:space="preserve"> </w:t>
      </w:r>
      <w:r w:rsidRPr="00EA59C0">
        <w:t>of</w:t>
      </w:r>
      <w:r w:rsidR="00C026A6" w:rsidRPr="00EA59C0">
        <w:t xml:space="preserve"> </w:t>
      </w:r>
      <w:r w:rsidRPr="00EA59C0">
        <w:t>reports</w:t>
      </w:r>
      <w:r w:rsidR="00C026A6" w:rsidRPr="00EA59C0">
        <w:t xml:space="preserve"> </w:t>
      </w:r>
      <w:r w:rsidRPr="00EA59C0">
        <w:t>on</w:t>
      </w:r>
      <w:r w:rsidR="00C026A6" w:rsidRPr="00EA59C0">
        <w:t xml:space="preserve"> </w:t>
      </w:r>
      <w:r w:rsidRPr="00EA59C0">
        <w:t>performance</w:t>
      </w:r>
      <w:r w:rsidR="00C026A6" w:rsidRPr="00EA59C0">
        <w:t xml:space="preserve"> </w:t>
      </w:r>
      <w:r w:rsidRPr="00EA59C0">
        <w:t>and</w:t>
      </w:r>
      <w:r w:rsidR="00C026A6" w:rsidRPr="00EA59C0">
        <w:t xml:space="preserve"> </w:t>
      </w:r>
      <w:r w:rsidRPr="00EA59C0">
        <w:t>evaluation</w:t>
      </w:r>
      <w:r w:rsidR="00C026A6" w:rsidRPr="00EA59C0">
        <w:t xml:space="preserve"> </w:t>
      </w:r>
      <w:r w:rsidRPr="00EA59C0">
        <w:t>of</w:t>
      </w:r>
      <w:r w:rsidR="00C026A6" w:rsidRPr="00EA59C0">
        <w:t xml:space="preserve"> </w:t>
      </w:r>
      <w:r w:rsidRPr="00EA59C0">
        <w:t>programs.</w:t>
      </w:r>
    </w:p>
    <w:p w:rsidR="00C47B09" w:rsidRPr="00EA59C0" w:rsidRDefault="00C47B09" w:rsidP="00080097">
      <w:pPr>
        <w:pStyle w:val="ListParagraph"/>
        <w:numPr>
          <w:ilvl w:val="0"/>
          <w:numId w:val="54"/>
        </w:numPr>
      </w:pPr>
      <w:r w:rsidRPr="00EA59C0">
        <w:t>Applicants</w:t>
      </w:r>
      <w:r w:rsidR="00C026A6" w:rsidRPr="00EA59C0">
        <w:t xml:space="preserve"> </w:t>
      </w:r>
      <w:r w:rsidRPr="00EA59C0">
        <w:t>in</w:t>
      </w:r>
      <w:r w:rsidR="00C026A6" w:rsidRPr="00EA59C0">
        <w:t xml:space="preserve"> </w:t>
      </w:r>
      <w:r w:rsidRPr="00EA59C0">
        <w:t>states</w:t>
      </w:r>
      <w:r w:rsidR="00C026A6" w:rsidRPr="00EA59C0">
        <w:t xml:space="preserve"> </w:t>
      </w:r>
      <w:r w:rsidRPr="00EA59C0">
        <w:t>that</w:t>
      </w:r>
      <w:r w:rsidR="00C026A6" w:rsidRPr="00EA59C0">
        <w:t xml:space="preserve"> </w:t>
      </w:r>
      <w:r w:rsidRPr="00EA59C0">
        <w:t>have</w:t>
      </w:r>
      <w:r w:rsidR="00C026A6" w:rsidRPr="00EA59C0">
        <w:t xml:space="preserve"> </w:t>
      </w:r>
      <w:r w:rsidRPr="00EA59C0">
        <w:t>not</w:t>
      </w:r>
      <w:r w:rsidR="00C026A6" w:rsidRPr="00EA59C0">
        <w:t xml:space="preserve"> </w:t>
      </w:r>
      <w:r w:rsidRPr="00EA59C0">
        <w:t>yet</w:t>
      </w:r>
      <w:r w:rsidR="00C026A6" w:rsidRPr="00EA59C0">
        <w:t xml:space="preserve"> </w:t>
      </w:r>
      <w:r w:rsidRPr="00EA59C0">
        <w:t>developed</w:t>
      </w:r>
      <w:r w:rsidR="00C026A6" w:rsidRPr="00EA59C0">
        <w:t xml:space="preserve"> </w:t>
      </w:r>
      <w:r w:rsidRPr="00EA59C0">
        <w:t>a</w:t>
      </w:r>
      <w:r w:rsidR="00C026A6" w:rsidRPr="00EA59C0">
        <w:t xml:space="preserve"> </w:t>
      </w:r>
      <w:r w:rsidRPr="00EA59C0">
        <w:t>statewide</w:t>
      </w:r>
      <w:r w:rsidR="00C026A6" w:rsidRPr="00EA59C0">
        <w:t xml:space="preserve"> </w:t>
      </w:r>
      <w:r w:rsidRPr="00EA59C0">
        <w:t>longitudinal</w:t>
      </w:r>
      <w:r w:rsidR="00C026A6" w:rsidRPr="00EA59C0">
        <w:t xml:space="preserve"> </w:t>
      </w:r>
      <w:r w:rsidRPr="00EA59C0">
        <w:t>data</w:t>
      </w:r>
      <w:r w:rsidR="00C026A6" w:rsidRPr="00EA59C0">
        <w:t xml:space="preserve"> </w:t>
      </w:r>
      <w:r w:rsidRPr="00EA59C0">
        <w:t>system</w:t>
      </w:r>
      <w:r w:rsidR="00C026A6" w:rsidRPr="00EA59C0">
        <w:t xml:space="preserve"> </w:t>
      </w:r>
      <w:r w:rsidRPr="00EA59C0">
        <w:t>for</w:t>
      </w:r>
      <w:r w:rsidR="00C026A6" w:rsidRPr="00EA59C0">
        <w:t xml:space="preserve"> </w:t>
      </w:r>
      <w:r w:rsidRPr="00EA59C0">
        <w:t>post-secondary</w:t>
      </w:r>
      <w:r w:rsidR="00C026A6" w:rsidRPr="00EA59C0">
        <w:t xml:space="preserve"> </w:t>
      </w:r>
      <w:r w:rsidRPr="00EA59C0">
        <w:t>education</w:t>
      </w:r>
      <w:r w:rsidR="00C026A6" w:rsidRPr="00EA59C0">
        <w:t xml:space="preserve"> </w:t>
      </w:r>
      <w:r w:rsidRPr="00EA59C0">
        <w:t>could</w:t>
      </w:r>
      <w:r w:rsidR="00C026A6" w:rsidRPr="00EA59C0">
        <w:t xml:space="preserve"> </w:t>
      </w:r>
      <w:r w:rsidRPr="00EA59C0">
        <w:t>propose</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of</w:t>
      </w:r>
      <w:r w:rsidR="00C026A6" w:rsidRPr="00EA59C0">
        <w:t xml:space="preserve"> </w:t>
      </w:r>
      <w:r w:rsidRPr="00EA59C0">
        <w:t>a</w:t>
      </w:r>
      <w:r w:rsidR="00C026A6" w:rsidRPr="00EA59C0">
        <w:t xml:space="preserve"> </w:t>
      </w:r>
      <w:r w:rsidRPr="00EA59C0">
        <w:t>database</w:t>
      </w:r>
      <w:r w:rsidR="00C026A6" w:rsidRPr="00EA59C0">
        <w:t xml:space="preserve"> </w:t>
      </w:r>
      <w:r w:rsidRPr="00EA59C0">
        <w:t>that</w:t>
      </w:r>
      <w:r w:rsidR="00C026A6" w:rsidRPr="00EA59C0">
        <w:t xml:space="preserve"> </w:t>
      </w:r>
      <w:r w:rsidRPr="00EA59C0">
        <w:t>would</w:t>
      </w:r>
      <w:r w:rsidR="00C026A6" w:rsidRPr="00EA59C0">
        <w:t xml:space="preserve"> </w:t>
      </w:r>
      <w:r w:rsidRPr="00EA59C0">
        <w:t>include</w:t>
      </w:r>
      <w:r w:rsidR="00C026A6" w:rsidRPr="00EA59C0">
        <w:t xml:space="preserve"> </w:t>
      </w:r>
      <w:r w:rsidRPr="00EA59C0">
        <w:t>all</w:t>
      </w:r>
      <w:r w:rsidR="00C026A6" w:rsidRPr="00EA59C0">
        <w:t xml:space="preserve"> </w:t>
      </w:r>
      <w:r w:rsidRPr="00EA59C0">
        <w:t>the</w:t>
      </w:r>
      <w:r w:rsidR="00C026A6" w:rsidRPr="00EA59C0">
        <w:t xml:space="preserve"> </w:t>
      </w:r>
      <w:r w:rsidRPr="00EA59C0">
        <w:t>community</w:t>
      </w:r>
      <w:r w:rsidR="00C026A6" w:rsidRPr="00EA59C0">
        <w:t xml:space="preserve"> </w:t>
      </w:r>
      <w:r w:rsidRPr="00EA59C0">
        <w:t>colleges</w:t>
      </w:r>
      <w:r w:rsidR="00C026A6" w:rsidRPr="00EA59C0">
        <w:t xml:space="preserve"> </w:t>
      </w:r>
      <w:r w:rsidRPr="00EA59C0">
        <w:t>in</w:t>
      </w:r>
      <w:r w:rsidR="00C026A6" w:rsidRPr="00EA59C0">
        <w:t xml:space="preserve"> </w:t>
      </w:r>
      <w:r w:rsidRPr="00EA59C0">
        <w:t>the</w:t>
      </w:r>
      <w:r w:rsidR="00C026A6" w:rsidRPr="00EA59C0">
        <w:t xml:space="preserve"> </w:t>
      </w:r>
      <w:r w:rsidRPr="00EA59C0">
        <w:t>state,</w:t>
      </w:r>
      <w:r w:rsidR="00C026A6" w:rsidRPr="00EA59C0">
        <w:t xml:space="preserve"> </w:t>
      </w:r>
      <w:r w:rsidRPr="00EA59C0">
        <w:t>along</w:t>
      </w:r>
      <w:r w:rsidR="00C026A6" w:rsidRPr="00EA59C0">
        <w:t xml:space="preserve"> </w:t>
      </w:r>
      <w:r w:rsidRPr="00EA59C0">
        <w:t>with</w:t>
      </w:r>
      <w:r w:rsidR="00C026A6" w:rsidRPr="00EA59C0">
        <w:t xml:space="preserve"> </w:t>
      </w:r>
      <w:r w:rsidRPr="00EA59C0">
        <w:t>as</w:t>
      </w:r>
      <w:r w:rsidR="00C026A6" w:rsidRPr="00EA59C0">
        <w:t xml:space="preserve"> </w:t>
      </w:r>
      <w:r w:rsidRPr="00EA59C0">
        <w:t>many</w:t>
      </w:r>
      <w:r w:rsidR="00C026A6" w:rsidRPr="00EA59C0">
        <w:t xml:space="preserve"> </w:t>
      </w:r>
      <w:r w:rsidRPr="00EA59C0">
        <w:t>public</w:t>
      </w:r>
      <w:r w:rsidR="00C026A6" w:rsidRPr="00EA59C0">
        <w:t xml:space="preserve"> </w:t>
      </w:r>
      <w:r w:rsidRPr="00EA59C0">
        <w:t>four-year</w:t>
      </w:r>
      <w:r w:rsidR="00C026A6" w:rsidRPr="00EA59C0">
        <w:t xml:space="preserve"> </w:t>
      </w:r>
      <w:r w:rsidRPr="00EA59C0">
        <w:t>institutions</w:t>
      </w:r>
      <w:r w:rsidR="00C026A6" w:rsidRPr="00EA59C0">
        <w:t xml:space="preserve"> </w:t>
      </w:r>
      <w:r w:rsidRPr="00EA59C0">
        <w:t>and</w:t>
      </w:r>
      <w:r w:rsidR="00C026A6" w:rsidRPr="00EA59C0">
        <w:t xml:space="preserve"> </w:t>
      </w:r>
      <w:r w:rsidRPr="00EA59C0">
        <w:t>private</w:t>
      </w:r>
      <w:r w:rsidR="00C026A6" w:rsidRPr="00EA59C0">
        <w:t xml:space="preserve"> </w:t>
      </w:r>
      <w:r w:rsidRPr="00EA59C0">
        <w:t>institutions</w:t>
      </w:r>
      <w:r w:rsidR="00C026A6" w:rsidRPr="00EA59C0">
        <w:t xml:space="preserve"> </w:t>
      </w:r>
      <w:r w:rsidRPr="00EA59C0">
        <w:t>as</w:t>
      </w:r>
      <w:r w:rsidR="00C026A6" w:rsidRPr="00EA59C0">
        <w:t xml:space="preserve"> </w:t>
      </w:r>
      <w:r w:rsidRPr="00EA59C0">
        <w:t>possible</w:t>
      </w:r>
      <w:r w:rsidR="00C026A6" w:rsidRPr="00EA59C0">
        <w:t xml:space="preserve"> </w:t>
      </w:r>
      <w:r w:rsidRPr="00EA59C0">
        <w:t>to</w:t>
      </w:r>
      <w:r w:rsidR="00C026A6" w:rsidRPr="00EA59C0">
        <w:t xml:space="preserve"> </w:t>
      </w:r>
      <w:r w:rsidRPr="00EA59C0">
        <w:t>track</w:t>
      </w:r>
      <w:r w:rsidR="00C026A6" w:rsidRPr="00EA59C0">
        <w:t xml:space="preserve"> </w:t>
      </w:r>
      <w:r w:rsidRPr="00EA59C0">
        <w:t>common</w:t>
      </w:r>
      <w:r w:rsidR="00C026A6" w:rsidRPr="00EA59C0">
        <w:t xml:space="preserve"> </w:t>
      </w:r>
      <w:r w:rsidRPr="00EA59C0">
        <w:t>reporting</w:t>
      </w:r>
      <w:r w:rsidR="00C026A6" w:rsidRPr="00EA59C0">
        <w:t xml:space="preserve"> </w:t>
      </w:r>
      <w:r w:rsidRPr="00EA59C0">
        <w:t>elements</w:t>
      </w:r>
      <w:r w:rsidR="00C026A6" w:rsidRPr="00EA59C0">
        <w:t xml:space="preserve"> </w:t>
      </w:r>
      <w:r w:rsidRPr="00EA59C0">
        <w:t>and</w:t>
      </w:r>
      <w:r w:rsidR="00C026A6" w:rsidRPr="00EA59C0">
        <w:t xml:space="preserve"> </w:t>
      </w:r>
      <w:r w:rsidRPr="00EA59C0">
        <w:t>outcomes</w:t>
      </w:r>
      <w:r w:rsidR="00C026A6" w:rsidRPr="00EA59C0">
        <w:t xml:space="preserve"> </w:t>
      </w:r>
      <w:r w:rsidRPr="00EA59C0">
        <w:t>data.</w:t>
      </w:r>
    </w:p>
    <w:p w:rsidR="00C47B09" w:rsidRPr="00EA59C0" w:rsidRDefault="00C47B09" w:rsidP="00080097">
      <w:pPr>
        <w:pStyle w:val="ListParagraph"/>
        <w:numPr>
          <w:ilvl w:val="0"/>
          <w:numId w:val="54"/>
        </w:numPr>
      </w:pPr>
      <w:r w:rsidRPr="00EA59C0">
        <w:t>A</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data</w:t>
      </w:r>
      <w:r w:rsidR="00C026A6" w:rsidRPr="00EA59C0">
        <w:t xml:space="preserve"> </w:t>
      </w:r>
      <w:r w:rsidRPr="00EA59C0">
        <w:t>could</w:t>
      </w:r>
      <w:r w:rsidR="00C026A6" w:rsidRPr="00EA59C0">
        <w:t xml:space="preserve"> </w:t>
      </w:r>
      <w:r w:rsidRPr="00EA59C0">
        <w:t>be</w:t>
      </w:r>
      <w:r w:rsidR="00C026A6" w:rsidRPr="00EA59C0">
        <w:t xml:space="preserve"> </w:t>
      </w:r>
      <w:r w:rsidRPr="00EA59C0">
        <w:t>made</w:t>
      </w:r>
      <w:r w:rsidR="00C026A6" w:rsidRPr="00EA59C0">
        <w:t xml:space="preserve"> </w:t>
      </w:r>
      <w:r w:rsidRPr="00EA59C0">
        <w:t>publically</w:t>
      </w:r>
      <w:r w:rsidR="00C026A6" w:rsidRPr="00EA59C0">
        <w:t xml:space="preserve"> </w:t>
      </w:r>
      <w:r w:rsidRPr="00EA59C0">
        <w:t>available.</w:t>
      </w:r>
    </w:p>
    <w:p w:rsidR="00C47B09" w:rsidRPr="00EA59C0" w:rsidRDefault="00C47B09" w:rsidP="00C47B09">
      <w:pPr>
        <w:ind w:left="1080"/>
      </w:pPr>
    </w:p>
    <w:p w:rsidR="00053431" w:rsidRPr="00EA59C0" w:rsidRDefault="00C47B09" w:rsidP="00C47B09">
      <w:pPr>
        <w:ind w:left="1080"/>
      </w:pPr>
      <w:r w:rsidRPr="00EA59C0">
        <w:t>The</w:t>
      </w:r>
      <w:r w:rsidR="00C026A6" w:rsidRPr="00EA59C0">
        <w:t xml:space="preserve"> </w:t>
      </w:r>
      <w:r w:rsidRPr="00EA59C0">
        <w:t>Departments</w:t>
      </w:r>
      <w:r w:rsidR="00C026A6" w:rsidRPr="00EA59C0">
        <w:t xml:space="preserve"> </w:t>
      </w:r>
      <w:r w:rsidRPr="00EA59C0">
        <w:t>of</w:t>
      </w:r>
      <w:r w:rsidR="00C026A6" w:rsidRPr="00EA59C0">
        <w:t xml:space="preserve"> </w:t>
      </w:r>
      <w:r w:rsidRPr="00EA59C0">
        <w:t>Education</w:t>
      </w:r>
      <w:r w:rsidR="00C026A6" w:rsidRPr="00EA59C0">
        <w:t xml:space="preserve"> </w:t>
      </w:r>
      <w:r w:rsidRPr="00EA59C0">
        <w:t>and</w:t>
      </w:r>
      <w:r w:rsidR="00C026A6" w:rsidRPr="00EA59C0">
        <w:t xml:space="preserve"> </w:t>
      </w:r>
      <w:r w:rsidRPr="00EA59C0">
        <w:t>Labor</w:t>
      </w:r>
      <w:r w:rsidR="00C026A6" w:rsidRPr="00EA59C0">
        <w:t xml:space="preserve"> </w:t>
      </w:r>
      <w:r w:rsidRPr="00EA59C0">
        <w:t>currently</w:t>
      </w:r>
      <w:r w:rsidR="00C026A6" w:rsidRPr="00EA59C0">
        <w:t xml:space="preserve"> </w:t>
      </w:r>
      <w:r w:rsidRPr="00EA59C0">
        <w:t>fund</w:t>
      </w:r>
      <w:r w:rsidR="00C026A6" w:rsidRPr="00EA59C0">
        <w:t xml:space="preserve"> </w:t>
      </w:r>
      <w:r w:rsidRPr="00EA59C0">
        <w:t>grant</w:t>
      </w:r>
      <w:r w:rsidR="00C026A6" w:rsidRPr="00EA59C0">
        <w:t xml:space="preserve"> </w:t>
      </w:r>
      <w:r w:rsidRPr="00EA59C0">
        <w:t>programs</w:t>
      </w:r>
      <w:r w:rsidR="00C026A6" w:rsidRPr="00EA59C0">
        <w:t xml:space="preserve"> </w:t>
      </w:r>
      <w:r w:rsidRPr="00EA59C0">
        <w:t>that</w:t>
      </w:r>
      <w:r w:rsidR="00C026A6" w:rsidRPr="00EA59C0">
        <w:t xml:space="preserve"> </w:t>
      </w:r>
      <w:r w:rsidRPr="00EA59C0">
        <w:t>encourage</w:t>
      </w:r>
      <w:r w:rsidR="00C026A6" w:rsidRPr="00EA59C0">
        <w:t xml:space="preserve"> </w:t>
      </w:r>
      <w:r w:rsidRPr="00EA59C0">
        <w:t>data</w:t>
      </w:r>
      <w:r w:rsidR="00C026A6" w:rsidRPr="00EA59C0">
        <w:t xml:space="preserve"> </w:t>
      </w:r>
      <w:r w:rsidRPr="00EA59C0">
        <w:t>integration</w:t>
      </w:r>
      <w:r w:rsidR="00C026A6" w:rsidRPr="00EA59C0">
        <w:t xml:space="preserve"> </w:t>
      </w:r>
      <w:r w:rsidRPr="00EA59C0">
        <w:t>within</w:t>
      </w:r>
      <w:r w:rsidR="00C026A6" w:rsidRPr="00EA59C0">
        <w:t xml:space="preserve"> </w:t>
      </w:r>
      <w:r w:rsidRPr="00EA59C0">
        <w:t>education</w:t>
      </w:r>
      <w:r w:rsidR="00C026A6" w:rsidRPr="00EA59C0">
        <w:t xml:space="preserve"> </w:t>
      </w:r>
      <w:r w:rsidRPr="00EA59C0">
        <w:t>and</w:t>
      </w:r>
      <w:r w:rsidR="00C026A6" w:rsidRPr="00EA59C0">
        <w:t xml:space="preserve"> </w:t>
      </w:r>
      <w:r w:rsidRPr="00EA59C0">
        <w:t>workforce</w:t>
      </w:r>
      <w:r w:rsidR="00C026A6" w:rsidRPr="00EA59C0">
        <w:t xml:space="preserve"> </w:t>
      </w:r>
      <w:r w:rsidRPr="00EA59C0">
        <w:t>systems.</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of</w:t>
      </w:r>
      <w:r w:rsidR="00C026A6" w:rsidRPr="00EA59C0">
        <w:t xml:space="preserve"> </w:t>
      </w:r>
      <w:r w:rsidRPr="00EA59C0">
        <w:t>Education’s</w:t>
      </w:r>
      <w:r w:rsidR="00C026A6" w:rsidRPr="00EA59C0">
        <w:t xml:space="preserve"> </w:t>
      </w:r>
      <w:r w:rsidRPr="00EA59C0">
        <w:t>State</w:t>
      </w:r>
      <w:r w:rsidR="00C026A6" w:rsidRPr="00EA59C0">
        <w:t xml:space="preserve"> </w:t>
      </w:r>
      <w:r w:rsidRPr="00EA59C0">
        <w:t>Longitudinal</w:t>
      </w:r>
      <w:r w:rsidR="00C026A6" w:rsidRPr="00EA59C0">
        <w:t xml:space="preserve"> </w:t>
      </w:r>
      <w:r w:rsidRPr="00EA59C0">
        <w:t>Data</w:t>
      </w:r>
      <w:r w:rsidR="00C026A6" w:rsidRPr="00EA59C0">
        <w:t xml:space="preserve"> </w:t>
      </w:r>
      <w:r w:rsidRPr="00EA59C0">
        <w:t>Systems</w:t>
      </w:r>
      <w:r w:rsidR="00C026A6" w:rsidRPr="00EA59C0">
        <w:t xml:space="preserve"> </w:t>
      </w:r>
      <w:r w:rsidRPr="00EA59C0">
        <w:t>(SLDS)</w:t>
      </w:r>
      <w:r w:rsidR="00C026A6" w:rsidRPr="00EA59C0">
        <w:t xml:space="preserve"> </w:t>
      </w:r>
      <w:r w:rsidRPr="00EA59C0">
        <w:t>Grant</w:t>
      </w:r>
      <w:r w:rsidR="00C026A6" w:rsidRPr="00EA59C0">
        <w:t xml:space="preserve"> </w:t>
      </w:r>
      <w:r w:rsidRPr="00EA59C0">
        <w:t>Program</w:t>
      </w:r>
      <w:r w:rsidR="00C026A6" w:rsidRPr="00EA59C0">
        <w:t xml:space="preserve"> </w:t>
      </w:r>
      <w:r w:rsidRPr="00EA59C0">
        <w:t>has</w:t>
      </w:r>
      <w:r w:rsidR="00C026A6" w:rsidRPr="00EA59C0">
        <w:t xml:space="preserve"> </w:t>
      </w:r>
      <w:r w:rsidRPr="00EA59C0">
        <w:t>funded</w:t>
      </w:r>
      <w:r w:rsidR="00C026A6" w:rsidRPr="00EA59C0">
        <w:t xml:space="preserve"> </w:t>
      </w:r>
      <w:r w:rsidRPr="00EA59C0">
        <w:t>the</w:t>
      </w:r>
      <w:r w:rsidR="00C026A6" w:rsidRPr="00EA59C0">
        <w:t xml:space="preserve"> </w:t>
      </w:r>
      <w:r w:rsidRPr="00EA59C0">
        <w:t>design,</w:t>
      </w:r>
      <w:r w:rsidR="00C026A6" w:rsidRPr="00EA59C0">
        <w:t xml:space="preserve"> </w:t>
      </w:r>
      <w:r w:rsidRPr="00EA59C0">
        <w:t>development,</w:t>
      </w:r>
      <w:r w:rsidR="00C026A6" w:rsidRPr="00EA59C0">
        <w:t xml:space="preserve"> </w:t>
      </w:r>
      <w:r w:rsidRPr="00EA59C0">
        <w:t>implementation,</w:t>
      </w:r>
      <w:r w:rsidR="00C026A6" w:rsidRPr="00EA59C0">
        <w:t xml:space="preserve"> </w:t>
      </w:r>
      <w:r w:rsidRPr="00EA59C0">
        <w:t>and</w:t>
      </w:r>
      <w:r w:rsidR="00C026A6" w:rsidRPr="00EA59C0">
        <w:t xml:space="preserve"> </w:t>
      </w:r>
      <w:r w:rsidRPr="00EA59C0">
        <w:t>expansion</w:t>
      </w:r>
      <w:r w:rsidR="00C026A6" w:rsidRPr="00EA59C0">
        <w:t xml:space="preserve"> </w:t>
      </w:r>
      <w:r w:rsidRPr="00EA59C0">
        <w:t>of</w:t>
      </w:r>
      <w:r w:rsidR="00C026A6" w:rsidRPr="00EA59C0">
        <w:t xml:space="preserve"> </w:t>
      </w:r>
      <w:r w:rsidRPr="00EA59C0">
        <w:t>K12</w:t>
      </w:r>
      <w:r w:rsidR="00C026A6" w:rsidRPr="00EA59C0">
        <w:t xml:space="preserve"> </w:t>
      </w:r>
      <w:r w:rsidRPr="00EA59C0">
        <w:t>and</w:t>
      </w:r>
      <w:r w:rsidR="00C026A6" w:rsidRPr="00EA59C0">
        <w:t xml:space="preserve"> </w:t>
      </w:r>
      <w:r w:rsidRPr="00EA59C0">
        <w:t>P-20W</w:t>
      </w:r>
      <w:r w:rsidR="00C026A6" w:rsidRPr="00EA59C0">
        <w:t xml:space="preserve"> </w:t>
      </w:r>
      <w:r w:rsidRPr="00EA59C0">
        <w:t>(early</w:t>
      </w:r>
      <w:r w:rsidR="00C026A6" w:rsidRPr="00EA59C0">
        <w:t xml:space="preserve"> </w:t>
      </w:r>
      <w:r w:rsidRPr="00EA59C0">
        <w:t>learning</w:t>
      </w:r>
      <w:r w:rsidR="00C026A6" w:rsidRPr="00EA59C0">
        <w:t xml:space="preserve"> </w:t>
      </w:r>
      <w:r w:rsidRPr="00EA59C0">
        <w:t>through</w:t>
      </w:r>
      <w:r w:rsidR="00C026A6" w:rsidRPr="00EA59C0">
        <w:t xml:space="preserve"> </w:t>
      </w:r>
      <w:r w:rsidRPr="00EA59C0">
        <w:t>the</w:t>
      </w:r>
      <w:r w:rsidR="00C026A6" w:rsidRPr="00EA59C0">
        <w:t xml:space="preserve"> </w:t>
      </w:r>
      <w:r w:rsidRPr="00EA59C0">
        <w:t>workforce)</w:t>
      </w:r>
      <w:r w:rsidR="00C026A6" w:rsidRPr="00EA59C0">
        <w:t xml:space="preserve"> </w:t>
      </w:r>
      <w:r w:rsidRPr="00EA59C0">
        <w:t>longitudinal</w:t>
      </w:r>
      <w:r w:rsidR="00C026A6" w:rsidRPr="00EA59C0">
        <w:t xml:space="preserve"> </w:t>
      </w:r>
      <w:r w:rsidRPr="00EA59C0">
        <w:t>data</w:t>
      </w:r>
      <w:r w:rsidR="00C026A6" w:rsidRPr="00EA59C0">
        <w:t xml:space="preserve"> </w:t>
      </w:r>
      <w:r w:rsidRPr="00EA59C0">
        <w:t>systems</w:t>
      </w:r>
      <w:r w:rsidR="00C026A6" w:rsidRPr="00EA59C0">
        <w:t xml:space="preserve"> </w:t>
      </w:r>
      <w:r w:rsidRPr="00EA59C0">
        <w:t>for</w:t>
      </w:r>
      <w:r w:rsidR="00C026A6" w:rsidRPr="00EA59C0">
        <w:t xml:space="preserve"> </w:t>
      </w:r>
      <w:r w:rsidRPr="00EA59C0">
        <w:t>educational</w:t>
      </w:r>
      <w:r w:rsidR="00C026A6" w:rsidRPr="00EA59C0">
        <w:t xml:space="preserve"> </w:t>
      </w:r>
      <w:r w:rsidRPr="00EA59C0">
        <w:t>entities</w:t>
      </w:r>
      <w:r w:rsidR="00C026A6" w:rsidRPr="00EA59C0">
        <w:t xml:space="preserve"> </w:t>
      </w:r>
      <w:r w:rsidRPr="00EA59C0">
        <w:t>in</w:t>
      </w:r>
      <w:r w:rsidR="00C026A6" w:rsidRPr="00EA59C0">
        <w:t xml:space="preserve"> </w:t>
      </w:r>
      <w:r w:rsidRPr="00EA59C0">
        <w:t>47</w:t>
      </w:r>
      <w:r w:rsidR="00C026A6" w:rsidRPr="00EA59C0">
        <w:t xml:space="preserve"> </w:t>
      </w:r>
      <w:r w:rsidRPr="00EA59C0">
        <w:t>states.</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of</w:t>
      </w:r>
      <w:r w:rsidR="00C026A6" w:rsidRPr="00EA59C0">
        <w:t xml:space="preserve"> </w:t>
      </w:r>
      <w:r w:rsidRPr="00EA59C0">
        <w:t>Labor</w:t>
      </w:r>
      <w:r w:rsidR="00C026A6" w:rsidRPr="00EA59C0">
        <w:t xml:space="preserve"> </w:t>
      </w:r>
      <w:r w:rsidRPr="00EA59C0">
        <w:t>had</w:t>
      </w:r>
      <w:r w:rsidR="00C026A6" w:rsidRPr="00EA59C0">
        <w:t xml:space="preserve"> </w:t>
      </w:r>
      <w:r w:rsidRPr="00EA59C0">
        <w:t>funded</w:t>
      </w:r>
      <w:r w:rsidR="00C026A6" w:rsidRPr="00EA59C0">
        <w:t xml:space="preserve"> </w:t>
      </w:r>
      <w:r w:rsidRPr="00EA59C0">
        <w:t>the</w:t>
      </w:r>
      <w:r w:rsidR="00C026A6" w:rsidRPr="00EA59C0">
        <w:t xml:space="preserve"> </w:t>
      </w:r>
      <w:r w:rsidRPr="00EA59C0">
        <w:t>Workforce</w:t>
      </w:r>
      <w:r w:rsidR="00C026A6" w:rsidRPr="00EA59C0">
        <w:t xml:space="preserve"> </w:t>
      </w:r>
      <w:r w:rsidRPr="00EA59C0">
        <w:t>Data</w:t>
      </w:r>
      <w:r w:rsidR="00C026A6" w:rsidRPr="00EA59C0">
        <w:t xml:space="preserve"> </w:t>
      </w:r>
      <w:r w:rsidRPr="00EA59C0">
        <w:t>Quality</w:t>
      </w:r>
      <w:r w:rsidR="00C026A6" w:rsidRPr="00EA59C0">
        <w:t xml:space="preserve"> </w:t>
      </w:r>
      <w:r w:rsidRPr="00EA59C0">
        <w:t>Initiative</w:t>
      </w:r>
      <w:r w:rsidR="00C026A6" w:rsidRPr="00EA59C0">
        <w:t xml:space="preserve"> </w:t>
      </w:r>
      <w:r w:rsidRPr="00EA59C0">
        <w:t>(WDQI)</w:t>
      </w:r>
      <w:r w:rsidR="00C026A6" w:rsidRPr="00EA59C0">
        <w:t xml:space="preserve"> </w:t>
      </w:r>
      <w:r w:rsidRPr="00EA59C0">
        <w:t>to</w:t>
      </w:r>
      <w:r w:rsidR="00C026A6" w:rsidRPr="00EA59C0">
        <w:t xml:space="preserve"> </w:t>
      </w:r>
      <w:r w:rsidRPr="00EA59C0">
        <w:t>support</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or</w:t>
      </w:r>
      <w:r w:rsidR="00C026A6" w:rsidRPr="00EA59C0">
        <w:t xml:space="preserve"> </w:t>
      </w:r>
      <w:r w:rsidRPr="00EA59C0">
        <w:t>enhancement</w:t>
      </w:r>
      <w:r w:rsidR="00C026A6" w:rsidRPr="00EA59C0">
        <w:t xml:space="preserve"> </w:t>
      </w:r>
      <w:r w:rsidRPr="00EA59C0">
        <w:t>of</w:t>
      </w:r>
      <w:r w:rsidR="00C026A6" w:rsidRPr="00EA59C0">
        <w:t xml:space="preserve"> </w:t>
      </w:r>
      <w:r w:rsidRPr="00EA59C0">
        <w:t>longitudinal</w:t>
      </w:r>
      <w:r w:rsidR="00C026A6" w:rsidRPr="00EA59C0">
        <w:t xml:space="preserve"> </w:t>
      </w:r>
      <w:r w:rsidRPr="00EA59C0">
        <w:t>administrative</w:t>
      </w:r>
      <w:r w:rsidR="00C026A6" w:rsidRPr="00EA59C0">
        <w:t xml:space="preserve"> </w:t>
      </w:r>
      <w:r w:rsidRPr="00EA59C0">
        <w:t>workforce</w:t>
      </w:r>
      <w:r w:rsidR="00C026A6" w:rsidRPr="00EA59C0">
        <w:t xml:space="preserve"> </w:t>
      </w:r>
      <w:r w:rsidRPr="00EA59C0">
        <w:t>system</w:t>
      </w:r>
      <w:r w:rsidR="00C026A6" w:rsidRPr="00EA59C0">
        <w:t xml:space="preserve"> </w:t>
      </w:r>
      <w:r w:rsidRPr="00EA59C0">
        <w:t>databases</w:t>
      </w:r>
      <w:r w:rsidR="00C026A6" w:rsidRPr="00EA59C0">
        <w:t xml:space="preserve"> </w:t>
      </w:r>
      <w:r w:rsidRPr="00EA59C0">
        <w:t>that</w:t>
      </w:r>
      <w:r w:rsidR="00C026A6" w:rsidRPr="00EA59C0">
        <w:t xml:space="preserve"> </w:t>
      </w:r>
      <w:r w:rsidRPr="00EA59C0">
        <w:t>will</w:t>
      </w:r>
      <w:r w:rsidR="00C026A6" w:rsidRPr="00EA59C0">
        <w:t xml:space="preserve"> </w:t>
      </w:r>
      <w:r w:rsidRPr="00EA59C0">
        <w:t>allow</w:t>
      </w:r>
      <w:r w:rsidR="00C026A6" w:rsidRPr="00EA59C0">
        <w:t xml:space="preserve"> </w:t>
      </w:r>
      <w:r w:rsidRPr="00EA59C0">
        <w:t>the</w:t>
      </w:r>
      <w:r w:rsidR="00C026A6" w:rsidRPr="00EA59C0">
        <w:t xml:space="preserve"> </w:t>
      </w:r>
      <w:r w:rsidRPr="00EA59C0">
        <w:t>creation</w:t>
      </w:r>
      <w:r w:rsidR="00C026A6" w:rsidRPr="00EA59C0">
        <w:t xml:space="preserve"> </w:t>
      </w:r>
      <w:r w:rsidRPr="00EA59C0">
        <w:t>of</w:t>
      </w:r>
      <w:r w:rsidR="00C026A6" w:rsidRPr="00EA59C0">
        <w:t xml:space="preserve"> </w:t>
      </w:r>
      <w:r w:rsidRPr="00EA59C0">
        <w:t>linkages</w:t>
      </w:r>
      <w:r w:rsidR="00C026A6" w:rsidRPr="00EA59C0">
        <w:t xml:space="preserve"> </w:t>
      </w:r>
      <w:r w:rsidRPr="00EA59C0">
        <w:t>to</w:t>
      </w:r>
      <w:r w:rsidR="00C026A6" w:rsidRPr="00EA59C0">
        <w:t xml:space="preserve"> </w:t>
      </w:r>
      <w:r w:rsidRPr="00EA59C0">
        <w:t>the</w:t>
      </w:r>
      <w:r w:rsidR="00C026A6" w:rsidRPr="00EA59C0">
        <w:t xml:space="preserve"> </w:t>
      </w:r>
      <w:r w:rsidRPr="00EA59C0">
        <w:t>state</w:t>
      </w:r>
      <w:r w:rsidR="00C026A6" w:rsidRPr="00EA59C0">
        <w:t xml:space="preserve"> </w:t>
      </w:r>
      <w:r w:rsidRPr="00EA59C0">
        <w:t>education</w:t>
      </w:r>
      <w:r w:rsidR="00C026A6" w:rsidRPr="00EA59C0">
        <w:t xml:space="preserve"> </w:t>
      </w:r>
      <w:r w:rsidRPr="00EA59C0">
        <w:t>data</w:t>
      </w:r>
      <w:r w:rsidR="00C026A6" w:rsidRPr="00EA59C0">
        <w:t xml:space="preserve"> </w:t>
      </w:r>
      <w:r w:rsidRPr="00EA59C0">
        <w:t>systems.</w:t>
      </w:r>
      <w:r w:rsidR="00C026A6" w:rsidRPr="00EA59C0">
        <w:t xml:space="preserve">  </w:t>
      </w:r>
      <w:r w:rsidRPr="00EA59C0">
        <w:t>More</w:t>
      </w:r>
      <w:r w:rsidR="00C026A6" w:rsidRPr="00EA59C0">
        <w:t xml:space="preserve"> </w:t>
      </w:r>
      <w:r w:rsidRPr="00EA59C0">
        <w:t>information</w:t>
      </w:r>
      <w:r w:rsidR="00C026A6" w:rsidRPr="00EA59C0">
        <w:t xml:space="preserve"> </w:t>
      </w:r>
      <w:r w:rsidRPr="00EA59C0">
        <w:t>about</w:t>
      </w:r>
      <w:r w:rsidR="00C026A6" w:rsidRPr="00EA59C0">
        <w:t xml:space="preserve"> </w:t>
      </w:r>
      <w:r w:rsidRPr="00EA59C0">
        <w:t>the</w:t>
      </w:r>
      <w:r w:rsidR="00C026A6" w:rsidRPr="00EA59C0">
        <w:t xml:space="preserve"> </w:t>
      </w:r>
      <w:r w:rsidRPr="00EA59C0">
        <w:t>WDQI</w:t>
      </w:r>
      <w:r w:rsidR="00C026A6" w:rsidRPr="00EA59C0">
        <w:t xml:space="preserve"> </w:t>
      </w:r>
      <w:r w:rsidRPr="00EA59C0">
        <w:t>initiative</w:t>
      </w:r>
      <w:r w:rsidR="00C026A6" w:rsidRPr="00EA59C0">
        <w:t xml:space="preserve"> </w:t>
      </w:r>
      <w:r w:rsidRPr="00EA59C0">
        <w:t>can</w:t>
      </w:r>
      <w:r w:rsidR="00C026A6" w:rsidRPr="00EA59C0">
        <w:t xml:space="preserve"> </w:t>
      </w:r>
      <w:r w:rsidRPr="00EA59C0">
        <w:t>be</w:t>
      </w:r>
      <w:r w:rsidR="00C026A6" w:rsidRPr="00EA59C0">
        <w:t xml:space="preserve"> </w:t>
      </w:r>
      <w:r w:rsidRPr="00EA59C0">
        <w:t>found</w:t>
      </w:r>
      <w:r w:rsidR="00C026A6" w:rsidRPr="00EA59C0">
        <w:t xml:space="preserve"> </w:t>
      </w:r>
      <w:r w:rsidRPr="00EA59C0">
        <w:t>at</w:t>
      </w:r>
      <w:r w:rsidR="00C026A6" w:rsidRPr="00EA59C0">
        <w:t xml:space="preserve"> </w:t>
      </w:r>
      <w:hyperlink r:id="rId239" w:history="1">
        <w:r w:rsidR="00053431" w:rsidRPr="00EA59C0">
          <w:rPr>
            <w:rStyle w:val="Hyperlink"/>
            <w:color w:val="auto"/>
          </w:rPr>
          <w:t>http://www.doleta.gov/performance/workforcedatagrant09.cfm</w:t>
        </w:r>
      </w:hyperlink>
      <w:r w:rsidR="00053431" w:rsidRPr="00EA59C0">
        <w:t xml:space="preserve"> </w:t>
      </w:r>
      <w:r w:rsidRPr="00EA59C0">
        <w:t>and</w:t>
      </w:r>
      <w:r w:rsidR="00C026A6" w:rsidRPr="00EA59C0">
        <w:t xml:space="preserve"> </w:t>
      </w:r>
      <w:r w:rsidRPr="00EA59C0">
        <w:t>information</w:t>
      </w:r>
      <w:r w:rsidR="00C026A6" w:rsidRPr="00EA59C0">
        <w:t xml:space="preserve"> </w:t>
      </w:r>
      <w:r w:rsidRPr="00EA59C0">
        <w:t>about</w:t>
      </w:r>
      <w:r w:rsidR="00C026A6" w:rsidRPr="00EA59C0">
        <w:t xml:space="preserve"> </w:t>
      </w:r>
      <w:r w:rsidRPr="00EA59C0">
        <w:t>the</w:t>
      </w:r>
      <w:r w:rsidR="00C026A6" w:rsidRPr="00EA59C0">
        <w:t xml:space="preserve"> </w:t>
      </w:r>
      <w:r w:rsidRPr="00EA59C0">
        <w:t>SLDS</w:t>
      </w:r>
      <w:r w:rsidR="00C026A6" w:rsidRPr="00EA59C0">
        <w:t xml:space="preserve"> </w:t>
      </w:r>
      <w:r w:rsidRPr="00EA59C0">
        <w:t>at</w:t>
      </w:r>
      <w:r w:rsidR="00C026A6" w:rsidRPr="00EA59C0">
        <w:t xml:space="preserve"> </w:t>
      </w:r>
      <w:hyperlink r:id="rId240" w:history="1">
        <w:r w:rsidR="00053431" w:rsidRPr="00EA59C0">
          <w:rPr>
            <w:rStyle w:val="Hyperlink"/>
            <w:color w:val="auto"/>
          </w:rPr>
          <w:t>https://nces.ed.gov/programs/slds/</w:t>
        </w:r>
      </w:hyperlink>
      <w:r w:rsidR="00053431" w:rsidRPr="00EA59C0">
        <w:t>.</w:t>
      </w:r>
      <w:r w:rsidR="00C026A6" w:rsidRPr="00EA59C0">
        <w:t xml:space="preserve">   </w:t>
      </w:r>
    </w:p>
    <w:p w:rsidR="00053431" w:rsidRPr="00EA59C0" w:rsidRDefault="00053431" w:rsidP="00C47B09">
      <w:pPr>
        <w:ind w:left="1080"/>
      </w:pPr>
    </w:p>
    <w:p w:rsidR="00053431" w:rsidRPr="00EA59C0" w:rsidRDefault="00C47B09" w:rsidP="00C47B09">
      <w:pPr>
        <w:ind w:left="1080"/>
      </w:pPr>
      <w:r w:rsidRPr="00EA59C0">
        <w:t>Applicants</w:t>
      </w:r>
      <w:r w:rsidR="00C026A6" w:rsidRPr="00EA59C0">
        <w:t xml:space="preserve"> </w:t>
      </w:r>
      <w:r w:rsidRPr="00EA59C0">
        <w:t>that</w:t>
      </w:r>
      <w:r w:rsidR="00C026A6" w:rsidRPr="00EA59C0">
        <w:t xml:space="preserve"> </w:t>
      </w:r>
      <w:r w:rsidRPr="00EA59C0">
        <w:t>have</w:t>
      </w:r>
      <w:r w:rsidR="00C026A6" w:rsidRPr="00EA59C0">
        <w:t xml:space="preserve"> </w:t>
      </w:r>
      <w:r w:rsidRPr="00EA59C0">
        <w:t>received</w:t>
      </w:r>
      <w:r w:rsidR="00C026A6" w:rsidRPr="00EA59C0">
        <w:t xml:space="preserve"> </w:t>
      </w:r>
      <w:r w:rsidRPr="00EA59C0">
        <w:t>Federal</w:t>
      </w:r>
      <w:r w:rsidR="00C026A6" w:rsidRPr="00EA59C0">
        <w:t xml:space="preserve"> </w:t>
      </w:r>
      <w:r w:rsidRPr="00EA59C0">
        <w:t>funding</w:t>
      </w:r>
      <w:r w:rsidR="00C026A6" w:rsidRPr="00EA59C0">
        <w:t xml:space="preserve"> </w:t>
      </w:r>
      <w:r w:rsidRPr="00EA59C0">
        <w:t>under</w:t>
      </w:r>
      <w:r w:rsidR="00C026A6" w:rsidRPr="00EA59C0">
        <w:t xml:space="preserve"> </w:t>
      </w:r>
      <w:r w:rsidRPr="00EA59C0">
        <w:t>the</w:t>
      </w:r>
      <w:r w:rsidR="00C026A6" w:rsidRPr="00EA59C0">
        <w:t xml:space="preserve"> </w:t>
      </w:r>
      <w:r w:rsidRPr="00EA59C0">
        <w:t>WDQI</w:t>
      </w:r>
      <w:r w:rsidR="00C026A6" w:rsidRPr="00EA59C0">
        <w:t xml:space="preserve"> </w:t>
      </w:r>
      <w:r w:rsidRPr="00EA59C0">
        <w:t>or</w:t>
      </w:r>
      <w:r w:rsidR="00C026A6" w:rsidRPr="00EA59C0">
        <w:t xml:space="preserve"> </w:t>
      </w:r>
      <w:r w:rsidRPr="00EA59C0">
        <w:t>SLDS,</w:t>
      </w:r>
      <w:r w:rsidR="00C026A6" w:rsidRPr="00EA59C0">
        <w:t xml:space="preserve"> </w:t>
      </w:r>
      <w:r w:rsidRPr="00EA59C0">
        <w:t>either</w:t>
      </w:r>
      <w:r w:rsidR="00C026A6" w:rsidRPr="00EA59C0">
        <w:t xml:space="preserve"> </w:t>
      </w:r>
      <w:r w:rsidRPr="00EA59C0">
        <w:t>as</w:t>
      </w:r>
      <w:r w:rsidR="00C026A6" w:rsidRPr="00EA59C0">
        <w:t xml:space="preserve"> </w:t>
      </w:r>
      <w:r w:rsidRPr="00EA59C0">
        <w:t>a</w:t>
      </w:r>
      <w:r w:rsidR="00C026A6" w:rsidRPr="00EA59C0">
        <w:t xml:space="preserve"> </w:t>
      </w:r>
      <w:r w:rsidRPr="00EA59C0">
        <w:t>direct</w:t>
      </w:r>
      <w:r w:rsidR="00C026A6" w:rsidRPr="00EA59C0">
        <w:t xml:space="preserve"> </w:t>
      </w:r>
      <w:r w:rsidRPr="00EA59C0">
        <w:t>recipient,</w:t>
      </w:r>
      <w:r w:rsidR="00C026A6" w:rsidRPr="00EA59C0">
        <w:t xml:space="preserve"> </w:t>
      </w:r>
      <w:r w:rsidRPr="00EA59C0">
        <w:t>or</w:t>
      </w:r>
      <w:r w:rsidR="00C026A6" w:rsidRPr="00EA59C0">
        <w:t xml:space="preserve"> </w:t>
      </w:r>
      <w:r w:rsidRPr="00EA59C0">
        <w:t>as</w:t>
      </w:r>
      <w:r w:rsidR="00C026A6" w:rsidRPr="00EA59C0">
        <w:t xml:space="preserve"> </w:t>
      </w:r>
      <w:r w:rsidRPr="00EA59C0">
        <w:t>a</w:t>
      </w:r>
      <w:r w:rsidR="00C026A6" w:rsidRPr="00EA59C0">
        <w:t xml:space="preserve"> </w:t>
      </w:r>
      <w:r w:rsidRPr="00EA59C0">
        <w:t>part</w:t>
      </w:r>
      <w:r w:rsidR="00C026A6" w:rsidRPr="00EA59C0">
        <w:t xml:space="preserve"> </w:t>
      </w:r>
      <w:r w:rsidRPr="00EA59C0">
        <w:t>of</w:t>
      </w:r>
      <w:r w:rsidR="00C026A6" w:rsidRPr="00EA59C0">
        <w:t xml:space="preserve"> </w:t>
      </w:r>
      <w:r w:rsidRPr="00EA59C0">
        <w:t>a</w:t>
      </w:r>
      <w:r w:rsidR="00C026A6" w:rsidRPr="00EA59C0">
        <w:t xml:space="preserve"> </w:t>
      </w:r>
      <w:r w:rsidRPr="00EA59C0">
        <w:t>statewide</w:t>
      </w:r>
      <w:r w:rsidR="00C026A6" w:rsidRPr="00EA59C0">
        <w:t xml:space="preserve"> </w:t>
      </w:r>
      <w:r w:rsidRPr="00EA59C0">
        <w:t>grant</w:t>
      </w:r>
      <w:r w:rsidR="00C026A6" w:rsidRPr="00EA59C0">
        <w:t xml:space="preserve"> </w:t>
      </w:r>
      <w:r w:rsidRPr="00EA59C0">
        <w:t>must</w:t>
      </w:r>
      <w:r w:rsidR="00C026A6" w:rsidRPr="00EA59C0">
        <w:t xml:space="preserve"> </w:t>
      </w:r>
      <w:r w:rsidRPr="00EA59C0">
        <w:t>provide</w:t>
      </w:r>
      <w:r w:rsidR="00C026A6" w:rsidRPr="00EA59C0">
        <w:t xml:space="preserve"> </w:t>
      </w:r>
      <w:r w:rsidRPr="00EA59C0">
        <w:t>a</w:t>
      </w:r>
      <w:r w:rsidR="00C026A6" w:rsidRPr="00EA59C0">
        <w:t xml:space="preserve"> </w:t>
      </w:r>
      <w:r w:rsidRPr="00EA59C0">
        <w:t>brief</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their</w:t>
      </w:r>
      <w:r w:rsidR="00C026A6" w:rsidRPr="00EA59C0">
        <w:t xml:space="preserve"> </w:t>
      </w:r>
      <w:r w:rsidRPr="00EA59C0">
        <w:t>existing</w:t>
      </w:r>
      <w:r w:rsidR="00C026A6" w:rsidRPr="00EA59C0">
        <w:t xml:space="preserve"> </w:t>
      </w:r>
      <w:r w:rsidRPr="00EA59C0">
        <w:t>projects</w:t>
      </w:r>
      <w:r w:rsidR="00C026A6" w:rsidRPr="00EA59C0">
        <w:t xml:space="preserve"> </w:t>
      </w:r>
      <w:r w:rsidRPr="00EA59C0">
        <w:t>and</w:t>
      </w:r>
      <w:r w:rsidR="00C026A6" w:rsidRPr="00EA59C0">
        <w:t xml:space="preserve"> </w:t>
      </w:r>
      <w:r w:rsidRPr="00EA59C0">
        <w:t>a</w:t>
      </w:r>
      <w:r w:rsidR="00C026A6" w:rsidRPr="00EA59C0">
        <w:t xml:space="preserve"> </w:t>
      </w:r>
      <w:r w:rsidRPr="00EA59C0">
        <w:t>detailed</w:t>
      </w:r>
      <w:r w:rsidR="00C026A6" w:rsidRPr="00EA59C0">
        <w:t xml:space="preserve"> </w:t>
      </w:r>
      <w:r w:rsidRPr="00EA59C0">
        <w:t>explanation</w:t>
      </w:r>
      <w:r w:rsidR="00C026A6" w:rsidRPr="00EA59C0">
        <w:t xml:space="preserve"> </w:t>
      </w:r>
      <w:r w:rsidRPr="00EA59C0">
        <w:t>of</w:t>
      </w:r>
      <w:r w:rsidR="00C026A6" w:rsidRPr="00EA59C0">
        <w:t xml:space="preserve"> </w:t>
      </w:r>
      <w:r w:rsidRPr="00EA59C0">
        <w:t>how</w:t>
      </w:r>
      <w:r w:rsidR="00C026A6" w:rsidRPr="00EA59C0">
        <w:t xml:space="preserve"> </w:t>
      </w:r>
      <w:r w:rsidRPr="00EA59C0">
        <w:t>TAACCCT</w:t>
      </w:r>
      <w:r w:rsidR="00C026A6" w:rsidRPr="00EA59C0">
        <w:t xml:space="preserve"> </w:t>
      </w:r>
      <w:r w:rsidRPr="00EA59C0">
        <w:t>funds</w:t>
      </w:r>
      <w:r w:rsidR="00C026A6" w:rsidRPr="00EA59C0">
        <w:t xml:space="preserve"> </w:t>
      </w:r>
      <w:r w:rsidRPr="00EA59C0">
        <w:t>will</w:t>
      </w:r>
      <w:r w:rsidR="00C026A6" w:rsidRPr="00EA59C0">
        <w:t xml:space="preserve"> </w:t>
      </w:r>
      <w:r w:rsidRPr="00EA59C0">
        <w:t>be</w:t>
      </w:r>
      <w:r w:rsidR="00C026A6" w:rsidRPr="00EA59C0">
        <w:t xml:space="preserve"> </w:t>
      </w:r>
      <w:r w:rsidRPr="00EA59C0">
        <w:t>used</w:t>
      </w:r>
      <w:r w:rsidR="00C026A6" w:rsidRPr="00EA59C0">
        <w:t xml:space="preserve"> </w:t>
      </w:r>
      <w:r w:rsidRPr="00EA59C0">
        <w:t>to</w:t>
      </w:r>
      <w:r w:rsidR="00C026A6" w:rsidRPr="00EA59C0">
        <w:t xml:space="preserve"> </w:t>
      </w:r>
      <w:r w:rsidR="00671671" w:rsidRPr="00EA59C0">
        <w:t>complete activities that are outside the scope of its existing grant</w:t>
      </w:r>
      <w:r w:rsidR="00CC236D" w:rsidRPr="00EA59C0">
        <w:t>,</w:t>
      </w:r>
      <w:r w:rsidR="00C026A6" w:rsidRPr="00EA59C0">
        <w:t xml:space="preserve"> </w:t>
      </w:r>
      <w:r w:rsidRPr="00EA59C0">
        <w:t>and</w:t>
      </w:r>
      <w:r w:rsidR="00C026A6" w:rsidRPr="00EA59C0">
        <w:t xml:space="preserve"> </w:t>
      </w:r>
      <w:r w:rsidRPr="00EA59C0">
        <w:t>not</w:t>
      </w:r>
      <w:r w:rsidR="00C026A6" w:rsidRPr="00EA59C0">
        <w:t xml:space="preserve"> </w:t>
      </w:r>
      <w:r w:rsidRPr="00EA59C0">
        <w:t>duplicate</w:t>
      </w:r>
      <w:r w:rsidR="00C026A6" w:rsidRPr="00EA59C0">
        <w:t xml:space="preserve"> </w:t>
      </w:r>
      <w:r w:rsidRPr="00EA59C0">
        <w:t>existing</w:t>
      </w:r>
      <w:r w:rsidR="00C026A6" w:rsidRPr="00EA59C0">
        <w:t xml:space="preserve"> </w:t>
      </w:r>
      <w:r w:rsidRPr="00EA59C0">
        <w:t>efforts.</w:t>
      </w:r>
      <w:r w:rsidR="00C026A6" w:rsidRPr="00EA59C0">
        <w:t xml:space="preserve">  </w:t>
      </w:r>
      <w:r w:rsidR="00A83560" w:rsidRPr="00EA59C0">
        <w:t xml:space="preserve"> The activities to be performed with TAACCCT funds </w:t>
      </w:r>
      <w:r w:rsidR="00C96D5B" w:rsidRPr="00EA59C0">
        <w:t xml:space="preserve">through this option </w:t>
      </w:r>
      <w:r w:rsidR="00A83560" w:rsidRPr="00EA59C0">
        <w:t xml:space="preserve">are different from those that could be performed under WDQI if the state had received such a grant.  </w:t>
      </w:r>
      <w:r w:rsidR="00053431" w:rsidRPr="00EA59C0">
        <w:t xml:space="preserve">Resources to assist state agencies with a variety of issues related to developing, implementing and effectively using longitudinal data systems are available from the National Center for Education Statistics (NCES) of the U.S. Department of Education at: </w:t>
      </w:r>
      <w:hyperlink r:id="rId241" w:history="1">
        <w:r w:rsidR="00053431" w:rsidRPr="00EA59C0">
          <w:rPr>
            <w:rStyle w:val="Hyperlink"/>
            <w:color w:val="auto"/>
          </w:rPr>
          <w:t>http://nces.ed.gov/programs/slds/resource_type.asp</w:t>
        </w:r>
      </w:hyperlink>
      <w:r w:rsidR="00053431" w:rsidRPr="00EA59C0">
        <w:t>.</w:t>
      </w:r>
    </w:p>
    <w:p w:rsidR="00053431" w:rsidRPr="00EA59C0" w:rsidRDefault="00053431" w:rsidP="00C47B09">
      <w:pPr>
        <w:ind w:left="1080"/>
      </w:pPr>
    </w:p>
    <w:p w:rsidR="00C47B09" w:rsidRPr="00EA59C0" w:rsidRDefault="00C47B09" w:rsidP="00C47B09">
      <w:pPr>
        <w:ind w:left="1080"/>
      </w:pPr>
      <w:r w:rsidRPr="00EA59C0">
        <w:t>All</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note</w:t>
      </w:r>
      <w:r w:rsidR="00C026A6" w:rsidRPr="00EA59C0">
        <w:t xml:space="preserve"> </w:t>
      </w:r>
      <w:r w:rsidRPr="00EA59C0">
        <w:t>that</w:t>
      </w:r>
      <w:r w:rsidR="00C026A6" w:rsidRPr="00EA59C0">
        <w:t xml:space="preserve"> </w:t>
      </w:r>
      <w:r w:rsidRPr="00EA59C0">
        <w:t>TAACCCT</w:t>
      </w:r>
      <w:r w:rsidR="00C026A6" w:rsidRPr="00EA59C0">
        <w:t xml:space="preserve"> </w:t>
      </w:r>
      <w:r w:rsidRPr="00EA59C0">
        <w:t>grant</w:t>
      </w:r>
      <w:r w:rsidR="00C026A6" w:rsidRPr="00EA59C0">
        <w:t xml:space="preserve"> </w:t>
      </w:r>
      <w:r w:rsidRPr="00EA59C0">
        <w:t>funds</w:t>
      </w:r>
      <w:r w:rsidR="00C026A6" w:rsidRPr="00EA59C0">
        <w:t xml:space="preserve"> </w:t>
      </w:r>
      <w:r w:rsidRPr="00EA59C0">
        <w:t>are</w:t>
      </w:r>
      <w:r w:rsidR="00C026A6" w:rsidRPr="00EA59C0">
        <w:t xml:space="preserve"> </w:t>
      </w:r>
      <w:r w:rsidRPr="00EA59C0">
        <w:t>intended</w:t>
      </w:r>
      <w:r w:rsidR="00C026A6" w:rsidRPr="00EA59C0">
        <w:t xml:space="preserve"> </w:t>
      </w:r>
      <w:r w:rsidRPr="00EA59C0">
        <w:t>to</w:t>
      </w:r>
      <w:r w:rsidR="00C026A6" w:rsidRPr="00EA59C0">
        <w:t xml:space="preserve"> </w:t>
      </w:r>
      <w:r w:rsidRPr="00EA59C0">
        <w:t>serve</w:t>
      </w:r>
      <w:r w:rsidR="00C026A6" w:rsidRPr="00EA59C0">
        <w:t xml:space="preserve"> </w:t>
      </w:r>
      <w:r w:rsidRPr="00EA59C0">
        <w:t>adults.</w:t>
      </w:r>
      <w:r w:rsidR="00C026A6" w:rsidRPr="00EA59C0">
        <w:t xml:space="preserve">  </w:t>
      </w:r>
      <w:r w:rsidRPr="00EA59C0">
        <w:t>As</w:t>
      </w:r>
      <w:r w:rsidR="00C026A6" w:rsidRPr="00EA59C0">
        <w:t xml:space="preserve"> </w:t>
      </w:r>
      <w:r w:rsidRPr="00EA59C0">
        <w:t>such,</w:t>
      </w:r>
      <w:r w:rsidR="00C026A6" w:rsidRPr="00EA59C0">
        <w:t xml:space="preserve"> </w:t>
      </w:r>
      <w:r w:rsidRPr="00EA59C0">
        <w:t>they</w:t>
      </w:r>
      <w:r w:rsidR="00C026A6" w:rsidRPr="00EA59C0">
        <w:t xml:space="preserve"> </w:t>
      </w:r>
      <w:r w:rsidRPr="00EA59C0">
        <w:t>may</w:t>
      </w:r>
      <w:r w:rsidR="00C026A6" w:rsidRPr="00EA59C0">
        <w:t xml:space="preserve"> </w:t>
      </w:r>
      <w:r w:rsidRPr="00EA59C0">
        <w:t>not</w:t>
      </w:r>
      <w:r w:rsidR="00C026A6" w:rsidRPr="00EA59C0">
        <w:t xml:space="preserve"> </w:t>
      </w:r>
      <w:r w:rsidRPr="00EA59C0">
        <w:t>be</w:t>
      </w:r>
      <w:r w:rsidR="00C026A6" w:rsidRPr="00EA59C0">
        <w:t xml:space="preserve"> </w:t>
      </w:r>
      <w:r w:rsidRPr="00EA59C0">
        <w:t>used</w:t>
      </w:r>
      <w:r w:rsidR="00C026A6" w:rsidRPr="00EA59C0">
        <w:t xml:space="preserve"> </w:t>
      </w:r>
      <w:r w:rsidRPr="00EA59C0">
        <w:t>to</w:t>
      </w:r>
      <w:r w:rsidR="00C026A6" w:rsidRPr="00EA59C0">
        <w:t xml:space="preserve"> </w:t>
      </w:r>
      <w:r w:rsidRPr="00EA59C0">
        <w:t>develop</w:t>
      </w:r>
      <w:r w:rsidR="00C026A6" w:rsidRPr="00EA59C0">
        <w:t xml:space="preserve"> </w:t>
      </w:r>
      <w:r w:rsidRPr="00EA59C0">
        <w:t>or</w:t>
      </w:r>
      <w:r w:rsidR="00C026A6" w:rsidRPr="00EA59C0">
        <w:t xml:space="preserve"> </w:t>
      </w:r>
      <w:r w:rsidRPr="00EA59C0">
        <w:t>enhance</w:t>
      </w:r>
      <w:r w:rsidR="00C026A6" w:rsidRPr="00EA59C0">
        <w:t xml:space="preserve"> </w:t>
      </w:r>
      <w:r w:rsidRPr="00EA59C0">
        <w:t>reporting</w:t>
      </w:r>
      <w:r w:rsidR="00C026A6" w:rsidRPr="00EA59C0">
        <w:t xml:space="preserve"> </w:t>
      </w:r>
      <w:r w:rsidRPr="00EA59C0">
        <w:t>systems</w:t>
      </w:r>
      <w:r w:rsidR="00C026A6" w:rsidRPr="00EA59C0">
        <w:t xml:space="preserve"> </w:t>
      </w:r>
      <w:r w:rsidRPr="00EA59C0">
        <w:t>that</w:t>
      </w:r>
      <w:r w:rsidR="00C026A6" w:rsidRPr="00EA59C0">
        <w:t xml:space="preserve"> </w:t>
      </w:r>
      <w:r w:rsidRPr="00EA59C0">
        <w:t>exclusively</w:t>
      </w:r>
      <w:r w:rsidR="00C026A6" w:rsidRPr="00EA59C0">
        <w:t xml:space="preserve"> </w:t>
      </w:r>
      <w:r w:rsidRPr="00EA59C0">
        <w:t>or</w:t>
      </w:r>
      <w:r w:rsidR="00C026A6" w:rsidRPr="00EA59C0">
        <w:t xml:space="preserve"> </w:t>
      </w:r>
      <w:r w:rsidRPr="00EA59C0">
        <w:t>primarily</w:t>
      </w:r>
      <w:r w:rsidR="00C026A6" w:rsidRPr="00EA59C0">
        <w:t xml:space="preserve"> </w:t>
      </w:r>
      <w:r w:rsidRPr="00EA59C0">
        <w:t>serve</w:t>
      </w:r>
      <w:r w:rsidR="00C026A6" w:rsidRPr="00EA59C0">
        <w:t xml:space="preserve"> </w:t>
      </w:r>
      <w:r w:rsidRPr="00EA59C0">
        <w:t>the</w:t>
      </w:r>
      <w:r w:rsidR="00C026A6" w:rsidRPr="00EA59C0">
        <w:t xml:space="preserve"> </w:t>
      </w:r>
      <w:r w:rsidRPr="00EA59C0">
        <w:t>needs</w:t>
      </w:r>
      <w:r w:rsidR="00C026A6" w:rsidRPr="00EA59C0">
        <w:t xml:space="preserve"> </w:t>
      </w:r>
      <w:r w:rsidRPr="00EA59C0">
        <w:t>of</w:t>
      </w:r>
      <w:r w:rsidR="00C026A6" w:rsidRPr="00EA59C0">
        <w:t xml:space="preserve"> </w:t>
      </w:r>
      <w:r w:rsidRPr="00EA59C0">
        <w:t>youth,</w:t>
      </w:r>
      <w:r w:rsidR="00C026A6" w:rsidRPr="00EA59C0">
        <w:t xml:space="preserve"> </w:t>
      </w:r>
      <w:r w:rsidRPr="00EA59C0">
        <w:t>such</w:t>
      </w:r>
      <w:r w:rsidR="00C026A6" w:rsidRPr="00EA59C0">
        <w:t xml:space="preserve"> </w:t>
      </w:r>
      <w:r w:rsidRPr="00EA59C0">
        <w:t>as</w:t>
      </w:r>
      <w:r w:rsidR="00C026A6" w:rsidRPr="00EA59C0">
        <w:t xml:space="preserve"> </w:t>
      </w:r>
      <w:r w:rsidRPr="00EA59C0">
        <w:t>K-12</w:t>
      </w:r>
      <w:r w:rsidR="00C026A6" w:rsidRPr="00EA59C0">
        <w:t xml:space="preserve"> </w:t>
      </w:r>
      <w:r w:rsidRPr="00EA59C0">
        <w:t>reporting</w:t>
      </w:r>
      <w:r w:rsidR="00C026A6" w:rsidRPr="00EA59C0">
        <w:t xml:space="preserve"> </w:t>
      </w:r>
      <w:r w:rsidRPr="00EA59C0">
        <w:t>systems.</w:t>
      </w:r>
    </w:p>
    <w:p w:rsidR="00C47B09" w:rsidRPr="00EA59C0" w:rsidRDefault="00C47B09" w:rsidP="00D03948">
      <w:pPr>
        <w:ind w:left="1080"/>
      </w:pPr>
    </w:p>
    <w:p w:rsidR="00E329F4" w:rsidRPr="00EA59C0" w:rsidRDefault="00E329F4" w:rsidP="00D03948"/>
    <w:p w:rsidR="003C1FB3" w:rsidRPr="00EA59C0" w:rsidRDefault="003C1FB3" w:rsidP="00D03948">
      <w:pPr>
        <w:ind w:left="1080"/>
        <w:rPr>
          <w:b/>
        </w:rPr>
      </w:pPr>
      <w:r w:rsidRPr="00EA59C0">
        <w:rPr>
          <w:b/>
        </w:rPr>
        <w:t>Option</w:t>
      </w:r>
      <w:r w:rsidR="00C026A6" w:rsidRPr="00EA59C0">
        <w:rPr>
          <w:b/>
        </w:rPr>
        <w:t xml:space="preserve"> </w:t>
      </w:r>
      <w:r w:rsidRPr="00EA59C0">
        <w:rPr>
          <w:b/>
        </w:rPr>
        <w:t>3:</w:t>
      </w:r>
      <w:r w:rsidR="00C026A6" w:rsidRPr="00EA59C0">
        <w:rPr>
          <w:b/>
        </w:rPr>
        <w:t xml:space="preserve">  </w:t>
      </w:r>
      <w:r w:rsidR="00D310C3" w:rsidRPr="00EA59C0">
        <w:rPr>
          <w:b/>
        </w:rPr>
        <w:t>Create</w:t>
      </w:r>
      <w:r w:rsidR="00C026A6" w:rsidRPr="00EA59C0">
        <w:rPr>
          <w:b/>
        </w:rPr>
        <w:t xml:space="preserve"> </w:t>
      </w:r>
      <w:r w:rsidR="00D310C3" w:rsidRPr="00EA59C0">
        <w:rPr>
          <w:b/>
        </w:rPr>
        <w:t>Nationally-Recognized</w:t>
      </w:r>
      <w:r w:rsidR="00C026A6" w:rsidRPr="00EA59C0">
        <w:rPr>
          <w:b/>
        </w:rPr>
        <w:t xml:space="preserve"> </w:t>
      </w:r>
      <w:r w:rsidR="00D310C3" w:rsidRPr="00EA59C0">
        <w:rPr>
          <w:b/>
        </w:rPr>
        <w:t>Competencies</w:t>
      </w:r>
      <w:r w:rsidR="00C026A6" w:rsidRPr="00EA59C0">
        <w:rPr>
          <w:b/>
        </w:rPr>
        <w:t xml:space="preserve"> </w:t>
      </w:r>
      <w:r w:rsidR="00D310C3" w:rsidRPr="00EA59C0">
        <w:rPr>
          <w:b/>
        </w:rPr>
        <w:t>and</w:t>
      </w:r>
      <w:r w:rsidR="00C026A6" w:rsidRPr="00EA59C0">
        <w:rPr>
          <w:b/>
        </w:rPr>
        <w:t xml:space="preserve"> </w:t>
      </w:r>
      <w:r w:rsidR="00D310C3" w:rsidRPr="00EA59C0">
        <w:rPr>
          <w:b/>
        </w:rPr>
        <w:t>Credentials</w:t>
      </w:r>
      <w:r w:rsidR="00C026A6" w:rsidRPr="00EA59C0">
        <w:rPr>
          <w:b/>
        </w:rPr>
        <w:t xml:space="preserve"> </w:t>
      </w:r>
    </w:p>
    <w:p w:rsidR="00C17B1E" w:rsidRPr="00EA59C0" w:rsidRDefault="003C1FB3" w:rsidP="00D03948">
      <w:pPr>
        <w:ind w:left="1080"/>
        <w:contextualSpacing/>
      </w:pPr>
      <w:r w:rsidRPr="00EA59C0">
        <w:t>Consortium</w:t>
      </w:r>
      <w:r w:rsidR="00C026A6" w:rsidRPr="00EA59C0">
        <w:t xml:space="preserve"> </w:t>
      </w:r>
      <w:r w:rsidR="00BE06BB" w:rsidRPr="00EA59C0">
        <w:t>and single</w:t>
      </w:r>
      <w:r w:rsidR="00670579" w:rsidRPr="00EA59C0">
        <w:t xml:space="preserve"> institution</w:t>
      </w:r>
      <w:r w:rsidR="00BE06BB" w:rsidRPr="00EA59C0">
        <w:t xml:space="preserve"> </w:t>
      </w:r>
      <w:r w:rsidRPr="00EA59C0">
        <w:t>applicants</w:t>
      </w:r>
      <w:r w:rsidR="00C026A6" w:rsidRPr="00EA59C0">
        <w:t xml:space="preserve"> </w:t>
      </w:r>
      <w:r w:rsidRPr="00EA59C0">
        <w:t>will</w:t>
      </w:r>
      <w:r w:rsidR="00C026A6" w:rsidRPr="00EA59C0">
        <w:t xml:space="preserve"> </w:t>
      </w:r>
      <w:r w:rsidR="00D310C3" w:rsidRPr="00EA59C0">
        <w:t>present</w:t>
      </w:r>
      <w:r w:rsidR="00C026A6" w:rsidRPr="00EA59C0">
        <w:t xml:space="preserve"> </w:t>
      </w:r>
      <w:r w:rsidR="00D310C3" w:rsidRPr="00EA59C0">
        <w:t>a</w:t>
      </w:r>
      <w:r w:rsidR="00C026A6" w:rsidRPr="00EA59C0">
        <w:t xml:space="preserve"> </w:t>
      </w:r>
      <w:r w:rsidR="00D310C3" w:rsidRPr="00EA59C0">
        <w:t>strategy</w:t>
      </w:r>
      <w:r w:rsidR="00C026A6" w:rsidRPr="00EA59C0">
        <w:t xml:space="preserve"> </w:t>
      </w:r>
      <w:r w:rsidR="00D310C3" w:rsidRPr="00EA59C0">
        <w:t>to</w:t>
      </w:r>
      <w:r w:rsidR="00C026A6" w:rsidRPr="00EA59C0">
        <w:t xml:space="preserve"> </w:t>
      </w:r>
      <w:r w:rsidR="00D310C3" w:rsidRPr="00EA59C0">
        <w:t>develop</w:t>
      </w:r>
      <w:r w:rsidR="00C026A6" w:rsidRPr="00EA59C0">
        <w:t xml:space="preserve"> </w:t>
      </w:r>
      <w:r w:rsidR="00D310C3" w:rsidRPr="00EA59C0">
        <w:t>their</w:t>
      </w:r>
      <w:r w:rsidR="00C026A6" w:rsidRPr="00EA59C0">
        <w:t xml:space="preserve"> </w:t>
      </w:r>
      <w:r w:rsidR="002014F6" w:rsidRPr="00EA59C0">
        <w:t xml:space="preserve">TAACCCT </w:t>
      </w:r>
      <w:r w:rsidR="00D310C3" w:rsidRPr="00EA59C0">
        <w:t>programs</w:t>
      </w:r>
      <w:r w:rsidR="00C026A6" w:rsidRPr="00EA59C0">
        <w:t xml:space="preserve"> </w:t>
      </w:r>
      <w:r w:rsidR="00D310C3" w:rsidRPr="00EA59C0">
        <w:t>in</w:t>
      </w:r>
      <w:r w:rsidR="00C026A6" w:rsidRPr="00EA59C0">
        <w:t xml:space="preserve"> </w:t>
      </w:r>
      <w:r w:rsidR="00D310C3" w:rsidRPr="00EA59C0">
        <w:t>coordination</w:t>
      </w:r>
      <w:r w:rsidR="00C026A6" w:rsidRPr="00EA59C0">
        <w:t xml:space="preserve"> </w:t>
      </w:r>
      <w:r w:rsidR="00D310C3" w:rsidRPr="00EA59C0">
        <w:t>with</w:t>
      </w:r>
      <w:r w:rsidR="00C026A6" w:rsidRPr="00EA59C0">
        <w:t xml:space="preserve"> </w:t>
      </w:r>
      <w:r w:rsidR="00D310C3" w:rsidRPr="00EA59C0">
        <w:t>national</w:t>
      </w:r>
      <w:r w:rsidR="00C026A6" w:rsidRPr="00EA59C0">
        <w:t xml:space="preserve"> </w:t>
      </w:r>
      <w:r w:rsidR="00D310C3" w:rsidRPr="00EA59C0">
        <w:t>partners</w:t>
      </w:r>
      <w:r w:rsidR="00C026A6" w:rsidRPr="00EA59C0">
        <w:t xml:space="preserve"> </w:t>
      </w:r>
      <w:r w:rsidR="00D310C3" w:rsidRPr="00EA59C0">
        <w:t>that</w:t>
      </w:r>
      <w:r w:rsidR="00C026A6" w:rsidRPr="00EA59C0">
        <w:t xml:space="preserve"> </w:t>
      </w:r>
      <w:r w:rsidR="00D310C3" w:rsidRPr="00EA59C0">
        <w:t>will</w:t>
      </w:r>
      <w:r w:rsidR="00C026A6" w:rsidRPr="00EA59C0">
        <w:t xml:space="preserve"> </w:t>
      </w:r>
      <w:r w:rsidR="00D310C3" w:rsidRPr="00EA59C0">
        <w:t>help</w:t>
      </w:r>
      <w:r w:rsidR="00C026A6" w:rsidRPr="00EA59C0">
        <w:t xml:space="preserve"> </w:t>
      </w:r>
      <w:r w:rsidR="00D310C3" w:rsidRPr="00EA59C0">
        <w:t>scale</w:t>
      </w:r>
      <w:r w:rsidR="00C026A6" w:rsidRPr="00EA59C0">
        <w:t xml:space="preserve"> </w:t>
      </w:r>
      <w:r w:rsidR="00D310C3" w:rsidRPr="00EA59C0">
        <w:t>these</w:t>
      </w:r>
      <w:r w:rsidR="00C026A6" w:rsidRPr="00EA59C0">
        <w:t xml:space="preserve"> </w:t>
      </w:r>
      <w:r w:rsidR="00D310C3" w:rsidRPr="00EA59C0">
        <w:t>strategies</w:t>
      </w:r>
      <w:r w:rsidR="00C026A6" w:rsidRPr="00EA59C0">
        <w:t xml:space="preserve"> </w:t>
      </w:r>
      <w:r w:rsidR="00D310C3" w:rsidRPr="00EA59C0">
        <w:t>to</w:t>
      </w:r>
      <w:r w:rsidR="00C026A6" w:rsidRPr="00EA59C0">
        <w:t xml:space="preserve"> </w:t>
      </w:r>
      <w:r w:rsidR="00D310C3" w:rsidRPr="00EA59C0">
        <w:t>other</w:t>
      </w:r>
      <w:r w:rsidR="00C026A6" w:rsidRPr="00EA59C0">
        <w:t xml:space="preserve"> </w:t>
      </w:r>
      <w:r w:rsidR="00D310C3" w:rsidRPr="00EA59C0">
        <w:t>regions</w:t>
      </w:r>
      <w:r w:rsidR="00C026A6" w:rsidRPr="00EA59C0">
        <w:t xml:space="preserve"> </w:t>
      </w:r>
      <w:r w:rsidR="00D310C3" w:rsidRPr="00EA59C0">
        <w:t>of</w:t>
      </w:r>
      <w:r w:rsidR="00C026A6" w:rsidRPr="00EA59C0">
        <w:t xml:space="preserve"> </w:t>
      </w:r>
      <w:r w:rsidR="00D310C3" w:rsidRPr="00EA59C0">
        <w:t>the</w:t>
      </w:r>
      <w:r w:rsidR="00C026A6" w:rsidRPr="00EA59C0">
        <w:t xml:space="preserve"> </w:t>
      </w:r>
      <w:r w:rsidR="00D310C3" w:rsidRPr="00EA59C0">
        <w:t>country.</w:t>
      </w:r>
      <w:r w:rsidR="00C026A6" w:rsidRPr="00EA59C0">
        <w:t xml:space="preserve">  </w:t>
      </w:r>
      <w:r w:rsidR="00C17B1E" w:rsidRPr="00EA59C0">
        <w:t>Although</w:t>
      </w:r>
      <w:r w:rsidR="00C026A6" w:rsidRPr="00EA59C0">
        <w:t xml:space="preserve"> </w:t>
      </w:r>
      <w:r w:rsidR="00C17B1E" w:rsidRPr="00EA59C0">
        <w:t>all</w:t>
      </w:r>
      <w:r w:rsidR="00C026A6" w:rsidRPr="00EA59C0">
        <w:t xml:space="preserve"> </w:t>
      </w:r>
      <w:r w:rsidR="00C17B1E" w:rsidRPr="00EA59C0">
        <w:t>a</w:t>
      </w:r>
      <w:r w:rsidR="00D310C3" w:rsidRPr="00EA59C0">
        <w:t>pplicants</w:t>
      </w:r>
      <w:r w:rsidR="00C026A6" w:rsidRPr="00EA59C0">
        <w:t xml:space="preserve"> </w:t>
      </w:r>
      <w:r w:rsidR="00C17B1E" w:rsidRPr="00EA59C0">
        <w:t>will</w:t>
      </w:r>
      <w:r w:rsidR="00C026A6" w:rsidRPr="00EA59C0">
        <w:t xml:space="preserve"> </w:t>
      </w:r>
      <w:r w:rsidR="00C17B1E" w:rsidRPr="00EA59C0">
        <w:t>engage</w:t>
      </w:r>
      <w:r w:rsidR="00C026A6" w:rsidRPr="00EA59C0">
        <w:t xml:space="preserve"> </w:t>
      </w:r>
      <w:r w:rsidRPr="00EA59C0">
        <w:t>a</w:t>
      </w:r>
      <w:r w:rsidR="00C026A6" w:rsidRPr="00EA59C0">
        <w:t xml:space="preserve"> </w:t>
      </w:r>
      <w:r w:rsidRPr="00EA59C0">
        <w:t>comprehensive</w:t>
      </w:r>
      <w:r w:rsidR="00C026A6" w:rsidRPr="00EA59C0">
        <w:t xml:space="preserve"> </w:t>
      </w:r>
      <w:r w:rsidRPr="00EA59C0">
        <w:t>group</w:t>
      </w:r>
      <w:r w:rsidR="00C026A6" w:rsidRPr="00EA59C0">
        <w:t xml:space="preserve"> </w:t>
      </w:r>
      <w:r w:rsidRPr="00EA59C0">
        <w:t>of</w:t>
      </w:r>
      <w:r w:rsidR="00C026A6" w:rsidRPr="00EA59C0">
        <w:t xml:space="preserve"> </w:t>
      </w:r>
      <w:r w:rsidR="007E7F27" w:rsidRPr="00EA59C0">
        <w:t>regional</w:t>
      </w:r>
      <w:r w:rsidR="00C026A6" w:rsidRPr="00EA59C0">
        <w:t xml:space="preserve"> </w:t>
      </w:r>
      <w:r w:rsidRPr="00EA59C0">
        <w:t>employers</w:t>
      </w:r>
      <w:r w:rsidR="00C17B1E" w:rsidRPr="00EA59C0">
        <w:t>,</w:t>
      </w:r>
      <w:r w:rsidR="00C026A6" w:rsidRPr="00EA59C0">
        <w:t xml:space="preserve"> </w:t>
      </w:r>
      <w:r w:rsidR="00D310C3" w:rsidRPr="00EA59C0">
        <w:t>applicants</w:t>
      </w:r>
      <w:r w:rsidR="00C026A6" w:rsidRPr="00EA59C0">
        <w:t xml:space="preserve"> </w:t>
      </w:r>
      <w:r w:rsidR="00D310C3" w:rsidRPr="00EA59C0">
        <w:t>choosing</w:t>
      </w:r>
      <w:r w:rsidR="00C026A6" w:rsidRPr="00EA59C0">
        <w:t xml:space="preserve"> </w:t>
      </w:r>
      <w:r w:rsidR="00D310C3" w:rsidRPr="00EA59C0">
        <w:t>this</w:t>
      </w:r>
      <w:r w:rsidR="00C026A6" w:rsidRPr="00EA59C0">
        <w:t xml:space="preserve"> </w:t>
      </w:r>
      <w:r w:rsidR="00C17B1E" w:rsidRPr="00EA59C0">
        <w:t>option</w:t>
      </w:r>
      <w:r w:rsidR="00C026A6" w:rsidRPr="00EA59C0">
        <w:t xml:space="preserve"> </w:t>
      </w:r>
      <w:r w:rsidR="00595E47" w:rsidRPr="00EA59C0">
        <w:t>will</w:t>
      </w:r>
      <w:r w:rsidR="00C026A6" w:rsidRPr="00EA59C0">
        <w:t xml:space="preserve"> </w:t>
      </w:r>
      <w:r w:rsidR="00D310C3" w:rsidRPr="00EA59C0">
        <w:t>also</w:t>
      </w:r>
      <w:r w:rsidR="00C026A6" w:rsidRPr="00EA59C0">
        <w:t xml:space="preserve"> </w:t>
      </w:r>
      <w:r w:rsidR="00C17B1E" w:rsidRPr="00EA59C0">
        <w:t>engage</w:t>
      </w:r>
      <w:r w:rsidR="00C026A6" w:rsidRPr="00EA59C0">
        <w:t xml:space="preserve"> </w:t>
      </w:r>
      <w:r w:rsidR="00D310C3" w:rsidRPr="00EA59C0">
        <w:t>relevant</w:t>
      </w:r>
      <w:r w:rsidR="00C026A6" w:rsidRPr="00EA59C0">
        <w:t xml:space="preserve"> </w:t>
      </w:r>
      <w:r w:rsidR="00D310C3" w:rsidRPr="00EA59C0">
        <w:t>partners</w:t>
      </w:r>
      <w:r w:rsidR="00C15057" w:rsidRPr="00EA59C0">
        <w:t xml:space="preserve"> for the purpose of taking the strategy to scale</w:t>
      </w:r>
      <w:r w:rsidR="00D310C3" w:rsidRPr="00EA59C0">
        <w:t>.</w:t>
      </w:r>
      <w:r w:rsidR="00C026A6" w:rsidRPr="00EA59C0">
        <w:t xml:space="preserve">  </w:t>
      </w:r>
      <w:r w:rsidR="00D310C3" w:rsidRPr="00EA59C0">
        <w:t>In</w:t>
      </w:r>
      <w:r w:rsidR="00C026A6" w:rsidRPr="00EA59C0">
        <w:t xml:space="preserve"> </w:t>
      </w:r>
      <w:r w:rsidR="00D310C3" w:rsidRPr="00EA59C0">
        <w:t>many</w:t>
      </w:r>
      <w:r w:rsidR="00C026A6" w:rsidRPr="00EA59C0">
        <w:t xml:space="preserve"> </w:t>
      </w:r>
      <w:r w:rsidR="00D310C3" w:rsidRPr="00EA59C0">
        <w:t>cases</w:t>
      </w:r>
      <w:r w:rsidR="00C026A6" w:rsidRPr="00EA59C0">
        <w:t xml:space="preserve"> </w:t>
      </w:r>
      <w:r w:rsidR="00D310C3" w:rsidRPr="00EA59C0">
        <w:t>the</w:t>
      </w:r>
      <w:r w:rsidR="00C026A6" w:rsidRPr="00EA59C0">
        <w:t xml:space="preserve"> </w:t>
      </w:r>
      <w:r w:rsidR="00D310C3" w:rsidRPr="00EA59C0">
        <w:t>natural</w:t>
      </w:r>
      <w:r w:rsidR="00C026A6" w:rsidRPr="00EA59C0">
        <w:t xml:space="preserve"> </w:t>
      </w:r>
      <w:r w:rsidR="00D310C3" w:rsidRPr="00EA59C0">
        <w:t>partner</w:t>
      </w:r>
      <w:r w:rsidR="00C026A6" w:rsidRPr="00EA59C0">
        <w:t xml:space="preserve"> </w:t>
      </w:r>
      <w:r w:rsidR="00D310C3" w:rsidRPr="00EA59C0">
        <w:t>would</w:t>
      </w:r>
      <w:r w:rsidR="00C026A6" w:rsidRPr="00EA59C0">
        <w:t xml:space="preserve"> </w:t>
      </w:r>
      <w:r w:rsidR="00D310C3" w:rsidRPr="00EA59C0">
        <w:t>be</w:t>
      </w:r>
      <w:r w:rsidR="00C026A6" w:rsidRPr="00EA59C0">
        <w:t xml:space="preserve"> </w:t>
      </w:r>
      <w:r w:rsidR="00D310C3" w:rsidRPr="00EA59C0">
        <w:t>a</w:t>
      </w:r>
      <w:r w:rsidR="00C026A6" w:rsidRPr="00EA59C0">
        <w:t xml:space="preserve"> </w:t>
      </w:r>
      <w:r w:rsidR="00D310C3" w:rsidRPr="00EA59C0">
        <w:t>national</w:t>
      </w:r>
      <w:r w:rsidR="00C026A6" w:rsidRPr="00EA59C0">
        <w:t xml:space="preserve"> </w:t>
      </w:r>
      <w:r w:rsidR="00D310C3" w:rsidRPr="00EA59C0">
        <w:t>industry</w:t>
      </w:r>
      <w:r w:rsidR="00C026A6" w:rsidRPr="00EA59C0">
        <w:t xml:space="preserve"> </w:t>
      </w:r>
      <w:r w:rsidR="00D310C3" w:rsidRPr="00EA59C0">
        <w:t>association</w:t>
      </w:r>
      <w:r w:rsidR="00C026A6" w:rsidRPr="00EA59C0">
        <w:t xml:space="preserve"> </w:t>
      </w:r>
      <w:r w:rsidR="00D310C3" w:rsidRPr="00EA59C0">
        <w:t>or</w:t>
      </w:r>
      <w:r w:rsidR="00C026A6" w:rsidRPr="00EA59C0">
        <w:t xml:space="preserve"> </w:t>
      </w:r>
      <w:r w:rsidR="00D310C3" w:rsidRPr="00EA59C0">
        <w:t>another</w:t>
      </w:r>
      <w:r w:rsidR="00C026A6" w:rsidRPr="00EA59C0">
        <w:t xml:space="preserve"> </w:t>
      </w:r>
      <w:r w:rsidR="00D310C3" w:rsidRPr="00EA59C0">
        <w:t>national</w:t>
      </w:r>
      <w:r w:rsidR="00C026A6" w:rsidRPr="00EA59C0">
        <w:t xml:space="preserve"> </w:t>
      </w:r>
      <w:r w:rsidR="00D310C3" w:rsidRPr="00EA59C0">
        <w:t>employer</w:t>
      </w:r>
      <w:r w:rsidR="00C026A6" w:rsidRPr="00EA59C0">
        <w:t xml:space="preserve"> </w:t>
      </w:r>
      <w:r w:rsidR="00D310C3" w:rsidRPr="00EA59C0">
        <w:t>association</w:t>
      </w:r>
      <w:r w:rsidR="00C026A6" w:rsidRPr="00EA59C0">
        <w:t xml:space="preserve"> </w:t>
      </w:r>
      <w:r w:rsidR="00544B7D" w:rsidRPr="00EA59C0">
        <w:t>that</w:t>
      </w:r>
      <w:r w:rsidR="00C026A6" w:rsidRPr="00EA59C0">
        <w:t xml:space="preserve"> </w:t>
      </w:r>
      <w:r w:rsidR="00544B7D" w:rsidRPr="00EA59C0">
        <w:t>may</w:t>
      </w:r>
      <w:r w:rsidR="00C026A6" w:rsidRPr="00EA59C0">
        <w:t xml:space="preserve"> </w:t>
      </w:r>
      <w:r w:rsidR="00544B7D" w:rsidRPr="00EA59C0">
        <w:t>want</w:t>
      </w:r>
      <w:r w:rsidR="00C026A6" w:rsidRPr="00EA59C0">
        <w:t xml:space="preserve"> </w:t>
      </w:r>
      <w:r w:rsidR="00544B7D" w:rsidRPr="00EA59C0">
        <w:t>to</w:t>
      </w:r>
      <w:r w:rsidR="00C026A6" w:rsidRPr="00EA59C0">
        <w:t xml:space="preserve"> </w:t>
      </w:r>
      <w:r w:rsidR="00544B7D" w:rsidRPr="00EA59C0">
        <w:t>scale</w:t>
      </w:r>
      <w:r w:rsidR="00C026A6" w:rsidRPr="00EA59C0">
        <w:t xml:space="preserve"> </w:t>
      </w:r>
      <w:r w:rsidR="00544B7D" w:rsidRPr="00EA59C0">
        <w:t>an</w:t>
      </w:r>
      <w:r w:rsidR="00C026A6" w:rsidRPr="00EA59C0">
        <w:t xml:space="preserve"> </w:t>
      </w:r>
      <w:r w:rsidR="00544B7D" w:rsidRPr="00EA59C0">
        <w:t>effective</w:t>
      </w:r>
      <w:r w:rsidR="00C026A6" w:rsidRPr="00EA59C0">
        <w:t xml:space="preserve"> </w:t>
      </w:r>
      <w:r w:rsidR="00544B7D" w:rsidRPr="00EA59C0">
        <w:t>training</w:t>
      </w:r>
      <w:r w:rsidR="00C026A6" w:rsidRPr="00EA59C0">
        <w:t xml:space="preserve"> </w:t>
      </w:r>
      <w:r w:rsidR="00544B7D" w:rsidRPr="00EA59C0">
        <w:t>program</w:t>
      </w:r>
      <w:r w:rsidR="00C026A6" w:rsidRPr="00EA59C0">
        <w:t xml:space="preserve"> </w:t>
      </w:r>
      <w:r w:rsidR="00544B7D" w:rsidRPr="00EA59C0">
        <w:t>to</w:t>
      </w:r>
      <w:r w:rsidR="00C026A6" w:rsidRPr="00EA59C0">
        <w:t xml:space="preserve"> </w:t>
      </w:r>
      <w:r w:rsidR="00544B7D" w:rsidRPr="00EA59C0">
        <w:t>other</w:t>
      </w:r>
      <w:r w:rsidR="00C026A6" w:rsidRPr="00EA59C0">
        <w:t xml:space="preserve"> </w:t>
      </w:r>
      <w:r w:rsidR="00544B7D" w:rsidRPr="00EA59C0">
        <w:t>regions</w:t>
      </w:r>
      <w:r w:rsidR="00C026A6" w:rsidRPr="00EA59C0">
        <w:t xml:space="preserve"> </w:t>
      </w:r>
      <w:r w:rsidR="00544B7D" w:rsidRPr="00EA59C0">
        <w:t>where</w:t>
      </w:r>
      <w:r w:rsidR="00C026A6" w:rsidRPr="00EA59C0">
        <w:t xml:space="preserve"> </w:t>
      </w:r>
      <w:r w:rsidR="00544B7D" w:rsidRPr="00EA59C0">
        <w:t>member</w:t>
      </w:r>
      <w:r w:rsidR="00C026A6" w:rsidRPr="00EA59C0">
        <w:t xml:space="preserve"> </w:t>
      </w:r>
      <w:r w:rsidR="00544B7D" w:rsidRPr="00EA59C0">
        <w:t>businesses</w:t>
      </w:r>
      <w:r w:rsidR="00C026A6" w:rsidRPr="00EA59C0">
        <w:t xml:space="preserve"> </w:t>
      </w:r>
      <w:r w:rsidR="00544B7D" w:rsidRPr="00EA59C0">
        <w:t>are</w:t>
      </w:r>
      <w:r w:rsidR="00C026A6" w:rsidRPr="00EA59C0">
        <w:t xml:space="preserve"> </w:t>
      </w:r>
      <w:r w:rsidR="00544B7D" w:rsidRPr="00EA59C0">
        <w:t>looking</w:t>
      </w:r>
      <w:r w:rsidR="00C026A6" w:rsidRPr="00EA59C0">
        <w:t xml:space="preserve"> </w:t>
      </w:r>
      <w:r w:rsidR="00544B7D" w:rsidRPr="00EA59C0">
        <w:t>to</w:t>
      </w:r>
      <w:r w:rsidR="00C026A6" w:rsidRPr="00EA59C0">
        <w:t xml:space="preserve"> </w:t>
      </w:r>
      <w:r w:rsidR="00544B7D" w:rsidRPr="00EA59C0">
        <w:t>hire</w:t>
      </w:r>
      <w:r w:rsidR="00D310C3" w:rsidRPr="00EA59C0">
        <w:t>.</w:t>
      </w:r>
      <w:r w:rsidR="00C026A6" w:rsidRPr="00EA59C0">
        <w:t xml:space="preserve"> </w:t>
      </w:r>
      <w:r w:rsidR="008F0D61" w:rsidRPr="00EA59C0">
        <w:t>In</w:t>
      </w:r>
      <w:r w:rsidR="00C026A6" w:rsidRPr="00EA59C0">
        <w:t xml:space="preserve"> </w:t>
      </w:r>
      <w:r w:rsidR="008F0D61" w:rsidRPr="00EA59C0">
        <w:t>other</w:t>
      </w:r>
      <w:r w:rsidR="00C026A6" w:rsidRPr="00EA59C0">
        <w:t xml:space="preserve"> </w:t>
      </w:r>
      <w:r w:rsidR="008F0D61" w:rsidRPr="00EA59C0">
        <w:t>cases,</w:t>
      </w:r>
      <w:r w:rsidR="00C026A6" w:rsidRPr="00EA59C0">
        <w:t xml:space="preserve"> </w:t>
      </w:r>
      <w:r w:rsidR="008F0D61" w:rsidRPr="00EA59C0">
        <w:t>particularly</w:t>
      </w:r>
      <w:r w:rsidR="00C026A6" w:rsidRPr="00EA59C0">
        <w:t xml:space="preserve"> </w:t>
      </w:r>
      <w:r w:rsidR="008F0D61" w:rsidRPr="00EA59C0">
        <w:t>where</w:t>
      </w:r>
      <w:r w:rsidR="00C026A6" w:rsidRPr="00EA59C0">
        <w:t xml:space="preserve"> </w:t>
      </w:r>
      <w:r w:rsidR="008F0D61" w:rsidRPr="00EA59C0">
        <w:t>industry</w:t>
      </w:r>
      <w:r w:rsidR="00C026A6" w:rsidRPr="00EA59C0">
        <w:t xml:space="preserve"> </w:t>
      </w:r>
      <w:r w:rsidR="008F0D61" w:rsidRPr="00EA59C0">
        <w:t>associations</w:t>
      </w:r>
      <w:r w:rsidR="00C026A6" w:rsidRPr="00EA59C0">
        <w:t xml:space="preserve"> </w:t>
      </w:r>
      <w:r w:rsidR="008F0D61" w:rsidRPr="00EA59C0">
        <w:t>have</w:t>
      </w:r>
      <w:r w:rsidR="00C026A6" w:rsidRPr="00EA59C0">
        <w:t xml:space="preserve"> </w:t>
      </w:r>
      <w:r w:rsidR="008F0D61" w:rsidRPr="00EA59C0">
        <w:t>been</w:t>
      </w:r>
      <w:r w:rsidR="00C026A6" w:rsidRPr="00EA59C0">
        <w:t xml:space="preserve"> </w:t>
      </w:r>
      <w:r w:rsidR="008F0D61" w:rsidRPr="00EA59C0">
        <w:t>less</w:t>
      </w:r>
      <w:r w:rsidR="00C026A6" w:rsidRPr="00EA59C0">
        <w:t xml:space="preserve"> </w:t>
      </w:r>
      <w:r w:rsidR="008F0D61" w:rsidRPr="00EA59C0">
        <w:t>active</w:t>
      </w:r>
      <w:r w:rsidR="00C026A6" w:rsidRPr="00EA59C0">
        <w:t xml:space="preserve"> </w:t>
      </w:r>
      <w:r w:rsidR="008F0D61" w:rsidRPr="00EA59C0">
        <w:t>or</w:t>
      </w:r>
      <w:r w:rsidR="00C026A6" w:rsidRPr="00EA59C0">
        <w:t xml:space="preserve"> </w:t>
      </w:r>
      <w:r w:rsidR="008F0D61" w:rsidRPr="00EA59C0">
        <w:t>have</w:t>
      </w:r>
      <w:r w:rsidR="00C026A6" w:rsidRPr="00EA59C0">
        <w:t xml:space="preserve"> </w:t>
      </w:r>
      <w:r w:rsidR="008F0D61" w:rsidRPr="00EA59C0">
        <w:t>less</w:t>
      </w:r>
      <w:r w:rsidR="00C026A6" w:rsidRPr="00EA59C0">
        <w:t xml:space="preserve"> </w:t>
      </w:r>
      <w:r w:rsidR="008F0D61" w:rsidRPr="00EA59C0">
        <w:t>capacity,</w:t>
      </w:r>
      <w:r w:rsidR="00C026A6" w:rsidRPr="00EA59C0">
        <w:t xml:space="preserve"> </w:t>
      </w:r>
      <w:r w:rsidR="008F0D61" w:rsidRPr="00EA59C0">
        <w:t>these</w:t>
      </w:r>
      <w:r w:rsidR="00C026A6" w:rsidRPr="00EA59C0">
        <w:t xml:space="preserve"> </w:t>
      </w:r>
      <w:r w:rsidR="00C17B1E" w:rsidRPr="00EA59C0">
        <w:t>partners</w:t>
      </w:r>
      <w:r w:rsidR="00C026A6" w:rsidRPr="00EA59C0">
        <w:t xml:space="preserve"> </w:t>
      </w:r>
      <w:r w:rsidR="008F0D61" w:rsidRPr="00EA59C0">
        <w:t>could</w:t>
      </w:r>
      <w:r w:rsidR="00C026A6" w:rsidRPr="00EA59C0">
        <w:t xml:space="preserve"> </w:t>
      </w:r>
      <w:r w:rsidR="008F0D61" w:rsidRPr="00EA59C0">
        <w:t>be</w:t>
      </w:r>
      <w:r w:rsidR="00C026A6" w:rsidRPr="00EA59C0">
        <w:t xml:space="preserve"> </w:t>
      </w:r>
      <w:r w:rsidR="008F0D61" w:rsidRPr="00EA59C0">
        <w:t>employer</w:t>
      </w:r>
      <w:r w:rsidR="00C026A6" w:rsidRPr="00EA59C0">
        <w:t xml:space="preserve"> </w:t>
      </w:r>
      <w:r w:rsidR="008F0D61" w:rsidRPr="00EA59C0">
        <w:t>consortia</w:t>
      </w:r>
      <w:r w:rsidR="00C026A6" w:rsidRPr="00EA59C0">
        <w:t xml:space="preserve"> </w:t>
      </w:r>
      <w:r w:rsidR="008F0D61" w:rsidRPr="00EA59C0">
        <w:t>(other</w:t>
      </w:r>
      <w:r w:rsidR="00C026A6" w:rsidRPr="00EA59C0">
        <w:t xml:space="preserve"> </w:t>
      </w:r>
      <w:r w:rsidR="008F0D61" w:rsidRPr="00EA59C0">
        <w:t>than</w:t>
      </w:r>
      <w:r w:rsidR="00C026A6" w:rsidRPr="00EA59C0">
        <w:t xml:space="preserve"> </w:t>
      </w:r>
      <w:r w:rsidR="008F0D61" w:rsidRPr="00EA59C0">
        <w:t>associations),</w:t>
      </w:r>
      <w:r w:rsidR="00C026A6" w:rsidRPr="00EA59C0">
        <w:t xml:space="preserve"> </w:t>
      </w:r>
      <w:r w:rsidR="008F0D61" w:rsidRPr="00EA59C0">
        <w:t>so</w:t>
      </w:r>
      <w:r w:rsidR="00C026A6" w:rsidRPr="00EA59C0">
        <w:t xml:space="preserve"> </w:t>
      </w:r>
      <w:r w:rsidR="008F0D61" w:rsidRPr="00EA59C0">
        <w:t>long</w:t>
      </w:r>
      <w:r w:rsidR="00C026A6" w:rsidRPr="00EA59C0">
        <w:t xml:space="preserve"> </w:t>
      </w:r>
      <w:r w:rsidR="008F0D61" w:rsidRPr="00EA59C0">
        <w:t>as</w:t>
      </w:r>
      <w:r w:rsidR="00C026A6" w:rsidRPr="00EA59C0">
        <w:t xml:space="preserve"> </w:t>
      </w:r>
      <w:r w:rsidR="008F0D61" w:rsidRPr="00EA59C0">
        <w:t>the</w:t>
      </w:r>
      <w:r w:rsidR="00C026A6" w:rsidRPr="00EA59C0">
        <w:t xml:space="preserve"> </w:t>
      </w:r>
      <w:r w:rsidR="008F0D61" w:rsidRPr="00EA59C0">
        <w:t>competencies</w:t>
      </w:r>
      <w:r w:rsidR="00C026A6" w:rsidRPr="00EA59C0">
        <w:t xml:space="preserve"> </w:t>
      </w:r>
      <w:r w:rsidR="008F0D61" w:rsidRPr="00EA59C0">
        <w:t>and</w:t>
      </w:r>
      <w:r w:rsidR="00C026A6" w:rsidRPr="00EA59C0">
        <w:t xml:space="preserve"> </w:t>
      </w:r>
      <w:r w:rsidR="008F0D61" w:rsidRPr="00EA59C0">
        <w:t>credentials</w:t>
      </w:r>
      <w:r w:rsidR="00C026A6" w:rsidRPr="00EA59C0">
        <w:t xml:space="preserve"> </w:t>
      </w:r>
      <w:r w:rsidR="008F0D61" w:rsidRPr="00EA59C0">
        <w:t>are</w:t>
      </w:r>
      <w:r w:rsidR="00C026A6" w:rsidRPr="00EA59C0">
        <w:t xml:space="preserve"> </w:t>
      </w:r>
      <w:r w:rsidR="008F0D61" w:rsidRPr="00EA59C0">
        <w:t>built</w:t>
      </w:r>
      <w:r w:rsidR="00C026A6" w:rsidRPr="00EA59C0">
        <w:t xml:space="preserve"> </w:t>
      </w:r>
      <w:r w:rsidR="008F0D61" w:rsidRPr="00EA59C0">
        <w:t>to</w:t>
      </w:r>
      <w:r w:rsidR="00C026A6" w:rsidRPr="00EA59C0">
        <w:t xml:space="preserve"> </w:t>
      </w:r>
      <w:r w:rsidR="008F0D61" w:rsidRPr="00EA59C0">
        <w:t>be</w:t>
      </w:r>
      <w:r w:rsidR="00C026A6" w:rsidRPr="00EA59C0">
        <w:t xml:space="preserve"> </w:t>
      </w:r>
      <w:r w:rsidR="008F0D61" w:rsidRPr="00EA59C0">
        <w:t>common</w:t>
      </w:r>
      <w:r w:rsidR="00C026A6" w:rsidRPr="00EA59C0">
        <w:t xml:space="preserve"> </w:t>
      </w:r>
      <w:r w:rsidR="008F0D61" w:rsidRPr="00EA59C0">
        <w:t>across</w:t>
      </w:r>
      <w:r w:rsidR="00C026A6" w:rsidRPr="00EA59C0">
        <w:t xml:space="preserve"> </w:t>
      </w:r>
      <w:r w:rsidR="008F0D61" w:rsidRPr="00EA59C0">
        <w:t>employers.</w:t>
      </w:r>
      <w:r w:rsidR="00C026A6" w:rsidRPr="00EA59C0">
        <w:t xml:space="preserve">  </w:t>
      </w:r>
      <w:r w:rsidR="00C17B1E" w:rsidRPr="00EA59C0">
        <w:t>T</w:t>
      </w:r>
      <w:r w:rsidR="00D310C3" w:rsidRPr="00EA59C0">
        <w:t>hese</w:t>
      </w:r>
      <w:r w:rsidR="00C026A6" w:rsidRPr="00EA59C0">
        <w:t xml:space="preserve"> </w:t>
      </w:r>
      <w:r w:rsidR="00D310C3" w:rsidRPr="00EA59C0">
        <w:t>partners</w:t>
      </w:r>
      <w:r w:rsidR="00C026A6" w:rsidRPr="00EA59C0">
        <w:t xml:space="preserve"> </w:t>
      </w:r>
      <w:r w:rsidR="00D310C3" w:rsidRPr="00EA59C0">
        <w:t>could</w:t>
      </w:r>
      <w:r w:rsidR="00C026A6" w:rsidRPr="00EA59C0">
        <w:t xml:space="preserve"> </w:t>
      </w:r>
      <w:r w:rsidR="00C17B1E" w:rsidRPr="00EA59C0">
        <w:t>also</w:t>
      </w:r>
      <w:r w:rsidR="00C026A6" w:rsidRPr="00EA59C0">
        <w:t xml:space="preserve"> </w:t>
      </w:r>
      <w:r w:rsidR="00D310C3" w:rsidRPr="00EA59C0">
        <w:t>be</w:t>
      </w:r>
      <w:r w:rsidR="00C026A6" w:rsidRPr="00EA59C0">
        <w:t xml:space="preserve"> </w:t>
      </w:r>
      <w:r w:rsidR="00D310C3" w:rsidRPr="00EA59C0">
        <w:t>philanthropic</w:t>
      </w:r>
      <w:r w:rsidR="00C026A6" w:rsidRPr="00EA59C0">
        <w:t xml:space="preserve"> </w:t>
      </w:r>
      <w:r w:rsidR="00D310C3" w:rsidRPr="00EA59C0">
        <w:t>organizations</w:t>
      </w:r>
      <w:r w:rsidR="00C026A6" w:rsidRPr="00EA59C0">
        <w:t xml:space="preserve"> </w:t>
      </w:r>
      <w:r w:rsidR="00D310C3" w:rsidRPr="00EA59C0">
        <w:t>or</w:t>
      </w:r>
      <w:r w:rsidR="00C026A6" w:rsidRPr="00EA59C0">
        <w:t xml:space="preserve"> </w:t>
      </w:r>
      <w:r w:rsidR="00D310C3" w:rsidRPr="00EA59C0">
        <w:t>other</w:t>
      </w:r>
      <w:r w:rsidR="00C026A6" w:rsidRPr="00EA59C0">
        <w:t xml:space="preserve"> </w:t>
      </w:r>
      <w:r w:rsidR="00D310C3" w:rsidRPr="00EA59C0">
        <w:t>non-profit</w:t>
      </w:r>
      <w:r w:rsidR="00C026A6" w:rsidRPr="00EA59C0">
        <w:t xml:space="preserve"> </w:t>
      </w:r>
      <w:r w:rsidR="00C17B1E" w:rsidRPr="00EA59C0">
        <w:t>organizations</w:t>
      </w:r>
      <w:r w:rsidR="00C026A6" w:rsidRPr="00EA59C0">
        <w:t xml:space="preserve"> </w:t>
      </w:r>
      <w:r w:rsidR="00544B7D" w:rsidRPr="00EA59C0">
        <w:t>with</w:t>
      </w:r>
      <w:r w:rsidR="00C026A6" w:rsidRPr="00EA59C0">
        <w:t xml:space="preserve"> </w:t>
      </w:r>
      <w:r w:rsidR="00544B7D" w:rsidRPr="00EA59C0">
        <w:t>strong</w:t>
      </w:r>
      <w:r w:rsidR="00C026A6" w:rsidRPr="00EA59C0">
        <w:t xml:space="preserve"> </w:t>
      </w:r>
      <w:r w:rsidR="00544B7D" w:rsidRPr="00EA59C0">
        <w:t>relationships</w:t>
      </w:r>
      <w:r w:rsidR="00C026A6" w:rsidRPr="00EA59C0">
        <w:t xml:space="preserve"> </w:t>
      </w:r>
      <w:r w:rsidR="00544B7D" w:rsidRPr="00EA59C0">
        <w:t>to</w:t>
      </w:r>
      <w:r w:rsidR="00C026A6" w:rsidRPr="00EA59C0">
        <w:t xml:space="preserve"> </w:t>
      </w:r>
      <w:r w:rsidR="00544B7D" w:rsidRPr="00EA59C0">
        <w:t>businesses</w:t>
      </w:r>
      <w:r w:rsidR="00C026A6" w:rsidRPr="00EA59C0">
        <w:t xml:space="preserve"> </w:t>
      </w:r>
      <w:r w:rsidR="00544B7D" w:rsidRPr="00EA59C0">
        <w:t>in</w:t>
      </w:r>
      <w:r w:rsidR="00C026A6" w:rsidRPr="00EA59C0">
        <w:t xml:space="preserve"> </w:t>
      </w:r>
      <w:r w:rsidR="00544B7D" w:rsidRPr="00EA59C0">
        <w:t>the</w:t>
      </w:r>
      <w:r w:rsidR="00C026A6" w:rsidRPr="00EA59C0">
        <w:t xml:space="preserve"> </w:t>
      </w:r>
      <w:r w:rsidR="00544B7D" w:rsidRPr="00EA59C0">
        <w:t>chosen</w:t>
      </w:r>
      <w:r w:rsidR="00C026A6" w:rsidRPr="00EA59C0">
        <w:t xml:space="preserve"> </w:t>
      </w:r>
      <w:r w:rsidR="00544B7D" w:rsidRPr="00EA59C0">
        <w:t>sector</w:t>
      </w:r>
      <w:r w:rsidR="00C17B1E" w:rsidRPr="00EA59C0">
        <w:t>.</w:t>
      </w:r>
      <w:r w:rsidR="00C026A6" w:rsidRPr="00EA59C0">
        <w:t xml:space="preserve">   </w:t>
      </w:r>
    </w:p>
    <w:p w:rsidR="00C17B1E" w:rsidRPr="00EA59C0" w:rsidRDefault="00C17B1E" w:rsidP="00D03948">
      <w:pPr>
        <w:ind w:left="1080"/>
        <w:contextualSpacing/>
      </w:pPr>
    </w:p>
    <w:p w:rsidR="00C17B1E" w:rsidRPr="00EA59C0" w:rsidRDefault="00544B7D" w:rsidP="00D03948">
      <w:pPr>
        <w:ind w:left="1080"/>
        <w:contextualSpacing/>
      </w:pPr>
      <w:r w:rsidRPr="00EA59C0">
        <w:t>These</w:t>
      </w:r>
      <w:r w:rsidR="00C026A6" w:rsidRPr="00EA59C0">
        <w:t xml:space="preserve"> </w:t>
      </w:r>
      <w:r w:rsidRPr="00EA59C0">
        <w:t>n</w:t>
      </w:r>
      <w:r w:rsidR="008B73E8" w:rsidRPr="00EA59C0">
        <w:t>ational</w:t>
      </w:r>
      <w:r w:rsidR="00C026A6" w:rsidRPr="00EA59C0">
        <w:t xml:space="preserve"> </w:t>
      </w:r>
      <w:r w:rsidR="008B73E8" w:rsidRPr="00EA59C0">
        <w:t>industry</w:t>
      </w:r>
      <w:r w:rsidR="00C026A6" w:rsidRPr="00EA59C0">
        <w:t xml:space="preserve"> </w:t>
      </w:r>
      <w:r w:rsidR="00C17B1E" w:rsidRPr="00EA59C0">
        <w:t>partners</w:t>
      </w:r>
      <w:r w:rsidR="00C026A6" w:rsidRPr="00EA59C0">
        <w:t xml:space="preserve"> </w:t>
      </w:r>
      <w:r w:rsidR="00447CDD" w:rsidRPr="00EA59C0">
        <w:t>or</w:t>
      </w:r>
      <w:r w:rsidR="00C026A6" w:rsidRPr="00EA59C0">
        <w:t xml:space="preserve"> </w:t>
      </w:r>
      <w:r w:rsidR="00447CDD" w:rsidRPr="00EA59C0">
        <w:t>other</w:t>
      </w:r>
      <w:r w:rsidR="00C026A6" w:rsidRPr="00EA59C0">
        <w:t xml:space="preserve"> </w:t>
      </w:r>
      <w:r w:rsidR="00447CDD" w:rsidRPr="00EA59C0">
        <w:t>organizations</w:t>
      </w:r>
      <w:r w:rsidR="00C026A6" w:rsidRPr="00EA59C0">
        <w:t xml:space="preserve"> </w:t>
      </w:r>
      <w:r w:rsidR="00447CDD" w:rsidRPr="00EA59C0">
        <w:t>that</w:t>
      </w:r>
      <w:r w:rsidR="00C026A6" w:rsidRPr="00EA59C0">
        <w:t xml:space="preserve"> </w:t>
      </w:r>
      <w:r w:rsidR="00447CDD" w:rsidRPr="00EA59C0">
        <w:t>will</w:t>
      </w:r>
      <w:r w:rsidR="00C026A6" w:rsidRPr="00EA59C0">
        <w:t xml:space="preserve"> </w:t>
      </w:r>
      <w:r w:rsidR="00447CDD" w:rsidRPr="00EA59C0">
        <w:t>help</w:t>
      </w:r>
      <w:r w:rsidR="00C026A6" w:rsidRPr="00EA59C0">
        <w:t xml:space="preserve"> </w:t>
      </w:r>
      <w:r w:rsidR="00447CDD" w:rsidRPr="00EA59C0">
        <w:t>scale</w:t>
      </w:r>
      <w:r w:rsidR="00C026A6" w:rsidRPr="00EA59C0">
        <w:t xml:space="preserve"> </w:t>
      </w:r>
      <w:r w:rsidR="00447CDD" w:rsidRPr="00EA59C0">
        <w:t>the</w:t>
      </w:r>
      <w:r w:rsidR="00C026A6" w:rsidRPr="00EA59C0">
        <w:t xml:space="preserve"> </w:t>
      </w:r>
      <w:r w:rsidR="00447CDD" w:rsidRPr="00EA59C0">
        <w:t>strategy</w:t>
      </w:r>
      <w:r w:rsidR="00C026A6" w:rsidRPr="00EA59C0">
        <w:t xml:space="preserve"> </w:t>
      </w:r>
      <w:r w:rsidR="00C17B1E" w:rsidRPr="00EA59C0">
        <w:t>should</w:t>
      </w:r>
      <w:r w:rsidR="00C026A6" w:rsidRPr="00EA59C0">
        <w:t xml:space="preserve"> </w:t>
      </w:r>
      <w:r w:rsidR="00C17B1E" w:rsidRPr="00EA59C0">
        <w:t>play</w:t>
      </w:r>
      <w:r w:rsidR="00C026A6" w:rsidRPr="00EA59C0">
        <w:t xml:space="preserve"> </w:t>
      </w:r>
      <w:r w:rsidR="00C17B1E" w:rsidRPr="00EA59C0">
        <w:t>an</w:t>
      </w:r>
      <w:r w:rsidR="00C026A6" w:rsidRPr="00EA59C0">
        <w:t xml:space="preserve"> </w:t>
      </w:r>
      <w:r w:rsidR="00C17B1E" w:rsidRPr="00EA59C0">
        <w:t>integral</w:t>
      </w:r>
      <w:r w:rsidR="00C026A6" w:rsidRPr="00EA59C0">
        <w:t xml:space="preserve"> </w:t>
      </w:r>
      <w:r w:rsidR="00C17B1E" w:rsidRPr="00EA59C0">
        <w:t>part</w:t>
      </w:r>
      <w:r w:rsidR="00C026A6" w:rsidRPr="00EA59C0">
        <w:t xml:space="preserve"> </w:t>
      </w:r>
      <w:r w:rsidR="00C17B1E" w:rsidRPr="00EA59C0">
        <w:t>in</w:t>
      </w:r>
      <w:r w:rsidR="00C026A6" w:rsidRPr="00EA59C0">
        <w:t xml:space="preserve"> </w:t>
      </w:r>
      <w:r w:rsidR="008B73E8" w:rsidRPr="00EA59C0">
        <w:t>proposals</w:t>
      </w:r>
      <w:r w:rsidR="00C026A6" w:rsidRPr="00EA59C0">
        <w:t xml:space="preserve"> </w:t>
      </w:r>
      <w:r w:rsidR="008B73E8" w:rsidRPr="00EA59C0">
        <w:t>submitted</w:t>
      </w:r>
      <w:r w:rsidR="00C026A6" w:rsidRPr="00EA59C0">
        <w:t xml:space="preserve"> </w:t>
      </w:r>
      <w:r w:rsidR="008B73E8" w:rsidRPr="00EA59C0">
        <w:t>for</w:t>
      </w:r>
      <w:r w:rsidR="00C026A6" w:rsidRPr="00EA59C0">
        <w:t xml:space="preserve"> </w:t>
      </w:r>
      <w:r w:rsidR="008B73E8" w:rsidRPr="00EA59C0">
        <w:t>this</w:t>
      </w:r>
      <w:r w:rsidR="00C026A6" w:rsidRPr="00EA59C0">
        <w:t xml:space="preserve"> </w:t>
      </w:r>
      <w:r w:rsidR="008B73E8" w:rsidRPr="00EA59C0">
        <w:t>option.</w:t>
      </w:r>
      <w:r w:rsidR="00C026A6" w:rsidRPr="00EA59C0">
        <w:t xml:space="preserve">  </w:t>
      </w:r>
      <w:r w:rsidR="00C17B1E" w:rsidRPr="00EA59C0">
        <w:t>Applicants</w:t>
      </w:r>
      <w:r w:rsidR="00C026A6" w:rsidRPr="00EA59C0">
        <w:t xml:space="preserve"> </w:t>
      </w:r>
      <w:r w:rsidR="003C1FB3" w:rsidRPr="00EA59C0">
        <w:t>will</w:t>
      </w:r>
      <w:r w:rsidR="00F24B16" w:rsidRPr="00EA59C0">
        <w:t>:</w:t>
      </w:r>
      <w:r w:rsidR="00C026A6" w:rsidRPr="00EA59C0">
        <w:t xml:space="preserve">  </w:t>
      </w:r>
    </w:p>
    <w:p w:rsidR="00C17B1E" w:rsidRPr="00EA59C0" w:rsidRDefault="003C1FB3" w:rsidP="00D03948">
      <w:pPr>
        <w:ind w:left="1080"/>
        <w:contextualSpacing/>
      </w:pPr>
      <w:r w:rsidRPr="00EA59C0">
        <w:t>(1)</w:t>
      </w:r>
      <w:r w:rsidR="00C026A6" w:rsidRPr="00EA59C0">
        <w:t xml:space="preserve"> </w:t>
      </w:r>
      <w:r w:rsidR="006470D0" w:rsidRPr="00EA59C0">
        <w:t>Develop</w:t>
      </w:r>
      <w:r w:rsidR="00C026A6" w:rsidRPr="00EA59C0">
        <w:t xml:space="preserve"> </w:t>
      </w:r>
      <w:r w:rsidR="008F0D61" w:rsidRPr="00EA59C0">
        <w:t>or</w:t>
      </w:r>
      <w:r w:rsidR="00C026A6" w:rsidRPr="00EA59C0">
        <w:t xml:space="preserve"> </w:t>
      </w:r>
      <w:r w:rsidR="008F0D61" w:rsidRPr="00EA59C0">
        <w:t>adapt</w:t>
      </w:r>
      <w:r w:rsidR="00C026A6" w:rsidRPr="00EA59C0">
        <w:t xml:space="preserve"> </w:t>
      </w:r>
      <w:r w:rsidRPr="00EA59C0">
        <w:t>and</w:t>
      </w:r>
      <w:r w:rsidR="00C026A6" w:rsidRPr="00EA59C0">
        <w:t xml:space="preserve"> </w:t>
      </w:r>
      <w:r w:rsidRPr="00EA59C0">
        <w:t>map</w:t>
      </w:r>
      <w:r w:rsidR="00C026A6" w:rsidRPr="00EA59C0">
        <w:t xml:space="preserve"> </w:t>
      </w:r>
      <w:r w:rsidRPr="00EA59C0">
        <w:t>industry</w:t>
      </w:r>
      <w:r w:rsidR="00C026A6" w:rsidRPr="00EA59C0">
        <w:t xml:space="preserve"> </w:t>
      </w:r>
      <w:r w:rsidRPr="00EA59C0">
        <w:t>competency</w:t>
      </w:r>
      <w:r w:rsidR="00C026A6" w:rsidRPr="00EA59C0">
        <w:t xml:space="preserve"> </w:t>
      </w:r>
      <w:r w:rsidRPr="00EA59C0">
        <w:t>frameworks</w:t>
      </w:r>
      <w:r w:rsidR="00C026A6" w:rsidRPr="00EA59C0">
        <w:t xml:space="preserve"> </w:t>
      </w:r>
      <w:r w:rsidRPr="00EA59C0">
        <w:t>for</w:t>
      </w:r>
      <w:r w:rsidR="00C026A6" w:rsidRPr="00EA59C0">
        <w:t xml:space="preserve"> </w:t>
      </w:r>
      <w:r w:rsidRPr="00EA59C0">
        <w:t>career</w:t>
      </w:r>
      <w:r w:rsidR="00C026A6" w:rsidRPr="00EA59C0">
        <w:t xml:space="preserve"> </w:t>
      </w:r>
      <w:r w:rsidRPr="00EA59C0">
        <w:t>pathways</w:t>
      </w:r>
      <w:r w:rsidR="00C026A6" w:rsidRPr="00EA59C0">
        <w:t xml:space="preserve"> </w:t>
      </w:r>
      <w:r w:rsidRPr="00EA59C0">
        <w:t>in</w:t>
      </w:r>
      <w:r w:rsidR="00C026A6" w:rsidRPr="00EA59C0">
        <w:t xml:space="preserve"> </w:t>
      </w:r>
      <w:r w:rsidRPr="00EA59C0">
        <w:t>high</w:t>
      </w:r>
      <w:r w:rsidR="00C026A6" w:rsidRPr="00EA59C0">
        <w:t xml:space="preserve"> </w:t>
      </w:r>
      <w:r w:rsidRPr="00EA59C0">
        <w:t>demand</w:t>
      </w:r>
      <w:r w:rsidR="00C026A6" w:rsidRPr="00EA59C0">
        <w:t xml:space="preserve"> </w:t>
      </w:r>
      <w:r w:rsidR="006D5B11" w:rsidRPr="00EA59C0">
        <w:t xml:space="preserve">industries </w:t>
      </w:r>
      <w:r w:rsidR="00EE5872" w:rsidRPr="00EA59C0">
        <w:t>that are suited</w:t>
      </w:r>
      <w:r w:rsidR="00497753" w:rsidRPr="00EA59C0">
        <w:t xml:space="preserve"> for TAA-eligible </w:t>
      </w:r>
      <w:r w:rsidR="003E2C20" w:rsidRPr="00EA59C0">
        <w:t xml:space="preserve">workers and other adults and </w:t>
      </w:r>
      <w:r w:rsidRPr="00EA59C0">
        <w:t>that</w:t>
      </w:r>
      <w:r w:rsidR="00C026A6" w:rsidRPr="00EA59C0">
        <w:t xml:space="preserve"> </w:t>
      </w:r>
      <w:r w:rsidRPr="00EA59C0">
        <w:t>can</w:t>
      </w:r>
      <w:r w:rsidR="00C026A6" w:rsidRPr="00EA59C0">
        <w:t xml:space="preserve"> </w:t>
      </w:r>
      <w:r w:rsidRPr="00EA59C0">
        <w:t>be</w:t>
      </w:r>
      <w:r w:rsidR="00C026A6" w:rsidRPr="00EA59C0">
        <w:t xml:space="preserve"> </w:t>
      </w:r>
      <w:r w:rsidRPr="00EA59C0">
        <w:t>used</w:t>
      </w:r>
      <w:r w:rsidR="00C026A6" w:rsidRPr="00EA59C0">
        <w:t xml:space="preserve"> </w:t>
      </w:r>
      <w:r w:rsidRPr="00EA59C0">
        <w:t>to</w:t>
      </w:r>
      <w:r w:rsidR="00C026A6" w:rsidRPr="00EA59C0">
        <w:t xml:space="preserve"> </w:t>
      </w:r>
      <w:r w:rsidRPr="00EA59C0">
        <w:t>develop</w:t>
      </w:r>
      <w:r w:rsidR="00C026A6" w:rsidRPr="00EA59C0">
        <w:t xml:space="preserve"> </w:t>
      </w:r>
      <w:r w:rsidRPr="00EA59C0">
        <w:t>competency-based</w:t>
      </w:r>
      <w:r w:rsidR="00C026A6" w:rsidRPr="00EA59C0">
        <w:t xml:space="preserve"> </w:t>
      </w:r>
      <w:r w:rsidRPr="00EA59C0">
        <w:t>education</w:t>
      </w:r>
      <w:r w:rsidR="00C026A6" w:rsidRPr="00EA59C0">
        <w:t xml:space="preserve"> </w:t>
      </w:r>
      <w:r w:rsidRPr="00EA59C0">
        <w:t>programs</w:t>
      </w:r>
      <w:r w:rsidR="00C026A6" w:rsidRPr="00EA59C0">
        <w:t xml:space="preserve"> </w:t>
      </w:r>
      <w:r w:rsidRPr="00EA59C0">
        <w:t>within</w:t>
      </w:r>
      <w:r w:rsidR="00C026A6" w:rsidRPr="00EA59C0">
        <w:t xml:space="preserve"> </w:t>
      </w:r>
      <w:r w:rsidRPr="00EA59C0">
        <w:t>state</w:t>
      </w:r>
      <w:r w:rsidR="00C026A6" w:rsidRPr="00EA59C0">
        <w:t xml:space="preserve"> </w:t>
      </w:r>
      <w:r w:rsidRPr="00EA59C0">
        <w:t>and</w:t>
      </w:r>
      <w:r w:rsidR="00C026A6" w:rsidRPr="00EA59C0">
        <w:t xml:space="preserve"> </w:t>
      </w:r>
      <w:r w:rsidRPr="00EA59C0">
        <w:t>regional</w:t>
      </w:r>
      <w:r w:rsidR="00C026A6" w:rsidRPr="00EA59C0">
        <w:t xml:space="preserve"> </w:t>
      </w:r>
      <w:r w:rsidRPr="00EA59C0">
        <w:t>economies</w:t>
      </w:r>
      <w:r w:rsidR="00C026A6" w:rsidRPr="00EA59C0">
        <w:t xml:space="preserve"> </w:t>
      </w:r>
      <w:r w:rsidR="00771925" w:rsidRPr="00EA59C0">
        <w:t>leading</w:t>
      </w:r>
      <w:r w:rsidR="00C026A6" w:rsidRPr="00EA59C0">
        <w:t xml:space="preserve"> </w:t>
      </w:r>
      <w:r w:rsidR="00771925" w:rsidRPr="00EA59C0">
        <w:t>to</w:t>
      </w:r>
      <w:r w:rsidR="00C026A6" w:rsidRPr="00EA59C0">
        <w:t xml:space="preserve"> </w:t>
      </w:r>
      <w:r w:rsidR="00771925" w:rsidRPr="00EA59C0">
        <w:t>an</w:t>
      </w:r>
      <w:r w:rsidR="00C026A6" w:rsidRPr="00EA59C0">
        <w:t xml:space="preserve"> </w:t>
      </w:r>
      <w:r w:rsidR="00771925" w:rsidRPr="00EA59C0">
        <w:t>industry-recognized</w:t>
      </w:r>
      <w:r w:rsidR="00C026A6" w:rsidRPr="00EA59C0">
        <w:t xml:space="preserve"> </w:t>
      </w:r>
      <w:r w:rsidR="00771925" w:rsidRPr="00EA59C0">
        <w:t>credential</w:t>
      </w:r>
      <w:r w:rsidRPr="00EA59C0">
        <w:t>;</w:t>
      </w:r>
      <w:r w:rsidR="00C026A6" w:rsidRPr="00EA59C0">
        <w:t xml:space="preserve"> </w:t>
      </w:r>
    </w:p>
    <w:p w:rsidR="00C17B1E" w:rsidRPr="00EA59C0" w:rsidRDefault="003C1FB3" w:rsidP="00D03948">
      <w:pPr>
        <w:ind w:left="1080"/>
        <w:contextualSpacing/>
      </w:pPr>
      <w:r w:rsidRPr="00EA59C0">
        <w:t>(2)</w:t>
      </w:r>
      <w:r w:rsidR="00C026A6" w:rsidRPr="00EA59C0">
        <w:t xml:space="preserve"> </w:t>
      </w:r>
      <w:r w:rsidR="006470D0" w:rsidRPr="00EA59C0">
        <w:t>Develop</w:t>
      </w:r>
      <w:r w:rsidR="00C026A6" w:rsidRPr="00EA59C0">
        <w:t xml:space="preserve"> </w:t>
      </w:r>
      <w:r w:rsidRPr="00EA59C0">
        <w:t>and</w:t>
      </w:r>
      <w:r w:rsidR="00C026A6" w:rsidRPr="00EA59C0">
        <w:t xml:space="preserve"> </w:t>
      </w:r>
      <w:r w:rsidRPr="00EA59C0">
        <w:t>coordinate</w:t>
      </w:r>
      <w:r w:rsidR="00C026A6" w:rsidRPr="00EA59C0">
        <w:t xml:space="preserve"> </w:t>
      </w:r>
      <w:r w:rsidRPr="00EA59C0">
        <w:t>outreach</w:t>
      </w:r>
      <w:r w:rsidR="00C026A6" w:rsidRPr="00EA59C0">
        <w:t xml:space="preserve"> </w:t>
      </w:r>
      <w:r w:rsidRPr="00EA59C0">
        <w:t>and</w:t>
      </w:r>
      <w:r w:rsidR="00C026A6" w:rsidRPr="00EA59C0">
        <w:t xml:space="preserve"> </w:t>
      </w:r>
      <w:r w:rsidRPr="00EA59C0">
        <w:t>educational</w:t>
      </w:r>
      <w:r w:rsidR="00C026A6" w:rsidRPr="00EA59C0">
        <w:t xml:space="preserve"> </w:t>
      </w:r>
      <w:r w:rsidRPr="00EA59C0">
        <w:t>materials</w:t>
      </w:r>
      <w:r w:rsidR="00C026A6" w:rsidRPr="00EA59C0">
        <w:t xml:space="preserve"> </w:t>
      </w:r>
      <w:r w:rsidRPr="00EA59C0">
        <w:t>for</w:t>
      </w:r>
      <w:r w:rsidR="00C026A6" w:rsidRPr="00EA59C0">
        <w:t xml:space="preserve"> </w:t>
      </w:r>
      <w:r w:rsidRPr="00EA59C0">
        <w:t>industry</w:t>
      </w:r>
      <w:r w:rsidR="0061140A" w:rsidRPr="00EA59C0">
        <w:t>,</w:t>
      </w:r>
      <w:r w:rsidR="00C026A6" w:rsidRPr="00EA59C0">
        <w:t xml:space="preserve"> </w:t>
      </w:r>
      <w:r w:rsidRPr="00EA59C0">
        <w:t>labor</w:t>
      </w:r>
      <w:r w:rsidR="00C026A6" w:rsidRPr="00EA59C0">
        <w:t xml:space="preserve"> </w:t>
      </w:r>
      <w:r w:rsidR="0061140A" w:rsidRPr="00EA59C0">
        <w:t>organizations,</w:t>
      </w:r>
      <w:r w:rsidR="00C026A6" w:rsidRPr="00EA59C0">
        <w:t xml:space="preserve"> </w:t>
      </w:r>
      <w:r w:rsidRPr="00EA59C0">
        <w:t>and</w:t>
      </w:r>
      <w:r w:rsidR="00C026A6" w:rsidRPr="00EA59C0">
        <w:t xml:space="preserve"> </w:t>
      </w:r>
      <w:r w:rsidRPr="00EA59C0">
        <w:t>postsecondary</w:t>
      </w:r>
      <w:r w:rsidR="00C026A6" w:rsidRPr="00EA59C0">
        <w:t xml:space="preserve"> </w:t>
      </w:r>
      <w:r w:rsidRPr="00EA59C0">
        <w:t>education</w:t>
      </w:r>
      <w:r w:rsidR="00C026A6" w:rsidRPr="00EA59C0">
        <w:t xml:space="preserve"> </w:t>
      </w:r>
      <w:r w:rsidRPr="00EA59C0">
        <w:t>institutions</w:t>
      </w:r>
      <w:r w:rsidR="00C026A6" w:rsidRPr="00EA59C0">
        <w:t xml:space="preserve"> </w:t>
      </w:r>
      <w:r w:rsidRPr="00EA59C0">
        <w:t>about</w:t>
      </w:r>
      <w:r w:rsidR="00C026A6" w:rsidRPr="00EA59C0">
        <w:t xml:space="preserve"> </w:t>
      </w:r>
      <w:r w:rsidRPr="00EA59C0">
        <w:t>the</w:t>
      </w:r>
      <w:r w:rsidR="00C026A6" w:rsidRPr="00EA59C0">
        <w:t xml:space="preserve"> </w:t>
      </w:r>
      <w:r w:rsidRPr="00EA59C0">
        <w:t>value</w:t>
      </w:r>
      <w:r w:rsidR="00C026A6" w:rsidRPr="00EA59C0">
        <w:t xml:space="preserve"> </w:t>
      </w:r>
      <w:r w:rsidRPr="00EA59C0">
        <w:t>and</w:t>
      </w:r>
      <w:r w:rsidR="00C026A6" w:rsidRPr="00EA59C0">
        <w:t xml:space="preserve"> </w:t>
      </w:r>
      <w:r w:rsidRPr="00EA59C0">
        <w:t>benefits</w:t>
      </w:r>
      <w:r w:rsidR="00C026A6" w:rsidRPr="00EA59C0">
        <w:t xml:space="preserve"> </w:t>
      </w:r>
      <w:r w:rsidRPr="00EA59C0">
        <w:t>of</w:t>
      </w:r>
      <w:r w:rsidR="00C026A6" w:rsidRPr="00EA59C0">
        <w:t xml:space="preserve"> </w:t>
      </w:r>
      <w:r w:rsidR="00771925" w:rsidRPr="00EA59C0">
        <w:t>the</w:t>
      </w:r>
      <w:r w:rsidR="00C026A6" w:rsidRPr="00EA59C0">
        <w:t xml:space="preserve"> </w:t>
      </w:r>
      <w:r w:rsidR="00771925" w:rsidRPr="00EA59C0">
        <w:t>programs</w:t>
      </w:r>
      <w:r w:rsidR="00C026A6" w:rsidRPr="00EA59C0">
        <w:t xml:space="preserve"> </w:t>
      </w:r>
      <w:r w:rsidR="00771925" w:rsidRPr="00EA59C0">
        <w:t>developed</w:t>
      </w:r>
      <w:r w:rsidRPr="00EA59C0">
        <w:t>;</w:t>
      </w:r>
      <w:r w:rsidR="00C026A6" w:rsidRPr="00EA59C0">
        <w:t xml:space="preserve"> </w:t>
      </w:r>
      <w:r w:rsidRPr="00EA59C0">
        <w:t>and</w:t>
      </w:r>
      <w:r w:rsidR="00C026A6" w:rsidRPr="00EA59C0">
        <w:t xml:space="preserve"> </w:t>
      </w:r>
    </w:p>
    <w:p w:rsidR="003C1FB3" w:rsidRPr="00EA59C0" w:rsidRDefault="003C1FB3" w:rsidP="00D03948">
      <w:pPr>
        <w:ind w:left="1080"/>
        <w:contextualSpacing/>
      </w:pPr>
      <w:r w:rsidRPr="00EA59C0">
        <w:t>(3)</w:t>
      </w:r>
      <w:r w:rsidR="00C026A6" w:rsidRPr="00EA59C0">
        <w:t xml:space="preserve"> </w:t>
      </w:r>
      <w:r w:rsidR="006470D0" w:rsidRPr="00EA59C0">
        <w:t>Demonstrate</w:t>
      </w:r>
      <w:r w:rsidR="00C026A6" w:rsidRPr="00EA59C0">
        <w:t xml:space="preserve"> </w:t>
      </w:r>
      <w:r w:rsidRPr="00EA59C0">
        <w:t>the</w:t>
      </w:r>
      <w:r w:rsidR="00C026A6" w:rsidRPr="00EA59C0">
        <w:t xml:space="preserve"> </w:t>
      </w:r>
      <w:r w:rsidRPr="00EA59C0">
        <w:t>adaptation</w:t>
      </w:r>
      <w:r w:rsidR="00C026A6" w:rsidRPr="00EA59C0">
        <w:t xml:space="preserve"> </w:t>
      </w:r>
      <w:r w:rsidRPr="00EA59C0">
        <w:t>and</w:t>
      </w:r>
      <w:r w:rsidR="00C026A6" w:rsidRPr="00EA59C0">
        <w:t xml:space="preserve"> </w:t>
      </w:r>
      <w:r w:rsidRPr="00EA59C0">
        <w:t>use</w:t>
      </w:r>
      <w:r w:rsidR="00C026A6" w:rsidRPr="00EA59C0">
        <w:t xml:space="preserve"> </w:t>
      </w:r>
      <w:r w:rsidRPr="00EA59C0">
        <w:t>of</w:t>
      </w:r>
      <w:r w:rsidR="00C026A6" w:rsidRPr="00EA59C0">
        <w:t xml:space="preserve"> </w:t>
      </w:r>
      <w:r w:rsidR="00771925" w:rsidRPr="00EA59C0">
        <w:t>these</w:t>
      </w:r>
      <w:r w:rsidR="00C026A6" w:rsidRPr="00EA59C0">
        <w:t xml:space="preserve"> </w:t>
      </w:r>
      <w:r w:rsidRPr="00EA59C0">
        <w:t>competency-based</w:t>
      </w:r>
      <w:r w:rsidR="00C026A6" w:rsidRPr="00EA59C0">
        <w:t xml:space="preserve"> </w:t>
      </w:r>
      <w:r w:rsidRPr="00EA59C0">
        <w:t>frameworks</w:t>
      </w:r>
      <w:r w:rsidR="00C026A6" w:rsidRPr="00EA59C0">
        <w:t xml:space="preserve"> </w:t>
      </w:r>
      <w:r w:rsidR="00771925" w:rsidRPr="00EA59C0">
        <w:t>and</w:t>
      </w:r>
      <w:r w:rsidR="00C026A6" w:rsidRPr="00EA59C0">
        <w:t xml:space="preserve"> </w:t>
      </w:r>
      <w:r w:rsidR="00771925" w:rsidRPr="00EA59C0">
        <w:t>credentials</w:t>
      </w:r>
      <w:r w:rsidR="00C026A6" w:rsidRPr="00EA59C0">
        <w:t xml:space="preserve"> </w:t>
      </w:r>
      <w:r w:rsidR="00771925" w:rsidRPr="00EA59C0">
        <w:t>beyond</w:t>
      </w:r>
      <w:r w:rsidR="00C026A6" w:rsidRPr="00EA59C0">
        <w:t xml:space="preserve"> </w:t>
      </w:r>
      <w:r w:rsidR="00447CDD" w:rsidRPr="00EA59C0">
        <w:t>the</w:t>
      </w:r>
      <w:r w:rsidR="006D5B11" w:rsidRPr="00EA59C0">
        <w:t xml:space="preserve"> applicant and any consortium members (if applicable)</w:t>
      </w:r>
      <w:r w:rsidR="00C026A6" w:rsidRPr="00EA59C0">
        <w:t xml:space="preserve"> </w:t>
      </w:r>
    </w:p>
    <w:p w:rsidR="003C1FB3" w:rsidRPr="00EA59C0" w:rsidRDefault="003C1FB3" w:rsidP="00D03948">
      <w:pPr>
        <w:ind w:left="1080"/>
        <w:contextualSpacing/>
      </w:pPr>
    </w:p>
    <w:p w:rsidR="003C1FB3" w:rsidRPr="00EA59C0" w:rsidRDefault="003C1FB3" w:rsidP="00D03948">
      <w:pPr>
        <w:ind w:left="1080"/>
        <w:contextualSpacing/>
      </w:pPr>
      <w:r w:rsidRPr="00EA59C0">
        <w:t>Comprehensive</w:t>
      </w:r>
      <w:r w:rsidR="00C026A6" w:rsidRPr="00EA59C0">
        <w:t xml:space="preserve"> </w:t>
      </w:r>
      <w:r w:rsidRPr="00EA59C0">
        <w:t>plans</w:t>
      </w:r>
      <w:r w:rsidR="00C026A6" w:rsidRPr="00EA59C0">
        <w:t xml:space="preserve"> </w:t>
      </w:r>
      <w:r w:rsidRPr="00EA59C0">
        <w:t>will</w:t>
      </w:r>
      <w:r w:rsidR="00C026A6" w:rsidRPr="00EA59C0">
        <w:t xml:space="preserve"> </w:t>
      </w:r>
      <w:r w:rsidRPr="00EA59C0">
        <w:t>incorporate</w:t>
      </w:r>
      <w:r w:rsidR="00C026A6" w:rsidRPr="00EA59C0">
        <w:t xml:space="preserve"> </w:t>
      </w:r>
      <w:r w:rsidRPr="00EA59C0">
        <w:t>the</w:t>
      </w:r>
      <w:r w:rsidR="00C026A6" w:rsidRPr="00EA59C0">
        <w:t xml:space="preserve"> </w:t>
      </w:r>
      <w:r w:rsidRPr="00EA59C0">
        <w:t>following</w:t>
      </w:r>
      <w:r w:rsidR="00C026A6" w:rsidRPr="00EA59C0">
        <w:t xml:space="preserve"> </w:t>
      </w:r>
      <w:r w:rsidRPr="00EA59C0">
        <w:t>components:</w:t>
      </w:r>
    </w:p>
    <w:p w:rsidR="003C1FB3" w:rsidRPr="00EA59C0" w:rsidRDefault="003C1FB3" w:rsidP="00D03948">
      <w:pPr>
        <w:contextualSpacing/>
      </w:pPr>
    </w:p>
    <w:p w:rsidR="003C1FB3" w:rsidRPr="00EA59C0" w:rsidRDefault="003C1FB3" w:rsidP="00080097">
      <w:pPr>
        <w:pStyle w:val="ListParagraph"/>
        <w:numPr>
          <w:ilvl w:val="0"/>
          <w:numId w:val="55"/>
        </w:numPr>
        <w:tabs>
          <w:tab w:val="left" w:pos="1440"/>
          <w:tab w:val="left" w:pos="1530"/>
        </w:tabs>
      </w:pPr>
      <w:r w:rsidRPr="00EA59C0">
        <w:t>Assess</w:t>
      </w:r>
      <w:r w:rsidR="00C026A6" w:rsidRPr="00EA59C0">
        <w:t xml:space="preserve"> </w:t>
      </w:r>
      <w:r w:rsidRPr="00EA59C0">
        <w:t>the</w:t>
      </w:r>
      <w:r w:rsidR="00C026A6" w:rsidRPr="00EA59C0">
        <w:t xml:space="preserve"> </w:t>
      </w:r>
      <w:r w:rsidRPr="00EA59C0">
        <w:t>current</w:t>
      </w:r>
      <w:r w:rsidR="00C026A6" w:rsidRPr="00EA59C0">
        <w:t xml:space="preserve"> </w:t>
      </w:r>
      <w:r w:rsidRPr="00EA59C0">
        <w:t>level</w:t>
      </w:r>
      <w:r w:rsidR="00C026A6" w:rsidRPr="00EA59C0">
        <w:t xml:space="preserve"> </w:t>
      </w:r>
      <w:r w:rsidRPr="00EA59C0">
        <w:t>of</w:t>
      </w:r>
      <w:r w:rsidR="00C026A6" w:rsidRPr="00EA59C0">
        <w:t xml:space="preserve"> </w:t>
      </w:r>
      <w:r w:rsidRPr="00EA59C0">
        <w:t>credential</w:t>
      </w:r>
      <w:r w:rsidR="00C026A6" w:rsidRPr="00EA59C0">
        <w:t xml:space="preserve"> </w:t>
      </w:r>
      <w:r w:rsidRPr="00EA59C0">
        <w:t>attainment</w:t>
      </w:r>
      <w:r w:rsidR="00C026A6" w:rsidRPr="00EA59C0">
        <w:t xml:space="preserve"> </w:t>
      </w:r>
      <w:r w:rsidR="00984ED4" w:rsidRPr="00EA59C0">
        <w:t>for</w:t>
      </w:r>
      <w:r w:rsidR="00C026A6" w:rsidRPr="00EA59C0">
        <w:t xml:space="preserve"> </w:t>
      </w:r>
      <w:r w:rsidR="00984ED4" w:rsidRPr="00EA59C0">
        <w:t>individuals</w:t>
      </w:r>
      <w:r w:rsidR="00C026A6" w:rsidRPr="00EA59C0">
        <w:t xml:space="preserve"> </w:t>
      </w:r>
      <w:r w:rsidR="00984ED4" w:rsidRPr="00EA59C0">
        <w:t>in</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within</w:t>
      </w:r>
      <w:r w:rsidR="00C026A6" w:rsidRPr="00EA59C0">
        <w:t xml:space="preserve"> </w:t>
      </w:r>
      <w:r w:rsidRPr="00EA59C0">
        <w:t>a</w:t>
      </w:r>
      <w:r w:rsidR="00C026A6" w:rsidRPr="00EA59C0">
        <w:t xml:space="preserve"> </w:t>
      </w:r>
      <w:r w:rsidRPr="00EA59C0">
        <w:t>career</w:t>
      </w:r>
      <w:r w:rsidR="00C026A6" w:rsidRPr="00EA59C0">
        <w:t xml:space="preserve"> </w:t>
      </w:r>
      <w:r w:rsidRPr="00EA59C0">
        <w:t>pathway</w:t>
      </w:r>
      <w:r w:rsidR="00C026A6" w:rsidRPr="00EA59C0">
        <w:t xml:space="preserve"> </w:t>
      </w:r>
      <w:r w:rsidRPr="00EA59C0">
        <w:t>in</w:t>
      </w:r>
      <w:r w:rsidR="00C026A6" w:rsidRPr="00EA59C0">
        <w:t xml:space="preserve"> </w:t>
      </w:r>
      <w:r w:rsidRPr="00EA59C0">
        <w:t>an</w:t>
      </w:r>
      <w:r w:rsidR="00C026A6" w:rsidRPr="00EA59C0">
        <w:t xml:space="preserve"> </w:t>
      </w:r>
      <w:r w:rsidRPr="00EA59C0">
        <w:t>industry</w:t>
      </w:r>
      <w:r w:rsidR="00C026A6" w:rsidRPr="00EA59C0">
        <w:t xml:space="preserve"> </w:t>
      </w:r>
      <w:r w:rsidRPr="00EA59C0">
        <w:t>showing</w:t>
      </w:r>
      <w:r w:rsidR="00C026A6" w:rsidRPr="00EA59C0">
        <w:t xml:space="preserve"> </w:t>
      </w:r>
      <w:r w:rsidRPr="00EA59C0">
        <w:t>significant</w:t>
      </w:r>
      <w:r w:rsidR="00C026A6" w:rsidRPr="00EA59C0">
        <w:t xml:space="preserve"> </w:t>
      </w:r>
      <w:r w:rsidRPr="00EA59C0">
        <w:t>demand</w:t>
      </w:r>
      <w:r w:rsidR="00C026A6" w:rsidRPr="00EA59C0">
        <w:t xml:space="preserve"> </w:t>
      </w:r>
      <w:r w:rsidRPr="00EA59C0">
        <w:t>across</w:t>
      </w:r>
      <w:r w:rsidR="00C026A6" w:rsidRPr="00EA59C0">
        <w:t xml:space="preserve"> </w:t>
      </w:r>
      <w:r w:rsidRPr="00EA59C0">
        <w:t>the</w:t>
      </w:r>
      <w:r w:rsidR="00C026A6" w:rsidRPr="00EA59C0">
        <w:t xml:space="preserve"> </w:t>
      </w:r>
      <w:r w:rsidRPr="00EA59C0">
        <w:t>state.</w:t>
      </w:r>
      <w:r w:rsidR="00C026A6" w:rsidRPr="00EA59C0">
        <w:t xml:space="preserve">  </w:t>
      </w:r>
    </w:p>
    <w:p w:rsidR="00824BFD" w:rsidRPr="00EA59C0" w:rsidRDefault="00D37914" w:rsidP="00824BFD">
      <w:pPr>
        <w:numPr>
          <w:ilvl w:val="0"/>
          <w:numId w:val="16"/>
        </w:numPr>
        <w:tabs>
          <w:tab w:val="left" w:pos="1440"/>
          <w:tab w:val="left" w:pos="1530"/>
        </w:tabs>
        <w:ind w:left="1440"/>
        <w:contextualSpacing/>
      </w:pPr>
      <w:r w:rsidRPr="00EA59C0">
        <w:t>Assess</w:t>
      </w:r>
      <w:r w:rsidR="00C026A6" w:rsidRPr="00EA59C0">
        <w:t xml:space="preserve"> </w:t>
      </w:r>
      <w:r w:rsidRPr="00EA59C0">
        <w:t>the</w:t>
      </w:r>
      <w:r w:rsidR="00C026A6" w:rsidRPr="00EA59C0">
        <w:t xml:space="preserve"> </w:t>
      </w:r>
      <w:r w:rsidRPr="00EA59C0">
        <w:t>rate</w:t>
      </w:r>
      <w:r w:rsidR="00C026A6" w:rsidRPr="00EA59C0">
        <w:t xml:space="preserve"> </w:t>
      </w:r>
      <w:r w:rsidRPr="00EA59C0">
        <w:t>at</w:t>
      </w:r>
      <w:r w:rsidR="00C026A6" w:rsidRPr="00EA59C0">
        <w:t xml:space="preserve"> </w:t>
      </w:r>
      <w:r w:rsidRPr="00EA59C0">
        <w:t>which</w:t>
      </w:r>
      <w:r w:rsidR="00C026A6" w:rsidRPr="00EA59C0">
        <w:t xml:space="preserve"> </w:t>
      </w:r>
      <w:r w:rsidRPr="00EA59C0">
        <w:t>individuals</w:t>
      </w:r>
      <w:r w:rsidR="00C026A6" w:rsidRPr="00EA59C0">
        <w:t xml:space="preserve"> </w:t>
      </w:r>
      <w:r w:rsidRPr="00EA59C0">
        <w:t>in</w:t>
      </w:r>
      <w:r w:rsidR="00C026A6" w:rsidRPr="00EA59C0">
        <w:t xml:space="preserve"> </w:t>
      </w:r>
      <w:r w:rsidRPr="00EA59C0">
        <w:t>the</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are</w:t>
      </w:r>
      <w:r w:rsidR="00C026A6" w:rsidRPr="00EA59C0">
        <w:t xml:space="preserve"> </w:t>
      </w:r>
      <w:r w:rsidRPr="00EA59C0">
        <w:t>being</w:t>
      </w:r>
      <w:r w:rsidR="00C026A6" w:rsidRPr="00EA59C0">
        <w:t xml:space="preserve"> </w:t>
      </w:r>
      <w:r w:rsidRPr="00EA59C0">
        <w:t>hired</w:t>
      </w:r>
      <w:r w:rsidR="00C026A6" w:rsidRPr="00EA59C0">
        <w:t xml:space="preserve"> </w:t>
      </w:r>
      <w:r w:rsidRPr="00EA59C0">
        <w:t>by</w:t>
      </w:r>
      <w:r w:rsidR="00C026A6" w:rsidRPr="00EA59C0">
        <w:t xml:space="preserve"> </w:t>
      </w:r>
      <w:r w:rsidRPr="00EA59C0">
        <w:t>businesses</w:t>
      </w:r>
      <w:r w:rsidR="00C026A6" w:rsidRPr="00EA59C0">
        <w:t xml:space="preserve"> </w:t>
      </w:r>
      <w:r w:rsidRPr="00EA59C0">
        <w:t>within</w:t>
      </w:r>
      <w:r w:rsidR="00C026A6" w:rsidRPr="00EA59C0">
        <w:t xml:space="preserve"> </w:t>
      </w:r>
      <w:r w:rsidRPr="00EA59C0">
        <w:t>the</w:t>
      </w:r>
      <w:r w:rsidR="00C026A6" w:rsidRPr="00EA59C0">
        <w:t xml:space="preserve"> </w:t>
      </w:r>
      <w:r w:rsidRPr="00EA59C0">
        <w:t>industry</w:t>
      </w:r>
      <w:r w:rsidR="00C026A6" w:rsidRPr="00EA59C0">
        <w:t xml:space="preserve"> </w:t>
      </w:r>
      <w:r w:rsidRPr="00EA59C0">
        <w:t>of</w:t>
      </w:r>
      <w:r w:rsidR="00C026A6" w:rsidRPr="00EA59C0">
        <w:t xml:space="preserve"> </w:t>
      </w:r>
      <w:r w:rsidRPr="00EA59C0">
        <w:t>interest.</w:t>
      </w:r>
      <w:r w:rsidR="00C026A6" w:rsidRPr="00EA59C0">
        <w:t xml:space="preserve">  </w:t>
      </w:r>
      <w:r w:rsidR="00A05434" w:rsidRPr="00EA59C0">
        <w:t>Business</w:t>
      </w:r>
      <w:r w:rsidR="00C026A6" w:rsidRPr="00EA59C0">
        <w:t xml:space="preserve"> </w:t>
      </w:r>
      <w:r w:rsidR="00A05434" w:rsidRPr="00EA59C0">
        <w:t>partners</w:t>
      </w:r>
      <w:r w:rsidR="00C026A6" w:rsidRPr="00EA59C0">
        <w:t xml:space="preserve"> </w:t>
      </w:r>
      <w:r w:rsidR="00A05434" w:rsidRPr="00EA59C0">
        <w:t>may</w:t>
      </w:r>
      <w:r w:rsidR="00C026A6" w:rsidRPr="00EA59C0">
        <w:t xml:space="preserve"> </w:t>
      </w:r>
      <w:r w:rsidR="00A05434" w:rsidRPr="00EA59C0">
        <w:t>help</w:t>
      </w:r>
      <w:r w:rsidR="00C026A6" w:rsidRPr="00EA59C0">
        <w:t xml:space="preserve"> </w:t>
      </w:r>
      <w:r w:rsidR="00A05434" w:rsidRPr="00EA59C0">
        <w:t>by</w:t>
      </w:r>
      <w:r w:rsidR="00C026A6" w:rsidRPr="00EA59C0">
        <w:t xml:space="preserve"> </w:t>
      </w:r>
      <w:r w:rsidR="00A05434" w:rsidRPr="00EA59C0">
        <w:t>using</w:t>
      </w:r>
      <w:r w:rsidR="00C026A6" w:rsidRPr="00EA59C0">
        <w:t xml:space="preserve"> </w:t>
      </w:r>
      <w:r w:rsidR="00A05434" w:rsidRPr="00EA59C0">
        <w:t>their</w:t>
      </w:r>
      <w:r w:rsidR="00C026A6" w:rsidRPr="00EA59C0">
        <w:t xml:space="preserve"> </w:t>
      </w:r>
      <w:r w:rsidR="00A05434" w:rsidRPr="00EA59C0">
        <w:t>own</w:t>
      </w:r>
      <w:r w:rsidR="00C026A6" w:rsidRPr="00EA59C0">
        <w:t xml:space="preserve"> </w:t>
      </w:r>
      <w:r w:rsidR="00A05434" w:rsidRPr="00EA59C0">
        <w:t>data</w:t>
      </w:r>
      <w:r w:rsidR="00C026A6" w:rsidRPr="00EA59C0">
        <w:t xml:space="preserve"> </w:t>
      </w:r>
      <w:r w:rsidR="00A05434" w:rsidRPr="00EA59C0">
        <w:t>to</w:t>
      </w:r>
      <w:r w:rsidR="00C026A6" w:rsidRPr="00EA59C0">
        <w:t xml:space="preserve"> </w:t>
      </w:r>
      <w:r w:rsidR="00A05434" w:rsidRPr="00EA59C0">
        <w:t>identify</w:t>
      </w:r>
      <w:r w:rsidR="00C026A6" w:rsidRPr="00EA59C0">
        <w:t xml:space="preserve"> </w:t>
      </w:r>
      <w:r w:rsidR="00A05434" w:rsidRPr="00EA59C0">
        <w:t>the</w:t>
      </w:r>
      <w:r w:rsidR="00C026A6" w:rsidRPr="00EA59C0">
        <w:t xml:space="preserve"> </w:t>
      </w:r>
      <w:r w:rsidR="00A05434" w:rsidRPr="00EA59C0">
        <w:t>credentials</w:t>
      </w:r>
      <w:r w:rsidR="00C026A6" w:rsidRPr="00EA59C0">
        <w:t xml:space="preserve"> </w:t>
      </w:r>
      <w:r w:rsidR="00A05434" w:rsidRPr="00EA59C0">
        <w:t>on</w:t>
      </w:r>
      <w:r w:rsidR="00C026A6" w:rsidRPr="00EA59C0">
        <w:t xml:space="preserve"> </w:t>
      </w:r>
      <w:r w:rsidR="00A05434" w:rsidRPr="00EA59C0">
        <w:t>which</w:t>
      </w:r>
      <w:r w:rsidR="00C026A6" w:rsidRPr="00EA59C0">
        <w:t xml:space="preserve"> </w:t>
      </w:r>
      <w:r w:rsidR="00A05434" w:rsidRPr="00EA59C0">
        <w:t>they</w:t>
      </w:r>
      <w:r w:rsidR="00C026A6" w:rsidRPr="00EA59C0">
        <w:t xml:space="preserve"> </w:t>
      </w:r>
      <w:r w:rsidR="00A05434" w:rsidRPr="00EA59C0">
        <w:t>have</w:t>
      </w:r>
      <w:r w:rsidR="00C026A6" w:rsidRPr="00EA59C0">
        <w:t xml:space="preserve"> </w:t>
      </w:r>
      <w:r w:rsidR="00A05434" w:rsidRPr="00EA59C0">
        <w:t>been</w:t>
      </w:r>
      <w:r w:rsidR="00C026A6" w:rsidRPr="00EA59C0">
        <w:t xml:space="preserve"> </w:t>
      </w:r>
      <w:r w:rsidR="00A05434" w:rsidRPr="00EA59C0">
        <w:t>most</w:t>
      </w:r>
      <w:r w:rsidR="00C026A6" w:rsidRPr="00EA59C0">
        <w:t xml:space="preserve"> </w:t>
      </w:r>
      <w:r w:rsidR="00A05434" w:rsidRPr="00EA59C0">
        <w:t>likely</w:t>
      </w:r>
      <w:r w:rsidR="00C026A6" w:rsidRPr="00EA59C0">
        <w:t xml:space="preserve"> </w:t>
      </w:r>
      <w:r w:rsidR="00A05434" w:rsidRPr="00EA59C0">
        <w:t>to</w:t>
      </w:r>
      <w:r w:rsidR="00C026A6" w:rsidRPr="00EA59C0">
        <w:t xml:space="preserve"> </w:t>
      </w:r>
      <w:r w:rsidR="00A05434" w:rsidRPr="00EA59C0">
        <w:t>hire</w:t>
      </w:r>
      <w:r w:rsidR="00C026A6" w:rsidRPr="00EA59C0">
        <w:t xml:space="preserve"> </w:t>
      </w:r>
      <w:r w:rsidR="00A05434" w:rsidRPr="00EA59C0">
        <w:t>as</w:t>
      </w:r>
      <w:r w:rsidR="00C026A6" w:rsidRPr="00EA59C0">
        <w:t xml:space="preserve"> </w:t>
      </w:r>
      <w:r w:rsidR="00A05434" w:rsidRPr="00EA59C0">
        <w:t>well</w:t>
      </w:r>
      <w:r w:rsidR="00C026A6" w:rsidRPr="00EA59C0">
        <w:t xml:space="preserve"> </w:t>
      </w:r>
      <w:r w:rsidR="00A05434" w:rsidRPr="00EA59C0">
        <w:t>as</w:t>
      </w:r>
      <w:r w:rsidR="00C026A6" w:rsidRPr="00EA59C0">
        <w:t xml:space="preserve"> </w:t>
      </w:r>
      <w:r w:rsidR="00A05434" w:rsidRPr="00EA59C0">
        <w:t>how</w:t>
      </w:r>
      <w:r w:rsidR="00C026A6" w:rsidRPr="00EA59C0">
        <w:t xml:space="preserve"> </w:t>
      </w:r>
      <w:r w:rsidR="00A05434" w:rsidRPr="00EA59C0">
        <w:t>individuals</w:t>
      </w:r>
      <w:r w:rsidR="00C026A6" w:rsidRPr="00EA59C0">
        <w:t xml:space="preserve"> </w:t>
      </w:r>
      <w:r w:rsidR="00A05434" w:rsidRPr="00EA59C0">
        <w:t>with</w:t>
      </w:r>
      <w:r w:rsidR="00C026A6" w:rsidRPr="00EA59C0">
        <w:t xml:space="preserve"> </w:t>
      </w:r>
      <w:r w:rsidR="00A05434" w:rsidRPr="00EA59C0">
        <w:t>specific</w:t>
      </w:r>
      <w:r w:rsidR="00C026A6" w:rsidRPr="00EA59C0">
        <w:t xml:space="preserve"> </w:t>
      </w:r>
      <w:r w:rsidR="00A05434" w:rsidRPr="00EA59C0">
        <w:t>credentials</w:t>
      </w:r>
      <w:r w:rsidR="00C026A6" w:rsidRPr="00EA59C0">
        <w:t xml:space="preserve"> </w:t>
      </w:r>
      <w:r w:rsidR="00A05434" w:rsidRPr="00EA59C0">
        <w:t>are</w:t>
      </w:r>
      <w:r w:rsidR="00C026A6" w:rsidRPr="00EA59C0">
        <w:t xml:space="preserve"> </w:t>
      </w:r>
      <w:r w:rsidR="00A05434" w:rsidRPr="00EA59C0">
        <w:t>performing</w:t>
      </w:r>
      <w:r w:rsidR="00C026A6" w:rsidRPr="00EA59C0">
        <w:t xml:space="preserve"> </w:t>
      </w:r>
      <w:r w:rsidR="00A05434" w:rsidRPr="00EA59C0">
        <w:t>in</w:t>
      </w:r>
      <w:r w:rsidR="00C026A6" w:rsidRPr="00EA59C0">
        <w:t xml:space="preserve"> </w:t>
      </w:r>
      <w:r w:rsidR="00A05434" w:rsidRPr="00EA59C0">
        <w:t>their</w:t>
      </w:r>
      <w:r w:rsidR="00C026A6" w:rsidRPr="00EA59C0">
        <w:t xml:space="preserve"> </w:t>
      </w:r>
      <w:r w:rsidR="00A05434" w:rsidRPr="00EA59C0">
        <w:t>companies.</w:t>
      </w:r>
      <w:r w:rsidR="00C026A6" w:rsidRPr="00EA59C0">
        <w:t xml:space="preserve">  </w:t>
      </w:r>
      <w:r w:rsidR="00824BFD" w:rsidRPr="00EA59C0">
        <w:t>Applicants</w:t>
      </w:r>
      <w:r w:rsidR="00C026A6" w:rsidRPr="00EA59C0">
        <w:t xml:space="preserve"> </w:t>
      </w:r>
      <w:r w:rsidR="00824BFD" w:rsidRPr="00EA59C0">
        <w:t>may</w:t>
      </w:r>
      <w:r w:rsidR="00C026A6" w:rsidRPr="00EA59C0">
        <w:t xml:space="preserve"> </w:t>
      </w:r>
      <w:r w:rsidR="00824BFD" w:rsidRPr="00EA59C0">
        <w:t>also</w:t>
      </w:r>
      <w:r w:rsidR="00C026A6" w:rsidRPr="00EA59C0">
        <w:t xml:space="preserve"> </w:t>
      </w:r>
      <w:r w:rsidR="00824BFD" w:rsidRPr="00EA59C0">
        <w:t>employ</w:t>
      </w:r>
      <w:r w:rsidR="00C026A6" w:rsidRPr="00EA59C0">
        <w:t xml:space="preserve"> </w:t>
      </w:r>
      <w:r w:rsidR="00824BFD" w:rsidRPr="00EA59C0">
        <w:t>analyses</w:t>
      </w:r>
      <w:r w:rsidR="00C026A6" w:rsidRPr="00EA59C0">
        <w:t xml:space="preserve"> </w:t>
      </w:r>
      <w:r w:rsidR="00824BFD" w:rsidRPr="00EA59C0">
        <w:t>of</w:t>
      </w:r>
      <w:r w:rsidR="00C026A6" w:rsidRPr="00EA59C0">
        <w:t xml:space="preserve"> </w:t>
      </w:r>
      <w:r w:rsidR="00824BFD" w:rsidRPr="00EA59C0">
        <w:t>real-time</w:t>
      </w:r>
      <w:r w:rsidR="00C026A6" w:rsidRPr="00EA59C0">
        <w:t xml:space="preserve"> </w:t>
      </w:r>
      <w:r w:rsidR="00824BFD" w:rsidRPr="00EA59C0">
        <w:t>labor</w:t>
      </w:r>
      <w:r w:rsidR="00C026A6" w:rsidRPr="00EA59C0">
        <w:t xml:space="preserve"> </w:t>
      </w:r>
      <w:r w:rsidR="00824BFD" w:rsidRPr="00EA59C0">
        <w:t>market</w:t>
      </w:r>
      <w:r w:rsidR="00C026A6" w:rsidRPr="00EA59C0">
        <w:t xml:space="preserve"> </w:t>
      </w:r>
      <w:r w:rsidR="00824BFD" w:rsidRPr="00EA59C0">
        <w:t>information</w:t>
      </w:r>
      <w:r w:rsidR="00C026A6" w:rsidRPr="00EA59C0">
        <w:t xml:space="preserve"> </w:t>
      </w:r>
      <w:r w:rsidR="00824BFD" w:rsidRPr="00EA59C0">
        <w:t>to</w:t>
      </w:r>
      <w:r w:rsidR="00C026A6" w:rsidRPr="00EA59C0">
        <w:t xml:space="preserve"> </w:t>
      </w:r>
      <w:r w:rsidR="00824BFD" w:rsidRPr="00EA59C0">
        <w:t>identify</w:t>
      </w:r>
      <w:r w:rsidR="00C026A6" w:rsidRPr="00EA59C0">
        <w:t xml:space="preserve"> </w:t>
      </w:r>
      <w:r w:rsidR="00824BFD" w:rsidRPr="00EA59C0">
        <w:t>relevant</w:t>
      </w:r>
      <w:r w:rsidR="00C026A6" w:rsidRPr="00EA59C0">
        <w:t xml:space="preserve"> </w:t>
      </w:r>
      <w:r w:rsidR="00824BFD" w:rsidRPr="00EA59C0">
        <w:t>credentials</w:t>
      </w:r>
      <w:r w:rsidR="00C026A6" w:rsidRPr="00EA59C0">
        <w:t xml:space="preserve"> </w:t>
      </w:r>
      <w:r w:rsidR="00824BFD" w:rsidRPr="00EA59C0">
        <w:t>currently</w:t>
      </w:r>
      <w:r w:rsidR="00C026A6" w:rsidRPr="00EA59C0">
        <w:t xml:space="preserve"> </w:t>
      </w:r>
      <w:r w:rsidR="00824BFD" w:rsidRPr="00EA59C0">
        <w:t>in</w:t>
      </w:r>
      <w:r w:rsidR="00C026A6" w:rsidRPr="00EA59C0">
        <w:t xml:space="preserve"> </w:t>
      </w:r>
      <w:r w:rsidR="00824BFD" w:rsidRPr="00EA59C0">
        <w:t>demand</w:t>
      </w:r>
      <w:r w:rsidR="00C026A6" w:rsidRPr="00EA59C0">
        <w:t xml:space="preserve"> </w:t>
      </w:r>
      <w:r w:rsidR="00824BFD" w:rsidRPr="00EA59C0">
        <w:t>in</w:t>
      </w:r>
      <w:r w:rsidR="00C026A6" w:rsidRPr="00EA59C0">
        <w:t xml:space="preserve"> </w:t>
      </w:r>
      <w:r w:rsidR="00824BFD" w:rsidRPr="00EA59C0">
        <w:t>job</w:t>
      </w:r>
      <w:r w:rsidR="00C026A6" w:rsidRPr="00EA59C0">
        <w:t xml:space="preserve"> </w:t>
      </w:r>
      <w:r w:rsidR="00824BFD" w:rsidRPr="00EA59C0">
        <w:t>postings</w:t>
      </w:r>
      <w:r w:rsidR="00C026A6" w:rsidRPr="00EA59C0">
        <w:t xml:space="preserve"> </w:t>
      </w:r>
      <w:r w:rsidR="00824BFD" w:rsidRPr="00EA59C0">
        <w:t>and</w:t>
      </w:r>
      <w:r w:rsidR="00C026A6" w:rsidRPr="00EA59C0">
        <w:t xml:space="preserve"> </w:t>
      </w:r>
      <w:r w:rsidR="00824BFD" w:rsidRPr="00EA59C0">
        <w:t>also</w:t>
      </w:r>
      <w:r w:rsidR="00C026A6" w:rsidRPr="00EA59C0">
        <w:t xml:space="preserve"> </w:t>
      </w:r>
      <w:r w:rsidR="00824BFD" w:rsidRPr="00EA59C0">
        <w:t>information</w:t>
      </w:r>
      <w:r w:rsidR="00C026A6" w:rsidRPr="00EA59C0">
        <w:t xml:space="preserve"> </w:t>
      </w:r>
      <w:r w:rsidR="00824BFD" w:rsidRPr="00EA59C0">
        <w:t>mined</w:t>
      </w:r>
      <w:r w:rsidR="00C026A6" w:rsidRPr="00EA59C0">
        <w:t xml:space="preserve"> </w:t>
      </w:r>
      <w:r w:rsidR="00824BFD" w:rsidRPr="00EA59C0">
        <w:t>from</w:t>
      </w:r>
      <w:r w:rsidR="00C026A6" w:rsidRPr="00EA59C0">
        <w:t xml:space="preserve"> </w:t>
      </w:r>
      <w:r w:rsidR="00824BFD" w:rsidRPr="00EA59C0">
        <w:t>resumes</w:t>
      </w:r>
      <w:r w:rsidR="00C026A6" w:rsidRPr="00EA59C0">
        <w:t xml:space="preserve"> </w:t>
      </w:r>
      <w:r w:rsidR="00824BFD" w:rsidRPr="00EA59C0">
        <w:t>to</w:t>
      </w:r>
      <w:r w:rsidR="00C026A6" w:rsidRPr="00EA59C0">
        <w:t xml:space="preserve"> </w:t>
      </w:r>
      <w:r w:rsidR="00824BFD" w:rsidRPr="00EA59C0">
        <w:t>identify</w:t>
      </w:r>
      <w:r w:rsidR="00C026A6" w:rsidRPr="00EA59C0">
        <w:t xml:space="preserve"> </w:t>
      </w:r>
      <w:r w:rsidR="00824BFD" w:rsidRPr="00EA59C0">
        <w:t>patterns</w:t>
      </w:r>
      <w:r w:rsidR="00C026A6" w:rsidRPr="00EA59C0">
        <w:t xml:space="preserve"> </w:t>
      </w:r>
      <w:r w:rsidR="00824BFD" w:rsidRPr="00EA59C0">
        <w:t>of</w:t>
      </w:r>
      <w:r w:rsidR="00C026A6" w:rsidRPr="00EA59C0">
        <w:t xml:space="preserve"> </w:t>
      </w:r>
      <w:r w:rsidR="00824BFD" w:rsidRPr="00EA59C0">
        <w:t>previous</w:t>
      </w:r>
      <w:r w:rsidR="00C026A6" w:rsidRPr="00EA59C0">
        <w:t xml:space="preserve"> </w:t>
      </w:r>
      <w:r w:rsidR="00824BFD" w:rsidRPr="00EA59C0">
        <w:t>jobs</w:t>
      </w:r>
      <w:r w:rsidR="00C026A6" w:rsidRPr="00EA59C0">
        <w:t xml:space="preserve"> </w:t>
      </w:r>
      <w:r w:rsidR="00824BFD" w:rsidRPr="00EA59C0">
        <w:t>held</w:t>
      </w:r>
      <w:r w:rsidR="00C026A6" w:rsidRPr="00EA59C0">
        <w:t xml:space="preserve"> </w:t>
      </w:r>
      <w:r w:rsidR="00824BFD" w:rsidRPr="00EA59C0">
        <w:t>and</w:t>
      </w:r>
      <w:r w:rsidR="00C026A6" w:rsidRPr="00EA59C0">
        <w:t xml:space="preserve"> </w:t>
      </w:r>
      <w:r w:rsidR="00824BFD" w:rsidRPr="00EA59C0">
        <w:t>credentials</w:t>
      </w:r>
      <w:r w:rsidR="00C026A6" w:rsidRPr="00EA59C0">
        <w:t xml:space="preserve"> </w:t>
      </w:r>
      <w:r w:rsidR="00824BFD" w:rsidRPr="00EA59C0">
        <w:t>earned</w:t>
      </w:r>
      <w:r w:rsidR="00C026A6" w:rsidRPr="00EA59C0">
        <w:t xml:space="preserve"> </w:t>
      </w:r>
      <w:r w:rsidR="00824BFD" w:rsidRPr="00EA59C0">
        <w:t>by</w:t>
      </w:r>
      <w:r w:rsidR="00C026A6" w:rsidRPr="00EA59C0">
        <w:t xml:space="preserve"> </w:t>
      </w:r>
      <w:r w:rsidR="00824BFD" w:rsidRPr="00EA59C0">
        <w:t>individuals</w:t>
      </w:r>
      <w:r w:rsidR="00C026A6" w:rsidRPr="00EA59C0">
        <w:t xml:space="preserve"> </w:t>
      </w:r>
      <w:r w:rsidR="00824BFD" w:rsidRPr="00EA59C0">
        <w:t>currently</w:t>
      </w:r>
      <w:r w:rsidR="00C026A6" w:rsidRPr="00EA59C0">
        <w:t xml:space="preserve"> </w:t>
      </w:r>
      <w:r w:rsidR="00824BFD" w:rsidRPr="00EA59C0">
        <w:t>working</w:t>
      </w:r>
      <w:r w:rsidR="00C026A6" w:rsidRPr="00EA59C0">
        <w:t xml:space="preserve"> </w:t>
      </w:r>
      <w:r w:rsidR="00824BFD" w:rsidRPr="00EA59C0">
        <w:t>in</w:t>
      </w:r>
      <w:r w:rsidR="00C026A6" w:rsidRPr="00EA59C0">
        <w:t xml:space="preserve"> </w:t>
      </w:r>
      <w:r w:rsidR="00824BFD" w:rsidRPr="00EA59C0">
        <w:t>occupations</w:t>
      </w:r>
      <w:r w:rsidR="00C026A6" w:rsidRPr="00EA59C0">
        <w:t xml:space="preserve"> </w:t>
      </w:r>
      <w:r w:rsidR="00824BFD" w:rsidRPr="00EA59C0">
        <w:t>that</w:t>
      </w:r>
      <w:r w:rsidR="00C026A6" w:rsidRPr="00EA59C0">
        <w:t xml:space="preserve"> </w:t>
      </w:r>
      <w:r w:rsidR="00824BFD" w:rsidRPr="00EA59C0">
        <w:t>are</w:t>
      </w:r>
      <w:r w:rsidR="00C026A6" w:rsidRPr="00EA59C0">
        <w:t xml:space="preserve"> </w:t>
      </w:r>
      <w:r w:rsidR="00824BFD" w:rsidRPr="00EA59C0">
        <w:t>part</w:t>
      </w:r>
      <w:r w:rsidR="00C026A6" w:rsidRPr="00EA59C0">
        <w:t xml:space="preserve"> </w:t>
      </w:r>
      <w:r w:rsidR="00824BFD" w:rsidRPr="00EA59C0">
        <w:t>of</w:t>
      </w:r>
      <w:r w:rsidR="00C026A6" w:rsidRPr="00EA59C0">
        <w:t xml:space="preserve"> </w:t>
      </w:r>
      <w:r w:rsidR="00824BFD" w:rsidRPr="00EA59C0">
        <w:t>a</w:t>
      </w:r>
      <w:r w:rsidR="00C026A6" w:rsidRPr="00EA59C0">
        <w:t xml:space="preserve"> </w:t>
      </w:r>
      <w:r w:rsidR="00824BFD" w:rsidRPr="00EA59C0">
        <w:t>targeted</w:t>
      </w:r>
      <w:r w:rsidR="00C026A6" w:rsidRPr="00EA59C0">
        <w:t xml:space="preserve"> </w:t>
      </w:r>
      <w:r w:rsidR="00824BFD" w:rsidRPr="00EA59C0">
        <w:t>career</w:t>
      </w:r>
      <w:r w:rsidR="00C026A6" w:rsidRPr="00EA59C0">
        <w:t xml:space="preserve"> </w:t>
      </w:r>
      <w:r w:rsidR="00824BFD" w:rsidRPr="00EA59C0">
        <w:t>pathway.</w:t>
      </w:r>
      <w:r w:rsidR="00C026A6" w:rsidRPr="00EA59C0">
        <w:t xml:space="preserve"> </w:t>
      </w:r>
    </w:p>
    <w:p w:rsidR="003C1FB3" w:rsidRPr="00EA59C0" w:rsidRDefault="003C1FB3" w:rsidP="00D03948">
      <w:pPr>
        <w:numPr>
          <w:ilvl w:val="0"/>
          <w:numId w:val="16"/>
        </w:numPr>
        <w:tabs>
          <w:tab w:val="left" w:pos="1440"/>
          <w:tab w:val="left" w:pos="1530"/>
        </w:tabs>
        <w:ind w:left="1440"/>
        <w:contextualSpacing/>
      </w:pPr>
      <w:r w:rsidRPr="00EA59C0">
        <w:t>Conduct</w:t>
      </w:r>
      <w:r w:rsidR="00C026A6" w:rsidRPr="00EA59C0">
        <w:t xml:space="preserve"> </w:t>
      </w:r>
      <w:r w:rsidR="00110C6C" w:rsidRPr="00EA59C0">
        <w:t>a</w:t>
      </w:r>
      <w:r w:rsidR="00C026A6" w:rsidRPr="00EA59C0">
        <w:t xml:space="preserve"> </w:t>
      </w:r>
      <w:r w:rsidR="00110C6C" w:rsidRPr="00EA59C0">
        <w:t>study</w:t>
      </w:r>
      <w:r w:rsidR="00C026A6" w:rsidRPr="00EA59C0">
        <w:t xml:space="preserve"> </w:t>
      </w:r>
      <w:r w:rsidR="00110C6C" w:rsidRPr="00EA59C0">
        <w:t>to</w:t>
      </w:r>
      <w:r w:rsidR="00C026A6" w:rsidRPr="00EA59C0">
        <w:t xml:space="preserve"> </w:t>
      </w:r>
      <w:r w:rsidR="00110C6C" w:rsidRPr="00EA59C0">
        <w:t>examine</w:t>
      </w:r>
      <w:r w:rsidR="00C026A6" w:rsidRPr="00EA59C0">
        <w:t xml:space="preserve"> </w:t>
      </w:r>
      <w:r w:rsidR="00110C6C" w:rsidRPr="00EA59C0">
        <w:t>and</w:t>
      </w:r>
      <w:r w:rsidR="00C026A6" w:rsidRPr="00EA59C0">
        <w:t xml:space="preserve"> </w:t>
      </w:r>
      <w:r w:rsidR="00110C6C" w:rsidRPr="00EA59C0">
        <w:t>compare:</w:t>
      </w:r>
      <w:r w:rsidR="00C026A6" w:rsidRPr="00EA59C0">
        <w:t xml:space="preserve"> </w:t>
      </w:r>
      <w:r w:rsidRPr="00EA59C0">
        <w:t>(a)</w:t>
      </w:r>
      <w:r w:rsidR="00C026A6" w:rsidRPr="00EA59C0">
        <w:t xml:space="preserve"> </w:t>
      </w:r>
      <w:r w:rsidRPr="00EA59C0">
        <w:t>the</w:t>
      </w:r>
      <w:r w:rsidR="00C026A6" w:rsidRPr="00EA59C0">
        <w:t xml:space="preserve"> </w:t>
      </w:r>
      <w:r w:rsidRPr="00EA59C0">
        <w:t>competencies</w:t>
      </w:r>
      <w:r w:rsidR="00C026A6" w:rsidRPr="00EA59C0">
        <w:t xml:space="preserve"> </w:t>
      </w:r>
      <w:r w:rsidRPr="00EA59C0">
        <w:t>required</w:t>
      </w:r>
      <w:r w:rsidR="00C026A6" w:rsidRPr="00EA59C0">
        <w:t xml:space="preserve"> </w:t>
      </w:r>
      <w:r w:rsidRPr="00EA59C0">
        <w:t>for</w:t>
      </w:r>
      <w:r w:rsidR="00C026A6" w:rsidRPr="00EA59C0">
        <w:t xml:space="preserve"> </w:t>
      </w:r>
      <w:r w:rsidRPr="00EA59C0">
        <w:t>existing</w:t>
      </w:r>
      <w:r w:rsidR="00C026A6" w:rsidRPr="00EA59C0">
        <w:t xml:space="preserve"> </w:t>
      </w:r>
      <w:r w:rsidRPr="00EA59C0">
        <w:t>credentials;</w:t>
      </w:r>
      <w:r w:rsidR="00C026A6" w:rsidRPr="00EA59C0">
        <w:t xml:space="preserve"> </w:t>
      </w:r>
      <w:r w:rsidRPr="00EA59C0">
        <w:t>(b)</w:t>
      </w:r>
      <w:r w:rsidR="00C026A6" w:rsidRPr="00EA59C0">
        <w:t xml:space="preserve"> </w:t>
      </w:r>
      <w:r w:rsidRPr="00EA59C0">
        <w:t>competencies</w:t>
      </w:r>
      <w:r w:rsidR="00C026A6" w:rsidRPr="00EA59C0">
        <w:t xml:space="preserve"> </w:t>
      </w:r>
      <w:r w:rsidRPr="00EA59C0">
        <w:t>required</w:t>
      </w:r>
      <w:r w:rsidR="00C026A6" w:rsidRPr="00EA59C0">
        <w:t xml:space="preserve"> </w:t>
      </w:r>
      <w:r w:rsidRPr="00EA59C0">
        <w:t>by</w:t>
      </w:r>
      <w:r w:rsidR="00C026A6" w:rsidRPr="00EA59C0">
        <w:t xml:space="preserve"> </w:t>
      </w:r>
      <w:r w:rsidRPr="00EA59C0">
        <w:t>industry</w:t>
      </w:r>
      <w:r w:rsidR="00C026A6" w:rsidRPr="00EA59C0">
        <w:t xml:space="preserve"> </w:t>
      </w:r>
      <w:r w:rsidRPr="00EA59C0">
        <w:t>employers;</w:t>
      </w:r>
      <w:r w:rsidR="00C026A6" w:rsidRPr="00EA59C0">
        <w:t xml:space="preserve"> </w:t>
      </w:r>
      <w:r w:rsidRPr="00EA59C0">
        <w:t>and</w:t>
      </w:r>
      <w:r w:rsidR="00C026A6" w:rsidRPr="00EA59C0">
        <w:t xml:space="preserve"> </w:t>
      </w:r>
      <w:r w:rsidRPr="00EA59C0">
        <w:t>(c)</w:t>
      </w:r>
      <w:r w:rsidR="00C026A6" w:rsidRPr="00EA59C0">
        <w:t xml:space="preserve"> </w:t>
      </w:r>
      <w:r w:rsidRPr="00EA59C0">
        <w:t>competencies</w:t>
      </w:r>
      <w:r w:rsidR="00C026A6" w:rsidRPr="00EA59C0">
        <w:t xml:space="preserve"> </w:t>
      </w:r>
      <w:r w:rsidRPr="00EA59C0">
        <w:t>covered</w:t>
      </w:r>
      <w:r w:rsidR="00C026A6" w:rsidRPr="00EA59C0">
        <w:t xml:space="preserve"> </w:t>
      </w:r>
      <w:r w:rsidRPr="00EA59C0">
        <w:t>in</w:t>
      </w:r>
      <w:r w:rsidR="00C026A6" w:rsidRPr="00EA59C0">
        <w:t xml:space="preserve"> </w:t>
      </w:r>
      <w:r w:rsidRPr="00EA59C0">
        <w:t>current</w:t>
      </w:r>
      <w:r w:rsidR="00C026A6" w:rsidRPr="00EA59C0">
        <w:t xml:space="preserve"> </w:t>
      </w:r>
      <w:r w:rsidRPr="00EA59C0">
        <w:t>program</w:t>
      </w:r>
      <w:r w:rsidR="00C026A6" w:rsidRPr="00EA59C0">
        <w:t xml:space="preserve"> </w:t>
      </w:r>
      <w:r w:rsidRPr="00EA59C0">
        <w:t>coursework</w:t>
      </w:r>
      <w:r w:rsidR="00C026A6" w:rsidRPr="00EA59C0">
        <w:t xml:space="preserve"> </w:t>
      </w:r>
      <w:r w:rsidRPr="00EA59C0">
        <w:t>and</w:t>
      </w:r>
      <w:r w:rsidR="00C026A6" w:rsidRPr="00EA59C0">
        <w:t xml:space="preserve"> </w:t>
      </w:r>
      <w:r w:rsidRPr="00EA59C0">
        <w:t>curricula.</w:t>
      </w:r>
      <w:r w:rsidR="00C026A6" w:rsidRPr="00EA59C0">
        <w:t xml:space="preserve">  </w:t>
      </w:r>
      <w:r w:rsidRPr="00EA59C0">
        <w:t>The</w:t>
      </w:r>
      <w:r w:rsidR="00C026A6" w:rsidRPr="00EA59C0">
        <w:t xml:space="preserve"> </w:t>
      </w:r>
      <w:r w:rsidRPr="00EA59C0">
        <w:t>purpose</w:t>
      </w:r>
      <w:r w:rsidR="00C026A6" w:rsidRPr="00EA59C0">
        <w:t xml:space="preserve"> </w:t>
      </w:r>
      <w:r w:rsidRPr="00EA59C0">
        <w:t>of</w:t>
      </w:r>
      <w:r w:rsidR="00C026A6" w:rsidRPr="00EA59C0">
        <w:t xml:space="preserve"> </w:t>
      </w:r>
      <w:r w:rsidRPr="00EA59C0">
        <w:t>this</w:t>
      </w:r>
      <w:r w:rsidR="00C026A6" w:rsidRPr="00EA59C0">
        <w:t xml:space="preserve"> </w:t>
      </w:r>
      <w:r w:rsidRPr="00EA59C0">
        <w:t>analysis</w:t>
      </w:r>
      <w:r w:rsidR="00C026A6" w:rsidRPr="00EA59C0">
        <w:t xml:space="preserve"> </w:t>
      </w:r>
      <w:r w:rsidRPr="00EA59C0">
        <w:t>is</w:t>
      </w:r>
      <w:r w:rsidR="00C026A6" w:rsidRPr="00EA59C0">
        <w:t xml:space="preserve"> </w:t>
      </w:r>
      <w:r w:rsidRPr="00EA59C0">
        <w:t>to</w:t>
      </w:r>
      <w:r w:rsidR="00C026A6" w:rsidRPr="00EA59C0">
        <w:t xml:space="preserve"> </w:t>
      </w:r>
      <w:r w:rsidRPr="00EA59C0">
        <w:t>first</w:t>
      </w:r>
      <w:r w:rsidR="00C026A6" w:rsidRPr="00EA59C0">
        <w:t xml:space="preserve"> </w:t>
      </w:r>
      <w:r w:rsidRPr="00EA59C0">
        <w:t>ensure</w:t>
      </w:r>
      <w:r w:rsidR="00C026A6" w:rsidRPr="00EA59C0">
        <w:t xml:space="preserve"> </w:t>
      </w:r>
      <w:r w:rsidRPr="00EA59C0">
        <w:t>alignment</w:t>
      </w:r>
      <w:r w:rsidR="00C026A6" w:rsidRPr="00EA59C0">
        <w:t xml:space="preserve"> </w:t>
      </w:r>
      <w:r w:rsidRPr="00EA59C0">
        <w:t>with</w:t>
      </w:r>
      <w:r w:rsidR="00C026A6" w:rsidRPr="00EA59C0">
        <w:t xml:space="preserve"> </w:t>
      </w:r>
      <w:r w:rsidRPr="00EA59C0">
        <w:t>existing</w:t>
      </w:r>
      <w:r w:rsidR="00C026A6" w:rsidRPr="00EA59C0">
        <w:t xml:space="preserve"> </w:t>
      </w:r>
      <w:r w:rsidRPr="00EA59C0">
        <w:t>competencies</w:t>
      </w:r>
      <w:r w:rsidR="00C026A6" w:rsidRPr="00EA59C0">
        <w:t xml:space="preserve"> </w:t>
      </w:r>
      <w:r w:rsidRPr="00EA59C0">
        <w:t>and</w:t>
      </w:r>
      <w:r w:rsidR="00C026A6" w:rsidRPr="00EA59C0">
        <w:t xml:space="preserve"> </w:t>
      </w:r>
      <w:r w:rsidRPr="00EA59C0">
        <w:t>to</w:t>
      </w:r>
      <w:r w:rsidR="00C026A6" w:rsidRPr="00EA59C0">
        <w:t xml:space="preserve"> </w:t>
      </w:r>
      <w:r w:rsidRPr="00EA59C0">
        <w:t>avoid</w:t>
      </w:r>
      <w:r w:rsidR="00C026A6" w:rsidRPr="00EA59C0">
        <w:t xml:space="preserve"> </w:t>
      </w:r>
      <w:r w:rsidRPr="00EA59C0">
        <w:t>duplication</w:t>
      </w:r>
      <w:r w:rsidR="00C026A6" w:rsidRPr="00EA59C0">
        <w:t xml:space="preserve"> </w:t>
      </w:r>
      <w:r w:rsidRPr="00EA59C0">
        <w:t>of</w:t>
      </w:r>
      <w:r w:rsidR="00C026A6" w:rsidRPr="00EA59C0">
        <w:t xml:space="preserve"> </w:t>
      </w:r>
      <w:r w:rsidRPr="00EA59C0">
        <w:t>effort,</w:t>
      </w:r>
      <w:r w:rsidR="00C026A6" w:rsidRPr="00EA59C0">
        <w:t xml:space="preserve"> </w:t>
      </w:r>
      <w:r w:rsidRPr="00EA59C0">
        <w:t>and</w:t>
      </w:r>
      <w:r w:rsidR="00C026A6" w:rsidRPr="00EA59C0">
        <w:t xml:space="preserve"> </w:t>
      </w:r>
      <w:r w:rsidRPr="00EA59C0">
        <w:t>second,</w:t>
      </w:r>
      <w:r w:rsidR="00C026A6" w:rsidRPr="00EA59C0">
        <w:t xml:space="preserve"> </w:t>
      </w:r>
      <w:r w:rsidRPr="00EA59C0">
        <w:t>to</w:t>
      </w:r>
      <w:r w:rsidR="00C026A6" w:rsidRPr="00EA59C0">
        <w:t xml:space="preserve"> </w:t>
      </w:r>
      <w:r w:rsidRPr="00EA59C0">
        <w:t>identify</w:t>
      </w:r>
      <w:r w:rsidR="00C026A6" w:rsidRPr="00EA59C0">
        <w:t xml:space="preserve"> </w:t>
      </w:r>
      <w:r w:rsidRPr="00EA59C0">
        <w:t>potential</w:t>
      </w:r>
      <w:r w:rsidR="00C026A6" w:rsidRPr="00EA59C0">
        <w:t xml:space="preserve"> </w:t>
      </w:r>
      <w:r w:rsidRPr="00EA59C0">
        <w:t>need</w:t>
      </w:r>
      <w:r w:rsidR="00C026A6" w:rsidRPr="00EA59C0">
        <w:t xml:space="preserve"> </w:t>
      </w:r>
      <w:r w:rsidRPr="00EA59C0">
        <w:t>for</w:t>
      </w:r>
      <w:r w:rsidR="00C026A6" w:rsidRPr="00EA59C0">
        <w:t xml:space="preserve"> </w:t>
      </w:r>
      <w:r w:rsidRPr="00EA59C0">
        <w:t>a</w:t>
      </w:r>
      <w:r w:rsidR="00C026A6" w:rsidRPr="00EA59C0">
        <w:t xml:space="preserve"> </w:t>
      </w:r>
      <w:r w:rsidRPr="00EA59C0">
        <w:t>new</w:t>
      </w:r>
      <w:r w:rsidR="00C026A6" w:rsidRPr="00EA59C0">
        <w:t xml:space="preserve"> </w:t>
      </w:r>
      <w:r w:rsidRPr="00EA59C0">
        <w:t>industry-recognized</w:t>
      </w:r>
      <w:r w:rsidR="00C026A6" w:rsidRPr="00EA59C0">
        <w:t xml:space="preserve"> </w:t>
      </w:r>
      <w:r w:rsidRPr="00EA59C0">
        <w:t>credential</w:t>
      </w:r>
      <w:r w:rsidR="00C026A6" w:rsidRPr="00EA59C0">
        <w:t xml:space="preserve"> </w:t>
      </w:r>
      <w:r w:rsidRPr="00EA59C0">
        <w:t>to</w:t>
      </w:r>
      <w:r w:rsidR="00C026A6" w:rsidRPr="00EA59C0">
        <w:t xml:space="preserve"> </w:t>
      </w:r>
      <w:r w:rsidRPr="00EA59C0">
        <w:t>address</w:t>
      </w:r>
      <w:r w:rsidR="00C026A6" w:rsidRPr="00EA59C0">
        <w:t xml:space="preserve"> </w:t>
      </w:r>
      <w:r w:rsidRPr="00EA59C0">
        <w:t>currently</w:t>
      </w:r>
      <w:r w:rsidR="00C026A6" w:rsidRPr="00EA59C0">
        <w:t xml:space="preserve"> </w:t>
      </w:r>
      <w:r w:rsidRPr="00EA59C0">
        <w:t>unmet</w:t>
      </w:r>
      <w:r w:rsidR="00C026A6" w:rsidRPr="00EA59C0">
        <w:t xml:space="preserve"> </w:t>
      </w:r>
      <w:r w:rsidRPr="00EA59C0">
        <w:t>employer</w:t>
      </w:r>
      <w:r w:rsidR="00C026A6" w:rsidRPr="00EA59C0">
        <w:t xml:space="preserve"> </w:t>
      </w:r>
      <w:r w:rsidRPr="00EA59C0">
        <w:t>needs.</w:t>
      </w:r>
      <w:r w:rsidR="00C026A6" w:rsidRPr="00EA59C0">
        <w:t xml:space="preserve">  </w:t>
      </w:r>
    </w:p>
    <w:p w:rsidR="003C1FB3" w:rsidRPr="00EA59C0" w:rsidRDefault="003C1FB3" w:rsidP="00080097">
      <w:pPr>
        <w:pStyle w:val="ListParagraph"/>
        <w:numPr>
          <w:ilvl w:val="0"/>
          <w:numId w:val="34"/>
        </w:numPr>
        <w:tabs>
          <w:tab w:val="left" w:pos="1440"/>
          <w:tab w:val="left" w:pos="1530"/>
        </w:tabs>
      </w:pPr>
      <w:r w:rsidRPr="00EA59C0">
        <w:t>Identify</w:t>
      </w:r>
      <w:r w:rsidR="00C026A6" w:rsidRPr="00EA59C0">
        <w:t xml:space="preserve"> </w:t>
      </w:r>
      <w:r w:rsidRPr="00EA59C0">
        <w:t>several</w:t>
      </w:r>
      <w:r w:rsidR="00C026A6" w:rsidRPr="00EA59C0">
        <w:t xml:space="preserve"> </w:t>
      </w:r>
      <w:r w:rsidRPr="00EA59C0">
        <w:t>institutions</w:t>
      </w:r>
      <w:r w:rsidR="00C026A6" w:rsidRPr="00EA59C0">
        <w:t xml:space="preserve"> </w:t>
      </w:r>
      <w:r w:rsidRPr="00EA59C0">
        <w:t>within</w:t>
      </w:r>
      <w:r w:rsidR="00C026A6" w:rsidRPr="00EA59C0">
        <w:t xml:space="preserve"> </w:t>
      </w:r>
      <w:r w:rsidRPr="00EA59C0">
        <w:t>the</w:t>
      </w:r>
      <w:r w:rsidR="00C026A6" w:rsidRPr="00EA59C0">
        <w:t xml:space="preserve"> </w:t>
      </w:r>
      <w:r w:rsidRPr="00EA59C0">
        <w:t>state</w:t>
      </w:r>
      <w:r w:rsidR="00C026A6" w:rsidRPr="00EA59C0">
        <w:t xml:space="preserve"> </w:t>
      </w:r>
      <w:r w:rsidRPr="00EA59C0">
        <w:t>consortia</w:t>
      </w:r>
      <w:r w:rsidR="003E3961" w:rsidRPr="00EA59C0">
        <w:t xml:space="preserve"> (if applicable)</w:t>
      </w:r>
      <w:r w:rsidR="00C026A6" w:rsidRPr="00EA59C0">
        <w:t xml:space="preserve"> </w:t>
      </w:r>
      <w:r w:rsidRPr="00EA59C0">
        <w:t>that</w:t>
      </w:r>
      <w:r w:rsidR="00C026A6" w:rsidRPr="00EA59C0">
        <w:t xml:space="preserve"> </w:t>
      </w:r>
      <w:r w:rsidRPr="00EA59C0">
        <w:t>are</w:t>
      </w:r>
      <w:r w:rsidR="00C026A6" w:rsidRPr="00EA59C0">
        <w:t xml:space="preserve"> </w:t>
      </w:r>
      <w:r w:rsidRPr="00EA59C0">
        <w:t>committed</w:t>
      </w:r>
      <w:r w:rsidR="00C026A6" w:rsidRPr="00EA59C0">
        <w:t xml:space="preserve"> </w:t>
      </w:r>
      <w:r w:rsidRPr="00EA59C0">
        <w:t>to</w:t>
      </w:r>
      <w:r w:rsidR="00C026A6" w:rsidRPr="00EA59C0">
        <w:t xml:space="preserve"> </w:t>
      </w:r>
      <w:r w:rsidRPr="00EA59C0">
        <w:t>develop</w:t>
      </w:r>
      <w:r w:rsidR="00C026A6" w:rsidRPr="00EA59C0">
        <w:t xml:space="preserve"> </w:t>
      </w:r>
      <w:r w:rsidRPr="00EA59C0">
        <w:t>or</w:t>
      </w:r>
      <w:r w:rsidR="00C026A6" w:rsidRPr="00EA59C0">
        <w:t xml:space="preserve"> </w:t>
      </w:r>
      <w:r w:rsidRPr="00EA59C0">
        <w:t>modify</w:t>
      </w:r>
      <w:r w:rsidR="00C026A6" w:rsidRPr="00EA59C0">
        <w:t xml:space="preserve"> </w:t>
      </w:r>
      <w:r w:rsidRPr="00EA59C0">
        <w:t>a</w:t>
      </w:r>
      <w:r w:rsidR="00C026A6" w:rsidRPr="00EA59C0">
        <w:t xml:space="preserve"> </w:t>
      </w:r>
      <w:r w:rsidRPr="00EA59C0">
        <w:t>competency-based</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program</w:t>
      </w:r>
      <w:r w:rsidR="00C026A6" w:rsidRPr="00EA59C0">
        <w:t xml:space="preserve"> </w:t>
      </w:r>
      <w:r w:rsidRPr="00EA59C0">
        <w:t>to</w:t>
      </w:r>
      <w:r w:rsidR="00C026A6" w:rsidRPr="00EA59C0">
        <w:t xml:space="preserve"> </w:t>
      </w:r>
      <w:r w:rsidRPr="00EA59C0">
        <w:t>improve</w:t>
      </w:r>
      <w:r w:rsidR="00C026A6" w:rsidRPr="00EA59C0">
        <w:t xml:space="preserve"> </w:t>
      </w:r>
      <w:r w:rsidR="002014F6" w:rsidRPr="00EA59C0">
        <w:t xml:space="preserve">TAA-eligible and other </w:t>
      </w:r>
      <w:r w:rsidRPr="00EA59C0">
        <w:t>adult</w:t>
      </w:r>
      <w:r w:rsidR="00C026A6" w:rsidRPr="00EA59C0">
        <w:t xml:space="preserve"> </w:t>
      </w:r>
      <w:r w:rsidRPr="00EA59C0">
        <w:t>student</w:t>
      </w:r>
      <w:r w:rsidR="00C026A6" w:rsidRPr="00EA59C0">
        <w:t xml:space="preserve"> </w:t>
      </w:r>
      <w:r w:rsidRPr="00EA59C0">
        <w:t>outcomes</w:t>
      </w:r>
      <w:r w:rsidR="00C026A6" w:rsidRPr="00EA59C0">
        <w:t xml:space="preserve"> </w:t>
      </w:r>
      <w:r w:rsidRPr="00EA59C0">
        <w:t>or</w:t>
      </w:r>
      <w:r w:rsidR="00C026A6" w:rsidRPr="00EA59C0">
        <w:t xml:space="preserve"> </w:t>
      </w:r>
      <w:r w:rsidRPr="00EA59C0">
        <w:t>to</w:t>
      </w:r>
      <w:r w:rsidR="00C026A6" w:rsidRPr="00EA59C0">
        <w:t xml:space="preserve"> </w:t>
      </w:r>
      <w:r w:rsidRPr="00EA59C0">
        <w:t>address</w:t>
      </w:r>
      <w:r w:rsidR="00C026A6" w:rsidRPr="00EA59C0">
        <w:t xml:space="preserve"> </w:t>
      </w:r>
      <w:r w:rsidRPr="00EA59C0">
        <w:t>unmet</w:t>
      </w:r>
      <w:r w:rsidR="00C026A6" w:rsidRPr="00EA59C0">
        <w:t xml:space="preserve"> </w:t>
      </w:r>
      <w:r w:rsidRPr="00EA59C0">
        <w:t>industry</w:t>
      </w:r>
      <w:r w:rsidR="00C026A6" w:rsidRPr="00EA59C0">
        <w:t xml:space="preserve"> </w:t>
      </w:r>
      <w:r w:rsidRPr="00EA59C0">
        <w:t>requirements,</w:t>
      </w:r>
      <w:r w:rsidR="00C026A6" w:rsidRPr="00EA59C0">
        <w:t xml:space="preserve"> </w:t>
      </w:r>
      <w:r w:rsidRPr="00EA59C0">
        <w:t>and</w:t>
      </w:r>
      <w:r w:rsidR="00C026A6" w:rsidRPr="00EA59C0">
        <w:t xml:space="preserve"> </w:t>
      </w:r>
      <w:r w:rsidRPr="00EA59C0">
        <w:t>that</w:t>
      </w:r>
      <w:r w:rsidR="00C026A6" w:rsidRPr="00EA59C0">
        <w:t xml:space="preserve"> </w:t>
      </w:r>
      <w:r w:rsidRPr="00EA59C0">
        <w:t>is</w:t>
      </w:r>
      <w:r w:rsidR="00C026A6" w:rsidRPr="00EA59C0">
        <w:t xml:space="preserve"> </w:t>
      </w:r>
      <w:r w:rsidRPr="00EA59C0">
        <w:t>willing</w:t>
      </w:r>
      <w:r w:rsidR="00C026A6" w:rsidRPr="00EA59C0">
        <w:t xml:space="preserve"> </w:t>
      </w:r>
      <w:r w:rsidRPr="00EA59C0">
        <w:t>to</w:t>
      </w:r>
      <w:r w:rsidR="00C026A6" w:rsidRPr="00EA59C0">
        <w:t xml:space="preserve"> </w:t>
      </w:r>
      <w:r w:rsidRPr="00EA59C0">
        <w:t>collaborate</w:t>
      </w:r>
      <w:r w:rsidR="00C026A6" w:rsidRPr="00EA59C0">
        <w:t xml:space="preserve"> </w:t>
      </w:r>
      <w:r w:rsidRPr="00EA59C0">
        <w:t>to</w:t>
      </w:r>
      <w:r w:rsidR="00C026A6" w:rsidRPr="00EA59C0">
        <w:t xml:space="preserve"> </w:t>
      </w:r>
      <w:r w:rsidRPr="00EA59C0">
        <w:t>establish</w:t>
      </w:r>
      <w:r w:rsidR="00C026A6" w:rsidRPr="00EA59C0">
        <w:t xml:space="preserve"> </w:t>
      </w:r>
      <w:r w:rsidRPr="00EA59C0">
        <w:t>articulation</w:t>
      </w:r>
      <w:r w:rsidR="00C026A6" w:rsidRPr="00EA59C0">
        <w:t xml:space="preserve"> </w:t>
      </w:r>
      <w:r w:rsidRPr="00EA59C0">
        <w:t>agreements</w:t>
      </w:r>
      <w:r w:rsidR="00C026A6" w:rsidRPr="00EA59C0">
        <w:t xml:space="preserve"> </w:t>
      </w:r>
      <w:r w:rsidRPr="00EA59C0">
        <w:t>with</w:t>
      </w:r>
      <w:r w:rsidR="00C026A6" w:rsidRPr="00EA59C0">
        <w:t xml:space="preserve"> </w:t>
      </w:r>
      <w:r w:rsidRPr="00EA59C0">
        <w:t>the</w:t>
      </w:r>
      <w:r w:rsidR="00C026A6" w:rsidRPr="00EA59C0">
        <w:t xml:space="preserve"> </w:t>
      </w:r>
      <w:r w:rsidRPr="00EA59C0">
        <w:t>other</w:t>
      </w:r>
      <w:r w:rsidR="00C026A6" w:rsidRPr="00EA59C0">
        <w:t xml:space="preserve"> </w:t>
      </w:r>
      <w:r w:rsidRPr="00EA59C0">
        <w:t>institutions</w:t>
      </w:r>
      <w:r w:rsidR="00C026A6" w:rsidRPr="00EA59C0">
        <w:t xml:space="preserve"> </w:t>
      </w:r>
      <w:r w:rsidRPr="00EA59C0">
        <w:t>in</w:t>
      </w:r>
      <w:r w:rsidR="00C026A6" w:rsidRPr="00EA59C0">
        <w:t xml:space="preserve"> </w:t>
      </w:r>
      <w:r w:rsidRPr="00EA59C0">
        <w:t>the</w:t>
      </w:r>
      <w:r w:rsidR="00C026A6" w:rsidRPr="00EA59C0">
        <w:t xml:space="preserve"> </w:t>
      </w:r>
      <w:r w:rsidRPr="00EA59C0">
        <w:t>consortia.</w:t>
      </w:r>
      <w:r w:rsidR="00C026A6" w:rsidRPr="00EA59C0">
        <w:t xml:space="preserve">  </w:t>
      </w:r>
      <w:r w:rsidRPr="00EA59C0">
        <w:t>This</w:t>
      </w:r>
      <w:r w:rsidR="00C026A6" w:rsidRPr="00EA59C0">
        <w:t xml:space="preserve"> </w:t>
      </w:r>
      <w:r w:rsidRPr="00EA59C0">
        <w:t>may</w:t>
      </w:r>
      <w:r w:rsidR="00C026A6" w:rsidRPr="00EA59C0">
        <w:t xml:space="preserve"> </w:t>
      </w:r>
      <w:r w:rsidRPr="00EA59C0">
        <w:t>include</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of</w:t>
      </w:r>
      <w:r w:rsidR="00C026A6" w:rsidRPr="00EA59C0">
        <w:t xml:space="preserve"> </w:t>
      </w:r>
      <w:r w:rsidRPr="00EA59C0">
        <w:t>new</w:t>
      </w:r>
      <w:r w:rsidR="00C026A6" w:rsidRPr="00EA59C0">
        <w:t xml:space="preserve"> </w:t>
      </w:r>
      <w:r w:rsidRPr="00EA59C0">
        <w:t>assessment(s)</w:t>
      </w:r>
      <w:r w:rsidR="00C026A6" w:rsidRPr="00EA59C0">
        <w:t xml:space="preserve"> </w:t>
      </w:r>
      <w:r w:rsidRPr="00EA59C0">
        <w:t>or</w:t>
      </w:r>
      <w:r w:rsidR="00C026A6" w:rsidRPr="00EA59C0">
        <w:t xml:space="preserve"> </w:t>
      </w:r>
      <w:r w:rsidRPr="00EA59C0">
        <w:t>credential(s)</w:t>
      </w:r>
      <w:r w:rsidR="00C026A6" w:rsidRPr="00EA59C0">
        <w:t xml:space="preserve"> </w:t>
      </w:r>
      <w:r w:rsidRPr="00EA59C0">
        <w:t>as</w:t>
      </w:r>
      <w:r w:rsidR="00C026A6" w:rsidRPr="00EA59C0">
        <w:t xml:space="preserve"> </w:t>
      </w:r>
      <w:r w:rsidRPr="00EA59C0">
        <w:t>necessary</w:t>
      </w:r>
      <w:r w:rsidR="00C026A6" w:rsidRPr="00EA59C0">
        <w:t xml:space="preserve"> </w:t>
      </w:r>
      <w:r w:rsidRPr="00EA59C0">
        <w:t>and</w:t>
      </w:r>
      <w:r w:rsidR="00C026A6" w:rsidRPr="00EA59C0">
        <w:t xml:space="preserve"> </w:t>
      </w:r>
      <w:r w:rsidRPr="00EA59C0">
        <w:t>will</w:t>
      </w:r>
      <w:r w:rsidR="00C026A6" w:rsidRPr="00EA59C0">
        <w:t xml:space="preserve"> </w:t>
      </w:r>
      <w:r w:rsidRPr="00EA59C0">
        <w:t>include</w:t>
      </w:r>
      <w:r w:rsidR="00C026A6" w:rsidRPr="00EA59C0">
        <w:t xml:space="preserve"> </w:t>
      </w:r>
      <w:r w:rsidRPr="00EA59C0">
        <w:t>documentation</w:t>
      </w:r>
      <w:r w:rsidR="00C026A6" w:rsidRPr="00EA59C0">
        <w:t xml:space="preserve"> </w:t>
      </w:r>
      <w:r w:rsidRPr="00EA59C0">
        <w:t>of</w:t>
      </w:r>
      <w:r w:rsidR="00C026A6" w:rsidRPr="00EA59C0">
        <w:t xml:space="preserve"> </w:t>
      </w:r>
      <w:r w:rsidRPr="00EA59C0">
        <w:t>the</w:t>
      </w:r>
      <w:r w:rsidR="00C026A6" w:rsidRPr="00EA59C0">
        <w:t xml:space="preserve"> </w:t>
      </w:r>
      <w:r w:rsidRPr="00EA59C0">
        <w:t>approach</w:t>
      </w:r>
      <w:r w:rsidR="00C026A6" w:rsidRPr="00EA59C0">
        <w:t xml:space="preserve"> </w:t>
      </w:r>
      <w:r w:rsidRPr="00EA59C0">
        <w:t>used.</w:t>
      </w:r>
    </w:p>
    <w:p w:rsidR="003C1FB3" w:rsidRPr="00EA59C0" w:rsidRDefault="003C1FB3" w:rsidP="00080097">
      <w:pPr>
        <w:pStyle w:val="ListParagraph"/>
        <w:numPr>
          <w:ilvl w:val="0"/>
          <w:numId w:val="34"/>
        </w:numPr>
        <w:tabs>
          <w:tab w:val="left" w:pos="1440"/>
          <w:tab w:val="left" w:pos="1530"/>
        </w:tabs>
      </w:pPr>
      <w:r w:rsidRPr="00EA59C0">
        <w:t>Test</w:t>
      </w:r>
      <w:r w:rsidR="00C026A6" w:rsidRPr="00EA59C0">
        <w:t xml:space="preserve"> </w:t>
      </w:r>
      <w:r w:rsidRPr="00EA59C0">
        <w:t>and</w:t>
      </w:r>
      <w:r w:rsidR="00C026A6" w:rsidRPr="00EA59C0">
        <w:t xml:space="preserve"> </w:t>
      </w:r>
      <w:r w:rsidRPr="00EA59C0">
        <w:t>refine</w:t>
      </w:r>
      <w:r w:rsidR="00C026A6" w:rsidRPr="00EA59C0">
        <w:t xml:space="preserve"> </w:t>
      </w:r>
      <w:r w:rsidRPr="00EA59C0">
        <w:t>the</w:t>
      </w:r>
      <w:r w:rsidR="00C026A6" w:rsidRPr="00EA59C0">
        <w:t xml:space="preserve"> </w:t>
      </w:r>
      <w:r w:rsidRPr="00EA59C0">
        <w:t>competency-based</w:t>
      </w:r>
      <w:r w:rsidR="00C026A6" w:rsidRPr="00EA59C0">
        <w:t xml:space="preserve"> </w:t>
      </w:r>
      <w:r w:rsidRPr="00EA59C0">
        <w:t>program</w:t>
      </w:r>
      <w:r w:rsidR="00C026A6" w:rsidRPr="00EA59C0">
        <w:t xml:space="preserve"> </w:t>
      </w:r>
      <w:r w:rsidRPr="00EA59C0">
        <w:t>with</w:t>
      </w:r>
      <w:r w:rsidR="00C026A6" w:rsidRPr="00EA59C0">
        <w:t xml:space="preserve"> </w:t>
      </w:r>
      <w:r w:rsidRPr="00EA59C0">
        <w:t>students</w:t>
      </w:r>
      <w:r w:rsidR="00C026A6" w:rsidRPr="00EA59C0">
        <w:t xml:space="preserve"> </w:t>
      </w:r>
      <w:r w:rsidRPr="00EA59C0">
        <w:t>drawn</w:t>
      </w:r>
      <w:r w:rsidR="00C026A6" w:rsidRPr="00EA59C0">
        <w:t xml:space="preserve"> </w:t>
      </w:r>
      <w:r w:rsidRPr="00EA59C0">
        <w:t>from</w:t>
      </w:r>
      <w:r w:rsidR="00C026A6" w:rsidRPr="00EA59C0">
        <w:t xml:space="preserve"> </w:t>
      </w:r>
      <w:r w:rsidRPr="00EA59C0">
        <w:t>the</w:t>
      </w:r>
      <w:r w:rsidR="00C026A6" w:rsidRPr="00EA59C0">
        <w:t xml:space="preserve"> </w:t>
      </w:r>
      <w:r w:rsidRPr="00EA59C0">
        <w:t>TAACCCT</w:t>
      </w:r>
      <w:r w:rsidR="00C026A6" w:rsidRPr="00EA59C0">
        <w:t xml:space="preserve"> </w:t>
      </w:r>
      <w:r w:rsidRPr="00EA59C0">
        <w:t>grants,</w:t>
      </w:r>
      <w:r w:rsidR="00C026A6" w:rsidRPr="00EA59C0">
        <w:t xml:space="preserve"> </w:t>
      </w:r>
      <w:r w:rsidRPr="00EA59C0">
        <w:t>particularly</w:t>
      </w:r>
      <w:r w:rsidR="00C026A6" w:rsidRPr="00EA59C0">
        <w:t xml:space="preserve"> </w:t>
      </w:r>
      <w:r w:rsidRPr="00EA59C0">
        <w:t>TAA-eligible</w:t>
      </w:r>
      <w:r w:rsidR="00C026A6" w:rsidRPr="00EA59C0">
        <w:t xml:space="preserve"> </w:t>
      </w:r>
      <w:r w:rsidRPr="00EA59C0">
        <w:t>or</w:t>
      </w:r>
      <w:r w:rsidR="00C026A6" w:rsidRPr="00EA59C0">
        <w:t xml:space="preserve"> </w:t>
      </w:r>
      <w:r w:rsidRPr="00EA59C0">
        <w:t>other</w:t>
      </w:r>
      <w:r w:rsidR="00C026A6" w:rsidRPr="00EA59C0">
        <w:t xml:space="preserve"> </w:t>
      </w:r>
      <w:r w:rsidRPr="00EA59C0">
        <w:t>unemployed</w:t>
      </w:r>
      <w:r w:rsidR="00C026A6" w:rsidRPr="00EA59C0">
        <w:t xml:space="preserve"> </w:t>
      </w:r>
      <w:r w:rsidRPr="00EA59C0">
        <w:t>adults,</w:t>
      </w:r>
      <w:r w:rsidR="00C026A6" w:rsidRPr="00EA59C0">
        <w:t xml:space="preserve"> </w:t>
      </w:r>
      <w:r w:rsidRPr="00EA59C0">
        <w:t>making</w:t>
      </w:r>
      <w:r w:rsidR="00C026A6" w:rsidRPr="00EA59C0">
        <w:t xml:space="preserve"> </w:t>
      </w:r>
      <w:r w:rsidRPr="00EA59C0">
        <w:t>adjustments</w:t>
      </w:r>
      <w:r w:rsidR="00C026A6" w:rsidRPr="00EA59C0">
        <w:t xml:space="preserve"> </w:t>
      </w:r>
      <w:r w:rsidRPr="00EA59C0">
        <w:t>as</w:t>
      </w:r>
      <w:r w:rsidR="00C026A6" w:rsidRPr="00EA59C0">
        <w:t xml:space="preserve"> </w:t>
      </w:r>
      <w:r w:rsidRPr="00EA59C0">
        <w:t>necessary,</w:t>
      </w:r>
      <w:r w:rsidR="00C026A6" w:rsidRPr="00EA59C0">
        <w:t xml:space="preserve"> </w:t>
      </w:r>
      <w:r w:rsidRPr="00EA59C0">
        <w:t>such</w:t>
      </w:r>
      <w:r w:rsidR="00C026A6" w:rsidRPr="00EA59C0">
        <w:t xml:space="preserve"> </w:t>
      </w:r>
      <w:r w:rsidRPr="00EA59C0">
        <w:t>as</w:t>
      </w:r>
      <w:r w:rsidR="00C026A6" w:rsidRPr="00EA59C0">
        <w:t xml:space="preserve"> </w:t>
      </w:r>
      <w:r w:rsidRPr="00EA59C0">
        <w:t>the</w:t>
      </w:r>
      <w:r w:rsidR="00C026A6" w:rsidRPr="00EA59C0">
        <w:t xml:space="preserve"> </w:t>
      </w:r>
      <w:r w:rsidRPr="00EA59C0">
        <w:t>need</w:t>
      </w:r>
      <w:r w:rsidR="00C026A6" w:rsidRPr="00EA59C0">
        <w:t xml:space="preserve"> </w:t>
      </w:r>
      <w:r w:rsidRPr="00EA59C0">
        <w:t>to</w:t>
      </w:r>
      <w:r w:rsidR="00C026A6" w:rsidRPr="00EA59C0">
        <w:t xml:space="preserve"> </w:t>
      </w:r>
      <w:r w:rsidRPr="00EA59C0">
        <w:t>incorporate</w:t>
      </w:r>
      <w:r w:rsidR="00C026A6" w:rsidRPr="00EA59C0">
        <w:t xml:space="preserve"> </w:t>
      </w:r>
      <w:r w:rsidRPr="00EA59C0">
        <w:t>contextualized</w:t>
      </w:r>
      <w:r w:rsidR="00C026A6" w:rsidRPr="00EA59C0">
        <w:t xml:space="preserve"> </w:t>
      </w:r>
      <w:r w:rsidRPr="00EA59C0">
        <w:t>remediation.</w:t>
      </w:r>
    </w:p>
    <w:p w:rsidR="00A01138" w:rsidRPr="00EA59C0" w:rsidRDefault="00A01138" w:rsidP="00080097">
      <w:pPr>
        <w:pStyle w:val="ListParagraph"/>
        <w:numPr>
          <w:ilvl w:val="0"/>
          <w:numId w:val="34"/>
        </w:numPr>
        <w:tabs>
          <w:tab w:val="left" w:pos="1440"/>
          <w:tab w:val="left" w:pos="1530"/>
        </w:tabs>
      </w:pPr>
      <w:r w:rsidRPr="00EA59C0">
        <w:t>Once</w:t>
      </w:r>
      <w:r w:rsidR="00C026A6" w:rsidRPr="00EA59C0">
        <w:t xml:space="preserve"> </w:t>
      </w:r>
      <w:r w:rsidRPr="00EA59C0">
        <w:t>tested</w:t>
      </w:r>
      <w:r w:rsidR="00C026A6" w:rsidRPr="00EA59C0">
        <w:t xml:space="preserve"> </w:t>
      </w:r>
      <w:r w:rsidRPr="00EA59C0">
        <w:t>and</w:t>
      </w:r>
      <w:r w:rsidR="00C026A6" w:rsidRPr="00EA59C0">
        <w:t xml:space="preserve"> </w:t>
      </w:r>
      <w:r w:rsidRPr="00EA59C0">
        <w:t>refined,</w:t>
      </w:r>
      <w:r w:rsidR="00C026A6" w:rsidRPr="00EA59C0">
        <w:t xml:space="preserve"> </w:t>
      </w:r>
      <w:r w:rsidR="00544B7D" w:rsidRPr="00EA59C0">
        <w:t>national</w:t>
      </w:r>
      <w:r w:rsidR="00C026A6" w:rsidRPr="00EA59C0">
        <w:t xml:space="preserve"> </w:t>
      </w:r>
      <w:r w:rsidR="00544B7D" w:rsidRPr="00EA59C0">
        <w:t>industry</w:t>
      </w:r>
      <w:r w:rsidR="00C026A6" w:rsidRPr="00EA59C0">
        <w:t xml:space="preserve"> </w:t>
      </w:r>
      <w:r w:rsidR="00544B7D" w:rsidRPr="00EA59C0">
        <w:t>representatives</w:t>
      </w:r>
      <w:r w:rsidR="00C026A6" w:rsidRPr="00EA59C0">
        <w:t xml:space="preserve"> </w:t>
      </w:r>
      <w:r w:rsidR="000E51E4" w:rsidRPr="00EA59C0">
        <w:t>or</w:t>
      </w:r>
      <w:r w:rsidR="00C026A6" w:rsidRPr="00EA59C0">
        <w:t xml:space="preserve"> </w:t>
      </w:r>
      <w:r w:rsidR="000E51E4" w:rsidRPr="00EA59C0">
        <w:t>other</w:t>
      </w:r>
      <w:r w:rsidR="00C026A6" w:rsidRPr="00EA59C0">
        <w:t xml:space="preserve"> </w:t>
      </w:r>
      <w:r w:rsidR="000E51E4" w:rsidRPr="00EA59C0">
        <w:t>national</w:t>
      </w:r>
      <w:r w:rsidR="00C026A6" w:rsidRPr="00EA59C0">
        <w:t xml:space="preserve"> </w:t>
      </w:r>
      <w:r w:rsidR="000E51E4" w:rsidRPr="00EA59C0">
        <w:t>partners</w:t>
      </w:r>
      <w:r w:rsidR="00C026A6" w:rsidRPr="00EA59C0">
        <w:t xml:space="preserve"> </w:t>
      </w:r>
      <w:r w:rsidR="00544B7D" w:rsidRPr="00EA59C0">
        <w:t>will</w:t>
      </w:r>
      <w:r w:rsidR="00C026A6" w:rsidRPr="00EA59C0">
        <w:t xml:space="preserve"> </w:t>
      </w:r>
      <w:r w:rsidR="00544B7D" w:rsidRPr="00EA59C0">
        <w:t>help</w:t>
      </w:r>
      <w:r w:rsidR="00C026A6" w:rsidRPr="00EA59C0">
        <w:t xml:space="preserve"> </w:t>
      </w:r>
      <w:r w:rsidR="00544B7D" w:rsidRPr="00EA59C0">
        <w:t>to</w:t>
      </w:r>
      <w:r w:rsidR="00C026A6" w:rsidRPr="00EA59C0">
        <w:t xml:space="preserve"> </w:t>
      </w:r>
      <w:r w:rsidR="00544B7D" w:rsidRPr="00EA59C0">
        <w:t>implement</w:t>
      </w:r>
      <w:r w:rsidR="00C026A6" w:rsidRPr="00EA59C0">
        <w:t xml:space="preserve"> </w:t>
      </w:r>
      <w:r w:rsidR="00544B7D" w:rsidRPr="00EA59C0">
        <w:t>the</w:t>
      </w:r>
      <w:r w:rsidR="00C026A6" w:rsidRPr="00EA59C0">
        <w:t xml:space="preserve"> </w:t>
      </w:r>
      <w:r w:rsidRPr="00EA59C0">
        <w:t>competency</w:t>
      </w:r>
      <w:r w:rsidR="00C026A6" w:rsidRPr="00EA59C0">
        <w:t xml:space="preserve"> </w:t>
      </w:r>
      <w:r w:rsidRPr="00EA59C0">
        <w:t>based</w:t>
      </w:r>
      <w:r w:rsidR="00C026A6" w:rsidRPr="00EA59C0">
        <w:t xml:space="preserve"> </w:t>
      </w:r>
      <w:r w:rsidRPr="00EA59C0">
        <w:t>program</w:t>
      </w:r>
      <w:r w:rsidR="00692D92" w:rsidRPr="00EA59C0">
        <w:t>(s)</w:t>
      </w:r>
      <w:r w:rsidR="00C026A6" w:rsidRPr="00EA59C0">
        <w:t xml:space="preserve"> </w:t>
      </w:r>
      <w:r w:rsidRPr="00EA59C0">
        <w:t>at</w:t>
      </w:r>
      <w:r w:rsidR="00C026A6" w:rsidRPr="00EA59C0">
        <w:t xml:space="preserve"> </w:t>
      </w:r>
      <w:r w:rsidR="00544B7D" w:rsidRPr="00EA59C0">
        <w:t>other</w:t>
      </w:r>
      <w:r w:rsidR="00C026A6" w:rsidRPr="00EA59C0">
        <w:t xml:space="preserve"> </w:t>
      </w:r>
      <w:r w:rsidRPr="00EA59C0">
        <w:t>community</w:t>
      </w:r>
      <w:r w:rsidR="00C026A6" w:rsidRPr="00EA59C0">
        <w:t xml:space="preserve"> </w:t>
      </w:r>
      <w:r w:rsidRPr="00EA59C0">
        <w:t>colleges</w:t>
      </w:r>
      <w:r w:rsidR="00C026A6" w:rsidRPr="00EA59C0">
        <w:t xml:space="preserve"> </w:t>
      </w:r>
      <w:r w:rsidR="00544B7D" w:rsidRPr="00EA59C0">
        <w:t>either</w:t>
      </w:r>
      <w:r w:rsidR="00C026A6" w:rsidRPr="00EA59C0">
        <w:t xml:space="preserve"> </w:t>
      </w:r>
      <w:r w:rsidR="00544B7D" w:rsidRPr="00EA59C0">
        <w:t>within</w:t>
      </w:r>
      <w:r w:rsidR="00C026A6" w:rsidRPr="00EA59C0">
        <w:t xml:space="preserve"> </w:t>
      </w:r>
      <w:r w:rsidR="00544B7D" w:rsidRPr="00EA59C0">
        <w:t>or</w:t>
      </w:r>
      <w:r w:rsidR="00C026A6" w:rsidRPr="00EA59C0">
        <w:t xml:space="preserve"> </w:t>
      </w:r>
      <w:r w:rsidR="00544B7D" w:rsidRPr="00EA59C0">
        <w:t>outside</w:t>
      </w:r>
      <w:r w:rsidR="00C026A6" w:rsidRPr="00EA59C0">
        <w:t xml:space="preserve"> </w:t>
      </w:r>
      <w:r w:rsidR="00544B7D" w:rsidRPr="00EA59C0">
        <w:t>of</w:t>
      </w:r>
      <w:r w:rsidR="00C026A6" w:rsidRPr="00EA59C0">
        <w:t xml:space="preserve"> </w:t>
      </w:r>
      <w:r w:rsidR="00544B7D" w:rsidRPr="00EA59C0">
        <w:t>the</w:t>
      </w:r>
      <w:r w:rsidR="00C026A6" w:rsidRPr="00EA59C0">
        <w:t xml:space="preserve"> </w:t>
      </w:r>
      <w:r w:rsidR="00544B7D" w:rsidRPr="00EA59C0">
        <w:t>state</w:t>
      </w:r>
      <w:r w:rsidR="00C026A6" w:rsidRPr="00EA59C0">
        <w:t xml:space="preserve"> </w:t>
      </w:r>
      <w:r w:rsidR="00E54B74" w:rsidRPr="00EA59C0">
        <w:t>based</w:t>
      </w:r>
      <w:r w:rsidR="00C026A6" w:rsidRPr="00EA59C0">
        <w:t xml:space="preserve"> </w:t>
      </w:r>
      <w:r w:rsidR="00E54B74" w:rsidRPr="00EA59C0">
        <w:t>on</w:t>
      </w:r>
      <w:r w:rsidR="00C026A6" w:rsidRPr="00EA59C0">
        <w:t xml:space="preserve"> </w:t>
      </w:r>
      <w:r w:rsidR="00E54B74" w:rsidRPr="00EA59C0">
        <w:t>the</w:t>
      </w:r>
      <w:r w:rsidR="00C026A6" w:rsidRPr="00EA59C0">
        <w:t xml:space="preserve"> </w:t>
      </w:r>
      <w:r w:rsidR="00E54B74" w:rsidRPr="00EA59C0">
        <w:t>needs</w:t>
      </w:r>
      <w:r w:rsidR="00C026A6" w:rsidRPr="00EA59C0">
        <w:t xml:space="preserve"> </w:t>
      </w:r>
      <w:r w:rsidR="00E54B74" w:rsidRPr="00EA59C0">
        <w:t>of</w:t>
      </w:r>
      <w:r w:rsidR="00C026A6" w:rsidRPr="00EA59C0">
        <w:t xml:space="preserve"> </w:t>
      </w:r>
      <w:r w:rsidR="00E54B74" w:rsidRPr="00EA59C0">
        <w:t>the</w:t>
      </w:r>
      <w:r w:rsidR="00C026A6" w:rsidRPr="00EA59C0">
        <w:t xml:space="preserve"> </w:t>
      </w:r>
      <w:r w:rsidR="00E54B74" w:rsidRPr="00EA59C0">
        <w:t>college’s</w:t>
      </w:r>
      <w:r w:rsidR="00C026A6" w:rsidRPr="00EA59C0">
        <w:t xml:space="preserve"> </w:t>
      </w:r>
      <w:r w:rsidR="00E54B74" w:rsidRPr="00EA59C0">
        <w:t>regional</w:t>
      </w:r>
      <w:r w:rsidR="00C026A6" w:rsidRPr="00EA59C0">
        <w:t xml:space="preserve"> </w:t>
      </w:r>
      <w:r w:rsidR="00E54B74" w:rsidRPr="00EA59C0">
        <w:t>labor</w:t>
      </w:r>
      <w:r w:rsidR="00C026A6" w:rsidRPr="00EA59C0">
        <w:t xml:space="preserve"> </w:t>
      </w:r>
      <w:r w:rsidR="00E54B74" w:rsidRPr="00EA59C0">
        <w:t>markets</w:t>
      </w:r>
      <w:r w:rsidRPr="00EA59C0">
        <w:t>.</w:t>
      </w:r>
    </w:p>
    <w:p w:rsidR="003C1FB3" w:rsidRPr="00EA59C0" w:rsidRDefault="003C1FB3" w:rsidP="00080097">
      <w:pPr>
        <w:pStyle w:val="ListParagraph"/>
        <w:numPr>
          <w:ilvl w:val="0"/>
          <w:numId w:val="34"/>
        </w:numPr>
        <w:tabs>
          <w:tab w:val="left" w:pos="1440"/>
          <w:tab w:val="left" w:pos="1530"/>
        </w:tabs>
      </w:pPr>
      <w:r w:rsidRPr="00EA59C0">
        <w:t>Make</w:t>
      </w:r>
      <w:r w:rsidR="00C026A6" w:rsidRPr="00EA59C0">
        <w:t xml:space="preserve"> </w:t>
      </w:r>
      <w:r w:rsidRPr="00EA59C0">
        <w:t>available</w:t>
      </w:r>
      <w:r w:rsidR="00C026A6" w:rsidRPr="00EA59C0">
        <w:t xml:space="preserve"> </w:t>
      </w:r>
      <w:r w:rsidRPr="00EA59C0">
        <w:t>the</w:t>
      </w:r>
      <w:r w:rsidR="00C026A6" w:rsidRPr="00EA59C0">
        <w:t xml:space="preserve"> </w:t>
      </w:r>
      <w:r w:rsidRPr="00EA59C0">
        <w:t>model</w:t>
      </w:r>
      <w:r w:rsidR="00C026A6" w:rsidRPr="00EA59C0">
        <w:t xml:space="preserve"> </w:t>
      </w:r>
      <w:r w:rsidRPr="00EA59C0">
        <w:t>approach,</w:t>
      </w:r>
      <w:r w:rsidR="00C026A6" w:rsidRPr="00EA59C0">
        <w:t xml:space="preserve"> </w:t>
      </w:r>
      <w:r w:rsidRPr="00EA59C0">
        <w:t>competency</w:t>
      </w:r>
      <w:r w:rsidR="00C026A6" w:rsidRPr="00EA59C0">
        <w:t xml:space="preserve"> </w:t>
      </w:r>
      <w:r w:rsidRPr="00EA59C0">
        <w:t>framework</w:t>
      </w:r>
      <w:r w:rsidR="00C026A6" w:rsidRPr="00EA59C0">
        <w:t xml:space="preserve"> </w:t>
      </w:r>
      <w:r w:rsidRPr="00EA59C0">
        <w:t>and</w:t>
      </w:r>
      <w:r w:rsidR="00C026A6" w:rsidRPr="00EA59C0">
        <w:t xml:space="preserve"> </w:t>
      </w:r>
      <w:r w:rsidRPr="00EA59C0">
        <w:t>competency-based</w:t>
      </w:r>
      <w:r w:rsidR="00C026A6" w:rsidRPr="00EA59C0">
        <w:t xml:space="preserve"> </w:t>
      </w:r>
      <w:r w:rsidRPr="00EA59C0">
        <w:t>program(s)</w:t>
      </w:r>
      <w:r w:rsidR="00C026A6" w:rsidRPr="00EA59C0">
        <w:t xml:space="preserve"> </w:t>
      </w:r>
      <w:r w:rsidRPr="00EA59C0">
        <w:t>including</w:t>
      </w:r>
      <w:r w:rsidR="00C026A6" w:rsidRPr="00EA59C0">
        <w:t xml:space="preserve"> </w:t>
      </w:r>
      <w:r w:rsidRPr="00EA59C0">
        <w:t>accompanying</w:t>
      </w:r>
      <w:r w:rsidR="00C026A6" w:rsidRPr="00EA59C0">
        <w:t xml:space="preserve"> </w:t>
      </w:r>
      <w:r w:rsidRPr="00EA59C0">
        <w:t>assessment</w:t>
      </w:r>
      <w:r w:rsidR="00C026A6" w:rsidRPr="00EA59C0">
        <w:t xml:space="preserve"> </w:t>
      </w:r>
      <w:r w:rsidRPr="00EA59C0">
        <w:t>tool(s)</w:t>
      </w:r>
      <w:r w:rsidR="00C026A6" w:rsidRPr="00EA59C0">
        <w:t xml:space="preserve"> </w:t>
      </w:r>
      <w:r w:rsidRPr="00EA59C0">
        <w:t>and</w:t>
      </w:r>
      <w:r w:rsidR="00C026A6" w:rsidRPr="00EA59C0">
        <w:t xml:space="preserve"> </w:t>
      </w:r>
      <w:r w:rsidRPr="00EA59C0">
        <w:t>credentials</w:t>
      </w:r>
      <w:r w:rsidR="00C026A6" w:rsidRPr="00EA59C0">
        <w:t xml:space="preserve"> </w:t>
      </w:r>
      <w:r w:rsidRPr="00EA59C0">
        <w:t>produced,</w:t>
      </w:r>
      <w:r w:rsidR="00C026A6" w:rsidRPr="00EA59C0">
        <w:t xml:space="preserve"> </w:t>
      </w:r>
      <w:r w:rsidRPr="00EA59C0">
        <w:t>and</w:t>
      </w:r>
      <w:r w:rsidR="00C026A6" w:rsidRPr="00EA59C0">
        <w:t xml:space="preserve"> </w:t>
      </w:r>
      <w:r w:rsidRPr="00EA59C0">
        <w:t>widely</w:t>
      </w:r>
      <w:r w:rsidR="00C026A6" w:rsidRPr="00EA59C0">
        <w:t xml:space="preserve"> </w:t>
      </w:r>
      <w:r w:rsidRPr="00EA59C0">
        <w:t>disseminate</w:t>
      </w:r>
      <w:r w:rsidR="00C026A6" w:rsidRPr="00EA59C0">
        <w:t xml:space="preserve"> </w:t>
      </w:r>
      <w:r w:rsidRPr="00EA59C0">
        <w:t>information</w:t>
      </w:r>
      <w:r w:rsidR="00C026A6" w:rsidRPr="00EA59C0">
        <w:t xml:space="preserve"> </w:t>
      </w:r>
      <w:r w:rsidRPr="00EA59C0">
        <w:t>on</w:t>
      </w:r>
      <w:r w:rsidR="00C026A6" w:rsidRPr="00EA59C0">
        <w:t xml:space="preserve"> </w:t>
      </w:r>
      <w:r w:rsidRPr="00EA59C0">
        <w:t>the</w:t>
      </w:r>
      <w:r w:rsidR="00C026A6" w:rsidRPr="00EA59C0">
        <w:t xml:space="preserve"> </w:t>
      </w:r>
      <w:r w:rsidRPr="00EA59C0">
        <w:t>uses</w:t>
      </w:r>
      <w:r w:rsidR="00C026A6" w:rsidRPr="00EA59C0">
        <w:t xml:space="preserve"> </w:t>
      </w:r>
      <w:r w:rsidRPr="00EA59C0">
        <w:t>and</w:t>
      </w:r>
      <w:r w:rsidR="00C026A6" w:rsidRPr="00EA59C0">
        <w:t xml:space="preserve"> </w:t>
      </w:r>
      <w:r w:rsidRPr="00EA59C0">
        <w:t>benefits</w:t>
      </w:r>
      <w:r w:rsidR="00C026A6" w:rsidRPr="00EA59C0">
        <w:t xml:space="preserve"> </w:t>
      </w:r>
      <w:r w:rsidRPr="00EA59C0">
        <w:t>of</w:t>
      </w:r>
      <w:r w:rsidR="00C026A6" w:rsidRPr="00EA59C0">
        <w:t xml:space="preserve"> </w:t>
      </w:r>
      <w:r w:rsidRPr="00EA59C0">
        <w:t>this</w:t>
      </w:r>
      <w:r w:rsidR="00C026A6" w:rsidRPr="00EA59C0">
        <w:t xml:space="preserve"> </w:t>
      </w:r>
      <w:r w:rsidRPr="00EA59C0">
        <w:t>approach</w:t>
      </w:r>
      <w:r w:rsidR="00C026A6" w:rsidRPr="00EA59C0">
        <w:t xml:space="preserve"> </w:t>
      </w:r>
      <w:r w:rsidRPr="00EA59C0">
        <w:t>throughout</w:t>
      </w:r>
      <w:r w:rsidR="00C026A6" w:rsidRPr="00EA59C0">
        <w:t xml:space="preserve"> </w:t>
      </w:r>
      <w:r w:rsidRPr="00EA59C0">
        <w:t>the</w:t>
      </w:r>
      <w:r w:rsidR="00C026A6" w:rsidRPr="00EA59C0">
        <w:t xml:space="preserve"> </w:t>
      </w:r>
      <w:r w:rsidRPr="00EA59C0">
        <w:t>trade</w:t>
      </w:r>
      <w:r w:rsidR="00C026A6" w:rsidRPr="00EA59C0">
        <w:t xml:space="preserve"> </w:t>
      </w:r>
      <w:r w:rsidRPr="00EA59C0">
        <w:t>and</w:t>
      </w:r>
      <w:r w:rsidR="00C026A6" w:rsidRPr="00EA59C0">
        <w:t xml:space="preserve"> </w:t>
      </w:r>
      <w:r w:rsidRPr="00EA59C0">
        <w:t>industry</w:t>
      </w:r>
      <w:r w:rsidR="00C026A6" w:rsidRPr="00EA59C0">
        <w:t xml:space="preserve"> </w:t>
      </w:r>
      <w:r w:rsidRPr="00EA59C0">
        <w:t>association(s),</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network,</w:t>
      </w:r>
      <w:r w:rsidR="00C026A6" w:rsidRPr="00EA59C0">
        <w:t xml:space="preserve"> </w:t>
      </w:r>
      <w:r w:rsidRPr="00EA59C0">
        <w:t>public</w:t>
      </w:r>
      <w:r w:rsidR="00C026A6" w:rsidRPr="00EA59C0">
        <w:t xml:space="preserve"> </w:t>
      </w:r>
      <w:r w:rsidRPr="00EA59C0">
        <w:t>workforce</w:t>
      </w:r>
      <w:r w:rsidR="00C026A6" w:rsidRPr="00EA59C0">
        <w:t xml:space="preserve"> </w:t>
      </w:r>
      <w:r w:rsidRPr="00EA59C0">
        <w:t>system,</w:t>
      </w:r>
      <w:r w:rsidR="00C026A6" w:rsidRPr="00EA59C0">
        <w:t xml:space="preserve"> </w:t>
      </w:r>
      <w:r w:rsidRPr="00EA59C0">
        <w:t>and</w:t>
      </w:r>
      <w:r w:rsidR="00C026A6" w:rsidRPr="00EA59C0">
        <w:t xml:space="preserve"> </w:t>
      </w:r>
      <w:r w:rsidRPr="00EA59C0">
        <w:t>other</w:t>
      </w:r>
      <w:r w:rsidR="00C026A6" w:rsidRPr="00EA59C0">
        <w:t xml:space="preserve"> </w:t>
      </w:r>
      <w:r w:rsidRPr="00EA59C0">
        <w:t>credentialing</w:t>
      </w:r>
      <w:r w:rsidR="00C026A6" w:rsidRPr="00EA59C0">
        <w:t xml:space="preserve"> </w:t>
      </w:r>
      <w:r w:rsidRPr="00EA59C0">
        <w:t>bodies.</w:t>
      </w:r>
      <w:r w:rsidR="00C026A6" w:rsidRPr="00EA59C0">
        <w:t xml:space="preserve">  </w:t>
      </w:r>
      <w:r w:rsidRPr="00EA59C0">
        <w:t>Set</w:t>
      </w:r>
      <w:r w:rsidR="00C026A6" w:rsidRPr="00EA59C0">
        <w:t xml:space="preserve"> </w:t>
      </w:r>
      <w:r w:rsidRPr="00EA59C0">
        <w:t>up</w:t>
      </w:r>
      <w:r w:rsidR="00C026A6" w:rsidRPr="00EA59C0">
        <w:t xml:space="preserve"> </w:t>
      </w:r>
      <w:r w:rsidRPr="00EA59C0">
        <w:t>a</w:t>
      </w:r>
      <w:r w:rsidR="00C026A6" w:rsidRPr="00EA59C0">
        <w:t xml:space="preserve"> </w:t>
      </w:r>
      <w:r w:rsidRPr="00EA59C0">
        <w:t>faculty</w:t>
      </w:r>
      <w:r w:rsidR="00C026A6" w:rsidRPr="00EA59C0">
        <w:t xml:space="preserve"> </w:t>
      </w:r>
      <w:r w:rsidRPr="00EA59C0">
        <w:t>training</w:t>
      </w:r>
      <w:r w:rsidR="00C026A6" w:rsidRPr="00EA59C0">
        <w:t xml:space="preserve"> </w:t>
      </w:r>
      <w:r w:rsidRPr="00EA59C0">
        <w:t>program</w:t>
      </w:r>
      <w:r w:rsidR="00C026A6" w:rsidRPr="00EA59C0">
        <w:t xml:space="preserve"> </w:t>
      </w:r>
      <w:r w:rsidRPr="00EA59C0">
        <w:t>during</w:t>
      </w:r>
      <w:r w:rsidR="00C026A6" w:rsidRPr="00EA59C0">
        <w:t xml:space="preserve"> </w:t>
      </w:r>
      <w:r w:rsidRPr="00EA59C0">
        <w:t>the</w:t>
      </w:r>
      <w:r w:rsidR="00C026A6" w:rsidRPr="00EA59C0">
        <w:t xml:space="preserve"> </w:t>
      </w:r>
      <w:r w:rsidRPr="00EA59C0">
        <w:t>grant</w:t>
      </w:r>
      <w:r w:rsidR="00C026A6" w:rsidRPr="00EA59C0">
        <w:t xml:space="preserve"> </w:t>
      </w:r>
      <w:r w:rsidRPr="00EA59C0">
        <w:t>period</w:t>
      </w:r>
      <w:r w:rsidR="00C026A6" w:rsidRPr="00EA59C0">
        <w:t xml:space="preserve"> </w:t>
      </w:r>
      <w:r w:rsidRPr="00EA59C0">
        <w:t>to</w:t>
      </w:r>
      <w:r w:rsidR="00C026A6" w:rsidRPr="00EA59C0">
        <w:t xml:space="preserve"> </w:t>
      </w:r>
      <w:r w:rsidRPr="00EA59C0">
        <w:t>engage</w:t>
      </w:r>
      <w:r w:rsidR="00C026A6" w:rsidRPr="00EA59C0">
        <w:t xml:space="preserve"> </w:t>
      </w:r>
      <w:r w:rsidRPr="00EA59C0">
        <w:t>additional</w:t>
      </w:r>
      <w:r w:rsidR="00C026A6" w:rsidRPr="00EA59C0">
        <w:t xml:space="preserve"> </w:t>
      </w:r>
      <w:r w:rsidRPr="00EA59C0">
        <w:t>educational</w:t>
      </w:r>
      <w:r w:rsidR="00C026A6" w:rsidRPr="00EA59C0">
        <w:t xml:space="preserve"> </w:t>
      </w:r>
      <w:r w:rsidRPr="00EA59C0">
        <w:t>institutions</w:t>
      </w:r>
      <w:r w:rsidR="00C026A6" w:rsidRPr="00EA59C0">
        <w:t xml:space="preserve"> </w:t>
      </w:r>
      <w:r w:rsidRPr="00EA59C0">
        <w:t>over</w:t>
      </w:r>
      <w:r w:rsidR="00C026A6" w:rsidRPr="00EA59C0">
        <w:t xml:space="preserve"> </w:t>
      </w:r>
      <w:r w:rsidRPr="00EA59C0">
        <w:t>time.</w:t>
      </w:r>
    </w:p>
    <w:p w:rsidR="006C67B4" w:rsidRPr="00EA59C0" w:rsidRDefault="006C67B4" w:rsidP="00D03948">
      <w:pPr>
        <w:pStyle w:val="ListParagraph"/>
        <w:ind w:left="0"/>
      </w:pPr>
    </w:p>
    <w:p w:rsidR="000618E4" w:rsidRPr="00EA59C0" w:rsidRDefault="00CE52C4" w:rsidP="00B93729">
      <w:pPr>
        <w:pStyle w:val="ListParagraph"/>
        <w:ind w:left="1440"/>
      </w:pPr>
      <w:r w:rsidRPr="00EA59C0">
        <w:t>See</w:t>
      </w:r>
      <w:r w:rsidR="00C026A6" w:rsidRPr="00EA59C0">
        <w:t xml:space="preserve"> </w:t>
      </w:r>
      <w:r w:rsidRPr="00EA59C0">
        <w:t>Section</w:t>
      </w:r>
      <w:r w:rsidR="00C026A6" w:rsidRPr="00EA59C0">
        <w:t xml:space="preserve"> </w:t>
      </w:r>
      <w:r w:rsidR="00D83B75" w:rsidRPr="00EA59C0">
        <w:t>V.B</w:t>
      </w:r>
      <w:r w:rsidR="00C026A6" w:rsidRPr="00EA59C0">
        <w:t xml:space="preserve"> </w:t>
      </w:r>
      <w:r w:rsidRPr="00EA59C0">
        <w:t>for</w:t>
      </w:r>
      <w:r w:rsidR="00C026A6" w:rsidRPr="00EA59C0">
        <w:t xml:space="preserve"> </w:t>
      </w:r>
      <w:r w:rsidRPr="00EA59C0">
        <w:t>more</w:t>
      </w:r>
      <w:r w:rsidR="00C026A6" w:rsidRPr="00EA59C0">
        <w:t xml:space="preserve"> </w:t>
      </w:r>
      <w:r w:rsidRPr="00EA59C0">
        <w:t>information</w:t>
      </w:r>
      <w:r w:rsidR="00C026A6" w:rsidRPr="00EA59C0">
        <w:t xml:space="preserve"> </w:t>
      </w:r>
      <w:r w:rsidRPr="00EA59C0">
        <w:t>on</w:t>
      </w:r>
      <w:r w:rsidR="00C026A6" w:rsidRPr="00EA59C0">
        <w:t xml:space="preserve"> </w:t>
      </w:r>
      <w:r w:rsidRPr="00EA59C0">
        <w:t>the</w:t>
      </w:r>
      <w:r w:rsidR="00C026A6" w:rsidRPr="00EA59C0">
        <w:t xml:space="preserve"> </w:t>
      </w:r>
      <w:r w:rsidRPr="00EA59C0">
        <w:t>additional</w:t>
      </w:r>
      <w:r w:rsidR="00C026A6" w:rsidRPr="00EA59C0">
        <w:t xml:space="preserve"> </w:t>
      </w:r>
      <w:r w:rsidRPr="00EA59C0">
        <w:t>requirements</w:t>
      </w:r>
      <w:r w:rsidR="00C026A6" w:rsidRPr="00EA59C0">
        <w:t xml:space="preserve"> </w:t>
      </w:r>
      <w:r w:rsidRPr="00EA59C0">
        <w:t>for</w:t>
      </w:r>
      <w:r w:rsidR="00C026A6" w:rsidRPr="00EA59C0">
        <w:t xml:space="preserve"> </w:t>
      </w:r>
      <w:r w:rsidR="001D16E8" w:rsidRPr="00EA59C0">
        <w:t>applicants</w:t>
      </w:r>
      <w:r w:rsidR="00C026A6" w:rsidRPr="00EA59C0">
        <w:t xml:space="preserve"> </w:t>
      </w:r>
      <w:r w:rsidRPr="00EA59C0">
        <w:t>who</w:t>
      </w:r>
      <w:r w:rsidR="00C026A6" w:rsidRPr="00EA59C0">
        <w:t xml:space="preserve"> </w:t>
      </w:r>
      <w:r w:rsidR="001D16E8" w:rsidRPr="00EA59C0">
        <w:t>wish</w:t>
      </w:r>
      <w:r w:rsidR="00C026A6" w:rsidRPr="00EA59C0">
        <w:t xml:space="preserve"> </w:t>
      </w:r>
      <w:r w:rsidRPr="00EA59C0">
        <w:t>to</w:t>
      </w:r>
      <w:r w:rsidR="00C026A6" w:rsidRPr="00EA59C0">
        <w:t xml:space="preserve"> </w:t>
      </w:r>
      <w:r w:rsidRPr="00EA59C0">
        <w:t>exceed</w:t>
      </w:r>
      <w:r w:rsidR="00C026A6" w:rsidRPr="00EA59C0">
        <w:t xml:space="preserve"> </w:t>
      </w:r>
      <w:r w:rsidRPr="00EA59C0">
        <w:t>the</w:t>
      </w:r>
      <w:r w:rsidR="00C026A6" w:rsidRPr="00EA59C0">
        <w:t xml:space="preserve"> </w:t>
      </w:r>
      <w:r w:rsidRPr="00EA59C0">
        <w:t>funding</w:t>
      </w:r>
      <w:r w:rsidR="00C026A6" w:rsidRPr="00EA59C0">
        <w:t xml:space="preserve"> </w:t>
      </w:r>
      <w:r w:rsidRPr="00EA59C0">
        <w:t>caps,</w:t>
      </w:r>
      <w:r w:rsidR="00C026A6" w:rsidRPr="00EA59C0">
        <w:t xml:space="preserve"> </w:t>
      </w:r>
      <w:r w:rsidRPr="00EA59C0">
        <w:t>including</w:t>
      </w:r>
      <w:r w:rsidR="00C026A6" w:rsidRPr="00EA59C0">
        <w:t xml:space="preserve"> </w:t>
      </w:r>
      <w:r w:rsidRPr="00EA59C0">
        <w:t>additional</w:t>
      </w:r>
      <w:r w:rsidR="00C026A6" w:rsidRPr="00EA59C0">
        <w:t xml:space="preserve"> </w:t>
      </w:r>
      <w:r w:rsidRPr="00EA59C0">
        <w:t>required</w:t>
      </w:r>
      <w:r w:rsidR="00C026A6" w:rsidRPr="00EA59C0">
        <w:t xml:space="preserve"> </w:t>
      </w:r>
      <w:r w:rsidRPr="00EA59C0">
        <w:t>attachments.</w:t>
      </w:r>
      <w:r w:rsidR="00C026A6" w:rsidRPr="00EA59C0">
        <w:t xml:space="preserve">  </w:t>
      </w:r>
    </w:p>
    <w:p w:rsidR="00B93729" w:rsidRPr="00EA59C0" w:rsidRDefault="00B93729" w:rsidP="00B93729">
      <w:pPr>
        <w:pStyle w:val="ListParagraph"/>
        <w:ind w:left="1440"/>
      </w:pPr>
    </w:p>
    <w:p w:rsidR="00882D50" w:rsidRPr="00EA59C0" w:rsidRDefault="00882D50" w:rsidP="00D03948">
      <w:pPr>
        <w:ind w:left="720"/>
      </w:pPr>
      <w:bookmarkStart w:id="13" w:name="_Toc228951065"/>
      <w:r w:rsidRPr="00EA59C0">
        <w:t>The</w:t>
      </w:r>
      <w:r w:rsidR="00C026A6" w:rsidRPr="00EA59C0">
        <w:t xml:space="preserve"> </w:t>
      </w:r>
      <w:r w:rsidRPr="00EA59C0">
        <w:t>period</w:t>
      </w:r>
      <w:r w:rsidR="00C026A6" w:rsidRPr="00EA59C0">
        <w:t xml:space="preserve"> </w:t>
      </w:r>
      <w:r w:rsidRPr="00EA59C0">
        <w:t>of</w:t>
      </w:r>
      <w:r w:rsidR="00C026A6" w:rsidRPr="00EA59C0">
        <w:t xml:space="preserve"> </w:t>
      </w:r>
      <w:r w:rsidRPr="00EA59C0">
        <w:t>performance</w:t>
      </w:r>
      <w:r w:rsidR="00C026A6" w:rsidRPr="00EA59C0">
        <w:t xml:space="preserve"> </w:t>
      </w:r>
      <w:r w:rsidRPr="00EA59C0">
        <w:t>is</w:t>
      </w:r>
      <w:r w:rsidR="00C026A6" w:rsidRPr="00EA59C0">
        <w:t xml:space="preserve"> </w:t>
      </w:r>
      <w:r w:rsidRPr="00EA59C0">
        <w:t>48</w:t>
      </w:r>
      <w:r w:rsidR="00C026A6" w:rsidRPr="00EA59C0">
        <w:t xml:space="preserve"> </w:t>
      </w:r>
      <w:r w:rsidRPr="00EA59C0">
        <w:t>months,</w:t>
      </w:r>
      <w:r w:rsidR="00C026A6" w:rsidRPr="00EA59C0">
        <w:t xml:space="preserve"> </w:t>
      </w:r>
      <w:r w:rsidRPr="00EA59C0">
        <w:t>with</w:t>
      </w:r>
      <w:r w:rsidR="00C026A6" w:rsidRPr="00EA59C0">
        <w:t xml:space="preserve"> </w:t>
      </w:r>
      <w:r w:rsidRPr="00EA59C0">
        <w:t>an</w:t>
      </w:r>
      <w:r w:rsidR="00C026A6" w:rsidRPr="00EA59C0">
        <w:t xml:space="preserve"> </w:t>
      </w:r>
      <w:r w:rsidRPr="00EA59C0">
        <w:t>anticipated</w:t>
      </w:r>
      <w:r w:rsidR="00C026A6" w:rsidRPr="00EA59C0">
        <w:t xml:space="preserve"> </w:t>
      </w:r>
      <w:r w:rsidRPr="00EA59C0">
        <w:t>start</w:t>
      </w:r>
      <w:r w:rsidR="00C026A6" w:rsidRPr="00EA59C0">
        <w:t xml:space="preserve"> </w:t>
      </w:r>
      <w:r w:rsidRPr="00EA59C0">
        <w:t>date</w:t>
      </w:r>
      <w:r w:rsidR="00C026A6" w:rsidRPr="00EA59C0">
        <w:t xml:space="preserve"> </w:t>
      </w:r>
      <w:r w:rsidRPr="00EA59C0">
        <w:t>of</w:t>
      </w:r>
      <w:r w:rsidR="00C026A6" w:rsidRPr="00EA59C0">
        <w:t xml:space="preserve"> </w:t>
      </w:r>
      <w:r w:rsidRPr="00EA59C0">
        <w:t>October</w:t>
      </w:r>
      <w:r w:rsidR="00C026A6" w:rsidRPr="00EA59C0">
        <w:t xml:space="preserve"> </w:t>
      </w:r>
      <w:r w:rsidRPr="00EA59C0">
        <w:t>1,</w:t>
      </w:r>
      <w:r w:rsidR="00C026A6" w:rsidRPr="00EA59C0">
        <w:t xml:space="preserve"> </w:t>
      </w:r>
      <w:r w:rsidRPr="00EA59C0">
        <w:t>2014.</w:t>
      </w:r>
      <w:r w:rsidR="00C026A6" w:rsidRPr="00EA59C0">
        <w:t xml:space="preserve">  </w:t>
      </w:r>
      <w:r w:rsidRPr="00EA59C0">
        <w:t>This</w:t>
      </w:r>
      <w:r w:rsidR="00C026A6" w:rsidRPr="00EA59C0">
        <w:t xml:space="preserve"> </w:t>
      </w:r>
      <w:r w:rsidRPr="00EA59C0">
        <w:t>performance</w:t>
      </w:r>
      <w:r w:rsidR="00C026A6" w:rsidRPr="00EA59C0">
        <w:t xml:space="preserve"> </w:t>
      </w:r>
      <w:r w:rsidRPr="00EA59C0">
        <w:t>period</w:t>
      </w:r>
      <w:r w:rsidR="00C026A6" w:rsidRPr="00EA59C0">
        <w:t xml:space="preserve"> </w:t>
      </w:r>
      <w:r w:rsidRPr="00EA59C0">
        <w:t>includes</w:t>
      </w:r>
      <w:r w:rsidR="00C026A6" w:rsidRPr="00EA59C0">
        <w:t xml:space="preserve"> </w:t>
      </w:r>
      <w:r w:rsidRPr="00EA59C0">
        <w:t>all</w:t>
      </w:r>
      <w:r w:rsidR="00C026A6" w:rsidRPr="00EA59C0">
        <w:t xml:space="preserve"> </w:t>
      </w:r>
      <w:r w:rsidRPr="00EA59C0">
        <w:t>necessary</w:t>
      </w:r>
      <w:r w:rsidR="00C026A6" w:rsidRPr="00EA59C0">
        <w:t xml:space="preserve"> </w:t>
      </w:r>
      <w:r w:rsidRPr="00EA59C0">
        <w:t>implementation</w:t>
      </w:r>
      <w:r w:rsidR="00C026A6" w:rsidRPr="00EA59C0">
        <w:t xml:space="preserve"> </w:t>
      </w:r>
      <w:r w:rsidRPr="00EA59C0">
        <w:t>and</w:t>
      </w:r>
      <w:r w:rsidR="00C026A6" w:rsidRPr="00EA59C0">
        <w:t xml:space="preserve"> </w:t>
      </w:r>
      <w:r w:rsidRPr="00EA59C0">
        <w:t>start-up</w:t>
      </w:r>
      <w:r w:rsidR="00C026A6" w:rsidRPr="00EA59C0">
        <w:t xml:space="preserve"> </w:t>
      </w:r>
      <w:r w:rsidRPr="00EA59C0">
        <w:t>activities.</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plan</w:t>
      </w:r>
      <w:r w:rsidR="00C026A6" w:rsidRPr="00EA59C0">
        <w:t xml:space="preserve"> </w:t>
      </w:r>
      <w:r w:rsidRPr="00EA59C0">
        <w:t>to</w:t>
      </w:r>
      <w:r w:rsidR="00C026A6" w:rsidRPr="00EA59C0">
        <w:t xml:space="preserve"> </w:t>
      </w:r>
      <w:r w:rsidRPr="00EA59C0">
        <w:t>fully</w:t>
      </w:r>
      <w:r w:rsidR="00C026A6" w:rsidRPr="00EA59C0">
        <w:t xml:space="preserve"> </w:t>
      </w:r>
      <w:r w:rsidRPr="00EA59C0">
        <w:t>expend</w:t>
      </w:r>
      <w:r w:rsidR="00C026A6" w:rsidRPr="00EA59C0">
        <w:t xml:space="preserve"> </w:t>
      </w:r>
      <w:r w:rsidRPr="00EA59C0">
        <w:t>grant</w:t>
      </w:r>
      <w:r w:rsidR="00C026A6" w:rsidRPr="00EA59C0">
        <w:t xml:space="preserve"> </w:t>
      </w:r>
      <w:r w:rsidRPr="00EA59C0">
        <w:t>funds</w:t>
      </w:r>
      <w:r w:rsidR="00C026A6" w:rsidRPr="00EA59C0">
        <w:t xml:space="preserve"> </w:t>
      </w:r>
      <w:r w:rsidRPr="00EA59C0">
        <w:t>during</w:t>
      </w:r>
      <w:r w:rsidR="00C026A6" w:rsidRPr="00EA59C0">
        <w:t xml:space="preserve"> </w:t>
      </w:r>
      <w:r w:rsidRPr="00EA59C0">
        <w:t>the</w:t>
      </w:r>
      <w:r w:rsidR="00C026A6" w:rsidRPr="00EA59C0">
        <w:t xml:space="preserve"> </w:t>
      </w:r>
      <w:r w:rsidRPr="00EA59C0">
        <w:t>period</w:t>
      </w:r>
      <w:r w:rsidR="00C026A6" w:rsidRPr="00EA59C0">
        <w:t xml:space="preserve"> </w:t>
      </w:r>
      <w:r w:rsidRPr="00EA59C0">
        <w:t>of</w:t>
      </w:r>
      <w:r w:rsidR="00C026A6" w:rsidRPr="00EA59C0">
        <w:t xml:space="preserve"> </w:t>
      </w:r>
      <w:r w:rsidRPr="00EA59C0">
        <w:t>performance</w:t>
      </w:r>
      <w:r w:rsidR="00C026A6" w:rsidRPr="00EA59C0">
        <w:t xml:space="preserve"> </w:t>
      </w:r>
      <w:r w:rsidRPr="00EA59C0">
        <w:t>while</w:t>
      </w:r>
      <w:r w:rsidR="00C026A6" w:rsidRPr="00EA59C0">
        <w:t xml:space="preserve"> </w:t>
      </w:r>
      <w:r w:rsidRPr="00EA59C0">
        <w:t>ensuring</w:t>
      </w:r>
      <w:r w:rsidR="00C026A6" w:rsidRPr="00EA59C0">
        <w:t xml:space="preserve"> </w:t>
      </w:r>
      <w:r w:rsidRPr="00EA59C0">
        <w:t>full</w:t>
      </w:r>
      <w:r w:rsidR="00C026A6" w:rsidRPr="00EA59C0">
        <w:t xml:space="preserve"> </w:t>
      </w:r>
      <w:r w:rsidRPr="00EA59C0">
        <w:t>transparency</w:t>
      </w:r>
      <w:r w:rsidR="00C026A6" w:rsidRPr="00EA59C0">
        <w:t xml:space="preserve"> </w:t>
      </w:r>
      <w:r w:rsidRPr="00EA59C0">
        <w:t>and</w:t>
      </w:r>
      <w:r w:rsidR="00C026A6" w:rsidRPr="00EA59C0">
        <w:t xml:space="preserve"> </w:t>
      </w:r>
      <w:r w:rsidRPr="00EA59C0">
        <w:t>accountability</w:t>
      </w:r>
      <w:r w:rsidR="00C026A6" w:rsidRPr="00EA59C0">
        <w:t xml:space="preserve"> </w:t>
      </w:r>
      <w:r w:rsidRPr="00EA59C0">
        <w:t>for</w:t>
      </w:r>
      <w:r w:rsidR="00C026A6" w:rsidRPr="00EA59C0">
        <w:t xml:space="preserve"> </w:t>
      </w:r>
      <w:r w:rsidRPr="00EA59C0">
        <w:t>all</w:t>
      </w:r>
      <w:r w:rsidR="00C026A6" w:rsidRPr="00EA59C0">
        <w:t xml:space="preserve"> </w:t>
      </w:r>
      <w:r w:rsidRPr="00EA59C0">
        <w:t>expenditures.</w:t>
      </w:r>
      <w:r w:rsidR="00C026A6" w:rsidRPr="00EA59C0">
        <w:t xml:space="preserve">  </w:t>
      </w:r>
      <w:r w:rsidRPr="00EA59C0">
        <w:t>Awards</w:t>
      </w:r>
      <w:r w:rsidR="00C026A6" w:rsidRPr="00EA59C0">
        <w:t xml:space="preserve"> </w:t>
      </w:r>
      <w:r w:rsidRPr="00EA59C0">
        <w:t>made</w:t>
      </w:r>
      <w:r w:rsidR="00C026A6" w:rsidRPr="00EA59C0">
        <w:t xml:space="preserve"> </w:t>
      </w:r>
      <w:r w:rsidRPr="00EA59C0">
        <w:t>under</w:t>
      </w:r>
      <w:r w:rsidR="00C026A6" w:rsidRPr="00EA59C0">
        <w:t xml:space="preserve"> </w:t>
      </w:r>
      <w:r w:rsidRPr="00EA59C0">
        <w:t>this</w:t>
      </w:r>
      <w:r w:rsidR="00C026A6" w:rsidRPr="00EA59C0">
        <w:t xml:space="preserve"> </w:t>
      </w:r>
      <w:r w:rsidRPr="00EA59C0">
        <w:t>announcement</w:t>
      </w:r>
      <w:r w:rsidR="00C026A6" w:rsidRPr="00EA59C0">
        <w:t xml:space="preserve"> </w:t>
      </w:r>
      <w:r w:rsidRPr="00EA59C0">
        <w:t>are</w:t>
      </w:r>
      <w:r w:rsidR="00C026A6" w:rsidRPr="00EA59C0">
        <w:t xml:space="preserve"> </w:t>
      </w:r>
      <w:r w:rsidRPr="00EA59C0">
        <w:t>subject</w:t>
      </w:r>
      <w:r w:rsidR="00C026A6" w:rsidRPr="00EA59C0">
        <w:t xml:space="preserve"> </w:t>
      </w:r>
      <w:r w:rsidRPr="00EA59C0">
        <w:t>to</w:t>
      </w:r>
      <w:r w:rsidR="00C026A6" w:rsidRPr="00EA59C0">
        <w:t xml:space="preserve"> </w:t>
      </w:r>
      <w:r w:rsidRPr="00EA59C0">
        <w:t>the</w:t>
      </w:r>
      <w:r w:rsidR="00C026A6" w:rsidRPr="00EA59C0">
        <w:t xml:space="preserve"> </w:t>
      </w:r>
      <w:r w:rsidRPr="00EA59C0">
        <w:t>availability</w:t>
      </w:r>
      <w:r w:rsidR="00C026A6" w:rsidRPr="00EA59C0">
        <w:t xml:space="preserve"> </w:t>
      </w:r>
      <w:r w:rsidRPr="00EA59C0">
        <w:t>of</w:t>
      </w:r>
      <w:r w:rsidR="00C026A6" w:rsidRPr="00EA59C0">
        <w:t xml:space="preserve"> </w:t>
      </w:r>
      <w:r w:rsidRPr="00EA59C0">
        <w:t>Federal</w:t>
      </w:r>
      <w:r w:rsidR="00C026A6" w:rsidRPr="00EA59C0">
        <w:t xml:space="preserve"> </w:t>
      </w:r>
      <w:r w:rsidRPr="00EA59C0">
        <w:t>funds.</w:t>
      </w:r>
      <w:r w:rsidR="00C026A6" w:rsidRPr="00EA59C0">
        <w:t xml:space="preserve">  </w:t>
      </w:r>
    </w:p>
    <w:p w:rsidR="00F60EA2" w:rsidRPr="00EA59C0" w:rsidRDefault="00F60EA2" w:rsidP="00D03948">
      <w:pPr>
        <w:ind w:left="720" w:firstLine="720"/>
      </w:pPr>
    </w:p>
    <w:p w:rsidR="00AA0CAD" w:rsidRPr="00EA59C0" w:rsidRDefault="00882D50" w:rsidP="00D03948">
      <w:pPr>
        <w:ind w:left="720"/>
      </w:pPr>
      <w:r w:rsidRPr="00EA59C0">
        <w:t>All</w:t>
      </w:r>
      <w:r w:rsidR="00C026A6" w:rsidRPr="00EA59C0">
        <w:t xml:space="preserve"> </w:t>
      </w:r>
      <w:r w:rsidRPr="00EA59C0">
        <w:t>programs</w:t>
      </w:r>
      <w:r w:rsidR="00C026A6" w:rsidRPr="00EA59C0">
        <w:t xml:space="preserve"> </w:t>
      </w:r>
      <w:r w:rsidRPr="00EA59C0">
        <w:t>must</w:t>
      </w:r>
      <w:r w:rsidR="00C026A6" w:rsidRPr="00EA59C0">
        <w:t xml:space="preserve"> </w:t>
      </w:r>
      <w:r w:rsidRPr="00EA59C0">
        <w:t>be</w:t>
      </w:r>
      <w:r w:rsidR="00C026A6" w:rsidRPr="00EA59C0">
        <w:t xml:space="preserve"> </w:t>
      </w:r>
      <w:r w:rsidRPr="00EA59C0">
        <w:t>developed</w:t>
      </w:r>
      <w:r w:rsidR="00C026A6" w:rsidRPr="00EA59C0">
        <w:t xml:space="preserve"> </w:t>
      </w:r>
      <w:r w:rsidRPr="00EA59C0">
        <w:t>and</w:t>
      </w:r>
      <w:r w:rsidR="00C026A6" w:rsidRPr="00EA59C0">
        <w:t xml:space="preserve"> </w:t>
      </w:r>
      <w:r w:rsidRPr="00EA59C0">
        <w:t>offered</w:t>
      </w:r>
      <w:r w:rsidR="00C026A6" w:rsidRPr="00EA59C0">
        <w:t xml:space="preserve"> </w:t>
      </w:r>
      <w:r w:rsidRPr="00EA59C0">
        <w:t>within</w:t>
      </w:r>
      <w:r w:rsidR="00C026A6" w:rsidRPr="00EA59C0">
        <w:t xml:space="preserve"> </w:t>
      </w:r>
      <w:r w:rsidRPr="00EA59C0">
        <w:t>the</w:t>
      </w:r>
      <w:r w:rsidR="00C026A6" w:rsidRPr="00EA59C0">
        <w:t xml:space="preserve"> </w:t>
      </w:r>
      <w:r w:rsidRPr="00EA59C0">
        <w:t>first</w:t>
      </w:r>
      <w:r w:rsidR="00C026A6" w:rsidRPr="00EA59C0">
        <w:t xml:space="preserve"> </w:t>
      </w:r>
      <w:r w:rsidRPr="00EA59C0">
        <w:t>36</w:t>
      </w:r>
      <w:r w:rsidR="00C026A6" w:rsidRPr="00EA59C0">
        <w:t xml:space="preserve"> </w:t>
      </w:r>
      <w:r w:rsidRPr="00EA59C0">
        <w:t>months</w:t>
      </w:r>
      <w:r w:rsidR="00C026A6" w:rsidRPr="00EA59C0">
        <w:t xml:space="preserve"> </w:t>
      </w:r>
      <w:r w:rsidRPr="00EA59C0">
        <w:t>of</w:t>
      </w:r>
      <w:r w:rsidR="00C026A6" w:rsidRPr="00EA59C0">
        <w:t xml:space="preserve"> </w:t>
      </w:r>
      <w:r w:rsidRPr="00EA59C0">
        <w:t>the</w:t>
      </w:r>
      <w:r w:rsidR="00C026A6" w:rsidRPr="00EA59C0">
        <w:t xml:space="preserve"> </w:t>
      </w:r>
      <w:r w:rsidRPr="00EA59C0">
        <w:t>period</w:t>
      </w:r>
      <w:r w:rsidR="00C026A6" w:rsidRPr="00EA59C0">
        <w:t xml:space="preserve"> </w:t>
      </w:r>
      <w:r w:rsidRPr="00EA59C0">
        <w:t>of</w:t>
      </w:r>
      <w:r w:rsidR="00C026A6" w:rsidRPr="00EA59C0">
        <w:t xml:space="preserve"> </w:t>
      </w:r>
      <w:r w:rsidRPr="00EA59C0">
        <w:t>performance,</w:t>
      </w:r>
      <w:r w:rsidR="00C026A6" w:rsidRPr="00EA59C0">
        <w:t xml:space="preserve"> </w:t>
      </w:r>
      <w:r w:rsidRPr="00EA59C0">
        <w:t>with</w:t>
      </w:r>
      <w:r w:rsidR="00C026A6" w:rsidRPr="00EA59C0">
        <w:t xml:space="preserve"> </w:t>
      </w:r>
      <w:r w:rsidRPr="00EA59C0">
        <w:t>grant</w:t>
      </w:r>
      <w:r w:rsidR="00C026A6" w:rsidRPr="00EA59C0">
        <w:t xml:space="preserve"> </w:t>
      </w:r>
      <w:r w:rsidRPr="00EA59C0">
        <w:t>funds</w:t>
      </w:r>
      <w:r w:rsidR="00C026A6" w:rsidRPr="00EA59C0">
        <w:t xml:space="preserve"> </w:t>
      </w:r>
      <w:r w:rsidRPr="00EA59C0">
        <w:t>allocated</w:t>
      </w:r>
      <w:r w:rsidR="00C026A6" w:rsidRPr="00EA59C0">
        <w:t xml:space="preserve"> </w:t>
      </w:r>
      <w:r w:rsidRPr="00EA59C0">
        <w:t>for</w:t>
      </w:r>
      <w:r w:rsidR="00C026A6" w:rsidRPr="00EA59C0">
        <w:t xml:space="preserve"> </w:t>
      </w:r>
      <w:r w:rsidRPr="00EA59C0">
        <w:t>program</w:t>
      </w:r>
      <w:r w:rsidR="00C026A6" w:rsidRPr="00EA59C0">
        <w:t xml:space="preserve"> </w:t>
      </w:r>
      <w:r w:rsidRPr="00EA59C0">
        <w:t>development</w:t>
      </w:r>
      <w:r w:rsidR="00C026A6" w:rsidRPr="00EA59C0">
        <w:t xml:space="preserve"> </w:t>
      </w:r>
      <w:r w:rsidRPr="00EA59C0">
        <w:t>and</w:t>
      </w:r>
      <w:r w:rsidR="00C026A6" w:rsidRPr="00EA59C0">
        <w:t xml:space="preserve"> </w:t>
      </w:r>
      <w:r w:rsidRPr="00EA59C0">
        <w:t>delivery</w:t>
      </w:r>
      <w:r w:rsidR="00C026A6" w:rsidRPr="00EA59C0">
        <w:t xml:space="preserve"> </w:t>
      </w:r>
      <w:r w:rsidRPr="00EA59C0">
        <w:t>expended</w:t>
      </w:r>
      <w:r w:rsidR="00C026A6" w:rsidRPr="00EA59C0">
        <w:t xml:space="preserve"> </w:t>
      </w:r>
      <w:r w:rsidRPr="00EA59C0">
        <w:t>during</w:t>
      </w:r>
      <w:r w:rsidR="00C026A6" w:rsidRPr="00EA59C0">
        <w:t xml:space="preserve"> </w:t>
      </w:r>
      <w:r w:rsidRPr="00EA59C0">
        <w:t>that</w:t>
      </w:r>
      <w:r w:rsidR="00C026A6" w:rsidRPr="00EA59C0">
        <w:t xml:space="preserve"> </w:t>
      </w:r>
      <w:r w:rsidRPr="00EA59C0">
        <w:t>time.</w:t>
      </w:r>
      <w:r w:rsidR="00C026A6" w:rsidRPr="00EA59C0">
        <w:t xml:space="preserve">  </w:t>
      </w:r>
      <w:r w:rsidRPr="00EA59C0">
        <w:t>DOL</w:t>
      </w:r>
      <w:r w:rsidR="00C026A6" w:rsidRPr="00EA59C0">
        <w:t xml:space="preserve"> </w:t>
      </w:r>
      <w:r w:rsidRPr="00EA59C0">
        <w:t>expects</w:t>
      </w:r>
      <w:r w:rsidR="00C026A6" w:rsidRPr="00EA59C0">
        <w:t xml:space="preserve"> </w:t>
      </w:r>
      <w:r w:rsidRPr="00EA59C0">
        <w:t>that</w:t>
      </w:r>
      <w:r w:rsidR="00C026A6" w:rsidRPr="00EA59C0">
        <w:t xml:space="preserve"> </w:t>
      </w:r>
      <w:r w:rsidRPr="00EA59C0">
        <w:t>grantees</w:t>
      </w:r>
      <w:r w:rsidR="00C026A6" w:rsidRPr="00EA59C0">
        <w:t xml:space="preserve"> </w:t>
      </w:r>
      <w:r w:rsidRPr="00EA59C0">
        <w:t>will</w:t>
      </w:r>
      <w:r w:rsidR="00C026A6" w:rsidRPr="00EA59C0">
        <w:t xml:space="preserve"> </w:t>
      </w:r>
      <w:r w:rsidRPr="00EA59C0">
        <w:t>begin</w:t>
      </w:r>
      <w:r w:rsidR="00C026A6" w:rsidRPr="00EA59C0">
        <w:t xml:space="preserve"> </w:t>
      </w:r>
      <w:r w:rsidRPr="00EA59C0">
        <w:t>enrolling</w:t>
      </w:r>
      <w:r w:rsidR="00C026A6" w:rsidRPr="00EA59C0">
        <w:t xml:space="preserve"> </w:t>
      </w:r>
      <w:r w:rsidRPr="00EA59C0">
        <w:t>participants</w:t>
      </w:r>
      <w:r w:rsidR="00C026A6" w:rsidRPr="00EA59C0">
        <w:t xml:space="preserve"> </w:t>
      </w:r>
      <w:r w:rsidRPr="00EA59C0">
        <w:t>in</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no</w:t>
      </w:r>
      <w:r w:rsidR="00C026A6" w:rsidRPr="00EA59C0">
        <w:t xml:space="preserve"> </w:t>
      </w:r>
      <w:r w:rsidRPr="00EA59C0">
        <w:t>later</w:t>
      </w:r>
      <w:r w:rsidR="00C026A6" w:rsidRPr="00EA59C0">
        <w:t xml:space="preserve"> </w:t>
      </w:r>
      <w:r w:rsidRPr="00EA59C0">
        <w:t>than</w:t>
      </w:r>
      <w:r w:rsidR="00C026A6" w:rsidRPr="00EA59C0">
        <w:t xml:space="preserve"> </w:t>
      </w:r>
      <w:r w:rsidRPr="00EA59C0">
        <w:t>18</w:t>
      </w:r>
      <w:r w:rsidR="00C026A6" w:rsidRPr="00EA59C0">
        <w:t xml:space="preserve"> </w:t>
      </w:r>
      <w:r w:rsidRPr="00EA59C0">
        <w:t>months</w:t>
      </w:r>
      <w:r w:rsidR="00C026A6" w:rsidRPr="00EA59C0">
        <w:t xml:space="preserve"> </w:t>
      </w:r>
      <w:r w:rsidRPr="00EA59C0">
        <w:t>after</w:t>
      </w:r>
      <w:r w:rsidR="00C026A6" w:rsidRPr="00EA59C0">
        <w:t xml:space="preserve"> </w:t>
      </w:r>
      <w:r w:rsidRPr="00EA59C0">
        <w:t>the</w:t>
      </w:r>
      <w:r w:rsidR="00C026A6" w:rsidRPr="00EA59C0">
        <w:t xml:space="preserve"> </w:t>
      </w:r>
      <w:r w:rsidRPr="00EA59C0">
        <w:t>date</w:t>
      </w:r>
      <w:r w:rsidR="00C026A6" w:rsidRPr="00EA59C0">
        <w:t xml:space="preserve"> </w:t>
      </w:r>
      <w:r w:rsidRPr="00EA59C0">
        <w:t>of</w:t>
      </w:r>
      <w:r w:rsidR="00C026A6" w:rsidRPr="00EA59C0">
        <w:t xml:space="preserve"> </w:t>
      </w:r>
      <w:r w:rsidRPr="00EA59C0">
        <w:t>grant</w:t>
      </w:r>
      <w:r w:rsidR="00C026A6" w:rsidRPr="00EA59C0">
        <w:t xml:space="preserve"> </w:t>
      </w:r>
      <w:r w:rsidRPr="00EA59C0">
        <w:t>award.</w:t>
      </w:r>
      <w:r w:rsidR="00C026A6" w:rsidRPr="00EA59C0">
        <w:t xml:space="preserve">  </w:t>
      </w:r>
      <w:r w:rsidRPr="00EA59C0">
        <w:t>The</w:t>
      </w:r>
      <w:r w:rsidR="00C026A6" w:rsidRPr="00EA59C0">
        <w:t xml:space="preserve"> </w:t>
      </w:r>
      <w:r w:rsidRPr="00EA59C0">
        <w:t>final</w:t>
      </w:r>
      <w:r w:rsidR="00C026A6" w:rsidRPr="00EA59C0">
        <w:t xml:space="preserve"> </w:t>
      </w:r>
      <w:r w:rsidRPr="00EA59C0">
        <w:t>12</w:t>
      </w:r>
      <w:r w:rsidR="00C026A6" w:rsidRPr="00EA59C0">
        <w:t xml:space="preserve"> </w:t>
      </w:r>
      <w:r w:rsidRPr="00EA59C0">
        <w:t>months</w:t>
      </w:r>
      <w:r w:rsidR="00C026A6" w:rsidRPr="00EA59C0">
        <w:t xml:space="preserve"> </w:t>
      </w:r>
      <w:r w:rsidRPr="00EA59C0">
        <w:t>of</w:t>
      </w:r>
      <w:r w:rsidR="00C026A6" w:rsidRPr="00EA59C0">
        <w:t xml:space="preserve"> </w:t>
      </w:r>
      <w:r w:rsidRPr="00EA59C0">
        <w:t>the</w:t>
      </w:r>
      <w:r w:rsidR="00C026A6" w:rsidRPr="00EA59C0">
        <w:t xml:space="preserve"> </w:t>
      </w:r>
      <w:r w:rsidRPr="00EA59C0">
        <w:t>period</w:t>
      </w:r>
      <w:r w:rsidR="00C026A6" w:rsidRPr="00EA59C0">
        <w:t xml:space="preserve"> </w:t>
      </w:r>
      <w:r w:rsidRPr="00EA59C0">
        <w:t>of</w:t>
      </w:r>
      <w:r w:rsidR="00C026A6" w:rsidRPr="00EA59C0">
        <w:t xml:space="preserve"> </w:t>
      </w:r>
      <w:r w:rsidRPr="00EA59C0">
        <w:t>performance</w:t>
      </w:r>
      <w:r w:rsidR="00C026A6" w:rsidRPr="00EA59C0">
        <w:t xml:space="preserve"> </w:t>
      </w:r>
      <w:r w:rsidRPr="00EA59C0">
        <w:t>is</w:t>
      </w:r>
      <w:r w:rsidR="00C026A6" w:rsidRPr="00EA59C0">
        <w:t xml:space="preserve"> </w:t>
      </w:r>
      <w:r w:rsidRPr="00EA59C0">
        <w:t>limited</w:t>
      </w:r>
      <w:r w:rsidR="00C026A6" w:rsidRPr="00EA59C0">
        <w:t xml:space="preserve"> </w:t>
      </w:r>
      <w:r w:rsidRPr="00EA59C0">
        <w:t>to</w:t>
      </w:r>
      <w:r w:rsidR="00C026A6" w:rsidRPr="00EA59C0">
        <w:t xml:space="preserve"> </w:t>
      </w:r>
      <w:r w:rsidRPr="00EA59C0">
        <w:t>gathering</w:t>
      </w:r>
      <w:r w:rsidR="00C026A6" w:rsidRPr="00EA59C0">
        <w:t xml:space="preserve"> </w:t>
      </w:r>
      <w:r w:rsidRPr="00EA59C0">
        <w:t>information</w:t>
      </w:r>
      <w:r w:rsidR="00C026A6" w:rsidRPr="00EA59C0">
        <w:t xml:space="preserve"> </w:t>
      </w:r>
      <w:r w:rsidRPr="00EA59C0">
        <w:t>and</w:t>
      </w:r>
      <w:r w:rsidR="00C026A6" w:rsidRPr="00EA59C0">
        <w:t xml:space="preserve"> </w:t>
      </w:r>
      <w:r w:rsidRPr="00EA59C0">
        <w:t>data</w:t>
      </w:r>
      <w:r w:rsidR="00C026A6" w:rsidRPr="00EA59C0">
        <w:t xml:space="preserve"> </w:t>
      </w:r>
      <w:r w:rsidRPr="00EA59C0">
        <w:t>for</w:t>
      </w:r>
      <w:r w:rsidR="00C026A6" w:rsidRPr="00EA59C0">
        <w:t xml:space="preserve"> </w:t>
      </w:r>
      <w:r w:rsidRPr="00EA59C0">
        <w:t>reporting</w:t>
      </w:r>
      <w:r w:rsidR="00C026A6" w:rsidRPr="00EA59C0">
        <w:t xml:space="preserve"> </w:t>
      </w:r>
      <w:r w:rsidRPr="00EA59C0">
        <w:t>outcome</w:t>
      </w:r>
      <w:r w:rsidR="00C026A6" w:rsidRPr="00EA59C0">
        <w:t xml:space="preserve"> </w:t>
      </w:r>
      <w:r w:rsidRPr="00EA59C0">
        <w:t>measures</w:t>
      </w:r>
      <w:r w:rsidR="00C026A6" w:rsidRPr="00EA59C0">
        <w:t xml:space="preserve"> </w:t>
      </w:r>
      <w:r w:rsidRPr="00EA59C0">
        <w:t>and</w:t>
      </w:r>
      <w:r w:rsidR="00C026A6" w:rsidRPr="00EA59C0">
        <w:t xml:space="preserve"> </w:t>
      </w:r>
      <w:r w:rsidRPr="00EA59C0">
        <w:t>completing</w:t>
      </w:r>
      <w:r w:rsidR="00C026A6" w:rsidRPr="00EA59C0">
        <w:t xml:space="preserve"> </w:t>
      </w:r>
      <w:r w:rsidRPr="00EA59C0">
        <w:t>the</w:t>
      </w:r>
      <w:r w:rsidR="00C026A6" w:rsidRPr="00EA59C0">
        <w:t xml:space="preserve"> </w:t>
      </w:r>
      <w:r w:rsidRPr="00EA59C0">
        <w:t>requirements</w:t>
      </w:r>
      <w:r w:rsidR="00C026A6" w:rsidRPr="00EA59C0">
        <w:t xml:space="preserve"> </w:t>
      </w:r>
      <w:r w:rsidR="007E7F27" w:rsidRPr="00EA59C0">
        <w:t>for</w:t>
      </w:r>
      <w:r w:rsidR="00C026A6" w:rsidRPr="00EA59C0">
        <w:t xml:space="preserve"> </w:t>
      </w:r>
      <w:r w:rsidR="007E7F27" w:rsidRPr="00EA59C0">
        <w:t>the</w:t>
      </w:r>
      <w:r w:rsidR="00C026A6" w:rsidRPr="00EA59C0">
        <w:t xml:space="preserve"> </w:t>
      </w:r>
      <w:r w:rsidR="007E7F27" w:rsidRPr="00EA59C0">
        <w:t>third-party</w:t>
      </w:r>
      <w:r w:rsidR="00C026A6" w:rsidRPr="00EA59C0">
        <w:t xml:space="preserve"> </w:t>
      </w:r>
      <w:r w:rsidR="007E7F27" w:rsidRPr="00EA59C0">
        <w:t>evaluation</w:t>
      </w:r>
      <w:r w:rsidR="00AA0CAD" w:rsidRPr="00EA59C0">
        <w:t>.</w:t>
      </w:r>
      <w:r w:rsidR="00C026A6" w:rsidRPr="00EA59C0">
        <w:t xml:space="preserve">  </w:t>
      </w:r>
      <w:r w:rsidR="007E7F27" w:rsidRPr="00EA59C0">
        <w:t>D</w:t>
      </w:r>
      <w:r w:rsidRPr="00EA59C0">
        <w:t>uring</w:t>
      </w:r>
      <w:r w:rsidR="00C026A6" w:rsidRPr="00EA59C0">
        <w:t xml:space="preserve"> </w:t>
      </w:r>
      <w:r w:rsidRPr="00EA59C0">
        <w:t>this</w:t>
      </w:r>
      <w:r w:rsidR="00C026A6" w:rsidRPr="00EA59C0">
        <w:t xml:space="preserve"> </w:t>
      </w:r>
      <w:r w:rsidRPr="00EA59C0">
        <w:t>timeframe</w:t>
      </w:r>
      <w:r w:rsidR="00C026A6" w:rsidRPr="00EA59C0">
        <w:t xml:space="preserve"> </w:t>
      </w:r>
      <w:r w:rsidRPr="00EA59C0">
        <w:t>grantees</w:t>
      </w:r>
      <w:r w:rsidR="00C026A6" w:rsidRPr="00EA59C0">
        <w:t xml:space="preserve"> </w:t>
      </w:r>
      <w:r w:rsidR="00E636DC" w:rsidRPr="00EA59C0">
        <w:t>cannot</w:t>
      </w:r>
      <w:r w:rsidR="00C026A6" w:rsidRPr="00EA59C0">
        <w:t xml:space="preserve"> </w:t>
      </w:r>
      <w:r w:rsidRPr="00EA59C0">
        <w:t>incur</w:t>
      </w:r>
      <w:r w:rsidR="00C026A6" w:rsidRPr="00EA59C0">
        <w:t xml:space="preserve"> </w:t>
      </w:r>
      <w:r w:rsidRPr="00EA59C0">
        <w:t>costs</w:t>
      </w:r>
      <w:r w:rsidR="00C026A6" w:rsidRPr="00EA59C0">
        <w:t xml:space="preserve"> </w:t>
      </w:r>
      <w:r w:rsidRPr="00EA59C0">
        <w:t>for</w:t>
      </w:r>
      <w:r w:rsidR="00C026A6" w:rsidRPr="00EA59C0">
        <w:t xml:space="preserve"> </w:t>
      </w:r>
      <w:r w:rsidRPr="00EA59C0">
        <w:t>any</w:t>
      </w:r>
      <w:r w:rsidR="00C026A6" w:rsidRPr="00EA59C0">
        <w:t xml:space="preserve"> </w:t>
      </w:r>
      <w:r w:rsidRPr="00EA59C0">
        <w:t>other</w:t>
      </w:r>
      <w:r w:rsidR="00C026A6" w:rsidRPr="00EA59C0">
        <w:t xml:space="preserve"> </w:t>
      </w:r>
      <w:r w:rsidRPr="00EA59C0">
        <w:t>activities,</w:t>
      </w:r>
      <w:r w:rsidR="00C026A6" w:rsidRPr="00EA59C0">
        <w:t xml:space="preserve"> </w:t>
      </w:r>
      <w:r w:rsidR="007E7F27" w:rsidRPr="00EA59C0">
        <w:t>including</w:t>
      </w:r>
      <w:r w:rsidR="00C026A6" w:rsidRPr="00EA59C0">
        <w:t xml:space="preserve"> </w:t>
      </w:r>
      <w:r w:rsidRPr="00EA59C0">
        <w:t>program</w:t>
      </w:r>
      <w:r w:rsidR="00C026A6" w:rsidRPr="00EA59C0">
        <w:t xml:space="preserve"> </w:t>
      </w:r>
      <w:r w:rsidRPr="00EA59C0">
        <w:t>development</w:t>
      </w:r>
      <w:r w:rsidR="00C026A6" w:rsidRPr="00EA59C0">
        <w:t xml:space="preserve"> </w:t>
      </w:r>
      <w:r w:rsidR="007E7F27" w:rsidRPr="00EA59C0">
        <w:t>and</w:t>
      </w:r>
      <w:r w:rsidR="00C026A6" w:rsidRPr="00EA59C0">
        <w:t xml:space="preserve"> </w:t>
      </w:r>
      <w:r w:rsidRPr="00EA59C0">
        <w:t>instructor</w:t>
      </w:r>
      <w:r w:rsidR="00C026A6" w:rsidRPr="00EA59C0">
        <w:t xml:space="preserve"> </w:t>
      </w:r>
      <w:r w:rsidRPr="00EA59C0">
        <w:t>salaries.</w:t>
      </w:r>
      <w:r w:rsidR="00C026A6" w:rsidRPr="00EA59C0">
        <w:t xml:space="preserve">  </w:t>
      </w:r>
    </w:p>
    <w:p w:rsidR="00AA0CAD" w:rsidRPr="00EA59C0" w:rsidRDefault="00AA0CAD" w:rsidP="00D03948">
      <w:pPr>
        <w:ind w:left="720"/>
      </w:pPr>
    </w:p>
    <w:p w:rsidR="003158A6" w:rsidRPr="00EA59C0" w:rsidRDefault="00AA0CAD" w:rsidP="00D03948">
      <w:pPr>
        <w:ind w:left="720"/>
      </w:pPr>
      <w:r w:rsidRPr="00EA59C0">
        <w:t>For</w:t>
      </w:r>
      <w:r w:rsidR="00C026A6" w:rsidRPr="00EA59C0">
        <w:t xml:space="preserve"> </w:t>
      </w:r>
      <w:r w:rsidRPr="00EA59C0">
        <w:t>applicants</w:t>
      </w:r>
      <w:r w:rsidR="00C026A6" w:rsidRPr="00EA59C0">
        <w:t xml:space="preserve"> </w:t>
      </w:r>
      <w:r w:rsidRPr="00EA59C0">
        <w:t>receiving</w:t>
      </w:r>
      <w:r w:rsidR="00C026A6" w:rsidRPr="00EA59C0">
        <w:t xml:space="preserve"> </w:t>
      </w:r>
      <w:r w:rsidRPr="00EA59C0">
        <w:t>funding</w:t>
      </w:r>
      <w:r w:rsidR="00C026A6" w:rsidRPr="00EA59C0">
        <w:t xml:space="preserve"> </w:t>
      </w:r>
      <w:r w:rsidRPr="00EA59C0">
        <w:t>in</w:t>
      </w:r>
      <w:r w:rsidR="00C026A6" w:rsidRPr="00EA59C0">
        <w:t xml:space="preserve"> </w:t>
      </w:r>
      <w:r w:rsidRPr="00EA59C0">
        <w:t>excess</w:t>
      </w:r>
      <w:r w:rsidR="00C026A6" w:rsidRPr="00EA59C0">
        <w:t xml:space="preserve"> </w:t>
      </w:r>
      <w:r w:rsidRPr="00EA59C0">
        <w:t>of</w:t>
      </w:r>
      <w:r w:rsidR="00C026A6" w:rsidRPr="00EA59C0">
        <w:t xml:space="preserve"> </w:t>
      </w:r>
      <w:r w:rsidRPr="00EA59C0">
        <w:t>the</w:t>
      </w:r>
      <w:r w:rsidR="00C026A6" w:rsidRPr="00EA59C0">
        <w:t xml:space="preserve"> </w:t>
      </w:r>
      <w:r w:rsidRPr="00EA59C0">
        <w:t>funding</w:t>
      </w:r>
      <w:r w:rsidR="00C026A6" w:rsidRPr="00EA59C0">
        <w:t xml:space="preserve"> </w:t>
      </w:r>
      <w:r w:rsidRPr="00EA59C0">
        <w:t>cap</w:t>
      </w:r>
      <w:r w:rsidR="00C026A6" w:rsidRPr="00EA59C0">
        <w:t xml:space="preserve"> </w:t>
      </w:r>
      <w:r w:rsidRPr="00EA59C0">
        <w:t>in</w:t>
      </w:r>
      <w:r w:rsidR="00C026A6" w:rsidRPr="00EA59C0">
        <w:t xml:space="preserve"> </w:t>
      </w:r>
      <w:r w:rsidRPr="00EA59C0">
        <w:t>order</w:t>
      </w:r>
      <w:r w:rsidR="00C026A6" w:rsidRPr="00EA59C0">
        <w:t xml:space="preserve"> </w:t>
      </w:r>
      <w:r w:rsidRPr="00EA59C0">
        <w:t>to</w:t>
      </w:r>
      <w:r w:rsidR="00C026A6" w:rsidRPr="00EA59C0">
        <w:t xml:space="preserve"> </w:t>
      </w:r>
      <w:r w:rsidRPr="00EA59C0">
        <w:t>improve</w:t>
      </w:r>
      <w:r w:rsidR="00C026A6" w:rsidRPr="00EA59C0">
        <w:t xml:space="preserve"> </w:t>
      </w:r>
      <w:r w:rsidRPr="00EA59C0">
        <w:t>statewide</w:t>
      </w:r>
      <w:r w:rsidR="00C026A6" w:rsidRPr="00EA59C0">
        <w:t xml:space="preserve"> </w:t>
      </w:r>
      <w:r w:rsidRPr="00EA59C0">
        <w:t>data</w:t>
      </w:r>
      <w:r w:rsidR="00C026A6" w:rsidRPr="00EA59C0">
        <w:t xml:space="preserve"> </w:t>
      </w:r>
      <w:r w:rsidRPr="00EA59C0">
        <w:t>integration</w:t>
      </w:r>
      <w:r w:rsidR="00C026A6" w:rsidRPr="00EA59C0">
        <w:t xml:space="preserve"> </w:t>
      </w:r>
      <w:r w:rsidRPr="00EA59C0">
        <w:t>and</w:t>
      </w:r>
      <w:r w:rsidR="00C026A6" w:rsidRPr="00EA59C0">
        <w:t xml:space="preserve"> </w:t>
      </w:r>
      <w:r w:rsidRPr="00EA59C0">
        <w:t>use</w:t>
      </w:r>
      <w:r w:rsidR="00C026A6" w:rsidRPr="00EA59C0">
        <w:t xml:space="preserve"> </w:t>
      </w:r>
      <w:r w:rsidRPr="00EA59C0">
        <w:t>(Option</w:t>
      </w:r>
      <w:r w:rsidR="00C026A6" w:rsidRPr="00EA59C0">
        <w:t xml:space="preserve"> </w:t>
      </w:r>
      <w:r w:rsidRPr="00EA59C0">
        <w:t>2,</w:t>
      </w:r>
      <w:r w:rsidR="00C026A6" w:rsidRPr="00EA59C0">
        <w:t xml:space="preserve"> </w:t>
      </w:r>
      <w:r w:rsidRPr="00EA59C0">
        <w:t>S</w:t>
      </w:r>
      <w:r w:rsidR="00FB5049" w:rsidRPr="00EA59C0">
        <w:t>ection</w:t>
      </w:r>
      <w:r w:rsidR="00C026A6" w:rsidRPr="00EA59C0">
        <w:t xml:space="preserve"> </w:t>
      </w:r>
      <w:r w:rsidR="00FB5049" w:rsidRPr="00EA59C0">
        <w:t>II.A</w:t>
      </w:r>
      <w:r w:rsidRPr="00EA59C0">
        <w:t>),</w:t>
      </w:r>
      <w:r w:rsidR="00C026A6" w:rsidRPr="00EA59C0">
        <w:t xml:space="preserve"> </w:t>
      </w:r>
      <w:r w:rsidRPr="00EA59C0">
        <w:t>it</w:t>
      </w:r>
      <w:r w:rsidR="00C026A6" w:rsidRPr="00EA59C0">
        <w:t xml:space="preserve"> </w:t>
      </w:r>
      <w:r w:rsidRPr="00EA59C0">
        <w:t>is</w:t>
      </w:r>
      <w:r w:rsidR="00C026A6" w:rsidRPr="00EA59C0">
        <w:t xml:space="preserve"> </w:t>
      </w:r>
      <w:r w:rsidRPr="00EA59C0">
        <w:t>allowable</w:t>
      </w:r>
      <w:r w:rsidR="00C026A6" w:rsidRPr="00EA59C0">
        <w:t xml:space="preserve"> </w:t>
      </w:r>
      <w:r w:rsidRPr="00EA59C0">
        <w:t>to</w:t>
      </w:r>
      <w:r w:rsidR="00C026A6" w:rsidRPr="00EA59C0">
        <w:t xml:space="preserve"> </w:t>
      </w:r>
      <w:r w:rsidRPr="00EA59C0">
        <w:t>use</w:t>
      </w:r>
      <w:r w:rsidR="00C026A6" w:rsidRPr="00EA59C0">
        <w:t xml:space="preserve"> </w:t>
      </w:r>
      <w:r w:rsidRPr="00EA59C0">
        <w:t>grant</w:t>
      </w:r>
      <w:r w:rsidR="00C026A6" w:rsidRPr="00EA59C0">
        <w:t xml:space="preserve"> </w:t>
      </w:r>
      <w:r w:rsidRPr="00EA59C0">
        <w:t>funds</w:t>
      </w:r>
      <w:r w:rsidR="00C026A6" w:rsidRPr="00EA59C0">
        <w:t xml:space="preserve"> </w:t>
      </w:r>
      <w:r w:rsidRPr="00EA59C0">
        <w:t>to</w:t>
      </w:r>
      <w:r w:rsidR="00C026A6" w:rsidRPr="00EA59C0">
        <w:t xml:space="preserve"> </w:t>
      </w:r>
      <w:r w:rsidRPr="00EA59C0">
        <w:t>implement</w:t>
      </w:r>
      <w:r w:rsidR="00C026A6" w:rsidRPr="00EA59C0">
        <w:t xml:space="preserve"> </w:t>
      </w:r>
      <w:r w:rsidRPr="00EA59C0">
        <w:t>these</w:t>
      </w:r>
      <w:r w:rsidR="00C026A6" w:rsidRPr="00EA59C0">
        <w:t xml:space="preserve"> </w:t>
      </w:r>
      <w:r w:rsidRPr="00EA59C0">
        <w:t>additional</w:t>
      </w:r>
      <w:r w:rsidR="00C026A6" w:rsidRPr="00EA59C0">
        <w:t xml:space="preserve"> </w:t>
      </w:r>
      <w:r w:rsidRPr="00EA59C0">
        <w:t>activities</w:t>
      </w:r>
      <w:r w:rsidR="00C026A6" w:rsidRPr="00EA59C0">
        <w:t xml:space="preserve"> </w:t>
      </w:r>
      <w:r w:rsidRPr="00EA59C0">
        <w:t>for</w:t>
      </w:r>
      <w:r w:rsidR="00C026A6" w:rsidRPr="00EA59C0">
        <w:t xml:space="preserve"> </w:t>
      </w:r>
      <w:r w:rsidRPr="00EA59C0">
        <w:t>the</w:t>
      </w:r>
      <w:r w:rsidR="00C026A6" w:rsidRPr="00EA59C0">
        <w:t xml:space="preserve"> </w:t>
      </w:r>
      <w:r w:rsidR="00950F76" w:rsidRPr="00EA59C0">
        <w:t>entire</w:t>
      </w:r>
      <w:r w:rsidR="00C026A6" w:rsidRPr="00EA59C0">
        <w:t xml:space="preserve"> </w:t>
      </w:r>
      <w:r w:rsidRPr="00EA59C0">
        <w:t>48</w:t>
      </w:r>
      <w:r w:rsidR="00C026A6" w:rsidRPr="00EA59C0">
        <w:t xml:space="preserve"> </w:t>
      </w:r>
      <w:r w:rsidRPr="00EA59C0">
        <w:t>month</w:t>
      </w:r>
      <w:r w:rsidR="00C026A6" w:rsidRPr="00EA59C0">
        <w:t xml:space="preserve"> </w:t>
      </w:r>
      <w:r w:rsidR="00950F76" w:rsidRPr="00EA59C0">
        <w:t>period</w:t>
      </w:r>
      <w:r w:rsidR="00C026A6" w:rsidRPr="00EA59C0">
        <w:t xml:space="preserve"> </w:t>
      </w:r>
      <w:r w:rsidR="00950F76" w:rsidRPr="00EA59C0">
        <w:t>of</w:t>
      </w:r>
      <w:r w:rsidR="00C026A6" w:rsidRPr="00EA59C0">
        <w:t xml:space="preserve"> </w:t>
      </w:r>
      <w:r w:rsidR="00950F76" w:rsidRPr="00EA59C0">
        <w:t>performance</w:t>
      </w:r>
      <w:r w:rsidRPr="00EA59C0">
        <w:t>.</w:t>
      </w:r>
      <w:r w:rsidR="00C026A6" w:rsidRPr="00EA59C0">
        <w:t xml:space="preserve">  </w:t>
      </w:r>
    </w:p>
    <w:p w:rsidR="00F60EA2" w:rsidRPr="00EA59C0" w:rsidRDefault="00F60EA2" w:rsidP="00D03948">
      <w:pPr>
        <w:ind w:firstLine="720"/>
      </w:pPr>
    </w:p>
    <w:p w:rsidR="006F75EA" w:rsidRPr="00EA59C0" w:rsidRDefault="006F75EA" w:rsidP="00D03948">
      <w:pPr>
        <w:ind w:firstLine="720"/>
      </w:pPr>
    </w:p>
    <w:bookmarkEnd w:id="13"/>
    <w:p w:rsidR="007470AB" w:rsidRPr="00EA59C0" w:rsidRDefault="00882D50" w:rsidP="00161054">
      <w:pPr>
        <w:pStyle w:val="Heading1"/>
        <w:numPr>
          <w:ilvl w:val="0"/>
          <w:numId w:val="17"/>
        </w:numPr>
        <w:rPr>
          <w:rFonts w:ascii="Times New Roman" w:hAnsi="Times New Roman"/>
        </w:rPr>
      </w:pPr>
      <w:r w:rsidRPr="00EA59C0">
        <w:rPr>
          <w:rFonts w:ascii="Times New Roman" w:hAnsi="Times New Roman"/>
        </w:rPr>
        <w:t>Eligibility</w:t>
      </w:r>
      <w:r w:rsidR="00C026A6" w:rsidRPr="00EA59C0">
        <w:rPr>
          <w:rFonts w:ascii="Times New Roman" w:hAnsi="Times New Roman"/>
        </w:rPr>
        <w:t xml:space="preserve"> </w:t>
      </w:r>
      <w:r w:rsidR="00354F43" w:rsidRPr="00EA59C0">
        <w:rPr>
          <w:rFonts w:ascii="Times New Roman" w:hAnsi="Times New Roman"/>
        </w:rPr>
        <w:t>Information</w:t>
      </w:r>
    </w:p>
    <w:p w:rsidR="007470AB" w:rsidRPr="00EA59C0" w:rsidDel="00880E35" w:rsidRDefault="007470AB" w:rsidP="00161054">
      <w:pPr>
        <w:pStyle w:val="Heading1"/>
        <w:numPr>
          <w:ilvl w:val="1"/>
          <w:numId w:val="17"/>
        </w:numPr>
        <w:rPr>
          <w:rFonts w:ascii="Times New Roman" w:hAnsi="Times New Roman"/>
        </w:rPr>
      </w:pPr>
      <w:r w:rsidRPr="00EA59C0" w:rsidDel="00880E35">
        <w:rPr>
          <w:rFonts w:ascii="Times New Roman" w:hAnsi="Times New Roman"/>
        </w:rPr>
        <w:t>Eligible</w:t>
      </w:r>
      <w:r w:rsidR="00C026A6" w:rsidRPr="00EA59C0">
        <w:rPr>
          <w:rFonts w:ascii="Times New Roman" w:hAnsi="Times New Roman"/>
        </w:rPr>
        <w:t xml:space="preserve"> </w:t>
      </w:r>
      <w:r w:rsidRPr="00EA59C0" w:rsidDel="00880E35">
        <w:rPr>
          <w:rFonts w:ascii="Times New Roman" w:hAnsi="Times New Roman"/>
        </w:rPr>
        <w:t>Applicants</w:t>
      </w:r>
    </w:p>
    <w:p w:rsidR="00EE288B" w:rsidRPr="00EA59C0" w:rsidRDefault="00EE288B" w:rsidP="00D03948">
      <w:pPr>
        <w:ind w:left="720"/>
      </w:pPr>
      <w:r w:rsidRPr="00EA59C0">
        <w:t>Eligible</w:t>
      </w:r>
      <w:r w:rsidR="00161054" w:rsidRPr="00EA59C0">
        <w:t xml:space="preserve"> institutions</w:t>
      </w:r>
      <w:r w:rsidR="00C026A6" w:rsidRPr="00EA59C0">
        <w:t xml:space="preserve"> </w:t>
      </w:r>
      <w:r w:rsidRPr="00EA59C0">
        <w:t>are</w:t>
      </w:r>
      <w:r w:rsidR="00C026A6" w:rsidRPr="00EA59C0">
        <w:t xml:space="preserve"> </w:t>
      </w:r>
      <w:r w:rsidRPr="00EA59C0">
        <w:t>institutions</w:t>
      </w:r>
      <w:r w:rsidR="00C026A6" w:rsidRPr="00EA59C0">
        <w:t xml:space="preserve"> </w:t>
      </w:r>
      <w:r w:rsidRPr="00EA59C0">
        <w:t>of</w:t>
      </w:r>
      <w:r w:rsidR="00C026A6" w:rsidRPr="00EA59C0">
        <w:t xml:space="preserve"> </w:t>
      </w:r>
      <w:r w:rsidRPr="00EA59C0">
        <w:t>higher</w:t>
      </w:r>
      <w:r w:rsidR="00C026A6" w:rsidRPr="00EA59C0">
        <w:t xml:space="preserve"> </w:t>
      </w:r>
      <w:r w:rsidRPr="00EA59C0">
        <w:t>education</w:t>
      </w:r>
      <w:r w:rsidR="00C026A6" w:rsidRPr="00EA59C0">
        <w:t xml:space="preserve"> </w:t>
      </w:r>
      <w:r w:rsidRPr="00EA59C0">
        <w:t>as</w:t>
      </w:r>
      <w:r w:rsidR="00C026A6" w:rsidRPr="00EA59C0">
        <w:t xml:space="preserve"> </w:t>
      </w:r>
      <w:r w:rsidRPr="00EA59C0">
        <w:t>defined</w:t>
      </w:r>
      <w:r w:rsidR="00C026A6" w:rsidRPr="00EA59C0">
        <w:t xml:space="preserve"> </w:t>
      </w:r>
      <w:r w:rsidRPr="00EA59C0">
        <w:t>in</w:t>
      </w:r>
      <w:r w:rsidR="00C026A6" w:rsidRPr="00EA59C0">
        <w:t xml:space="preserve"> </w:t>
      </w:r>
      <w:r w:rsidRPr="00EA59C0">
        <w:t>Section</w:t>
      </w:r>
      <w:r w:rsidR="00C026A6" w:rsidRPr="00EA59C0">
        <w:t xml:space="preserve"> </w:t>
      </w:r>
      <w:r w:rsidRPr="00EA59C0">
        <w:t>102</w:t>
      </w:r>
      <w:r w:rsidR="00C026A6" w:rsidRPr="00EA59C0">
        <w:t xml:space="preserve"> </w:t>
      </w:r>
      <w:r w:rsidRPr="00EA59C0">
        <w:t>of</w:t>
      </w:r>
      <w:r w:rsidR="00C026A6" w:rsidRPr="00EA59C0">
        <w:t xml:space="preserve"> </w:t>
      </w:r>
      <w:r w:rsidRPr="00EA59C0">
        <w:t>the</w:t>
      </w:r>
      <w:r w:rsidR="00C026A6" w:rsidRPr="00EA59C0">
        <w:t xml:space="preserve"> </w:t>
      </w:r>
      <w:r w:rsidRPr="00EA59C0">
        <w:t>Higher</w:t>
      </w:r>
      <w:r w:rsidR="00C026A6" w:rsidRPr="00EA59C0">
        <w:t xml:space="preserve"> </w:t>
      </w:r>
      <w:r w:rsidRPr="00EA59C0">
        <w:t>Education</w:t>
      </w:r>
      <w:r w:rsidR="00C026A6" w:rsidRPr="00EA59C0">
        <w:t xml:space="preserve"> </w:t>
      </w:r>
      <w:r w:rsidRPr="00EA59C0">
        <w:t>Act</w:t>
      </w:r>
      <w:r w:rsidR="00C026A6" w:rsidRPr="00EA59C0">
        <w:t xml:space="preserve"> </w:t>
      </w:r>
      <w:r w:rsidRPr="00EA59C0">
        <w:t>of</w:t>
      </w:r>
      <w:r w:rsidR="00C026A6" w:rsidRPr="00EA59C0">
        <w:t xml:space="preserve"> </w:t>
      </w:r>
      <w:r w:rsidRPr="00EA59C0">
        <w:t>1965</w:t>
      </w:r>
      <w:r w:rsidR="00C026A6" w:rsidRPr="00EA59C0">
        <w:t xml:space="preserve"> </w:t>
      </w:r>
      <w:r w:rsidRPr="00EA59C0">
        <w:t>(20</w:t>
      </w:r>
      <w:r w:rsidR="00C026A6" w:rsidRPr="00EA59C0">
        <w:t xml:space="preserve"> </w:t>
      </w:r>
      <w:r w:rsidRPr="00EA59C0">
        <w:t>U.S.C.</w:t>
      </w:r>
      <w:r w:rsidR="00C026A6" w:rsidRPr="00EA59C0">
        <w:t xml:space="preserve"> </w:t>
      </w:r>
      <w:r w:rsidRPr="00EA59C0">
        <w:t>1002)</w:t>
      </w:r>
      <w:r w:rsidR="00C026A6" w:rsidRPr="00EA59C0">
        <w:t xml:space="preserve"> </w:t>
      </w:r>
      <w:r w:rsidRPr="00EA59C0">
        <w:t>which</w:t>
      </w:r>
      <w:r w:rsidR="00C026A6" w:rsidRPr="00EA59C0">
        <w:t xml:space="preserve"> </w:t>
      </w:r>
      <w:r w:rsidRPr="00EA59C0">
        <w:t>offer</w:t>
      </w:r>
      <w:r w:rsidR="00C026A6" w:rsidRPr="00EA59C0">
        <w:t xml:space="preserve"> </w:t>
      </w:r>
      <w:r w:rsidRPr="00EA59C0">
        <w:t>programs</w:t>
      </w:r>
      <w:r w:rsidR="00C026A6" w:rsidRPr="00EA59C0">
        <w:t xml:space="preserve"> </w:t>
      </w:r>
      <w:r w:rsidRPr="00EA59C0">
        <w:t>that</w:t>
      </w:r>
      <w:r w:rsidR="00C026A6" w:rsidRPr="00EA59C0">
        <w:t xml:space="preserve"> </w:t>
      </w:r>
      <w:r w:rsidRPr="00EA59C0">
        <w:t>can</w:t>
      </w:r>
      <w:r w:rsidR="00C026A6" w:rsidRPr="00EA59C0">
        <w:t xml:space="preserve"> </w:t>
      </w:r>
      <w:r w:rsidRPr="00EA59C0">
        <w:t>be</w:t>
      </w:r>
      <w:r w:rsidR="00C026A6" w:rsidRPr="00EA59C0">
        <w:t xml:space="preserve"> </w:t>
      </w:r>
      <w:r w:rsidRPr="00EA59C0">
        <w:t>completed</w:t>
      </w:r>
      <w:r w:rsidR="00C026A6" w:rsidRPr="00EA59C0">
        <w:t xml:space="preserve"> </w:t>
      </w:r>
      <w:r w:rsidRPr="00EA59C0">
        <w:t>in</w:t>
      </w:r>
      <w:r w:rsidR="00C026A6" w:rsidRPr="00EA59C0">
        <w:t xml:space="preserve"> </w:t>
      </w:r>
      <w:r w:rsidRPr="00EA59C0">
        <w:t>not</w:t>
      </w:r>
      <w:r w:rsidR="00C026A6" w:rsidRPr="00EA59C0">
        <w:t xml:space="preserve"> </w:t>
      </w:r>
      <w:r w:rsidRPr="00EA59C0">
        <w:t>more</w:t>
      </w:r>
      <w:r w:rsidR="00C026A6" w:rsidRPr="00EA59C0">
        <w:t xml:space="preserve"> </w:t>
      </w:r>
      <w:r w:rsidRPr="00EA59C0">
        <w:t>than</w:t>
      </w:r>
      <w:r w:rsidR="00C026A6" w:rsidRPr="00EA59C0">
        <w:t xml:space="preserve"> </w:t>
      </w:r>
      <w:r w:rsidRPr="00EA59C0">
        <w:t>two</w:t>
      </w:r>
      <w:r w:rsidR="00C026A6" w:rsidRPr="00EA59C0">
        <w:t xml:space="preserve"> </w:t>
      </w:r>
      <w:r w:rsidRPr="00EA59C0">
        <w:t>years.</w:t>
      </w:r>
      <w:r w:rsidR="00C026A6" w:rsidRPr="00EA59C0">
        <w:t xml:space="preserve">  </w:t>
      </w:r>
      <w:r w:rsidRPr="00EA59C0">
        <w:t>They</w:t>
      </w:r>
      <w:r w:rsidR="00C026A6" w:rsidRPr="00EA59C0">
        <w:t xml:space="preserve"> </w:t>
      </w:r>
      <w:r w:rsidRPr="00EA59C0">
        <w:t>include</w:t>
      </w:r>
      <w:r w:rsidR="00C026A6" w:rsidRPr="00EA59C0">
        <w:t xml:space="preserve"> </w:t>
      </w:r>
      <w:r w:rsidRPr="00EA59C0">
        <w:t>public,</w:t>
      </w:r>
      <w:r w:rsidR="00C026A6" w:rsidRPr="00EA59C0">
        <w:t xml:space="preserve"> </w:t>
      </w:r>
      <w:r w:rsidRPr="00EA59C0">
        <w:t>proprietary,</w:t>
      </w:r>
      <w:r w:rsidR="00C026A6" w:rsidRPr="00EA59C0">
        <w:t xml:space="preserve"> </w:t>
      </w:r>
      <w:r w:rsidRPr="00EA59C0">
        <w:t>or</w:t>
      </w:r>
      <w:r w:rsidR="00C026A6" w:rsidRPr="00EA59C0">
        <w:t xml:space="preserve"> </w:t>
      </w:r>
      <w:r w:rsidRPr="00EA59C0">
        <w:t>other</w:t>
      </w:r>
      <w:r w:rsidR="00C026A6" w:rsidRPr="00EA59C0">
        <w:t xml:space="preserve"> </w:t>
      </w:r>
      <w:r w:rsidRPr="00EA59C0">
        <w:t>nonprofit</w:t>
      </w:r>
      <w:r w:rsidR="00C026A6" w:rsidRPr="00EA59C0">
        <w:t xml:space="preserve"> </w:t>
      </w:r>
      <w:r w:rsidRPr="00EA59C0">
        <w:t>educational</w:t>
      </w:r>
      <w:r w:rsidR="00C026A6" w:rsidRPr="00EA59C0">
        <w:t xml:space="preserve"> </w:t>
      </w:r>
      <w:r w:rsidRPr="00EA59C0">
        <w:t>institutions.</w:t>
      </w:r>
      <w:r w:rsidR="00C026A6" w:rsidRPr="00EA59C0">
        <w:t xml:space="preserve">  </w:t>
      </w:r>
      <w:r w:rsidRPr="00EA59C0">
        <w:t>Generally,</w:t>
      </w:r>
      <w:r w:rsidR="00C026A6" w:rsidRPr="00EA59C0">
        <w:t xml:space="preserve"> </w:t>
      </w:r>
      <w:r w:rsidRPr="00EA59C0">
        <w:t>such</w:t>
      </w:r>
      <w:r w:rsidR="00C026A6" w:rsidRPr="00EA59C0">
        <w:t xml:space="preserve"> </w:t>
      </w:r>
      <w:r w:rsidRPr="00EA59C0">
        <w:t>institutions</w:t>
      </w:r>
      <w:r w:rsidR="00C026A6" w:rsidRPr="00EA59C0">
        <w:t xml:space="preserve"> </w:t>
      </w:r>
      <w:r w:rsidRPr="00EA59C0">
        <w:t>of</w:t>
      </w:r>
      <w:r w:rsidR="00C026A6" w:rsidRPr="00EA59C0">
        <w:t xml:space="preserve"> </w:t>
      </w:r>
      <w:r w:rsidRPr="00EA59C0">
        <w:t>higher</w:t>
      </w:r>
      <w:r w:rsidR="00C026A6" w:rsidRPr="00EA59C0">
        <w:t xml:space="preserve"> </w:t>
      </w:r>
      <w:r w:rsidRPr="00EA59C0">
        <w:t>education</w:t>
      </w:r>
      <w:r w:rsidR="00C026A6" w:rsidRPr="00EA59C0">
        <w:t xml:space="preserve"> </w:t>
      </w:r>
      <w:r w:rsidRPr="00EA59C0">
        <w:t>include</w:t>
      </w:r>
      <w:r w:rsidR="00C026A6" w:rsidRPr="00EA59C0">
        <w:t xml:space="preserve"> </w:t>
      </w:r>
      <w:r w:rsidRPr="00EA59C0">
        <w:t>two-year</w:t>
      </w:r>
      <w:r w:rsidR="00C026A6" w:rsidRPr="00EA59C0">
        <w:t xml:space="preserve"> </w:t>
      </w:r>
      <w:r w:rsidRPr="00EA59C0">
        <w:t>and</w:t>
      </w:r>
      <w:r w:rsidR="00C026A6" w:rsidRPr="00EA59C0">
        <w:t xml:space="preserve"> </w:t>
      </w:r>
      <w:r w:rsidRPr="00EA59C0">
        <w:t>four-year</w:t>
      </w:r>
      <w:r w:rsidR="00C026A6" w:rsidRPr="00EA59C0">
        <w:t xml:space="preserve"> </w:t>
      </w:r>
      <w:r w:rsidRPr="00EA59C0">
        <w:t>colleges</w:t>
      </w:r>
      <w:r w:rsidR="00C026A6" w:rsidRPr="00EA59C0">
        <w:t xml:space="preserve"> </w:t>
      </w:r>
      <w:r w:rsidRPr="00EA59C0">
        <w:t>and</w:t>
      </w:r>
      <w:r w:rsidR="00C026A6" w:rsidRPr="00EA59C0">
        <w:t xml:space="preserve"> </w:t>
      </w:r>
      <w:r w:rsidRPr="00EA59C0">
        <w:t>universities,</w:t>
      </w:r>
      <w:r w:rsidR="00C026A6" w:rsidRPr="00EA59C0">
        <w:t xml:space="preserve"> </w:t>
      </w:r>
      <w:r w:rsidRPr="00EA59C0">
        <w:t>Historically</w:t>
      </w:r>
      <w:r w:rsidR="00C026A6" w:rsidRPr="00EA59C0">
        <w:t xml:space="preserve"> </w:t>
      </w:r>
      <w:r w:rsidRPr="00EA59C0">
        <w:t>Black</w:t>
      </w:r>
      <w:r w:rsidR="00C026A6" w:rsidRPr="00EA59C0">
        <w:t xml:space="preserve"> </w:t>
      </w:r>
      <w:r w:rsidRPr="00EA59C0">
        <w:t>Colleges</w:t>
      </w:r>
      <w:r w:rsidR="00C026A6" w:rsidRPr="00EA59C0">
        <w:t xml:space="preserve"> </w:t>
      </w:r>
      <w:r w:rsidRPr="00EA59C0">
        <w:t>and</w:t>
      </w:r>
      <w:r w:rsidR="00C026A6" w:rsidRPr="00EA59C0">
        <w:t xml:space="preserve"> </w:t>
      </w:r>
      <w:r w:rsidRPr="00EA59C0">
        <w:t>Universities,</w:t>
      </w:r>
      <w:r w:rsidR="00C026A6" w:rsidRPr="00EA59C0">
        <w:t xml:space="preserve"> </w:t>
      </w:r>
      <w:r w:rsidRPr="00EA59C0">
        <w:t>Tribally</w:t>
      </w:r>
      <w:r w:rsidR="00C026A6" w:rsidRPr="00EA59C0">
        <w:t xml:space="preserve"> </w:t>
      </w:r>
      <w:r w:rsidRPr="00EA59C0">
        <w:t>Controlled</w:t>
      </w:r>
      <w:r w:rsidR="00C026A6" w:rsidRPr="00EA59C0">
        <w:t xml:space="preserve"> </w:t>
      </w:r>
      <w:r w:rsidRPr="00EA59C0">
        <w:t>Colleges</w:t>
      </w:r>
      <w:r w:rsidR="00C026A6" w:rsidRPr="00EA59C0">
        <w:t xml:space="preserve"> </w:t>
      </w:r>
      <w:r w:rsidRPr="00EA59C0">
        <w:t>and</w:t>
      </w:r>
      <w:r w:rsidR="00C026A6" w:rsidRPr="00EA59C0">
        <w:t xml:space="preserve"> </w:t>
      </w:r>
      <w:r w:rsidRPr="00EA59C0">
        <w:t>Universities,</w:t>
      </w:r>
      <w:r w:rsidR="00C026A6" w:rsidRPr="00EA59C0">
        <w:t xml:space="preserve"> </w:t>
      </w:r>
      <w:r w:rsidRPr="00EA59C0">
        <w:t>Hispanic-serving</w:t>
      </w:r>
      <w:r w:rsidR="00C026A6" w:rsidRPr="00EA59C0">
        <w:t xml:space="preserve"> </w:t>
      </w:r>
      <w:r w:rsidRPr="00EA59C0">
        <w:t>Institutions,</w:t>
      </w:r>
      <w:r w:rsidR="00C026A6" w:rsidRPr="00EA59C0">
        <w:t xml:space="preserve"> </w:t>
      </w:r>
      <w:r w:rsidRPr="00EA59C0">
        <w:t>and</w:t>
      </w:r>
      <w:r w:rsidR="00C026A6" w:rsidRPr="00EA59C0">
        <w:t xml:space="preserve"> </w:t>
      </w:r>
      <w:r w:rsidRPr="00EA59C0">
        <w:t>Asian</w:t>
      </w:r>
      <w:r w:rsidR="00C026A6" w:rsidRPr="00EA59C0">
        <w:t xml:space="preserve"> </w:t>
      </w:r>
      <w:r w:rsidRPr="00EA59C0">
        <w:t>American</w:t>
      </w:r>
      <w:r w:rsidR="00C026A6" w:rsidRPr="00EA59C0">
        <w:t xml:space="preserve"> </w:t>
      </w:r>
      <w:r w:rsidRPr="00EA59C0">
        <w:t>and</w:t>
      </w:r>
      <w:r w:rsidR="00C026A6" w:rsidRPr="00EA59C0">
        <w:t xml:space="preserve"> </w:t>
      </w:r>
      <w:r w:rsidRPr="00EA59C0">
        <w:t>Native</w:t>
      </w:r>
      <w:r w:rsidR="00C026A6" w:rsidRPr="00EA59C0">
        <w:t xml:space="preserve"> </w:t>
      </w:r>
      <w:r w:rsidRPr="00EA59C0">
        <w:t>American</w:t>
      </w:r>
      <w:r w:rsidR="00C026A6" w:rsidRPr="00EA59C0">
        <w:t xml:space="preserve"> </w:t>
      </w:r>
      <w:r w:rsidRPr="00EA59C0">
        <w:t>Pacific</w:t>
      </w:r>
      <w:r w:rsidR="00C026A6" w:rsidRPr="00EA59C0">
        <w:t xml:space="preserve"> </w:t>
      </w:r>
      <w:r w:rsidRPr="00EA59C0">
        <w:t>Islander-serving</w:t>
      </w:r>
      <w:r w:rsidR="00C026A6" w:rsidRPr="00EA59C0">
        <w:t xml:space="preserve"> </w:t>
      </w:r>
      <w:r w:rsidRPr="00EA59C0">
        <w:t>Institutions.</w:t>
      </w:r>
      <w:r w:rsidR="00C026A6" w:rsidRPr="00EA59C0">
        <w:t xml:space="preserve">  </w:t>
      </w:r>
      <w:r w:rsidRPr="00EA59C0">
        <w:t>Educational</w:t>
      </w:r>
      <w:r w:rsidR="00C026A6" w:rsidRPr="00EA59C0">
        <w:t xml:space="preserve"> </w:t>
      </w:r>
      <w:r w:rsidRPr="00EA59C0">
        <w:t>institutions</w:t>
      </w:r>
      <w:r w:rsidR="00C026A6" w:rsidRPr="00EA59C0">
        <w:t xml:space="preserve"> </w:t>
      </w:r>
      <w:r w:rsidRPr="00EA59C0">
        <w:t>in</w:t>
      </w:r>
      <w:r w:rsidR="00C026A6" w:rsidRPr="00EA59C0">
        <w:t xml:space="preserve"> </w:t>
      </w:r>
      <w:r w:rsidRPr="00EA59C0">
        <w:t>the</w:t>
      </w:r>
      <w:r w:rsidR="00C026A6" w:rsidRPr="00EA59C0">
        <w:t xml:space="preserve"> </w:t>
      </w:r>
      <w:r w:rsidRPr="00EA59C0">
        <w:t>U.S.</w:t>
      </w:r>
      <w:r w:rsidR="00C026A6" w:rsidRPr="00EA59C0">
        <w:t xml:space="preserve"> </w:t>
      </w:r>
      <w:r w:rsidRPr="00EA59C0">
        <w:t>territories</w:t>
      </w:r>
      <w:r w:rsidR="00C026A6" w:rsidRPr="00EA59C0">
        <w:t xml:space="preserve"> </w:t>
      </w:r>
      <w:r w:rsidRPr="00EA59C0">
        <w:t>are</w:t>
      </w:r>
      <w:r w:rsidR="00C026A6" w:rsidRPr="00EA59C0">
        <w:t xml:space="preserve"> </w:t>
      </w:r>
      <w:r w:rsidRPr="00EA59C0">
        <w:t>eligible</w:t>
      </w:r>
      <w:r w:rsidR="00C026A6" w:rsidRPr="00EA59C0">
        <w:t xml:space="preserve"> </w:t>
      </w:r>
      <w:r w:rsidRPr="00EA59C0">
        <w:t>if</w:t>
      </w:r>
      <w:r w:rsidR="00C026A6" w:rsidRPr="00EA59C0">
        <w:t xml:space="preserve"> </w:t>
      </w:r>
      <w:r w:rsidRPr="00EA59C0">
        <w:t>they</w:t>
      </w:r>
      <w:r w:rsidR="00C026A6" w:rsidRPr="00EA59C0">
        <w:t xml:space="preserve"> </w:t>
      </w:r>
      <w:r w:rsidRPr="00EA59C0">
        <w:t>offer</w:t>
      </w:r>
      <w:r w:rsidR="00C026A6" w:rsidRPr="00EA59C0">
        <w:t xml:space="preserve"> </w:t>
      </w:r>
      <w:r w:rsidRPr="00EA59C0">
        <w:t>programs</w:t>
      </w:r>
      <w:r w:rsidR="00C026A6" w:rsidRPr="00EA59C0">
        <w:t xml:space="preserve"> </w:t>
      </w:r>
      <w:r w:rsidRPr="00EA59C0">
        <w:t>that</w:t>
      </w:r>
      <w:r w:rsidR="00C026A6" w:rsidRPr="00EA59C0">
        <w:t xml:space="preserve"> </w:t>
      </w:r>
      <w:r w:rsidRPr="00EA59C0">
        <w:t>can</w:t>
      </w:r>
      <w:r w:rsidR="00C026A6" w:rsidRPr="00EA59C0">
        <w:t xml:space="preserve"> </w:t>
      </w:r>
      <w:r w:rsidRPr="00EA59C0">
        <w:t>be</w:t>
      </w:r>
      <w:r w:rsidR="00C026A6" w:rsidRPr="00EA59C0">
        <w:t xml:space="preserve"> </w:t>
      </w:r>
      <w:r w:rsidRPr="00EA59C0">
        <w:t>completed</w:t>
      </w:r>
      <w:r w:rsidR="00C026A6" w:rsidRPr="00EA59C0">
        <w:t xml:space="preserve"> </w:t>
      </w:r>
      <w:r w:rsidRPr="00EA59C0">
        <w:t>in</w:t>
      </w:r>
      <w:r w:rsidR="00C026A6" w:rsidRPr="00EA59C0">
        <w:t xml:space="preserve"> </w:t>
      </w:r>
      <w:r w:rsidRPr="00EA59C0">
        <w:t>not</w:t>
      </w:r>
      <w:r w:rsidR="00C026A6" w:rsidRPr="00EA59C0">
        <w:t xml:space="preserve"> </w:t>
      </w:r>
      <w:r w:rsidRPr="00EA59C0">
        <w:t>more</w:t>
      </w:r>
      <w:r w:rsidR="00C026A6" w:rsidRPr="00EA59C0">
        <w:t xml:space="preserve"> </w:t>
      </w:r>
      <w:r w:rsidRPr="00EA59C0">
        <w:t>than</w:t>
      </w:r>
      <w:r w:rsidR="00C026A6" w:rsidRPr="00EA59C0">
        <w:t xml:space="preserve"> </w:t>
      </w:r>
      <w:r w:rsidRPr="00EA59C0">
        <w:t>two</w:t>
      </w:r>
      <w:r w:rsidR="00C026A6" w:rsidRPr="00EA59C0">
        <w:t xml:space="preserve"> </w:t>
      </w:r>
      <w:r w:rsidRPr="00EA59C0">
        <w:t>years</w:t>
      </w:r>
      <w:r w:rsidR="00C026A6" w:rsidRPr="00EA59C0">
        <w:t xml:space="preserve"> </w:t>
      </w:r>
      <w:r w:rsidRPr="00EA59C0">
        <w:t>and</w:t>
      </w:r>
      <w:r w:rsidR="00C026A6" w:rsidRPr="00EA59C0">
        <w:t xml:space="preserve"> </w:t>
      </w:r>
      <w:r w:rsidRPr="00EA59C0">
        <w:t>are</w:t>
      </w:r>
      <w:r w:rsidR="00C026A6" w:rsidRPr="00EA59C0">
        <w:t xml:space="preserve"> </w:t>
      </w:r>
      <w:r w:rsidRPr="00EA59C0">
        <w:t>accredited</w:t>
      </w:r>
      <w:r w:rsidR="00C026A6" w:rsidRPr="00EA59C0">
        <w:t xml:space="preserve"> </w:t>
      </w:r>
      <w:r w:rsidRPr="00EA59C0">
        <w:t>by</w:t>
      </w:r>
      <w:r w:rsidR="00C026A6" w:rsidRPr="00EA59C0">
        <w:t xml:space="preserve"> </w:t>
      </w:r>
      <w:r w:rsidRPr="00EA59C0">
        <w:t>an</w:t>
      </w:r>
      <w:r w:rsidR="00C026A6" w:rsidRPr="00EA59C0">
        <w:t xml:space="preserve"> </w:t>
      </w:r>
      <w:r w:rsidRPr="00EA59C0">
        <w:t>agency</w:t>
      </w:r>
      <w:r w:rsidR="00C026A6" w:rsidRPr="00EA59C0">
        <w:t xml:space="preserve"> </w:t>
      </w:r>
      <w:r w:rsidRPr="00EA59C0">
        <w:t>or</w:t>
      </w:r>
      <w:r w:rsidR="00C026A6" w:rsidRPr="00EA59C0">
        <w:t xml:space="preserve"> </w:t>
      </w:r>
      <w:r w:rsidRPr="00EA59C0">
        <w:t>association</w:t>
      </w:r>
      <w:r w:rsidR="00C026A6" w:rsidRPr="00EA59C0">
        <w:t xml:space="preserve"> </w:t>
      </w:r>
      <w:r w:rsidRPr="00EA59C0">
        <w:t>recognized</w:t>
      </w:r>
      <w:r w:rsidR="00C026A6" w:rsidRPr="00EA59C0">
        <w:t xml:space="preserve"> </w:t>
      </w:r>
      <w:r w:rsidRPr="00EA59C0">
        <w:t>by</w:t>
      </w:r>
      <w:r w:rsidR="00C026A6" w:rsidRPr="00EA59C0">
        <w:t xml:space="preserve"> </w:t>
      </w:r>
      <w:r w:rsidRPr="00EA59C0">
        <w:t>the</w:t>
      </w:r>
      <w:r w:rsidR="00C026A6" w:rsidRPr="00EA59C0">
        <w:t xml:space="preserve"> </w:t>
      </w:r>
      <w:r w:rsidRPr="00EA59C0">
        <w:t>U.S.</w:t>
      </w:r>
      <w:r w:rsidR="00C026A6" w:rsidRPr="00EA59C0">
        <w:t xml:space="preserve"> </w:t>
      </w:r>
      <w:r w:rsidRPr="00EA59C0">
        <w:t>Department</w:t>
      </w:r>
      <w:r w:rsidR="00C026A6" w:rsidRPr="00EA59C0">
        <w:t xml:space="preserve"> </w:t>
      </w:r>
      <w:r w:rsidRPr="00EA59C0">
        <w:t>of</w:t>
      </w:r>
      <w:r w:rsidR="00C026A6" w:rsidRPr="00EA59C0">
        <w:t xml:space="preserve"> </w:t>
      </w:r>
      <w:r w:rsidRPr="00EA59C0">
        <w:t>Education.</w:t>
      </w:r>
      <w:r w:rsidR="00C026A6" w:rsidRPr="00EA59C0">
        <w:t xml:space="preserve">  </w:t>
      </w:r>
      <w:r w:rsidRPr="00EA59C0">
        <w:t>However,</w:t>
      </w:r>
      <w:r w:rsidR="00C026A6" w:rsidRPr="00EA59C0">
        <w:t xml:space="preserve"> </w:t>
      </w:r>
      <w:r w:rsidRPr="00EA59C0">
        <w:t>applications</w:t>
      </w:r>
      <w:r w:rsidR="00C026A6" w:rsidRPr="00EA59C0">
        <w:t xml:space="preserve"> </w:t>
      </w:r>
      <w:r w:rsidRPr="00EA59C0">
        <w:t>from</w:t>
      </w:r>
      <w:r w:rsidR="00C026A6" w:rsidRPr="00EA59C0">
        <w:t xml:space="preserve"> </w:t>
      </w:r>
      <w:r w:rsidRPr="00EA59C0">
        <w:t>institutions</w:t>
      </w:r>
      <w:r w:rsidR="00C026A6" w:rsidRPr="00EA59C0">
        <w:t xml:space="preserve"> </w:t>
      </w:r>
      <w:r w:rsidRPr="00EA59C0">
        <w:t>not</w:t>
      </w:r>
      <w:r w:rsidR="00C026A6" w:rsidRPr="00EA59C0">
        <w:t xml:space="preserve"> </w:t>
      </w:r>
      <w:r w:rsidRPr="00EA59C0">
        <w:t>located</w:t>
      </w:r>
      <w:r w:rsidR="00C026A6" w:rsidRPr="00EA59C0">
        <w:t xml:space="preserve"> </w:t>
      </w:r>
      <w:r w:rsidRPr="00EA59C0">
        <w:t>in</w:t>
      </w:r>
      <w:r w:rsidR="00C026A6" w:rsidRPr="00EA59C0">
        <w:t xml:space="preserve"> </w:t>
      </w:r>
      <w:r w:rsidRPr="00EA59C0">
        <w:t>the</w:t>
      </w:r>
      <w:r w:rsidR="00C026A6" w:rsidRPr="00EA59C0">
        <w:t xml:space="preserve"> </w:t>
      </w:r>
      <w:r w:rsidRPr="00EA59C0">
        <w:t>50</w:t>
      </w:r>
      <w:r w:rsidR="00C026A6" w:rsidRPr="00EA59C0">
        <w:t xml:space="preserve"> </w:t>
      </w:r>
      <w:r w:rsidRPr="00EA59C0">
        <w:t>States,</w:t>
      </w:r>
      <w:r w:rsidR="00C026A6" w:rsidRPr="00EA59C0">
        <w:t xml:space="preserve"> </w:t>
      </w:r>
      <w:r w:rsidRPr="00EA59C0">
        <w:t>the</w:t>
      </w:r>
      <w:r w:rsidR="00C026A6" w:rsidRPr="00EA59C0">
        <w:t xml:space="preserve"> </w:t>
      </w:r>
      <w:r w:rsidRPr="00EA59C0">
        <w:t>District</w:t>
      </w:r>
      <w:r w:rsidR="00C026A6" w:rsidRPr="00EA59C0">
        <w:t xml:space="preserve"> </w:t>
      </w:r>
      <w:r w:rsidRPr="00EA59C0">
        <w:t>of</w:t>
      </w:r>
      <w:r w:rsidR="00C026A6" w:rsidRPr="00EA59C0">
        <w:t xml:space="preserve"> </w:t>
      </w:r>
      <w:r w:rsidRPr="00EA59C0">
        <w:t>Columbia,</w:t>
      </w:r>
      <w:r w:rsidR="00C026A6" w:rsidRPr="00EA59C0">
        <w:t xml:space="preserve"> </w:t>
      </w:r>
      <w:r w:rsidRPr="00EA59C0">
        <w:t>and</w:t>
      </w:r>
      <w:r w:rsidR="00C026A6" w:rsidRPr="00EA59C0">
        <w:t xml:space="preserve"> </w:t>
      </w:r>
      <w:r w:rsidRPr="00EA59C0">
        <w:t>Puerto</w:t>
      </w:r>
      <w:r w:rsidR="00C026A6" w:rsidRPr="00EA59C0">
        <w:t xml:space="preserve"> </w:t>
      </w:r>
      <w:r w:rsidRPr="00EA59C0">
        <w:t>Rico</w:t>
      </w:r>
      <w:r w:rsidR="00C026A6" w:rsidRPr="00EA59C0">
        <w:t xml:space="preserve"> </w:t>
      </w:r>
      <w:r w:rsidRPr="00EA59C0">
        <w:t>may</w:t>
      </w:r>
      <w:r w:rsidR="00C026A6" w:rsidRPr="00EA59C0">
        <w:t xml:space="preserve"> </w:t>
      </w:r>
      <w:r w:rsidRPr="00EA59C0">
        <w:t>not</w:t>
      </w:r>
      <w:r w:rsidR="00C026A6" w:rsidRPr="00EA59C0">
        <w:t xml:space="preserve"> </w:t>
      </w:r>
      <w:r w:rsidRPr="00EA59C0">
        <w:t>be</w:t>
      </w:r>
      <w:r w:rsidR="00C026A6" w:rsidRPr="00EA59C0">
        <w:t xml:space="preserve"> </w:t>
      </w:r>
      <w:r w:rsidRPr="00EA59C0">
        <w:t>eligible</w:t>
      </w:r>
      <w:r w:rsidR="00C026A6" w:rsidRPr="00EA59C0">
        <w:t xml:space="preserve"> </w:t>
      </w:r>
      <w:r w:rsidRPr="00EA59C0">
        <w:t>for</w:t>
      </w:r>
      <w:r w:rsidR="00C026A6" w:rsidRPr="00EA59C0">
        <w:t xml:space="preserve"> </w:t>
      </w:r>
      <w:r w:rsidRPr="00EA59C0">
        <w:t>the</w:t>
      </w:r>
      <w:r w:rsidR="00C026A6" w:rsidRPr="00EA59C0">
        <w:t xml:space="preserve"> </w:t>
      </w:r>
      <w:r w:rsidRPr="00EA59C0">
        <w:t>full</w:t>
      </w:r>
      <w:r w:rsidR="00C026A6" w:rsidRPr="00EA59C0">
        <w:t xml:space="preserve"> </w:t>
      </w:r>
      <w:r w:rsidRPr="00EA59C0">
        <w:t>10</w:t>
      </w:r>
      <w:r w:rsidR="00C026A6" w:rsidRPr="00EA59C0">
        <w:t xml:space="preserve"> </w:t>
      </w:r>
      <w:r w:rsidRPr="00EA59C0">
        <w:t>points</w:t>
      </w:r>
      <w:r w:rsidR="00C026A6" w:rsidRPr="00EA59C0">
        <w:t xml:space="preserve"> </w:t>
      </w:r>
      <w:r w:rsidRPr="00EA59C0">
        <w:t>in</w:t>
      </w:r>
      <w:r w:rsidR="00C026A6" w:rsidRPr="00EA59C0">
        <w:t xml:space="preserve"> </w:t>
      </w:r>
      <w:r w:rsidRPr="00EA59C0">
        <w:t>Section</w:t>
      </w:r>
      <w:r w:rsidR="00C026A6" w:rsidRPr="00EA59C0">
        <w:t xml:space="preserve"> </w:t>
      </w:r>
      <w:r w:rsidRPr="00EA59C0">
        <w:t>V.A.1</w:t>
      </w:r>
      <w:r w:rsidR="00C026A6" w:rsidRPr="00EA59C0">
        <w:t xml:space="preserve"> </w:t>
      </w:r>
      <w:r w:rsidRPr="00EA59C0">
        <w:t>because</w:t>
      </w:r>
      <w:r w:rsidR="00C026A6" w:rsidRPr="00EA59C0">
        <w:t xml:space="preserve"> </w:t>
      </w:r>
      <w:r w:rsidRPr="00EA59C0">
        <w:t>workers</w:t>
      </w:r>
      <w:r w:rsidR="00C026A6" w:rsidRPr="00EA59C0">
        <w:t xml:space="preserve"> </w:t>
      </w:r>
      <w:r w:rsidRPr="00EA59C0">
        <w:t>outside</w:t>
      </w:r>
      <w:r w:rsidR="00C026A6" w:rsidRPr="00EA59C0">
        <w:t xml:space="preserve"> </w:t>
      </w:r>
      <w:r w:rsidRPr="00EA59C0">
        <w:t>of</w:t>
      </w:r>
      <w:r w:rsidR="00C026A6" w:rsidRPr="00EA59C0">
        <w:t xml:space="preserve"> </w:t>
      </w:r>
      <w:r w:rsidRPr="00EA59C0">
        <w:t>these</w:t>
      </w:r>
      <w:r w:rsidR="00C026A6" w:rsidRPr="00EA59C0">
        <w:t xml:space="preserve"> </w:t>
      </w:r>
      <w:r w:rsidRPr="00EA59C0">
        <w:t>jurisdictions</w:t>
      </w:r>
      <w:r w:rsidR="00C026A6" w:rsidRPr="00EA59C0">
        <w:t xml:space="preserve"> </w:t>
      </w:r>
      <w:r w:rsidRPr="00EA59C0">
        <w:t>cannot</w:t>
      </w:r>
      <w:r w:rsidR="00C026A6" w:rsidRPr="00EA59C0">
        <w:t xml:space="preserve"> </w:t>
      </w:r>
      <w:r w:rsidRPr="00EA59C0">
        <w:t>be</w:t>
      </w:r>
      <w:r w:rsidR="00C026A6" w:rsidRPr="00EA59C0">
        <w:t xml:space="preserve"> </w:t>
      </w:r>
      <w:r w:rsidRPr="00EA59C0">
        <w:t>certified</w:t>
      </w:r>
      <w:r w:rsidR="00C026A6" w:rsidRPr="00EA59C0">
        <w:t xml:space="preserve"> </w:t>
      </w:r>
      <w:r w:rsidRPr="00EA59C0">
        <w:t>as</w:t>
      </w:r>
      <w:r w:rsidR="00C026A6" w:rsidRPr="00EA59C0">
        <w:t xml:space="preserve"> </w:t>
      </w:r>
      <w:r w:rsidRPr="00EA59C0">
        <w:t>TAA-eligible.</w:t>
      </w:r>
    </w:p>
    <w:p w:rsidR="00F60EA2" w:rsidRPr="00EA59C0" w:rsidRDefault="00F60EA2" w:rsidP="00D03948">
      <w:pPr>
        <w:ind w:left="720"/>
      </w:pPr>
    </w:p>
    <w:p w:rsidR="00EE288B" w:rsidRPr="00EA59C0" w:rsidRDefault="00EE288B" w:rsidP="00D03948">
      <w:pPr>
        <w:ind w:left="720"/>
      </w:pPr>
      <w:r w:rsidRPr="00EA59C0">
        <w:t>Eligible</w:t>
      </w:r>
      <w:r w:rsidR="00C026A6" w:rsidRPr="00EA59C0">
        <w:t xml:space="preserve"> </w:t>
      </w:r>
      <w:r w:rsidRPr="00EA59C0">
        <w:t>institutions</w:t>
      </w:r>
      <w:r w:rsidR="00C026A6" w:rsidRPr="00EA59C0">
        <w:t xml:space="preserve"> </w:t>
      </w:r>
      <w:r w:rsidRPr="00EA59C0">
        <w:t>previously</w:t>
      </w:r>
      <w:r w:rsidR="00C026A6" w:rsidRPr="00EA59C0">
        <w:t xml:space="preserve"> </w:t>
      </w:r>
      <w:r w:rsidRPr="00EA59C0">
        <w:t>funded</w:t>
      </w:r>
      <w:r w:rsidR="00C026A6" w:rsidRPr="00EA59C0">
        <w:t xml:space="preserve"> </w:t>
      </w:r>
      <w:r w:rsidRPr="00EA59C0">
        <w:t>under</w:t>
      </w:r>
      <w:r w:rsidR="00C026A6" w:rsidRPr="00EA59C0">
        <w:t xml:space="preserve"> </w:t>
      </w:r>
      <w:r w:rsidRPr="00EA59C0">
        <w:t>TAACCCT</w:t>
      </w:r>
      <w:r w:rsidR="00C026A6" w:rsidRPr="00EA59C0">
        <w:t xml:space="preserve"> </w:t>
      </w:r>
      <w:r w:rsidRPr="00EA59C0">
        <w:t>SGA/DFY</w:t>
      </w:r>
      <w:r w:rsidR="00C026A6" w:rsidRPr="00EA59C0">
        <w:t xml:space="preserve"> </w:t>
      </w:r>
      <w:r w:rsidRPr="00EA59C0">
        <w:t>PY</w:t>
      </w:r>
      <w:r w:rsidR="00C026A6" w:rsidRPr="00EA59C0">
        <w:t xml:space="preserve"> </w:t>
      </w:r>
      <w:r w:rsidRPr="00EA59C0">
        <w:t>10-</w:t>
      </w:r>
      <w:r w:rsidR="00033F22" w:rsidRPr="00EA59C0">
        <w:t>03</w:t>
      </w:r>
      <w:r w:rsidR="00C026A6" w:rsidRPr="00EA59C0">
        <w:t xml:space="preserve"> </w:t>
      </w:r>
      <w:r w:rsidR="00033F22" w:rsidRPr="00EA59C0">
        <w:t>(</w:t>
      </w:r>
      <w:r w:rsidRPr="00EA59C0">
        <w:t>Round</w:t>
      </w:r>
      <w:r w:rsidR="00C026A6" w:rsidRPr="00EA59C0">
        <w:t xml:space="preserve"> </w:t>
      </w:r>
      <w:r w:rsidRPr="00EA59C0">
        <w:t>1)</w:t>
      </w:r>
      <w:r w:rsidR="00C026A6" w:rsidRPr="00EA59C0">
        <w:t xml:space="preserve"> </w:t>
      </w:r>
      <w:r w:rsidR="00F60EA2" w:rsidRPr="00EA59C0">
        <w:t>and</w:t>
      </w:r>
      <w:r w:rsidR="00C026A6" w:rsidRPr="00EA59C0">
        <w:t xml:space="preserve"> </w:t>
      </w:r>
      <w:r w:rsidR="00F60EA2" w:rsidRPr="00EA59C0">
        <w:t>TAACCCT</w:t>
      </w:r>
      <w:r w:rsidR="00C026A6" w:rsidRPr="00EA59C0">
        <w:t xml:space="preserve"> </w:t>
      </w:r>
      <w:r w:rsidR="00F60EA2" w:rsidRPr="00EA59C0">
        <w:t>SGA/DFY</w:t>
      </w:r>
      <w:r w:rsidR="00C026A6" w:rsidRPr="00EA59C0">
        <w:t xml:space="preserve"> </w:t>
      </w:r>
      <w:r w:rsidR="00F60EA2" w:rsidRPr="00EA59C0">
        <w:t>PY</w:t>
      </w:r>
      <w:r w:rsidR="00C026A6" w:rsidRPr="00EA59C0">
        <w:t xml:space="preserve"> </w:t>
      </w:r>
      <w:r w:rsidR="00F60EA2" w:rsidRPr="00EA59C0">
        <w:t>11-08</w:t>
      </w:r>
      <w:r w:rsidR="00C026A6" w:rsidRPr="00EA59C0">
        <w:t xml:space="preserve"> </w:t>
      </w:r>
      <w:r w:rsidR="00F60EA2" w:rsidRPr="00EA59C0">
        <w:t>(Round</w:t>
      </w:r>
      <w:r w:rsidR="00C026A6" w:rsidRPr="00EA59C0">
        <w:t xml:space="preserve"> </w:t>
      </w:r>
      <w:r w:rsidR="00F60EA2" w:rsidRPr="00EA59C0">
        <w:t>2)</w:t>
      </w:r>
      <w:r w:rsidR="00C026A6" w:rsidRPr="00EA59C0">
        <w:t xml:space="preserve"> </w:t>
      </w:r>
      <w:r w:rsidRPr="00EA59C0">
        <w:t>may</w:t>
      </w:r>
      <w:r w:rsidR="00C026A6" w:rsidRPr="00EA59C0">
        <w:t xml:space="preserve"> </w:t>
      </w:r>
      <w:r w:rsidRPr="00EA59C0">
        <w:t>apply</w:t>
      </w:r>
      <w:r w:rsidR="00C026A6" w:rsidRPr="00EA59C0">
        <w:t xml:space="preserve"> </w:t>
      </w:r>
      <w:r w:rsidRPr="00EA59C0">
        <w:t>as</w:t>
      </w:r>
      <w:r w:rsidR="00C026A6" w:rsidRPr="00EA59C0">
        <w:t xml:space="preserve"> </w:t>
      </w:r>
      <w:r w:rsidRPr="00EA59C0">
        <w:t>a</w:t>
      </w:r>
      <w:r w:rsidR="00C026A6" w:rsidRPr="00EA59C0">
        <w:t xml:space="preserve"> </w:t>
      </w:r>
      <w:r w:rsidRPr="00EA59C0">
        <w:t>single</w:t>
      </w:r>
      <w:r w:rsidR="00C026A6" w:rsidRPr="00EA59C0">
        <w:t xml:space="preserve"> </w:t>
      </w:r>
      <w:r w:rsidRPr="00EA59C0">
        <w:t>institution</w:t>
      </w:r>
      <w:r w:rsidR="00C026A6" w:rsidRPr="00EA59C0">
        <w:t xml:space="preserve"> </w:t>
      </w:r>
      <w:r w:rsidRPr="00EA59C0">
        <w:t>or</w:t>
      </w:r>
      <w:r w:rsidR="00C026A6" w:rsidRPr="00EA59C0">
        <w:t xml:space="preserve"> </w:t>
      </w:r>
      <w:r w:rsidRPr="00EA59C0">
        <w:t>as</w:t>
      </w:r>
      <w:r w:rsidR="00C026A6" w:rsidRPr="00EA59C0">
        <w:t xml:space="preserve"> </w:t>
      </w:r>
      <w:r w:rsidRPr="00EA59C0">
        <w:t>a</w:t>
      </w:r>
      <w:r w:rsidR="00C026A6" w:rsidRPr="00EA59C0">
        <w:t xml:space="preserve"> </w:t>
      </w:r>
      <w:r w:rsidRPr="00EA59C0">
        <w:t>Lead</w:t>
      </w:r>
      <w:r w:rsidR="00C026A6" w:rsidRPr="00EA59C0">
        <w:t xml:space="preserve"> </w:t>
      </w:r>
      <w:r w:rsidRPr="00EA59C0">
        <w:t>or</w:t>
      </w:r>
      <w:r w:rsidR="00C026A6" w:rsidRPr="00EA59C0">
        <w:t xml:space="preserve"> </w:t>
      </w:r>
      <w:r w:rsidRPr="00EA59C0">
        <w:t>Member</w:t>
      </w:r>
      <w:r w:rsidR="00C026A6" w:rsidRPr="00EA59C0">
        <w:t xml:space="preserve"> </w:t>
      </w:r>
      <w:r w:rsidRPr="00EA59C0">
        <w:t>Institution</w:t>
      </w:r>
      <w:r w:rsidR="00C026A6" w:rsidRPr="00EA59C0">
        <w:t xml:space="preserve"> </w:t>
      </w:r>
      <w:r w:rsidRPr="00EA59C0">
        <w:t>in</w:t>
      </w:r>
      <w:r w:rsidR="00C026A6" w:rsidRPr="00EA59C0">
        <w:t xml:space="preserve"> </w:t>
      </w:r>
      <w:r w:rsidRPr="00EA59C0">
        <w:t>a</w:t>
      </w:r>
      <w:r w:rsidR="00C026A6" w:rsidRPr="00EA59C0">
        <w:t xml:space="preserve"> </w:t>
      </w:r>
      <w:r w:rsidRPr="00EA59C0">
        <w:t>consortium</w:t>
      </w:r>
      <w:r w:rsidR="00C026A6" w:rsidRPr="00EA59C0">
        <w:t xml:space="preserve"> </w:t>
      </w:r>
      <w:r w:rsidRPr="00EA59C0">
        <w:t>application</w:t>
      </w:r>
      <w:r w:rsidR="00C026A6" w:rsidRPr="00EA59C0">
        <w:t xml:space="preserve"> </w:t>
      </w:r>
      <w:r w:rsidRPr="00EA59C0">
        <w:t>under</w:t>
      </w:r>
      <w:r w:rsidR="00C026A6" w:rsidRPr="00EA59C0">
        <w:t xml:space="preserve"> </w:t>
      </w:r>
      <w:r w:rsidRPr="00EA59C0">
        <w:t>this</w:t>
      </w:r>
      <w:r w:rsidR="00C026A6" w:rsidRPr="00EA59C0">
        <w:t xml:space="preserve"> </w:t>
      </w:r>
      <w:r w:rsidRPr="00EA59C0">
        <w:t>SGA.</w:t>
      </w:r>
      <w:r w:rsidR="00C026A6" w:rsidRPr="00EA59C0">
        <w:t xml:space="preserve">  </w:t>
      </w:r>
      <w:r w:rsidRPr="00EA59C0">
        <w:t>Eligible</w:t>
      </w:r>
      <w:r w:rsidR="00C026A6" w:rsidRPr="00EA59C0">
        <w:t xml:space="preserve"> </w:t>
      </w:r>
      <w:r w:rsidRPr="00EA59C0">
        <w:t>institutions</w:t>
      </w:r>
      <w:r w:rsidR="00C026A6" w:rsidRPr="00EA59C0">
        <w:t xml:space="preserve"> </w:t>
      </w:r>
      <w:r w:rsidRPr="00EA59C0">
        <w:t>previously</w:t>
      </w:r>
      <w:r w:rsidR="00C026A6" w:rsidRPr="00EA59C0">
        <w:t xml:space="preserve"> </w:t>
      </w:r>
      <w:r w:rsidRPr="00EA59C0">
        <w:t>funded</w:t>
      </w:r>
      <w:r w:rsidR="00C026A6" w:rsidRPr="00EA59C0">
        <w:t xml:space="preserve"> </w:t>
      </w:r>
      <w:r w:rsidRPr="00EA59C0">
        <w:t>as</w:t>
      </w:r>
      <w:r w:rsidR="00C026A6" w:rsidRPr="00EA59C0">
        <w:t xml:space="preserve"> </w:t>
      </w:r>
      <w:r w:rsidRPr="00EA59C0">
        <w:t>a</w:t>
      </w:r>
      <w:r w:rsidR="00C026A6" w:rsidRPr="00EA59C0">
        <w:t xml:space="preserve"> </w:t>
      </w:r>
      <w:r w:rsidRPr="00EA59C0">
        <w:t>single</w:t>
      </w:r>
      <w:r w:rsidR="00C026A6" w:rsidRPr="00EA59C0">
        <w:t xml:space="preserve"> </w:t>
      </w:r>
      <w:r w:rsidRPr="00EA59C0">
        <w:t>institution</w:t>
      </w:r>
      <w:r w:rsidR="00C026A6" w:rsidRPr="00EA59C0">
        <w:t xml:space="preserve"> </w:t>
      </w:r>
      <w:r w:rsidRPr="00EA59C0">
        <w:t>or</w:t>
      </w:r>
      <w:r w:rsidR="00C026A6" w:rsidRPr="00EA59C0">
        <w:t xml:space="preserve"> </w:t>
      </w:r>
      <w:r w:rsidR="00814948" w:rsidRPr="00EA59C0">
        <w:t>a</w:t>
      </w:r>
      <w:r w:rsidR="00C026A6" w:rsidRPr="00EA59C0">
        <w:t xml:space="preserve"> </w:t>
      </w:r>
      <w:r w:rsidR="00814948" w:rsidRPr="00EA59C0">
        <w:t>Lead</w:t>
      </w:r>
      <w:r w:rsidR="00C026A6" w:rsidRPr="00EA59C0">
        <w:t xml:space="preserve"> </w:t>
      </w:r>
      <w:r w:rsidR="00814948" w:rsidRPr="00EA59C0">
        <w:t>Institution</w:t>
      </w:r>
      <w:r w:rsidR="00C026A6" w:rsidRPr="00EA59C0">
        <w:t xml:space="preserve"> </w:t>
      </w:r>
      <w:r w:rsidR="00814948" w:rsidRPr="00EA59C0">
        <w:t>under</w:t>
      </w:r>
      <w:r w:rsidR="00C026A6" w:rsidRPr="00EA59C0">
        <w:t xml:space="preserve"> </w:t>
      </w:r>
      <w:r w:rsidR="00814948" w:rsidRPr="00EA59C0">
        <w:t>a</w:t>
      </w:r>
      <w:r w:rsidR="00C026A6" w:rsidRPr="00EA59C0">
        <w:t xml:space="preserve"> </w:t>
      </w:r>
      <w:r w:rsidRPr="00EA59C0">
        <w:t>consortium</w:t>
      </w:r>
      <w:r w:rsidR="00C026A6" w:rsidRPr="00EA59C0">
        <w:t xml:space="preserve"> </w:t>
      </w:r>
      <w:r w:rsidRPr="00EA59C0">
        <w:t>application</w:t>
      </w:r>
      <w:r w:rsidR="00C026A6" w:rsidRPr="00EA59C0">
        <w:t xml:space="preserve"> </w:t>
      </w:r>
      <w:r w:rsidR="00814948" w:rsidRPr="00EA59C0">
        <w:t>under</w:t>
      </w:r>
      <w:r w:rsidR="00C026A6" w:rsidRPr="00EA59C0">
        <w:t xml:space="preserve"> </w:t>
      </w:r>
      <w:r w:rsidRPr="00EA59C0">
        <w:t>TAACCCT</w:t>
      </w:r>
      <w:r w:rsidR="00C026A6" w:rsidRPr="00EA59C0">
        <w:t xml:space="preserve"> </w:t>
      </w:r>
      <w:r w:rsidRPr="00EA59C0">
        <w:t>SGA/DFY</w:t>
      </w:r>
      <w:r w:rsidR="00C026A6" w:rsidRPr="00EA59C0">
        <w:t xml:space="preserve"> </w:t>
      </w:r>
      <w:r w:rsidRPr="00EA59C0">
        <w:t>PY</w:t>
      </w:r>
      <w:r w:rsidR="00C026A6" w:rsidRPr="00EA59C0">
        <w:t xml:space="preserve"> </w:t>
      </w:r>
      <w:r w:rsidR="00F60EA2" w:rsidRPr="00EA59C0">
        <w:t>12-10</w:t>
      </w:r>
      <w:r w:rsidR="00C026A6" w:rsidRPr="00EA59C0">
        <w:t xml:space="preserve"> </w:t>
      </w:r>
      <w:r w:rsidRPr="00EA59C0">
        <w:t>(Round</w:t>
      </w:r>
      <w:r w:rsidR="00C026A6" w:rsidRPr="00EA59C0">
        <w:t xml:space="preserve"> </w:t>
      </w:r>
      <w:r w:rsidR="00F60EA2" w:rsidRPr="00EA59C0">
        <w:t>3</w:t>
      </w:r>
      <w:r w:rsidRPr="00EA59C0">
        <w:t>)</w:t>
      </w:r>
      <w:r w:rsidR="00C026A6" w:rsidRPr="00EA59C0">
        <w:t xml:space="preserve"> </w:t>
      </w:r>
      <w:r w:rsidRPr="00EA59C0">
        <w:t>may</w:t>
      </w:r>
      <w:r w:rsidR="00C026A6" w:rsidRPr="00EA59C0">
        <w:t xml:space="preserve"> </w:t>
      </w:r>
      <w:r w:rsidRPr="00EA59C0">
        <w:t>not</w:t>
      </w:r>
      <w:r w:rsidR="00C026A6" w:rsidRPr="00EA59C0">
        <w:t xml:space="preserve"> </w:t>
      </w:r>
      <w:r w:rsidRPr="00EA59C0">
        <w:t>apply</w:t>
      </w:r>
      <w:r w:rsidR="00C026A6" w:rsidRPr="00EA59C0">
        <w:t xml:space="preserve"> </w:t>
      </w:r>
      <w:r w:rsidRPr="00EA59C0">
        <w:t>as</w:t>
      </w:r>
      <w:r w:rsidR="00C026A6" w:rsidRPr="00EA59C0">
        <w:t xml:space="preserve"> </w:t>
      </w:r>
      <w:r w:rsidRPr="00EA59C0">
        <w:t>a</w:t>
      </w:r>
      <w:r w:rsidR="00C026A6" w:rsidRPr="00EA59C0">
        <w:t xml:space="preserve"> </w:t>
      </w:r>
      <w:r w:rsidRPr="00EA59C0">
        <w:t>Lead</w:t>
      </w:r>
      <w:r w:rsidR="00C026A6" w:rsidRPr="00EA59C0">
        <w:t xml:space="preserve"> </w:t>
      </w:r>
      <w:r w:rsidRPr="00EA59C0">
        <w:t>Institution</w:t>
      </w:r>
      <w:r w:rsidR="00C026A6" w:rsidRPr="00EA59C0">
        <w:t xml:space="preserve"> </w:t>
      </w:r>
      <w:r w:rsidRPr="00EA59C0">
        <w:t>in</w:t>
      </w:r>
      <w:r w:rsidR="00C026A6" w:rsidRPr="00EA59C0">
        <w:t xml:space="preserve"> </w:t>
      </w:r>
      <w:r w:rsidRPr="00EA59C0">
        <w:t>a</w:t>
      </w:r>
      <w:r w:rsidR="00C026A6" w:rsidRPr="00EA59C0">
        <w:t xml:space="preserve"> </w:t>
      </w:r>
      <w:r w:rsidRPr="00EA59C0">
        <w:t>consortium</w:t>
      </w:r>
      <w:r w:rsidR="00C026A6" w:rsidRPr="00EA59C0">
        <w:t xml:space="preserve"> </w:t>
      </w:r>
      <w:r w:rsidRPr="00EA59C0">
        <w:t>application</w:t>
      </w:r>
      <w:r w:rsidR="00C026A6" w:rsidRPr="00EA59C0">
        <w:t xml:space="preserve"> </w:t>
      </w:r>
      <w:r w:rsidRPr="00EA59C0">
        <w:t>under</w:t>
      </w:r>
      <w:r w:rsidR="00C026A6" w:rsidRPr="00EA59C0">
        <w:t xml:space="preserve"> </w:t>
      </w:r>
      <w:r w:rsidRPr="00EA59C0">
        <w:t>this</w:t>
      </w:r>
      <w:r w:rsidR="00C026A6" w:rsidRPr="00EA59C0">
        <w:t xml:space="preserve"> </w:t>
      </w:r>
      <w:r w:rsidRPr="00EA59C0">
        <w:t>SGA,</w:t>
      </w:r>
      <w:r w:rsidR="00C026A6" w:rsidRPr="00EA59C0">
        <w:t xml:space="preserve"> </w:t>
      </w:r>
      <w:r w:rsidRPr="00EA59C0">
        <w:t>but</w:t>
      </w:r>
      <w:r w:rsidR="00C026A6" w:rsidRPr="00EA59C0">
        <w:t xml:space="preserve"> </w:t>
      </w:r>
      <w:r w:rsidRPr="00EA59C0">
        <w:t>may</w:t>
      </w:r>
      <w:r w:rsidR="00C026A6" w:rsidRPr="00EA59C0">
        <w:t xml:space="preserve"> </w:t>
      </w:r>
      <w:r w:rsidR="00E13CA1" w:rsidRPr="00EA59C0">
        <w:t>apply</w:t>
      </w:r>
      <w:r w:rsidR="00C026A6" w:rsidRPr="00EA59C0">
        <w:t xml:space="preserve"> </w:t>
      </w:r>
      <w:r w:rsidR="00E13CA1" w:rsidRPr="00EA59C0">
        <w:t>as</w:t>
      </w:r>
      <w:r w:rsidR="00C026A6" w:rsidRPr="00EA59C0">
        <w:t xml:space="preserve"> </w:t>
      </w:r>
      <w:r w:rsidR="00E13CA1" w:rsidRPr="00EA59C0">
        <w:t>a</w:t>
      </w:r>
      <w:r w:rsidR="00C026A6" w:rsidRPr="00EA59C0">
        <w:t xml:space="preserve"> </w:t>
      </w:r>
      <w:r w:rsidR="00E13CA1" w:rsidRPr="00EA59C0">
        <w:t>single</w:t>
      </w:r>
      <w:r w:rsidR="00C026A6" w:rsidRPr="00EA59C0">
        <w:t xml:space="preserve"> </w:t>
      </w:r>
      <w:r w:rsidR="00E13CA1" w:rsidRPr="00EA59C0">
        <w:t>institution</w:t>
      </w:r>
      <w:r w:rsidR="00C026A6" w:rsidRPr="00EA59C0">
        <w:t xml:space="preserve"> </w:t>
      </w:r>
      <w:r w:rsidR="00E13CA1" w:rsidRPr="00EA59C0">
        <w:t>or</w:t>
      </w:r>
      <w:r w:rsidR="00C026A6" w:rsidRPr="00EA59C0">
        <w:t xml:space="preserve"> </w:t>
      </w:r>
      <w:r w:rsidRPr="00EA59C0">
        <w:t>participate</w:t>
      </w:r>
      <w:r w:rsidR="00C026A6" w:rsidRPr="00EA59C0">
        <w:t xml:space="preserve"> </w:t>
      </w:r>
      <w:r w:rsidRPr="00EA59C0">
        <w:t>in</w:t>
      </w:r>
      <w:r w:rsidR="00C026A6" w:rsidRPr="00EA59C0">
        <w:t xml:space="preserve"> </w:t>
      </w:r>
      <w:r w:rsidRPr="00EA59C0">
        <w:t>a</w:t>
      </w:r>
      <w:r w:rsidR="00C026A6" w:rsidRPr="00EA59C0">
        <w:t xml:space="preserve"> </w:t>
      </w:r>
      <w:r w:rsidRPr="00EA59C0">
        <w:t>consortium</w:t>
      </w:r>
      <w:r w:rsidR="00C026A6" w:rsidRPr="00EA59C0">
        <w:t xml:space="preserve"> </w:t>
      </w:r>
      <w:r w:rsidRPr="00EA59C0">
        <w:t>application</w:t>
      </w:r>
      <w:r w:rsidR="00C026A6" w:rsidRPr="00EA59C0">
        <w:t xml:space="preserve"> </w:t>
      </w:r>
      <w:r w:rsidRPr="00EA59C0">
        <w:t>as</w:t>
      </w:r>
      <w:r w:rsidR="00C026A6" w:rsidRPr="00EA59C0">
        <w:t xml:space="preserve"> </w:t>
      </w:r>
      <w:r w:rsidRPr="00EA59C0">
        <w:t>a</w:t>
      </w:r>
      <w:r w:rsidR="00C026A6" w:rsidRPr="00EA59C0">
        <w:t xml:space="preserve"> </w:t>
      </w:r>
      <w:r w:rsidRPr="00EA59C0">
        <w:t>Member</w:t>
      </w:r>
      <w:r w:rsidR="00C026A6" w:rsidRPr="00EA59C0">
        <w:t xml:space="preserve"> </w:t>
      </w:r>
      <w:r w:rsidRPr="00EA59C0">
        <w:t>Institution.</w:t>
      </w:r>
      <w:r w:rsidR="00C026A6" w:rsidRPr="00EA59C0">
        <w:t xml:space="preserve">   </w:t>
      </w:r>
    </w:p>
    <w:p w:rsidR="00F60EA2" w:rsidRPr="00EA59C0" w:rsidRDefault="00F60EA2" w:rsidP="00D03948">
      <w:pPr>
        <w:ind w:left="720"/>
      </w:pPr>
    </w:p>
    <w:p w:rsidR="00EE288B" w:rsidRPr="00EA59C0" w:rsidRDefault="00EE288B" w:rsidP="00D03948">
      <w:pPr>
        <w:ind w:left="720"/>
      </w:pPr>
      <w:r w:rsidRPr="00EA59C0">
        <w:t>Please</w:t>
      </w:r>
      <w:r w:rsidR="00C026A6" w:rsidRPr="00EA59C0">
        <w:t xml:space="preserve"> </w:t>
      </w:r>
      <w:r w:rsidRPr="00EA59C0">
        <w:t>note,</w:t>
      </w:r>
      <w:r w:rsidR="00C026A6" w:rsidRPr="00EA59C0">
        <w:t xml:space="preserve"> </w:t>
      </w:r>
      <w:r w:rsidRPr="00EA59C0">
        <w:t>for</w:t>
      </w:r>
      <w:r w:rsidR="00C026A6" w:rsidRPr="00EA59C0">
        <w:t xml:space="preserve"> </w:t>
      </w:r>
      <w:r w:rsidRPr="00EA59C0">
        <w:t>institutions</w:t>
      </w:r>
      <w:r w:rsidR="00C026A6" w:rsidRPr="00EA59C0">
        <w:t xml:space="preserve"> </w:t>
      </w:r>
      <w:r w:rsidRPr="00EA59C0">
        <w:t>funded</w:t>
      </w:r>
      <w:r w:rsidR="00C026A6" w:rsidRPr="00EA59C0">
        <w:t xml:space="preserve"> </w:t>
      </w:r>
      <w:r w:rsidRPr="00EA59C0">
        <w:t>under</w:t>
      </w:r>
      <w:r w:rsidR="00C026A6" w:rsidRPr="00EA59C0">
        <w:t xml:space="preserve"> </w:t>
      </w:r>
      <w:r w:rsidRPr="00EA59C0">
        <w:t>TAACCCT</w:t>
      </w:r>
      <w:r w:rsidR="00C026A6" w:rsidRPr="00EA59C0">
        <w:t xml:space="preserve"> </w:t>
      </w:r>
      <w:r w:rsidRPr="00EA59C0">
        <w:t>Round</w:t>
      </w:r>
      <w:r w:rsidR="00C026A6" w:rsidRPr="00EA59C0">
        <w:t xml:space="preserve"> </w:t>
      </w:r>
      <w:r w:rsidRPr="00EA59C0">
        <w:t>1</w:t>
      </w:r>
      <w:r w:rsidR="0075399C" w:rsidRPr="00EA59C0">
        <w:t>,</w:t>
      </w:r>
      <w:r w:rsidR="00C026A6" w:rsidRPr="00EA59C0">
        <w:t xml:space="preserve"> </w:t>
      </w:r>
      <w:r w:rsidR="00F60EA2" w:rsidRPr="00EA59C0">
        <w:t>2</w:t>
      </w:r>
      <w:r w:rsidRPr="00EA59C0">
        <w:t>,</w:t>
      </w:r>
      <w:r w:rsidR="00C026A6" w:rsidRPr="00EA59C0">
        <w:t xml:space="preserve"> </w:t>
      </w:r>
      <w:r w:rsidR="0075399C" w:rsidRPr="00EA59C0">
        <w:t>and</w:t>
      </w:r>
      <w:r w:rsidR="00C026A6" w:rsidRPr="00EA59C0">
        <w:t xml:space="preserve"> </w:t>
      </w:r>
      <w:r w:rsidR="0075399C" w:rsidRPr="00EA59C0">
        <w:t>3</w:t>
      </w:r>
      <w:r w:rsidR="001A6DBE" w:rsidRPr="00EA59C0">
        <w:t>,</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does</w:t>
      </w:r>
      <w:r w:rsidR="00C026A6" w:rsidRPr="00EA59C0">
        <w:t xml:space="preserve"> </w:t>
      </w:r>
      <w:r w:rsidRPr="00EA59C0">
        <w:t>not</w:t>
      </w:r>
      <w:r w:rsidR="00C026A6" w:rsidRPr="00EA59C0">
        <w:t xml:space="preserve"> </w:t>
      </w:r>
      <w:r w:rsidRPr="00EA59C0">
        <w:t>intend</w:t>
      </w:r>
      <w:r w:rsidR="00C026A6" w:rsidRPr="00EA59C0">
        <w:t xml:space="preserve"> </w:t>
      </w:r>
      <w:r w:rsidR="00CE78DA" w:rsidRPr="00EA59C0">
        <w:t>that</w:t>
      </w:r>
      <w:r w:rsidR="00C026A6" w:rsidRPr="00EA59C0">
        <w:t xml:space="preserve"> </w:t>
      </w:r>
      <w:r w:rsidR="00CE78DA" w:rsidRPr="00EA59C0">
        <w:t>awards</w:t>
      </w:r>
      <w:r w:rsidR="00C026A6" w:rsidRPr="00EA59C0">
        <w:t xml:space="preserve"> </w:t>
      </w:r>
      <w:r w:rsidR="00CE78DA" w:rsidRPr="00EA59C0">
        <w:t>made</w:t>
      </w:r>
      <w:r w:rsidR="00C026A6" w:rsidRPr="00EA59C0">
        <w:t xml:space="preserve"> </w:t>
      </w:r>
      <w:r w:rsidR="00CE78DA" w:rsidRPr="00EA59C0">
        <w:t>through</w:t>
      </w:r>
      <w:r w:rsidR="00C026A6" w:rsidRPr="00EA59C0">
        <w:t xml:space="preserve"> </w:t>
      </w:r>
      <w:r w:rsidR="00CE78DA" w:rsidRPr="00EA59C0">
        <w:t>this</w:t>
      </w:r>
      <w:r w:rsidR="00C026A6" w:rsidRPr="00EA59C0">
        <w:t xml:space="preserve"> </w:t>
      </w:r>
      <w:r w:rsidR="00CE78DA" w:rsidRPr="00EA59C0">
        <w:t>solicitation</w:t>
      </w:r>
      <w:r w:rsidR="00C026A6" w:rsidRPr="00EA59C0">
        <w:t xml:space="preserve"> </w:t>
      </w:r>
      <w:r w:rsidR="00CE78DA" w:rsidRPr="00EA59C0">
        <w:t>will</w:t>
      </w:r>
      <w:r w:rsidR="00C026A6" w:rsidRPr="00EA59C0">
        <w:t xml:space="preserve"> </w:t>
      </w:r>
      <w:r w:rsidRPr="00EA59C0">
        <w:t>fund</w:t>
      </w:r>
      <w:r w:rsidR="00C026A6" w:rsidRPr="00EA59C0">
        <w:t xml:space="preserve"> </w:t>
      </w:r>
      <w:r w:rsidRPr="00EA59C0">
        <w:t>the</w:t>
      </w:r>
      <w:r w:rsidR="00C026A6" w:rsidRPr="00EA59C0">
        <w:t xml:space="preserve"> </w:t>
      </w:r>
      <w:r w:rsidRPr="00EA59C0">
        <w:t>continuation</w:t>
      </w:r>
      <w:r w:rsidR="00C026A6" w:rsidRPr="00EA59C0">
        <w:t xml:space="preserve"> </w:t>
      </w:r>
      <w:r w:rsidRPr="00EA59C0">
        <w:t>of</w:t>
      </w:r>
      <w:r w:rsidR="00C026A6" w:rsidRPr="00EA59C0">
        <w:t xml:space="preserve"> </w:t>
      </w:r>
      <w:r w:rsidRPr="00EA59C0">
        <w:t>their</w:t>
      </w:r>
      <w:r w:rsidR="00C026A6" w:rsidRPr="00EA59C0">
        <w:t xml:space="preserve"> </w:t>
      </w:r>
      <w:r w:rsidRPr="00EA59C0">
        <w:t>existing</w:t>
      </w:r>
      <w:r w:rsidR="00C026A6" w:rsidRPr="00EA59C0">
        <w:t xml:space="preserve"> </w:t>
      </w:r>
      <w:r w:rsidRPr="00EA59C0">
        <w:t>TAACCCT</w:t>
      </w:r>
      <w:r w:rsidR="00C026A6" w:rsidRPr="00EA59C0">
        <w:t xml:space="preserve"> </w:t>
      </w:r>
      <w:r w:rsidRPr="00EA59C0">
        <w:t>projects</w:t>
      </w:r>
      <w:r w:rsidR="001A6DBE" w:rsidRPr="00EA59C0">
        <w:t>;</w:t>
      </w:r>
      <w:r w:rsidR="00C026A6" w:rsidRPr="00EA59C0">
        <w:t xml:space="preserve"> </w:t>
      </w:r>
      <w:r w:rsidRPr="00EA59C0">
        <w:t>however,</w:t>
      </w:r>
      <w:r w:rsidR="00C026A6" w:rsidRPr="00EA59C0">
        <w:t xml:space="preserve">  </w:t>
      </w:r>
      <w:r w:rsidRPr="00EA59C0">
        <w:t>TAACCCT</w:t>
      </w:r>
      <w:r w:rsidR="00C026A6" w:rsidRPr="00EA59C0">
        <w:t xml:space="preserve"> </w:t>
      </w:r>
      <w:r w:rsidRPr="00EA59C0">
        <w:t>Round</w:t>
      </w:r>
      <w:r w:rsidR="00C026A6" w:rsidRPr="00EA59C0">
        <w:t xml:space="preserve"> </w:t>
      </w:r>
      <w:r w:rsidRPr="00EA59C0">
        <w:t>1</w:t>
      </w:r>
      <w:r w:rsidR="00BD5AA2" w:rsidRPr="00EA59C0">
        <w:t>,</w:t>
      </w:r>
      <w:r w:rsidR="00C026A6" w:rsidRPr="00EA59C0">
        <w:t xml:space="preserve"> </w:t>
      </w:r>
      <w:r w:rsidR="00964AE5" w:rsidRPr="00EA59C0">
        <w:t>2</w:t>
      </w:r>
      <w:r w:rsidR="00BD5AA2" w:rsidRPr="00EA59C0">
        <w:t>,</w:t>
      </w:r>
      <w:r w:rsidR="00C026A6" w:rsidRPr="00EA59C0">
        <w:t xml:space="preserve"> </w:t>
      </w:r>
      <w:r w:rsidR="00BD5AA2" w:rsidRPr="00EA59C0">
        <w:t>and</w:t>
      </w:r>
      <w:r w:rsidR="00C026A6" w:rsidRPr="00EA59C0">
        <w:t xml:space="preserve"> </w:t>
      </w:r>
      <w:r w:rsidR="00BD5AA2" w:rsidRPr="00EA59C0">
        <w:t>3</w:t>
      </w:r>
      <w:r w:rsidR="00C026A6" w:rsidRPr="00EA59C0">
        <w:t xml:space="preserve"> </w:t>
      </w:r>
      <w:r w:rsidRPr="00EA59C0">
        <w:t>Grantee</w:t>
      </w:r>
      <w:r w:rsidR="00C026A6" w:rsidRPr="00EA59C0">
        <w:t xml:space="preserve"> </w:t>
      </w:r>
      <w:r w:rsidRPr="00EA59C0">
        <w:t>Institutions</w:t>
      </w:r>
      <w:r w:rsidR="00C026A6" w:rsidRPr="00EA59C0">
        <w:t xml:space="preserve"> </w:t>
      </w:r>
      <w:r w:rsidRPr="00EA59C0">
        <w:t>and</w:t>
      </w:r>
      <w:r w:rsidR="00C026A6" w:rsidRPr="00EA59C0">
        <w:t xml:space="preserve"> </w:t>
      </w:r>
      <w:r w:rsidRPr="00EA59C0">
        <w:t>other</w:t>
      </w:r>
      <w:r w:rsidR="00C026A6" w:rsidRPr="00EA59C0">
        <w:t xml:space="preserve"> </w:t>
      </w:r>
      <w:r w:rsidRPr="00EA59C0">
        <w:t>eligible</w:t>
      </w:r>
      <w:r w:rsidR="00C026A6" w:rsidRPr="00EA59C0">
        <w:t xml:space="preserve"> </w:t>
      </w:r>
      <w:r w:rsidRPr="00EA59C0">
        <w:t>applicants</w:t>
      </w:r>
      <w:r w:rsidR="00C026A6" w:rsidRPr="00EA59C0">
        <w:t xml:space="preserve"> </w:t>
      </w:r>
      <w:r w:rsidRPr="00EA59C0">
        <w:t>can</w:t>
      </w:r>
      <w:r w:rsidR="00C026A6" w:rsidRPr="00EA59C0">
        <w:t xml:space="preserve"> </w:t>
      </w:r>
      <w:r w:rsidRPr="00EA59C0">
        <w:t>propose</w:t>
      </w:r>
      <w:r w:rsidR="00C026A6" w:rsidRPr="00EA59C0">
        <w:t xml:space="preserve"> </w:t>
      </w:r>
      <w:r w:rsidRPr="00EA59C0">
        <w:t>projects</w:t>
      </w:r>
      <w:r w:rsidR="00C026A6" w:rsidRPr="00EA59C0">
        <w:t xml:space="preserve"> </w:t>
      </w:r>
      <w:r w:rsidRPr="00EA59C0">
        <w:t>that</w:t>
      </w:r>
      <w:r w:rsidR="00C026A6" w:rsidRPr="00EA59C0">
        <w:t xml:space="preserve"> </w:t>
      </w:r>
      <w:r w:rsidRPr="00EA59C0">
        <w:t>expand</w:t>
      </w:r>
      <w:r w:rsidR="00C026A6" w:rsidRPr="00EA59C0">
        <w:t xml:space="preserve"> </w:t>
      </w:r>
      <w:r w:rsidRPr="00EA59C0">
        <w:t>or</w:t>
      </w:r>
      <w:r w:rsidR="00C026A6" w:rsidRPr="00EA59C0">
        <w:t xml:space="preserve"> </w:t>
      </w:r>
      <w:r w:rsidRPr="00EA59C0">
        <w:t>enhance</w:t>
      </w:r>
      <w:r w:rsidR="00C026A6" w:rsidRPr="00EA59C0">
        <w:t xml:space="preserve"> </w:t>
      </w:r>
      <w:r w:rsidRPr="00EA59C0">
        <w:t>previously-funded</w:t>
      </w:r>
      <w:r w:rsidR="00C026A6" w:rsidRPr="00EA59C0">
        <w:t xml:space="preserve"> </w:t>
      </w:r>
      <w:r w:rsidRPr="00EA59C0">
        <w:t>TAACCCT</w:t>
      </w:r>
      <w:r w:rsidR="00C026A6" w:rsidRPr="00EA59C0">
        <w:t xml:space="preserve"> </w:t>
      </w:r>
      <w:r w:rsidRPr="00EA59C0">
        <w:t>projects</w:t>
      </w:r>
      <w:r w:rsidR="00C026A6" w:rsidRPr="00EA59C0">
        <w:t xml:space="preserve"> </w:t>
      </w:r>
      <w:r w:rsidRPr="00EA59C0">
        <w:t>in</w:t>
      </w:r>
      <w:r w:rsidR="00C026A6" w:rsidRPr="00EA59C0">
        <w:t xml:space="preserve"> </w:t>
      </w:r>
      <w:r w:rsidRPr="00EA59C0">
        <w:t>a</w:t>
      </w:r>
      <w:r w:rsidR="00C026A6" w:rsidRPr="00EA59C0">
        <w:t xml:space="preserve"> </w:t>
      </w:r>
      <w:r w:rsidRPr="00EA59C0">
        <w:t>new</w:t>
      </w:r>
      <w:r w:rsidR="00C026A6" w:rsidRPr="00EA59C0">
        <w:t xml:space="preserve"> </w:t>
      </w:r>
      <w:r w:rsidRPr="00EA59C0">
        <w:t>way,</w:t>
      </w:r>
      <w:r w:rsidR="00C026A6" w:rsidRPr="00EA59C0">
        <w:t xml:space="preserve"> </w:t>
      </w:r>
      <w:r w:rsidRPr="00EA59C0">
        <w:t>such</w:t>
      </w:r>
      <w:r w:rsidR="00C026A6" w:rsidRPr="00EA59C0">
        <w:t xml:space="preserve"> </w:t>
      </w:r>
      <w:r w:rsidRPr="00EA59C0">
        <w:t>as:</w:t>
      </w:r>
      <w:r w:rsidR="00C026A6" w:rsidRPr="00EA59C0">
        <w:t xml:space="preserve">  </w:t>
      </w:r>
      <w:r w:rsidRPr="00EA59C0">
        <w:t>enhancing</w:t>
      </w:r>
      <w:r w:rsidR="00C026A6" w:rsidRPr="00EA59C0">
        <w:t xml:space="preserve"> </w:t>
      </w:r>
      <w:r w:rsidRPr="00EA59C0">
        <w:t>a</w:t>
      </w:r>
      <w:r w:rsidR="00C026A6" w:rsidRPr="00EA59C0">
        <w:t xml:space="preserve"> </w:t>
      </w:r>
      <w:r w:rsidRPr="00EA59C0">
        <w:t>classroom-based</w:t>
      </w:r>
      <w:r w:rsidR="00C026A6" w:rsidRPr="00EA59C0">
        <w:t xml:space="preserve"> </w:t>
      </w:r>
      <w:r w:rsidRPr="00EA59C0">
        <w:t>program</w:t>
      </w:r>
      <w:r w:rsidR="00C026A6" w:rsidRPr="00EA59C0">
        <w:t xml:space="preserve"> </w:t>
      </w:r>
      <w:r w:rsidRPr="00EA59C0">
        <w:t>of</w:t>
      </w:r>
      <w:r w:rsidR="00C026A6" w:rsidRPr="00EA59C0">
        <w:t xml:space="preserve"> </w:t>
      </w:r>
      <w:r w:rsidRPr="00EA59C0">
        <w:t>study</w:t>
      </w:r>
      <w:r w:rsidR="00C026A6" w:rsidRPr="00EA59C0">
        <w:t xml:space="preserve"> </w:t>
      </w:r>
      <w:r w:rsidRPr="00EA59C0">
        <w:t>for</w:t>
      </w:r>
      <w:r w:rsidR="00C026A6" w:rsidRPr="00EA59C0">
        <w:t xml:space="preserve"> </w:t>
      </w:r>
      <w:r w:rsidRPr="00EA59C0">
        <w:t>online</w:t>
      </w:r>
      <w:r w:rsidR="00C026A6" w:rsidRPr="00EA59C0">
        <w:t xml:space="preserve"> </w:t>
      </w:r>
      <w:r w:rsidRPr="00EA59C0">
        <w:t>or</w:t>
      </w:r>
      <w:r w:rsidR="00C026A6" w:rsidRPr="00EA59C0">
        <w:t xml:space="preserve"> </w:t>
      </w:r>
      <w:r w:rsidRPr="00EA59C0">
        <w:t>hybrid</w:t>
      </w:r>
      <w:r w:rsidR="00C026A6" w:rsidRPr="00EA59C0">
        <w:t xml:space="preserve"> </w:t>
      </w:r>
      <w:r w:rsidRPr="00EA59C0">
        <w:t>delivery;</w:t>
      </w:r>
      <w:r w:rsidR="00C026A6" w:rsidRPr="00EA59C0">
        <w:t xml:space="preserve"> </w:t>
      </w:r>
      <w:r w:rsidRPr="00EA59C0">
        <w:t>adding</w:t>
      </w:r>
      <w:r w:rsidR="00C026A6" w:rsidRPr="00EA59C0">
        <w:t xml:space="preserve"> </w:t>
      </w:r>
      <w:r w:rsidRPr="00EA59C0">
        <w:t>stackable</w:t>
      </w:r>
      <w:r w:rsidR="00C026A6" w:rsidRPr="00EA59C0">
        <w:t xml:space="preserve"> </w:t>
      </w:r>
      <w:r w:rsidRPr="00EA59C0">
        <w:t>education</w:t>
      </w:r>
      <w:r w:rsidR="00C026A6" w:rsidRPr="00EA59C0">
        <w:t xml:space="preserve"> </w:t>
      </w:r>
      <w:r w:rsidRPr="00EA59C0">
        <w:t>and/or</w:t>
      </w:r>
      <w:r w:rsidR="00C026A6" w:rsidRPr="00EA59C0">
        <w:t xml:space="preserve"> </w:t>
      </w:r>
      <w:r w:rsidRPr="00EA59C0">
        <w:t>training</w:t>
      </w:r>
      <w:r w:rsidR="00C026A6" w:rsidRPr="00EA59C0">
        <w:t xml:space="preserve"> </w:t>
      </w:r>
      <w:r w:rsidRPr="00EA59C0">
        <w:t>credentials</w:t>
      </w:r>
      <w:r w:rsidR="00C026A6" w:rsidRPr="00EA59C0">
        <w:t xml:space="preserve"> </w:t>
      </w:r>
      <w:r w:rsidRPr="00EA59C0">
        <w:t>to</w:t>
      </w:r>
      <w:r w:rsidR="00C026A6" w:rsidRPr="00EA59C0">
        <w:t xml:space="preserve"> </w:t>
      </w:r>
      <w:r w:rsidRPr="00EA59C0">
        <w:t>an</w:t>
      </w:r>
      <w:r w:rsidR="00C026A6" w:rsidRPr="00EA59C0">
        <w:t xml:space="preserve"> </w:t>
      </w:r>
      <w:r w:rsidRPr="00EA59C0">
        <w:t>existing</w:t>
      </w:r>
      <w:r w:rsidR="00C026A6" w:rsidRPr="00EA59C0">
        <w:t xml:space="preserve"> </w:t>
      </w:r>
      <w:r w:rsidRPr="00EA59C0">
        <w:t>program</w:t>
      </w:r>
      <w:r w:rsidR="00C026A6" w:rsidRPr="00EA59C0">
        <w:t xml:space="preserve"> </w:t>
      </w:r>
      <w:r w:rsidRPr="00EA59C0">
        <w:t>of</w:t>
      </w:r>
      <w:r w:rsidR="00C026A6" w:rsidRPr="00EA59C0">
        <w:t xml:space="preserve"> </w:t>
      </w:r>
      <w:r w:rsidRPr="00EA59C0">
        <w:t>study;</w:t>
      </w:r>
      <w:r w:rsidR="00C026A6" w:rsidRPr="00EA59C0">
        <w:t xml:space="preserve"> </w:t>
      </w:r>
      <w:r w:rsidRPr="00EA59C0">
        <w:t>and</w:t>
      </w:r>
      <w:r w:rsidR="00C026A6" w:rsidRPr="00EA59C0">
        <w:t xml:space="preserve"> </w:t>
      </w:r>
      <w:r w:rsidRPr="00EA59C0">
        <w:t>enhancing</w:t>
      </w:r>
      <w:r w:rsidR="00C026A6" w:rsidRPr="00EA59C0">
        <w:t xml:space="preserve"> </w:t>
      </w:r>
      <w:r w:rsidRPr="00EA59C0">
        <w:t>a</w:t>
      </w:r>
      <w:r w:rsidR="00C026A6" w:rsidRPr="00EA59C0">
        <w:t xml:space="preserve"> </w:t>
      </w:r>
      <w:r w:rsidRPr="00EA59C0">
        <w:t>program</w:t>
      </w:r>
      <w:r w:rsidR="00C026A6" w:rsidRPr="00EA59C0">
        <w:t xml:space="preserve"> </w:t>
      </w:r>
      <w:r w:rsidRPr="00EA59C0">
        <w:t>of</w:t>
      </w:r>
      <w:r w:rsidR="00C026A6" w:rsidRPr="00EA59C0">
        <w:t xml:space="preserve"> </w:t>
      </w:r>
      <w:r w:rsidRPr="00EA59C0">
        <w:t>study</w:t>
      </w:r>
      <w:r w:rsidR="00C026A6" w:rsidRPr="00EA59C0">
        <w:t xml:space="preserve"> </w:t>
      </w:r>
      <w:r w:rsidRPr="00EA59C0">
        <w:t>to</w:t>
      </w:r>
      <w:r w:rsidR="00C026A6" w:rsidRPr="00EA59C0">
        <w:t xml:space="preserve"> </w:t>
      </w:r>
      <w:r w:rsidRPr="00EA59C0">
        <w:t>be</w:t>
      </w:r>
      <w:r w:rsidR="00C026A6" w:rsidRPr="00EA59C0">
        <w:t xml:space="preserve"> </w:t>
      </w:r>
      <w:r w:rsidRPr="00EA59C0">
        <w:t>delivered</w:t>
      </w:r>
      <w:r w:rsidR="00C026A6" w:rsidRPr="00EA59C0">
        <w:t xml:space="preserve"> </w:t>
      </w:r>
      <w:r w:rsidRPr="00EA59C0">
        <w:t>in</w:t>
      </w:r>
      <w:r w:rsidR="00C026A6" w:rsidRPr="00EA59C0">
        <w:t xml:space="preserve"> </w:t>
      </w:r>
      <w:r w:rsidRPr="00EA59C0">
        <w:t>an</w:t>
      </w:r>
      <w:r w:rsidR="00C026A6" w:rsidRPr="00EA59C0">
        <w:t xml:space="preserve"> </w:t>
      </w:r>
      <w:r w:rsidRPr="00EA59C0">
        <w:t>accelerated</w:t>
      </w:r>
      <w:r w:rsidR="00C026A6" w:rsidRPr="00EA59C0">
        <w:t xml:space="preserve"> </w:t>
      </w:r>
      <w:r w:rsidRPr="00EA59C0">
        <w:t>format.</w:t>
      </w:r>
      <w:r w:rsidR="00C026A6" w:rsidRPr="00EA59C0">
        <w:t xml:space="preserve">  </w:t>
      </w:r>
      <w:r w:rsidRPr="00EA59C0">
        <w:t>For</w:t>
      </w:r>
      <w:r w:rsidR="00C026A6" w:rsidRPr="00EA59C0">
        <w:t xml:space="preserve"> </w:t>
      </w:r>
      <w:r w:rsidRPr="00EA59C0">
        <w:t>applicants</w:t>
      </w:r>
      <w:r w:rsidR="00C026A6" w:rsidRPr="00EA59C0">
        <w:t xml:space="preserve"> </w:t>
      </w:r>
      <w:r w:rsidRPr="00EA59C0">
        <w:t>that</w:t>
      </w:r>
      <w:r w:rsidR="00C026A6" w:rsidRPr="00EA59C0">
        <w:t xml:space="preserve"> </w:t>
      </w:r>
      <w:r w:rsidRPr="00EA59C0">
        <w:t>propose</w:t>
      </w:r>
      <w:r w:rsidR="00C026A6" w:rsidRPr="00EA59C0">
        <w:t xml:space="preserve"> </w:t>
      </w:r>
      <w:r w:rsidRPr="00EA59C0">
        <w:t>projects</w:t>
      </w:r>
      <w:r w:rsidR="00C026A6" w:rsidRPr="00EA59C0">
        <w:t xml:space="preserve"> </w:t>
      </w:r>
      <w:r w:rsidRPr="00EA59C0">
        <w:t>that</w:t>
      </w:r>
      <w:r w:rsidR="00C026A6" w:rsidRPr="00EA59C0">
        <w:t xml:space="preserve"> </w:t>
      </w:r>
      <w:r w:rsidRPr="00EA59C0">
        <w:t>expand</w:t>
      </w:r>
      <w:r w:rsidR="00C026A6" w:rsidRPr="00EA59C0">
        <w:t xml:space="preserve"> </w:t>
      </w:r>
      <w:r w:rsidRPr="00EA59C0">
        <w:t>or</w:t>
      </w:r>
      <w:r w:rsidR="00C026A6" w:rsidRPr="00EA59C0">
        <w:t xml:space="preserve"> </w:t>
      </w:r>
      <w:r w:rsidRPr="00EA59C0">
        <w:t>enhance</w:t>
      </w:r>
      <w:r w:rsidR="00C026A6" w:rsidRPr="00EA59C0">
        <w:t xml:space="preserve"> </w:t>
      </w:r>
      <w:r w:rsidRPr="00EA59C0">
        <w:t>previously-funded</w:t>
      </w:r>
      <w:r w:rsidR="00C026A6" w:rsidRPr="00EA59C0">
        <w:t xml:space="preserve"> </w:t>
      </w:r>
      <w:r w:rsidRPr="00EA59C0">
        <w:t>TAACCCT</w:t>
      </w:r>
      <w:r w:rsidR="00C026A6" w:rsidRPr="00EA59C0">
        <w:t xml:space="preserve"> </w:t>
      </w:r>
      <w:r w:rsidRPr="00EA59C0">
        <w:t>projects</w:t>
      </w:r>
      <w:r w:rsidR="00C026A6" w:rsidRPr="00EA59C0">
        <w:t xml:space="preserve"> </w:t>
      </w:r>
      <w:r w:rsidRPr="00EA59C0">
        <w:t>in</w:t>
      </w:r>
      <w:r w:rsidR="00C026A6" w:rsidRPr="00EA59C0">
        <w:t xml:space="preserve"> </w:t>
      </w:r>
      <w:r w:rsidRPr="00EA59C0">
        <w:t>a</w:t>
      </w:r>
      <w:r w:rsidR="00C026A6" w:rsidRPr="00EA59C0">
        <w:t xml:space="preserve"> </w:t>
      </w:r>
      <w:r w:rsidRPr="00EA59C0">
        <w:t>new</w:t>
      </w:r>
      <w:r w:rsidR="00C026A6" w:rsidRPr="00EA59C0">
        <w:t xml:space="preserve"> </w:t>
      </w:r>
      <w:r w:rsidRPr="00EA59C0">
        <w:t>way,</w:t>
      </w:r>
      <w:r w:rsidR="00C026A6" w:rsidRPr="00EA59C0">
        <w:t xml:space="preserve"> </w:t>
      </w:r>
      <w:r w:rsidRPr="00EA59C0">
        <w:t>a</w:t>
      </w:r>
      <w:r w:rsidR="00C026A6" w:rsidRPr="00EA59C0">
        <w:t xml:space="preserve"> </w:t>
      </w:r>
      <w:r w:rsidRPr="00EA59C0">
        <w:t>brief</w:t>
      </w:r>
      <w:r w:rsidR="00C026A6" w:rsidRPr="00EA59C0">
        <w:t xml:space="preserve"> </w:t>
      </w:r>
      <w:r w:rsidRPr="00EA59C0">
        <w:t>but</w:t>
      </w:r>
      <w:r w:rsidR="00C026A6" w:rsidRPr="00EA59C0">
        <w:t xml:space="preserve"> </w:t>
      </w:r>
      <w:r w:rsidRPr="00EA59C0">
        <w:t>detailed</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the</w:t>
      </w:r>
      <w:r w:rsidR="00C026A6" w:rsidRPr="00EA59C0">
        <w:t xml:space="preserve"> </w:t>
      </w:r>
      <w:r w:rsidRPr="00EA59C0">
        <w:t>expansion</w:t>
      </w:r>
      <w:r w:rsidR="00C026A6" w:rsidRPr="00EA59C0">
        <w:t xml:space="preserve"> </w:t>
      </w:r>
      <w:r w:rsidRPr="00EA59C0">
        <w:t>or</w:t>
      </w:r>
      <w:r w:rsidR="00C026A6" w:rsidRPr="00EA59C0">
        <w:t xml:space="preserve"> </w:t>
      </w:r>
      <w:r w:rsidRPr="00EA59C0">
        <w:t>enhancement</w:t>
      </w:r>
      <w:r w:rsidR="00C026A6" w:rsidRPr="00EA59C0">
        <w:t xml:space="preserve"> </w:t>
      </w:r>
      <w:r w:rsidRPr="00EA59C0">
        <w:t>of</w:t>
      </w:r>
      <w:r w:rsidR="00C026A6" w:rsidRPr="00EA59C0">
        <w:t xml:space="preserve"> </w:t>
      </w:r>
      <w:r w:rsidRPr="00EA59C0">
        <w:t>the</w:t>
      </w:r>
      <w:r w:rsidR="00C026A6" w:rsidRPr="00EA59C0">
        <w:t xml:space="preserve"> </w:t>
      </w:r>
      <w:r w:rsidRPr="00EA59C0">
        <w:t>activities</w:t>
      </w:r>
      <w:r w:rsidR="00C026A6" w:rsidRPr="00EA59C0">
        <w:t xml:space="preserve"> </w:t>
      </w:r>
      <w:r w:rsidRPr="00EA59C0">
        <w:t>of</w:t>
      </w:r>
      <w:r w:rsidR="00C026A6" w:rsidRPr="00EA59C0">
        <w:t xml:space="preserve"> </w:t>
      </w:r>
      <w:r w:rsidRPr="00EA59C0">
        <w:t>these</w:t>
      </w:r>
      <w:r w:rsidR="00C026A6" w:rsidRPr="00EA59C0">
        <w:t xml:space="preserve"> </w:t>
      </w:r>
      <w:r w:rsidRPr="00EA59C0">
        <w:t>projects</w:t>
      </w:r>
      <w:r w:rsidR="00C026A6" w:rsidRPr="00EA59C0">
        <w:t xml:space="preserve"> </w:t>
      </w:r>
      <w:r w:rsidRPr="00EA59C0">
        <w:t>must</w:t>
      </w:r>
      <w:r w:rsidR="00C026A6" w:rsidRPr="00EA59C0">
        <w:t xml:space="preserve"> </w:t>
      </w:r>
      <w:r w:rsidRPr="00EA59C0">
        <w:t>be</w:t>
      </w:r>
      <w:r w:rsidR="00C026A6" w:rsidRPr="00EA59C0">
        <w:t xml:space="preserve"> </w:t>
      </w:r>
      <w:r w:rsidRPr="00EA59C0">
        <w:t>included</w:t>
      </w:r>
      <w:r w:rsidR="00C026A6" w:rsidRPr="00EA59C0">
        <w:t xml:space="preserve"> </w:t>
      </w:r>
      <w:r w:rsidRPr="00EA59C0">
        <w:t>as</w:t>
      </w:r>
      <w:r w:rsidR="00C026A6" w:rsidRPr="00EA59C0">
        <w:t xml:space="preserve"> </w:t>
      </w:r>
      <w:r w:rsidRPr="00EA59C0">
        <w:t>part</w:t>
      </w:r>
      <w:r w:rsidR="00C026A6" w:rsidRPr="00EA59C0">
        <w:t xml:space="preserve"> </w:t>
      </w:r>
      <w:r w:rsidRPr="00EA59C0">
        <w:t>of</w:t>
      </w:r>
      <w:r w:rsidR="00C026A6" w:rsidRPr="00EA59C0">
        <w:t xml:space="preserve"> </w:t>
      </w:r>
      <w:r w:rsidRPr="00EA59C0">
        <w:t>the</w:t>
      </w:r>
      <w:r w:rsidR="00C026A6" w:rsidRPr="00EA59C0">
        <w:t xml:space="preserve"> </w:t>
      </w:r>
      <w:r w:rsidRPr="00EA59C0">
        <w:t>project</w:t>
      </w:r>
      <w:r w:rsidR="00C026A6" w:rsidRPr="00EA59C0">
        <w:t xml:space="preserve"> </w:t>
      </w:r>
      <w:r w:rsidRPr="00EA59C0">
        <w:t>description</w:t>
      </w:r>
      <w:r w:rsidR="00C026A6" w:rsidRPr="00EA59C0">
        <w:t xml:space="preserve"> </w:t>
      </w:r>
      <w:r w:rsidRPr="00EA59C0">
        <w:t>section</w:t>
      </w:r>
      <w:r w:rsidR="00C026A6" w:rsidRPr="00EA59C0">
        <w:t xml:space="preserve"> </w:t>
      </w:r>
      <w:r w:rsidRPr="00EA59C0">
        <w:t>of</w:t>
      </w:r>
      <w:r w:rsidR="00C026A6" w:rsidRPr="00EA59C0">
        <w:t xml:space="preserve"> </w:t>
      </w:r>
      <w:r w:rsidRPr="00EA59C0">
        <w:t>the</w:t>
      </w:r>
      <w:r w:rsidR="00C026A6" w:rsidRPr="00EA59C0">
        <w:t xml:space="preserve"> </w:t>
      </w:r>
      <w:r w:rsidRPr="00EA59C0">
        <w:t>abstract</w:t>
      </w:r>
      <w:r w:rsidR="00C026A6" w:rsidRPr="00EA59C0">
        <w:t xml:space="preserve"> </w:t>
      </w:r>
      <w:r w:rsidRPr="00EA59C0">
        <w:t>submitted</w:t>
      </w:r>
      <w:r w:rsidR="00C026A6" w:rsidRPr="00EA59C0">
        <w:t xml:space="preserve"> </w:t>
      </w:r>
      <w:r w:rsidRPr="00EA59C0">
        <w:t>with</w:t>
      </w:r>
      <w:r w:rsidR="00C026A6" w:rsidRPr="00EA59C0">
        <w:t xml:space="preserve"> </w:t>
      </w:r>
      <w:r w:rsidRPr="00EA59C0">
        <w:t>the</w:t>
      </w:r>
      <w:r w:rsidR="00C026A6" w:rsidRPr="00EA59C0">
        <w:t xml:space="preserve"> </w:t>
      </w:r>
      <w:r w:rsidRPr="00EA59C0">
        <w:t>application.</w:t>
      </w:r>
      <w:r w:rsidR="00C026A6" w:rsidRPr="00EA59C0">
        <w:t xml:space="preserve">  </w:t>
      </w:r>
    </w:p>
    <w:p w:rsidR="00964AE5" w:rsidRPr="00EA59C0" w:rsidRDefault="00964AE5" w:rsidP="00D03948">
      <w:pPr>
        <w:ind w:left="720"/>
      </w:pPr>
    </w:p>
    <w:p w:rsidR="008C132F" w:rsidRPr="00EA59C0" w:rsidRDefault="008C132F" w:rsidP="00D03948">
      <w:pPr>
        <w:ind w:left="720"/>
      </w:pPr>
      <w:r w:rsidRPr="00EA59C0">
        <w:t>Applicants</w:t>
      </w:r>
      <w:r w:rsidR="00C026A6" w:rsidRPr="00EA59C0">
        <w:t xml:space="preserve"> </w:t>
      </w:r>
      <w:r w:rsidRPr="00EA59C0">
        <w:t>must</w:t>
      </w:r>
      <w:r w:rsidR="00C026A6" w:rsidRPr="00EA59C0">
        <w:t xml:space="preserve"> </w:t>
      </w:r>
      <w:r w:rsidRPr="00EA59C0">
        <w:t>identify</w:t>
      </w:r>
      <w:r w:rsidR="00C026A6" w:rsidRPr="00EA59C0">
        <w:t xml:space="preserve"> </w:t>
      </w:r>
      <w:r w:rsidRPr="00EA59C0">
        <w:t>their</w:t>
      </w:r>
      <w:r w:rsidR="00C026A6" w:rsidRPr="00EA59C0">
        <w:t xml:space="preserve"> </w:t>
      </w:r>
      <w:r w:rsidRPr="00EA59C0">
        <w:t>institution</w:t>
      </w:r>
      <w:r w:rsidR="00C026A6" w:rsidRPr="00EA59C0">
        <w:t xml:space="preserve"> </w:t>
      </w:r>
      <w:r w:rsidRPr="00EA59C0">
        <w:t>type</w:t>
      </w:r>
      <w:r w:rsidR="00C026A6" w:rsidRPr="00EA59C0">
        <w:t xml:space="preserve"> </w:t>
      </w:r>
      <w:r w:rsidRPr="00EA59C0">
        <w:t>in</w:t>
      </w:r>
      <w:r w:rsidR="00C026A6" w:rsidRPr="00EA59C0">
        <w:t xml:space="preserve"> </w:t>
      </w:r>
      <w:r w:rsidRPr="00EA59C0">
        <w:t>Section</w:t>
      </w:r>
      <w:r w:rsidR="00C026A6" w:rsidRPr="00EA59C0">
        <w:t xml:space="preserve"> </w:t>
      </w:r>
      <w:r w:rsidRPr="00EA59C0">
        <w:t>9</w:t>
      </w:r>
      <w:r w:rsidR="00C026A6" w:rsidRPr="00EA59C0">
        <w:t xml:space="preserve"> </w:t>
      </w:r>
      <w:r w:rsidRPr="00EA59C0">
        <w:t>of</w:t>
      </w:r>
      <w:r w:rsidR="00C026A6" w:rsidRPr="00EA59C0">
        <w:t xml:space="preserve"> </w:t>
      </w:r>
      <w:r w:rsidRPr="00EA59C0">
        <w:t>the</w:t>
      </w:r>
      <w:r w:rsidR="00C026A6" w:rsidRPr="00EA59C0">
        <w:t xml:space="preserve"> </w:t>
      </w:r>
      <w:r w:rsidRPr="00EA59C0">
        <w:t>SF-424</w:t>
      </w:r>
      <w:r w:rsidR="00C026A6" w:rsidRPr="00EA59C0">
        <w:t xml:space="preserve"> </w:t>
      </w:r>
      <w:r w:rsidRPr="00EA59C0">
        <w:t>Application</w:t>
      </w:r>
      <w:r w:rsidR="00C026A6" w:rsidRPr="00EA59C0">
        <w:t xml:space="preserve"> </w:t>
      </w:r>
      <w:r w:rsidRPr="00EA59C0">
        <w:t>for</w:t>
      </w:r>
      <w:r w:rsidR="00C026A6" w:rsidRPr="00EA59C0">
        <w:t xml:space="preserve"> </w:t>
      </w:r>
      <w:r w:rsidRPr="00EA59C0">
        <w:t>Federal</w:t>
      </w:r>
      <w:r w:rsidR="00C026A6" w:rsidRPr="00EA59C0">
        <w:t xml:space="preserve"> </w:t>
      </w:r>
      <w:r w:rsidRPr="00EA59C0">
        <w:t>Assistance.</w:t>
      </w:r>
      <w:r w:rsidR="00C026A6" w:rsidRPr="00EA59C0">
        <w:t xml:space="preserve">  </w:t>
      </w:r>
      <w:r w:rsidRPr="00EA59C0">
        <w:t>Eligible</w:t>
      </w:r>
      <w:r w:rsidR="00C026A6" w:rsidRPr="00EA59C0">
        <w:t xml:space="preserve"> </w:t>
      </w:r>
      <w:r w:rsidRPr="00EA59C0">
        <w:t>institutions</w:t>
      </w:r>
      <w:r w:rsidR="00C026A6" w:rsidRPr="00EA59C0">
        <w:t xml:space="preserve"> </w:t>
      </w:r>
      <w:r w:rsidRPr="00EA59C0">
        <w:t>must</w:t>
      </w:r>
      <w:r w:rsidR="00C026A6" w:rsidRPr="00EA59C0">
        <w:t xml:space="preserve"> </w:t>
      </w:r>
      <w:r w:rsidRPr="00EA59C0">
        <w:t>be</w:t>
      </w:r>
      <w:r w:rsidR="00C026A6" w:rsidRPr="00EA59C0">
        <w:t xml:space="preserve"> </w:t>
      </w:r>
      <w:r w:rsidRPr="00EA59C0">
        <w:t>accredited,</w:t>
      </w:r>
      <w:r w:rsidR="00C026A6" w:rsidRPr="00EA59C0">
        <w:t xml:space="preserve"> </w:t>
      </w:r>
      <w:r w:rsidRPr="00EA59C0">
        <w:t>as</w:t>
      </w:r>
      <w:r w:rsidR="00C026A6" w:rsidRPr="00EA59C0">
        <w:t xml:space="preserve"> </w:t>
      </w:r>
      <w:r w:rsidRPr="00EA59C0">
        <w:t>of</w:t>
      </w:r>
      <w:r w:rsidR="00C026A6" w:rsidRPr="00EA59C0">
        <w:t xml:space="preserve"> </w:t>
      </w:r>
      <w:r w:rsidRPr="00EA59C0">
        <w:t>the</w:t>
      </w:r>
      <w:r w:rsidR="00C026A6" w:rsidRPr="00EA59C0">
        <w:t xml:space="preserve"> </w:t>
      </w:r>
      <w:r w:rsidRPr="00EA59C0">
        <w:t>closing</w:t>
      </w:r>
      <w:r w:rsidR="00C026A6" w:rsidRPr="00EA59C0">
        <w:t xml:space="preserve"> </w:t>
      </w:r>
      <w:r w:rsidRPr="00EA59C0">
        <w:t>date</w:t>
      </w:r>
      <w:r w:rsidR="00C026A6" w:rsidRPr="00EA59C0">
        <w:t xml:space="preserve"> </w:t>
      </w:r>
      <w:r w:rsidRPr="00EA59C0">
        <w:t>of</w:t>
      </w:r>
      <w:r w:rsidR="00C026A6" w:rsidRPr="00EA59C0">
        <w:t xml:space="preserve"> </w:t>
      </w:r>
      <w:r w:rsidRPr="00EA59C0">
        <w:t>this</w:t>
      </w:r>
      <w:r w:rsidR="00C026A6" w:rsidRPr="00EA59C0">
        <w:t xml:space="preserve"> </w:t>
      </w:r>
      <w:r w:rsidRPr="00EA59C0">
        <w:t>SGA,</w:t>
      </w:r>
      <w:r w:rsidR="00C026A6" w:rsidRPr="00EA59C0">
        <w:t xml:space="preserve"> </w:t>
      </w:r>
      <w:r w:rsidRPr="00EA59C0">
        <w:t>by</w:t>
      </w:r>
      <w:r w:rsidR="00C026A6" w:rsidRPr="00EA59C0">
        <w:t xml:space="preserve"> </w:t>
      </w:r>
      <w:r w:rsidRPr="00EA59C0">
        <w:t>a</w:t>
      </w:r>
      <w:r w:rsidR="00C026A6" w:rsidRPr="00EA59C0">
        <w:t xml:space="preserve"> </w:t>
      </w:r>
      <w:r w:rsidRPr="00EA59C0">
        <w:t>nationally</w:t>
      </w:r>
      <w:r w:rsidR="00C026A6" w:rsidRPr="00EA59C0">
        <w:t xml:space="preserve"> </w:t>
      </w:r>
      <w:r w:rsidRPr="00EA59C0">
        <w:t>recognized</w:t>
      </w:r>
      <w:r w:rsidR="00C026A6" w:rsidRPr="00EA59C0">
        <w:t xml:space="preserve"> </w:t>
      </w:r>
      <w:r w:rsidRPr="00EA59C0">
        <w:t>accrediting</w:t>
      </w:r>
      <w:r w:rsidR="00C026A6" w:rsidRPr="00EA59C0">
        <w:t xml:space="preserve"> </w:t>
      </w:r>
      <w:r w:rsidRPr="00EA59C0">
        <w:t>agency</w:t>
      </w:r>
      <w:r w:rsidR="00C026A6" w:rsidRPr="00EA59C0">
        <w:t xml:space="preserve"> </w:t>
      </w:r>
      <w:r w:rsidRPr="00EA59C0">
        <w:t>or</w:t>
      </w:r>
      <w:r w:rsidR="00C026A6" w:rsidRPr="00EA59C0">
        <w:t xml:space="preserve"> </w:t>
      </w:r>
      <w:r w:rsidRPr="00EA59C0">
        <w:t>association</w:t>
      </w:r>
      <w:r w:rsidR="00C026A6" w:rsidRPr="00EA59C0">
        <w:t xml:space="preserve"> </w:t>
      </w:r>
      <w:r w:rsidRPr="00EA59C0">
        <w:t>that</w:t>
      </w:r>
      <w:r w:rsidR="00C026A6" w:rsidRPr="00EA59C0">
        <w:t xml:space="preserve"> </w:t>
      </w:r>
      <w:r w:rsidRPr="00EA59C0">
        <w:t>has</w:t>
      </w:r>
      <w:r w:rsidR="00C026A6" w:rsidRPr="00EA59C0">
        <w:t xml:space="preserve"> </w:t>
      </w:r>
      <w:r w:rsidRPr="00EA59C0">
        <w:t>been</w:t>
      </w:r>
      <w:r w:rsidR="00C026A6" w:rsidRPr="00EA59C0">
        <w:t xml:space="preserve"> </w:t>
      </w:r>
      <w:r w:rsidRPr="00EA59C0">
        <w:t>recognized</w:t>
      </w:r>
      <w:r w:rsidR="00C026A6" w:rsidRPr="00EA59C0">
        <w:t xml:space="preserve"> </w:t>
      </w:r>
      <w:r w:rsidRPr="00EA59C0">
        <w:t>by</w:t>
      </w:r>
      <w:r w:rsidR="00C026A6" w:rsidRPr="00EA59C0">
        <w:t xml:space="preserve"> </w:t>
      </w:r>
      <w:r w:rsidRPr="00EA59C0">
        <w:t>the</w:t>
      </w:r>
      <w:r w:rsidR="00C026A6" w:rsidRPr="00EA59C0">
        <w:t xml:space="preserve"> </w:t>
      </w:r>
      <w:r w:rsidRPr="00EA59C0">
        <w:t>U.S.</w:t>
      </w:r>
      <w:r w:rsidR="00C026A6" w:rsidRPr="00EA59C0">
        <w:t xml:space="preserve"> </w:t>
      </w:r>
      <w:r w:rsidRPr="00EA59C0">
        <w:t>Department</w:t>
      </w:r>
      <w:r w:rsidR="00C026A6" w:rsidRPr="00EA59C0">
        <w:t xml:space="preserve"> </w:t>
      </w:r>
      <w:r w:rsidRPr="00EA59C0">
        <w:t>of</w:t>
      </w:r>
      <w:r w:rsidR="00C026A6" w:rsidRPr="00EA59C0">
        <w:t xml:space="preserve"> </w:t>
      </w:r>
      <w:r w:rsidRPr="00EA59C0">
        <w:t>Education.</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submit</w:t>
      </w:r>
      <w:r w:rsidR="00C026A6" w:rsidRPr="00EA59C0">
        <w:t xml:space="preserve"> </w:t>
      </w:r>
      <w:r w:rsidRPr="00EA59C0">
        <w:t>documentation</w:t>
      </w:r>
      <w:r w:rsidR="00C026A6" w:rsidRPr="00EA59C0">
        <w:t xml:space="preserve"> </w:t>
      </w:r>
      <w:r w:rsidR="00E108AF" w:rsidRPr="00EA59C0">
        <w:t>as</w:t>
      </w:r>
      <w:r w:rsidR="00C026A6" w:rsidRPr="00EA59C0">
        <w:t xml:space="preserve"> </w:t>
      </w:r>
      <w:r w:rsidR="00E108AF" w:rsidRPr="00EA59C0">
        <w:t>an</w:t>
      </w:r>
      <w:r w:rsidR="00C026A6" w:rsidRPr="00EA59C0">
        <w:t xml:space="preserve"> </w:t>
      </w:r>
      <w:r w:rsidR="00E108AF" w:rsidRPr="00EA59C0">
        <w:t>attachment</w:t>
      </w:r>
      <w:r w:rsidR="00C026A6" w:rsidRPr="00EA59C0">
        <w:t xml:space="preserve"> </w:t>
      </w:r>
      <w:r w:rsidRPr="00EA59C0">
        <w:t>verifying</w:t>
      </w:r>
      <w:r w:rsidR="00C026A6" w:rsidRPr="00EA59C0">
        <w:t xml:space="preserve"> </w:t>
      </w:r>
      <w:r w:rsidRPr="00EA59C0">
        <w:t>their</w:t>
      </w:r>
      <w:r w:rsidR="00C026A6" w:rsidRPr="00EA59C0">
        <w:t xml:space="preserve"> </w:t>
      </w:r>
      <w:r w:rsidRPr="00EA59C0">
        <w:t>status</w:t>
      </w:r>
      <w:r w:rsidR="00C026A6" w:rsidRPr="00EA59C0">
        <w:t xml:space="preserve"> </w:t>
      </w:r>
      <w:r w:rsidR="008E23CA" w:rsidRPr="00EA59C0">
        <w:t>(and</w:t>
      </w:r>
      <w:r w:rsidR="00C026A6" w:rsidRPr="00EA59C0">
        <w:t xml:space="preserve"> </w:t>
      </w:r>
      <w:r w:rsidR="008E23CA" w:rsidRPr="00EA59C0">
        <w:t>the</w:t>
      </w:r>
      <w:r w:rsidR="00C026A6" w:rsidRPr="00EA59C0">
        <w:t xml:space="preserve"> </w:t>
      </w:r>
      <w:r w:rsidR="008E23CA" w:rsidRPr="00EA59C0">
        <w:t>status</w:t>
      </w:r>
      <w:r w:rsidR="00C026A6" w:rsidRPr="00EA59C0">
        <w:t xml:space="preserve"> </w:t>
      </w:r>
      <w:r w:rsidR="008E23CA" w:rsidRPr="00EA59C0">
        <w:t>of</w:t>
      </w:r>
      <w:r w:rsidR="00C026A6" w:rsidRPr="00EA59C0">
        <w:t xml:space="preserve"> </w:t>
      </w:r>
      <w:r w:rsidR="008E23CA" w:rsidRPr="00EA59C0">
        <w:t>each</w:t>
      </w:r>
      <w:r w:rsidR="00C026A6" w:rsidRPr="00EA59C0">
        <w:t xml:space="preserve"> </w:t>
      </w:r>
      <w:r w:rsidR="008E23CA" w:rsidRPr="00EA59C0">
        <w:t>consortium</w:t>
      </w:r>
      <w:r w:rsidR="00C026A6" w:rsidRPr="00EA59C0">
        <w:t xml:space="preserve"> </w:t>
      </w:r>
      <w:r w:rsidR="008E23CA" w:rsidRPr="00EA59C0">
        <w:t>member,</w:t>
      </w:r>
      <w:r w:rsidR="00C026A6" w:rsidRPr="00EA59C0">
        <w:t xml:space="preserve"> </w:t>
      </w:r>
      <w:r w:rsidR="008E23CA" w:rsidRPr="00EA59C0">
        <w:t>if</w:t>
      </w:r>
      <w:r w:rsidR="00C026A6" w:rsidRPr="00EA59C0">
        <w:t xml:space="preserve"> </w:t>
      </w:r>
      <w:r w:rsidR="008E23CA" w:rsidRPr="00EA59C0">
        <w:t>applying</w:t>
      </w:r>
      <w:r w:rsidR="00C026A6" w:rsidRPr="00EA59C0">
        <w:t xml:space="preserve"> </w:t>
      </w:r>
      <w:r w:rsidR="008E23CA" w:rsidRPr="00EA59C0">
        <w:t>as</w:t>
      </w:r>
      <w:r w:rsidR="00C026A6" w:rsidRPr="00EA59C0">
        <w:t xml:space="preserve"> </w:t>
      </w:r>
      <w:r w:rsidR="008E23CA" w:rsidRPr="00EA59C0">
        <w:t>a</w:t>
      </w:r>
      <w:r w:rsidR="00C026A6" w:rsidRPr="00EA59C0">
        <w:t xml:space="preserve"> </w:t>
      </w:r>
      <w:r w:rsidR="008E23CA" w:rsidRPr="00EA59C0">
        <w:t>consortium)</w:t>
      </w:r>
      <w:r w:rsidR="00C026A6" w:rsidRPr="00EA59C0">
        <w:t xml:space="preserve"> </w:t>
      </w:r>
      <w:r w:rsidRPr="00EA59C0">
        <w:t>as</w:t>
      </w:r>
      <w:r w:rsidR="00C026A6" w:rsidRPr="00EA59C0">
        <w:t xml:space="preserve"> </w:t>
      </w:r>
      <w:r w:rsidRPr="00EA59C0">
        <w:t>an</w:t>
      </w:r>
      <w:r w:rsidR="00C026A6" w:rsidRPr="00EA59C0">
        <w:t xml:space="preserve"> </w:t>
      </w:r>
      <w:r w:rsidRPr="00EA59C0">
        <w:t>institution</w:t>
      </w:r>
      <w:r w:rsidR="00C026A6" w:rsidRPr="00EA59C0">
        <w:t xml:space="preserve"> </w:t>
      </w:r>
      <w:r w:rsidRPr="00EA59C0">
        <w:t>of</w:t>
      </w:r>
      <w:r w:rsidR="00C026A6" w:rsidRPr="00EA59C0">
        <w:t xml:space="preserve"> </w:t>
      </w:r>
      <w:r w:rsidRPr="00EA59C0">
        <w:t>higher</w:t>
      </w:r>
      <w:r w:rsidR="00C026A6" w:rsidRPr="00EA59C0">
        <w:t xml:space="preserve"> </w:t>
      </w:r>
      <w:r w:rsidRPr="00EA59C0">
        <w:t>education</w:t>
      </w:r>
      <w:r w:rsidR="00C026A6" w:rsidRPr="00EA59C0">
        <w:t xml:space="preserve"> </w:t>
      </w:r>
      <w:r w:rsidRPr="00EA59C0">
        <w:t>that</w:t>
      </w:r>
      <w:r w:rsidR="00C026A6" w:rsidRPr="00EA59C0">
        <w:t xml:space="preserve"> </w:t>
      </w:r>
      <w:r w:rsidRPr="00EA59C0">
        <w:t>is</w:t>
      </w:r>
      <w:r w:rsidR="00C026A6" w:rsidRPr="00EA59C0">
        <w:t xml:space="preserve"> </w:t>
      </w:r>
      <w:r w:rsidRPr="00EA59C0">
        <w:t>accredited</w:t>
      </w:r>
      <w:r w:rsidR="00C026A6" w:rsidRPr="00EA59C0">
        <w:t xml:space="preserve"> </w:t>
      </w:r>
      <w:r w:rsidRPr="00EA59C0">
        <w:t>by</w:t>
      </w:r>
      <w:r w:rsidR="00C026A6" w:rsidRPr="00EA59C0">
        <w:t xml:space="preserve"> </w:t>
      </w:r>
      <w:r w:rsidRPr="00EA59C0">
        <w:t>an</w:t>
      </w:r>
      <w:r w:rsidR="00C026A6" w:rsidRPr="00EA59C0">
        <w:t xml:space="preserve"> </w:t>
      </w:r>
      <w:r w:rsidRPr="00EA59C0">
        <w:t>agency</w:t>
      </w:r>
      <w:r w:rsidR="00C026A6" w:rsidRPr="00EA59C0">
        <w:t xml:space="preserve"> </w:t>
      </w:r>
      <w:r w:rsidRPr="00EA59C0">
        <w:t>that</w:t>
      </w:r>
      <w:r w:rsidR="00C026A6" w:rsidRPr="00EA59C0">
        <w:t xml:space="preserve"> </w:t>
      </w:r>
      <w:r w:rsidRPr="00EA59C0">
        <w:t>has</w:t>
      </w:r>
      <w:r w:rsidR="00C026A6" w:rsidRPr="00EA59C0">
        <w:t xml:space="preserve"> </w:t>
      </w:r>
      <w:r w:rsidRPr="00EA59C0">
        <w:t>been</w:t>
      </w:r>
      <w:r w:rsidR="00C026A6" w:rsidRPr="00EA59C0">
        <w:t xml:space="preserve"> </w:t>
      </w:r>
      <w:r w:rsidRPr="00EA59C0">
        <w:t>recognized</w:t>
      </w:r>
      <w:r w:rsidR="00C026A6" w:rsidRPr="00EA59C0">
        <w:t xml:space="preserve"> </w:t>
      </w:r>
      <w:r w:rsidRPr="00EA59C0">
        <w:t>by</w:t>
      </w:r>
      <w:r w:rsidR="00C026A6" w:rsidRPr="00EA59C0">
        <w:t xml:space="preserve"> </w:t>
      </w:r>
      <w:r w:rsidRPr="00EA59C0">
        <w:t>the</w:t>
      </w:r>
      <w:r w:rsidR="00C026A6" w:rsidRPr="00EA59C0">
        <w:t xml:space="preserve"> </w:t>
      </w:r>
      <w:r w:rsidRPr="00EA59C0">
        <w:t>U.S.</w:t>
      </w:r>
      <w:r w:rsidR="00C026A6" w:rsidRPr="00EA59C0">
        <w:t xml:space="preserve"> </w:t>
      </w:r>
      <w:r w:rsidRPr="00EA59C0">
        <w:t>Department</w:t>
      </w:r>
      <w:r w:rsidR="00C026A6" w:rsidRPr="00EA59C0">
        <w:t xml:space="preserve"> </w:t>
      </w:r>
      <w:r w:rsidRPr="00EA59C0">
        <w:t>of</w:t>
      </w:r>
      <w:r w:rsidR="00C026A6" w:rsidRPr="00EA59C0">
        <w:t xml:space="preserve"> </w:t>
      </w:r>
      <w:r w:rsidRPr="00EA59C0">
        <w:t>Education.</w:t>
      </w:r>
      <w:r w:rsidR="00C026A6" w:rsidRPr="00EA59C0">
        <w:t xml:space="preserve"> </w:t>
      </w:r>
    </w:p>
    <w:p w:rsidR="00964AE5" w:rsidRPr="00EA59C0" w:rsidRDefault="00964AE5" w:rsidP="00D03948">
      <w:pPr>
        <w:ind w:left="720"/>
      </w:pPr>
    </w:p>
    <w:p w:rsidR="00964AE5" w:rsidRPr="00EA59C0" w:rsidRDefault="00615802" w:rsidP="00D03948">
      <w:pPr>
        <w:ind w:left="720"/>
      </w:pPr>
      <w:r w:rsidRPr="00EA59C0">
        <w:t>To</w:t>
      </w:r>
      <w:r w:rsidR="00C026A6" w:rsidRPr="00EA59C0">
        <w:t xml:space="preserve"> </w:t>
      </w:r>
      <w:r w:rsidRPr="00EA59C0">
        <w:t>meet</w:t>
      </w:r>
      <w:r w:rsidR="00C026A6" w:rsidRPr="00EA59C0">
        <w:t xml:space="preserve"> </w:t>
      </w:r>
      <w:r w:rsidRPr="00EA59C0">
        <w:t>the</w:t>
      </w:r>
      <w:r w:rsidR="00C026A6" w:rsidRPr="00EA59C0">
        <w:t xml:space="preserve"> </w:t>
      </w:r>
      <w:r w:rsidRPr="00EA59C0">
        <w:t>needs</w:t>
      </w:r>
      <w:r w:rsidR="00C026A6" w:rsidRPr="00EA59C0">
        <w:t xml:space="preserve"> </w:t>
      </w:r>
      <w:r w:rsidRPr="00EA59C0">
        <w:t>of</w:t>
      </w:r>
      <w:r w:rsidR="00C026A6" w:rsidRPr="00EA59C0">
        <w:t xml:space="preserve"> </w:t>
      </w:r>
      <w:r w:rsidRPr="00EA59C0">
        <w:t>TAA-eligible</w:t>
      </w:r>
      <w:r w:rsidR="00C026A6" w:rsidRPr="00EA59C0">
        <w:t xml:space="preserve"> </w:t>
      </w:r>
      <w:r w:rsidRPr="00EA59C0">
        <w:t>and</w:t>
      </w:r>
      <w:r w:rsidR="00C026A6" w:rsidRPr="00EA59C0">
        <w:t xml:space="preserve"> </w:t>
      </w:r>
      <w:r w:rsidRPr="00EA59C0">
        <w:t>other</w:t>
      </w:r>
      <w:r w:rsidR="00C026A6" w:rsidRPr="00EA59C0">
        <w:t xml:space="preserve"> </w:t>
      </w:r>
      <w:r w:rsidRPr="00EA59C0">
        <w:t>unemployed</w:t>
      </w:r>
      <w:r w:rsidR="00C026A6" w:rsidRPr="00EA59C0">
        <w:t xml:space="preserve"> </w:t>
      </w:r>
      <w:r w:rsidRPr="00EA59C0">
        <w:t>adults,</w:t>
      </w:r>
      <w:r w:rsidR="00C026A6" w:rsidRPr="00EA59C0">
        <w:t xml:space="preserve"> </w:t>
      </w:r>
      <w:r w:rsidRPr="00EA59C0">
        <w:t>and</w:t>
      </w:r>
      <w:r w:rsidR="00C026A6" w:rsidRPr="00EA59C0">
        <w:t xml:space="preserve"> </w:t>
      </w:r>
      <w:r w:rsidRPr="00EA59C0">
        <w:t>to</w:t>
      </w:r>
      <w:r w:rsidR="00C026A6" w:rsidRPr="00EA59C0">
        <w:t xml:space="preserve"> </w:t>
      </w:r>
      <w:r w:rsidRPr="00EA59C0">
        <w:t>meet</w:t>
      </w:r>
      <w:r w:rsidR="00C026A6" w:rsidRPr="00EA59C0">
        <w:t xml:space="preserve"> </w:t>
      </w:r>
      <w:r w:rsidRPr="00EA59C0">
        <w:t>the</w:t>
      </w:r>
      <w:r w:rsidR="00C026A6" w:rsidRPr="00EA59C0">
        <w:t xml:space="preserve"> </w:t>
      </w:r>
      <w:r w:rsidRPr="00EA59C0">
        <w:t>President’s</w:t>
      </w:r>
      <w:r w:rsidR="00C026A6" w:rsidRPr="00EA59C0">
        <w:t xml:space="preserve"> </w:t>
      </w:r>
      <w:r w:rsidRPr="00EA59C0">
        <w:t>goal</w:t>
      </w:r>
      <w:r w:rsidR="00C026A6" w:rsidRPr="00EA59C0">
        <w:t xml:space="preserve"> </w:t>
      </w:r>
      <w:r w:rsidRPr="00EA59C0">
        <w:t>to</w:t>
      </w:r>
      <w:r w:rsidR="00C026A6" w:rsidRPr="00EA59C0">
        <w:t xml:space="preserve"> </w:t>
      </w:r>
      <w:r w:rsidRPr="00EA59C0">
        <w:t>make</w:t>
      </w:r>
      <w:r w:rsidR="00C026A6" w:rsidRPr="00EA59C0">
        <w:t xml:space="preserve"> </w:t>
      </w:r>
      <w:r w:rsidRPr="00EA59C0">
        <w:t>education</w:t>
      </w:r>
      <w:r w:rsidR="00C026A6" w:rsidRPr="00EA59C0">
        <w:t xml:space="preserve"> </w:t>
      </w:r>
      <w:r w:rsidRPr="00EA59C0">
        <w:t>more</w:t>
      </w:r>
      <w:r w:rsidR="00C026A6" w:rsidRPr="00EA59C0">
        <w:t xml:space="preserve"> </w:t>
      </w:r>
      <w:r w:rsidRPr="00EA59C0">
        <w:t>affordable,</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is</w:t>
      </w:r>
      <w:r w:rsidR="00C026A6" w:rsidRPr="00EA59C0">
        <w:t xml:space="preserve"> </w:t>
      </w:r>
      <w:r w:rsidRPr="00EA59C0">
        <w:t>interested</w:t>
      </w:r>
      <w:r w:rsidR="00C026A6" w:rsidRPr="00EA59C0">
        <w:t xml:space="preserve"> </w:t>
      </w:r>
      <w:r w:rsidRPr="00EA59C0">
        <w:t>in</w:t>
      </w:r>
      <w:r w:rsidR="00C026A6" w:rsidRPr="00EA59C0">
        <w:t xml:space="preserve"> </w:t>
      </w:r>
      <w:r w:rsidRPr="00EA59C0">
        <w:t>encouraging</w:t>
      </w:r>
      <w:r w:rsidR="00C026A6" w:rsidRPr="00EA59C0">
        <w:t xml:space="preserve"> </w:t>
      </w:r>
      <w:r w:rsidRPr="00EA59C0">
        <w:t>applications</w:t>
      </w:r>
      <w:r w:rsidR="00C026A6" w:rsidRPr="00EA59C0">
        <w:t xml:space="preserve"> </w:t>
      </w:r>
      <w:r w:rsidRPr="00EA59C0">
        <w:t>by</w:t>
      </w:r>
      <w:r w:rsidR="00C026A6" w:rsidRPr="00EA59C0">
        <w:t xml:space="preserve"> </w:t>
      </w:r>
      <w:r w:rsidRPr="00EA59C0">
        <w:t>eligible</w:t>
      </w:r>
      <w:r w:rsidR="00C026A6" w:rsidRPr="00EA59C0">
        <w:t xml:space="preserve"> </w:t>
      </w:r>
      <w:r w:rsidRPr="00EA59C0">
        <w:t>institutions</w:t>
      </w:r>
      <w:r w:rsidR="00C026A6" w:rsidRPr="00EA59C0">
        <w:t xml:space="preserve"> </w:t>
      </w:r>
      <w:r w:rsidRPr="00EA59C0">
        <w:t>that</w:t>
      </w:r>
      <w:r w:rsidR="00C026A6" w:rsidRPr="00EA59C0">
        <w:t xml:space="preserve"> </w:t>
      </w:r>
      <w:r w:rsidRPr="00EA59C0">
        <w:t>are</w:t>
      </w:r>
      <w:r w:rsidR="00C026A6" w:rsidRPr="00EA59C0">
        <w:t xml:space="preserve"> </w:t>
      </w:r>
      <w:r w:rsidRPr="00EA59C0">
        <w:t>also</w:t>
      </w:r>
      <w:r w:rsidR="00C026A6" w:rsidRPr="00EA59C0">
        <w:t xml:space="preserve"> </w:t>
      </w:r>
      <w:r w:rsidRPr="00EA59C0">
        <w:t>participat</w:t>
      </w:r>
      <w:r w:rsidR="00422E0E" w:rsidRPr="00EA59C0">
        <w:t>ing</w:t>
      </w:r>
      <w:r w:rsidR="00C026A6" w:rsidRPr="00EA59C0">
        <w:t xml:space="preserve"> </w:t>
      </w:r>
      <w:r w:rsidRPr="00EA59C0">
        <w:t>in</w:t>
      </w:r>
      <w:r w:rsidR="00C026A6" w:rsidRPr="00EA59C0">
        <w:t xml:space="preserve"> </w:t>
      </w:r>
      <w:r w:rsidRPr="00EA59C0">
        <w:t>Title</w:t>
      </w:r>
      <w:r w:rsidR="00C026A6" w:rsidRPr="00EA59C0">
        <w:t xml:space="preserve"> </w:t>
      </w:r>
      <w:r w:rsidRPr="00EA59C0">
        <w:t>IV</w:t>
      </w:r>
      <w:r w:rsidR="00C026A6" w:rsidRPr="00EA59C0">
        <w:t xml:space="preserve"> </w:t>
      </w:r>
      <w:r w:rsidRPr="00EA59C0">
        <w:t>Federal</w:t>
      </w:r>
      <w:r w:rsidR="00C026A6" w:rsidRPr="00EA59C0">
        <w:t xml:space="preserve"> </w:t>
      </w:r>
      <w:r w:rsidRPr="00EA59C0">
        <w:t>student</w:t>
      </w:r>
      <w:r w:rsidR="00C026A6" w:rsidRPr="00EA59C0">
        <w:t xml:space="preserve"> </w:t>
      </w:r>
      <w:r w:rsidRPr="00EA59C0">
        <w:t>financial</w:t>
      </w:r>
      <w:r w:rsidR="00C026A6" w:rsidRPr="00EA59C0">
        <w:t xml:space="preserve"> </w:t>
      </w:r>
      <w:r w:rsidRPr="00EA59C0">
        <w:t>aid</w:t>
      </w:r>
      <w:r w:rsidR="00C026A6" w:rsidRPr="00EA59C0">
        <w:t xml:space="preserve"> </w:t>
      </w:r>
      <w:r w:rsidRPr="00EA59C0">
        <w:t>programs.</w:t>
      </w:r>
      <w:r w:rsidR="00C026A6" w:rsidRPr="00EA59C0">
        <w:t xml:space="preserve">  </w:t>
      </w:r>
      <w:r w:rsidR="00BD7A37" w:rsidRPr="00EA59C0">
        <w:t>Eligible</w:t>
      </w:r>
      <w:r w:rsidR="00C026A6" w:rsidRPr="00EA59C0">
        <w:t xml:space="preserve"> </w:t>
      </w:r>
      <w:r w:rsidR="00BD7A37" w:rsidRPr="00EA59C0">
        <w:t>applicants</w:t>
      </w:r>
      <w:r w:rsidR="00C026A6" w:rsidRPr="00EA59C0">
        <w:t xml:space="preserve"> </w:t>
      </w:r>
      <w:r w:rsidR="00BD7A37" w:rsidRPr="00EA59C0">
        <w:t>that</w:t>
      </w:r>
      <w:r w:rsidR="00C026A6" w:rsidRPr="00EA59C0">
        <w:t xml:space="preserve"> </w:t>
      </w:r>
      <w:r w:rsidR="00BD7A37" w:rsidRPr="00EA59C0">
        <w:t>are</w:t>
      </w:r>
      <w:r w:rsidR="00C026A6" w:rsidRPr="00EA59C0">
        <w:t xml:space="preserve"> </w:t>
      </w:r>
      <w:r w:rsidR="00BD7A37" w:rsidRPr="00EA59C0">
        <w:t>not</w:t>
      </w:r>
      <w:r w:rsidR="00C026A6" w:rsidRPr="00EA59C0">
        <w:t xml:space="preserve"> </w:t>
      </w:r>
      <w:r w:rsidRPr="00EA59C0">
        <w:t>participating</w:t>
      </w:r>
      <w:r w:rsidR="00C026A6" w:rsidRPr="00EA59C0">
        <w:t xml:space="preserve"> </w:t>
      </w:r>
      <w:r w:rsidR="00BD7A37" w:rsidRPr="00EA59C0">
        <w:t>in</w:t>
      </w:r>
      <w:r w:rsidR="00C026A6" w:rsidRPr="00EA59C0">
        <w:t xml:space="preserve"> </w:t>
      </w:r>
      <w:r w:rsidR="00BD7A37" w:rsidRPr="00EA59C0">
        <w:t>Title</w:t>
      </w:r>
      <w:r w:rsidR="00C026A6" w:rsidRPr="00EA59C0">
        <w:t xml:space="preserve"> </w:t>
      </w:r>
      <w:r w:rsidR="00BD7A37" w:rsidRPr="00EA59C0">
        <w:t>IV</w:t>
      </w:r>
      <w:r w:rsidR="00C026A6" w:rsidRPr="00EA59C0">
        <w:t xml:space="preserve"> </w:t>
      </w:r>
      <w:r w:rsidRPr="00EA59C0">
        <w:t>student</w:t>
      </w:r>
      <w:r w:rsidR="00C026A6" w:rsidRPr="00EA59C0">
        <w:t xml:space="preserve"> </w:t>
      </w:r>
      <w:r w:rsidRPr="00EA59C0">
        <w:t>aid</w:t>
      </w:r>
      <w:r w:rsidR="00C026A6" w:rsidRPr="00EA59C0">
        <w:t xml:space="preserve"> </w:t>
      </w:r>
      <w:r w:rsidR="00BD7A37" w:rsidRPr="00EA59C0">
        <w:t>programs</w:t>
      </w:r>
      <w:r w:rsidR="00C026A6" w:rsidRPr="00EA59C0">
        <w:t xml:space="preserve"> </w:t>
      </w:r>
      <w:r w:rsidR="00BD7A37" w:rsidRPr="00EA59C0">
        <w:t>are</w:t>
      </w:r>
      <w:r w:rsidR="00C026A6" w:rsidRPr="00EA59C0">
        <w:t xml:space="preserve"> </w:t>
      </w:r>
      <w:r w:rsidR="00BD7A37" w:rsidRPr="00EA59C0">
        <w:t>still</w:t>
      </w:r>
      <w:r w:rsidR="00C026A6" w:rsidRPr="00EA59C0">
        <w:t xml:space="preserve"> </w:t>
      </w:r>
      <w:r w:rsidR="00BD7A37" w:rsidRPr="00EA59C0">
        <w:t>eligible</w:t>
      </w:r>
      <w:r w:rsidR="00C026A6" w:rsidRPr="00EA59C0">
        <w:t xml:space="preserve"> </w:t>
      </w:r>
      <w:r w:rsidR="00BD7A37" w:rsidRPr="00EA59C0">
        <w:t>to</w:t>
      </w:r>
      <w:r w:rsidR="00C026A6" w:rsidRPr="00EA59C0">
        <w:t xml:space="preserve"> </w:t>
      </w:r>
      <w:r w:rsidR="00BD7A37" w:rsidRPr="00EA59C0">
        <w:t>apply</w:t>
      </w:r>
      <w:r w:rsidR="00C026A6" w:rsidRPr="00EA59C0">
        <w:t xml:space="preserve"> </w:t>
      </w:r>
      <w:r w:rsidR="00BD7A37" w:rsidRPr="00EA59C0">
        <w:t>for</w:t>
      </w:r>
      <w:r w:rsidR="00C026A6" w:rsidRPr="00EA59C0">
        <w:t xml:space="preserve"> </w:t>
      </w:r>
      <w:r w:rsidR="00BD7A37" w:rsidRPr="00EA59C0">
        <w:t>the</w:t>
      </w:r>
      <w:r w:rsidR="00C026A6" w:rsidRPr="00EA59C0">
        <w:t xml:space="preserve"> </w:t>
      </w:r>
      <w:r w:rsidR="00BD7A37" w:rsidRPr="00EA59C0">
        <w:t>TAACCCT</w:t>
      </w:r>
      <w:r w:rsidR="00C026A6" w:rsidRPr="00EA59C0">
        <w:t xml:space="preserve"> </w:t>
      </w:r>
      <w:r w:rsidR="00BD7A37" w:rsidRPr="00EA59C0">
        <w:t>grant</w:t>
      </w:r>
      <w:r w:rsidR="00C026A6" w:rsidRPr="00EA59C0">
        <w:t xml:space="preserve"> </w:t>
      </w:r>
      <w:r w:rsidR="00BD7A37" w:rsidRPr="00EA59C0">
        <w:t>program.</w:t>
      </w:r>
      <w:r w:rsidR="00C026A6" w:rsidRPr="00EA59C0">
        <w:t xml:space="preserve">  </w:t>
      </w:r>
    </w:p>
    <w:p w:rsidR="00964AE5" w:rsidRPr="00EA59C0" w:rsidRDefault="00964AE5" w:rsidP="00D03948">
      <w:pPr>
        <w:ind w:left="360"/>
      </w:pPr>
    </w:p>
    <w:p w:rsidR="00F826C6" w:rsidRPr="00EA59C0" w:rsidRDefault="00EE288B" w:rsidP="006626AE">
      <w:pPr>
        <w:pStyle w:val="Heading1"/>
        <w:numPr>
          <w:ilvl w:val="2"/>
          <w:numId w:val="17"/>
        </w:numPr>
        <w:rPr>
          <w:rFonts w:ascii="Times New Roman" w:hAnsi="Times New Roman"/>
        </w:rPr>
      </w:pPr>
      <w:r w:rsidRPr="00EA59C0">
        <w:rPr>
          <w:rFonts w:ascii="Times New Roman" w:hAnsi="Times New Roman"/>
        </w:rPr>
        <w:t>Single</w:t>
      </w:r>
      <w:r w:rsidR="00C026A6" w:rsidRPr="00EA59C0">
        <w:rPr>
          <w:rFonts w:ascii="Times New Roman" w:hAnsi="Times New Roman"/>
        </w:rPr>
        <w:t xml:space="preserve"> </w:t>
      </w:r>
      <w:r w:rsidRPr="00EA59C0">
        <w:rPr>
          <w:rFonts w:ascii="Times New Roman" w:hAnsi="Times New Roman"/>
        </w:rPr>
        <w:t>Institution</w:t>
      </w:r>
      <w:r w:rsidR="00C026A6" w:rsidRPr="00EA59C0">
        <w:rPr>
          <w:rFonts w:ascii="Times New Roman" w:hAnsi="Times New Roman"/>
        </w:rPr>
        <w:t xml:space="preserve"> </w:t>
      </w:r>
      <w:r w:rsidRPr="00EA59C0">
        <w:rPr>
          <w:rFonts w:ascii="Times New Roman" w:hAnsi="Times New Roman"/>
        </w:rPr>
        <w:t>Applicant</w:t>
      </w:r>
      <w:r w:rsidR="00C026A6" w:rsidRPr="00EA59C0">
        <w:rPr>
          <w:rFonts w:ascii="Times New Roman" w:hAnsi="Times New Roman"/>
        </w:rPr>
        <w:t xml:space="preserve"> </w:t>
      </w:r>
    </w:p>
    <w:p w:rsidR="00EE288B" w:rsidRPr="00EA59C0" w:rsidRDefault="00EE288B" w:rsidP="00D03948">
      <w:pPr>
        <w:pStyle w:val="ListParagraph"/>
        <w:ind w:left="1080"/>
      </w:pPr>
      <w:r w:rsidRPr="00EA59C0">
        <w:t>Eligible</w:t>
      </w:r>
      <w:r w:rsidR="00C026A6" w:rsidRPr="00EA59C0">
        <w:t xml:space="preserve"> </w:t>
      </w:r>
      <w:r w:rsidRPr="00EA59C0">
        <w:t>single</w:t>
      </w:r>
      <w:r w:rsidR="00C026A6" w:rsidRPr="00EA59C0">
        <w:t xml:space="preserve"> </w:t>
      </w:r>
      <w:r w:rsidRPr="00EA59C0">
        <w:t>institution</w:t>
      </w:r>
      <w:r w:rsidR="00C026A6" w:rsidRPr="00EA59C0">
        <w:t xml:space="preserve"> </w:t>
      </w:r>
      <w:r w:rsidRPr="00EA59C0">
        <w:t>applicants</w:t>
      </w:r>
      <w:r w:rsidR="00C026A6" w:rsidRPr="00EA59C0">
        <w:t xml:space="preserve"> </w:t>
      </w:r>
      <w:r w:rsidRPr="00EA59C0">
        <w:t>are</w:t>
      </w:r>
      <w:r w:rsidR="00C026A6" w:rsidRPr="00EA59C0">
        <w:t xml:space="preserve"> </w:t>
      </w:r>
      <w:r w:rsidRPr="00EA59C0">
        <w:t>eligible</w:t>
      </w:r>
      <w:r w:rsidR="00C026A6" w:rsidRPr="00EA59C0">
        <w:t xml:space="preserve"> </w:t>
      </w:r>
      <w:r w:rsidRPr="00EA59C0">
        <w:t>institutions</w:t>
      </w:r>
      <w:r w:rsidR="00C026A6" w:rsidRPr="00EA59C0">
        <w:t xml:space="preserve"> </w:t>
      </w:r>
      <w:r w:rsidRPr="00EA59C0">
        <w:t>of</w:t>
      </w:r>
      <w:r w:rsidR="00C026A6" w:rsidRPr="00EA59C0">
        <w:t xml:space="preserve"> </w:t>
      </w:r>
      <w:r w:rsidRPr="00EA59C0">
        <w:t>higher</w:t>
      </w:r>
      <w:r w:rsidR="00C026A6" w:rsidRPr="00EA59C0">
        <w:t xml:space="preserve"> </w:t>
      </w:r>
      <w:r w:rsidRPr="00EA59C0">
        <w:t>education</w:t>
      </w:r>
      <w:r w:rsidR="00C026A6" w:rsidRPr="00EA59C0">
        <w:t xml:space="preserve"> </w:t>
      </w:r>
      <w:r w:rsidRPr="00EA59C0">
        <w:t>as</w:t>
      </w:r>
      <w:r w:rsidR="00C026A6" w:rsidRPr="00EA59C0">
        <w:t xml:space="preserve"> </w:t>
      </w:r>
      <w:r w:rsidRPr="00EA59C0">
        <w:t>defined</w:t>
      </w:r>
      <w:r w:rsidR="00C026A6" w:rsidRPr="00EA59C0">
        <w:t xml:space="preserve"> </w:t>
      </w:r>
      <w:r w:rsidRPr="00EA59C0">
        <w:t>in</w:t>
      </w:r>
      <w:r w:rsidR="00C026A6" w:rsidRPr="00EA59C0">
        <w:t xml:space="preserve"> </w:t>
      </w:r>
      <w:r w:rsidRPr="00EA59C0">
        <w:t>Section</w:t>
      </w:r>
      <w:r w:rsidR="00C026A6" w:rsidRPr="00EA59C0">
        <w:t xml:space="preserve"> </w:t>
      </w:r>
      <w:r w:rsidRPr="00EA59C0">
        <w:t>III.A.</w:t>
      </w:r>
      <w:r w:rsidR="00C026A6" w:rsidRPr="00EA59C0">
        <w:t xml:space="preserve">  </w:t>
      </w:r>
      <w:r w:rsidR="00AA2AAE" w:rsidRPr="00EA59C0">
        <w:t>The</w:t>
      </w:r>
      <w:r w:rsidR="00C026A6" w:rsidRPr="00EA59C0">
        <w:t xml:space="preserve"> </w:t>
      </w:r>
      <w:r w:rsidR="00AA2AAE" w:rsidRPr="00EA59C0">
        <w:t>Department</w:t>
      </w:r>
      <w:r w:rsidR="00C026A6" w:rsidRPr="00EA59C0">
        <w:t xml:space="preserve"> </w:t>
      </w:r>
      <w:r w:rsidR="00AA2AAE" w:rsidRPr="00EA59C0">
        <w:t>strongly</w:t>
      </w:r>
      <w:r w:rsidR="00C026A6" w:rsidRPr="00EA59C0">
        <w:t xml:space="preserve"> </w:t>
      </w:r>
      <w:r w:rsidR="00AA2AAE" w:rsidRPr="00EA59C0">
        <w:t>encourages</w:t>
      </w:r>
      <w:r w:rsidR="00C026A6" w:rsidRPr="00EA59C0">
        <w:t xml:space="preserve"> </w:t>
      </w:r>
      <w:r w:rsidR="00BD7A37" w:rsidRPr="00EA59C0">
        <w:t>at</w:t>
      </w:r>
      <w:r w:rsidR="00C026A6" w:rsidRPr="00EA59C0">
        <w:t xml:space="preserve"> </w:t>
      </w:r>
      <w:r w:rsidR="00BD7A37" w:rsidRPr="00EA59C0">
        <w:t>least</w:t>
      </w:r>
      <w:r w:rsidR="00C026A6" w:rsidRPr="00EA59C0">
        <w:t xml:space="preserve"> </w:t>
      </w:r>
      <w:r w:rsidR="00BD7A37" w:rsidRPr="00EA59C0">
        <w:t>one</w:t>
      </w:r>
      <w:r w:rsidR="00C026A6" w:rsidRPr="00EA59C0">
        <w:t xml:space="preserve"> </w:t>
      </w:r>
      <w:r w:rsidR="001A2E13" w:rsidRPr="00EA59C0">
        <w:t>eligible</w:t>
      </w:r>
      <w:r w:rsidR="00C026A6" w:rsidRPr="00EA59C0">
        <w:t xml:space="preserve"> </w:t>
      </w:r>
      <w:r w:rsidR="001A2E13" w:rsidRPr="00EA59C0">
        <w:t>institution</w:t>
      </w:r>
      <w:r w:rsidR="00C026A6" w:rsidRPr="00EA59C0">
        <w:t xml:space="preserve"> </w:t>
      </w:r>
      <w:r w:rsidR="00BD7A37" w:rsidRPr="00EA59C0">
        <w:t>in</w:t>
      </w:r>
      <w:r w:rsidR="00C026A6" w:rsidRPr="00EA59C0">
        <w:t xml:space="preserve"> </w:t>
      </w:r>
      <w:r w:rsidR="00BD7A37" w:rsidRPr="00EA59C0">
        <w:t>each</w:t>
      </w:r>
      <w:r w:rsidR="00C026A6" w:rsidRPr="00EA59C0">
        <w:t xml:space="preserve"> </w:t>
      </w:r>
      <w:r w:rsidR="00BD7A37" w:rsidRPr="00EA59C0">
        <w:t>state</w:t>
      </w:r>
      <w:r w:rsidR="00C026A6" w:rsidRPr="00EA59C0">
        <w:t xml:space="preserve"> </w:t>
      </w:r>
      <w:r w:rsidR="001A2E13" w:rsidRPr="00EA59C0">
        <w:t>to</w:t>
      </w:r>
      <w:r w:rsidR="00C026A6" w:rsidRPr="00EA59C0">
        <w:t xml:space="preserve"> </w:t>
      </w:r>
      <w:r w:rsidR="001A2E13" w:rsidRPr="00EA59C0">
        <w:t>apply</w:t>
      </w:r>
      <w:r w:rsidR="00C026A6" w:rsidRPr="00EA59C0">
        <w:t xml:space="preserve"> </w:t>
      </w:r>
      <w:r w:rsidR="001A2E13" w:rsidRPr="00EA59C0">
        <w:t>for</w:t>
      </w:r>
      <w:r w:rsidR="00C026A6" w:rsidRPr="00EA59C0">
        <w:t xml:space="preserve"> </w:t>
      </w:r>
      <w:r w:rsidR="001A2E13" w:rsidRPr="00EA59C0">
        <w:t>TAACCCT</w:t>
      </w:r>
      <w:r w:rsidR="00C026A6" w:rsidRPr="00EA59C0">
        <w:t xml:space="preserve"> </w:t>
      </w:r>
      <w:r w:rsidR="001A2E13" w:rsidRPr="00EA59C0">
        <w:t>funds</w:t>
      </w:r>
      <w:r w:rsidR="00C026A6" w:rsidRPr="00EA59C0">
        <w:t xml:space="preserve"> </w:t>
      </w:r>
      <w:r w:rsidR="001A2E13" w:rsidRPr="00EA59C0">
        <w:t>to</w:t>
      </w:r>
      <w:r w:rsidR="00C026A6" w:rsidRPr="00EA59C0">
        <w:t xml:space="preserve"> </w:t>
      </w:r>
      <w:r w:rsidR="001A2E13" w:rsidRPr="00EA59C0">
        <w:t>increase</w:t>
      </w:r>
      <w:r w:rsidR="00C026A6" w:rsidRPr="00EA59C0">
        <w:t xml:space="preserve"> </w:t>
      </w:r>
      <w:r w:rsidR="001A2E13" w:rsidRPr="00EA59C0">
        <w:t>the</w:t>
      </w:r>
      <w:r w:rsidR="00C026A6" w:rsidRPr="00EA59C0">
        <w:t xml:space="preserve"> </w:t>
      </w:r>
      <w:r w:rsidR="001A2E13" w:rsidRPr="00EA59C0">
        <w:t>likelihood</w:t>
      </w:r>
      <w:r w:rsidR="00C026A6" w:rsidRPr="00EA59C0">
        <w:t xml:space="preserve"> </w:t>
      </w:r>
      <w:r w:rsidR="001A2E13" w:rsidRPr="00EA59C0">
        <w:t>that</w:t>
      </w:r>
      <w:r w:rsidR="00C026A6" w:rsidRPr="00EA59C0">
        <w:t xml:space="preserve"> </w:t>
      </w:r>
      <w:r w:rsidR="001A2E13" w:rsidRPr="00EA59C0">
        <w:t>at</w:t>
      </w:r>
      <w:r w:rsidR="00C026A6" w:rsidRPr="00EA59C0">
        <w:t xml:space="preserve"> </w:t>
      </w:r>
      <w:r w:rsidR="001A2E13" w:rsidRPr="00EA59C0">
        <w:t>least</w:t>
      </w:r>
      <w:r w:rsidR="00C026A6" w:rsidRPr="00EA59C0">
        <w:t xml:space="preserve"> </w:t>
      </w:r>
      <w:r w:rsidR="001A2E13" w:rsidRPr="00EA59C0">
        <w:t>one</w:t>
      </w:r>
      <w:r w:rsidR="00C026A6" w:rsidRPr="00EA59C0">
        <w:t xml:space="preserve"> </w:t>
      </w:r>
      <w:r w:rsidR="001A2E13" w:rsidRPr="00EA59C0">
        <w:t>eligible</w:t>
      </w:r>
      <w:r w:rsidR="00C026A6" w:rsidRPr="00EA59C0">
        <w:t xml:space="preserve"> </w:t>
      </w:r>
      <w:r w:rsidR="001A2E13" w:rsidRPr="00EA59C0">
        <w:t>institution</w:t>
      </w:r>
      <w:r w:rsidR="00C026A6" w:rsidRPr="00EA59C0">
        <w:t xml:space="preserve"> </w:t>
      </w:r>
      <w:r w:rsidR="001A2E13" w:rsidRPr="00EA59C0">
        <w:t>in</w:t>
      </w:r>
      <w:r w:rsidR="00C026A6" w:rsidRPr="00EA59C0">
        <w:t xml:space="preserve"> </w:t>
      </w:r>
      <w:r w:rsidR="001A2E13" w:rsidRPr="00EA59C0">
        <w:t>each</w:t>
      </w:r>
      <w:r w:rsidR="00C026A6" w:rsidRPr="00EA59C0">
        <w:t xml:space="preserve"> </w:t>
      </w:r>
      <w:r w:rsidR="001A2E13" w:rsidRPr="00EA59C0">
        <w:t>state</w:t>
      </w:r>
      <w:r w:rsidR="00C026A6" w:rsidRPr="00EA59C0">
        <w:t xml:space="preserve"> </w:t>
      </w:r>
      <w:r w:rsidR="001A2E13" w:rsidRPr="00EA59C0">
        <w:t>files</w:t>
      </w:r>
      <w:r w:rsidR="00C026A6" w:rsidRPr="00EA59C0">
        <w:t xml:space="preserve"> </w:t>
      </w:r>
      <w:r w:rsidR="001A2E13" w:rsidRPr="00EA59C0">
        <w:t>a</w:t>
      </w:r>
      <w:r w:rsidR="00C026A6" w:rsidRPr="00EA59C0">
        <w:t xml:space="preserve"> </w:t>
      </w:r>
      <w:r w:rsidR="001A2E13" w:rsidRPr="00EA59C0">
        <w:t>fundable</w:t>
      </w:r>
      <w:r w:rsidR="00C026A6" w:rsidRPr="00EA59C0">
        <w:t xml:space="preserve"> </w:t>
      </w:r>
      <w:r w:rsidR="001A2E13" w:rsidRPr="00EA59C0">
        <w:t>application.</w:t>
      </w:r>
      <w:r w:rsidR="00C026A6" w:rsidRPr="00EA59C0">
        <w:t xml:space="preserve"> </w:t>
      </w:r>
    </w:p>
    <w:p w:rsidR="00964AE5" w:rsidRPr="00EA59C0" w:rsidRDefault="00964AE5" w:rsidP="00D03948">
      <w:pPr>
        <w:ind w:left="720"/>
      </w:pPr>
    </w:p>
    <w:p w:rsidR="00EE288B" w:rsidRPr="00EA59C0" w:rsidRDefault="00EE288B" w:rsidP="006626AE">
      <w:pPr>
        <w:pStyle w:val="Heading1"/>
        <w:numPr>
          <w:ilvl w:val="2"/>
          <w:numId w:val="17"/>
        </w:numPr>
        <w:spacing w:line="240" w:lineRule="auto"/>
        <w:rPr>
          <w:rFonts w:ascii="Times New Roman" w:hAnsi="Times New Roman"/>
        </w:rPr>
      </w:pPr>
      <w:r w:rsidRPr="00EA59C0">
        <w:rPr>
          <w:rFonts w:ascii="Times New Roman" w:hAnsi="Times New Roman"/>
        </w:rPr>
        <w:t>Consortium</w:t>
      </w:r>
      <w:r w:rsidR="00C026A6" w:rsidRPr="00EA59C0">
        <w:rPr>
          <w:rFonts w:ascii="Times New Roman" w:hAnsi="Times New Roman"/>
        </w:rPr>
        <w:t xml:space="preserve"> </w:t>
      </w:r>
      <w:r w:rsidRPr="00EA59C0">
        <w:rPr>
          <w:rFonts w:ascii="Times New Roman" w:hAnsi="Times New Roman"/>
        </w:rPr>
        <w:t>Applicant</w:t>
      </w:r>
      <w:r w:rsidR="00C026A6" w:rsidRPr="00EA59C0">
        <w:rPr>
          <w:rFonts w:ascii="Times New Roman" w:hAnsi="Times New Roman"/>
        </w:rPr>
        <w:t xml:space="preserve"> </w:t>
      </w:r>
      <w:r w:rsidRPr="00EA59C0">
        <w:rPr>
          <w:rFonts w:ascii="Times New Roman" w:hAnsi="Times New Roman"/>
        </w:rPr>
        <w:t>(Single-State</w:t>
      </w:r>
      <w:r w:rsidR="00C026A6" w:rsidRPr="00EA59C0">
        <w:rPr>
          <w:rFonts w:ascii="Times New Roman" w:hAnsi="Times New Roman"/>
        </w:rPr>
        <w:t xml:space="preserve"> </w:t>
      </w:r>
      <w:r w:rsidRPr="00EA59C0">
        <w:rPr>
          <w:rFonts w:ascii="Times New Roman" w:hAnsi="Times New Roman"/>
        </w:rPr>
        <w:t>Consortium</w:t>
      </w:r>
      <w:r w:rsidR="00C026A6" w:rsidRPr="00EA59C0">
        <w:rPr>
          <w:rFonts w:ascii="Times New Roman" w:hAnsi="Times New Roman"/>
        </w:rPr>
        <w:t xml:space="preserve"> </w:t>
      </w:r>
      <w:r w:rsidRPr="00EA59C0">
        <w:rPr>
          <w:rFonts w:ascii="Times New Roman" w:hAnsi="Times New Roman"/>
        </w:rPr>
        <w:t>and</w:t>
      </w:r>
      <w:r w:rsidR="00C026A6" w:rsidRPr="00EA59C0">
        <w:rPr>
          <w:rFonts w:ascii="Times New Roman" w:hAnsi="Times New Roman"/>
        </w:rPr>
        <w:t xml:space="preserve"> </w:t>
      </w:r>
      <w:r w:rsidR="00DC0136" w:rsidRPr="00EA59C0">
        <w:rPr>
          <w:rFonts w:ascii="Times New Roman" w:hAnsi="Times New Roman"/>
        </w:rPr>
        <w:t>Regional</w:t>
      </w:r>
      <w:r w:rsidR="00C026A6" w:rsidRPr="00EA59C0">
        <w:rPr>
          <w:rFonts w:ascii="Times New Roman" w:hAnsi="Times New Roman"/>
        </w:rPr>
        <w:t xml:space="preserve"> </w:t>
      </w:r>
      <w:r w:rsidRPr="00EA59C0">
        <w:rPr>
          <w:rFonts w:ascii="Times New Roman" w:hAnsi="Times New Roman"/>
        </w:rPr>
        <w:t>Multi-State</w:t>
      </w:r>
      <w:r w:rsidR="00C026A6" w:rsidRPr="00EA59C0">
        <w:rPr>
          <w:rFonts w:ascii="Times New Roman" w:hAnsi="Times New Roman"/>
        </w:rPr>
        <w:t xml:space="preserve"> </w:t>
      </w:r>
      <w:r w:rsidRPr="00EA59C0">
        <w:rPr>
          <w:rFonts w:ascii="Times New Roman" w:hAnsi="Times New Roman"/>
        </w:rPr>
        <w:t>Consortium</w:t>
      </w:r>
      <w:r w:rsidR="00C026A6" w:rsidRPr="00EA59C0">
        <w:rPr>
          <w:rFonts w:ascii="Times New Roman" w:hAnsi="Times New Roman"/>
        </w:rPr>
        <w:t xml:space="preserve"> </w:t>
      </w:r>
      <w:r w:rsidRPr="00EA59C0">
        <w:rPr>
          <w:rFonts w:ascii="Times New Roman" w:hAnsi="Times New Roman"/>
        </w:rPr>
        <w:t>Applicants)</w:t>
      </w:r>
    </w:p>
    <w:p w:rsidR="006B1229" w:rsidRPr="00EA59C0" w:rsidRDefault="00EE288B" w:rsidP="00D03948">
      <w:pPr>
        <w:ind w:left="1080"/>
      </w:pPr>
      <w:r w:rsidRPr="00EA59C0">
        <w:t>Eligible</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are</w:t>
      </w:r>
      <w:r w:rsidR="00C026A6" w:rsidRPr="00EA59C0">
        <w:t xml:space="preserve"> </w:t>
      </w:r>
      <w:r w:rsidRPr="00EA59C0">
        <w:t>consortia</w:t>
      </w:r>
      <w:r w:rsidR="00C026A6" w:rsidRPr="00EA59C0">
        <w:t xml:space="preserve"> </w:t>
      </w:r>
      <w:r w:rsidRPr="00EA59C0">
        <w:t>of</w:t>
      </w:r>
      <w:r w:rsidR="00C026A6" w:rsidRPr="00EA59C0">
        <w:t xml:space="preserve"> </w:t>
      </w:r>
      <w:r w:rsidRPr="00EA59C0">
        <w:t>three</w:t>
      </w:r>
      <w:r w:rsidR="00C026A6" w:rsidRPr="00EA59C0">
        <w:t xml:space="preserve"> </w:t>
      </w:r>
      <w:r w:rsidRPr="00EA59C0">
        <w:t>or</w:t>
      </w:r>
      <w:r w:rsidR="00C026A6" w:rsidRPr="00EA59C0">
        <w:t xml:space="preserve"> </w:t>
      </w:r>
      <w:r w:rsidRPr="00EA59C0">
        <w:t>more</w:t>
      </w:r>
      <w:r w:rsidR="00C026A6" w:rsidRPr="00EA59C0">
        <w:t xml:space="preserve"> </w:t>
      </w:r>
      <w:r w:rsidRPr="00EA59C0">
        <w:t>eligible</w:t>
      </w:r>
      <w:r w:rsidR="00C026A6" w:rsidRPr="00EA59C0">
        <w:t xml:space="preserve"> </w:t>
      </w:r>
      <w:r w:rsidRPr="00EA59C0">
        <w:t>institutions</w:t>
      </w:r>
      <w:r w:rsidR="00C026A6" w:rsidRPr="00EA59C0">
        <w:t xml:space="preserve"> </w:t>
      </w:r>
      <w:r w:rsidRPr="00EA59C0">
        <w:t>of</w:t>
      </w:r>
      <w:r w:rsidR="00C026A6" w:rsidRPr="00EA59C0">
        <w:t xml:space="preserve"> </w:t>
      </w:r>
      <w:r w:rsidRPr="00EA59C0">
        <w:t>higher</w:t>
      </w:r>
      <w:r w:rsidR="00C026A6" w:rsidRPr="00EA59C0">
        <w:t xml:space="preserve"> </w:t>
      </w:r>
      <w:r w:rsidRPr="00EA59C0">
        <w:t>education</w:t>
      </w:r>
      <w:r w:rsidR="00C026A6" w:rsidRPr="00EA59C0">
        <w:t xml:space="preserve"> </w:t>
      </w:r>
      <w:r w:rsidRPr="00EA59C0">
        <w:t>as</w:t>
      </w:r>
      <w:r w:rsidR="00C026A6" w:rsidRPr="00EA59C0">
        <w:t xml:space="preserve"> </w:t>
      </w:r>
      <w:r w:rsidRPr="00EA59C0">
        <w:t>defined</w:t>
      </w:r>
      <w:r w:rsidR="00C026A6" w:rsidRPr="00EA59C0">
        <w:t xml:space="preserve"> </w:t>
      </w:r>
      <w:r w:rsidRPr="00EA59C0">
        <w:t>in</w:t>
      </w:r>
      <w:r w:rsidR="00C026A6" w:rsidRPr="00EA59C0">
        <w:t xml:space="preserve"> </w:t>
      </w:r>
      <w:r w:rsidRPr="00EA59C0">
        <w:t>Section</w:t>
      </w:r>
      <w:r w:rsidR="00C026A6" w:rsidRPr="00EA59C0">
        <w:t xml:space="preserve"> </w:t>
      </w:r>
      <w:r w:rsidRPr="00EA59C0">
        <w:t>III.A.</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strongly</w:t>
      </w:r>
      <w:r w:rsidR="00C026A6" w:rsidRPr="00EA59C0">
        <w:t xml:space="preserve"> </w:t>
      </w:r>
      <w:r w:rsidRPr="00EA59C0">
        <w:t>encourages</w:t>
      </w:r>
      <w:r w:rsidR="00C026A6" w:rsidRPr="00EA59C0">
        <w:t xml:space="preserve"> </w:t>
      </w:r>
      <w:r w:rsidRPr="00EA59C0">
        <w:t>applicants</w:t>
      </w:r>
      <w:r w:rsidR="00C026A6" w:rsidRPr="00EA59C0">
        <w:t xml:space="preserve"> </w:t>
      </w:r>
      <w:r w:rsidRPr="00EA59C0">
        <w:t>to</w:t>
      </w:r>
      <w:r w:rsidR="00C026A6" w:rsidRPr="00EA59C0">
        <w:t xml:space="preserve"> </w:t>
      </w:r>
      <w:r w:rsidRPr="00EA59C0">
        <w:t>form</w:t>
      </w:r>
      <w:r w:rsidR="00C026A6" w:rsidRPr="00EA59C0">
        <w:t xml:space="preserve"> </w:t>
      </w:r>
      <w:r w:rsidRPr="00EA59C0">
        <w:t>consortia</w:t>
      </w:r>
      <w:r w:rsidR="00C026A6" w:rsidRPr="00EA59C0">
        <w:t xml:space="preserve"> </w:t>
      </w:r>
      <w:r w:rsidRPr="00EA59C0">
        <w:t>within</w:t>
      </w:r>
      <w:r w:rsidR="00C026A6" w:rsidRPr="00EA59C0">
        <w:t xml:space="preserve"> </w:t>
      </w:r>
      <w:r w:rsidRPr="00EA59C0">
        <w:t>a</w:t>
      </w:r>
      <w:r w:rsidR="00C026A6" w:rsidRPr="00EA59C0">
        <w:t xml:space="preserve"> </w:t>
      </w:r>
      <w:r w:rsidRPr="00EA59C0">
        <w:t>state</w:t>
      </w:r>
      <w:r w:rsidR="00C026A6" w:rsidRPr="00EA59C0">
        <w:t xml:space="preserve"> </w:t>
      </w:r>
      <w:r w:rsidRPr="00EA59C0">
        <w:t>(single-state</w:t>
      </w:r>
      <w:r w:rsidR="00C026A6" w:rsidRPr="00EA59C0">
        <w:t xml:space="preserve"> </w:t>
      </w:r>
      <w:r w:rsidRPr="00EA59C0">
        <w:t>consortia)</w:t>
      </w:r>
      <w:r w:rsidR="00006012" w:rsidRPr="00EA59C0">
        <w:t>.</w:t>
      </w:r>
      <w:r w:rsidR="00C026A6" w:rsidRPr="00EA59C0">
        <w:t xml:space="preserve">  </w:t>
      </w:r>
      <w:r w:rsidR="00006012" w:rsidRPr="00EA59C0">
        <w:t>The</w:t>
      </w:r>
      <w:r w:rsidR="00C026A6" w:rsidRPr="00EA59C0">
        <w:t xml:space="preserve"> </w:t>
      </w:r>
      <w:r w:rsidR="00006012" w:rsidRPr="00EA59C0">
        <w:t>Department</w:t>
      </w:r>
      <w:r w:rsidR="00C026A6" w:rsidRPr="00EA59C0">
        <w:t xml:space="preserve"> </w:t>
      </w:r>
      <w:r w:rsidR="00006012" w:rsidRPr="00EA59C0">
        <w:t>is</w:t>
      </w:r>
      <w:r w:rsidR="00C026A6" w:rsidRPr="00EA59C0">
        <w:t xml:space="preserve"> </w:t>
      </w:r>
      <w:r w:rsidR="00006012" w:rsidRPr="00EA59C0">
        <w:t>also</w:t>
      </w:r>
      <w:r w:rsidR="00C026A6" w:rsidRPr="00EA59C0">
        <w:t xml:space="preserve"> </w:t>
      </w:r>
      <w:r w:rsidR="00006012" w:rsidRPr="00EA59C0">
        <w:t>interested</w:t>
      </w:r>
      <w:r w:rsidR="00C026A6" w:rsidRPr="00EA59C0">
        <w:t xml:space="preserve"> </w:t>
      </w:r>
      <w:r w:rsidR="00006012" w:rsidRPr="00EA59C0">
        <w:t>in</w:t>
      </w:r>
      <w:r w:rsidR="00C026A6" w:rsidRPr="00EA59C0">
        <w:t xml:space="preserve"> </w:t>
      </w:r>
      <w:r w:rsidR="00E10EE1" w:rsidRPr="00EA59C0">
        <w:t>consortium</w:t>
      </w:r>
      <w:r w:rsidR="00C026A6" w:rsidRPr="00EA59C0">
        <w:t xml:space="preserve"> </w:t>
      </w:r>
      <w:r w:rsidR="00006012" w:rsidRPr="00EA59C0">
        <w:t>applicants</w:t>
      </w:r>
      <w:r w:rsidR="00C026A6" w:rsidRPr="00EA59C0">
        <w:t xml:space="preserve"> </w:t>
      </w:r>
      <w:r w:rsidR="00E10EE1" w:rsidRPr="00EA59C0">
        <w:t>with</w:t>
      </w:r>
      <w:r w:rsidR="00C026A6" w:rsidRPr="00EA59C0">
        <w:t xml:space="preserve"> </w:t>
      </w:r>
      <w:r w:rsidR="00E10EE1" w:rsidRPr="00EA59C0">
        <w:t>members</w:t>
      </w:r>
      <w:r w:rsidR="00C026A6" w:rsidRPr="00EA59C0">
        <w:t xml:space="preserve"> </w:t>
      </w:r>
      <w:r w:rsidR="00006012" w:rsidRPr="00EA59C0">
        <w:t>that</w:t>
      </w:r>
      <w:r w:rsidR="00C026A6" w:rsidRPr="00EA59C0">
        <w:t xml:space="preserve"> </w:t>
      </w:r>
      <w:r w:rsidR="00006012" w:rsidRPr="00EA59C0">
        <w:t>are</w:t>
      </w:r>
      <w:r w:rsidR="00C026A6" w:rsidRPr="00EA59C0">
        <w:t xml:space="preserve"> </w:t>
      </w:r>
      <w:r w:rsidR="00006012" w:rsidRPr="00EA59C0">
        <w:t>located</w:t>
      </w:r>
      <w:r w:rsidR="00C026A6" w:rsidRPr="00EA59C0">
        <w:t xml:space="preserve"> </w:t>
      </w:r>
      <w:r w:rsidRPr="00EA59C0">
        <w:t>across</w:t>
      </w:r>
      <w:r w:rsidR="00C026A6" w:rsidRPr="00EA59C0">
        <w:t xml:space="preserve"> </w:t>
      </w:r>
      <w:r w:rsidRPr="00EA59C0">
        <w:t>state</w:t>
      </w:r>
      <w:r w:rsidR="00C026A6" w:rsidRPr="00EA59C0">
        <w:t xml:space="preserve"> </w:t>
      </w:r>
      <w:r w:rsidRPr="00EA59C0">
        <w:t>lines</w:t>
      </w:r>
      <w:r w:rsidR="00C32DE7" w:rsidRPr="00EA59C0">
        <w:t>,</w:t>
      </w:r>
      <w:r w:rsidR="00C026A6" w:rsidRPr="00EA59C0">
        <w:t xml:space="preserve"> </w:t>
      </w:r>
      <w:r w:rsidR="00C32DE7" w:rsidRPr="00EA59C0">
        <w:t>but</w:t>
      </w:r>
      <w:r w:rsidR="00C026A6" w:rsidRPr="00EA59C0">
        <w:t xml:space="preserve"> </w:t>
      </w:r>
      <w:r w:rsidR="00C32DE7" w:rsidRPr="00EA59C0">
        <w:t>share</w:t>
      </w:r>
      <w:r w:rsidR="00C026A6" w:rsidRPr="00EA59C0">
        <w:t xml:space="preserve"> </w:t>
      </w:r>
      <w:r w:rsidR="00C32DE7" w:rsidRPr="00EA59C0">
        <w:t>a</w:t>
      </w:r>
      <w:r w:rsidR="00C026A6" w:rsidRPr="00EA59C0">
        <w:t xml:space="preserve"> </w:t>
      </w:r>
      <w:r w:rsidR="00C32DE7" w:rsidRPr="00EA59C0">
        <w:t>common</w:t>
      </w:r>
      <w:r w:rsidR="00C026A6" w:rsidRPr="00EA59C0">
        <w:t xml:space="preserve"> </w:t>
      </w:r>
      <w:r w:rsidR="00006012" w:rsidRPr="00EA59C0">
        <w:t>labor</w:t>
      </w:r>
      <w:r w:rsidR="00C026A6" w:rsidRPr="00EA59C0">
        <w:t xml:space="preserve"> </w:t>
      </w:r>
      <w:r w:rsidR="00006012" w:rsidRPr="00EA59C0">
        <w:t>market</w:t>
      </w:r>
      <w:r w:rsidR="00C026A6" w:rsidRPr="00EA59C0">
        <w:t xml:space="preserve"> </w:t>
      </w:r>
      <w:r w:rsidR="00DC0136" w:rsidRPr="00EA59C0">
        <w:t>(regional</w:t>
      </w:r>
      <w:r w:rsidR="00C026A6" w:rsidRPr="00EA59C0">
        <w:t xml:space="preserve"> </w:t>
      </w:r>
      <w:r w:rsidR="00DC0136" w:rsidRPr="00EA59C0">
        <w:t>multi-state</w:t>
      </w:r>
      <w:r w:rsidR="00C026A6" w:rsidRPr="00EA59C0">
        <w:t xml:space="preserve"> </w:t>
      </w:r>
      <w:r w:rsidR="00DC0136" w:rsidRPr="00EA59C0">
        <w:t>consortia)</w:t>
      </w:r>
      <w:r w:rsidR="00006012" w:rsidRPr="00EA59C0">
        <w:t>.</w:t>
      </w:r>
      <w:r w:rsidR="00C026A6" w:rsidRPr="00EA59C0">
        <w:t xml:space="preserve">  </w:t>
      </w:r>
      <w:r w:rsidR="00453E4C" w:rsidRPr="00EA59C0">
        <w:t>National</w:t>
      </w:r>
      <w:r w:rsidR="00C026A6" w:rsidRPr="00EA59C0">
        <w:t xml:space="preserve"> </w:t>
      </w:r>
      <w:r w:rsidR="00453E4C" w:rsidRPr="00EA59C0">
        <w:t>multi-state</w:t>
      </w:r>
      <w:r w:rsidR="00C026A6" w:rsidRPr="00EA59C0">
        <w:t xml:space="preserve"> </w:t>
      </w:r>
      <w:r w:rsidR="00453E4C" w:rsidRPr="00EA59C0">
        <w:t>consortia</w:t>
      </w:r>
      <w:r w:rsidR="00C026A6" w:rsidRPr="00EA59C0">
        <w:t xml:space="preserve"> </w:t>
      </w:r>
      <w:r w:rsidR="00453E4C" w:rsidRPr="00EA59C0">
        <w:t>comprised</w:t>
      </w:r>
      <w:r w:rsidR="00C026A6" w:rsidRPr="00EA59C0">
        <w:t xml:space="preserve"> </w:t>
      </w:r>
      <w:r w:rsidR="00453E4C" w:rsidRPr="00EA59C0">
        <w:t>of</w:t>
      </w:r>
      <w:r w:rsidR="00C026A6" w:rsidRPr="00EA59C0">
        <w:t xml:space="preserve"> </w:t>
      </w:r>
      <w:r w:rsidR="00453E4C" w:rsidRPr="00EA59C0">
        <w:t>community</w:t>
      </w:r>
      <w:r w:rsidR="00C026A6" w:rsidRPr="00EA59C0">
        <w:t xml:space="preserve"> </w:t>
      </w:r>
      <w:r w:rsidR="00453E4C" w:rsidRPr="00EA59C0">
        <w:t>colleges</w:t>
      </w:r>
      <w:r w:rsidR="00C026A6" w:rsidRPr="00EA59C0">
        <w:t xml:space="preserve"> </w:t>
      </w:r>
      <w:r w:rsidR="00453E4C" w:rsidRPr="00EA59C0">
        <w:t>that</w:t>
      </w:r>
      <w:r w:rsidR="00C026A6" w:rsidRPr="00EA59C0">
        <w:t xml:space="preserve"> </w:t>
      </w:r>
      <w:r w:rsidR="00453E4C" w:rsidRPr="00EA59C0">
        <w:t>do</w:t>
      </w:r>
      <w:r w:rsidR="00C026A6" w:rsidRPr="00EA59C0">
        <w:t xml:space="preserve"> </w:t>
      </w:r>
      <w:r w:rsidR="00453E4C" w:rsidRPr="00EA59C0">
        <w:t>not</w:t>
      </w:r>
      <w:r w:rsidR="00C026A6" w:rsidRPr="00EA59C0">
        <w:t xml:space="preserve"> </w:t>
      </w:r>
      <w:r w:rsidR="00453E4C" w:rsidRPr="00EA59C0">
        <w:t>share</w:t>
      </w:r>
      <w:r w:rsidR="00C026A6" w:rsidRPr="00EA59C0">
        <w:t xml:space="preserve"> </w:t>
      </w:r>
      <w:r w:rsidR="00453E4C" w:rsidRPr="00EA59C0">
        <w:t>a</w:t>
      </w:r>
      <w:r w:rsidR="00C026A6" w:rsidRPr="00EA59C0">
        <w:t xml:space="preserve"> </w:t>
      </w:r>
      <w:r w:rsidR="00453E4C" w:rsidRPr="00EA59C0">
        <w:t>common</w:t>
      </w:r>
      <w:r w:rsidR="00C026A6" w:rsidRPr="00EA59C0">
        <w:t xml:space="preserve"> </w:t>
      </w:r>
      <w:r w:rsidR="00453E4C" w:rsidRPr="00EA59C0">
        <w:t>labor</w:t>
      </w:r>
      <w:r w:rsidR="00C026A6" w:rsidRPr="00EA59C0">
        <w:t xml:space="preserve"> </w:t>
      </w:r>
      <w:r w:rsidR="00453E4C" w:rsidRPr="00EA59C0">
        <w:t>market</w:t>
      </w:r>
      <w:r w:rsidR="00C026A6" w:rsidRPr="00EA59C0">
        <w:t xml:space="preserve"> </w:t>
      </w:r>
      <w:r w:rsidR="00453E4C" w:rsidRPr="00EA59C0">
        <w:t>or</w:t>
      </w:r>
      <w:r w:rsidR="00C026A6" w:rsidRPr="00EA59C0">
        <w:t xml:space="preserve"> </w:t>
      </w:r>
      <w:r w:rsidR="00453E4C" w:rsidRPr="00EA59C0">
        <w:t>regional</w:t>
      </w:r>
      <w:r w:rsidR="00C026A6" w:rsidRPr="00EA59C0">
        <w:t xml:space="preserve"> </w:t>
      </w:r>
      <w:r w:rsidR="00453E4C" w:rsidRPr="00EA59C0">
        <w:t>industry</w:t>
      </w:r>
      <w:r w:rsidR="00C026A6" w:rsidRPr="00EA59C0">
        <w:t xml:space="preserve"> </w:t>
      </w:r>
      <w:r w:rsidR="00453E4C" w:rsidRPr="00EA59C0">
        <w:t>sector</w:t>
      </w:r>
      <w:r w:rsidR="00C026A6" w:rsidRPr="00EA59C0">
        <w:t xml:space="preserve"> </w:t>
      </w:r>
      <w:r w:rsidR="00453E4C" w:rsidRPr="00EA59C0">
        <w:t>are</w:t>
      </w:r>
      <w:r w:rsidR="00C026A6" w:rsidRPr="00EA59C0">
        <w:t xml:space="preserve"> </w:t>
      </w:r>
      <w:r w:rsidR="00453E4C" w:rsidRPr="00EA59C0">
        <w:t>not</w:t>
      </w:r>
      <w:r w:rsidR="00C026A6" w:rsidRPr="00EA59C0">
        <w:t xml:space="preserve"> </w:t>
      </w:r>
      <w:r w:rsidR="00453E4C" w:rsidRPr="00EA59C0">
        <w:t>eligible</w:t>
      </w:r>
      <w:r w:rsidR="00C026A6" w:rsidRPr="00EA59C0">
        <w:t xml:space="preserve"> </w:t>
      </w:r>
      <w:r w:rsidR="00453E4C" w:rsidRPr="00EA59C0">
        <w:t>to</w:t>
      </w:r>
      <w:r w:rsidR="00C026A6" w:rsidRPr="00EA59C0">
        <w:t xml:space="preserve"> </w:t>
      </w:r>
      <w:r w:rsidR="00453E4C" w:rsidRPr="00EA59C0">
        <w:t>apply</w:t>
      </w:r>
      <w:r w:rsidR="00C026A6" w:rsidRPr="00EA59C0">
        <w:t xml:space="preserve"> </w:t>
      </w:r>
      <w:r w:rsidR="00453E4C" w:rsidRPr="00EA59C0">
        <w:t>under</w:t>
      </w:r>
      <w:r w:rsidR="00C026A6" w:rsidRPr="00EA59C0">
        <w:t xml:space="preserve"> </w:t>
      </w:r>
      <w:r w:rsidR="00453E4C" w:rsidRPr="00EA59C0">
        <w:t>this</w:t>
      </w:r>
      <w:r w:rsidR="00C026A6" w:rsidRPr="00EA59C0">
        <w:t xml:space="preserve"> </w:t>
      </w:r>
      <w:r w:rsidR="00C664C2" w:rsidRPr="00EA59C0">
        <w:t>Solicitation</w:t>
      </w:r>
      <w:r w:rsidR="00453E4C" w:rsidRPr="00EA59C0">
        <w:t>.</w:t>
      </w:r>
    </w:p>
    <w:p w:rsidR="00006012" w:rsidRPr="00EA59C0" w:rsidRDefault="00006012" w:rsidP="00D03948">
      <w:pPr>
        <w:ind w:left="1080"/>
      </w:pPr>
    </w:p>
    <w:p w:rsidR="005F6EFA" w:rsidRPr="00EA59C0" w:rsidRDefault="00A454D2" w:rsidP="00D03948">
      <w:pPr>
        <w:ind w:left="1080"/>
      </w:pPr>
      <w:r w:rsidRPr="00EA59C0">
        <w:t>Consortium</w:t>
      </w:r>
      <w:r w:rsidR="00C026A6" w:rsidRPr="00EA59C0">
        <w:t xml:space="preserve"> </w:t>
      </w:r>
      <w:r w:rsidRPr="00EA59C0">
        <w:t>grants</w:t>
      </w:r>
      <w:r w:rsidR="00C026A6" w:rsidRPr="00EA59C0">
        <w:t xml:space="preserve"> </w:t>
      </w:r>
      <w:r w:rsidR="006E52DB" w:rsidRPr="00EA59C0">
        <w:t>must</w:t>
      </w:r>
      <w:r w:rsidR="00C026A6" w:rsidRPr="00EA59C0">
        <w:t xml:space="preserve"> </w:t>
      </w:r>
      <w:r w:rsidR="006E52DB" w:rsidRPr="00EA59C0">
        <w:t>identify</w:t>
      </w:r>
      <w:r w:rsidR="00C026A6" w:rsidRPr="00EA59C0">
        <w:t xml:space="preserve"> </w:t>
      </w:r>
      <w:r w:rsidR="006E52DB" w:rsidRPr="00EA59C0">
        <w:t>a</w:t>
      </w:r>
      <w:r w:rsidR="00C026A6" w:rsidRPr="00EA59C0">
        <w:t xml:space="preserve"> </w:t>
      </w:r>
      <w:r w:rsidR="00BD7A37" w:rsidRPr="00EA59C0">
        <w:t>L</w:t>
      </w:r>
      <w:r w:rsidR="006E52DB" w:rsidRPr="00EA59C0">
        <w:t>ead</w:t>
      </w:r>
      <w:r w:rsidR="00C026A6" w:rsidRPr="00EA59C0">
        <w:t xml:space="preserve"> </w:t>
      </w:r>
      <w:r w:rsidR="00EE1F7A" w:rsidRPr="00EA59C0">
        <w:t>Institution</w:t>
      </w:r>
      <w:r w:rsidR="006E52DB" w:rsidRPr="00EA59C0">
        <w:t>.</w:t>
      </w:r>
      <w:r w:rsidR="00C026A6" w:rsidRPr="00EA59C0">
        <w:t xml:space="preserve">  </w:t>
      </w:r>
      <w:r w:rsidR="006E52DB" w:rsidRPr="00EA59C0">
        <w:t>The</w:t>
      </w:r>
      <w:r w:rsidR="00C026A6" w:rsidRPr="00EA59C0">
        <w:t xml:space="preserve"> </w:t>
      </w:r>
      <w:r w:rsidR="006E52DB" w:rsidRPr="00EA59C0">
        <w:t>Lead</w:t>
      </w:r>
      <w:r w:rsidR="00C026A6" w:rsidRPr="00EA59C0">
        <w:t xml:space="preserve"> </w:t>
      </w:r>
      <w:r w:rsidR="006E52DB" w:rsidRPr="00EA59C0">
        <w:t>Institution</w:t>
      </w:r>
      <w:r w:rsidR="00C026A6" w:rsidRPr="00EA59C0">
        <w:t xml:space="preserve"> </w:t>
      </w:r>
      <w:r w:rsidRPr="00EA59C0">
        <w:t>will</w:t>
      </w:r>
      <w:r w:rsidR="00C026A6" w:rsidRPr="00EA59C0">
        <w:t xml:space="preserve"> </w:t>
      </w:r>
      <w:r w:rsidRPr="00EA59C0">
        <w:t>be</w:t>
      </w:r>
      <w:r w:rsidR="00C026A6" w:rsidRPr="00EA59C0">
        <w:t xml:space="preserve"> </w:t>
      </w:r>
      <w:r w:rsidR="00446C7D" w:rsidRPr="00EA59C0">
        <w:t>awarded</w:t>
      </w:r>
      <w:r w:rsidR="00C026A6" w:rsidRPr="00EA59C0">
        <w:t xml:space="preserve"> </w:t>
      </w:r>
      <w:r w:rsidR="006E52DB" w:rsidRPr="00EA59C0">
        <w:t>the</w:t>
      </w:r>
      <w:r w:rsidR="00C026A6" w:rsidRPr="00EA59C0">
        <w:t xml:space="preserve"> </w:t>
      </w:r>
      <w:r w:rsidR="00AA0CAD" w:rsidRPr="00EA59C0">
        <w:t>grant</w:t>
      </w:r>
      <w:r w:rsidR="00C026A6" w:rsidRPr="00EA59C0">
        <w:t xml:space="preserve"> </w:t>
      </w:r>
      <w:r w:rsidR="00AA0CAD" w:rsidRPr="00EA59C0">
        <w:t>with</w:t>
      </w:r>
      <w:r w:rsidR="00C026A6" w:rsidRPr="00EA59C0">
        <w:t xml:space="preserve"> </w:t>
      </w:r>
      <w:r w:rsidR="005E427A" w:rsidRPr="00EA59C0">
        <w:t>consortium</w:t>
      </w:r>
      <w:r w:rsidR="00C026A6" w:rsidRPr="00EA59C0">
        <w:t xml:space="preserve"> </w:t>
      </w:r>
      <w:r w:rsidR="005E427A" w:rsidRPr="00EA59C0">
        <w:t>member</w:t>
      </w:r>
      <w:r w:rsidR="00C026A6" w:rsidRPr="00EA59C0">
        <w:t xml:space="preserve"> </w:t>
      </w:r>
      <w:r w:rsidR="005E427A" w:rsidRPr="00EA59C0">
        <w:t>institutions</w:t>
      </w:r>
      <w:r w:rsidR="00C026A6" w:rsidRPr="00EA59C0">
        <w:t xml:space="preserve"> </w:t>
      </w:r>
      <w:r w:rsidR="00AA0CAD" w:rsidRPr="00EA59C0">
        <w:t>receiving</w:t>
      </w:r>
      <w:r w:rsidR="00C026A6" w:rsidRPr="00EA59C0">
        <w:t xml:space="preserve"> </w:t>
      </w:r>
      <w:r w:rsidR="00AA0CAD" w:rsidRPr="00EA59C0">
        <w:t>funding</w:t>
      </w:r>
      <w:r w:rsidR="00C026A6" w:rsidRPr="00EA59C0">
        <w:t xml:space="preserve"> </w:t>
      </w:r>
      <w:r w:rsidR="00AA0CAD" w:rsidRPr="00EA59C0">
        <w:t>as</w:t>
      </w:r>
      <w:r w:rsidR="00C026A6" w:rsidRPr="00EA59C0">
        <w:t xml:space="preserve"> </w:t>
      </w:r>
      <w:r w:rsidR="005E427A" w:rsidRPr="00EA59C0">
        <w:t>subgrantees</w:t>
      </w:r>
      <w:r w:rsidRPr="00EA59C0">
        <w:t>.</w:t>
      </w:r>
      <w:r w:rsidR="00C026A6" w:rsidRPr="00EA59C0">
        <w:t xml:space="preserve">  </w:t>
      </w:r>
      <w:r w:rsidR="006E52DB" w:rsidRPr="00EA59C0">
        <w:t>As</w:t>
      </w:r>
      <w:r w:rsidR="00C026A6" w:rsidRPr="00EA59C0">
        <w:t xml:space="preserve"> </w:t>
      </w:r>
      <w:r w:rsidR="006E52DB" w:rsidRPr="00EA59C0">
        <w:t>the</w:t>
      </w:r>
      <w:r w:rsidR="00C026A6" w:rsidRPr="00EA59C0">
        <w:t xml:space="preserve"> </w:t>
      </w:r>
      <w:r w:rsidR="006E52DB" w:rsidRPr="00EA59C0">
        <w:t>Lead</w:t>
      </w:r>
      <w:r w:rsidR="00C026A6" w:rsidRPr="00EA59C0">
        <w:t xml:space="preserve"> </w:t>
      </w:r>
      <w:r w:rsidR="006E52DB" w:rsidRPr="00EA59C0">
        <w:t>Institution</w:t>
      </w:r>
      <w:r w:rsidR="00C026A6" w:rsidRPr="00EA59C0">
        <w:t xml:space="preserve"> </w:t>
      </w:r>
      <w:r w:rsidR="006E52DB" w:rsidRPr="00EA59C0">
        <w:t>and</w:t>
      </w:r>
      <w:r w:rsidR="00C026A6" w:rsidRPr="00EA59C0">
        <w:t xml:space="preserve"> </w:t>
      </w:r>
      <w:r w:rsidR="006E52DB" w:rsidRPr="00EA59C0">
        <w:t>prime</w:t>
      </w:r>
      <w:r w:rsidR="00C026A6" w:rsidRPr="00EA59C0">
        <w:t xml:space="preserve"> </w:t>
      </w:r>
      <w:r w:rsidR="006E52DB" w:rsidRPr="00EA59C0">
        <w:t>grantee,</w:t>
      </w:r>
      <w:r w:rsidR="00C026A6" w:rsidRPr="00EA59C0">
        <w:t xml:space="preserve"> </w:t>
      </w:r>
      <w:r w:rsidR="00AA0CAD" w:rsidRPr="00EA59C0">
        <w:t>the</w:t>
      </w:r>
      <w:r w:rsidR="00C026A6" w:rsidRPr="00EA59C0">
        <w:t xml:space="preserve"> </w:t>
      </w:r>
      <w:r w:rsidR="00AA0CAD" w:rsidRPr="00EA59C0">
        <w:t>Lead</w:t>
      </w:r>
      <w:r w:rsidR="00C026A6" w:rsidRPr="00EA59C0">
        <w:t xml:space="preserve"> </w:t>
      </w:r>
      <w:r w:rsidRPr="00EA59C0">
        <w:t>Institution</w:t>
      </w:r>
      <w:r w:rsidR="00C026A6" w:rsidRPr="00EA59C0">
        <w:t xml:space="preserve"> </w:t>
      </w:r>
      <w:r w:rsidR="006E52DB" w:rsidRPr="00EA59C0">
        <w:t>has</w:t>
      </w:r>
      <w:r w:rsidR="00C026A6" w:rsidRPr="00EA59C0">
        <w:t xml:space="preserve"> </w:t>
      </w:r>
      <w:r w:rsidRPr="00EA59C0">
        <w:t>additional</w:t>
      </w:r>
      <w:r w:rsidR="00C026A6" w:rsidRPr="00EA59C0">
        <w:t xml:space="preserve"> </w:t>
      </w:r>
      <w:r w:rsidRPr="00EA59C0">
        <w:t>responsibilities,</w:t>
      </w:r>
      <w:r w:rsidR="00C026A6" w:rsidRPr="00EA59C0">
        <w:t xml:space="preserve"> </w:t>
      </w:r>
      <w:r w:rsidRPr="00EA59C0">
        <w:t>as</w:t>
      </w:r>
      <w:r w:rsidR="00C026A6" w:rsidRPr="00EA59C0">
        <w:t xml:space="preserve"> </w:t>
      </w:r>
      <w:r w:rsidRPr="00EA59C0">
        <w:t>outlined</w:t>
      </w:r>
      <w:r w:rsidR="00C026A6" w:rsidRPr="00EA59C0">
        <w:t xml:space="preserve"> </w:t>
      </w:r>
      <w:r w:rsidRPr="00EA59C0">
        <w:t>below.</w:t>
      </w:r>
    </w:p>
    <w:p w:rsidR="005845D7" w:rsidRPr="00EA59C0" w:rsidRDefault="005845D7" w:rsidP="00D03948">
      <w:pPr>
        <w:ind w:left="1080"/>
      </w:pPr>
    </w:p>
    <w:p w:rsidR="00EE288B" w:rsidRPr="00EA59C0" w:rsidRDefault="00EE288B" w:rsidP="00D03948">
      <w:pPr>
        <w:pStyle w:val="ListParagraph"/>
        <w:numPr>
          <w:ilvl w:val="3"/>
          <w:numId w:val="17"/>
        </w:numPr>
        <w:rPr>
          <w:b/>
        </w:rPr>
      </w:pPr>
      <w:r w:rsidRPr="00EA59C0">
        <w:rPr>
          <w:b/>
        </w:rPr>
        <w:t>Consortium</w:t>
      </w:r>
      <w:r w:rsidR="00C026A6" w:rsidRPr="00EA59C0">
        <w:rPr>
          <w:b/>
        </w:rPr>
        <w:t xml:space="preserve"> </w:t>
      </w:r>
      <w:r w:rsidRPr="00EA59C0">
        <w:rPr>
          <w:b/>
        </w:rPr>
        <w:t>Applications</w:t>
      </w:r>
    </w:p>
    <w:p w:rsidR="00BD7A37" w:rsidRPr="00EA59C0" w:rsidRDefault="00EE288B" w:rsidP="00AA3726">
      <w:pPr>
        <w:pStyle w:val="ListParagraph"/>
        <w:numPr>
          <w:ilvl w:val="0"/>
          <w:numId w:val="5"/>
        </w:numPr>
        <w:ind w:left="1890" w:hanging="450"/>
      </w:pPr>
      <w:r w:rsidRPr="00EA59C0">
        <w:t>Eligible</w:t>
      </w:r>
      <w:r w:rsidR="00C026A6" w:rsidRPr="00EA59C0">
        <w:t xml:space="preserve"> </w:t>
      </w:r>
      <w:r w:rsidRPr="00EA59C0">
        <w:t>applicants</w:t>
      </w:r>
      <w:r w:rsidR="00C026A6" w:rsidRPr="00EA59C0">
        <w:t xml:space="preserve"> </w:t>
      </w:r>
      <w:r w:rsidRPr="00EA59C0">
        <w:t>who</w:t>
      </w:r>
      <w:r w:rsidR="00C026A6" w:rsidRPr="00EA59C0">
        <w:t xml:space="preserve"> </w:t>
      </w:r>
      <w:r w:rsidRPr="00EA59C0">
        <w:t>have</w:t>
      </w:r>
      <w:r w:rsidR="00C026A6" w:rsidRPr="00EA59C0">
        <w:t xml:space="preserve"> </w:t>
      </w:r>
      <w:r w:rsidRPr="00EA59C0">
        <w:t>come</w:t>
      </w:r>
      <w:r w:rsidR="00C026A6" w:rsidRPr="00EA59C0">
        <w:t xml:space="preserve"> </w:t>
      </w:r>
      <w:r w:rsidRPr="00EA59C0">
        <w:t>together</w:t>
      </w:r>
      <w:r w:rsidR="00C026A6" w:rsidRPr="00EA59C0">
        <w:t xml:space="preserve"> </w:t>
      </w:r>
      <w:r w:rsidRPr="00EA59C0">
        <w:t>as</w:t>
      </w:r>
      <w:r w:rsidR="00C026A6" w:rsidRPr="00EA59C0">
        <w:t xml:space="preserve"> </w:t>
      </w:r>
      <w:r w:rsidRPr="00EA59C0">
        <w:t>a</w:t>
      </w:r>
      <w:r w:rsidR="00C026A6" w:rsidRPr="00EA59C0">
        <w:t xml:space="preserve"> </w:t>
      </w:r>
      <w:r w:rsidRPr="00EA59C0">
        <w:t>consortium</w:t>
      </w:r>
      <w:r w:rsidR="00C026A6" w:rsidRPr="00EA59C0">
        <w:t xml:space="preserve"> </w:t>
      </w:r>
      <w:r w:rsidRPr="00EA59C0">
        <w:t>will</w:t>
      </w:r>
      <w:r w:rsidR="00C026A6" w:rsidRPr="00EA59C0">
        <w:t xml:space="preserve"> </w:t>
      </w:r>
      <w:r w:rsidRPr="00EA59C0">
        <w:t>submit</w:t>
      </w:r>
      <w:r w:rsidR="00C026A6" w:rsidRPr="00EA59C0">
        <w:t xml:space="preserve"> </w:t>
      </w:r>
      <w:r w:rsidRPr="00EA59C0">
        <w:t>one</w:t>
      </w:r>
      <w:r w:rsidR="00C026A6" w:rsidRPr="00EA59C0">
        <w:t xml:space="preserve"> </w:t>
      </w:r>
      <w:r w:rsidRPr="00EA59C0">
        <w:t>application</w:t>
      </w:r>
      <w:r w:rsidR="00C026A6" w:rsidRPr="00EA59C0">
        <w:t xml:space="preserve"> </w:t>
      </w:r>
      <w:r w:rsidRPr="00EA59C0">
        <w:t>package</w:t>
      </w:r>
      <w:r w:rsidR="00C026A6" w:rsidRPr="00EA59C0">
        <w:t xml:space="preserve"> </w:t>
      </w:r>
      <w:r w:rsidRPr="00EA59C0">
        <w:t>to</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The</w:t>
      </w:r>
      <w:r w:rsidR="00C026A6" w:rsidRPr="00EA59C0">
        <w:t xml:space="preserve"> </w:t>
      </w:r>
      <w:r w:rsidRPr="00EA59C0">
        <w:t>consortium</w:t>
      </w:r>
      <w:r w:rsidR="00C026A6" w:rsidRPr="00EA59C0">
        <w:t xml:space="preserve"> </w:t>
      </w:r>
      <w:r w:rsidRPr="00EA59C0">
        <w:t>application</w:t>
      </w:r>
      <w:r w:rsidR="00C026A6" w:rsidRPr="00EA59C0">
        <w:t xml:space="preserve"> </w:t>
      </w:r>
      <w:r w:rsidRPr="00EA59C0">
        <w:t>package</w:t>
      </w:r>
      <w:r w:rsidR="00C026A6" w:rsidRPr="00EA59C0">
        <w:t xml:space="preserve"> </w:t>
      </w:r>
      <w:r w:rsidRPr="00EA59C0">
        <w:t>will</w:t>
      </w:r>
      <w:r w:rsidR="00C026A6" w:rsidRPr="00EA59C0">
        <w:t xml:space="preserve"> </w:t>
      </w:r>
      <w:r w:rsidRPr="00EA59C0">
        <w:t>include</w:t>
      </w:r>
      <w:r w:rsidR="00C026A6" w:rsidRPr="00EA59C0">
        <w:t xml:space="preserve"> </w:t>
      </w:r>
      <w:r w:rsidRPr="00EA59C0">
        <w:t>the</w:t>
      </w:r>
      <w:r w:rsidR="00C026A6" w:rsidRPr="00EA59C0">
        <w:t xml:space="preserve"> </w:t>
      </w:r>
      <w:r w:rsidRPr="00EA59C0">
        <w:t>following:</w:t>
      </w:r>
      <w:r w:rsidR="00C026A6" w:rsidRPr="00EA59C0">
        <w:t xml:space="preserve"> </w:t>
      </w:r>
      <w:r w:rsidR="00BD7A37" w:rsidRPr="00EA59C0">
        <w:t>An</w:t>
      </w:r>
      <w:r w:rsidR="00C026A6" w:rsidRPr="00EA59C0">
        <w:t xml:space="preserve"> </w:t>
      </w:r>
      <w:r w:rsidR="00BD7A37" w:rsidRPr="00EA59C0">
        <w:t>SF-424</w:t>
      </w:r>
      <w:r w:rsidR="00C026A6" w:rsidRPr="00EA59C0">
        <w:t xml:space="preserve"> </w:t>
      </w:r>
      <w:r w:rsidR="00BD7A37" w:rsidRPr="00EA59C0">
        <w:t>for</w:t>
      </w:r>
      <w:r w:rsidR="00C026A6" w:rsidRPr="00EA59C0">
        <w:t xml:space="preserve"> </w:t>
      </w:r>
      <w:r w:rsidR="00BD7A37" w:rsidRPr="00EA59C0">
        <w:t>the</w:t>
      </w:r>
      <w:r w:rsidR="00C026A6" w:rsidRPr="00EA59C0">
        <w:t xml:space="preserve"> </w:t>
      </w:r>
      <w:r w:rsidR="00BD7A37" w:rsidRPr="00EA59C0">
        <w:t>Lead</w:t>
      </w:r>
      <w:r w:rsidR="00C026A6" w:rsidRPr="00EA59C0">
        <w:t xml:space="preserve"> </w:t>
      </w:r>
      <w:r w:rsidR="00BD7A37" w:rsidRPr="00EA59C0">
        <w:t>Institution</w:t>
      </w:r>
      <w:r w:rsidR="00C026A6" w:rsidRPr="00EA59C0">
        <w:t xml:space="preserve"> </w:t>
      </w:r>
      <w:r w:rsidR="00BD7A37" w:rsidRPr="00EA59C0">
        <w:t>and</w:t>
      </w:r>
      <w:r w:rsidR="00C026A6" w:rsidRPr="00EA59C0">
        <w:t xml:space="preserve"> </w:t>
      </w:r>
      <w:r w:rsidR="00BD7A37" w:rsidRPr="00EA59C0">
        <w:t>a</w:t>
      </w:r>
      <w:r w:rsidR="00C026A6" w:rsidRPr="00EA59C0">
        <w:t xml:space="preserve"> </w:t>
      </w:r>
      <w:r w:rsidR="00BD7A37" w:rsidRPr="00EA59C0">
        <w:t>single</w:t>
      </w:r>
      <w:r w:rsidR="00C026A6" w:rsidRPr="00EA59C0">
        <w:t xml:space="preserve"> </w:t>
      </w:r>
      <w:r w:rsidR="00BD7A37" w:rsidRPr="00EA59C0">
        <w:t>integrated</w:t>
      </w:r>
      <w:r w:rsidR="00C026A6" w:rsidRPr="00EA59C0">
        <w:t xml:space="preserve"> </w:t>
      </w:r>
      <w:r w:rsidR="00BD7A37" w:rsidRPr="00EA59C0">
        <w:t>budget</w:t>
      </w:r>
      <w:r w:rsidR="00C026A6" w:rsidRPr="00EA59C0">
        <w:t xml:space="preserve"> </w:t>
      </w:r>
      <w:r w:rsidR="00BD7A37" w:rsidRPr="00EA59C0">
        <w:t>narrative</w:t>
      </w:r>
      <w:r w:rsidR="00C026A6" w:rsidRPr="00EA59C0">
        <w:t xml:space="preserve"> </w:t>
      </w:r>
      <w:r w:rsidR="00BD7A37" w:rsidRPr="00EA59C0">
        <w:t>for</w:t>
      </w:r>
      <w:r w:rsidR="00C026A6" w:rsidRPr="00EA59C0">
        <w:t xml:space="preserve"> </w:t>
      </w:r>
      <w:r w:rsidR="00BD7A37" w:rsidRPr="00EA59C0">
        <w:t>the</w:t>
      </w:r>
      <w:r w:rsidR="00C026A6" w:rsidRPr="00EA59C0">
        <w:t xml:space="preserve"> </w:t>
      </w:r>
      <w:r w:rsidR="00BD7A37" w:rsidRPr="00EA59C0">
        <w:t>consortium</w:t>
      </w:r>
      <w:r w:rsidR="00C026A6" w:rsidRPr="00EA59C0">
        <w:t xml:space="preserve"> </w:t>
      </w:r>
      <w:r w:rsidR="00BD7A37" w:rsidRPr="00EA59C0">
        <w:t>member</w:t>
      </w:r>
      <w:r w:rsidR="00651D32" w:rsidRPr="00EA59C0">
        <w:t>(s)</w:t>
      </w:r>
      <w:r w:rsidR="00C026A6" w:rsidRPr="00EA59C0">
        <w:t xml:space="preserve"> </w:t>
      </w:r>
      <w:r w:rsidR="00BD7A37" w:rsidRPr="00EA59C0">
        <w:t>providing</w:t>
      </w:r>
      <w:r w:rsidR="00C026A6" w:rsidRPr="00EA59C0">
        <w:t xml:space="preserve"> </w:t>
      </w:r>
      <w:r w:rsidR="00BD7A37" w:rsidRPr="00EA59C0">
        <w:t>detail</w:t>
      </w:r>
      <w:r w:rsidR="00C026A6" w:rsidRPr="00EA59C0">
        <w:t xml:space="preserve"> </w:t>
      </w:r>
      <w:r w:rsidR="00BD7A37" w:rsidRPr="00EA59C0">
        <w:t>for</w:t>
      </w:r>
      <w:r w:rsidR="00C026A6" w:rsidRPr="00EA59C0">
        <w:t xml:space="preserve"> </w:t>
      </w:r>
      <w:r w:rsidR="00BD7A37" w:rsidRPr="00EA59C0">
        <w:t>each</w:t>
      </w:r>
      <w:r w:rsidR="00C026A6" w:rsidRPr="00EA59C0">
        <w:t xml:space="preserve"> </w:t>
      </w:r>
      <w:r w:rsidR="00BD7A37" w:rsidRPr="00EA59C0">
        <w:t>line</w:t>
      </w:r>
      <w:r w:rsidR="00C026A6" w:rsidRPr="00EA59C0">
        <w:t xml:space="preserve"> </w:t>
      </w:r>
      <w:r w:rsidR="00BD7A37" w:rsidRPr="00EA59C0">
        <w:t>of</w:t>
      </w:r>
      <w:r w:rsidR="00C026A6" w:rsidRPr="00EA59C0">
        <w:t xml:space="preserve"> </w:t>
      </w:r>
      <w:r w:rsidR="00BD7A37" w:rsidRPr="00EA59C0">
        <w:t>the</w:t>
      </w:r>
      <w:r w:rsidR="00C026A6" w:rsidRPr="00EA59C0">
        <w:t xml:space="preserve"> </w:t>
      </w:r>
      <w:r w:rsidR="00BD7A37" w:rsidRPr="00EA59C0">
        <w:t>SF-424A</w:t>
      </w:r>
      <w:r w:rsidR="00C026A6" w:rsidRPr="00EA59C0">
        <w:t xml:space="preserve"> </w:t>
      </w:r>
      <w:r w:rsidR="00BD7A37" w:rsidRPr="00EA59C0">
        <w:t>that</w:t>
      </w:r>
      <w:r w:rsidR="00C026A6" w:rsidRPr="00EA59C0">
        <w:t xml:space="preserve"> </w:t>
      </w:r>
      <w:r w:rsidR="00BD7A37" w:rsidRPr="00EA59C0">
        <w:t>corresponds</w:t>
      </w:r>
      <w:r w:rsidR="00C026A6" w:rsidRPr="00EA59C0">
        <w:t xml:space="preserve"> </w:t>
      </w:r>
      <w:r w:rsidR="00BD7A37" w:rsidRPr="00EA59C0">
        <w:t>with</w:t>
      </w:r>
      <w:r w:rsidR="00C026A6" w:rsidRPr="00EA59C0">
        <w:t xml:space="preserve"> </w:t>
      </w:r>
      <w:r w:rsidR="00BD7A37" w:rsidRPr="00EA59C0">
        <w:t>each</w:t>
      </w:r>
      <w:r w:rsidR="00C026A6" w:rsidRPr="00EA59C0">
        <w:t xml:space="preserve"> </w:t>
      </w:r>
      <w:r w:rsidR="00BD7A37" w:rsidRPr="00EA59C0">
        <w:t>member</w:t>
      </w:r>
      <w:r w:rsidR="00C026A6" w:rsidRPr="00EA59C0">
        <w:t xml:space="preserve"> </w:t>
      </w:r>
      <w:r w:rsidR="00BD7A37" w:rsidRPr="00EA59C0">
        <w:t>in</w:t>
      </w:r>
      <w:r w:rsidR="00C026A6" w:rsidRPr="00EA59C0">
        <w:t xml:space="preserve"> </w:t>
      </w:r>
      <w:r w:rsidR="00BD7A37" w:rsidRPr="00EA59C0">
        <w:t>the</w:t>
      </w:r>
      <w:r w:rsidR="00C026A6" w:rsidRPr="00EA59C0">
        <w:t xml:space="preserve"> </w:t>
      </w:r>
      <w:r w:rsidR="00BD7A37" w:rsidRPr="00EA59C0">
        <w:t>consortium</w:t>
      </w:r>
      <w:r w:rsidR="00C026A6" w:rsidRPr="00EA59C0">
        <w:t xml:space="preserve"> </w:t>
      </w:r>
      <w:r w:rsidR="00BD7A37" w:rsidRPr="00EA59C0">
        <w:t>as</w:t>
      </w:r>
      <w:r w:rsidR="00C026A6" w:rsidRPr="00EA59C0">
        <w:t xml:space="preserve"> </w:t>
      </w:r>
      <w:r w:rsidR="00BD7A37" w:rsidRPr="00EA59C0">
        <w:t>well</w:t>
      </w:r>
      <w:r w:rsidR="00C026A6" w:rsidRPr="00EA59C0">
        <w:t xml:space="preserve"> </w:t>
      </w:r>
      <w:r w:rsidR="00BD7A37" w:rsidRPr="00EA59C0">
        <w:t>as</w:t>
      </w:r>
      <w:r w:rsidR="00C026A6" w:rsidRPr="00EA59C0">
        <w:t xml:space="preserve"> </w:t>
      </w:r>
      <w:r w:rsidR="00BD7A37" w:rsidRPr="00EA59C0">
        <w:t>total</w:t>
      </w:r>
      <w:r w:rsidR="00C026A6" w:rsidRPr="00EA59C0">
        <w:t xml:space="preserve"> </w:t>
      </w:r>
      <w:r w:rsidR="00BD7A37" w:rsidRPr="00EA59C0">
        <w:t>amounts</w:t>
      </w:r>
      <w:r w:rsidR="00C026A6" w:rsidRPr="00EA59C0">
        <w:t xml:space="preserve"> </w:t>
      </w:r>
      <w:r w:rsidR="00BD7A37" w:rsidRPr="00EA59C0">
        <w:t>for</w:t>
      </w:r>
      <w:r w:rsidR="00C026A6" w:rsidRPr="00EA59C0">
        <w:t xml:space="preserve"> </w:t>
      </w:r>
      <w:r w:rsidR="00BD7A37" w:rsidRPr="00EA59C0">
        <w:t>each</w:t>
      </w:r>
      <w:r w:rsidR="00C026A6" w:rsidRPr="00EA59C0">
        <w:t xml:space="preserve"> </w:t>
      </w:r>
      <w:r w:rsidR="00BD7A37" w:rsidRPr="00EA59C0">
        <w:t>member</w:t>
      </w:r>
      <w:r w:rsidR="00C026A6" w:rsidRPr="00EA59C0">
        <w:t xml:space="preserve"> </w:t>
      </w:r>
      <w:r w:rsidR="00BD7A37" w:rsidRPr="00EA59C0">
        <w:t>in</w:t>
      </w:r>
      <w:r w:rsidR="00C026A6" w:rsidRPr="00EA59C0">
        <w:t xml:space="preserve"> </w:t>
      </w:r>
      <w:r w:rsidR="00BD7A37" w:rsidRPr="00EA59C0">
        <w:t>the</w:t>
      </w:r>
      <w:r w:rsidR="00C026A6" w:rsidRPr="00EA59C0">
        <w:t xml:space="preserve"> </w:t>
      </w:r>
      <w:r w:rsidR="00BD7A37" w:rsidRPr="00EA59C0">
        <w:t>consortium.</w:t>
      </w:r>
      <w:r w:rsidR="00C026A6" w:rsidRPr="00EA59C0">
        <w:t xml:space="preserve">  </w:t>
      </w:r>
    </w:p>
    <w:p w:rsidR="00250AED" w:rsidRPr="00EA59C0" w:rsidRDefault="00250AED" w:rsidP="00AA3726">
      <w:pPr>
        <w:pStyle w:val="ListParagraph"/>
        <w:ind w:left="1890" w:hanging="450"/>
      </w:pPr>
    </w:p>
    <w:p w:rsidR="006E52DB" w:rsidRPr="00EA59C0" w:rsidRDefault="006E52DB" w:rsidP="00AA3726">
      <w:pPr>
        <w:pStyle w:val="ListParagraph"/>
        <w:numPr>
          <w:ilvl w:val="0"/>
          <w:numId w:val="5"/>
        </w:numPr>
        <w:ind w:left="1890" w:hanging="450"/>
      </w:pPr>
      <w:r w:rsidRPr="00EA59C0">
        <w:t>A</w:t>
      </w:r>
      <w:r w:rsidR="00C026A6" w:rsidRPr="00EA59C0">
        <w:t xml:space="preserve"> </w:t>
      </w:r>
      <w:r w:rsidRPr="00EA59C0">
        <w:t>consortium</w:t>
      </w:r>
      <w:r w:rsidR="00C026A6" w:rsidRPr="00EA59C0">
        <w:t xml:space="preserve"> </w:t>
      </w:r>
      <w:r w:rsidRPr="00EA59C0">
        <w:t>agreement,</w:t>
      </w:r>
      <w:r w:rsidR="00C026A6" w:rsidRPr="00EA59C0">
        <w:t xml:space="preserve"> </w:t>
      </w:r>
      <w:r w:rsidRPr="00EA59C0">
        <w:t>signed</w:t>
      </w:r>
      <w:r w:rsidR="00C026A6" w:rsidRPr="00EA59C0">
        <w:t xml:space="preserve"> </w:t>
      </w:r>
      <w:r w:rsidRPr="00EA59C0">
        <w:t>by</w:t>
      </w:r>
      <w:r w:rsidR="00C026A6" w:rsidRPr="00EA59C0">
        <w:t xml:space="preserve"> </w:t>
      </w:r>
      <w:r w:rsidRPr="00EA59C0">
        <w:t>all</w:t>
      </w:r>
      <w:r w:rsidR="00C026A6" w:rsidRPr="00EA59C0">
        <w:t xml:space="preserve"> </w:t>
      </w:r>
      <w:r w:rsidRPr="00EA59C0">
        <w:t>members</w:t>
      </w:r>
      <w:r w:rsidR="00C026A6" w:rsidRPr="00EA59C0">
        <w:t xml:space="preserve"> </w:t>
      </w:r>
      <w:r w:rsidRPr="00EA59C0">
        <w:t>of</w:t>
      </w:r>
      <w:r w:rsidR="00C026A6" w:rsidRPr="00EA59C0">
        <w:t xml:space="preserve"> </w:t>
      </w:r>
      <w:r w:rsidRPr="00EA59C0">
        <w:t>the</w:t>
      </w:r>
      <w:r w:rsidR="00C026A6" w:rsidRPr="00EA59C0">
        <w:t xml:space="preserve"> </w:t>
      </w:r>
      <w:r w:rsidRPr="00EA59C0">
        <w:t>consortium,</w:t>
      </w:r>
      <w:r w:rsidR="00C026A6" w:rsidRPr="00EA59C0">
        <w:t xml:space="preserve"> </w:t>
      </w:r>
      <w:r w:rsidRPr="00EA59C0">
        <w:t>indicating</w:t>
      </w:r>
      <w:r w:rsidR="00C026A6" w:rsidRPr="00EA59C0">
        <w:t xml:space="preserve"> </w:t>
      </w:r>
      <w:r w:rsidRPr="00EA59C0">
        <w:t>their</w:t>
      </w:r>
      <w:r w:rsidR="00C026A6" w:rsidRPr="00EA59C0">
        <w:t xml:space="preserve"> </w:t>
      </w:r>
      <w:r w:rsidRPr="00EA59C0">
        <w:t>commitment</w:t>
      </w:r>
      <w:r w:rsidR="00C026A6" w:rsidRPr="00EA59C0">
        <w:t xml:space="preserve"> </w:t>
      </w:r>
      <w:r w:rsidRPr="00EA59C0">
        <w:t>to</w:t>
      </w:r>
      <w:r w:rsidR="00C026A6" w:rsidRPr="00EA59C0">
        <w:t xml:space="preserve"> </w:t>
      </w:r>
      <w:r w:rsidRPr="00EA59C0">
        <w:t>participate</w:t>
      </w:r>
      <w:r w:rsidR="00C026A6" w:rsidRPr="00EA59C0">
        <w:t xml:space="preserve"> </w:t>
      </w:r>
      <w:r w:rsidRPr="00EA59C0">
        <w:t>in</w:t>
      </w:r>
      <w:r w:rsidR="00C026A6" w:rsidRPr="00EA59C0">
        <w:t xml:space="preserve"> </w:t>
      </w:r>
      <w:r w:rsidRPr="00EA59C0">
        <w:t>the</w:t>
      </w:r>
      <w:r w:rsidR="00C026A6" w:rsidRPr="00EA59C0">
        <w:t xml:space="preserve"> </w:t>
      </w:r>
      <w:r w:rsidRPr="00EA59C0">
        <w:t>project</w:t>
      </w:r>
      <w:r w:rsidR="00C026A6" w:rsidRPr="00EA59C0">
        <w:t xml:space="preserve"> </w:t>
      </w:r>
      <w:r w:rsidRPr="00EA59C0">
        <w:t>and</w:t>
      </w:r>
      <w:r w:rsidR="00C026A6" w:rsidRPr="00EA59C0">
        <w:t xml:space="preserve"> </w:t>
      </w:r>
      <w:r w:rsidRPr="00EA59C0">
        <w:t>acknowledging</w:t>
      </w:r>
      <w:r w:rsidR="00C026A6" w:rsidRPr="00EA59C0">
        <w:t xml:space="preserve"> </w:t>
      </w:r>
      <w:r w:rsidRPr="00EA59C0">
        <w:t>they</w:t>
      </w:r>
      <w:r w:rsidR="00C026A6" w:rsidRPr="00EA59C0">
        <w:t xml:space="preserve"> </w:t>
      </w:r>
      <w:r w:rsidRPr="00EA59C0">
        <w:t>will</w:t>
      </w:r>
      <w:r w:rsidR="00C026A6" w:rsidRPr="00EA59C0">
        <w:t xml:space="preserve"> </w:t>
      </w:r>
      <w:r w:rsidRPr="00EA59C0">
        <w:t>be</w:t>
      </w:r>
      <w:r w:rsidR="00C026A6" w:rsidRPr="00EA59C0">
        <w:t xml:space="preserve"> </w:t>
      </w:r>
      <w:r w:rsidRPr="00EA59C0">
        <w:t>subrecipients</w:t>
      </w:r>
      <w:r w:rsidR="00C026A6" w:rsidRPr="00EA59C0">
        <w:t xml:space="preserve"> </w:t>
      </w:r>
      <w:r w:rsidRPr="00EA59C0">
        <w:t>under</w:t>
      </w:r>
      <w:r w:rsidR="00C026A6" w:rsidRPr="00EA59C0">
        <w:t xml:space="preserve"> </w:t>
      </w:r>
      <w:r w:rsidRPr="00EA59C0">
        <w:t>the</w:t>
      </w:r>
      <w:r w:rsidR="00C026A6" w:rsidRPr="00EA59C0">
        <w:t xml:space="preserve"> </w:t>
      </w:r>
      <w:r w:rsidRPr="00EA59C0">
        <w:t>DOL</w:t>
      </w:r>
      <w:r w:rsidR="00C026A6" w:rsidRPr="00EA59C0">
        <w:t xml:space="preserve"> </w:t>
      </w:r>
      <w:r w:rsidRPr="00EA59C0">
        <w:t>award.</w:t>
      </w:r>
      <w:r w:rsidR="00C026A6" w:rsidRPr="00EA59C0">
        <w:t xml:space="preserve">    </w:t>
      </w:r>
    </w:p>
    <w:p w:rsidR="006E52DB" w:rsidRPr="00EA59C0" w:rsidRDefault="006E52DB" w:rsidP="00AA3726">
      <w:pPr>
        <w:pStyle w:val="ListParagraph"/>
        <w:ind w:left="1890" w:hanging="450"/>
      </w:pPr>
    </w:p>
    <w:p w:rsidR="00EE288B" w:rsidRPr="00EA59C0" w:rsidRDefault="00EE288B" w:rsidP="00AA3726">
      <w:pPr>
        <w:pStyle w:val="ListParagraph"/>
        <w:numPr>
          <w:ilvl w:val="0"/>
          <w:numId w:val="5"/>
        </w:numPr>
        <w:ind w:left="1890" w:hanging="450"/>
      </w:pPr>
      <w:r w:rsidRPr="00EA59C0">
        <w:t>A</w:t>
      </w:r>
      <w:r w:rsidR="00C026A6" w:rsidRPr="00EA59C0">
        <w:t xml:space="preserve"> </w:t>
      </w:r>
      <w:r w:rsidRPr="00EA59C0">
        <w:t>single</w:t>
      </w:r>
      <w:r w:rsidR="00C026A6" w:rsidRPr="00EA59C0">
        <w:t xml:space="preserve"> </w:t>
      </w:r>
      <w:r w:rsidRPr="00EA59C0">
        <w:t>integrated</w:t>
      </w:r>
      <w:r w:rsidR="00C026A6" w:rsidRPr="00EA59C0">
        <w:t xml:space="preserve"> </w:t>
      </w:r>
      <w:r w:rsidRPr="00EA59C0">
        <w:t>Project</w:t>
      </w:r>
      <w:r w:rsidR="00C026A6" w:rsidRPr="00EA59C0">
        <w:t xml:space="preserve"> </w:t>
      </w:r>
      <w:r w:rsidRPr="00EA59C0">
        <w:t>Narrative</w:t>
      </w:r>
      <w:r w:rsidR="00C026A6" w:rsidRPr="00EA59C0">
        <w:t xml:space="preserve"> </w:t>
      </w:r>
      <w:r w:rsidRPr="00EA59C0">
        <w:t>that</w:t>
      </w:r>
      <w:r w:rsidR="00C026A6" w:rsidRPr="00EA59C0">
        <w:t xml:space="preserve"> </w:t>
      </w:r>
      <w:r w:rsidRPr="00EA59C0">
        <w:t>meets</w:t>
      </w:r>
      <w:r w:rsidR="00C026A6" w:rsidRPr="00EA59C0">
        <w:t xml:space="preserve"> </w:t>
      </w:r>
      <w:r w:rsidRPr="00EA59C0">
        <w:t>the</w:t>
      </w:r>
      <w:r w:rsidR="00C026A6" w:rsidRPr="00EA59C0">
        <w:t xml:space="preserve"> </w:t>
      </w:r>
      <w:r w:rsidRPr="00EA59C0">
        <w:t>requirements</w:t>
      </w:r>
      <w:r w:rsidR="00C026A6" w:rsidRPr="00EA59C0">
        <w:t xml:space="preserve"> </w:t>
      </w:r>
      <w:r w:rsidRPr="00EA59C0">
        <w:t>contained</w:t>
      </w:r>
      <w:r w:rsidR="00C026A6" w:rsidRPr="00EA59C0">
        <w:t xml:space="preserve"> </w:t>
      </w:r>
      <w:r w:rsidRPr="00EA59C0">
        <w:t>in</w:t>
      </w:r>
      <w:r w:rsidR="00C026A6" w:rsidRPr="00EA59C0">
        <w:t xml:space="preserve"> </w:t>
      </w:r>
      <w:r w:rsidRPr="00EA59C0">
        <w:t>this</w:t>
      </w:r>
      <w:r w:rsidR="00C026A6" w:rsidRPr="00EA59C0">
        <w:t xml:space="preserve"> </w:t>
      </w:r>
      <w:r w:rsidRPr="00EA59C0">
        <w:t>SGA</w:t>
      </w:r>
      <w:r w:rsidR="00C026A6" w:rsidRPr="00EA59C0">
        <w:t xml:space="preserve"> </w:t>
      </w:r>
      <w:r w:rsidRPr="00EA59C0">
        <w:t>for</w:t>
      </w:r>
      <w:r w:rsidR="00C026A6" w:rsidRPr="00EA59C0">
        <w:t xml:space="preserve"> </w:t>
      </w:r>
      <w:r w:rsidRPr="00EA59C0">
        <w:t>the</w:t>
      </w:r>
      <w:r w:rsidR="00C026A6" w:rsidRPr="00EA59C0">
        <w:t xml:space="preserve"> </w:t>
      </w:r>
      <w:r w:rsidRPr="00EA59C0">
        <w:t>consortium</w:t>
      </w:r>
      <w:r w:rsidR="00C026A6" w:rsidRPr="00EA59C0">
        <w:t xml:space="preserve"> </w:t>
      </w:r>
      <w:r w:rsidRPr="00EA59C0">
        <w:t>award.</w:t>
      </w:r>
      <w:r w:rsidR="00C026A6" w:rsidRPr="00EA59C0">
        <w:t xml:space="preserve">  </w:t>
      </w:r>
    </w:p>
    <w:p w:rsidR="00A454D2" w:rsidRPr="00EA59C0" w:rsidRDefault="00A454D2" w:rsidP="00D03948">
      <w:pPr>
        <w:pStyle w:val="ListParagraph"/>
        <w:ind w:left="1080"/>
        <w:rPr>
          <w:b/>
        </w:rPr>
      </w:pPr>
    </w:p>
    <w:p w:rsidR="00EE288B" w:rsidRPr="00EA59C0" w:rsidRDefault="00EE288B" w:rsidP="00D03948">
      <w:pPr>
        <w:pStyle w:val="ListParagraph"/>
        <w:numPr>
          <w:ilvl w:val="3"/>
          <w:numId w:val="17"/>
        </w:numPr>
        <w:rPr>
          <w:b/>
        </w:rPr>
      </w:pPr>
      <w:r w:rsidRPr="00EA59C0">
        <w:rPr>
          <w:b/>
        </w:rPr>
        <w:t>Role</w:t>
      </w:r>
      <w:r w:rsidR="00C026A6" w:rsidRPr="00EA59C0">
        <w:rPr>
          <w:b/>
        </w:rPr>
        <w:t xml:space="preserve"> </w:t>
      </w:r>
      <w:r w:rsidRPr="00EA59C0">
        <w:rPr>
          <w:b/>
        </w:rPr>
        <w:t>of</w:t>
      </w:r>
      <w:r w:rsidR="00C026A6" w:rsidRPr="00EA59C0">
        <w:rPr>
          <w:b/>
        </w:rPr>
        <w:t xml:space="preserve"> </w:t>
      </w:r>
      <w:r w:rsidRPr="00EA59C0">
        <w:rPr>
          <w:b/>
        </w:rPr>
        <w:t>Lead</w:t>
      </w:r>
      <w:r w:rsidR="00C026A6" w:rsidRPr="00EA59C0">
        <w:rPr>
          <w:b/>
        </w:rPr>
        <w:t xml:space="preserve"> </w:t>
      </w:r>
      <w:r w:rsidRPr="00EA59C0">
        <w:rPr>
          <w:b/>
        </w:rPr>
        <w:t>Institution</w:t>
      </w:r>
      <w:r w:rsidR="00C026A6" w:rsidRPr="00EA59C0">
        <w:rPr>
          <w:b/>
        </w:rPr>
        <w:t xml:space="preserve"> </w:t>
      </w:r>
      <w:r w:rsidRPr="00EA59C0">
        <w:rPr>
          <w:b/>
        </w:rPr>
        <w:t>in</w:t>
      </w:r>
      <w:r w:rsidR="00C026A6" w:rsidRPr="00EA59C0">
        <w:rPr>
          <w:b/>
        </w:rPr>
        <w:t xml:space="preserve"> </w:t>
      </w:r>
      <w:r w:rsidRPr="00EA59C0">
        <w:rPr>
          <w:b/>
        </w:rPr>
        <w:t>Consortium</w:t>
      </w:r>
    </w:p>
    <w:p w:rsidR="00A454D2" w:rsidRPr="00EA59C0" w:rsidRDefault="00EE288B" w:rsidP="00D03948">
      <w:pPr>
        <w:ind w:left="1440"/>
      </w:pPr>
      <w:r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r w:rsidRPr="00EA59C0">
        <w:t>is</w:t>
      </w:r>
      <w:r w:rsidR="00C026A6" w:rsidRPr="00EA59C0">
        <w:t xml:space="preserve"> </w:t>
      </w:r>
      <w:r w:rsidRPr="00EA59C0">
        <w:t>responsible</w:t>
      </w:r>
      <w:r w:rsidR="00C026A6" w:rsidRPr="00EA59C0">
        <w:t xml:space="preserve"> </w:t>
      </w:r>
      <w:r w:rsidRPr="00EA59C0">
        <w:t>for</w:t>
      </w:r>
      <w:r w:rsidR="00C026A6" w:rsidRPr="00EA59C0">
        <w:t xml:space="preserve"> </w:t>
      </w:r>
      <w:r w:rsidRPr="00EA59C0">
        <w:t>submitting</w:t>
      </w:r>
      <w:r w:rsidR="00C026A6" w:rsidRPr="00EA59C0">
        <w:t xml:space="preserve"> </w:t>
      </w:r>
      <w:r w:rsidRPr="00EA59C0">
        <w:t>the</w:t>
      </w:r>
      <w:r w:rsidR="00C026A6" w:rsidRPr="00EA59C0">
        <w:t xml:space="preserve"> </w:t>
      </w:r>
      <w:r w:rsidRPr="00EA59C0">
        <w:t>grant</w:t>
      </w:r>
      <w:r w:rsidR="00C026A6" w:rsidRPr="00EA59C0">
        <w:t xml:space="preserve"> </w:t>
      </w:r>
      <w:r w:rsidRPr="00EA59C0">
        <w:t>application</w:t>
      </w:r>
      <w:r w:rsidR="00C026A6" w:rsidRPr="00EA59C0">
        <w:t xml:space="preserve"> </w:t>
      </w:r>
      <w:r w:rsidRPr="00EA59C0">
        <w:t>on</w:t>
      </w:r>
      <w:r w:rsidR="00C026A6" w:rsidRPr="00EA59C0">
        <w:t xml:space="preserve"> </w:t>
      </w:r>
      <w:r w:rsidRPr="00EA59C0">
        <w:t>behalf</w:t>
      </w:r>
      <w:r w:rsidR="00C026A6" w:rsidRPr="00EA59C0">
        <w:t xml:space="preserve"> </w:t>
      </w:r>
      <w:r w:rsidRPr="00EA59C0">
        <w:t>of</w:t>
      </w:r>
      <w:r w:rsidR="00C026A6" w:rsidRPr="00EA59C0">
        <w:t xml:space="preserve"> </w:t>
      </w:r>
      <w:r w:rsidRPr="00EA59C0">
        <w:t>the</w:t>
      </w:r>
      <w:r w:rsidR="00C026A6" w:rsidRPr="00EA59C0">
        <w:t xml:space="preserve"> </w:t>
      </w:r>
      <w:r w:rsidRPr="00EA59C0">
        <w:t>consortium.</w:t>
      </w:r>
      <w:r w:rsidR="00C026A6" w:rsidRPr="00EA59C0">
        <w:t xml:space="preserve">  </w:t>
      </w:r>
      <w:r w:rsidR="00C664C2" w:rsidRPr="00EA59C0">
        <w:t>The</w:t>
      </w:r>
      <w:r w:rsidR="00C026A6" w:rsidRPr="00EA59C0">
        <w:t xml:space="preserve"> </w:t>
      </w:r>
      <w:r w:rsidR="00C664C2" w:rsidRPr="00EA59C0">
        <w:t>Lead</w:t>
      </w:r>
      <w:r w:rsidR="00C026A6" w:rsidRPr="00EA59C0">
        <w:t xml:space="preserve"> </w:t>
      </w:r>
      <w:r w:rsidR="00C664C2" w:rsidRPr="00EA59C0">
        <w:t>Institution</w:t>
      </w:r>
      <w:r w:rsidR="00C026A6" w:rsidRPr="00EA59C0">
        <w:t xml:space="preserve"> </w:t>
      </w:r>
      <w:r w:rsidR="00C664C2" w:rsidRPr="00EA59C0">
        <w:t>will</w:t>
      </w:r>
      <w:r w:rsidR="00C026A6" w:rsidRPr="00EA59C0">
        <w:t xml:space="preserve"> </w:t>
      </w:r>
      <w:r w:rsidR="00C664C2" w:rsidRPr="00EA59C0">
        <w:t>receive</w:t>
      </w:r>
      <w:r w:rsidR="00C026A6" w:rsidRPr="00EA59C0">
        <w:t xml:space="preserve"> </w:t>
      </w:r>
      <w:r w:rsidR="00C664C2" w:rsidRPr="00EA59C0">
        <w:t>the</w:t>
      </w:r>
      <w:r w:rsidR="00C026A6" w:rsidRPr="00EA59C0">
        <w:t xml:space="preserve"> </w:t>
      </w:r>
      <w:r w:rsidR="00C664C2" w:rsidRPr="00EA59C0">
        <w:t>grant</w:t>
      </w:r>
      <w:r w:rsidR="00C026A6" w:rsidRPr="00EA59C0">
        <w:t xml:space="preserve"> </w:t>
      </w:r>
      <w:r w:rsidR="00C664C2" w:rsidRPr="00EA59C0">
        <w:t>award</w:t>
      </w:r>
      <w:r w:rsidR="00C026A6" w:rsidRPr="00EA59C0">
        <w:t xml:space="preserve"> </w:t>
      </w:r>
      <w:r w:rsidR="00C664C2" w:rsidRPr="00EA59C0">
        <w:t>and</w:t>
      </w:r>
      <w:r w:rsidR="00C026A6" w:rsidRPr="00EA59C0">
        <w:t xml:space="preserve"> </w:t>
      </w:r>
      <w:r w:rsidR="00C664C2" w:rsidRPr="00EA59C0">
        <w:t>a</w:t>
      </w:r>
      <w:r w:rsidRPr="00EA59C0">
        <w:t>ll</w:t>
      </w:r>
      <w:r w:rsidR="00C026A6" w:rsidRPr="00EA59C0">
        <w:t xml:space="preserve"> </w:t>
      </w:r>
      <w:r w:rsidRPr="00EA59C0">
        <w:t>members</w:t>
      </w:r>
      <w:r w:rsidR="00C026A6" w:rsidRPr="00EA59C0">
        <w:t xml:space="preserve"> </w:t>
      </w:r>
      <w:r w:rsidRPr="00EA59C0">
        <w:t>of</w:t>
      </w:r>
      <w:r w:rsidR="00C026A6" w:rsidRPr="00EA59C0">
        <w:t xml:space="preserve"> </w:t>
      </w:r>
      <w:r w:rsidRPr="00EA59C0">
        <w:t>the</w:t>
      </w:r>
      <w:r w:rsidR="00C026A6" w:rsidRPr="00EA59C0">
        <w:t xml:space="preserve"> </w:t>
      </w:r>
      <w:r w:rsidRPr="00EA59C0">
        <w:t>consortium</w:t>
      </w:r>
      <w:r w:rsidR="00C026A6" w:rsidRPr="00EA59C0">
        <w:t xml:space="preserve"> </w:t>
      </w:r>
      <w:r w:rsidR="00C664C2" w:rsidRPr="00EA59C0">
        <w:t>will</w:t>
      </w:r>
      <w:r w:rsidR="00C026A6" w:rsidRPr="00EA59C0">
        <w:t xml:space="preserve"> </w:t>
      </w:r>
      <w:r w:rsidR="00C664C2" w:rsidRPr="00EA59C0">
        <w:t>be</w:t>
      </w:r>
      <w:r w:rsidR="00C026A6" w:rsidRPr="00EA59C0">
        <w:t xml:space="preserve"> </w:t>
      </w:r>
      <w:r w:rsidR="001A3C16" w:rsidRPr="00EA59C0">
        <w:t>subrecipients</w:t>
      </w:r>
      <w:r w:rsidR="00950F76" w:rsidRPr="00EA59C0">
        <w:t>.</w:t>
      </w:r>
      <w:r w:rsidR="00C026A6" w:rsidRPr="00EA59C0">
        <w:t xml:space="preserve">  </w:t>
      </w:r>
      <w:r w:rsidR="00950F76" w:rsidRPr="00EA59C0">
        <w:t>S</w:t>
      </w:r>
      <w:r w:rsidR="001A3C16" w:rsidRPr="00EA59C0">
        <w:t>ubrecipients</w:t>
      </w:r>
      <w:r w:rsidR="00C026A6" w:rsidRPr="00EA59C0">
        <w:t xml:space="preserve"> </w:t>
      </w:r>
      <w:r w:rsidR="001A3C16" w:rsidRPr="00EA59C0">
        <w:t>must</w:t>
      </w:r>
      <w:r w:rsidR="00C026A6" w:rsidRPr="00EA59C0">
        <w:t xml:space="preserve"> </w:t>
      </w:r>
      <w:r w:rsidR="001A3C16" w:rsidRPr="00EA59C0">
        <w:t>comply</w:t>
      </w:r>
      <w:r w:rsidR="00C026A6" w:rsidRPr="00EA59C0">
        <w:t xml:space="preserve"> </w:t>
      </w:r>
      <w:r w:rsidR="001A3C16" w:rsidRPr="00EA59C0">
        <w:t>with</w:t>
      </w:r>
      <w:r w:rsidR="00C026A6" w:rsidRPr="00EA59C0">
        <w:t xml:space="preserve"> </w:t>
      </w:r>
      <w:r w:rsidR="001A3C16" w:rsidRPr="00EA59C0">
        <w:t>29</w:t>
      </w:r>
      <w:r w:rsidR="00C026A6" w:rsidRPr="00EA59C0">
        <w:t xml:space="preserve"> </w:t>
      </w:r>
      <w:r w:rsidR="001A3C16" w:rsidRPr="00EA59C0">
        <w:t>CFR</w:t>
      </w:r>
      <w:r w:rsidR="00C026A6" w:rsidRPr="00EA59C0">
        <w:t xml:space="preserve"> </w:t>
      </w:r>
      <w:r w:rsidR="001A3C16" w:rsidRPr="00EA59C0">
        <w:t>95.5</w:t>
      </w:r>
      <w:r w:rsidR="00C664C2" w:rsidRPr="00EA59C0">
        <w:t>.</w:t>
      </w:r>
      <w:r w:rsidR="00C026A6" w:rsidRPr="00EA59C0">
        <w:t xml:space="preserve">   </w:t>
      </w:r>
      <w:r w:rsidR="001A3C16" w:rsidRPr="00EA59C0">
        <w:t>In</w:t>
      </w:r>
      <w:r w:rsidR="00C026A6" w:rsidRPr="00EA59C0">
        <w:t xml:space="preserve"> </w:t>
      </w:r>
      <w:r w:rsidR="001A3C16" w:rsidRPr="00EA59C0">
        <w:t>addition</w:t>
      </w:r>
      <w:r w:rsidR="00C026A6" w:rsidRPr="00EA59C0">
        <w:t xml:space="preserve"> </w:t>
      </w:r>
      <w:r w:rsidR="001A3C16" w:rsidRPr="00EA59C0">
        <w:t>to</w:t>
      </w:r>
      <w:r w:rsidR="00C026A6" w:rsidRPr="00EA59C0">
        <w:t xml:space="preserve"> </w:t>
      </w:r>
      <w:r w:rsidR="001A3C16" w:rsidRPr="00EA59C0">
        <w:t>the</w:t>
      </w:r>
      <w:r w:rsidR="00C026A6" w:rsidRPr="00EA59C0">
        <w:t xml:space="preserve"> </w:t>
      </w:r>
      <w:r w:rsidR="001A3C16" w:rsidRPr="00EA59C0">
        <w:t>requirements</w:t>
      </w:r>
      <w:r w:rsidR="00C026A6" w:rsidRPr="00EA59C0">
        <w:t xml:space="preserve"> </w:t>
      </w:r>
      <w:r w:rsidR="001A3C16" w:rsidRPr="00EA59C0">
        <w:t>outlined</w:t>
      </w:r>
      <w:r w:rsidR="00C026A6" w:rsidRPr="00EA59C0">
        <w:t xml:space="preserve"> </w:t>
      </w:r>
      <w:r w:rsidR="001A3C16" w:rsidRPr="00EA59C0">
        <w:t>in</w:t>
      </w:r>
      <w:r w:rsidR="00C026A6" w:rsidRPr="00EA59C0">
        <w:t xml:space="preserve"> </w:t>
      </w:r>
      <w:r w:rsidR="001A3C16" w:rsidRPr="00EA59C0">
        <w:t>29</w:t>
      </w:r>
      <w:r w:rsidR="00C026A6" w:rsidRPr="00EA59C0">
        <w:t xml:space="preserve"> </w:t>
      </w:r>
      <w:r w:rsidR="001A3C16" w:rsidRPr="00EA59C0">
        <w:t>CFR</w:t>
      </w:r>
      <w:r w:rsidR="00C026A6" w:rsidRPr="00EA59C0">
        <w:t xml:space="preserve"> </w:t>
      </w:r>
      <w:r w:rsidR="001A3C16" w:rsidRPr="00EA59C0">
        <w:t>Part</w:t>
      </w:r>
      <w:r w:rsidR="00C026A6" w:rsidRPr="00EA59C0">
        <w:t xml:space="preserve"> </w:t>
      </w:r>
      <w:r w:rsidR="001A3C16" w:rsidRPr="00EA59C0">
        <w:t>95,</w:t>
      </w:r>
      <w:r w:rsidR="00C026A6" w:rsidRPr="00EA59C0">
        <w:t xml:space="preserve"> </w:t>
      </w:r>
      <w:r w:rsidR="001A3C16" w:rsidRPr="00EA59C0">
        <w:t>including</w:t>
      </w:r>
      <w:r w:rsidR="00C026A6" w:rsidRPr="00EA59C0">
        <w:t xml:space="preserve"> </w:t>
      </w:r>
      <w:r w:rsidR="001A3C16" w:rsidRPr="00EA59C0">
        <w:t>29</w:t>
      </w:r>
      <w:r w:rsidR="00C026A6" w:rsidRPr="00EA59C0">
        <w:t xml:space="preserve"> </w:t>
      </w:r>
      <w:r w:rsidR="001A3C16" w:rsidRPr="00EA59C0">
        <w:t>CFR</w:t>
      </w:r>
      <w:r w:rsidR="00C026A6" w:rsidRPr="00EA59C0">
        <w:t xml:space="preserve"> </w:t>
      </w:r>
      <w:r w:rsidR="001A3C16" w:rsidRPr="00EA59C0">
        <w:t>95.51</w:t>
      </w:r>
      <w:r w:rsidR="00C026A6" w:rsidRPr="00EA59C0">
        <w:t xml:space="preserve"> </w:t>
      </w:r>
      <w:r w:rsidR="001A3C16" w:rsidRPr="00EA59C0">
        <w:t>(Monitoring</w:t>
      </w:r>
      <w:r w:rsidR="00C026A6" w:rsidRPr="00EA59C0">
        <w:t xml:space="preserve"> </w:t>
      </w:r>
      <w:r w:rsidR="001A3C16" w:rsidRPr="00EA59C0">
        <w:t>and</w:t>
      </w:r>
      <w:r w:rsidR="00C026A6" w:rsidRPr="00EA59C0">
        <w:t xml:space="preserve"> </w:t>
      </w:r>
      <w:r w:rsidR="001A3C16" w:rsidRPr="00EA59C0">
        <w:t>reporting</w:t>
      </w:r>
      <w:r w:rsidR="00C026A6" w:rsidRPr="00EA59C0">
        <w:t xml:space="preserve"> </w:t>
      </w:r>
      <w:r w:rsidR="001A3C16" w:rsidRPr="00EA59C0">
        <w:t>program</w:t>
      </w:r>
      <w:r w:rsidR="00C026A6" w:rsidRPr="00EA59C0">
        <w:t xml:space="preserve"> </w:t>
      </w:r>
      <w:r w:rsidR="001A3C16" w:rsidRPr="00EA59C0">
        <w:t>performance),</w:t>
      </w:r>
      <w:r w:rsidR="00C026A6" w:rsidRPr="00EA59C0">
        <w:t xml:space="preserve"> </w:t>
      </w:r>
      <w:r w:rsidR="001A3C16"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r w:rsidR="009B2C09" w:rsidRPr="00EA59C0">
        <w:t>will</w:t>
      </w:r>
      <w:r w:rsidR="00C026A6" w:rsidRPr="00EA59C0">
        <w:t xml:space="preserve"> </w:t>
      </w:r>
      <w:r w:rsidR="001A3C16" w:rsidRPr="00EA59C0">
        <w:t>be</w:t>
      </w:r>
      <w:r w:rsidR="00C026A6" w:rsidRPr="00EA59C0">
        <w:t xml:space="preserve"> </w:t>
      </w:r>
      <w:r w:rsidR="001A3C16" w:rsidRPr="00EA59C0">
        <w:t>responsible</w:t>
      </w:r>
      <w:r w:rsidR="00C026A6" w:rsidRPr="00EA59C0">
        <w:t xml:space="preserve"> </w:t>
      </w:r>
      <w:r w:rsidR="001A3C16" w:rsidRPr="00EA59C0">
        <w:t>for</w:t>
      </w:r>
      <w:r w:rsidR="00C026A6" w:rsidRPr="00EA59C0">
        <w:t xml:space="preserve"> </w:t>
      </w:r>
      <w:r w:rsidR="001A3C16" w:rsidRPr="00EA59C0">
        <w:t>the</w:t>
      </w:r>
      <w:r w:rsidR="00C026A6" w:rsidRPr="00EA59C0">
        <w:t xml:space="preserve"> </w:t>
      </w:r>
      <w:r w:rsidR="001A3C16" w:rsidRPr="00EA59C0">
        <w:t>following:</w:t>
      </w:r>
    </w:p>
    <w:p w:rsidR="005845D7" w:rsidRPr="00EA59C0" w:rsidRDefault="005845D7" w:rsidP="00D03948">
      <w:pPr>
        <w:ind w:left="1440"/>
      </w:pPr>
    </w:p>
    <w:p w:rsidR="00EE288B" w:rsidRPr="00EA59C0" w:rsidRDefault="00EE288B" w:rsidP="00D03948">
      <w:pPr>
        <w:pStyle w:val="ListParagraph"/>
        <w:numPr>
          <w:ilvl w:val="4"/>
          <w:numId w:val="17"/>
        </w:numPr>
      </w:pPr>
      <w:r w:rsidRPr="00EA59C0">
        <w:t>Communication</w:t>
      </w:r>
    </w:p>
    <w:p w:rsidR="00EE288B" w:rsidRPr="00EA59C0" w:rsidRDefault="00EE288B" w:rsidP="00D03948">
      <w:pPr>
        <w:ind w:left="1800"/>
      </w:pPr>
      <w:r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r w:rsidRPr="00EA59C0">
        <w:t>will</w:t>
      </w:r>
      <w:r w:rsidR="00C026A6" w:rsidRPr="00EA59C0">
        <w:t xml:space="preserve"> </w:t>
      </w:r>
      <w:r w:rsidRPr="00EA59C0">
        <w:t>be</w:t>
      </w:r>
      <w:r w:rsidR="00C026A6" w:rsidRPr="00EA59C0">
        <w:t xml:space="preserve"> </w:t>
      </w:r>
      <w:r w:rsidRPr="00EA59C0">
        <w:t>the</w:t>
      </w:r>
      <w:r w:rsidR="00C026A6" w:rsidRPr="00EA59C0">
        <w:t xml:space="preserve"> </w:t>
      </w:r>
      <w:r w:rsidRPr="00EA59C0">
        <w:t>entity</w:t>
      </w:r>
      <w:r w:rsidR="00C026A6" w:rsidRPr="00EA59C0">
        <w:t xml:space="preserve"> </w:t>
      </w:r>
      <w:r w:rsidRPr="00EA59C0">
        <w:t>that</w:t>
      </w:r>
      <w:r w:rsidR="00C026A6" w:rsidRPr="00EA59C0">
        <w:t xml:space="preserve"> </w:t>
      </w:r>
      <w:r w:rsidRPr="00EA59C0">
        <w:t>communicates</w:t>
      </w:r>
      <w:r w:rsidR="00C026A6" w:rsidRPr="00EA59C0">
        <w:t xml:space="preserve"> </w:t>
      </w:r>
      <w:r w:rsidRPr="00EA59C0">
        <w:t>with</w:t>
      </w:r>
      <w:r w:rsidR="00C026A6" w:rsidRPr="00EA59C0">
        <w:t xml:space="preserve"> </w:t>
      </w:r>
      <w:r w:rsidRPr="00EA59C0">
        <w:t>ETA</w:t>
      </w:r>
      <w:r w:rsidR="00C026A6" w:rsidRPr="00EA59C0">
        <w:t xml:space="preserve"> </w:t>
      </w:r>
      <w:r w:rsidRPr="00EA59C0">
        <w:t>on</w:t>
      </w:r>
      <w:r w:rsidR="00C026A6" w:rsidRPr="00EA59C0">
        <w:t xml:space="preserve"> </w:t>
      </w:r>
      <w:r w:rsidRPr="00EA59C0">
        <w:t>behalf</w:t>
      </w:r>
      <w:r w:rsidR="00C026A6" w:rsidRPr="00EA59C0">
        <w:t xml:space="preserve"> </w:t>
      </w:r>
      <w:r w:rsidRPr="00EA59C0">
        <w:t>of</w:t>
      </w:r>
      <w:r w:rsidR="00C026A6" w:rsidRPr="00EA59C0">
        <w:t xml:space="preserve"> </w:t>
      </w:r>
      <w:r w:rsidRPr="00EA59C0">
        <w:t>the</w:t>
      </w:r>
      <w:r w:rsidR="00C026A6" w:rsidRPr="00EA59C0">
        <w:t xml:space="preserve"> </w:t>
      </w:r>
      <w:r w:rsidRPr="00EA59C0">
        <w:t>consortium</w:t>
      </w:r>
      <w:r w:rsidR="00C026A6" w:rsidRPr="00EA59C0">
        <w:t xml:space="preserve"> </w:t>
      </w:r>
      <w:r w:rsidRPr="00EA59C0">
        <w:t>award.</w:t>
      </w:r>
      <w:r w:rsidR="00C026A6" w:rsidRPr="00EA59C0">
        <w:t xml:space="preserve">  </w:t>
      </w:r>
      <w:r w:rsidRPr="00EA59C0">
        <w:t>Questions</w:t>
      </w:r>
      <w:r w:rsidR="00C026A6" w:rsidRPr="00EA59C0">
        <w:t xml:space="preserve"> </w:t>
      </w:r>
      <w:r w:rsidRPr="00EA59C0">
        <w:t>from</w:t>
      </w:r>
      <w:r w:rsidR="00C026A6" w:rsidRPr="00EA59C0">
        <w:t xml:space="preserve"> </w:t>
      </w:r>
      <w:r w:rsidRPr="00EA59C0">
        <w:t>Member</w:t>
      </w:r>
      <w:r w:rsidR="00C026A6" w:rsidRPr="00EA59C0">
        <w:t xml:space="preserve"> </w:t>
      </w:r>
      <w:r w:rsidRPr="00EA59C0">
        <w:t>Institutions</w:t>
      </w:r>
      <w:r w:rsidR="00C026A6" w:rsidRPr="00EA59C0">
        <w:t xml:space="preserve"> </w:t>
      </w:r>
      <w:r w:rsidRPr="00EA59C0">
        <w:t>will</w:t>
      </w:r>
      <w:r w:rsidR="00C026A6" w:rsidRPr="00EA59C0">
        <w:t xml:space="preserve"> </w:t>
      </w:r>
      <w:r w:rsidRPr="00EA59C0">
        <w:t>be</w:t>
      </w:r>
      <w:r w:rsidR="00C026A6" w:rsidRPr="00EA59C0">
        <w:t xml:space="preserve"> </w:t>
      </w:r>
      <w:r w:rsidRPr="00EA59C0">
        <w:t>transmitted</w:t>
      </w:r>
      <w:r w:rsidR="00C026A6" w:rsidRPr="00EA59C0">
        <w:t xml:space="preserve"> </w:t>
      </w:r>
      <w:r w:rsidRPr="00EA59C0">
        <w:t>to</w:t>
      </w:r>
      <w:r w:rsidR="00C026A6" w:rsidRPr="00EA59C0">
        <w:t xml:space="preserve"> </w:t>
      </w:r>
      <w:r w:rsidRPr="00EA59C0">
        <w:t>ETA</w:t>
      </w:r>
      <w:r w:rsidR="00C026A6" w:rsidRPr="00EA59C0">
        <w:t xml:space="preserve"> </w:t>
      </w:r>
      <w:r w:rsidRPr="00EA59C0">
        <w:t>via</w:t>
      </w:r>
      <w:r w:rsidR="00C026A6" w:rsidRPr="00EA59C0">
        <w:t xml:space="preserve"> </w:t>
      </w:r>
      <w:r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p>
    <w:p w:rsidR="006B1229" w:rsidRPr="00EA59C0" w:rsidRDefault="006B1229" w:rsidP="00D03948">
      <w:pPr>
        <w:ind w:left="1800"/>
      </w:pPr>
    </w:p>
    <w:p w:rsidR="00A454D2" w:rsidRPr="00EA59C0" w:rsidRDefault="00EE288B" w:rsidP="00D03948">
      <w:pPr>
        <w:ind w:left="1800"/>
      </w:pPr>
      <w:r w:rsidRPr="00EA59C0">
        <w:t>To</w:t>
      </w:r>
      <w:r w:rsidR="00C026A6" w:rsidRPr="00EA59C0">
        <w:t xml:space="preserve"> </w:t>
      </w:r>
      <w:r w:rsidRPr="00EA59C0">
        <w:t>carry</w:t>
      </w:r>
      <w:r w:rsidR="00C026A6" w:rsidRPr="00EA59C0">
        <w:t xml:space="preserve"> </w:t>
      </w:r>
      <w:r w:rsidRPr="00EA59C0">
        <w:t>out</w:t>
      </w:r>
      <w:r w:rsidR="00C026A6" w:rsidRPr="00EA59C0">
        <w:t xml:space="preserve"> </w:t>
      </w:r>
      <w:r w:rsidRPr="00EA59C0">
        <w:t>the</w:t>
      </w:r>
      <w:r w:rsidR="00C026A6" w:rsidRPr="00EA59C0">
        <w:t xml:space="preserve"> </w:t>
      </w:r>
      <w:r w:rsidRPr="00EA59C0">
        <w:t>programmatic</w:t>
      </w:r>
      <w:r w:rsidR="00C026A6" w:rsidRPr="00EA59C0">
        <w:t xml:space="preserve"> </w:t>
      </w:r>
      <w:r w:rsidRPr="00EA59C0">
        <w:t>functions</w:t>
      </w:r>
      <w:r w:rsidR="00C026A6" w:rsidRPr="00EA59C0">
        <w:t xml:space="preserve"> </w:t>
      </w:r>
      <w:r w:rsidRPr="00EA59C0">
        <w:t>of</w:t>
      </w:r>
      <w:r w:rsidR="00C026A6" w:rsidRPr="00EA59C0">
        <w:t xml:space="preserve"> </w:t>
      </w:r>
      <w:r w:rsidRPr="00EA59C0">
        <w:t>the</w:t>
      </w:r>
      <w:r w:rsidR="00C026A6" w:rsidRPr="00EA59C0">
        <w:t xml:space="preserve"> </w:t>
      </w:r>
      <w:r w:rsidRPr="00EA59C0">
        <w:t>grant,</w:t>
      </w:r>
      <w:r w:rsidR="00C026A6" w:rsidRPr="00EA59C0">
        <w:t xml:space="preserve"> </w:t>
      </w:r>
      <w:r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r w:rsidRPr="00EA59C0">
        <w:t>will</w:t>
      </w:r>
      <w:r w:rsidR="00C026A6" w:rsidRPr="00EA59C0">
        <w:t xml:space="preserve"> </w:t>
      </w:r>
      <w:r w:rsidRPr="00EA59C0">
        <w:t>communicate</w:t>
      </w:r>
      <w:r w:rsidR="00C026A6" w:rsidRPr="00EA59C0">
        <w:t xml:space="preserve"> </w:t>
      </w:r>
      <w:r w:rsidRPr="00EA59C0">
        <w:t>regularly</w:t>
      </w:r>
      <w:r w:rsidR="00C026A6" w:rsidRPr="00EA59C0">
        <w:t xml:space="preserve"> </w:t>
      </w:r>
      <w:r w:rsidRPr="00EA59C0">
        <w:t>with</w:t>
      </w:r>
      <w:r w:rsidR="00C026A6" w:rsidRPr="00EA59C0">
        <w:t xml:space="preserve"> </w:t>
      </w:r>
      <w:r w:rsidRPr="00EA59C0">
        <w:t>members</w:t>
      </w:r>
      <w:r w:rsidR="00C026A6" w:rsidRPr="00EA59C0">
        <w:t xml:space="preserve"> </w:t>
      </w:r>
      <w:r w:rsidRPr="00EA59C0">
        <w:t>of</w:t>
      </w:r>
      <w:r w:rsidR="00C026A6" w:rsidRPr="00EA59C0">
        <w:t xml:space="preserve"> </w:t>
      </w:r>
      <w:r w:rsidRPr="00EA59C0">
        <w:t>the</w:t>
      </w:r>
      <w:r w:rsidR="00C026A6" w:rsidRPr="00EA59C0">
        <w:t xml:space="preserve"> </w:t>
      </w:r>
      <w:r w:rsidRPr="00EA59C0">
        <w:t>consortium,</w:t>
      </w:r>
      <w:r w:rsidR="00C026A6" w:rsidRPr="00EA59C0">
        <w:t xml:space="preserve"> </w:t>
      </w:r>
      <w:r w:rsidRPr="00EA59C0">
        <w:t>and</w:t>
      </w:r>
      <w:r w:rsidR="00C026A6" w:rsidRPr="00EA59C0">
        <w:t xml:space="preserve"> </w:t>
      </w:r>
      <w:r w:rsidRPr="00EA59C0">
        <w:t>will</w:t>
      </w:r>
      <w:r w:rsidR="00C026A6" w:rsidRPr="00EA59C0">
        <w:t xml:space="preserve"> </w:t>
      </w:r>
      <w:r w:rsidRPr="00EA59C0">
        <w:t>share</w:t>
      </w:r>
      <w:r w:rsidR="00C026A6" w:rsidRPr="00EA59C0">
        <w:t xml:space="preserve"> </w:t>
      </w:r>
      <w:r w:rsidRPr="00EA59C0">
        <w:t>information</w:t>
      </w:r>
      <w:r w:rsidR="00C026A6" w:rsidRPr="00EA59C0">
        <w:t xml:space="preserve"> </w:t>
      </w:r>
      <w:r w:rsidRPr="00EA59C0">
        <w:t>and</w:t>
      </w:r>
      <w:r w:rsidR="00C026A6" w:rsidRPr="00EA59C0">
        <w:t xml:space="preserve"> </w:t>
      </w:r>
      <w:r w:rsidRPr="00EA59C0">
        <w:t>technical</w:t>
      </w:r>
      <w:r w:rsidR="00C026A6" w:rsidRPr="00EA59C0">
        <w:t xml:space="preserve"> </w:t>
      </w:r>
      <w:r w:rsidRPr="00EA59C0">
        <w:t>assistance</w:t>
      </w:r>
      <w:r w:rsidR="00C026A6" w:rsidRPr="00EA59C0">
        <w:t xml:space="preserve"> </w:t>
      </w:r>
      <w:r w:rsidRPr="00EA59C0">
        <w:t>provided</w:t>
      </w:r>
      <w:r w:rsidR="00C026A6" w:rsidRPr="00EA59C0">
        <w:t xml:space="preserve"> </w:t>
      </w:r>
      <w:r w:rsidRPr="00EA59C0">
        <w:t>by</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or</w:t>
      </w:r>
      <w:r w:rsidR="00C026A6" w:rsidRPr="00EA59C0">
        <w:t xml:space="preserve"> </w:t>
      </w:r>
      <w:r w:rsidRPr="00EA59C0">
        <w:t>the</w:t>
      </w:r>
      <w:r w:rsidR="00C026A6" w:rsidRPr="00EA59C0">
        <w:t xml:space="preserve"> </w:t>
      </w:r>
      <w:r w:rsidRPr="00EA59C0">
        <w:t>Federal</w:t>
      </w:r>
      <w:r w:rsidR="00C026A6" w:rsidRPr="00EA59C0">
        <w:t xml:space="preserve"> </w:t>
      </w:r>
      <w:r w:rsidRPr="00EA59C0">
        <w:t>Project</w:t>
      </w:r>
      <w:r w:rsidR="00C026A6" w:rsidRPr="00EA59C0">
        <w:t xml:space="preserve"> </w:t>
      </w:r>
      <w:r w:rsidRPr="00EA59C0">
        <w:t>Officer</w:t>
      </w:r>
      <w:r w:rsidR="00C026A6" w:rsidRPr="00EA59C0">
        <w:t xml:space="preserve"> </w:t>
      </w:r>
      <w:r w:rsidRPr="00EA59C0">
        <w:t>(FPO)</w:t>
      </w:r>
      <w:r w:rsidR="00C026A6" w:rsidRPr="00EA59C0">
        <w:t xml:space="preserve"> </w:t>
      </w:r>
      <w:r w:rsidRPr="00EA59C0">
        <w:t>assigned</w:t>
      </w:r>
      <w:r w:rsidR="00C026A6" w:rsidRPr="00EA59C0">
        <w:t xml:space="preserve"> </w:t>
      </w:r>
      <w:r w:rsidRPr="00EA59C0">
        <w:t>by</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to</w:t>
      </w:r>
      <w:r w:rsidR="00C026A6" w:rsidRPr="00EA59C0">
        <w:t xml:space="preserve"> </w:t>
      </w:r>
      <w:r w:rsidRPr="00EA59C0">
        <w:t>oversee</w:t>
      </w:r>
      <w:r w:rsidR="00C026A6" w:rsidRPr="00EA59C0">
        <w:t xml:space="preserve"> </w:t>
      </w:r>
      <w:r w:rsidRPr="00EA59C0">
        <w:t>the</w:t>
      </w:r>
      <w:r w:rsidR="00C026A6" w:rsidRPr="00EA59C0">
        <w:t xml:space="preserve"> </w:t>
      </w:r>
      <w:r w:rsidRPr="00EA59C0">
        <w:t>grant.</w:t>
      </w:r>
      <w:r w:rsidR="00C026A6" w:rsidRPr="00EA59C0">
        <w:t xml:space="preserve">  </w:t>
      </w:r>
      <w:r w:rsidRPr="00EA59C0">
        <w:t>It</w:t>
      </w:r>
      <w:r w:rsidR="00C026A6" w:rsidRPr="00EA59C0">
        <w:t xml:space="preserve"> </w:t>
      </w:r>
      <w:r w:rsidRPr="00EA59C0">
        <w:t>is</w:t>
      </w:r>
      <w:r w:rsidR="00C026A6" w:rsidRPr="00EA59C0">
        <w:t xml:space="preserve"> </w:t>
      </w:r>
      <w:r w:rsidRPr="00EA59C0">
        <w:t>important</w:t>
      </w:r>
      <w:r w:rsidR="00C026A6" w:rsidRPr="00EA59C0">
        <w:t xml:space="preserve"> </w:t>
      </w:r>
      <w:r w:rsidRPr="00EA59C0">
        <w:t>that</w:t>
      </w:r>
      <w:r w:rsidR="00C026A6" w:rsidRPr="00EA59C0">
        <w:t xml:space="preserve"> </w:t>
      </w:r>
      <w:r w:rsidRPr="00EA59C0">
        <w:t>all</w:t>
      </w:r>
      <w:r w:rsidR="00C026A6" w:rsidRPr="00EA59C0">
        <w:t xml:space="preserve"> </w:t>
      </w:r>
      <w:r w:rsidRPr="00EA59C0">
        <w:t>consortium</w:t>
      </w:r>
      <w:r w:rsidR="00C026A6" w:rsidRPr="00EA59C0">
        <w:t xml:space="preserve"> </w:t>
      </w:r>
      <w:r w:rsidRPr="00EA59C0">
        <w:t>member</w:t>
      </w:r>
      <w:r w:rsidR="00C026A6" w:rsidRPr="00EA59C0">
        <w:t xml:space="preserve"> </w:t>
      </w:r>
      <w:r w:rsidRPr="00EA59C0">
        <w:t>institutions</w:t>
      </w:r>
      <w:r w:rsidR="00C026A6" w:rsidRPr="00EA59C0">
        <w:t xml:space="preserve"> </w:t>
      </w:r>
      <w:r w:rsidRPr="00EA59C0">
        <w:t>receive</w:t>
      </w:r>
      <w:r w:rsidR="00C026A6" w:rsidRPr="00EA59C0">
        <w:t xml:space="preserve"> </w:t>
      </w:r>
      <w:r w:rsidRPr="00EA59C0">
        <w:t>information</w:t>
      </w:r>
      <w:r w:rsidR="00C026A6" w:rsidRPr="00EA59C0">
        <w:t xml:space="preserve"> </w:t>
      </w:r>
      <w:r w:rsidRPr="00EA59C0">
        <w:t>related</w:t>
      </w:r>
      <w:r w:rsidR="00C026A6" w:rsidRPr="00EA59C0">
        <w:t xml:space="preserve"> </w:t>
      </w:r>
      <w:r w:rsidRPr="00EA59C0">
        <w:t>to</w:t>
      </w:r>
      <w:r w:rsidR="00C026A6" w:rsidRPr="00EA59C0">
        <w:t xml:space="preserve"> </w:t>
      </w:r>
      <w:r w:rsidRPr="00EA59C0">
        <w:t>technical</w:t>
      </w:r>
      <w:r w:rsidR="00C026A6" w:rsidRPr="00EA59C0">
        <w:t xml:space="preserve"> </w:t>
      </w:r>
      <w:r w:rsidRPr="00EA59C0">
        <w:t>assistance</w:t>
      </w:r>
      <w:r w:rsidR="00C026A6" w:rsidRPr="00EA59C0">
        <w:t xml:space="preserve"> </w:t>
      </w:r>
      <w:r w:rsidRPr="00EA59C0">
        <w:t>or</w:t>
      </w:r>
      <w:r w:rsidR="00C026A6" w:rsidRPr="00EA59C0">
        <w:t xml:space="preserve"> </w:t>
      </w:r>
      <w:r w:rsidRPr="00EA59C0">
        <w:t>a</w:t>
      </w:r>
      <w:r w:rsidR="00C026A6" w:rsidRPr="00EA59C0">
        <w:t xml:space="preserve"> </w:t>
      </w:r>
      <w:r w:rsidRPr="00EA59C0">
        <w:t>change</w:t>
      </w:r>
      <w:r w:rsidR="00C026A6" w:rsidRPr="00EA59C0">
        <w:t xml:space="preserve"> </w:t>
      </w:r>
      <w:r w:rsidRPr="00EA59C0">
        <w:t>in</w:t>
      </w:r>
      <w:r w:rsidR="00C026A6" w:rsidRPr="00EA59C0">
        <w:t xml:space="preserve"> </w:t>
      </w:r>
      <w:r w:rsidRPr="00EA59C0">
        <w:t>policy.</w:t>
      </w:r>
      <w:r w:rsidR="00C026A6" w:rsidRPr="00EA59C0">
        <w:t xml:space="preserve">  </w:t>
      </w:r>
      <w:r w:rsidRPr="00EA59C0">
        <w:t>Consortia</w:t>
      </w:r>
      <w:r w:rsidR="00C026A6" w:rsidRPr="00EA59C0">
        <w:t xml:space="preserve"> </w:t>
      </w:r>
      <w:r w:rsidRPr="00EA59C0">
        <w:t>must</w:t>
      </w:r>
      <w:r w:rsidR="00C026A6" w:rsidRPr="00EA59C0">
        <w:t xml:space="preserve"> </w:t>
      </w:r>
      <w:r w:rsidRPr="00EA59C0">
        <w:t>develop</w:t>
      </w:r>
      <w:r w:rsidR="00C026A6" w:rsidRPr="00EA59C0">
        <w:t xml:space="preserve"> </w:t>
      </w:r>
      <w:r w:rsidRPr="00EA59C0">
        <w:t>a</w:t>
      </w:r>
      <w:r w:rsidR="00C026A6" w:rsidRPr="00EA59C0">
        <w:t xml:space="preserve"> </w:t>
      </w:r>
      <w:r w:rsidRPr="00EA59C0">
        <w:t>communication</w:t>
      </w:r>
      <w:r w:rsidR="00C026A6" w:rsidRPr="00EA59C0">
        <w:t xml:space="preserve"> </w:t>
      </w:r>
      <w:r w:rsidRPr="00EA59C0">
        <w:t>process</w:t>
      </w:r>
      <w:r w:rsidR="00C026A6" w:rsidRPr="00EA59C0">
        <w:t xml:space="preserve"> </w:t>
      </w:r>
      <w:r w:rsidRPr="00EA59C0">
        <w:t>that</w:t>
      </w:r>
      <w:r w:rsidR="00C026A6" w:rsidRPr="00EA59C0">
        <w:t xml:space="preserve"> </w:t>
      </w:r>
      <w:r w:rsidRPr="00EA59C0">
        <w:t>promotes</w:t>
      </w:r>
      <w:r w:rsidR="00C026A6" w:rsidRPr="00EA59C0">
        <w:t xml:space="preserve"> </w:t>
      </w:r>
      <w:r w:rsidRPr="00EA59C0">
        <w:t>effective</w:t>
      </w:r>
      <w:r w:rsidR="00C026A6" w:rsidRPr="00EA59C0">
        <w:t xml:space="preserve"> </w:t>
      </w:r>
      <w:r w:rsidRPr="00EA59C0">
        <w:t>and</w:t>
      </w:r>
      <w:r w:rsidR="00C026A6" w:rsidRPr="00EA59C0">
        <w:t xml:space="preserve"> </w:t>
      </w:r>
      <w:r w:rsidRPr="00EA59C0">
        <w:t>efficient</w:t>
      </w:r>
      <w:r w:rsidR="00C026A6" w:rsidRPr="00EA59C0">
        <w:t xml:space="preserve"> </w:t>
      </w:r>
      <w:r w:rsidRPr="00EA59C0">
        <w:t>communication</w:t>
      </w:r>
      <w:r w:rsidR="00C026A6" w:rsidRPr="00EA59C0">
        <w:t xml:space="preserve"> </w:t>
      </w:r>
      <w:r w:rsidRPr="00EA59C0">
        <w:t>between</w:t>
      </w:r>
      <w:r w:rsidR="00C026A6" w:rsidRPr="00EA59C0">
        <w:t xml:space="preserve"> </w:t>
      </w:r>
      <w:r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r w:rsidRPr="00EA59C0">
        <w:t>and</w:t>
      </w:r>
      <w:r w:rsidR="00C026A6" w:rsidRPr="00EA59C0">
        <w:t xml:space="preserve"> </w:t>
      </w:r>
      <w:r w:rsidRPr="00EA59C0">
        <w:t>the</w:t>
      </w:r>
      <w:r w:rsidR="00C026A6" w:rsidRPr="00EA59C0">
        <w:t xml:space="preserve"> </w:t>
      </w:r>
      <w:r w:rsidR="00AF0DFF" w:rsidRPr="00EA59C0">
        <w:t>M</w:t>
      </w:r>
      <w:r w:rsidRPr="00EA59C0">
        <w:t>ember</w:t>
      </w:r>
      <w:r w:rsidR="00C026A6" w:rsidRPr="00EA59C0">
        <w:t xml:space="preserve"> </w:t>
      </w:r>
      <w:r w:rsidR="00AF0DFF" w:rsidRPr="00EA59C0">
        <w:t>I</w:t>
      </w:r>
      <w:r w:rsidRPr="00EA59C0">
        <w:t>nstitutions.</w:t>
      </w:r>
      <w:r w:rsidR="00C026A6" w:rsidRPr="00EA59C0">
        <w:t xml:space="preserve">  </w:t>
      </w:r>
    </w:p>
    <w:p w:rsidR="005845D7" w:rsidRPr="00EA59C0" w:rsidRDefault="005845D7" w:rsidP="00D03948">
      <w:pPr>
        <w:ind w:left="1800"/>
      </w:pPr>
    </w:p>
    <w:p w:rsidR="00EE288B" w:rsidRPr="00EA59C0" w:rsidRDefault="007E6643" w:rsidP="00D03948">
      <w:pPr>
        <w:pStyle w:val="ListParagraph"/>
        <w:numPr>
          <w:ilvl w:val="4"/>
          <w:numId w:val="17"/>
        </w:numPr>
      </w:pPr>
      <w:r w:rsidRPr="00EA59C0">
        <w:t>Monitoring</w:t>
      </w:r>
    </w:p>
    <w:p w:rsidR="00A454D2" w:rsidRPr="00EA59C0" w:rsidRDefault="00EE288B" w:rsidP="00D03948">
      <w:pPr>
        <w:pStyle w:val="ListParagraph"/>
        <w:ind w:left="1800"/>
      </w:pPr>
      <w:r w:rsidRPr="00EA59C0">
        <w:t>The</w:t>
      </w:r>
      <w:r w:rsidR="00C026A6" w:rsidRPr="00EA59C0">
        <w:t xml:space="preserve"> </w:t>
      </w:r>
      <w:r w:rsidRPr="00EA59C0">
        <w:t>Lead</w:t>
      </w:r>
      <w:r w:rsidR="00C026A6" w:rsidRPr="00EA59C0">
        <w:t xml:space="preserve"> </w:t>
      </w:r>
      <w:r w:rsidRPr="00EA59C0">
        <w:t>Institution</w:t>
      </w:r>
      <w:r w:rsidR="007E6643" w:rsidRPr="00EA59C0">
        <w:t>,</w:t>
      </w:r>
      <w:r w:rsidR="00C026A6" w:rsidRPr="00EA59C0">
        <w:t xml:space="preserve"> </w:t>
      </w:r>
      <w:r w:rsidR="007E6643" w:rsidRPr="00EA59C0">
        <w:t>as</w:t>
      </w:r>
      <w:r w:rsidR="00C026A6" w:rsidRPr="00EA59C0">
        <w:t xml:space="preserve"> </w:t>
      </w:r>
      <w:r w:rsidR="007E6643" w:rsidRPr="00EA59C0">
        <w:t>the</w:t>
      </w:r>
      <w:r w:rsidR="00C026A6" w:rsidRPr="00EA59C0">
        <w:t xml:space="preserve"> </w:t>
      </w:r>
      <w:r w:rsidR="007E6643" w:rsidRPr="00EA59C0">
        <w:t>prime</w:t>
      </w:r>
      <w:r w:rsidR="00C026A6" w:rsidRPr="00EA59C0">
        <w:t xml:space="preserve"> </w:t>
      </w:r>
      <w:r w:rsidR="007E6643" w:rsidRPr="00EA59C0">
        <w:t>grantee,</w:t>
      </w:r>
      <w:r w:rsidR="00C026A6" w:rsidRPr="00EA59C0">
        <w:t xml:space="preserve"> </w:t>
      </w:r>
      <w:r w:rsidR="007E6643" w:rsidRPr="00EA59C0">
        <w:t>will</w:t>
      </w:r>
      <w:r w:rsidR="00C026A6" w:rsidRPr="00EA59C0">
        <w:t xml:space="preserve"> </w:t>
      </w:r>
      <w:r w:rsidR="007E6643" w:rsidRPr="00EA59C0">
        <w:t>perform</w:t>
      </w:r>
      <w:r w:rsidR="00C026A6" w:rsidRPr="00EA59C0">
        <w:t xml:space="preserve"> </w:t>
      </w:r>
      <w:r w:rsidR="007E6643" w:rsidRPr="00EA59C0">
        <w:t>monitoring</w:t>
      </w:r>
      <w:r w:rsidR="00C026A6" w:rsidRPr="00EA59C0">
        <w:t xml:space="preserve"> </w:t>
      </w:r>
      <w:r w:rsidR="007E6643" w:rsidRPr="00EA59C0">
        <w:t>for</w:t>
      </w:r>
      <w:r w:rsidR="00C026A6" w:rsidRPr="00EA59C0">
        <w:t xml:space="preserve"> </w:t>
      </w:r>
      <w:r w:rsidR="007E6643" w:rsidRPr="00EA59C0">
        <w:t>consortium</w:t>
      </w:r>
      <w:r w:rsidR="00C026A6" w:rsidRPr="00EA59C0">
        <w:t xml:space="preserve"> </w:t>
      </w:r>
      <w:r w:rsidR="007E6643" w:rsidRPr="00EA59C0">
        <w:t>member</w:t>
      </w:r>
      <w:r w:rsidR="00C026A6" w:rsidRPr="00EA59C0">
        <w:t xml:space="preserve"> </w:t>
      </w:r>
      <w:r w:rsidR="007E6643" w:rsidRPr="00EA59C0">
        <w:t>subrecipients,</w:t>
      </w:r>
      <w:r w:rsidR="00C026A6" w:rsidRPr="00EA59C0">
        <w:t xml:space="preserve"> </w:t>
      </w:r>
      <w:r w:rsidR="007E6643" w:rsidRPr="00EA59C0">
        <w:t>as</w:t>
      </w:r>
      <w:r w:rsidR="00C026A6" w:rsidRPr="00EA59C0">
        <w:t xml:space="preserve"> </w:t>
      </w:r>
      <w:r w:rsidR="007E6643" w:rsidRPr="00EA59C0">
        <w:t>required</w:t>
      </w:r>
      <w:r w:rsidR="00C026A6" w:rsidRPr="00EA59C0">
        <w:t xml:space="preserve"> </w:t>
      </w:r>
      <w:r w:rsidR="007E6643" w:rsidRPr="00EA59C0">
        <w:t>in</w:t>
      </w:r>
      <w:r w:rsidR="00C026A6" w:rsidRPr="00EA59C0">
        <w:t xml:space="preserve"> </w:t>
      </w:r>
      <w:r w:rsidR="007E6643" w:rsidRPr="00EA59C0">
        <w:t>29</w:t>
      </w:r>
      <w:r w:rsidR="00C026A6" w:rsidRPr="00EA59C0">
        <w:t xml:space="preserve"> </w:t>
      </w:r>
      <w:r w:rsidR="007E6643" w:rsidRPr="00EA59C0">
        <w:t>CFR</w:t>
      </w:r>
      <w:r w:rsidR="00C026A6" w:rsidRPr="00EA59C0">
        <w:t xml:space="preserve"> </w:t>
      </w:r>
      <w:r w:rsidR="007E6643" w:rsidRPr="00EA59C0">
        <w:t>95.51.</w:t>
      </w:r>
      <w:r w:rsidR="00C026A6" w:rsidRPr="00EA59C0">
        <w:t xml:space="preserve">  </w:t>
      </w:r>
      <w:r w:rsidR="007E6643" w:rsidRPr="00EA59C0">
        <w:t>The</w:t>
      </w:r>
      <w:r w:rsidR="00C026A6" w:rsidRPr="00EA59C0">
        <w:t xml:space="preserve"> </w:t>
      </w:r>
      <w:r w:rsidR="00897908" w:rsidRPr="00EA59C0">
        <w:t>L</w:t>
      </w:r>
      <w:r w:rsidR="007E6643" w:rsidRPr="00EA59C0">
        <w:t>ead</w:t>
      </w:r>
      <w:r w:rsidR="00C026A6" w:rsidRPr="00EA59C0">
        <w:t xml:space="preserve"> </w:t>
      </w:r>
      <w:r w:rsidR="00897908" w:rsidRPr="00EA59C0">
        <w:t>I</w:t>
      </w:r>
      <w:r w:rsidR="005E427A" w:rsidRPr="00EA59C0">
        <w:t>nstitution</w:t>
      </w:r>
      <w:r w:rsidR="00C026A6" w:rsidRPr="00EA59C0">
        <w:t xml:space="preserve"> </w:t>
      </w:r>
      <w:r w:rsidR="007E6643" w:rsidRPr="00EA59C0">
        <w:t>will</w:t>
      </w:r>
      <w:r w:rsidR="00C026A6" w:rsidRPr="00EA59C0">
        <w:t xml:space="preserve"> </w:t>
      </w:r>
      <w:r w:rsidRPr="00EA59C0">
        <w:t>track</w:t>
      </w:r>
      <w:r w:rsidR="00C026A6" w:rsidRPr="00EA59C0">
        <w:t xml:space="preserve"> </w:t>
      </w:r>
      <w:r w:rsidRPr="00EA59C0">
        <w:t>programmatic</w:t>
      </w:r>
      <w:r w:rsidR="00C026A6" w:rsidRPr="00EA59C0">
        <w:t xml:space="preserve"> </w:t>
      </w:r>
      <w:r w:rsidRPr="00EA59C0">
        <w:t>and</w:t>
      </w:r>
      <w:r w:rsidR="00C026A6" w:rsidRPr="00EA59C0">
        <w:t xml:space="preserve"> </w:t>
      </w:r>
      <w:r w:rsidRPr="00EA59C0">
        <w:t>fiscal</w:t>
      </w:r>
      <w:r w:rsidR="00C026A6" w:rsidRPr="00EA59C0">
        <w:t xml:space="preserve"> </w:t>
      </w:r>
      <w:r w:rsidRPr="00EA59C0">
        <w:t>progress</w:t>
      </w:r>
      <w:r w:rsidR="00C026A6" w:rsidRPr="00EA59C0">
        <w:t xml:space="preserve"> </w:t>
      </w:r>
      <w:r w:rsidRPr="00EA59C0">
        <w:t>against</w:t>
      </w:r>
      <w:r w:rsidR="00C026A6" w:rsidRPr="00EA59C0">
        <w:t xml:space="preserve"> </w:t>
      </w:r>
      <w:r w:rsidRPr="00EA59C0">
        <w:t>goals</w:t>
      </w:r>
      <w:r w:rsidR="00AF0DFF" w:rsidRPr="00EA59C0">
        <w:t>,</w:t>
      </w:r>
      <w:r w:rsidR="00C026A6" w:rsidRPr="00EA59C0">
        <w:t xml:space="preserve"> </w:t>
      </w:r>
      <w:r w:rsidRPr="00EA59C0">
        <w:t>and</w:t>
      </w:r>
      <w:r w:rsidR="00C026A6" w:rsidRPr="00EA59C0">
        <w:t xml:space="preserve"> </w:t>
      </w:r>
      <w:r w:rsidR="009D0F49" w:rsidRPr="00EA59C0">
        <w:t>work</w:t>
      </w:r>
      <w:r w:rsidR="00C026A6" w:rsidRPr="00EA59C0">
        <w:t xml:space="preserve"> </w:t>
      </w:r>
      <w:r w:rsidR="009D0F49" w:rsidRPr="00EA59C0">
        <w:t>to</w:t>
      </w:r>
      <w:r w:rsidR="00C026A6" w:rsidRPr="00EA59C0">
        <w:t xml:space="preserve"> </w:t>
      </w:r>
      <w:r w:rsidR="009D0F49" w:rsidRPr="00EA59C0">
        <w:t>correct</w:t>
      </w:r>
      <w:r w:rsidR="00C026A6" w:rsidRPr="00EA59C0">
        <w:t xml:space="preserve"> </w:t>
      </w:r>
      <w:r w:rsidRPr="00EA59C0">
        <w:t>problems</w:t>
      </w:r>
      <w:r w:rsidR="00C026A6" w:rsidRPr="00EA59C0">
        <w:t xml:space="preserve"> </w:t>
      </w:r>
      <w:r w:rsidRPr="00EA59C0">
        <w:t>related</w:t>
      </w:r>
      <w:r w:rsidR="00C026A6" w:rsidRPr="00EA59C0">
        <w:t xml:space="preserve"> </w:t>
      </w:r>
      <w:r w:rsidRPr="00EA59C0">
        <w:t>to</w:t>
      </w:r>
      <w:r w:rsidR="00C026A6" w:rsidRPr="00EA59C0">
        <w:t xml:space="preserve"> </w:t>
      </w:r>
      <w:r w:rsidRPr="00EA59C0">
        <w:t>achievement</w:t>
      </w:r>
      <w:r w:rsidR="00C026A6" w:rsidRPr="00EA59C0">
        <w:t xml:space="preserve"> </w:t>
      </w:r>
      <w:r w:rsidRPr="00EA59C0">
        <w:t>of</w:t>
      </w:r>
      <w:r w:rsidR="00C026A6" w:rsidRPr="00EA59C0">
        <w:t xml:space="preserve"> </w:t>
      </w:r>
      <w:r w:rsidRPr="00EA59C0">
        <w:t>programmatic</w:t>
      </w:r>
      <w:r w:rsidR="00C026A6" w:rsidRPr="00EA59C0">
        <w:t xml:space="preserve"> </w:t>
      </w:r>
      <w:r w:rsidRPr="00EA59C0">
        <w:t>and</w:t>
      </w:r>
      <w:r w:rsidR="00C026A6" w:rsidRPr="00EA59C0">
        <w:t xml:space="preserve"> </w:t>
      </w:r>
      <w:r w:rsidRPr="00EA59C0">
        <w:t>fiscal</w:t>
      </w:r>
      <w:r w:rsidR="00C026A6" w:rsidRPr="00EA59C0">
        <w:t xml:space="preserve"> </w:t>
      </w:r>
      <w:r w:rsidRPr="00EA59C0">
        <w:t>goals</w:t>
      </w:r>
      <w:r w:rsidR="00C026A6" w:rsidRPr="00EA59C0">
        <w:t xml:space="preserve"> </w:t>
      </w:r>
      <w:r w:rsidRPr="00EA59C0">
        <w:t>of</w:t>
      </w:r>
      <w:r w:rsidR="00C026A6" w:rsidRPr="00EA59C0">
        <w:t xml:space="preserve"> </w:t>
      </w:r>
      <w:r w:rsidRPr="00EA59C0">
        <w:t>the</w:t>
      </w:r>
      <w:r w:rsidR="00C026A6" w:rsidRPr="00EA59C0">
        <w:t xml:space="preserve"> </w:t>
      </w:r>
      <w:r w:rsidRPr="00EA59C0">
        <w:t>consortium</w:t>
      </w:r>
      <w:r w:rsidR="00C026A6" w:rsidRPr="00EA59C0">
        <w:t xml:space="preserve"> </w:t>
      </w:r>
      <w:r w:rsidRPr="00EA59C0">
        <w:t>projects,</w:t>
      </w:r>
      <w:r w:rsidR="00C026A6" w:rsidRPr="00EA59C0">
        <w:t xml:space="preserve"> </w:t>
      </w:r>
      <w:r w:rsidRPr="00EA59C0">
        <w:t>in</w:t>
      </w:r>
      <w:r w:rsidR="00C026A6" w:rsidRPr="00EA59C0">
        <w:t xml:space="preserve"> </w:t>
      </w:r>
      <w:r w:rsidRPr="00EA59C0">
        <w:t>accordance</w:t>
      </w:r>
      <w:r w:rsidR="00C026A6" w:rsidRPr="00EA59C0">
        <w:t xml:space="preserve"> </w:t>
      </w:r>
      <w:r w:rsidRPr="00EA59C0">
        <w:t>with</w:t>
      </w:r>
      <w:r w:rsidR="00C026A6" w:rsidRPr="00EA59C0">
        <w:t xml:space="preserve"> </w:t>
      </w:r>
      <w:r w:rsidR="009D0F49" w:rsidRPr="00EA59C0">
        <w:t>29</w:t>
      </w:r>
      <w:r w:rsidR="00C026A6" w:rsidRPr="00EA59C0">
        <w:t xml:space="preserve"> </w:t>
      </w:r>
      <w:r w:rsidR="009D0F49" w:rsidRPr="00EA59C0">
        <w:t>CFR</w:t>
      </w:r>
      <w:r w:rsidR="00C026A6" w:rsidRPr="00EA59C0">
        <w:t xml:space="preserve"> </w:t>
      </w:r>
      <w:r w:rsidR="009D0F49" w:rsidRPr="00EA59C0">
        <w:t>Part</w:t>
      </w:r>
      <w:r w:rsidR="00C026A6" w:rsidRPr="00EA59C0">
        <w:t xml:space="preserve"> </w:t>
      </w:r>
      <w:r w:rsidR="009D0F49" w:rsidRPr="00EA59C0">
        <w:t>95</w:t>
      </w:r>
      <w:r w:rsidR="007E6643" w:rsidRPr="00EA59C0">
        <w:t>,</w:t>
      </w:r>
      <w:r w:rsidR="00C026A6" w:rsidRPr="00EA59C0">
        <w:t xml:space="preserve"> </w:t>
      </w:r>
      <w:r w:rsidRPr="00EA59C0">
        <w:t>and</w:t>
      </w:r>
      <w:r w:rsidR="00C026A6" w:rsidRPr="00EA59C0">
        <w:t xml:space="preserve"> </w:t>
      </w:r>
      <w:r w:rsidRPr="00EA59C0">
        <w:t>compile</w:t>
      </w:r>
      <w:r w:rsidR="00C026A6" w:rsidRPr="00EA59C0">
        <w:t xml:space="preserve"> </w:t>
      </w:r>
      <w:r w:rsidRPr="00EA59C0">
        <w:t>outcome</w:t>
      </w:r>
      <w:r w:rsidR="00C026A6" w:rsidRPr="00EA59C0">
        <w:t xml:space="preserve"> </w:t>
      </w:r>
      <w:r w:rsidRPr="00EA59C0">
        <w:t>measures</w:t>
      </w:r>
      <w:r w:rsidR="00C026A6" w:rsidRPr="00EA59C0">
        <w:t xml:space="preserve"> </w:t>
      </w:r>
      <w:r w:rsidRPr="00EA59C0">
        <w:t>and</w:t>
      </w:r>
      <w:r w:rsidR="00C026A6" w:rsidRPr="00EA59C0">
        <w:t xml:space="preserve"> </w:t>
      </w:r>
      <w:r w:rsidRPr="00EA59C0">
        <w:t>fiscal</w:t>
      </w:r>
      <w:r w:rsidR="00C026A6" w:rsidRPr="00EA59C0">
        <w:t xml:space="preserve"> </w:t>
      </w:r>
      <w:r w:rsidRPr="00EA59C0">
        <w:t>reports.</w:t>
      </w:r>
      <w:r w:rsidR="00C026A6" w:rsidRPr="00EA59C0">
        <w:t xml:space="preserve">  </w:t>
      </w:r>
    </w:p>
    <w:p w:rsidR="005845D7" w:rsidRPr="00EA59C0" w:rsidRDefault="005845D7" w:rsidP="00D03948">
      <w:pPr>
        <w:pStyle w:val="ListParagraph"/>
        <w:ind w:left="1800"/>
      </w:pPr>
    </w:p>
    <w:p w:rsidR="007E6643" w:rsidRPr="00EA59C0" w:rsidRDefault="007E6643" w:rsidP="00D03948">
      <w:pPr>
        <w:pStyle w:val="ListParagraph"/>
        <w:numPr>
          <w:ilvl w:val="4"/>
          <w:numId w:val="17"/>
        </w:numPr>
      </w:pPr>
      <w:r w:rsidRPr="00EA59C0">
        <w:t>Reporting</w:t>
      </w:r>
    </w:p>
    <w:p w:rsidR="00EE288B" w:rsidRPr="00EA59C0" w:rsidRDefault="00EE288B" w:rsidP="00313EB6">
      <w:pPr>
        <w:pStyle w:val="ListParagraph"/>
        <w:ind w:left="1800"/>
      </w:pPr>
      <w:r w:rsidRPr="00EA59C0">
        <w:t>Combined</w:t>
      </w:r>
      <w:r w:rsidR="00C026A6" w:rsidRPr="00EA59C0">
        <w:t xml:space="preserve"> </w:t>
      </w:r>
      <w:r w:rsidRPr="00EA59C0">
        <w:t>quarterly</w:t>
      </w:r>
      <w:r w:rsidR="00C026A6" w:rsidRPr="00EA59C0">
        <w:t xml:space="preserve"> </w:t>
      </w:r>
      <w:r w:rsidRPr="00EA59C0">
        <w:t>narrative</w:t>
      </w:r>
      <w:r w:rsidR="00C026A6" w:rsidRPr="00EA59C0">
        <w:t xml:space="preserve"> </w:t>
      </w:r>
      <w:r w:rsidR="009D0F49" w:rsidRPr="00EA59C0">
        <w:t>programmatic</w:t>
      </w:r>
      <w:r w:rsidR="00C026A6" w:rsidRPr="00EA59C0">
        <w:t xml:space="preserve"> </w:t>
      </w:r>
      <w:r w:rsidR="009D0F49" w:rsidRPr="00EA59C0">
        <w:t>and</w:t>
      </w:r>
      <w:r w:rsidR="00C026A6" w:rsidRPr="00EA59C0">
        <w:t xml:space="preserve"> </w:t>
      </w:r>
      <w:r w:rsidR="009D0F49" w:rsidRPr="00EA59C0">
        <w:t>fiscal</w:t>
      </w:r>
      <w:r w:rsidR="00C026A6" w:rsidRPr="00EA59C0">
        <w:t xml:space="preserve"> </w:t>
      </w:r>
      <w:r w:rsidRPr="00EA59C0">
        <w:t>reports</w:t>
      </w:r>
      <w:r w:rsidR="00C026A6" w:rsidRPr="00EA59C0">
        <w:t xml:space="preserve"> </w:t>
      </w:r>
    </w:p>
    <w:p w:rsidR="005845D7" w:rsidRPr="00EA59C0" w:rsidRDefault="009D0F49" w:rsidP="00D03948">
      <w:pPr>
        <w:ind w:left="1800"/>
      </w:pPr>
      <w:r w:rsidRPr="00EA59C0">
        <w:t>As</w:t>
      </w:r>
      <w:r w:rsidR="00C026A6" w:rsidRPr="00EA59C0">
        <w:t xml:space="preserve"> </w:t>
      </w:r>
      <w:r w:rsidRPr="00EA59C0">
        <w:t>the</w:t>
      </w:r>
      <w:r w:rsidR="00C026A6" w:rsidRPr="00EA59C0">
        <w:t xml:space="preserve"> </w:t>
      </w:r>
      <w:r w:rsidRPr="00EA59C0">
        <w:t>prime</w:t>
      </w:r>
      <w:r w:rsidR="00C026A6" w:rsidRPr="00EA59C0">
        <w:t xml:space="preserve"> </w:t>
      </w:r>
      <w:r w:rsidRPr="00EA59C0">
        <w:t>recipient,</w:t>
      </w:r>
      <w:r w:rsidR="00C026A6" w:rsidRPr="00EA59C0">
        <w:t xml:space="preserve"> </w:t>
      </w:r>
      <w:r w:rsidRPr="00EA59C0">
        <w:t>t</w:t>
      </w:r>
      <w:r w:rsidR="00EE288B" w:rsidRPr="00EA59C0">
        <w:t>he</w:t>
      </w:r>
      <w:r w:rsidR="00C026A6" w:rsidRPr="00EA59C0">
        <w:t xml:space="preserve"> </w:t>
      </w:r>
      <w:r w:rsidR="003F7904" w:rsidRPr="00EA59C0">
        <w:t>L</w:t>
      </w:r>
      <w:r w:rsidR="00EE288B" w:rsidRPr="00EA59C0">
        <w:t>ead</w:t>
      </w:r>
      <w:r w:rsidR="00C026A6" w:rsidRPr="00EA59C0">
        <w:t xml:space="preserve"> </w:t>
      </w:r>
      <w:r w:rsidR="00EE288B" w:rsidRPr="00EA59C0">
        <w:t>will</w:t>
      </w:r>
      <w:r w:rsidR="00C026A6" w:rsidRPr="00EA59C0">
        <w:t xml:space="preserve"> </w:t>
      </w:r>
      <w:r w:rsidR="00EE288B" w:rsidRPr="00EA59C0">
        <w:t>submit,</w:t>
      </w:r>
      <w:r w:rsidR="00C026A6" w:rsidRPr="00EA59C0">
        <w:t xml:space="preserve"> </w:t>
      </w:r>
      <w:r w:rsidR="00EE288B" w:rsidRPr="00EA59C0">
        <w:t>on</w:t>
      </w:r>
      <w:r w:rsidR="00C026A6" w:rsidRPr="00EA59C0">
        <w:t xml:space="preserve"> </w:t>
      </w:r>
      <w:r w:rsidR="00EE288B" w:rsidRPr="00EA59C0">
        <w:t>behalf</w:t>
      </w:r>
      <w:r w:rsidR="00C026A6" w:rsidRPr="00EA59C0">
        <w:t xml:space="preserve"> </w:t>
      </w:r>
      <w:r w:rsidR="00EE288B" w:rsidRPr="00EA59C0">
        <w:t>of</w:t>
      </w:r>
      <w:r w:rsidR="00C026A6" w:rsidRPr="00EA59C0">
        <w:t xml:space="preserve"> </w:t>
      </w:r>
      <w:r w:rsidR="00EE288B" w:rsidRPr="00EA59C0">
        <w:t>the</w:t>
      </w:r>
      <w:r w:rsidR="00C026A6" w:rsidRPr="00EA59C0">
        <w:t xml:space="preserve"> </w:t>
      </w:r>
      <w:r w:rsidR="00EE288B" w:rsidRPr="00EA59C0">
        <w:t>consortium,</w:t>
      </w:r>
      <w:r w:rsidR="00C026A6" w:rsidRPr="00EA59C0">
        <w:t xml:space="preserve"> </w:t>
      </w:r>
      <w:r w:rsidR="00EE288B" w:rsidRPr="00EA59C0">
        <w:t>a</w:t>
      </w:r>
      <w:r w:rsidR="00C026A6" w:rsidRPr="00EA59C0">
        <w:t xml:space="preserve"> </w:t>
      </w:r>
      <w:r w:rsidR="00EE288B" w:rsidRPr="00EA59C0">
        <w:t>quarterly</w:t>
      </w:r>
      <w:r w:rsidR="00C026A6" w:rsidRPr="00EA59C0">
        <w:t xml:space="preserve"> </w:t>
      </w:r>
      <w:r w:rsidR="00EE288B" w:rsidRPr="00EA59C0">
        <w:t>narrative</w:t>
      </w:r>
      <w:r w:rsidR="00C026A6" w:rsidRPr="00EA59C0">
        <w:t xml:space="preserve"> </w:t>
      </w:r>
      <w:r w:rsidR="00EE288B" w:rsidRPr="00EA59C0">
        <w:t>programmatic</w:t>
      </w:r>
      <w:r w:rsidR="00C026A6" w:rsidRPr="00EA59C0">
        <w:t xml:space="preserve"> </w:t>
      </w:r>
      <w:r w:rsidR="00EE288B" w:rsidRPr="00EA59C0">
        <w:t>report</w:t>
      </w:r>
      <w:r w:rsidR="00C026A6" w:rsidRPr="00EA59C0">
        <w:t xml:space="preserve"> </w:t>
      </w:r>
      <w:r w:rsidR="00EE288B" w:rsidRPr="00EA59C0">
        <w:t>that</w:t>
      </w:r>
      <w:r w:rsidR="00C026A6" w:rsidRPr="00EA59C0">
        <w:t xml:space="preserve"> </w:t>
      </w:r>
      <w:r w:rsidR="00EE288B" w:rsidRPr="00EA59C0">
        <w:t>compiles</w:t>
      </w:r>
      <w:r w:rsidR="00C026A6" w:rsidRPr="00EA59C0">
        <w:t xml:space="preserve"> </w:t>
      </w:r>
      <w:r w:rsidR="00EE288B" w:rsidRPr="00EA59C0">
        <w:t>the</w:t>
      </w:r>
      <w:r w:rsidR="00C026A6" w:rsidRPr="00EA59C0">
        <w:t xml:space="preserve"> </w:t>
      </w:r>
      <w:r w:rsidR="00EE288B" w:rsidRPr="00EA59C0">
        <w:t>activities</w:t>
      </w:r>
      <w:r w:rsidR="00C026A6" w:rsidRPr="00EA59C0">
        <w:t xml:space="preserve"> </w:t>
      </w:r>
      <w:r w:rsidR="00EE288B" w:rsidRPr="00EA59C0">
        <w:t>of</w:t>
      </w:r>
      <w:r w:rsidR="00C026A6" w:rsidRPr="00EA59C0">
        <w:t xml:space="preserve"> </w:t>
      </w:r>
      <w:r w:rsidR="00EE288B" w:rsidRPr="00EA59C0">
        <w:t>the</w:t>
      </w:r>
      <w:r w:rsidR="00C026A6" w:rsidRPr="00EA59C0">
        <w:t xml:space="preserve"> </w:t>
      </w:r>
      <w:r w:rsidR="00EE288B" w:rsidRPr="00EA59C0">
        <w:t>consortium</w:t>
      </w:r>
      <w:r w:rsidR="00C026A6" w:rsidRPr="00EA59C0">
        <w:t xml:space="preserve"> </w:t>
      </w:r>
      <w:r w:rsidR="00EE288B" w:rsidRPr="00EA59C0">
        <w:t>Member</w:t>
      </w:r>
      <w:r w:rsidR="00C026A6" w:rsidRPr="00EA59C0">
        <w:t xml:space="preserve"> </w:t>
      </w:r>
      <w:r w:rsidR="00EE288B" w:rsidRPr="00EA59C0">
        <w:t>Institutions,</w:t>
      </w:r>
      <w:r w:rsidR="00C026A6" w:rsidRPr="00EA59C0">
        <w:t xml:space="preserve"> </w:t>
      </w:r>
      <w:r w:rsidR="00EE288B" w:rsidRPr="00EA59C0">
        <w:t>to</w:t>
      </w:r>
      <w:r w:rsidR="00C026A6" w:rsidRPr="00EA59C0">
        <w:t xml:space="preserve"> </w:t>
      </w:r>
      <w:r w:rsidR="00EE288B" w:rsidRPr="00EA59C0">
        <w:t>provide</w:t>
      </w:r>
      <w:r w:rsidR="00C026A6" w:rsidRPr="00EA59C0">
        <w:t xml:space="preserve"> </w:t>
      </w:r>
      <w:r w:rsidR="00EE288B" w:rsidRPr="00EA59C0">
        <w:t>a</w:t>
      </w:r>
      <w:r w:rsidR="00C026A6" w:rsidRPr="00EA59C0">
        <w:t xml:space="preserve"> </w:t>
      </w:r>
      <w:r w:rsidR="00EE288B" w:rsidRPr="00EA59C0">
        <w:t>holistic</w:t>
      </w:r>
      <w:r w:rsidR="00C026A6" w:rsidRPr="00EA59C0">
        <w:t xml:space="preserve"> </w:t>
      </w:r>
      <w:r w:rsidR="00EE288B" w:rsidRPr="00EA59C0">
        <w:t>picture</w:t>
      </w:r>
      <w:r w:rsidR="00C026A6" w:rsidRPr="00EA59C0">
        <w:t xml:space="preserve"> </w:t>
      </w:r>
      <w:r w:rsidR="00EE288B" w:rsidRPr="00EA59C0">
        <w:t>of</w:t>
      </w:r>
      <w:r w:rsidR="00C026A6" w:rsidRPr="00EA59C0">
        <w:t xml:space="preserve"> </w:t>
      </w:r>
      <w:r w:rsidR="00EE288B" w:rsidRPr="00EA59C0">
        <w:t>the</w:t>
      </w:r>
      <w:r w:rsidR="00C026A6" w:rsidRPr="00EA59C0">
        <w:t xml:space="preserve"> </w:t>
      </w:r>
      <w:r w:rsidR="00EE288B" w:rsidRPr="00EA59C0">
        <w:t>consortium</w:t>
      </w:r>
      <w:r w:rsidR="00C026A6" w:rsidRPr="00EA59C0">
        <w:t xml:space="preserve"> </w:t>
      </w:r>
      <w:r w:rsidR="00EE288B" w:rsidRPr="00EA59C0">
        <w:t>award</w:t>
      </w:r>
      <w:r w:rsidR="00C026A6" w:rsidRPr="00EA59C0">
        <w:t xml:space="preserve"> </w:t>
      </w:r>
      <w:r w:rsidR="00EE288B" w:rsidRPr="00EA59C0">
        <w:t>as</w:t>
      </w:r>
      <w:r w:rsidR="00C026A6" w:rsidRPr="00EA59C0">
        <w:t xml:space="preserve"> </w:t>
      </w:r>
      <w:r w:rsidR="00EE288B" w:rsidRPr="00EA59C0">
        <w:t>well</w:t>
      </w:r>
      <w:r w:rsidR="00C026A6" w:rsidRPr="00EA59C0">
        <w:t xml:space="preserve"> </w:t>
      </w:r>
      <w:r w:rsidR="00EE288B" w:rsidRPr="00EA59C0">
        <w:t>as</w:t>
      </w:r>
      <w:r w:rsidR="00C026A6" w:rsidRPr="00EA59C0">
        <w:t xml:space="preserve"> </w:t>
      </w:r>
      <w:r w:rsidR="00EE288B" w:rsidRPr="00EA59C0">
        <w:t>progress</w:t>
      </w:r>
      <w:r w:rsidR="00C026A6" w:rsidRPr="00EA59C0">
        <w:t xml:space="preserve"> </w:t>
      </w:r>
      <w:r w:rsidR="00EE288B" w:rsidRPr="00EA59C0">
        <w:t>of</w:t>
      </w:r>
      <w:r w:rsidR="00C026A6" w:rsidRPr="00EA59C0">
        <w:t xml:space="preserve"> </w:t>
      </w:r>
      <w:r w:rsidR="00EE288B" w:rsidRPr="00EA59C0">
        <w:t>the</w:t>
      </w:r>
      <w:r w:rsidR="00C026A6" w:rsidRPr="00EA59C0">
        <w:t xml:space="preserve"> </w:t>
      </w:r>
      <w:r w:rsidR="00EE288B" w:rsidRPr="00EA59C0">
        <w:t>individual</w:t>
      </w:r>
      <w:r w:rsidR="00C026A6" w:rsidRPr="00EA59C0">
        <w:t xml:space="preserve"> </w:t>
      </w:r>
      <w:r w:rsidR="00EE288B" w:rsidRPr="00EA59C0">
        <w:t>member</w:t>
      </w:r>
      <w:r w:rsidR="00C026A6" w:rsidRPr="00EA59C0">
        <w:t xml:space="preserve"> </w:t>
      </w:r>
      <w:r w:rsidR="00EE288B" w:rsidRPr="00EA59C0">
        <w:t>institution</w:t>
      </w:r>
      <w:r w:rsidR="00C026A6" w:rsidRPr="00EA59C0">
        <w:t xml:space="preserve"> </w:t>
      </w:r>
      <w:r w:rsidR="00EE288B" w:rsidRPr="00EA59C0">
        <w:t>grants.</w:t>
      </w:r>
      <w:r w:rsidR="00C026A6" w:rsidRPr="00EA59C0">
        <w:t xml:space="preserve">  </w:t>
      </w:r>
      <w:r w:rsidR="003F7904" w:rsidRPr="00EA59C0">
        <w:t>The</w:t>
      </w:r>
      <w:r w:rsidR="00C026A6" w:rsidRPr="00EA59C0">
        <w:t xml:space="preserve"> </w:t>
      </w:r>
      <w:r w:rsidR="003F7904" w:rsidRPr="00EA59C0">
        <w:t>Lead</w:t>
      </w:r>
      <w:r w:rsidR="00C026A6" w:rsidRPr="00EA59C0">
        <w:t xml:space="preserve"> </w:t>
      </w:r>
      <w:r w:rsidR="00897908" w:rsidRPr="00EA59C0">
        <w:t>I</w:t>
      </w:r>
      <w:r w:rsidR="005E427A" w:rsidRPr="00EA59C0">
        <w:t>nstitution</w:t>
      </w:r>
      <w:r w:rsidR="00C026A6" w:rsidRPr="00EA59C0">
        <w:t xml:space="preserve"> </w:t>
      </w:r>
      <w:r w:rsidR="003F7904" w:rsidRPr="00EA59C0">
        <w:t>will</w:t>
      </w:r>
      <w:r w:rsidR="00C026A6" w:rsidRPr="00EA59C0">
        <w:t xml:space="preserve"> </w:t>
      </w:r>
      <w:r w:rsidR="003F7904" w:rsidRPr="00EA59C0">
        <w:t>also</w:t>
      </w:r>
      <w:r w:rsidR="00C026A6" w:rsidRPr="00EA59C0">
        <w:t xml:space="preserve"> </w:t>
      </w:r>
      <w:r w:rsidR="003F7904" w:rsidRPr="00EA59C0">
        <w:t>submit</w:t>
      </w:r>
      <w:r w:rsidR="00C026A6" w:rsidRPr="00EA59C0">
        <w:t xml:space="preserve"> </w:t>
      </w:r>
      <w:r w:rsidR="003F7904" w:rsidRPr="00EA59C0">
        <w:t>an</w:t>
      </w:r>
      <w:r w:rsidR="00C026A6" w:rsidRPr="00EA59C0">
        <w:t xml:space="preserve"> </w:t>
      </w:r>
      <w:r w:rsidR="003F7904" w:rsidRPr="00EA59C0">
        <w:t>Annual</w:t>
      </w:r>
      <w:r w:rsidR="00C026A6" w:rsidRPr="00EA59C0">
        <w:t xml:space="preserve"> </w:t>
      </w:r>
      <w:r w:rsidR="003F7904" w:rsidRPr="00EA59C0">
        <w:t>Performance</w:t>
      </w:r>
      <w:r w:rsidR="00C026A6" w:rsidRPr="00EA59C0">
        <w:t xml:space="preserve"> </w:t>
      </w:r>
      <w:r w:rsidR="003F7904" w:rsidRPr="00EA59C0">
        <w:t>Report</w:t>
      </w:r>
      <w:r w:rsidR="00C026A6" w:rsidRPr="00EA59C0">
        <w:t xml:space="preserve"> </w:t>
      </w:r>
      <w:r w:rsidR="003F7904" w:rsidRPr="00EA59C0">
        <w:t>on</w:t>
      </w:r>
      <w:r w:rsidR="00C026A6" w:rsidRPr="00EA59C0">
        <w:t xml:space="preserve"> </w:t>
      </w:r>
      <w:r w:rsidR="003F7904" w:rsidRPr="00EA59C0">
        <w:t>behalf</w:t>
      </w:r>
      <w:r w:rsidR="00C026A6" w:rsidRPr="00EA59C0">
        <w:t xml:space="preserve"> </w:t>
      </w:r>
      <w:r w:rsidR="003F7904" w:rsidRPr="00EA59C0">
        <w:t>of</w:t>
      </w:r>
      <w:r w:rsidR="00C026A6" w:rsidRPr="00EA59C0">
        <w:t xml:space="preserve"> </w:t>
      </w:r>
      <w:r w:rsidR="003F7904" w:rsidRPr="00EA59C0">
        <w:t>the</w:t>
      </w:r>
      <w:r w:rsidR="00C026A6" w:rsidRPr="00EA59C0">
        <w:t xml:space="preserve"> </w:t>
      </w:r>
      <w:r w:rsidR="003F7904" w:rsidRPr="00EA59C0">
        <w:t>consortium.</w:t>
      </w:r>
      <w:r w:rsidR="00C026A6" w:rsidRPr="00EA59C0">
        <w:t xml:space="preserve">  </w:t>
      </w:r>
      <w:r w:rsidRPr="00EA59C0">
        <w:t>Additionally,</w:t>
      </w:r>
      <w:r w:rsidR="00C026A6" w:rsidRPr="00EA59C0">
        <w:t xml:space="preserve"> </w:t>
      </w:r>
      <w:r w:rsidRPr="00EA59C0">
        <w:t>the</w:t>
      </w:r>
      <w:r w:rsidR="00C026A6" w:rsidRPr="00EA59C0">
        <w:t xml:space="preserve"> </w:t>
      </w:r>
      <w:r w:rsidR="00897908" w:rsidRPr="00EA59C0">
        <w:t>L</w:t>
      </w:r>
      <w:r w:rsidRPr="00EA59C0">
        <w:t>ead</w:t>
      </w:r>
      <w:r w:rsidR="00C026A6" w:rsidRPr="00EA59C0">
        <w:t xml:space="preserve"> </w:t>
      </w:r>
      <w:r w:rsidR="00897908" w:rsidRPr="00EA59C0">
        <w:t>I</w:t>
      </w:r>
      <w:r w:rsidR="005E427A" w:rsidRPr="00EA59C0">
        <w:t>nstitution</w:t>
      </w:r>
      <w:r w:rsidR="00C026A6" w:rsidRPr="00EA59C0">
        <w:t xml:space="preserve"> </w:t>
      </w:r>
      <w:r w:rsidRPr="00EA59C0">
        <w:t>must</w:t>
      </w:r>
      <w:r w:rsidR="00C026A6" w:rsidRPr="00EA59C0">
        <w:t xml:space="preserve"> </w:t>
      </w:r>
      <w:r w:rsidRPr="00EA59C0">
        <w:t>submit</w:t>
      </w:r>
      <w:r w:rsidR="00C026A6" w:rsidRPr="00EA59C0">
        <w:t xml:space="preserve"> </w:t>
      </w:r>
      <w:r w:rsidR="005E427A" w:rsidRPr="00EA59C0">
        <w:t>the</w:t>
      </w:r>
      <w:r w:rsidR="00C026A6" w:rsidRPr="00EA59C0">
        <w:t xml:space="preserve"> </w:t>
      </w:r>
      <w:r w:rsidRPr="00EA59C0">
        <w:t>quarterly</w:t>
      </w:r>
      <w:r w:rsidR="00C026A6" w:rsidRPr="00EA59C0">
        <w:t xml:space="preserve"> </w:t>
      </w:r>
      <w:r w:rsidRPr="00EA59C0">
        <w:t>financial</w:t>
      </w:r>
      <w:r w:rsidR="00C026A6" w:rsidRPr="00EA59C0">
        <w:t xml:space="preserve"> </w:t>
      </w:r>
      <w:r w:rsidRPr="00EA59C0">
        <w:t>reports</w:t>
      </w:r>
      <w:r w:rsidR="00C026A6" w:rsidRPr="00EA59C0">
        <w:t xml:space="preserve"> </w:t>
      </w:r>
      <w:r w:rsidRPr="00EA59C0">
        <w:t>using</w:t>
      </w:r>
      <w:r w:rsidR="00C026A6" w:rsidRPr="00EA59C0">
        <w:t xml:space="preserve"> </w:t>
      </w:r>
      <w:r w:rsidRPr="00EA59C0">
        <w:t>ETA</w:t>
      </w:r>
      <w:r w:rsidR="00C026A6" w:rsidRPr="00EA59C0">
        <w:t xml:space="preserve"> </w:t>
      </w:r>
      <w:r w:rsidRPr="00EA59C0">
        <w:t>Form</w:t>
      </w:r>
      <w:r w:rsidR="00C026A6" w:rsidRPr="00EA59C0">
        <w:t xml:space="preserve"> </w:t>
      </w:r>
      <w:r w:rsidRPr="00EA59C0">
        <w:t>9130.</w:t>
      </w:r>
    </w:p>
    <w:p w:rsidR="001D3181" w:rsidRPr="00EA59C0" w:rsidRDefault="001D3181" w:rsidP="005845D7">
      <w:pPr>
        <w:ind w:left="1800"/>
      </w:pPr>
    </w:p>
    <w:p w:rsidR="00EE288B" w:rsidRPr="00EA59C0" w:rsidRDefault="00EE288B" w:rsidP="00A72633">
      <w:pPr>
        <w:pStyle w:val="ListParagraph"/>
        <w:numPr>
          <w:ilvl w:val="4"/>
          <w:numId w:val="17"/>
        </w:numPr>
      </w:pPr>
      <w:r w:rsidRPr="00EA59C0">
        <w:t>Prior</w:t>
      </w:r>
      <w:r w:rsidR="00C026A6" w:rsidRPr="00EA59C0">
        <w:t xml:space="preserve"> </w:t>
      </w:r>
      <w:r w:rsidRPr="00EA59C0">
        <w:t>approval</w:t>
      </w:r>
      <w:r w:rsidR="00C026A6" w:rsidRPr="00EA59C0">
        <w:t xml:space="preserve"> </w:t>
      </w:r>
      <w:r w:rsidRPr="00EA59C0">
        <w:t>requests</w:t>
      </w:r>
      <w:r w:rsidR="00C026A6" w:rsidRPr="00EA59C0">
        <w:t xml:space="preserve">  </w:t>
      </w:r>
    </w:p>
    <w:p w:rsidR="00EE288B" w:rsidRPr="00EA59C0" w:rsidRDefault="00EE288B" w:rsidP="00A72633">
      <w:pPr>
        <w:ind w:left="1800"/>
      </w:pPr>
      <w:r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r w:rsidRPr="00EA59C0">
        <w:t>will</w:t>
      </w:r>
      <w:r w:rsidR="00C026A6" w:rsidRPr="00EA59C0">
        <w:t xml:space="preserve"> </w:t>
      </w:r>
      <w:r w:rsidRPr="00EA59C0">
        <w:t>submit</w:t>
      </w:r>
      <w:r w:rsidR="00C026A6" w:rsidRPr="00EA59C0">
        <w:t xml:space="preserve"> </w:t>
      </w:r>
      <w:r w:rsidRPr="00EA59C0">
        <w:t>to</w:t>
      </w:r>
      <w:r w:rsidR="00C026A6" w:rsidRPr="00EA59C0">
        <w:t xml:space="preserve"> </w:t>
      </w:r>
      <w:r w:rsidRPr="00EA59C0">
        <w:t>the</w:t>
      </w:r>
      <w:r w:rsidR="00C026A6" w:rsidRPr="00EA59C0">
        <w:t xml:space="preserve"> </w:t>
      </w:r>
      <w:r w:rsidRPr="00EA59C0">
        <w:t>Grant</w:t>
      </w:r>
      <w:r w:rsidR="00C026A6" w:rsidRPr="00EA59C0">
        <w:t xml:space="preserve"> </w:t>
      </w:r>
      <w:r w:rsidRPr="00EA59C0">
        <w:t>Officer</w:t>
      </w:r>
      <w:r w:rsidR="00C026A6" w:rsidRPr="00EA59C0">
        <w:t xml:space="preserve"> </w:t>
      </w:r>
      <w:r w:rsidRPr="00EA59C0">
        <w:t>all</w:t>
      </w:r>
      <w:r w:rsidR="00C026A6" w:rsidRPr="00EA59C0">
        <w:t xml:space="preserve"> </w:t>
      </w:r>
      <w:r w:rsidRPr="00EA59C0">
        <w:t>requests</w:t>
      </w:r>
      <w:r w:rsidR="00C026A6" w:rsidRPr="00EA59C0">
        <w:t xml:space="preserve"> </w:t>
      </w:r>
      <w:r w:rsidRPr="00EA59C0">
        <w:t>under</w:t>
      </w:r>
      <w:r w:rsidR="00C026A6" w:rsidRPr="00EA59C0">
        <w:t xml:space="preserve"> </w:t>
      </w:r>
      <w:r w:rsidRPr="00EA59C0">
        <w:t>the</w:t>
      </w:r>
      <w:r w:rsidR="00C026A6" w:rsidRPr="00EA59C0">
        <w:t xml:space="preserve"> </w:t>
      </w:r>
      <w:r w:rsidRPr="00EA59C0">
        <w:t>consortium</w:t>
      </w:r>
      <w:r w:rsidR="00C026A6" w:rsidRPr="00EA59C0">
        <w:t xml:space="preserve"> </w:t>
      </w:r>
      <w:r w:rsidRPr="00EA59C0">
        <w:t>award,</w:t>
      </w:r>
      <w:r w:rsidR="00C026A6" w:rsidRPr="00EA59C0">
        <w:t xml:space="preserve"> </w:t>
      </w:r>
      <w:r w:rsidRPr="00EA59C0">
        <w:t>including</w:t>
      </w:r>
      <w:r w:rsidR="00C026A6" w:rsidRPr="00EA59C0">
        <w:t xml:space="preserve"> </w:t>
      </w:r>
      <w:r w:rsidRPr="00EA59C0">
        <w:t>those</w:t>
      </w:r>
      <w:r w:rsidR="00C026A6" w:rsidRPr="00EA59C0">
        <w:t xml:space="preserve"> </w:t>
      </w:r>
      <w:r w:rsidRPr="00EA59C0">
        <w:t>of</w:t>
      </w:r>
      <w:r w:rsidR="00C026A6" w:rsidRPr="00EA59C0">
        <w:t xml:space="preserve"> </w:t>
      </w:r>
      <w:r w:rsidRPr="00EA59C0">
        <w:t>consortium</w:t>
      </w:r>
      <w:r w:rsidR="00C026A6" w:rsidRPr="00EA59C0">
        <w:t xml:space="preserve"> </w:t>
      </w:r>
      <w:r w:rsidRPr="00EA59C0">
        <w:t>Member</w:t>
      </w:r>
      <w:r w:rsidR="00C026A6" w:rsidRPr="00EA59C0">
        <w:t xml:space="preserve"> </w:t>
      </w:r>
      <w:r w:rsidRPr="00EA59C0">
        <w:t>Institutions,</w:t>
      </w:r>
      <w:r w:rsidR="00C026A6" w:rsidRPr="00EA59C0">
        <w:t xml:space="preserve"> </w:t>
      </w:r>
      <w:r w:rsidRPr="00EA59C0">
        <w:t>to</w:t>
      </w:r>
      <w:r w:rsidR="00C026A6" w:rsidRPr="00EA59C0">
        <w:t xml:space="preserve"> </w:t>
      </w:r>
      <w:r w:rsidRPr="00EA59C0">
        <w:t>acquire</w:t>
      </w:r>
      <w:r w:rsidR="00C026A6" w:rsidRPr="00EA59C0">
        <w:t xml:space="preserve"> </w:t>
      </w:r>
      <w:r w:rsidRPr="00EA59C0">
        <w:t>equipment</w:t>
      </w:r>
      <w:r w:rsidR="00C026A6" w:rsidRPr="00EA59C0">
        <w:t xml:space="preserve"> </w:t>
      </w:r>
      <w:r w:rsidRPr="00EA59C0">
        <w:t>and</w:t>
      </w:r>
      <w:r w:rsidR="00C026A6" w:rsidRPr="00EA59C0">
        <w:t xml:space="preserve"> </w:t>
      </w:r>
      <w:r w:rsidRPr="00EA59C0">
        <w:t>capital</w:t>
      </w:r>
      <w:r w:rsidR="00C026A6" w:rsidRPr="00EA59C0">
        <w:t xml:space="preserve"> </w:t>
      </w:r>
      <w:r w:rsidRPr="00EA59C0">
        <w:t>expenditures</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requests</w:t>
      </w:r>
      <w:r w:rsidR="00C026A6" w:rsidRPr="00EA59C0">
        <w:t xml:space="preserve"> </w:t>
      </w:r>
      <w:r w:rsidRPr="00EA59C0">
        <w:t>for</w:t>
      </w:r>
      <w:r w:rsidR="00C026A6" w:rsidRPr="00EA59C0">
        <w:t xml:space="preserve"> </w:t>
      </w:r>
      <w:r w:rsidRPr="00EA59C0">
        <w:t>approval</w:t>
      </w:r>
      <w:r w:rsidR="00C026A6" w:rsidRPr="00EA59C0">
        <w:t xml:space="preserve"> </w:t>
      </w:r>
      <w:r w:rsidRPr="00EA59C0">
        <w:t>of</w:t>
      </w:r>
      <w:r w:rsidR="00C026A6" w:rsidRPr="00EA59C0">
        <w:t xml:space="preserve"> </w:t>
      </w:r>
      <w:r w:rsidRPr="00EA59C0">
        <w:t>rearrangement</w:t>
      </w:r>
      <w:r w:rsidR="00C026A6" w:rsidRPr="00EA59C0">
        <w:t xml:space="preserve"> </w:t>
      </w:r>
      <w:r w:rsidRPr="00EA59C0">
        <w:t>(renovation)</w:t>
      </w:r>
      <w:r w:rsidR="00C026A6" w:rsidRPr="00EA59C0">
        <w:t xml:space="preserve"> </w:t>
      </w:r>
      <w:r w:rsidRPr="00EA59C0">
        <w:t>and</w:t>
      </w:r>
      <w:r w:rsidR="00C026A6" w:rsidRPr="00EA59C0">
        <w:t xml:space="preserve"> </w:t>
      </w:r>
      <w:r w:rsidRPr="00EA59C0">
        <w:t>alterations,</w:t>
      </w:r>
      <w:r w:rsidR="00C026A6" w:rsidRPr="00EA59C0">
        <w:t xml:space="preserve"> </w:t>
      </w:r>
      <w:r w:rsidRPr="00EA59C0">
        <w:t>as</w:t>
      </w:r>
      <w:r w:rsidR="00C026A6" w:rsidRPr="00EA59C0">
        <w:t xml:space="preserve"> </w:t>
      </w:r>
      <w:r w:rsidRPr="00EA59C0">
        <w:t>dictated</w:t>
      </w:r>
      <w:r w:rsidR="00C026A6" w:rsidRPr="00EA59C0">
        <w:t xml:space="preserve"> </w:t>
      </w:r>
      <w:r w:rsidRPr="00EA59C0">
        <w:t>by</w:t>
      </w:r>
      <w:r w:rsidR="00C026A6" w:rsidRPr="00EA59C0">
        <w:t xml:space="preserve"> </w:t>
      </w:r>
      <w:r w:rsidRPr="00EA59C0">
        <w:t>the</w:t>
      </w:r>
      <w:r w:rsidR="00C026A6" w:rsidRPr="00EA59C0">
        <w:t xml:space="preserve"> </w:t>
      </w:r>
      <w:r w:rsidRPr="00EA59C0">
        <w:t>cost</w:t>
      </w:r>
      <w:r w:rsidR="00C026A6" w:rsidRPr="00EA59C0">
        <w:t xml:space="preserve"> </w:t>
      </w:r>
      <w:r w:rsidRPr="00EA59C0">
        <w:t>principles</w:t>
      </w:r>
      <w:r w:rsidR="00C026A6" w:rsidRPr="00EA59C0">
        <w:t xml:space="preserve"> </w:t>
      </w:r>
      <w:r w:rsidR="00422A52" w:rsidRPr="00EA59C0">
        <w:t xml:space="preserve">located in OMB Circular A-21 at </w:t>
      </w:r>
      <w:hyperlink r:id="rId242" w:history="1">
        <w:r w:rsidR="000643DC" w:rsidRPr="00BB093B">
          <w:rPr>
            <w:rStyle w:val="Hyperlink"/>
          </w:rPr>
          <w:t>http://www.whitehouse.gov/omb/grants_circulars</w:t>
        </w:r>
      </w:hyperlink>
      <w:r w:rsidRPr="00EA59C0">
        <w:t>.</w:t>
      </w:r>
      <w:r w:rsidR="000643DC">
        <w:t xml:space="preserve"> </w:t>
      </w:r>
    </w:p>
    <w:p w:rsidR="00A454D2" w:rsidRPr="00EA59C0" w:rsidRDefault="00A454D2" w:rsidP="00A72633">
      <w:pPr>
        <w:ind w:left="1530"/>
      </w:pPr>
    </w:p>
    <w:p w:rsidR="00EE288B" w:rsidRPr="00EA59C0" w:rsidRDefault="00EE288B" w:rsidP="00A72633">
      <w:pPr>
        <w:pStyle w:val="ListParagraph"/>
        <w:numPr>
          <w:ilvl w:val="4"/>
          <w:numId w:val="17"/>
        </w:numPr>
      </w:pPr>
      <w:r w:rsidRPr="00EA59C0">
        <w:t>Provision</w:t>
      </w:r>
      <w:r w:rsidR="00C026A6" w:rsidRPr="00EA59C0">
        <w:t xml:space="preserve"> </w:t>
      </w:r>
      <w:r w:rsidRPr="00EA59C0">
        <w:t>of</w:t>
      </w:r>
      <w:r w:rsidR="00C026A6" w:rsidRPr="00EA59C0">
        <w:t xml:space="preserve"> </w:t>
      </w:r>
      <w:r w:rsidRPr="00EA59C0">
        <w:t>Technical</w:t>
      </w:r>
      <w:r w:rsidR="00C026A6" w:rsidRPr="00EA59C0">
        <w:t xml:space="preserve"> </w:t>
      </w:r>
      <w:r w:rsidRPr="00EA59C0">
        <w:t>Assistance</w:t>
      </w:r>
      <w:r w:rsidR="00C026A6" w:rsidRPr="00EA59C0">
        <w:t xml:space="preserve"> </w:t>
      </w:r>
      <w:r w:rsidRPr="00EA59C0">
        <w:t>and</w:t>
      </w:r>
      <w:r w:rsidR="00C026A6" w:rsidRPr="00EA59C0">
        <w:t xml:space="preserve"> </w:t>
      </w:r>
      <w:r w:rsidRPr="00EA59C0">
        <w:t>Training</w:t>
      </w:r>
      <w:r w:rsidR="00C026A6" w:rsidRPr="00EA59C0">
        <w:t xml:space="preserve">  </w:t>
      </w:r>
    </w:p>
    <w:p w:rsidR="00A454D2" w:rsidRPr="00EA59C0" w:rsidRDefault="00EE288B" w:rsidP="00A72633">
      <w:pPr>
        <w:ind w:left="1800"/>
      </w:pPr>
      <w:r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r w:rsidRPr="00EA59C0">
        <w:t>will</w:t>
      </w:r>
      <w:r w:rsidR="00C026A6" w:rsidRPr="00EA59C0">
        <w:t xml:space="preserve"> </w:t>
      </w:r>
      <w:r w:rsidRPr="00EA59C0">
        <w:t>provide</w:t>
      </w:r>
      <w:r w:rsidR="00C026A6" w:rsidRPr="00EA59C0">
        <w:t xml:space="preserve"> </w:t>
      </w:r>
      <w:r w:rsidRPr="00EA59C0">
        <w:t>to</w:t>
      </w:r>
      <w:r w:rsidR="00C026A6" w:rsidRPr="00EA59C0">
        <w:t xml:space="preserve"> </w:t>
      </w:r>
      <w:r w:rsidRPr="00EA59C0">
        <w:t>consortium</w:t>
      </w:r>
      <w:r w:rsidR="00C026A6" w:rsidRPr="00EA59C0">
        <w:t xml:space="preserve"> </w:t>
      </w:r>
      <w:r w:rsidRPr="00EA59C0">
        <w:t>member</w:t>
      </w:r>
      <w:r w:rsidR="00C026A6" w:rsidRPr="00EA59C0">
        <w:t xml:space="preserve"> </w:t>
      </w:r>
      <w:r w:rsidRPr="00EA59C0">
        <w:t>institutions</w:t>
      </w:r>
      <w:r w:rsidR="00C026A6" w:rsidRPr="00EA59C0">
        <w:t xml:space="preserve"> </w:t>
      </w:r>
      <w:r w:rsidRPr="00EA59C0">
        <w:t>technical</w:t>
      </w:r>
      <w:r w:rsidR="00C026A6" w:rsidRPr="00EA59C0">
        <w:t xml:space="preserve"> </w:t>
      </w:r>
      <w:r w:rsidRPr="00EA59C0">
        <w:t>assistance</w:t>
      </w:r>
      <w:r w:rsidR="00C026A6" w:rsidRPr="00EA59C0">
        <w:t xml:space="preserve"> </w:t>
      </w:r>
      <w:r w:rsidRPr="00EA59C0">
        <w:t>and</w:t>
      </w:r>
      <w:r w:rsidR="00C026A6" w:rsidRPr="00EA59C0">
        <w:t xml:space="preserve"> </w:t>
      </w:r>
      <w:r w:rsidRPr="00EA59C0">
        <w:t>training</w:t>
      </w:r>
      <w:r w:rsidR="00C026A6" w:rsidRPr="00EA59C0">
        <w:t xml:space="preserve"> </w:t>
      </w:r>
      <w:r w:rsidRPr="00EA59C0">
        <w:t>related</w:t>
      </w:r>
      <w:r w:rsidR="00C026A6" w:rsidRPr="00EA59C0">
        <w:t xml:space="preserve"> </w:t>
      </w:r>
      <w:r w:rsidRPr="00EA59C0">
        <w:t>to</w:t>
      </w:r>
      <w:r w:rsidR="00C026A6" w:rsidRPr="00EA59C0">
        <w:t xml:space="preserve"> </w:t>
      </w:r>
      <w:r w:rsidRPr="00EA59C0">
        <w:t>programmatic,</w:t>
      </w:r>
      <w:r w:rsidR="00C026A6" w:rsidRPr="00EA59C0">
        <w:t xml:space="preserve"> </w:t>
      </w:r>
      <w:r w:rsidRPr="00EA59C0">
        <w:t>fiscal,</w:t>
      </w:r>
      <w:r w:rsidR="00C026A6" w:rsidRPr="00EA59C0">
        <w:t xml:space="preserve"> </w:t>
      </w:r>
      <w:r w:rsidRPr="00EA59C0">
        <w:t>and</w:t>
      </w:r>
      <w:r w:rsidR="00C026A6" w:rsidRPr="00EA59C0">
        <w:t xml:space="preserve"> </w:t>
      </w:r>
      <w:r w:rsidRPr="00EA59C0">
        <w:t>reporting</w:t>
      </w:r>
      <w:r w:rsidR="00C026A6" w:rsidRPr="00EA59C0">
        <w:t xml:space="preserve"> </w:t>
      </w:r>
      <w:r w:rsidRPr="00EA59C0">
        <w:t>requirements.</w:t>
      </w:r>
      <w:r w:rsidR="00C026A6" w:rsidRPr="00EA59C0">
        <w:t xml:space="preserve">  </w:t>
      </w:r>
    </w:p>
    <w:p w:rsidR="00020A03" w:rsidRPr="00EA59C0" w:rsidRDefault="00020A03" w:rsidP="00A72633">
      <w:pPr>
        <w:ind w:left="1800"/>
      </w:pPr>
    </w:p>
    <w:p w:rsidR="00EE288B" w:rsidRPr="00EA59C0" w:rsidRDefault="00EE288B" w:rsidP="00A72633">
      <w:pPr>
        <w:pStyle w:val="ListParagraph"/>
        <w:numPr>
          <w:ilvl w:val="4"/>
          <w:numId w:val="17"/>
        </w:numPr>
      </w:pPr>
      <w:r w:rsidRPr="00EA59C0">
        <w:t>Project</w:t>
      </w:r>
      <w:r w:rsidR="00C026A6" w:rsidRPr="00EA59C0">
        <w:t xml:space="preserve"> </w:t>
      </w:r>
      <w:r w:rsidRPr="00EA59C0">
        <w:t>Evaluation</w:t>
      </w:r>
      <w:r w:rsidR="00C026A6" w:rsidRPr="00EA59C0">
        <w:t xml:space="preserve">  </w:t>
      </w:r>
    </w:p>
    <w:p w:rsidR="00EE288B" w:rsidRPr="00EA59C0" w:rsidRDefault="00EE288B" w:rsidP="00A72633">
      <w:pPr>
        <w:ind w:left="1800"/>
      </w:pPr>
      <w:r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r w:rsidRPr="00EA59C0">
        <w:t>will</w:t>
      </w:r>
      <w:r w:rsidR="00C026A6" w:rsidRPr="00EA59C0">
        <w:t xml:space="preserve"> </w:t>
      </w:r>
      <w:r w:rsidRPr="00EA59C0">
        <w:t>be</w:t>
      </w:r>
      <w:r w:rsidR="00C026A6" w:rsidRPr="00EA59C0">
        <w:t xml:space="preserve"> </w:t>
      </w:r>
      <w:r w:rsidRPr="00EA59C0">
        <w:t>responsible</w:t>
      </w:r>
      <w:r w:rsidR="00C026A6" w:rsidRPr="00EA59C0">
        <w:t xml:space="preserve"> </w:t>
      </w:r>
      <w:r w:rsidRPr="00EA59C0">
        <w:t>for</w:t>
      </w:r>
      <w:r w:rsidR="00C026A6" w:rsidRPr="00EA59C0">
        <w:t xml:space="preserve"> </w:t>
      </w:r>
      <w:r w:rsidRPr="00EA59C0">
        <w:t>procurement</w:t>
      </w:r>
      <w:r w:rsidR="00C026A6" w:rsidRPr="00EA59C0">
        <w:t xml:space="preserve"> </w:t>
      </w:r>
      <w:r w:rsidRPr="00EA59C0">
        <w:t>of</w:t>
      </w:r>
      <w:r w:rsidR="00C026A6" w:rsidRPr="00EA59C0">
        <w:t xml:space="preserve"> </w:t>
      </w:r>
      <w:r w:rsidRPr="00EA59C0">
        <w:t>a</w:t>
      </w:r>
      <w:r w:rsidR="00C026A6" w:rsidRPr="00EA59C0">
        <w:t xml:space="preserve"> </w:t>
      </w:r>
      <w:r w:rsidRPr="00EA59C0">
        <w:t>single</w:t>
      </w:r>
      <w:r w:rsidR="00C026A6" w:rsidRPr="00EA59C0">
        <w:t xml:space="preserve"> </w:t>
      </w:r>
      <w:r w:rsidRPr="00EA59C0">
        <w:t>project</w:t>
      </w:r>
      <w:r w:rsidR="00C026A6" w:rsidRPr="00EA59C0">
        <w:t xml:space="preserve"> </w:t>
      </w:r>
      <w:r w:rsidRPr="00EA59C0">
        <w:t>evaluator</w:t>
      </w:r>
      <w:r w:rsidR="00C026A6" w:rsidRPr="00EA59C0">
        <w:t xml:space="preserve"> </w:t>
      </w:r>
      <w:r w:rsidR="00F02CDC" w:rsidRPr="00EA59C0">
        <w:t>as</w:t>
      </w:r>
      <w:r w:rsidR="00C026A6" w:rsidRPr="00EA59C0">
        <w:t xml:space="preserve"> </w:t>
      </w:r>
      <w:r w:rsidR="00F02CDC" w:rsidRPr="00EA59C0">
        <w:t>described</w:t>
      </w:r>
      <w:r w:rsidR="00C026A6" w:rsidRPr="00EA59C0">
        <w:t xml:space="preserve"> </w:t>
      </w:r>
      <w:r w:rsidR="00F02CDC" w:rsidRPr="00EA59C0">
        <w:t>in</w:t>
      </w:r>
      <w:r w:rsidR="00C026A6" w:rsidRPr="00EA59C0">
        <w:t xml:space="preserve"> </w:t>
      </w:r>
      <w:r w:rsidR="00F02CDC" w:rsidRPr="00EA59C0">
        <w:t>Section</w:t>
      </w:r>
      <w:r w:rsidR="00C026A6" w:rsidRPr="00EA59C0">
        <w:t xml:space="preserve"> </w:t>
      </w:r>
      <w:r w:rsidR="00F02CDC" w:rsidRPr="00EA59C0">
        <w:t>V.D</w:t>
      </w:r>
      <w:r w:rsidRPr="00EA59C0">
        <w:t>.</w:t>
      </w:r>
      <w:r w:rsidR="00C026A6" w:rsidRPr="00EA59C0">
        <w:t xml:space="preserve">  </w:t>
      </w:r>
      <w:r w:rsidRPr="00EA59C0">
        <w:t>Additionally,</w:t>
      </w:r>
      <w:r w:rsidR="00C026A6" w:rsidRPr="00EA59C0">
        <w:t xml:space="preserve"> </w:t>
      </w:r>
      <w:r w:rsidRPr="00EA59C0">
        <w:t>all</w:t>
      </w:r>
      <w:r w:rsidR="00C026A6" w:rsidRPr="00EA59C0">
        <w:t xml:space="preserve"> </w:t>
      </w:r>
      <w:r w:rsidRPr="00EA59C0">
        <w:t>associated</w:t>
      </w:r>
      <w:r w:rsidR="00C026A6" w:rsidRPr="00EA59C0">
        <w:t xml:space="preserve"> </w:t>
      </w:r>
      <w:r w:rsidRPr="00EA59C0">
        <w:t>evaluation</w:t>
      </w:r>
      <w:r w:rsidR="00C026A6" w:rsidRPr="00EA59C0">
        <w:t xml:space="preserve"> </w:t>
      </w:r>
      <w:r w:rsidRPr="00EA59C0">
        <w:t>costs</w:t>
      </w:r>
      <w:r w:rsidR="00C026A6" w:rsidRPr="00EA59C0">
        <w:t xml:space="preserve"> </w:t>
      </w:r>
      <w:r w:rsidRPr="00EA59C0">
        <w:t>should</w:t>
      </w:r>
      <w:r w:rsidR="00C026A6" w:rsidRPr="00EA59C0">
        <w:t xml:space="preserve"> </w:t>
      </w:r>
      <w:r w:rsidRPr="00EA59C0">
        <w:t>be</w:t>
      </w:r>
      <w:r w:rsidR="00C026A6" w:rsidRPr="00EA59C0">
        <w:t xml:space="preserve"> </w:t>
      </w:r>
      <w:r w:rsidRPr="00EA59C0">
        <w:t>reflected</w:t>
      </w:r>
      <w:r w:rsidR="00C026A6" w:rsidRPr="00EA59C0">
        <w:t xml:space="preserve"> </w:t>
      </w:r>
      <w:r w:rsidRPr="00EA59C0">
        <w:t>in</w:t>
      </w:r>
      <w:r w:rsidR="00C026A6" w:rsidRPr="00EA59C0">
        <w:t xml:space="preserve"> </w:t>
      </w:r>
      <w:r w:rsidRPr="00EA59C0">
        <w:t>the</w:t>
      </w:r>
      <w:r w:rsidR="00C026A6" w:rsidRPr="00EA59C0">
        <w:t xml:space="preserve"> </w:t>
      </w:r>
      <w:r w:rsidRPr="00EA59C0">
        <w:t>Lead</w:t>
      </w:r>
      <w:r w:rsidR="00C026A6" w:rsidRPr="00EA59C0">
        <w:t xml:space="preserve"> </w:t>
      </w:r>
      <w:r w:rsidRPr="00EA59C0">
        <w:t>Institution</w:t>
      </w:r>
      <w:r w:rsidR="00D05C2B" w:rsidRPr="00EA59C0">
        <w:t>’s</w:t>
      </w:r>
      <w:r w:rsidR="00C026A6" w:rsidRPr="00EA59C0">
        <w:t xml:space="preserve"> </w:t>
      </w:r>
      <w:r w:rsidR="00D05C2B" w:rsidRPr="00EA59C0">
        <w:t>section</w:t>
      </w:r>
      <w:r w:rsidR="00C026A6" w:rsidRPr="00EA59C0">
        <w:t xml:space="preserve"> </w:t>
      </w:r>
      <w:r w:rsidR="00D05C2B" w:rsidRPr="00EA59C0">
        <w:t>of</w:t>
      </w:r>
      <w:r w:rsidR="00C026A6" w:rsidRPr="00EA59C0">
        <w:t xml:space="preserve"> </w:t>
      </w:r>
      <w:r w:rsidR="00D05C2B" w:rsidRPr="00EA59C0">
        <w:t>the</w:t>
      </w:r>
      <w:r w:rsidR="00C026A6" w:rsidRPr="00EA59C0">
        <w:t xml:space="preserve"> </w:t>
      </w:r>
      <w:r w:rsidR="00D05C2B" w:rsidRPr="00EA59C0">
        <w:t>integrated</w:t>
      </w:r>
      <w:r w:rsidR="00C026A6" w:rsidRPr="00EA59C0">
        <w:t xml:space="preserve"> </w:t>
      </w:r>
      <w:r w:rsidR="00D05C2B" w:rsidRPr="00EA59C0">
        <w:t>budget</w:t>
      </w:r>
      <w:r w:rsidR="00C026A6" w:rsidRPr="00EA59C0">
        <w:t xml:space="preserve"> </w:t>
      </w:r>
      <w:r w:rsidR="00D05C2B" w:rsidRPr="00EA59C0">
        <w:t>narrative</w:t>
      </w:r>
      <w:r w:rsidRPr="00EA59C0">
        <w:t>.</w:t>
      </w:r>
    </w:p>
    <w:p w:rsidR="00EE288B" w:rsidRPr="00EA59C0" w:rsidRDefault="00EE288B" w:rsidP="00B93729">
      <w:pPr>
        <w:ind w:left="720" w:firstLine="720"/>
      </w:pPr>
    </w:p>
    <w:p w:rsidR="00EE288B" w:rsidRPr="00EA59C0" w:rsidRDefault="00EE288B" w:rsidP="00A72633">
      <w:pPr>
        <w:ind w:left="1440"/>
      </w:pPr>
      <w:r w:rsidRPr="00EA59C0">
        <w:t>Please</w:t>
      </w:r>
      <w:r w:rsidR="00C026A6" w:rsidRPr="00EA59C0">
        <w:t xml:space="preserve"> </w:t>
      </w:r>
      <w:r w:rsidRPr="00EA59C0">
        <w:t>note</w:t>
      </w:r>
      <w:r w:rsidR="00C026A6" w:rsidRPr="00EA59C0">
        <w:t xml:space="preserve"> </w:t>
      </w:r>
      <w:r w:rsidRPr="00EA59C0">
        <w:t>that</w:t>
      </w:r>
      <w:r w:rsidR="00C026A6" w:rsidRPr="00EA59C0">
        <w:t xml:space="preserve"> </w:t>
      </w:r>
      <w:r w:rsidRPr="00EA59C0">
        <w:t>the</w:t>
      </w:r>
      <w:r w:rsidR="00C026A6" w:rsidRPr="00EA59C0">
        <w:t xml:space="preserve"> </w:t>
      </w:r>
      <w:r w:rsidR="005E427A" w:rsidRPr="00EA59C0">
        <w:t>majority</w:t>
      </w:r>
      <w:r w:rsidR="00C026A6" w:rsidRPr="00EA59C0">
        <w:t xml:space="preserve"> </w:t>
      </w:r>
      <w:r w:rsidR="005E427A" w:rsidRPr="00EA59C0">
        <w:t>of</w:t>
      </w:r>
      <w:r w:rsidR="00C026A6" w:rsidRPr="00EA59C0">
        <w:t xml:space="preserve"> </w:t>
      </w:r>
      <w:r w:rsidR="005E427A" w:rsidRPr="00EA59C0">
        <w:t>the</w:t>
      </w:r>
      <w:r w:rsidR="00C026A6" w:rsidRPr="00EA59C0">
        <w:t xml:space="preserve"> </w:t>
      </w:r>
      <w:r w:rsidRPr="00EA59C0">
        <w:t>above</w:t>
      </w:r>
      <w:r w:rsidR="00C026A6" w:rsidRPr="00EA59C0">
        <w:t xml:space="preserve"> </w:t>
      </w:r>
      <w:r w:rsidRPr="00EA59C0">
        <w:t>activities</w:t>
      </w:r>
      <w:r w:rsidR="00C026A6" w:rsidRPr="00EA59C0">
        <w:t xml:space="preserve"> </w:t>
      </w:r>
      <w:r w:rsidR="00756B8F" w:rsidRPr="00EA59C0">
        <w:t>(1)</w:t>
      </w:r>
      <w:r w:rsidR="00C026A6" w:rsidRPr="00EA59C0">
        <w:t xml:space="preserve"> </w:t>
      </w:r>
      <w:r w:rsidR="00756B8F" w:rsidRPr="00EA59C0">
        <w:t>through</w:t>
      </w:r>
      <w:r w:rsidR="00C026A6" w:rsidRPr="00EA59C0">
        <w:t xml:space="preserve"> </w:t>
      </w:r>
      <w:r w:rsidR="00756B8F" w:rsidRPr="00EA59C0">
        <w:t>(</w:t>
      </w:r>
      <w:r w:rsidR="002E04A5" w:rsidRPr="00EA59C0">
        <w:t>6)</w:t>
      </w:r>
      <w:r w:rsidR="00C026A6" w:rsidRPr="00EA59C0">
        <w:t xml:space="preserve"> </w:t>
      </w:r>
      <w:r w:rsidRPr="00EA59C0">
        <w:t>do</w:t>
      </w:r>
      <w:r w:rsidR="00C026A6" w:rsidRPr="00EA59C0">
        <w:t xml:space="preserve"> </w:t>
      </w:r>
      <w:r w:rsidRPr="00EA59C0">
        <w:t>NOT</w:t>
      </w:r>
      <w:r w:rsidR="00C026A6" w:rsidRPr="00EA59C0">
        <w:t xml:space="preserve"> </w:t>
      </w:r>
      <w:r w:rsidRPr="00EA59C0">
        <w:t>fall</w:t>
      </w:r>
      <w:r w:rsidR="00C026A6" w:rsidRPr="00EA59C0">
        <w:t xml:space="preserve"> </w:t>
      </w:r>
      <w:r w:rsidRPr="00EA59C0">
        <w:t>under</w:t>
      </w:r>
      <w:r w:rsidR="00C026A6" w:rsidRPr="00EA59C0">
        <w:t xml:space="preserve"> </w:t>
      </w:r>
      <w:r w:rsidRPr="00EA59C0">
        <w:t>administrative</w:t>
      </w:r>
      <w:r w:rsidR="00C026A6" w:rsidRPr="00EA59C0">
        <w:t xml:space="preserve"> </w:t>
      </w:r>
      <w:r w:rsidRPr="00EA59C0">
        <w:t>costs</w:t>
      </w:r>
      <w:r w:rsidR="00C026A6" w:rsidRPr="00EA59C0">
        <w:t xml:space="preserve"> </w:t>
      </w:r>
      <w:r w:rsidRPr="00EA59C0">
        <w:t>as</w:t>
      </w:r>
      <w:r w:rsidR="00C026A6" w:rsidRPr="00EA59C0">
        <w:t xml:space="preserve"> </w:t>
      </w:r>
      <w:r w:rsidRPr="00EA59C0">
        <w:t>defined</w:t>
      </w:r>
      <w:r w:rsidR="00C026A6" w:rsidRPr="00EA59C0">
        <w:t xml:space="preserve"> </w:t>
      </w:r>
      <w:r w:rsidRPr="00EA59C0">
        <w:t>under</w:t>
      </w:r>
      <w:r w:rsidR="00C026A6" w:rsidRPr="00EA59C0">
        <w:t xml:space="preserve"> </w:t>
      </w:r>
      <w:r w:rsidRPr="00EA59C0">
        <w:t>the</w:t>
      </w:r>
      <w:r w:rsidR="00C026A6" w:rsidRPr="00EA59C0">
        <w:t xml:space="preserve"> </w:t>
      </w:r>
      <w:r w:rsidRPr="00EA59C0">
        <w:t>TAACCCT</w:t>
      </w:r>
      <w:r w:rsidR="00C026A6" w:rsidRPr="00EA59C0">
        <w:t xml:space="preserve"> </w:t>
      </w:r>
      <w:r w:rsidRPr="00EA59C0">
        <w:t>grants</w:t>
      </w:r>
      <w:r w:rsidR="00C026A6" w:rsidRPr="00EA59C0">
        <w:t xml:space="preserve"> </w:t>
      </w:r>
      <w:r w:rsidRPr="00EA59C0">
        <w:t>(see</w:t>
      </w:r>
      <w:r w:rsidR="00C026A6" w:rsidRPr="00EA59C0">
        <w:t xml:space="preserve"> </w:t>
      </w:r>
      <w:r w:rsidRPr="00EA59C0">
        <w:t>Section</w:t>
      </w:r>
      <w:r w:rsidR="00C026A6" w:rsidRPr="00EA59C0">
        <w:t xml:space="preserve"> </w:t>
      </w:r>
      <w:r w:rsidRPr="00EA59C0">
        <w:t>IV.E.3).</w:t>
      </w:r>
      <w:r w:rsidR="00C026A6" w:rsidRPr="00EA59C0">
        <w:t xml:space="preserve">  </w:t>
      </w:r>
      <w:r w:rsidR="005E427A" w:rsidRPr="00EA59C0">
        <w:t>Most</w:t>
      </w:r>
      <w:r w:rsidR="00C026A6" w:rsidRPr="00EA59C0">
        <w:t xml:space="preserve"> </w:t>
      </w:r>
      <w:r w:rsidR="005E427A" w:rsidRPr="00EA59C0">
        <w:t>of</w:t>
      </w:r>
      <w:r w:rsidR="00C026A6" w:rsidRPr="00EA59C0">
        <w:t xml:space="preserve"> </w:t>
      </w:r>
      <w:r w:rsidR="005E427A" w:rsidRPr="00EA59C0">
        <w:t>these</w:t>
      </w:r>
      <w:r w:rsidR="00C026A6" w:rsidRPr="00EA59C0">
        <w:t xml:space="preserve"> </w:t>
      </w:r>
      <w:r w:rsidRPr="00EA59C0">
        <w:t>costs</w:t>
      </w:r>
      <w:r w:rsidR="00C026A6" w:rsidRPr="00EA59C0">
        <w:t xml:space="preserve"> </w:t>
      </w:r>
      <w:r w:rsidRPr="00EA59C0">
        <w:t>are</w:t>
      </w:r>
      <w:r w:rsidR="00C026A6" w:rsidRPr="00EA59C0">
        <w:t xml:space="preserve"> </w:t>
      </w:r>
      <w:r w:rsidRPr="00EA59C0">
        <w:t>considered</w:t>
      </w:r>
      <w:r w:rsidR="00C026A6" w:rsidRPr="00EA59C0">
        <w:t xml:space="preserve"> </w:t>
      </w:r>
      <w:r w:rsidRPr="00EA59C0">
        <w:t>programmatic</w:t>
      </w:r>
      <w:r w:rsidR="00C026A6" w:rsidRPr="00EA59C0">
        <w:t xml:space="preserve"> </w:t>
      </w:r>
      <w:r w:rsidRPr="00EA59C0">
        <w:t>in</w:t>
      </w:r>
      <w:r w:rsidR="00C026A6" w:rsidRPr="00EA59C0">
        <w:t xml:space="preserve"> </w:t>
      </w:r>
      <w:r w:rsidRPr="00EA59C0">
        <w:t>nature.</w:t>
      </w:r>
      <w:r w:rsidR="00C026A6" w:rsidRPr="00EA59C0">
        <w:t xml:space="preserve">  </w:t>
      </w:r>
      <w:r w:rsidRPr="00EA59C0">
        <w:t>Therefore,</w:t>
      </w:r>
      <w:r w:rsidR="00C026A6" w:rsidRPr="00EA59C0">
        <w:t xml:space="preserve"> </w:t>
      </w:r>
      <w:r w:rsidRPr="00EA59C0">
        <w:t>Lead</w:t>
      </w:r>
      <w:r w:rsidR="00C026A6" w:rsidRPr="00EA59C0">
        <w:t xml:space="preserve"> </w:t>
      </w:r>
      <w:r w:rsidRPr="00EA59C0">
        <w:t>Institutions</w:t>
      </w:r>
      <w:r w:rsidR="00C026A6" w:rsidRPr="00EA59C0">
        <w:t xml:space="preserve"> </w:t>
      </w:r>
      <w:r w:rsidRPr="00EA59C0">
        <w:t>may</w:t>
      </w:r>
      <w:r w:rsidR="00C026A6" w:rsidRPr="00EA59C0">
        <w:t xml:space="preserve"> </w:t>
      </w:r>
      <w:r w:rsidR="00C9449E" w:rsidRPr="00EA59C0">
        <w:t>allocate</w:t>
      </w:r>
      <w:r w:rsidR="00C026A6" w:rsidRPr="00EA59C0">
        <w:t xml:space="preserve"> </w:t>
      </w:r>
      <w:r w:rsidRPr="00EA59C0">
        <w:t>additional</w:t>
      </w:r>
      <w:r w:rsidR="00C026A6" w:rsidRPr="00EA59C0">
        <w:t xml:space="preserve"> </w:t>
      </w:r>
      <w:r w:rsidRPr="00EA59C0">
        <w:t>programmatic</w:t>
      </w:r>
      <w:r w:rsidR="00C026A6" w:rsidRPr="00EA59C0">
        <w:t xml:space="preserve"> </w:t>
      </w:r>
      <w:r w:rsidRPr="00EA59C0">
        <w:t>funds</w:t>
      </w:r>
      <w:r w:rsidR="00C026A6" w:rsidRPr="00EA59C0">
        <w:t xml:space="preserve"> </w:t>
      </w:r>
      <w:r w:rsidRPr="00EA59C0">
        <w:t>to</w:t>
      </w:r>
      <w:r w:rsidR="00C026A6" w:rsidRPr="00EA59C0">
        <w:t xml:space="preserve"> </w:t>
      </w:r>
      <w:r w:rsidRPr="00EA59C0">
        <w:t>support</w:t>
      </w:r>
      <w:r w:rsidR="00C026A6" w:rsidRPr="00EA59C0">
        <w:t xml:space="preserve"> </w:t>
      </w:r>
      <w:r w:rsidRPr="00EA59C0">
        <w:t>implementation</w:t>
      </w:r>
      <w:r w:rsidR="00C026A6" w:rsidRPr="00EA59C0">
        <w:t xml:space="preserve"> </w:t>
      </w:r>
      <w:r w:rsidRPr="00EA59C0">
        <w:t>of</w:t>
      </w:r>
      <w:r w:rsidR="00C026A6" w:rsidRPr="00EA59C0">
        <w:t xml:space="preserve"> </w:t>
      </w:r>
      <w:r w:rsidRPr="00EA59C0">
        <w:t>these</w:t>
      </w:r>
      <w:r w:rsidR="00C026A6" w:rsidRPr="00EA59C0">
        <w:t xml:space="preserve"> </w:t>
      </w:r>
      <w:r w:rsidRPr="00EA59C0">
        <w:t>additional</w:t>
      </w:r>
      <w:r w:rsidR="00C026A6" w:rsidRPr="00EA59C0">
        <w:t xml:space="preserve"> </w:t>
      </w:r>
      <w:r w:rsidRPr="00EA59C0">
        <w:t>activities</w:t>
      </w:r>
      <w:r w:rsidR="00C026A6" w:rsidRPr="00EA59C0">
        <w:t xml:space="preserve"> </w:t>
      </w:r>
      <w:r w:rsidRPr="00EA59C0">
        <w:t>required</w:t>
      </w:r>
      <w:r w:rsidR="00C026A6" w:rsidRPr="00EA59C0">
        <w:t xml:space="preserve"> </w:t>
      </w:r>
      <w:r w:rsidRPr="00EA59C0">
        <w:t>of</w:t>
      </w:r>
      <w:r w:rsidR="00C026A6" w:rsidRPr="00EA59C0">
        <w:t xml:space="preserve"> </w:t>
      </w:r>
      <w:r w:rsidRPr="00EA59C0">
        <w:t>Lead</w:t>
      </w:r>
      <w:r w:rsidR="00C026A6" w:rsidRPr="00EA59C0">
        <w:t xml:space="preserve"> </w:t>
      </w:r>
      <w:r w:rsidRPr="00EA59C0">
        <w:t>Institutions.</w:t>
      </w:r>
      <w:r w:rsidR="00C026A6" w:rsidRPr="00EA59C0">
        <w:t xml:space="preserve">  </w:t>
      </w:r>
    </w:p>
    <w:p w:rsidR="00A454D2" w:rsidRPr="00EA59C0" w:rsidDel="007E6643" w:rsidRDefault="00A454D2" w:rsidP="00A72633">
      <w:pPr>
        <w:ind w:left="1440"/>
      </w:pPr>
    </w:p>
    <w:p w:rsidR="00A454D2" w:rsidRPr="00EA59C0" w:rsidRDefault="00A454D2" w:rsidP="00A72633">
      <w:pPr>
        <w:ind w:left="1440"/>
      </w:pPr>
      <w:r w:rsidRPr="00EA59C0" w:rsidDel="007E6643">
        <w:t>Consortium</w:t>
      </w:r>
      <w:r w:rsidR="00C026A6" w:rsidRPr="00EA59C0">
        <w:t xml:space="preserve"> </w:t>
      </w:r>
      <w:r w:rsidRPr="00EA59C0" w:rsidDel="007E6643">
        <w:t>members</w:t>
      </w:r>
      <w:r w:rsidR="00C026A6" w:rsidRPr="00EA59C0">
        <w:t xml:space="preserve"> </w:t>
      </w:r>
      <w:r w:rsidRPr="00EA59C0" w:rsidDel="007E6643">
        <w:t>will</w:t>
      </w:r>
      <w:r w:rsidR="00C026A6" w:rsidRPr="00EA59C0">
        <w:t xml:space="preserve"> </w:t>
      </w:r>
      <w:r w:rsidRPr="00EA59C0" w:rsidDel="007E6643">
        <w:t>function</w:t>
      </w:r>
      <w:r w:rsidR="00C026A6" w:rsidRPr="00EA59C0">
        <w:t xml:space="preserve"> </w:t>
      </w:r>
      <w:r w:rsidRPr="00EA59C0" w:rsidDel="007E6643">
        <w:t>as</w:t>
      </w:r>
      <w:r w:rsidR="00C026A6" w:rsidRPr="00EA59C0">
        <w:t xml:space="preserve"> </w:t>
      </w:r>
      <w:r w:rsidRPr="00EA59C0" w:rsidDel="007E6643">
        <w:t>sub</w:t>
      </w:r>
      <w:r w:rsidR="005E427A" w:rsidRPr="00EA59C0">
        <w:t>recipients</w:t>
      </w:r>
      <w:r w:rsidRPr="00EA59C0" w:rsidDel="007E6643">
        <w:t>.</w:t>
      </w:r>
      <w:r w:rsidR="00C026A6" w:rsidRPr="00EA59C0">
        <w:t xml:space="preserve">  </w:t>
      </w:r>
      <w:r w:rsidRPr="00EA59C0" w:rsidDel="007E6643">
        <w:t>Limitations</w:t>
      </w:r>
      <w:r w:rsidR="00C026A6" w:rsidRPr="00EA59C0">
        <w:t xml:space="preserve"> </w:t>
      </w:r>
      <w:r w:rsidRPr="00EA59C0" w:rsidDel="007E6643">
        <w:t>and</w:t>
      </w:r>
      <w:r w:rsidR="00C026A6" w:rsidRPr="00EA59C0">
        <w:t xml:space="preserve"> </w:t>
      </w:r>
      <w:r w:rsidRPr="00EA59C0" w:rsidDel="007E6643">
        <w:t>other</w:t>
      </w:r>
      <w:r w:rsidR="00C026A6" w:rsidRPr="00EA59C0">
        <w:t xml:space="preserve"> </w:t>
      </w:r>
      <w:r w:rsidRPr="00EA59C0" w:rsidDel="007E6643">
        <w:t>requirements</w:t>
      </w:r>
      <w:r w:rsidR="00C026A6" w:rsidRPr="00EA59C0">
        <w:t xml:space="preserve"> </w:t>
      </w:r>
      <w:r w:rsidRPr="00EA59C0" w:rsidDel="007E6643">
        <w:t>for</w:t>
      </w:r>
      <w:r w:rsidR="00C026A6" w:rsidRPr="00EA59C0">
        <w:t xml:space="preserve"> </w:t>
      </w:r>
      <w:r w:rsidRPr="00EA59C0" w:rsidDel="007E6643">
        <w:t>awards,</w:t>
      </w:r>
      <w:r w:rsidR="00C026A6" w:rsidRPr="00EA59C0">
        <w:t xml:space="preserve"> </w:t>
      </w:r>
      <w:r w:rsidRPr="00EA59C0" w:rsidDel="007E6643">
        <w:t>such</w:t>
      </w:r>
      <w:r w:rsidR="00C026A6" w:rsidRPr="00EA59C0">
        <w:t xml:space="preserve"> </w:t>
      </w:r>
      <w:r w:rsidRPr="00EA59C0" w:rsidDel="007E6643">
        <w:t>as</w:t>
      </w:r>
      <w:r w:rsidR="00C026A6" w:rsidRPr="00EA59C0">
        <w:t xml:space="preserve"> </w:t>
      </w:r>
      <w:r w:rsidRPr="00EA59C0" w:rsidDel="007E6643">
        <w:t>the</w:t>
      </w:r>
      <w:r w:rsidR="00C026A6" w:rsidRPr="00EA59C0">
        <w:t xml:space="preserve"> </w:t>
      </w:r>
      <w:r w:rsidRPr="00EA59C0" w:rsidDel="007E6643">
        <w:t>administrative</w:t>
      </w:r>
      <w:r w:rsidR="00C026A6" w:rsidRPr="00EA59C0">
        <w:t xml:space="preserve"> </w:t>
      </w:r>
      <w:r w:rsidRPr="00EA59C0" w:rsidDel="007E6643">
        <w:t>cost</w:t>
      </w:r>
      <w:r w:rsidR="00C026A6" w:rsidRPr="00EA59C0">
        <w:t xml:space="preserve"> </w:t>
      </w:r>
      <w:r w:rsidRPr="00EA59C0" w:rsidDel="007E6643">
        <w:t>limitation,</w:t>
      </w:r>
      <w:r w:rsidR="00C026A6" w:rsidRPr="00EA59C0">
        <w:t xml:space="preserve"> </w:t>
      </w:r>
      <w:r w:rsidRPr="00EA59C0" w:rsidDel="007E6643">
        <w:t>will</w:t>
      </w:r>
      <w:r w:rsidR="00C026A6" w:rsidRPr="00EA59C0">
        <w:t xml:space="preserve"> </w:t>
      </w:r>
      <w:r w:rsidRPr="00EA59C0" w:rsidDel="007E6643">
        <w:t>apply</w:t>
      </w:r>
      <w:r w:rsidR="00C026A6" w:rsidRPr="00EA59C0">
        <w:t xml:space="preserve"> </w:t>
      </w:r>
      <w:r w:rsidRPr="00EA59C0" w:rsidDel="007E6643">
        <w:t>to</w:t>
      </w:r>
      <w:r w:rsidR="00C026A6" w:rsidRPr="00EA59C0">
        <w:t xml:space="preserve"> </w:t>
      </w:r>
      <w:r w:rsidRPr="00EA59C0" w:rsidDel="007E6643">
        <w:t>an</w:t>
      </w:r>
      <w:r w:rsidR="00C026A6" w:rsidRPr="00EA59C0">
        <w:t xml:space="preserve"> </w:t>
      </w:r>
      <w:r w:rsidRPr="00EA59C0" w:rsidDel="007E6643">
        <w:t>individual</w:t>
      </w:r>
      <w:r w:rsidR="00C026A6" w:rsidRPr="00EA59C0">
        <w:t xml:space="preserve"> </w:t>
      </w:r>
      <w:r w:rsidRPr="00EA59C0" w:rsidDel="007E6643">
        <w:t>consortium</w:t>
      </w:r>
      <w:r w:rsidR="00C026A6" w:rsidRPr="00EA59C0">
        <w:t xml:space="preserve"> </w:t>
      </w:r>
      <w:r w:rsidRPr="00EA59C0" w:rsidDel="007E6643">
        <w:t>member</w:t>
      </w:r>
      <w:r w:rsidR="00C026A6" w:rsidRPr="00EA59C0">
        <w:t xml:space="preserve"> </w:t>
      </w:r>
      <w:r w:rsidRPr="00EA59C0" w:rsidDel="007E6643">
        <w:t>grant</w:t>
      </w:r>
      <w:r w:rsidR="00C026A6" w:rsidRPr="00EA59C0">
        <w:t xml:space="preserve"> </w:t>
      </w:r>
      <w:r w:rsidRPr="00EA59C0" w:rsidDel="007E6643">
        <w:t>award</w:t>
      </w:r>
      <w:r w:rsidR="00C026A6" w:rsidRPr="00EA59C0">
        <w:t xml:space="preserve"> </w:t>
      </w:r>
      <w:r w:rsidRPr="00EA59C0" w:rsidDel="007E6643">
        <w:t>unless</w:t>
      </w:r>
      <w:r w:rsidR="00C026A6" w:rsidRPr="00EA59C0">
        <w:t xml:space="preserve"> </w:t>
      </w:r>
      <w:r w:rsidRPr="00EA59C0" w:rsidDel="007E6643">
        <w:t>otherwise</w:t>
      </w:r>
      <w:r w:rsidR="00C026A6" w:rsidRPr="00EA59C0">
        <w:t xml:space="preserve"> </w:t>
      </w:r>
      <w:r w:rsidRPr="00EA59C0" w:rsidDel="007E6643">
        <w:t>noted.</w:t>
      </w:r>
      <w:r w:rsidR="00C026A6" w:rsidRPr="00EA59C0">
        <w:t xml:space="preserve">  </w:t>
      </w:r>
    </w:p>
    <w:p w:rsidR="00A454D2" w:rsidRPr="00EA59C0" w:rsidRDefault="00A454D2" w:rsidP="00A72633">
      <w:pPr>
        <w:ind w:left="1440"/>
      </w:pPr>
    </w:p>
    <w:p w:rsidR="00EE288B" w:rsidRPr="00EA59C0" w:rsidRDefault="00EE288B" w:rsidP="00A72633">
      <w:pPr>
        <w:ind w:left="1440"/>
      </w:pPr>
      <w:r w:rsidRPr="00EA59C0">
        <w:t>Applicants</w:t>
      </w:r>
      <w:r w:rsidR="00C026A6" w:rsidRPr="00EA59C0">
        <w:t xml:space="preserve"> </w:t>
      </w:r>
      <w:r w:rsidRPr="00EA59C0">
        <w:t>should</w:t>
      </w:r>
      <w:r w:rsidR="00C026A6" w:rsidRPr="00EA59C0">
        <w:t xml:space="preserve"> </w:t>
      </w:r>
      <w:r w:rsidRPr="00EA59C0">
        <w:t>note</w:t>
      </w:r>
      <w:r w:rsidR="00C026A6" w:rsidRPr="00EA59C0">
        <w:t xml:space="preserve"> </w:t>
      </w:r>
      <w:r w:rsidRPr="00EA59C0">
        <w:t>that</w:t>
      </w:r>
      <w:r w:rsidR="00C026A6" w:rsidRPr="00EA59C0">
        <w:t xml:space="preserve"> </w:t>
      </w:r>
      <w:r w:rsidRPr="00EA59C0">
        <w:t>there</w:t>
      </w:r>
      <w:r w:rsidR="00C026A6" w:rsidRPr="00EA59C0">
        <w:t xml:space="preserve"> </w:t>
      </w:r>
      <w:r w:rsidRPr="00EA59C0">
        <w:t>are</w:t>
      </w:r>
      <w:r w:rsidR="00C026A6" w:rsidRPr="00EA59C0">
        <w:t xml:space="preserve"> </w:t>
      </w:r>
      <w:r w:rsidRPr="00EA59C0">
        <w:t>specific</w:t>
      </w:r>
      <w:r w:rsidR="00C026A6" w:rsidRPr="00EA59C0">
        <w:t xml:space="preserve"> </w:t>
      </w:r>
      <w:r w:rsidRPr="00EA59C0">
        <w:t>submission</w:t>
      </w:r>
      <w:r w:rsidR="00C026A6" w:rsidRPr="00EA59C0">
        <w:t xml:space="preserve"> </w:t>
      </w:r>
      <w:r w:rsidRPr="00EA59C0">
        <w:t>instructions</w:t>
      </w:r>
      <w:r w:rsidR="00C026A6" w:rsidRPr="00EA59C0">
        <w:t xml:space="preserve"> </w:t>
      </w:r>
      <w:r w:rsidRPr="00EA59C0">
        <w:t>for</w:t>
      </w:r>
      <w:r w:rsidR="00C026A6" w:rsidRPr="00EA59C0">
        <w:t xml:space="preserve"> </w:t>
      </w:r>
      <w:r w:rsidRPr="00EA59C0">
        <w:t>consortium</w:t>
      </w:r>
      <w:r w:rsidR="00C026A6" w:rsidRPr="00EA59C0">
        <w:t xml:space="preserve"> </w:t>
      </w:r>
      <w:r w:rsidRPr="00EA59C0">
        <w:t>applications</w:t>
      </w:r>
      <w:r w:rsidR="00C026A6" w:rsidRPr="00EA59C0">
        <w:t xml:space="preserve"> </w:t>
      </w:r>
      <w:r w:rsidRPr="00EA59C0">
        <w:t>for</w:t>
      </w:r>
      <w:r w:rsidR="00C026A6" w:rsidRPr="00EA59C0">
        <w:t xml:space="preserve"> </w:t>
      </w:r>
      <w:r w:rsidRPr="00EA59C0">
        <w:t>the</w:t>
      </w:r>
      <w:r w:rsidR="00C026A6" w:rsidRPr="00EA59C0">
        <w:t xml:space="preserve"> </w:t>
      </w:r>
      <w:r w:rsidRPr="00EA59C0">
        <w:t>abstract</w:t>
      </w:r>
      <w:r w:rsidR="00C026A6" w:rsidRPr="00EA59C0">
        <w:t xml:space="preserve"> </w:t>
      </w:r>
      <w:r w:rsidRPr="00EA59C0">
        <w:t>(Section</w:t>
      </w:r>
      <w:r w:rsidR="00C026A6" w:rsidRPr="00EA59C0">
        <w:t xml:space="preserve"> </w:t>
      </w:r>
      <w:r w:rsidRPr="00EA59C0">
        <w:t>IV.B.4).</w:t>
      </w:r>
    </w:p>
    <w:p w:rsidR="00020A03" w:rsidRPr="00EA59C0" w:rsidRDefault="00020A03" w:rsidP="00A72633">
      <w:pPr>
        <w:ind w:left="1440"/>
      </w:pPr>
    </w:p>
    <w:p w:rsidR="00EE288B" w:rsidRPr="00EA59C0" w:rsidRDefault="00EE288B" w:rsidP="00A72633">
      <w:pPr>
        <w:pStyle w:val="ListParagraph"/>
        <w:numPr>
          <w:ilvl w:val="3"/>
          <w:numId w:val="17"/>
        </w:numPr>
        <w:rPr>
          <w:b/>
        </w:rPr>
      </w:pPr>
      <w:r w:rsidRPr="00EA59C0">
        <w:rPr>
          <w:b/>
        </w:rPr>
        <w:t>Role</w:t>
      </w:r>
      <w:r w:rsidR="00C026A6" w:rsidRPr="00EA59C0">
        <w:rPr>
          <w:b/>
        </w:rPr>
        <w:t xml:space="preserve"> </w:t>
      </w:r>
      <w:r w:rsidRPr="00EA59C0">
        <w:rPr>
          <w:b/>
        </w:rPr>
        <w:t>of</w:t>
      </w:r>
      <w:r w:rsidR="00C026A6" w:rsidRPr="00EA59C0">
        <w:rPr>
          <w:b/>
        </w:rPr>
        <w:t xml:space="preserve"> </w:t>
      </w:r>
      <w:r w:rsidRPr="00EA59C0">
        <w:rPr>
          <w:b/>
        </w:rPr>
        <w:t>Member</w:t>
      </w:r>
      <w:r w:rsidR="00C026A6" w:rsidRPr="00EA59C0">
        <w:rPr>
          <w:b/>
        </w:rPr>
        <w:t xml:space="preserve"> </w:t>
      </w:r>
      <w:r w:rsidRPr="00EA59C0">
        <w:rPr>
          <w:b/>
        </w:rPr>
        <w:t>Institutions</w:t>
      </w:r>
      <w:r w:rsidR="00C026A6" w:rsidRPr="00EA59C0">
        <w:rPr>
          <w:b/>
        </w:rPr>
        <w:t xml:space="preserve"> </w:t>
      </w:r>
      <w:r w:rsidRPr="00EA59C0">
        <w:rPr>
          <w:b/>
        </w:rPr>
        <w:t>in</w:t>
      </w:r>
      <w:r w:rsidR="00C026A6" w:rsidRPr="00EA59C0">
        <w:rPr>
          <w:b/>
        </w:rPr>
        <w:t xml:space="preserve"> </w:t>
      </w:r>
      <w:r w:rsidRPr="00EA59C0">
        <w:rPr>
          <w:b/>
        </w:rPr>
        <w:t>a</w:t>
      </w:r>
      <w:r w:rsidR="00C026A6" w:rsidRPr="00EA59C0">
        <w:rPr>
          <w:b/>
        </w:rPr>
        <w:t xml:space="preserve"> </w:t>
      </w:r>
      <w:r w:rsidRPr="00EA59C0">
        <w:rPr>
          <w:b/>
        </w:rPr>
        <w:t>Consortium</w:t>
      </w:r>
    </w:p>
    <w:p w:rsidR="00EE288B" w:rsidRPr="00EA59C0" w:rsidRDefault="00EE288B" w:rsidP="00A72633">
      <w:pPr>
        <w:ind w:left="1440"/>
      </w:pPr>
      <w:r w:rsidRPr="00EA59C0">
        <w:t>Member</w:t>
      </w:r>
      <w:r w:rsidR="00C026A6" w:rsidRPr="00EA59C0">
        <w:t xml:space="preserve"> </w:t>
      </w:r>
      <w:r w:rsidRPr="00EA59C0">
        <w:t>Institutions</w:t>
      </w:r>
      <w:r w:rsidR="00C026A6" w:rsidRPr="00EA59C0">
        <w:t xml:space="preserve"> </w:t>
      </w:r>
      <w:r w:rsidRPr="00EA59C0">
        <w:t>are</w:t>
      </w:r>
      <w:r w:rsidR="00C026A6" w:rsidRPr="00EA59C0">
        <w:t xml:space="preserve"> </w:t>
      </w:r>
      <w:r w:rsidRPr="00EA59C0">
        <w:t>those</w:t>
      </w:r>
      <w:r w:rsidR="00C026A6" w:rsidRPr="00EA59C0">
        <w:t xml:space="preserve"> </w:t>
      </w:r>
      <w:r w:rsidRPr="00EA59C0">
        <w:t>institutions</w:t>
      </w:r>
      <w:r w:rsidR="00C026A6" w:rsidRPr="00EA59C0">
        <w:t xml:space="preserve"> </w:t>
      </w:r>
      <w:r w:rsidRPr="00EA59C0">
        <w:t>who</w:t>
      </w:r>
      <w:r w:rsidR="00C026A6" w:rsidRPr="00EA59C0">
        <w:t xml:space="preserve"> </w:t>
      </w:r>
      <w:r w:rsidRPr="00EA59C0">
        <w:t>join</w:t>
      </w:r>
      <w:r w:rsidR="00C026A6" w:rsidRPr="00EA59C0">
        <w:t xml:space="preserve"> </w:t>
      </w:r>
      <w:r w:rsidRPr="00EA59C0">
        <w:t>together</w:t>
      </w:r>
      <w:r w:rsidR="00C026A6" w:rsidRPr="00EA59C0">
        <w:t xml:space="preserve"> </w:t>
      </w:r>
      <w:r w:rsidRPr="00EA59C0">
        <w:t>to</w:t>
      </w:r>
      <w:r w:rsidR="00C026A6" w:rsidRPr="00EA59C0">
        <w:t xml:space="preserve"> </w:t>
      </w:r>
      <w:r w:rsidRPr="00EA59C0">
        <w:t>become</w:t>
      </w:r>
      <w:r w:rsidR="00C026A6" w:rsidRPr="00EA59C0">
        <w:t xml:space="preserve"> </w:t>
      </w:r>
      <w:r w:rsidRPr="00EA59C0">
        <w:t>a</w:t>
      </w:r>
      <w:r w:rsidR="00C026A6" w:rsidRPr="00EA59C0">
        <w:t xml:space="preserve"> </w:t>
      </w:r>
      <w:r w:rsidRPr="00EA59C0">
        <w:t>consortium</w:t>
      </w:r>
      <w:r w:rsidR="00C026A6" w:rsidRPr="00EA59C0">
        <w:t xml:space="preserve"> </w:t>
      </w:r>
      <w:r w:rsidRPr="00EA59C0">
        <w:t>award</w:t>
      </w:r>
      <w:r w:rsidR="00C026A6" w:rsidRPr="00EA59C0">
        <w:t xml:space="preserve"> </w:t>
      </w:r>
      <w:r w:rsidRPr="00EA59C0">
        <w:t>under</w:t>
      </w:r>
      <w:r w:rsidR="00C026A6" w:rsidRPr="00EA59C0">
        <w:t xml:space="preserve"> </w:t>
      </w:r>
      <w:r w:rsidRPr="00EA59C0">
        <w:t>the</w:t>
      </w:r>
      <w:r w:rsidR="00C026A6" w:rsidRPr="00EA59C0">
        <w:t xml:space="preserve"> </w:t>
      </w:r>
      <w:r w:rsidRPr="00EA59C0">
        <w:t>TAACCCT</w:t>
      </w:r>
      <w:r w:rsidR="00C026A6" w:rsidRPr="00EA59C0">
        <w:t xml:space="preserve"> </w:t>
      </w:r>
      <w:r w:rsidRPr="00EA59C0">
        <w:t>program.</w:t>
      </w:r>
      <w:r w:rsidR="00C026A6" w:rsidRPr="00EA59C0">
        <w:t xml:space="preserve">  </w:t>
      </w:r>
      <w:r w:rsidRPr="00EA59C0">
        <w:t>Member</w:t>
      </w:r>
      <w:r w:rsidR="00C026A6" w:rsidRPr="00EA59C0">
        <w:t xml:space="preserve"> </w:t>
      </w:r>
      <w:r w:rsidRPr="00EA59C0">
        <w:t>Institutions</w:t>
      </w:r>
      <w:r w:rsidR="00C026A6" w:rsidRPr="00EA59C0">
        <w:t xml:space="preserve"> </w:t>
      </w:r>
      <w:r w:rsidR="005F6EFA" w:rsidRPr="00EA59C0">
        <w:t>must</w:t>
      </w:r>
      <w:r w:rsidR="00C026A6" w:rsidRPr="00EA59C0">
        <w:t xml:space="preserve"> </w:t>
      </w:r>
      <w:r w:rsidR="005F6EFA" w:rsidRPr="00EA59C0">
        <w:t>indicate</w:t>
      </w:r>
      <w:r w:rsidR="00C026A6" w:rsidRPr="00EA59C0">
        <w:t xml:space="preserve"> </w:t>
      </w:r>
      <w:r w:rsidR="005F6EFA" w:rsidRPr="00EA59C0">
        <w:t>their</w:t>
      </w:r>
      <w:r w:rsidR="00C026A6" w:rsidRPr="00EA59C0">
        <w:t xml:space="preserve"> </w:t>
      </w:r>
      <w:r w:rsidR="005F6EFA" w:rsidRPr="00EA59C0">
        <w:t>commitment</w:t>
      </w:r>
      <w:r w:rsidR="00C026A6" w:rsidRPr="00EA59C0">
        <w:t xml:space="preserve"> </w:t>
      </w:r>
      <w:r w:rsidR="005F6EFA" w:rsidRPr="00EA59C0">
        <w:t>to</w:t>
      </w:r>
      <w:r w:rsidR="00C026A6" w:rsidRPr="00EA59C0">
        <w:t xml:space="preserve"> </w:t>
      </w:r>
      <w:r w:rsidR="005F6EFA" w:rsidRPr="00EA59C0">
        <w:t>be</w:t>
      </w:r>
      <w:r w:rsidR="00C026A6" w:rsidRPr="00EA59C0">
        <w:t xml:space="preserve"> </w:t>
      </w:r>
      <w:r w:rsidR="005F6EFA" w:rsidRPr="00EA59C0">
        <w:t>part</w:t>
      </w:r>
      <w:r w:rsidR="00C026A6" w:rsidRPr="00EA59C0">
        <w:t xml:space="preserve"> </w:t>
      </w:r>
      <w:r w:rsidR="005F6EFA" w:rsidRPr="00EA59C0">
        <w:t>of</w:t>
      </w:r>
      <w:r w:rsidR="00C026A6" w:rsidRPr="00EA59C0">
        <w:t xml:space="preserve"> </w:t>
      </w:r>
      <w:r w:rsidR="005F6EFA" w:rsidRPr="00EA59C0">
        <w:t>the</w:t>
      </w:r>
      <w:r w:rsidR="00C026A6" w:rsidRPr="00EA59C0">
        <w:t xml:space="preserve"> </w:t>
      </w:r>
      <w:r w:rsidR="005F6EFA" w:rsidRPr="00EA59C0">
        <w:t>consortium</w:t>
      </w:r>
      <w:r w:rsidR="00C026A6" w:rsidRPr="00EA59C0">
        <w:t xml:space="preserve"> </w:t>
      </w:r>
      <w:r w:rsidR="005F6EFA" w:rsidRPr="00EA59C0">
        <w:t>by</w:t>
      </w:r>
      <w:r w:rsidR="00C026A6" w:rsidRPr="00EA59C0">
        <w:t xml:space="preserve"> </w:t>
      </w:r>
      <w:r w:rsidR="005F6EFA" w:rsidRPr="00EA59C0">
        <w:t>signing</w:t>
      </w:r>
      <w:r w:rsidR="00C026A6" w:rsidRPr="00EA59C0">
        <w:t xml:space="preserve"> </w:t>
      </w:r>
      <w:r w:rsidR="005F6EFA" w:rsidRPr="00EA59C0">
        <w:t>a</w:t>
      </w:r>
      <w:r w:rsidR="00C026A6" w:rsidRPr="00EA59C0">
        <w:t xml:space="preserve"> </w:t>
      </w:r>
      <w:r w:rsidR="005F6EFA" w:rsidRPr="00EA59C0">
        <w:t>consortium</w:t>
      </w:r>
      <w:r w:rsidR="00C026A6" w:rsidRPr="00EA59C0">
        <w:t xml:space="preserve"> </w:t>
      </w:r>
      <w:r w:rsidR="005F6EFA" w:rsidRPr="00EA59C0">
        <w:t>agreement</w:t>
      </w:r>
      <w:r w:rsidR="00C026A6" w:rsidRPr="00EA59C0">
        <w:t xml:space="preserve"> </w:t>
      </w:r>
      <w:r w:rsidR="005F6EFA" w:rsidRPr="00EA59C0">
        <w:t>to</w:t>
      </w:r>
      <w:r w:rsidR="00C026A6" w:rsidRPr="00EA59C0">
        <w:t xml:space="preserve"> </w:t>
      </w:r>
      <w:r w:rsidR="005F6EFA" w:rsidRPr="00EA59C0">
        <w:t>be</w:t>
      </w:r>
      <w:r w:rsidR="00C026A6" w:rsidRPr="00EA59C0">
        <w:t xml:space="preserve"> </w:t>
      </w:r>
      <w:r w:rsidR="005F6EFA" w:rsidRPr="00EA59C0">
        <w:t>submitted</w:t>
      </w:r>
      <w:r w:rsidR="00C026A6" w:rsidRPr="00EA59C0">
        <w:t xml:space="preserve"> </w:t>
      </w:r>
      <w:r w:rsidR="005F6EFA" w:rsidRPr="00EA59C0">
        <w:t>with</w:t>
      </w:r>
      <w:r w:rsidR="00C026A6" w:rsidRPr="00EA59C0">
        <w:t xml:space="preserve"> </w:t>
      </w:r>
      <w:r w:rsidR="005F6EFA" w:rsidRPr="00EA59C0">
        <w:t>the</w:t>
      </w:r>
      <w:r w:rsidR="00C026A6" w:rsidRPr="00EA59C0">
        <w:t xml:space="preserve"> </w:t>
      </w:r>
      <w:r w:rsidR="005F6EFA" w:rsidRPr="00EA59C0">
        <w:t>application.</w:t>
      </w:r>
      <w:r w:rsidR="00C026A6" w:rsidRPr="00EA59C0">
        <w:t xml:space="preserve">  </w:t>
      </w:r>
      <w:r w:rsidR="005F6EFA" w:rsidRPr="00EA59C0">
        <w:t>The</w:t>
      </w:r>
      <w:r w:rsidR="00C026A6" w:rsidRPr="00EA59C0">
        <w:t xml:space="preserve"> </w:t>
      </w:r>
      <w:r w:rsidR="005F6EFA" w:rsidRPr="00EA59C0">
        <w:t>consortium</w:t>
      </w:r>
      <w:r w:rsidR="00C026A6" w:rsidRPr="00EA59C0">
        <w:t xml:space="preserve"> </w:t>
      </w:r>
      <w:r w:rsidR="005F6EFA" w:rsidRPr="00EA59C0">
        <w:t>agreement</w:t>
      </w:r>
      <w:r w:rsidR="00C026A6" w:rsidRPr="00EA59C0">
        <w:t xml:space="preserve"> </w:t>
      </w:r>
      <w:r w:rsidR="005F6EFA" w:rsidRPr="00EA59C0">
        <w:t>does</w:t>
      </w:r>
      <w:r w:rsidR="00C026A6" w:rsidRPr="00EA59C0">
        <w:t xml:space="preserve"> </w:t>
      </w:r>
      <w:r w:rsidR="005F6EFA" w:rsidRPr="00EA59C0">
        <w:t>not</w:t>
      </w:r>
      <w:r w:rsidR="00C026A6" w:rsidRPr="00EA59C0">
        <w:t xml:space="preserve"> </w:t>
      </w:r>
      <w:r w:rsidR="005F6EFA" w:rsidRPr="00EA59C0">
        <w:t>have</w:t>
      </w:r>
      <w:r w:rsidR="00C026A6" w:rsidRPr="00EA59C0">
        <w:t xml:space="preserve"> </w:t>
      </w:r>
      <w:r w:rsidR="005F6EFA" w:rsidRPr="00EA59C0">
        <w:t>to</w:t>
      </w:r>
      <w:r w:rsidR="00C026A6" w:rsidRPr="00EA59C0">
        <w:t xml:space="preserve"> </w:t>
      </w:r>
      <w:r w:rsidR="005F6EFA" w:rsidRPr="00EA59C0">
        <w:t>be</w:t>
      </w:r>
      <w:r w:rsidR="00C026A6" w:rsidRPr="00EA59C0">
        <w:t xml:space="preserve"> </w:t>
      </w:r>
      <w:r w:rsidR="005F6EFA" w:rsidRPr="00EA59C0">
        <w:t>a</w:t>
      </w:r>
      <w:r w:rsidR="00C026A6" w:rsidRPr="00EA59C0">
        <w:t xml:space="preserve"> </w:t>
      </w:r>
      <w:r w:rsidR="005F6EFA" w:rsidRPr="00EA59C0">
        <w:t>formal</w:t>
      </w:r>
      <w:r w:rsidR="00C026A6" w:rsidRPr="00EA59C0">
        <w:t xml:space="preserve"> </w:t>
      </w:r>
      <w:r w:rsidR="005F6EFA" w:rsidRPr="00EA59C0">
        <w:t>MOU</w:t>
      </w:r>
      <w:r w:rsidR="00C026A6" w:rsidRPr="00EA59C0">
        <w:t xml:space="preserve"> </w:t>
      </w:r>
      <w:r w:rsidR="005F6EFA" w:rsidRPr="00EA59C0">
        <w:t>or</w:t>
      </w:r>
      <w:r w:rsidR="00C026A6" w:rsidRPr="00EA59C0">
        <w:t xml:space="preserve"> </w:t>
      </w:r>
      <w:r w:rsidR="005F6EFA" w:rsidRPr="00EA59C0">
        <w:t>other</w:t>
      </w:r>
      <w:r w:rsidR="00C026A6" w:rsidRPr="00EA59C0">
        <w:t xml:space="preserve"> </w:t>
      </w:r>
      <w:r w:rsidR="005F6EFA" w:rsidRPr="00EA59C0">
        <w:t>legal</w:t>
      </w:r>
      <w:r w:rsidR="00C026A6" w:rsidRPr="00EA59C0">
        <w:t xml:space="preserve"> </w:t>
      </w:r>
      <w:r w:rsidR="005F6EFA" w:rsidRPr="00EA59C0">
        <w:t>agreement</w:t>
      </w:r>
      <w:r w:rsidR="00C026A6" w:rsidRPr="00EA59C0">
        <w:t xml:space="preserve"> </w:t>
      </w:r>
      <w:r w:rsidR="005F6EFA" w:rsidRPr="00EA59C0">
        <w:t>between</w:t>
      </w:r>
      <w:r w:rsidR="00C026A6" w:rsidRPr="00EA59C0">
        <w:t xml:space="preserve"> </w:t>
      </w:r>
      <w:r w:rsidR="005F6EFA" w:rsidRPr="00EA59C0">
        <w:t>entities;</w:t>
      </w:r>
      <w:r w:rsidR="00C026A6" w:rsidRPr="00EA59C0">
        <w:t xml:space="preserve"> </w:t>
      </w:r>
      <w:r w:rsidR="005F6EFA" w:rsidRPr="00EA59C0">
        <w:t>but</w:t>
      </w:r>
      <w:r w:rsidR="00C026A6" w:rsidRPr="00EA59C0">
        <w:t xml:space="preserve"> </w:t>
      </w:r>
      <w:r w:rsidR="005F6EFA" w:rsidRPr="00EA59C0">
        <w:t>rather</w:t>
      </w:r>
      <w:r w:rsidR="00C026A6" w:rsidRPr="00EA59C0">
        <w:t xml:space="preserve"> </w:t>
      </w:r>
      <w:r w:rsidR="005F6EFA" w:rsidRPr="00EA59C0">
        <w:t>a</w:t>
      </w:r>
      <w:r w:rsidR="00C026A6" w:rsidRPr="00EA59C0">
        <w:t xml:space="preserve"> </w:t>
      </w:r>
      <w:r w:rsidR="005F6EFA" w:rsidRPr="00EA59C0">
        <w:t>letter</w:t>
      </w:r>
      <w:r w:rsidR="00C026A6" w:rsidRPr="00EA59C0">
        <w:t xml:space="preserve"> </w:t>
      </w:r>
      <w:r w:rsidR="005F6EFA" w:rsidRPr="00EA59C0">
        <w:t>of</w:t>
      </w:r>
      <w:r w:rsidR="00C026A6" w:rsidRPr="00EA59C0">
        <w:t xml:space="preserve"> </w:t>
      </w:r>
      <w:r w:rsidR="005F6EFA" w:rsidRPr="00EA59C0">
        <w:t>intent</w:t>
      </w:r>
      <w:r w:rsidR="00C026A6" w:rsidRPr="00EA59C0">
        <w:t xml:space="preserve"> </w:t>
      </w:r>
      <w:r w:rsidR="005F6EFA" w:rsidRPr="00EA59C0">
        <w:t>to</w:t>
      </w:r>
      <w:r w:rsidR="00C026A6" w:rsidRPr="00EA59C0">
        <w:t xml:space="preserve"> </w:t>
      </w:r>
      <w:r w:rsidR="005F6EFA" w:rsidRPr="00EA59C0">
        <w:t>participate.</w:t>
      </w:r>
      <w:r w:rsidR="00C026A6" w:rsidRPr="00EA59C0">
        <w:t xml:space="preserve">  </w:t>
      </w:r>
      <w:r w:rsidR="005F6EFA" w:rsidRPr="00EA59C0">
        <w:t>Upon</w:t>
      </w:r>
      <w:r w:rsidR="00C026A6" w:rsidRPr="00EA59C0">
        <w:t xml:space="preserve"> </w:t>
      </w:r>
      <w:r w:rsidR="005F6EFA" w:rsidRPr="00EA59C0">
        <w:t>award,</w:t>
      </w:r>
      <w:r w:rsidR="00C026A6" w:rsidRPr="00EA59C0">
        <w:t xml:space="preserve"> </w:t>
      </w:r>
      <w:r w:rsidR="005F6EFA" w:rsidRPr="00EA59C0">
        <w:t>member</w:t>
      </w:r>
      <w:r w:rsidR="00C026A6" w:rsidRPr="00EA59C0">
        <w:t xml:space="preserve"> </w:t>
      </w:r>
      <w:r w:rsidR="005F6EFA" w:rsidRPr="00EA59C0">
        <w:t>institutions</w:t>
      </w:r>
      <w:r w:rsidR="00C026A6" w:rsidRPr="00EA59C0">
        <w:t xml:space="preserve"> </w:t>
      </w:r>
      <w:r w:rsidR="005F6EFA" w:rsidRPr="00EA59C0">
        <w:t>must</w:t>
      </w:r>
      <w:r w:rsidR="00C026A6" w:rsidRPr="00EA59C0">
        <w:t xml:space="preserve"> </w:t>
      </w:r>
      <w:r w:rsidR="005F6EFA" w:rsidRPr="00EA59C0">
        <w:t>enter</w:t>
      </w:r>
      <w:r w:rsidR="00C026A6" w:rsidRPr="00EA59C0">
        <w:t xml:space="preserve"> </w:t>
      </w:r>
      <w:r w:rsidR="005F6EFA" w:rsidRPr="00EA59C0">
        <w:t>into</w:t>
      </w:r>
      <w:r w:rsidR="00C026A6" w:rsidRPr="00EA59C0">
        <w:t xml:space="preserve"> </w:t>
      </w:r>
      <w:r w:rsidR="005F6EFA" w:rsidRPr="00EA59C0">
        <w:t>subgrant</w:t>
      </w:r>
      <w:r w:rsidR="00C026A6" w:rsidRPr="00EA59C0">
        <w:t xml:space="preserve"> </w:t>
      </w:r>
      <w:r w:rsidR="005F6EFA" w:rsidRPr="00EA59C0">
        <w:t>agreements</w:t>
      </w:r>
      <w:r w:rsidR="00C026A6" w:rsidRPr="00EA59C0">
        <w:t xml:space="preserve"> </w:t>
      </w:r>
      <w:r w:rsidR="005F6EFA" w:rsidRPr="00EA59C0">
        <w:t>with</w:t>
      </w:r>
      <w:r w:rsidR="00C026A6" w:rsidRPr="00EA59C0">
        <w:t xml:space="preserve"> </w:t>
      </w:r>
      <w:r w:rsidR="005F6EFA" w:rsidRPr="00EA59C0">
        <w:t>the</w:t>
      </w:r>
      <w:r w:rsidR="00C026A6" w:rsidRPr="00EA59C0">
        <w:t xml:space="preserve"> </w:t>
      </w:r>
      <w:r w:rsidR="005F6EFA" w:rsidRPr="00EA59C0">
        <w:t>Lead</w:t>
      </w:r>
      <w:r w:rsidR="00C026A6" w:rsidRPr="00EA59C0">
        <w:t xml:space="preserve"> </w:t>
      </w:r>
      <w:r w:rsidR="005F6EFA" w:rsidRPr="00EA59C0">
        <w:t>Institution.</w:t>
      </w:r>
      <w:r w:rsidR="00C026A6" w:rsidRPr="00EA59C0">
        <w:t xml:space="preserve">  </w:t>
      </w:r>
    </w:p>
    <w:p w:rsidR="00C1438A" w:rsidRPr="00EA59C0" w:rsidRDefault="00C1438A" w:rsidP="00A72633">
      <w:pPr>
        <w:ind w:left="1440"/>
      </w:pPr>
    </w:p>
    <w:p w:rsidR="00EE288B" w:rsidRPr="00EA59C0" w:rsidRDefault="00EE288B" w:rsidP="00A72633">
      <w:pPr>
        <w:ind w:left="1440"/>
      </w:pPr>
      <w:r w:rsidRPr="00EA59C0">
        <w:t>As</w:t>
      </w:r>
      <w:r w:rsidR="00C026A6" w:rsidRPr="00EA59C0">
        <w:t xml:space="preserve"> </w:t>
      </w:r>
      <w:r w:rsidR="005F6EFA" w:rsidRPr="00EA59C0">
        <w:t>subrecipients</w:t>
      </w:r>
      <w:r w:rsidRPr="00EA59C0">
        <w:t>,</w:t>
      </w:r>
      <w:r w:rsidR="00C026A6" w:rsidRPr="00EA59C0">
        <w:t xml:space="preserve"> </w:t>
      </w:r>
      <w:r w:rsidRPr="00EA59C0">
        <w:t>Member</w:t>
      </w:r>
      <w:r w:rsidR="00C026A6" w:rsidRPr="00EA59C0">
        <w:t xml:space="preserve"> </w:t>
      </w:r>
      <w:r w:rsidRPr="00EA59C0">
        <w:t>Institutions</w:t>
      </w:r>
      <w:r w:rsidR="00C026A6" w:rsidRPr="00EA59C0">
        <w:t xml:space="preserve"> </w:t>
      </w:r>
      <w:r w:rsidRPr="00EA59C0">
        <w:t>must</w:t>
      </w:r>
      <w:r w:rsidR="00C026A6" w:rsidRPr="00EA59C0">
        <w:t xml:space="preserve"> </w:t>
      </w:r>
      <w:r w:rsidRPr="00EA59C0">
        <w:t>follow</w:t>
      </w:r>
      <w:r w:rsidR="00C026A6" w:rsidRPr="00EA59C0">
        <w:t xml:space="preserve"> </w:t>
      </w:r>
      <w:r w:rsidRPr="00EA59C0">
        <w:t>all</w:t>
      </w:r>
      <w:r w:rsidR="00C026A6" w:rsidRPr="00EA59C0">
        <w:t xml:space="preserve"> </w:t>
      </w:r>
      <w:r w:rsidRPr="00EA59C0">
        <w:t>the</w:t>
      </w:r>
      <w:r w:rsidR="00C026A6" w:rsidRPr="00EA59C0">
        <w:t xml:space="preserve"> </w:t>
      </w:r>
      <w:r w:rsidRPr="00EA59C0">
        <w:t>terms</w:t>
      </w:r>
      <w:r w:rsidR="00C026A6" w:rsidRPr="00EA59C0">
        <w:t xml:space="preserve"> </w:t>
      </w:r>
      <w:r w:rsidRPr="00EA59C0">
        <w:t>and</w:t>
      </w:r>
      <w:r w:rsidR="00C026A6" w:rsidRPr="00EA59C0">
        <w:t xml:space="preserve"> </w:t>
      </w:r>
      <w:r w:rsidRPr="00EA59C0">
        <w:t>conditions</w:t>
      </w:r>
      <w:r w:rsidR="00C026A6" w:rsidRPr="00EA59C0">
        <w:t xml:space="preserve"> </w:t>
      </w:r>
      <w:r w:rsidRPr="00EA59C0">
        <w:t>of</w:t>
      </w:r>
      <w:r w:rsidR="00C026A6" w:rsidRPr="00EA59C0">
        <w:t xml:space="preserve"> </w:t>
      </w:r>
      <w:r w:rsidRPr="00EA59C0">
        <w:t>their</w:t>
      </w:r>
      <w:r w:rsidR="00C026A6" w:rsidRPr="00EA59C0">
        <w:t xml:space="preserve"> </w:t>
      </w:r>
      <w:r w:rsidRPr="00EA59C0">
        <w:t>Grant</w:t>
      </w:r>
      <w:r w:rsidR="00C026A6" w:rsidRPr="00EA59C0">
        <w:t xml:space="preserve"> </w:t>
      </w:r>
      <w:r w:rsidRPr="00EA59C0">
        <w:t>Award</w:t>
      </w:r>
      <w:r w:rsidR="005F6EFA" w:rsidRPr="00EA59C0">
        <w:t>,</w:t>
      </w:r>
      <w:r w:rsidR="00C026A6" w:rsidRPr="00EA59C0">
        <w:t xml:space="preserve"> </w:t>
      </w:r>
      <w:r w:rsidR="005F6EFA" w:rsidRPr="00EA59C0">
        <w:t>per</w:t>
      </w:r>
      <w:r w:rsidR="00C026A6" w:rsidRPr="00EA59C0">
        <w:t xml:space="preserve"> </w:t>
      </w:r>
      <w:r w:rsidR="005F6EFA" w:rsidRPr="00EA59C0">
        <w:t>29</w:t>
      </w:r>
      <w:r w:rsidR="00C026A6" w:rsidRPr="00EA59C0">
        <w:t xml:space="preserve"> </w:t>
      </w:r>
      <w:r w:rsidR="005F6EFA" w:rsidRPr="00EA59C0">
        <w:t>CFR</w:t>
      </w:r>
      <w:r w:rsidR="00C026A6" w:rsidRPr="00EA59C0">
        <w:t xml:space="preserve"> </w:t>
      </w:r>
      <w:r w:rsidR="005F6EFA" w:rsidRPr="00EA59C0">
        <w:t>95.5</w:t>
      </w:r>
      <w:r w:rsidRPr="00EA59C0">
        <w:t>.</w:t>
      </w:r>
      <w:r w:rsidR="00C026A6" w:rsidRPr="00EA59C0">
        <w:t xml:space="preserve">  </w:t>
      </w:r>
      <w:r w:rsidRPr="00EA59C0">
        <w:t>Member</w:t>
      </w:r>
      <w:r w:rsidR="00C026A6" w:rsidRPr="00EA59C0">
        <w:t xml:space="preserve"> </w:t>
      </w:r>
      <w:r w:rsidRPr="00EA59C0">
        <w:t>Institutions</w:t>
      </w:r>
      <w:r w:rsidR="00C026A6" w:rsidRPr="00EA59C0">
        <w:t xml:space="preserve"> </w:t>
      </w:r>
      <w:r w:rsidRPr="00EA59C0">
        <w:t>must</w:t>
      </w:r>
      <w:r w:rsidR="00C026A6" w:rsidRPr="00EA59C0">
        <w:t xml:space="preserve"> </w:t>
      </w:r>
      <w:r w:rsidRPr="00EA59C0">
        <w:t>submit</w:t>
      </w:r>
      <w:r w:rsidR="00C026A6" w:rsidRPr="00EA59C0">
        <w:t xml:space="preserve"> </w:t>
      </w:r>
      <w:r w:rsidR="005F6EFA" w:rsidRPr="00EA59C0">
        <w:t>programmatic</w:t>
      </w:r>
      <w:r w:rsidR="00C026A6" w:rsidRPr="00EA59C0">
        <w:t xml:space="preserve"> </w:t>
      </w:r>
      <w:r w:rsidR="005F6EFA" w:rsidRPr="00EA59C0">
        <w:t>and</w:t>
      </w:r>
      <w:r w:rsidR="00C026A6" w:rsidRPr="00EA59C0">
        <w:t xml:space="preserve"> </w:t>
      </w:r>
      <w:r w:rsidRPr="00EA59C0">
        <w:t>financial</w:t>
      </w:r>
      <w:r w:rsidR="00C026A6" w:rsidRPr="00EA59C0">
        <w:t xml:space="preserve"> </w:t>
      </w:r>
      <w:r w:rsidR="005F6EFA" w:rsidRPr="00EA59C0">
        <w:t>information</w:t>
      </w:r>
      <w:r w:rsidR="00C026A6" w:rsidRPr="00EA59C0">
        <w:t xml:space="preserve"> </w:t>
      </w:r>
      <w:r w:rsidR="005F6EFA" w:rsidRPr="00EA59C0">
        <w:t>to</w:t>
      </w:r>
      <w:r w:rsidR="00C026A6" w:rsidRPr="00EA59C0">
        <w:t xml:space="preserve"> </w:t>
      </w:r>
      <w:r w:rsidR="005F6EFA" w:rsidRPr="00EA59C0">
        <w:t>the</w:t>
      </w:r>
      <w:r w:rsidR="00C026A6" w:rsidRPr="00EA59C0">
        <w:t xml:space="preserve"> </w:t>
      </w:r>
      <w:r w:rsidR="005F6EFA" w:rsidRPr="00EA59C0">
        <w:t>Lead</w:t>
      </w:r>
      <w:r w:rsidR="00C026A6" w:rsidRPr="00EA59C0">
        <w:t xml:space="preserve"> </w:t>
      </w:r>
      <w:r w:rsidR="005F6EFA" w:rsidRPr="00EA59C0">
        <w:t>to</w:t>
      </w:r>
      <w:r w:rsidR="00C026A6" w:rsidRPr="00EA59C0">
        <w:t xml:space="preserve"> </w:t>
      </w:r>
      <w:r w:rsidR="005F6EFA" w:rsidRPr="00EA59C0">
        <w:t>facilitate</w:t>
      </w:r>
      <w:r w:rsidR="00C026A6" w:rsidRPr="00EA59C0">
        <w:t xml:space="preserve"> </w:t>
      </w:r>
      <w:r w:rsidR="005F6EFA" w:rsidRPr="00EA59C0">
        <w:t>submission</w:t>
      </w:r>
      <w:r w:rsidR="00C026A6" w:rsidRPr="00EA59C0">
        <w:t xml:space="preserve"> </w:t>
      </w:r>
      <w:r w:rsidR="005F6EFA" w:rsidRPr="00EA59C0">
        <w:t>of</w:t>
      </w:r>
      <w:r w:rsidR="00C026A6" w:rsidRPr="00EA59C0">
        <w:t xml:space="preserve"> </w:t>
      </w:r>
      <w:r w:rsidR="005F6EFA" w:rsidRPr="00EA59C0">
        <w:t>quarterly</w:t>
      </w:r>
      <w:r w:rsidR="00C026A6" w:rsidRPr="00EA59C0">
        <w:t xml:space="preserve"> </w:t>
      </w:r>
      <w:r w:rsidR="005F6EFA" w:rsidRPr="00EA59C0">
        <w:t>programmatic</w:t>
      </w:r>
      <w:r w:rsidR="00C026A6" w:rsidRPr="00EA59C0">
        <w:t xml:space="preserve"> </w:t>
      </w:r>
      <w:r w:rsidR="005F6EFA" w:rsidRPr="00EA59C0">
        <w:t>and</w:t>
      </w:r>
      <w:r w:rsidR="00C026A6" w:rsidRPr="00EA59C0">
        <w:t xml:space="preserve"> </w:t>
      </w:r>
      <w:r w:rsidR="005F6EFA" w:rsidRPr="00EA59C0">
        <w:t>fiscal</w:t>
      </w:r>
      <w:r w:rsidR="00C026A6" w:rsidRPr="00EA59C0">
        <w:t xml:space="preserve"> </w:t>
      </w:r>
      <w:r w:rsidR="005F6EFA" w:rsidRPr="00EA59C0">
        <w:t>reports</w:t>
      </w:r>
      <w:r w:rsidR="00C026A6" w:rsidRPr="00EA59C0">
        <w:t xml:space="preserve"> </w:t>
      </w:r>
      <w:r w:rsidR="005F6EFA" w:rsidRPr="00EA59C0">
        <w:t>by</w:t>
      </w:r>
      <w:r w:rsidR="00C026A6" w:rsidRPr="00EA59C0">
        <w:t xml:space="preserve"> </w:t>
      </w:r>
      <w:r w:rsidR="005F6EFA" w:rsidRPr="00EA59C0">
        <w:t>the</w:t>
      </w:r>
      <w:r w:rsidR="00C026A6" w:rsidRPr="00EA59C0">
        <w:t xml:space="preserve"> </w:t>
      </w:r>
      <w:r w:rsidR="005F6EFA" w:rsidRPr="00EA59C0">
        <w:t>Lead</w:t>
      </w:r>
      <w:r w:rsidR="00C026A6" w:rsidRPr="00EA59C0">
        <w:t xml:space="preserve"> </w:t>
      </w:r>
      <w:r w:rsidR="005F6EFA" w:rsidRPr="00EA59C0">
        <w:t>in</w:t>
      </w:r>
      <w:r w:rsidR="00C026A6" w:rsidRPr="00EA59C0">
        <w:t xml:space="preserve"> </w:t>
      </w:r>
      <w:r w:rsidR="005F6EFA" w:rsidRPr="00EA59C0">
        <w:t>compliance</w:t>
      </w:r>
      <w:r w:rsidR="00C026A6" w:rsidRPr="00EA59C0">
        <w:t xml:space="preserve"> </w:t>
      </w:r>
      <w:r w:rsidR="005F6EFA" w:rsidRPr="00EA59C0">
        <w:t>with</w:t>
      </w:r>
      <w:r w:rsidR="00C026A6" w:rsidRPr="00EA59C0">
        <w:t xml:space="preserve"> </w:t>
      </w:r>
      <w:r w:rsidR="005F6EFA" w:rsidRPr="00EA59C0">
        <w:t>29</w:t>
      </w:r>
      <w:r w:rsidR="00C026A6" w:rsidRPr="00EA59C0">
        <w:t xml:space="preserve"> </w:t>
      </w:r>
      <w:r w:rsidR="005F6EFA" w:rsidRPr="00EA59C0">
        <w:t>CFR</w:t>
      </w:r>
      <w:r w:rsidR="00C026A6" w:rsidRPr="00EA59C0">
        <w:t xml:space="preserve"> </w:t>
      </w:r>
      <w:r w:rsidR="005F6EFA" w:rsidRPr="00EA59C0">
        <w:t>Part</w:t>
      </w:r>
      <w:r w:rsidR="00C026A6" w:rsidRPr="00EA59C0">
        <w:t xml:space="preserve"> </w:t>
      </w:r>
      <w:r w:rsidR="005F6EFA" w:rsidRPr="00EA59C0">
        <w:t>95.</w:t>
      </w:r>
      <w:r w:rsidR="00C026A6" w:rsidRPr="00EA59C0">
        <w:t xml:space="preserve">  </w:t>
      </w:r>
    </w:p>
    <w:p w:rsidR="00033F22" w:rsidRPr="00EA59C0" w:rsidRDefault="00033F22" w:rsidP="00A72633">
      <w:pPr>
        <w:pStyle w:val="ListParagraph"/>
        <w:ind w:left="1080"/>
        <w:rPr>
          <w:b/>
        </w:rPr>
      </w:pPr>
    </w:p>
    <w:p w:rsidR="00EE288B" w:rsidRPr="00EA59C0" w:rsidRDefault="00EE288B" w:rsidP="00A72633">
      <w:pPr>
        <w:pStyle w:val="ListParagraph"/>
        <w:numPr>
          <w:ilvl w:val="3"/>
          <w:numId w:val="17"/>
        </w:numPr>
        <w:rPr>
          <w:b/>
        </w:rPr>
      </w:pPr>
      <w:r w:rsidRPr="00EA59C0">
        <w:rPr>
          <w:b/>
        </w:rPr>
        <w:t>Consortium</w:t>
      </w:r>
      <w:r w:rsidR="00C026A6" w:rsidRPr="00EA59C0">
        <w:rPr>
          <w:b/>
        </w:rPr>
        <w:t xml:space="preserve"> </w:t>
      </w:r>
      <w:r w:rsidRPr="00EA59C0">
        <w:rPr>
          <w:b/>
        </w:rPr>
        <w:t>Management</w:t>
      </w:r>
    </w:p>
    <w:p w:rsidR="00EE288B" w:rsidRPr="00EA59C0" w:rsidRDefault="00EE288B" w:rsidP="00A72633">
      <w:pPr>
        <w:pStyle w:val="ListParagraph"/>
        <w:ind w:left="1440"/>
      </w:pPr>
      <w:r w:rsidRPr="00EA59C0">
        <w:t>Applicants</w:t>
      </w:r>
      <w:r w:rsidR="00C026A6" w:rsidRPr="00EA59C0">
        <w:t xml:space="preserve"> </w:t>
      </w:r>
      <w:r w:rsidRPr="00EA59C0">
        <w:t>are</w:t>
      </w:r>
      <w:r w:rsidR="00C026A6" w:rsidRPr="00EA59C0">
        <w:t xml:space="preserve"> </w:t>
      </w:r>
      <w:r w:rsidRPr="00EA59C0">
        <w:t>encouraged</w:t>
      </w:r>
      <w:r w:rsidR="00C026A6" w:rsidRPr="00EA59C0">
        <w:t xml:space="preserve"> </w:t>
      </w:r>
      <w:r w:rsidRPr="00EA59C0">
        <w:t>to</w:t>
      </w:r>
      <w:r w:rsidR="00C026A6" w:rsidRPr="00EA59C0">
        <w:t xml:space="preserve"> </w:t>
      </w:r>
      <w:r w:rsidRPr="00EA59C0">
        <w:t>collaborate</w:t>
      </w:r>
      <w:r w:rsidR="00C026A6" w:rsidRPr="00EA59C0">
        <w:t xml:space="preserve"> </w:t>
      </w:r>
      <w:r w:rsidRPr="00EA59C0">
        <w:t>with</w:t>
      </w:r>
      <w:r w:rsidR="00C026A6" w:rsidRPr="00EA59C0">
        <w:t xml:space="preserve"> </w:t>
      </w:r>
      <w:r w:rsidRPr="00EA59C0">
        <w:t>other</w:t>
      </w:r>
      <w:r w:rsidR="00C026A6" w:rsidRPr="00EA59C0">
        <w:t xml:space="preserve"> </w:t>
      </w:r>
      <w:r w:rsidRPr="00EA59C0">
        <w:t>colleges</w:t>
      </w:r>
      <w:r w:rsidR="00C026A6" w:rsidRPr="00EA59C0">
        <w:t xml:space="preserve"> </w:t>
      </w:r>
      <w:r w:rsidRPr="00EA59C0">
        <w:t>and</w:t>
      </w:r>
      <w:r w:rsidR="00C026A6" w:rsidRPr="00EA59C0">
        <w:t xml:space="preserve"> </w:t>
      </w:r>
      <w:r w:rsidRPr="00EA59C0">
        <w:t>universities</w:t>
      </w:r>
      <w:r w:rsidR="00C026A6" w:rsidRPr="00EA59C0">
        <w:t xml:space="preserve"> </w:t>
      </w:r>
      <w:r w:rsidRPr="00EA59C0">
        <w:t>to</w:t>
      </w:r>
      <w:r w:rsidR="00C026A6" w:rsidRPr="00EA59C0">
        <w:t xml:space="preserve"> </w:t>
      </w:r>
      <w:r w:rsidRPr="00EA59C0">
        <w:t>build</w:t>
      </w:r>
      <w:r w:rsidR="00C026A6" w:rsidRPr="00EA59C0">
        <w:t xml:space="preserve"> </w:t>
      </w:r>
      <w:r w:rsidRPr="00EA59C0">
        <w:t>consortia,</w:t>
      </w:r>
      <w:r w:rsidR="00C026A6" w:rsidRPr="00EA59C0">
        <w:t xml:space="preserve"> </w:t>
      </w:r>
      <w:r w:rsidRPr="00EA59C0">
        <w:t>and</w:t>
      </w:r>
      <w:r w:rsidR="00C026A6" w:rsidRPr="00EA59C0">
        <w:t xml:space="preserve"> </w:t>
      </w:r>
      <w:r w:rsidRPr="00EA59C0">
        <w:t>to</w:t>
      </w:r>
      <w:r w:rsidR="00C026A6" w:rsidRPr="00EA59C0">
        <w:t xml:space="preserve"> </w:t>
      </w:r>
      <w:r w:rsidRPr="00EA59C0">
        <w:t>align</w:t>
      </w:r>
      <w:r w:rsidR="00C026A6" w:rsidRPr="00EA59C0">
        <w:t xml:space="preserve"> </w:t>
      </w:r>
      <w:r w:rsidRPr="00EA59C0">
        <w:t>(where</w:t>
      </w:r>
      <w:r w:rsidR="00C026A6" w:rsidRPr="00EA59C0">
        <w:t xml:space="preserve"> </w:t>
      </w:r>
      <w:r w:rsidRPr="00EA59C0">
        <w:t>appropriate)</w:t>
      </w:r>
      <w:r w:rsidR="00C026A6" w:rsidRPr="00EA59C0">
        <w:t xml:space="preserve"> </w:t>
      </w:r>
      <w:r w:rsidRPr="00EA59C0">
        <w:t>with</w:t>
      </w:r>
      <w:r w:rsidR="00C026A6" w:rsidRPr="00EA59C0">
        <w:t xml:space="preserve"> </w:t>
      </w:r>
      <w:r w:rsidRPr="00EA59C0">
        <w:t>institutions</w:t>
      </w:r>
      <w:r w:rsidR="00C026A6" w:rsidRPr="00EA59C0">
        <w:t xml:space="preserve"> </w:t>
      </w:r>
      <w:r w:rsidRPr="00EA59C0">
        <w:t>that</w:t>
      </w:r>
      <w:r w:rsidR="00C026A6" w:rsidRPr="00EA59C0">
        <w:t xml:space="preserve"> </w:t>
      </w:r>
      <w:r w:rsidRPr="00EA59C0">
        <w:t>have</w:t>
      </w:r>
      <w:r w:rsidR="00C026A6" w:rsidRPr="00EA59C0">
        <w:t xml:space="preserve"> </w:t>
      </w:r>
      <w:r w:rsidRPr="00EA59C0">
        <w:t>already</w:t>
      </w:r>
      <w:r w:rsidR="00C026A6" w:rsidRPr="00EA59C0">
        <w:t xml:space="preserve"> </w:t>
      </w:r>
      <w:r w:rsidRPr="00EA59C0">
        <w:t>received</w:t>
      </w:r>
      <w:r w:rsidR="00C026A6" w:rsidRPr="00EA59C0">
        <w:t xml:space="preserve"> </w:t>
      </w:r>
      <w:r w:rsidRPr="00EA59C0">
        <w:t>TAACCCT</w:t>
      </w:r>
      <w:r w:rsidR="00C026A6" w:rsidRPr="00EA59C0">
        <w:t xml:space="preserve"> </w:t>
      </w:r>
      <w:r w:rsidRPr="00EA59C0">
        <w:t>funding.</w:t>
      </w:r>
      <w:r w:rsidR="00C026A6" w:rsidRPr="00EA59C0">
        <w:t xml:space="preserve">  </w:t>
      </w:r>
      <w:r w:rsidRPr="00EA59C0">
        <w:t>This</w:t>
      </w:r>
      <w:r w:rsidR="00C026A6" w:rsidRPr="00EA59C0">
        <w:t xml:space="preserve"> </w:t>
      </w:r>
      <w:r w:rsidRPr="00EA59C0">
        <w:t>includes</w:t>
      </w:r>
      <w:r w:rsidR="00C026A6" w:rsidRPr="00EA59C0">
        <w:t xml:space="preserve"> </w:t>
      </w:r>
      <w:r w:rsidRPr="00EA59C0">
        <w:t>developing</w:t>
      </w:r>
      <w:r w:rsidR="00C026A6" w:rsidRPr="00EA59C0">
        <w:t xml:space="preserve"> </w:t>
      </w:r>
      <w:r w:rsidRPr="00EA59C0">
        <w:t>content</w:t>
      </w:r>
      <w:r w:rsidR="00C026A6" w:rsidRPr="00EA59C0">
        <w:t xml:space="preserve"> </w:t>
      </w:r>
      <w:r w:rsidRPr="00EA59C0">
        <w:t>across</w:t>
      </w:r>
      <w:r w:rsidR="00C026A6" w:rsidRPr="00EA59C0">
        <w:t xml:space="preserve"> </w:t>
      </w:r>
      <w:r w:rsidRPr="00EA59C0">
        <w:t>multiple</w:t>
      </w:r>
      <w:r w:rsidR="00C026A6" w:rsidRPr="00EA59C0">
        <w:t xml:space="preserve"> </w:t>
      </w:r>
      <w:r w:rsidRPr="00EA59C0">
        <w:t>institutions;</w:t>
      </w:r>
      <w:r w:rsidR="00C026A6" w:rsidRPr="00EA59C0">
        <w:t xml:space="preserve"> </w:t>
      </w:r>
      <w:r w:rsidRPr="00EA59C0">
        <w:t>developing</w:t>
      </w:r>
      <w:r w:rsidR="00C026A6" w:rsidRPr="00EA59C0">
        <w:t xml:space="preserve"> </w:t>
      </w:r>
      <w:r w:rsidRPr="00EA59C0">
        <w:t>content</w:t>
      </w:r>
      <w:r w:rsidR="00C026A6" w:rsidRPr="00EA59C0">
        <w:t xml:space="preserve"> </w:t>
      </w:r>
      <w:r w:rsidRPr="00EA59C0">
        <w:t>at</w:t>
      </w:r>
      <w:r w:rsidR="00C026A6" w:rsidRPr="00EA59C0">
        <w:t xml:space="preserve"> </w:t>
      </w:r>
      <w:r w:rsidRPr="00EA59C0">
        <w:t>one</w:t>
      </w:r>
      <w:r w:rsidR="00C026A6" w:rsidRPr="00EA59C0">
        <w:t xml:space="preserve"> </w:t>
      </w:r>
      <w:r w:rsidRPr="00EA59C0">
        <w:t>institution</w:t>
      </w:r>
      <w:r w:rsidR="00C026A6" w:rsidRPr="00EA59C0">
        <w:t xml:space="preserve"> </w:t>
      </w:r>
      <w:r w:rsidRPr="00EA59C0">
        <w:t>and</w:t>
      </w:r>
      <w:r w:rsidR="00C026A6" w:rsidRPr="00EA59C0">
        <w:t xml:space="preserve"> </w:t>
      </w:r>
      <w:r w:rsidRPr="00EA59C0">
        <w:t>allowing</w:t>
      </w:r>
      <w:r w:rsidR="00C026A6" w:rsidRPr="00EA59C0">
        <w:t xml:space="preserve"> </w:t>
      </w:r>
      <w:r w:rsidRPr="00EA59C0">
        <w:t>other</w:t>
      </w:r>
      <w:r w:rsidR="00C026A6" w:rsidRPr="00EA59C0">
        <w:t xml:space="preserve"> </w:t>
      </w:r>
      <w:r w:rsidRPr="00EA59C0">
        <w:t>institutions</w:t>
      </w:r>
      <w:r w:rsidR="00C026A6" w:rsidRPr="00EA59C0">
        <w:t xml:space="preserve"> </w:t>
      </w:r>
      <w:r w:rsidRPr="00EA59C0">
        <w:t>to</w:t>
      </w:r>
      <w:r w:rsidR="00C026A6" w:rsidRPr="00EA59C0">
        <w:t xml:space="preserve"> </w:t>
      </w:r>
      <w:r w:rsidRPr="00EA59C0">
        <w:t>use</w:t>
      </w:r>
      <w:r w:rsidR="00C026A6" w:rsidRPr="00EA59C0">
        <w:t xml:space="preserve"> </w:t>
      </w:r>
      <w:r w:rsidRPr="00EA59C0">
        <w:t>the</w:t>
      </w:r>
      <w:r w:rsidR="00C026A6" w:rsidRPr="00EA59C0">
        <w:t xml:space="preserve"> </w:t>
      </w:r>
      <w:r w:rsidRPr="00EA59C0">
        <w:t>content</w:t>
      </w:r>
      <w:r w:rsidR="00C026A6" w:rsidRPr="00EA59C0">
        <w:t xml:space="preserve"> </w:t>
      </w:r>
      <w:r w:rsidRPr="00EA59C0">
        <w:t>in</w:t>
      </w:r>
      <w:r w:rsidR="00C026A6" w:rsidRPr="00EA59C0">
        <w:t xml:space="preserve"> </w:t>
      </w:r>
      <w:r w:rsidRPr="00EA59C0">
        <w:t>their</w:t>
      </w:r>
      <w:r w:rsidR="00C026A6" w:rsidRPr="00EA59C0">
        <w:t xml:space="preserve"> </w:t>
      </w:r>
      <w:r w:rsidRPr="00EA59C0">
        <w:t>courses;</w:t>
      </w:r>
      <w:r w:rsidR="00C026A6" w:rsidRPr="00EA59C0">
        <w:t xml:space="preserve"> </w:t>
      </w:r>
      <w:r w:rsidRPr="00EA59C0">
        <w:t>and/or</w:t>
      </w:r>
      <w:r w:rsidR="00C026A6" w:rsidRPr="00EA59C0">
        <w:t xml:space="preserve"> </w:t>
      </w:r>
      <w:r w:rsidRPr="00EA59C0">
        <w:t>designating</w:t>
      </w:r>
      <w:r w:rsidR="00C026A6" w:rsidRPr="00EA59C0">
        <w:t xml:space="preserve"> </w:t>
      </w:r>
      <w:r w:rsidRPr="00EA59C0">
        <w:t>a</w:t>
      </w:r>
      <w:r w:rsidR="00C026A6" w:rsidRPr="00EA59C0">
        <w:t xml:space="preserve"> </w:t>
      </w:r>
      <w:r w:rsidRPr="00EA59C0">
        <w:t>home</w:t>
      </w:r>
      <w:r w:rsidR="00C026A6" w:rsidRPr="00EA59C0">
        <w:t xml:space="preserve"> </w:t>
      </w:r>
      <w:r w:rsidRPr="00EA59C0">
        <w:t>institution</w:t>
      </w:r>
      <w:r w:rsidR="00C026A6" w:rsidRPr="00EA59C0">
        <w:t xml:space="preserve"> </w:t>
      </w:r>
      <w:r w:rsidRPr="00EA59C0">
        <w:t>or</w:t>
      </w:r>
      <w:r w:rsidR="00C026A6" w:rsidRPr="00EA59C0">
        <w:t xml:space="preserve"> </w:t>
      </w:r>
      <w:r w:rsidRPr="00EA59C0">
        <w:t>institutions</w:t>
      </w:r>
      <w:r w:rsidR="00C026A6" w:rsidRPr="00EA59C0">
        <w:t xml:space="preserve"> </w:t>
      </w:r>
      <w:r w:rsidRPr="00EA59C0">
        <w:t>in</w:t>
      </w:r>
      <w:r w:rsidR="00C026A6" w:rsidRPr="00EA59C0">
        <w:t xml:space="preserve"> </w:t>
      </w:r>
      <w:r w:rsidRPr="00EA59C0">
        <w:t>the</w:t>
      </w:r>
      <w:r w:rsidR="00C026A6" w:rsidRPr="00EA59C0">
        <w:t xml:space="preserve"> </w:t>
      </w:r>
      <w:r w:rsidRPr="00EA59C0">
        <w:t>consortium</w:t>
      </w:r>
      <w:r w:rsidR="00C026A6" w:rsidRPr="00EA59C0">
        <w:t xml:space="preserve"> </w:t>
      </w:r>
      <w:r w:rsidRPr="00EA59C0">
        <w:t>to</w:t>
      </w:r>
      <w:r w:rsidR="00C026A6" w:rsidRPr="00EA59C0">
        <w:t xml:space="preserve"> </w:t>
      </w:r>
      <w:r w:rsidRPr="00EA59C0">
        <w:t>confer</w:t>
      </w:r>
      <w:r w:rsidR="00C026A6" w:rsidRPr="00EA59C0">
        <w:t xml:space="preserve"> </w:t>
      </w:r>
      <w:r w:rsidRPr="00EA59C0">
        <w:t>credential(s),</w:t>
      </w:r>
      <w:r w:rsidR="00C026A6" w:rsidRPr="00EA59C0">
        <w:t xml:space="preserve"> </w:t>
      </w:r>
      <w:r w:rsidRPr="00EA59C0">
        <w:t>while</w:t>
      </w:r>
      <w:r w:rsidR="00C026A6" w:rsidRPr="00EA59C0">
        <w:t xml:space="preserve"> </w:t>
      </w:r>
      <w:r w:rsidRPr="00EA59C0">
        <w:t>other</w:t>
      </w:r>
      <w:r w:rsidR="00C026A6" w:rsidRPr="00EA59C0">
        <w:t xml:space="preserve"> </w:t>
      </w:r>
      <w:r w:rsidRPr="00EA59C0">
        <w:t>institutions</w:t>
      </w:r>
      <w:r w:rsidR="00C026A6" w:rsidRPr="00EA59C0">
        <w:t xml:space="preserve"> </w:t>
      </w:r>
      <w:r w:rsidRPr="00EA59C0">
        <w:t>contribute</w:t>
      </w:r>
      <w:r w:rsidR="00C026A6" w:rsidRPr="00EA59C0">
        <w:t xml:space="preserve"> </w:t>
      </w:r>
      <w:r w:rsidRPr="00EA59C0">
        <w:t>to</w:t>
      </w:r>
      <w:r w:rsidR="00C026A6" w:rsidRPr="00EA59C0">
        <w:t xml:space="preserve"> </w:t>
      </w:r>
      <w:r w:rsidRPr="00EA59C0">
        <w:t>the</w:t>
      </w:r>
      <w:r w:rsidR="00C026A6" w:rsidRPr="00EA59C0">
        <w:t xml:space="preserve"> </w:t>
      </w:r>
      <w:r w:rsidRPr="00EA59C0">
        <w:t>program</w:t>
      </w:r>
      <w:r w:rsidR="00C026A6" w:rsidRPr="00EA59C0">
        <w:t xml:space="preserve"> </w:t>
      </w:r>
      <w:r w:rsidRPr="00EA59C0">
        <w:t>through</w:t>
      </w:r>
      <w:r w:rsidR="00C026A6" w:rsidRPr="00EA59C0">
        <w:t xml:space="preserve"> </w:t>
      </w:r>
      <w:r w:rsidRPr="00EA59C0">
        <w:t>course</w:t>
      </w:r>
      <w:r w:rsidR="00C026A6" w:rsidRPr="00EA59C0">
        <w:t xml:space="preserve"> </w:t>
      </w:r>
      <w:r w:rsidRPr="00EA59C0">
        <w:t>development</w:t>
      </w:r>
      <w:r w:rsidR="00C026A6" w:rsidRPr="00EA59C0">
        <w:t xml:space="preserve"> </w:t>
      </w:r>
      <w:r w:rsidRPr="00EA59C0">
        <w:t>and</w:t>
      </w:r>
      <w:r w:rsidR="00C026A6" w:rsidRPr="00EA59C0">
        <w:t xml:space="preserve"> </w:t>
      </w:r>
      <w:r w:rsidRPr="00EA59C0">
        <w:t>delivery.</w:t>
      </w:r>
      <w:r w:rsidR="00C026A6" w:rsidRPr="00EA59C0">
        <w:t xml:space="preserve">  </w:t>
      </w:r>
      <w:r w:rsidRPr="00EA59C0">
        <w:t>Applicants</w:t>
      </w:r>
      <w:r w:rsidR="00C026A6" w:rsidRPr="00EA59C0">
        <w:t xml:space="preserve"> </w:t>
      </w:r>
      <w:r w:rsidRPr="00EA59C0">
        <w:t>shall</w:t>
      </w:r>
      <w:r w:rsidR="00C026A6" w:rsidRPr="00EA59C0">
        <w:t xml:space="preserve"> </w:t>
      </w:r>
      <w:r w:rsidRPr="00EA59C0">
        <w:t>develop</w:t>
      </w:r>
      <w:r w:rsidR="00C026A6" w:rsidRPr="00EA59C0">
        <w:t xml:space="preserve"> </w:t>
      </w:r>
      <w:r w:rsidRPr="00EA59C0">
        <w:t>a</w:t>
      </w:r>
      <w:r w:rsidR="00C026A6" w:rsidRPr="00EA59C0">
        <w:t xml:space="preserve"> </w:t>
      </w:r>
      <w:r w:rsidRPr="00EA59C0">
        <w:t>collaboration</w:t>
      </w:r>
      <w:r w:rsidR="00C026A6" w:rsidRPr="00EA59C0">
        <w:t xml:space="preserve"> </w:t>
      </w:r>
      <w:r w:rsidRPr="00EA59C0">
        <w:t>model</w:t>
      </w:r>
      <w:r w:rsidR="00C026A6" w:rsidRPr="00EA59C0">
        <w:t xml:space="preserve"> </w:t>
      </w:r>
      <w:r w:rsidRPr="00EA59C0">
        <w:t>that</w:t>
      </w:r>
      <w:r w:rsidR="00C026A6" w:rsidRPr="00EA59C0">
        <w:t xml:space="preserve"> </w:t>
      </w:r>
      <w:r w:rsidRPr="00EA59C0">
        <w:t>reduces</w:t>
      </w:r>
      <w:r w:rsidR="00C026A6" w:rsidRPr="00EA59C0">
        <w:t xml:space="preserve"> </w:t>
      </w:r>
      <w:r w:rsidRPr="00EA59C0">
        <w:t>duplication</w:t>
      </w:r>
      <w:r w:rsidR="00C026A6" w:rsidRPr="00EA59C0">
        <w:t xml:space="preserve"> </w:t>
      </w:r>
      <w:r w:rsidRPr="00EA59C0">
        <w:t>of</w:t>
      </w:r>
      <w:r w:rsidR="00C026A6" w:rsidRPr="00EA59C0">
        <w:t xml:space="preserve"> </w:t>
      </w:r>
      <w:r w:rsidRPr="00EA59C0">
        <w:t>effort</w:t>
      </w:r>
      <w:r w:rsidR="00C026A6" w:rsidRPr="00EA59C0">
        <w:t xml:space="preserve"> </w:t>
      </w:r>
      <w:r w:rsidRPr="00EA59C0">
        <w:t>and</w:t>
      </w:r>
      <w:r w:rsidR="00C026A6" w:rsidRPr="00EA59C0">
        <w:t xml:space="preserve"> </w:t>
      </w:r>
      <w:r w:rsidRPr="00EA59C0">
        <w:t>resources</w:t>
      </w:r>
      <w:r w:rsidR="00C026A6" w:rsidRPr="00EA59C0">
        <w:t xml:space="preserve"> </w:t>
      </w:r>
      <w:r w:rsidRPr="00EA59C0">
        <w:t>where</w:t>
      </w:r>
      <w:r w:rsidR="00C026A6" w:rsidRPr="00EA59C0">
        <w:t xml:space="preserve"> </w:t>
      </w:r>
      <w:r w:rsidRPr="00EA59C0">
        <w:t>possible</w:t>
      </w:r>
      <w:r w:rsidR="00C026A6" w:rsidRPr="00EA59C0">
        <w:t xml:space="preserve"> </w:t>
      </w:r>
      <w:r w:rsidRPr="00EA59C0">
        <w:t>within</w:t>
      </w:r>
      <w:r w:rsidR="00C026A6" w:rsidRPr="00EA59C0">
        <w:t xml:space="preserve"> </w:t>
      </w:r>
      <w:r w:rsidRPr="00EA59C0">
        <w:t>the</w:t>
      </w:r>
      <w:r w:rsidR="00C026A6" w:rsidRPr="00EA59C0">
        <w:t xml:space="preserve"> </w:t>
      </w:r>
      <w:r w:rsidRPr="00EA59C0">
        <w:t>consortium.</w:t>
      </w:r>
      <w:r w:rsidR="00C026A6" w:rsidRPr="00EA59C0">
        <w:t xml:space="preserve">  </w:t>
      </w:r>
    </w:p>
    <w:p w:rsidR="00894F85" w:rsidRPr="00EA59C0" w:rsidRDefault="00894F85" w:rsidP="00A72633">
      <w:pPr>
        <w:pStyle w:val="ListParagraph"/>
        <w:ind w:left="360"/>
      </w:pPr>
    </w:p>
    <w:p w:rsidR="00EE288B" w:rsidRPr="00EA59C0" w:rsidRDefault="00EE288B" w:rsidP="006626AE">
      <w:pPr>
        <w:pStyle w:val="Heading1"/>
        <w:numPr>
          <w:ilvl w:val="1"/>
          <w:numId w:val="17"/>
        </w:numPr>
        <w:spacing w:line="240" w:lineRule="auto"/>
        <w:rPr>
          <w:rFonts w:ascii="Times New Roman" w:hAnsi="Times New Roman"/>
        </w:rPr>
      </w:pPr>
      <w:r w:rsidRPr="00EA59C0">
        <w:rPr>
          <w:rFonts w:ascii="Times New Roman" w:hAnsi="Times New Roman"/>
        </w:rPr>
        <w:t>Allowable</w:t>
      </w:r>
      <w:r w:rsidR="00C026A6" w:rsidRPr="00EA59C0">
        <w:rPr>
          <w:rFonts w:ascii="Times New Roman" w:hAnsi="Times New Roman"/>
        </w:rPr>
        <w:t xml:space="preserve"> </w:t>
      </w:r>
      <w:r w:rsidRPr="00EA59C0">
        <w:rPr>
          <w:rFonts w:ascii="Times New Roman" w:hAnsi="Times New Roman"/>
        </w:rPr>
        <w:t>Activities</w:t>
      </w:r>
      <w:r w:rsidR="00C026A6" w:rsidRPr="00EA59C0">
        <w:rPr>
          <w:rFonts w:ascii="Times New Roman" w:hAnsi="Times New Roman"/>
        </w:rPr>
        <w:t xml:space="preserve"> </w:t>
      </w:r>
      <w:r w:rsidRPr="00EA59C0">
        <w:rPr>
          <w:rFonts w:ascii="Times New Roman" w:hAnsi="Times New Roman"/>
        </w:rPr>
        <w:t>for</w:t>
      </w:r>
      <w:r w:rsidR="00C026A6" w:rsidRPr="00EA59C0">
        <w:rPr>
          <w:rFonts w:ascii="Times New Roman" w:hAnsi="Times New Roman"/>
        </w:rPr>
        <w:t xml:space="preserve"> </w:t>
      </w:r>
      <w:r w:rsidRPr="00EA59C0">
        <w:rPr>
          <w:rFonts w:ascii="Times New Roman" w:hAnsi="Times New Roman"/>
        </w:rPr>
        <w:t>All</w:t>
      </w:r>
      <w:r w:rsidR="00C026A6" w:rsidRPr="00EA59C0">
        <w:rPr>
          <w:rFonts w:ascii="Times New Roman" w:hAnsi="Times New Roman"/>
        </w:rPr>
        <w:t xml:space="preserve"> </w:t>
      </w:r>
      <w:r w:rsidRPr="00EA59C0">
        <w:rPr>
          <w:rFonts w:ascii="Times New Roman" w:hAnsi="Times New Roman"/>
        </w:rPr>
        <w:t>Applicants</w:t>
      </w:r>
      <w:r w:rsidR="00C026A6" w:rsidRPr="00EA59C0">
        <w:rPr>
          <w:rFonts w:ascii="Times New Roman" w:hAnsi="Times New Roman"/>
        </w:rPr>
        <w:t xml:space="preserve"> </w:t>
      </w:r>
    </w:p>
    <w:p w:rsidR="00033F22" w:rsidRPr="00EA59C0" w:rsidRDefault="00033F22" w:rsidP="00A72633">
      <w:pPr>
        <w:ind w:left="720"/>
      </w:pPr>
      <w:r w:rsidRPr="00EA59C0">
        <w:t>The</w:t>
      </w:r>
      <w:r w:rsidR="00C026A6" w:rsidRPr="00EA59C0">
        <w:t xml:space="preserve"> </w:t>
      </w:r>
      <w:r w:rsidRPr="00EA59C0">
        <w:t>Department</w:t>
      </w:r>
      <w:r w:rsidR="00C026A6" w:rsidRPr="00EA59C0">
        <w:t xml:space="preserve"> </w:t>
      </w:r>
      <w:r w:rsidRPr="00EA59C0">
        <w:t>anticipates</w:t>
      </w:r>
      <w:r w:rsidR="00C026A6" w:rsidRPr="00EA59C0">
        <w:t xml:space="preserve"> </w:t>
      </w:r>
      <w:r w:rsidRPr="00EA59C0">
        <w:t>that</w:t>
      </w:r>
      <w:r w:rsidR="00C026A6" w:rsidRPr="00EA59C0">
        <w:t xml:space="preserve"> </w:t>
      </w:r>
      <w:r w:rsidRPr="00EA59C0">
        <w:t>the</w:t>
      </w:r>
      <w:r w:rsidR="00C026A6" w:rsidRPr="00EA59C0">
        <w:t xml:space="preserve"> </w:t>
      </w:r>
      <w:r w:rsidRPr="00EA59C0">
        <w:t>majority</w:t>
      </w:r>
      <w:r w:rsidR="00C026A6" w:rsidRPr="00EA59C0">
        <w:t xml:space="preserve"> </w:t>
      </w:r>
      <w:r w:rsidRPr="00EA59C0">
        <w:t>of</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include</w:t>
      </w:r>
      <w:r w:rsidR="00C026A6" w:rsidRPr="00EA59C0">
        <w:t xml:space="preserve"> </w:t>
      </w:r>
      <w:r w:rsidRPr="00EA59C0">
        <w:t>three</w:t>
      </w:r>
      <w:r w:rsidR="00C026A6" w:rsidRPr="00EA59C0">
        <w:t xml:space="preserve"> </w:t>
      </w:r>
      <w:r w:rsidRPr="00EA59C0">
        <w:t>specific</w:t>
      </w:r>
      <w:r w:rsidR="00C026A6" w:rsidRPr="00EA59C0">
        <w:t xml:space="preserve"> </w:t>
      </w:r>
      <w:r w:rsidRPr="00EA59C0">
        <w:t>types</w:t>
      </w:r>
      <w:r w:rsidR="00C026A6" w:rsidRPr="00EA59C0">
        <w:t xml:space="preserve"> </w:t>
      </w:r>
      <w:r w:rsidRPr="00EA59C0">
        <w:t>of</w:t>
      </w:r>
      <w:r w:rsidR="00C026A6" w:rsidRPr="00EA59C0">
        <w:t xml:space="preserve"> </w:t>
      </w:r>
      <w:r w:rsidRPr="00EA59C0">
        <w:t>allowable</w:t>
      </w:r>
      <w:r w:rsidR="00C026A6" w:rsidRPr="00EA59C0">
        <w:t xml:space="preserve"> </w:t>
      </w:r>
      <w:r w:rsidRPr="00EA59C0">
        <w:t>activities</w:t>
      </w:r>
      <w:r w:rsidR="00C026A6" w:rsidRPr="00EA59C0">
        <w:t xml:space="preserve"> </w:t>
      </w:r>
      <w:r w:rsidRPr="00EA59C0">
        <w:t>to</w:t>
      </w:r>
      <w:r w:rsidR="00C026A6" w:rsidRPr="00EA59C0">
        <w:t xml:space="preserve"> </w:t>
      </w:r>
      <w:r w:rsidRPr="00EA59C0">
        <w:t>support</w:t>
      </w:r>
      <w:r w:rsidR="00C026A6" w:rsidRPr="00EA59C0">
        <w:t xml:space="preserve"> </w:t>
      </w:r>
      <w:r w:rsidRPr="00EA59C0">
        <w:t>their</w:t>
      </w:r>
      <w:r w:rsidR="00C026A6" w:rsidRPr="00EA59C0">
        <w:t xml:space="preserve"> </w:t>
      </w:r>
      <w:r w:rsidRPr="00EA59C0">
        <w:t>work:</w:t>
      </w:r>
      <w:r w:rsidR="00C026A6" w:rsidRPr="00EA59C0">
        <w:t xml:space="preserve">  </w:t>
      </w:r>
      <w:r w:rsidRPr="00EA59C0">
        <w:t>a)</w:t>
      </w:r>
      <w:r w:rsidR="00C026A6" w:rsidRPr="00EA59C0">
        <w:t xml:space="preserve"> </w:t>
      </w:r>
      <w:r w:rsidRPr="00EA59C0">
        <w:t>hiring</w:t>
      </w:r>
      <w:r w:rsidR="00C026A6" w:rsidRPr="00EA59C0">
        <w:t xml:space="preserve"> </w:t>
      </w:r>
      <w:r w:rsidRPr="00EA59C0">
        <w:t>and/or</w:t>
      </w:r>
      <w:r w:rsidR="00C026A6" w:rsidRPr="00EA59C0">
        <w:t xml:space="preserve"> </w:t>
      </w:r>
      <w:r w:rsidRPr="00EA59C0">
        <w:t>training</w:t>
      </w:r>
      <w:r w:rsidR="00C026A6" w:rsidRPr="00EA59C0">
        <w:t xml:space="preserve"> </w:t>
      </w:r>
      <w:r w:rsidRPr="00EA59C0">
        <w:t>additional</w:t>
      </w:r>
      <w:r w:rsidR="00C026A6" w:rsidRPr="00EA59C0">
        <w:t xml:space="preserve"> </w:t>
      </w:r>
      <w:r w:rsidRPr="00EA59C0">
        <w:t>instructors</w:t>
      </w:r>
      <w:r w:rsidR="00C026A6" w:rsidRPr="00EA59C0">
        <w:t xml:space="preserve"> </w:t>
      </w:r>
      <w:r w:rsidRPr="00EA59C0">
        <w:t>or</w:t>
      </w:r>
      <w:r w:rsidR="00C026A6" w:rsidRPr="00EA59C0">
        <w:t xml:space="preserve"> </w:t>
      </w:r>
      <w:r w:rsidRPr="00EA59C0">
        <w:t>staff</w:t>
      </w:r>
      <w:r w:rsidR="00C026A6" w:rsidRPr="00EA59C0">
        <w:t xml:space="preserve"> </w:t>
      </w:r>
      <w:r w:rsidRPr="00EA59C0">
        <w:t>(including</w:t>
      </w:r>
      <w:r w:rsidR="00C026A6" w:rsidRPr="00EA59C0">
        <w:t xml:space="preserve"> </w:t>
      </w:r>
      <w:r w:rsidRPr="00EA59C0">
        <w:t>the</w:t>
      </w:r>
      <w:r w:rsidR="00C026A6" w:rsidRPr="00EA59C0">
        <w:t xml:space="preserve"> </w:t>
      </w:r>
      <w:r w:rsidRPr="00EA59C0">
        <w:t>costs</w:t>
      </w:r>
      <w:r w:rsidR="00C026A6" w:rsidRPr="00EA59C0">
        <w:t xml:space="preserve"> </w:t>
      </w:r>
      <w:r w:rsidRPr="00EA59C0">
        <w:t>of</w:t>
      </w:r>
      <w:r w:rsidR="00C026A6" w:rsidRPr="00EA59C0">
        <w:t xml:space="preserve"> </w:t>
      </w:r>
      <w:r w:rsidRPr="00EA59C0">
        <w:t>salaries</w:t>
      </w:r>
      <w:r w:rsidR="00C026A6" w:rsidRPr="00EA59C0">
        <w:t xml:space="preserve"> </w:t>
      </w:r>
      <w:r w:rsidRPr="00EA59C0">
        <w:t>and</w:t>
      </w:r>
      <w:r w:rsidR="00C026A6" w:rsidRPr="00EA59C0">
        <w:t xml:space="preserve"> </w:t>
      </w:r>
      <w:r w:rsidRPr="00EA59C0">
        <w:t>benefits)</w:t>
      </w:r>
      <w:r w:rsidR="00C026A6" w:rsidRPr="00EA59C0">
        <w:t xml:space="preserve"> </w:t>
      </w:r>
      <w:r w:rsidRPr="00EA59C0">
        <w:t>to</w:t>
      </w:r>
      <w:r w:rsidR="00C026A6" w:rsidRPr="00EA59C0">
        <w:t xml:space="preserve"> </w:t>
      </w:r>
      <w:r w:rsidRPr="00EA59C0">
        <w:t>assist</w:t>
      </w:r>
      <w:r w:rsidR="00C026A6" w:rsidRPr="00EA59C0">
        <w:t xml:space="preserve"> </w:t>
      </w:r>
      <w:r w:rsidRPr="00EA59C0">
        <w:t>in</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and/or</w:t>
      </w:r>
      <w:r w:rsidR="00C026A6" w:rsidRPr="00EA59C0">
        <w:t xml:space="preserve"> </w:t>
      </w:r>
      <w:r w:rsidRPr="00EA59C0">
        <w:t>delivery</w:t>
      </w:r>
      <w:r w:rsidR="00C026A6" w:rsidRPr="00EA59C0">
        <w:t xml:space="preserve"> </w:t>
      </w:r>
      <w:r w:rsidRPr="00EA59C0">
        <w:t>of</w:t>
      </w:r>
      <w:r w:rsidR="00C026A6" w:rsidRPr="00EA59C0">
        <w:t xml:space="preserve"> </w:t>
      </w:r>
      <w:r w:rsidRPr="00EA59C0">
        <w:t>new</w:t>
      </w:r>
      <w:r w:rsidR="00C026A6" w:rsidRPr="00EA59C0">
        <w:t xml:space="preserve"> </w:t>
      </w:r>
      <w:r w:rsidRPr="00EA59C0">
        <w:t>curricula,</w:t>
      </w:r>
      <w:r w:rsidR="00C026A6" w:rsidRPr="00EA59C0">
        <w:t xml:space="preserve"> </w:t>
      </w:r>
      <w:r w:rsidRPr="00EA59C0">
        <w:t>and</w:t>
      </w:r>
      <w:r w:rsidR="00C026A6" w:rsidRPr="00EA59C0">
        <w:t xml:space="preserve"> </w:t>
      </w:r>
      <w:r w:rsidRPr="00EA59C0">
        <w:t>in</w:t>
      </w:r>
      <w:r w:rsidR="00C026A6" w:rsidRPr="00EA59C0">
        <w:t xml:space="preserve"> </w:t>
      </w:r>
      <w:r w:rsidRPr="00EA59C0">
        <w:t>the</w:t>
      </w:r>
      <w:r w:rsidR="00C026A6" w:rsidRPr="00EA59C0">
        <w:t xml:space="preserve"> </w:t>
      </w:r>
      <w:r w:rsidRPr="00EA59C0">
        <w:t>establishment</w:t>
      </w:r>
      <w:r w:rsidR="00C026A6" w:rsidRPr="00EA59C0">
        <w:t xml:space="preserve"> </w:t>
      </w:r>
      <w:r w:rsidRPr="00EA59C0">
        <w:t>of</w:t>
      </w:r>
      <w:r w:rsidR="00C026A6" w:rsidRPr="00EA59C0">
        <w:t xml:space="preserve"> </w:t>
      </w:r>
      <w:r w:rsidRPr="00EA59C0">
        <w:t>internships,</w:t>
      </w:r>
      <w:r w:rsidR="00C026A6" w:rsidRPr="00EA59C0">
        <w:t xml:space="preserve"> </w:t>
      </w:r>
      <w:r w:rsidRPr="00EA59C0">
        <w:t>Registered</w:t>
      </w:r>
      <w:r w:rsidR="00C026A6" w:rsidRPr="00EA59C0">
        <w:t xml:space="preserve"> </w:t>
      </w:r>
      <w:r w:rsidRPr="00EA59C0">
        <w:t>Apprenticeship,</w:t>
      </w:r>
      <w:r w:rsidR="00C026A6" w:rsidRPr="00EA59C0">
        <w:t xml:space="preserve"> </w:t>
      </w:r>
      <w:r w:rsidRPr="00EA59C0">
        <w:t>or</w:t>
      </w:r>
      <w:r w:rsidR="00C026A6" w:rsidRPr="00EA59C0">
        <w:t xml:space="preserve"> </w:t>
      </w:r>
      <w:r w:rsidRPr="00EA59C0">
        <w:t>clinical/cooperative</w:t>
      </w:r>
      <w:r w:rsidR="00C026A6" w:rsidRPr="00EA59C0">
        <w:t xml:space="preserve"> </w:t>
      </w:r>
      <w:r w:rsidRPr="00EA59C0">
        <w:t>education</w:t>
      </w:r>
      <w:r w:rsidR="00C026A6" w:rsidRPr="00EA59C0">
        <w:t xml:space="preserve"> </w:t>
      </w:r>
      <w:r w:rsidRPr="00EA59C0">
        <w:t>programs</w:t>
      </w:r>
      <w:r w:rsidR="00C026A6" w:rsidRPr="00EA59C0">
        <w:t xml:space="preserve"> </w:t>
      </w:r>
      <w:r w:rsidRPr="00EA59C0">
        <w:t>at</w:t>
      </w:r>
      <w:r w:rsidR="00C026A6" w:rsidRPr="00EA59C0">
        <w:t xml:space="preserve"> </w:t>
      </w:r>
      <w:r w:rsidRPr="00EA59C0">
        <w:t>employer</w:t>
      </w:r>
      <w:r w:rsidR="00C026A6" w:rsidRPr="00EA59C0">
        <w:t xml:space="preserve"> </w:t>
      </w:r>
      <w:r w:rsidRPr="00EA59C0">
        <w:t>sites;</w:t>
      </w:r>
      <w:r w:rsidR="00C026A6" w:rsidRPr="00EA59C0">
        <w:t xml:space="preserve"> </w:t>
      </w:r>
      <w:r w:rsidRPr="00EA59C0">
        <w:t>b)</w:t>
      </w:r>
      <w:r w:rsidR="00C026A6" w:rsidRPr="00EA59C0">
        <w:t xml:space="preserve"> </w:t>
      </w:r>
      <w:r w:rsidRPr="00EA59C0">
        <w:t>purchasing</w:t>
      </w:r>
      <w:r w:rsidR="00C026A6" w:rsidRPr="00EA59C0">
        <w:t xml:space="preserve"> </w:t>
      </w:r>
      <w:r w:rsidRPr="00EA59C0">
        <w:t>or</w:t>
      </w:r>
      <w:r w:rsidR="00C026A6" w:rsidRPr="00EA59C0">
        <w:t xml:space="preserve"> </w:t>
      </w:r>
      <w:r w:rsidRPr="00EA59C0">
        <w:t>upgrading</w:t>
      </w:r>
      <w:r w:rsidR="00C026A6" w:rsidRPr="00EA59C0">
        <w:t xml:space="preserve"> </w:t>
      </w:r>
      <w:r w:rsidRPr="00EA59C0">
        <w:t>classroom</w:t>
      </w:r>
      <w:r w:rsidR="00C026A6" w:rsidRPr="00EA59C0">
        <w:t xml:space="preserve"> </w:t>
      </w:r>
      <w:r w:rsidRPr="00EA59C0">
        <w:t>supplies</w:t>
      </w:r>
      <w:r w:rsidR="00C026A6" w:rsidRPr="00EA59C0">
        <w:t xml:space="preserve"> </w:t>
      </w:r>
      <w:r w:rsidRPr="00EA59C0">
        <w:t>and</w:t>
      </w:r>
      <w:r w:rsidR="00C026A6" w:rsidRPr="00EA59C0">
        <w:t xml:space="preserve"> </w:t>
      </w:r>
      <w:r w:rsidRPr="00EA59C0">
        <w:t>equipment</w:t>
      </w:r>
      <w:r w:rsidR="00C026A6" w:rsidRPr="00EA59C0">
        <w:t xml:space="preserve"> </w:t>
      </w:r>
      <w:r w:rsidRPr="00EA59C0">
        <w:t>and/or</w:t>
      </w:r>
      <w:r w:rsidR="00C026A6" w:rsidRPr="00EA59C0">
        <w:t xml:space="preserve"> </w:t>
      </w:r>
      <w:r w:rsidRPr="00EA59C0">
        <w:t>educational</w:t>
      </w:r>
      <w:r w:rsidR="00C026A6" w:rsidRPr="00EA59C0">
        <w:t xml:space="preserve"> </w:t>
      </w:r>
      <w:r w:rsidRPr="00EA59C0">
        <w:t>technologies</w:t>
      </w:r>
      <w:r w:rsidR="00C026A6" w:rsidRPr="00EA59C0">
        <w:t xml:space="preserve"> </w:t>
      </w:r>
      <w:r w:rsidRPr="00EA59C0">
        <w:t>that</w:t>
      </w:r>
      <w:r w:rsidR="00C026A6" w:rsidRPr="00EA59C0">
        <w:t xml:space="preserve"> </w:t>
      </w:r>
      <w:r w:rsidRPr="00EA59C0">
        <w:t>will</w:t>
      </w:r>
      <w:r w:rsidR="00C026A6" w:rsidRPr="00EA59C0">
        <w:t xml:space="preserve"> </w:t>
      </w:r>
      <w:r w:rsidRPr="00EA59C0">
        <w:t>contribute</w:t>
      </w:r>
      <w:r w:rsidR="00C026A6" w:rsidRPr="00EA59C0">
        <w:t xml:space="preserve"> </w:t>
      </w:r>
      <w:r w:rsidRPr="00EA59C0">
        <w:t>to</w:t>
      </w:r>
      <w:r w:rsidR="00C026A6" w:rsidRPr="00EA59C0">
        <w:t xml:space="preserve"> </w:t>
      </w:r>
      <w:r w:rsidRPr="00EA59C0">
        <w:t>the</w:t>
      </w:r>
      <w:r w:rsidR="00C026A6" w:rsidRPr="00EA59C0">
        <w:t xml:space="preserve"> </w:t>
      </w:r>
      <w:r w:rsidRPr="00EA59C0">
        <w:t>instructional</w:t>
      </w:r>
      <w:r w:rsidR="00C026A6" w:rsidRPr="00EA59C0">
        <w:t xml:space="preserve"> </w:t>
      </w:r>
      <w:r w:rsidRPr="00EA59C0">
        <w:t>purpose</w:t>
      </w:r>
      <w:r w:rsidR="00C026A6" w:rsidRPr="00EA59C0">
        <w:t xml:space="preserve"> </w:t>
      </w:r>
      <w:r w:rsidRPr="00EA59C0">
        <w:t>in</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courses</w:t>
      </w:r>
      <w:r w:rsidR="00C026A6" w:rsidRPr="00EA59C0">
        <w:t xml:space="preserve"> </w:t>
      </w:r>
      <w:r w:rsidRPr="00EA59C0">
        <w:t>supported</w:t>
      </w:r>
      <w:r w:rsidR="00C026A6" w:rsidRPr="00EA59C0">
        <w:t xml:space="preserve"> </w:t>
      </w:r>
      <w:r w:rsidRPr="00EA59C0">
        <w:t>by</w:t>
      </w:r>
      <w:r w:rsidR="00C026A6" w:rsidRPr="00EA59C0">
        <w:t xml:space="preserve"> </w:t>
      </w:r>
      <w:r w:rsidRPr="00EA59C0">
        <w:t>the</w:t>
      </w:r>
      <w:r w:rsidR="00C026A6" w:rsidRPr="00EA59C0">
        <w:t xml:space="preserve"> </w:t>
      </w:r>
      <w:r w:rsidRPr="00EA59C0">
        <w:t>grant;</w:t>
      </w:r>
      <w:r w:rsidR="00C026A6" w:rsidRPr="00EA59C0">
        <w:t xml:space="preserve"> </w:t>
      </w:r>
      <w:r w:rsidRPr="00EA59C0">
        <w:t>and</w:t>
      </w:r>
      <w:r w:rsidR="00C026A6" w:rsidRPr="00EA59C0">
        <w:t xml:space="preserve"> </w:t>
      </w:r>
      <w:r w:rsidRPr="00EA59C0">
        <w:t>c)</w:t>
      </w:r>
      <w:r w:rsidR="00C026A6" w:rsidRPr="00EA59C0">
        <w:t xml:space="preserve"> </w:t>
      </w:r>
      <w:r w:rsidRPr="00EA59C0">
        <w:t>costs</w:t>
      </w:r>
      <w:r w:rsidR="00C026A6" w:rsidRPr="00EA59C0">
        <w:t xml:space="preserve"> </w:t>
      </w:r>
      <w:r w:rsidRPr="00EA59C0">
        <w:t>associated</w:t>
      </w:r>
      <w:r w:rsidR="00C026A6" w:rsidRPr="00EA59C0">
        <w:t xml:space="preserve"> </w:t>
      </w:r>
      <w:r w:rsidRPr="00EA59C0">
        <w:t>with</w:t>
      </w:r>
      <w:r w:rsidR="00C026A6" w:rsidRPr="00EA59C0">
        <w:t xml:space="preserve"> </w:t>
      </w:r>
      <w:r w:rsidRPr="00EA59C0">
        <w:t>implementing</w:t>
      </w:r>
      <w:r w:rsidR="00C026A6" w:rsidRPr="00EA59C0">
        <w:t xml:space="preserve"> </w:t>
      </w:r>
      <w:r w:rsidRPr="00EA59C0">
        <w:t>changes</w:t>
      </w:r>
      <w:r w:rsidR="00C026A6" w:rsidRPr="00EA59C0">
        <w:t xml:space="preserve"> </w:t>
      </w:r>
      <w:r w:rsidRPr="00EA59C0">
        <w:t>in</w:t>
      </w:r>
      <w:r w:rsidR="00C026A6" w:rsidRPr="00EA59C0">
        <w:t xml:space="preserve"> </w:t>
      </w:r>
      <w:r w:rsidRPr="00EA59C0">
        <w:t>the</w:t>
      </w:r>
      <w:r w:rsidR="00C026A6" w:rsidRPr="00EA59C0">
        <w:t xml:space="preserve"> </w:t>
      </w:r>
      <w:r w:rsidRPr="00EA59C0">
        <w:t>time</w:t>
      </w:r>
      <w:r w:rsidR="00C026A6" w:rsidRPr="00EA59C0">
        <w:t xml:space="preserve"> </w:t>
      </w:r>
      <w:r w:rsidRPr="00EA59C0">
        <w:t>or</w:t>
      </w:r>
      <w:r w:rsidR="00C026A6" w:rsidRPr="00EA59C0">
        <w:t xml:space="preserve"> </w:t>
      </w:r>
      <w:r w:rsidRPr="00EA59C0">
        <w:t>scheduling</w:t>
      </w:r>
      <w:r w:rsidR="00C026A6" w:rsidRPr="00EA59C0">
        <w:t xml:space="preserve"> </w:t>
      </w:r>
      <w:r w:rsidRPr="00EA59C0">
        <w:t>of</w:t>
      </w:r>
      <w:r w:rsidR="00C026A6" w:rsidRPr="00EA59C0">
        <w:t xml:space="preserve"> </w:t>
      </w:r>
      <w:r w:rsidRPr="00EA59C0">
        <w:t>courses.</w:t>
      </w:r>
      <w:r w:rsidR="00C026A6" w:rsidRPr="00EA59C0">
        <w:t xml:space="preserve">  </w:t>
      </w:r>
    </w:p>
    <w:p w:rsidR="006B1229" w:rsidRPr="00EA59C0" w:rsidRDefault="00033F22" w:rsidP="00A72633">
      <w:pPr>
        <w:ind w:left="720"/>
      </w:pPr>
      <w:r w:rsidRPr="00EA59C0">
        <w:tab/>
      </w:r>
    </w:p>
    <w:p w:rsidR="00033F22" w:rsidRPr="00EA59C0" w:rsidRDefault="00033F22" w:rsidP="00A72633">
      <w:pPr>
        <w:ind w:left="720"/>
      </w:pPr>
      <w:r w:rsidRPr="00EA59C0">
        <w:t>Other</w:t>
      </w:r>
      <w:r w:rsidR="00C026A6" w:rsidRPr="00EA59C0">
        <w:t xml:space="preserve"> </w:t>
      </w:r>
      <w:r w:rsidRPr="00EA59C0">
        <w:t>allowable</w:t>
      </w:r>
      <w:r w:rsidR="00C026A6" w:rsidRPr="00EA59C0">
        <w:t xml:space="preserve"> </w:t>
      </w:r>
      <w:r w:rsidRPr="00EA59C0">
        <w:t>activities</w:t>
      </w:r>
      <w:r w:rsidR="00C026A6" w:rsidRPr="00EA59C0">
        <w:t xml:space="preserve"> </w:t>
      </w:r>
      <w:r w:rsidRPr="00EA59C0">
        <w:t>may</w:t>
      </w:r>
      <w:r w:rsidR="00C026A6" w:rsidRPr="00EA59C0">
        <w:t xml:space="preserve"> </w:t>
      </w:r>
      <w:r w:rsidRPr="00EA59C0">
        <w:t>include,</w:t>
      </w:r>
      <w:r w:rsidR="00C026A6" w:rsidRPr="00EA59C0">
        <w:t xml:space="preserve"> </w:t>
      </w:r>
      <w:r w:rsidRPr="00EA59C0">
        <w:t>but</w:t>
      </w:r>
      <w:r w:rsidR="00C026A6" w:rsidRPr="00EA59C0">
        <w:t xml:space="preserve"> </w:t>
      </w:r>
      <w:r w:rsidRPr="00EA59C0">
        <w:t>are</w:t>
      </w:r>
      <w:r w:rsidR="00C026A6" w:rsidRPr="00EA59C0">
        <w:t xml:space="preserve"> </w:t>
      </w:r>
      <w:r w:rsidRPr="00EA59C0">
        <w:t>not</w:t>
      </w:r>
      <w:r w:rsidR="00C026A6" w:rsidRPr="00EA59C0">
        <w:t xml:space="preserve"> </w:t>
      </w:r>
      <w:r w:rsidRPr="00EA59C0">
        <w:t>limited</w:t>
      </w:r>
      <w:r w:rsidR="00C026A6" w:rsidRPr="00EA59C0">
        <w:t xml:space="preserve"> </w:t>
      </w:r>
      <w:r w:rsidRPr="00EA59C0">
        <w:t>to,</w:t>
      </w:r>
      <w:r w:rsidR="00C026A6" w:rsidRPr="00EA59C0">
        <w:t xml:space="preserve"> </w:t>
      </w:r>
      <w:r w:rsidRPr="00EA59C0">
        <w:t>implementing</w:t>
      </w:r>
      <w:r w:rsidR="00C026A6" w:rsidRPr="00EA59C0">
        <w:t xml:space="preserve"> </w:t>
      </w:r>
      <w:r w:rsidRPr="00EA59C0">
        <w:t>and/or</w:t>
      </w:r>
      <w:r w:rsidR="00C026A6" w:rsidRPr="00EA59C0">
        <w:t xml:space="preserve"> </w:t>
      </w:r>
      <w:r w:rsidRPr="00EA59C0">
        <w:t>enhancing</w:t>
      </w:r>
      <w:r w:rsidR="00C026A6" w:rsidRPr="00EA59C0">
        <w:t xml:space="preserve"> </w:t>
      </w:r>
      <w:r w:rsidRPr="00EA59C0">
        <w:t>the</w:t>
      </w:r>
      <w:r w:rsidR="00C026A6" w:rsidRPr="00EA59C0">
        <w:t xml:space="preserve"> </w:t>
      </w:r>
      <w:r w:rsidRPr="00EA59C0">
        <w:t>information</w:t>
      </w:r>
      <w:r w:rsidR="00C026A6" w:rsidRPr="00EA59C0">
        <w:t xml:space="preserve"> </w:t>
      </w:r>
      <w:r w:rsidRPr="00EA59C0">
        <w:t>technology</w:t>
      </w:r>
      <w:r w:rsidR="00C026A6" w:rsidRPr="00EA59C0">
        <w:t xml:space="preserve"> </w:t>
      </w:r>
      <w:r w:rsidRPr="00EA59C0">
        <w:t>infrastructure</w:t>
      </w:r>
      <w:r w:rsidR="00C026A6" w:rsidRPr="00EA59C0">
        <w:t xml:space="preserve"> </w:t>
      </w:r>
      <w:r w:rsidRPr="00EA59C0">
        <w:t>used</w:t>
      </w:r>
      <w:r w:rsidR="00C026A6" w:rsidRPr="00EA59C0">
        <w:t xml:space="preserve"> </w:t>
      </w:r>
      <w:r w:rsidRPr="00EA59C0">
        <w:t>to</w:t>
      </w:r>
      <w:r w:rsidR="00C026A6" w:rsidRPr="00EA59C0">
        <w:t xml:space="preserve"> </w:t>
      </w:r>
      <w:r w:rsidRPr="00EA59C0">
        <w:t>provide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and</w:t>
      </w:r>
      <w:r w:rsidR="00C026A6" w:rsidRPr="00EA59C0">
        <w:t xml:space="preserve"> </w:t>
      </w:r>
      <w:r w:rsidRPr="00EA59C0">
        <w:t>related</w:t>
      </w:r>
      <w:r w:rsidR="00C026A6" w:rsidRPr="00EA59C0">
        <w:t xml:space="preserve"> </w:t>
      </w:r>
      <w:r w:rsidRPr="00EA59C0">
        <w:t>activities;</w:t>
      </w:r>
      <w:r w:rsidR="00C026A6" w:rsidRPr="00EA59C0">
        <w:t xml:space="preserve"> </w:t>
      </w:r>
      <w:r w:rsidRPr="00EA59C0">
        <w:t>developing</w:t>
      </w:r>
      <w:r w:rsidR="00C026A6" w:rsidRPr="00EA59C0">
        <w:t xml:space="preserve"> </w:t>
      </w:r>
      <w:r w:rsidRPr="00EA59C0">
        <w:t>staff</w:t>
      </w:r>
      <w:r w:rsidR="00C026A6" w:rsidRPr="00EA59C0">
        <w:t xml:space="preserve"> </w:t>
      </w:r>
      <w:r w:rsidRPr="00EA59C0">
        <w:t>and</w:t>
      </w:r>
      <w:r w:rsidR="00C026A6" w:rsidRPr="00EA59C0">
        <w:t xml:space="preserve"> </w:t>
      </w:r>
      <w:r w:rsidRPr="00EA59C0">
        <w:t>infrastructure</w:t>
      </w:r>
      <w:r w:rsidR="00C026A6" w:rsidRPr="00EA59C0">
        <w:t xml:space="preserve"> </w:t>
      </w:r>
      <w:r w:rsidRPr="00EA59C0">
        <w:t>capacity</w:t>
      </w:r>
      <w:r w:rsidR="00C026A6" w:rsidRPr="00EA59C0">
        <w:t xml:space="preserve"> </w:t>
      </w:r>
      <w:r w:rsidRPr="00EA59C0">
        <w:t>to</w:t>
      </w:r>
      <w:r w:rsidR="00C026A6" w:rsidRPr="00EA59C0">
        <w:t xml:space="preserve"> </w:t>
      </w:r>
      <w:r w:rsidRPr="00EA59C0">
        <w:t>acquire,</w:t>
      </w:r>
      <w:r w:rsidR="00C026A6" w:rsidRPr="00EA59C0">
        <w:t xml:space="preserve"> </w:t>
      </w:r>
      <w:r w:rsidRPr="00EA59C0">
        <w:t>organize,</w:t>
      </w:r>
      <w:r w:rsidR="00C026A6" w:rsidRPr="00EA59C0">
        <w:t xml:space="preserve"> </w:t>
      </w:r>
      <w:r w:rsidRPr="00EA59C0">
        <w:t>and/or</w:t>
      </w:r>
      <w:r w:rsidR="00C026A6" w:rsidRPr="00EA59C0">
        <w:t xml:space="preserve"> </w:t>
      </w:r>
      <w:r w:rsidRPr="00EA59C0">
        <w:t>analyze</w:t>
      </w:r>
      <w:r w:rsidR="00C026A6" w:rsidRPr="00EA59C0">
        <w:t xml:space="preserve"> </w:t>
      </w:r>
      <w:r w:rsidRPr="00EA59C0">
        <w:t>program</w:t>
      </w:r>
      <w:r w:rsidR="00C026A6" w:rsidRPr="00EA59C0">
        <w:t xml:space="preserve"> </w:t>
      </w:r>
      <w:r w:rsidRPr="00EA59C0">
        <w:t>data</w:t>
      </w:r>
      <w:r w:rsidR="00C026A6" w:rsidRPr="00EA59C0">
        <w:t xml:space="preserve"> </w:t>
      </w:r>
      <w:r w:rsidRPr="00EA59C0">
        <w:t>for</w:t>
      </w:r>
      <w:r w:rsidR="00C026A6" w:rsidRPr="00EA59C0">
        <w:t xml:space="preserve"> </w:t>
      </w:r>
      <w:r w:rsidRPr="00EA59C0">
        <w:t>continuous</w:t>
      </w:r>
      <w:r w:rsidR="00C026A6" w:rsidRPr="00EA59C0">
        <w:t xml:space="preserve"> </w:t>
      </w:r>
      <w:r w:rsidRPr="00EA59C0">
        <w:t>improvement</w:t>
      </w:r>
      <w:r w:rsidR="00C026A6" w:rsidRPr="00EA59C0">
        <w:t xml:space="preserve"> </w:t>
      </w:r>
      <w:r w:rsidRPr="00EA59C0">
        <w:t>and</w:t>
      </w:r>
      <w:r w:rsidR="00C026A6" w:rsidRPr="00EA59C0">
        <w:t xml:space="preserve"> </w:t>
      </w:r>
      <w:r w:rsidRPr="00EA59C0">
        <w:t>program</w:t>
      </w:r>
      <w:r w:rsidR="00C026A6" w:rsidRPr="00EA59C0">
        <w:t xml:space="preserve"> </w:t>
      </w:r>
      <w:r w:rsidRPr="00EA59C0">
        <w:t>evaluation;</w:t>
      </w:r>
      <w:r w:rsidR="00C026A6" w:rsidRPr="00EA59C0">
        <w:t xml:space="preserve"> </w:t>
      </w:r>
      <w:r w:rsidRPr="00EA59C0">
        <w:t>expanding</w:t>
      </w:r>
      <w:r w:rsidR="00C026A6" w:rsidRPr="00EA59C0">
        <w:t xml:space="preserve"> </w:t>
      </w:r>
      <w:r w:rsidRPr="00EA59C0">
        <w:t>and</w:t>
      </w:r>
      <w:r w:rsidR="00C026A6" w:rsidRPr="00EA59C0">
        <w:t xml:space="preserve"> </w:t>
      </w:r>
      <w:r w:rsidRPr="00EA59C0">
        <w:t>improving</w:t>
      </w:r>
      <w:r w:rsidR="00C026A6" w:rsidRPr="00EA59C0">
        <w:t xml:space="preserve"> </w:t>
      </w:r>
      <w:r w:rsidRPr="00EA59C0">
        <w:t>the</w:t>
      </w:r>
      <w:r w:rsidR="00C026A6" w:rsidRPr="00EA59C0">
        <w:t xml:space="preserve"> </w:t>
      </w:r>
      <w:r w:rsidRPr="00EA59C0">
        <w:t>capacity</w:t>
      </w:r>
      <w:r w:rsidR="00C026A6" w:rsidRPr="00EA59C0">
        <w:t xml:space="preserve"> </w:t>
      </w:r>
      <w:r w:rsidRPr="00EA59C0">
        <w:t>of</w:t>
      </w:r>
      <w:r w:rsidR="00C026A6" w:rsidRPr="00EA59C0">
        <w:t xml:space="preserve"> </w:t>
      </w:r>
      <w:r w:rsidRPr="00EA59C0">
        <w:t>student</w:t>
      </w:r>
      <w:r w:rsidR="00C026A6" w:rsidRPr="00EA59C0">
        <w:t xml:space="preserve"> </w:t>
      </w:r>
      <w:r w:rsidRPr="00EA59C0">
        <w:t>services</w:t>
      </w:r>
      <w:r w:rsidR="00C026A6" w:rsidRPr="00EA59C0">
        <w:t xml:space="preserve"> </w:t>
      </w:r>
      <w:r w:rsidRPr="00EA59C0">
        <w:t>that</w:t>
      </w:r>
      <w:r w:rsidR="00C026A6" w:rsidRPr="00EA59C0">
        <w:t xml:space="preserve"> </w:t>
      </w:r>
      <w:r w:rsidRPr="00EA59C0">
        <w:t>directly</w:t>
      </w:r>
      <w:r w:rsidR="00C026A6" w:rsidRPr="00EA59C0">
        <w:t xml:space="preserve"> </w:t>
      </w:r>
      <w:r w:rsidRPr="00EA59C0">
        <w:t>support</w:t>
      </w:r>
      <w:r w:rsidR="00C026A6" w:rsidRPr="00EA59C0">
        <w:t xml:space="preserve"> </w:t>
      </w:r>
      <w:r w:rsidRPr="00EA59C0">
        <w:t>the</w:t>
      </w:r>
      <w:r w:rsidR="00C026A6" w:rsidRPr="00EA59C0">
        <w:t xml:space="preserve"> </w:t>
      </w:r>
      <w:r w:rsidRPr="00EA59C0">
        <w:t>goals</w:t>
      </w:r>
      <w:r w:rsidR="00C026A6" w:rsidRPr="00EA59C0">
        <w:t xml:space="preserve"> </w:t>
      </w:r>
      <w:r w:rsidRPr="00EA59C0">
        <w:t>of</w:t>
      </w:r>
      <w:r w:rsidR="00C026A6" w:rsidRPr="00EA59C0">
        <w:t xml:space="preserve"> </w:t>
      </w:r>
      <w:r w:rsidRPr="00EA59C0">
        <w:t>the</w:t>
      </w:r>
      <w:r w:rsidR="00C026A6" w:rsidRPr="00EA59C0">
        <w:t xml:space="preserve"> </w:t>
      </w:r>
      <w:r w:rsidRPr="00EA59C0">
        <w:t>grant</w:t>
      </w:r>
      <w:r w:rsidR="00C026A6" w:rsidRPr="00EA59C0">
        <w:t xml:space="preserve"> </w:t>
      </w:r>
      <w:r w:rsidRPr="00EA59C0">
        <w:t>(for</w:t>
      </w:r>
      <w:r w:rsidR="00C026A6" w:rsidRPr="00EA59C0">
        <w:t xml:space="preserve"> </w:t>
      </w:r>
      <w:r w:rsidRPr="00EA59C0">
        <w:t>example,</w:t>
      </w:r>
      <w:r w:rsidR="00C026A6" w:rsidRPr="00EA59C0">
        <w:t xml:space="preserve"> </w:t>
      </w:r>
      <w:r w:rsidRPr="00EA59C0">
        <w:t>career</w:t>
      </w:r>
      <w:r w:rsidR="00C026A6" w:rsidRPr="00EA59C0">
        <w:t xml:space="preserve"> </w:t>
      </w:r>
      <w:r w:rsidRPr="00EA59C0">
        <w:t>guidance</w:t>
      </w:r>
      <w:r w:rsidR="00C026A6" w:rsidRPr="00EA59C0">
        <w:t xml:space="preserve"> </w:t>
      </w:r>
      <w:r w:rsidRPr="00EA59C0">
        <w:t>programs);</w:t>
      </w:r>
      <w:r w:rsidR="00C026A6" w:rsidRPr="00EA59C0">
        <w:t xml:space="preserve"> </w:t>
      </w:r>
      <w:r w:rsidRPr="00EA59C0">
        <w:t>leasing</w:t>
      </w:r>
      <w:r w:rsidR="00C026A6" w:rsidRPr="00EA59C0">
        <w:t xml:space="preserve"> </w:t>
      </w:r>
      <w:r w:rsidRPr="00EA59C0">
        <w:t>space</w:t>
      </w:r>
      <w:r w:rsidR="00C026A6" w:rsidRPr="00EA59C0">
        <w:t xml:space="preserve"> </w:t>
      </w:r>
      <w:r w:rsidRPr="00EA59C0">
        <w:t>that</w:t>
      </w:r>
      <w:r w:rsidR="00C026A6" w:rsidRPr="00EA59C0">
        <w:t xml:space="preserve"> </w:t>
      </w:r>
      <w:r w:rsidRPr="00EA59C0">
        <w:t>is</w:t>
      </w:r>
      <w:r w:rsidR="00C026A6" w:rsidRPr="00EA59C0">
        <w:t xml:space="preserve"> </w:t>
      </w:r>
      <w:r w:rsidRPr="00EA59C0">
        <w:t>used</w:t>
      </w:r>
      <w:r w:rsidR="00C026A6" w:rsidRPr="00EA59C0">
        <w:t xml:space="preserve"> </w:t>
      </w:r>
      <w:r w:rsidRPr="00EA59C0">
        <w:t>for</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and</w:t>
      </w:r>
      <w:r w:rsidR="00C026A6" w:rsidRPr="00EA59C0">
        <w:t xml:space="preserve"> </w:t>
      </w:r>
      <w:r w:rsidRPr="00EA59C0">
        <w:t>related</w:t>
      </w:r>
      <w:r w:rsidR="00C026A6" w:rsidRPr="00EA59C0">
        <w:t xml:space="preserve"> </w:t>
      </w:r>
      <w:r w:rsidRPr="00EA59C0">
        <w:t>activities;</w:t>
      </w:r>
      <w:r w:rsidR="00C026A6" w:rsidRPr="00EA59C0">
        <w:t xml:space="preserve"> </w:t>
      </w:r>
      <w:r w:rsidRPr="00EA59C0">
        <w:t>and</w:t>
      </w:r>
      <w:r w:rsidR="00C026A6" w:rsidRPr="00EA59C0">
        <w:t xml:space="preserve"> </w:t>
      </w:r>
      <w:r w:rsidRPr="00EA59C0">
        <w:t>altering</w:t>
      </w:r>
      <w:r w:rsidR="00C026A6" w:rsidRPr="00EA59C0">
        <w:t xml:space="preserve"> </w:t>
      </w:r>
      <w:r w:rsidRPr="00EA59C0">
        <w:t>or</w:t>
      </w:r>
      <w:r w:rsidR="00C026A6" w:rsidRPr="00EA59C0">
        <w:t xml:space="preserve"> </w:t>
      </w:r>
      <w:r w:rsidRPr="00EA59C0">
        <w:t>renovating</w:t>
      </w:r>
      <w:r w:rsidR="00C026A6" w:rsidRPr="00EA59C0">
        <w:t xml:space="preserve"> </w:t>
      </w:r>
      <w:r w:rsidRPr="00EA59C0">
        <w:t>facilities</w:t>
      </w:r>
      <w:r w:rsidR="00C026A6" w:rsidRPr="00EA59C0">
        <w:t xml:space="preserve"> </w:t>
      </w:r>
      <w:r w:rsidRPr="00EA59C0">
        <w:t>(in</w:t>
      </w:r>
      <w:r w:rsidR="00C026A6" w:rsidRPr="00EA59C0">
        <w:t xml:space="preserve"> </w:t>
      </w:r>
      <w:r w:rsidRPr="00EA59C0">
        <w:t>accordance</w:t>
      </w:r>
      <w:r w:rsidR="00C026A6" w:rsidRPr="00EA59C0">
        <w:t xml:space="preserve"> </w:t>
      </w:r>
      <w:r w:rsidRPr="00EA59C0">
        <w:t>with</w:t>
      </w:r>
      <w:r w:rsidR="00C026A6" w:rsidRPr="00EA59C0">
        <w:t xml:space="preserve"> </w:t>
      </w:r>
      <w:r w:rsidRPr="00EA59C0">
        <w:t>the</w:t>
      </w:r>
      <w:r w:rsidR="00C026A6" w:rsidRPr="00EA59C0">
        <w:t xml:space="preserve"> </w:t>
      </w:r>
      <w:r w:rsidRPr="00EA59C0">
        <w:t>Federal</w:t>
      </w:r>
      <w:r w:rsidR="00C026A6" w:rsidRPr="00EA59C0">
        <w:t xml:space="preserve"> </w:t>
      </w:r>
      <w:r w:rsidRPr="00EA59C0">
        <w:t>Cost</w:t>
      </w:r>
      <w:r w:rsidR="00C026A6" w:rsidRPr="00EA59C0">
        <w:t xml:space="preserve"> </w:t>
      </w:r>
      <w:r w:rsidRPr="00EA59C0">
        <w:t>Principles</w:t>
      </w:r>
      <w:r w:rsidR="00C026A6" w:rsidRPr="00EA59C0">
        <w:t xml:space="preserve"> </w:t>
      </w:r>
      <w:r w:rsidR="002A2D1D" w:rsidRPr="00EA59C0">
        <w:t>at OMB Circular A-21 located at http://www.whitehouse.gov/omb/grants_circulars (formerly 2 CFR Part 220</w:t>
      </w:r>
      <w:r w:rsidR="00EE7DBA" w:rsidRPr="00EA59C0">
        <w:t>))</w:t>
      </w:r>
      <w:r w:rsidR="00C026A6" w:rsidRPr="00EA59C0">
        <w:t xml:space="preserve"> </w:t>
      </w:r>
      <w:r w:rsidRPr="00EA59C0">
        <w:t>that</w:t>
      </w:r>
      <w:r w:rsidR="00C026A6" w:rsidRPr="00EA59C0">
        <w:t xml:space="preserve"> </w:t>
      </w:r>
      <w:r w:rsidRPr="00EA59C0">
        <w:t>are</w:t>
      </w:r>
      <w:r w:rsidR="00C026A6" w:rsidRPr="00EA59C0">
        <w:t xml:space="preserve"> </w:t>
      </w:r>
      <w:r w:rsidRPr="00EA59C0">
        <w:t>used</w:t>
      </w:r>
      <w:r w:rsidR="00C026A6" w:rsidRPr="00EA59C0">
        <w:t xml:space="preserve"> </w:t>
      </w:r>
      <w:r w:rsidRPr="00EA59C0">
        <w:t>for</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and</w:t>
      </w:r>
      <w:r w:rsidR="00C026A6" w:rsidRPr="00EA59C0">
        <w:t xml:space="preserve"> </w:t>
      </w:r>
      <w:r w:rsidRPr="00EA59C0">
        <w:t>related</w:t>
      </w:r>
      <w:r w:rsidR="00C026A6" w:rsidRPr="00EA59C0">
        <w:t xml:space="preserve"> </w:t>
      </w:r>
      <w:r w:rsidRPr="00EA59C0">
        <w:t>activities</w:t>
      </w:r>
      <w:r w:rsidR="00C026A6" w:rsidRPr="00EA59C0">
        <w:t xml:space="preserve"> </w:t>
      </w:r>
      <w:r w:rsidRPr="00EA59C0">
        <w:t>(which</w:t>
      </w:r>
      <w:r w:rsidR="00C026A6" w:rsidRPr="00EA59C0">
        <w:t xml:space="preserve"> </w:t>
      </w:r>
      <w:r w:rsidRPr="00EA59C0">
        <w:t>could</w:t>
      </w:r>
      <w:r w:rsidR="00C026A6" w:rsidRPr="00EA59C0">
        <w:t xml:space="preserve"> </w:t>
      </w:r>
      <w:r w:rsidRPr="00EA59C0">
        <w:t>include</w:t>
      </w:r>
      <w:r w:rsidR="00C026A6" w:rsidRPr="00EA59C0">
        <w:t xml:space="preserve"> </w:t>
      </w:r>
      <w:r w:rsidRPr="00EA59C0">
        <w:t>ensuring</w:t>
      </w:r>
      <w:r w:rsidR="00C026A6" w:rsidRPr="00EA59C0">
        <w:t xml:space="preserve"> </w:t>
      </w:r>
      <w:r w:rsidRPr="00EA59C0">
        <w:t>that</w:t>
      </w:r>
      <w:r w:rsidR="00C026A6" w:rsidRPr="00EA59C0">
        <w:t xml:space="preserve"> </w:t>
      </w:r>
      <w:r w:rsidRPr="00EA59C0">
        <w:t>the</w:t>
      </w:r>
      <w:r w:rsidR="00C026A6" w:rsidRPr="00EA59C0">
        <w:t xml:space="preserve"> </w:t>
      </w:r>
      <w:r w:rsidRPr="00EA59C0">
        <w:t>facilities</w:t>
      </w:r>
      <w:r w:rsidR="00C026A6" w:rsidRPr="00EA59C0">
        <w:t xml:space="preserve"> </w:t>
      </w:r>
      <w:r w:rsidRPr="00EA59C0">
        <w:t>comply</w:t>
      </w:r>
      <w:r w:rsidR="00C026A6" w:rsidRPr="00EA59C0">
        <w:t xml:space="preserve"> </w:t>
      </w:r>
      <w:r w:rsidRPr="00EA59C0">
        <w:t>with</w:t>
      </w:r>
      <w:r w:rsidR="00C026A6" w:rsidRPr="00EA59C0">
        <w:t xml:space="preserve"> </w:t>
      </w:r>
      <w:r w:rsidRPr="00EA59C0">
        <w:t>Federal</w:t>
      </w:r>
      <w:r w:rsidR="00C026A6" w:rsidRPr="00EA59C0">
        <w:t xml:space="preserve"> </w:t>
      </w:r>
      <w:r w:rsidRPr="00EA59C0">
        <w:t>architectural</w:t>
      </w:r>
      <w:r w:rsidR="00C026A6" w:rsidRPr="00EA59C0">
        <w:t xml:space="preserve"> </w:t>
      </w:r>
      <w:r w:rsidRPr="00EA59C0">
        <w:t>accessibility</w:t>
      </w:r>
      <w:r w:rsidR="00C026A6" w:rsidRPr="00EA59C0">
        <w:t xml:space="preserve"> </w:t>
      </w:r>
      <w:r w:rsidRPr="00EA59C0">
        <w:t>obligations</w:t>
      </w:r>
      <w:r w:rsidR="00C026A6" w:rsidRPr="00EA59C0">
        <w:t xml:space="preserve"> </w:t>
      </w:r>
      <w:r w:rsidRPr="00EA59C0">
        <w:t>that</w:t>
      </w:r>
      <w:r w:rsidR="00C026A6" w:rsidRPr="00EA59C0">
        <w:t xml:space="preserve"> </w:t>
      </w:r>
      <w:r w:rsidRPr="00EA59C0">
        <w:t>require</w:t>
      </w:r>
      <w:r w:rsidR="00C026A6" w:rsidRPr="00EA59C0">
        <w:t xml:space="preserve"> </w:t>
      </w:r>
      <w:r w:rsidRPr="00EA59C0">
        <w:t>facilities</w:t>
      </w:r>
      <w:r w:rsidR="00C026A6" w:rsidRPr="00EA59C0">
        <w:t xml:space="preserve"> </w:t>
      </w:r>
      <w:r w:rsidRPr="00EA59C0">
        <w:t>to</w:t>
      </w:r>
      <w:r w:rsidR="00C026A6" w:rsidRPr="00EA59C0">
        <w:t xml:space="preserve"> </w:t>
      </w:r>
      <w:r w:rsidRPr="00EA59C0">
        <w:t>be</w:t>
      </w:r>
      <w:r w:rsidR="00C026A6" w:rsidRPr="00EA59C0">
        <w:t xml:space="preserve"> </w:t>
      </w:r>
      <w:r w:rsidRPr="00EA59C0">
        <w:t>readily</w:t>
      </w:r>
      <w:r w:rsidR="00C026A6" w:rsidRPr="00EA59C0">
        <w:t xml:space="preserve"> </w:t>
      </w:r>
      <w:r w:rsidRPr="00EA59C0">
        <w:t>accessible</w:t>
      </w:r>
      <w:r w:rsidR="00C026A6" w:rsidRPr="00EA59C0">
        <w:t xml:space="preserve"> </w:t>
      </w:r>
      <w:r w:rsidRPr="00EA59C0">
        <w:t>to</w:t>
      </w:r>
      <w:r w:rsidR="00C026A6" w:rsidRPr="00EA59C0">
        <w:t xml:space="preserve"> </w:t>
      </w:r>
      <w:r w:rsidRPr="00EA59C0">
        <w:t>and</w:t>
      </w:r>
      <w:r w:rsidR="00C026A6" w:rsidRPr="00EA59C0">
        <w:t xml:space="preserve"> </w:t>
      </w:r>
      <w:r w:rsidRPr="00EA59C0">
        <w:t>usable</w:t>
      </w:r>
      <w:r w:rsidR="00C026A6" w:rsidRPr="00EA59C0">
        <w:t xml:space="preserve"> </w:t>
      </w:r>
      <w:r w:rsidRPr="00EA59C0">
        <w:t>by</w:t>
      </w:r>
      <w:r w:rsidR="00C026A6" w:rsidRPr="00EA59C0">
        <w:t xml:space="preserve"> </w:t>
      </w:r>
      <w:r w:rsidRPr="00EA59C0">
        <w:t>qualified</w:t>
      </w:r>
      <w:r w:rsidR="00C026A6" w:rsidRPr="00EA59C0">
        <w:t xml:space="preserve"> </w:t>
      </w:r>
      <w:r w:rsidRPr="00EA59C0">
        <w:t>individuals</w:t>
      </w:r>
      <w:r w:rsidR="00C026A6" w:rsidRPr="00EA59C0">
        <w:t xml:space="preserve"> </w:t>
      </w:r>
      <w:r w:rsidRPr="00EA59C0">
        <w:t>with</w:t>
      </w:r>
      <w:r w:rsidR="00C026A6" w:rsidRPr="00EA59C0">
        <w:t xml:space="preserve"> </w:t>
      </w:r>
      <w:r w:rsidRPr="00EA59C0">
        <w:t>disabilities).</w:t>
      </w:r>
      <w:r w:rsidR="00C026A6" w:rsidRPr="00EA59C0">
        <w:t xml:space="preserve"> </w:t>
      </w:r>
    </w:p>
    <w:p w:rsidR="00284CFB" w:rsidRPr="00EA59C0" w:rsidRDefault="00284CFB" w:rsidP="00284CFB">
      <w:pPr>
        <w:ind w:left="720"/>
      </w:pPr>
    </w:p>
    <w:p w:rsidR="000C1D0E" w:rsidRPr="00EA59C0" w:rsidRDefault="000C1D0E" w:rsidP="00A72633">
      <w:pPr>
        <w:ind w:left="720"/>
      </w:pPr>
      <w:r w:rsidRPr="00EA59C0">
        <w:t>Applicants</w:t>
      </w:r>
      <w:r w:rsidR="00C026A6" w:rsidRPr="00EA59C0">
        <w:t xml:space="preserve"> </w:t>
      </w:r>
      <w:r w:rsidRPr="00EA59C0">
        <w:t>may</w:t>
      </w:r>
      <w:r w:rsidR="00C026A6" w:rsidRPr="00EA59C0">
        <w:t xml:space="preserve"> </w:t>
      </w:r>
      <w:r w:rsidRPr="00EA59C0">
        <w:t>also</w:t>
      </w:r>
      <w:r w:rsidR="00C026A6" w:rsidRPr="00EA59C0">
        <w:t xml:space="preserve"> </w:t>
      </w:r>
      <w:r w:rsidRPr="00EA59C0">
        <w:t>consider</w:t>
      </w:r>
      <w:r w:rsidR="00C026A6" w:rsidRPr="00EA59C0">
        <w:t xml:space="preserve"> </w:t>
      </w:r>
      <w:r w:rsidRPr="00EA59C0">
        <w:t>engaging</w:t>
      </w:r>
      <w:r w:rsidR="00C026A6" w:rsidRPr="00EA59C0">
        <w:t xml:space="preserve"> </w:t>
      </w:r>
      <w:r w:rsidRPr="00EA59C0">
        <w:t>private</w:t>
      </w:r>
      <w:r w:rsidR="00C026A6" w:rsidRPr="00EA59C0">
        <w:t xml:space="preserve"> </w:t>
      </w:r>
      <w:r w:rsidRPr="00EA59C0">
        <w:t>sector</w:t>
      </w:r>
      <w:r w:rsidR="00C026A6" w:rsidRPr="00EA59C0">
        <w:t xml:space="preserve"> </w:t>
      </w:r>
      <w:r w:rsidRPr="00EA59C0">
        <w:t>partners</w:t>
      </w:r>
      <w:r w:rsidR="00C026A6" w:rsidRPr="00EA59C0">
        <w:t xml:space="preserve"> </w:t>
      </w:r>
      <w:r w:rsidRPr="00EA59C0">
        <w:t>or</w:t>
      </w:r>
      <w:r w:rsidR="00C026A6" w:rsidRPr="00EA59C0">
        <w:t xml:space="preserve"> </w:t>
      </w:r>
      <w:r w:rsidRPr="00EA59C0">
        <w:t>employers</w:t>
      </w:r>
      <w:r w:rsidR="00C026A6" w:rsidRPr="00EA59C0">
        <w:t xml:space="preserve"> </w:t>
      </w:r>
      <w:r w:rsidRPr="00EA59C0">
        <w:t>to</w:t>
      </w:r>
      <w:r w:rsidR="00C026A6" w:rsidRPr="00EA59C0">
        <w:t xml:space="preserve"> </w:t>
      </w:r>
      <w:r w:rsidRPr="00EA59C0">
        <w:t>use</w:t>
      </w:r>
      <w:r w:rsidR="00C026A6" w:rsidRPr="00EA59C0">
        <w:t xml:space="preserve"> </w:t>
      </w:r>
      <w:r w:rsidRPr="00EA59C0">
        <w:t>non-grant</w:t>
      </w:r>
      <w:r w:rsidR="00C026A6" w:rsidRPr="00EA59C0">
        <w:t xml:space="preserve"> </w:t>
      </w:r>
      <w:r w:rsidRPr="00EA59C0">
        <w:t>funds</w:t>
      </w:r>
      <w:r w:rsidR="00C026A6" w:rsidRPr="00EA59C0">
        <w:t xml:space="preserve"> </w:t>
      </w:r>
      <w:r w:rsidRPr="00EA59C0">
        <w:t>to</w:t>
      </w:r>
      <w:r w:rsidR="00C026A6" w:rsidRPr="00EA59C0">
        <w:t xml:space="preserve"> </w:t>
      </w:r>
      <w:r w:rsidRPr="00EA59C0">
        <w:t>run</w:t>
      </w:r>
      <w:r w:rsidR="00C026A6" w:rsidRPr="00EA59C0">
        <w:t xml:space="preserve"> </w:t>
      </w:r>
      <w:r w:rsidRPr="00EA59C0">
        <w:t>incentive</w:t>
      </w:r>
      <w:r w:rsidR="00C026A6" w:rsidRPr="00EA59C0">
        <w:t xml:space="preserve"> </w:t>
      </w:r>
      <w:r w:rsidRPr="00EA59C0">
        <w:t>prize</w:t>
      </w:r>
      <w:r w:rsidR="00C026A6" w:rsidRPr="00EA59C0">
        <w:t xml:space="preserve"> </w:t>
      </w:r>
      <w:r w:rsidRPr="00EA59C0">
        <w:t>competitions</w:t>
      </w:r>
      <w:r w:rsidR="00C026A6" w:rsidRPr="00EA59C0">
        <w:t xml:space="preserve"> </w:t>
      </w:r>
      <w:r w:rsidRPr="00EA59C0">
        <w:t>to</w:t>
      </w:r>
      <w:r w:rsidR="00C026A6" w:rsidRPr="00EA59C0">
        <w:t xml:space="preserve"> </w:t>
      </w:r>
      <w:r w:rsidRPr="00EA59C0">
        <w:t>develop</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tools,</w:t>
      </w:r>
      <w:r w:rsidR="00C026A6" w:rsidRPr="00EA59C0">
        <w:t xml:space="preserve"> </w:t>
      </w:r>
      <w:r w:rsidRPr="00EA59C0">
        <w:t>strategies</w:t>
      </w:r>
      <w:r w:rsidR="00C026A6" w:rsidRPr="00EA59C0">
        <w:t xml:space="preserve"> </w:t>
      </w:r>
      <w:r w:rsidRPr="00EA59C0">
        <w:t>and</w:t>
      </w:r>
      <w:r w:rsidR="00C026A6" w:rsidRPr="00EA59C0">
        <w:t xml:space="preserve"> </w:t>
      </w:r>
      <w:r w:rsidRPr="00EA59C0">
        <w:t>technologies.</w:t>
      </w:r>
      <w:r w:rsidR="00C026A6" w:rsidRPr="00EA59C0">
        <w:t xml:space="preserve">  </w:t>
      </w:r>
      <w:r w:rsidRPr="00EA59C0">
        <w:t>More</w:t>
      </w:r>
      <w:r w:rsidR="00C026A6" w:rsidRPr="00EA59C0">
        <w:t xml:space="preserve"> </w:t>
      </w:r>
      <w:r w:rsidRPr="00EA59C0">
        <w:t>information</w:t>
      </w:r>
      <w:r w:rsidR="00C026A6" w:rsidRPr="00EA59C0">
        <w:t xml:space="preserve"> </w:t>
      </w:r>
      <w:r w:rsidRPr="00EA59C0">
        <w:t>is</w:t>
      </w:r>
      <w:r w:rsidR="00C026A6" w:rsidRPr="00EA59C0">
        <w:t xml:space="preserve"> </w:t>
      </w:r>
      <w:r w:rsidRPr="00EA59C0">
        <w:t>available</w:t>
      </w:r>
      <w:r w:rsidR="00C026A6" w:rsidRPr="00EA59C0">
        <w:t xml:space="preserve"> </w:t>
      </w:r>
      <w:r w:rsidRPr="00EA59C0">
        <w:t>in</w:t>
      </w:r>
      <w:r w:rsidR="00C026A6" w:rsidRPr="00EA59C0">
        <w:t xml:space="preserve"> </w:t>
      </w:r>
      <w:r w:rsidRPr="00EA59C0">
        <w:t>Appendix</w:t>
      </w:r>
      <w:r w:rsidR="00C026A6" w:rsidRPr="00EA59C0">
        <w:t xml:space="preserve"> </w:t>
      </w:r>
      <w:r w:rsidR="0064299F" w:rsidRPr="00EA59C0">
        <w:t>F</w:t>
      </w:r>
      <w:r w:rsidRPr="00EA59C0">
        <w:t>.</w:t>
      </w:r>
    </w:p>
    <w:p w:rsidR="006B1229" w:rsidRPr="00EA59C0" w:rsidRDefault="006B1229" w:rsidP="00A72633">
      <w:pPr>
        <w:ind w:left="720"/>
      </w:pPr>
      <w:r w:rsidRPr="00EA59C0">
        <w:br/>
      </w:r>
      <w:r w:rsidR="00033F22" w:rsidRPr="00EA59C0">
        <w:t>Capital</w:t>
      </w:r>
      <w:r w:rsidR="00C026A6" w:rsidRPr="00EA59C0">
        <w:t xml:space="preserve"> </w:t>
      </w:r>
      <w:r w:rsidR="00033F22" w:rsidRPr="00EA59C0">
        <w:t>expenditures,</w:t>
      </w:r>
      <w:r w:rsidR="00C026A6" w:rsidRPr="00EA59C0">
        <w:t xml:space="preserve"> </w:t>
      </w:r>
      <w:r w:rsidR="00033F22" w:rsidRPr="00EA59C0">
        <w:t>such</w:t>
      </w:r>
      <w:r w:rsidR="00C026A6" w:rsidRPr="00EA59C0">
        <w:t xml:space="preserve"> </w:t>
      </w:r>
      <w:r w:rsidR="00033F22" w:rsidRPr="00EA59C0">
        <w:t>as</w:t>
      </w:r>
      <w:r w:rsidR="00C026A6" w:rsidRPr="00EA59C0">
        <w:t xml:space="preserve"> </w:t>
      </w:r>
      <w:r w:rsidR="00033F22" w:rsidRPr="00EA59C0">
        <w:t>equipment</w:t>
      </w:r>
      <w:r w:rsidR="00C026A6" w:rsidRPr="00EA59C0">
        <w:t xml:space="preserve"> </w:t>
      </w:r>
      <w:r w:rsidR="00033F22" w:rsidRPr="00EA59C0">
        <w:t>or</w:t>
      </w:r>
      <w:r w:rsidR="00C026A6" w:rsidRPr="00EA59C0">
        <w:t xml:space="preserve"> </w:t>
      </w:r>
      <w:r w:rsidR="00033F22" w:rsidRPr="00EA59C0">
        <w:t>capital</w:t>
      </w:r>
      <w:r w:rsidR="00C026A6" w:rsidRPr="00EA59C0">
        <w:t xml:space="preserve"> </w:t>
      </w:r>
      <w:r w:rsidR="00033F22" w:rsidRPr="00EA59C0">
        <w:t>improvements,</w:t>
      </w:r>
      <w:r w:rsidR="00C026A6" w:rsidRPr="00EA59C0">
        <w:t xml:space="preserve"> </w:t>
      </w:r>
      <w:r w:rsidR="00033F22" w:rsidRPr="00EA59C0">
        <w:t>are</w:t>
      </w:r>
      <w:r w:rsidR="00C026A6" w:rsidRPr="00EA59C0">
        <w:t xml:space="preserve"> </w:t>
      </w:r>
      <w:r w:rsidR="00033F22" w:rsidRPr="00EA59C0">
        <w:t>allowable</w:t>
      </w:r>
      <w:r w:rsidR="00C026A6" w:rsidRPr="00EA59C0">
        <w:t xml:space="preserve"> </w:t>
      </w:r>
      <w:r w:rsidR="00033F22" w:rsidRPr="00EA59C0">
        <w:t>with</w:t>
      </w:r>
      <w:r w:rsidR="00C026A6" w:rsidRPr="00EA59C0">
        <w:t xml:space="preserve"> </w:t>
      </w:r>
      <w:r w:rsidR="00033F22" w:rsidRPr="00EA59C0">
        <w:t>prior</w:t>
      </w:r>
      <w:r w:rsidR="00C026A6" w:rsidRPr="00EA59C0">
        <w:t xml:space="preserve"> </w:t>
      </w:r>
      <w:r w:rsidR="00033F22" w:rsidRPr="00EA59C0">
        <w:t>approval</w:t>
      </w:r>
      <w:r w:rsidR="00C026A6" w:rsidRPr="00EA59C0">
        <w:t xml:space="preserve"> </w:t>
      </w:r>
      <w:r w:rsidR="00033F22" w:rsidRPr="00EA59C0">
        <w:t>from</w:t>
      </w:r>
      <w:r w:rsidR="00C026A6" w:rsidRPr="00EA59C0">
        <w:t xml:space="preserve"> </w:t>
      </w:r>
      <w:r w:rsidR="00033F22" w:rsidRPr="00EA59C0">
        <w:t>the</w:t>
      </w:r>
      <w:r w:rsidR="00C026A6" w:rsidRPr="00EA59C0">
        <w:t xml:space="preserve"> </w:t>
      </w:r>
      <w:r w:rsidR="00033F22" w:rsidRPr="00EA59C0">
        <w:t>Grant</w:t>
      </w:r>
      <w:r w:rsidR="00C026A6" w:rsidRPr="00EA59C0">
        <w:t xml:space="preserve"> </w:t>
      </w:r>
      <w:r w:rsidR="00033F22" w:rsidRPr="00EA59C0">
        <w:t>Officer.</w:t>
      </w:r>
      <w:r w:rsidR="00C026A6" w:rsidRPr="00EA59C0">
        <w:t xml:space="preserve">  </w:t>
      </w:r>
      <w:r w:rsidR="00033F22" w:rsidRPr="00EA59C0">
        <w:t>A</w:t>
      </w:r>
      <w:r w:rsidR="00C026A6" w:rsidRPr="00EA59C0">
        <w:t xml:space="preserve"> </w:t>
      </w:r>
      <w:r w:rsidR="00033F22" w:rsidRPr="00EA59C0">
        <w:t>capital</w:t>
      </w:r>
      <w:r w:rsidR="00C026A6" w:rsidRPr="00EA59C0">
        <w:t xml:space="preserve"> </w:t>
      </w:r>
      <w:r w:rsidR="00033F22" w:rsidRPr="00EA59C0">
        <w:t>improvement</w:t>
      </w:r>
      <w:r w:rsidR="00C026A6" w:rsidRPr="00EA59C0">
        <w:t xml:space="preserve"> </w:t>
      </w:r>
      <w:r w:rsidR="00033F22" w:rsidRPr="00EA59C0">
        <w:t>is</w:t>
      </w:r>
      <w:r w:rsidR="00C026A6" w:rsidRPr="00EA59C0">
        <w:t xml:space="preserve"> </w:t>
      </w:r>
      <w:r w:rsidR="00033F22" w:rsidRPr="00EA59C0">
        <w:t>a</w:t>
      </w:r>
      <w:r w:rsidR="00C026A6" w:rsidRPr="00EA59C0">
        <w:t xml:space="preserve"> </w:t>
      </w:r>
      <w:r w:rsidR="00033F22" w:rsidRPr="00EA59C0">
        <w:t>type</w:t>
      </w:r>
      <w:r w:rsidR="00C026A6" w:rsidRPr="00EA59C0">
        <w:t xml:space="preserve"> </w:t>
      </w:r>
      <w:r w:rsidR="00033F22" w:rsidRPr="00EA59C0">
        <w:t>of</w:t>
      </w:r>
      <w:r w:rsidR="00C026A6" w:rsidRPr="00EA59C0">
        <w:t xml:space="preserve"> </w:t>
      </w:r>
      <w:r w:rsidR="00033F22" w:rsidRPr="00EA59C0">
        <w:t>capital</w:t>
      </w:r>
      <w:r w:rsidR="00C026A6" w:rsidRPr="00EA59C0">
        <w:t xml:space="preserve"> </w:t>
      </w:r>
      <w:r w:rsidR="00033F22" w:rsidRPr="00EA59C0">
        <w:t>expenditure</w:t>
      </w:r>
      <w:r w:rsidR="00C026A6" w:rsidRPr="00EA59C0">
        <w:t xml:space="preserve"> </w:t>
      </w:r>
      <w:r w:rsidR="00033F22" w:rsidRPr="00EA59C0">
        <w:t>as</w:t>
      </w:r>
      <w:r w:rsidR="00C026A6" w:rsidRPr="00EA59C0">
        <w:t xml:space="preserve"> </w:t>
      </w:r>
      <w:r w:rsidR="00033F22" w:rsidRPr="00EA59C0">
        <w:t>described</w:t>
      </w:r>
      <w:r w:rsidR="00C026A6" w:rsidRPr="00EA59C0">
        <w:t xml:space="preserve"> </w:t>
      </w:r>
      <w:r w:rsidR="00033F22" w:rsidRPr="00EA59C0">
        <w:t>in</w:t>
      </w:r>
      <w:r w:rsidR="00C026A6" w:rsidRPr="00EA59C0">
        <w:t xml:space="preserve"> </w:t>
      </w:r>
      <w:r w:rsidR="002A2D1D" w:rsidRPr="00EA59C0">
        <w:t xml:space="preserve">OMB Circular A-21, App. A., J. 18(a)(1) located at </w:t>
      </w:r>
      <w:hyperlink r:id="rId243" w:history="1">
        <w:r w:rsidR="00B93729" w:rsidRPr="00EA59C0">
          <w:rPr>
            <w:rStyle w:val="Hyperlink"/>
            <w:color w:val="auto"/>
          </w:rPr>
          <w:t>http://www.whitehouse.gov/omb/grants_circulars</w:t>
        </w:r>
      </w:hyperlink>
      <w:r w:rsidR="00033F22" w:rsidRPr="00EA59C0">
        <w:t>.</w:t>
      </w:r>
      <w:r w:rsidR="00B93729" w:rsidRPr="00EA59C0">
        <w:t xml:space="preserve"> </w:t>
      </w:r>
      <w:r w:rsidR="00C026A6" w:rsidRPr="00EA59C0">
        <w:t xml:space="preserve"> </w:t>
      </w:r>
      <w:r w:rsidR="00033F22" w:rsidRPr="00EA59C0">
        <w:t>However,</w:t>
      </w:r>
      <w:r w:rsidR="00C026A6" w:rsidRPr="00EA59C0">
        <w:t xml:space="preserve"> </w:t>
      </w:r>
      <w:r w:rsidR="00033F22" w:rsidRPr="00EA59C0">
        <w:t>capital</w:t>
      </w:r>
      <w:r w:rsidR="00C026A6" w:rsidRPr="00EA59C0">
        <w:t xml:space="preserve"> </w:t>
      </w:r>
      <w:r w:rsidR="00033F22" w:rsidRPr="00EA59C0">
        <w:t>expenditures</w:t>
      </w:r>
      <w:r w:rsidR="00C026A6" w:rsidRPr="00EA59C0">
        <w:t xml:space="preserve"> </w:t>
      </w:r>
      <w:r w:rsidR="00033F22" w:rsidRPr="00EA59C0">
        <w:t>for</w:t>
      </w:r>
      <w:r w:rsidR="00C026A6" w:rsidRPr="00EA59C0">
        <w:t xml:space="preserve"> </w:t>
      </w:r>
      <w:r w:rsidR="00033F22" w:rsidRPr="00EA59C0">
        <w:t>improvements</w:t>
      </w:r>
      <w:r w:rsidR="00C026A6" w:rsidRPr="00EA59C0">
        <w:t xml:space="preserve"> </w:t>
      </w:r>
      <w:r w:rsidR="00033F22" w:rsidRPr="00EA59C0">
        <w:t>to</w:t>
      </w:r>
      <w:r w:rsidR="00C026A6" w:rsidRPr="00EA59C0">
        <w:t xml:space="preserve"> </w:t>
      </w:r>
      <w:r w:rsidR="00033F22" w:rsidRPr="00EA59C0">
        <w:t>land</w:t>
      </w:r>
      <w:r w:rsidR="00C026A6" w:rsidRPr="00EA59C0">
        <w:t xml:space="preserve"> </w:t>
      </w:r>
      <w:r w:rsidR="00033F22" w:rsidRPr="00EA59C0">
        <w:t>are</w:t>
      </w:r>
      <w:r w:rsidR="00C026A6" w:rsidRPr="00EA59C0">
        <w:t xml:space="preserve"> </w:t>
      </w:r>
      <w:r w:rsidR="00033F22" w:rsidRPr="00EA59C0">
        <w:t>not</w:t>
      </w:r>
      <w:r w:rsidR="00C026A6" w:rsidRPr="00EA59C0">
        <w:t xml:space="preserve"> </w:t>
      </w:r>
      <w:r w:rsidR="00033F22" w:rsidRPr="00EA59C0">
        <w:t>allowable</w:t>
      </w:r>
      <w:r w:rsidR="00C026A6" w:rsidRPr="00EA59C0">
        <w:t xml:space="preserve"> </w:t>
      </w:r>
      <w:r w:rsidR="00033F22" w:rsidRPr="00EA59C0">
        <w:t>under</w:t>
      </w:r>
      <w:r w:rsidR="00C026A6" w:rsidRPr="00EA59C0">
        <w:t xml:space="preserve"> </w:t>
      </w:r>
      <w:r w:rsidR="00033F22" w:rsidRPr="00EA59C0">
        <w:t>these</w:t>
      </w:r>
      <w:r w:rsidR="00C026A6" w:rsidRPr="00EA59C0">
        <w:t xml:space="preserve"> </w:t>
      </w:r>
      <w:r w:rsidR="00033F22" w:rsidRPr="00EA59C0">
        <w:t>grants.</w:t>
      </w:r>
      <w:r w:rsidR="00C026A6" w:rsidRPr="00EA59C0">
        <w:t xml:space="preserve">  </w:t>
      </w:r>
      <w:r w:rsidR="00033F22" w:rsidRPr="00EA59C0">
        <w:t>Possible</w:t>
      </w:r>
      <w:r w:rsidR="00C026A6" w:rsidRPr="00EA59C0">
        <w:t xml:space="preserve"> </w:t>
      </w:r>
      <w:r w:rsidR="00033F22" w:rsidRPr="00EA59C0">
        <w:t>allowable</w:t>
      </w:r>
      <w:r w:rsidR="00C026A6" w:rsidRPr="00EA59C0">
        <w:t xml:space="preserve"> </w:t>
      </w:r>
      <w:r w:rsidR="00033F22" w:rsidRPr="00EA59C0">
        <w:t>capital</w:t>
      </w:r>
      <w:r w:rsidR="00C026A6" w:rsidRPr="00EA59C0">
        <w:t xml:space="preserve"> </w:t>
      </w:r>
      <w:r w:rsidR="00033F22" w:rsidRPr="00EA59C0">
        <w:t>improvements</w:t>
      </w:r>
      <w:r w:rsidR="00C026A6" w:rsidRPr="00EA59C0">
        <w:t xml:space="preserve"> </w:t>
      </w:r>
      <w:r w:rsidR="00033F22" w:rsidRPr="00EA59C0">
        <w:t>include,</w:t>
      </w:r>
      <w:r w:rsidR="00C026A6" w:rsidRPr="00EA59C0">
        <w:t xml:space="preserve"> </w:t>
      </w:r>
      <w:r w:rsidR="00033F22" w:rsidRPr="00EA59C0">
        <w:t>but</w:t>
      </w:r>
      <w:r w:rsidR="00C026A6" w:rsidRPr="00EA59C0">
        <w:t xml:space="preserve"> </w:t>
      </w:r>
      <w:r w:rsidR="00033F22" w:rsidRPr="00EA59C0">
        <w:t>are</w:t>
      </w:r>
      <w:r w:rsidR="00C026A6" w:rsidRPr="00EA59C0">
        <w:t xml:space="preserve"> </w:t>
      </w:r>
      <w:r w:rsidR="00033F22" w:rsidRPr="00EA59C0">
        <w:t>not</w:t>
      </w:r>
      <w:r w:rsidR="00C026A6" w:rsidRPr="00EA59C0">
        <w:t xml:space="preserve"> </w:t>
      </w:r>
      <w:r w:rsidR="00033F22" w:rsidRPr="00EA59C0">
        <w:t>be</w:t>
      </w:r>
      <w:r w:rsidR="00C026A6" w:rsidRPr="00EA59C0">
        <w:t xml:space="preserve"> </w:t>
      </w:r>
      <w:r w:rsidR="00033F22" w:rsidRPr="00EA59C0">
        <w:t>limited</w:t>
      </w:r>
      <w:r w:rsidR="00C026A6" w:rsidRPr="00EA59C0">
        <w:t xml:space="preserve"> </w:t>
      </w:r>
      <w:r w:rsidR="00033F22" w:rsidRPr="00EA59C0">
        <w:t>to,</w:t>
      </w:r>
      <w:r w:rsidR="00C026A6" w:rsidRPr="00EA59C0">
        <w:t xml:space="preserve"> </w:t>
      </w:r>
      <w:r w:rsidR="00033F22" w:rsidRPr="00EA59C0">
        <w:t>improvements</w:t>
      </w:r>
      <w:r w:rsidR="00C026A6" w:rsidRPr="00EA59C0">
        <w:t xml:space="preserve"> </w:t>
      </w:r>
      <w:r w:rsidR="00033F22" w:rsidRPr="00EA59C0">
        <w:t>to</w:t>
      </w:r>
      <w:r w:rsidR="00C026A6" w:rsidRPr="00EA59C0">
        <w:t xml:space="preserve"> </w:t>
      </w:r>
      <w:r w:rsidR="00033F22" w:rsidRPr="00EA59C0">
        <w:t>buildings</w:t>
      </w:r>
      <w:r w:rsidR="00C026A6" w:rsidRPr="00EA59C0">
        <w:t xml:space="preserve"> </w:t>
      </w:r>
      <w:r w:rsidR="00033F22" w:rsidRPr="00EA59C0">
        <w:t>or</w:t>
      </w:r>
      <w:r w:rsidR="00C026A6" w:rsidRPr="00EA59C0">
        <w:t xml:space="preserve"> </w:t>
      </w:r>
      <w:r w:rsidR="00033F22" w:rsidRPr="00EA59C0">
        <w:t>equipment</w:t>
      </w:r>
      <w:r w:rsidR="00C026A6" w:rsidRPr="00EA59C0">
        <w:t xml:space="preserve"> </w:t>
      </w:r>
      <w:r w:rsidR="00033F22" w:rsidRPr="00EA59C0">
        <w:t>that</w:t>
      </w:r>
      <w:r w:rsidR="00C026A6" w:rsidRPr="00EA59C0">
        <w:t xml:space="preserve"> </w:t>
      </w:r>
      <w:r w:rsidR="00033F22" w:rsidRPr="00EA59C0">
        <w:t>would</w:t>
      </w:r>
      <w:r w:rsidR="00C026A6" w:rsidRPr="00EA59C0">
        <w:t xml:space="preserve"> </w:t>
      </w:r>
      <w:r w:rsidR="00033F22" w:rsidRPr="00EA59C0">
        <w:t>materially</w:t>
      </w:r>
      <w:r w:rsidR="00C026A6" w:rsidRPr="00EA59C0">
        <w:t xml:space="preserve"> </w:t>
      </w:r>
      <w:r w:rsidR="00033F22" w:rsidRPr="00EA59C0">
        <w:t>increase</w:t>
      </w:r>
      <w:r w:rsidR="00C026A6" w:rsidRPr="00EA59C0">
        <w:t xml:space="preserve"> </w:t>
      </w:r>
      <w:r w:rsidR="00033F22" w:rsidRPr="00EA59C0">
        <w:t>their</w:t>
      </w:r>
      <w:r w:rsidR="00C026A6" w:rsidRPr="00EA59C0">
        <w:t xml:space="preserve"> </w:t>
      </w:r>
      <w:r w:rsidR="00033F22" w:rsidRPr="00EA59C0">
        <w:t>value</w:t>
      </w:r>
      <w:r w:rsidR="00C026A6" w:rsidRPr="00EA59C0">
        <w:t xml:space="preserve"> </w:t>
      </w:r>
      <w:r w:rsidR="00033F22" w:rsidRPr="00EA59C0">
        <w:t>or</w:t>
      </w:r>
      <w:r w:rsidR="00C026A6" w:rsidRPr="00EA59C0">
        <w:t xml:space="preserve"> </w:t>
      </w:r>
      <w:r w:rsidR="00033F22" w:rsidRPr="00EA59C0">
        <w:t>useful</w:t>
      </w:r>
      <w:r w:rsidR="00C026A6" w:rsidRPr="00EA59C0">
        <w:t xml:space="preserve"> </w:t>
      </w:r>
      <w:r w:rsidR="00033F22" w:rsidRPr="00EA59C0">
        <w:t>life,</w:t>
      </w:r>
      <w:r w:rsidR="00C026A6" w:rsidRPr="00EA59C0">
        <w:t xml:space="preserve"> </w:t>
      </w:r>
      <w:r w:rsidR="00033F22" w:rsidRPr="00EA59C0">
        <w:t>including</w:t>
      </w:r>
      <w:r w:rsidR="00C026A6" w:rsidRPr="00EA59C0">
        <w:t xml:space="preserve"> </w:t>
      </w:r>
      <w:r w:rsidR="00033F22" w:rsidRPr="00EA59C0">
        <w:t>the</w:t>
      </w:r>
      <w:r w:rsidR="00C026A6" w:rsidRPr="00EA59C0">
        <w:t xml:space="preserve"> </w:t>
      </w:r>
      <w:r w:rsidR="00033F22" w:rsidRPr="00EA59C0">
        <w:t>cost</w:t>
      </w:r>
      <w:r w:rsidR="00C026A6" w:rsidRPr="00EA59C0">
        <w:t xml:space="preserve"> </w:t>
      </w:r>
      <w:r w:rsidR="00033F22" w:rsidRPr="00EA59C0">
        <w:t>to</w:t>
      </w:r>
      <w:r w:rsidR="00C026A6" w:rsidRPr="00EA59C0">
        <w:t xml:space="preserve"> </w:t>
      </w:r>
      <w:r w:rsidR="00033F22" w:rsidRPr="00EA59C0">
        <w:t>put</w:t>
      </w:r>
      <w:r w:rsidR="00C026A6" w:rsidRPr="00EA59C0">
        <w:t xml:space="preserve"> </w:t>
      </w:r>
      <w:r w:rsidR="00033F22" w:rsidRPr="00EA59C0">
        <w:t>the</w:t>
      </w:r>
      <w:r w:rsidR="00C026A6" w:rsidRPr="00EA59C0">
        <w:t xml:space="preserve"> </w:t>
      </w:r>
      <w:r w:rsidR="00033F22" w:rsidRPr="00EA59C0">
        <w:t>asset</w:t>
      </w:r>
      <w:r w:rsidR="00C026A6" w:rsidRPr="00EA59C0">
        <w:t xml:space="preserve"> </w:t>
      </w:r>
      <w:r w:rsidR="00033F22" w:rsidRPr="00EA59C0">
        <w:t>or</w:t>
      </w:r>
      <w:r w:rsidR="00C026A6" w:rsidRPr="00EA59C0">
        <w:t xml:space="preserve"> </w:t>
      </w:r>
      <w:r w:rsidR="00033F22" w:rsidRPr="00EA59C0">
        <w:t>improvement</w:t>
      </w:r>
      <w:r w:rsidR="00C026A6" w:rsidRPr="00EA59C0">
        <w:t xml:space="preserve"> </w:t>
      </w:r>
      <w:r w:rsidR="00033F22" w:rsidRPr="00EA59C0">
        <w:t>in</w:t>
      </w:r>
      <w:r w:rsidR="00C026A6" w:rsidRPr="00EA59C0">
        <w:t xml:space="preserve"> </w:t>
      </w:r>
      <w:r w:rsidR="00033F22" w:rsidRPr="00EA59C0">
        <w:t>place.</w:t>
      </w:r>
      <w:r w:rsidR="00C026A6" w:rsidRPr="00EA59C0">
        <w:t xml:space="preserve">  </w:t>
      </w:r>
      <w:r w:rsidR="00033F22" w:rsidRPr="00EA59C0">
        <w:t>For</w:t>
      </w:r>
      <w:r w:rsidR="00C026A6" w:rsidRPr="00EA59C0">
        <w:t xml:space="preserve"> </w:t>
      </w:r>
      <w:r w:rsidR="00033F22" w:rsidRPr="00EA59C0">
        <w:t>buildings,</w:t>
      </w:r>
      <w:r w:rsidR="00C026A6" w:rsidRPr="00EA59C0">
        <w:t xml:space="preserve"> </w:t>
      </w:r>
      <w:r w:rsidR="00033F22" w:rsidRPr="00EA59C0">
        <w:t>this</w:t>
      </w:r>
      <w:r w:rsidR="00C026A6" w:rsidRPr="00EA59C0">
        <w:t xml:space="preserve"> </w:t>
      </w:r>
      <w:r w:rsidR="00033F22" w:rsidRPr="00EA59C0">
        <w:t>could</w:t>
      </w:r>
      <w:r w:rsidR="00C026A6" w:rsidRPr="00EA59C0">
        <w:t xml:space="preserve"> </w:t>
      </w:r>
      <w:r w:rsidR="00033F22" w:rsidRPr="00EA59C0">
        <w:t>include</w:t>
      </w:r>
      <w:r w:rsidR="00C026A6" w:rsidRPr="00EA59C0">
        <w:t xml:space="preserve"> </w:t>
      </w:r>
      <w:r w:rsidR="00033F22" w:rsidRPr="00EA59C0">
        <w:t>the</w:t>
      </w:r>
      <w:r w:rsidR="00C026A6" w:rsidRPr="00EA59C0">
        <w:t xml:space="preserve"> </w:t>
      </w:r>
      <w:r w:rsidR="00033F22" w:rsidRPr="00EA59C0">
        <w:t>cost</w:t>
      </w:r>
      <w:r w:rsidR="00C026A6" w:rsidRPr="00EA59C0">
        <w:t xml:space="preserve"> </w:t>
      </w:r>
      <w:r w:rsidR="00033F22" w:rsidRPr="00EA59C0">
        <w:t>of</w:t>
      </w:r>
      <w:r w:rsidR="00C026A6" w:rsidRPr="00EA59C0">
        <w:t xml:space="preserve"> </w:t>
      </w:r>
      <w:r w:rsidR="00033F22" w:rsidRPr="00EA59C0">
        <w:t>upgrading,</w:t>
      </w:r>
      <w:r w:rsidR="00C026A6" w:rsidRPr="00EA59C0">
        <w:t xml:space="preserve"> </w:t>
      </w:r>
      <w:r w:rsidR="00033F22" w:rsidRPr="00EA59C0">
        <w:t>installing</w:t>
      </w:r>
      <w:r w:rsidR="00C026A6" w:rsidRPr="00EA59C0">
        <w:t xml:space="preserve"> </w:t>
      </w:r>
      <w:r w:rsidR="00033F22" w:rsidRPr="00EA59C0">
        <w:t>or</w:t>
      </w:r>
      <w:r w:rsidR="00C026A6" w:rsidRPr="00EA59C0">
        <w:t xml:space="preserve"> </w:t>
      </w:r>
      <w:r w:rsidR="00033F22" w:rsidRPr="00EA59C0">
        <w:t>retrofitting</w:t>
      </w:r>
      <w:r w:rsidR="00C026A6" w:rsidRPr="00EA59C0">
        <w:t xml:space="preserve"> </w:t>
      </w:r>
      <w:r w:rsidR="00033F22" w:rsidRPr="00EA59C0">
        <w:t>a</w:t>
      </w:r>
      <w:r w:rsidR="00C026A6" w:rsidRPr="00EA59C0">
        <w:t xml:space="preserve"> </w:t>
      </w:r>
      <w:r w:rsidR="00033F22" w:rsidRPr="00EA59C0">
        <w:t>building’s</w:t>
      </w:r>
      <w:r w:rsidR="00C026A6" w:rsidRPr="00EA59C0">
        <w:t xml:space="preserve"> </w:t>
      </w:r>
      <w:r w:rsidR="00033F22" w:rsidRPr="00EA59C0">
        <w:t>internal</w:t>
      </w:r>
      <w:r w:rsidR="00C026A6" w:rsidRPr="00EA59C0">
        <w:t xml:space="preserve"> </w:t>
      </w:r>
      <w:r w:rsidR="00033F22" w:rsidRPr="00EA59C0">
        <w:t>systems</w:t>
      </w:r>
      <w:r w:rsidR="00C026A6" w:rsidRPr="00EA59C0">
        <w:t xml:space="preserve"> </w:t>
      </w:r>
      <w:r w:rsidR="00033F22" w:rsidRPr="00EA59C0">
        <w:t>or</w:t>
      </w:r>
      <w:r w:rsidR="00C026A6" w:rsidRPr="00EA59C0">
        <w:t xml:space="preserve"> </w:t>
      </w:r>
      <w:r w:rsidR="00033F22" w:rsidRPr="00EA59C0">
        <w:t>utilities,</w:t>
      </w:r>
      <w:r w:rsidR="00C026A6" w:rsidRPr="00EA59C0">
        <w:t xml:space="preserve"> </w:t>
      </w:r>
      <w:r w:rsidR="00033F22" w:rsidRPr="00EA59C0">
        <w:t>such</w:t>
      </w:r>
      <w:r w:rsidR="00C026A6" w:rsidRPr="00EA59C0">
        <w:t xml:space="preserve"> </w:t>
      </w:r>
      <w:r w:rsidR="00033F22" w:rsidRPr="00EA59C0">
        <w:t>as</w:t>
      </w:r>
      <w:r w:rsidR="00C026A6" w:rsidRPr="00EA59C0">
        <w:t xml:space="preserve"> </w:t>
      </w:r>
      <w:r w:rsidR="00033F22" w:rsidRPr="00EA59C0">
        <w:t>electrical,</w:t>
      </w:r>
      <w:r w:rsidR="00C026A6" w:rsidRPr="00EA59C0">
        <w:t xml:space="preserve"> </w:t>
      </w:r>
      <w:r w:rsidR="00033F22" w:rsidRPr="00EA59C0">
        <w:t>plumbing,</w:t>
      </w:r>
      <w:r w:rsidR="00C026A6" w:rsidRPr="00EA59C0">
        <w:t xml:space="preserve"> </w:t>
      </w:r>
      <w:r w:rsidR="00033F22" w:rsidRPr="00EA59C0">
        <w:t>HVAC,</w:t>
      </w:r>
      <w:r w:rsidR="00C026A6" w:rsidRPr="00EA59C0">
        <w:t xml:space="preserve"> </w:t>
      </w:r>
      <w:r w:rsidR="00033F22" w:rsidRPr="00EA59C0">
        <w:t>and</w:t>
      </w:r>
      <w:r w:rsidR="00C026A6" w:rsidRPr="00EA59C0">
        <w:t xml:space="preserve"> </w:t>
      </w:r>
      <w:r w:rsidR="00033F22" w:rsidRPr="00EA59C0">
        <w:t>communications</w:t>
      </w:r>
      <w:r w:rsidR="00C026A6" w:rsidRPr="00EA59C0">
        <w:t xml:space="preserve"> </w:t>
      </w:r>
      <w:r w:rsidR="00033F22" w:rsidRPr="00EA59C0">
        <w:t>to</w:t>
      </w:r>
      <w:r w:rsidR="00C026A6" w:rsidRPr="00EA59C0">
        <w:t xml:space="preserve"> </w:t>
      </w:r>
      <w:r w:rsidR="00033F22" w:rsidRPr="00EA59C0">
        <w:t>accommodate</w:t>
      </w:r>
      <w:r w:rsidR="00C026A6" w:rsidRPr="00EA59C0">
        <w:t xml:space="preserve"> </w:t>
      </w:r>
      <w:r w:rsidR="00033F22" w:rsidRPr="00EA59C0">
        <w:t>training</w:t>
      </w:r>
      <w:r w:rsidR="00C026A6" w:rsidRPr="00EA59C0">
        <w:t xml:space="preserve"> </w:t>
      </w:r>
      <w:r w:rsidR="00033F22" w:rsidRPr="00EA59C0">
        <w:t>courses</w:t>
      </w:r>
      <w:r w:rsidR="00C026A6" w:rsidRPr="00EA59C0">
        <w:t xml:space="preserve"> </w:t>
      </w:r>
      <w:r w:rsidR="00033F22" w:rsidRPr="00EA59C0">
        <w:t>or</w:t>
      </w:r>
      <w:r w:rsidR="00C026A6" w:rsidRPr="00EA59C0">
        <w:t xml:space="preserve"> </w:t>
      </w:r>
      <w:r w:rsidR="00033F22" w:rsidRPr="00EA59C0">
        <w:t>equipment.</w:t>
      </w:r>
      <w:r w:rsidR="00C026A6" w:rsidRPr="00EA59C0">
        <w:t xml:space="preserve">  </w:t>
      </w:r>
      <w:r w:rsidR="00033F22" w:rsidRPr="00EA59C0">
        <w:t>This</w:t>
      </w:r>
      <w:r w:rsidR="00C026A6" w:rsidRPr="00EA59C0">
        <w:t xml:space="preserve"> </w:t>
      </w:r>
      <w:r w:rsidR="00033F22" w:rsidRPr="00EA59C0">
        <w:t>could</w:t>
      </w:r>
      <w:r w:rsidR="00C026A6" w:rsidRPr="00EA59C0">
        <w:t xml:space="preserve"> </w:t>
      </w:r>
      <w:r w:rsidR="00033F22" w:rsidRPr="00EA59C0">
        <w:t>also</w:t>
      </w:r>
      <w:r w:rsidR="00C026A6" w:rsidRPr="00EA59C0">
        <w:t xml:space="preserve"> </w:t>
      </w:r>
      <w:r w:rsidR="00033F22" w:rsidRPr="00EA59C0">
        <w:t>include</w:t>
      </w:r>
      <w:r w:rsidR="00C026A6" w:rsidRPr="00EA59C0">
        <w:t xml:space="preserve"> </w:t>
      </w:r>
      <w:r w:rsidR="00033F22" w:rsidRPr="00EA59C0">
        <w:t>structural</w:t>
      </w:r>
      <w:r w:rsidR="00C026A6" w:rsidRPr="00EA59C0">
        <w:t xml:space="preserve"> </w:t>
      </w:r>
      <w:r w:rsidR="00033F22" w:rsidRPr="00EA59C0">
        <w:t>improvements</w:t>
      </w:r>
      <w:r w:rsidR="00C026A6" w:rsidRPr="00EA59C0">
        <w:t xml:space="preserve"> </w:t>
      </w:r>
      <w:r w:rsidR="00033F22" w:rsidRPr="00EA59C0">
        <w:t>or</w:t>
      </w:r>
      <w:r w:rsidR="00C026A6" w:rsidRPr="00EA59C0">
        <w:t xml:space="preserve"> </w:t>
      </w:r>
      <w:r w:rsidR="00033F22" w:rsidRPr="00EA59C0">
        <w:t>upgrades</w:t>
      </w:r>
      <w:r w:rsidR="00C026A6" w:rsidRPr="00EA59C0">
        <w:t xml:space="preserve"> </w:t>
      </w:r>
      <w:r w:rsidR="00033F22" w:rsidRPr="00EA59C0">
        <w:t>including</w:t>
      </w:r>
      <w:r w:rsidR="00C026A6" w:rsidRPr="00EA59C0">
        <w:t xml:space="preserve"> </w:t>
      </w:r>
      <w:r w:rsidR="00033F22" w:rsidRPr="00EA59C0">
        <w:t>the</w:t>
      </w:r>
      <w:r w:rsidR="00C026A6" w:rsidRPr="00EA59C0">
        <w:t xml:space="preserve"> </w:t>
      </w:r>
      <w:r w:rsidR="00033F22" w:rsidRPr="00EA59C0">
        <w:t>relocation,</w:t>
      </w:r>
      <w:r w:rsidR="00C026A6" w:rsidRPr="00EA59C0">
        <w:t xml:space="preserve"> </w:t>
      </w:r>
      <w:r w:rsidR="00033F22" w:rsidRPr="00EA59C0">
        <w:t>modification,</w:t>
      </w:r>
      <w:r w:rsidR="00C026A6" w:rsidRPr="00EA59C0">
        <w:t xml:space="preserve"> </w:t>
      </w:r>
      <w:r w:rsidR="00033F22" w:rsidRPr="00EA59C0">
        <w:t>retrofitting</w:t>
      </w:r>
      <w:r w:rsidR="00C026A6" w:rsidRPr="00EA59C0">
        <w:t xml:space="preserve"> </w:t>
      </w:r>
      <w:r w:rsidR="00033F22" w:rsidRPr="00EA59C0">
        <w:t>or</w:t>
      </w:r>
      <w:r w:rsidR="00C026A6" w:rsidRPr="00EA59C0">
        <w:t xml:space="preserve"> </w:t>
      </w:r>
      <w:r w:rsidR="00033F22" w:rsidRPr="00EA59C0">
        <w:t>enhancement</w:t>
      </w:r>
      <w:r w:rsidR="00C026A6" w:rsidRPr="00EA59C0">
        <w:t xml:space="preserve"> </w:t>
      </w:r>
      <w:r w:rsidR="00033F22" w:rsidRPr="00EA59C0">
        <w:t>of</w:t>
      </w:r>
      <w:r w:rsidR="00C026A6" w:rsidRPr="00EA59C0">
        <w:t xml:space="preserve"> </w:t>
      </w:r>
      <w:r w:rsidR="00033F22" w:rsidRPr="00EA59C0">
        <w:t>interior</w:t>
      </w:r>
      <w:r w:rsidR="00C026A6" w:rsidRPr="00EA59C0">
        <w:t xml:space="preserve"> </w:t>
      </w:r>
      <w:r w:rsidR="00033F22" w:rsidRPr="00EA59C0">
        <w:t>load</w:t>
      </w:r>
      <w:r w:rsidR="00C026A6" w:rsidRPr="00EA59C0">
        <w:t xml:space="preserve"> </w:t>
      </w:r>
      <w:r w:rsidR="00033F22" w:rsidRPr="00EA59C0">
        <w:t>bearing</w:t>
      </w:r>
      <w:r w:rsidR="00C026A6" w:rsidRPr="00EA59C0">
        <w:t xml:space="preserve"> </w:t>
      </w:r>
      <w:r w:rsidR="00033F22" w:rsidRPr="00EA59C0">
        <w:t>walls</w:t>
      </w:r>
      <w:r w:rsidR="00C026A6" w:rsidRPr="00EA59C0">
        <w:t xml:space="preserve"> </w:t>
      </w:r>
      <w:r w:rsidR="00033F22" w:rsidRPr="00EA59C0">
        <w:t>or</w:t>
      </w:r>
      <w:r w:rsidR="00C026A6" w:rsidRPr="00EA59C0">
        <w:t xml:space="preserve"> </w:t>
      </w:r>
      <w:r w:rsidR="00033F22" w:rsidRPr="00EA59C0">
        <w:t>interior</w:t>
      </w:r>
      <w:r w:rsidR="00C026A6" w:rsidRPr="00EA59C0">
        <w:t xml:space="preserve"> </w:t>
      </w:r>
      <w:r w:rsidR="00033F22" w:rsidRPr="00EA59C0">
        <w:t>floors</w:t>
      </w:r>
      <w:r w:rsidR="00C026A6" w:rsidRPr="00EA59C0">
        <w:t xml:space="preserve"> </w:t>
      </w:r>
      <w:r w:rsidR="00033F22" w:rsidRPr="00EA59C0">
        <w:t>to</w:t>
      </w:r>
      <w:r w:rsidR="00C026A6" w:rsidRPr="00EA59C0">
        <w:t xml:space="preserve"> </w:t>
      </w:r>
      <w:r w:rsidR="00033F22" w:rsidRPr="00EA59C0">
        <w:t>accommodate</w:t>
      </w:r>
      <w:r w:rsidR="00C026A6" w:rsidRPr="00EA59C0">
        <w:t xml:space="preserve"> </w:t>
      </w:r>
      <w:r w:rsidR="00033F22" w:rsidRPr="00EA59C0">
        <w:t>training</w:t>
      </w:r>
      <w:r w:rsidR="00C026A6" w:rsidRPr="00EA59C0">
        <w:t xml:space="preserve"> </w:t>
      </w:r>
      <w:r w:rsidR="00033F22" w:rsidRPr="00EA59C0">
        <w:t>courses</w:t>
      </w:r>
      <w:r w:rsidR="00C026A6" w:rsidRPr="00EA59C0">
        <w:t xml:space="preserve"> </w:t>
      </w:r>
      <w:r w:rsidR="00033F22" w:rsidRPr="00EA59C0">
        <w:t>or</w:t>
      </w:r>
      <w:r w:rsidR="00C026A6" w:rsidRPr="00EA59C0">
        <w:t xml:space="preserve"> </w:t>
      </w:r>
      <w:r w:rsidR="00033F22" w:rsidRPr="00EA59C0">
        <w:t>equipment.</w:t>
      </w:r>
      <w:r w:rsidR="00C026A6" w:rsidRPr="00EA59C0">
        <w:t xml:space="preserve">  </w:t>
      </w:r>
      <w:r w:rsidR="00033F22" w:rsidRPr="00EA59C0">
        <w:t>Minor</w:t>
      </w:r>
      <w:r w:rsidR="00C026A6" w:rsidRPr="00EA59C0">
        <w:t xml:space="preserve"> </w:t>
      </w:r>
      <w:r w:rsidR="00033F22" w:rsidRPr="00EA59C0">
        <w:t>alterations,</w:t>
      </w:r>
      <w:r w:rsidR="00C026A6" w:rsidRPr="00EA59C0">
        <w:t xml:space="preserve"> </w:t>
      </w:r>
      <w:r w:rsidR="00033F22" w:rsidRPr="00EA59C0">
        <w:t>renovations</w:t>
      </w:r>
      <w:r w:rsidR="00B00D84" w:rsidRPr="00EA59C0">
        <w:t>,</w:t>
      </w:r>
      <w:r w:rsidR="00C026A6" w:rsidRPr="00EA59C0">
        <w:t xml:space="preserve"> </w:t>
      </w:r>
      <w:r w:rsidR="00033F22" w:rsidRPr="00EA59C0">
        <w:t>or</w:t>
      </w:r>
      <w:r w:rsidR="00C026A6" w:rsidRPr="00EA59C0">
        <w:t xml:space="preserve"> </w:t>
      </w:r>
      <w:r w:rsidR="00033F22" w:rsidRPr="00EA59C0">
        <w:t>rearrangements,</w:t>
      </w:r>
      <w:r w:rsidR="00C026A6" w:rsidRPr="00EA59C0">
        <w:t xml:space="preserve"> </w:t>
      </w:r>
      <w:r w:rsidR="00033F22" w:rsidRPr="00EA59C0">
        <w:t>if</w:t>
      </w:r>
      <w:r w:rsidR="00C026A6" w:rsidRPr="00EA59C0">
        <w:t xml:space="preserve"> </w:t>
      </w:r>
      <w:r w:rsidR="00033F22" w:rsidRPr="00EA59C0">
        <w:t>specific</w:t>
      </w:r>
      <w:r w:rsidR="00C026A6" w:rsidRPr="00EA59C0">
        <w:t xml:space="preserve"> </w:t>
      </w:r>
      <w:r w:rsidR="00033F22" w:rsidRPr="00EA59C0">
        <w:t>to</w:t>
      </w:r>
      <w:r w:rsidR="00C026A6" w:rsidRPr="00EA59C0">
        <w:t xml:space="preserve"> </w:t>
      </w:r>
      <w:r w:rsidR="00033F22" w:rsidRPr="00EA59C0">
        <w:t>the</w:t>
      </w:r>
      <w:r w:rsidR="00C026A6" w:rsidRPr="00EA59C0">
        <w:t xml:space="preserve"> </w:t>
      </w:r>
      <w:r w:rsidR="00033F22" w:rsidRPr="00EA59C0">
        <w:t>project,</w:t>
      </w:r>
      <w:r w:rsidR="00C026A6" w:rsidRPr="00EA59C0">
        <w:t xml:space="preserve"> </w:t>
      </w:r>
      <w:r w:rsidR="00033F22" w:rsidRPr="00EA59C0">
        <w:t>are</w:t>
      </w:r>
      <w:r w:rsidR="00C026A6" w:rsidRPr="00EA59C0">
        <w:t xml:space="preserve"> </w:t>
      </w:r>
      <w:r w:rsidR="00033F22" w:rsidRPr="00EA59C0">
        <w:t>also</w:t>
      </w:r>
      <w:r w:rsidR="00C026A6" w:rsidRPr="00EA59C0">
        <w:t xml:space="preserve"> </w:t>
      </w:r>
      <w:r w:rsidR="00033F22" w:rsidRPr="00EA59C0">
        <w:t>allowable</w:t>
      </w:r>
      <w:r w:rsidR="00C026A6" w:rsidRPr="00EA59C0">
        <w:t xml:space="preserve"> </w:t>
      </w:r>
      <w:r w:rsidR="00033F22" w:rsidRPr="00EA59C0">
        <w:t>with</w:t>
      </w:r>
      <w:r w:rsidR="00C026A6" w:rsidRPr="00EA59C0">
        <w:t xml:space="preserve"> </w:t>
      </w:r>
      <w:r w:rsidR="00033F22" w:rsidRPr="00EA59C0">
        <w:t>prior</w:t>
      </w:r>
      <w:r w:rsidR="00C026A6" w:rsidRPr="00EA59C0">
        <w:t xml:space="preserve"> </w:t>
      </w:r>
      <w:r w:rsidR="00033F22" w:rsidRPr="00EA59C0">
        <w:t>approval</w:t>
      </w:r>
      <w:r w:rsidR="00C026A6" w:rsidRPr="00EA59C0">
        <w:t xml:space="preserve"> </w:t>
      </w:r>
      <w:r w:rsidR="00033F22" w:rsidRPr="00EA59C0">
        <w:t>from</w:t>
      </w:r>
      <w:r w:rsidR="00C026A6" w:rsidRPr="00EA59C0">
        <w:t xml:space="preserve"> </w:t>
      </w:r>
      <w:r w:rsidR="00033F22" w:rsidRPr="00EA59C0">
        <w:t>the</w:t>
      </w:r>
      <w:r w:rsidR="00C026A6" w:rsidRPr="00EA59C0">
        <w:t xml:space="preserve"> </w:t>
      </w:r>
      <w:r w:rsidR="00033F22" w:rsidRPr="00EA59C0">
        <w:t>Grant</w:t>
      </w:r>
      <w:r w:rsidR="00C026A6" w:rsidRPr="00EA59C0">
        <w:t xml:space="preserve"> </w:t>
      </w:r>
      <w:r w:rsidR="00033F22" w:rsidRPr="00EA59C0">
        <w:t>Officer.</w:t>
      </w:r>
      <w:r w:rsidR="00C026A6" w:rsidRPr="00EA59C0">
        <w:t xml:space="preserve">  </w:t>
      </w:r>
      <w:r w:rsidR="00033F22" w:rsidRPr="00EA59C0">
        <w:t>Minor</w:t>
      </w:r>
      <w:r w:rsidR="00C026A6" w:rsidRPr="00EA59C0">
        <w:t xml:space="preserve"> </w:t>
      </w:r>
      <w:r w:rsidR="00033F22" w:rsidRPr="00EA59C0">
        <w:t>alterations,</w:t>
      </w:r>
      <w:r w:rsidR="00C026A6" w:rsidRPr="00EA59C0">
        <w:t xml:space="preserve"> </w:t>
      </w:r>
      <w:r w:rsidR="00033F22" w:rsidRPr="00EA59C0">
        <w:t>renovations</w:t>
      </w:r>
      <w:r w:rsidR="00B00D84" w:rsidRPr="00EA59C0">
        <w:t>,</w:t>
      </w:r>
      <w:r w:rsidR="00C026A6" w:rsidRPr="00EA59C0">
        <w:t xml:space="preserve"> </w:t>
      </w:r>
      <w:r w:rsidR="00033F22" w:rsidRPr="00EA59C0">
        <w:t>or</w:t>
      </w:r>
      <w:r w:rsidR="00C026A6" w:rsidRPr="00EA59C0">
        <w:t xml:space="preserve"> </w:t>
      </w:r>
      <w:r w:rsidR="00033F22" w:rsidRPr="00EA59C0">
        <w:t>rearrangements</w:t>
      </w:r>
      <w:r w:rsidR="00C026A6" w:rsidRPr="00EA59C0">
        <w:t xml:space="preserve"> </w:t>
      </w:r>
      <w:r w:rsidR="00033F22" w:rsidRPr="00EA59C0">
        <w:t>may</w:t>
      </w:r>
      <w:r w:rsidR="00C026A6" w:rsidRPr="00EA59C0">
        <w:t xml:space="preserve"> </w:t>
      </w:r>
      <w:r w:rsidR="00033F22" w:rsidRPr="00EA59C0">
        <w:t>include</w:t>
      </w:r>
      <w:r w:rsidR="00C026A6" w:rsidRPr="00EA59C0">
        <w:t xml:space="preserve"> </w:t>
      </w:r>
      <w:r w:rsidR="00033F22" w:rsidRPr="00EA59C0">
        <w:t>activities</w:t>
      </w:r>
      <w:r w:rsidR="00C026A6" w:rsidRPr="00EA59C0">
        <w:t xml:space="preserve"> </w:t>
      </w:r>
      <w:r w:rsidR="00033F22" w:rsidRPr="00EA59C0">
        <w:t>and</w:t>
      </w:r>
      <w:r w:rsidR="00C026A6" w:rsidRPr="00EA59C0">
        <w:t xml:space="preserve"> </w:t>
      </w:r>
      <w:r w:rsidR="00033F22" w:rsidRPr="00EA59C0">
        <w:t>associated</w:t>
      </w:r>
      <w:r w:rsidR="00C026A6" w:rsidRPr="00EA59C0">
        <w:t xml:space="preserve"> </w:t>
      </w:r>
      <w:r w:rsidR="00033F22" w:rsidRPr="00EA59C0">
        <w:t>costs</w:t>
      </w:r>
      <w:r w:rsidR="00C026A6" w:rsidRPr="00EA59C0">
        <w:t xml:space="preserve"> </w:t>
      </w:r>
      <w:r w:rsidR="00033F22" w:rsidRPr="00EA59C0">
        <w:t>such</w:t>
      </w:r>
      <w:r w:rsidR="00C026A6" w:rsidRPr="00EA59C0">
        <w:t xml:space="preserve"> </w:t>
      </w:r>
      <w:r w:rsidR="00033F22" w:rsidRPr="00EA59C0">
        <w:t>as</w:t>
      </w:r>
      <w:r w:rsidR="00C026A6" w:rsidRPr="00EA59C0">
        <w:t xml:space="preserve"> </w:t>
      </w:r>
      <w:r w:rsidR="00033F22" w:rsidRPr="00EA59C0">
        <w:t>relocating,</w:t>
      </w:r>
      <w:r w:rsidR="00C026A6" w:rsidRPr="00EA59C0">
        <w:t xml:space="preserve"> </w:t>
      </w:r>
      <w:r w:rsidR="00033F22" w:rsidRPr="00EA59C0">
        <w:t>modifying,</w:t>
      </w:r>
      <w:r w:rsidR="00C026A6" w:rsidRPr="00EA59C0">
        <w:t xml:space="preserve"> </w:t>
      </w:r>
      <w:r w:rsidR="00033F22" w:rsidRPr="00EA59C0">
        <w:t>replacing</w:t>
      </w:r>
      <w:r w:rsidR="00C026A6" w:rsidRPr="00EA59C0">
        <w:t xml:space="preserve"> </w:t>
      </w:r>
      <w:r w:rsidR="00033F22" w:rsidRPr="00EA59C0">
        <w:t>or</w:t>
      </w:r>
      <w:r w:rsidR="00C026A6" w:rsidRPr="00EA59C0">
        <w:t xml:space="preserve"> </w:t>
      </w:r>
      <w:r w:rsidR="00033F22" w:rsidRPr="00EA59C0">
        <w:t>adding</w:t>
      </w:r>
      <w:r w:rsidR="00C026A6" w:rsidRPr="00EA59C0">
        <w:t xml:space="preserve"> </w:t>
      </w:r>
      <w:r w:rsidR="00033F22" w:rsidRPr="00EA59C0">
        <w:t>items</w:t>
      </w:r>
      <w:r w:rsidR="00C026A6" w:rsidRPr="00EA59C0">
        <w:t xml:space="preserve"> </w:t>
      </w:r>
      <w:r w:rsidR="00033F22" w:rsidRPr="00EA59C0">
        <w:t>(such</w:t>
      </w:r>
      <w:r w:rsidR="00C026A6" w:rsidRPr="00EA59C0">
        <w:t xml:space="preserve"> </w:t>
      </w:r>
      <w:r w:rsidR="00033F22" w:rsidRPr="00EA59C0">
        <w:t>as</w:t>
      </w:r>
      <w:r w:rsidR="00C026A6" w:rsidRPr="00EA59C0">
        <w:t xml:space="preserve"> </w:t>
      </w:r>
      <w:r w:rsidR="00033F22" w:rsidRPr="00EA59C0">
        <w:t>switches</w:t>
      </w:r>
      <w:r w:rsidR="00C026A6" w:rsidRPr="00EA59C0">
        <w:t xml:space="preserve"> </w:t>
      </w:r>
      <w:r w:rsidR="00033F22" w:rsidRPr="00EA59C0">
        <w:t>and</w:t>
      </w:r>
      <w:r w:rsidR="00C026A6" w:rsidRPr="00EA59C0">
        <w:t xml:space="preserve"> </w:t>
      </w:r>
      <w:r w:rsidR="00033F22" w:rsidRPr="00EA59C0">
        <w:t>outlets)</w:t>
      </w:r>
      <w:r w:rsidR="00C026A6" w:rsidRPr="00EA59C0">
        <w:t xml:space="preserve"> </w:t>
      </w:r>
      <w:r w:rsidR="00033F22" w:rsidRPr="00EA59C0">
        <w:t>related</w:t>
      </w:r>
      <w:r w:rsidR="00C026A6" w:rsidRPr="00EA59C0">
        <w:t xml:space="preserve"> </w:t>
      </w:r>
      <w:r w:rsidR="00033F22" w:rsidRPr="00EA59C0">
        <w:t>to</w:t>
      </w:r>
      <w:r w:rsidR="00C026A6" w:rsidRPr="00EA59C0">
        <w:t xml:space="preserve"> </w:t>
      </w:r>
      <w:r w:rsidR="00033F22" w:rsidRPr="00EA59C0">
        <w:t>internal</w:t>
      </w:r>
      <w:r w:rsidR="00C026A6" w:rsidRPr="00EA59C0">
        <w:t xml:space="preserve"> </w:t>
      </w:r>
      <w:r w:rsidR="00033F22" w:rsidRPr="00EA59C0">
        <w:t>environments</w:t>
      </w:r>
      <w:r w:rsidR="00C026A6" w:rsidRPr="00EA59C0">
        <w:t xml:space="preserve"> </w:t>
      </w:r>
      <w:r w:rsidR="00033F22" w:rsidRPr="00EA59C0">
        <w:t>(temperature,</w:t>
      </w:r>
      <w:r w:rsidR="00C026A6" w:rsidRPr="00EA59C0">
        <w:t xml:space="preserve"> </w:t>
      </w:r>
      <w:r w:rsidR="00033F22" w:rsidRPr="00EA59C0">
        <w:t>humidity,</w:t>
      </w:r>
      <w:r w:rsidR="00C026A6" w:rsidRPr="00EA59C0">
        <w:t xml:space="preserve"> </w:t>
      </w:r>
      <w:r w:rsidR="00033F22" w:rsidRPr="00EA59C0">
        <w:t>ventilation,</w:t>
      </w:r>
      <w:r w:rsidR="00C026A6" w:rsidRPr="00EA59C0">
        <w:t xml:space="preserve"> </w:t>
      </w:r>
      <w:r w:rsidR="00033F22" w:rsidRPr="00EA59C0">
        <w:t>and</w:t>
      </w:r>
      <w:r w:rsidR="00C026A6" w:rsidRPr="00EA59C0">
        <w:t xml:space="preserve"> </w:t>
      </w:r>
      <w:r w:rsidR="00033F22" w:rsidRPr="00EA59C0">
        <w:t>acoustics),</w:t>
      </w:r>
      <w:r w:rsidR="00C026A6" w:rsidRPr="00EA59C0">
        <w:t xml:space="preserve"> </w:t>
      </w:r>
      <w:r w:rsidR="00033F22" w:rsidRPr="00EA59C0">
        <w:t>and</w:t>
      </w:r>
      <w:r w:rsidR="00C026A6" w:rsidRPr="00EA59C0">
        <w:t xml:space="preserve"> </w:t>
      </w:r>
      <w:r w:rsidR="00033F22" w:rsidRPr="00EA59C0">
        <w:t>installation</w:t>
      </w:r>
      <w:r w:rsidR="00C026A6" w:rsidRPr="00EA59C0">
        <w:t xml:space="preserve"> </w:t>
      </w:r>
      <w:r w:rsidR="00033F22" w:rsidRPr="00EA59C0">
        <w:t>of</w:t>
      </w:r>
      <w:r w:rsidR="00C026A6" w:rsidRPr="00EA59C0">
        <w:t xml:space="preserve"> </w:t>
      </w:r>
      <w:r w:rsidR="00033F22" w:rsidRPr="00EA59C0">
        <w:t>fixed</w:t>
      </w:r>
      <w:r w:rsidR="00C026A6" w:rsidRPr="00EA59C0">
        <w:t xml:space="preserve"> </w:t>
      </w:r>
      <w:r w:rsidR="00033F22" w:rsidRPr="00EA59C0">
        <w:t>equipment</w:t>
      </w:r>
      <w:r w:rsidR="00C026A6" w:rsidRPr="00EA59C0">
        <w:t xml:space="preserve"> </w:t>
      </w:r>
      <w:r w:rsidR="00033F22" w:rsidRPr="00EA59C0">
        <w:t>(including</w:t>
      </w:r>
      <w:r w:rsidR="00C026A6" w:rsidRPr="00EA59C0">
        <w:t xml:space="preserve"> </w:t>
      </w:r>
      <w:r w:rsidR="00033F22" w:rsidRPr="00EA59C0">
        <w:t>fume</w:t>
      </w:r>
      <w:r w:rsidR="00C026A6" w:rsidRPr="00EA59C0">
        <w:t xml:space="preserve"> </w:t>
      </w:r>
      <w:r w:rsidR="00033F22" w:rsidRPr="00EA59C0">
        <w:t>hoods</w:t>
      </w:r>
      <w:r w:rsidR="00C026A6" w:rsidRPr="00EA59C0">
        <w:t xml:space="preserve"> </w:t>
      </w:r>
      <w:r w:rsidR="00033F22" w:rsidRPr="00EA59C0">
        <w:t>and</w:t>
      </w:r>
      <w:r w:rsidR="00C026A6" w:rsidRPr="00EA59C0">
        <w:t xml:space="preserve"> </w:t>
      </w:r>
      <w:r w:rsidR="00033F22" w:rsidRPr="00EA59C0">
        <w:t>audio/visual</w:t>
      </w:r>
      <w:r w:rsidR="00C026A6" w:rsidRPr="00EA59C0">
        <w:t xml:space="preserve"> </w:t>
      </w:r>
      <w:r w:rsidR="00033F22" w:rsidRPr="00EA59C0">
        <w:t>equipment).</w:t>
      </w:r>
    </w:p>
    <w:p w:rsidR="00020A03" w:rsidRPr="00EA59C0" w:rsidRDefault="00020A03" w:rsidP="00A72633">
      <w:pPr>
        <w:ind w:left="720"/>
      </w:pPr>
    </w:p>
    <w:p w:rsidR="00033F22" w:rsidRPr="00EA59C0" w:rsidRDefault="00033F22" w:rsidP="00A72633">
      <w:pPr>
        <w:ind w:left="720"/>
      </w:pPr>
      <w:r w:rsidRPr="00EA59C0">
        <w:t>Award</w:t>
      </w:r>
      <w:r w:rsidR="00C026A6" w:rsidRPr="00EA59C0">
        <w:t xml:space="preserve"> </w:t>
      </w:r>
      <w:r w:rsidRPr="00EA59C0">
        <w:t>of</w:t>
      </w:r>
      <w:r w:rsidR="00C026A6" w:rsidRPr="00EA59C0">
        <w:t xml:space="preserve"> </w:t>
      </w:r>
      <w:r w:rsidRPr="00EA59C0">
        <w:t>a</w:t>
      </w:r>
      <w:r w:rsidR="00C026A6" w:rsidRPr="00EA59C0">
        <w:t xml:space="preserve"> </w:t>
      </w:r>
      <w:r w:rsidRPr="00EA59C0">
        <w:t>grant</w:t>
      </w:r>
      <w:r w:rsidR="00C026A6" w:rsidRPr="00EA59C0">
        <w:t xml:space="preserve"> </w:t>
      </w:r>
      <w:r w:rsidRPr="00EA59C0">
        <w:t>under</w:t>
      </w:r>
      <w:r w:rsidR="00C026A6" w:rsidRPr="00EA59C0">
        <w:t xml:space="preserve"> </w:t>
      </w:r>
      <w:r w:rsidRPr="00EA59C0">
        <w:t>this</w:t>
      </w:r>
      <w:r w:rsidR="00C026A6" w:rsidRPr="00EA59C0">
        <w:t xml:space="preserve"> </w:t>
      </w:r>
      <w:r w:rsidRPr="00EA59C0">
        <w:t>SGA</w:t>
      </w:r>
      <w:r w:rsidR="00C026A6" w:rsidRPr="00EA59C0">
        <w:t xml:space="preserve"> </w:t>
      </w:r>
      <w:r w:rsidRPr="00EA59C0">
        <w:t>does</w:t>
      </w:r>
      <w:r w:rsidR="00C026A6" w:rsidRPr="00EA59C0">
        <w:t xml:space="preserve"> </w:t>
      </w:r>
      <w:r w:rsidRPr="00EA59C0">
        <w:t>not</w:t>
      </w:r>
      <w:r w:rsidR="00C026A6" w:rsidRPr="00EA59C0">
        <w:t xml:space="preserve"> </w:t>
      </w:r>
      <w:r w:rsidRPr="00EA59C0">
        <w:t>constitute</w:t>
      </w:r>
      <w:r w:rsidR="00C026A6" w:rsidRPr="00EA59C0">
        <w:t xml:space="preserve"> </w:t>
      </w:r>
      <w:r w:rsidRPr="00EA59C0">
        <w:t>prior</w:t>
      </w:r>
      <w:r w:rsidR="00C026A6" w:rsidRPr="00EA59C0">
        <w:t xml:space="preserve"> </w:t>
      </w:r>
      <w:r w:rsidRPr="00EA59C0">
        <w:t>approval.</w:t>
      </w:r>
      <w:r w:rsidR="00C026A6" w:rsidRPr="00EA59C0">
        <w:t xml:space="preserve">  </w:t>
      </w:r>
      <w:r w:rsidRPr="00EA59C0">
        <w:t>After</w:t>
      </w:r>
      <w:r w:rsidR="00C026A6" w:rsidRPr="00EA59C0">
        <w:t xml:space="preserve"> </w:t>
      </w:r>
      <w:r w:rsidRPr="00EA59C0">
        <w:t>grant</w:t>
      </w:r>
      <w:r w:rsidR="00C026A6" w:rsidRPr="00EA59C0">
        <w:t xml:space="preserve"> </w:t>
      </w:r>
      <w:r w:rsidRPr="00EA59C0">
        <w:t>awards</w:t>
      </w:r>
      <w:r w:rsidR="00C026A6" w:rsidRPr="00EA59C0">
        <w:t xml:space="preserve"> </w:t>
      </w:r>
      <w:r w:rsidRPr="00EA59C0">
        <w:t>are</w:t>
      </w:r>
      <w:r w:rsidR="00C026A6" w:rsidRPr="00EA59C0">
        <w:t xml:space="preserve"> </w:t>
      </w:r>
      <w:r w:rsidRPr="00EA59C0">
        <w:t>made,</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be</w:t>
      </w:r>
      <w:r w:rsidR="00C026A6" w:rsidRPr="00EA59C0">
        <w:t xml:space="preserve"> </w:t>
      </w:r>
      <w:r w:rsidRPr="00EA59C0">
        <w:t>required</w:t>
      </w:r>
      <w:r w:rsidR="00C026A6" w:rsidRPr="00EA59C0">
        <w:t xml:space="preserve"> </w:t>
      </w:r>
      <w:r w:rsidRPr="00EA59C0">
        <w:t>to</w:t>
      </w:r>
      <w:r w:rsidR="00C026A6" w:rsidRPr="00EA59C0">
        <w:t xml:space="preserve"> </w:t>
      </w:r>
      <w:r w:rsidRPr="00EA59C0">
        <w:t>obtain</w:t>
      </w:r>
      <w:r w:rsidR="00C026A6" w:rsidRPr="00EA59C0">
        <w:t xml:space="preserve"> </w:t>
      </w:r>
      <w:r w:rsidRPr="00EA59C0">
        <w:t>specific</w:t>
      </w:r>
      <w:r w:rsidR="00C026A6" w:rsidRPr="00EA59C0">
        <w:t xml:space="preserve"> </w:t>
      </w:r>
      <w:r w:rsidRPr="00EA59C0">
        <w:t>Grant</w:t>
      </w:r>
      <w:r w:rsidR="00C026A6" w:rsidRPr="00EA59C0">
        <w:t xml:space="preserve"> </w:t>
      </w:r>
      <w:r w:rsidRPr="00EA59C0">
        <w:t>Officer</w:t>
      </w:r>
      <w:r w:rsidR="00C026A6" w:rsidRPr="00EA59C0">
        <w:t xml:space="preserve"> </w:t>
      </w:r>
      <w:r w:rsidRPr="00EA59C0">
        <w:t>approval</w:t>
      </w:r>
      <w:r w:rsidR="00C026A6" w:rsidRPr="00EA59C0">
        <w:t xml:space="preserve"> </w:t>
      </w:r>
      <w:r w:rsidRPr="00EA59C0">
        <w:t>before</w:t>
      </w:r>
      <w:r w:rsidR="00C026A6" w:rsidRPr="00EA59C0">
        <w:t xml:space="preserve"> </w:t>
      </w:r>
      <w:r w:rsidRPr="00EA59C0">
        <w:t>acquiring</w:t>
      </w:r>
      <w:r w:rsidR="00C026A6" w:rsidRPr="00EA59C0">
        <w:t xml:space="preserve"> </w:t>
      </w:r>
      <w:r w:rsidRPr="00EA59C0">
        <w:t>equipment</w:t>
      </w:r>
      <w:r w:rsidR="00C026A6" w:rsidRPr="00EA59C0">
        <w:t xml:space="preserve"> </w:t>
      </w:r>
      <w:r w:rsidRPr="00EA59C0">
        <w:t>or</w:t>
      </w:r>
      <w:r w:rsidR="00C026A6" w:rsidRPr="00EA59C0">
        <w:t xml:space="preserve"> </w:t>
      </w:r>
      <w:r w:rsidRPr="00EA59C0">
        <w:t>proceeding</w:t>
      </w:r>
      <w:r w:rsidR="00C026A6" w:rsidRPr="00EA59C0">
        <w:t xml:space="preserve"> </w:t>
      </w:r>
      <w:r w:rsidRPr="00EA59C0">
        <w:t>with</w:t>
      </w:r>
      <w:r w:rsidR="00C026A6" w:rsidRPr="00EA59C0">
        <w:t xml:space="preserve"> </w:t>
      </w:r>
      <w:r w:rsidRPr="00EA59C0">
        <w:t>proposed</w:t>
      </w:r>
      <w:r w:rsidR="00C026A6" w:rsidRPr="00EA59C0">
        <w:t xml:space="preserve"> </w:t>
      </w:r>
      <w:r w:rsidRPr="00EA59C0">
        <w:t>capital</w:t>
      </w:r>
      <w:r w:rsidR="00C026A6" w:rsidRPr="00EA59C0">
        <w:t xml:space="preserve"> </w:t>
      </w:r>
      <w:r w:rsidRPr="00EA59C0">
        <w:t>expenditures,</w:t>
      </w:r>
      <w:r w:rsidR="00C026A6" w:rsidRPr="00EA59C0">
        <w:t xml:space="preserve"> </w:t>
      </w:r>
      <w:r w:rsidRPr="00EA59C0">
        <w:t>renovation</w:t>
      </w:r>
      <w:r w:rsidR="00B00D84" w:rsidRPr="00EA59C0">
        <w:t>,</w:t>
      </w:r>
      <w:r w:rsidR="00C026A6" w:rsidRPr="00EA59C0">
        <w:t xml:space="preserve"> </w:t>
      </w:r>
      <w:r w:rsidRPr="00EA59C0">
        <w:t>or</w:t>
      </w:r>
      <w:r w:rsidR="00C026A6" w:rsidRPr="00EA59C0">
        <w:t xml:space="preserve"> </w:t>
      </w:r>
      <w:r w:rsidRPr="00EA59C0">
        <w:t>alteration</w:t>
      </w:r>
      <w:r w:rsidR="00C026A6" w:rsidRPr="00EA59C0">
        <w:t xml:space="preserve"> </w:t>
      </w:r>
      <w:r w:rsidRPr="00EA59C0">
        <w:t>of</w:t>
      </w:r>
      <w:r w:rsidR="00C026A6" w:rsidRPr="00EA59C0">
        <w:t xml:space="preserve"> </w:t>
      </w:r>
      <w:r w:rsidRPr="00EA59C0">
        <w:t>facilities.</w:t>
      </w:r>
      <w:r w:rsidR="00C026A6" w:rsidRPr="00EA59C0">
        <w:t xml:space="preserve">  </w:t>
      </w:r>
      <w:r w:rsidRPr="00EA59C0">
        <w:t>The</w:t>
      </w:r>
      <w:r w:rsidR="00C026A6" w:rsidRPr="00EA59C0">
        <w:t xml:space="preserve"> </w:t>
      </w:r>
      <w:r w:rsidRPr="00EA59C0">
        <w:t>Grant</w:t>
      </w:r>
      <w:r w:rsidR="00C026A6" w:rsidRPr="00EA59C0">
        <w:t xml:space="preserve"> </w:t>
      </w:r>
      <w:r w:rsidRPr="00EA59C0">
        <w:t>Officer</w:t>
      </w:r>
      <w:r w:rsidR="00C026A6" w:rsidRPr="00EA59C0">
        <w:t xml:space="preserve"> </w:t>
      </w:r>
      <w:r w:rsidRPr="00EA59C0">
        <w:t>must</w:t>
      </w:r>
      <w:r w:rsidR="00C026A6" w:rsidRPr="00EA59C0">
        <w:t xml:space="preserve"> </w:t>
      </w:r>
      <w:r w:rsidRPr="00EA59C0">
        <w:t>determine</w:t>
      </w:r>
      <w:r w:rsidR="00C026A6" w:rsidRPr="00EA59C0">
        <w:t xml:space="preserve"> </w:t>
      </w:r>
      <w:r w:rsidRPr="00EA59C0">
        <w:t>that</w:t>
      </w:r>
      <w:r w:rsidR="00C026A6" w:rsidRPr="00EA59C0">
        <w:t xml:space="preserve"> </w:t>
      </w:r>
      <w:r w:rsidRPr="00EA59C0">
        <w:t>all</w:t>
      </w:r>
      <w:r w:rsidR="00C026A6" w:rsidRPr="00EA59C0">
        <w:t xml:space="preserve"> </w:t>
      </w:r>
      <w:r w:rsidRPr="00EA59C0">
        <w:t>proposed</w:t>
      </w:r>
      <w:r w:rsidR="00C026A6" w:rsidRPr="00EA59C0">
        <w:t xml:space="preserve"> </w:t>
      </w:r>
      <w:r w:rsidRPr="00EA59C0">
        <w:t>equipment,</w:t>
      </w:r>
      <w:r w:rsidR="00C026A6" w:rsidRPr="00EA59C0">
        <w:t xml:space="preserve"> </w:t>
      </w:r>
      <w:r w:rsidRPr="00EA59C0">
        <w:t>capital</w:t>
      </w:r>
      <w:r w:rsidR="00C026A6" w:rsidRPr="00EA59C0">
        <w:t xml:space="preserve"> </w:t>
      </w:r>
      <w:r w:rsidRPr="00EA59C0">
        <w:t>improvements</w:t>
      </w:r>
      <w:r w:rsidR="00B00D84" w:rsidRPr="00EA59C0">
        <w:t>,</w:t>
      </w:r>
      <w:r w:rsidR="00C026A6" w:rsidRPr="00EA59C0">
        <w:t xml:space="preserve"> </w:t>
      </w:r>
      <w:r w:rsidRPr="00EA59C0">
        <w:t>and/or</w:t>
      </w:r>
      <w:r w:rsidR="00C026A6" w:rsidRPr="00EA59C0">
        <w:t xml:space="preserve"> </w:t>
      </w:r>
      <w:r w:rsidRPr="00EA59C0">
        <w:t>alterations</w:t>
      </w:r>
      <w:r w:rsidR="00C026A6" w:rsidRPr="00EA59C0">
        <w:t xml:space="preserve"> </w:t>
      </w:r>
      <w:r w:rsidRPr="00EA59C0">
        <w:t>and</w:t>
      </w:r>
      <w:r w:rsidR="00C026A6" w:rsidRPr="00EA59C0">
        <w:t xml:space="preserve"> </w:t>
      </w:r>
      <w:r w:rsidRPr="00EA59C0">
        <w:t>renovation</w:t>
      </w:r>
      <w:r w:rsidR="00C026A6" w:rsidRPr="00EA59C0">
        <w:t xml:space="preserve"> </w:t>
      </w:r>
      <w:r w:rsidRPr="00EA59C0">
        <w:t>are:</w:t>
      </w:r>
      <w:r w:rsidR="00C026A6" w:rsidRPr="00EA59C0">
        <w:t xml:space="preserve">  </w:t>
      </w:r>
      <w:r w:rsidRPr="00EA59C0">
        <w:t>1)</w:t>
      </w:r>
      <w:r w:rsidR="00C026A6" w:rsidRPr="00EA59C0">
        <w:t xml:space="preserve"> </w:t>
      </w:r>
      <w:r w:rsidRPr="00EA59C0">
        <w:t>allocable,</w:t>
      </w:r>
      <w:r w:rsidR="00C026A6" w:rsidRPr="00EA59C0">
        <w:t xml:space="preserve"> </w:t>
      </w:r>
      <w:r w:rsidRPr="00EA59C0">
        <w:t>necessary,</w:t>
      </w:r>
      <w:r w:rsidR="00C026A6" w:rsidRPr="00EA59C0">
        <w:t xml:space="preserve"> </w:t>
      </w:r>
      <w:r w:rsidRPr="00EA59C0">
        <w:t>and</w:t>
      </w:r>
      <w:r w:rsidR="00C026A6" w:rsidRPr="00EA59C0">
        <w:t xml:space="preserve"> </w:t>
      </w:r>
      <w:r w:rsidRPr="00EA59C0">
        <w:t>reasonable;</w:t>
      </w:r>
      <w:r w:rsidR="00C026A6" w:rsidRPr="00EA59C0">
        <w:t xml:space="preserve"> </w:t>
      </w:r>
      <w:r w:rsidRPr="00EA59C0">
        <w:t>2)</w:t>
      </w:r>
      <w:r w:rsidR="00C026A6" w:rsidRPr="00EA59C0">
        <w:t xml:space="preserve"> </w:t>
      </w:r>
      <w:r w:rsidRPr="00EA59C0">
        <w:t>tied</w:t>
      </w:r>
      <w:r w:rsidR="00C026A6" w:rsidRPr="00EA59C0">
        <w:t xml:space="preserve"> </w:t>
      </w:r>
      <w:r w:rsidRPr="00EA59C0">
        <w:t>to</w:t>
      </w:r>
      <w:r w:rsidR="00C026A6" w:rsidRPr="00EA59C0">
        <w:t xml:space="preserve"> </w:t>
      </w:r>
      <w:r w:rsidRPr="00EA59C0">
        <w:t>specific</w:t>
      </w:r>
      <w:r w:rsidR="00C026A6" w:rsidRPr="00EA59C0">
        <w:t xml:space="preserve"> </w:t>
      </w:r>
      <w:r w:rsidRPr="00EA59C0">
        <w:t>grant-related</w:t>
      </w:r>
      <w:r w:rsidR="00C026A6" w:rsidRPr="00EA59C0">
        <w:t xml:space="preserve"> </w:t>
      </w:r>
      <w:r w:rsidRPr="00EA59C0">
        <w:t>deliverables</w:t>
      </w:r>
      <w:r w:rsidR="00C026A6" w:rsidRPr="00EA59C0">
        <w:t xml:space="preserve"> </w:t>
      </w:r>
      <w:r w:rsidRPr="00EA59C0">
        <w:t>and</w:t>
      </w:r>
      <w:r w:rsidR="00C026A6" w:rsidRPr="00EA59C0">
        <w:t xml:space="preserve"> </w:t>
      </w:r>
      <w:r w:rsidRPr="00EA59C0">
        <w:t>outcomes</w:t>
      </w:r>
      <w:r w:rsidR="00C026A6" w:rsidRPr="00EA59C0">
        <w:t xml:space="preserve"> </w:t>
      </w:r>
      <w:r w:rsidRPr="00EA59C0">
        <w:t>outlined</w:t>
      </w:r>
      <w:r w:rsidR="00C026A6" w:rsidRPr="00EA59C0">
        <w:t xml:space="preserve"> </w:t>
      </w:r>
      <w:r w:rsidRPr="00EA59C0">
        <w:t>in</w:t>
      </w:r>
      <w:r w:rsidR="00C026A6" w:rsidRPr="00EA59C0">
        <w:t xml:space="preserve"> </w:t>
      </w:r>
      <w:r w:rsidRPr="00EA59C0">
        <w:t>the</w:t>
      </w:r>
      <w:r w:rsidR="00C026A6" w:rsidRPr="00EA59C0">
        <w:t xml:space="preserve"> </w:t>
      </w:r>
      <w:r w:rsidRPr="00EA59C0">
        <w:t>grantee’s</w:t>
      </w:r>
      <w:r w:rsidR="00C026A6" w:rsidRPr="00EA59C0">
        <w:t xml:space="preserve"> </w:t>
      </w:r>
      <w:r w:rsidRPr="00EA59C0">
        <w:t>statement</w:t>
      </w:r>
      <w:r w:rsidR="00C026A6" w:rsidRPr="00EA59C0">
        <w:t xml:space="preserve"> </w:t>
      </w:r>
      <w:r w:rsidRPr="00EA59C0">
        <w:t>of</w:t>
      </w:r>
      <w:r w:rsidR="00C026A6" w:rsidRPr="00EA59C0">
        <w:t xml:space="preserve"> </w:t>
      </w:r>
      <w:r w:rsidRPr="00EA59C0">
        <w:t>work</w:t>
      </w:r>
      <w:r w:rsidR="00C026A6" w:rsidRPr="00EA59C0">
        <w:t xml:space="preserve"> </w:t>
      </w:r>
      <w:r w:rsidRPr="00EA59C0">
        <w:t>(</w:t>
      </w:r>
      <w:r w:rsidR="00D352E8" w:rsidRPr="00EA59C0">
        <w:t>SOW)</w:t>
      </w:r>
      <w:r w:rsidR="00C026A6" w:rsidRPr="00EA59C0">
        <w:t xml:space="preserve"> </w:t>
      </w:r>
      <w:r w:rsidRPr="00EA59C0">
        <w:t>(including</w:t>
      </w:r>
      <w:r w:rsidR="00C026A6" w:rsidRPr="00EA59C0">
        <w:t xml:space="preserve"> </w:t>
      </w:r>
      <w:r w:rsidRPr="00EA59C0">
        <w:t>capacity-building</w:t>
      </w:r>
      <w:r w:rsidR="00C026A6" w:rsidRPr="00EA59C0">
        <w:t xml:space="preserve"> </w:t>
      </w:r>
      <w:r w:rsidRPr="00EA59C0">
        <w:t>and/or</w:t>
      </w:r>
      <w:r w:rsidR="00C026A6" w:rsidRPr="00EA59C0">
        <w:t xml:space="preserve"> </w:t>
      </w:r>
      <w:r w:rsidRPr="00EA59C0">
        <w:t>training</w:t>
      </w:r>
      <w:r w:rsidR="00C026A6" w:rsidRPr="00EA59C0">
        <w:t xml:space="preserve"> </w:t>
      </w:r>
      <w:r w:rsidRPr="00EA59C0">
        <w:t>outcomes);</w:t>
      </w:r>
      <w:r w:rsidR="00C026A6" w:rsidRPr="00EA59C0">
        <w:t xml:space="preserve"> </w:t>
      </w:r>
      <w:r w:rsidRPr="00EA59C0">
        <w:t>and</w:t>
      </w:r>
      <w:r w:rsidR="00C026A6" w:rsidRPr="00EA59C0">
        <w:t xml:space="preserve"> </w:t>
      </w:r>
      <w:r w:rsidRPr="00EA59C0">
        <w:t>3)</w:t>
      </w:r>
      <w:r w:rsidR="00C026A6" w:rsidRPr="00EA59C0">
        <w:t xml:space="preserve"> </w:t>
      </w:r>
      <w:r w:rsidRPr="00EA59C0">
        <w:t>consistent</w:t>
      </w:r>
      <w:r w:rsidR="00C026A6" w:rsidRPr="00EA59C0">
        <w:t xml:space="preserve"> </w:t>
      </w:r>
      <w:r w:rsidRPr="00EA59C0">
        <w:t>with</w:t>
      </w:r>
      <w:r w:rsidR="00C026A6" w:rsidRPr="00EA59C0">
        <w:t xml:space="preserve"> </w:t>
      </w:r>
      <w:r w:rsidRPr="00EA59C0">
        <w:t>the</w:t>
      </w:r>
      <w:r w:rsidR="00C026A6" w:rsidRPr="00EA59C0">
        <w:t xml:space="preserve"> </w:t>
      </w:r>
      <w:r w:rsidRPr="00EA59C0">
        <w:t>SGA.</w:t>
      </w:r>
      <w:r w:rsidR="00C026A6" w:rsidRPr="00EA59C0">
        <w:t xml:space="preserve">  </w:t>
      </w:r>
      <w:r w:rsidRPr="00EA59C0">
        <w:t>In</w:t>
      </w:r>
      <w:r w:rsidR="00C026A6" w:rsidRPr="00EA59C0">
        <w:t xml:space="preserve"> </w:t>
      </w:r>
      <w:r w:rsidRPr="00EA59C0">
        <w:t>their</w:t>
      </w:r>
      <w:r w:rsidR="00C026A6" w:rsidRPr="00EA59C0">
        <w:t xml:space="preserve"> </w:t>
      </w:r>
      <w:r w:rsidRPr="00EA59C0">
        <w:t>budget</w:t>
      </w:r>
      <w:r w:rsidR="00C026A6" w:rsidRPr="00EA59C0">
        <w:t xml:space="preserve"> </w:t>
      </w:r>
      <w:r w:rsidRPr="00EA59C0">
        <w:t>narrative,</w:t>
      </w:r>
      <w:r w:rsidR="00C026A6" w:rsidRPr="00EA59C0">
        <w:t xml:space="preserve"> </w:t>
      </w:r>
      <w:r w:rsidRPr="00EA59C0">
        <w:t>applicants</w:t>
      </w:r>
      <w:r w:rsidR="00C026A6" w:rsidRPr="00EA59C0">
        <w:t xml:space="preserve"> </w:t>
      </w:r>
      <w:r w:rsidRPr="00EA59C0">
        <w:t>proposing</w:t>
      </w:r>
      <w:r w:rsidR="00C026A6" w:rsidRPr="00EA59C0">
        <w:t xml:space="preserve"> </w:t>
      </w:r>
      <w:r w:rsidRPr="00EA59C0">
        <w:t>to</w:t>
      </w:r>
      <w:r w:rsidR="00C026A6" w:rsidRPr="00EA59C0">
        <w:t xml:space="preserve"> </w:t>
      </w:r>
      <w:r w:rsidRPr="00EA59C0">
        <w:t>spend</w:t>
      </w:r>
      <w:r w:rsidR="00C026A6" w:rsidRPr="00EA59C0">
        <w:t xml:space="preserve"> </w:t>
      </w:r>
      <w:r w:rsidRPr="00EA59C0">
        <w:t>grant</w:t>
      </w:r>
      <w:r w:rsidR="00C026A6" w:rsidRPr="00EA59C0">
        <w:t xml:space="preserve"> </w:t>
      </w:r>
      <w:r w:rsidRPr="00EA59C0">
        <w:t>funds</w:t>
      </w:r>
      <w:r w:rsidR="00C026A6" w:rsidRPr="00EA59C0">
        <w:t xml:space="preserve"> </w:t>
      </w:r>
      <w:r w:rsidRPr="00EA59C0">
        <w:t>on</w:t>
      </w:r>
      <w:r w:rsidR="00C026A6" w:rsidRPr="00EA59C0">
        <w:t xml:space="preserve"> </w:t>
      </w:r>
      <w:r w:rsidRPr="00EA59C0">
        <w:t>capital</w:t>
      </w:r>
      <w:r w:rsidR="00C026A6" w:rsidRPr="00EA59C0">
        <w:t xml:space="preserve"> </w:t>
      </w:r>
      <w:r w:rsidRPr="00EA59C0">
        <w:t>improvements</w:t>
      </w:r>
      <w:r w:rsidR="00C026A6" w:rsidRPr="00EA59C0">
        <w:t xml:space="preserve"> </w:t>
      </w:r>
      <w:r w:rsidRPr="00EA59C0">
        <w:t>and/or</w:t>
      </w:r>
      <w:r w:rsidR="00C026A6" w:rsidRPr="00EA59C0">
        <w:t xml:space="preserve"> </w:t>
      </w:r>
      <w:r w:rsidRPr="00EA59C0">
        <w:t>alterations</w:t>
      </w:r>
      <w:r w:rsidR="00C026A6" w:rsidRPr="00EA59C0">
        <w:t xml:space="preserve"> </w:t>
      </w:r>
      <w:r w:rsidRPr="00EA59C0">
        <w:t>and</w:t>
      </w:r>
      <w:r w:rsidR="00C026A6" w:rsidRPr="00EA59C0">
        <w:t xml:space="preserve"> </w:t>
      </w:r>
      <w:r w:rsidRPr="00EA59C0">
        <w:t>renovations</w:t>
      </w:r>
      <w:r w:rsidR="00C026A6" w:rsidRPr="00EA59C0">
        <w:t xml:space="preserve"> </w:t>
      </w:r>
      <w:r w:rsidRPr="00EA59C0">
        <w:t>as</w:t>
      </w:r>
      <w:r w:rsidR="00C026A6" w:rsidRPr="00EA59C0">
        <w:t xml:space="preserve"> </w:t>
      </w:r>
      <w:r w:rsidRPr="00EA59C0">
        <w:t>outlined</w:t>
      </w:r>
      <w:r w:rsidR="00C026A6" w:rsidRPr="00EA59C0">
        <w:t xml:space="preserve"> </w:t>
      </w:r>
      <w:r w:rsidRPr="00EA59C0">
        <w:t>in</w:t>
      </w:r>
      <w:r w:rsidR="00C026A6" w:rsidRPr="00EA59C0">
        <w:t xml:space="preserve"> </w:t>
      </w:r>
      <w:r w:rsidRPr="00EA59C0">
        <w:t>the</w:t>
      </w:r>
      <w:r w:rsidR="00C026A6" w:rsidRPr="00EA59C0">
        <w:t xml:space="preserve"> </w:t>
      </w:r>
      <w:r w:rsidRPr="00EA59C0">
        <w:t>SOW</w:t>
      </w:r>
      <w:r w:rsidR="00C026A6" w:rsidRPr="00EA59C0">
        <w:t xml:space="preserve"> </w:t>
      </w:r>
      <w:r w:rsidRPr="00EA59C0">
        <w:t>and</w:t>
      </w:r>
      <w:r w:rsidR="00C026A6" w:rsidRPr="00EA59C0">
        <w:t xml:space="preserve"> </w:t>
      </w:r>
      <w:r w:rsidRPr="00EA59C0">
        <w:t>budget</w:t>
      </w:r>
      <w:r w:rsidR="00C026A6" w:rsidRPr="00EA59C0">
        <w:t xml:space="preserve"> </w:t>
      </w:r>
      <w:r w:rsidRPr="00EA59C0">
        <w:t>narrative</w:t>
      </w:r>
      <w:r w:rsidR="00C026A6" w:rsidRPr="00EA59C0">
        <w:t xml:space="preserve"> </w:t>
      </w:r>
      <w:r w:rsidRPr="00EA59C0">
        <w:t>must</w:t>
      </w:r>
      <w:r w:rsidR="00C026A6" w:rsidRPr="00EA59C0">
        <w:t xml:space="preserve"> </w:t>
      </w:r>
      <w:r w:rsidRPr="00EA59C0">
        <w:t>demonstrate</w:t>
      </w:r>
      <w:r w:rsidR="00C026A6" w:rsidRPr="00EA59C0">
        <w:t xml:space="preserve"> </w:t>
      </w:r>
      <w:r w:rsidRPr="00EA59C0">
        <w:t>how</w:t>
      </w:r>
      <w:r w:rsidR="00C026A6" w:rsidRPr="00EA59C0">
        <w:t xml:space="preserve"> </w:t>
      </w:r>
      <w:r w:rsidRPr="00EA59C0">
        <w:t>these</w:t>
      </w:r>
      <w:r w:rsidR="00C026A6" w:rsidRPr="00EA59C0">
        <w:t xml:space="preserve"> </w:t>
      </w:r>
      <w:r w:rsidRPr="00EA59C0">
        <w:t>expenditures</w:t>
      </w:r>
      <w:r w:rsidR="00C026A6" w:rsidRPr="00EA59C0">
        <w:t xml:space="preserve"> </w:t>
      </w:r>
      <w:r w:rsidRPr="00EA59C0">
        <w:t>will</w:t>
      </w:r>
      <w:r w:rsidR="00C026A6" w:rsidRPr="00EA59C0">
        <w:t xml:space="preserve"> </w:t>
      </w:r>
      <w:r w:rsidRPr="00EA59C0">
        <w:t>support</w:t>
      </w:r>
      <w:r w:rsidR="00C026A6" w:rsidRPr="00EA59C0">
        <w:t xml:space="preserve"> </w:t>
      </w:r>
      <w:r w:rsidRPr="00EA59C0">
        <w:t>the</w:t>
      </w:r>
      <w:r w:rsidR="00C026A6" w:rsidRPr="00EA59C0">
        <w:t xml:space="preserve"> </w:t>
      </w:r>
      <w:r w:rsidRPr="00EA59C0">
        <w:t>expansion</w:t>
      </w:r>
      <w:r w:rsidR="00C026A6" w:rsidRPr="00EA59C0">
        <w:t xml:space="preserve"> </w:t>
      </w:r>
      <w:r w:rsidRPr="00EA59C0">
        <w:t>and</w:t>
      </w:r>
      <w:r w:rsidR="00C026A6" w:rsidRPr="00EA59C0">
        <w:t xml:space="preserve"> </w:t>
      </w:r>
      <w:r w:rsidRPr="00EA59C0">
        <w:t>improvement</w:t>
      </w:r>
      <w:r w:rsidR="00C026A6" w:rsidRPr="00EA59C0">
        <w:t xml:space="preserve"> </w:t>
      </w:r>
      <w:r w:rsidRPr="00EA59C0">
        <w:t>of</w:t>
      </w:r>
      <w:r w:rsidR="00C026A6" w:rsidRPr="00EA59C0">
        <w:t xml:space="preserve"> </w:t>
      </w:r>
      <w:r w:rsidRPr="00EA59C0">
        <w:t>the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that</w:t>
      </w:r>
      <w:r w:rsidR="00C026A6" w:rsidRPr="00EA59C0">
        <w:t xml:space="preserve"> </w:t>
      </w:r>
      <w:r w:rsidRPr="00EA59C0">
        <w:t>are</w:t>
      </w:r>
      <w:r w:rsidR="00C026A6" w:rsidRPr="00EA59C0">
        <w:t xml:space="preserve"> </w:t>
      </w:r>
      <w:r w:rsidRPr="00EA59C0">
        <w:t>the</w:t>
      </w:r>
      <w:r w:rsidR="00C026A6" w:rsidRPr="00EA59C0">
        <w:t xml:space="preserve"> </w:t>
      </w:r>
      <w:r w:rsidRPr="00EA59C0">
        <w:t>focus</w:t>
      </w:r>
      <w:r w:rsidR="00C026A6" w:rsidRPr="00EA59C0">
        <w:t xml:space="preserve"> </w:t>
      </w:r>
      <w:r w:rsidRPr="00EA59C0">
        <w:t>of</w:t>
      </w:r>
      <w:r w:rsidR="00C026A6" w:rsidRPr="00EA59C0">
        <w:t xml:space="preserve"> </w:t>
      </w:r>
      <w:r w:rsidRPr="00EA59C0">
        <w:t>their</w:t>
      </w:r>
      <w:r w:rsidR="00C026A6" w:rsidRPr="00EA59C0">
        <w:t xml:space="preserve"> </w:t>
      </w:r>
      <w:r w:rsidRPr="00EA59C0">
        <w:t>proposed</w:t>
      </w:r>
      <w:r w:rsidR="00C026A6" w:rsidRPr="00EA59C0">
        <w:t xml:space="preserve"> </w:t>
      </w:r>
      <w:r w:rsidRPr="00EA59C0">
        <w:t>project.</w:t>
      </w:r>
      <w:r w:rsidR="00C026A6" w:rsidRPr="00EA59C0">
        <w:t xml:space="preserve">  </w:t>
      </w:r>
      <w:r w:rsidRPr="00EA59C0">
        <w:t>Total</w:t>
      </w:r>
      <w:r w:rsidR="00C026A6" w:rsidRPr="00EA59C0">
        <w:t xml:space="preserve"> </w:t>
      </w:r>
      <w:r w:rsidRPr="00EA59C0">
        <w:t>combined</w:t>
      </w:r>
      <w:r w:rsidR="00C026A6" w:rsidRPr="00EA59C0">
        <w:t xml:space="preserve"> </w:t>
      </w:r>
      <w:r w:rsidRPr="00EA59C0">
        <w:t>costs</w:t>
      </w:r>
      <w:r w:rsidR="00C026A6" w:rsidRPr="00EA59C0">
        <w:t xml:space="preserve"> </w:t>
      </w:r>
      <w:r w:rsidRPr="00EA59C0">
        <w:t>of</w:t>
      </w:r>
      <w:r w:rsidR="00C026A6" w:rsidRPr="00EA59C0">
        <w:t xml:space="preserve"> </w:t>
      </w:r>
      <w:r w:rsidRPr="00EA59C0">
        <w:t>all</w:t>
      </w:r>
      <w:r w:rsidR="00C026A6" w:rsidRPr="00EA59C0">
        <w:t xml:space="preserve"> </w:t>
      </w:r>
      <w:r w:rsidRPr="00EA59C0">
        <w:t>capital</w:t>
      </w:r>
      <w:r w:rsidR="00C026A6" w:rsidRPr="00EA59C0">
        <w:t xml:space="preserve"> </w:t>
      </w:r>
      <w:r w:rsidRPr="00EA59C0">
        <w:t>improvements</w:t>
      </w:r>
      <w:r w:rsidR="00C026A6" w:rsidRPr="00EA59C0">
        <w:t xml:space="preserve"> </w:t>
      </w:r>
      <w:r w:rsidRPr="00EA59C0">
        <w:t>and</w:t>
      </w:r>
      <w:r w:rsidR="00C026A6" w:rsidRPr="00EA59C0">
        <w:t xml:space="preserve"> </w:t>
      </w:r>
      <w:r w:rsidRPr="00EA59C0">
        <w:t>other</w:t>
      </w:r>
      <w:r w:rsidR="00C026A6" w:rsidRPr="00EA59C0">
        <w:t xml:space="preserve"> </w:t>
      </w:r>
      <w:r w:rsidRPr="00EA59C0">
        <w:t>alterations</w:t>
      </w:r>
      <w:r w:rsidR="00C026A6" w:rsidRPr="00EA59C0">
        <w:t xml:space="preserve"> </w:t>
      </w:r>
      <w:r w:rsidRPr="00EA59C0">
        <w:t>and</w:t>
      </w:r>
      <w:r w:rsidR="00C026A6" w:rsidRPr="00EA59C0">
        <w:t xml:space="preserve"> </w:t>
      </w:r>
      <w:r w:rsidRPr="00EA59C0">
        <w:t>renovations</w:t>
      </w:r>
      <w:r w:rsidR="00C026A6" w:rsidRPr="00EA59C0">
        <w:t xml:space="preserve"> </w:t>
      </w:r>
      <w:r w:rsidRPr="00EA59C0">
        <w:t>cannot</w:t>
      </w:r>
      <w:r w:rsidR="00C026A6" w:rsidRPr="00EA59C0">
        <w:t xml:space="preserve"> </w:t>
      </w:r>
      <w:r w:rsidRPr="00EA59C0">
        <w:t>exceed</w:t>
      </w:r>
      <w:r w:rsidR="00C026A6" w:rsidRPr="00EA59C0">
        <w:t xml:space="preserve"> </w:t>
      </w:r>
      <w:r w:rsidRPr="00EA59C0">
        <w:t>15</w:t>
      </w:r>
      <w:r w:rsidR="00C026A6" w:rsidRPr="00EA59C0">
        <w:t xml:space="preserve"> </w:t>
      </w:r>
      <w:r w:rsidR="001C3364" w:rsidRPr="00EA59C0">
        <w:t>percent</w:t>
      </w:r>
      <w:r w:rsidR="00C026A6" w:rsidRPr="00EA59C0">
        <w:t xml:space="preserve"> </w:t>
      </w:r>
      <w:r w:rsidRPr="00EA59C0">
        <w:t>of</w:t>
      </w:r>
      <w:r w:rsidR="00C026A6" w:rsidRPr="00EA59C0">
        <w:t xml:space="preserve"> </w:t>
      </w:r>
      <w:r w:rsidRPr="00EA59C0">
        <w:t>the</w:t>
      </w:r>
      <w:r w:rsidR="00C026A6" w:rsidRPr="00EA59C0">
        <w:t xml:space="preserve"> </w:t>
      </w:r>
      <w:r w:rsidRPr="00EA59C0">
        <w:t>total</w:t>
      </w:r>
      <w:r w:rsidR="00C026A6" w:rsidRPr="00EA59C0">
        <w:t xml:space="preserve"> </w:t>
      </w:r>
      <w:r w:rsidRPr="00EA59C0">
        <w:t>grant</w:t>
      </w:r>
      <w:r w:rsidR="00C026A6" w:rsidRPr="00EA59C0">
        <w:t xml:space="preserve"> </w:t>
      </w:r>
      <w:r w:rsidRPr="00EA59C0">
        <w:t>award.</w:t>
      </w:r>
      <w:r w:rsidR="00C026A6" w:rsidRPr="00EA59C0">
        <w:t xml:space="preserve">  </w:t>
      </w:r>
      <w:r w:rsidR="006B1229" w:rsidRPr="00EA59C0">
        <w:t>For</w:t>
      </w:r>
      <w:r w:rsidR="00C026A6" w:rsidRPr="00EA59C0">
        <w:t xml:space="preserve"> </w:t>
      </w:r>
      <w:r w:rsidR="006B1229" w:rsidRPr="00EA59C0">
        <w:t>consortium</w:t>
      </w:r>
      <w:r w:rsidR="00C026A6" w:rsidRPr="00EA59C0">
        <w:t xml:space="preserve"> </w:t>
      </w:r>
      <w:r w:rsidR="006B1229" w:rsidRPr="00EA59C0">
        <w:t>applicants,</w:t>
      </w:r>
      <w:r w:rsidR="00C026A6" w:rsidRPr="00EA59C0">
        <w:t xml:space="preserve"> </w:t>
      </w:r>
      <w:r w:rsidR="006B1229" w:rsidRPr="00EA59C0">
        <w:t>the</w:t>
      </w:r>
      <w:r w:rsidR="00C026A6" w:rsidRPr="00EA59C0">
        <w:t xml:space="preserve"> </w:t>
      </w:r>
      <w:r w:rsidR="006B1229" w:rsidRPr="00EA59C0">
        <w:t>total</w:t>
      </w:r>
      <w:r w:rsidR="00C026A6" w:rsidRPr="00EA59C0">
        <w:t xml:space="preserve"> </w:t>
      </w:r>
      <w:r w:rsidR="006B1229" w:rsidRPr="00EA59C0">
        <w:t>cost</w:t>
      </w:r>
      <w:r w:rsidR="00C026A6" w:rsidRPr="00EA59C0">
        <w:t xml:space="preserve"> </w:t>
      </w:r>
      <w:r w:rsidR="006B1229" w:rsidRPr="00EA59C0">
        <w:t>for</w:t>
      </w:r>
      <w:r w:rsidR="00C026A6" w:rsidRPr="00EA59C0">
        <w:t xml:space="preserve"> </w:t>
      </w:r>
      <w:r w:rsidR="006B1229" w:rsidRPr="00EA59C0">
        <w:t>all</w:t>
      </w:r>
      <w:r w:rsidR="00C026A6" w:rsidRPr="00EA59C0">
        <w:t xml:space="preserve"> </w:t>
      </w:r>
      <w:r w:rsidR="006B1229" w:rsidRPr="00EA59C0">
        <w:t>capital</w:t>
      </w:r>
      <w:r w:rsidR="00C026A6" w:rsidRPr="00EA59C0">
        <w:t xml:space="preserve"> </w:t>
      </w:r>
      <w:r w:rsidR="006B1229" w:rsidRPr="00EA59C0">
        <w:t>improvements</w:t>
      </w:r>
      <w:r w:rsidR="00C026A6" w:rsidRPr="00EA59C0">
        <w:t xml:space="preserve"> </w:t>
      </w:r>
      <w:r w:rsidR="006B1229" w:rsidRPr="00EA59C0">
        <w:t>and</w:t>
      </w:r>
      <w:r w:rsidR="00C026A6" w:rsidRPr="00EA59C0">
        <w:t xml:space="preserve"> </w:t>
      </w:r>
      <w:r w:rsidR="006B1229" w:rsidRPr="00EA59C0">
        <w:t>other</w:t>
      </w:r>
      <w:r w:rsidR="00C026A6" w:rsidRPr="00EA59C0">
        <w:t xml:space="preserve"> </w:t>
      </w:r>
      <w:r w:rsidR="006B1229" w:rsidRPr="00EA59C0">
        <w:t>alterations</w:t>
      </w:r>
      <w:r w:rsidR="00C026A6" w:rsidRPr="00EA59C0">
        <w:t xml:space="preserve"> </w:t>
      </w:r>
      <w:r w:rsidR="006B1229" w:rsidRPr="00EA59C0">
        <w:t>and</w:t>
      </w:r>
      <w:r w:rsidR="00C026A6" w:rsidRPr="00EA59C0">
        <w:t xml:space="preserve"> </w:t>
      </w:r>
      <w:r w:rsidR="006B1229" w:rsidRPr="00EA59C0">
        <w:t>renovations</w:t>
      </w:r>
      <w:r w:rsidR="00C026A6" w:rsidRPr="00EA59C0">
        <w:t xml:space="preserve"> </w:t>
      </w:r>
      <w:r w:rsidR="00B45606" w:rsidRPr="00EA59C0">
        <w:t>by</w:t>
      </w:r>
      <w:r w:rsidR="00C026A6" w:rsidRPr="00EA59C0">
        <w:t xml:space="preserve"> </w:t>
      </w:r>
      <w:r w:rsidR="00B45606" w:rsidRPr="00EA59C0">
        <w:t>all</w:t>
      </w:r>
      <w:r w:rsidR="00C026A6" w:rsidRPr="00EA59C0">
        <w:t xml:space="preserve"> </w:t>
      </w:r>
      <w:r w:rsidR="00B45606" w:rsidRPr="00EA59C0">
        <w:t>consortium</w:t>
      </w:r>
      <w:r w:rsidR="00C026A6" w:rsidRPr="00EA59C0">
        <w:t xml:space="preserve"> </w:t>
      </w:r>
      <w:r w:rsidR="00B45606" w:rsidRPr="00EA59C0">
        <w:t>members</w:t>
      </w:r>
      <w:r w:rsidR="00C026A6" w:rsidRPr="00EA59C0">
        <w:t xml:space="preserve"> </w:t>
      </w:r>
      <w:r w:rsidR="00B45606" w:rsidRPr="00EA59C0">
        <w:t>combined</w:t>
      </w:r>
      <w:r w:rsidR="00C026A6" w:rsidRPr="00EA59C0">
        <w:t xml:space="preserve"> </w:t>
      </w:r>
      <w:r w:rsidR="006B1229" w:rsidRPr="00EA59C0">
        <w:t>cannot</w:t>
      </w:r>
      <w:r w:rsidR="00C026A6" w:rsidRPr="00EA59C0">
        <w:t xml:space="preserve"> </w:t>
      </w:r>
      <w:r w:rsidR="006B1229" w:rsidRPr="00EA59C0">
        <w:t>exceed</w:t>
      </w:r>
      <w:r w:rsidR="00C026A6" w:rsidRPr="00EA59C0">
        <w:t xml:space="preserve"> </w:t>
      </w:r>
      <w:r w:rsidR="006B1229" w:rsidRPr="00EA59C0">
        <w:t>15</w:t>
      </w:r>
      <w:r w:rsidR="00C026A6" w:rsidRPr="00EA59C0">
        <w:t xml:space="preserve"> </w:t>
      </w:r>
      <w:r w:rsidR="001C3364" w:rsidRPr="00EA59C0">
        <w:t>percent</w:t>
      </w:r>
      <w:r w:rsidR="00C026A6" w:rsidRPr="00EA59C0">
        <w:t xml:space="preserve"> </w:t>
      </w:r>
      <w:r w:rsidR="006B1229" w:rsidRPr="00EA59C0">
        <w:t>of</w:t>
      </w:r>
      <w:r w:rsidR="00C026A6" w:rsidRPr="00EA59C0">
        <w:t xml:space="preserve"> </w:t>
      </w:r>
      <w:r w:rsidR="006B1229" w:rsidRPr="00EA59C0">
        <w:t>the</w:t>
      </w:r>
      <w:r w:rsidR="00C026A6" w:rsidRPr="00EA59C0">
        <w:t xml:space="preserve"> </w:t>
      </w:r>
      <w:r w:rsidR="006B1229" w:rsidRPr="00EA59C0">
        <w:t>total</w:t>
      </w:r>
      <w:r w:rsidR="00C026A6" w:rsidRPr="00EA59C0">
        <w:t xml:space="preserve"> </w:t>
      </w:r>
      <w:r w:rsidR="006B1229" w:rsidRPr="00EA59C0">
        <w:t>grant</w:t>
      </w:r>
      <w:r w:rsidR="00C026A6" w:rsidRPr="00EA59C0">
        <w:t xml:space="preserve"> </w:t>
      </w:r>
      <w:r w:rsidR="006B1229" w:rsidRPr="00EA59C0">
        <w:t>award.</w:t>
      </w:r>
      <w:r w:rsidR="00C026A6" w:rsidRPr="00EA59C0">
        <w:t xml:space="preserve">  </w:t>
      </w:r>
      <w:r w:rsidRPr="00EA59C0">
        <w:t>All</w:t>
      </w:r>
      <w:r w:rsidR="00C026A6" w:rsidRPr="00EA59C0">
        <w:t xml:space="preserve"> </w:t>
      </w:r>
      <w:r w:rsidRPr="00EA59C0">
        <w:t>activities</w:t>
      </w:r>
      <w:r w:rsidR="00C026A6" w:rsidRPr="00EA59C0">
        <w:t xml:space="preserve"> </w:t>
      </w:r>
      <w:r w:rsidRPr="00EA59C0">
        <w:t>related</w:t>
      </w:r>
      <w:r w:rsidR="00C026A6" w:rsidRPr="00EA59C0">
        <w:t xml:space="preserve"> </w:t>
      </w:r>
      <w:r w:rsidRPr="00EA59C0">
        <w:t>to</w:t>
      </w:r>
      <w:r w:rsidR="00C026A6" w:rsidRPr="00EA59C0">
        <w:t xml:space="preserve"> </w:t>
      </w:r>
      <w:r w:rsidRPr="00EA59C0">
        <w:t>capital</w:t>
      </w:r>
      <w:r w:rsidR="00C026A6" w:rsidRPr="00EA59C0">
        <w:t xml:space="preserve"> </w:t>
      </w:r>
      <w:r w:rsidRPr="00EA59C0">
        <w:t>expenditures</w:t>
      </w:r>
      <w:r w:rsidR="00C026A6" w:rsidRPr="00EA59C0">
        <w:t xml:space="preserve"> </w:t>
      </w:r>
      <w:r w:rsidRPr="00EA59C0">
        <w:t>and</w:t>
      </w:r>
      <w:r w:rsidR="00C026A6" w:rsidRPr="00EA59C0">
        <w:t xml:space="preserve"> </w:t>
      </w:r>
      <w:r w:rsidRPr="00EA59C0">
        <w:t>other</w:t>
      </w:r>
      <w:r w:rsidR="00C026A6" w:rsidRPr="00EA59C0">
        <w:t xml:space="preserve"> </w:t>
      </w:r>
      <w:r w:rsidRPr="00EA59C0">
        <w:t>alterations</w:t>
      </w:r>
      <w:r w:rsidR="00C026A6" w:rsidRPr="00EA59C0">
        <w:t xml:space="preserve"> </w:t>
      </w:r>
      <w:r w:rsidRPr="00EA59C0">
        <w:t>must</w:t>
      </w:r>
      <w:r w:rsidR="00C026A6" w:rsidRPr="00EA59C0">
        <w:t xml:space="preserve"> </w:t>
      </w:r>
      <w:r w:rsidRPr="00EA59C0">
        <w:t>be</w:t>
      </w:r>
      <w:r w:rsidR="00C026A6" w:rsidRPr="00EA59C0">
        <w:t xml:space="preserve"> </w:t>
      </w:r>
      <w:r w:rsidRPr="00EA59C0">
        <w:t>completed</w:t>
      </w:r>
      <w:r w:rsidR="00C026A6" w:rsidRPr="00EA59C0">
        <w:t xml:space="preserve"> </w:t>
      </w:r>
      <w:r w:rsidRPr="00EA59C0">
        <w:t>no</w:t>
      </w:r>
      <w:r w:rsidR="00C026A6" w:rsidRPr="00EA59C0">
        <w:t xml:space="preserve"> </w:t>
      </w:r>
      <w:r w:rsidRPr="00EA59C0">
        <w:t>later</w:t>
      </w:r>
      <w:r w:rsidR="00C026A6" w:rsidRPr="00EA59C0">
        <w:t xml:space="preserve"> </w:t>
      </w:r>
      <w:r w:rsidRPr="00EA59C0">
        <w:t>than</w:t>
      </w:r>
      <w:r w:rsidR="00C026A6" w:rsidRPr="00EA59C0">
        <w:t xml:space="preserve"> </w:t>
      </w:r>
      <w:r w:rsidRPr="00EA59C0">
        <w:t>18</w:t>
      </w:r>
      <w:r w:rsidR="00C026A6" w:rsidRPr="00EA59C0">
        <w:t xml:space="preserve"> </w:t>
      </w:r>
      <w:r w:rsidRPr="00EA59C0">
        <w:t>months</w:t>
      </w:r>
      <w:r w:rsidR="00C026A6" w:rsidRPr="00EA59C0">
        <w:t xml:space="preserve"> </w:t>
      </w:r>
      <w:r w:rsidRPr="00EA59C0">
        <w:t>from</w:t>
      </w:r>
      <w:r w:rsidR="00C026A6" w:rsidRPr="00EA59C0">
        <w:t xml:space="preserve"> </w:t>
      </w:r>
      <w:r w:rsidRPr="00EA59C0">
        <w:t>the</w:t>
      </w:r>
      <w:r w:rsidR="00C026A6" w:rsidRPr="00EA59C0">
        <w:t xml:space="preserve"> </w:t>
      </w:r>
      <w:r w:rsidRPr="00EA59C0">
        <w:t>start</w:t>
      </w:r>
      <w:r w:rsidR="00C026A6" w:rsidRPr="00EA59C0">
        <w:t xml:space="preserve"> </w:t>
      </w:r>
      <w:r w:rsidRPr="00EA59C0">
        <w:t>of</w:t>
      </w:r>
      <w:r w:rsidR="00C026A6" w:rsidRPr="00EA59C0">
        <w:t xml:space="preserve"> </w:t>
      </w:r>
      <w:r w:rsidRPr="00EA59C0">
        <w:t>the</w:t>
      </w:r>
      <w:r w:rsidR="00C026A6" w:rsidRPr="00EA59C0">
        <w:t xml:space="preserve"> </w:t>
      </w:r>
      <w:r w:rsidRPr="00EA59C0">
        <w:t>period</w:t>
      </w:r>
      <w:r w:rsidR="00C026A6" w:rsidRPr="00EA59C0">
        <w:t xml:space="preserve"> </w:t>
      </w:r>
      <w:r w:rsidRPr="00EA59C0">
        <w:t>of</w:t>
      </w:r>
      <w:r w:rsidR="00C026A6" w:rsidRPr="00EA59C0">
        <w:t xml:space="preserve"> </w:t>
      </w:r>
      <w:r w:rsidRPr="00EA59C0">
        <w:t>performance.</w:t>
      </w:r>
    </w:p>
    <w:p w:rsidR="006B1229" w:rsidRPr="00EA59C0" w:rsidRDefault="006B1229" w:rsidP="00A72633">
      <w:pPr>
        <w:ind w:left="720"/>
      </w:pPr>
    </w:p>
    <w:p w:rsidR="00E72BC3" w:rsidRPr="00EA59C0" w:rsidRDefault="00033F22" w:rsidP="00A72633">
      <w:pPr>
        <w:ind w:left="720"/>
      </w:pPr>
      <w:r w:rsidRPr="00EA59C0">
        <w:t>Allowable</w:t>
      </w:r>
      <w:r w:rsidR="00C026A6" w:rsidRPr="00EA59C0">
        <w:t xml:space="preserve"> </w:t>
      </w:r>
      <w:r w:rsidRPr="00EA59C0">
        <w:t>costs</w:t>
      </w:r>
      <w:r w:rsidR="00C026A6" w:rsidRPr="00EA59C0">
        <w:t xml:space="preserve"> </w:t>
      </w:r>
      <w:r w:rsidRPr="00EA59C0">
        <w:t>also</w:t>
      </w:r>
      <w:r w:rsidR="00C026A6" w:rsidRPr="00EA59C0">
        <w:t xml:space="preserve"> </w:t>
      </w:r>
      <w:r w:rsidRPr="00EA59C0">
        <w:t>include</w:t>
      </w:r>
      <w:r w:rsidR="00C026A6" w:rsidRPr="00EA59C0">
        <w:t xml:space="preserve"> </w:t>
      </w:r>
      <w:r w:rsidRPr="00EA59C0">
        <w:t>the</w:t>
      </w:r>
      <w:r w:rsidR="00C026A6" w:rsidRPr="00EA59C0">
        <w:t xml:space="preserve"> </w:t>
      </w:r>
      <w:r w:rsidRPr="00EA59C0">
        <w:t>costs</w:t>
      </w:r>
      <w:r w:rsidR="00C026A6" w:rsidRPr="00EA59C0">
        <w:t xml:space="preserve"> </w:t>
      </w:r>
      <w:r w:rsidRPr="00EA59C0">
        <w:t>of</w:t>
      </w:r>
      <w:r w:rsidR="00C026A6" w:rsidRPr="00EA59C0">
        <w:t xml:space="preserve"> </w:t>
      </w:r>
      <w:r w:rsidRPr="00EA59C0">
        <w:t>program</w:t>
      </w:r>
      <w:r w:rsidR="00C026A6" w:rsidRPr="00EA59C0">
        <w:t xml:space="preserve"> </w:t>
      </w:r>
      <w:r w:rsidRPr="00EA59C0">
        <w:t>development</w:t>
      </w:r>
      <w:r w:rsidR="00C026A6" w:rsidRPr="00EA59C0">
        <w:t xml:space="preserve"> </w:t>
      </w:r>
      <w:r w:rsidRPr="00EA59C0">
        <w:t>such</w:t>
      </w:r>
      <w:r w:rsidR="00C026A6" w:rsidRPr="00EA59C0">
        <w:t xml:space="preserve"> </w:t>
      </w:r>
      <w:r w:rsidRPr="00EA59C0">
        <w:t>as</w:t>
      </w:r>
      <w:r w:rsidR="00C026A6" w:rsidRPr="00EA59C0">
        <w:t xml:space="preserve"> </w:t>
      </w:r>
      <w:r w:rsidRPr="00EA59C0">
        <w:t>using</w:t>
      </w:r>
      <w:r w:rsidR="00C026A6" w:rsidRPr="00EA59C0">
        <w:t xml:space="preserve"> </w:t>
      </w:r>
      <w:r w:rsidRPr="00EA59C0">
        <w:t>subject</w:t>
      </w:r>
      <w:r w:rsidR="00C026A6" w:rsidRPr="00EA59C0">
        <w:t xml:space="preserve"> </w:t>
      </w:r>
      <w:r w:rsidRPr="00EA59C0">
        <w:t>matter</w:t>
      </w:r>
      <w:r w:rsidR="00C026A6" w:rsidRPr="00EA59C0">
        <w:t xml:space="preserve"> </w:t>
      </w:r>
      <w:r w:rsidRPr="00EA59C0">
        <w:t>experts</w:t>
      </w:r>
      <w:r w:rsidR="00C026A6" w:rsidRPr="00EA59C0">
        <w:t xml:space="preserve"> </w:t>
      </w:r>
      <w:r w:rsidRPr="00EA59C0">
        <w:t>from</w:t>
      </w:r>
      <w:r w:rsidR="00C026A6" w:rsidRPr="00EA59C0">
        <w:t xml:space="preserve"> </w:t>
      </w:r>
      <w:r w:rsidRPr="00EA59C0">
        <w:t>industry,</w:t>
      </w:r>
      <w:r w:rsidR="00C026A6" w:rsidRPr="00EA59C0">
        <w:t xml:space="preserve"> </w:t>
      </w:r>
      <w:r w:rsidRPr="00EA59C0">
        <w:t>education,</w:t>
      </w:r>
      <w:r w:rsidR="00C026A6" w:rsidRPr="00EA59C0">
        <w:t xml:space="preserve"> </w:t>
      </w:r>
      <w:r w:rsidRPr="00EA59C0">
        <w:t>state</w:t>
      </w:r>
      <w:r w:rsidR="00C026A6" w:rsidRPr="00EA59C0">
        <w:t xml:space="preserve"> </w:t>
      </w:r>
      <w:r w:rsidRPr="00EA59C0">
        <w:t>workforce</w:t>
      </w:r>
      <w:r w:rsidR="00C026A6" w:rsidRPr="00EA59C0">
        <w:t xml:space="preserve"> </w:t>
      </w:r>
      <w:r w:rsidRPr="00EA59C0">
        <w:t>agency,</w:t>
      </w:r>
      <w:r w:rsidR="00C026A6" w:rsidRPr="00EA59C0">
        <w:t xml:space="preserve"> </w:t>
      </w:r>
      <w:r w:rsidRPr="00EA59C0">
        <w:t>labor</w:t>
      </w:r>
      <w:r w:rsidR="00C026A6" w:rsidRPr="00EA59C0">
        <w:t xml:space="preserve"> </w:t>
      </w:r>
      <w:r w:rsidRPr="00EA59C0">
        <w:t>market</w:t>
      </w:r>
      <w:r w:rsidR="00C026A6" w:rsidRPr="00EA59C0">
        <w:t xml:space="preserve"> </w:t>
      </w:r>
      <w:r w:rsidRPr="00EA59C0">
        <w:t>and</w:t>
      </w:r>
      <w:r w:rsidR="00C026A6" w:rsidRPr="00EA59C0">
        <w:t xml:space="preserve"> </w:t>
      </w:r>
      <w:r w:rsidRPr="00EA59C0">
        <w:t>economic</w:t>
      </w:r>
      <w:r w:rsidR="00C026A6" w:rsidRPr="00EA59C0">
        <w:t xml:space="preserve"> </w:t>
      </w:r>
      <w:r w:rsidRPr="00EA59C0">
        <w:t>research</w:t>
      </w:r>
      <w:r w:rsidR="00C026A6" w:rsidRPr="00EA59C0">
        <w:t xml:space="preserve"> </w:t>
      </w:r>
      <w:r w:rsidRPr="00EA59C0">
        <w:t>entities,</w:t>
      </w:r>
      <w:r w:rsidR="00C026A6" w:rsidRPr="00EA59C0">
        <w:t xml:space="preserve"> </w:t>
      </w:r>
      <w:r w:rsidRPr="00EA59C0">
        <w:t>and</w:t>
      </w:r>
      <w:r w:rsidR="00C026A6" w:rsidRPr="00EA59C0">
        <w:t xml:space="preserve"> </w:t>
      </w:r>
      <w:r w:rsidRPr="00EA59C0">
        <w:t>other</w:t>
      </w:r>
      <w:r w:rsidR="00C026A6" w:rsidRPr="00EA59C0">
        <w:t xml:space="preserve"> </w:t>
      </w:r>
      <w:r w:rsidRPr="00EA59C0">
        <w:t>areas</w:t>
      </w:r>
      <w:r w:rsidR="00C026A6" w:rsidRPr="00EA59C0">
        <w:t xml:space="preserve"> </w:t>
      </w:r>
      <w:r w:rsidRPr="00EA59C0">
        <w:t>to</w:t>
      </w:r>
      <w:r w:rsidR="00C026A6" w:rsidRPr="00EA59C0">
        <w:t xml:space="preserve"> </w:t>
      </w:r>
      <w:r w:rsidRPr="00EA59C0">
        <w:t>inform</w:t>
      </w:r>
      <w:r w:rsidR="00C026A6" w:rsidRPr="00EA59C0">
        <w:t xml:space="preserve"> </w:t>
      </w:r>
      <w:r w:rsidRPr="00EA59C0">
        <w:t>and</w:t>
      </w:r>
      <w:r w:rsidR="00C026A6" w:rsidRPr="00EA59C0">
        <w:t xml:space="preserve"> </w:t>
      </w:r>
      <w:r w:rsidRPr="00EA59C0">
        <w:t>assist</w:t>
      </w:r>
      <w:r w:rsidR="00C026A6" w:rsidRPr="00EA59C0">
        <w:t xml:space="preserve"> </w:t>
      </w:r>
      <w:r w:rsidRPr="00EA59C0">
        <w:t>in</w:t>
      </w:r>
      <w:r w:rsidR="00C026A6" w:rsidRPr="00EA59C0">
        <w:t xml:space="preserve"> </w:t>
      </w:r>
      <w:r w:rsidRPr="00EA59C0">
        <w:t>curriculum</w:t>
      </w:r>
      <w:r w:rsidR="00C026A6" w:rsidRPr="00EA59C0">
        <w:t xml:space="preserve"> </w:t>
      </w:r>
      <w:r w:rsidRPr="00EA59C0">
        <w:t>design.</w:t>
      </w:r>
      <w:r w:rsidR="00C026A6" w:rsidRPr="00EA59C0">
        <w:t xml:space="preserve">  </w:t>
      </w:r>
      <w:r w:rsidRPr="00EA59C0">
        <w:t>It</w:t>
      </w:r>
      <w:r w:rsidR="00C026A6" w:rsidRPr="00EA59C0">
        <w:t xml:space="preserve"> </w:t>
      </w:r>
      <w:r w:rsidRPr="00EA59C0">
        <w:t>is</w:t>
      </w:r>
      <w:r w:rsidR="00C026A6" w:rsidRPr="00EA59C0">
        <w:t xml:space="preserve"> </w:t>
      </w:r>
      <w:r w:rsidRPr="00EA59C0">
        <w:t>allowable</w:t>
      </w:r>
      <w:r w:rsidR="00C026A6" w:rsidRPr="00EA59C0">
        <w:t xml:space="preserve"> </w:t>
      </w:r>
      <w:r w:rsidRPr="00EA59C0">
        <w:t>to</w:t>
      </w:r>
      <w:r w:rsidR="00C026A6" w:rsidRPr="00EA59C0">
        <w:t xml:space="preserve"> </w:t>
      </w:r>
      <w:r w:rsidRPr="00EA59C0">
        <w:t>contract</w:t>
      </w:r>
      <w:r w:rsidR="00C026A6" w:rsidRPr="00EA59C0">
        <w:t xml:space="preserve"> </w:t>
      </w:r>
      <w:r w:rsidRPr="00EA59C0">
        <w:t>with</w:t>
      </w:r>
      <w:r w:rsidR="00C026A6" w:rsidRPr="00EA59C0">
        <w:t xml:space="preserve"> </w:t>
      </w:r>
      <w:r w:rsidR="00B91632" w:rsidRPr="00EA59C0">
        <w:t>WIBs</w:t>
      </w:r>
      <w:r w:rsidRPr="00EA59C0">
        <w:t>,</w:t>
      </w:r>
      <w:r w:rsidR="00C026A6" w:rsidRPr="00EA59C0">
        <w:t xml:space="preserve"> </w:t>
      </w:r>
      <w:r w:rsidRPr="00EA59C0">
        <w:t>and</w:t>
      </w:r>
      <w:r w:rsidR="00C026A6" w:rsidRPr="00EA59C0">
        <w:t xml:space="preserve"> </w:t>
      </w:r>
      <w:r w:rsidR="00F52911" w:rsidRPr="00EA59C0">
        <w:t>their</w:t>
      </w:r>
      <w:r w:rsidR="00C026A6" w:rsidRPr="00EA59C0">
        <w:t xml:space="preserve"> </w:t>
      </w:r>
      <w:r w:rsidR="00B91632" w:rsidRPr="00EA59C0">
        <w:t>AJC</w:t>
      </w:r>
      <w:r w:rsidR="00C026A6" w:rsidRPr="00EA59C0">
        <w:t xml:space="preserve"> </w:t>
      </w:r>
      <w:r w:rsidR="008D1A70" w:rsidRPr="00EA59C0">
        <w:t>for</w:t>
      </w:r>
      <w:r w:rsidR="00C026A6" w:rsidRPr="00EA59C0">
        <w:t xml:space="preserve"> </w:t>
      </w:r>
      <w:r w:rsidR="008D1A70" w:rsidRPr="00EA59C0">
        <w:t>the</w:t>
      </w:r>
      <w:r w:rsidR="00C026A6" w:rsidRPr="00EA59C0">
        <w:t xml:space="preserve"> </w:t>
      </w:r>
      <w:r w:rsidR="008D1A70" w:rsidRPr="00EA59C0">
        <w:t>provision</w:t>
      </w:r>
      <w:r w:rsidR="00C026A6" w:rsidRPr="00EA59C0">
        <w:t xml:space="preserve"> </w:t>
      </w:r>
      <w:r w:rsidR="008D1A70" w:rsidRPr="00EA59C0">
        <w:t>of</w:t>
      </w:r>
      <w:r w:rsidR="00C026A6" w:rsidRPr="00EA59C0">
        <w:t xml:space="preserve"> </w:t>
      </w:r>
      <w:r w:rsidR="008D1A70" w:rsidRPr="00EA59C0">
        <w:t>dedicated</w:t>
      </w:r>
      <w:r w:rsidR="00C026A6" w:rsidRPr="00EA59C0">
        <w:t xml:space="preserve"> </w:t>
      </w:r>
      <w:r w:rsidR="008D1A70" w:rsidRPr="00EA59C0">
        <w:t>services</w:t>
      </w:r>
      <w:r w:rsidR="00C026A6" w:rsidRPr="00EA59C0">
        <w:t xml:space="preserve"> </w:t>
      </w:r>
      <w:r w:rsidR="008D1A70" w:rsidRPr="00EA59C0">
        <w:t>directly</w:t>
      </w:r>
      <w:r w:rsidR="00C026A6" w:rsidRPr="00EA59C0">
        <w:t xml:space="preserve"> </w:t>
      </w:r>
      <w:r w:rsidR="008D1A70" w:rsidRPr="00EA59C0">
        <w:t>related</w:t>
      </w:r>
      <w:r w:rsidR="00C026A6" w:rsidRPr="00EA59C0">
        <w:t xml:space="preserve"> </w:t>
      </w:r>
      <w:r w:rsidR="008D1A70" w:rsidRPr="00EA59C0">
        <w:t>to</w:t>
      </w:r>
      <w:r w:rsidR="00C026A6" w:rsidRPr="00EA59C0">
        <w:t xml:space="preserve"> </w:t>
      </w:r>
      <w:r w:rsidR="008D1A70" w:rsidRPr="00EA59C0">
        <w:t>the</w:t>
      </w:r>
      <w:r w:rsidR="00C026A6" w:rsidRPr="00EA59C0">
        <w:t xml:space="preserve"> </w:t>
      </w:r>
      <w:r w:rsidR="008D1A70" w:rsidRPr="00EA59C0">
        <w:t>TAACCCT-funded</w:t>
      </w:r>
      <w:r w:rsidR="00C026A6" w:rsidRPr="00EA59C0">
        <w:t xml:space="preserve"> </w:t>
      </w:r>
      <w:r w:rsidR="008D1A70" w:rsidRPr="00EA59C0">
        <w:t>project,</w:t>
      </w:r>
      <w:r w:rsidR="00C026A6" w:rsidRPr="00EA59C0">
        <w:t xml:space="preserve"> </w:t>
      </w:r>
      <w:r w:rsidR="001A515D" w:rsidRPr="00EA59C0">
        <w:t>including</w:t>
      </w:r>
      <w:r w:rsidR="00C026A6" w:rsidRPr="00EA59C0">
        <w:t xml:space="preserve"> </w:t>
      </w:r>
      <w:r w:rsidRPr="00EA59C0">
        <w:t>costs</w:t>
      </w:r>
      <w:r w:rsidR="00C026A6" w:rsidRPr="00EA59C0">
        <w:t xml:space="preserve"> </w:t>
      </w:r>
      <w:r w:rsidRPr="00EA59C0">
        <w:t>related</w:t>
      </w:r>
      <w:r w:rsidR="00C026A6" w:rsidRPr="00EA59C0">
        <w:t xml:space="preserve"> </w:t>
      </w:r>
      <w:r w:rsidRPr="00EA59C0">
        <w:t>to</w:t>
      </w:r>
      <w:r w:rsidR="00C026A6" w:rsidRPr="00EA59C0">
        <w:t xml:space="preserve"> </w:t>
      </w:r>
      <w:r w:rsidRPr="00EA59C0">
        <w:t>implementing</w:t>
      </w:r>
      <w:r w:rsidR="00C026A6" w:rsidRPr="00EA59C0">
        <w:t xml:space="preserve"> </w:t>
      </w:r>
      <w:r w:rsidRPr="00EA59C0">
        <w:t>data</w:t>
      </w:r>
      <w:r w:rsidR="00C026A6" w:rsidRPr="00EA59C0">
        <w:t xml:space="preserve"> </w:t>
      </w:r>
      <w:r w:rsidRPr="00EA59C0">
        <w:t>sharing</w:t>
      </w:r>
      <w:r w:rsidR="00C026A6" w:rsidRPr="00EA59C0">
        <w:t xml:space="preserve"> </w:t>
      </w:r>
      <w:r w:rsidRPr="00EA59C0">
        <w:t>agreements.</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refer</w:t>
      </w:r>
      <w:r w:rsidR="00C026A6" w:rsidRPr="00EA59C0">
        <w:t xml:space="preserve"> </w:t>
      </w:r>
      <w:r w:rsidRPr="00EA59C0">
        <w:t>to</w:t>
      </w:r>
      <w:r w:rsidR="00C026A6" w:rsidRPr="00EA59C0">
        <w:t xml:space="preserve"> </w:t>
      </w:r>
      <w:r w:rsidRPr="00EA59C0">
        <w:t>Section</w:t>
      </w:r>
      <w:r w:rsidR="00C026A6" w:rsidRPr="00EA59C0">
        <w:t xml:space="preserve"> </w:t>
      </w:r>
      <w:r w:rsidRPr="00EA59C0">
        <w:t>VI</w:t>
      </w:r>
      <w:r w:rsidR="00C026A6" w:rsidRPr="00EA59C0">
        <w:t xml:space="preserve"> </w:t>
      </w:r>
      <w:r w:rsidRPr="00EA59C0">
        <w:t>of</w:t>
      </w:r>
      <w:r w:rsidR="00C026A6" w:rsidRPr="00EA59C0">
        <w:t xml:space="preserve"> </w:t>
      </w:r>
      <w:r w:rsidRPr="00EA59C0">
        <w:t>the</w:t>
      </w:r>
      <w:r w:rsidR="00C026A6" w:rsidRPr="00EA59C0">
        <w:t xml:space="preserve"> </w:t>
      </w:r>
      <w:r w:rsidRPr="00EA59C0">
        <w:t>SGA</w:t>
      </w:r>
      <w:r w:rsidR="00C026A6" w:rsidRPr="00EA59C0">
        <w:t xml:space="preserve"> </w:t>
      </w:r>
      <w:r w:rsidRPr="00EA59C0">
        <w:t>for</w:t>
      </w:r>
      <w:r w:rsidR="00C026A6" w:rsidRPr="00EA59C0">
        <w:t xml:space="preserve"> </w:t>
      </w:r>
      <w:r w:rsidRPr="00EA59C0">
        <w:t>a</w:t>
      </w:r>
      <w:r w:rsidR="00C026A6" w:rsidRPr="00EA59C0">
        <w:t xml:space="preserve"> </w:t>
      </w:r>
      <w:r w:rsidRPr="00EA59C0">
        <w:t>list</w:t>
      </w:r>
      <w:r w:rsidR="00C026A6" w:rsidRPr="00EA59C0">
        <w:t xml:space="preserve"> </w:t>
      </w:r>
      <w:r w:rsidRPr="00EA59C0">
        <w:t>of</w:t>
      </w:r>
      <w:r w:rsidR="00C026A6" w:rsidRPr="00EA59C0">
        <w:t xml:space="preserve"> </w:t>
      </w:r>
      <w:r w:rsidRPr="00EA59C0">
        <w:t>relevant</w:t>
      </w:r>
      <w:r w:rsidR="00C026A6" w:rsidRPr="00EA59C0">
        <w:t xml:space="preserve"> </w:t>
      </w:r>
      <w:r w:rsidRPr="00EA59C0">
        <w:t>Office</w:t>
      </w:r>
      <w:r w:rsidR="00C026A6" w:rsidRPr="00EA59C0">
        <w:t xml:space="preserve"> </w:t>
      </w:r>
      <w:r w:rsidRPr="00EA59C0">
        <w:t>of</w:t>
      </w:r>
      <w:r w:rsidR="00C026A6" w:rsidRPr="00EA59C0">
        <w:t xml:space="preserve"> </w:t>
      </w:r>
      <w:r w:rsidRPr="00EA59C0">
        <w:t>Management</w:t>
      </w:r>
      <w:r w:rsidR="00C026A6" w:rsidRPr="00EA59C0">
        <w:t xml:space="preserve"> </w:t>
      </w:r>
      <w:r w:rsidRPr="00EA59C0">
        <w:t>and</w:t>
      </w:r>
      <w:r w:rsidR="00C026A6" w:rsidRPr="00EA59C0">
        <w:t xml:space="preserve"> </w:t>
      </w:r>
      <w:r w:rsidRPr="00EA59C0">
        <w:t>Budget</w:t>
      </w:r>
      <w:r w:rsidR="00C026A6" w:rsidRPr="00EA59C0">
        <w:t xml:space="preserve"> </w:t>
      </w:r>
      <w:r w:rsidRPr="00EA59C0">
        <w:t>(OMB)</w:t>
      </w:r>
      <w:r w:rsidR="00C026A6" w:rsidRPr="00EA59C0">
        <w:t xml:space="preserve"> </w:t>
      </w:r>
      <w:r w:rsidRPr="00EA59C0">
        <w:t>Circulars</w:t>
      </w:r>
      <w:r w:rsidR="00C026A6" w:rsidRPr="00EA59C0">
        <w:t xml:space="preserve"> </w:t>
      </w:r>
      <w:r w:rsidRPr="00EA59C0">
        <w:t>related</w:t>
      </w:r>
      <w:r w:rsidR="00C026A6" w:rsidRPr="00EA59C0">
        <w:t xml:space="preserve"> </w:t>
      </w:r>
      <w:r w:rsidRPr="00EA59C0">
        <w:t>to</w:t>
      </w:r>
      <w:r w:rsidR="00C026A6" w:rsidRPr="00EA59C0">
        <w:t xml:space="preserve"> </w:t>
      </w:r>
      <w:r w:rsidRPr="00EA59C0">
        <w:t>cost</w:t>
      </w:r>
      <w:r w:rsidR="00C026A6" w:rsidRPr="00EA59C0">
        <w:t xml:space="preserve"> </w:t>
      </w:r>
      <w:r w:rsidRPr="00EA59C0">
        <w:t>principles,</w:t>
      </w:r>
      <w:r w:rsidR="00C026A6" w:rsidRPr="00EA59C0">
        <w:t xml:space="preserve"> </w:t>
      </w:r>
      <w:r w:rsidRPr="00EA59C0">
        <w:t>administrative</w:t>
      </w:r>
      <w:r w:rsidR="00B00D84" w:rsidRPr="00EA59C0">
        <w:t>,</w:t>
      </w:r>
      <w:r w:rsidR="00C026A6" w:rsidRPr="00EA59C0">
        <w:t xml:space="preserve"> </w:t>
      </w:r>
      <w:r w:rsidRPr="00EA59C0">
        <w:t>and</w:t>
      </w:r>
      <w:r w:rsidR="00C026A6" w:rsidRPr="00EA59C0">
        <w:t xml:space="preserve"> </w:t>
      </w:r>
      <w:r w:rsidRPr="00EA59C0">
        <w:t>other</w:t>
      </w:r>
      <w:r w:rsidR="00C026A6" w:rsidRPr="00EA59C0">
        <w:t xml:space="preserve"> </w:t>
      </w:r>
      <w:r w:rsidRPr="00EA59C0">
        <w:t>requirements</w:t>
      </w:r>
      <w:r w:rsidR="00C026A6" w:rsidRPr="00EA59C0">
        <w:t xml:space="preserve"> </w:t>
      </w:r>
      <w:r w:rsidRPr="00EA59C0">
        <w:t>that</w:t>
      </w:r>
      <w:r w:rsidR="00C026A6" w:rsidRPr="00EA59C0">
        <w:t xml:space="preserve"> </w:t>
      </w:r>
      <w:r w:rsidRPr="00EA59C0">
        <w:t>apply</w:t>
      </w:r>
      <w:r w:rsidR="00C026A6" w:rsidRPr="00EA59C0">
        <w:t xml:space="preserve"> </w:t>
      </w:r>
      <w:r w:rsidRPr="00EA59C0">
        <w:t>to</w:t>
      </w:r>
      <w:r w:rsidR="00C026A6" w:rsidRPr="00EA59C0">
        <w:t xml:space="preserve"> </w:t>
      </w:r>
      <w:r w:rsidRPr="00EA59C0">
        <w:t>this</w:t>
      </w:r>
      <w:r w:rsidR="00C026A6" w:rsidRPr="00EA59C0">
        <w:t xml:space="preserve"> </w:t>
      </w:r>
      <w:r w:rsidRPr="00EA59C0">
        <w:t>Solicitation.</w:t>
      </w:r>
      <w:r w:rsidRPr="00EA59C0">
        <w:tab/>
      </w:r>
    </w:p>
    <w:p w:rsidR="00020A03" w:rsidRPr="00EA59C0" w:rsidRDefault="00020A03" w:rsidP="00A72633">
      <w:pPr>
        <w:ind w:left="720"/>
      </w:pPr>
    </w:p>
    <w:p w:rsidR="007470AB" w:rsidRPr="00EA59C0" w:rsidRDefault="007470AB" w:rsidP="006626AE">
      <w:pPr>
        <w:pStyle w:val="Heading1"/>
        <w:numPr>
          <w:ilvl w:val="1"/>
          <w:numId w:val="17"/>
        </w:numPr>
        <w:spacing w:line="240" w:lineRule="auto"/>
        <w:rPr>
          <w:rFonts w:ascii="Times New Roman" w:hAnsi="Times New Roman"/>
        </w:rPr>
      </w:pPr>
      <w:r w:rsidRPr="00EA59C0">
        <w:rPr>
          <w:rFonts w:ascii="Times New Roman" w:hAnsi="Times New Roman"/>
        </w:rPr>
        <w:t>Cost</w:t>
      </w:r>
      <w:r w:rsidR="00C026A6" w:rsidRPr="00EA59C0">
        <w:rPr>
          <w:rFonts w:ascii="Times New Roman" w:hAnsi="Times New Roman"/>
        </w:rPr>
        <w:t xml:space="preserve"> </w:t>
      </w:r>
      <w:r w:rsidRPr="00EA59C0">
        <w:rPr>
          <w:rFonts w:ascii="Times New Roman" w:hAnsi="Times New Roman"/>
        </w:rPr>
        <w:t>Sharing</w:t>
      </w:r>
      <w:r w:rsidR="00C026A6" w:rsidRPr="00EA59C0">
        <w:rPr>
          <w:rFonts w:ascii="Times New Roman" w:hAnsi="Times New Roman"/>
        </w:rPr>
        <w:t xml:space="preserve"> </w:t>
      </w:r>
      <w:r w:rsidRPr="00EA59C0">
        <w:rPr>
          <w:rFonts w:ascii="Times New Roman" w:hAnsi="Times New Roman"/>
        </w:rPr>
        <w:t>or</w:t>
      </w:r>
      <w:r w:rsidR="00C026A6" w:rsidRPr="00EA59C0">
        <w:rPr>
          <w:rFonts w:ascii="Times New Roman" w:hAnsi="Times New Roman"/>
        </w:rPr>
        <w:t xml:space="preserve"> </w:t>
      </w:r>
      <w:r w:rsidRPr="00EA59C0">
        <w:rPr>
          <w:rFonts w:ascii="Times New Roman" w:hAnsi="Times New Roman"/>
        </w:rPr>
        <w:t>Matching</w:t>
      </w:r>
    </w:p>
    <w:p w:rsidR="006626AE" w:rsidRPr="00EA59C0" w:rsidRDefault="006626AE" w:rsidP="006626AE"/>
    <w:p w:rsidR="00033F22" w:rsidRPr="00EA59C0" w:rsidRDefault="00313559" w:rsidP="00A72633">
      <w:pPr>
        <w:ind w:left="720"/>
      </w:pPr>
      <w:r w:rsidRPr="00EA59C0">
        <w:t>Cost</w:t>
      </w:r>
      <w:r w:rsidR="00C026A6" w:rsidRPr="00EA59C0">
        <w:t xml:space="preserve"> </w:t>
      </w:r>
      <w:r w:rsidRPr="00EA59C0">
        <w:t>sharing</w:t>
      </w:r>
      <w:r w:rsidR="00C026A6" w:rsidRPr="00EA59C0">
        <w:t xml:space="preserve"> </w:t>
      </w:r>
      <w:r w:rsidRPr="00EA59C0">
        <w:t>or</w:t>
      </w:r>
      <w:r w:rsidR="00C026A6" w:rsidRPr="00EA59C0">
        <w:t xml:space="preserve"> </w:t>
      </w:r>
      <w:r w:rsidRPr="00EA59C0">
        <w:t>matching</w:t>
      </w:r>
      <w:r w:rsidR="00C026A6" w:rsidRPr="00EA59C0">
        <w:t xml:space="preserve"> </w:t>
      </w:r>
      <w:r w:rsidRPr="00EA59C0">
        <w:t>funds</w:t>
      </w:r>
      <w:r w:rsidR="00C026A6" w:rsidRPr="00EA59C0">
        <w:t xml:space="preserve"> </w:t>
      </w:r>
      <w:r w:rsidRPr="00EA59C0">
        <w:t>are</w:t>
      </w:r>
      <w:r w:rsidR="00C026A6" w:rsidRPr="00EA59C0">
        <w:t xml:space="preserve"> </w:t>
      </w:r>
      <w:r w:rsidRPr="00EA59C0">
        <w:t>not</w:t>
      </w:r>
      <w:r w:rsidR="00C026A6" w:rsidRPr="00EA59C0">
        <w:t xml:space="preserve"> </w:t>
      </w:r>
      <w:r w:rsidRPr="00EA59C0">
        <w:t>required</w:t>
      </w:r>
      <w:r w:rsidR="00C026A6" w:rsidRPr="00EA59C0">
        <w:t xml:space="preserve"> </w:t>
      </w:r>
      <w:r w:rsidRPr="00EA59C0">
        <w:t>for</w:t>
      </w:r>
      <w:r w:rsidR="00C026A6" w:rsidRPr="00EA59C0">
        <w:t xml:space="preserve"> </w:t>
      </w:r>
      <w:r w:rsidRPr="00EA59C0">
        <w:t>this</w:t>
      </w:r>
      <w:r w:rsidR="00C026A6" w:rsidRPr="00EA59C0">
        <w:t xml:space="preserve"> </w:t>
      </w:r>
      <w:r w:rsidRPr="00EA59C0">
        <w:t>program.</w:t>
      </w:r>
      <w:r w:rsidR="00C026A6" w:rsidRPr="00EA59C0">
        <w:t xml:space="preserve">  </w:t>
      </w:r>
      <w:r w:rsidRPr="00EA59C0">
        <w:t>Please</w:t>
      </w:r>
      <w:r w:rsidR="00C026A6" w:rsidRPr="00EA59C0">
        <w:t xml:space="preserve"> </w:t>
      </w:r>
      <w:r w:rsidRPr="00EA59C0">
        <w:t>note</w:t>
      </w:r>
      <w:r w:rsidR="00C026A6" w:rsidRPr="00EA59C0">
        <w:t xml:space="preserve"> </w:t>
      </w:r>
      <w:r w:rsidRPr="00EA59C0">
        <w:t>that</w:t>
      </w:r>
      <w:r w:rsidR="00C026A6" w:rsidRPr="00EA59C0">
        <w:t xml:space="preserve"> </w:t>
      </w:r>
      <w:r w:rsidRPr="00EA59C0">
        <w:t>any</w:t>
      </w:r>
      <w:r w:rsidR="00C026A6" w:rsidRPr="00EA59C0">
        <w:t xml:space="preserve"> </w:t>
      </w:r>
      <w:r w:rsidRPr="00EA59C0">
        <w:t>other</w:t>
      </w:r>
      <w:r w:rsidR="00C026A6" w:rsidRPr="00EA59C0">
        <w:t xml:space="preserve"> </w:t>
      </w:r>
      <w:r w:rsidRPr="00EA59C0">
        <w:t>resources</w:t>
      </w:r>
      <w:r w:rsidR="00C026A6" w:rsidRPr="00EA59C0">
        <w:t xml:space="preserve"> </w:t>
      </w:r>
      <w:r w:rsidRPr="00EA59C0">
        <w:t>contributed</w:t>
      </w:r>
      <w:r w:rsidR="00C026A6" w:rsidRPr="00EA59C0">
        <w:t xml:space="preserve"> </w:t>
      </w:r>
      <w:r w:rsidRPr="00EA59C0">
        <w:t>to</w:t>
      </w:r>
      <w:r w:rsidR="00C026A6" w:rsidRPr="00EA59C0">
        <w:t xml:space="preserve"> </w:t>
      </w:r>
      <w:r w:rsidRPr="00EA59C0">
        <w:t>the</w:t>
      </w:r>
      <w:r w:rsidR="00C026A6" w:rsidRPr="00EA59C0">
        <w:t xml:space="preserve"> </w:t>
      </w:r>
      <w:r w:rsidRPr="00EA59C0">
        <w:t>project</w:t>
      </w:r>
      <w:r w:rsidR="00C026A6" w:rsidRPr="00EA59C0">
        <w:t xml:space="preserve"> </w:t>
      </w:r>
      <w:r w:rsidRPr="00EA59C0">
        <w:t>are</w:t>
      </w:r>
      <w:r w:rsidR="00C026A6" w:rsidRPr="00EA59C0">
        <w:t xml:space="preserve"> </w:t>
      </w:r>
      <w:r w:rsidRPr="00EA59C0">
        <w:t>considered</w:t>
      </w:r>
      <w:r w:rsidR="00C026A6" w:rsidRPr="00EA59C0">
        <w:t xml:space="preserve"> </w:t>
      </w:r>
      <w:r w:rsidRPr="00EA59C0">
        <w:t>leveraged</w:t>
      </w:r>
      <w:r w:rsidR="00C026A6" w:rsidRPr="00EA59C0">
        <w:t xml:space="preserve"> </w:t>
      </w:r>
      <w:r w:rsidRPr="00EA59C0">
        <w:t>resources</w:t>
      </w:r>
      <w:r w:rsidR="00C026A6" w:rsidRPr="00EA59C0">
        <w:t xml:space="preserve"> </w:t>
      </w:r>
      <w:r w:rsidRPr="00EA59C0">
        <w:t>and</w:t>
      </w:r>
      <w:r w:rsidR="00C026A6" w:rsidRPr="00EA59C0">
        <w:t xml:space="preserve"> </w:t>
      </w:r>
      <w:r w:rsidRPr="00EA59C0">
        <w:t>do</w:t>
      </w:r>
      <w:r w:rsidR="00C026A6" w:rsidRPr="00EA59C0">
        <w:t xml:space="preserve"> </w:t>
      </w:r>
      <w:r w:rsidRPr="00EA59C0">
        <w:t>not</w:t>
      </w:r>
      <w:r w:rsidR="00C026A6" w:rsidRPr="00EA59C0">
        <w:t xml:space="preserve"> </w:t>
      </w:r>
      <w:r w:rsidRPr="00EA59C0">
        <w:t>constitute</w:t>
      </w:r>
      <w:r w:rsidR="00C026A6" w:rsidRPr="00EA59C0">
        <w:t xml:space="preserve"> </w:t>
      </w:r>
      <w:r w:rsidRPr="00EA59C0">
        <w:t>cost</w:t>
      </w:r>
      <w:r w:rsidR="00C026A6" w:rsidRPr="00EA59C0">
        <w:t xml:space="preserve"> </w:t>
      </w:r>
      <w:r w:rsidRPr="00EA59C0">
        <w:t>sharing</w:t>
      </w:r>
      <w:r w:rsidR="00C026A6" w:rsidRPr="00EA59C0">
        <w:t xml:space="preserve"> </w:t>
      </w:r>
      <w:r w:rsidRPr="00EA59C0">
        <w:t>or</w:t>
      </w:r>
      <w:r w:rsidR="00C026A6" w:rsidRPr="00EA59C0">
        <w:t xml:space="preserve"> </w:t>
      </w:r>
      <w:r w:rsidRPr="00EA59C0">
        <w:t>matching</w:t>
      </w:r>
      <w:r w:rsidR="00C026A6" w:rsidRPr="00EA59C0">
        <w:t xml:space="preserve"> </w:t>
      </w:r>
      <w:r w:rsidRPr="00EA59C0">
        <w:t>funds.</w:t>
      </w:r>
      <w:r w:rsidR="00C026A6" w:rsidRPr="00EA59C0">
        <w:t xml:space="preserve">  </w:t>
      </w:r>
      <w:r w:rsidRPr="00EA59C0">
        <w:t>More</w:t>
      </w:r>
      <w:r w:rsidR="00C026A6" w:rsidRPr="00EA59C0">
        <w:t xml:space="preserve"> </w:t>
      </w:r>
      <w:r w:rsidRPr="00EA59C0">
        <w:t>information</w:t>
      </w:r>
      <w:r w:rsidR="00C026A6" w:rsidRPr="00EA59C0">
        <w:t xml:space="preserve"> </w:t>
      </w:r>
      <w:r w:rsidRPr="00EA59C0">
        <w:t>on</w:t>
      </w:r>
      <w:r w:rsidR="00C026A6" w:rsidRPr="00EA59C0">
        <w:t xml:space="preserve"> </w:t>
      </w:r>
      <w:r w:rsidRPr="00EA59C0">
        <w:t>leveraged</w:t>
      </w:r>
      <w:r w:rsidR="00C026A6" w:rsidRPr="00EA59C0">
        <w:t xml:space="preserve"> </w:t>
      </w:r>
      <w:r w:rsidRPr="00EA59C0">
        <w:t>resources</w:t>
      </w:r>
      <w:r w:rsidR="00C026A6" w:rsidRPr="00EA59C0">
        <w:t xml:space="preserve"> </w:t>
      </w:r>
      <w:r w:rsidRPr="00EA59C0">
        <w:t>may</w:t>
      </w:r>
      <w:r w:rsidR="00C026A6" w:rsidRPr="00EA59C0">
        <w:t xml:space="preserve"> </w:t>
      </w:r>
      <w:r w:rsidRPr="00EA59C0">
        <w:t>be</w:t>
      </w:r>
      <w:r w:rsidR="00C026A6" w:rsidRPr="00EA59C0">
        <w:t xml:space="preserve"> </w:t>
      </w:r>
      <w:r w:rsidRPr="00EA59C0">
        <w:t>found</w:t>
      </w:r>
      <w:r w:rsidR="00C026A6" w:rsidRPr="00EA59C0">
        <w:t xml:space="preserve"> </w:t>
      </w:r>
      <w:r w:rsidRPr="00EA59C0">
        <w:t>in</w:t>
      </w:r>
      <w:r w:rsidR="00C026A6" w:rsidRPr="00EA59C0">
        <w:t xml:space="preserve"> </w:t>
      </w:r>
      <w:r w:rsidRPr="00EA59C0">
        <w:t>Section</w:t>
      </w:r>
      <w:r w:rsidR="00C026A6" w:rsidRPr="00EA59C0">
        <w:t xml:space="preserve"> </w:t>
      </w:r>
      <w:r w:rsidRPr="00EA59C0">
        <w:t>IV.B.2.</w:t>
      </w:r>
      <w:r w:rsidR="00C026A6" w:rsidRPr="00EA59C0">
        <w:t xml:space="preserve">  </w:t>
      </w:r>
      <w:r w:rsidRPr="00EA59C0">
        <w:t>Applications</w:t>
      </w:r>
      <w:r w:rsidR="00C026A6" w:rsidRPr="00EA59C0">
        <w:t xml:space="preserve"> </w:t>
      </w:r>
      <w:r w:rsidRPr="00EA59C0">
        <w:t>that</w:t>
      </w:r>
      <w:r w:rsidR="00C026A6" w:rsidRPr="00EA59C0">
        <w:t xml:space="preserve"> </w:t>
      </w:r>
      <w:r w:rsidRPr="00EA59C0">
        <w:t>include</w:t>
      </w:r>
      <w:r w:rsidR="00C026A6" w:rsidRPr="00EA59C0">
        <w:t xml:space="preserve"> </w:t>
      </w:r>
      <w:r w:rsidRPr="00EA59C0">
        <w:t>any</w:t>
      </w:r>
      <w:r w:rsidR="00C026A6" w:rsidRPr="00EA59C0">
        <w:t xml:space="preserve"> </w:t>
      </w:r>
      <w:r w:rsidRPr="00EA59C0">
        <w:t>form</w:t>
      </w:r>
      <w:r w:rsidR="00C026A6" w:rsidRPr="00EA59C0">
        <w:t xml:space="preserve"> </w:t>
      </w:r>
      <w:r w:rsidRPr="00EA59C0">
        <w:t>of</w:t>
      </w:r>
      <w:r w:rsidR="00C026A6" w:rsidRPr="00EA59C0">
        <w:t xml:space="preserve"> </w:t>
      </w:r>
      <w:r w:rsidRPr="00EA59C0">
        <w:t>cost</w:t>
      </w:r>
      <w:r w:rsidR="00C026A6" w:rsidRPr="00EA59C0">
        <w:t xml:space="preserve"> </w:t>
      </w:r>
      <w:r w:rsidRPr="00EA59C0">
        <w:t>sharing</w:t>
      </w:r>
      <w:r w:rsidR="00C026A6" w:rsidRPr="00EA59C0">
        <w:t xml:space="preserve"> </w:t>
      </w:r>
      <w:r w:rsidRPr="00EA59C0">
        <w:t>or</w:t>
      </w:r>
      <w:r w:rsidR="00C026A6" w:rsidRPr="00EA59C0">
        <w:t xml:space="preserve"> </w:t>
      </w:r>
      <w:r w:rsidRPr="00EA59C0">
        <w:t>match</w:t>
      </w:r>
      <w:r w:rsidR="00C026A6" w:rsidRPr="00EA59C0">
        <w:t xml:space="preserve"> </w:t>
      </w:r>
      <w:r w:rsidRPr="00EA59C0">
        <w:t>will</w:t>
      </w:r>
      <w:r w:rsidR="00C026A6" w:rsidRPr="00EA59C0">
        <w:t xml:space="preserve"> </w:t>
      </w:r>
      <w:r w:rsidRPr="00EA59C0">
        <w:t>not</w:t>
      </w:r>
      <w:r w:rsidR="00C026A6" w:rsidRPr="00EA59C0">
        <w:t xml:space="preserve"> </w:t>
      </w:r>
      <w:r w:rsidRPr="00EA59C0">
        <w:t>receive</w:t>
      </w:r>
      <w:r w:rsidR="00C026A6" w:rsidRPr="00EA59C0">
        <w:t xml:space="preserve"> </w:t>
      </w:r>
      <w:r w:rsidRPr="00EA59C0">
        <w:t>additional</w:t>
      </w:r>
      <w:r w:rsidR="00C026A6" w:rsidRPr="00EA59C0">
        <w:t xml:space="preserve"> </w:t>
      </w:r>
      <w:r w:rsidRPr="00EA59C0">
        <w:t>consideration</w:t>
      </w:r>
      <w:r w:rsidR="00C026A6" w:rsidRPr="00EA59C0">
        <w:t xml:space="preserve"> </w:t>
      </w:r>
      <w:r w:rsidRPr="00EA59C0">
        <w:t>under</w:t>
      </w:r>
      <w:r w:rsidR="00C026A6" w:rsidRPr="00EA59C0">
        <w:t xml:space="preserve"> </w:t>
      </w:r>
      <w:r w:rsidRPr="00EA59C0">
        <w:t>the</w:t>
      </w:r>
      <w:r w:rsidR="00C026A6" w:rsidRPr="00EA59C0">
        <w:t xml:space="preserve"> </w:t>
      </w:r>
      <w:r w:rsidRPr="00EA59C0">
        <w:t>review.</w:t>
      </w:r>
      <w:r w:rsidR="00C026A6" w:rsidRPr="00EA59C0">
        <w:t xml:space="preserve">  </w:t>
      </w:r>
      <w:r w:rsidRPr="00EA59C0">
        <w:t>Cost</w:t>
      </w:r>
      <w:r w:rsidR="00C026A6" w:rsidRPr="00EA59C0">
        <w:t xml:space="preserve"> </w:t>
      </w:r>
      <w:r w:rsidRPr="00EA59C0">
        <w:t>sharing</w:t>
      </w:r>
      <w:r w:rsidR="00C026A6" w:rsidRPr="00EA59C0">
        <w:t xml:space="preserve"> </w:t>
      </w:r>
      <w:r w:rsidRPr="00EA59C0">
        <w:t>or</w:t>
      </w:r>
      <w:r w:rsidR="00C026A6" w:rsidRPr="00EA59C0">
        <w:t xml:space="preserve"> </w:t>
      </w:r>
      <w:r w:rsidRPr="00EA59C0">
        <w:t>match</w:t>
      </w:r>
      <w:r w:rsidR="00C026A6" w:rsidRPr="00EA59C0">
        <w:t xml:space="preserve"> </w:t>
      </w:r>
      <w:r w:rsidRPr="00EA59C0">
        <w:t>is</w:t>
      </w:r>
      <w:r w:rsidR="00C026A6" w:rsidRPr="00EA59C0">
        <w:t xml:space="preserve"> </w:t>
      </w:r>
      <w:r w:rsidRPr="00EA59C0">
        <w:t>not</w:t>
      </w:r>
      <w:r w:rsidR="00C026A6" w:rsidRPr="00EA59C0">
        <w:t xml:space="preserve"> </w:t>
      </w:r>
      <w:r w:rsidRPr="00EA59C0">
        <w:t>one</w:t>
      </w:r>
      <w:r w:rsidR="00C026A6" w:rsidRPr="00EA59C0">
        <w:t xml:space="preserve"> </w:t>
      </w:r>
      <w:r w:rsidRPr="00EA59C0">
        <w:t>of</w:t>
      </w:r>
      <w:r w:rsidR="00C026A6" w:rsidRPr="00EA59C0">
        <w:t xml:space="preserve"> </w:t>
      </w:r>
      <w:r w:rsidRPr="00EA59C0">
        <w:t>the</w:t>
      </w:r>
      <w:r w:rsidR="00C026A6" w:rsidRPr="00EA59C0">
        <w:t xml:space="preserve"> </w:t>
      </w:r>
      <w:r w:rsidRPr="00EA59C0">
        <w:t>application</w:t>
      </w:r>
      <w:r w:rsidR="00C026A6" w:rsidRPr="00EA59C0">
        <w:t xml:space="preserve"> </w:t>
      </w:r>
      <w:r w:rsidRPr="00EA59C0">
        <w:t>screening</w:t>
      </w:r>
      <w:r w:rsidR="00C026A6" w:rsidRPr="00EA59C0">
        <w:t xml:space="preserve"> </w:t>
      </w:r>
      <w:r w:rsidRPr="00EA59C0">
        <w:t>criteria.</w:t>
      </w:r>
    </w:p>
    <w:p w:rsidR="00020A03" w:rsidRPr="00EA59C0" w:rsidRDefault="00020A03" w:rsidP="00A72633">
      <w:pPr>
        <w:ind w:left="720"/>
      </w:pPr>
    </w:p>
    <w:p w:rsidR="00535CF4" w:rsidRPr="00EA59C0" w:rsidRDefault="007470AB" w:rsidP="006626AE">
      <w:pPr>
        <w:pStyle w:val="Heading1"/>
        <w:numPr>
          <w:ilvl w:val="1"/>
          <w:numId w:val="17"/>
        </w:numPr>
        <w:spacing w:line="240" w:lineRule="auto"/>
        <w:rPr>
          <w:rFonts w:ascii="Times New Roman" w:hAnsi="Times New Roman"/>
        </w:rPr>
      </w:pPr>
      <w:r w:rsidRPr="00EA59C0">
        <w:rPr>
          <w:rFonts w:ascii="Times New Roman" w:hAnsi="Times New Roman"/>
        </w:rPr>
        <w:t>Other</w:t>
      </w:r>
      <w:r w:rsidR="00C026A6" w:rsidRPr="00EA59C0">
        <w:rPr>
          <w:rFonts w:ascii="Times New Roman" w:hAnsi="Times New Roman"/>
        </w:rPr>
        <w:t xml:space="preserve"> </w:t>
      </w:r>
      <w:r w:rsidR="00535CF4" w:rsidRPr="00EA59C0">
        <w:rPr>
          <w:rFonts w:ascii="Times New Roman" w:hAnsi="Times New Roman"/>
        </w:rPr>
        <w:t>Information</w:t>
      </w:r>
    </w:p>
    <w:p w:rsidR="002C14E3" w:rsidRPr="00EA59C0" w:rsidRDefault="002C14E3" w:rsidP="006626AE">
      <w:pPr>
        <w:pStyle w:val="Heading1"/>
        <w:numPr>
          <w:ilvl w:val="2"/>
          <w:numId w:val="17"/>
        </w:numPr>
        <w:spacing w:line="240" w:lineRule="auto"/>
        <w:rPr>
          <w:rFonts w:ascii="Times New Roman" w:hAnsi="Times New Roman"/>
          <w:b w:val="0"/>
        </w:rPr>
      </w:pPr>
      <w:r w:rsidRPr="00EA59C0">
        <w:rPr>
          <w:rFonts w:ascii="Times New Roman" w:hAnsi="Times New Roman"/>
          <w:b w:val="0"/>
        </w:rPr>
        <w:t>Application</w:t>
      </w:r>
      <w:r w:rsidR="00C026A6" w:rsidRPr="00EA59C0">
        <w:rPr>
          <w:rFonts w:ascii="Times New Roman" w:hAnsi="Times New Roman"/>
          <w:b w:val="0"/>
        </w:rPr>
        <w:t xml:space="preserve"> </w:t>
      </w:r>
      <w:r w:rsidRPr="00EA59C0">
        <w:rPr>
          <w:rFonts w:ascii="Times New Roman" w:hAnsi="Times New Roman"/>
          <w:b w:val="0"/>
        </w:rPr>
        <w:t>Screening</w:t>
      </w:r>
      <w:r w:rsidR="00C026A6" w:rsidRPr="00EA59C0">
        <w:rPr>
          <w:rFonts w:ascii="Times New Roman" w:hAnsi="Times New Roman"/>
          <w:b w:val="0"/>
        </w:rPr>
        <w:t xml:space="preserve"> </w:t>
      </w:r>
      <w:r w:rsidRPr="00EA59C0">
        <w:rPr>
          <w:rFonts w:ascii="Times New Roman" w:hAnsi="Times New Roman"/>
          <w:b w:val="0"/>
        </w:rPr>
        <w:t>Criteria</w:t>
      </w:r>
    </w:p>
    <w:p w:rsidR="002C14E3" w:rsidRPr="00EA59C0" w:rsidRDefault="002C14E3" w:rsidP="00A72633">
      <w:pPr>
        <w:widowControl w:val="0"/>
        <w:ind w:left="1080"/>
      </w:pPr>
      <w:r w:rsidRPr="00EA59C0">
        <w:t>Applications</w:t>
      </w:r>
      <w:r w:rsidR="00C026A6" w:rsidRPr="00EA59C0">
        <w:t xml:space="preserve"> </w:t>
      </w:r>
      <w:r w:rsidRPr="00EA59C0">
        <w:t>that</w:t>
      </w:r>
      <w:r w:rsidR="00C026A6" w:rsidRPr="00EA59C0">
        <w:t xml:space="preserve"> </w:t>
      </w:r>
      <w:r w:rsidRPr="00EA59C0">
        <w:t>contain</w:t>
      </w:r>
      <w:r w:rsidR="00C026A6" w:rsidRPr="00EA59C0">
        <w:t xml:space="preserve"> </w:t>
      </w:r>
      <w:r w:rsidRPr="00EA59C0">
        <w:t>any</w:t>
      </w:r>
      <w:r w:rsidR="00C026A6" w:rsidRPr="00EA59C0">
        <w:t xml:space="preserve"> </w:t>
      </w:r>
      <w:r w:rsidRPr="00EA59C0">
        <w:t>of</w:t>
      </w:r>
      <w:r w:rsidR="00C026A6" w:rsidRPr="00EA59C0">
        <w:t xml:space="preserve"> </w:t>
      </w:r>
      <w:r w:rsidRPr="00EA59C0">
        <w:t>the</w:t>
      </w:r>
      <w:r w:rsidR="00C026A6" w:rsidRPr="00EA59C0">
        <w:t xml:space="preserve"> </w:t>
      </w:r>
      <w:r w:rsidRPr="00EA59C0">
        <w:t>following</w:t>
      </w:r>
      <w:r w:rsidR="00C026A6" w:rsidRPr="00EA59C0">
        <w:t xml:space="preserve"> </w:t>
      </w:r>
      <w:r w:rsidRPr="00EA59C0">
        <w:t>deficiencies</w:t>
      </w:r>
      <w:r w:rsidR="00C026A6" w:rsidRPr="00EA59C0">
        <w:t xml:space="preserve"> </w:t>
      </w:r>
      <w:r w:rsidRPr="00EA59C0">
        <w:t>will</w:t>
      </w:r>
      <w:r w:rsidR="00C026A6" w:rsidRPr="00EA59C0">
        <w:t xml:space="preserve"> </w:t>
      </w:r>
      <w:r w:rsidRPr="00EA59C0">
        <w:t>be</w:t>
      </w:r>
      <w:r w:rsidR="00C026A6" w:rsidRPr="00EA59C0">
        <w:t xml:space="preserve"> </w:t>
      </w:r>
      <w:r w:rsidRPr="00EA59C0">
        <w:t>found</w:t>
      </w:r>
      <w:r w:rsidR="00C026A6" w:rsidRPr="00EA59C0">
        <w:t xml:space="preserve"> </w:t>
      </w:r>
      <w:r w:rsidRPr="00EA59C0">
        <w:t>non-responsive</w:t>
      </w:r>
      <w:r w:rsidR="00C026A6" w:rsidRPr="00EA59C0">
        <w:t xml:space="preserve"> </w:t>
      </w:r>
      <w:r w:rsidRPr="00EA59C0">
        <w:t>and</w:t>
      </w:r>
      <w:r w:rsidR="00C026A6" w:rsidRPr="00EA59C0">
        <w:t xml:space="preserve"> </w:t>
      </w:r>
      <w:r w:rsidRPr="00EA59C0">
        <w:t>will</w:t>
      </w:r>
      <w:r w:rsidR="00C026A6" w:rsidRPr="00EA59C0">
        <w:t xml:space="preserve"> </w:t>
      </w:r>
      <w:r w:rsidRPr="00EA59C0">
        <w:t>not</w:t>
      </w:r>
      <w:r w:rsidR="00C026A6" w:rsidRPr="00EA59C0">
        <w:t xml:space="preserve"> </w:t>
      </w:r>
      <w:r w:rsidRPr="00EA59C0">
        <w:t>be</w:t>
      </w:r>
      <w:r w:rsidR="00C026A6" w:rsidRPr="00EA59C0">
        <w:t xml:space="preserve"> </w:t>
      </w:r>
      <w:r w:rsidRPr="00EA59C0">
        <w:t>reviewed.</w:t>
      </w:r>
      <w:r w:rsidR="00C026A6" w:rsidRPr="00EA59C0">
        <w:t xml:space="preserve">  </w:t>
      </w:r>
      <w:r w:rsidRPr="00EA59C0">
        <w:t>The</w:t>
      </w:r>
      <w:r w:rsidR="00C026A6" w:rsidRPr="00EA59C0">
        <w:t xml:space="preserve"> </w:t>
      </w:r>
      <w:r w:rsidRPr="00EA59C0">
        <w:t>deficiencies</w:t>
      </w:r>
      <w:r w:rsidR="00C026A6" w:rsidRPr="00EA59C0">
        <w:t xml:space="preserve"> </w:t>
      </w:r>
      <w:r w:rsidRPr="00EA59C0">
        <w:t>are:</w:t>
      </w:r>
    </w:p>
    <w:p w:rsidR="002C14E3" w:rsidRPr="00EA59C0" w:rsidRDefault="002C14E3" w:rsidP="00080097">
      <w:pPr>
        <w:pStyle w:val="PlainText"/>
        <w:numPr>
          <w:ilvl w:val="0"/>
          <w:numId w:val="35"/>
        </w:numPr>
        <w:spacing w:before="0" w:beforeAutospacing="0" w:after="0" w:afterAutospacing="0"/>
      </w:pPr>
      <w:r w:rsidRPr="00EA59C0">
        <w:t>Failure</w:t>
      </w:r>
      <w:r w:rsidR="00C026A6" w:rsidRPr="00EA59C0">
        <w:t xml:space="preserve"> </w:t>
      </w:r>
      <w:r w:rsidRPr="00EA59C0">
        <w:t>to</w:t>
      </w:r>
      <w:r w:rsidR="00C026A6" w:rsidRPr="00EA59C0">
        <w:t xml:space="preserve"> </w:t>
      </w:r>
      <w:r w:rsidRPr="00EA59C0">
        <w:t>satisfy</w:t>
      </w:r>
      <w:r w:rsidR="00C026A6" w:rsidRPr="00EA59C0">
        <w:t xml:space="preserve"> </w:t>
      </w:r>
      <w:r w:rsidRPr="00EA59C0">
        <w:t>the</w:t>
      </w:r>
      <w:r w:rsidR="00C026A6" w:rsidRPr="00EA59C0">
        <w:t xml:space="preserve"> </w:t>
      </w:r>
      <w:r w:rsidRPr="00EA59C0">
        <w:t>deadline</w:t>
      </w:r>
      <w:r w:rsidR="00C026A6" w:rsidRPr="00EA59C0">
        <w:t xml:space="preserve"> </w:t>
      </w:r>
      <w:r w:rsidRPr="00EA59C0">
        <w:t>requirements</w:t>
      </w:r>
      <w:r w:rsidR="00C026A6" w:rsidRPr="00EA59C0">
        <w:t xml:space="preserve"> </w:t>
      </w:r>
      <w:r w:rsidRPr="00EA59C0">
        <w:t>referenced</w:t>
      </w:r>
      <w:r w:rsidR="00C026A6" w:rsidRPr="00EA59C0">
        <w:t xml:space="preserve"> </w:t>
      </w:r>
      <w:r w:rsidRPr="00EA59C0">
        <w:t>in</w:t>
      </w:r>
      <w:r w:rsidR="00C026A6" w:rsidRPr="00EA59C0">
        <w:t xml:space="preserve"> </w:t>
      </w:r>
      <w:r w:rsidRPr="00EA59C0">
        <w:t>Section</w:t>
      </w:r>
      <w:r w:rsidR="00C026A6" w:rsidRPr="00EA59C0">
        <w:t xml:space="preserve"> </w:t>
      </w:r>
      <w:r w:rsidRPr="00EA59C0">
        <w:t>IV.C.;</w:t>
      </w:r>
    </w:p>
    <w:p w:rsidR="002C14E3" w:rsidRPr="00EA59C0" w:rsidRDefault="00FE731A" w:rsidP="00080097">
      <w:pPr>
        <w:pStyle w:val="ListParagraph"/>
        <w:numPr>
          <w:ilvl w:val="0"/>
          <w:numId w:val="35"/>
        </w:numPr>
      </w:pPr>
      <w:r w:rsidRPr="00EA59C0">
        <w:t>Applications</w:t>
      </w:r>
      <w:r w:rsidR="00C026A6" w:rsidRPr="00EA59C0">
        <w:t xml:space="preserve"> </w:t>
      </w:r>
      <w:r w:rsidRPr="00EA59C0">
        <w:t>that</w:t>
      </w:r>
      <w:r w:rsidR="00C026A6" w:rsidRPr="00EA59C0">
        <w:t xml:space="preserve"> </w:t>
      </w:r>
      <w:r w:rsidRPr="00EA59C0">
        <w:t>are</w:t>
      </w:r>
      <w:r w:rsidR="00C026A6" w:rsidRPr="00EA59C0">
        <w:t xml:space="preserve"> </w:t>
      </w:r>
      <w:r w:rsidRPr="00EA59C0">
        <w:t>less</w:t>
      </w:r>
      <w:r w:rsidR="00C026A6" w:rsidRPr="00EA59C0">
        <w:t xml:space="preserve"> </w:t>
      </w:r>
      <w:r w:rsidRPr="00EA59C0">
        <w:t>than</w:t>
      </w:r>
      <w:r w:rsidR="00C026A6" w:rsidRPr="00EA59C0">
        <w:t xml:space="preserve"> </w:t>
      </w:r>
      <w:r w:rsidRPr="00EA59C0">
        <w:t>$2,</w:t>
      </w:r>
      <w:r w:rsidR="00630DF4" w:rsidRPr="00EA59C0">
        <w:t>2</w:t>
      </w:r>
      <w:r w:rsidRPr="00EA59C0">
        <w:t>60,000</w:t>
      </w:r>
      <w:r w:rsidR="00C026A6" w:rsidRPr="00EA59C0">
        <w:t xml:space="preserve"> </w:t>
      </w:r>
      <w:r w:rsidRPr="00EA59C0">
        <w:t>or</w:t>
      </w:r>
      <w:r w:rsidR="00C026A6" w:rsidRPr="00EA59C0">
        <w:t xml:space="preserve"> </w:t>
      </w:r>
      <w:r w:rsidRPr="00EA59C0">
        <w:t>exceed</w:t>
      </w:r>
      <w:r w:rsidR="00C026A6" w:rsidRPr="00EA59C0">
        <w:t xml:space="preserve"> </w:t>
      </w:r>
      <w:r w:rsidRPr="00EA59C0">
        <w:t>the</w:t>
      </w:r>
      <w:r w:rsidR="00C026A6" w:rsidRPr="00EA59C0">
        <w:t xml:space="preserve"> </w:t>
      </w:r>
      <w:r w:rsidRPr="00EA59C0">
        <w:t>ceiling</w:t>
      </w:r>
      <w:r w:rsidR="00C026A6" w:rsidRPr="00EA59C0">
        <w:t xml:space="preserve"> </w:t>
      </w:r>
      <w:r w:rsidRPr="00EA59C0">
        <w:t>amount</w:t>
      </w:r>
      <w:r w:rsidR="00C026A6" w:rsidRPr="00EA59C0">
        <w:t xml:space="preserve"> </w:t>
      </w:r>
      <w:r w:rsidRPr="00EA59C0">
        <w:t>for</w:t>
      </w:r>
      <w:r w:rsidR="00C026A6" w:rsidRPr="00EA59C0">
        <w:t xml:space="preserve"> </w:t>
      </w:r>
      <w:r w:rsidRPr="00EA59C0">
        <w:t>a</w:t>
      </w:r>
      <w:r w:rsidR="00C026A6" w:rsidRPr="00EA59C0">
        <w:t xml:space="preserve"> </w:t>
      </w:r>
      <w:r w:rsidRPr="00EA59C0">
        <w:t>single</w:t>
      </w:r>
      <w:r w:rsidR="00C026A6" w:rsidRPr="00EA59C0">
        <w:t xml:space="preserve"> </w:t>
      </w:r>
      <w:r w:rsidRPr="00EA59C0">
        <w:t>institution</w:t>
      </w:r>
      <w:r w:rsidR="000E1CD6" w:rsidRPr="00EA59C0">
        <w:t xml:space="preserve"> as identified in Section II.A.2 and II.A.3</w:t>
      </w:r>
      <w:r w:rsidRPr="00EA59C0">
        <w:t>,</w:t>
      </w:r>
      <w:r w:rsidR="00C026A6" w:rsidRPr="00EA59C0">
        <w:t xml:space="preserve"> </w:t>
      </w:r>
      <w:r w:rsidRPr="00EA59C0">
        <w:t>or</w:t>
      </w:r>
      <w:r w:rsidR="00C026A6" w:rsidRPr="00EA59C0">
        <w:t xml:space="preserve"> </w:t>
      </w:r>
      <w:r w:rsidR="00783782" w:rsidRPr="00EA59C0">
        <w:t>that</w:t>
      </w:r>
      <w:r w:rsidR="00C026A6" w:rsidRPr="00EA59C0">
        <w:t xml:space="preserve"> </w:t>
      </w:r>
      <w:r w:rsidRPr="00EA59C0">
        <w:t>e</w:t>
      </w:r>
      <w:r w:rsidR="003E0F78" w:rsidRPr="00EA59C0">
        <w:t>xceed</w:t>
      </w:r>
      <w:r w:rsidR="00C026A6" w:rsidRPr="00EA59C0">
        <w:t xml:space="preserve"> </w:t>
      </w:r>
      <w:r w:rsidR="003E0F78" w:rsidRPr="00EA59C0">
        <w:t>the</w:t>
      </w:r>
      <w:r w:rsidR="00C026A6" w:rsidRPr="00EA59C0">
        <w:t xml:space="preserve"> </w:t>
      </w:r>
      <w:r w:rsidR="003E0F78" w:rsidRPr="00EA59C0">
        <w:t>amount</w:t>
      </w:r>
      <w:r w:rsidR="00C026A6" w:rsidRPr="00EA59C0">
        <w:t xml:space="preserve"> </w:t>
      </w:r>
      <w:r w:rsidR="003E0F78" w:rsidRPr="00EA59C0">
        <w:t>permitted</w:t>
      </w:r>
      <w:r w:rsidR="00C026A6" w:rsidRPr="00EA59C0">
        <w:t xml:space="preserve"> </w:t>
      </w:r>
      <w:r w:rsidR="003E0F78" w:rsidRPr="00EA59C0">
        <w:t>for</w:t>
      </w:r>
      <w:r w:rsidR="00C026A6" w:rsidRPr="00EA59C0">
        <w:t xml:space="preserve"> </w:t>
      </w:r>
      <w:r w:rsidR="003E0F78" w:rsidRPr="00EA59C0">
        <w:t>T</w:t>
      </w:r>
      <w:r w:rsidRPr="00EA59C0">
        <w:t>ier</w:t>
      </w:r>
      <w:r w:rsidR="00C026A6" w:rsidRPr="00EA59C0">
        <w:t xml:space="preserve"> </w:t>
      </w:r>
      <w:r w:rsidRPr="00EA59C0">
        <w:t>1</w:t>
      </w:r>
      <w:r w:rsidR="00C026A6" w:rsidRPr="00EA59C0">
        <w:t xml:space="preserve"> </w:t>
      </w:r>
      <w:r w:rsidRPr="00EA59C0">
        <w:t>and</w:t>
      </w:r>
      <w:r w:rsidR="00C026A6" w:rsidRPr="00EA59C0">
        <w:t xml:space="preserve"> </w:t>
      </w:r>
      <w:r w:rsidR="003E0F78" w:rsidRPr="00EA59C0">
        <w:t>T</w:t>
      </w:r>
      <w:r w:rsidRPr="00EA59C0">
        <w:t>ier</w:t>
      </w:r>
      <w:r w:rsidR="00C026A6" w:rsidRPr="00EA59C0">
        <w:t xml:space="preserve"> </w:t>
      </w:r>
      <w:r w:rsidRPr="00EA59C0">
        <w:t>2</w:t>
      </w:r>
      <w:r w:rsidR="00C026A6" w:rsidRPr="00EA59C0">
        <w:t xml:space="preserve"> </w:t>
      </w:r>
      <w:r w:rsidRPr="00EA59C0">
        <w:t>consortium</w:t>
      </w:r>
      <w:r w:rsidR="00C026A6" w:rsidRPr="00EA59C0">
        <w:t xml:space="preserve"> </w:t>
      </w:r>
      <w:r w:rsidRPr="00EA59C0">
        <w:t>applications,</w:t>
      </w:r>
      <w:r w:rsidR="00C026A6" w:rsidRPr="00EA59C0">
        <w:t xml:space="preserve"> </w:t>
      </w:r>
      <w:r w:rsidRPr="00EA59C0">
        <w:t>as</w:t>
      </w:r>
      <w:r w:rsidR="00C026A6" w:rsidRPr="00EA59C0">
        <w:t xml:space="preserve"> </w:t>
      </w:r>
      <w:r w:rsidRPr="00EA59C0">
        <w:t>identified</w:t>
      </w:r>
      <w:r w:rsidR="00C026A6" w:rsidRPr="00EA59C0">
        <w:t xml:space="preserve"> </w:t>
      </w:r>
      <w:r w:rsidRPr="00EA59C0">
        <w:t>in</w:t>
      </w:r>
      <w:r w:rsidR="00C026A6" w:rsidRPr="00EA59C0">
        <w:t xml:space="preserve"> </w:t>
      </w:r>
      <w:r w:rsidRPr="00EA59C0">
        <w:t>Section</w:t>
      </w:r>
      <w:r w:rsidR="003E0F78" w:rsidRPr="00EA59C0">
        <w:t>s</w:t>
      </w:r>
      <w:r w:rsidR="00C026A6" w:rsidRPr="00EA59C0">
        <w:t xml:space="preserve"> </w:t>
      </w:r>
      <w:r w:rsidRPr="00EA59C0">
        <w:t>II.A</w:t>
      </w:r>
      <w:r w:rsidR="003E0F78" w:rsidRPr="00EA59C0">
        <w:t>.</w:t>
      </w:r>
      <w:r w:rsidR="00A3749B" w:rsidRPr="00EA59C0">
        <w:t>4</w:t>
      </w:r>
      <w:r w:rsidR="00C026A6" w:rsidRPr="00EA59C0">
        <w:t xml:space="preserve"> </w:t>
      </w:r>
      <w:r w:rsidR="003E0F78" w:rsidRPr="00EA59C0">
        <w:t>and</w:t>
      </w:r>
      <w:r w:rsidR="00C026A6" w:rsidRPr="00EA59C0">
        <w:t xml:space="preserve"> </w:t>
      </w:r>
      <w:r w:rsidR="003E0F78" w:rsidRPr="00EA59C0">
        <w:t>II.A.</w:t>
      </w:r>
      <w:r w:rsidR="00A3749B" w:rsidRPr="00EA59C0">
        <w:t>5</w:t>
      </w:r>
      <w:r w:rsidRPr="00EA59C0">
        <w:t>;</w:t>
      </w:r>
    </w:p>
    <w:p w:rsidR="002C3C5B" w:rsidRPr="00EA59C0" w:rsidRDefault="002C3C5B" w:rsidP="00080097">
      <w:pPr>
        <w:pStyle w:val="PlainText"/>
        <w:numPr>
          <w:ilvl w:val="0"/>
          <w:numId w:val="35"/>
        </w:numPr>
        <w:spacing w:before="0" w:beforeAutospacing="0" w:after="0" w:afterAutospacing="0"/>
      </w:pPr>
      <w:r w:rsidRPr="00EA59C0">
        <w:t>The</w:t>
      </w:r>
      <w:r w:rsidR="00C026A6" w:rsidRPr="00EA59C0">
        <w:t xml:space="preserve"> </w:t>
      </w:r>
      <w:r w:rsidRPr="00EA59C0">
        <w:t>lack</w:t>
      </w:r>
      <w:r w:rsidR="00C026A6" w:rsidRPr="00EA59C0">
        <w:t xml:space="preserve"> </w:t>
      </w:r>
      <w:r w:rsidRPr="00EA59C0">
        <w:t>of</w:t>
      </w:r>
      <w:r w:rsidR="00C026A6" w:rsidRPr="00EA59C0">
        <w:t xml:space="preserve"> </w:t>
      </w:r>
      <w:r w:rsidRPr="00EA59C0">
        <w:t>accreditation</w:t>
      </w:r>
      <w:r w:rsidR="00C026A6" w:rsidRPr="00EA59C0">
        <w:t xml:space="preserve"> </w:t>
      </w:r>
      <w:r w:rsidRPr="00EA59C0">
        <w:t>of</w:t>
      </w:r>
      <w:r w:rsidR="00C026A6" w:rsidRPr="00EA59C0">
        <w:t xml:space="preserve"> </w:t>
      </w:r>
      <w:r w:rsidRPr="00EA59C0">
        <w:t>the</w:t>
      </w:r>
      <w:r w:rsidR="00C026A6" w:rsidRPr="00EA59C0">
        <w:t xml:space="preserve"> </w:t>
      </w:r>
      <w:r w:rsidRPr="00EA59C0">
        <w:t>applicant</w:t>
      </w:r>
      <w:r w:rsidR="00C026A6" w:rsidRPr="00EA59C0">
        <w:t xml:space="preserve"> </w:t>
      </w:r>
      <w:r w:rsidR="00A422CD" w:rsidRPr="00EA59C0">
        <w:t>as</w:t>
      </w:r>
      <w:r w:rsidR="00C026A6" w:rsidRPr="00EA59C0">
        <w:t xml:space="preserve"> </w:t>
      </w:r>
      <w:r w:rsidR="00A422CD" w:rsidRPr="00EA59C0">
        <w:t>referenced</w:t>
      </w:r>
      <w:r w:rsidR="00C026A6" w:rsidRPr="00EA59C0">
        <w:t xml:space="preserve"> </w:t>
      </w:r>
      <w:r w:rsidR="00A422CD" w:rsidRPr="00EA59C0">
        <w:t>in</w:t>
      </w:r>
      <w:r w:rsidR="00C026A6" w:rsidRPr="00EA59C0">
        <w:t xml:space="preserve"> </w:t>
      </w:r>
      <w:r w:rsidR="00A422CD" w:rsidRPr="00EA59C0">
        <w:t>Section</w:t>
      </w:r>
      <w:r w:rsidR="00C026A6" w:rsidRPr="00EA59C0">
        <w:t xml:space="preserve"> </w:t>
      </w:r>
      <w:r w:rsidR="00A422CD" w:rsidRPr="00EA59C0">
        <w:t>III.A;</w:t>
      </w:r>
    </w:p>
    <w:p w:rsidR="007D1653" w:rsidRPr="00EA59C0" w:rsidRDefault="00891C56" w:rsidP="00080097">
      <w:pPr>
        <w:pStyle w:val="PlainText"/>
        <w:numPr>
          <w:ilvl w:val="0"/>
          <w:numId w:val="35"/>
        </w:numPr>
        <w:spacing w:before="0" w:beforeAutospacing="0" w:after="0" w:afterAutospacing="0"/>
      </w:pPr>
      <w:r w:rsidRPr="00EA59C0">
        <w:t>For</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t</w:t>
      </w:r>
      <w:r w:rsidR="002C3C5B" w:rsidRPr="00EA59C0">
        <w:t>he</w:t>
      </w:r>
      <w:r w:rsidR="00C026A6" w:rsidRPr="00EA59C0">
        <w:t xml:space="preserve"> </w:t>
      </w:r>
      <w:r w:rsidR="002C3C5B" w:rsidRPr="00EA59C0">
        <w:t>lack</w:t>
      </w:r>
      <w:r w:rsidR="00C026A6" w:rsidRPr="00EA59C0">
        <w:t xml:space="preserve"> </w:t>
      </w:r>
      <w:r w:rsidR="002C3C5B" w:rsidRPr="00EA59C0">
        <w:t>of</w:t>
      </w:r>
      <w:r w:rsidR="00C026A6" w:rsidRPr="00EA59C0">
        <w:t xml:space="preserve"> </w:t>
      </w:r>
      <w:r w:rsidR="002C3C5B" w:rsidRPr="00EA59C0">
        <w:t>accreditation</w:t>
      </w:r>
      <w:r w:rsidR="00C026A6" w:rsidRPr="00EA59C0">
        <w:t xml:space="preserve"> </w:t>
      </w:r>
      <w:r w:rsidR="002C3C5B" w:rsidRPr="00EA59C0">
        <w:t>of</w:t>
      </w:r>
      <w:r w:rsidR="00C026A6" w:rsidRPr="00EA59C0">
        <w:t xml:space="preserve"> </w:t>
      </w:r>
      <w:r w:rsidR="002C3C5B" w:rsidRPr="00EA59C0">
        <w:t>any</w:t>
      </w:r>
      <w:r w:rsidR="00C026A6" w:rsidRPr="00EA59C0">
        <w:t xml:space="preserve"> </w:t>
      </w:r>
      <w:r w:rsidR="002C3C5B" w:rsidRPr="00EA59C0">
        <w:t>consortium</w:t>
      </w:r>
      <w:r w:rsidR="00C026A6" w:rsidRPr="00EA59C0">
        <w:t xml:space="preserve"> </w:t>
      </w:r>
      <w:r w:rsidR="002C3C5B" w:rsidRPr="00EA59C0">
        <w:t>member</w:t>
      </w:r>
      <w:r w:rsidR="00C026A6" w:rsidRPr="00EA59C0">
        <w:t xml:space="preserve"> </w:t>
      </w:r>
      <w:r w:rsidR="00A422CD" w:rsidRPr="00EA59C0">
        <w:t>as</w:t>
      </w:r>
      <w:r w:rsidR="00C026A6" w:rsidRPr="00EA59C0">
        <w:t xml:space="preserve"> </w:t>
      </w:r>
      <w:r w:rsidR="00A422CD" w:rsidRPr="00EA59C0">
        <w:t>referenced</w:t>
      </w:r>
      <w:r w:rsidR="00C026A6" w:rsidRPr="00EA59C0">
        <w:t xml:space="preserve"> </w:t>
      </w:r>
      <w:r w:rsidR="00A422CD" w:rsidRPr="00EA59C0">
        <w:t>in</w:t>
      </w:r>
      <w:r w:rsidR="00C026A6" w:rsidRPr="00EA59C0">
        <w:t xml:space="preserve"> </w:t>
      </w:r>
      <w:r w:rsidR="00A422CD" w:rsidRPr="00EA59C0">
        <w:t>Section</w:t>
      </w:r>
      <w:r w:rsidR="00C026A6" w:rsidRPr="00EA59C0">
        <w:t xml:space="preserve"> </w:t>
      </w:r>
      <w:r w:rsidR="00A422CD" w:rsidRPr="00EA59C0">
        <w:t>III.A;</w:t>
      </w:r>
    </w:p>
    <w:p w:rsidR="00E27D2E" w:rsidRPr="00EA59C0" w:rsidRDefault="00E27D2E" w:rsidP="00080097">
      <w:pPr>
        <w:pStyle w:val="PlainText"/>
        <w:numPr>
          <w:ilvl w:val="0"/>
          <w:numId w:val="35"/>
        </w:numPr>
        <w:spacing w:before="0" w:beforeAutospacing="0" w:after="0" w:afterAutospacing="0"/>
      </w:pPr>
      <w:r w:rsidRPr="00EA59C0">
        <w:t>Failure</w:t>
      </w:r>
      <w:r w:rsidR="00C026A6" w:rsidRPr="00EA59C0">
        <w:t xml:space="preserve"> </w:t>
      </w:r>
      <w:r w:rsidRPr="00EA59C0">
        <w:t>to</w:t>
      </w:r>
      <w:r w:rsidR="00C026A6" w:rsidRPr="00EA59C0">
        <w:t xml:space="preserve"> </w:t>
      </w:r>
      <w:r w:rsidRPr="00EA59C0">
        <w:t>include:</w:t>
      </w:r>
      <w:r w:rsidR="00C026A6" w:rsidRPr="00EA59C0">
        <w:t xml:space="preserve"> </w:t>
      </w:r>
      <w:r w:rsidR="00B00D84" w:rsidRPr="00EA59C0">
        <w:t>signed</w:t>
      </w:r>
      <w:r w:rsidR="00C026A6" w:rsidRPr="00EA59C0">
        <w:t xml:space="preserve"> </w:t>
      </w:r>
      <w:r w:rsidRPr="00EA59C0">
        <w:t>SF-424</w:t>
      </w:r>
      <w:r w:rsidR="00C026A6" w:rsidRPr="00EA59C0">
        <w:t xml:space="preserve"> </w:t>
      </w:r>
      <w:r w:rsidRPr="00EA59C0">
        <w:t>including</w:t>
      </w:r>
      <w:r w:rsidR="00C026A6" w:rsidRPr="00EA59C0">
        <w:t xml:space="preserve"> </w:t>
      </w:r>
      <w:r w:rsidRPr="00EA59C0">
        <w:t>D-U-N-S®</w:t>
      </w:r>
      <w:r w:rsidR="00C026A6" w:rsidRPr="00EA59C0">
        <w:t xml:space="preserve"> </w:t>
      </w:r>
      <w:r w:rsidR="00313559" w:rsidRPr="00EA59C0">
        <w:t>(DUNS)</w:t>
      </w:r>
      <w:r w:rsidR="00C026A6" w:rsidRPr="00EA59C0">
        <w:t xml:space="preserve"> </w:t>
      </w:r>
      <w:r w:rsidRPr="00EA59C0">
        <w:t>Number,</w:t>
      </w:r>
      <w:r w:rsidR="00C026A6" w:rsidRPr="00EA59C0">
        <w:t xml:space="preserve"> </w:t>
      </w:r>
      <w:r w:rsidRPr="00EA59C0">
        <w:t>a</w:t>
      </w:r>
      <w:r w:rsidR="00C026A6" w:rsidRPr="00EA59C0">
        <w:t xml:space="preserve"> </w:t>
      </w:r>
      <w:r w:rsidRPr="00EA59C0">
        <w:t>project</w:t>
      </w:r>
      <w:r w:rsidR="00C026A6" w:rsidRPr="00EA59C0">
        <w:t xml:space="preserve"> </w:t>
      </w:r>
      <w:r w:rsidRPr="00EA59C0">
        <w:t>budget</w:t>
      </w:r>
      <w:r w:rsidR="00C026A6" w:rsidRPr="00EA59C0">
        <w:t xml:space="preserve"> </w:t>
      </w:r>
      <w:r w:rsidRPr="00EA59C0">
        <w:t>including</w:t>
      </w:r>
      <w:r w:rsidR="00C026A6" w:rsidRPr="00EA59C0">
        <w:t xml:space="preserve"> </w:t>
      </w:r>
      <w:r w:rsidRPr="00EA59C0">
        <w:t>a</w:t>
      </w:r>
      <w:r w:rsidR="00C026A6" w:rsidRPr="00EA59C0">
        <w:t xml:space="preserve"> </w:t>
      </w:r>
      <w:r w:rsidRPr="00EA59C0">
        <w:t>SF-424A</w:t>
      </w:r>
      <w:r w:rsidR="00C026A6" w:rsidRPr="00EA59C0">
        <w:t xml:space="preserve"> </w:t>
      </w:r>
      <w:r w:rsidRPr="00EA59C0">
        <w:t>and</w:t>
      </w:r>
      <w:r w:rsidR="00C026A6" w:rsidRPr="00EA59C0">
        <w:t xml:space="preserve"> </w:t>
      </w:r>
      <w:r w:rsidRPr="00EA59C0">
        <w:t>budget</w:t>
      </w:r>
      <w:r w:rsidR="00C026A6" w:rsidRPr="00EA59C0">
        <w:t xml:space="preserve"> </w:t>
      </w:r>
      <w:r w:rsidRPr="00EA59C0">
        <w:t>narrative,</w:t>
      </w:r>
      <w:r w:rsidR="00C026A6" w:rsidRPr="00EA59C0">
        <w:t xml:space="preserve"> </w:t>
      </w:r>
      <w:r w:rsidR="00B00D84" w:rsidRPr="00EA59C0">
        <w:t>and</w:t>
      </w:r>
      <w:r w:rsidR="00C026A6" w:rsidRPr="00EA59C0">
        <w:t xml:space="preserve"> </w:t>
      </w:r>
      <w:r w:rsidRPr="00EA59C0">
        <w:t>a</w:t>
      </w:r>
      <w:r w:rsidR="00C026A6" w:rsidRPr="00EA59C0">
        <w:t xml:space="preserve"> </w:t>
      </w:r>
      <w:r w:rsidRPr="00EA59C0">
        <w:t>project</w:t>
      </w:r>
      <w:r w:rsidR="00C026A6" w:rsidRPr="00EA59C0">
        <w:t xml:space="preserve"> </w:t>
      </w:r>
      <w:r w:rsidRPr="00EA59C0">
        <w:t>narrative</w:t>
      </w:r>
      <w:r w:rsidR="00C026A6" w:rsidRPr="00EA59C0">
        <w:t xml:space="preserve"> </w:t>
      </w:r>
      <w:r w:rsidR="00CB2F90" w:rsidRPr="00EA59C0">
        <w:t>referenced</w:t>
      </w:r>
      <w:r w:rsidR="00C026A6" w:rsidRPr="00EA59C0">
        <w:t xml:space="preserve"> </w:t>
      </w:r>
      <w:r w:rsidR="00CB2F90" w:rsidRPr="00EA59C0">
        <w:t>in</w:t>
      </w:r>
      <w:r w:rsidR="00C026A6" w:rsidRPr="00EA59C0">
        <w:t xml:space="preserve"> </w:t>
      </w:r>
      <w:r w:rsidR="00CB2F90" w:rsidRPr="00EA59C0">
        <w:t>Section</w:t>
      </w:r>
      <w:r w:rsidR="00C026A6" w:rsidRPr="00EA59C0">
        <w:t xml:space="preserve"> </w:t>
      </w:r>
      <w:r w:rsidR="00CB2F90" w:rsidRPr="00EA59C0">
        <w:t>IV.B</w:t>
      </w:r>
      <w:r w:rsidRPr="00EA59C0">
        <w:t>;</w:t>
      </w:r>
    </w:p>
    <w:p w:rsidR="00E27D2E" w:rsidRPr="00EA59C0" w:rsidRDefault="00E27D2E" w:rsidP="00080097">
      <w:pPr>
        <w:pStyle w:val="PlainText"/>
        <w:numPr>
          <w:ilvl w:val="0"/>
          <w:numId w:val="35"/>
        </w:numPr>
        <w:spacing w:before="0" w:beforeAutospacing="0" w:after="0" w:afterAutospacing="0"/>
      </w:pPr>
      <w:r w:rsidRPr="00EA59C0">
        <w:t>Failure</w:t>
      </w:r>
      <w:r w:rsidR="00C026A6" w:rsidRPr="00EA59C0">
        <w:t xml:space="preserve"> </w:t>
      </w:r>
      <w:r w:rsidRPr="00EA59C0">
        <w:t>to</w:t>
      </w:r>
      <w:r w:rsidR="00C026A6" w:rsidRPr="00EA59C0">
        <w:t xml:space="preserve"> </w:t>
      </w:r>
      <w:r w:rsidRPr="00EA59C0">
        <w:t>register</w:t>
      </w:r>
      <w:r w:rsidR="00C026A6" w:rsidRPr="00EA59C0">
        <w:t xml:space="preserve"> </w:t>
      </w:r>
      <w:r w:rsidRPr="00EA59C0">
        <w:t>with</w:t>
      </w:r>
      <w:r w:rsidR="00C026A6" w:rsidRPr="00EA59C0">
        <w:t xml:space="preserve"> </w:t>
      </w:r>
      <w:r w:rsidRPr="00EA59C0">
        <w:t>SAM</w:t>
      </w:r>
      <w:r w:rsidR="00C026A6" w:rsidRPr="00EA59C0">
        <w:t xml:space="preserve"> </w:t>
      </w:r>
      <w:r w:rsidRPr="00EA59C0">
        <w:t>and</w:t>
      </w:r>
      <w:r w:rsidR="00C026A6" w:rsidRPr="00EA59C0">
        <w:t xml:space="preserve"> </w:t>
      </w:r>
      <w:r w:rsidRPr="00EA59C0">
        <w:t>maintain</w:t>
      </w:r>
      <w:r w:rsidR="00C026A6" w:rsidRPr="00EA59C0">
        <w:t xml:space="preserve"> </w:t>
      </w:r>
      <w:r w:rsidRPr="00EA59C0">
        <w:t>an</w:t>
      </w:r>
      <w:r w:rsidR="00C026A6" w:rsidRPr="00EA59C0">
        <w:t xml:space="preserve"> </w:t>
      </w:r>
      <w:r w:rsidRPr="00EA59C0">
        <w:t>active</w:t>
      </w:r>
      <w:r w:rsidR="00C026A6" w:rsidRPr="00EA59C0">
        <w:t xml:space="preserve"> </w:t>
      </w:r>
      <w:r w:rsidRPr="00EA59C0">
        <w:t>account</w:t>
      </w:r>
      <w:r w:rsidR="00C026A6" w:rsidRPr="00EA59C0">
        <w:t xml:space="preserve"> </w:t>
      </w:r>
      <w:r w:rsidR="0042152C" w:rsidRPr="00EA59C0">
        <w:t>referenced</w:t>
      </w:r>
      <w:r w:rsidR="00C026A6" w:rsidRPr="00EA59C0">
        <w:t xml:space="preserve"> </w:t>
      </w:r>
      <w:r w:rsidR="0042152C" w:rsidRPr="00EA59C0">
        <w:t>in</w:t>
      </w:r>
      <w:r w:rsidR="00C026A6" w:rsidRPr="00EA59C0">
        <w:t xml:space="preserve"> </w:t>
      </w:r>
      <w:r w:rsidR="0042152C" w:rsidRPr="00EA59C0">
        <w:t>Section</w:t>
      </w:r>
      <w:r w:rsidR="00C026A6" w:rsidRPr="00EA59C0">
        <w:t xml:space="preserve"> </w:t>
      </w:r>
      <w:r w:rsidR="00CB2F90" w:rsidRPr="00EA59C0">
        <w:t>IV.</w:t>
      </w:r>
      <w:r w:rsidR="00391CD6" w:rsidRPr="00EA59C0">
        <w:t>C</w:t>
      </w:r>
      <w:r w:rsidRPr="00EA59C0">
        <w:t>;</w:t>
      </w:r>
      <w:r w:rsidR="00C026A6" w:rsidRPr="00EA59C0">
        <w:t xml:space="preserve"> </w:t>
      </w:r>
    </w:p>
    <w:p w:rsidR="00C94AFB" w:rsidRPr="00EA59C0" w:rsidRDefault="00E27D2E" w:rsidP="00080097">
      <w:pPr>
        <w:pStyle w:val="PlainText"/>
        <w:numPr>
          <w:ilvl w:val="0"/>
          <w:numId w:val="35"/>
        </w:numPr>
        <w:spacing w:before="0" w:beforeAutospacing="0" w:after="0" w:afterAutospacing="0"/>
      </w:pPr>
      <w:r w:rsidRPr="00EA59C0">
        <w:t>Failure</w:t>
      </w:r>
      <w:r w:rsidR="00C026A6" w:rsidRPr="00EA59C0">
        <w:t xml:space="preserve"> </w:t>
      </w:r>
      <w:r w:rsidRPr="00EA59C0">
        <w:t>to</w:t>
      </w:r>
      <w:r w:rsidR="00C026A6" w:rsidRPr="00EA59C0">
        <w:t xml:space="preserve"> </w:t>
      </w:r>
      <w:r w:rsidRPr="00EA59C0">
        <w:t>include</w:t>
      </w:r>
      <w:r w:rsidR="00C026A6" w:rsidRPr="00EA59C0">
        <w:t xml:space="preserve"> </w:t>
      </w:r>
      <w:r w:rsidRPr="00EA59C0">
        <w:t>required</w:t>
      </w:r>
      <w:r w:rsidR="00C026A6" w:rsidRPr="00EA59C0">
        <w:t xml:space="preserve"> </w:t>
      </w:r>
      <w:r w:rsidRPr="00EA59C0">
        <w:t>information</w:t>
      </w:r>
      <w:r w:rsidR="00C026A6" w:rsidRPr="00EA59C0">
        <w:t xml:space="preserve"> </w:t>
      </w:r>
      <w:r w:rsidRPr="00EA59C0">
        <w:t>as</w:t>
      </w:r>
      <w:r w:rsidR="00C026A6" w:rsidRPr="00EA59C0">
        <w:t xml:space="preserve"> </w:t>
      </w:r>
      <w:r w:rsidRPr="00EA59C0">
        <w:t>an</w:t>
      </w:r>
      <w:r w:rsidR="00C026A6" w:rsidRPr="00EA59C0">
        <w:t xml:space="preserve"> </w:t>
      </w:r>
      <w:r w:rsidRPr="00EA59C0">
        <w:t>attachment</w:t>
      </w:r>
      <w:r w:rsidR="00C026A6" w:rsidRPr="00EA59C0">
        <w:t xml:space="preserve"> </w:t>
      </w:r>
      <w:r w:rsidR="00CB2F90" w:rsidRPr="00EA59C0">
        <w:t>referenced</w:t>
      </w:r>
      <w:r w:rsidR="00C026A6" w:rsidRPr="00EA59C0">
        <w:t xml:space="preserve"> </w:t>
      </w:r>
      <w:r w:rsidR="00CB2F90" w:rsidRPr="00EA59C0">
        <w:t>in</w:t>
      </w:r>
      <w:r w:rsidR="00C026A6" w:rsidRPr="00EA59C0">
        <w:t xml:space="preserve"> </w:t>
      </w:r>
      <w:r w:rsidR="00CB2F90" w:rsidRPr="00EA59C0">
        <w:t>Section</w:t>
      </w:r>
      <w:r w:rsidR="00C026A6" w:rsidRPr="00EA59C0">
        <w:t xml:space="preserve"> </w:t>
      </w:r>
      <w:r w:rsidR="00CB2F90" w:rsidRPr="00EA59C0">
        <w:t>IV.B</w:t>
      </w:r>
      <w:r w:rsidR="004536EC" w:rsidRPr="00EA59C0">
        <w:t>; and</w:t>
      </w:r>
    </w:p>
    <w:p w:rsidR="007627B6" w:rsidRPr="00EA59C0" w:rsidRDefault="007627B6" w:rsidP="00080097">
      <w:pPr>
        <w:pStyle w:val="PlainText"/>
        <w:numPr>
          <w:ilvl w:val="0"/>
          <w:numId w:val="35"/>
        </w:numPr>
        <w:spacing w:before="0" w:beforeAutospacing="0" w:after="0" w:afterAutospacing="0"/>
      </w:pPr>
      <w:r w:rsidRPr="00EA59C0">
        <w:t>Failure to include required information as an attachment referenced in Section IV.B, including:</w:t>
      </w:r>
    </w:p>
    <w:p w:rsidR="007627B6" w:rsidRPr="00EA59C0" w:rsidRDefault="007627B6" w:rsidP="00080097">
      <w:pPr>
        <w:pStyle w:val="PlainText"/>
        <w:numPr>
          <w:ilvl w:val="1"/>
          <w:numId w:val="56"/>
        </w:numPr>
        <w:spacing w:before="0" w:beforeAutospacing="0" w:after="0" w:afterAutospacing="0"/>
        <w:ind w:left="1800"/>
      </w:pPr>
      <w:r w:rsidRPr="00EA59C0">
        <w:t>Abstract;</w:t>
      </w:r>
    </w:p>
    <w:p w:rsidR="007627B6" w:rsidRPr="00EA59C0" w:rsidRDefault="007627B6" w:rsidP="00080097">
      <w:pPr>
        <w:pStyle w:val="PlainText"/>
        <w:numPr>
          <w:ilvl w:val="1"/>
          <w:numId w:val="56"/>
        </w:numPr>
        <w:spacing w:before="0" w:beforeAutospacing="0" w:after="0" w:afterAutospacing="0"/>
        <w:ind w:left="1800"/>
      </w:pPr>
      <w:r w:rsidRPr="00EA59C0">
        <w:t>Documentation of Employer Commitment;</w:t>
      </w:r>
    </w:p>
    <w:p w:rsidR="007627B6" w:rsidRPr="00EA59C0" w:rsidRDefault="007627B6" w:rsidP="00080097">
      <w:pPr>
        <w:pStyle w:val="PlainText"/>
        <w:numPr>
          <w:ilvl w:val="1"/>
          <w:numId w:val="56"/>
        </w:numPr>
        <w:spacing w:before="0" w:beforeAutospacing="0" w:after="0" w:afterAutospacing="0"/>
        <w:ind w:left="1800"/>
      </w:pPr>
      <w:r w:rsidRPr="00EA59C0">
        <w:t>Documentation of Workforce System Commitment;</w:t>
      </w:r>
    </w:p>
    <w:p w:rsidR="007627B6" w:rsidRPr="00EA59C0" w:rsidRDefault="007627B6" w:rsidP="00080097">
      <w:pPr>
        <w:pStyle w:val="PlainText"/>
        <w:numPr>
          <w:ilvl w:val="1"/>
          <w:numId w:val="56"/>
        </w:numPr>
        <w:spacing w:before="0" w:beforeAutospacing="0" w:after="0" w:afterAutospacing="0"/>
        <w:ind w:left="1800"/>
      </w:pPr>
      <w:r w:rsidRPr="00EA59C0">
        <w:t>Program Evaluation Plan and Budget Narrative; and</w:t>
      </w:r>
    </w:p>
    <w:p w:rsidR="00D34654" w:rsidRPr="00EA59C0" w:rsidRDefault="007627B6" w:rsidP="00080097">
      <w:pPr>
        <w:pStyle w:val="PlainText"/>
        <w:numPr>
          <w:ilvl w:val="1"/>
          <w:numId w:val="56"/>
        </w:numPr>
        <w:spacing w:before="0" w:beforeAutospacing="0" w:after="0" w:afterAutospacing="0"/>
        <w:ind w:left="1800"/>
      </w:pPr>
      <w:r w:rsidRPr="00EA59C0">
        <w:t>Employment Results Scorecard Workplan (for Single State Consortium Applicants) or Employment Results Scorecard Continuous Improvement Workplan (for Regional Mul</w:t>
      </w:r>
      <w:r w:rsidR="004536EC" w:rsidRPr="00EA59C0">
        <w:t>ti-State Consortium Applicants)</w:t>
      </w:r>
      <w:r w:rsidRPr="00EA59C0">
        <w:t>.</w:t>
      </w:r>
    </w:p>
    <w:p w:rsidR="007627B6" w:rsidRPr="00EA59C0" w:rsidRDefault="007627B6" w:rsidP="00A72633">
      <w:pPr>
        <w:pStyle w:val="PlainText"/>
        <w:spacing w:before="0" w:beforeAutospacing="0" w:after="0" w:afterAutospacing="0"/>
        <w:ind w:left="1080"/>
      </w:pPr>
    </w:p>
    <w:p w:rsidR="007470AB" w:rsidRPr="00EA59C0" w:rsidRDefault="005F4DD2" w:rsidP="006626AE">
      <w:pPr>
        <w:pStyle w:val="Heading1"/>
        <w:numPr>
          <w:ilvl w:val="2"/>
          <w:numId w:val="17"/>
        </w:numPr>
        <w:spacing w:line="240" w:lineRule="auto"/>
        <w:rPr>
          <w:rFonts w:ascii="Times New Roman" w:hAnsi="Times New Roman"/>
          <w:b w:val="0"/>
        </w:rPr>
      </w:pPr>
      <w:r w:rsidRPr="00EA59C0">
        <w:rPr>
          <w:rFonts w:ascii="Times New Roman" w:hAnsi="Times New Roman"/>
          <w:b w:val="0"/>
        </w:rPr>
        <w:t>Number</w:t>
      </w:r>
      <w:r w:rsidR="00C026A6" w:rsidRPr="00EA59C0">
        <w:rPr>
          <w:rFonts w:ascii="Times New Roman" w:hAnsi="Times New Roman"/>
          <w:b w:val="0"/>
        </w:rPr>
        <w:t xml:space="preserve"> </w:t>
      </w:r>
      <w:r w:rsidRPr="00EA59C0">
        <w:rPr>
          <w:rFonts w:ascii="Times New Roman" w:hAnsi="Times New Roman"/>
          <w:b w:val="0"/>
        </w:rPr>
        <w:t>of</w:t>
      </w:r>
      <w:r w:rsidR="00C026A6" w:rsidRPr="00EA59C0">
        <w:rPr>
          <w:rFonts w:ascii="Times New Roman" w:hAnsi="Times New Roman"/>
          <w:b w:val="0"/>
        </w:rPr>
        <w:t xml:space="preserve"> </w:t>
      </w:r>
      <w:r w:rsidRPr="00EA59C0">
        <w:rPr>
          <w:rFonts w:ascii="Times New Roman" w:hAnsi="Times New Roman"/>
          <w:b w:val="0"/>
        </w:rPr>
        <w:t>Applications</w:t>
      </w:r>
      <w:r w:rsidR="00C026A6" w:rsidRPr="00EA59C0">
        <w:rPr>
          <w:rFonts w:ascii="Times New Roman" w:hAnsi="Times New Roman"/>
          <w:b w:val="0"/>
        </w:rPr>
        <w:t xml:space="preserve"> </w:t>
      </w:r>
      <w:r w:rsidR="00B3470E" w:rsidRPr="00EA59C0">
        <w:rPr>
          <w:rFonts w:ascii="Times New Roman" w:hAnsi="Times New Roman"/>
          <w:b w:val="0"/>
        </w:rPr>
        <w:t>to</w:t>
      </w:r>
      <w:r w:rsidR="00C026A6" w:rsidRPr="00EA59C0">
        <w:rPr>
          <w:rFonts w:ascii="Times New Roman" w:hAnsi="Times New Roman"/>
          <w:b w:val="0"/>
        </w:rPr>
        <w:t xml:space="preserve"> </w:t>
      </w:r>
      <w:r w:rsidRPr="00EA59C0">
        <w:rPr>
          <w:rFonts w:ascii="Times New Roman" w:hAnsi="Times New Roman"/>
          <w:b w:val="0"/>
        </w:rPr>
        <w:t>Be</w:t>
      </w:r>
      <w:r w:rsidR="00C026A6" w:rsidRPr="00EA59C0">
        <w:rPr>
          <w:rFonts w:ascii="Times New Roman" w:hAnsi="Times New Roman"/>
          <w:b w:val="0"/>
        </w:rPr>
        <w:t xml:space="preserve"> </w:t>
      </w:r>
      <w:r w:rsidRPr="00EA59C0">
        <w:rPr>
          <w:rFonts w:ascii="Times New Roman" w:hAnsi="Times New Roman"/>
          <w:b w:val="0"/>
        </w:rPr>
        <w:t>Submitted</w:t>
      </w:r>
      <w:r w:rsidR="00C026A6" w:rsidRPr="00EA59C0">
        <w:rPr>
          <w:rFonts w:ascii="Times New Roman" w:hAnsi="Times New Roman"/>
          <w:b w:val="0"/>
        </w:rPr>
        <w:t xml:space="preserve"> </w:t>
      </w:r>
    </w:p>
    <w:p w:rsidR="005F4DD2" w:rsidRPr="00EA59C0" w:rsidRDefault="00033F22" w:rsidP="00A72633">
      <w:pPr>
        <w:widowControl w:val="0"/>
        <w:ind w:left="1080"/>
      </w:pPr>
      <w:r w:rsidRPr="00EA59C0">
        <w:t>Eligible</w:t>
      </w:r>
      <w:r w:rsidR="00C026A6" w:rsidRPr="00EA59C0">
        <w:t xml:space="preserve"> </w:t>
      </w:r>
      <w:r w:rsidRPr="00EA59C0">
        <w:t>institutions</w:t>
      </w:r>
      <w:r w:rsidR="00C026A6" w:rsidRPr="00EA59C0">
        <w:t xml:space="preserve"> </w:t>
      </w:r>
      <w:r w:rsidRPr="00EA59C0">
        <w:t>may</w:t>
      </w:r>
      <w:r w:rsidR="00C026A6" w:rsidRPr="00EA59C0">
        <w:t xml:space="preserve"> </w:t>
      </w:r>
      <w:r w:rsidRPr="00EA59C0">
        <w:t>submit</w:t>
      </w:r>
      <w:r w:rsidR="00C026A6" w:rsidRPr="00EA59C0">
        <w:t xml:space="preserve"> </w:t>
      </w:r>
      <w:r w:rsidRPr="00EA59C0">
        <w:t>one</w:t>
      </w:r>
      <w:r w:rsidR="00C026A6" w:rsidRPr="00EA59C0">
        <w:t xml:space="preserve"> </w:t>
      </w:r>
      <w:r w:rsidRPr="00EA59C0">
        <w:t>application</w:t>
      </w:r>
      <w:r w:rsidR="00C026A6" w:rsidRPr="00EA59C0">
        <w:t xml:space="preserve"> </w:t>
      </w:r>
      <w:r w:rsidRPr="00EA59C0">
        <w:t>in</w:t>
      </w:r>
      <w:r w:rsidR="00C026A6" w:rsidRPr="00EA59C0">
        <w:t xml:space="preserve"> </w:t>
      </w:r>
      <w:r w:rsidRPr="00EA59C0">
        <w:t>response</w:t>
      </w:r>
      <w:r w:rsidR="00C026A6" w:rsidRPr="00EA59C0">
        <w:t xml:space="preserve"> </w:t>
      </w:r>
      <w:r w:rsidRPr="00EA59C0">
        <w:t>to</w:t>
      </w:r>
      <w:r w:rsidR="00C026A6" w:rsidRPr="00EA59C0">
        <w:t xml:space="preserve"> </w:t>
      </w:r>
      <w:r w:rsidRPr="00EA59C0">
        <w:t>this</w:t>
      </w:r>
      <w:r w:rsidR="00C026A6" w:rsidRPr="00EA59C0">
        <w:t xml:space="preserve"> </w:t>
      </w:r>
      <w:r w:rsidRPr="00EA59C0">
        <w:t>SGA,</w:t>
      </w:r>
      <w:r w:rsidR="00C026A6" w:rsidRPr="00EA59C0">
        <w:t xml:space="preserve"> </w:t>
      </w:r>
      <w:r w:rsidRPr="00EA59C0">
        <w:t>either</w:t>
      </w:r>
      <w:r w:rsidR="00C026A6" w:rsidRPr="00EA59C0">
        <w:t xml:space="preserve"> </w:t>
      </w:r>
      <w:r w:rsidRPr="00EA59C0">
        <w:t>as</w:t>
      </w:r>
      <w:r w:rsidR="00C026A6" w:rsidRPr="00EA59C0">
        <w:t xml:space="preserve"> </w:t>
      </w:r>
      <w:r w:rsidRPr="00EA59C0">
        <w:t>a</w:t>
      </w:r>
      <w:r w:rsidR="00C026A6" w:rsidRPr="00EA59C0">
        <w:t xml:space="preserve"> </w:t>
      </w:r>
      <w:r w:rsidRPr="00EA59C0">
        <w:t>single</w:t>
      </w:r>
      <w:r w:rsidR="00C026A6" w:rsidRPr="00EA59C0">
        <w:t xml:space="preserve"> </w:t>
      </w:r>
      <w:r w:rsidR="00F75006" w:rsidRPr="00EA59C0">
        <w:t>institution</w:t>
      </w:r>
      <w:r w:rsidR="00C026A6" w:rsidRPr="00EA59C0">
        <w:t xml:space="preserve"> </w:t>
      </w:r>
      <w:r w:rsidRPr="00EA59C0">
        <w:t>applicant</w:t>
      </w:r>
      <w:r w:rsidR="00C026A6" w:rsidRPr="00EA59C0">
        <w:t xml:space="preserve"> </w:t>
      </w:r>
      <w:r w:rsidRPr="00EA59C0">
        <w:t>or</w:t>
      </w:r>
      <w:r w:rsidR="00C026A6" w:rsidRPr="00EA59C0">
        <w:t xml:space="preserve"> </w:t>
      </w:r>
      <w:r w:rsidRPr="00EA59C0">
        <w:t>as</w:t>
      </w:r>
      <w:r w:rsidR="00C026A6" w:rsidRPr="00EA59C0">
        <w:t xml:space="preserve"> </w:t>
      </w:r>
      <w:r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r w:rsidRPr="00EA59C0">
        <w:t>in</w:t>
      </w:r>
      <w:r w:rsidR="00C026A6" w:rsidRPr="00EA59C0">
        <w:t xml:space="preserve"> </w:t>
      </w:r>
      <w:r w:rsidRPr="00EA59C0">
        <w:t>a</w:t>
      </w:r>
      <w:r w:rsidR="00C026A6" w:rsidRPr="00EA59C0">
        <w:t xml:space="preserve"> </w:t>
      </w:r>
      <w:r w:rsidRPr="00EA59C0">
        <w:t>consortium</w:t>
      </w:r>
      <w:r w:rsidR="00C026A6" w:rsidRPr="00EA59C0">
        <w:t xml:space="preserve"> </w:t>
      </w:r>
      <w:r w:rsidRPr="00EA59C0">
        <w:t>application.</w:t>
      </w:r>
      <w:r w:rsidR="00C026A6" w:rsidRPr="00EA59C0">
        <w:t xml:space="preserve">  </w:t>
      </w:r>
      <w:r w:rsidRPr="00EA59C0">
        <w:t>However,</w:t>
      </w:r>
      <w:r w:rsidR="00C026A6" w:rsidRPr="00EA59C0">
        <w:t xml:space="preserve"> </w:t>
      </w:r>
      <w:r w:rsidRPr="00EA59C0">
        <w:t>eligible</w:t>
      </w:r>
      <w:r w:rsidR="00C026A6" w:rsidRPr="00EA59C0">
        <w:t xml:space="preserve"> </w:t>
      </w:r>
      <w:r w:rsidRPr="00EA59C0">
        <w:t>institutions</w:t>
      </w:r>
      <w:r w:rsidR="00C026A6" w:rsidRPr="00EA59C0">
        <w:t xml:space="preserve"> </w:t>
      </w:r>
      <w:r w:rsidRPr="00EA59C0">
        <w:t>may</w:t>
      </w:r>
      <w:r w:rsidR="00C026A6" w:rsidRPr="00EA59C0">
        <w:t xml:space="preserve"> </w:t>
      </w:r>
      <w:r w:rsidRPr="00EA59C0">
        <w:t>submit</w:t>
      </w:r>
      <w:r w:rsidR="00C026A6" w:rsidRPr="00EA59C0">
        <w:t xml:space="preserve"> </w:t>
      </w:r>
      <w:r w:rsidRPr="00EA59C0">
        <w:t>an</w:t>
      </w:r>
      <w:r w:rsidR="00C026A6" w:rsidRPr="00EA59C0">
        <w:t xml:space="preserve"> </w:t>
      </w:r>
      <w:r w:rsidRPr="00EA59C0">
        <w:t>application</w:t>
      </w:r>
      <w:r w:rsidR="00C026A6" w:rsidRPr="00EA59C0">
        <w:t xml:space="preserve"> </w:t>
      </w:r>
      <w:r w:rsidRPr="00EA59C0">
        <w:t>as</w:t>
      </w:r>
      <w:r w:rsidR="00C026A6" w:rsidRPr="00EA59C0">
        <w:t xml:space="preserve"> </w:t>
      </w:r>
      <w:r w:rsidRPr="00EA59C0">
        <w:t>a</w:t>
      </w:r>
      <w:r w:rsidR="00C026A6" w:rsidRPr="00EA59C0">
        <w:t xml:space="preserve"> </w:t>
      </w:r>
      <w:r w:rsidRPr="00EA59C0">
        <w:t>single</w:t>
      </w:r>
      <w:r w:rsidR="00C026A6" w:rsidRPr="00EA59C0">
        <w:t xml:space="preserve"> </w:t>
      </w:r>
      <w:r w:rsidRPr="00EA59C0">
        <w:t>institution</w:t>
      </w:r>
      <w:r w:rsidR="00C026A6" w:rsidRPr="00EA59C0">
        <w:t xml:space="preserve"> </w:t>
      </w:r>
      <w:r w:rsidR="00F75006" w:rsidRPr="00EA59C0">
        <w:t>applicant</w:t>
      </w:r>
      <w:r w:rsidRPr="00EA59C0">
        <w:t>,</w:t>
      </w:r>
      <w:r w:rsidR="00C026A6" w:rsidRPr="00EA59C0">
        <w:t xml:space="preserve"> </w:t>
      </w:r>
      <w:r w:rsidRPr="00EA59C0">
        <w:t>and</w:t>
      </w:r>
      <w:r w:rsidR="00C026A6" w:rsidRPr="00EA59C0">
        <w:t xml:space="preserve"> </w:t>
      </w:r>
      <w:r w:rsidRPr="00EA59C0">
        <w:t>also</w:t>
      </w:r>
      <w:r w:rsidR="00C026A6" w:rsidRPr="00EA59C0">
        <w:t xml:space="preserve"> </w:t>
      </w:r>
      <w:r w:rsidRPr="00EA59C0">
        <w:t>serve</w:t>
      </w:r>
      <w:r w:rsidR="00C026A6" w:rsidRPr="00EA59C0">
        <w:t xml:space="preserve"> </w:t>
      </w:r>
      <w:r w:rsidRPr="00EA59C0">
        <w:t>as</w:t>
      </w:r>
      <w:r w:rsidR="00C026A6" w:rsidRPr="00EA59C0">
        <w:t xml:space="preserve"> </w:t>
      </w:r>
      <w:r w:rsidRPr="00EA59C0">
        <w:t>a</w:t>
      </w:r>
      <w:r w:rsidR="00C026A6" w:rsidRPr="00EA59C0">
        <w:t xml:space="preserve"> </w:t>
      </w:r>
      <w:r w:rsidRPr="00EA59C0">
        <w:t>member</w:t>
      </w:r>
      <w:r w:rsidR="00C026A6" w:rsidRPr="00EA59C0">
        <w:t xml:space="preserve"> </w:t>
      </w:r>
      <w:r w:rsidRPr="00EA59C0">
        <w:t>of</w:t>
      </w:r>
      <w:r w:rsidR="00C026A6" w:rsidRPr="00EA59C0">
        <w:t xml:space="preserve"> </w:t>
      </w:r>
      <w:r w:rsidRPr="00EA59C0">
        <w:t>a</w:t>
      </w:r>
      <w:r w:rsidR="00C026A6" w:rsidRPr="00EA59C0">
        <w:t xml:space="preserve"> </w:t>
      </w:r>
      <w:r w:rsidRPr="00EA59C0">
        <w:t>consortium</w:t>
      </w:r>
      <w:r w:rsidR="00C026A6" w:rsidRPr="00EA59C0">
        <w:t xml:space="preserve"> </w:t>
      </w:r>
      <w:r w:rsidRPr="00EA59C0">
        <w:t>in</w:t>
      </w:r>
      <w:r w:rsidR="00C026A6" w:rsidRPr="00EA59C0">
        <w:t xml:space="preserve"> </w:t>
      </w:r>
      <w:r w:rsidRPr="00EA59C0">
        <w:t>one</w:t>
      </w:r>
      <w:r w:rsidR="00C026A6" w:rsidRPr="00EA59C0">
        <w:t xml:space="preserve"> </w:t>
      </w:r>
      <w:r w:rsidRPr="00EA59C0">
        <w:t>or</w:t>
      </w:r>
      <w:r w:rsidR="00C026A6" w:rsidRPr="00EA59C0">
        <w:t xml:space="preserve"> </w:t>
      </w:r>
      <w:r w:rsidRPr="00EA59C0">
        <w:t>more</w:t>
      </w:r>
      <w:r w:rsidR="00C026A6" w:rsidRPr="00EA59C0">
        <w:t xml:space="preserve"> </w:t>
      </w:r>
      <w:r w:rsidRPr="00EA59C0">
        <w:t>consortium</w:t>
      </w:r>
      <w:r w:rsidR="00C026A6" w:rsidRPr="00EA59C0">
        <w:t xml:space="preserve"> </w:t>
      </w:r>
      <w:r w:rsidRPr="00EA59C0">
        <w:t>applications</w:t>
      </w:r>
      <w:r w:rsidR="00C026A6" w:rsidRPr="00EA59C0">
        <w:t xml:space="preserve"> </w:t>
      </w:r>
      <w:r w:rsidRPr="00EA59C0">
        <w:t>in</w:t>
      </w:r>
      <w:r w:rsidR="00C026A6" w:rsidRPr="00EA59C0">
        <w:t xml:space="preserve"> </w:t>
      </w:r>
      <w:r w:rsidRPr="00EA59C0">
        <w:t>which</w:t>
      </w:r>
      <w:r w:rsidR="00C026A6" w:rsidRPr="00EA59C0">
        <w:t xml:space="preserve"> </w:t>
      </w:r>
      <w:r w:rsidRPr="00EA59C0">
        <w:t>they</w:t>
      </w:r>
      <w:r w:rsidR="00C026A6" w:rsidRPr="00EA59C0">
        <w:t xml:space="preserve"> </w:t>
      </w:r>
      <w:r w:rsidRPr="00EA59C0">
        <w:t>do</w:t>
      </w:r>
      <w:r w:rsidR="00C026A6" w:rsidRPr="00EA59C0">
        <w:t xml:space="preserve"> </w:t>
      </w:r>
      <w:r w:rsidRPr="00EA59C0">
        <w:t>not</w:t>
      </w:r>
      <w:r w:rsidR="00C026A6" w:rsidRPr="00EA59C0">
        <w:t xml:space="preserve"> </w:t>
      </w:r>
      <w:r w:rsidRPr="00EA59C0">
        <w:t>serve</w:t>
      </w:r>
      <w:r w:rsidR="00C026A6" w:rsidRPr="00EA59C0">
        <w:t xml:space="preserve"> </w:t>
      </w:r>
      <w:r w:rsidRPr="00EA59C0">
        <w:t>as</w:t>
      </w:r>
      <w:r w:rsidR="00C026A6" w:rsidRPr="00EA59C0">
        <w:t xml:space="preserve"> </w:t>
      </w:r>
      <w:r w:rsidRPr="00EA59C0">
        <w:t>the</w:t>
      </w:r>
      <w:r w:rsidR="00C026A6" w:rsidRPr="00EA59C0">
        <w:t xml:space="preserve"> </w:t>
      </w:r>
      <w:r w:rsidRPr="00EA59C0">
        <w:t>Lead</w:t>
      </w:r>
      <w:r w:rsidR="00C026A6" w:rsidRPr="00EA59C0">
        <w:t xml:space="preserve"> </w:t>
      </w:r>
      <w:r w:rsidRPr="00EA59C0">
        <w:t>Institution</w:t>
      </w:r>
      <w:r w:rsidR="00627EF8" w:rsidRPr="00EA59C0">
        <w:t>.</w:t>
      </w:r>
      <w:r w:rsidR="00C026A6" w:rsidRPr="00EA59C0">
        <w:t xml:space="preserve"> </w:t>
      </w:r>
    </w:p>
    <w:p w:rsidR="00627EF8" w:rsidRPr="00EA59C0" w:rsidRDefault="00627EF8" w:rsidP="00A72633">
      <w:pPr>
        <w:widowControl w:val="0"/>
        <w:ind w:left="1080"/>
      </w:pPr>
    </w:p>
    <w:p w:rsidR="007470AB" w:rsidRPr="00EA59C0" w:rsidRDefault="007470AB" w:rsidP="006626AE">
      <w:pPr>
        <w:pStyle w:val="Heading1"/>
        <w:numPr>
          <w:ilvl w:val="2"/>
          <w:numId w:val="17"/>
        </w:numPr>
        <w:spacing w:line="240" w:lineRule="auto"/>
        <w:rPr>
          <w:rFonts w:ascii="Times New Roman" w:hAnsi="Times New Roman"/>
          <w:b w:val="0"/>
        </w:rPr>
      </w:pPr>
      <w:r w:rsidRPr="00EA59C0">
        <w:rPr>
          <w:rFonts w:ascii="Times New Roman" w:hAnsi="Times New Roman"/>
          <w:b w:val="0"/>
        </w:rPr>
        <w:t>Eligible</w:t>
      </w:r>
      <w:r w:rsidR="00C026A6" w:rsidRPr="00EA59C0">
        <w:rPr>
          <w:rFonts w:ascii="Times New Roman" w:hAnsi="Times New Roman"/>
          <w:b w:val="0"/>
        </w:rPr>
        <w:t xml:space="preserve"> </w:t>
      </w:r>
      <w:r w:rsidRPr="00EA59C0">
        <w:rPr>
          <w:rFonts w:ascii="Times New Roman" w:hAnsi="Times New Roman"/>
          <w:b w:val="0"/>
        </w:rPr>
        <w:t>Participants</w:t>
      </w:r>
    </w:p>
    <w:p w:rsidR="00144DF0" w:rsidRPr="00EA59C0" w:rsidRDefault="0021071E" w:rsidP="00C072FA">
      <w:pPr>
        <w:pStyle w:val="ListParagraph"/>
        <w:numPr>
          <w:ilvl w:val="3"/>
          <w:numId w:val="17"/>
        </w:numPr>
        <w:rPr>
          <w:b/>
        </w:rPr>
      </w:pPr>
      <w:r w:rsidRPr="00EA59C0">
        <w:rPr>
          <w:b/>
        </w:rPr>
        <w:t>Participants</w:t>
      </w:r>
      <w:r w:rsidR="00C026A6" w:rsidRPr="00EA59C0">
        <w:rPr>
          <w:b/>
        </w:rPr>
        <w:t xml:space="preserve"> </w:t>
      </w:r>
      <w:r w:rsidRPr="00EA59C0">
        <w:rPr>
          <w:b/>
        </w:rPr>
        <w:t>Eligible</w:t>
      </w:r>
      <w:r w:rsidR="00C026A6" w:rsidRPr="00EA59C0">
        <w:rPr>
          <w:b/>
        </w:rPr>
        <w:t xml:space="preserve"> </w:t>
      </w:r>
      <w:r w:rsidRPr="00EA59C0">
        <w:rPr>
          <w:b/>
        </w:rPr>
        <w:t>to</w:t>
      </w:r>
      <w:r w:rsidR="00C026A6" w:rsidRPr="00EA59C0">
        <w:rPr>
          <w:b/>
        </w:rPr>
        <w:t xml:space="preserve"> </w:t>
      </w:r>
      <w:r w:rsidRPr="00EA59C0">
        <w:rPr>
          <w:b/>
        </w:rPr>
        <w:t>Receive</w:t>
      </w:r>
      <w:r w:rsidR="00C026A6" w:rsidRPr="00EA59C0">
        <w:rPr>
          <w:b/>
        </w:rPr>
        <w:t xml:space="preserve"> </w:t>
      </w:r>
      <w:r w:rsidRPr="00EA59C0">
        <w:rPr>
          <w:b/>
        </w:rPr>
        <w:t>Training</w:t>
      </w:r>
    </w:p>
    <w:p w:rsidR="001D7911" w:rsidRPr="00EA59C0" w:rsidRDefault="001D7911" w:rsidP="00C072FA">
      <w:pPr>
        <w:widowControl w:val="0"/>
        <w:ind w:left="1440"/>
      </w:pPr>
      <w:r w:rsidRPr="00EA59C0">
        <w:t>There</w:t>
      </w:r>
      <w:r w:rsidR="00C026A6" w:rsidRPr="00EA59C0">
        <w:t xml:space="preserve"> </w:t>
      </w:r>
      <w:r w:rsidRPr="00EA59C0">
        <w:t>are</w:t>
      </w:r>
      <w:r w:rsidR="00C026A6" w:rsidRPr="00EA59C0">
        <w:t xml:space="preserve"> </w:t>
      </w:r>
      <w:r w:rsidRPr="00EA59C0">
        <w:t>no</w:t>
      </w:r>
      <w:r w:rsidR="00C026A6" w:rsidRPr="00EA59C0">
        <w:t xml:space="preserve"> </w:t>
      </w:r>
      <w:r w:rsidRPr="00EA59C0">
        <w:t>eligibility</w:t>
      </w:r>
      <w:r w:rsidR="00C026A6" w:rsidRPr="00EA59C0">
        <w:t xml:space="preserve"> </w:t>
      </w:r>
      <w:r w:rsidRPr="00EA59C0">
        <w:t>requirements</w:t>
      </w:r>
      <w:r w:rsidR="00C026A6" w:rsidRPr="00EA59C0">
        <w:t xml:space="preserve"> </w:t>
      </w:r>
      <w:r w:rsidRPr="00EA59C0">
        <w:t>for</w:t>
      </w:r>
      <w:r w:rsidR="00C026A6" w:rsidRPr="00EA59C0">
        <w:t xml:space="preserve"> </w:t>
      </w:r>
      <w:r w:rsidRPr="00EA59C0">
        <w:t>specific</w:t>
      </w:r>
      <w:r w:rsidR="00C026A6" w:rsidRPr="00EA59C0">
        <w:t xml:space="preserve"> </w:t>
      </w:r>
      <w:r w:rsidRPr="00EA59C0">
        <w:t>populations</w:t>
      </w:r>
      <w:r w:rsidR="00C026A6" w:rsidRPr="00EA59C0">
        <w:t xml:space="preserve"> </w:t>
      </w:r>
      <w:r w:rsidRPr="00EA59C0">
        <w:t>that</w:t>
      </w:r>
      <w:r w:rsidR="00C026A6" w:rsidRPr="00EA59C0">
        <w:t xml:space="preserve"> </w:t>
      </w:r>
      <w:r w:rsidRPr="00EA59C0">
        <w:t>are</w:t>
      </w:r>
      <w:r w:rsidR="00C026A6" w:rsidRPr="00EA59C0">
        <w:t xml:space="preserve"> </w:t>
      </w:r>
      <w:r w:rsidRPr="00EA59C0">
        <w:t>eligible</w:t>
      </w:r>
      <w:r w:rsidR="00C026A6" w:rsidRPr="00EA59C0">
        <w:t xml:space="preserve"> </w:t>
      </w:r>
      <w:r w:rsidRPr="00EA59C0">
        <w:t>to</w:t>
      </w:r>
      <w:r w:rsidR="00C026A6" w:rsidRPr="00EA59C0">
        <w:t xml:space="preserve"> </w:t>
      </w:r>
      <w:r w:rsidRPr="00EA59C0">
        <w:t>be</w:t>
      </w:r>
      <w:r w:rsidR="00C026A6" w:rsidRPr="00EA59C0">
        <w:t xml:space="preserve"> </w:t>
      </w:r>
      <w:r w:rsidRPr="00EA59C0">
        <w:t>served</w:t>
      </w:r>
      <w:r w:rsidR="00C026A6" w:rsidRPr="00EA59C0">
        <w:t xml:space="preserve"> </w:t>
      </w:r>
      <w:r w:rsidRPr="00EA59C0">
        <w:t>through</w:t>
      </w:r>
      <w:r w:rsidR="00C026A6" w:rsidRPr="00EA59C0">
        <w:t xml:space="preserve"> </w:t>
      </w:r>
      <w:r w:rsidRPr="00EA59C0">
        <w:t>the</w:t>
      </w:r>
      <w:r w:rsidR="00C026A6" w:rsidRPr="00EA59C0">
        <w:t xml:space="preserve"> </w:t>
      </w:r>
      <w:r w:rsidRPr="00EA59C0">
        <w:t>TAACCCT</w:t>
      </w:r>
      <w:r w:rsidR="00C026A6" w:rsidRPr="00EA59C0">
        <w:t xml:space="preserve"> </w:t>
      </w:r>
      <w:r w:rsidRPr="00EA59C0">
        <w:t>grants</w:t>
      </w:r>
      <w:r w:rsidR="00C026A6" w:rsidRPr="00EA59C0">
        <w:t xml:space="preserve"> </w:t>
      </w:r>
      <w:r w:rsidRPr="00EA59C0">
        <w:t>funded</w:t>
      </w:r>
      <w:r w:rsidR="00C026A6" w:rsidRPr="00EA59C0">
        <w:t xml:space="preserve"> </w:t>
      </w:r>
      <w:r w:rsidRPr="00EA59C0">
        <w:t>through</w:t>
      </w:r>
      <w:r w:rsidR="00C026A6" w:rsidRPr="00EA59C0">
        <w:t xml:space="preserve"> </w:t>
      </w:r>
      <w:r w:rsidRPr="00EA59C0">
        <w:t>this</w:t>
      </w:r>
      <w:r w:rsidR="00C026A6" w:rsidRPr="00EA59C0">
        <w:t xml:space="preserve"> </w:t>
      </w:r>
      <w:r w:rsidRPr="00EA59C0">
        <w:t>SGA.</w:t>
      </w:r>
      <w:r w:rsidR="00C026A6" w:rsidRPr="00EA59C0">
        <w:t xml:space="preserve"> </w:t>
      </w:r>
      <w:r w:rsidRPr="00EA59C0">
        <w:t>The</w:t>
      </w:r>
      <w:r w:rsidR="00C026A6" w:rsidRPr="00EA59C0">
        <w:t xml:space="preserve"> </w:t>
      </w:r>
      <w:r w:rsidRPr="00EA59C0">
        <w:t>intent</w:t>
      </w:r>
      <w:r w:rsidR="00C026A6" w:rsidRPr="00EA59C0">
        <w:t xml:space="preserve"> </w:t>
      </w:r>
      <w:r w:rsidRPr="00EA59C0">
        <w:t>of</w:t>
      </w:r>
      <w:r w:rsidR="00C026A6" w:rsidRPr="00EA59C0">
        <w:t xml:space="preserve"> </w:t>
      </w:r>
      <w:r w:rsidRPr="00EA59C0">
        <w:t>this</w:t>
      </w:r>
      <w:r w:rsidR="00C026A6" w:rsidRPr="00EA59C0">
        <w:t xml:space="preserve"> </w:t>
      </w:r>
      <w:r w:rsidRPr="00EA59C0">
        <w:t>SGA</w:t>
      </w:r>
      <w:r w:rsidR="00C026A6" w:rsidRPr="00EA59C0">
        <w:t xml:space="preserve"> </w:t>
      </w:r>
      <w:r w:rsidRPr="00EA59C0">
        <w:t>is</w:t>
      </w:r>
      <w:r w:rsidR="00C026A6" w:rsidRPr="00EA59C0">
        <w:t xml:space="preserve"> </w:t>
      </w:r>
      <w:r w:rsidRPr="00EA59C0">
        <w:t>to</w:t>
      </w:r>
      <w:r w:rsidR="00C026A6" w:rsidRPr="00EA59C0">
        <w:t xml:space="preserve"> </w:t>
      </w:r>
      <w:r w:rsidRPr="00EA59C0">
        <w:t>fund</w:t>
      </w:r>
      <w:r w:rsidR="00C026A6" w:rsidRPr="00EA59C0">
        <w:t xml:space="preserve"> </w:t>
      </w:r>
      <w:r w:rsidRPr="00EA59C0">
        <w:t>projects</w:t>
      </w:r>
      <w:r w:rsidR="00C026A6" w:rsidRPr="00EA59C0">
        <w:t xml:space="preserve"> </w:t>
      </w:r>
      <w:r w:rsidRPr="00EA59C0">
        <w:t>that</w:t>
      </w:r>
      <w:r w:rsidR="00C026A6" w:rsidRPr="00EA59C0">
        <w:t xml:space="preserve"> </w:t>
      </w:r>
      <w:r w:rsidRPr="00EA59C0">
        <w:t>expand</w:t>
      </w:r>
      <w:r w:rsidR="00C026A6" w:rsidRPr="00EA59C0">
        <w:t xml:space="preserve"> </w:t>
      </w:r>
      <w:r w:rsidRPr="00EA59C0">
        <w:t>and</w:t>
      </w:r>
      <w:r w:rsidR="00C026A6" w:rsidRPr="00EA59C0">
        <w:t xml:space="preserve"> </w:t>
      </w:r>
      <w:r w:rsidRPr="00EA59C0">
        <w:t>improve</w:t>
      </w:r>
      <w:r w:rsidR="00C026A6" w:rsidRPr="00EA59C0">
        <w:t xml:space="preserve"> </w:t>
      </w:r>
      <w:r w:rsidRPr="00EA59C0">
        <w:t>the</w:t>
      </w:r>
      <w:r w:rsidR="00C026A6" w:rsidRPr="00EA59C0">
        <w:t xml:space="preserve"> </w:t>
      </w:r>
      <w:r w:rsidRPr="00EA59C0">
        <w:t>ability</w:t>
      </w:r>
      <w:r w:rsidR="00C026A6" w:rsidRPr="00EA59C0">
        <w:t xml:space="preserve"> </w:t>
      </w:r>
      <w:r w:rsidRPr="00EA59C0">
        <w:t>of</w:t>
      </w:r>
      <w:r w:rsidR="00C026A6" w:rsidRPr="00EA59C0">
        <w:t xml:space="preserve"> </w:t>
      </w:r>
      <w:r w:rsidRPr="00EA59C0">
        <w:t>eligible</w:t>
      </w:r>
      <w:r w:rsidR="00C026A6" w:rsidRPr="00EA59C0">
        <w:t xml:space="preserve"> </w:t>
      </w:r>
      <w:r w:rsidRPr="00EA59C0">
        <w:t>institutions</w:t>
      </w:r>
      <w:r w:rsidR="00C026A6" w:rsidRPr="00EA59C0">
        <w:t xml:space="preserve"> </w:t>
      </w:r>
      <w:r w:rsidRPr="00EA59C0">
        <w:t>to</w:t>
      </w:r>
      <w:r w:rsidR="00C026A6" w:rsidRPr="00EA59C0">
        <w:t xml:space="preserve"> </w:t>
      </w:r>
      <w:r w:rsidRPr="00EA59C0">
        <w:t>provide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that</w:t>
      </w:r>
      <w:r w:rsidR="00C026A6" w:rsidRPr="00EA59C0">
        <w:t xml:space="preserve"> </w:t>
      </w:r>
      <w:r w:rsidRPr="00EA59C0">
        <w:t>are</w:t>
      </w:r>
      <w:r w:rsidR="00C026A6" w:rsidRPr="00EA59C0">
        <w:t xml:space="preserve"> </w:t>
      </w:r>
      <w:r w:rsidRPr="00EA59C0">
        <w:t>suitable</w:t>
      </w:r>
      <w:r w:rsidR="00C026A6" w:rsidRPr="00EA59C0">
        <w:t xml:space="preserve"> </w:t>
      </w:r>
      <w:r w:rsidRPr="00EA59C0">
        <w:t>for</w:t>
      </w:r>
      <w:r w:rsidR="00C026A6" w:rsidRPr="00EA59C0">
        <w:t xml:space="preserve"> </w:t>
      </w:r>
      <w:r w:rsidRPr="00EA59C0">
        <w:t>a</w:t>
      </w:r>
      <w:r w:rsidR="00C026A6" w:rsidRPr="00EA59C0">
        <w:t xml:space="preserve"> </w:t>
      </w:r>
      <w:r w:rsidRPr="00EA59C0">
        <w:t>diverse</w:t>
      </w:r>
      <w:r w:rsidR="00C026A6" w:rsidRPr="00EA59C0">
        <w:t xml:space="preserve"> </w:t>
      </w:r>
      <w:r w:rsidRPr="00EA59C0">
        <w:t>population</w:t>
      </w:r>
      <w:r w:rsidR="00C026A6" w:rsidRPr="00EA59C0">
        <w:t xml:space="preserve"> </w:t>
      </w:r>
      <w:r w:rsidRPr="00EA59C0">
        <w:t>of</w:t>
      </w:r>
      <w:r w:rsidR="00C026A6" w:rsidRPr="00EA59C0">
        <w:t xml:space="preserve"> </w:t>
      </w:r>
      <w:r w:rsidRPr="00EA59C0">
        <w:t>workers</w:t>
      </w:r>
      <w:r w:rsidR="00C026A6" w:rsidRPr="00EA59C0">
        <w:t xml:space="preserve"> </w:t>
      </w:r>
      <w:r w:rsidRPr="00EA59C0">
        <w:t>eligible</w:t>
      </w:r>
      <w:r w:rsidR="00C026A6" w:rsidRPr="00EA59C0">
        <w:t xml:space="preserve"> </w:t>
      </w:r>
      <w:r w:rsidRPr="00EA59C0">
        <w:t>for</w:t>
      </w:r>
      <w:r w:rsidR="00C026A6" w:rsidRPr="00EA59C0">
        <w:t xml:space="preserve"> </w:t>
      </w:r>
      <w:r w:rsidRPr="00EA59C0">
        <w:t>training</w:t>
      </w:r>
      <w:r w:rsidR="00C026A6" w:rsidRPr="00EA59C0">
        <w:t xml:space="preserve"> </w:t>
      </w:r>
      <w:r w:rsidRPr="00EA59C0">
        <w:t>under</w:t>
      </w:r>
      <w:r w:rsidR="00C026A6" w:rsidRPr="00EA59C0">
        <w:t xml:space="preserve"> </w:t>
      </w:r>
      <w:r w:rsidRPr="00EA59C0">
        <w:t>the</w:t>
      </w:r>
      <w:r w:rsidR="00C026A6" w:rsidRPr="00EA59C0">
        <w:t xml:space="preserve"> </w:t>
      </w:r>
      <w:r w:rsidRPr="00EA59C0">
        <w:t>TAA</w:t>
      </w:r>
      <w:r w:rsidR="00C026A6" w:rsidRPr="00EA59C0">
        <w:t xml:space="preserve"> </w:t>
      </w:r>
      <w:r w:rsidRPr="00EA59C0">
        <w:t>for</w:t>
      </w:r>
      <w:r w:rsidR="00C026A6" w:rsidRPr="00EA59C0">
        <w:t xml:space="preserve"> </w:t>
      </w:r>
      <w:r w:rsidRPr="00EA59C0">
        <w:t>Workers</w:t>
      </w:r>
      <w:r w:rsidR="00C026A6" w:rsidRPr="00EA59C0">
        <w:t xml:space="preserve"> </w:t>
      </w:r>
      <w:r w:rsidRPr="00EA59C0">
        <w:t>program,</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a</w:t>
      </w:r>
      <w:r w:rsidR="00C026A6" w:rsidRPr="00EA59C0">
        <w:t xml:space="preserve"> </w:t>
      </w:r>
      <w:r w:rsidRPr="00EA59C0">
        <w:t>broad</w:t>
      </w:r>
      <w:r w:rsidR="00C026A6" w:rsidRPr="00EA59C0">
        <w:t xml:space="preserve"> </w:t>
      </w:r>
      <w:r w:rsidRPr="00EA59C0">
        <w:t>range</w:t>
      </w:r>
      <w:r w:rsidR="00C026A6" w:rsidRPr="00EA59C0">
        <w:t xml:space="preserve"> </w:t>
      </w:r>
      <w:r w:rsidRPr="00EA59C0">
        <w:t>of</w:t>
      </w:r>
      <w:r w:rsidR="00C026A6" w:rsidRPr="00EA59C0">
        <w:t xml:space="preserve"> </w:t>
      </w:r>
      <w:r w:rsidRPr="00EA59C0">
        <w:t>other</w:t>
      </w:r>
      <w:r w:rsidR="00C026A6" w:rsidRPr="00EA59C0">
        <w:t xml:space="preserve"> </w:t>
      </w:r>
      <w:r w:rsidRPr="00EA59C0">
        <w:t>adults</w:t>
      </w:r>
      <w:r w:rsidR="00A0288E" w:rsidRPr="00EA59C0">
        <w:t>,</w:t>
      </w:r>
      <w:r w:rsidR="00C026A6" w:rsidRPr="00EA59C0">
        <w:t xml:space="preserve"> </w:t>
      </w:r>
      <w:r w:rsidRPr="00EA59C0">
        <w:t>such</w:t>
      </w:r>
      <w:r w:rsidR="00C026A6" w:rsidRPr="00EA59C0">
        <w:t xml:space="preserve"> </w:t>
      </w:r>
      <w:r w:rsidRPr="00EA59C0">
        <w:t>as</w:t>
      </w:r>
      <w:r w:rsidR="00C026A6" w:rsidRPr="00EA59C0">
        <w:t xml:space="preserve"> </w:t>
      </w:r>
      <w:r w:rsidRPr="00EA59C0">
        <w:t>women</w:t>
      </w:r>
      <w:r w:rsidR="00C026A6" w:rsidRPr="00EA59C0">
        <w:t xml:space="preserve"> </w:t>
      </w:r>
      <w:r w:rsidRPr="00EA59C0">
        <w:t>or</w:t>
      </w:r>
      <w:r w:rsidR="00C026A6" w:rsidRPr="00EA59C0">
        <w:t xml:space="preserve"> </w:t>
      </w:r>
      <w:r w:rsidRPr="00EA59C0">
        <w:t>minorities</w:t>
      </w:r>
      <w:r w:rsidR="00A0288E" w:rsidRPr="00EA59C0">
        <w:t>,</w:t>
      </w:r>
      <w:r w:rsidR="00C026A6" w:rsidRPr="00EA59C0">
        <w:t xml:space="preserve"> </w:t>
      </w:r>
      <w:r w:rsidRPr="00EA59C0">
        <w:t>who</w:t>
      </w:r>
      <w:r w:rsidR="00C026A6" w:rsidRPr="00EA59C0">
        <w:t xml:space="preserve"> </w:t>
      </w:r>
      <w:r w:rsidRPr="00EA59C0">
        <w:t>may</w:t>
      </w:r>
      <w:r w:rsidR="00C026A6" w:rsidRPr="00EA59C0">
        <w:t xml:space="preserve"> </w:t>
      </w:r>
      <w:r w:rsidRPr="00EA59C0">
        <w:t>be</w:t>
      </w:r>
      <w:r w:rsidR="00C026A6" w:rsidRPr="00EA59C0">
        <w:t xml:space="preserve"> </w:t>
      </w:r>
      <w:r w:rsidRPr="00EA59C0">
        <w:t>underrepresented</w:t>
      </w:r>
      <w:r w:rsidR="00C026A6" w:rsidRPr="00EA59C0">
        <w:t xml:space="preserve"> </w:t>
      </w:r>
      <w:r w:rsidRPr="00EA59C0">
        <w:t>in</w:t>
      </w:r>
      <w:r w:rsidR="00C026A6" w:rsidRPr="00EA59C0">
        <w:t xml:space="preserve"> </w:t>
      </w:r>
      <w:r w:rsidRPr="00EA59C0">
        <w:t>high-demand</w:t>
      </w:r>
      <w:r w:rsidR="00C026A6" w:rsidRPr="00EA59C0">
        <w:t xml:space="preserve"> </w:t>
      </w:r>
      <w:r w:rsidRPr="00EA59C0">
        <w:t>fields.</w:t>
      </w:r>
      <w:r w:rsidR="00C026A6" w:rsidRPr="00EA59C0">
        <w:t xml:space="preserve">  </w:t>
      </w:r>
      <w:r w:rsidRPr="00EA59C0">
        <w:t>However,</w:t>
      </w:r>
      <w:r w:rsidR="00C026A6" w:rsidRPr="00EA59C0">
        <w:t xml:space="preserve"> </w:t>
      </w:r>
      <w:r w:rsidRPr="00EA59C0">
        <w:t>successful</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give</w:t>
      </w:r>
      <w:r w:rsidR="00C026A6" w:rsidRPr="00EA59C0">
        <w:t xml:space="preserve"> </w:t>
      </w:r>
      <w:r w:rsidRPr="00EA59C0">
        <w:t>priority</w:t>
      </w:r>
      <w:r w:rsidR="00C026A6" w:rsidRPr="00EA59C0">
        <w:t xml:space="preserve"> </w:t>
      </w:r>
      <w:r w:rsidRPr="00EA59C0">
        <w:t>of</w:t>
      </w:r>
      <w:r w:rsidR="00C026A6" w:rsidRPr="00EA59C0">
        <w:t xml:space="preserve"> </w:t>
      </w:r>
      <w:r w:rsidRPr="00EA59C0">
        <w:t>enrollment</w:t>
      </w:r>
      <w:r w:rsidR="00C026A6" w:rsidRPr="00EA59C0">
        <w:t xml:space="preserve"> </w:t>
      </w:r>
      <w:r w:rsidRPr="00EA59C0">
        <w:t>to</w:t>
      </w:r>
      <w:r w:rsidR="00C026A6" w:rsidRPr="00EA59C0">
        <w:t xml:space="preserve"> </w:t>
      </w:r>
      <w:r w:rsidRPr="00EA59C0">
        <w:t>workers</w:t>
      </w:r>
      <w:r w:rsidR="00C026A6" w:rsidRPr="00EA59C0">
        <w:t xml:space="preserve"> </w:t>
      </w:r>
      <w:r w:rsidRPr="00EA59C0">
        <w:t>eligible</w:t>
      </w:r>
      <w:r w:rsidR="00C026A6" w:rsidRPr="00EA59C0">
        <w:t xml:space="preserve"> </w:t>
      </w:r>
      <w:r w:rsidRPr="00EA59C0">
        <w:t>for</w:t>
      </w:r>
      <w:r w:rsidR="00C026A6" w:rsidRPr="00EA59C0">
        <w:t xml:space="preserve"> </w:t>
      </w:r>
      <w:r w:rsidRPr="00EA59C0">
        <w:t>training</w:t>
      </w:r>
      <w:r w:rsidR="00C026A6" w:rsidRPr="00EA59C0">
        <w:t xml:space="preserve"> </w:t>
      </w:r>
      <w:r w:rsidRPr="00EA59C0">
        <w:t>under</w:t>
      </w:r>
      <w:r w:rsidR="00C026A6" w:rsidRPr="00EA59C0">
        <w:t xml:space="preserve"> </w:t>
      </w:r>
      <w:r w:rsidRPr="00EA59C0">
        <w:t>the</w:t>
      </w:r>
      <w:r w:rsidR="00C026A6" w:rsidRPr="00EA59C0">
        <w:t xml:space="preserve"> </w:t>
      </w:r>
      <w:r w:rsidRPr="00EA59C0">
        <w:t>TAA</w:t>
      </w:r>
      <w:r w:rsidR="00C026A6" w:rsidRPr="00EA59C0">
        <w:t xml:space="preserve"> </w:t>
      </w:r>
      <w:r w:rsidRPr="00EA59C0">
        <w:t>for</w:t>
      </w:r>
      <w:r w:rsidR="00C026A6" w:rsidRPr="00EA59C0">
        <w:t xml:space="preserve"> </w:t>
      </w:r>
      <w:r w:rsidRPr="00EA59C0">
        <w:t>Workers</w:t>
      </w:r>
      <w:r w:rsidR="00C026A6" w:rsidRPr="00EA59C0">
        <w:t xml:space="preserve"> </w:t>
      </w:r>
      <w:r w:rsidRPr="00EA59C0">
        <w:t>program.</w:t>
      </w:r>
      <w:r w:rsidR="00C026A6" w:rsidRPr="00EA59C0">
        <w:t xml:space="preserve">  </w:t>
      </w:r>
    </w:p>
    <w:p w:rsidR="001D7911" w:rsidRPr="00EA59C0" w:rsidRDefault="001D7911" w:rsidP="00C072FA">
      <w:pPr>
        <w:widowControl w:val="0"/>
        <w:ind w:left="1440"/>
      </w:pPr>
    </w:p>
    <w:p w:rsidR="001D7911" w:rsidRPr="00EA59C0" w:rsidRDefault="001D7911" w:rsidP="00C072FA">
      <w:pPr>
        <w:widowControl w:val="0"/>
        <w:ind w:left="1440"/>
      </w:pPr>
      <w:r w:rsidRPr="00EA59C0">
        <w:t>For</w:t>
      </w:r>
      <w:r w:rsidR="00C026A6" w:rsidRPr="00EA59C0">
        <w:t xml:space="preserve"> </w:t>
      </w:r>
      <w:r w:rsidRPr="00EA59C0">
        <w:t>example,</w:t>
      </w:r>
      <w:r w:rsidR="00C026A6" w:rsidRPr="00EA59C0">
        <w:t xml:space="preserve"> </w:t>
      </w:r>
      <w:r w:rsidRPr="00EA59C0">
        <w:t>in</w:t>
      </w:r>
      <w:r w:rsidR="00C026A6" w:rsidRPr="00EA59C0">
        <w:t xml:space="preserve"> </w:t>
      </w:r>
      <w:r w:rsidRPr="00EA59C0">
        <w:t>circumstances</w:t>
      </w:r>
      <w:r w:rsidR="00C026A6" w:rsidRPr="00EA59C0">
        <w:t xml:space="preserve"> </w:t>
      </w:r>
      <w:r w:rsidRPr="00EA59C0">
        <w:t>where</w:t>
      </w:r>
      <w:r w:rsidR="00C026A6" w:rsidRPr="00EA59C0">
        <w:t xml:space="preserve"> </w:t>
      </w:r>
      <w:r w:rsidRPr="00EA59C0">
        <w:t>a</w:t>
      </w:r>
      <w:r w:rsidR="00C026A6" w:rsidRPr="00EA59C0">
        <w:t xml:space="preserve"> </w:t>
      </w:r>
      <w:r w:rsidRPr="00EA59C0">
        <w:t>grant</w:t>
      </w:r>
      <w:r w:rsidR="00C026A6" w:rsidRPr="00EA59C0">
        <w:t xml:space="preserve"> </w:t>
      </w:r>
      <w:r w:rsidRPr="00EA59C0">
        <w:t>recipient</w:t>
      </w:r>
      <w:r w:rsidR="00C026A6" w:rsidRPr="00EA59C0">
        <w:t xml:space="preserve"> </w:t>
      </w:r>
      <w:r w:rsidRPr="00EA59C0">
        <w:t>must</w:t>
      </w:r>
      <w:r w:rsidR="00C026A6" w:rsidRPr="00EA59C0">
        <w:t xml:space="preserve"> </w:t>
      </w:r>
      <w:r w:rsidRPr="00EA59C0">
        <w:t>choose</w:t>
      </w:r>
      <w:r w:rsidR="00C026A6" w:rsidRPr="00EA59C0">
        <w:t xml:space="preserve"> </w:t>
      </w:r>
      <w:r w:rsidRPr="00EA59C0">
        <w:t>between</w:t>
      </w:r>
      <w:r w:rsidR="00C026A6" w:rsidRPr="00EA59C0">
        <w:t xml:space="preserve"> </w:t>
      </w:r>
      <w:r w:rsidRPr="00EA59C0">
        <w:t>two</w:t>
      </w:r>
      <w:r w:rsidR="00C026A6" w:rsidRPr="00EA59C0">
        <w:t xml:space="preserve"> </w:t>
      </w:r>
      <w:r w:rsidRPr="00EA59C0">
        <w:t>qualified</w:t>
      </w:r>
      <w:r w:rsidR="00C026A6" w:rsidRPr="00EA59C0">
        <w:t xml:space="preserve"> </w:t>
      </w:r>
      <w:r w:rsidRPr="00EA59C0">
        <w:t>candidates</w:t>
      </w:r>
      <w:r w:rsidR="00C026A6" w:rsidRPr="00EA59C0">
        <w:t xml:space="preserve"> </w:t>
      </w:r>
      <w:r w:rsidRPr="00EA59C0">
        <w:t>for</w:t>
      </w:r>
      <w:r w:rsidR="00C026A6" w:rsidRPr="00EA59C0">
        <w:t xml:space="preserve"> </w:t>
      </w:r>
      <w:r w:rsidRPr="00EA59C0">
        <w:t>enrollment,</w:t>
      </w:r>
      <w:r w:rsidR="00C026A6" w:rsidRPr="00EA59C0">
        <w:t xml:space="preserve"> </w:t>
      </w:r>
      <w:r w:rsidRPr="00EA59C0">
        <w:t>one</w:t>
      </w:r>
      <w:r w:rsidR="00C026A6" w:rsidRPr="00EA59C0">
        <w:t xml:space="preserve"> </w:t>
      </w:r>
      <w:r w:rsidRPr="00EA59C0">
        <w:t>of</w:t>
      </w:r>
      <w:r w:rsidR="00C026A6" w:rsidRPr="00EA59C0">
        <w:t xml:space="preserve"> </w:t>
      </w:r>
      <w:r w:rsidRPr="00EA59C0">
        <w:t>whom</w:t>
      </w:r>
      <w:r w:rsidR="00C026A6" w:rsidRPr="00EA59C0">
        <w:t xml:space="preserve"> </w:t>
      </w:r>
      <w:r w:rsidRPr="00EA59C0">
        <w:t>is</w:t>
      </w:r>
      <w:r w:rsidR="00C026A6" w:rsidRPr="00EA59C0">
        <w:t xml:space="preserve"> </w:t>
      </w:r>
      <w:r w:rsidRPr="00EA59C0">
        <w:t>a</w:t>
      </w:r>
      <w:r w:rsidR="00C026A6" w:rsidRPr="00EA59C0">
        <w:t xml:space="preserve"> </w:t>
      </w:r>
      <w:r w:rsidRPr="00EA59C0">
        <w:t>worker</w:t>
      </w:r>
      <w:r w:rsidR="00C026A6" w:rsidRPr="00EA59C0">
        <w:t xml:space="preserve"> </w:t>
      </w:r>
      <w:r w:rsidRPr="00EA59C0">
        <w:t>eligible</w:t>
      </w:r>
      <w:r w:rsidR="00C026A6" w:rsidRPr="00EA59C0">
        <w:t xml:space="preserve"> </w:t>
      </w:r>
      <w:r w:rsidRPr="00EA59C0">
        <w:t>for</w:t>
      </w:r>
      <w:r w:rsidR="00C026A6" w:rsidRPr="00EA59C0">
        <w:t xml:space="preserve"> </w:t>
      </w:r>
      <w:r w:rsidRPr="00EA59C0">
        <w:t>training</w:t>
      </w:r>
      <w:r w:rsidR="00C026A6" w:rsidRPr="00EA59C0">
        <w:t xml:space="preserve"> </w:t>
      </w:r>
      <w:r w:rsidRPr="00EA59C0">
        <w:t>under</w:t>
      </w:r>
      <w:r w:rsidR="00C026A6" w:rsidRPr="00EA59C0">
        <w:t xml:space="preserve"> </w:t>
      </w:r>
      <w:r w:rsidRPr="00EA59C0">
        <w:t>the</w:t>
      </w:r>
      <w:r w:rsidR="00C026A6" w:rsidRPr="00EA59C0">
        <w:t xml:space="preserve"> </w:t>
      </w:r>
      <w:r w:rsidRPr="00EA59C0">
        <w:t>TAA</w:t>
      </w:r>
      <w:r w:rsidR="00C026A6" w:rsidRPr="00EA59C0">
        <w:t xml:space="preserve"> </w:t>
      </w:r>
      <w:r w:rsidRPr="00EA59C0">
        <w:t>for</w:t>
      </w:r>
      <w:r w:rsidR="00C026A6" w:rsidRPr="00EA59C0">
        <w:t xml:space="preserve"> </w:t>
      </w:r>
      <w:r w:rsidRPr="00EA59C0">
        <w:t>Workers</w:t>
      </w:r>
      <w:r w:rsidR="00C026A6" w:rsidRPr="00EA59C0">
        <w:t xml:space="preserve"> </w:t>
      </w:r>
      <w:r w:rsidRPr="00EA59C0">
        <w:t>program,</w:t>
      </w:r>
      <w:r w:rsidR="00C026A6" w:rsidRPr="00EA59C0">
        <w:t xml:space="preserve"> </w:t>
      </w:r>
      <w:r w:rsidRPr="00EA59C0">
        <w:t>this</w:t>
      </w:r>
      <w:r w:rsidR="00C026A6" w:rsidRPr="00EA59C0">
        <w:t xml:space="preserve"> </w:t>
      </w:r>
      <w:r w:rsidRPr="00EA59C0">
        <w:t>priority</w:t>
      </w:r>
      <w:r w:rsidR="00C026A6" w:rsidRPr="00EA59C0">
        <w:t xml:space="preserve"> </w:t>
      </w:r>
      <w:r w:rsidRPr="00EA59C0">
        <w:t>of</w:t>
      </w:r>
      <w:r w:rsidR="00C026A6" w:rsidRPr="00EA59C0">
        <w:t xml:space="preserve"> </w:t>
      </w:r>
      <w:r w:rsidRPr="00EA59C0">
        <w:t>enrollment</w:t>
      </w:r>
      <w:r w:rsidR="00C026A6" w:rsidRPr="00EA59C0">
        <w:t xml:space="preserve"> </w:t>
      </w:r>
      <w:r w:rsidRPr="00EA59C0">
        <w:t>provision</w:t>
      </w:r>
      <w:r w:rsidR="00C026A6" w:rsidRPr="00EA59C0">
        <w:t xml:space="preserve"> </w:t>
      </w:r>
      <w:r w:rsidRPr="00EA59C0">
        <w:t>requires</w:t>
      </w:r>
      <w:r w:rsidR="00C026A6" w:rsidRPr="00EA59C0">
        <w:t xml:space="preserve"> </w:t>
      </w:r>
      <w:r w:rsidRPr="00EA59C0">
        <w:t>that</w:t>
      </w:r>
      <w:r w:rsidR="00C026A6" w:rsidRPr="00EA59C0">
        <w:t xml:space="preserve"> </w:t>
      </w:r>
      <w:r w:rsidRPr="00EA59C0">
        <w:t>the</w:t>
      </w:r>
      <w:r w:rsidR="00C026A6" w:rsidRPr="00EA59C0">
        <w:t xml:space="preserve"> </w:t>
      </w:r>
      <w:r w:rsidRPr="00EA59C0">
        <w:t>grant</w:t>
      </w:r>
      <w:r w:rsidR="00C026A6" w:rsidRPr="00EA59C0">
        <w:t xml:space="preserve"> </w:t>
      </w:r>
      <w:r w:rsidRPr="00EA59C0">
        <w:t>recipient</w:t>
      </w:r>
      <w:r w:rsidR="00C026A6" w:rsidRPr="00EA59C0">
        <w:t xml:space="preserve"> </w:t>
      </w:r>
      <w:r w:rsidRPr="00EA59C0">
        <w:t>give</w:t>
      </w:r>
      <w:r w:rsidR="00C026A6" w:rsidRPr="00EA59C0">
        <w:t xml:space="preserve"> </w:t>
      </w:r>
      <w:r w:rsidRPr="00EA59C0">
        <w:t>the</w:t>
      </w:r>
      <w:r w:rsidR="00C026A6" w:rsidRPr="00EA59C0">
        <w:t xml:space="preserve"> </w:t>
      </w:r>
      <w:r w:rsidRPr="00EA59C0">
        <w:t>worker</w:t>
      </w:r>
      <w:r w:rsidR="00C026A6" w:rsidRPr="00EA59C0">
        <w:t xml:space="preserve"> </w:t>
      </w:r>
      <w:r w:rsidRPr="00EA59C0">
        <w:t>eligible</w:t>
      </w:r>
      <w:r w:rsidR="00C026A6" w:rsidRPr="00EA59C0">
        <w:t xml:space="preserve"> </w:t>
      </w:r>
      <w:r w:rsidRPr="00EA59C0">
        <w:t>for</w:t>
      </w:r>
      <w:r w:rsidR="00C026A6" w:rsidRPr="00EA59C0">
        <w:t xml:space="preserve"> </w:t>
      </w:r>
      <w:r w:rsidRPr="00EA59C0">
        <w:t>training</w:t>
      </w:r>
      <w:r w:rsidR="00C026A6" w:rsidRPr="00EA59C0">
        <w:t xml:space="preserve"> </w:t>
      </w:r>
      <w:r w:rsidRPr="00EA59C0">
        <w:t>under</w:t>
      </w:r>
      <w:r w:rsidR="00C026A6" w:rsidRPr="00EA59C0">
        <w:t xml:space="preserve"> </w:t>
      </w:r>
      <w:r w:rsidRPr="00EA59C0">
        <w:t>the</w:t>
      </w:r>
      <w:r w:rsidR="00C026A6" w:rsidRPr="00EA59C0">
        <w:t xml:space="preserve"> </w:t>
      </w:r>
      <w:r w:rsidRPr="00EA59C0">
        <w:t>TAA</w:t>
      </w:r>
      <w:r w:rsidR="00C026A6" w:rsidRPr="00EA59C0">
        <w:t xml:space="preserve"> </w:t>
      </w:r>
      <w:r w:rsidRPr="00EA59C0">
        <w:t>for</w:t>
      </w:r>
      <w:r w:rsidR="00C026A6" w:rsidRPr="00EA59C0">
        <w:t xml:space="preserve"> </w:t>
      </w:r>
      <w:r w:rsidRPr="00EA59C0">
        <w:t>Workers</w:t>
      </w:r>
      <w:r w:rsidR="00C026A6" w:rsidRPr="00EA59C0">
        <w:t xml:space="preserve"> </w:t>
      </w:r>
      <w:r w:rsidRPr="00EA59C0">
        <w:t>program</w:t>
      </w:r>
      <w:r w:rsidR="00C026A6" w:rsidRPr="00EA59C0">
        <w:t xml:space="preserve"> </w:t>
      </w:r>
      <w:r w:rsidRPr="00EA59C0">
        <w:t>priority</w:t>
      </w:r>
      <w:r w:rsidR="00C026A6" w:rsidRPr="00EA59C0">
        <w:t xml:space="preserve"> </w:t>
      </w:r>
      <w:r w:rsidRPr="00EA59C0">
        <w:t>of</w:t>
      </w:r>
      <w:r w:rsidR="00C026A6" w:rsidRPr="00EA59C0">
        <w:t xml:space="preserve"> </w:t>
      </w:r>
      <w:r w:rsidRPr="00EA59C0">
        <w:t>enrollment</w:t>
      </w:r>
      <w:r w:rsidR="00C026A6" w:rsidRPr="00EA59C0">
        <w:t xml:space="preserve"> </w:t>
      </w:r>
      <w:r w:rsidRPr="00EA59C0">
        <w:t>by</w:t>
      </w:r>
      <w:r w:rsidR="00C026A6" w:rsidRPr="00EA59C0">
        <w:t xml:space="preserve"> </w:t>
      </w:r>
      <w:r w:rsidRPr="00EA59C0">
        <w:t>first</w:t>
      </w:r>
      <w:r w:rsidR="00C026A6" w:rsidRPr="00EA59C0">
        <w:t xml:space="preserve"> </w:t>
      </w:r>
      <w:r w:rsidRPr="00EA59C0">
        <w:t>providing</w:t>
      </w:r>
      <w:r w:rsidR="00C026A6" w:rsidRPr="00EA59C0">
        <w:t xml:space="preserve"> </w:t>
      </w:r>
      <w:r w:rsidRPr="00EA59C0">
        <w:t>him</w:t>
      </w:r>
      <w:r w:rsidR="00C026A6" w:rsidRPr="00EA59C0">
        <w:t xml:space="preserve"> </w:t>
      </w:r>
      <w:r w:rsidRPr="00EA59C0">
        <w:t>or</w:t>
      </w:r>
      <w:r w:rsidR="00C026A6" w:rsidRPr="00EA59C0">
        <w:t xml:space="preserve"> </w:t>
      </w:r>
      <w:r w:rsidRPr="00EA59C0">
        <w:t>her</w:t>
      </w:r>
      <w:r w:rsidR="00C026A6" w:rsidRPr="00EA59C0">
        <w:t xml:space="preserve"> </w:t>
      </w:r>
      <w:r w:rsidRPr="00EA59C0">
        <w:t>an</w:t>
      </w:r>
      <w:r w:rsidR="00C026A6" w:rsidRPr="00EA59C0">
        <w:t xml:space="preserve"> </w:t>
      </w:r>
      <w:r w:rsidRPr="00EA59C0">
        <w:t>opportunity</w:t>
      </w:r>
      <w:r w:rsidR="00C026A6" w:rsidRPr="00EA59C0">
        <w:t xml:space="preserve"> </w:t>
      </w:r>
      <w:r w:rsidRPr="00EA59C0">
        <w:t>to</w:t>
      </w:r>
      <w:r w:rsidR="00C026A6" w:rsidRPr="00EA59C0">
        <w:t xml:space="preserve"> </w:t>
      </w:r>
      <w:r w:rsidRPr="00EA59C0">
        <w:t>receive</w:t>
      </w:r>
      <w:r w:rsidR="00C026A6" w:rsidRPr="00EA59C0">
        <w:t xml:space="preserve"> </w:t>
      </w:r>
      <w:r w:rsidRPr="00EA59C0">
        <w:t>the</w:t>
      </w:r>
      <w:r w:rsidR="00C026A6" w:rsidRPr="00EA59C0">
        <w:t xml:space="preserve"> </w:t>
      </w:r>
      <w:r w:rsidRPr="00EA59C0">
        <w:t>training</w:t>
      </w:r>
      <w:r w:rsidR="00C026A6" w:rsidRPr="00EA59C0">
        <w:t xml:space="preserve"> </w:t>
      </w:r>
      <w:r w:rsidRPr="00EA59C0">
        <w:t>or</w:t>
      </w:r>
      <w:r w:rsidR="00C026A6" w:rsidRPr="00EA59C0">
        <w:t xml:space="preserve"> </w:t>
      </w:r>
      <w:r w:rsidRPr="00EA59C0">
        <w:t>educational</w:t>
      </w:r>
      <w:r w:rsidR="00C026A6" w:rsidRPr="00EA59C0">
        <w:t xml:space="preserve"> </w:t>
      </w:r>
      <w:r w:rsidRPr="00EA59C0">
        <w:t>opportunity</w:t>
      </w:r>
      <w:r w:rsidR="00C026A6" w:rsidRPr="00EA59C0">
        <w:t xml:space="preserve"> </w:t>
      </w:r>
      <w:r w:rsidRPr="00EA59C0">
        <w:t>funded</w:t>
      </w:r>
      <w:r w:rsidR="00C026A6" w:rsidRPr="00EA59C0">
        <w:t xml:space="preserve"> </w:t>
      </w:r>
      <w:r w:rsidRPr="00EA59C0">
        <w:t>through</w:t>
      </w:r>
      <w:r w:rsidR="00C026A6" w:rsidRPr="00EA59C0">
        <w:t xml:space="preserve"> </w:t>
      </w:r>
      <w:r w:rsidRPr="00EA59C0">
        <w:t>the</w:t>
      </w:r>
      <w:r w:rsidR="00C026A6" w:rsidRPr="00EA59C0">
        <w:t xml:space="preserve"> </w:t>
      </w:r>
      <w:r w:rsidRPr="00EA59C0">
        <w:t>grant.</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note</w:t>
      </w:r>
      <w:r w:rsidR="00C026A6" w:rsidRPr="00EA59C0">
        <w:t xml:space="preserve"> </w:t>
      </w:r>
      <w:r w:rsidRPr="00EA59C0">
        <w:t>that</w:t>
      </w:r>
      <w:r w:rsidR="00C026A6" w:rsidRPr="00EA59C0">
        <w:t xml:space="preserve"> </w:t>
      </w:r>
      <w:r w:rsidR="00D678F3" w:rsidRPr="00EA59C0">
        <w:t>v</w:t>
      </w:r>
      <w:r w:rsidRPr="00EA59C0">
        <w:t>eterans</w:t>
      </w:r>
      <w:r w:rsidR="00C026A6" w:rsidRPr="00EA59C0">
        <w:t xml:space="preserve"> </w:t>
      </w:r>
      <w:r w:rsidRPr="00EA59C0">
        <w:t>receive</w:t>
      </w:r>
      <w:r w:rsidR="00C026A6" w:rsidRPr="00EA59C0">
        <w:t xml:space="preserve"> </w:t>
      </w:r>
      <w:r w:rsidRPr="00EA59C0">
        <w:t>first</w:t>
      </w:r>
      <w:r w:rsidR="00C026A6" w:rsidRPr="00EA59C0">
        <w:t xml:space="preserve"> </w:t>
      </w:r>
      <w:r w:rsidRPr="00EA59C0">
        <w:t>priority</w:t>
      </w:r>
      <w:r w:rsidR="00C026A6" w:rsidRPr="00EA59C0">
        <w:t xml:space="preserve"> </w:t>
      </w:r>
      <w:r w:rsidRPr="00EA59C0">
        <w:t>of</w:t>
      </w:r>
      <w:r w:rsidR="00C026A6" w:rsidRPr="00EA59C0">
        <w:t xml:space="preserve"> </w:t>
      </w:r>
      <w:r w:rsidRPr="00EA59C0">
        <w:t>service</w:t>
      </w:r>
      <w:r w:rsidR="00C90223" w:rsidRPr="00EA59C0">
        <w:t>,</w:t>
      </w:r>
      <w:r w:rsidR="00C026A6" w:rsidRPr="00EA59C0">
        <w:t xml:space="preserve"> </w:t>
      </w:r>
      <w:r w:rsidRPr="00EA59C0">
        <w:t>with</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receiving</w:t>
      </w:r>
      <w:r w:rsidR="00C026A6" w:rsidRPr="00EA59C0">
        <w:t xml:space="preserve"> </w:t>
      </w:r>
      <w:r w:rsidRPr="00EA59C0">
        <w:t>second</w:t>
      </w:r>
      <w:r w:rsidR="00C026A6" w:rsidRPr="00EA59C0">
        <w:t xml:space="preserve"> </w:t>
      </w:r>
      <w:r w:rsidRPr="00EA59C0">
        <w:t>priority</w:t>
      </w:r>
      <w:r w:rsidR="00C026A6" w:rsidRPr="00EA59C0">
        <w:t xml:space="preserve"> </w:t>
      </w:r>
      <w:r w:rsidRPr="00EA59C0">
        <w:t>(refer</w:t>
      </w:r>
      <w:r w:rsidR="00C026A6" w:rsidRPr="00EA59C0">
        <w:t xml:space="preserve"> </w:t>
      </w:r>
      <w:r w:rsidRPr="00EA59C0">
        <w:t>to</w:t>
      </w:r>
      <w:r w:rsidR="00C026A6" w:rsidRPr="00EA59C0">
        <w:t xml:space="preserve"> </w:t>
      </w:r>
      <w:r w:rsidRPr="00EA59C0">
        <w:t>Section</w:t>
      </w:r>
      <w:r w:rsidR="00C026A6" w:rsidRPr="00EA59C0">
        <w:t xml:space="preserve"> </w:t>
      </w:r>
      <w:r w:rsidRPr="00EA59C0">
        <w:t>III.D.</w:t>
      </w:r>
      <w:r w:rsidR="008A001C" w:rsidRPr="00EA59C0">
        <w:t>3.b</w:t>
      </w:r>
      <w:r w:rsidR="00C026A6" w:rsidRPr="00EA59C0">
        <w:t xml:space="preserve"> </w:t>
      </w:r>
      <w:r w:rsidRPr="00EA59C0">
        <w:t>Veterans</w:t>
      </w:r>
      <w:r w:rsidR="00C026A6" w:rsidRPr="00EA59C0">
        <w:t xml:space="preserve"> </w:t>
      </w:r>
      <w:r w:rsidRPr="00EA59C0">
        <w:t>Priority</w:t>
      </w:r>
      <w:r w:rsidR="00C026A6" w:rsidRPr="00EA59C0">
        <w:t xml:space="preserve"> </w:t>
      </w:r>
      <w:r w:rsidRPr="00EA59C0">
        <w:t>for</w:t>
      </w:r>
      <w:r w:rsidR="00C026A6" w:rsidRPr="00EA59C0">
        <w:t xml:space="preserve"> </w:t>
      </w:r>
      <w:r w:rsidRPr="00EA59C0">
        <w:t>Participants).</w:t>
      </w:r>
    </w:p>
    <w:p w:rsidR="00714F5F" w:rsidRPr="00EA59C0" w:rsidRDefault="00714F5F" w:rsidP="00C072FA">
      <w:pPr>
        <w:widowControl w:val="0"/>
        <w:ind w:left="360"/>
      </w:pPr>
    </w:p>
    <w:p w:rsidR="00144DF0" w:rsidRPr="00EA59C0" w:rsidRDefault="00D81847" w:rsidP="00C072FA">
      <w:pPr>
        <w:pStyle w:val="ListParagraph"/>
        <w:numPr>
          <w:ilvl w:val="3"/>
          <w:numId w:val="17"/>
        </w:numPr>
        <w:rPr>
          <w:b/>
        </w:rPr>
      </w:pPr>
      <w:bookmarkStart w:id="14" w:name="_Toc41971393"/>
      <w:bookmarkStart w:id="15" w:name="_Toc207778222"/>
      <w:bookmarkStart w:id="16" w:name="_Toc208654622"/>
      <w:bookmarkStart w:id="17" w:name="_Toc228885498"/>
      <w:bookmarkStart w:id="18" w:name="_Toc229889156"/>
      <w:r w:rsidRPr="00EA59C0">
        <w:rPr>
          <w:b/>
        </w:rPr>
        <w:t>Veterans</w:t>
      </w:r>
      <w:r w:rsidR="00C026A6" w:rsidRPr="00EA59C0">
        <w:rPr>
          <w:b/>
        </w:rPr>
        <w:t xml:space="preserve"> </w:t>
      </w:r>
      <w:r w:rsidRPr="00EA59C0">
        <w:rPr>
          <w:b/>
        </w:rPr>
        <w:t>Priority</w:t>
      </w:r>
      <w:r w:rsidR="00C026A6" w:rsidRPr="00EA59C0">
        <w:rPr>
          <w:b/>
        </w:rPr>
        <w:t xml:space="preserve"> </w:t>
      </w:r>
      <w:r w:rsidRPr="00EA59C0">
        <w:rPr>
          <w:b/>
        </w:rPr>
        <w:t>for</w:t>
      </w:r>
      <w:r w:rsidR="00C026A6" w:rsidRPr="00EA59C0">
        <w:rPr>
          <w:b/>
        </w:rPr>
        <w:t xml:space="preserve"> </w:t>
      </w:r>
      <w:r w:rsidRPr="00EA59C0">
        <w:rPr>
          <w:b/>
        </w:rPr>
        <w:t>Participants</w:t>
      </w:r>
    </w:p>
    <w:p w:rsidR="00144DF0" w:rsidRPr="00EA59C0" w:rsidRDefault="007470AB" w:rsidP="00C072FA">
      <w:pPr>
        <w:tabs>
          <w:tab w:val="num" w:pos="360"/>
        </w:tabs>
        <w:ind w:left="1440"/>
      </w:pPr>
      <w:r w:rsidRPr="00EA59C0">
        <w:t>The</w:t>
      </w:r>
      <w:r w:rsidR="00C026A6" w:rsidRPr="00EA59C0">
        <w:t xml:space="preserve"> </w:t>
      </w:r>
      <w:r w:rsidRPr="00EA59C0">
        <w:t>Jobs</w:t>
      </w:r>
      <w:r w:rsidR="00C026A6" w:rsidRPr="00EA59C0">
        <w:t xml:space="preserve"> </w:t>
      </w:r>
      <w:r w:rsidRPr="00EA59C0">
        <w:t>for</w:t>
      </w:r>
      <w:r w:rsidR="00C026A6" w:rsidRPr="00EA59C0">
        <w:t xml:space="preserve"> </w:t>
      </w:r>
      <w:r w:rsidRPr="00EA59C0">
        <w:t>Veterans</w:t>
      </w:r>
      <w:r w:rsidR="00C026A6" w:rsidRPr="00EA59C0">
        <w:t xml:space="preserve"> </w:t>
      </w:r>
      <w:r w:rsidRPr="00EA59C0">
        <w:t>Act</w:t>
      </w:r>
      <w:r w:rsidR="00C026A6" w:rsidRPr="00EA59C0">
        <w:t xml:space="preserve"> </w:t>
      </w:r>
      <w:r w:rsidRPr="00EA59C0">
        <w:t>(Public</w:t>
      </w:r>
      <w:r w:rsidR="00C026A6" w:rsidRPr="00EA59C0">
        <w:t xml:space="preserve"> </w:t>
      </w:r>
      <w:r w:rsidRPr="00EA59C0">
        <w:t>Law</w:t>
      </w:r>
      <w:r w:rsidR="00C026A6" w:rsidRPr="00EA59C0">
        <w:t xml:space="preserve"> </w:t>
      </w:r>
      <w:r w:rsidRPr="00EA59C0">
        <w:t>107-288)</w:t>
      </w:r>
      <w:r w:rsidR="00C026A6" w:rsidRPr="00EA59C0">
        <w:t xml:space="preserve"> </w:t>
      </w:r>
      <w:r w:rsidRPr="00EA59C0">
        <w:t>requires</w:t>
      </w:r>
      <w:r w:rsidR="00C026A6" w:rsidRPr="00EA59C0">
        <w:t xml:space="preserve"> </w:t>
      </w:r>
      <w:r w:rsidRPr="00EA59C0">
        <w:t>grantees</w:t>
      </w:r>
      <w:r w:rsidR="00C026A6" w:rsidRPr="00EA59C0">
        <w:t xml:space="preserve"> </w:t>
      </w:r>
      <w:r w:rsidRPr="00EA59C0">
        <w:t>to</w:t>
      </w:r>
      <w:r w:rsidR="00C026A6" w:rsidRPr="00EA59C0">
        <w:t xml:space="preserve"> </w:t>
      </w:r>
      <w:r w:rsidRPr="00EA59C0">
        <w:t>provide</w:t>
      </w:r>
      <w:r w:rsidR="00C026A6" w:rsidRPr="00EA59C0">
        <w:t xml:space="preserve"> </w:t>
      </w:r>
      <w:r w:rsidRPr="00EA59C0">
        <w:t>priority</w:t>
      </w:r>
      <w:r w:rsidR="00C026A6" w:rsidRPr="00EA59C0">
        <w:t xml:space="preserve"> </w:t>
      </w:r>
      <w:r w:rsidRPr="00EA59C0">
        <w:t>of</w:t>
      </w:r>
      <w:r w:rsidR="00C026A6" w:rsidRPr="00EA59C0">
        <w:t xml:space="preserve"> </w:t>
      </w:r>
      <w:r w:rsidRPr="00EA59C0">
        <w:t>service</w:t>
      </w:r>
      <w:r w:rsidR="00C026A6" w:rsidRPr="00EA59C0">
        <w:t xml:space="preserve"> </w:t>
      </w:r>
      <w:r w:rsidRPr="00EA59C0">
        <w:t>for</w:t>
      </w:r>
      <w:r w:rsidR="00C026A6" w:rsidRPr="00EA59C0">
        <w:t xml:space="preserve"> </w:t>
      </w:r>
      <w:r w:rsidRPr="00EA59C0">
        <w:t>veterans</w:t>
      </w:r>
      <w:r w:rsidR="00C026A6" w:rsidRPr="00EA59C0">
        <w:t xml:space="preserve"> </w:t>
      </w:r>
      <w:r w:rsidRPr="00EA59C0">
        <w:t>and</w:t>
      </w:r>
      <w:r w:rsidR="00C026A6" w:rsidRPr="00EA59C0">
        <w:t xml:space="preserve"> </w:t>
      </w:r>
      <w:r w:rsidRPr="00EA59C0">
        <w:t>spouses</w:t>
      </w:r>
      <w:r w:rsidR="00C026A6" w:rsidRPr="00EA59C0">
        <w:t xml:space="preserve"> </w:t>
      </w:r>
      <w:r w:rsidRPr="00EA59C0">
        <w:t>of</w:t>
      </w:r>
      <w:r w:rsidR="00C026A6" w:rsidRPr="00EA59C0">
        <w:t xml:space="preserve"> </w:t>
      </w:r>
      <w:r w:rsidRPr="00EA59C0">
        <w:t>certain</w:t>
      </w:r>
      <w:r w:rsidR="00C026A6" w:rsidRPr="00EA59C0">
        <w:t xml:space="preserve"> </w:t>
      </w:r>
      <w:r w:rsidRPr="00EA59C0">
        <w:t>veterans</w:t>
      </w:r>
      <w:r w:rsidR="00C026A6" w:rsidRPr="00EA59C0">
        <w:t xml:space="preserve"> </w:t>
      </w:r>
      <w:r w:rsidRPr="00EA59C0">
        <w:t>for</w:t>
      </w:r>
      <w:r w:rsidR="00C026A6" w:rsidRPr="00EA59C0">
        <w:t xml:space="preserve"> </w:t>
      </w:r>
      <w:r w:rsidRPr="00EA59C0">
        <w:t>the</w:t>
      </w:r>
      <w:r w:rsidR="00C026A6" w:rsidRPr="00EA59C0">
        <w:t xml:space="preserve"> </w:t>
      </w:r>
      <w:r w:rsidRPr="00EA59C0">
        <w:t>receipt</w:t>
      </w:r>
      <w:r w:rsidR="00C026A6" w:rsidRPr="00EA59C0">
        <w:t xml:space="preserve"> </w:t>
      </w:r>
      <w:r w:rsidRPr="00EA59C0">
        <w:t>of</w:t>
      </w:r>
      <w:r w:rsidR="00C026A6" w:rsidRPr="00EA59C0">
        <w:t xml:space="preserve"> </w:t>
      </w:r>
      <w:r w:rsidRPr="00EA59C0">
        <w:t>employment,</w:t>
      </w:r>
      <w:r w:rsidR="00C026A6" w:rsidRPr="00EA59C0">
        <w:t xml:space="preserve"> </w:t>
      </w:r>
      <w:r w:rsidRPr="00EA59C0">
        <w:t>training,</w:t>
      </w:r>
      <w:r w:rsidR="00C026A6" w:rsidRPr="00EA59C0">
        <w:t xml:space="preserve"> </w:t>
      </w:r>
      <w:r w:rsidRPr="00EA59C0">
        <w:t>and</w:t>
      </w:r>
      <w:r w:rsidR="00C026A6" w:rsidRPr="00EA59C0">
        <w:t xml:space="preserve"> </w:t>
      </w:r>
      <w:r w:rsidRPr="00EA59C0">
        <w:t>placement</w:t>
      </w:r>
      <w:r w:rsidR="00C026A6" w:rsidRPr="00EA59C0">
        <w:t xml:space="preserve"> </w:t>
      </w:r>
      <w:r w:rsidRPr="00EA59C0">
        <w:t>services</w:t>
      </w:r>
      <w:r w:rsidR="00C026A6" w:rsidRPr="00EA59C0">
        <w:t xml:space="preserve"> </w:t>
      </w:r>
      <w:r w:rsidRPr="00EA59C0">
        <w:t>in</w:t>
      </w:r>
      <w:r w:rsidR="00C026A6" w:rsidRPr="00EA59C0">
        <w:t xml:space="preserve"> </w:t>
      </w:r>
      <w:r w:rsidRPr="00EA59C0">
        <w:t>any</w:t>
      </w:r>
      <w:r w:rsidR="00C026A6" w:rsidRPr="00EA59C0">
        <w:t xml:space="preserve"> </w:t>
      </w:r>
      <w:r w:rsidRPr="00EA59C0">
        <w:t>job</w:t>
      </w:r>
      <w:r w:rsidR="00C026A6" w:rsidRPr="00EA59C0">
        <w:t xml:space="preserve"> </w:t>
      </w:r>
      <w:r w:rsidRPr="00EA59C0">
        <w:t>training</w:t>
      </w:r>
      <w:r w:rsidR="00C026A6" w:rsidRPr="00EA59C0">
        <w:t xml:space="preserve"> </w:t>
      </w:r>
      <w:r w:rsidRPr="00EA59C0">
        <w:t>program</w:t>
      </w:r>
      <w:r w:rsidR="00C026A6" w:rsidRPr="00EA59C0">
        <w:t xml:space="preserve"> </w:t>
      </w:r>
      <w:r w:rsidRPr="00EA59C0">
        <w:t>directly</w:t>
      </w:r>
      <w:r w:rsidR="00C026A6" w:rsidRPr="00EA59C0">
        <w:t xml:space="preserve"> </w:t>
      </w:r>
      <w:r w:rsidRPr="00EA59C0">
        <w:t>funded,</w:t>
      </w:r>
      <w:r w:rsidR="00C026A6" w:rsidRPr="00EA59C0">
        <w:t xml:space="preserve"> </w:t>
      </w:r>
      <w:r w:rsidRPr="00EA59C0">
        <w:t>in</w:t>
      </w:r>
      <w:r w:rsidR="00C026A6" w:rsidRPr="00EA59C0">
        <w:t xml:space="preserve"> </w:t>
      </w:r>
      <w:r w:rsidRPr="00EA59C0">
        <w:t>whole</w:t>
      </w:r>
      <w:r w:rsidR="00C026A6" w:rsidRPr="00EA59C0">
        <w:t xml:space="preserve"> </w:t>
      </w:r>
      <w:r w:rsidRPr="00EA59C0">
        <w:t>or</w:t>
      </w:r>
      <w:r w:rsidR="00C026A6" w:rsidRPr="00EA59C0">
        <w:t xml:space="preserve"> </w:t>
      </w:r>
      <w:r w:rsidRPr="00EA59C0">
        <w:t>in</w:t>
      </w:r>
      <w:r w:rsidR="00C026A6" w:rsidRPr="00EA59C0">
        <w:t xml:space="preserve"> </w:t>
      </w:r>
      <w:r w:rsidRPr="00EA59C0">
        <w:t>part,</w:t>
      </w:r>
      <w:r w:rsidR="00C026A6" w:rsidRPr="00EA59C0">
        <w:t xml:space="preserve"> </w:t>
      </w:r>
      <w:r w:rsidRPr="00EA59C0">
        <w:t>by</w:t>
      </w:r>
      <w:r w:rsidR="00C026A6" w:rsidRPr="00EA59C0">
        <w:t xml:space="preserve"> </w:t>
      </w:r>
      <w:r w:rsidRPr="00EA59C0">
        <w:t>DOL.</w:t>
      </w:r>
      <w:r w:rsidR="00C026A6" w:rsidRPr="00EA59C0">
        <w:t xml:space="preserve">  </w:t>
      </w:r>
      <w:r w:rsidRPr="00EA59C0">
        <w:t>The</w:t>
      </w:r>
      <w:r w:rsidR="00C026A6" w:rsidRPr="00EA59C0">
        <w:t xml:space="preserve"> </w:t>
      </w:r>
      <w:r w:rsidRPr="00EA59C0">
        <w:t>regulations</w:t>
      </w:r>
      <w:r w:rsidR="00C026A6" w:rsidRPr="00EA59C0">
        <w:t xml:space="preserve"> </w:t>
      </w:r>
      <w:r w:rsidRPr="00EA59C0">
        <w:t>implementing</w:t>
      </w:r>
      <w:r w:rsidR="00C026A6" w:rsidRPr="00EA59C0">
        <w:t xml:space="preserve"> </w:t>
      </w:r>
      <w:r w:rsidRPr="00EA59C0">
        <w:t>this</w:t>
      </w:r>
      <w:r w:rsidR="00C026A6" w:rsidRPr="00EA59C0">
        <w:t xml:space="preserve"> </w:t>
      </w:r>
      <w:r w:rsidRPr="00EA59C0">
        <w:t>priority</w:t>
      </w:r>
      <w:r w:rsidR="00C026A6" w:rsidRPr="00EA59C0">
        <w:t xml:space="preserve"> </w:t>
      </w:r>
      <w:r w:rsidRPr="00EA59C0">
        <w:t>of</w:t>
      </w:r>
      <w:r w:rsidR="00C026A6" w:rsidRPr="00EA59C0">
        <w:t xml:space="preserve"> </w:t>
      </w:r>
      <w:r w:rsidRPr="00EA59C0">
        <w:t>service</w:t>
      </w:r>
      <w:r w:rsidR="00C026A6" w:rsidRPr="00EA59C0">
        <w:t xml:space="preserve"> </w:t>
      </w:r>
      <w:r w:rsidRPr="00EA59C0">
        <w:t>can</w:t>
      </w:r>
      <w:r w:rsidR="00C026A6" w:rsidRPr="00EA59C0">
        <w:t xml:space="preserve"> </w:t>
      </w:r>
      <w:r w:rsidRPr="00EA59C0">
        <w:t>be</w:t>
      </w:r>
      <w:r w:rsidR="00C026A6" w:rsidRPr="00EA59C0">
        <w:t xml:space="preserve"> </w:t>
      </w:r>
      <w:r w:rsidRPr="00EA59C0">
        <w:t>found</w:t>
      </w:r>
      <w:r w:rsidR="00C026A6" w:rsidRPr="00EA59C0">
        <w:t xml:space="preserve"> </w:t>
      </w:r>
      <w:r w:rsidRPr="00EA59C0">
        <w:t>at</w:t>
      </w:r>
      <w:r w:rsidR="00C026A6" w:rsidRPr="00EA59C0">
        <w:t xml:space="preserve"> </w:t>
      </w:r>
      <w:r w:rsidRPr="00EA59C0">
        <w:t>20</w:t>
      </w:r>
      <w:r w:rsidR="00C026A6" w:rsidRPr="00EA59C0">
        <w:t xml:space="preserve"> </w:t>
      </w:r>
      <w:r w:rsidRPr="00EA59C0">
        <w:t>CFR</w:t>
      </w:r>
      <w:r w:rsidR="00C026A6" w:rsidRPr="00EA59C0">
        <w:t xml:space="preserve"> </w:t>
      </w:r>
      <w:r w:rsidRPr="00EA59C0">
        <w:t>Part</w:t>
      </w:r>
      <w:r w:rsidR="00C026A6" w:rsidRPr="00EA59C0">
        <w:t xml:space="preserve"> </w:t>
      </w:r>
      <w:r w:rsidRPr="00EA59C0">
        <w:t>1010.</w:t>
      </w:r>
      <w:r w:rsidR="00C026A6" w:rsidRPr="00EA59C0">
        <w:t xml:space="preserve">  </w:t>
      </w:r>
      <w:r w:rsidRPr="00EA59C0">
        <w:t>In</w:t>
      </w:r>
      <w:r w:rsidR="00C026A6" w:rsidRPr="00EA59C0">
        <w:t xml:space="preserve"> </w:t>
      </w:r>
      <w:r w:rsidRPr="00EA59C0">
        <w:t>circumstances</w:t>
      </w:r>
      <w:r w:rsidR="00C026A6" w:rsidRPr="00EA59C0">
        <w:t xml:space="preserve"> </w:t>
      </w:r>
      <w:r w:rsidRPr="00EA59C0">
        <w:t>where</w:t>
      </w:r>
      <w:r w:rsidR="00C026A6" w:rsidRPr="00EA59C0">
        <w:t xml:space="preserve"> </w:t>
      </w:r>
      <w:r w:rsidRPr="00EA59C0">
        <w:t>a</w:t>
      </w:r>
      <w:r w:rsidR="00C026A6" w:rsidRPr="00EA59C0">
        <w:t xml:space="preserve"> </w:t>
      </w:r>
      <w:r w:rsidRPr="00EA59C0">
        <w:t>grant</w:t>
      </w:r>
      <w:r w:rsidR="00C026A6" w:rsidRPr="00EA59C0">
        <w:t xml:space="preserve"> </w:t>
      </w:r>
      <w:r w:rsidRPr="00EA59C0">
        <w:t>recipient</w:t>
      </w:r>
      <w:r w:rsidR="00C026A6" w:rsidRPr="00EA59C0">
        <w:t xml:space="preserve"> </w:t>
      </w:r>
      <w:r w:rsidRPr="00EA59C0">
        <w:t>must</w:t>
      </w:r>
      <w:r w:rsidR="00C026A6" w:rsidRPr="00EA59C0">
        <w:t xml:space="preserve"> </w:t>
      </w:r>
      <w:r w:rsidRPr="00EA59C0">
        <w:t>choose</w:t>
      </w:r>
      <w:r w:rsidR="00C026A6" w:rsidRPr="00EA59C0">
        <w:t xml:space="preserve"> </w:t>
      </w:r>
      <w:r w:rsidRPr="00EA59C0">
        <w:t>between</w:t>
      </w:r>
      <w:r w:rsidR="00C026A6" w:rsidRPr="00EA59C0">
        <w:t xml:space="preserve"> </w:t>
      </w:r>
      <w:r w:rsidRPr="00EA59C0">
        <w:t>two</w:t>
      </w:r>
      <w:r w:rsidR="00C026A6" w:rsidRPr="00EA59C0">
        <w:t xml:space="preserve"> </w:t>
      </w:r>
      <w:r w:rsidRPr="00EA59C0">
        <w:t>qualified</w:t>
      </w:r>
      <w:r w:rsidR="00C026A6" w:rsidRPr="00EA59C0">
        <w:t xml:space="preserve"> </w:t>
      </w:r>
      <w:r w:rsidRPr="00EA59C0">
        <w:t>candidates</w:t>
      </w:r>
      <w:r w:rsidR="00C026A6" w:rsidRPr="00EA59C0">
        <w:t xml:space="preserve"> </w:t>
      </w:r>
      <w:r w:rsidRPr="00EA59C0">
        <w:t>for</w:t>
      </w:r>
      <w:r w:rsidR="00C026A6" w:rsidRPr="00EA59C0">
        <w:t xml:space="preserve"> </w:t>
      </w:r>
      <w:r w:rsidRPr="00EA59C0">
        <w:t>a</w:t>
      </w:r>
      <w:r w:rsidR="00C026A6" w:rsidRPr="00EA59C0">
        <w:t xml:space="preserve"> </w:t>
      </w:r>
      <w:r w:rsidRPr="00EA59C0">
        <w:t>service,</w:t>
      </w:r>
      <w:r w:rsidR="00C026A6" w:rsidRPr="00EA59C0">
        <w:t xml:space="preserve"> </w:t>
      </w:r>
      <w:r w:rsidRPr="00EA59C0">
        <w:t>one</w:t>
      </w:r>
      <w:r w:rsidR="00C026A6" w:rsidRPr="00EA59C0">
        <w:t xml:space="preserve"> </w:t>
      </w:r>
      <w:r w:rsidRPr="00EA59C0">
        <w:t>of</w:t>
      </w:r>
      <w:r w:rsidR="00C026A6" w:rsidRPr="00EA59C0">
        <w:t xml:space="preserve"> </w:t>
      </w:r>
      <w:r w:rsidRPr="00EA59C0">
        <w:t>whom</w:t>
      </w:r>
      <w:r w:rsidR="00C026A6" w:rsidRPr="00EA59C0">
        <w:t xml:space="preserve"> </w:t>
      </w:r>
      <w:r w:rsidRPr="00EA59C0">
        <w:t>is</w:t>
      </w:r>
      <w:r w:rsidR="00C026A6" w:rsidRPr="00EA59C0">
        <w:t xml:space="preserve"> </w:t>
      </w:r>
      <w:r w:rsidRPr="00EA59C0">
        <w:t>a</w:t>
      </w:r>
      <w:r w:rsidR="00C026A6" w:rsidRPr="00EA59C0">
        <w:t xml:space="preserve"> </w:t>
      </w:r>
      <w:r w:rsidRPr="00EA59C0">
        <w:t>veteran</w:t>
      </w:r>
      <w:r w:rsidR="00C026A6" w:rsidRPr="00EA59C0">
        <w:t xml:space="preserve"> </w:t>
      </w:r>
      <w:r w:rsidRPr="00EA59C0">
        <w:t>or</w:t>
      </w:r>
      <w:r w:rsidR="00C026A6" w:rsidRPr="00EA59C0">
        <w:t xml:space="preserve"> </w:t>
      </w:r>
      <w:r w:rsidRPr="00EA59C0">
        <w:t>eligible</w:t>
      </w:r>
      <w:r w:rsidR="00C026A6" w:rsidRPr="00EA59C0">
        <w:t xml:space="preserve"> </w:t>
      </w:r>
      <w:r w:rsidRPr="00EA59C0">
        <w:t>spouse,</w:t>
      </w:r>
      <w:r w:rsidR="00C026A6" w:rsidRPr="00EA59C0">
        <w:t xml:space="preserve"> </w:t>
      </w:r>
      <w:r w:rsidRPr="00EA59C0">
        <w:t>the</w:t>
      </w:r>
      <w:r w:rsidR="00C026A6" w:rsidRPr="00EA59C0">
        <w:t xml:space="preserve"> </w:t>
      </w:r>
      <w:r w:rsidRPr="00EA59C0">
        <w:t>veterans</w:t>
      </w:r>
      <w:r w:rsidR="00C026A6" w:rsidRPr="00EA59C0">
        <w:t xml:space="preserve"> </w:t>
      </w:r>
      <w:r w:rsidRPr="00EA59C0">
        <w:t>priority</w:t>
      </w:r>
      <w:r w:rsidR="00C026A6" w:rsidRPr="00EA59C0">
        <w:t xml:space="preserve"> </w:t>
      </w:r>
      <w:r w:rsidRPr="00EA59C0">
        <w:t>of</w:t>
      </w:r>
      <w:r w:rsidR="00C026A6" w:rsidRPr="00EA59C0">
        <w:t xml:space="preserve"> </w:t>
      </w:r>
      <w:r w:rsidRPr="00EA59C0">
        <w:t>service</w:t>
      </w:r>
      <w:r w:rsidR="00C026A6" w:rsidRPr="00EA59C0">
        <w:t xml:space="preserve"> </w:t>
      </w:r>
      <w:r w:rsidRPr="00EA59C0">
        <w:t>provisions</w:t>
      </w:r>
      <w:r w:rsidR="00C026A6" w:rsidRPr="00EA59C0">
        <w:t xml:space="preserve"> </w:t>
      </w:r>
      <w:r w:rsidRPr="00EA59C0">
        <w:t>require</w:t>
      </w:r>
      <w:r w:rsidR="00C026A6" w:rsidRPr="00EA59C0">
        <w:t xml:space="preserve"> </w:t>
      </w:r>
      <w:r w:rsidRPr="00EA59C0">
        <w:t>that</w:t>
      </w:r>
      <w:r w:rsidR="00C026A6" w:rsidRPr="00EA59C0">
        <w:t xml:space="preserve"> </w:t>
      </w:r>
      <w:r w:rsidRPr="00EA59C0">
        <w:t>the</w:t>
      </w:r>
      <w:r w:rsidR="00C026A6" w:rsidRPr="00EA59C0">
        <w:t xml:space="preserve"> </w:t>
      </w:r>
      <w:r w:rsidRPr="00EA59C0">
        <w:t>grant</w:t>
      </w:r>
      <w:r w:rsidR="00C026A6" w:rsidRPr="00EA59C0">
        <w:t xml:space="preserve"> </w:t>
      </w:r>
      <w:r w:rsidRPr="00EA59C0">
        <w:t>recipient</w:t>
      </w:r>
      <w:r w:rsidR="00C026A6" w:rsidRPr="00EA59C0">
        <w:t xml:space="preserve"> </w:t>
      </w:r>
      <w:r w:rsidRPr="00EA59C0">
        <w:t>give</w:t>
      </w:r>
      <w:r w:rsidR="00C026A6" w:rsidRPr="00EA59C0">
        <w:t xml:space="preserve"> </w:t>
      </w:r>
      <w:r w:rsidRPr="00EA59C0">
        <w:t>the</w:t>
      </w:r>
      <w:r w:rsidR="00C026A6" w:rsidRPr="00EA59C0">
        <w:t xml:space="preserve"> </w:t>
      </w:r>
      <w:r w:rsidRPr="00EA59C0">
        <w:t>veteran</w:t>
      </w:r>
      <w:r w:rsidR="00C026A6" w:rsidRPr="00EA59C0">
        <w:t xml:space="preserve"> </w:t>
      </w:r>
      <w:r w:rsidRPr="00EA59C0">
        <w:t>or</w:t>
      </w:r>
      <w:r w:rsidR="00C026A6" w:rsidRPr="00EA59C0">
        <w:t xml:space="preserve"> </w:t>
      </w:r>
      <w:r w:rsidRPr="00EA59C0">
        <w:t>eligible</w:t>
      </w:r>
      <w:r w:rsidR="00C026A6" w:rsidRPr="00EA59C0">
        <w:t xml:space="preserve"> </w:t>
      </w:r>
      <w:r w:rsidRPr="00EA59C0">
        <w:t>spouse</w:t>
      </w:r>
      <w:r w:rsidR="00C026A6" w:rsidRPr="00EA59C0">
        <w:t xml:space="preserve"> </w:t>
      </w:r>
      <w:r w:rsidRPr="00EA59C0">
        <w:t>priority</w:t>
      </w:r>
      <w:r w:rsidR="00C026A6" w:rsidRPr="00EA59C0">
        <w:t xml:space="preserve"> </w:t>
      </w:r>
      <w:r w:rsidRPr="00EA59C0">
        <w:t>of</w:t>
      </w:r>
      <w:r w:rsidR="00C026A6" w:rsidRPr="00EA59C0">
        <w:t xml:space="preserve"> </w:t>
      </w:r>
      <w:r w:rsidRPr="00EA59C0">
        <w:t>service</w:t>
      </w:r>
      <w:r w:rsidR="00C026A6" w:rsidRPr="00EA59C0">
        <w:t xml:space="preserve"> </w:t>
      </w:r>
      <w:r w:rsidRPr="00EA59C0">
        <w:t>by</w:t>
      </w:r>
      <w:r w:rsidR="00C026A6" w:rsidRPr="00EA59C0">
        <w:t xml:space="preserve"> </w:t>
      </w:r>
      <w:r w:rsidRPr="00EA59C0">
        <w:t>first</w:t>
      </w:r>
      <w:r w:rsidR="00C026A6" w:rsidRPr="00EA59C0">
        <w:t xml:space="preserve"> </w:t>
      </w:r>
      <w:r w:rsidRPr="00EA59C0">
        <w:t>providing</w:t>
      </w:r>
      <w:r w:rsidR="00C026A6" w:rsidRPr="00EA59C0">
        <w:t xml:space="preserve"> </w:t>
      </w:r>
      <w:r w:rsidRPr="00EA59C0">
        <w:t>him</w:t>
      </w:r>
      <w:r w:rsidR="00C026A6" w:rsidRPr="00EA59C0">
        <w:t xml:space="preserve"> </w:t>
      </w:r>
      <w:r w:rsidRPr="00EA59C0">
        <w:t>or</w:t>
      </w:r>
      <w:r w:rsidR="00C026A6" w:rsidRPr="00EA59C0">
        <w:t xml:space="preserve"> </w:t>
      </w:r>
      <w:r w:rsidRPr="00EA59C0">
        <w:t>her</w:t>
      </w:r>
      <w:r w:rsidR="00C026A6" w:rsidRPr="00EA59C0">
        <w:t xml:space="preserve"> </w:t>
      </w:r>
      <w:r w:rsidRPr="00EA59C0">
        <w:t>that</w:t>
      </w:r>
      <w:r w:rsidR="00C026A6" w:rsidRPr="00EA59C0">
        <w:t xml:space="preserve"> </w:t>
      </w:r>
      <w:r w:rsidRPr="00EA59C0">
        <w:t>service.</w:t>
      </w:r>
      <w:r w:rsidR="00C026A6" w:rsidRPr="00EA59C0">
        <w:t xml:space="preserve">  </w:t>
      </w:r>
      <w:r w:rsidRPr="00EA59C0">
        <w:t>To</w:t>
      </w:r>
      <w:r w:rsidR="00C026A6" w:rsidRPr="00EA59C0">
        <w:t xml:space="preserve"> </w:t>
      </w:r>
      <w:r w:rsidRPr="00EA59C0">
        <w:t>obtain</w:t>
      </w:r>
      <w:r w:rsidR="00C026A6" w:rsidRPr="00EA59C0">
        <w:t xml:space="preserve"> </w:t>
      </w:r>
      <w:r w:rsidRPr="00EA59C0">
        <w:t>priority</w:t>
      </w:r>
      <w:r w:rsidR="00C026A6" w:rsidRPr="00EA59C0">
        <w:t xml:space="preserve"> </w:t>
      </w:r>
      <w:r w:rsidRPr="00EA59C0">
        <w:t>of</w:t>
      </w:r>
      <w:r w:rsidR="00C026A6" w:rsidRPr="00EA59C0">
        <w:t xml:space="preserve"> </w:t>
      </w:r>
      <w:r w:rsidRPr="00EA59C0">
        <w:t>service,</w:t>
      </w:r>
      <w:r w:rsidR="00C026A6" w:rsidRPr="00EA59C0">
        <w:t xml:space="preserve"> </w:t>
      </w:r>
      <w:r w:rsidRPr="00EA59C0">
        <w:t>a</w:t>
      </w:r>
      <w:r w:rsidR="00C026A6" w:rsidRPr="00EA59C0">
        <w:t xml:space="preserve"> </w:t>
      </w:r>
      <w:r w:rsidRPr="00EA59C0">
        <w:t>veteran</w:t>
      </w:r>
      <w:r w:rsidR="00C026A6" w:rsidRPr="00EA59C0">
        <w:t xml:space="preserve"> </w:t>
      </w:r>
      <w:r w:rsidRPr="00EA59C0">
        <w:t>or</w:t>
      </w:r>
      <w:r w:rsidR="00C026A6" w:rsidRPr="00EA59C0">
        <w:t xml:space="preserve"> </w:t>
      </w:r>
      <w:r w:rsidRPr="00EA59C0">
        <w:t>spouse</w:t>
      </w:r>
      <w:r w:rsidR="00C026A6" w:rsidRPr="00EA59C0">
        <w:t xml:space="preserve"> </w:t>
      </w:r>
      <w:r w:rsidRPr="00EA59C0">
        <w:t>must</w:t>
      </w:r>
      <w:r w:rsidR="00C026A6" w:rsidRPr="00EA59C0">
        <w:t xml:space="preserve"> </w:t>
      </w:r>
      <w:r w:rsidRPr="00EA59C0">
        <w:t>meet</w:t>
      </w:r>
      <w:r w:rsidR="00C026A6" w:rsidRPr="00EA59C0">
        <w:t xml:space="preserve"> </w:t>
      </w:r>
      <w:r w:rsidRPr="00EA59C0">
        <w:t>the</w:t>
      </w:r>
      <w:r w:rsidR="00C026A6" w:rsidRPr="00EA59C0">
        <w:t xml:space="preserve"> </w:t>
      </w:r>
      <w:r w:rsidRPr="00EA59C0">
        <w:t>program’s</w:t>
      </w:r>
      <w:r w:rsidR="00C026A6" w:rsidRPr="00EA59C0">
        <w:t xml:space="preserve"> </w:t>
      </w:r>
      <w:r w:rsidRPr="00EA59C0">
        <w:t>eligibility</w:t>
      </w:r>
      <w:r w:rsidR="00C026A6" w:rsidRPr="00EA59C0">
        <w:t xml:space="preserve"> </w:t>
      </w:r>
      <w:r w:rsidRPr="00EA59C0">
        <w:t>requirements.</w:t>
      </w:r>
      <w:r w:rsidR="00C026A6" w:rsidRPr="00EA59C0">
        <w:t xml:space="preserve">  </w:t>
      </w:r>
      <w:r w:rsidRPr="00EA59C0">
        <w:t>Grantees</w:t>
      </w:r>
      <w:r w:rsidR="00C026A6" w:rsidRPr="00EA59C0">
        <w:t xml:space="preserve"> </w:t>
      </w:r>
      <w:r w:rsidRPr="00EA59C0">
        <w:t>must</w:t>
      </w:r>
      <w:r w:rsidR="00C026A6" w:rsidRPr="00EA59C0">
        <w:t xml:space="preserve"> </w:t>
      </w:r>
      <w:r w:rsidRPr="00EA59C0">
        <w:t>comply</w:t>
      </w:r>
      <w:r w:rsidR="00C026A6" w:rsidRPr="00EA59C0">
        <w:t xml:space="preserve"> </w:t>
      </w:r>
      <w:r w:rsidRPr="00EA59C0">
        <w:t>with</w:t>
      </w:r>
      <w:r w:rsidR="00C026A6" w:rsidRPr="00EA59C0">
        <w:t xml:space="preserve"> </w:t>
      </w:r>
      <w:r w:rsidRPr="00EA59C0">
        <w:t>DOL</w:t>
      </w:r>
      <w:r w:rsidR="00C026A6" w:rsidRPr="00EA59C0">
        <w:t xml:space="preserve"> </w:t>
      </w:r>
      <w:r w:rsidRPr="00EA59C0">
        <w:t>guidance</w:t>
      </w:r>
      <w:r w:rsidR="00C026A6" w:rsidRPr="00EA59C0">
        <w:t xml:space="preserve"> </w:t>
      </w:r>
      <w:r w:rsidRPr="00EA59C0">
        <w:t>on</w:t>
      </w:r>
      <w:r w:rsidR="00C026A6" w:rsidRPr="00EA59C0">
        <w:t xml:space="preserve"> </w:t>
      </w:r>
      <w:r w:rsidRPr="00EA59C0">
        <w:t>veterans’</w:t>
      </w:r>
      <w:r w:rsidR="00C026A6" w:rsidRPr="00EA59C0">
        <w:t xml:space="preserve"> </w:t>
      </w:r>
      <w:r w:rsidRPr="00EA59C0">
        <w:t>priority.</w:t>
      </w:r>
      <w:r w:rsidR="00C026A6" w:rsidRPr="00EA59C0">
        <w:t xml:space="preserve">  </w:t>
      </w:r>
      <w:r w:rsidRPr="00EA59C0">
        <w:t>ETA’s</w:t>
      </w:r>
      <w:r w:rsidR="00C026A6" w:rsidRPr="00EA59C0">
        <w:t xml:space="preserve"> </w:t>
      </w:r>
      <w:r w:rsidRPr="00EA59C0">
        <w:t>Training</w:t>
      </w:r>
      <w:r w:rsidR="00C026A6" w:rsidRPr="00EA59C0">
        <w:t xml:space="preserve"> </w:t>
      </w:r>
      <w:r w:rsidRPr="00EA59C0">
        <w:t>and</w:t>
      </w:r>
      <w:r w:rsidR="00C026A6" w:rsidRPr="00EA59C0">
        <w:t xml:space="preserve"> </w:t>
      </w:r>
      <w:r w:rsidRPr="00EA59C0">
        <w:t>Employment</w:t>
      </w:r>
      <w:r w:rsidR="00C026A6" w:rsidRPr="00EA59C0">
        <w:t xml:space="preserve"> </w:t>
      </w:r>
      <w:r w:rsidRPr="00EA59C0">
        <w:t>Guidance</w:t>
      </w:r>
      <w:r w:rsidR="00C026A6" w:rsidRPr="00EA59C0">
        <w:t xml:space="preserve"> </w:t>
      </w:r>
      <w:r w:rsidRPr="00EA59C0">
        <w:t>Letter</w:t>
      </w:r>
      <w:r w:rsidR="00C026A6" w:rsidRPr="00EA59C0">
        <w:t xml:space="preserve"> </w:t>
      </w:r>
      <w:r w:rsidRPr="00EA59C0">
        <w:t>(TEGL)</w:t>
      </w:r>
      <w:r w:rsidR="00C026A6" w:rsidRPr="00EA59C0">
        <w:t xml:space="preserve"> </w:t>
      </w:r>
      <w:r w:rsidRPr="00EA59C0">
        <w:t>No.</w:t>
      </w:r>
      <w:r w:rsidR="00C026A6" w:rsidRPr="00EA59C0">
        <w:t xml:space="preserve"> </w:t>
      </w:r>
      <w:r w:rsidRPr="00EA59C0">
        <w:t>10-09</w:t>
      </w:r>
      <w:r w:rsidR="00C026A6" w:rsidRPr="00EA59C0">
        <w:t xml:space="preserve"> </w:t>
      </w:r>
      <w:r w:rsidRPr="00EA59C0">
        <w:t>(issued</w:t>
      </w:r>
      <w:r w:rsidR="00C026A6" w:rsidRPr="00EA59C0">
        <w:t xml:space="preserve"> </w:t>
      </w:r>
      <w:r w:rsidRPr="00EA59C0">
        <w:t>November</w:t>
      </w:r>
      <w:r w:rsidR="00C026A6" w:rsidRPr="00EA59C0">
        <w:t xml:space="preserve"> </w:t>
      </w:r>
      <w:r w:rsidRPr="00EA59C0">
        <w:t>10,</w:t>
      </w:r>
      <w:r w:rsidR="00C026A6" w:rsidRPr="00EA59C0">
        <w:t xml:space="preserve"> </w:t>
      </w:r>
      <w:r w:rsidRPr="00EA59C0">
        <w:t>2009)</w:t>
      </w:r>
      <w:r w:rsidR="00C026A6" w:rsidRPr="00EA59C0">
        <w:t xml:space="preserve"> </w:t>
      </w:r>
      <w:r w:rsidRPr="00EA59C0">
        <w:t>provides</w:t>
      </w:r>
      <w:r w:rsidR="00C026A6" w:rsidRPr="00EA59C0">
        <w:t xml:space="preserve"> </w:t>
      </w:r>
      <w:r w:rsidRPr="00EA59C0">
        <w:t>guidance</w:t>
      </w:r>
      <w:r w:rsidR="00C026A6" w:rsidRPr="00EA59C0">
        <w:t xml:space="preserve"> </w:t>
      </w:r>
      <w:r w:rsidRPr="00EA59C0">
        <w:t>on</w:t>
      </w:r>
      <w:r w:rsidR="00C026A6" w:rsidRPr="00EA59C0">
        <w:t xml:space="preserve"> </w:t>
      </w:r>
      <w:r w:rsidRPr="00EA59C0">
        <w:t>implementing</w:t>
      </w:r>
      <w:r w:rsidR="00C026A6" w:rsidRPr="00EA59C0">
        <w:t xml:space="preserve"> </w:t>
      </w:r>
      <w:r w:rsidRPr="00EA59C0">
        <w:t>priority</w:t>
      </w:r>
      <w:r w:rsidR="00C026A6" w:rsidRPr="00EA59C0">
        <w:t xml:space="preserve"> </w:t>
      </w:r>
      <w:r w:rsidRPr="00EA59C0">
        <w:t>of</w:t>
      </w:r>
      <w:r w:rsidR="00C026A6" w:rsidRPr="00EA59C0">
        <w:t xml:space="preserve"> </w:t>
      </w:r>
      <w:r w:rsidRPr="00EA59C0">
        <w:t>service</w:t>
      </w:r>
      <w:r w:rsidR="00C026A6" w:rsidRPr="00EA59C0">
        <w:t xml:space="preserve"> </w:t>
      </w:r>
      <w:r w:rsidRPr="00EA59C0">
        <w:t>for</w:t>
      </w:r>
      <w:r w:rsidR="00C026A6" w:rsidRPr="00EA59C0">
        <w:t xml:space="preserve"> </w:t>
      </w:r>
      <w:r w:rsidRPr="00EA59C0">
        <w:t>veterans</w:t>
      </w:r>
      <w:r w:rsidR="00C026A6" w:rsidRPr="00EA59C0">
        <w:t xml:space="preserve"> </w:t>
      </w:r>
      <w:r w:rsidRPr="00EA59C0">
        <w:t>and</w:t>
      </w:r>
      <w:r w:rsidR="00C026A6" w:rsidRPr="00EA59C0">
        <w:t xml:space="preserve"> </w:t>
      </w:r>
      <w:r w:rsidRPr="00EA59C0">
        <w:t>eligible</w:t>
      </w:r>
      <w:r w:rsidR="00C026A6" w:rsidRPr="00EA59C0">
        <w:t xml:space="preserve"> </w:t>
      </w:r>
      <w:r w:rsidRPr="00EA59C0">
        <w:t>spouses</w:t>
      </w:r>
      <w:r w:rsidR="00C026A6" w:rsidRPr="00EA59C0">
        <w:t xml:space="preserve"> </w:t>
      </w:r>
      <w:r w:rsidRPr="00EA59C0">
        <w:t>in</w:t>
      </w:r>
      <w:r w:rsidR="00C026A6" w:rsidRPr="00EA59C0">
        <w:t xml:space="preserve"> </w:t>
      </w:r>
      <w:r w:rsidRPr="00EA59C0">
        <w:t>all</w:t>
      </w:r>
      <w:r w:rsidR="00C026A6" w:rsidRPr="00EA59C0">
        <w:t xml:space="preserve"> </w:t>
      </w:r>
      <w:r w:rsidRPr="00EA59C0">
        <w:t>qualified</w:t>
      </w:r>
      <w:r w:rsidR="00C026A6" w:rsidRPr="00EA59C0">
        <w:t xml:space="preserve"> </w:t>
      </w:r>
      <w:r w:rsidRPr="00EA59C0">
        <w:t>job</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funded</w:t>
      </w:r>
      <w:r w:rsidR="00C026A6" w:rsidRPr="00EA59C0">
        <w:t xml:space="preserve"> </w:t>
      </w:r>
      <w:r w:rsidRPr="00EA59C0">
        <w:t>in</w:t>
      </w:r>
      <w:r w:rsidR="00C026A6" w:rsidRPr="00EA59C0">
        <w:t xml:space="preserve"> </w:t>
      </w:r>
      <w:r w:rsidRPr="00EA59C0">
        <w:t>whole</w:t>
      </w:r>
      <w:r w:rsidR="00C026A6" w:rsidRPr="00EA59C0">
        <w:t xml:space="preserve"> </w:t>
      </w:r>
      <w:r w:rsidRPr="00EA59C0">
        <w:t>or</w:t>
      </w:r>
      <w:r w:rsidR="00C026A6" w:rsidRPr="00EA59C0">
        <w:t xml:space="preserve"> </w:t>
      </w:r>
      <w:r w:rsidRPr="00EA59C0">
        <w:t>in</w:t>
      </w:r>
      <w:r w:rsidR="00C026A6" w:rsidRPr="00EA59C0">
        <w:t xml:space="preserve"> </w:t>
      </w:r>
      <w:r w:rsidRPr="00EA59C0">
        <w:t>part</w:t>
      </w:r>
      <w:r w:rsidR="00C026A6" w:rsidRPr="00EA59C0">
        <w:t xml:space="preserve"> </w:t>
      </w:r>
      <w:r w:rsidRPr="00EA59C0">
        <w:t>by</w:t>
      </w:r>
      <w:r w:rsidR="00C026A6" w:rsidRPr="00EA59C0">
        <w:t xml:space="preserve"> </w:t>
      </w:r>
      <w:r w:rsidRPr="00EA59C0">
        <w:t>DOL.</w:t>
      </w:r>
      <w:r w:rsidR="00C026A6" w:rsidRPr="00EA59C0">
        <w:t xml:space="preserve">  </w:t>
      </w:r>
      <w:r w:rsidRPr="00EA59C0">
        <w:t>TEGL</w:t>
      </w:r>
      <w:r w:rsidR="00C026A6" w:rsidRPr="00EA59C0">
        <w:t xml:space="preserve"> </w:t>
      </w:r>
      <w:r w:rsidRPr="00EA59C0">
        <w:t>No.</w:t>
      </w:r>
      <w:r w:rsidR="00C026A6" w:rsidRPr="00EA59C0">
        <w:t xml:space="preserve"> </w:t>
      </w:r>
      <w:r w:rsidRPr="00EA59C0">
        <w:t>10-09</w:t>
      </w:r>
      <w:r w:rsidR="00C026A6" w:rsidRPr="00EA59C0">
        <w:t xml:space="preserve"> </w:t>
      </w:r>
      <w:r w:rsidRPr="00EA59C0">
        <w:t>is</w:t>
      </w:r>
      <w:r w:rsidR="00C026A6" w:rsidRPr="00EA59C0">
        <w:t xml:space="preserve"> </w:t>
      </w:r>
      <w:r w:rsidRPr="00EA59C0">
        <w:t>available</w:t>
      </w:r>
      <w:r w:rsidR="00C026A6" w:rsidRPr="00EA59C0">
        <w:t xml:space="preserve"> </w:t>
      </w:r>
      <w:r w:rsidRPr="00EA59C0">
        <w:t>at</w:t>
      </w:r>
      <w:r w:rsidR="00C026A6" w:rsidRPr="00EA59C0">
        <w:t xml:space="preserve"> </w:t>
      </w:r>
      <w:hyperlink r:id="rId244" w:history="1">
        <w:r w:rsidR="000643DC" w:rsidRPr="00BB093B">
          <w:rPr>
            <w:rStyle w:val="Hyperlink"/>
          </w:rPr>
          <w:t>http://wdr.doleta.gov/directives/corr_doc.cfm?DOCN=2816</w:t>
        </w:r>
      </w:hyperlink>
      <w:r w:rsidRPr="00EA59C0">
        <w:t>.</w:t>
      </w:r>
      <w:r w:rsidR="000643DC">
        <w:t xml:space="preserve"> </w:t>
      </w:r>
    </w:p>
    <w:p w:rsidR="00C32DE7" w:rsidRPr="00EA59C0" w:rsidRDefault="00C32DE7" w:rsidP="00C072FA">
      <w:pPr>
        <w:tabs>
          <w:tab w:val="num" w:pos="360"/>
        </w:tabs>
      </w:pPr>
    </w:p>
    <w:p w:rsidR="0046767F" w:rsidRPr="00EA59C0" w:rsidRDefault="0046767F" w:rsidP="004913DF">
      <w:pPr>
        <w:pStyle w:val="Heading1"/>
        <w:numPr>
          <w:ilvl w:val="2"/>
          <w:numId w:val="17"/>
        </w:numPr>
        <w:spacing w:line="240" w:lineRule="auto"/>
        <w:rPr>
          <w:rFonts w:ascii="Times New Roman" w:hAnsi="Times New Roman"/>
          <w:b w:val="0"/>
        </w:rPr>
      </w:pPr>
      <w:r w:rsidRPr="00EA59C0">
        <w:rPr>
          <w:rFonts w:ascii="Times New Roman" w:hAnsi="Times New Roman"/>
          <w:b w:val="0"/>
        </w:rPr>
        <w:t>Review</w:t>
      </w:r>
      <w:r w:rsidR="00C026A6" w:rsidRPr="00EA59C0">
        <w:rPr>
          <w:rFonts w:ascii="Times New Roman" w:hAnsi="Times New Roman"/>
          <w:b w:val="0"/>
        </w:rPr>
        <w:t xml:space="preserve"> </w:t>
      </w:r>
      <w:r w:rsidRPr="00EA59C0">
        <w:rPr>
          <w:rFonts w:ascii="Times New Roman" w:hAnsi="Times New Roman"/>
          <w:b w:val="0"/>
        </w:rPr>
        <w:t>of</w:t>
      </w:r>
      <w:r w:rsidR="00C026A6" w:rsidRPr="00EA59C0">
        <w:rPr>
          <w:rFonts w:ascii="Times New Roman" w:hAnsi="Times New Roman"/>
          <w:b w:val="0"/>
        </w:rPr>
        <w:t xml:space="preserve"> </w:t>
      </w:r>
      <w:r w:rsidRPr="00EA59C0">
        <w:rPr>
          <w:rFonts w:ascii="Times New Roman" w:hAnsi="Times New Roman"/>
          <w:b w:val="0"/>
        </w:rPr>
        <w:t>Grant</w:t>
      </w:r>
      <w:r w:rsidR="00C026A6" w:rsidRPr="00EA59C0">
        <w:rPr>
          <w:rFonts w:ascii="Times New Roman" w:hAnsi="Times New Roman"/>
          <w:b w:val="0"/>
        </w:rPr>
        <w:t xml:space="preserve"> </w:t>
      </w:r>
      <w:r w:rsidRPr="00EA59C0">
        <w:rPr>
          <w:rFonts w:ascii="Times New Roman" w:hAnsi="Times New Roman"/>
          <w:b w:val="0"/>
        </w:rPr>
        <w:t>Deliverables</w:t>
      </w:r>
    </w:p>
    <w:p w:rsidR="00723848" w:rsidRPr="00EA59C0" w:rsidRDefault="0046767F" w:rsidP="00C072FA">
      <w:pPr>
        <w:widowControl w:val="0"/>
        <w:ind w:left="1080"/>
      </w:pPr>
      <w:r w:rsidRPr="00EA59C0">
        <w:t>Grantees</w:t>
      </w:r>
      <w:r w:rsidR="00C026A6" w:rsidRPr="00EA59C0">
        <w:t xml:space="preserve"> </w:t>
      </w:r>
      <w:r w:rsidRPr="00EA59C0">
        <w:t>will</w:t>
      </w:r>
      <w:r w:rsidR="00C026A6" w:rsidRPr="00EA59C0">
        <w:t xml:space="preserve"> </w:t>
      </w:r>
      <w:r w:rsidRPr="00EA59C0">
        <w:t>be</w:t>
      </w:r>
      <w:r w:rsidR="00C026A6" w:rsidRPr="00EA59C0">
        <w:t xml:space="preserve"> </w:t>
      </w:r>
      <w:r w:rsidRPr="00EA59C0">
        <w:t>required</w:t>
      </w:r>
      <w:r w:rsidR="00C026A6" w:rsidRPr="00EA59C0">
        <w:t xml:space="preserve"> </w:t>
      </w:r>
      <w:r w:rsidRPr="00EA59C0">
        <w:t>to</w:t>
      </w:r>
      <w:r w:rsidR="00C026A6" w:rsidRPr="00EA59C0">
        <w:t xml:space="preserve"> </w:t>
      </w:r>
      <w:r w:rsidRPr="00EA59C0">
        <w:t>identify</w:t>
      </w:r>
      <w:r w:rsidR="00C026A6" w:rsidRPr="00EA59C0">
        <w:t xml:space="preserve"> </w:t>
      </w:r>
      <w:r w:rsidRPr="00EA59C0">
        <w:t>third-party</w:t>
      </w:r>
      <w:r w:rsidR="00C026A6" w:rsidRPr="00EA59C0">
        <w:t xml:space="preserve"> </w:t>
      </w:r>
      <w:r w:rsidRPr="00EA59C0">
        <w:t>subject</w:t>
      </w:r>
      <w:r w:rsidR="00C026A6" w:rsidRPr="00EA59C0">
        <w:t xml:space="preserve"> </w:t>
      </w:r>
      <w:r w:rsidRPr="00EA59C0">
        <w:t>matter</w:t>
      </w:r>
      <w:r w:rsidR="00C026A6" w:rsidRPr="00EA59C0">
        <w:t xml:space="preserve"> </w:t>
      </w:r>
      <w:r w:rsidRPr="00EA59C0">
        <w:t>experts</w:t>
      </w:r>
      <w:r w:rsidR="00C026A6" w:rsidRPr="00EA59C0">
        <w:t xml:space="preserve"> </w:t>
      </w:r>
      <w:r w:rsidRPr="00EA59C0">
        <w:t>to</w:t>
      </w:r>
      <w:r w:rsidR="00C026A6" w:rsidRPr="00EA59C0">
        <w:t xml:space="preserve"> </w:t>
      </w:r>
      <w:r w:rsidRPr="00EA59C0">
        <w:t>conduct</w:t>
      </w:r>
      <w:r w:rsidR="00C026A6" w:rsidRPr="00EA59C0">
        <w:t xml:space="preserve"> </w:t>
      </w:r>
      <w:r w:rsidRPr="00EA59C0">
        <w:t>reviews</w:t>
      </w:r>
      <w:r w:rsidR="00C026A6" w:rsidRPr="00EA59C0">
        <w:t xml:space="preserve"> </w:t>
      </w:r>
      <w:r w:rsidRPr="00EA59C0">
        <w:t>of</w:t>
      </w:r>
      <w:r w:rsidR="00C026A6" w:rsidRPr="00EA59C0">
        <w:t xml:space="preserve"> </w:t>
      </w:r>
      <w:r w:rsidRPr="00EA59C0">
        <w:t>the</w:t>
      </w:r>
      <w:r w:rsidR="00C026A6" w:rsidRPr="00EA59C0">
        <w:t xml:space="preserve"> </w:t>
      </w:r>
      <w:r w:rsidRPr="00EA59C0">
        <w:t>deliverables</w:t>
      </w:r>
      <w:r w:rsidR="00C026A6" w:rsidRPr="00EA59C0">
        <w:t xml:space="preserve"> </w:t>
      </w:r>
      <w:r w:rsidRPr="00EA59C0">
        <w:t>produced</w:t>
      </w:r>
      <w:r w:rsidR="00C026A6" w:rsidRPr="00EA59C0">
        <w:t xml:space="preserve"> </w:t>
      </w:r>
      <w:r w:rsidRPr="00EA59C0">
        <w:t>through</w:t>
      </w:r>
      <w:r w:rsidR="00C026A6" w:rsidRPr="00EA59C0">
        <w:t xml:space="preserve"> </w:t>
      </w:r>
      <w:r w:rsidRPr="00EA59C0">
        <w:t>the</w:t>
      </w:r>
      <w:r w:rsidR="00C026A6" w:rsidRPr="00EA59C0">
        <w:t xml:space="preserve"> </w:t>
      </w:r>
      <w:r w:rsidRPr="00EA59C0">
        <w:t>grant.</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allot</w:t>
      </w:r>
      <w:r w:rsidR="00C026A6" w:rsidRPr="00EA59C0">
        <w:t xml:space="preserve"> </w:t>
      </w:r>
      <w:r w:rsidRPr="00EA59C0">
        <w:t>funds</w:t>
      </w:r>
      <w:r w:rsidR="00C026A6" w:rsidRPr="00EA59C0">
        <w:t xml:space="preserve"> </w:t>
      </w:r>
      <w:r w:rsidRPr="00EA59C0">
        <w:t>in</w:t>
      </w:r>
      <w:r w:rsidR="00C026A6" w:rsidRPr="00EA59C0">
        <w:t xml:space="preserve"> </w:t>
      </w:r>
      <w:r w:rsidRPr="00EA59C0">
        <w:t>their</w:t>
      </w:r>
      <w:r w:rsidR="00C026A6" w:rsidRPr="00EA59C0">
        <w:t xml:space="preserve"> </w:t>
      </w:r>
      <w:r w:rsidRPr="00EA59C0">
        <w:t>budgets</w:t>
      </w:r>
      <w:r w:rsidR="00C026A6" w:rsidRPr="00EA59C0">
        <w:t xml:space="preserve"> </w:t>
      </w:r>
      <w:r w:rsidRPr="00EA59C0">
        <w:t>for</w:t>
      </w:r>
      <w:r w:rsidR="00C026A6" w:rsidRPr="00EA59C0">
        <w:t xml:space="preserve"> </w:t>
      </w:r>
      <w:r w:rsidRPr="00EA59C0">
        <w:t>the</w:t>
      </w:r>
      <w:r w:rsidR="00C026A6" w:rsidRPr="00EA59C0">
        <w:t xml:space="preserve"> </w:t>
      </w:r>
      <w:r w:rsidRPr="00EA59C0">
        <w:t>independent</w:t>
      </w:r>
      <w:r w:rsidR="00C026A6" w:rsidRPr="00EA59C0">
        <w:t xml:space="preserve"> </w:t>
      </w:r>
      <w:r w:rsidRPr="00EA59C0">
        <w:t>review</w:t>
      </w:r>
      <w:r w:rsidR="00C026A6" w:rsidRPr="00EA59C0">
        <w:t xml:space="preserve"> </w:t>
      </w:r>
      <w:r w:rsidRPr="00EA59C0">
        <w:t>of</w:t>
      </w:r>
      <w:r w:rsidR="00C026A6" w:rsidRPr="00EA59C0">
        <w:t xml:space="preserve"> </w:t>
      </w:r>
      <w:r w:rsidRPr="00EA59C0">
        <w:t>their</w:t>
      </w:r>
      <w:r w:rsidR="00C026A6" w:rsidRPr="00EA59C0">
        <w:t xml:space="preserve"> </w:t>
      </w:r>
      <w:r w:rsidRPr="00EA59C0">
        <w:t>deliverables</w:t>
      </w:r>
      <w:r w:rsidR="00C026A6" w:rsidRPr="00EA59C0">
        <w:t xml:space="preserve"> </w:t>
      </w:r>
      <w:r w:rsidRPr="00EA59C0">
        <w:t>by</w:t>
      </w:r>
      <w:r w:rsidR="00C026A6" w:rsidRPr="00EA59C0">
        <w:t xml:space="preserve"> </w:t>
      </w:r>
      <w:r w:rsidRPr="00EA59C0">
        <w:t>appropriate</w:t>
      </w:r>
      <w:r w:rsidR="00C026A6" w:rsidRPr="00EA59C0">
        <w:t xml:space="preserve"> </w:t>
      </w:r>
      <w:r w:rsidRPr="00EA59C0">
        <w:t>subject</w:t>
      </w:r>
      <w:r w:rsidR="00C026A6" w:rsidRPr="00EA59C0">
        <w:t xml:space="preserve"> </w:t>
      </w:r>
      <w:r w:rsidRPr="00EA59C0">
        <w:t>matter</w:t>
      </w:r>
      <w:r w:rsidR="00C026A6" w:rsidRPr="00EA59C0">
        <w:t xml:space="preserve"> </w:t>
      </w:r>
      <w:r w:rsidRPr="00EA59C0">
        <w:t>experts.</w:t>
      </w:r>
      <w:r w:rsidR="00C026A6" w:rsidRPr="00EA59C0">
        <w:t xml:space="preserve">  </w:t>
      </w:r>
      <w:r w:rsidRPr="00EA59C0">
        <w:t>Subject</w:t>
      </w:r>
      <w:r w:rsidR="00C026A6" w:rsidRPr="00EA59C0">
        <w:t xml:space="preserve"> </w:t>
      </w:r>
      <w:r w:rsidRPr="00EA59C0">
        <w:t>matter</w:t>
      </w:r>
      <w:r w:rsidR="00C026A6" w:rsidRPr="00EA59C0">
        <w:t xml:space="preserve"> </w:t>
      </w:r>
      <w:r w:rsidRPr="00EA59C0">
        <w:t>experts</w:t>
      </w:r>
      <w:r w:rsidR="00C026A6" w:rsidRPr="00EA59C0">
        <w:t xml:space="preserve"> </w:t>
      </w:r>
      <w:r w:rsidRPr="00EA59C0">
        <w:t>are</w:t>
      </w:r>
      <w:r w:rsidR="00C026A6" w:rsidRPr="00EA59C0">
        <w:t xml:space="preserve"> </w:t>
      </w:r>
      <w:r w:rsidRPr="00EA59C0">
        <w:t>individuals</w:t>
      </w:r>
      <w:r w:rsidR="00C026A6" w:rsidRPr="00EA59C0">
        <w:t xml:space="preserve"> </w:t>
      </w:r>
      <w:r w:rsidRPr="00EA59C0">
        <w:t>with</w:t>
      </w:r>
      <w:r w:rsidR="00C026A6" w:rsidRPr="00EA59C0">
        <w:t xml:space="preserve"> </w:t>
      </w:r>
      <w:r w:rsidRPr="00EA59C0">
        <w:t>demonstrated</w:t>
      </w:r>
      <w:r w:rsidR="00C026A6" w:rsidRPr="00EA59C0">
        <w:t xml:space="preserve"> </w:t>
      </w:r>
      <w:r w:rsidRPr="00EA59C0">
        <w:t>experience</w:t>
      </w:r>
      <w:r w:rsidR="00C026A6" w:rsidRPr="00EA59C0">
        <w:t xml:space="preserve"> </w:t>
      </w:r>
      <w:r w:rsidRPr="00EA59C0">
        <w:t>in</w:t>
      </w:r>
      <w:r w:rsidR="00C026A6" w:rsidRPr="00EA59C0">
        <w:t xml:space="preserve"> </w:t>
      </w:r>
      <w:r w:rsidRPr="00EA59C0">
        <w:t>developing</w:t>
      </w:r>
      <w:r w:rsidR="00C026A6" w:rsidRPr="00EA59C0">
        <w:t xml:space="preserve"> </w:t>
      </w:r>
      <w:r w:rsidRPr="00EA59C0">
        <w:t>and/or</w:t>
      </w:r>
      <w:r w:rsidR="00C026A6" w:rsidRPr="00EA59C0">
        <w:t xml:space="preserve"> </w:t>
      </w:r>
      <w:r w:rsidRPr="00EA59C0">
        <w:t>implementing</w:t>
      </w:r>
      <w:r w:rsidR="00C026A6" w:rsidRPr="00EA59C0">
        <w:t xml:space="preserve"> </w:t>
      </w:r>
      <w:r w:rsidRPr="00EA59C0">
        <w:t>similar</w:t>
      </w:r>
      <w:r w:rsidR="00C026A6" w:rsidRPr="00EA59C0">
        <w:t xml:space="preserve"> </w:t>
      </w:r>
      <w:r w:rsidRPr="00EA59C0">
        <w:t>deliverables.</w:t>
      </w:r>
      <w:r w:rsidR="00C026A6" w:rsidRPr="00EA59C0">
        <w:t xml:space="preserve">  </w:t>
      </w:r>
      <w:r w:rsidRPr="00EA59C0">
        <w:t>These</w:t>
      </w:r>
      <w:r w:rsidR="00C026A6" w:rsidRPr="00EA59C0">
        <w:t xml:space="preserve"> </w:t>
      </w:r>
      <w:r w:rsidRPr="00EA59C0">
        <w:t>experts</w:t>
      </w:r>
      <w:r w:rsidR="00C026A6" w:rsidRPr="00EA59C0">
        <w:t xml:space="preserve"> </w:t>
      </w:r>
      <w:r w:rsidRPr="00EA59C0">
        <w:t>could</w:t>
      </w:r>
      <w:r w:rsidR="00C026A6" w:rsidRPr="00EA59C0">
        <w:t xml:space="preserve"> </w:t>
      </w:r>
      <w:r w:rsidRPr="00EA59C0">
        <w:t>include</w:t>
      </w:r>
      <w:r w:rsidR="00C026A6" w:rsidRPr="00EA59C0">
        <w:t xml:space="preserve"> </w:t>
      </w:r>
      <w:r w:rsidRPr="00EA59C0">
        <w:t>applicants’</w:t>
      </w:r>
      <w:r w:rsidR="00C026A6" w:rsidRPr="00EA59C0">
        <w:t xml:space="preserve"> </w:t>
      </w:r>
      <w:r w:rsidRPr="00EA59C0">
        <w:t>peers,</w:t>
      </w:r>
      <w:r w:rsidR="00C026A6" w:rsidRPr="00EA59C0">
        <w:t xml:space="preserve"> </w:t>
      </w:r>
      <w:r w:rsidRPr="00EA59C0">
        <w:t>such</w:t>
      </w:r>
      <w:r w:rsidR="00C026A6" w:rsidRPr="00EA59C0">
        <w:t xml:space="preserve"> </w:t>
      </w:r>
      <w:r w:rsidRPr="00EA59C0">
        <w:t>as</w:t>
      </w:r>
      <w:r w:rsidR="00C026A6" w:rsidRPr="00EA59C0">
        <w:t xml:space="preserve"> </w:t>
      </w:r>
      <w:r w:rsidRPr="00EA59C0">
        <w:t>representatives</w:t>
      </w:r>
      <w:r w:rsidR="00C026A6" w:rsidRPr="00EA59C0">
        <w:t xml:space="preserve"> </w:t>
      </w:r>
      <w:r w:rsidRPr="00EA59C0">
        <w:t>from</w:t>
      </w:r>
      <w:r w:rsidR="00C026A6" w:rsidRPr="00EA59C0">
        <w:t xml:space="preserve"> </w:t>
      </w:r>
      <w:r w:rsidRPr="00EA59C0">
        <w:t>neighboring</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providers.</w:t>
      </w:r>
      <w:r w:rsidR="00C026A6" w:rsidRPr="00EA59C0">
        <w:t xml:space="preserve">  </w:t>
      </w:r>
      <w:r w:rsidRPr="00EA59C0">
        <w:t>The</w:t>
      </w:r>
      <w:r w:rsidR="00C026A6" w:rsidRPr="00EA59C0">
        <w:t xml:space="preserve"> </w:t>
      </w:r>
      <w:r w:rsidRPr="00EA59C0">
        <w:t>applicant</w:t>
      </w:r>
      <w:r w:rsidR="00C026A6" w:rsidRPr="00EA59C0">
        <w:t xml:space="preserve"> </w:t>
      </w:r>
      <w:r w:rsidRPr="00EA59C0">
        <w:t>must</w:t>
      </w:r>
      <w:r w:rsidR="00C026A6" w:rsidRPr="00EA59C0">
        <w:t xml:space="preserve"> </w:t>
      </w:r>
      <w:r w:rsidRPr="00EA59C0">
        <w:t>provide</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with</w:t>
      </w:r>
      <w:r w:rsidR="00C026A6" w:rsidRPr="00EA59C0">
        <w:t xml:space="preserve"> </w:t>
      </w:r>
      <w:r w:rsidRPr="00EA59C0">
        <w:t>the</w:t>
      </w:r>
      <w:r w:rsidR="00C026A6" w:rsidRPr="00EA59C0">
        <w:t xml:space="preserve"> </w:t>
      </w:r>
      <w:r w:rsidRPr="00EA59C0">
        <w:t>results</w:t>
      </w:r>
      <w:r w:rsidR="00C026A6" w:rsidRPr="00EA59C0">
        <w:t xml:space="preserve"> </w:t>
      </w:r>
      <w:r w:rsidRPr="00EA59C0">
        <w:t>of</w:t>
      </w:r>
      <w:r w:rsidR="00C026A6" w:rsidRPr="00EA59C0">
        <w:t xml:space="preserve"> </w:t>
      </w:r>
      <w:r w:rsidRPr="00EA59C0">
        <w:t>the</w:t>
      </w:r>
      <w:r w:rsidR="00C026A6" w:rsidRPr="00EA59C0">
        <w:t xml:space="preserve"> </w:t>
      </w:r>
      <w:r w:rsidRPr="00EA59C0">
        <w:t>review</w:t>
      </w:r>
      <w:r w:rsidR="00C026A6" w:rsidRPr="00EA59C0">
        <w:t xml:space="preserve"> </w:t>
      </w:r>
      <w:r w:rsidRPr="00EA59C0">
        <w:t>and</w:t>
      </w:r>
      <w:r w:rsidR="00C026A6" w:rsidRPr="00EA59C0">
        <w:t xml:space="preserve"> </w:t>
      </w:r>
      <w:r w:rsidRPr="00EA59C0">
        <w:t>the</w:t>
      </w:r>
      <w:r w:rsidR="00C026A6" w:rsidRPr="00EA59C0">
        <w:t xml:space="preserve"> </w:t>
      </w:r>
      <w:r w:rsidRPr="00EA59C0">
        <w:t>qualifications</w:t>
      </w:r>
      <w:r w:rsidR="00C026A6" w:rsidRPr="00EA59C0">
        <w:t xml:space="preserve"> </w:t>
      </w:r>
      <w:r w:rsidRPr="00EA59C0">
        <w:t>of</w:t>
      </w:r>
      <w:r w:rsidR="00C026A6" w:rsidRPr="00EA59C0">
        <w:t xml:space="preserve"> </w:t>
      </w:r>
      <w:r w:rsidRPr="00EA59C0">
        <w:t>the</w:t>
      </w:r>
      <w:r w:rsidR="00C026A6" w:rsidRPr="00EA59C0">
        <w:t xml:space="preserve"> </w:t>
      </w:r>
      <w:r w:rsidRPr="00EA59C0">
        <w:t>reviewer(s)</w:t>
      </w:r>
      <w:r w:rsidR="00C026A6" w:rsidRPr="00EA59C0">
        <w:t xml:space="preserve"> </w:t>
      </w:r>
      <w:r w:rsidRPr="00EA59C0">
        <w:t>at</w:t>
      </w:r>
      <w:r w:rsidR="00C026A6" w:rsidRPr="00EA59C0">
        <w:t xml:space="preserve"> </w:t>
      </w:r>
      <w:r w:rsidRPr="00EA59C0">
        <w:t>the</w:t>
      </w:r>
      <w:r w:rsidR="00C026A6" w:rsidRPr="00EA59C0">
        <w:t xml:space="preserve"> </w:t>
      </w:r>
      <w:r w:rsidRPr="00EA59C0">
        <w:t>time</w:t>
      </w:r>
      <w:r w:rsidR="00C026A6" w:rsidRPr="00EA59C0">
        <w:t xml:space="preserve"> </w:t>
      </w:r>
      <w:r w:rsidRPr="00EA59C0">
        <w:t>the</w:t>
      </w:r>
      <w:r w:rsidR="00C026A6" w:rsidRPr="00EA59C0">
        <w:t xml:space="preserve"> </w:t>
      </w:r>
      <w:r w:rsidRPr="00EA59C0">
        <w:t>deliverables</w:t>
      </w:r>
      <w:r w:rsidR="00C026A6" w:rsidRPr="00EA59C0">
        <w:t xml:space="preserve"> </w:t>
      </w:r>
      <w:r w:rsidRPr="00EA59C0">
        <w:t>are</w:t>
      </w:r>
      <w:r w:rsidR="00C026A6" w:rsidRPr="00EA59C0">
        <w:t xml:space="preserve"> </w:t>
      </w:r>
      <w:r w:rsidRPr="00EA59C0">
        <w:t>provided</w:t>
      </w:r>
      <w:r w:rsidR="00C026A6" w:rsidRPr="00EA59C0">
        <w:t xml:space="preserve"> </w:t>
      </w:r>
      <w:r w:rsidRPr="00EA59C0">
        <w:t>to</w:t>
      </w:r>
      <w:r w:rsidR="00C026A6" w:rsidRPr="00EA59C0">
        <w:t xml:space="preserve"> </w:t>
      </w:r>
      <w:r w:rsidRPr="00EA59C0">
        <w:t>the</w:t>
      </w:r>
      <w:r w:rsidR="00C026A6" w:rsidRPr="00EA59C0">
        <w:t xml:space="preserve"> </w:t>
      </w:r>
      <w:r w:rsidRPr="00EA59C0">
        <w:t>Department.</w:t>
      </w:r>
    </w:p>
    <w:p w:rsidR="008A001C" w:rsidRPr="00EA59C0" w:rsidRDefault="008A001C" w:rsidP="00C072FA">
      <w:pPr>
        <w:widowControl w:val="0"/>
        <w:ind w:left="1080"/>
      </w:pPr>
    </w:p>
    <w:p w:rsidR="0046767F" w:rsidRPr="00EA59C0" w:rsidRDefault="0046767F" w:rsidP="004913DF">
      <w:pPr>
        <w:pStyle w:val="Heading1"/>
        <w:numPr>
          <w:ilvl w:val="2"/>
          <w:numId w:val="17"/>
        </w:numPr>
        <w:spacing w:line="240" w:lineRule="auto"/>
        <w:rPr>
          <w:rFonts w:ascii="Times New Roman" w:hAnsi="Times New Roman"/>
          <w:b w:val="0"/>
        </w:rPr>
      </w:pPr>
      <w:r w:rsidRPr="00EA59C0">
        <w:rPr>
          <w:rFonts w:ascii="Times New Roman" w:hAnsi="Times New Roman"/>
          <w:b w:val="0"/>
        </w:rPr>
        <w:t>Accessibility</w:t>
      </w:r>
      <w:r w:rsidR="00C026A6" w:rsidRPr="00EA59C0">
        <w:rPr>
          <w:rFonts w:ascii="Times New Roman" w:hAnsi="Times New Roman"/>
          <w:b w:val="0"/>
        </w:rPr>
        <w:t xml:space="preserve"> </w:t>
      </w:r>
    </w:p>
    <w:p w:rsidR="00144DF0" w:rsidRPr="00EA59C0" w:rsidRDefault="0046767F" w:rsidP="00C072FA">
      <w:pPr>
        <w:ind w:left="1080"/>
      </w:pPr>
      <w:r w:rsidRPr="00EA59C0">
        <w:t>All</w:t>
      </w:r>
      <w:r w:rsidR="00C026A6" w:rsidRPr="00EA59C0">
        <w:t xml:space="preserve"> </w:t>
      </w:r>
      <w:r w:rsidRPr="00EA59C0">
        <w:t>online</w:t>
      </w:r>
      <w:r w:rsidR="00C026A6" w:rsidRPr="00EA59C0">
        <w:t xml:space="preserve"> </w:t>
      </w:r>
      <w:r w:rsidRPr="00EA59C0">
        <w:t>and</w:t>
      </w:r>
      <w:r w:rsidR="00C026A6" w:rsidRPr="00EA59C0">
        <w:t xml:space="preserve"> </w:t>
      </w:r>
      <w:r w:rsidRPr="00EA59C0">
        <w:t>technology-enabled</w:t>
      </w:r>
      <w:r w:rsidR="00C026A6" w:rsidRPr="00EA59C0">
        <w:t xml:space="preserve"> </w:t>
      </w:r>
      <w:r w:rsidRPr="00EA59C0">
        <w:t>content</w:t>
      </w:r>
      <w:r w:rsidR="00C026A6" w:rsidRPr="00EA59C0">
        <w:t xml:space="preserve"> </w:t>
      </w:r>
      <w:r w:rsidRPr="00EA59C0">
        <w:t>and</w:t>
      </w:r>
      <w:r w:rsidR="00C026A6" w:rsidRPr="00EA59C0">
        <w:t xml:space="preserve"> </w:t>
      </w:r>
      <w:r w:rsidRPr="00EA59C0">
        <w:t>courses</w:t>
      </w:r>
      <w:r w:rsidR="00C026A6" w:rsidRPr="00EA59C0">
        <w:t xml:space="preserve"> </w:t>
      </w:r>
      <w:r w:rsidRPr="00EA59C0">
        <w:t>developed</w:t>
      </w:r>
      <w:r w:rsidR="00C026A6" w:rsidRPr="00EA59C0">
        <w:t xml:space="preserve"> </w:t>
      </w:r>
      <w:r w:rsidRPr="00EA59C0">
        <w:t>under</w:t>
      </w:r>
      <w:r w:rsidR="00C026A6" w:rsidRPr="00EA59C0">
        <w:t xml:space="preserve"> </w:t>
      </w:r>
      <w:r w:rsidRPr="00EA59C0">
        <w:t>this</w:t>
      </w:r>
      <w:r w:rsidR="00C026A6" w:rsidRPr="00EA59C0">
        <w:t xml:space="preserve"> </w:t>
      </w:r>
      <w:r w:rsidRPr="00EA59C0">
        <w:t>SGA</w:t>
      </w:r>
      <w:r w:rsidR="00C026A6" w:rsidRPr="00EA59C0">
        <w:t xml:space="preserve"> </w:t>
      </w:r>
      <w:r w:rsidRPr="00EA59C0">
        <w:t>must</w:t>
      </w:r>
      <w:r w:rsidR="00C026A6" w:rsidRPr="00EA59C0">
        <w:t xml:space="preserve"> </w:t>
      </w:r>
      <w:r w:rsidRPr="00EA59C0">
        <w:t>incorporate</w:t>
      </w:r>
      <w:r w:rsidR="00C026A6" w:rsidRPr="00EA59C0">
        <w:t xml:space="preserve"> </w:t>
      </w:r>
      <w:r w:rsidRPr="00EA59C0">
        <w:t>the</w:t>
      </w:r>
      <w:r w:rsidR="00C026A6" w:rsidRPr="00EA59C0">
        <w:t xml:space="preserve"> </w:t>
      </w:r>
      <w:r w:rsidRPr="00EA59C0">
        <w:t>principles</w:t>
      </w:r>
      <w:r w:rsidR="00C026A6" w:rsidRPr="00EA59C0">
        <w:t xml:space="preserve"> </w:t>
      </w:r>
      <w:r w:rsidRPr="00EA59C0">
        <w:t>of</w:t>
      </w:r>
      <w:r w:rsidR="00C026A6" w:rsidRPr="00EA59C0">
        <w:t xml:space="preserve"> </w:t>
      </w:r>
      <w:r w:rsidRPr="00EA59C0">
        <w:t>universal</w:t>
      </w:r>
      <w:r w:rsidR="00C026A6" w:rsidRPr="00EA59C0">
        <w:t xml:space="preserve"> </w:t>
      </w:r>
      <w:r w:rsidRPr="00EA59C0">
        <w:t>design</w:t>
      </w:r>
      <w:r w:rsidR="00C026A6" w:rsidRPr="00EA59C0">
        <w:t xml:space="preserve"> </w:t>
      </w:r>
      <w:r w:rsidR="009D401A" w:rsidRPr="00EA59C0">
        <w:t xml:space="preserve">(see </w:t>
      </w:r>
      <w:hyperlink r:id="rId245" w:history="1">
        <w:r w:rsidR="009D401A" w:rsidRPr="00EA59C0">
          <w:rPr>
            <w:rStyle w:val="Hyperlink"/>
            <w:color w:val="auto"/>
          </w:rPr>
          <w:t>http://www.cast.org/udl/</w:t>
        </w:r>
      </w:hyperlink>
      <w:r w:rsidR="009D401A" w:rsidRPr="00EA59C0">
        <w:t>)</w:t>
      </w:r>
      <w:r w:rsidR="00C026A6" w:rsidRPr="00EA59C0">
        <w:t xml:space="preserve"> </w:t>
      </w:r>
      <w:r w:rsidRPr="00EA59C0">
        <w:t>in</w:t>
      </w:r>
      <w:r w:rsidR="00C026A6" w:rsidRPr="00EA59C0">
        <w:t xml:space="preserve"> </w:t>
      </w:r>
      <w:r w:rsidRPr="00EA59C0">
        <w:t>order</w:t>
      </w:r>
      <w:r w:rsidR="00C026A6" w:rsidRPr="00EA59C0">
        <w:t xml:space="preserve"> </w:t>
      </w:r>
      <w:r w:rsidRPr="00EA59C0">
        <w:t>to</w:t>
      </w:r>
      <w:r w:rsidR="00C026A6" w:rsidRPr="00EA59C0">
        <w:t xml:space="preserve"> </w:t>
      </w:r>
      <w:r w:rsidRPr="00EA59C0">
        <w:t>ensure</w:t>
      </w:r>
      <w:r w:rsidR="00C026A6" w:rsidRPr="00EA59C0">
        <w:t xml:space="preserve"> </w:t>
      </w:r>
      <w:r w:rsidRPr="00EA59C0">
        <w:t>that</w:t>
      </w:r>
      <w:r w:rsidR="00C026A6" w:rsidRPr="00EA59C0">
        <w:t xml:space="preserve"> </w:t>
      </w:r>
      <w:r w:rsidRPr="00EA59C0">
        <w:t>they</w:t>
      </w:r>
      <w:r w:rsidR="00C026A6" w:rsidRPr="00EA59C0">
        <w:t xml:space="preserve"> </w:t>
      </w:r>
      <w:r w:rsidRPr="00EA59C0">
        <w:t>are</w:t>
      </w:r>
      <w:r w:rsidR="00C026A6" w:rsidRPr="00EA59C0">
        <w:t xml:space="preserve"> </w:t>
      </w:r>
      <w:r w:rsidRPr="00EA59C0">
        <w:t>readily</w:t>
      </w:r>
      <w:r w:rsidR="00C026A6" w:rsidRPr="00EA59C0">
        <w:t xml:space="preserve"> </w:t>
      </w:r>
      <w:r w:rsidRPr="00EA59C0">
        <w:t>accessible</w:t>
      </w:r>
      <w:r w:rsidR="00C026A6" w:rsidRPr="00EA59C0">
        <w:t xml:space="preserve"> </w:t>
      </w:r>
      <w:r w:rsidRPr="00EA59C0">
        <w:t>to</w:t>
      </w:r>
      <w:r w:rsidR="00C026A6" w:rsidRPr="00EA59C0">
        <w:t xml:space="preserve"> </w:t>
      </w:r>
      <w:r w:rsidRPr="00EA59C0">
        <w:t>qualified</w:t>
      </w:r>
      <w:r w:rsidR="00C026A6" w:rsidRPr="00EA59C0">
        <w:t xml:space="preserve"> </w:t>
      </w:r>
      <w:r w:rsidRPr="00EA59C0">
        <w:t>individuals</w:t>
      </w:r>
      <w:r w:rsidR="00C026A6" w:rsidRPr="00EA59C0">
        <w:t xml:space="preserve"> </w:t>
      </w:r>
      <w:r w:rsidRPr="00EA59C0">
        <w:t>with</w:t>
      </w:r>
      <w:r w:rsidR="00C026A6" w:rsidRPr="00EA59C0">
        <w:t xml:space="preserve"> </w:t>
      </w:r>
      <w:r w:rsidRPr="00EA59C0">
        <w:t>disabilities.</w:t>
      </w:r>
      <w:r w:rsidR="00C026A6" w:rsidRPr="00EA59C0">
        <w:t xml:space="preserve">  </w:t>
      </w:r>
      <w:r w:rsidRPr="00EA59C0">
        <w:t>The</w:t>
      </w:r>
      <w:r w:rsidR="00C026A6" w:rsidRPr="00EA59C0">
        <w:t xml:space="preserve"> </w:t>
      </w:r>
      <w:r w:rsidRPr="00EA59C0">
        <w:t>content</w:t>
      </w:r>
      <w:r w:rsidR="00C026A6" w:rsidRPr="00EA59C0">
        <w:t xml:space="preserve"> </w:t>
      </w:r>
      <w:r w:rsidRPr="00EA59C0">
        <w:t>and</w:t>
      </w:r>
      <w:r w:rsidR="00C026A6" w:rsidRPr="00EA59C0">
        <w:t xml:space="preserve"> </w:t>
      </w:r>
      <w:r w:rsidRPr="00EA59C0">
        <w:t>courses</w:t>
      </w:r>
      <w:r w:rsidR="00C026A6" w:rsidRPr="00EA59C0">
        <w:t xml:space="preserve"> </w:t>
      </w:r>
      <w:r w:rsidRPr="00EA59C0">
        <w:t>must</w:t>
      </w:r>
      <w:r w:rsidR="00C026A6" w:rsidRPr="00EA59C0">
        <w:t xml:space="preserve"> </w:t>
      </w:r>
      <w:r w:rsidRPr="00EA59C0">
        <w:t>be</w:t>
      </w:r>
      <w:r w:rsidR="00C026A6" w:rsidRPr="00EA59C0">
        <w:t xml:space="preserve"> </w:t>
      </w:r>
      <w:r w:rsidRPr="00EA59C0">
        <w:t>in</w:t>
      </w:r>
      <w:r w:rsidR="00C026A6" w:rsidRPr="00EA59C0">
        <w:t xml:space="preserve"> </w:t>
      </w:r>
      <w:r w:rsidRPr="00EA59C0">
        <w:t>full</w:t>
      </w:r>
      <w:r w:rsidR="00C026A6" w:rsidRPr="00EA59C0">
        <w:t xml:space="preserve"> </w:t>
      </w:r>
      <w:r w:rsidRPr="00EA59C0">
        <w:t>compliance</w:t>
      </w:r>
      <w:r w:rsidR="00C026A6" w:rsidRPr="00EA59C0">
        <w:t xml:space="preserve"> </w:t>
      </w:r>
      <w:r w:rsidRPr="00EA59C0">
        <w:t>with</w:t>
      </w:r>
      <w:r w:rsidR="00C026A6" w:rsidRPr="00EA59C0">
        <w:t xml:space="preserve"> </w:t>
      </w:r>
      <w:r w:rsidRPr="00EA59C0">
        <w:t>the</w:t>
      </w:r>
      <w:r w:rsidR="00C026A6" w:rsidRPr="00EA59C0">
        <w:t xml:space="preserve"> </w:t>
      </w:r>
      <w:r w:rsidRPr="00EA59C0">
        <w:t>Americans</w:t>
      </w:r>
      <w:r w:rsidR="00C026A6" w:rsidRPr="00EA59C0">
        <w:t xml:space="preserve"> </w:t>
      </w:r>
      <w:r w:rsidRPr="00EA59C0">
        <w:t>with</w:t>
      </w:r>
      <w:r w:rsidR="00C026A6" w:rsidRPr="00EA59C0">
        <w:t xml:space="preserve"> </w:t>
      </w:r>
      <w:r w:rsidRPr="00EA59C0">
        <w:t>Disabilities</w:t>
      </w:r>
      <w:r w:rsidR="00C026A6" w:rsidRPr="00EA59C0">
        <w:t xml:space="preserve"> </w:t>
      </w:r>
      <w:r w:rsidRPr="00EA59C0">
        <w:t>Act</w:t>
      </w:r>
      <w:r w:rsidR="00C026A6" w:rsidRPr="00EA59C0">
        <w:t xml:space="preserve"> </w:t>
      </w:r>
      <w:r w:rsidRPr="00EA59C0">
        <w:t>and</w:t>
      </w:r>
      <w:r w:rsidR="00C026A6" w:rsidRPr="00EA59C0">
        <w:t xml:space="preserve"> </w:t>
      </w:r>
      <w:r w:rsidRPr="00EA59C0">
        <w:t>Sections</w:t>
      </w:r>
      <w:r w:rsidR="00C026A6" w:rsidRPr="00EA59C0">
        <w:t xml:space="preserve"> </w:t>
      </w:r>
      <w:r w:rsidRPr="00EA59C0">
        <w:t>504</w:t>
      </w:r>
      <w:r w:rsidR="00C026A6" w:rsidRPr="00EA59C0">
        <w:t xml:space="preserve"> </w:t>
      </w:r>
      <w:r w:rsidRPr="00EA59C0">
        <w:t>and</w:t>
      </w:r>
      <w:r w:rsidR="00C026A6" w:rsidRPr="00EA59C0">
        <w:t xml:space="preserve"> </w:t>
      </w:r>
      <w:r w:rsidRPr="00EA59C0">
        <w:t>508</w:t>
      </w:r>
      <w:r w:rsidR="00C026A6" w:rsidRPr="00EA59C0">
        <w:t xml:space="preserve"> </w:t>
      </w:r>
      <w:r w:rsidRPr="00EA59C0">
        <w:t>of</w:t>
      </w:r>
      <w:r w:rsidR="00C026A6" w:rsidRPr="00EA59C0">
        <w:t xml:space="preserve"> </w:t>
      </w:r>
      <w:r w:rsidRPr="00EA59C0">
        <w:t>the</w:t>
      </w:r>
      <w:r w:rsidR="00C026A6" w:rsidRPr="00EA59C0">
        <w:t xml:space="preserve"> </w:t>
      </w:r>
      <w:r w:rsidRPr="00EA59C0">
        <w:t>Rehabilitation</w:t>
      </w:r>
      <w:r w:rsidR="00C026A6" w:rsidRPr="00EA59C0">
        <w:t xml:space="preserve"> </w:t>
      </w:r>
      <w:r w:rsidRPr="00EA59C0">
        <w:t>Act</w:t>
      </w:r>
      <w:r w:rsidR="00C026A6" w:rsidRPr="00EA59C0">
        <w:t xml:space="preserve"> </w:t>
      </w:r>
      <w:r w:rsidRPr="00EA59C0">
        <w:t>of</w:t>
      </w:r>
      <w:r w:rsidR="00C026A6" w:rsidRPr="00EA59C0">
        <w:t xml:space="preserve"> </w:t>
      </w:r>
      <w:r w:rsidRPr="00EA59C0">
        <w:t>1973,</w:t>
      </w:r>
      <w:r w:rsidR="00C026A6" w:rsidRPr="00EA59C0">
        <w:t xml:space="preserve"> </w:t>
      </w:r>
      <w:r w:rsidRPr="00EA59C0">
        <w:t>as</w:t>
      </w:r>
      <w:r w:rsidR="00C026A6" w:rsidRPr="00EA59C0">
        <w:t xml:space="preserve"> </w:t>
      </w:r>
      <w:r w:rsidRPr="00EA59C0">
        <w:t>amended,</w:t>
      </w:r>
      <w:r w:rsidR="00C026A6" w:rsidRPr="00EA59C0">
        <w:t xml:space="preserve"> </w:t>
      </w:r>
      <w:r w:rsidRPr="00EA59C0">
        <w:t>and</w:t>
      </w:r>
      <w:r w:rsidR="00C026A6" w:rsidRPr="00EA59C0">
        <w:t xml:space="preserve"> </w:t>
      </w:r>
      <w:r w:rsidRPr="00EA59C0">
        <w:t>the</w:t>
      </w:r>
      <w:r w:rsidR="00C026A6" w:rsidRPr="00EA59C0">
        <w:t xml:space="preserve"> </w:t>
      </w:r>
      <w:r w:rsidRPr="00EA59C0">
        <w:t>Web</w:t>
      </w:r>
      <w:r w:rsidR="00C026A6" w:rsidRPr="00EA59C0">
        <w:t xml:space="preserve"> </w:t>
      </w:r>
      <w:r w:rsidRPr="00EA59C0">
        <w:t>Content</w:t>
      </w:r>
      <w:r w:rsidR="00C026A6" w:rsidRPr="00EA59C0">
        <w:t xml:space="preserve"> </w:t>
      </w:r>
      <w:r w:rsidRPr="00EA59C0">
        <w:t>Accessibility</w:t>
      </w:r>
      <w:r w:rsidR="00C026A6" w:rsidRPr="00EA59C0">
        <w:t xml:space="preserve"> </w:t>
      </w:r>
      <w:r w:rsidRPr="00EA59C0">
        <w:t>Guidelines</w:t>
      </w:r>
      <w:r w:rsidR="00C026A6" w:rsidRPr="00EA59C0">
        <w:t xml:space="preserve"> </w:t>
      </w:r>
      <w:r w:rsidRPr="00EA59C0">
        <w:t>2.0,</w:t>
      </w:r>
      <w:r w:rsidR="00C026A6" w:rsidRPr="00EA59C0">
        <w:t xml:space="preserve"> </w:t>
      </w:r>
      <w:r w:rsidRPr="00EA59C0">
        <w:t>Level</w:t>
      </w:r>
      <w:r w:rsidR="00C026A6" w:rsidRPr="00EA59C0">
        <w:t xml:space="preserve"> </w:t>
      </w:r>
      <w:r w:rsidRPr="00EA59C0">
        <w:t>AA</w:t>
      </w:r>
      <w:r w:rsidR="007643BC" w:rsidRPr="00EA59C0">
        <w:t xml:space="preserve"> (</w:t>
      </w:r>
      <w:hyperlink r:id="rId246" w:history="1">
        <w:r w:rsidR="007643BC" w:rsidRPr="00EA59C0">
          <w:rPr>
            <w:rStyle w:val="Hyperlink"/>
            <w:color w:val="auto"/>
          </w:rPr>
          <w:t>http://www.w3.org/TR/WCAG/</w:t>
        </w:r>
      </w:hyperlink>
      <w:r w:rsidR="007643BC" w:rsidRPr="00EA59C0">
        <w:t>)</w:t>
      </w:r>
      <w:r w:rsidR="007643BC" w:rsidRPr="00EA59C0" w:rsidDel="007643BC">
        <w:t xml:space="preserve"> </w:t>
      </w:r>
      <w:r w:rsidRPr="00EA59C0">
        <w:t>.</w:t>
      </w:r>
    </w:p>
    <w:p w:rsidR="00723848" w:rsidRPr="00EA59C0" w:rsidRDefault="00723848" w:rsidP="00C072FA">
      <w:pPr>
        <w:ind w:firstLine="720"/>
      </w:pPr>
    </w:p>
    <w:p w:rsidR="0046767F" w:rsidRPr="00EA59C0" w:rsidRDefault="0046767F" w:rsidP="004913DF">
      <w:pPr>
        <w:pStyle w:val="Heading1"/>
        <w:numPr>
          <w:ilvl w:val="2"/>
          <w:numId w:val="17"/>
        </w:numPr>
        <w:spacing w:line="240" w:lineRule="auto"/>
        <w:rPr>
          <w:rFonts w:ascii="Times New Roman" w:hAnsi="Times New Roman"/>
          <w:b w:val="0"/>
        </w:rPr>
      </w:pPr>
      <w:r w:rsidRPr="00EA59C0">
        <w:rPr>
          <w:rFonts w:ascii="Times New Roman" w:hAnsi="Times New Roman"/>
          <w:b w:val="0"/>
        </w:rPr>
        <w:t>Technical</w:t>
      </w:r>
      <w:r w:rsidR="00C026A6" w:rsidRPr="00EA59C0">
        <w:rPr>
          <w:rFonts w:ascii="Times New Roman" w:hAnsi="Times New Roman"/>
          <w:b w:val="0"/>
        </w:rPr>
        <w:t xml:space="preserve"> </w:t>
      </w:r>
      <w:r w:rsidRPr="00EA59C0">
        <w:rPr>
          <w:rFonts w:ascii="Times New Roman" w:hAnsi="Times New Roman"/>
          <w:b w:val="0"/>
        </w:rPr>
        <w:t>Standards</w:t>
      </w:r>
      <w:r w:rsidR="00C026A6" w:rsidRPr="00EA59C0">
        <w:rPr>
          <w:rFonts w:ascii="Times New Roman" w:hAnsi="Times New Roman"/>
          <w:b w:val="0"/>
        </w:rPr>
        <w:t xml:space="preserve"> </w:t>
      </w:r>
      <w:r w:rsidRPr="00EA59C0">
        <w:rPr>
          <w:rFonts w:ascii="Times New Roman" w:hAnsi="Times New Roman"/>
          <w:b w:val="0"/>
        </w:rPr>
        <w:t>for</w:t>
      </w:r>
      <w:r w:rsidR="00C026A6" w:rsidRPr="00EA59C0">
        <w:rPr>
          <w:rFonts w:ascii="Times New Roman" w:hAnsi="Times New Roman"/>
          <w:b w:val="0"/>
        </w:rPr>
        <w:t xml:space="preserve"> </w:t>
      </w:r>
      <w:r w:rsidRPr="00EA59C0">
        <w:rPr>
          <w:rFonts w:ascii="Times New Roman" w:hAnsi="Times New Roman"/>
          <w:b w:val="0"/>
        </w:rPr>
        <w:t>Digital</w:t>
      </w:r>
      <w:r w:rsidR="00C026A6" w:rsidRPr="00EA59C0">
        <w:rPr>
          <w:rFonts w:ascii="Times New Roman" w:hAnsi="Times New Roman"/>
          <w:b w:val="0"/>
        </w:rPr>
        <w:t xml:space="preserve"> </w:t>
      </w:r>
      <w:r w:rsidRPr="00EA59C0">
        <w:rPr>
          <w:rFonts w:ascii="Times New Roman" w:hAnsi="Times New Roman"/>
          <w:b w:val="0"/>
        </w:rPr>
        <w:t>Assets</w:t>
      </w:r>
    </w:p>
    <w:p w:rsidR="00353019" w:rsidRPr="00EA59C0" w:rsidRDefault="00723848" w:rsidP="00C072FA">
      <w:pPr>
        <w:ind w:left="1080"/>
      </w:pPr>
      <w:r w:rsidRPr="00EA59C0">
        <w:t>All</w:t>
      </w:r>
      <w:r w:rsidR="00C026A6" w:rsidRPr="00EA59C0">
        <w:t xml:space="preserve"> </w:t>
      </w:r>
      <w:r w:rsidRPr="00EA59C0">
        <w:t>digital</w:t>
      </w:r>
      <w:r w:rsidR="00C026A6" w:rsidRPr="00EA59C0">
        <w:t xml:space="preserve"> </w:t>
      </w:r>
      <w:r w:rsidRPr="00EA59C0">
        <w:t>assets</w:t>
      </w:r>
      <w:r w:rsidR="00C026A6" w:rsidRPr="00EA59C0">
        <w:t xml:space="preserve"> </w:t>
      </w:r>
      <w:r w:rsidRPr="00EA59C0">
        <w:t>within</w:t>
      </w:r>
      <w:r w:rsidR="00C026A6" w:rsidRPr="00EA59C0">
        <w:t xml:space="preserve"> </w:t>
      </w:r>
      <w:r w:rsidRPr="00EA59C0">
        <w:t>online</w:t>
      </w:r>
      <w:r w:rsidR="00C026A6" w:rsidRPr="00EA59C0">
        <w:t xml:space="preserve"> </w:t>
      </w:r>
      <w:r w:rsidRPr="00EA59C0">
        <w:t>and</w:t>
      </w:r>
      <w:r w:rsidR="00C026A6" w:rsidRPr="00EA59C0">
        <w:t xml:space="preserve"> </w:t>
      </w:r>
      <w:r w:rsidRPr="00EA59C0">
        <w:t>technology-enabled</w:t>
      </w:r>
      <w:r w:rsidR="00C026A6" w:rsidRPr="00EA59C0">
        <w:t xml:space="preserve"> </w:t>
      </w:r>
      <w:r w:rsidRPr="00EA59C0">
        <w:t>courses,</w:t>
      </w:r>
      <w:r w:rsidR="00C026A6" w:rsidRPr="00EA59C0">
        <w:t xml:space="preserve"> </w:t>
      </w:r>
      <w:r w:rsidRPr="00EA59C0">
        <w:t>including</w:t>
      </w:r>
      <w:r w:rsidR="00C026A6" w:rsidRPr="00EA59C0">
        <w:t xml:space="preserve"> </w:t>
      </w:r>
      <w:r w:rsidRPr="00EA59C0">
        <w:t>course</w:t>
      </w:r>
      <w:r w:rsidR="00C026A6" w:rsidRPr="00EA59C0">
        <w:t xml:space="preserve"> </w:t>
      </w:r>
      <w:r w:rsidRPr="00EA59C0">
        <w:t>components,</w:t>
      </w:r>
      <w:r w:rsidR="00C026A6" w:rsidRPr="00EA59C0">
        <w:t xml:space="preserve"> </w:t>
      </w:r>
      <w:r w:rsidRPr="00EA59C0">
        <w:t>tests,</w:t>
      </w:r>
      <w:r w:rsidR="00C026A6" w:rsidRPr="00EA59C0">
        <w:t xml:space="preserve"> </w:t>
      </w:r>
      <w:r w:rsidRPr="00EA59C0">
        <w:t>e-publications</w:t>
      </w:r>
      <w:r w:rsidR="00C026A6" w:rsidRPr="00EA59C0">
        <w:t xml:space="preserve"> </w:t>
      </w:r>
      <w:r w:rsidRPr="00EA59C0">
        <w:t>and</w:t>
      </w:r>
      <w:r w:rsidR="00C026A6" w:rsidRPr="00EA59C0">
        <w:t xml:space="preserve"> </w:t>
      </w:r>
      <w:r w:rsidRPr="00EA59C0">
        <w:t>applications</w:t>
      </w:r>
      <w:r w:rsidR="00C026A6" w:rsidRPr="00EA59C0">
        <w:t xml:space="preserve"> </w:t>
      </w:r>
      <w:r w:rsidRPr="00EA59C0">
        <w:t>used</w:t>
      </w:r>
      <w:r w:rsidR="00C026A6" w:rsidRPr="00EA59C0">
        <w:t xml:space="preserve"> </w:t>
      </w:r>
      <w:r w:rsidRPr="00EA59C0">
        <w:t>in</w:t>
      </w:r>
      <w:r w:rsidR="00C026A6" w:rsidRPr="00EA59C0">
        <w:t xml:space="preserve"> </w:t>
      </w:r>
      <w:r w:rsidRPr="00EA59C0">
        <w:t>course</w:t>
      </w:r>
      <w:r w:rsidR="00C026A6" w:rsidRPr="00EA59C0">
        <w:t xml:space="preserve"> </w:t>
      </w:r>
      <w:r w:rsidRPr="00EA59C0">
        <w:t>development</w:t>
      </w:r>
      <w:r w:rsidR="00C026A6" w:rsidRPr="00EA59C0">
        <w:t xml:space="preserve"> </w:t>
      </w:r>
      <w:r w:rsidRPr="00EA59C0">
        <w:t>under</w:t>
      </w:r>
      <w:r w:rsidR="00C026A6" w:rsidRPr="00EA59C0">
        <w:t xml:space="preserve"> </w:t>
      </w:r>
      <w:r w:rsidRPr="00EA59C0">
        <w:t>this</w:t>
      </w:r>
      <w:r w:rsidR="00C026A6" w:rsidRPr="00EA59C0">
        <w:t xml:space="preserve"> </w:t>
      </w:r>
      <w:r w:rsidRPr="00EA59C0">
        <w:t>SGA,</w:t>
      </w:r>
      <w:r w:rsidR="00C026A6" w:rsidRPr="00EA59C0">
        <w:t xml:space="preserve"> </w:t>
      </w:r>
      <w:r w:rsidRPr="00EA59C0">
        <w:t>should</w:t>
      </w:r>
      <w:r w:rsidR="00C026A6" w:rsidRPr="00EA59C0">
        <w:t xml:space="preserve"> </w:t>
      </w:r>
      <w:r w:rsidRPr="00EA59C0">
        <w:t>be</w:t>
      </w:r>
      <w:r w:rsidR="00C026A6" w:rsidRPr="00EA59C0">
        <w:t xml:space="preserve"> </w:t>
      </w:r>
      <w:r w:rsidRPr="00EA59C0">
        <w:t>produced</w:t>
      </w:r>
      <w:r w:rsidR="00C026A6" w:rsidRPr="00EA59C0">
        <w:t xml:space="preserve"> </w:t>
      </w:r>
      <w:r w:rsidRPr="00EA59C0">
        <w:t>to</w:t>
      </w:r>
      <w:r w:rsidR="00C026A6" w:rsidRPr="00EA59C0">
        <w:t xml:space="preserve"> </w:t>
      </w:r>
      <w:r w:rsidRPr="00EA59C0">
        <w:t>maximize</w:t>
      </w:r>
      <w:r w:rsidR="00C026A6" w:rsidRPr="00EA59C0">
        <w:t xml:space="preserve"> </w:t>
      </w:r>
      <w:r w:rsidRPr="00EA59C0">
        <w:t>interoperability,</w:t>
      </w:r>
      <w:r w:rsidR="00C026A6" w:rsidRPr="00EA59C0">
        <w:t xml:space="preserve"> </w:t>
      </w:r>
      <w:r w:rsidRPr="00EA59C0">
        <w:t>exchange</w:t>
      </w:r>
      <w:r w:rsidR="00D678F3" w:rsidRPr="00EA59C0">
        <w:t>,</w:t>
      </w:r>
      <w:r w:rsidR="00C026A6" w:rsidRPr="00EA59C0">
        <w:t xml:space="preserve"> </w:t>
      </w:r>
      <w:r w:rsidRPr="00EA59C0">
        <w:t>and</w:t>
      </w:r>
      <w:r w:rsidR="00C026A6" w:rsidRPr="00EA59C0">
        <w:t xml:space="preserve"> </w:t>
      </w:r>
      <w:r w:rsidRPr="00EA59C0">
        <w:t>reuse.</w:t>
      </w:r>
      <w:r w:rsidR="00C026A6" w:rsidRPr="00EA59C0">
        <w:t xml:space="preserve">  </w:t>
      </w:r>
      <w:r w:rsidRPr="00EA59C0">
        <w:t>In</w:t>
      </w:r>
      <w:r w:rsidR="00C026A6" w:rsidRPr="00EA59C0">
        <w:t xml:space="preserve"> </w:t>
      </w:r>
      <w:r w:rsidRPr="00EA59C0">
        <w:t>addition,</w:t>
      </w:r>
      <w:r w:rsidR="00C026A6" w:rsidRPr="00EA59C0">
        <w:t xml:space="preserve"> </w:t>
      </w:r>
      <w:r w:rsidRPr="00EA59C0">
        <w:t>all</w:t>
      </w:r>
      <w:r w:rsidR="00C026A6" w:rsidRPr="00EA59C0">
        <w:t xml:space="preserve"> </w:t>
      </w:r>
      <w:r w:rsidRPr="00EA59C0">
        <w:t>assessments</w:t>
      </w:r>
      <w:r w:rsidR="00C026A6" w:rsidRPr="00EA59C0">
        <w:t xml:space="preserve"> </w:t>
      </w:r>
      <w:r w:rsidRPr="00EA59C0">
        <w:t>and/or</w:t>
      </w:r>
      <w:r w:rsidR="00C026A6" w:rsidRPr="00EA59C0">
        <w:t xml:space="preserve"> </w:t>
      </w:r>
      <w:r w:rsidRPr="00EA59C0">
        <w:t>other</w:t>
      </w:r>
      <w:r w:rsidR="00C026A6" w:rsidRPr="00EA59C0">
        <w:t xml:space="preserve"> </w:t>
      </w:r>
      <w:r w:rsidRPr="00EA59C0">
        <w:t>content</w:t>
      </w:r>
      <w:r w:rsidR="00C026A6" w:rsidRPr="00EA59C0">
        <w:t xml:space="preserve"> </w:t>
      </w:r>
      <w:r w:rsidRPr="00EA59C0">
        <w:t>that</w:t>
      </w:r>
      <w:r w:rsidR="00C026A6" w:rsidRPr="00EA59C0">
        <w:t xml:space="preserve"> </w:t>
      </w:r>
      <w:r w:rsidRPr="00EA59C0">
        <w:t>result</w:t>
      </w:r>
      <w:r w:rsidR="00C026A6" w:rsidRPr="00EA59C0">
        <w:t xml:space="preserve"> </w:t>
      </w:r>
      <w:r w:rsidRPr="00EA59C0">
        <w:t>in</w:t>
      </w:r>
      <w:r w:rsidR="00C026A6" w:rsidRPr="00EA59C0">
        <w:t xml:space="preserve"> </w:t>
      </w:r>
      <w:r w:rsidRPr="00EA59C0">
        <w:t>a</w:t>
      </w:r>
      <w:r w:rsidR="00C026A6" w:rsidRPr="00EA59C0">
        <w:t xml:space="preserve"> </w:t>
      </w:r>
      <w:r w:rsidRPr="00EA59C0">
        <w:t>student</w:t>
      </w:r>
      <w:r w:rsidR="00C026A6" w:rsidRPr="00EA59C0">
        <w:t xml:space="preserve"> </w:t>
      </w:r>
      <w:r w:rsidRPr="00EA59C0">
        <w:t>score</w:t>
      </w:r>
      <w:r w:rsidR="00C026A6" w:rsidRPr="00EA59C0">
        <w:t xml:space="preserve"> </w:t>
      </w:r>
      <w:r w:rsidRPr="00EA59C0">
        <w:t>or</w:t>
      </w:r>
      <w:r w:rsidR="00C026A6" w:rsidRPr="00EA59C0">
        <w:t xml:space="preserve"> </w:t>
      </w:r>
      <w:r w:rsidRPr="00EA59C0">
        <w:t>grade</w:t>
      </w:r>
      <w:r w:rsidR="00C026A6" w:rsidRPr="00EA59C0">
        <w:t xml:space="preserve"> </w:t>
      </w:r>
      <w:r w:rsidRPr="00EA59C0">
        <w:t>must</w:t>
      </w:r>
      <w:r w:rsidR="00C026A6" w:rsidRPr="00EA59C0">
        <w:t xml:space="preserve"> </w:t>
      </w:r>
      <w:r w:rsidRPr="00EA59C0">
        <w:t>conform</w:t>
      </w:r>
      <w:r w:rsidR="00C026A6" w:rsidRPr="00EA59C0">
        <w:t xml:space="preserve"> </w:t>
      </w:r>
      <w:r w:rsidRPr="00EA59C0">
        <w:t>to</w:t>
      </w:r>
      <w:r w:rsidR="00C026A6" w:rsidRPr="00EA59C0">
        <w:t xml:space="preserve"> </w:t>
      </w:r>
      <w:r w:rsidRPr="00EA59C0">
        <w:t>industry-leading</w:t>
      </w:r>
      <w:r w:rsidR="00C026A6" w:rsidRPr="00EA59C0">
        <w:t xml:space="preserve"> </w:t>
      </w:r>
      <w:r w:rsidRPr="00EA59C0">
        <w:t>e-learning</w:t>
      </w:r>
      <w:r w:rsidR="00C026A6" w:rsidRPr="00EA59C0">
        <w:t xml:space="preserve"> </w:t>
      </w:r>
      <w:r w:rsidRPr="00EA59C0">
        <w:t>open</w:t>
      </w:r>
      <w:r w:rsidR="00C026A6" w:rsidRPr="00EA59C0">
        <w:t xml:space="preserve"> </w:t>
      </w:r>
      <w:r w:rsidRPr="00EA59C0">
        <w:t>standards</w:t>
      </w:r>
      <w:r w:rsidR="00C026A6" w:rsidRPr="00EA59C0">
        <w:t xml:space="preserve"> </w:t>
      </w:r>
      <w:r w:rsidRPr="00EA59C0">
        <w:t>and</w:t>
      </w:r>
      <w:r w:rsidR="00C026A6" w:rsidRPr="00EA59C0">
        <w:t xml:space="preserve"> </w:t>
      </w:r>
      <w:r w:rsidRPr="00EA59C0">
        <w:t>specifications</w:t>
      </w:r>
      <w:r w:rsidR="00C026A6" w:rsidRPr="00EA59C0">
        <w:t xml:space="preserve"> </w:t>
      </w:r>
      <w:r w:rsidR="00353019" w:rsidRPr="00EA59C0">
        <w:t>for</w:t>
      </w:r>
      <w:r w:rsidR="00C026A6" w:rsidRPr="00EA59C0">
        <w:t xml:space="preserve"> </w:t>
      </w:r>
      <w:r w:rsidR="00353019" w:rsidRPr="00EA59C0">
        <w:t>meta-data</w:t>
      </w:r>
      <w:r w:rsidR="00C026A6" w:rsidRPr="00EA59C0">
        <w:t xml:space="preserve"> </w:t>
      </w:r>
      <w:r w:rsidR="00353019" w:rsidRPr="00EA59C0">
        <w:t>(LR</w:t>
      </w:r>
      <w:r w:rsidR="00C026A6" w:rsidRPr="00EA59C0">
        <w:t xml:space="preserve"> </w:t>
      </w:r>
      <w:r w:rsidR="00353019" w:rsidRPr="00EA59C0">
        <w:t>[Learning</w:t>
      </w:r>
      <w:r w:rsidR="00C026A6" w:rsidRPr="00EA59C0">
        <w:t xml:space="preserve"> </w:t>
      </w:r>
      <w:r w:rsidR="00353019" w:rsidRPr="00EA59C0">
        <w:t>Registry]</w:t>
      </w:r>
      <w:r w:rsidR="00C026A6" w:rsidRPr="00EA59C0">
        <w:t xml:space="preserve"> </w:t>
      </w:r>
      <w:r w:rsidR="00353019" w:rsidRPr="00EA59C0">
        <w:t>and</w:t>
      </w:r>
      <w:r w:rsidR="00C026A6" w:rsidRPr="00EA59C0">
        <w:t xml:space="preserve"> </w:t>
      </w:r>
      <w:r w:rsidR="00353019" w:rsidRPr="00EA59C0">
        <w:t>LRMI</w:t>
      </w:r>
      <w:r w:rsidR="00C026A6" w:rsidRPr="00EA59C0">
        <w:t xml:space="preserve"> </w:t>
      </w:r>
      <w:r w:rsidR="00353019" w:rsidRPr="00EA59C0">
        <w:t>[Learning</w:t>
      </w:r>
      <w:r w:rsidR="00C026A6" w:rsidRPr="00EA59C0">
        <w:t xml:space="preserve"> </w:t>
      </w:r>
      <w:r w:rsidR="00353019" w:rsidRPr="00EA59C0">
        <w:t>Resource</w:t>
      </w:r>
      <w:r w:rsidR="00C026A6" w:rsidRPr="00EA59C0">
        <w:t xml:space="preserve"> </w:t>
      </w:r>
      <w:r w:rsidR="00353019" w:rsidRPr="00EA59C0">
        <w:t>Metadata</w:t>
      </w:r>
      <w:r w:rsidR="00C026A6" w:rsidRPr="00EA59C0">
        <w:t xml:space="preserve"> </w:t>
      </w:r>
      <w:r w:rsidR="00353019" w:rsidRPr="00EA59C0">
        <w:t>Initiative]),</w:t>
      </w:r>
      <w:r w:rsidR="00C026A6" w:rsidRPr="00EA59C0">
        <w:t xml:space="preserve"> </w:t>
      </w:r>
      <w:r w:rsidR="00353019" w:rsidRPr="00EA59C0">
        <w:t>packaging</w:t>
      </w:r>
      <w:r w:rsidR="00C026A6" w:rsidRPr="00EA59C0">
        <w:t xml:space="preserve"> </w:t>
      </w:r>
      <w:r w:rsidR="00353019" w:rsidRPr="00EA59C0">
        <w:t>standards</w:t>
      </w:r>
      <w:r w:rsidR="00C026A6" w:rsidRPr="00EA59C0">
        <w:t xml:space="preserve"> </w:t>
      </w:r>
      <w:r w:rsidR="00353019" w:rsidRPr="00EA59C0">
        <w:t>for</w:t>
      </w:r>
      <w:r w:rsidR="00C026A6" w:rsidRPr="00EA59C0">
        <w:t xml:space="preserve"> </w:t>
      </w:r>
      <w:r w:rsidR="00353019" w:rsidRPr="00EA59C0">
        <w:t>aggregate</w:t>
      </w:r>
      <w:r w:rsidR="00C026A6" w:rsidRPr="00EA59C0">
        <w:t xml:space="preserve"> </w:t>
      </w:r>
      <w:r w:rsidR="00353019" w:rsidRPr="00EA59C0">
        <w:t>level</w:t>
      </w:r>
      <w:r w:rsidR="00C026A6" w:rsidRPr="00EA59C0">
        <w:t xml:space="preserve"> </w:t>
      </w:r>
      <w:r w:rsidR="00353019" w:rsidRPr="00EA59C0">
        <w:t>resources</w:t>
      </w:r>
      <w:r w:rsidR="00C026A6" w:rsidRPr="00EA59C0">
        <w:t xml:space="preserve"> </w:t>
      </w:r>
      <w:r w:rsidR="00353019" w:rsidRPr="00EA59C0">
        <w:t>(AICC</w:t>
      </w:r>
      <w:r w:rsidR="00C026A6" w:rsidRPr="00EA59C0">
        <w:t xml:space="preserve"> </w:t>
      </w:r>
      <w:r w:rsidR="00353019" w:rsidRPr="00EA59C0">
        <w:t>[Aviation</w:t>
      </w:r>
      <w:r w:rsidR="00C026A6" w:rsidRPr="00EA59C0">
        <w:t xml:space="preserve"> </w:t>
      </w:r>
      <w:r w:rsidR="00353019" w:rsidRPr="00EA59C0">
        <w:t>Industry</w:t>
      </w:r>
      <w:r w:rsidR="00C026A6" w:rsidRPr="00EA59C0">
        <w:t xml:space="preserve"> </w:t>
      </w:r>
      <w:r w:rsidR="001A360F" w:rsidRPr="00EA59C0">
        <w:t>CBT</w:t>
      </w:r>
      <w:r w:rsidR="00C026A6" w:rsidRPr="00EA59C0">
        <w:t xml:space="preserve"> </w:t>
      </w:r>
      <w:r w:rsidR="00353019" w:rsidRPr="00EA59C0">
        <w:t>Committee],</w:t>
      </w:r>
      <w:r w:rsidR="00C026A6" w:rsidRPr="00EA59C0">
        <w:t xml:space="preserve"> </w:t>
      </w:r>
      <w:r w:rsidRPr="00EA59C0">
        <w:t>IMS</w:t>
      </w:r>
      <w:r w:rsidR="00C026A6" w:rsidRPr="00EA59C0">
        <w:t xml:space="preserve"> </w:t>
      </w:r>
      <w:r w:rsidRPr="00EA59C0">
        <w:t>[</w:t>
      </w:r>
      <w:r w:rsidR="001A360F" w:rsidRPr="00EA59C0">
        <w:t>IMS</w:t>
      </w:r>
      <w:r w:rsidR="00C026A6" w:rsidRPr="00EA59C0">
        <w:t xml:space="preserve"> </w:t>
      </w:r>
      <w:r w:rsidR="001A360F" w:rsidRPr="00EA59C0">
        <w:t>Global</w:t>
      </w:r>
      <w:r w:rsidR="00C026A6" w:rsidRPr="00EA59C0">
        <w:t xml:space="preserve"> </w:t>
      </w:r>
      <w:r w:rsidR="001A360F" w:rsidRPr="00EA59C0">
        <w:t>Learning</w:t>
      </w:r>
      <w:r w:rsidR="00C026A6" w:rsidRPr="00EA59C0">
        <w:t xml:space="preserve"> </w:t>
      </w:r>
      <w:r w:rsidR="001A360F" w:rsidRPr="00EA59C0">
        <w:t>Consortium</w:t>
      </w:r>
      <w:r w:rsidRPr="00EA59C0">
        <w:t>],</w:t>
      </w:r>
      <w:r w:rsidR="00C026A6" w:rsidRPr="00EA59C0">
        <w:t xml:space="preserve"> </w:t>
      </w:r>
      <w:r w:rsidRPr="00EA59C0">
        <w:t>or</w:t>
      </w:r>
      <w:r w:rsidR="00C026A6" w:rsidRPr="00EA59C0">
        <w:t xml:space="preserve"> </w:t>
      </w:r>
      <w:r w:rsidRPr="00EA59C0">
        <w:t>SCORM</w:t>
      </w:r>
      <w:r w:rsidR="00C026A6" w:rsidRPr="00EA59C0">
        <w:t xml:space="preserve"> </w:t>
      </w:r>
      <w:r w:rsidRPr="00EA59C0">
        <w:t>[Sharable</w:t>
      </w:r>
      <w:r w:rsidR="00C026A6" w:rsidRPr="00EA59C0">
        <w:t xml:space="preserve"> </w:t>
      </w:r>
      <w:r w:rsidRPr="00EA59C0">
        <w:t>Con</w:t>
      </w:r>
      <w:r w:rsidR="00353019" w:rsidRPr="00EA59C0">
        <w:t>tent</w:t>
      </w:r>
      <w:r w:rsidR="00C026A6" w:rsidRPr="00EA59C0">
        <w:t xml:space="preserve"> </w:t>
      </w:r>
      <w:r w:rsidR="00353019" w:rsidRPr="00EA59C0">
        <w:t>Object</w:t>
      </w:r>
      <w:r w:rsidR="00C026A6" w:rsidRPr="00EA59C0">
        <w:t xml:space="preserve"> </w:t>
      </w:r>
      <w:r w:rsidR="00353019" w:rsidRPr="00EA59C0">
        <w:t>Reference</w:t>
      </w:r>
      <w:r w:rsidR="00C026A6" w:rsidRPr="00EA59C0">
        <w:t xml:space="preserve"> </w:t>
      </w:r>
      <w:r w:rsidR="00353019" w:rsidRPr="00EA59C0">
        <w:t>Model]),</w:t>
      </w:r>
      <w:r w:rsidR="00C026A6" w:rsidRPr="00EA59C0">
        <w:t xml:space="preserve"> </w:t>
      </w:r>
      <w:r w:rsidR="00353019" w:rsidRPr="00EA59C0">
        <w:t>and</w:t>
      </w:r>
      <w:r w:rsidR="00C026A6" w:rsidRPr="00EA59C0">
        <w:t xml:space="preserve"> </w:t>
      </w:r>
      <w:r w:rsidR="00353019" w:rsidRPr="00EA59C0">
        <w:t>standards</w:t>
      </w:r>
      <w:r w:rsidR="00C026A6" w:rsidRPr="00EA59C0">
        <w:t xml:space="preserve"> </w:t>
      </w:r>
      <w:r w:rsidR="00353019" w:rsidRPr="00EA59C0">
        <w:t>for</w:t>
      </w:r>
      <w:r w:rsidR="00C026A6" w:rsidRPr="00EA59C0">
        <w:t xml:space="preserve"> </w:t>
      </w:r>
      <w:r w:rsidR="00353019" w:rsidRPr="00EA59C0">
        <w:t>data</w:t>
      </w:r>
      <w:r w:rsidR="00C026A6" w:rsidRPr="00EA59C0">
        <w:t xml:space="preserve"> </w:t>
      </w:r>
      <w:r w:rsidR="00353019" w:rsidRPr="00EA59C0">
        <w:t>sharing</w:t>
      </w:r>
      <w:r w:rsidR="00C026A6" w:rsidRPr="00EA59C0">
        <w:t xml:space="preserve"> </w:t>
      </w:r>
      <w:r w:rsidR="00353019" w:rsidRPr="00EA59C0">
        <w:t>(PESC</w:t>
      </w:r>
      <w:r w:rsidR="00C026A6" w:rsidRPr="00EA59C0">
        <w:t xml:space="preserve"> </w:t>
      </w:r>
      <w:r w:rsidR="00353019" w:rsidRPr="00EA59C0">
        <w:t>[Postsecondary</w:t>
      </w:r>
      <w:r w:rsidR="00C026A6" w:rsidRPr="00EA59C0">
        <w:t xml:space="preserve"> </w:t>
      </w:r>
      <w:r w:rsidR="00353019" w:rsidRPr="00EA59C0">
        <w:t>Electronic</w:t>
      </w:r>
      <w:r w:rsidR="00C026A6" w:rsidRPr="00EA59C0">
        <w:t xml:space="preserve"> </w:t>
      </w:r>
      <w:r w:rsidR="00353019" w:rsidRPr="00EA59C0">
        <w:t>Standards</w:t>
      </w:r>
      <w:r w:rsidR="00C026A6" w:rsidRPr="00EA59C0">
        <w:t xml:space="preserve"> </w:t>
      </w:r>
      <w:r w:rsidR="00353019" w:rsidRPr="00EA59C0">
        <w:t>Council]).</w:t>
      </w:r>
    </w:p>
    <w:p w:rsidR="00353019" w:rsidRPr="00EA59C0" w:rsidRDefault="00353019" w:rsidP="00C072FA">
      <w:pPr>
        <w:ind w:left="1080"/>
      </w:pPr>
    </w:p>
    <w:p w:rsidR="00723848" w:rsidRPr="00EA59C0" w:rsidRDefault="00723848" w:rsidP="00C072FA">
      <w:pPr>
        <w:ind w:left="1080"/>
      </w:pPr>
      <w:r w:rsidRPr="00EA59C0">
        <w:t>Applicants</w:t>
      </w:r>
      <w:r w:rsidR="00C026A6" w:rsidRPr="00EA59C0">
        <w:t xml:space="preserve"> </w:t>
      </w:r>
      <w:r w:rsidRPr="00EA59C0">
        <w:t>must</w:t>
      </w:r>
      <w:r w:rsidR="00C026A6" w:rsidRPr="00EA59C0">
        <w:t xml:space="preserve"> </w:t>
      </w:r>
      <w:r w:rsidRPr="00EA59C0">
        <w:t>identify</w:t>
      </w:r>
      <w:r w:rsidR="00C026A6" w:rsidRPr="00EA59C0">
        <w:t xml:space="preserve"> </w:t>
      </w:r>
      <w:r w:rsidRPr="00EA59C0">
        <w:t>the</w:t>
      </w:r>
      <w:r w:rsidR="00C026A6" w:rsidRPr="00EA59C0">
        <w:t xml:space="preserve"> </w:t>
      </w:r>
      <w:r w:rsidRPr="00EA59C0">
        <w:t>industry</w:t>
      </w:r>
      <w:r w:rsidR="00C026A6" w:rsidRPr="00EA59C0">
        <w:t xml:space="preserve"> </w:t>
      </w:r>
      <w:r w:rsidRPr="00EA59C0">
        <w:t>standard</w:t>
      </w:r>
      <w:r w:rsidR="00C026A6" w:rsidRPr="00EA59C0">
        <w:t xml:space="preserve"> </w:t>
      </w:r>
      <w:r w:rsidRPr="00EA59C0">
        <w:t>they</w:t>
      </w:r>
      <w:r w:rsidR="00C026A6" w:rsidRPr="00EA59C0">
        <w:t xml:space="preserve"> </w:t>
      </w:r>
      <w:r w:rsidRPr="00EA59C0">
        <w:t>will</w:t>
      </w:r>
      <w:r w:rsidR="00C026A6" w:rsidRPr="00EA59C0">
        <w:t xml:space="preserve"> </w:t>
      </w:r>
      <w:r w:rsidRPr="00EA59C0">
        <w:t>use</w:t>
      </w:r>
      <w:r w:rsidR="00C026A6" w:rsidRPr="00EA59C0">
        <w:t xml:space="preserve"> </w:t>
      </w:r>
      <w:r w:rsidRPr="00EA59C0">
        <w:t>in</w:t>
      </w:r>
      <w:r w:rsidR="00C026A6" w:rsidRPr="00EA59C0">
        <w:t xml:space="preserve"> </w:t>
      </w:r>
      <w:r w:rsidRPr="00EA59C0">
        <w:t>online</w:t>
      </w:r>
      <w:r w:rsidR="00C026A6" w:rsidRPr="00EA59C0">
        <w:t xml:space="preserve"> </w:t>
      </w:r>
      <w:r w:rsidRPr="00EA59C0">
        <w:t>course</w:t>
      </w:r>
      <w:r w:rsidR="00C026A6" w:rsidRPr="00EA59C0">
        <w:t xml:space="preserve"> </w:t>
      </w:r>
      <w:r w:rsidRPr="00EA59C0">
        <w:t>development.</w:t>
      </w:r>
      <w:r w:rsidR="00C026A6" w:rsidRPr="00EA59C0">
        <w:t xml:space="preserve">  </w:t>
      </w:r>
      <w:r w:rsidRPr="00EA59C0">
        <w:t>All</w:t>
      </w:r>
      <w:r w:rsidR="00C026A6" w:rsidRPr="00EA59C0">
        <w:t xml:space="preserve"> </w:t>
      </w:r>
      <w:r w:rsidRPr="00EA59C0">
        <w:t>digital</w:t>
      </w:r>
      <w:r w:rsidR="00C026A6" w:rsidRPr="00EA59C0">
        <w:t xml:space="preserve"> </w:t>
      </w:r>
      <w:r w:rsidRPr="00EA59C0">
        <w:t>assets</w:t>
      </w:r>
      <w:r w:rsidR="00C026A6" w:rsidRPr="00EA59C0">
        <w:t xml:space="preserve"> </w:t>
      </w:r>
      <w:r w:rsidRPr="00EA59C0">
        <w:t>must</w:t>
      </w:r>
      <w:r w:rsidR="00C026A6" w:rsidRPr="00EA59C0">
        <w:t xml:space="preserve"> </w:t>
      </w:r>
      <w:r w:rsidRPr="00EA59C0">
        <w:t>be</w:t>
      </w:r>
      <w:r w:rsidR="00C026A6" w:rsidRPr="00EA59C0">
        <w:t xml:space="preserve"> </w:t>
      </w:r>
      <w:r w:rsidRPr="00EA59C0">
        <w:t>licensed</w:t>
      </w:r>
      <w:r w:rsidR="00C026A6" w:rsidRPr="00EA59C0">
        <w:t xml:space="preserve"> </w:t>
      </w:r>
      <w:r w:rsidRPr="00EA59C0">
        <w:t>for</w:t>
      </w:r>
      <w:r w:rsidR="00C026A6" w:rsidRPr="00EA59C0">
        <w:t xml:space="preserve"> </w:t>
      </w:r>
      <w:r w:rsidRPr="00EA59C0">
        <w:t>free,</w:t>
      </w:r>
      <w:r w:rsidR="00C026A6" w:rsidRPr="00EA59C0">
        <w:t xml:space="preserve"> </w:t>
      </w:r>
      <w:r w:rsidRPr="00EA59C0">
        <w:t>attributed</w:t>
      </w:r>
      <w:r w:rsidR="00C026A6" w:rsidRPr="00EA59C0">
        <w:t xml:space="preserve"> </w:t>
      </w:r>
      <w:r w:rsidRPr="00EA59C0">
        <w:t>public</w:t>
      </w:r>
      <w:r w:rsidR="00C026A6" w:rsidRPr="00EA59C0">
        <w:t xml:space="preserve"> </w:t>
      </w:r>
      <w:r w:rsidRPr="00EA59C0">
        <w:t>use</w:t>
      </w:r>
      <w:r w:rsidR="00C026A6" w:rsidRPr="00EA59C0">
        <w:t xml:space="preserve"> </w:t>
      </w:r>
      <w:r w:rsidRPr="00EA59C0">
        <w:t>and</w:t>
      </w:r>
      <w:r w:rsidR="00C026A6" w:rsidRPr="00EA59C0">
        <w:t xml:space="preserve"> </w:t>
      </w:r>
      <w:r w:rsidRPr="00EA59C0">
        <w:t>distribution</w:t>
      </w:r>
      <w:r w:rsidR="00C026A6" w:rsidRPr="00EA59C0">
        <w:t xml:space="preserve"> </w:t>
      </w:r>
      <w:r w:rsidRPr="00EA59C0">
        <w:t>under</w:t>
      </w:r>
      <w:r w:rsidR="00C026A6" w:rsidRPr="00EA59C0">
        <w:t xml:space="preserve"> </w:t>
      </w:r>
      <w:r w:rsidRPr="00EA59C0">
        <w:t>the</w:t>
      </w:r>
      <w:r w:rsidR="00C026A6" w:rsidRPr="00EA59C0">
        <w:t xml:space="preserve"> </w:t>
      </w:r>
      <w:r w:rsidR="000D1B24" w:rsidRPr="00EA59C0">
        <w:t>Creative</w:t>
      </w:r>
      <w:r w:rsidR="00C026A6" w:rsidRPr="00EA59C0">
        <w:t xml:space="preserve"> </w:t>
      </w:r>
      <w:r w:rsidR="000D1B24" w:rsidRPr="00EA59C0">
        <w:t>Commons</w:t>
      </w:r>
      <w:r w:rsidR="00C026A6" w:rsidRPr="00EA59C0">
        <w:t xml:space="preserve"> </w:t>
      </w:r>
      <w:r w:rsidRPr="00EA59C0">
        <w:t>CC</w:t>
      </w:r>
      <w:r w:rsidR="00C026A6" w:rsidRPr="00EA59C0">
        <w:t xml:space="preserve"> </w:t>
      </w:r>
      <w:r w:rsidRPr="00EA59C0">
        <w:t>BY</w:t>
      </w:r>
      <w:r w:rsidR="00C026A6" w:rsidRPr="00EA59C0">
        <w:t xml:space="preserve"> </w:t>
      </w:r>
      <w:r w:rsidR="000D1B24" w:rsidRPr="00EA59C0">
        <w:t>4.0</w:t>
      </w:r>
      <w:r w:rsidR="00C026A6" w:rsidRPr="00EA59C0">
        <w:t xml:space="preserve"> </w:t>
      </w:r>
      <w:r w:rsidRPr="00EA59C0">
        <w:t>license</w:t>
      </w:r>
      <w:r w:rsidR="00C026A6" w:rsidRPr="00EA59C0">
        <w:t xml:space="preserve"> </w:t>
      </w:r>
      <w:r w:rsidRPr="00EA59C0">
        <w:t>(as</w:t>
      </w:r>
      <w:r w:rsidR="00C026A6" w:rsidRPr="00EA59C0">
        <w:t xml:space="preserve"> </w:t>
      </w:r>
      <w:r w:rsidRPr="00EA59C0">
        <w:t>described</w:t>
      </w:r>
      <w:r w:rsidR="00C026A6" w:rsidRPr="00EA59C0">
        <w:t xml:space="preserve"> </w:t>
      </w:r>
      <w:r w:rsidRPr="00EA59C0">
        <w:t>in</w:t>
      </w:r>
      <w:r w:rsidR="00C026A6" w:rsidRPr="00EA59C0">
        <w:t xml:space="preserve"> </w:t>
      </w:r>
      <w:r w:rsidRPr="00EA59C0">
        <w:t>Section</w:t>
      </w:r>
      <w:r w:rsidR="00C026A6" w:rsidRPr="00EA59C0">
        <w:t xml:space="preserve"> </w:t>
      </w:r>
      <w:r w:rsidRPr="00EA59C0">
        <w:t>III.D.9).</w:t>
      </w:r>
      <w:r w:rsidR="00C026A6" w:rsidRPr="00EA59C0">
        <w:t xml:space="preserve">  </w:t>
      </w:r>
      <w:r w:rsidRPr="00EA59C0">
        <w:t>Additional</w:t>
      </w:r>
      <w:r w:rsidR="00C026A6" w:rsidRPr="00EA59C0">
        <w:t xml:space="preserve"> </w:t>
      </w:r>
      <w:r w:rsidRPr="00EA59C0">
        <w:t>information</w:t>
      </w:r>
      <w:r w:rsidR="00C026A6" w:rsidRPr="00EA59C0">
        <w:t xml:space="preserve"> </w:t>
      </w:r>
      <w:r w:rsidRPr="00EA59C0">
        <w:t>regarding</w:t>
      </w:r>
      <w:r w:rsidR="00C026A6" w:rsidRPr="00EA59C0">
        <w:t xml:space="preserve"> </w:t>
      </w:r>
      <w:r w:rsidRPr="00EA59C0">
        <w:t>the</w:t>
      </w:r>
      <w:r w:rsidR="00C026A6" w:rsidRPr="00EA59C0">
        <w:t xml:space="preserve"> </w:t>
      </w:r>
      <w:r w:rsidRPr="00EA59C0">
        <w:t>formats</w:t>
      </w:r>
      <w:r w:rsidR="00C026A6" w:rsidRPr="00EA59C0">
        <w:t xml:space="preserve"> </w:t>
      </w:r>
      <w:r w:rsidRPr="00EA59C0">
        <w:t>of</w:t>
      </w:r>
      <w:r w:rsidR="00C026A6" w:rsidRPr="00EA59C0">
        <w:t xml:space="preserve"> </w:t>
      </w:r>
      <w:r w:rsidRPr="00EA59C0">
        <w:t>digital</w:t>
      </w:r>
      <w:r w:rsidR="00C026A6" w:rsidRPr="00EA59C0">
        <w:t xml:space="preserve"> </w:t>
      </w:r>
      <w:r w:rsidRPr="00EA59C0">
        <w:t>assets</w:t>
      </w:r>
      <w:r w:rsidR="00C026A6" w:rsidRPr="00EA59C0">
        <w:t xml:space="preserve"> </w:t>
      </w:r>
      <w:r w:rsidRPr="00EA59C0">
        <w:t>is</w:t>
      </w:r>
      <w:r w:rsidR="00C026A6" w:rsidRPr="00EA59C0">
        <w:t xml:space="preserve"> </w:t>
      </w:r>
      <w:r w:rsidRPr="00EA59C0">
        <w:t>contained</w:t>
      </w:r>
      <w:r w:rsidR="00C026A6" w:rsidRPr="00EA59C0">
        <w:t xml:space="preserve"> </w:t>
      </w:r>
      <w:r w:rsidRPr="00EA59C0">
        <w:t>in</w:t>
      </w:r>
      <w:r w:rsidR="00C026A6" w:rsidRPr="00EA59C0">
        <w:t xml:space="preserve"> </w:t>
      </w:r>
      <w:r w:rsidRPr="00EA59C0">
        <w:t>Appendix</w:t>
      </w:r>
      <w:r w:rsidR="00C026A6" w:rsidRPr="00EA59C0">
        <w:t xml:space="preserve"> </w:t>
      </w:r>
      <w:r w:rsidR="008A70C1" w:rsidRPr="00EA59C0">
        <w:t>G</w:t>
      </w:r>
      <w:r w:rsidRPr="00EA59C0">
        <w:t>.</w:t>
      </w:r>
    </w:p>
    <w:p w:rsidR="00C07325" w:rsidRPr="00EA59C0" w:rsidRDefault="00C07325" w:rsidP="00C072FA">
      <w:pPr>
        <w:ind w:left="1080"/>
      </w:pPr>
    </w:p>
    <w:p w:rsidR="0046767F" w:rsidRPr="00EA59C0" w:rsidRDefault="0046767F" w:rsidP="004913DF">
      <w:pPr>
        <w:pStyle w:val="Heading1"/>
        <w:numPr>
          <w:ilvl w:val="2"/>
          <w:numId w:val="17"/>
        </w:numPr>
        <w:spacing w:line="240" w:lineRule="auto"/>
        <w:rPr>
          <w:rFonts w:ascii="Times New Roman" w:hAnsi="Times New Roman"/>
          <w:b w:val="0"/>
        </w:rPr>
      </w:pPr>
      <w:r w:rsidRPr="00EA59C0">
        <w:rPr>
          <w:rFonts w:ascii="Times New Roman" w:hAnsi="Times New Roman"/>
          <w:b w:val="0"/>
        </w:rPr>
        <w:t>Leveraged</w:t>
      </w:r>
      <w:r w:rsidR="00C026A6" w:rsidRPr="00EA59C0">
        <w:rPr>
          <w:rFonts w:ascii="Times New Roman" w:hAnsi="Times New Roman"/>
          <w:b w:val="0"/>
        </w:rPr>
        <w:t xml:space="preserve"> </w:t>
      </w:r>
      <w:r w:rsidRPr="00EA59C0">
        <w:rPr>
          <w:rFonts w:ascii="Times New Roman" w:hAnsi="Times New Roman"/>
          <w:b w:val="0"/>
        </w:rPr>
        <w:t>Resources</w:t>
      </w:r>
    </w:p>
    <w:p w:rsidR="00723848" w:rsidRPr="00EA59C0" w:rsidRDefault="00723848" w:rsidP="00C072FA">
      <w:pPr>
        <w:ind w:left="1080"/>
      </w:pPr>
      <w:r w:rsidRPr="00EA59C0">
        <w:t>Applicants</w:t>
      </w:r>
      <w:r w:rsidR="00C026A6" w:rsidRPr="00EA59C0">
        <w:t xml:space="preserve"> </w:t>
      </w:r>
      <w:r w:rsidRPr="00EA59C0">
        <w:t>are</w:t>
      </w:r>
      <w:r w:rsidR="00C026A6" w:rsidRPr="00EA59C0">
        <w:t xml:space="preserve"> </w:t>
      </w:r>
      <w:r w:rsidRPr="00EA59C0">
        <w:t>strongly</w:t>
      </w:r>
      <w:r w:rsidR="00C026A6" w:rsidRPr="00EA59C0">
        <w:t xml:space="preserve"> </w:t>
      </w:r>
      <w:r w:rsidRPr="00EA59C0">
        <w:t>encouraged</w:t>
      </w:r>
      <w:r w:rsidR="00C026A6" w:rsidRPr="00EA59C0">
        <w:t xml:space="preserve"> </w:t>
      </w:r>
      <w:r w:rsidRPr="00EA59C0">
        <w:t>to</w:t>
      </w:r>
      <w:r w:rsidR="00C026A6" w:rsidRPr="00EA59C0">
        <w:t xml:space="preserve"> </w:t>
      </w:r>
      <w:r w:rsidRPr="00EA59C0">
        <w:t>leverage</w:t>
      </w:r>
      <w:r w:rsidR="00C026A6" w:rsidRPr="00EA59C0">
        <w:t xml:space="preserve"> </w:t>
      </w:r>
      <w:r w:rsidRPr="00EA59C0">
        <w:t>the</w:t>
      </w:r>
      <w:r w:rsidR="00C026A6" w:rsidRPr="00EA59C0">
        <w:t xml:space="preserve"> </w:t>
      </w:r>
      <w:r w:rsidRPr="00EA59C0">
        <w:t>knowledge</w:t>
      </w:r>
      <w:r w:rsidR="00C026A6" w:rsidRPr="00EA59C0">
        <w:t xml:space="preserve"> </w:t>
      </w:r>
      <w:r w:rsidRPr="00EA59C0">
        <w:t>and</w:t>
      </w:r>
      <w:r w:rsidR="00C026A6" w:rsidRPr="00EA59C0">
        <w:t xml:space="preserve"> </w:t>
      </w:r>
      <w:r w:rsidRPr="00EA59C0">
        <w:t>resources</w:t>
      </w:r>
      <w:r w:rsidR="00C026A6" w:rsidRPr="00EA59C0">
        <w:t xml:space="preserve"> </w:t>
      </w:r>
      <w:r w:rsidRPr="00EA59C0">
        <w:t>of</w:t>
      </w:r>
      <w:r w:rsidR="00C026A6" w:rsidRPr="00EA59C0">
        <w:t xml:space="preserve"> </w:t>
      </w:r>
      <w:r w:rsidRPr="00EA59C0">
        <w:t>public</w:t>
      </w:r>
      <w:r w:rsidR="00C026A6" w:rsidRPr="00EA59C0">
        <w:t xml:space="preserve"> </w:t>
      </w:r>
      <w:r w:rsidRPr="00EA59C0">
        <w:t>and</w:t>
      </w:r>
      <w:r w:rsidR="00C026A6" w:rsidRPr="00EA59C0">
        <w:t xml:space="preserve"> </w:t>
      </w:r>
      <w:r w:rsidRPr="00EA59C0">
        <w:t>private</w:t>
      </w:r>
      <w:r w:rsidR="00C026A6" w:rsidRPr="00EA59C0">
        <w:t xml:space="preserve"> </w:t>
      </w:r>
      <w:r w:rsidRPr="00EA59C0">
        <w:t>organizations</w:t>
      </w:r>
      <w:r w:rsidR="00C026A6" w:rsidRPr="00EA59C0">
        <w:t xml:space="preserve"> </w:t>
      </w:r>
      <w:r w:rsidRPr="00EA59C0">
        <w:t>that</w:t>
      </w:r>
      <w:r w:rsidR="00C026A6" w:rsidRPr="00EA59C0">
        <w:t xml:space="preserve"> </w:t>
      </w:r>
      <w:r w:rsidRPr="00EA59C0">
        <w:t>have</w:t>
      </w:r>
      <w:r w:rsidR="00C026A6" w:rsidRPr="00EA59C0">
        <w:t xml:space="preserve"> </w:t>
      </w:r>
      <w:r w:rsidRPr="00EA59C0">
        <w:t>expertise</w:t>
      </w:r>
      <w:r w:rsidR="00C026A6" w:rsidRPr="00EA59C0">
        <w:t xml:space="preserve"> </w:t>
      </w:r>
      <w:r w:rsidRPr="00EA59C0">
        <w:t>and</w:t>
      </w:r>
      <w:r w:rsidR="00C026A6" w:rsidRPr="00EA59C0">
        <w:t xml:space="preserve"> </w:t>
      </w:r>
      <w:r w:rsidRPr="00EA59C0">
        <w:t>experience</w:t>
      </w:r>
      <w:r w:rsidR="00C026A6" w:rsidRPr="00EA59C0">
        <w:t xml:space="preserve"> </w:t>
      </w:r>
      <w:r w:rsidRPr="00EA59C0">
        <w:t>in</w:t>
      </w:r>
      <w:r w:rsidR="00C026A6" w:rsidRPr="00EA59C0">
        <w:t xml:space="preserve"> </w:t>
      </w:r>
      <w:r w:rsidRPr="00EA59C0">
        <w:t>successfully</w:t>
      </w:r>
      <w:r w:rsidR="00C026A6" w:rsidRPr="00EA59C0">
        <w:t xml:space="preserve"> </w:t>
      </w:r>
      <w:r w:rsidRPr="00EA59C0">
        <w:t>developing,</w:t>
      </w:r>
      <w:r w:rsidR="00C026A6" w:rsidRPr="00EA59C0">
        <w:t xml:space="preserve"> </w:t>
      </w:r>
      <w:r w:rsidRPr="00EA59C0">
        <w:t>implementing,</w:t>
      </w:r>
      <w:r w:rsidR="00C026A6" w:rsidRPr="00EA59C0">
        <w:t xml:space="preserve"> </w:t>
      </w:r>
      <w:r w:rsidRPr="00EA59C0">
        <w:t>and</w:t>
      </w:r>
      <w:r w:rsidR="00C026A6" w:rsidRPr="00EA59C0">
        <w:t xml:space="preserve"> </w:t>
      </w:r>
      <w:r w:rsidRPr="00EA59C0">
        <w:t>evaluating</w:t>
      </w:r>
      <w:r w:rsidR="00C026A6" w:rsidRPr="00EA59C0">
        <w:t xml:space="preserve"> </w:t>
      </w:r>
      <w:r w:rsidRPr="00EA59C0">
        <w:t>projects</w:t>
      </w:r>
      <w:r w:rsidR="00C026A6" w:rsidRPr="00EA59C0">
        <w:t xml:space="preserve"> </w:t>
      </w:r>
      <w:r w:rsidRPr="00EA59C0">
        <w:t>in</w:t>
      </w:r>
      <w:r w:rsidR="00C026A6" w:rsidRPr="00EA59C0">
        <w:t xml:space="preserve"> </w:t>
      </w:r>
      <w:r w:rsidRPr="00EA59C0">
        <w:t>the</w:t>
      </w:r>
      <w:r w:rsidR="00C026A6" w:rsidRPr="00EA59C0">
        <w:t xml:space="preserve"> </w:t>
      </w:r>
      <w:r w:rsidRPr="00EA59C0">
        <w:t>core</w:t>
      </w:r>
      <w:r w:rsidR="00C026A6" w:rsidRPr="00EA59C0">
        <w:t xml:space="preserve"> </w:t>
      </w:r>
      <w:r w:rsidRPr="00EA59C0">
        <w:t>elements</w:t>
      </w:r>
      <w:r w:rsidR="00C026A6" w:rsidRPr="00EA59C0">
        <w:t xml:space="preserve"> </w:t>
      </w:r>
      <w:r w:rsidRPr="00EA59C0">
        <w:t>described</w:t>
      </w:r>
      <w:r w:rsidR="00C026A6" w:rsidRPr="00EA59C0">
        <w:t xml:space="preserve"> </w:t>
      </w:r>
      <w:r w:rsidRPr="00EA59C0">
        <w:t>in</w:t>
      </w:r>
      <w:r w:rsidR="00C026A6" w:rsidRPr="00EA59C0">
        <w:t xml:space="preserve"> </w:t>
      </w:r>
      <w:r w:rsidRPr="00EA59C0">
        <w:t>Section</w:t>
      </w:r>
      <w:r w:rsidR="00C026A6" w:rsidRPr="00EA59C0">
        <w:t xml:space="preserve"> </w:t>
      </w:r>
      <w:r w:rsidRPr="00EA59C0">
        <w:t>I.B,</w:t>
      </w:r>
      <w:r w:rsidR="00C026A6" w:rsidRPr="00EA59C0">
        <w:t xml:space="preserve"> </w:t>
      </w:r>
      <w:r w:rsidRPr="00EA59C0">
        <w:t>and</w:t>
      </w:r>
      <w:r w:rsidR="00C026A6" w:rsidRPr="00EA59C0">
        <w:t xml:space="preserve"> </w:t>
      </w:r>
      <w:r w:rsidRPr="00EA59C0">
        <w:t>are</w:t>
      </w:r>
      <w:r w:rsidR="00C026A6" w:rsidRPr="00EA59C0">
        <w:t xml:space="preserve"> </w:t>
      </w:r>
      <w:r w:rsidRPr="00EA59C0">
        <w:t>encouraged</w:t>
      </w:r>
      <w:r w:rsidR="00C026A6" w:rsidRPr="00EA59C0">
        <w:t xml:space="preserve"> </w:t>
      </w:r>
      <w:r w:rsidRPr="00EA59C0">
        <w:t>to</w:t>
      </w:r>
      <w:r w:rsidR="00C026A6" w:rsidRPr="00EA59C0">
        <w:t xml:space="preserve"> </w:t>
      </w:r>
      <w:r w:rsidRPr="00EA59C0">
        <w:t>leverage</w:t>
      </w:r>
      <w:r w:rsidR="00C026A6" w:rsidRPr="00EA59C0">
        <w:t xml:space="preserve"> </w:t>
      </w:r>
      <w:r w:rsidRPr="00EA59C0">
        <w:t>the</w:t>
      </w:r>
      <w:r w:rsidR="00C026A6" w:rsidRPr="00EA59C0">
        <w:t xml:space="preserve"> </w:t>
      </w:r>
      <w:r w:rsidRPr="00EA59C0">
        <w:t>expertise</w:t>
      </w:r>
      <w:r w:rsidR="00C026A6" w:rsidRPr="00EA59C0">
        <w:t xml:space="preserve"> </w:t>
      </w:r>
      <w:r w:rsidRPr="00EA59C0">
        <w:t>of</w:t>
      </w:r>
      <w:r w:rsidR="00C026A6" w:rsidRPr="00EA59C0">
        <w:t xml:space="preserve"> </w:t>
      </w:r>
      <w:r w:rsidRPr="00EA59C0">
        <w:t>content</w:t>
      </w:r>
      <w:r w:rsidR="00C026A6" w:rsidRPr="00EA59C0">
        <w:t xml:space="preserve"> </w:t>
      </w:r>
      <w:r w:rsidRPr="00EA59C0">
        <w:t>experts</w:t>
      </w:r>
      <w:r w:rsidR="00C026A6" w:rsidRPr="00EA59C0">
        <w:t xml:space="preserve"> </w:t>
      </w:r>
      <w:r w:rsidRPr="00EA59C0">
        <w:t>such</w:t>
      </w:r>
      <w:r w:rsidR="00C026A6" w:rsidRPr="00EA59C0">
        <w:t xml:space="preserve"> </w:t>
      </w:r>
      <w:r w:rsidRPr="00EA59C0">
        <w:t>as</w:t>
      </w:r>
      <w:r w:rsidR="00C026A6" w:rsidRPr="00EA59C0">
        <w:t xml:space="preserve"> </w:t>
      </w:r>
      <w:r w:rsidRPr="00EA59C0">
        <w:t>cognitive</w:t>
      </w:r>
      <w:r w:rsidR="00C026A6" w:rsidRPr="00EA59C0">
        <w:t xml:space="preserve"> </w:t>
      </w:r>
      <w:r w:rsidRPr="00EA59C0">
        <w:t>scientists,</w:t>
      </w:r>
      <w:r w:rsidR="00C026A6" w:rsidRPr="00EA59C0">
        <w:t xml:space="preserve"> </w:t>
      </w:r>
      <w:r w:rsidRPr="00EA59C0">
        <w:t>human-computer</w:t>
      </w:r>
      <w:r w:rsidR="00C026A6" w:rsidRPr="00EA59C0">
        <w:t xml:space="preserve"> </w:t>
      </w:r>
      <w:r w:rsidRPr="00EA59C0">
        <w:t>interaction</w:t>
      </w:r>
      <w:r w:rsidR="00C026A6" w:rsidRPr="00EA59C0">
        <w:t xml:space="preserve"> </w:t>
      </w:r>
      <w:r w:rsidRPr="00EA59C0">
        <w:t>experts,</w:t>
      </w:r>
      <w:r w:rsidR="00C026A6" w:rsidRPr="00EA59C0">
        <w:t xml:space="preserve"> </w:t>
      </w:r>
      <w:r w:rsidRPr="00EA59C0">
        <w:t>information</w:t>
      </w:r>
      <w:r w:rsidR="00C026A6" w:rsidRPr="00EA59C0">
        <w:t xml:space="preserve"> </w:t>
      </w:r>
      <w:r w:rsidRPr="00EA59C0">
        <w:t>technologists,</w:t>
      </w:r>
      <w:r w:rsidR="00C026A6" w:rsidRPr="00EA59C0">
        <w:t xml:space="preserve"> </w:t>
      </w:r>
      <w:r w:rsidRPr="00EA59C0">
        <w:t>program</w:t>
      </w:r>
      <w:r w:rsidR="00C026A6" w:rsidRPr="00EA59C0">
        <w:t xml:space="preserve"> </w:t>
      </w:r>
      <w:r w:rsidRPr="00EA59C0">
        <w:t>evaluation</w:t>
      </w:r>
      <w:r w:rsidR="00C026A6" w:rsidRPr="00EA59C0">
        <w:t xml:space="preserve"> </w:t>
      </w:r>
      <w:r w:rsidRPr="00EA59C0">
        <w:t>experts,</w:t>
      </w:r>
      <w:r w:rsidR="00C026A6" w:rsidRPr="00EA59C0">
        <w:t xml:space="preserve"> </w:t>
      </w:r>
      <w:r w:rsidRPr="00EA59C0">
        <w:t>and</w:t>
      </w:r>
      <w:r w:rsidR="00C026A6" w:rsidRPr="00EA59C0">
        <w:t xml:space="preserve"> </w:t>
      </w:r>
      <w:r w:rsidRPr="00EA59C0">
        <w:t>others</w:t>
      </w:r>
      <w:r w:rsidR="00C026A6" w:rsidRPr="00EA59C0">
        <w:t xml:space="preserve"> </w:t>
      </w:r>
      <w:r w:rsidRPr="00EA59C0">
        <w:t>as</w:t>
      </w:r>
      <w:r w:rsidR="00C026A6" w:rsidRPr="00EA59C0">
        <w:t xml:space="preserve"> </w:t>
      </w:r>
      <w:r w:rsidRPr="00EA59C0">
        <w:t>appropriate</w:t>
      </w:r>
      <w:r w:rsidR="00C026A6" w:rsidRPr="00EA59C0">
        <w:t xml:space="preserve"> </w:t>
      </w:r>
      <w:r w:rsidRPr="00EA59C0">
        <w:t>to</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and</w:t>
      </w:r>
      <w:r w:rsidR="00C026A6" w:rsidRPr="00EA59C0">
        <w:t xml:space="preserve"> </w:t>
      </w:r>
      <w:r w:rsidRPr="00EA59C0">
        <w:t>implementation</w:t>
      </w:r>
      <w:r w:rsidR="00C026A6" w:rsidRPr="00EA59C0">
        <w:t xml:space="preserve"> </w:t>
      </w:r>
      <w:r w:rsidRPr="00EA59C0">
        <w:t>of</w:t>
      </w:r>
      <w:r w:rsidR="00C026A6" w:rsidRPr="00EA59C0">
        <w:t xml:space="preserve"> </w:t>
      </w:r>
      <w:r w:rsidRPr="00EA59C0">
        <w:t>the</w:t>
      </w:r>
      <w:r w:rsidR="00C026A6" w:rsidRPr="00EA59C0">
        <w:t xml:space="preserve"> </w:t>
      </w:r>
      <w:r w:rsidRPr="00EA59C0">
        <w:t>project.</w:t>
      </w:r>
      <w:r w:rsidR="00C026A6" w:rsidRPr="00EA59C0">
        <w:t xml:space="preserve">  </w:t>
      </w:r>
      <w:r w:rsidRPr="00EA59C0">
        <w:t>Where</w:t>
      </w:r>
      <w:r w:rsidR="00C026A6" w:rsidRPr="00EA59C0">
        <w:t xml:space="preserve"> </w:t>
      </w:r>
      <w:r w:rsidRPr="00EA59C0">
        <w:t>appropriate,</w:t>
      </w:r>
      <w:r w:rsidR="00C026A6" w:rsidRPr="00EA59C0">
        <w:t xml:space="preserve"> </w:t>
      </w:r>
      <w:r w:rsidRPr="00EA59C0">
        <w:t>applicants</w:t>
      </w:r>
      <w:r w:rsidR="00C026A6" w:rsidRPr="00EA59C0">
        <w:t xml:space="preserve"> </w:t>
      </w:r>
      <w:r w:rsidRPr="00EA59C0">
        <w:t>are</w:t>
      </w:r>
      <w:r w:rsidR="00C026A6" w:rsidRPr="00EA59C0">
        <w:t xml:space="preserve"> </w:t>
      </w:r>
      <w:r w:rsidRPr="00EA59C0">
        <w:t>strongly</w:t>
      </w:r>
      <w:r w:rsidR="00C026A6" w:rsidRPr="00EA59C0">
        <w:t xml:space="preserve"> </w:t>
      </w:r>
      <w:r w:rsidRPr="00EA59C0">
        <w:t>encouraged</w:t>
      </w:r>
      <w:r w:rsidR="00C026A6" w:rsidRPr="00EA59C0">
        <w:t xml:space="preserve"> </w:t>
      </w:r>
      <w:r w:rsidRPr="00EA59C0">
        <w:t>to</w:t>
      </w:r>
      <w:r w:rsidR="00C026A6" w:rsidRPr="00EA59C0">
        <w:t xml:space="preserve"> </w:t>
      </w:r>
      <w:r w:rsidRPr="00EA59C0">
        <w:t>leverage</w:t>
      </w:r>
      <w:r w:rsidR="00C026A6" w:rsidRPr="00EA59C0">
        <w:t xml:space="preserve"> </w:t>
      </w:r>
      <w:r w:rsidRPr="00EA59C0">
        <w:t>the</w:t>
      </w:r>
      <w:r w:rsidR="00C026A6" w:rsidRPr="00EA59C0">
        <w:t xml:space="preserve"> </w:t>
      </w:r>
      <w:r w:rsidRPr="00EA59C0">
        <w:t>knowledge</w:t>
      </w:r>
      <w:r w:rsidR="00C026A6" w:rsidRPr="00EA59C0">
        <w:t xml:space="preserve"> </w:t>
      </w:r>
      <w:r w:rsidRPr="00EA59C0">
        <w:t>of</w:t>
      </w:r>
      <w:r w:rsidR="00C026A6" w:rsidRPr="00EA59C0">
        <w:t xml:space="preserve"> </w:t>
      </w:r>
      <w:r w:rsidRPr="00EA59C0">
        <w:t>authors,</w:t>
      </w:r>
      <w:r w:rsidR="00C026A6" w:rsidRPr="00EA59C0">
        <w:t xml:space="preserve"> </w:t>
      </w:r>
      <w:r w:rsidRPr="00EA59C0">
        <w:t>publishers</w:t>
      </w:r>
      <w:r w:rsidR="00D678F3" w:rsidRPr="00EA59C0">
        <w:t>,</w:t>
      </w:r>
      <w:r w:rsidR="00C026A6" w:rsidRPr="00EA59C0">
        <w:t xml:space="preserve"> </w:t>
      </w:r>
      <w:r w:rsidRPr="00EA59C0">
        <w:t>and</w:t>
      </w:r>
      <w:r w:rsidR="00C026A6" w:rsidRPr="00EA59C0">
        <w:t xml:space="preserve"> </w:t>
      </w:r>
      <w:r w:rsidRPr="00EA59C0">
        <w:t>providers</w:t>
      </w:r>
      <w:r w:rsidR="00C026A6" w:rsidRPr="00EA59C0">
        <w:t xml:space="preserve"> </w:t>
      </w:r>
      <w:r w:rsidRPr="00EA59C0">
        <w:t>of</w:t>
      </w:r>
      <w:r w:rsidR="00C026A6" w:rsidRPr="00EA59C0">
        <w:t xml:space="preserve"> </w:t>
      </w:r>
      <w:r w:rsidRPr="00EA59C0">
        <w:t>digital</w:t>
      </w:r>
      <w:r w:rsidR="00C026A6" w:rsidRPr="00EA59C0">
        <w:t xml:space="preserve"> </w:t>
      </w:r>
      <w:r w:rsidRPr="00EA59C0">
        <w:t>and</w:t>
      </w:r>
      <w:r w:rsidR="00C026A6" w:rsidRPr="00EA59C0">
        <w:t xml:space="preserve"> </w:t>
      </w:r>
      <w:r w:rsidRPr="00EA59C0">
        <w:t>online</w:t>
      </w:r>
      <w:r w:rsidR="00C026A6" w:rsidRPr="00EA59C0">
        <w:t xml:space="preserve"> </w:t>
      </w:r>
      <w:r w:rsidRPr="00EA59C0">
        <w:t>curricular</w:t>
      </w:r>
      <w:r w:rsidR="00C026A6" w:rsidRPr="00EA59C0">
        <w:t xml:space="preserve"> </w:t>
      </w:r>
      <w:r w:rsidRPr="00EA59C0">
        <w:t>materials</w:t>
      </w:r>
      <w:r w:rsidR="00C026A6" w:rsidRPr="00EA59C0">
        <w:t xml:space="preserve"> </w:t>
      </w:r>
      <w:r w:rsidRPr="00EA59C0">
        <w:t>and</w:t>
      </w:r>
      <w:r w:rsidR="00C026A6" w:rsidRPr="00EA59C0">
        <w:t xml:space="preserve"> </w:t>
      </w:r>
      <w:r w:rsidRPr="00EA59C0">
        <w:t>course</w:t>
      </w:r>
      <w:r w:rsidR="00C026A6" w:rsidRPr="00EA59C0">
        <w:t xml:space="preserve"> </w:t>
      </w:r>
      <w:r w:rsidRPr="00EA59C0">
        <w:t>modules,</w:t>
      </w:r>
      <w:r w:rsidR="00C026A6" w:rsidRPr="00EA59C0">
        <w:t xml:space="preserve"> </w:t>
      </w:r>
      <w:r w:rsidRPr="00EA59C0">
        <w:t>including</w:t>
      </w:r>
      <w:r w:rsidR="00C026A6" w:rsidRPr="00EA59C0">
        <w:t xml:space="preserve"> </w:t>
      </w:r>
      <w:r w:rsidRPr="00EA59C0">
        <w:t>Federally-funded</w:t>
      </w:r>
      <w:r w:rsidR="00C026A6" w:rsidRPr="00EA59C0">
        <w:t xml:space="preserve"> </w:t>
      </w:r>
      <w:r w:rsidRPr="00EA59C0">
        <w:t>program</w:t>
      </w:r>
      <w:r w:rsidR="00C026A6" w:rsidRPr="00EA59C0">
        <w:t xml:space="preserve"> </w:t>
      </w:r>
      <w:r w:rsidRPr="00EA59C0">
        <w:t>providers,</w:t>
      </w:r>
      <w:r w:rsidR="00C026A6" w:rsidRPr="00EA59C0">
        <w:t xml:space="preserve"> </w:t>
      </w:r>
      <w:r w:rsidRPr="00EA59C0">
        <w:t>community</w:t>
      </w:r>
      <w:r w:rsidR="00C026A6" w:rsidRPr="00EA59C0">
        <w:t xml:space="preserve"> </w:t>
      </w:r>
      <w:r w:rsidRPr="00EA59C0">
        <w:t>colleges,</w:t>
      </w:r>
      <w:r w:rsidR="00C026A6" w:rsidRPr="00EA59C0">
        <w:t xml:space="preserve"> </w:t>
      </w:r>
      <w:r w:rsidRPr="00EA59C0">
        <w:t>open</w:t>
      </w:r>
      <w:r w:rsidR="00C026A6" w:rsidRPr="00EA59C0">
        <w:t xml:space="preserve"> </w:t>
      </w:r>
      <w:r w:rsidRPr="00EA59C0">
        <w:t>licensed</w:t>
      </w:r>
      <w:r w:rsidR="00C026A6" w:rsidRPr="00EA59C0">
        <w:t xml:space="preserve"> </w:t>
      </w:r>
      <w:r w:rsidRPr="00EA59C0">
        <w:t>content</w:t>
      </w:r>
      <w:r w:rsidR="00C026A6" w:rsidRPr="00EA59C0">
        <w:t xml:space="preserve"> </w:t>
      </w:r>
      <w:r w:rsidRPr="00EA59C0">
        <w:t>providers,</w:t>
      </w:r>
      <w:r w:rsidR="00C026A6" w:rsidRPr="00EA59C0">
        <w:t xml:space="preserve"> </w:t>
      </w:r>
      <w:r w:rsidRPr="00EA59C0">
        <w:t>not-for-profit</w:t>
      </w:r>
      <w:r w:rsidR="00C026A6" w:rsidRPr="00EA59C0">
        <w:t xml:space="preserve"> </w:t>
      </w:r>
      <w:r w:rsidRPr="00EA59C0">
        <w:t>and</w:t>
      </w:r>
      <w:r w:rsidR="00C026A6" w:rsidRPr="00EA59C0">
        <w:t xml:space="preserve"> </w:t>
      </w:r>
      <w:r w:rsidRPr="00EA59C0">
        <w:t>commercial</w:t>
      </w:r>
      <w:r w:rsidR="00C026A6" w:rsidRPr="00EA59C0">
        <w:t xml:space="preserve"> </w:t>
      </w:r>
      <w:r w:rsidRPr="00EA59C0">
        <w:t>publishers</w:t>
      </w:r>
      <w:r w:rsidR="00D678F3" w:rsidRPr="00EA59C0">
        <w:t>,</w:t>
      </w:r>
      <w:r w:rsidR="00C026A6" w:rsidRPr="00EA59C0">
        <w:t xml:space="preserve"> </w:t>
      </w:r>
      <w:r w:rsidRPr="00EA59C0">
        <w:t>and</w:t>
      </w:r>
      <w:r w:rsidR="00C026A6" w:rsidRPr="00EA59C0">
        <w:t xml:space="preserve"> </w:t>
      </w:r>
      <w:r w:rsidRPr="00EA59C0">
        <w:t>other</w:t>
      </w:r>
      <w:r w:rsidR="00C026A6" w:rsidRPr="00EA59C0">
        <w:t xml:space="preserve"> </w:t>
      </w:r>
      <w:r w:rsidRPr="00EA59C0">
        <w:t>types</w:t>
      </w:r>
      <w:r w:rsidR="00C026A6" w:rsidRPr="00EA59C0">
        <w:t xml:space="preserve"> </w:t>
      </w:r>
      <w:r w:rsidRPr="00EA59C0">
        <w:t>of</w:t>
      </w:r>
      <w:r w:rsidR="00C026A6" w:rsidRPr="00EA59C0">
        <w:t xml:space="preserve"> </w:t>
      </w:r>
      <w:r w:rsidRPr="00EA59C0">
        <w:t>entities.</w:t>
      </w:r>
      <w:r w:rsidR="00C026A6" w:rsidRPr="00EA59C0">
        <w:t xml:space="preserve">  </w:t>
      </w:r>
      <w:r w:rsidRPr="00EA59C0">
        <w:t>These</w:t>
      </w:r>
      <w:r w:rsidR="00C026A6" w:rsidRPr="00EA59C0">
        <w:t xml:space="preserve"> </w:t>
      </w:r>
      <w:r w:rsidRPr="00EA59C0">
        <w:t>individuals,</w:t>
      </w:r>
      <w:r w:rsidR="00C026A6" w:rsidRPr="00EA59C0">
        <w:t xml:space="preserve"> </w:t>
      </w:r>
      <w:r w:rsidRPr="00EA59C0">
        <w:t>groups</w:t>
      </w:r>
      <w:r w:rsidR="00C97972" w:rsidRPr="00EA59C0">
        <w:t>,</w:t>
      </w:r>
      <w:r w:rsidR="00C026A6" w:rsidRPr="00EA59C0">
        <w:t xml:space="preserve"> </w:t>
      </w:r>
      <w:r w:rsidRPr="00EA59C0">
        <w:t>and</w:t>
      </w:r>
      <w:r w:rsidR="00C026A6" w:rsidRPr="00EA59C0">
        <w:t xml:space="preserve"> </w:t>
      </w:r>
      <w:r w:rsidRPr="00EA59C0">
        <w:t>organizations</w:t>
      </w:r>
      <w:r w:rsidR="00C026A6" w:rsidRPr="00EA59C0">
        <w:t xml:space="preserve"> </w:t>
      </w:r>
      <w:r w:rsidRPr="00EA59C0">
        <w:t>can</w:t>
      </w:r>
      <w:r w:rsidR="00C026A6" w:rsidRPr="00EA59C0">
        <w:t xml:space="preserve"> </w:t>
      </w:r>
      <w:r w:rsidRPr="00EA59C0">
        <w:t>help</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determine</w:t>
      </w:r>
      <w:r w:rsidR="00C026A6" w:rsidRPr="00EA59C0">
        <w:t xml:space="preserve"> </w:t>
      </w:r>
      <w:r w:rsidRPr="00EA59C0">
        <w:t>if</w:t>
      </w:r>
      <w:r w:rsidR="00C026A6" w:rsidRPr="00EA59C0">
        <w:t xml:space="preserve"> </w:t>
      </w:r>
      <w:r w:rsidRPr="00EA59C0">
        <w:t>and</w:t>
      </w:r>
      <w:r w:rsidR="00C026A6" w:rsidRPr="00EA59C0">
        <w:t xml:space="preserve"> </w:t>
      </w:r>
      <w:r w:rsidRPr="00EA59C0">
        <w:t>to</w:t>
      </w:r>
      <w:r w:rsidR="00C026A6" w:rsidRPr="00EA59C0">
        <w:t xml:space="preserve"> </w:t>
      </w:r>
      <w:r w:rsidRPr="00EA59C0">
        <w:t>what</w:t>
      </w:r>
      <w:r w:rsidR="00C026A6" w:rsidRPr="00EA59C0">
        <w:t xml:space="preserve"> </w:t>
      </w:r>
      <w:r w:rsidRPr="00EA59C0">
        <w:t>extent</w:t>
      </w:r>
      <w:r w:rsidR="00C026A6" w:rsidRPr="00EA59C0">
        <w:t xml:space="preserve"> </w:t>
      </w:r>
      <w:r w:rsidRPr="00EA59C0">
        <w:t>such</w:t>
      </w:r>
      <w:r w:rsidR="00C026A6" w:rsidRPr="00EA59C0">
        <w:t xml:space="preserve"> </w:t>
      </w:r>
      <w:r w:rsidRPr="00EA59C0">
        <w:t>resources</w:t>
      </w:r>
      <w:r w:rsidR="00C026A6" w:rsidRPr="00EA59C0">
        <w:t xml:space="preserve"> </w:t>
      </w:r>
      <w:r w:rsidRPr="00EA59C0">
        <w:t>already</w:t>
      </w:r>
      <w:r w:rsidR="00C026A6" w:rsidRPr="00EA59C0">
        <w:t xml:space="preserve"> </w:t>
      </w:r>
      <w:r w:rsidRPr="00EA59C0">
        <w:t>exist</w:t>
      </w:r>
      <w:r w:rsidR="00C026A6" w:rsidRPr="00EA59C0">
        <w:t xml:space="preserve"> </w:t>
      </w:r>
      <w:r w:rsidRPr="00EA59C0">
        <w:t>and</w:t>
      </w:r>
      <w:r w:rsidR="00C026A6" w:rsidRPr="00EA59C0">
        <w:t xml:space="preserve"> </w:t>
      </w:r>
      <w:r w:rsidRPr="00EA59C0">
        <w:t>whether</w:t>
      </w:r>
      <w:r w:rsidR="00C026A6" w:rsidRPr="00EA59C0">
        <w:t xml:space="preserve"> </w:t>
      </w:r>
      <w:r w:rsidRPr="00EA59C0">
        <w:t>the</w:t>
      </w:r>
      <w:r w:rsidR="00C026A6" w:rsidRPr="00EA59C0">
        <w:t xml:space="preserve"> </w:t>
      </w:r>
      <w:r w:rsidRPr="00EA59C0">
        <w:t>applicant</w:t>
      </w:r>
      <w:r w:rsidR="00C026A6" w:rsidRPr="00EA59C0">
        <w:t xml:space="preserve"> </w:t>
      </w:r>
      <w:r w:rsidRPr="00EA59C0">
        <w:t>should</w:t>
      </w:r>
      <w:r w:rsidR="00C026A6" w:rsidRPr="00EA59C0">
        <w:t xml:space="preserve"> </w:t>
      </w:r>
      <w:r w:rsidRPr="00EA59C0">
        <w:t>adopt</w:t>
      </w:r>
      <w:r w:rsidR="00C026A6" w:rsidRPr="00EA59C0">
        <w:t xml:space="preserve"> </w:t>
      </w:r>
      <w:r w:rsidRPr="00EA59C0">
        <w:t>such</w:t>
      </w:r>
      <w:r w:rsidR="00C026A6" w:rsidRPr="00EA59C0">
        <w:t xml:space="preserve"> </w:t>
      </w:r>
      <w:r w:rsidRPr="00EA59C0">
        <w:t>existing</w:t>
      </w:r>
      <w:r w:rsidR="00C026A6" w:rsidRPr="00EA59C0">
        <w:t xml:space="preserve"> </w:t>
      </w:r>
      <w:r w:rsidRPr="00EA59C0">
        <w:t>resources</w:t>
      </w:r>
      <w:r w:rsidR="00C026A6" w:rsidRPr="00EA59C0">
        <w:t xml:space="preserve"> </w:t>
      </w:r>
      <w:r w:rsidRPr="00EA59C0">
        <w:t>rather</w:t>
      </w:r>
      <w:r w:rsidR="00C026A6" w:rsidRPr="00EA59C0">
        <w:t xml:space="preserve"> </w:t>
      </w:r>
      <w:r w:rsidRPr="00EA59C0">
        <w:t>than</w:t>
      </w:r>
      <w:r w:rsidR="00C026A6" w:rsidRPr="00EA59C0">
        <w:t xml:space="preserve"> </w:t>
      </w:r>
      <w:r w:rsidRPr="00EA59C0">
        <w:t>develop</w:t>
      </w:r>
      <w:r w:rsidR="00C026A6" w:rsidRPr="00EA59C0">
        <w:t xml:space="preserve"> </w:t>
      </w:r>
      <w:r w:rsidRPr="00EA59C0">
        <w:t>new,</w:t>
      </w:r>
      <w:r w:rsidR="00C026A6" w:rsidRPr="00EA59C0">
        <w:t xml:space="preserve"> </w:t>
      </w:r>
      <w:r w:rsidRPr="00EA59C0">
        <w:t>effectively</w:t>
      </w:r>
      <w:r w:rsidR="00C026A6" w:rsidRPr="00EA59C0">
        <w:t xml:space="preserve"> </w:t>
      </w:r>
      <w:r w:rsidRPr="00EA59C0">
        <w:t>duplicative</w:t>
      </w:r>
      <w:r w:rsidR="00C026A6" w:rsidRPr="00EA59C0">
        <w:t xml:space="preserve"> </w:t>
      </w:r>
      <w:r w:rsidRPr="00EA59C0">
        <w:t>materials,</w:t>
      </w:r>
      <w:r w:rsidR="00C026A6" w:rsidRPr="00EA59C0">
        <w:t xml:space="preserve"> </w:t>
      </w:r>
      <w:r w:rsidRPr="00EA59C0">
        <w:t>unless</w:t>
      </w:r>
      <w:r w:rsidR="00C026A6" w:rsidRPr="00EA59C0">
        <w:t xml:space="preserve"> </w:t>
      </w:r>
      <w:r w:rsidRPr="00EA59C0">
        <w:t>such</w:t>
      </w:r>
      <w:r w:rsidR="00C026A6" w:rsidRPr="00EA59C0">
        <w:t xml:space="preserve"> </w:t>
      </w:r>
      <w:r w:rsidRPr="00EA59C0">
        <w:t>adoptions</w:t>
      </w:r>
      <w:r w:rsidR="00C026A6" w:rsidRPr="00EA59C0">
        <w:t xml:space="preserve"> </w:t>
      </w:r>
      <w:r w:rsidRPr="00EA59C0">
        <w:t>would</w:t>
      </w:r>
      <w:r w:rsidR="00C026A6" w:rsidRPr="00EA59C0">
        <w:t xml:space="preserve"> </w:t>
      </w:r>
      <w:r w:rsidRPr="00EA59C0">
        <w:t>impose</w:t>
      </w:r>
      <w:r w:rsidR="00C026A6" w:rsidRPr="00EA59C0">
        <w:t xml:space="preserve"> </w:t>
      </w:r>
      <w:r w:rsidRPr="00EA59C0">
        <w:t>barriers</w:t>
      </w:r>
      <w:r w:rsidR="00C026A6" w:rsidRPr="00EA59C0">
        <w:t xml:space="preserve"> </w:t>
      </w:r>
      <w:r w:rsidRPr="00EA59C0">
        <w:t>to</w:t>
      </w:r>
      <w:r w:rsidR="00C026A6" w:rsidRPr="00EA59C0">
        <w:t xml:space="preserve"> </w:t>
      </w:r>
      <w:r w:rsidRPr="00EA59C0">
        <w:t>the</w:t>
      </w:r>
      <w:r w:rsidR="00C026A6" w:rsidRPr="00EA59C0">
        <w:t xml:space="preserve"> </w:t>
      </w:r>
      <w:r w:rsidRPr="00EA59C0">
        <w:t>free</w:t>
      </w:r>
      <w:r w:rsidR="00C026A6" w:rsidRPr="00EA59C0">
        <w:t xml:space="preserve"> </w:t>
      </w:r>
      <w:r w:rsidRPr="00EA59C0">
        <w:t>use</w:t>
      </w:r>
      <w:r w:rsidR="00C026A6" w:rsidRPr="00EA59C0">
        <w:t xml:space="preserve"> </w:t>
      </w:r>
      <w:r w:rsidRPr="00EA59C0">
        <w:t>or</w:t>
      </w:r>
      <w:r w:rsidR="00C026A6" w:rsidRPr="00EA59C0">
        <w:t xml:space="preserve"> </w:t>
      </w:r>
      <w:r w:rsidRPr="00EA59C0">
        <w:t>reuse</w:t>
      </w:r>
      <w:r w:rsidR="00C026A6" w:rsidRPr="00EA59C0">
        <w:t xml:space="preserve"> </w:t>
      </w:r>
      <w:r w:rsidRPr="00EA59C0">
        <w:t>of</w:t>
      </w:r>
      <w:r w:rsidR="00C026A6" w:rsidRPr="00EA59C0">
        <w:t xml:space="preserve"> </w:t>
      </w:r>
      <w:r w:rsidRPr="00EA59C0">
        <w:t>the</w:t>
      </w:r>
      <w:r w:rsidR="00C026A6" w:rsidRPr="00EA59C0">
        <w:t xml:space="preserve"> </w:t>
      </w:r>
      <w:r w:rsidRPr="00EA59C0">
        <w:t>materials</w:t>
      </w:r>
      <w:r w:rsidR="00C026A6" w:rsidRPr="00EA59C0">
        <w:t xml:space="preserve"> </w:t>
      </w:r>
      <w:r w:rsidRPr="00EA59C0">
        <w:t>by</w:t>
      </w:r>
      <w:r w:rsidR="00C026A6" w:rsidRPr="00EA59C0">
        <w:t xml:space="preserve"> </w:t>
      </w:r>
      <w:r w:rsidRPr="00EA59C0">
        <w:t>others.</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are</w:t>
      </w:r>
      <w:r w:rsidR="00C026A6" w:rsidRPr="00EA59C0">
        <w:t xml:space="preserve"> </w:t>
      </w:r>
      <w:r w:rsidRPr="00EA59C0">
        <w:t>strongly</w:t>
      </w:r>
      <w:r w:rsidR="00C026A6" w:rsidRPr="00EA59C0">
        <w:t xml:space="preserve"> </w:t>
      </w:r>
      <w:r w:rsidRPr="00EA59C0">
        <w:t>encouraged</w:t>
      </w:r>
      <w:r w:rsidR="00C026A6" w:rsidRPr="00EA59C0">
        <w:t xml:space="preserve"> </w:t>
      </w:r>
      <w:r w:rsidRPr="00EA59C0">
        <w:t>to</w:t>
      </w:r>
      <w:r w:rsidR="00C026A6" w:rsidRPr="00EA59C0">
        <w:t xml:space="preserve"> </w:t>
      </w:r>
      <w:r w:rsidRPr="00EA59C0">
        <w:t>leverage</w:t>
      </w:r>
      <w:r w:rsidR="00C026A6" w:rsidRPr="00EA59C0">
        <w:t xml:space="preserve"> </w:t>
      </w:r>
      <w:r w:rsidRPr="00EA59C0">
        <w:t>expertise</w:t>
      </w:r>
      <w:r w:rsidR="00C026A6" w:rsidRPr="00EA59C0">
        <w:t xml:space="preserve"> </w:t>
      </w:r>
      <w:r w:rsidRPr="00EA59C0">
        <w:t>from</w:t>
      </w:r>
      <w:r w:rsidR="00C026A6" w:rsidRPr="00EA59C0">
        <w:t xml:space="preserve"> </w:t>
      </w:r>
      <w:r w:rsidRPr="00EA59C0">
        <w:t>content</w:t>
      </w:r>
      <w:r w:rsidR="00C026A6" w:rsidRPr="00EA59C0">
        <w:t xml:space="preserve"> </w:t>
      </w:r>
      <w:r w:rsidRPr="00EA59C0">
        <w:t>experts</w:t>
      </w:r>
      <w:r w:rsidR="00C026A6" w:rsidRPr="00EA59C0">
        <w:t xml:space="preserve"> </w:t>
      </w:r>
      <w:r w:rsidRPr="00EA59C0">
        <w:t>within</w:t>
      </w:r>
      <w:r w:rsidR="00C026A6" w:rsidRPr="00EA59C0">
        <w:t xml:space="preserve"> </w:t>
      </w:r>
      <w:r w:rsidRPr="00EA59C0">
        <w:t>the</w:t>
      </w:r>
      <w:r w:rsidR="00C026A6" w:rsidRPr="00EA59C0">
        <w:t xml:space="preserve"> </w:t>
      </w:r>
      <w:r w:rsidRPr="00EA59C0">
        <w:t>consortium</w:t>
      </w:r>
      <w:r w:rsidR="00C026A6" w:rsidRPr="00EA59C0">
        <w:t xml:space="preserve"> </w:t>
      </w:r>
      <w:r w:rsidRPr="00EA59C0">
        <w:t>in</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of</w:t>
      </w:r>
      <w:r w:rsidR="00C026A6" w:rsidRPr="00EA59C0">
        <w:t xml:space="preserve"> </w:t>
      </w:r>
      <w:r w:rsidRPr="00EA59C0">
        <w:t>online</w:t>
      </w:r>
      <w:r w:rsidR="00C026A6" w:rsidRPr="00EA59C0">
        <w:t xml:space="preserve"> </w:t>
      </w:r>
      <w:r w:rsidRPr="00EA59C0">
        <w:t>learning</w:t>
      </w:r>
      <w:r w:rsidR="00C026A6" w:rsidRPr="00EA59C0">
        <w:t xml:space="preserve"> </w:t>
      </w:r>
      <w:r w:rsidRPr="00EA59C0">
        <w:t>materials.</w:t>
      </w:r>
      <w:r w:rsidR="00C026A6" w:rsidRPr="00EA59C0">
        <w:t xml:space="preserve">  </w:t>
      </w:r>
      <w:r w:rsidRPr="00EA59C0">
        <w:t>In</w:t>
      </w:r>
      <w:r w:rsidR="00C026A6" w:rsidRPr="00EA59C0">
        <w:t xml:space="preserve"> </w:t>
      </w:r>
      <w:r w:rsidRPr="00EA59C0">
        <w:t>the</w:t>
      </w:r>
      <w:r w:rsidR="00C026A6" w:rsidRPr="00EA59C0">
        <w:t xml:space="preserve"> </w:t>
      </w:r>
      <w:r w:rsidRPr="00EA59C0">
        <w:t>implementation</w:t>
      </w:r>
      <w:r w:rsidR="00C026A6" w:rsidRPr="00EA59C0">
        <w:t xml:space="preserve"> </w:t>
      </w:r>
      <w:r w:rsidRPr="00EA59C0">
        <w:t>and</w:t>
      </w:r>
      <w:r w:rsidR="00C026A6" w:rsidRPr="00EA59C0">
        <w:t xml:space="preserve"> </w:t>
      </w:r>
      <w:r w:rsidRPr="00EA59C0">
        <w:t>adoption</w:t>
      </w:r>
      <w:r w:rsidR="00C026A6" w:rsidRPr="00EA59C0">
        <w:t xml:space="preserve"> </w:t>
      </w:r>
      <w:r w:rsidRPr="00EA59C0">
        <w:t>of</w:t>
      </w:r>
      <w:r w:rsidR="00C026A6" w:rsidRPr="00EA59C0">
        <w:t xml:space="preserve"> </w:t>
      </w:r>
      <w:r w:rsidRPr="00EA59C0">
        <w:t>materials</w:t>
      </w:r>
      <w:r w:rsidR="00C026A6" w:rsidRPr="00EA59C0">
        <w:t xml:space="preserve"> </w:t>
      </w:r>
      <w:r w:rsidRPr="00EA59C0">
        <w:t>developed</w:t>
      </w:r>
      <w:r w:rsidR="00C026A6" w:rsidRPr="00EA59C0">
        <w:t xml:space="preserve"> </w:t>
      </w:r>
      <w:r w:rsidRPr="00EA59C0">
        <w:t>under</w:t>
      </w:r>
      <w:r w:rsidR="00C026A6" w:rsidRPr="00EA59C0">
        <w:t xml:space="preserve"> </w:t>
      </w:r>
      <w:r w:rsidRPr="00EA59C0">
        <w:t>the</w:t>
      </w:r>
      <w:r w:rsidR="00C026A6" w:rsidRPr="00EA59C0">
        <w:t xml:space="preserve"> </w:t>
      </w:r>
      <w:r w:rsidRPr="00EA59C0">
        <w:t>grant,</w:t>
      </w:r>
      <w:r w:rsidR="00C026A6" w:rsidRPr="00EA59C0">
        <w:t xml:space="preserve"> </w:t>
      </w:r>
      <w:r w:rsidRPr="00EA59C0">
        <w:t>technology-based</w:t>
      </w:r>
      <w:r w:rsidR="00C026A6" w:rsidRPr="00EA59C0">
        <w:t xml:space="preserve"> </w:t>
      </w:r>
      <w:r w:rsidRPr="00EA59C0">
        <w:t>consortium</w:t>
      </w:r>
      <w:r w:rsidR="00C026A6" w:rsidRPr="00EA59C0">
        <w:t xml:space="preserve"> </w:t>
      </w:r>
      <w:r w:rsidRPr="00EA59C0">
        <w:t>projects</w:t>
      </w:r>
      <w:r w:rsidR="00C026A6" w:rsidRPr="00EA59C0">
        <w:t xml:space="preserve"> </w:t>
      </w:r>
      <w:r w:rsidRPr="00EA59C0">
        <w:t>may</w:t>
      </w:r>
      <w:r w:rsidR="00C026A6" w:rsidRPr="00EA59C0">
        <w:t xml:space="preserve"> </w:t>
      </w:r>
      <w:r w:rsidRPr="00EA59C0">
        <w:t>also</w:t>
      </w:r>
      <w:r w:rsidR="00C026A6" w:rsidRPr="00EA59C0">
        <w:t xml:space="preserve"> </w:t>
      </w:r>
      <w:r w:rsidRPr="00EA59C0">
        <w:t>connect</w:t>
      </w:r>
      <w:r w:rsidR="00C026A6" w:rsidRPr="00EA59C0">
        <w:t xml:space="preserve"> </w:t>
      </w:r>
      <w:r w:rsidRPr="00EA59C0">
        <w:t>with</w:t>
      </w:r>
      <w:r w:rsidR="00C026A6" w:rsidRPr="00EA59C0">
        <w:t xml:space="preserve"> </w:t>
      </w:r>
      <w:r w:rsidRPr="00EA59C0">
        <w:t>broad</w:t>
      </w:r>
      <w:r w:rsidR="00C026A6" w:rsidRPr="00EA59C0">
        <w:t xml:space="preserve"> </w:t>
      </w:r>
      <w:r w:rsidRPr="00EA59C0">
        <w:t>networks</w:t>
      </w:r>
      <w:r w:rsidR="00C026A6" w:rsidRPr="00EA59C0">
        <w:t xml:space="preserve"> </w:t>
      </w:r>
      <w:r w:rsidRPr="00EA59C0">
        <w:t>of</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institutions</w:t>
      </w:r>
      <w:r w:rsidR="00C026A6" w:rsidRPr="00EA59C0">
        <w:t xml:space="preserve"> </w:t>
      </w:r>
      <w:r w:rsidRPr="00EA59C0">
        <w:t>to</w:t>
      </w:r>
      <w:r w:rsidR="00C026A6" w:rsidRPr="00EA59C0">
        <w:t xml:space="preserve"> </w:t>
      </w:r>
      <w:r w:rsidRPr="00EA59C0">
        <w:t>ensure</w:t>
      </w:r>
      <w:r w:rsidR="00C026A6" w:rsidRPr="00EA59C0">
        <w:t xml:space="preserve"> </w:t>
      </w:r>
      <w:r w:rsidRPr="00EA59C0">
        <w:t>widespread</w:t>
      </w:r>
      <w:r w:rsidR="00C026A6" w:rsidRPr="00EA59C0">
        <w:t xml:space="preserve"> </w:t>
      </w:r>
      <w:r w:rsidRPr="00EA59C0">
        <w:t>use</w:t>
      </w:r>
      <w:r w:rsidR="00C026A6" w:rsidRPr="00EA59C0">
        <w:t xml:space="preserve"> </w:t>
      </w:r>
      <w:r w:rsidRPr="00EA59C0">
        <w:t>and</w:t>
      </w:r>
      <w:r w:rsidR="00C026A6" w:rsidRPr="00EA59C0">
        <w:t xml:space="preserve"> </w:t>
      </w:r>
      <w:r w:rsidRPr="00EA59C0">
        <w:t>encourage</w:t>
      </w:r>
      <w:r w:rsidR="00C026A6" w:rsidRPr="00EA59C0">
        <w:t xml:space="preserve"> </w:t>
      </w:r>
      <w:r w:rsidRPr="00EA59C0">
        <w:t>continuous</w:t>
      </w:r>
      <w:r w:rsidR="00C026A6" w:rsidRPr="00EA59C0">
        <w:t xml:space="preserve"> </w:t>
      </w:r>
      <w:r w:rsidRPr="00EA59C0">
        <w:t>improvement</w:t>
      </w:r>
      <w:r w:rsidR="00C026A6" w:rsidRPr="00EA59C0">
        <w:t xml:space="preserve"> </w:t>
      </w:r>
      <w:r w:rsidRPr="00EA59C0">
        <w:t>of</w:t>
      </w:r>
      <w:r w:rsidR="00C026A6" w:rsidRPr="00EA59C0">
        <w:t xml:space="preserve"> </w:t>
      </w:r>
      <w:r w:rsidRPr="00EA59C0">
        <w:t>the</w:t>
      </w:r>
      <w:r w:rsidR="00C026A6" w:rsidRPr="00EA59C0">
        <w:t xml:space="preserve"> </w:t>
      </w:r>
      <w:r w:rsidRPr="00EA59C0">
        <w:t>courses</w:t>
      </w:r>
      <w:r w:rsidR="00C026A6" w:rsidRPr="00EA59C0">
        <w:t xml:space="preserve"> </w:t>
      </w:r>
      <w:r w:rsidRPr="00EA59C0">
        <w:t>and</w:t>
      </w:r>
      <w:r w:rsidR="00C026A6" w:rsidRPr="00EA59C0">
        <w:t xml:space="preserve"> </w:t>
      </w:r>
      <w:r w:rsidRPr="00EA59C0">
        <w:t>learning</w:t>
      </w:r>
      <w:r w:rsidR="00C026A6" w:rsidRPr="00EA59C0">
        <w:t xml:space="preserve"> </w:t>
      </w:r>
      <w:r w:rsidRPr="00EA59C0">
        <w:t>materials</w:t>
      </w:r>
      <w:r w:rsidR="00C026A6" w:rsidRPr="00EA59C0">
        <w:t xml:space="preserve"> </w:t>
      </w:r>
      <w:r w:rsidRPr="00EA59C0">
        <w:t>created</w:t>
      </w:r>
      <w:r w:rsidR="00C026A6" w:rsidRPr="00EA59C0">
        <w:t xml:space="preserve"> </w:t>
      </w:r>
      <w:r w:rsidRPr="00EA59C0">
        <w:t>by</w:t>
      </w:r>
      <w:r w:rsidR="00C026A6" w:rsidRPr="00EA59C0">
        <w:t xml:space="preserve"> </w:t>
      </w:r>
      <w:r w:rsidRPr="00EA59C0">
        <w:t>these</w:t>
      </w:r>
      <w:r w:rsidR="00C026A6" w:rsidRPr="00EA59C0">
        <w:t xml:space="preserve"> </w:t>
      </w:r>
      <w:r w:rsidRPr="00EA59C0">
        <w:t>projects.</w:t>
      </w:r>
    </w:p>
    <w:p w:rsidR="00E55EBD" w:rsidRPr="00EA59C0" w:rsidRDefault="00E55EBD" w:rsidP="00C072FA">
      <w:pPr>
        <w:ind w:left="1080"/>
      </w:pPr>
    </w:p>
    <w:p w:rsidR="00723848" w:rsidRPr="00EA59C0" w:rsidRDefault="00723848" w:rsidP="00C072FA">
      <w:pPr>
        <w:ind w:left="1080"/>
      </w:pPr>
      <w:r w:rsidRPr="00EA59C0">
        <w:t>Applicants</w:t>
      </w:r>
      <w:r w:rsidR="00C026A6" w:rsidRPr="00EA59C0">
        <w:t xml:space="preserve"> </w:t>
      </w:r>
      <w:r w:rsidRPr="00EA59C0">
        <w:t>may</w:t>
      </w:r>
      <w:r w:rsidR="00C026A6" w:rsidRPr="00EA59C0">
        <w:t xml:space="preserve"> </w:t>
      </w:r>
      <w:r w:rsidRPr="00EA59C0">
        <w:t>propose</w:t>
      </w:r>
      <w:r w:rsidR="00C026A6" w:rsidRPr="00EA59C0">
        <w:t xml:space="preserve"> </w:t>
      </w:r>
      <w:r w:rsidRPr="00EA59C0">
        <w:t>to</w:t>
      </w:r>
      <w:r w:rsidR="00C026A6" w:rsidRPr="00EA59C0">
        <w:t xml:space="preserve"> </w:t>
      </w:r>
      <w:r w:rsidRPr="00EA59C0">
        <w:t>procure</w:t>
      </w:r>
      <w:r w:rsidR="00C026A6" w:rsidRPr="00EA59C0">
        <w:t xml:space="preserve"> </w:t>
      </w:r>
      <w:r w:rsidRPr="00EA59C0">
        <w:t>from</w:t>
      </w:r>
      <w:r w:rsidR="00C026A6" w:rsidRPr="00EA59C0">
        <w:t xml:space="preserve"> </w:t>
      </w:r>
      <w:r w:rsidRPr="00EA59C0">
        <w:t>outside</w:t>
      </w:r>
      <w:r w:rsidR="00C026A6" w:rsidRPr="00EA59C0">
        <w:t xml:space="preserve"> </w:t>
      </w:r>
      <w:r w:rsidRPr="00EA59C0">
        <w:t>organizations</w:t>
      </w:r>
      <w:r w:rsidR="00C026A6" w:rsidRPr="00EA59C0">
        <w:t xml:space="preserve"> </w:t>
      </w:r>
      <w:r w:rsidRPr="00EA59C0">
        <w:t>or</w:t>
      </w:r>
      <w:r w:rsidR="00C026A6" w:rsidRPr="00EA59C0">
        <w:t xml:space="preserve"> </w:t>
      </w:r>
      <w:r w:rsidRPr="00EA59C0">
        <w:t>individuals</w:t>
      </w:r>
      <w:r w:rsidR="00C026A6" w:rsidRPr="00EA59C0">
        <w:t xml:space="preserve"> </w:t>
      </w:r>
      <w:r w:rsidRPr="00EA59C0">
        <w:t>goods</w:t>
      </w:r>
      <w:r w:rsidR="00C026A6" w:rsidRPr="00EA59C0">
        <w:t xml:space="preserve"> </w:t>
      </w:r>
      <w:r w:rsidRPr="00EA59C0">
        <w:t>or</w:t>
      </w:r>
      <w:r w:rsidR="00C026A6" w:rsidRPr="00EA59C0">
        <w:t xml:space="preserve"> </w:t>
      </w:r>
      <w:r w:rsidRPr="00EA59C0">
        <w:t>services</w:t>
      </w:r>
      <w:r w:rsidR="00C026A6" w:rsidRPr="00EA59C0">
        <w:t xml:space="preserve"> </w:t>
      </w:r>
      <w:r w:rsidRPr="00EA59C0">
        <w:t>that</w:t>
      </w:r>
      <w:r w:rsidR="00C026A6" w:rsidRPr="00EA59C0">
        <w:t xml:space="preserve"> </w:t>
      </w:r>
      <w:r w:rsidRPr="00EA59C0">
        <w:t>are</w:t>
      </w:r>
      <w:r w:rsidR="00C026A6" w:rsidRPr="00EA59C0">
        <w:t xml:space="preserve"> </w:t>
      </w:r>
      <w:r w:rsidRPr="00EA59C0">
        <w:t>ancillary</w:t>
      </w:r>
      <w:r w:rsidR="00C026A6" w:rsidRPr="00EA59C0">
        <w:t xml:space="preserve"> </w:t>
      </w:r>
      <w:r w:rsidRPr="00EA59C0">
        <w:t>or</w:t>
      </w:r>
      <w:r w:rsidR="00C026A6" w:rsidRPr="00EA59C0">
        <w:t xml:space="preserve"> </w:t>
      </w:r>
      <w:r w:rsidRPr="00EA59C0">
        <w:t>supportive</w:t>
      </w:r>
      <w:r w:rsidR="00C026A6" w:rsidRPr="00EA59C0">
        <w:t xml:space="preserve"> </w:t>
      </w:r>
      <w:r w:rsidRPr="00EA59C0">
        <w:t>of</w:t>
      </w:r>
      <w:r w:rsidR="00C026A6" w:rsidRPr="00EA59C0">
        <w:t xml:space="preserve"> </w:t>
      </w:r>
      <w:r w:rsidRPr="00EA59C0">
        <w:t>the</w:t>
      </w:r>
      <w:r w:rsidR="00C026A6" w:rsidRPr="00EA59C0">
        <w:t xml:space="preserve"> </w:t>
      </w:r>
      <w:r w:rsidRPr="00EA59C0">
        <w:t>applicant’s</w:t>
      </w:r>
      <w:r w:rsidR="00C026A6" w:rsidRPr="00EA59C0">
        <w:t xml:space="preserve"> </w:t>
      </w:r>
      <w:r w:rsidRPr="00EA59C0">
        <w:t>project</w:t>
      </w:r>
      <w:r w:rsidR="00C026A6" w:rsidRPr="00EA59C0">
        <w:t xml:space="preserve"> </w:t>
      </w:r>
      <w:r w:rsidRPr="00EA59C0">
        <w:t>workplan.</w:t>
      </w:r>
      <w:r w:rsidR="00C026A6" w:rsidRPr="00EA59C0">
        <w:t xml:space="preserve">  </w:t>
      </w:r>
      <w:r w:rsidR="003B76C8" w:rsidRPr="00EA59C0">
        <w:t>T</w:t>
      </w:r>
      <w:r w:rsidRPr="00EA59C0">
        <w:t>hese</w:t>
      </w:r>
      <w:r w:rsidR="00C026A6" w:rsidRPr="00EA59C0">
        <w:t xml:space="preserve"> </w:t>
      </w:r>
      <w:r w:rsidRPr="00EA59C0">
        <w:t>activities</w:t>
      </w:r>
      <w:r w:rsidR="00C026A6" w:rsidRPr="00EA59C0">
        <w:t xml:space="preserve"> </w:t>
      </w:r>
      <w:r w:rsidRPr="00EA59C0">
        <w:t>may</w:t>
      </w:r>
      <w:r w:rsidR="00C026A6" w:rsidRPr="00EA59C0">
        <w:t xml:space="preserve"> </w:t>
      </w:r>
      <w:r w:rsidRPr="00EA59C0">
        <w:t>be</w:t>
      </w:r>
      <w:r w:rsidR="00C026A6" w:rsidRPr="00EA59C0">
        <w:t xml:space="preserve"> </w:t>
      </w:r>
      <w:r w:rsidRPr="00EA59C0">
        <w:t>implemented</w:t>
      </w:r>
      <w:r w:rsidR="00C026A6" w:rsidRPr="00EA59C0">
        <w:t xml:space="preserve"> </w:t>
      </w:r>
      <w:r w:rsidRPr="00EA59C0">
        <w:t>through</w:t>
      </w:r>
      <w:r w:rsidR="00C026A6" w:rsidRPr="00EA59C0">
        <w:t xml:space="preserve"> </w:t>
      </w:r>
      <w:r w:rsidRPr="00EA59C0">
        <w:t>a</w:t>
      </w:r>
      <w:r w:rsidR="00C026A6" w:rsidRPr="00EA59C0">
        <w:t xml:space="preserve"> </w:t>
      </w:r>
      <w:r w:rsidRPr="00EA59C0">
        <w:t>contract,</w:t>
      </w:r>
      <w:r w:rsidR="00C026A6" w:rsidRPr="00EA59C0">
        <w:t xml:space="preserve"> </w:t>
      </w:r>
      <w:r w:rsidRPr="00EA59C0">
        <w:t>and</w:t>
      </w:r>
      <w:r w:rsidR="00C026A6" w:rsidRPr="00EA59C0">
        <w:t xml:space="preserve"> </w:t>
      </w:r>
      <w:r w:rsidRPr="00EA59C0">
        <w:t>must</w:t>
      </w:r>
      <w:r w:rsidR="00C026A6" w:rsidRPr="00EA59C0">
        <w:t xml:space="preserve"> </w:t>
      </w:r>
      <w:r w:rsidRPr="00EA59C0">
        <w:t>follow</w:t>
      </w:r>
      <w:r w:rsidR="00C026A6" w:rsidRPr="00EA59C0">
        <w:t xml:space="preserve"> </w:t>
      </w:r>
      <w:r w:rsidRPr="00EA59C0">
        <w:t>all</w:t>
      </w:r>
      <w:r w:rsidR="00C026A6" w:rsidRPr="00EA59C0">
        <w:t xml:space="preserve"> </w:t>
      </w:r>
      <w:r w:rsidRPr="00EA59C0">
        <w:t>procurement</w:t>
      </w:r>
      <w:r w:rsidR="00C026A6" w:rsidRPr="00EA59C0">
        <w:t xml:space="preserve"> </w:t>
      </w:r>
      <w:r w:rsidRPr="00EA59C0">
        <w:t>requirements.</w:t>
      </w:r>
      <w:r w:rsidR="00C026A6" w:rsidRPr="00EA59C0">
        <w:t xml:space="preserve">  </w:t>
      </w:r>
      <w:r w:rsidRPr="00EA59C0">
        <w:t>Please</w:t>
      </w:r>
      <w:r w:rsidR="00C026A6" w:rsidRPr="00EA59C0">
        <w:t xml:space="preserve"> </w:t>
      </w:r>
      <w:r w:rsidRPr="00EA59C0">
        <w:t>refer</w:t>
      </w:r>
      <w:r w:rsidR="00C026A6" w:rsidRPr="00EA59C0">
        <w:t xml:space="preserve"> </w:t>
      </w:r>
      <w:r w:rsidRPr="00EA59C0">
        <w:t>to</w:t>
      </w:r>
      <w:r w:rsidR="00C026A6" w:rsidRPr="00EA59C0">
        <w:t xml:space="preserve"> </w:t>
      </w:r>
      <w:r w:rsidRPr="00EA59C0">
        <w:t>procurement</w:t>
      </w:r>
      <w:r w:rsidR="00C026A6" w:rsidRPr="00EA59C0">
        <w:t xml:space="preserve"> </w:t>
      </w:r>
      <w:r w:rsidRPr="00EA59C0">
        <w:t>information</w:t>
      </w:r>
      <w:r w:rsidR="00C026A6" w:rsidRPr="00EA59C0">
        <w:t xml:space="preserve"> </w:t>
      </w:r>
      <w:r w:rsidRPr="00EA59C0">
        <w:t>in</w:t>
      </w:r>
      <w:r w:rsidR="00C026A6" w:rsidRPr="00EA59C0">
        <w:t xml:space="preserve"> </w:t>
      </w:r>
      <w:r w:rsidRPr="00EA59C0">
        <w:t>Section</w:t>
      </w:r>
      <w:r w:rsidR="00C026A6" w:rsidRPr="00EA59C0">
        <w:t xml:space="preserve"> </w:t>
      </w:r>
      <w:r w:rsidRPr="00EA59C0">
        <w:t>VI.B.3</w:t>
      </w:r>
      <w:r w:rsidR="00C026A6" w:rsidRPr="00EA59C0">
        <w:t xml:space="preserve"> </w:t>
      </w:r>
      <w:r w:rsidRPr="00EA59C0">
        <w:t>for</w:t>
      </w:r>
      <w:r w:rsidR="00C026A6" w:rsidRPr="00EA59C0">
        <w:t xml:space="preserve"> </w:t>
      </w:r>
      <w:r w:rsidRPr="00EA59C0">
        <w:t>more</w:t>
      </w:r>
      <w:r w:rsidR="00C026A6" w:rsidRPr="00EA59C0">
        <w:t xml:space="preserve"> </w:t>
      </w:r>
      <w:r w:rsidRPr="00EA59C0">
        <w:t>information.</w:t>
      </w:r>
      <w:r w:rsidR="00C026A6" w:rsidRPr="00EA59C0">
        <w:t xml:space="preserve">  </w:t>
      </w:r>
    </w:p>
    <w:p w:rsidR="00C07325" w:rsidRPr="00EA59C0" w:rsidRDefault="00C07325" w:rsidP="00C072FA">
      <w:pPr>
        <w:ind w:left="1080"/>
      </w:pPr>
    </w:p>
    <w:p w:rsidR="0046767F" w:rsidRPr="00EA59C0" w:rsidRDefault="0046767F" w:rsidP="004913DF">
      <w:pPr>
        <w:pStyle w:val="Heading1"/>
        <w:numPr>
          <w:ilvl w:val="2"/>
          <w:numId w:val="17"/>
        </w:numPr>
        <w:spacing w:line="240" w:lineRule="auto"/>
        <w:rPr>
          <w:rFonts w:ascii="Times New Roman" w:hAnsi="Times New Roman"/>
          <w:b w:val="0"/>
        </w:rPr>
      </w:pPr>
      <w:r w:rsidRPr="00EA59C0">
        <w:rPr>
          <w:rFonts w:ascii="Times New Roman" w:hAnsi="Times New Roman"/>
          <w:b w:val="0"/>
        </w:rPr>
        <w:t>Intellectual</w:t>
      </w:r>
      <w:r w:rsidR="00C026A6" w:rsidRPr="00EA59C0">
        <w:rPr>
          <w:rFonts w:ascii="Times New Roman" w:hAnsi="Times New Roman"/>
          <w:b w:val="0"/>
        </w:rPr>
        <w:t xml:space="preserve"> </w:t>
      </w:r>
      <w:r w:rsidRPr="00EA59C0">
        <w:rPr>
          <w:rFonts w:ascii="Times New Roman" w:hAnsi="Times New Roman"/>
          <w:b w:val="0"/>
        </w:rPr>
        <w:t>Property</w:t>
      </w:r>
      <w:r w:rsidR="00C026A6" w:rsidRPr="00EA59C0">
        <w:rPr>
          <w:rFonts w:ascii="Times New Roman" w:hAnsi="Times New Roman"/>
          <w:b w:val="0"/>
        </w:rPr>
        <w:t xml:space="preserve"> </w:t>
      </w:r>
      <w:r w:rsidRPr="00EA59C0">
        <w:rPr>
          <w:rFonts w:ascii="Times New Roman" w:hAnsi="Times New Roman"/>
          <w:b w:val="0"/>
        </w:rPr>
        <w:t>Requirements</w:t>
      </w:r>
    </w:p>
    <w:p w:rsidR="00E55EBD" w:rsidRPr="00EA59C0" w:rsidRDefault="00E55EBD" w:rsidP="00C072FA">
      <w:pPr>
        <w:ind w:left="1080"/>
      </w:pPr>
      <w:r w:rsidRPr="00EA59C0">
        <w:t>To</w:t>
      </w:r>
      <w:r w:rsidR="00C026A6" w:rsidRPr="00EA59C0">
        <w:t xml:space="preserve"> </w:t>
      </w:r>
      <w:r w:rsidRPr="00EA59C0">
        <w:t>ensure</w:t>
      </w:r>
      <w:r w:rsidR="00C026A6" w:rsidRPr="00EA59C0">
        <w:t xml:space="preserve"> </w:t>
      </w:r>
      <w:r w:rsidRPr="00EA59C0">
        <w:t>that</w:t>
      </w:r>
      <w:r w:rsidR="00C026A6" w:rsidRPr="00EA59C0">
        <w:t xml:space="preserve"> </w:t>
      </w:r>
      <w:r w:rsidRPr="00EA59C0">
        <w:t>the</w:t>
      </w:r>
      <w:r w:rsidR="00C026A6" w:rsidRPr="00EA59C0">
        <w:t xml:space="preserve"> </w:t>
      </w:r>
      <w:r w:rsidRPr="00EA59C0">
        <w:t>Federal</w:t>
      </w:r>
      <w:r w:rsidR="00C026A6" w:rsidRPr="00EA59C0">
        <w:t xml:space="preserve"> </w:t>
      </w:r>
      <w:r w:rsidRPr="00EA59C0">
        <w:t>investment</w:t>
      </w:r>
      <w:r w:rsidR="00C026A6" w:rsidRPr="00EA59C0">
        <w:t xml:space="preserve"> </w:t>
      </w:r>
      <w:r w:rsidRPr="00EA59C0">
        <w:t>of</w:t>
      </w:r>
      <w:r w:rsidR="00C026A6" w:rsidRPr="00EA59C0">
        <w:t xml:space="preserve"> </w:t>
      </w:r>
      <w:r w:rsidRPr="00EA59C0">
        <w:t>these</w:t>
      </w:r>
      <w:r w:rsidR="00C026A6" w:rsidRPr="00EA59C0">
        <w:t xml:space="preserve"> </w:t>
      </w:r>
      <w:r w:rsidRPr="00EA59C0">
        <w:t>funds</w:t>
      </w:r>
      <w:r w:rsidR="00C026A6" w:rsidRPr="00EA59C0">
        <w:t xml:space="preserve"> </w:t>
      </w:r>
      <w:r w:rsidRPr="00EA59C0">
        <w:t>has</w:t>
      </w:r>
      <w:r w:rsidR="00C026A6" w:rsidRPr="00EA59C0">
        <w:t xml:space="preserve"> </w:t>
      </w:r>
      <w:r w:rsidRPr="00EA59C0">
        <w:t>as</w:t>
      </w:r>
      <w:r w:rsidR="00C026A6" w:rsidRPr="00EA59C0">
        <w:t xml:space="preserve"> </w:t>
      </w:r>
      <w:r w:rsidRPr="00EA59C0">
        <w:t>broad</w:t>
      </w:r>
      <w:r w:rsidR="00C026A6" w:rsidRPr="00EA59C0">
        <w:t xml:space="preserve"> </w:t>
      </w:r>
      <w:r w:rsidRPr="00EA59C0">
        <w:t>an</w:t>
      </w:r>
      <w:r w:rsidR="00C026A6" w:rsidRPr="00EA59C0">
        <w:t xml:space="preserve"> </w:t>
      </w:r>
      <w:r w:rsidRPr="00EA59C0">
        <w:t>impact</w:t>
      </w:r>
      <w:r w:rsidR="00C026A6" w:rsidRPr="00EA59C0">
        <w:t xml:space="preserve"> </w:t>
      </w:r>
      <w:r w:rsidRPr="00EA59C0">
        <w:t>as</w:t>
      </w:r>
      <w:r w:rsidR="00C026A6" w:rsidRPr="00EA59C0">
        <w:t xml:space="preserve"> </w:t>
      </w:r>
      <w:r w:rsidRPr="00EA59C0">
        <w:t>possible</w:t>
      </w:r>
      <w:r w:rsidR="00C026A6" w:rsidRPr="00EA59C0">
        <w:t xml:space="preserve"> </w:t>
      </w:r>
      <w:r w:rsidRPr="00EA59C0">
        <w:t>and</w:t>
      </w:r>
      <w:r w:rsidR="00C026A6" w:rsidRPr="00EA59C0">
        <w:t xml:space="preserve"> </w:t>
      </w:r>
      <w:r w:rsidRPr="00EA59C0">
        <w:t>to</w:t>
      </w:r>
      <w:r w:rsidR="00C026A6" w:rsidRPr="00EA59C0">
        <w:t xml:space="preserve"> </w:t>
      </w:r>
      <w:r w:rsidRPr="00EA59C0">
        <w:t>encourage</w:t>
      </w:r>
      <w:r w:rsidR="00C026A6" w:rsidRPr="00EA59C0">
        <w:t xml:space="preserve"> </w:t>
      </w:r>
      <w:r w:rsidRPr="00EA59C0">
        <w:t>innovation</w:t>
      </w:r>
      <w:r w:rsidR="00C026A6" w:rsidRPr="00EA59C0">
        <w:t xml:space="preserve"> </w:t>
      </w:r>
      <w:r w:rsidRPr="00EA59C0">
        <w:t>in</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of</w:t>
      </w:r>
      <w:r w:rsidR="00C026A6" w:rsidRPr="00EA59C0">
        <w:t xml:space="preserve"> </w:t>
      </w:r>
      <w:r w:rsidRPr="00EA59C0">
        <w:t>new</w:t>
      </w:r>
      <w:r w:rsidR="00C026A6" w:rsidRPr="00EA59C0">
        <w:t xml:space="preserve"> </w:t>
      </w:r>
      <w:r w:rsidRPr="00EA59C0">
        <w:t>learning</w:t>
      </w:r>
      <w:r w:rsidR="00C026A6" w:rsidRPr="00EA59C0">
        <w:t xml:space="preserve"> </w:t>
      </w:r>
      <w:r w:rsidRPr="00EA59C0">
        <w:t>materials,</w:t>
      </w:r>
      <w:r w:rsidR="00C026A6" w:rsidRPr="00EA59C0">
        <w:t xml:space="preserve"> </w:t>
      </w:r>
      <w:r w:rsidRPr="00EA59C0">
        <w:t>as</w:t>
      </w:r>
      <w:r w:rsidR="00C026A6" w:rsidRPr="00EA59C0">
        <w:t xml:space="preserve"> </w:t>
      </w:r>
      <w:r w:rsidRPr="00EA59C0">
        <w:t>a</w:t>
      </w:r>
      <w:r w:rsidR="00C026A6" w:rsidRPr="00EA59C0">
        <w:t xml:space="preserve"> </w:t>
      </w:r>
      <w:r w:rsidRPr="00EA59C0">
        <w:t>condition</w:t>
      </w:r>
      <w:r w:rsidR="00C026A6" w:rsidRPr="00EA59C0">
        <w:t xml:space="preserve"> </w:t>
      </w:r>
      <w:r w:rsidRPr="00EA59C0">
        <w:t>of</w:t>
      </w:r>
      <w:r w:rsidR="00C026A6" w:rsidRPr="00EA59C0">
        <w:t xml:space="preserve"> </w:t>
      </w:r>
      <w:r w:rsidRPr="00EA59C0">
        <w:t>the</w:t>
      </w:r>
      <w:r w:rsidR="00C026A6" w:rsidRPr="00EA59C0">
        <w:t xml:space="preserve"> </w:t>
      </w:r>
      <w:r w:rsidRPr="00EA59C0">
        <w:t>receipt</w:t>
      </w:r>
      <w:r w:rsidR="00C026A6" w:rsidRPr="00EA59C0">
        <w:t xml:space="preserve"> </w:t>
      </w:r>
      <w:r w:rsidRPr="00EA59C0">
        <w:t>of</w:t>
      </w:r>
      <w:r w:rsidR="00C026A6" w:rsidRPr="00EA59C0">
        <w:t xml:space="preserve"> </w:t>
      </w:r>
      <w:r w:rsidRPr="00EA59C0">
        <w:t>a</w:t>
      </w:r>
      <w:r w:rsidR="00C026A6" w:rsidRPr="00EA59C0">
        <w:t xml:space="preserve"> </w:t>
      </w:r>
      <w:r w:rsidRPr="00EA59C0">
        <w:t>TAACCCT</w:t>
      </w:r>
      <w:r w:rsidR="00C026A6" w:rsidRPr="00EA59C0">
        <w:t xml:space="preserve"> </w:t>
      </w:r>
      <w:r w:rsidRPr="00EA59C0">
        <w:t>grant,</w:t>
      </w:r>
      <w:r w:rsidR="00C026A6" w:rsidRPr="00EA59C0">
        <w:t xml:space="preserve"> </w:t>
      </w:r>
      <w:r w:rsidRPr="00EA59C0">
        <w:t>the</w:t>
      </w:r>
      <w:r w:rsidR="00C026A6" w:rsidRPr="00EA59C0">
        <w:t xml:space="preserve"> </w:t>
      </w:r>
      <w:r w:rsidRPr="00EA59C0">
        <w:t>grantee</w:t>
      </w:r>
      <w:r w:rsidR="00C026A6" w:rsidRPr="00EA59C0">
        <w:t xml:space="preserve"> </w:t>
      </w:r>
      <w:r w:rsidRPr="00EA59C0">
        <w:t>will</w:t>
      </w:r>
      <w:r w:rsidR="00C026A6" w:rsidRPr="00EA59C0">
        <w:t xml:space="preserve"> </w:t>
      </w:r>
      <w:r w:rsidRPr="00EA59C0">
        <w:t>be</w:t>
      </w:r>
      <w:r w:rsidR="00C026A6" w:rsidRPr="00EA59C0">
        <w:t xml:space="preserve"> </w:t>
      </w:r>
      <w:r w:rsidRPr="00EA59C0">
        <w:t>required</w:t>
      </w:r>
      <w:r w:rsidR="00C026A6" w:rsidRPr="00EA59C0">
        <w:t xml:space="preserve"> </w:t>
      </w:r>
      <w:r w:rsidRPr="00EA59C0">
        <w:t>to</w:t>
      </w:r>
      <w:r w:rsidR="00C026A6" w:rsidRPr="00EA59C0">
        <w:t xml:space="preserve"> </w:t>
      </w:r>
      <w:r w:rsidRPr="00EA59C0">
        <w:t>license</w:t>
      </w:r>
      <w:r w:rsidR="00C026A6" w:rsidRPr="00EA59C0">
        <w:t xml:space="preserve"> </w:t>
      </w:r>
      <w:r w:rsidRPr="00EA59C0">
        <w:t>to</w:t>
      </w:r>
      <w:r w:rsidR="00C026A6" w:rsidRPr="00EA59C0">
        <w:t xml:space="preserve"> </w:t>
      </w:r>
      <w:r w:rsidRPr="00EA59C0">
        <w:t>the</w:t>
      </w:r>
      <w:r w:rsidR="00C026A6" w:rsidRPr="00EA59C0">
        <w:t xml:space="preserve"> </w:t>
      </w:r>
      <w:r w:rsidRPr="00EA59C0">
        <w:t>public</w:t>
      </w:r>
      <w:r w:rsidR="00C026A6" w:rsidRPr="00EA59C0">
        <w:t xml:space="preserve"> </w:t>
      </w:r>
      <w:r w:rsidRPr="00EA59C0">
        <w:t>all</w:t>
      </w:r>
      <w:r w:rsidR="00C026A6" w:rsidRPr="00EA59C0">
        <w:t xml:space="preserve"> </w:t>
      </w:r>
      <w:r w:rsidRPr="00EA59C0">
        <w:t>work</w:t>
      </w:r>
      <w:r w:rsidR="00C026A6" w:rsidRPr="00EA59C0">
        <w:t xml:space="preserve"> </w:t>
      </w:r>
      <w:r w:rsidRPr="00EA59C0">
        <w:t>(except</w:t>
      </w:r>
      <w:r w:rsidR="00C026A6" w:rsidRPr="00EA59C0">
        <w:t xml:space="preserve"> </w:t>
      </w:r>
      <w:r w:rsidRPr="00EA59C0">
        <w:t>for</w:t>
      </w:r>
      <w:r w:rsidR="00C026A6" w:rsidRPr="00EA59C0">
        <w:t xml:space="preserve"> </w:t>
      </w:r>
      <w:r w:rsidRPr="00EA59C0">
        <w:t>computer</w:t>
      </w:r>
      <w:r w:rsidR="00C026A6" w:rsidRPr="00EA59C0">
        <w:t xml:space="preserve"> </w:t>
      </w:r>
      <w:r w:rsidRPr="00EA59C0">
        <w:t>software</w:t>
      </w:r>
      <w:r w:rsidR="00C026A6" w:rsidRPr="00EA59C0">
        <w:t xml:space="preserve"> </w:t>
      </w:r>
      <w:r w:rsidRPr="00EA59C0">
        <w:t>source</w:t>
      </w:r>
      <w:r w:rsidR="00C026A6" w:rsidRPr="00EA59C0">
        <w:t xml:space="preserve"> </w:t>
      </w:r>
      <w:r w:rsidRPr="00EA59C0">
        <w:t>code,</w:t>
      </w:r>
      <w:r w:rsidR="00C026A6" w:rsidRPr="00EA59C0">
        <w:t xml:space="preserve"> </w:t>
      </w:r>
      <w:r w:rsidRPr="00EA59C0">
        <w:t>discussed</w:t>
      </w:r>
      <w:r w:rsidR="00C026A6" w:rsidRPr="00EA59C0">
        <w:t xml:space="preserve"> </w:t>
      </w:r>
      <w:r w:rsidRPr="00EA59C0">
        <w:t>below)</w:t>
      </w:r>
      <w:r w:rsidR="00C026A6" w:rsidRPr="00EA59C0">
        <w:t xml:space="preserve"> </w:t>
      </w:r>
      <w:r w:rsidRPr="00EA59C0">
        <w:t>created</w:t>
      </w:r>
      <w:r w:rsidR="00C026A6" w:rsidRPr="00EA59C0">
        <w:t xml:space="preserve"> </w:t>
      </w:r>
      <w:r w:rsidRPr="00EA59C0">
        <w:t>with</w:t>
      </w:r>
      <w:r w:rsidR="00C026A6" w:rsidRPr="00EA59C0">
        <w:t xml:space="preserve"> </w:t>
      </w:r>
      <w:r w:rsidRPr="00EA59C0">
        <w:t>the</w:t>
      </w:r>
      <w:r w:rsidR="00C026A6" w:rsidRPr="00EA59C0">
        <w:t xml:space="preserve"> </w:t>
      </w:r>
      <w:r w:rsidRPr="00EA59C0">
        <w:t>support</w:t>
      </w:r>
      <w:r w:rsidR="00C026A6" w:rsidRPr="00EA59C0">
        <w:t xml:space="preserve"> </w:t>
      </w:r>
      <w:r w:rsidRPr="00EA59C0">
        <w:t>of</w:t>
      </w:r>
      <w:r w:rsidR="00C026A6" w:rsidRPr="00EA59C0">
        <w:t xml:space="preserve"> </w:t>
      </w:r>
      <w:r w:rsidRPr="00EA59C0">
        <w:t>the</w:t>
      </w:r>
      <w:r w:rsidR="00C026A6" w:rsidRPr="00EA59C0">
        <w:t xml:space="preserve"> </w:t>
      </w:r>
      <w:r w:rsidRPr="00EA59C0">
        <w:t>grant</w:t>
      </w:r>
      <w:r w:rsidR="00C026A6" w:rsidRPr="00EA59C0">
        <w:t xml:space="preserve"> </w:t>
      </w:r>
      <w:r w:rsidRPr="00EA59C0">
        <w:t>under</w:t>
      </w:r>
      <w:r w:rsidR="00C026A6" w:rsidRPr="00EA59C0">
        <w:t xml:space="preserve"> </w:t>
      </w:r>
      <w:r w:rsidRPr="00EA59C0">
        <w:t>a</w:t>
      </w:r>
      <w:r w:rsidR="00C026A6" w:rsidRPr="00EA59C0">
        <w:t xml:space="preserve"> </w:t>
      </w:r>
      <w:r w:rsidRPr="00EA59C0">
        <w:t>Creative</w:t>
      </w:r>
      <w:r w:rsidR="00C026A6" w:rsidRPr="00EA59C0">
        <w:t xml:space="preserve"> </w:t>
      </w:r>
      <w:r w:rsidRPr="00EA59C0">
        <w:t>Commons</w:t>
      </w:r>
      <w:r w:rsidR="00C026A6" w:rsidRPr="00EA59C0">
        <w:t xml:space="preserve"> </w:t>
      </w:r>
      <w:r w:rsidRPr="00EA59C0">
        <w:t>Attribution</w:t>
      </w:r>
      <w:r w:rsidR="00C026A6" w:rsidRPr="00EA59C0">
        <w:t xml:space="preserve"> </w:t>
      </w:r>
      <w:r w:rsidRPr="00EA59C0">
        <w:t>4.0</w:t>
      </w:r>
      <w:r w:rsidR="00C026A6" w:rsidRPr="00EA59C0">
        <w:t xml:space="preserve"> </w:t>
      </w:r>
      <w:r w:rsidRPr="00EA59C0">
        <w:t>(CC</w:t>
      </w:r>
      <w:r w:rsidR="00C026A6" w:rsidRPr="00EA59C0">
        <w:t xml:space="preserve"> </w:t>
      </w:r>
      <w:r w:rsidRPr="00EA59C0">
        <w:t>BY)</w:t>
      </w:r>
      <w:r w:rsidR="00C026A6" w:rsidRPr="00EA59C0">
        <w:t xml:space="preserve"> </w:t>
      </w:r>
      <w:r w:rsidRPr="00EA59C0">
        <w:t>license.</w:t>
      </w:r>
      <w:r w:rsidR="00C026A6" w:rsidRPr="00EA59C0">
        <w:t xml:space="preserve">  </w:t>
      </w:r>
      <w:r w:rsidRPr="00EA59C0">
        <w:t>Work</w:t>
      </w:r>
      <w:r w:rsidR="00C026A6" w:rsidRPr="00EA59C0">
        <w:t xml:space="preserve"> </w:t>
      </w:r>
      <w:r w:rsidRPr="00EA59C0">
        <w:t>that</w:t>
      </w:r>
      <w:r w:rsidR="00C026A6" w:rsidRPr="00EA59C0">
        <w:t xml:space="preserve"> </w:t>
      </w:r>
      <w:r w:rsidRPr="00EA59C0">
        <w:t>must</w:t>
      </w:r>
      <w:r w:rsidR="00C026A6" w:rsidRPr="00EA59C0">
        <w:t xml:space="preserve"> </w:t>
      </w:r>
      <w:r w:rsidRPr="00EA59C0">
        <w:t>be</w:t>
      </w:r>
      <w:r w:rsidR="00C026A6" w:rsidRPr="00EA59C0">
        <w:t xml:space="preserve"> </w:t>
      </w:r>
      <w:r w:rsidRPr="00EA59C0">
        <w:t>licensed</w:t>
      </w:r>
      <w:r w:rsidR="00C026A6" w:rsidRPr="00EA59C0">
        <w:t xml:space="preserve"> </w:t>
      </w:r>
      <w:r w:rsidRPr="00EA59C0">
        <w:t>under</w:t>
      </w:r>
      <w:r w:rsidR="00C026A6" w:rsidRPr="00EA59C0">
        <w:t xml:space="preserve"> </w:t>
      </w:r>
      <w:r w:rsidRPr="00EA59C0">
        <w:t>the</w:t>
      </w:r>
      <w:r w:rsidR="00C026A6" w:rsidRPr="00EA59C0">
        <w:t xml:space="preserve"> </w:t>
      </w:r>
      <w:r w:rsidRPr="00EA59C0">
        <w:t>CC</w:t>
      </w:r>
      <w:r w:rsidR="00C026A6" w:rsidRPr="00EA59C0">
        <w:t xml:space="preserve"> </w:t>
      </w:r>
      <w:r w:rsidRPr="00EA59C0">
        <w:t>BY</w:t>
      </w:r>
      <w:r w:rsidR="00C026A6" w:rsidRPr="00EA59C0">
        <w:t xml:space="preserve"> </w:t>
      </w:r>
      <w:r w:rsidRPr="00EA59C0">
        <w:t>includes</w:t>
      </w:r>
      <w:r w:rsidR="00C026A6" w:rsidRPr="00EA59C0">
        <w:t xml:space="preserve"> </w:t>
      </w:r>
      <w:r w:rsidRPr="00EA59C0">
        <w:t>both</w:t>
      </w:r>
      <w:r w:rsidR="00C026A6" w:rsidRPr="00EA59C0">
        <w:t xml:space="preserve"> </w:t>
      </w:r>
      <w:r w:rsidRPr="00EA59C0">
        <w:t>new</w:t>
      </w:r>
      <w:r w:rsidR="00C026A6" w:rsidRPr="00EA59C0">
        <w:t xml:space="preserve"> </w:t>
      </w:r>
      <w:r w:rsidRPr="00EA59C0">
        <w:t>content</w:t>
      </w:r>
      <w:r w:rsidR="00C026A6" w:rsidRPr="00EA59C0">
        <w:t xml:space="preserve"> </w:t>
      </w:r>
      <w:r w:rsidRPr="00EA59C0">
        <w:t>created</w:t>
      </w:r>
      <w:r w:rsidR="00C026A6" w:rsidRPr="00EA59C0">
        <w:t xml:space="preserve"> </w:t>
      </w:r>
      <w:r w:rsidRPr="00EA59C0">
        <w:t>with</w:t>
      </w:r>
      <w:r w:rsidR="00C026A6" w:rsidRPr="00EA59C0">
        <w:t xml:space="preserve"> </w:t>
      </w:r>
      <w:r w:rsidRPr="00EA59C0">
        <w:t>the</w:t>
      </w:r>
      <w:r w:rsidR="00C026A6" w:rsidRPr="00EA59C0">
        <w:t xml:space="preserve"> </w:t>
      </w:r>
      <w:r w:rsidRPr="00EA59C0">
        <w:t>grant</w:t>
      </w:r>
      <w:r w:rsidR="00C026A6" w:rsidRPr="00EA59C0">
        <w:t xml:space="preserve"> </w:t>
      </w:r>
      <w:r w:rsidRPr="00EA59C0">
        <w:t>funds</w:t>
      </w:r>
      <w:r w:rsidR="00C026A6" w:rsidRPr="00EA59C0">
        <w:t xml:space="preserve"> </w:t>
      </w:r>
      <w:r w:rsidRPr="00EA59C0">
        <w:t>and</w:t>
      </w:r>
      <w:r w:rsidR="00C026A6" w:rsidRPr="00EA59C0">
        <w:t xml:space="preserve"> </w:t>
      </w:r>
      <w:r w:rsidRPr="00EA59C0">
        <w:t>modifications</w:t>
      </w:r>
      <w:r w:rsidR="00C026A6" w:rsidRPr="00EA59C0">
        <w:t xml:space="preserve"> </w:t>
      </w:r>
      <w:r w:rsidRPr="00EA59C0">
        <w:t>made</w:t>
      </w:r>
      <w:r w:rsidR="00C026A6" w:rsidRPr="00EA59C0">
        <w:t xml:space="preserve"> </w:t>
      </w:r>
      <w:r w:rsidRPr="00EA59C0">
        <w:t>to</w:t>
      </w:r>
      <w:r w:rsidR="00C026A6" w:rsidRPr="00EA59C0">
        <w:t xml:space="preserve"> </w:t>
      </w:r>
      <w:r w:rsidRPr="00EA59C0">
        <w:t>pre-existing,</w:t>
      </w:r>
      <w:r w:rsidR="00C026A6" w:rsidRPr="00EA59C0">
        <w:t xml:space="preserve"> </w:t>
      </w:r>
      <w:r w:rsidRPr="00EA59C0">
        <w:t>grantee-owned</w:t>
      </w:r>
      <w:r w:rsidR="00C026A6" w:rsidRPr="00EA59C0">
        <w:t xml:space="preserve"> </w:t>
      </w:r>
      <w:r w:rsidRPr="00EA59C0">
        <w:t>content</w:t>
      </w:r>
      <w:r w:rsidR="00C026A6" w:rsidRPr="00EA59C0">
        <w:t xml:space="preserve"> </w:t>
      </w:r>
      <w:r w:rsidRPr="00EA59C0">
        <w:t>using</w:t>
      </w:r>
      <w:r w:rsidR="00C026A6" w:rsidRPr="00EA59C0">
        <w:t xml:space="preserve"> </w:t>
      </w:r>
      <w:r w:rsidRPr="00EA59C0">
        <w:t>grant</w:t>
      </w:r>
      <w:r w:rsidR="00C026A6" w:rsidRPr="00EA59C0">
        <w:t xml:space="preserve"> </w:t>
      </w:r>
      <w:r w:rsidRPr="00EA59C0">
        <w:t>funds.</w:t>
      </w:r>
      <w:r w:rsidR="00C026A6" w:rsidRPr="00EA59C0">
        <w:t xml:space="preserve"> </w:t>
      </w:r>
    </w:p>
    <w:p w:rsidR="00E55EBD" w:rsidRPr="00EA59C0" w:rsidRDefault="00E55EBD" w:rsidP="00C072FA">
      <w:pPr>
        <w:ind w:left="1080"/>
      </w:pPr>
    </w:p>
    <w:p w:rsidR="00E55EBD" w:rsidRPr="00EA59C0" w:rsidRDefault="00E55EBD" w:rsidP="00C072FA">
      <w:pPr>
        <w:ind w:left="1080"/>
      </w:pPr>
      <w:r w:rsidRPr="00EA59C0">
        <w:t>This</w:t>
      </w:r>
      <w:r w:rsidR="00C026A6" w:rsidRPr="00EA59C0">
        <w:t xml:space="preserve"> </w:t>
      </w:r>
      <w:r w:rsidRPr="00EA59C0">
        <w:t>license</w:t>
      </w:r>
      <w:r w:rsidR="00C026A6" w:rsidRPr="00EA59C0">
        <w:t xml:space="preserve"> </w:t>
      </w:r>
      <w:r w:rsidRPr="00EA59C0">
        <w:t>allows</w:t>
      </w:r>
      <w:r w:rsidR="00C026A6" w:rsidRPr="00EA59C0">
        <w:t xml:space="preserve"> </w:t>
      </w:r>
      <w:r w:rsidRPr="00EA59C0">
        <w:t>subsequent</w:t>
      </w:r>
      <w:r w:rsidR="00C026A6" w:rsidRPr="00EA59C0">
        <w:t xml:space="preserve"> </w:t>
      </w:r>
      <w:r w:rsidRPr="00EA59C0">
        <w:t>users</w:t>
      </w:r>
      <w:r w:rsidR="00C026A6" w:rsidRPr="00EA59C0">
        <w:t xml:space="preserve"> </w:t>
      </w:r>
      <w:r w:rsidRPr="00EA59C0">
        <w:t>to</w:t>
      </w:r>
      <w:r w:rsidR="00C026A6" w:rsidRPr="00EA59C0">
        <w:t xml:space="preserve"> </w:t>
      </w:r>
      <w:r w:rsidRPr="00EA59C0">
        <w:t>copy,</w:t>
      </w:r>
      <w:r w:rsidR="00C026A6" w:rsidRPr="00EA59C0">
        <w:t xml:space="preserve"> </w:t>
      </w:r>
      <w:r w:rsidRPr="00EA59C0">
        <w:t>distribute,</w:t>
      </w:r>
      <w:r w:rsidR="00C026A6" w:rsidRPr="00EA59C0">
        <w:t xml:space="preserve"> </w:t>
      </w:r>
      <w:r w:rsidRPr="00EA59C0">
        <w:t>transmit</w:t>
      </w:r>
      <w:r w:rsidR="008242D0" w:rsidRPr="00EA59C0">
        <w:t>,</w:t>
      </w:r>
      <w:r w:rsidR="00C026A6" w:rsidRPr="00EA59C0">
        <w:t xml:space="preserve"> </w:t>
      </w:r>
      <w:r w:rsidRPr="00EA59C0">
        <w:t>and</w:t>
      </w:r>
      <w:r w:rsidR="00C026A6" w:rsidRPr="00EA59C0">
        <w:t xml:space="preserve"> </w:t>
      </w:r>
      <w:r w:rsidRPr="00EA59C0">
        <w:t>adapt</w:t>
      </w:r>
      <w:r w:rsidR="00C026A6" w:rsidRPr="00EA59C0">
        <w:t xml:space="preserve"> </w:t>
      </w:r>
      <w:r w:rsidRPr="00EA59C0">
        <w:t>the</w:t>
      </w:r>
      <w:r w:rsidR="00C026A6" w:rsidRPr="00EA59C0">
        <w:t xml:space="preserve"> </w:t>
      </w:r>
      <w:r w:rsidRPr="00EA59C0">
        <w:t>copyrighted</w:t>
      </w:r>
      <w:r w:rsidR="00C026A6" w:rsidRPr="00EA59C0">
        <w:t xml:space="preserve"> </w:t>
      </w:r>
      <w:r w:rsidRPr="00EA59C0">
        <w:t>Work</w:t>
      </w:r>
      <w:r w:rsidR="00C026A6" w:rsidRPr="00EA59C0">
        <w:t xml:space="preserve"> </w:t>
      </w:r>
      <w:r w:rsidRPr="00EA59C0">
        <w:t>and</w:t>
      </w:r>
      <w:r w:rsidR="00C026A6" w:rsidRPr="00EA59C0">
        <w:t xml:space="preserve"> </w:t>
      </w:r>
      <w:r w:rsidRPr="00EA59C0">
        <w:t>requires</w:t>
      </w:r>
      <w:r w:rsidR="00C026A6" w:rsidRPr="00EA59C0">
        <w:t xml:space="preserve"> </w:t>
      </w:r>
      <w:r w:rsidRPr="00EA59C0">
        <w:t>such</w:t>
      </w:r>
      <w:r w:rsidR="00C026A6" w:rsidRPr="00EA59C0">
        <w:t xml:space="preserve"> </w:t>
      </w:r>
      <w:r w:rsidRPr="00EA59C0">
        <w:t>users</w:t>
      </w:r>
      <w:r w:rsidR="00C026A6" w:rsidRPr="00EA59C0">
        <w:t xml:space="preserve"> </w:t>
      </w:r>
      <w:r w:rsidRPr="00EA59C0">
        <w:t>to</w:t>
      </w:r>
      <w:r w:rsidR="00C026A6" w:rsidRPr="00EA59C0">
        <w:t xml:space="preserve"> </w:t>
      </w:r>
      <w:r w:rsidRPr="00EA59C0">
        <w:t>attribute</w:t>
      </w:r>
      <w:r w:rsidR="00C026A6" w:rsidRPr="00EA59C0">
        <w:t xml:space="preserve"> </w:t>
      </w:r>
      <w:r w:rsidRPr="00EA59C0">
        <w:t>the</w:t>
      </w:r>
      <w:r w:rsidR="00C026A6" w:rsidRPr="00EA59C0">
        <w:t xml:space="preserve"> </w:t>
      </w:r>
      <w:r w:rsidRPr="00EA59C0">
        <w:t>Work</w:t>
      </w:r>
      <w:r w:rsidR="00C026A6" w:rsidRPr="00EA59C0">
        <w:t xml:space="preserve"> </w:t>
      </w:r>
      <w:r w:rsidRPr="00EA59C0">
        <w:t>in</w:t>
      </w:r>
      <w:r w:rsidR="00C026A6" w:rsidRPr="00EA59C0">
        <w:t xml:space="preserve"> </w:t>
      </w:r>
      <w:r w:rsidRPr="00EA59C0">
        <w:t>the</w:t>
      </w:r>
      <w:r w:rsidR="00C026A6" w:rsidRPr="00EA59C0">
        <w:t xml:space="preserve"> </w:t>
      </w:r>
      <w:r w:rsidRPr="00EA59C0">
        <w:t>manner</w:t>
      </w:r>
      <w:r w:rsidR="00C026A6" w:rsidRPr="00EA59C0">
        <w:t xml:space="preserve"> </w:t>
      </w:r>
      <w:r w:rsidRPr="00EA59C0">
        <w:t>specified</w:t>
      </w:r>
      <w:r w:rsidR="00C026A6" w:rsidRPr="00EA59C0">
        <w:t xml:space="preserve"> </w:t>
      </w:r>
      <w:r w:rsidRPr="00EA59C0">
        <w:t>by</w:t>
      </w:r>
      <w:r w:rsidR="00C026A6" w:rsidRPr="00EA59C0">
        <w:t xml:space="preserve"> </w:t>
      </w:r>
      <w:r w:rsidRPr="00EA59C0">
        <w:t>the</w:t>
      </w:r>
      <w:r w:rsidR="00C026A6" w:rsidRPr="00EA59C0">
        <w:t xml:space="preserve"> </w:t>
      </w:r>
      <w:r w:rsidRPr="00EA59C0">
        <w:t>grantee.</w:t>
      </w:r>
      <w:r w:rsidR="00C026A6" w:rsidRPr="00EA59C0">
        <w:t xml:space="preserve">  </w:t>
      </w:r>
      <w:r w:rsidRPr="00EA59C0">
        <w:t>Notice</w:t>
      </w:r>
      <w:r w:rsidR="00C026A6" w:rsidRPr="00EA59C0">
        <w:t xml:space="preserve"> </w:t>
      </w:r>
      <w:r w:rsidRPr="00EA59C0">
        <w:t>of</w:t>
      </w:r>
      <w:r w:rsidR="00C026A6" w:rsidRPr="00EA59C0">
        <w:t xml:space="preserve"> </w:t>
      </w:r>
      <w:r w:rsidRPr="00EA59C0">
        <w:t>the</w:t>
      </w:r>
      <w:r w:rsidR="00C026A6" w:rsidRPr="00EA59C0">
        <w:t xml:space="preserve"> </w:t>
      </w:r>
      <w:r w:rsidRPr="00EA59C0">
        <w:t>license</w:t>
      </w:r>
      <w:r w:rsidR="00C026A6" w:rsidRPr="00EA59C0">
        <w:t xml:space="preserve"> </w:t>
      </w:r>
      <w:r w:rsidRPr="00EA59C0">
        <w:t>shall</w:t>
      </w:r>
      <w:r w:rsidR="00C026A6" w:rsidRPr="00EA59C0">
        <w:t xml:space="preserve"> </w:t>
      </w:r>
      <w:r w:rsidRPr="00EA59C0">
        <w:t>be</w:t>
      </w:r>
      <w:r w:rsidR="00C026A6" w:rsidRPr="00EA59C0">
        <w:t xml:space="preserve"> </w:t>
      </w:r>
      <w:r w:rsidRPr="00EA59C0">
        <w:t>affixed</w:t>
      </w:r>
      <w:r w:rsidR="00C026A6" w:rsidRPr="00EA59C0">
        <w:t xml:space="preserve"> </w:t>
      </w:r>
      <w:r w:rsidRPr="00EA59C0">
        <w:t>to</w:t>
      </w:r>
      <w:r w:rsidR="00C026A6" w:rsidRPr="00EA59C0">
        <w:t xml:space="preserve"> </w:t>
      </w:r>
      <w:r w:rsidRPr="00EA59C0">
        <w:t>the</w:t>
      </w:r>
      <w:r w:rsidR="00C026A6" w:rsidRPr="00EA59C0">
        <w:t xml:space="preserve"> </w:t>
      </w:r>
      <w:r w:rsidRPr="00EA59C0">
        <w:t>Work.</w:t>
      </w:r>
      <w:r w:rsidR="00C026A6" w:rsidRPr="00EA59C0">
        <w:t xml:space="preserve">  </w:t>
      </w:r>
      <w:r w:rsidRPr="00EA59C0">
        <w:t>For</w:t>
      </w:r>
      <w:r w:rsidR="00C026A6" w:rsidRPr="00EA59C0">
        <w:t xml:space="preserve"> </w:t>
      </w:r>
      <w:r w:rsidRPr="00EA59C0">
        <w:t>general</w:t>
      </w:r>
      <w:r w:rsidR="00C026A6" w:rsidRPr="00EA59C0">
        <w:t xml:space="preserve"> </w:t>
      </w:r>
      <w:r w:rsidRPr="00EA59C0">
        <w:t>information</w:t>
      </w:r>
      <w:r w:rsidR="00C026A6" w:rsidRPr="00EA59C0">
        <w:t xml:space="preserve"> </w:t>
      </w:r>
      <w:r w:rsidRPr="00EA59C0">
        <w:t>on</w:t>
      </w:r>
      <w:r w:rsidR="00C026A6" w:rsidRPr="00EA59C0">
        <w:t xml:space="preserve"> </w:t>
      </w:r>
      <w:r w:rsidRPr="00EA59C0">
        <w:t>CC</w:t>
      </w:r>
      <w:r w:rsidR="00C026A6" w:rsidRPr="00EA59C0">
        <w:t xml:space="preserve"> </w:t>
      </w:r>
      <w:r w:rsidRPr="00EA59C0">
        <w:t>BY,</w:t>
      </w:r>
      <w:r w:rsidR="00C026A6" w:rsidRPr="00EA59C0">
        <w:t xml:space="preserve"> </w:t>
      </w:r>
      <w:r w:rsidRPr="00EA59C0">
        <w:t>please</w:t>
      </w:r>
      <w:r w:rsidR="00C026A6" w:rsidRPr="00EA59C0">
        <w:t xml:space="preserve"> </w:t>
      </w:r>
      <w:r w:rsidRPr="00EA59C0">
        <w:t>visit</w:t>
      </w:r>
      <w:r w:rsidR="00C026A6" w:rsidRPr="00EA59C0">
        <w:t xml:space="preserve"> </w:t>
      </w:r>
      <w:hyperlink r:id="rId247" w:history="1">
        <w:r w:rsidR="00517C21" w:rsidRPr="00EA59C0">
          <w:rPr>
            <w:rStyle w:val="Hyperlink"/>
            <w:color w:val="auto"/>
          </w:rPr>
          <w:t>http://creativecommons.org/licenses/by/4.0</w:t>
        </w:r>
      </w:hyperlink>
      <w:r w:rsidR="00517C21" w:rsidRPr="00EA59C0">
        <w:t>.</w:t>
      </w:r>
      <w:r w:rsidR="00C026A6" w:rsidRPr="00EA59C0">
        <w:t xml:space="preserve">  </w:t>
      </w:r>
      <w:r w:rsidRPr="00EA59C0">
        <w:t>Instructions</w:t>
      </w:r>
      <w:r w:rsidR="00C026A6" w:rsidRPr="00EA59C0">
        <w:t xml:space="preserve"> </w:t>
      </w:r>
      <w:r w:rsidRPr="00EA59C0">
        <w:t>for</w:t>
      </w:r>
      <w:r w:rsidR="00C026A6" w:rsidRPr="00EA59C0">
        <w:t xml:space="preserve"> </w:t>
      </w:r>
      <w:r w:rsidRPr="00EA59C0">
        <w:t>marking</w:t>
      </w:r>
      <w:r w:rsidR="00C026A6" w:rsidRPr="00EA59C0">
        <w:t xml:space="preserve"> </w:t>
      </w:r>
      <w:r w:rsidRPr="00EA59C0">
        <w:t>your</w:t>
      </w:r>
      <w:r w:rsidR="00C026A6" w:rsidRPr="00EA59C0">
        <w:t xml:space="preserve"> </w:t>
      </w:r>
      <w:r w:rsidRPr="00EA59C0">
        <w:t>work</w:t>
      </w:r>
      <w:r w:rsidR="00C026A6" w:rsidRPr="00EA59C0">
        <w:t xml:space="preserve"> </w:t>
      </w:r>
      <w:r w:rsidRPr="00EA59C0">
        <w:t>with</w:t>
      </w:r>
      <w:r w:rsidR="00C026A6" w:rsidRPr="00EA59C0">
        <w:t xml:space="preserve"> </w:t>
      </w:r>
      <w:r w:rsidRPr="00EA59C0">
        <w:t>CC</w:t>
      </w:r>
      <w:r w:rsidR="00C026A6" w:rsidRPr="00EA59C0">
        <w:t xml:space="preserve"> </w:t>
      </w:r>
      <w:r w:rsidRPr="00EA59C0">
        <w:t>BY</w:t>
      </w:r>
      <w:r w:rsidR="00C026A6" w:rsidRPr="00EA59C0">
        <w:t xml:space="preserve"> </w:t>
      </w:r>
      <w:r w:rsidRPr="00EA59C0">
        <w:t>can</w:t>
      </w:r>
      <w:r w:rsidR="00C026A6" w:rsidRPr="00EA59C0">
        <w:t xml:space="preserve"> </w:t>
      </w:r>
      <w:r w:rsidRPr="00EA59C0">
        <w:t>be</w:t>
      </w:r>
      <w:r w:rsidR="00C026A6" w:rsidRPr="00EA59C0">
        <w:t xml:space="preserve"> </w:t>
      </w:r>
      <w:r w:rsidRPr="00EA59C0">
        <w:t>found</w:t>
      </w:r>
      <w:r w:rsidR="00C026A6" w:rsidRPr="00EA59C0">
        <w:t xml:space="preserve"> </w:t>
      </w:r>
      <w:r w:rsidRPr="00EA59C0">
        <w:t>at</w:t>
      </w:r>
      <w:r w:rsidR="00C026A6" w:rsidRPr="00EA59C0">
        <w:t xml:space="preserve"> </w:t>
      </w:r>
      <w:hyperlink r:id="rId248" w:history="1">
        <w:r w:rsidR="00517C21" w:rsidRPr="00EA59C0">
          <w:rPr>
            <w:rStyle w:val="Hyperlink"/>
            <w:color w:val="auto"/>
          </w:rPr>
          <w:t>http://wiki.creativecommons.org/Marking_your_work_with_a_CC_license</w:t>
        </w:r>
      </w:hyperlink>
      <w:r w:rsidR="00517C21" w:rsidRPr="00EA59C0">
        <w:t>.</w:t>
      </w:r>
      <w:r w:rsidR="00C026A6" w:rsidRPr="00EA59C0">
        <w:t xml:space="preserve">  </w:t>
      </w:r>
      <w:r w:rsidRPr="00EA59C0">
        <w:t>Questions</w:t>
      </w:r>
      <w:r w:rsidR="00C026A6" w:rsidRPr="00EA59C0">
        <w:t xml:space="preserve"> </w:t>
      </w:r>
      <w:r w:rsidRPr="00EA59C0">
        <w:t>about</w:t>
      </w:r>
      <w:r w:rsidR="00C026A6" w:rsidRPr="00EA59C0">
        <w:t xml:space="preserve"> </w:t>
      </w:r>
      <w:r w:rsidRPr="00EA59C0">
        <w:t>CC</w:t>
      </w:r>
      <w:r w:rsidR="00C026A6" w:rsidRPr="00EA59C0">
        <w:t xml:space="preserve"> </w:t>
      </w:r>
      <w:r w:rsidRPr="00EA59C0">
        <w:t>BY</w:t>
      </w:r>
      <w:r w:rsidR="00C026A6" w:rsidRPr="00EA59C0">
        <w:t xml:space="preserve"> </w:t>
      </w:r>
      <w:r w:rsidRPr="00EA59C0">
        <w:t>as</w:t>
      </w:r>
      <w:r w:rsidR="00C026A6" w:rsidRPr="00EA59C0">
        <w:t xml:space="preserve"> </w:t>
      </w:r>
      <w:r w:rsidRPr="00EA59C0">
        <w:t>it</w:t>
      </w:r>
      <w:r w:rsidR="00C026A6" w:rsidRPr="00EA59C0">
        <w:t xml:space="preserve"> </w:t>
      </w:r>
      <w:r w:rsidRPr="00EA59C0">
        <w:t>applies</w:t>
      </w:r>
      <w:r w:rsidR="00C026A6" w:rsidRPr="00EA59C0">
        <w:t xml:space="preserve"> </w:t>
      </w:r>
      <w:r w:rsidRPr="00EA59C0">
        <w:t>to</w:t>
      </w:r>
      <w:r w:rsidR="00C026A6" w:rsidRPr="00EA59C0">
        <w:t xml:space="preserve"> </w:t>
      </w:r>
      <w:r w:rsidRPr="00EA59C0">
        <w:t>specific</w:t>
      </w:r>
      <w:r w:rsidR="00C026A6" w:rsidRPr="00EA59C0">
        <w:t xml:space="preserve"> </w:t>
      </w:r>
      <w:r w:rsidRPr="00EA59C0">
        <w:t>TAACCCT</w:t>
      </w:r>
      <w:r w:rsidR="00C026A6" w:rsidRPr="00EA59C0">
        <w:t xml:space="preserve"> </w:t>
      </w:r>
      <w:r w:rsidRPr="00EA59C0">
        <w:t>grant</w:t>
      </w:r>
      <w:r w:rsidR="00C026A6" w:rsidRPr="00EA59C0">
        <w:t xml:space="preserve"> </w:t>
      </w:r>
      <w:r w:rsidRPr="00EA59C0">
        <w:t>applications</w:t>
      </w:r>
      <w:r w:rsidR="00C026A6" w:rsidRPr="00EA59C0">
        <w:t xml:space="preserve"> </w:t>
      </w:r>
      <w:r w:rsidRPr="00EA59C0">
        <w:t>should</w:t>
      </w:r>
      <w:r w:rsidR="00C026A6" w:rsidRPr="00EA59C0">
        <w:t xml:space="preserve"> </w:t>
      </w:r>
      <w:r w:rsidRPr="00EA59C0">
        <w:t>be</w:t>
      </w:r>
      <w:r w:rsidR="00C026A6" w:rsidRPr="00EA59C0">
        <w:t xml:space="preserve"> </w:t>
      </w:r>
      <w:r w:rsidRPr="00EA59C0">
        <w:t>submitted</w:t>
      </w:r>
      <w:r w:rsidR="00C026A6" w:rsidRPr="00EA59C0">
        <w:t xml:space="preserve"> </w:t>
      </w:r>
      <w:r w:rsidRPr="00EA59C0">
        <w:t>to</w:t>
      </w:r>
      <w:r w:rsidR="00C026A6" w:rsidRPr="00EA59C0">
        <w:t xml:space="preserve"> </w:t>
      </w:r>
      <w:r w:rsidRPr="00EA59C0">
        <w:t>DOL</w:t>
      </w:r>
      <w:r w:rsidR="00C026A6" w:rsidRPr="00EA59C0">
        <w:t xml:space="preserve"> </w:t>
      </w:r>
      <w:r w:rsidRPr="00EA59C0">
        <w:t>to</w:t>
      </w:r>
      <w:r w:rsidR="00C026A6" w:rsidRPr="00EA59C0">
        <w:t xml:space="preserve"> </w:t>
      </w:r>
      <w:r w:rsidRPr="00EA59C0">
        <w:t>the</w:t>
      </w:r>
      <w:r w:rsidR="00C026A6" w:rsidRPr="00EA59C0">
        <w:t xml:space="preserve"> </w:t>
      </w:r>
      <w:r w:rsidRPr="00EA59C0">
        <w:t>Grants</w:t>
      </w:r>
      <w:r w:rsidR="00C026A6" w:rsidRPr="00EA59C0">
        <w:t xml:space="preserve"> </w:t>
      </w:r>
      <w:r w:rsidRPr="00EA59C0">
        <w:t>Management</w:t>
      </w:r>
      <w:r w:rsidR="00C026A6" w:rsidRPr="00EA59C0">
        <w:t xml:space="preserve"> </w:t>
      </w:r>
      <w:r w:rsidRPr="00EA59C0">
        <w:t>Specialist</w:t>
      </w:r>
      <w:r w:rsidR="00C026A6" w:rsidRPr="00EA59C0">
        <w:t xml:space="preserve"> </w:t>
      </w:r>
      <w:r w:rsidRPr="00EA59C0">
        <w:t>specified</w:t>
      </w:r>
      <w:r w:rsidR="00C026A6" w:rsidRPr="00EA59C0">
        <w:t xml:space="preserve"> </w:t>
      </w:r>
      <w:r w:rsidRPr="00EA59C0">
        <w:t>in</w:t>
      </w:r>
      <w:r w:rsidR="00C026A6" w:rsidRPr="00EA59C0">
        <w:t xml:space="preserve"> </w:t>
      </w:r>
      <w:r w:rsidRPr="00EA59C0">
        <w:t>Section</w:t>
      </w:r>
      <w:r w:rsidR="00C026A6" w:rsidRPr="00EA59C0">
        <w:t xml:space="preserve"> </w:t>
      </w:r>
      <w:r w:rsidRPr="00EA59C0">
        <w:t>VII.</w:t>
      </w:r>
    </w:p>
    <w:p w:rsidR="00E55EBD" w:rsidRPr="00EA59C0" w:rsidRDefault="00E55EBD" w:rsidP="00C072FA">
      <w:pPr>
        <w:ind w:left="1080"/>
      </w:pPr>
    </w:p>
    <w:p w:rsidR="00E55EBD" w:rsidRPr="00EA59C0" w:rsidRDefault="00B255C5" w:rsidP="00C072FA">
      <w:pPr>
        <w:ind w:left="1080"/>
      </w:pPr>
      <w:r w:rsidRPr="00EA59C0">
        <w:t>O</w:t>
      </w:r>
      <w:r w:rsidR="00E55EBD" w:rsidRPr="00EA59C0">
        <w:t>nly</w:t>
      </w:r>
      <w:r w:rsidR="00C026A6" w:rsidRPr="00EA59C0">
        <w:t xml:space="preserve"> </w:t>
      </w:r>
      <w:r w:rsidR="00E55EBD" w:rsidRPr="00EA59C0">
        <w:t>work</w:t>
      </w:r>
      <w:r w:rsidR="00C026A6" w:rsidRPr="00EA59C0">
        <w:t xml:space="preserve"> </w:t>
      </w:r>
      <w:r w:rsidR="00E55EBD" w:rsidRPr="00EA59C0">
        <w:t>that</w:t>
      </w:r>
      <w:r w:rsidR="00C026A6" w:rsidRPr="00EA59C0">
        <w:t xml:space="preserve"> </w:t>
      </w:r>
      <w:r w:rsidR="00E55EBD" w:rsidRPr="00EA59C0">
        <w:t>is</w:t>
      </w:r>
      <w:r w:rsidR="00C026A6" w:rsidRPr="00EA59C0">
        <w:t xml:space="preserve"> </w:t>
      </w:r>
      <w:r w:rsidR="00E55EBD" w:rsidRPr="00EA59C0">
        <w:t>developed</w:t>
      </w:r>
      <w:r w:rsidR="00C026A6" w:rsidRPr="00EA59C0">
        <w:t xml:space="preserve"> </w:t>
      </w:r>
      <w:r w:rsidR="00E55EBD" w:rsidRPr="00EA59C0">
        <w:t>by</w:t>
      </w:r>
      <w:r w:rsidR="00C026A6" w:rsidRPr="00EA59C0">
        <w:t xml:space="preserve"> </w:t>
      </w:r>
      <w:r w:rsidR="00E55EBD" w:rsidRPr="00EA59C0">
        <w:t>the</w:t>
      </w:r>
      <w:r w:rsidR="00C026A6" w:rsidRPr="00EA59C0">
        <w:t xml:space="preserve"> </w:t>
      </w:r>
      <w:r w:rsidR="00E55EBD" w:rsidRPr="00EA59C0">
        <w:t>grantee</w:t>
      </w:r>
      <w:r w:rsidR="00C026A6" w:rsidRPr="00EA59C0">
        <w:t xml:space="preserve"> </w:t>
      </w:r>
      <w:r w:rsidR="00E55EBD" w:rsidRPr="00EA59C0">
        <w:t>with</w:t>
      </w:r>
      <w:r w:rsidR="00C026A6" w:rsidRPr="00EA59C0">
        <w:t xml:space="preserve"> </w:t>
      </w:r>
      <w:r w:rsidR="00E55EBD" w:rsidRPr="00EA59C0">
        <w:t>the</w:t>
      </w:r>
      <w:r w:rsidR="00C026A6" w:rsidRPr="00EA59C0">
        <w:t xml:space="preserve"> </w:t>
      </w:r>
      <w:r w:rsidR="00E55EBD" w:rsidRPr="00EA59C0">
        <w:t>grant</w:t>
      </w:r>
      <w:r w:rsidR="00C026A6" w:rsidRPr="00EA59C0">
        <w:t xml:space="preserve"> </w:t>
      </w:r>
      <w:r w:rsidR="00E55EBD" w:rsidRPr="00EA59C0">
        <w:t>funds</w:t>
      </w:r>
      <w:r w:rsidR="00C026A6" w:rsidRPr="00EA59C0">
        <w:t xml:space="preserve"> </w:t>
      </w:r>
      <w:r w:rsidR="006141A8" w:rsidRPr="00EA59C0">
        <w:t>is</w:t>
      </w:r>
      <w:r w:rsidR="00C026A6" w:rsidRPr="00EA59C0">
        <w:t xml:space="preserve"> </w:t>
      </w:r>
      <w:r w:rsidR="00E55EBD" w:rsidRPr="00EA59C0">
        <w:t>required</w:t>
      </w:r>
      <w:r w:rsidR="00C026A6" w:rsidRPr="00EA59C0">
        <w:t xml:space="preserve"> </w:t>
      </w:r>
      <w:r w:rsidR="00E55EBD" w:rsidRPr="00EA59C0">
        <w:t>to</w:t>
      </w:r>
      <w:r w:rsidR="00C026A6" w:rsidRPr="00EA59C0">
        <w:t xml:space="preserve"> </w:t>
      </w:r>
      <w:r w:rsidR="00E55EBD" w:rsidRPr="00EA59C0">
        <w:t>be</w:t>
      </w:r>
      <w:r w:rsidR="00C026A6" w:rsidRPr="00EA59C0">
        <w:t xml:space="preserve"> </w:t>
      </w:r>
      <w:r w:rsidR="00E55EBD" w:rsidRPr="00EA59C0">
        <w:t>licensed</w:t>
      </w:r>
      <w:r w:rsidR="00C026A6" w:rsidRPr="00EA59C0">
        <w:t xml:space="preserve"> </w:t>
      </w:r>
      <w:r w:rsidR="00E55EBD" w:rsidRPr="00EA59C0">
        <w:t>under</w:t>
      </w:r>
      <w:r w:rsidR="00C026A6" w:rsidRPr="00EA59C0">
        <w:t xml:space="preserve"> </w:t>
      </w:r>
      <w:r w:rsidR="00E55EBD" w:rsidRPr="00EA59C0">
        <w:t>the</w:t>
      </w:r>
      <w:r w:rsidR="00C026A6" w:rsidRPr="00EA59C0">
        <w:t xml:space="preserve"> </w:t>
      </w:r>
      <w:r w:rsidR="00E55EBD" w:rsidRPr="00EA59C0">
        <w:t>CC</w:t>
      </w:r>
      <w:r w:rsidR="00C026A6" w:rsidRPr="00EA59C0">
        <w:t xml:space="preserve"> </w:t>
      </w:r>
      <w:r w:rsidR="00E55EBD" w:rsidRPr="00EA59C0">
        <w:t>BY</w:t>
      </w:r>
      <w:r w:rsidR="00C026A6" w:rsidRPr="00EA59C0">
        <w:t xml:space="preserve"> </w:t>
      </w:r>
      <w:r w:rsidR="00E55EBD" w:rsidRPr="00EA59C0">
        <w:t>license.</w:t>
      </w:r>
      <w:r w:rsidR="00C026A6" w:rsidRPr="00EA59C0">
        <w:t xml:space="preserve">  </w:t>
      </w:r>
      <w:r w:rsidR="00E55EBD" w:rsidRPr="00EA59C0">
        <w:t>Pre-existing</w:t>
      </w:r>
      <w:r w:rsidR="00C026A6" w:rsidRPr="00EA59C0">
        <w:t xml:space="preserve"> </w:t>
      </w:r>
      <w:r w:rsidR="00E55EBD" w:rsidRPr="00EA59C0">
        <w:t>copyrighted</w:t>
      </w:r>
      <w:r w:rsidR="00C026A6" w:rsidRPr="00EA59C0">
        <w:t xml:space="preserve"> </w:t>
      </w:r>
      <w:r w:rsidR="00E55EBD" w:rsidRPr="00EA59C0">
        <w:t>materials</w:t>
      </w:r>
      <w:r w:rsidR="00C026A6" w:rsidRPr="00EA59C0">
        <w:t xml:space="preserve"> </w:t>
      </w:r>
      <w:r w:rsidR="00E55EBD" w:rsidRPr="00EA59C0">
        <w:t>licensed</w:t>
      </w:r>
      <w:r w:rsidR="00C026A6" w:rsidRPr="00EA59C0">
        <w:t xml:space="preserve"> </w:t>
      </w:r>
      <w:r w:rsidR="00E55EBD" w:rsidRPr="00EA59C0">
        <w:t>to,</w:t>
      </w:r>
      <w:r w:rsidR="00C026A6" w:rsidRPr="00EA59C0">
        <w:t xml:space="preserve"> </w:t>
      </w:r>
      <w:r w:rsidR="00E55EBD" w:rsidRPr="00EA59C0">
        <w:t>or</w:t>
      </w:r>
      <w:r w:rsidR="00C026A6" w:rsidRPr="00EA59C0">
        <w:t xml:space="preserve"> </w:t>
      </w:r>
      <w:r w:rsidR="00E55EBD" w:rsidRPr="00EA59C0">
        <w:t>purchased</w:t>
      </w:r>
      <w:r w:rsidR="00C026A6" w:rsidRPr="00EA59C0">
        <w:t xml:space="preserve"> </w:t>
      </w:r>
      <w:r w:rsidR="00E55EBD" w:rsidRPr="00EA59C0">
        <w:t>by</w:t>
      </w:r>
      <w:r w:rsidR="00C026A6" w:rsidRPr="00EA59C0">
        <w:t xml:space="preserve"> </w:t>
      </w:r>
      <w:r w:rsidR="00E55EBD" w:rsidRPr="00EA59C0">
        <w:t>the</w:t>
      </w:r>
      <w:r w:rsidR="00C026A6" w:rsidRPr="00EA59C0">
        <w:t xml:space="preserve"> </w:t>
      </w:r>
      <w:r w:rsidR="00E55EBD" w:rsidRPr="00EA59C0">
        <w:t>grantee</w:t>
      </w:r>
      <w:r w:rsidR="00C026A6" w:rsidRPr="00EA59C0">
        <w:t xml:space="preserve"> </w:t>
      </w:r>
      <w:r w:rsidR="00E55EBD" w:rsidRPr="00EA59C0">
        <w:t>from</w:t>
      </w:r>
      <w:r w:rsidR="00C026A6" w:rsidRPr="00EA59C0">
        <w:t xml:space="preserve"> </w:t>
      </w:r>
      <w:r w:rsidR="00E55EBD" w:rsidRPr="00EA59C0">
        <w:t>third</w:t>
      </w:r>
      <w:r w:rsidR="00C026A6" w:rsidRPr="00EA59C0">
        <w:t xml:space="preserve"> </w:t>
      </w:r>
      <w:r w:rsidR="006141A8" w:rsidRPr="00EA59C0">
        <w:t>parties,</w:t>
      </w:r>
      <w:r w:rsidR="00C026A6" w:rsidRPr="00EA59C0">
        <w:t xml:space="preserve"> </w:t>
      </w:r>
      <w:r w:rsidR="00E55EBD" w:rsidRPr="00EA59C0">
        <w:t>including</w:t>
      </w:r>
      <w:r w:rsidR="00C026A6" w:rsidRPr="00EA59C0">
        <w:t xml:space="preserve"> </w:t>
      </w:r>
      <w:r w:rsidR="00E55EBD" w:rsidRPr="00EA59C0">
        <w:t>modifications</w:t>
      </w:r>
      <w:r w:rsidR="00C026A6" w:rsidRPr="00EA59C0">
        <w:t xml:space="preserve"> </w:t>
      </w:r>
      <w:r w:rsidR="00E55EBD" w:rsidRPr="00EA59C0">
        <w:t>of</w:t>
      </w:r>
      <w:r w:rsidR="00C026A6" w:rsidRPr="00EA59C0">
        <w:t xml:space="preserve"> </w:t>
      </w:r>
      <w:r w:rsidR="00E55EBD" w:rsidRPr="00EA59C0">
        <w:t>such</w:t>
      </w:r>
      <w:r w:rsidR="00C026A6" w:rsidRPr="00EA59C0">
        <w:t xml:space="preserve"> </w:t>
      </w:r>
      <w:r w:rsidR="00E55EBD" w:rsidRPr="00EA59C0">
        <w:t>materials,</w:t>
      </w:r>
      <w:r w:rsidR="00C026A6" w:rsidRPr="00EA59C0">
        <w:t xml:space="preserve"> </w:t>
      </w:r>
      <w:r w:rsidR="00E55EBD" w:rsidRPr="00EA59C0">
        <w:t>remain</w:t>
      </w:r>
      <w:r w:rsidR="00C707B4" w:rsidRPr="00EA59C0">
        <w:t>s</w:t>
      </w:r>
      <w:r w:rsidR="00C026A6" w:rsidRPr="00EA59C0">
        <w:t xml:space="preserve"> </w:t>
      </w:r>
      <w:r w:rsidR="00E55EBD" w:rsidRPr="00EA59C0">
        <w:t>subject</w:t>
      </w:r>
      <w:r w:rsidR="00C026A6" w:rsidRPr="00EA59C0">
        <w:t xml:space="preserve"> </w:t>
      </w:r>
      <w:r w:rsidR="00E55EBD" w:rsidRPr="00EA59C0">
        <w:t>to</w:t>
      </w:r>
      <w:r w:rsidR="00C026A6" w:rsidRPr="00EA59C0">
        <w:t xml:space="preserve"> </w:t>
      </w:r>
      <w:r w:rsidR="00E55EBD" w:rsidRPr="00EA59C0">
        <w:t>the</w:t>
      </w:r>
      <w:r w:rsidR="00C026A6" w:rsidRPr="00EA59C0">
        <w:t xml:space="preserve"> </w:t>
      </w:r>
      <w:r w:rsidR="00E55EBD" w:rsidRPr="00EA59C0">
        <w:t>intellectual</w:t>
      </w:r>
      <w:r w:rsidR="00C026A6" w:rsidRPr="00EA59C0">
        <w:t xml:space="preserve"> </w:t>
      </w:r>
      <w:r w:rsidR="00E55EBD" w:rsidRPr="00EA59C0">
        <w:t>property</w:t>
      </w:r>
      <w:r w:rsidR="00C026A6" w:rsidRPr="00EA59C0">
        <w:t xml:space="preserve"> </w:t>
      </w:r>
      <w:r w:rsidR="00E55EBD" w:rsidRPr="00EA59C0">
        <w:t>rights</w:t>
      </w:r>
      <w:r w:rsidR="00C026A6" w:rsidRPr="00EA59C0">
        <w:t xml:space="preserve"> </w:t>
      </w:r>
      <w:r w:rsidR="00E55EBD" w:rsidRPr="00EA59C0">
        <w:t>the</w:t>
      </w:r>
      <w:r w:rsidR="00C026A6" w:rsidRPr="00EA59C0">
        <w:t xml:space="preserve"> </w:t>
      </w:r>
      <w:r w:rsidR="00E55EBD" w:rsidRPr="00EA59C0">
        <w:t>grantee</w:t>
      </w:r>
      <w:r w:rsidR="00C026A6" w:rsidRPr="00EA59C0">
        <w:t xml:space="preserve"> </w:t>
      </w:r>
      <w:r w:rsidR="00E55EBD" w:rsidRPr="00EA59C0">
        <w:t>receives</w:t>
      </w:r>
      <w:r w:rsidR="00C026A6" w:rsidRPr="00EA59C0">
        <w:t xml:space="preserve"> </w:t>
      </w:r>
      <w:r w:rsidR="00E55EBD" w:rsidRPr="00EA59C0">
        <w:t>under</w:t>
      </w:r>
      <w:r w:rsidR="00C026A6" w:rsidRPr="00EA59C0">
        <w:t xml:space="preserve"> </w:t>
      </w:r>
      <w:r w:rsidR="00E55EBD" w:rsidRPr="00EA59C0">
        <w:t>the</w:t>
      </w:r>
      <w:r w:rsidR="00C026A6" w:rsidRPr="00EA59C0">
        <w:t xml:space="preserve"> </w:t>
      </w:r>
      <w:r w:rsidR="00E55EBD" w:rsidRPr="00EA59C0">
        <w:t>terms</w:t>
      </w:r>
      <w:r w:rsidR="00C026A6" w:rsidRPr="00EA59C0">
        <w:t xml:space="preserve"> </w:t>
      </w:r>
      <w:r w:rsidR="00E55EBD" w:rsidRPr="00EA59C0">
        <w:t>of</w:t>
      </w:r>
      <w:r w:rsidR="00C026A6" w:rsidRPr="00EA59C0">
        <w:t xml:space="preserve"> </w:t>
      </w:r>
      <w:r w:rsidR="00E55EBD" w:rsidRPr="00EA59C0">
        <w:t>the</w:t>
      </w:r>
      <w:r w:rsidR="00C026A6" w:rsidRPr="00EA59C0">
        <w:t xml:space="preserve"> </w:t>
      </w:r>
      <w:r w:rsidR="00E55EBD" w:rsidRPr="00EA59C0">
        <w:t>particular</w:t>
      </w:r>
      <w:r w:rsidR="00C026A6" w:rsidRPr="00EA59C0">
        <w:t xml:space="preserve"> </w:t>
      </w:r>
      <w:r w:rsidR="00E55EBD" w:rsidRPr="00EA59C0">
        <w:t>license</w:t>
      </w:r>
      <w:r w:rsidR="00C026A6" w:rsidRPr="00EA59C0">
        <w:t xml:space="preserve"> </w:t>
      </w:r>
      <w:r w:rsidR="00E55EBD" w:rsidRPr="00EA59C0">
        <w:t>or</w:t>
      </w:r>
      <w:r w:rsidR="00C026A6" w:rsidRPr="00EA59C0">
        <w:t xml:space="preserve"> </w:t>
      </w:r>
      <w:r w:rsidR="00E55EBD" w:rsidRPr="00EA59C0">
        <w:t>purchase.</w:t>
      </w:r>
      <w:r w:rsidR="00C026A6" w:rsidRPr="00EA59C0">
        <w:t xml:space="preserve">  </w:t>
      </w:r>
      <w:r w:rsidR="00E55EBD" w:rsidRPr="00EA59C0">
        <w:t>In</w:t>
      </w:r>
      <w:r w:rsidR="00C026A6" w:rsidRPr="00EA59C0">
        <w:t xml:space="preserve"> </w:t>
      </w:r>
      <w:r w:rsidR="00E55EBD" w:rsidRPr="00EA59C0">
        <w:t>addition,</w:t>
      </w:r>
      <w:r w:rsidR="00C026A6" w:rsidRPr="00EA59C0">
        <w:t xml:space="preserve"> </w:t>
      </w:r>
      <w:r w:rsidR="00E55EBD" w:rsidRPr="00EA59C0">
        <w:t>works</w:t>
      </w:r>
      <w:r w:rsidR="00C026A6" w:rsidRPr="00EA59C0">
        <w:t xml:space="preserve"> </w:t>
      </w:r>
      <w:r w:rsidR="00E55EBD" w:rsidRPr="00EA59C0">
        <w:t>created</w:t>
      </w:r>
      <w:r w:rsidR="00C026A6" w:rsidRPr="00EA59C0">
        <w:t xml:space="preserve"> </w:t>
      </w:r>
      <w:r w:rsidR="00E55EBD" w:rsidRPr="00EA59C0">
        <w:t>by</w:t>
      </w:r>
      <w:r w:rsidR="00C026A6" w:rsidRPr="00EA59C0">
        <w:t xml:space="preserve"> </w:t>
      </w:r>
      <w:r w:rsidR="00E55EBD" w:rsidRPr="00EA59C0">
        <w:t>the</w:t>
      </w:r>
      <w:r w:rsidR="00C026A6" w:rsidRPr="00EA59C0">
        <w:t xml:space="preserve"> </w:t>
      </w:r>
      <w:r w:rsidR="00E55EBD" w:rsidRPr="00EA59C0">
        <w:t>grantee</w:t>
      </w:r>
      <w:r w:rsidR="00C026A6" w:rsidRPr="00EA59C0">
        <w:t xml:space="preserve"> </w:t>
      </w:r>
      <w:r w:rsidR="00E55EBD" w:rsidRPr="00EA59C0">
        <w:t>without</w:t>
      </w:r>
      <w:r w:rsidR="00C026A6" w:rsidRPr="00EA59C0">
        <w:t xml:space="preserve"> </w:t>
      </w:r>
      <w:r w:rsidR="00E55EBD" w:rsidRPr="00EA59C0">
        <w:t>grant</w:t>
      </w:r>
      <w:r w:rsidR="00C026A6" w:rsidRPr="00EA59C0">
        <w:t xml:space="preserve"> </w:t>
      </w:r>
      <w:r w:rsidR="00E55EBD" w:rsidRPr="00EA59C0">
        <w:t>funds</w:t>
      </w:r>
      <w:r w:rsidR="00C026A6" w:rsidRPr="00EA59C0">
        <w:t xml:space="preserve"> </w:t>
      </w:r>
      <w:r w:rsidR="00E55EBD" w:rsidRPr="00EA59C0">
        <w:t>do</w:t>
      </w:r>
      <w:r w:rsidR="00C026A6" w:rsidRPr="00EA59C0">
        <w:t xml:space="preserve"> </w:t>
      </w:r>
      <w:r w:rsidR="00E55EBD" w:rsidRPr="00EA59C0">
        <w:t>not</w:t>
      </w:r>
      <w:r w:rsidR="00C026A6" w:rsidRPr="00EA59C0">
        <w:t xml:space="preserve"> </w:t>
      </w:r>
      <w:r w:rsidR="00E55EBD" w:rsidRPr="00EA59C0">
        <w:t>fall</w:t>
      </w:r>
      <w:r w:rsidR="00C026A6" w:rsidRPr="00EA59C0">
        <w:t xml:space="preserve"> </w:t>
      </w:r>
      <w:r w:rsidR="00E55EBD" w:rsidRPr="00EA59C0">
        <w:t>under</w:t>
      </w:r>
      <w:r w:rsidR="00C026A6" w:rsidRPr="00EA59C0">
        <w:t xml:space="preserve"> </w:t>
      </w:r>
      <w:r w:rsidR="00E55EBD" w:rsidRPr="00EA59C0">
        <w:t>the</w:t>
      </w:r>
      <w:r w:rsidR="00C026A6" w:rsidRPr="00EA59C0">
        <w:t xml:space="preserve"> </w:t>
      </w:r>
      <w:r w:rsidR="00E55EBD" w:rsidRPr="00EA59C0">
        <w:t>CC</w:t>
      </w:r>
      <w:r w:rsidR="00C026A6" w:rsidRPr="00EA59C0">
        <w:t xml:space="preserve"> </w:t>
      </w:r>
      <w:r w:rsidR="00E55EBD" w:rsidRPr="00EA59C0">
        <w:t>BY</w:t>
      </w:r>
      <w:r w:rsidR="00C026A6" w:rsidRPr="00EA59C0">
        <w:t xml:space="preserve"> </w:t>
      </w:r>
      <w:r w:rsidR="00E55EBD" w:rsidRPr="00EA59C0">
        <w:t>license</w:t>
      </w:r>
      <w:r w:rsidR="00C026A6" w:rsidRPr="00EA59C0">
        <w:t xml:space="preserve"> </w:t>
      </w:r>
      <w:r w:rsidR="00E55EBD" w:rsidRPr="00EA59C0">
        <w:t>requirement.</w:t>
      </w:r>
      <w:r w:rsidR="00C026A6" w:rsidRPr="00EA59C0">
        <w:t xml:space="preserve"> </w:t>
      </w:r>
    </w:p>
    <w:p w:rsidR="00E55EBD" w:rsidRPr="00EA59C0" w:rsidRDefault="00E55EBD" w:rsidP="00C072FA">
      <w:pPr>
        <w:ind w:left="1080"/>
      </w:pPr>
    </w:p>
    <w:p w:rsidR="00E55EBD" w:rsidRPr="00EA59C0" w:rsidRDefault="00E55EBD" w:rsidP="00C072FA">
      <w:pPr>
        <w:ind w:left="1080"/>
      </w:pPr>
      <w:r w:rsidRPr="00EA59C0">
        <w:t>The</w:t>
      </w:r>
      <w:r w:rsidR="00C026A6" w:rsidRPr="00EA59C0">
        <w:t xml:space="preserve"> </w:t>
      </w:r>
      <w:r w:rsidRPr="00EA59C0">
        <w:t>purpose</w:t>
      </w:r>
      <w:r w:rsidR="00C026A6" w:rsidRPr="00EA59C0">
        <w:t xml:space="preserve"> </w:t>
      </w:r>
      <w:r w:rsidRPr="00EA59C0">
        <w:t>of</w:t>
      </w:r>
      <w:r w:rsidR="00C026A6" w:rsidRPr="00EA59C0">
        <w:t xml:space="preserve"> </w:t>
      </w:r>
      <w:r w:rsidRPr="00EA59C0">
        <w:t>the</w:t>
      </w:r>
      <w:r w:rsidR="00C026A6" w:rsidRPr="00EA59C0">
        <w:t xml:space="preserve"> </w:t>
      </w:r>
      <w:r w:rsidRPr="00EA59C0">
        <w:t>CC</w:t>
      </w:r>
      <w:r w:rsidR="00C026A6" w:rsidRPr="00EA59C0">
        <w:t xml:space="preserve"> </w:t>
      </w:r>
      <w:r w:rsidRPr="00EA59C0">
        <w:t>BY</w:t>
      </w:r>
      <w:r w:rsidR="00C026A6" w:rsidRPr="00EA59C0">
        <w:t xml:space="preserve"> </w:t>
      </w:r>
      <w:r w:rsidRPr="00EA59C0">
        <w:t>licensing</w:t>
      </w:r>
      <w:r w:rsidR="00C026A6" w:rsidRPr="00EA59C0">
        <w:t xml:space="preserve"> </w:t>
      </w:r>
      <w:r w:rsidRPr="00EA59C0">
        <w:t>requirement</w:t>
      </w:r>
      <w:r w:rsidR="00C026A6" w:rsidRPr="00EA59C0">
        <w:t xml:space="preserve"> </w:t>
      </w:r>
      <w:r w:rsidRPr="00EA59C0">
        <w:t>is</w:t>
      </w:r>
      <w:r w:rsidR="00C026A6" w:rsidRPr="00EA59C0">
        <w:t xml:space="preserve"> </w:t>
      </w:r>
      <w:r w:rsidRPr="00EA59C0">
        <w:t>to</w:t>
      </w:r>
      <w:r w:rsidR="00C026A6" w:rsidRPr="00EA59C0">
        <w:t xml:space="preserve"> </w:t>
      </w:r>
      <w:r w:rsidRPr="00EA59C0">
        <w:t>ensure</w:t>
      </w:r>
      <w:r w:rsidR="00C026A6" w:rsidRPr="00EA59C0">
        <w:t xml:space="preserve"> </w:t>
      </w:r>
      <w:r w:rsidRPr="00EA59C0">
        <w:t>that</w:t>
      </w:r>
      <w:r w:rsidR="00C026A6" w:rsidRPr="00EA59C0">
        <w:t xml:space="preserve"> </w:t>
      </w:r>
      <w:r w:rsidRPr="00EA59C0">
        <w:t>materials</w:t>
      </w:r>
      <w:r w:rsidR="00C026A6" w:rsidRPr="00EA59C0">
        <w:t xml:space="preserve"> </w:t>
      </w:r>
      <w:r w:rsidRPr="00EA59C0">
        <w:t>developed</w:t>
      </w:r>
      <w:r w:rsidR="00C026A6" w:rsidRPr="00EA59C0">
        <w:t xml:space="preserve"> </w:t>
      </w:r>
      <w:r w:rsidRPr="00EA59C0">
        <w:t>with</w:t>
      </w:r>
      <w:r w:rsidR="00C026A6" w:rsidRPr="00EA59C0">
        <w:t xml:space="preserve"> </w:t>
      </w:r>
      <w:r w:rsidRPr="00EA59C0">
        <w:t>funds</w:t>
      </w:r>
      <w:r w:rsidR="00C026A6" w:rsidRPr="00EA59C0">
        <w:t xml:space="preserve"> </w:t>
      </w:r>
      <w:r w:rsidRPr="00EA59C0">
        <w:t>provided</w:t>
      </w:r>
      <w:r w:rsidR="00C026A6" w:rsidRPr="00EA59C0">
        <w:t xml:space="preserve"> </w:t>
      </w:r>
      <w:r w:rsidRPr="00EA59C0">
        <w:t>by</w:t>
      </w:r>
      <w:r w:rsidR="00C026A6" w:rsidRPr="00EA59C0">
        <w:t xml:space="preserve"> </w:t>
      </w:r>
      <w:r w:rsidRPr="00EA59C0">
        <w:t>these</w:t>
      </w:r>
      <w:r w:rsidR="00C026A6" w:rsidRPr="00EA59C0">
        <w:t xml:space="preserve"> </w:t>
      </w:r>
      <w:r w:rsidRPr="00EA59C0">
        <w:t>grants</w:t>
      </w:r>
      <w:r w:rsidR="00C026A6" w:rsidRPr="00EA59C0">
        <w:t xml:space="preserve"> </w:t>
      </w:r>
      <w:r w:rsidRPr="00EA59C0">
        <w:t>result</w:t>
      </w:r>
      <w:r w:rsidR="00C026A6" w:rsidRPr="00EA59C0">
        <w:t xml:space="preserve"> </w:t>
      </w:r>
      <w:r w:rsidRPr="00EA59C0">
        <w:t>in</w:t>
      </w:r>
      <w:r w:rsidR="00C026A6" w:rsidRPr="00EA59C0">
        <w:t xml:space="preserve"> </w:t>
      </w:r>
      <w:r w:rsidR="008242D0" w:rsidRPr="00EA59C0">
        <w:t>w</w:t>
      </w:r>
      <w:r w:rsidRPr="00EA59C0">
        <w:t>ork</w:t>
      </w:r>
      <w:r w:rsidR="00C026A6" w:rsidRPr="00EA59C0">
        <w:t xml:space="preserve"> </w:t>
      </w:r>
      <w:r w:rsidRPr="00EA59C0">
        <w:t>that</w:t>
      </w:r>
      <w:r w:rsidR="00C026A6" w:rsidRPr="00EA59C0">
        <w:t xml:space="preserve"> </w:t>
      </w:r>
      <w:r w:rsidRPr="00EA59C0">
        <w:t>can</w:t>
      </w:r>
      <w:r w:rsidR="00C026A6" w:rsidRPr="00EA59C0">
        <w:t xml:space="preserve"> </w:t>
      </w:r>
      <w:r w:rsidRPr="00EA59C0">
        <w:t>be</w:t>
      </w:r>
      <w:r w:rsidR="00C026A6" w:rsidRPr="00EA59C0">
        <w:t xml:space="preserve"> </w:t>
      </w:r>
      <w:r w:rsidRPr="00EA59C0">
        <w:t>freely</w:t>
      </w:r>
      <w:r w:rsidR="00C026A6" w:rsidRPr="00EA59C0">
        <w:t xml:space="preserve"> </w:t>
      </w:r>
      <w:r w:rsidRPr="00EA59C0">
        <w:t>reused</w:t>
      </w:r>
      <w:r w:rsidR="00C026A6" w:rsidRPr="00EA59C0">
        <w:t xml:space="preserve"> </w:t>
      </w:r>
      <w:r w:rsidRPr="00EA59C0">
        <w:t>and</w:t>
      </w:r>
      <w:r w:rsidR="00C026A6" w:rsidRPr="00EA59C0">
        <w:t xml:space="preserve"> </w:t>
      </w:r>
      <w:r w:rsidRPr="00EA59C0">
        <w:t>improved</w:t>
      </w:r>
      <w:r w:rsidR="00C026A6" w:rsidRPr="00EA59C0">
        <w:t xml:space="preserve"> </w:t>
      </w:r>
      <w:r w:rsidRPr="00EA59C0">
        <w:t>by</w:t>
      </w:r>
      <w:r w:rsidR="00C026A6" w:rsidRPr="00EA59C0">
        <w:t xml:space="preserve"> </w:t>
      </w:r>
      <w:r w:rsidRPr="00EA59C0">
        <w:t>others.</w:t>
      </w:r>
      <w:r w:rsidR="00C026A6" w:rsidRPr="00EA59C0">
        <w:t xml:space="preserve">  </w:t>
      </w:r>
      <w:r w:rsidRPr="00EA59C0">
        <w:t>When</w:t>
      </w:r>
      <w:r w:rsidR="00C026A6" w:rsidRPr="00EA59C0">
        <w:t xml:space="preserve"> </w:t>
      </w:r>
      <w:r w:rsidRPr="00EA59C0">
        <w:t>purchasing</w:t>
      </w:r>
      <w:r w:rsidR="00C026A6" w:rsidRPr="00EA59C0">
        <w:t xml:space="preserve"> </w:t>
      </w:r>
      <w:r w:rsidRPr="00EA59C0">
        <w:t>or</w:t>
      </w:r>
      <w:r w:rsidR="00C026A6" w:rsidRPr="00EA59C0">
        <w:t xml:space="preserve"> </w:t>
      </w:r>
      <w:r w:rsidRPr="00EA59C0">
        <w:t>licensing</w:t>
      </w:r>
      <w:r w:rsidR="00C026A6" w:rsidRPr="00EA59C0">
        <w:t xml:space="preserve"> </w:t>
      </w:r>
      <w:r w:rsidRPr="00EA59C0">
        <w:t>consumable</w:t>
      </w:r>
      <w:r w:rsidR="00C026A6" w:rsidRPr="00EA59C0">
        <w:t xml:space="preserve"> </w:t>
      </w:r>
      <w:r w:rsidRPr="00EA59C0">
        <w:t>or</w:t>
      </w:r>
      <w:r w:rsidR="00C026A6" w:rsidRPr="00EA59C0">
        <w:t xml:space="preserve"> </w:t>
      </w:r>
      <w:r w:rsidRPr="00EA59C0">
        <w:t>reusable</w:t>
      </w:r>
      <w:r w:rsidR="00C026A6" w:rsidRPr="00EA59C0">
        <w:t xml:space="preserve"> </w:t>
      </w:r>
      <w:r w:rsidRPr="00EA59C0">
        <w:t>materials</w:t>
      </w:r>
      <w:r w:rsidR="00C026A6" w:rsidRPr="00EA59C0">
        <w:t xml:space="preserve"> </w:t>
      </w:r>
      <w:r w:rsidRPr="00EA59C0">
        <w:t>grantees</w:t>
      </w:r>
      <w:r w:rsidR="00C026A6" w:rsidRPr="00EA59C0">
        <w:t xml:space="preserve"> </w:t>
      </w:r>
      <w:r w:rsidRPr="00EA59C0">
        <w:t>are</w:t>
      </w:r>
      <w:r w:rsidR="00C026A6" w:rsidRPr="00EA59C0">
        <w:t xml:space="preserve"> </w:t>
      </w:r>
      <w:r w:rsidRPr="00EA59C0">
        <w:t>expected</w:t>
      </w:r>
      <w:r w:rsidR="00C026A6" w:rsidRPr="00EA59C0">
        <w:t xml:space="preserve"> </w:t>
      </w:r>
      <w:r w:rsidRPr="00EA59C0">
        <w:t>to</w:t>
      </w:r>
      <w:r w:rsidR="00C026A6" w:rsidRPr="00EA59C0">
        <w:t xml:space="preserve"> </w:t>
      </w:r>
      <w:r w:rsidRPr="00EA59C0">
        <w:t>respect</w:t>
      </w:r>
      <w:r w:rsidR="00C026A6" w:rsidRPr="00EA59C0">
        <w:t xml:space="preserve"> </w:t>
      </w:r>
      <w:r w:rsidRPr="00EA59C0">
        <w:t>all</w:t>
      </w:r>
      <w:r w:rsidR="00C026A6" w:rsidRPr="00EA59C0">
        <w:t xml:space="preserve"> </w:t>
      </w:r>
      <w:r w:rsidRPr="00EA59C0">
        <w:t>applicable</w:t>
      </w:r>
      <w:r w:rsidR="00C026A6" w:rsidRPr="00EA59C0">
        <w:t xml:space="preserve"> </w:t>
      </w:r>
      <w:r w:rsidRPr="00EA59C0">
        <w:t>Federal</w:t>
      </w:r>
      <w:r w:rsidR="00C026A6" w:rsidRPr="00EA59C0">
        <w:t xml:space="preserve"> </w:t>
      </w:r>
      <w:r w:rsidRPr="00EA59C0">
        <w:t>laws</w:t>
      </w:r>
      <w:r w:rsidR="00C026A6" w:rsidRPr="00EA59C0">
        <w:t xml:space="preserve"> </w:t>
      </w:r>
      <w:r w:rsidRPr="00EA59C0">
        <w:t>and</w:t>
      </w:r>
      <w:r w:rsidR="00C026A6" w:rsidRPr="00EA59C0">
        <w:t xml:space="preserve"> </w:t>
      </w:r>
      <w:r w:rsidRPr="00EA59C0">
        <w:t>regulations,</w:t>
      </w:r>
      <w:r w:rsidR="00C026A6" w:rsidRPr="00EA59C0">
        <w:t xml:space="preserve"> </w:t>
      </w:r>
      <w:r w:rsidRPr="00EA59C0">
        <w:t>including</w:t>
      </w:r>
      <w:r w:rsidR="00C026A6" w:rsidRPr="00EA59C0">
        <w:t xml:space="preserve"> </w:t>
      </w:r>
      <w:r w:rsidRPr="00EA59C0">
        <w:t>those</w:t>
      </w:r>
      <w:r w:rsidR="00C026A6" w:rsidRPr="00EA59C0">
        <w:t xml:space="preserve"> </w:t>
      </w:r>
      <w:r w:rsidRPr="00EA59C0">
        <w:t>pertaining</w:t>
      </w:r>
      <w:r w:rsidR="00C026A6" w:rsidRPr="00EA59C0">
        <w:t xml:space="preserve"> </w:t>
      </w:r>
      <w:r w:rsidRPr="00EA59C0">
        <w:t>to</w:t>
      </w:r>
      <w:r w:rsidR="00C026A6" w:rsidRPr="00EA59C0">
        <w:t xml:space="preserve"> </w:t>
      </w:r>
      <w:r w:rsidRPr="00EA59C0">
        <w:t>the</w:t>
      </w:r>
      <w:r w:rsidR="00C026A6" w:rsidRPr="00EA59C0">
        <w:t xml:space="preserve"> </w:t>
      </w:r>
      <w:r w:rsidRPr="00EA59C0">
        <w:t>copyright</w:t>
      </w:r>
      <w:r w:rsidR="00C026A6" w:rsidRPr="00EA59C0">
        <w:t xml:space="preserve"> </w:t>
      </w:r>
      <w:r w:rsidRPr="00EA59C0">
        <w:t>and</w:t>
      </w:r>
      <w:r w:rsidR="00C026A6" w:rsidRPr="00EA59C0">
        <w:t xml:space="preserve"> </w:t>
      </w:r>
      <w:r w:rsidRPr="00EA59C0">
        <w:t>accessibility</w:t>
      </w:r>
      <w:r w:rsidR="00C026A6" w:rsidRPr="00EA59C0">
        <w:t xml:space="preserve"> </w:t>
      </w:r>
      <w:r w:rsidRPr="00EA59C0">
        <w:t>provisions</w:t>
      </w:r>
      <w:r w:rsidR="00C026A6" w:rsidRPr="00EA59C0">
        <w:t xml:space="preserve"> </w:t>
      </w:r>
      <w:r w:rsidRPr="00EA59C0">
        <w:t>of</w:t>
      </w:r>
      <w:r w:rsidR="00C026A6" w:rsidRPr="00EA59C0">
        <w:t xml:space="preserve"> </w:t>
      </w:r>
      <w:r w:rsidRPr="00EA59C0">
        <w:t>the</w:t>
      </w:r>
      <w:r w:rsidR="00C026A6" w:rsidRPr="00EA59C0">
        <w:t xml:space="preserve"> </w:t>
      </w:r>
      <w:r w:rsidRPr="00EA59C0">
        <w:t>Federal</w:t>
      </w:r>
      <w:r w:rsidR="00C026A6" w:rsidRPr="00EA59C0">
        <w:t xml:space="preserve"> </w:t>
      </w:r>
      <w:r w:rsidRPr="00EA59C0">
        <w:t>Rehabilitation</w:t>
      </w:r>
      <w:r w:rsidR="00C026A6" w:rsidRPr="00EA59C0">
        <w:t xml:space="preserve"> </w:t>
      </w:r>
      <w:r w:rsidRPr="00EA59C0">
        <w:t>Act.</w:t>
      </w:r>
    </w:p>
    <w:p w:rsidR="00E55EBD" w:rsidRPr="00EA59C0" w:rsidRDefault="00E55EBD" w:rsidP="00C072FA">
      <w:pPr>
        <w:ind w:left="1080"/>
      </w:pPr>
    </w:p>
    <w:p w:rsidR="00E55EBD" w:rsidRPr="00EA59C0" w:rsidRDefault="00E55EBD" w:rsidP="00C072FA">
      <w:pPr>
        <w:ind w:left="1080"/>
      </w:pPr>
      <w:r w:rsidRPr="00EA59C0">
        <w:t>Further,</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requires</w:t>
      </w:r>
      <w:r w:rsidR="00C026A6" w:rsidRPr="00EA59C0">
        <w:t xml:space="preserve"> </w:t>
      </w:r>
      <w:r w:rsidRPr="00EA59C0">
        <w:t>that</w:t>
      </w:r>
      <w:r w:rsidR="00C026A6" w:rsidRPr="00EA59C0">
        <w:t xml:space="preserve"> </w:t>
      </w:r>
      <w:r w:rsidRPr="00EA59C0">
        <w:t>all</w:t>
      </w:r>
      <w:r w:rsidR="00C026A6" w:rsidRPr="00EA59C0">
        <w:t xml:space="preserve"> </w:t>
      </w:r>
      <w:r w:rsidRPr="00EA59C0">
        <w:t>computer</w:t>
      </w:r>
      <w:r w:rsidR="00C026A6" w:rsidRPr="00EA59C0">
        <w:t xml:space="preserve"> </w:t>
      </w:r>
      <w:r w:rsidRPr="00EA59C0">
        <w:t>software</w:t>
      </w:r>
      <w:r w:rsidR="00C026A6" w:rsidRPr="00EA59C0">
        <w:t xml:space="preserve"> </w:t>
      </w:r>
      <w:r w:rsidRPr="00EA59C0">
        <w:t>source</w:t>
      </w:r>
      <w:r w:rsidR="00C026A6" w:rsidRPr="00EA59C0">
        <w:t xml:space="preserve"> </w:t>
      </w:r>
      <w:r w:rsidRPr="00EA59C0">
        <w:t>code</w:t>
      </w:r>
      <w:r w:rsidR="00C026A6" w:rsidRPr="00EA59C0">
        <w:t xml:space="preserve"> </w:t>
      </w:r>
      <w:r w:rsidRPr="00EA59C0">
        <w:t>developed</w:t>
      </w:r>
      <w:r w:rsidR="00C026A6" w:rsidRPr="00EA59C0">
        <w:t xml:space="preserve"> </w:t>
      </w:r>
      <w:r w:rsidRPr="00EA59C0">
        <w:t>or</w:t>
      </w:r>
      <w:r w:rsidR="00C026A6" w:rsidRPr="00EA59C0">
        <w:t xml:space="preserve"> </w:t>
      </w:r>
      <w:r w:rsidRPr="00EA59C0">
        <w:t>created</w:t>
      </w:r>
      <w:r w:rsidR="00C026A6" w:rsidRPr="00EA59C0">
        <w:t xml:space="preserve"> </w:t>
      </w:r>
      <w:r w:rsidRPr="00EA59C0">
        <w:t>with</w:t>
      </w:r>
      <w:r w:rsidR="00C026A6" w:rsidRPr="00EA59C0">
        <w:t xml:space="preserve"> </w:t>
      </w:r>
      <w:r w:rsidRPr="00EA59C0">
        <w:t>TAACCCT</w:t>
      </w:r>
      <w:r w:rsidR="00C026A6" w:rsidRPr="00EA59C0">
        <w:t xml:space="preserve"> </w:t>
      </w:r>
      <w:r w:rsidRPr="00EA59C0">
        <w:t>funds</w:t>
      </w:r>
      <w:r w:rsidR="00C026A6" w:rsidRPr="00EA59C0">
        <w:t xml:space="preserve"> </w:t>
      </w:r>
      <w:r w:rsidRPr="00EA59C0">
        <w:t>will</w:t>
      </w:r>
      <w:r w:rsidR="00C026A6" w:rsidRPr="00EA59C0">
        <w:t xml:space="preserve"> </w:t>
      </w:r>
      <w:r w:rsidRPr="00EA59C0">
        <w:t>be</w:t>
      </w:r>
      <w:r w:rsidR="00C026A6" w:rsidRPr="00EA59C0">
        <w:t xml:space="preserve"> </w:t>
      </w:r>
      <w:r w:rsidRPr="00EA59C0">
        <w:t>released</w:t>
      </w:r>
      <w:r w:rsidR="00C026A6" w:rsidRPr="00EA59C0">
        <w:t xml:space="preserve"> </w:t>
      </w:r>
      <w:r w:rsidRPr="00EA59C0">
        <w:t>under</w:t>
      </w:r>
      <w:r w:rsidR="00C026A6" w:rsidRPr="00EA59C0">
        <w:t xml:space="preserve"> </w:t>
      </w:r>
      <w:r w:rsidRPr="00EA59C0">
        <w:t>an</w:t>
      </w:r>
      <w:r w:rsidR="00C026A6" w:rsidRPr="00EA59C0">
        <w:t xml:space="preserve"> </w:t>
      </w:r>
      <w:r w:rsidRPr="00EA59C0">
        <w:t>intellectual</w:t>
      </w:r>
      <w:r w:rsidR="00C026A6" w:rsidRPr="00EA59C0">
        <w:t xml:space="preserve"> </w:t>
      </w:r>
      <w:r w:rsidRPr="00EA59C0">
        <w:t>property</w:t>
      </w:r>
      <w:r w:rsidR="00C026A6" w:rsidRPr="00EA59C0">
        <w:t xml:space="preserve"> </w:t>
      </w:r>
      <w:r w:rsidRPr="00EA59C0">
        <w:t>license</w:t>
      </w:r>
      <w:r w:rsidR="00C026A6" w:rsidRPr="00EA59C0">
        <w:t xml:space="preserve"> </w:t>
      </w:r>
      <w:r w:rsidRPr="00EA59C0">
        <w:t>that</w:t>
      </w:r>
      <w:r w:rsidR="00C026A6" w:rsidRPr="00EA59C0">
        <w:t xml:space="preserve"> </w:t>
      </w:r>
      <w:r w:rsidRPr="00EA59C0">
        <w:t>allows</w:t>
      </w:r>
      <w:r w:rsidR="00C026A6" w:rsidRPr="00EA59C0">
        <w:t xml:space="preserve"> </w:t>
      </w:r>
      <w:r w:rsidRPr="00EA59C0">
        <w:t>others</w:t>
      </w:r>
      <w:r w:rsidR="00C026A6" w:rsidRPr="00EA59C0">
        <w:t xml:space="preserve"> </w:t>
      </w:r>
      <w:r w:rsidRPr="00EA59C0">
        <w:t>to</w:t>
      </w:r>
      <w:r w:rsidR="00C026A6" w:rsidRPr="00EA59C0">
        <w:t xml:space="preserve"> </w:t>
      </w:r>
      <w:r w:rsidRPr="00EA59C0">
        <w:t>use</w:t>
      </w:r>
      <w:r w:rsidR="00C026A6" w:rsidRPr="00EA59C0">
        <w:t xml:space="preserve"> </w:t>
      </w:r>
      <w:r w:rsidRPr="00EA59C0">
        <w:t>and</w:t>
      </w:r>
      <w:r w:rsidR="00C026A6" w:rsidRPr="00EA59C0">
        <w:t xml:space="preserve"> </w:t>
      </w:r>
      <w:r w:rsidRPr="00EA59C0">
        <w:t>build</w:t>
      </w:r>
      <w:r w:rsidR="00C026A6" w:rsidRPr="00EA59C0">
        <w:t xml:space="preserve"> </w:t>
      </w:r>
      <w:r w:rsidRPr="00EA59C0">
        <w:t>upon</w:t>
      </w:r>
      <w:r w:rsidR="00C026A6" w:rsidRPr="00EA59C0">
        <w:t xml:space="preserve"> </w:t>
      </w:r>
      <w:r w:rsidRPr="00EA59C0">
        <w:t>them.</w:t>
      </w:r>
      <w:r w:rsidR="00C026A6" w:rsidRPr="00EA59C0">
        <w:t xml:space="preserve">  </w:t>
      </w:r>
      <w:r w:rsidRPr="00EA59C0">
        <w:t>Specifically,</w:t>
      </w:r>
      <w:r w:rsidR="00C026A6" w:rsidRPr="00EA59C0">
        <w:t xml:space="preserve"> </w:t>
      </w:r>
      <w:r w:rsidRPr="00EA59C0">
        <w:t>the</w:t>
      </w:r>
      <w:r w:rsidR="00C026A6" w:rsidRPr="00EA59C0">
        <w:t xml:space="preserve"> </w:t>
      </w:r>
      <w:r w:rsidRPr="00EA59C0">
        <w:t>grantee</w:t>
      </w:r>
      <w:r w:rsidR="00C026A6" w:rsidRPr="00EA59C0">
        <w:t xml:space="preserve"> </w:t>
      </w:r>
      <w:r w:rsidRPr="00EA59C0">
        <w:t>will</w:t>
      </w:r>
      <w:r w:rsidR="00C026A6" w:rsidRPr="00EA59C0">
        <w:t xml:space="preserve"> </w:t>
      </w:r>
      <w:r w:rsidRPr="00EA59C0">
        <w:t>release</w:t>
      </w:r>
      <w:r w:rsidR="00C026A6" w:rsidRPr="00EA59C0">
        <w:t xml:space="preserve"> </w:t>
      </w:r>
      <w:r w:rsidRPr="00EA59C0">
        <w:t>all</w:t>
      </w:r>
      <w:r w:rsidR="00C026A6" w:rsidRPr="00EA59C0">
        <w:t xml:space="preserve"> </w:t>
      </w:r>
      <w:r w:rsidRPr="00EA59C0">
        <w:t>new</w:t>
      </w:r>
      <w:r w:rsidR="00C026A6" w:rsidRPr="00EA59C0">
        <w:t xml:space="preserve"> </w:t>
      </w:r>
      <w:r w:rsidRPr="00EA59C0">
        <w:t>source</w:t>
      </w:r>
      <w:r w:rsidR="00C026A6" w:rsidRPr="00EA59C0">
        <w:t xml:space="preserve"> </w:t>
      </w:r>
      <w:r w:rsidRPr="00EA59C0">
        <w:t>code</w:t>
      </w:r>
      <w:r w:rsidR="00C026A6" w:rsidRPr="00EA59C0">
        <w:t xml:space="preserve"> </w:t>
      </w:r>
      <w:r w:rsidRPr="00EA59C0">
        <w:t>developed</w:t>
      </w:r>
      <w:r w:rsidR="00C026A6" w:rsidRPr="00EA59C0">
        <w:t xml:space="preserve"> </w:t>
      </w:r>
      <w:r w:rsidRPr="00EA59C0">
        <w:t>or</w:t>
      </w:r>
      <w:r w:rsidR="00C026A6" w:rsidRPr="00EA59C0">
        <w:t xml:space="preserve"> </w:t>
      </w:r>
      <w:r w:rsidRPr="00EA59C0">
        <w:t>created</w:t>
      </w:r>
      <w:r w:rsidR="00C026A6" w:rsidRPr="00EA59C0">
        <w:t xml:space="preserve"> </w:t>
      </w:r>
      <w:r w:rsidRPr="00EA59C0">
        <w:t>with</w:t>
      </w:r>
      <w:r w:rsidR="00C026A6" w:rsidRPr="00EA59C0">
        <w:t xml:space="preserve"> </w:t>
      </w:r>
      <w:r w:rsidRPr="00EA59C0">
        <w:t>TAACCCT</w:t>
      </w:r>
      <w:r w:rsidR="00C026A6" w:rsidRPr="00EA59C0">
        <w:t xml:space="preserve"> </w:t>
      </w:r>
      <w:r w:rsidRPr="00EA59C0">
        <w:t>grant</w:t>
      </w:r>
      <w:r w:rsidR="00C026A6" w:rsidRPr="00EA59C0">
        <w:t xml:space="preserve"> </w:t>
      </w:r>
      <w:r w:rsidRPr="00EA59C0">
        <w:t>funds</w:t>
      </w:r>
      <w:r w:rsidR="00C026A6" w:rsidRPr="00EA59C0">
        <w:t xml:space="preserve"> </w:t>
      </w:r>
      <w:r w:rsidRPr="00EA59C0">
        <w:t>under</w:t>
      </w:r>
      <w:r w:rsidR="00C026A6" w:rsidRPr="00EA59C0">
        <w:t xml:space="preserve"> </w:t>
      </w:r>
      <w:r w:rsidRPr="00EA59C0">
        <w:t>an</w:t>
      </w:r>
      <w:r w:rsidR="00C026A6" w:rsidRPr="00EA59C0">
        <w:t xml:space="preserve"> </w:t>
      </w:r>
      <w:r w:rsidRPr="00EA59C0">
        <w:t>open</w:t>
      </w:r>
      <w:r w:rsidR="00C026A6" w:rsidRPr="00EA59C0">
        <w:t xml:space="preserve"> </w:t>
      </w:r>
      <w:r w:rsidRPr="00EA59C0">
        <w:t>license</w:t>
      </w:r>
      <w:r w:rsidR="00C026A6" w:rsidRPr="00EA59C0">
        <w:t xml:space="preserve"> </w:t>
      </w:r>
      <w:r w:rsidRPr="00EA59C0">
        <w:t>acceptable</w:t>
      </w:r>
      <w:r w:rsidR="00C026A6" w:rsidRPr="00EA59C0">
        <w:t xml:space="preserve"> </w:t>
      </w:r>
      <w:r w:rsidRPr="00EA59C0">
        <w:t>to</w:t>
      </w:r>
      <w:r w:rsidR="00C026A6" w:rsidRPr="00EA59C0">
        <w:t xml:space="preserve"> </w:t>
      </w:r>
      <w:r w:rsidRPr="00EA59C0">
        <w:t>either</w:t>
      </w:r>
      <w:r w:rsidR="00C026A6" w:rsidRPr="00EA59C0">
        <w:t xml:space="preserve"> </w:t>
      </w:r>
      <w:r w:rsidRPr="00EA59C0">
        <w:t>the</w:t>
      </w:r>
      <w:r w:rsidR="00C026A6" w:rsidRPr="00EA59C0">
        <w:t xml:space="preserve"> </w:t>
      </w:r>
      <w:r w:rsidRPr="00EA59C0">
        <w:t>Free</w:t>
      </w:r>
      <w:r w:rsidR="00C026A6" w:rsidRPr="00EA59C0">
        <w:t xml:space="preserve"> </w:t>
      </w:r>
      <w:r w:rsidRPr="00EA59C0">
        <w:t>Software</w:t>
      </w:r>
      <w:r w:rsidR="00C026A6" w:rsidRPr="00EA59C0">
        <w:t xml:space="preserve"> </w:t>
      </w:r>
      <w:r w:rsidRPr="00EA59C0">
        <w:t>Foundation</w:t>
      </w:r>
      <w:r w:rsidR="00C026A6" w:rsidRPr="00EA59C0">
        <w:t xml:space="preserve"> </w:t>
      </w:r>
      <w:r w:rsidRPr="00EA59C0">
        <w:t>and/or</w:t>
      </w:r>
      <w:r w:rsidR="00C026A6" w:rsidRPr="00EA59C0">
        <w:t xml:space="preserve"> </w:t>
      </w:r>
      <w:r w:rsidRPr="00EA59C0">
        <w:t>the</w:t>
      </w:r>
      <w:r w:rsidR="00C026A6" w:rsidRPr="00EA59C0">
        <w:t xml:space="preserve"> </w:t>
      </w:r>
      <w:r w:rsidRPr="00EA59C0">
        <w:t>Open</w:t>
      </w:r>
      <w:r w:rsidR="00C026A6" w:rsidRPr="00EA59C0">
        <w:t xml:space="preserve"> </w:t>
      </w:r>
      <w:r w:rsidRPr="00EA59C0">
        <w:t>Source</w:t>
      </w:r>
      <w:r w:rsidR="00C026A6" w:rsidRPr="00EA59C0">
        <w:t xml:space="preserve"> </w:t>
      </w:r>
      <w:r w:rsidRPr="00EA59C0">
        <w:t>Initiative.</w:t>
      </w:r>
    </w:p>
    <w:p w:rsidR="00E55EBD" w:rsidRPr="00EA59C0" w:rsidRDefault="00E55EBD" w:rsidP="00C072FA">
      <w:pPr>
        <w:ind w:left="1080"/>
      </w:pPr>
    </w:p>
    <w:p w:rsidR="00E55EBD" w:rsidRPr="00EA59C0" w:rsidRDefault="00E55EBD" w:rsidP="00C072FA">
      <w:pPr>
        <w:ind w:left="1080"/>
      </w:pPr>
      <w:r w:rsidRPr="00EA59C0">
        <w:t>Separate</w:t>
      </w:r>
      <w:r w:rsidR="00C026A6" w:rsidRPr="00EA59C0">
        <w:t xml:space="preserve"> </w:t>
      </w:r>
      <w:r w:rsidRPr="00EA59C0">
        <w:t>from</w:t>
      </w:r>
      <w:r w:rsidR="00C026A6" w:rsidRPr="00EA59C0">
        <w:t xml:space="preserve"> </w:t>
      </w:r>
      <w:r w:rsidRPr="00EA59C0">
        <w:t>the</w:t>
      </w:r>
      <w:r w:rsidR="00C026A6" w:rsidRPr="00EA59C0">
        <w:t xml:space="preserve"> </w:t>
      </w:r>
      <w:r w:rsidRPr="00EA59C0">
        <w:t>CC</w:t>
      </w:r>
      <w:r w:rsidR="00C026A6" w:rsidRPr="00EA59C0">
        <w:t xml:space="preserve"> </w:t>
      </w:r>
      <w:r w:rsidRPr="00EA59C0">
        <w:t>BY</w:t>
      </w:r>
      <w:r w:rsidR="00C026A6" w:rsidRPr="00EA59C0">
        <w:t xml:space="preserve"> </w:t>
      </w:r>
      <w:r w:rsidRPr="00EA59C0">
        <w:t>license</w:t>
      </w:r>
      <w:r w:rsidR="00C026A6" w:rsidRPr="00EA59C0">
        <w:t xml:space="preserve"> </w:t>
      </w:r>
      <w:r w:rsidRPr="00EA59C0">
        <w:t>to</w:t>
      </w:r>
      <w:r w:rsidR="00C026A6" w:rsidRPr="00EA59C0">
        <w:t xml:space="preserve"> </w:t>
      </w:r>
      <w:r w:rsidRPr="00EA59C0">
        <w:t>the</w:t>
      </w:r>
      <w:r w:rsidR="00C026A6" w:rsidRPr="00EA59C0">
        <w:t xml:space="preserve"> </w:t>
      </w:r>
      <w:r w:rsidRPr="00EA59C0">
        <w:t>public,</w:t>
      </w:r>
      <w:r w:rsidR="00C026A6" w:rsidRPr="00EA59C0">
        <w:t xml:space="preserve"> </w:t>
      </w:r>
      <w:r w:rsidRPr="00EA59C0">
        <w:t>the</w:t>
      </w:r>
      <w:r w:rsidR="00C026A6" w:rsidRPr="00EA59C0">
        <w:t xml:space="preserve"> </w:t>
      </w:r>
      <w:r w:rsidRPr="00EA59C0">
        <w:t>Federal</w:t>
      </w:r>
      <w:r w:rsidR="00C026A6" w:rsidRPr="00EA59C0">
        <w:t xml:space="preserve"> </w:t>
      </w:r>
      <w:r w:rsidRPr="00EA59C0">
        <w:t>Government</w:t>
      </w:r>
      <w:r w:rsidR="00C026A6" w:rsidRPr="00EA59C0">
        <w:t xml:space="preserve"> </w:t>
      </w:r>
      <w:r w:rsidRPr="00EA59C0">
        <w:t>reserves</w:t>
      </w:r>
      <w:r w:rsidR="00C026A6" w:rsidRPr="00EA59C0">
        <w:t xml:space="preserve"> </w:t>
      </w:r>
      <w:r w:rsidRPr="00EA59C0">
        <w:t>a</w:t>
      </w:r>
      <w:r w:rsidR="00C026A6" w:rsidRPr="00EA59C0">
        <w:t xml:space="preserve"> </w:t>
      </w:r>
      <w:r w:rsidRPr="00EA59C0">
        <w:t>paid-up,</w:t>
      </w:r>
      <w:r w:rsidR="00C026A6" w:rsidRPr="00EA59C0">
        <w:t xml:space="preserve"> </w:t>
      </w:r>
      <w:r w:rsidRPr="00EA59C0">
        <w:t>nonexclusive</w:t>
      </w:r>
      <w:r w:rsidR="00C026A6" w:rsidRPr="00EA59C0">
        <w:t xml:space="preserve"> </w:t>
      </w:r>
      <w:r w:rsidRPr="00EA59C0">
        <w:t>and</w:t>
      </w:r>
      <w:r w:rsidR="00C026A6" w:rsidRPr="00EA59C0">
        <w:t xml:space="preserve"> </w:t>
      </w:r>
      <w:r w:rsidRPr="00EA59C0">
        <w:t>irrevocable</w:t>
      </w:r>
      <w:r w:rsidR="00C026A6" w:rsidRPr="00EA59C0">
        <w:t xml:space="preserve"> </w:t>
      </w:r>
      <w:r w:rsidRPr="00EA59C0">
        <w:t>license</w:t>
      </w:r>
      <w:r w:rsidR="00C026A6" w:rsidRPr="00EA59C0">
        <w:t xml:space="preserve"> </w:t>
      </w:r>
      <w:r w:rsidRPr="00EA59C0">
        <w:t>to</w:t>
      </w:r>
      <w:r w:rsidR="00C026A6" w:rsidRPr="00EA59C0">
        <w:t xml:space="preserve"> </w:t>
      </w:r>
      <w:r w:rsidRPr="00EA59C0">
        <w:t>reproduce,</w:t>
      </w:r>
      <w:r w:rsidR="00C026A6" w:rsidRPr="00EA59C0">
        <w:t xml:space="preserve"> </w:t>
      </w:r>
      <w:r w:rsidRPr="00EA59C0">
        <w:t>publish,</w:t>
      </w:r>
      <w:r w:rsidR="00C026A6" w:rsidRPr="00EA59C0">
        <w:t xml:space="preserve"> </w:t>
      </w:r>
      <w:r w:rsidRPr="00EA59C0">
        <w:t>or</w:t>
      </w:r>
      <w:r w:rsidR="00C026A6" w:rsidRPr="00EA59C0">
        <w:t xml:space="preserve"> </w:t>
      </w:r>
      <w:r w:rsidRPr="00EA59C0">
        <w:t>otherwise</w:t>
      </w:r>
      <w:r w:rsidR="00C026A6" w:rsidRPr="00EA59C0">
        <w:t xml:space="preserve"> </w:t>
      </w:r>
      <w:r w:rsidRPr="00EA59C0">
        <w:t>use,</w:t>
      </w:r>
      <w:r w:rsidR="00C026A6" w:rsidRPr="00EA59C0">
        <w:t xml:space="preserve"> </w:t>
      </w:r>
      <w:r w:rsidRPr="00EA59C0">
        <w:t>and</w:t>
      </w:r>
      <w:r w:rsidR="00C026A6" w:rsidRPr="00EA59C0">
        <w:t xml:space="preserve"> </w:t>
      </w:r>
      <w:r w:rsidRPr="00EA59C0">
        <w:t>to</w:t>
      </w:r>
      <w:r w:rsidR="00C026A6" w:rsidRPr="00EA59C0">
        <w:t xml:space="preserve"> </w:t>
      </w:r>
      <w:r w:rsidRPr="00EA59C0">
        <w:t>authorize</w:t>
      </w:r>
      <w:r w:rsidR="00C026A6" w:rsidRPr="00EA59C0">
        <w:t xml:space="preserve"> </w:t>
      </w:r>
      <w:r w:rsidRPr="00EA59C0">
        <w:t>others</w:t>
      </w:r>
      <w:r w:rsidR="00C026A6" w:rsidRPr="00EA59C0">
        <w:t xml:space="preserve"> </w:t>
      </w:r>
      <w:r w:rsidRPr="00EA59C0">
        <w:t>to</w:t>
      </w:r>
      <w:r w:rsidR="00C026A6" w:rsidRPr="00EA59C0">
        <w:t xml:space="preserve"> </w:t>
      </w:r>
      <w:r w:rsidRPr="00EA59C0">
        <w:t>use</w:t>
      </w:r>
      <w:r w:rsidR="00C026A6" w:rsidRPr="00EA59C0">
        <w:t xml:space="preserve"> </w:t>
      </w:r>
      <w:r w:rsidRPr="00EA59C0">
        <w:t>for</w:t>
      </w:r>
      <w:r w:rsidR="00C026A6" w:rsidRPr="00EA59C0">
        <w:t xml:space="preserve"> </w:t>
      </w:r>
      <w:r w:rsidRPr="00EA59C0">
        <w:t>Federal</w:t>
      </w:r>
      <w:r w:rsidR="00C026A6" w:rsidRPr="00EA59C0">
        <w:t xml:space="preserve"> </w:t>
      </w:r>
      <w:r w:rsidRPr="00EA59C0">
        <w:t>purposes:</w:t>
      </w:r>
      <w:r w:rsidR="00C026A6" w:rsidRPr="00EA59C0">
        <w:t xml:space="preserve">  </w:t>
      </w:r>
      <w:r w:rsidRPr="00EA59C0">
        <w:t>the</w:t>
      </w:r>
      <w:r w:rsidR="00C026A6" w:rsidRPr="00EA59C0">
        <w:t xml:space="preserve"> </w:t>
      </w:r>
      <w:r w:rsidRPr="00EA59C0">
        <w:t>copyright</w:t>
      </w:r>
      <w:r w:rsidR="00C026A6" w:rsidRPr="00EA59C0">
        <w:t xml:space="preserve"> </w:t>
      </w:r>
      <w:r w:rsidRPr="00EA59C0">
        <w:t>in</w:t>
      </w:r>
      <w:r w:rsidR="00C026A6" w:rsidRPr="00EA59C0">
        <w:t xml:space="preserve"> </w:t>
      </w:r>
      <w:r w:rsidRPr="00EA59C0">
        <w:t>all</w:t>
      </w:r>
      <w:r w:rsidR="00C026A6" w:rsidRPr="00EA59C0">
        <w:t xml:space="preserve"> </w:t>
      </w:r>
      <w:r w:rsidRPr="00EA59C0">
        <w:t>products</w:t>
      </w:r>
      <w:r w:rsidR="00C026A6" w:rsidRPr="00EA59C0">
        <w:t xml:space="preserve"> </w:t>
      </w:r>
      <w:r w:rsidRPr="00EA59C0">
        <w:t>developed</w:t>
      </w:r>
      <w:r w:rsidR="00C026A6" w:rsidRPr="00EA59C0">
        <w:t xml:space="preserve"> </w:t>
      </w:r>
      <w:r w:rsidRPr="00EA59C0">
        <w:t>under</w:t>
      </w:r>
      <w:r w:rsidR="00C026A6" w:rsidRPr="00EA59C0">
        <w:t xml:space="preserve"> </w:t>
      </w:r>
      <w:r w:rsidRPr="00EA59C0">
        <w:t>the</w:t>
      </w:r>
      <w:r w:rsidR="00C026A6" w:rsidRPr="00EA59C0">
        <w:t xml:space="preserve"> </w:t>
      </w:r>
      <w:r w:rsidRPr="00EA59C0">
        <w:t>grant,</w:t>
      </w:r>
      <w:r w:rsidR="00C026A6" w:rsidRPr="00EA59C0">
        <w:t xml:space="preserve"> </w:t>
      </w:r>
      <w:r w:rsidRPr="00EA59C0">
        <w:t>including</w:t>
      </w:r>
      <w:r w:rsidR="00C026A6" w:rsidRPr="00EA59C0">
        <w:t xml:space="preserve"> </w:t>
      </w:r>
      <w:r w:rsidRPr="00EA59C0">
        <w:t>a</w:t>
      </w:r>
      <w:r w:rsidR="00C026A6" w:rsidRPr="00EA59C0">
        <w:t xml:space="preserve"> </w:t>
      </w:r>
      <w:r w:rsidRPr="00EA59C0">
        <w:t>purchases</w:t>
      </w:r>
      <w:r w:rsidR="00C026A6" w:rsidRPr="00EA59C0">
        <w:t xml:space="preserve"> </w:t>
      </w:r>
      <w:r w:rsidRPr="00EA59C0">
        <w:t>ownership</w:t>
      </w:r>
      <w:r w:rsidR="00C026A6" w:rsidRPr="00EA59C0">
        <w:t xml:space="preserve"> </w:t>
      </w:r>
      <w:r w:rsidRPr="00EA59C0">
        <w:t>under</w:t>
      </w:r>
      <w:r w:rsidR="00C026A6" w:rsidRPr="00EA59C0">
        <w:t xml:space="preserve"> </w:t>
      </w:r>
      <w:r w:rsidRPr="00EA59C0">
        <w:t>an</w:t>
      </w:r>
      <w:r w:rsidR="00C026A6" w:rsidRPr="00EA59C0">
        <w:t xml:space="preserve"> </w:t>
      </w:r>
      <w:r w:rsidRPr="00EA59C0">
        <w:t>award</w:t>
      </w:r>
      <w:r w:rsidR="00C026A6" w:rsidRPr="00EA59C0">
        <w:t xml:space="preserve"> </w:t>
      </w:r>
      <w:r w:rsidRPr="00EA59C0">
        <w:t>(including,</w:t>
      </w:r>
      <w:r w:rsidR="00C026A6" w:rsidRPr="00EA59C0">
        <w:t xml:space="preserve"> </w:t>
      </w:r>
      <w:r w:rsidRPr="00EA59C0">
        <w:t>but</w:t>
      </w:r>
      <w:r w:rsidR="00C026A6" w:rsidRPr="00EA59C0">
        <w:t xml:space="preserve"> </w:t>
      </w:r>
      <w:r w:rsidRPr="00EA59C0">
        <w:t>not</w:t>
      </w:r>
      <w:r w:rsidR="00C026A6" w:rsidRPr="00EA59C0">
        <w:t xml:space="preserve"> </w:t>
      </w:r>
      <w:r w:rsidRPr="00EA59C0">
        <w:t>limited</w:t>
      </w:r>
      <w:r w:rsidR="00C026A6" w:rsidRPr="00EA59C0">
        <w:t xml:space="preserve"> </w:t>
      </w:r>
      <w:r w:rsidRPr="00EA59C0">
        <w:t>to,</w:t>
      </w:r>
      <w:r w:rsidR="00C026A6" w:rsidRPr="00EA59C0">
        <w:t xml:space="preserve"> </w:t>
      </w:r>
      <w:r w:rsidRPr="00EA59C0">
        <w:t>curricula,</w:t>
      </w:r>
      <w:r w:rsidR="00C026A6" w:rsidRPr="00EA59C0">
        <w:t xml:space="preserve"> </w:t>
      </w:r>
      <w:r w:rsidRPr="00EA59C0">
        <w:t>training</w:t>
      </w:r>
      <w:r w:rsidR="00C026A6" w:rsidRPr="00EA59C0">
        <w:t xml:space="preserve"> </w:t>
      </w:r>
      <w:r w:rsidRPr="00EA59C0">
        <w:t>models,</w:t>
      </w:r>
      <w:r w:rsidR="00C026A6" w:rsidRPr="00EA59C0">
        <w:t xml:space="preserve"> </w:t>
      </w:r>
      <w:r w:rsidRPr="00EA59C0">
        <w:t>technical</w:t>
      </w:r>
      <w:r w:rsidR="00C026A6" w:rsidRPr="00EA59C0">
        <w:t xml:space="preserve"> </w:t>
      </w:r>
      <w:r w:rsidRPr="00EA59C0">
        <w:t>assistance</w:t>
      </w:r>
      <w:r w:rsidR="00C026A6" w:rsidRPr="00EA59C0">
        <w:t xml:space="preserve"> </w:t>
      </w:r>
      <w:r w:rsidRPr="00EA59C0">
        <w:t>products,</w:t>
      </w:r>
      <w:r w:rsidR="00C026A6" w:rsidRPr="00EA59C0">
        <w:t xml:space="preserve"> </w:t>
      </w:r>
      <w:r w:rsidRPr="00EA59C0">
        <w:t>and</w:t>
      </w:r>
      <w:r w:rsidR="00C026A6" w:rsidRPr="00EA59C0">
        <w:t xml:space="preserve"> </w:t>
      </w:r>
      <w:r w:rsidRPr="00EA59C0">
        <w:t>any</w:t>
      </w:r>
      <w:r w:rsidR="00C026A6" w:rsidRPr="00EA59C0">
        <w:t xml:space="preserve"> </w:t>
      </w:r>
      <w:r w:rsidRPr="00EA59C0">
        <w:t>related</w:t>
      </w:r>
      <w:r w:rsidR="00C026A6" w:rsidRPr="00EA59C0">
        <w:t xml:space="preserve"> </w:t>
      </w:r>
      <w:r w:rsidRPr="00EA59C0">
        <w:t>materials).</w:t>
      </w:r>
      <w:r w:rsidR="00C026A6" w:rsidRPr="00EA59C0">
        <w:t xml:space="preserve">  </w:t>
      </w:r>
      <w:r w:rsidRPr="00EA59C0">
        <w:t>Such</w:t>
      </w:r>
      <w:r w:rsidR="00C026A6" w:rsidRPr="00EA59C0">
        <w:t xml:space="preserve"> </w:t>
      </w:r>
      <w:r w:rsidRPr="00EA59C0">
        <w:t>uses</w:t>
      </w:r>
      <w:r w:rsidR="00C026A6" w:rsidRPr="00EA59C0">
        <w:t xml:space="preserve"> </w:t>
      </w:r>
      <w:r w:rsidRPr="00EA59C0">
        <w:t>include,</w:t>
      </w:r>
      <w:r w:rsidR="00C026A6" w:rsidRPr="00EA59C0">
        <w:t xml:space="preserve"> </w:t>
      </w:r>
      <w:r w:rsidRPr="00EA59C0">
        <w:t>but</w:t>
      </w:r>
      <w:r w:rsidR="00C026A6" w:rsidRPr="00EA59C0">
        <w:t xml:space="preserve"> </w:t>
      </w:r>
      <w:r w:rsidRPr="00EA59C0">
        <w:t>are</w:t>
      </w:r>
      <w:r w:rsidR="00C026A6" w:rsidRPr="00EA59C0">
        <w:t xml:space="preserve"> </w:t>
      </w:r>
      <w:r w:rsidRPr="00EA59C0">
        <w:t>not</w:t>
      </w:r>
      <w:r w:rsidR="00C026A6" w:rsidRPr="00EA59C0">
        <w:t xml:space="preserve"> </w:t>
      </w:r>
      <w:r w:rsidRPr="00EA59C0">
        <w:t>limited</w:t>
      </w:r>
      <w:r w:rsidR="00C026A6" w:rsidRPr="00EA59C0">
        <w:t xml:space="preserve"> </w:t>
      </w:r>
      <w:r w:rsidRPr="00EA59C0">
        <w:t>to,</w:t>
      </w:r>
      <w:r w:rsidR="00C026A6" w:rsidRPr="00EA59C0">
        <w:t xml:space="preserve"> </w:t>
      </w:r>
      <w:r w:rsidRPr="00EA59C0">
        <w:t>the</w:t>
      </w:r>
      <w:r w:rsidR="00C026A6" w:rsidRPr="00EA59C0">
        <w:t xml:space="preserve"> </w:t>
      </w:r>
      <w:r w:rsidRPr="00EA59C0">
        <w:t>right</w:t>
      </w:r>
      <w:r w:rsidR="00C026A6" w:rsidRPr="00EA59C0">
        <w:t xml:space="preserve"> </w:t>
      </w:r>
      <w:r w:rsidRPr="00EA59C0">
        <w:t>to</w:t>
      </w:r>
      <w:r w:rsidR="00C026A6" w:rsidRPr="00EA59C0">
        <w:t xml:space="preserve"> </w:t>
      </w:r>
      <w:r w:rsidRPr="00EA59C0">
        <w:t>modify</w:t>
      </w:r>
      <w:r w:rsidR="00C026A6" w:rsidRPr="00EA59C0">
        <w:t xml:space="preserve"> </w:t>
      </w:r>
      <w:r w:rsidRPr="00EA59C0">
        <w:t>and</w:t>
      </w:r>
      <w:r w:rsidR="00C026A6" w:rsidRPr="00EA59C0">
        <w:t xml:space="preserve"> </w:t>
      </w:r>
      <w:r w:rsidRPr="00EA59C0">
        <w:t>distribute</w:t>
      </w:r>
      <w:r w:rsidR="00C026A6" w:rsidRPr="00EA59C0">
        <w:t xml:space="preserve"> </w:t>
      </w:r>
      <w:r w:rsidRPr="00EA59C0">
        <w:t>such</w:t>
      </w:r>
      <w:r w:rsidR="00C026A6" w:rsidRPr="00EA59C0">
        <w:t xml:space="preserve"> </w:t>
      </w:r>
      <w:r w:rsidRPr="00EA59C0">
        <w:t>products</w:t>
      </w:r>
      <w:r w:rsidR="00C026A6" w:rsidRPr="00EA59C0">
        <w:t xml:space="preserve"> </w:t>
      </w:r>
      <w:r w:rsidRPr="00EA59C0">
        <w:t>worldwide</w:t>
      </w:r>
      <w:r w:rsidR="00C026A6" w:rsidRPr="00EA59C0">
        <w:t xml:space="preserve"> </w:t>
      </w:r>
      <w:r w:rsidRPr="00EA59C0">
        <w:t>by</w:t>
      </w:r>
      <w:r w:rsidR="00C026A6" w:rsidRPr="00EA59C0">
        <w:t xml:space="preserve"> </w:t>
      </w:r>
      <w:r w:rsidRPr="00EA59C0">
        <w:t>any</w:t>
      </w:r>
      <w:r w:rsidR="00C026A6" w:rsidRPr="00EA59C0">
        <w:t xml:space="preserve"> </w:t>
      </w:r>
      <w:r w:rsidRPr="00EA59C0">
        <w:t>means,</w:t>
      </w:r>
      <w:r w:rsidR="00C026A6" w:rsidRPr="00EA59C0">
        <w:t xml:space="preserve"> </w:t>
      </w:r>
      <w:r w:rsidRPr="00EA59C0">
        <w:t>electronically</w:t>
      </w:r>
      <w:r w:rsidR="00C026A6" w:rsidRPr="00EA59C0">
        <w:t xml:space="preserve"> </w:t>
      </w:r>
      <w:r w:rsidRPr="00EA59C0">
        <w:t>or</w:t>
      </w:r>
      <w:r w:rsidR="00C026A6" w:rsidRPr="00EA59C0">
        <w:t xml:space="preserve"> </w:t>
      </w:r>
      <w:r w:rsidRPr="00EA59C0">
        <w:t>otherwise.</w:t>
      </w:r>
      <w:r w:rsidR="00C026A6" w:rsidRPr="00EA59C0">
        <w:t xml:space="preserve">  </w:t>
      </w:r>
      <w:r w:rsidRPr="00EA59C0">
        <w:t>The</w:t>
      </w:r>
      <w:r w:rsidR="00C026A6" w:rsidRPr="00EA59C0">
        <w:t xml:space="preserve"> </w:t>
      </w:r>
      <w:r w:rsidRPr="00EA59C0">
        <w:t>grantee</w:t>
      </w:r>
      <w:r w:rsidR="00C026A6" w:rsidRPr="00EA59C0">
        <w:t xml:space="preserve"> </w:t>
      </w:r>
      <w:r w:rsidRPr="00EA59C0">
        <w:t>may</w:t>
      </w:r>
      <w:r w:rsidR="00C026A6" w:rsidRPr="00EA59C0">
        <w:t xml:space="preserve"> </w:t>
      </w:r>
      <w:r w:rsidRPr="00EA59C0">
        <w:t>not</w:t>
      </w:r>
      <w:r w:rsidR="00C026A6" w:rsidRPr="00EA59C0">
        <w:t xml:space="preserve"> </w:t>
      </w:r>
      <w:r w:rsidRPr="00EA59C0">
        <w:t>use</w:t>
      </w:r>
      <w:r w:rsidR="00C026A6" w:rsidRPr="00EA59C0">
        <w:t xml:space="preserve"> </w:t>
      </w:r>
      <w:r w:rsidRPr="00EA59C0">
        <w:t>Federal</w:t>
      </w:r>
      <w:r w:rsidR="00C026A6" w:rsidRPr="00EA59C0">
        <w:t xml:space="preserve"> </w:t>
      </w:r>
      <w:r w:rsidRPr="00EA59C0">
        <w:t>funds</w:t>
      </w:r>
      <w:r w:rsidR="00C026A6" w:rsidRPr="00EA59C0">
        <w:t xml:space="preserve"> </w:t>
      </w:r>
      <w:r w:rsidRPr="00EA59C0">
        <w:t>to</w:t>
      </w:r>
      <w:r w:rsidR="00C026A6" w:rsidRPr="00EA59C0">
        <w:t xml:space="preserve"> </w:t>
      </w:r>
      <w:r w:rsidRPr="00EA59C0">
        <w:t>pay</w:t>
      </w:r>
      <w:r w:rsidR="00C026A6" w:rsidRPr="00EA59C0">
        <w:t xml:space="preserve"> </w:t>
      </w:r>
      <w:r w:rsidRPr="00EA59C0">
        <w:t>any</w:t>
      </w:r>
      <w:r w:rsidR="00C026A6" w:rsidRPr="00EA59C0">
        <w:t xml:space="preserve"> </w:t>
      </w:r>
      <w:r w:rsidRPr="00EA59C0">
        <w:t>royalty</w:t>
      </w:r>
      <w:r w:rsidR="00C026A6" w:rsidRPr="00EA59C0">
        <w:t xml:space="preserve"> </w:t>
      </w:r>
      <w:r w:rsidRPr="00EA59C0">
        <w:t>or</w:t>
      </w:r>
      <w:r w:rsidR="00C026A6" w:rsidRPr="00EA59C0">
        <w:t xml:space="preserve"> </w:t>
      </w:r>
      <w:r w:rsidRPr="00EA59C0">
        <w:t>license</w:t>
      </w:r>
      <w:r w:rsidR="00C026A6" w:rsidRPr="00EA59C0">
        <w:t xml:space="preserve"> </w:t>
      </w:r>
      <w:r w:rsidRPr="00EA59C0">
        <w:t>fee</w:t>
      </w:r>
      <w:r w:rsidR="00C026A6" w:rsidRPr="00EA59C0">
        <w:t xml:space="preserve"> </w:t>
      </w:r>
      <w:r w:rsidRPr="00EA59C0">
        <w:t>for</w:t>
      </w:r>
      <w:r w:rsidR="00C026A6" w:rsidRPr="00EA59C0">
        <w:t xml:space="preserve"> </w:t>
      </w:r>
      <w:r w:rsidRPr="00EA59C0">
        <w:t>use</w:t>
      </w:r>
      <w:r w:rsidR="00C026A6" w:rsidRPr="00EA59C0">
        <w:t xml:space="preserve"> </w:t>
      </w:r>
      <w:r w:rsidRPr="00EA59C0">
        <w:t>of</w:t>
      </w:r>
      <w:r w:rsidR="00C026A6" w:rsidRPr="00EA59C0">
        <w:t xml:space="preserve"> </w:t>
      </w:r>
      <w:r w:rsidRPr="00EA59C0">
        <w:t>a</w:t>
      </w:r>
      <w:r w:rsidR="00C026A6" w:rsidRPr="00EA59C0">
        <w:t xml:space="preserve"> </w:t>
      </w:r>
      <w:r w:rsidRPr="00EA59C0">
        <w:t>copyrighted</w:t>
      </w:r>
      <w:r w:rsidR="00C026A6" w:rsidRPr="00EA59C0">
        <w:t xml:space="preserve"> </w:t>
      </w:r>
      <w:r w:rsidRPr="00EA59C0">
        <w:t>work,</w:t>
      </w:r>
      <w:r w:rsidR="00C026A6" w:rsidRPr="00EA59C0">
        <w:t xml:space="preserve"> </w:t>
      </w:r>
      <w:r w:rsidRPr="00EA59C0">
        <w:t>or</w:t>
      </w:r>
      <w:r w:rsidR="00C026A6" w:rsidRPr="00EA59C0">
        <w:t xml:space="preserve"> </w:t>
      </w:r>
      <w:r w:rsidRPr="00EA59C0">
        <w:t>the</w:t>
      </w:r>
      <w:r w:rsidR="00C026A6" w:rsidRPr="00EA59C0">
        <w:t xml:space="preserve"> </w:t>
      </w:r>
      <w:r w:rsidRPr="00EA59C0">
        <w:t>cost</w:t>
      </w:r>
      <w:r w:rsidR="00C026A6" w:rsidRPr="00EA59C0">
        <w:t xml:space="preserve"> </w:t>
      </w:r>
      <w:r w:rsidRPr="00EA59C0">
        <w:t>of</w:t>
      </w:r>
      <w:r w:rsidR="00C026A6" w:rsidRPr="00EA59C0">
        <w:t xml:space="preserve"> </w:t>
      </w:r>
      <w:r w:rsidRPr="00EA59C0">
        <w:t>acquiring</w:t>
      </w:r>
      <w:r w:rsidR="00C026A6" w:rsidRPr="00EA59C0">
        <w:t xml:space="preserve"> </w:t>
      </w:r>
      <w:r w:rsidRPr="00EA59C0">
        <w:t>by</w:t>
      </w:r>
      <w:r w:rsidR="00C026A6" w:rsidRPr="00EA59C0">
        <w:t xml:space="preserve"> </w:t>
      </w:r>
      <w:r w:rsidRPr="00EA59C0">
        <w:t>purchase</w:t>
      </w:r>
      <w:r w:rsidR="00C026A6" w:rsidRPr="00EA59C0">
        <w:t xml:space="preserve"> </w:t>
      </w:r>
      <w:r w:rsidRPr="00EA59C0">
        <w:t>a</w:t>
      </w:r>
      <w:r w:rsidR="00C026A6" w:rsidRPr="00EA59C0">
        <w:t xml:space="preserve"> </w:t>
      </w:r>
      <w:r w:rsidRPr="00EA59C0">
        <w:t>copyright</w:t>
      </w:r>
      <w:r w:rsidR="00C026A6" w:rsidRPr="00EA59C0">
        <w:t xml:space="preserve"> </w:t>
      </w:r>
      <w:r w:rsidRPr="00EA59C0">
        <w:t>in</w:t>
      </w:r>
      <w:r w:rsidR="00C026A6" w:rsidRPr="00EA59C0">
        <w:t xml:space="preserve"> </w:t>
      </w:r>
      <w:r w:rsidRPr="00EA59C0">
        <w:t>a</w:t>
      </w:r>
      <w:r w:rsidR="00C026A6" w:rsidRPr="00EA59C0">
        <w:t xml:space="preserve"> </w:t>
      </w:r>
      <w:r w:rsidRPr="00EA59C0">
        <w:t>work,</w:t>
      </w:r>
      <w:r w:rsidR="00C026A6" w:rsidRPr="00EA59C0">
        <w:t xml:space="preserve"> </w:t>
      </w:r>
      <w:r w:rsidRPr="00EA59C0">
        <w:t>where</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has</w:t>
      </w:r>
      <w:r w:rsidR="00C026A6" w:rsidRPr="00EA59C0">
        <w:t xml:space="preserve"> </w:t>
      </w:r>
      <w:r w:rsidRPr="00EA59C0">
        <w:t>a</w:t>
      </w:r>
      <w:r w:rsidR="00C026A6" w:rsidRPr="00EA59C0">
        <w:t xml:space="preserve"> </w:t>
      </w:r>
      <w:r w:rsidRPr="00EA59C0">
        <w:t>license</w:t>
      </w:r>
      <w:r w:rsidR="00C026A6" w:rsidRPr="00EA59C0">
        <w:t xml:space="preserve"> </w:t>
      </w:r>
      <w:r w:rsidRPr="00EA59C0">
        <w:t>or</w:t>
      </w:r>
      <w:r w:rsidR="00C026A6" w:rsidRPr="00EA59C0">
        <w:t xml:space="preserve"> </w:t>
      </w:r>
      <w:r w:rsidRPr="00EA59C0">
        <w:t>rights</w:t>
      </w:r>
      <w:r w:rsidR="00C026A6" w:rsidRPr="00EA59C0">
        <w:t xml:space="preserve"> </w:t>
      </w:r>
      <w:r w:rsidRPr="00EA59C0">
        <w:t>of</w:t>
      </w:r>
      <w:r w:rsidR="00C026A6" w:rsidRPr="00EA59C0">
        <w:t xml:space="preserve"> </w:t>
      </w:r>
      <w:r w:rsidRPr="00EA59C0">
        <w:t>free</w:t>
      </w:r>
      <w:r w:rsidR="00C026A6" w:rsidRPr="00EA59C0">
        <w:t xml:space="preserve"> </w:t>
      </w:r>
      <w:r w:rsidRPr="00EA59C0">
        <w:t>use</w:t>
      </w:r>
      <w:r w:rsidR="00C026A6" w:rsidRPr="00EA59C0">
        <w:t xml:space="preserve"> </w:t>
      </w:r>
      <w:r w:rsidRPr="00EA59C0">
        <w:t>in</w:t>
      </w:r>
      <w:r w:rsidR="00C026A6" w:rsidRPr="00EA59C0">
        <w:t xml:space="preserve"> </w:t>
      </w:r>
      <w:r w:rsidRPr="00EA59C0">
        <w:t>such</w:t>
      </w:r>
      <w:r w:rsidR="00C026A6" w:rsidRPr="00EA59C0">
        <w:t xml:space="preserve"> </w:t>
      </w:r>
      <w:r w:rsidRPr="00EA59C0">
        <w:t>work.</w:t>
      </w:r>
      <w:r w:rsidR="00C026A6" w:rsidRPr="00EA59C0">
        <w:t xml:space="preserve">  </w:t>
      </w:r>
      <w:r w:rsidRPr="00EA59C0">
        <w:t>If</w:t>
      </w:r>
      <w:r w:rsidR="00C026A6" w:rsidRPr="00EA59C0">
        <w:t xml:space="preserve"> </w:t>
      </w:r>
      <w:r w:rsidRPr="00EA59C0">
        <w:t>revenues</w:t>
      </w:r>
      <w:r w:rsidR="00C026A6" w:rsidRPr="00EA59C0">
        <w:t xml:space="preserve"> </w:t>
      </w:r>
      <w:r w:rsidRPr="00EA59C0">
        <w:t>are</w:t>
      </w:r>
      <w:r w:rsidR="00C026A6" w:rsidRPr="00EA59C0">
        <w:t xml:space="preserve"> </w:t>
      </w:r>
      <w:r w:rsidRPr="00EA59C0">
        <w:t>generated</w:t>
      </w:r>
      <w:r w:rsidR="00C026A6" w:rsidRPr="00EA59C0">
        <w:t xml:space="preserve"> </w:t>
      </w:r>
      <w:r w:rsidRPr="00EA59C0">
        <w:t>through</w:t>
      </w:r>
      <w:r w:rsidR="00C026A6" w:rsidRPr="00EA59C0">
        <w:t xml:space="preserve"> </w:t>
      </w:r>
      <w:r w:rsidRPr="00EA59C0">
        <w:t>selling</w:t>
      </w:r>
      <w:r w:rsidR="00C026A6" w:rsidRPr="00EA59C0">
        <w:t xml:space="preserve"> </w:t>
      </w:r>
      <w:r w:rsidRPr="00EA59C0">
        <w:t>products</w:t>
      </w:r>
      <w:r w:rsidR="00C026A6" w:rsidRPr="00EA59C0">
        <w:t xml:space="preserve"> </w:t>
      </w:r>
      <w:r w:rsidRPr="00EA59C0">
        <w:t>developed</w:t>
      </w:r>
      <w:r w:rsidR="00C026A6" w:rsidRPr="00EA59C0">
        <w:t xml:space="preserve"> </w:t>
      </w:r>
      <w:r w:rsidRPr="00EA59C0">
        <w:t>with</w:t>
      </w:r>
      <w:r w:rsidR="00C026A6" w:rsidRPr="00EA59C0">
        <w:t xml:space="preserve"> </w:t>
      </w:r>
      <w:r w:rsidRPr="00EA59C0">
        <w:t>grant</w:t>
      </w:r>
      <w:r w:rsidR="00C026A6" w:rsidRPr="00EA59C0">
        <w:t xml:space="preserve"> </w:t>
      </w:r>
      <w:r w:rsidRPr="00EA59C0">
        <w:t>funds,</w:t>
      </w:r>
      <w:r w:rsidR="00C026A6" w:rsidRPr="00EA59C0">
        <w:t xml:space="preserve"> </w:t>
      </w:r>
      <w:r w:rsidRPr="00EA59C0">
        <w:t>including</w:t>
      </w:r>
      <w:r w:rsidR="00C026A6" w:rsidRPr="00EA59C0">
        <w:t xml:space="preserve"> </w:t>
      </w:r>
      <w:r w:rsidRPr="00EA59C0">
        <w:t>intellectual</w:t>
      </w:r>
      <w:r w:rsidR="00C026A6" w:rsidRPr="00EA59C0">
        <w:t xml:space="preserve"> </w:t>
      </w:r>
      <w:r w:rsidRPr="00EA59C0">
        <w:t>property,</w:t>
      </w:r>
      <w:r w:rsidR="00C026A6" w:rsidRPr="00EA59C0">
        <w:t xml:space="preserve"> </w:t>
      </w:r>
      <w:r w:rsidRPr="00EA59C0">
        <w:t>these</w:t>
      </w:r>
      <w:r w:rsidR="00C026A6" w:rsidRPr="00EA59C0">
        <w:t xml:space="preserve"> </w:t>
      </w:r>
      <w:r w:rsidRPr="00EA59C0">
        <w:t>revenues</w:t>
      </w:r>
      <w:r w:rsidR="00C026A6" w:rsidRPr="00EA59C0">
        <w:t xml:space="preserve"> </w:t>
      </w:r>
      <w:r w:rsidRPr="00EA59C0">
        <w:t>are</w:t>
      </w:r>
      <w:r w:rsidR="00C026A6" w:rsidRPr="00EA59C0">
        <w:t xml:space="preserve"> </w:t>
      </w:r>
      <w:r w:rsidRPr="00EA59C0">
        <w:t>program</w:t>
      </w:r>
      <w:r w:rsidR="00C026A6" w:rsidRPr="00EA59C0">
        <w:t xml:space="preserve"> </w:t>
      </w:r>
      <w:r w:rsidRPr="00EA59C0">
        <w:t>income.</w:t>
      </w:r>
      <w:r w:rsidR="00C026A6" w:rsidRPr="00EA59C0">
        <w:t xml:space="preserve">  </w:t>
      </w:r>
      <w:r w:rsidRPr="00EA59C0">
        <w:t>Program</w:t>
      </w:r>
      <w:r w:rsidR="00C026A6" w:rsidRPr="00EA59C0">
        <w:t xml:space="preserve"> </w:t>
      </w:r>
      <w:r w:rsidRPr="00EA59C0">
        <w:t>income</w:t>
      </w:r>
      <w:r w:rsidR="00C026A6" w:rsidRPr="00EA59C0">
        <w:t xml:space="preserve"> </w:t>
      </w:r>
      <w:r w:rsidRPr="00EA59C0">
        <w:t>is</w:t>
      </w:r>
      <w:r w:rsidR="00C026A6" w:rsidRPr="00EA59C0">
        <w:t xml:space="preserve"> </w:t>
      </w:r>
      <w:r w:rsidRPr="00EA59C0">
        <w:t>added</w:t>
      </w:r>
      <w:r w:rsidR="00C026A6" w:rsidRPr="00EA59C0">
        <w:t xml:space="preserve"> </w:t>
      </w:r>
      <w:r w:rsidRPr="00EA59C0">
        <w:t>to</w:t>
      </w:r>
      <w:r w:rsidR="00C026A6" w:rsidRPr="00EA59C0">
        <w:t xml:space="preserve"> </w:t>
      </w:r>
      <w:r w:rsidRPr="00EA59C0">
        <w:t>the</w:t>
      </w:r>
      <w:r w:rsidR="00C026A6" w:rsidRPr="00EA59C0">
        <w:t xml:space="preserve"> </w:t>
      </w:r>
      <w:r w:rsidRPr="00EA59C0">
        <w:t>grant</w:t>
      </w:r>
      <w:r w:rsidR="00C026A6" w:rsidRPr="00EA59C0">
        <w:t xml:space="preserve"> </w:t>
      </w:r>
      <w:r w:rsidRPr="00EA59C0">
        <w:t>and</w:t>
      </w:r>
      <w:r w:rsidR="00C026A6" w:rsidRPr="00EA59C0">
        <w:t xml:space="preserve"> </w:t>
      </w:r>
      <w:r w:rsidRPr="00EA59C0">
        <w:t>must</w:t>
      </w:r>
      <w:r w:rsidR="00C026A6" w:rsidRPr="00EA59C0">
        <w:t xml:space="preserve"> </w:t>
      </w:r>
      <w:r w:rsidRPr="00EA59C0">
        <w:t>be</w:t>
      </w:r>
      <w:r w:rsidR="00C026A6" w:rsidRPr="00EA59C0">
        <w:t xml:space="preserve"> </w:t>
      </w:r>
      <w:r w:rsidRPr="00EA59C0">
        <w:t>expended</w:t>
      </w:r>
      <w:r w:rsidR="00C026A6" w:rsidRPr="00EA59C0">
        <w:t xml:space="preserve"> </w:t>
      </w:r>
      <w:r w:rsidRPr="00EA59C0">
        <w:t>for</w:t>
      </w:r>
      <w:r w:rsidR="00C026A6" w:rsidRPr="00EA59C0">
        <w:t xml:space="preserve"> </w:t>
      </w:r>
      <w:r w:rsidRPr="00EA59C0">
        <w:t>allowable</w:t>
      </w:r>
      <w:r w:rsidR="00C026A6" w:rsidRPr="00EA59C0">
        <w:t xml:space="preserve"> </w:t>
      </w:r>
      <w:r w:rsidRPr="00EA59C0">
        <w:t>grant</w:t>
      </w:r>
      <w:r w:rsidR="00C026A6" w:rsidRPr="00EA59C0">
        <w:t xml:space="preserve"> </w:t>
      </w:r>
      <w:r w:rsidRPr="00EA59C0">
        <w:t>activities.</w:t>
      </w:r>
      <w:r w:rsidR="00C026A6" w:rsidRPr="00EA59C0">
        <w:t xml:space="preserve"> </w:t>
      </w:r>
    </w:p>
    <w:p w:rsidR="00E55EBD" w:rsidRPr="00EA59C0" w:rsidRDefault="00E55EBD" w:rsidP="00C072FA">
      <w:pPr>
        <w:ind w:left="1080"/>
      </w:pPr>
    </w:p>
    <w:p w:rsidR="00E55EBD" w:rsidRPr="00EA59C0" w:rsidRDefault="00E55EBD" w:rsidP="00C072FA">
      <w:pPr>
        <w:ind w:left="1080"/>
      </w:pPr>
      <w:r w:rsidRPr="00EA59C0">
        <w:t>If</w:t>
      </w:r>
      <w:r w:rsidR="00C026A6" w:rsidRPr="00EA59C0">
        <w:t xml:space="preserve"> </w:t>
      </w:r>
      <w:r w:rsidRPr="00EA59C0">
        <w:t>applicable,</w:t>
      </w:r>
      <w:r w:rsidR="00C026A6" w:rsidRPr="00EA59C0">
        <w:t xml:space="preserve"> </w:t>
      </w:r>
      <w:r w:rsidRPr="00EA59C0">
        <w:t>the</w:t>
      </w:r>
      <w:r w:rsidR="00C026A6" w:rsidRPr="00EA59C0">
        <w:t xml:space="preserve"> </w:t>
      </w:r>
      <w:r w:rsidRPr="00EA59C0">
        <w:t>following</w:t>
      </w:r>
      <w:r w:rsidR="00C026A6" w:rsidRPr="00EA59C0">
        <w:t xml:space="preserve"> </w:t>
      </w:r>
      <w:r w:rsidRPr="00EA59C0">
        <w:t>needs</w:t>
      </w:r>
      <w:r w:rsidR="00C026A6" w:rsidRPr="00EA59C0">
        <w:t xml:space="preserve"> </w:t>
      </w:r>
      <w:r w:rsidRPr="00EA59C0">
        <w:t>to</w:t>
      </w:r>
      <w:r w:rsidR="00C026A6" w:rsidRPr="00EA59C0">
        <w:t xml:space="preserve"> </w:t>
      </w:r>
      <w:r w:rsidRPr="00EA59C0">
        <w:t>be</w:t>
      </w:r>
      <w:r w:rsidR="00C026A6" w:rsidRPr="00EA59C0">
        <w:t xml:space="preserve"> </w:t>
      </w:r>
      <w:r w:rsidRPr="00EA59C0">
        <w:t>on</w:t>
      </w:r>
      <w:r w:rsidR="00C026A6" w:rsidRPr="00EA59C0">
        <w:t xml:space="preserve"> </w:t>
      </w:r>
      <w:r w:rsidRPr="00EA59C0">
        <w:t>all</w:t>
      </w:r>
      <w:r w:rsidR="00C026A6" w:rsidRPr="00EA59C0">
        <w:t xml:space="preserve"> </w:t>
      </w:r>
      <w:r w:rsidRPr="00EA59C0">
        <w:t>products</w:t>
      </w:r>
      <w:r w:rsidR="00C026A6" w:rsidRPr="00EA59C0">
        <w:t xml:space="preserve"> </w:t>
      </w:r>
      <w:r w:rsidRPr="00EA59C0">
        <w:t>developed</w:t>
      </w:r>
      <w:r w:rsidR="00C026A6" w:rsidRPr="00EA59C0">
        <w:t xml:space="preserve"> </w:t>
      </w:r>
      <w:r w:rsidRPr="00EA59C0">
        <w:t>in</w:t>
      </w:r>
      <w:r w:rsidR="00C026A6" w:rsidRPr="00EA59C0">
        <w:t xml:space="preserve"> </w:t>
      </w:r>
      <w:r w:rsidRPr="00EA59C0">
        <w:t>whole</w:t>
      </w:r>
      <w:r w:rsidR="00C026A6" w:rsidRPr="00EA59C0">
        <w:t xml:space="preserve"> </w:t>
      </w:r>
      <w:r w:rsidRPr="00EA59C0">
        <w:t>or</w:t>
      </w:r>
      <w:r w:rsidR="00C026A6" w:rsidRPr="00EA59C0">
        <w:t xml:space="preserve"> </w:t>
      </w:r>
      <w:r w:rsidRPr="00EA59C0">
        <w:t>in</w:t>
      </w:r>
      <w:r w:rsidR="00C026A6" w:rsidRPr="00EA59C0">
        <w:t xml:space="preserve"> </w:t>
      </w:r>
      <w:r w:rsidRPr="00EA59C0">
        <w:t>part</w:t>
      </w:r>
      <w:r w:rsidR="00C026A6" w:rsidRPr="00EA59C0">
        <w:t xml:space="preserve"> </w:t>
      </w:r>
      <w:r w:rsidRPr="00EA59C0">
        <w:t>with</w:t>
      </w:r>
      <w:r w:rsidR="00C026A6" w:rsidRPr="00EA59C0">
        <w:t xml:space="preserve"> </w:t>
      </w:r>
      <w:r w:rsidRPr="00EA59C0">
        <w:t>grant</w:t>
      </w:r>
      <w:r w:rsidR="00C026A6" w:rsidRPr="00EA59C0">
        <w:t xml:space="preserve"> </w:t>
      </w:r>
      <w:r w:rsidRPr="00EA59C0">
        <w:t>funds,</w:t>
      </w:r>
      <w:r w:rsidR="00C026A6" w:rsidRPr="00EA59C0">
        <w:t xml:space="preserve"> </w:t>
      </w:r>
      <w:r w:rsidRPr="00EA59C0">
        <w:t>“This</w:t>
      </w:r>
      <w:r w:rsidR="00C026A6" w:rsidRPr="00EA59C0">
        <w:t xml:space="preserve"> </w:t>
      </w:r>
      <w:r w:rsidRPr="00EA59C0">
        <w:t>workforce</w:t>
      </w:r>
      <w:r w:rsidR="00C026A6" w:rsidRPr="00EA59C0">
        <w:t xml:space="preserve"> </w:t>
      </w:r>
      <w:r w:rsidRPr="00EA59C0">
        <w:t>product</w:t>
      </w:r>
      <w:r w:rsidR="00C026A6" w:rsidRPr="00EA59C0">
        <w:t xml:space="preserve"> </w:t>
      </w:r>
      <w:r w:rsidRPr="00EA59C0">
        <w:t>was</w:t>
      </w:r>
      <w:r w:rsidR="00C026A6" w:rsidRPr="00EA59C0">
        <w:t xml:space="preserve"> </w:t>
      </w:r>
      <w:r w:rsidRPr="00EA59C0">
        <w:t>funded</w:t>
      </w:r>
      <w:r w:rsidR="00C026A6" w:rsidRPr="00EA59C0">
        <w:t xml:space="preserve"> </w:t>
      </w:r>
      <w:r w:rsidRPr="00EA59C0">
        <w:t>by</w:t>
      </w:r>
      <w:r w:rsidR="00C026A6" w:rsidRPr="00EA59C0">
        <w:t xml:space="preserve"> </w:t>
      </w:r>
      <w:r w:rsidRPr="00EA59C0">
        <w:t>a</w:t>
      </w:r>
      <w:r w:rsidR="00C026A6" w:rsidRPr="00EA59C0">
        <w:t xml:space="preserve"> </w:t>
      </w:r>
      <w:r w:rsidRPr="00EA59C0">
        <w:t>grant</w:t>
      </w:r>
      <w:r w:rsidR="00C026A6" w:rsidRPr="00EA59C0">
        <w:t xml:space="preserve"> </w:t>
      </w:r>
      <w:r w:rsidRPr="00EA59C0">
        <w:t>awarded</w:t>
      </w:r>
      <w:r w:rsidR="00C026A6" w:rsidRPr="00EA59C0">
        <w:t xml:space="preserve"> </w:t>
      </w:r>
      <w:r w:rsidRPr="00EA59C0">
        <w:t>by</w:t>
      </w:r>
      <w:r w:rsidR="00C026A6" w:rsidRPr="00EA59C0">
        <w:t xml:space="preserve"> </w:t>
      </w:r>
      <w:r w:rsidRPr="00EA59C0">
        <w:t>the</w:t>
      </w:r>
      <w:r w:rsidR="00C026A6" w:rsidRPr="00EA59C0">
        <w:t xml:space="preserve"> </w:t>
      </w:r>
      <w:r w:rsidRPr="00EA59C0">
        <w:t>U.S.</w:t>
      </w:r>
      <w:r w:rsidR="00C026A6" w:rsidRPr="00EA59C0">
        <w:t xml:space="preserve"> </w:t>
      </w:r>
      <w:r w:rsidRPr="00EA59C0">
        <w:t>Department</w:t>
      </w:r>
      <w:r w:rsidR="00C026A6" w:rsidRPr="00EA59C0">
        <w:t xml:space="preserve"> </w:t>
      </w:r>
      <w:r w:rsidRPr="00EA59C0">
        <w:t>of</w:t>
      </w:r>
      <w:r w:rsidR="00C026A6" w:rsidRPr="00EA59C0">
        <w:t xml:space="preserve"> </w:t>
      </w:r>
      <w:r w:rsidRPr="00EA59C0">
        <w:t>Labor’s</w:t>
      </w:r>
      <w:r w:rsidR="00C026A6" w:rsidRPr="00EA59C0">
        <w:t xml:space="preserve"> </w:t>
      </w:r>
      <w:r w:rsidRPr="00EA59C0">
        <w:t>Employment</w:t>
      </w:r>
      <w:r w:rsidR="00C026A6" w:rsidRPr="00EA59C0">
        <w:t xml:space="preserve"> </w:t>
      </w:r>
      <w:r w:rsidRPr="00EA59C0">
        <w:t>and</w:t>
      </w:r>
      <w:r w:rsidR="00C026A6" w:rsidRPr="00EA59C0">
        <w:t xml:space="preserve"> </w:t>
      </w:r>
      <w:r w:rsidRPr="00EA59C0">
        <w:t>Training</w:t>
      </w:r>
      <w:r w:rsidR="00C026A6" w:rsidRPr="00EA59C0">
        <w:t xml:space="preserve"> </w:t>
      </w:r>
      <w:r w:rsidRPr="00EA59C0">
        <w:t>Administration.</w:t>
      </w:r>
      <w:r w:rsidR="00C026A6" w:rsidRPr="00EA59C0">
        <w:t xml:space="preserve">  </w:t>
      </w:r>
      <w:r w:rsidRPr="00EA59C0">
        <w:t>The</w:t>
      </w:r>
      <w:r w:rsidR="00C026A6" w:rsidRPr="00EA59C0">
        <w:t xml:space="preserve"> </w:t>
      </w:r>
      <w:r w:rsidRPr="00EA59C0">
        <w:t>product</w:t>
      </w:r>
      <w:r w:rsidR="00C026A6" w:rsidRPr="00EA59C0">
        <w:t xml:space="preserve"> </w:t>
      </w:r>
      <w:r w:rsidRPr="00EA59C0">
        <w:t>was</w:t>
      </w:r>
      <w:r w:rsidR="00C026A6" w:rsidRPr="00EA59C0">
        <w:t xml:space="preserve"> </w:t>
      </w:r>
      <w:r w:rsidRPr="00EA59C0">
        <w:t>created</w:t>
      </w:r>
      <w:r w:rsidR="00C026A6" w:rsidRPr="00EA59C0">
        <w:t xml:space="preserve"> </w:t>
      </w:r>
      <w:r w:rsidRPr="00EA59C0">
        <w:t>by</w:t>
      </w:r>
      <w:r w:rsidR="00C026A6" w:rsidRPr="00EA59C0">
        <w:t xml:space="preserve"> </w:t>
      </w:r>
      <w:r w:rsidRPr="00EA59C0">
        <w:t>the</w:t>
      </w:r>
      <w:r w:rsidR="00C026A6" w:rsidRPr="00EA59C0">
        <w:t xml:space="preserve"> </w:t>
      </w:r>
      <w:r w:rsidRPr="00EA59C0">
        <w:t>grantee</w:t>
      </w:r>
      <w:r w:rsidR="00C026A6" w:rsidRPr="00EA59C0">
        <w:t xml:space="preserve"> </w:t>
      </w:r>
      <w:r w:rsidRPr="00EA59C0">
        <w:t>and</w:t>
      </w:r>
      <w:r w:rsidR="00C026A6" w:rsidRPr="00EA59C0">
        <w:t xml:space="preserve"> </w:t>
      </w:r>
      <w:r w:rsidRPr="00EA59C0">
        <w:t>does</w:t>
      </w:r>
      <w:r w:rsidR="00C026A6" w:rsidRPr="00EA59C0">
        <w:t xml:space="preserve"> </w:t>
      </w:r>
      <w:r w:rsidRPr="00EA59C0">
        <w:t>not</w:t>
      </w:r>
      <w:r w:rsidR="00C026A6" w:rsidRPr="00EA59C0">
        <w:t xml:space="preserve"> </w:t>
      </w:r>
      <w:r w:rsidRPr="00EA59C0">
        <w:t>necessarily</w:t>
      </w:r>
      <w:r w:rsidR="00C026A6" w:rsidRPr="00EA59C0">
        <w:t xml:space="preserve"> </w:t>
      </w:r>
      <w:r w:rsidRPr="00EA59C0">
        <w:t>reflect</w:t>
      </w:r>
      <w:r w:rsidR="00C026A6" w:rsidRPr="00EA59C0">
        <w:t xml:space="preserve"> </w:t>
      </w:r>
      <w:r w:rsidRPr="00EA59C0">
        <w:t>the</w:t>
      </w:r>
      <w:r w:rsidR="00C026A6" w:rsidRPr="00EA59C0">
        <w:t xml:space="preserve"> </w:t>
      </w:r>
      <w:r w:rsidRPr="00EA59C0">
        <w:t>official</w:t>
      </w:r>
      <w:r w:rsidR="00C026A6" w:rsidRPr="00EA59C0">
        <w:t xml:space="preserve"> </w:t>
      </w:r>
      <w:r w:rsidRPr="00EA59C0">
        <w:t>position</w:t>
      </w:r>
      <w:r w:rsidR="00C026A6" w:rsidRPr="00EA59C0">
        <w:t xml:space="preserve"> </w:t>
      </w:r>
      <w:r w:rsidRPr="00EA59C0">
        <w:t>of</w:t>
      </w:r>
      <w:r w:rsidR="00C026A6" w:rsidRPr="00EA59C0">
        <w:t xml:space="preserve"> </w:t>
      </w:r>
      <w:r w:rsidRPr="00EA59C0">
        <w:t>the</w:t>
      </w:r>
      <w:r w:rsidR="00C026A6" w:rsidRPr="00EA59C0">
        <w:t xml:space="preserve"> </w:t>
      </w:r>
      <w:r w:rsidRPr="00EA59C0">
        <w:t>U.S.</w:t>
      </w:r>
      <w:r w:rsidR="00C026A6" w:rsidRPr="00EA59C0">
        <w:t xml:space="preserve"> </w:t>
      </w:r>
      <w:r w:rsidRPr="00EA59C0">
        <w:t>Department</w:t>
      </w:r>
      <w:r w:rsidR="00C026A6" w:rsidRPr="00EA59C0">
        <w:t xml:space="preserve"> </w:t>
      </w:r>
      <w:r w:rsidRPr="00EA59C0">
        <w:t>of</w:t>
      </w:r>
      <w:r w:rsidR="00C026A6" w:rsidRPr="00EA59C0">
        <w:t xml:space="preserve"> </w:t>
      </w:r>
      <w:r w:rsidRPr="00EA59C0">
        <w:t>Labor.</w:t>
      </w:r>
      <w:r w:rsidR="00C026A6" w:rsidRPr="00EA59C0">
        <w:t xml:space="preserve">  </w:t>
      </w:r>
      <w:r w:rsidRPr="00EA59C0">
        <w:t>The</w:t>
      </w:r>
      <w:r w:rsidR="00C026A6" w:rsidRPr="00EA59C0">
        <w:t xml:space="preserve"> </w:t>
      </w:r>
      <w:r w:rsidRPr="00EA59C0">
        <w:t>U.S.</w:t>
      </w:r>
      <w:r w:rsidR="00C026A6" w:rsidRPr="00EA59C0">
        <w:t xml:space="preserve"> </w:t>
      </w:r>
      <w:r w:rsidRPr="00EA59C0">
        <w:t>Department</w:t>
      </w:r>
      <w:r w:rsidR="00C026A6" w:rsidRPr="00EA59C0">
        <w:t xml:space="preserve"> </w:t>
      </w:r>
      <w:r w:rsidRPr="00EA59C0">
        <w:t>of</w:t>
      </w:r>
      <w:r w:rsidR="00C026A6" w:rsidRPr="00EA59C0">
        <w:t xml:space="preserve"> </w:t>
      </w:r>
      <w:r w:rsidRPr="00EA59C0">
        <w:t>Labor</w:t>
      </w:r>
      <w:r w:rsidR="00C026A6" w:rsidRPr="00EA59C0">
        <w:t xml:space="preserve"> </w:t>
      </w:r>
      <w:r w:rsidRPr="00EA59C0">
        <w:t>makes</w:t>
      </w:r>
      <w:r w:rsidR="00C026A6" w:rsidRPr="00EA59C0">
        <w:t xml:space="preserve"> </w:t>
      </w:r>
      <w:r w:rsidRPr="00EA59C0">
        <w:t>no</w:t>
      </w:r>
      <w:r w:rsidR="00C026A6" w:rsidRPr="00EA59C0">
        <w:t xml:space="preserve"> </w:t>
      </w:r>
      <w:r w:rsidRPr="00EA59C0">
        <w:t>guarantees,</w:t>
      </w:r>
      <w:r w:rsidR="00C026A6" w:rsidRPr="00EA59C0">
        <w:t xml:space="preserve"> </w:t>
      </w:r>
      <w:r w:rsidRPr="00EA59C0">
        <w:t>warranties,</w:t>
      </w:r>
      <w:r w:rsidR="00C026A6" w:rsidRPr="00EA59C0">
        <w:t xml:space="preserve"> </w:t>
      </w:r>
      <w:r w:rsidRPr="00EA59C0">
        <w:t>or</w:t>
      </w:r>
      <w:r w:rsidR="00C026A6" w:rsidRPr="00EA59C0">
        <w:t xml:space="preserve"> </w:t>
      </w:r>
      <w:r w:rsidRPr="00EA59C0">
        <w:t>assurances</w:t>
      </w:r>
      <w:r w:rsidR="00C026A6" w:rsidRPr="00EA59C0">
        <w:t xml:space="preserve"> </w:t>
      </w:r>
      <w:r w:rsidRPr="00EA59C0">
        <w:t>of</w:t>
      </w:r>
      <w:r w:rsidR="00C026A6" w:rsidRPr="00EA59C0">
        <w:t xml:space="preserve"> </w:t>
      </w:r>
      <w:r w:rsidRPr="00EA59C0">
        <w:t>any</w:t>
      </w:r>
      <w:r w:rsidR="00C026A6" w:rsidRPr="00EA59C0">
        <w:t xml:space="preserve"> </w:t>
      </w:r>
      <w:r w:rsidRPr="00EA59C0">
        <w:t>kind,</w:t>
      </w:r>
      <w:r w:rsidR="00C026A6" w:rsidRPr="00EA59C0">
        <w:t xml:space="preserve"> </w:t>
      </w:r>
      <w:r w:rsidRPr="00EA59C0">
        <w:t>express</w:t>
      </w:r>
      <w:r w:rsidR="00C026A6" w:rsidRPr="00EA59C0">
        <w:t xml:space="preserve"> </w:t>
      </w:r>
      <w:r w:rsidRPr="00EA59C0">
        <w:t>or</w:t>
      </w:r>
      <w:r w:rsidR="00C026A6" w:rsidRPr="00EA59C0">
        <w:t xml:space="preserve"> </w:t>
      </w:r>
      <w:r w:rsidRPr="00EA59C0">
        <w:t>implied,</w:t>
      </w:r>
      <w:r w:rsidR="00C026A6" w:rsidRPr="00EA59C0">
        <w:t xml:space="preserve"> </w:t>
      </w:r>
      <w:r w:rsidRPr="00EA59C0">
        <w:t>with</w:t>
      </w:r>
      <w:r w:rsidR="00C026A6" w:rsidRPr="00EA59C0">
        <w:t xml:space="preserve"> </w:t>
      </w:r>
      <w:r w:rsidRPr="00EA59C0">
        <w:t>respect</w:t>
      </w:r>
      <w:r w:rsidR="00C026A6" w:rsidRPr="00EA59C0">
        <w:t xml:space="preserve"> </w:t>
      </w:r>
      <w:r w:rsidRPr="00EA59C0">
        <w:t>to</w:t>
      </w:r>
      <w:r w:rsidR="00C026A6" w:rsidRPr="00EA59C0">
        <w:t xml:space="preserve"> </w:t>
      </w:r>
      <w:r w:rsidRPr="00EA59C0">
        <w:t>such</w:t>
      </w:r>
      <w:r w:rsidR="00C026A6" w:rsidRPr="00EA59C0">
        <w:t xml:space="preserve"> </w:t>
      </w:r>
      <w:r w:rsidRPr="00EA59C0">
        <w:t>information,</w:t>
      </w:r>
      <w:r w:rsidR="00C026A6" w:rsidRPr="00EA59C0">
        <w:t xml:space="preserve"> </w:t>
      </w:r>
      <w:r w:rsidRPr="00EA59C0">
        <w:t>including</w:t>
      </w:r>
      <w:r w:rsidR="00C026A6" w:rsidRPr="00EA59C0">
        <w:t xml:space="preserve"> </w:t>
      </w:r>
      <w:r w:rsidRPr="00EA59C0">
        <w:t>any</w:t>
      </w:r>
      <w:r w:rsidR="00C026A6" w:rsidRPr="00EA59C0">
        <w:t xml:space="preserve"> </w:t>
      </w:r>
      <w:r w:rsidRPr="00EA59C0">
        <w:t>information</w:t>
      </w:r>
      <w:r w:rsidR="00C026A6" w:rsidRPr="00EA59C0">
        <w:t xml:space="preserve"> </w:t>
      </w:r>
      <w:r w:rsidRPr="00EA59C0">
        <w:t>on</w:t>
      </w:r>
      <w:r w:rsidR="00C026A6" w:rsidRPr="00EA59C0">
        <w:t xml:space="preserve"> </w:t>
      </w:r>
      <w:r w:rsidRPr="00EA59C0">
        <w:t>linked</w:t>
      </w:r>
      <w:r w:rsidR="00C026A6" w:rsidRPr="00EA59C0">
        <w:t xml:space="preserve"> </w:t>
      </w:r>
      <w:r w:rsidRPr="00EA59C0">
        <w:t>sites</w:t>
      </w:r>
      <w:r w:rsidR="00C026A6" w:rsidRPr="00EA59C0">
        <w:t xml:space="preserve"> </w:t>
      </w:r>
      <w:r w:rsidRPr="00EA59C0">
        <w:t>and</w:t>
      </w:r>
      <w:r w:rsidR="00C026A6" w:rsidRPr="00EA59C0">
        <w:t xml:space="preserve"> </w:t>
      </w:r>
      <w:r w:rsidRPr="00EA59C0">
        <w:t>including,</w:t>
      </w:r>
      <w:r w:rsidR="00C026A6" w:rsidRPr="00EA59C0">
        <w:t xml:space="preserve"> </w:t>
      </w:r>
      <w:r w:rsidRPr="00EA59C0">
        <w:t>but</w:t>
      </w:r>
      <w:r w:rsidR="00C026A6" w:rsidRPr="00EA59C0">
        <w:t xml:space="preserve"> </w:t>
      </w:r>
      <w:r w:rsidRPr="00EA59C0">
        <w:t>not</w:t>
      </w:r>
      <w:r w:rsidR="00C026A6" w:rsidRPr="00EA59C0">
        <w:t xml:space="preserve"> </w:t>
      </w:r>
      <w:r w:rsidRPr="00EA59C0">
        <w:t>limited</w:t>
      </w:r>
      <w:r w:rsidR="00C026A6" w:rsidRPr="00EA59C0">
        <w:t xml:space="preserve"> </w:t>
      </w:r>
      <w:r w:rsidRPr="00EA59C0">
        <w:t>to,</w:t>
      </w:r>
      <w:r w:rsidR="00C026A6" w:rsidRPr="00EA59C0">
        <w:t xml:space="preserve"> </w:t>
      </w:r>
      <w:r w:rsidRPr="00EA59C0">
        <w:t>accuracy</w:t>
      </w:r>
      <w:r w:rsidR="00C026A6" w:rsidRPr="00EA59C0">
        <w:t xml:space="preserve"> </w:t>
      </w:r>
      <w:r w:rsidRPr="00EA59C0">
        <w:t>of</w:t>
      </w:r>
      <w:r w:rsidR="00C026A6" w:rsidRPr="00EA59C0">
        <w:t xml:space="preserve"> </w:t>
      </w:r>
      <w:r w:rsidRPr="00EA59C0">
        <w:t>the</w:t>
      </w:r>
      <w:r w:rsidR="00C026A6" w:rsidRPr="00EA59C0">
        <w:t xml:space="preserve"> </w:t>
      </w:r>
      <w:r w:rsidRPr="00EA59C0">
        <w:t>information</w:t>
      </w:r>
      <w:r w:rsidR="00C026A6" w:rsidRPr="00EA59C0">
        <w:t xml:space="preserve"> </w:t>
      </w:r>
      <w:r w:rsidRPr="00EA59C0">
        <w:t>or</w:t>
      </w:r>
      <w:r w:rsidR="00C026A6" w:rsidRPr="00EA59C0">
        <w:t xml:space="preserve"> </w:t>
      </w:r>
      <w:r w:rsidRPr="00EA59C0">
        <w:t>its</w:t>
      </w:r>
      <w:r w:rsidR="00C026A6" w:rsidRPr="00EA59C0">
        <w:t xml:space="preserve"> </w:t>
      </w:r>
      <w:r w:rsidRPr="00EA59C0">
        <w:t>completeness,</w:t>
      </w:r>
      <w:r w:rsidR="00C026A6" w:rsidRPr="00EA59C0">
        <w:t xml:space="preserve"> </w:t>
      </w:r>
      <w:r w:rsidRPr="00EA59C0">
        <w:t>timeliness,</w:t>
      </w:r>
      <w:r w:rsidR="00C026A6" w:rsidRPr="00EA59C0">
        <w:t xml:space="preserve"> </w:t>
      </w:r>
      <w:r w:rsidRPr="00EA59C0">
        <w:t>usefulness,</w:t>
      </w:r>
      <w:r w:rsidR="00C026A6" w:rsidRPr="00EA59C0">
        <w:t xml:space="preserve"> </w:t>
      </w:r>
      <w:r w:rsidRPr="00EA59C0">
        <w:t>adequacy,</w:t>
      </w:r>
      <w:r w:rsidR="00C026A6" w:rsidRPr="00EA59C0">
        <w:t xml:space="preserve"> </w:t>
      </w:r>
      <w:r w:rsidRPr="00EA59C0">
        <w:t>continued</w:t>
      </w:r>
      <w:r w:rsidR="00C026A6" w:rsidRPr="00EA59C0">
        <w:t xml:space="preserve"> </w:t>
      </w:r>
      <w:r w:rsidRPr="00EA59C0">
        <w:t>availability,</w:t>
      </w:r>
      <w:r w:rsidR="00C026A6" w:rsidRPr="00EA59C0">
        <w:t xml:space="preserve"> </w:t>
      </w:r>
      <w:r w:rsidRPr="00EA59C0">
        <w:t>or</w:t>
      </w:r>
      <w:r w:rsidR="00C026A6" w:rsidRPr="00EA59C0">
        <w:t xml:space="preserve"> </w:t>
      </w:r>
      <w:r w:rsidRPr="00EA59C0">
        <w:t>ownership.”</w:t>
      </w:r>
    </w:p>
    <w:p w:rsidR="00C07325" w:rsidRPr="00EA59C0" w:rsidRDefault="00C07325" w:rsidP="00C072FA">
      <w:pPr>
        <w:ind w:left="1080"/>
      </w:pPr>
    </w:p>
    <w:p w:rsidR="0046767F" w:rsidRPr="00EA59C0" w:rsidRDefault="0046767F" w:rsidP="004913DF">
      <w:pPr>
        <w:pStyle w:val="Heading1"/>
        <w:numPr>
          <w:ilvl w:val="2"/>
          <w:numId w:val="17"/>
        </w:numPr>
        <w:spacing w:line="240" w:lineRule="auto"/>
        <w:rPr>
          <w:rFonts w:ascii="Times New Roman" w:hAnsi="Times New Roman"/>
          <w:b w:val="0"/>
        </w:rPr>
      </w:pPr>
      <w:r w:rsidRPr="00EA59C0">
        <w:rPr>
          <w:rFonts w:ascii="Times New Roman" w:hAnsi="Times New Roman"/>
          <w:b w:val="0"/>
        </w:rPr>
        <w:t>Grant</w:t>
      </w:r>
      <w:r w:rsidR="00C026A6" w:rsidRPr="00EA59C0">
        <w:rPr>
          <w:rFonts w:ascii="Times New Roman" w:hAnsi="Times New Roman"/>
          <w:b w:val="0"/>
        </w:rPr>
        <w:t xml:space="preserve"> </w:t>
      </w:r>
      <w:r w:rsidRPr="00EA59C0">
        <w:rPr>
          <w:rFonts w:ascii="Times New Roman" w:hAnsi="Times New Roman"/>
          <w:b w:val="0"/>
        </w:rPr>
        <w:t>Recipient</w:t>
      </w:r>
      <w:r w:rsidR="00C026A6" w:rsidRPr="00EA59C0">
        <w:rPr>
          <w:rFonts w:ascii="Times New Roman" w:hAnsi="Times New Roman"/>
          <w:b w:val="0"/>
        </w:rPr>
        <w:t xml:space="preserve"> </w:t>
      </w:r>
      <w:r w:rsidRPr="00EA59C0">
        <w:rPr>
          <w:rFonts w:ascii="Times New Roman" w:hAnsi="Times New Roman"/>
          <w:b w:val="0"/>
        </w:rPr>
        <w:t>Training</w:t>
      </w:r>
    </w:p>
    <w:p w:rsidR="00C07325" w:rsidRPr="00EA59C0" w:rsidRDefault="00A65360" w:rsidP="00C072FA">
      <w:pPr>
        <w:ind w:left="1080"/>
      </w:pPr>
      <w:r w:rsidRPr="00EA59C0">
        <w:t>Grantees</w:t>
      </w:r>
      <w:r w:rsidR="00C026A6" w:rsidRPr="00EA59C0">
        <w:t xml:space="preserve"> </w:t>
      </w:r>
      <w:r w:rsidR="00723848" w:rsidRPr="00EA59C0">
        <w:t>are</w:t>
      </w:r>
      <w:r w:rsidR="00C026A6" w:rsidRPr="00EA59C0">
        <w:t xml:space="preserve"> </w:t>
      </w:r>
      <w:r w:rsidR="00723848" w:rsidRPr="00EA59C0">
        <w:t>required</w:t>
      </w:r>
      <w:r w:rsidR="00C026A6" w:rsidRPr="00EA59C0">
        <w:t xml:space="preserve"> </w:t>
      </w:r>
      <w:r w:rsidR="00723848" w:rsidRPr="00EA59C0">
        <w:t>to</w:t>
      </w:r>
      <w:r w:rsidR="00C026A6" w:rsidRPr="00EA59C0">
        <w:t xml:space="preserve"> </w:t>
      </w:r>
      <w:r w:rsidR="00723848" w:rsidRPr="00EA59C0">
        <w:t>participate</w:t>
      </w:r>
      <w:r w:rsidR="00C026A6" w:rsidRPr="00EA59C0">
        <w:t xml:space="preserve"> </w:t>
      </w:r>
      <w:r w:rsidR="00723848" w:rsidRPr="00EA59C0">
        <w:t>in</w:t>
      </w:r>
      <w:r w:rsidR="00C026A6" w:rsidRPr="00EA59C0">
        <w:t xml:space="preserve"> </w:t>
      </w:r>
      <w:r w:rsidR="00723848" w:rsidRPr="00EA59C0">
        <w:t>all</w:t>
      </w:r>
      <w:r w:rsidR="00C026A6" w:rsidRPr="00EA59C0">
        <w:t xml:space="preserve"> </w:t>
      </w:r>
      <w:r w:rsidR="00723848" w:rsidRPr="00EA59C0">
        <w:t>ETA</w:t>
      </w:r>
      <w:r w:rsidR="00C026A6" w:rsidRPr="00EA59C0">
        <w:t xml:space="preserve"> </w:t>
      </w:r>
      <w:r w:rsidR="00723848" w:rsidRPr="00EA59C0">
        <w:t>training</w:t>
      </w:r>
      <w:r w:rsidR="00C026A6" w:rsidRPr="00EA59C0">
        <w:t xml:space="preserve"> </w:t>
      </w:r>
      <w:r w:rsidR="00723848" w:rsidRPr="00EA59C0">
        <w:t>activities</w:t>
      </w:r>
      <w:r w:rsidR="00C026A6" w:rsidRPr="00EA59C0">
        <w:t xml:space="preserve"> </w:t>
      </w:r>
      <w:r w:rsidR="00723848" w:rsidRPr="00EA59C0">
        <w:t>related</w:t>
      </w:r>
      <w:r w:rsidR="00C026A6" w:rsidRPr="00EA59C0">
        <w:t xml:space="preserve"> </w:t>
      </w:r>
      <w:r w:rsidR="00723848" w:rsidRPr="00EA59C0">
        <w:t>to</w:t>
      </w:r>
      <w:r w:rsidR="00C026A6" w:rsidRPr="00EA59C0">
        <w:t xml:space="preserve"> </w:t>
      </w:r>
      <w:r w:rsidR="00723848" w:rsidRPr="00EA59C0">
        <w:t>grantee</w:t>
      </w:r>
      <w:r w:rsidR="00C026A6" w:rsidRPr="00EA59C0">
        <w:t xml:space="preserve"> </w:t>
      </w:r>
      <w:r w:rsidR="00723848" w:rsidRPr="00EA59C0">
        <w:t>orientation,</w:t>
      </w:r>
      <w:r w:rsidR="00C026A6" w:rsidRPr="00EA59C0">
        <w:t xml:space="preserve"> </w:t>
      </w:r>
      <w:r w:rsidR="00723848" w:rsidRPr="00EA59C0">
        <w:t>financial</w:t>
      </w:r>
      <w:r w:rsidR="00C026A6" w:rsidRPr="00EA59C0">
        <w:t xml:space="preserve"> </w:t>
      </w:r>
      <w:r w:rsidR="00723848" w:rsidRPr="00EA59C0">
        <w:t>management</w:t>
      </w:r>
      <w:r w:rsidR="00C026A6" w:rsidRPr="00EA59C0">
        <w:t xml:space="preserve"> </w:t>
      </w:r>
      <w:r w:rsidR="00723848" w:rsidRPr="00EA59C0">
        <w:t>and</w:t>
      </w:r>
      <w:r w:rsidR="00C026A6" w:rsidRPr="00EA59C0">
        <w:t xml:space="preserve"> </w:t>
      </w:r>
      <w:r w:rsidR="00723848" w:rsidRPr="00EA59C0">
        <w:t>reporting,</w:t>
      </w:r>
      <w:r w:rsidR="00C026A6" w:rsidRPr="00EA59C0">
        <w:t xml:space="preserve"> </w:t>
      </w:r>
      <w:r w:rsidR="00723848" w:rsidRPr="00EA59C0">
        <w:t>performance</w:t>
      </w:r>
      <w:r w:rsidR="00C026A6" w:rsidRPr="00EA59C0">
        <w:t xml:space="preserve"> </w:t>
      </w:r>
      <w:r w:rsidR="00723848" w:rsidRPr="00EA59C0">
        <w:t>reporting,</w:t>
      </w:r>
      <w:r w:rsidR="00C026A6" w:rsidRPr="00EA59C0">
        <w:t xml:space="preserve"> </w:t>
      </w:r>
      <w:r w:rsidR="00723848" w:rsidRPr="00EA59C0">
        <w:t>product</w:t>
      </w:r>
      <w:r w:rsidR="00C026A6" w:rsidRPr="00EA59C0">
        <w:t xml:space="preserve"> </w:t>
      </w:r>
      <w:r w:rsidR="00723848" w:rsidRPr="00EA59C0">
        <w:t>dissemination,</w:t>
      </w:r>
      <w:r w:rsidR="00C026A6" w:rsidRPr="00EA59C0">
        <w:t xml:space="preserve"> </w:t>
      </w:r>
      <w:r w:rsidR="00723848" w:rsidRPr="00EA59C0">
        <w:t>and</w:t>
      </w:r>
      <w:r w:rsidR="00C026A6" w:rsidRPr="00EA59C0">
        <w:t xml:space="preserve"> </w:t>
      </w:r>
      <w:r w:rsidR="00723848" w:rsidRPr="00EA59C0">
        <w:t>other</w:t>
      </w:r>
      <w:r w:rsidR="00C026A6" w:rsidRPr="00EA59C0">
        <w:t xml:space="preserve"> </w:t>
      </w:r>
      <w:r w:rsidR="00723848" w:rsidRPr="00EA59C0">
        <w:t>technical</w:t>
      </w:r>
      <w:r w:rsidR="00C026A6" w:rsidRPr="00EA59C0">
        <w:t xml:space="preserve"> </w:t>
      </w:r>
      <w:r w:rsidR="00723848" w:rsidRPr="00EA59C0">
        <w:t>assistance</w:t>
      </w:r>
      <w:r w:rsidR="00C026A6" w:rsidRPr="00EA59C0">
        <w:t xml:space="preserve"> </w:t>
      </w:r>
      <w:r w:rsidR="00723848" w:rsidRPr="00EA59C0">
        <w:t>training</w:t>
      </w:r>
      <w:r w:rsidR="00C026A6" w:rsidRPr="00EA59C0">
        <w:t xml:space="preserve"> </w:t>
      </w:r>
      <w:r w:rsidR="00723848" w:rsidRPr="00EA59C0">
        <w:t>as</w:t>
      </w:r>
      <w:r w:rsidR="00C026A6" w:rsidRPr="00EA59C0">
        <w:t xml:space="preserve"> </w:t>
      </w:r>
      <w:r w:rsidR="00723848" w:rsidRPr="00EA59C0">
        <w:t>appropriate</w:t>
      </w:r>
      <w:r w:rsidR="00C026A6" w:rsidRPr="00EA59C0">
        <w:t xml:space="preserve"> </w:t>
      </w:r>
      <w:r w:rsidR="00723848" w:rsidRPr="00EA59C0">
        <w:t>during</w:t>
      </w:r>
      <w:r w:rsidR="00C026A6" w:rsidRPr="00EA59C0">
        <w:t xml:space="preserve"> </w:t>
      </w:r>
      <w:r w:rsidR="00723848" w:rsidRPr="00EA59C0">
        <w:t>the</w:t>
      </w:r>
      <w:r w:rsidR="00C026A6" w:rsidRPr="00EA59C0">
        <w:t xml:space="preserve"> </w:t>
      </w:r>
      <w:r w:rsidR="00723848" w:rsidRPr="00EA59C0">
        <w:t>grant</w:t>
      </w:r>
      <w:r w:rsidR="00C026A6" w:rsidRPr="00EA59C0">
        <w:t xml:space="preserve"> </w:t>
      </w:r>
      <w:r w:rsidR="00723848" w:rsidRPr="00EA59C0">
        <w:t>period.</w:t>
      </w:r>
      <w:r w:rsidR="00C026A6" w:rsidRPr="00EA59C0">
        <w:t xml:space="preserve">  </w:t>
      </w:r>
      <w:r w:rsidR="00723848" w:rsidRPr="00EA59C0">
        <w:t>These</w:t>
      </w:r>
      <w:r w:rsidR="00C026A6" w:rsidRPr="00EA59C0">
        <w:t xml:space="preserve"> </w:t>
      </w:r>
      <w:r w:rsidR="00723848" w:rsidRPr="00EA59C0">
        <w:t>sessions</w:t>
      </w:r>
      <w:r w:rsidR="00C026A6" w:rsidRPr="00EA59C0">
        <w:t xml:space="preserve"> </w:t>
      </w:r>
      <w:r w:rsidR="00723848" w:rsidRPr="00EA59C0">
        <w:t>may</w:t>
      </w:r>
      <w:r w:rsidR="00C026A6" w:rsidRPr="00EA59C0">
        <w:t xml:space="preserve"> </w:t>
      </w:r>
      <w:r w:rsidR="00723848" w:rsidRPr="00EA59C0">
        <w:t>occur</w:t>
      </w:r>
      <w:r w:rsidR="00C026A6" w:rsidRPr="00EA59C0">
        <w:t xml:space="preserve"> </w:t>
      </w:r>
      <w:r w:rsidR="00723848" w:rsidRPr="00EA59C0">
        <w:t>via</w:t>
      </w:r>
      <w:r w:rsidR="00C026A6" w:rsidRPr="00EA59C0">
        <w:t xml:space="preserve"> </w:t>
      </w:r>
      <w:r w:rsidR="00723848" w:rsidRPr="00EA59C0">
        <w:t>conference</w:t>
      </w:r>
      <w:r w:rsidR="00C026A6" w:rsidRPr="00EA59C0">
        <w:t xml:space="preserve"> </w:t>
      </w:r>
      <w:r w:rsidR="00723848" w:rsidRPr="00EA59C0">
        <w:t>calls,</w:t>
      </w:r>
      <w:r w:rsidR="00C026A6" w:rsidRPr="00EA59C0">
        <w:t xml:space="preserve"> </w:t>
      </w:r>
      <w:r w:rsidR="00723848" w:rsidRPr="00EA59C0">
        <w:t>through</w:t>
      </w:r>
      <w:r w:rsidR="00C026A6" w:rsidRPr="00EA59C0">
        <w:t xml:space="preserve"> </w:t>
      </w:r>
      <w:r w:rsidR="00723848" w:rsidRPr="00EA59C0">
        <w:t>virtual</w:t>
      </w:r>
      <w:r w:rsidR="00C026A6" w:rsidRPr="00EA59C0">
        <w:t xml:space="preserve"> </w:t>
      </w:r>
      <w:r w:rsidR="00723848" w:rsidRPr="00EA59C0">
        <w:t>events</w:t>
      </w:r>
      <w:r w:rsidR="00C026A6" w:rsidRPr="00EA59C0">
        <w:t xml:space="preserve"> </w:t>
      </w:r>
      <w:r w:rsidR="00723848" w:rsidRPr="00EA59C0">
        <w:t>such</w:t>
      </w:r>
      <w:r w:rsidR="00C026A6" w:rsidRPr="00EA59C0">
        <w:t xml:space="preserve"> </w:t>
      </w:r>
      <w:r w:rsidR="00723848" w:rsidRPr="00EA59C0">
        <w:t>as</w:t>
      </w:r>
      <w:r w:rsidR="00C026A6" w:rsidRPr="00EA59C0">
        <w:t xml:space="preserve"> </w:t>
      </w:r>
      <w:r w:rsidR="00723848" w:rsidRPr="00EA59C0">
        <w:t>webinars,</w:t>
      </w:r>
      <w:r w:rsidR="00C026A6" w:rsidRPr="00EA59C0">
        <w:t xml:space="preserve"> </w:t>
      </w:r>
      <w:r w:rsidR="00723848" w:rsidRPr="00EA59C0">
        <w:t>and</w:t>
      </w:r>
      <w:r w:rsidR="00C026A6" w:rsidRPr="00EA59C0">
        <w:t xml:space="preserve"> </w:t>
      </w:r>
      <w:r w:rsidR="00723848" w:rsidRPr="00EA59C0">
        <w:t>in-person</w:t>
      </w:r>
      <w:r w:rsidR="00C026A6" w:rsidRPr="00EA59C0">
        <w:t xml:space="preserve"> </w:t>
      </w:r>
      <w:r w:rsidR="00723848" w:rsidRPr="00EA59C0">
        <w:t>meetings.</w:t>
      </w:r>
      <w:r w:rsidR="00C026A6" w:rsidRPr="00EA59C0">
        <w:t xml:space="preserve">  </w:t>
      </w:r>
      <w:r w:rsidR="00723848" w:rsidRPr="00EA59C0">
        <w:t>The</w:t>
      </w:r>
      <w:r w:rsidR="00C026A6" w:rsidRPr="00EA59C0">
        <w:t xml:space="preserve"> </w:t>
      </w:r>
      <w:r w:rsidR="00723848" w:rsidRPr="00EA59C0">
        <w:t>Lead</w:t>
      </w:r>
      <w:r w:rsidR="00C026A6" w:rsidRPr="00EA59C0">
        <w:t xml:space="preserve"> </w:t>
      </w:r>
      <w:r w:rsidR="00723848" w:rsidRPr="00EA59C0">
        <w:t>Institution</w:t>
      </w:r>
      <w:r w:rsidR="00C026A6" w:rsidRPr="00EA59C0">
        <w:t xml:space="preserve"> </w:t>
      </w:r>
      <w:r w:rsidR="00723848" w:rsidRPr="00EA59C0">
        <w:t>should</w:t>
      </w:r>
      <w:r w:rsidR="00C026A6" w:rsidRPr="00EA59C0">
        <w:t xml:space="preserve"> </w:t>
      </w:r>
      <w:r w:rsidR="00723848" w:rsidRPr="00EA59C0">
        <w:t>encourage</w:t>
      </w:r>
      <w:r w:rsidR="00C026A6" w:rsidRPr="00EA59C0">
        <w:t xml:space="preserve"> </w:t>
      </w:r>
      <w:r w:rsidR="008242D0" w:rsidRPr="00EA59C0">
        <w:t>M</w:t>
      </w:r>
      <w:r w:rsidR="00723848" w:rsidRPr="00EA59C0">
        <w:t>ember</w:t>
      </w:r>
      <w:r w:rsidR="00C026A6" w:rsidRPr="00EA59C0">
        <w:t xml:space="preserve"> </w:t>
      </w:r>
      <w:r w:rsidR="008242D0" w:rsidRPr="00EA59C0">
        <w:t>I</w:t>
      </w:r>
      <w:r w:rsidR="00723848" w:rsidRPr="00EA59C0">
        <w:t>nstitutions</w:t>
      </w:r>
      <w:r w:rsidR="00C026A6" w:rsidRPr="00EA59C0">
        <w:t xml:space="preserve"> </w:t>
      </w:r>
      <w:r w:rsidR="00723848" w:rsidRPr="00EA59C0">
        <w:t>to</w:t>
      </w:r>
      <w:r w:rsidR="00C026A6" w:rsidRPr="00EA59C0">
        <w:t xml:space="preserve"> </w:t>
      </w:r>
      <w:r w:rsidR="00723848" w:rsidRPr="00EA59C0">
        <w:t>be</w:t>
      </w:r>
      <w:r w:rsidR="00C026A6" w:rsidRPr="00EA59C0">
        <w:t xml:space="preserve"> </w:t>
      </w:r>
      <w:r w:rsidR="00723848" w:rsidRPr="00EA59C0">
        <w:t>represented</w:t>
      </w:r>
      <w:r w:rsidR="00C026A6" w:rsidRPr="00EA59C0">
        <w:t xml:space="preserve"> </w:t>
      </w:r>
      <w:r w:rsidR="00723848" w:rsidRPr="00EA59C0">
        <w:t>in</w:t>
      </w:r>
      <w:r w:rsidR="00C026A6" w:rsidRPr="00EA59C0">
        <w:t xml:space="preserve"> </w:t>
      </w:r>
      <w:r w:rsidR="00723848" w:rsidRPr="00EA59C0">
        <w:t>all</w:t>
      </w:r>
      <w:r w:rsidR="00C026A6" w:rsidRPr="00EA59C0">
        <w:t xml:space="preserve"> </w:t>
      </w:r>
      <w:r w:rsidR="00723848" w:rsidRPr="00EA59C0">
        <w:t>virtual</w:t>
      </w:r>
      <w:r w:rsidR="00C026A6" w:rsidRPr="00EA59C0">
        <w:t xml:space="preserve"> </w:t>
      </w:r>
      <w:r w:rsidR="00723848" w:rsidRPr="00EA59C0">
        <w:t>sessions.</w:t>
      </w:r>
      <w:r w:rsidR="00C026A6" w:rsidRPr="00EA59C0">
        <w:t xml:space="preserve">  </w:t>
      </w:r>
      <w:r w:rsidR="00723848" w:rsidRPr="00EA59C0">
        <w:t>Single</w:t>
      </w:r>
      <w:r w:rsidR="00C026A6" w:rsidRPr="00EA59C0">
        <w:t xml:space="preserve"> </w:t>
      </w:r>
      <w:r w:rsidR="008242D0" w:rsidRPr="00EA59C0">
        <w:t>I</w:t>
      </w:r>
      <w:r w:rsidR="00723848" w:rsidRPr="00EA59C0">
        <w:t>nstitution</w:t>
      </w:r>
      <w:r w:rsidR="00C026A6" w:rsidRPr="00EA59C0">
        <w:t xml:space="preserve"> </w:t>
      </w:r>
      <w:r w:rsidR="00723848" w:rsidRPr="00EA59C0">
        <w:t>applicants</w:t>
      </w:r>
      <w:r w:rsidR="00C026A6" w:rsidRPr="00EA59C0">
        <w:t xml:space="preserve"> </w:t>
      </w:r>
      <w:r w:rsidR="00723848" w:rsidRPr="00EA59C0">
        <w:t>and</w:t>
      </w:r>
      <w:r w:rsidR="00C026A6" w:rsidRPr="00EA59C0">
        <w:t xml:space="preserve"> </w:t>
      </w:r>
      <w:r w:rsidR="00723848" w:rsidRPr="00EA59C0">
        <w:t>Lead</w:t>
      </w:r>
      <w:r w:rsidR="00C026A6" w:rsidRPr="00EA59C0">
        <w:t xml:space="preserve"> </w:t>
      </w:r>
      <w:r w:rsidR="008242D0" w:rsidRPr="00EA59C0">
        <w:t>I</w:t>
      </w:r>
      <w:r w:rsidR="00723848" w:rsidRPr="00EA59C0">
        <w:t>nstitution</w:t>
      </w:r>
      <w:r w:rsidR="00C026A6" w:rsidRPr="00EA59C0">
        <w:t xml:space="preserve"> </w:t>
      </w:r>
      <w:r w:rsidR="00723848" w:rsidRPr="00EA59C0">
        <w:t>applicants</w:t>
      </w:r>
      <w:r w:rsidR="00C026A6" w:rsidRPr="00EA59C0">
        <w:t xml:space="preserve"> </w:t>
      </w:r>
      <w:r w:rsidR="00723848" w:rsidRPr="00EA59C0">
        <w:t>should</w:t>
      </w:r>
      <w:r w:rsidR="00C026A6" w:rsidRPr="00EA59C0">
        <w:t xml:space="preserve"> </w:t>
      </w:r>
      <w:r w:rsidR="00723848" w:rsidRPr="00EA59C0">
        <w:t>budget</w:t>
      </w:r>
      <w:r w:rsidR="00C026A6" w:rsidRPr="00EA59C0">
        <w:t xml:space="preserve"> </w:t>
      </w:r>
      <w:r w:rsidR="00723848" w:rsidRPr="00EA59C0">
        <w:t>for</w:t>
      </w:r>
      <w:r w:rsidR="00C026A6" w:rsidRPr="00EA59C0">
        <w:t xml:space="preserve"> </w:t>
      </w:r>
      <w:r w:rsidR="00723848" w:rsidRPr="00EA59C0">
        <w:t>at</w:t>
      </w:r>
      <w:r w:rsidR="00C026A6" w:rsidRPr="00EA59C0">
        <w:t xml:space="preserve"> </w:t>
      </w:r>
      <w:r w:rsidR="00723848" w:rsidRPr="00EA59C0">
        <w:t>least</w:t>
      </w:r>
      <w:r w:rsidR="00C026A6" w:rsidRPr="00EA59C0">
        <w:t xml:space="preserve"> </w:t>
      </w:r>
      <w:r w:rsidR="00723848" w:rsidRPr="00EA59C0">
        <w:t>two</w:t>
      </w:r>
      <w:r w:rsidR="00C026A6" w:rsidRPr="00EA59C0">
        <w:t xml:space="preserve"> </w:t>
      </w:r>
      <w:r w:rsidR="00723848" w:rsidRPr="00EA59C0">
        <w:t>staff</w:t>
      </w:r>
      <w:r w:rsidR="00C026A6" w:rsidRPr="00EA59C0">
        <w:t xml:space="preserve"> </w:t>
      </w:r>
      <w:r w:rsidR="00723848" w:rsidRPr="00EA59C0">
        <w:t>members</w:t>
      </w:r>
      <w:r w:rsidR="00C026A6" w:rsidRPr="00EA59C0">
        <w:t xml:space="preserve"> </w:t>
      </w:r>
      <w:r w:rsidR="00723848" w:rsidRPr="00EA59C0">
        <w:t>to</w:t>
      </w:r>
      <w:r w:rsidR="00C026A6" w:rsidRPr="00EA59C0">
        <w:t xml:space="preserve"> </w:t>
      </w:r>
      <w:r w:rsidR="00723848" w:rsidRPr="00EA59C0">
        <w:t>attend</w:t>
      </w:r>
      <w:r w:rsidR="00C026A6" w:rsidRPr="00EA59C0">
        <w:t xml:space="preserve"> </w:t>
      </w:r>
      <w:r w:rsidR="00723848" w:rsidRPr="00EA59C0">
        <w:t>up</w:t>
      </w:r>
      <w:r w:rsidR="00C026A6" w:rsidRPr="00EA59C0">
        <w:t xml:space="preserve"> </w:t>
      </w:r>
      <w:r w:rsidR="00723848" w:rsidRPr="00EA59C0">
        <w:t>to</w:t>
      </w:r>
      <w:r w:rsidR="00C026A6" w:rsidRPr="00EA59C0">
        <w:t xml:space="preserve"> </w:t>
      </w:r>
      <w:r w:rsidR="00723848" w:rsidRPr="00EA59C0">
        <w:t>two</w:t>
      </w:r>
      <w:r w:rsidR="00C026A6" w:rsidRPr="00EA59C0">
        <w:t xml:space="preserve"> </w:t>
      </w:r>
      <w:r w:rsidR="00723848" w:rsidRPr="00EA59C0">
        <w:t>in-person</w:t>
      </w:r>
      <w:r w:rsidR="00C026A6" w:rsidRPr="00EA59C0">
        <w:t xml:space="preserve"> </w:t>
      </w:r>
      <w:r w:rsidR="00723848" w:rsidRPr="00EA59C0">
        <w:t>events</w:t>
      </w:r>
      <w:r w:rsidR="00C026A6" w:rsidRPr="00EA59C0">
        <w:t xml:space="preserve"> </w:t>
      </w:r>
      <w:r w:rsidR="00723848" w:rsidRPr="00EA59C0">
        <w:t>in</w:t>
      </w:r>
      <w:r w:rsidR="00C026A6" w:rsidRPr="00EA59C0">
        <w:t xml:space="preserve"> </w:t>
      </w:r>
      <w:r w:rsidR="00723848" w:rsidRPr="00EA59C0">
        <w:t>Washington,</w:t>
      </w:r>
      <w:r w:rsidR="00C026A6" w:rsidRPr="00EA59C0">
        <w:t xml:space="preserve"> </w:t>
      </w:r>
      <w:r w:rsidR="00723848" w:rsidRPr="00EA59C0">
        <w:t>D.C.</w:t>
      </w:r>
      <w:r w:rsidR="00C026A6" w:rsidRPr="00EA59C0">
        <w:t xml:space="preserve"> </w:t>
      </w:r>
      <w:r w:rsidR="00723848" w:rsidRPr="00EA59C0">
        <w:t>during</w:t>
      </w:r>
      <w:r w:rsidR="00C026A6" w:rsidRPr="00EA59C0">
        <w:t xml:space="preserve"> </w:t>
      </w:r>
      <w:r w:rsidR="00723848" w:rsidRPr="00EA59C0">
        <w:t>the</w:t>
      </w:r>
      <w:r w:rsidR="00C026A6" w:rsidRPr="00EA59C0">
        <w:t xml:space="preserve"> </w:t>
      </w:r>
      <w:r w:rsidR="00723848" w:rsidRPr="00EA59C0">
        <w:t>life</w:t>
      </w:r>
      <w:r w:rsidR="00C026A6" w:rsidRPr="00EA59C0">
        <w:t xml:space="preserve"> </w:t>
      </w:r>
      <w:r w:rsidR="00723848" w:rsidRPr="00EA59C0">
        <w:t>of</w:t>
      </w:r>
      <w:r w:rsidR="00C026A6" w:rsidRPr="00EA59C0">
        <w:t xml:space="preserve"> </w:t>
      </w:r>
      <w:r w:rsidR="00723848" w:rsidRPr="00EA59C0">
        <w:t>the</w:t>
      </w:r>
      <w:r w:rsidR="00C026A6" w:rsidRPr="00EA59C0">
        <w:t xml:space="preserve"> </w:t>
      </w:r>
      <w:r w:rsidR="00723848" w:rsidRPr="00EA59C0">
        <w:t>grant.</w:t>
      </w:r>
      <w:r w:rsidR="00C026A6" w:rsidRPr="00EA59C0">
        <w:t xml:space="preserve">  </w:t>
      </w:r>
      <w:r w:rsidR="00723848" w:rsidRPr="00EA59C0">
        <w:t>Consortium</w:t>
      </w:r>
      <w:r w:rsidR="00C026A6" w:rsidRPr="00EA59C0">
        <w:t xml:space="preserve"> </w:t>
      </w:r>
      <w:r w:rsidR="00723848" w:rsidRPr="00EA59C0">
        <w:t>members</w:t>
      </w:r>
      <w:r w:rsidR="00C026A6" w:rsidRPr="00EA59C0">
        <w:t xml:space="preserve"> </w:t>
      </w:r>
      <w:r w:rsidR="00723848" w:rsidRPr="00EA59C0">
        <w:t>may</w:t>
      </w:r>
      <w:r w:rsidR="00C026A6" w:rsidRPr="00EA59C0">
        <w:t xml:space="preserve"> </w:t>
      </w:r>
      <w:r w:rsidR="00723848" w:rsidRPr="00EA59C0">
        <w:t>budget</w:t>
      </w:r>
      <w:r w:rsidR="00C026A6" w:rsidRPr="00EA59C0">
        <w:t xml:space="preserve"> </w:t>
      </w:r>
      <w:r w:rsidR="00723848" w:rsidRPr="00EA59C0">
        <w:t>to</w:t>
      </w:r>
      <w:r w:rsidR="00C026A6" w:rsidRPr="00EA59C0">
        <w:t xml:space="preserve"> </w:t>
      </w:r>
      <w:r w:rsidR="00723848" w:rsidRPr="00EA59C0">
        <w:t>attend</w:t>
      </w:r>
      <w:r w:rsidR="00C026A6" w:rsidRPr="00EA59C0">
        <w:t xml:space="preserve"> </w:t>
      </w:r>
      <w:r w:rsidR="00723848" w:rsidRPr="00EA59C0">
        <w:t>any</w:t>
      </w:r>
      <w:r w:rsidR="00C026A6" w:rsidRPr="00EA59C0">
        <w:t xml:space="preserve"> </w:t>
      </w:r>
      <w:r w:rsidR="00723848" w:rsidRPr="00EA59C0">
        <w:t>in-person</w:t>
      </w:r>
      <w:r w:rsidR="00C026A6" w:rsidRPr="00EA59C0">
        <w:t xml:space="preserve"> </w:t>
      </w:r>
      <w:r w:rsidR="00723848" w:rsidRPr="00EA59C0">
        <w:t>events;</w:t>
      </w:r>
      <w:r w:rsidR="00C026A6" w:rsidRPr="00EA59C0">
        <w:t xml:space="preserve"> </w:t>
      </w:r>
      <w:r w:rsidR="00723848" w:rsidRPr="00EA59C0">
        <w:t>however</w:t>
      </w:r>
      <w:r w:rsidR="00C026A6" w:rsidRPr="00EA59C0">
        <w:t xml:space="preserve"> </w:t>
      </w:r>
      <w:r w:rsidR="00723848" w:rsidRPr="00EA59C0">
        <w:t>participation</w:t>
      </w:r>
      <w:r w:rsidR="00C026A6" w:rsidRPr="00EA59C0">
        <w:t xml:space="preserve"> </w:t>
      </w:r>
      <w:r w:rsidR="00723848" w:rsidRPr="00EA59C0">
        <w:t>of</w:t>
      </w:r>
      <w:r w:rsidR="00C026A6" w:rsidRPr="00EA59C0">
        <w:t xml:space="preserve"> </w:t>
      </w:r>
      <w:r w:rsidR="00723848" w:rsidRPr="00EA59C0">
        <w:t>consortium</w:t>
      </w:r>
      <w:r w:rsidR="00C026A6" w:rsidRPr="00EA59C0">
        <w:t xml:space="preserve"> </w:t>
      </w:r>
      <w:r w:rsidR="00723848" w:rsidRPr="00EA59C0">
        <w:t>members</w:t>
      </w:r>
      <w:r w:rsidR="00C026A6" w:rsidRPr="00EA59C0">
        <w:t xml:space="preserve"> </w:t>
      </w:r>
      <w:r w:rsidR="00723848" w:rsidRPr="00EA59C0">
        <w:t>at</w:t>
      </w:r>
      <w:r w:rsidR="00C026A6" w:rsidRPr="00EA59C0">
        <w:t xml:space="preserve"> </w:t>
      </w:r>
      <w:r w:rsidR="00723848" w:rsidRPr="00EA59C0">
        <w:t>these</w:t>
      </w:r>
      <w:r w:rsidR="00C026A6" w:rsidRPr="00EA59C0">
        <w:t xml:space="preserve"> </w:t>
      </w:r>
      <w:r w:rsidR="00723848" w:rsidRPr="00EA59C0">
        <w:t>events</w:t>
      </w:r>
      <w:r w:rsidR="00C026A6" w:rsidRPr="00EA59C0">
        <w:t xml:space="preserve"> </w:t>
      </w:r>
      <w:r w:rsidR="00723848" w:rsidRPr="00EA59C0">
        <w:t>will</w:t>
      </w:r>
      <w:r w:rsidR="00C026A6" w:rsidRPr="00EA59C0">
        <w:t xml:space="preserve"> </w:t>
      </w:r>
      <w:r w:rsidR="00723848" w:rsidRPr="00EA59C0">
        <w:t>be</w:t>
      </w:r>
      <w:r w:rsidR="00C026A6" w:rsidRPr="00EA59C0">
        <w:t xml:space="preserve"> </w:t>
      </w:r>
      <w:r w:rsidR="00723848" w:rsidRPr="00EA59C0">
        <w:t>determined</w:t>
      </w:r>
      <w:r w:rsidR="00C026A6" w:rsidRPr="00EA59C0">
        <w:t xml:space="preserve"> </w:t>
      </w:r>
      <w:r w:rsidR="00723848" w:rsidRPr="00EA59C0">
        <w:t>during</w:t>
      </w:r>
      <w:r w:rsidR="00C026A6" w:rsidRPr="00EA59C0">
        <w:t xml:space="preserve"> </w:t>
      </w:r>
      <w:r w:rsidR="00723848" w:rsidRPr="00EA59C0">
        <w:t>the</w:t>
      </w:r>
      <w:r w:rsidR="00C026A6" w:rsidRPr="00EA59C0">
        <w:t xml:space="preserve"> </w:t>
      </w:r>
      <w:r w:rsidR="00723848" w:rsidRPr="00EA59C0">
        <w:t>period</w:t>
      </w:r>
      <w:r w:rsidR="00C026A6" w:rsidRPr="00EA59C0">
        <w:t xml:space="preserve"> </w:t>
      </w:r>
      <w:r w:rsidR="00723848" w:rsidRPr="00EA59C0">
        <w:t>of</w:t>
      </w:r>
      <w:r w:rsidR="00C026A6" w:rsidRPr="00EA59C0">
        <w:t xml:space="preserve"> </w:t>
      </w:r>
      <w:r w:rsidR="00723848" w:rsidRPr="00EA59C0">
        <w:t>performance</w:t>
      </w:r>
      <w:r w:rsidR="00C026A6" w:rsidRPr="00EA59C0">
        <w:t xml:space="preserve"> </w:t>
      </w:r>
      <w:r w:rsidR="00723848" w:rsidRPr="00EA59C0">
        <w:t>and</w:t>
      </w:r>
      <w:r w:rsidR="00C026A6" w:rsidRPr="00EA59C0">
        <w:t xml:space="preserve"> </w:t>
      </w:r>
      <w:r w:rsidR="00723848" w:rsidRPr="00EA59C0">
        <w:t>will</w:t>
      </w:r>
      <w:r w:rsidR="00C026A6" w:rsidRPr="00EA59C0">
        <w:t xml:space="preserve"> </w:t>
      </w:r>
      <w:r w:rsidR="00723848" w:rsidRPr="00EA59C0">
        <w:t>be</w:t>
      </w:r>
      <w:r w:rsidR="00C026A6" w:rsidRPr="00EA59C0">
        <w:t xml:space="preserve"> </w:t>
      </w:r>
      <w:r w:rsidR="00723848" w:rsidRPr="00EA59C0">
        <w:t>dependent</w:t>
      </w:r>
      <w:r w:rsidR="00C026A6" w:rsidRPr="00EA59C0">
        <w:t xml:space="preserve"> </w:t>
      </w:r>
      <w:r w:rsidR="00723848" w:rsidRPr="00EA59C0">
        <w:t>on</w:t>
      </w:r>
      <w:r w:rsidR="00C026A6" w:rsidRPr="00EA59C0">
        <w:t xml:space="preserve"> </w:t>
      </w:r>
      <w:r w:rsidR="00723848" w:rsidRPr="00EA59C0">
        <w:t>conference</w:t>
      </w:r>
      <w:r w:rsidR="00C026A6" w:rsidRPr="00EA59C0">
        <w:t xml:space="preserve"> </w:t>
      </w:r>
      <w:r w:rsidR="00723848" w:rsidRPr="00EA59C0">
        <w:t>capacity</w:t>
      </w:r>
      <w:r w:rsidR="00C026A6" w:rsidRPr="00EA59C0">
        <w:t xml:space="preserve"> </w:t>
      </w:r>
      <w:r w:rsidR="00723848" w:rsidRPr="00EA59C0">
        <w:t>and</w:t>
      </w:r>
      <w:r w:rsidR="00C026A6" w:rsidRPr="00EA59C0">
        <w:t xml:space="preserve"> </w:t>
      </w:r>
      <w:r w:rsidR="00723848" w:rsidRPr="00EA59C0">
        <w:t>other</w:t>
      </w:r>
      <w:r w:rsidR="00C026A6" w:rsidRPr="00EA59C0">
        <w:t xml:space="preserve"> </w:t>
      </w:r>
      <w:r w:rsidR="00723848" w:rsidRPr="00EA59C0">
        <w:t>factors.</w:t>
      </w:r>
    </w:p>
    <w:p w:rsidR="00C07325" w:rsidRPr="00EA59C0" w:rsidRDefault="00C07325" w:rsidP="00C072FA">
      <w:pPr>
        <w:ind w:left="1080"/>
      </w:pPr>
    </w:p>
    <w:p w:rsidR="00F15AF6" w:rsidRPr="00EA59C0" w:rsidRDefault="00F15AF6" w:rsidP="004913DF">
      <w:pPr>
        <w:pStyle w:val="Heading1"/>
        <w:numPr>
          <w:ilvl w:val="2"/>
          <w:numId w:val="17"/>
        </w:numPr>
        <w:spacing w:line="240" w:lineRule="auto"/>
        <w:rPr>
          <w:rFonts w:ascii="Times New Roman" w:hAnsi="Times New Roman"/>
          <w:b w:val="0"/>
        </w:rPr>
      </w:pPr>
      <w:r w:rsidRPr="00EA59C0">
        <w:rPr>
          <w:rFonts w:ascii="Times New Roman" w:hAnsi="Times New Roman"/>
          <w:b w:val="0"/>
        </w:rPr>
        <w:t>Employment</w:t>
      </w:r>
      <w:r w:rsidR="00C026A6" w:rsidRPr="00EA59C0">
        <w:rPr>
          <w:rFonts w:ascii="Times New Roman" w:hAnsi="Times New Roman"/>
          <w:b w:val="0"/>
        </w:rPr>
        <w:t xml:space="preserve"> </w:t>
      </w:r>
      <w:r w:rsidRPr="00EA59C0">
        <w:rPr>
          <w:rFonts w:ascii="Times New Roman" w:hAnsi="Times New Roman"/>
          <w:b w:val="0"/>
        </w:rPr>
        <w:t>Results</w:t>
      </w:r>
      <w:r w:rsidR="00C026A6" w:rsidRPr="00EA59C0">
        <w:rPr>
          <w:rFonts w:ascii="Times New Roman" w:hAnsi="Times New Roman"/>
          <w:b w:val="0"/>
        </w:rPr>
        <w:t xml:space="preserve"> </w:t>
      </w:r>
      <w:r w:rsidRPr="00EA59C0">
        <w:rPr>
          <w:rFonts w:ascii="Times New Roman" w:hAnsi="Times New Roman"/>
          <w:b w:val="0"/>
        </w:rPr>
        <w:t>Scorecard</w:t>
      </w:r>
      <w:r w:rsidR="00C026A6" w:rsidRPr="00EA59C0">
        <w:rPr>
          <w:rFonts w:ascii="Times New Roman" w:hAnsi="Times New Roman"/>
          <w:b w:val="0"/>
        </w:rPr>
        <w:t xml:space="preserve"> </w:t>
      </w:r>
      <w:r w:rsidR="008C5DA4" w:rsidRPr="00EA59C0">
        <w:rPr>
          <w:rFonts w:ascii="Times New Roman" w:hAnsi="Times New Roman"/>
          <w:b w:val="0"/>
        </w:rPr>
        <w:t>(for</w:t>
      </w:r>
      <w:r w:rsidR="00C026A6" w:rsidRPr="00EA59C0">
        <w:rPr>
          <w:rFonts w:ascii="Times New Roman" w:hAnsi="Times New Roman"/>
          <w:b w:val="0"/>
        </w:rPr>
        <w:t xml:space="preserve"> </w:t>
      </w:r>
      <w:r w:rsidR="008C5DA4" w:rsidRPr="00EA59C0">
        <w:rPr>
          <w:rFonts w:ascii="Times New Roman" w:hAnsi="Times New Roman"/>
          <w:b w:val="0"/>
        </w:rPr>
        <w:t>Single-State</w:t>
      </w:r>
      <w:r w:rsidR="00C026A6" w:rsidRPr="00EA59C0">
        <w:rPr>
          <w:rFonts w:ascii="Times New Roman" w:hAnsi="Times New Roman"/>
          <w:b w:val="0"/>
        </w:rPr>
        <w:t xml:space="preserve"> </w:t>
      </w:r>
      <w:r w:rsidR="008C5DA4" w:rsidRPr="00EA59C0">
        <w:rPr>
          <w:rFonts w:ascii="Times New Roman" w:hAnsi="Times New Roman"/>
          <w:b w:val="0"/>
        </w:rPr>
        <w:t>Consortium</w:t>
      </w:r>
      <w:r w:rsidR="00C026A6" w:rsidRPr="00EA59C0">
        <w:rPr>
          <w:rFonts w:ascii="Times New Roman" w:hAnsi="Times New Roman"/>
          <w:b w:val="0"/>
        </w:rPr>
        <w:t xml:space="preserve"> </w:t>
      </w:r>
      <w:r w:rsidR="008C5DA4" w:rsidRPr="00EA59C0">
        <w:rPr>
          <w:rFonts w:ascii="Times New Roman" w:hAnsi="Times New Roman"/>
          <w:b w:val="0"/>
        </w:rPr>
        <w:t>Applicants)</w:t>
      </w:r>
    </w:p>
    <w:p w:rsidR="00F15AF6" w:rsidRPr="00EA59C0" w:rsidRDefault="00F15AF6" w:rsidP="00C072FA">
      <w:pPr>
        <w:ind w:left="1080"/>
      </w:pPr>
      <w:r w:rsidRPr="00EA59C0">
        <w:t>Applicants</w:t>
      </w:r>
      <w:r w:rsidR="00C026A6" w:rsidRPr="00EA59C0">
        <w:t xml:space="preserve"> </w:t>
      </w:r>
      <w:r w:rsidRPr="00EA59C0">
        <w:t>applying</w:t>
      </w:r>
      <w:r w:rsidR="00C026A6" w:rsidRPr="00EA59C0">
        <w:t xml:space="preserve"> </w:t>
      </w:r>
      <w:r w:rsidRPr="00EA59C0">
        <w:t>as</w:t>
      </w:r>
      <w:r w:rsidR="00C026A6" w:rsidRPr="00EA59C0">
        <w:t xml:space="preserve"> </w:t>
      </w:r>
      <w:r w:rsidRPr="00EA59C0">
        <w:t>single</w:t>
      </w:r>
      <w:r w:rsidR="00C026A6" w:rsidRPr="00EA59C0">
        <w:t xml:space="preserve"> </w:t>
      </w:r>
      <w:r w:rsidRPr="00EA59C0">
        <w:t>institutions</w:t>
      </w:r>
      <w:r w:rsidR="00C026A6" w:rsidRPr="00EA59C0">
        <w:t xml:space="preserve"> </w:t>
      </w:r>
      <w:r w:rsidRPr="00EA59C0">
        <w:t>or</w:t>
      </w:r>
      <w:r w:rsidR="00C026A6" w:rsidRPr="00EA59C0">
        <w:t xml:space="preserve"> </w:t>
      </w:r>
      <w:r w:rsidR="00DC0136" w:rsidRPr="00EA59C0">
        <w:t>regional</w:t>
      </w:r>
      <w:r w:rsidR="00C026A6" w:rsidRPr="00EA59C0">
        <w:t xml:space="preserve"> </w:t>
      </w:r>
      <w:r w:rsidR="00DC0136" w:rsidRPr="00EA59C0">
        <w:t>multi-state</w:t>
      </w:r>
      <w:r w:rsidR="00C026A6" w:rsidRPr="00EA59C0">
        <w:t xml:space="preserve"> </w:t>
      </w:r>
      <w:r w:rsidRPr="00EA59C0">
        <w:t>consorti</w:t>
      </w:r>
      <w:r w:rsidR="00517C21" w:rsidRPr="00EA59C0">
        <w:t>a</w:t>
      </w:r>
      <w:r w:rsidR="00C026A6" w:rsidRPr="00EA59C0">
        <w:t xml:space="preserve"> </w:t>
      </w:r>
      <w:r w:rsidR="004234E7" w:rsidRPr="00EA59C0">
        <w:t>shall</w:t>
      </w:r>
      <w:r w:rsidR="00C026A6" w:rsidRPr="00EA59C0">
        <w:t xml:space="preserve"> </w:t>
      </w:r>
      <w:r w:rsidRPr="00EA59C0">
        <w:t>not</w:t>
      </w:r>
      <w:r w:rsidR="00C026A6" w:rsidRPr="00EA59C0">
        <w:t xml:space="preserve"> </w:t>
      </w:r>
      <w:r w:rsidRPr="00EA59C0">
        <w:t>provide</w:t>
      </w:r>
      <w:r w:rsidR="00C026A6" w:rsidRPr="00EA59C0">
        <w:t xml:space="preserve"> </w:t>
      </w:r>
      <w:r w:rsidRPr="00EA59C0">
        <w:t>a</w:t>
      </w:r>
      <w:r w:rsidR="00C026A6" w:rsidRPr="00EA59C0">
        <w:t xml:space="preserve"> </w:t>
      </w:r>
      <w:r w:rsidRPr="00EA59C0">
        <w:t>response</w:t>
      </w:r>
      <w:r w:rsidR="00C026A6" w:rsidRPr="00EA59C0">
        <w:t xml:space="preserve"> </w:t>
      </w:r>
      <w:r w:rsidRPr="00EA59C0">
        <w:t>to</w:t>
      </w:r>
      <w:r w:rsidR="00C026A6" w:rsidRPr="00EA59C0">
        <w:t xml:space="preserve"> </w:t>
      </w:r>
      <w:r w:rsidRPr="00EA59C0">
        <w:t>this</w:t>
      </w:r>
      <w:r w:rsidR="00C026A6" w:rsidRPr="00EA59C0">
        <w:t xml:space="preserve"> </w:t>
      </w:r>
      <w:r w:rsidRPr="00EA59C0">
        <w:t>specific</w:t>
      </w:r>
      <w:r w:rsidR="00C026A6" w:rsidRPr="00EA59C0">
        <w:t xml:space="preserve"> </w:t>
      </w:r>
      <w:r w:rsidR="008C5DA4" w:rsidRPr="00EA59C0">
        <w:t>requirement</w:t>
      </w:r>
      <w:r w:rsidRPr="00EA59C0">
        <w:t>.</w:t>
      </w:r>
      <w:r w:rsidR="00C026A6" w:rsidRPr="00EA59C0">
        <w:t xml:space="preserve"> </w:t>
      </w:r>
    </w:p>
    <w:p w:rsidR="00C07325" w:rsidRPr="00EA59C0" w:rsidRDefault="00C07325" w:rsidP="00C072FA">
      <w:pPr>
        <w:ind w:left="1080"/>
      </w:pPr>
    </w:p>
    <w:p w:rsidR="00F15AF6" w:rsidRPr="00EA59C0" w:rsidRDefault="00F15AF6" w:rsidP="00C072FA">
      <w:pPr>
        <w:ind w:left="1080"/>
      </w:pPr>
      <w:r w:rsidRPr="00EA59C0">
        <w:t>Single-state</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are</w:t>
      </w:r>
      <w:r w:rsidR="00C026A6" w:rsidRPr="00EA59C0">
        <w:t xml:space="preserve"> </w:t>
      </w:r>
      <w:r w:rsidRPr="00EA59C0">
        <w:t>required</w:t>
      </w:r>
      <w:r w:rsidR="00C026A6" w:rsidRPr="00EA59C0">
        <w:t xml:space="preserve"> </w:t>
      </w:r>
      <w:r w:rsidRPr="00EA59C0">
        <w:t>to</w:t>
      </w:r>
      <w:r w:rsidR="00C026A6" w:rsidRPr="00EA59C0">
        <w:t xml:space="preserve"> </w:t>
      </w:r>
      <w:r w:rsidRPr="00EA59C0">
        <w:t>provide</w:t>
      </w:r>
      <w:r w:rsidR="00C026A6" w:rsidRPr="00EA59C0">
        <w:t xml:space="preserve"> </w:t>
      </w:r>
      <w:r w:rsidRPr="00EA59C0">
        <w:t>a</w:t>
      </w:r>
      <w:r w:rsidR="00C026A6" w:rsidRPr="00EA59C0">
        <w:t xml:space="preserve"> </w:t>
      </w:r>
      <w:r w:rsidRPr="00EA59C0">
        <w:t>plan</w:t>
      </w:r>
      <w:r w:rsidR="00C026A6" w:rsidRPr="00EA59C0">
        <w:t xml:space="preserve"> </w:t>
      </w:r>
      <w:r w:rsidRPr="00EA59C0">
        <w:t>to</w:t>
      </w:r>
      <w:r w:rsidR="00C026A6" w:rsidRPr="00EA59C0">
        <w:t xml:space="preserve"> </w:t>
      </w:r>
      <w:r w:rsidRPr="00EA59C0">
        <w:t>develop</w:t>
      </w:r>
      <w:r w:rsidR="00C026A6" w:rsidRPr="00EA59C0">
        <w:t xml:space="preserve"> </w:t>
      </w:r>
      <w:r w:rsidRPr="00EA59C0">
        <w:t>and</w:t>
      </w:r>
      <w:r w:rsidR="00C026A6" w:rsidRPr="00EA59C0">
        <w:t xml:space="preserve"> </w:t>
      </w:r>
      <w:r w:rsidRPr="00EA59C0">
        <w:t>implement</w:t>
      </w:r>
      <w:r w:rsidR="00C026A6" w:rsidRPr="00EA59C0">
        <w:t xml:space="preserve"> </w:t>
      </w:r>
      <w:r w:rsidRPr="00EA59C0">
        <w:t>an</w:t>
      </w:r>
      <w:r w:rsidR="00C026A6" w:rsidRPr="00EA59C0">
        <w:t xml:space="preserve"> </w:t>
      </w:r>
      <w:r w:rsidRPr="00EA59C0">
        <w:t>employment</w:t>
      </w:r>
      <w:r w:rsidR="00C026A6" w:rsidRPr="00EA59C0">
        <w:t xml:space="preserve"> </w:t>
      </w:r>
      <w:r w:rsidRPr="00EA59C0">
        <w:t>results</w:t>
      </w:r>
      <w:r w:rsidR="00C026A6" w:rsidRPr="00EA59C0">
        <w:t xml:space="preserve"> </w:t>
      </w:r>
      <w:r w:rsidRPr="00EA59C0">
        <w:t>scorecard</w:t>
      </w:r>
      <w:r w:rsidR="00C026A6" w:rsidRPr="00EA59C0">
        <w:t xml:space="preserve"> </w:t>
      </w:r>
      <w:r w:rsidRPr="00EA59C0">
        <w:t>during</w:t>
      </w:r>
      <w:r w:rsidR="00C026A6" w:rsidRPr="00EA59C0">
        <w:t xml:space="preserve"> </w:t>
      </w:r>
      <w:r w:rsidRPr="00EA59C0">
        <w:t>the</w:t>
      </w:r>
      <w:r w:rsidR="00C026A6" w:rsidRPr="00EA59C0">
        <w:t xml:space="preserve"> </w:t>
      </w:r>
      <w:r w:rsidRPr="00EA59C0">
        <w:t>grant</w:t>
      </w:r>
      <w:r w:rsidR="00C026A6" w:rsidRPr="00EA59C0">
        <w:t xml:space="preserve"> </w:t>
      </w:r>
      <w:r w:rsidRPr="00EA59C0">
        <w:t>performance</w:t>
      </w:r>
      <w:r w:rsidR="00C026A6" w:rsidRPr="00EA59C0">
        <w:t xml:space="preserve"> </w:t>
      </w:r>
      <w:r w:rsidRPr="00EA59C0">
        <w:t>period.</w:t>
      </w:r>
      <w:r w:rsidR="00C026A6" w:rsidRPr="00EA59C0">
        <w:t xml:space="preserve">  </w:t>
      </w:r>
      <w:r w:rsidRPr="00EA59C0">
        <w:t>The</w:t>
      </w:r>
      <w:r w:rsidR="00C026A6" w:rsidRPr="00EA59C0">
        <w:t xml:space="preserve"> </w:t>
      </w:r>
      <w:r w:rsidRPr="00EA59C0">
        <w:t>purpose</w:t>
      </w:r>
      <w:r w:rsidR="00C026A6" w:rsidRPr="00EA59C0">
        <w:t xml:space="preserve"> </w:t>
      </w:r>
      <w:r w:rsidRPr="00EA59C0">
        <w:t>of</w:t>
      </w:r>
      <w:r w:rsidR="00C026A6" w:rsidRPr="00EA59C0">
        <w:t xml:space="preserve"> </w:t>
      </w:r>
      <w:r w:rsidRPr="00EA59C0">
        <w:t>the</w:t>
      </w:r>
      <w:r w:rsidR="00C026A6" w:rsidRPr="00EA59C0">
        <w:t xml:space="preserve"> </w:t>
      </w:r>
      <w:r w:rsidRPr="00EA59C0">
        <w:t>employment</w:t>
      </w:r>
      <w:r w:rsidR="00C026A6" w:rsidRPr="00EA59C0">
        <w:t xml:space="preserve"> </w:t>
      </w:r>
      <w:r w:rsidRPr="00EA59C0">
        <w:t>results</w:t>
      </w:r>
      <w:r w:rsidR="00C026A6" w:rsidRPr="00EA59C0">
        <w:t xml:space="preserve"> </w:t>
      </w:r>
      <w:r w:rsidRPr="00EA59C0">
        <w:t>scorecard</w:t>
      </w:r>
      <w:r w:rsidR="00C026A6" w:rsidRPr="00EA59C0">
        <w:t xml:space="preserve"> </w:t>
      </w:r>
      <w:r w:rsidRPr="00EA59C0">
        <w:t>is</w:t>
      </w:r>
      <w:r w:rsidR="00C026A6" w:rsidRPr="00EA59C0">
        <w:t xml:space="preserve"> </w:t>
      </w:r>
      <w:r w:rsidRPr="00EA59C0">
        <w:t>to</w:t>
      </w:r>
      <w:r w:rsidR="00C026A6" w:rsidRPr="00EA59C0">
        <w:t xml:space="preserve"> </w:t>
      </w:r>
      <w:r w:rsidRPr="00EA59C0">
        <w:t>help</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other</w:t>
      </w:r>
      <w:r w:rsidR="00C026A6" w:rsidRPr="00EA59C0">
        <w:t xml:space="preserve"> </w:t>
      </w:r>
      <w:r w:rsidRPr="00EA59C0">
        <w:t>adult</w:t>
      </w:r>
      <w:r w:rsidR="00C026A6" w:rsidRPr="00EA59C0">
        <w:t xml:space="preserve"> </w:t>
      </w:r>
      <w:r w:rsidRPr="00EA59C0">
        <w:t>learners,</w:t>
      </w:r>
      <w:r w:rsidR="00C026A6" w:rsidRPr="00EA59C0">
        <w:t xml:space="preserve"> </w:t>
      </w:r>
      <w:r w:rsidRPr="00EA59C0">
        <w:t>and</w:t>
      </w:r>
      <w:r w:rsidR="00C026A6" w:rsidRPr="00EA59C0">
        <w:t xml:space="preserve"> </w:t>
      </w:r>
      <w:r w:rsidRPr="00EA59C0">
        <w:t>prospective</w:t>
      </w:r>
      <w:r w:rsidR="00C026A6" w:rsidRPr="00EA59C0">
        <w:t xml:space="preserve"> </w:t>
      </w:r>
      <w:r w:rsidRPr="00EA59C0">
        <w:t>students</w:t>
      </w:r>
      <w:r w:rsidR="00C026A6" w:rsidRPr="00EA59C0">
        <w:t xml:space="preserve"> </w:t>
      </w:r>
      <w:r w:rsidRPr="00EA59C0">
        <w:t>identify</w:t>
      </w:r>
      <w:r w:rsidR="00C026A6" w:rsidRPr="00EA59C0">
        <w:t xml:space="preserve"> </w:t>
      </w:r>
      <w:r w:rsidRPr="00EA59C0">
        <w:t>and</w:t>
      </w:r>
      <w:r w:rsidR="00C026A6" w:rsidRPr="00EA59C0">
        <w:t xml:space="preserve"> </w:t>
      </w:r>
      <w:r w:rsidRPr="00EA59C0">
        <w:t>choose</w:t>
      </w:r>
      <w:r w:rsidR="00C026A6" w:rsidRPr="00EA59C0">
        <w:t xml:space="preserve"> </w:t>
      </w:r>
      <w:r w:rsidRPr="00EA59C0">
        <w:t>programs</w:t>
      </w:r>
      <w:r w:rsidR="00C026A6" w:rsidRPr="00EA59C0">
        <w:t xml:space="preserve"> </w:t>
      </w:r>
      <w:r w:rsidRPr="00EA59C0">
        <w:t>by</w:t>
      </w:r>
      <w:r w:rsidR="00C026A6" w:rsidRPr="00EA59C0">
        <w:t xml:space="preserve"> </w:t>
      </w:r>
      <w:r w:rsidRPr="00EA59C0">
        <w:t>providing</w:t>
      </w:r>
      <w:r w:rsidR="00C026A6" w:rsidRPr="00EA59C0">
        <w:t xml:space="preserve"> </w:t>
      </w:r>
      <w:r w:rsidRPr="00EA59C0">
        <w:t>key</w:t>
      </w:r>
      <w:r w:rsidR="00C026A6" w:rsidRPr="00EA59C0">
        <w:t xml:space="preserve"> </w:t>
      </w:r>
      <w:r w:rsidRPr="00EA59C0">
        <w:t>information</w:t>
      </w:r>
      <w:r w:rsidR="00C026A6" w:rsidRPr="00EA59C0">
        <w:t xml:space="preserve"> </w:t>
      </w:r>
      <w:r w:rsidRPr="00EA59C0">
        <w:t>on</w:t>
      </w:r>
      <w:r w:rsidR="00C026A6" w:rsidRPr="00EA59C0">
        <w:t xml:space="preserve"> </w:t>
      </w:r>
      <w:r w:rsidRPr="00EA59C0">
        <w:t>the</w:t>
      </w:r>
      <w:r w:rsidR="00C026A6" w:rsidRPr="00EA59C0">
        <w:t xml:space="preserve"> </w:t>
      </w:r>
      <w:r w:rsidRPr="00EA59C0">
        <w:t>employment</w:t>
      </w:r>
      <w:r w:rsidR="00C026A6" w:rsidRPr="00EA59C0">
        <w:t xml:space="preserve"> </w:t>
      </w:r>
      <w:r w:rsidRPr="00EA59C0">
        <w:t>outcomes</w:t>
      </w:r>
      <w:r w:rsidR="00C026A6" w:rsidRPr="00EA59C0">
        <w:t xml:space="preserve"> </w:t>
      </w:r>
      <w:r w:rsidRPr="00EA59C0">
        <w:t>of</w:t>
      </w:r>
      <w:r w:rsidR="00C026A6" w:rsidRPr="00EA59C0">
        <w:t xml:space="preserve"> </w:t>
      </w:r>
      <w:r w:rsidRPr="00EA59C0">
        <w:t>graduates</w:t>
      </w:r>
      <w:r w:rsidR="00C026A6" w:rsidRPr="00EA59C0">
        <w:t xml:space="preserve"> </w:t>
      </w:r>
      <w:r w:rsidRPr="00EA59C0">
        <w:t>of</w:t>
      </w:r>
      <w:r w:rsidR="00C026A6" w:rsidRPr="00EA59C0">
        <w:t xml:space="preserve"> </w:t>
      </w:r>
      <w:r w:rsidRPr="00EA59C0">
        <w:t>these</w:t>
      </w:r>
      <w:r w:rsidR="00C026A6" w:rsidRPr="00EA59C0">
        <w:t xml:space="preserve"> </w:t>
      </w:r>
      <w:r w:rsidRPr="00EA59C0">
        <w:t>programs</w:t>
      </w:r>
      <w:r w:rsidR="00C026A6" w:rsidRPr="00EA59C0">
        <w:t xml:space="preserve"> </w:t>
      </w:r>
      <w:r w:rsidRPr="00EA59C0">
        <w:t>of</w:t>
      </w:r>
      <w:r w:rsidR="00C026A6" w:rsidRPr="00EA59C0">
        <w:t xml:space="preserve"> </w:t>
      </w:r>
      <w:r w:rsidRPr="00EA59C0">
        <w:t>study</w:t>
      </w:r>
      <w:r w:rsidR="00C026A6" w:rsidRPr="00EA59C0">
        <w:t xml:space="preserve"> </w:t>
      </w:r>
      <w:r w:rsidRPr="00EA59C0">
        <w:t>to</w:t>
      </w:r>
      <w:r w:rsidR="00C026A6" w:rsidRPr="00EA59C0">
        <w:t xml:space="preserve"> </w:t>
      </w:r>
      <w:r w:rsidRPr="00EA59C0">
        <w:t>determine</w:t>
      </w:r>
      <w:r w:rsidR="00C026A6" w:rsidRPr="00EA59C0">
        <w:t xml:space="preserve"> </w:t>
      </w:r>
      <w:r w:rsidRPr="00EA59C0">
        <w:t>whether</w:t>
      </w:r>
      <w:r w:rsidR="00C026A6" w:rsidRPr="00EA59C0">
        <w:t xml:space="preserve"> </w:t>
      </w:r>
      <w:r w:rsidRPr="00EA59C0">
        <w:t>these</w:t>
      </w:r>
      <w:r w:rsidR="00C026A6" w:rsidRPr="00EA59C0">
        <w:t xml:space="preserve"> </w:t>
      </w:r>
      <w:r w:rsidRPr="00EA59C0">
        <w:t>programs</w:t>
      </w:r>
      <w:r w:rsidR="00C026A6" w:rsidRPr="00EA59C0">
        <w:t xml:space="preserve"> </w:t>
      </w:r>
      <w:r w:rsidRPr="00EA59C0">
        <w:t>of</w:t>
      </w:r>
      <w:r w:rsidR="00C026A6" w:rsidRPr="00EA59C0">
        <w:t xml:space="preserve"> </w:t>
      </w:r>
      <w:r w:rsidRPr="00EA59C0">
        <w:t>study</w:t>
      </w:r>
      <w:r w:rsidR="00C026A6" w:rsidRPr="00EA59C0">
        <w:t xml:space="preserve"> </w:t>
      </w:r>
      <w:r w:rsidRPr="00EA59C0">
        <w:t>may</w:t>
      </w:r>
      <w:r w:rsidR="00C026A6" w:rsidRPr="00EA59C0">
        <w:t xml:space="preserve"> </w:t>
      </w:r>
      <w:r w:rsidRPr="00EA59C0">
        <w:t>be</w:t>
      </w:r>
      <w:r w:rsidR="00C026A6" w:rsidRPr="00EA59C0">
        <w:t xml:space="preserve"> </w:t>
      </w:r>
      <w:r w:rsidRPr="00EA59C0">
        <w:t>appropriate</w:t>
      </w:r>
      <w:r w:rsidR="00C026A6" w:rsidRPr="00EA59C0">
        <w:t xml:space="preserve"> </w:t>
      </w:r>
      <w:r w:rsidRPr="00EA59C0">
        <w:t>for</w:t>
      </w:r>
      <w:r w:rsidR="00C026A6" w:rsidRPr="00EA59C0">
        <w:t xml:space="preserve"> </w:t>
      </w:r>
      <w:r w:rsidRPr="00EA59C0">
        <w:t>their</w:t>
      </w:r>
      <w:r w:rsidR="00C026A6" w:rsidRPr="00EA59C0">
        <w:t xml:space="preserve"> </w:t>
      </w:r>
      <w:r w:rsidRPr="00EA59C0">
        <w:t>career</w:t>
      </w:r>
      <w:r w:rsidR="00C026A6" w:rsidRPr="00EA59C0">
        <w:t xml:space="preserve"> </w:t>
      </w:r>
      <w:r w:rsidRPr="00EA59C0">
        <w:t>goals.</w:t>
      </w:r>
      <w:r w:rsidR="00C026A6" w:rsidRPr="00EA59C0">
        <w:t xml:space="preserve">  </w:t>
      </w:r>
      <w:r w:rsidRPr="00EA59C0">
        <w:t>The</w:t>
      </w:r>
      <w:r w:rsidR="00C026A6" w:rsidRPr="00EA59C0">
        <w:t xml:space="preserve"> </w:t>
      </w:r>
      <w:r w:rsidRPr="00EA59C0">
        <w:t>same</w:t>
      </w:r>
      <w:r w:rsidR="00C026A6" w:rsidRPr="00EA59C0">
        <w:t xml:space="preserve"> </w:t>
      </w:r>
      <w:r w:rsidRPr="00EA59C0">
        <w:t>data</w:t>
      </w:r>
      <w:r w:rsidR="00C026A6" w:rsidRPr="00EA59C0">
        <w:t xml:space="preserve"> </w:t>
      </w:r>
      <w:r w:rsidRPr="00EA59C0">
        <w:t>on</w:t>
      </w:r>
      <w:r w:rsidR="00C026A6" w:rsidRPr="00EA59C0">
        <w:t xml:space="preserve"> </w:t>
      </w:r>
      <w:r w:rsidRPr="00EA59C0">
        <w:t>aggregate</w:t>
      </w:r>
      <w:r w:rsidR="00C026A6" w:rsidRPr="00EA59C0">
        <w:t xml:space="preserve"> </w:t>
      </w:r>
      <w:r w:rsidRPr="00EA59C0">
        <w:t>student</w:t>
      </w:r>
      <w:r w:rsidR="00C026A6" w:rsidRPr="00EA59C0">
        <w:t xml:space="preserve"> </w:t>
      </w:r>
      <w:r w:rsidRPr="00EA59C0">
        <w:t>outcomes</w:t>
      </w:r>
      <w:r w:rsidR="00C026A6" w:rsidRPr="00EA59C0">
        <w:t xml:space="preserve"> </w:t>
      </w:r>
      <w:r w:rsidRPr="00EA59C0">
        <w:t>by</w:t>
      </w:r>
      <w:r w:rsidR="00C026A6" w:rsidRPr="00EA59C0">
        <w:t xml:space="preserve"> </w:t>
      </w:r>
      <w:r w:rsidRPr="00EA59C0">
        <w:t>programs</w:t>
      </w:r>
      <w:r w:rsidR="00C026A6" w:rsidRPr="00EA59C0">
        <w:t xml:space="preserve"> </w:t>
      </w:r>
      <w:r w:rsidRPr="00EA59C0">
        <w:t>of</w:t>
      </w:r>
      <w:r w:rsidR="00C026A6" w:rsidRPr="00EA59C0">
        <w:t xml:space="preserve"> </w:t>
      </w:r>
      <w:r w:rsidRPr="00EA59C0">
        <w:t>study</w:t>
      </w:r>
      <w:r w:rsidR="00C026A6" w:rsidRPr="00EA59C0">
        <w:t xml:space="preserve"> </w:t>
      </w:r>
      <w:r w:rsidRPr="00EA59C0">
        <w:t>will</w:t>
      </w:r>
      <w:r w:rsidR="00C026A6" w:rsidRPr="00EA59C0">
        <w:t xml:space="preserve"> </w:t>
      </w:r>
      <w:r w:rsidRPr="00EA59C0">
        <w:t>help</w:t>
      </w:r>
      <w:r w:rsidR="00C026A6" w:rsidRPr="00EA59C0">
        <w:t xml:space="preserve"> </w:t>
      </w:r>
      <w:r w:rsidRPr="00EA59C0">
        <w:t>institutions</w:t>
      </w:r>
      <w:r w:rsidR="00C026A6" w:rsidRPr="00EA59C0">
        <w:t xml:space="preserve"> </w:t>
      </w:r>
      <w:r w:rsidRPr="00EA59C0">
        <w:t>improve</w:t>
      </w:r>
      <w:r w:rsidR="00C026A6" w:rsidRPr="00EA59C0">
        <w:t xml:space="preserve"> </w:t>
      </w:r>
      <w:r w:rsidRPr="00EA59C0">
        <w:t>their</w:t>
      </w:r>
      <w:r w:rsidR="00C026A6" w:rsidRPr="00EA59C0">
        <w:t xml:space="preserve"> </w:t>
      </w:r>
      <w:r w:rsidRPr="00EA59C0">
        <w:t>programming</w:t>
      </w:r>
      <w:r w:rsidR="00C026A6" w:rsidRPr="00EA59C0">
        <w:t xml:space="preserve"> </w:t>
      </w:r>
      <w:r w:rsidRPr="00EA59C0">
        <w:t>by</w:t>
      </w:r>
      <w:r w:rsidR="00C026A6" w:rsidRPr="00EA59C0">
        <w:t xml:space="preserve"> </w:t>
      </w:r>
      <w:r w:rsidRPr="00EA59C0">
        <w:t>ensuring</w:t>
      </w:r>
      <w:r w:rsidR="00C026A6" w:rsidRPr="00EA59C0">
        <w:t xml:space="preserve"> </w:t>
      </w:r>
      <w:r w:rsidRPr="00EA59C0">
        <w:t>that</w:t>
      </w:r>
      <w:r w:rsidR="00C026A6" w:rsidRPr="00EA59C0">
        <w:t xml:space="preserve"> </w:t>
      </w:r>
      <w:r w:rsidRPr="00EA59C0">
        <w:t>course</w:t>
      </w:r>
      <w:r w:rsidR="00C026A6" w:rsidRPr="00EA59C0">
        <w:t xml:space="preserve"> </w:t>
      </w:r>
      <w:r w:rsidRPr="00EA59C0">
        <w:t>offerings</w:t>
      </w:r>
      <w:r w:rsidR="00C026A6" w:rsidRPr="00EA59C0">
        <w:t xml:space="preserve"> </w:t>
      </w:r>
      <w:r w:rsidRPr="00EA59C0">
        <w:t>are</w:t>
      </w:r>
      <w:r w:rsidR="00C026A6" w:rsidRPr="00EA59C0">
        <w:t xml:space="preserve"> </w:t>
      </w:r>
      <w:r w:rsidRPr="00EA59C0">
        <w:t>aligned</w:t>
      </w:r>
      <w:r w:rsidR="00C026A6" w:rsidRPr="00EA59C0">
        <w:t xml:space="preserve"> </w:t>
      </w:r>
      <w:r w:rsidRPr="00EA59C0">
        <w:t>with</w:t>
      </w:r>
      <w:r w:rsidR="00C026A6" w:rsidRPr="00EA59C0">
        <w:t xml:space="preserve"> </w:t>
      </w:r>
      <w:r w:rsidRPr="00EA59C0">
        <w:t>labor</w:t>
      </w:r>
      <w:r w:rsidR="00C026A6" w:rsidRPr="00EA59C0">
        <w:t xml:space="preserve"> </w:t>
      </w:r>
      <w:r w:rsidRPr="00EA59C0">
        <w:t>market</w:t>
      </w:r>
      <w:r w:rsidR="00C026A6" w:rsidRPr="00EA59C0">
        <w:t xml:space="preserve"> </w:t>
      </w:r>
      <w:r w:rsidRPr="00EA59C0">
        <w:t>needs.</w:t>
      </w:r>
      <w:r w:rsidR="00C026A6" w:rsidRPr="00EA59C0">
        <w:t xml:space="preserve">  </w:t>
      </w:r>
      <w:r w:rsidR="0055370A" w:rsidRPr="00EA59C0">
        <w:t>In addition</w:t>
      </w:r>
      <w:r w:rsidRPr="00EA59C0">
        <w:t>,</w:t>
      </w:r>
      <w:r w:rsidR="00C026A6" w:rsidRPr="00EA59C0">
        <w:t xml:space="preserve"> </w:t>
      </w:r>
      <w:r w:rsidRPr="00EA59C0">
        <w:t>in</w:t>
      </w:r>
      <w:r w:rsidR="00C026A6" w:rsidRPr="00EA59C0">
        <w:t xml:space="preserve"> </w:t>
      </w:r>
      <w:r w:rsidRPr="00EA59C0">
        <w:t>developing</w:t>
      </w:r>
      <w:r w:rsidR="00C026A6" w:rsidRPr="00EA59C0">
        <w:t xml:space="preserve"> </w:t>
      </w:r>
      <w:r w:rsidRPr="00EA59C0">
        <w:t>a</w:t>
      </w:r>
      <w:r w:rsidR="00C026A6" w:rsidRPr="00EA59C0">
        <w:t xml:space="preserve"> </w:t>
      </w:r>
      <w:r w:rsidRPr="00EA59C0">
        <w:t>scorecard,</w:t>
      </w:r>
      <w:r w:rsidR="00C026A6" w:rsidRPr="00EA59C0">
        <w:t xml:space="preserve"> </w:t>
      </w:r>
      <w:r w:rsidRPr="00EA59C0">
        <w:t>institutions</w:t>
      </w:r>
      <w:r w:rsidR="00C026A6" w:rsidRPr="00EA59C0">
        <w:t xml:space="preserve"> </w:t>
      </w:r>
      <w:r w:rsidRPr="00EA59C0">
        <w:t>begin</w:t>
      </w:r>
      <w:r w:rsidR="00C026A6" w:rsidRPr="00EA59C0">
        <w:t xml:space="preserve"> </w:t>
      </w:r>
      <w:r w:rsidRPr="00EA59C0">
        <w:t>to</w:t>
      </w:r>
      <w:r w:rsidR="00C026A6" w:rsidRPr="00EA59C0">
        <w:t xml:space="preserve"> </w:t>
      </w:r>
      <w:r w:rsidRPr="00EA59C0">
        <w:t>establish</w:t>
      </w:r>
      <w:r w:rsidR="00C026A6" w:rsidRPr="00EA59C0">
        <w:t xml:space="preserve"> </w:t>
      </w:r>
      <w:r w:rsidRPr="00EA59C0">
        <w:t>a</w:t>
      </w:r>
      <w:r w:rsidR="00C026A6" w:rsidRPr="00EA59C0">
        <w:t xml:space="preserve"> </w:t>
      </w:r>
      <w:r w:rsidRPr="00EA59C0">
        <w:t>sustainable</w:t>
      </w:r>
      <w:r w:rsidR="00C026A6" w:rsidRPr="00EA59C0">
        <w:t xml:space="preserve"> </w:t>
      </w:r>
      <w:r w:rsidRPr="00EA59C0">
        <w:t>system</w:t>
      </w:r>
      <w:r w:rsidR="00C026A6" w:rsidRPr="00EA59C0">
        <w:t xml:space="preserve"> </w:t>
      </w:r>
      <w:r w:rsidRPr="00EA59C0">
        <w:t>for</w:t>
      </w:r>
      <w:r w:rsidR="00C026A6" w:rsidRPr="00EA59C0">
        <w:t xml:space="preserve"> </w:t>
      </w:r>
      <w:r w:rsidRPr="00EA59C0">
        <w:t>tracking</w:t>
      </w:r>
      <w:r w:rsidR="00C026A6" w:rsidRPr="00EA59C0">
        <w:t xml:space="preserve"> </w:t>
      </w:r>
      <w:r w:rsidRPr="00EA59C0">
        <w:t>and</w:t>
      </w:r>
      <w:r w:rsidR="00C026A6" w:rsidRPr="00EA59C0">
        <w:t xml:space="preserve"> </w:t>
      </w:r>
      <w:r w:rsidRPr="00EA59C0">
        <w:t>reporting</w:t>
      </w:r>
      <w:r w:rsidR="00C026A6" w:rsidRPr="00EA59C0">
        <w:t xml:space="preserve"> </w:t>
      </w:r>
      <w:r w:rsidRPr="00EA59C0">
        <w:t>outcomes</w:t>
      </w:r>
      <w:r w:rsidR="00C026A6" w:rsidRPr="00EA59C0">
        <w:t xml:space="preserve"> </w:t>
      </w:r>
      <w:r w:rsidRPr="00EA59C0">
        <w:t>and</w:t>
      </w:r>
      <w:r w:rsidR="00C026A6" w:rsidRPr="00EA59C0">
        <w:t xml:space="preserve"> </w:t>
      </w:r>
      <w:r w:rsidRPr="00EA59C0">
        <w:t>using</w:t>
      </w:r>
      <w:r w:rsidR="00C026A6" w:rsidRPr="00EA59C0">
        <w:t xml:space="preserve"> </w:t>
      </w:r>
      <w:r w:rsidRPr="00EA59C0">
        <w:t>data</w:t>
      </w:r>
      <w:r w:rsidR="00C026A6" w:rsidRPr="00EA59C0">
        <w:t xml:space="preserve"> </w:t>
      </w:r>
      <w:r w:rsidRPr="00EA59C0">
        <w:t>for</w:t>
      </w:r>
      <w:r w:rsidR="00C026A6" w:rsidRPr="00EA59C0">
        <w:t xml:space="preserve"> </w:t>
      </w:r>
      <w:r w:rsidRPr="00EA59C0">
        <w:t>continuous</w:t>
      </w:r>
      <w:r w:rsidR="00C026A6" w:rsidRPr="00EA59C0">
        <w:t xml:space="preserve"> </w:t>
      </w:r>
      <w:r w:rsidRPr="00EA59C0">
        <w:t>improvement</w:t>
      </w:r>
      <w:r w:rsidR="00C026A6" w:rsidRPr="00EA59C0">
        <w:t xml:space="preserve"> </w:t>
      </w:r>
      <w:r w:rsidRPr="00EA59C0">
        <w:t>that</w:t>
      </w:r>
      <w:r w:rsidR="00C026A6" w:rsidRPr="00EA59C0">
        <w:t xml:space="preserve"> </w:t>
      </w:r>
      <w:r w:rsidRPr="00EA59C0">
        <w:t>extends</w:t>
      </w:r>
      <w:r w:rsidR="00C026A6" w:rsidRPr="00EA59C0">
        <w:t xml:space="preserve"> </w:t>
      </w:r>
      <w:r w:rsidRPr="00EA59C0">
        <w:t>beyond</w:t>
      </w:r>
      <w:r w:rsidR="00C026A6" w:rsidRPr="00EA59C0">
        <w:t xml:space="preserve"> </w:t>
      </w:r>
      <w:r w:rsidRPr="00EA59C0">
        <w:t>the</w:t>
      </w:r>
      <w:r w:rsidR="00C026A6" w:rsidRPr="00EA59C0">
        <w:t xml:space="preserve"> </w:t>
      </w:r>
      <w:r w:rsidRPr="00EA59C0">
        <w:t>period</w:t>
      </w:r>
      <w:r w:rsidR="00C026A6" w:rsidRPr="00EA59C0">
        <w:t xml:space="preserve"> </w:t>
      </w:r>
      <w:r w:rsidRPr="00EA59C0">
        <w:t>of</w:t>
      </w:r>
      <w:r w:rsidR="00C026A6" w:rsidRPr="00EA59C0">
        <w:t xml:space="preserve"> </w:t>
      </w:r>
      <w:r w:rsidRPr="00EA59C0">
        <w:t>performance</w:t>
      </w:r>
      <w:r w:rsidR="00C026A6" w:rsidRPr="00EA59C0">
        <w:t xml:space="preserve"> </w:t>
      </w:r>
      <w:r w:rsidRPr="00EA59C0">
        <w:t>of</w:t>
      </w:r>
      <w:r w:rsidR="00C026A6" w:rsidRPr="00EA59C0">
        <w:t xml:space="preserve"> </w:t>
      </w:r>
      <w:r w:rsidRPr="00EA59C0">
        <w:t>grant</w:t>
      </w:r>
      <w:r w:rsidR="00C026A6" w:rsidRPr="00EA59C0">
        <w:t xml:space="preserve"> </w:t>
      </w:r>
      <w:r w:rsidRPr="00EA59C0">
        <w:t>program.</w:t>
      </w:r>
      <w:r w:rsidR="00C026A6" w:rsidRPr="00EA59C0">
        <w:t xml:space="preserve">  </w:t>
      </w:r>
    </w:p>
    <w:p w:rsidR="00C07325" w:rsidRPr="00EA59C0" w:rsidRDefault="00C07325" w:rsidP="00C072FA">
      <w:pPr>
        <w:ind w:left="1080"/>
      </w:pPr>
    </w:p>
    <w:p w:rsidR="00F15AF6" w:rsidRPr="00EA59C0" w:rsidRDefault="00F15AF6" w:rsidP="00C072FA">
      <w:pPr>
        <w:ind w:left="1080"/>
      </w:pPr>
      <w:r w:rsidRPr="00EA59C0">
        <w:t>Single-State</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submit</w:t>
      </w:r>
      <w:r w:rsidR="00C026A6" w:rsidRPr="00EA59C0">
        <w:t xml:space="preserve"> </w:t>
      </w:r>
      <w:r w:rsidRPr="00EA59C0">
        <w:t>a</w:t>
      </w:r>
      <w:r w:rsidR="00C026A6" w:rsidRPr="00EA59C0">
        <w:t xml:space="preserve"> </w:t>
      </w:r>
      <w:r w:rsidRPr="00EA59C0">
        <w:t>clearly</w:t>
      </w:r>
      <w:r w:rsidR="00C026A6" w:rsidRPr="00EA59C0">
        <w:t xml:space="preserve"> </w:t>
      </w:r>
      <w:r w:rsidRPr="00EA59C0">
        <w:t>labeled</w:t>
      </w:r>
      <w:r w:rsidR="00C026A6" w:rsidRPr="00EA59C0">
        <w:t xml:space="preserve"> </w:t>
      </w:r>
      <w:r w:rsidRPr="00EA59C0">
        <w:t>Employment</w:t>
      </w:r>
      <w:r w:rsidR="00C026A6" w:rsidRPr="00EA59C0">
        <w:t xml:space="preserve"> </w:t>
      </w:r>
      <w:r w:rsidRPr="00EA59C0">
        <w:t>Results</w:t>
      </w:r>
      <w:r w:rsidR="00C026A6" w:rsidRPr="00EA59C0">
        <w:t xml:space="preserve"> </w:t>
      </w:r>
      <w:r w:rsidRPr="00EA59C0">
        <w:t>Scorecard</w:t>
      </w:r>
      <w:r w:rsidR="00C026A6" w:rsidRPr="00EA59C0">
        <w:t xml:space="preserve"> </w:t>
      </w:r>
      <w:r w:rsidRPr="00EA59C0">
        <w:t>Workplan</w:t>
      </w:r>
      <w:r w:rsidR="00C026A6" w:rsidRPr="00EA59C0">
        <w:t xml:space="preserve"> </w:t>
      </w:r>
      <w:r w:rsidRPr="00EA59C0">
        <w:t>as</w:t>
      </w:r>
      <w:r w:rsidR="00C026A6" w:rsidRPr="00EA59C0">
        <w:t xml:space="preserve"> </w:t>
      </w:r>
      <w:r w:rsidRPr="00EA59C0">
        <w:t>an</w:t>
      </w:r>
      <w:r w:rsidR="00C026A6" w:rsidRPr="00EA59C0">
        <w:t xml:space="preserve"> </w:t>
      </w:r>
      <w:r w:rsidRPr="00EA59C0">
        <w:t>Attachment</w:t>
      </w:r>
      <w:r w:rsidR="00C026A6" w:rsidRPr="00EA59C0">
        <w:t xml:space="preserve"> </w:t>
      </w:r>
      <w:r w:rsidRPr="00EA59C0">
        <w:t>to</w:t>
      </w:r>
      <w:r w:rsidR="00C026A6" w:rsidRPr="00EA59C0">
        <w:t xml:space="preserve"> </w:t>
      </w:r>
      <w:r w:rsidRPr="00EA59C0">
        <w:t>the</w:t>
      </w:r>
      <w:r w:rsidR="00C026A6" w:rsidRPr="00EA59C0">
        <w:t xml:space="preserve"> </w:t>
      </w:r>
      <w:r w:rsidRPr="00EA59C0">
        <w:t>Project</w:t>
      </w:r>
      <w:r w:rsidR="00C026A6" w:rsidRPr="00EA59C0">
        <w:t xml:space="preserve"> </w:t>
      </w:r>
      <w:r w:rsidRPr="00EA59C0">
        <w:t>Narrative</w:t>
      </w:r>
      <w:r w:rsidR="00C026A6" w:rsidRPr="00EA59C0">
        <w:t xml:space="preserve"> </w:t>
      </w:r>
      <w:r w:rsidRPr="00EA59C0">
        <w:t>that</w:t>
      </w:r>
      <w:r w:rsidR="00C026A6" w:rsidRPr="00EA59C0">
        <w:t xml:space="preserve"> </w:t>
      </w:r>
      <w:r w:rsidRPr="00EA59C0">
        <w:t>addresses</w:t>
      </w:r>
      <w:r w:rsidR="00C026A6" w:rsidRPr="00EA59C0">
        <w:t xml:space="preserve"> </w:t>
      </w:r>
      <w:r w:rsidRPr="00EA59C0">
        <w:t>the</w:t>
      </w:r>
      <w:r w:rsidR="00C026A6" w:rsidRPr="00EA59C0">
        <w:t xml:space="preserve"> </w:t>
      </w:r>
      <w:r w:rsidRPr="00EA59C0">
        <w:t>four</w:t>
      </w:r>
      <w:r w:rsidR="00C026A6" w:rsidRPr="00EA59C0">
        <w:t xml:space="preserve"> </w:t>
      </w:r>
      <w:r w:rsidRPr="00EA59C0">
        <w:t>items</w:t>
      </w:r>
      <w:r w:rsidR="00C026A6" w:rsidRPr="00EA59C0">
        <w:t xml:space="preserve"> </w:t>
      </w:r>
      <w:r w:rsidRPr="00EA59C0">
        <w:t>below</w:t>
      </w:r>
      <w:r w:rsidR="00C026A6" w:rsidRPr="00EA59C0">
        <w:t xml:space="preserve"> </w:t>
      </w:r>
      <w:r w:rsidRPr="00EA59C0">
        <w:t>and</w:t>
      </w:r>
      <w:r w:rsidR="00C026A6" w:rsidRPr="00EA59C0">
        <w:t xml:space="preserve"> </w:t>
      </w:r>
      <w:r w:rsidRPr="00EA59C0">
        <w:t>describes</w:t>
      </w:r>
      <w:r w:rsidR="00C026A6" w:rsidRPr="00EA59C0">
        <w:t xml:space="preserve"> </w:t>
      </w:r>
      <w:r w:rsidRPr="00EA59C0">
        <w:t>a</w:t>
      </w:r>
      <w:r w:rsidR="00C026A6" w:rsidRPr="00EA59C0">
        <w:t xml:space="preserve"> </w:t>
      </w:r>
      <w:r w:rsidRPr="00EA59C0">
        <w:t>plan</w:t>
      </w:r>
      <w:r w:rsidR="00C026A6" w:rsidRPr="00EA59C0">
        <w:t xml:space="preserve"> </w:t>
      </w:r>
      <w:r w:rsidRPr="00EA59C0">
        <w:t>to</w:t>
      </w:r>
      <w:r w:rsidR="00C026A6" w:rsidRPr="00EA59C0">
        <w:t xml:space="preserve"> </w:t>
      </w:r>
      <w:r w:rsidRPr="00EA59C0">
        <w:t>implement</w:t>
      </w:r>
      <w:r w:rsidR="00C026A6" w:rsidRPr="00EA59C0">
        <w:t xml:space="preserve"> </w:t>
      </w:r>
      <w:r w:rsidRPr="00EA59C0">
        <w:t>this</w:t>
      </w:r>
      <w:r w:rsidR="00C026A6" w:rsidRPr="00EA59C0">
        <w:t xml:space="preserve"> </w:t>
      </w:r>
      <w:r w:rsidRPr="00EA59C0">
        <w:t>scorecard</w:t>
      </w:r>
      <w:r w:rsidR="00C026A6" w:rsidRPr="00EA59C0">
        <w:t xml:space="preserve"> </w:t>
      </w:r>
      <w:r w:rsidRPr="00EA59C0">
        <w:t>by</w:t>
      </w:r>
      <w:r w:rsidR="00C026A6" w:rsidRPr="00EA59C0">
        <w:t xml:space="preserve"> </w:t>
      </w:r>
      <w:r w:rsidRPr="00EA59C0">
        <w:t>the</w:t>
      </w:r>
      <w:r w:rsidR="00C026A6" w:rsidRPr="00EA59C0">
        <w:t xml:space="preserve"> </w:t>
      </w:r>
      <w:r w:rsidRPr="00EA59C0">
        <w:t>end</w:t>
      </w:r>
      <w:r w:rsidR="00C026A6" w:rsidRPr="00EA59C0">
        <w:t xml:space="preserve"> </w:t>
      </w:r>
      <w:r w:rsidRPr="00EA59C0">
        <w:t>of</w:t>
      </w:r>
      <w:r w:rsidR="00C026A6" w:rsidRPr="00EA59C0">
        <w:t xml:space="preserve"> </w:t>
      </w:r>
      <w:r w:rsidRPr="00EA59C0">
        <w:t>the</w:t>
      </w:r>
      <w:r w:rsidR="00C026A6" w:rsidRPr="00EA59C0">
        <w:t xml:space="preserve"> </w:t>
      </w:r>
      <w:r w:rsidRPr="00EA59C0">
        <w:t>grant</w:t>
      </w:r>
      <w:r w:rsidR="00C026A6" w:rsidRPr="00EA59C0">
        <w:t xml:space="preserve"> </w:t>
      </w:r>
      <w:r w:rsidRPr="00EA59C0">
        <w:t>period</w:t>
      </w:r>
      <w:r w:rsidR="00C026A6" w:rsidRPr="00EA59C0">
        <w:t xml:space="preserve"> </w:t>
      </w:r>
      <w:r w:rsidRPr="00EA59C0">
        <w:t>of</w:t>
      </w:r>
      <w:r w:rsidR="00C026A6" w:rsidRPr="00EA59C0">
        <w:t xml:space="preserve"> </w:t>
      </w:r>
      <w:r w:rsidRPr="00EA59C0">
        <w:t>performance.</w:t>
      </w:r>
      <w:r w:rsidR="00C026A6" w:rsidRPr="00EA59C0">
        <w:t xml:space="preserve">   </w:t>
      </w:r>
    </w:p>
    <w:p w:rsidR="00C07325" w:rsidRPr="00EA59C0" w:rsidRDefault="00C07325" w:rsidP="00C072FA">
      <w:pPr>
        <w:ind w:left="1080"/>
      </w:pPr>
    </w:p>
    <w:p w:rsidR="00F15AF6" w:rsidRPr="00EA59C0" w:rsidRDefault="00F15AF6" w:rsidP="00C072FA">
      <w:pPr>
        <w:pStyle w:val="ListParagraph"/>
        <w:numPr>
          <w:ilvl w:val="3"/>
          <w:numId w:val="17"/>
        </w:numPr>
      </w:pPr>
      <w:r w:rsidRPr="00EA59C0">
        <w:t>Performance</w:t>
      </w:r>
      <w:r w:rsidR="00C026A6" w:rsidRPr="00EA59C0">
        <w:t xml:space="preserve"> </w:t>
      </w:r>
      <w:r w:rsidRPr="00EA59C0">
        <w:t>Metrics</w:t>
      </w:r>
      <w:r w:rsidR="00C026A6" w:rsidRPr="00EA59C0">
        <w:t xml:space="preserve"> </w:t>
      </w:r>
      <w:r w:rsidRPr="00EA59C0">
        <w:t>of</w:t>
      </w:r>
      <w:r w:rsidR="00C026A6" w:rsidRPr="00EA59C0">
        <w:t xml:space="preserve"> </w:t>
      </w:r>
      <w:r w:rsidRPr="00EA59C0">
        <w:t>the</w:t>
      </w:r>
      <w:r w:rsidR="00C026A6" w:rsidRPr="00EA59C0">
        <w:t xml:space="preserve"> </w:t>
      </w:r>
      <w:r w:rsidRPr="00EA59C0">
        <w:t>Scorecard</w:t>
      </w:r>
    </w:p>
    <w:p w:rsidR="00F15AF6" w:rsidRPr="00EA59C0" w:rsidRDefault="00F15AF6" w:rsidP="00C072FA">
      <w:pPr>
        <w:ind w:left="1440"/>
      </w:pPr>
      <w:r w:rsidRPr="00EA59C0">
        <w:t>Applicants</w:t>
      </w:r>
      <w:r w:rsidR="00C026A6" w:rsidRPr="00EA59C0">
        <w:t xml:space="preserve"> </w:t>
      </w:r>
      <w:r w:rsidRPr="00EA59C0">
        <w:t>must</w:t>
      </w:r>
      <w:r w:rsidR="00C026A6" w:rsidRPr="00EA59C0">
        <w:t xml:space="preserve"> </w:t>
      </w:r>
      <w:r w:rsidRPr="00EA59C0">
        <w:t>propose</w:t>
      </w:r>
      <w:r w:rsidR="00C026A6" w:rsidRPr="00EA59C0">
        <w:t xml:space="preserve"> </w:t>
      </w:r>
      <w:r w:rsidRPr="00EA59C0">
        <w:t>and</w:t>
      </w:r>
      <w:r w:rsidR="00C026A6" w:rsidRPr="00EA59C0">
        <w:t xml:space="preserve"> </w:t>
      </w:r>
      <w:r w:rsidRPr="00EA59C0">
        <w:t>describe</w:t>
      </w:r>
      <w:r w:rsidR="00C026A6" w:rsidRPr="00EA59C0">
        <w:t xml:space="preserve"> </w:t>
      </w:r>
      <w:r w:rsidRPr="00EA59C0">
        <w:t>the</w:t>
      </w:r>
      <w:r w:rsidR="00C026A6" w:rsidRPr="00EA59C0">
        <w:t xml:space="preserve"> </w:t>
      </w:r>
      <w:r w:rsidRPr="00EA59C0">
        <w:t>performance</w:t>
      </w:r>
      <w:r w:rsidR="00C026A6" w:rsidRPr="00EA59C0">
        <w:t xml:space="preserve"> </w:t>
      </w:r>
      <w:r w:rsidRPr="00EA59C0">
        <w:t>metrics</w:t>
      </w:r>
      <w:r w:rsidR="00C026A6" w:rsidRPr="00EA59C0">
        <w:t xml:space="preserve"> </w:t>
      </w:r>
      <w:r w:rsidRPr="00EA59C0">
        <w:t>used</w:t>
      </w:r>
      <w:r w:rsidR="00C026A6" w:rsidRPr="00EA59C0">
        <w:t xml:space="preserve"> </w:t>
      </w:r>
      <w:r w:rsidRPr="00EA59C0">
        <w:t>in</w:t>
      </w:r>
      <w:r w:rsidR="00C026A6" w:rsidRPr="00EA59C0">
        <w:t xml:space="preserve"> </w:t>
      </w:r>
      <w:r w:rsidRPr="00EA59C0">
        <w:t>the</w:t>
      </w:r>
      <w:r w:rsidR="00C026A6" w:rsidRPr="00EA59C0">
        <w:t xml:space="preserve"> </w:t>
      </w:r>
      <w:r w:rsidRPr="00EA59C0">
        <w:t>employment</w:t>
      </w:r>
      <w:r w:rsidR="00C026A6" w:rsidRPr="00EA59C0">
        <w:t xml:space="preserve"> </w:t>
      </w:r>
      <w:r w:rsidRPr="00EA59C0">
        <w:t>results</w:t>
      </w:r>
      <w:r w:rsidR="00C026A6" w:rsidRPr="00EA59C0">
        <w:t xml:space="preserve"> </w:t>
      </w:r>
      <w:r w:rsidRPr="00EA59C0">
        <w:t>scorecard.</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recognizes</w:t>
      </w:r>
      <w:r w:rsidR="00C026A6" w:rsidRPr="00EA59C0">
        <w:t xml:space="preserve"> </w:t>
      </w:r>
      <w:r w:rsidRPr="00EA59C0">
        <w:t>that</w:t>
      </w:r>
      <w:r w:rsidR="00C026A6" w:rsidRPr="00EA59C0">
        <w:t xml:space="preserve"> </w:t>
      </w:r>
      <w:r w:rsidR="004145F5" w:rsidRPr="00EA59C0">
        <w:t>s</w:t>
      </w:r>
      <w:r w:rsidRPr="00EA59C0">
        <w:t>tate</w:t>
      </w:r>
      <w:r w:rsidR="00C026A6" w:rsidRPr="00EA59C0">
        <w:t xml:space="preserve"> </w:t>
      </w:r>
      <w:r w:rsidRPr="00EA59C0">
        <w:t>laws</w:t>
      </w:r>
      <w:r w:rsidR="00C026A6" w:rsidRPr="00EA59C0">
        <w:t xml:space="preserve"> </w:t>
      </w:r>
      <w:r w:rsidRPr="00EA59C0">
        <w:t>and</w:t>
      </w:r>
      <w:r w:rsidR="00C026A6" w:rsidRPr="00EA59C0">
        <w:t xml:space="preserve"> </w:t>
      </w:r>
      <w:r w:rsidRPr="00EA59C0">
        <w:t>regulations</w:t>
      </w:r>
      <w:r w:rsidR="00C026A6" w:rsidRPr="00EA59C0">
        <w:t xml:space="preserve"> </w:t>
      </w:r>
      <w:r w:rsidRPr="00EA59C0">
        <w:t>differ</w:t>
      </w:r>
      <w:r w:rsidR="00C026A6" w:rsidRPr="00EA59C0">
        <w:t xml:space="preserve"> </w:t>
      </w:r>
      <w:r w:rsidRPr="00EA59C0">
        <w:t>and</w:t>
      </w:r>
      <w:r w:rsidR="00C026A6" w:rsidRPr="00EA59C0">
        <w:t xml:space="preserve"> </w:t>
      </w:r>
      <w:r w:rsidRPr="00EA59C0">
        <w:t>may</w:t>
      </w:r>
      <w:r w:rsidR="00C026A6" w:rsidRPr="00EA59C0">
        <w:t xml:space="preserve"> </w:t>
      </w:r>
      <w:r w:rsidRPr="00EA59C0">
        <w:t>sometimes</w:t>
      </w:r>
      <w:r w:rsidR="00C026A6" w:rsidRPr="00EA59C0">
        <w:t xml:space="preserve"> </w:t>
      </w:r>
      <w:r w:rsidRPr="00EA59C0">
        <w:t>affect</w:t>
      </w:r>
      <w:r w:rsidR="00C026A6" w:rsidRPr="00EA59C0">
        <w:t xml:space="preserve"> </w:t>
      </w:r>
      <w:r w:rsidRPr="00EA59C0">
        <w:t>the</w:t>
      </w:r>
      <w:r w:rsidR="00C026A6" w:rsidRPr="00EA59C0">
        <w:t xml:space="preserve"> </w:t>
      </w:r>
      <w:r w:rsidRPr="00EA59C0">
        <w:t>availability</w:t>
      </w:r>
      <w:r w:rsidR="00C026A6" w:rsidRPr="00EA59C0">
        <w:t xml:space="preserve"> </w:t>
      </w:r>
      <w:r w:rsidRPr="00EA59C0">
        <w:t>of</w:t>
      </w:r>
      <w:r w:rsidR="00C026A6" w:rsidRPr="00EA59C0">
        <w:t xml:space="preserve"> </w:t>
      </w:r>
      <w:r w:rsidRPr="00EA59C0">
        <w:t>data</w:t>
      </w:r>
      <w:r w:rsidR="00C026A6" w:rsidRPr="00EA59C0">
        <w:t xml:space="preserve"> </w:t>
      </w:r>
      <w:r w:rsidRPr="00EA59C0">
        <w:t>in</w:t>
      </w:r>
      <w:r w:rsidR="00C026A6" w:rsidRPr="00EA59C0">
        <w:t xml:space="preserve"> </w:t>
      </w:r>
      <w:r w:rsidRPr="00EA59C0">
        <w:t>the</w:t>
      </w:r>
      <w:r w:rsidR="00C026A6" w:rsidRPr="00EA59C0">
        <w:t xml:space="preserve"> </w:t>
      </w:r>
      <w:r w:rsidR="004145F5" w:rsidRPr="00EA59C0">
        <w:t>s</w:t>
      </w:r>
      <w:r w:rsidRPr="00EA59C0">
        <w:t>tates</w:t>
      </w:r>
      <w:r w:rsidR="00C026A6" w:rsidRPr="00EA59C0">
        <w:t xml:space="preserve"> </w:t>
      </w:r>
      <w:r w:rsidRPr="00EA59C0">
        <w:t>in</w:t>
      </w:r>
      <w:r w:rsidR="00C026A6" w:rsidRPr="00EA59C0">
        <w:t xml:space="preserve"> </w:t>
      </w:r>
      <w:r w:rsidRPr="00EA59C0">
        <w:t>which</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propose</w:t>
      </w:r>
      <w:r w:rsidR="00C026A6" w:rsidRPr="00EA59C0">
        <w:t xml:space="preserve"> </w:t>
      </w:r>
      <w:r w:rsidRPr="00EA59C0">
        <w:t>to</w:t>
      </w:r>
      <w:r w:rsidR="00C026A6" w:rsidRPr="00EA59C0">
        <w:t xml:space="preserve"> </w:t>
      </w:r>
      <w:r w:rsidRPr="00EA59C0">
        <w:t>serve</w:t>
      </w:r>
      <w:r w:rsidR="00C026A6" w:rsidRPr="00EA59C0">
        <w:t xml:space="preserve"> </w:t>
      </w:r>
      <w:r w:rsidRPr="00EA59C0">
        <w:t>participants.</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also</w:t>
      </w:r>
      <w:r w:rsidR="00C026A6" w:rsidRPr="00EA59C0">
        <w:t xml:space="preserve"> </w:t>
      </w:r>
      <w:r w:rsidRPr="00EA59C0">
        <w:t>recognizes</w:t>
      </w:r>
      <w:r w:rsidR="00C026A6" w:rsidRPr="00EA59C0">
        <w:t xml:space="preserve"> </w:t>
      </w:r>
      <w:r w:rsidRPr="00EA59C0">
        <w:t>that</w:t>
      </w:r>
      <w:r w:rsidR="00C026A6" w:rsidRPr="00EA59C0">
        <w:t xml:space="preserve"> </w:t>
      </w:r>
      <w:r w:rsidRPr="00EA59C0">
        <w:t>many</w:t>
      </w:r>
      <w:r w:rsidR="00C026A6" w:rsidRPr="00EA59C0">
        <w:t xml:space="preserve"> </w:t>
      </w:r>
      <w:r w:rsidRPr="00EA59C0">
        <w:t>applicants</w:t>
      </w:r>
      <w:r w:rsidR="00C026A6" w:rsidRPr="00EA59C0">
        <w:t xml:space="preserve"> </w:t>
      </w:r>
      <w:r w:rsidRPr="00EA59C0">
        <w:t>already</w:t>
      </w:r>
      <w:r w:rsidR="00C026A6" w:rsidRPr="00EA59C0">
        <w:t xml:space="preserve"> </w:t>
      </w:r>
      <w:r w:rsidRPr="00EA59C0">
        <w:t>have</w:t>
      </w:r>
      <w:r w:rsidR="00C026A6" w:rsidRPr="00EA59C0">
        <w:t xml:space="preserve"> </w:t>
      </w:r>
      <w:r w:rsidRPr="00EA59C0">
        <w:t>a</w:t>
      </w:r>
      <w:r w:rsidR="00C026A6" w:rsidRPr="00EA59C0">
        <w:t xml:space="preserve"> </w:t>
      </w:r>
      <w:r w:rsidRPr="00EA59C0">
        <w:t>mechanism</w:t>
      </w:r>
      <w:r w:rsidR="00C026A6" w:rsidRPr="00EA59C0">
        <w:t xml:space="preserve"> </w:t>
      </w:r>
      <w:r w:rsidRPr="00EA59C0">
        <w:t>in</w:t>
      </w:r>
      <w:r w:rsidR="00C026A6" w:rsidRPr="00EA59C0">
        <w:t xml:space="preserve"> </w:t>
      </w:r>
      <w:r w:rsidRPr="00EA59C0">
        <w:t>place</w:t>
      </w:r>
      <w:r w:rsidR="00C026A6" w:rsidRPr="00EA59C0">
        <w:t xml:space="preserve"> </w:t>
      </w:r>
      <w:r w:rsidRPr="00EA59C0">
        <w:t>for</w:t>
      </w:r>
      <w:r w:rsidR="00C026A6" w:rsidRPr="00EA59C0">
        <w:t xml:space="preserve"> </w:t>
      </w:r>
      <w:r w:rsidRPr="00EA59C0">
        <w:t>collecting</w:t>
      </w:r>
      <w:r w:rsidR="00C026A6" w:rsidRPr="00EA59C0">
        <w:t xml:space="preserve"> </w:t>
      </w:r>
      <w:r w:rsidRPr="00EA59C0">
        <w:t>and</w:t>
      </w:r>
      <w:r w:rsidR="00C026A6" w:rsidRPr="00EA59C0">
        <w:t xml:space="preserve"> </w:t>
      </w:r>
      <w:r w:rsidRPr="00EA59C0">
        <w:t>sharing</w:t>
      </w:r>
      <w:r w:rsidR="00C026A6" w:rsidRPr="00EA59C0">
        <w:t xml:space="preserve"> </w:t>
      </w:r>
      <w:r w:rsidRPr="00EA59C0">
        <w:t>this</w:t>
      </w:r>
      <w:r w:rsidR="00C026A6" w:rsidRPr="00EA59C0">
        <w:t xml:space="preserve"> </w:t>
      </w:r>
      <w:r w:rsidRPr="00EA59C0">
        <w:t>data</w:t>
      </w:r>
      <w:r w:rsidR="00C026A6" w:rsidRPr="00EA59C0">
        <w:t xml:space="preserve"> </w:t>
      </w:r>
      <w:r w:rsidRPr="00EA59C0">
        <w:t>or</w:t>
      </w:r>
      <w:r w:rsidR="00C026A6" w:rsidRPr="00EA59C0">
        <w:t xml:space="preserve"> </w:t>
      </w:r>
      <w:r w:rsidRPr="00EA59C0">
        <w:t>are</w:t>
      </w:r>
      <w:r w:rsidR="00C026A6" w:rsidRPr="00EA59C0">
        <w:t xml:space="preserve"> </w:t>
      </w:r>
      <w:r w:rsidRPr="00EA59C0">
        <w:t>participating</w:t>
      </w:r>
      <w:r w:rsidR="00C026A6" w:rsidRPr="00EA59C0">
        <w:t xml:space="preserve"> </w:t>
      </w:r>
      <w:r w:rsidRPr="00EA59C0">
        <w:t>in</w:t>
      </w:r>
      <w:r w:rsidR="00C026A6" w:rsidRPr="00EA59C0">
        <w:t xml:space="preserve"> </w:t>
      </w:r>
      <w:r w:rsidRPr="00EA59C0">
        <w:t>other</w:t>
      </w:r>
      <w:r w:rsidR="00C026A6" w:rsidRPr="00EA59C0">
        <w:t xml:space="preserve"> </w:t>
      </w:r>
      <w:r w:rsidRPr="00EA59C0">
        <w:t>initiatives</w:t>
      </w:r>
      <w:r w:rsidR="00C026A6" w:rsidRPr="00EA59C0">
        <w:t xml:space="preserve"> </w:t>
      </w:r>
      <w:r w:rsidRPr="00EA59C0">
        <w:t>to</w:t>
      </w:r>
      <w:r w:rsidR="00C026A6" w:rsidRPr="00EA59C0">
        <w:t xml:space="preserve"> </w:t>
      </w:r>
      <w:r w:rsidRPr="00EA59C0">
        <w:t>create</w:t>
      </w:r>
      <w:r w:rsidR="00C026A6" w:rsidRPr="00EA59C0">
        <w:t xml:space="preserve"> </w:t>
      </w:r>
      <w:r w:rsidRPr="00EA59C0">
        <w:t>similar</w:t>
      </w:r>
      <w:r w:rsidR="00C026A6" w:rsidRPr="00EA59C0">
        <w:t xml:space="preserve"> </w:t>
      </w:r>
      <w:r w:rsidRPr="00EA59C0">
        <w:t>reports.</w:t>
      </w:r>
      <w:r w:rsidR="00C026A6" w:rsidRPr="00EA59C0">
        <w:t xml:space="preserve">  </w:t>
      </w:r>
      <w:r w:rsidRPr="00EA59C0">
        <w:t>As</w:t>
      </w:r>
      <w:r w:rsidR="00C026A6" w:rsidRPr="00EA59C0">
        <w:t xml:space="preserve"> </w:t>
      </w:r>
      <w:r w:rsidRPr="00EA59C0">
        <w:t>a</w:t>
      </w:r>
      <w:r w:rsidR="00C026A6" w:rsidRPr="00EA59C0">
        <w:t xml:space="preserve"> </w:t>
      </w:r>
      <w:r w:rsidRPr="00EA59C0">
        <w:t>result,</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encourages</w:t>
      </w:r>
      <w:r w:rsidR="00C026A6" w:rsidRPr="00EA59C0">
        <w:t xml:space="preserve"> </w:t>
      </w:r>
      <w:r w:rsidRPr="00EA59C0">
        <w:t>applicants</w:t>
      </w:r>
      <w:r w:rsidR="00C026A6" w:rsidRPr="00EA59C0">
        <w:t xml:space="preserve"> </w:t>
      </w:r>
      <w:r w:rsidRPr="00EA59C0">
        <w:t>to</w:t>
      </w:r>
      <w:r w:rsidR="00C026A6" w:rsidRPr="00EA59C0">
        <w:t xml:space="preserve"> </w:t>
      </w:r>
      <w:r w:rsidRPr="00EA59C0">
        <w:t>propose</w:t>
      </w:r>
      <w:r w:rsidR="00C026A6" w:rsidRPr="00EA59C0">
        <w:t xml:space="preserve"> </w:t>
      </w:r>
      <w:r w:rsidRPr="00EA59C0">
        <w:t>metrics</w:t>
      </w:r>
      <w:r w:rsidR="00C026A6" w:rsidRPr="00EA59C0">
        <w:t xml:space="preserve"> </w:t>
      </w:r>
      <w:r w:rsidRPr="00EA59C0">
        <w:t>that</w:t>
      </w:r>
      <w:r w:rsidR="00C026A6" w:rsidRPr="00EA59C0">
        <w:t xml:space="preserve"> </w:t>
      </w:r>
      <w:r w:rsidRPr="00EA59C0">
        <w:t>complement</w:t>
      </w:r>
      <w:r w:rsidR="00C026A6" w:rsidRPr="00EA59C0">
        <w:t xml:space="preserve"> </w:t>
      </w:r>
      <w:r w:rsidRPr="00EA59C0">
        <w:t>and</w:t>
      </w:r>
      <w:r w:rsidR="00C026A6" w:rsidRPr="00EA59C0">
        <w:t xml:space="preserve"> </w:t>
      </w:r>
      <w:r w:rsidRPr="00EA59C0">
        <w:t>relate</w:t>
      </w:r>
      <w:r w:rsidR="00C026A6" w:rsidRPr="00EA59C0">
        <w:t xml:space="preserve"> </w:t>
      </w:r>
      <w:r w:rsidRPr="00EA59C0">
        <w:t>to</w:t>
      </w:r>
      <w:r w:rsidR="00C026A6" w:rsidRPr="00EA59C0">
        <w:t xml:space="preserve"> </w:t>
      </w:r>
      <w:r w:rsidRPr="00EA59C0">
        <w:t>existing</w:t>
      </w:r>
      <w:r w:rsidR="00C026A6" w:rsidRPr="00EA59C0">
        <w:t xml:space="preserve"> </w:t>
      </w:r>
      <w:r w:rsidRPr="00EA59C0">
        <w:t>reporting</w:t>
      </w:r>
      <w:r w:rsidR="00C026A6" w:rsidRPr="00EA59C0">
        <w:t xml:space="preserve"> </w:t>
      </w:r>
      <w:r w:rsidRPr="00EA59C0">
        <w:t>practices,</w:t>
      </w:r>
      <w:r w:rsidR="00C026A6" w:rsidRPr="00EA59C0">
        <w:t xml:space="preserve"> </w:t>
      </w:r>
      <w:r w:rsidRPr="00EA59C0">
        <w:t>such</w:t>
      </w:r>
      <w:r w:rsidR="00C026A6" w:rsidRPr="00EA59C0">
        <w:t xml:space="preserve"> </w:t>
      </w:r>
      <w:r w:rsidRPr="00EA59C0">
        <w:t>as</w:t>
      </w:r>
      <w:r w:rsidR="00C026A6" w:rsidRPr="00EA59C0">
        <w:t xml:space="preserve"> </w:t>
      </w:r>
      <w:r w:rsidRPr="00EA59C0">
        <w:t>student</w:t>
      </w:r>
      <w:r w:rsidR="00C026A6" w:rsidRPr="00EA59C0">
        <w:t xml:space="preserve"> </w:t>
      </w:r>
      <w:r w:rsidRPr="00EA59C0">
        <w:t>repayment</w:t>
      </w:r>
      <w:r w:rsidR="00C026A6" w:rsidRPr="00EA59C0">
        <w:t xml:space="preserve"> </w:t>
      </w:r>
      <w:r w:rsidRPr="00EA59C0">
        <w:t>rates</w:t>
      </w:r>
      <w:r w:rsidR="00C026A6" w:rsidRPr="00EA59C0">
        <w:t xml:space="preserve"> </w:t>
      </w:r>
      <w:r w:rsidRPr="00EA59C0">
        <w:t>or</w:t>
      </w:r>
      <w:r w:rsidR="00C026A6" w:rsidRPr="00EA59C0">
        <w:t xml:space="preserve"> </w:t>
      </w:r>
      <w:r w:rsidRPr="00EA59C0">
        <w:t>other</w:t>
      </w:r>
      <w:r w:rsidR="00C026A6" w:rsidRPr="00EA59C0">
        <w:t xml:space="preserve"> </w:t>
      </w:r>
      <w:r w:rsidRPr="00EA59C0">
        <w:t>institutional</w:t>
      </w:r>
      <w:r w:rsidR="00C026A6" w:rsidRPr="00EA59C0">
        <w:t xml:space="preserve"> </w:t>
      </w:r>
      <w:r w:rsidRPr="00EA59C0">
        <w:t>evaluation</w:t>
      </w:r>
      <w:r w:rsidR="00C026A6" w:rsidRPr="00EA59C0">
        <w:t xml:space="preserve"> </w:t>
      </w:r>
      <w:r w:rsidRPr="00EA59C0">
        <w:t>studies</w:t>
      </w:r>
      <w:r w:rsidR="00C026A6" w:rsidRPr="00EA59C0">
        <w:t xml:space="preserve"> </w:t>
      </w:r>
      <w:r w:rsidRPr="00EA59C0">
        <w:t>over</w:t>
      </w:r>
      <w:r w:rsidR="00C026A6" w:rsidRPr="00EA59C0">
        <w:t xml:space="preserve"> </w:t>
      </w:r>
      <w:r w:rsidRPr="00EA59C0">
        <w:t>varying</w:t>
      </w:r>
      <w:r w:rsidR="00C026A6" w:rsidRPr="00EA59C0">
        <w:t xml:space="preserve"> </w:t>
      </w:r>
      <w:r w:rsidRPr="00EA59C0">
        <w:t>lengths</w:t>
      </w:r>
      <w:r w:rsidR="00C026A6" w:rsidRPr="00EA59C0">
        <w:t xml:space="preserve"> </w:t>
      </w:r>
      <w:r w:rsidRPr="00EA59C0">
        <w:t>of</w:t>
      </w:r>
      <w:r w:rsidR="00C026A6" w:rsidRPr="00EA59C0">
        <w:t xml:space="preserve"> </w:t>
      </w:r>
      <w:r w:rsidRPr="00EA59C0">
        <w:t>time.</w:t>
      </w:r>
      <w:r w:rsidR="00C026A6" w:rsidRPr="00EA59C0">
        <w:t xml:space="preserve">  </w:t>
      </w:r>
      <w:r w:rsidRPr="00EA59C0">
        <w:t>Although</w:t>
      </w:r>
      <w:r w:rsidR="00C026A6" w:rsidRPr="00EA59C0">
        <w:t xml:space="preserve"> </w:t>
      </w:r>
      <w:r w:rsidRPr="00EA59C0">
        <w:t>the</w:t>
      </w:r>
      <w:r w:rsidR="00C026A6" w:rsidRPr="00EA59C0">
        <w:t xml:space="preserve"> </w:t>
      </w:r>
      <w:r w:rsidRPr="00EA59C0">
        <w:t>set</w:t>
      </w:r>
      <w:r w:rsidR="00C026A6" w:rsidRPr="00EA59C0">
        <w:t xml:space="preserve"> </w:t>
      </w:r>
      <w:r w:rsidRPr="00EA59C0">
        <w:t>of</w:t>
      </w:r>
      <w:r w:rsidR="00C026A6" w:rsidRPr="00EA59C0">
        <w:t xml:space="preserve"> </w:t>
      </w:r>
      <w:r w:rsidRPr="00EA59C0">
        <w:t>metrics</w:t>
      </w:r>
      <w:r w:rsidR="00C026A6" w:rsidRPr="00EA59C0">
        <w:t xml:space="preserve"> </w:t>
      </w:r>
      <w:r w:rsidRPr="00EA59C0">
        <w:t>proposed</w:t>
      </w:r>
      <w:r w:rsidR="00C026A6" w:rsidRPr="00EA59C0">
        <w:t xml:space="preserve"> </w:t>
      </w:r>
      <w:r w:rsidRPr="00EA59C0">
        <w:t>must</w:t>
      </w:r>
      <w:r w:rsidR="00C026A6" w:rsidRPr="00EA59C0">
        <w:t xml:space="preserve"> </w:t>
      </w:r>
      <w:r w:rsidRPr="00EA59C0">
        <w:t>include</w:t>
      </w:r>
      <w:r w:rsidR="00C026A6" w:rsidRPr="00EA59C0">
        <w:t xml:space="preserve"> </w:t>
      </w:r>
      <w:r w:rsidRPr="00EA59C0">
        <w:t>the</w:t>
      </w:r>
      <w:r w:rsidR="00C026A6" w:rsidRPr="00EA59C0">
        <w:t xml:space="preserve"> </w:t>
      </w:r>
      <w:r w:rsidRPr="00EA59C0">
        <w:t>five</w:t>
      </w:r>
      <w:r w:rsidR="00C026A6" w:rsidRPr="00EA59C0">
        <w:t xml:space="preserve"> </w:t>
      </w:r>
      <w:r w:rsidRPr="00EA59C0">
        <w:t>items</w:t>
      </w:r>
      <w:r w:rsidR="00C026A6" w:rsidRPr="00EA59C0">
        <w:t xml:space="preserve"> </w:t>
      </w:r>
      <w:r w:rsidRPr="00EA59C0">
        <w:t>listed</w:t>
      </w:r>
      <w:r w:rsidR="00C026A6" w:rsidRPr="00EA59C0">
        <w:t xml:space="preserve"> </w:t>
      </w:r>
      <w:r w:rsidRPr="00EA59C0">
        <w:t>below,</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encourages</w:t>
      </w:r>
      <w:r w:rsidR="00C026A6" w:rsidRPr="00EA59C0">
        <w:t xml:space="preserve"> </w:t>
      </w:r>
      <w:r w:rsidRPr="00EA59C0">
        <w:t>applicants</w:t>
      </w:r>
      <w:r w:rsidR="00C026A6" w:rsidRPr="00EA59C0">
        <w:t xml:space="preserve"> </w:t>
      </w:r>
      <w:r w:rsidRPr="00EA59C0">
        <w:t>to</w:t>
      </w:r>
      <w:r w:rsidR="00C026A6" w:rsidRPr="00EA59C0">
        <w:t xml:space="preserve"> </w:t>
      </w:r>
      <w:r w:rsidRPr="00EA59C0">
        <w:t>propose</w:t>
      </w:r>
      <w:r w:rsidR="00C026A6" w:rsidRPr="00EA59C0">
        <w:t xml:space="preserve"> </w:t>
      </w:r>
      <w:r w:rsidRPr="00EA59C0">
        <w:t>metrics</w:t>
      </w:r>
      <w:r w:rsidR="00C026A6" w:rsidRPr="00EA59C0">
        <w:t xml:space="preserve"> </w:t>
      </w:r>
      <w:r w:rsidRPr="00EA59C0">
        <w:t>in</w:t>
      </w:r>
      <w:r w:rsidR="00C026A6" w:rsidRPr="00EA59C0">
        <w:t xml:space="preserve"> </w:t>
      </w:r>
      <w:r w:rsidRPr="00EA59C0">
        <w:t>addition</w:t>
      </w:r>
      <w:r w:rsidR="00C026A6" w:rsidRPr="00EA59C0">
        <w:t xml:space="preserve"> </w:t>
      </w:r>
      <w:r w:rsidRPr="00EA59C0">
        <w:t>to</w:t>
      </w:r>
      <w:r w:rsidR="00C026A6" w:rsidRPr="00EA59C0">
        <w:t xml:space="preserve"> </w:t>
      </w:r>
      <w:r w:rsidRPr="00EA59C0">
        <w:t>those</w:t>
      </w:r>
      <w:r w:rsidR="00C026A6" w:rsidRPr="00EA59C0">
        <w:t xml:space="preserve"> </w:t>
      </w:r>
      <w:r w:rsidRPr="00EA59C0">
        <w:t>listed</w:t>
      </w:r>
      <w:r w:rsidR="00C026A6" w:rsidRPr="00EA59C0">
        <w:t xml:space="preserve"> </w:t>
      </w:r>
      <w:r w:rsidRPr="00EA59C0">
        <w:t>below,</w:t>
      </w:r>
      <w:r w:rsidR="00C026A6" w:rsidRPr="00EA59C0">
        <w:t xml:space="preserve"> </w:t>
      </w:r>
      <w:r w:rsidRPr="00EA59C0">
        <w:t>where</w:t>
      </w:r>
      <w:r w:rsidR="00C026A6" w:rsidRPr="00EA59C0">
        <w:t xml:space="preserve"> </w:t>
      </w:r>
      <w:r w:rsidRPr="00EA59C0">
        <w:t>appropriate,</w:t>
      </w:r>
      <w:r w:rsidR="00C026A6" w:rsidRPr="00EA59C0">
        <w:t xml:space="preserve"> </w:t>
      </w:r>
      <w:r w:rsidRPr="00EA59C0">
        <w:t>and</w:t>
      </w:r>
      <w:r w:rsidR="00C026A6" w:rsidRPr="00EA59C0">
        <w:t xml:space="preserve"> </w:t>
      </w:r>
      <w:r w:rsidRPr="00EA59C0">
        <w:t>the</w:t>
      </w:r>
      <w:r w:rsidR="00C026A6" w:rsidRPr="00EA59C0">
        <w:t xml:space="preserve"> </w:t>
      </w:r>
      <w:r w:rsidRPr="00EA59C0">
        <w:t>appropriate</w:t>
      </w:r>
      <w:r w:rsidR="00C026A6" w:rsidRPr="00EA59C0">
        <w:t xml:space="preserve"> </w:t>
      </w:r>
      <w:r w:rsidRPr="00EA59C0">
        <w:t>length</w:t>
      </w:r>
      <w:r w:rsidR="00C026A6" w:rsidRPr="00EA59C0">
        <w:t xml:space="preserve"> </w:t>
      </w:r>
      <w:r w:rsidRPr="00EA59C0">
        <w:t>of</w:t>
      </w:r>
      <w:r w:rsidR="00C026A6" w:rsidRPr="00EA59C0">
        <w:t xml:space="preserve"> </w:t>
      </w:r>
      <w:r w:rsidRPr="00EA59C0">
        <w:t>time</w:t>
      </w:r>
      <w:r w:rsidR="00C026A6" w:rsidRPr="00EA59C0">
        <w:t xml:space="preserve"> </w:t>
      </w:r>
      <w:r w:rsidRPr="00EA59C0">
        <w:t>of</w:t>
      </w:r>
      <w:r w:rsidR="00C026A6" w:rsidRPr="00EA59C0">
        <w:t xml:space="preserve"> </w:t>
      </w:r>
      <w:r w:rsidRPr="00EA59C0">
        <w:t>measurement.</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note</w:t>
      </w:r>
      <w:r w:rsidR="00C026A6" w:rsidRPr="00EA59C0">
        <w:t xml:space="preserve"> </w:t>
      </w:r>
      <w:r w:rsidRPr="00EA59C0">
        <w:t>that</w:t>
      </w:r>
      <w:r w:rsidR="00C026A6" w:rsidRPr="00EA59C0">
        <w:t xml:space="preserve"> </w:t>
      </w:r>
      <w:r w:rsidRPr="00EA59C0">
        <w:t>while</w:t>
      </w:r>
      <w:r w:rsidR="00C026A6" w:rsidRPr="00EA59C0">
        <w:t xml:space="preserve"> </w:t>
      </w:r>
      <w:r w:rsidRPr="00EA59C0">
        <w:t>the</w:t>
      </w:r>
      <w:r w:rsidR="00C026A6" w:rsidRPr="00EA59C0">
        <w:t xml:space="preserve"> </w:t>
      </w:r>
      <w:r w:rsidRPr="00EA59C0">
        <w:t>metrics</w:t>
      </w:r>
      <w:r w:rsidR="00C026A6" w:rsidRPr="00EA59C0">
        <w:t xml:space="preserve"> </w:t>
      </w:r>
      <w:r w:rsidRPr="00EA59C0">
        <w:t>below</w:t>
      </w:r>
      <w:r w:rsidR="00C026A6" w:rsidRPr="00EA59C0">
        <w:t xml:space="preserve"> </w:t>
      </w:r>
      <w:r w:rsidRPr="00EA59C0">
        <w:t>are</w:t>
      </w:r>
      <w:r w:rsidR="00C026A6" w:rsidRPr="00EA59C0">
        <w:t xml:space="preserve"> </w:t>
      </w:r>
      <w:r w:rsidRPr="00EA59C0">
        <w:t>similar</w:t>
      </w:r>
      <w:r w:rsidR="00C026A6" w:rsidRPr="00EA59C0">
        <w:t xml:space="preserve"> </w:t>
      </w:r>
      <w:r w:rsidRPr="00EA59C0">
        <w:t>to</w:t>
      </w:r>
      <w:r w:rsidR="00C026A6" w:rsidRPr="00EA59C0">
        <w:t xml:space="preserve"> </w:t>
      </w:r>
      <w:r w:rsidRPr="00EA59C0">
        <w:t>grantee</w:t>
      </w:r>
      <w:r w:rsidR="00C026A6" w:rsidRPr="00EA59C0">
        <w:t xml:space="preserve"> </w:t>
      </w:r>
      <w:r w:rsidRPr="00EA59C0">
        <w:t>reporting</w:t>
      </w:r>
      <w:r w:rsidR="00C026A6" w:rsidRPr="00EA59C0">
        <w:t xml:space="preserve"> </w:t>
      </w:r>
      <w:r w:rsidRPr="00EA59C0">
        <w:t>requirements</w:t>
      </w:r>
      <w:r w:rsidR="00C026A6" w:rsidRPr="00EA59C0">
        <w:t xml:space="preserve"> </w:t>
      </w:r>
      <w:r w:rsidRPr="00EA59C0">
        <w:t>as</w:t>
      </w:r>
      <w:r w:rsidR="00C026A6" w:rsidRPr="00EA59C0">
        <w:t xml:space="preserve"> </w:t>
      </w:r>
      <w:r w:rsidRPr="00EA59C0">
        <w:t>described</w:t>
      </w:r>
      <w:r w:rsidR="00C026A6" w:rsidRPr="00EA59C0">
        <w:t xml:space="preserve"> </w:t>
      </w:r>
      <w:r w:rsidRPr="00EA59C0">
        <w:t>in</w:t>
      </w:r>
      <w:r w:rsidR="00C026A6" w:rsidRPr="00EA59C0">
        <w:t xml:space="preserve"> </w:t>
      </w:r>
      <w:r w:rsidRPr="00EA59C0">
        <w:t>Section</w:t>
      </w:r>
      <w:r w:rsidR="00C026A6" w:rsidRPr="00EA59C0">
        <w:t xml:space="preserve"> </w:t>
      </w:r>
      <w:r w:rsidRPr="00EA59C0">
        <w:t>IV.C,</w:t>
      </w:r>
      <w:r w:rsidR="00C026A6" w:rsidRPr="00EA59C0">
        <w:t xml:space="preserve"> </w:t>
      </w:r>
      <w:r w:rsidRPr="00EA59C0">
        <w:t>these</w:t>
      </w:r>
      <w:r w:rsidR="00C026A6" w:rsidRPr="00EA59C0">
        <w:t xml:space="preserve"> </w:t>
      </w:r>
      <w:r w:rsidRPr="00EA59C0">
        <w:t>metrics</w:t>
      </w:r>
      <w:r w:rsidR="00C026A6" w:rsidRPr="00EA59C0">
        <w:t xml:space="preserve"> </w:t>
      </w:r>
      <w:r w:rsidRPr="00EA59C0">
        <w:t>are</w:t>
      </w:r>
      <w:r w:rsidR="00C026A6" w:rsidRPr="00EA59C0">
        <w:t xml:space="preserve"> </w:t>
      </w:r>
      <w:r w:rsidRPr="00EA59C0">
        <w:t>not</w:t>
      </w:r>
      <w:r w:rsidR="00C026A6" w:rsidRPr="00EA59C0">
        <w:t xml:space="preserve"> </w:t>
      </w:r>
      <w:r w:rsidRPr="00EA59C0">
        <w:t>intended</w:t>
      </w:r>
      <w:r w:rsidR="00C026A6" w:rsidRPr="00EA59C0">
        <w:t xml:space="preserve"> </w:t>
      </w:r>
      <w:r w:rsidRPr="00EA59C0">
        <w:t>to</w:t>
      </w:r>
      <w:r w:rsidR="00C026A6" w:rsidRPr="00EA59C0">
        <w:t xml:space="preserve"> </w:t>
      </w:r>
      <w:r w:rsidRPr="00EA59C0">
        <w:t>be</w:t>
      </w:r>
      <w:r w:rsidR="00C026A6" w:rsidRPr="00EA59C0">
        <w:t xml:space="preserve"> </w:t>
      </w:r>
      <w:r w:rsidRPr="00EA59C0">
        <w:t>a</w:t>
      </w:r>
      <w:r w:rsidR="00C026A6" w:rsidRPr="00EA59C0">
        <w:t xml:space="preserve"> </w:t>
      </w:r>
      <w:r w:rsidRPr="00EA59C0">
        <w:t>substitute</w:t>
      </w:r>
      <w:r w:rsidR="00C026A6" w:rsidRPr="00EA59C0">
        <w:t xml:space="preserve"> </w:t>
      </w:r>
      <w:r w:rsidRPr="00EA59C0">
        <w:t>for</w:t>
      </w:r>
      <w:r w:rsidR="00C026A6" w:rsidRPr="00EA59C0">
        <w:t xml:space="preserve"> </w:t>
      </w:r>
      <w:r w:rsidRPr="00EA59C0">
        <w:t>meeting</w:t>
      </w:r>
      <w:r w:rsidR="00C026A6" w:rsidRPr="00EA59C0">
        <w:t xml:space="preserve"> </w:t>
      </w:r>
      <w:r w:rsidRPr="00EA59C0">
        <w:t>those</w:t>
      </w:r>
      <w:r w:rsidR="00C026A6" w:rsidRPr="00EA59C0">
        <w:t xml:space="preserve"> </w:t>
      </w:r>
      <w:r w:rsidRPr="00EA59C0">
        <w:t>reporting</w:t>
      </w:r>
      <w:r w:rsidR="00C026A6" w:rsidRPr="00EA59C0">
        <w:t xml:space="preserve"> </w:t>
      </w:r>
      <w:r w:rsidRPr="00EA59C0">
        <w:t>requirements.</w:t>
      </w:r>
      <w:r w:rsidR="00C026A6" w:rsidRPr="00EA59C0">
        <w:t xml:space="preserve"> </w:t>
      </w:r>
    </w:p>
    <w:p w:rsidR="00F15AF6" w:rsidRPr="00EA59C0" w:rsidRDefault="00F15AF6" w:rsidP="00C072FA">
      <w:pPr>
        <w:pStyle w:val="ListParagraph"/>
        <w:numPr>
          <w:ilvl w:val="4"/>
          <w:numId w:val="17"/>
        </w:numPr>
        <w:tabs>
          <w:tab w:val="left" w:pos="1080"/>
        </w:tabs>
      </w:pPr>
      <w:r w:rsidRPr="00EA59C0">
        <w:t>Annual</w:t>
      </w:r>
      <w:r w:rsidR="00C026A6" w:rsidRPr="00EA59C0">
        <w:t xml:space="preserve"> </w:t>
      </w:r>
      <w:r w:rsidRPr="00EA59C0">
        <w:t>graduation</w:t>
      </w:r>
      <w:r w:rsidR="00C026A6" w:rsidRPr="00EA59C0">
        <w:t xml:space="preserve"> </w:t>
      </w:r>
      <w:r w:rsidRPr="00EA59C0">
        <w:t>rate</w:t>
      </w:r>
      <w:r w:rsidR="00C026A6" w:rsidRPr="00EA59C0">
        <w:t xml:space="preserve"> </w:t>
      </w:r>
      <w:r w:rsidRPr="00EA59C0">
        <w:t>for</w:t>
      </w:r>
      <w:r w:rsidR="00C026A6" w:rsidRPr="00EA59C0">
        <w:t xml:space="preserve"> </w:t>
      </w:r>
      <w:r w:rsidRPr="00EA59C0">
        <w:t>all</w:t>
      </w:r>
      <w:r w:rsidR="00C026A6" w:rsidRPr="00EA59C0">
        <w:t xml:space="preserve"> </w:t>
      </w:r>
      <w:r w:rsidRPr="00EA59C0">
        <w:t>students</w:t>
      </w:r>
      <w:r w:rsidR="00C026A6" w:rsidRPr="00EA59C0">
        <w:t xml:space="preserve"> </w:t>
      </w:r>
      <w:r w:rsidRPr="00EA59C0">
        <w:t>enrolled</w:t>
      </w:r>
      <w:r w:rsidR="00C026A6" w:rsidRPr="00EA59C0">
        <w:t xml:space="preserve"> </w:t>
      </w:r>
      <w:r w:rsidRPr="00EA59C0">
        <w:t>by</w:t>
      </w:r>
      <w:r w:rsidR="00C026A6" w:rsidRPr="00EA59C0">
        <w:t xml:space="preserve"> </w:t>
      </w:r>
      <w:r w:rsidRPr="00EA59C0">
        <w:t>program</w:t>
      </w:r>
      <w:r w:rsidR="004F5C28" w:rsidRPr="00EA59C0">
        <w:t>;</w:t>
      </w:r>
      <w:r w:rsidR="00C026A6" w:rsidRPr="00EA59C0">
        <w:t xml:space="preserve"> </w:t>
      </w:r>
    </w:p>
    <w:p w:rsidR="00F15AF6" w:rsidRPr="00EA59C0" w:rsidRDefault="00F15AF6" w:rsidP="00C072FA">
      <w:pPr>
        <w:pStyle w:val="ListParagraph"/>
        <w:numPr>
          <w:ilvl w:val="4"/>
          <w:numId w:val="17"/>
        </w:numPr>
        <w:tabs>
          <w:tab w:val="left" w:pos="1080"/>
        </w:tabs>
      </w:pPr>
      <w:r w:rsidRPr="00EA59C0">
        <w:t>Employment</w:t>
      </w:r>
      <w:r w:rsidR="00C026A6" w:rsidRPr="00EA59C0">
        <w:t xml:space="preserve"> </w:t>
      </w:r>
      <w:r w:rsidRPr="00EA59C0">
        <w:t>rate</w:t>
      </w:r>
      <w:r w:rsidR="00C026A6" w:rsidRPr="00EA59C0">
        <w:t xml:space="preserve"> </w:t>
      </w:r>
      <w:r w:rsidRPr="00EA59C0">
        <w:t>of</w:t>
      </w:r>
      <w:r w:rsidR="00C026A6" w:rsidRPr="00EA59C0">
        <w:t xml:space="preserve"> </w:t>
      </w:r>
      <w:r w:rsidRPr="00EA59C0">
        <w:t>program</w:t>
      </w:r>
      <w:r w:rsidR="00C026A6" w:rsidRPr="00EA59C0">
        <w:t xml:space="preserve"> </w:t>
      </w:r>
      <w:r w:rsidRPr="00EA59C0">
        <w:t>completers</w:t>
      </w:r>
      <w:r w:rsidR="00C026A6" w:rsidRPr="00EA59C0">
        <w:t xml:space="preserve"> </w:t>
      </w:r>
      <w:r w:rsidRPr="00EA59C0">
        <w:t>by</w:t>
      </w:r>
      <w:r w:rsidR="00C026A6" w:rsidRPr="00EA59C0">
        <w:t xml:space="preserve"> </w:t>
      </w:r>
      <w:r w:rsidRPr="00EA59C0">
        <w:t>program;</w:t>
      </w:r>
    </w:p>
    <w:p w:rsidR="00F15AF6" w:rsidRPr="00EA59C0" w:rsidRDefault="00F15AF6" w:rsidP="00C072FA">
      <w:pPr>
        <w:pStyle w:val="ListParagraph"/>
        <w:numPr>
          <w:ilvl w:val="4"/>
          <w:numId w:val="17"/>
        </w:numPr>
        <w:tabs>
          <w:tab w:val="left" w:pos="1080"/>
        </w:tabs>
      </w:pPr>
      <w:r w:rsidRPr="00EA59C0">
        <w:t>Employment</w:t>
      </w:r>
      <w:r w:rsidR="00C026A6" w:rsidRPr="00EA59C0">
        <w:t xml:space="preserve"> </w:t>
      </w:r>
      <w:r w:rsidRPr="00EA59C0">
        <w:t>retention</w:t>
      </w:r>
      <w:r w:rsidR="00C026A6" w:rsidRPr="00EA59C0">
        <w:t xml:space="preserve"> </w:t>
      </w:r>
      <w:r w:rsidRPr="00EA59C0">
        <w:t>rate</w:t>
      </w:r>
      <w:r w:rsidR="00C026A6" w:rsidRPr="00EA59C0">
        <w:t xml:space="preserve"> </w:t>
      </w:r>
      <w:r w:rsidRPr="00EA59C0">
        <w:t>of</w:t>
      </w:r>
      <w:r w:rsidR="00C026A6" w:rsidRPr="00EA59C0">
        <w:t xml:space="preserve"> </w:t>
      </w:r>
      <w:r w:rsidRPr="00EA59C0">
        <w:t>completers</w:t>
      </w:r>
      <w:r w:rsidR="004F5C28" w:rsidRPr="00EA59C0">
        <w:t>;</w:t>
      </w:r>
    </w:p>
    <w:p w:rsidR="00F15AF6" w:rsidRPr="00EA59C0" w:rsidRDefault="00F15AF6" w:rsidP="00C072FA">
      <w:pPr>
        <w:pStyle w:val="ListParagraph"/>
        <w:numPr>
          <w:ilvl w:val="4"/>
          <w:numId w:val="17"/>
        </w:numPr>
        <w:tabs>
          <w:tab w:val="left" w:pos="1080"/>
        </w:tabs>
      </w:pPr>
      <w:r w:rsidRPr="00EA59C0">
        <w:t>Average</w:t>
      </w:r>
      <w:r w:rsidR="00C026A6" w:rsidRPr="00EA59C0">
        <w:t xml:space="preserve"> </w:t>
      </w:r>
      <w:r w:rsidRPr="00EA59C0">
        <w:t>earnings</w:t>
      </w:r>
      <w:r w:rsidR="00C026A6" w:rsidRPr="00EA59C0">
        <w:t xml:space="preserve"> </w:t>
      </w:r>
      <w:r w:rsidRPr="00EA59C0">
        <w:t>of</w:t>
      </w:r>
      <w:r w:rsidR="00C026A6" w:rsidRPr="00EA59C0">
        <w:t xml:space="preserve"> </w:t>
      </w:r>
      <w:r w:rsidRPr="00EA59C0">
        <w:t>completers</w:t>
      </w:r>
      <w:r w:rsidR="004F5C28" w:rsidRPr="00EA59C0">
        <w:t>;</w:t>
      </w:r>
      <w:r w:rsidR="00C026A6" w:rsidRPr="00EA59C0">
        <w:t xml:space="preserve"> </w:t>
      </w:r>
      <w:r w:rsidR="004F5C28" w:rsidRPr="00EA59C0">
        <w:t>and</w:t>
      </w:r>
    </w:p>
    <w:p w:rsidR="00F15AF6" w:rsidRPr="00EA59C0" w:rsidRDefault="00F15AF6" w:rsidP="00C072FA">
      <w:pPr>
        <w:pStyle w:val="ListParagraph"/>
        <w:numPr>
          <w:ilvl w:val="4"/>
          <w:numId w:val="17"/>
        </w:numPr>
        <w:tabs>
          <w:tab w:val="left" w:pos="1080"/>
        </w:tabs>
      </w:pPr>
      <w:r w:rsidRPr="00EA59C0">
        <w:t>Transfer</w:t>
      </w:r>
      <w:r w:rsidR="00C026A6" w:rsidRPr="00EA59C0">
        <w:t xml:space="preserve"> </w:t>
      </w:r>
      <w:r w:rsidRPr="00EA59C0">
        <w:t>rate</w:t>
      </w:r>
      <w:r w:rsidR="00C026A6" w:rsidRPr="00EA59C0">
        <w:t xml:space="preserve"> </w:t>
      </w:r>
      <w:r w:rsidRPr="00EA59C0">
        <w:t>for</w:t>
      </w:r>
      <w:r w:rsidR="00C026A6" w:rsidRPr="00EA59C0">
        <w:t xml:space="preserve"> </w:t>
      </w:r>
      <w:r w:rsidRPr="00EA59C0">
        <w:t>programs</w:t>
      </w:r>
      <w:r w:rsidR="00C026A6" w:rsidRPr="00EA59C0">
        <w:t xml:space="preserve"> </w:t>
      </w:r>
      <w:r w:rsidRPr="00EA59C0">
        <w:t>that</w:t>
      </w:r>
      <w:r w:rsidR="00C026A6" w:rsidRPr="00EA59C0">
        <w:t xml:space="preserve"> </w:t>
      </w:r>
      <w:r w:rsidRPr="00EA59C0">
        <w:t>have</w:t>
      </w:r>
      <w:r w:rsidR="00C026A6" w:rsidRPr="00EA59C0">
        <w:t xml:space="preserve"> </w:t>
      </w:r>
      <w:r w:rsidRPr="00EA59C0">
        <w:t>facilitating</w:t>
      </w:r>
      <w:r w:rsidR="00C026A6" w:rsidRPr="00EA59C0">
        <w:t xml:space="preserve"> </w:t>
      </w:r>
      <w:r w:rsidRPr="00EA59C0">
        <w:t>transfers</w:t>
      </w:r>
      <w:r w:rsidR="00C026A6" w:rsidRPr="00EA59C0">
        <w:t xml:space="preserve"> </w:t>
      </w:r>
      <w:r w:rsidRPr="00EA59C0">
        <w:t>as</w:t>
      </w:r>
      <w:r w:rsidR="00C026A6" w:rsidRPr="00EA59C0">
        <w:t xml:space="preserve"> </w:t>
      </w:r>
      <w:r w:rsidRPr="00EA59C0">
        <w:t>a</w:t>
      </w:r>
      <w:r w:rsidR="00C026A6" w:rsidRPr="00EA59C0">
        <w:t xml:space="preserve"> </w:t>
      </w:r>
      <w:r w:rsidRPr="00EA59C0">
        <w:t>substantial</w:t>
      </w:r>
      <w:r w:rsidR="00C026A6" w:rsidRPr="00EA59C0">
        <w:t xml:space="preserve"> </w:t>
      </w:r>
      <w:r w:rsidRPr="00EA59C0">
        <w:t>part</w:t>
      </w:r>
      <w:r w:rsidR="00C026A6" w:rsidRPr="00EA59C0">
        <w:t xml:space="preserve"> </w:t>
      </w:r>
      <w:r w:rsidRPr="00EA59C0">
        <w:t>of</w:t>
      </w:r>
      <w:r w:rsidR="00C026A6" w:rsidRPr="00EA59C0">
        <w:t xml:space="preserve"> </w:t>
      </w:r>
      <w:r w:rsidRPr="00EA59C0">
        <w:t>their</w:t>
      </w:r>
      <w:r w:rsidR="00C026A6" w:rsidRPr="00EA59C0">
        <w:t xml:space="preserve"> </w:t>
      </w:r>
      <w:r w:rsidRPr="00EA59C0">
        <w:t>mission.</w:t>
      </w:r>
    </w:p>
    <w:p w:rsidR="00C07325" w:rsidRPr="00EA59C0" w:rsidRDefault="00C07325" w:rsidP="00C072FA">
      <w:pPr>
        <w:pStyle w:val="ListParagraph"/>
        <w:tabs>
          <w:tab w:val="left" w:pos="1080"/>
        </w:tabs>
        <w:ind w:left="1800"/>
      </w:pPr>
    </w:p>
    <w:p w:rsidR="00F063CD" w:rsidRPr="00EA59C0" w:rsidRDefault="00F063CD" w:rsidP="00C072FA">
      <w:pPr>
        <w:pStyle w:val="ListParagraph"/>
        <w:numPr>
          <w:ilvl w:val="3"/>
          <w:numId w:val="17"/>
        </w:numPr>
      </w:pPr>
      <w:r w:rsidRPr="00EA59C0">
        <w:t>Plan</w:t>
      </w:r>
      <w:r w:rsidR="00C026A6" w:rsidRPr="00EA59C0">
        <w:t xml:space="preserve"> </w:t>
      </w:r>
      <w:r w:rsidRPr="00EA59C0">
        <w:t>to</w:t>
      </w:r>
      <w:r w:rsidR="00C026A6" w:rsidRPr="00EA59C0">
        <w:t xml:space="preserve"> </w:t>
      </w:r>
      <w:r w:rsidRPr="00EA59C0">
        <w:t>Obtain</w:t>
      </w:r>
      <w:r w:rsidR="00C026A6" w:rsidRPr="00EA59C0">
        <w:t xml:space="preserve"> </w:t>
      </w:r>
      <w:r w:rsidRPr="00EA59C0">
        <w:t>and</w:t>
      </w:r>
      <w:r w:rsidR="00C026A6" w:rsidRPr="00EA59C0">
        <w:t xml:space="preserve"> </w:t>
      </w:r>
      <w:r w:rsidRPr="00EA59C0">
        <w:t>Share</w:t>
      </w:r>
      <w:r w:rsidR="00C026A6" w:rsidRPr="00EA59C0">
        <w:t xml:space="preserve"> </w:t>
      </w:r>
      <w:r w:rsidRPr="00EA59C0">
        <w:t>Data</w:t>
      </w:r>
    </w:p>
    <w:p w:rsidR="00F063CD" w:rsidRPr="00EA59C0" w:rsidRDefault="00F063CD" w:rsidP="00C072FA">
      <w:pPr>
        <w:ind w:left="1440"/>
      </w:pPr>
      <w:r w:rsidRPr="00EA59C0">
        <w:t>Applicants</w:t>
      </w:r>
      <w:r w:rsidR="00C026A6" w:rsidRPr="00EA59C0">
        <w:t xml:space="preserve"> </w:t>
      </w:r>
      <w:r w:rsidRPr="00EA59C0">
        <w:t>must</w:t>
      </w:r>
      <w:r w:rsidR="00C026A6" w:rsidRPr="00EA59C0">
        <w:t xml:space="preserve"> </w:t>
      </w:r>
      <w:r w:rsidRPr="00EA59C0">
        <w:t>identify</w:t>
      </w:r>
      <w:r w:rsidR="00C026A6" w:rsidRPr="00EA59C0">
        <w:t xml:space="preserve"> </w:t>
      </w:r>
      <w:r w:rsidRPr="00EA59C0">
        <w:t>methods</w:t>
      </w:r>
      <w:r w:rsidR="00C026A6" w:rsidRPr="00EA59C0">
        <w:t xml:space="preserve"> </w:t>
      </w:r>
      <w:r w:rsidRPr="00EA59C0">
        <w:t>for</w:t>
      </w:r>
      <w:r w:rsidR="00C026A6" w:rsidRPr="00EA59C0">
        <w:t xml:space="preserve"> </w:t>
      </w:r>
      <w:r w:rsidRPr="00EA59C0">
        <w:t>obtaining</w:t>
      </w:r>
      <w:r w:rsidR="00C026A6" w:rsidRPr="00EA59C0">
        <w:t xml:space="preserve"> </w:t>
      </w:r>
      <w:r w:rsidRPr="00EA59C0">
        <w:t>the</w:t>
      </w:r>
      <w:r w:rsidR="00C026A6" w:rsidRPr="00EA59C0">
        <w:t xml:space="preserve"> </w:t>
      </w:r>
      <w:r w:rsidRPr="00EA59C0">
        <w:t>data</w:t>
      </w:r>
      <w:r w:rsidR="00C026A6" w:rsidRPr="00EA59C0">
        <w:t xml:space="preserve"> </w:t>
      </w:r>
      <w:r w:rsidRPr="00EA59C0">
        <w:t>necessary</w:t>
      </w:r>
      <w:r w:rsidR="00C026A6" w:rsidRPr="00EA59C0">
        <w:t xml:space="preserve"> </w:t>
      </w:r>
      <w:r w:rsidRPr="00EA59C0">
        <w:t>to</w:t>
      </w:r>
      <w:r w:rsidR="00C026A6" w:rsidRPr="00EA59C0">
        <w:t xml:space="preserve"> </w:t>
      </w:r>
      <w:r w:rsidRPr="00EA59C0">
        <w:t>create</w:t>
      </w:r>
      <w:r w:rsidR="00C026A6" w:rsidRPr="00EA59C0">
        <w:t xml:space="preserve"> </w:t>
      </w:r>
      <w:r w:rsidRPr="00EA59C0">
        <w:t>the</w:t>
      </w:r>
      <w:r w:rsidR="00C026A6" w:rsidRPr="00EA59C0">
        <w:t xml:space="preserve"> </w:t>
      </w:r>
      <w:r w:rsidRPr="00EA59C0">
        <w:t>employment</w:t>
      </w:r>
      <w:r w:rsidR="00C026A6" w:rsidRPr="00EA59C0">
        <w:t xml:space="preserve"> </w:t>
      </w:r>
      <w:r w:rsidRPr="00EA59C0">
        <w:t>results</w:t>
      </w:r>
      <w:r w:rsidR="00C026A6" w:rsidRPr="00EA59C0">
        <w:t xml:space="preserve"> </w:t>
      </w:r>
      <w:r w:rsidRPr="00EA59C0">
        <w:t>scorecard.</w:t>
      </w:r>
      <w:r w:rsidR="00C026A6" w:rsidRPr="00EA59C0">
        <w:t xml:space="preserve">  </w:t>
      </w:r>
      <w:r w:rsidRPr="00EA59C0">
        <w:t>This</w:t>
      </w:r>
      <w:r w:rsidR="00C026A6" w:rsidRPr="00EA59C0">
        <w:t xml:space="preserve"> </w:t>
      </w:r>
      <w:r w:rsidRPr="00EA59C0">
        <w:t>may</w:t>
      </w:r>
      <w:r w:rsidR="00C026A6" w:rsidRPr="00EA59C0">
        <w:t xml:space="preserve"> </w:t>
      </w:r>
      <w:r w:rsidRPr="00EA59C0">
        <w:t>include:</w:t>
      </w:r>
      <w:r w:rsidR="00C026A6" w:rsidRPr="00EA59C0">
        <w:t xml:space="preserve"> </w:t>
      </w:r>
    </w:p>
    <w:p w:rsidR="00F063CD" w:rsidRPr="00EA59C0" w:rsidRDefault="00F063CD" w:rsidP="00C072FA">
      <w:pPr>
        <w:pStyle w:val="ListParagraph"/>
        <w:numPr>
          <w:ilvl w:val="4"/>
          <w:numId w:val="17"/>
        </w:numPr>
        <w:tabs>
          <w:tab w:val="left" w:pos="1080"/>
        </w:tabs>
      </w:pPr>
      <w:r w:rsidRPr="00EA59C0">
        <w:t>Working</w:t>
      </w:r>
      <w:r w:rsidR="00C026A6" w:rsidRPr="00EA59C0">
        <w:t xml:space="preserve"> </w:t>
      </w:r>
      <w:r w:rsidRPr="00EA59C0">
        <w:t>with</w:t>
      </w:r>
      <w:r w:rsidR="00C026A6" w:rsidRPr="00EA59C0">
        <w:t xml:space="preserve"> </w:t>
      </w:r>
      <w:r w:rsidRPr="00EA59C0">
        <w:t>relevant</w:t>
      </w:r>
      <w:r w:rsidR="00C026A6" w:rsidRPr="00EA59C0">
        <w:t xml:space="preserve"> </w:t>
      </w:r>
      <w:r w:rsidR="004145F5" w:rsidRPr="00EA59C0">
        <w:t>s</w:t>
      </w:r>
      <w:r w:rsidRPr="00EA59C0">
        <w:t>tate</w:t>
      </w:r>
      <w:r w:rsidR="00C026A6" w:rsidRPr="00EA59C0">
        <w:t xml:space="preserve"> </w:t>
      </w:r>
      <w:r w:rsidRPr="00EA59C0">
        <w:t>agencies</w:t>
      </w:r>
      <w:r w:rsidR="00C026A6" w:rsidRPr="00EA59C0">
        <w:t xml:space="preserve"> </w:t>
      </w:r>
      <w:r w:rsidRPr="00EA59C0">
        <w:t>to</w:t>
      </w:r>
      <w:r w:rsidR="00C026A6" w:rsidRPr="00EA59C0">
        <w:t xml:space="preserve"> </w:t>
      </w:r>
      <w:r w:rsidRPr="00EA59C0">
        <w:t>explore</w:t>
      </w:r>
      <w:r w:rsidR="00C026A6" w:rsidRPr="00EA59C0">
        <w:t xml:space="preserve"> </w:t>
      </w:r>
      <w:r w:rsidRPr="00EA59C0">
        <w:t>the</w:t>
      </w:r>
      <w:r w:rsidR="00C026A6" w:rsidRPr="00EA59C0">
        <w:t xml:space="preserve"> </w:t>
      </w:r>
      <w:r w:rsidRPr="00EA59C0">
        <w:t>possibility</w:t>
      </w:r>
      <w:r w:rsidR="00C026A6" w:rsidRPr="00EA59C0">
        <w:t xml:space="preserve"> </w:t>
      </w:r>
      <w:r w:rsidRPr="00EA59C0">
        <w:t>of</w:t>
      </w:r>
      <w:r w:rsidR="00C026A6" w:rsidRPr="00EA59C0">
        <w:t xml:space="preserve"> </w:t>
      </w:r>
      <w:r w:rsidRPr="00EA59C0">
        <w:t>becoming</w:t>
      </w:r>
      <w:r w:rsidR="00C026A6" w:rsidRPr="00EA59C0">
        <w:t xml:space="preserve"> </w:t>
      </w:r>
      <w:r w:rsidRPr="00EA59C0">
        <w:t>party</w:t>
      </w:r>
      <w:r w:rsidR="00C026A6" w:rsidRPr="00EA59C0">
        <w:t xml:space="preserve"> </w:t>
      </w:r>
      <w:r w:rsidRPr="00EA59C0">
        <w:t>to</w:t>
      </w:r>
      <w:r w:rsidR="00C026A6" w:rsidRPr="00EA59C0">
        <w:t xml:space="preserve"> </w:t>
      </w:r>
      <w:r w:rsidRPr="00EA59C0">
        <w:t>the</w:t>
      </w:r>
      <w:r w:rsidR="00C026A6" w:rsidRPr="00EA59C0">
        <w:t xml:space="preserve"> </w:t>
      </w:r>
      <w:r w:rsidRPr="00EA59C0">
        <w:t>Wage</w:t>
      </w:r>
      <w:r w:rsidR="00C026A6" w:rsidRPr="00EA59C0">
        <w:t xml:space="preserve"> </w:t>
      </w:r>
      <w:r w:rsidRPr="00EA59C0">
        <w:t>Record</w:t>
      </w:r>
      <w:r w:rsidR="00C026A6" w:rsidRPr="00EA59C0">
        <w:t xml:space="preserve"> </w:t>
      </w:r>
      <w:r w:rsidRPr="00EA59C0">
        <w:t>Interchange</w:t>
      </w:r>
      <w:r w:rsidR="00C026A6" w:rsidRPr="00EA59C0">
        <w:t xml:space="preserve"> </w:t>
      </w:r>
      <w:r w:rsidRPr="00EA59C0">
        <w:t>System</w:t>
      </w:r>
      <w:r w:rsidR="00C026A6" w:rsidRPr="00EA59C0">
        <w:t xml:space="preserve"> </w:t>
      </w:r>
      <w:r w:rsidRPr="00EA59C0">
        <w:t>2</w:t>
      </w:r>
      <w:r w:rsidR="00C026A6" w:rsidRPr="00EA59C0">
        <w:t xml:space="preserve"> </w:t>
      </w:r>
      <w:r w:rsidRPr="00EA59C0">
        <w:t>(WRIS</w:t>
      </w:r>
      <w:r w:rsidR="00C026A6" w:rsidRPr="00EA59C0">
        <w:t xml:space="preserve"> </w:t>
      </w:r>
      <w:r w:rsidRPr="00EA59C0">
        <w:t>2)</w:t>
      </w:r>
      <w:r w:rsidR="00C026A6" w:rsidRPr="00EA59C0">
        <w:t xml:space="preserve"> </w:t>
      </w:r>
      <w:r w:rsidRPr="00EA59C0">
        <w:t>agreement,</w:t>
      </w:r>
      <w:r w:rsidR="00C026A6" w:rsidRPr="00EA59C0">
        <w:t xml:space="preserve"> </w:t>
      </w:r>
      <w:r w:rsidRPr="00EA59C0">
        <w:t>if</w:t>
      </w:r>
      <w:r w:rsidR="00C026A6" w:rsidRPr="00EA59C0">
        <w:t xml:space="preserve"> </w:t>
      </w:r>
      <w:r w:rsidRPr="00EA59C0">
        <w:t>applicable;</w:t>
      </w:r>
      <w:r w:rsidR="00C026A6" w:rsidRPr="00EA59C0">
        <w:t xml:space="preserve">  </w:t>
      </w:r>
    </w:p>
    <w:p w:rsidR="00F063CD" w:rsidRPr="00EA59C0" w:rsidRDefault="00F063CD" w:rsidP="00C072FA">
      <w:pPr>
        <w:pStyle w:val="ListParagraph"/>
        <w:numPr>
          <w:ilvl w:val="4"/>
          <w:numId w:val="17"/>
        </w:numPr>
        <w:tabs>
          <w:tab w:val="left" w:pos="1080"/>
        </w:tabs>
      </w:pPr>
      <w:r w:rsidRPr="00EA59C0">
        <w:t>Working</w:t>
      </w:r>
      <w:r w:rsidR="00C026A6" w:rsidRPr="00EA59C0">
        <w:t xml:space="preserve"> </w:t>
      </w:r>
      <w:r w:rsidRPr="00EA59C0">
        <w:t>with</w:t>
      </w:r>
      <w:r w:rsidR="00C026A6" w:rsidRPr="00EA59C0">
        <w:t xml:space="preserve"> </w:t>
      </w:r>
      <w:r w:rsidRPr="00EA59C0">
        <w:t>relevant</w:t>
      </w:r>
      <w:r w:rsidR="00C026A6" w:rsidRPr="00EA59C0">
        <w:t xml:space="preserve"> </w:t>
      </w:r>
      <w:r w:rsidR="004145F5" w:rsidRPr="00EA59C0">
        <w:t>s</w:t>
      </w:r>
      <w:r w:rsidRPr="00EA59C0">
        <w:t>tate</w:t>
      </w:r>
      <w:r w:rsidR="00C026A6" w:rsidRPr="00EA59C0">
        <w:t xml:space="preserve"> </w:t>
      </w:r>
      <w:r w:rsidRPr="00EA59C0">
        <w:t>agencies</w:t>
      </w:r>
      <w:r w:rsidR="00C026A6" w:rsidRPr="00EA59C0">
        <w:t xml:space="preserve"> </w:t>
      </w:r>
      <w:r w:rsidRPr="00EA59C0">
        <w:t>to</w:t>
      </w:r>
      <w:r w:rsidR="00C026A6" w:rsidRPr="00EA59C0">
        <w:t xml:space="preserve"> </w:t>
      </w:r>
      <w:r w:rsidRPr="00EA59C0">
        <w:t>utilize</w:t>
      </w:r>
      <w:r w:rsidR="00C026A6" w:rsidRPr="00EA59C0">
        <w:t xml:space="preserve"> </w:t>
      </w:r>
      <w:r w:rsidRPr="00EA59C0">
        <w:t>state</w:t>
      </w:r>
      <w:r w:rsidR="00C026A6" w:rsidRPr="00EA59C0">
        <w:t xml:space="preserve"> </w:t>
      </w:r>
      <w:r w:rsidRPr="00EA59C0">
        <w:t>longitudinal</w:t>
      </w:r>
      <w:r w:rsidR="00C026A6" w:rsidRPr="00EA59C0">
        <w:t xml:space="preserve"> </w:t>
      </w:r>
      <w:r w:rsidRPr="00EA59C0">
        <w:t>data</w:t>
      </w:r>
      <w:r w:rsidR="00C026A6" w:rsidRPr="00EA59C0">
        <w:t xml:space="preserve"> </w:t>
      </w:r>
      <w:r w:rsidRPr="00EA59C0">
        <w:t>systems</w:t>
      </w:r>
      <w:r w:rsidR="00C026A6" w:rsidRPr="00EA59C0">
        <w:t xml:space="preserve"> </w:t>
      </w:r>
      <w:r w:rsidRPr="00EA59C0">
        <w:t>to</w:t>
      </w:r>
      <w:r w:rsidR="00C026A6" w:rsidRPr="00EA59C0">
        <w:t xml:space="preserve"> </w:t>
      </w:r>
      <w:r w:rsidRPr="00EA59C0">
        <w:t>calculate</w:t>
      </w:r>
      <w:r w:rsidR="00C026A6" w:rsidRPr="00EA59C0">
        <w:t xml:space="preserve"> </w:t>
      </w:r>
      <w:r w:rsidRPr="00EA59C0">
        <w:t>aggregate</w:t>
      </w:r>
      <w:r w:rsidR="00C026A6" w:rsidRPr="00EA59C0">
        <w:t xml:space="preserve"> </w:t>
      </w:r>
      <w:r w:rsidRPr="00EA59C0">
        <w:t>transfer</w:t>
      </w:r>
      <w:r w:rsidR="00C026A6" w:rsidRPr="00EA59C0">
        <w:t xml:space="preserve"> </w:t>
      </w:r>
      <w:r w:rsidRPr="00EA59C0">
        <w:t>rates</w:t>
      </w:r>
      <w:r w:rsidR="00C026A6" w:rsidRPr="00EA59C0">
        <w:t xml:space="preserve"> </w:t>
      </w:r>
      <w:r w:rsidRPr="00EA59C0">
        <w:t>and</w:t>
      </w:r>
      <w:r w:rsidR="00C026A6" w:rsidRPr="00EA59C0">
        <w:t xml:space="preserve"> </w:t>
      </w:r>
      <w:r w:rsidRPr="00EA59C0">
        <w:t>employment</w:t>
      </w:r>
      <w:r w:rsidR="00C026A6" w:rsidRPr="00EA59C0">
        <w:t xml:space="preserve"> </w:t>
      </w:r>
      <w:r w:rsidRPr="00EA59C0">
        <w:t>outcomes</w:t>
      </w:r>
      <w:r w:rsidR="00C026A6" w:rsidRPr="00EA59C0">
        <w:t xml:space="preserve"> </w:t>
      </w:r>
      <w:r w:rsidRPr="00EA59C0">
        <w:t>by</w:t>
      </w:r>
      <w:r w:rsidR="00C026A6" w:rsidRPr="00EA59C0">
        <w:t xml:space="preserve"> </w:t>
      </w:r>
      <w:r w:rsidRPr="00EA59C0">
        <w:t>program</w:t>
      </w:r>
      <w:r w:rsidR="004F5C28" w:rsidRPr="00EA59C0">
        <w:t>;</w:t>
      </w:r>
      <w:r w:rsidR="00C026A6" w:rsidRPr="00EA59C0">
        <w:t xml:space="preserve"> </w:t>
      </w:r>
      <w:r w:rsidR="004F5C28" w:rsidRPr="00EA59C0">
        <w:t>and</w:t>
      </w:r>
    </w:p>
    <w:p w:rsidR="00F063CD" w:rsidRPr="00EA59C0" w:rsidRDefault="00F063CD" w:rsidP="00C072FA">
      <w:pPr>
        <w:pStyle w:val="ListParagraph"/>
        <w:numPr>
          <w:ilvl w:val="4"/>
          <w:numId w:val="17"/>
        </w:numPr>
        <w:tabs>
          <w:tab w:val="left" w:pos="1080"/>
        </w:tabs>
      </w:pPr>
      <w:r w:rsidRPr="00EA59C0">
        <w:t>Developing</w:t>
      </w:r>
      <w:r w:rsidR="00C026A6" w:rsidRPr="00EA59C0">
        <w:t xml:space="preserve"> </w:t>
      </w:r>
      <w:r w:rsidRPr="00EA59C0">
        <w:t>partnerships</w:t>
      </w:r>
      <w:r w:rsidR="00C026A6" w:rsidRPr="00EA59C0">
        <w:t xml:space="preserve"> </w:t>
      </w:r>
      <w:r w:rsidRPr="00EA59C0">
        <w:t>necessary</w:t>
      </w:r>
      <w:r w:rsidR="00C026A6" w:rsidRPr="00EA59C0">
        <w:t xml:space="preserve"> </w:t>
      </w:r>
      <w:r w:rsidRPr="00EA59C0">
        <w:t>to</w:t>
      </w:r>
      <w:r w:rsidR="00C026A6" w:rsidRPr="00EA59C0">
        <w:t xml:space="preserve"> </w:t>
      </w:r>
      <w:r w:rsidRPr="00EA59C0">
        <w:t>obtain</w:t>
      </w:r>
      <w:r w:rsidR="00C026A6" w:rsidRPr="00EA59C0">
        <w:t xml:space="preserve"> </w:t>
      </w:r>
      <w:r w:rsidRPr="00EA59C0">
        <w:t>outcomes</w:t>
      </w:r>
      <w:r w:rsidR="00C026A6" w:rsidRPr="00EA59C0">
        <w:t xml:space="preserve"> </w:t>
      </w:r>
      <w:r w:rsidRPr="00EA59C0">
        <w:t>data.</w:t>
      </w:r>
      <w:r w:rsidR="00C026A6" w:rsidRPr="00EA59C0">
        <w:t xml:space="preserve">  </w:t>
      </w:r>
      <w:r w:rsidRPr="00EA59C0">
        <w:t>This</w:t>
      </w:r>
      <w:r w:rsidR="00C026A6" w:rsidRPr="00EA59C0">
        <w:t xml:space="preserve"> </w:t>
      </w:r>
      <w:r w:rsidRPr="00EA59C0">
        <w:t>may</w:t>
      </w:r>
      <w:r w:rsidR="00C026A6" w:rsidRPr="00EA59C0">
        <w:t xml:space="preserve"> </w:t>
      </w:r>
      <w:r w:rsidRPr="00EA59C0">
        <w:t>include</w:t>
      </w:r>
      <w:r w:rsidR="00C026A6" w:rsidRPr="00EA59C0">
        <w:t xml:space="preserve"> </w:t>
      </w:r>
      <w:r w:rsidRPr="00EA59C0">
        <w:t>working</w:t>
      </w:r>
      <w:r w:rsidR="00C026A6" w:rsidRPr="00EA59C0">
        <w:t xml:space="preserve"> </w:t>
      </w:r>
      <w:r w:rsidRPr="00EA59C0">
        <w:t>with</w:t>
      </w:r>
      <w:r w:rsidR="00C026A6" w:rsidRPr="00EA59C0">
        <w:t xml:space="preserve"> </w:t>
      </w:r>
      <w:r w:rsidRPr="00EA59C0">
        <w:t>the</w:t>
      </w:r>
      <w:r w:rsidR="00C026A6" w:rsidRPr="00EA59C0">
        <w:t xml:space="preserve"> </w:t>
      </w:r>
      <w:r w:rsidRPr="00EA59C0">
        <w:t>State</w:t>
      </w:r>
      <w:r w:rsidR="00C026A6" w:rsidRPr="00EA59C0">
        <w:t xml:space="preserve"> </w:t>
      </w:r>
      <w:r w:rsidRPr="00EA59C0">
        <w:t>agencies</w:t>
      </w:r>
      <w:r w:rsidR="00C026A6" w:rsidRPr="00EA59C0">
        <w:t xml:space="preserve"> </w:t>
      </w:r>
      <w:r w:rsidRPr="00EA59C0">
        <w:t>that</w:t>
      </w:r>
      <w:r w:rsidR="00C026A6" w:rsidRPr="00EA59C0">
        <w:t xml:space="preserve"> </w:t>
      </w:r>
      <w:r w:rsidRPr="00EA59C0">
        <w:t>administer</w:t>
      </w:r>
      <w:r w:rsidR="00C026A6" w:rsidRPr="00EA59C0">
        <w:t xml:space="preserve"> </w:t>
      </w:r>
      <w:r w:rsidRPr="00EA59C0">
        <w:t>Unemployment</w:t>
      </w:r>
      <w:r w:rsidR="00C026A6" w:rsidRPr="00EA59C0">
        <w:t xml:space="preserve"> </w:t>
      </w:r>
      <w:r w:rsidRPr="00EA59C0">
        <w:t>Compensation</w:t>
      </w:r>
      <w:r w:rsidR="00C026A6" w:rsidRPr="00EA59C0">
        <w:t xml:space="preserve"> </w:t>
      </w:r>
      <w:r w:rsidRPr="00EA59C0">
        <w:t>(UC</w:t>
      </w:r>
      <w:r w:rsidR="00C026A6" w:rsidRPr="00EA59C0">
        <w:t xml:space="preserve"> </w:t>
      </w:r>
      <w:r w:rsidRPr="00EA59C0">
        <w:t>programs,</w:t>
      </w:r>
      <w:r w:rsidR="00C026A6" w:rsidRPr="00EA59C0">
        <w:t xml:space="preserve"> </w:t>
      </w:r>
      <w:r w:rsidRPr="00EA59C0">
        <w:t>TAA</w:t>
      </w:r>
      <w:r w:rsidR="00C026A6" w:rsidRPr="00EA59C0">
        <w:t xml:space="preserve"> </w:t>
      </w:r>
      <w:r w:rsidRPr="00EA59C0">
        <w:t>for</w:t>
      </w:r>
      <w:r w:rsidR="00C026A6" w:rsidRPr="00EA59C0">
        <w:t xml:space="preserve"> </w:t>
      </w:r>
      <w:r w:rsidRPr="00EA59C0">
        <w:t>Workers,</w:t>
      </w:r>
      <w:r w:rsidR="00C026A6" w:rsidRPr="00EA59C0">
        <w:t xml:space="preserve"> </w:t>
      </w:r>
      <w:r w:rsidRPr="00EA59C0">
        <w:t>WIA,</w:t>
      </w:r>
      <w:r w:rsidR="00C026A6" w:rsidRPr="00EA59C0">
        <w:t xml:space="preserve"> </w:t>
      </w:r>
      <w:r w:rsidR="00E7402F" w:rsidRPr="00EA59C0">
        <w:t>SLDS</w:t>
      </w:r>
      <w:r w:rsidRPr="00EA59C0">
        <w:t>,</w:t>
      </w:r>
      <w:r w:rsidR="00C026A6" w:rsidRPr="00EA59C0">
        <w:t xml:space="preserve"> </w:t>
      </w:r>
      <w:r w:rsidRPr="00EA59C0">
        <w:t>or</w:t>
      </w:r>
      <w:r w:rsidR="00C026A6" w:rsidRPr="00EA59C0">
        <w:t xml:space="preserve"> </w:t>
      </w:r>
      <w:r w:rsidRPr="00EA59C0">
        <w:t>WDQI</w:t>
      </w:r>
      <w:r w:rsidR="00C026A6" w:rsidRPr="00EA59C0">
        <w:t xml:space="preserve"> </w:t>
      </w:r>
      <w:r w:rsidRPr="00EA59C0">
        <w:t>grant</w:t>
      </w:r>
      <w:r w:rsidR="00C026A6" w:rsidRPr="00EA59C0">
        <w:t xml:space="preserve"> </w:t>
      </w:r>
      <w:r w:rsidRPr="00EA59C0">
        <w:t>program</w:t>
      </w:r>
      <w:r w:rsidR="00C026A6" w:rsidRPr="00EA59C0">
        <w:t xml:space="preserve"> </w:t>
      </w:r>
      <w:r w:rsidRPr="00EA59C0">
        <w:t>for</w:t>
      </w:r>
      <w:r w:rsidR="00C026A6" w:rsidRPr="00EA59C0">
        <w:t xml:space="preserve"> </w:t>
      </w:r>
      <w:r w:rsidRPr="00EA59C0">
        <w:t>data</w:t>
      </w:r>
      <w:r w:rsidR="00C026A6" w:rsidRPr="00EA59C0">
        <w:t xml:space="preserve"> </w:t>
      </w:r>
      <w:r w:rsidRPr="00EA59C0">
        <w:t>sharing</w:t>
      </w:r>
      <w:r w:rsidR="00C026A6" w:rsidRPr="00EA59C0">
        <w:t xml:space="preserve"> </w:t>
      </w:r>
      <w:r w:rsidRPr="00EA59C0">
        <w:t>and</w:t>
      </w:r>
      <w:r w:rsidR="00C026A6" w:rsidRPr="00EA59C0">
        <w:t xml:space="preserve"> </w:t>
      </w:r>
      <w:r w:rsidRPr="00EA59C0">
        <w:t>production</w:t>
      </w:r>
      <w:r w:rsidR="00C026A6" w:rsidRPr="00EA59C0">
        <w:t xml:space="preserve"> </w:t>
      </w:r>
      <w:r w:rsidRPr="00EA59C0">
        <w:t>of</w:t>
      </w:r>
      <w:r w:rsidR="00C026A6" w:rsidRPr="00EA59C0">
        <w:t xml:space="preserve"> </w:t>
      </w:r>
      <w:r w:rsidRPr="00EA59C0">
        <w:t>aggregate</w:t>
      </w:r>
      <w:r w:rsidR="00C026A6" w:rsidRPr="00EA59C0">
        <w:t xml:space="preserve"> </w:t>
      </w:r>
      <w:r w:rsidRPr="00EA59C0">
        <w:t>reports</w:t>
      </w:r>
      <w:r w:rsidR="00C026A6" w:rsidRPr="00EA59C0">
        <w:t xml:space="preserve"> </w:t>
      </w:r>
      <w:r w:rsidRPr="00EA59C0">
        <w:t>on</w:t>
      </w:r>
      <w:r w:rsidR="00C026A6" w:rsidRPr="00EA59C0">
        <w:t xml:space="preserve"> </w:t>
      </w:r>
      <w:r w:rsidRPr="00EA59C0">
        <w:t>outcomes</w:t>
      </w:r>
      <w:r w:rsidR="00C026A6" w:rsidRPr="00EA59C0">
        <w:t xml:space="preserve"> </w:t>
      </w:r>
      <w:r w:rsidRPr="00EA59C0">
        <w:t>and</w:t>
      </w:r>
      <w:r w:rsidR="00C026A6" w:rsidRPr="00EA59C0">
        <w:t xml:space="preserve"> </w:t>
      </w:r>
      <w:r w:rsidRPr="00EA59C0">
        <w:t>earnings</w:t>
      </w:r>
      <w:r w:rsidR="00C026A6" w:rsidRPr="00EA59C0">
        <w:t xml:space="preserve"> </w:t>
      </w:r>
      <w:r w:rsidRPr="00EA59C0">
        <w:t>by</w:t>
      </w:r>
      <w:r w:rsidR="00C026A6" w:rsidRPr="00EA59C0">
        <w:t xml:space="preserve"> </w:t>
      </w:r>
      <w:r w:rsidRPr="00EA59C0">
        <w:t>program.</w:t>
      </w:r>
    </w:p>
    <w:p w:rsidR="00F15AF6" w:rsidRPr="00EA59C0" w:rsidRDefault="00F15AF6" w:rsidP="00C072FA">
      <w:pPr>
        <w:tabs>
          <w:tab w:val="left" w:pos="1080"/>
        </w:tabs>
        <w:ind w:left="1080"/>
      </w:pPr>
    </w:p>
    <w:p w:rsidR="00F063CD" w:rsidRPr="00EA59C0" w:rsidRDefault="00F063CD" w:rsidP="00C072FA">
      <w:pPr>
        <w:pStyle w:val="ListParagraph"/>
        <w:numPr>
          <w:ilvl w:val="3"/>
          <w:numId w:val="17"/>
        </w:numPr>
      </w:pPr>
      <w:r w:rsidRPr="00EA59C0">
        <w:t>Plan</w:t>
      </w:r>
      <w:r w:rsidR="00C026A6" w:rsidRPr="00EA59C0">
        <w:t xml:space="preserve"> </w:t>
      </w:r>
      <w:r w:rsidRPr="00EA59C0">
        <w:t>to</w:t>
      </w:r>
      <w:r w:rsidR="00C026A6" w:rsidRPr="00EA59C0">
        <w:t xml:space="preserve"> </w:t>
      </w:r>
      <w:r w:rsidRPr="00EA59C0">
        <w:t>use</w:t>
      </w:r>
      <w:r w:rsidR="00C026A6" w:rsidRPr="00EA59C0">
        <w:t xml:space="preserve"> </w:t>
      </w:r>
      <w:r w:rsidRPr="00EA59C0">
        <w:t>Data</w:t>
      </w:r>
      <w:r w:rsidR="00C026A6" w:rsidRPr="00EA59C0">
        <w:t xml:space="preserve"> </w:t>
      </w:r>
      <w:r w:rsidRPr="00EA59C0">
        <w:t>for</w:t>
      </w:r>
      <w:r w:rsidR="00C026A6" w:rsidRPr="00EA59C0">
        <w:t xml:space="preserve"> </w:t>
      </w:r>
      <w:r w:rsidRPr="00EA59C0">
        <w:t>Continuous</w:t>
      </w:r>
      <w:r w:rsidR="00C026A6" w:rsidRPr="00EA59C0">
        <w:t xml:space="preserve"> </w:t>
      </w:r>
      <w:r w:rsidRPr="00EA59C0">
        <w:t>Improvement</w:t>
      </w:r>
    </w:p>
    <w:p w:rsidR="00F063CD" w:rsidRPr="00EA59C0" w:rsidRDefault="00F063CD" w:rsidP="00C072FA">
      <w:pPr>
        <w:ind w:left="1440"/>
      </w:pPr>
      <w:r w:rsidRPr="00EA59C0">
        <w:t>Applicants</w:t>
      </w:r>
      <w:r w:rsidR="00C026A6" w:rsidRPr="00EA59C0">
        <w:t xml:space="preserve"> </w:t>
      </w:r>
      <w:r w:rsidRPr="00EA59C0">
        <w:t>should</w:t>
      </w:r>
      <w:r w:rsidR="00C026A6" w:rsidRPr="00EA59C0">
        <w:t xml:space="preserve"> </w:t>
      </w:r>
      <w:r w:rsidRPr="00EA59C0">
        <w:t>describe</w:t>
      </w:r>
      <w:r w:rsidR="00C026A6" w:rsidRPr="00EA59C0">
        <w:t xml:space="preserve"> </w:t>
      </w:r>
      <w:r w:rsidRPr="00EA59C0">
        <w:t>how</w:t>
      </w:r>
      <w:r w:rsidR="00C026A6" w:rsidRPr="00EA59C0">
        <w:t xml:space="preserve"> </w:t>
      </w:r>
      <w:r w:rsidRPr="00EA59C0">
        <w:t>the</w:t>
      </w:r>
      <w:r w:rsidR="00C026A6" w:rsidRPr="00EA59C0">
        <w:t xml:space="preserve"> </w:t>
      </w:r>
      <w:r w:rsidRPr="00EA59C0">
        <w:t>data</w:t>
      </w:r>
      <w:r w:rsidR="00C026A6" w:rsidRPr="00EA59C0">
        <w:t xml:space="preserve"> </w:t>
      </w:r>
      <w:r w:rsidRPr="00EA59C0">
        <w:t>obtained</w:t>
      </w:r>
      <w:r w:rsidR="00C026A6" w:rsidRPr="00EA59C0">
        <w:t xml:space="preserve"> </w:t>
      </w:r>
      <w:r w:rsidRPr="00EA59C0">
        <w:t>for</w:t>
      </w:r>
      <w:r w:rsidR="00C026A6" w:rsidRPr="00EA59C0">
        <w:t xml:space="preserve"> </w:t>
      </w:r>
      <w:r w:rsidRPr="00EA59C0">
        <w:t>the</w:t>
      </w:r>
      <w:r w:rsidR="00C026A6" w:rsidRPr="00EA59C0">
        <w:t xml:space="preserve"> </w:t>
      </w:r>
      <w:r w:rsidRPr="00EA59C0">
        <w:t>employment</w:t>
      </w:r>
      <w:r w:rsidR="00C026A6" w:rsidRPr="00EA59C0">
        <w:t xml:space="preserve"> </w:t>
      </w:r>
      <w:r w:rsidRPr="00EA59C0">
        <w:t>results</w:t>
      </w:r>
      <w:r w:rsidR="00C026A6" w:rsidRPr="00EA59C0">
        <w:t xml:space="preserve"> </w:t>
      </w:r>
      <w:r w:rsidRPr="00EA59C0">
        <w:t>scorecard</w:t>
      </w:r>
      <w:r w:rsidR="00C026A6" w:rsidRPr="00EA59C0">
        <w:t xml:space="preserve"> </w:t>
      </w:r>
      <w:r w:rsidRPr="00EA59C0">
        <w:t>and</w:t>
      </w:r>
      <w:r w:rsidR="00C026A6" w:rsidRPr="00EA59C0">
        <w:t xml:space="preserve"> </w:t>
      </w:r>
      <w:r w:rsidRPr="00EA59C0">
        <w:t>other</w:t>
      </w:r>
      <w:r w:rsidR="00C026A6" w:rsidRPr="00EA59C0">
        <w:t xml:space="preserve"> </w:t>
      </w:r>
      <w:r w:rsidRPr="00EA59C0">
        <w:t>data</w:t>
      </w:r>
      <w:r w:rsidR="00C026A6" w:rsidRPr="00EA59C0">
        <w:t xml:space="preserve"> </w:t>
      </w:r>
      <w:r w:rsidRPr="00EA59C0">
        <w:t>will</w:t>
      </w:r>
      <w:r w:rsidR="00C026A6" w:rsidRPr="00EA59C0">
        <w:t xml:space="preserve"> </w:t>
      </w:r>
      <w:r w:rsidRPr="00EA59C0">
        <w:t>be</w:t>
      </w:r>
      <w:r w:rsidR="00C026A6" w:rsidRPr="00EA59C0">
        <w:t xml:space="preserve"> </w:t>
      </w:r>
      <w:r w:rsidRPr="00EA59C0">
        <w:t>used</w:t>
      </w:r>
      <w:r w:rsidR="00C026A6" w:rsidRPr="00EA59C0">
        <w:t xml:space="preserve"> </w:t>
      </w:r>
      <w:r w:rsidRPr="00EA59C0">
        <w:t>by</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to</w:t>
      </w:r>
      <w:r w:rsidR="00C026A6" w:rsidRPr="00EA59C0">
        <w:t xml:space="preserve"> </w:t>
      </w:r>
      <w:r w:rsidRPr="00EA59C0">
        <w:t>monitor</w:t>
      </w:r>
      <w:r w:rsidR="00C026A6" w:rsidRPr="00EA59C0">
        <w:t xml:space="preserve"> </w:t>
      </w:r>
      <w:r w:rsidRPr="00EA59C0">
        <w:t>program</w:t>
      </w:r>
      <w:r w:rsidR="00C026A6" w:rsidRPr="00EA59C0">
        <w:t xml:space="preserve"> </w:t>
      </w:r>
      <w:r w:rsidRPr="00EA59C0">
        <w:t>performance,</w:t>
      </w:r>
      <w:r w:rsidR="00C026A6" w:rsidRPr="00EA59C0">
        <w:t xml:space="preserve"> </w:t>
      </w:r>
      <w:r w:rsidRPr="00EA59C0">
        <w:t>improve</w:t>
      </w:r>
      <w:r w:rsidR="00C026A6" w:rsidRPr="00EA59C0">
        <w:t xml:space="preserve"> </w:t>
      </w:r>
      <w:r w:rsidRPr="00EA59C0">
        <w:t>programs,</w:t>
      </w:r>
      <w:r w:rsidR="00C026A6" w:rsidRPr="00EA59C0">
        <w:t xml:space="preserve"> </w:t>
      </w:r>
      <w:r w:rsidRPr="00EA59C0">
        <w:t>eliminate</w:t>
      </w:r>
      <w:r w:rsidR="00C026A6" w:rsidRPr="00EA59C0">
        <w:t xml:space="preserve"> </w:t>
      </w:r>
      <w:r w:rsidRPr="00EA59C0">
        <w:t>ineffective</w:t>
      </w:r>
      <w:r w:rsidR="00C026A6" w:rsidRPr="00EA59C0">
        <w:t xml:space="preserve"> </w:t>
      </w:r>
      <w:r w:rsidRPr="00EA59C0">
        <w:t>programs,</w:t>
      </w:r>
      <w:r w:rsidR="00C026A6" w:rsidRPr="00EA59C0">
        <w:t xml:space="preserve"> </w:t>
      </w:r>
      <w:r w:rsidRPr="00EA59C0">
        <w:t>and</w:t>
      </w:r>
      <w:r w:rsidR="00C026A6" w:rsidRPr="00EA59C0">
        <w:t xml:space="preserve"> </w:t>
      </w:r>
      <w:r w:rsidRPr="00EA59C0">
        <w:t>improve</w:t>
      </w:r>
      <w:r w:rsidR="00C026A6" w:rsidRPr="00EA59C0">
        <w:t xml:space="preserve"> </w:t>
      </w:r>
      <w:r w:rsidRPr="00EA59C0">
        <w:t>outcomes</w:t>
      </w:r>
      <w:r w:rsidR="00C026A6" w:rsidRPr="00EA59C0">
        <w:t xml:space="preserve"> </w:t>
      </w:r>
      <w:r w:rsidRPr="00EA59C0">
        <w:t>for</w:t>
      </w:r>
      <w:r w:rsidR="00C026A6" w:rsidRPr="00EA59C0">
        <w:t xml:space="preserve"> </w:t>
      </w:r>
      <w:r w:rsidRPr="00EA59C0">
        <w:t>underrepresented</w:t>
      </w:r>
      <w:r w:rsidR="00C026A6" w:rsidRPr="00EA59C0">
        <w:t xml:space="preserve"> </w:t>
      </w:r>
      <w:r w:rsidRPr="00EA59C0">
        <w:t>groups.</w:t>
      </w:r>
    </w:p>
    <w:p w:rsidR="008C5DA4" w:rsidRPr="00EA59C0" w:rsidRDefault="008C5DA4" w:rsidP="00C072FA">
      <w:pPr>
        <w:ind w:left="720"/>
      </w:pPr>
    </w:p>
    <w:p w:rsidR="00F063CD" w:rsidRPr="00EA59C0" w:rsidRDefault="00F063CD" w:rsidP="00C072FA">
      <w:pPr>
        <w:pStyle w:val="ListParagraph"/>
        <w:numPr>
          <w:ilvl w:val="3"/>
          <w:numId w:val="17"/>
        </w:numPr>
      </w:pPr>
      <w:r w:rsidRPr="00EA59C0">
        <w:t>Estimated</w:t>
      </w:r>
      <w:r w:rsidR="00C026A6" w:rsidRPr="00EA59C0">
        <w:t xml:space="preserve"> </w:t>
      </w:r>
      <w:r w:rsidRPr="00EA59C0">
        <w:t>Costs</w:t>
      </w:r>
      <w:r w:rsidR="00C026A6" w:rsidRPr="00EA59C0">
        <w:t xml:space="preserve"> </w:t>
      </w:r>
    </w:p>
    <w:p w:rsidR="00F15AF6" w:rsidRPr="00EA59C0" w:rsidRDefault="00F063CD" w:rsidP="00C072FA">
      <w:pPr>
        <w:ind w:left="1440"/>
      </w:pPr>
      <w:r w:rsidRPr="00EA59C0">
        <w:t>Costs</w:t>
      </w:r>
      <w:r w:rsidR="00C026A6" w:rsidRPr="00EA59C0">
        <w:t xml:space="preserve"> </w:t>
      </w:r>
      <w:r w:rsidRPr="00EA59C0">
        <w:t>for</w:t>
      </w:r>
      <w:r w:rsidR="00C026A6" w:rsidRPr="00EA59C0">
        <w:t xml:space="preserve"> </w:t>
      </w:r>
      <w:r w:rsidRPr="00EA59C0">
        <w:t>creation</w:t>
      </w:r>
      <w:r w:rsidR="00C026A6" w:rsidRPr="00EA59C0">
        <w:t xml:space="preserve"> </w:t>
      </w:r>
      <w:r w:rsidRPr="00EA59C0">
        <w:t>of</w:t>
      </w:r>
      <w:r w:rsidR="00C026A6" w:rsidRPr="00EA59C0">
        <w:t xml:space="preserve"> </w:t>
      </w:r>
      <w:r w:rsidRPr="00EA59C0">
        <w:t>the</w:t>
      </w:r>
      <w:r w:rsidR="00C026A6" w:rsidRPr="00EA59C0">
        <w:t xml:space="preserve"> </w:t>
      </w:r>
      <w:r w:rsidRPr="00EA59C0">
        <w:t>scorecard</w:t>
      </w:r>
      <w:r w:rsidR="00C026A6" w:rsidRPr="00EA59C0">
        <w:t xml:space="preserve"> </w:t>
      </w:r>
      <w:r w:rsidRPr="00EA59C0">
        <w:t>can</w:t>
      </w:r>
      <w:r w:rsidR="00C026A6" w:rsidRPr="00EA59C0">
        <w:t xml:space="preserve"> </w:t>
      </w:r>
      <w:r w:rsidRPr="00EA59C0">
        <w:t>be</w:t>
      </w:r>
      <w:r w:rsidR="00C026A6" w:rsidRPr="00EA59C0">
        <w:t xml:space="preserve"> </w:t>
      </w:r>
      <w:r w:rsidRPr="00EA59C0">
        <w:t>paid</w:t>
      </w:r>
      <w:r w:rsidR="00C026A6" w:rsidRPr="00EA59C0">
        <w:t xml:space="preserve"> </w:t>
      </w:r>
      <w:r w:rsidRPr="00EA59C0">
        <w:t>for</w:t>
      </w:r>
      <w:r w:rsidR="00C026A6" w:rsidRPr="00EA59C0">
        <w:t xml:space="preserve"> </w:t>
      </w:r>
      <w:r w:rsidRPr="00EA59C0">
        <w:t>with</w:t>
      </w:r>
      <w:r w:rsidR="00C026A6" w:rsidRPr="00EA59C0">
        <w:t xml:space="preserve"> </w:t>
      </w:r>
      <w:r w:rsidRPr="00EA59C0">
        <w:t>grant</w:t>
      </w:r>
      <w:r w:rsidR="00C026A6" w:rsidRPr="00EA59C0">
        <w:t xml:space="preserve"> </w:t>
      </w:r>
      <w:r w:rsidRPr="00EA59C0">
        <w:t>funds.</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provide</w:t>
      </w:r>
      <w:r w:rsidR="00C026A6" w:rsidRPr="00EA59C0">
        <w:t xml:space="preserve"> </w:t>
      </w:r>
      <w:r w:rsidRPr="00EA59C0">
        <w:t>an</w:t>
      </w:r>
      <w:r w:rsidR="00C026A6" w:rsidRPr="00EA59C0">
        <w:t xml:space="preserve"> </w:t>
      </w:r>
      <w:r w:rsidRPr="00EA59C0">
        <w:t>estimate</w:t>
      </w:r>
      <w:r w:rsidR="00C026A6" w:rsidRPr="00EA59C0">
        <w:t xml:space="preserve"> </w:t>
      </w:r>
      <w:r w:rsidRPr="00EA59C0">
        <w:t>of</w:t>
      </w:r>
      <w:r w:rsidR="00C026A6" w:rsidRPr="00EA59C0">
        <w:t xml:space="preserve"> </w:t>
      </w:r>
      <w:r w:rsidRPr="00EA59C0">
        <w:t>the</w:t>
      </w:r>
      <w:r w:rsidR="00C026A6" w:rsidRPr="00EA59C0">
        <w:t xml:space="preserve"> </w:t>
      </w:r>
      <w:r w:rsidRPr="00EA59C0">
        <w:t>cost</w:t>
      </w:r>
      <w:r w:rsidR="00C026A6" w:rsidRPr="00EA59C0">
        <w:t xml:space="preserve"> </w:t>
      </w:r>
      <w:r w:rsidRPr="00EA59C0">
        <w:t>associated</w:t>
      </w:r>
      <w:r w:rsidR="00C026A6" w:rsidRPr="00EA59C0">
        <w:t xml:space="preserve"> </w:t>
      </w:r>
      <w:r w:rsidRPr="00EA59C0">
        <w:t>with</w:t>
      </w:r>
      <w:r w:rsidR="00C026A6" w:rsidRPr="00EA59C0">
        <w:t xml:space="preserve"> </w:t>
      </w:r>
      <w:r w:rsidRPr="00EA59C0">
        <w:t>this</w:t>
      </w:r>
      <w:r w:rsidR="00C026A6" w:rsidRPr="00EA59C0">
        <w:t xml:space="preserve"> </w:t>
      </w:r>
      <w:r w:rsidRPr="00EA59C0">
        <w:t>requirement.</w:t>
      </w:r>
      <w:r w:rsidR="00C026A6" w:rsidRPr="00EA59C0">
        <w:t xml:space="preserve">  </w:t>
      </w:r>
      <w:r w:rsidRPr="00EA59C0">
        <w:t>Please</w:t>
      </w:r>
      <w:r w:rsidR="00C026A6" w:rsidRPr="00EA59C0">
        <w:t xml:space="preserve"> </w:t>
      </w:r>
      <w:r w:rsidRPr="00EA59C0">
        <w:t>note</w:t>
      </w:r>
      <w:r w:rsidR="00C026A6" w:rsidRPr="00EA59C0">
        <w:t xml:space="preserve"> </w:t>
      </w:r>
      <w:r w:rsidRPr="00EA59C0">
        <w:t>that</w:t>
      </w:r>
      <w:r w:rsidR="00C026A6" w:rsidRPr="00EA59C0">
        <w:t xml:space="preserve"> </w:t>
      </w:r>
      <w:r w:rsidRPr="00EA59C0">
        <w:t>costs</w:t>
      </w:r>
      <w:r w:rsidR="00C026A6" w:rsidRPr="00EA59C0">
        <w:t xml:space="preserve"> </w:t>
      </w:r>
      <w:r w:rsidRPr="00EA59C0">
        <w:t>for</w:t>
      </w:r>
      <w:r w:rsidR="00C026A6" w:rsidRPr="00EA59C0">
        <w:t xml:space="preserve"> </w:t>
      </w:r>
      <w:r w:rsidRPr="00EA59C0">
        <w:t>this</w:t>
      </w:r>
      <w:r w:rsidR="00C026A6" w:rsidRPr="00EA59C0">
        <w:t xml:space="preserve"> </w:t>
      </w:r>
      <w:r w:rsidRPr="00EA59C0">
        <w:t>scorecard</w:t>
      </w:r>
      <w:r w:rsidR="00C026A6" w:rsidRPr="00EA59C0">
        <w:t xml:space="preserve"> </w:t>
      </w:r>
      <w:r w:rsidRPr="00EA59C0">
        <w:t>must</w:t>
      </w:r>
      <w:r w:rsidR="00C026A6" w:rsidRPr="00EA59C0">
        <w:t xml:space="preserve"> </w:t>
      </w:r>
      <w:r w:rsidRPr="00EA59C0">
        <w:t>be</w:t>
      </w:r>
      <w:r w:rsidR="00C026A6" w:rsidRPr="00EA59C0">
        <w:t xml:space="preserve"> </w:t>
      </w:r>
      <w:r w:rsidRPr="00EA59C0">
        <w:t>included</w:t>
      </w:r>
      <w:r w:rsidR="00C026A6" w:rsidRPr="00EA59C0">
        <w:t xml:space="preserve"> </w:t>
      </w:r>
      <w:r w:rsidRPr="00EA59C0">
        <w:t>together</w:t>
      </w:r>
      <w:r w:rsidR="00C026A6" w:rsidRPr="00EA59C0">
        <w:t xml:space="preserve"> </w:t>
      </w:r>
      <w:r w:rsidRPr="00EA59C0">
        <w:t>with</w:t>
      </w:r>
      <w:r w:rsidR="00C026A6" w:rsidRPr="00EA59C0">
        <w:t xml:space="preserve"> </w:t>
      </w:r>
      <w:r w:rsidRPr="00EA59C0">
        <w:t>the</w:t>
      </w:r>
      <w:r w:rsidR="00C026A6" w:rsidRPr="00EA59C0">
        <w:t xml:space="preserve"> </w:t>
      </w:r>
      <w:r w:rsidRPr="00EA59C0">
        <w:t>other</w:t>
      </w:r>
      <w:r w:rsidR="00C026A6" w:rsidRPr="00EA59C0">
        <w:t xml:space="preserve"> </w:t>
      </w:r>
      <w:r w:rsidRPr="00EA59C0">
        <w:t>grant</w:t>
      </w:r>
      <w:r w:rsidR="00C026A6" w:rsidRPr="00EA59C0">
        <w:t xml:space="preserve"> </w:t>
      </w:r>
      <w:r w:rsidRPr="00EA59C0">
        <w:t>activities</w:t>
      </w:r>
      <w:r w:rsidR="00C026A6" w:rsidRPr="00EA59C0">
        <w:t xml:space="preserve"> </w:t>
      </w:r>
      <w:r w:rsidRPr="00EA59C0">
        <w:t>on</w:t>
      </w:r>
      <w:r w:rsidR="00C026A6" w:rsidRPr="00EA59C0">
        <w:t xml:space="preserve"> </w:t>
      </w:r>
      <w:r w:rsidRPr="00EA59C0">
        <w:t>the</w:t>
      </w:r>
      <w:r w:rsidR="00C026A6" w:rsidRPr="00EA59C0">
        <w:t xml:space="preserve"> </w:t>
      </w:r>
      <w:r w:rsidRPr="00EA59C0">
        <w:t>SF-424</w:t>
      </w:r>
      <w:r w:rsidR="00C026A6" w:rsidRPr="00EA59C0">
        <w:t xml:space="preserve"> </w:t>
      </w:r>
      <w:r w:rsidRPr="00EA59C0">
        <w:t>and</w:t>
      </w:r>
      <w:r w:rsidR="00C026A6" w:rsidRPr="00EA59C0">
        <w:t xml:space="preserve"> </w:t>
      </w:r>
      <w:r w:rsidRPr="00EA59C0">
        <w:t>SF-424A</w:t>
      </w:r>
      <w:r w:rsidR="00C026A6" w:rsidRPr="00EA59C0">
        <w:t xml:space="preserve"> </w:t>
      </w:r>
      <w:r w:rsidRPr="00EA59C0">
        <w:t>forms.</w:t>
      </w:r>
      <w:r w:rsidR="00C026A6" w:rsidRPr="00EA59C0">
        <w:t xml:space="preserve">  </w:t>
      </w:r>
      <w:r w:rsidRPr="00EA59C0">
        <w:t>The</w:t>
      </w:r>
      <w:r w:rsidR="00C026A6" w:rsidRPr="00EA59C0">
        <w:t xml:space="preserve"> </w:t>
      </w:r>
      <w:r w:rsidRPr="00EA59C0">
        <w:t>cost</w:t>
      </w:r>
      <w:r w:rsidR="00C026A6" w:rsidRPr="00EA59C0">
        <w:t xml:space="preserve"> </w:t>
      </w:r>
      <w:r w:rsidRPr="00EA59C0">
        <w:t>for</w:t>
      </w:r>
      <w:r w:rsidR="00C026A6" w:rsidRPr="00EA59C0">
        <w:t xml:space="preserve"> </w:t>
      </w:r>
      <w:r w:rsidRPr="00EA59C0">
        <w:t>this</w:t>
      </w:r>
      <w:r w:rsidR="00C026A6" w:rsidRPr="00EA59C0">
        <w:t xml:space="preserve"> </w:t>
      </w:r>
      <w:r w:rsidRPr="00EA59C0">
        <w:t>component</w:t>
      </w:r>
      <w:r w:rsidR="00C026A6" w:rsidRPr="00EA59C0">
        <w:t xml:space="preserve"> </w:t>
      </w:r>
      <w:r w:rsidRPr="00EA59C0">
        <w:t>of</w:t>
      </w:r>
      <w:r w:rsidR="00C026A6" w:rsidRPr="00EA59C0">
        <w:t xml:space="preserve"> </w:t>
      </w:r>
      <w:r w:rsidRPr="00EA59C0">
        <w:t>the</w:t>
      </w:r>
      <w:r w:rsidR="00C026A6" w:rsidRPr="00EA59C0">
        <w:t xml:space="preserve"> </w:t>
      </w:r>
      <w:r w:rsidRPr="00EA59C0">
        <w:t>grant</w:t>
      </w:r>
      <w:r w:rsidR="00C026A6" w:rsidRPr="00EA59C0">
        <w:t xml:space="preserve"> </w:t>
      </w:r>
      <w:r w:rsidRPr="00EA59C0">
        <w:t>must</w:t>
      </w:r>
      <w:r w:rsidR="00C026A6" w:rsidRPr="00EA59C0">
        <w:t xml:space="preserve"> </w:t>
      </w:r>
      <w:r w:rsidRPr="00EA59C0">
        <w:t>not</w:t>
      </w:r>
      <w:r w:rsidR="00C026A6" w:rsidRPr="00EA59C0">
        <w:t xml:space="preserve"> </w:t>
      </w:r>
      <w:r w:rsidRPr="00EA59C0">
        <w:t>exceed</w:t>
      </w:r>
      <w:r w:rsidR="00C026A6" w:rsidRPr="00EA59C0">
        <w:t xml:space="preserve"> </w:t>
      </w:r>
      <w:r w:rsidRPr="00EA59C0">
        <w:t>two</w:t>
      </w:r>
      <w:r w:rsidR="00C026A6" w:rsidRPr="00EA59C0">
        <w:t xml:space="preserve"> </w:t>
      </w:r>
      <w:r w:rsidRPr="00EA59C0">
        <w:t>percent</w:t>
      </w:r>
      <w:r w:rsidR="00C026A6" w:rsidRPr="00EA59C0">
        <w:t xml:space="preserve"> </w:t>
      </w:r>
      <w:r w:rsidRPr="00EA59C0">
        <w:t>of</w:t>
      </w:r>
      <w:r w:rsidR="00C026A6" w:rsidRPr="00EA59C0">
        <w:t xml:space="preserve"> </w:t>
      </w:r>
      <w:r w:rsidRPr="00EA59C0">
        <w:t>the</w:t>
      </w:r>
      <w:r w:rsidR="00C026A6" w:rsidRPr="00EA59C0">
        <w:t xml:space="preserve"> </w:t>
      </w:r>
      <w:r w:rsidRPr="00EA59C0">
        <w:t>total</w:t>
      </w:r>
      <w:r w:rsidR="00C026A6" w:rsidRPr="00EA59C0">
        <w:t xml:space="preserve"> </w:t>
      </w:r>
      <w:r w:rsidRPr="00EA59C0">
        <w:t>proposed</w:t>
      </w:r>
      <w:r w:rsidR="00C026A6" w:rsidRPr="00EA59C0">
        <w:t xml:space="preserve"> </w:t>
      </w:r>
      <w:r w:rsidRPr="00EA59C0">
        <w:t>budget</w:t>
      </w:r>
      <w:r w:rsidR="00C026A6" w:rsidRPr="00EA59C0">
        <w:t xml:space="preserve"> </w:t>
      </w:r>
      <w:r w:rsidRPr="00EA59C0">
        <w:t>for</w:t>
      </w:r>
      <w:r w:rsidR="00C026A6" w:rsidRPr="00EA59C0">
        <w:t xml:space="preserve"> </w:t>
      </w:r>
      <w:r w:rsidRPr="00EA59C0">
        <w:t>the</w:t>
      </w:r>
      <w:r w:rsidR="00C026A6" w:rsidRPr="00EA59C0">
        <w:t xml:space="preserve"> </w:t>
      </w:r>
      <w:r w:rsidRPr="00EA59C0">
        <w:t>grant.</w:t>
      </w:r>
    </w:p>
    <w:p w:rsidR="00F063CD" w:rsidRPr="00EA59C0" w:rsidRDefault="00F063CD" w:rsidP="00C072FA"/>
    <w:p w:rsidR="008C5DA4" w:rsidRPr="00EA59C0" w:rsidRDefault="008C5DA4" w:rsidP="004913DF">
      <w:pPr>
        <w:pStyle w:val="Heading1"/>
        <w:numPr>
          <w:ilvl w:val="2"/>
          <w:numId w:val="17"/>
        </w:numPr>
        <w:spacing w:line="240" w:lineRule="auto"/>
        <w:rPr>
          <w:rFonts w:ascii="Times New Roman" w:hAnsi="Times New Roman"/>
          <w:b w:val="0"/>
        </w:rPr>
      </w:pPr>
      <w:r w:rsidRPr="00EA59C0">
        <w:rPr>
          <w:rFonts w:ascii="Times New Roman" w:hAnsi="Times New Roman"/>
          <w:b w:val="0"/>
        </w:rPr>
        <w:t>Employment</w:t>
      </w:r>
      <w:r w:rsidR="00C026A6" w:rsidRPr="00EA59C0">
        <w:rPr>
          <w:rFonts w:ascii="Times New Roman" w:hAnsi="Times New Roman"/>
          <w:b w:val="0"/>
        </w:rPr>
        <w:t xml:space="preserve"> </w:t>
      </w:r>
      <w:r w:rsidRPr="00EA59C0">
        <w:rPr>
          <w:rFonts w:ascii="Times New Roman" w:hAnsi="Times New Roman"/>
          <w:b w:val="0"/>
        </w:rPr>
        <w:t>Results</w:t>
      </w:r>
      <w:r w:rsidR="00C026A6" w:rsidRPr="00EA59C0">
        <w:rPr>
          <w:rFonts w:ascii="Times New Roman" w:hAnsi="Times New Roman"/>
          <w:b w:val="0"/>
        </w:rPr>
        <w:t xml:space="preserve"> </w:t>
      </w:r>
      <w:r w:rsidRPr="00EA59C0">
        <w:rPr>
          <w:rFonts w:ascii="Times New Roman" w:hAnsi="Times New Roman"/>
          <w:b w:val="0"/>
        </w:rPr>
        <w:t>Scorecard</w:t>
      </w:r>
      <w:r w:rsidR="00C026A6" w:rsidRPr="00EA59C0">
        <w:rPr>
          <w:rFonts w:ascii="Times New Roman" w:hAnsi="Times New Roman"/>
          <w:b w:val="0"/>
        </w:rPr>
        <w:t xml:space="preserve"> </w:t>
      </w:r>
      <w:r w:rsidRPr="00EA59C0">
        <w:rPr>
          <w:rFonts w:ascii="Times New Roman" w:hAnsi="Times New Roman"/>
          <w:b w:val="0"/>
        </w:rPr>
        <w:t>Continuous</w:t>
      </w:r>
      <w:r w:rsidR="00C026A6" w:rsidRPr="00EA59C0">
        <w:rPr>
          <w:rFonts w:ascii="Times New Roman" w:hAnsi="Times New Roman"/>
          <w:b w:val="0"/>
        </w:rPr>
        <w:t xml:space="preserve"> </w:t>
      </w:r>
      <w:r w:rsidRPr="00EA59C0">
        <w:rPr>
          <w:rFonts w:ascii="Times New Roman" w:hAnsi="Times New Roman"/>
          <w:b w:val="0"/>
        </w:rPr>
        <w:t>Improvement</w:t>
      </w:r>
      <w:r w:rsidR="00C026A6" w:rsidRPr="00EA59C0">
        <w:rPr>
          <w:rFonts w:ascii="Times New Roman" w:hAnsi="Times New Roman"/>
          <w:b w:val="0"/>
        </w:rPr>
        <w:t xml:space="preserve"> </w:t>
      </w:r>
      <w:r w:rsidRPr="00EA59C0">
        <w:rPr>
          <w:rFonts w:ascii="Times New Roman" w:hAnsi="Times New Roman"/>
          <w:b w:val="0"/>
        </w:rPr>
        <w:t>Plan</w:t>
      </w:r>
      <w:r w:rsidR="00C026A6" w:rsidRPr="00EA59C0">
        <w:rPr>
          <w:rFonts w:ascii="Times New Roman" w:hAnsi="Times New Roman"/>
          <w:b w:val="0"/>
        </w:rPr>
        <w:t xml:space="preserve"> </w:t>
      </w:r>
      <w:r w:rsidRPr="00EA59C0">
        <w:rPr>
          <w:rFonts w:ascii="Times New Roman" w:hAnsi="Times New Roman"/>
          <w:b w:val="0"/>
        </w:rPr>
        <w:t>(for</w:t>
      </w:r>
      <w:r w:rsidR="00C026A6" w:rsidRPr="00EA59C0">
        <w:rPr>
          <w:rFonts w:ascii="Times New Roman" w:hAnsi="Times New Roman"/>
          <w:b w:val="0"/>
        </w:rPr>
        <w:t xml:space="preserve"> </w:t>
      </w:r>
      <w:r w:rsidR="0045782E" w:rsidRPr="00EA59C0">
        <w:rPr>
          <w:rFonts w:ascii="Times New Roman" w:hAnsi="Times New Roman"/>
          <w:b w:val="0"/>
        </w:rPr>
        <w:t>Regional</w:t>
      </w:r>
      <w:r w:rsidR="00C026A6" w:rsidRPr="00EA59C0">
        <w:rPr>
          <w:rFonts w:ascii="Times New Roman" w:hAnsi="Times New Roman"/>
          <w:b w:val="0"/>
        </w:rPr>
        <w:t xml:space="preserve"> </w:t>
      </w:r>
      <w:r w:rsidRPr="00EA59C0">
        <w:rPr>
          <w:rFonts w:ascii="Times New Roman" w:hAnsi="Times New Roman"/>
          <w:b w:val="0"/>
        </w:rPr>
        <w:t>Multi-State</w:t>
      </w:r>
      <w:r w:rsidR="00C026A6" w:rsidRPr="00EA59C0">
        <w:rPr>
          <w:rFonts w:ascii="Times New Roman" w:hAnsi="Times New Roman"/>
          <w:b w:val="0"/>
        </w:rPr>
        <w:t xml:space="preserve"> </w:t>
      </w:r>
      <w:r w:rsidRPr="00EA59C0">
        <w:rPr>
          <w:rFonts w:ascii="Times New Roman" w:hAnsi="Times New Roman"/>
          <w:b w:val="0"/>
        </w:rPr>
        <w:t>Consortium</w:t>
      </w:r>
      <w:r w:rsidR="00C026A6" w:rsidRPr="00EA59C0">
        <w:rPr>
          <w:rFonts w:ascii="Times New Roman" w:hAnsi="Times New Roman"/>
          <w:b w:val="0"/>
        </w:rPr>
        <w:t xml:space="preserve"> </w:t>
      </w:r>
      <w:r w:rsidRPr="00EA59C0">
        <w:rPr>
          <w:rFonts w:ascii="Times New Roman" w:hAnsi="Times New Roman"/>
          <w:b w:val="0"/>
        </w:rPr>
        <w:t>Applicants)</w:t>
      </w:r>
    </w:p>
    <w:p w:rsidR="004234E7" w:rsidRPr="00EA59C0" w:rsidRDefault="004234E7" w:rsidP="00C072FA">
      <w:pPr>
        <w:widowControl w:val="0"/>
        <w:tabs>
          <w:tab w:val="left" w:pos="360"/>
        </w:tabs>
        <w:ind w:left="1080"/>
      </w:pPr>
    </w:p>
    <w:p w:rsidR="00C07325" w:rsidRPr="00EA59C0" w:rsidRDefault="008C5DA4" w:rsidP="00C072FA">
      <w:pPr>
        <w:widowControl w:val="0"/>
        <w:tabs>
          <w:tab w:val="left" w:pos="360"/>
        </w:tabs>
        <w:ind w:left="1080"/>
      </w:pPr>
      <w:r w:rsidRPr="00EA59C0">
        <w:t>Applicants</w:t>
      </w:r>
      <w:r w:rsidR="00C026A6" w:rsidRPr="00EA59C0">
        <w:t xml:space="preserve"> </w:t>
      </w:r>
      <w:r w:rsidRPr="00EA59C0">
        <w:t>applying</w:t>
      </w:r>
      <w:r w:rsidR="00C026A6" w:rsidRPr="00EA59C0">
        <w:t xml:space="preserve"> </w:t>
      </w:r>
      <w:r w:rsidRPr="00EA59C0">
        <w:t>as</w:t>
      </w:r>
      <w:r w:rsidR="00C026A6" w:rsidRPr="00EA59C0">
        <w:t xml:space="preserve"> </w:t>
      </w:r>
      <w:r w:rsidRPr="00EA59C0">
        <w:t>single</w:t>
      </w:r>
      <w:r w:rsidR="00C026A6" w:rsidRPr="00EA59C0">
        <w:t xml:space="preserve"> </w:t>
      </w:r>
      <w:r w:rsidRPr="00EA59C0">
        <w:t>institutions</w:t>
      </w:r>
      <w:r w:rsidR="00C026A6" w:rsidRPr="00EA59C0">
        <w:t xml:space="preserve"> </w:t>
      </w:r>
      <w:r w:rsidRPr="00EA59C0">
        <w:t>or</w:t>
      </w:r>
      <w:r w:rsidR="00C026A6" w:rsidRPr="00EA59C0">
        <w:t xml:space="preserve"> </w:t>
      </w:r>
      <w:r w:rsidRPr="00EA59C0">
        <w:t>single-state</w:t>
      </w:r>
      <w:r w:rsidR="00C026A6" w:rsidRPr="00EA59C0">
        <w:t xml:space="preserve"> </w:t>
      </w:r>
      <w:r w:rsidR="007863A9" w:rsidRPr="00EA59C0">
        <w:t>consortia</w:t>
      </w:r>
      <w:r w:rsidR="00C026A6" w:rsidRPr="00EA59C0">
        <w:t xml:space="preserve"> </w:t>
      </w:r>
      <w:r w:rsidRPr="00EA59C0">
        <w:t>sh</w:t>
      </w:r>
      <w:r w:rsidR="004234E7" w:rsidRPr="00EA59C0">
        <w:t>all</w:t>
      </w:r>
      <w:r w:rsidR="00C026A6" w:rsidRPr="00EA59C0">
        <w:t xml:space="preserve"> </w:t>
      </w:r>
      <w:r w:rsidRPr="00EA59C0">
        <w:t>not</w:t>
      </w:r>
      <w:r w:rsidR="00C026A6" w:rsidRPr="00EA59C0">
        <w:t xml:space="preserve"> </w:t>
      </w:r>
      <w:r w:rsidRPr="00EA59C0">
        <w:t>provide</w:t>
      </w:r>
      <w:r w:rsidR="00C026A6" w:rsidRPr="00EA59C0">
        <w:t xml:space="preserve"> </w:t>
      </w:r>
      <w:r w:rsidRPr="00EA59C0">
        <w:t>a</w:t>
      </w:r>
      <w:r w:rsidR="00C026A6" w:rsidRPr="00EA59C0">
        <w:t xml:space="preserve"> </w:t>
      </w:r>
      <w:r w:rsidRPr="00EA59C0">
        <w:t>response</w:t>
      </w:r>
      <w:r w:rsidR="00C026A6" w:rsidRPr="00EA59C0">
        <w:t xml:space="preserve"> </w:t>
      </w:r>
      <w:r w:rsidRPr="00EA59C0">
        <w:t>to</w:t>
      </w:r>
      <w:r w:rsidR="00C026A6" w:rsidRPr="00EA59C0">
        <w:t xml:space="preserve"> </w:t>
      </w:r>
      <w:r w:rsidRPr="00EA59C0">
        <w:t>this</w:t>
      </w:r>
      <w:r w:rsidR="00C026A6" w:rsidRPr="00EA59C0">
        <w:t xml:space="preserve"> </w:t>
      </w:r>
      <w:r w:rsidRPr="00EA59C0">
        <w:t>specific</w:t>
      </w:r>
      <w:r w:rsidR="00C026A6" w:rsidRPr="00EA59C0">
        <w:t xml:space="preserve"> </w:t>
      </w:r>
      <w:r w:rsidRPr="00EA59C0">
        <w:t>requirement.</w:t>
      </w:r>
    </w:p>
    <w:p w:rsidR="00C07325" w:rsidRPr="00EA59C0" w:rsidRDefault="00C07325" w:rsidP="00C072FA">
      <w:pPr>
        <w:widowControl w:val="0"/>
        <w:tabs>
          <w:tab w:val="left" w:pos="360"/>
        </w:tabs>
        <w:ind w:left="1080"/>
      </w:pPr>
    </w:p>
    <w:p w:rsidR="008C5DA4" w:rsidRPr="00EA59C0" w:rsidRDefault="008C5DA4" w:rsidP="00C072FA">
      <w:pPr>
        <w:widowControl w:val="0"/>
        <w:tabs>
          <w:tab w:val="left" w:pos="360"/>
        </w:tabs>
        <w:ind w:left="1080"/>
      </w:pPr>
      <w:r w:rsidRPr="00EA59C0">
        <w:t>Multi-state</w:t>
      </w:r>
      <w:r w:rsidR="00C026A6" w:rsidRPr="00EA59C0">
        <w:t xml:space="preserve"> </w:t>
      </w:r>
      <w:r w:rsidRPr="00EA59C0">
        <w:t>consortia</w:t>
      </w:r>
      <w:r w:rsidR="00C026A6" w:rsidRPr="00EA59C0">
        <w:t xml:space="preserve"> </w:t>
      </w:r>
      <w:r w:rsidRPr="00EA59C0">
        <w:t>are</w:t>
      </w:r>
      <w:r w:rsidR="00C026A6" w:rsidRPr="00EA59C0">
        <w:t xml:space="preserve"> </w:t>
      </w:r>
      <w:r w:rsidRPr="00EA59C0">
        <w:t>required</w:t>
      </w:r>
      <w:r w:rsidR="00C026A6" w:rsidRPr="00EA59C0">
        <w:t xml:space="preserve"> </w:t>
      </w:r>
      <w:r w:rsidRPr="00EA59C0">
        <w:t>to</w:t>
      </w:r>
      <w:r w:rsidR="00C026A6" w:rsidRPr="00EA59C0">
        <w:t xml:space="preserve"> </w:t>
      </w:r>
      <w:r w:rsidRPr="00EA59C0">
        <w:t>submit</w:t>
      </w:r>
      <w:r w:rsidR="00C026A6" w:rsidRPr="00EA59C0">
        <w:t xml:space="preserve"> </w:t>
      </w:r>
      <w:r w:rsidRPr="00EA59C0">
        <w:t>a</w:t>
      </w:r>
      <w:r w:rsidR="00C026A6" w:rsidRPr="00EA59C0">
        <w:t xml:space="preserve"> </w:t>
      </w:r>
      <w:r w:rsidRPr="00EA59C0">
        <w:t>plan</w:t>
      </w:r>
      <w:r w:rsidR="00C026A6" w:rsidRPr="00EA59C0">
        <w:t xml:space="preserve"> </w:t>
      </w:r>
      <w:r w:rsidRPr="00EA59C0">
        <w:t>that</w:t>
      </w:r>
      <w:r w:rsidR="00C026A6" w:rsidRPr="00EA59C0">
        <w:t xml:space="preserve"> </w:t>
      </w:r>
      <w:r w:rsidRPr="00EA59C0">
        <w:t>explains</w:t>
      </w:r>
      <w:r w:rsidR="00C026A6" w:rsidRPr="00EA59C0">
        <w:t xml:space="preserve"> </w:t>
      </w:r>
      <w:r w:rsidRPr="00EA59C0">
        <w:t>how</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will</w:t>
      </w:r>
      <w:r w:rsidR="00C026A6" w:rsidRPr="00EA59C0">
        <w:t xml:space="preserve"> </w:t>
      </w:r>
      <w:r w:rsidRPr="00EA59C0">
        <w:t>work</w:t>
      </w:r>
      <w:r w:rsidR="00C026A6" w:rsidRPr="00EA59C0">
        <w:t xml:space="preserve"> </w:t>
      </w:r>
      <w:r w:rsidRPr="00EA59C0">
        <w:t>toward</w:t>
      </w:r>
      <w:r w:rsidR="00C026A6" w:rsidRPr="00EA59C0">
        <w:t xml:space="preserve"> </w:t>
      </w:r>
      <w:r w:rsidRPr="00EA59C0">
        <w:t>developing</w:t>
      </w:r>
      <w:r w:rsidR="00C026A6" w:rsidRPr="00EA59C0">
        <w:t xml:space="preserve"> </w:t>
      </w:r>
      <w:r w:rsidRPr="00EA59C0">
        <w:t>an</w:t>
      </w:r>
      <w:r w:rsidR="00C026A6" w:rsidRPr="00EA59C0">
        <w:t xml:space="preserve"> </w:t>
      </w:r>
      <w:r w:rsidRPr="00EA59C0">
        <w:t>employment</w:t>
      </w:r>
      <w:r w:rsidR="00C026A6" w:rsidRPr="00EA59C0">
        <w:t xml:space="preserve"> </w:t>
      </w:r>
      <w:r w:rsidRPr="00EA59C0">
        <w:t>results</w:t>
      </w:r>
      <w:r w:rsidR="00C026A6" w:rsidRPr="00EA59C0">
        <w:t xml:space="preserve"> </w:t>
      </w:r>
      <w:r w:rsidRPr="00EA59C0">
        <w:t>scorecard</w:t>
      </w:r>
      <w:r w:rsidR="001C339E" w:rsidRPr="00EA59C0">
        <w:t>.</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recognizes</w:t>
      </w:r>
      <w:r w:rsidR="00C026A6" w:rsidRPr="00EA59C0">
        <w:t xml:space="preserve"> </w:t>
      </w:r>
      <w:r w:rsidRPr="00EA59C0">
        <w:t>the</w:t>
      </w:r>
      <w:r w:rsidR="00C026A6" w:rsidRPr="00EA59C0">
        <w:t xml:space="preserve"> </w:t>
      </w:r>
      <w:r w:rsidRPr="00EA59C0">
        <w:t>extra</w:t>
      </w:r>
      <w:r w:rsidR="00C026A6" w:rsidRPr="00EA59C0">
        <w:t xml:space="preserve"> </w:t>
      </w:r>
      <w:r w:rsidRPr="00EA59C0">
        <w:t>challenges</w:t>
      </w:r>
      <w:r w:rsidR="00C026A6" w:rsidRPr="00EA59C0">
        <w:t xml:space="preserve"> </w:t>
      </w:r>
      <w:r w:rsidRPr="00EA59C0">
        <w:t>of</w:t>
      </w:r>
      <w:r w:rsidR="00C026A6" w:rsidRPr="00EA59C0">
        <w:t xml:space="preserve"> </w:t>
      </w:r>
      <w:r w:rsidRPr="00EA59C0">
        <w:t>understanding</w:t>
      </w:r>
      <w:r w:rsidR="00C026A6" w:rsidRPr="00EA59C0">
        <w:t xml:space="preserve"> </w:t>
      </w:r>
      <w:r w:rsidRPr="00EA59C0">
        <w:t>and</w:t>
      </w:r>
      <w:r w:rsidR="00C026A6" w:rsidRPr="00EA59C0">
        <w:t xml:space="preserve"> </w:t>
      </w:r>
      <w:r w:rsidRPr="00EA59C0">
        <w:t>applying</w:t>
      </w:r>
      <w:r w:rsidR="00C026A6" w:rsidRPr="00EA59C0">
        <w:t xml:space="preserve"> </w:t>
      </w:r>
      <w:r w:rsidR="004145F5" w:rsidRPr="00EA59C0">
        <w:t>s</w:t>
      </w:r>
      <w:r w:rsidRPr="00EA59C0">
        <w:t>tate</w:t>
      </w:r>
      <w:r w:rsidR="00C026A6" w:rsidRPr="00EA59C0">
        <w:t xml:space="preserve"> </w:t>
      </w:r>
      <w:r w:rsidRPr="00EA59C0">
        <w:t>laws</w:t>
      </w:r>
      <w:r w:rsidR="00C026A6" w:rsidRPr="00EA59C0">
        <w:t xml:space="preserve"> </w:t>
      </w:r>
      <w:r w:rsidRPr="00EA59C0">
        <w:t>across</w:t>
      </w:r>
      <w:r w:rsidR="00C026A6" w:rsidRPr="00EA59C0">
        <w:t xml:space="preserve"> </w:t>
      </w:r>
      <w:r w:rsidRPr="00EA59C0">
        <w:t>the</w:t>
      </w:r>
      <w:r w:rsidR="00C026A6" w:rsidRPr="00EA59C0">
        <w:t xml:space="preserve"> </w:t>
      </w:r>
      <w:r w:rsidRPr="00EA59C0">
        <w:t>various</w:t>
      </w:r>
      <w:r w:rsidR="00C026A6" w:rsidRPr="00EA59C0">
        <w:t xml:space="preserve"> </w:t>
      </w:r>
      <w:r w:rsidRPr="00EA59C0">
        <w:t>states</w:t>
      </w:r>
      <w:r w:rsidR="00C026A6" w:rsidRPr="00EA59C0">
        <w:t xml:space="preserve"> </w:t>
      </w:r>
      <w:r w:rsidRPr="00EA59C0">
        <w:t>to</w:t>
      </w:r>
      <w:r w:rsidR="00C026A6" w:rsidRPr="00EA59C0">
        <w:t xml:space="preserve"> </w:t>
      </w:r>
      <w:r w:rsidRPr="00EA59C0">
        <w:t>obtain</w:t>
      </w:r>
      <w:r w:rsidR="00C026A6" w:rsidRPr="00EA59C0">
        <w:t xml:space="preserve"> </w:t>
      </w:r>
      <w:r w:rsidRPr="00EA59C0">
        <w:t>and</w:t>
      </w:r>
      <w:r w:rsidR="00C026A6" w:rsidRPr="00EA59C0">
        <w:t xml:space="preserve"> </w:t>
      </w:r>
      <w:r w:rsidRPr="00EA59C0">
        <w:t>report</w:t>
      </w:r>
      <w:r w:rsidR="00C026A6" w:rsidRPr="00EA59C0">
        <w:t xml:space="preserve"> </w:t>
      </w:r>
      <w:r w:rsidRPr="00EA59C0">
        <w:t>data</w:t>
      </w:r>
      <w:r w:rsidR="00C026A6" w:rsidRPr="00EA59C0">
        <w:t xml:space="preserve"> </w:t>
      </w:r>
      <w:r w:rsidRPr="00EA59C0">
        <w:t>on</w:t>
      </w:r>
      <w:r w:rsidR="00C026A6" w:rsidRPr="00EA59C0">
        <w:t xml:space="preserve"> </w:t>
      </w:r>
      <w:r w:rsidRPr="00EA59C0">
        <w:t>employment</w:t>
      </w:r>
      <w:r w:rsidR="00C026A6" w:rsidRPr="00EA59C0">
        <w:t xml:space="preserve"> </w:t>
      </w:r>
      <w:r w:rsidRPr="00EA59C0">
        <w:t>outcomes.</w:t>
      </w:r>
      <w:r w:rsidR="00C026A6" w:rsidRPr="00EA59C0">
        <w:t xml:space="preserve">  </w:t>
      </w:r>
      <w:r w:rsidRPr="00EA59C0">
        <w:t>However,</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believes</w:t>
      </w:r>
      <w:r w:rsidR="00C026A6" w:rsidRPr="00EA59C0">
        <w:t xml:space="preserve"> </w:t>
      </w:r>
      <w:r w:rsidRPr="00EA59C0">
        <w:t>that</w:t>
      </w:r>
      <w:r w:rsidR="00C026A6" w:rsidRPr="00EA59C0">
        <w:t xml:space="preserve"> </w:t>
      </w:r>
      <w:r w:rsidRPr="00EA59C0">
        <w:t>establishing</w:t>
      </w:r>
      <w:r w:rsidR="00C026A6" w:rsidRPr="00EA59C0">
        <w:t xml:space="preserve"> </w:t>
      </w:r>
      <w:r w:rsidRPr="00EA59C0">
        <w:t>a</w:t>
      </w:r>
      <w:r w:rsidR="00C026A6" w:rsidRPr="00EA59C0">
        <w:t xml:space="preserve"> </w:t>
      </w:r>
      <w:r w:rsidRPr="00EA59C0">
        <w:t>system</w:t>
      </w:r>
      <w:r w:rsidR="00C026A6" w:rsidRPr="00EA59C0">
        <w:t xml:space="preserve"> </w:t>
      </w:r>
      <w:r w:rsidRPr="00EA59C0">
        <w:t>to</w:t>
      </w:r>
      <w:r w:rsidR="00C026A6" w:rsidRPr="00EA59C0">
        <w:t xml:space="preserve"> </w:t>
      </w:r>
      <w:r w:rsidRPr="00EA59C0">
        <w:t>report</w:t>
      </w:r>
      <w:r w:rsidR="00C026A6" w:rsidRPr="00EA59C0">
        <w:t xml:space="preserve"> </w:t>
      </w:r>
      <w:r w:rsidRPr="00EA59C0">
        <w:t>on</w:t>
      </w:r>
      <w:r w:rsidR="00C026A6" w:rsidRPr="00EA59C0">
        <w:t xml:space="preserve"> </w:t>
      </w:r>
      <w:r w:rsidRPr="00EA59C0">
        <w:t>student</w:t>
      </w:r>
      <w:r w:rsidR="00C026A6" w:rsidRPr="00EA59C0">
        <w:t xml:space="preserve"> </w:t>
      </w:r>
      <w:r w:rsidRPr="00EA59C0">
        <w:t>outcomes,</w:t>
      </w:r>
      <w:r w:rsidR="00C026A6" w:rsidRPr="00EA59C0">
        <w:t xml:space="preserve"> </w:t>
      </w:r>
      <w:r w:rsidRPr="00EA59C0">
        <w:t>such</w:t>
      </w:r>
      <w:r w:rsidR="00C026A6" w:rsidRPr="00EA59C0">
        <w:t xml:space="preserve"> </w:t>
      </w:r>
      <w:r w:rsidRPr="00EA59C0">
        <w:t>as</w:t>
      </w:r>
      <w:r w:rsidR="00C026A6" w:rsidRPr="00EA59C0">
        <w:t xml:space="preserve"> </w:t>
      </w:r>
      <w:r w:rsidRPr="00EA59C0">
        <w:t>the</w:t>
      </w:r>
      <w:r w:rsidR="00C026A6" w:rsidRPr="00EA59C0">
        <w:t xml:space="preserve"> </w:t>
      </w:r>
      <w:r w:rsidRPr="00EA59C0">
        <w:t>employment</w:t>
      </w:r>
      <w:r w:rsidR="00C026A6" w:rsidRPr="00EA59C0">
        <w:t xml:space="preserve"> </w:t>
      </w:r>
      <w:r w:rsidRPr="00EA59C0">
        <w:t>results</w:t>
      </w:r>
      <w:r w:rsidR="00C026A6" w:rsidRPr="00EA59C0">
        <w:t xml:space="preserve"> </w:t>
      </w:r>
      <w:r w:rsidRPr="00EA59C0">
        <w:t>scorecard,</w:t>
      </w:r>
      <w:r w:rsidR="00C026A6" w:rsidRPr="00EA59C0">
        <w:t xml:space="preserve"> </w:t>
      </w:r>
      <w:r w:rsidRPr="00EA59C0">
        <w:t>will</w:t>
      </w:r>
      <w:r w:rsidR="00C026A6" w:rsidRPr="00EA59C0">
        <w:t xml:space="preserve"> </w:t>
      </w:r>
      <w:r w:rsidRPr="00EA59C0">
        <w:t>benefit</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and</w:t>
      </w:r>
      <w:r w:rsidR="00C026A6" w:rsidRPr="00EA59C0">
        <w:t xml:space="preserve"> </w:t>
      </w:r>
      <w:r w:rsidRPr="00EA59C0">
        <w:t>other</w:t>
      </w:r>
      <w:r w:rsidR="00C026A6" w:rsidRPr="00EA59C0">
        <w:t xml:space="preserve"> </w:t>
      </w:r>
      <w:r w:rsidRPr="00EA59C0">
        <w:t>adult</w:t>
      </w:r>
      <w:r w:rsidR="00C026A6" w:rsidRPr="00EA59C0">
        <w:t xml:space="preserve"> </w:t>
      </w:r>
      <w:r w:rsidRPr="00EA59C0">
        <w:t>learners</w:t>
      </w:r>
      <w:r w:rsidR="00C026A6" w:rsidRPr="00EA59C0">
        <w:t xml:space="preserve"> </w:t>
      </w:r>
      <w:r w:rsidRPr="00EA59C0">
        <w:t>in</w:t>
      </w:r>
      <w:r w:rsidR="00C026A6" w:rsidRPr="00EA59C0">
        <w:t xml:space="preserve"> </w:t>
      </w:r>
      <w:r w:rsidRPr="00EA59C0">
        <w:t>the</w:t>
      </w:r>
      <w:r w:rsidR="00C026A6" w:rsidRPr="00EA59C0">
        <w:t xml:space="preserve"> </w:t>
      </w:r>
      <w:r w:rsidRPr="00EA59C0">
        <w:t>various</w:t>
      </w:r>
      <w:r w:rsidR="00C026A6" w:rsidRPr="00EA59C0">
        <w:t xml:space="preserve"> </w:t>
      </w:r>
      <w:r w:rsidRPr="00EA59C0">
        <w:t>states</w:t>
      </w:r>
      <w:r w:rsidR="00C026A6" w:rsidRPr="00EA59C0">
        <w:t xml:space="preserve"> </w:t>
      </w:r>
      <w:r w:rsidRPr="00EA59C0">
        <w:t>served</w:t>
      </w:r>
      <w:r w:rsidR="00C026A6" w:rsidRPr="00EA59C0">
        <w:t xml:space="preserve"> </w:t>
      </w:r>
      <w:r w:rsidRPr="00EA59C0">
        <w:t>by</w:t>
      </w:r>
      <w:r w:rsidR="00C026A6" w:rsidRPr="00EA59C0">
        <w:t xml:space="preserve"> </w:t>
      </w:r>
      <w:r w:rsidRPr="00EA59C0">
        <w:t>the</w:t>
      </w:r>
      <w:r w:rsidR="00C026A6" w:rsidRPr="00EA59C0">
        <w:t xml:space="preserve"> </w:t>
      </w:r>
      <w:r w:rsidRPr="00EA59C0">
        <w:t>consortium.</w:t>
      </w:r>
    </w:p>
    <w:p w:rsidR="008C5DA4" w:rsidRPr="00EA59C0" w:rsidRDefault="008C5DA4" w:rsidP="00C072FA">
      <w:pPr>
        <w:widowControl w:val="0"/>
        <w:tabs>
          <w:tab w:val="left" w:pos="360"/>
        </w:tabs>
        <w:ind w:left="1080"/>
      </w:pPr>
    </w:p>
    <w:p w:rsidR="008C5DA4" w:rsidRPr="00EA59C0" w:rsidRDefault="008C5DA4" w:rsidP="00C072FA">
      <w:pPr>
        <w:widowControl w:val="0"/>
        <w:tabs>
          <w:tab w:val="left" w:pos="360"/>
        </w:tabs>
        <w:ind w:left="1080"/>
      </w:pPr>
      <w:r w:rsidRPr="00EA59C0">
        <w:t>To</w:t>
      </w:r>
      <w:r w:rsidR="00C026A6" w:rsidRPr="00EA59C0">
        <w:t xml:space="preserve"> </w:t>
      </w:r>
      <w:r w:rsidRPr="00EA59C0">
        <w:t>meet</w:t>
      </w:r>
      <w:r w:rsidR="00C026A6" w:rsidRPr="00EA59C0">
        <w:t xml:space="preserve"> </w:t>
      </w:r>
      <w:r w:rsidRPr="00EA59C0">
        <w:t>this</w:t>
      </w:r>
      <w:r w:rsidR="00C026A6" w:rsidRPr="00EA59C0">
        <w:t xml:space="preserve"> </w:t>
      </w:r>
      <w:r w:rsidR="001C339E" w:rsidRPr="00EA59C0">
        <w:t>requirement</w:t>
      </w:r>
      <w:r w:rsidRPr="00EA59C0">
        <w:t>,</w:t>
      </w:r>
      <w:r w:rsidR="00C026A6" w:rsidRPr="00EA59C0">
        <w:t xml:space="preserve"> </w:t>
      </w:r>
      <w:r w:rsidRPr="00EA59C0">
        <w:t>multi-state</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submit</w:t>
      </w:r>
      <w:r w:rsidR="00C026A6" w:rsidRPr="00EA59C0">
        <w:t xml:space="preserve"> </w:t>
      </w:r>
      <w:r w:rsidRPr="00EA59C0">
        <w:t>a</w:t>
      </w:r>
      <w:r w:rsidR="00C026A6" w:rsidRPr="00EA59C0">
        <w:t xml:space="preserve"> </w:t>
      </w:r>
      <w:r w:rsidRPr="00EA59C0">
        <w:t>clearly</w:t>
      </w:r>
      <w:r w:rsidR="00C026A6" w:rsidRPr="00EA59C0">
        <w:t xml:space="preserve"> </w:t>
      </w:r>
      <w:r w:rsidRPr="00EA59C0">
        <w:t>labeled</w:t>
      </w:r>
      <w:r w:rsidR="00C026A6" w:rsidRPr="00EA59C0">
        <w:t xml:space="preserve"> </w:t>
      </w:r>
      <w:r w:rsidRPr="00EA59C0">
        <w:t>Employment</w:t>
      </w:r>
      <w:r w:rsidR="00C026A6" w:rsidRPr="00EA59C0">
        <w:t xml:space="preserve"> </w:t>
      </w:r>
      <w:r w:rsidRPr="00EA59C0">
        <w:t>Results</w:t>
      </w:r>
      <w:r w:rsidR="00C026A6" w:rsidRPr="00EA59C0">
        <w:t xml:space="preserve"> </w:t>
      </w:r>
      <w:r w:rsidRPr="00EA59C0">
        <w:t>Scorecard</w:t>
      </w:r>
      <w:r w:rsidR="00C026A6" w:rsidRPr="00EA59C0">
        <w:t xml:space="preserve"> </w:t>
      </w:r>
      <w:r w:rsidRPr="00EA59C0">
        <w:t>Continuous</w:t>
      </w:r>
      <w:r w:rsidR="00C026A6" w:rsidRPr="00EA59C0">
        <w:t xml:space="preserve"> </w:t>
      </w:r>
      <w:r w:rsidRPr="00EA59C0">
        <w:t>Improvement</w:t>
      </w:r>
      <w:r w:rsidR="00C026A6" w:rsidRPr="00EA59C0">
        <w:t xml:space="preserve"> </w:t>
      </w:r>
      <w:r w:rsidRPr="00EA59C0">
        <w:t>Workplan</w:t>
      </w:r>
      <w:r w:rsidR="00C026A6" w:rsidRPr="00EA59C0">
        <w:t xml:space="preserve"> </w:t>
      </w:r>
      <w:r w:rsidRPr="00EA59C0">
        <w:t>as</w:t>
      </w:r>
      <w:r w:rsidR="00C026A6" w:rsidRPr="00EA59C0">
        <w:t xml:space="preserve"> </w:t>
      </w:r>
      <w:r w:rsidRPr="00EA59C0">
        <w:t>an</w:t>
      </w:r>
      <w:r w:rsidR="00C026A6" w:rsidRPr="00EA59C0">
        <w:t xml:space="preserve"> </w:t>
      </w:r>
      <w:r w:rsidRPr="00EA59C0">
        <w:t>attachment</w:t>
      </w:r>
      <w:r w:rsidR="00C026A6" w:rsidRPr="00EA59C0">
        <w:t xml:space="preserve"> </w:t>
      </w:r>
      <w:r w:rsidRPr="00EA59C0">
        <w:t>to</w:t>
      </w:r>
      <w:r w:rsidR="00C026A6" w:rsidRPr="00EA59C0">
        <w:t xml:space="preserve"> </w:t>
      </w:r>
      <w:r w:rsidRPr="00EA59C0">
        <w:t>the</w:t>
      </w:r>
      <w:r w:rsidR="00C026A6" w:rsidRPr="00EA59C0">
        <w:t xml:space="preserve"> </w:t>
      </w:r>
      <w:r w:rsidRPr="00EA59C0">
        <w:t>Project</w:t>
      </w:r>
      <w:r w:rsidR="00C026A6" w:rsidRPr="00EA59C0">
        <w:t xml:space="preserve"> </w:t>
      </w:r>
      <w:r w:rsidRPr="00EA59C0">
        <w:t>Narrative</w:t>
      </w:r>
      <w:r w:rsidR="00C026A6" w:rsidRPr="00EA59C0">
        <w:t xml:space="preserve"> </w:t>
      </w:r>
      <w:r w:rsidRPr="00EA59C0">
        <w:t>that</w:t>
      </w:r>
      <w:r w:rsidR="00C026A6" w:rsidRPr="00EA59C0">
        <w:t xml:space="preserve"> </w:t>
      </w:r>
      <w:r w:rsidRPr="00EA59C0">
        <w:t>addresses</w:t>
      </w:r>
      <w:r w:rsidR="00C026A6" w:rsidRPr="00EA59C0">
        <w:t xml:space="preserve"> </w:t>
      </w:r>
      <w:r w:rsidRPr="00EA59C0">
        <w:t>the</w:t>
      </w:r>
      <w:r w:rsidR="00C026A6" w:rsidRPr="00EA59C0">
        <w:t xml:space="preserve"> </w:t>
      </w:r>
      <w:r w:rsidRPr="00EA59C0">
        <w:t>items</w:t>
      </w:r>
      <w:r w:rsidR="00C026A6" w:rsidRPr="00EA59C0">
        <w:t xml:space="preserve"> </w:t>
      </w:r>
      <w:r w:rsidRPr="00EA59C0">
        <w:t>below.</w:t>
      </w:r>
    </w:p>
    <w:p w:rsidR="00F063CD" w:rsidRPr="00EA59C0" w:rsidRDefault="00F063CD" w:rsidP="00C072FA"/>
    <w:p w:rsidR="001C339E" w:rsidRPr="00EA59C0" w:rsidRDefault="001C339E" w:rsidP="00C072FA">
      <w:pPr>
        <w:pStyle w:val="ListParagraph"/>
        <w:numPr>
          <w:ilvl w:val="3"/>
          <w:numId w:val="17"/>
        </w:numPr>
      </w:pPr>
      <w:r w:rsidRPr="00EA59C0">
        <w:t>Survey</w:t>
      </w:r>
      <w:r w:rsidR="00C026A6" w:rsidRPr="00EA59C0">
        <w:t xml:space="preserve"> </w:t>
      </w:r>
      <w:r w:rsidRPr="00EA59C0">
        <w:t>of</w:t>
      </w:r>
      <w:r w:rsidR="00C026A6" w:rsidRPr="00EA59C0">
        <w:t xml:space="preserve"> </w:t>
      </w:r>
      <w:r w:rsidRPr="00EA59C0">
        <w:t>Data</w:t>
      </w:r>
      <w:r w:rsidR="00C026A6" w:rsidRPr="00EA59C0">
        <w:t xml:space="preserve"> </w:t>
      </w:r>
      <w:r w:rsidRPr="00EA59C0">
        <w:t>Systems</w:t>
      </w:r>
    </w:p>
    <w:p w:rsidR="001C339E" w:rsidRPr="00EA59C0" w:rsidRDefault="001C339E" w:rsidP="00C072FA">
      <w:pPr>
        <w:ind w:left="1440"/>
      </w:pPr>
      <w:r w:rsidRPr="00EA59C0">
        <w:t>Applicants</w:t>
      </w:r>
      <w:r w:rsidR="00C026A6" w:rsidRPr="00EA59C0">
        <w:t xml:space="preserve"> </w:t>
      </w:r>
      <w:r w:rsidRPr="00EA59C0">
        <w:t>should</w:t>
      </w:r>
      <w:r w:rsidR="00C026A6" w:rsidRPr="00EA59C0">
        <w:t xml:space="preserve"> </w:t>
      </w:r>
      <w:r w:rsidRPr="00EA59C0">
        <w:t>provide</w:t>
      </w:r>
      <w:r w:rsidR="00C026A6" w:rsidRPr="00EA59C0">
        <w:t xml:space="preserve"> </w:t>
      </w:r>
      <w:r w:rsidRPr="00EA59C0">
        <w:t>brief</w:t>
      </w:r>
      <w:r w:rsidR="00C026A6" w:rsidRPr="00EA59C0">
        <w:t xml:space="preserve"> </w:t>
      </w:r>
      <w:r w:rsidRPr="00EA59C0">
        <w:t>results</w:t>
      </w:r>
      <w:r w:rsidR="00C026A6" w:rsidRPr="00EA59C0">
        <w:t xml:space="preserve"> </w:t>
      </w:r>
      <w:r w:rsidRPr="00EA59C0">
        <w:t>of</w:t>
      </w:r>
      <w:r w:rsidR="00C026A6" w:rsidRPr="00EA59C0">
        <w:t xml:space="preserve"> </w:t>
      </w:r>
      <w:r w:rsidRPr="00EA59C0">
        <w:t>a</w:t>
      </w:r>
      <w:r w:rsidR="00C026A6" w:rsidRPr="00EA59C0">
        <w:t xml:space="preserve"> </w:t>
      </w:r>
      <w:r w:rsidRPr="00EA59C0">
        <w:t>survey</w:t>
      </w:r>
      <w:r w:rsidR="00C026A6" w:rsidRPr="00EA59C0">
        <w:t xml:space="preserve"> </w:t>
      </w:r>
      <w:r w:rsidRPr="00EA59C0">
        <w:t>of</w:t>
      </w:r>
      <w:r w:rsidR="00C026A6" w:rsidRPr="00EA59C0">
        <w:t xml:space="preserve"> </w:t>
      </w:r>
      <w:r w:rsidRPr="00EA59C0">
        <w:t>the</w:t>
      </w:r>
      <w:r w:rsidR="00C026A6" w:rsidRPr="00EA59C0">
        <w:t xml:space="preserve"> </w:t>
      </w:r>
      <w:r w:rsidRPr="00EA59C0">
        <w:t>data</w:t>
      </w:r>
      <w:r w:rsidR="00C026A6" w:rsidRPr="00EA59C0">
        <w:t xml:space="preserve"> </w:t>
      </w:r>
      <w:r w:rsidRPr="00EA59C0">
        <w:t>systems</w:t>
      </w:r>
      <w:r w:rsidR="00C026A6" w:rsidRPr="00EA59C0">
        <w:t xml:space="preserve"> </w:t>
      </w:r>
      <w:r w:rsidRPr="00EA59C0">
        <w:t>in</w:t>
      </w:r>
      <w:r w:rsidR="00C026A6" w:rsidRPr="00EA59C0">
        <w:t xml:space="preserve"> </w:t>
      </w:r>
      <w:r w:rsidRPr="00EA59C0">
        <w:t>each</w:t>
      </w:r>
      <w:r w:rsidR="00C026A6" w:rsidRPr="00EA59C0">
        <w:t xml:space="preserve"> </w:t>
      </w:r>
      <w:r w:rsidRPr="00EA59C0">
        <w:t>state</w:t>
      </w:r>
      <w:r w:rsidR="00C026A6" w:rsidRPr="00EA59C0">
        <w:t xml:space="preserve"> </w:t>
      </w:r>
      <w:r w:rsidRPr="00EA59C0">
        <w:t>served</w:t>
      </w:r>
      <w:r w:rsidR="00C026A6" w:rsidRPr="00EA59C0">
        <w:t xml:space="preserve"> </w:t>
      </w:r>
      <w:r w:rsidRPr="00EA59C0">
        <w:t>by</w:t>
      </w:r>
      <w:r w:rsidR="00C026A6" w:rsidRPr="00EA59C0">
        <w:t xml:space="preserve"> </w:t>
      </w:r>
      <w:r w:rsidRPr="00EA59C0">
        <w:t>the</w:t>
      </w:r>
      <w:r w:rsidR="00C026A6" w:rsidRPr="00EA59C0">
        <w:t xml:space="preserve"> </w:t>
      </w:r>
      <w:r w:rsidRPr="00EA59C0">
        <w:t>grant.</w:t>
      </w:r>
      <w:r w:rsidR="00C026A6" w:rsidRPr="00EA59C0">
        <w:t xml:space="preserve">  </w:t>
      </w:r>
      <w:r w:rsidRPr="00EA59C0">
        <w:t>This</w:t>
      </w:r>
      <w:r w:rsidR="00C026A6" w:rsidRPr="00EA59C0">
        <w:t xml:space="preserve"> </w:t>
      </w:r>
      <w:r w:rsidRPr="00EA59C0">
        <w:t>survey</w:t>
      </w:r>
      <w:r w:rsidR="00C026A6" w:rsidRPr="00EA59C0">
        <w:t xml:space="preserve"> </w:t>
      </w:r>
      <w:r w:rsidRPr="00EA59C0">
        <w:t>should</w:t>
      </w:r>
      <w:r w:rsidR="00C026A6" w:rsidRPr="00EA59C0">
        <w:t xml:space="preserve"> </w:t>
      </w:r>
      <w:r w:rsidRPr="00EA59C0">
        <w:t>include,</w:t>
      </w:r>
      <w:r w:rsidR="00C026A6" w:rsidRPr="00EA59C0">
        <w:t xml:space="preserve"> </w:t>
      </w:r>
      <w:r w:rsidRPr="00EA59C0">
        <w:t>at</w:t>
      </w:r>
      <w:r w:rsidR="00C026A6" w:rsidRPr="00EA59C0">
        <w:t xml:space="preserve"> </w:t>
      </w:r>
      <w:r w:rsidRPr="00EA59C0">
        <w:t>a</w:t>
      </w:r>
      <w:r w:rsidR="00C026A6" w:rsidRPr="00EA59C0">
        <w:t xml:space="preserve"> </w:t>
      </w:r>
      <w:r w:rsidRPr="00EA59C0">
        <w:t>minimum,</w:t>
      </w:r>
      <w:r w:rsidR="00C026A6" w:rsidRPr="00EA59C0">
        <w:t xml:space="preserve"> </w:t>
      </w:r>
      <w:r w:rsidRPr="00EA59C0">
        <w:t>information</w:t>
      </w:r>
      <w:r w:rsidR="00C026A6" w:rsidRPr="00EA59C0">
        <w:t xml:space="preserve"> </w:t>
      </w:r>
      <w:r w:rsidRPr="00EA59C0">
        <w:t>about</w:t>
      </w:r>
      <w:r w:rsidR="00C026A6" w:rsidRPr="00EA59C0">
        <w:t xml:space="preserve"> </w:t>
      </w:r>
      <w:r w:rsidRPr="00EA59C0">
        <w:t>the</w:t>
      </w:r>
      <w:r w:rsidR="00C026A6" w:rsidRPr="00EA59C0">
        <w:t xml:space="preserve"> </w:t>
      </w:r>
      <w:r w:rsidRPr="00EA59C0">
        <w:t>agency</w:t>
      </w:r>
      <w:r w:rsidR="00C026A6" w:rsidRPr="00EA59C0">
        <w:t xml:space="preserve"> </w:t>
      </w:r>
      <w:r w:rsidRPr="00EA59C0">
        <w:t>responsible</w:t>
      </w:r>
      <w:r w:rsidR="00C026A6" w:rsidRPr="00EA59C0">
        <w:t xml:space="preserve"> </w:t>
      </w:r>
      <w:r w:rsidRPr="00EA59C0">
        <w:t>for</w:t>
      </w:r>
      <w:r w:rsidR="00C026A6" w:rsidRPr="00EA59C0">
        <w:t xml:space="preserve"> </w:t>
      </w:r>
      <w:r w:rsidRPr="00EA59C0">
        <w:t>administering</w:t>
      </w:r>
      <w:r w:rsidR="00C026A6" w:rsidRPr="00EA59C0">
        <w:t xml:space="preserve"> </w:t>
      </w:r>
      <w:r w:rsidRPr="00EA59C0">
        <w:t>the</w:t>
      </w:r>
      <w:r w:rsidR="00C026A6" w:rsidRPr="00EA59C0">
        <w:t xml:space="preserve"> </w:t>
      </w:r>
      <w:r w:rsidRPr="00EA59C0">
        <w:t>UC</w:t>
      </w:r>
      <w:r w:rsidR="00C026A6" w:rsidRPr="00EA59C0">
        <w:t xml:space="preserve"> </w:t>
      </w:r>
      <w:r w:rsidRPr="00EA59C0">
        <w:t>programs</w:t>
      </w:r>
      <w:r w:rsidR="00C026A6" w:rsidRPr="00EA59C0">
        <w:t xml:space="preserve"> </w:t>
      </w:r>
      <w:r w:rsidRPr="00EA59C0">
        <w:t>or</w:t>
      </w:r>
      <w:r w:rsidR="00C026A6" w:rsidRPr="00EA59C0">
        <w:t xml:space="preserve"> </w:t>
      </w:r>
      <w:r w:rsidRPr="00EA59C0">
        <w:t>employment</w:t>
      </w:r>
      <w:r w:rsidR="00C026A6" w:rsidRPr="00EA59C0">
        <w:t xml:space="preserve"> </w:t>
      </w:r>
      <w:r w:rsidRPr="00EA59C0">
        <w:t>data</w:t>
      </w:r>
      <w:r w:rsidR="00C026A6" w:rsidRPr="00EA59C0">
        <w:t xml:space="preserve"> </w:t>
      </w:r>
      <w:r w:rsidRPr="00EA59C0">
        <w:t>for</w:t>
      </w:r>
      <w:r w:rsidR="00C026A6" w:rsidRPr="00EA59C0">
        <w:t xml:space="preserve"> </w:t>
      </w:r>
      <w:r w:rsidRPr="00EA59C0">
        <w:t>each</w:t>
      </w:r>
      <w:r w:rsidR="00C026A6" w:rsidRPr="00EA59C0">
        <w:t xml:space="preserve"> </w:t>
      </w:r>
      <w:r w:rsidRPr="00EA59C0">
        <w:t>state;</w:t>
      </w:r>
      <w:r w:rsidR="00C026A6" w:rsidRPr="00EA59C0">
        <w:t xml:space="preserve"> </w:t>
      </w:r>
      <w:r w:rsidRPr="00EA59C0">
        <w:t>existing</w:t>
      </w:r>
      <w:r w:rsidR="00C026A6" w:rsidRPr="00EA59C0">
        <w:t xml:space="preserve"> </w:t>
      </w:r>
      <w:r w:rsidRPr="00EA59C0">
        <w:t>practices</w:t>
      </w:r>
      <w:r w:rsidR="00C026A6" w:rsidRPr="00EA59C0">
        <w:t xml:space="preserve"> </w:t>
      </w:r>
      <w:r w:rsidRPr="00EA59C0">
        <w:t>applicants</w:t>
      </w:r>
      <w:r w:rsidR="00C026A6" w:rsidRPr="00EA59C0">
        <w:t xml:space="preserve"> </w:t>
      </w:r>
      <w:r w:rsidRPr="00EA59C0">
        <w:t>use</w:t>
      </w:r>
      <w:r w:rsidR="00C026A6" w:rsidRPr="00EA59C0">
        <w:t xml:space="preserve"> </w:t>
      </w:r>
      <w:r w:rsidRPr="00EA59C0">
        <w:t>to</w:t>
      </w:r>
      <w:r w:rsidR="00C026A6" w:rsidRPr="00EA59C0">
        <w:t xml:space="preserve"> </w:t>
      </w:r>
      <w:r w:rsidRPr="00EA59C0">
        <w:t>collect</w:t>
      </w:r>
      <w:r w:rsidR="00C026A6" w:rsidRPr="00EA59C0">
        <w:t xml:space="preserve"> </w:t>
      </w:r>
      <w:r w:rsidRPr="00EA59C0">
        <w:t>data</w:t>
      </w:r>
      <w:r w:rsidR="00C026A6" w:rsidRPr="00EA59C0">
        <w:t xml:space="preserve"> </w:t>
      </w:r>
      <w:r w:rsidRPr="00EA59C0">
        <w:t>on</w:t>
      </w:r>
      <w:r w:rsidR="00C026A6" w:rsidRPr="00EA59C0">
        <w:t xml:space="preserve"> </w:t>
      </w:r>
      <w:r w:rsidRPr="00EA59C0">
        <w:t>student</w:t>
      </w:r>
      <w:r w:rsidR="00C026A6" w:rsidRPr="00EA59C0">
        <w:t xml:space="preserve"> </w:t>
      </w:r>
      <w:r w:rsidRPr="00EA59C0">
        <w:t>outcomes;</w:t>
      </w:r>
      <w:r w:rsidR="00C026A6" w:rsidRPr="00EA59C0">
        <w:t xml:space="preserve"> </w:t>
      </w:r>
      <w:r w:rsidRPr="00EA59C0">
        <w:t>and</w:t>
      </w:r>
      <w:r w:rsidR="00C026A6" w:rsidRPr="00EA59C0">
        <w:t xml:space="preserve"> </w:t>
      </w:r>
      <w:r w:rsidRPr="00EA59C0">
        <w:t>a</w:t>
      </w:r>
      <w:r w:rsidR="00C026A6" w:rsidRPr="00EA59C0">
        <w:t xml:space="preserve"> </w:t>
      </w:r>
      <w:r w:rsidRPr="00EA59C0">
        <w:t>summary</w:t>
      </w:r>
      <w:r w:rsidR="00C026A6" w:rsidRPr="00EA59C0">
        <w:t xml:space="preserve"> </w:t>
      </w:r>
      <w:r w:rsidRPr="00EA59C0">
        <w:t>of</w:t>
      </w:r>
      <w:r w:rsidR="00C026A6" w:rsidRPr="00EA59C0">
        <w:t xml:space="preserve"> </w:t>
      </w:r>
      <w:r w:rsidRPr="00EA59C0">
        <w:t>regulations</w:t>
      </w:r>
      <w:r w:rsidR="00C026A6" w:rsidRPr="00EA59C0">
        <w:t xml:space="preserve"> </w:t>
      </w:r>
      <w:r w:rsidRPr="00EA59C0">
        <w:t>and</w:t>
      </w:r>
      <w:r w:rsidR="00C026A6" w:rsidRPr="00EA59C0">
        <w:t xml:space="preserve"> </w:t>
      </w:r>
      <w:r w:rsidRPr="00EA59C0">
        <w:t>other</w:t>
      </w:r>
      <w:r w:rsidR="00C026A6" w:rsidRPr="00EA59C0">
        <w:t xml:space="preserve"> </w:t>
      </w:r>
      <w:r w:rsidRPr="00EA59C0">
        <w:t>barriers</w:t>
      </w:r>
      <w:r w:rsidR="00C026A6" w:rsidRPr="00EA59C0">
        <w:t xml:space="preserve"> </w:t>
      </w:r>
      <w:r w:rsidRPr="00EA59C0">
        <w:t>to</w:t>
      </w:r>
      <w:r w:rsidR="00C026A6" w:rsidRPr="00EA59C0">
        <w:t xml:space="preserve"> </w:t>
      </w:r>
      <w:r w:rsidRPr="00EA59C0">
        <w:t>sharing</w:t>
      </w:r>
      <w:r w:rsidR="00C026A6" w:rsidRPr="00EA59C0">
        <w:t xml:space="preserve"> </w:t>
      </w:r>
      <w:r w:rsidRPr="00EA59C0">
        <w:t>aggregate</w:t>
      </w:r>
      <w:r w:rsidR="00C026A6" w:rsidRPr="00EA59C0">
        <w:t xml:space="preserve"> </w:t>
      </w:r>
      <w:r w:rsidRPr="00EA59C0">
        <w:t>data</w:t>
      </w:r>
      <w:r w:rsidR="00C026A6" w:rsidRPr="00EA59C0">
        <w:t xml:space="preserve"> </w:t>
      </w:r>
      <w:r w:rsidRPr="00EA59C0">
        <w:t>publically.</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also</w:t>
      </w:r>
      <w:r w:rsidR="00C026A6" w:rsidRPr="00EA59C0">
        <w:t xml:space="preserve"> </w:t>
      </w:r>
      <w:r w:rsidRPr="00EA59C0">
        <w:t>explore</w:t>
      </w:r>
      <w:r w:rsidR="00C026A6" w:rsidRPr="00EA59C0">
        <w:t xml:space="preserve"> </w:t>
      </w:r>
      <w:r w:rsidRPr="00EA59C0">
        <w:t>the</w:t>
      </w:r>
      <w:r w:rsidR="00C026A6" w:rsidRPr="00EA59C0">
        <w:t xml:space="preserve"> </w:t>
      </w:r>
      <w:r w:rsidRPr="00EA59C0">
        <w:t>possibility</w:t>
      </w:r>
      <w:r w:rsidR="00C026A6" w:rsidRPr="00EA59C0">
        <w:t xml:space="preserve"> </w:t>
      </w:r>
      <w:r w:rsidRPr="00EA59C0">
        <w:t>of</w:t>
      </w:r>
      <w:r w:rsidR="00C026A6" w:rsidRPr="00EA59C0">
        <w:t xml:space="preserve"> </w:t>
      </w:r>
      <w:r w:rsidRPr="00EA59C0">
        <w:t>aligning</w:t>
      </w:r>
      <w:r w:rsidR="00C026A6" w:rsidRPr="00EA59C0">
        <w:t xml:space="preserve"> </w:t>
      </w:r>
      <w:r w:rsidRPr="00EA59C0">
        <w:t>or</w:t>
      </w:r>
      <w:r w:rsidR="00C026A6" w:rsidRPr="00EA59C0">
        <w:t xml:space="preserve"> </w:t>
      </w:r>
      <w:r w:rsidRPr="00EA59C0">
        <w:t>joining</w:t>
      </w:r>
      <w:r w:rsidR="00C026A6" w:rsidRPr="00EA59C0">
        <w:t xml:space="preserve"> </w:t>
      </w:r>
      <w:r w:rsidRPr="00EA59C0">
        <w:t>an</w:t>
      </w:r>
      <w:r w:rsidR="00C026A6" w:rsidRPr="00EA59C0">
        <w:t xml:space="preserve"> </w:t>
      </w:r>
      <w:r w:rsidRPr="00EA59C0">
        <w:t>existing</w:t>
      </w:r>
      <w:r w:rsidR="00C026A6" w:rsidRPr="00EA59C0">
        <w:t xml:space="preserve"> </w:t>
      </w:r>
      <w:r w:rsidRPr="00EA59C0">
        <w:t>longitudinal</w:t>
      </w:r>
      <w:r w:rsidR="00C026A6" w:rsidRPr="00EA59C0">
        <w:t xml:space="preserve"> </w:t>
      </w:r>
      <w:r w:rsidRPr="00EA59C0">
        <w:t>data</w:t>
      </w:r>
      <w:r w:rsidR="00C026A6" w:rsidRPr="00EA59C0">
        <w:t xml:space="preserve"> </w:t>
      </w:r>
      <w:r w:rsidRPr="00EA59C0">
        <w:t>study</w:t>
      </w:r>
      <w:r w:rsidR="00C026A6" w:rsidRPr="00EA59C0">
        <w:t xml:space="preserve"> </w:t>
      </w:r>
      <w:r w:rsidRPr="00EA59C0">
        <w:t>or</w:t>
      </w:r>
      <w:r w:rsidR="00C026A6" w:rsidRPr="00EA59C0">
        <w:t xml:space="preserve"> </w:t>
      </w:r>
      <w:r w:rsidRPr="00EA59C0">
        <w:t>other</w:t>
      </w:r>
      <w:r w:rsidR="00C026A6" w:rsidRPr="00EA59C0">
        <w:t xml:space="preserve"> </w:t>
      </w:r>
      <w:r w:rsidRPr="00EA59C0">
        <w:t>existing</w:t>
      </w:r>
      <w:r w:rsidR="00C026A6" w:rsidRPr="00EA59C0">
        <w:t xml:space="preserve"> </w:t>
      </w:r>
      <w:r w:rsidRPr="00EA59C0">
        <w:t>data</w:t>
      </w:r>
      <w:r w:rsidR="00C026A6" w:rsidRPr="00EA59C0">
        <w:t xml:space="preserve"> </w:t>
      </w:r>
      <w:r w:rsidRPr="00EA59C0">
        <w:t>sharing</w:t>
      </w:r>
      <w:r w:rsidR="00C026A6" w:rsidRPr="00EA59C0">
        <w:t xml:space="preserve"> </w:t>
      </w:r>
      <w:r w:rsidRPr="00EA59C0">
        <w:t>initiatives</w:t>
      </w:r>
      <w:r w:rsidR="00C026A6" w:rsidRPr="00EA59C0">
        <w:t xml:space="preserve"> </w:t>
      </w:r>
      <w:r w:rsidRPr="00EA59C0">
        <w:t>in</w:t>
      </w:r>
      <w:r w:rsidR="00C026A6" w:rsidRPr="00EA59C0">
        <w:t xml:space="preserve"> </w:t>
      </w:r>
      <w:r w:rsidRPr="00EA59C0">
        <w:t>the</w:t>
      </w:r>
      <w:r w:rsidR="00C026A6" w:rsidRPr="00EA59C0">
        <w:t xml:space="preserve"> </w:t>
      </w:r>
      <w:r w:rsidRPr="00EA59C0">
        <w:t>various</w:t>
      </w:r>
      <w:r w:rsidR="00C026A6" w:rsidRPr="00EA59C0">
        <w:t xml:space="preserve"> </w:t>
      </w:r>
      <w:r w:rsidRPr="00EA59C0">
        <w:t>states</w:t>
      </w:r>
      <w:r w:rsidR="00C026A6" w:rsidRPr="00EA59C0">
        <w:t xml:space="preserve"> </w:t>
      </w:r>
      <w:r w:rsidRPr="00EA59C0">
        <w:t>served</w:t>
      </w:r>
      <w:r w:rsidR="00C026A6" w:rsidRPr="00EA59C0">
        <w:t xml:space="preserve"> </w:t>
      </w:r>
      <w:r w:rsidRPr="00EA59C0">
        <w:t>by</w:t>
      </w:r>
      <w:r w:rsidR="00C026A6" w:rsidRPr="00EA59C0">
        <w:t xml:space="preserve"> </w:t>
      </w:r>
      <w:r w:rsidRPr="00EA59C0">
        <w:t>the</w:t>
      </w:r>
      <w:r w:rsidR="00C026A6" w:rsidRPr="00EA59C0">
        <w:t xml:space="preserve"> </w:t>
      </w:r>
      <w:r w:rsidRPr="00EA59C0">
        <w:t>consortium.</w:t>
      </w:r>
      <w:r w:rsidR="00C026A6" w:rsidRPr="00EA59C0">
        <w:t xml:space="preserve"> </w:t>
      </w:r>
    </w:p>
    <w:p w:rsidR="001C339E" w:rsidRPr="00EA59C0" w:rsidRDefault="00C026A6" w:rsidP="00C072FA">
      <w:pPr>
        <w:ind w:left="720"/>
      </w:pPr>
      <w:r w:rsidRPr="00EA59C0">
        <w:t xml:space="preserve"> </w:t>
      </w:r>
    </w:p>
    <w:p w:rsidR="001C339E" w:rsidRPr="00EA59C0" w:rsidRDefault="001C339E" w:rsidP="00C072FA">
      <w:pPr>
        <w:pStyle w:val="ListParagraph"/>
        <w:numPr>
          <w:ilvl w:val="3"/>
          <w:numId w:val="17"/>
        </w:numPr>
      </w:pPr>
      <w:r w:rsidRPr="00EA59C0">
        <w:t>Options</w:t>
      </w:r>
      <w:r w:rsidR="00C026A6" w:rsidRPr="00EA59C0">
        <w:t xml:space="preserve"> </w:t>
      </w:r>
      <w:r w:rsidRPr="00EA59C0">
        <w:t>for</w:t>
      </w:r>
      <w:r w:rsidR="00C026A6" w:rsidRPr="00EA59C0">
        <w:t xml:space="preserve"> </w:t>
      </w:r>
      <w:r w:rsidRPr="00EA59C0">
        <w:t>Obtaining</w:t>
      </w:r>
      <w:r w:rsidR="00C026A6" w:rsidRPr="00EA59C0">
        <w:t xml:space="preserve"> </w:t>
      </w:r>
      <w:r w:rsidRPr="00EA59C0">
        <w:t>and</w:t>
      </w:r>
      <w:r w:rsidR="00C026A6" w:rsidRPr="00EA59C0">
        <w:t xml:space="preserve"> </w:t>
      </w:r>
      <w:r w:rsidRPr="00EA59C0">
        <w:t>Sharing</w:t>
      </w:r>
      <w:r w:rsidR="00C026A6" w:rsidRPr="00EA59C0">
        <w:t xml:space="preserve"> </w:t>
      </w:r>
      <w:r w:rsidRPr="00EA59C0">
        <w:t>Data</w:t>
      </w:r>
    </w:p>
    <w:p w:rsidR="001C339E" w:rsidRPr="00EA59C0" w:rsidRDefault="001C339E" w:rsidP="00C072FA">
      <w:pPr>
        <w:ind w:left="1440"/>
      </w:pPr>
      <w:r w:rsidRPr="00EA59C0">
        <w:t>Applicants</w:t>
      </w:r>
      <w:r w:rsidR="00C026A6" w:rsidRPr="00EA59C0">
        <w:t xml:space="preserve"> </w:t>
      </w:r>
      <w:r w:rsidRPr="00EA59C0">
        <w:t>should</w:t>
      </w:r>
      <w:r w:rsidR="00C026A6" w:rsidRPr="00EA59C0">
        <w:t xml:space="preserve"> </w:t>
      </w:r>
      <w:r w:rsidRPr="00EA59C0">
        <w:t>provide</w:t>
      </w:r>
      <w:r w:rsidR="00C026A6" w:rsidRPr="00EA59C0">
        <w:t xml:space="preserve"> </w:t>
      </w:r>
      <w:r w:rsidRPr="00EA59C0">
        <w:t>a</w:t>
      </w:r>
      <w:r w:rsidR="00C026A6" w:rsidRPr="00EA59C0">
        <w:t xml:space="preserve"> </w:t>
      </w:r>
      <w:r w:rsidRPr="00EA59C0">
        <w:t>discussion</w:t>
      </w:r>
      <w:r w:rsidR="00C026A6" w:rsidRPr="00EA59C0">
        <w:t xml:space="preserve"> </w:t>
      </w:r>
      <w:r w:rsidRPr="00EA59C0">
        <w:t>of</w:t>
      </w:r>
      <w:r w:rsidR="00C026A6" w:rsidRPr="00EA59C0">
        <w:t xml:space="preserve"> </w:t>
      </w:r>
      <w:r w:rsidRPr="00EA59C0">
        <w:t>options</w:t>
      </w:r>
      <w:r w:rsidR="00C026A6" w:rsidRPr="00EA59C0">
        <w:t xml:space="preserve"> </w:t>
      </w:r>
      <w:r w:rsidRPr="00EA59C0">
        <w:t>for</w:t>
      </w:r>
      <w:r w:rsidR="00C026A6" w:rsidRPr="00EA59C0">
        <w:t xml:space="preserve"> </w:t>
      </w:r>
      <w:r w:rsidRPr="00EA59C0">
        <w:t>obtaining</w:t>
      </w:r>
      <w:r w:rsidR="00C026A6" w:rsidRPr="00EA59C0">
        <w:t xml:space="preserve"> </w:t>
      </w:r>
      <w:r w:rsidRPr="00EA59C0">
        <w:t>data</w:t>
      </w:r>
      <w:r w:rsidR="00C026A6" w:rsidRPr="00EA59C0">
        <w:t xml:space="preserve"> </w:t>
      </w:r>
      <w:r w:rsidRPr="00EA59C0">
        <w:t>on</w:t>
      </w:r>
      <w:r w:rsidR="00C026A6" w:rsidRPr="00EA59C0">
        <w:t xml:space="preserve"> </w:t>
      </w:r>
      <w:r w:rsidRPr="00EA59C0">
        <w:t>student</w:t>
      </w:r>
      <w:r w:rsidR="00C026A6" w:rsidRPr="00EA59C0">
        <w:t xml:space="preserve"> </w:t>
      </w:r>
      <w:r w:rsidRPr="00EA59C0">
        <w:t>outcomes</w:t>
      </w:r>
      <w:r w:rsidR="00C026A6" w:rsidRPr="00EA59C0">
        <w:t xml:space="preserve"> </w:t>
      </w:r>
      <w:r w:rsidRPr="00EA59C0">
        <w:t>in</w:t>
      </w:r>
      <w:r w:rsidR="00C026A6" w:rsidRPr="00EA59C0">
        <w:t xml:space="preserve"> </w:t>
      </w:r>
      <w:r w:rsidRPr="00EA59C0">
        <w:t>all</w:t>
      </w:r>
      <w:r w:rsidR="00C026A6" w:rsidRPr="00EA59C0">
        <w:t xml:space="preserve"> </w:t>
      </w:r>
      <w:r w:rsidRPr="00EA59C0">
        <w:t>states</w:t>
      </w:r>
      <w:r w:rsidR="00C026A6" w:rsidRPr="00EA59C0">
        <w:t xml:space="preserve"> </w:t>
      </w:r>
      <w:r w:rsidRPr="00EA59C0">
        <w:t>served</w:t>
      </w:r>
      <w:r w:rsidR="00C026A6" w:rsidRPr="00EA59C0">
        <w:t xml:space="preserve"> </w:t>
      </w:r>
      <w:r w:rsidRPr="00EA59C0">
        <w:t>by</w:t>
      </w:r>
      <w:r w:rsidR="00C026A6" w:rsidRPr="00EA59C0">
        <w:t xml:space="preserve"> </w:t>
      </w:r>
      <w:r w:rsidRPr="00EA59C0">
        <w:t>all</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This</w:t>
      </w:r>
      <w:r w:rsidR="00C026A6" w:rsidRPr="00EA59C0">
        <w:t xml:space="preserve"> </w:t>
      </w:r>
      <w:r w:rsidRPr="00EA59C0">
        <w:t>discussion</w:t>
      </w:r>
      <w:r w:rsidR="00C026A6" w:rsidRPr="00EA59C0">
        <w:t xml:space="preserve"> </w:t>
      </w:r>
      <w:r w:rsidRPr="00EA59C0">
        <w:t>should</w:t>
      </w:r>
      <w:r w:rsidR="00C026A6" w:rsidRPr="00EA59C0">
        <w:t xml:space="preserve"> </w:t>
      </w:r>
      <w:r w:rsidRPr="00EA59C0">
        <w:t>also</w:t>
      </w:r>
      <w:r w:rsidR="00C026A6" w:rsidRPr="00EA59C0">
        <w:t xml:space="preserve"> </w:t>
      </w:r>
      <w:r w:rsidRPr="00EA59C0">
        <w:t>include</w:t>
      </w:r>
      <w:r w:rsidR="00C026A6" w:rsidRPr="00EA59C0">
        <w:t xml:space="preserve"> </w:t>
      </w:r>
      <w:r w:rsidRPr="00EA59C0">
        <w:t>feasibility</w:t>
      </w:r>
      <w:r w:rsidR="00C026A6" w:rsidRPr="00EA59C0">
        <w:t xml:space="preserve"> </w:t>
      </w:r>
      <w:r w:rsidRPr="00EA59C0">
        <w:t>study</w:t>
      </w:r>
      <w:r w:rsidR="00C026A6" w:rsidRPr="00EA59C0">
        <w:t xml:space="preserve"> </w:t>
      </w:r>
      <w:r w:rsidRPr="00EA59C0">
        <w:t>for</w:t>
      </w:r>
      <w:r w:rsidR="00C026A6" w:rsidRPr="00EA59C0">
        <w:t xml:space="preserve"> </w:t>
      </w:r>
      <w:r w:rsidRPr="00EA59C0">
        <w:t>implementation</w:t>
      </w:r>
      <w:r w:rsidR="00C026A6" w:rsidRPr="00EA59C0">
        <w:t xml:space="preserve"> </w:t>
      </w:r>
      <w:r w:rsidRPr="00EA59C0">
        <w:t>of</w:t>
      </w:r>
      <w:r w:rsidR="00C026A6" w:rsidRPr="00EA59C0">
        <w:t xml:space="preserve"> </w:t>
      </w:r>
      <w:r w:rsidRPr="00EA59C0">
        <w:t>student</w:t>
      </w:r>
      <w:r w:rsidR="00C026A6" w:rsidRPr="00EA59C0">
        <w:t xml:space="preserve"> </w:t>
      </w:r>
      <w:r w:rsidRPr="00EA59C0">
        <w:t>consent</w:t>
      </w:r>
      <w:r w:rsidR="00C026A6" w:rsidRPr="00EA59C0">
        <w:t xml:space="preserve"> </w:t>
      </w:r>
      <w:r w:rsidRPr="00EA59C0">
        <w:t>protocols</w:t>
      </w:r>
      <w:r w:rsidR="00C026A6" w:rsidRPr="00EA59C0">
        <w:t xml:space="preserve"> </w:t>
      </w:r>
      <w:r w:rsidRPr="00EA59C0">
        <w:t>across</w:t>
      </w:r>
      <w:r w:rsidR="00C026A6" w:rsidRPr="00EA59C0">
        <w:t xml:space="preserve"> </w:t>
      </w:r>
      <w:r w:rsidRPr="00EA59C0">
        <w:t>each</w:t>
      </w:r>
      <w:r w:rsidR="00C026A6" w:rsidRPr="00EA59C0">
        <w:t xml:space="preserve"> </w:t>
      </w:r>
      <w:r w:rsidRPr="00EA59C0">
        <w:t>consortium</w:t>
      </w:r>
      <w:r w:rsidR="00C026A6" w:rsidRPr="00EA59C0">
        <w:t xml:space="preserve"> </w:t>
      </w:r>
      <w:r w:rsidRPr="00EA59C0">
        <w:t>institution,</w:t>
      </w:r>
      <w:r w:rsidR="00C026A6" w:rsidRPr="00EA59C0">
        <w:t xml:space="preserve"> </w:t>
      </w:r>
      <w:r w:rsidRPr="00EA59C0">
        <w:t>likelihood</w:t>
      </w:r>
      <w:r w:rsidR="00C026A6" w:rsidRPr="00EA59C0">
        <w:t xml:space="preserve"> </w:t>
      </w:r>
      <w:r w:rsidRPr="00EA59C0">
        <w:t>and</w:t>
      </w:r>
      <w:r w:rsidR="00C026A6" w:rsidRPr="00EA59C0">
        <w:t xml:space="preserve"> </w:t>
      </w:r>
      <w:r w:rsidRPr="00EA59C0">
        <w:t>costs</w:t>
      </w:r>
      <w:r w:rsidR="00C026A6" w:rsidRPr="00EA59C0">
        <w:t xml:space="preserve"> </w:t>
      </w:r>
      <w:r w:rsidRPr="00EA59C0">
        <w:t>for</w:t>
      </w:r>
      <w:r w:rsidR="00C026A6" w:rsidRPr="00EA59C0">
        <w:t xml:space="preserve"> </w:t>
      </w:r>
      <w:r w:rsidRPr="00EA59C0">
        <w:t>obtaining</w:t>
      </w:r>
      <w:r w:rsidR="00C026A6" w:rsidRPr="00EA59C0">
        <w:t xml:space="preserve"> </w:t>
      </w:r>
      <w:r w:rsidRPr="00EA59C0">
        <w:t>data</w:t>
      </w:r>
      <w:r w:rsidR="00C026A6" w:rsidRPr="00EA59C0">
        <w:t xml:space="preserve"> </w:t>
      </w:r>
      <w:r w:rsidRPr="00EA59C0">
        <w:t>from</w:t>
      </w:r>
      <w:r w:rsidR="00C026A6" w:rsidRPr="00EA59C0">
        <w:t xml:space="preserve"> </w:t>
      </w:r>
      <w:r w:rsidRPr="00EA59C0">
        <w:t>the</w:t>
      </w:r>
      <w:r w:rsidR="00C026A6" w:rsidRPr="00EA59C0">
        <w:t xml:space="preserve"> </w:t>
      </w:r>
      <w:r w:rsidRPr="00EA59C0">
        <w:t>state</w:t>
      </w:r>
      <w:r w:rsidR="00C026A6" w:rsidRPr="00EA59C0">
        <w:t xml:space="preserve"> </w:t>
      </w:r>
      <w:r w:rsidRPr="00EA59C0">
        <w:t>agency</w:t>
      </w:r>
      <w:r w:rsidR="00C026A6" w:rsidRPr="00EA59C0">
        <w:t xml:space="preserve"> </w:t>
      </w:r>
      <w:r w:rsidRPr="00EA59C0">
        <w:t>that</w:t>
      </w:r>
      <w:r w:rsidR="00C026A6" w:rsidRPr="00EA59C0">
        <w:t xml:space="preserve"> </w:t>
      </w:r>
      <w:r w:rsidRPr="00EA59C0">
        <w:t>administers</w:t>
      </w:r>
      <w:r w:rsidR="00C026A6" w:rsidRPr="00EA59C0">
        <w:t xml:space="preserve"> </w:t>
      </w:r>
      <w:r w:rsidRPr="00EA59C0">
        <w:t>unemployment</w:t>
      </w:r>
      <w:r w:rsidR="00C026A6" w:rsidRPr="00EA59C0">
        <w:t xml:space="preserve"> </w:t>
      </w:r>
      <w:r w:rsidRPr="00EA59C0">
        <w:t>insurance,</w:t>
      </w:r>
      <w:r w:rsidR="00C026A6" w:rsidRPr="00EA59C0">
        <w:t xml:space="preserve"> </w:t>
      </w:r>
      <w:r w:rsidRPr="00EA59C0">
        <w:t>and</w:t>
      </w:r>
      <w:r w:rsidR="00C026A6" w:rsidRPr="00EA59C0">
        <w:t xml:space="preserve"> </w:t>
      </w:r>
      <w:r w:rsidRPr="00EA59C0">
        <w:t>potential</w:t>
      </w:r>
      <w:r w:rsidR="00C026A6" w:rsidRPr="00EA59C0">
        <w:t xml:space="preserve"> </w:t>
      </w:r>
      <w:r w:rsidRPr="00EA59C0">
        <w:t>for</w:t>
      </w:r>
      <w:r w:rsidR="00C026A6" w:rsidRPr="00EA59C0">
        <w:t xml:space="preserve"> </w:t>
      </w:r>
      <w:r w:rsidRPr="00EA59C0">
        <w:t>participation</w:t>
      </w:r>
      <w:r w:rsidR="00C026A6" w:rsidRPr="00EA59C0">
        <w:t xml:space="preserve"> </w:t>
      </w:r>
      <w:r w:rsidRPr="00EA59C0">
        <w:t>in</w:t>
      </w:r>
      <w:r w:rsidR="00C026A6" w:rsidRPr="00EA59C0">
        <w:t xml:space="preserve"> </w:t>
      </w:r>
      <w:r w:rsidRPr="00EA59C0">
        <w:t>longitudinal</w:t>
      </w:r>
      <w:r w:rsidR="00C026A6" w:rsidRPr="00EA59C0">
        <w:t xml:space="preserve"> </w:t>
      </w:r>
      <w:r w:rsidRPr="00EA59C0">
        <w:t>data</w:t>
      </w:r>
      <w:r w:rsidR="00C026A6" w:rsidRPr="00EA59C0">
        <w:t xml:space="preserve"> </w:t>
      </w:r>
      <w:r w:rsidRPr="00EA59C0">
        <w:t>studies,</w:t>
      </w:r>
      <w:r w:rsidR="00C026A6" w:rsidRPr="00EA59C0">
        <w:t xml:space="preserve"> </w:t>
      </w:r>
      <w:r w:rsidRPr="00EA59C0">
        <w:t>as</w:t>
      </w:r>
      <w:r w:rsidR="00C026A6" w:rsidRPr="00EA59C0">
        <w:t xml:space="preserve"> </w:t>
      </w:r>
      <w:r w:rsidRPr="00EA59C0">
        <w:t>applicable.</w:t>
      </w:r>
      <w:r w:rsidR="00C026A6" w:rsidRPr="00EA59C0">
        <w:t xml:space="preserve"> </w:t>
      </w:r>
    </w:p>
    <w:p w:rsidR="001C339E" w:rsidRPr="00EA59C0" w:rsidRDefault="001C339E" w:rsidP="00C072FA">
      <w:pPr>
        <w:ind w:left="720"/>
      </w:pPr>
    </w:p>
    <w:p w:rsidR="001C339E" w:rsidRPr="00EA59C0" w:rsidRDefault="001C339E" w:rsidP="00C072FA">
      <w:pPr>
        <w:pStyle w:val="ListParagraph"/>
        <w:numPr>
          <w:ilvl w:val="3"/>
          <w:numId w:val="17"/>
        </w:numPr>
      </w:pPr>
      <w:r w:rsidRPr="00EA59C0">
        <w:t>Plan</w:t>
      </w:r>
      <w:r w:rsidR="00C026A6" w:rsidRPr="00EA59C0">
        <w:t xml:space="preserve"> </w:t>
      </w:r>
      <w:r w:rsidRPr="00EA59C0">
        <w:t>to</w:t>
      </w:r>
      <w:r w:rsidR="00C026A6" w:rsidRPr="00EA59C0">
        <w:t xml:space="preserve"> </w:t>
      </w:r>
      <w:r w:rsidRPr="00EA59C0">
        <w:t>Use</w:t>
      </w:r>
      <w:r w:rsidR="00C026A6" w:rsidRPr="00EA59C0">
        <w:t xml:space="preserve"> </w:t>
      </w:r>
      <w:r w:rsidRPr="00EA59C0">
        <w:t>Data</w:t>
      </w:r>
      <w:r w:rsidR="00C026A6" w:rsidRPr="00EA59C0">
        <w:t xml:space="preserve"> </w:t>
      </w:r>
      <w:r w:rsidRPr="00EA59C0">
        <w:t>for</w:t>
      </w:r>
      <w:r w:rsidR="00C026A6" w:rsidRPr="00EA59C0">
        <w:t xml:space="preserve"> </w:t>
      </w:r>
      <w:r w:rsidRPr="00EA59C0">
        <w:t>Continuous</w:t>
      </w:r>
      <w:r w:rsidR="00C026A6" w:rsidRPr="00EA59C0">
        <w:t xml:space="preserve"> </w:t>
      </w:r>
      <w:r w:rsidRPr="00EA59C0">
        <w:t>Improvement</w:t>
      </w:r>
    </w:p>
    <w:p w:rsidR="001C339E" w:rsidRPr="00EA59C0" w:rsidRDefault="001C339E" w:rsidP="00C072FA">
      <w:pPr>
        <w:ind w:left="1440"/>
      </w:pPr>
      <w:r w:rsidRPr="00EA59C0">
        <w:t>Applicants</w:t>
      </w:r>
      <w:r w:rsidR="00C026A6" w:rsidRPr="00EA59C0">
        <w:t xml:space="preserve"> </w:t>
      </w:r>
      <w:r w:rsidRPr="00EA59C0">
        <w:t>should</w:t>
      </w:r>
      <w:r w:rsidR="00C026A6" w:rsidRPr="00EA59C0">
        <w:t xml:space="preserve"> </w:t>
      </w:r>
      <w:r w:rsidRPr="00EA59C0">
        <w:t>also</w:t>
      </w:r>
      <w:r w:rsidR="00C026A6" w:rsidRPr="00EA59C0">
        <w:t xml:space="preserve"> </w:t>
      </w:r>
      <w:r w:rsidRPr="00EA59C0">
        <w:t>discuss</w:t>
      </w:r>
      <w:r w:rsidR="00C026A6" w:rsidRPr="00EA59C0">
        <w:t xml:space="preserve"> </w:t>
      </w:r>
      <w:r w:rsidRPr="00EA59C0">
        <w:t>plans</w:t>
      </w:r>
      <w:r w:rsidR="00C026A6" w:rsidRPr="00EA59C0">
        <w:t xml:space="preserve"> </w:t>
      </w:r>
      <w:r w:rsidRPr="00EA59C0">
        <w:t>using</w:t>
      </w:r>
      <w:r w:rsidR="00C026A6" w:rsidRPr="00EA59C0">
        <w:t xml:space="preserve"> </w:t>
      </w:r>
      <w:r w:rsidRPr="00EA59C0">
        <w:t>an</w:t>
      </w:r>
      <w:r w:rsidR="00C026A6" w:rsidRPr="00EA59C0">
        <w:t xml:space="preserve"> </w:t>
      </w:r>
      <w:r w:rsidRPr="00EA59C0">
        <w:t>employment</w:t>
      </w:r>
      <w:r w:rsidR="00C026A6" w:rsidRPr="00EA59C0">
        <w:t xml:space="preserve"> </w:t>
      </w:r>
      <w:r w:rsidRPr="00EA59C0">
        <w:t>outcomes</w:t>
      </w:r>
      <w:r w:rsidR="00C026A6" w:rsidRPr="00EA59C0">
        <w:t xml:space="preserve"> </w:t>
      </w:r>
      <w:r w:rsidRPr="00EA59C0">
        <w:t>scorecard</w:t>
      </w:r>
      <w:r w:rsidR="00C026A6" w:rsidRPr="00EA59C0">
        <w:t xml:space="preserve"> </w:t>
      </w:r>
      <w:r w:rsidRPr="00EA59C0">
        <w:t>or</w:t>
      </w:r>
      <w:r w:rsidR="00C026A6" w:rsidRPr="00EA59C0">
        <w:t xml:space="preserve"> </w:t>
      </w:r>
      <w:r w:rsidRPr="00EA59C0">
        <w:t>other</w:t>
      </w:r>
      <w:r w:rsidR="00C026A6" w:rsidRPr="00EA59C0">
        <w:t xml:space="preserve"> </w:t>
      </w:r>
      <w:r w:rsidRPr="00EA59C0">
        <w:t>data</w:t>
      </w:r>
      <w:r w:rsidR="00C026A6" w:rsidRPr="00EA59C0">
        <w:t xml:space="preserve"> </w:t>
      </w:r>
      <w:r w:rsidRPr="00EA59C0">
        <w:t>analytics</w:t>
      </w:r>
      <w:r w:rsidR="00C026A6" w:rsidRPr="00EA59C0">
        <w:t xml:space="preserve"> </w:t>
      </w:r>
      <w:r w:rsidRPr="00EA59C0">
        <w:t>that</w:t>
      </w:r>
      <w:r w:rsidR="00C026A6" w:rsidRPr="00EA59C0">
        <w:t xml:space="preserve"> </w:t>
      </w:r>
      <w:r w:rsidRPr="00EA59C0">
        <w:t>will</w:t>
      </w:r>
      <w:r w:rsidR="00C026A6" w:rsidRPr="00EA59C0">
        <w:t xml:space="preserve"> </w:t>
      </w:r>
      <w:r w:rsidRPr="00EA59C0">
        <w:t>help</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monitor</w:t>
      </w:r>
      <w:r w:rsidR="00C026A6" w:rsidRPr="00EA59C0">
        <w:t xml:space="preserve"> </w:t>
      </w:r>
      <w:r w:rsidRPr="00EA59C0">
        <w:t>program</w:t>
      </w:r>
      <w:r w:rsidR="00C026A6" w:rsidRPr="00EA59C0">
        <w:t xml:space="preserve"> </w:t>
      </w:r>
      <w:r w:rsidRPr="00EA59C0">
        <w:t>performance</w:t>
      </w:r>
      <w:r w:rsidR="00C026A6" w:rsidRPr="00EA59C0">
        <w:t xml:space="preserve"> </w:t>
      </w:r>
      <w:r w:rsidRPr="00EA59C0">
        <w:t>at</w:t>
      </w:r>
      <w:r w:rsidR="00C026A6" w:rsidRPr="00EA59C0">
        <w:t xml:space="preserve"> </w:t>
      </w:r>
      <w:r w:rsidRPr="00EA59C0">
        <w:t>their</w:t>
      </w:r>
      <w:r w:rsidR="00C026A6" w:rsidRPr="00EA59C0">
        <w:t xml:space="preserve"> </w:t>
      </w:r>
      <w:r w:rsidRPr="00EA59C0">
        <w:t>institutions,</w:t>
      </w:r>
      <w:r w:rsidR="00C026A6" w:rsidRPr="00EA59C0">
        <w:t xml:space="preserve"> </w:t>
      </w:r>
      <w:r w:rsidRPr="00EA59C0">
        <w:t>improve</w:t>
      </w:r>
      <w:r w:rsidR="00C026A6" w:rsidRPr="00EA59C0">
        <w:t xml:space="preserve"> </w:t>
      </w:r>
      <w:r w:rsidRPr="00EA59C0">
        <w:t>current</w:t>
      </w:r>
      <w:r w:rsidR="00C026A6" w:rsidRPr="00EA59C0">
        <w:t xml:space="preserve"> </w:t>
      </w:r>
      <w:r w:rsidRPr="00EA59C0">
        <w:t>program</w:t>
      </w:r>
      <w:r w:rsidR="00C026A6" w:rsidRPr="00EA59C0">
        <w:t xml:space="preserve"> </w:t>
      </w:r>
      <w:r w:rsidRPr="00EA59C0">
        <w:t>offerings,</w:t>
      </w:r>
      <w:r w:rsidR="00C026A6" w:rsidRPr="00EA59C0">
        <w:t xml:space="preserve"> </w:t>
      </w:r>
      <w:r w:rsidRPr="00EA59C0">
        <w:t>and</w:t>
      </w:r>
      <w:r w:rsidR="00C026A6" w:rsidRPr="00EA59C0">
        <w:t xml:space="preserve"> </w:t>
      </w:r>
      <w:r w:rsidRPr="00EA59C0">
        <w:t>provide</w:t>
      </w:r>
      <w:r w:rsidR="00C026A6" w:rsidRPr="00EA59C0">
        <w:t xml:space="preserve"> </w:t>
      </w:r>
      <w:r w:rsidRPr="00EA59C0">
        <w:t>new</w:t>
      </w:r>
      <w:r w:rsidR="00C026A6" w:rsidRPr="00EA59C0">
        <w:t xml:space="preserve"> </w:t>
      </w:r>
      <w:r w:rsidRPr="00EA59C0">
        <w:t>programs</w:t>
      </w:r>
      <w:r w:rsidR="00C026A6" w:rsidRPr="00EA59C0">
        <w:t xml:space="preserve"> </w:t>
      </w:r>
      <w:r w:rsidRPr="00EA59C0">
        <w:t>that</w:t>
      </w:r>
      <w:r w:rsidR="00C026A6" w:rsidRPr="00EA59C0">
        <w:t xml:space="preserve"> </w:t>
      </w:r>
      <w:r w:rsidRPr="00EA59C0">
        <w:t>will</w:t>
      </w:r>
      <w:r w:rsidR="00C026A6" w:rsidRPr="00EA59C0">
        <w:t xml:space="preserve"> </w:t>
      </w:r>
      <w:r w:rsidRPr="00EA59C0">
        <w:t>provide</w:t>
      </w:r>
      <w:r w:rsidR="00C026A6" w:rsidRPr="00EA59C0">
        <w:t xml:space="preserve"> </w:t>
      </w:r>
      <w:r w:rsidRPr="00EA59C0">
        <w:t>students</w:t>
      </w:r>
      <w:r w:rsidR="00C026A6" w:rsidRPr="00EA59C0">
        <w:t xml:space="preserve"> </w:t>
      </w:r>
      <w:r w:rsidRPr="00EA59C0">
        <w:t>the</w:t>
      </w:r>
      <w:r w:rsidR="00C026A6" w:rsidRPr="00EA59C0">
        <w:t xml:space="preserve"> </w:t>
      </w:r>
      <w:r w:rsidRPr="00EA59C0">
        <w:t>skills</w:t>
      </w:r>
      <w:r w:rsidR="00C026A6" w:rsidRPr="00EA59C0">
        <w:t xml:space="preserve"> </w:t>
      </w:r>
      <w:r w:rsidRPr="00EA59C0">
        <w:t>necessary</w:t>
      </w:r>
      <w:r w:rsidR="00C026A6" w:rsidRPr="00EA59C0">
        <w:t xml:space="preserve"> </w:t>
      </w:r>
      <w:r w:rsidRPr="00EA59C0">
        <w:t>to</w:t>
      </w:r>
      <w:r w:rsidR="00C026A6" w:rsidRPr="00EA59C0">
        <w:t xml:space="preserve"> </w:t>
      </w:r>
      <w:r w:rsidRPr="00EA59C0">
        <w:t>obtain</w:t>
      </w:r>
      <w:r w:rsidR="00C026A6" w:rsidRPr="00EA59C0">
        <w:t xml:space="preserve"> </w:t>
      </w:r>
      <w:r w:rsidRPr="00EA59C0">
        <w:t>employment.</w:t>
      </w:r>
      <w:r w:rsidR="00C026A6" w:rsidRPr="00EA59C0">
        <w:t xml:space="preserve"> </w:t>
      </w:r>
    </w:p>
    <w:p w:rsidR="001C339E" w:rsidRPr="00EA59C0" w:rsidRDefault="00C026A6" w:rsidP="00C072FA">
      <w:pPr>
        <w:ind w:left="720"/>
      </w:pPr>
      <w:r w:rsidRPr="00EA59C0">
        <w:t xml:space="preserve"> </w:t>
      </w:r>
    </w:p>
    <w:p w:rsidR="001C339E" w:rsidRPr="00EA59C0" w:rsidRDefault="001C339E" w:rsidP="00C072FA">
      <w:pPr>
        <w:pStyle w:val="ListParagraph"/>
        <w:numPr>
          <w:ilvl w:val="3"/>
          <w:numId w:val="17"/>
        </w:numPr>
      </w:pPr>
      <w:r w:rsidRPr="00EA59C0">
        <w:t>Estimated</w:t>
      </w:r>
      <w:r w:rsidR="00C026A6" w:rsidRPr="00EA59C0">
        <w:t xml:space="preserve"> </w:t>
      </w:r>
      <w:r w:rsidRPr="00EA59C0">
        <w:t>Costs</w:t>
      </w:r>
    </w:p>
    <w:p w:rsidR="008C5DA4" w:rsidRPr="00EA59C0" w:rsidRDefault="001C339E" w:rsidP="00C072FA">
      <w:pPr>
        <w:ind w:left="1440"/>
      </w:pPr>
      <w:r w:rsidRPr="00EA59C0">
        <w:t>Applicants</w:t>
      </w:r>
      <w:r w:rsidR="00C026A6" w:rsidRPr="00EA59C0">
        <w:t xml:space="preserve"> </w:t>
      </w:r>
      <w:r w:rsidRPr="00EA59C0">
        <w:t>should</w:t>
      </w:r>
      <w:r w:rsidR="00C026A6" w:rsidRPr="00EA59C0">
        <w:t xml:space="preserve"> </w:t>
      </w:r>
      <w:r w:rsidRPr="00EA59C0">
        <w:t>provide</w:t>
      </w:r>
      <w:r w:rsidR="00C026A6" w:rsidRPr="00EA59C0">
        <w:t xml:space="preserve"> </w:t>
      </w:r>
      <w:r w:rsidRPr="00EA59C0">
        <w:t>an</w:t>
      </w:r>
      <w:r w:rsidR="00C026A6" w:rsidRPr="00EA59C0">
        <w:t xml:space="preserve"> </w:t>
      </w:r>
      <w:r w:rsidRPr="00EA59C0">
        <w:t>estimate</w:t>
      </w:r>
      <w:r w:rsidR="00C026A6" w:rsidRPr="00EA59C0">
        <w:t xml:space="preserve"> </w:t>
      </w:r>
      <w:r w:rsidRPr="00EA59C0">
        <w:t>of</w:t>
      </w:r>
      <w:r w:rsidR="00C026A6" w:rsidRPr="00EA59C0">
        <w:t xml:space="preserve"> </w:t>
      </w:r>
      <w:r w:rsidRPr="00EA59C0">
        <w:t>the</w:t>
      </w:r>
      <w:r w:rsidR="00C026A6" w:rsidRPr="00EA59C0">
        <w:t xml:space="preserve"> </w:t>
      </w:r>
      <w:r w:rsidRPr="00EA59C0">
        <w:t>costs</w:t>
      </w:r>
      <w:r w:rsidR="00C026A6" w:rsidRPr="00EA59C0">
        <w:t xml:space="preserve"> </w:t>
      </w:r>
      <w:r w:rsidRPr="00EA59C0">
        <w:t>of</w:t>
      </w:r>
      <w:r w:rsidR="00C026A6" w:rsidRPr="00EA59C0">
        <w:t xml:space="preserve"> </w:t>
      </w:r>
      <w:r w:rsidRPr="00EA59C0">
        <w:t>implementing</w:t>
      </w:r>
      <w:r w:rsidR="00C026A6" w:rsidRPr="00EA59C0">
        <w:t xml:space="preserve"> </w:t>
      </w:r>
      <w:r w:rsidRPr="00EA59C0">
        <w:t>the</w:t>
      </w:r>
      <w:r w:rsidR="00C026A6" w:rsidRPr="00EA59C0">
        <w:t xml:space="preserve"> </w:t>
      </w:r>
      <w:r w:rsidRPr="00EA59C0">
        <w:t>continuous</w:t>
      </w:r>
      <w:r w:rsidR="00C026A6" w:rsidRPr="00EA59C0">
        <w:t xml:space="preserve"> </w:t>
      </w:r>
      <w:r w:rsidRPr="00EA59C0">
        <w:t>improvement</w:t>
      </w:r>
      <w:r w:rsidR="00C026A6" w:rsidRPr="00EA59C0">
        <w:t xml:space="preserve"> </w:t>
      </w:r>
      <w:r w:rsidRPr="00EA59C0">
        <w:t>plan</w:t>
      </w:r>
      <w:r w:rsidR="00C026A6" w:rsidRPr="00EA59C0">
        <w:t xml:space="preserve"> </w:t>
      </w:r>
      <w:r w:rsidRPr="00EA59C0">
        <w:t>across</w:t>
      </w:r>
      <w:r w:rsidR="00C026A6" w:rsidRPr="00EA59C0">
        <w:t xml:space="preserve"> </w:t>
      </w:r>
      <w:r w:rsidRPr="00EA59C0">
        <w:t>all</w:t>
      </w:r>
      <w:r w:rsidR="00C026A6" w:rsidRPr="00EA59C0">
        <w:t xml:space="preserve"> </w:t>
      </w:r>
      <w:r w:rsidRPr="00EA59C0">
        <w:t>consortium</w:t>
      </w:r>
      <w:r w:rsidR="00C026A6" w:rsidRPr="00EA59C0">
        <w:t xml:space="preserve"> </w:t>
      </w:r>
      <w:r w:rsidRPr="00EA59C0">
        <w:t>members.</w:t>
      </w:r>
      <w:r w:rsidR="00C026A6" w:rsidRPr="00EA59C0">
        <w:t xml:space="preserve">  </w:t>
      </w:r>
    </w:p>
    <w:p w:rsidR="008C5DA4" w:rsidRPr="00EA59C0" w:rsidRDefault="008C5DA4" w:rsidP="00C072FA"/>
    <w:bookmarkEnd w:id="14"/>
    <w:p w:rsidR="00144DF0" w:rsidRPr="00EA59C0" w:rsidRDefault="00C707B4" w:rsidP="008826BE">
      <w:pPr>
        <w:pStyle w:val="Heading1"/>
        <w:numPr>
          <w:ilvl w:val="0"/>
          <w:numId w:val="17"/>
        </w:numPr>
        <w:rPr>
          <w:rFonts w:ascii="Times New Roman" w:hAnsi="Times New Roman"/>
        </w:rPr>
      </w:pPr>
      <w:r w:rsidRPr="00EA59C0">
        <w:rPr>
          <w:rFonts w:ascii="Times New Roman" w:hAnsi="Times New Roman"/>
        </w:rPr>
        <w:t>Application</w:t>
      </w:r>
      <w:r w:rsidR="00C026A6" w:rsidRPr="00EA59C0">
        <w:rPr>
          <w:rFonts w:ascii="Times New Roman" w:hAnsi="Times New Roman"/>
        </w:rPr>
        <w:t xml:space="preserve"> </w:t>
      </w:r>
      <w:r w:rsidR="007470AB" w:rsidRPr="00EA59C0">
        <w:rPr>
          <w:rFonts w:ascii="Times New Roman" w:hAnsi="Times New Roman"/>
        </w:rPr>
        <w:t>and</w:t>
      </w:r>
      <w:r w:rsidR="00C026A6" w:rsidRPr="00EA59C0">
        <w:rPr>
          <w:rFonts w:ascii="Times New Roman" w:hAnsi="Times New Roman"/>
        </w:rPr>
        <w:t xml:space="preserve"> </w:t>
      </w:r>
      <w:r w:rsidR="007470AB" w:rsidRPr="00EA59C0">
        <w:rPr>
          <w:rFonts w:ascii="Times New Roman" w:hAnsi="Times New Roman"/>
        </w:rPr>
        <w:t>Submission</w:t>
      </w:r>
      <w:r w:rsidR="00C026A6" w:rsidRPr="00EA59C0">
        <w:rPr>
          <w:rFonts w:ascii="Times New Roman" w:hAnsi="Times New Roman"/>
        </w:rPr>
        <w:t xml:space="preserve"> </w:t>
      </w:r>
      <w:r w:rsidR="007470AB" w:rsidRPr="00EA59C0">
        <w:rPr>
          <w:rFonts w:ascii="Times New Roman" w:hAnsi="Times New Roman"/>
        </w:rPr>
        <w:t>Information</w:t>
      </w:r>
      <w:bookmarkEnd w:id="15"/>
      <w:bookmarkEnd w:id="16"/>
      <w:bookmarkEnd w:id="17"/>
      <w:bookmarkEnd w:id="18"/>
    </w:p>
    <w:p w:rsidR="007470AB" w:rsidRPr="00EA59C0" w:rsidRDefault="007470AB" w:rsidP="00C072FA">
      <w:pPr>
        <w:pStyle w:val="Heading2"/>
        <w:numPr>
          <w:ilvl w:val="1"/>
          <w:numId w:val="17"/>
        </w:numPr>
        <w:spacing w:line="240" w:lineRule="auto"/>
        <w:rPr>
          <w:rFonts w:ascii="Times New Roman" w:hAnsi="Times New Roman"/>
          <w:b w:val="0"/>
          <w:i w:val="0"/>
        </w:rPr>
      </w:pPr>
      <w:r w:rsidRPr="00EA59C0">
        <w:rPr>
          <w:rFonts w:ascii="Times New Roman" w:hAnsi="Times New Roman"/>
          <w:b w:val="0"/>
          <w:i w:val="0"/>
        </w:rPr>
        <w:t>How</w:t>
      </w:r>
      <w:r w:rsidR="00C026A6" w:rsidRPr="00EA59C0">
        <w:rPr>
          <w:rFonts w:ascii="Times New Roman" w:hAnsi="Times New Roman"/>
          <w:b w:val="0"/>
          <w:i w:val="0"/>
        </w:rPr>
        <w:t xml:space="preserve"> </w:t>
      </w:r>
      <w:r w:rsidRPr="00EA59C0">
        <w:rPr>
          <w:rFonts w:ascii="Times New Roman" w:hAnsi="Times New Roman"/>
          <w:b w:val="0"/>
          <w:i w:val="0"/>
        </w:rPr>
        <w:t>to</w:t>
      </w:r>
      <w:r w:rsidR="00C026A6" w:rsidRPr="00EA59C0">
        <w:rPr>
          <w:rFonts w:ascii="Times New Roman" w:hAnsi="Times New Roman"/>
          <w:b w:val="0"/>
          <w:i w:val="0"/>
        </w:rPr>
        <w:t xml:space="preserve"> </w:t>
      </w:r>
      <w:r w:rsidRPr="00EA59C0">
        <w:rPr>
          <w:rFonts w:ascii="Times New Roman" w:hAnsi="Times New Roman"/>
          <w:b w:val="0"/>
          <w:i w:val="0"/>
        </w:rPr>
        <w:t>Obtain</w:t>
      </w:r>
      <w:r w:rsidR="00C026A6" w:rsidRPr="00EA59C0">
        <w:rPr>
          <w:rFonts w:ascii="Times New Roman" w:hAnsi="Times New Roman"/>
          <w:b w:val="0"/>
          <w:i w:val="0"/>
        </w:rPr>
        <w:t xml:space="preserve"> </w:t>
      </w:r>
      <w:r w:rsidRPr="00EA59C0">
        <w:rPr>
          <w:rFonts w:ascii="Times New Roman" w:hAnsi="Times New Roman"/>
          <w:b w:val="0"/>
          <w:i w:val="0"/>
        </w:rPr>
        <w:t>an</w:t>
      </w:r>
      <w:r w:rsidR="00C026A6" w:rsidRPr="00EA59C0">
        <w:rPr>
          <w:rFonts w:ascii="Times New Roman" w:hAnsi="Times New Roman"/>
          <w:b w:val="0"/>
          <w:i w:val="0"/>
        </w:rPr>
        <w:t xml:space="preserve"> </w:t>
      </w:r>
      <w:r w:rsidRPr="00EA59C0">
        <w:rPr>
          <w:rFonts w:ascii="Times New Roman" w:hAnsi="Times New Roman"/>
          <w:b w:val="0"/>
          <w:i w:val="0"/>
        </w:rPr>
        <w:t>Application</w:t>
      </w:r>
      <w:r w:rsidR="00C026A6" w:rsidRPr="00EA59C0">
        <w:rPr>
          <w:rFonts w:ascii="Times New Roman" w:hAnsi="Times New Roman"/>
          <w:b w:val="0"/>
          <w:i w:val="0"/>
        </w:rPr>
        <w:t xml:space="preserve"> </w:t>
      </w:r>
      <w:r w:rsidRPr="00EA59C0">
        <w:rPr>
          <w:rFonts w:ascii="Times New Roman" w:hAnsi="Times New Roman"/>
          <w:b w:val="0"/>
          <w:i w:val="0"/>
        </w:rPr>
        <w:t>Package</w:t>
      </w:r>
    </w:p>
    <w:p w:rsidR="00144DF0" w:rsidRPr="00EA59C0" w:rsidRDefault="007470AB" w:rsidP="00C072FA">
      <w:pPr>
        <w:pStyle w:val="PlainText"/>
        <w:spacing w:before="0" w:beforeAutospacing="0" w:after="0" w:afterAutospacing="0"/>
        <w:ind w:left="720"/>
      </w:pPr>
      <w:r w:rsidRPr="00EA59C0">
        <w:t>This</w:t>
      </w:r>
      <w:r w:rsidR="00C026A6" w:rsidRPr="00EA59C0">
        <w:t xml:space="preserve"> </w:t>
      </w:r>
      <w:r w:rsidRPr="00EA59C0">
        <w:t>SGA</w:t>
      </w:r>
      <w:r w:rsidR="000B501F" w:rsidRPr="00EA59C0">
        <w:t>,</w:t>
      </w:r>
      <w:r w:rsidR="00C026A6" w:rsidRPr="00EA59C0">
        <w:t xml:space="preserve"> </w:t>
      </w:r>
      <w:r w:rsidR="000B501F" w:rsidRPr="00EA59C0">
        <w:t>found</w:t>
      </w:r>
      <w:r w:rsidR="00C026A6" w:rsidRPr="00EA59C0">
        <w:t xml:space="preserve"> </w:t>
      </w:r>
      <w:r w:rsidR="000B501F" w:rsidRPr="00EA59C0">
        <w:t>at</w:t>
      </w:r>
      <w:r w:rsidR="00C026A6" w:rsidRPr="00EA59C0">
        <w:t xml:space="preserve"> </w:t>
      </w:r>
      <w:hyperlink r:id="rId249" w:history="1">
        <w:r w:rsidR="000B501F" w:rsidRPr="00EA59C0">
          <w:rPr>
            <w:rStyle w:val="Hyperlink"/>
            <w:color w:val="auto"/>
          </w:rPr>
          <w:t>www.Grants.gov</w:t>
        </w:r>
      </w:hyperlink>
      <w:r w:rsidR="00C026A6" w:rsidRPr="00EA59C0">
        <w:t xml:space="preserve"> </w:t>
      </w:r>
      <w:r w:rsidR="000B501F" w:rsidRPr="00EA59C0">
        <w:t>and</w:t>
      </w:r>
      <w:r w:rsidR="00C026A6" w:rsidRPr="00EA59C0">
        <w:t xml:space="preserve"> </w:t>
      </w:r>
      <w:hyperlink r:id="rId250" w:history="1">
        <w:r w:rsidR="0066015C" w:rsidRPr="00EA59C0">
          <w:rPr>
            <w:rStyle w:val="Hyperlink"/>
            <w:color w:val="auto"/>
          </w:rPr>
          <w:t>http://www.doleta.gov/grants/find_grants.cfm</w:t>
        </w:r>
      </w:hyperlink>
      <w:r w:rsidR="000B501F" w:rsidRPr="00EA59C0">
        <w:t>,</w:t>
      </w:r>
      <w:r w:rsidR="00C026A6" w:rsidRPr="00EA59C0">
        <w:t xml:space="preserve"> </w:t>
      </w:r>
      <w:r w:rsidRPr="00EA59C0">
        <w:t>contains</w:t>
      </w:r>
      <w:r w:rsidR="00C026A6" w:rsidRPr="00EA59C0">
        <w:t xml:space="preserve"> </w:t>
      </w:r>
      <w:r w:rsidRPr="00EA59C0">
        <w:t>all</w:t>
      </w:r>
      <w:r w:rsidR="00C026A6" w:rsidRPr="00EA59C0">
        <w:t xml:space="preserve"> </w:t>
      </w:r>
      <w:r w:rsidRPr="00EA59C0">
        <w:t>of</w:t>
      </w:r>
      <w:r w:rsidR="00C026A6" w:rsidRPr="00EA59C0">
        <w:t xml:space="preserve"> </w:t>
      </w:r>
      <w:r w:rsidRPr="00EA59C0">
        <w:t>the</w:t>
      </w:r>
      <w:r w:rsidR="00C026A6" w:rsidRPr="00EA59C0">
        <w:t xml:space="preserve"> </w:t>
      </w:r>
      <w:r w:rsidRPr="00EA59C0">
        <w:t>information</w:t>
      </w:r>
      <w:r w:rsidR="00C026A6" w:rsidRPr="00EA59C0">
        <w:t xml:space="preserve"> </w:t>
      </w:r>
      <w:r w:rsidRPr="00EA59C0">
        <w:t>and</w:t>
      </w:r>
      <w:r w:rsidR="00C026A6" w:rsidRPr="00EA59C0">
        <w:t xml:space="preserve"> </w:t>
      </w:r>
      <w:r w:rsidRPr="00EA59C0">
        <w:t>links</w:t>
      </w:r>
      <w:r w:rsidR="00C026A6" w:rsidRPr="00EA59C0">
        <w:t xml:space="preserve"> </w:t>
      </w:r>
      <w:r w:rsidRPr="00EA59C0">
        <w:t>to</w:t>
      </w:r>
      <w:r w:rsidR="00C026A6" w:rsidRPr="00EA59C0">
        <w:t xml:space="preserve"> </w:t>
      </w:r>
      <w:r w:rsidRPr="00EA59C0">
        <w:t>forms</w:t>
      </w:r>
      <w:r w:rsidR="00C026A6" w:rsidRPr="00EA59C0">
        <w:t xml:space="preserve"> </w:t>
      </w:r>
      <w:r w:rsidRPr="00EA59C0">
        <w:t>needed</w:t>
      </w:r>
      <w:r w:rsidR="00C026A6" w:rsidRPr="00EA59C0">
        <w:t xml:space="preserve"> </w:t>
      </w:r>
      <w:r w:rsidRPr="00EA59C0">
        <w:t>to</w:t>
      </w:r>
      <w:r w:rsidR="00C026A6" w:rsidRPr="00EA59C0">
        <w:t xml:space="preserve"> </w:t>
      </w:r>
      <w:r w:rsidRPr="00EA59C0">
        <w:t>apply</w:t>
      </w:r>
      <w:r w:rsidR="00C026A6" w:rsidRPr="00EA59C0">
        <w:t xml:space="preserve"> </w:t>
      </w:r>
      <w:r w:rsidRPr="00EA59C0">
        <w:t>for</w:t>
      </w:r>
      <w:r w:rsidR="00C026A6" w:rsidRPr="00EA59C0">
        <w:t xml:space="preserve"> </w:t>
      </w:r>
      <w:r w:rsidRPr="00EA59C0">
        <w:t>grant</w:t>
      </w:r>
      <w:r w:rsidR="00C026A6" w:rsidRPr="00EA59C0">
        <w:t xml:space="preserve"> </w:t>
      </w:r>
      <w:r w:rsidRPr="00EA59C0">
        <w:t>funding.</w:t>
      </w:r>
      <w:r w:rsidR="00C026A6" w:rsidRPr="00EA59C0">
        <w:t xml:space="preserve">  </w:t>
      </w:r>
    </w:p>
    <w:p w:rsidR="000B501F" w:rsidRPr="00EA59C0" w:rsidRDefault="000B501F" w:rsidP="00C072FA">
      <w:pPr>
        <w:keepNext/>
      </w:pPr>
      <w:bookmarkStart w:id="19" w:name="_Toc207778224"/>
      <w:bookmarkStart w:id="20" w:name="_Toc208654624"/>
      <w:bookmarkStart w:id="21" w:name="_Toc228885500"/>
      <w:bookmarkStart w:id="22" w:name="_Toc229889158"/>
    </w:p>
    <w:p w:rsidR="007470AB" w:rsidRPr="00EA59C0" w:rsidRDefault="007470AB" w:rsidP="00C072FA">
      <w:pPr>
        <w:pStyle w:val="Heading2"/>
        <w:numPr>
          <w:ilvl w:val="1"/>
          <w:numId w:val="17"/>
        </w:numPr>
        <w:spacing w:line="240" w:lineRule="auto"/>
        <w:rPr>
          <w:b w:val="0"/>
          <w:i w:val="0"/>
        </w:rPr>
      </w:pPr>
      <w:r w:rsidRPr="00EA59C0">
        <w:rPr>
          <w:b w:val="0"/>
          <w:i w:val="0"/>
        </w:rPr>
        <w:t>Content</w:t>
      </w:r>
      <w:r w:rsidR="00C026A6" w:rsidRPr="00EA59C0">
        <w:rPr>
          <w:b w:val="0"/>
          <w:i w:val="0"/>
        </w:rPr>
        <w:t xml:space="preserve"> </w:t>
      </w:r>
      <w:r w:rsidRPr="00EA59C0">
        <w:rPr>
          <w:b w:val="0"/>
          <w:i w:val="0"/>
        </w:rPr>
        <w:t>and</w:t>
      </w:r>
      <w:r w:rsidR="00C026A6" w:rsidRPr="00EA59C0">
        <w:rPr>
          <w:b w:val="0"/>
          <w:i w:val="0"/>
        </w:rPr>
        <w:t xml:space="preserve"> </w:t>
      </w:r>
      <w:r w:rsidRPr="00EA59C0">
        <w:rPr>
          <w:rFonts w:ascii="Times New Roman" w:hAnsi="Times New Roman"/>
          <w:b w:val="0"/>
          <w:i w:val="0"/>
        </w:rPr>
        <w:t>Form</w:t>
      </w:r>
      <w:r w:rsidR="00C026A6" w:rsidRPr="00EA59C0">
        <w:rPr>
          <w:b w:val="0"/>
          <w:i w:val="0"/>
        </w:rPr>
        <w:t xml:space="preserve"> </w:t>
      </w:r>
      <w:r w:rsidRPr="00EA59C0">
        <w:rPr>
          <w:b w:val="0"/>
          <w:i w:val="0"/>
        </w:rPr>
        <w:t>of</w:t>
      </w:r>
      <w:r w:rsidR="00C026A6" w:rsidRPr="00EA59C0">
        <w:rPr>
          <w:b w:val="0"/>
          <w:i w:val="0"/>
        </w:rPr>
        <w:t xml:space="preserve"> </w:t>
      </w:r>
      <w:r w:rsidRPr="00EA59C0">
        <w:rPr>
          <w:b w:val="0"/>
          <w:i w:val="0"/>
        </w:rPr>
        <w:t>Application</w:t>
      </w:r>
      <w:r w:rsidR="00C026A6" w:rsidRPr="00EA59C0">
        <w:rPr>
          <w:b w:val="0"/>
          <w:i w:val="0"/>
        </w:rPr>
        <w:t xml:space="preserve"> </w:t>
      </w:r>
      <w:r w:rsidRPr="00EA59C0">
        <w:rPr>
          <w:b w:val="0"/>
          <w:i w:val="0"/>
        </w:rPr>
        <w:t>Submission</w:t>
      </w:r>
      <w:r w:rsidR="00C026A6" w:rsidRPr="00EA59C0">
        <w:rPr>
          <w:b w:val="0"/>
          <w:i w:val="0"/>
        </w:rPr>
        <w:t xml:space="preserve"> </w:t>
      </w:r>
    </w:p>
    <w:p w:rsidR="00144DF0" w:rsidRPr="00EA59C0" w:rsidRDefault="007470AB" w:rsidP="00C072FA">
      <w:pPr>
        <w:ind w:left="720"/>
      </w:pPr>
      <w:r w:rsidRPr="00EA59C0">
        <w:t>Proposals</w:t>
      </w:r>
      <w:r w:rsidR="00C026A6" w:rsidRPr="00EA59C0">
        <w:t xml:space="preserve"> </w:t>
      </w:r>
      <w:r w:rsidRPr="00EA59C0">
        <w:t>submitted</w:t>
      </w:r>
      <w:r w:rsidR="00C026A6" w:rsidRPr="00EA59C0">
        <w:t xml:space="preserve"> </w:t>
      </w:r>
      <w:r w:rsidRPr="00EA59C0">
        <w:t>in</w:t>
      </w:r>
      <w:r w:rsidR="00C026A6" w:rsidRPr="00EA59C0">
        <w:t xml:space="preserve"> </w:t>
      </w:r>
      <w:r w:rsidRPr="00EA59C0">
        <w:t>response</w:t>
      </w:r>
      <w:r w:rsidR="00C026A6" w:rsidRPr="00EA59C0">
        <w:t xml:space="preserve"> </w:t>
      </w:r>
      <w:r w:rsidRPr="00EA59C0">
        <w:t>to</w:t>
      </w:r>
      <w:r w:rsidR="00C026A6" w:rsidRPr="00EA59C0">
        <w:t xml:space="preserve"> </w:t>
      </w:r>
      <w:r w:rsidRPr="00EA59C0">
        <w:t>this</w:t>
      </w:r>
      <w:r w:rsidR="00C026A6" w:rsidRPr="00EA59C0">
        <w:t xml:space="preserve"> </w:t>
      </w:r>
      <w:r w:rsidRPr="00EA59C0">
        <w:t>SGA</w:t>
      </w:r>
      <w:r w:rsidR="00C026A6" w:rsidRPr="00EA59C0">
        <w:t xml:space="preserve"> </w:t>
      </w:r>
      <w:r w:rsidRPr="00EA59C0">
        <w:t>must</w:t>
      </w:r>
      <w:r w:rsidR="00C026A6" w:rsidRPr="00EA59C0">
        <w:t xml:space="preserve"> </w:t>
      </w:r>
      <w:r w:rsidRPr="00EA59C0">
        <w:t>consist</w:t>
      </w:r>
      <w:r w:rsidR="00C026A6" w:rsidRPr="00EA59C0">
        <w:t xml:space="preserve"> </w:t>
      </w:r>
      <w:r w:rsidRPr="00EA59C0">
        <w:t>of</w:t>
      </w:r>
      <w:r w:rsidR="00C026A6" w:rsidRPr="00EA59C0">
        <w:t xml:space="preserve"> </w:t>
      </w:r>
      <w:r w:rsidR="00A65648" w:rsidRPr="00EA59C0">
        <w:t>four</w:t>
      </w:r>
      <w:r w:rsidR="00C026A6" w:rsidRPr="00EA59C0">
        <w:t xml:space="preserve"> </w:t>
      </w:r>
      <w:r w:rsidRPr="00EA59C0">
        <w:t>separate</w:t>
      </w:r>
      <w:r w:rsidR="00C026A6" w:rsidRPr="00EA59C0">
        <w:t xml:space="preserve"> </w:t>
      </w:r>
      <w:r w:rsidRPr="00EA59C0">
        <w:t>and</w:t>
      </w:r>
      <w:r w:rsidR="00C026A6" w:rsidRPr="00EA59C0">
        <w:t xml:space="preserve"> </w:t>
      </w:r>
      <w:r w:rsidRPr="00EA59C0">
        <w:t>distinct</w:t>
      </w:r>
      <w:r w:rsidR="00C026A6" w:rsidRPr="00EA59C0">
        <w:t xml:space="preserve"> </w:t>
      </w:r>
      <w:r w:rsidRPr="00EA59C0">
        <w:t>parts:</w:t>
      </w:r>
      <w:r w:rsidR="00C026A6" w:rsidRPr="00EA59C0">
        <w:t xml:space="preserve">  </w:t>
      </w:r>
      <w:r w:rsidRPr="00EA59C0">
        <w:t>(</w:t>
      </w:r>
      <w:r w:rsidR="00A65648" w:rsidRPr="00EA59C0">
        <w:t>1</w:t>
      </w:r>
      <w:r w:rsidRPr="00EA59C0">
        <w:t>)</w:t>
      </w:r>
      <w:r w:rsidR="00C026A6" w:rsidRPr="00EA59C0">
        <w:t xml:space="preserve"> </w:t>
      </w:r>
      <w:r w:rsidR="00A65648" w:rsidRPr="00EA59C0">
        <w:t>the</w:t>
      </w:r>
      <w:r w:rsidR="00C026A6" w:rsidRPr="00EA59C0">
        <w:t xml:space="preserve"> </w:t>
      </w:r>
      <w:r w:rsidR="00A65648" w:rsidRPr="00EA59C0">
        <w:t>SF-424</w:t>
      </w:r>
      <w:r w:rsidR="00C026A6" w:rsidRPr="00EA59C0">
        <w:t xml:space="preserve"> </w:t>
      </w:r>
      <w:r w:rsidR="00A65648" w:rsidRPr="00EA59C0">
        <w:t>“Application</w:t>
      </w:r>
      <w:r w:rsidR="00C026A6" w:rsidRPr="00EA59C0">
        <w:t xml:space="preserve"> </w:t>
      </w:r>
      <w:r w:rsidR="00A65648" w:rsidRPr="00EA59C0">
        <w:t>for</w:t>
      </w:r>
      <w:r w:rsidR="00C026A6" w:rsidRPr="00EA59C0">
        <w:t xml:space="preserve"> </w:t>
      </w:r>
      <w:r w:rsidR="00A65648" w:rsidRPr="00EA59C0">
        <w:t>Federal</w:t>
      </w:r>
      <w:r w:rsidR="00C026A6" w:rsidRPr="00EA59C0">
        <w:t xml:space="preserve"> </w:t>
      </w:r>
      <w:r w:rsidR="00A65648" w:rsidRPr="00EA59C0">
        <w:t>Assistance;”</w:t>
      </w:r>
      <w:r w:rsidR="00C026A6" w:rsidRPr="00EA59C0">
        <w:t xml:space="preserve"> </w:t>
      </w:r>
      <w:r w:rsidRPr="00EA59C0">
        <w:t>(</w:t>
      </w:r>
      <w:r w:rsidR="00A65648" w:rsidRPr="00EA59C0">
        <w:t>2</w:t>
      </w:r>
      <w:r w:rsidRPr="00EA59C0">
        <w:t>)</w:t>
      </w:r>
      <w:r w:rsidR="00C026A6" w:rsidRPr="00EA59C0">
        <w:t xml:space="preserve"> </w:t>
      </w:r>
      <w:r w:rsidR="00A65648" w:rsidRPr="00EA59C0">
        <w:t>Project</w:t>
      </w:r>
      <w:r w:rsidR="00C026A6" w:rsidRPr="00EA59C0">
        <w:t xml:space="preserve"> </w:t>
      </w:r>
      <w:r w:rsidR="00A65648" w:rsidRPr="00EA59C0">
        <w:t>Budget</w:t>
      </w:r>
      <w:r w:rsidRPr="00EA59C0">
        <w:t>;</w:t>
      </w:r>
      <w:r w:rsidR="00C026A6" w:rsidRPr="00EA59C0">
        <w:t xml:space="preserve"> </w:t>
      </w:r>
      <w:r w:rsidRPr="00EA59C0">
        <w:t>(</w:t>
      </w:r>
      <w:r w:rsidR="00A65648" w:rsidRPr="00EA59C0">
        <w:t>3</w:t>
      </w:r>
      <w:r w:rsidRPr="00EA59C0">
        <w:t>)</w:t>
      </w:r>
      <w:r w:rsidR="00C026A6" w:rsidRPr="00EA59C0">
        <w:t xml:space="preserve"> </w:t>
      </w:r>
      <w:r w:rsidR="00A65648" w:rsidRPr="00EA59C0">
        <w:t>Project</w:t>
      </w:r>
      <w:r w:rsidR="00C026A6" w:rsidRPr="00EA59C0">
        <w:t xml:space="preserve"> </w:t>
      </w:r>
      <w:r w:rsidR="00A65648" w:rsidRPr="00EA59C0">
        <w:t>Narrative;</w:t>
      </w:r>
      <w:r w:rsidR="00C026A6" w:rsidRPr="00EA59C0">
        <w:t xml:space="preserve"> </w:t>
      </w:r>
      <w:r w:rsidR="00A65648" w:rsidRPr="00EA59C0">
        <w:t>and</w:t>
      </w:r>
      <w:r w:rsidR="00C026A6" w:rsidRPr="00EA59C0">
        <w:t xml:space="preserve"> </w:t>
      </w:r>
      <w:r w:rsidR="00A65648" w:rsidRPr="00EA59C0">
        <w:t>(4)</w:t>
      </w:r>
      <w:r w:rsidR="00C026A6" w:rsidRPr="00EA59C0">
        <w:t xml:space="preserve"> </w:t>
      </w:r>
      <w:r w:rsidRPr="00EA59C0">
        <w:t>attachments</w:t>
      </w:r>
      <w:r w:rsidR="00C026A6" w:rsidRPr="00EA59C0">
        <w:t xml:space="preserve"> </w:t>
      </w:r>
      <w:r w:rsidRPr="00EA59C0">
        <w:t>to</w:t>
      </w:r>
      <w:r w:rsidR="00C026A6" w:rsidRPr="00EA59C0">
        <w:t xml:space="preserve"> </w:t>
      </w:r>
      <w:r w:rsidRPr="00EA59C0">
        <w:t>the</w:t>
      </w:r>
      <w:r w:rsidR="00C026A6" w:rsidRPr="00EA59C0">
        <w:t xml:space="preserve"> </w:t>
      </w:r>
      <w:r w:rsidR="00A65648" w:rsidRPr="00EA59C0">
        <w:t>Project</w:t>
      </w:r>
      <w:r w:rsidR="00C026A6" w:rsidRPr="00EA59C0">
        <w:t xml:space="preserve"> </w:t>
      </w:r>
      <w:r w:rsidR="00A65648" w:rsidRPr="00EA59C0">
        <w:t>Narrative</w:t>
      </w:r>
      <w:r w:rsidRPr="00EA59C0">
        <w:t>.</w:t>
      </w:r>
      <w:r w:rsidR="00C026A6" w:rsidRPr="00EA59C0">
        <w:t xml:space="preserve">  </w:t>
      </w:r>
      <w:r w:rsidR="00DF6F82" w:rsidRPr="00EA59C0">
        <w:t>The</w:t>
      </w:r>
      <w:r w:rsidR="00C026A6" w:rsidRPr="00EA59C0">
        <w:t xml:space="preserve"> </w:t>
      </w:r>
      <w:r w:rsidR="00DF6F82" w:rsidRPr="00EA59C0">
        <w:t>proposal</w:t>
      </w:r>
      <w:r w:rsidR="00C026A6" w:rsidRPr="00EA59C0">
        <w:t xml:space="preserve"> </w:t>
      </w:r>
      <w:r w:rsidR="00732503" w:rsidRPr="00EA59C0">
        <w:t>may</w:t>
      </w:r>
      <w:r w:rsidR="00C026A6" w:rsidRPr="00EA59C0">
        <w:t xml:space="preserve"> </w:t>
      </w:r>
      <w:r w:rsidR="00DF6F82" w:rsidRPr="00EA59C0">
        <w:t>include</w:t>
      </w:r>
      <w:r w:rsidR="00C026A6" w:rsidRPr="00EA59C0">
        <w:t xml:space="preserve"> </w:t>
      </w:r>
      <w:r w:rsidR="00DF6F82" w:rsidRPr="00EA59C0">
        <w:t>a</w:t>
      </w:r>
      <w:r w:rsidR="00C026A6" w:rsidRPr="00EA59C0">
        <w:t xml:space="preserve"> </w:t>
      </w:r>
      <w:r w:rsidR="00DF6F82" w:rsidRPr="00EA59C0">
        <w:t>fifth</w:t>
      </w:r>
      <w:r w:rsidR="00C026A6" w:rsidRPr="00EA59C0">
        <w:t xml:space="preserve"> </w:t>
      </w:r>
      <w:r w:rsidR="00DF6F82" w:rsidRPr="00EA59C0">
        <w:t>part,</w:t>
      </w:r>
      <w:r w:rsidR="00C026A6" w:rsidRPr="00EA59C0">
        <w:t xml:space="preserve"> </w:t>
      </w:r>
      <w:r w:rsidR="00DF6F82" w:rsidRPr="00EA59C0">
        <w:t>if</w:t>
      </w:r>
      <w:r w:rsidR="00C026A6" w:rsidRPr="00EA59C0">
        <w:t xml:space="preserve"> </w:t>
      </w:r>
      <w:r w:rsidR="00DF6F82" w:rsidRPr="00EA59C0">
        <w:t>consortium</w:t>
      </w:r>
      <w:r w:rsidR="00C026A6" w:rsidRPr="00EA59C0">
        <w:t xml:space="preserve"> </w:t>
      </w:r>
      <w:r w:rsidR="00DF6F82" w:rsidRPr="00EA59C0">
        <w:t>applicants</w:t>
      </w:r>
      <w:r w:rsidR="00C026A6" w:rsidRPr="00EA59C0">
        <w:t xml:space="preserve"> </w:t>
      </w:r>
      <w:r w:rsidR="00DF6F82" w:rsidRPr="00EA59C0">
        <w:t>seek</w:t>
      </w:r>
      <w:r w:rsidR="00C026A6" w:rsidRPr="00EA59C0">
        <w:t xml:space="preserve"> </w:t>
      </w:r>
      <w:r w:rsidR="00DF6F82" w:rsidRPr="00EA59C0">
        <w:t>to</w:t>
      </w:r>
      <w:r w:rsidR="00C026A6" w:rsidRPr="00EA59C0">
        <w:t xml:space="preserve"> </w:t>
      </w:r>
      <w:r w:rsidR="00DF6F82" w:rsidRPr="00EA59C0">
        <w:t>exceed</w:t>
      </w:r>
      <w:r w:rsidR="00C026A6" w:rsidRPr="00EA59C0">
        <w:t xml:space="preserve"> </w:t>
      </w:r>
      <w:r w:rsidR="00DF6F82" w:rsidRPr="00EA59C0">
        <w:t>the</w:t>
      </w:r>
      <w:r w:rsidR="00C026A6" w:rsidRPr="00EA59C0">
        <w:t xml:space="preserve"> </w:t>
      </w:r>
      <w:r w:rsidR="00732503" w:rsidRPr="00EA59C0">
        <w:t>ceiling</w:t>
      </w:r>
      <w:r w:rsidR="00DF6F82" w:rsidRPr="00EA59C0">
        <w:t>,</w:t>
      </w:r>
      <w:r w:rsidR="00C026A6" w:rsidRPr="00EA59C0">
        <w:t xml:space="preserve"> </w:t>
      </w:r>
      <w:r w:rsidR="00DF6F82" w:rsidRPr="00EA59C0">
        <w:t>as</w:t>
      </w:r>
      <w:r w:rsidR="00C026A6" w:rsidRPr="00EA59C0">
        <w:t xml:space="preserve"> </w:t>
      </w:r>
      <w:r w:rsidR="00DF6F82" w:rsidRPr="00EA59C0">
        <w:t>described</w:t>
      </w:r>
      <w:r w:rsidR="00C026A6" w:rsidRPr="00EA59C0">
        <w:t xml:space="preserve"> </w:t>
      </w:r>
      <w:r w:rsidR="00DF6F82" w:rsidRPr="00EA59C0">
        <w:t>in</w:t>
      </w:r>
      <w:r w:rsidR="00C026A6" w:rsidRPr="00EA59C0">
        <w:t xml:space="preserve"> </w:t>
      </w:r>
      <w:r w:rsidR="00DF6F82" w:rsidRPr="00EA59C0">
        <w:t>Section</w:t>
      </w:r>
      <w:r w:rsidR="00C026A6" w:rsidRPr="00EA59C0">
        <w:t xml:space="preserve"> </w:t>
      </w:r>
      <w:r w:rsidR="00DF6F82" w:rsidRPr="00EA59C0">
        <w:t>V.B.</w:t>
      </w:r>
      <w:r w:rsidR="00C026A6" w:rsidRPr="00EA59C0">
        <w:t xml:space="preserve">  </w:t>
      </w:r>
      <w:r w:rsidRPr="00EA59C0">
        <w:t>It</w:t>
      </w:r>
      <w:r w:rsidR="00C026A6" w:rsidRPr="00EA59C0">
        <w:t xml:space="preserve"> </w:t>
      </w:r>
      <w:r w:rsidRPr="00EA59C0">
        <w:t>is</w:t>
      </w:r>
      <w:r w:rsidR="00C026A6" w:rsidRPr="00EA59C0">
        <w:t xml:space="preserve"> </w:t>
      </w:r>
      <w:r w:rsidRPr="00EA59C0">
        <w:t>the</w:t>
      </w:r>
      <w:r w:rsidR="00C026A6" w:rsidRPr="00EA59C0">
        <w:t xml:space="preserve"> </w:t>
      </w:r>
      <w:r w:rsidRPr="00EA59C0">
        <w:t>applicant’s</w:t>
      </w:r>
      <w:r w:rsidR="00C026A6" w:rsidRPr="00EA59C0">
        <w:t xml:space="preserve"> </w:t>
      </w:r>
      <w:r w:rsidRPr="00EA59C0">
        <w:t>responsibility</w:t>
      </w:r>
      <w:r w:rsidR="00C026A6" w:rsidRPr="00EA59C0">
        <w:t xml:space="preserve"> </w:t>
      </w:r>
      <w:r w:rsidRPr="00EA59C0">
        <w:t>to</w:t>
      </w:r>
      <w:r w:rsidR="00C026A6" w:rsidRPr="00EA59C0">
        <w:t xml:space="preserve"> </w:t>
      </w:r>
      <w:r w:rsidRPr="00EA59C0">
        <w:t>ensure</w:t>
      </w:r>
      <w:r w:rsidR="00C026A6" w:rsidRPr="00EA59C0">
        <w:t xml:space="preserve"> </w:t>
      </w:r>
      <w:r w:rsidRPr="00EA59C0">
        <w:t>that</w:t>
      </w:r>
      <w:r w:rsidR="00C026A6" w:rsidRPr="00EA59C0">
        <w:t xml:space="preserve"> </w:t>
      </w:r>
      <w:r w:rsidRPr="00EA59C0">
        <w:t>the</w:t>
      </w:r>
      <w:r w:rsidR="00C026A6" w:rsidRPr="00EA59C0">
        <w:t xml:space="preserve"> </w:t>
      </w:r>
      <w:r w:rsidRPr="00EA59C0">
        <w:t>funding</w:t>
      </w:r>
      <w:r w:rsidR="00C026A6" w:rsidRPr="00EA59C0">
        <w:t xml:space="preserve"> </w:t>
      </w:r>
      <w:r w:rsidRPr="00EA59C0">
        <w:t>amount</w:t>
      </w:r>
      <w:r w:rsidR="00C026A6" w:rsidRPr="00EA59C0">
        <w:t xml:space="preserve"> </w:t>
      </w:r>
      <w:r w:rsidRPr="00EA59C0">
        <w:t>requested</w:t>
      </w:r>
      <w:r w:rsidR="00C026A6" w:rsidRPr="00EA59C0">
        <w:t xml:space="preserve"> </w:t>
      </w:r>
      <w:r w:rsidRPr="00EA59C0">
        <w:t>is</w:t>
      </w:r>
      <w:r w:rsidR="00C026A6" w:rsidRPr="00EA59C0">
        <w:t xml:space="preserve"> </w:t>
      </w:r>
      <w:r w:rsidRPr="00EA59C0">
        <w:t>consistent</w:t>
      </w:r>
      <w:r w:rsidR="00C026A6" w:rsidRPr="00EA59C0">
        <w:t xml:space="preserve"> </w:t>
      </w:r>
      <w:r w:rsidRPr="00EA59C0">
        <w:t>across</w:t>
      </w:r>
      <w:r w:rsidR="00C026A6" w:rsidRPr="00EA59C0">
        <w:t xml:space="preserve"> </w:t>
      </w:r>
      <w:r w:rsidRPr="00EA59C0">
        <w:t>all</w:t>
      </w:r>
      <w:r w:rsidR="00C026A6" w:rsidRPr="00EA59C0">
        <w:t xml:space="preserve"> </w:t>
      </w:r>
      <w:r w:rsidRPr="00EA59C0">
        <w:t>parts</w:t>
      </w:r>
      <w:r w:rsidR="00C026A6" w:rsidRPr="00EA59C0">
        <w:t xml:space="preserve"> </w:t>
      </w:r>
      <w:r w:rsidRPr="00EA59C0">
        <w:t>and</w:t>
      </w:r>
      <w:r w:rsidR="00C026A6" w:rsidRPr="00EA59C0">
        <w:t xml:space="preserve"> </w:t>
      </w:r>
      <w:r w:rsidRPr="00EA59C0">
        <w:t>sub-parts</w:t>
      </w:r>
      <w:r w:rsidR="00C026A6" w:rsidRPr="00EA59C0">
        <w:t xml:space="preserve"> </w:t>
      </w:r>
      <w:r w:rsidRPr="00EA59C0">
        <w:t>of</w:t>
      </w:r>
      <w:r w:rsidR="00C026A6" w:rsidRPr="00EA59C0">
        <w:t xml:space="preserve"> </w:t>
      </w:r>
      <w:r w:rsidRPr="00EA59C0">
        <w:t>the</w:t>
      </w:r>
      <w:r w:rsidR="00C026A6" w:rsidRPr="00EA59C0">
        <w:t xml:space="preserve"> </w:t>
      </w:r>
      <w:r w:rsidRPr="00EA59C0">
        <w:t>application.</w:t>
      </w:r>
    </w:p>
    <w:p w:rsidR="00144DF0" w:rsidRPr="00EA59C0" w:rsidRDefault="00144DF0" w:rsidP="00C072FA"/>
    <w:p w:rsidR="00144DF0" w:rsidRPr="00EA59C0" w:rsidRDefault="00D81847" w:rsidP="00C072FA">
      <w:pPr>
        <w:pStyle w:val="Heading2"/>
        <w:numPr>
          <w:ilvl w:val="2"/>
          <w:numId w:val="17"/>
        </w:numPr>
        <w:spacing w:line="240" w:lineRule="auto"/>
        <w:rPr>
          <w:rFonts w:ascii="Times New Roman" w:hAnsi="Times New Roman"/>
          <w:b w:val="0"/>
          <w:i w:val="0"/>
        </w:rPr>
      </w:pPr>
      <w:r w:rsidRPr="00EA59C0">
        <w:rPr>
          <w:rFonts w:ascii="Times New Roman" w:hAnsi="Times New Roman"/>
          <w:b w:val="0"/>
          <w:i w:val="0"/>
        </w:rPr>
        <w:t>SF-424,</w:t>
      </w:r>
      <w:r w:rsidR="00C026A6" w:rsidRPr="00EA59C0">
        <w:rPr>
          <w:rFonts w:ascii="Times New Roman" w:hAnsi="Times New Roman"/>
          <w:b w:val="0"/>
          <w:i w:val="0"/>
        </w:rPr>
        <w:t xml:space="preserve"> </w:t>
      </w:r>
      <w:r w:rsidRPr="00EA59C0">
        <w:rPr>
          <w:rFonts w:ascii="Times New Roman" w:hAnsi="Times New Roman"/>
          <w:b w:val="0"/>
          <w:i w:val="0"/>
        </w:rPr>
        <w:t>“</w:t>
      </w:r>
      <w:r w:rsidR="00A65648" w:rsidRPr="00EA59C0">
        <w:rPr>
          <w:rFonts w:ascii="Times New Roman" w:hAnsi="Times New Roman"/>
          <w:b w:val="0"/>
          <w:i w:val="0"/>
        </w:rPr>
        <w:t>Application</w:t>
      </w:r>
      <w:r w:rsidR="00C026A6" w:rsidRPr="00EA59C0">
        <w:rPr>
          <w:rFonts w:ascii="Times New Roman" w:hAnsi="Times New Roman"/>
          <w:b w:val="0"/>
          <w:i w:val="0"/>
        </w:rPr>
        <w:t xml:space="preserve"> </w:t>
      </w:r>
      <w:r w:rsidR="00A65648" w:rsidRPr="00EA59C0">
        <w:rPr>
          <w:rFonts w:ascii="Times New Roman" w:hAnsi="Times New Roman"/>
          <w:b w:val="0"/>
          <w:i w:val="0"/>
        </w:rPr>
        <w:t>for</w:t>
      </w:r>
      <w:r w:rsidR="00C026A6" w:rsidRPr="00EA59C0">
        <w:rPr>
          <w:rFonts w:ascii="Times New Roman" w:hAnsi="Times New Roman"/>
          <w:b w:val="0"/>
          <w:i w:val="0"/>
        </w:rPr>
        <w:t xml:space="preserve"> </w:t>
      </w:r>
      <w:r w:rsidR="00A65648" w:rsidRPr="00EA59C0">
        <w:rPr>
          <w:rFonts w:ascii="Times New Roman" w:hAnsi="Times New Roman"/>
          <w:b w:val="0"/>
          <w:i w:val="0"/>
        </w:rPr>
        <w:t>Federal</w:t>
      </w:r>
      <w:r w:rsidR="00C026A6" w:rsidRPr="00EA59C0">
        <w:rPr>
          <w:rFonts w:ascii="Times New Roman" w:hAnsi="Times New Roman"/>
          <w:b w:val="0"/>
          <w:i w:val="0"/>
        </w:rPr>
        <w:t xml:space="preserve"> </w:t>
      </w:r>
      <w:r w:rsidR="00A65648" w:rsidRPr="00EA59C0">
        <w:rPr>
          <w:rFonts w:ascii="Times New Roman" w:hAnsi="Times New Roman"/>
          <w:b w:val="0"/>
          <w:i w:val="0"/>
        </w:rPr>
        <w:t>Assistance”</w:t>
      </w:r>
    </w:p>
    <w:p w:rsidR="00144DF0" w:rsidRPr="00EA59C0" w:rsidRDefault="00A65648" w:rsidP="00C072FA">
      <w:pPr>
        <w:ind w:left="1080"/>
      </w:pPr>
      <w:r w:rsidRPr="00EA59C0">
        <w:t>Applicants</w:t>
      </w:r>
      <w:r w:rsidR="00C026A6" w:rsidRPr="00EA59C0">
        <w:t xml:space="preserve"> </w:t>
      </w:r>
      <w:r w:rsidRPr="00EA59C0">
        <w:t>must</w:t>
      </w:r>
      <w:r w:rsidR="00C026A6" w:rsidRPr="00EA59C0">
        <w:t xml:space="preserve"> </w:t>
      </w:r>
      <w:r w:rsidRPr="00EA59C0">
        <w:t>complete</w:t>
      </w:r>
      <w:r w:rsidR="00C026A6" w:rsidRPr="00EA59C0">
        <w:t xml:space="preserve"> </w:t>
      </w:r>
      <w:r w:rsidRPr="00EA59C0">
        <w:t>the</w:t>
      </w:r>
      <w:r w:rsidR="00C026A6" w:rsidRPr="00EA59C0">
        <w:t xml:space="preserve"> </w:t>
      </w:r>
      <w:r w:rsidRPr="00EA59C0">
        <w:t>SF-424,</w:t>
      </w:r>
      <w:r w:rsidR="007470AB" w:rsidRPr="00EA59C0">
        <w:t>“Application</w:t>
      </w:r>
      <w:r w:rsidR="00C026A6" w:rsidRPr="00EA59C0">
        <w:t xml:space="preserve"> </w:t>
      </w:r>
      <w:r w:rsidR="007470AB" w:rsidRPr="00EA59C0">
        <w:t>for</w:t>
      </w:r>
      <w:r w:rsidR="00C026A6" w:rsidRPr="00EA59C0">
        <w:t xml:space="preserve"> </w:t>
      </w:r>
      <w:r w:rsidR="007470AB" w:rsidRPr="00EA59C0">
        <w:t>Federal</w:t>
      </w:r>
      <w:r w:rsidR="00C026A6" w:rsidRPr="00EA59C0">
        <w:t xml:space="preserve"> </w:t>
      </w:r>
      <w:r w:rsidR="007470AB" w:rsidRPr="00EA59C0">
        <w:t>Assistance”</w:t>
      </w:r>
      <w:r w:rsidR="00C026A6" w:rsidRPr="00EA59C0">
        <w:t xml:space="preserve"> </w:t>
      </w:r>
      <w:r w:rsidR="007470AB" w:rsidRPr="00EA59C0">
        <w:t>(available</w:t>
      </w:r>
      <w:r w:rsidR="00C026A6" w:rsidRPr="00EA59C0">
        <w:t xml:space="preserve"> </w:t>
      </w:r>
      <w:r w:rsidR="007470AB" w:rsidRPr="00EA59C0">
        <w:t>at</w:t>
      </w:r>
      <w:r w:rsidR="00C026A6" w:rsidRPr="00EA59C0">
        <w:t xml:space="preserve"> </w:t>
      </w:r>
      <w:hyperlink r:id="rId251" w:history="1">
        <w:r w:rsidR="009457E3" w:rsidRPr="00EA59C0">
          <w:rPr>
            <w:rStyle w:val="Hyperlink"/>
            <w:color w:val="auto"/>
          </w:rPr>
          <w:t>http://www.grants.gov/web/grants/forms/sf-424-family.html</w:t>
        </w:r>
      </w:hyperlink>
      <w:r w:rsidR="00C026A6" w:rsidRPr="00EA59C0">
        <w:t xml:space="preserve"> </w:t>
      </w:r>
      <w:r w:rsidR="007470AB" w:rsidRPr="00EA59C0">
        <w:t>).</w:t>
      </w:r>
      <w:r w:rsidR="00C026A6" w:rsidRPr="00EA59C0">
        <w:t xml:space="preserve">  </w:t>
      </w:r>
      <w:r w:rsidR="007470AB" w:rsidRPr="00EA59C0">
        <w:t>The</w:t>
      </w:r>
      <w:r w:rsidR="00C026A6" w:rsidRPr="00EA59C0">
        <w:t xml:space="preserve"> </w:t>
      </w:r>
      <w:r w:rsidR="007470AB" w:rsidRPr="00EA59C0">
        <w:t>SF-424</w:t>
      </w:r>
      <w:r w:rsidR="00C026A6" w:rsidRPr="00EA59C0">
        <w:t xml:space="preserve"> </w:t>
      </w:r>
      <w:r w:rsidR="007470AB" w:rsidRPr="00EA59C0">
        <w:t>must</w:t>
      </w:r>
      <w:r w:rsidR="00C026A6" w:rsidRPr="00EA59C0">
        <w:t xml:space="preserve"> </w:t>
      </w:r>
      <w:r w:rsidR="007470AB" w:rsidRPr="00EA59C0">
        <w:t>clearly</w:t>
      </w:r>
      <w:r w:rsidR="00C026A6" w:rsidRPr="00EA59C0">
        <w:t xml:space="preserve"> </w:t>
      </w:r>
      <w:r w:rsidR="007470AB" w:rsidRPr="00EA59C0">
        <w:t>identify</w:t>
      </w:r>
      <w:r w:rsidR="00C026A6" w:rsidRPr="00EA59C0">
        <w:t xml:space="preserve"> </w:t>
      </w:r>
      <w:r w:rsidR="007470AB" w:rsidRPr="00EA59C0">
        <w:t>the</w:t>
      </w:r>
      <w:r w:rsidR="00C026A6" w:rsidRPr="00EA59C0">
        <w:t xml:space="preserve"> </w:t>
      </w:r>
      <w:r w:rsidR="007470AB" w:rsidRPr="00EA59C0">
        <w:t>applicant</w:t>
      </w:r>
      <w:r w:rsidR="00C026A6" w:rsidRPr="00EA59C0">
        <w:t xml:space="preserve"> </w:t>
      </w:r>
      <w:r w:rsidR="007470AB" w:rsidRPr="00EA59C0">
        <w:t>and</w:t>
      </w:r>
      <w:r w:rsidR="00C026A6" w:rsidRPr="00EA59C0">
        <w:t xml:space="preserve"> </w:t>
      </w:r>
      <w:r w:rsidR="007470AB" w:rsidRPr="00EA59C0">
        <w:t>must</w:t>
      </w:r>
      <w:r w:rsidR="00C026A6" w:rsidRPr="00EA59C0">
        <w:t xml:space="preserve"> </w:t>
      </w:r>
      <w:r w:rsidR="007470AB" w:rsidRPr="00EA59C0">
        <w:t>be</w:t>
      </w:r>
      <w:r w:rsidR="00C026A6" w:rsidRPr="00EA59C0">
        <w:t xml:space="preserve"> </w:t>
      </w:r>
      <w:r w:rsidR="007470AB" w:rsidRPr="00EA59C0">
        <w:t>signed</w:t>
      </w:r>
      <w:r w:rsidR="00C026A6" w:rsidRPr="00EA59C0">
        <w:t xml:space="preserve"> </w:t>
      </w:r>
      <w:r w:rsidR="007470AB" w:rsidRPr="00EA59C0">
        <w:t>by</w:t>
      </w:r>
      <w:r w:rsidR="00C026A6" w:rsidRPr="00EA59C0">
        <w:t xml:space="preserve"> </w:t>
      </w:r>
      <w:r w:rsidR="007470AB" w:rsidRPr="00EA59C0">
        <w:t>an</w:t>
      </w:r>
      <w:r w:rsidR="00C026A6" w:rsidRPr="00EA59C0">
        <w:t xml:space="preserve"> </w:t>
      </w:r>
      <w:r w:rsidR="007470AB" w:rsidRPr="00EA59C0">
        <w:t>individual</w:t>
      </w:r>
      <w:r w:rsidR="00C026A6" w:rsidRPr="00EA59C0">
        <w:t xml:space="preserve"> </w:t>
      </w:r>
      <w:r w:rsidR="007470AB" w:rsidRPr="00EA59C0">
        <w:t>with</w:t>
      </w:r>
      <w:r w:rsidR="00C026A6" w:rsidRPr="00EA59C0">
        <w:t xml:space="preserve"> </w:t>
      </w:r>
      <w:r w:rsidR="007470AB" w:rsidRPr="00EA59C0">
        <w:t>authority</w:t>
      </w:r>
      <w:r w:rsidR="00C026A6" w:rsidRPr="00EA59C0">
        <w:t xml:space="preserve"> </w:t>
      </w:r>
      <w:r w:rsidR="007470AB" w:rsidRPr="00EA59C0">
        <w:t>to</w:t>
      </w:r>
      <w:r w:rsidR="00C026A6" w:rsidRPr="00EA59C0">
        <w:t xml:space="preserve"> </w:t>
      </w:r>
      <w:r w:rsidR="007470AB" w:rsidRPr="00EA59C0">
        <w:t>enter</w:t>
      </w:r>
      <w:r w:rsidR="00C026A6" w:rsidRPr="00EA59C0">
        <w:t xml:space="preserve"> </w:t>
      </w:r>
      <w:r w:rsidR="007470AB" w:rsidRPr="00EA59C0">
        <w:t>into</w:t>
      </w:r>
      <w:r w:rsidR="00C026A6" w:rsidRPr="00EA59C0">
        <w:t xml:space="preserve"> </w:t>
      </w:r>
      <w:r w:rsidR="007470AB" w:rsidRPr="00EA59C0">
        <w:t>a</w:t>
      </w:r>
      <w:r w:rsidR="00C026A6" w:rsidRPr="00EA59C0">
        <w:t xml:space="preserve"> </w:t>
      </w:r>
      <w:r w:rsidR="007470AB" w:rsidRPr="00EA59C0">
        <w:t>grant</w:t>
      </w:r>
      <w:r w:rsidR="00C026A6" w:rsidRPr="00EA59C0">
        <w:t xml:space="preserve"> </w:t>
      </w:r>
      <w:r w:rsidR="007470AB" w:rsidRPr="00EA59C0">
        <w:t>agreement.</w:t>
      </w:r>
      <w:r w:rsidR="00C026A6" w:rsidRPr="00EA59C0">
        <w:t xml:space="preserve">  </w:t>
      </w:r>
      <w:r w:rsidR="007470AB" w:rsidRPr="00EA59C0">
        <w:t>Upon</w:t>
      </w:r>
      <w:r w:rsidR="00C026A6" w:rsidRPr="00EA59C0">
        <w:t xml:space="preserve"> </w:t>
      </w:r>
      <w:r w:rsidR="007470AB" w:rsidRPr="00EA59C0">
        <w:t>confirmation</w:t>
      </w:r>
      <w:r w:rsidR="00C026A6" w:rsidRPr="00EA59C0">
        <w:t xml:space="preserve"> </w:t>
      </w:r>
      <w:r w:rsidR="007470AB" w:rsidRPr="00EA59C0">
        <w:t>of</w:t>
      </w:r>
      <w:r w:rsidR="00C026A6" w:rsidRPr="00EA59C0">
        <w:t xml:space="preserve"> </w:t>
      </w:r>
      <w:r w:rsidR="007470AB" w:rsidRPr="00EA59C0">
        <w:t>an</w:t>
      </w:r>
      <w:r w:rsidR="00C026A6" w:rsidRPr="00EA59C0">
        <w:t xml:space="preserve"> </w:t>
      </w:r>
      <w:r w:rsidR="007470AB" w:rsidRPr="00EA59C0">
        <w:t>award,</w:t>
      </w:r>
      <w:r w:rsidR="00C026A6" w:rsidRPr="00EA59C0">
        <w:t xml:space="preserve"> </w:t>
      </w:r>
      <w:r w:rsidR="007470AB" w:rsidRPr="00EA59C0">
        <w:t>the</w:t>
      </w:r>
      <w:r w:rsidR="00C026A6" w:rsidRPr="00EA59C0">
        <w:t xml:space="preserve"> </w:t>
      </w:r>
      <w:r w:rsidR="007470AB" w:rsidRPr="00EA59C0">
        <w:t>individual</w:t>
      </w:r>
      <w:r w:rsidR="00C026A6" w:rsidRPr="00EA59C0">
        <w:t xml:space="preserve"> </w:t>
      </w:r>
      <w:r w:rsidR="007470AB" w:rsidRPr="00EA59C0">
        <w:t>signing</w:t>
      </w:r>
      <w:r w:rsidR="00C026A6" w:rsidRPr="00EA59C0">
        <w:t xml:space="preserve"> </w:t>
      </w:r>
      <w:r w:rsidR="007470AB" w:rsidRPr="00EA59C0">
        <w:t>the</w:t>
      </w:r>
      <w:r w:rsidR="00C026A6" w:rsidRPr="00EA59C0">
        <w:t xml:space="preserve"> </w:t>
      </w:r>
      <w:r w:rsidR="007470AB" w:rsidRPr="00EA59C0">
        <w:t>SF-424</w:t>
      </w:r>
      <w:r w:rsidR="00C026A6" w:rsidRPr="00EA59C0">
        <w:t xml:space="preserve"> </w:t>
      </w:r>
      <w:r w:rsidR="007470AB" w:rsidRPr="00EA59C0">
        <w:t>on</w:t>
      </w:r>
      <w:r w:rsidR="00C026A6" w:rsidRPr="00EA59C0">
        <w:t xml:space="preserve"> </w:t>
      </w:r>
      <w:r w:rsidR="007470AB" w:rsidRPr="00EA59C0">
        <w:t>behalf</w:t>
      </w:r>
      <w:r w:rsidR="00C026A6" w:rsidRPr="00EA59C0">
        <w:t xml:space="preserve"> </w:t>
      </w:r>
      <w:r w:rsidR="007470AB" w:rsidRPr="00EA59C0">
        <w:t>of</w:t>
      </w:r>
      <w:r w:rsidR="00C026A6" w:rsidRPr="00EA59C0">
        <w:t xml:space="preserve"> </w:t>
      </w:r>
      <w:r w:rsidR="007470AB" w:rsidRPr="00EA59C0">
        <w:t>the</w:t>
      </w:r>
      <w:r w:rsidR="00C026A6" w:rsidRPr="00EA59C0">
        <w:t xml:space="preserve"> </w:t>
      </w:r>
      <w:r w:rsidR="007470AB" w:rsidRPr="00EA59C0">
        <w:t>applicant</w:t>
      </w:r>
      <w:r w:rsidR="00C026A6" w:rsidRPr="00EA59C0">
        <w:t xml:space="preserve"> </w:t>
      </w:r>
      <w:r w:rsidR="007470AB" w:rsidRPr="00EA59C0">
        <w:t>shall</w:t>
      </w:r>
      <w:r w:rsidR="00C026A6" w:rsidRPr="00EA59C0">
        <w:t xml:space="preserve"> </w:t>
      </w:r>
      <w:r w:rsidR="007470AB" w:rsidRPr="00EA59C0">
        <w:t>be</w:t>
      </w:r>
      <w:r w:rsidR="00C026A6" w:rsidRPr="00EA59C0">
        <w:t xml:space="preserve"> </w:t>
      </w:r>
      <w:r w:rsidR="007470AB" w:rsidRPr="00EA59C0">
        <w:t>considered</w:t>
      </w:r>
      <w:r w:rsidR="00C026A6" w:rsidRPr="00EA59C0">
        <w:t xml:space="preserve"> </w:t>
      </w:r>
      <w:r w:rsidR="007470AB" w:rsidRPr="00EA59C0">
        <w:t>the</w:t>
      </w:r>
      <w:r w:rsidR="00C026A6" w:rsidRPr="00EA59C0">
        <w:t xml:space="preserve"> </w:t>
      </w:r>
      <w:r w:rsidR="007470AB" w:rsidRPr="00EA59C0">
        <w:t>authorized</w:t>
      </w:r>
      <w:r w:rsidR="00C026A6" w:rsidRPr="00EA59C0">
        <w:t xml:space="preserve"> </w:t>
      </w:r>
      <w:r w:rsidR="007470AB" w:rsidRPr="00EA59C0">
        <w:t>representative</w:t>
      </w:r>
      <w:r w:rsidR="00C026A6" w:rsidRPr="00EA59C0">
        <w:t xml:space="preserve"> </w:t>
      </w:r>
      <w:r w:rsidR="007470AB" w:rsidRPr="00EA59C0">
        <w:t>of</w:t>
      </w:r>
      <w:r w:rsidR="00C026A6" w:rsidRPr="00EA59C0">
        <w:t xml:space="preserve"> </w:t>
      </w:r>
      <w:r w:rsidR="007470AB" w:rsidRPr="00EA59C0">
        <w:t>the</w:t>
      </w:r>
      <w:r w:rsidR="00C026A6" w:rsidRPr="00EA59C0">
        <w:t xml:space="preserve"> </w:t>
      </w:r>
      <w:r w:rsidR="007470AB" w:rsidRPr="00EA59C0">
        <w:t>applicant.</w:t>
      </w:r>
      <w:r w:rsidR="00C026A6" w:rsidRPr="00EA59C0">
        <w:t xml:space="preserve">  </w:t>
      </w:r>
      <w:r w:rsidR="007470AB" w:rsidRPr="00EA59C0">
        <w:t>As</w:t>
      </w:r>
      <w:r w:rsidR="00C026A6" w:rsidRPr="00EA59C0">
        <w:t xml:space="preserve"> </w:t>
      </w:r>
      <w:r w:rsidR="007470AB" w:rsidRPr="00EA59C0">
        <w:t>stated</w:t>
      </w:r>
      <w:r w:rsidR="00C026A6" w:rsidRPr="00EA59C0">
        <w:t xml:space="preserve"> </w:t>
      </w:r>
      <w:r w:rsidR="007470AB" w:rsidRPr="00EA59C0">
        <w:t>in</w:t>
      </w:r>
      <w:r w:rsidR="00C026A6" w:rsidRPr="00EA59C0">
        <w:t xml:space="preserve"> </w:t>
      </w:r>
      <w:r w:rsidR="007470AB" w:rsidRPr="00EA59C0">
        <w:t>block</w:t>
      </w:r>
      <w:r w:rsidR="00C026A6" w:rsidRPr="00EA59C0">
        <w:t xml:space="preserve"> </w:t>
      </w:r>
      <w:r w:rsidR="007470AB" w:rsidRPr="00EA59C0">
        <w:t>21</w:t>
      </w:r>
      <w:r w:rsidR="00C026A6" w:rsidRPr="00EA59C0">
        <w:t xml:space="preserve"> </w:t>
      </w:r>
      <w:r w:rsidR="007470AB" w:rsidRPr="00EA59C0">
        <w:t>of</w:t>
      </w:r>
      <w:r w:rsidR="00C026A6" w:rsidRPr="00EA59C0">
        <w:t xml:space="preserve"> </w:t>
      </w:r>
      <w:r w:rsidR="007470AB" w:rsidRPr="00EA59C0">
        <w:t>the</w:t>
      </w:r>
      <w:r w:rsidR="00C026A6" w:rsidRPr="00EA59C0">
        <w:t xml:space="preserve"> </w:t>
      </w:r>
      <w:r w:rsidR="007470AB" w:rsidRPr="00EA59C0">
        <w:t>SF</w:t>
      </w:r>
      <w:r w:rsidR="00AA238F" w:rsidRPr="00EA59C0">
        <w:t>-</w:t>
      </w:r>
      <w:r w:rsidR="007470AB" w:rsidRPr="00EA59C0">
        <w:t>424</w:t>
      </w:r>
      <w:r w:rsidR="00C026A6" w:rsidRPr="00EA59C0">
        <w:t xml:space="preserve"> </w:t>
      </w:r>
      <w:r w:rsidR="007470AB" w:rsidRPr="00EA59C0">
        <w:t>form,</w:t>
      </w:r>
      <w:r w:rsidR="00C026A6" w:rsidRPr="00EA59C0">
        <w:t xml:space="preserve"> </w:t>
      </w:r>
      <w:r w:rsidR="007470AB" w:rsidRPr="00EA59C0">
        <w:t>signature</w:t>
      </w:r>
      <w:r w:rsidR="00C026A6" w:rsidRPr="00EA59C0">
        <w:t xml:space="preserve"> </w:t>
      </w:r>
      <w:r w:rsidR="007470AB" w:rsidRPr="00EA59C0">
        <w:t>of</w:t>
      </w:r>
      <w:r w:rsidR="00C026A6" w:rsidRPr="00EA59C0">
        <w:t xml:space="preserve"> </w:t>
      </w:r>
      <w:r w:rsidR="007470AB" w:rsidRPr="00EA59C0">
        <w:t>the</w:t>
      </w:r>
      <w:r w:rsidR="00C026A6" w:rsidRPr="00EA59C0">
        <w:t xml:space="preserve"> </w:t>
      </w:r>
      <w:r w:rsidR="007470AB" w:rsidRPr="00EA59C0">
        <w:t>authorized</w:t>
      </w:r>
      <w:r w:rsidR="00C026A6" w:rsidRPr="00EA59C0">
        <w:t xml:space="preserve"> </w:t>
      </w:r>
      <w:r w:rsidR="007470AB" w:rsidRPr="00EA59C0">
        <w:t>representative</w:t>
      </w:r>
      <w:r w:rsidR="00C026A6" w:rsidRPr="00EA59C0">
        <w:t xml:space="preserve"> </w:t>
      </w:r>
      <w:r w:rsidR="007470AB" w:rsidRPr="00EA59C0">
        <w:t>on</w:t>
      </w:r>
      <w:r w:rsidR="00C026A6" w:rsidRPr="00EA59C0">
        <w:t xml:space="preserve"> </w:t>
      </w:r>
      <w:r w:rsidR="007470AB" w:rsidRPr="00EA59C0">
        <w:t>the</w:t>
      </w:r>
      <w:r w:rsidR="00C026A6" w:rsidRPr="00EA59C0">
        <w:t xml:space="preserve"> </w:t>
      </w:r>
      <w:r w:rsidR="007470AB" w:rsidRPr="00EA59C0">
        <w:t>SF-424</w:t>
      </w:r>
      <w:r w:rsidR="00C026A6" w:rsidRPr="00EA59C0">
        <w:t xml:space="preserve"> </w:t>
      </w:r>
      <w:r w:rsidR="007470AB" w:rsidRPr="00EA59C0">
        <w:t>certifies</w:t>
      </w:r>
      <w:r w:rsidR="00C026A6" w:rsidRPr="00EA59C0">
        <w:t xml:space="preserve"> </w:t>
      </w:r>
      <w:r w:rsidR="007470AB" w:rsidRPr="00EA59C0">
        <w:t>that</w:t>
      </w:r>
      <w:r w:rsidR="00C026A6" w:rsidRPr="00EA59C0">
        <w:t xml:space="preserve"> </w:t>
      </w:r>
      <w:r w:rsidR="007470AB" w:rsidRPr="00EA59C0">
        <w:t>the</w:t>
      </w:r>
      <w:r w:rsidR="00C026A6" w:rsidRPr="00EA59C0">
        <w:t xml:space="preserve"> </w:t>
      </w:r>
      <w:r w:rsidR="007470AB" w:rsidRPr="00EA59C0">
        <w:t>organization</w:t>
      </w:r>
      <w:r w:rsidR="00C026A6" w:rsidRPr="00EA59C0">
        <w:t xml:space="preserve"> </w:t>
      </w:r>
      <w:r w:rsidR="007470AB" w:rsidRPr="00EA59C0">
        <w:t>is</w:t>
      </w:r>
      <w:r w:rsidR="00C026A6" w:rsidRPr="00EA59C0">
        <w:t xml:space="preserve"> </w:t>
      </w:r>
      <w:r w:rsidR="007470AB" w:rsidRPr="00EA59C0">
        <w:t>in</w:t>
      </w:r>
      <w:r w:rsidR="00C026A6" w:rsidRPr="00EA59C0">
        <w:t xml:space="preserve"> </w:t>
      </w:r>
      <w:r w:rsidR="007470AB" w:rsidRPr="00EA59C0">
        <w:t>compliance</w:t>
      </w:r>
      <w:r w:rsidR="00C026A6" w:rsidRPr="00EA59C0">
        <w:t xml:space="preserve"> </w:t>
      </w:r>
      <w:r w:rsidR="007470AB" w:rsidRPr="00EA59C0">
        <w:t>with</w:t>
      </w:r>
      <w:r w:rsidR="00C026A6" w:rsidRPr="00EA59C0">
        <w:t xml:space="preserve"> </w:t>
      </w:r>
      <w:r w:rsidR="007470AB" w:rsidRPr="00EA59C0">
        <w:t>the</w:t>
      </w:r>
      <w:r w:rsidR="00C026A6" w:rsidRPr="00EA59C0">
        <w:t xml:space="preserve"> </w:t>
      </w:r>
      <w:r w:rsidR="007470AB" w:rsidRPr="00EA59C0">
        <w:t>Assurances</w:t>
      </w:r>
      <w:r w:rsidR="00C026A6" w:rsidRPr="00EA59C0">
        <w:t xml:space="preserve"> </w:t>
      </w:r>
      <w:r w:rsidR="007470AB" w:rsidRPr="00EA59C0">
        <w:t>and</w:t>
      </w:r>
      <w:r w:rsidR="00C026A6" w:rsidRPr="00EA59C0">
        <w:t xml:space="preserve"> </w:t>
      </w:r>
      <w:r w:rsidR="007470AB" w:rsidRPr="00EA59C0">
        <w:t>Certifications</w:t>
      </w:r>
      <w:r w:rsidR="00C026A6" w:rsidRPr="00EA59C0">
        <w:t xml:space="preserve"> </w:t>
      </w:r>
      <w:r w:rsidR="007470AB" w:rsidRPr="00EA59C0">
        <w:t>form</w:t>
      </w:r>
      <w:r w:rsidR="00C026A6" w:rsidRPr="00EA59C0">
        <w:t xml:space="preserve"> </w:t>
      </w:r>
      <w:r w:rsidR="007470AB" w:rsidRPr="00EA59C0">
        <w:t>SF-424B</w:t>
      </w:r>
      <w:r w:rsidR="00C026A6" w:rsidRPr="00EA59C0">
        <w:t xml:space="preserve"> </w:t>
      </w:r>
      <w:r w:rsidR="007470AB" w:rsidRPr="00EA59C0">
        <w:t>(available</w:t>
      </w:r>
      <w:r w:rsidR="00C026A6" w:rsidRPr="00EA59C0">
        <w:t xml:space="preserve"> </w:t>
      </w:r>
      <w:r w:rsidR="007470AB" w:rsidRPr="00EA59C0">
        <w:t>at</w:t>
      </w:r>
      <w:r w:rsidR="00C026A6" w:rsidRPr="00EA59C0">
        <w:t xml:space="preserve"> </w:t>
      </w:r>
      <w:hyperlink r:id="rId252" w:history="1">
        <w:r w:rsidR="009457E3" w:rsidRPr="00EA59C0">
          <w:rPr>
            <w:rStyle w:val="Hyperlink"/>
            <w:color w:val="auto"/>
          </w:rPr>
          <w:t>http://www.grants.gov/web/grants/forms/sf-424-family.html</w:t>
        </w:r>
      </w:hyperlink>
      <w:r w:rsidR="00C026A6" w:rsidRPr="00EA59C0">
        <w:t xml:space="preserve"> </w:t>
      </w:r>
      <w:r w:rsidR="007470AB" w:rsidRPr="00EA59C0">
        <w:t>).</w:t>
      </w:r>
      <w:r w:rsidR="00C026A6" w:rsidRPr="00EA59C0">
        <w:t xml:space="preserve">  </w:t>
      </w:r>
      <w:r w:rsidR="007470AB" w:rsidRPr="00EA59C0">
        <w:t>The</w:t>
      </w:r>
      <w:r w:rsidR="00C026A6" w:rsidRPr="00EA59C0">
        <w:t xml:space="preserve"> </w:t>
      </w:r>
      <w:r w:rsidR="007470AB" w:rsidRPr="00EA59C0">
        <w:t>SF-424B</w:t>
      </w:r>
      <w:r w:rsidR="00C026A6" w:rsidRPr="00EA59C0">
        <w:t xml:space="preserve"> </w:t>
      </w:r>
      <w:r w:rsidR="007470AB" w:rsidRPr="00EA59C0">
        <w:t>is</w:t>
      </w:r>
      <w:r w:rsidR="00C026A6" w:rsidRPr="00EA59C0">
        <w:t xml:space="preserve"> </w:t>
      </w:r>
      <w:r w:rsidR="007470AB" w:rsidRPr="00EA59C0">
        <w:t>not</w:t>
      </w:r>
      <w:r w:rsidR="00C026A6" w:rsidRPr="00EA59C0">
        <w:t xml:space="preserve"> </w:t>
      </w:r>
      <w:r w:rsidR="007470AB" w:rsidRPr="00EA59C0">
        <w:t>required</w:t>
      </w:r>
      <w:r w:rsidR="00C026A6" w:rsidRPr="00EA59C0">
        <w:t xml:space="preserve"> </w:t>
      </w:r>
      <w:r w:rsidR="007470AB" w:rsidRPr="00EA59C0">
        <w:t>to</w:t>
      </w:r>
      <w:r w:rsidR="00C026A6" w:rsidRPr="00EA59C0">
        <w:t xml:space="preserve"> </w:t>
      </w:r>
      <w:r w:rsidR="007470AB" w:rsidRPr="00EA59C0">
        <w:t>be</w:t>
      </w:r>
      <w:r w:rsidR="00C026A6" w:rsidRPr="00EA59C0">
        <w:t xml:space="preserve"> </w:t>
      </w:r>
      <w:r w:rsidR="007470AB" w:rsidRPr="00EA59C0">
        <w:t>submitted</w:t>
      </w:r>
      <w:r w:rsidR="00C026A6" w:rsidRPr="00EA59C0">
        <w:t xml:space="preserve"> </w:t>
      </w:r>
      <w:r w:rsidR="007470AB" w:rsidRPr="00EA59C0">
        <w:t>with</w:t>
      </w:r>
      <w:r w:rsidR="00C026A6" w:rsidRPr="00EA59C0">
        <w:t xml:space="preserve"> </w:t>
      </w:r>
      <w:r w:rsidR="007470AB" w:rsidRPr="00EA59C0">
        <w:t>the</w:t>
      </w:r>
      <w:r w:rsidR="00C026A6" w:rsidRPr="00EA59C0">
        <w:t xml:space="preserve"> </w:t>
      </w:r>
      <w:r w:rsidR="007470AB" w:rsidRPr="00EA59C0">
        <w:t>application.</w:t>
      </w:r>
      <w:r w:rsidR="00C026A6" w:rsidRPr="00EA59C0">
        <w:t xml:space="preserve">  </w:t>
      </w:r>
    </w:p>
    <w:p w:rsidR="00A65648" w:rsidRPr="00EA59C0" w:rsidRDefault="00A65648" w:rsidP="00C072FA"/>
    <w:p w:rsidR="00144DF0" w:rsidRPr="00EA59C0" w:rsidRDefault="00D81847" w:rsidP="00C072FA">
      <w:pPr>
        <w:pStyle w:val="Heading2"/>
        <w:numPr>
          <w:ilvl w:val="2"/>
          <w:numId w:val="17"/>
        </w:numPr>
        <w:spacing w:line="240" w:lineRule="auto"/>
        <w:rPr>
          <w:rFonts w:ascii="Times New Roman" w:hAnsi="Times New Roman"/>
          <w:b w:val="0"/>
          <w:i w:val="0"/>
        </w:rPr>
      </w:pPr>
      <w:r w:rsidRPr="00EA59C0">
        <w:rPr>
          <w:rFonts w:ascii="Times New Roman" w:hAnsi="Times New Roman"/>
          <w:b w:val="0"/>
          <w:i w:val="0"/>
        </w:rPr>
        <w:t>Project</w:t>
      </w:r>
      <w:r w:rsidR="00C026A6" w:rsidRPr="00EA59C0">
        <w:rPr>
          <w:rFonts w:ascii="Times New Roman" w:hAnsi="Times New Roman"/>
          <w:b w:val="0"/>
          <w:i w:val="0"/>
        </w:rPr>
        <w:t xml:space="preserve"> </w:t>
      </w:r>
      <w:r w:rsidRPr="00EA59C0">
        <w:rPr>
          <w:rFonts w:ascii="Times New Roman" w:hAnsi="Times New Roman"/>
          <w:b w:val="0"/>
          <w:i w:val="0"/>
        </w:rPr>
        <w:t>Budget</w:t>
      </w:r>
    </w:p>
    <w:p w:rsidR="00144DF0" w:rsidRPr="00EA59C0" w:rsidRDefault="00294571" w:rsidP="00C072FA">
      <w:pPr>
        <w:ind w:left="1080"/>
      </w:pPr>
      <w:r w:rsidRPr="00EA59C0">
        <w:t>Applicants</w:t>
      </w:r>
      <w:r w:rsidR="00C026A6" w:rsidRPr="00EA59C0">
        <w:t xml:space="preserve"> </w:t>
      </w:r>
      <w:r w:rsidRPr="00EA59C0">
        <w:t>must</w:t>
      </w:r>
      <w:r w:rsidR="00C026A6" w:rsidRPr="00EA59C0">
        <w:t xml:space="preserve"> </w:t>
      </w:r>
      <w:r w:rsidRPr="00EA59C0">
        <w:t>complete</w:t>
      </w:r>
      <w:r w:rsidR="00C026A6" w:rsidRPr="00EA59C0">
        <w:t xml:space="preserve"> </w:t>
      </w:r>
      <w:r w:rsidRPr="00EA59C0">
        <w:t>t</w:t>
      </w:r>
      <w:r w:rsidR="007470AB" w:rsidRPr="00EA59C0">
        <w:t>he</w:t>
      </w:r>
      <w:r w:rsidR="00C026A6" w:rsidRPr="00EA59C0">
        <w:t xml:space="preserve"> </w:t>
      </w:r>
      <w:r w:rsidR="007470AB" w:rsidRPr="00EA59C0">
        <w:t>SF-424A</w:t>
      </w:r>
      <w:r w:rsidR="00C026A6" w:rsidRPr="00EA59C0">
        <w:t xml:space="preserve"> </w:t>
      </w:r>
      <w:r w:rsidR="007470AB" w:rsidRPr="00EA59C0">
        <w:t>Budget</w:t>
      </w:r>
      <w:r w:rsidR="00C026A6" w:rsidRPr="00EA59C0">
        <w:t xml:space="preserve"> </w:t>
      </w:r>
      <w:r w:rsidR="007470AB" w:rsidRPr="00EA59C0">
        <w:t>Information</w:t>
      </w:r>
      <w:r w:rsidR="00C026A6" w:rsidRPr="00EA59C0">
        <w:t xml:space="preserve"> </w:t>
      </w:r>
      <w:r w:rsidR="007470AB" w:rsidRPr="00EA59C0">
        <w:t>Form</w:t>
      </w:r>
      <w:r w:rsidR="00C026A6" w:rsidRPr="00EA59C0">
        <w:t xml:space="preserve"> </w:t>
      </w:r>
      <w:r w:rsidR="007470AB" w:rsidRPr="00EA59C0">
        <w:t>(available</w:t>
      </w:r>
      <w:r w:rsidR="00C026A6" w:rsidRPr="00EA59C0">
        <w:t xml:space="preserve"> </w:t>
      </w:r>
      <w:r w:rsidR="007470AB" w:rsidRPr="00EA59C0">
        <w:t>at</w:t>
      </w:r>
      <w:r w:rsidR="00C026A6" w:rsidRPr="00EA59C0">
        <w:t xml:space="preserve"> </w:t>
      </w:r>
      <w:hyperlink r:id="rId253" w:history="1">
        <w:r w:rsidR="009457E3" w:rsidRPr="00EA59C0">
          <w:rPr>
            <w:rStyle w:val="Hyperlink"/>
            <w:color w:val="auto"/>
          </w:rPr>
          <w:t>http://www.grants.gov/web/grants/forms/sf-424-family.html</w:t>
        </w:r>
      </w:hyperlink>
      <w:r w:rsidR="00C026A6" w:rsidRPr="00EA59C0">
        <w:t xml:space="preserve"> </w:t>
      </w:r>
      <w:r w:rsidR="007470AB" w:rsidRPr="00EA59C0">
        <w:t>).</w:t>
      </w:r>
      <w:r w:rsidR="00C026A6" w:rsidRPr="00EA59C0">
        <w:t xml:space="preserve">  </w:t>
      </w:r>
      <w:r w:rsidR="007470AB" w:rsidRPr="00EA59C0">
        <w:t>In</w:t>
      </w:r>
      <w:r w:rsidR="00C026A6" w:rsidRPr="00EA59C0">
        <w:t xml:space="preserve"> </w:t>
      </w:r>
      <w:r w:rsidR="007470AB" w:rsidRPr="00EA59C0">
        <w:t>preparing</w:t>
      </w:r>
      <w:r w:rsidR="00C026A6" w:rsidRPr="00EA59C0">
        <w:t xml:space="preserve"> </w:t>
      </w:r>
      <w:r w:rsidR="007470AB" w:rsidRPr="00EA59C0">
        <w:t>the</w:t>
      </w:r>
      <w:r w:rsidR="00C026A6" w:rsidRPr="00EA59C0">
        <w:t xml:space="preserve"> </w:t>
      </w:r>
      <w:r w:rsidR="007470AB" w:rsidRPr="00EA59C0">
        <w:t>Budget</w:t>
      </w:r>
      <w:r w:rsidR="00C026A6" w:rsidRPr="00EA59C0">
        <w:t xml:space="preserve"> </w:t>
      </w:r>
      <w:r w:rsidR="007470AB" w:rsidRPr="00EA59C0">
        <w:t>Information</w:t>
      </w:r>
      <w:r w:rsidR="00C026A6" w:rsidRPr="00EA59C0">
        <w:t xml:space="preserve"> </w:t>
      </w:r>
      <w:r w:rsidR="007470AB" w:rsidRPr="00EA59C0">
        <w:t>Form,</w:t>
      </w:r>
      <w:r w:rsidR="00C026A6" w:rsidRPr="00EA59C0">
        <w:t xml:space="preserve"> </w:t>
      </w:r>
      <w:r w:rsidR="007470AB" w:rsidRPr="00EA59C0">
        <w:t>the</w:t>
      </w:r>
      <w:r w:rsidR="00C026A6" w:rsidRPr="00EA59C0">
        <w:t xml:space="preserve"> </w:t>
      </w:r>
      <w:r w:rsidR="007470AB" w:rsidRPr="00EA59C0">
        <w:t>applicant</w:t>
      </w:r>
      <w:r w:rsidR="00C026A6" w:rsidRPr="00EA59C0">
        <w:t xml:space="preserve"> </w:t>
      </w:r>
      <w:r w:rsidR="007470AB" w:rsidRPr="00EA59C0">
        <w:t>must</w:t>
      </w:r>
      <w:r w:rsidR="00C026A6" w:rsidRPr="00EA59C0">
        <w:t xml:space="preserve"> </w:t>
      </w:r>
      <w:r w:rsidR="007470AB" w:rsidRPr="00EA59C0">
        <w:t>provide</w:t>
      </w:r>
      <w:r w:rsidR="00C026A6" w:rsidRPr="00EA59C0">
        <w:t xml:space="preserve"> </w:t>
      </w:r>
      <w:r w:rsidR="007470AB" w:rsidRPr="00EA59C0">
        <w:t>a</w:t>
      </w:r>
      <w:r w:rsidR="00C026A6" w:rsidRPr="00EA59C0">
        <w:t xml:space="preserve"> </w:t>
      </w:r>
      <w:r w:rsidR="007470AB" w:rsidRPr="00EA59C0">
        <w:t>concise</w:t>
      </w:r>
      <w:r w:rsidR="00C026A6" w:rsidRPr="00EA59C0">
        <w:t xml:space="preserve"> </w:t>
      </w:r>
      <w:r w:rsidR="007470AB" w:rsidRPr="00EA59C0">
        <w:t>narrative</w:t>
      </w:r>
      <w:r w:rsidR="00C026A6" w:rsidRPr="00EA59C0">
        <w:t xml:space="preserve"> </w:t>
      </w:r>
      <w:r w:rsidR="007470AB" w:rsidRPr="00EA59C0">
        <w:t>explanation</w:t>
      </w:r>
      <w:r w:rsidR="00C026A6" w:rsidRPr="00EA59C0">
        <w:t xml:space="preserve"> </w:t>
      </w:r>
      <w:r w:rsidR="007470AB" w:rsidRPr="00EA59C0">
        <w:t>to</w:t>
      </w:r>
      <w:r w:rsidR="00C026A6" w:rsidRPr="00EA59C0">
        <w:t xml:space="preserve"> </w:t>
      </w:r>
      <w:r w:rsidR="007470AB" w:rsidRPr="00EA59C0">
        <w:t>support</w:t>
      </w:r>
      <w:r w:rsidR="00C026A6" w:rsidRPr="00EA59C0">
        <w:t xml:space="preserve"> </w:t>
      </w:r>
      <w:r w:rsidR="007470AB" w:rsidRPr="00EA59C0">
        <w:t>the</w:t>
      </w:r>
      <w:r w:rsidR="00C026A6" w:rsidRPr="00EA59C0">
        <w:t xml:space="preserve"> </w:t>
      </w:r>
      <w:r w:rsidR="007470AB" w:rsidRPr="00EA59C0">
        <w:t>budget</w:t>
      </w:r>
      <w:r w:rsidR="00C026A6" w:rsidRPr="00EA59C0">
        <w:t xml:space="preserve"> </w:t>
      </w:r>
      <w:r w:rsidR="007470AB" w:rsidRPr="00EA59C0">
        <w:t>request,</w:t>
      </w:r>
      <w:r w:rsidR="00C026A6" w:rsidRPr="00EA59C0">
        <w:t xml:space="preserve"> </w:t>
      </w:r>
      <w:r w:rsidR="007470AB" w:rsidRPr="00EA59C0">
        <w:t>explained</w:t>
      </w:r>
      <w:r w:rsidR="00C026A6" w:rsidRPr="00EA59C0">
        <w:t xml:space="preserve"> </w:t>
      </w:r>
      <w:r w:rsidR="007470AB" w:rsidRPr="00EA59C0">
        <w:t>in</w:t>
      </w:r>
      <w:r w:rsidR="00C026A6" w:rsidRPr="00EA59C0">
        <w:t xml:space="preserve"> </w:t>
      </w:r>
      <w:r w:rsidR="007470AB" w:rsidRPr="00EA59C0">
        <w:t>detail</w:t>
      </w:r>
      <w:r w:rsidR="00C026A6" w:rsidRPr="00EA59C0">
        <w:t xml:space="preserve"> </w:t>
      </w:r>
      <w:r w:rsidR="007470AB" w:rsidRPr="00EA59C0">
        <w:t>below.</w:t>
      </w:r>
    </w:p>
    <w:p w:rsidR="00144DF0" w:rsidRPr="00EA59C0" w:rsidRDefault="00144DF0" w:rsidP="00C072FA">
      <w:pPr>
        <w:ind w:left="1080"/>
      </w:pPr>
    </w:p>
    <w:p w:rsidR="00144DF0" w:rsidRPr="00EA59C0" w:rsidRDefault="007470AB" w:rsidP="00C072FA">
      <w:pPr>
        <w:ind w:left="1080"/>
      </w:pPr>
      <w:r w:rsidRPr="00EA59C0">
        <w:t>Budget</w:t>
      </w:r>
      <w:r w:rsidR="00C026A6" w:rsidRPr="00EA59C0">
        <w:t xml:space="preserve"> </w:t>
      </w:r>
      <w:r w:rsidRPr="00EA59C0">
        <w:t>Narrative:</w:t>
      </w:r>
      <w:r w:rsidR="00C026A6" w:rsidRPr="00EA59C0">
        <w:t xml:space="preserve">  </w:t>
      </w:r>
      <w:r w:rsidRPr="00EA59C0">
        <w:t>The</w:t>
      </w:r>
      <w:r w:rsidR="00C026A6" w:rsidRPr="00EA59C0">
        <w:t xml:space="preserve"> </w:t>
      </w:r>
      <w:r w:rsidRPr="00EA59C0">
        <w:t>budget</w:t>
      </w:r>
      <w:r w:rsidR="00C026A6" w:rsidRPr="00EA59C0">
        <w:t xml:space="preserve"> </w:t>
      </w:r>
      <w:r w:rsidRPr="00EA59C0">
        <w:t>narrative</w:t>
      </w:r>
      <w:r w:rsidR="00C026A6" w:rsidRPr="00EA59C0">
        <w:t xml:space="preserve"> </w:t>
      </w:r>
      <w:r w:rsidRPr="00EA59C0">
        <w:t>must</w:t>
      </w:r>
      <w:r w:rsidR="00C026A6" w:rsidRPr="00EA59C0">
        <w:t xml:space="preserve"> </w:t>
      </w:r>
      <w:r w:rsidRPr="00EA59C0">
        <w:t>provide</w:t>
      </w:r>
      <w:r w:rsidR="00C026A6" w:rsidRPr="00EA59C0">
        <w:t xml:space="preserve"> </w:t>
      </w:r>
      <w:r w:rsidRPr="00EA59C0">
        <w:t>a</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costs</w:t>
      </w:r>
      <w:r w:rsidR="00C026A6" w:rsidRPr="00EA59C0">
        <w:t xml:space="preserve"> </w:t>
      </w:r>
      <w:r w:rsidRPr="00EA59C0">
        <w:t>associated</w:t>
      </w:r>
      <w:r w:rsidR="00C026A6" w:rsidRPr="00EA59C0">
        <w:t xml:space="preserve"> </w:t>
      </w:r>
      <w:r w:rsidRPr="00EA59C0">
        <w:t>with</w:t>
      </w:r>
      <w:r w:rsidR="00C026A6" w:rsidRPr="00EA59C0">
        <w:t xml:space="preserve"> </w:t>
      </w:r>
      <w:r w:rsidRPr="00EA59C0">
        <w:t>each</w:t>
      </w:r>
      <w:r w:rsidR="00C026A6" w:rsidRPr="00EA59C0">
        <w:t xml:space="preserve"> </w:t>
      </w:r>
      <w:r w:rsidRPr="00EA59C0">
        <w:t>line</w:t>
      </w:r>
      <w:r w:rsidR="00C026A6" w:rsidRPr="00EA59C0">
        <w:t xml:space="preserve"> </w:t>
      </w:r>
      <w:r w:rsidRPr="00EA59C0">
        <w:t>item</w:t>
      </w:r>
      <w:r w:rsidR="00C026A6" w:rsidRPr="00EA59C0">
        <w:t xml:space="preserve"> </w:t>
      </w:r>
      <w:r w:rsidRPr="00EA59C0">
        <w:t>on</w:t>
      </w:r>
      <w:r w:rsidR="00C026A6" w:rsidRPr="00EA59C0">
        <w:t xml:space="preserve"> </w:t>
      </w:r>
      <w:r w:rsidRPr="00EA59C0">
        <w:t>the</w:t>
      </w:r>
      <w:r w:rsidR="00C026A6" w:rsidRPr="00EA59C0">
        <w:t xml:space="preserve"> </w:t>
      </w:r>
      <w:r w:rsidRPr="00EA59C0">
        <w:t>SF-424A.</w:t>
      </w:r>
      <w:r w:rsidR="00C026A6" w:rsidRPr="00EA59C0">
        <w:t xml:space="preserve">  </w:t>
      </w:r>
      <w:r w:rsidRPr="00EA59C0">
        <w:t>It</w:t>
      </w:r>
      <w:r w:rsidR="00C026A6" w:rsidRPr="00EA59C0">
        <w:t xml:space="preserve"> </w:t>
      </w:r>
      <w:r w:rsidRPr="00EA59C0">
        <w:t>should</w:t>
      </w:r>
      <w:r w:rsidR="00C026A6" w:rsidRPr="00EA59C0">
        <w:t xml:space="preserve"> </w:t>
      </w:r>
      <w:r w:rsidRPr="00EA59C0">
        <w:t>also</w:t>
      </w:r>
      <w:r w:rsidR="00C026A6" w:rsidRPr="00EA59C0">
        <w:t xml:space="preserve"> </w:t>
      </w:r>
      <w:r w:rsidRPr="00EA59C0">
        <w:t>include</w:t>
      </w:r>
      <w:r w:rsidR="00C026A6" w:rsidRPr="00EA59C0">
        <w:t xml:space="preserve"> </w:t>
      </w:r>
      <w:r w:rsidRPr="00EA59C0">
        <w:t>a</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leveraged</w:t>
      </w:r>
      <w:r w:rsidR="00C026A6" w:rsidRPr="00EA59C0">
        <w:t xml:space="preserve"> </w:t>
      </w:r>
      <w:r w:rsidRPr="00EA59C0">
        <w:t>resources</w:t>
      </w:r>
      <w:r w:rsidR="00C026A6" w:rsidRPr="00EA59C0">
        <w:t xml:space="preserve"> </w:t>
      </w:r>
      <w:r w:rsidRPr="00EA59C0">
        <w:t>provided</w:t>
      </w:r>
      <w:r w:rsidR="00C026A6" w:rsidRPr="00EA59C0">
        <w:t xml:space="preserve"> </w:t>
      </w:r>
      <w:r w:rsidRPr="00EA59C0">
        <w:t>(as</w:t>
      </w:r>
      <w:r w:rsidR="00C026A6" w:rsidRPr="00EA59C0">
        <w:t xml:space="preserve"> </w:t>
      </w:r>
      <w:r w:rsidRPr="00EA59C0">
        <w:t>applicable)</w:t>
      </w:r>
      <w:r w:rsidR="00C026A6" w:rsidRPr="00EA59C0">
        <w:t xml:space="preserve"> </w:t>
      </w:r>
      <w:r w:rsidRPr="00EA59C0">
        <w:t>to</w:t>
      </w:r>
      <w:r w:rsidR="00C026A6" w:rsidRPr="00EA59C0">
        <w:t xml:space="preserve"> </w:t>
      </w:r>
      <w:r w:rsidRPr="00EA59C0">
        <w:t>support</w:t>
      </w:r>
      <w:r w:rsidR="00C026A6" w:rsidRPr="00EA59C0">
        <w:t xml:space="preserve"> </w:t>
      </w:r>
      <w:r w:rsidRPr="00EA59C0">
        <w:t>grant</w:t>
      </w:r>
      <w:r w:rsidR="00C026A6" w:rsidRPr="00EA59C0">
        <w:t xml:space="preserve"> </w:t>
      </w:r>
      <w:r w:rsidRPr="00EA59C0">
        <w:t>activities.</w:t>
      </w:r>
    </w:p>
    <w:p w:rsidR="00144DF0" w:rsidRPr="00EA59C0" w:rsidRDefault="00144DF0" w:rsidP="00C072FA">
      <w:pPr>
        <w:ind w:left="1080"/>
      </w:pPr>
    </w:p>
    <w:p w:rsidR="00294571" w:rsidRPr="00EA59C0" w:rsidRDefault="00294571" w:rsidP="00C072FA">
      <w:pPr>
        <w:ind w:left="1080"/>
      </w:pPr>
      <w:r w:rsidRPr="00EA59C0">
        <w:t>Use</w:t>
      </w:r>
      <w:r w:rsidR="00C026A6" w:rsidRPr="00EA59C0">
        <w:t xml:space="preserve"> </w:t>
      </w:r>
      <w:r w:rsidRPr="00EA59C0">
        <w:t>the</w:t>
      </w:r>
      <w:r w:rsidR="00C026A6" w:rsidRPr="00EA59C0">
        <w:t xml:space="preserve"> </w:t>
      </w:r>
      <w:r w:rsidRPr="00EA59C0">
        <w:t>following</w:t>
      </w:r>
      <w:r w:rsidR="00C026A6" w:rsidRPr="00EA59C0">
        <w:t xml:space="preserve"> </w:t>
      </w:r>
      <w:r w:rsidRPr="00EA59C0">
        <w:t>guidance</w:t>
      </w:r>
      <w:r w:rsidR="00C026A6" w:rsidRPr="00EA59C0">
        <w:t xml:space="preserve"> </w:t>
      </w:r>
      <w:r w:rsidRPr="00EA59C0">
        <w:t>for</w:t>
      </w:r>
      <w:r w:rsidR="00C026A6" w:rsidRPr="00EA59C0">
        <w:t xml:space="preserve"> </w:t>
      </w:r>
      <w:r w:rsidRPr="00EA59C0">
        <w:t>preparing</w:t>
      </w:r>
      <w:r w:rsidR="00C026A6" w:rsidRPr="00EA59C0">
        <w:t xml:space="preserve"> </w:t>
      </w:r>
      <w:r w:rsidRPr="00EA59C0">
        <w:t>the</w:t>
      </w:r>
      <w:r w:rsidR="00C026A6" w:rsidRPr="00EA59C0">
        <w:t xml:space="preserve"> </w:t>
      </w:r>
      <w:r w:rsidRPr="00EA59C0">
        <w:t>budget</w:t>
      </w:r>
      <w:r w:rsidR="00C026A6" w:rsidRPr="00EA59C0">
        <w:t xml:space="preserve"> </w:t>
      </w:r>
      <w:r w:rsidRPr="00EA59C0">
        <w:t>narrative:</w:t>
      </w:r>
    </w:p>
    <w:p w:rsidR="00294571" w:rsidRPr="00EA59C0" w:rsidRDefault="00294571" w:rsidP="00C072FA">
      <w:pPr>
        <w:ind w:left="1080"/>
      </w:pPr>
      <w:r w:rsidRPr="00EA59C0">
        <w:t>Personnel</w:t>
      </w:r>
      <w:r w:rsidR="00C026A6" w:rsidRPr="00EA59C0">
        <w:t xml:space="preserve"> </w:t>
      </w:r>
      <w:r w:rsidRPr="00EA59C0">
        <w:t>–</w:t>
      </w:r>
      <w:r w:rsidR="00C026A6" w:rsidRPr="00EA59C0">
        <w:t xml:space="preserve"> </w:t>
      </w:r>
      <w:r w:rsidRPr="00EA59C0">
        <w:t>List</w:t>
      </w:r>
      <w:r w:rsidR="00C026A6" w:rsidRPr="00EA59C0">
        <w:t xml:space="preserve"> </w:t>
      </w:r>
      <w:r w:rsidRPr="00EA59C0">
        <w:t>all</w:t>
      </w:r>
      <w:r w:rsidR="00C026A6" w:rsidRPr="00EA59C0">
        <w:t xml:space="preserve"> </w:t>
      </w:r>
      <w:r w:rsidRPr="00EA59C0">
        <w:t>staff</w:t>
      </w:r>
      <w:r w:rsidR="00C026A6" w:rsidRPr="00EA59C0">
        <w:t xml:space="preserve"> </w:t>
      </w:r>
      <w:r w:rsidRPr="00EA59C0">
        <w:t>positions</w:t>
      </w:r>
      <w:r w:rsidR="00C026A6" w:rsidRPr="00EA59C0">
        <w:t xml:space="preserve"> </w:t>
      </w:r>
      <w:r w:rsidRPr="00EA59C0">
        <w:t>by</w:t>
      </w:r>
      <w:r w:rsidR="00C026A6" w:rsidRPr="00EA59C0">
        <w:t xml:space="preserve"> </w:t>
      </w:r>
      <w:r w:rsidRPr="00EA59C0">
        <w:t>title.</w:t>
      </w:r>
      <w:r w:rsidR="00C026A6" w:rsidRPr="00EA59C0">
        <w:t xml:space="preserve">  </w:t>
      </w:r>
      <w:r w:rsidRPr="00EA59C0">
        <w:t>Give</w:t>
      </w:r>
      <w:r w:rsidR="00C026A6" w:rsidRPr="00EA59C0">
        <w:t xml:space="preserve"> </w:t>
      </w:r>
      <w:r w:rsidRPr="00EA59C0">
        <w:t>the</w:t>
      </w:r>
      <w:r w:rsidR="00C026A6" w:rsidRPr="00EA59C0">
        <w:t xml:space="preserve"> </w:t>
      </w:r>
      <w:r w:rsidRPr="00EA59C0">
        <w:t>annual</w:t>
      </w:r>
      <w:r w:rsidR="00C026A6" w:rsidRPr="00EA59C0">
        <w:t xml:space="preserve"> </w:t>
      </w:r>
      <w:r w:rsidRPr="00EA59C0">
        <w:t>salary</w:t>
      </w:r>
      <w:r w:rsidR="00C026A6" w:rsidRPr="00EA59C0">
        <w:t xml:space="preserve"> </w:t>
      </w:r>
      <w:r w:rsidRPr="00EA59C0">
        <w:t>of</w:t>
      </w:r>
      <w:r w:rsidR="00C026A6" w:rsidRPr="00EA59C0">
        <w:t xml:space="preserve"> </w:t>
      </w:r>
      <w:r w:rsidRPr="00EA59C0">
        <w:t>each</w:t>
      </w:r>
      <w:r w:rsidR="00C026A6" w:rsidRPr="00EA59C0">
        <w:t xml:space="preserve"> </w:t>
      </w:r>
      <w:r w:rsidRPr="00EA59C0">
        <w:t>person,</w:t>
      </w:r>
      <w:r w:rsidR="00C026A6" w:rsidRPr="00EA59C0">
        <w:t xml:space="preserve"> </w:t>
      </w:r>
      <w:r w:rsidRPr="00EA59C0">
        <w:t>the</w:t>
      </w:r>
      <w:r w:rsidR="00C026A6" w:rsidRPr="00EA59C0">
        <w:t xml:space="preserve"> </w:t>
      </w:r>
      <w:r w:rsidRPr="00EA59C0">
        <w:t>percentage</w:t>
      </w:r>
      <w:r w:rsidR="00C026A6" w:rsidRPr="00EA59C0">
        <w:t xml:space="preserve"> </w:t>
      </w:r>
      <w:r w:rsidRPr="00EA59C0">
        <w:t>of</w:t>
      </w:r>
      <w:r w:rsidR="00C026A6" w:rsidRPr="00EA59C0">
        <w:t xml:space="preserve"> </w:t>
      </w:r>
      <w:r w:rsidR="00E345D5" w:rsidRPr="00EA59C0">
        <w:t>each</w:t>
      </w:r>
      <w:r w:rsidR="00C026A6" w:rsidRPr="00EA59C0">
        <w:t xml:space="preserve"> </w:t>
      </w:r>
      <w:r w:rsidR="00E345D5" w:rsidRPr="00EA59C0">
        <w:t>person’s</w:t>
      </w:r>
      <w:r w:rsidR="00C026A6" w:rsidRPr="00EA59C0">
        <w:t xml:space="preserve"> </w:t>
      </w:r>
      <w:r w:rsidRPr="00EA59C0">
        <w:t>time</w:t>
      </w:r>
      <w:r w:rsidR="00C026A6" w:rsidRPr="00EA59C0">
        <w:t xml:space="preserve"> </w:t>
      </w:r>
      <w:r w:rsidRPr="00EA59C0">
        <w:t>devoted</w:t>
      </w:r>
      <w:r w:rsidR="00C026A6" w:rsidRPr="00EA59C0">
        <w:t xml:space="preserve"> </w:t>
      </w:r>
      <w:r w:rsidRPr="00EA59C0">
        <w:t>to</w:t>
      </w:r>
      <w:r w:rsidR="00C026A6" w:rsidRPr="00EA59C0">
        <w:t xml:space="preserve"> </w:t>
      </w:r>
      <w:r w:rsidRPr="00EA59C0">
        <w:t>the</w:t>
      </w:r>
      <w:r w:rsidR="00C026A6" w:rsidRPr="00EA59C0">
        <w:t xml:space="preserve"> </w:t>
      </w:r>
      <w:r w:rsidRPr="00EA59C0">
        <w:t>project,</w:t>
      </w:r>
      <w:r w:rsidR="00C026A6" w:rsidRPr="00EA59C0">
        <w:t xml:space="preserve"> </w:t>
      </w:r>
      <w:r w:rsidRPr="00EA59C0">
        <w:t>the</w:t>
      </w:r>
      <w:r w:rsidR="00C026A6" w:rsidRPr="00EA59C0">
        <w:t xml:space="preserve"> </w:t>
      </w:r>
      <w:r w:rsidRPr="00EA59C0">
        <w:t>amount</w:t>
      </w:r>
      <w:r w:rsidR="00C026A6" w:rsidRPr="00EA59C0">
        <w:t xml:space="preserve"> </w:t>
      </w:r>
      <w:r w:rsidRPr="00EA59C0">
        <w:t>of</w:t>
      </w:r>
      <w:r w:rsidR="00C026A6" w:rsidRPr="00EA59C0">
        <w:t xml:space="preserve"> </w:t>
      </w:r>
      <w:r w:rsidRPr="00EA59C0">
        <w:t>each</w:t>
      </w:r>
      <w:r w:rsidR="00C026A6" w:rsidRPr="00EA59C0">
        <w:t xml:space="preserve"> </w:t>
      </w:r>
      <w:r w:rsidRPr="00EA59C0">
        <w:t>person’s</w:t>
      </w:r>
      <w:r w:rsidR="00C026A6" w:rsidRPr="00EA59C0">
        <w:t xml:space="preserve"> </w:t>
      </w:r>
      <w:r w:rsidRPr="00EA59C0">
        <w:t>salary</w:t>
      </w:r>
      <w:r w:rsidR="00C026A6" w:rsidRPr="00EA59C0">
        <w:t xml:space="preserve"> </w:t>
      </w:r>
      <w:r w:rsidRPr="00EA59C0">
        <w:t>funded</w:t>
      </w:r>
      <w:r w:rsidR="00C026A6" w:rsidRPr="00EA59C0">
        <w:t xml:space="preserve"> </w:t>
      </w:r>
      <w:r w:rsidRPr="00EA59C0">
        <w:t>by</w:t>
      </w:r>
      <w:r w:rsidR="00C026A6" w:rsidRPr="00EA59C0">
        <w:t xml:space="preserve"> </w:t>
      </w:r>
      <w:r w:rsidRPr="00EA59C0">
        <w:t>the</w:t>
      </w:r>
      <w:r w:rsidR="00C026A6" w:rsidRPr="00EA59C0">
        <w:t xml:space="preserve"> </w:t>
      </w:r>
      <w:r w:rsidRPr="00EA59C0">
        <w:t>grant</w:t>
      </w:r>
      <w:r w:rsidR="00C026A6" w:rsidRPr="00EA59C0">
        <w:t xml:space="preserve"> </w:t>
      </w:r>
      <w:r w:rsidRPr="00EA59C0">
        <w:t>and</w:t>
      </w:r>
      <w:r w:rsidR="00C026A6" w:rsidRPr="00EA59C0">
        <w:t xml:space="preserve"> </w:t>
      </w:r>
      <w:r w:rsidRPr="00EA59C0">
        <w:t>the</w:t>
      </w:r>
      <w:r w:rsidR="00C026A6" w:rsidRPr="00EA59C0">
        <w:t xml:space="preserve"> </w:t>
      </w:r>
      <w:r w:rsidRPr="00EA59C0">
        <w:t>total</w:t>
      </w:r>
      <w:r w:rsidR="00C026A6" w:rsidRPr="00EA59C0">
        <w:t xml:space="preserve"> </w:t>
      </w:r>
      <w:r w:rsidRPr="00EA59C0">
        <w:t>personnel</w:t>
      </w:r>
      <w:r w:rsidR="00C026A6" w:rsidRPr="00EA59C0">
        <w:t xml:space="preserve"> </w:t>
      </w:r>
      <w:r w:rsidRPr="00EA59C0">
        <w:t>cost</w:t>
      </w:r>
      <w:r w:rsidR="00C026A6" w:rsidRPr="00EA59C0">
        <w:t xml:space="preserve"> </w:t>
      </w:r>
      <w:r w:rsidRPr="00EA59C0">
        <w:t>for</w:t>
      </w:r>
      <w:r w:rsidR="00C026A6" w:rsidRPr="00EA59C0">
        <w:t xml:space="preserve"> </w:t>
      </w:r>
      <w:r w:rsidRPr="00EA59C0">
        <w:t>the</w:t>
      </w:r>
      <w:r w:rsidR="00C026A6" w:rsidRPr="00EA59C0">
        <w:t xml:space="preserve"> </w:t>
      </w:r>
      <w:r w:rsidRPr="00EA59C0">
        <w:t>period</w:t>
      </w:r>
      <w:r w:rsidR="00C026A6" w:rsidRPr="00EA59C0">
        <w:t xml:space="preserve"> </w:t>
      </w:r>
      <w:r w:rsidRPr="00EA59C0">
        <w:t>of</w:t>
      </w:r>
      <w:r w:rsidR="00C026A6" w:rsidRPr="00EA59C0">
        <w:t xml:space="preserve"> </w:t>
      </w:r>
      <w:r w:rsidRPr="00EA59C0">
        <w:t>performance.</w:t>
      </w:r>
      <w:r w:rsidR="00C026A6" w:rsidRPr="00EA59C0">
        <w:t xml:space="preserve"> </w:t>
      </w:r>
    </w:p>
    <w:p w:rsidR="00294571" w:rsidRPr="00EA59C0" w:rsidRDefault="00294571" w:rsidP="00C072FA">
      <w:pPr>
        <w:ind w:left="1080"/>
      </w:pPr>
    </w:p>
    <w:p w:rsidR="00294571" w:rsidRPr="00EA59C0" w:rsidRDefault="00294571" w:rsidP="00C072FA">
      <w:pPr>
        <w:ind w:left="1080"/>
      </w:pPr>
      <w:r w:rsidRPr="00EA59C0">
        <w:t>Fringe</w:t>
      </w:r>
      <w:r w:rsidR="00C026A6" w:rsidRPr="00EA59C0">
        <w:t xml:space="preserve"> </w:t>
      </w:r>
      <w:r w:rsidRPr="00EA59C0">
        <w:t>Benefits</w:t>
      </w:r>
      <w:r w:rsidR="00C026A6" w:rsidRPr="00EA59C0">
        <w:t xml:space="preserve"> </w:t>
      </w:r>
      <w:r w:rsidRPr="00EA59C0">
        <w:t>–</w:t>
      </w:r>
      <w:r w:rsidR="00C026A6" w:rsidRPr="00EA59C0">
        <w:t xml:space="preserve"> </w:t>
      </w:r>
      <w:r w:rsidRPr="00EA59C0">
        <w:t>Provide</w:t>
      </w:r>
      <w:r w:rsidR="00C026A6" w:rsidRPr="00EA59C0">
        <w:t xml:space="preserve"> </w:t>
      </w:r>
      <w:r w:rsidRPr="00EA59C0">
        <w:t>a</w:t>
      </w:r>
      <w:r w:rsidR="00C026A6" w:rsidRPr="00EA59C0">
        <w:t xml:space="preserve"> </w:t>
      </w:r>
      <w:r w:rsidRPr="00EA59C0">
        <w:t>breakdown</w:t>
      </w:r>
      <w:r w:rsidR="00C026A6" w:rsidRPr="00EA59C0">
        <w:t xml:space="preserve"> </w:t>
      </w:r>
      <w:r w:rsidRPr="00EA59C0">
        <w:t>of</w:t>
      </w:r>
      <w:r w:rsidR="00C026A6" w:rsidRPr="00EA59C0">
        <w:t xml:space="preserve"> </w:t>
      </w:r>
      <w:r w:rsidRPr="00EA59C0">
        <w:t>the</w:t>
      </w:r>
      <w:r w:rsidR="00C026A6" w:rsidRPr="00EA59C0">
        <w:t xml:space="preserve"> </w:t>
      </w:r>
      <w:r w:rsidRPr="00EA59C0">
        <w:t>amounts</w:t>
      </w:r>
      <w:r w:rsidR="00C026A6" w:rsidRPr="00EA59C0">
        <w:t xml:space="preserve"> </w:t>
      </w:r>
      <w:r w:rsidRPr="00EA59C0">
        <w:t>and</w:t>
      </w:r>
      <w:r w:rsidR="00C026A6" w:rsidRPr="00EA59C0">
        <w:t xml:space="preserve"> </w:t>
      </w:r>
      <w:r w:rsidRPr="00EA59C0">
        <w:t>percentages</w:t>
      </w:r>
      <w:r w:rsidR="00C026A6" w:rsidRPr="00EA59C0">
        <w:t xml:space="preserve"> </w:t>
      </w:r>
      <w:r w:rsidRPr="00EA59C0">
        <w:t>that</w:t>
      </w:r>
      <w:r w:rsidR="00C026A6" w:rsidRPr="00EA59C0">
        <w:t xml:space="preserve"> </w:t>
      </w:r>
      <w:r w:rsidRPr="00EA59C0">
        <w:t>comprise</w:t>
      </w:r>
      <w:r w:rsidR="00C026A6" w:rsidRPr="00EA59C0">
        <w:t xml:space="preserve"> </w:t>
      </w:r>
      <w:r w:rsidRPr="00EA59C0">
        <w:t>fringe</w:t>
      </w:r>
      <w:r w:rsidR="00C026A6" w:rsidRPr="00EA59C0">
        <w:t xml:space="preserve"> </w:t>
      </w:r>
      <w:r w:rsidRPr="00EA59C0">
        <w:t>benefit</w:t>
      </w:r>
      <w:r w:rsidR="00C026A6" w:rsidRPr="00EA59C0">
        <w:t xml:space="preserve"> </w:t>
      </w:r>
      <w:r w:rsidRPr="00EA59C0">
        <w:t>costs</w:t>
      </w:r>
      <w:r w:rsidR="00C026A6" w:rsidRPr="00EA59C0">
        <w:t xml:space="preserve"> </w:t>
      </w:r>
      <w:r w:rsidRPr="00EA59C0">
        <w:t>such</w:t>
      </w:r>
      <w:r w:rsidR="00C026A6" w:rsidRPr="00EA59C0">
        <w:t xml:space="preserve"> </w:t>
      </w:r>
      <w:r w:rsidRPr="00EA59C0">
        <w:t>as</w:t>
      </w:r>
      <w:r w:rsidR="00C026A6" w:rsidRPr="00EA59C0">
        <w:t xml:space="preserve"> </w:t>
      </w:r>
      <w:r w:rsidRPr="00EA59C0">
        <w:t>health</w:t>
      </w:r>
      <w:r w:rsidR="00C026A6" w:rsidRPr="00EA59C0">
        <w:t xml:space="preserve"> </w:t>
      </w:r>
      <w:r w:rsidRPr="00EA59C0">
        <w:t>insurance,</w:t>
      </w:r>
      <w:r w:rsidR="00C026A6" w:rsidRPr="00EA59C0">
        <w:t xml:space="preserve"> </w:t>
      </w:r>
      <w:r w:rsidRPr="00EA59C0">
        <w:t>FICA,</w:t>
      </w:r>
      <w:r w:rsidR="00C026A6" w:rsidRPr="00EA59C0">
        <w:t xml:space="preserve"> </w:t>
      </w:r>
      <w:r w:rsidRPr="00EA59C0">
        <w:t>retirement,</w:t>
      </w:r>
      <w:r w:rsidR="00C026A6" w:rsidRPr="00EA59C0">
        <w:t xml:space="preserve"> </w:t>
      </w:r>
      <w:r w:rsidRPr="00EA59C0">
        <w:t>etc.</w:t>
      </w:r>
      <w:r w:rsidR="00C026A6" w:rsidRPr="00EA59C0">
        <w:t xml:space="preserve">  </w:t>
      </w:r>
    </w:p>
    <w:p w:rsidR="00294571" w:rsidRPr="00EA59C0" w:rsidRDefault="00294571" w:rsidP="00C072FA">
      <w:pPr>
        <w:ind w:left="1080"/>
      </w:pPr>
    </w:p>
    <w:p w:rsidR="00294571" w:rsidRPr="00EA59C0" w:rsidRDefault="00294571" w:rsidP="00C072FA">
      <w:pPr>
        <w:ind w:left="1080"/>
      </w:pPr>
      <w:r w:rsidRPr="00EA59C0">
        <w:t>Travel</w:t>
      </w:r>
      <w:r w:rsidR="00C026A6" w:rsidRPr="00EA59C0">
        <w:t xml:space="preserve"> </w:t>
      </w:r>
      <w:r w:rsidRPr="00EA59C0">
        <w:t>–</w:t>
      </w:r>
      <w:r w:rsidR="00C026A6" w:rsidRPr="00EA59C0">
        <w:t xml:space="preserve"> </w:t>
      </w:r>
      <w:r w:rsidRPr="00EA59C0">
        <w:t>Specify</w:t>
      </w:r>
      <w:r w:rsidR="00C026A6" w:rsidRPr="00EA59C0">
        <w:t xml:space="preserve"> </w:t>
      </w:r>
      <w:r w:rsidRPr="00EA59C0">
        <w:t>the</w:t>
      </w:r>
      <w:r w:rsidR="00C026A6" w:rsidRPr="00EA59C0">
        <w:t xml:space="preserve"> </w:t>
      </w:r>
      <w:r w:rsidR="00324CE1" w:rsidRPr="00EA59C0">
        <w:t>purpose,</w:t>
      </w:r>
      <w:r w:rsidR="00C026A6" w:rsidRPr="00EA59C0">
        <w:t xml:space="preserve"> </w:t>
      </w:r>
      <w:r w:rsidRPr="00EA59C0">
        <w:t>mileage,</w:t>
      </w:r>
      <w:r w:rsidR="00C026A6" w:rsidRPr="00EA59C0">
        <w:t xml:space="preserve"> </w:t>
      </w:r>
      <w:r w:rsidRPr="00EA59C0">
        <w:t>per</w:t>
      </w:r>
      <w:r w:rsidR="00C026A6" w:rsidRPr="00EA59C0">
        <w:t xml:space="preserve"> </w:t>
      </w:r>
      <w:r w:rsidRPr="00EA59C0">
        <w:t>diem,</w:t>
      </w:r>
      <w:r w:rsidR="00C026A6" w:rsidRPr="00EA59C0">
        <w:t xml:space="preserve"> </w:t>
      </w:r>
      <w:r w:rsidRPr="00EA59C0">
        <w:t>estimated</w:t>
      </w:r>
      <w:r w:rsidR="00C026A6" w:rsidRPr="00EA59C0">
        <w:t xml:space="preserve"> </w:t>
      </w:r>
      <w:r w:rsidRPr="00EA59C0">
        <w:t>number</w:t>
      </w:r>
      <w:r w:rsidR="00C026A6" w:rsidRPr="00EA59C0">
        <w:t xml:space="preserve"> </w:t>
      </w:r>
      <w:r w:rsidRPr="00EA59C0">
        <w:t>of</w:t>
      </w:r>
      <w:r w:rsidR="00C026A6" w:rsidRPr="00EA59C0">
        <w:t xml:space="preserve"> </w:t>
      </w:r>
      <w:r w:rsidRPr="00EA59C0">
        <w:t>in-state</w:t>
      </w:r>
      <w:r w:rsidR="00C026A6" w:rsidRPr="00EA59C0">
        <w:t xml:space="preserve"> </w:t>
      </w:r>
      <w:r w:rsidRPr="00EA59C0">
        <w:t>and</w:t>
      </w:r>
      <w:r w:rsidR="00C026A6" w:rsidRPr="00EA59C0">
        <w:t xml:space="preserve"> </w:t>
      </w:r>
      <w:r w:rsidRPr="00EA59C0">
        <w:t>out-of-state</w:t>
      </w:r>
      <w:r w:rsidR="00C026A6" w:rsidRPr="00EA59C0">
        <w:t xml:space="preserve"> </w:t>
      </w:r>
      <w:r w:rsidRPr="00EA59C0">
        <w:t>trips</w:t>
      </w:r>
      <w:r w:rsidR="00C026A6" w:rsidRPr="00EA59C0">
        <w:t xml:space="preserve"> </w:t>
      </w:r>
      <w:r w:rsidRPr="00EA59C0">
        <w:t>and</w:t>
      </w:r>
      <w:r w:rsidR="00C026A6" w:rsidRPr="00EA59C0">
        <w:t xml:space="preserve"> </w:t>
      </w:r>
      <w:r w:rsidRPr="00EA59C0">
        <w:t>other</w:t>
      </w:r>
      <w:r w:rsidR="00C026A6" w:rsidRPr="00EA59C0">
        <w:t xml:space="preserve"> </w:t>
      </w:r>
      <w:r w:rsidRPr="00EA59C0">
        <w:t>costs</w:t>
      </w:r>
      <w:r w:rsidR="00C026A6" w:rsidRPr="00EA59C0">
        <w:t xml:space="preserve"> </w:t>
      </w:r>
      <w:r w:rsidRPr="00EA59C0">
        <w:t>for</w:t>
      </w:r>
      <w:r w:rsidR="00C026A6" w:rsidRPr="00EA59C0">
        <w:t xml:space="preserve"> </w:t>
      </w:r>
      <w:r w:rsidRPr="00EA59C0">
        <w:t>each</w:t>
      </w:r>
      <w:r w:rsidR="00C026A6" w:rsidRPr="00EA59C0">
        <w:t xml:space="preserve"> </w:t>
      </w:r>
      <w:r w:rsidRPr="00EA59C0">
        <w:t>type</w:t>
      </w:r>
      <w:r w:rsidR="00C026A6" w:rsidRPr="00EA59C0">
        <w:t xml:space="preserve"> </w:t>
      </w:r>
      <w:r w:rsidRPr="00EA59C0">
        <w:t>of</w:t>
      </w:r>
      <w:r w:rsidR="00C026A6" w:rsidRPr="00EA59C0">
        <w:t xml:space="preserve"> </w:t>
      </w:r>
      <w:r w:rsidRPr="00EA59C0">
        <w:t>travel.</w:t>
      </w:r>
      <w:r w:rsidR="00C026A6" w:rsidRPr="00EA59C0">
        <w:t xml:space="preserve"> </w:t>
      </w:r>
    </w:p>
    <w:p w:rsidR="00294571" w:rsidRPr="00EA59C0" w:rsidRDefault="00294571" w:rsidP="00C072FA">
      <w:pPr>
        <w:ind w:left="1080"/>
      </w:pPr>
    </w:p>
    <w:p w:rsidR="00294571" w:rsidRPr="00EA59C0" w:rsidRDefault="00294571" w:rsidP="00C072FA">
      <w:pPr>
        <w:ind w:left="1080"/>
      </w:pPr>
      <w:r w:rsidRPr="00EA59C0">
        <w:t>Equipment</w:t>
      </w:r>
      <w:r w:rsidR="00C026A6" w:rsidRPr="00EA59C0">
        <w:t xml:space="preserve"> </w:t>
      </w:r>
      <w:r w:rsidRPr="00EA59C0">
        <w:t>–</w:t>
      </w:r>
      <w:r w:rsidR="00C026A6" w:rsidRPr="00EA59C0">
        <w:t xml:space="preserve"> </w:t>
      </w:r>
      <w:r w:rsidRPr="00EA59C0">
        <w:t>Identify</w:t>
      </w:r>
      <w:r w:rsidR="00C026A6" w:rsidRPr="00EA59C0">
        <w:t xml:space="preserve"> </w:t>
      </w:r>
      <w:r w:rsidRPr="00EA59C0">
        <w:t>each</w:t>
      </w:r>
      <w:r w:rsidR="00C026A6" w:rsidRPr="00EA59C0">
        <w:t xml:space="preserve"> </w:t>
      </w:r>
      <w:r w:rsidRPr="00EA59C0">
        <w:t>item</w:t>
      </w:r>
      <w:r w:rsidR="00C026A6" w:rsidRPr="00EA59C0">
        <w:t xml:space="preserve"> </w:t>
      </w:r>
      <w:r w:rsidRPr="00EA59C0">
        <w:t>of</w:t>
      </w:r>
      <w:r w:rsidR="00C026A6" w:rsidRPr="00EA59C0">
        <w:t xml:space="preserve"> </w:t>
      </w:r>
      <w:r w:rsidRPr="00EA59C0">
        <w:t>equipment</w:t>
      </w:r>
      <w:r w:rsidR="00C026A6" w:rsidRPr="00EA59C0">
        <w:t xml:space="preserve"> </w:t>
      </w:r>
      <w:r w:rsidRPr="00EA59C0">
        <w:t>to</w:t>
      </w:r>
      <w:r w:rsidR="00C026A6" w:rsidRPr="00EA59C0">
        <w:t xml:space="preserve"> </w:t>
      </w:r>
      <w:r w:rsidRPr="00EA59C0">
        <w:t>be</w:t>
      </w:r>
      <w:r w:rsidR="00C026A6" w:rsidRPr="00EA59C0">
        <w:t xml:space="preserve"> </w:t>
      </w:r>
      <w:r w:rsidRPr="00EA59C0">
        <w:t>purchased</w:t>
      </w:r>
      <w:r w:rsidR="00C026A6" w:rsidRPr="00EA59C0">
        <w:t xml:space="preserve"> </w:t>
      </w:r>
      <w:r w:rsidRPr="00EA59C0">
        <w:t>which</w:t>
      </w:r>
      <w:r w:rsidR="00C026A6" w:rsidRPr="00EA59C0">
        <w:t xml:space="preserve"> </w:t>
      </w:r>
      <w:r w:rsidRPr="00EA59C0">
        <w:t>has</w:t>
      </w:r>
      <w:r w:rsidR="00C026A6" w:rsidRPr="00EA59C0">
        <w:t xml:space="preserve"> </w:t>
      </w:r>
      <w:r w:rsidRPr="00EA59C0">
        <w:t>an</w:t>
      </w:r>
      <w:r w:rsidR="00C026A6" w:rsidRPr="00EA59C0">
        <w:t xml:space="preserve"> </w:t>
      </w:r>
      <w:r w:rsidRPr="00EA59C0">
        <w:t>estimated</w:t>
      </w:r>
      <w:r w:rsidR="00C026A6" w:rsidRPr="00EA59C0">
        <w:t xml:space="preserve"> </w:t>
      </w:r>
      <w:r w:rsidRPr="00EA59C0">
        <w:t>acquisition</w:t>
      </w:r>
      <w:r w:rsidR="00C026A6" w:rsidRPr="00EA59C0">
        <w:t xml:space="preserve"> </w:t>
      </w:r>
      <w:r w:rsidRPr="00EA59C0">
        <w:t>cost</w:t>
      </w:r>
      <w:r w:rsidR="00C026A6" w:rsidRPr="00EA59C0">
        <w:t xml:space="preserve"> </w:t>
      </w:r>
      <w:r w:rsidRPr="00EA59C0">
        <w:t>of</w:t>
      </w:r>
      <w:r w:rsidR="00C026A6" w:rsidRPr="00EA59C0">
        <w:t xml:space="preserve"> </w:t>
      </w:r>
      <w:r w:rsidRPr="00EA59C0">
        <w:t>$5,000</w:t>
      </w:r>
      <w:r w:rsidR="00C026A6" w:rsidRPr="00EA59C0">
        <w:t xml:space="preserve"> </w:t>
      </w:r>
      <w:r w:rsidRPr="00EA59C0">
        <w:t>or</w:t>
      </w:r>
      <w:r w:rsidR="00C026A6" w:rsidRPr="00EA59C0">
        <w:t xml:space="preserve"> </w:t>
      </w:r>
      <w:r w:rsidRPr="00EA59C0">
        <w:t>more</w:t>
      </w:r>
      <w:r w:rsidR="00C026A6" w:rsidRPr="00EA59C0">
        <w:t xml:space="preserve"> </w:t>
      </w:r>
      <w:r w:rsidRPr="00EA59C0">
        <w:t>per</w:t>
      </w:r>
      <w:r w:rsidR="00C026A6" w:rsidRPr="00EA59C0">
        <w:t xml:space="preserve"> </w:t>
      </w:r>
      <w:r w:rsidRPr="00EA59C0">
        <w:t>unit</w:t>
      </w:r>
      <w:r w:rsidR="00C026A6" w:rsidRPr="00EA59C0">
        <w:t xml:space="preserve"> </w:t>
      </w:r>
      <w:r w:rsidRPr="00EA59C0">
        <w:t>and</w:t>
      </w:r>
      <w:r w:rsidR="00C026A6" w:rsidRPr="00EA59C0">
        <w:t xml:space="preserve"> </w:t>
      </w:r>
      <w:r w:rsidRPr="00EA59C0">
        <w:t>a</w:t>
      </w:r>
      <w:r w:rsidR="00C026A6" w:rsidRPr="00EA59C0">
        <w:t xml:space="preserve"> </w:t>
      </w:r>
      <w:r w:rsidRPr="00EA59C0">
        <w:t>useful</w:t>
      </w:r>
      <w:r w:rsidR="00C026A6" w:rsidRPr="00EA59C0">
        <w:t xml:space="preserve"> </w:t>
      </w:r>
      <w:r w:rsidRPr="00EA59C0">
        <w:t>lifetime</w:t>
      </w:r>
      <w:r w:rsidR="00C026A6" w:rsidRPr="00EA59C0">
        <w:t xml:space="preserve"> </w:t>
      </w:r>
      <w:r w:rsidRPr="00EA59C0">
        <w:t>of</w:t>
      </w:r>
      <w:r w:rsidR="00C026A6" w:rsidRPr="00EA59C0">
        <w:t xml:space="preserve"> </w:t>
      </w:r>
      <w:r w:rsidRPr="00EA59C0">
        <w:t>more</w:t>
      </w:r>
      <w:r w:rsidR="00C026A6" w:rsidRPr="00EA59C0">
        <w:t xml:space="preserve"> </w:t>
      </w:r>
      <w:r w:rsidRPr="00EA59C0">
        <w:t>than</w:t>
      </w:r>
      <w:r w:rsidR="00C026A6" w:rsidRPr="00EA59C0">
        <w:t xml:space="preserve"> </w:t>
      </w:r>
      <w:r w:rsidRPr="00EA59C0">
        <w:t>one</w:t>
      </w:r>
      <w:r w:rsidR="00C026A6" w:rsidRPr="00EA59C0">
        <w:t xml:space="preserve"> </w:t>
      </w:r>
      <w:r w:rsidRPr="00EA59C0">
        <w:t>year.</w:t>
      </w:r>
      <w:r w:rsidR="00C026A6" w:rsidRPr="00EA59C0">
        <w:t xml:space="preserve">  </w:t>
      </w:r>
      <w:r w:rsidRPr="00EA59C0">
        <w:t>List</w:t>
      </w:r>
      <w:r w:rsidR="00C026A6" w:rsidRPr="00EA59C0">
        <w:t xml:space="preserve"> </w:t>
      </w:r>
      <w:r w:rsidRPr="00EA59C0">
        <w:t>the</w:t>
      </w:r>
      <w:r w:rsidR="00C026A6" w:rsidRPr="00EA59C0">
        <w:t xml:space="preserve"> </w:t>
      </w:r>
      <w:r w:rsidRPr="00EA59C0">
        <w:t>quantity</w:t>
      </w:r>
      <w:r w:rsidR="00C026A6" w:rsidRPr="00EA59C0">
        <w:t xml:space="preserve"> </w:t>
      </w:r>
      <w:r w:rsidRPr="00EA59C0">
        <w:t>and</w:t>
      </w:r>
      <w:r w:rsidR="00C026A6" w:rsidRPr="00EA59C0">
        <w:t xml:space="preserve"> </w:t>
      </w:r>
      <w:r w:rsidRPr="00EA59C0">
        <w:t>unit</w:t>
      </w:r>
      <w:r w:rsidR="00C026A6" w:rsidRPr="00EA59C0">
        <w:t xml:space="preserve"> </w:t>
      </w:r>
      <w:r w:rsidRPr="00EA59C0">
        <w:t>cost</w:t>
      </w:r>
      <w:r w:rsidR="00C026A6" w:rsidRPr="00EA59C0">
        <w:t xml:space="preserve"> </w:t>
      </w:r>
      <w:r w:rsidRPr="00EA59C0">
        <w:t>per</w:t>
      </w:r>
      <w:r w:rsidR="00C026A6" w:rsidRPr="00EA59C0">
        <w:t xml:space="preserve"> </w:t>
      </w:r>
      <w:r w:rsidRPr="00EA59C0">
        <w:t>item.</w:t>
      </w:r>
      <w:r w:rsidR="00C026A6" w:rsidRPr="00EA59C0">
        <w:t xml:space="preserve"> </w:t>
      </w:r>
      <w:r w:rsidRPr="00EA59C0">
        <w:t>Items</w:t>
      </w:r>
      <w:r w:rsidR="00C026A6" w:rsidRPr="00EA59C0">
        <w:t xml:space="preserve"> </w:t>
      </w:r>
      <w:r w:rsidRPr="00EA59C0">
        <w:t>with</w:t>
      </w:r>
      <w:r w:rsidR="00C026A6" w:rsidRPr="00EA59C0">
        <w:t xml:space="preserve"> </w:t>
      </w:r>
      <w:r w:rsidRPr="00EA59C0">
        <w:t>a</w:t>
      </w:r>
      <w:r w:rsidR="00C026A6" w:rsidRPr="00EA59C0">
        <w:t xml:space="preserve"> </w:t>
      </w:r>
      <w:r w:rsidRPr="00EA59C0">
        <w:t>unit</w:t>
      </w:r>
      <w:r w:rsidR="00C026A6" w:rsidRPr="00EA59C0">
        <w:t xml:space="preserve"> </w:t>
      </w:r>
      <w:r w:rsidRPr="00EA59C0">
        <w:t>cost</w:t>
      </w:r>
      <w:r w:rsidR="00C026A6" w:rsidRPr="00EA59C0">
        <w:t xml:space="preserve"> </w:t>
      </w:r>
      <w:r w:rsidRPr="00EA59C0">
        <w:t>of</w:t>
      </w:r>
      <w:r w:rsidR="00C026A6" w:rsidRPr="00EA59C0">
        <w:t xml:space="preserve"> </w:t>
      </w:r>
      <w:r w:rsidRPr="00EA59C0">
        <w:t>less</w:t>
      </w:r>
      <w:r w:rsidR="00C026A6" w:rsidRPr="00EA59C0">
        <w:t xml:space="preserve"> </w:t>
      </w:r>
      <w:r w:rsidRPr="00EA59C0">
        <w:t>than</w:t>
      </w:r>
      <w:r w:rsidR="00C026A6" w:rsidRPr="00EA59C0">
        <w:t xml:space="preserve"> </w:t>
      </w:r>
      <w:r w:rsidRPr="00EA59C0">
        <w:t>$5,000</w:t>
      </w:r>
      <w:r w:rsidR="00C026A6" w:rsidRPr="00EA59C0">
        <w:t xml:space="preserve"> </w:t>
      </w:r>
      <w:r w:rsidRPr="00EA59C0">
        <w:t>are</w:t>
      </w:r>
      <w:r w:rsidR="00C026A6" w:rsidRPr="00EA59C0">
        <w:t xml:space="preserve"> </w:t>
      </w:r>
      <w:r w:rsidRPr="00EA59C0">
        <w:t>supplies.</w:t>
      </w:r>
      <w:r w:rsidR="00C026A6" w:rsidRPr="00EA59C0">
        <w:t xml:space="preserve"> </w:t>
      </w:r>
    </w:p>
    <w:p w:rsidR="00294571" w:rsidRPr="00EA59C0" w:rsidRDefault="00294571" w:rsidP="00C072FA">
      <w:pPr>
        <w:ind w:left="1080"/>
      </w:pPr>
    </w:p>
    <w:p w:rsidR="00294571" w:rsidRPr="00EA59C0" w:rsidRDefault="00294571" w:rsidP="00C072FA">
      <w:pPr>
        <w:ind w:left="1080"/>
      </w:pPr>
      <w:r w:rsidRPr="00EA59C0">
        <w:t>Supplies</w:t>
      </w:r>
      <w:r w:rsidR="00C026A6" w:rsidRPr="00EA59C0">
        <w:t xml:space="preserve"> </w:t>
      </w:r>
      <w:r w:rsidRPr="00EA59C0">
        <w:t>–</w:t>
      </w:r>
      <w:r w:rsidR="00C026A6" w:rsidRPr="00EA59C0">
        <w:t xml:space="preserve"> </w:t>
      </w:r>
      <w:r w:rsidRPr="00EA59C0">
        <w:t>Supplies</w:t>
      </w:r>
      <w:r w:rsidR="00C026A6" w:rsidRPr="00EA59C0">
        <w:t xml:space="preserve"> </w:t>
      </w:r>
      <w:r w:rsidRPr="00EA59C0">
        <w:t>include</w:t>
      </w:r>
      <w:r w:rsidR="00C026A6" w:rsidRPr="00EA59C0">
        <w:t xml:space="preserve"> </w:t>
      </w:r>
      <w:r w:rsidRPr="00EA59C0">
        <w:t>all</w:t>
      </w:r>
      <w:r w:rsidR="00C026A6" w:rsidRPr="00EA59C0">
        <w:t xml:space="preserve"> </w:t>
      </w:r>
      <w:r w:rsidRPr="00EA59C0">
        <w:t>tangible</w:t>
      </w:r>
      <w:r w:rsidR="00C026A6" w:rsidRPr="00EA59C0">
        <w:t xml:space="preserve"> </w:t>
      </w:r>
      <w:r w:rsidRPr="00EA59C0">
        <w:t>personal</w:t>
      </w:r>
      <w:r w:rsidR="00C026A6" w:rsidRPr="00EA59C0">
        <w:t xml:space="preserve"> </w:t>
      </w:r>
      <w:r w:rsidRPr="00EA59C0">
        <w:t>property</w:t>
      </w:r>
      <w:r w:rsidR="00C026A6" w:rsidRPr="00EA59C0">
        <w:t xml:space="preserve"> </w:t>
      </w:r>
      <w:r w:rsidRPr="00EA59C0">
        <w:t>other</w:t>
      </w:r>
      <w:r w:rsidR="00C026A6" w:rsidRPr="00EA59C0">
        <w:t xml:space="preserve"> </w:t>
      </w:r>
      <w:r w:rsidRPr="00EA59C0">
        <w:t>than</w:t>
      </w:r>
      <w:r w:rsidR="00C026A6" w:rsidRPr="00EA59C0">
        <w:t xml:space="preserve"> </w:t>
      </w:r>
      <w:r w:rsidRPr="00EA59C0">
        <w:t>“equipment.”</w:t>
      </w:r>
      <w:r w:rsidR="00C026A6" w:rsidRPr="00EA59C0">
        <w:t xml:space="preserve">  </w:t>
      </w:r>
      <w:r w:rsidRPr="00EA59C0">
        <w:t>The</w:t>
      </w:r>
      <w:r w:rsidR="00C026A6" w:rsidRPr="00EA59C0">
        <w:t xml:space="preserve"> </w:t>
      </w:r>
      <w:r w:rsidRPr="00EA59C0">
        <w:t>detailed</w:t>
      </w:r>
      <w:r w:rsidR="00C026A6" w:rsidRPr="00EA59C0">
        <w:t xml:space="preserve"> </w:t>
      </w:r>
      <w:r w:rsidRPr="00EA59C0">
        <w:t>budget</w:t>
      </w:r>
      <w:r w:rsidR="00C026A6" w:rsidRPr="00EA59C0">
        <w:t xml:space="preserve"> </w:t>
      </w:r>
      <w:r w:rsidRPr="00EA59C0">
        <w:t>should</w:t>
      </w:r>
      <w:r w:rsidR="00C026A6" w:rsidRPr="00EA59C0">
        <w:t xml:space="preserve"> </w:t>
      </w:r>
      <w:r w:rsidRPr="00EA59C0">
        <w:t>identify</w:t>
      </w:r>
      <w:r w:rsidR="00C026A6" w:rsidRPr="00EA59C0">
        <w:t xml:space="preserve"> </w:t>
      </w:r>
      <w:r w:rsidRPr="00EA59C0">
        <w:t>categories</w:t>
      </w:r>
      <w:r w:rsidR="00C026A6" w:rsidRPr="00EA59C0">
        <w:t xml:space="preserve"> </w:t>
      </w:r>
      <w:r w:rsidRPr="00EA59C0">
        <w:t>of</w:t>
      </w:r>
      <w:r w:rsidR="00C026A6" w:rsidRPr="00EA59C0">
        <w:t xml:space="preserve"> </w:t>
      </w:r>
      <w:r w:rsidRPr="00EA59C0">
        <w:t>supplies</w:t>
      </w:r>
      <w:r w:rsidR="00C026A6" w:rsidRPr="00EA59C0">
        <w:t xml:space="preserve"> </w:t>
      </w:r>
      <w:r w:rsidRPr="00EA59C0">
        <w:t>(e.g.</w:t>
      </w:r>
      <w:r w:rsidR="00C026A6" w:rsidRPr="00EA59C0">
        <w:t xml:space="preserve"> </w:t>
      </w:r>
      <w:r w:rsidRPr="00EA59C0">
        <w:t>office</w:t>
      </w:r>
      <w:r w:rsidR="00C026A6" w:rsidRPr="00EA59C0">
        <w:t xml:space="preserve"> </w:t>
      </w:r>
      <w:r w:rsidRPr="00EA59C0">
        <w:t>supplies).</w:t>
      </w:r>
      <w:r w:rsidR="00C026A6" w:rsidRPr="00EA59C0">
        <w:t xml:space="preserve">  </w:t>
      </w:r>
      <w:r w:rsidRPr="00EA59C0">
        <w:t>List</w:t>
      </w:r>
      <w:r w:rsidR="00C026A6" w:rsidRPr="00EA59C0">
        <w:t xml:space="preserve"> </w:t>
      </w:r>
      <w:r w:rsidRPr="00EA59C0">
        <w:t>the</w:t>
      </w:r>
      <w:r w:rsidR="00C026A6" w:rsidRPr="00EA59C0">
        <w:t xml:space="preserve"> </w:t>
      </w:r>
      <w:r w:rsidRPr="00EA59C0">
        <w:t>quantity</w:t>
      </w:r>
      <w:r w:rsidR="00C026A6" w:rsidRPr="00EA59C0">
        <w:t xml:space="preserve"> </w:t>
      </w:r>
      <w:r w:rsidRPr="00EA59C0">
        <w:t>and</w:t>
      </w:r>
      <w:r w:rsidR="00C026A6" w:rsidRPr="00EA59C0">
        <w:t xml:space="preserve"> </w:t>
      </w:r>
      <w:r w:rsidRPr="00EA59C0">
        <w:t>unit</w:t>
      </w:r>
      <w:r w:rsidR="00C026A6" w:rsidRPr="00EA59C0">
        <w:t xml:space="preserve"> </w:t>
      </w:r>
      <w:r w:rsidRPr="00EA59C0">
        <w:t>cost</w:t>
      </w:r>
      <w:r w:rsidR="00C026A6" w:rsidRPr="00EA59C0">
        <w:t xml:space="preserve"> </w:t>
      </w:r>
      <w:r w:rsidRPr="00EA59C0">
        <w:t>per</w:t>
      </w:r>
      <w:r w:rsidR="00C026A6" w:rsidRPr="00EA59C0">
        <w:t xml:space="preserve"> </w:t>
      </w:r>
      <w:r w:rsidRPr="00EA59C0">
        <w:t>item.</w:t>
      </w:r>
      <w:r w:rsidR="00C026A6" w:rsidRPr="00EA59C0">
        <w:t xml:space="preserve"> </w:t>
      </w:r>
    </w:p>
    <w:p w:rsidR="00294571" w:rsidRPr="00EA59C0" w:rsidRDefault="00294571" w:rsidP="00C072FA">
      <w:pPr>
        <w:ind w:left="1080"/>
      </w:pPr>
    </w:p>
    <w:p w:rsidR="00294571" w:rsidRPr="00EA59C0" w:rsidRDefault="00294571" w:rsidP="00C072FA">
      <w:pPr>
        <w:ind w:left="1080"/>
      </w:pPr>
      <w:r w:rsidRPr="00EA59C0">
        <w:t>Contractual</w:t>
      </w:r>
      <w:r w:rsidR="00C026A6" w:rsidRPr="00EA59C0">
        <w:t xml:space="preserve"> </w:t>
      </w:r>
      <w:r w:rsidRPr="00EA59C0">
        <w:t>–</w:t>
      </w:r>
      <w:r w:rsidR="00C026A6" w:rsidRPr="00EA59C0">
        <w:t xml:space="preserve"> </w:t>
      </w:r>
      <w:r w:rsidRPr="00EA59C0">
        <w:t>Identify</w:t>
      </w:r>
      <w:r w:rsidR="00C026A6" w:rsidRPr="00EA59C0">
        <w:t xml:space="preserve"> </w:t>
      </w:r>
      <w:r w:rsidRPr="00EA59C0">
        <w:t>each</w:t>
      </w:r>
      <w:r w:rsidR="00C026A6" w:rsidRPr="00EA59C0">
        <w:t xml:space="preserve"> </w:t>
      </w:r>
      <w:r w:rsidRPr="00EA59C0">
        <w:t>proposed</w:t>
      </w:r>
      <w:r w:rsidR="00C026A6" w:rsidRPr="00EA59C0">
        <w:t xml:space="preserve"> </w:t>
      </w:r>
      <w:r w:rsidRPr="00EA59C0">
        <w:t>contract</w:t>
      </w:r>
      <w:r w:rsidR="00C026A6" w:rsidRPr="00EA59C0">
        <w:t xml:space="preserve"> </w:t>
      </w:r>
      <w:r w:rsidRPr="00EA59C0">
        <w:t>and</w:t>
      </w:r>
      <w:r w:rsidR="00C026A6" w:rsidRPr="00EA59C0">
        <w:t xml:space="preserve"> </w:t>
      </w:r>
      <w:r w:rsidRPr="00EA59C0">
        <w:t>specify</w:t>
      </w:r>
      <w:r w:rsidR="00C026A6" w:rsidRPr="00EA59C0">
        <w:t xml:space="preserve"> </w:t>
      </w:r>
      <w:r w:rsidRPr="00EA59C0">
        <w:t>its</w:t>
      </w:r>
      <w:r w:rsidR="00C026A6" w:rsidRPr="00EA59C0">
        <w:t xml:space="preserve"> </w:t>
      </w:r>
      <w:r w:rsidRPr="00EA59C0">
        <w:t>purpose</w:t>
      </w:r>
      <w:r w:rsidR="00C026A6" w:rsidRPr="00EA59C0">
        <w:t xml:space="preserve"> </w:t>
      </w:r>
      <w:r w:rsidRPr="00EA59C0">
        <w:t>and</w:t>
      </w:r>
      <w:r w:rsidR="00C026A6" w:rsidRPr="00EA59C0">
        <w:t xml:space="preserve"> </w:t>
      </w:r>
      <w:r w:rsidRPr="00EA59C0">
        <w:t>estimated</w:t>
      </w:r>
      <w:r w:rsidR="00C026A6" w:rsidRPr="00EA59C0">
        <w:t xml:space="preserve"> </w:t>
      </w:r>
      <w:r w:rsidRPr="00EA59C0">
        <w:t>cost.</w:t>
      </w:r>
      <w:r w:rsidR="00C026A6" w:rsidRPr="00EA59C0">
        <w:t xml:space="preserve">  </w:t>
      </w:r>
      <w:r w:rsidR="007B794E" w:rsidRPr="00EA59C0">
        <w:t>If</w:t>
      </w:r>
      <w:r w:rsidR="00C026A6" w:rsidRPr="00EA59C0">
        <w:t xml:space="preserve"> </w:t>
      </w:r>
      <w:r w:rsidR="007B794E" w:rsidRPr="00EA59C0">
        <w:t>applicable,</w:t>
      </w:r>
      <w:r w:rsidR="00C026A6" w:rsidRPr="00EA59C0">
        <w:t xml:space="preserve"> </w:t>
      </w:r>
      <w:r w:rsidR="007B794E" w:rsidRPr="00EA59C0">
        <w:t>identify</w:t>
      </w:r>
      <w:r w:rsidR="00C026A6" w:rsidRPr="00EA59C0">
        <w:t xml:space="preserve"> </w:t>
      </w:r>
      <w:r w:rsidR="007B794E" w:rsidRPr="00EA59C0">
        <w:t>any</w:t>
      </w:r>
      <w:r w:rsidR="00C026A6" w:rsidRPr="00EA59C0">
        <w:t xml:space="preserve"> </w:t>
      </w:r>
      <w:r w:rsidR="007B794E" w:rsidRPr="00EA59C0">
        <w:t>sub-recipient</w:t>
      </w:r>
      <w:r w:rsidR="00C026A6" w:rsidRPr="00EA59C0">
        <w:t xml:space="preserve"> </w:t>
      </w:r>
      <w:r w:rsidR="007B794E" w:rsidRPr="00EA59C0">
        <w:t>agreements,</w:t>
      </w:r>
      <w:r w:rsidR="00C026A6" w:rsidRPr="00EA59C0">
        <w:t xml:space="preserve"> </w:t>
      </w:r>
      <w:r w:rsidR="007B794E" w:rsidRPr="00EA59C0">
        <w:t>including</w:t>
      </w:r>
      <w:r w:rsidR="00C026A6" w:rsidRPr="00EA59C0">
        <w:t xml:space="preserve"> </w:t>
      </w:r>
      <w:r w:rsidR="007B794E" w:rsidRPr="00EA59C0">
        <w:t>purpose</w:t>
      </w:r>
      <w:r w:rsidR="00C026A6" w:rsidRPr="00EA59C0">
        <w:t xml:space="preserve"> </w:t>
      </w:r>
      <w:r w:rsidR="007B794E" w:rsidRPr="00EA59C0">
        <w:t>and</w:t>
      </w:r>
      <w:r w:rsidR="00C026A6" w:rsidRPr="00EA59C0">
        <w:t xml:space="preserve"> </w:t>
      </w:r>
      <w:r w:rsidR="007B794E" w:rsidRPr="00EA59C0">
        <w:t>estimated</w:t>
      </w:r>
      <w:r w:rsidR="00C026A6" w:rsidRPr="00EA59C0">
        <w:t xml:space="preserve"> </w:t>
      </w:r>
      <w:r w:rsidR="007B794E" w:rsidRPr="00EA59C0">
        <w:t>costs.</w:t>
      </w:r>
      <w:r w:rsidR="00C026A6" w:rsidRPr="00EA59C0">
        <w:t xml:space="preserve">  </w:t>
      </w:r>
    </w:p>
    <w:p w:rsidR="005B03BD" w:rsidRPr="00EA59C0" w:rsidRDefault="005B03BD" w:rsidP="00C072FA">
      <w:pPr>
        <w:ind w:left="1080"/>
      </w:pPr>
    </w:p>
    <w:p w:rsidR="00294571" w:rsidRPr="00EA59C0" w:rsidRDefault="00324CE1" w:rsidP="00C072FA">
      <w:pPr>
        <w:ind w:left="1080"/>
      </w:pPr>
      <w:r w:rsidRPr="00EA59C0">
        <w:t>Construction</w:t>
      </w:r>
      <w:r w:rsidR="00C026A6" w:rsidRPr="00EA59C0">
        <w:t xml:space="preserve"> </w:t>
      </w:r>
      <w:r w:rsidR="00503470" w:rsidRPr="00EA59C0">
        <w:t>–</w:t>
      </w:r>
      <w:r w:rsidR="00C026A6" w:rsidRPr="00EA59C0">
        <w:t xml:space="preserve"> </w:t>
      </w:r>
      <w:r w:rsidR="00503470" w:rsidRPr="00EA59C0">
        <w:t>Construction</w:t>
      </w:r>
      <w:r w:rsidR="00C026A6" w:rsidRPr="00EA59C0">
        <w:t xml:space="preserve"> </w:t>
      </w:r>
      <w:r w:rsidR="00503470" w:rsidRPr="00EA59C0">
        <w:t>costs</w:t>
      </w:r>
      <w:r w:rsidR="00C026A6" w:rsidRPr="00EA59C0">
        <w:t xml:space="preserve"> </w:t>
      </w:r>
      <w:r w:rsidR="00503470" w:rsidRPr="00EA59C0">
        <w:t>are</w:t>
      </w:r>
      <w:r w:rsidR="00C026A6" w:rsidRPr="00EA59C0">
        <w:t xml:space="preserve"> </w:t>
      </w:r>
      <w:r w:rsidR="00503470" w:rsidRPr="00EA59C0">
        <w:t>not</w:t>
      </w:r>
      <w:r w:rsidR="00C026A6" w:rsidRPr="00EA59C0">
        <w:t xml:space="preserve"> </w:t>
      </w:r>
      <w:r w:rsidR="00503470" w:rsidRPr="00EA59C0">
        <w:t>allowed</w:t>
      </w:r>
      <w:r w:rsidR="00C026A6" w:rsidRPr="00EA59C0">
        <w:t xml:space="preserve"> </w:t>
      </w:r>
      <w:r w:rsidR="00503470" w:rsidRPr="00EA59C0">
        <w:t>and</w:t>
      </w:r>
      <w:r w:rsidR="00C026A6" w:rsidRPr="00EA59C0">
        <w:t xml:space="preserve"> </w:t>
      </w:r>
      <w:r w:rsidR="00503470" w:rsidRPr="00EA59C0">
        <w:t>this</w:t>
      </w:r>
      <w:r w:rsidR="00C026A6" w:rsidRPr="00EA59C0">
        <w:t xml:space="preserve"> </w:t>
      </w:r>
      <w:r w:rsidR="00503470" w:rsidRPr="00EA59C0">
        <w:t>line</w:t>
      </w:r>
      <w:r w:rsidR="00C026A6" w:rsidRPr="00EA59C0">
        <w:t xml:space="preserve"> </w:t>
      </w:r>
      <w:r w:rsidR="00503470" w:rsidRPr="00EA59C0">
        <w:t>must</w:t>
      </w:r>
      <w:r w:rsidR="00C026A6" w:rsidRPr="00EA59C0">
        <w:t xml:space="preserve"> </w:t>
      </w:r>
      <w:r w:rsidR="00503470" w:rsidRPr="00EA59C0">
        <w:t>be</w:t>
      </w:r>
      <w:r w:rsidR="00C026A6" w:rsidRPr="00EA59C0">
        <w:t xml:space="preserve"> </w:t>
      </w:r>
      <w:r w:rsidR="00503470" w:rsidRPr="00EA59C0">
        <w:t>left</w:t>
      </w:r>
      <w:r w:rsidR="00C026A6" w:rsidRPr="00EA59C0">
        <w:t xml:space="preserve"> </w:t>
      </w:r>
      <w:r w:rsidR="00503470" w:rsidRPr="00EA59C0">
        <w:t>as</w:t>
      </w:r>
      <w:r w:rsidR="00C026A6" w:rsidRPr="00EA59C0">
        <w:t xml:space="preserve"> </w:t>
      </w:r>
      <w:r w:rsidR="00503470" w:rsidRPr="00EA59C0">
        <w:t>zero.</w:t>
      </w:r>
      <w:r w:rsidR="00C026A6" w:rsidRPr="00EA59C0">
        <w:t xml:space="preserve">  </w:t>
      </w:r>
      <w:r w:rsidR="00503470" w:rsidRPr="00EA59C0">
        <w:t>Minor</w:t>
      </w:r>
      <w:r w:rsidR="00C026A6" w:rsidRPr="00EA59C0">
        <w:t xml:space="preserve"> </w:t>
      </w:r>
      <w:r w:rsidR="00503470" w:rsidRPr="00EA59C0">
        <w:t>alterations</w:t>
      </w:r>
      <w:r w:rsidR="00C026A6" w:rsidRPr="00EA59C0">
        <w:t xml:space="preserve"> </w:t>
      </w:r>
      <w:r w:rsidR="00503470" w:rsidRPr="00EA59C0">
        <w:t>to</w:t>
      </w:r>
      <w:r w:rsidR="00C026A6" w:rsidRPr="00EA59C0">
        <w:t xml:space="preserve"> </w:t>
      </w:r>
      <w:r w:rsidR="00503470" w:rsidRPr="00EA59C0">
        <w:t>adjust</w:t>
      </w:r>
      <w:r w:rsidR="00C026A6" w:rsidRPr="00EA59C0">
        <w:t xml:space="preserve"> </w:t>
      </w:r>
      <w:r w:rsidR="00503470" w:rsidRPr="00EA59C0">
        <w:t>an</w:t>
      </w:r>
      <w:r w:rsidR="00C026A6" w:rsidRPr="00EA59C0">
        <w:t xml:space="preserve"> </w:t>
      </w:r>
      <w:r w:rsidR="00503470" w:rsidRPr="00EA59C0">
        <w:t>existing</w:t>
      </w:r>
      <w:r w:rsidR="00C026A6" w:rsidRPr="00EA59C0">
        <w:t xml:space="preserve"> </w:t>
      </w:r>
      <w:r w:rsidR="00503470" w:rsidRPr="00EA59C0">
        <w:t>space</w:t>
      </w:r>
      <w:r w:rsidR="00C026A6" w:rsidRPr="00EA59C0">
        <w:t xml:space="preserve"> </w:t>
      </w:r>
      <w:r w:rsidR="00811014" w:rsidRPr="00EA59C0">
        <w:t>for</w:t>
      </w:r>
      <w:r w:rsidR="00C026A6" w:rsidRPr="00EA59C0">
        <w:t xml:space="preserve"> </w:t>
      </w:r>
      <w:r w:rsidR="00811014" w:rsidRPr="00EA59C0">
        <w:t>grant</w:t>
      </w:r>
      <w:r w:rsidR="00C026A6" w:rsidRPr="00EA59C0">
        <w:t xml:space="preserve"> </w:t>
      </w:r>
      <w:r w:rsidR="00811014" w:rsidRPr="00EA59C0">
        <w:t>activities</w:t>
      </w:r>
      <w:r w:rsidR="00C026A6" w:rsidRPr="00EA59C0">
        <w:t xml:space="preserve"> </w:t>
      </w:r>
      <w:r w:rsidR="00503470" w:rsidRPr="00EA59C0">
        <w:t>(</w:t>
      </w:r>
      <w:r w:rsidR="00811014" w:rsidRPr="00EA59C0">
        <w:t>such</w:t>
      </w:r>
      <w:r w:rsidR="00C026A6" w:rsidRPr="00EA59C0">
        <w:t xml:space="preserve"> </w:t>
      </w:r>
      <w:r w:rsidR="00811014" w:rsidRPr="00EA59C0">
        <w:t>as</w:t>
      </w:r>
      <w:r w:rsidR="00C026A6" w:rsidRPr="00EA59C0">
        <w:t xml:space="preserve"> </w:t>
      </w:r>
      <w:r w:rsidR="00811014" w:rsidRPr="00EA59C0">
        <w:t>a</w:t>
      </w:r>
      <w:r w:rsidR="00C026A6" w:rsidRPr="00EA59C0">
        <w:t xml:space="preserve"> </w:t>
      </w:r>
      <w:r w:rsidR="00811014" w:rsidRPr="00EA59C0">
        <w:t>classroom</w:t>
      </w:r>
      <w:r w:rsidR="00C026A6" w:rsidRPr="00EA59C0">
        <w:t xml:space="preserve"> </w:t>
      </w:r>
      <w:r w:rsidR="00811014" w:rsidRPr="00EA59C0">
        <w:t>alteration)</w:t>
      </w:r>
      <w:r w:rsidR="00C026A6" w:rsidRPr="00EA59C0">
        <w:t xml:space="preserve"> </w:t>
      </w:r>
      <w:r w:rsidR="00503470" w:rsidRPr="00EA59C0">
        <w:t>may</w:t>
      </w:r>
      <w:r w:rsidR="00C026A6" w:rsidRPr="00EA59C0">
        <w:t xml:space="preserve"> </w:t>
      </w:r>
      <w:r w:rsidR="00503470" w:rsidRPr="00EA59C0">
        <w:t>be</w:t>
      </w:r>
      <w:r w:rsidR="00C026A6" w:rsidRPr="00EA59C0">
        <w:t xml:space="preserve"> </w:t>
      </w:r>
      <w:r w:rsidR="00503470" w:rsidRPr="00EA59C0">
        <w:t>allowable</w:t>
      </w:r>
      <w:r w:rsidR="00811014" w:rsidRPr="00EA59C0">
        <w:t>.</w:t>
      </w:r>
      <w:r w:rsidR="00C026A6" w:rsidRPr="00EA59C0">
        <w:t xml:space="preserve">  </w:t>
      </w:r>
      <w:r w:rsidR="00811014" w:rsidRPr="00EA59C0">
        <w:t>DOL</w:t>
      </w:r>
      <w:r w:rsidR="00C026A6" w:rsidRPr="00EA59C0">
        <w:t xml:space="preserve"> </w:t>
      </w:r>
      <w:r w:rsidR="00811014" w:rsidRPr="00EA59C0">
        <w:t>does</w:t>
      </w:r>
      <w:r w:rsidR="00C026A6" w:rsidRPr="00EA59C0">
        <w:t xml:space="preserve"> </w:t>
      </w:r>
      <w:r w:rsidR="00811014" w:rsidRPr="00EA59C0">
        <w:t>not</w:t>
      </w:r>
      <w:r w:rsidR="00C026A6" w:rsidRPr="00EA59C0">
        <w:t xml:space="preserve"> </w:t>
      </w:r>
      <w:r w:rsidR="00811014" w:rsidRPr="00EA59C0">
        <w:t>consider</w:t>
      </w:r>
      <w:r w:rsidR="00C026A6" w:rsidRPr="00EA59C0">
        <w:t xml:space="preserve"> </w:t>
      </w:r>
      <w:r w:rsidR="00811014" w:rsidRPr="00EA59C0">
        <w:t>this</w:t>
      </w:r>
      <w:r w:rsidR="00C026A6" w:rsidRPr="00EA59C0">
        <w:t xml:space="preserve"> </w:t>
      </w:r>
      <w:r w:rsidR="00811014" w:rsidRPr="00EA59C0">
        <w:t>as</w:t>
      </w:r>
      <w:r w:rsidR="00C026A6" w:rsidRPr="00EA59C0">
        <w:t xml:space="preserve"> </w:t>
      </w:r>
      <w:r w:rsidR="00811014" w:rsidRPr="00EA59C0">
        <w:t>construction</w:t>
      </w:r>
      <w:r w:rsidR="00C026A6" w:rsidRPr="00EA59C0">
        <w:t xml:space="preserve"> </w:t>
      </w:r>
      <w:r w:rsidR="00503470" w:rsidRPr="00EA59C0">
        <w:t>and</w:t>
      </w:r>
      <w:r w:rsidR="00C026A6" w:rsidRPr="00EA59C0">
        <w:t xml:space="preserve"> </w:t>
      </w:r>
      <w:r w:rsidR="00811014" w:rsidRPr="00EA59C0">
        <w:t>the</w:t>
      </w:r>
      <w:r w:rsidR="00C026A6" w:rsidRPr="00EA59C0">
        <w:t xml:space="preserve"> </w:t>
      </w:r>
      <w:r w:rsidR="00811014" w:rsidRPr="00EA59C0">
        <w:t>costs</w:t>
      </w:r>
      <w:r w:rsidR="00C026A6" w:rsidRPr="00EA59C0">
        <w:t xml:space="preserve"> </w:t>
      </w:r>
      <w:r w:rsidR="00503470" w:rsidRPr="00EA59C0">
        <w:t>must</w:t>
      </w:r>
      <w:r w:rsidR="00C026A6" w:rsidRPr="00EA59C0">
        <w:t xml:space="preserve"> </w:t>
      </w:r>
      <w:r w:rsidR="00503470" w:rsidRPr="00EA59C0">
        <w:t>be</w:t>
      </w:r>
      <w:r w:rsidR="00C026A6" w:rsidRPr="00EA59C0">
        <w:t xml:space="preserve"> </w:t>
      </w:r>
      <w:r w:rsidR="00503470" w:rsidRPr="00EA59C0">
        <w:t>shown</w:t>
      </w:r>
      <w:r w:rsidR="00C026A6" w:rsidRPr="00EA59C0">
        <w:t xml:space="preserve"> </w:t>
      </w:r>
      <w:r w:rsidR="00503470" w:rsidRPr="00EA59C0">
        <w:t>on</w:t>
      </w:r>
      <w:r w:rsidR="00C026A6" w:rsidRPr="00EA59C0">
        <w:t xml:space="preserve"> </w:t>
      </w:r>
      <w:r w:rsidR="00503470" w:rsidRPr="00EA59C0">
        <w:t>other</w:t>
      </w:r>
      <w:r w:rsidR="00C026A6" w:rsidRPr="00EA59C0">
        <w:t xml:space="preserve"> </w:t>
      </w:r>
      <w:r w:rsidR="00503470" w:rsidRPr="00EA59C0">
        <w:t>appropriate</w:t>
      </w:r>
      <w:r w:rsidR="00C026A6" w:rsidRPr="00EA59C0">
        <w:t xml:space="preserve"> </w:t>
      </w:r>
      <w:r w:rsidR="00503470" w:rsidRPr="00EA59C0">
        <w:t>lines</w:t>
      </w:r>
      <w:r w:rsidR="00C026A6" w:rsidRPr="00EA59C0">
        <w:t xml:space="preserve"> </w:t>
      </w:r>
      <w:r w:rsidR="00503470" w:rsidRPr="00EA59C0">
        <w:t>such</w:t>
      </w:r>
      <w:r w:rsidR="00C026A6" w:rsidRPr="00EA59C0">
        <w:t xml:space="preserve"> </w:t>
      </w:r>
      <w:r w:rsidR="00503470" w:rsidRPr="00EA59C0">
        <w:t>as</w:t>
      </w:r>
      <w:r w:rsidR="00C026A6" w:rsidRPr="00EA59C0">
        <w:t xml:space="preserve"> </w:t>
      </w:r>
      <w:r w:rsidR="00503470" w:rsidRPr="00EA59C0">
        <w:t>Contractual.</w:t>
      </w:r>
      <w:r w:rsidR="00C026A6" w:rsidRPr="00EA59C0">
        <w:t xml:space="preserve">    </w:t>
      </w:r>
    </w:p>
    <w:p w:rsidR="005B03BD" w:rsidRPr="00EA59C0" w:rsidRDefault="005B03BD" w:rsidP="00C072FA">
      <w:pPr>
        <w:ind w:left="1080"/>
      </w:pPr>
    </w:p>
    <w:p w:rsidR="00294571" w:rsidRPr="00EA59C0" w:rsidRDefault="00294571" w:rsidP="00C072FA">
      <w:pPr>
        <w:ind w:left="1080"/>
      </w:pPr>
      <w:r w:rsidRPr="00EA59C0">
        <w:t>Other</w:t>
      </w:r>
      <w:r w:rsidR="00C026A6" w:rsidRPr="00EA59C0">
        <w:t xml:space="preserve"> </w:t>
      </w:r>
      <w:r w:rsidRPr="00EA59C0">
        <w:t>–</w:t>
      </w:r>
      <w:r w:rsidR="00C026A6" w:rsidRPr="00EA59C0">
        <w:t xml:space="preserve"> </w:t>
      </w:r>
      <w:r w:rsidRPr="00EA59C0">
        <w:t>List</w:t>
      </w:r>
      <w:r w:rsidR="00C026A6" w:rsidRPr="00EA59C0">
        <w:t xml:space="preserve"> </w:t>
      </w:r>
      <w:r w:rsidRPr="00EA59C0">
        <w:t>each</w:t>
      </w:r>
      <w:r w:rsidR="00C026A6" w:rsidRPr="00EA59C0">
        <w:t xml:space="preserve"> </w:t>
      </w:r>
      <w:r w:rsidRPr="00EA59C0">
        <w:t>item</w:t>
      </w:r>
      <w:r w:rsidR="00C026A6" w:rsidRPr="00EA59C0">
        <w:t xml:space="preserve"> </w:t>
      </w:r>
      <w:r w:rsidRPr="00EA59C0">
        <w:t>in</w:t>
      </w:r>
      <w:r w:rsidR="00C026A6" w:rsidRPr="00EA59C0">
        <w:t xml:space="preserve"> </w:t>
      </w:r>
      <w:r w:rsidRPr="00EA59C0">
        <w:t>sufficient</w:t>
      </w:r>
      <w:r w:rsidR="00C026A6" w:rsidRPr="00EA59C0">
        <w:t xml:space="preserve"> </w:t>
      </w:r>
      <w:r w:rsidRPr="00EA59C0">
        <w:t>detail</w:t>
      </w:r>
      <w:r w:rsidR="00C026A6" w:rsidRPr="00EA59C0">
        <w:t xml:space="preserve"> </w:t>
      </w:r>
      <w:r w:rsidRPr="00EA59C0">
        <w:t>for</w:t>
      </w:r>
      <w:r w:rsidR="00C026A6" w:rsidRPr="00EA59C0">
        <w:t xml:space="preserve"> </w:t>
      </w:r>
      <w:r w:rsidRPr="00EA59C0">
        <w:t>DOL</w:t>
      </w:r>
      <w:r w:rsidR="00C026A6" w:rsidRPr="00EA59C0">
        <w:t xml:space="preserve"> </w:t>
      </w:r>
      <w:r w:rsidRPr="00EA59C0">
        <w:t>to</w:t>
      </w:r>
      <w:r w:rsidR="00C026A6" w:rsidRPr="00EA59C0">
        <w:t xml:space="preserve"> </w:t>
      </w:r>
      <w:r w:rsidRPr="00EA59C0">
        <w:t>determine</w:t>
      </w:r>
      <w:r w:rsidR="00C026A6" w:rsidRPr="00EA59C0">
        <w:t xml:space="preserve"> </w:t>
      </w:r>
      <w:r w:rsidRPr="00EA59C0">
        <w:t>whether</w:t>
      </w:r>
      <w:r w:rsidR="00C026A6" w:rsidRPr="00EA59C0">
        <w:t xml:space="preserve"> </w:t>
      </w:r>
      <w:r w:rsidRPr="00EA59C0">
        <w:t>the</w:t>
      </w:r>
      <w:r w:rsidR="00C026A6" w:rsidRPr="00EA59C0">
        <w:t xml:space="preserve"> </w:t>
      </w:r>
      <w:r w:rsidRPr="00EA59C0">
        <w:t>costs</w:t>
      </w:r>
      <w:r w:rsidR="00C026A6" w:rsidRPr="00EA59C0">
        <w:t xml:space="preserve"> </w:t>
      </w:r>
      <w:r w:rsidRPr="00EA59C0">
        <w:t>are</w:t>
      </w:r>
      <w:r w:rsidR="00C026A6" w:rsidRPr="00EA59C0">
        <w:t xml:space="preserve"> </w:t>
      </w:r>
      <w:r w:rsidRPr="00EA59C0">
        <w:t>reasonable</w:t>
      </w:r>
      <w:r w:rsidR="00C026A6" w:rsidRPr="00EA59C0">
        <w:t xml:space="preserve"> </w:t>
      </w:r>
      <w:r w:rsidRPr="00EA59C0">
        <w:t>or</w:t>
      </w:r>
      <w:r w:rsidR="00C026A6" w:rsidRPr="00EA59C0">
        <w:t xml:space="preserve"> </w:t>
      </w:r>
      <w:r w:rsidRPr="00EA59C0">
        <w:t>allowable.</w:t>
      </w:r>
      <w:r w:rsidR="00C026A6" w:rsidRPr="00EA59C0">
        <w:t xml:space="preserve"> </w:t>
      </w:r>
      <w:r w:rsidRPr="00EA59C0">
        <w:t>List</w:t>
      </w:r>
      <w:r w:rsidR="00C026A6" w:rsidRPr="00EA59C0">
        <w:t xml:space="preserve"> </w:t>
      </w:r>
      <w:r w:rsidRPr="00EA59C0">
        <w:t>any</w:t>
      </w:r>
      <w:r w:rsidR="00C026A6" w:rsidRPr="00EA59C0">
        <w:t xml:space="preserve"> </w:t>
      </w:r>
      <w:r w:rsidRPr="00EA59C0">
        <w:t>item,</w:t>
      </w:r>
      <w:r w:rsidR="00C026A6" w:rsidRPr="00EA59C0">
        <w:t xml:space="preserve"> </w:t>
      </w:r>
      <w:r w:rsidRPr="00EA59C0">
        <w:t>such</w:t>
      </w:r>
      <w:r w:rsidR="00C026A6" w:rsidRPr="00EA59C0">
        <w:t xml:space="preserve"> </w:t>
      </w:r>
      <w:r w:rsidRPr="00EA59C0">
        <w:t>as</w:t>
      </w:r>
      <w:r w:rsidR="00C026A6" w:rsidRPr="00EA59C0">
        <w:t xml:space="preserve"> </w:t>
      </w:r>
      <w:r w:rsidRPr="00EA59C0">
        <w:t>stipends</w:t>
      </w:r>
      <w:r w:rsidR="00C026A6" w:rsidRPr="00EA59C0">
        <w:t xml:space="preserve"> </w:t>
      </w:r>
      <w:r w:rsidRPr="00EA59C0">
        <w:t>or</w:t>
      </w:r>
      <w:r w:rsidR="00C026A6" w:rsidRPr="00EA59C0">
        <w:t xml:space="preserve"> </w:t>
      </w:r>
      <w:r w:rsidRPr="00EA59C0">
        <w:t>incentives,</w:t>
      </w:r>
      <w:r w:rsidR="00C026A6" w:rsidRPr="00EA59C0">
        <w:t xml:space="preserve"> </w:t>
      </w:r>
      <w:r w:rsidRPr="00EA59C0">
        <w:t>not</w:t>
      </w:r>
      <w:r w:rsidR="00C026A6" w:rsidRPr="00EA59C0">
        <w:t xml:space="preserve"> </w:t>
      </w:r>
      <w:r w:rsidRPr="00EA59C0">
        <w:t>covered</w:t>
      </w:r>
      <w:r w:rsidR="00C026A6" w:rsidRPr="00EA59C0">
        <w:t xml:space="preserve"> </w:t>
      </w:r>
      <w:r w:rsidRPr="00EA59C0">
        <w:t>elsewhere</w:t>
      </w:r>
      <w:r w:rsidR="00C026A6" w:rsidRPr="00EA59C0">
        <w:t xml:space="preserve"> </w:t>
      </w:r>
      <w:r w:rsidRPr="00EA59C0">
        <w:t>here.</w:t>
      </w:r>
      <w:r w:rsidR="00C026A6" w:rsidRPr="00EA59C0">
        <w:t xml:space="preserve"> </w:t>
      </w:r>
    </w:p>
    <w:p w:rsidR="00294571" w:rsidRPr="00EA59C0" w:rsidRDefault="00294571" w:rsidP="00C072FA">
      <w:pPr>
        <w:ind w:left="1080"/>
      </w:pPr>
    </w:p>
    <w:p w:rsidR="00294571" w:rsidRPr="00EA59C0" w:rsidRDefault="00294571" w:rsidP="00C072FA">
      <w:pPr>
        <w:ind w:left="1080"/>
      </w:pPr>
      <w:r w:rsidRPr="00EA59C0">
        <w:t>Indirect</w:t>
      </w:r>
      <w:r w:rsidR="00C026A6" w:rsidRPr="00EA59C0">
        <w:t xml:space="preserve"> </w:t>
      </w:r>
      <w:r w:rsidRPr="00EA59C0">
        <w:t>Charges</w:t>
      </w:r>
      <w:r w:rsidR="00C026A6" w:rsidRPr="00EA59C0">
        <w:t xml:space="preserve"> </w:t>
      </w:r>
      <w:r w:rsidRPr="00EA59C0">
        <w:t>–</w:t>
      </w:r>
      <w:r w:rsidR="00C026A6" w:rsidRPr="00EA59C0">
        <w:t xml:space="preserve"> </w:t>
      </w:r>
      <w:r w:rsidRPr="00EA59C0">
        <w:t>If</w:t>
      </w:r>
      <w:r w:rsidR="00C026A6" w:rsidRPr="00EA59C0">
        <w:t xml:space="preserve"> </w:t>
      </w:r>
      <w:r w:rsidRPr="00EA59C0">
        <w:t>indirect</w:t>
      </w:r>
      <w:r w:rsidR="00C026A6" w:rsidRPr="00EA59C0">
        <w:t xml:space="preserve"> </w:t>
      </w:r>
      <w:r w:rsidRPr="00EA59C0">
        <w:t>charges</w:t>
      </w:r>
      <w:r w:rsidR="00C026A6" w:rsidRPr="00EA59C0">
        <w:t xml:space="preserve"> </w:t>
      </w:r>
      <w:r w:rsidRPr="00EA59C0">
        <w:t>are</w:t>
      </w:r>
      <w:r w:rsidR="00C026A6" w:rsidRPr="00EA59C0">
        <w:t xml:space="preserve"> </w:t>
      </w:r>
      <w:r w:rsidRPr="00EA59C0">
        <w:t>included</w:t>
      </w:r>
      <w:r w:rsidR="00C026A6" w:rsidRPr="00EA59C0">
        <w:t xml:space="preserve"> </w:t>
      </w:r>
      <w:r w:rsidRPr="00EA59C0">
        <w:t>in</w:t>
      </w:r>
      <w:r w:rsidR="00C026A6" w:rsidRPr="00EA59C0">
        <w:t xml:space="preserve"> </w:t>
      </w:r>
      <w:r w:rsidRPr="00EA59C0">
        <w:t>the</w:t>
      </w:r>
      <w:r w:rsidR="00C026A6" w:rsidRPr="00EA59C0">
        <w:t xml:space="preserve"> </w:t>
      </w:r>
      <w:r w:rsidRPr="00EA59C0">
        <w:t>budget,</w:t>
      </w:r>
      <w:r w:rsidR="00C026A6" w:rsidRPr="00EA59C0">
        <w:t xml:space="preserve"> </w:t>
      </w:r>
      <w:r w:rsidRPr="00EA59C0">
        <w:t>include</w:t>
      </w:r>
      <w:r w:rsidR="00C026A6" w:rsidRPr="00EA59C0">
        <w:t xml:space="preserve"> </w:t>
      </w:r>
      <w:r w:rsidRPr="00EA59C0">
        <w:t>the</w:t>
      </w:r>
      <w:r w:rsidR="00C026A6" w:rsidRPr="00EA59C0">
        <w:t xml:space="preserve"> </w:t>
      </w:r>
      <w:r w:rsidRPr="00EA59C0">
        <w:t>approved</w:t>
      </w:r>
      <w:r w:rsidR="00C026A6" w:rsidRPr="00EA59C0">
        <w:t xml:space="preserve"> </w:t>
      </w:r>
      <w:r w:rsidRPr="00EA59C0">
        <w:t>indirect</w:t>
      </w:r>
      <w:r w:rsidR="00C026A6" w:rsidRPr="00EA59C0">
        <w:t xml:space="preserve"> </w:t>
      </w:r>
      <w:r w:rsidRPr="00EA59C0">
        <w:t>cost</w:t>
      </w:r>
      <w:r w:rsidR="00C026A6" w:rsidRPr="00EA59C0">
        <w:t xml:space="preserve"> </w:t>
      </w:r>
      <w:r w:rsidRPr="00EA59C0">
        <w:t>rate</w:t>
      </w:r>
      <w:r w:rsidR="00C026A6" w:rsidRPr="00EA59C0">
        <w:t xml:space="preserve"> </w:t>
      </w:r>
      <w:r w:rsidRPr="00EA59C0">
        <w:t>with</w:t>
      </w:r>
      <w:r w:rsidR="00C026A6" w:rsidRPr="00EA59C0">
        <w:t xml:space="preserve"> </w:t>
      </w:r>
      <w:r w:rsidRPr="00EA59C0">
        <w:t>a</w:t>
      </w:r>
      <w:r w:rsidR="00C026A6" w:rsidRPr="00EA59C0">
        <w:t xml:space="preserve"> </w:t>
      </w:r>
      <w:r w:rsidRPr="00EA59C0">
        <w:t>copy</w:t>
      </w:r>
      <w:r w:rsidR="00C026A6" w:rsidRPr="00EA59C0">
        <w:t xml:space="preserve"> </w:t>
      </w:r>
      <w:r w:rsidRPr="00EA59C0">
        <w:t>of</w:t>
      </w:r>
      <w:r w:rsidR="00C026A6" w:rsidRPr="00EA59C0">
        <w:t xml:space="preserve"> </w:t>
      </w:r>
      <w:r w:rsidRPr="00EA59C0">
        <w:t>the</w:t>
      </w:r>
      <w:r w:rsidR="00C026A6" w:rsidRPr="00EA59C0">
        <w:t xml:space="preserve"> </w:t>
      </w:r>
      <w:r w:rsidRPr="00EA59C0">
        <w:t>Indirect</w:t>
      </w:r>
      <w:r w:rsidR="00C026A6" w:rsidRPr="00EA59C0">
        <w:t xml:space="preserve"> </w:t>
      </w:r>
      <w:r w:rsidRPr="00EA59C0">
        <w:t>Cost</w:t>
      </w:r>
      <w:r w:rsidR="00C026A6" w:rsidRPr="00EA59C0">
        <w:t xml:space="preserve"> </w:t>
      </w:r>
      <w:r w:rsidRPr="00EA59C0">
        <w:t>Rate</w:t>
      </w:r>
      <w:r w:rsidR="00C026A6" w:rsidRPr="00EA59C0">
        <w:t xml:space="preserve"> </w:t>
      </w:r>
      <w:r w:rsidRPr="00EA59C0">
        <w:t>Agreement,</w:t>
      </w:r>
      <w:r w:rsidR="00C026A6" w:rsidRPr="00EA59C0">
        <w:t xml:space="preserve"> </w:t>
      </w:r>
      <w:r w:rsidRPr="00EA59C0">
        <w:t>a</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the</w:t>
      </w:r>
      <w:r w:rsidR="00C026A6" w:rsidRPr="00EA59C0">
        <w:t xml:space="preserve"> </w:t>
      </w:r>
      <w:r w:rsidRPr="00EA59C0">
        <w:t>base</w:t>
      </w:r>
      <w:r w:rsidR="00C026A6" w:rsidRPr="00EA59C0">
        <w:t xml:space="preserve"> </w:t>
      </w:r>
      <w:r w:rsidRPr="00EA59C0">
        <w:t>used</w:t>
      </w:r>
      <w:r w:rsidR="00C026A6" w:rsidRPr="00EA59C0">
        <w:t xml:space="preserve"> </w:t>
      </w:r>
      <w:r w:rsidRPr="00EA59C0">
        <w:t>to</w:t>
      </w:r>
      <w:r w:rsidR="00C026A6" w:rsidRPr="00EA59C0">
        <w:t xml:space="preserve"> </w:t>
      </w:r>
      <w:r w:rsidRPr="00EA59C0">
        <w:t>calculate</w:t>
      </w:r>
      <w:r w:rsidR="00C026A6" w:rsidRPr="00EA59C0">
        <w:t xml:space="preserve"> </w:t>
      </w:r>
      <w:r w:rsidRPr="00EA59C0">
        <w:t>indirect</w:t>
      </w:r>
      <w:r w:rsidR="00C026A6" w:rsidRPr="00EA59C0">
        <w:t xml:space="preserve"> </w:t>
      </w:r>
      <w:r w:rsidRPr="00EA59C0">
        <w:t>costs</w:t>
      </w:r>
      <w:r w:rsidR="00C026A6" w:rsidRPr="00EA59C0">
        <w:t xml:space="preserve"> </w:t>
      </w:r>
      <w:r w:rsidRPr="00EA59C0">
        <w:t>and</w:t>
      </w:r>
      <w:r w:rsidR="00C026A6" w:rsidRPr="00EA59C0">
        <w:t xml:space="preserve"> </w:t>
      </w:r>
      <w:r w:rsidRPr="00EA59C0">
        <w:t>total</w:t>
      </w:r>
      <w:r w:rsidR="00C026A6" w:rsidRPr="00EA59C0">
        <w:t xml:space="preserve"> </w:t>
      </w:r>
      <w:r w:rsidRPr="00EA59C0">
        <w:t>cost</w:t>
      </w:r>
      <w:r w:rsidR="00C026A6" w:rsidRPr="00EA59C0">
        <w:t xml:space="preserve"> </w:t>
      </w:r>
      <w:r w:rsidRPr="00EA59C0">
        <w:t>of</w:t>
      </w:r>
      <w:r w:rsidR="00C026A6" w:rsidRPr="00EA59C0">
        <w:t xml:space="preserve"> </w:t>
      </w:r>
      <w:r w:rsidRPr="00EA59C0">
        <w:t>the</w:t>
      </w:r>
      <w:r w:rsidR="00C026A6" w:rsidRPr="00EA59C0">
        <w:t xml:space="preserve"> </w:t>
      </w:r>
      <w:r w:rsidRPr="00EA59C0">
        <w:t>base,</w:t>
      </w:r>
      <w:r w:rsidR="00C026A6" w:rsidRPr="00EA59C0">
        <w:t xml:space="preserve"> </w:t>
      </w:r>
      <w:r w:rsidRPr="00EA59C0">
        <w:t>and</w:t>
      </w:r>
      <w:r w:rsidR="00C026A6" w:rsidRPr="00EA59C0">
        <w:t xml:space="preserve"> </w:t>
      </w:r>
      <w:r w:rsidRPr="00EA59C0">
        <w:t>the</w:t>
      </w:r>
      <w:r w:rsidR="00C026A6" w:rsidRPr="00EA59C0">
        <w:t xml:space="preserve"> </w:t>
      </w:r>
      <w:r w:rsidRPr="00EA59C0">
        <w:t>total</w:t>
      </w:r>
      <w:r w:rsidR="00C026A6" w:rsidRPr="00EA59C0">
        <w:t xml:space="preserve"> </w:t>
      </w:r>
      <w:r w:rsidRPr="00EA59C0">
        <w:t>indirect</w:t>
      </w:r>
      <w:r w:rsidR="00C026A6" w:rsidRPr="00EA59C0">
        <w:t xml:space="preserve"> </w:t>
      </w:r>
      <w:r w:rsidRPr="00EA59C0">
        <w:t>charges</w:t>
      </w:r>
      <w:r w:rsidR="00C026A6" w:rsidRPr="00EA59C0">
        <w:t xml:space="preserve"> </w:t>
      </w:r>
      <w:r w:rsidRPr="00EA59C0">
        <w:t>requested.</w:t>
      </w:r>
      <w:r w:rsidR="00C026A6" w:rsidRPr="00EA59C0">
        <w:rPr>
          <w:b/>
          <w:bCs/>
        </w:rPr>
        <w:t xml:space="preserve">  </w:t>
      </w:r>
      <w:r w:rsidRPr="00EA59C0">
        <w:t>See</w:t>
      </w:r>
      <w:r w:rsidR="00C026A6" w:rsidRPr="00EA59C0">
        <w:t xml:space="preserve"> </w:t>
      </w:r>
      <w:r w:rsidRPr="00EA59C0">
        <w:t>Section</w:t>
      </w:r>
      <w:r w:rsidR="00C026A6" w:rsidRPr="00EA59C0">
        <w:t xml:space="preserve"> </w:t>
      </w:r>
      <w:r w:rsidRPr="00EA59C0">
        <w:t>IV.B.4</w:t>
      </w:r>
      <w:r w:rsidR="00C026A6" w:rsidRPr="00EA59C0">
        <w:t xml:space="preserve"> </w:t>
      </w:r>
      <w:r w:rsidRPr="00EA59C0">
        <w:t>and</w:t>
      </w:r>
      <w:r w:rsidR="00C026A6" w:rsidRPr="00EA59C0">
        <w:t xml:space="preserve"> </w:t>
      </w:r>
      <w:r w:rsidRPr="00EA59C0">
        <w:t>Section</w:t>
      </w:r>
      <w:r w:rsidR="00C026A6" w:rsidRPr="00EA59C0">
        <w:t xml:space="preserve"> </w:t>
      </w:r>
      <w:r w:rsidRPr="00EA59C0">
        <w:t>IV.E.</w:t>
      </w:r>
      <w:r w:rsidR="009B4763" w:rsidRPr="00EA59C0">
        <w:t>2</w:t>
      </w:r>
      <w:r w:rsidR="00C026A6" w:rsidRPr="00EA59C0">
        <w:t xml:space="preserve"> </w:t>
      </w:r>
      <w:r w:rsidRPr="00EA59C0">
        <w:t>for</w:t>
      </w:r>
      <w:r w:rsidR="00C026A6" w:rsidRPr="00EA59C0">
        <w:t xml:space="preserve"> </w:t>
      </w:r>
      <w:r w:rsidRPr="00EA59C0">
        <w:t>more</w:t>
      </w:r>
      <w:r w:rsidR="00C026A6" w:rsidRPr="00EA59C0">
        <w:t xml:space="preserve"> </w:t>
      </w:r>
      <w:r w:rsidRPr="00EA59C0">
        <w:t>information.</w:t>
      </w:r>
    </w:p>
    <w:p w:rsidR="00144DF0" w:rsidRPr="00EA59C0" w:rsidRDefault="00144DF0" w:rsidP="00C072FA">
      <w:pPr>
        <w:ind w:left="1080"/>
      </w:pPr>
    </w:p>
    <w:p w:rsidR="00144DF0" w:rsidRPr="00EA59C0" w:rsidRDefault="007470AB" w:rsidP="00C072FA">
      <w:pPr>
        <w:ind w:left="1080"/>
      </w:pPr>
      <w:r w:rsidRPr="00EA59C0">
        <w:t>Note</w:t>
      </w:r>
      <w:r w:rsidR="00C026A6" w:rsidRPr="00EA59C0">
        <w:t xml:space="preserve"> </w:t>
      </w:r>
      <w:r w:rsidRPr="00EA59C0">
        <w:t>that</w:t>
      </w:r>
      <w:r w:rsidR="00C026A6" w:rsidRPr="00EA59C0">
        <w:t xml:space="preserve"> </w:t>
      </w:r>
      <w:r w:rsidRPr="00EA59C0">
        <w:t>the</w:t>
      </w:r>
      <w:r w:rsidR="00C026A6" w:rsidRPr="00EA59C0">
        <w:t xml:space="preserve"> </w:t>
      </w:r>
      <w:r w:rsidRPr="00EA59C0">
        <w:t>entire</w:t>
      </w:r>
      <w:r w:rsidR="00C026A6" w:rsidRPr="00EA59C0">
        <w:t xml:space="preserve"> </w:t>
      </w:r>
      <w:r w:rsidRPr="00EA59C0">
        <w:t>Federal</w:t>
      </w:r>
      <w:r w:rsidR="00C026A6" w:rsidRPr="00EA59C0">
        <w:t xml:space="preserve"> </w:t>
      </w:r>
      <w:r w:rsidRPr="00EA59C0">
        <w:t>grant</w:t>
      </w:r>
      <w:r w:rsidR="00C026A6" w:rsidRPr="00EA59C0">
        <w:t xml:space="preserve"> </w:t>
      </w:r>
      <w:r w:rsidRPr="00EA59C0">
        <w:t>amount</w:t>
      </w:r>
      <w:r w:rsidR="00C026A6" w:rsidRPr="00EA59C0">
        <w:t xml:space="preserve"> </w:t>
      </w:r>
      <w:r w:rsidRPr="00EA59C0">
        <w:t>requested</w:t>
      </w:r>
      <w:r w:rsidR="00C026A6" w:rsidRPr="00EA59C0">
        <w:t xml:space="preserve"> </w:t>
      </w:r>
      <w:r w:rsidRPr="00EA59C0">
        <w:t>(not</w:t>
      </w:r>
      <w:r w:rsidR="00C026A6" w:rsidRPr="00EA59C0">
        <w:t xml:space="preserve"> </w:t>
      </w:r>
      <w:r w:rsidRPr="00EA59C0">
        <w:t>just</w:t>
      </w:r>
      <w:r w:rsidR="00C026A6" w:rsidRPr="00EA59C0">
        <w:t xml:space="preserve"> </w:t>
      </w:r>
      <w:r w:rsidRPr="00EA59C0">
        <w:t>one</w:t>
      </w:r>
      <w:r w:rsidR="00C026A6" w:rsidRPr="00EA59C0">
        <w:t xml:space="preserve"> </w:t>
      </w:r>
      <w:r w:rsidRPr="00EA59C0">
        <w:t>year)</w:t>
      </w:r>
      <w:r w:rsidR="00C026A6" w:rsidRPr="00EA59C0">
        <w:t xml:space="preserve"> </w:t>
      </w:r>
      <w:r w:rsidRPr="00EA59C0">
        <w:t>must</w:t>
      </w:r>
      <w:r w:rsidR="00C026A6" w:rsidRPr="00EA59C0">
        <w:t xml:space="preserve"> </w:t>
      </w:r>
      <w:r w:rsidRPr="00EA59C0">
        <w:t>be</w:t>
      </w:r>
      <w:r w:rsidR="00C026A6" w:rsidRPr="00EA59C0">
        <w:t xml:space="preserve"> </w:t>
      </w:r>
      <w:r w:rsidRPr="00EA59C0">
        <w:t>included</w:t>
      </w:r>
      <w:r w:rsidR="00C026A6" w:rsidRPr="00EA59C0">
        <w:t xml:space="preserve"> </w:t>
      </w:r>
      <w:r w:rsidRPr="00EA59C0">
        <w:t>on</w:t>
      </w:r>
      <w:r w:rsidR="00C026A6" w:rsidRPr="00EA59C0">
        <w:t xml:space="preserve"> </w:t>
      </w:r>
      <w:r w:rsidRPr="00EA59C0">
        <w:t>th</w:t>
      </w:r>
      <w:r w:rsidR="006A265B" w:rsidRPr="00EA59C0">
        <w:t>e</w:t>
      </w:r>
      <w:r w:rsidR="00C026A6" w:rsidRPr="00EA59C0">
        <w:t xml:space="preserve"> </w:t>
      </w:r>
      <w:r w:rsidR="006A265B" w:rsidRPr="00EA59C0">
        <w:t>SF-424</w:t>
      </w:r>
      <w:r w:rsidR="00C026A6" w:rsidRPr="00EA59C0">
        <w:t xml:space="preserve"> </w:t>
      </w:r>
      <w:r w:rsidR="006A265B" w:rsidRPr="00EA59C0">
        <w:t>and</w:t>
      </w:r>
      <w:r w:rsidR="00C026A6" w:rsidRPr="00EA59C0">
        <w:t xml:space="preserve"> </w:t>
      </w:r>
      <w:r w:rsidR="006A265B" w:rsidRPr="00EA59C0">
        <w:t>SF-424A</w:t>
      </w:r>
      <w:r w:rsidR="00C026A6" w:rsidRPr="00EA59C0">
        <w:t xml:space="preserve"> </w:t>
      </w:r>
      <w:r w:rsidR="006A265B" w:rsidRPr="00EA59C0">
        <w:t>and</w:t>
      </w:r>
      <w:r w:rsidR="00C026A6" w:rsidRPr="00EA59C0">
        <w:t xml:space="preserve"> </w:t>
      </w:r>
      <w:r w:rsidR="006A265B" w:rsidRPr="00EA59C0">
        <w:t>budget</w:t>
      </w:r>
      <w:r w:rsidR="00C026A6" w:rsidRPr="00EA59C0">
        <w:t xml:space="preserve"> </w:t>
      </w:r>
      <w:r w:rsidR="006A265B" w:rsidRPr="00EA59C0">
        <w:t>narrative.</w:t>
      </w:r>
      <w:r w:rsidR="00C026A6" w:rsidRPr="00EA59C0">
        <w:t xml:space="preserve">  </w:t>
      </w:r>
      <w:r w:rsidR="006A265B" w:rsidRPr="00EA59C0">
        <w:t>No</w:t>
      </w:r>
      <w:r w:rsidR="00C026A6" w:rsidRPr="00EA59C0">
        <w:t xml:space="preserve"> </w:t>
      </w:r>
      <w:r w:rsidR="006A265B" w:rsidRPr="00EA59C0">
        <w:t>leveraged</w:t>
      </w:r>
      <w:r w:rsidR="00C026A6" w:rsidRPr="00EA59C0">
        <w:t xml:space="preserve"> </w:t>
      </w:r>
      <w:r w:rsidR="006A265B" w:rsidRPr="00EA59C0">
        <w:t>resources</w:t>
      </w:r>
      <w:r w:rsidR="00C026A6" w:rsidRPr="00EA59C0">
        <w:t xml:space="preserve"> </w:t>
      </w:r>
      <w:r w:rsidR="006A265B" w:rsidRPr="00EA59C0">
        <w:t>should</w:t>
      </w:r>
      <w:r w:rsidR="00C026A6" w:rsidRPr="00EA59C0">
        <w:t xml:space="preserve"> </w:t>
      </w:r>
      <w:r w:rsidR="006A265B" w:rsidRPr="00EA59C0">
        <w:t>be</w:t>
      </w:r>
      <w:r w:rsidR="00C026A6" w:rsidRPr="00EA59C0">
        <w:t xml:space="preserve"> </w:t>
      </w:r>
      <w:r w:rsidR="006A265B" w:rsidRPr="00EA59C0">
        <w:t>shown</w:t>
      </w:r>
      <w:r w:rsidR="00C026A6" w:rsidRPr="00EA59C0">
        <w:t xml:space="preserve"> </w:t>
      </w:r>
      <w:r w:rsidR="006A265B" w:rsidRPr="00EA59C0">
        <w:t>on</w:t>
      </w:r>
      <w:r w:rsidR="00C026A6" w:rsidRPr="00EA59C0">
        <w:t xml:space="preserve"> </w:t>
      </w:r>
      <w:r w:rsidR="006A265B" w:rsidRPr="00EA59C0">
        <w:t>the</w:t>
      </w:r>
      <w:r w:rsidR="00C026A6" w:rsidRPr="00EA59C0">
        <w:t xml:space="preserve"> </w:t>
      </w:r>
      <w:r w:rsidR="006A265B" w:rsidRPr="00EA59C0">
        <w:t>SF-424</w:t>
      </w:r>
      <w:r w:rsidR="00C026A6" w:rsidRPr="00EA59C0">
        <w:t xml:space="preserve"> </w:t>
      </w:r>
      <w:r w:rsidR="006A265B" w:rsidRPr="00EA59C0">
        <w:t>and</w:t>
      </w:r>
      <w:r w:rsidR="00C026A6" w:rsidRPr="00EA59C0">
        <w:t xml:space="preserve"> </w:t>
      </w:r>
      <w:r w:rsidR="006A265B" w:rsidRPr="00EA59C0">
        <w:t>SF-424A.</w:t>
      </w:r>
      <w:r w:rsidR="00C026A6" w:rsidRPr="00EA59C0">
        <w:t xml:space="preserve">  </w:t>
      </w:r>
      <w:r w:rsidR="005015B6" w:rsidRPr="00EA59C0">
        <w:t>Leveraged</w:t>
      </w:r>
      <w:r w:rsidR="00C026A6" w:rsidRPr="00EA59C0">
        <w:t xml:space="preserve"> </w:t>
      </w:r>
      <w:r w:rsidR="005015B6" w:rsidRPr="00EA59C0">
        <w:t>resources</w:t>
      </w:r>
      <w:r w:rsidR="00C026A6" w:rsidRPr="00EA59C0">
        <w:t xml:space="preserve"> </w:t>
      </w:r>
      <w:r w:rsidR="005015B6" w:rsidRPr="00EA59C0">
        <w:t>should</w:t>
      </w:r>
      <w:r w:rsidR="00C026A6" w:rsidRPr="00EA59C0">
        <w:t xml:space="preserve"> </w:t>
      </w:r>
      <w:r w:rsidR="005015B6" w:rsidRPr="00EA59C0">
        <w:t>be</w:t>
      </w:r>
      <w:r w:rsidR="00C026A6" w:rsidRPr="00EA59C0">
        <w:t xml:space="preserve"> </w:t>
      </w:r>
      <w:r w:rsidR="005015B6" w:rsidRPr="00EA59C0">
        <w:t>described</w:t>
      </w:r>
      <w:r w:rsidR="00C026A6" w:rsidRPr="00EA59C0">
        <w:t xml:space="preserve"> </w:t>
      </w:r>
      <w:r w:rsidR="005015B6" w:rsidRPr="00EA59C0">
        <w:t>in</w:t>
      </w:r>
      <w:r w:rsidR="00C026A6" w:rsidRPr="00EA59C0">
        <w:t xml:space="preserve"> </w:t>
      </w:r>
      <w:r w:rsidR="005015B6" w:rsidRPr="00EA59C0">
        <w:t>the</w:t>
      </w:r>
      <w:r w:rsidR="00C026A6" w:rsidRPr="00EA59C0">
        <w:t xml:space="preserve"> </w:t>
      </w:r>
      <w:r w:rsidR="005015B6" w:rsidRPr="00EA59C0">
        <w:t>budget</w:t>
      </w:r>
      <w:r w:rsidR="00C026A6" w:rsidRPr="00EA59C0">
        <w:t xml:space="preserve"> </w:t>
      </w:r>
      <w:r w:rsidR="005015B6" w:rsidRPr="00EA59C0">
        <w:t>narrative.</w:t>
      </w:r>
      <w:r w:rsidR="00C026A6" w:rsidRPr="00EA59C0">
        <w:t xml:space="preserve">  </w:t>
      </w:r>
      <w:r w:rsidR="006A265B" w:rsidRPr="00EA59C0">
        <w:t>The</w:t>
      </w:r>
      <w:r w:rsidR="00C026A6" w:rsidRPr="00EA59C0">
        <w:t xml:space="preserve"> </w:t>
      </w:r>
      <w:r w:rsidR="00FE7FA1" w:rsidRPr="00EA59C0">
        <w:t>requested</w:t>
      </w:r>
      <w:r w:rsidR="00C026A6" w:rsidRPr="00EA59C0">
        <w:t xml:space="preserve"> </w:t>
      </w:r>
      <w:r w:rsidR="00FE7FA1" w:rsidRPr="00EA59C0">
        <w:t>Federal</w:t>
      </w:r>
      <w:r w:rsidR="00C026A6" w:rsidRPr="00EA59C0">
        <w:t xml:space="preserve"> </w:t>
      </w:r>
      <w:r w:rsidR="00FE7FA1" w:rsidRPr="00EA59C0">
        <w:t>grant</w:t>
      </w:r>
      <w:r w:rsidR="00C026A6" w:rsidRPr="00EA59C0">
        <w:t xml:space="preserve"> </w:t>
      </w:r>
      <w:r w:rsidR="006A265B" w:rsidRPr="00EA59C0">
        <w:t>amount</w:t>
      </w:r>
      <w:r w:rsidR="00C026A6" w:rsidRPr="00EA59C0">
        <w:t xml:space="preserve"> </w:t>
      </w:r>
      <w:r w:rsidR="006A265B" w:rsidRPr="00EA59C0">
        <w:t>listed</w:t>
      </w:r>
      <w:r w:rsidR="00C026A6" w:rsidRPr="00EA59C0">
        <w:t xml:space="preserve"> </w:t>
      </w:r>
      <w:r w:rsidR="006A265B" w:rsidRPr="00EA59C0">
        <w:t>on</w:t>
      </w:r>
      <w:r w:rsidR="00C026A6" w:rsidRPr="00EA59C0">
        <w:t xml:space="preserve"> </w:t>
      </w:r>
      <w:r w:rsidR="006A265B" w:rsidRPr="00EA59C0">
        <w:t>the</w:t>
      </w:r>
      <w:r w:rsidR="00C026A6" w:rsidRPr="00EA59C0">
        <w:t xml:space="preserve"> </w:t>
      </w:r>
      <w:r w:rsidR="006A265B" w:rsidRPr="00EA59C0">
        <w:t>SF-424,</w:t>
      </w:r>
      <w:r w:rsidR="00C026A6" w:rsidRPr="00EA59C0">
        <w:t xml:space="preserve"> </w:t>
      </w:r>
      <w:r w:rsidR="006A265B" w:rsidRPr="00EA59C0">
        <w:t>SF-424A</w:t>
      </w:r>
      <w:r w:rsidR="00C026A6" w:rsidRPr="00EA59C0">
        <w:t xml:space="preserve"> </w:t>
      </w:r>
      <w:r w:rsidR="006A265B" w:rsidRPr="00EA59C0">
        <w:t>and</w:t>
      </w:r>
      <w:r w:rsidR="00C026A6" w:rsidRPr="00EA59C0">
        <w:t xml:space="preserve"> </w:t>
      </w:r>
      <w:r w:rsidR="006A265B" w:rsidRPr="00EA59C0">
        <w:t>budget</w:t>
      </w:r>
      <w:r w:rsidR="00C026A6" w:rsidRPr="00EA59C0">
        <w:t xml:space="preserve"> </w:t>
      </w:r>
      <w:r w:rsidR="006A265B" w:rsidRPr="00EA59C0">
        <w:t>narrative</w:t>
      </w:r>
      <w:r w:rsidR="00C026A6" w:rsidRPr="00EA59C0">
        <w:t xml:space="preserve"> </w:t>
      </w:r>
      <w:r w:rsidR="006A265B" w:rsidRPr="00EA59C0">
        <w:t>must</w:t>
      </w:r>
      <w:r w:rsidR="00C026A6" w:rsidRPr="00EA59C0">
        <w:t xml:space="preserve"> </w:t>
      </w:r>
      <w:r w:rsidR="006A265B" w:rsidRPr="00EA59C0">
        <w:t>be</w:t>
      </w:r>
      <w:r w:rsidR="00C026A6" w:rsidRPr="00EA59C0">
        <w:t xml:space="preserve"> </w:t>
      </w:r>
      <w:r w:rsidR="006A265B" w:rsidRPr="00EA59C0">
        <w:t>the</w:t>
      </w:r>
      <w:r w:rsidR="00C026A6" w:rsidRPr="00EA59C0">
        <w:t xml:space="preserve"> </w:t>
      </w:r>
      <w:r w:rsidR="006A265B" w:rsidRPr="00EA59C0">
        <w:t>same.</w:t>
      </w:r>
      <w:r w:rsidR="00C026A6" w:rsidRPr="00EA59C0">
        <w:t xml:space="preserve">  </w:t>
      </w:r>
      <w:r w:rsidR="00FE7FA1" w:rsidRPr="00EA59C0">
        <w:t>T</w:t>
      </w:r>
      <w:r w:rsidR="006A265B" w:rsidRPr="00EA59C0">
        <w:t>he</w:t>
      </w:r>
      <w:r w:rsidR="00C026A6" w:rsidRPr="00EA59C0">
        <w:t xml:space="preserve"> </w:t>
      </w:r>
      <w:r w:rsidR="006A265B" w:rsidRPr="00EA59C0">
        <w:t>funding</w:t>
      </w:r>
      <w:r w:rsidR="00C026A6" w:rsidRPr="00EA59C0">
        <w:t xml:space="preserve"> </w:t>
      </w:r>
      <w:r w:rsidR="006A265B" w:rsidRPr="00EA59C0">
        <w:t>amount</w:t>
      </w:r>
      <w:r w:rsidR="00C026A6" w:rsidRPr="00EA59C0">
        <w:t xml:space="preserve"> </w:t>
      </w:r>
      <w:r w:rsidR="006A265B" w:rsidRPr="00EA59C0">
        <w:t>included</w:t>
      </w:r>
      <w:r w:rsidR="00C026A6" w:rsidRPr="00EA59C0">
        <w:t xml:space="preserve"> </w:t>
      </w:r>
      <w:r w:rsidR="006A265B" w:rsidRPr="00EA59C0">
        <w:t>on</w:t>
      </w:r>
      <w:r w:rsidR="00C026A6" w:rsidRPr="00EA59C0">
        <w:t xml:space="preserve"> </w:t>
      </w:r>
      <w:r w:rsidR="006A265B" w:rsidRPr="00EA59C0">
        <w:t>the</w:t>
      </w:r>
      <w:r w:rsidR="00C026A6" w:rsidRPr="00EA59C0">
        <w:t xml:space="preserve"> </w:t>
      </w:r>
      <w:r w:rsidR="006A265B" w:rsidRPr="00EA59C0">
        <w:t>SF-424</w:t>
      </w:r>
      <w:r w:rsidR="00C026A6" w:rsidRPr="00EA59C0">
        <w:t xml:space="preserve"> </w:t>
      </w:r>
      <w:r w:rsidR="006A265B" w:rsidRPr="00EA59C0">
        <w:t>will</w:t>
      </w:r>
      <w:r w:rsidR="00C026A6" w:rsidRPr="00EA59C0">
        <w:t xml:space="preserve"> </w:t>
      </w:r>
      <w:r w:rsidR="006A265B" w:rsidRPr="00EA59C0">
        <w:t>be</w:t>
      </w:r>
      <w:r w:rsidR="00C026A6" w:rsidRPr="00EA59C0">
        <w:t xml:space="preserve"> </w:t>
      </w:r>
      <w:r w:rsidR="006A265B" w:rsidRPr="00EA59C0">
        <w:t>considered</w:t>
      </w:r>
      <w:r w:rsidR="00C026A6" w:rsidRPr="00EA59C0">
        <w:t xml:space="preserve"> </w:t>
      </w:r>
      <w:r w:rsidR="006A265B" w:rsidRPr="00EA59C0">
        <w:t>the</w:t>
      </w:r>
      <w:r w:rsidR="00C026A6" w:rsidRPr="00EA59C0">
        <w:t xml:space="preserve"> </w:t>
      </w:r>
      <w:r w:rsidR="006A265B" w:rsidRPr="00EA59C0">
        <w:t>official</w:t>
      </w:r>
      <w:r w:rsidR="00C026A6" w:rsidRPr="00EA59C0">
        <w:t xml:space="preserve"> </w:t>
      </w:r>
      <w:r w:rsidR="006A265B" w:rsidRPr="00EA59C0">
        <w:t>funding</w:t>
      </w:r>
      <w:r w:rsidR="00C026A6" w:rsidRPr="00EA59C0">
        <w:t xml:space="preserve"> </w:t>
      </w:r>
      <w:r w:rsidR="006A265B" w:rsidRPr="00EA59C0">
        <w:t>amount</w:t>
      </w:r>
      <w:r w:rsidR="00C026A6" w:rsidRPr="00EA59C0">
        <w:t xml:space="preserve"> </w:t>
      </w:r>
      <w:r w:rsidR="006A265B" w:rsidRPr="00EA59C0">
        <w:t>requested</w:t>
      </w:r>
      <w:r w:rsidR="00C026A6" w:rsidRPr="00EA59C0">
        <w:t xml:space="preserve"> </w:t>
      </w:r>
      <w:r w:rsidR="006A265B" w:rsidRPr="00EA59C0">
        <w:t>if</w:t>
      </w:r>
      <w:r w:rsidR="00C026A6" w:rsidRPr="00EA59C0">
        <w:t xml:space="preserve"> </w:t>
      </w:r>
      <w:r w:rsidR="006A265B" w:rsidRPr="00EA59C0">
        <w:t>any</w:t>
      </w:r>
      <w:r w:rsidR="00C026A6" w:rsidRPr="00EA59C0">
        <w:t xml:space="preserve"> </w:t>
      </w:r>
      <w:r w:rsidR="006A265B" w:rsidRPr="00EA59C0">
        <w:t>inconsistencies</w:t>
      </w:r>
      <w:r w:rsidR="00C026A6" w:rsidRPr="00EA59C0">
        <w:t xml:space="preserve"> </w:t>
      </w:r>
      <w:r w:rsidR="006A265B" w:rsidRPr="00EA59C0">
        <w:t>are</w:t>
      </w:r>
      <w:r w:rsidR="00C026A6" w:rsidRPr="00EA59C0">
        <w:t xml:space="preserve"> </w:t>
      </w:r>
      <w:r w:rsidR="006A265B" w:rsidRPr="00EA59C0">
        <w:t>found.</w:t>
      </w:r>
      <w:r w:rsidR="00C026A6" w:rsidRPr="00EA59C0">
        <w:t xml:space="preserve">    </w:t>
      </w:r>
    </w:p>
    <w:p w:rsidR="00B2084C" w:rsidRPr="00EA59C0" w:rsidRDefault="00B2084C" w:rsidP="00C072FA">
      <w:pPr>
        <w:ind w:left="720"/>
      </w:pPr>
    </w:p>
    <w:p w:rsidR="00144DF0" w:rsidRPr="00EA59C0" w:rsidRDefault="000632A1" w:rsidP="008826BE">
      <w:pPr>
        <w:pStyle w:val="Heading2"/>
        <w:numPr>
          <w:ilvl w:val="2"/>
          <w:numId w:val="17"/>
        </w:numPr>
        <w:rPr>
          <w:rFonts w:ascii="Times New Roman" w:hAnsi="Times New Roman"/>
          <w:i w:val="0"/>
        </w:rPr>
      </w:pPr>
      <w:r w:rsidRPr="00EA59C0">
        <w:rPr>
          <w:rFonts w:ascii="Times New Roman" w:hAnsi="Times New Roman"/>
          <w:i w:val="0"/>
        </w:rPr>
        <w:t>Project</w:t>
      </w:r>
      <w:r w:rsidR="00C026A6" w:rsidRPr="00EA59C0">
        <w:rPr>
          <w:rFonts w:ascii="Times New Roman" w:hAnsi="Times New Roman"/>
          <w:i w:val="0"/>
        </w:rPr>
        <w:t xml:space="preserve"> </w:t>
      </w:r>
      <w:r w:rsidRPr="00EA59C0">
        <w:rPr>
          <w:rFonts w:ascii="Times New Roman" w:hAnsi="Times New Roman"/>
          <w:i w:val="0"/>
        </w:rPr>
        <w:t>Narrative</w:t>
      </w:r>
    </w:p>
    <w:p w:rsidR="00144DF0" w:rsidRPr="00EA59C0" w:rsidRDefault="00F610A6" w:rsidP="00C072FA">
      <w:pPr>
        <w:ind w:left="1080"/>
      </w:pPr>
      <w:r w:rsidRPr="00EA59C0">
        <w:t>The</w:t>
      </w:r>
      <w:r w:rsidR="00C026A6" w:rsidRPr="00EA59C0">
        <w:t xml:space="preserve"> </w:t>
      </w:r>
      <w:r w:rsidRPr="00EA59C0">
        <w:t>Project</w:t>
      </w:r>
      <w:r w:rsidR="00C026A6" w:rsidRPr="00EA59C0">
        <w:t xml:space="preserve"> </w:t>
      </w:r>
      <w:r w:rsidRPr="00EA59C0">
        <w:t>Narrative</w:t>
      </w:r>
      <w:r w:rsidR="00C026A6" w:rsidRPr="00EA59C0">
        <w:t xml:space="preserve"> </w:t>
      </w:r>
      <w:r w:rsidRPr="00EA59C0">
        <w:t>must</w:t>
      </w:r>
      <w:r w:rsidR="00C026A6" w:rsidRPr="00EA59C0">
        <w:t xml:space="preserve"> </w:t>
      </w:r>
      <w:r w:rsidRPr="00EA59C0">
        <w:t>demonstrate</w:t>
      </w:r>
      <w:r w:rsidR="00C026A6" w:rsidRPr="00EA59C0">
        <w:t xml:space="preserve"> </w:t>
      </w:r>
      <w:r w:rsidRPr="00EA59C0">
        <w:t>the</w:t>
      </w:r>
      <w:r w:rsidR="00C026A6" w:rsidRPr="00EA59C0">
        <w:t xml:space="preserve"> </w:t>
      </w:r>
      <w:r w:rsidRPr="00EA59C0">
        <w:t>applicant’s</w:t>
      </w:r>
      <w:r w:rsidR="00C026A6" w:rsidRPr="00EA59C0">
        <w:t xml:space="preserve"> </w:t>
      </w:r>
      <w:r w:rsidRPr="00EA59C0">
        <w:t>capability</w:t>
      </w:r>
      <w:r w:rsidR="00C026A6" w:rsidRPr="00EA59C0">
        <w:t xml:space="preserve"> </w:t>
      </w:r>
      <w:r w:rsidRPr="00EA59C0">
        <w:t>to</w:t>
      </w:r>
      <w:r w:rsidR="00C026A6" w:rsidRPr="00EA59C0">
        <w:t xml:space="preserve"> </w:t>
      </w:r>
      <w:r w:rsidRPr="00EA59C0">
        <w:t>implement</w:t>
      </w:r>
      <w:r w:rsidR="00C026A6" w:rsidRPr="00EA59C0">
        <w:t xml:space="preserve"> </w:t>
      </w:r>
      <w:r w:rsidRPr="00EA59C0">
        <w:t>the</w:t>
      </w:r>
      <w:r w:rsidR="00C026A6" w:rsidRPr="00EA59C0">
        <w:t xml:space="preserve"> </w:t>
      </w:r>
      <w:r w:rsidRPr="00EA59C0">
        <w:t>grant</w:t>
      </w:r>
      <w:r w:rsidR="00C026A6" w:rsidRPr="00EA59C0">
        <w:t xml:space="preserve"> </w:t>
      </w:r>
      <w:r w:rsidRPr="00EA59C0">
        <w:t>project</w:t>
      </w:r>
      <w:r w:rsidR="00C026A6" w:rsidRPr="00EA59C0">
        <w:t xml:space="preserve"> </w:t>
      </w:r>
      <w:r w:rsidRPr="00EA59C0">
        <w:t>in</w:t>
      </w:r>
      <w:r w:rsidR="00C026A6" w:rsidRPr="00EA59C0">
        <w:t xml:space="preserve"> </w:t>
      </w:r>
      <w:r w:rsidRPr="00EA59C0">
        <w:t>accordance</w:t>
      </w:r>
      <w:r w:rsidR="00C026A6" w:rsidRPr="00EA59C0">
        <w:t xml:space="preserve"> </w:t>
      </w:r>
      <w:r w:rsidRPr="00EA59C0">
        <w:t>with</w:t>
      </w:r>
      <w:r w:rsidR="00C026A6" w:rsidRPr="00EA59C0">
        <w:t xml:space="preserve"> </w:t>
      </w:r>
      <w:r w:rsidRPr="00EA59C0">
        <w:t>the</w:t>
      </w:r>
      <w:r w:rsidR="00C026A6" w:rsidRPr="00EA59C0">
        <w:t xml:space="preserve"> </w:t>
      </w:r>
      <w:r w:rsidRPr="00EA59C0">
        <w:t>provisions</w:t>
      </w:r>
      <w:r w:rsidR="00C026A6" w:rsidRPr="00EA59C0">
        <w:t xml:space="preserve"> </w:t>
      </w:r>
      <w:r w:rsidRPr="00EA59C0">
        <w:t>of</w:t>
      </w:r>
      <w:r w:rsidR="00C026A6" w:rsidRPr="00EA59C0">
        <w:t xml:space="preserve"> </w:t>
      </w:r>
      <w:r w:rsidRPr="00EA59C0">
        <w:t>this</w:t>
      </w:r>
      <w:r w:rsidR="00C026A6" w:rsidRPr="00EA59C0">
        <w:t xml:space="preserve"> </w:t>
      </w:r>
      <w:r w:rsidRPr="00EA59C0">
        <w:t>Solicitation.</w:t>
      </w:r>
      <w:r w:rsidR="00C026A6" w:rsidRPr="00EA59C0">
        <w:t xml:space="preserve">  </w:t>
      </w:r>
      <w:r w:rsidRPr="00EA59C0">
        <w:t>It</w:t>
      </w:r>
      <w:r w:rsidR="00C026A6" w:rsidRPr="00EA59C0">
        <w:t xml:space="preserve"> </w:t>
      </w:r>
      <w:r w:rsidRPr="00EA59C0">
        <w:t>provides</w:t>
      </w:r>
      <w:r w:rsidR="00C026A6" w:rsidRPr="00EA59C0">
        <w:t xml:space="preserve"> </w:t>
      </w:r>
      <w:r w:rsidRPr="00EA59C0">
        <w:t>a</w:t>
      </w:r>
      <w:r w:rsidR="00C026A6" w:rsidRPr="00EA59C0">
        <w:t xml:space="preserve"> </w:t>
      </w:r>
      <w:r w:rsidRPr="00EA59C0">
        <w:t>comprehensive</w:t>
      </w:r>
      <w:r w:rsidR="00C026A6" w:rsidRPr="00EA59C0">
        <w:t xml:space="preserve"> </w:t>
      </w:r>
      <w:r w:rsidRPr="00EA59C0">
        <w:t>framework</w:t>
      </w:r>
      <w:r w:rsidR="00C026A6" w:rsidRPr="00EA59C0">
        <w:t xml:space="preserve"> </w:t>
      </w:r>
      <w:r w:rsidRPr="00EA59C0">
        <w:t>and</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all</w:t>
      </w:r>
      <w:r w:rsidR="00C026A6" w:rsidRPr="00EA59C0">
        <w:t xml:space="preserve"> </w:t>
      </w:r>
      <w:r w:rsidRPr="00EA59C0">
        <w:t>aspects</w:t>
      </w:r>
      <w:r w:rsidR="00C026A6" w:rsidRPr="00EA59C0">
        <w:t xml:space="preserve"> </w:t>
      </w:r>
      <w:r w:rsidRPr="00EA59C0">
        <w:t>of</w:t>
      </w:r>
      <w:r w:rsidR="00C026A6" w:rsidRPr="00EA59C0">
        <w:t xml:space="preserve"> </w:t>
      </w:r>
      <w:r w:rsidRPr="00EA59C0">
        <w:t>the</w:t>
      </w:r>
      <w:r w:rsidR="00C026A6" w:rsidRPr="00EA59C0">
        <w:t xml:space="preserve"> </w:t>
      </w:r>
      <w:r w:rsidRPr="00EA59C0">
        <w:t>proposed</w:t>
      </w:r>
      <w:r w:rsidR="00C026A6" w:rsidRPr="00EA59C0">
        <w:t xml:space="preserve"> </w:t>
      </w:r>
      <w:r w:rsidRPr="00EA59C0">
        <w:t>project.</w:t>
      </w:r>
      <w:r w:rsidR="00C026A6" w:rsidRPr="00EA59C0">
        <w:t xml:space="preserve">  </w:t>
      </w:r>
      <w:r w:rsidRPr="00EA59C0">
        <w:t>It</w:t>
      </w:r>
      <w:r w:rsidR="00C026A6" w:rsidRPr="00EA59C0">
        <w:t xml:space="preserve"> </w:t>
      </w:r>
      <w:r w:rsidRPr="00EA59C0">
        <w:t>must</w:t>
      </w:r>
      <w:r w:rsidR="00C026A6" w:rsidRPr="00EA59C0">
        <w:t xml:space="preserve"> </w:t>
      </w:r>
      <w:r w:rsidRPr="00EA59C0">
        <w:t>be</w:t>
      </w:r>
      <w:r w:rsidR="00C026A6" w:rsidRPr="00EA59C0">
        <w:t xml:space="preserve"> </w:t>
      </w:r>
      <w:r w:rsidRPr="00EA59C0">
        <w:t>succinct,</w:t>
      </w:r>
      <w:r w:rsidR="00C026A6" w:rsidRPr="00EA59C0">
        <w:t xml:space="preserve"> </w:t>
      </w:r>
      <w:r w:rsidRPr="00EA59C0">
        <w:t>self-explanatory,</w:t>
      </w:r>
      <w:r w:rsidR="00C026A6" w:rsidRPr="00EA59C0">
        <w:t xml:space="preserve"> </w:t>
      </w:r>
      <w:r w:rsidRPr="00EA59C0">
        <w:t>and</w:t>
      </w:r>
      <w:r w:rsidR="00C026A6" w:rsidRPr="00EA59C0">
        <w:t xml:space="preserve"> </w:t>
      </w:r>
      <w:r w:rsidRPr="00EA59C0">
        <w:t>well-organized</w:t>
      </w:r>
      <w:r w:rsidR="00C026A6" w:rsidRPr="00EA59C0">
        <w:t xml:space="preserve"> </w:t>
      </w:r>
      <w:r w:rsidRPr="00EA59C0">
        <w:t>so</w:t>
      </w:r>
      <w:r w:rsidR="00C026A6" w:rsidRPr="00EA59C0">
        <w:t xml:space="preserve"> </w:t>
      </w:r>
      <w:r w:rsidRPr="00EA59C0">
        <w:t>that</w:t>
      </w:r>
      <w:r w:rsidR="00C026A6" w:rsidRPr="00EA59C0">
        <w:t xml:space="preserve"> </w:t>
      </w:r>
      <w:r w:rsidRPr="00EA59C0">
        <w:t>reviewers</w:t>
      </w:r>
      <w:r w:rsidR="00C026A6" w:rsidRPr="00EA59C0">
        <w:t xml:space="preserve"> </w:t>
      </w:r>
      <w:r w:rsidRPr="00EA59C0">
        <w:t>can</w:t>
      </w:r>
      <w:r w:rsidR="00C026A6" w:rsidRPr="00EA59C0">
        <w:t xml:space="preserve"> </w:t>
      </w:r>
      <w:r w:rsidRPr="00EA59C0">
        <w:t>understand</w:t>
      </w:r>
      <w:r w:rsidR="00C026A6" w:rsidRPr="00EA59C0">
        <w:t xml:space="preserve"> </w:t>
      </w:r>
      <w:r w:rsidRPr="00EA59C0">
        <w:t>the</w:t>
      </w:r>
      <w:r w:rsidR="00C026A6" w:rsidRPr="00EA59C0">
        <w:t xml:space="preserve"> </w:t>
      </w:r>
      <w:r w:rsidRPr="00EA59C0">
        <w:t>proposed</w:t>
      </w:r>
      <w:r w:rsidR="00C026A6" w:rsidRPr="00EA59C0">
        <w:t xml:space="preserve"> </w:t>
      </w:r>
      <w:r w:rsidRPr="00EA59C0">
        <w:t>project.</w:t>
      </w:r>
    </w:p>
    <w:p w:rsidR="00924165" w:rsidRPr="00EA59C0" w:rsidRDefault="00924165" w:rsidP="00C072FA">
      <w:pPr>
        <w:ind w:left="1080"/>
      </w:pPr>
    </w:p>
    <w:p w:rsidR="00F610A6" w:rsidRPr="00EA59C0" w:rsidRDefault="00F610A6" w:rsidP="00C072FA">
      <w:pPr>
        <w:ind w:left="1080"/>
      </w:pPr>
      <w:r w:rsidRPr="00EA59C0">
        <w:t>For</w:t>
      </w:r>
      <w:r w:rsidR="00C026A6" w:rsidRPr="00EA59C0">
        <w:t xml:space="preserve"> </w:t>
      </w:r>
      <w:r w:rsidRPr="00EA59C0">
        <w:t>single</w:t>
      </w:r>
      <w:r w:rsidR="00C026A6" w:rsidRPr="00EA59C0">
        <w:t xml:space="preserve"> </w:t>
      </w:r>
      <w:r w:rsidRPr="00EA59C0">
        <w:t>institution</w:t>
      </w:r>
      <w:r w:rsidR="00C026A6" w:rsidRPr="00EA59C0">
        <w:t xml:space="preserve"> </w:t>
      </w:r>
      <w:r w:rsidRPr="00EA59C0">
        <w:t>applicants,</w:t>
      </w:r>
      <w:r w:rsidR="00C026A6" w:rsidRPr="00EA59C0">
        <w:t xml:space="preserve"> </w:t>
      </w:r>
      <w:r w:rsidRPr="00EA59C0">
        <w:t>the</w:t>
      </w:r>
      <w:r w:rsidR="00C026A6" w:rsidRPr="00EA59C0">
        <w:t xml:space="preserve"> </w:t>
      </w:r>
      <w:r w:rsidRPr="00EA59C0">
        <w:t>Project</w:t>
      </w:r>
      <w:r w:rsidR="00C026A6" w:rsidRPr="00EA59C0">
        <w:t xml:space="preserve"> </w:t>
      </w:r>
      <w:r w:rsidRPr="00EA59C0">
        <w:t>Narrative</w:t>
      </w:r>
      <w:r w:rsidR="00C026A6" w:rsidRPr="00EA59C0">
        <w:t xml:space="preserve"> </w:t>
      </w:r>
      <w:r w:rsidRPr="00EA59C0">
        <w:t>is</w:t>
      </w:r>
      <w:r w:rsidR="00C026A6" w:rsidRPr="00EA59C0">
        <w:t xml:space="preserve"> </w:t>
      </w:r>
      <w:r w:rsidRPr="00EA59C0">
        <w:t>limited</w:t>
      </w:r>
      <w:r w:rsidR="00C026A6" w:rsidRPr="00EA59C0">
        <w:t xml:space="preserve"> </w:t>
      </w:r>
      <w:r w:rsidRPr="00EA59C0">
        <w:t>to</w:t>
      </w:r>
      <w:r w:rsidR="00C026A6" w:rsidRPr="00EA59C0">
        <w:t xml:space="preserve"> </w:t>
      </w:r>
      <w:r w:rsidRPr="00EA59C0">
        <w:t>30</w:t>
      </w:r>
      <w:r w:rsidR="00C026A6" w:rsidRPr="00EA59C0">
        <w:t xml:space="preserve"> </w:t>
      </w:r>
      <w:r w:rsidRPr="00EA59C0">
        <w:t>double-spaced,</w:t>
      </w:r>
      <w:r w:rsidR="00C026A6" w:rsidRPr="00EA59C0">
        <w:t xml:space="preserve"> </w:t>
      </w:r>
      <w:r w:rsidRPr="00EA59C0">
        <w:t>single-sided,</w:t>
      </w:r>
      <w:r w:rsidR="00C026A6" w:rsidRPr="00EA59C0">
        <w:t xml:space="preserve"> </w:t>
      </w:r>
      <w:r w:rsidRPr="00EA59C0">
        <w:t>8.5x11</w:t>
      </w:r>
      <w:r w:rsidR="00C026A6" w:rsidRPr="00EA59C0">
        <w:t xml:space="preserve"> </w:t>
      </w:r>
      <w:r w:rsidRPr="00EA59C0">
        <w:t>inch</w:t>
      </w:r>
      <w:r w:rsidR="00C026A6" w:rsidRPr="00EA59C0">
        <w:t xml:space="preserve"> </w:t>
      </w:r>
      <w:r w:rsidRPr="00EA59C0">
        <w:t>pages</w:t>
      </w:r>
      <w:r w:rsidR="00C026A6" w:rsidRPr="00EA59C0">
        <w:t xml:space="preserve"> </w:t>
      </w:r>
      <w:r w:rsidRPr="00EA59C0">
        <w:t>with</w:t>
      </w:r>
      <w:r w:rsidR="00C026A6" w:rsidRPr="00EA59C0">
        <w:t xml:space="preserve"> </w:t>
      </w:r>
      <w:r w:rsidRPr="00EA59C0">
        <w:t>12</w:t>
      </w:r>
      <w:r w:rsidR="00C026A6" w:rsidRPr="00EA59C0">
        <w:t xml:space="preserve"> </w:t>
      </w:r>
      <w:r w:rsidRPr="00EA59C0">
        <w:t>point</w:t>
      </w:r>
      <w:r w:rsidR="00C026A6" w:rsidRPr="00EA59C0">
        <w:t xml:space="preserve"> </w:t>
      </w:r>
      <w:r w:rsidRPr="00EA59C0">
        <w:t>text</w:t>
      </w:r>
      <w:r w:rsidR="00C026A6" w:rsidRPr="00EA59C0">
        <w:t xml:space="preserve"> </w:t>
      </w:r>
      <w:r w:rsidRPr="00EA59C0">
        <w:t>font</w:t>
      </w:r>
      <w:r w:rsidR="00C026A6" w:rsidRPr="00EA59C0">
        <w:t xml:space="preserve"> </w:t>
      </w:r>
      <w:r w:rsidRPr="00EA59C0">
        <w:t>and</w:t>
      </w:r>
      <w:r w:rsidR="00C026A6" w:rsidRPr="00EA59C0">
        <w:t xml:space="preserve"> </w:t>
      </w:r>
      <w:r w:rsidRPr="00EA59C0">
        <w:t>1</w:t>
      </w:r>
      <w:r w:rsidR="00C026A6" w:rsidRPr="00EA59C0">
        <w:t xml:space="preserve"> </w:t>
      </w:r>
      <w:r w:rsidRPr="00EA59C0">
        <w:t>inch</w:t>
      </w:r>
      <w:r w:rsidR="00C026A6" w:rsidRPr="00EA59C0">
        <w:t xml:space="preserve"> </w:t>
      </w:r>
      <w:r w:rsidRPr="00EA59C0">
        <w:t>margins.</w:t>
      </w:r>
      <w:r w:rsidR="00C026A6" w:rsidRPr="00EA59C0">
        <w:t xml:space="preserve">  </w:t>
      </w:r>
      <w:r w:rsidRPr="00EA59C0">
        <w:t>For</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the</w:t>
      </w:r>
      <w:r w:rsidR="00C026A6" w:rsidRPr="00EA59C0">
        <w:t xml:space="preserve"> </w:t>
      </w:r>
      <w:r w:rsidRPr="00EA59C0">
        <w:t>Project</w:t>
      </w:r>
      <w:r w:rsidR="00C026A6" w:rsidRPr="00EA59C0">
        <w:t xml:space="preserve"> </w:t>
      </w:r>
      <w:r w:rsidRPr="00EA59C0">
        <w:t>Narrative</w:t>
      </w:r>
      <w:r w:rsidR="00C026A6" w:rsidRPr="00EA59C0">
        <w:t xml:space="preserve"> </w:t>
      </w:r>
      <w:r w:rsidRPr="00EA59C0">
        <w:t>is</w:t>
      </w:r>
      <w:r w:rsidR="00C026A6" w:rsidRPr="00EA59C0">
        <w:t xml:space="preserve"> </w:t>
      </w:r>
      <w:r w:rsidRPr="00EA59C0">
        <w:t>limited</w:t>
      </w:r>
      <w:r w:rsidR="00C026A6" w:rsidRPr="00EA59C0">
        <w:t xml:space="preserve"> </w:t>
      </w:r>
      <w:r w:rsidRPr="00EA59C0">
        <w:t>to</w:t>
      </w:r>
      <w:r w:rsidR="00C026A6" w:rsidRPr="00EA59C0">
        <w:t xml:space="preserve"> </w:t>
      </w:r>
      <w:r w:rsidRPr="00EA59C0">
        <w:t>45</w:t>
      </w:r>
      <w:r w:rsidR="00C026A6" w:rsidRPr="00EA59C0">
        <w:t xml:space="preserve"> </w:t>
      </w:r>
      <w:r w:rsidRPr="00EA59C0">
        <w:t>double-spaced,</w:t>
      </w:r>
      <w:r w:rsidR="00C026A6" w:rsidRPr="00EA59C0">
        <w:t xml:space="preserve"> </w:t>
      </w:r>
      <w:r w:rsidRPr="00EA59C0">
        <w:t>single-sided,</w:t>
      </w:r>
      <w:r w:rsidR="00C026A6" w:rsidRPr="00EA59C0">
        <w:t xml:space="preserve"> </w:t>
      </w:r>
      <w:r w:rsidRPr="00EA59C0">
        <w:t>8.5x11</w:t>
      </w:r>
      <w:r w:rsidR="00C026A6" w:rsidRPr="00EA59C0">
        <w:t xml:space="preserve"> </w:t>
      </w:r>
      <w:r w:rsidRPr="00EA59C0">
        <w:t>inch</w:t>
      </w:r>
      <w:r w:rsidR="00C026A6" w:rsidRPr="00EA59C0">
        <w:t xml:space="preserve"> </w:t>
      </w:r>
      <w:r w:rsidRPr="00EA59C0">
        <w:t>pages</w:t>
      </w:r>
      <w:r w:rsidR="00C026A6" w:rsidRPr="00EA59C0">
        <w:t xml:space="preserve"> </w:t>
      </w:r>
      <w:r w:rsidRPr="00EA59C0">
        <w:t>with</w:t>
      </w:r>
      <w:r w:rsidR="00C026A6" w:rsidRPr="00EA59C0">
        <w:t xml:space="preserve"> </w:t>
      </w:r>
      <w:r w:rsidRPr="00EA59C0">
        <w:t>12</w:t>
      </w:r>
      <w:r w:rsidR="00C026A6" w:rsidRPr="00EA59C0">
        <w:t xml:space="preserve"> </w:t>
      </w:r>
      <w:r w:rsidRPr="00EA59C0">
        <w:t>point</w:t>
      </w:r>
      <w:r w:rsidR="00C026A6" w:rsidRPr="00EA59C0">
        <w:t xml:space="preserve"> </w:t>
      </w:r>
      <w:r w:rsidRPr="00EA59C0">
        <w:t>text</w:t>
      </w:r>
      <w:r w:rsidR="00C026A6" w:rsidRPr="00EA59C0">
        <w:t xml:space="preserve"> </w:t>
      </w:r>
      <w:r w:rsidRPr="00EA59C0">
        <w:t>font</w:t>
      </w:r>
      <w:r w:rsidR="00C026A6" w:rsidRPr="00EA59C0">
        <w:t xml:space="preserve"> </w:t>
      </w:r>
      <w:r w:rsidRPr="00EA59C0">
        <w:t>and</w:t>
      </w:r>
      <w:r w:rsidR="00C026A6" w:rsidRPr="00EA59C0">
        <w:t xml:space="preserve"> </w:t>
      </w:r>
      <w:r w:rsidRPr="00EA59C0">
        <w:t>1</w:t>
      </w:r>
      <w:r w:rsidR="00C026A6" w:rsidRPr="00EA59C0">
        <w:t xml:space="preserve"> </w:t>
      </w:r>
      <w:r w:rsidRPr="00EA59C0">
        <w:t>inch</w:t>
      </w:r>
      <w:r w:rsidR="00C026A6" w:rsidRPr="00EA59C0">
        <w:t xml:space="preserve"> </w:t>
      </w:r>
      <w:r w:rsidRPr="00EA59C0">
        <w:t>margins.</w:t>
      </w:r>
      <w:r w:rsidR="00C026A6" w:rsidRPr="00EA59C0">
        <w:t xml:space="preserve">  </w:t>
      </w:r>
      <w:r w:rsidRPr="00EA59C0">
        <w:t>Any</w:t>
      </w:r>
      <w:r w:rsidR="00C026A6" w:rsidRPr="00EA59C0">
        <w:t xml:space="preserve"> </w:t>
      </w:r>
      <w:r w:rsidRPr="00EA59C0">
        <w:t>materials</w:t>
      </w:r>
      <w:r w:rsidR="00C026A6" w:rsidRPr="00EA59C0">
        <w:t xml:space="preserve"> </w:t>
      </w:r>
      <w:r w:rsidRPr="00EA59C0">
        <w:t>beyond</w:t>
      </w:r>
      <w:r w:rsidR="00C026A6" w:rsidRPr="00EA59C0">
        <w:t xml:space="preserve"> </w:t>
      </w:r>
      <w:r w:rsidRPr="00EA59C0">
        <w:t>the</w:t>
      </w:r>
      <w:r w:rsidR="00C026A6" w:rsidRPr="00EA59C0">
        <w:t xml:space="preserve"> </w:t>
      </w:r>
      <w:r w:rsidRPr="00EA59C0">
        <w:t>specified</w:t>
      </w:r>
      <w:r w:rsidR="00C026A6" w:rsidRPr="00EA59C0">
        <w:t xml:space="preserve"> </w:t>
      </w:r>
      <w:r w:rsidRPr="00EA59C0">
        <w:t>page</w:t>
      </w:r>
      <w:r w:rsidR="00C026A6" w:rsidRPr="00EA59C0">
        <w:t xml:space="preserve"> </w:t>
      </w:r>
      <w:r w:rsidRPr="00EA59C0">
        <w:t>limit</w:t>
      </w:r>
      <w:r w:rsidR="00C026A6" w:rsidRPr="00EA59C0">
        <w:t xml:space="preserve"> </w:t>
      </w:r>
      <w:r w:rsidRPr="00EA59C0">
        <w:t>will</w:t>
      </w:r>
      <w:r w:rsidR="00C026A6" w:rsidRPr="00EA59C0">
        <w:t xml:space="preserve"> </w:t>
      </w:r>
      <w:r w:rsidRPr="00EA59C0">
        <w:t>not</w:t>
      </w:r>
      <w:r w:rsidR="00C026A6" w:rsidRPr="00EA59C0">
        <w:t xml:space="preserve"> </w:t>
      </w:r>
      <w:r w:rsidRPr="00EA59C0">
        <w:t>be</w:t>
      </w:r>
      <w:r w:rsidR="00C026A6" w:rsidRPr="00EA59C0">
        <w:t xml:space="preserve"> </w:t>
      </w:r>
      <w:r w:rsidRPr="00EA59C0">
        <w:t>read</w:t>
      </w:r>
      <w:r w:rsidR="00C026A6" w:rsidRPr="00EA59C0">
        <w:t xml:space="preserve"> </w:t>
      </w:r>
      <w:r w:rsidRPr="00EA59C0">
        <w:t>or</w:t>
      </w:r>
      <w:r w:rsidR="00C026A6" w:rsidRPr="00EA59C0">
        <w:t xml:space="preserve"> </w:t>
      </w:r>
      <w:r w:rsidRPr="00EA59C0">
        <w:t>considered</w:t>
      </w:r>
      <w:r w:rsidR="00C026A6" w:rsidRPr="00EA59C0">
        <w:t xml:space="preserve"> </w:t>
      </w:r>
      <w:r w:rsidRPr="00EA59C0">
        <w:t>in</w:t>
      </w:r>
      <w:r w:rsidR="00C026A6" w:rsidRPr="00EA59C0">
        <w:t xml:space="preserve"> </w:t>
      </w:r>
      <w:r w:rsidRPr="00EA59C0">
        <w:t>the</w:t>
      </w:r>
      <w:r w:rsidR="00C026A6" w:rsidRPr="00EA59C0">
        <w:t xml:space="preserve"> </w:t>
      </w:r>
      <w:r w:rsidRPr="00EA59C0">
        <w:t>application</w:t>
      </w:r>
      <w:r w:rsidR="00C026A6" w:rsidRPr="00EA59C0">
        <w:t xml:space="preserve"> </w:t>
      </w:r>
      <w:r w:rsidRPr="00EA59C0">
        <w:t>review</w:t>
      </w:r>
      <w:r w:rsidR="00C026A6" w:rsidRPr="00EA59C0">
        <w:t xml:space="preserve"> </w:t>
      </w:r>
      <w:r w:rsidRPr="00EA59C0">
        <w:t>process.</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number</w:t>
      </w:r>
      <w:r w:rsidR="00C026A6" w:rsidRPr="00EA59C0">
        <w:t xml:space="preserve"> </w:t>
      </w:r>
      <w:r w:rsidRPr="00EA59C0">
        <w:t>the</w:t>
      </w:r>
      <w:r w:rsidR="00C026A6" w:rsidRPr="00EA59C0">
        <w:t xml:space="preserve"> </w:t>
      </w:r>
      <w:r w:rsidRPr="00EA59C0">
        <w:t>Project</w:t>
      </w:r>
      <w:r w:rsidR="00C026A6" w:rsidRPr="00EA59C0">
        <w:t xml:space="preserve"> </w:t>
      </w:r>
      <w:r w:rsidRPr="00EA59C0">
        <w:t>Narrative,</w:t>
      </w:r>
      <w:r w:rsidR="00C026A6" w:rsidRPr="00EA59C0">
        <w:t xml:space="preserve"> </w:t>
      </w:r>
      <w:r w:rsidRPr="00EA59C0">
        <w:t>beginning</w:t>
      </w:r>
      <w:r w:rsidR="00C026A6" w:rsidRPr="00EA59C0">
        <w:t xml:space="preserve"> </w:t>
      </w:r>
      <w:r w:rsidRPr="00EA59C0">
        <w:t>with</w:t>
      </w:r>
      <w:r w:rsidR="00C026A6" w:rsidRPr="00EA59C0">
        <w:t xml:space="preserve"> </w:t>
      </w:r>
      <w:r w:rsidRPr="00EA59C0">
        <w:t>page</w:t>
      </w:r>
      <w:r w:rsidR="00C026A6" w:rsidRPr="00EA59C0">
        <w:t xml:space="preserve"> </w:t>
      </w:r>
      <w:r w:rsidRPr="00EA59C0">
        <w:t>number</w:t>
      </w:r>
      <w:r w:rsidR="00C026A6" w:rsidRPr="00EA59C0">
        <w:t xml:space="preserve"> </w:t>
      </w:r>
      <w:r w:rsidRPr="00EA59C0">
        <w:t>1.</w:t>
      </w:r>
    </w:p>
    <w:p w:rsidR="00924165" w:rsidRPr="00EA59C0" w:rsidRDefault="00924165" w:rsidP="00C072FA">
      <w:pPr>
        <w:ind w:left="1080"/>
      </w:pPr>
    </w:p>
    <w:p w:rsidR="00F610A6" w:rsidRPr="00EA59C0" w:rsidRDefault="00F610A6" w:rsidP="00C072FA">
      <w:pPr>
        <w:ind w:left="1080"/>
      </w:pPr>
      <w:r w:rsidRPr="00EA59C0">
        <w:t>The</w:t>
      </w:r>
      <w:r w:rsidR="00C026A6" w:rsidRPr="00EA59C0">
        <w:t xml:space="preserve"> </w:t>
      </w:r>
      <w:r w:rsidRPr="00EA59C0">
        <w:t>following</w:t>
      </w:r>
      <w:r w:rsidR="00C026A6" w:rsidRPr="00EA59C0">
        <w:t xml:space="preserve"> </w:t>
      </w:r>
      <w:r w:rsidRPr="00EA59C0">
        <w:t>instructions</w:t>
      </w:r>
      <w:r w:rsidR="00C026A6" w:rsidRPr="00EA59C0">
        <w:t xml:space="preserve"> </w:t>
      </w:r>
      <w:r w:rsidRPr="00EA59C0">
        <w:t>provide</w:t>
      </w:r>
      <w:r w:rsidR="00C026A6" w:rsidRPr="00EA59C0">
        <w:t xml:space="preserve"> </w:t>
      </w:r>
      <w:r w:rsidRPr="00EA59C0">
        <w:t>all</w:t>
      </w:r>
      <w:r w:rsidR="00C026A6" w:rsidRPr="00EA59C0">
        <w:t xml:space="preserve"> </w:t>
      </w:r>
      <w:r w:rsidRPr="00EA59C0">
        <w:t>of</w:t>
      </w:r>
      <w:r w:rsidR="00C026A6" w:rsidRPr="00EA59C0">
        <w:t xml:space="preserve"> </w:t>
      </w:r>
      <w:r w:rsidRPr="00EA59C0">
        <w:t>the</w:t>
      </w:r>
      <w:r w:rsidR="00C026A6" w:rsidRPr="00EA59C0">
        <w:t xml:space="preserve"> </w:t>
      </w:r>
      <w:r w:rsidRPr="00EA59C0">
        <w:t>information</w:t>
      </w:r>
      <w:r w:rsidR="00C026A6" w:rsidRPr="00EA59C0">
        <w:t xml:space="preserve"> </w:t>
      </w:r>
      <w:r w:rsidRPr="00EA59C0">
        <w:t>needed</w:t>
      </w:r>
      <w:r w:rsidR="00C026A6" w:rsidRPr="00EA59C0">
        <w:t xml:space="preserve"> </w:t>
      </w:r>
      <w:r w:rsidRPr="00EA59C0">
        <w:t>to</w:t>
      </w:r>
      <w:r w:rsidR="00C026A6" w:rsidRPr="00EA59C0">
        <w:t xml:space="preserve"> </w:t>
      </w:r>
      <w:r w:rsidRPr="00EA59C0">
        <w:t>complete</w:t>
      </w:r>
      <w:r w:rsidR="00C026A6" w:rsidRPr="00EA59C0">
        <w:t xml:space="preserve"> </w:t>
      </w:r>
      <w:r w:rsidRPr="00EA59C0">
        <w:t>the</w:t>
      </w:r>
      <w:r w:rsidR="00C026A6" w:rsidRPr="00EA59C0">
        <w:t xml:space="preserve"> </w:t>
      </w:r>
      <w:r w:rsidRPr="00EA59C0">
        <w:t>Project</w:t>
      </w:r>
      <w:r w:rsidR="00C026A6" w:rsidRPr="00EA59C0">
        <w:t xml:space="preserve"> </w:t>
      </w:r>
      <w:r w:rsidRPr="00EA59C0">
        <w:t>Narrative.</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carefully</w:t>
      </w:r>
      <w:r w:rsidR="00C026A6" w:rsidRPr="00EA59C0">
        <w:t xml:space="preserve"> </w:t>
      </w:r>
      <w:r w:rsidRPr="00EA59C0">
        <w:t>read</w:t>
      </w:r>
      <w:r w:rsidR="00C026A6" w:rsidRPr="00EA59C0">
        <w:t xml:space="preserve"> </w:t>
      </w:r>
      <w:r w:rsidRPr="00EA59C0">
        <w:t>and</w:t>
      </w:r>
      <w:r w:rsidR="00C026A6" w:rsidRPr="00EA59C0">
        <w:t xml:space="preserve"> </w:t>
      </w:r>
      <w:r w:rsidRPr="00EA59C0">
        <w:t>consider</w:t>
      </w:r>
      <w:r w:rsidR="00C026A6" w:rsidRPr="00EA59C0">
        <w:t xml:space="preserve"> </w:t>
      </w:r>
      <w:r w:rsidRPr="00EA59C0">
        <w:t>each</w:t>
      </w:r>
      <w:r w:rsidR="00C026A6" w:rsidRPr="00EA59C0">
        <w:t xml:space="preserve"> </w:t>
      </w:r>
      <w:r w:rsidRPr="00EA59C0">
        <w:t>section</w:t>
      </w:r>
      <w:r w:rsidR="00C026A6" w:rsidRPr="00EA59C0">
        <w:t xml:space="preserve"> </w:t>
      </w:r>
      <w:r w:rsidRPr="00EA59C0">
        <w:t>and</w:t>
      </w:r>
      <w:r w:rsidR="00C026A6" w:rsidRPr="00EA59C0">
        <w:t xml:space="preserve"> </w:t>
      </w:r>
      <w:r w:rsidRPr="00EA59C0">
        <w:t>include</w:t>
      </w:r>
      <w:r w:rsidR="00C026A6" w:rsidRPr="00EA59C0">
        <w:t xml:space="preserve"> </w:t>
      </w:r>
      <w:r w:rsidRPr="00EA59C0">
        <w:t>all</w:t>
      </w:r>
      <w:r w:rsidR="00C026A6" w:rsidRPr="00EA59C0">
        <w:t xml:space="preserve"> </w:t>
      </w:r>
      <w:r w:rsidRPr="00EA59C0">
        <w:t>required</w:t>
      </w:r>
      <w:r w:rsidR="00C026A6" w:rsidRPr="00EA59C0">
        <w:t xml:space="preserve"> </w:t>
      </w:r>
      <w:r w:rsidRPr="00EA59C0">
        <w:t>information.</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identify</w:t>
      </w:r>
      <w:r w:rsidR="00C026A6" w:rsidRPr="00EA59C0">
        <w:t xml:space="preserve"> </w:t>
      </w:r>
      <w:r w:rsidRPr="00EA59C0">
        <w:t>the</w:t>
      </w:r>
      <w:r w:rsidR="00C026A6" w:rsidRPr="00EA59C0">
        <w:t xml:space="preserve"> </w:t>
      </w:r>
      <w:r w:rsidRPr="00EA59C0">
        <w:t>member</w:t>
      </w:r>
      <w:r w:rsidR="00C026A6" w:rsidRPr="00EA59C0">
        <w:t xml:space="preserve"> </w:t>
      </w:r>
      <w:r w:rsidRPr="00EA59C0">
        <w:t>institution(s)</w:t>
      </w:r>
      <w:r w:rsidR="00C026A6" w:rsidRPr="00EA59C0">
        <w:t xml:space="preserve"> </w:t>
      </w:r>
      <w:r w:rsidRPr="00EA59C0">
        <w:t>(which</w:t>
      </w:r>
      <w:r w:rsidR="00C026A6" w:rsidRPr="00EA59C0">
        <w:t xml:space="preserve"> </w:t>
      </w:r>
      <w:r w:rsidRPr="00EA59C0">
        <w:t>may</w:t>
      </w:r>
      <w:r w:rsidR="00C026A6" w:rsidRPr="00EA59C0">
        <w:t xml:space="preserve"> </w:t>
      </w:r>
      <w:r w:rsidRPr="00EA59C0">
        <w:t>include</w:t>
      </w:r>
      <w:r w:rsidR="00C026A6" w:rsidRPr="00EA59C0">
        <w:t xml:space="preserve"> </w:t>
      </w:r>
      <w:r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r w:rsidRPr="00EA59C0">
        <w:t>responsible</w:t>
      </w:r>
      <w:r w:rsidR="00C026A6" w:rsidRPr="00EA59C0">
        <w:t xml:space="preserve"> </w:t>
      </w:r>
      <w:r w:rsidRPr="00EA59C0">
        <w:t>for</w:t>
      </w:r>
      <w:r w:rsidR="00C026A6" w:rsidRPr="00EA59C0">
        <w:t xml:space="preserve"> </w:t>
      </w:r>
      <w:r w:rsidRPr="00EA59C0">
        <w:t>each</w:t>
      </w:r>
      <w:r w:rsidR="00C026A6" w:rsidRPr="00EA59C0">
        <w:t xml:space="preserve"> </w:t>
      </w:r>
      <w:r w:rsidRPr="00EA59C0">
        <w:t>activity</w:t>
      </w:r>
      <w:r w:rsidR="00C026A6" w:rsidRPr="00EA59C0">
        <w:t xml:space="preserve"> </w:t>
      </w:r>
      <w:r w:rsidRPr="00EA59C0">
        <w:t>or</w:t>
      </w:r>
      <w:r w:rsidR="00C026A6" w:rsidRPr="00EA59C0">
        <w:t xml:space="preserve"> </w:t>
      </w:r>
      <w:r w:rsidRPr="00EA59C0">
        <w:t>deliverable.</w:t>
      </w:r>
      <w:r w:rsidR="00C026A6" w:rsidRPr="00EA59C0">
        <w:t xml:space="preserve">  </w:t>
      </w:r>
      <w:r w:rsidRPr="00EA59C0">
        <w:t>The</w:t>
      </w:r>
      <w:r w:rsidR="00C026A6" w:rsidRPr="00EA59C0">
        <w:t xml:space="preserve"> </w:t>
      </w:r>
      <w:r w:rsidRPr="00EA59C0">
        <w:t>Project</w:t>
      </w:r>
      <w:r w:rsidR="00C026A6" w:rsidRPr="00EA59C0">
        <w:t xml:space="preserve"> </w:t>
      </w:r>
      <w:r w:rsidRPr="00EA59C0">
        <w:t>Narrative</w:t>
      </w:r>
      <w:r w:rsidR="00C026A6" w:rsidRPr="00EA59C0">
        <w:t xml:space="preserve"> </w:t>
      </w:r>
      <w:r w:rsidRPr="00EA59C0">
        <w:t>will</w:t>
      </w:r>
      <w:r w:rsidR="00C026A6" w:rsidRPr="00EA59C0">
        <w:t xml:space="preserve"> </w:t>
      </w:r>
      <w:r w:rsidRPr="00EA59C0">
        <w:t>be</w:t>
      </w:r>
      <w:r w:rsidR="00C026A6" w:rsidRPr="00EA59C0">
        <w:t xml:space="preserve"> </w:t>
      </w:r>
      <w:r w:rsidRPr="00EA59C0">
        <w:t>evaluated</w:t>
      </w:r>
      <w:r w:rsidR="00C026A6" w:rsidRPr="00EA59C0">
        <w:t xml:space="preserve"> </w:t>
      </w:r>
      <w:r w:rsidRPr="00EA59C0">
        <w:t>using</w:t>
      </w:r>
      <w:r w:rsidR="00C026A6" w:rsidRPr="00EA59C0">
        <w:t xml:space="preserve"> </w:t>
      </w:r>
      <w:r w:rsidRPr="00EA59C0">
        <w:t>the</w:t>
      </w:r>
      <w:r w:rsidR="00C026A6" w:rsidRPr="00EA59C0">
        <w:t xml:space="preserve"> </w:t>
      </w:r>
      <w:r w:rsidRPr="00EA59C0">
        <w:t>evaluation</w:t>
      </w:r>
      <w:r w:rsidR="00C026A6" w:rsidRPr="00EA59C0">
        <w:t xml:space="preserve"> </w:t>
      </w:r>
      <w:r w:rsidRPr="00EA59C0">
        <w:t>criteria</w:t>
      </w:r>
      <w:r w:rsidR="00C026A6" w:rsidRPr="00EA59C0">
        <w:t xml:space="preserve"> </w:t>
      </w:r>
      <w:r w:rsidRPr="00EA59C0">
        <w:t>identified</w:t>
      </w:r>
      <w:r w:rsidR="00C026A6" w:rsidRPr="00EA59C0">
        <w:t xml:space="preserve"> </w:t>
      </w:r>
      <w:r w:rsidRPr="00EA59C0">
        <w:t>in</w:t>
      </w:r>
      <w:r w:rsidR="00C026A6" w:rsidRPr="00EA59C0">
        <w:t xml:space="preserve"> </w:t>
      </w:r>
      <w:r w:rsidRPr="00EA59C0">
        <w:t>Section</w:t>
      </w:r>
      <w:r w:rsidR="00C026A6" w:rsidRPr="00EA59C0">
        <w:t xml:space="preserve"> </w:t>
      </w:r>
      <w:r w:rsidRPr="00EA59C0">
        <w:t>V.A.</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use</w:t>
      </w:r>
      <w:r w:rsidR="00C026A6" w:rsidRPr="00EA59C0">
        <w:t xml:space="preserve"> </w:t>
      </w:r>
      <w:r w:rsidRPr="00EA59C0">
        <w:t>the</w:t>
      </w:r>
      <w:r w:rsidR="00C026A6" w:rsidRPr="00EA59C0">
        <w:t xml:space="preserve"> </w:t>
      </w:r>
      <w:r w:rsidRPr="00EA59C0">
        <w:t>same</w:t>
      </w:r>
      <w:r w:rsidR="00C026A6" w:rsidRPr="00EA59C0">
        <w:t xml:space="preserve"> </w:t>
      </w:r>
      <w:r w:rsidRPr="00EA59C0">
        <w:t>section</w:t>
      </w:r>
      <w:r w:rsidR="00C026A6" w:rsidRPr="00EA59C0">
        <w:t xml:space="preserve"> </w:t>
      </w:r>
      <w:r w:rsidRPr="00EA59C0">
        <w:t>headers</w:t>
      </w:r>
      <w:r w:rsidR="00C026A6" w:rsidRPr="00EA59C0">
        <w:t xml:space="preserve"> </w:t>
      </w:r>
      <w:r w:rsidRPr="00EA59C0">
        <w:t>identified</w:t>
      </w:r>
      <w:r w:rsidR="00C026A6" w:rsidRPr="00EA59C0">
        <w:t xml:space="preserve"> </w:t>
      </w:r>
      <w:r w:rsidRPr="00EA59C0">
        <w:t>below</w:t>
      </w:r>
      <w:r w:rsidR="00C026A6" w:rsidRPr="00EA59C0">
        <w:t xml:space="preserve"> </w:t>
      </w:r>
      <w:r w:rsidRPr="00EA59C0">
        <w:t>for</w:t>
      </w:r>
      <w:r w:rsidR="00C026A6" w:rsidRPr="00EA59C0">
        <w:t xml:space="preserve"> </w:t>
      </w:r>
      <w:r w:rsidRPr="00EA59C0">
        <w:t>each</w:t>
      </w:r>
      <w:r w:rsidR="00C026A6" w:rsidRPr="00EA59C0">
        <w:t xml:space="preserve"> </w:t>
      </w:r>
      <w:r w:rsidRPr="00EA59C0">
        <w:t>sec</w:t>
      </w:r>
      <w:r w:rsidR="00924165" w:rsidRPr="00EA59C0">
        <w:t>tion</w:t>
      </w:r>
      <w:r w:rsidR="00C026A6" w:rsidRPr="00EA59C0">
        <w:t xml:space="preserve"> </w:t>
      </w:r>
      <w:r w:rsidR="00924165" w:rsidRPr="00EA59C0">
        <w:t>of</w:t>
      </w:r>
      <w:r w:rsidR="00C026A6" w:rsidRPr="00EA59C0">
        <w:t xml:space="preserve"> </w:t>
      </w:r>
      <w:r w:rsidR="00924165" w:rsidRPr="00EA59C0">
        <w:t>their</w:t>
      </w:r>
      <w:r w:rsidR="00C026A6" w:rsidRPr="00EA59C0">
        <w:t xml:space="preserve"> </w:t>
      </w:r>
      <w:r w:rsidR="00924165" w:rsidRPr="00EA59C0">
        <w:t>Project</w:t>
      </w:r>
      <w:r w:rsidR="00C026A6" w:rsidRPr="00EA59C0">
        <w:t xml:space="preserve"> </w:t>
      </w:r>
      <w:r w:rsidR="00924165" w:rsidRPr="00EA59C0">
        <w:t>Narrative.</w:t>
      </w:r>
    </w:p>
    <w:p w:rsidR="008642F8" w:rsidRPr="00EA59C0" w:rsidRDefault="008642F8" w:rsidP="00C072FA">
      <w:pPr>
        <w:ind w:left="720"/>
      </w:pPr>
    </w:p>
    <w:p w:rsidR="005059E9" w:rsidRPr="00EA59C0" w:rsidRDefault="005059E9" w:rsidP="00CA037B">
      <w:pPr>
        <w:pStyle w:val="Heading2"/>
        <w:numPr>
          <w:ilvl w:val="3"/>
          <w:numId w:val="17"/>
        </w:numPr>
        <w:rPr>
          <w:rFonts w:ascii="Times New Roman" w:hAnsi="Times New Roman"/>
          <w:i w:val="0"/>
        </w:rPr>
      </w:pPr>
      <w:r w:rsidRPr="00EA59C0">
        <w:rPr>
          <w:rFonts w:ascii="Times New Roman" w:hAnsi="Times New Roman"/>
          <w:i w:val="0"/>
        </w:rPr>
        <w:t>Preparing</w:t>
      </w:r>
      <w:r w:rsidR="00C026A6" w:rsidRPr="00EA59C0">
        <w:rPr>
          <w:rFonts w:ascii="Times New Roman" w:hAnsi="Times New Roman"/>
          <w:i w:val="0"/>
        </w:rPr>
        <w:t xml:space="preserve"> </w:t>
      </w:r>
      <w:r w:rsidRPr="00EA59C0">
        <w:rPr>
          <w:rFonts w:ascii="Times New Roman" w:hAnsi="Times New Roman"/>
          <w:i w:val="0"/>
        </w:rPr>
        <w:t>the</w:t>
      </w:r>
      <w:r w:rsidR="00C026A6" w:rsidRPr="00EA59C0">
        <w:rPr>
          <w:rFonts w:ascii="Times New Roman" w:hAnsi="Times New Roman"/>
          <w:i w:val="0"/>
        </w:rPr>
        <w:t xml:space="preserve"> </w:t>
      </w:r>
      <w:r w:rsidRPr="00EA59C0">
        <w:rPr>
          <w:rFonts w:ascii="Times New Roman" w:hAnsi="Times New Roman"/>
          <w:i w:val="0"/>
        </w:rPr>
        <w:t>Project</w:t>
      </w:r>
      <w:r w:rsidR="00C026A6" w:rsidRPr="00EA59C0">
        <w:rPr>
          <w:rFonts w:ascii="Times New Roman" w:hAnsi="Times New Roman"/>
          <w:i w:val="0"/>
        </w:rPr>
        <w:t xml:space="preserve"> </w:t>
      </w:r>
      <w:r w:rsidRPr="00EA59C0">
        <w:rPr>
          <w:rFonts w:ascii="Times New Roman" w:hAnsi="Times New Roman"/>
          <w:i w:val="0"/>
        </w:rPr>
        <w:t>Narrative</w:t>
      </w:r>
    </w:p>
    <w:p w:rsidR="00655531" w:rsidRPr="00EA59C0" w:rsidRDefault="00D81847" w:rsidP="00C072FA">
      <w:pPr>
        <w:pStyle w:val="ListParagraph"/>
        <w:numPr>
          <w:ilvl w:val="4"/>
          <w:numId w:val="17"/>
        </w:numPr>
        <w:rPr>
          <w:b/>
        </w:rPr>
      </w:pPr>
      <w:r w:rsidRPr="00EA59C0">
        <w:rPr>
          <w:b/>
        </w:rPr>
        <w:t>Statement</w:t>
      </w:r>
      <w:r w:rsidR="00C026A6" w:rsidRPr="00EA59C0">
        <w:rPr>
          <w:b/>
        </w:rPr>
        <w:t xml:space="preserve"> </w:t>
      </w:r>
      <w:r w:rsidRPr="00EA59C0">
        <w:rPr>
          <w:b/>
        </w:rPr>
        <w:t>of</w:t>
      </w:r>
      <w:r w:rsidR="00C026A6" w:rsidRPr="00EA59C0">
        <w:rPr>
          <w:b/>
        </w:rPr>
        <w:t xml:space="preserve"> </w:t>
      </w:r>
      <w:r w:rsidRPr="00EA59C0">
        <w:rPr>
          <w:b/>
        </w:rPr>
        <w:t>Need</w:t>
      </w:r>
      <w:r w:rsidR="00C026A6" w:rsidRPr="00EA59C0">
        <w:rPr>
          <w:b/>
        </w:rPr>
        <w:t xml:space="preserve"> </w:t>
      </w:r>
    </w:p>
    <w:p w:rsidR="00813514" w:rsidRPr="00EA59C0" w:rsidRDefault="00813514" w:rsidP="00C072FA">
      <w:pPr>
        <w:pStyle w:val="ListParagraph"/>
        <w:ind w:left="1800"/>
      </w:pPr>
      <w:r w:rsidRPr="00EA59C0">
        <w:t>The</w:t>
      </w:r>
      <w:r w:rsidR="00C026A6" w:rsidRPr="00EA59C0">
        <w:t xml:space="preserve"> </w:t>
      </w:r>
      <w:r w:rsidRPr="00EA59C0">
        <w:t>applicant</w:t>
      </w:r>
      <w:r w:rsidR="00C026A6" w:rsidRPr="00EA59C0">
        <w:t xml:space="preserve"> </w:t>
      </w:r>
      <w:r w:rsidRPr="00EA59C0">
        <w:t>must</w:t>
      </w:r>
      <w:r w:rsidR="00C026A6" w:rsidRPr="00EA59C0">
        <w:t xml:space="preserve"> </w:t>
      </w:r>
      <w:r w:rsidRPr="00EA59C0">
        <w:t>describe</w:t>
      </w:r>
      <w:r w:rsidR="00C026A6" w:rsidRPr="00EA59C0">
        <w:t xml:space="preserve"> </w:t>
      </w:r>
      <w:r w:rsidRPr="00EA59C0">
        <w:t>how</w:t>
      </w:r>
      <w:r w:rsidR="00C026A6" w:rsidRPr="00EA59C0">
        <w:t xml:space="preserve"> </w:t>
      </w:r>
      <w:r w:rsidRPr="00EA59C0">
        <w:t>the</w:t>
      </w:r>
      <w:r w:rsidR="00C026A6" w:rsidRPr="00EA59C0">
        <w:t xml:space="preserve"> </w:t>
      </w:r>
      <w:r w:rsidRPr="00EA59C0">
        <w:t>proposal</w:t>
      </w:r>
      <w:r w:rsidR="00C026A6" w:rsidRPr="00EA59C0">
        <w:t xml:space="preserve"> </w:t>
      </w:r>
      <w:r w:rsidRPr="00EA59C0">
        <w:t>will</w:t>
      </w:r>
      <w:r w:rsidR="00C026A6" w:rsidRPr="00EA59C0">
        <w:t xml:space="preserve"> </w:t>
      </w:r>
      <w:r w:rsidRPr="00EA59C0">
        <w:t>meet</w:t>
      </w:r>
      <w:r w:rsidR="00C026A6" w:rsidRPr="00EA59C0">
        <w:t xml:space="preserve"> </w:t>
      </w:r>
      <w:r w:rsidRPr="00EA59C0">
        <w:t>the</w:t>
      </w:r>
      <w:r w:rsidR="00C026A6" w:rsidRPr="00EA59C0">
        <w:t xml:space="preserve"> </w:t>
      </w:r>
      <w:r w:rsidRPr="00EA59C0">
        <w:t>need</w:t>
      </w:r>
      <w:r w:rsidR="00C026A6" w:rsidRPr="00EA59C0">
        <w:t xml:space="preserve"> </w:t>
      </w:r>
      <w:r w:rsidRPr="00EA59C0">
        <w:t>to</w:t>
      </w:r>
      <w:r w:rsidR="00C026A6" w:rsidRPr="00EA59C0">
        <w:t xml:space="preserve"> </w:t>
      </w:r>
      <w:r w:rsidRPr="00EA59C0">
        <w:t>expand</w:t>
      </w:r>
      <w:r w:rsidR="00C026A6" w:rsidRPr="00EA59C0">
        <w:t xml:space="preserve"> </w:t>
      </w:r>
      <w:r w:rsidRPr="00EA59C0">
        <w:t>and</w:t>
      </w:r>
      <w:r w:rsidR="00C026A6" w:rsidRPr="00EA59C0">
        <w:t xml:space="preserve"> </w:t>
      </w:r>
      <w:r w:rsidRPr="00EA59C0">
        <w:t>improve</w:t>
      </w:r>
      <w:r w:rsidR="00C026A6" w:rsidRPr="00EA59C0">
        <w:t xml:space="preserve"> </w:t>
      </w:r>
      <w:r w:rsidRPr="00EA59C0">
        <w:t>the</w:t>
      </w:r>
      <w:r w:rsidR="00C026A6" w:rsidRPr="00EA59C0">
        <w:t xml:space="preserve"> </w:t>
      </w:r>
      <w:r w:rsidRPr="00EA59C0">
        <w:t>ability</w:t>
      </w:r>
      <w:r w:rsidR="00C026A6" w:rsidRPr="00EA59C0">
        <w:t xml:space="preserve"> </w:t>
      </w:r>
      <w:r w:rsidRPr="00EA59C0">
        <w:t>of</w:t>
      </w:r>
      <w:r w:rsidR="00C026A6" w:rsidRPr="00EA59C0">
        <w:t xml:space="preserve"> </w:t>
      </w:r>
      <w:r w:rsidRPr="00EA59C0">
        <w:t>eligible</w:t>
      </w:r>
      <w:r w:rsidR="00C026A6" w:rsidRPr="00EA59C0">
        <w:t xml:space="preserve"> </w:t>
      </w:r>
      <w:r w:rsidRPr="00EA59C0">
        <w:t>institutions</w:t>
      </w:r>
      <w:r w:rsidR="00C026A6" w:rsidRPr="00EA59C0">
        <w:t xml:space="preserve"> </w:t>
      </w:r>
      <w:r w:rsidRPr="00EA59C0">
        <w:t>to</w:t>
      </w:r>
      <w:r w:rsidR="00C026A6" w:rsidRPr="00EA59C0">
        <w:t xml:space="preserve"> </w:t>
      </w:r>
      <w:r w:rsidRPr="00EA59C0">
        <w:t>deliver</w:t>
      </w:r>
      <w:r w:rsidR="00C026A6" w:rsidRPr="00EA59C0">
        <w:t xml:space="preserve"> </w:t>
      </w:r>
      <w:r w:rsidRPr="00EA59C0">
        <w:t>education</w:t>
      </w:r>
      <w:r w:rsidR="00C026A6" w:rsidRPr="00EA59C0">
        <w:t xml:space="preserve"> </w:t>
      </w:r>
      <w:r w:rsidRPr="00EA59C0">
        <w:t>and</w:t>
      </w:r>
      <w:r w:rsidR="00C026A6" w:rsidRPr="00EA59C0">
        <w:t xml:space="preserve"> </w:t>
      </w:r>
      <w:r w:rsidRPr="00EA59C0">
        <w:t>career</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to</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and</w:t>
      </w:r>
      <w:r w:rsidR="00C026A6" w:rsidRPr="00EA59C0">
        <w:t xml:space="preserve"> </w:t>
      </w:r>
      <w:r w:rsidRPr="00EA59C0">
        <w:t>other</w:t>
      </w:r>
      <w:r w:rsidR="00C026A6" w:rsidRPr="00EA59C0">
        <w:t xml:space="preserve"> </w:t>
      </w:r>
      <w:r w:rsidRPr="00EA59C0">
        <w:t>adults</w:t>
      </w:r>
      <w:r w:rsidR="00C026A6" w:rsidRPr="00EA59C0">
        <w:t xml:space="preserve"> </w:t>
      </w:r>
      <w:r w:rsidRPr="00EA59C0">
        <w:t>who</w:t>
      </w:r>
      <w:r w:rsidR="00C026A6" w:rsidRPr="00EA59C0">
        <w:t xml:space="preserve"> </w:t>
      </w:r>
      <w:r w:rsidRPr="00EA59C0">
        <w:t>enter</w:t>
      </w:r>
      <w:r w:rsidR="00C026A6" w:rsidRPr="00EA59C0">
        <w:t xml:space="preserve"> </w:t>
      </w:r>
      <w:r w:rsidRPr="00EA59C0">
        <w:t>their</w:t>
      </w:r>
      <w:r w:rsidR="00C026A6" w:rsidRPr="00EA59C0">
        <w:t xml:space="preserve"> </w:t>
      </w:r>
      <w:r w:rsidRPr="00EA59C0">
        <w:t>programs</w:t>
      </w:r>
      <w:r w:rsidR="00C026A6" w:rsidRPr="00EA59C0">
        <w:t xml:space="preserve"> </w:t>
      </w:r>
      <w:r w:rsidRPr="00EA59C0">
        <w:t>in</w:t>
      </w:r>
      <w:r w:rsidR="00C026A6" w:rsidRPr="00EA59C0">
        <w:t xml:space="preserve"> </w:t>
      </w:r>
      <w:r w:rsidRPr="00EA59C0">
        <w:t>the</w:t>
      </w:r>
      <w:r w:rsidR="00C026A6" w:rsidRPr="00EA59C0">
        <w:t xml:space="preserve"> </w:t>
      </w:r>
      <w:r w:rsidR="0047440E" w:rsidRPr="00EA59C0">
        <w:t>region(</w:t>
      </w:r>
      <w:r w:rsidRPr="00EA59C0">
        <w:t>s</w:t>
      </w:r>
      <w:r w:rsidR="0047440E" w:rsidRPr="00EA59C0">
        <w:t>)</w:t>
      </w:r>
      <w:r w:rsidR="00C026A6" w:rsidRPr="00EA59C0">
        <w:t xml:space="preserve"> </w:t>
      </w:r>
      <w:r w:rsidRPr="00EA59C0">
        <w:t>to</w:t>
      </w:r>
      <w:r w:rsidR="00C026A6" w:rsidRPr="00EA59C0">
        <w:t xml:space="preserve"> </w:t>
      </w:r>
      <w:r w:rsidRPr="00EA59C0">
        <w:t>be</w:t>
      </w:r>
      <w:r w:rsidR="00C026A6" w:rsidRPr="00EA59C0">
        <w:t xml:space="preserve"> </w:t>
      </w:r>
      <w:r w:rsidRPr="00EA59C0">
        <w:t>served.</w:t>
      </w:r>
      <w:r w:rsidR="00C026A6" w:rsidRPr="00EA59C0">
        <w:t xml:space="preserve">    </w:t>
      </w:r>
    </w:p>
    <w:p w:rsidR="00A55D64" w:rsidRPr="00EA59C0" w:rsidRDefault="00A55D64" w:rsidP="00C072FA">
      <w:pPr>
        <w:pStyle w:val="ListParagraph"/>
        <w:ind w:left="1080"/>
      </w:pPr>
    </w:p>
    <w:p w:rsidR="00A5119B" w:rsidRPr="00EA59C0" w:rsidRDefault="00A5119B" w:rsidP="00C072FA">
      <w:pPr>
        <w:pStyle w:val="ListParagraph"/>
        <w:numPr>
          <w:ilvl w:val="5"/>
          <w:numId w:val="17"/>
        </w:numPr>
        <w:rPr>
          <w:b/>
        </w:rPr>
      </w:pPr>
      <w:r w:rsidRPr="00EA59C0">
        <w:rPr>
          <w:b/>
        </w:rPr>
        <w:t>Serving</w:t>
      </w:r>
      <w:r w:rsidR="00C026A6" w:rsidRPr="00EA59C0">
        <w:rPr>
          <w:b/>
        </w:rPr>
        <w:t xml:space="preserve"> </w:t>
      </w:r>
      <w:r w:rsidRPr="00EA59C0">
        <w:rPr>
          <w:b/>
        </w:rPr>
        <w:t>the</w:t>
      </w:r>
      <w:r w:rsidR="00C026A6" w:rsidRPr="00EA59C0">
        <w:rPr>
          <w:b/>
        </w:rPr>
        <w:t xml:space="preserve"> </w:t>
      </w:r>
      <w:r w:rsidRPr="00EA59C0">
        <w:rPr>
          <w:b/>
        </w:rPr>
        <w:t>Education</w:t>
      </w:r>
      <w:r w:rsidR="00C026A6" w:rsidRPr="00EA59C0">
        <w:rPr>
          <w:b/>
        </w:rPr>
        <w:t xml:space="preserve"> </w:t>
      </w:r>
      <w:r w:rsidRPr="00EA59C0">
        <w:rPr>
          <w:b/>
        </w:rPr>
        <w:t>and</w:t>
      </w:r>
      <w:r w:rsidR="00C026A6" w:rsidRPr="00EA59C0">
        <w:rPr>
          <w:b/>
        </w:rPr>
        <w:t xml:space="preserve"> </w:t>
      </w:r>
      <w:r w:rsidRPr="00EA59C0">
        <w:rPr>
          <w:b/>
        </w:rPr>
        <w:t>Training</w:t>
      </w:r>
      <w:r w:rsidR="00C026A6" w:rsidRPr="00EA59C0">
        <w:rPr>
          <w:b/>
        </w:rPr>
        <w:t xml:space="preserve"> </w:t>
      </w:r>
      <w:r w:rsidRPr="00EA59C0">
        <w:rPr>
          <w:b/>
        </w:rPr>
        <w:t>Needs</w:t>
      </w:r>
      <w:r w:rsidR="00C026A6" w:rsidRPr="00EA59C0">
        <w:rPr>
          <w:b/>
        </w:rPr>
        <w:t xml:space="preserve"> </w:t>
      </w:r>
      <w:r w:rsidRPr="00EA59C0">
        <w:rPr>
          <w:b/>
        </w:rPr>
        <w:t>of</w:t>
      </w:r>
      <w:r w:rsidR="00C026A6" w:rsidRPr="00EA59C0">
        <w:rPr>
          <w:b/>
        </w:rPr>
        <w:t xml:space="preserve"> </w:t>
      </w:r>
      <w:r w:rsidRPr="00EA59C0">
        <w:rPr>
          <w:b/>
        </w:rPr>
        <w:t>TAA-Eligible</w:t>
      </w:r>
      <w:r w:rsidR="00C026A6" w:rsidRPr="00EA59C0">
        <w:rPr>
          <w:b/>
        </w:rPr>
        <w:t xml:space="preserve"> </w:t>
      </w:r>
      <w:r w:rsidRPr="00EA59C0">
        <w:rPr>
          <w:b/>
        </w:rPr>
        <w:t>Workers</w:t>
      </w:r>
    </w:p>
    <w:p w:rsidR="00A5119B" w:rsidRPr="00EA59C0" w:rsidRDefault="00A5119B" w:rsidP="00C072FA">
      <w:pPr>
        <w:pStyle w:val="ListParagraph"/>
        <w:ind w:left="1800"/>
      </w:pPr>
      <w:r w:rsidRPr="00EA59C0">
        <w:t>Applicants</w:t>
      </w:r>
      <w:r w:rsidR="00C026A6" w:rsidRPr="00EA59C0">
        <w:t xml:space="preserve"> </w:t>
      </w:r>
      <w:r w:rsidRPr="00EA59C0">
        <w:t>must</w:t>
      </w:r>
      <w:r w:rsidR="00C026A6" w:rsidRPr="00EA59C0">
        <w:t xml:space="preserve"> </w:t>
      </w:r>
      <w:r w:rsidRPr="00EA59C0">
        <w:t>provide</w:t>
      </w:r>
      <w:r w:rsidR="00C026A6" w:rsidRPr="00EA59C0">
        <w:t xml:space="preserve"> </w:t>
      </w:r>
      <w:r w:rsidRPr="00EA59C0">
        <w:t>detailed</w:t>
      </w:r>
      <w:r w:rsidR="00C026A6" w:rsidRPr="00EA59C0">
        <w:t xml:space="preserve"> </w:t>
      </w:r>
      <w:r w:rsidRPr="00EA59C0">
        <w:t>evidence</w:t>
      </w:r>
      <w:r w:rsidR="00C026A6" w:rsidRPr="00EA59C0">
        <w:t xml:space="preserve"> </w:t>
      </w:r>
      <w:r w:rsidRPr="00EA59C0">
        <w:t>of</w:t>
      </w:r>
      <w:r w:rsidR="00C026A6" w:rsidRPr="00EA59C0">
        <w:t xml:space="preserve"> </w:t>
      </w:r>
      <w:r w:rsidRPr="00EA59C0">
        <w:t>how</w:t>
      </w:r>
      <w:r w:rsidR="00C026A6" w:rsidRPr="00EA59C0">
        <w:t xml:space="preserve"> </w:t>
      </w:r>
      <w:r w:rsidRPr="00EA59C0">
        <w:t>they</w:t>
      </w:r>
      <w:r w:rsidR="00C026A6" w:rsidRPr="00EA59C0">
        <w:t xml:space="preserve"> </w:t>
      </w:r>
      <w:r w:rsidRPr="00EA59C0">
        <w:t>will</w:t>
      </w:r>
      <w:r w:rsidR="00C026A6" w:rsidRPr="00EA59C0">
        <w:t xml:space="preserve"> </w:t>
      </w:r>
      <w:r w:rsidRPr="00EA59C0">
        <w:t>serve</w:t>
      </w:r>
      <w:r w:rsidR="00C026A6" w:rsidRPr="00EA59C0">
        <w:t xml:space="preserve"> </w:t>
      </w:r>
      <w:r w:rsidRPr="00EA59C0">
        <w:t>the</w:t>
      </w:r>
      <w:r w:rsidR="00C026A6" w:rsidRPr="00EA59C0">
        <w:t xml:space="preserve"> </w:t>
      </w:r>
      <w:r w:rsidRPr="00EA59C0">
        <w:t>needs</w:t>
      </w:r>
      <w:r w:rsidR="00C026A6" w:rsidRPr="00EA59C0">
        <w:t xml:space="preserve"> </w:t>
      </w:r>
      <w:r w:rsidRPr="00EA59C0">
        <w:t>of</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in</w:t>
      </w:r>
      <w:r w:rsidR="00C026A6" w:rsidRPr="00EA59C0">
        <w:t xml:space="preserve"> </w:t>
      </w:r>
      <w:r w:rsidRPr="00EA59C0">
        <w:t>the</w:t>
      </w:r>
      <w:r w:rsidR="00C026A6" w:rsidRPr="00EA59C0">
        <w:t xml:space="preserve"> </w:t>
      </w:r>
      <w:r w:rsidRPr="00EA59C0">
        <w:t>following</w:t>
      </w:r>
      <w:r w:rsidR="00C026A6" w:rsidRPr="00EA59C0">
        <w:t xml:space="preserve"> </w:t>
      </w:r>
      <w:r w:rsidRPr="00EA59C0">
        <w:t>areas:</w:t>
      </w:r>
    </w:p>
    <w:p w:rsidR="00CC2804" w:rsidRPr="00EA59C0" w:rsidRDefault="00CC2804" w:rsidP="00C072FA">
      <w:pPr>
        <w:pStyle w:val="ListParagraph"/>
        <w:ind w:left="1800"/>
      </w:pPr>
    </w:p>
    <w:p w:rsidR="00A5119B" w:rsidRPr="00EA59C0" w:rsidRDefault="00A5119B" w:rsidP="00C072FA">
      <w:pPr>
        <w:pStyle w:val="ListParagraph"/>
        <w:numPr>
          <w:ilvl w:val="6"/>
          <w:numId w:val="17"/>
        </w:numPr>
      </w:pPr>
      <w:r w:rsidRPr="00EA59C0">
        <w:t>Describe</w:t>
      </w:r>
      <w:r w:rsidR="00C026A6" w:rsidRPr="00EA59C0">
        <w:t xml:space="preserve"> </w:t>
      </w:r>
      <w:r w:rsidRPr="00EA59C0">
        <w:t>the</w:t>
      </w:r>
      <w:r w:rsidR="00C026A6" w:rsidRPr="00EA59C0">
        <w:t xml:space="preserve"> </w:t>
      </w:r>
      <w:r w:rsidRPr="00EA59C0">
        <w:t>impact</w:t>
      </w:r>
      <w:r w:rsidR="00C026A6" w:rsidRPr="00EA59C0">
        <w:t xml:space="preserve"> </w:t>
      </w:r>
      <w:r w:rsidRPr="00EA59C0">
        <w:t>of</w:t>
      </w:r>
      <w:r w:rsidR="00C026A6" w:rsidRPr="00EA59C0">
        <w:t xml:space="preserve"> </w:t>
      </w:r>
      <w:r w:rsidRPr="00EA59C0">
        <w:t>foreign</w:t>
      </w:r>
      <w:r w:rsidR="00C026A6" w:rsidRPr="00EA59C0">
        <w:t xml:space="preserve"> </w:t>
      </w:r>
      <w:r w:rsidRPr="00EA59C0">
        <w:t>trade.</w:t>
      </w:r>
      <w:r w:rsidR="00C026A6" w:rsidRPr="00EA59C0">
        <w:t xml:space="preserve">  </w:t>
      </w:r>
      <w:r w:rsidRPr="00EA59C0">
        <w:t>Identify</w:t>
      </w:r>
      <w:r w:rsidR="00C026A6" w:rsidRPr="00EA59C0">
        <w:t xml:space="preserve"> </w:t>
      </w:r>
      <w:r w:rsidRPr="00EA59C0">
        <w:t>one</w:t>
      </w:r>
      <w:r w:rsidR="00C026A6" w:rsidRPr="00EA59C0">
        <w:t xml:space="preserve"> </w:t>
      </w:r>
      <w:r w:rsidRPr="00EA59C0">
        <w:t>or</w:t>
      </w:r>
      <w:r w:rsidR="00C026A6" w:rsidRPr="00EA59C0">
        <w:t xml:space="preserve"> </w:t>
      </w:r>
      <w:r w:rsidRPr="00EA59C0">
        <w:t>more</w:t>
      </w:r>
      <w:r w:rsidR="00C026A6" w:rsidRPr="00EA59C0">
        <w:t xml:space="preserve"> </w:t>
      </w:r>
      <w:r w:rsidRPr="00EA59C0">
        <w:t>TAA</w:t>
      </w:r>
      <w:r w:rsidR="00C026A6" w:rsidRPr="00EA59C0">
        <w:t xml:space="preserve"> </w:t>
      </w:r>
      <w:r w:rsidRPr="00EA59C0">
        <w:t>Certification</w:t>
      </w:r>
      <w:r w:rsidR="00C026A6" w:rsidRPr="00EA59C0">
        <w:t xml:space="preserve"> </w:t>
      </w:r>
      <w:r w:rsidRPr="00EA59C0">
        <w:t>determinations</w:t>
      </w:r>
      <w:r w:rsidR="00C026A6" w:rsidRPr="00EA59C0">
        <w:t xml:space="preserve"> </w:t>
      </w:r>
      <w:r w:rsidRPr="00EA59C0">
        <w:t>(by</w:t>
      </w:r>
      <w:r w:rsidR="00C026A6" w:rsidRPr="00EA59C0">
        <w:t xml:space="preserve"> </w:t>
      </w:r>
      <w:r w:rsidRPr="00EA59C0">
        <w:t>providing</w:t>
      </w:r>
      <w:r w:rsidR="00C026A6" w:rsidRPr="00EA59C0">
        <w:t xml:space="preserve"> </w:t>
      </w:r>
      <w:r w:rsidRPr="00EA59C0">
        <w:t>the</w:t>
      </w:r>
      <w:r w:rsidR="00C026A6" w:rsidRPr="00EA59C0">
        <w:t xml:space="preserve"> </w:t>
      </w:r>
      <w:r w:rsidRPr="00EA59C0">
        <w:t>TAA</w:t>
      </w:r>
      <w:r w:rsidR="00C026A6" w:rsidRPr="00EA59C0">
        <w:t xml:space="preserve"> </w:t>
      </w:r>
      <w:r w:rsidRPr="00EA59C0">
        <w:t>for</w:t>
      </w:r>
      <w:r w:rsidR="00C026A6" w:rsidRPr="00EA59C0">
        <w:t xml:space="preserve"> </w:t>
      </w:r>
      <w:r w:rsidRPr="00EA59C0">
        <w:t>Workers</w:t>
      </w:r>
      <w:r w:rsidR="00C026A6" w:rsidRPr="00EA59C0">
        <w:t xml:space="preserve"> </w:t>
      </w:r>
      <w:r w:rsidRPr="00EA59C0">
        <w:t>(TA-W)</w:t>
      </w:r>
      <w:r w:rsidR="00C026A6" w:rsidRPr="00EA59C0">
        <w:t xml:space="preserve"> </w:t>
      </w:r>
      <w:r w:rsidRPr="00EA59C0">
        <w:t>Number,</w:t>
      </w:r>
      <w:r w:rsidR="00C026A6" w:rsidRPr="00EA59C0">
        <w:t xml:space="preserve"> </w:t>
      </w:r>
      <w:r w:rsidRPr="00EA59C0">
        <w:t>company</w:t>
      </w:r>
      <w:r w:rsidR="00C026A6" w:rsidRPr="00EA59C0">
        <w:t xml:space="preserve"> </w:t>
      </w:r>
      <w:r w:rsidRPr="00EA59C0">
        <w:t>name,</w:t>
      </w:r>
      <w:r w:rsidR="00C026A6" w:rsidRPr="00EA59C0">
        <w:t xml:space="preserve"> </w:t>
      </w:r>
      <w:r w:rsidRPr="00EA59C0">
        <w:t>and</w:t>
      </w:r>
      <w:r w:rsidR="00C026A6" w:rsidRPr="00EA59C0">
        <w:t xml:space="preserve"> </w:t>
      </w:r>
      <w:r w:rsidRPr="00EA59C0">
        <w:t>decision</w:t>
      </w:r>
      <w:r w:rsidR="00C026A6" w:rsidRPr="00EA59C0">
        <w:t xml:space="preserve"> </w:t>
      </w:r>
      <w:r w:rsidRPr="00EA59C0">
        <w:t>date)</w:t>
      </w:r>
      <w:r w:rsidR="00C026A6" w:rsidRPr="00EA59C0">
        <w:t xml:space="preserve"> </w:t>
      </w:r>
      <w:r w:rsidRPr="00EA59C0">
        <w:t>in</w:t>
      </w:r>
      <w:r w:rsidR="00C026A6" w:rsidRPr="00EA59C0">
        <w:t xml:space="preserve"> </w:t>
      </w:r>
      <w:r w:rsidRPr="00EA59C0">
        <w:t>the</w:t>
      </w:r>
      <w:r w:rsidR="00C026A6" w:rsidRPr="00EA59C0">
        <w:t xml:space="preserve"> </w:t>
      </w:r>
      <w:r w:rsidR="005C12D8" w:rsidRPr="00EA59C0">
        <w:t>community</w:t>
      </w:r>
      <w:r w:rsidR="00C026A6" w:rsidRPr="00EA59C0">
        <w:t xml:space="preserve"> </w:t>
      </w:r>
      <w:r w:rsidRPr="00EA59C0">
        <w:t>(</w:t>
      </w:r>
      <w:r w:rsidR="005C12D8" w:rsidRPr="00EA59C0">
        <w:t>ie</w:t>
      </w:r>
      <w:r w:rsidRPr="00EA59C0">
        <w:t>s)</w:t>
      </w:r>
      <w:r w:rsidR="00C026A6" w:rsidRPr="00EA59C0">
        <w:t xml:space="preserve"> </w:t>
      </w:r>
      <w:r w:rsidRPr="00EA59C0">
        <w:t>to</w:t>
      </w:r>
      <w:r w:rsidR="00C026A6" w:rsidRPr="00EA59C0">
        <w:t xml:space="preserve"> </w:t>
      </w:r>
      <w:r w:rsidRPr="00EA59C0">
        <w:t>be</w:t>
      </w:r>
      <w:r w:rsidR="00C026A6" w:rsidRPr="00EA59C0">
        <w:t xml:space="preserve"> </w:t>
      </w:r>
      <w:r w:rsidRPr="00EA59C0">
        <w:t>served</w:t>
      </w:r>
      <w:r w:rsidR="00C026A6" w:rsidRPr="00EA59C0">
        <w:t xml:space="preserve"> </w:t>
      </w:r>
      <w:r w:rsidRPr="00EA59C0">
        <w:t>by</w:t>
      </w:r>
      <w:r w:rsidR="00C026A6" w:rsidRPr="00EA59C0">
        <w:t xml:space="preserve"> </w:t>
      </w:r>
      <w:r w:rsidRPr="00EA59C0">
        <w:t>the</w:t>
      </w:r>
      <w:r w:rsidR="00C026A6" w:rsidRPr="00EA59C0">
        <w:t xml:space="preserve"> </w:t>
      </w:r>
      <w:r w:rsidRPr="00EA59C0">
        <w:t>project,</w:t>
      </w:r>
      <w:r w:rsidR="00C026A6" w:rsidRPr="00EA59C0">
        <w:t xml:space="preserve"> </w:t>
      </w:r>
      <w:r w:rsidRPr="00EA59C0">
        <w:t>made</w:t>
      </w:r>
      <w:r w:rsidR="00C026A6" w:rsidRPr="00EA59C0">
        <w:t xml:space="preserve"> </w:t>
      </w:r>
      <w:r w:rsidRPr="00EA59C0">
        <w:t>on</w:t>
      </w:r>
      <w:r w:rsidR="00C026A6" w:rsidRPr="00EA59C0">
        <w:t xml:space="preserve"> </w:t>
      </w:r>
      <w:r w:rsidRPr="00EA59C0">
        <w:t>or</w:t>
      </w:r>
      <w:r w:rsidR="00C026A6" w:rsidRPr="00EA59C0">
        <w:t xml:space="preserve"> </w:t>
      </w:r>
      <w:r w:rsidRPr="00EA59C0">
        <w:t>after</w:t>
      </w:r>
      <w:r w:rsidR="00C026A6" w:rsidRPr="00EA59C0">
        <w:t xml:space="preserve"> </w:t>
      </w:r>
      <w:r w:rsidRPr="00EA59C0">
        <w:t>October</w:t>
      </w:r>
      <w:r w:rsidR="00C026A6" w:rsidRPr="00EA59C0">
        <w:t xml:space="preserve"> </w:t>
      </w:r>
      <w:r w:rsidRPr="00EA59C0">
        <w:t>1,</w:t>
      </w:r>
      <w:r w:rsidR="00C026A6" w:rsidRPr="00EA59C0">
        <w:t xml:space="preserve"> </w:t>
      </w:r>
      <w:r w:rsidRPr="00EA59C0">
        <w:t>2010</w:t>
      </w:r>
      <w:r w:rsidR="00C026A6" w:rsidRPr="00EA59C0">
        <w:t xml:space="preserve"> </w:t>
      </w:r>
      <w:r w:rsidRPr="00EA59C0">
        <w:t>and</w:t>
      </w:r>
      <w:r w:rsidR="00C026A6" w:rsidRPr="00EA59C0">
        <w:t xml:space="preserve"> </w:t>
      </w:r>
      <w:r w:rsidRPr="00EA59C0">
        <w:t>a</w:t>
      </w:r>
      <w:r w:rsidR="00C026A6" w:rsidRPr="00EA59C0">
        <w:t xml:space="preserve"> </w:t>
      </w:r>
      <w:r w:rsidRPr="00EA59C0">
        <w:t>narrative</w:t>
      </w:r>
      <w:r w:rsidR="00C026A6" w:rsidRPr="00EA59C0">
        <w:t xml:space="preserve"> </w:t>
      </w:r>
      <w:r w:rsidRPr="00EA59C0">
        <w:t>that</w:t>
      </w:r>
      <w:r w:rsidR="00C026A6" w:rsidRPr="00EA59C0">
        <w:t xml:space="preserve"> </w:t>
      </w:r>
      <w:r w:rsidRPr="00EA59C0">
        <w:t>describes</w:t>
      </w:r>
      <w:r w:rsidR="00C026A6" w:rsidRPr="00EA59C0">
        <w:t xml:space="preserve"> </w:t>
      </w:r>
      <w:r w:rsidRPr="00EA59C0">
        <w:t>the</w:t>
      </w:r>
      <w:r w:rsidR="00C026A6" w:rsidRPr="00EA59C0">
        <w:t xml:space="preserve"> </w:t>
      </w:r>
      <w:r w:rsidRPr="00EA59C0">
        <w:t>threat</w:t>
      </w:r>
      <w:r w:rsidR="00C026A6" w:rsidRPr="00EA59C0">
        <w:t xml:space="preserve"> </w:t>
      </w:r>
      <w:r w:rsidRPr="00EA59C0">
        <w:t>to,</w:t>
      </w:r>
      <w:r w:rsidR="00C026A6" w:rsidRPr="00EA59C0">
        <w:t xml:space="preserve"> </w:t>
      </w:r>
      <w:r w:rsidRPr="00EA59C0">
        <w:t>or</w:t>
      </w:r>
      <w:r w:rsidR="00C026A6" w:rsidRPr="00EA59C0">
        <w:t xml:space="preserve"> </w:t>
      </w:r>
      <w:r w:rsidRPr="00EA59C0">
        <w:t>the</w:t>
      </w:r>
      <w:r w:rsidR="00C026A6" w:rsidRPr="00EA59C0">
        <w:t xml:space="preserve"> </w:t>
      </w:r>
      <w:r w:rsidRPr="00EA59C0">
        <w:t>loss</w:t>
      </w:r>
      <w:r w:rsidR="00C026A6" w:rsidRPr="00EA59C0">
        <w:t xml:space="preserve"> </w:t>
      </w:r>
      <w:r w:rsidRPr="00EA59C0">
        <w:t>of,</w:t>
      </w:r>
      <w:r w:rsidR="00C026A6" w:rsidRPr="00EA59C0">
        <w:t xml:space="preserve"> </w:t>
      </w:r>
      <w:r w:rsidRPr="00EA59C0">
        <w:t>jobs</w:t>
      </w:r>
      <w:r w:rsidR="00C026A6" w:rsidRPr="00EA59C0">
        <w:t xml:space="preserve"> </w:t>
      </w:r>
      <w:r w:rsidRPr="00EA59C0">
        <w:t>associated</w:t>
      </w:r>
      <w:r w:rsidR="00C026A6" w:rsidRPr="00EA59C0">
        <w:t xml:space="preserve"> </w:t>
      </w:r>
      <w:r w:rsidRPr="00EA59C0">
        <w:t>with</w:t>
      </w:r>
      <w:r w:rsidR="00C026A6" w:rsidRPr="00EA59C0">
        <w:t xml:space="preserve"> </w:t>
      </w:r>
      <w:r w:rsidRPr="00EA59C0">
        <w:t>the</w:t>
      </w:r>
      <w:r w:rsidR="00C026A6" w:rsidRPr="00EA59C0">
        <w:t xml:space="preserve"> </w:t>
      </w:r>
      <w:r w:rsidRPr="00EA59C0">
        <w:t>identified</w:t>
      </w:r>
      <w:r w:rsidR="00C026A6" w:rsidRPr="00EA59C0">
        <w:t xml:space="preserve"> </w:t>
      </w:r>
      <w:r w:rsidRPr="00EA59C0">
        <w:t>certification(s).</w:t>
      </w:r>
      <w:r w:rsidR="00C026A6" w:rsidRPr="00EA59C0">
        <w:t xml:space="preserve">  </w:t>
      </w:r>
      <w:r w:rsidRPr="00EA59C0">
        <w:t>TAA</w:t>
      </w:r>
      <w:r w:rsidR="00C026A6" w:rsidRPr="00EA59C0">
        <w:t xml:space="preserve"> </w:t>
      </w:r>
      <w:r w:rsidRPr="00EA59C0">
        <w:t>for</w:t>
      </w:r>
      <w:r w:rsidR="00C026A6" w:rsidRPr="00EA59C0">
        <w:t xml:space="preserve"> </w:t>
      </w:r>
      <w:r w:rsidRPr="00EA59C0">
        <w:t>Workers</w:t>
      </w:r>
      <w:r w:rsidR="00C026A6" w:rsidRPr="00EA59C0">
        <w:t xml:space="preserve"> </w:t>
      </w:r>
      <w:r w:rsidRPr="00EA59C0">
        <w:t>petition</w:t>
      </w:r>
      <w:r w:rsidR="00C026A6" w:rsidRPr="00EA59C0">
        <w:t xml:space="preserve"> </w:t>
      </w:r>
      <w:r w:rsidRPr="00EA59C0">
        <w:t>determinations</w:t>
      </w:r>
      <w:r w:rsidR="00C026A6" w:rsidRPr="00EA59C0">
        <w:t xml:space="preserve"> </w:t>
      </w:r>
      <w:r w:rsidRPr="00EA59C0">
        <w:t>may</w:t>
      </w:r>
      <w:r w:rsidR="00C026A6" w:rsidRPr="00EA59C0">
        <w:t xml:space="preserve"> </w:t>
      </w:r>
      <w:r w:rsidRPr="00EA59C0">
        <w:t>be</w:t>
      </w:r>
      <w:r w:rsidR="00C026A6" w:rsidRPr="00EA59C0">
        <w:t xml:space="preserve"> </w:t>
      </w:r>
      <w:r w:rsidRPr="00EA59C0">
        <w:t>accessed</w:t>
      </w:r>
      <w:r w:rsidR="00C026A6" w:rsidRPr="00EA59C0">
        <w:t xml:space="preserve"> </w:t>
      </w:r>
      <w:r w:rsidRPr="00EA59C0">
        <w:t>and</w:t>
      </w:r>
      <w:r w:rsidR="00C026A6" w:rsidRPr="00EA59C0">
        <w:t xml:space="preserve"> </w:t>
      </w:r>
      <w:r w:rsidRPr="00EA59C0">
        <w:t>searched</w:t>
      </w:r>
      <w:r w:rsidR="00C026A6" w:rsidRPr="00EA59C0">
        <w:t xml:space="preserve"> </w:t>
      </w:r>
      <w:r w:rsidRPr="00EA59C0">
        <w:t>electronically</w:t>
      </w:r>
      <w:r w:rsidR="00C026A6" w:rsidRPr="00EA59C0">
        <w:t xml:space="preserve"> </w:t>
      </w:r>
      <w:r w:rsidR="002154E8" w:rsidRPr="00EA59C0">
        <w:t>by</w:t>
      </w:r>
      <w:r w:rsidR="00C026A6" w:rsidRPr="00EA59C0">
        <w:t xml:space="preserve"> </w:t>
      </w:r>
      <w:r w:rsidR="002154E8" w:rsidRPr="00EA59C0">
        <w:t>company</w:t>
      </w:r>
      <w:r w:rsidR="00C026A6" w:rsidRPr="00EA59C0">
        <w:t xml:space="preserve"> </w:t>
      </w:r>
      <w:r w:rsidR="002154E8" w:rsidRPr="00EA59C0">
        <w:t>name,</w:t>
      </w:r>
      <w:r w:rsidR="00C026A6" w:rsidRPr="00EA59C0">
        <w:t xml:space="preserve"> </w:t>
      </w:r>
      <w:r w:rsidR="002154E8" w:rsidRPr="00EA59C0">
        <w:t>petition</w:t>
      </w:r>
      <w:r w:rsidR="00C026A6" w:rsidRPr="00EA59C0">
        <w:t xml:space="preserve"> </w:t>
      </w:r>
      <w:r w:rsidR="002154E8" w:rsidRPr="00EA59C0">
        <w:t>number,</w:t>
      </w:r>
      <w:r w:rsidR="00C026A6" w:rsidRPr="00EA59C0">
        <w:t xml:space="preserve"> </w:t>
      </w:r>
      <w:r w:rsidR="002154E8" w:rsidRPr="00EA59C0">
        <w:t>state</w:t>
      </w:r>
      <w:r w:rsidR="00C026A6" w:rsidRPr="00EA59C0">
        <w:t xml:space="preserve"> </w:t>
      </w:r>
      <w:r w:rsidR="002154E8" w:rsidRPr="00EA59C0">
        <w:t>or</w:t>
      </w:r>
      <w:r w:rsidR="00C026A6" w:rsidRPr="00EA59C0">
        <w:t xml:space="preserve"> </w:t>
      </w:r>
      <w:r w:rsidR="002154E8" w:rsidRPr="00EA59C0">
        <w:t>city</w:t>
      </w:r>
      <w:r w:rsidR="00C026A6" w:rsidRPr="00EA59C0">
        <w:t xml:space="preserve"> </w:t>
      </w:r>
      <w:r w:rsidR="002154E8" w:rsidRPr="00EA59C0">
        <w:t>name,</w:t>
      </w:r>
      <w:r w:rsidR="00C026A6" w:rsidRPr="00EA59C0">
        <w:t xml:space="preserve"> </w:t>
      </w:r>
      <w:r w:rsidR="002154E8" w:rsidRPr="00EA59C0">
        <w:t>determination</w:t>
      </w:r>
      <w:r w:rsidR="00C026A6" w:rsidRPr="00EA59C0">
        <w:t xml:space="preserve"> </w:t>
      </w:r>
      <w:r w:rsidR="002154E8" w:rsidRPr="00EA59C0">
        <w:t>or</w:t>
      </w:r>
      <w:r w:rsidR="00C026A6" w:rsidRPr="00EA59C0">
        <w:t xml:space="preserve"> </w:t>
      </w:r>
      <w:r w:rsidR="002154E8" w:rsidRPr="00EA59C0">
        <w:t>certification</w:t>
      </w:r>
      <w:r w:rsidR="00C026A6" w:rsidRPr="00EA59C0">
        <w:t xml:space="preserve"> </w:t>
      </w:r>
      <w:r w:rsidR="002154E8" w:rsidRPr="00EA59C0">
        <w:t>date,</w:t>
      </w:r>
      <w:r w:rsidR="00C026A6" w:rsidRPr="00EA59C0">
        <w:t xml:space="preserve"> </w:t>
      </w:r>
      <w:r w:rsidR="002154E8" w:rsidRPr="00EA59C0">
        <w:t>or</w:t>
      </w:r>
      <w:r w:rsidR="00C026A6" w:rsidRPr="00EA59C0">
        <w:t xml:space="preserve"> </w:t>
      </w:r>
      <w:r w:rsidR="002154E8" w:rsidRPr="00EA59C0">
        <w:t>NAIC</w:t>
      </w:r>
      <w:r w:rsidR="004E0A5F" w:rsidRPr="00EA59C0">
        <w:t>S</w:t>
      </w:r>
      <w:r w:rsidR="00C026A6" w:rsidRPr="00EA59C0">
        <w:t xml:space="preserve"> </w:t>
      </w:r>
      <w:r w:rsidR="002154E8" w:rsidRPr="00EA59C0">
        <w:t>code</w:t>
      </w:r>
      <w:r w:rsidR="00C026A6" w:rsidRPr="00EA59C0">
        <w:t xml:space="preserve"> </w:t>
      </w:r>
      <w:r w:rsidRPr="00EA59C0">
        <w:t>at:</w:t>
      </w:r>
      <w:r w:rsidR="00C026A6" w:rsidRPr="00EA59C0">
        <w:t xml:space="preserve"> </w:t>
      </w:r>
      <w:hyperlink r:id="rId254" w:history="1">
        <w:r w:rsidRPr="00EA59C0">
          <w:rPr>
            <w:rStyle w:val="Hyperlink"/>
            <w:color w:val="auto"/>
          </w:rPr>
          <w:t>http://www.doleta.gov/tradeact/taa/taa_search_form.cfm</w:t>
        </w:r>
      </w:hyperlink>
      <w:r w:rsidRPr="00EA59C0">
        <w:t>.</w:t>
      </w:r>
      <w:r w:rsidR="00C026A6" w:rsidRPr="00EA59C0">
        <w:t xml:space="preserve">  </w:t>
      </w:r>
      <w:r w:rsidRPr="00EA59C0">
        <w:t>Explain</w:t>
      </w:r>
      <w:r w:rsidR="00C026A6" w:rsidRPr="00EA59C0">
        <w:t xml:space="preserve"> </w:t>
      </w:r>
      <w:r w:rsidRPr="00EA59C0">
        <w:t>how</w:t>
      </w:r>
      <w:r w:rsidR="00C026A6" w:rsidRPr="00EA59C0">
        <w:t xml:space="preserve"> </w:t>
      </w:r>
      <w:r w:rsidRPr="00EA59C0">
        <w:t>the</w:t>
      </w:r>
      <w:r w:rsidR="00C026A6" w:rsidRPr="00EA59C0">
        <w:t xml:space="preserve"> </w:t>
      </w:r>
      <w:r w:rsidRPr="00EA59C0">
        <w:t>proposed</w:t>
      </w:r>
      <w:r w:rsidR="00C026A6" w:rsidRPr="00EA59C0">
        <w:t xml:space="preserve"> </w:t>
      </w:r>
      <w:r w:rsidRPr="00EA59C0">
        <w:t>programs</w:t>
      </w:r>
      <w:r w:rsidR="00C026A6" w:rsidRPr="00EA59C0">
        <w:t xml:space="preserve"> </w:t>
      </w:r>
      <w:r w:rsidRPr="00EA59C0">
        <w:t>will</w:t>
      </w:r>
      <w:r w:rsidR="00C026A6" w:rsidRPr="00EA59C0">
        <w:t xml:space="preserve"> </w:t>
      </w:r>
      <w:r w:rsidRPr="00EA59C0">
        <w:t>be</w:t>
      </w:r>
      <w:r w:rsidR="00C026A6" w:rsidRPr="00EA59C0">
        <w:t xml:space="preserve"> </w:t>
      </w:r>
      <w:r w:rsidRPr="00EA59C0">
        <w:t>made</w:t>
      </w:r>
      <w:r w:rsidR="00C026A6" w:rsidRPr="00EA59C0">
        <w:t xml:space="preserve"> </w:t>
      </w:r>
      <w:r w:rsidRPr="00EA59C0">
        <w:t>accessible</w:t>
      </w:r>
      <w:r w:rsidR="00C026A6" w:rsidRPr="00EA59C0">
        <w:t xml:space="preserve"> </w:t>
      </w:r>
      <w:r w:rsidRPr="00EA59C0">
        <w:t>to,</w:t>
      </w:r>
      <w:r w:rsidR="00C026A6" w:rsidRPr="00EA59C0">
        <w:t xml:space="preserve"> </w:t>
      </w:r>
      <w:r w:rsidRPr="00EA59C0">
        <w:t>and</w:t>
      </w:r>
      <w:r w:rsidR="00C026A6" w:rsidRPr="00EA59C0">
        <w:t xml:space="preserve"> </w:t>
      </w:r>
      <w:r w:rsidRPr="00EA59C0">
        <w:t>will</w:t>
      </w:r>
      <w:r w:rsidR="00C026A6" w:rsidRPr="00EA59C0">
        <w:t xml:space="preserve"> </w:t>
      </w:r>
      <w:r w:rsidRPr="00EA59C0">
        <w:t>serve,</w:t>
      </w:r>
      <w:r w:rsidR="00C026A6" w:rsidRPr="00EA59C0">
        <w:t xml:space="preserve"> </w:t>
      </w:r>
      <w:r w:rsidRPr="00EA59C0">
        <w:t>TAA-eligible</w:t>
      </w:r>
      <w:r w:rsidR="00C026A6" w:rsidRPr="00EA59C0">
        <w:t xml:space="preserve"> </w:t>
      </w:r>
      <w:r w:rsidRPr="00EA59C0">
        <w:t>workers</w:t>
      </w:r>
      <w:r w:rsidR="006F75EA" w:rsidRPr="00EA59C0">
        <w:t>.</w:t>
      </w:r>
      <w:r w:rsidR="00C026A6" w:rsidRPr="00EA59C0">
        <w:t xml:space="preserve">  </w:t>
      </w:r>
      <w:r w:rsidR="006F75EA" w:rsidRPr="00EA59C0">
        <w:t>In</w:t>
      </w:r>
      <w:r w:rsidR="00C026A6" w:rsidRPr="00EA59C0">
        <w:t xml:space="preserve"> </w:t>
      </w:r>
      <w:r w:rsidRPr="00EA59C0">
        <w:t>communities</w:t>
      </w:r>
      <w:r w:rsidR="00C026A6" w:rsidRPr="00EA59C0">
        <w:t xml:space="preserve"> </w:t>
      </w:r>
      <w:r w:rsidRPr="00EA59C0">
        <w:t>in</w:t>
      </w:r>
      <w:r w:rsidR="00C026A6" w:rsidRPr="00EA59C0">
        <w:t xml:space="preserve"> </w:t>
      </w:r>
      <w:r w:rsidRPr="00EA59C0">
        <w:t>states</w:t>
      </w:r>
      <w:r w:rsidR="00C026A6" w:rsidRPr="00EA59C0">
        <w:t xml:space="preserve"> </w:t>
      </w:r>
      <w:r w:rsidRPr="00EA59C0">
        <w:t>that</w:t>
      </w:r>
      <w:r w:rsidR="00C026A6" w:rsidRPr="00EA59C0">
        <w:t xml:space="preserve"> </w:t>
      </w:r>
      <w:r w:rsidRPr="00EA59C0">
        <w:t>receive</w:t>
      </w:r>
      <w:r w:rsidR="00C026A6" w:rsidRPr="00EA59C0">
        <w:t xml:space="preserve"> </w:t>
      </w:r>
      <w:r w:rsidRPr="00EA59C0">
        <w:t>relatively</w:t>
      </w:r>
      <w:r w:rsidR="00C026A6" w:rsidRPr="00EA59C0">
        <w:t xml:space="preserve"> </w:t>
      </w:r>
      <w:r w:rsidRPr="00EA59C0">
        <w:t>high</w:t>
      </w:r>
      <w:r w:rsidR="00C026A6" w:rsidRPr="00EA59C0">
        <w:t xml:space="preserve"> </w:t>
      </w:r>
      <w:r w:rsidRPr="00EA59C0">
        <w:t>levels</w:t>
      </w:r>
      <w:r w:rsidR="00C026A6" w:rsidRPr="00EA59C0">
        <w:t xml:space="preserve"> </w:t>
      </w:r>
      <w:r w:rsidRPr="00EA59C0">
        <w:t>of</w:t>
      </w:r>
      <w:r w:rsidR="00C026A6" w:rsidRPr="00EA59C0">
        <w:t xml:space="preserve"> </w:t>
      </w:r>
      <w:r w:rsidRPr="00EA59C0">
        <w:t>funding</w:t>
      </w:r>
      <w:r w:rsidR="00C026A6" w:rsidRPr="00EA59C0">
        <w:t xml:space="preserve"> </w:t>
      </w:r>
      <w:r w:rsidRPr="00EA59C0">
        <w:t>under</w:t>
      </w:r>
      <w:r w:rsidR="00C026A6" w:rsidRPr="00EA59C0">
        <w:t xml:space="preserve"> </w:t>
      </w:r>
      <w:r w:rsidRPr="00EA59C0">
        <w:t>the</w:t>
      </w:r>
      <w:r w:rsidR="00C026A6" w:rsidRPr="00EA59C0">
        <w:t xml:space="preserve"> </w:t>
      </w:r>
      <w:r w:rsidRPr="00EA59C0">
        <w:t>TAA</w:t>
      </w:r>
      <w:r w:rsidR="00C026A6" w:rsidRPr="00EA59C0">
        <w:t xml:space="preserve"> </w:t>
      </w:r>
      <w:r w:rsidRPr="00EA59C0">
        <w:t>for</w:t>
      </w:r>
      <w:r w:rsidR="00C026A6" w:rsidRPr="00EA59C0">
        <w:t xml:space="preserve"> </w:t>
      </w:r>
      <w:r w:rsidRPr="00EA59C0">
        <w:t>Workers</w:t>
      </w:r>
      <w:r w:rsidR="00C026A6" w:rsidRPr="00EA59C0">
        <w:t xml:space="preserve"> </w:t>
      </w:r>
      <w:r w:rsidRPr="00EA59C0">
        <w:t>program</w:t>
      </w:r>
      <w:r w:rsidR="006F75EA" w:rsidRPr="00EA59C0">
        <w:t>,</w:t>
      </w:r>
      <w:r w:rsidR="00C026A6" w:rsidRPr="00EA59C0">
        <w:t xml:space="preserve"> </w:t>
      </w:r>
      <w:r w:rsidR="006F75EA" w:rsidRPr="00EA59C0">
        <w:t>this</w:t>
      </w:r>
      <w:r w:rsidR="00C026A6" w:rsidRPr="00EA59C0">
        <w:t xml:space="preserve"> </w:t>
      </w:r>
      <w:r w:rsidR="006F75EA" w:rsidRPr="00EA59C0">
        <w:t>should</w:t>
      </w:r>
      <w:r w:rsidR="00C026A6" w:rsidRPr="00EA59C0">
        <w:t xml:space="preserve"> </w:t>
      </w:r>
      <w:r w:rsidR="006F75EA" w:rsidRPr="00EA59C0">
        <w:t>include</w:t>
      </w:r>
      <w:r w:rsidR="00C026A6" w:rsidRPr="00EA59C0">
        <w:t xml:space="preserve"> </w:t>
      </w:r>
      <w:r w:rsidR="006F75EA" w:rsidRPr="00EA59C0">
        <w:t>an</w:t>
      </w:r>
      <w:r w:rsidR="00C026A6" w:rsidRPr="00EA59C0">
        <w:t xml:space="preserve"> </w:t>
      </w:r>
      <w:r w:rsidR="006F75EA" w:rsidRPr="00EA59C0">
        <w:t>explanation</w:t>
      </w:r>
      <w:r w:rsidR="00C026A6" w:rsidRPr="00EA59C0">
        <w:t xml:space="preserve"> </w:t>
      </w:r>
      <w:r w:rsidR="006F75EA" w:rsidRPr="00EA59C0">
        <w:t>of</w:t>
      </w:r>
      <w:r w:rsidR="00C026A6" w:rsidRPr="00EA59C0">
        <w:t xml:space="preserve"> </w:t>
      </w:r>
      <w:r w:rsidR="006F75EA" w:rsidRPr="00EA59C0">
        <w:t>how</w:t>
      </w:r>
      <w:r w:rsidR="00C026A6" w:rsidRPr="00EA59C0">
        <w:t xml:space="preserve"> </w:t>
      </w:r>
      <w:r w:rsidR="006F75EA" w:rsidRPr="00EA59C0">
        <w:t>the</w:t>
      </w:r>
      <w:r w:rsidR="00C026A6" w:rsidRPr="00EA59C0">
        <w:t xml:space="preserve"> </w:t>
      </w:r>
      <w:r w:rsidR="006F75EA" w:rsidRPr="00EA59C0">
        <w:t>applicant</w:t>
      </w:r>
      <w:r w:rsidR="00C026A6" w:rsidRPr="00EA59C0">
        <w:t xml:space="preserve"> </w:t>
      </w:r>
      <w:r w:rsidR="006F75EA" w:rsidRPr="00EA59C0">
        <w:t>will</w:t>
      </w:r>
      <w:r w:rsidR="00C026A6" w:rsidRPr="00EA59C0">
        <w:t xml:space="preserve"> </w:t>
      </w:r>
      <w:r w:rsidR="006F75EA" w:rsidRPr="00EA59C0">
        <w:t>ensure</w:t>
      </w:r>
      <w:r w:rsidR="00C026A6" w:rsidRPr="00EA59C0">
        <w:t xml:space="preserve"> </w:t>
      </w:r>
      <w:r w:rsidR="006F75EA" w:rsidRPr="00EA59C0">
        <w:t>that</w:t>
      </w:r>
      <w:r w:rsidR="00C026A6" w:rsidRPr="00EA59C0">
        <w:t xml:space="preserve"> </w:t>
      </w:r>
      <w:r w:rsidR="006F75EA" w:rsidRPr="00EA59C0">
        <w:t>TAA-eligible</w:t>
      </w:r>
      <w:r w:rsidR="00C026A6" w:rsidRPr="00EA59C0">
        <w:t xml:space="preserve"> </w:t>
      </w:r>
      <w:r w:rsidR="006F75EA" w:rsidRPr="00EA59C0">
        <w:t>workers</w:t>
      </w:r>
      <w:r w:rsidR="00C026A6" w:rsidRPr="00EA59C0">
        <w:t xml:space="preserve"> </w:t>
      </w:r>
      <w:r w:rsidR="006F75EA" w:rsidRPr="00EA59C0">
        <w:t>are</w:t>
      </w:r>
      <w:r w:rsidR="00C026A6" w:rsidRPr="00EA59C0">
        <w:t xml:space="preserve"> </w:t>
      </w:r>
      <w:r w:rsidR="006F75EA" w:rsidRPr="00EA59C0">
        <w:t>served</w:t>
      </w:r>
      <w:r w:rsidR="00C026A6" w:rsidRPr="00EA59C0">
        <w:t xml:space="preserve"> </w:t>
      </w:r>
      <w:r w:rsidR="006F75EA" w:rsidRPr="00EA59C0">
        <w:t>by</w:t>
      </w:r>
      <w:r w:rsidR="00C026A6" w:rsidRPr="00EA59C0">
        <w:t xml:space="preserve"> </w:t>
      </w:r>
      <w:r w:rsidR="006F75EA" w:rsidRPr="00EA59C0">
        <w:t>the</w:t>
      </w:r>
      <w:r w:rsidR="00C026A6" w:rsidRPr="00EA59C0">
        <w:t xml:space="preserve"> </w:t>
      </w:r>
      <w:r w:rsidR="006F75EA" w:rsidRPr="00EA59C0">
        <w:t>program;</w:t>
      </w:r>
      <w:r w:rsidR="00C026A6" w:rsidRPr="00EA59C0">
        <w:t xml:space="preserve"> </w:t>
      </w:r>
      <w:r w:rsidR="006F75EA" w:rsidRPr="00EA59C0">
        <w:t>in</w:t>
      </w:r>
      <w:r w:rsidR="00C026A6" w:rsidRPr="00EA59C0">
        <w:t xml:space="preserve"> </w:t>
      </w:r>
      <w:r w:rsidR="006F75EA" w:rsidRPr="00EA59C0">
        <w:t>communities</w:t>
      </w:r>
      <w:r w:rsidR="00C026A6" w:rsidRPr="00EA59C0">
        <w:t xml:space="preserve"> </w:t>
      </w:r>
      <w:r w:rsidR="006F75EA" w:rsidRPr="00EA59C0">
        <w:t>in</w:t>
      </w:r>
      <w:r w:rsidR="00C026A6" w:rsidRPr="00EA59C0">
        <w:t xml:space="preserve"> </w:t>
      </w:r>
      <w:r w:rsidR="006F75EA" w:rsidRPr="00EA59C0">
        <w:t>states</w:t>
      </w:r>
      <w:r w:rsidR="00C026A6" w:rsidRPr="00EA59C0">
        <w:t xml:space="preserve"> </w:t>
      </w:r>
      <w:r w:rsidR="006F75EA" w:rsidRPr="00EA59C0">
        <w:t>that</w:t>
      </w:r>
      <w:r w:rsidR="00C026A6" w:rsidRPr="00EA59C0">
        <w:t xml:space="preserve"> </w:t>
      </w:r>
      <w:r w:rsidR="006F75EA" w:rsidRPr="00EA59C0">
        <w:t>receive</w:t>
      </w:r>
      <w:r w:rsidR="00C026A6" w:rsidRPr="00EA59C0">
        <w:t xml:space="preserve"> </w:t>
      </w:r>
      <w:r w:rsidR="006F75EA" w:rsidRPr="00EA59C0">
        <w:t>relatively</w:t>
      </w:r>
      <w:r w:rsidR="00C026A6" w:rsidRPr="00EA59C0">
        <w:t xml:space="preserve"> </w:t>
      </w:r>
      <w:r w:rsidR="006F75EA" w:rsidRPr="00EA59C0">
        <w:t>low</w:t>
      </w:r>
      <w:r w:rsidR="00C026A6" w:rsidRPr="00EA59C0">
        <w:t xml:space="preserve"> </w:t>
      </w:r>
      <w:r w:rsidR="006F75EA" w:rsidRPr="00EA59C0">
        <w:t>levels</w:t>
      </w:r>
      <w:r w:rsidR="00C026A6" w:rsidRPr="00EA59C0">
        <w:t xml:space="preserve"> </w:t>
      </w:r>
      <w:r w:rsidR="006F75EA" w:rsidRPr="00EA59C0">
        <w:t>of</w:t>
      </w:r>
      <w:r w:rsidR="00C026A6" w:rsidRPr="00EA59C0">
        <w:t xml:space="preserve"> </w:t>
      </w:r>
      <w:r w:rsidR="006F75EA" w:rsidRPr="00EA59C0">
        <w:t>funding</w:t>
      </w:r>
      <w:r w:rsidR="00C026A6" w:rsidRPr="00EA59C0">
        <w:t xml:space="preserve"> </w:t>
      </w:r>
      <w:r w:rsidR="006F75EA" w:rsidRPr="00EA59C0">
        <w:t>under</w:t>
      </w:r>
      <w:r w:rsidR="00C026A6" w:rsidRPr="00EA59C0">
        <w:t xml:space="preserve"> </w:t>
      </w:r>
      <w:r w:rsidR="006F75EA" w:rsidRPr="00EA59C0">
        <w:t>the</w:t>
      </w:r>
      <w:r w:rsidR="00C026A6" w:rsidRPr="00EA59C0">
        <w:t xml:space="preserve"> </w:t>
      </w:r>
      <w:r w:rsidR="006F75EA" w:rsidRPr="00EA59C0">
        <w:t>TAA</w:t>
      </w:r>
      <w:r w:rsidR="00C026A6" w:rsidRPr="00EA59C0">
        <w:t xml:space="preserve"> </w:t>
      </w:r>
      <w:r w:rsidR="006F75EA" w:rsidRPr="00EA59C0">
        <w:t>for</w:t>
      </w:r>
      <w:r w:rsidR="00C026A6" w:rsidRPr="00EA59C0">
        <w:t xml:space="preserve"> </w:t>
      </w:r>
      <w:r w:rsidR="006F75EA" w:rsidRPr="00EA59C0">
        <w:t>Workers</w:t>
      </w:r>
      <w:r w:rsidR="00C026A6" w:rsidRPr="00EA59C0">
        <w:t xml:space="preserve"> </w:t>
      </w:r>
      <w:r w:rsidR="006F75EA" w:rsidRPr="00EA59C0">
        <w:t>program,</w:t>
      </w:r>
      <w:r w:rsidR="00C026A6" w:rsidRPr="00EA59C0">
        <w:t xml:space="preserve"> </w:t>
      </w:r>
      <w:r w:rsidR="006F75EA" w:rsidRPr="00EA59C0">
        <w:t>applicants</w:t>
      </w:r>
      <w:r w:rsidR="00C026A6" w:rsidRPr="00EA59C0">
        <w:t xml:space="preserve"> </w:t>
      </w:r>
      <w:r w:rsidR="006F75EA" w:rsidRPr="00EA59C0">
        <w:t>should</w:t>
      </w:r>
      <w:r w:rsidR="00C026A6" w:rsidRPr="00EA59C0">
        <w:t xml:space="preserve"> </w:t>
      </w:r>
      <w:r w:rsidR="006F75EA" w:rsidRPr="00EA59C0">
        <w:t>propose</w:t>
      </w:r>
      <w:r w:rsidR="00C026A6" w:rsidRPr="00EA59C0">
        <w:t xml:space="preserve"> </w:t>
      </w:r>
      <w:r w:rsidR="006F75EA" w:rsidRPr="00EA59C0">
        <w:t>technology-based</w:t>
      </w:r>
      <w:r w:rsidR="00C026A6" w:rsidRPr="00EA59C0">
        <w:t xml:space="preserve"> </w:t>
      </w:r>
      <w:r w:rsidR="006F75EA" w:rsidRPr="00EA59C0">
        <w:t>solutions</w:t>
      </w:r>
      <w:r w:rsidR="00C026A6" w:rsidRPr="00EA59C0">
        <w:t xml:space="preserve"> </w:t>
      </w:r>
      <w:r w:rsidR="006F75EA" w:rsidRPr="00EA59C0">
        <w:t>so</w:t>
      </w:r>
      <w:r w:rsidR="00C026A6" w:rsidRPr="00EA59C0">
        <w:t xml:space="preserve"> </w:t>
      </w:r>
      <w:r w:rsidR="006F75EA" w:rsidRPr="00EA59C0">
        <w:t>that</w:t>
      </w:r>
      <w:r w:rsidR="00C026A6" w:rsidRPr="00EA59C0">
        <w:t xml:space="preserve"> </w:t>
      </w:r>
      <w:r w:rsidR="006F75EA" w:rsidRPr="00EA59C0">
        <w:t>training</w:t>
      </w:r>
      <w:r w:rsidR="00C026A6" w:rsidRPr="00EA59C0">
        <w:t xml:space="preserve"> </w:t>
      </w:r>
      <w:r w:rsidR="006F75EA" w:rsidRPr="00EA59C0">
        <w:t>can</w:t>
      </w:r>
      <w:r w:rsidR="00C026A6" w:rsidRPr="00EA59C0">
        <w:t xml:space="preserve"> </w:t>
      </w:r>
      <w:r w:rsidR="006F75EA" w:rsidRPr="00EA59C0">
        <w:t>be</w:t>
      </w:r>
      <w:r w:rsidR="00C026A6" w:rsidRPr="00EA59C0">
        <w:t xml:space="preserve"> </w:t>
      </w:r>
      <w:r w:rsidR="006F75EA" w:rsidRPr="00EA59C0">
        <w:t>made</w:t>
      </w:r>
      <w:r w:rsidR="00C026A6" w:rsidRPr="00EA59C0">
        <w:t xml:space="preserve"> </w:t>
      </w:r>
      <w:r w:rsidR="006F75EA" w:rsidRPr="00EA59C0">
        <w:t>available</w:t>
      </w:r>
      <w:r w:rsidR="00C026A6" w:rsidRPr="00EA59C0">
        <w:t xml:space="preserve"> </w:t>
      </w:r>
      <w:r w:rsidR="006F75EA" w:rsidRPr="00EA59C0">
        <w:t>to</w:t>
      </w:r>
      <w:r w:rsidR="00C026A6" w:rsidRPr="00EA59C0">
        <w:t xml:space="preserve"> </w:t>
      </w:r>
      <w:r w:rsidR="006F75EA" w:rsidRPr="00EA59C0">
        <w:t>TAA-eligible</w:t>
      </w:r>
      <w:r w:rsidR="00C026A6" w:rsidRPr="00EA59C0">
        <w:t xml:space="preserve"> </w:t>
      </w:r>
      <w:r w:rsidR="006F75EA" w:rsidRPr="00EA59C0">
        <w:t>workers</w:t>
      </w:r>
      <w:r w:rsidR="00C026A6" w:rsidRPr="00EA59C0">
        <w:t xml:space="preserve"> </w:t>
      </w:r>
      <w:r w:rsidR="006F75EA" w:rsidRPr="00EA59C0">
        <w:t>in</w:t>
      </w:r>
      <w:r w:rsidR="00C026A6" w:rsidRPr="00EA59C0">
        <w:t xml:space="preserve"> </w:t>
      </w:r>
      <w:r w:rsidR="006F75EA" w:rsidRPr="00EA59C0">
        <w:t>other</w:t>
      </w:r>
      <w:r w:rsidR="00C026A6" w:rsidRPr="00EA59C0">
        <w:t xml:space="preserve"> </w:t>
      </w:r>
      <w:r w:rsidR="006F75EA" w:rsidRPr="00EA59C0">
        <w:t>states.</w:t>
      </w:r>
      <w:r w:rsidR="00C026A6" w:rsidRPr="00EA59C0">
        <w:t xml:space="preserve"> </w:t>
      </w:r>
      <w:r w:rsidR="00E03D44" w:rsidRPr="00EA59C0">
        <w:t>See</w:t>
      </w:r>
      <w:r w:rsidR="00C026A6" w:rsidRPr="00EA59C0">
        <w:t xml:space="preserve"> </w:t>
      </w:r>
      <w:r w:rsidR="00E03D44" w:rsidRPr="00EA59C0">
        <w:t>Appendix</w:t>
      </w:r>
      <w:r w:rsidR="00C026A6" w:rsidRPr="00EA59C0">
        <w:t xml:space="preserve"> </w:t>
      </w:r>
      <w:r w:rsidR="0064299F" w:rsidRPr="00EA59C0">
        <w:t>H</w:t>
      </w:r>
      <w:r w:rsidR="00C026A6" w:rsidRPr="00EA59C0">
        <w:t xml:space="preserve"> </w:t>
      </w:r>
      <w:r w:rsidR="00E03D44" w:rsidRPr="00EA59C0">
        <w:t>for</w:t>
      </w:r>
      <w:r w:rsidR="00C026A6" w:rsidRPr="00EA59C0">
        <w:t xml:space="preserve"> </w:t>
      </w:r>
      <w:r w:rsidR="00E03D44" w:rsidRPr="00EA59C0">
        <w:t>a</w:t>
      </w:r>
      <w:r w:rsidR="00C026A6" w:rsidRPr="00EA59C0">
        <w:t xml:space="preserve"> </w:t>
      </w:r>
      <w:r w:rsidR="008A70C1" w:rsidRPr="00EA59C0">
        <w:t>data</w:t>
      </w:r>
      <w:r w:rsidR="00C026A6" w:rsidRPr="00EA59C0">
        <w:t xml:space="preserve"> </w:t>
      </w:r>
      <w:r w:rsidR="008A70C1" w:rsidRPr="00EA59C0">
        <w:t>on</w:t>
      </w:r>
      <w:r w:rsidR="00C026A6" w:rsidRPr="00EA59C0">
        <w:t xml:space="preserve"> </w:t>
      </w:r>
      <w:r w:rsidR="00E03D44" w:rsidRPr="00EA59C0">
        <w:t>funding</w:t>
      </w:r>
      <w:r w:rsidR="00C026A6" w:rsidRPr="00EA59C0">
        <w:t xml:space="preserve"> </w:t>
      </w:r>
      <w:r w:rsidR="00E03D44" w:rsidRPr="00EA59C0">
        <w:t>under</w:t>
      </w:r>
      <w:r w:rsidR="00C026A6" w:rsidRPr="00EA59C0">
        <w:t xml:space="preserve"> </w:t>
      </w:r>
      <w:r w:rsidR="00E03D44" w:rsidRPr="00EA59C0">
        <w:t>the</w:t>
      </w:r>
      <w:r w:rsidR="00C026A6" w:rsidRPr="00EA59C0">
        <w:t xml:space="preserve"> </w:t>
      </w:r>
      <w:r w:rsidR="00E03D44" w:rsidRPr="00EA59C0">
        <w:t>TAA</w:t>
      </w:r>
      <w:r w:rsidR="00C026A6" w:rsidRPr="00EA59C0">
        <w:t xml:space="preserve"> </w:t>
      </w:r>
      <w:r w:rsidR="00E03D44" w:rsidRPr="00EA59C0">
        <w:t>for</w:t>
      </w:r>
      <w:r w:rsidR="00C026A6" w:rsidRPr="00EA59C0">
        <w:t xml:space="preserve"> </w:t>
      </w:r>
      <w:r w:rsidR="00E03D44" w:rsidRPr="00EA59C0">
        <w:t>Workers</w:t>
      </w:r>
      <w:r w:rsidR="00C026A6" w:rsidRPr="00EA59C0">
        <w:t xml:space="preserve"> </w:t>
      </w:r>
      <w:r w:rsidR="00E03D44" w:rsidRPr="00EA59C0">
        <w:t>program.</w:t>
      </w:r>
    </w:p>
    <w:p w:rsidR="00A5119B" w:rsidRPr="00EA59C0" w:rsidRDefault="00A5119B" w:rsidP="00C072FA">
      <w:pPr>
        <w:pStyle w:val="ListParagraph"/>
        <w:numPr>
          <w:ilvl w:val="6"/>
          <w:numId w:val="17"/>
        </w:numPr>
      </w:pPr>
      <w:r w:rsidRPr="00EA59C0">
        <w:t>Describe</w:t>
      </w:r>
      <w:r w:rsidR="00C026A6" w:rsidRPr="00EA59C0">
        <w:t xml:space="preserve"> </w:t>
      </w:r>
      <w:r w:rsidRPr="00EA59C0">
        <w:t>the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needs</w:t>
      </w:r>
      <w:r w:rsidR="00C026A6" w:rsidRPr="00EA59C0">
        <w:t xml:space="preserve"> </w:t>
      </w:r>
      <w:r w:rsidRPr="00EA59C0">
        <w:t>of</w:t>
      </w:r>
      <w:r w:rsidR="00C026A6" w:rsidRPr="00EA59C0">
        <w:t xml:space="preserve"> </w:t>
      </w:r>
      <w:r w:rsidRPr="00EA59C0">
        <w:t>the</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in</w:t>
      </w:r>
      <w:r w:rsidR="00C026A6" w:rsidRPr="00EA59C0">
        <w:t xml:space="preserve"> </w:t>
      </w:r>
      <w:r w:rsidRPr="00EA59C0">
        <w:t>each</w:t>
      </w:r>
      <w:r w:rsidR="00C026A6" w:rsidRPr="00EA59C0">
        <w:t xml:space="preserve"> </w:t>
      </w:r>
      <w:r w:rsidR="005C12D8" w:rsidRPr="00EA59C0">
        <w:t>community</w:t>
      </w:r>
      <w:r w:rsidR="009A346B" w:rsidRPr="00EA59C0">
        <w:t>(</w:t>
      </w:r>
      <w:r w:rsidR="002B79D5" w:rsidRPr="00EA59C0">
        <w:t>-</w:t>
      </w:r>
      <w:r w:rsidR="005C12D8" w:rsidRPr="00EA59C0">
        <w:t>ie</w:t>
      </w:r>
      <w:r w:rsidR="009A346B" w:rsidRPr="00EA59C0">
        <w:t>s)</w:t>
      </w:r>
      <w:r w:rsidR="00C026A6" w:rsidRPr="00EA59C0">
        <w:t xml:space="preserve"> </w:t>
      </w:r>
      <w:r w:rsidRPr="00EA59C0">
        <w:t>to</w:t>
      </w:r>
      <w:r w:rsidR="00C026A6" w:rsidRPr="00EA59C0">
        <w:t xml:space="preserve"> </w:t>
      </w:r>
      <w:r w:rsidRPr="00EA59C0">
        <w:t>be</w:t>
      </w:r>
      <w:r w:rsidR="00C026A6" w:rsidRPr="00EA59C0">
        <w:t xml:space="preserve"> </w:t>
      </w:r>
      <w:r w:rsidRPr="00EA59C0">
        <w:t>served</w:t>
      </w:r>
      <w:r w:rsidR="00C026A6" w:rsidRPr="00EA59C0">
        <w:t xml:space="preserve"> </w:t>
      </w:r>
      <w:r w:rsidRPr="00EA59C0">
        <w:t>by</w:t>
      </w:r>
      <w:r w:rsidR="00C026A6" w:rsidRPr="00EA59C0">
        <w:t xml:space="preserve"> </w:t>
      </w:r>
      <w:r w:rsidRPr="00EA59C0">
        <w:t>the</w:t>
      </w:r>
      <w:r w:rsidR="00C026A6" w:rsidRPr="00EA59C0">
        <w:t xml:space="preserve"> </w:t>
      </w:r>
      <w:r w:rsidRPr="00EA59C0">
        <w:t>project,</w:t>
      </w:r>
      <w:r w:rsidR="00C026A6" w:rsidRPr="00EA59C0">
        <w:t xml:space="preserve"> </w:t>
      </w:r>
      <w:r w:rsidRPr="00EA59C0">
        <w:t>including:</w:t>
      </w:r>
      <w:r w:rsidR="00C026A6" w:rsidRPr="00EA59C0">
        <w:t xml:space="preserve"> </w:t>
      </w:r>
      <w:r w:rsidRPr="00EA59C0">
        <w:t>the</w:t>
      </w:r>
      <w:r w:rsidR="00C026A6" w:rsidRPr="00EA59C0">
        <w:t xml:space="preserve"> </w:t>
      </w:r>
      <w:r w:rsidRPr="00EA59C0">
        <w:t>industry</w:t>
      </w:r>
      <w:r w:rsidR="00C026A6" w:rsidRPr="00EA59C0">
        <w:t xml:space="preserve"> </w:t>
      </w:r>
      <w:r w:rsidRPr="00EA59C0">
        <w:t>and/or</w:t>
      </w:r>
      <w:r w:rsidR="00C026A6" w:rsidRPr="00EA59C0">
        <w:t xml:space="preserve"> </w:t>
      </w:r>
      <w:r w:rsidRPr="00EA59C0">
        <w:t>occupations</w:t>
      </w:r>
      <w:r w:rsidR="00C026A6" w:rsidRPr="00EA59C0">
        <w:t xml:space="preserve"> </w:t>
      </w:r>
      <w:r w:rsidRPr="00EA59C0">
        <w:t>in</w:t>
      </w:r>
      <w:r w:rsidR="00C026A6" w:rsidRPr="00EA59C0">
        <w:t xml:space="preserve"> </w:t>
      </w:r>
      <w:r w:rsidRPr="00EA59C0">
        <w:t>which</w:t>
      </w:r>
      <w:r w:rsidR="00C026A6" w:rsidRPr="00EA59C0">
        <w:t xml:space="preserve"> </w:t>
      </w:r>
      <w:r w:rsidRPr="00EA59C0">
        <w:t>the</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are</w:t>
      </w:r>
      <w:r w:rsidR="00C026A6" w:rsidRPr="00EA59C0">
        <w:t xml:space="preserve"> </w:t>
      </w:r>
      <w:r w:rsidRPr="00EA59C0">
        <w:t>or</w:t>
      </w:r>
      <w:r w:rsidR="00C026A6" w:rsidRPr="00EA59C0">
        <w:t xml:space="preserve"> </w:t>
      </w:r>
      <w:r w:rsidRPr="00EA59C0">
        <w:t>were</w:t>
      </w:r>
      <w:r w:rsidR="00C026A6" w:rsidRPr="00EA59C0">
        <w:t xml:space="preserve"> </w:t>
      </w:r>
      <w:r w:rsidRPr="00EA59C0">
        <w:t>employed;</w:t>
      </w:r>
      <w:r w:rsidR="00C026A6" w:rsidRPr="00EA59C0">
        <w:t xml:space="preserve"> </w:t>
      </w:r>
      <w:r w:rsidRPr="00EA59C0">
        <w:t>the</w:t>
      </w:r>
      <w:r w:rsidR="00C026A6" w:rsidRPr="00EA59C0">
        <w:t xml:space="preserve"> </w:t>
      </w:r>
      <w:r w:rsidRPr="00EA59C0">
        <w:t>current</w:t>
      </w:r>
      <w:r w:rsidR="00C026A6" w:rsidRPr="00EA59C0">
        <w:t xml:space="preserve"> </w:t>
      </w:r>
      <w:r w:rsidRPr="00EA59C0">
        <w:t>level</w:t>
      </w:r>
      <w:r w:rsidR="00C026A6" w:rsidRPr="00EA59C0">
        <w:t xml:space="preserve"> </w:t>
      </w:r>
      <w:r w:rsidRPr="00EA59C0">
        <w:t>of</w:t>
      </w:r>
      <w:r w:rsidR="00C026A6" w:rsidRPr="00EA59C0">
        <w:t xml:space="preserve"> </w:t>
      </w:r>
      <w:r w:rsidRPr="00EA59C0">
        <w:t>skills</w:t>
      </w:r>
      <w:r w:rsidR="00C026A6" w:rsidRPr="00EA59C0">
        <w:t xml:space="preserve"> </w:t>
      </w:r>
      <w:r w:rsidRPr="00EA59C0">
        <w:t>and</w:t>
      </w:r>
      <w:r w:rsidR="00C026A6" w:rsidRPr="00EA59C0">
        <w:t xml:space="preserve"> </w:t>
      </w:r>
      <w:r w:rsidRPr="00EA59C0">
        <w:t>educational</w:t>
      </w:r>
      <w:r w:rsidR="00C026A6" w:rsidRPr="00EA59C0">
        <w:t xml:space="preserve"> </w:t>
      </w:r>
      <w:r w:rsidRPr="00EA59C0">
        <w:t>attainment</w:t>
      </w:r>
      <w:r w:rsidR="00C026A6" w:rsidRPr="00EA59C0">
        <w:t xml:space="preserve"> </w:t>
      </w:r>
      <w:r w:rsidRPr="00EA59C0">
        <w:t>of</w:t>
      </w:r>
      <w:r w:rsidR="00C026A6" w:rsidRPr="00EA59C0">
        <w:t xml:space="preserve"> </w:t>
      </w:r>
      <w:r w:rsidRPr="00EA59C0">
        <w:t>the</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and</w:t>
      </w:r>
      <w:r w:rsidR="00C026A6" w:rsidRPr="00EA59C0">
        <w:t xml:space="preserve"> </w:t>
      </w:r>
      <w:r w:rsidRPr="00EA59C0">
        <w:t>the</w:t>
      </w:r>
      <w:r w:rsidR="00C026A6" w:rsidRPr="00EA59C0">
        <w:t xml:space="preserve"> </w:t>
      </w:r>
      <w:r w:rsidRPr="00EA59C0">
        <w:t>additional</w:t>
      </w:r>
      <w:r w:rsidR="00C026A6" w:rsidRPr="00EA59C0">
        <w:t xml:space="preserve"> </w:t>
      </w:r>
      <w:r w:rsidRPr="00EA59C0">
        <w:t>barriers</w:t>
      </w:r>
      <w:r w:rsidR="00C026A6" w:rsidRPr="00EA59C0">
        <w:t xml:space="preserve"> </w:t>
      </w:r>
      <w:r w:rsidRPr="00EA59C0">
        <w:t>these</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may</w:t>
      </w:r>
      <w:r w:rsidR="00C026A6" w:rsidRPr="00EA59C0">
        <w:t xml:space="preserve"> </w:t>
      </w:r>
      <w:r w:rsidRPr="00EA59C0">
        <w:t>face</w:t>
      </w:r>
      <w:r w:rsidR="00C026A6" w:rsidRPr="00EA59C0">
        <w:t xml:space="preserve"> </w:t>
      </w:r>
      <w:r w:rsidRPr="00EA59C0">
        <w:t>in</w:t>
      </w:r>
      <w:r w:rsidR="00C026A6" w:rsidRPr="00EA59C0">
        <w:t xml:space="preserve"> </w:t>
      </w:r>
      <w:r w:rsidRPr="00EA59C0">
        <w:t>seeking</w:t>
      </w:r>
      <w:r w:rsidR="00C026A6" w:rsidRPr="00EA59C0">
        <w:t xml:space="preserve"> </w:t>
      </w:r>
      <w:r w:rsidRPr="00EA59C0">
        <w:t>employment</w:t>
      </w:r>
      <w:r w:rsidR="00C026A6" w:rsidRPr="00EA59C0">
        <w:t xml:space="preserve"> </w:t>
      </w:r>
      <w:r w:rsidRPr="00EA59C0">
        <w:t>and</w:t>
      </w:r>
      <w:r w:rsidR="00C026A6" w:rsidRPr="00EA59C0">
        <w:t xml:space="preserve"> </w:t>
      </w:r>
      <w:r w:rsidRPr="00EA59C0">
        <w:t>how</w:t>
      </w:r>
      <w:r w:rsidR="00C026A6" w:rsidRPr="00EA59C0">
        <w:t xml:space="preserve"> </w:t>
      </w:r>
      <w:r w:rsidRPr="00EA59C0">
        <w:t>the</w:t>
      </w:r>
      <w:r w:rsidR="00C026A6" w:rsidRPr="00EA59C0">
        <w:t xml:space="preserve"> </w:t>
      </w:r>
      <w:r w:rsidRPr="00EA59C0">
        <w:t>project</w:t>
      </w:r>
      <w:r w:rsidR="00C026A6" w:rsidRPr="00EA59C0">
        <w:t xml:space="preserve"> </w:t>
      </w:r>
      <w:r w:rsidRPr="00EA59C0">
        <w:t>will</w:t>
      </w:r>
      <w:r w:rsidR="00C026A6" w:rsidRPr="00EA59C0">
        <w:t xml:space="preserve"> </w:t>
      </w:r>
      <w:r w:rsidRPr="00EA59C0">
        <w:t>be</w:t>
      </w:r>
      <w:r w:rsidR="00C026A6" w:rsidRPr="00EA59C0">
        <w:t xml:space="preserve"> </w:t>
      </w:r>
      <w:r w:rsidRPr="00EA59C0">
        <w:t>made</w:t>
      </w:r>
      <w:r w:rsidR="00C026A6" w:rsidRPr="00EA59C0">
        <w:t xml:space="preserve"> </w:t>
      </w:r>
      <w:r w:rsidRPr="00EA59C0">
        <w:t>accessible</w:t>
      </w:r>
      <w:r w:rsidR="00C026A6" w:rsidRPr="00EA59C0">
        <w:t xml:space="preserve"> </w:t>
      </w:r>
      <w:r w:rsidRPr="00EA59C0">
        <w:t>to,</w:t>
      </w:r>
      <w:r w:rsidR="00C026A6" w:rsidRPr="00EA59C0">
        <w:t xml:space="preserve"> </w:t>
      </w:r>
      <w:r w:rsidRPr="00EA59C0">
        <w:t>and</w:t>
      </w:r>
      <w:r w:rsidR="00C026A6" w:rsidRPr="00EA59C0">
        <w:t xml:space="preserve"> </w:t>
      </w:r>
      <w:r w:rsidRPr="00EA59C0">
        <w:t>will</w:t>
      </w:r>
      <w:r w:rsidR="00C026A6" w:rsidRPr="00EA59C0">
        <w:t xml:space="preserve"> </w:t>
      </w:r>
      <w:r w:rsidRPr="00EA59C0">
        <w:t>serve,</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including</w:t>
      </w:r>
      <w:r w:rsidR="00C026A6" w:rsidRPr="00EA59C0">
        <w:t xml:space="preserve"> </w:t>
      </w:r>
      <w:r w:rsidRPr="00EA59C0">
        <w:t>those</w:t>
      </w:r>
      <w:r w:rsidR="00C026A6" w:rsidRPr="00EA59C0">
        <w:t xml:space="preserve"> </w:t>
      </w:r>
      <w:r w:rsidRPr="00EA59C0">
        <w:t>in</w:t>
      </w:r>
      <w:r w:rsidR="00C026A6" w:rsidRPr="00EA59C0">
        <w:t xml:space="preserve"> </w:t>
      </w:r>
      <w:r w:rsidR="00A870BD" w:rsidRPr="00EA59C0">
        <w:t>regions</w:t>
      </w:r>
      <w:r w:rsidR="00C026A6" w:rsidRPr="00EA59C0">
        <w:t xml:space="preserve"> </w:t>
      </w:r>
      <w:r w:rsidRPr="00EA59C0">
        <w:t>in</w:t>
      </w:r>
      <w:r w:rsidR="00C026A6" w:rsidRPr="00EA59C0">
        <w:t xml:space="preserve"> </w:t>
      </w:r>
      <w:r w:rsidRPr="00EA59C0">
        <w:t>states</w:t>
      </w:r>
      <w:r w:rsidR="00C026A6" w:rsidRPr="00EA59C0">
        <w:t xml:space="preserve"> </w:t>
      </w:r>
      <w:r w:rsidRPr="00EA59C0">
        <w:t>that</w:t>
      </w:r>
      <w:r w:rsidR="00C026A6" w:rsidRPr="00EA59C0">
        <w:t xml:space="preserve"> </w:t>
      </w:r>
      <w:r w:rsidRPr="00EA59C0">
        <w:t>receive</w:t>
      </w:r>
      <w:r w:rsidR="00C026A6" w:rsidRPr="00EA59C0">
        <w:t xml:space="preserve"> </w:t>
      </w:r>
      <w:r w:rsidRPr="00EA59C0">
        <w:t>relatively</w:t>
      </w:r>
      <w:r w:rsidR="00C026A6" w:rsidRPr="00EA59C0">
        <w:t xml:space="preserve"> </w:t>
      </w:r>
      <w:r w:rsidRPr="00EA59C0">
        <w:t>high</w:t>
      </w:r>
      <w:r w:rsidR="00C026A6" w:rsidRPr="00EA59C0">
        <w:t xml:space="preserve"> </w:t>
      </w:r>
      <w:r w:rsidRPr="00EA59C0">
        <w:t>levels</w:t>
      </w:r>
      <w:r w:rsidR="00C026A6" w:rsidRPr="00EA59C0">
        <w:t xml:space="preserve"> </w:t>
      </w:r>
      <w:r w:rsidRPr="00EA59C0">
        <w:t>of</w:t>
      </w:r>
      <w:r w:rsidR="00C026A6" w:rsidRPr="00EA59C0">
        <w:t xml:space="preserve"> </w:t>
      </w:r>
      <w:r w:rsidRPr="00EA59C0">
        <w:t>funding</w:t>
      </w:r>
      <w:r w:rsidR="00C026A6" w:rsidRPr="00EA59C0">
        <w:t xml:space="preserve"> </w:t>
      </w:r>
      <w:r w:rsidRPr="00EA59C0">
        <w:t>under</w:t>
      </w:r>
      <w:r w:rsidR="00C026A6" w:rsidRPr="00EA59C0">
        <w:t xml:space="preserve"> </w:t>
      </w:r>
      <w:r w:rsidRPr="00EA59C0">
        <w:t>the</w:t>
      </w:r>
      <w:r w:rsidR="00C026A6" w:rsidRPr="00EA59C0">
        <w:t xml:space="preserve"> </w:t>
      </w:r>
      <w:r w:rsidRPr="00EA59C0">
        <w:t>TAA</w:t>
      </w:r>
      <w:r w:rsidR="00C026A6" w:rsidRPr="00EA59C0">
        <w:t xml:space="preserve"> </w:t>
      </w:r>
      <w:r w:rsidRPr="00EA59C0">
        <w:t>for</w:t>
      </w:r>
      <w:r w:rsidR="00C026A6" w:rsidRPr="00EA59C0">
        <w:t xml:space="preserve"> </w:t>
      </w:r>
      <w:r w:rsidRPr="00EA59C0">
        <w:t>Workers</w:t>
      </w:r>
      <w:r w:rsidR="00C026A6" w:rsidRPr="00EA59C0">
        <w:t xml:space="preserve"> </w:t>
      </w:r>
      <w:r w:rsidRPr="00EA59C0">
        <w:t>program.</w:t>
      </w:r>
      <w:r w:rsidR="00C026A6" w:rsidRPr="00EA59C0">
        <w:t xml:space="preserve">  </w:t>
      </w:r>
    </w:p>
    <w:p w:rsidR="00A5119B" w:rsidRPr="00EA59C0" w:rsidRDefault="00D670AB" w:rsidP="00C072FA">
      <w:pPr>
        <w:pStyle w:val="ListParagraph"/>
        <w:numPr>
          <w:ilvl w:val="6"/>
          <w:numId w:val="17"/>
        </w:numPr>
      </w:pPr>
      <w:r w:rsidRPr="00EA59C0">
        <w:t xml:space="preserve"> </w:t>
      </w:r>
      <w:r w:rsidR="00A5119B" w:rsidRPr="00EA59C0">
        <w:t>Describe</w:t>
      </w:r>
      <w:r w:rsidR="00C026A6" w:rsidRPr="00EA59C0">
        <w:t xml:space="preserve"> </w:t>
      </w:r>
      <w:r w:rsidR="00A5119B" w:rsidRPr="00EA59C0">
        <w:t>partnerships</w:t>
      </w:r>
      <w:r w:rsidR="00C026A6" w:rsidRPr="00EA59C0">
        <w:t xml:space="preserve"> </w:t>
      </w:r>
      <w:r w:rsidR="00A5119B" w:rsidRPr="00EA59C0">
        <w:t>with</w:t>
      </w:r>
      <w:r w:rsidR="00C026A6" w:rsidRPr="00EA59C0">
        <w:t xml:space="preserve"> </w:t>
      </w:r>
      <w:r w:rsidR="00A5119B" w:rsidRPr="00EA59C0">
        <w:t>cooperating</w:t>
      </w:r>
      <w:r w:rsidR="00C026A6" w:rsidRPr="00EA59C0">
        <w:t xml:space="preserve"> </w:t>
      </w:r>
      <w:r w:rsidR="00A5119B" w:rsidRPr="00EA59C0">
        <w:t>State</w:t>
      </w:r>
      <w:r w:rsidR="00C026A6" w:rsidRPr="00EA59C0">
        <w:t xml:space="preserve"> </w:t>
      </w:r>
      <w:r w:rsidR="00A5119B" w:rsidRPr="00EA59C0">
        <w:t>agencies</w:t>
      </w:r>
      <w:r w:rsidR="00C026A6" w:rsidRPr="00EA59C0">
        <w:t xml:space="preserve"> </w:t>
      </w:r>
      <w:r w:rsidR="00A5119B" w:rsidRPr="00EA59C0">
        <w:t>that</w:t>
      </w:r>
      <w:r w:rsidR="00C026A6" w:rsidRPr="00EA59C0">
        <w:t xml:space="preserve"> </w:t>
      </w:r>
      <w:r w:rsidR="00A5119B" w:rsidRPr="00EA59C0">
        <w:t>operate</w:t>
      </w:r>
      <w:r w:rsidR="00C026A6" w:rsidRPr="00EA59C0">
        <w:t xml:space="preserve"> </w:t>
      </w:r>
      <w:r w:rsidR="00A5119B" w:rsidRPr="00EA59C0">
        <w:t>the</w:t>
      </w:r>
      <w:r w:rsidR="00C026A6" w:rsidRPr="00EA59C0">
        <w:t xml:space="preserve"> </w:t>
      </w:r>
      <w:r w:rsidR="00A5119B" w:rsidRPr="00EA59C0">
        <w:t>TAA</w:t>
      </w:r>
      <w:r w:rsidR="00C026A6" w:rsidRPr="00EA59C0">
        <w:t xml:space="preserve"> </w:t>
      </w:r>
      <w:r w:rsidR="00A5119B" w:rsidRPr="00EA59C0">
        <w:t>for</w:t>
      </w:r>
      <w:r w:rsidR="00C026A6" w:rsidRPr="00EA59C0">
        <w:t xml:space="preserve"> </w:t>
      </w:r>
      <w:r w:rsidR="00A5119B" w:rsidRPr="00EA59C0">
        <w:t>Workers</w:t>
      </w:r>
      <w:r w:rsidR="00C026A6" w:rsidRPr="00EA59C0">
        <w:t xml:space="preserve"> </w:t>
      </w:r>
      <w:r w:rsidR="00A5119B" w:rsidRPr="00EA59C0">
        <w:t>program,</w:t>
      </w:r>
      <w:r w:rsidR="00C026A6" w:rsidRPr="00EA59C0">
        <w:t xml:space="preserve"> </w:t>
      </w:r>
      <w:r w:rsidR="00A5119B" w:rsidRPr="00EA59C0">
        <w:t>including</w:t>
      </w:r>
      <w:r w:rsidR="00C026A6" w:rsidRPr="00EA59C0">
        <w:t xml:space="preserve"> </w:t>
      </w:r>
      <w:r w:rsidR="00A5119B" w:rsidRPr="00EA59C0">
        <w:t>the</w:t>
      </w:r>
      <w:r w:rsidR="00C026A6" w:rsidRPr="00EA59C0">
        <w:t xml:space="preserve"> </w:t>
      </w:r>
      <w:r w:rsidR="00A5119B" w:rsidRPr="00EA59C0">
        <w:t>State</w:t>
      </w:r>
      <w:r w:rsidR="00C026A6" w:rsidRPr="00EA59C0">
        <w:t xml:space="preserve"> </w:t>
      </w:r>
      <w:r w:rsidR="00A5119B" w:rsidRPr="00EA59C0">
        <w:t>TAA</w:t>
      </w:r>
      <w:r w:rsidR="00C026A6" w:rsidRPr="00EA59C0">
        <w:t xml:space="preserve"> </w:t>
      </w:r>
      <w:r w:rsidR="00A5119B" w:rsidRPr="00EA59C0">
        <w:t>Coordinator</w:t>
      </w:r>
      <w:r w:rsidR="00C026A6" w:rsidRPr="00EA59C0">
        <w:t xml:space="preserve"> </w:t>
      </w:r>
      <w:r w:rsidR="00A5119B" w:rsidRPr="00EA59C0">
        <w:t>and</w:t>
      </w:r>
      <w:r w:rsidR="00C026A6" w:rsidRPr="00EA59C0">
        <w:t xml:space="preserve"> </w:t>
      </w:r>
      <w:r w:rsidR="00A5119B" w:rsidRPr="00EA59C0">
        <w:t>entities</w:t>
      </w:r>
      <w:r w:rsidR="00C026A6" w:rsidRPr="00EA59C0">
        <w:t xml:space="preserve"> </w:t>
      </w:r>
      <w:r w:rsidR="00A5119B" w:rsidRPr="00EA59C0">
        <w:t>in</w:t>
      </w:r>
      <w:r w:rsidR="00C026A6" w:rsidRPr="00EA59C0">
        <w:t xml:space="preserve"> </w:t>
      </w:r>
      <w:r w:rsidR="00A5119B" w:rsidRPr="00EA59C0">
        <w:t>the</w:t>
      </w:r>
      <w:r w:rsidR="00C026A6" w:rsidRPr="00EA59C0">
        <w:t xml:space="preserve"> </w:t>
      </w:r>
      <w:r w:rsidR="00A5119B" w:rsidRPr="00EA59C0">
        <w:t>public</w:t>
      </w:r>
      <w:r w:rsidR="00C026A6" w:rsidRPr="00EA59C0">
        <w:t xml:space="preserve"> </w:t>
      </w:r>
      <w:r w:rsidR="00A5119B" w:rsidRPr="00EA59C0">
        <w:t>workforce</w:t>
      </w:r>
      <w:r w:rsidR="00C026A6" w:rsidRPr="00EA59C0">
        <w:t xml:space="preserve"> </w:t>
      </w:r>
      <w:r w:rsidR="00A5119B" w:rsidRPr="00EA59C0">
        <w:t>system</w:t>
      </w:r>
      <w:r w:rsidR="00C026A6" w:rsidRPr="00EA59C0">
        <w:t xml:space="preserve"> </w:t>
      </w:r>
      <w:r w:rsidR="00A5119B" w:rsidRPr="00EA59C0">
        <w:t>that</w:t>
      </w:r>
      <w:r w:rsidR="00C026A6" w:rsidRPr="00EA59C0">
        <w:t xml:space="preserve"> </w:t>
      </w:r>
      <w:r w:rsidR="00A5119B" w:rsidRPr="00EA59C0">
        <w:t>deliver</w:t>
      </w:r>
      <w:r w:rsidR="00C026A6" w:rsidRPr="00EA59C0">
        <w:t xml:space="preserve"> </w:t>
      </w:r>
      <w:r w:rsidR="00A5119B" w:rsidRPr="00EA59C0">
        <w:t>TAA</w:t>
      </w:r>
      <w:r w:rsidR="00C026A6" w:rsidRPr="00EA59C0">
        <w:t xml:space="preserve"> </w:t>
      </w:r>
      <w:r w:rsidR="00A5119B" w:rsidRPr="00EA59C0">
        <w:t>benefits</w:t>
      </w:r>
      <w:r w:rsidR="00C026A6" w:rsidRPr="00EA59C0">
        <w:t xml:space="preserve"> </w:t>
      </w:r>
      <w:r w:rsidR="00A5119B" w:rsidRPr="00EA59C0">
        <w:t>to</w:t>
      </w:r>
      <w:r w:rsidR="00C026A6" w:rsidRPr="00EA59C0">
        <w:t xml:space="preserve"> </w:t>
      </w:r>
      <w:r w:rsidR="00A5119B" w:rsidRPr="00EA59C0">
        <w:t>TAA-eligible</w:t>
      </w:r>
      <w:r w:rsidR="00C026A6" w:rsidRPr="00EA59C0">
        <w:t xml:space="preserve"> </w:t>
      </w:r>
      <w:r w:rsidR="00A5119B" w:rsidRPr="00EA59C0">
        <w:t>workers</w:t>
      </w:r>
      <w:r w:rsidR="00C026A6" w:rsidRPr="00EA59C0">
        <w:t xml:space="preserve"> </w:t>
      </w:r>
      <w:r w:rsidR="00A5119B" w:rsidRPr="00EA59C0">
        <w:t>in</w:t>
      </w:r>
      <w:r w:rsidR="00C026A6" w:rsidRPr="00EA59C0">
        <w:t xml:space="preserve"> </w:t>
      </w:r>
      <w:r w:rsidR="00A5119B" w:rsidRPr="00EA59C0">
        <w:t>each</w:t>
      </w:r>
      <w:r w:rsidR="00C026A6" w:rsidRPr="00EA59C0">
        <w:t xml:space="preserve"> </w:t>
      </w:r>
      <w:r w:rsidR="005C12D8" w:rsidRPr="00EA59C0">
        <w:t>community</w:t>
      </w:r>
      <w:r w:rsidR="00C026A6" w:rsidRPr="00EA59C0">
        <w:t xml:space="preserve"> </w:t>
      </w:r>
      <w:r w:rsidR="00A5119B" w:rsidRPr="00EA59C0">
        <w:t>in</w:t>
      </w:r>
      <w:r w:rsidR="00C026A6" w:rsidRPr="00EA59C0">
        <w:t xml:space="preserve"> </w:t>
      </w:r>
      <w:r w:rsidR="00A5119B" w:rsidRPr="00EA59C0">
        <w:t>which</w:t>
      </w:r>
      <w:r w:rsidR="00C026A6" w:rsidRPr="00EA59C0">
        <w:t xml:space="preserve"> </w:t>
      </w:r>
      <w:r w:rsidR="00A5119B" w:rsidRPr="00EA59C0">
        <w:t>the</w:t>
      </w:r>
      <w:r w:rsidR="00C026A6" w:rsidRPr="00EA59C0">
        <w:t xml:space="preserve"> </w:t>
      </w:r>
      <w:r w:rsidR="00E03D44" w:rsidRPr="00EA59C0">
        <w:t>project</w:t>
      </w:r>
      <w:r w:rsidR="00C026A6" w:rsidRPr="00EA59C0">
        <w:t xml:space="preserve"> </w:t>
      </w:r>
      <w:r w:rsidR="00A5119B" w:rsidRPr="00EA59C0">
        <w:t>is</w:t>
      </w:r>
      <w:r w:rsidR="00C026A6" w:rsidRPr="00EA59C0">
        <w:t xml:space="preserve"> </w:t>
      </w:r>
      <w:r w:rsidR="00A5119B" w:rsidRPr="00EA59C0">
        <w:t>located.</w:t>
      </w:r>
      <w:r w:rsidR="00C026A6" w:rsidRPr="00EA59C0">
        <w:t xml:space="preserve">  </w:t>
      </w:r>
      <w:r w:rsidR="00A5119B" w:rsidRPr="00EA59C0">
        <w:t>Contact</w:t>
      </w:r>
      <w:r w:rsidR="00C026A6" w:rsidRPr="00EA59C0">
        <w:t xml:space="preserve"> </w:t>
      </w:r>
      <w:r w:rsidR="00A5119B" w:rsidRPr="00EA59C0">
        <w:t>information</w:t>
      </w:r>
      <w:r w:rsidR="00C026A6" w:rsidRPr="00EA59C0">
        <w:t xml:space="preserve"> </w:t>
      </w:r>
      <w:r w:rsidR="00A5119B" w:rsidRPr="00EA59C0">
        <w:t>for</w:t>
      </w:r>
      <w:r w:rsidR="00C026A6" w:rsidRPr="00EA59C0">
        <w:t xml:space="preserve"> </w:t>
      </w:r>
      <w:r w:rsidR="00A5119B" w:rsidRPr="00EA59C0">
        <w:t>these</w:t>
      </w:r>
      <w:r w:rsidR="00C026A6" w:rsidRPr="00EA59C0">
        <w:t xml:space="preserve"> </w:t>
      </w:r>
      <w:r w:rsidR="00A5119B" w:rsidRPr="00EA59C0">
        <w:t>agencies</w:t>
      </w:r>
      <w:r w:rsidR="00C026A6" w:rsidRPr="00EA59C0">
        <w:t xml:space="preserve"> </w:t>
      </w:r>
      <w:r w:rsidR="00A5119B" w:rsidRPr="00EA59C0">
        <w:t>is</w:t>
      </w:r>
      <w:r w:rsidR="00C026A6" w:rsidRPr="00EA59C0">
        <w:t xml:space="preserve"> </w:t>
      </w:r>
      <w:r w:rsidR="00A5119B" w:rsidRPr="00EA59C0">
        <w:t>available</w:t>
      </w:r>
      <w:r w:rsidR="00C026A6" w:rsidRPr="00EA59C0">
        <w:t xml:space="preserve"> </w:t>
      </w:r>
      <w:r w:rsidR="00A5119B" w:rsidRPr="00EA59C0">
        <w:t>electronically</w:t>
      </w:r>
      <w:r w:rsidR="00C026A6" w:rsidRPr="00EA59C0">
        <w:t xml:space="preserve"> </w:t>
      </w:r>
      <w:r w:rsidR="00A5119B" w:rsidRPr="00EA59C0">
        <w:t>at:</w:t>
      </w:r>
      <w:r w:rsidR="00C026A6" w:rsidRPr="00EA59C0">
        <w:t xml:space="preserve">  </w:t>
      </w:r>
      <w:hyperlink r:id="rId255" w:history="1">
        <w:r w:rsidR="00A5119B" w:rsidRPr="00EA59C0">
          <w:rPr>
            <w:rStyle w:val="Hyperlink"/>
            <w:color w:val="auto"/>
          </w:rPr>
          <w:t>http://www.doleta.gov/tradeact/contacts.cfm</w:t>
        </w:r>
      </w:hyperlink>
      <w:r w:rsidR="00A5119B" w:rsidRPr="00EA59C0">
        <w:t>).</w:t>
      </w:r>
      <w:r w:rsidR="00C026A6" w:rsidRPr="00EA59C0">
        <w:t xml:space="preserve">  </w:t>
      </w:r>
      <w:r w:rsidR="00A5119B" w:rsidRPr="00EA59C0">
        <w:t>Describe</w:t>
      </w:r>
      <w:r w:rsidR="00C026A6" w:rsidRPr="00EA59C0">
        <w:t xml:space="preserve"> </w:t>
      </w:r>
      <w:r w:rsidR="00A5119B" w:rsidRPr="00EA59C0">
        <w:t>how</w:t>
      </w:r>
      <w:r w:rsidR="00C026A6" w:rsidRPr="00EA59C0">
        <w:t xml:space="preserve"> </w:t>
      </w:r>
      <w:r w:rsidR="00A5119B" w:rsidRPr="00EA59C0">
        <w:t>these</w:t>
      </w:r>
      <w:r w:rsidR="00C026A6" w:rsidRPr="00EA59C0">
        <w:t xml:space="preserve"> </w:t>
      </w:r>
      <w:r w:rsidR="00A5119B" w:rsidRPr="00EA59C0">
        <w:t>partnerships</w:t>
      </w:r>
      <w:r w:rsidR="00C026A6" w:rsidRPr="00EA59C0">
        <w:t xml:space="preserve"> </w:t>
      </w:r>
      <w:r w:rsidR="00A5119B" w:rsidRPr="00EA59C0">
        <w:t>will</w:t>
      </w:r>
      <w:r w:rsidR="00C026A6" w:rsidRPr="00EA59C0">
        <w:t xml:space="preserve"> </w:t>
      </w:r>
      <w:r w:rsidR="00A5119B" w:rsidRPr="00EA59C0">
        <w:t>be</w:t>
      </w:r>
      <w:r w:rsidR="00C026A6" w:rsidRPr="00EA59C0">
        <w:t xml:space="preserve"> </w:t>
      </w:r>
      <w:r w:rsidR="00A5119B" w:rsidRPr="00EA59C0">
        <w:t>leveraged</w:t>
      </w:r>
      <w:r w:rsidR="00C026A6" w:rsidRPr="00EA59C0">
        <w:t xml:space="preserve"> </w:t>
      </w:r>
      <w:r w:rsidR="00A5119B" w:rsidRPr="00EA59C0">
        <w:t>to</w:t>
      </w:r>
      <w:r w:rsidR="00C026A6" w:rsidRPr="00EA59C0">
        <w:t xml:space="preserve"> </w:t>
      </w:r>
      <w:r w:rsidR="00A5119B" w:rsidRPr="00EA59C0">
        <w:t>ensure</w:t>
      </w:r>
      <w:r w:rsidR="00C026A6" w:rsidRPr="00EA59C0">
        <w:t xml:space="preserve"> </w:t>
      </w:r>
      <w:r w:rsidR="00A5119B" w:rsidRPr="00EA59C0">
        <w:t>that</w:t>
      </w:r>
      <w:r w:rsidR="00C026A6" w:rsidRPr="00EA59C0">
        <w:t xml:space="preserve"> </w:t>
      </w:r>
      <w:r w:rsidR="00A5119B" w:rsidRPr="00EA59C0">
        <w:t>the</w:t>
      </w:r>
      <w:r w:rsidR="00C026A6" w:rsidRPr="00EA59C0">
        <w:t xml:space="preserve"> </w:t>
      </w:r>
      <w:r w:rsidR="00A5119B" w:rsidRPr="00EA59C0">
        <w:t>proposed</w:t>
      </w:r>
      <w:r w:rsidR="00C026A6" w:rsidRPr="00EA59C0">
        <w:t xml:space="preserve"> </w:t>
      </w:r>
      <w:r w:rsidR="00A5119B" w:rsidRPr="00EA59C0">
        <w:t>project</w:t>
      </w:r>
      <w:r w:rsidR="00C026A6" w:rsidRPr="00EA59C0">
        <w:t xml:space="preserve"> </w:t>
      </w:r>
      <w:r w:rsidR="00A5119B" w:rsidRPr="00EA59C0">
        <w:t>will</w:t>
      </w:r>
      <w:r w:rsidR="00C026A6" w:rsidRPr="00EA59C0">
        <w:t xml:space="preserve"> </w:t>
      </w:r>
      <w:r w:rsidR="00A5119B" w:rsidRPr="00EA59C0">
        <w:t>effectively</w:t>
      </w:r>
      <w:r w:rsidR="00C026A6" w:rsidRPr="00EA59C0">
        <w:t xml:space="preserve"> </w:t>
      </w:r>
      <w:r w:rsidR="00A5119B" w:rsidRPr="00EA59C0">
        <w:t>serve</w:t>
      </w:r>
      <w:r w:rsidR="00C026A6" w:rsidRPr="00EA59C0">
        <w:t xml:space="preserve"> </w:t>
      </w:r>
      <w:r w:rsidR="00A5119B" w:rsidRPr="00EA59C0">
        <w:t>TAA-eligible</w:t>
      </w:r>
      <w:r w:rsidR="00C026A6" w:rsidRPr="00EA59C0">
        <w:t xml:space="preserve"> </w:t>
      </w:r>
      <w:r w:rsidR="00A5119B" w:rsidRPr="00EA59C0">
        <w:t>workers</w:t>
      </w:r>
      <w:r w:rsidR="00C026A6" w:rsidRPr="00EA59C0">
        <w:t xml:space="preserve"> </w:t>
      </w:r>
      <w:r w:rsidR="00A5119B" w:rsidRPr="00EA59C0">
        <w:t>and</w:t>
      </w:r>
      <w:r w:rsidR="00C026A6" w:rsidRPr="00EA59C0">
        <w:t xml:space="preserve"> </w:t>
      </w:r>
      <w:r w:rsidR="00A5119B" w:rsidRPr="00EA59C0">
        <w:t>the</w:t>
      </w:r>
      <w:r w:rsidR="00C026A6" w:rsidRPr="00EA59C0">
        <w:t xml:space="preserve"> </w:t>
      </w:r>
      <w:r w:rsidR="00A5119B" w:rsidRPr="00EA59C0">
        <w:t>role</w:t>
      </w:r>
      <w:r w:rsidR="00C026A6" w:rsidRPr="00EA59C0">
        <w:t xml:space="preserve"> </w:t>
      </w:r>
      <w:r w:rsidR="00A5119B" w:rsidRPr="00EA59C0">
        <w:t>of</w:t>
      </w:r>
      <w:r w:rsidR="00C026A6" w:rsidRPr="00EA59C0">
        <w:t xml:space="preserve"> </w:t>
      </w:r>
      <w:r w:rsidR="00A5119B" w:rsidRPr="00EA59C0">
        <w:t>the</w:t>
      </w:r>
      <w:r w:rsidR="00C026A6" w:rsidRPr="00EA59C0">
        <w:t xml:space="preserve"> </w:t>
      </w:r>
      <w:r w:rsidR="00A5119B" w:rsidRPr="00EA59C0">
        <w:t>State</w:t>
      </w:r>
      <w:r w:rsidR="00C026A6" w:rsidRPr="00EA59C0">
        <w:t xml:space="preserve"> </w:t>
      </w:r>
      <w:r w:rsidR="00A5119B" w:rsidRPr="00EA59C0">
        <w:t>TAA</w:t>
      </w:r>
      <w:r w:rsidR="00C026A6" w:rsidRPr="00EA59C0">
        <w:t xml:space="preserve"> </w:t>
      </w:r>
      <w:r w:rsidR="00A5119B" w:rsidRPr="00EA59C0">
        <w:t>Coordinator</w:t>
      </w:r>
      <w:r w:rsidR="00C026A6" w:rsidRPr="00EA59C0">
        <w:t xml:space="preserve"> </w:t>
      </w:r>
      <w:r w:rsidR="0016198C" w:rsidRPr="00EA59C0">
        <w:t>in</w:t>
      </w:r>
      <w:r w:rsidR="00C026A6" w:rsidRPr="00EA59C0">
        <w:t xml:space="preserve"> </w:t>
      </w:r>
      <w:r w:rsidR="0016198C" w:rsidRPr="00EA59C0">
        <w:t>these</w:t>
      </w:r>
      <w:r w:rsidR="00C026A6" w:rsidRPr="00EA59C0">
        <w:t xml:space="preserve"> </w:t>
      </w:r>
      <w:r w:rsidR="0016198C" w:rsidRPr="00EA59C0">
        <w:t>partnerships</w:t>
      </w:r>
      <w:r w:rsidR="00A5119B" w:rsidRPr="00EA59C0">
        <w:t>.</w:t>
      </w:r>
    </w:p>
    <w:p w:rsidR="00A55D64" w:rsidRPr="00EA59C0" w:rsidRDefault="00A55D64" w:rsidP="00C072FA">
      <w:pPr>
        <w:pStyle w:val="ListParagraph"/>
        <w:ind w:left="1080"/>
      </w:pPr>
    </w:p>
    <w:p w:rsidR="00A55D64" w:rsidRPr="00EA59C0" w:rsidRDefault="00A55D64" w:rsidP="00C072FA">
      <w:pPr>
        <w:pStyle w:val="ListParagraph"/>
        <w:numPr>
          <w:ilvl w:val="5"/>
          <w:numId w:val="17"/>
        </w:numPr>
        <w:rPr>
          <w:b/>
        </w:rPr>
      </w:pPr>
      <w:r w:rsidRPr="00EA59C0">
        <w:rPr>
          <w:b/>
        </w:rPr>
        <w:t>Evidence</w:t>
      </w:r>
      <w:r w:rsidR="00C026A6" w:rsidRPr="00EA59C0">
        <w:rPr>
          <w:b/>
        </w:rPr>
        <w:t xml:space="preserve"> </w:t>
      </w:r>
      <w:r w:rsidRPr="00EA59C0">
        <w:rPr>
          <w:b/>
        </w:rPr>
        <w:t>of</w:t>
      </w:r>
      <w:r w:rsidR="00C026A6" w:rsidRPr="00EA59C0">
        <w:rPr>
          <w:b/>
        </w:rPr>
        <w:t xml:space="preserve"> </w:t>
      </w:r>
      <w:r w:rsidRPr="00EA59C0">
        <w:rPr>
          <w:b/>
        </w:rPr>
        <w:t>Job</w:t>
      </w:r>
      <w:r w:rsidR="00C026A6" w:rsidRPr="00EA59C0">
        <w:rPr>
          <w:b/>
        </w:rPr>
        <w:t xml:space="preserve"> </w:t>
      </w:r>
      <w:r w:rsidRPr="00EA59C0">
        <w:rPr>
          <w:b/>
        </w:rPr>
        <w:t>Opportunities</w:t>
      </w:r>
      <w:r w:rsidR="00C026A6" w:rsidRPr="00EA59C0">
        <w:rPr>
          <w:b/>
        </w:rPr>
        <w:t xml:space="preserve"> </w:t>
      </w:r>
      <w:r w:rsidRPr="00EA59C0">
        <w:rPr>
          <w:b/>
        </w:rPr>
        <w:t>in</w:t>
      </w:r>
      <w:r w:rsidR="00C026A6" w:rsidRPr="00EA59C0">
        <w:rPr>
          <w:b/>
        </w:rPr>
        <w:t xml:space="preserve"> </w:t>
      </w:r>
      <w:r w:rsidRPr="00EA59C0">
        <w:rPr>
          <w:b/>
        </w:rPr>
        <w:t>the</w:t>
      </w:r>
      <w:r w:rsidR="00C026A6" w:rsidRPr="00EA59C0">
        <w:rPr>
          <w:b/>
        </w:rPr>
        <w:t xml:space="preserve"> </w:t>
      </w:r>
      <w:r w:rsidRPr="00EA59C0">
        <w:rPr>
          <w:b/>
        </w:rPr>
        <w:t>Targeted</w:t>
      </w:r>
      <w:r w:rsidR="00C026A6" w:rsidRPr="00EA59C0">
        <w:rPr>
          <w:b/>
        </w:rPr>
        <w:t xml:space="preserve"> </w:t>
      </w:r>
      <w:r w:rsidRPr="00EA59C0">
        <w:rPr>
          <w:b/>
        </w:rPr>
        <w:t>Industries</w:t>
      </w:r>
      <w:r w:rsidR="00C026A6" w:rsidRPr="00EA59C0">
        <w:rPr>
          <w:b/>
        </w:rPr>
        <w:t xml:space="preserve"> </w:t>
      </w:r>
      <w:r w:rsidRPr="00EA59C0">
        <w:rPr>
          <w:b/>
        </w:rPr>
        <w:t>and</w:t>
      </w:r>
      <w:r w:rsidR="00C026A6" w:rsidRPr="00EA59C0">
        <w:rPr>
          <w:b/>
        </w:rPr>
        <w:t xml:space="preserve"> </w:t>
      </w:r>
      <w:r w:rsidRPr="00EA59C0">
        <w:rPr>
          <w:b/>
        </w:rPr>
        <w:t>Occupations</w:t>
      </w:r>
    </w:p>
    <w:p w:rsidR="00A55D64" w:rsidRPr="00EA59C0" w:rsidRDefault="00A55D64" w:rsidP="00C072FA">
      <w:pPr>
        <w:pStyle w:val="ListParagraph"/>
        <w:ind w:left="2160"/>
      </w:pPr>
      <w:r w:rsidRPr="00EA59C0">
        <w:t>Applicants</w:t>
      </w:r>
      <w:r w:rsidR="00C026A6" w:rsidRPr="00EA59C0">
        <w:t xml:space="preserve"> </w:t>
      </w:r>
      <w:r w:rsidRPr="00EA59C0">
        <w:t>must</w:t>
      </w:r>
      <w:r w:rsidR="00C026A6" w:rsidRPr="00EA59C0">
        <w:t xml:space="preserve"> </w:t>
      </w:r>
      <w:r w:rsidRPr="00EA59C0">
        <w:t>identify</w:t>
      </w:r>
      <w:r w:rsidR="00C026A6" w:rsidRPr="00EA59C0">
        <w:t xml:space="preserve"> </w:t>
      </w:r>
      <w:r w:rsidRPr="00EA59C0">
        <w:t>the</w:t>
      </w:r>
      <w:r w:rsidR="00C026A6" w:rsidRPr="00EA59C0">
        <w:t xml:space="preserve"> </w:t>
      </w:r>
      <w:r w:rsidRPr="00EA59C0">
        <w:t>specific</w:t>
      </w:r>
      <w:r w:rsidR="00C026A6" w:rsidRPr="00EA59C0">
        <w:t xml:space="preserve"> </w:t>
      </w:r>
      <w:r w:rsidRPr="00EA59C0">
        <w:t>two-digit</w:t>
      </w:r>
      <w:r w:rsidR="00C026A6" w:rsidRPr="00EA59C0">
        <w:t xml:space="preserve"> </w:t>
      </w:r>
      <w:r w:rsidR="000E451A" w:rsidRPr="00EA59C0">
        <w:t>North</w:t>
      </w:r>
      <w:r w:rsidR="00C026A6" w:rsidRPr="00EA59C0">
        <w:t xml:space="preserve"> </w:t>
      </w:r>
      <w:r w:rsidR="000E451A" w:rsidRPr="00EA59C0">
        <w:t>American</w:t>
      </w:r>
      <w:r w:rsidR="00C026A6" w:rsidRPr="00EA59C0">
        <w:t xml:space="preserve"> </w:t>
      </w:r>
      <w:r w:rsidR="000E451A" w:rsidRPr="00EA59C0">
        <w:t>Industrial</w:t>
      </w:r>
      <w:r w:rsidR="00C026A6" w:rsidRPr="00EA59C0">
        <w:t xml:space="preserve"> </w:t>
      </w:r>
      <w:r w:rsidR="000E451A" w:rsidRPr="00EA59C0">
        <w:t>Classification</w:t>
      </w:r>
      <w:r w:rsidR="00C026A6" w:rsidRPr="00EA59C0">
        <w:t xml:space="preserve"> </w:t>
      </w:r>
      <w:r w:rsidR="000E451A" w:rsidRPr="00EA59C0">
        <w:t>System</w:t>
      </w:r>
      <w:r w:rsidR="00C026A6" w:rsidRPr="00EA59C0">
        <w:t xml:space="preserve"> </w:t>
      </w:r>
      <w:r w:rsidR="000E451A" w:rsidRPr="00EA59C0">
        <w:t>(</w:t>
      </w:r>
      <w:r w:rsidRPr="00EA59C0">
        <w:t>NAICS</w:t>
      </w:r>
      <w:r w:rsidR="000E451A" w:rsidRPr="00EA59C0">
        <w:t>)</w:t>
      </w:r>
      <w:r w:rsidR="00C026A6" w:rsidRPr="00EA59C0">
        <w:t xml:space="preserve"> </w:t>
      </w:r>
      <w:r w:rsidRPr="00EA59C0">
        <w:t>Industry</w:t>
      </w:r>
      <w:r w:rsidR="00C026A6" w:rsidRPr="00EA59C0">
        <w:t xml:space="preserve"> </w:t>
      </w:r>
      <w:r w:rsidRPr="00EA59C0">
        <w:t>sector</w:t>
      </w:r>
      <w:r w:rsidR="00C026A6" w:rsidRPr="00EA59C0">
        <w:t xml:space="preserve"> </w:t>
      </w:r>
      <w:r w:rsidRPr="00EA59C0">
        <w:t>code(s)</w:t>
      </w:r>
      <w:r w:rsidR="00C026A6" w:rsidRPr="00EA59C0">
        <w:t xml:space="preserve"> </w:t>
      </w:r>
      <w:r w:rsidR="000E451A" w:rsidRPr="00EA59C0">
        <w:t>for</w:t>
      </w:r>
      <w:r w:rsidR="00C026A6" w:rsidRPr="00EA59C0">
        <w:t xml:space="preserve"> </w:t>
      </w:r>
      <w:r w:rsidR="000E451A" w:rsidRPr="00EA59C0">
        <w:t>the</w:t>
      </w:r>
      <w:r w:rsidR="00C026A6" w:rsidRPr="00EA59C0">
        <w:t xml:space="preserve"> </w:t>
      </w:r>
      <w:r w:rsidR="000E451A" w:rsidRPr="00EA59C0">
        <w:t>industries</w:t>
      </w:r>
      <w:r w:rsidR="00C026A6" w:rsidRPr="00EA59C0">
        <w:t xml:space="preserve"> </w:t>
      </w:r>
      <w:r w:rsidRPr="00EA59C0">
        <w:t>they</w:t>
      </w:r>
      <w:r w:rsidR="00C026A6" w:rsidRPr="00EA59C0">
        <w:t xml:space="preserve"> </w:t>
      </w:r>
      <w:r w:rsidRPr="00EA59C0">
        <w:t>are</w:t>
      </w:r>
      <w:r w:rsidR="00C026A6" w:rsidRPr="00EA59C0">
        <w:t xml:space="preserve"> </w:t>
      </w:r>
      <w:r w:rsidRPr="00EA59C0">
        <w:t>targeting</w:t>
      </w:r>
      <w:r w:rsidR="00C026A6" w:rsidRPr="00EA59C0">
        <w:t xml:space="preserve"> </w:t>
      </w:r>
      <w:r w:rsidRPr="00EA59C0">
        <w:t>and</w:t>
      </w:r>
      <w:r w:rsidR="00C026A6" w:rsidRPr="00EA59C0">
        <w:t xml:space="preserve"> </w:t>
      </w:r>
      <w:r w:rsidRPr="00EA59C0">
        <w:t>provide</w:t>
      </w:r>
      <w:r w:rsidR="00C026A6" w:rsidRPr="00EA59C0">
        <w:t xml:space="preserve"> </w:t>
      </w:r>
      <w:r w:rsidRPr="00EA59C0">
        <w:t>substantial</w:t>
      </w:r>
      <w:r w:rsidR="00C026A6" w:rsidRPr="00EA59C0">
        <w:t xml:space="preserve"> </w:t>
      </w:r>
      <w:r w:rsidRPr="00EA59C0">
        <w:t>and</w:t>
      </w:r>
      <w:r w:rsidR="00C026A6" w:rsidRPr="00EA59C0">
        <w:t xml:space="preserve"> </w:t>
      </w:r>
      <w:r w:rsidRPr="00EA59C0">
        <w:t>detailed</w:t>
      </w:r>
      <w:r w:rsidR="00C026A6" w:rsidRPr="00EA59C0">
        <w:t xml:space="preserve"> </w:t>
      </w:r>
      <w:r w:rsidRPr="00EA59C0">
        <w:t>evidence</w:t>
      </w:r>
      <w:r w:rsidR="00C026A6" w:rsidRPr="00EA59C0">
        <w:t xml:space="preserve"> </w:t>
      </w:r>
      <w:r w:rsidRPr="00EA59C0">
        <w:t>of</w:t>
      </w:r>
      <w:r w:rsidR="00C026A6" w:rsidRPr="00EA59C0">
        <w:t xml:space="preserve"> </w:t>
      </w:r>
      <w:r w:rsidRPr="00EA59C0">
        <w:t>current</w:t>
      </w:r>
      <w:r w:rsidR="00C026A6" w:rsidRPr="00EA59C0">
        <w:t xml:space="preserve"> </w:t>
      </w:r>
      <w:r w:rsidRPr="00EA59C0">
        <w:t>and</w:t>
      </w:r>
      <w:r w:rsidR="00C026A6" w:rsidRPr="00EA59C0">
        <w:t xml:space="preserve"> </w:t>
      </w:r>
      <w:r w:rsidRPr="00EA59C0">
        <w:t>future</w:t>
      </w:r>
      <w:r w:rsidR="00C026A6" w:rsidRPr="00EA59C0">
        <w:t xml:space="preserve"> </w:t>
      </w:r>
      <w:r w:rsidRPr="00EA59C0">
        <w:t>job</w:t>
      </w:r>
      <w:r w:rsidR="00C026A6" w:rsidRPr="00EA59C0">
        <w:t xml:space="preserve"> </w:t>
      </w:r>
      <w:r w:rsidRPr="00EA59C0">
        <w:t>opportunities</w:t>
      </w:r>
      <w:r w:rsidR="00C026A6" w:rsidRPr="00EA59C0">
        <w:t xml:space="preserve"> </w:t>
      </w:r>
      <w:r w:rsidRPr="00EA59C0">
        <w:t>for</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and</w:t>
      </w:r>
      <w:r w:rsidR="00C026A6" w:rsidRPr="00EA59C0">
        <w:t xml:space="preserve"> </w:t>
      </w:r>
      <w:r w:rsidRPr="00EA59C0">
        <w:t>other</w:t>
      </w:r>
      <w:r w:rsidR="00C026A6" w:rsidRPr="00EA59C0">
        <w:t xml:space="preserve"> </w:t>
      </w:r>
      <w:r w:rsidRPr="00EA59C0">
        <w:t>adults</w:t>
      </w:r>
      <w:r w:rsidR="00C026A6" w:rsidRPr="00EA59C0">
        <w:t xml:space="preserve"> </w:t>
      </w:r>
      <w:r w:rsidRPr="00EA59C0">
        <w:t>in</w:t>
      </w:r>
      <w:r w:rsidR="00C026A6" w:rsidRPr="00EA59C0">
        <w:t xml:space="preserve"> </w:t>
      </w:r>
      <w:r w:rsidRPr="00EA59C0">
        <w:t>the</w:t>
      </w:r>
      <w:r w:rsidR="00C026A6" w:rsidRPr="00EA59C0">
        <w:t xml:space="preserve"> </w:t>
      </w:r>
      <w:r w:rsidRPr="00EA59C0">
        <w:t>targeted</w:t>
      </w:r>
      <w:r w:rsidR="00C026A6" w:rsidRPr="00EA59C0">
        <w:t xml:space="preserve"> </w:t>
      </w:r>
      <w:r w:rsidRPr="00EA59C0">
        <w:t>industries</w:t>
      </w:r>
      <w:r w:rsidR="00C026A6" w:rsidRPr="00EA59C0">
        <w:t xml:space="preserve"> </w:t>
      </w:r>
      <w:r w:rsidRPr="00EA59C0">
        <w:t>and</w:t>
      </w:r>
      <w:r w:rsidR="00C026A6" w:rsidRPr="00EA59C0">
        <w:t xml:space="preserve"> </w:t>
      </w:r>
      <w:r w:rsidRPr="00EA59C0">
        <w:t>specific</w:t>
      </w:r>
      <w:r w:rsidR="00C026A6" w:rsidRPr="00EA59C0">
        <w:t xml:space="preserve"> </w:t>
      </w:r>
      <w:r w:rsidRPr="00EA59C0">
        <w:t>occupations</w:t>
      </w:r>
      <w:r w:rsidR="00C026A6" w:rsidRPr="00EA59C0">
        <w:t xml:space="preserve"> </w:t>
      </w:r>
      <w:r w:rsidRPr="00EA59C0">
        <w:t>in</w:t>
      </w:r>
      <w:r w:rsidR="00C026A6" w:rsidRPr="00EA59C0">
        <w:t xml:space="preserve"> </w:t>
      </w:r>
      <w:r w:rsidRPr="00EA59C0">
        <w:t>the</w:t>
      </w:r>
      <w:r w:rsidR="00C026A6" w:rsidRPr="00EA59C0">
        <w:t xml:space="preserve"> </w:t>
      </w:r>
      <w:r w:rsidRPr="00EA59C0">
        <w:t>com</w:t>
      </w:r>
      <w:r w:rsidR="00A5119B" w:rsidRPr="00EA59C0">
        <w:t>munity/communities</w:t>
      </w:r>
      <w:r w:rsidR="00C026A6" w:rsidRPr="00EA59C0">
        <w:t xml:space="preserve"> </w:t>
      </w:r>
      <w:r w:rsidR="00A5119B" w:rsidRPr="00EA59C0">
        <w:t>to</w:t>
      </w:r>
      <w:r w:rsidR="00C026A6" w:rsidRPr="00EA59C0">
        <w:t xml:space="preserve"> </w:t>
      </w:r>
      <w:r w:rsidR="00A5119B" w:rsidRPr="00EA59C0">
        <w:t>be</w:t>
      </w:r>
      <w:r w:rsidR="00C026A6" w:rsidRPr="00EA59C0">
        <w:t xml:space="preserve"> </w:t>
      </w:r>
      <w:r w:rsidR="00A5119B" w:rsidRPr="00EA59C0">
        <w:t>served.</w:t>
      </w:r>
      <w:r w:rsidR="00C026A6" w:rsidRPr="00EA59C0">
        <w:t xml:space="preserve">   </w:t>
      </w:r>
      <w:r w:rsidRPr="00EA59C0">
        <w:t>For</w:t>
      </w:r>
      <w:r w:rsidR="00C026A6" w:rsidRPr="00EA59C0">
        <w:t xml:space="preserve"> </w:t>
      </w:r>
      <w:r w:rsidRPr="00EA59C0">
        <w:t>the</w:t>
      </w:r>
      <w:r w:rsidR="00C026A6" w:rsidRPr="00EA59C0">
        <w:t xml:space="preserve"> </w:t>
      </w:r>
      <w:r w:rsidRPr="00EA59C0">
        <w:t>purposes</w:t>
      </w:r>
      <w:r w:rsidR="00C026A6" w:rsidRPr="00EA59C0">
        <w:t xml:space="preserve"> </w:t>
      </w:r>
      <w:r w:rsidRPr="00EA59C0">
        <w:t>of</w:t>
      </w:r>
      <w:r w:rsidR="00C026A6" w:rsidRPr="00EA59C0">
        <w:t xml:space="preserve"> </w:t>
      </w:r>
      <w:r w:rsidRPr="00EA59C0">
        <w:t>this</w:t>
      </w:r>
      <w:r w:rsidR="00C026A6" w:rsidRPr="00EA59C0">
        <w:t xml:space="preserve"> </w:t>
      </w:r>
      <w:r w:rsidRPr="00EA59C0">
        <w:t>SGA,</w:t>
      </w:r>
      <w:r w:rsidR="00C026A6" w:rsidRPr="00EA59C0">
        <w:t xml:space="preserve"> </w:t>
      </w:r>
      <w:r w:rsidRPr="00EA59C0">
        <w:t>an</w:t>
      </w:r>
      <w:r w:rsidR="00C026A6" w:rsidRPr="00EA59C0">
        <w:t xml:space="preserve"> </w:t>
      </w:r>
      <w:r w:rsidRPr="00EA59C0">
        <w:t>industry</w:t>
      </w:r>
      <w:r w:rsidR="00C026A6" w:rsidRPr="00EA59C0">
        <w:t xml:space="preserve"> </w:t>
      </w:r>
      <w:r w:rsidRPr="00EA59C0">
        <w:t>is</w:t>
      </w:r>
      <w:r w:rsidR="00C026A6" w:rsidRPr="00EA59C0">
        <w:t xml:space="preserve"> </w:t>
      </w:r>
      <w:r w:rsidRPr="00EA59C0">
        <w:t>defined</w:t>
      </w:r>
      <w:r w:rsidR="00C026A6" w:rsidRPr="00EA59C0">
        <w:t xml:space="preserve"> </w:t>
      </w:r>
      <w:r w:rsidRPr="00EA59C0">
        <w:t>as</w:t>
      </w:r>
      <w:r w:rsidR="00C026A6" w:rsidRPr="00EA59C0">
        <w:t xml:space="preserve"> </w:t>
      </w:r>
      <w:r w:rsidRPr="00EA59C0">
        <w:t>any</w:t>
      </w:r>
      <w:r w:rsidR="00C026A6" w:rsidRPr="00EA59C0">
        <w:t xml:space="preserve"> </w:t>
      </w:r>
      <w:r w:rsidRPr="00EA59C0">
        <w:t>of</w:t>
      </w:r>
      <w:r w:rsidR="00C026A6" w:rsidRPr="00EA59C0">
        <w:t xml:space="preserve"> </w:t>
      </w:r>
      <w:r w:rsidRPr="00EA59C0">
        <w:t>the</w:t>
      </w:r>
      <w:r w:rsidR="00C026A6" w:rsidRPr="00EA59C0">
        <w:t xml:space="preserve"> </w:t>
      </w:r>
      <w:r w:rsidRPr="00EA59C0">
        <w:t>2-digit</w:t>
      </w:r>
      <w:r w:rsidR="00C026A6" w:rsidRPr="00EA59C0">
        <w:t xml:space="preserve"> </w:t>
      </w:r>
      <w:r w:rsidRPr="00EA59C0">
        <w:t>economic</w:t>
      </w:r>
      <w:r w:rsidR="00C026A6" w:rsidRPr="00EA59C0">
        <w:t xml:space="preserve"> </w:t>
      </w:r>
      <w:r w:rsidRPr="00EA59C0">
        <w:t>sectors</w:t>
      </w:r>
      <w:r w:rsidR="00C026A6" w:rsidRPr="00EA59C0">
        <w:t xml:space="preserve"> </w:t>
      </w:r>
      <w:r w:rsidRPr="00EA59C0">
        <w:t>identified</w:t>
      </w:r>
      <w:r w:rsidR="00C026A6" w:rsidRPr="00EA59C0">
        <w:t xml:space="preserve"> </w:t>
      </w:r>
      <w:r w:rsidRPr="00EA59C0">
        <w:t>by</w:t>
      </w:r>
      <w:r w:rsidR="00C026A6" w:rsidRPr="00EA59C0">
        <w:t xml:space="preserve"> </w:t>
      </w:r>
      <w:r w:rsidRPr="00EA59C0">
        <w:t>the</w:t>
      </w:r>
      <w:r w:rsidR="00C026A6" w:rsidRPr="00EA59C0">
        <w:t xml:space="preserve"> </w:t>
      </w:r>
      <w:r w:rsidRPr="00EA59C0">
        <w:t>NAICS</w:t>
      </w:r>
      <w:r w:rsidR="00C026A6" w:rsidRPr="00EA59C0">
        <w:t xml:space="preserve"> </w:t>
      </w:r>
      <w:r w:rsidR="000E451A" w:rsidRPr="00EA59C0">
        <w:t>code</w:t>
      </w:r>
      <w:r w:rsidRPr="00EA59C0">
        <w:t>.</w:t>
      </w:r>
      <w:r w:rsidR="00C026A6" w:rsidRPr="00EA59C0">
        <w:t xml:space="preserve">  </w:t>
      </w:r>
      <w:r w:rsidRPr="00EA59C0">
        <w:t>For</w:t>
      </w:r>
      <w:r w:rsidR="00C026A6" w:rsidRPr="00EA59C0">
        <w:t xml:space="preserve"> </w:t>
      </w:r>
      <w:r w:rsidRPr="00EA59C0">
        <w:t>additional</w:t>
      </w:r>
      <w:r w:rsidR="00C026A6" w:rsidRPr="00EA59C0">
        <w:t xml:space="preserve"> </w:t>
      </w:r>
      <w:r w:rsidRPr="00EA59C0">
        <w:t>information</w:t>
      </w:r>
      <w:r w:rsidR="00C026A6" w:rsidRPr="00EA59C0">
        <w:t xml:space="preserve"> </w:t>
      </w:r>
      <w:r w:rsidRPr="00EA59C0">
        <w:t>on</w:t>
      </w:r>
      <w:r w:rsidR="00C026A6" w:rsidRPr="00EA59C0">
        <w:t xml:space="preserve"> </w:t>
      </w:r>
      <w:r w:rsidRPr="00EA59C0">
        <w:t>industries</w:t>
      </w:r>
      <w:r w:rsidR="00C026A6" w:rsidRPr="00EA59C0">
        <w:t xml:space="preserve"> </w:t>
      </w:r>
      <w:r w:rsidRPr="00EA59C0">
        <w:t>by</w:t>
      </w:r>
      <w:r w:rsidR="00C026A6" w:rsidRPr="00EA59C0">
        <w:t xml:space="preserve"> </w:t>
      </w:r>
      <w:r w:rsidRPr="00EA59C0">
        <w:t>NAICS</w:t>
      </w:r>
      <w:r w:rsidR="00C026A6" w:rsidRPr="00EA59C0">
        <w:t xml:space="preserve"> </w:t>
      </w:r>
      <w:r w:rsidR="000E451A" w:rsidRPr="00EA59C0">
        <w:t>code</w:t>
      </w:r>
      <w:r w:rsidRPr="00EA59C0">
        <w:t>,</w:t>
      </w:r>
      <w:r w:rsidR="00C026A6" w:rsidRPr="00EA59C0">
        <w:t xml:space="preserve"> </w:t>
      </w:r>
      <w:r w:rsidRPr="00EA59C0">
        <w:t>see</w:t>
      </w:r>
      <w:r w:rsidR="00C026A6" w:rsidRPr="00EA59C0">
        <w:t xml:space="preserve"> </w:t>
      </w:r>
      <w:r w:rsidRPr="00EA59C0">
        <w:t>Appendix</w:t>
      </w:r>
      <w:r w:rsidR="00C026A6" w:rsidRPr="00EA59C0">
        <w:t xml:space="preserve"> </w:t>
      </w:r>
      <w:r w:rsidR="008A70C1" w:rsidRPr="00EA59C0">
        <w:t>I</w:t>
      </w:r>
      <w:r w:rsidR="00C026A6" w:rsidRPr="00EA59C0">
        <w:t xml:space="preserve"> </w:t>
      </w:r>
      <w:r w:rsidRPr="00EA59C0">
        <w:t>of</w:t>
      </w:r>
      <w:r w:rsidR="00C026A6" w:rsidRPr="00EA59C0">
        <w:t xml:space="preserve"> </w:t>
      </w:r>
      <w:r w:rsidRPr="00EA59C0">
        <w:t>this</w:t>
      </w:r>
      <w:r w:rsidR="00C026A6" w:rsidRPr="00EA59C0">
        <w:t xml:space="preserve"> </w:t>
      </w:r>
      <w:r w:rsidRPr="00EA59C0">
        <w:t>SGA</w:t>
      </w:r>
      <w:r w:rsidR="00C026A6" w:rsidRPr="00EA59C0">
        <w:t xml:space="preserve"> </w:t>
      </w:r>
      <w:r w:rsidRPr="00EA59C0">
        <w:t>or</w:t>
      </w:r>
      <w:r w:rsidR="00C026A6" w:rsidRPr="00EA59C0">
        <w:t xml:space="preserve"> </w:t>
      </w:r>
      <w:r w:rsidRPr="00EA59C0">
        <w:t>visit</w:t>
      </w:r>
      <w:r w:rsidR="00C026A6" w:rsidRPr="00EA59C0">
        <w:t xml:space="preserve"> </w:t>
      </w:r>
      <w:hyperlink r:id="rId256" w:history="1">
        <w:r w:rsidR="00A5119B" w:rsidRPr="00EA59C0">
          <w:rPr>
            <w:rStyle w:val="Hyperlink"/>
            <w:color w:val="auto"/>
          </w:rPr>
          <w:t>http://www.census.gov/eos/www/naics</w:t>
        </w:r>
      </w:hyperlink>
      <w:r w:rsidR="00A5119B" w:rsidRPr="00EA59C0">
        <w:t>.</w:t>
      </w:r>
      <w:r w:rsidR="00C026A6" w:rsidRPr="00EA59C0">
        <w:t xml:space="preserve">  </w:t>
      </w:r>
    </w:p>
    <w:p w:rsidR="00A55D64" w:rsidRPr="00EA59C0" w:rsidRDefault="00A55D64" w:rsidP="00C072FA">
      <w:pPr>
        <w:pStyle w:val="ListParagraph"/>
        <w:numPr>
          <w:ilvl w:val="6"/>
          <w:numId w:val="17"/>
        </w:numPr>
      </w:pPr>
      <w:r w:rsidRPr="00EA59C0">
        <w:t>Evidence</w:t>
      </w:r>
      <w:r w:rsidR="00C026A6" w:rsidRPr="00EA59C0">
        <w:t xml:space="preserve"> </w:t>
      </w:r>
      <w:r w:rsidRPr="00EA59C0">
        <w:t>of</w:t>
      </w:r>
      <w:r w:rsidR="00C026A6" w:rsidRPr="00EA59C0">
        <w:t xml:space="preserve"> </w:t>
      </w:r>
      <w:r w:rsidRPr="00EA59C0">
        <w:t>Employer</w:t>
      </w:r>
      <w:r w:rsidR="00C026A6" w:rsidRPr="00EA59C0">
        <w:t xml:space="preserve"> </w:t>
      </w:r>
      <w:r w:rsidRPr="00EA59C0">
        <w:t>Demand</w:t>
      </w:r>
      <w:r w:rsidR="00C026A6" w:rsidRPr="00EA59C0">
        <w:t xml:space="preserve"> </w:t>
      </w:r>
      <w:r w:rsidRPr="00EA59C0">
        <w:t>for</w:t>
      </w:r>
      <w:r w:rsidR="00C026A6" w:rsidRPr="00EA59C0">
        <w:t xml:space="preserve"> </w:t>
      </w:r>
      <w:r w:rsidRPr="00EA59C0">
        <w:t>Targeted</w:t>
      </w:r>
      <w:r w:rsidR="00C026A6" w:rsidRPr="00EA59C0">
        <w:t xml:space="preserve"> </w:t>
      </w:r>
      <w:r w:rsidRPr="00EA59C0">
        <w:t>Industries</w:t>
      </w:r>
      <w:r w:rsidR="00C026A6" w:rsidRPr="00EA59C0">
        <w:t xml:space="preserve"> </w:t>
      </w:r>
      <w:r w:rsidRPr="00EA59C0">
        <w:t>and</w:t>
      </w:r>
      <w:r w:rsidR="00C026A6" w:rsidRPr="00EA59C0">
        <w:t xml:space="preserve"> </w:t>
      </w:r>
      <w:r w:rsidRPr="00EA59C0">
        <w:t>Occupations</w:t>
      </w:r>
    </w:p>
    <w:p w:rsidR="00A55D64" w:rsidRPr="00EA59C0" w:rsidRDefault="00A55D64" w:rsidP="00080097">
      <w:pPr>
        <w:pStyle w:val="ListParagraph"/>
        <w:numPr>
          <w:ilvl w:val="0"/>
          <w:numId w:val="22"/>
        </w:numPr>
      </w:pPr>
      <w:r w:rsidRPr="00EA59C0">
        <w:t>Using</w:t>
      </w:r>
      <w:r w:rsidR="00C026A6" w:rsidRPr="00EA59C0">
        <w:t xml:space="preserve"> </w:t>
      </w:r>
      <w:r w:rsidRPr="00EA59C0">
        <w:t>accurate</w:t>
      </w:r>
      <w:r w:rsidR="00C026A6" w:rsidRPr="00EA59C0">
        <w:t xml:space="preserve"> </w:t>
      </w:r>
      <w:r w:rsidRPr="00EA59C0">
        <w:t>and</w:t>
      </w:r>
      <w:r w:rsidR="00C026A6" w:rsidRPr="00EA59C0">
        <w:t xml:space="preserve"> </w:t>
      </w:r>
      <w:r w:rsidRPr="00EA59C0">
        <w:t>timely</w:t>
      </w:r>
      <w:r w:rsidR="00C026A6" w:rsidRPr="00EA59C0">
        <w:t xml:space="preserve"> </w:t>
      </w:r>
      <w:r w:rsidRPr="00EA59C0">
        <w:t>labor-market,</w:t>
      </w:r>
      <w:r w:rsidR="00C026A6" w:rsidRPr="00EA59C0">
        <w:t xml:space="preserve"> </w:t>
      </w:r>
      <w:r w:rsidRPr="00EA59C0">
        <w:t>demographic,</w:t>
      </w:r>
      <w:r w:rsidR="00C026A6" w:rsidRPr="00EA59C0">
        <w:t xml:space="preserve"> </w:t>
      </w:r>
      <w:r w:rsidRPr="00EA59C0">
        <w:t>and</w:t>
      </w:r>
      <w:r w:rsidR="00C026A6" w:rsidRPr="00EA59C0">
        <w:t xml:space="preserve"> </w:t>
      </w:r>
      <w:r w:rsidRPr="00EA59C0">
        <w:t>economic</w:t>
      </w:r>
      <w:r w:rsidR="00C026A6" w:rsidRPr="00EA59C0">
        <w:t xml:space="preserve"> </w:t>
      </w:r>
      <w:r w:rsidRPr="00EA59C0">
        <w:t>information,</w:t>
      </w:r>
      <w:r w:rsidR="00C026A6" w:rsidRPr="00EA59C0">
        <w:t xml:space="preserve"> </w:t>
      </w:r>
      <w:r w:rsidRPr="00EA59C0">
        <w:t>describe</w:t>
      </w:r>
      <w:r w:rsidR="00C026A6" w:rsidRPr="00EA59C0">
        <w:t xml:space="preserve"> </w:t>
      </w:r>
      <w:r w:rsidRPr="00EA59C0">
        <w:t>how</w:t>
      </w:r>
      <w:r w:rsidR="00C026A6" w:rsidRPr="00EA59C0">
        <w:t xml:space="preserve"> </w:t>
      </w:r>
      <w:r w:rsidRPr="00EA59C0">
        <w:t>the</w:t>
      </w:r>
      <w:r w:rsidR="00C026A6" w:rsidRPr="00EA59C0">
        <w:t xml:space="preserve"> </w:t>
      </w:r>
      <w:r w:rsidRPr="00EA59C0">
        <w:t>targeted</w:t>
      </w:r>
      <w:r w:rsidR="00C026A6" w:rsidRPr="00EA59C0">
        <w:t xml:space="preserve"> </w:t>
      </w:r>
      <w:r w:rsidRPr="00EA59C0">
        <w:t>industries</w:t>
      </w:r>
      <w:r w:rsidR="00C026A6" w:rsidRPr="00EA59C0">
        <w:t xml:space="preserve"> </w:t>
      </w:r>
      <w:r w:rsidRPr="00EA59C0">
        <w:t>and</w:t>
      </w:r>
      <w:r w:rsidR="00C026A6" w:rsidRPr="00EA59C0">
        <w:t xml:space="preserve"> </w:t>
      </w:r>
      <w:r w:rsidRPr="00EA59C0">
        <w:t>specific</w:t>
      </w:r>
      <w:r w:rsidR="00C026A6" w:rsidRPr="00EA59C0">
        <w:t xml:space="preserve"> </w:t>
      </w:r>
      <w:r w:rsidRPr="00EA59C0">
        <w:t>occupations</w:t>
      </w:r>
      <w:r w:rsidR="00C026A6" w:rsidRPr="00EA59C0">
        <w:t xml:space="preserve"> </w:t>
      </w:r>
      <w:r w:rsidRPr="00EA59C0">
        <w:t>will</w:t>
      </w:r>
      <w:r w:rsidR="00C026A6" w:rsidRPr="00EA59C0">
        <w:t xml:space="preserve"> </w:t>
      </w:r>
      <w:r w:rsidRPr="00EA59C0">
        <w:t>yield</w:t>
      </w:r>
      <w:r w:rsidR="00C026A6" w:rsidRPr="00EA59C0">
        <w:t xml:space="preserve"> </w:t>
      </w:r>
      <w:r w:rsidRPr="00EA59C0">
        <w:t>opportunities</w:t>
      </w:r>
      <w:r w:rsidR="00C026A6" w:rsidRPr="00EA59C0">
        <w:t xml:space="preserve"> </w:t>
      </w:r>
      <w:r w:rsidRPr="00EA59C0">
        <w:t>in</w:t>
      </w:r>
      <w:r w:rsidR="00C026A6" w:rsidRPr="00EA59C0">
        <w:t xml:space="preserve"> </w:t>
      </w:r>
      <w:r w:rsidRPr="00EA59C0">
        <w:t>the</w:t>
      </w:r>
      <w:r w:rsidR="00C026A6" w:rsidRPr="00EA59C0">
        <w:t xml:space="preserve"> </w:t>
      </w:r>
      <w:r w:rsidRPr="00EA59C0">
        <w:t>community</w:t>
      </w:r>
      <w:r w:rsidR="00C026A6" w:rsidRPr="00EA59C0">
        <w:t xml:space="preserve"> </w:t>
      </w:r>
      <w:r w:rsidRPr="00EA59C0">
        <w:t>for</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and</w:t>
      </w:r>
      <w:r w:rsidR="00C026A6" w:rsidRPr="00EA59C0">
        <w:t xml:space="preserve"> </w:t>
      </w:r>
      <w:r w:rsidRPr="00EA59C0">
        <w:t>other</w:t>
      </w:r>
      <w:r w:rsidR="00C026A6" w:rsidRPr="00EA59C0">
        <w:t xml:space="preserve"> </w:t>
      </w:r>
      <w:r w:rsidRPr="00EA59C0">
        <w:t>adults</w:t>
      </w:r>
      <w:r w:rsidR="00C026A6" w:rsidRPr="00EA59C0">
        <w:t xml:space="preserve"> </w:t>
      </w:r>
      <w:r w:rsidRPr="00EA59C0">
        <w:t>who</w:t>
      </w:r>
      <w:r w:rsidR="00C026A6" w:rsidRPr="00EA59C0">
        <w:t xml:space="preserve"> </w:t>
      </w:r>
      <w:r w:rsidRPr="00EA59C0">
        <w:t>enter</w:t>
      </w:r>
      <w:r w:rsidR="00C026A6" w:rsidRPr="00EA59C0">
        <w:t xml:space="preserve"> </w:t>
      </w:r>
      <w:r w:rsidRPr="00EA59C0">
        <w:t>the</w:t>
      </w:r>
      <w:r w:rsidR="00C026A6" w:rsidRPr="00EA59C0">
        <w:t xml:space="preserve"> </w:t>
      </w:r>
      <w:r w:rsidRPr="00EA59C0">
        <w:t>program</w:t>
      </w:r>
      <w:r w:rsidR="00C026A6" w:rsidRPr="00EA59C0">
        <w:t xml:space="preserve"> </w:t>
      </w:r>
      <w:r w:rsidRPr="00EA59C0">
        <w:t>to</w:t>
      </w:r>
      <w:r w:rsidR="00C026A6" w:rsidRPr="00EA59C0">
        <w:t xml:space="preserve"> </w:t>
      </w:r>
      <w:r w:rsidRPr="00EA59C0">
        <w:t>obtain</w:t>
      </w:r>
      <w:r w:rsidR="00C026A6" w:rsidRPr="00EA59C0">
        <w:t xml:space="preserve"> </w:t>
      </w:r>
      <w:r w:rsidRPr="00EA59C0">
        <w:t>employment</w:t>
      </w:r>
      <w:r w:rsidR="00C026A6" w:rsidRPr="00EA59C0">
        <w:t xml:space="preserve"> </w:t>
      </w:r>
      <w:r w:rsidRPr="00EA59C0">
        <w:t>in</w:t>
      </w:r>
      <w:r w:rsidR="00C026A6" w:rsidRPr="00EA59C0">
        <w:t xml:space="preserve"> </w:t>
      </w:r>
      <w:r w:rsidRPr="00EA59C0">
        <w:t>high</w:t>
      </w:r>
      <w:r w:rsidR="00C026A6" w:rsidRPr="00EA59C0">
        <w:t xml:space="preserve"> </w:t>
      </w:r>
      <w:r w:rsidRPr="00EA59C0">
        <w:t>wage,</w:t>
      </w:r>
      <w:r w:rsidR="00C026A6" w:rsidRPr="00EA59C0">
        <w:t xml:space="preserve"> </w:t>
      </w:r>
      <w:r w:rsidRPr="00EA59C0">
        <w:t>high</w:t>
      </w:r>
      <w:r w:rsidR="00C026A6" w:rsidRPr="00EA59C0">
        <w:t xml:space="preserve"> </w:t>
      </w:r>
      <w:r w:rsidRPr="00EA59C0">
        <w:t>skill</w:t>
      </w:r>
      <w:r w:rsidR="00C026A6" w:rsidRPr="00EA59C0">
        <w:t xml:space="preserve"> </w:t>
      </w:r>
      <w:r w:rsidRPr="00EA59C0">
        <w:t>jobs</w:t>
      </w:r>
      <w:r w:rsidR="00C026A6" w:rsidRPr="00EA59C0">
        <w:t xml:space="preserve"> </w:t>
      </w:r>
      <w:r w:rsidRPr="00EA59C0">
        <w:t>or</w:t>
      </w:r>
      <w:r w:rsidR="00C026A6" w:rsidRPr="00EA59C0">
        <w:t xml:space="preserve"> </w:t>
      </w:r>
      <w:r w:rsidRPr="00EA59C0">
        <w:t>advance</w:t>
      </w:r>
      <w:r w:rsidR="00C026A6" w:rsidRPr="00EA59C0">
        <w:t xml:space="preserve"> </w:t>
      </w:r>
      <w:r w:rsidRPr="00EA59C0">
        <w:t>in</w:t>
      </w:r>
      <w:r w:rsidR="00C026A6" w:rsidRPr="00EA59C0">
        <w:t xml:space="preserve"> </w:t>
      </w:r>
      <w:r w:rsidRPr="00EA59C0">
        <w:t>their</w:t>
      </w:r>
      <w:r w:rsidR="00C026A6" w:rsidRPr="00EA59C0">
        <w:t xml:space="preserve"> </w:t>
      </w:r>
      <w:r w:rsidRPr="00EA59C0">
        <w:t>careers,</w:t>
      </w:r>
      <w:r w:rsidR="00C026A6" w:rsidRPr="00EA59C0">
        <w:t xml:space="preserve"> </w:t>
      </w:r>
      <w:r w:rsidRPr="00EA59C0">
        <w:t>and</w:t>
      </w:r>
      <w:r w:rsidR="00C026A6" w:rsidRPr="00EA59C0">
        <w:t xml:space="preserve"> </w:t>
      </w:r>
      <w:r w:rsidRPr="00EA59C0">
        <w:t>identify</w:t>
      </w:r>
      <w:r w:rsidR="00C026A6" w:rsidRPr="00EA59C0">
        <w:t xml:space="preserve"> </w:t>
      </w:r>
      <w:r w:rsidRPr="00EA59C0">
        <w:t>specific</w:t>
      </w:r>
      <w:r w:rsidR="00C026A6" w:rsidRPr="00EA59C0">
        <w:t xml:space="preserve"> </w:t>
      </w:r>
      <w:r w:rsidRPr="00EA59C0">
        <w:t>employers</w:t>
      </w:r>
      <w:r w:rsidR="00C026A6" w:rsidRPr="00EA59C0">
        <w:t xml:space="preserve"> </w:t>
      </w:r>
      <w:r w:rsidRPr="00EA59C0">
        <w:t>that</w:t>
      </w:r>
      <w:r w:rsidR="00C026A6" w:rsidRPr="00EA59C0">
        <w:t xml:space="preserve"> </w:t>
      </w:r>
      <w:r w:rsidRPr="00EA59C0">
        <w:t>are</w:t>
      </w:r>
      <w:r w:rsidR="00C026A6" w:rsidRPr="00EA59C0">
        <w:t xml:space="preserve"> </w:t>
      </w:r>
      <w:r w:rsidRPr="00EA59C0">
        <w:t>expected</w:t>
      </w:r>
      <w:r w:rsidR="00C026A6" w:rsidRPr="00EA59C0">
        <w:t xml:space="preserve"> </w:t>
      </w:r>
      <w:r w:rsidRPr="00EA59C0">
        <w:t>to</w:t>
      </w:r>
      <w:r w:rsidR="00C026A6" w:rsidRPr="00EA59C0">
        <w:t xml:space="preserve"> </w:t>
      </w:r>
      <w:r w:rsidRPr="00EA59C0">
        <w:t>hire</w:t>
      </w:r>
      <w:r w:rsidR="00C026A6" w:rsidRPr="00EA59C0">
        <w:t xml:space="preserve"> </w:t>
      </w:r>
      <w:r w:rsidRPr="00EA59C0">
        <w:t>grant</w:t>
      </w:r>
      <w:r w:rsidR="00C026A6" w:rsidRPr="00EA59C0">
        <w:t xml:space="preserve"> </w:t>
      </w:r>
      <w:r w:rsidRPr="00EA59C0">
        <w:t>participants</w:t>
      </w:r>
      <w:r w:rsidR="00C026A6" w:rsidRPr="00EA59C0">
        <w:t xml:space="preserve"> </w:t>
      </w:r>
      <w:r w:rsidRPr="00EA59C0">
        <w:t>within</w:t>
      </w:r>
      <w:r w:rsidR="00C026A6" w:rsidRPr="00EA59C0">
        <w:t xml:space="preserve"> </w:t>
      </w:r>
      <w:r w:rsidRPr="00EA59C0">
        <w:t>the</w:t>
      </w:r>
      <w:r w:rsidR="00C026A6" w:rsidRPr="00EA59C0">
        <w:t xml:space="preserve"> </w:t>
      </w:r>
      <w:r w:rsidRPr="00EA59C0">
        <w:t>period</w:t>
      </w:r>
      <w:r w:rsidR="00C026A6" w:rsidRPr="00EA59C0">
        <w:t xml:space="preserve"> </w:t>
      </w:r>
      <w:r w:rsidRPr="00EA59C0">
        <w:t>of</w:t>
      </w:r>
      <w:r w:rsidR="00C026A6" w:rsidRPr="00EA59C0">
        <w:t xml:space="preserve"> </w:t>
      </w:r>
      <w:r w:rsidRPr="00EA59C0">
        <w:t>performance.</w:t>
      </w:r>
      <w:r w:rsidR="00C026A6" w:rsidRPr="00EA59C0">
        <w:t xml:space="preserve">  </w:t>
      </w:r>
    </w:p>
    <w:p w:rsidR="00A55D64" w:rsidRPr="00EA59C0" w:rsidRDefault="00A55D64" w:rsidP="00080097">
      <w:pPr>
        <w:pStyle w:val="ListParagraph"/>
        <w:numPr>
          <w:ilvl w:val="0"/>
          <w:numId w:val="22"/>
        </w:numPr>
      </w:pPr>
      <w:r w:rsidRPr="00EA59C0">
        <w:t>Provide</w:t>
      </w:r>
      <w:r w:rsidR="00C026A6" w:rsidRPr="00EA59C0">
        <w:t xml:space="preserve"> </w:t>
      </w:r>
      <w:r w:rsidRPr="00EA59C0">
        <w:t>data</w:t>
      </w:r>
      <w:r w:rsidR="00C026A6" w:rsidRPr="00EA59C0">
        <w:t xml:space="preserve"> </w:t>
      </w:r>
      <w:r w:rsidRPr="00EA59C0">
        <w:t>and</w:t>
      </w:r>
      <w:r w:rsidR="00C026A6" w:rsidRPr="00EA59C0">
        <w:t xml:space="preserve"> </w:t>
      </w:r>
      <w:r w:rsidRPr="00EA59C0">
        <w:t>analysis</w:t>
      </w:r>
      <w:r w:rsidR="00C026A6" w:rsidRPr="00EA59C0">
        <w:t xml:space="preserve"> </w:t>
      </w:r>
      <w:r w:rsidRPr="00EA59C0">
        <w:t>of</w:t>
      </w:r>
      <w:r w:rsidR="00C026A6" w:rsidRPr="00EA59C0">
        <w:t xml:space="preserve"> </w:t>
      </w:r>
      <w:r w:rsidRPr="00EA59C0">
        <w:t>both</w:t>
      </w:r>
      <w:r w:rsidR="00C026A6" w:rsidRPr="00EA59C0">
        <w:t xml:space="preserve"> </w:t>
      </w:r>
      <w:r w:rsidRPr="00EA59C0">
        <w:t>current</w:t>
      </w:r>
      <w:r w:rsidR="00C026A6" w:rsidRPr="00EA59C0">
        <w:t xml:space="preserve"> </w:t>
      </w:r>
      <w:r w:rsidRPr="00EA59C0">
        <w:t>and</w:t>
      </w:r>
      <w:r w:rsidR="00C026A6" w:rsidRPr="00EA59C0">
        <w:t xml:space="preserve"> </w:t>
      </w:r>
      <w:r w:rsidRPr="00EA59C0">
        <w:t>projected</w:t>
      </w:r>
      <w:r w:rsidR="00C026A6" w:rsidRPr="00EA59C0">
        <w:t xml:space="preserve"> </w:t>
      </w:r>
      <w:r w:rsidRPr="00EA59C0">
        <w:t>employment</w:t>
      </w:r>
      <w:r w:rsidR="00C026A6" w:rsidRPr="00EA59C0">
        <w:t xml:space="preserve"> </w:t>
      </w:r>
      <w:r w:rsidRPr="00EA59C0">
        <w:t>opportunities</w:t>
      </w:r>
      <w:r w:rsidR="00C026A6" w:rsidRPr="00EA59C0">
        <w:t xml:space="preserve"> </w:t>
      </w:r>
      <w:r w:rsidRPr="00EA59C0">
        <w:t>for</w:t>
      </w:r>
      <w:r w:rsidR="00C026A6" w:rsidRPr="00EA59C0">
        <w:t xml:space="preserve"> </w:t>
      </w:r>
      <w:r w:rsidRPr="00EA59C0">
        <w:t>each</w:t>
      </w:r>
      <w:r w:rsidR="00C026A6" w:rsidRPr="00EA59C0">
        <w:t xml:space="preserve"> </w:t>
      </w:r>
      <w:r w:rsidRPr="00EA59C0">
        <w:t>targeted</w:t>
      </w:r>
      <w:r w:rsidR="00C026A6" w:rsidRPr="00EA59C0">
        <w:t xml:space="preserve"> </w:t>
      </w:r>
      <w:r w:rsidRPr="00EA59C0">
        <w:t>industry</w:t>
      </w:r>
      <w:r w:rsidR="00C026A6" w:rsidRPr="00EA59C0">
        <w:t xml:space="preserve"> </w:t>
      </w:r>
      <w:r w:rsidRPr="00EA59C0">
        <w:t>and</w:t>
      </w:r>
      <w:r w:rsidR="00C026A6" w:rsidRPr="00EA59C0">
        <w:t xml:space="preserve"> </w:t>
      </w:r>
      <w:r w:rsidRPr="00EA59C0">
        <w:t>specific</w:t>
      </w:r>
      <w:r w:rsidR="00C026A6" w:rsidRPr="00EA59C0">
        <w:t xml:space="preserve"> </w:t>
      </w:r>
      <w:r w:rsidRPr="00EA59C0">
        <w:t>occupation.</w:t>
      </w:r>
      <w:r w:rsidR="00C026A6" w:rsidRPr="00EA59C0">
        <w:t xml:space="preserve">  </w:t>
      </w:r>
      <w:r w:rsidRPr="00EA59C0">
        <w:t>The</w:t>
      </w:r>
      <w:r w:rsidR="00C026A6" w:rsidRPr="00EA59C0">
        <w:t xml:space="preserve"> </w:t>
      </w:r>
      <w:r w:rsidRPr="00EA59C0">
        <w:t>geographic</w:t>
      </w:r>
      <w:r w:rsidR="00C026A6" w:rsidRPr="00EA59C0">
        <w:t xml:space="preserve"> </w:t>
      </w:r>
      <w:r w:rsidRPr="00EA59C0">
        <w:t>scope</w:t>
      </w:r>
      <w:r w:rsidR="00C026A6" w:rsidRPr="00EA59C0">
        <w:t xml:space="preserve"> </w:t>
      </w:r>
      <w:r w:rsidRPr="00EA59C0">
        <w:t>of</w:t>
      </w:r>
      <w:r w:rsidR="00C026A6" w:rsidRPr="00EA59C0">
        <w:t xml:space="preserve"> </w:t>
      </w:r>
      <w:r w:rsidRPr="00EA59C0">
        <w:t>the</w:t>
      </w:r>
      <w:r w:rsidR="00C026A6" w:rsidRPr="00EA59C0">
        <w:t xml:space="preserve"> </w:t>
      </w:r>
      <w:r w:rsidRPr="00EA59C0">
        <w:t>LMI</w:t>
      </w:r>
      <w:r w:rsidR="00C026A6" w:rsidRPr="00EA59C0">
        <w:t xml:space="preserve"> </w:t>
      </w:r>
      <w:r w:rsidRPr="00EA59C0">
        <w:t>data</w:t>
      </w:r>
      <w:r w:rsidR="00C026A6" w:rsidRPr="00EA59C0">
        <w:t xml:space="preserve"> </w:t>
      </w:r>
      <w:r w:rsidRPr="00EA59C0">
        <w:t>must</w:t>
      </w:r>
      <w:r w:rsidR="00C026A6" w:rsidRPr="00EA59C0">
        <w:t xml:space="preserve"> </w:t>
      </w:r>
      <w:r w:rsidRPr="00EA59C0">
        <w:t>match</w:t>
      </w:r>
      <w:r w:rsidR="00C026A6" w:rsidRPr="00EA59C0">
        <w:t xml:space="preserve"> </w:t>
      </w:r>
      <w:r w:rsidRPr="00EA59C0">
        <w:t>the</w:t>
      </w:r>
      <w:r w:rsidR="00C026A6" w:rsidRPr="00EA59C0">
        <w:t xml:space="preserve"> </w:t>
      </w:r>
      <w:r w:rsidRPr="00EA59C0">
        <w:t>geographic</w:t>
      </w:r>
      <w:r w:rsidR="00C026A6" w:rsidRPr="00EA59C0">
        <w:t xml:space="preserve"> </w:t>
      </w:r>
      <w:r w:rsidRPr="00EA59C0">
        <w:t>scope</w:t>
      </w:r>
      <w:r w:rsidR="00C026A6" w:rsidRPr="00EA59C0">
        <w:t xml:space="preserve"> </w:t>
      </w:r>
      <w:r w:rsidRPr="00EA59C0">
        <w:t>of</w:t>
      </w:r>
      <w:r w:rsidR="00C026A6" w:rsidRPr="00EA59C0">
        <w:t xml:space="preserve"> </w:t>
      </w:r>
      <w:r w:rsidRPr="00EA59C0">
        <w:t>the</w:t>
      </w:r>
      <w:r w:rsidR="00C026A6" w:rsidRPr="00EA59C0">
        <w:t xml:space="preserve"> </w:t>
      </w:r>
      <w:r w:rsidRPr="00EA59C0">
        <w:t>proposed</w:t>
      </w:r>
      <w:r w:rsidR="00C026A6" w:rsidRPr="00EA59C0">
        <w:t xml:space="preserve"> </w:t>
      </w:r>
      <w:r w:rsidRPr="00EA59C0">
        <w:t>project</w:t>
      </w:r>
      <w:r w:rsidR="00C026A6" w:rsidRPr="00EA59C0">
        <w:t xml:space="preserve"> </w:t>
      </w:r>
      <w:r w:rsidRPr="00EA59C0">
        <w:t>(such</w:t>
      </w:r>
      <w:r w:rsidR="00C026A6" w:rsidRPr="00EA59C0">
        <w:t xml:space="preserve"> </w:t>
      </w:r>
      <w:r w:rsidRPr="00EA59C0">
        <w:t>as</w:t>
      </w:r>
      <w:r w:rsidR="00C026A6" w:rsidRPr="00EA59C0">
        <w:t xml:space="preserve"> </w:t>
      </w:r>
      <w:r w:rsidRPr="00EA59C0">
        <w:t>state,</w:t>
      </w:r>
      <w:r w:rsidR="00C026A6" w:rsidRPr="00EA59C0">
        <w:t xml:space="preserve"> </w:t>
      </w:r>
      <w:r w:rsidRPr="00EA59C0">
        <w:t>regional,</w:t>
      </w:r>
      <w:r w:rsidR="00C026A6" w:rsidRPr="00EA59C0">
        <w:t xml:space="preserve"> </w:t>
      </w:r>
      <w:r w:rsidRPr="00EA59C0">
        <w:t>or</w:t>
      </w:r>
      <w:r w:rsidR="00C026A6" w:rsidRPr="00EA59C0">
        <w:t xml:space="preserve"> </w:t>
      </w:r>
      <w:r w:rsidRPr="00EA59C0">
        <w:t>national</w:t>
      </w:r>
      <w:r w:rsidR="00C026A6" w:rsidRPr="00EA59C0">
        <w:t xml:space="preserve"> </w:t>
      </w:r>
      <w:r w:rsidRPr="00EA59C0">
        <w:t>in</w:t>
      </w:r>
      <w:r w:rsidR="00C026A6" w:rsidRPr="00EA59C0">
        <w:t xml:space="preserve"> </w:t>
      </w:r>
      <w:r w:rsidRPr="00EA59C0">
        <w:t>the</w:t>
      </w:r>
      <w:r w:rsidR="00C026A6" w:rsidRPr="00EA59C0">
        <w:t xml:space="preserve"> </w:t>
      </w:r>
      <w:r w:rsidRPr="00EA59C0">
        <w:t>case</w:t>
      </w:r>
      <w:r w:rsidR="00C026A6" w:rsidRPr="00EA59C0">
        <w:t xml:space="preserve"> </w:t>
      </w:r>
      <w:r w:rsidRPr="00EA59C0">
        <w:t>of</w:t>
      </w:r>
      <w:r w:rsidR="00C026A6" w:rsidRPr="00EA59C0">
        <w:t xml:space="preserve"> </w:t>
      </w:r>
      <w:r w:rsidRPr="00EA59C0">
        <w:t>online</w:t>
      </w:r>
      <w:r w:rsidR="00C026A6" w:rsidRPr="00EA59C0">
        <w:t xml:space="preserve"> </w:t>
      </w:r>
      <w:r w:rsidRPr="00EA59C0">
        <w:t>learning).</w:t>
      </w:r>
      <w:r w:rsidR="00C026A6" w:rsidRPr="00EA59C0">
        <w:t xml:space="preserve">  </w:t>
      </w:r>
      <w:r w:rsidRPr="00EA59C0">
        <w:t>This</w:t>
      </w:r>
      <w:r w:rsidR="00C026A6" w:rsidRPr="00EA59C0">
        <w:t xml:space="preserve"> </w:t>
      </w:r>
      <w:r w:rsidR="003F0959" w:rsidRPr="00EA59C0">
        <w:t>must</w:t>
      </w:r>
      <w:r w:rsidR="00C026A6" w:rsidRPr="00EA59C0">
        <w:t xml:space="preserve"> </w:t>
      </w:r>
      <w:r w:rsidRPr="00EA59C0">
        <w:t>include</w:t>
      </w:r>
      <w:r w:rsidR="00C026A6" w:rsidRPr="00EA59C0">
        <w:t xml:space="preserve"> </w:t>
      </w:r>
      <w:r w:rsidRPr="00EA59C0">
        <w:t>data</w:t>
      </w:r>
      <w:r w:rsidR="00C026A6" w:rsidRPr="00EA59C0">
        <w:t xml:space="preserve"> </w:t>
      </w:r>
      <w:r w:rsidRPr="00EA59C0">
        <w:t>on</w:t>
      </w:r>
      <w:r w:rsidR="00C026A6" w:rsidRPr="00EA59C0">
        <w:t xml:space="preserve"> </w:t>
      </w:r>
      <w:r w:rsidRPr="00EA59C0">
        <w:t>current</w:t>
      </w:r>
      <w:r w:rsidR="00C026A6" w:rsidRPr="00EA59C0">
        <w:t xml:space="preserve"> </w:t>
      </w:r>
      <w:r w:rsidRPr="00EA59C0">
        <w:t>and</w:t>
      </w:r>
      <w:r w:rsidR="00C026A6" w:rsidRPr="00EA59C0">
        <w:t xml:space="preserve"> </w:t>
      </w:r>
      <w:r w:rsidRPr="00EA59C0">
        <w:t>expected</w:t>
      </w:r>
      <w:r w:rsidR="00C026A6" w:rsidRPr="00EA59C0">
        <w:t xml:space="preserve"> </w:t>
      </w:r>
      <w:r w:rsidRPr="00EA59C0">
        <w:t>job</w:t>
      </w:r>
      <w:r w:rsidR="00C026A6" w:rsidRPr="00EA59C0">
        <w:t xml:space="preserve"> </w:t>
      </w:r>
      <w:r w:rsidRPr="00EA59C0">
        <w:t>openings</w:t>
      </w:r>
      <w:r w:rsidR="00C026A6" w:rsidRPr="00EA59C0">
        <w:t xml:space="preserve"> </w:t>
      </w:r>
      <w:r w:rsidRPr="00EA59C0">
        <w:t>with</w:t>
      </w:r>
      <w:r w:rsidR="00C026A6" w:rsidRPr="00EA59C0">
        <w:t xml:space="preserve"> </w:t>
      </w:r>
      <w:r w:rsidRPr="00EA59C0">
        <w:t>at</w:t>
      </w:r>
      <w:r w:rsidR="00C026A6" w:rsidRPr="00EA59C0">
        <w:t xml:space="preserve"> </w:t>
      </w:r>
      <w:r w:rsidRPr="00EA59C0">
        <w:t>least</w:t>
      </w:r>
      <w:r w:rsidR="00C026A6" w:rsidRPr="00EA59C0">
        <w:t xml:space="preserve"> </w:t>
      </w:r>
      <w:r w:rsidR="00DD7713" w:rsidRPr="00EA59C0">
        <w:t>two</w:t>
      </w:r>
      <w:r w:rsidR="00C026A6" w:rsidRPr="00EA59C0">
        <w:t xml:space="preserve"> </w:t>
      </w:r>
      <w:r w:rsidRPr="00EA59C0">
        <w:t>employer</w:t>
      </w:r>
      <w:r w:rsidR="00DD7713" w:rsidRPr="00EA59C0">
        <w:t>s</w:t>
      </w:r>
      <w:r w:rsidR="00C026A6" w:rsidRPr="00EA59C0">
        <w:t xml:space="preserve"> </w:t>
      </w:r>
      <w:r w:rsidRPr="00EA59C0">
        <w:t>in</w:t>
      </w:r>
      <w:r w:rsidR="00C026A6" w:rsidRPr="00EA59C0">
        <w:t xml:space="preserve"> </w:t>
      </w:r>
      <w:r w:rsidRPr="00EA59C0">
        <w:t>the</w:t>
      </w:r>
      <w:r w:rsidR="00C026A6" w:rsidRPr="00EA59C0">
        <w:t xml:space="preserve"> </w:t>
      </w:r>
      <w:r w:rsidRPr="00EA59C0">
        <w:t>community</w:t>
      </w:r>
      <w:r w:rsidR="00C026A6" w:rsidRPr="00EA59C0">
        <w:t xml:space="preserve"> </w:t>
      </w:r>
      <w:r w:rsidRPr="00EA59C0">
        <w:t>in</w:t>
      </w:r>
      <w:r w:rsidR="00C026A6" w:rsidRPr="00EA59C0">
        <w:t xml:space="preserve"> </w:t>
      </w:r>
      <w:r w:rsidRPr="00EA59C0">
        <w:t>each</w:t>
      </w:r>
      <w:r w:rsidR="00C026A6" w:rsidRPr="00EA59C0">
        <w:t xml:space="preserve"> </w:t>
      </w:r>
      <w:r w:rsidRPr="00EA59C0">
        <w:t>targeted</w:t>
      </w:r>
      <w:r w:rsidR="00C026A6" w:rsidRPr="00EA59C0">
        <w:t xml:space="preserve"> </w:t>
      </w:r>
      <w:r w:rsidRPr="00EA59C0">
        <w:t>industry,</w:t>
      </w:r>
      <w:r w:rsidR="00C026A6" w:rsidRPr="00EA59C0">
        <w:t xml:space="preserve"> </w:t>
      </w:r>
      <w:r w:rsidRPr="00EA59C0">
        <w:t>and</w:t>
      </w:r>
      <w:r w:rsidR="00C026A6" w:rsidRPr="00EA59C0">
        <w:t xml:space="preserve"> </w:t>
      </w:r>
      <w:r w:rsidRPr="00EA59C0">
        <w:t>may</w:t>
      </w:r>
      <w:r w:rsidR="00C026A6" w:rsidRPr="00EA59C0">
        <w:t xml:space="preserve"> </w:t>
      </w:r>
      <w:r w:rsidRPr="00EA59C0">
        <w:t>include</w:t>
      </w:r>
      <w:r w:rsidR="00C026A6" w:rsidRPr="00EA59C0">
        <w:t xml:space="preserve"> </w:t>
      </w:r>
      <w:r w:rsidRPr="00EA59C0">
        <w:t>commitments</w:t>
      </w:r>
      <w:r w:rsidR="00C026A6" w:rsidRPr="00EA59C0">
        <w:t xml:space="preserve"> </w:t>
      </w:r>
      <w:r w:rsidRPr="00EA59C0">
        <w:t>from</w:t>
      </w:r>
      <w:r w:rsidR="00C026A6" w:rsidRPr="00EA59C0">
        <w:t xml:space="preserve"> </w:t>
      </w:r>
      <w:r w:rsidRPr="00EA59C0">
        <w:t>employers</w:t>
      </w:r>
      <w:r w:rsidR="00C026A6" w:rsidRPr="00EA59C0">
        <w:t xml:space="preserve"> </w:t>
      </w:r>
      <w:r w:rsidRPr="00EA59C0">
        <w:t>who</w:t>
      </w:r>
      <w:r w:rsidR="00C026A6" w:rsidRPr="00EA59C0">
        <w:t xml:space="preserve"> </w:t>
      </w:r>
      <w:r w:rsidRPr="00EA59C0">
        <w:t>expect</w:t>
      </w:r>
      <w:r w:rsidR="00C026A6" w:rsidRPr="00EA59C0">
        <w:t xml:space="preserve"> </w:t>
      </w:r>
      <w:r w:rsidRPr="00EA59C0">
        <w:t>to</w:t>
      </w:r>
      <w:r w:rsidR="00C026A6" w:rsidRPr="00EA59C0">
        <w:t xml:space="preserve"> </w:t>
      </w:r>
      <w:r w:rsidRPr="00EA59C0">
        <w:t>hire</w:t>
      </w:r>
      <w:r w:rsidR="00C026A6" w:rsidRPr="00EA59C0">
        <w:t xml:space="preserve"> </w:t>
      </w:r>
      <w:r w:rsidRPr="00EA59C0">
        <w:t>program</w:t>
      </w:r>
      <w:r w:rsidR="00C026A6" w:rsidRPr="00EA59C0">
        <w:t xml:space="preserve"> </w:t>
      </w:r>
      <w:r w:rsidRPr="00EA59C0">
        <w:t>participants.</w:t>
      </w:r>
      <w:r w:rsidR="00C026A6" w:rsidRPr="00EA59C0">
        <w:t xml:space="preserve">  </w:t>
      </w:r>
    </w:p>
    <w:p w:rsidR="00A55D64" w:rsidRPr="00EA59C0" w:rsidRDefault="00A55D64" w:rsidP="00C072FA">
      <w:pPr>
        <w:pStyle w:val="ListParagraph"/>
        <w:numPr>
          <w:ilvl w:val="6"/>
          <w:numId w:val="17"/>
        </w:numPr>
      </w:pPr>
      <w:r w:rsidRPr="00EA59C0">
        <w:t>Understanding</w:t>
      </w:r>
      <w:r w:rsidR="00C026A6" w:rsidRPr="00EA59C0">
        <w:t xml:space="preserve"> </w:t>
      </w:r>
      <w:r w:rsidRPr="00EA59C0">
        <w:t>of</w:t>
      </w:r>
      <w:r w:rsidR="00C026A6" w:rsidRPr="00EA59C0">
        <w:t xml:space="preserve"> </w:t>
      </w:r>
      <w:r w:rsidRPr="00EA59C0">
        <w:t>Skills</w:t>
      </w:r>
      <w:r w:rsidR="00C026A6" w:rsidRPr="00EA59C0">
        <w:t xml:space="preserve"> </w:t>
      </w:r>
      <w:r w:rsidRPr="00EA59C0">
        <w:t>Required</w:t>
      </w:r>
      <w:r w:rsidR="00C026A6" w:rsidRPr="00EA59C0">
        <w:t xml:space="preserve"> </w:t>
      </w:r>
      <w:r w:rsidRPr="00EA59C0">
        <w:t>in</w:t>
      </w:r>
      <w:r w:rsidR="00C026A6" w:rsidRPr="00EA59C0">
        <w:t xml:space="preserve"> </w:t>
      </w:r>
      <w:r w:rsidRPr="00EA59C0">
        <w:t>the</w:t>
      </w:r>
      <w:r w:rsidR="00C026A6" w:rsidRPr="00EA59C0">
        <w:t xml:space="preserve"> </w:t>
      </w:r>
      <w:r w:rsidRPr="00EA59C0">
        <w:t>Targeted</w:t>
      </w:r>
      <w:r w:rsidR="00C026A6" w:rsidRPr="00EA59C0">
        <w:t xml:space="preserve"> </w:t>
      </w:r>
      <w:r w:rsidRPr="00EA59C0">
        <w:t>Industries</w:t>
      </w:r>
      <w:r w:rsidR="00C026A6" w:rsidRPr="00EA59C0">
        <w:t xml:space="preserve"> </w:t>
      </w:r>
      <w:r w:rsidRPr="00EA59C0">
        <w:t>and</w:t>
      </w:r>
      <w:r w:rsidR="00C026A6" w:rsidRPr="00EA59C0">
        <w:t xml:space="preserve"> </w:t>
      </w:r>
      <w:r w:rsidRPr="00EA59C0">
        <w:t>Occupations</w:t>
      </w:r>
    </w:p>
    <w:p w:rsidR="00A55D64" w:rsidRPr="00EA59C0" w:rsidRDefault="00A55D64" w:rsidP="00C072FA">
      <w:pPr>
        <w:ind w:left="2520"/>
      </w:pPr>
      <w:r w:rsidRPr="00EA59C0">
        <w:t>Describe</w:t>
      </w:r>
      <w:r w:rsidR="00C026A6" w:rsidRPr="00EA59C0">
        <w:t xml:space="preserve"> </w:t>
      </w:r>
      <w:r w:rsidRPr="00EA59C0">
        <w:t>the</w:t>
      </w:r>
      <w:r w:rsidR="00C026A6" w:rsidRPr="00EA59C0">
        <w:t xml:space="preserve"> </w:t>
      </w:r>
      <w:r w:rsidRPr="00EA59C0">
        <w:t>job</w:t>
      </w:r>
      <w:r w:rsidR="00C026A6" w:rsidRPr="00EA59C0">
        <w:t xml:space="preserve"> </w:t>
      </w:r>
      <w:r w:rsidRPr="00EA59C0">
        <w:t>knowledge,</w:t>
      </w:r>
      <w:r w:rsidR="00C026A6" w:rsidRPr="00EA59C0">
        <w:t xml:space="preserve"> </w:t>
      </w:r>
      <w:r w:rsidRPr="00EA59C0">
        <w:t>skills,</w:t>
      </w:r>
      <w:r w:rsidR="00C026A6" w:rsidRPr="00EA59C0">
        <w:t xml:space="preserve"> </w:t>
      </w:r>
      <w:r w:rsidRPr="00EA59C0">
        <w:t>abilities,</w:t>
      </w:r>
      <w:r w:rsidR="00C026A6" w:rsidRPr="00EA59C0">
        <w:t xml:space="preserve"> </w:t>
      </w:r>
      <w:r w:rsidRPr="00EA59C0">
        <w:t>and</w:t>
      </w:r>
      <w:r w:rsidR="00C026A6" w:rsidRPr="00EA59C0">
        <w:t xml:space="preserve"> </w:t>
      </w:r>
      <w:r w:rsidRPr="00EA59C0">
        <w:t>credentials</w:t>
      </w:r>
      <w:r w:rsidR="00C026A6" w:rsidRPr="00EA59C0">
        <w:t xml:space="preserve"> </w:t>
      </w:r>
      <w:r w:rsidRPr="00EA59C0">
        <w:t>required</w:t>
      </w:r>
      <w:r w:rsidR="00C026A6" w:rsidRPr="00EA59C0">
        <w:t xml:space="preserve"> </w:t>
      </w:r>
      <w:r w:rsidRPr="00EA59C0">
        <w:t>to</w:t>
      </w:r>
      <w:r w:rsidR="00C026A6" w:rsidRPr="00EA59C0">
        <w:t xml:space="preserve"> </w:t>
      </w:r>
      <w:r w:rsidRPr="00EA59C0">
        <w:t>work</w:t>
      </w:r>
      <w:r w:rsidR="00C026A6" w:rsidRPr="00EA59C0">
        <w:t xml:space="preserve"> </w:t>
      </w:r>
      <w:r w:rsidRPr="00EA59C0">
        <w:t>in</w:t>
      </w:r>
      <w:r w:rsidR="00C026A6" w:rsidRPr="00EA59C0">
        <w:t xml:space="preserve"> </w:t>
      </w:r>
      <w:r w:rsidRPr="00EA59C0">
        <w:t>the</w:t>
      </w:r>
      <w:r w:rsidR="00C026A6" w:rsidRPr="00EA59C0">
        <w:t xml:space="preserve"> </w:t>
      </w:r>
      <w:r w:rsidRPr="00EA59C0">
        <w:t>targeted</w:t>
      </w:r>
      <w:r w:rsidR="00C026A6" w:rsidRPr="00EA59C0">
        <w:t xml:space="preserve"> </w:t>
      </w:r>
      <w:r w:rsidRPr="00EA59C0">
        <w:t>industries</w:t>
      </w:r>
      <w:r w:rsidR="00C026A6" w:rsidRPr="00EA59C0">
        <w:t xml:space="preserve"> </w:t>
      </w:r>
      <w:r w:rsidRPr="00EA59C0">
        <w:t>and</w:t>
      </w:r>
      <w:r w:rsidR="00C026A6" w:rsidRPr="00EA59C0">
        <w:t xml:space="preserve"> </w:t>
      </w:r>
      <w:r w:rsidRPr="00EA59C0">
        <w:t>occupations,</w:t>
      </w:r>
      <w:r w:rsidR="00C026A6" w:rsidRPr="00EA59C0">
        <w:t xml:space="preserve"> </w:t>
      </w:r>
      <w:r w:rsidRPr="00EA59C0">
        <w:t>and</w:t>
      </w:r>
      <w:r w:rsidR="00C026A6" w:rsidRPr="00EA59C0">
        <w:t xml:space="preserve"> </w:t>
      </w:r>
      <w:r w:rsidRPr="00EA59C0">
        <w:t>provide</w:t>
      </w:r>
      <w:r w:rsidR="00C026A6" w:rsidRPr="00EA59C0">
        <w:t xml:space="preserve"> </w:t>
      </w:r>
      <w:r w:rsidRPr="00EA59C0">
        <w:t>a</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how</w:t>
      </w:r>
      <w:r w:rsidR="00C026A6" w:rsidRPr="00EA59C0">
        <w:t xml:space="preserve"> </w:t>
      </w:r>
      <w:r w:rsidRPr="00EA59C0">
        <w:t>the</w:t>
      </w:r>
      <w:r w:rsidR="00C026A6" w:rsidRPr="00EA59C0">
        <w:t xml:space="preserve"> </w:t>
      </w:r>
      <w:r w:rsidRPr="00EA59C0">
        <w:t>applicant</w:t>
      </w:r>
      <w:r w:rsidR="00C026A6" w:rsidRPr="00EA59C0">
        <w:t xml:space="preserve"> </w:t>
      </w:r>
      <w:r w:rsidRPr="00EA59C0">
        <w:t>will</w:t>
      </w:r>
      <w:r w:rsidR="00C026A6" w:rsidRPr="00EA59C0">
        <w:t xml:space="preserve"> </w:t>
      </w:r>
      <w:r w:rsidRPr="00EA59C0">
        <w:t>engage</w:t>
      </w:r>
      <w:r w:rsidR="00C026A6" w:rsidRPr="00EA59C0">
        <w:t xml:space="preserve"> </w:t>
      </w:r>
      <w:r w:rsidRPr="00EA59C0">
        <w:t>with</w:t>
      </w:r>
      <w:r w:rsidR="00C026A6" w:rsidRPr="00EA59C0">
        <w:t xml:space="preserve"> </w:t>
      </w:r>
      <w:r w:rsidRPr="00EA59C0">
        <w:t>employers</w:t>
      </w:r>
      <w:r w:rsidR="00C026A6" w:rsidRPr="00EA59C0">
        <w:t xml:space="preserve"> </w:t>
      </w:r>
      <w:r w:rsidRPr="00EA59C0">
        <w:t>in</w:t>
      </w:r>
      <w:r w:rsidR="00C026A6" w:rsidRPr="00EA59C0">
        <w:t xml:space="preserve"> </w:t>
      </w:r>
      <w:r w:rsidRPr="00EA59C0">
        <w:t>the</w:t>
      </w:r>
      <w:r w:rsidR="00C026A6" w:rsidRPr="00EA59C0">
        <w:t xml:space="preserve"> </w:t>
      </w:r>
      <w:r w:rsidRPr="00EA59C0">
        <w:t>community</w:t>
      </w:r>
      <w:r w:rsidR="00C026A6" w:rsidRPr="00EA59C0">
        <w:t xml:space="preserve"> </w:t>
      </w:r>
      <w:r w:rsidRPr="00EA59C0">
        <w:t>to</w:t>
      </w:r>
      <w:r w:rsidR="00C026A6" w:rsidRPr="00EA59C0">
        <w:t xml:space="preserve"> </w:t>
      </w:r>
      <w:r w:rsidRPr="00EA59C0">
        <w:t>obtain</w:t>
      </w:r>
      <w:r w:rsidR="00C026A6" w:rsidRPr="00EA59C0">
        <w:t xml:space="preserve"> </w:t>
      </w:r>
      <w:r w:rsidRPr="00EA59C0">
        <w:t>their</w:t>
      </w:r>
      <w:r w:rsidR="00C026A6" w:rsidRPr="00EA59C0">
        <w:t xml:space="preserve"> </w:t>
      </w:r>
      <w:r w:rsidRPr="00EA59C0">
        <w:t>feedback</w:t>
      </w:r>
      <w:r w:rsidR="00C026A6" w:rsidRPr="00EA59C0">
        <w:t xml:space="preserve"> </w:t>
      </w:r>
      <w:r w:rsidRPr="00EA59C0">
        <w:t>on</w:t>
      </w:r>
      <w:r w:rsidR="00C026A6" w:rsidRPr="00EA59C0">
        <w:t xml:space="preserve"> </w:t>
      </w:r>
      <w:r w:rsidRPr="00EA59C0">
        <w:t>any</w:t>
      </w:r>
      <w:r w:rsidR="00C026A6" w:rsidRPr="00EA59C0">
        <w:t xml:space="preserve"> </w:t>
      </w:r>
      <w:r w:rsidRPr="00EA59C0">
        <w:t>content</w:t>
      </w:r>
      <w:r w:rsidR="00C026A6" w:rsidRPr="00EA59C0">
        <w:t xml:space="preserve"> </w:t>
      </w:r>
      <w:r w:rsidRPr="00EA59C0">
        <w:t>developed</w:t>
      </w:r>
      <w:r w:rsidR="00C026A6" w:rsidRPr="00EA59C0">
        <w:t xml:space="preserve"> </w:t>
      </w:r>
      <w:r w:rsidRPr="00EA59C0">
        <w:t>and</w:t>
      </w:r>
      <w:r w:rsidR="00C026A6" w:rsidRPr="00EA59C0">
        <w:t xml:space="preserve"> </w:t>
      </w:r>
      <w:r w:rsidRPr="00EA59C0">
        <w:t>delivered</w:t>
      </w:r>
      <w:r w:rsidR="00C026A6" w:rsidRPr="00EA59C0">
        <w:t xml:space="preserve"> </w:t>
      </w:r>
      <w:r w:rsidRPr="00EA59C0">
        <w:t>during</w:t>
      </w:r>
      <w:r w:rsidR="00C026A6" w:rsidRPr="00EA59C0">
        <w:t xml:space="preserve"> </w:t>
      </w:r>
      <w:r w:rsidRPr="00EA59C0">
        <w:t>the</w:t>
      </w:r>
      <w:r w:rsidR="00C026A6" w:rsidRPr="00EA59C0">
        <w:t xml:space="preserve"> </w:t>
      </w:r>
      <w:r w:rsidR="00FA4637" w:rsidRPr="00EA59C0">
        <w:t>grant</w:t>
      </w:r>
      <w:r w:rsidR="00C026A6" w:rsidRPr="00EA59C0">
        <w:t xml:space="preserve"> </w:t>
      </w:r>
      <w:r w:rsidR="00FA4637" w:rsidRPr="00EA59C0">
        <w:t>period</w:t>
      </w:r>
      <w:r w:rsidR="00C026A6" w:rsidRPr="00EA59C0">
        <w:t xml:space="preserve"> </w:t>
      </w:r>
      <w:r w:rsidR="00FA4637" w:rsidRPr="00EA59C0">
        <w:t>of</w:t>
      </w:r>
      <w:r w:rsidR="00C026A6" w:rsidRPr="00EA59C0">
        <w:t xml:space="preserve"> </w:t>
      </w:r>
      <w:r w:rsidR="00FA4637" w:rsidRPr="00EA59C0">
        <w:t>performance</w:t>
      </w:r>
      <w:r w:rsidRPr="00EA59C0">
        <w:t>.</w:t>
      </w:r>
    </w:p>
    <w:p w:rsidR="00A55D64" w:rsidRPr="00EA59C0" w:rsidRDefault="00A55D64" w:rsidP="00C072FA">
      <w:pPr>
        <w:pStyle w:val="ListParagraph"/>
        <w:ind w:left="1080"/>
      </w:pPr>
    </w:p>
    <w:p w:rsidR="00A55D64" w:rsidRPr="00EA59C0" w:rsidRDefault="00A55D64" w:rsidP="00C072FA">
      <w:pPr>
        <w:pStyle w:val="ListParagraph"/>
        <w:numPr>
          <w:ilvl w:val="5"/>
          <w:numId w:val="17"/>
        </w:numPr>
        <w:rPr>
          <w:b/>
        </w:rPr>
      </w:pPr>
      <w:r w:rsidRPr="00EA59C0">
        <w:rPr>
          <w:b/>
        </w:rPr>
        <w:t>Gap</w:t>
      </w:r>
      <w:r w:rsidR="00C026A6" w:rsidRPr="00EA59C0">
        <w:rPr>
          <w:b/>
        </w:rPr>
        <w:t xml:space="preserve"> </w:t>
      </w:r>
      <w:r w:rsidRPr="00EA59C0">
        <w:rPr>
          <w:b/>
        </w:rPr>
        <w:t>Analyses</w:t>
      </w:r>
      <w:r w:rsidR="00C026A6" w:rsidRPr="00EA59C0">
        <w:rPr>
          <w:b/>
        </w:rPr>
        <w:t xml:space="preserve"> </w:t>
      </w:r>
    </w:p>
    <w:p w:rsidR="00A55D64" w:rsidRPr="00EA59C0" w:rsidRDefault="00A55D64" w:rsidP="00C072FA">
      <w:pPr>
        <w:pStyle w:val="ListParagraph"/>
        <w:ind w:left="2160"/>
      </w:pPr>
      <w:r w:rsidRPr="00EA59C0">
        <w:t>Applicants</w:t>
      </w:r>
      <w:r w:rsidR="00C026A6" w:rsidRPr="00EA59C0">
        <w:t xml:space="preserve"> </w:t>
      </w:r>
      <w:r w:rsidRPr="00EA59C0">
        <w:t>must</w:t>
      </w:r>
      <w:r w:rsidR="00C026A6" w:rsidRPr="00EA59C0">
        <w:t xml:space="preserve"> </w:t>
      </w:r>
      <w:r w:rsidRPr="00EA59C0">
        <w:t>fully</w:t>
      </w:r>
      <w:r w:rsidR="00C026A6" w:rsidRPr="00EA59C0">
        <w:t xml:space="preserve"> </w:t>
      </w:r>
      <w:r w:rsidRPr="00EA59C0">
        <w:t>identify</w:t>
      </w:r>
      <w:r w:rsidR="00C026A6" w:rsidRPr="00EA59C0">
        <w:t xml:space="preserve"> </w:t>
      </w:r>
      <w:r w:rsidRPr="00EA59C0">
        <w:t>gaps</w:t>
      </w:r>
      <w:r w:rsidR="00C026A6" w:rsidRPr="00EA59C0">
        <w:t xml:space="preserve"> </w:t>
      </w:r>
      <w:r w:rsidRPr="00EA59C0">
        <w:t>in</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for</w:t>
      </w:r>
      <w:r w:rsidR="00C026A6" w:rsidRPr="00EA59C0">
        <w:t xml:space="preserve"> </w:t>
      </w:r>
      <w:r w:rsidRPr="00EA59C0">
        <w:t>targeted</w:t>
      </w:r>
      <w:r w:rsidR="00C026A6" w:rsidRPr="00EA59C0">
        <w:t xml:space="preserve"> </w:t>
      </w:r>
      <w:r w:rsidRPr="00EA59C0">
        <w:t>industries</w:t>
      </w:r>
      <w:r w:rsidR="00C026A6" w:rsidRPr="00EA59C0">
        <w:t xml:space="preserve"> </w:t>
      </w:r>
      <w:r w:rsidRPr="00EA59C0">
        <w:t>and</w:t>
      </w:r>
      <w:r w:rsidR="00C026A6" w:rsidRPr="00EA59C0">
        <w:t xml:space="preserve"> </w:t>
      </w:r>
      <w:r w:rsidRPr="00EA59C0">
        <w:t>occupations,</w:t>
      </w:r>
      <w:r w:rsidR="00C026A6" w:rsidRPr="00EA59C0">
        <w:t xml:space="preserve"> </w:t>
      </w:r>
      <w:r w:rsidRPr="00EA59C0">
        <w:t>and</w:t>
      </w:r>
      <w:r w:rsidR="00C026A6" w:rsidRPr="00EA59C0">
        <w:t xml:space="preserve"> </w:t>
      </w:r>
      <w:r w:rsidRPr="00EA59C0">
        <w:t>demonstrate</w:t>
      </w:r>
      <w:r w:rsidR="00C026A6" w:rsidRPr="00EA59C0">
        <w:t xml:space="preserve"> </w:t>
      </w:r>
      <w:r w:rsidRPr="00EA59C0">
        <w:t>the</w:t>
      </w:r>
      <w:r w:rsidR="00C026A6" w:rsidRPr="00EA59C0">
        <w:t xml:space="preserve"> </w:t>
      </w:r>
      <w:r w:rsidRPr="00EA59C0">
        <w:t>need</w:t>
      </w:r>
      <w:r w:rsidR="00C026A6" w:rsidRPr="00EA59C0">
        <w:t xml:space="preserve"> </w:t>
      </w:r>
      <w:r w:rsidRPr="00EA59C0">
        <w:t>to</w:t>
      </w:r>
      <w:r w:rsidR="00C026A6" w:rsidRPr="00EA59C0">
        <w:t xml:space="preserve"> </w:t>
      </w:r>
      <w:r w:rsidRPr="00EA59C0">
        <w:t>develop</w:t>
      </w:r>
      <w:r w:rsidR="00C026A6" w:rsidRPr="00EA59C0">
        <w:t xml:space="preserve"> </w:t>
      </w:r>
      <w:r w:rsidRPr="00EA59C0">
        <w:t>or</w:t>
      </w:r>
      <w:r w:rsidR="00C026A6" w:rsidRPr="00EA59C0">
        <w:t xml:space="preserve"> </w:t>
      </w:r>
      <w:r w:rsidRPr="00EA59C0">
        <w:t>expand</w:t>
      </w:r>
      <w:r w:rsidR="00C026A6" w:rsidRPr="00EA59C0">
        <w:t xml:space="preserve"> </w:t>
      </w:r>
      <w:r w:rsidRPr="00EA59C0">
        <w:t>capacity</w:t>
      </w:r>
      <w:r w:rsidR="00C026A6" w:rsidRPr="00EA59C0">
        <w:t xml:space="preserve"> </w:t>
      </w:r>
      <w:r w:rsidRPr="00EA59C0">
        <w:t>of</w:t>
      </w:r>
      <w:r w:rsidR="00C026A6" w:rsidRPr="00EA59C0">
        <w:t xml:space="preserve"> </w:t>
      </w:r>
      <w:r w:rsidRPr="00EA59C0">
        <w:t>the</w:t>
      </w:r>
      <w:r w:rsidR="00C026A6" w:rsidRPr="00EA59C0">
        <w:t xml:space="preserve"> </w:t>
      </w:r>
      <w:r w:rsidRPr="00EA59C0">
        <w:t>institution(s)</w:t>
      </w:r>
      <w:r w:rsidR="00C026A6" w:rsidRPr="00EA59C0">
        <w:t xml:space="preserve"> </w:t>
      </w:r>
      <w:r w:rsidRPr="00EA59C0">
        <w:t>to</w:t>
      </w:r>
      <w:r w:rsidR="00C026A6" w:rsidRPr="00EA59C0">
        <w:t xml:space="preserve"> </w:t>
      </w:r>
      <w:r w:rsidRPr="00EA59C0">
        <w:t>offer</w:t>
      </w:r>
      <w:r w:rsidR="00C026A6" w:rsidRPr="00EA59C0">
        <w:t xml:space="preserve"> </w:t>
      </w:r>
      <w:r w:rsidRPr="00EA59C0">
        <w:t>training</w:t>
      </w:r>
      <w:r w:rsidR="00C026A6" w:rsidRPr="00EA59C0">
        <w:t xml:space="preserve"> </w:t>
      </w:r>
      <w:r w:rsidRPr="00EA59C0">
        <w:t>and</w:t>
      </w:r>
      <w:r w:rsidR="00C026A6" w:rsidRPr="00EA59C0">
        <w:t xml:space="preserve"> </w:t>
      </w:r>
      <w:r w:rsidRPr="00EA59C0">
        <w:t>educational</w:t>
      </w:r>
      <w:r w:rsidR="00C026A6" w:rsidRPr="00EA59C0">
        <w:t xml:space="preserve"> </w:t>
      </w:r>
      <w:r w:rsidRPr="00EA59C0">
        <w:t>opportunities.</w:t>
      </w:r>
      <w:r w:rsidR="00C026A6" w:rsidRPr="00EA59C0">
        <w:t xml:space="preserve">  </w:t>
      </w:r>
      <w:r w:rsidRPr="00EA59C0">
        <w:t>The</w:t>
      </w:r>
      <w:r w:rsidR="00C026A6" w:rsidRPr="00EA59C0">
        <w:t xml:space="preserve"> </w:t>
      </w:r>
      <w:r w:rsidRPr="00EA59C0">
        <w:t>data</w:t>
      </w:r>
      <w:r w:rsidR="00C026A6" w:rsidRPr="00EA59C0">
        <w:t xml:space="preserve"> </w:t>
      </w:r>
      <w:r w:rsidRPr="00EA59C0">
        <w:t>provided</w:t>
      </w:r>
      <w:r w:rsidR="00C026A6" w:rsidRPr="00EA59C0">
        <w:t xml:space="preserve"> </w:t>
      </w:r>
      <w:r w:rsidRPr="00EA59C0">
        <w:t>should</w:t>
      </w:r>
      <w:r w:rsidR="00C026A6" w:rsidRPr="00EA59C0">
        <w:t xml:space="preserve"> </w:t>
      </w:r>
      <w:r w:rsidRPr="00EA59C0">
        <w:t>support</w:t>
      </w:r>
      <w:r w:rsidR="00C026A6" w:rsidRPr="00EA59C0">
        <w:t xml:space="preserve"> </w:t>
      </w:r>
      <w:r w:rsidRPr="00EA59C0">
        <w:t>the</w:t>
      </w:r>
      <w:r w:rsidR="00C026A6" w:rsidRPr="00EA59C0">
        <w:t xml:space="preserve"> </w:t>
      </w:r>
      <w:r w:rsidRPr="00EA59C0">
        <w:t>need</w:t>
      </w:r>
      <w:r w:rsidR="00C026A6" w:rsidRPr="00EA59C0">
        <w:t xml:space="preserve"> </w:t>
      </w:r>
      <w:r w:rsidRPr="00EA59C0">
        <w:t>for</w:t>
      </w:r>
      <w:r w:rsidR="00C026A6" w:rsidRPr="00EA59C0">
        <w:t xml:space="preserve"> </w:t>
      </w:r>
      <w:r w:rsidRPr="00EA59C0">
        <w:t>the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career</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proposed</w:t>
      </w:r>
      <w:r w:rsidR="00C026A6" w:rsidRPr="00EA59C0">
        <w:t xml:space="preserve"> </w:t>
      </w:r>
      <w:r w:rsidRPr="00EA59C0">
        <w:t>by</w:t>
      </w:r>
      <w:r w:rsidR="00C026A6" w:rsidRPr="00EA59C0">
        <w:t xml:space="preserve"> </w:t>
      </w:r>
      <w:r w:rsidRPr="00EA59C0">
        <w:t>the</w:t>
      </w:r>
      <w:r w:rsidR="00C026A6" w:rsidRPr="00EA59C0">
        <w:t xml:space="preserve"> </w:t>
      </w:r>
      <w:r w:rsidRPr="00EA59C0">
        <w:t>applicant.</w:t>
      </w:r>
      <w:r w:rsidR="00C026A6" w:rsidRPr="00EA59C0">
        <w:t xml:space="preserve">  </w:t>
      </w:r>
    </w:p>
    <w:p w:rsidR="00A55D64" w:rsidRPr="00EA59C0" w:rsidRDefault="00A55D64" w:rsidP="00C072FA">
      <w:pPr>
        <w:pStyle w:val="ListParagraph"/>
        <w:numPr>
          <w:ilvl w:val="6"/>
          <w:numId w:val="17"/>
        </w:numPr>
      </w:pPr>
      <w:r w:rsidRPr="00EA59C0">
        <w:t>Describe</w:t>
      </w:r>
      <w:r w:rsidR="00C026A6" w:rsidRPr="00EA59C0">
        <w:t xml:space="preserve"> </w:t>
      </w:r>
      <w:r w:rsidRPr="00EA59C0">
        <w:t>the</w:t>
      </w:r>
      <w:r w:rsidR="00C026A6" w:rsidRPr="00EA59C0">
        <w:t xml:space="preserve"> </w:t>
      </w:r>
      <w:r w:rsidRPr="00EA59C0">
        <w:t>significant</w:t>
      </w:r>
      <w:r w:rsidR="00C026A6" w:rsidRPr="00EA59C0">
        <w:t xml:space="preserve"> </w:t>
      </w:r>
      <w:r w:rsidRPr="00EA59C0">
        <w:t>gaps</w:t>
      </w:r>
      <w:r w:rsidR="00C026A6" w:rsidRPr="00EA59C0">
        <w:t xml:space="preserve"> </w:t>
      </w:r>
      <w:r w:rsidRPr="00EA59C0">
        <w:t>in</w:t>
      </w:r>
      <w:r w:rsidR="00C026A6" w:rsidRPr="00EA59C0">
        <w:t xml:space="preserve"> </w:t>
      </w:r>
      <w:r w:rsidRPr="00EA59C0">
        <w:t>existing</w:t>
      </w:r>
      <w:r w:rsidR="00C026A6" w:rsidRPr="00EA59C0">
        <w:t xml:space="preserve"> </w:t>
      </w:r>
      <w:r w:rsidRPr="00EA59C0">
        <w:t>education</w:t>
      </w:r>
      <w:r w:rsidR="00C026A6" w:rsidRPr="00EA59C0">
        <w:t xml:space="preserve"> </w:t>
      </w:r>
      <w:r w:rsidRPr="00EA59C0">
        <w:t>and</w:t>
      </w:r>
      <w:r w:rsidR="00C026A6" w:rsidRPr="00EA59C0">
        <w:t xml:space="preserve"> </w:t>
      </w:r>
      <w:r w:rsidRPr="00EA59C0">
        <w:t>career</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including</w:t>
      </w:r>
      <w:r w:rsidR="00C026A6" w:rsidRPr="00EA59C0">
        <w:t xml:space="preserve"> </w:t>
      </w:r>
      <w:r w:rsidRPr="00EA59C0">
        <w:t>researching</w:t>
      </w:r>
      <w:r w:rsidR="00C026A6" w:rsidRPr="00EA59C0">
        <w:t xml:space="preserve"> </w:t>
      </w:r>
      <w:r w:rsidRPr="00EA59C0">
        <w:t>previously</w:t>
      </w:r>
      <w:r w:rsidR="00C026A6" w:rsidRPr="00EA59C0">
        <w:t xml:space="preserve"> </w:t>
      </w:r>
      <w:r w:rsidRPr="00EA59C0">
        <w:t>funded</w:t>
      </w:r>
      <w:r w:rsidR="00C026A6" w:rsidRPr="00EA59C0">
        <w:t xml:space="preserve"> </w:t>
      </w:r>
      <w:r w:rsidRPr="00EA59C0">
        <w:t>TAACCCT</w:t>
      </w:r>
      <w:r w:rsidR="00C026A6" w:rsidRPr="00EA59C0">
        <w:t xml:space="preserve"> </w:t>
      </w:r>
      <w:r w:rsidRPr="00EA59C0">
        <w:t>projects,</w:t>
      </w:r>
      <w:r w:rsidR="00C026A6" w:rsidRPr="00EA59C0">
        <w:t xml:space="preserve"> </w:t>
      </w:r>
      <w:r w:rsidRPr="00EA59C0">
        <w:t>and</w:t>
      </w:r>
      <w:r w:rsidR="00C026A6" w:rsidRPr="00EA59C0">
        <w:t xml:space="preserve"> </w:t>
      </w:r>
      <w:r w:rsidRPr="00EA59C0">
        <w:t>infrastructure</w:t>
      </w:r>
      <w:r w:rsidR="00C026A6" w:rsidRPr="00EA59C0">
        <w:t xml:space="preserve"> </w:t>
      </w:r>
      <w:r w:rsidRPr="00EA59C0">
        <w:t>in</w:t>
      </w:r>
      <w:r w:rsidR="00C026A6" w:rsidRPr="00EA59C0">
        <w:t xml:space="preserve"> </w:t>
      </w:r>
      <w:r w:rsidRPr="00EA59C0">
        <w:t>each</w:t>
      </w:r>
      <w:r w:rsidR="00C026A6" w:rsidRPr="00EA59C0">
        <w:t xml:space="preserve"> </w:t>
      </w:r>
      <w:r w:rsidRPr="00EA59C0">
        <w:t>community</w:t>
      </w:r>
      <w:r w:rsidR="00C026A6" w:rsidRPr="00EA59C0">
        <w:t xml:space="preserve"> </w:t>
      </w:r>
      <w:r w:rsidRPr="00EA59C0">
        <w:t>for</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and</w:t>
      </w:r>
      <w:r w:rsidR="00C026A6" w:rsidRPr="00EA59C0">
        <w:t xml:space="preserve"> </w:t>
      </w:r>
      <w:r w:rsidRPr="00EA59C0">
        <w:t>other</w:t>
      </w:r>
      <w:r w:rsidR="00C026A6" w:rsidRPr="00EA59C0">
        <w:t xml:space="preserve"> </w:t>
      </w:r>
      <w:r w:rsidRPr="00EA59C0">
        <w:t>adults,</w:t>
      </w:r>
      <w:r w:rsidR="00C026A6" w:rsidRPr="00EA59C0">
        <w:t xml:space="preserve"> </w:t>
      </w:r>
      <w:r w:rsidRPr="00EA59C0">
        <w:t>based</w:t>
      </w:r>
      <w:r w:rsidR="00C026A6" w:rsidRPr="00EA59C0">
        <w:t xml:space="preserve"> </w:t>
      </w:r>
      <w:r w:rsidRPr="00EA59C0">
        <w:t>on</w:t>
      </w:r>
      <w:r w:rsidR="00C026A6" w:rsidRPr="00EA59C0">
        <w:t xml:space="preserve"> </w:t>
      </w:r>
      <w:r w:rsidRPr="00EA59C0">
        <w:t>data</w:t>
      </w:r>
      <w:r w:rsidR="00C026A6" w:rsidRPr="00EA59C0">
        <w:t xml:space="preserve"> </w:t>
      </w:r>
      <w:r w:rsidRPr="00EA59C0">
        <w:t>collected</w:t>
      </w:r>
      <w:r w:rsidR="00C026A6" w:rsidRPr="00EA59C0">
        <w:t xml:space="preserve"> </w:t>
      </w:r>
      <w:r w:rsidRPr="00EA59C0">
        <w:t>through</w:t>
      </w:r>
      <w:r w:rsidR="00C026A6" w:rsidRPr="00EA59C0">
        <w:t xml:space="preserve"> </w:t>
      </w:r>
      <w:r w:rsidRPr="00EA59C0">
        <w:t>the</w:t>
      </w:r>
      <w:r w:rsidR="00C026A6" w:rsidRPr="00EA59C0">
        <w:t xml:space="preserve"> </w:t>
      </w:r>
      <w:r w:rsidRPr="00EA59C0">
        <w:t>community</w:t>
      </w:r>
      <w:r w:rsidR="00C026A6" w:rsidRPr="00EA59C0">
        <w:t xml:space="preserve"> </w:t>
      </w:r>
      <w:r w:rsidRPr="00EA59C0">
        <w:t>outreach</w:t>
      </w:r>
      <w:r w:rsidR="00C026A6" w:rsidRPr="00EA59C0">
        <w:t xml:space="preserve"> </w:t>
      </w:r>
      <w:r w:rsidRPr="00EA59C0">
        <w:t>process</w:t>
      </w:r>
      <w:r w:rsidR="00C026A6" w:rsidRPr="00EA59C0">
        <w:t xml:space="preserve"> </w:t>
      </w:r>
      <w:r w:rsidRPr="00EA59C0">
        <w:t>(described</w:t>
      </w:r>
      <w:r w:rsidR="00C026A6" w:rsidRPr="00EA59C0">
        <w:t xml:space="preserve"> </w:t>
      </w:r>
      <w:r w:rsidRPr="00EA59C0">
        <w:t>in</w:t>
      </w:r>
      <w:r w:rsidR="00C026A6" w:rsidRPr="00EA59C0">
        <w:t xml:space="preserve"> </w:t>
      </w:r>
      <w:r w:rsidRPr="00EA59C0">
        <w:t>Section</w:t>
      </w:r>
      <w:r w:rsidR="00C026A6" w:rsidRPr="00EA59C0">
        <w:t xml:space="preserve"> </w:t>
      </w:r>
      <w:r w:rsidRPr="00EA59C0">
        <w:t>I.B.</w:t>
      </w:r>
      <w:r w:rsidR="00EC35CA" w:rsidRPr="00EA59C0">
        <w:t>4</w:t>
      </w:r>
      <w:r w:rsidR="00C026A6" w:rsidRPr="00EA59C0">
        <w:t xml:space="preserve"> </w:t>
      </w:r>
      <w:r w:rsidRPr="00EA59C0">
        <w:t>and</w:t>
      </w:r>
      <w:r w:rsidR="00C026A6" w:rsidRPr="00EA59C0">
        <w:t xml:space="preserve"> </w:t>
      </w:r>
      <w:r w:rsidRPr="00EA59C0">
        <w:t>Appendix</w:t>
      </w:r>
      <w:r w:rsidR="00C026A6" w:rsidRPr="00EA59C0">
        <w:t xml:space="preserve"> </w:t>
      </w:r>
      <w:r w:rsidR="008A70C1" w:rsidRPr="00EA59C0">
        <w:t>J</w:t>
      </w:r>
      <w:r w:rsidRPr="00EA59C0">
        <w:t>),</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relevant</w:t>
      </w:r>
      <w:r w:rsidR="00C026A6" w:rsidRPr="00EA59C0">
        <w:t xml:space="preserve"> </w:t>
      </w:r>
      <w:r w:rsidRPr="00EA59C0">
        <w:t>data</w:t>
      </w:r>
      <w:r w:rsidR="00C026A6" w:rsidRPr="00EA59C0">
        <w:t xml:space="preserve"> </w:t>
      </w:r>
      <w:r w:rsidRPr="00EA59C0">
        <w:t>from</w:t>
      </w:r>
      <w:r w:rsidR="00C026A6" w:rsidRPr="00EA59C0">
        <w:t xml:space="preserve"> </w:t>
      </w:r>
      <w:r w:rsidRPr="00EA59C0">
        <w:t>the</w:t>
      </w:r>
      <w:r w:rsidR="00C026A6" w:rsidRPr="00EA59C0">
        <w:t xml:space="preserve"> </w:t>
      </w:r>
      <w:r w:rsidRPr="00EA59C0">
        <w:t>applicant</w:t>
      </w:r>
      <w:r w:rsidR="00C026A6" w:rsidRPr="00EA59C0">
        <w:t xml:space="preserve"> </w:t>
      </w:r>
      <w:r w:rsidRPr="00EA59C0">
        <w:t>institution’s</w:t>
      </w:r>
      <w:r w:rsidR="00C026A6" w:rsidRPr="00EA59C0">
        <w:t xml:space="preserve"> </w:t>
      </w:r>
      <w:r w:rsidRPr="00EA59C0">
        <w:t>own</w:t>
      </w:r>
      <w:r w:rsidR="00C026A6" w:rsidRPr="00EA59C0">
        <w:t xml:space="preserve"> </w:t>
      </w:r>
      <w:r w:rsidRPr="00EA59C0">
        <w:t>management</w:t>
      </w:r>
      <w:r w:rsidR="00C026A6" w:rsidRPr="00EA59C0">
        <w:t xml:space="preserve"> </w:t>
      </w:r>
      <w:r w:rsidRPr="00EA59C0">
        <w:t>information</w:t>
      </w:r>
      <w:r w:rsidR="00C026A6" w:rsidRPr="00EA59C0">
        <w:t xml:space="preserve"> </w:t>
      </w:r>
      <w:r w:rsidRPr="00EA59C0">
        <w:t>systems</w:t>
      </w:r>
      <w:r w:rsidR="00C026A6" w:rsidRPr="00EA59C0">
        <w:t xml:space="preserve"> </w:t>
      </w:r>
      <w:r w:rsidRPr="00EA59C0">
        <w:t>or</w:t>
      </w:r>
      <w:r w:rsidR="00C026A6" w:rsidRPr="00EA59C0">
        <w:t xml:space="preserve"> </w:t>
      </w:r>
      <w:r w:rsidRPr="00EA59C0">
        <w:t>other</w:t>
      </w:r>
      <w:r w:rsidR="00C026A6" w:rsidRPr="00EA59C0">
        <w:t xml:space="preserve"> </w:t>
      </w:r>
      <w:r w:rsidRPr="00EA59C0">
        <w:t>data</w:t>
      </w:r>
      <w:r w:rsidR="00C026A6" w:rsidRPr="00EA59C0">
        <w:t xml:space="preserve"> </w:t>
      </w:r>
      <w:r w:rsidRPr="00EA59C0">
        <w:t>sources.</w:t>
      </w:r>
      <w:r w:rsidR="00C026A6" w:rsidRPr="00EA59C0">
        <w:t xml:space="preserve">  </w:t>
      </w:r>
      <w:r w:rsidRPr="00EA59C0">
        <w:t>The</w:t>
      </w:r>
      <w:r w:rsidR="00C026A6" w:rsidRPr="00EA59C0">
        <w:t xml:space="preserve"> </w:t>
      </w:r>
      <w:r w:rsidRPr="00EA59C0">
        <w:t>geographic</w:t>
      </w:r>
      <w:r w:rsidR="00C026A6" w:rsidRPr="00EA59C0">
        <w:t xml:space="preserve"> </w:t>
      </w:r>
      <w:r w:rsidRPr="00EA59C0">
        <w:t>scope</w:t>
      </w:r>
      <w:r w:rsidR="00C026A6" w:rsidRPr="00EA59C0">
        <w:t xml:space="preserve"> </w:t>
      </w:r>
      <w:r w:rsidRPr="00EA59C0">
        <w:t>of</w:t>
      </w:r>
      <w:r w:rsidR="00C026A6" w:rsidRPr="00EA59C0">
        <w:t xml:space="preserve"> </w:t>
      </w:r>
      <w:r w:rsidRPr="00EA59C0">
        <w:t>the</w:t>
      </w:r>
      <w:r w:rsidR="00C026A6" w:rsidRPr="00EA59C0">
        <w:t xml:space="preserve"> </w:t>
      </w:r>
      <w:r w:rsidRPr="00EA59C0">
        <w:t>gap</w:t>
      </w:r>
      <w:r w:rsidR="00C026A6" w:rsidRPr="00EA59C0">
        <w:t xml:space="preserve"> </w:t>
      </w:r>
      <w:r w:rsidRPr="00EA59C0">
        <w:t>analysis</w:t>
      </w:r>
      <w:r w:rsidR="00C026A6" w:rsidRPr="00EA59C0">
        <w:t xml:space="preserve"> </w:t>
      </w:r>
      <w:r w:rsidRPr="00EA59C0">
        <w:t>must</w:t>
      </w:r>
      <w:r w:rsidR="00C026A6" w:rsidRPr="00EA59C0">
        <w:t xml:space="preserve"> </w:t>
      </w:r>
      <w:r w:rsidRPr="00EA59C0">
        <w:t>match</w:t>
      </w:r>
      <w:r w:rsidR="00C026A6" w:rsidRPr="00EA59C0">
        <w:t xml:space="preserve"> </w:t>
      </w:r>
      <w:r w:rsidRPr="00EA59C0">
        <w:t>the</w:t>
      </w:r>
      <w:r w:rsidR="00C026A6" w:rsidRPr="00EA59C0">
        <w:t xml:space="preserve"> </w:t>
      </w:r>
      <w:r w:rsidRPr="00EA59C0">
        <w:t>geographic</w:t>
      </w:r>
      <w:r w:rsidR="00C026A6" w:rsidRPr="00EA59C0">
        <w:t xml:space="preserve"> </w:t>
      </w:r>
      <w:r w:rsidRPr="00EA59C0">
        <w:t>scope</w:t>
      </w:r>
      <w:r w:rsidR="00C026A6" w:rsidRPr="00EA59C0">
        <w:t xml:space="preserve"> </w:t>
      </w:r>
      <w:r w:rsidRPr="00EA59C0">
        <w:t>of</w:t>
      </w:r>
      <w:r w:rsidR="00C026A6" w:rsidRPr="00EA59C0">
        <w:t xml:space="preserve"> </w:t>
      </w:r>
      <w:r w:rsidRPr="00EA59C0">
        <w:t>the</w:t>
      </w:r>
      <w:r w:rsidR="00C026A6" w:rsidRPr="00EA59C0">
        <w:t xml:space="preserve"> </w:t>
      </w:r>
      <w:r w:rsidRPr="00EA59C0">
        <w:t>proposed</w:t>
      </w:r>
      <w:r w:rsidR="00C026A6" w:rsidRPr="00EA59C0">
        <w:t xml:space="preserve"> </w:t>
      </w:r>
      <w:r w:rsidRPr="00EA59C0">
        <w:t>project</w:t>
      </w:r>
      <w:r w:rsidR="00C026A6" w:rsidRPr="00EA59C0">
        <w:t xml:space="preserve"> </w:t>
      </w:r>
      <w:r w:rsidRPr="00EA59C0">
        <w:t>(such</w:t>
      </w:r>
      <w:r w:rsidR="00C026A6" w:rsidRPr="00EA59C0">
        <w:t xml:space="preserve"> </w:t>
      </w:r>
      <w:r w:rsidRPr="00EA59C0">
        <w:t>as</w:t>
      </w:r>
      <w:r w:rsidR="00C026A6" w:rsidRPr="00EA59C0">
        <w:t xml:space="preserve"> </w:t>
      </w:r>
      <w:r w:rsidRPr="00EA59C0">
        <w:t>local,</w:t>
      </w:r>
      <w:r w:rsidR="00C026A6" w:rsidRPr="00EA59C0">
        <w:t xml:space="preserve"> </w:t>
      </w:r>
      <w:r w:rsidRPr="00EA59C0">
        <w:t>state,</w:t>
      </w:r>
      <w:r w:rsidR="00C026A6" w:rsidRPr="00EA59C0">
        <w:t xml:space="preserve"> </w:t>
      </w:r>
      <w:r w:rsidR="00C81DA5" w:rsidRPr="00EA59C0">
        <w:t>or</w:t>
      </w:r>
      <w:r w:rsidR="00C026A6" w:rsidRPr="00EA59C0">
        <w:t xml:space="preserve"> </w:t>
      </w:r>
      <w:r w:rsidRPr="00EA59C0">
        <w:t>regional).</w:t>
      </w:r>
      <w:r w:rsidR="00C026A6" w:rsidRPr="00EA59C0">
        <w:t xml:space="preserve">  </w:t>
      </w:r>
    </w:p>
    <w:p w:rsidR="00A55D64" w:rsidRPr="00EA59C0" w:rsidRDefault="00A55D64" w:rsidP="00C072FA">
      <w:pPr>
        <w:pStyle w:val="ListParagraph"/>
        <w:numPr>
          <w:ilvl w:val="6"/>
          <w:numId w:val="17"/>
        </w:numPr>
      </w:pPr>
      <w:r w:rsidRPr="00EA59C0">
        <w:t>Describe</w:t>
      </w:r>
      <w:r w:rsidR="00C026A6" w:rsidRPr="00EA59C0">
        <w:t xml:space="preserve"> </w:t>
      </w:r>
      <w:r w:rsidRPr="00EA59C0">
        <w:t>how</w:t>
      </w:r>
      <w:r w:rsidR="00C026A6" w:rsidRPr="00EA59C0">
        <w:t xml:space="preserve"> </w:t>
      </w:r>
      <w:r w:rsidRPr="00EA59C0">
        <w:t>the</w:t>
      </w:r>
      <w:r w:rsidR="00C026A6" w:rsidRPr="00EA59C0">
        <w:t xml:space="preserve"> </w:t>
      </w:r>
      <w:r w:rsidRPr="00EA59C0">
        <w:t>identified</w:t>
      </w:r>
      <w:r w:rsidR="00C026A6" w:rsidRPr="00EA59C0">
        <w:t xml:space="preserve"> </w:t>
      </w:r>
      <w:r w:rsidRPr="00EA59C0">
        <w:t>gaps</w:t>
      </w:r>
      <w:r w:rsidR="00C026A6" w:rsidRPr="00EA59C0">
        <w:t xml:space="preserve"> </w:t>
      </w:r>
      <w:r w:rsidRPr="00EA59C0">
        <w:t>impact</w:t>
      </w:r>
      <w:r w:rsidR="00C026A6" w:rsidRPr="00EA59C0">
        <w:t xml:space="preserve"> </w:t>
      </w:r>
      <w:r w:rsidRPr="00EA59C0">
        <w:t>the</w:t>
      </w:r>
      <w:r w:rsidR="00C026A6" w:rsidRPr="00EA59C0">
        <w:t xml:space="preserve"> </w:t>
      </w:r>
      <w:r w:rsidRPr="00EA59C0">
        <w:t>applicant’s</w:t>
      </w:r>
      <w:r w:rsidR="00C026A6" w:rsidRPr="00EA59C0">
        <w:t xml:space="preserve"> </w:t>
      </w:r>
      <w:r w:rsidRPr="00EA59C0">
        <w:t>ability</w:t>
      </w:r>
      <w:r w:rsidR="00C026A6" w:rsidRPr="00EA59C0">
        <w:t xml:space="preserve"> </w:t>
      </w:r>
      <w:r w:rsidRPr="00EA59C0">
        <w:t>to</w:t>
      </w:r>
      <w:r w:rsidR="00C026A6" w:rsidRPr="00EA59C0">
        <w:t xml:space="preserve"> </w:t>
      </w:r>
      <w:r w:rsidRPr="00EA59C0">
        <w:t>effectively</w:t>
      </w:r>
      <w:r w:rsidR="00C026A6" w:rsidRPr="00EA59C0">
        <w:t xml:space="preserve"> </w:t>
      </w:r>
      <w:r w:rsidRPr="00EA59C0">
        <w:t>serve</w:t>
      </w:r>
      <w:r w:rsidR="00C026A6" w:rsidRPr="00EA59C0">
        <w:t xml:space="preserve"> </w:t>
      </w:r>
      <w:r w:rsidRPr="00EA59C0">
        <w:t>TAA-eligible</w:t>
      </w:r>
      <w:r w:rsidR="00C026A6" w:rsidRPr="00EA59C0">
        <w:t xml:space="preserve"> </w:t>
      </w:r>
      <w:r w:rsidR="0030280D" w:rsidRPr="00EA59C0">
        <w:t>workers</w:t>
      </w:r>
      <w:r w:rsidR="00C026A6" w:rsidRPr="00EA59C0">
        <w:t xml:space="preserve"> </w:t>
      </w:r>
      <w:r w:rsidRPr="00EA59C0">
        <w:t>and</w:t>
      </w:r>
      <w:r w:rsidR="00C026A6" w:rsidRPr="00EA59C0">
        <w:t xml:space="preserve"> </w:t>
      </w:r>
      <w:r w:rsidRPr="00EA59C0">
        <w:t>other</w:t>
      </w:r>
      <w:r w:rsidR="00C026A6" w:rsidRPr="00EA59C0">
        <w:t xml:space="preserve"> </w:t>
      </w:r>
      <w:r w:rsidRPr="00EA59C0">
        <w:t>adults</w:t>
      </w:r>
      <w:r w:rsidR="00C026A6" w:rsidRPr="00EA59C0">
        <w:t xml:space="preserve"> </w:t>
      </w:r>
      <w:r w:rsidRPr="00EA59C0">
        <w:t>seeking</w:t>
      </w:r>
      <w:r w:rsidR="00C026A6" w:rsidRPr="00EA59C0">
        <w:t xml:space="preserve"> </w:t>
      </w:r>
      <w:r w:rsidRPr="00EA59C0">
        <w:t>education</w:t>
      </w:r>
      <w:r w:rsidR="00C026A6" w:rsidRPr="00EA59C0">
        <w:t xml:space="preserve"> </w:t>
      </w:r>
      <w:r w:rsidRPr="00EA59C0">
        <w:t>or</w:t>
      </w:r>
      <w:r w:rsidR="00C026A6" w:rsidRPr="00EA59C0">
        <w:t xml:space="preserve"> </w:t>
      </w:r>
      <w:r w:rsidRPr="00EA59C0">
        <w:t>career</w:t>
      </w:r>
      <w:r w:rsidR="00C026A6" w:rsidRPr="00EA59C0">
        <w:t xml:space="preserve"> </w:t>
      </w:r>
      <w:r w:rsidRPr="00EA59C0">
        <w:t>training.</w:t>
      </w:r>
      <w:r w:rsidR="00C026A6" w:rsidRPr="00EA59C0">
        <w:t xml:space="preserve">  </w:t>
      </w:r>
      <w:r w:rsidRPr="00EA59C0">
        <w:t>Information</w:t>
      </w:r>
      <w:r w:rsidR="00C026A6" w:rsidRPr="00EA59C0">
        <w:t xml:space="preserve"> </w:t>
      </w:r>
      <w:r w:rsidRPr="00EA59C0">
        <w:t>may</w:t>
      </w:r>
      <w:r w:rsidR="00C026A6" w:rsidRPr="00EA59C0">
        <w:t xml:space="preserve"> </w:t>
      </w:r>
      <w:r w:rsidRPr="00EA59C0">
        <w:t>include</w:t>
      </w:r>
      <w:r w:rsidR="00C026A6" w:rsidRPr="00EA59C0">
        <w:t xml:space="preserve"> </w:t>
      </w:r>
      <w:r w:rsidRPr="00EA59C0">
        <w:t>evidence</w:t>
      </w:r>
      <w:r w:rsidR="00C026A6" w:rsidRPr="00EA59C0">
        <w:t xml:space="preserve"> </w:t>
      </w:r>
      <w:r w:rsidRPr="00EA59C0">
        <w:t>of:</w:t>
      </w:r>
    </w:p>
    <w:p w:rsidR="00A55D64" w:rsidRPr="00EA59C0" w:rsidRDefault="00A55D64" w:rsidP="00080097">
      <w:pPr>
        <w:pStyle w:val="ListParagraph"/>
        <w:numPr>
          <w:ilvl w:val="0"/>
          <w:numId w:val="23"/>
        </w:numPr>
      </w:pPr>
      <w:r w:rsidRPr="00EA59C0">
        <w:t>Limitations</w:t>
      </w:r>
      <w:r w:rsidR="00C026A6" w:rsidRPr="00EA59C0">
        <w:t xml:space="preserve"> </w:t>
      </w:r>
      <w:r w:rsidRPr="00EA59C0">
        <w:t>in</w:t>
      </w:r>
      <w:r w:rsidR="00C026A6" w:rsidRPr="00EA59C0">
        <w:t xml:space="preserve"> </w:t>
      </w:r>
      <w:r w:rsidRPr="00EA59C0">
        <w:t>the</w:t>
      </w:r>
      <w:r w:rsidR="00C026A6" w:rsidRPr="00EA59C0">
        <w:t xml:space="preserve"> </w:t>
      </w:r>
      <w:r w:rsidRPr="00EA59C0">
        <w:t>number</w:t>
      </w:r>
      <w:r w:rsidR="00C026A6" w:rsidRPr="00EA59C0">
        <w:t xml:space="preserve"> </w:t>
      </w:r>
      <w:r w:rsidRPr="00EA59C0">
        <w:t>of</w:t>
      </w:r>
      <w:r w:rsidR="00C026A6" w:rsidRPr="00EA59C0">
        <w:t xml:space="preserve"> </w:t>
      </w:r>
      <w:r w:rsidRPr="00EA59C0">
        <w:t>students</w:t>
      </w:r>
      <w:r w:rsidR="00C026A6" w:rsidRPr="00EA59C0">
        <w:t xml:space="preserve"> </w:t>
      </w:r>
      <w:r w:rsidRPr="00EA59C0">
        <w:t>successfully</w:t>
      </w:r>
      <w:r w:rsidR="00C026A6" w:rsidRPr="00EA59C0">
        <w:t xml:space="preserve"> </w:t>
      </w:r>
      <w:r w:rsidRPr="00EA59C0">
        <w:t>served</w:t>
      </w:r>
      <w:r w:rsidR="00C026A6" w:rsidRPr="00EA59C0">
        <w:t xml:space="preserve"> </w:t>
      </w:r>
      <w:r w:rsidRPr="00EA59C0">
        <w:t>or</w:t>
      </w:r>
      <w:r w:rsidR="00C026A6" w:rsidRPr="00EA59C0">
        <w:t xml:space="preserve"> </w:t>
      </w:r>
      <w:r w:rsidRPr="00EA59C0">
        <w:t>enrolled</w:t>
      </w:r>
      <w:r w:rsidR="00C026A6" w:rsidRPr="00EA59C0">
        <w:t xml:space="preserve"> </w:t>
      </w:r>
      <w:r w:rsidRPr="00EA59C0">
        <w:t>as</w:t>
      </w:r>
      <w:r w:rsidR="00C026A6" w:rsidRPr="00EA59C0">
        <w:t xml:space="preserve"> </w:t>
      </w:r>
      <w:r w:rsidRPr="00EA59C0">
        <w:t>a</w:t>
      </w:r>
      <w:r w:rsidR="00C026A6" w:rsidRPr="00EA59C0">
        <w:t xml:space="preserve"> </w:t>
      </w:r>
      <w:r w:rsidRPr="00EA59C0">
        <w:t>result</w:t>
      </w:r>
      <w:r w:rsidR="00C026A6" w:rsidRPr="00EA59C0">
        <w:t xml:space="preserve"> </w:t>
      </w:r>
      <w:r w:rsidRPr="00EA59C0">
        <w:t>of</w:t>
      </w:r>
      <w:r w:rsidR="00C026A6" w:rsidRPr="00EA59C0">
        <w:t xml:space="preserve"> </w:t>
      </w:r>
      <w:r w:rsidRPr="00EA59C0">
        <w:t>the</w:t>
      </w:r>
      <w:r w:rsidR="00C026A6" w:rsidRPr="00EA59C0">
        <w:t xml:space="preserve"> </w:t>
      </w:r>
      <w:r w:rsidRPr="00EA59C0">
        <w:t>inability</w:t>
      </w:r>
      <w:r w:rsidR="00C026A6" w:rsidRPr="00EA59C0">
        <w:t xml:space="preserve"> </w:t>
      </w:r>
      <w:r w:rsidRPr="00EA59C0">
        <w:t>of</w:t>
      </w:r>
      <w:r w:rsidR="00C026A6" w:rsidRPr="00EA59C0">
        <w:t xml:space="preserve"> </w:t>
      </w:r>
      <w:r w:rsidRPr="00EA59C0">
        <w:t>the</w:t>
      </w:r>
      <w:r w:rsidR="00C026A6" w:rsidRPr="00EA59C0">
        <w:t xml:space="preserve"> </w:t>
      </w:r>
      <w:r w:rsidRPr="00EA59C0">
        <w:t>applicant</w:t>
      </w:r>
      <w:r w:rsidR="00C026A6" w:rsidRPr="00EA59C0">
        <w:t xml:space="preserve"> </w:t>
      </w:r>
      <w:r w:rsidRPr="00EA59C0">
        <w:t>to</w:t>
      </w:r>
      <w:r w:rsidR="00C026A6" w:rsidRPr="00EA59C0">
        <w:t xml:space="preserve"> </w:t>
      </w:r>
      <w:r w:rsidRPr="00EA59C0">
        <w:t>meet</w:t>
      </w:r>
      <w:r w:rsidR="00C026A6" w:rsidRPr="00EA59C0">
        <w:t xml:space="preserve"> </w:t>
      </w:r>
      <w:r w:rsidR="00075FCC" w:rsidRPr="00EA59C0">
        <w:t xml:space="preserve">                                                                                                                                                                                                                                                                                               </w:t>
      </w:r>
      <w:r w:rsidRPr="00EA59C0">
        <w:t>demonstrated</w:t>
      </w:r>
      <w:r w:rsidR="00C026A6" w:rsidRPr="00EA59C0">
        <w:t xml:space="preserve"> </w:t>
      </w:r>
      <w:r w:rsidRPr="00EA59C0">
        <w:t>demand</w:t>
      </w:r>
      <w:r w:rsidR="00C026A6" w:rsidRPr="00EA59C0">
        <w:t xml:space="preserve"> </w:t>
      </w:r>
      <w:r w:rsidRPr="00EA59C0">
        <w:t>for</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in</w:t>
      </w:r>
      <w:r w:rsidR="00C026A6" w:rsidRPr="00EA59C0">
        <w:t xml:space="preserve"> </w:t>
      </w:r>
      <w:r w:rsidRPr="00EA59C0">
        <w:t>the</w:t>
      </w:r>
      <w:r w:rsidR="00C026A6" w:rsidRPr="00EA59C0">
        <w:t xml:space="preserve"> </w:t>
      </w:r>
      <w:r w:rsidRPr="00EA59C0">
        <w:t>community;</w:t>
      </w:r>
      <w:r w:rsidR="00C026A6" w:rsidRPr="00EA59C0">
        <w:t xml:space="preserve"> </w:t>
      </w:r>
    </w:p>
    <w:p w:rsidR="00A55D64" w:rsidRPr="00EA59C0" w:rsidRDefault="00A55D64" w:rsidP="00080097">
      <w:pPr>
        <w:pStyle w:val="ListParagraph"/>
        <w:numPr>
          <w:ilvl w:val="0"/>
          <w:numId w:val="23"/>
        </w:numPr>
      </w:pPr>
      <w:r w:rsidRPr="00EA59C0">
        <w:t>Limitations</w:t>
      </w:r>
      <w:r w:rsidR="00C026A6" w:rsidRPr="00EA59C0">
        <w:t xml:space="preserve"> </w:t>
      </w:r>
      <w:r w:rsidRPr="00EA59C0">
        <w:t>in</w:t>
      </w:r>
      <w:r w:rsidR="00C026A6" w:rsidRPr="00EA59C0">
        <w:t xml:space="preserve"> </w:t>
      </w:r>
      <w:r w:rsidRPr="00EA59C0">
        <w:t>faculty</w:t>
      </w:r>
      <w:r w:rsidR="00C026A6" w:rsidRPr="00EA59C0">
        <w:t xml:space="preserve"> </w:t>
      </w:r>
      <w:r w:rsidRPr="00EA59C0">
        <w:t>expertise</w:t>
      </w:r>
      <w:r w:rsidR="00C026A6" w:rsidRPr="00EA59C0">
        <w:t xml:space="preserve"> </w:t>
      </w:r>
      <w:r w:rsidRPr="00EA59C0">
        <w:t>and</w:t>
      </w:r>
      <w:r w:rsidR="00C026A6" w:rsidRPr="00EA59C0">
        <w:t xml:space="preserve"> </w:t>
      </w:r>
      <w:r w:rsidRPr="00EA59C0">
        <w:t>facility</w:t>
      </w:r>
      <w:r w:rsidR="00C026A6" w:rsidRPr="00EA59C0">
        <w:t xml:space="preserve"> </w:t>
      </w:r>
      <w:r w:rsidRPr="00EA59C0">
        <w:t>infrastructure</w:t>
      </w:r>
      <w:r w:rsidR="00C026A6" w:rsidRPr="00EA59C0">
        <w:t xml:space="preserve"> </w:t>
      </w:r>
      <w:r w:rsidRPr="00EA59C0">
        <w:t>that</w:t>
      </w:r>
      <w:r w:rsidR="00C026A6" w:rsidRPr="00EA59C0">
        <w:t xml:space="preserve"> </w:t>
      </w:r>
      <w:r w:rsidRPr="00EA59C0">
        <w:t>serve</w:t>
      </w:r>
      <w:r w:rsidR="00C026A6" w:rsidRPr="00EA59C0">
        <w:t xml:space="preserve"> </w:t>
      </w:r>
      <w:r w:rsidRPr="00EA59C0">
        <w:t>as</w:t>
      </w:r>
      <w:r w:rsidR="00C026A6" w:rsidRPr="00EA59C0">
        <w:t xml:space="preserve"> </w:t>
      </w:r>
      <w:r w:rsidRPr="00EA59C0">
        <w:t>barriers</w:t>
      </w:r>
      <w:r w:rsidR="00C026A6" w:rsidRPr="00EA59C0">
        <w:t xml:space="preserve"> </w:t>
      </w:r>
      <w:r w:rsidRPr="00EA59C0">
        <w:t>to</w:t>
      </w:r>
      <w:r w:rsidR="00C026A6" w:rsidRPr="00EA59C0">
        <w:t xml:space="preserve"> </w:t>
      </w:r>
      <w:r w:rsidRPr="00EA59C0">
        <w:t>providing</w:t>
      </w:r>
      <w:r w:rsidR="00C026A6" w:rsidRPr="00EA59C0">
        <w:t xml:space="preserve"> </w:t>
      </w:r>
      <w:r w:rsidRPr="00EA59C0">
        <w:t>effective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in</w:t>
      </w:r>
      <w:r w:rsidR="00C026A6" w:rsidRPr="00EA59C0">
        <w:t xml:space="preserve"> </w:t>
      </w:r>
      <w:r w:rsidRPr="00EA59C0">
        <w:t>the</w:t>
      </w:r>
      <w:r w:rsidR="00C026A6" w:rsidRPr="00EA59C0">
        <w:t xml:space="preserve"> </w:t>
      </w:r>
      <w:r w:rsidRPr="00EA59C0">
        <w:t>community;</w:t>
      </w:r>
    </w:p>
    <w:p w:rsidR="00A55D64" w:rsidRPr="00EA59C0" w:rsidRDefault="00A55D64" w:rsidP="00080097">
      <w:pPr>
        <w:pStyle w:val="ListParagraph"/>
        <w:numPr>
          <w:ilvl w:val="0"/>
          <w:numId w:val="23"/>
        </w:numPr>
      </w:pPr>
      <w:r w:rsidRPr="00EA59C0">
        <w:t>Limitations</w:t>
      </w:r>
      <w:r w:rsidR="00C026A6" w:rsidRPr="00EA59C0">
        <w:t xml:space="preserve"> </w:t>
      </w:r>
      <w:r w:rsidRPr="00EA59C0">
        <w:t>in</w:t>
      </w:r>
      <w:r w:rsidR="00C026A6" w:rsidRPr="00EA59C0">
        <w:t xml:space="preserve"> </w:t>
      </w:r>
      <w:r w:rsidRPr="00EA59C0">
        <w:t>the</w:t>
      </w:r>
      <w:r w:rsidR="00C026A6" w:rsidRPr="00EA59C0">
        <w:t xml:space="preserve"> </w:t>
      </w:r>
      <w:r w:rsidRPr="00EA59C0">
        <w:t>content</w:t>
      </w:r>
      <w:r w:rsidR="00C026A6" w:rsidRPr="00EA59C0">
        <w:t xml:space="preserve"> </w:t>
      </w:r>
      <w:r w:rsidRPr="00EA59C0">
        <w:t>and</w:t>
      </w:r>
      <w:r w:rsidR="00C026A6" w:rsidRPr="00EA59C0">
        <w:t xml:space="preserve"> </w:t>
      </w:r>
      <w:r w:rsidRPr="00EA59C0">
        <w:t>quality</w:t>
      </w:r>
      <w:r w:rsidR="00C026A6" w:rsidRPr="00EA59C0">
        <w:t xml:space="preserve"> </w:t>
      </w:r>
      <w:r w:rsidRPr="00EA59C0">
        <w:t>of</w:t>
      </w:r>
      <w:r w:rsidR="00C026A6" w:rsidRPr="00EA59C0">
        <w:t xml:space="preserve"> </w:t>
      </w:r>
      <w:r w:rsidRPr="00EA59C0">
        <w:t>available</w:t>
      </w:r>
      <w:r w:rsidR="00C026A6" w:rsidRPr="00EA59C0">
        <w:t xml:space="preserve"> </w:t>
      </w:r>
      <w:r w:rsidRPr="00EA59C0">
        <w:t>courses</w:t>
      </w:r>
      <w:r w:rsidR="00C026A6" w:rsidRPr="00EA59C0">
        <w:t xml:space="preserve"> </w:t>
      </w:r>
      <w:r w:rsidRPr="00EA59C0">
        <w:t>that</w:t>
      </w:r>
      <w:r w:rsidR="00C026A6" w:rsidRPr="00EA59C0">
        <w:t xml:space="preserve"> </w:t>
      </w:r>
      <w:r w:rsidRPr="00EA59C0">
        <w:t>negatively</w:t>
      </w:r>
      <w:r w:rsidR="00C026A6" w:rsidRPr="00EA59C0">
        <w:t xml:space="preserve"> </w:t>
      </w:r>
      <w:r w:rsidRPr="00EA59C0">
        <w:t>impact</w:t>
      </w:r>
      <w:r w:rsidR="00C026A6" w:rsidRPr="00EA59C0">
        <w:t xml:space="preserve"> </w:t>
      </w:r>
      <w:r w:rsidRPr="00EA59C0">
        <w:t>the</w:t>
      </w:r>
      <w:r w:rsidR="00C026A6" w:rsidRPr="00EA59C0">
        <w:t xml:space="preserve"> </w:t>
      </w:r>
      <w:r w:rsidRPr="00EA59C0">
        <w:t>ability</w:t>
      </w:r>
      <w:r w:rsidR="00C026A6" w:rsidRPr="00EA59C0">
        <w:t xml:space="preserve"> </w:t>
      </w:r>
      <w:r w:rsidRPr="00EA59C0">
        <w:t>of</w:t>
      </w:r>
      <w:r w:rsidR="00C026A6" w:rsidRPr="00EA59C0">
        <w:t xml:space="preserve"> </w:t>
      </w:r>
      <w:r w:rsidRPr="00EA59C0">
        <w:t>the</w:t>
      </w:r>
      <w:r w:rsidR="00C026A6" w:rsidRPr="00EA59C0">
        <w:t xml:space="preserve"> </w:t>
      </w:r>
      <w:r w:rsidRPr="00EA59C0">
        <w:t>applicant</w:t>
      </w:r>
      <w:r w:rsidR="00C026A6" w:rsidRPr="00EA59C0">
        <w:t xml:space="preserve"> </w:t>
      </w:r>
      <w:r w:rsidRPr="00EA59C0">
        <w:t>to</w:t>
      </w:r>
      <w:r w:rsidR="00C026A6" w:rsidRPr="00EA59C0">
        <w:t xml:space="preserve"> </w:t>
      </w:r>
      <w:r w:rsidRPr="00EA59C0">
        <w:t>meet</w:t>
      </w:r>
      <w:r w:rsidR="00C026A6" w:rsidRPr="00EA59C0">
        <w:t xml:space="preserve"> </w:t>
      </w:r>
      <w:r w:rsidRPr="00EA59C0">
        <w:t>the</w:t>
      </w:r>
      <w:r w:rsidR="00C026A6" w:rsidRPr="00EA59C0">
        <w:t xml:space="preserve"> </w:t>
      </w:r>
      <w:r w:rsidRPr="00EA59C0">
        <w:t>needs</w:t>
      </w:r>
      <w:r w:rsidR="00C026A6" w:rsidRPr="00EA59C0">
        <w:t xml:space="preserve"> </w:t>
      </w:r>
      <w:r w:rsidRPr="00EA59C0">
        <w:t>of</w:t>
      </w:r>
      <w:r w:rsidR="00C026A6" w:rsidRPr="00EA59C0">
        <w:t xml:space="preserve"> </w:t>
      </w:r>
      <w:r w:rsidRPr="00EA59C0">
        <w:t>employers</w:t>
      </w:r>
      <w:r w:rsidR="00C026A6" w:rsidRPr="00EA59C0">
        <w:t xml:space="preserve"> </w:t>
      </w:r>
      <w:r w:rsidRPr="00EA59C0">
        <w:t>and</w:t>
      </w:r>
      <w:r w:rsidR="00C026A6" w:rsidRPr="00EA59C0">
        <w:t xml:space="preserve">  </w:t>
      </w:r>
      <w:r w:rsidRPr="00EA59C0">
        <w:t>program</w:t>
      </w:r>
      <w:r w:rsidR="00C026A6" w:rsidRPr="00EA59C0">
        <w:t xml:space="preserve"> </w:t>
      </w:r>
      <w:r w:rsidRPr="00EA59C0">
        <w:t>participants;</w:t>
      </w:r>
      <w:r w:rsidR="00C026A6" w:rsidRPr="00EA59C0">
        <w:t xml:space="preserve"> </w:t>
      </w:r>
    </w:p>
    <w:p w:rsidR="00A55D64" w:rsidRPr="00EA59C0" w:rsidRDefault="00A55D64" w:rsidP="00080097">
      <w:pPr>
        <w:pStyle w:val="ListParagraph"/>
        <w:numPr>
          <w:ilvl w:val="0"/>
          <w:numId w:val="23"/>
        </w:numPr>
      </w:pPr>
      <w:r w:rsidRPr="00EA59C0">
        <w:t>Factors</w:t>
      </w:r>
      <w:r w:rsidR="00C026A6" w:rsidRPr="00EA59C0">
        <w:t xml:space="preserve"> </w:t>
      </w:r>
      <w:r w:rsidRPr="00EA59C0">
        <w:t>that</w:t>
      </w:r>
      <w:r w:rsidR="00C026A6" w:rsidRPr="00EA59C0">
        <w:t xml:space="preserve"> </w:t>
      </w:r>
      <w:r w:rsidRPr="00EA59C0">
        <w:t>contribute</w:t>
      </w:r>
      <w:r w:rsidR="00C026A6" w:rsidRPr="00EA59C0">
        <w:t xml:space="preserve"> </w:t>
      </w:r>
      <w:r w:rsidRPr="00EA59C0">
        <w:t>to</w:t>
      </w:r>
      <w:r w:rsidR="00C026A6" w:rsidRPr="00EA59C0">
        <w:t xml:space="preserve"> </w:t>
      </w:r>
      <w:r w:rsidRPr="00EA59C0">
        <w:t>program</w:t>
      </w:r>
      <w:r w:rsidR="00C026A6" w:rsidRPr="00EA59C0">
        <w:t xml:space="preserve"> </w:t>
      </w:r>
      <w:r w:rsidRPr="00EA59C0">
        <w:t>attrition,</w:t>
      </w:r>
      <w:r w:rsidR="00C026A6" w:rsidRPr="00EA59C0">
        <w:t xml:space="preserve"> </w:t>
      </w:r>
      <w:r w:rsidRPr="00EA59C0">
        <w:t>particularly</w:t>
      </w:r>
      <w:r w:rsidR="00C026A6" w:rsidRPr="00EA59C0">
        <w:t xml:space="preserve"> </w:t>
      </w:r>
      <w:r w:rsidRPr="00EA59C0">
        <w:t>among</w:t>
      </w:r>
      <w:r w:rsidR="00C026A6" w:rsidRPr="00EA59C0">
        <w:t xml:space="preserve"> </w:t>
      </w:r>
      <w:r w:rsidRPr="00EA59C0">
        <w:t>low-skilled</w:t>
      </w:r>
      <w:r w:rsidR="00C026A6" w:rsidRPr="00EA59C0">
        <w:t xml:space="preserve"> </w:t>
      </w:r>
      <w:r w:rsidRPr="00EA59C0">
        <w:t>students,</w:t>
      </w:r>
      <w:r w:rsidR="00C026A6" w:rsidRPr="00EA59C0">
        <w:t xml:space="preserve"> </w:t>
      </w:r>
      <w:r w:rsidRPr="00EA59C0">
        <w:t>and</w:t>
      </w:r>
      <w:r w:rsidR="00C026A6" w:rsidRPr="00EA59C0">
        <w:t xml:space="preserve"> </w:t>
      </w:r>
      <w:r w:rsidRPr="00EA59C0">
        <w:t>the</w:t>
      </w:r>
      <w:r w:rsidR="00C026A6" w:rsidRPr="00EA59C0">
        <w:t xml:space="preserve"> </w:t>
      </w:r>
      <w:r w:rsidRPr="00EA59C0">
        <w:t>need</w:t>
      </w:r>
      <w:r w:rsidR="00C026A6" w:rsidRPr="00EA59C0">
        <w:t xml:space="preserve"> </w:t>
      </w:r>
      <w:r w:rsidRPr="00EA59C0">
        <w:t>to</w:t>
      </w:r>
      <w:r w:rsidR="00C026A6" w:rsidRPr="00EA59C0">
        <w:t xml:space="preserve"> </w:t>
      </w:r>
      <w:r w:rsidRPr="00EA59C0">
        <w:t>address</w:t>
      </w:r>
      <w:r w:rsidR="00C026A6" w:rsidRPr="00EA59C0">
        <w:t xml:space="preserve"> </w:t>
      </w:r>
      <w:r w:rsidRPr="00EA59C0">
        <w:t>those</w:t>
      </w:r>
      <w:r w:rsidR="00C026A6" w:rsidRPr="00EA59C0">
        <w:t xml:space="preserve"> </w:t>
      </w:r>
      <w:r w:rsidRPr="00EA59C0">
        <w:t>factors</w:t>
      </w:r>
      <w:r w:rsidR="00C026A6" w:rsidRPr="00EA59C0">
        <w:t xml:space="preserve"> </w:t>
      </w:r>
      <w:r w:rsidRPr="00EA59C0">
        <w:t>to</w:t>
      </w:r>
      <w:r w:rsidR="00C026A6" w:rsidRPr="00EA59C0">
        <w:t xml:space="preserve"> </w:t>
      </w:r>
      <w:r w:rsidRPr="00EA59C0">
        <w:t>improve</w:t>
      </w:r>
      <w:r w:rsidR="00C026A6" w:rsidRPr="00EA59C0">
        <w:t xml:space="preserve"> </w:t>
      </w:r>
      <w:r w:rsidRPr="00EA59C0">
        <w:t>retention</w:t>
      </w:r>
      <w:r w:rsidR="00C026A6" w:rsidRPr="00EA59C0">
        <w:t xml:space="preserve"> </w:t>
      </w:r>
      <w:r w:rsidRPr="00EA59C0">
        <w:t>and</w:t>
      </w:r>
      <w:r w:rsidR="00C026A6" w:rsidRPr="00EA59C0">
        <w:t xml:space="preserve"> </w:t>
      </w:r>
      <w:r w:rsidRPr="00EA59C0">
        <w:t>completion</w:t>
      </w:r>
      <w:r w:rsidR="00C026A6" w:rsidRPr="00EA59C0">
        <w:t xml:space="preserve"> </w:t>
      </w:r>
      <w:r w:rsidRPr="00EA59C0">
        <w:t>rates;</w:t>
      </w:r>
      <w:r w:rsidR="00C026A6" w:rsidRPr="00EA59C0">
        <w:t xml:space="preserve"> </w:t>
      </w:r>
      <w:r w:rsidRPr="00EA59C0">
        <w:t>and</w:t>
      </w:r>
    </w:p>
    <w:p w:rsidR="00A55D64" w:rsidRPr="00EA59C0" w:rsidRDefault="00FA4637" w:rsidP="00080097">
      <w:pPr>
        <w:pStyle w:val="ListParagraph"/>
        <w:numPr>
          <w:ilvl w:val="0"/>
          <w:numId w:val="23"/>
        </w:numPr>
      </w:pPr>
      <w:r w:rsidRPr="00EA59C0">
        <w:t>If</w:t>
      </w:r>
      <w:r w:rsidR="00C026A6" w:rsidRPr="00EA59C0">
        <w:t xml:space="preserve"> </w:t>
      </w:r>
      <w:r w:rsidRPr="00EA59C0">
        <w:t>applicable,</w:t>
      </w:r>
      <w:r w:rsidR="00C026A6" w:rsidRPr="00EA59C0">
        <w:t xml:space="preserve"> </w:t>
      </w:r>
      <w:r w:rsidRPr="00EA59C0">
        <w:t>t</w:t>
      </w:r>
      <w:r w:rsidR="00DD5EA1" w:rsidRPr="00EA59C0">
        <w:t>he</w:t>
      </w:r>
      <w:r w:rsidR="00C026A6" w:rsidRPr="00EA59C0">
        <w:t xml:space="preserve"> </w:t>
      </w:r>
      <w:r w:rsidR="00A55D64" w:rsidRPr="00EA59C0">
        <w:t>need</w:t>
      </w:r>
      <w:r w:rsidR="00C026A6" w:rsidRPr="00EA59C0">
        <w:t xml:space="preserve"> </w:t>
      </w:r>
      <w:r w:rsidR="00A55D64" w:rsidRPr="00EA59C0">
        <w:t>for</w:t>
      </w:r>
      <w:r w:rsidR="00C026A6" w:rsidRPr="00EA59C0">
        <w:t xml:space="preserve"> </w:t>
      </w:r>
      <w:r w:rsidR="00A55D64" w:rsidRPr="00EA59C0">
        <w:t>specialized</w:t>
      </w:r>
      <w:r w:rsidR="00C026A6" w:rsidRPr="00EA59C0">
        <w:t xml:space="preserve"> </w:t>
      </w:r>
      <w:r w:rsidR="00A55D64" w:rsidRPr="00EA59C0">
        <w:t>equipment,</w:t>
      </w:r>
      <w:r w:rsidR="00C026A6" w:rsidRPr="00EA59C0">
        <w:t xml:space="preserve"> </w:t>
      </w:r>
      <w:r w:rsidR="00A55D64" w:rsidRPr="00EA59C0">
        <w:t>including</w:t>
      </w:r>
      <w:r w:rsidR="00C026A6" w:rsidRPr="00EA59C0">
        <w:t xml:space="preserve"> </w:t>
      </w:r>
      <w:r w:rsidR="00A55D64" w:rsidRPr="00EA59C0">
        <w:t>a</w:t>
      </w:r>
      <w:r w:rsidR="00C026A6" w:rsidRPr="00EA59C0">
        <w:t xml:space="preserve"> </w:t>
      </w:r>
      <w:r w:rsidR="00A55D64" w:rsidRPr="00EA59C0">
        <w:t>description</w:t>
      </w:r>
      <w:r w:rsidR="00C026A6" w:rsidRPr="00EA59C0">
        <w:t xml:space="preserve"> </w:t>
      </w:r>
      <w:r w:rsidR="00A55D64" w:rsidRPr="00EA59C0">
        <w:t>of</w:t>
      </w:r>
      <w:r w:rsidR="00C026A6" w:rsidRPr="00EA59C0">
        <w:t xml:space="preserve"> </w:t>
      </w:r>
      <w:r w:rsidR="00A55D64" w:rsidRPr="00EA59C0">
        <w:t>why</w:t>
      </w:r>
      <w:r w:rsidR="00C026A6" w:rsidRPr="00EA59C0">
        <w:t xml:space="preserve"> </w:t>
      </w:r>
      <w:r w:rsidR="00A55D64" w:rsidRPr="00EA59C0">
        <w:t>the</w:t>
      </w:r>
      <w:r w:rsidR="00C026A6" w:rsidRPr="00EA59C0">
        <w:t xml:space="preserve"> </w:t>
      </w:r>
      <w:r w:rsidR="00A55D64" w:rsidRPr="00EA59C0">
        <w:t>equipment</w:t>
      </w:r>
      <w:r w:rsidR="00C026A6" w:rsidRPr="00EA59C0">
        <w:t xml:space="preserve"> </w:t>
      </w:r>
      <w:r w:rsidR="00A55D64" w:rsidRPr="00EA59C0">
        <w:t>is</w:t>
      </w:r>
      <w:r w:rsidR="00C026A6" w:rsidRPr="00EA59C0">
        <w:t xml:space="preserve"> </w:t>
      </w:r>
      <w:r w:rsidR="00A55D64" w:rsidRPr="00EA59C0">
        <w:t>needed</w:t>
      </w:r>
      <w:r w:rsidR="00C026A6" w:rsidRPr="00EA59C0">
        <w:t xml:space="preserve"> </w:t>
      </w:r>
      <w:r w:rsidR="00A55D64" w:rsidRPr="00EA59C0">
        <w:t>and</w:t>
      </w:r>
      <w:r w:rsidR="00C026A6" w:rsidRPr="00EA59C0">
        <w:t xml:space="preserve"> </w:t>
      </w:r>
      <w:r w:rsidR="00A55D64" w:rsidRPr="00EA59C0">
        <w:t>why</w:t>
      </w:r>
      <w:r w:rsidR="00C026A6" w:rsidRPr="00EA59C0">
        <w:t xml:space="preserve"> </w:t>
      </w:r>
      <w:r w:rsidR="00A55D64" w:rsidRPr="00EA59C0">
        <w:t>any</w:t>
      </w:r>
      <w:r w:rsidR="00C026A6" w:rsidRPr="00EA59C0">
        <w:t xml:space="preserve"> </w:t>
      </w:r>
      <w:r w:rsidR="00A55D64" w:rsidRPr="00EA59C0">
        <w:t>currently</w:t>
      </w:r>
      <w:r w:rsidR="00C026A6" w:rsidRPr="00EA59C0">
        <w:t xml:space="preserve"> </w:t>
      </w:r>
      <w:r w:rsidR="00A55D64" w:rsidRPr="00EA59C0">
        <w:t>available</w:t>
      </w:r>
      <w:r w:rsidR="00C026A6" w:rsidRPr="00EA59C0">
        <w:t xml:space="preserve"> </w:t>
      </w:r>
      <w:r w:rsidR="00A55D64" w:rsidRPr="00EA59C0">
        <w:t>equipment</w:t>
      </w:r>
      <w:r w:rsidR="00C026A6" w:rsidRPr="00EA59C0">
        <w:t xml:space="preserve"> </w:t>
      </w:r>
      <w:r w:rsidR="00A55D64" w:rsidRPr="00EA59C0">
        <w:t>is</w:t>
      </w:r>
      <w:r w:rsidR="00C026A6" w:rsidRPr="00EA59C0">
        <w:t xml:space="preserve"> </w:t>
      </w:r>
      <w:r w:rsidR="00A55D64" w:rsidRPr="00EA59C0">
        <w:t>not</w:t>
      </w:r>
      <w:r w:rsidR="00C026A6" w:rsidRPr="00EA59C0">
        <w:t xml:space="preserve"> </w:t>
      </w:r>
      <w:r w:rsidR="00A55D64" w:rsidRPr="00EA59C0">
        <w:t>sufficient</w:t>
      </w:r>
      <w:r w:rsidR="00C026A6" w:rsidRPr="00EA59C0">
        <w:t xml:space="preserve"> </w:t>
      </w:r>
      <w:r w:rsidR="00A55D64" w:rsidRPr="00EA59C0">
        <w:t>to</w:t>
      </w:r>
      <w:r w:rsidR="00C026A6" w:rsidRPr="00EA59C0">
        <w:t xml:space="preserve"> </w:t>
      </w:r>
      <w:r w:rsidR="00A55D64" w:rsidRPr="00EA59C0">
        <w:t>provide</w:t>
      </w:r>
      <w:r w:rsidR="00C026A6" w:rsidRPr="00EA59C0">
        <w:t xml:space="preserve"> </w:t>
      </w:r>
      <w:r w:rsidR="00A55D64" w:rsidRPr="00EA59C0">
        <w:t>effective</w:t>
      </w:r>
      <w:r w:rsidR="00C026A6" w:rsidRPr="00EA59C0">
        <w:t xml:space="preserve"> </w:t>
      </w:r>
      <w:r w:rsidR="00A55D64" w:rsidRPr="00EA59C0">
        <w:t>training</w:t>
      </w:r>
      <w:r w:rsidR="00C026A6" w:rsidRPr="00EA59C0">
        <w:t xml:space="preserve"> </w:t>
      </w:r>
      <w:r w:rsidR="00A55D64" w:rsidRPr="00EA59C0">
        <w:t>in</w:t>
      </w:r>
      <w:r w:rsidR="00C026A6" w:rsidRPr="00EA59C0">
        <w:t xml:space="preserve"> </w:t>
      </w:r>
      <w:r w:rsidR="00A55D64" w:rsidRPr="00EA59C0">
        <w:t>the</w:t>
      </w:r>
      <w:r w:rsidR="00C026A6" w:rsidRPr="00EA59C0">
        <w:t xml:space="preserve"> </w:t>
      </w:r>
      <w:r w:rsidR="00A55D64" w:rsidRPr="00EA59C0">
        <w:t>targeted</w:t>
      </w:r>
      <w:r w:rsidR="00C026A6" w:rsidRPr="00EA59C0">
        <w:t xml:space="preserve"> </w:t>
      </w:r>
      <w:r w:rsidR="00A55D64" w:rsidRPr="00EA59C0">
        <w:t>industries</w:t>
      </w:r>
      <w:r w:rsidR="00C026A6" w:rsidRPr="00EA59C0">
        <w:t xml:space="preserve"> </w:t>
      </w:r>
      <w:r w:rsidR="00A55D64" w:rsidRPr="00EA59C0">
        <w:t>and</w:t>
      </w:r>
      <w:r w:rsidR="00C026A6" w:rsidRPr="00EA59C0">
        <w:t xml:space="preserve"> </w:t>
      </w:r>
      <w:r w:rsidR="00A55D64" w:rsidRPr="00EA59C0">
        <w:t>occupations.</w:t>
      </w:r>
    </w:p>
    <w:p w:rsidR="00A55D64" w:rsidRPr="00EA59C0" w:rsidRDefault="00A55D64" w:rsidP="00C072FA">
      <w:pPr>
        <w:pStyle w:val="ListParagraph"/>
        <w:ind w:left="1080"/>
      </w:pPr>
    </w:p>
    <w:p w:rsidR="00FE5389" w:rsidRPr="00EA59C0" w:rsidRDefault="00D81847" w:rsidP="00C072FA">
      <w:pPr>
        <w:pStyle w:val="ListParagraph"/>
        <w:numPr>
          <w:ilvl w:val="4"/>
          <w:numId w:val="17"/>
        </w:numPr>
        <w:rPr>
          <w:b/>
        </w:rPr>
      </w:pPr>
      <w:r w:rsidRPr="00EA59C0">
        <w:rPr>
          <w:b/>
        </w:rPr>
        <w:t>Methodology</w:t>
      </w:r>
      <w:r w:rsidR="00C026A6" w:rsidRPr="00EA59C0">
        <w:rPr>
          <w:b/>
        </w:rPr>
        <w:t xml:space="preserve"> </w:t>
      </w:r>
      <w:r w:rsidRPr="00EA59C0">
        <w:rPr>
          <w:b/>
        </w:rPr>
        <w:t>and</w:t>
      </w:r>
      <w:r w:rsidR="00C026A6" w:rsidRPr="00EA59C0">
        <w:rPr>
          <w:b/>
        </w:rPr>
        <w:t xml:space="preserve"> </w:t>
      </w:r>
      <w:r w:rsidRPr="00EA59C0">
        <w:rPr>
          <w:b/>
        </w:rPr>
        <w:t>Workplan</w:t>
      </w:r>
    </w:p>
    <w:p w:rsidR="00FE5389" w:rsidRPr="00EA59C0" w:rsidRDefault="0085160D" w:rsidP="00C072FA">
      <w:pPr>
        <w:ind w:left="1800"/>
      </w:pPr>
      <w:r w:rsidRPr="00EA59C0">
        <w:t>The</w:t>
      </w:r>
      <w:r w:rsidR="00C026A6" w:rsidRPr="00EA59C0">
        <w:t xml:space="preserve"> </w:t>
      </w:r>
      <w:r w:rsidRPr="00EA59C0">
        <w:t>applicant</w:t>
      </w:r>
      <w:r w:rsidR="00C026A6" w:rsidRPr="00EA59C0">
        <w:t xml:space="preserve"> </w:t>
      </w:r>
      <w:r w:rsidRPr="00EA59C0">
        <w:t>must</w:t>
      </w:r>
      <w:r w:rsidR="00C026A6" w:rsidRPr="00EA59C0">
        <w:t xml:space="preserve"> </w:t>
      </w:r>
      <w:r w:rsidRPr="00EA59C0">
        <w:t>describe</w:t>
      </w:r>
      <w:r w:rsidR="00C026A6" w:rsidRPr="00EA59C0">
        <w:t xml:space="preserve"> </w:t>
      </w:r>
      <w:r w:rsidRPr="00EA59C0">
        <w:t>the</w:t>
      </w:r>
      <w:r w:rsidR="00C026A6" w:rsidRPr="00EA59C0">
        <w:t xml:space="preserve"> </w:t>
      </w:r>
      <w:r w:rsidRPr="00EA59C0">
        <w:t>proposed</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strategies,</w:t>
      </w:r>
      <w:r w:rsidR="00C026A6" w:rsidRPr="00EA59C0">
        <w:t xml:space="preserve"> </w:t>
      </w:r>
      <w:r w:rsidRPr="00EA59C0">
        <w:t>including</w:t>
      </w:r>
      <w:r w:rsidR="00C026A6" w:rsidRPr="00EA59C0">
        <w:t xml:space="preserve"> </w:t>
      </w:r>
      <w:r w:rsidRPr="00EA59C0">
        <w:t>the</w:t>
      </w:r>
      <w:r w:rsidR="00C026A6" w:rsidRPr="00EA59C0">
        <w:t xml:space="preserve"> </w:t>
      </w:r>
      <w:r w:rsidRPr="00EA59C0">
        <w:t>research</w:t>
      </w:r>
      <w:r w:rsidR="00C026A6" w:rsidRPr="00EA59C0">
        <w:t xml:space="preserve"> </w:t>
      </w:r>
      <w:r w:rsidRPr="00EA59C0">
        <w:t>and</w:t>
      </w:r>
      <w:r w:rsidR="00C026A6" w:rsidRPr="00EA59C0">
        <w:t xml:space="preserve"> </w:t>
      </w:r>
      <w:r w:rsidRPr="00EA59C0">
        <w:t>evidence</w:t>
      </w:r>
      <w:r w:rsidR="00C026A6" w:rsidRPr="00EA59C0">
        <w:t xml:space="preserve"> </w:t>
      </w:r>
      <w:r w:rsidRPr="00EA59C0">
        <w:t>on</w:t>
      </w:r>
      <w:r w:rsidR="00C026A6" w:rsidRPr="00EA59C0">
        <w:t xml:space="preserve"> </w:t>
      </w:r>
      <w:r w:rsidRPr="00EA59C0">
        <w:t>which</w:t>
      </w:r>
      <w:r w:rsidR="00C026A6" w:rsidRPr="00EA59C0">
        <w:t xml:space="preserve"> </w:t>
      </w:r>
      <w:r w:rsidRPr="00EA59C0">
        <w:t>those</w:t>
      </w:r>
      <w:r w:rsidR="00C026A6" w:rsidRPr="00EA59C0">
        <w:t xml:space="preserve"> </w:t>
      </w:r>
      <w:r w:rsidRPr="00EA59C0">
        <w:t>strategies</w:t>
      </w:r>
      <w:r w:rsidR="00C026A6" w:rsidRPr="00EA59C0">
        <w:t xml:space="preserve"> </w:t>
      </w:r>
      <w:r w:rsidRPr="00EA59C0">
        <w:t>are</w:t>
      </w:r>
      <w:r w:rsidR="00C026A6" w:rsidRPr="00EA59C0">
        <w:t xml:space="preserve"> </w:t>
      </w:r>
      <w:r w:rsidRPr="00EA59C0">
        <w:t>based</w:t>
      </w:r>
      <w:r w:rsidR="00C026A6" w:rsidRPr="00EA59C0">
        <w:t xml:space="preserve"> </w:t>
      </w:r>
      <w:r w:rsidR="003E4572" w:rsidRPr="00EA59C0">
        <w:t>and</w:t>
      </w:r>
      <w:r w:rsidR="00C026A6" w:rsidRPr="00EA59C0">
        <w:t xml:space="preserve"> </w:t>
      </w:r>
      <w:r w:rsidRPr="00EA59C0">
        <w:t>how</w:t>
      </w:r>
      <w:r w:rsidR="00C026A6" w:rsidRPr="00EA59C0">
        <w:t xml:space="preserve"> </w:t>
      </w:r>
      <w:r w:rsidRPr="00EA59C0">
        <w:t>the</w:t>
      </w:r>
      <w:r w:rsidR="00C026A6" w:rsidRPr="00EA59C0">
        <w:t xml:space="preserve"> </w:t>
      </w:r>
      <w:r w:rsidRPr="00EA59C0">
        <w:t>proposed</w:t>
      </w:r>
      <w:r w:rsidR="00C026A6" w:rsidRPr="00EA59C0">
        <w:t xml:space="preserve"> </w:t>
      </w:r>
      <w:r w:rsidRPr="00EA59C0">
        <w:t>strategies</w:t>
      </w:r>
      <w:r w:rsidR="00C026A6" w:rsidRPr="00EA59C0">
        <w:t xml:space="preserve"> </w:t>
      </w:r>
      <w:r w:rsidRPr="00EA59C0">
        <w:t>incorporate</w:t>
      </w:r>
      <w:r w:rsidR="00C026A6" w:rsidRPr="00EA59C0">
        <w:t xml:space="preserve"> </w:t>
      </w:r>
      <w:r w:rsidRPr="00EA59C0">
        <w:t>the</w:t>
      </w:r>
      <w:r w:rsidR="00C026A6" w:rsidRPr="00EA59C0">
        <w:t xml:space="preserve"> </w:t>
      </w:r>
      <w:r w:rsidRPr="00EA59C0">
        <w:t>Core</w:t>
      </w:r>
      <w:r w:rsidR="00C026A6" w:rsidRPr="00EA59C0">
        <w:t xml:space="preserve"> </w:t>
      </w:r>
      <w:r w:rsidRPr="00EA59C0">
        <w:t>Elements</w:t>
      </w:r>
      <w:r w:rsidR="00C026A6" w:rsidRPr="00EA59C0">
        <w:t xml:space="preserve"> </w:t>
      </w:r>
      <w:r w:rsidRPr="00EA59C0">
        <w:t>described</w:t>
      </w:r>
      <w:r w:rsidR="00C026A6" w:rsidRPr="00EA59C0">
        <w:t xml:space="preserve"> </w:t>
      </w:r>
      <w:r w:rsidRPr="00EA59C0">
        <w:t>in</w:t>
      </w:r>
      <w:r w:rsidR="00C026A6" w:rsidRPr="00EA59C0">
        <w:t xml:space="preserve"> </w:t>
      </w:r>
      <w:r w:rsidRPr="00EA59C0">
        <w:t>Section</w:t>
      </w:r>
      <w:r w:rsidR="00C026A6" w:rsidRPr="00EA59C0">
        <w:t xml:space="preserve"> </w:t>
      </w:r>
      <w:r w:rsidRPr="00EA59C0">
        <w:t>I.B</w:t>
      </w:r>
      <w:r w:rsidR="008E0DCB" w:rsidRPr="00EA59C0">
        <w:t>.</w:t>
      </w:r>
      <w:r w:rsidR="00C026A6" w:rsidRPr="00EA59C0">
        <w:t xml:space="preserve">  </w:t>
      </w:r>
      <w:r w:rsidR="008E0DCB" w:rsidRPr="00EA59C0">
        <w:t>Throughout</w:t>
      </w:r>
      <w:r w:rsidR="00C026A6" w:rsidRPr="00EA59C0">
        <w:t xml:space="preserve"> </w:t>
      </w:r>
      <w:r w:rsidR="008E0DCB" w:rsidRPr="00EA59C0">
        <w:t>this</w:t>
      </w:r>
      <w:r w:rsidR="00C026A6" w:rsidRPr="00EA59C0">
        <w:t xml:space="preserve"> </w:t>
      </w:r>
      <w:r w:rsidR="008E0DCB" w:rsidRPr="00EA59C0">
        <w:t>section,</w:t>
      </w:r>
      <w:r w:rsidR="00C026A6" w:rsidRPr="00EA59C0">
        <w:t xml:space="preserve"> </w:t>
      </w:r>
      <w:r w:rsidR="008E0DCB" w:rsidRPr="00EA59C0">
        <w:t>the</w:t>
      </w:r>
      <w:r w:rsidR="00C026A6" w:rsidRPr="00EA59C0">
        <w:t xml:space="preserve"> </w:t>
      </w:r>
      <w:r w:rsidR="008E0DCB" w:rsidRPr="00EA59C0">
        <w:t>applicant</w:t>
      </w:r>
      <w:r w:rsidR="00C026A6" w:rsidRPr="00EA59C0">
        <w:t xml:space="preserve"> </w:t>
      </w:r>
      <w:r w:rsidR="008E0DCB" w:rsidRPr="00EA59C0">
        <w:t>must</w:t>
      </w:r>
      <w:r w:rsidR="00C026A6" w:rsidRPr="00EA59C0">
        <w:t xml:space="preserve"> </w:t>
      </w:r>
      <w:r w:rsidRPr="00EA59C0">
        <w:t>demonstrate</w:t>
      </w:r>
      <w:r w:rsidR="00C026A6" w:rsidRPr="00EA59C0">
        <w:t xml:space="preserve"> </w:t>
      </w:r>
      <w:r w:rsidRPr="00EA59C0">
        <w:t>a</w:t>
      </w:r>
      <w:r w:rsidR="00C026A6" w:rsidRPr="00EA59C0">
        <w:t xml:space="preserve"> </w:t>
      </w:r>
      <w:r w:rsidRPr="00EA59C0">
        <w:t>cohesive,</w:t>
      </w:r>
      <w:r w:rsidR="00C026A6" w:rsidRPr="00EA59C0">
        <w:t xml:space="preserve"> </w:t>
      </w:r>
      <w:r w:rsidRPr="00EA59C0">
        <w:t>well-designed</w:t>
      </w:r>
      <w:r w:rsidR="00C026A6" w:rsidRPr="00EA59C0">
        <w:t xml:space="preserve"> </w:t>
      </w:r>
      <w:r w:rsidRPr="00EA59C0">
        <w:t>approach</w:t>
      </w:r>
      <w:r w:rsidR="00C026A6" w:rsidRPr="00EA59C0">
        <w:t xml:space="preserve"> </w:t>
      </w:r>
      <w:r w:rsidRPr="00EA59C0">
        <w:t>to</w:t>
      </w:r>
      <w:r w:rsidR="00C026A6" w:rsidRPr="00EA59C0">
        <w:t xml:space="preserve"> </w:t>
      </w:r>
      <w:r w:rsidRPr="00EA59C0">
        <w:t>implement</w:t>
      </w:r>
      <w:r w:rsidR="00C026A6" w:rsidRPr="00EA59C0">
        <w:t xml:space="preserve"> </w:t>
      </w:r>
      <w:r w:rsidRPr="00EA59C0">
        <w:t>the</w:t>
      </w:r>
      <w:r w:rsidR="00C026A6" w:rsidRPr="00EA59C0">
        <w:t xml:space="preserve"> </w:t>
      </w:r>
      <w:r w:rsidRPr="00EA59C0">
        <w:t>project.</w:t>
      </w:r>
    </w:p>
    <w:p w:rsidR="0085160D" w:rsidRPr="00EA59C0" w:rsidRDefault="0085160D" w:rsidP="00C072FA">
      <w:pPr>
        <w:ind w:left="360" w:hanging="360"/>
      </w:pPr>
      <w:r w:rsidRPr="00EA59C0">
        <w:tab/>
      </w:r>
      <w:r w:rsidRPr="00EA59C0">
        <w:tab/>
      </w:r>
    </w:p>
    <w:p w:rsidR="0085160D" w:rsidRPr="00EA59C0" w:rsidRDefault="0085160D" w:rsidP="00C072FA">
      <w:pPr>
        <w:pStyle w:val="ListParagraph"/>
        <w:numPr>
          <w:ilvl w:val="5"/>
          <w:numId w:val="17"/>
        </w:numPr>
        <w:rPr>
          <w:b/>
        </w:rPr>
      </w:pPr>
      <w:r w:rsidRPr="00EA59C0">
        <w:rPr>
          <w:b/>
        </w:rPr>
        <w:t>Evidence-Based</w:t>
      </w:r>
      <w:r w:rsidR="00C026A6" w:rsidRPr="00EA59C0">
        <w:rPr>
          <w:b/>
        </w:rPr>
        <w:t xml:space="preserve"> </w:t>
      </w:r>
      <w:r w:rsidRPr="00EA59C0">
        <w:rPr>
          <w:b/>
        </w:rPr>
        <w:t>Design</w:t>
      </w:r>
    </w:p>
    <w:p w:rsidR="0085160D" w:rsidRPr="00EA59C0" w:rsidRDefault="0085160D" w:rsidP="00C072FA">
      <w:pPr>
        <w:ind w:left="2160"/>
      </w:pPr>
      <w:r w:rsidRPr="00EA59C0">
        <w:t>Applicants</w:t>
      </w:r>
      <w:r w:rsidR="00C026A6" w:rsidRPr="00EA59C0">
        <w:t xml:space="preserve"> </w:t>
      </w:r>
      <w:r w:rsidRPr="00EA59C0">
        <w:t>must</w:t>
      </w:r>
      <w:r w:rsidR="00C026A6" w:rsidRPr="00EA59C0">
        <w:t xml:space="preserve"> </w:t>
      </w:r>
      <w:r w:rsidRPr="00EA59C0">
        <w:t>conduct</w:t>
      </w:r>
      <w:r w:rsidR="00C026A6" w:rsidRPr="00EA59C0">
        <w:t xml:space="preserve"> </w:t>
      </w:r>
      <w:r w:rsidRPr="00EA59C0">
        <w:t>a</w:t>
      </w:r>
      <w:r w:rsidR="00C026A6" w:rsidRPr="00EA59C0">
        <w:t xml:space="preserve"> </w:t>
      </w:r>
      <w:r w:rsidRPr="00EA59C0">
        <w:t>research</w:t>
      </w:r>
      <w:r w:rsidR="00C026A6" w:rsidRPr="00EA59C0">
        <w:t xml:space="preserve"> </w:t>
      </w:r>
      <w:r w:rsidRPr="00EA59C0">
        <w:t>review</w:t>
      </w:r>
      <w:r w:rsidR="00C026A6" w:rsidRPr="00EA59C0">
        <w:t xml:space="preserve"> </w:t>
      </w:r>
      <w:r w:rsidRPr="00EA59C0">
        <w:t>to</w:t>
      </w:r>
      <w:r w:rsidR="00C026A6" w:rsidRPr="00EA59C0">
        <w:t xml:space="preserve"> </w:t>
      </w:r>
      <w:r w:rsidRPr="00EA59C0">
        <w:t>support</w:t>
      </w:r>
      <w:r w:rsidR="00C026A6" w:rsidRPr="00EA59C0">
        <w:t xml:space="preserve"> </w:t>
      </w:r>
      <w:r w:rsidRPr="00EA59C0">
        <w:t>the</w:t>
      </w:r>
      <w:r w:rsidR="00C026A6" w:rsidRPr="00EA59C0">
        <w:t xml:space="preserve"> </w:t>
      </w:r>
      <w:r w:rsidRPr="00EA59C0">
        <w:t>proposed</w:t>
      </w:r>
      <w:r w:rsidR="00C026A6" w:rsidRPr="00EA59C0">
        <w:t xml:space="preserve"> </w:t>
      </w:r>
      <w:r w:rsidRPr="00EA59C0">
        <w:t>program</w:t>
      </w:r>
      <w:r w:rsidR="00C026A6" w:rsidRPr="00EA59C0">
        <w:t xml:space="preserve"> </w:t>
      </w:r>
      <w:r w:rsidRPr="00EA59C0">
        <w:t>design,</w:t>
      </w:r>
      <w:r w:rsidR="00C026A6" w:rsidRPr="00EA59C0">
        <w:t xml:space="preserve"> </w:t>
      </w:r>
      <w:r w:rsidRPr="00EA59C0">
        <w:t>clearly</w:t>
      </w:r>
      <w:r w:rsidR="00C026A6" w:rsidRPr="00EA59C0">
        <w:t xml:space="preserve"> </w:t>
      </w:r>
      <w:r w:rsidRPr="00EA59C0">
        <w:t>describe</w:t>
      </w:r>
      <w:r w:rsidR="00C026A6" w:rsidRPr="00EA59C0">
        <w:t xml:space="preserve"> </w:t>
      </w:r>
      <w:r w:rsidRPr="00EA59C0">
        <w:t>the</w:t>
      </w:r>
      <w:r w:rsidR="00C026A6" w:rsidRPr="00EA59C0">
        <w:t xml:space="preserve"> </w:t>
      </w:r>
      <w:r w:rsidRPr="00EA59C0">
        <w:t>evidence</w:t>
      </w:r>
      <w:r w:rsidR="00C026A6" w:rsidRPr="00EA59C0">
        <w:t xml:space="preserve"> </w:t>
      </w:r>
      <w:r w:rsidRPr="00EA59C0">
        <w:t>on</w:t>
      </w:r>
      <w:r w:rsidR="00C026A6" w:rsidRPr="00EA59C0">
        <w:t xml:space="preserve"> </w:t>
      </w:r>
      <w:r w:rsidRPr="00EA59C0">
        <w:t>which</w:t>
      </w:r>
      <w:r w:rsidR="00C026A6" w:rsidRPr="00EA59C0">
        <w:t xml:space="preserve"> </w:t>
      </w:r>
      <w:r w:rsidRPr="00EA59C0">
        <w:t>the</w:t>
      </w:r>
      <w:r w:rsidR="00C026A6" w:rsidRPr="00EA59C0">
        <w:t xml:space="preserve"> </w:t>
      </w:r>
      <w:r w:rsidRPr="00EA59C0">
        <w:t>proposed</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strategies</w:t>
      </w:r>
      <w:r w:rsidR="00C026A6" w:rsidRPr="00EA59C0">
        <w:t xml:space="preserve"> </w:t>
      </w:r>
      <w:r w:rsidRPr="00EA59C0">
        <w:t>are</w:t>
      </w:r>
      <w:r w:rsidR="00C026A6" w:rsidRPr="00EA59C0">
        <w:t xml:space="preserve"> </w:t>
      </w:r>
      <w:r w:rsidRPr="00EA59C0">
        <w:t>based,</w:t>
      </w:r>
      <w:r w:rsidR="00C026A6" w:rsidRPr="00EA59C0">
        <w:t xml:space="preserve"> </w:t>
      </w:r>
      <w:r w:rsidRPr="00EA59C0">
        <w:t>and</w:t>
      </w:r>
      <w:r w:rsidR="00C026A6" w:rsidRPr="00EA59C0">
        <w:t xml:space="preserve"> </w:t>
      </w:r>
      <w:r w:rsidRPr="00EA59C0">
        <w:t>describe</w:t>
      </w:r>
      <w:r w:rsidR="00C026A6" w:rsidRPr="00EA59C0">
        <w:t xml:space="preserve"> </w:t>
      </w:r>
      <w:r w:rsidRPr="00EA59C0">
        <w:t>how</w:t>
      </w:r>
      <w:r w:rsidR="00C026A6" w:rsidRPr="00EA59C0">
        <w:t xml:space="preserve"> </w:t>
      </w:r>
      <w:r w:rsidRPr="00EA59C0">
        <w:t>the</w:t>
      </w:r>
      <w:r w:rsidR="00C026A6" w:rsidRPr="00EA59C0">
        <w:t xml:space="preserve"> </w:t>
      </w:r>
      <w:r w:rsidRPr="00EA59C0">
        <w:t>evidence</w:t>
      </w:r>
      <w:r w:rsidR="00C026A6" w:rsidRPr="00EA59C0">
        <w:t xml:space="preserve"> </w:t>
      </w:r>
      <w:r w:rsidRPr="00EA59C0">
        <w:t>influenced</w:t>
      </w:r>
      <w:r w:rsidR="00C026A6" w:rsidRPr="00EA59C0">
        <w:t xml:space="preserve"> </w:t>
      </w:r>
      <w:r w:rsidRPr="00EA59C0">
        <w:t>the</w:t>
      </w:r>
      <w:r w:rsidR="00C026A6" w:rsidRPr="00EA59C0">
        <w:t xml:space="preserve"> </w:t>
      </w:r>
      <w:r w:rsidRPr="00EA59C0">
        <w:t>design</w:t>
      </w:r>
      <w:r w:rsidR="00C026A6" w:rsidRPr="00EA59C0">
        <w:t xml:space="preserve"> </w:t>
      </w:r>
      <w:r w:rsidRPr="00EA59C0">
        <w:t>of</w:t>
      </w:r>
      <w:r w:rsidR="00C026A6" w:rsidRPr="00EA59C0">
        <w:t xml:space="preserve"> </w:t>
      </w:r>
      <w:r w:rsidRPr="00EA59C0">
        <w:t>the</w:t>
      </w:r>
      <w:r w:rsidR="00C026A6" w:rsidRPr="00EA59C0">
        <w:t xml:space="preserve"> </w:t>
      </w:r>
      <w:r w:rsidRPr="00EA59C0">
        <w:t>program</w:t>
      </w:r>
      <w:r w:rsidR="00C026A6" w:rsidRPr="00EA59C0">
        <w:t xml:space="preserve"> </w:t>
      </w:r>
      <w:r w:rsidRPr="00EA59C0">
        <w:t>to</w:t>
      </w:r>
      <w:r w:rsidR="00C026A6" w:rsidRPr="00EA59C0">
        <w:t xml:space="preserve"> </w:t>
      </w:r>
      <w:r w:rsidRPr="00EA59C0">
        <w:t>improve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employment</w:t>
      </w:r>
      <w:r w:rsidR="00C026A6" w:rsidRPr="00EA59C0">
        <w:t xml:space="preserve"> </w:t>
      </w:r>
      <w:r w:rsidRPr="00EA59C0">
        <w:t>outcomes.</w:t>
      </w:r>
    </w:p>
    <w:p w:rsidR="00BF2A39" w:rsidRPr="00EA59C0" w:rsidRDefault="00BF2A39" w:rsidP="00C072FA">
      <w:pPr>
        <w:ind w:left="1080"/>
      </w:pPr>
    </w:p>
    <w:p w:rsidR="004D570C" w:rsidRPr="00EA59C0" w:rsidRDefault="0085160D" w:rsidP="00C072FA">
      <w:pPr>
        <w:pStyle w:val="ListParagraph"/>
        <w:numPr>
          <w:ilvl w:val="6"/>
          <w:numId w:val="17"/>
        </w:numPr>
      </w:pPr>
      <w:r w:rsidRPr="00EA59C0">
        <w:t>Review</w:t>
      </w:r>
      <w:r w:rsidR="00C026A6" w:rsidRPr="00EA59C0">
        <w:t xml:space="preserve"> </w:t>
      </w:r>
      <w:r w:rsidRPr="00EA59C0">
        <w:t>of</w:t>
      </w:r>
      <w:r w:rsidR="00C026A6" w:rsidRPr="00EA59C0">
        <w:t xml:space="preserve"> </w:t>
      </w:r>
      <w:r w:rsidRPr="00EA59C0">
        <w:t>Evidence</w:t>
      </w:r>
      <w:r w:rsidR="00C026A6" w:rsidRPr="00EA59C0">
        <w:t xml:space="preserve"> </w:t>
      </w:r>
      <w:r w:rsidRPr="00EA59C0">
        <w:t>for</w:t>
      </w:r>
      <w:r w:rsidR="00C026A6" w:rsidRPr="00EA59C0">
        <w:t xml:space="preserve"> </w:t>
      </w:r>
      <w:r w:rsidRPr="00EA59C0">
        <w:t>Program</w:t>
      </w:r>
      <w:r w:rsidR="00C026A6" w:rsidRPr="00EA59C0">
        <w:t xml:space="preserve"> </w:t>
      </w:r>
      <w:r w:rsidRPr="00EA59C0">
        <w:t>Design</w:t>
      </w:r>
      <w:r w:rsidR="00C026A6" w:rsidRPr="00EA59C0">
        <w:t xml:space="preserve"> </w:t>
      </w:r>
    </w:p>
    <w:p w:rsidR="0085160D" w:rsidRPr="00EA59C0" w:rsidRDefault="0085160D" w:rsidP="00C072FA">
      <w:pPr>
        <w:pStyle w:val="ListParagraph"/>
        <w:ind w:left="2520"/>
      </w:pPr>
      <w:r w:rsidRPr="00EA59C0">
        <w:t>Applicants</w:t>
      </w:r>
      <w:r w:rsidR="00C026A6" w:rsidRPr="00EA59C0">
        <w:t xml:space="preserve"> </w:t>
      </w:r>
      <w:r w:rsidRPr="00EA59C0">
        <w:t>that</w:t>
      </w:r>
      <w:r w:rsidR="00C026A6" w:rsidRPr="00EA59C0">
        <w:t xml:space="preserve"> </w:t>
      </w:r>
      <w:r w:rsidRPr="00EA59C0">
        <w:t>propose</w:t>
      </w:r>
      <w:r w:rsidR="00C026A6" w:rsidRPr="00EA59C0">
        <w:t xml:space="preserve"> </w:t>
      </w:r>
      <w:r w:rsidRPr="00EA59C0">
        <w:t>to</w:t>
      </w:r>
      <w:r w:rsidR="00C026A6" w:rsidRPr="00EA59C0">
        <w:t xml:space="preserve"> </w:t>
      </w:r>
      <w:r w:rsidRPr="00EA59C0">
        <w:t>replicate</w:t>
      </w:r>
      <w:r w:rsidR="00C026A6" w:rsidRPr="00EA59C0">
        <w:t xml:space="preserve"> </w:t>
      </w:r>
      <w:r w:rsidR="00F765F7" w:rsidRPr="00EA59C0">
        <w:t>or</w:t>
      </w:r>
      <w:r w:rsidR="00C026A6" w:rsidRPr="00EA59C0">
        <w:t xml:space="preserve"> </w:t>
      </w:r>
      <w:r w:rsidR="00F765F7" w:rsidRPr="00EA59C0">
        <w:t>adapt</w:t>
      </w:r>
      <w:r w:rsidR="00C026A6" w:rsidRPr="00EA59C0">
        <w:t xml:space="preserve"> </w:t>
      </w:r>
      <w:r w:rsidRPr="00EA59C0">
        <w:t>existing</w:t>
      </w:r>
      <w:r w:rsidR="00C026A6" w:rsidRPr="00EA59C0">
        <w:t xml:space="preserve"> </w:t>
      </w:r>
      <w:r w:rsidRPr="00EA59C0">
        <w:t>strategies</w:t>
      </w:r>
      <w:r w:rsidR="00C026A6" w:rsidRPr="00EA59C0">
        <w:t xml:space="preserve"> </w:t>
      </w:r>
      <w:r w:rsidRPr="00EA59C0">
        <w:t>must</w:t>
      </w:r>
      <w:r w:rsidR="00C026A6" w:rsidRPr="00EA59C0">
        <w:t xml:space="preserve"> </w:t>
      </w:r>
      <w:r w:rsidRPr="00EA59C0">
        <w:t>cite</w:t>
      </w:r>
      <w:r w:rsidR="00C026A6" w:rsidRPr="00EA59C0">
        <w:t xml:space="preserve"> </w:t>
      </w:r>
      <w:r w:rsidRPr="00EA59C0">
        <w:t>strong</w:t>
      </w:r>
      <w:r w:rsidR="00C026A6" w:rsidRPr="00EA59C0">
        <w:t xml:space="preserve"> </w:t>
      </w:r>
      <w:r w:rsidRPr="00EA59C0">
        <w:t>or</w:t>
      </w:r>
      <w:r w:rsidR="00C026A6" w:rsidRPr="00EA59C0">
        <w:t xml:space="preserve"> </w:t>
      </w:r>
      <w:r w:rsidRPr="00EA59C0">
        <w:t>moderate</w:t>
      </w:r>
      <w:r w:rsidR="00C026A6" w:rsidRPr="00EA59C0">
        <w:t xml:space="preserve"> </w:t>
      </w:r>
      <w:r w:rsidRPr="00EA59C0">
        <w:t>evidence</w:t>
      </w:r>
      <w:r w:rsidR="00C026A6" w:rsidRPr="00EA59C0">
        <w:t xml:space="preserve"> </w:t>
      </w:r>
      <w:r w:rsidR="00F765F7" w:rsidRPr="00EA59C0">
        <w:t>of</w:t>
      </w:r>
      <w:r w:rsidR="00C026A6" w:rsidRPr="00EA59C0">
        <w:t xml:space="preserve"> </w:t>
      </w:r>
      <w:r w:rsidR="00F765F7" w:rsidRPr="00EA59C0">
        <w:t>effectiveness</w:t>
      </w:r>
      <w:r w:rsidRPr="00EA59C0">
        <w:t>.</w:t>
      </w:r>
      <w:r w:rsidR="00C026A6" w:rsidRPr="00EA59C0">
        <w:t xml:space="preserve">  </w:t>
      </w:r>
      <w:r w:rsidR="00F765F7" w:rsidRPr="00EA59C0">
        <w:t>Alternatively,</w:t>
      </w:r>
      <w:r w:rsidR="00C026A6" w:rsidRPr="00EA59C0">
        <w:t xml:space="preserve"> </w:t>
      </w:r>
      <w:r w:rsidR="00F765F7" w:rsidRPr="00EA59C0">
        <w:t>applicants</w:t>
      </w:r>
      <w:r w:rsidR="00C026A6" w:rsidRPr="00EA59C0">
        <w:t xml:space="preserve"> </w:t>
      </w:r>
      <w:r w:rsidR="00F765F7" w:rsidRPr="00EA59C0">
        <w:t>who</w:t>
      </w:r>
      <w:r w:rsidR="00C026A6" w:rsidRPr="00EA59C0">
        <w:t xml:space="preserve"> </w:t>
      </w:r>
      <w:r w:rsidR="00F765F7" w:rsidRPr="00EA59C0">
        <w:t>propose</w:t>
      </w:r>
      <w:r w:rsidR="00C026A6" w:rsidRPr="00EA59C0">
        <w:t xml:space="preserve"> </w:t>
      </w:r>
      <w:r w:rsidR="00F765F7" w:rsidRPr="00EA59C0">
        <w:t>to</w:t>
      </w:r>
      <w:r w:rsidR="00C026A6" w:rsidRPr="00EA59C0">
        <w:t xml:space="preserve"> </w:t>
      </w:r>
      <w:r w:rsidR="00F765F7" w:rsidRPr="00EA59C0">
        <w:t>develop</w:t>
      </w:r>
      <w:r w:rsidR="00C026A6" w:rsidRPr="00EA59C0">
        <w:t xml:space="preserve"> </w:t>
      </w:r>
      <w:r w:rsidR="00F765F7" w:rsidRPr="00EA59C0">
        <w:t>new,</w:t>
      </w:r>
      <w:r w:rsidR="00C026A6" w:rsidRPr="00EA59C0">
        <w:t xml:space="preserve"> </w:t>
      </w:r>
      <w:r w:rsidR="00F765F7" w:rsidRPr="00EA59C0">
        <w:t>untested</w:t>
      </w:r>
      <w:r w:rsidR="00C026A6" w:rsidRPr="00EA59C0">
        <w:t xml:space="preserve"> </w:t>
      </w:r>
      <w:r w:rsidR="00F765F7" w:rsidRPr="00EA59C0">
        <w:t>strategies</w:t>
      </w:r>
      <w:r w:rsidR="00C026A6" w:rsidRPr="00EA59C0">
        <w:t xml:space="preserve"> </w:t>
      </w:r>
      <w:r w:rsidR="00F765F7" w:rsidRPr="00EA59C0">
        <w:t>should</w:t>
      </w:r>
      <w:r w:rsidR="00C026A6" w:rsidRPr="00EA59C0">
        <w:t xml:space="preserve"> </w:t>
      </w:r>
      <w:r w:rsidR="00F765F7" w:rsidRPr="00EA59C0">
        <w:t>cite</w:t>
      </w:r>
      <w:r w:rsidR="00C026A6" w:rsidRPr="00EA59C0">
        <w:t xml:space="preserve"> </w:t>
      </w:r>
      <w:r w:rsidR="00F765F7" w:rsidRPr="00EA59C0">
        <w:t>preliminary</w:t>
      </w:r>
      <w:r w:rsidR="00C026A6" w:rsidRPr="00EA59C0">
        <w:t xml:space="preserve"> </w:t>
      </w:r>
      <w:r w:rsidR="00F765F7" w:rsidRPr="00EA59C0">
        <w:t>or</w:t>
      </w:r>
      <w:r w:rsidR="00C026A6" w:rsidRPr="00EA59C0">
        <w:t xml:space="preserve"> </w:t>
      </w:r>
      <w:r w:rsidR="00F765F7" w:rsidRPr="00EA59C0">
        <w:t>related</w:t>
      </w:r>
      <w:r w:rsidR="00C026A6" w:rsidRPr="00EA59C0">
        <w:t xml:space="preserve"> </w:t>
      </w:r>
      <w:r w:rsidR="00F765F7" w:rsidRPr="00EA59C0">
        <w:t>research</w:t>
      </w:r>
      <w:r w:rsidR="00C026A6" w:rsidRPr="00EA59C0">
        <w:t xml:space="preserve"> </w:t>
      </w:r>
      <w:r w:rsidR="00F765F7" w:rsidRPr="00EA59C0">
        <w:t>findings</w:t>
      </w:r>
      <w:r w:rsidR="00C026A6" w:rsidRPr="00EA59C0">
        <w:t xml:space="preserve"> </w:t>
      </w:r>
      <w:r w:rsidR="00F765F7" w:rsidRPr="00EA59C0">
        <w:t>and/or</w:t>
      </w:r>
      <w:r w:rsidR="00C026A6" w:rsidRPr="00EA59C0">
        <w:t xml:space="preserve"> </w:t>
      </w:r>
      <w:r w:rsidR="00F765F7" w:rsidRPr="00EA59C0">
        <w:t>a</w:t>
      </w:r>
      <w:r w:rsidR="00C026A6" w:rsidRPr="00EA59C0">
        <w:t xml:space="preserve"> </w:t>
      </w:r>
      <w:r w:rsidR="00F765F7" w:rsidRPr="00EA59C0">
        <w:t>strong</w:t>
      </w:r>
      <w:r w:rsidR="00C026A6" w:rsidRPr="00EA59C0">
        <w:t xml:space="preserve"> </w:t>
      </w:r>
      <w:r w:rsidR="00F765F7" w:rsidRPr="00EA59C0">
        <w:t>theory</w:t>
      </w:r>
      <w:r w:rsidR="00C026A6" w:rsidRPr="00EA59C0">
        <w:t xml:space="preserve"> </w:t>
      </w:r>
      <w:r w:rsidR="00F765F7" w:rsidRPr="00EA59C0">
        <w:t>to</w:t>
      </w:r>
      <w:r w:rsidR="00C026A6" w:rsidRPr="00EA59C0">
        <w:t xml:space="preserve"> </w:t>
      </w:r>
      <w:r w:rsidR="00F765F7" w:rsidRPr="00EA59C0">
        <w:t>support</w:t>
      </w:r>
      <w:r w:rsidR="00C026A6" w:rsidRPr="00EA59C0">
        <w:t xml:space="preserve"> </w:t>
      </w:r>
      <w:r w:rsidR="00F765F7" w:rsidRPr="00EA59C0">
        <w:t>the</w:t>
      </w:r>
      <w:r w:rsidR="00C026A6" w:rsidRPr="00EA59C0">
        <w:t xml:space="preserve"> </w:t>
      </w:r>
      <w:r w:rsidR="00F765F7" w:rsidRPr="00EA59C0">
        <w:t>design</w:t>
      </w:r>
      <w:r w:rsidR="00C026A6" w:rsidRPr="00EA59C0">
        <w:t xml:space="preserve"> </w:t>
      </w:r>
      <w:r w:rsidR="00F765F7" w:rsidRPr="00EA59C0">
        <w:t>of</w:t>
      </w:r>
      <w:r w:rsidR="00C026A6" w:rsidRPr="00EA59C0">
        <w:t xml:space="preserve"> </w:t>
      </w:r>
      <w:r w:rsidR="00F765F7" w:rsidRPr="00EA59C0">
        <w:t>the</w:t>
      </w:r>
      <w:r w:rsidR="00C026A6" w:rsidRPr="00EA59C0">
        <w:t xml:space="preserve"> </w:t>
      </w:r>
      <w:r w:rsidR="00F765F7" w:rsidRPr="00EA59C0">
        <w:t>project.</w:t>
      </w:r>
    </w:p>
    <w:p w:rsidR="003F0959" w:rsidRPr="00EA59C0" w:rsidRDefault="003F0959" w:rsidP="00C072FA">
      <w:pPr>
        <w:pStyle w:val="ListParagraph"/>
        <w:numPr>
          <w:ilvl w:val="2"/>
          <w:numId w:val="4"/>
        </w:numPr>
        <w:ind w:left="2880"/>
      </w:pPr>
      <w:r w:rsidRPr="00EA59C0">
        <w:t>Provide</w:t>
      </w:r>
      <w:r w:rsidR="00C026A6" w:rsidRPr="00EA59C0">
        <w:t xml:space="preserve"> </w:t>
      </w:r>
      <w:r w:rsidRPr="00EA59C0">
        <w:t>a</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the</w:t>
      </w:r>
      <w:r w:rsidR="00C026A6" w:rsidRPr="00EA59C0">
        <w:t xml:space="preserve"> </w:t>
      </w:r>
      <w:r w:rsidRPr="00EA59C0">
        <w:t>proposed</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strategies</w:t>
      </w:r>
      <w:r w:rsidR="00C026A6" w:rsidRPr="00EA59C0">
        <w:t xml:space="preserve"> </w:t>
      </w:r>
      <w:r w:rsidRPr="00EA59C0">
        <w:t>and</w:t>
      </w:r>
      <w:r w:rsidR="00C026A6" w:rsidRPr="00EA59C0">
        <w:t xml:space="preserve"> </w:t>
      </w:r>
      <w:r w:rsidRPr="00EA59C0">
        <w:t>fully</w:t>
      </w:r>
      <w:r w:rsidR="00C026A6" w:rsidRPr="00EA59C0">
        <w:t xml:space="preserve"> </w:t>
      </w:r>
      <w:r w:rsidRPr="00EA59C0">
        <w:t>explain</w:t>
      </w:r>
      <w:r w:rsidR="00C026A6" w:rsidRPr="00EA59C0">
        <w:t xml:space="preserve"> </w:t>
      </w:r>
      <w:r w:rsidRPr="00EA59C0">
        <w:t>how</w:t>
      </w:r>
      <w:r w:rsidR="00C026A6" w:rsidRPr="00EA59C0">
        <w:t xml:space="preserve"> </w:t>
      </w:r>
      <w:r w:rsidRPr="00EA59C0">
        <w:t>the</w:t>
      </w:r>
      <w:r w:rsidR="00C026A6" w:rsidRPr="00EA59C0">
        <w:t xml:space="preserve"> </w:t>
      </w:r>
      <w:r w:rsidRPr="00EA59C0">
        <w:t>evidence</w:t>
      </w:r>
      <w:r w:rsidR="00C026A6" w:rsidRPr="00EA59C0">
        <w:t xml:space="preserve"> </w:t>
      </w:r>
      <w:r w:rsidRPr="00EA59C0">
        <w:t>cited</w:t>
      </w:r>
      <w:r w:rsidR="00C026A6" w:rsidRPr="00EA59C0">
        <w:t xml:space="preserve"> </w:t>
      </w:r>
      <w:r w:rsidRPr="00EA59C0">
        <w:t>in</w:t>
      </w:r>
      <w:r w:rsidR="00C026A6" w:rsidRPr="00EA59C0">
        <w:t xml:space="preserve"> </w:t>
      </w:r>
      <w:r w:rsidRPr="00EA59C0">
        <w:t>the</w:t>
      </w:r>
      <w:r w:rsidR="00C026A6" w:rsidRPr="00EA59C0">
        <w:t xml:space="preserve"> </w:t>
      </w:r>
      <w:r w:rsidRPr="00EA59C0">
        <w:t>Review</w:t>
      </w:r>
      <w:r w:rsidR="00C026A6" w:rsidRPr="00EA59C0">
        <w:t xml:space="preserve"> </w:t>
      </w:r>
      <w:r w:rsidRPr="00EA59C0">
        <w:t>of</w:t>
      </w:r>
      <w:r w:rsidR="00C026A6" w:rsidRPr="00EA59C0">
        <w:t xml:space="preserve"> </w:t>
      </w:r>
      <w:r w:rsidRPr="00EA59C0">
        <w:t>Evidence</w:t>
      </w:r>
      <w:r w:rsidR="00C026A6" w:rsidRPr="00EA59C0">
        <w:t xml:space="preserve"> </w:t>
      </w:r>
      <w:r w:rsidRPr="00EA59C0">
        <w:t>for</w:t>
      </w:r>
      <w:r w:rsidR="00C026A6" w:rsidRPr="00EA59C0">
        <w:t xml:space="preserve"> </w:t>
      </w:r>
      <w:r w:rsidRPr="00EA59C0">
        <w:t>Program</w:t>
      </w:r>
      <w:r w:rsidR="00C026A6" w:rsidRPr="00EA59C0">
        <w:t xml:space="preserve"> </w:t>
      </w:r>
      <w:r w:rsidRPr="00EA59C0">
        <w:t>Design</w:t>
      </w:r>
      <w:r w:rsidR="00C026A6" w:rsidRPr="00EA59C0">
        <w:t xml:space="preserve"> </w:t>
      </w:r>
      <w:r w:rsidRPr="00EA59C0">
        <w:t>influenced</w:t>
      </w:r>
      <w:r w:rsidR="00C026A6" w:rsidRPr="00EA59C0">
        <w:t xml:space="preserve"> </w:t>
      </w:r>
      <w:r w:rsidRPr="00EA59C0">
        <w:t>the</w:t>
      </w:r>
      <w:r w:rsidR="00C026A6" w:rsidRPr="00EA59C0">
        <w:t xml:space="preserve"> </w:t>
      </w:r>
      <w:r w:rsidRPr="00EA59C0">
        <w:t>design</w:t>
      </w:r>
      <w:r w:rsidR="00C026A6" w:rsidRPr="00EA59C0">
        <w:t xml:space="preserve"> </w:t>
      </w:r>
      <w:r w:rsidRPr="00EA59C0">
        <w:t>of</w:t>
      </w:r>
      <w:r w:rsidR="00C026A6" w:rsidRPr="00EA59C0">
        <w:t xml:space="preserve"> </w:t>
      </w:r>
      <w:r w:rsidRPr="00EA59C0">
        <w:t>the</w:t>
      </w:r>
      <w:r w:rsidR="00C026A6" w:rsidRPr="00EA59C0">
        <w:t xml:space="preserve"> </w:t>
      </w:r>
      <w:r w:rsidRPr="00EA59C0">
        <w:t>proposed</w:t>
      </w:r>
      <w:r w:rsidR="00C026A6" w:rsidRPr="00EA59C0">
        <w:t xml:space="preserve"> </w:t>
      </w:r>
      <w:r w:rsidRPr="00EA59C0">
        <w:t>program.</w:t>
      </w:r>
      <w:r w:rsidR="00C026A6" w:rsidRPr="00EA59C0">
        <w:t xml:space="preserve">  </w:t>
      </w:r>
    </w:p>
    <w:p w:rsidR="0085160D" w:rsidRPr="00EA59C0" w:rsidRDefault="0085160D" w:rsidP="00C072FA">
      <w:pPr>
        <w:pStyle w:val="ListParagraph"/>
        <w:numPr>
          <w:ilvl w:val="2"/>
          <w:numId w:val="4"/>
        </w:numPr>
        <w:ind w:left="2880"/>
      </w:pPr>
      <w:r w:rsidRPr="00EA59C0">
        <w:t>Applicants</w:t>
      </w:r>
      <w:r w:rsidR="00C026A6" w:rsidRPr="00EA59C0">
        <w:t xml:space="preserve"> </w:t>
      </w:r>
      <w:r w:rsidRPr="00EA59C0">
        <w:t>that</w:t>
      </w:r>
      <w:r w:rsidR="00C026A6" w:rsidRPr="00EA59C0">
        <w:t xml:space="preserve"> </w:t>
      </w:r>
      <w:r w:rsidRPr="00EA59C0">
        <w:t>cite</w:t>
      </w:r>
      <w:r w:rsidR="00C026A6" w:rsidRPr="00EA59C0">
        <w:t xml:space="preserve"> </w:t>
      </w:r>
      <w:r w:rsidRPr="00EA59C0">
        <w:t>strong</w:t>
      </w:r>
      <w:r w:rsidR="003F0959" w:rsidRPr="00EA59C0">
        <w:t>,</w:t>
      </w:r>
      <w:r w:rsidR="00C026A6" w:rsidRPr="00EA59C0">
        <w:t xml:space="preserve"> </w:t>
      </w:r>
      <w:r w:rsidR="003F0959" w:rsidRPr="00EA59C0">
        <w:t>moderate,</w:t>
      </w:r>
      <w:r w:rsidR="00C026A6" w:rsidRPr="00EA59C0">
        <w:t xml:space="preserve"> </w:t>
      </w:r>
      <w:r w:rsidR="003F0959" w:rsidRPr="00EA59C0">
        <w:t>or</w:t>
      </w:r>
      <w:r w:rsidR="00C026A6" w:rsidRPr="00EA59C0">
        <w:t xml:space="preserve"> </w:t>
      </w:r>
      <w:r w:rsidR="003F0959" w:rsidRPr="00EA59C0">
        <w:t>preliminary</w:t>
      </w:r>
      <w:r w:rsidR="00C026A6" w:rsidRPr="00EA59C0">
        <w:t xml:space="preserve"> </w:t>
      </w:r>
      <w:r w:rsidRPr="00EA59C0">
        <w:t>evidence</w:t>
      </w:r>
      <w:r w:rsidR="00C026A6" w:rsidRPr="00EA59C0">
        <w:t xml:space="preserve"> </w:t>
      </w:r>
      <w:r w:rsidR="00F765F7" w:rsidRPr="00EA59C0">
        <w:t>of</w:t>
      </w:r>
      <w:r w:rsidR="00C026A6" w:rsidRPr="00EA59C0">
        <w:t xml:space="preserve"> </w:t>
      </w:r>
      <w:r w:rsidR="00F765F7" w:rsidRPr="00EA59C0">
        <w:t>effectiveness</w:t>
      </w:r>
      <w:r w:rsidR="00C026A6" w:rsidRPr="00EA59C0">
        <w:t xml:space="preserve"> </w:t>
      </w:r>
      <w:r w:rsidRPr="00EA59C0">
        <w:t>must</w:t>
      </w:r>
      <w:r w:rsidR="00C026A6" w:rsidRPr="00EA59C0">
        <w:t xml:space="preserve"> </w:t>
      </w:r>
      <w:r w:rsidRPr="00EA59C0">
        <w:t>describe</w:t>
      </w:r>
      <w:r w:rsidR="00C026A6" w:rsidRPr="00EA59C0">
        <w:t xml:space="preserve"> </w:t>
      </w:r>
      <w:r w:rsidRPr="00EA59C0">
        <w:t>how</w:t>
      </w:r>
      <w:r w:rsidR="00C026A6" w:rsidRPr="00EA59C0">
        <w:t xml:space="preserve"> </w:t>
      </w:r>
      <w:r w:rsidRPr="00EA59C0">
        <w:t>it</w:t>
      </w:r>
      <w:r w:rsidR="00C026A6" w:rsidRPr="00EA59C0">
        <w:t xml:space="preserve"> </w:t>
      </w:r>
      <w:r w:rsidRPr="00EA59C0">
        <w:t>meets</w:t>
      </w:r>
      <w:r w:rsidR="00C026A6" w:rsidRPr="00EA59C0">
        <w:t xml:space="preserve"> </w:t>
      </w:r>
      <w:r w:rsidRPr="00EA59C0">
        <w:t>the</w:t>
      </w:r>
      <w:r w:rsidR="00C026A6" w:rsidRPr="00EA59C0">
        <w:t xml:space="preserve"> </w:t>
      </w:r>
      <w:r w:rsidR="00F765F7" w:rsidRPr="00EA59C0">
        <w:t>parameters</w:t>
      </w:r>
      <w:r w:rsidR="00C026A6" w:rsidRPr="00EA59C0">
        <w:t xml:space="preserve"> </w:t>
      </w:r>
      <w:r w:rsidR="00F765F7" w:rsidRPr="00EA59C0">
        <w:t>outlined</w:t>
      </w:r>
      <w:r w:rsidR="00C026A6" w:rsidRPr="00EA59C0">
        <w:t xml:space="preserve"> </w:t>
      </w:r>
      <w:r w:rsidR="00F765F7" w:rsidRPr="00EA59C0">
        <w:t>in</w:t>
      </w:r>
      <w:r w:rsidR="00C026A6" w:rsidRPr="00EA59C0">
        <w:t xml:space="preserve"> </w:t>
      </w:r>
      <w:r w:rsidR="00F765F7" w:rsidRPr="00EA59C0">
        <w:t>Appendix</w:t>
      </w:r>
      <w:r w:rsidR="00C026A6" w:rsidRPr="00EA59C0">
        <w:t xml:space="preserve"> </w:t>
      </w:r>
      <w:r w:rsidR="00113E4E" w:rsidRPr="00EA59C0">
        <w:t>B</w:t>
      </w:r>
      <w:r w:rsidR="00F765F7" w:rsidRPr="00EA59C0">
        <w:t>:</w:t>
      </w:r>
      <w:r w:rsidR="00C026A6" w:rsidRPr="00EA59C0">
        <w:t xml:space="preserve"> </w:t>
      </w:r>
      <w:r w:rsidR="00F765F7" w:rsidRPr="00EA59C0">
        <w:t>Strength</w:t>
      </w:r>
      <w:r w:rsidR="00C026A6" w:rsidRPr="00EA59C0">
        <w:t xml:space="preserve"> </w:t>
      </w:r>
      <w:r w:rsidR="00F765F7" w:rsidRPr="00EA59C0">
        <w:t>of</w:t>
      </w:r>
      <w:r w:rsidR="00C026A6" w:rsidRPr="00EA59C0">
        <w:t xml:space="preserve"> </w:t>
      </w:r>
      <w:r w:rsidR="00F765F7" w:rsidRPr="00EA59C0">
        <w:t>Evidence</w:t>
      </w:r>
      <w:r w:rsidR="00C026A6" w:rsidRPr="00EA59C0">
        <w:t xml:space="preserve"> </w:t>
      </w:r>
      <w:r w:rsidR="00F765F7" w:rsidRPr="00EA59C0">
        <w:t>Definitions.</w:t>
      </w:r>
      <w:r w:rsidR="00C026A6" w:rsidRPr="00EA59C0">
        <w:t xml:space="preserve">  </w:t>
      </w:r>
    </w:p>
    <w:p w:rsidR="00F765F7" w:rsidRPr="00EA59C0" w:rsidRDefault="00F765F7" w:rsidP="00C072FA">
      <w:pPr>
        <w:pStyle w:val="ListParagraph"/>
        <w:numPr>
          <w:ilvl w:val="2"/>
          <w:numId w:val="4"/>
        </w:numPr>
        <w:ind w:left="2880"/>
      </w:pPr>
      <w:r w:rsidRPr="00EA59C0">
        <w:t>Applicants</w:t>
      </w:r>
      <w:r w:rsidR="00C026A6" w:rsidRPr="00EA59C0">
        <w:t xml:space="preserve"> </w:t>
      </w:r>
      <w:r w:rsidRPr="00EA59C0">
        <w:t>who</w:t>
      </w:r>
      <w:r w:rsidR="00C026A6" w:rsidRPr="00EA59C0">
        <w:t xml:space="preserve"> </w:t>
      </w:r>
      <w:r w:rsidRPr="00EA59C0">
        <w:t>propose</w:t>
      </w:r>
      <w:r w:rsidR="00C026A6" w:rsidRPr="00EA59C0">
        <w:t xml:space="preserve"> </w:t>
      </w:r>
      <w:r w:rsidRPr="00EA59C0">
        <w:t>to</w:t>
      </w:r>
      <w:r w:rsidR="00C026A6" w:rsidRPr="00EA59C0">
        <w:t xml:space="preserve"> </w:t>
      </w:r>
      <w:r w:rsidRPr="00EA59C0">
        <w:t>develop</w:t>
      </w:r>
      <w:r w:rsidR="00C026A6" w:rsidRPr="00EA59C0">
        <w:t xml:space="preserve"> </w:t>
      </w:r>
      <w:r w:rsidRPr="00EA59C0">
        <w:t>new,</w:t>
      </w:r>
      <w:r w:rsidR="00C026A6" w:rsidRPr="00EA59C0">
        <w:t xml:space="preserve"> </w:t>
      </w:r>
      <w:r w:rsidRPr="00EA59C0">
        <w:t>untested</w:t>
      </w:r>
      <w:r w:rsidR="00C026A6" w:rsidRPr="00EA59C0">
        <w:t xml:space="preserve"> </w:t>
      </w:r>
      <w:r w:rsidRPr="00EA59C0">
        <w:t>strategies</w:t>
      </w:r>
      <w:r w:rsidR="00C026A6" w:rsidRPr="00EA59C0">
        <w:t xml:space="preserve"> </w:t>
      </w:r>
      <w:r w:rsidRPr="00EA59C0">
        <w:t>that</w:t>
      </w:r>
      <w:r w:rsidR="00C026A6" w:rsidRPr="00EA59C0">
        <w:t xml:space="preserve"> </w:t>
      </w:r>
      <w:r w:rsidRPr="00EA59C0">
        <w:t>will</w:t>
      </w:r>
      <w:r w:rsidR="00C026A6" w:rsidRPr="00EA59C0">
        <w:t xml:space="preserve"> </w:t>
      </w:r>
      <w:r w:rsidRPr="00EA59C0">
        <w:t>rely</w:t>
      </w:r>
      <w:r w:rsidR="00C026A6" w:rsidRPr="00EA59C0">
        <w:t xml:space="preserve"> </w:t>
      </w:r>
      <w:r w:rsidRPr="00EA59C0">
        <w:t>only</w:t>
      </w:r>
      <w:r w:rsidR="00C026A6" w:rsidRPr="00EA59C0">
        <w:t xml:space="preserve"> </w:t>
      </w:r>
      <w:r w:rsidRPr="00EA59C0">
        <w:t>on</w:t>
      </w:r>
      <w:r w:rsidR="00C026A6" w:rsidRPr="00EA59C0">
        <w:t xml:space="preserve"> </w:t>
      </w:r>
      <w:r w:rsidRPr="00EA59C0">
        <w:t>strong</w:t>
      </w:r>
      <w:r w:rsidR="00C026A6" w:rsidRPr="00EA59C0">
        <w:t xml:space="preserve"> </w:t>
      </w:r>
      <w:r w:rsidRPr="00EA59C0">
        <w:t>theory</w:t>
      </w:r>
      <w:r w:rsidR="00C026A6" w:rsidRPr="00EA59C0">
        <w:t xml:space="preserve"> </w:t>
      </w:r>
      <w:r w:rsidRPr="00EA59C0">
        <w:t>should</w:t>
      </w:r>
      <w:r w:rsidR="00C026A6" w:rsidRPr="00EA59C0">
        <w:t xml:space="preserve"> </w:t>
      </w:r>
      <w:r w:rsidRPr="00EA59C0">
        <w:t>clearly</w:t>
      </w:r>
      <w:r w:rsidR="00C026A6" w:rsidRPr="00EA59C0">
        <w:t xml:space="preserve"> </w:t>
      </w:r>
      <w:r w:rsidRPr="00EA59C0">
        <w:t>outline</w:t>
      </w:r>
      <w:r w:rsidR="00C026A6" w:rsidRPr="00EA59C0">
        <w:t xml:space="preserve"> </w:t>
      </w:r>
      <w:r w:rsidRPr="00EA59C0">
        <w:t>a</w:t>
      </w:r>
      <w:r w:rsidR="00C026A6" w:rsidRPr="00EA59C0">
        <w:t xml:space="preserve"> </w:t>
      </w:r>
      <w:r w:rsidRPr="00EA59C0">
        <w:t>strong</w:t>
      </w:r>
      <w:r w:rsidR="00C026A6" w:rsidRPr="00EA59C0">
        <w:t xml:space="preserve"> </w:t>
      </w:r>
      <w:r w:rsidRPr="00EA59C0">
        <w:t>theory</w:t>
      </w:r>
      <w:r w:rsidR="00C026A6" w:rsidRPr="00EA59C0">
        <w:t xml:space="preserve"> </w:t>
      </w:r>
      <w:r w:rsidRPr="00EA59C0">
        <w:t>to</w:t>
      </w:r>
      <w:r w:rsidR="00C026A6" w:rsidRPr="00EA59C0">
        <w:t xml:space="preserve"> </w:t>
      </w:r>
      <w:r w:rsidRPr="00EA59C0">
        <w:t>support</w:t>
      </w:r>
      <w:r w:rsidR="00C026A6" w:rsidRPr="00EA59C0">
        <w:t xml:space="preserve"> </w:t>
      </w:r>
      <w:r w:rsidRPr="00EA59C0">
        <w:t>the</w:t>
      </w:r>
      <w:r w:rsidR="00C026A6" w:rsidRPr="00EA59C0">
        <w:t xml:space="preserve"> </w:t>
      </w:r>
      <w:r w:rsidRPr="00EA59C0">
        <w:t>design</w:t>
      </w:r>
      <w:r w:rsidR="00C026A6" w:rsidRPr="00EA59C0">
        <w:t xml:space="preserve"> </w:t>
      </w:r>
      <w:r w:rsidRPr="00EA59C0">
        <w:t>of</w:t>
      </w:r>
      <w:r w:rsidR="00C026A6" w:rsidRPr="00EA59C0">
        <w:t xml:space="preserve"> </w:t>
      </w:r>
      <w:r w:rsidRPr="00EA59C0">
        <w:t>the</w:t>
      </w:r>
      <w:r w:rsidR="00C026A6" w:rsidRPr="00EA59C0">
        <w:t xml:space="preserve"> </w:t>
      </w:r>
      <w:r w:rsidRPr="00EA59C0">
        <w:t>project</w:t>
      </w:r>
      <w:r w:rsidR="00C026A6" w:rsidRPr="00EA59C0">
        <w:t xml:space="preserve"> </w:t>
      </w:r>
      <w:r w:rsidRPr="00EA59C0">
        <w:t>that</w:t>
      </w:r>
      <w:r w:rsidR="00C026A6" w:rsidRPr="00EA59C0">
        <w:t xml:space="preserve"> </w:t>
      </w:r>
      <w:r w:rsidRPr="00EA59C0">
        <w:t>meets</w:t>
      </w:r>
      <w:r w:rsidR="00C026A6" w:rsidRPr="00EA59C0">
        <w:t xml:space="preserve"> </w:t>
      </w:r>
      <w:r w:rsidRPr="00EA59C0">
        <w:t>the</w:t>
      </w:r>
      <w:r w:rsidR="00C026A6" w:rsidRPr="00EA59C0">
        <w:t xml:space="preserve"> </w:t>
      </w:r>
      <w:r w:rsidRPr="00EA59C0">
        <w:t>parameters</w:t>
      </w:r>
      <w:r w:rsidR="00C026A6" w:rsidRPr="00EA59C0">
        <w:t xml:space="preserve"> </w:t>
      </w:r>
      <w:r w:rsidRPr="00EA59C0">
        <w:t>outlined</w:t>
      </w:r>
      <w:r w:rsidR="00C026A6" w:rsidRPr="00EA59C0">
        <w:t xml:space="preserve"> </w:t>
      </w:r>
      <w:r w:rsidRPr="00EA59C0">
        <w:t>in</w:t>
      </w:r>
      <w:r w:rsidR="00C026A6" w:rsidRPr="00EA59C0">
        <w:t xml:space="preserve"> </w:t>
      </w:r>
      <w:r w:rsidRPr="00EA59C0">
        <w:t>Appendix</w:t>
      </w:r>
      <w:r w:rsidR="00C026A6" w:rsidRPr="00EA59C0">
        <w:t xml:space="preserve"> </w:t>
      </w:r>
      <w:r w:rsidR="00113E4E" w:rsidRPr="00EA59C0">
        <w:t>B</w:t>
      </w:r>
      <w:r w:rsidRPr="00EA59C0">
        <w:t>:</w:t>
      </w:r>
      <w:r w:rsidR="00C026A6" w:rsidRPr="00EA59C0">
        <w:t xml:space="preserve"> </w:t>
      </w:r>
      <w:r w:rsidRPr="00EA59C0">
        <w:t>Strength</w:t>
      </w:r>
      <w:r w:rsidR="00C026A6" w:rsidRPr="00EA59C0">
        <w:t xml:space="preserve"> </w:t>
      </w:r>
      <w:r w:rsidRPr="00EA59C0">
        <w:t>of</w:t>
      </w:r>
      <w:r w:rsidR="00C026A6" w:rsidRPr="00EA59C0">
        <w:t xml:space="preserve"> </w:t>
      </w:r>
      <w:r w:rsidRPr="00EA59C0">
        <w:t>Evidence</w:t>
      </w:r>
      <w:r w:rsidR="00C026A6" w:rsidRPr="00EA59C0">
        <w:t xml:space="preserve"> </w:t>
      </w:r>
      <w:r w:rsidRPr="00EA59C0">
        <w:t>Definitions.</w:t>
      </w:r>
    </w:p>
    <w:p w:rsidR="0085160D" w:rsidRPr="00EA59C0" w:rsidRDefault="0085160D" w:rsidP="00C072FA">
      <w:pPr>
        <w:pStyle w:val="ListParagraph"/>
        <w:numPr>
          <w:ilvl w:val="6"/>
          <w:numId w:val="17"/>
        </w:numPr>
      </w:pPr>
      <w:r w:rsidRPr="00EA59C0">
        <w:t>All</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provide</w:t>
      </w:r>
      <w:r w:rsidR="00C026A6" w:rsidRPr="00EA59C0">
        <w:t xml:space="preserve"> </w:t>
      </w:r>
      <w:r w:rsidRPr="00EA59C0">
        <w:t>a</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the</w:t>
      </w:r>
      <w:r w:rsidR="00C026A6" w:rsidRPr="00EA59C0">
        <w:t xml:space="preserve"> </w:t>
      </w:r>
      <w:r w:rsidRPr="00EA59C0">
        <w:t>research</w:t>
      </w:r>
      <w:r w:rsidR="00C026A6" w:rsidRPr="00EA59C0">
        <w:t xml:space="preserve"> </w:t>
      </w:r>
      <w:r w:rsidRPr="00EA59C0">
        <w:t>findings,</w:t>
      </w:r>
      <w:r w:rsidR="00C026A6" w:rsidRPr="00EA59C0">
        <w:t xml:space="preserve"> </w:t>
      </w:r>
      <w:r w:rsidRPr="00EA59C0">
        <w:t>present</w:t>
      </w:r>
      <w:r w:rsidR="00C026A6" w:rsidRPr="00EA59C0">
        <w:t xml:space="preserve"> </w:t>
      </w:r>
      <w:r w:rsidRPr="00EA59C0">
        <w:t>the</w:t>
      </w:r>
      <w:r w:rsidR="00C026A6" w:rsidRPr="00EA59C0">
        <w:t xml:space="preserve"> </w:t>
      </w:r>
      <w:r w:rsidRPr="00EA59C0">
        <w:t>strongest</w:t>
      </w:r>
      <w:r w:rsidR="00C026A6" w:rsidRPr="00EA59C0">
        <w:t xml:space="preserve"> </w:t>
      </w:r>
      <w:r w:rsidRPr="00EA59C0">
        <w:t>evidence</w:t>
      </w:r>
      <w:r w:rsidR="00C026A6" w:rsidRPr="00EA59C0">
        <w:t xml:space="preserve"> </w:t>
      </w:r>
      <w:r w:rsidRPr="00EA59C0">
        <w:t>available</w:t>
      </w:r>
      <w:r w:rsidR="00C026A6" w:rsidRPr="00EA59C0">
        <w:t xml:space="preserve"> </w:t>
      </w:r>
      <w:r w:rsidRPr="00EA59C0">
        <w:t>for</w:t>
      </w:r>
      <w:r w:rsidR="00C026A6" w:rsidRPr="00EA59C0">
        <w:t xml:space="preserve"> </w:t>
      </w:r>
      <w:r w:rsidRPr="00EA59C0">
        <w:t>the</w:t>
      </w:r>
      <w:r w:rsidR="00C026A6" w:rsidRPr="00EA59C0">
        <w:t xml:space="preserve"> </w:t>
      </w:r>
      <w:r w:rsidRPr="00EA59C0">
        <w:t>particular</w:t>
      </w:r>
      <w:r w:rsidR="00C026A6" w:rsidRPr="00EA59C0">
        <w:t xml:space="preserve"> </w:t>
      </w:r>
      <w:r w:rsidRPr="00EA59C0">
        <w:t>program</w:t>
      </w:r>
      <w:r w:rsidR="00C026A6" w:rsidRPr="00EA59C0">
        <w:t xml:space="preserve"> </w:t>
      </w:r>
      <w:r w:rsidRPr="00EA59C0">
        <w:t>design,</w:t>
      </w:r>
      <w:r w:rsidR="00C026A6" w:rsidRPr="00EA59C0">
        <w:t xml:space="preserve"> </w:t>
      </w:r>
      <w:r w:rsidRPr="00EA59C0">
        <w:t>and</w:t>
      </w:r>
      <w:r w:rsidR="00C026A6" w:rsidRPr="00EA59C0">
        <w:t xml:space="preserve"> </w:t>
      </w:r>
      <w:r w:rsidRPr="00EA59C0">
        <w:t>discuss</w:t>
      </w:r>
      <w:r w:rsidR="00C026A6" w:rsidRPr="00EA59C0">
        <w:t xml:space="preserve"> </w:t>
      </w:r>
      <w:r w:rsidRPr="00EA59C0">
        <w:t>any</w:t>
      </w:r>
      <w:r w:rsidR="00C026A6" w:rsidRPr="00EA59C0">
        <w:t xml:space="preserve"> </w:t>
      </w:r>
      <w:r w:rsidRPr="00EA59C0">
        <w:t>existing</w:t>
      </w:r>
      <w:r w:rsidR="00C026A6" w:rsidRPr="00EA59C0">
        <w:t xml:space="preserve"> </w:t>
      </w:r>
      <w:r w:rsidRPr="00EA59C0">
        <w:t>evidence</w:t>
      </w:r>
      <w:r w:rsidR="00C026A6" w:rsidRPr="00EA59C0">
        <w:t xml:space="preserve"> </w:t>
      </w:r>
      <w:r w:rsidRPr="00EA59C0">
        <w:t>that</w:t>
      </w:r>
      <w:r w:rsidR="00C026A6" w:rsidRPr="00EA59C0">
        <w:t xml:space="preserve"> </w:t>
      </w:r>
      <w:r w:rsidRPr="00EA59C0">
        <w:t>is</w:t>
      </w:r>
      <w:r w:rsidR="00C026A6" w:rsidRPr="00EA59C0">
        <w:t xml:space="preserve"> </w:t>
      </w:r>
      <w:r w:rsidRPr="00EA59C0">
        <w:t>mixed</w:t>
      </w:r>
      <w:r w:rsidR="00C026A6" w:rsidRPr="00EA59C0">
        <w:t xml:space="preserve"> </w:t>
      </w:r>
      <w:r w:rsidRPr="00EA59C0">
        <w:t>or</w:t>
      </w:r>
      <w:r w:rsidR="00C026A6" w:rsidRPr="00EA59C0">
        <w:t xml:space="preserve"> </w:t>
      </w:r>
      <w:r w:rsidRPr="00EA59C0">
        <w:t>negative.</w:t>
      </w:r>
      <w:r w:rsidR="00C026A6" w:rsidRPr="00EA59C0">
        <w:t xml:space="preserve">  </w:t>
      </w:r>
      <w:r w:rsidRPr="00EA59C0">
        <w:t>All</w:t>
      </w:r>
      <w:r w:rsidR="00C026A6" w:rsidRPr="00EA59C0">
        <w:t xml:space="preserve"> </w:t>
      </w:r>
      <w:r w:rsidRPr="00EA59C0">
        <w:t>sources</w:t>
      </w:r>
      <w:r w:rsidR="00C026A6" w:rsidRPr="00EA59C0">
        <w:t xml:space="preserve"> </w:t>
      </w:r>
      <w:r w:rsidRPr="00EA59C0">
        <w:t>must</w:t>
      </w:r>
      <w:r w:rsidR="00C026A6" w:rsidRPr="00EA59C0">
        <w:t xml:space="preserve"> </w:t>
      </w:r>
      <w:r w:rsidRPr="00EA59C0">
        <w:t>be</w:t>
      </w:r>
      <w:r w:rsidR="00C026A6" w:rsidRPr="00EA59C0">
        <w:t xml:space="preserve"> </w:t>
      </w:r>
      <w:r w:rsidRPr="00EA59C0">
        <w:t>appropriately</w:t>
      </w:r>
      <w:r w:rsidR="00C026A6" w:rsidRPr="00EA59C0">
        <w:t xml:space="preserve"> </w:t>
      </w:r>
      <w:r w:rsidRPr="00EA59C0">
        <w:t>cited</w:t>
      </w:r>
      <w:r w:rsidR="00C026A6" w:rsidRPr="00EA59C0">
        <w:t xml:space="preserve"> </w:t>
      </w:r>
      <w:r w:rsidRPr="00EA59C0">
        <w:t>and</w:t>
      </w:r>
      <w:r w:rsidR="00C026A6" w:rsidRPr="00EA59C0">
        <w:t xml:space="preserve"> </w:t>
      </w:r>
      <w:r w:rsidRPr="00EA59C0">
        <w:t>each</w:t>
      </w:r>
      <w:r w:rsidR="00C026A6" w:rsidRPr="00EA59C0">
        <w:t xml:space="preserve"> </w:t>
      </w:r>
      <w:r w:rsidRPr="00EA59C0">
        <w:t>piece</w:t>
      </w:r>
      <w:r w:rsidR="00C026A6" w:rsidRPr="00EA59C0">
        <w:t xml:space="preserve"> </w:t>
      </w:r>
      <w:r w:rsidRPr="00EA59C0">
        <w:t>of</w:t>
      </w:r>
      <w:r w:rsidR="00C026A6" w:rsidRPr="00EA59C0">
        <w:t xml:space="preserve"> </w:t>
      </w:r>
      <w:r w:rsidRPr="00EA59C0">
        <w:t>evidence</w:t>
      </w:r>
      <w:r w:rsidR="00C026A6" w:rsidRPr="00EA59C0">
        <w:t xml:space="preserve"> </w:t>
      </w:r>
      <w:r w:rsidRPr="00EA59C0">
        <w:t>must</w:t>
      </w:r>
      <w:r w:rsidR="00C026A6" w:rsidRPr="00EA59C0">
        <w:t xml:space="preserve"> </w:t>
      </w:r>
      <w:r w:rsidRPr="00EA59C0">
        <w:t>be</w:t>
      </w:r>
      <w:r w:rsidR="00C026A6" w:rsidRPr="00EA59C0">
        <w:t xml:space="preserve"> </w:t>
      </w:r>
      <w:r w:rsidRPr="00EA59C0">
        <w:t>identified</w:t>
      </w:r>
      <w:r w:rsidR="00C026A6" w:rsidRPr="00EA59C0">
        <w:t xml:space="preserve"> </w:t>
      </w:r>
      <w:r w:rsidRPr="00EA59C0">
        <w:t>as</w:t>
      </w:r>
      <w:r w:rsidR="00C026A6" w:rsidRPr="00EA59C0">
        <w:t xml:space="preserve"> </w:t>
      </w:r>
      <w:r w:rsidRPr="00EA59C0">
        <w:t>strong,</w:t>
      </w:r>
      <w:r w:rsidR="00C026A6" w:rsidRPr="00EA59C0">
        <w:t xml:space="preserve"> </w:t>
      </w:r>
      <w:r w:rsidRPr="00EA59C0">
        <w:t>moderate,</w:t>
      </w:r>
      <w:r w:rsidR="00C026A6" w:rsidRPr="00EA59C0">
        <w:t xml:space="preserve"> </w:t>
      </w:r>
      <w:r w:rsidRPr="00EA59C0">
        <w:t>or</w:t>
      </w:r>
      <w:r w:rsidR="00C026A6" w:rsidRPr="00EA59C0">
        <w:t xml:space="preserve"> </w:t>
      </w:r>
      <w:r w:rsidR="001452D3" w:rsidRPr="00EA59C0">
        <w:t>promising</w:t>
      </w:r>
      <w:r w:rsidR="00C026A6" w:rsidRPr="00EA59C0">
        <w:t xml:space="preserve"> </w:t>
      </w:r>
      <w:r w:rsidRPr="00EA59C0">
        <w:t>(see</w:t>
      </w:r>
      <w:r w:rsidR="00C026A6" w:rsidRPr="00EA59C0">
        <w:t xml:space="preserve"> </w:t>
      </w:r>
      <w:r w:rsidRPr="00EA59C0">
        <w:t>Appendix</w:t>
      </w:r>
      <w:r w:rsidR="00C026A6" w:rsidRPr="00EA59C0">
        <w:t xml:space="preserve"> </w:t>
      </w:r>
      <w:r w:rsidR="00113E4E" w:rsidRPr="00EA59C0">
        <w:t>B</w:t>
      </w:r>
      <w:r w:rsidR="00C026A6" w:rsidRPr="00EA59C0">
        <w:t xml:space="preserve"> </w:t>
      </w:r>
      <w:r w:rsidRPr="00EA59C0">
        <w:t>for</w:t>
      </w:r>
      <w:r w:rsidR="00C026A6" w:rsidRPr="00EA59C0">
        <w:t xml:space="preserve"> </w:t>
      </w:r>
      <w:r w:rsidRPr="00EA59C0">
        <w:t>a</w:t>
      </w:r>
      <w:r w:rsidR="00C026A6" w:rsidRPr="00EA59C0">
        <w:t xml:space="preserve"> </w:t>
      </w:r>
      <w:r w:rsidRPr="00EA59C0">
        <w:t>detailed</w:t>
      </w:r>
      <w:r w:rsidR="00C026A6" w:rsidRPr="00EA59C0">
        <w:t xml:space="preserve"> </w:t>
      </w:r>
      <w:r w:rsidRPr="00EA59C0">
        <w:t>descrip</w:t>
      </w:r>
      <w:r w:rsidR="00637DBF" w:rsidRPr="00EA59C0">
        <w:t>tion</w:t>
      </w:r>
      <w:r w:rsidR="00C026A6" w:rsidRPr="00EA59C0">
        <w:t xml:space="preserve"> </w:t>
      </w:r>
      <w:r w:rsidR="00637DBF" w:rsidRPr="00EA59C0">
        <w:t>of</w:t>
      </w:r>
      <w:r w:rsidR="00C026A6" w:rsidRPr="00EA59C0">
        <w:t xml:space="preserve"> </w:t>
      </w:r>
      <w:r w:rsidR="00637DBF" w:rsidRPr="00EA59C0">
        <w:t>the</w:t>
      </w:r>
      <w:r w:rsidR="00C026A6" w:rsidRPr="00EA59C0">
        <w:t xml:space="preserve"> </w:t>
      </w:r>
      <w:r w:rsidR="00637DBF" w:rsidRPr="00EA59C0">
        <w:t>levels</w:t>
      </w:r>
      <w:r w:rsidR="00C026A6" w:rsidRPr="00EA59C0">
        <w:t xml:space="preserve"> </w:t>
      </w:r>
      <w:r w:rsidR="00637DBF" w:rsidRPr="00EA59C0">
        <w:t>of</w:t>
      </w:r>
      <w:r w:rsidR="00C026A6" w:rsidRPr="00EA59C0">
        <w:t xml:space="preserve"> </w:t>
      </w:r>
      <w:r w:rsidR="00637DBF" w:rsidRPr="00EA59C0">
        <w:t>evidence</w:t>
      </w:r>
      <w:r w:rsidRPr="00EA59C0">
        <w:t>).</w:t>
      </w:r>
    </w:p>
    <w:p w:rsidR="0085160D" w:rsidRPr="00EA59C0" w:rsidRDefault="0085160D" w:rsidP="00C072FA">
      <w:pPr>
        <w:pStyle w:val="ListParagraph"/>
        <w:numPr>
          <w:ilvl w:val="6"/>
          <w:numId w:val="17"/>
        </w:numPr>
      </w:pPr>
      <w:r w:rsidRPr="00EA59C0">
        <w:t>Use</w:t>
      </w:r>
      <w:r w:rsidR="00C026A6" w:rsidRPr="00EA59C0">
        <w:t xml:space="preserve"> </w:t>
      </w:r>
      <w:r w:rsidRPr="00EA59C0">
        <w:t>of</w:t>
      </w:r>
      <w:r w:rsidR="00C026A6" w:rsidRPr="00EA59C0">
        <w:t xml:space="preserve"> </w:t>
      </w:r>
      <w:r w:rsidRPr="00EA59C0">
        <w:t>Evidence</w:t>
      </w:r>
      <w:r w:rsidR="00C026A6" w:rsidRPr="00EA59C0">
        <w:t xml:space="preserve"> </w:t>
      </w:r>
      <w:r w:rsidRPr="00EA59C0">
        <w:t>in</w:t>
      </w:r>
      <w:r w:rsidR="00C026A6" w:rsidRPr="00EA59C0">
        <w:t xml:space="preserve"> </w:t>
      </w:r>
      <w:r w:rsidRPr="00EA59C0">
        <w:t>Program</w:t>
      </w:r>
      <w:r w:rsidR="00C026A6" w:rsidRPr="00EA59C0">
        <w:t xml:space="preserve"> </w:t>
      </w:r>
      <w:r w:rsidRPr="00EA59C0">
        <w:t>Design</w:t>
      </w:r>
    </w:p>
    <w:p w:rsidR="0085160D" w:rsidRPr="00EA59C0" w:rsidRDefault="0085160D" w:rsidP="00080097">
      <w:pPr>
        <w:pStyle w:val="ListParagraph"/>
        <w:numPr>
          <w:ilvl w:val="0"/>
          <w:numId w:val="24"/>
        </w:numPr>
      </w:pPr>
      <w:r w:rsidRPr="00EA59C0">
        <w:t>Describe</w:t>
      </w:r>
      <w:r w:rsidR="00C026A6" w:rsidRPr="00EA59C0">
        <w:t xml:space="preserve"> </w:t>
      </w:r>
      <w:r w:rsidRPr="00EA59C0">
        <w:t>how</w:t>
      </w:r>
      <w:r w:rsidR="00C026A6" w:rsidRPr="00EA59C0">
        <w:t xml:space="preserve"> </w:t>
      </w:r>
      <w:r w:rsidRPr="00EA59C0">
        <w:t>the</w:t>
      </w:r>
      <w:r w:rsidR="00C026A6" w:rsidRPr="00EA59C0">
        <w:t xml:space="preserve"> </w:t>
      </w:r>
      <w:r w:rsidRPr="00EA59C0">
        <w:t>evidence</w:t>
      </w:r>
      <w:r w:rsidR="00C026A6" w:rsidRPr="00EA59C0">
        <w:t xml:space="preserve"> </w:t>
      </w:r>
      <w:r w:rsidRPr="00EA59C0">
        <w:t>will</w:t>
      </w:r>
      <w:r w:rsidR="00C026A6" w:rsidRPr="00EA59C0">
        <w:t xml:space="preserve"> </w:t>
      </w:r>
      <w:r w:rsidRPr="00EA59C0">
        <w:t>be</w:t>
      </w:r>
      <w:r w:rsidR="00C026A6" w:rsidRPr="00EA59C0">
        <w:t xml:space="preserve"> </w:t>
      </w:r>
      <w:r w:rsidRPr="00EA59C0">
        <w:t>incorporated</w:t>
      </w:r>
      <w:r w:rsidR="00C026A6" w:rsidRPr="00EA59C0">
        <w:t xml:space="preserve"> </w:t>
      </w:r>
      <w:r w:rsidRPr="00EA59C0">
        <w:t>into</w:t>
      </w:r>
      <w:r w:rsidR="00C026A6" w:rsidRPr="00EA59C0">
        <w:t xml:space="preserve"> </w:t>
      </w:r>
      <w:r w:rsidRPr="00EA59C0">
        <w:t>plans</w:t>
      </w:r>
      <w:r w:rsidR="00C026A6" w:rsidRPr="00EA59C0">
        <w:t xml:space="preserve"> </w:t>
      </w:r>
      <w:r w:rsidRPr="00EA59C0">
        <w:t>for</w:t>
      </w:r>
      <w:r w:rsidR="00C026A6" w:rsidRPr="00EA59C0">
        <w:t xml:space="preserve"> </w:t>
      </w:r>
      <w:r w:rsidRPr="00EA59C0">
        <w:t>program</w:t>
      </w:r>
      <w:r w:rsidR="00C026A6" w:rsidRPr="00EA59C0">
        <w:t xml:space="preserve"> </w:t>
      </w:r>
      <w:r w:rsidRPr="00EA59C0">
        <w:t>development</w:t>
      </w:r>
      <w:r w:rsidR="00C026A6" w:rsidRPr="00EA59C0">
        <w:t xml:space="preserve"> </w:t>
      </w:r>
      <w:r w:rsidRPr="00EA59C0">
        <w:t>and</w:t>
      </w:r>
      <w:r w:rsidR="00C026A6" w:rsidRPr="00EA59C0">
        <w:t xml:space="preserve"> </w:t>
      </w:r>
      <w:r w:rsidRPr="00EA59C0">
        <w:t>delivery.</w:t>
      </w:r>
    </w:p>
    <w:p w:rsidR="0085160D" w:rsidRPr="00EA59C0" w:rsidRDefault="0085160D" w:rsidP="00080097">
      <w:pPr>
        <w:pStyle w:val="ListParagraph"/>
        <w:numPr>
          <w:ilvl w:val="0"/>
          <w:numId w:val="24"/>
        </w:numPr>
      </w:pPr>
      <w:r w:rsidRPr="00EA59C0">
        <w:t>Indicate</w:t>
      </w:r>
      <w:r w:rsidR="00C026A6" w:rsidRPr="00EA59C0">
        <w:t xml:space="preserve"> </w:t>
      </w:r>
      <w:r w:rsidRPr="00EA59C0">
        <w:t>if</w:t>
      </w:r>
      <w:r w:rsidR="00C026A6" w:rsidRPr="00EA59C0">
        <w:t xml:space="preserve"> </w:t>
      </w:r>
      <w:r w:rsidRPr="00EA59C0">
        <w:t>the</w:t>
      </w:r>
      <w:r w:rsidR="00C026A6" w:rsidRPr="00EA59C0">
        <w:t xml:space="preserve"> </w:t>
      </w:r>
      <w:r w:rsidRPr="00EA59C0">
        <w:t>project</w:t>
      </w:r>
      <w:r w:rsidR="00C026A6" w:rsidRPr="00EA59C0">
        <w:t xml:space="preserve"> </w:t>
      </w:r>
      <w:r w:rsidRPr="00EA59C0">
        <w:t>will</w:t>
      </w:r>
      <w:r w:rsidR="00C026A6" w:rsidRPr="00EA59C0">
        <w:t xml:space="preserve"> </w:t>
      </w:r>
      <w:r w:rsidRPr="00EA59C0">
        <w:t>replicate</w:t>
      </w:r>
      <w:r w:rsidR="00C026A6" w:rsidRPr="00EA59C0">
        <w:t xml:space="preserve"> </w:t>
      </w:r>
      <w:r w:rsidR="00D5555C" w:rsidRPr="00EA59C0">
        <w:t>or</w:t>
      </w:r>
      <w:r w:rsidR="00C026A6" w:rsidRPr="00EA59C0">
        <w:t xml:space="preserve"> </w:t>
      </w:r>
      <w:r w:rsidR="00D5555C" w:rsidRPr="00EA59C0">
        <w:t>adapt</w:t>
      </w:r>
      <w:r w:rsidR="00C026A6" w:rsidRPr="00EA59C0">
        <w:t xml:space="preserve"> </w:t>
      </w:r>
      <w:r w:rsidRPr="00EA59C0">
        <w:t>existing</w:t>
      </w:r>
      <w:r w:rsidR="00C026A6" w:rsidRPr="00EA59C0">
        <w:t xml:space="preserve"> </w:t>
      </w:r>
      <w:r w:rsidRPr="00EA59C0">
        <w:t>evidence-based</w:t>
      </w:r>
      <w:r w:rsidR="00C026A6" w:rsidRPr="00EA59C0">
        <w:t xml:space="preserve"> </w:t>
      </w:r>
      <w:r w:rsidRPr="00EA59C0">
        <w:t>design,</w:t>
      </w:r>
      <w:r w:rsidR="00C026A6" w:rsidRPr="00EA59C0">
        <w:t xml:space="preserve"> </w:t>
      </w:r>
      <w:r w:rsidRPr="00EA59C0">
        <w:t>development,</w:t>
      </w:r>
      <w:r w:rsidR="00C026A6" w:rsidRPr="00EA59C0">
        <w:t xml:space="preserve"> </w:t>
      </w:r>
      <w:r w:rsidRPr="00EA59C0">
        <w:t>and</w:t>
      </w:r>
      <w:r w:rsidR="00C026A6" w:rsidRPr="00EA59C0">
        <w:t xml:space="preserve"> </w:t>
      </w:r>
      <w:r w:rsidRPr="00EA59C0">
        <w:t>delivery</w:t>
      </w:r>
      <w:r w:rsidR="00C026A6" w:rsidRPr="00EA59C0">
        <w:t xml:space="preserve"> </w:t>
      </w:r>
      <w:r w:rsidRPr="00EA59C0">
        <w:t>strategies</w:t>
      </w:r>
      <w:r w:rsidR="00C026A6" w:rsidRPr="00EA59C0">
        <w:t xml:space="preserve"> </w:t>
      </w:r>
      <w:r w:rsidRPr="00EA59C0">
        <w:t>(citing</w:t>
      </w:r>
      <w:r w:rsidR="00C026A6" w:rsidRPr="00EA59C0">
        <w:t xml:space="preserve"> </w:t>
      </w:r>
      <w:r w:rsidRPr="00EA59C0">
        <w:t>strong</w:t>
      </w:r>
      <w:r w:rsidR="00C026A6" w:rsidRPr="00EA59C0">
        <w:t xml:space="preserve"> </w:t>
      </w:r>
      <w:r w:rsidRPr="00EA59C0">
        <w:t>or</w:t>
      </w:r>
      <w:r w:rsidR="00C026A6" w:rsidRPr="00EA59C0">
        <w:t xml:space="preserve"> </w:t>
      </w:r>
      <w:r w:rsidRPr="00EA59C0">
        <w:t>moderate</w:t>
      </w:r>
      <w:r w:rsidR="00C026A6" w:rsidRPr="00EA59C0">
        <w:t xml:space="preserve"> </w:t>
      </w:r>
      <w:r w:rsidRPr="00EA59C0">
        <w:t>evidence</w:t>
      </w:r>
      <w:r w:rsidR="00C026A6" w:rsidRPr="00EA59C0">
        <w:t xml:space="preserve"> </w:t>
      </w:r>
      <w:r w:rsidR="00D5555C" w:rsidRPr="00EA59C0">
        <w:t>of</w:t>
      </w:r>
      <w:r w:rsidR="00C026A6" w:rsidRPr="00EA59C0">
        <w:t xml:space="preserve"> </w:t>
      </w:r>
      <w:r w:rsidR="00D5555C" w:rsidRPr="00EA59C0">
        <w:t>effectiveness</w:t>
      </w:r>
      <w:r w:rsidRPr="00EA59C0">
        <w:t>)</w:t>
      </w:r>
      <w:r w:rsidR="00C026A6" w:rsidRPr="00EA59C0">
        <w:t xml:space="preserve"> </w:t>
      </w:r>
      <w:r w:rsidRPr="00EA59C0">
        <w:t>or</w:t>
      </w:r>
      <w:r w:rsidR="00C026A6" w:rsidRPr="00EA59C0">
        <w:t xml:space="preserve"> </w:t>
      </w:r>
      <w:r w:rsidRPr="00EA59C0">
        <w:t>implement</w:t>
      </w:r>
      <w:r w:rsidR="00C026A6" w:rsidRPr="00EA59C0">
        <w:t xml:space="preserve"> </w:t>
      </w:r>
      <w:r w:rsidRPr="00EA59C0">
        <w:t>innovative</w:t>
      </w:r>
      <w:r w:rsidR="00C026A6" w:rsidRPr="00EA59C0">
        <w:t xml:space="preserve"> </w:t>
      </w:r>
      <w:r w:rsidRPr="00EA59C0">
        <w:t>or</w:t>
      </w:r>
      <w:r w:rsidR="00C026A6" w:rsidRPr="00EA59C0">
        <w:t xml:space="preserve"> </w:t>
      </w:r>
      <w:r w:rsidRPr="00EA59C0">
        <w:t>new</w:t>
      </w:r>
      <w:r w:rsidR="00C026A6" w:rsidRPr="00EA59C0">
        <w:t xml:space="preserve"> </w:t>
      </w:r>
      <w:r w:rsidRPr="00EA59C0">
        <w:t>strategies</w:t>
      </w:r>
      <w:r w:rsidR="00C026A6" w:rsidRPr="00EA59C0">
        <w:t xml:space="preserve"> </w:t>
      </w:r>
      <w:r w:rsidRPr="00EA59C0">
        <w:t>(supported</w:t>
      </w:r>
      <w:r w:rsidR="00C026A6" w:rsidRPr="00EA59C0">
        <w:t xml:space="preserve"> </w:t>
      </w:r>
      <w:r w:rsidRPr="00EA59C0">
        <w:t>by</w:t>
      </w:r>
      <w:r w:rsidR="00C026A6" w:rsidRPr="00EA59C0">
        <w:t xml:space="preserve"> </w:t>
      </w:r>
      <w:r w:rsidRPr="00EA59C0">
        <w:t>preliminary</w:t>
      </w:r>
      <w:r w:rsidR="00C026A6" w:rsidRPr="00EA59C0">
        <w:t xml:space="preserve"> </w:t>
      </w:r>
      <w:r w:rsidRPr="00EA59C0">
        <w:t>research</w:t>
      </w:r>
      <w:r w:rsidR="00C026A6" w:rsidRPr="00EA59C0">
        <w:t xml:space="preserve"> </w:t>
      </w:r>
      <w:r w:rsidRPr="00EA59C0">
        <w:t>findings</w:t>
      </w:r>
      <w:r w:rsidR="00C026A6" w:rsidRPr="00EA59C0">
        <w:t xml:space="preserve"> </w:t>
      </w:r>
      <w:r w:rsidR="00D5555C" w:rsidRPr="00EA59C0">
        <w:t>indicating</w:t>
      </w:r>
      <w:r w:rsidR="00C026A6" w:rsidRPr="00EA59C0">
        <w:t xml:space="preserve"> </w:t>
      </w:r>
      <w:r w:rsidR="00D5555C" w:rsidRPr="00EA59C0">
        <w:t>evidence</w:t>
      </w:r>
      <w:r w:rsidR="00C026A6" w:rsidRPr="00EA59C0">
        <w:t xml:space="preserve"> </w:t>
      </w:r>
      <w:r w:rsidR="00D5555C" w:rsidRPr="00EA59C0">
        <w:t>of</w:t>
      </w:r>
      <w:r w:rsidR="00C026A6" w:rsidRPr="00EA59C0">
        <w:t xml:space="preserve"> </w:t>
      </w:r>
      <w:r w:rsidR="00D5555C" w:rsidRPr="00EA59C0">
        <w:t>promise</w:t>
      </w:r>
      <w:r w:rsidRPr="00EA59C0">
        <w:t>,</w:t>
      </w:r>
      <w:r w:rsidR="00C026A6" w:rsidRPr="00EA59C0">
        <w:t xml:space="preserve"> </w:t>
      </w:r>
      <w:r w:rsidRPr="00EA59C0">
        <w:t>related</w:t>
      </w:r>
      <w:r w:rsidR="00C026A6" w:rsidRPr="00EA59C0">
        <w:t xml:space="preserve"> </w:t>
      </w:r>
      <w:r w:rsidRPr="00EA59C0">
        <w:t>research</w:t>
      </w:r>
      <w:r w:rsidR="00C026A6" w:rsidRPr="00EA59C0">
        <w:t xml:space="preserve"> </w:t>
      </w:r>
      <w:r w:rsidRPr="00EA59C0">
        <w:t>findings,</w:t>
      </w:r>
      <w:r w:rsidR="00C026A6" w:rsidRPr="00EA59C0">
        <w:t xml:space="preserve"> </w:t>
      </w:r>
      <w:r w:rsidRPr="00EA59C0">
        <w:t>or</w:t>
      </w:r>
      <w:r w:rsidR="00C026A6" w:rsidRPr="00EA59C0">
        <w:t xml:space="preserve"> </w:t>
      </w:r>
      <w:r w:rsidR="00D5555C" w:rsidRPr="00EA59C0">
        <w:t>strong</w:t>
      </w:r>
      <w:r w:rsidR="00C026A6" w:rsidRPr="00EA59C0">
        <w:t xml:space="preserve"> </w:t>
      </w:r>
      <w:r w:rsidR="00D5555C" w:rsidRPr="00EA59C0">
        <w:t>theory</w:t>
      </w:r>
      <w:r w:rsidRPr="00EA59C0">
        <w:t>).</w:t>
      </w:r>
    </w:p>
    <w:p w:rsidR="0085160D" w:rsidRPr="00EA59C0" w:rsidRDefault="00C026A6" w:rsidP="00C072FA">
      <w:r w:rsidRPr="00EA59C0">
        <w:t xml:space="preserve"> </w:t>
      </w:r>
    </w:p>
    <w:p w:rsidR="0085160D" w:rsidRPr="00EA59C0" w:rsidRDefault="0085160D" w:rsidP="00C072FA">
      <w:pPr>
        <w:pStyle w:val="ListParagraph"/>
        <w:numPr>
          <w:ilvl w:val="5"/>
          <w:numId w:val="17"/>
        </w:numPr>
        <w:rPr>
          <w:b/>
        </w:rPr>
      </w:pPr>
      <w:r w:rsidRPr="00EA59C0">
        <w:rPr>
          <w:b/>
        </w:rPr>
        <w:t>Career</w:t>
      </w:r>
      <w:r w:rsidR="00C026A6" w:rsidRPr="00EA59C0">
        <w:rPr>
          <w:b/>
        </w:rPr>
        <w:t xml:space="preserve"> </w:t>
      </w:r>
      <w:r w:rsidRPr="00EA59C0">
        <w:rPr>
          <w:b/>
        </w:rPr>
        <w:t>Pathways</w:t>
      </w:r>
    </w:p>
    <w:p w:rsidR="0085160D" w:rsidRPr="00EA59C0" w:rsidRDefault="0085160D" w:rsidP="00C072FA">
      <w:pPr>
        <w:ind w:left="2160"/>
      </w:pPr>
      <w:r w:rsidRPr="00EA59C0">
        <w:t>Applicants</w:t>
      </w:r>
      <w:r w:rsidR="00C026A6" w:rsidRPr="00EA59C0">
        <w:t xml:space="preserve"> </w:t>
      </w:r>
      <w:r w:rsidRPr="00EA59C0">
        <w:t>must</w:t>
      </w:r>
      <w:r w:rsidR="00C026A6" w:rsidRPr="00EA59C0">
        <w:t xml:space="preserve"> </w:t>
      </w:r>
      <w:r w:rsidRPr="00EA59C0">
        <w:t>develop</w:t>
      </w:r>
      <w:r w:rsidR="00C026A6" w:rsidRPr="00EA59C0">
        <w:t xml:space="preserve"> </w:t>
      </w:r>
      <w:r w:rsidRPr="00EA59C0">
        <w:t>career</w:t>
      </w:r>
      <w:r w:rsidR="00C026A6" w:rsidRPr="00EA59C0">
        <w:t xml:space="preserve"> </w:t>
      </w:r>
      <w:r w:rsidRPr="00EA59C0">
        <w:t>pathway</w:t>
      </w:r>
      <w:r w:rsidR="00C026A6" w:rsidRPr="00EA59C0">
        <w:t xml:space="preserve"> </w:t>
      </w:r>
      <w:r w:rsidRPr="00EA59C0">
        <w:t>programs</w:t>
      </w:r>
      <w:r w:rsidR="00C026A6" w:rsidRPr="00EA59C0">
        <w:t xml:space="preserve"> </w:t>
      </w:r>
      <w:r w:rsidRPr="00EA59C0">
        <w:t>and</w:t>
      </w:r>
      <w:r w:rsidR="00C026A6" w:rsidRPr="00EA59C0">
        <w:t xml:space="preserve"> </w:t>
      </w:r>
      <w:r w:rsidRPr="00EA59C0">
        <w:t>systems</w:t>
      </w:r>
      <w:r w:rsidR="00C026A6" w:rsidRPr="00EA59C0">
        <w:t xml:space="preserve"> </w:t>
      </w:r>
      <w:r w:rsidRPr="00EA59C0">
        <w:t>and</w:t>
      </w:r>
      <w:r w:rsidR="00C026A6" w:rsidRPr="00EA59C0">
        <w:t xml:space="preserve"> </w:t>
      </w:r>
      <w:r w:rsidRPr="00EA59C0">
        <w:t>incorporate</w:t>
      </w:r>
      <w:r w:rsidR="00C026A6" w:rsidRPr="00EA59C0">
        <w:t xml:space="preserve"> </w:t>
      </w:r>
      <w:r w:rsidRPr="00EA59C0">
        <w:t>a</w:t>
      </w:r>
      <w:r w:rsidR="00C026A6" w:rsidRPr="00EA59C0">
        <w:t xml:space="preserve"> </w:t>
      </w:r>
      <w:r w:rsidRPr="00EA59C0">
        <w:t>clear</w:t>
      </w:r>
      <w:r w:rsidR="00C026A6" w:rsidRPr="00EA59C0">
        <w:t xml:space="preserve"> </w:t>
      </w:r>
      <w:r w:rsidRPr="00EA59C0">
        <w:t>sequence</w:t>
      </w:r>
      <w:r w:rsidR="00C026A6" w:rsidRPr="00EA59C0">
        <w:t xml:space="preserve"> </w:t>
      </w:r>
      <w:r w:rsidRPr="00EA59C0">
        <w:t>of</w:t>
      </w:r>
      <w:r w:rsidR="00C026A6" w:rsidRPr="00EA59C0">
        <w:t xml:space="preserve"> </w:t>
      </w:r>
      <w:r w:rsidRPr="00EA59C0">
        <w:t>education</w:t>
      </w:r>
      <w:r w:rsidR="00C026A6" w:rsidRPr="00EA59C0">
        <w:t xml:space="preserve"> </w:t>
      </w:r>
      <w:r w:rsidRPr="00EA59C0">
        <w:t>coursework</w:t>
      </w:r>
      <w:r w:rsidR="00C026A6" w:rsidRPr="00EA59C0">
        <w:t xml:space="preserve"> </w:t>
      </w:r>
      <w:r w:rsidRPr="00EA59C0">
        <w:t>and/or</w:t>
      </w:r>
      <w:r w:rsidR="00C026A6" w:rsidRPr="00EA59C0">
        <w:t xml:space="preserve"> </w:t>
      </w:r>
      <w:r w:rsidRPr="00EA59C0">
        <w:t>training</w:t>
      </w:r>
      <w:r w:rsidR="00C026A6" w:rsidRPr="00EA59C0">
        <w:t xml:space="preserve"> </w:t>
      </w:r>
      <w:r w:rsidRPr="00EA59C0">
        <w:t>credentials</w:t>
      </w:r>
      <w:r w:rsidR="00C026A6" w:rsidRPr="00EA59C0">
        <w:t xml:space="preserve"> </w:t>
      </w:r>
      <w:r w:rsidRPr="00EA59C0">
        <w:t>aligned</w:t>
      </w:r>
      <w:r w:rsidR="00C026A6" w:rsidRPr="00EA59C0">
        <w:t xml:space="preserve"> </w:t>
      </w:r>
      <w:r w:rsidRPr="00EA59C0">
        <w:t>with</w:t>
      </w:r>
      <w:r w:rsidR="00C026A6" w:rsidRPr="00EA59C0">
        <w:t xml:space="preserve"> </w:t>
      </w:r>
      <w:r w:rsidRPr="00EA59C0">
        <w:t>employer-validated</w:t>
      </w:r>
      <w:r w:rsidR="00C026A6" w:rsidRPr="00EA59C0">
        <w:t xml:space="preserve"> </w:t>
      </w:r>
      <w:r w:rsidRPr="00EA59C0">
        <w:t>work</w:t>
      </w:r>
      <w:r w:rsidR="00C026A6" w:rsidRPr="00EA59C0">
        <w:t xml:space="preserve"> </w:t>
      </w:r>
      <w:r w:rsidRPr="00EA59C0">
        <w:t>readiness</w:t>
      </w:r>
      <w:r w:rsidR="00C026A6" w:rsidRPr="00EA59C0">
        <w:t xml:space="preserve"> </w:t>
      </w:r>
      <w:r w:rsidRPr="00EA59C0">
        <w:t>standards</w:t>
      </w:r>
      <w:r w:rsidR="00C026A6" w:rsidRPr="00EA59C0">
        <w:t xml:space="preserve"> </w:t>
      </w:r>
      <w:r w:rsidRPr="00EA59C0">
        <w:t>and</w:t>
      </w:r>
      <w:r w:rsidR="00C026A6" w:rsidRPr="00EA59C0">
        <w:t xml:space="preserve"> </w:t>
      </w:r>
      <w:r w:rsidRPr="00EA59C0">
        <w:t>competencies,</w:t>
      </w:r>
      <w:r w:rsidR="00C026A6" w:rsidRPr="00EA59C0">
        <w:t xml:space="preserve"> </w:t>
      </w:r>
      <w:r w:rsidRPr="00EA59C0">
        <w:t>and</w:t>
      </w:r>
      <w:r w:rsidR="00C026A6" w:rsidRPr="00EA59C0">
        <w:t xml:space="preserve"> </w:t>
      </w:r>
      <w:r w:rsidRPr="00EA59C0">
        <w:t>integrate</w:t>
      </w:r>
      <w:r w:rsidR="00C026A6" w:rsidRPr="00EA59C0">
        <w:t xml:space="preserve"> </w:t>
      </w:r>
      <w:r w:rsidRPr="00EA59C0">
        <w:t>academic</w:t>
      </w:r>
      <w:r w:rsidR="00C026A6" w:rsidRPr="00EA59C0">
        <w:t xml:space="preserve"> </w:t>
      </w:r>
      <w:r w:rsidRPr="00EA59C0">
        <w:t>and</w:t>
      </w:r>
      <w:r w:rsidR="00C026A6" w:rsidRPr="00EA59C0">
        <w:t xml:space="preserve"> </w:t>
      </w:r>
      <w:r w:rsidRPr="00EA59C0">
        <w:t>occupational</w:t>
      </w:r>
      <w:r w:rsidR="00C026A6" w:rsidRPr="00EA59C0">
        <w:t xml:space="preserve"> </w:t>
      </w:r>
      <w:r w:rsidRPr="00EA59C0">
        <w:t>skills</w:t>
      </w:r>
      <w:r w:rsidR="00C026A6" w:rsidRPr="00EA59C0">
        <w:t xml:space="preserve"> </w:t>
      </w:r>
      <w:r w:rsidRPr="00EA59C0">
        <w:t>training.</w:t>
      </w:r>
      <w:r w:rsidR="00C026A6" w:rsidRPr="00EA59C0">
        <w:t xml:space="preserve">  </w:t>
      </w:r>
    </w:p>
    <w:p w:rsidR="0085160D" w:rsidRPr="00EA59C0" w:rsidRDefault="0085160D" w:rsidP="00C072FA">
      <w:pPr>
        <w:ind w:left="2160"/>
      </w:pPr>
    </w:p>
    <w:p w:rsidR="0085160D" w:rsidRPr="00EA59C0" w:rsidRDefault="0085160D" w:rsidP="00C072FA">
      <w:pPr>
        <w:ind w:left="2160"/>
      </w:pPr>
      <w:r w:rsidRPr="00EA59C0">
        <w:t>The</w:t>
      </w:r>
      <w:r w:rsidR="00C026A6" w:rsidRPr="00EA59C0">
        <w:t xml:space="preserve"> </w:t>
      </w:r>
      <w:r w:rsidRPr="00EA59C0">
        <w:t>career</w:t>
      </w:r>
      <w:r w:rsidR="00C026A6" w:rsidRPr="00EA59C0">
        <w:t xml:space="preserve"> </w:t>
      </w:r>
      <w:r w:rsidRPr="00EA59C0">
        <w:t>pathways</w:t>
      </w:r>
      <w:r w:rsidR="00C026A6" w:rsidRPr="00EA59C0">
        <w:t xml:space="preserve"> </w:t>
      </w:r>
      <w:r w:rsidRPr="00EA59C0">
        <w:t>programs</w:t>
      </w:r>
      <w:r w:rsidR="00C026A6" w:rsidRPr="00EA59C0">
        <w:t xml:space="preserve"> </w:t>
      </w:r>
      <w:r w:rsidR="004D570C" w:rsidRPr="00EA59C0">
        <w:t>and</w:t>
      </w:r>
      <w:r w:rsidR="00C026A6" w:rsidRPr="00EA59C0">
        <w:t xml:space="preserve"> </w:t>
      </w:r>
      <w:r w:rsidR="004D570C" w:rsidRPr="00EA59C0">
        <w:t>systems</w:t>
      </w:r>
      <w:r w:rsidR="00C026A6" w:rsidRPr="00EA59C0">
        <w:t xml:space="preserve"> </w:t>
      </w:r>
      <w:r w:rsidRPr="00EA59C0">
        <w:t>proposed</w:t>
      </w:r>
      <w:r w:rsidR="00C026A6" w:rsidRPr="00EA59C0">
        <w:t xml:space="preserve"> </w:t>
      </w:r>
      <w:r w:rsidR="00D5555C" w:rsidRPr="00EA59C0">
        <w:t>must</w:t>
      </w:r>
      <w:r w:rsidR="00C026A6" w:rsidRPr="00EA59C0">
        <w:t xml:space="preserve"> </w:t>
      </w:r>
      <w:r w:rsidRPr="00EA59C0">
        <w:t>include</w:t>
      </w:r>
      <w:r w:rsidR="00C026A6" w:rsidRPr="00EA59C0">
        <w:t xml:space="preserve"> </w:t>
      </w:r>
      <w:r w:rsidRPr="00EA59C0">
        <w:t>accelerated</w:t>
      </w:r>
      <w:r w:rsidR="00C026A6" w:rsidRPr="00EA59C0">
        <w:t xml:space="preserve"> </w:t>
      </w:r>
      <w:r w:rsidRPr="00EA59C0">
        <w:t>and</w:t>
      </w:r>
      <w:r w:rsidR="00C026A6" w:rsidRPr="00EA59C0">
        <w:t xml:space="preserve"> </w:t>
      </w:r>
      <w:r w:rsidRPr="00EA59C0">
        <w:t>contextualized</w:t>
      </w:r>
      <w:r w:rsidR="00C026A6" w:rsidRPr="00EA59C0">
        <w:t xml:space="preserve"> </w:t>
      </w:r>
      <w:r w:rsidRPr="00EA59C0">
        <w:t>remediation;</w:t>
      </w:r>
      <w:r w:rsidR="00C026A6" w:rsidRPr="00EA59C0">
        <w:t xml:space="preserve"> </w:t>
      </w:r>
      <w:r w:rsidRPr="00EA59C0">
        <w:t>comprehensive</w:t>
      </w:r>
      <w:r w:rsidR="00C026A6" w:rsidRPr="00EA59C0">
        <w:t xml:space="preserve"> </w:t>
      </w:r>
      <w:r w:rsidRPr="00EA59C0">
        <w:t>and</w:t>
      </w:r>
      <w:r w:rsidR="00C026A6" w:rsidRPr="00EA59C0">
        <w:t xml:space="preserve"> </w:t>
      </w:r>
      <w:r w:rsidRPr="00EA59C0">
        <w:t>personalized</w:t>
      </w:r>
      <w:r w:rsidR="00C026A6" w:rsidRPr="00EA59C0">
        <w:t xml:space="preserve"> </w:t>
      </w:r>
      <w:r w:rsidRPr="00EA59C0">
        <w:t>student</w:t>
      </w:r>
      <w:r w:rsidR="00C026A6" w:rsidRPr="00EA59C0">
        <w:t xml:space="preserve"> </w:t>
      </w:r>
      <w:r w:rsidRPr="00EA59C0">
        <w:t>support</w:t>
      </w:r>
      <w:r w:rsidR="00C026A6" w:rsidRPr="00EA59C0">
        <w:t xml:space="preserve"> </w:t>
      </w:r>
      <w:r w:rsidRPr="00EA59C0">
        <w:t>services</w:t>
      </w:r>
      <w:r w:rsidR="00C026A6" w:rsidRPr="00EA59C0">
        <w:t xml:space="preserve"> </w:t>
      </w:r>
      <w:r w:rsidRPr="00EA59C0">
        <w:t>and</w:t>
      </w:r>
      <w:r w:rsidR="00C026A6" w:rsidRPr="00EA59C0">
        <w:t xml:space="preserve"> </w:t>
      </w:r>
      <w:r w:rsidRPr="00EA59C0">
        <w:t>career</w:t>
      </w:r>
      <w:r w:rsidR="00C026A6" w:rsidRPr="00EA59C0">
        <w:t xml:space="preserve"> </w:t>
      </w:r>
      <w:r w:rsidRPr="00EA59C0">
        <w:t>guidance;</w:t>
      </w:r>
      <w:r w:rsidR="00C026A6" w:rsidRPr="00EA59C0">
        <w:t xml:space="preserve"> </w:t>
      </w:r>
      <w:r w:rsidRPr="00EA59C0">
        <w:t>prior</w:t>
      </w:r>
      <w:r w:rsidR="00C026A6" w:rsidRPr="00EA59C0">
        <w:t xml:space="preserve"> </w:t>
      </w:r>
      <w:r w:rsidRPr="00EA59C0">
        <w:t>learning</w:t>
      </w:r>
      <w:r w:rsidR="00C026A6" w:rsidRPr="00EA59C0">
        <w:t xml:space="preserve"> </w:t>
      </w:r>
      <w:r w:rsidRPr="00EA59C0">
        <w:t>assessment;</w:t>
      </w:r>
      <w:r w:rsidR="00C026A6" w:rsidRPr="00EA59C0">
        <w:t xml:space="preserve"> </w:t>
      </w:r>
      <w:r w:rsidRPr="00EA59C0">
        <w:t>competency-based</w:t>
      </w:r>
      <w:r w:rsidR="00C026A6" w:rsidRPr="00EA59C0">
        <w:t xml:space="preserve"> </w:t>
      </w:r>
      <w:r w:rsidRPr="00EA59C0">
        <w:t>assessment;</w:t>
      </w:r>
      <w:r w:rsidR="00C026A6" w:rsidRPr="00EA59C0">
        <w:t xml:space="preserve"> </w:t>
      </w:r>
      <w:r w:rsidRPr="00EA59C0">
        <w:t>modularized</w:t>
      </w:r>
      <w:r w:rsidR="00C026A6" w:rsidRPr="00EA59C0">
        <w:t xml:space="preserve"> </w:t>
      </w:r>
      <w:r w:rsidRPr="00EA59C0">
        <w:t>curricula;</w:t>
      </w:r>
      <w:r w:rsidR="00C026A6" w:rsidRPr="00EA59C0">
        <w:t xml:space="preserve"> </w:t>
      </w:r>
      <w:r w:rsidRPr="00EA59C0">
        <w:t>stacked</w:t>
      </w:r>
      <w:r w:rsidR="00C026A6" w:rsidRPr="00EA59C0">
        <w:t xml:space="preserve"> </w:t>
      </w:r>
      <w:r w:rsidRPr="00EA59C0">
        <w:t>and</w:t>
      </w:r>
      <w:r w:rsidR="00C026A6" w:rsidRPr="00EA59C0">
        <w:t xml:space="preserve"> </w:t>
      </w:r>
      <w:r w:rsidRPr="00EA59C0">
        <w:t>latticed</w:t>
      </w:r>
      <w:r w:rsidR="00C026A6" w:rsidRPr="00EA59C0">
        <w:t xml:space="preserve"> </w:t>
      </w:r>
      <w:r w:rsidRPr="00EA59C0">
        <w:t>credentials;</w:t>
      </w:r>
      <w:r w:rsidR="00C026A6" w:rsidRPr="00EA59C0">
        <w:t xml:space="preserve"> </w:t>
      </w:r>
      <w:r w:rsidRPr="00EA59C0">
        <w:t>and</w:t>
      </w:r>
      <w:r w:rsidR="00C026A6" w:rsidRPr="00EA59C0">
        <w:t xml:space="preserve"> </w:t>
      </w:r>
      <w:r w:rsidRPr="00EA59C0">
        <w:t>online</w:t>
      </w:r>
      <w:r w:rsidR="00C026A6" w:rsidRPr="00EA59C0">
        <w:t xml:space="preserve"> </w:t>
      </w:r>
      <w:r w:rsidRPr="00EA59C0">
        <w:t>and</w:t>
      </w:r>
      <w:r w:rsidR="00C026A6" w:rsidRPr="00EA59C0">
        <w:t xml:space="preserve"> </w:t>
      </w:r>
      <w:r w:rsidRPr="00EA59C0">
        <w:t>technology-based</w:t>
      </w:r>
      <w:r w:rsidR="00C026A6" w:rsidRPr="00EA59C0">
        <w:t xml:space="preserve"> </w:t>
      </w:r>
      <w:r w:rsidRPr="00EA59C0">
        <w:t>learning</w:t>
      </w:r>
      <w:r w:rsidR="00C026A6" w:rsidRPr="00EA59C0">
        <w:t xml:space="preserve"> </w:t>
      </w:r>
      <w:r w:rsidRPr="00EA59C0">
        <w:t>strategies.</w:t>
      </w:r>
      <w:r w:rsidR="00C026A6" w:rsidRPr="00EA59C0">
        <w:t xml:space="preserve">  </w:t>
      </w:r>
      <w:r w:rsidR="004D570C" w:rsidRPr="00EA59C0">
        <w:t>T</w:t>
      </w:r>
      <w:r w:rsidRPr="00EA59C0">
        <w:t>he</w:t>
      </w:r>
      <w:r w:rsidR="00C026A6" w:rsidRPr="00EA59C0">
        <w:t xml:space="preserve"> </w:t>
      </w:r>
      <w:r w:rsidRPr="00EA59C0">
        <w:t>plan</w:t>
      </w:r>
      <w:r w:rsidR="00C026A6" w:rsidRPr="00EA59C0">
        <w:t xml:space="preserve"> </w:t>
      </w:r>
      <w:r w:rsidR="004D570C" w:rsidRPr="00EA59C0">
        <w:t>must</w:t>
      </w:r>
      <w:r w:rsidR="00C026A6" w:rsidRPr="00EA59C0">
        <w:t xml:space="preserve"> </w:t>
      </w:r>
      <w:r w:rsidRPr="00EA59C0">
        <w:t>include:</w:t>
      </w:r>
      <w:r w:rsidR="00C026A6" w:rsidRPr="00EA59C0">
        <w:t xml:space="preserve">  </w:t>
      </w:r>
    </w:p>
    <w:p w:rsidR="0085160D" w:rsidRPr="00EA59C0" w:rsidRDefault="0085160D" w:rsidP="00C072FA">
      <w:pPr>
        <w:ind w:left="720"/>
      </w:pPr>
    </w:p>
    <w:p w:rsidR="0085160D" w:rsidRPr="00EA59C0" w:rsidRDefault="0085160D" w:rsidP="00C072FA">
      <w:pPr>
        <w:pStyle w:val="ListParagraph"/>
        <w:numPr>
          <w:ilvl w:val="6"/>
          <w:numId w:val="17"/>
        </w:numPr>
      </w:pPr>
      <w:r w:rsidRPr="00EA59C0">
        <w:t>Identification</w:t>
      </w:r>
      <w:r w:rsidR="00C026A6" w:rsidRPr="00EA59C0">
        <w:t xml:space="preserve"> </w:t>
      </w:r>
      <w:r w:rsidRPr="00EA59C0">
        <w:t>of</w:t>
      </w:r>
      <w:r w:rsidR="00C026A6" w:rsidRPr="00EA59C0">
        <w:t xml:space="preserve"> </w:t>
      </w:r>
      <w:r w:rsidRPr="00EA59C0">
        <w:t>how</w:t>
      </w:r>
      <w:r w:rsidR="00C026A6" w:rsidRPr="00EA59C0">
        <w:t xml:space="preserve"> </w:t>
      </w:r>
      <w:r w:rsidRPr="00EA59C0">
        <w:t>education</w:t>
      </w:r>
      <w:r w:rsidR="00C026A6" w:rsidRPr="00EA59C0">
        <w:t xml:space="preserve"> </w:t>
      </w:r>
      <w:r w:rsidR="002D6D85" w:rsidRPr="00EA59C0">
        <w:t>and</w:t>
      </w:r>
      <w:r w:rsidR="00C026A6" w:rsidRPr="00EA59C0">
        <w:t xml:space="preserve"> </w:t>
      </w:r>
      <w:r w:rsidR="002D6D85" w:rsidRPr="00EA59C0">
        <w:t>career-focused</w:t>
      </w:r>
      <w:r w:rsidR="00C026A6" w:rsidRPr="00EA59C0">
        <w:t xml:space="preserve"> </w:t>
      </w:r>
      <w:r w:rsidR="002D6D85" w:rsidRPr="00EA59C0">
        <w:t>training</w:t>
      </w:r>
      <w:r w:rsidR="00C026A6" w:rsidRPr="00EA59C0">
        <w:t xml:space="preserve"> </w:t>
      </w:r>
      <w:r w:rsidR="002D6D85" w:rsidRPr="00EA59C0">
        <w:t>programs</w:t>
      </w:r>
      <w:r w:rsidR="00C026A6" w:rsidRPr="00EA59C0">
        <w:t xml:space="preserve"> </w:t>
      </w:r>
      <w:r w:rsidRPr="00EA59C0">
        <w:t>will</w:t>
      </w:r>
      <w:r w:rsidR="00C026A6" w:rsidRPr="00EA59C0">
        <w:t xml:space="preserve"> </w:t>
      </w:r>
      <w:r w:rsidRPr="00EA59C0">
        <w:t>enable</w:t>
      </w:r>
      <w:r w:rsidR="00C026A6" w:rsidRPr="00EA59C0">
        <w:t xml:space="preserve"> </w:t>
      </w:r>
      <w:r w:rsidRPr="00EA59C0">
        <w:t>students</w:t>
      </w:r>
      <w:r w:rsidR="00C026A6" w:rsidRPr="00EA59C0">
        <w:t xml:space="preserve"> </w:t>
      </w:r>
      <w:r w:rsidRPr="00EA59C0">
        <w:t>to</w:t>
      </w:r>
      <w:r w:rsidR="00C026A6" w:rsidRPr="00EA59C0">
        <w:t xml:space="preserve"> </w:t>
      </w:r>
      <w:r w:rsidRPr="00EA59C0">
        <w:t>accelerate</w:t>
      </w:r>
      <w:r w:rsidR="00C026A6" w:rsidRPr="00EA59C0">
        <w:t xml:space="preserve"> </w:t>
      </w:r>
      <w:r w:rsidRPr="00EA59C0">
        <w:t>completion</w:t>
      </w:r>
      <w:r w:rsidR="00C026A6" w:rsidRPr="00EA59C0">
        <w:t xml:space="preserve"> </w:t>
      </w:r>
      <w:r w:rsidRPr="00EA59C0">
        <w:t>of</w:t>
      </w:r>
      <w:r w:rsidR="00C026A6" w:rsidRPr="00EA59C0">
        <w:t xml:space="preserve"> </w:t>
      </w:r>
      <w:r w:rsidRPr="00EA59C0">
        <w:t>remedial</w:t>
      </w:r>
      <w:r w:rsidR="00C026A6" w:rsidRPr="00EA59C0">
        <w:t xml:space="preserve"> </w:t>
      </w:r>
      <w:r w:rsidRPr="00EA59C0">
        <w:t>coursework,</w:t>
      </w:r>
      <w:r w:rsidR="00C026A6" w:rsidRPr="00EA59C0">
        <w:t xml:space="preserve"> </w:t>
      </w:r>
      <w:r w:rsidRPr="00EA59C0">
        <w:t>while</w:t>
      </w:r>
      <w:r w:rsidR="00C026A6" w:rsidRPr="00EA59C0">
        <w:t xml:space="preserve"> </w:t>
      </w:r>
      <w:r w:rsidRPr="00EA59C0">
        <w:t>learning</w:t>
      </w:r>
      <w:r w:rsidR="00C026A6" w:rsidRPr="00EA59C0">
        <w:t xml:space="preserve"> </w:t>
      </w:r>
      <w:r w:rsidRPr="00EA59C0">
        <w:t>these</w:t>
      </w:r>
      <w:r w:rsidR="00C026A6" w:rsidRPr="00EA59C0">
        <w:t xml:space="preserve"> </w:t>
      </w:r>
      <w:r w:rsidRPr="00EA59C0">
        <w:t>basic</w:t>
      </w:r>
      <w:r w:rsidR="00C026A6" w:rsidRPr="00EA59C0">
        <w:t xml:space="preserve"> </w:t>
      </w:r>
      <w:r w:rsidRPr="00EA59C0">
        <w:t>skills</w:t>
      </w:r>
      <w:r w:rsidR="00C026A6" w:rsidRPr="00EA59C0">
        <w:t xml:space="preserve"> </w:t>
      </w:r>
      <w:r w:rsidRPr="00EA59C0">
        <w:t>in</w:t>
      </w:r>
      <w:r w:rsidR="00C026A6" w:rsidRPr="00EA59C0">
        <w:t xml:space="preserve"> </w:t>
      </w:r>
      <w:r w:rsidRPr="00EA59C0">
        <w:t>the</w:t>
      </w:r>
      <w:r w:rsidR="00C026A6" w:rsidRPr="00EA59C0">
        <w:t xml:space="preserve"> </w:t>
      </w:r>
      <w:r w:rsidRPr="00EA59C0">
        <w:t>context</w:t>
      </w:r>
      <w:r w:rsidR="00C026A6" w:rsidRPr="00EA59C0">
        <w:t xml:space="preserve"> </w:t>
      </w:r>
      <w:r w:rsidRPr="00EA59C0">
        <w:t>of</w:t>
      </w:r>
      <w:r w:rsidR="00C026A6" w:rsidRPr="00EA59C0">
        <w:t xml:space="preserve"> </w:t>
      </w:r>
      <w:r w:rsidRPr="00EA59C0">
        <w:t>specific</w:t>
      </w:r>
      <w:r w:rsidR="00C026A6" w:rsidRPr="00EA59C0">
        <w:t xml:space="preserve"> </w:t>
      </w:r>
      <w:r w:rsidRPr="00EA59C0">
        <w:t>knowledge</w:t>
      </w:r>
      <w:r w:rsidR="00C026A6" w:rsidRPr="00EA59C0">
        <w:t xml:space="preserve"> </w:t>
      </w:r>
      <w:r w:rsidRPr="00EA59C0">
        <w:t>and</w:t>
      </w:r>
      <w:r w:rsidR="00C026A6" w:rsidRPr="00EA59C0">
        <w:t xml:space="preserve"> </w:t>
      </w:r>
      <w:r w:rsidRPr="00EA59C0">
        <w:t>skills</w:t>
      </w:r>
      <w:r w:rsidR="00C026A6" w:rsidRPr="00EA59C0">
        <w:t xml:space="preserve"> </w:t>
      </w:r>
      <w:r w:rsidRPr="00EA59C0">
        <w:t>in</w:t>
      </w:r>
      <w:r w:rsidR="00C026A6" w:rsidRPr="00EA59C0">
        <w:t xml:space="preserve"> </w:t>
      </w:r>
      <w:r w:rsidRPr="00EA59C0">
        <w:t>demand</w:t>
      </w:r>
      <w:r w:rsidR="00C026A6" w:rsidRPr="00EA59C0">
        <w:t xml:space="preserve"> </w:t>
      </w:r>
      <w:r w:rsidRPr="00EA59C0">
        <w:t>by</w:t>
      </w:r>
      <w:r w:rsidR="00C026A6" w:rsidRPr="00EA59C0">
        <w:t xml:space="preserve"> </w:t>
      </w:r>
      <w:r w:rsidRPr="00EA59C0">
        <w:t>industry</w:t>
      </w:r>
      <w:r w:rsidR="00C026A6" w:rsidRPr="00EA59C0">
        <w:t xml:space="preserve"> </w:t>
      </w:r>
      <w:r w:rsidR="00103C6B" w:rsidRPr="00EA59C0">
        <w:t>sector</w:t>
      </w:r>
      <w:r w:rsidR="00C026A6" w:rsidRPr="00EA59C0">
        <w:t xml:space="preserve"> </w:t>
      </w:r>
      <w:r w:rsidR="00103C6B" w:rsidRPr="00EA59C0">
        <w:t>and</w:t>
      </w:r>
      <w:r w:rsidR="00C026A6" w:rsidRPr="00EA59C0">
        <w:t xml:space="preserve"> </w:t>
      </w:r>
      <w:r w:rsidR="00103C6B" w:rsidRPr="00EA59C0">
        <w:t>occupations</w:t>
      </w:r>
      <w:r w:rsidR="00C026A6" w:rsidRPr="00EA59C0">
        <w:t xml:space="preserve"> </w:t>
      </w:r>
      <w:r w:rsidR="00103C6B" w:rsidRPr="00EA59C0">
        <w:t>targeted</w:t>
      </w:r>
      <w:r w:rsidR="00C026A6" w:rsidRPr="00EA59C0">
        <w:t xml:space="preserve"> </w:t>
      </w:r>
      <w:r w:rsidR="00103C6B" w:rsidRPr="00EA59C0">
        <w:t>by</w:t>
      </w:r>
      <w:r w:rsidR="00C026A6" w:rsidRPr="00EA59C0">
        <w:t xml:space="preserve"> </w:t>
      </w:r>
      <w:r w:rsidR="00103C6B" w:rsidRPr="00EA59C0">
        <w:t>the</w:t>
      </w:r>
      <w:r w:rsidR="00C026A6" w:rsidRPr="00EA59C0">
        <w:t xml:space="preserve"> </w:t>
      </w:r>
      <w:r w:rsidR="00103C6B" w:rsidRPr="00EA59C0">
        <w:t>project</w:t>
      </w:r>
      <w:r w:rsidR="004D570C" w:rsidRPr="00EA59C0">
        <w:t>.</w:t>
      </w:r>
      <w:r w:rsidR="00C026A6" w:rsidRPr="00EA59C0">
        <w:t xml:space="preserve"> </w:t>
      </w:r>
    </w:p>
    <w:p w:rsidR="0085160D" w:rsidRPr="00EA59C0" w:rsidRDefault="0085160D" w:rsidP="00C072FA">
      <w:pPr>
        <w:ind w:left="3600" w:firstLine="60"/>
      </w:pPr>
    </w:p>
    <w:p w:rsidR="0085160D" w:rsidRPr="00EA59C0" w:rsidRDefault="0085160D" w:rsidP="00C072FA">
      <w:pPr>
        <w:pStyle w:val="ListParagraph"/>
        <w:numPr>
          <w:ilvl w:val="6"/>
          <w:numId w:val="17"/>
        </w:numPr>
      </w:pPr>
      <w:r w:rsidRPr="00EA59C0">
        <w:t>Identification</w:t>
      </w:r>
      <w:r w:rsidR="00C026A6" w:rsidRPr="00EA59C0">
        <w:t xml:space="preserve"> </w:t>
      </w:r>
      <w:r w:rsidRPr="00EA59C0">
        <w:t>of</w:t>
      </w:r>
      <w:r w:rsidR="00C026A6" w:rsidRPr="00EA59C0">
        <w:t xml:space="preserve"> </w:t>
      </w:r>
      <w:r w:rsidRPr="00EA59C0">
        <w:t>the</w:t>
      </w:r>
      <w:r w:rsidR="00C026A6" w:rsidRPr="00EA59C0">
        <w:t xml:space="preserve"> </w:t>
      </w:r>
      <w:r w:rsidRPr="00EA59C0">
        <w:t>specific</w:t>
      </w:r>
      <w:r w:rsidR="00C026A6" w:rsidRPr="00EA59C0">
        <w:t xml:space="preserve"> </w:t>
      </w:r>
      <w:r w:rsidRPr="00EA59C0">
        <w:t>services</w:t>
      </w:r>
      <w:r w:rsidR="00C026A6" w:rsidRPr="00EA59C0">
        <w:t xml:space="preserve"> </w:t>
      </w:r>
      <w:r w:rsidRPr="00EA59C0">
        <w:t>and</w:t>
      </w:r>
      <w:r w:rsidR="00C026A6" w:rsidRPr="00EA59C0">
        <w:t xml:space="preserve"> </w:t>
      </w:r>
      <w:r w:rsidRPr="00EA59C0">
        <w:t>career</w:t>
      </w:r>
      <w:r w:rsidR="00C026A6" w:rsidRPr="00EA59C0">
        <w:t xml:space="preserve"> </w:t>
      </w:r>
      <w:r w:rsidRPr="00EA59C0">
        <w:t>guidance</w:t>
      </w:r>
      <w:r w:rsidR="00C026A6" w:rsidRPr="00EA59C0">
        <w:t xml:space="preserve"> </w:t>
      </w:r>
      <w:r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provided;</w:t>
      </w:r>
      <w:r w:rsidR="00C026A6" w:rsidRPr="00EA59C0">
        <w:t xml:space="preserve"> </w:t>
      </w:r>
      <w:r w:rsidRPr="00EA59C0">
        <w:t>applicant</w:t>
      </w:r>
      <w:r w:rsidR="00C026A6" w:rsidRPr="00EA59C0">
        <w:t xml:space="preserve"> </w:t>
      </w:r>
      <w:r w:rsidRPr="00EA59C0">
        <w:t>should</w:t>
      </w:r>
      <w:r w:rsidR="00C026A6" w:rsidRPr="00EA59C0">
        <w:t xml:space="preserve"> </w:t>
      </w:r>
      <w:r w:rsidRPr="00EA59C0">
        <w:t>also</w:t>
      </w:r>
      <w:r w:rsidR="00C026A6" w:rsidRPr="00EA59C0">
        <w:t xml:space="preserve"> </w:t>
      </w:r>
      <w:r w:rsidRPr="00EA59C0">
        <w:t>identify</w:t>
      </w:r>
      <w:r w:rsidR="00C026A6" w:rsidRPr="00EA59C0">
        <w:t xml:space="preserve"> </w:t>
      </w:r>
      <w:r w:rsidRPr="00EA59C0">
        <w:t>the</w:t>
      </w:r>
      <w:r w:rsidR="00C026A6" w:rsidRPr="00EA59C0">
        <w:t xml:space="preserve"> </w:t>
      </w:r>
      <w:r w:rsidR="00103C6B" w:rsidRPr="00EA59C0">
        <w:t>specific</w:t>
      </w:r>
      <w:r w:rsidR="00C026A6" w:rsidRPr="00EA59C0">
        <w:t xml:space="preserve"> </w:t>
      </w:r>
      <w:r w:rsidRPr="00EA59C0">
        <w:t>barriers</w:t>
      </w:r>
      <w:r w:rsidR="00C026A6" w:rsidRPr="00EA59C0">
        <w:t xml:space="preserve"> </w:t>
      </w:r>
      <w:r w:rsidRPr="00EA59C0">
        <w:t>to</w:t>
      </w:r>
      <w:r w:rsidR="00C026A6" w:rsidRPr="00EA59C0">
        <w:t xml:space="preserve"> </w:t>
      </w:r>
      <w:r w:rsidRPr="00EA59C0">
        <w:t>program</w:t>
      </w:r>
      <w:r w:rsidR="00C026A6" w:rsidRPr="00EA59C0">
        <w:t xml:space="preserve"> </w:t>
      </w:r>
      <w:r w:rsidRPr="00EA59C0">
        <w:t>retention</w:t>
      </w:r>
      <w:r w:rsidR="00F97254" w:rsidRPr="00EA59C0">
        <w:t>,</w:t>
      </w:r>
      <w:r w:rsidR="00C026A6" w:rsidRPr="00EA59C0">
        <w:t xml:space="preserve"> </w:t>
      </w:r>
      <w:r w:rsidRPr="00EA59C0">
        <w:t>completion</w:t>
      </w:r>
      <w:r w:rsidR="00F97254" w:rsidRPr="00EA59C0">
        <w:t>,</w:t>
      </w:r>
      <w:r w:rsidR="00C026A6" w:rsidRPr="00EA59C0">
        <w:t xml:space="preserve"> </w:t>
      </w:r>
      <w:r w:rsidRPr="00EA59C0">
        <w:t>and</w:t>
      </w:r>
      <w:r w:rsidR="00C026A6" w:rsidRPr="00EA59C0">
        <w:t xml:space="preserve"> </w:t>
      </w:r>
      <w:r w:rsidRPr="00EA59C0">
        <w:t>employment</w:t>
      </w:r>
      <w:r w:rsidR="00C026A6" w:rsidRPr="00EA59C0">
        <w:t xml:space="preserve"> </w:t>
      </w:r>
      <w:r w:rsidR="00103C6B" w:rsidRPr="00EA59C0">
        <w:t>that</w:t>
      </w:r>
      <w:r w:rsidR="00C026A6" w:rsidRPr="00EA59C0">
        <w:t xml:space="preserve"> </w:t>
      </w:r>
      <w:r w:rsidR="00103C6B" w:rsidRPr="00EA59C0">
        <w:t>will</w:t>
      </w:r>
      <w:r w:rsidR="00C026A6" w:rsidRPr="00EA59C0">
        <w:t xml:space="preserve"> </w:t>
      </w:r>
      <w:r w:rsidR="00103C6B" w:rsidRPr="00EA59C0">
        <w:t>be</w:t>
      </w:r>
      <w:r w:rsidR="00C026A6" w:rsidRPr="00EA59C0">
        <w:t xml:space="preserve"> </w:t>
      </w:r>
      <w:r w:rsidRPr="00EA59C0">
        <w:t>addressed</w:t>
      </w:r>
      <w:r w:rsidR="00C026A6" w:rsidRPr="00EA59C0">
        <w:t xml:space="preserve"> </w:t>
      </w:r>
      <w:r w:rsidR="00103C6B" w:rsidRPr="00EA59C0">
        <w:t>through</w:t>
      </w:r>
      <w:r w:rsidR="00C026A6" w:rsidRPr="00EA59C0">
        <w:t xml:space="preserve"> </w:t>
      </w:r>
      <w:r w:rsidR="00103C6B" w:rsidRPr="00EA59C0">
        <w:t>comprehensive</w:t>
      </w:r>
      <w:r w:rsidR="00C026A6" w:rsidRPr="00EA59C0">
        <w:t xml:space="preserve"> </w:t>
      </w:r>
      <w:r w:rsidR="00103C6B" w:rsidRPr="00EA59C0">
        <w:t>and</w:t>
      </w:r>
      <w:r w:rsidR="00C026A6" w:rsidRPr="00EA59C0">
        <w:t xml:space="preserve"> </w:t>
      </w:r>
      <w:r w:rsidR="00103C6B" w:rsidRPr="00EA59C0">
        <w:t>personalized</w:t>
      </w:r>
      <w:r w:rsidR="00C026A6" w:rsidRPr="00EA59C0">
        <w:t xml:space="preserve"> </w:t>
      </w:r>
      <w:r w:rsidR="00103C6B" w:rsidRPr="00EA59C0">
        <w:t>student</w:t>
      </w:r>
      <w:r w:rsidR="00C026A6" w:rsidRPr="00EA59C0">
        <w:t xml:space="preserve"> </w:t>
      </w:r>
      <w:r w:rsidR="00103C6B" w:rsidRPr="00EA59C0">
        <w:t>services</w:t>
      </w:r>
      <w:r w:rsidR="00C026A6" w:rsidRPr="00EA59C0">
        <w:t xml:space="preserve"> </w:t>
      </w:r>
      <w:r w:rsidR="00103C6B" w:rsidRPr="00EA59C0">
        <w:t>and</w:t>
      </w:r>
      <w:r w:rsidR="00C026A6" w:rsidRPr="00EA59C0">
        <w:t xml:space="preserve"> </w:t>
      </w:r>
      <w:r w:rsidR="00103C6B" w:rsidRPr="00EA59C0">
        <w:t>career</w:t>
      </w:r>
      <w:r w:rsidR="00C026A6" w:rsidRPr="00EA59C0">
        <w:t xml:space="preserve"> </w:t>
      </w:r>
      <w:r w:rsidR="00103C6B" w:rsidRPr="00EA59C0">
        <w:t>guidance</w:t>
      </w:r>
      <w:r w:rsidRPr="00EA59C0">
        <w:t>.</w:t>
      </w:r>
    </w:p>
    <w:p w:rsidR="0085160D" w:rsidRPr="00EA59C0" w:rsidRDefault="0085160D" w:rsidP="00C072FA">
      <w:pPr>
        <w:ind w:left="3600"/>
      </w:pPr>
    </w:p>
    <w:p w:rsidR="0085160D" w:rsidRPr="00EA59C0" w:rsidRDefault="0085160D" w:rsidP="00C072FA">
      <w:pPr>
        <w:pStyle w:val="ListParagraph"/>
        <w:numPr>
          <w:ilvl w:val="6"/>
          <w:numId w:val="17"/>
        </w:numPr>
      </w:pPr>
      <w:r w:rsidRPr="00EA59C0">
        <w:t>An</w:t>
      </w:r>
      <w:r w:rsidR="00C026A6" w:rsidRPr="00EA59C0">
        <w:t xml:space="preserve"> </w:t>
      </w:r>
      <w:r w:rsidRPr="00EA59C0">
        <w:t>explanation</w:t>
      </w:r>
      <w:r w:rsidR="00C026A6" w:rsidRPr="00EA59C0">
        <w:t xml:space="preserve"> </w:t>
      </w:r>
      <w:r w:rsidRPr="00EA59C0">
        <w:t>of</w:t>
      </w:r>
      <w:r w:rsidR="00C026A6" w:rsidRPr="00EA59C0">
        <w:t xml:space="preserve"> </w:t>
      </w:r>
      <w:r w:rsidRPr="00EA59C0">
        <w:t>how</w:t>
      </w:r>
      <w:r w:rsidR="00C026A6" w:rsidRPr="00EA59C0">
        <w:t xml:space="preserve"> </w:t>
      </w:r>
      <w:r w:rsidRPr="00EA59C0">
        <w:t>prior</w:t>
      </w:r>
      <w:r w:rsidR="00C026A6" w:rsidRPr="00EA59C0">
        <w:t xml:space="preserve"> </w:t>
      </w:r>
      <w:r w:rsidRPr="00EA59C0">
        <w:t>learning</w:t>
      </w:r>
      <w:r w:rsidR="00C026A6" w:rsidRPr="00EA59C0">
        <w:t xml:space="preserve"> </w:t>
      </w:r>
      <w:r w:rsidRPr="00EA59C0">
        <w:t>for</w:t>
      </w:r>
      <w:r w:rsidR="00C026A6" w:rsidRPr="00EA59C0">
        <w:t xml:space="preserve"> </w:t>
      </w:r>
      <w:r w:rsidRPr="00EA59C0">
        <w:t>adults</w:t>
      </w:r>
      <w:r w:rsidR="00C026A6" w:rsidRPr="00EA59C0">
        <w:t xml:space="preserve"> </w:t>
      </w:r>
      <w:r w:rsidRPr="00EA59C0">
        <w:t>entering</w:t>
      </w:r>
      <w:r w:rsidR="00C026A6" w:rsidRPr="00EA59C0">
        <w:t xml:space="preserve"> </w:t>
      </w:r>
      <w:r w:rsidRPr="00EA59C0">
        <w:t>the</w:t>
      </w:r>
      <w:r w:rsidR="00C026A6" w:rsidRPr="00EA59C0">
        <w:t xml:space="preserve"> </w:t>
      </w:r>
      <w:r w:rsidRPr="00EA59C0">
        <w:t>program</w:t>
      </w:r>
      <w:r w:rsidR="00C026A6" w:rsidRPr="00EA59C0">
        <w:t xml:space="preserve"> </w:t>
      </w:r>
      <w:r w:rsidRPr="00EA59C0">
        <w:t>will</w:t>
      </w:r>
      <w:r w:rsidR="00C026A6" w:rsidRPr="00EA59C0">
        <w:t xml:space="preserve"> </w:t>
      </w:r>
      <w:r w:rsidRPr="00EA59C0">
        <w:t>be</w:t>
      </w:r>
      <w:r w:rsidR="00C026A6" w:rsidRPr="00EA59C0">
        <w:t xml:space="preserve"> </w:t>
      </w:r>
      <w:r w:rsidRPr="00EA59C0">
        <w:t>assessed,</w:t>
      </w:r>
      <w:r w:rsidR="00C026A6" w:rsidRPr="00EA59C0">
        <w:t xml:space="preserve"> </w:t>
      </w:r>
      <w:r w:rsidRPr="00EA59C0">
        <w:t>identification</w:t>
      </w:r>
      <w:r w:rsidR="00C026A6" w:rsidRPr="00EA59C0">
        <w:t xml:space="preserve"> </w:t>
      </w:r>
      <w:r w:rsidRPr="00EA59C0">
        <w:t>of</w:t>
      </w:r>
      <w:r w:rsidR="00C026A6" w:rsidRPr="00EA59C0">
        <w:t xml:space="preserve"> </w:t>
      </w:r>
      <w:r w:rsidRPr="00EA59C0">
        <w:t>the</w:t>
      </w:r>
      <w:r w:rsidR="00C026A6" w:rsidRPr="00EA59C0">
        <w:t xml:space="preserve"> </w:t>
      </w:r>
      <w:r w:rsidRPr="00EA59C0">
        <w:t>types</w:t>
      </w:r>
      <w:r w:rsidR="00C026A6" w:rsidRPr="00EA59C0">
        <w:t xml:space="preserve"> </w:t>
      </w:r>
      <w:r w:rsidRPr="00EA59C0">
        <w:t>of</w:t>
      </w:r>
      <w:r w:rsidR="00C026A6" w:rsidRPr="00EA59C0">
        <w:t xml:space="preserve"> </w:t>
      </w:r>
      <w:r w:rsidRPr="00EA59C0">
        <w:t>assessments</w:t>
      </w:r>
      <w:r w:rsidR="00C026A6" w:rsidRPr="00EA59C0">
        <w:t xml:space="preserve"> </w:t>
      </w:r>
      <w:r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used,</w:t>
      </w:r>
      <w:r w:rsidR="00C026A6" w:rsidRPr="00EA59C0">
        <w:t xml:space="preserve"> </w:t>
      </w:r>
      <w:r w:rsidRPr="00EA59C0">
        <w:t>such</w:t>
      </w:r>
      <w:r w:rsidR="00C026A6" w:rsidRPr="00EA59C0">
        <w:t xml:space="preserve"> </w:t>
      </w:r>
      <w:r w:rsidRPr="00EA59C0">
        <w:t>as</w:t>
      </w:r>
      <w:r w:rsidR="00C026A6" w:rsidRPr="00EA59C0">
        <w:t xml:space="preserve"> </w:t>
      </w:r>
      <w:r w:rsidRPr="00EA59C0">
        <w:t>competency-based</w:t>
      </w:r>
      <w:r w:rsidR="00C026A6" w:rsidRPr="00EA59C0">
        <w:t xml:space="preserve"> </w:t>
      </w:r>
      <w:r w:rsidRPr="00EA59C0">
        <w:t>learning,</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simulations</w:t>
      </w:r>
      <w:r w:rsidR="00C026A6" w:rsidRPr="00EA59C0">
        <w:t xml:space="preserve"> </w:t>
      </w:r>
      <w:r w:rsidRPr="00EA59C0">
        <w:t>and</w:t>
      </w:r>
      <w:r w:rsidR="00C026A6" w:rsidRPr="00EA59C0">
        <w:t xml:space="preserve"> </w:t>
      </w:r>
      <w:r w:rsidRPr="00EA59C0">
        <w:t>other</w:t>
      </w:r>
      <w:r w:rsidR="00C026A6" w:rsidRPr="00EA59C0">
        <w:t xml:space="preserve"> </w:t>
      </w:r>
      <w:r w:rsidRPr="00EA59C0">
        <w:t>new</w:t>
      </w:r>
      <w:r w:rsidR="00C026A6" w:rsidRPr="00EA59C0">
        <w:t xml:space="preserve"> </w:t>
      </w:r>
      <w:r w:rsidRPr="00EA59C0">
        <w:t>tools,</w:t>
      </w:r>
      <w:r w:rsidR="00C026A6" w:rsidRPr="00EA59C0">
        <w:t xml:space="preserve"> </w:t>
      </w:r>
      <w:r w:rsidRPr="00EA59C0">
        <w:t>and</w:t>
      </w:r>
      <w:r w:rsidR="00C026A6" w:rsidRPr="00EA59C0">
        <w:t xml:space="preserve"> </w:t>
      </w:r>
      <w:r w:rsidRPr="00EA59C0">
        <w:t>an</w:t>
      </w:r>
      <w:r w:rsidR="00C026A6" w:rsidRPr="00EA59C0">
        <w:t xml:space="preserve"> </w:t>
      </w:r>
      <w:r w:rsidRPr="00EA59C0">
        <w:t>explanation</w:t>
      </w:r>
      <w:r w:rsidR="00C026A6" w:rsidRPr="00EA59C0">
        <w:t xml:space="preserve"> </w:t>
      </w:r>
      <w:r w:rsidRPr="00EA59C0">
        <w:t>of</w:t>
      </w:r>
      <w:r w:rsidR="00C026A6" w:rsidRPr="00EA59C0">
        <w:t xml:space="preserve"> </w:t>
      </w:r>
      <w:r w:rsidRPr="00EA59C0">
        <w:t>how</w:t>
      </w:r>
      <w:r w:rsidR="00C026A6" w:rsidRPr="00EA59C0">
        <w:t xml:space="preserve"> </w:t>
      </w:r>
      <w:r w:rsidRPr="00EA59C0">
        <w:t>credit</w:t>
      </w:r>
      <w:r w:rsidR="00C026A6" w:rsidRPr="00EA59C0">
        <w:t xml:space="preserve"> </w:t>
      </w:r>
      <w:r w:rsidRPr="00EA59C0">
        <w:t>for</w:t>
      </w:r>
      <w:r w:rsidR="00C026A6" w:rsidRPr="00EA59C0">
        <w:t xml:space="preserve"> </w:t>
      </w:r>
      <w:r w:rsidRPr="00EA59C0">
        <w:t>prior</w:t>
      </w:r>
      <w:r w:rsidR="00C026A6" w:rsidRPr="00EA59C0">
        <w:t xml:space="preserve"> </w:t>
      </w:r>
      <w:r w:rsidRPr="00EA59C0">
        <w:t>learning</w:t>
      </w:r>
      <w:r w:rsidR="00C026A6" w:rsidRPr="00EA59C0">
        <w:t xml:space="preserve"> </w:t>
      </w:r>
      <w:r w:rsidRPr="00EA59C0">
        <w:t>will</w:t>
      </w:r>
      <w:r w:rsidR="00C026A6" w:rsidRPr="00EA59C0">
        <w:t xml:space="preserve"> </w:t>
      </w:r>
      <w:r w:rsidRPr="00EA59C0">
        <w:t>be</w:t>
      </w:r>
      <w:r w:rsidR="00C026A6" w:rsidRPr="00EA59C0">
        <w:t xml:space="preserve"> </w:t>
      </w:r>
      <w:r w:rsidRPr="00EA59C0">
        <w:t>awarded</w:t>
      </w:r>
      <w:r w:rsidR="00C026A6" w:rsidRPr="00EA59C0">
        <w:t xml:space="preserve"> </w:t>
      </w:r>
      <w:r w:rsidRPr="00EA59C0">
        <w:t>and</w:t>
      </w:r>
      <w:r w:rsidR="00C026A6" w:rsidRPr="00EA59C0">
        <w:t xml:space="preserve"> </w:t>
      </w:r>
      <w:r w:rsidRPr="00EA59C0">
        <w:t>how</w:t>
      </w:r>
      <w:r w:rsidR="00C026A6" w:rsidRPr="00EA59C0">
        <w:t xml:space="preserve"> </w:t>
      </w:r>
      <w:r w:rsidRPr="00EA59C0">
        <w:t>the</w:t>
      </w:r>
      <w:r w:rsidR="00C026A6" w:rsidRPr="00EA59C0">
        <w:t xml:space="preserve"> </w:t>
      </w:r>
      <w:r w:rsidRPr="00EA59C0">
        <w:t>most</w:t>
      </w:r>
      <w:r w:rsidR="00C026A6" w:rsidRPr="00EA59C0">
        <w:t xml:space="preserve"> </w:t>
      </w:r>
      <w:r w:rsidRPr="00EA59C0">
        <w:t>effective</w:t>
      </w:r>
      <w:r w:rsidR="00C026A6" w:rsidRPr="00EA59C0">
        <w:t xml:space="preserve"> </w:t>
      </w:r>
      <w:r w:rsidRPr="00EA59C0">
        <w:t>and</w:t>
      </w:r>
      <w:r w:rsidR="00C026A6" w:rsidRPr="00EA59C0">
        <w:t xml:space="preserve"> </w:t>
      </w:r>
      <w:r w:rsidRPr="00EA59C0">
        <w:t>accelerated</w:t>
      </w:r>
      <w:r w:rsidR="00C026A6" w:rsidRPr="00EA59C0">
        <w:t xml:space="preserve"> </w:t>
      </w:r>
      <w:r w:rsidRPr="00EA59C0">
        <w:t>path</w:t>
      </w:r>
      <w:r w:rsidR="00C026A6" w:rsidRPr="00EA59C0">
        <w:t xml:space="preserve"> </w:t>
      </w:r>
      <w:r w:rsidRPr="00EA59C0">
        <w:t>toward</w:t>
      </w:r>
      <w:r w:rsidR="00C026A6" w:rsidRPr="00EA59C0">
        <w:t xml:space="preserve"> </w:t>
      </w:r>
      <w:r w:rsidRPr="00EA59C0">
        <w:t>credential</w:t>
      </w:r>
      <w:r w:rsidR="00C026A6" w:rsidRPr="00EA59C0">
        <w:t xml:space="preserve"> </w:t>
      </w:r>
      <w:r w:rsidRPr="00EA59C0">
        <w:t>attainment</w:t>
      </w:r>
      <w:r w:rsidR="00C026A6" w:rsidRPr="00EA59C0">
        <w:t xml:space="preserve"> </w:t>
      </w:r>
      <w:r w:rsidRPr="00EA59C0">
        <w:t>will</w:t>
      </w:r>
      <w:r w:rsidR="00C026A6" w:rsidRPr="00EA59C0">
        <w:t xml:space="preserve"> </w:t>
      </w:r>
      <w:r w:rsidRPr="00EA59C0">
        <w:t>be</w:t>
      </w:r>
      <w:r w:rsidR="00C026A6" w:rsidRPr="00EA59C0">
        <w:t xml:space="preserve"> </w:t>
      </w:r>
      <w:r w:rsidRPr="00EA59C0">
        <w:t>determined.</w:t>
      </w:r>
      <w:r w:rsidR="00C026A6" w:rsidRPr="00EA59C0">
        <w:t xml:space="preserve"> </w:t>
      </w:r>
    </w:p>
    <w:p w:rsidR="0085160D" w:rsidRPr="00EA59C0" w:rsidRDefault="0085160D" w:rsidP="00C072FA">
      <w:pPr>
        <w:pStyle w:val="ListParagraph"/>
        <w:ind w:left="2520"/>
      </w:pPr>
    </w:p>
    <w:p w:rsidR="0085160D" w:rsidRPr="00EA59C0" w:rsidRDefault="0085160D" w:rsidP="00C072FA">
      <w:pPr>
        <w:pStyle w:val="ListParagraph"/>
        <w:numPr>
          <w:ilvl w:val="6"/>
          <w:numId w:val="17"/>
        </w:numPr>
      </w:pPr>
      <w:r w:rsidRPr="00EA59C0">
        <w:t>Identification</w:t>
      </w:r>
      <w:r w:rsidR="00C026A6" w:rsidRPr="00EA59C0">
        <w:t xml:space="preserve"> </w:t>
      </w:r>
      <w:r w:rsidRPr="00EA59C0">
        <w:t>of</w:t>
      </w:r>
      <w:r w:rsidR="00C026A6" w:rsidRPr="00EA59C0">
        <w:t xml:space="preserve"> </w:t>
      </w:r>
      <w:r w:rsidRPr="00EA59C0">
        <w:t>the</w:t>
      </w:r>
      <w:r w:rsidR="00C026A6" w:rsidRPr="00EA59C0">
        <w:t xml:space="preserve"> </w:t>
      </w:r>
      <w:r w:rsidRPr="00EA59C0">
        <w:t>specific</w:t>
      </w:r>
      <w:r w:rsidR="00C026A6" w:rsidRPr="00EA59C0">
        <w:t xml:space="preserve"> </w:t>
      </w:r>
      <w:r w:rsidRPr="00EA59C0">
        <w:t>programs</w:t>
      </w:r>
      <w:r w:rsidR="00C026A6" w:rsidRPr="00EA59C0">
        <w:t xml:space="preserve"> </w:t>
      </w:r>
      <w:r w:rsidR="00D670AB"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competency-based</w:t>
      </w:r>
      <w:r w:rsidR="00C026A6" w:rsidRPr="00EA59C0">
        <w:t xml:space="preserve"> </w:t>
      </w:r>
      <w:r w:rsidRPr="00EA59C0">
        <w:t>and</w:t>
      </w:r>
      <w:r w:rsidR="00C026A6" w:rsidRPr="00EA59C0">
        <w:t xml:space="preserve"> </w:t>
      </w:r>
      <w:r w:rsidRPr="00EA59C0">
        <w:t>the</w:t>
      </w:r>
      <w:r w:rsidR="00C026A6" w:rsidRPr="00EA59C0">
        <w:t xml:space="preserve"> </w:t>
      </w:r>
      <w:r w:rsidRPr="00EA59C0">
        <w:t>observational</w:t>
      </w:r>
      <w:r w:rsidR="00C026A6" w:rsidRPr="00EA59C0">
        <w:t xml:space="preserve"> </w:t>
      </w:r>
      <w:r w:rsidRPr="00EA59C0">
        <w:t>methods</w:t>
      </w:r>
      <w:r w:rsidR="00C026A6" w:rsidRPr="00EA59C0">
        <w:t xml:space="preserve"> </w:t>
      </w:r>
      <w:r w:rsidRPr="00EA59C0">
        <w:t>used</w:t>
      </w:r>
      <w:r w:rsidR="00C026A6" w:rsidRPr="00EA59C0">
        <w:t xml:space="preserve"> </w:t>
      </w:r>
      <w:r w:rsidRPr="00EA59C0">
        <w:t>for</w:t>
      </w:r>
      <w:r w:rsidR="00C026A6" w:rsidRPr="00EA59C0">
        <w:t xml:space="preserve"> </w:t>
      </w:r>
      <w:r w:rsidRPr="00EA59C0">
        <w:t>measuring</w:t>
      </w:r>
      <w:r w:rsidR="00C026A6" w:rsidRPr="00EA59C0">
        <w:t xml:space="preserve"> </w:t>
      </w:r>
      <w:r w:rsidRPr="00EA59C0">
        <w:t>the</w:t>
      </w:r>
      <w:r w:rsidR="00C026A6" w:rsidRPr="00EA59C0">
        <w:t xml:space="preserve"> </w:t>
      </w:r>
      <w:r w:rsidRPr="00EA59C0">
        <w:t>proficiency</w:t>
      </w:r>
      <w:r w:rsidR="00C026A6" w:rsidRPr="00EA59C0">
        <w:t xml:space="preserve"> </w:t>
      </w:r>
      <w:r w:rsidR="00D9122B" w:rsidRPr="00EA59C0">
        <w:t>of</w:t>
      </w:r>
      <w:r w:rsidR="00C026A6" w:rsidRPr="00EA59C0">
        <w:t xml:space="preserve"> </w:t>
      </w:r>
      <w:r w:rsidR="00D9122B" w:rsidRPr="00EA59C0">
        <w:t>program</w:t>
      </w:r>
      <w:r w:rsidR="00C026A6" w:rsidRPr="00EA59C0">
        <w:t xml:space="preserve"> </w:t>
      </w:r>
      <w:r w:rsidR="00D9122B" w:rsidRPr="00EA59C0">
        <w:t>participants</w:t>
      </w:r>
      <w:r w:rsidRPr="00EA59C0">
        <w:t>.</w:t>
      </w:r>
      <w:r w:rsidR="00C026A6" w:rsidRPr="00EA59C0">
        <w:t xml:space="preserve">  </w:t>
      </w:r>
    </w:p>
    <w:p w:rsidR="0085160D" w:rsidRPr="00EA59C0" w:rsidRDefault="0085160D" w:rsidP="00C072FA">
      <w:pPr>
        <w:pStyle w:val="ListParagraph"/>
        <w:ind w:left="2520"/>
      </w:pPr>
    </w:p>
    <w:p w:rsidR="0085160D" w:rsidRPr="00EA59C0" w:rsidRDefault="004D570C" w:rsidP="00C072FA">
      <w:pPr>
        <w:pStyle w:val="ListParagraph"/>
        <w:numPr>
          <w:ilvl w:val="6"/>
          <w:numId w:val="17"/>
        </w:numPr>
      </w:pPr>
      <w:r w:rsidRPr="00EA59C0">
        <w:t>Identification</w:t>
      </w:r>
      <w:r w:rsidR="00C026A6" w:rsidRPr="00EA59C0">
        <w:t xml:space="preserve"> </w:t>
      </w:r>
      <w:r w:rsidRPr="00EA59C0">
        <w:t>of</w:t>
      </w:r>
      <w:r w:rsidR="00C026A6" w:rsidRPr="00EA59C0">
        <w:t xml:space="preserve"> </w:t>
      </w:r>
      <w:r w:rsidRPr="00EA59C0">
        <w:t>modularized</w:t>
      </w:r>
      <w:r w:rsidR="00C026A6" w:rsidRPr="00EA59C0">
        <w:t xml:space="preserve"> </w:t>
      </w:r>
      <w:r w:rsidR="0085160D" w:rsidRPr="00EA59C0">
        <w:t>curricula</w:t>
      </w:r>
      <w:r w:rsidR="00C026A6" w:rsidRPr="00EA59C0">
        <w:t xml:space="preserve"> </w:t>
      </w:r>
      <w:r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developed</w:t>
      </w:r>
      <w:r w:rsidR="00C026A6" w:rsidRPr="00EA59C0">
        <w:t xml:space="preserve"> </w:t>
      </w:r>
      <w:r w:rsidRPr="00EA59C0">
        <w:t>or</w:t>
      </w:r>
      <w:r w:rsidR="00C026A6" w:rsidRPr="00EA59C0">
        <w:t xml:space="preserve"> </w:t>
      </w:r>
      <w:r w:rsidRPr="00EA59C0">
        <w:t>enhanced.</w:t>
      </w:r>
    </w:p>
    <w:p w:rsidR="0085160D" w:rsidRPr="00EA59C0" w:rsidRDefault="0085160D" w:rsidP="00C072FA">
      <w:pPr>
        <w:pStyle w:val="ListParagraph"/>
        <w:ind w:left="2520"/>
      </w:pPr>
    </w:p>
    <w:p w:rsidR="0085160D" w:rsidRPr="00EA59C0" w:rsidRDefault="0085160D" w:rsidP="00C072FA">
      <w:pPr>
        <w:pStyle w:val="ListParagraph"/>
        <w:numPr>
          <w:ilvl w:val="6"/>
          <w:numId w:val="17"/>
        </w:numPr>
      </w:pPr>
      <w:r w:rsidRPr="00EA59C0">
        <w:t>A</w:t>
      </w:r>
      <w:r w:rsidR="00C026A6" w:rsidRPr="00EA59C0">
        <w:t xml:space="preserve"> </w:t>
      </w:r>
      <w:r w:rsidRPr="00EA59C0">
        <w:t>plan</w:t>
      </w:r>
      <w:r w:rsidR="00C026A6" w:rsidRPr="00EA59C0">
        <w:t xml:space="preserve"> </w:t>
      </w:r>
      <w:r w:rsidRPr="00EA59C0">
        <w:t>to</w:t>
      </w:r>
      <w:r w:rsidR="00C026A6" w:rsidRPr="00EA59C0">
        <w:t xml:space="preserve"> </w:t>
      </w:r>
      <w:r w:rsidRPr="00EA59C0">
        <w:t>incorporate</w:t>
      </w:r>
      <w:r w:rsidR="00C026A6" w:rsidRPr="00EA59C0">
        <w:t xml:space="preserve"> </w:t>
      </w:r>
      <w:r w:rsidRPr="00EA59C0">
        <w:t>a</w:t>
      </w:r>
      <w:r w:rsidR="00C026A6" w:rsidRPr="00EA59C0">
        <w:t xml:space="preserve"> </w:t>
      </w:r>
      <w:r w:rsidRPr="00EA59C0">
        <w:t>series</w:t>
      </w:r>
      <w:r w:rsidR="00C026A6" w:rsidRPr="00EA59C0">
        <w:t xml:space="preserve"> </w:t>
      </w:r>
      <w:r w:rsidRPr="00EA59C0">
        <w:t>of</w:t>
      </w:r>
      <w:r w:rsidR="00C026A6" w:rsidRPr="00EA59C0">
        <w:t xml:space="preserve"> </w:t>
      </w:r>
      <w:r w:rsidRPr="00EA59C0">
        <w:t>interconnected</w:t>
      </w:r>
      <w:r w:rsidR="00C026A6" w:rsidRPr="00EA59C0">
        <w:t xml:space="preserve"> </w:t>
      </w:r>
      <w:r w:rsidRPr="00EA59C0">
        <w:t>credentials,</w:t>
      </w:r>
      <w:r w:rsidR="00C026A6" w:rsidRPr="00EA59C0">
        <w:t xml:space="preserve"> </w:t>
      </w:r>
      <w:r w:rsidRPr="00EA59C0">
        <w:t>including</w:t>
      </w:r>
      <w:r w:rsidR="00C026A6" w:rsidRPr="00EA59C0">
        <w:t xml:space="preserve"> </w:t>
      </w:r>
      <w:r w:rsidRPr="00EA59C0">
        <w:t>certificates,</w:t>
      </w:r>
      <w:r w:rsidR="00C026A6" w:rsidRPr="00EA59C0">
        <w:t xml:space="preserve"> </w:t>
      </w:r>
      <w:r w:rsidRPr="00EA59C0">
        <w:t>certifications,</w:t>
      </w:r>
      <w:r w:rsidR="00C026A6" w:rsidRPr="00EA59C0">
        <w:t xml:space="preserve"> </w:t>
      </w:r>
      <w:r w:rsidRPr="00EA59C0">
        <w:t>diplomas,</w:t>
      </w:r>
      <w:r w:rsidR="00C026A6" w:rsidRPr="00EA59C0">
        <w:t xml:space="preserve"> </w:t>
      </w:r>
      <w:r w:rsidRPr="00EA59C0">
        <w:t>and</w:t>
      </w:r>
      <w:r w:rsidR="00C026A6" w:rsidRPr="00EA59C0">
        <w:t xml:space="preserve"> </w:t>
      </w:r>
      <w:r w:rsidRPr="00EA59C0">
        <w:t>degrees,</w:t>
      </w:r>
      <w:r w:rsidR="00C026A6" w:rsidRPr="00EA59C0">
        <w:t xml:space="preserve"> </w:t>
      </w:r>
      <w:r w:rsidRPr="00EA59C0">
        <w:t>into</w:t>
      </w:r>
      <w:r w:rsidR="00C026A6" w:rsidRPr="00EA59C0">
        <w:t xml:space="preserve"> </w:t>
      </w:r>
      <w:r w:rsidRPr="00EA59C0">
        <w:t>the</w:t>
      </w:r>
      <w:r w:rsidR="00C026A6" w:rsidRPr="00EA59C0">
        <w:t xml:space="preserve"> </w:t>
      </w:r>
      <w:r w:rsidRPr="00EA59C0">
        <w:t>program</w:t>
      </w:r>
      <w:r w:rsidR="00C026A6" w:rsidRPr="00EA59C0">
        <w:t xml:space="preserve"> </w:t>
      </w:r>
      <w:r w:rsidRPr="00EA59C0">
        <w:t>design.</w:t>
      </w:r>
      <w:r w:rsidR="00C026A6" w:rsidRPr="00EA59C0">
        <w:t xml:space="preserve">  </w:t>
      </w:r>
      <w:r w:rsidRPr="00EA59C0">
        <w:t>List</w:t>
      </w:r>
      <w:r w:rsidR="00C026A6" w:rsidRPr="00EA59C0">
        <w:t xml:space="preserve"> </w:t>
      </w:r>
      <w:r w:rsidRPr="00EA59C0">
        <w:t>specific</w:t>
      </w:r>
      <w:r w:rsidR="00C026A6" w:rsidRPr="00EA59C0">
        <w:t xml:space="preserve"> </w:t>
      </w:r>
      <w:r w:rsidRPr="00EA59C0">
        <w:t>credentials</w:t>
      </w:r>
      <w:r w:rsidR="00C026A6" w:rsidRPr="00EA59C0">
        <w:t xml:space="preserve"> </w:t>
      </w:r>
      <w:r w:rsidR="00D5373B" w:rsidRPr="00EA59C0">
        <w:t>that</w:t>
      </w:r>
      <w:r w:rsidR="00C026A6" w:rsidRPr="00EA59C0">
        <w:t xml:space="preserve"> </w:t>
      </w:r>
      <w:r w:rsidR="00D5373B" w:rsidRPr="00EA59C0">
        <w:t>may</w:t>
      </w:r>
      <w:r w:rsidR="00C026A6" w:rsidRPr="00EA59C0">
        <w:t xml:space="preserve"> </w:t>
      </w:r>
      <w:r w:rsidR="00D5373B" w:rsidRPr="00EA59C0">
        <w:t>be</w:t>
      </w:r>
      <w:r w:rsidR="00C026A6" w:rsidRPr="00EA59C0">
        <w:t xml:space="preserve"> </w:t>
      </w:r>
      <w:r w:rsidR="00D5373B" w:rsidRPr="00EA59C0">
        <w:t>completed</w:t>
      </w:r>
      <w:r w:rsidR="00C026A6" w:rsidRPr="00EA59C0">
        <w:t xml:space="preserve"> </w:t>
      </w:r>
      <w:r w:rsidR="00D5373B" w:rsidRPr="00EA59C0">
        <w:t>in</w:t>
      </w:r>
      <w:r w:rsidR="00C026A6" w:rsidRPr="00EA59C0">
        <w:t xml:space="preserve"> </w:t>
      </w:r>
      <w:r w:rsidR="00D5373B" w:rsidRPr="00EA59C0">
        <w:t>two</w:t>
      </w:r>
      <w:r w:rsidR="00C026A6" w:rsidRPr="00EA59C0">
        <w:t xml:space="preserve"> </w:t>
      </w:r>
      <w:r w:rsidR="00D5373B" w:rsidRPr="00EA59C0">
        <w:t>years</w:t>
      </w:r>
      <w:r w:rsidR="00C026A6" w:rsidRPr="00EA59C0">
        <w:t xml:space="preserve"> </w:t>
      </w:r>
      <w:r w:rsidR="00D5373B" w:rsidRPr="00EA59C0">
        <w:t>or</w:t>
      </w:r>
      <w:r w:rsidR="00C026A6" w:rsidRPr="00EA59C0">
        <w:t xml:space="preserve"> </w:t>
      </w:r>
      <w:r w:rsidR="00D5373B" w:rsidRPr="00EA59C0">
        <w:t>less</w:t>
      </w:r>
      <w:r w:rsidR="00C026A6" w:rsidRPr="00EA59C0">
        <w:t xml:space="preserve"> </w:t>
      </w:r>
      <w:r w:rsidRPr="00EA59C0">
        <w:t>that</w:t>
      </w:r>
      <w:r w:rsidR="00C026A6" w:rsidRPr="00EA59C0">
        <w:t xml:space="preserve"> </w:t>
      </w:r>
      <w:r w:rsidRPr="00EA59C0">
        <w:t>will</w:t>
      </w:r>
      <w:r w:rsidR="00C026A6" w:rsidRPr="00EA59C0">
        <w:t xml:space="preserve"> </w:t>
      </w:r>
      <w:r w:rsidRPr="00EA59C0">
        <w:t>apply</w:t>
      </w:r>
      <w:r w:rsidR="00C026A6" w:rsidRPr="00EA59C0">
        <w:t xml:space="preserve"> </w:t>
      </w:r>
      <w:r w:rsidRPr="00EA59C0">
        <w:t>to</w:t>
      </w:r>
      <w:r w:rsidR="00C026A6" w:rsidRPr="00EA59C0">
        <w:t xml:space="preserve"> </w:t>
      </w:r>
      <w:r w:rsidRPr="00EA59C0">
        <w:t>this</w:t>
      </w:r>
      <w:r w:rsidR="00C026A6" w:rsidRPr="00EA59C0">
        <w:t xml:space="preserve"> </w:t>
      </w:r>
      <w:r w:rsidRPr="00EA59C0">
        <w:t>program</w:t>
      </w:r>
      <w:r w:rsidR="00C026A6" w:rsidRPr="00EA59C0">
        <w:t xml:space="preserve"> </w:t>
      </w:r>
      <w:r w:rsidRPr="00EA59C0">
        <w:t>(both</w:t>
      </w:r>
      <w:r w:rsidR="00C026A6" w:rsidRPr="00EA59C0">
        <w:t xml:space="preserve"> </w:t>
      </w:r>
      <w:r w:rsidRPr="00EA59C0">
        <w:t>existing</w:t>
      </w:r>
      <w:r w:rsidR="00C026A6" w:rsidRPr="00EA59C0">
        <w:t xml:space="preserve"> </w:t>
      </w:r>
      <w:r w:rsidRPr="00EA59C0">
        <w:t>and</w:t>
      </w:r>
      <w:r w:rsidR="00C026A6" w:rsidRPr="00EA59C0">
        <w:t xml:space="preserve"> </w:t>
      </w:r>
      <w:r w:rsidRPr="00EA59C0">
        <w:t>planned),</w:t>
      </w:r>
      <w:r w:rsidR="00C026A6" w:rsidRPr="00EA59C0">
        <w:t xml:space="preserve"> </w:t>
      </w:r>
      <w:r w:rsidRPr="00EA59C0">
        <w:t>identify</w:t>
      </w:r>
      <w:r w:rsidR="00C026A6" w:rsidRPr="00EA59C0">
        <w:t xml:space="preserve"> </w:t>
      </w:r>
      <w:r w:rsidRPr="00EA59C0">
        <w:t>if</w:t>
      </w:r>
      <w:r w:rsidR="00C026A6" w:rsidRPr="00EA59C0">
        <w:t xml:space="preserve"> </w:t>
      </w:r>
      <w:r w:rsidRPr="00EA59C0">
        <w:t>these</w:t>
      </w:r>
      <w:r w:rsidR="00C026A6" w:rsidRPr="00EA59C0">
        <w:t xml:space="preserve"> </w:t>
      </w:r>
      <w:r w:rsidRPr="00EA59C0">
        <w:t>credentials</w:t>
      </w:r>
      <w:r w:rsidR="00C026A6" w:rsidRPr="00EA59C0">
        <w:t xml:space="preserve"> </w:t>
      </w:r>
      <w:r w:rsidRPr="00EA59C0">
        <w:t>are</w:t>
      </w:r>
      <w:r w:rsidR="00C026A6" w:rsidRPr="00EA59C0">
        <w:t xml:space="preserve"> </w:t>
      </w:r>
      <w:r w:rsidRPr="00EA59C0">
        <w:t>the</w:t>
      </w:r>
      <w:r w:rsidR="00C026A6" w:rsidRPr="00EA59C0">
        <w:t xml:space="preserve"> </w:t>
      </w:r>
      <w:r w:rsidRPr="00EA59C0">
        <w:t>same</w:t>
      </w:r>
      <w:r w:rsidR="00C026A6" w:rsidRPr="00EA59C0">
        <w:t xml:space="preserve"> </w:t>
      </w:r>
      <w:r w:rsidRPr="00EA59C0">
        <w:t>as</w:t>
      </w:r>
      <w:r w:rsidR="00C026A6" w:rsidRPr="00EA59C0">
        <w:t xml:space="preserve"> </w:t>
      </w:r>
      <w:r w:rsidRPr="00EA59C0">
        <w:t>those</w:t>
      </w:r>
      <w:r w:rsidR="00C026A6" w:rsidRPr="00EA59C0">
        <w:t xml:space="preserve"> </w:t>
      </w:r>
      <w:r w:rsidRPr="00EA59C0">
        <w:t>used</w:t>
      </w:r>
      <w:r w:rsidR="00C026A6" w:rsidRPr="00EA59C0">
        <w:t xml:space="preserve"> </w:t>
      </w:r>
      <w:r w:rsidRPr="00EA59C0">
        <w:t>more</w:t>
      </w:r>
      <w:r w:rsidR="00C026A6" w:rsidRPr="00EA59C0">
        <w:t xml:space="preserve"> </w:t>
      </w:r>
      <w:r w:rsidRPr="00EA59C0">
        <w:t>broadly</w:t>
      </w:r>
      <w:r w:rsidR="00C026A6" w:rsidRPr="00EA59C0">
        <w:t xml:space="preserve"> </w:t>
      </w:r>
      <w:r w:rsidRPr="00EA59C0">
        <w:t>within</w:t>
      </w:r>
      <w:r w:rsidR="00C026A6" w:rsidRPr="00EA59C0">
        <w:t xml:space="preserve"> </w:t>
      </w:r>
      <w:r w:rsidRPr="00EA59C0">
        <w:t>the</w:t>
      </w:r>
      <w:r w:rsidR="00C026A6" w:rsidRPr="00EA59C0">
        <w:t xml:space="preserve"> </w:t>
      </w:r>
      <w:r w:rsidR="00491C2D" w:rsidRPr="00EA59C0">
        <w:t>state,</w:t>
      </w:r>
      <w:r w:rsidR="00C026A6" w:rsidRPr="00EA59C0">
        <w:t xml:space="preserve"> </w:t>
      </w:r>
      <w:r w:rsidRPr="00EA59C0">
        <w:t>region</w:t>
      </w:r>
      <w:r w:rsidR="00C026A6" w:rsidRPr="00EA59C0">
        <w:t xml:space="preserve"> </w:t>
      </w:r>
      <w:r w:rsidRPr="00EA59C0">
        <w:t>or</w:t>
      </w:r>
      <w:r w:rsidR="00C026A6" w:rsidRPr="00EA59C0">
        <w:t xml:space="preserve"> </w:t>
      </w:r>
      <w:r w:rsidRPr="00EA59C0">
        <w:t>industry</w:t>
      </w:r>
      <w:r w:rsidR="00C026A6" w:rsidRPr="00EA59C0">
        <w:t xml:space="preserve"> </w:t>
      </w:r>
      <w:r w:rsidRPr="00EA59C0">
        <w:t>and</w:t>
      </w:r>
      <w:r w:rsidR="00C026A6" w:rsidRPr="00EA59C0">
        <w:t xml:space="preserve"> </w:t>
      </w:r>
      <w:r w:rsidRPr="00EA59C0">
        <w:t>if</w:t>
      </w:r>
      <w:r w:rsidR="00C026A6" w:rsidRPr="00EA59C0">
        <w:t xml:space="preserve"> </w:t>
      </w:r>
      <w:r w:rsidRPr="00EA59C0">
        <w:t>not</w:t>
      </w:r>
      <w:r w:rsidR="00C026A6" w:rsidRPr="00EA59C0">
        <w:t xml:space="preserve"> </w:t>
      </w:r>
      <w:r w:rsidRPr="00EA59C0">
        <w:t>provide</w:t>
      </w:r>
      <w:r w:rsidR="00C026A6" w:rsidRPr="00EA59C0">
        <w:t xml:space="preserve"> </w:t>
      </w:r>
      <w:r w:rsidRPr="00EA59C0">
        <w:t>justification</w:t>
      </w:r>
      <w:r w:rsidR="00C026A6" w:rsidRPr="00EA59C0">
        <w:t xml:space="preserve"> </w:t>
      </w:r>
      <w:r w:rsidRPr="00EA59C0">
        <w:t>why</w:t>
      </w:r>
      <w:r w:rsidR="00C026A6" w:rsidRPr="00EA59C0">
        <w:t xml:space="preserve"> </w:t>
      </w:r>
      <w:r w:rsidRPr="00EA59C0">
        <w:t>the</w:t>
      </w:r>
      <w:r w:rsidR="00C026A6" w:rsidRPr="00EA59C0">
        <w:t xml:space="preserve"> </w:t>
      </w:r>
      <w:r w:rsidRPr="00EA59C0">
        <w:t>proposed</w:t>
      </w:r>
      <w:r w:rsidR="00C026A6" w:rsidRPr="00EA59C0">
        <w:t xml:space="preserve"> </w:t>
      </w:r>
      <w:r w:rsidRPr="00EA59C0">
        <w:t>credentials</w:t>
      </w:r>
      <w:r w:rsidR="00C026A6" w:rsidRPr="00EA59C0">
        <w:t xml:space="preserve"> </w:t>
      </w:r>
      <w:r w:rsidR="0067341B" w:rsidRPr="00EA59C0">
        <w:t>are</w:t>
      </w:r>
      <w:r w:rsidR="00C026A6" w:rsidRPr="00EA59C0">
        <w:t xml:space="preserve"> </w:t>
      </w:r>
      <w:r w:rsidRPr="00EA59C0">
        <w:t>more</w:t>
      </w:r>
      <w:r w:rsidR="00C026A6" w:rsidRPr="00EA59C0">
        <w:t xml:space="preserve"> </w:t>
      </w:r>
      <w:r w:rsidRPr="00EA59C0">
        <w:t>appropriate</w:t>
      </w:r>
      <w:r w:rsidR="00C026A6" w:rsidRPr="00EA59C0">
        <w:t xml:space="preserve"> </w:t>
      </w:r>
      <w:r w:rsidRPr="00EA59C0">
        <w:t>for</w:t>
      </w:r>
      <w:r w:rsidR="00C026A6" w:rsidRPr="00EA59C0">
        <w:t xml:space="preserve"> </w:t>
      </w:r>
      <w:r w:rsidRPr="00EA59C0">
        <w:t>this</w:t>
      </w:r>
      <w:r w:rsidR="00C026A6" w:rsidRPr="00EA59C0">
        <w:t xml:space="preserve"> </w:t>
      </w:r>
      <w:r w:rsidRPr="00EA59C0">
        <w:t>specific</w:t>
      </w:r>
      <w:r w:rsidR="00C026A6" w:rsidRPr="00EA59C0">
        <w:t xml:space="preserve"> </w:t>
      </w:r>
      <w:r w:rsidRPr="00EA59C0">
        <w:t>project,</w:t>
      </w:r>
      <w:r w:rsidR="00C026A6" w:rsidRPr="00EA59C0">
        <w:t xml:space="preserve"> </w:t>
      </w:r>
      <w:r w:rsidRPr="00EA59C0">
        <w:t>and</w:t>
      </w:r>
      <w:r w:rsidR="00C026A6" w:rsidRPr="00EA59C0">
        <w:t xml:space="preserve"> </w:t>
      </w:r>
      <w:r w:rsidRPr="00EA59C0">
        <w:t>the</w:t>
      </w:r>
      <w:r w:rsidR="00C026A6" w:rsidRPr="00EA59C0">
        <w:t xml:space="preserve"> </w:t>
      </w:r>
      <w:r w:rsidRPr="00EA59C0">
        <w:t>proposed</w:t>
      </w:r>
      <w:r w:rsidR="00C026A6" w:rsidRPr="00EA59C0">
        <w:t xml:space="preserve"> </w:t>
      </w:r>
      <w:r w:rsidRPr="00EA59C0">
        <w:t>process</w:t>
      </w:r>
      <w:r w:rsidR="00C026A6" w:rsidRPr="00EA59C0">
        <w:t xml:space="preserve"> </w:t>
      </w:r>
      <w:r w:rsidRPr="00EA59C0">
        <w:t>(who</w:t>
      </w:r>
      <w:r w:rsidR="00C026A6" w:rsidRPr="00EA59C0">
        <w:t xml:space="preserve"> </w:t>
      </w:r>
      <w:r w:rsidRPr="00EA59C0">
        <w:t>will</w:t>
      </w:r>
      <w:r w:rsidR="00C026A6" w:rsidRPr="00EA59C0">
        <w:t xml:space="preserve"> </w:t>
      </w:r>
      <w:r w:rsidRPr="00EA59C0">
        <w:t>be</w:t>
      </w:r>
      <w:r w:rsidR="00C026A6" w:rsidRPr="00EA59C0">
        <w:t xml:space="preserve"> </w:t>
      </w:r>
      <w:r w:rsidRPr="00EA59C0">
        <w:t>involved,</w:t>
      </w:r>
      <w:r w:rsidR="00C026A6" w:rsidRPr="00EA59C0">
        <w:t xml:space="preserve"> </w:t>
      </w:r>
      <w:r w:rsidRPr="00EA59C0">
        <w:t>who</w:t>
      </w:r>
      <w:r w:rsidR="00C026A6" w:rsidRPr="00EA59C0">
        <w:t xml:space="preserve"> </w:t>
      </w:r>
      <w:r w:rsidRPr="00EA59C0">
        <w:t>must</w:t>
      </w:r>
      <w:r w:rsidR="00C026A6" w:rsidRPr="00EA59C0">
        <w:t xml:space="preserve"> </w:t>
      </w:r>
      <w:r w:rsidRPr="00EA59C0">
        <w:t>approve,</w:t>
      </w:r>
      <w:r w:rsidR="00C026A6" w:rsidRPr="00EA59C0">
        <w:t xml:space="preserve"> </w:t>
      </w:r>
      <w:r w:rsidRPr="00EA59C0">
        <w:t>etc.)</w:t>
      </w:r>
      <w:r w:rsidR="00C026A6" w:rsidRPr="00EA59C0">
        <w:t xml:space="preserve"> </w:t>
      </w:r>
      <w:r w:rsidRPr="00EA59C0">
        <w:t>for</w:t>
      </w:r>
      <w:r w:rsidR="00C026A6" w:rsidRPr="00EA59C0">
        <w:t xml:space="preserve"> </w:t>
      </w:r>
      <w:r w:rsidR="003568FA" w:rsidRPr="00EA59C0">
        <w:t>developing</w:t>
      </w:r>
      <w:r w:rsidR="00C026A6" w:rsidRPr="00EA59C0">
        <w:t xml:space="preserve"> </w:t>
      </w:r>
      <w:r w:rsidR="003568FA" w:rsidRPr="00EA59C0">
        <w:t>and</w:t>
      </w:r>
      <w:r w:rsidR="00C026A6" w:rsidRPr="00EA59C0">
        <w:t xml:space="preserve"> </w:t>
      </w:r>
      <w:r w:rsidRPr="00EA59C0">
        <w:t>connecting</w:t>
      </w:r>
      <w:r w:rsidR="00C026A6" w:rsidRPr="00EA59C0">
        <w:t xml:space="preserve"> </w:t>
      </w:r>
      <w:r w:rsidRPr="00EA59C0">
        <w:t>these</w:t>
      </w:r>
      <w:r w:rsidR="00C026A6" w:rsidRPr="00EA59C0">
        <w:t xml:space="preserve"> </w:t>
      </w:r>
      <w:r w:rsidRPr="00EA59C0">
        <w:t>credentials.</w:t>
      </w:r>
    </w:p>
    <w:p w:rsidR="0085160D" w:rsidRPr="00EA59C0" w:rsidRDefault="0085160D" w:rsidP="00C072FA">
      <w:pPr>
        <w:ind w:left="3960"/>
      </w:pPr>
    </w:p>
    <w:p w:rsidR="0085160D" w:rsidRPr="00EA59C0" w:rsidRDefault="0085160D" w:rsidP="00C072FA">
      <w:pPr>
        <w:pStyle w:val="ListParagraph"/>
        <w:numPr>
          <w:ilvl w:val="6"/>
          <w:numId w:val="17"/>
        </w:numPr>
      </w:pPr>
      <w:r w:rsidRPr="00EA59C0">
        <w:t>Explanation</w:t>
      </w:r>
      <w:r w:rsidR="00C026A6" w:rsidRPr="00EA59C0">
        <w:t xml:space="preserve"> </w:t>
      </w:r>
      <w:r w:rsidRPr="00EA59C0">
        <w:t>of</w:t>
      </w:r>
      <w:r w:rsidR="00C026A6" w:rsidRPr="00EA59C0">
        <w:t xml:space="preserve"> </w:t>
      </w:r>
      <w:r w:rsidRPr="00EA59C0">
        <w:t>how</w:t>
      </w:r>
      <w:r w:rsidR="00C026A6" w:rsidRPr="00EA59C0">
        <w:t xml:space="preserve"> </w:t>
      </w:r>
      <w:r w:rsidRPr="00EA59C0">
        <w:t>employers</w:t>
      </w:r>
      <w:r w:rsidR="00C026A6" w:rsidRPr="00EA59C0">
        <w:t xml:space="preserve"> </w:t>
      </w:r>
      <w:r w:rsidRPr="00EA59C0">
        <w:t>and/or</w:t>
      </w:r>
      <w:r w:rsidR="00C026A6" w:rsidRPr="00EA59C0">
        <w:t xml:space="preserve"> </w:t>
      </w:r>
      <w:r w:rsidRPr="00EA59C0">
        <w:t>industry</w:t>
      </w:r>
      <w:r w:rsidR="00C026A6" w:rsidRPr="00EA59C0">
        <w:t xml:space="preserve"> </w:t>
      </w:r>
      <w:r w:rsidRPr="00EA59C0">
        <w:t>associations</w:t>
      </w:r>
      <w:r w:rsidR="00C026A6" w:rsidRPr="00EA59C0">
        <w:t xml:space="preserve"> </w:t>
      </w:r>
      <w:r w:rsidRPr="00EA59C0">
        <w:t>(including</w:t>
      </w:r>
      <w:r w:rsidR="00C026A6" w:rsidRPr="00EA59C0">
        <w:t xml:space="preserve"> </w:t>
      </w:r>
      <w:r w:rsidRPr="00EA59C0">
        <w:t>national</w:t>
      </w:r>
      <w:r w:rsidR="00C026A6" w:rsidRPr="00EA59C0">
        <w:t xml:space="preserve"> </w:t>
      </w:r>
      <w:r w:rsidRPr="00EA59C0">
        <w:t>industry</w:t>
      </w:r>
      <w:r w:rsidR="00C026A6" w:rsidRPr="00EA59C0">
        <w:t xml:space="preserve"> </w:t>
      </w:r>
      <w:r w:rsidRPr="00EA59C0">
        <w:t>associations</w:t>
      </w:r>
      <w:r w:rsidR="00EA578A" w:rsidRPr="00EA59C0">
        <w:t>,</w:t>
      </w:r>
      <w:r w:rsidR="00C026A6" w:rsidRPr="00EA59C0">
        <w:t xml:space="preserve"> </w:t>
      </w:r>
      <w:r w:rsidR="00EA578A" w:rsidRPr="00EA59C0">
        <w:t>if</w:t>
      </w:r>
      <w:r w:rsidR="00C026A6" w:rsidRPr="00EA59C0">
        <w:t xml:space="preserve"> </w:t>
      </w:r>
      <w:r w:rsidR="00EA578A" w:rsidRPr="00EA59C0">
        <w:t>appropriate</w:t>
      </w:r>
      <w:r w:rsidRPr="00EA59C0">
        <w:t>)</w:t>
      </w:r>
      <w:r w:rsidR="00C026A6" w:rsidRPr="00EA59C0">
        <w:t xml:space="preserve"> </w:t>
      </w:r>
      <w:r w:rsidRPr="00EA59C0">
        <w:t>will</w:t>
      </w:r>
      <w:r w:rsidR="00C026A6" w:rsidRPr="00EA59C0">
        <w:t xml:space="preserve"> </w:t>
      </w:r>
      <w:r w:rsidRPr="00EA59C0">
        <w:t>be</w:t>
      </w:r>
      <w:r w:rsidR="00C026A6" w:rsidRPr="00EA59C0">
        <w:t xml:space="preserve"> </w:t>
      </w:r>
      <w:r w:rsidRPr="00EA59C0">
        <w:t>involved</w:t>
      </w:r>
      <w:r w:rsidR="00C026A6" w:rsidRPr="00EA59C0">
        <w:t xml:space="preserve"> </w:t>
      </w:r>
      <w:r w:rsidRPr="00EA59C0">
        <w:t>to</w:t>
      </w:r>
      <w:r w:rsidR="00C026A6" w:rsidRPr="00EA59C0">
        <w:t xml:space="preserve"> </w:t>
      </w:r>
      <w:r w:rsidRPr="00EA59C0">
        <w:t>identify</w:t>
      </w:r>
      <w:r w:rsidR="00C026A6" w:rsidRPr="00EA59C0">
        <w:t xml:space="preserve"> </w:t>
      </w:r>
      <w:r w:rsidRPr="00EA59C0">
        <w:t>clusters</w:t>
      </w:r>
      <w:r w:rsidR="00C026A6" w:rsidRPr="00EA59C0">
        <w:t xml:space="preserve"> </w:t>
      </w:r>
      <w:r w:rsidRPr="00EA59C0">
        <w:t>of</w:t>
      </w:r>
      <w:r w:rsidR="00C026A6" w:rsidRPr="00EA59C0">
        <w:t xml:space="preserve"> </w:t>
      </w:r>
      <w:r w:rsidRPr="00EA59C0">
        <w:t>courses</w:t>
      </w:r>
      <w:r w:rsidR="00C026A6" w:rsidRPr="00EA59C0">
        <w:t xml:space="preserve"> </w:t>
      </w:r>
      <w:r w:rsidRPr="00EA59C0">
        <w:t>and</w:t>
      </w:r>
      <w:r w:rsidR="00C026A6" w:rsidRPr="00EA59C0">
        <w:t xml:space="preserve"> </w:t>
      </w:r>
      <w:r w:rsidRPr="00EA59C0">
        <w:t>related</w:t>
      </w:r>
      <w:r w:rsidR="00C026A6" w:rsidRPr="00EA59C0">
        <w:t xml:space="preserve"> </w:t>
      </w:r>
      <w:r w:rsidRPr="00EA59C0">
        <w:t>credentials</w:t>
      </w:r>
      <w:r w:rsidR="00C026A6" w:rsidRPr="00EA59C0">
        <w:t xml:space="preserve"> </w:t>
      </w:r>
      <w:r w:rsidRPr="00EA59C0">
        <w:t>that</w:t>
      </w:r>
      <w:r w:rsidR="00C026A6" w:rsidRPr="00EA59C0">
        <w:t xml:space="preserve"> </w:t>
      </w:r>
      <w:r w:rsidRPr="00EA59C0">
        <w:t>can</w:t>
      </w:r>
      <w:r w:rsidR="00C026A6" w:rsidRPr="00EA59C0">
        <w:t xml:space="preserve"> </w:t>
      </w:r>
      <w:r w:rsidRPr="00EA59C0">
        <w:t>be</w:t>
      </w:r>
      <w:r w:rsidR="00C026A6" w:rsidRPr="00EA59C0">
        <w:t xml:space="preserve"> </w:t>
      </w:r>
      <w:r w:rsidRPr="00EA59C0">
        <w:t>recognized</w:t>
      </w:r>
      <w:r w:rsidR="00C026A6" w:rsidRPr="00EA59C0">
        <w:t xml:space="preserve"> </w:t>
      </w:r>
      <w:r w:rsidRPr="00EA59C0">
        <w:t>as</w:t>
      </w:r>
      <w:r w:rsidR="00C026A6" w:rsidRPr="00EA59C0">
        <w:t xml:space="preserve"> </w:t>
      </w:r>
      <w:r w:rsidRPr="00EA59C0">
        <w:t>credentials</w:t>
      </w:r>
      <w:r w:rsidR="00C026A6" w:rsidRPr="00EA59C0">
        <w:t xml:space="preserve"> </w:t>
      </w:r>
      <w:r w:rsidRPr="00EA59C0">
        <w:t>valuable</w:t>
      </w:r>
      <w:r w:rsidR="00C026A6" w:rsidRPr="00EA59C0">
        <w:t xml:space="preserve"> </w:t>
      </w:r>
      <w:r w:rsidRPr="00EA59C0">
        <w:t>to</w:t>
      </w:r>
      <w:r w:rsidR="00C026A6" w:rsidRPr="00EA59C0">
        <w:t xml:space="preserve"> </w:t>
      </w:r>
      <w:r w:rsidRPr="00EA59C0">
        <w:t>employers,</w:t>
      </w:r>
      <w:r w:rsidR="00C026A6" w:rsidRPr="00EA59C0">
        <w:t xml:space="preserve"> </w:t>
      </w:r>
      <w:r w:rsidRPr="00EA59C0">
        <w:t>including</w:t>
      </w:r>
      <w:r w:rsidR="00C026A6" w:rsidRPr="00EA59C0">
        <w:t xml:space="preserve"> </w:t>
      </w:r>
      <w:r w:rsidRPr="00EA59C0">
        <w:t>employers</w:t>
      </w:r>
      <w:r w:rsidR="00C026A6" w:rsidRPr="00EA59C0">
        <w:t xml:space="preserve"> </w:t>
      </w:r>
      <w:r w:rsidRPr="00EA59C0">
        <w:t>across</w:t>
      </w:r>
      <w:r w:rsidR="00C026A6" w:rsidRPr="00EA59C0">
        <w:t xml:space="preserve"> </w:t>
      </w:r>
      <w:r w:rsidRPr="00EA59C0">
        <w:t>a</w:t>
      </w:r>
      <w:r w:rsidR="00C026A6" w:rsidRPr="00EA59C0">
        <w:t xml:space="preserve"> </w:t>
      </w:r>
      <w:r w:rsidRPr="00EA59C0">
        <w:t>state</w:t>
      </w:r>
      <w:r w:rsidR="00C026A6" w:rsidRPr="00EA59C0">
        <w:t xml:space="preserve"> </w:t>
      </w:r>
      <w:r w:rsidRPr="00EA59C0">
        <w:t>or</w:t>
      </w:r>
      <w:r w:rsidR="00C026A6" w:rsidRPr="00EA59C0">
        <w:t xml:space="preserve"> </w:t>
      </w:r>
      <w:r w:rsidRPr="00EA59C0">
        <w:t>region,</w:t>
      </w:r>
      <w:r w:rsidR="00C026A6" w:rsidRPr="00EA59C0">
        <w:t xml:space="preserve"> </w:t>
      </w:r>
      <w:r w:rsidRPr="00EA59C0">
        <w:t>or</w:t>
      </w:r>
      <w:r w:rsidR="00C026A6" w:rsidRPr="00EA59C0">
        <w:t xml:space="preserve"> </w:t>
      </w:r>
      <w:r w:rsidRPr="00EA59C0">
        <w:t>credentials</w:t>
      </w:r>
      <w:r w:rsidR="00C026A6" w:rsidRPr="00EA59C0">
        <w:t xml:space="preserve"> </w:t>
      </w:r>
      <w:r w:rsidRPr="00EA59C0">
        <w:t>that</w:t>
      </w:r>
      <w:r w:rsidR="00C026A6" w:rsidRPr="00EA59C0">
        <w:t xml:space="preserve"> </w:t>
      </w:r>
      <w:r w:rsidRPr="00EA59C0">
        <w:t>are</w:t>
      </w:r>
      <w:r w:rsidR="00C026A6" w:rsidRPr="00EA59C0">
        <w:t xml:space="preserve"> </w:t>
      </w:r>
      <w:r w:rsidRPr="00EA59C0">
        <w:t>nationally</w:t>
      </w:r>
      <w:r w:rsidR="00C026A6" w:rsidRPr="00EA59C0">
        <w:t xml:space="preserve"> </w:t>
      </w:r>
      <w:r w:rsidRPr="00EA59C0">
        <w:t>portable.</w:t>
      </w:r>
    </w:p>
    <w:p w:rsidR="0085160D" w:rsidRPr="00EA59C0" w:rsidRDefault="0085160D" w:rsidP="00C072FA">
      <w:pPr>
        <w:ind w:left="3960"/>
      </w:pPr>
    </w:p>
    <w:p w:rsidR="0085160D" w:rsidRPr="00EA59C0" w:rsidRDefault="0085160D" w:rsidP="00C072FA">
      <w:pPr>
        <w:pStyle w:val="ListParagraph"/>
        <w:numPr>
          <w:ilvl w:val="6"/>
          <w:numId w:val="17"/>
        </w:numPr>
      </w:pPr>
      <w:r w:rsidRPr="00EA59C0">
        <w:t>A</w:t>
      </w:r>
      <w:r w:rsidR="00C026A6" w:rsidRPr="00EA59C0">
        <w:t xml:space="preserve"> </w:t>
      </w:r>
      <w:r w:rsidRPr="00EA59C0">
        <w:t>plan</w:t>
      </w:r>
      <w:r w:rsidR="00C026A6" w:rsidRPr="00EA59C0">
        <w:t xml:space="preserve"> </w:t>
      </w:r>
      <w:r w:rsidRPr="00EA59C0">
        <w:t>for</w:t>
      </w:r>
      <w:r w:rsidR="00C026A6" w:rsidRPr="00EA59C0">
        <w:t xml:space="preserve"> </w:t>
      </w:r>
      <w:r w:rsidRPr="00EA59C0">
        <w:t>supporting</w:t>
      </w:r>
      <w:r w:rsidR="00C026A6" w:rsidRPr="00EA59C0">
        <w:t xml:space="preserve"> </w:t>
      </w:r>
      <w:r w:rsidRPr="00EA59C0">
        <w:t>the</w:t>
      </w:r>
      <w:r w:rsidR="00C026A6" w:rsidRPr="00EA59C0">
        <w:t xml:space="preserve"> </w:t>
      </w:r>
      <w:r w:rsidRPr="00EA59C0">
        <w:t>transferability</w:t>
      </w:r>
      <w:r w:rsidR="00C026A6" w:rsidRPr="00EA59C0">
        <w:t xml:space="preserve"> </w:t>
      </w:r>
      <w:r w:rsidRPr="00EA59C0">
        <w:t>and</w:t>
      </w:r>
      <w:r w:rsidR="00C026A6" w:rsidRPr="00EA59C0">
        <w:t xml:space="preserve"> </w:t>
      </w:r>
      <w:r w:rsidRPr="00EA59C0">
        <w:t>articulation</w:t>
      </w:r>
      <w:r w:rsidR="00C026A6" w:rsidRPr="00EA59C0">
        <w:t xml:space="preserve"> </w:t>
      </w:r>
      <w:r w:rsidRPr="00EA59C0">
        <w:t>of</w:t>
      </w:r>
      <w:r w:rsidR="00C026A6" w:rsidRPr="00EA59C0">
        <w:t xml:space="preserve"> </w:t>
      </w:r>
      <w:r w:rsidRPr="00EA59C0">
        <w:t>non-credit</w:t>
      </w:r>
      <w:r w:rsidR="00C026A6" w:rsidRPr="00EA59C0">
        <w:t xml:space="preserve"> </w:t>
      </w:r>
      <w:r w:rsidRPr="00EA59C0">
        <w:t>courses</w:t>
      </w:r>
      <w:r w:rsidR="00C026A6" w:rsidRPr="00EA59C0">
        <w:t xml:space="preserve"> </w:t>
      </w:r>
      <w:r w:rsidRPr="00EA59C0">
        <w:t>and</w:t>
      </w:r>
      <w:r w:rsidR="00C026A6" w:rsidRPr="00EA59C0">
        <w:t xml:space="preserve"> </w:t>
      </w:r>
      <w:r w:rsidRPr="00EA59C0">
        <w:t>academic</w:t>
      </w:r>
      <w:r w:rsidR="00C026A6" w:rsidRPr="00EA59C0">
        <w:t xml:space="preserve"> </w:t>
      </w:r>
      <w:r w:rsidRPr="00EA59C0">
        <w:t>credit</w:t>
      </w:r>
      <w:r w:rsidR="00C026A6" w:rsidRPr="00EA59C0">
        <w:t xml:space="preserve"> </w:t>
      </w:r>
      <w:r w:rsidRPr="00EA59C0">
        <w:t>across</w:t>
      </w:r>
      <w:r w:rsidR="00C026A6" w:rsidRPr="00EA59C0">
        <w:t xml:space="preserve"> </w:t>
      </w:r>
      <w:r w:rsidRPr="00EA59C0">
        <w:t>programs</w:t>
      </w:r>
      <w:r w:rsidR="00C026A6" w:rsidRPr="00EA59C0">
        <w:t xml:space="preserve"> </w:t>
      </w:r>
      <w:r w:rsidRPr="00EA59C0">
        <w:t>and</w:t>
      </w:r>
      <w:r w:rsidR="00C026A6" w:rsidRPr="00EA59C0">
        <w:t xml:space="preserve"> </w:t>
      </w:r>
      <w:r w:rsidRPr="00EA59C0">
        <w:t>institutions</w:t>
      </w:r>
      <w:r w:rsidR="00C026A6" w:rsidRPr="00EA59C0">
        <w:t xml:space="preserve"> </w:t>
      </w:r>
      <w:r w:rsidRPr="00EA59C0">
        <w:t>that</w:t>
      </w:r>
      <w:r w:rsidR="00C026A6" w:rsidRPr="00EA59C0">
        <w:t xml:space="preserve"> </w:t>
      </w:r>
      <w:r w:rsidRPr="00EA59C0">
        <w:t>will</w:t>
      </w:r>
      <w:r w:rsidR="00C026A6" w:rsidRPr="00EA59C0">
        <w:t xml:space="preserve"> </w:t>
      </w:r>
      <w:r w:rsidRPr="00EA59C0">
        <w:t>create</w:t>
      </w:r>
      <w:r w:rsidR="00C026A6" w:rsidRPr="00EA59C0">
        <w:t xml:space="preserve"> </w:t>
      </w:r>
      <w:r w:rsidRPr="00EA59C0">
        <w:t>career</w:t>
      </w:r>
      <w:r w:rsidR="00C026A6" w:rsidRPr="00EA59C0">
        <w:t xml:space="preserve"> </w:t>
      </w:r>
      <w:r w:rsidRPr="00EA59C0">
        <w:t>pathways</w:t>
      </w:r>
      <w:r w:rsidR="00C026A6" w:rsidRPr="00EA59C0">
        <w:t xml:space="preserve"> </w:t>
      </w:r>
      <w:r w:rsidRPr="00EA59C0">
        <w:t>for</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and</w:t>
      </w:r>
      <w:r w:rsidR="00C026A6" w:rsidRPr="00EA59C0">
        <w:t xml:space="preserve"> </w:t>
      </w:r>
      <w:r w:rsidRPr="00EA59C0">
        <w:t>other</w:t>
      </w:r>
      <w:r w:rsidR="00C026A6" w:rsidRPr="00EA59C0">
        <w:t xml:space="preserve"> </w:t>
      </w:r>
      <w:r w:rsidRPr="00EA59C0">
        <w:t>adults</w:t>
      </w:r>
      <w:r w:rsidR="00C026A6" w:rsidRPr="00EA59C0">
        <w:t xml:space="preserve"> </w:t>
      </w:r>
      <w:r w:rsidRPr="00EA59C0">
        <w:t>to</w:t>
      </w:r>
      <w:r w:rsidR="00C026A6" w:rsidRPr="00EA59C0">
        <w:t xml:space="preserve"> </w:t>
      </w:r>
      <w:r w:rsidRPr="00EA59C0">
        <w:t>further</w:t>
      </w:r>
      <w:r w:rsidR="00C026A6" w:rsidRPr="00EA59C0">
        <w:t xml:space="preserve"> </w:t>
      </w:r>
      <w:r w:rsidRPr="00EA59C0">
        <w:t>their</w:t>
      </w:r>
      <w:r w:rsidR="00C026A6" w:rsidRPr="00EA59C0">
        <w:t xml:space="preserve"> </w:t>
      </w:r>
      <w:r w:rsidRPr="00EA59C0">
        <w:t>education.</w:t>
      </w:r>
      <w:r w:rsidR="00C026A6" w:rsidRPr="00EA59C0">
        <w:t xml:space="preserve">  </w:t>
      </w:r>
      <w:r w:rsidRPr="00EA59C0">
        <w:t>This</w:t>
      </w:r>
      <w:r w:rsidR="00C026A6" w:rsidRPr="00EA59C0">
        <w:t xml:space="preserve"> </w:t>
      </w:r>
      <w:r w:rsidRPr="00EA59C0">
        <w:t>includes</w:t>
      </w:r>
      <w:r w:rsidR="00C026A6" w:rsidRPr="00EA59C0">
        <w:t xml:space="preserve"> </w:t>
      </w:r>
      <w:r w:rsidRPr="00EA59C0">
        <w:t>linking</w:t>
      </w:r>
      <w:r w:rsidR="00C026A6" w:rsidRPr="00EA59C0">
        <w:t xml:space="preserve"> </w:t>
      </w:r>
      <w:r w:rsidRPr="00EA59C0">
        <w:t>with</w:t>
      </w:r>
      <w:r w:rsidR="00C026A6" w:rsidRPr="00EA59C0">
        <w:t xml:space="preserve"> </w:t>
      </w:r>
      <w:r w:rsidRPr="00EA59C0">
        <w:t>programs</w:t>
      </w:r>
      <w:r w:rsidR="00C026A6" w:rsidRPr="00EA59C0">
        <w:t xml:space="preserve"> </w:t>
      </w:r>
      <w:r w:rsidRPr="00EA59C0">
        <w:t>such</w:t>
      </w:r>
      <w:r w:rsidR="00C026A6" w:rsidRPr="00EA59C0">
        <w:t xml:space="preserve"> </w:t>
      </w:r>
      <w:r w:rsidRPr="00EA59C0">
        <w:t>as</w:t>
      </w:r>
      <w:r w:rsidR="00C026A6" w:rsidRPr="00EA59C0">
        <w:t xml:space="preserve"> </w:t>
      </w:r>
      <w:r w:rsidRPr="00EA59C0">
        <w:t>postsecondary</w:t>
      </w:r>
      <w:r w:rsidR="00C026A6" w:rsidRPr="00EA59C0">
        <w:t xml:space="preserve"> </w:t>
      </w:r>
      <w:r w:rsidRPr="00EA59C0">
        <w:t>career</w:t>
      </w:r>
      <w:r w:rsidR="00C026A6" w:rsidRPr="00EA59C0">
        <w:t xml:space="preserve"> </w:t>
      </w:r>
      <w:r w:rsidRPr="00EA59C0">
        <w:t>and</w:t>
      </w:r>
      <w:r w:rsidR="00C026A6" w:rsidRPr="00EA59C0">
        <w:t xml:space="preserve"> </w:t>
      </w:r>
      <w:r w:rsidRPr="00EA59C0">
        <w:t>technical</w:t>
      </w:r>
      <w:r w:rsidR="00C026A6" w:rsidRPr="00EA59C0">
        <w:t xml:space="preserve"> </w:t>
      </w:r>
      <w:r w:rsidRPr="00EA59C0">
        <w:t>education,</w:t>
      </w:r>
      <w:r w:rsidR="00C026A6" w:rsidRPr="00EA59C0">
        <w:t xml:space="preserve"> </w:t>
      </w:r>
      <w:r w:rsidRPr="00EA59C0">
        <w:t>pre-</w:t>
      </w:r>
      <w:r w:rsidR="00C026A6" w:rsidRPr="00EA59C0">
        <w:t xml:space="preserve"> </w:t>
      </w:r>
      <w:r w:rsidRPr="00EA59C0">
        <w:t>apprenticeship</w:t>
      </w:r>
      <w:r w:rsidR="00C026A6" w:rsidRPr="00EA59C0">
        <w:t xml:space="preserve"> </w:t>
      </w:r>
      <w:r w:rsidRPr="00EA59C0">
        <w:t>and</w:t>
      </w:r>
      <w:r w:rsidR="00C026A6" w:rsidRPr="00EA59C0">
        <w:t xml:space="preserve"> </w:t>
      </w:r>
      <w:r w:rsidRPr="00EA59C0">
        <w:t>Registered</w:t>
      </w:r>
      <w:r w:rsidR="00C026A6" w:rsidRPr="00EA59C0">
        <w:t xml:space="preserve"> </w:t>
      </w:r>
      <w:r w:rsidRPr="00EA59C0">
        <w:t>Apprenticeship</w:t>
      </w:r>
      <w:r w:rsidR="00C026A6" w:rsidRPr="00EA59C0">
        <w:t xml:space="preserve"> </w:t>
      </w:r>
      <w:r w:rsidRPr="00EA59C0">
        <w:t>programs,</w:t>
      </w:r>
      <w:r w:rsidR="00C026A6" w:rsidRPr="00EA59C0">
        <w:t xml:space="preserve"> </w:t>
      </w:r>
      <w:r w:rsidRPr="00EA59C0">
        <w:t>and</w:t>
      </w:r>
      <w:r w:rsidR="00C026A6" w:rsidRPr="00EA59C0">
        <w:t xml:space="preserve"> </w:t>
      </w:r>
      <w:r w:rsidRPr="00EA59C0">
        <w:t>other</w:t>
      </w:r>
      <w:r w:rsidR="00C026A6" w:rsidRPr="00EA59C0">
        <w:t xml:space="preserve"> </w:t>
      </w:r>
      <w:r w:rsidRPr="00EA59C0">
        <w:t>programs</w:t>
      </w:r>
      <w:r w:rsidR="00C026A6" w:rsidRPr="00EA59C0">
        <w:t xml:space="preserve"> </w:t>
      </w:r>
      <w:r w:rsidRPr="00EA59C0">
        <w:t>that</w:t>
      </w:r>
      <w:r w:rsidR="00C026A6" w:rsidRPr="00EA59C0">
        <w:t xml:space="preserve"> </w:t>
      </w:r>
      <w:r w:rsidRPr="00EA59C0">
        <w:t>lead</w:t>
      </w:r>
      <w:r w:rsidR="00C026A6" w:rsidRPr="00EA59C0">
        <w:t xml:space="preserve"> </w:t>
      </w:r>
      <w:r w:rsidRPr="00EA59C0">
        <w:t>to</w:t>
      </w:r>
      <w:r w:rsidR="00C026A6" w:rsidRPr="00EA59C0">
        <w:t xml:space="preserve"> </w:t>
      </w:r>
      <w:r w:rsidRPr="00EA59C0">
        <w:t>credit-bearing</w:t>
      </w:r>
      <w:r w:rsidR="00C026A6" w:rsidRPr="00EA59C0">
        <w:t xml:space="preserve"> </w:t>
      </w:r>
      <w:r w:rsidRPr="00EA59C0">
        <w:t>coursework</w:t>
      </w:r>
      <w:r w:rsidR="00C026A6" w:rsidRPr="00EA59C0">
        <w:t xml:space="preserve"> </w:t>
      </w:r>
      <w:r w:rsidRPr="00EA59C0">
        <w:t>and</w:t>
      </w:r>
      <w:r w:rsidR="00C026A6" w:rsidRPr="00EA59C0">
        <w:t xml:space="preserve"> </w:t>
      </w:r>
      <w:r w:rsidRPr="00EA59C0">
        <w:t>employment.</w:t>
      </w:r>
      <w:r w:rsidR="00C026A6" w:rsidRPr="00EA59C0">
        <w:t xml:space="preserve">  </w:t>
      </w:r>
      <w:r w:rsidRPr="00EA59C0">
        <w:t>The</w:t>
      </w:r>
      <w:r w:rsidR="00C026A6" w:rsidRPr="00EA59C0">
        <w:t xml:space="preserve"> </w:t>
      </w:r>
      <w:r w:rsidRPr="00EA59C0">
        <w:t>applicant</w:t>
      </w:r>
      <w:r w:rsidR="00C026A6" w:rsidRPr="00EA59C0">
        <w:t xml:space="preserve"> </w:t>
      </w:r>
      <w:r w:rsidR="00113E3F" w:rsidRPr="00EA59C0">
        <w:t>must</w:t>
      </w:r>
      <w:r w:rsidR="00C026A6" w:rsidRPr="00EA59C0">
        <w:t xml:space="preserve"> </w:t>
      </w:r>
      <w:r w:rsidRPr="00EA59C0">
        <w:t>provide</w:t>
      </w:r>
      <w:r w:rsidR="00C026A6" w:rsidRPr="00EA59C0">
        <w:t xml:space="preserve"> </w:t>
      </w:r>
      <w:r w:rsidRPr="00EA59C0">
        <w:t>the</w:t>
      </w:r>
      <w:r w:rsidR="00C026A6" w:rsidRPr="00EA59C0">
        <w:t xml:space="preserve"> </w:t>
      </w:r>
      <w:r w:rsidRPr="00EA59C0">
        <w:t>names</w:t>
      </w:r>
      <w:r w:rsidR="00C026A6" w:rsidRPr="00EA59C0">
        <w:t xml:space="preserve"> </w:t>
      </w:r>
      <w:r w:rsidRPr="00EA59C0">
        <w:t>of</w:t>
      </w:r>
      <w:r w:rsidR="00C026A6" w:rsidRPr="00EA59C0">
        <w:t xml:space="preserve"> </w:t>
      </w:r>
      <w:r w:rsidRPr="00EA59C0">
        <w:t>the</w:t>
      </w:r>
      <w:r w:rsidR="00C026A6" w:rsidRPr="00EA59C0">
        <w:t xml:space="preserve"> </w:t>
      </w:r>
      <w:r w:rsidRPr="00EA59C0">
        <w:t>institutions</w:t>
      </w:r>
      <w:r w:rsidR="00C026A6" w:rsidRPr="00EA59C0">
        <w:t xml:space="preserve"> </w:t>
      </w:r>
      <w:r w:rsidRPr="00EA59C0">
        <w:t>it</w:t>
      </w:r>
      <w:r w:rsidR="00C026A6" w:rsidRPr="00EA59C0">
        <w:t xml:space="preserve"> </w:t>
      </w:r>
      <w:r w:rsidRPr="00EA59C0">
        <w:t>plans</w:t>
      </w:r>
      <w:r w:rsidR="00C026A6" w:rsidRPr="00EA59C0">
        <w:t xml:space="preserve"> </w:t>
      </w:r>
      <w:r w:rsidRPr="00EA59C0">
        <w:t>to</w:t>
      </w:r>
      <w:r w:rsidR="00C026A6" w:rsidRPr="00EA59C0">
        <w:t xml:space="preserve"> </w:t>
      </w:r>
      <w:r w:rsidRPr="00EA59C0">
        <w:t>work</w:t>
      </w:r>
      <w:r w:rsidR="00C026A6" w:rsidRPr="00EA59C0">
        <w:t xml:space="preserve"> </w:t>
      </w:r>
      <w:r w:rsidRPr="00EA59C0">
        <w:t>with</w:t>
      </w:r>
      <w:r w:rsidR="00C026A6" w:rsidRPr="00EA59C0">
        <w:t xml:space="preserve"> </w:t>
      </w:r>
      <w:r w:rsidRPr="00EA59C0">
        <w:t>and</w:t>
      </w:r>
      <w:r w:rsidR="00C026A6" w:rsidRPr="00EA59C0">
        <w:t xml:space="preserve"> </w:t>
      </w:r>
      <w:r w:rsidRPr="00EA59C0">
        <w:t>explain</w:t>
      </w:r>
      <w:r w:rsidR="00C026A6" w:rsidRPr="00EA59C0">
        <w:t xml:space="preserve"> </w:t>
      </w:r>
      <w:r w:rsidRPr="00EA59C0">
        <w:t>efforts</w:t>
      </w:r>
      <w:r w:rsidR="00C026A6" w:rsidRPr="00EA59C0">
        <w:t xml:space="preserve"> </w:t>
      </w:r>
      <w:r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undertaken</w:t>
      </w:r>
      <w:r w:rsidR="00C026A6" w:rsidRPr="00EA59C0">
        <w:t xml:space="preserve"> </w:t>
      </w:r>
      <w:r w:rsidRPr="00EA59C0">
        <w:t>with</w:t>
      </w:r>
      <w:r w:rsidR="00C026A6" w:rsidRPr="00EA59C0">
        <w:t xml:space="preserve"> </w:t>
      </w:r>
      <w:r w:rsidRPr="00EA59C0">
        <w:t>them</w:t>
      </w:r>
      <w:r w:rsidR="00C026A6" w:rsidRPr="00EA59C0">
        <w:t xml:space="preserve"> </w:t>
      </w:r>
      <w:r w:rsidRPr="00EA59C0">
        <w:t>to</w:t>
      </w:r>
      <w:r w:rsidR="00C026A6" w:rsidRPr="00EA59C0">
        <w:t xml:space="preserve"> </w:t>
      </w:r>
      <w:r w:rsidRPr="00EA59C0">
        <w:t>standardize</w:t>
      </w:r>
      <w:r w:rsidR="00C026A6" w:rsidRPr="00EA59C0">
        <w:t xml:space="preserve"> </w:t>
      </w:r>
      <w:r w:rsidRPr="00EA59C0">
        <w:t>credentials,</w:t>
      </w:r>
      <w:r w:rsidR="00C026A6" w:rsidRPr="00EA59C0">
        <w:t xml:space="preserve"> </w:t>
      </w:r>
      <w:r w:rsidRPr="00EA59C0">
        <w:t>and</w:t>
      </w:r>
      <w:r w:rsidR="00C026A6" w:rsidRPr="00EA59C0">
        <w:t xml:space="preserve"> </w:t>
      </w:r>
      <w:r w:rsidRPr="00EA59C0">
        <w:t>describe</w:t>
      </w:r>
      <w:r w:rsidR="00C026A6" w:rsidRPr="00EA59C0">
        <w:t xml:space="preserve"> </w:t>
      </w:r>
      <w:r w:rsidRPr="00EA59C0">
        <w:t>the</w:t>
      </w:r>
      <w:r w:rsidR="00C026A6" w:rsidRPr="00EA59C0">
        <w:t xml:space="preserve"> </w:t>
      </w:r>
      <w:r w:rsidRPr="00EA59C0">
        <w:t>steps</w:t>
      </w:r>
      <w:r w:rsidR="00C026A6" w:rsidRPr="00EA59C0">
        <w:t xml:space="preserve"> </w:t>
      </w:r>
      <w:r w:rsidRPr="00EA59C0">
        <w:t>and</w:t>
      </w:r>
      <w:r w:rsidR="00C026A6" w:rsidRPr="00EA59C0">
        <w:t xml:space="preserve"> </w:t>
      </w:r>
      <w:r w:rsidRPr="00EA59C0">
        <w:t>approvals</w:t>
      </w:r>
      <w:r w:rsidR="00C026A6" w:rsidRPr="00EA59C0">
        <w:t xml:space="preserve"> </w:t>
      </w:r>
      <w:r w:rsidRPr="00EA59C0">
        <w:t>necessary</w:t>
      </w:r>
      <w:r w:rsidR="00C026A6" w:rsidRPr="00EA59C0">
        <w:t xml:space="preserve"> </w:t>
      </w:r>
      <w:r w:rsidRPr="00EA59C0">
        <w:t>for</w:t>
      </w:r>
      <w:r w:rsidR="00C026A6" w:rsidRPr="00EA59C0">
        <w:t xml:space="preserve"> </w:t>
      </w:r>
      <w:r w:rsidRPr="00EA59C0">
        <w:t>transferability</w:t>
      </w:r>
      <w:r w:rsidR="00C026A6" w:rsidRPr="00EA59C0">
        <w:t xml:space="preserve"> </w:t>
      </w:r>
      <w:r w:rsidRPr="00EA59C0">
        <w:t>to</w:t>
      </w:r>
      <w:r w:rsidR="00C026A6" w:rsidRPr="00EA59C0">
        <w:t xml:space="preserve"> </w:t>
      </w:r>
      <w:r w:rsidRPr="00EA59C0">
        <w:t>become</w:t>
      </w:r>
      <w:r w:rsidR="00C026A6" w:rsidRPr="00EA59C0">
        <w:t xml:space="preserve"> </w:t>
      </w:r>
      <w:r w:rsidRPr="00EA59C0">
        <w:t>effective,</w:t>
      </w:r>
      <w:r w:rsidR="00C026A6" w:rsidRPr="00EA59C0">
        <w:t xml:space="preserve"> </w:t>
      </w:r>
      <w:r w:rsidRPr="00EA59C0">
        <w:t>including</w:t>
      </w:r>
      <w:r w:rsidR="00C026A6" w:rsidRPr="00EA59C0">
        <w:t xml:space="preserve"> </w:t>
      </w:r>
      <w:r w:rsidRPr="00EA59C0">
        <w:t>the</w:t>
      </w:r>
      <w:r w:rsidR="00C026A6" w:rsidRPr="00EA59C0">
        <w:t xml:space="preserve"> </w:t>
      </w:r>
      <w:r w:rsidRPr="00EA59C0">
        <w:t>anticipated</w:t>
      </w:r>
      <w:r w:rsidR="00C026A6" w:rsidRPr="00EA59C0">
        <w:t xml:space="preserve"> </w:t>
      </w:r>
      <w:r w:rsidRPr="00EA59C0">
        <w:t>time</w:t>
      </w:r>
      <w:r w:rsidR="00C026A6" w:rsidRPr="00EA59C0">
        <w:t xml:space="preserve"> </w:t>
      </w:r>
      <w:r w:rsidRPr="00EA59C0">
        <w:t>these</w:t>
      </w:r>
      <w:r w:rsidR="00C026A6" w:rsidRPr="00EA59C0">
        <w:t xml:space="preserve"> </w:t>
      </w:r>
      <w:r w:rsidRPr="00EA59C0">
        <w:t>steps</w:t>
      </w:r>
      <w:r w:rsidR="00C026A6" w:rsidRPr="00EA59C0">
        <w:t xml:space="preserve"> </w:t>
      </w:r>
      <w:r w:rsidRPr="00EA59C0">
        <w:t>will</w:t>
      </w:r>
      <w:r w:rsidR="00C026A6" w:rsidRPr="00EA59C0">
        <w:t xml:space="preserve"> </w:t>
      </w:r>
      <w:r w:rsidRPr="00EA59C0">
        <w:t>take.</w:t>
      </w:r>
    </w:p>
    <w:p w:rsidR="007246BC" w:rsidRPr="00EA59C0" w:rsidRDefault="007246BC" w:rsidP="00C072FA">
      <w:pPr>
        <w:ind w:left="3600"/>
      </w:pPr>
    </w:p>
    <w:p w:rsidR="0085160D" w:rsidRPr="00EA59C0" w:rsidRDefault="0085160D" w:rsidP="00C072FA">
      <w:pPr>
        <w:pStyle w:val="ListParagraph"/>
        <w:ind w:left="2160"/>
      </w:pPr>
      <w:r w:rsidRPr="00EA59C0">
        <w:t>For</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a</w:t>
      </w:r>
      <w:r w:rsidR="00C026A6" w:rsidRPr="00EA59C0">
        <w:t xml:space="preserve"> </w:t>
      </w:r>
      <w:r w:rsidRPr="00EA59C0">
        <w:t>plan</w:t>
      </w:r>
      <w:r w:rsidR="00C026A6" w:rsidRPr="00EA59C0">
        <w:t xml:space="preserve"> </w:t>
      </w:r>
      <w:r w:rsidR="0067341B" w:rsidRPr="00EA59C0">
        <w:t>must</w:t>
      </w:r>
      <w:r w:rsidR="00C026A6" w:rsidRPr="00EA59C0">
        <w:t xml:space="preserve"> </w:t>
      </w:r>
      <w:r w:rsidRPr="00EA59C0">
        <w:t>be</w:t>
      </w:r>
      <w:r w:rsidR="00C026A6" w:rsidRPr="00EA59C0">
        <w:t xml:space="preserve"> </w:t>
      </w:r>
      <w:r w:rsidRPr="00EA59C0">
        <w:t>provided</w:t>
      </w:r>
      <w:r w:rsidR="00C026A6" w:rsidRPr="00EA59C0">
        <w:t xml:space="preserve"> </w:t>
      </w:r>
      <w:r w:rsidRPr="00EA59C0">
        <w:t>that</w:t>
      </w:r>
      <w:r w:rsidR="00C026A6" w:rsidRPr="00EA59C0">
        <w:t xml:space="preserve"> </w:t>
      </w:r>
      <w:r w:rsidRPr="00EA59C0">
        <w:t>describes</w:t>
      </w:r>
      <w:r w:rsidR="00C026A6" w:rsidRPr="00EA59C0">
        <w:t xml:space="preserve"> </w:t>
      </w:r>
      <w:r w:rsidRPr="00EA59C0">
        <w:t>the</w:t>
      </w:r>
      <w:r w:rsidR="00C026A6" w:rsidRPr="00EA59C0">
        <w:t xml:space="preserve"> </w:t>
      </w:r>
      <w:r w:rsidRPr="00EA59C0">
        <w:t>steps</w:t>
      </w:r>
      <w:r w:rsidR="00C026A6" w:rsidRPr="00EA59C0">
        <w:t xml:space="preserve"> </w:t>
      </w:r>
      <w:r w:rsidRPr="00EA59C0">
        <w:t>and</w:t>
      </w:r>
      <w:r w:rsidR="00C026A6" w:rsidRPr="00EA59C0">
        <w:t xml:space="preserve"> </w:t>
      </w:r>
      <w:r w:rsidRPr="00EA59C0">
        <w:t>approvals</w:t>
      </w:r>
      <w:r w:rsidR="00C026A6" w:rsidRPr="00EA59C0">
        <w:t xml:space="preserve"> </w:t>
      </w:r>
      <w:r w:rsidRPr="00EA59C0">
        <w:t>necessary</w:t>
      </w:r>
      <w:r w:rsidR="00C026A6" w:rsidRPr="00EA59C0">
        <w:t xml:space="preserve"> </w:t>
      </w:r>
      <w:r w:rsidRPr="00EA59C0">
        <w:t>for</w:t>
      </w:r>
      <w:r w:rsidR="00C026A6" w:rsidRPr="00EA59C0">
        <w:t xml:space="preserve"> </w:t>
      </w:r>
      <w:r w:rsidRPr="00EA59C0">
        <w:t>articulation</w:t>
      </w:r>
      <w:r w:rsidR="00C026A6" w:rsidRPr="00EA59C0">
        <w:t xml:space="preserve"> </w:t>
      </w:r>
      <w:r w:rsidRPr="00EA59C0">
        <w:t>of</w:t>
      </w:r>
      <w:r w:rsidR="00C026A6" w:rsidRPr="00EA59C0">
        <w:t xml:space="preserve"> </w:t>
      </w:r>
      <w:r w:rsidRPr="00EA59C0">
        <w:t>all</w:t>
      </w:r>
      <w:r w:rsidR="00C026A6" w:rsidRPr="00EA59C0">
        <w:t xml:space="preserve"> </w:t>
      </w:r>
      <w:r w:rsidRPr="00EA59C0">
        <w:t>TAACCCT-funded</w:t>
      </w:r>
      <w:r w:rsidR="00C026A6" w:rsidRPr="00EA59C0">
        <w:t xml:space="preserve"> </w:t>
      </w:r>
      <w:r w:rsidRPr="00EA59C0">
        <w:t>courses</w:t>
      </w:r>
      <w:r w:rsidR="00C026A6" w:rsidRPr="00EA59C0">
        <w:t xml:space="preserve"> </w:t>
      </w:r>
      <w:r w:rsidRPr="00EA59C0">
        <w:t>offered</w:t>
      </w:r>
      <w:r w:rsidR="00C026A6" w:rsidRPr="00EA59C0">
        <w:t xml:space="preserve"> </w:t>
      </w:r>
      <w:r w:rsidRPr="00EA59C0">
        <w:t>by</w:t>
      </w:r>
      <w:r w:rsidR="00C026A6" w:rsidRPr="00EA59C0">
        <w:t xml:space="preserve"> </w:t>
      </w:r>
      <w:r w:rsidRPr="00EA59C0">
        <w:t>all</w:t>
      </w:r>
      <w:r w:rsidR="00C026A6" w:rsidRPr="00EA59C0">
        <w:t xml:space="preserve"> </w:t>
      </w:r>
      <w:r w:rsidRPr="00EA59C0">
        <w:t>institutions</w:t>
      </w:r>
      <w:r w:rsidR="00C026A6" w:rsidRPr="00EA59C0">
        <w:t xml:space="preserve"> </w:t>
      </w:r>
      <w:r w:rsidRPr="00EA59C0">
        <w:t>in</w:t>
      </w:r>
      <w:r w:rsidR="00C026A6" w:rsidRPr="00EA59C0">
        <w:t xml:space="preserve"> </w:t>
      </w:r>
      <w:r w:rsidRPr="00EA59C0">
        <w:t>the</w:t>
      </w:r>
      <w:r w:rsidR="00C026A6" w:rsidRPr="00EA59C0">
        <w:t xml:space="preserve"> </w:t>
      </w:r>
      <w:r w:rsidRPr="00EA59C0">
        <w:t>consortium</w:t>
      </w:r>
      <w:r w:rsidR="00C026A6" w:rsidRPr="00EA59C0">
        <w:t xml:space="preserve"> </w:t>
      </w:r>
      <w:r w:rsidRPr="00EA59C0">
        <w:t>to</w:t>
      </w:r>
      <w:r w:rsidR="00C026A6" w:rsidRPr="00EA59C0">
        <w:t xml:space="preserve"> </w:t>
      </w:r>
      <w:r w:rsidRPr="00EA59C0">
        <w:t>become</w:t>
      </w:r>
      <w:r w:rsidR="00C026A6" w:rsidRPr="00EA59C0">
        <w:t xml:space="preserve"> </w:t>
      </w:r>
      <w:r w:rsidRPr="00EA59C0">
        <w:t>effective,</w:t>
      </w:r>
      <w:r w:rsidR="00C026A6" w:rsidRPr="00EA59C0">
        <w:t xml:space="preserve"> </w:t>
      </w:r>
      <w:r w:rsidRPr="00EA59C0">
        <w:t>including</w:t>
      </w:r>
      <w:r w:rsidR="00C026A6" w:rsidRPr="00EA59C0">
        <w:t xml:space="preserve"> </w:t>
      </w:r>
      <w:r w:rsidRPr="00EA59C0">
        <w:t>the</w:t>
      </w:r>
      <w:r w:rsidR="00C026A6" w:rsidRPr="00EA59C0">
        <w:t xml:space="preserve"> </w:t>
      </w:r>
      <w:r w:rsidRPr="00EA59C0">
        <w:t>anticipated</w:t>
      </w:r>
      <w:r w:rsidR="00C026A6" w:rsidRPr="00EA59C0">
        <w:t xml:space="preserve"> </w:t>
      </w:r>
      <w:r w:rsidRPr="00EA59C0">
        <w:t>time</w:t>
      </w:r>
      <w:r w:rsidR="00C026A6" w:rsidRPr="00EA59C0">
        <w:t xml:space="preserve"> </w:t>
      </w:r>
      <w:r w:rsidRPr="00EA59C0">
        <w:t>these</w:t>
      </w:r>
      <w:r w:rsidR="00C026A6" w:rsidRPr="00EA59C0">
        <w:t xml:space="preserve"> </w:t>
      </w:r>
      <w:r w:rsidRPr="00EA59C0">
        <w:t>steps</w:t>
      </w:r>
      <w:r w:rsidR="00C026A6" w:rsidRPr="00EA59C0">
        <w:t xml:space="preserve"> </w:t>
      </w:r>
      <w:r w:rsidRPr="00EA59C0">
        <w:t>will</w:t>
      </w:r>
      <w:r w:rsidR="00C026A6" w:rsidRPr="00EA59C0">
        <w:t xml:space="preserve"> </w:t>
      </w:r>
      <w:r w:rsidRPr="00EA59C0">
        <w:t>take.</w:t>
      </w:r>
      <w:r w:rsidR="00C026A6" w:rsidRPr="00EA59C0">
        <w:t xml:space="preserve"> </w:t>
      </w:r>
    </w:p>
    <w:p w:rsidR="0085160D" w:rsidRPr="00EA59C0" w:rsidRDefault="0085160D" w:rsidP="00C072FA">
      <w:r w:rsidRPr="00EA59C0">
        <w:tab/>
      </w:r>
    </w:p>
    <w:p w:rsidR="0085160D" w:rsidRPr="00EA59C0" w:rsidRDefault="0085160D" w:rsidP="00C072FA">
      <w:pPr>
        <w:pStyle w:val="ListParagraph"/>
        <w:numPr>
          <w:ilvl w:val="5"/>
          <w:numId w:val="17"/>
        </w:numPr>
        <w:rPr>
          <w:b/>
        </w:rPr>
      </w:pPr>
      <w:r w:rsidRPr="00EA59C0">
        <w:rPr>
          <w:b/>
        </w:rPr>
        <w:t>Advanced</w:t>
      </w:r>
      <w:r w:rsidR="00C026A6" w:rsidRPr="00EA59C0">
        <w:rPr>
          <w:b/>
        </w:rPr>
        <w:t xml:space="preserve"> </w:t>
      </w:r>
      <w:r w:rsidRPr="00EA59C0">
        <w:rPr>
          <w:b/>
        </w:rPr>
        <w:t>Online</w:t>
      </w:r>
      <w:r w:rsidR="00C026A6" w:rsidRPr="00EA59C0">
        <w:rPr>
          <w:b/>
        </w:rPr>
        <w:t xml:space="preserve"> </w:t>
      </w:r>
      <w:r w:rsidRPr="00EA59C0">
        <w:rPr>
          <w:b/>
        </w:rPr>
        <w:t>and</w:t>
      </w:r>
      <w:r w:rsidR="00C026A6" w:rsidRPr="00EA59C0">
        <w:rPr>
          <w:b/>
        </w:rPr>
        <w:t xml:space="preserve"> </w:t>
      </w:r>
      <w:r w:rsidRPr="00EA59C0">
        <w:rPr>
          <w:b/>
        </w:rPr>
        <w:t>Technology-Enabled</w:t>
      </w:r>
      <w:r w:rsidR="00C026A6" w:rsidRPr="00EA59C0">
        <w:rPr>
          <w:b/>
        </w:rPr>
        <w:t xml:space="preserve"> </w:t>
      </w:r>
      <w:r w:rsidRPr="00EA59C0">
        <w:rPr>
          <w:b/>
        </w:rPr>
        <w:t>Learning</w:t>
      </w:r>
    </w:p>
    <w:p w:rsidR="0085160D" w:rsidRPr="00EA59C0" w:rsidRDefault="0085160D" w:rsidP="00C072FA">
      <w:pPr>
        <w:ind w:left="2160"/>
      </w:pPr>
      <w:r w:rsidRPr="00EA59C0">
        <w:t>Applicants</w:t>
      </w:r>
      <w:r w:rsidR="00C026A6" w:rsidRPr="00EA59C0">
        <w:t xml:space="preserve"> </w:t>
      </w:r>
      <w:r w:rsidRPr="00EA59C0">
        <w:t>must</w:t>
      </w:r>
      <w:r w:rsidR="00C026A6" w:rsidRPr="00EA59C0">
        <w:t xml:space="preserve"> </w:t>
      </w:r>
      <w:r w:rsidRPr="00EA59C0">
        <w:t>incorporate</w:t>
      </w:r>
      <w:r w:rsidR="00C026A6" w:rsidRPr="00EA59C0">
        <w:t xml:space="preserve"> </w:t>
      </w:r>
      <w:r w:rsidRPr="00EA59C0">
        <w:t>online</w:t>
      </w:r>
      <w:r w:rsidR="00C026A6" w:rsidRPr="00EA59C0">
        <w:t xml:space="preserve"> </w:t>
      </w:r>
      <w:r w:rsidRPr="00EA59C0">
        <w:t>and/or</w:t>
      </w:r>
      <w:r w:rsidR="00C026A6" w:rsidRPr="00EA59C0">
        <w:t xml:space="preserve"> </w:t>
      </w:r>
      <w:r w:rsidRPr="00EA59C0">
        <w:t>technology-enabled</w:t>
      </w:r>
      <w:r w:rsidR="00C026A6" w:rsidRPr="00EA59C0">
        <w:t xml:space="preserve"> </w:t>
      </w:r>
      <w:r w:rsidRPr="00EA59C0">
        <w:t>learning</w:t>
      </w:r>
      <w:r w:rsidR="00C026A6" w:rsidRPr="00EA59C0">
        <w:t xml:space="preserve"> </w:t>
      </w:r>
      <w:r w:rsidRPr="00EA59C0">
        <w:t>strategies</w:t>
      </w:r>
      <w:r w:rsidR="00C026A6" w:rsidRPr="00EA59C0">
        <w:t xml:space="preserve"> </w:t>
      </w:r>
      <w:r w:rsidRPr="00EA59C0">
        <w:t>into</w:t>
      </w:r>
      <w:r w:rsidR="00C026A6" w:rsidRPr="00EA59C0">
        <w:t xml:space="preserve"> </w:t>
      </w:r>
      <w:r w:rsidRPr="00EA59C0">
        <w:t>their</w:t>
      </w:r>
      <w:r w:rsidR="00C026A6" w:rsidRPr="00EA59C0">
        <w:t xml:space="preserve"> </w:t>
      </w:r>
      <w:r w:rsidRPr="00EA59C0">
        <w:t>program</w:t>
      </w:r>
      <w:r w:rsidR="00C026A6" w:rsidRPr="00EA59C0">
        <w:t xml:space="preserve"> </w:t>
      </w:r>
      <w:r w:rsidRPr="00EA59C0">
        <w:t>design.</w:t>
      </w:r>
      <w:r w:rsidR="00C026A6" w:rsidRPr="00EA59C0">
        <w:t xml:space="preserve">  </w:t>
      </w:r>
      <w:r w:rsidRPr="00EA59C0">
        <w:t>Online</w:t>
      </w:r>
      <w:r w:rsidR="00C026A6" w:rsidRPr="00EA59C0">
        <w:t xml:space="preserve"> </w:t>
      </w:r>
      <w:r w:rsidRPr="00EA59C0">
        <w:t>and</w:t>
      </w:r>
      <w:r w:rsidR="00C026A6" w:rsidRPr="00EA59C0">
        <w:t xml:space="preserve"> </w:t>
      </w:r>
      <w:r w:rsidRPr="00EA59C0">
        <w:t>technology-enabled</w:t>
      </w:r>
      <w:r w:rsidR="00C026A6" w:rsidRPr="00EA59C0">
        <w:t xml:space="preserve"> </w:t>
      </w:r>
      <w:r w:rsidRPr="00EA59C0">
        <w:t>learning</w:t>
      </w:r>
      <w:r w:rsidR="00C026A6" w:rsidRPr="00EA59C0">
        <w:t xml:space="preserve"> </w:t>
      </w:r>
      <w:r w:rsidRPr="00EA59C0">
        <w:t>strategies</w:t>
      </w:r>
      <w:r w:rsidR="00C026A6" w:rsidRPr="00EA59C0">
        <w:t xml:space="preserve"> </w:t>
      </w:r>
      <w:r w:rsidRPr="00EA59C0">
        <w:t>provide</w:t>
      </w:r>
      <w:r w:rsidR="00C026A6" w:rsidRPr="00EA59C0">
        <w:t xml:space="preserve"> </w:t>
      </w:r>
      <w:r w:rsidRPr="00EA59C0">
        <w:t>adults</w:t>
      </w:r>
      <w:r w:rsidR="00C026A6" w:rsidRPr="00EA59C0">
        <w:t xml:space="preserve"> </w:t>
      </w:r>
      <w:r w:rsidRPr="00EA59C0">
        <w:t>with</w:t>
      </w:r>
      <w:r w:rsidR="00C026A6" w:rsidRPr="00EA59C0">
        <w:t xml:space="preserve"> </w:t>
      </w:r>
      <w:r w:rsidRPr="00EA59C0">
        <w:t>an</w:t>
      </w:r>
      <w:r w:rsidR="00C026A6" w:rsidRPr="00EA59C0">
        <w:t xml:space="preserve"> </w:t>
      </w:r>
      <w:r w:rsidRPr="00EA59C0">
        <w:t>opportunity</w:t>
      </w:r>
      <w:r w:rsidR="00C026A6" w:rsidRPr="00EA59C0">
        <w:t xml:space="preserve"> </w:t>
      </w:r>
      <w:r w:rsidRPr="00EA59C0">
        <w:t>to</w:t>
      </w:r>
      <w:r w:rsidR="00C026A6" w:rsidRPr="00EA59C0">
        <w:t xml:space="preserve"> </w:t>
      </w:r>
      <w:r w:rsidRPr="00EA59C0">
        <w:t>balance</w:t>
      </w:r>
      <w:r w:rsidR="00C026A6" w:rsidRPr="00EA59C0">
        <w:t xml:space="preserve"> </w:t>
      </w:r>
      <w:r w:rsidRPr="00EA59C0">
        <w:t>the</w:t>
      </w:r>
      <w:r w:rsidR="00C026A6" w:rsidRPr="00EA59C0">
        <w:t xml:space="preserve"> </w:t>
      </w:r>
      <w:r w:rsidRPr="00EA59C0">
        <w:t>competing</w:t>
      </w:r>
      <w:r w:rsidR="00C026A6" w:rsidRPr="00EA59C0">
        <w:t xml:space="preserve"> </w:t>
      </w:r>
      <w:r w:rsidRPr="00EA59C0">
        <w:t>demands</w:t>
      </w:r>
      <w:r w:rsidR="00C026A6" w:rsidRPr="00EA59C0">
        <w:t xml:space="preserve"> </w:t>
      </w:r>
      <w:r w:rsidRPr="00EA59C0">
        <w:t>of</w:t>
      </w:r>
      <w:r w:rsidR="00C026A6" w:rsidRPr="00EA59C0">
        <w:t xml:space="preserve"> </w:t>
      </w:r>
      <w:r w:rsidRPr="00EA59C0">
        <w:t>work</w:t>
      </w:r>
      <w:r w:rsidR="00C026A6" w:rsidRPr="00EA59C0">
        <w:t xml:space="preserve"> </w:t>
      </w:r>
      <w:r w:rsidRPr="00EA59C0">
        <w:t>and</w:t>
      </w:r>
      <w:r w:rsidR="00C026A6" w:rsidRPr="00EA59C0">
        <w:t xml:space="preserve"> </w:t>
      </w:r>
      <w:r w:rsidRPr="00EA59C0">
        <w:t>family</w:t>
      </w:r>
      <w:r w:rsidR="00C026A6" w:rsidRPr="00EA59C0">
        <w:t xml:space="preserve"> </w:t>
      </w:r>
      <w:r w:rsidRPr="00EA59C0">
        <w:t>with</w:t>
      </w:r>
      <w:r w:rsidR="00C026A6" w:rsidRPr="00EA59C0">
        <w:t xml:space="preserve"> </w:t>
      </w:r>
      <w:r w:rsidRPr="00EA59C0">
        <w:t>acquiring</w:t>
      </w:r>
      <w:r w:rsidR="00C026A6" w:rsidRPr="00EA59C0">
        <w:t xml:space="preserve"> </w:t>
      </w:r>
      <w:r w:rsidRPr="00EA59C0">
        <w:t>new</w:t>
      </w:r>
      <w:r w:rsidR="00C026A6" w:rsidRPr="00EA59C0">
        <w:t xml:space="preserve"> </w:t>
      </w:r>
      <w:r w:rsidRPr="00EA59C0">
        <w:t>knowledge</w:t>
      </w:r>
      <w:r w:rsidR="00C026A6" w:rsidRPr="00EA59C0">
        <w:t xml:space="preserve"> </w:t>
      </w:r>
      <w:r w:rsidRPr="00EA59C0">
        <w:t>and</w:t>
      </w:r>
      <w:r w:rsidR="00C026A6" w:rsidRPr="00EA59C0">
        <w:t xml:space="preserve"> </w:t>
      </w:r>
      <w:r w:rsidRPr="00EA59C0">
        <w:t>skills</w:t>
      </w:r>
      <w:r w:rsidR="00C026A6" w:rsidRPr="00EA59C0">
        <w:t xml:space="preserve"> </w:t>
      </w:r>
      <w:r w:rsidRPr="00EA59C0">
        <w:t>at</w:t>
      </w:r>
      <w:r w:rsidR="00C026A6" w:rsidRPr="00EA59C0">
        <w:t xml:space="preserve"> </w:t>
      </w:r>
      <w:r w:rsidRPr="00EA59C0">
        <w:t>a</w:t>
      </w:r>
      <w:r w:rsidR="00C026A6" w:rsidRPr="00EA59C0">
        <w:t xml:space="preserve"> </w:t>
      </w:r>
      <w:r w:rsidRPr="00EA59C0">
        <w:t>time,</w:t>
      </w:r>
      <w:r w:rsidR="00C026A6" w:rsidRPr="00EA59C0">
        <w:t xml:space="preserve"> </w:t>
      </w:r>
      <w:r w:rsidRPr="00EA59C0">
        <w:t>place,</w:t>
      </w:r>
      <w:r w:rsidR="00C026A6" w:rsidRPr="00EA59C0">
        <w:t xml:space="preserve"> </w:t>
      </w:r>
      <w:r w:rsidRPr="00EA59C0">
        <w:t>and</w:t>
      </w:r>
      <w:r w:rsidR="00C026A6" w:rsidRPr="00EA59C0">
        <w:t xml:space="preserve"> </w:t>
      </w:r>
      <w:r w:rsidRPr="00EA59C0">
        <w:t>or</w:t>
      </w:r>
      <w:r w:rsidR="00C026A6" w:rsidRPr="00EA59C0">
        <w:t xml:space="preserve"> </w:t>
      </w:r>
      <w:r w:rsidRPr="00EA59C0">
        <w:t>pace</w:t>
      </w:r>
      <w:r w:rsidR="00C026A6" w:rsidRPr="00EA59C0">
        <w:t xml:space="preserve"> </w:t>
      </w:r>
      <w:r w:rsidRPr="00EA59C0">
        <w:t>that</w:t>
      </w:r>
      <w:r w:rsidR="00C026A6" w:rsidRPr="00EA59C0">
        <w:t xml:space="preserve"> </w:t>
      </w:r>
      <w:r w:rsidRPr="00EA59C0">
        <w:t>is</w:t>
      </w:r>
      <w:r w:rsidR="00C026A6" w:rsidRPr="00EA59C0">
        <w:t xml:space="preserve"> </w:t>
      </w:r>
      <w:r w:rsidRPr="00EA59C0">
        <w:t>convenient</w:t>
      </w:r>
      <w:r w:rsidR="00C026A6" w:rsidRPr="00EA59C0">
        <w:t xml:space="preserve"> </w:t>
      </w:r>
      <w:r w:rsidRPr="00EA59C0">
        <w:t>for</w:t>
      </w:r>
      <w:r w:rsidR="00C026A6" w:rsidRPr="00EA59C0">
        <w:t xml:space="preserve"> </w:t>
      </w:r>
      <w:r w:rsidRPr="00EA59C0">
        <w:t>them.</w:t>
      </w:r>
    </w:p>
    <w:p w:rsidR="0085160D" w:rsidRPr="00EA59C0" w:rsidRDefault="0085160D" w:rsidP="00C072FA"/>
    <w:p w:rsidR="0085160D" w:rsidRPr="00EA59C0" w:rsidRDefault="0085160D" w:rsidP="00C072FA">
      <w:pPr>
        <w:pStyle w:val="ListParagraph"/>
        <w:numPr>
          <w:ilvl w:val="6"/>
          <w:numId w:val="17"/>
        </w:numPr>
      </w:pPr>
      <w:r w:rsidRPr="00EA59C0">
        <w:t>Incorporation</w:t>
      </w:r>
      <w:r w:rsidR="00C026A6" w:rsidRPr="00EA59C0">
        <w:t xml:space="preserve"> </w:t>
      </w:r>
      <w:r w:rsidRPr="00EA59C0">
        <w:t>of</w:t>
      </w:r>
      <w:r w:rsidR="00C026A6" w:rsidRPr="00EA59C0">
        <w:t xml:space="preserve"> </w:t>
      </w:r>
      <w:r w:rsidRPr="00EA59C0">
        <w:t>Technology</w:t>
      </w:r>
      <w:r w:rsidR="00C026A6" w:rsidRPr="00EA59C0">
        <w:t xml:space="preserve"> </w:t>
      </w:r>
      <w:r w:rsidRPr="00EA59C0">
        <w:t>into</w:t>
      </w:r>
      <w:r w:rsidR="00C026A6" w:rsidRPr="00EA59C0">
        <w:t xml:space="preserve"> </w:t>
      </w:r>
      <w:r w:rsidRPr="00EA59C0">
        <w:t>Program</w:t>
      </w:r>
      <w:r w:rsidR="00C026A6" w:rsidRPr="00EA59C0">
        <w:t xml:space="preserve"> </w:t>
      </w:r>
      <w:r w:rsidRPr="00EA59C0">
        <w:t>Design</w:t>
      </w:r>
      <w:r w:rsidR="00C026A6" w:rsidRPr="00EA59C0">
        <w:t xml:space="preserve"> </w:t>
      </w:r>
      <w:r w:rsidRPr="00EA59C0">
        <w:t>and</w:t>
      </w:r>
      <w:r w:rsidR="00C026A6" w:rsidRPr="00EA59C0">
        <w:t xml:space="preserve"> </w:t>
      </w:r>
      <w:r w:rsidRPr="00EA59C0">
        <w:t>Delivery</w:t>
      </w:r>
      <w:r w:rsidR="00C026A6" w:rsidRPr="00EA59C0">
        <w:t xml:space="preserve"> </w:t>
      </w:r>
    </w:p>
    <w:p w:rsidR="0085160D" w:rsidRPr="00EA59C0" w:rsidRDefault="0085160D" w:rsidP="00C072FA">
      <w:pPr>
        <w:ind w:left="2520"/>
      </w:pPr>
      <w:r w:rsidRPr="00EA59C0">
        <w:t>Describe</w:t>
      </w:r>
      <w:r w:rsidR="00C026A6" w:rsidRPr="00EA59C0">
        <w:t xml:space="preserve"> </w:t>
      </w:r>
      <w:r w:rsidRPr="00EA59C0">
        <w:t>how</w:t>
      </w:r>
      <w:r w:rsidR="00C026A6" w:rsidRPr="00EA59C0">
        <w:t xml:space="preserve"> </w:t>
      </w:r>
      <w:r w:rsidRPr="00EA59C0">
        <w:t>technology</w:t>
      </w:r>
      <w:r w:rsidR="00C026A6" w:rsidRPr="00EA59C0">
        <w:t xml:space="preserve"> </w:t>
      </w:r>
      <w:r w:rsidRPr="00EA59C0">
        <w:t>is</w:t>
      </w:r>
      <w:r w:rsidR="00C026A6" w:rsidRPr="00EA59C0">
        <w:t xml:space="preserve"> </w:t>
      </w:r>
      <w:r w:rsidRPr="00EA59C0">
        <w:t>incorporated</w:t>
      </w:r>
      <w:r w:rsidR="00C026A6" w:rsidRPr="00EA59C0">
        <w:t xml:space="preserve"> </w:t>
      </w:r>
      <w:r w:rsidRPr="00EA59C0">
        <w:t>into</w:t>
      </w:r>
      <w:r w:rsidR="00C026A6" w:rsidRPr="00EA59C0">
        <w:t xml:space="preserve"> </w:t>
      </w:r>
      <w:r w:rsidRPr="00EA59C0">
        <w:t>the</w:t>
      </w:r>
      <w:r w:rsidR="00C026A6" w:rsidRPr="00EA59C0">
        <w:t xml:space="preserve"> </w:t>
      </w:r>
      <w:r w:rsidRPr="00EA59C0">
        <w:t>design</w:t>
      </w:r>
      <w:r w:rsidR="00C026A6" w:rsidRPr="00EA59C0">
        <w:t xml:space="preserve"> </w:t>
      </w:r>
      <w:r w:rsidRPr="00EA59C0">
        <w:t>of</w:t>
      </w:r>
      <w:r w:rsidR="00C026A6" w:rsidRPr="00EA59C0">
        <w:t xml:space="preserve"> </w:t>
      </w:r>
      <w:r w:rsidRPr="00EA59C0">
        <w:t>the</w:t>
      </w:r>
      <w:r w:rsidR="00C026A6" w:rsidRPr="00EA59C0">
        <w:t xml:space="preserve"> </w:t>
      </w:r>
      <w:r w:rsidRPr="00EA59C0">
        <w:t>career</w:t>
      </w:r>
      <w:r w:rsidR="00C026A6" w:rsidRPr="00EA59C0">
        <w:t xml:space="preserve"> </w:t>
      </w:r>
      <w:r w:rsidRPr="00EA59C0">
        <w:t>pathway</w:t>
      </w:r>
      <w:r w:rsidR="00C026A6" w:rsidRPr="00EA59C0">
        <w:t xml:space="preserve"> </w:t>
      </w:r>
      <w:r w:rsidRPr="00EA59C0">
        <w:t>program</w:t>
      </w:r>
      <w:r w:rsidR="00C026A6" w:rsidRPr="00EA59C0">
        <w:t xml:space="preserve"> </w:t>
      </w:r>
      <w:r w:rsidRPr="00EA59C0">
        <w:t>and</w:t>
      </w:r>
      <w:r w:rsidR="00C026A6" w:rsidRPr="00EA59C0">
        <w:t xml:space="preserve"> </w:t>
      </w:r>
      <w:r w:rsidRPr="00EA59C0">
        <w:t>system</w:t>
      </w:r>
      <w:r w:rsidR="00C026A6" w:rsidRPr="00EA59C0">
        <w:t xml:space="preserve"> </w:t>
      </w:r>
      <w:r w:rsidRPr="00EA59C0">
        <w:t>and</w:t>
      </w:r>
      <w:r w:rsidR="00C026A6" w:rsidRPr="00EA59C0">
        <w:t xml:space="preserve"> </w:t>
      </w:r>
      <w:r w:rsidRPr="00EA59C0">
        <w:t>how</w:t>
      </w:r>
      <w:r w:rsidR="00C026A6" w:rsidRPr="00EA59C0">
        <w:t xml:space="preserve"> </w:t>
      </w:r>
      <w:r w:rsidRPr="00EA59C0">
        <w:t>technology</w:t>
      </w:r>
      <w:r w:rsidR="00C026A6" w:rsidRPr="00EA59C0">
        <w:t xml:space="preserve"> </w:t>
      </w:r>
      <w:r w:rsidRPr="00EA59C0">
        <w:t>will</w:t>
      </w:r>
      <w:r w:rsidR="00C026A6" w:rsidRPr="00EA59C0">
        <w:t xml:space="preserve"> </w:t>
      </w:r>
      <w:r w:rsidRPr="00EA59C0">
        <w:t>be</w:t>
      </w:r>
      <w:r w:rsidR="00C026A6" w:rsidRPr="00EA59C0">
        <w:t xml:space="preserve"> </w:t>
      </w:r>
      <w:r w:rsidRPr="00EA59C0">
        <w:t>used</w:t>
      </w:r>
      <w:r w:rsidR="00C026A6" w:rsidRPr="00EA59C0">
        <w:t xml:space="preserve"> </w:t>
      </w:r>
      <w:r w:rsidRPr="00EA59C0">
        <w:t>in</w:t>
      </w:r>
      <w:r w:rsidR="00C026A6" w:rsidRPr="00EA59C0">
        <w:t xml:space="preserve"> </w:t>
      </w:r>
      <w:r w:rsidRPr="00EA59C0">
        <w:t>the</w:t>
      </w:r>
      <w:r w:rsidR="00C026A6" w:rsidRPr="00EA59C0">
        <w:t xml:space="preserve"> </w:t>
      </w:r>
      <w:r w:rsidRPr="00EA59C0">
        <w:t>delivery</w:t>
      </w:r>
      <w:r w:rsidR="00C026A6" w:rsidRPr="00EA59C0">
        <w:t xml:space="preserve"> </w:t>
      </w:r>
      <w:r w:rsidRPr="00EA59C0">
        <w:t>of</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Online</w:t>
      </w:r>
      <w:r w:rsidR="00C026A6" w:rsidRPr="00EA59C0">
        <w:t xml:space="preserve"> </w:t>
      </w:r>
      <w:r w:rsidRPr="00EA59C0">
        <w:t>and</w:t>
      </w:r>
      <w:r w:rsidR="00C026A6" w:rsidRPr="00EA59C0">
        <w:t xml:space="preserve"> </w:t>
      </w:r>
      <w:r w:rsidRPr="00EA59C0">
        <w:t>technology-enabled</w:t>
      </w:r>
      <w:r w:rsidR="00C026A6" w:rsidRPr="00EA59C0">
        <w:t xml:space="preserve"> </w:t>
      </w:r>
      <w:r w:rsidRPr="00EA59C0">
        <w:t>strategies</w:t>
      </w:r>
      <w:r w:rsidR="00C026A6" w:rsidRPr="00EA59C0">
        <w:t xml:space="preserve"> </w:t>
      </w:r>
      <w:r w:rsidR="00BF03A2" w:rsidRPr="00EA59C0">
        <w:t>should</w:t>
      </w:r>
      <w:r w:rsidR="00C026A6" w:rsidRPr="00EA59C0">
        <w:t xml:space="preserve"> </w:t>
      </w:r>
      <w:r w:rsidR="00BF03A2" w:rsidRPr="00EA59C0">
        <w:t>effectively</w:t>
      </w:r>
      <w:r w:rsidR="00C026A6" w:rsidRPr="00EA59C0">
        <w:t xml:space="preserve"> </w:t>
      </w:r>
      <w:r w:rsidR="00BF03A2" w:rsidRPr="00EA59C0">
        <w:t>support</w:t>
      </w:r>
      <w:r w:rsidR="00C026A6" w:rsidRPr="00EA59C0">
        <w:t xml:space="preserve"> </w:t>
      </w:r>
      <w:r w:rsidR="00BF03A2" w:rsidRPr="00EA59C0">
        <w:t>TAA-</w:t>
      </w:r>
      <w:r w:rsidRPr="00EA59C0">
        <w:t>eligible</w:t>
      </w:r>
      <w:r w:rsidR="00C026A6" w:rsidRPr="00EA59C0">
        <w:t xml:space="preserve"> </w:t>
      </w:r>
      <w:r w:rsidRPr="00EA59C0">
        <w:t>workers</w:t>
      </w:r>
      <w:r w:rsidR="00C026A6" w:rsidRPr="00EA59C0">
        <w:t xml:space="preserve"> </w:t>
      </w:r>
      <w:r w:rsidRPr="00EA59C0">
        <w:t>and</w:t>
      </w:r>
      <w:r w:rsidR="00C026A6" w:rsidRPr="00EA59C0">
        <w:t xml:space="preserve"> </w:t>
      </w:r>
      <w:r w:rsidRPr="00EA59C0">
        <w:t>other</w:t>
      </w:r>
      <w:r w:rsidR="00C026A6" w:rsidRPr="00EA59C0">
        <w:t xml:space="preserve"> </w:t>
      </w:r>
      <w:r w:rsidRPr="00EA59C0">
        <w:t>program</w:t>
      </w:r>
      <w:r w:rsidR="00C026A6" w:rsidRPr="00EA59C0">
        <w:t xml:space="preserve"> </w:t>
      </w:r>
      <w:r w:rsidRPr="00EA59C0">
        <w:t>participants</w:t>
      </w:r>
      <w:r w:rsidR="00C026A6" w:rsidRPr="00EA59C0">
        <w:t xml:space="preserve"> </w:t>
      </w:r>
      <w:r w:rsidRPr="00EA59C0">
        <w:t>in</w:t>
      </w:r>
      <w:r w:rsidR="00C026A6" w:rsidRPr="00EA59C0">
        <w:t xml:space="preserve"> </w:t>
      </w:r>
      <w:r w:rsidRPr="00EA59C0">
        <w:t>developing</w:t>
      </w:r>
      <w:r w:rsidR="00C026A6" w:rsidRPr="00EA59C0">
        <w:t xml:space="preserve"> </w:t>
      </w:r>
      <w:r w:rsidRPr="00EA59C0">
        <w:t>new</w:t>
      </w:r>
      <w:r w:rsidR="00C026A6" w:rsidRPr="00EA59C0">
        <w:t xml:space="preserve"> </w:t>
      </w:r>
      <w:r w:rsidRPr="00EA59C0">
        <w:t>skills,</w:t>
      </w:r>
      <w:r w:rsidR="00C026A6" w:rsidRPr="00EA59C0">
        <w:t xml:space="preserve"> </w:t>
      </w:r>
      <w:r w:rsidRPr="00EA59C0">
        <w:t>and</w:t>
      </w:r>
      <w:r w:rsidR="00C026A6" w:rsidRPr="00EA59C0">
        <w:t xml:space="preserve"> </w:t>
      </w:r>
      <w:r w:rsidRPr="00EA59C0">
        <w:t>can</w:t>
      </w:r>
      <w:r w:rsidR="00C026A6" w:rsidRPr="00EA59C0">
        <w:t xml:space="preserve"> </w:t>
      </w:r>
      <w:r w:rsidRPr="00EA59C0">
        <w:t>enable</w:t>
      </w:r>
      <w:r w:rsidR="00C026A6" w:rsidRPr="00EA59C0">
        <w:t xml:space="preserve"> </w:t>
      </w:r>
      <w:r w:rsidRPr="00EA59C0">
        <w:t>practices</w:t>
      </w:r>
      <w:r w:rsidR="00C026A6" w:rsidRPr="00EA59C0">
        <w:t xml:space="preserve"> </w:t>
      </w:r>
      <w:r w:rsidRPr="00EA59C0">
        <w:t>such</w:t>
      </w:r>
      <w:r w:rsidR="00C026A6" w:rsidRPr="00EA59C0">
        <w:t xml:space="preserve"> </w:t>
      </w:r>
      <w:r w:rsidRPr="00EA59C0">
        <w:t>as</w:t>
      </w:r>
      <w:r w:rsidR="00C026A6" w:rsidRPr="00EA59C0">
        <w:t xml:space="preserve"> </w:t>
      </w:r>
      <w:r w:rsidRPr="00EA59C0">
        <w:t>rolling</w:t>
      </w:r>
      <w:r w:rsidR="00C026A6" w:rsidRPr="00EA59C0">
        <w:t xml:space="preserve"> </w:t>
      </w:r>
      <w:r w:rsidRPr="00EA59C0">
        <w:t>and</w:t>
      </w:r>
      <w:r w:rsidR="00C026A6" w:rsidRPr="00EA59C0">
        <w:t xml:space="preserve"> </w:t>
      </w:r>
      <w:r w:rsidRPr="00EA59C0">
        <w:t>open</w:t>
      </w:r>
      <w:r w:rsidR="00C026A6" w:rsidRPr="00EA59C0">
        <w:t xml:space="preserve"> </w:t>
      </w:r>
      <w:r w:rsidRPr="00EA59C0">
        <w:t>enrollment</w:t>
      </w:r>
      <w:r w:rsidR="00C026A6" w:rsidRPr="00EA59C0">
        <w:t xml:space="preserve"> </w:t>
      </w:r>
      <w:r w:rsidRPr="00EA59C0">
        <w:t>processes,</w:t>
      </w:r>
      <w:r w:rsidR="00C026A6" w:rsidRPr="00EA59C0">
        <w:t xml:space="preserve"> </w:t>
      </w:r>
      <w:r w:rsidRPr="00EA59C0">
        <w:t>modularized</w:t>
      </w:r>
      <w:r w:rsidR="00C026A6" w:rsidRPr="00EA59C0">
        <w:t xml:space="preserve"> </w:t>
      </w:r>
      <w:r w:rsidRPr="00EA59C0">
        <w:t>content</w:t>
      </w:r>
      <w:r w:rsidR="00C026A6" w:rsidRPr="00EA59C0">
        <w:t xml:space="preserve"> </w:t>
      </w:r>
      <w:r w:rsidRPr="00EA59C0">
        <w:t>delivery,</w:t>
      </w:r>
      <w:r w:rsidR="00C026A6" w:rsidRPr="00EA59C0">
        <w:t xml:space="preserve"> </w:t>
      </w:r>
      <w:r w:rsidRPr="00EA59C0">
        <w:t>simulated</w:t>
      </w:r>
      <w:r w:rsidR="00C026A6" w:rsidRPr="00EA59C0">
        <w:t xml:space="preserve"> </w:t>
      </w:r>
      <w:r w:rsidRPr="00EA59C0">
        <w:t>assessments</w:t>
      </w:r>
      <w:r w:rsidR="00C026A6" w:rsidRPr="00EA59C0">
        <w:t xml:space="preserve"> </w:t>
      </w:r>
      <w:r w:rsidRPr="00EA59C0">
        <w:t>and</w:t>
      </w:r>
      <w:r w:rsidR="00C026A6" w:rsidRPr="00EA59C0">
        <w:t xml:space="preserve"> </w:t>
      </w:r>
      <w:r w:rsidRPr="00EA59C0">
        <w:t>training,</w:t>
      </w:r>
      <w:r w:rsidR="00C026A6" w:rsidRPr="00EA59C0">
        <w:t xml:space="preserve"> </w:t>
      </w:r>
      <w:r w:rsidRPr="00EA59C0">
        <w:t>and</w:t>
      </w:r>
      <w:r w:rsidR="00C026A6" w:rsidRPr="00EA59C0">
        <w:t xml:space="preserve"> </w:t>
      </w:r>
      <w:r w:rsidRPr="00EA59C0">
        <w:t>accelerated</w:t>
      </w:r>
      <w:r w:rsidR="00C026A6" w:rsidRPr="00EA59C0">
        <w:t xml:space="preserve"> </w:t>
      </w:r>
      <w:r w:rsidRPr="00EA59C0">
        <w:t>course</w:t>
      </w:r>
      <w:r w:rsidR="00C026A6" w:rsidRPr="00EA59C0">
        <w:t xml:space="preserve"> </w:t>
      </w:r>
      <w:r w:rsidRPr="00EA59C0">
        <w:t>delivery</w:t>
      </w:r>
      <w:r w:rsidR="00C026A6" w:rsidRPr="00EA59C0">
        <w:t xml:space="preserve"> </w:t>
      </w:r>
      <w:r w:rsidRPr="00EA59C0">
        <w:t>strategies.</w:t>
      </w:r>
      <w:r w:rsidR="00C026A6" w:rsidRPr="00EA59C0">
        <w:t xml:space="preserve">  </w:t>
      </w:r>
      <w:r w:rsidRPr="00EA59C0">
        <w:t>Innovative</w:t>
      </w:r>
      <w:r w:rsidR="00C026A6" w:rsidRPr="00EA59C0">
        <w:t xml:space="preserve"> </w:t>
      </w:r>
      <w:r w:rsidRPr="00EA59C0">
        <w:t>and</w:t>
      </w:r>
      <w:r w:rsidR="00C026A6" w:rsidRPr="00EA59C0">
        <w:t xml:space="preserve"> </w:t>
      </w:r>
      <w:r w:rsidRPr="00EA59C0">
        <w:t>effective</w:t>
      </w:r>
      <w:r w:rsidR="00C026A6" w:rsidRPr="00EA59C0">
        <w:t xml:space="preserve"> </w:t>
      </w:r>
      <w:r w:rsidRPr="00EA59C0">
        <w:t>strategies</w:t>
      </w:r>
      <w:r w:rsidR="00C026A6" w:rsidRPr="00EA59C0">
        <w:t xml:space="preserve"> </w:t>
      </w:r>
      <w:r w:rsidRPr="00EA59C0">
        <w:t>related</w:t>
      </w:r>
      <w:r w:rsidR="00C026A6" w:rsidRPr="00EA59C0">
        <w:t xml:space="preserve"> </w:t>
      </w:r>
      <w:r w:rsidRPr="00EA59C0">
        <w:t>to</w:t>
      </w:r>
      <w:r w:rsidR="00C026A6" w:rsidRPr="00EA59C0">
        <w:t xml:space="preserve"> </w:t>
      </w:r>
      <w:r w:rsidRPr="00EA59C0">
        <w:t>the</w:t>
      </w:r>
      <w:r w:rsidR="00C026A6" w:rsidRPr="00EA59C0">
        <w:t xml:space="preserve"> </w:t>
      </w:r>
      <w:r w:rsidRPr="00EA59C0">
        <w:t>use</w:t>
      </w:r>
      <w:r w:rsidR="00C026A6" w:rsidRPr="00EA59C0">
        <w:t xml:space="preserve"> </w:t>
      </w:r>
      <w:r w:rsidRPr="00EA59C0">
        <w:t>of</w:t>
      </w:r>
      <w:r w:rsidR="00C026A6" w:rsidRPr="00EA59C0">
        <w:t xml:space="preserve"> </w:t>
      </w:r>
      <w:r w:rsidRPr="00EA59C0">
        <w:t>technology</w:t>
      </w:r>
      <w:r w:rsidR="00C026A6" w:rsidRPr="00EA59C0">
        <w:t xml:space="preserve"> </w:t>
      </w:r>
      <w:r w:rsidRPr="00EA59C0">
        <w:t>may</w:t>
      </w:r>
      <w:r w:rsidR="00C026A6" w:rsidRPr="00EA59C0">
        <w:t xml:space="preserve"> </w:t>
      </w:r>
      <w:r w:rsidRPr="00EA59C0">
        <w:t>include,</w:t>
      </w:r>
      <w:r w:rsidR="00C026A6" w:rsidRPr="00EA59C0">
        <w:t xml:space="preserve"> </w:t>
      </w:r>
      <w:r w:rsidRPr="00EA59C0">
        <w:t>but</w:t>
      </w:r>
      <w:r w:rsidR="00C026A6" w:rsidRPr="00EA59C0">
        <w:t xml:space="preserve"> </w:t>
      </w:r>
      <w:r w:rsidRPr="00EA59C0">
        <w:t>are</w:t>
      </w:r>
      <w:r w:rsidR="00C026A6" w:rsidRPr="00EA59C0">
        <w:t xml:space="preserve"> </w:t>
      </w:r>
      <w:r w:rsidRPr="00EA59C0">
        <w:t>not</w:t>
      </w:r>
      <w:r w:rsidR="00C026A6" w:rsidRPr="00EA59C0">
        <w:t xml:space="preserve"> </w:t>
      </w:r>
      <w:r w:rsidRPr="00EA59C0">
        <w:t>limited</w:t>
      </w:r>
      <w:r w:rsidR="00C026A6" w:rsidRPr="00EA59C0">
        <w:t xml:space="preserve"> </w:t>
      </w:r>
      <w:r w:rsidRPr="00EA59C0">
        <w:t>to:</w:t>
      </w:r>
    </w:p>
    <w:p w:rsidR="0085160D" w:rsidRPr="00EA59C0" w:rsidRDefault="0085160D" w:rsidP="00080097">
      <w:pPr>
        <w:pStyle w:val="ListParagraph"/>
        <w:numPr>
          <w:ilvl w:val="0"/>
          <w:numId w:val="25"/>
        </w:numPr>
      </w:pPr>
      <w:r w:rsidRPr="00EA59C0">
        <w:t>Interactive</w:t>
      </w:r>
      <w:r w:rsidR="00C026A6" w:rsidRPr="00EA59C0">
        <w:t xml:space="preserve"> </w:t>
      </w:r>
      <w:r w:rsidRPr="00EA59C0">
        <w:t>simulations;</w:t>
      </w:r>
      <w:r w:rsidR="00C026A6" w:rsidRPr="00EA59C0">
        <w:t xml:space="preserve"> </w:t>
      </w:r>
    </w:p>
    <w:p w:rsidR="0085160D" w:rsidRPr="00EA59C0" w:rsidRDefault="0085160D" w:rsidP="00080097">
      <w:pPr>
        <w:pStyle w:val="ListParagraph"/>
        <w:numPr>
          <w:ilvl w:val="0"/>
          <w:numId w:val="25"/>
        </w:numPr>
      </w:pPr>
      <w:r w:rsidRPr="00EA59C0">
        <w:t>Personalized</w:t>
      </w:r>
      <w:r w:rsidR="00C026A6" w:rsidRPr="00EA59C0">
        <w:t xml:space="preserve"> </w:t>
      </w:r>
      <w:r w:rsidRPr="00EA59C0">
        <w:t>and</w:t>
      </w:r>
      <w:r w:rsidR="00C026A6" w:rsidRPr="00EA59C0">
        <w:t xml:space="preserve"> </w:t>
      </w:r>
      <w:r w:rsidRPr="00EA59C0">
        <w:t>virtual</w:t>
      </w:r>
      <w:r w:rsidR="00C026A6" w:rsidRPr="00EA59C0">
        <w:t xml:space="preserve"> </w:t>
      </w:r>
      <w:r w:rsidRPr="00EA59C0">
        <w:t>instruction;</w:t>
      </w:r>
      <w:r w:rsidR="00C026A6" w:rsidRPr="00EA59C0">
        <w:t xml:space="preserve"> </w:t>
      </w:r>
    </w:p>
    <w:p w:rsidR="0085160D" w:rsidRPr="00EA59C0" w:rsidRDefault="0085160D" w:rsidP="00080097">
      <w:pPr>
        <w:pStyle w:val="ListParagraph"/>
        <w:numPr>
          <w:ilvl w:val="0"/>
          <w:numId w:val="25"/>
        </w:numPr>
      </w:pPr>
      <w:r w:rsidRPr="00EA59C0">
        <w:t>Elements</w:t>
      </w:r>
      <w:r w:rsidR="00C026A6" w:rsidRPr="00EA59C0">
        <w:t xml:space="preserve"> </w:t>
      </w:r>
      <w:r w:rsidRPr="00EA59C0">
        <w:t>of</w:t>
      </w:r>
      <w:r w:rsidR="00C026A6" w:rsidRPr="00EA59C0">
        <w:t xml:space="preserve"> </w:t>
      </w:r>
      <w:r w:rsidRPr="00EA59C0">
        <w:t>game</w:t>
      </w:r>
      <w:r w:rsidR="00C026A6" w:rsidRPr="00EA59C0">
        <w:t xml:space="preserve"> </w:t>
      </w:r>
      <w:r w:rsidRPr="00EA59C0">
        <w:t>design;</w:t>
      </w:r>
      <w:r w:rsidR="00C026A6" w:rsidRPr="00EA59C0">
        <w:t xml:space="preserve"> </w:t>
      </w:r>
    </w:p>
    <w:p w:rsidR="0085160D" w:rsidRPr="00EA59C0" w:rsidRDefault="0085160D" w:rsidP="00080097">
      <w:pPr>
        <w:pStyle w:val="ListParagraph"/>
        <w:numPr>
          <w:ilvl w:val="0"/>
          <w:numId w:val="25"/>
        </w:numPr>
      </w:pPr>
      <w:r w:rsidRPr="00EA59C0">
        <w:t>Digital</w:t>
      </w:r>
      <w:r w:rsidR="00C026A6" w:rsidRPr="00EA59C0">
        <w:t xml:space="preserve"> </w:t>
      </w:r>
      <w:r w:rsidRPr="00EA59C0">
        <w:t>tutors;</w:t>
      </w:r>
      <w:r w:rsidR="00C026A6" w:rsidRPr="00EA59C0">
        <w:t xml:space="preserve"> </w:t>
      </w:r>
    </w:p>
    <w:p w:rsidR="0085160D" w:rsidRPr="00EA59C0" w:rsidRDefault="0085160D" w:rsidP="00080097">
      <w:pPr>
        <w:pStyle w:val="ListParagraph"/>
        <w:numPr>
          <w:ilvl w:val="0"/>
          <w:numId w:val="25"/>
        </w:numPr>
      </w:pPr>
      <w:r w:rsidRPr="00EA59C0">
        <w:t>Strategies</w:t>
      </w:r>
      <w:r w:rsidR="00C026A6" w:rsidRPr="00EA59C0">
        <w:t xml:space="preserve"> </w:t>
      </w:r>
      <w:r w:rsidRPr="00EA59C0">
        <w:t>for</w:t>
      </w:r>
      <w:r w:rsidR="00C026A6" w:rsidRPr="00EA59C0">
        <w:t xml:space="preserve"> </w:t>
      </w:r>
      <w:r w:rsidRPr="00EA59C0">
        <w:t>asynchronous</w:t>
      </w:r>
      <w:r w:rsidR="00C026A6" w:rsidRPr="00EA59C0">
        <w:t xml:space="preserve"> </w:t>
      </w:r>
      <w:r w:rsidRPr="00EA59C0">
        <w:t>and</w:t>
      </w:r>
      <w:r w:rsidR="00C026A6" w:rsidRPr="00EA59C0">
        <w:t xml:space="preserve"> </w:t>
      </w:r>
      <w:r w:rsidRPr="00EA59C0">
        <w:t>real-time</w:t>
      </w:r>
      <w:r w:rsidR="00C026A6" w:rsidRPr="00EA59C0">
        <w:t xml:space="preserve"> </w:t>
      </w:r>
      <w:r w:rsidRPr="00EA59C0">
        <w:t>collaboration</w:t>
      </w:r>
      <w:r w:rsidR="00C026A6" w:rsidRPr="00EA59C0">
        <w:t xml:space="preserve"> </w:t>
      </w:r>
      <w:r w:rsidRPr="00EA59C0">
        <w:t>among</w:t>
      </w:r>
      <w:r w:rsidR="00C026A6" w:rsidRPr="00EA59C0">
        <w:t xml:space="preserve"> </w:t>
      </w:r>
      <w:r w:rsidRPr="00EA59C0">
        <w:t>learners</w:t>
      </w:r>
      <w:r w:rsidR="00C026A6" w:rsidRPr="00EA59C0">
        <w:t xml:space="preserve"> </w:t>
      </w:r>
      <w:r w:rsidRPr="00EA59C0">
        <w:t>and</w:t>
      </w:r>
      <w:r w:rsidR="00C026A6" w:rsidRPr="00EA59C0">
        <w:t xml:space="preserve"> </w:t>
      </w:r>
      <w:r w:rsidRPr="00EA59C0">
        <w:t>instructors;</w:t>
      </w:r>
      <w:r w:rsidR="00C026A6" w:rsidRPr="00EA59C0">
        <w:t xml:space="preserve"> </w:t>
      </w:r>
    </w:p>
    <w:p w:rsidR="0085160D" w:rsidRPr="00EA59C0" w:rsidRDefault="0085160D" w:rsidP="00080097">
      <w:pPr>
        <w:pStyle w:val="ListParagraph"/>
        <w:numPr>
          <w:ilvl w:val="0"/>
          <w:numId w:val="25"/>
        </w:numPr>
      </w:pPr>
      <w:r w:rsidRPr="00EA59C0">
        <w:t>Interactive</w:t>
      </w:r>
      <w:r w:rsidR="00C026A6" w:rsidRPr="00EA59C0">
        <w:t xml:space="preserve"> </w:t>
      </w:r>
      <w:r w:rsidRPr="00EA59C0">
        <w:t>tools</w:t>
      </w:r>
      <w:r w:rsidR="00C026A6" w:rsidRPr="00EA59C0">
        <w:t xml:space="preserve"> </w:t>
      </w:r>
      <w:r w:rsidRPr="00EA59C0">
        <w:t>that</w:t>
      </w:r>
      <w:r w:rsidR="00C026A6" w:rsidRPr="00EA59C0">
        <w:t xml:space="preserve"> </w:t>
      </w:r>
      <w:r w:rsidRPr="00EA59C0">
        <w:t>help</w:t>
      </w:r>
      <w:r w:rsidR="00C026A6" w:rsidRPr="00EA59C0">
        <w:t xml:space="preserve"> </w:t>
      </w:r>
      <w:r w:rsidRPr="00EA59C0">
        <w:t>better</w:t>
      </w:r>
      <w:r w:rsidR="00C026A6" w:rsidRPr="00EA59C0">
        <w:t xml:space="preserve"> </w:t>
      </w:r>
      <w:r w:rsidRPr="00EA59C0">
        <w:t>assess</w:t>
      </w:r>
      <w:r w:rsidR="00C026A6" w:rsidRPr="00EA59C0">
        <w:t xml:space="preserve"> </w:t>
      </w:r>
      <w:r w:rsidRPr="00EA59C0">
        <w:t>and</w:t>
      </w:r>
      <w:r w:rsidR="00C026A6" w:rsidRPr="00EA59C0">
        <w:t xml:space="preserve"> </w:t>
      </w:r>
      <w:r w:rsidRPr="00EA59C0">
        <w:t>predict</w:t>
      </w:r>
      <w:r w:rsidR="00C026A6" w:rsidRPr="00EA59C0">
        <w:t xml:space="preserve"> </w:t>
      </w:r>
      <w:r w:rsidRPr="00EA59C0">
        <w:t>student</w:t>
      </w:r>
      <w:r w:rsidR="00C026A6" w:rsidRPr="00EA59C0">
        <w:t xml:space="preserve"> </w:t>
      </w:r>
      <w:r w:rsidRPr="00EA59C0">
        <w:t>performance;</w:t>
      </w:r>
      <w:r w:rsidR="00C026A6" w:rsidRPr="00EA59C0">
        <w:t xml:space="preserve"> </w:t>
      </w:r>
      <w:r w:rsidRPr="00EA59C0">
        <w:t>and</w:t>
      </w:r>
      <w:r w:rsidR="00C026A6" w:rsidRPr="00EA59C0">
        <w:t xml:space="preserve"> </w:t>
      </w:r>
    </w:p>
    <w:p w:rsidR="0085160D" w:rsidRPr="00EA59C0" w:rsidRDefault="0085160D" w:rsidP="00080097">
      <w:pPr>
        <w:pStyle w:val="ListParagraph"/>
        <w:numPr>
          <w:ilvl w:val="0"/>
          <w:numId w:val="25"/>
        </w:numPr>
      </w:pPr>
      <w:r w:rsidRPr="00EA59C0">
        <w:t>Developing</w:t>
      </w:r>
      <w:r w:rsidR="00C026A6" w:rsidRPr="00EA59C0">
        <w:t xml:space="preserve"> </w:t>
      </w:r>
      <w:r w:rsidRPr="00EA59C0">
        <w:t>and</w:t>
      </w:r>
      <w:r w:rsidR="00C026A6" w:rsidRPr="00EA59C0">
        <w:t xml:space="preserve"> </w:t>
      </w:r>
      <w:r w:rsidRPr="00EA59C0">
        <w:t>sharing</w:t>
      </w:r>
      <w:r w:rsidR="00C026A6" w:rsidRPr="00EA59C0">
        <w:t xml:space="preserve"> </w:t>
      </w:r>
      <w:r w:rsidRPr="00EA59C0">
        <w:t>courses</w:t>
      </w:r>
      <w:r w:rsidR="00C026A6" w:rsidRPr="00EA59C0">
        <w:t xml:space="preserve"> </w:t>
      </w:r>
      <w:r w:rsidRPr="00EA59C0">
        <w:t>at</w:t>
      </w:r>
      <w:r w:rsidR="00C026A6" w:rsidRPr="00EA59C0">
        <w:t xml:space="preserve"> </w:t>
      </w:r>
      <w:r w:rsidRPr="00EA59C0">
        <w:t>a</w:t>
      </w:r>
      <w:r w:rsidR="00C026A6" w:rsidRPr="00EA59C0">
        <w:t xml:space="preserve"> </w:t>
      </w:r>
      <w:r w:rsidRPr="00EA59C0">
        <w:t>reasonable</w:t>
      </w:r>
      <w:r w:rsidR="00C026A6" w:rsidRPr="00EA59C0">
        <w:t xml:space="preserve"> </w:t>
      </w:r>
      <w:r w:rsidRPr="00EA59C0">
        <w:t>cost</w:t>
      </w:r>
      <w:r w:rsidR="00C026A6" w:rsidRPr="00EA59C0">
        <w:t xml:space="preserve"> </w:t>
      </w:r>
      <w:r w:rsidRPr="00EA59C0">
        <w:t>and</w:t>
      </w:r>
      <w:r w:rsidR="00C026A6" w:rsidRPr="00EA59C0">
        <w:t xml:space="preserve"> </w:t>
      </w:r>
      <w:r w:rsidRPr="00EA59C0">
        <w:t>are</w:t>
      </w:r>
      <w:r w:rsidR="00C026A6" w:rsidRPr="00EA59C0">
        <w:t xml:space="preserve"> </w:t>
      </w:r>
      <w:r w:rsidRPr="00EA59C0">
        <w:t>available</w:t>
      </w:r>
      <w:r w:rsidR="00C026A6" w:rsidRPr="00EA59C0">
        <w:t xml:space="preserve"> </w:t>
      </w:r>
      <w:r w:rsidRPr="00EA59C0">
        <w:t>at</w:t>
      </w:r>
      <w:r w:rsidR="00C026A6" w:rsidRPr="00EA59C0">
        <w:t xml:space="preserve"> </w:t>
      </w:r>
      <w:r w:rsidRPr="00EA59C0">
        <w:t>non-traditional</w:t>
      </w:r>
      <w:r w:rsidR="00C026A6" w:rsidRPr="00EA59C0">
        <w:t xml:space="preserve"> </w:t>
      </w:r>
      <w:r w:rsidRPr="00EA59C0">
        <w:t>hours.</w:t>
      </w:r>
    </w:p>
    <w:p w:rsidR="0085160D" w:rsidRPr="00EA59C0" w:rsidRDefault="0085160D" w:rsidP="00C072FA">
      <w:pPr>
        <w:ind w:left="1080"/>
      </w:pPr>
    </w:p>
    <w:p w:rsidR="0085160D" w:rsidRPr="00EA59C0" w:rsidRDefault="00BF03A2" w:rsidP="00C072FA">
      <w:pPr>
        <w:pStyle w:val="ListParagraph"/>
        <w:numPr>
          <w:ilvl w:val="6"/>
          <w:numId w:val="17"/>
        </w:numPr>
      </w:pPr>
      <w:r w:rsidRPr="00EA59C0">
        <w:t>All</w:t>
      </w:r>
      <w:r w:rsidR="00C026A6" w:rsidRPr="00EA59C0">
        <w:t xml:space="preserve"> </w:t>
      </w:r>
      <w:r w:rsidRPr="00EA59C0">
        <w:t>a</w:t>
      </w:r>
      <w:r w:rsidR="0085160D" w:rsidRPr="00EA59C0">
        <w:t>pplicants</w:t>
      </w:r>
      <w:r w:rsidR="00C026A6" w:rsidRPr="00EA59C0">
        <w:t xml:space="preserve"> </w:t>
      </w:r>
      <w:r w:rsidR="0085160D" w:rsidRPr="00EA59C0">
        <w:t>must</w:t>
      </w:r>
      <w:r w:rsidR="00C026A6" w:rsidRPr="00EA59C0">
        <w:t xml:space="preserve"> </w:t>
      </w:r>
      <w:r w:rsidR="0085160D" w:rsidRPr="00EA59C0">
        <w:t>describe</w:t>
      </w:r>
      <w:r w:rsidR="00C026A6" w:rsidRPr="00EA59C0">
        <w:t xml:space="preserve"> </w:t>
      </w:r>
      <w:r w:rsidR="0085160D" w:rsidRPr="00EA59C0">
        <w:t>how</w:t>
      </w:r>
      <w:r w:rsidR="00C026A6" w:rsidRPr="00EA59C0">
        <w:t xml:space="preserve"> </w:t>
      </w:r>
      <w:r w:rsidR="0085160D" w:rsidRPr="00EA59C0">
        <w:t>their</w:t>
      </w:r>
      <w:r w:rsidR="00C026A6" w:rsidRPr="00EA59C0">
        <w:t xml:space="preserve"> </w:t>
      </w:r>
      <w:r w:rsidR="0085160D" w:rsidRPr="00EA59C0">
        <w:t>plan</w:t>
      </w:r>
      <w:r w:rsidR="00C026A6" w:rsidRPr="00EA59C0">
        <w:t xml:space="preserve"> </w:t>
      </w:r>
      <w:r w:rsidR="0085160D" w:rsidRPr="00EA59C0">
        <w:t>builds</w:t>
      </w:r>
      <w:r w:rsidR="00C026A6" w:rsidRPr="00EA59C0">
        <w:t xml:space="preserve"> </w:t>
      </w:r>
      <w:r w:rsidR="0085160D" w:rsidRPr="00EA59C0">
        <w:t>on</w:t>
      </w:r>
      <w:r w:rsidR="00C026A6" w:rsidRPr="00EA59C0">
        <w:t xml:space="preserve"> </w:t>
      </w:r>
      <w:r w:rsidR="0085160D" w:rsidRPr="00EA59C0">
        <w:t>or</w:t>
      </w:r>
      <w:r w:rsidR="00C026A6" w:rsidRPr="00EA59C0">
        <w:t xml:space="preserve"> </w:t>
      </w:r>
      <w:r w:rsidR="0085160D" w:rsidRPr="00EA59C0">
        <w:t>furthers</w:t>
      </w:r>
      <w:r w:rsidR="00C026A6" w:rsidRPr="00EA59C0">
        <w:t xml:space="preserve"> </w:t>
      </w:r>
      <w:r w:rsidR="0085160D" w:rsidRPr="00EA59C0">
        <w:t>the</w:t>
      </w:r>
      <w:r w:rsidR="00C026A6" w:rsidRPr="00EA59C0">
        <w:t xml:space="preserve"> </w:t>
      </w:r>
      <w:r w:rsidR="0085160D" w:rsidRPr="00EA59C0">
        <w:t>innovation</w:t>
      </w:r>
      <w:r w:rsidR="00C026A6" w:rsidRPr="00EA59C0">
        <w:t xml:space="preserve"> </w:t>
      </w:r>
      <w:r w:rsidR="0085160D" w:rsidRPr="00EA59C0">
        <w:t>in</w:t>
      </w:r>
      <w:r w:rsidR="00C026A6" w:rsidRPr="00EA59C0">
        <w:t xml:space="preserve"> </w:t>
      </w:r>
      <w:r w:rsidR="0085160D" w:rsidRPr="00EA59C0">
        <w:t>technology-enabled</w:t>
      </w:r>
      <w:r w:rsidR="00C026A6" w:rsidRPr="00EA59C0">
        <w:t xml:space="preserve"> </w:t>
      </w:r>
      <w:r w:rsidR="0085160D" w:rsidRPr="00EA59C0">
        <w:t>learning</w:t>
      </w:r>
      <w:r w:rsidR="00C026A6" w:rsidRPr="00EA59C0">
        <w:t xml:space="preserve"> </w:t>
      </w:r>
      <w:r w:rsidR="0085160D" w:rsidRPr="00EA59C0">
        <w:t>that</w:t>
      </w:r>
      <w:r w:rsidR="00C026A6" w:rsidRPr="00EA59C0">
        <w:t xml:space="preserve"> </w:t>
      </w:r>
      <w:r w:rsidR="0085160D" w:rsidRPr="00EA59C0">
        <w:t>currently</w:t>
      </w:r>
      <w:r w:rsidR="00C026A6" w:rsidRPr="00EA59C0">
        <w:t xml:space="preserve"> </w:t>
      </w:r>
      <w:r w:rsidR="0085160D" w:rsidRPr="00EA59C0">
        <w:t>exists</w:t>
      </w:r>
      <w:r w:rsidR="006409C6" w:rsidRPr="00EA59C0">
        <w:t>, such as by demonstrating plans to search and integrate existing OER into program design, as appropriate</w:t>
      </w:r>
      <w:r w:rsidR="0085160D" w:rsidRPr="00EA59C0">
        <w:t>.</w:t>
      </w:r>
      <w:r w:rsidR="00C026A6" w:rsidRPr="00EA59C0">
        <w:t xml:space="preserve">  </w:t>
      </w:r>
    </w:p>
    <w:p w:rsidR="0085160D" w:rsidRPr="00EA59C0" w:rsidRDefault="0085160D" w:rsidP="00C072FA">
      <w:pPr>
        <w:ind w:left="360" w:hanging="360"/>
      </w:pPr>
    </w:p>
    <w:p w:rsidR="00B807FC" w:rsidRPr="00EA59C0" w:rsidRDefault="00B807FC" w:rsidP="00C072FA">
      <w:pPr>
        <w:pStyle w:val="ListParagraph"/>
        <w:numPr>
          <w:ilvl w:val="5"/>
          <w:numId w:val="17"/>
        </w:numPr>
        <w:rPr>
          <w:b/>
        </w:rPr>
      </w:pPr>
      <w:r w:rsidRPr="00EA59C0">
        <w:rPr>
          <w:b/>
        </w:rPr>
        <w:t>Strategic</w:t>
      </w:r>
      <w:r w:rsidR="00C026A6" w:rsidRPr="00EA59C0">
        <w:rPr>
          <w:b/>
        </w:rPr>
        <w:t xml:space="preserve"> </w:t>
      </w:r>
      <w:r w:rsidRPr="00EA59C0">
        <w:rPr>
          <w:b/>
        </w:rPr>
        <w:t>Alignment</w:t>
      </w:r>
      <w:r w:rsidR="00C026A6" w:rsidRPr="00EA59C0">
        <w:rPr>
          <w:b/>
        </w:rPr>
        <w:t xml:space="preserve"> </w:t>
      </w:r>
      <w:r w:rsidRPr="00EA59C0">
        <w:rPr>
          <w:b/>
        </w:rPr>
        <w:t>with</w:t>
      </w:r>
      <w:r w:rsidR="00C026A6" w:rsidRPr="00EA59C0">
        <w:rPr>
          <w:b/>
        </w:rPr>
        <w:t xml:space="preserve"> </w:t>
      </w:r>
      <w:r w:rsidRPr="00EA59C0">
        <w:rPr>
          <w:b/>
        </w:rPr>
        <w:t>the</w:t>
      </w:r>
      <w:r w:rsidR="00C026A6" w:rsidRPr="00EA59C0">
        <w:rPr>
          <w:b/>
        </w:rPr>
        <w:t xml:space="preserve"> </w:t>
      </w:r>
      <w:r w:rsidRPr="00EA59C0">
        <w:rPr>
          <w:b/>
        </w:rPr>
        <w:t>Workforce</w:t>
      </w:r>
      <w:r w:rsidR="00C026A6" w:rsidRPr="00EA59C0">
        <w:rPr>
          <w:b/>
        </w:rPr>
        <w:t xml:space="preserve"> </w:t>
      </w:r>
      <w:r w:rsidRPr="00EA59C0">
        <w:rPr>
          <w:b/>
        </w:rPr>
        <w:t>System</w:t>
      </w:r>
      <w:r w:rsidR="00C026A6" w:rsidRPr="00EA59C0">
        <w:rPr>
          <w:b/>
        </w:rPr>
        <w:t xml:space="preserve"> </w:t>
      </w:r>
      <w:r w:rsidRPr="00EA59C0">
        <w:rPr>
          <w:b/>
        </w:rPr>
        <w:t>and</w:t>
      </w:r>
      <w:r w:rsidR="00C026A6" w:rsidRPr="00EA59C0">
        <w:rPr>
          <w:b/>
        </w:rPr>
        <w:t xml:space="preserve"> </w:t>
      </w:r>
      <w:r w:rsidRPr="00EA59C0">
        <w:rPr>
          <w:b/>
        </w:rPr>
        <w:t>Other</w:t>
      </w:r>
      <w:r w:rsidR="00C026A6" w:rsidRPr="00EA59C0">
        <w:rPr>
          <w:b/>
        </w:rPr>
        <w:t xml:space="preserve"> </w:t>
      </w:r>
      <w:r w:rsidR="009E2CD3" w:rsidRPr="00EA59C0">
        <w:rPr>
          <w:b/>
        </w:rPr>
        <w:t>Stakeholders</w:t>
      </w:r>
    </w:p>
    <w:p w:rsidR="00B807FC" w:rsidRPr="00EA59C0" w:rsidRDefault="00B807FC" w:rsidP="00C072FA">
      <w:pPr>
        <w:ind w:left="2160"/>
      </w:pPr>
      <w:r w:rsidRPr="00EA59C0">
        <w:t>Applicants</w:t>
      </w:r>
      <w:r w:rsidR="00C026A6" w:rsidRPr="00EA59C0">
        <w:t xml:space="preserve"> </w:t>
      </w:r>
      <w:r w:rsidRPr="00EA59C0">
        <w:t>must</w:t>
      </w:r>
      <w:r w:rsidR="00C026A6" w:rsidRPr="00EA59C0">
        <w:t xml:space="preserve"> </w:t>
      </w:r>
      <w:r w:rsidRPr="00EA59C0">
        <w:t>provide</w:t>
      </w:r>
      <w:r w:rsidR="00C026A6" w:rsidRPr="00EA59C0">
        <w:t xml:space="preserve"> </w:t>
      </w:r>
      <w:r w:rsidRPr="00EA59C0">
        <w:t>a</w:t>
      </w:r>
      <w:r w:rsidR="00C026A6" w:rsidRPr="00EA59C0">
        <w:t xml:space="preserve"> </w:t>
      </w:r>
      <w:r w:rsidRPr="00EA59C0">
        <w:t>complete</w:t>
      </w:r>
      <w:r w:rsidR="00C026A6" w:rsidRPr="00EA59C0">
        <w:t xml:space="preserve"> </w:t>
      </w:r>
      <w:r w:rsidRPr="00EA59C0">
        <w:t>and</w:t>
      </w:r>
      <w:r w:rsidR="00C026A6" w:rsidRPr="00EA59C0">
        <w:t xml:space="preserve"> </w:t>
      </w:r>
      <w:r w:rsidRPr="00EA59C0">
        <w:t>clear</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their</w:t>
      </w:r>
      <w:r w:rsidR="00C026A6" w:rsidRPr="00EA59C0">
        <w:t xml:space="preserve"> </w:t>
      </w:r>
      <w:r w:rsidRPr="00EA59C0">
        <w:t>alignment</w:t>
      </w:r>
      <w:r w:rsidR="00C026A6" w:rsidRPr="00EA59C0">
        <w:t xml:space="preserve"> </w:t>
      </w:r>
      <w:r w:rsidRPr="00EA59C0">
        <w:t>with</w:t>
      </w:r>
      <w:r w:rsidR="00C026A6" w:rsidRPr="00EA59C0">
        <w:t xml:space="preserve"> </w:t>
      </w:r>
      <w:r w:rsidRPr="00EA59C0">
        <w:t>their</w:t>
      </w:r>
      <w:r w:rsidR="00C026A6" w:rsidRPr="00EA59C0">
        <w:t xml:space="preserve"> </w:t>
      </w:r>
      <w:r w:rsidR="0097524A" w:rsidRPr="00EA59C0">
        <w:t>Governor’s</w:t>
      </w:r>
      <w:r w:rsidR="00C026A6" w:rsidRPr="00EA59C0">
        <w:t xml:space="preserve"> </w:t>
      </w:r>
      <w:r w:rsidR="0097524A" w:rsidRPr="00EA59C0">
        <w:t>Economic</w:t>
      </w:r>
      <w:r w:rsidR="00C026A6" w:rsidRPr="00EA59C0">
        <w:t xml:space="preserve"> </w:t>
      </w:r>
      <w:r w:rsidR="0097524A" w:rsidRPr="00EA59C0">
        <w:t>Development</w:t>
      </w:r>
      <w:r w:rsidR="00C026A6" w:rsidRPr="00EA59C0">
        <w:t xml:space="preserve"> </w:t>
      </w:r>
      <w:r w:rsidR="0097524A" w:rsidRPr="00EA59C0">
        <w:t>plan</w:t>
      </w:r>
      <w:r w:rsidR="00C026A6" w:rsidRPr="00EA59C0">
        <w:t xml:space="preserve"> </w:t>
      </w:r>
      <w:r w:rsidR="0097524A" w:rsidRPr="00EA59C0">
        <w:t>and</w:t>
      </w:r>
      <w:r w:rsidR="00C026A6" w:rsidRPr="00EA59C0">
        <w:t xml:space="preserve"> </w:t>
      </w:r>
      <w:r w:rsidR="0097524A" w:rsidRPr="00EA59C0">
        <w:t>the</w:t>
      </w:r>
      <w:r w:rsidR="00C026A6" w:rsidRPr="00EA59C0">
        <w:t xml:space="preserve"> </w:t>
      </w:r>
      <w:r w:rsidR="0097524A" w:rsidRPr="00EA59C0">
        <w:t>WIA-WP</w:t>
      </w:r>
      <w:r w:rsidR="00C026A6" w:rsidRPr="00EA59C0">
        <w:t xml:space="preserve"> </w:t>
      </w:r>
      <w:r w:rsidR="0097524A" w:rsidRPr="00EA59C0">
        <w:t>integrated</w:t>
      </w:r>
      <w:r w:rsidR="00C026A6" w:rsidRPr="00EA59C0">
        <w:t xml:space="preserve"> </w:t>
      </w:r>
      <w:r w:rsidR="0097524A" w:rsidRPr="00EA59C0">
        <w:t>state</w:t>
      </w:r>
      <w:r w:rsidR="00C026A6" w:rsidRPr="00EA59C0">
        <w:t xml:space="preserve"> </w:t>
      </w:r>
      <w:r w:rsidR="0097524A" w:rsidRPr="00EA59C0">
        <w:t>workforce</w:t>
      </w:r>
      <w:r w:rsidR="00C026A6" w:rsidRPr="00EA59C0">
        <w:t xml:space="preserve"> </w:t>
      </w:r>
      <w:r w:rsidR="0097524A" w:rsidRPr="00EA59C0">
        <w:t>plan</w:t>
      </w:r>
      <w:r w:rsidRPr="00EA59C0">
        <w:t>,</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their</w:t>
      </w:r>
      <w:r w:rsidR="00C026A6" w:rsidRPr="00EA59C0">
        <w:t xml:space="preserve"> </w:t>
      </w:r>
      <w:r w:rsidRPr="00EA59C0">
        <w:t>involvement</w:t>
      </w:r>
      <w:r w:rsidR="00C026A6" w:rsidRPr="00EA59C0">
        <w:t xml:space="preserve"> </w:t>
      </w:r>
      <w:r w:rsidRPr="00EA59C0">
        <w:t>with</w:t>
      </w:r>
      <w:r w:rsidR="00C026A6" w:rsidRPr="00EA59C0">
        <w:t xml:space="preserve"> </w:t>
      </w:r>
      <w:r w:rsidRPr="00EA59C0">
        <w:t>the</w:t>
      </w:r>
      <w:r w:rsidR="00C026A6" w:rsidRPr="00EA59C0">
        <w:t xml:space="preserve"> </w:t>
      </w:r>
      <w:r w:rsidRPr="00EA59C0">
        <w:t>public</w:t>
      </w:r>
      <w:r w:rsidR="00C026A6" w:rsidRPr="00EA59C0">
        <w:t xml:space="preserve"> </w:t>
      </w:r>
      <w:r w:rsidRPr="00EA59C0">
        <w:t>workforce</w:t>
      </w:r>
      <w:r w:rsidR="00C026A6" w:rsidRPr="00EA59C0">
        <w:t xml:space="preserve"> </w:t>
      </w:r>
      <w:r w:rsidRPr="00EA59C0">
        <w:t>system,</w:t>
      </w:r>
      <w:r w:rsidR="00C026A6" w:rsidRPr="00EA59C0">
        <w:t xml:space="preserve"> </w:t>
      </w:r>
      <w:r w:rsidRPr="00EA59C0">
        <w:t>and</w:t>
      </w:r>
      <w:r w:rsidR="00C026A6" w:rsidRPr="00EA59C0">
        <w:t xml:space="preserve"> </w:t>
      </w:r>
      <w:r w:rsidRPr="00EA59C0">
        <w:t>with</w:t>
      </w:r>
      <w:r w:rsidR="00C026A6" w:rsidRPr="00EA59C0">
        <w:t xml:space="preserve"> </w:t>
      </w:r>
      <w:r w:rsidRPr="00EA59C0">
        <w:t>philanthropic</w:t>
      </w:r>
      <w:r w:rsidR="00C026A6" w:rsidRPr="00EA59C0">
        <w:t xml:space="preserve"> </w:t>
      </w:r>
      <w:r w:rsidRPr="00EA59C0">
        <w:t>organizations,</w:t>
      </w:r>
      <w:r w:rsidR="00C026A6" w:rsidRPr="00EA59C0">
        <w:t xml:space="preserve"> </w:t>
      </w:r>
      <w:r w:rsidRPr="00EA59C0">
        <w:t>business-related</w:t>
      </w:r>
      <w:r w:rsidR="00C026A6" w:rsidRPr="00EA59C0">
        <w:t xml:space="preserve"> </w:t>
      </w:r>
      <w:r w:rsidRPr="00EA59C0">
        <w:t>and</w:t>
      </w:r>
      <w:r w:rsidR="00C026A6" w:rsidRPr="00EA59C0">
        <w:t xml:space="preserve"> </w:t>
      </w:r>
      <w:r w:rsidRPr="00EA59C0">
        <w:t>other</w:t>
      </w:r>
      <w:r w:rsidR="00C026A6" w:rsidRPr="00EA59C0">
        <w:t xml:space="preserve"> </w:t>
      </w:r>
      <w:r w:rsidRPr="00EA59C0">
        <w:t>non-profit</w:t>
      </w:r>
      <w:r w:rsidR="00C026A6" w:rsidRPr="00EA59C0">
        <w:t xml:space="preserve"> </w:t>
      </w:r>
      <w:r w:rsidRPr="00EA59C0">
        <w:t>organizations,</w:t>
      </w:r>
      <w:r w:rsidR="00C026A6" w:rsidRPr="00EA59C0">
        <w:t xml:space="preserve"> </w:t>
      </w:r>
      <w:r w:rsidRPr="00EA59C0">
        <w:t>community-based</w:t>
      </w:r>
      <w:r w:rsidR="00C026A6" w:rsidRPr="00EA59C0">
        <w:t xml:space="preserve"> </w:t>
      </w:r>
      <w:r w:rsidRPr="00EA59C0">
        <w:t>organizations,</w:t>
      </w:r>
      <w:r w:rsidR="00C026A6" w:rsidRPr="00EA59C0">
        <w:t xml:space="preserve"> </w:t>
      </w:r>
      <w:r w:rsidRPr="00EA59C0">
        <w:t>and/or</w:t>
      </w:r>
      <w:r w:rsidR="00C026A6" w:rsidRPr="00EA59C0">
        <w:t xml:space="preserve"> </w:t>
      </w:r>
      <w:r w:rsidRPr="00EA59C0">
        <w:t>labor</w:t>
      </w:r>
      <w:r w:rsidR="00C026A6" w:rsidRPr="00EA59C0">
        <w:t xml:space="preserve"> </w:t>
      </w:r>
      <w:r w:rsidRPr="00EA59C0">
        <w:t>organizations.</w:t>
      </w:r>
    </w:p>
    <w:p w:rsidR="00B807FC" w:rsidRPr="00EA59C0" w:rsidRDefault="00C026A6" w:rsidP="00C072FA">
      <w:pPr>
        <w:ind w:left="360" w:hanging="360"/>
      </w:pPr>
      <w:r w:rsidRPr="00EA59C0">
        <w:t xml:space="preserve"> </w:t>
      </w:r>
    </w:p>
    <w:p w:rsidR="00B807FC" w:rsidRPr="00EA59C0" w:rsidRDefault="00B807FC" w:rsidP="00C072FA">
      <w:pPr>
        <w:pStyle w:val="ListParagraph"/>
        <w:numPr>
          <w:ilvl w:val="6"/>
          <w:numId w:val="17"/>
        </w:numPr>
      </w:pPr>
      <w:r w:rsidRPr="00EA59C0">
        <w:t>Coordination</w:t>
      </w:r>
      <w:r w:rsidR="00C026A6" w:rsidRPr="00EA59C0">
        <w:t xml:space="preserve"> </w:t>
      </w:r>
      <w:r w:rsidRPr="00EA59C0">
        <w:t>with</w:t>
      </w:r>
      <w:r w:rsidR="00C026A6" w:rsidRPr="00EA59C0">
        <w:t xml:space="preserve"> </w:t>
      </w:r>
      <w:r w:rsidRPr="00EA59C0">
        <w:t>Governor’s</w:t>
      </w:r>
      <w:r w:rsidR="00C026A6" w:rsidRPr="00EA59C0">
        <w:t xml:space="preserve"> </w:t>
      </w:r>
      <w:r w:rsidRPr="00EA59C0">
        <w:t>Economic</w:t>
      </w:r>
      <w:r w:rsidR="00C026A6" w:rsidRPr="00EA59C0">
        <w:t xml:space="preserve"> </w:t>
      </w:r>
      <w:r w:rsidRPr="00EA59C0">
        <w:t>Development</w:t>
      </w:r>
      <w:r w:rsidR="00C026A6" w:rsidRPr="00EA59C0">
        <w:t xml:space="preserve"> </w:t>
      </w:r>
      <w:r w:rsidRPr="00EA59C0">
        <w:t>and</w:t>
      </w:r>
      <w:r w:rsidR="00C026A6" w:rsidRPr="00EA59C0">
        <w:t xml:space="preserve"> </w:t>
      </w:r>
      <w:r w:rsidRPr="00EA59C0">
        <w:t>WIA-WP</w:t>
      </w:r>
      <w:r w:rsidR="00C026A6" w:rsidRPr="00EA59C0">
        <w:t xml:space="preserve"> </w:t>
      </w:r>
      <w:r w:rsidRPr="00EA59C0">
        <w:t>integrated</w:t>
      </w:r>
      <w:r w:rsidR="00C026A6" w:rsidRPr="00EA59C0">
        <w:t xml:space="preserve"> </w:t>
      </w:r>
      <w:r w:rsidRPr="00EA59C0">
        <w:t>state</w:t>
      </w:r>
      <w:r w:rsidR="00C026A6" w:rsidRPr="00EA59C0">
        <w:t xml:space="preserve"> </w:t>
      </w:r>
      <w:r w:rsidRPr="00EA59C0">
        <w:t>workforce</w:t>
      </w:r>
      <w:r w:rsidR="00C026A6" w:rsidRPr="00EA59C0">
        <w:t xml:space="preserve"> </w:t>
      </w:r>
      <w:r w:rsidRPr="00EA59C0">
        <w:t>plan</w:t>
      </w:r>
      <w:r w:rsidR="000B2A10" w:rsidRPr="00EA59C0">
        <w:t>s</w:t>
      </w:r>
    </w:p>
    <w:p w:rsidR="00B807FC" w:rsidRPr="00EA59C0" w:rsidRDefault="00B807FC" w:rsidP="00C072FA">
      <w:pPr>
        <w:ind w:left="2520"/>
      </w:pPr>
      <w:r w:rsidRPr="00EA59C0">
        <w:t>Demonstrate</w:t>
      </w:r>
      <w:r w:rsidR="00C026A6" w:rsidRPr="00EA59C0">
        <w:t xml:space="preserve"> </w:t>
      </w:r>
      <w:r w:rsidRPr="00EA59C0">
        <w:t>that</w:t>
      </w:r>
      <w:r w:rsidR="00C026A6" w:rsidRPr="00EA59C0">
        <w:t xml:space="preserve"> </w:t>
      </w:r>
      <w:r w:rsidRPr="00EA59C0">
        <w:t>the</w:t>
      </w:r>
      <w:r w:rsidR="00C026A6" w:rsidRPr="00EA59C0">
        <w:t xml:space="preserve"> </w:t>
      </w:r>
      <w:r w:rsidRPr="00EA59C0">
        <w:t>strategies</w:t>
      </w:r>
      <w:r w:rsidR="00C026A6" w:rsidRPr="00EA59C0">
        <w:t xml:space="preserve"> </w:t>
      </w:r>
      <w:r w:rsidRPr="00EA59C0">
        <w:t>in</w:t>
      </w:r>
      <w:r w:rsidR="00C026A6" w:rsidRPr="00EA59C0">
        <w:t xml:space="preserve"> </w:t>
      </w:r>
      <w:r w:rsidRPr="00EA59C0">
        <w:t>the</w:t>
      </w:r>
      <w:r w:rsidR="00C026A6" w:rsidRPr="00EA59C0">
        <w:t xml:space="preserve"> </w:t>
      </w:r>
      <w:r w:rsidRPr="00EA59C0">
        <w:t>proposed</w:t>
      </w:r>
      <w:r w:rsidR="00C026A6" w:rsidRPr="00EA59C0">
        <w:t xml:space="preserve"> </w:t>
      </w:r>
      <w:r w:rsidRPr="00EA59C0">
        <w:t>TAACCCT</w:t>
      </w:r>
      <w:r w:rsidR="00C026A6" w:rsidRPr="00EA59C0">
        <w:t xml:space="preserve"> </w:t>
      </w:r>
      <w:r w:rsidRPr="00EA59C0">
        <w:t>project</w:t>
      </w:r>
      <w:r w:rsidR="00C026A6" w:rsidRPr="00EA59C0">
        <w:t xml:space="preserve"> </w:t>
      </w:r>
      <w:r w:rsidRPr="00EA59C0">
        <w:t>are</w:t>
      </w:r>
      <w:r w:rsidR="00C026A6" w:rsidRPr="00EA59C0">
        <w:t xml:space="preserve"> </w:t>
      </w:r>
      <w:r w:rsidRPr="00EA59C0">
        <w:t>aligned</w:t>
      </w:r>
      <w:r w:rsidR="00C026A6" w:rsidRPr="00EA59C0">
        <w:t xml:space="preserve"> </w:t>
      </w:r>
      <w:r w:rsidRPr="00EA59C0">
        <w:t>with</w:t>
      </w:r>
      <w:r w:rsidR="00C026A6" w:rsidRPr="00EA59C0">
        <w:t xml:space="preserve"> </w:t>
      </w:r>
      <w:r w:rsidRPr="00EA59C0">
        <w:t>the</w:t>
      </w:r>
      <w:r w:rsidR="00C026A6" w:rsidRPr="00EA59C0">
        <w:t xml:space="preserve"> </w:t>
      </w:r>
      <w:r w:rsidRPr="00EA59C0">
        <w:t>goals</w:t>
      </w:r>
      <w:r w:rsidR="00C026A6" w:rsidRPr="00EA59C0">
        <w:t xml:space="preserve"> </w:t>
      </w:r>
      <w:r w:rsidRPr="00EA59C0">
        <w:t>and</w:t>
      </w:r>
      <w:r w:rsidR="00C026A6" w:rsidRPr="00EA59C0">
        <w:t xml:space="preserve"> </w:t>
      </w:r>
      <w:r w:rsidRPr="00EA59C0">
        <w:t>priorities</w:t>
      </w:r>
      <w:r w:rsidR="00C026A6" w:rsidRPr="00EA59C0">
        <w:t xml:space="preserve"> </w:t>
      </w:r>
      <w:r w:rsidRPr="00EA59C0">
        <w:t>of</w:t>
      </w:r>
      <w:r w:rsidR="00C026A6" w:rsidRPr="00EA59C0">
        <w:t xml:space="preserve"> </w:t>
      </w:r>
      <w:r w:rsidRPr="00EA59C0">
        <w:t>both</w:t>
      </w:r>
      <w:r w:rsidR="00C026A6" w:rsidRPr="00EA59C0">
        <w:t xml:space="preserve"> </w:t>
      </w:r>
      <w:r w:rsidRPr="00EA59C0">
        <w:t>the</w:t>
      </w:r>
      <w:r w:rsidR="00C026A6" w:rsidRPr="00EA59C0">
        <w:t xml:space="preserve"> </w:t>
      </w:r>
      <w:r w:rsidRPr="00EA59C0">
        <w:t>Governor’s</w:t>
      </w:r>
      <w:r w:rsidR="00C026A6" w:rsidRPr="00EA59C0">
        <w:t xml:space="preserve"> </w:t>
      </w:r>
      <w:r w:rsidRPr="00EA59C0">
        <w:t>Economic</w:t>
      </w:r>
      <w:r w:rsidR="00C026A6" w:rsidRPr="00EA59C0">
        <w:t xml:space="preserve"> </w:t>
      </w:r>
      <w:r w:rsidRPr="00EA59C0">
        <w:t>Development</w:t>
      </w:r>
      <w:r w:rsidR="00C026A6" w:rsidRPr="00EA59C0">
        <w:t xml:space="preserve"> </w:t>
      </w:r>
      <w:r w:rsidR="00365D31" w:rsidRPr="00EA59C0">
        <w:t>plan</w:t>
      </w:r>
      <w:r w:rsidR="00C026A6" w:rsidRPr="00EA59C0">
        <w:t xml:space="preserve"> </w:t>
      </w:r>
      <w:r w:rsidRPr="00EA59C0">
        <w:t>and</w:t>
      </w:r>
      <w:r w:rsidR="00C026A6" w:rsidRPr="00EA59C0">
        <w:t xml:space="preserve"> </w:t>
      </w:r>
      <w:r w:rsidRPr="00EA59C0">
        <w:t>WIA-WP</w:t>
      </w:r>
      <w:r w:rsidR="00C026A6" w:rsidRPr="00EA59C0">
        <w:t xml:space="preserve"> </w:t>
      </w:r>
      <w:r w:rsidRPr="00EA59C0">
        <w:t>integrated</w:t>
      </w:r>
      <w:r w:rsidR="00C026A6" w:rsidRPr="00EA59C0">
        <w:t xml:space="preserve"> </w:t>
      </w:r>
      <w:r w:rsidRPr="00EA59C0">
        <w:t>state</w:t>
      </w:r>
      <w:r w:rsidR="00C026A6" w:rsidRPr="00EA59C0">
        <w:t xml:space="preserve"> </w:t>
      </w:r>
      <w:r w:rsidRPr="00EA59C0">
        <w:t>workforce</w:t>
      </w:r>
      <w:r w:rsidR="00C026A6" w:rsidRPr="00EA59C0">
        <w:t xml:space="preserve"> </w:t>
      </w:r>
      <w:r w:rsidRPr="00EA59C0">
        <w:t>plan</w:t>
      </w:r>
      <w:r w:rsidR="00C026A6" w:rsidRPr="00EA59C0">
        <w:t xml:space="preserve"> </w:t>
      </w:r>
      <w:r w:rsidRPr="00EA59C0">
        <w:t>for</w:t>
      </w:r>
      <w:r w:rsidR="00C026A6" w:rsidRPr="00EA59C0">
        <w:t xml:space="preserve"> </w:t>
      </w:r>
      <w:r w:rsidRPr="00EA59C0">
        <w:t>the</w:t>
      </w:r>
      <w:r w:rsidR="00C026A6" w:rsidRPr="00EA59C0">
        <w:t xml:space="preserve"> </w:t>
      </w:r>
      <w:r w:rsidRPr="00EA59C0">
        <w:t>states</w:t>
      </w:r>
      <w:r w:rsidR="00C026A6" w:rsidRPr="00EA59C0">
        <w:t xml:space="preserve"> </w:t>
      </w:r>
      <w:r w:rsidRPr="00EA59C0">
        <w:t>targeted</w:t>
      </w:r>
      <w:r w:rsidR="00C026A6" w:rsidRPr="00EA59C0">
        <w:t xml:space="preserve"> </w:t>
      </w:r>
      <w:r w:rsidRPr="00EA59C0">
        <w:t>through</w:t>
      </w:r>
      <w:r w:rsidR="00C026A6" w:rsidRPr="00EA59C0">
        <w:t xml:space="preserve"> </w:t>
      </w:r>
      <w:r w:rsidRPr="00EA59C0">
        <w:t>its</w:t>
      </w:r>
      <w:r w:rsidR="00C026A6" w:rsidRPr="00EA59C0">
        <w:t xml:space="preserve"> </w:t>
      </w:r>
      <w:r w:rsidRPr="00EA59C0">
        <w:t>project,</w:t>
      </w:r>
      <w:r w:rsidR="00C026A6" w:rsidRPr="00EA59C0">
        <w:t xml:space="preserve"> </w:t>
      </w:r>
      <w:r w:rsidRPr="00EA59C0">
        <w:t>which</w:t>
      </w:r>
      <w:r w:rsidR="00C026A6" w:rsidRPr="00EA59C0">
        <w:t xml:space="preserve"> </w:t>
      </w:r>
      <w:r w:rsidRPr="00EA59C0">
        <w:t>includes</w:t>
      </w:r>
      <w:r w:rsidR="00C026A6" w:rsidRPr="00EA59C0">
        <w:t xml:space="preserve"> </w:t>
      </w:r>
      <w:r w:rsidRPr="00EA59C0">
        <w:t>targeting</w:t>
      </w:r>
      <w:r w:rsidR="00C026A6" w:rsidRPr="00EA59C0">
        <w:t xml:space="preserve"> </w:t>
      </w:r>
      <w:r w:rsidRPr="00EA59C0">
        <w:t>the</w:t>
      </w:r>
      <w:r w:rsidR="00C026A6" w:rsidRPr="00EA59C0">
        <w:t xml:space="preserve"> </w:t>
      </w:r>
      <w:r w:rsidRPr="00EA59C0">
        <w:t>specific</w:t>
      </w:r>
      <w:r w:rsidR="00C026A6" w:rsidRPr="00EA59C0">
        <w:t xml:space="preserve"> </w:t>
      </w:r>
      <w:r w:rsidRPr="00EA59C0">
        <w:t>industry</w:t>
      </w:r>
      <w:r w:rsidR="00C026A6" w:rsidRPr="00EA59C0">
        <w:t xml:space="preserve"> </w:t>
      </w:r>
      <w:r w:rsidRPr="00EA59C0">
        <w:t>sectors</w:t>
      </w:r>
      <w:r w:rsidR="00C026A6" w:rsidRPr="00EA59C0">
        <w:t xml:space="preserve"> </w:t>
      </w:r>
      <w:r w:rsidRPr="00EA59C0">
        <w:t>or</w:t>
      </w:r>
      <w:r w:rsidR="00C026A6" w:rsidRPr="00EA59C0">
        <w:t xml:space="preserve"> </w:t>
      </w:r>
      <w:r w:rsidRPr="00EA59C0">
        <w:t>clusters,</w:t>
      </w:r>
      <w:r w:rsidR="00C026A6" w:rsidRPr="00EA59C0">
        <w:t xml:space="preserve"> </w:t>
      </w:r>
      <w:r w:rsidRPr="00EA59C0">
        <w:t>and</w:t>
      </w:r>
      <w:r w:rsidR="00C026A6" w:rsidRPr="00EA59C0">
        <w:t xml:space="preserve"> </w:t>
      </w:r>
      <w:r w:rsidRPr="00EA59C0">
        <w:t>can</w:t>
      </w:r>
      <w:r w:rsidR="00C026A6" w:rsidRPr="00EA59C0">
        <w:t xml:space="preserve"> </w:t>
      </w:r>
      <w:r w:rsidRPr="00EA59C0">
        <w:t>include</w:t>
      </w:r>
      <w:r w:rsidR="00C026A6" w:rsidRPr="00EA59C0">
        <w:t xml:space="preserve"> </w:t>
      </w:r>
      <w:r w:rsidRPr="00EA59C0">
        <w:t>targeting</w:t>
      </w:r>
      <w:r w:rsidR="00C026A6" w:rsidRPr="00EA59C0">
        <w:t xml:space="preserve"> </w:t>
      </w:r>
      <w:r w:rsidRPr="00EA59C0">
        <w:t>the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strategies,</w:t>
      </w:r>
      <w:r w:rsidR="00C026A6" w:rsidRPr="00EA59C0">
        <w:t xml:space="preserve"> </w:t>
      </w:r>
      <w:r w:rsidRPr="00EA59C0">
        <w:t>and/or</w:t>
      </w:r>
      <w:r w:rsidR="00C026A6" w:rsidRPr="00EA59C0">
        <w:t xml:space="preserve"> </w:t>
      </w:r>
      <w:r w:rsidRPr="00EA59C0">
        <w:t>goals</w:t>
      </w:r>
      <w:r w:rsidR="00C026A6" w:rsidRPr="00EA59C0">
        <w:t xml:space="preserve"> </w:t>
      </w:r>
      <w:r w:rsidRPr="00EA59C0">
        <w:t>for</w:t>
      </w:r>
      <w:r w:rsidR="00C026A6" w:rsidRPr="00EA59C0">
        <w:t xml:space="preserve"> </w:t>
      </w:r>
      <w:r w:rsidRPr="00EA59C0">
        <w:t>credential</w:t>
      </w:r>
      <w:r w:rsidR="00C026A6" w:rsidRPr="00EA59C0">
        <w:t xml:space="preserve"> </w:t>
      </w:r>
      <w:r w:rsidRPr="00EA59C0">
        <w:t>attainment</w:t>
      </w:r>
      <w:r w:rsidR="00C026A6" w:rsidRPr="00EA59C0">
        <w:t xml:space="preserve"> </w:t>
      </w:r>
      <w:r w:rsidRPr="00EA59C0">
        <w:t>included</w:t>
      </w:r>
      <w:r w:rsidR="00C026A6" w:rsidRPr="00EA59C0">
        <w:t xml:space="preserve"> </w:t>
      </w:r>
      <w:r w:rsidRPr="00EA59C0">
        <w:t>in</w:t>
      </w:r>
      <w:r w:rsidR="00C026A6" w:rsidRPr="00EA59C0">
        <w:t xml:space="preserve"> </w:t>
      </w:r>
      <w:r w:rsidRPr="00EA59C0">
        <w:t>these</w:t>
      </w:r>
      <w:r w:rsidR="00C026A6" w:rsidRPr="00EA59C0">
        <w:t xml:space="preserve"> </w:t>
      </w:r>
      <w:r w:rsidRPr="00EA59C0">
        <w:t>plans.</w:t>
      </w:r>
      <w:r w:rsidR="00C026A6" w:rsidRPr="00EA59C0">
        <w:t xml:space="preserve">  </w:t>
      </w:r>
      <w:r w:rsidRPr="00EA59C0">
        <w:t>Identify</w:t>
      </w:r>
      <w:r w:rsidR="00C026A6" w:rsidRPr="00EA59C0">
        <w:t xml:space="preserve"> </w:t>
      </w:r>
      <w:r w:rsidRPr="00EA59C0">
        <w:t>specific</w:t>
      </w:r>
      <w:r w:rsidR="00C026A6" w:rsidRPr="00EA59C0">
        <w:t xml:space="preserve"> </w:t>
      </w:r>
      <w:r w:rsidRPr="00EA59C0">
        <w:t>goals</w:t>
      </w:r>
      <w:r w:rsidR="00C026A6" w:rsidRPr="00EA59C0">
        <w:t xml:space="preserve"> </w:t>
      </w:r>
      <w:r w:rsidRPr="00EA59C0">
        <w:t>and</w:t>
      </w:r>
      <w:r w:rsidR="00C026A6" w:rsidRPr="00EA59C0">
        <w:t xml:space="preserve"> </w:t>
      </w:r>
      <w:r w:rsidRPr="00EA59C0">
        <w:t>priorities</w:t>
      </w:r>
      <w:r w:rsidR="00C026A6" w:rsidRPr="00EA59C0">
        <w:t xml:space="preserve"> </w:t>
      </w:r>
      <w:r w:rsidRPr="00EA59C0">
        <w:t>of</w:t>
      </w:r>
      <w:r w:rsidR="00C026A6" w:rsidRPr="00EA59C0">
        <w:t xml:space="preserve"> </w:t>
      </w:r>
      <w:r w:rsidRPr="00EA59C0">
        <w:t>the</w:t>
      </w:r>
      <w:r w:rsidR="00C026A6" w:rsidRPr="00EA59C0">
        <w:t xml:space="preserve"> </w:t>
      </w:r>
      <w:r w:rsidRPr="00EA59C0">
        <w:t>Governor’s</w:t>
      </w:r>
      <w:r w:rsidR="00C026A6" w:rsidRPr="00EA59C0">
        <w:t xml:space="preserve"> </w:t>
      </w:r>
      <w:r w:rsidRPr="00EA59C0">
        <w:t>Economic</w:t>
      </w:r>
      <w:r w:rsidR="00C026A6" w:rsidRPr="00EA59C0">
        <w:t xml:space="preserve"> </w:t>
      </w:r>
      <w:r w:rsidRPr="00EA59C0">
        <w:t>Development</w:t>
      </w:r>
      <w:r w:rsidR="00C026A6" w:rsidRPr="00EA59C0">
        <w:t xml:space="preserve"> </w:t>
      </w:r>
      <w:r w:rsidRPr="00EA59C0">
        <w:t>and</w:t>
      </w:r>
      <w:r w:rsidR="00C026A6" w:rsidRPr="00EA59C0">
        <w:t xml:space="preserve"> </w:t>
      </w:r>
      <w:r w:rsidRPr="00EA59C0">
        <w:t>WIA-WP</w:t>
      </w:r>
      <w:r w:rsidR="00C026A6" w:rsidRPr="00EA59C0">
        <w:t xml:space="preserve"> </w:t>
      </w:r>
      <w:r w:rsidRPr="00EA59C0">
        <w:t>state</w:t>
      </w:r>
      <w:r w:rsidR="00C026A6" w:rsidRPr="00EA59C0">
        <w:t xml:space="preserve"> </w:t>
      </w:r>
      <w:r w:rsidRPr="00EA59C0">
        <w:t>workforce</w:t>
      </w:r>
      <w:r w:rsidR="00C026A6" w:rsidRPr="00EA59C0">
        <w:t xml:space="preserve"> </w:t>
      </w:r>
      <w:r w:rsidRPr="00EA59C0">
        <w:t>plan</w:t>
      </w:r>
      <w:r w:rsidR="00365D31" w:rsidRPr="00EA59C0">
        <w:t>s</w:t>
      </w:r>
      <w:r w:rsidRPr="00EA59C0">
        <w:t>,</w:t>
      </w:r>
      <w:r w:rsidR="00C026A6" w:rsidRPr="00EA59C0">
        <w:t xml:space="preserve"> </w:t>
      </w:r>
      <w:r w:rsidRPr="00EA59C0">
        <w:t>and</w:t>
      </w:r>
      <w:r w:rsidR="00C026A6" w:rsidRPr="00EA59C0">
        <w:t xml:space="preserve"> </w:t>
      </w:r>
      <w:r w:rsidRPr="00EA59C0">
        <w:t>indicate</w:t>
      </w:r>
      <w:r w:rsidR="00C026A6" w:rsidRPr="00EA59C0">
        <w:t xml:space="preserve"> </w:t>
      </w:r>
      <w:r w:rsidRPr="00EA59C0">
        <w:t>how</w:t>
      </w:r>
      <w:r w:rsidR="00C026A6" w:rsidRPr="00EA59C0">
        <w:t xml:space="preserve"> </w:t>
      </w:r>
      <w:r w:rsidRPr="00EA59C0">
        <w:t>the</w:t>
      </w:r>
      <w:r w:rsidR="00C026A6" w:rsidRPr="00EA59C0">
        <w:t xml:space="preserve"> </w:t>
      </w:r>
      <w:r w:rsidRPr="00EA59C0">
        <w:t>specific</w:t>
      </w:r>
      <w:r w:rsidR="00C026A6" w:rsidRPr="00EA59C0">
        <w:t xml:space="preserve"> </w:t>
      </w:r>
      <w:r w:rsidRPr="00EA59C0">
        <w:t>strategies</w:t>
      </w:r>
      <w:r w:rsidR="00C026A6" w:rsidRPr="00EA59C0">
        <w:t xml:space="preserve"> </w:t>
      </w:r>
      <w:r w:rsidRPr="00EA59C0">
        <w:t>included</w:t>
      </w:r>
      <w:r w:rsidR="00C026A6" w:rsidRPr="00EA59C0">
        <w:t xml:space="preserve"> </w:t>
      </w:r>
      <w:r w:rsidRPr="00EA59C0">
        <w:t>in</w:t>
      </w:r>
      <w:r w:rsidR="00C026A6" w:rsidRPr="00EA59C0">
        <w:t xml:space="preserve"> </w:t>
      </w:r>
      <w:r w:rsidRPr="00EA59C0">
        <w:t>the</w:t>
      </w:r>
      <w:r w:rsidR="00C026A6" w:rsidRPr="00EA59C0">
        <w:t xml:space="preserve"> </w:t>
      </w:r>
      <w:r w:rsidRPr="00EA59C0">
        <w:t>proposed</w:t>
      </w:r>
      <w:r w:rsidR="00C026A6" w:rsidRPr="00EA59C0">
        <w:t xml:space="preserve"> </w:t>
      </w:r>
      <w:r w:rsidRPr="00EA59C0">
        <w:t>TAACCCT</w:t>
      </w:r>
      <w:r w:rsidR="00C026A6" w:rsidRPr="00EA59C0">
        <w:t xml:space="preserve"> </w:t>
      </w:r>
      <w:r w:rsidRPr="00EA59C0">
        <w:t>project</w:t>
      </w:r>
      <w:r w:rsidR="00C026A6" w:rsidRPr="00EA59C0">
        <w:t xml:space="preserve"> </w:t>
      </w:r>
      <w:r w:rsidRPr="00EA59C0">
        <w:t>support</w:t>
      </w:r>
      <w:r w:rsidR="00C026A6" w:rsidRPr="00EA59C0">
        <w:t xml:space="preserve"> </w:t>
      </w:r>
      <w:r w:rsidRPr="00EA59C0">
        <w:t>the</w:t>
      </w:r>
      <w:r w:rsidR="00C026A6" w:rsidRPr="00EA59C0">
        <w:t xml:space="preserve"> </w:t>
      </w:r>
      <w:r w:rsidRPr="00EA59C0">
        <w:t>achievement</w:t>
      </w:r>
      <w:r w:rsidR="00C026A6" w:rsidRPr="00EA59C0">
        <w:t xml:space="preserve"> </w:t>
      </w:r>
      <w:r w:rsidRPr="00EA59C0">
        <w:t>of</w:t>
      </w:r>
      <w:r w:rsidR="00C026A6" w:rsidRPr="00EA59C0">
        <w:t xml:space="preserve"> </w:t>
      </w:r>
      <w:r w:rsidRPr="00EA59C0">
        <w:t>these</w:t>
      </w:r>
      <w:r w:rsidR="00C026A6" w:rsidRPr="00EA59C0">
        <w:t xml:space="preserve"> </w:t>
      </w:r>
      <w:r w:rsidRPr="00EA59C0">
        <w:t>goals</w:t>
      </w:r>
      <w:r w:rsidR="00C026A6" w:rsidRPr="00EA59C0">
        <w:t xml:space="preserve"> </w:t>
      </w:r>
      <w:r w:rsidRPr="00EA59C0">
        <w:t>and</w:t>
      </w:r>
      <w:r w:rsidR="00C026A6" w:rsidRPr="00EA59C0">
        <w:t xml:space="preserve"> </w:t>
      </w:r>
      <w:r w:rsidRPr="00EA59C0">
        <w:t>priorities.</w:t>
      </w:r>
    </w:p>
    <w:p w:rsidR="00B807FC" w:rsidRPr="00EA59C0" w:rsidRDefault="00B807FC" w:rsidP="00C072FA">
      <w:pPr>
        <w:ind w:left="360" w:hanging="360"/>
      </w:pPr>
    </w:p>
    <w:p w:rsidR="00B807FC" w:rsidRPr="00EA59C0" w:rsidRDefault="00B807FC" w:rsidP="00C072FA">
      <w:pPr>
        <w:pStyle w:val="ListParagraph"/>
        <w:numPr>
          <w:ilvl w:val="6"/>
          <w:numId w:val="17"/>
        </w:numPr>
      </w:pPr>
      <w:r w:rsidRPr="00EA59C0">
        <w:t>Coordination</w:t>
      </w:r>
      <w:r w:rsidR="00C026A6" w:rsidRPr="00EA59C0">
        <w:t xml:space="preserve"> </w:t>
      </w:r>
      <w:r w:rsidRPr="00EA59C0">
        <w:t>with</w:t>
      </w:r>
      <w:r w:rsidR="00C026A6" w:rsidRPr="00EA59C0">
        <w:t xml:space="preserve"> </w:t>
      </w:r>
      <w:r w:rsidRPr="00EA59C0">
        <w:t>the</w:t>
      </w:r>
      <w:r w:rsidR="00C026A6" w:rsidRPr="00EA59C0">
        <w:t xml:space="preserve"> </w:t>
      </w:r>
      <w:r w:rsidRPr="00EA59C0">
        <w:t>Public</w:t>
      </w:r>
      <w:r w:rsidR="00C026A6" w:rsidRPr="00EA59C0">
        <w:t xml:space="preserve"> </w:t>
      </w:r>
      <w:r w:rsidRPr="00EA59C0">
        <w:t>Workforce</w:t>
      </w:r>
      <w:r w:rsidR="00C026A6" w:rsidRPr="00EA59C0">
        <w:t xml:space="preserve"> </w:t>
      </w:r>
      <w:r w:rsidRPr="00EA59C0">
        <w:t>System</w:t>
      </w:r>
      <w:r w:rsidR="00C026A6" w:rsidRPr="00EA59C0">
        <w:t xml:space="preserve"> </w:t>
      </w:r>
    </w:p>
    <w:p w:rsidR="00703DDF" w:rsidRPr="00EA59C0" w:rsidRDefault="00703DDF" w:rsidP="00703DDF">
      <w:pPr>
        <w:ind w:left="2520"/>
      </w:pPr>
      <w:r w:rsidRPr="00EA59C0">
        <w:t xml:space="preserve">Provide a plan to engage and collaborate with local WIBs, AJCs, and the state agency that administers the TAA for workers program, and potentially other workforce system partners as defined under Section 121(b)(1) of WIA.  Applicants must propose to partner with at least one Local WIB to support this project.  At least one Local WIB or AJC must be involved, along with the state agency that administers the TAA for workers program, in the development and implementation of the project.  Some other workforce system entities that could be involved in the project include adult education agencies, career and technical education agencies, vocational rehabilitation agencies, state workforce education coordinating boards, and other post-secondary education agencies.  </w:t>
      </w:r>
    </w:p>
    <w:p w:rsidR="00703DDF" w:rsidRPr="00EA59C0" w:rsidRDefault="00703DDF" w:rsidP="00703DDF">
      <w:pPr>
        <w:ind w:left="2520"/>
      </w:pPr>
    </w:p>
    <w:p w:rsidR="00703DDF" w:rsidRPr="00EA59C0" w:rsidRDefault="00703DDF" w:rsidP="00703DDF">
      <w:pPr>
        <w:ind w:left="2520"/>
      </w:pPr>
      <w:r w:rsidRPr="00EA59C0">
        <w:t xml:space="preserve">Applicants must describe the role of the WIB(s) in the project. Applicants must provide evidence that the public workforce system entities are committed to be involved in the project.  The public workforce system entity may provide a wide array of services and activities in support of the TAACCCT project, using both leveraged resources such as WIA funding as well as funding provided through the TAACCCT grant.  Any TAACCCT funds provided to the workforce system must be in the form of a contract to provide services or activities tailored to the TAACCCT project that are not already funded by other grants.  The leveraged and contract services and activities can include:   </w:t>
      </w:r>
    </w:p>
    <w:p w:rsidR="00703DDF" w:rsidRPr="00EA59C0" w:rsidRDefault="00703DDF" w:rsidP="00C072FA">
      <w:pPr>
        <w:ind w:left="2520"/>
      </w:pPr>
    </w:p>
    <w:p w:rsidR="00A34865" w:rsidRPr="00EA59C0" w:rsidRDefault="00A34865" w:rsidP="00C072FA">
      <w:pPr>
        <w:pStyle w:val="ListParagraph"/>
      </w:pPr>
    </w:p>
    <w:p w:rsidR="00703DDF" w:rsidRPr="00EA59C0" w:rsidRDefault="00703DDF" w:rsidP="00703DDF">
      <w:pPr>
        <w:pStyle w:val="ListParagraph"/>
        <w:numPr>
          <w:ilvl w:val="0"/>
          <w:numId w:val="26"/>
        </w:numPr>
        <w:tabs>
          <w:tab w:val="left" w:pos="1800"/>
        </w:tabs>
        <w:ind w:left="2880"/>
      </w:pPr>
      <w:r w:rsidRPr="00EA59C0">
        <w:t>Referring appropriate candidates to TAACCCT programs for education and training including TAA-eligible workers;</w:t>
      </w:r>
    </w:p>
    <w:p w:rsidR="00703DDF" w:rsidRPr="00EA59C0" w:rsidRDefault="00703DDF" w:rsidP="00703DDF">
      <w:pPr>
        <w:pStyle w:val="ListParagraph"/>
        <w:numPr>
          <w:ilvl w:val="0"/>
          <w:numId w:val="26"/>
        </w:numPr>
        <w:tabs>
          <w:tab w:val="left" w:pos="1800"/>
        </w:tabs>
        <w:ind w:left="2880"/>
      </w:pPr>
      <w:r w:rsidRPr="00EA59C0">
        <w:t>Co-enrolling TAACCCT participants into WIA Title I programs, where appropriate;</w:t>
      </w:r>
    </w:p>
    <w:p w:rsidR="00703DDF" w:rsidRPr="00EA59C0" w:rsidRDefault="00703DDF" w:rsidP="00703DDF">
      <w:pPr>
        <w:pStyle w:val="ListParagraph"/>
        <w:numPr>
          <w:ilvl w:val="0"/>
          <w:numId w:val="26"/>
        </w:numPr>
        <w:tabs>
          <w:tab w:val="left" w:pos="1800"/>
        </w:tabs>
        <w:ind w:left="2880"/>
      </w:pPr>
      <w:r w:rsidRPr="00EA59C0">
        <w:t>Providing supportive services in a leveraged and coordinated manner with the community college, through WIA, TAA for workers programs, and other resources;</w:t>
      </w:r>
    </w:p>
    <w:p w:rsidR="00703DDF" w:rsidRPr="00EA59C0" w:rsidRDefault="00703DDF" w:rsidP="006B6408">
      <w:pPr>
        <w:pStyle w:val="ListParagraph"/>
        <w:numPr>
          <w:ilvl w:val="0"/>
          <w:numId w:val="26"/>
        </w:numPr>
        <w:tabs>
          <w:tab w:val="left" w:pos="1800"/>
        </w:tabs>
        <w:ind w:left="2880"/>
      </w:pPr>
      <w:r w:rsidRPr="00EA59C0">
        <w:t>Helping facilitate employer engagement in the sector strategy, supporting their involvement in both required and encouraged roles in the TAACCCT partnership;</w:t>
      </w:r>
    </w:p>
    <w:p w:rsidR="00703DDF" w:rsidRPr="00EA59C0" w:rsidRDefault="00703DDF" w:rsidP="00703DDF">
      <w:pPr>
        <w:pStyle w:val="ListParagraph"/>
        <w:numPr>
          <w:ilvl w:val="0"/>
          <w:numId w:val="26"/>
        </w:numPr>
        <w:tabs>
          <w:tab w:val="left" w:pos="1800"/>
        </w:tabs>
        <w:ind w:left="2880"/>
      </w:pPr>
      <w:r w:rsidRPr="00EA59C0">
        <w:t>Creating and implementing a comprehensive strategy of determining the skills needs of employers and the suitability of individuals for training and the attai</w:t>
      </w:r>
      <w:r w:rsidR="0084778A" w:rsidRPr="00EA59C0">
        <w:t>nment of associated credentials;</w:t>
      </w:r>
    </w:p>
    <w:p w:rsidR="00703DDF" w:rsidRPr="00EA59C0" w:rsidRDefault="00703DDF" w:rsidP="006B6408">
      <w:pPr>
        <w:pStyle w:val="ListParagraph"/>
        <w:numPr>
          <w:ilvl w:val="0"/>
          <w:numId w:val="26"/>
        </w:numPr>
        <w:tabs>
          <w:tab w:val="left" w:pos="1800"/>
        </w:tabs>
        <w:ind w:left="2880"/>
      </w:pPr>
      <w:r w:rsidRPr="00EA59C0">
        <w:t>Assisting grantee by providing comprehensive counseling and coaching to TAACCCT participants to help improve participant retention and completion of the TAACCCT program.  Specific strategies could include intrusive counseling, expanded and extensive mentoring services, and technology-enabled advising not otherwise available at the AJC</w:t>
      </w:r>
      <w:r w:rsidR="004A6E3F" w:rsidRPr="00EA59C0">
        <w:t>;</w:t>
      </w:r>
    </w:p>
    <w:p w:rsidR="00703DDF" w:rsidRPr="00EA59C0" w:rsidRDefault="00703DDF" w:rsidP="00703DDF">
      <w:pPr>
        <w:pStyle w:val="ListParagraph"/>
        <w:numPr>
          <w:ilvl w:val="0"/>
          <w:numId w:val="26"/>
        </w:numPr>
        <w:tabs>
          <w:tab w:val="left" w:pos="1800"/>
        </w:tabs>
        <w:ind w:left="2880"/>
      </w:pPr>
      <w:r w:rsidRPr="00EA59C0">
        <w:t>Customizing tracking and reporting outcomes data for all TAACCCT participants as they complete the program and enter the workforce, to improve reporting on TAACCCT programs;</w:t>
      </w:r>
    </w:p>
    <w:p w:rsidR="00703DDF" w:rsidRPr="00EA59C0" w:rsidRDefault="00703DDF" w:rsidP="00703DDF">
      <w:pPr>
        <w:pStyle w:val="ListParagraph"/>
        <w:numPr>
          <w:ilvl w:val="0"/>
          <w:numId w:val="26"/>
        </w:numPr>
        <w:tabs>
          <w:tab w:val="left" w:pos="1800"/>
        </w:tabs>
        <w:ind w:left="2880"/>
      </w:pPr>
      <w:r w:rsidRPr="00EA59C0">
        <w:t>Connecting TAACCCT participants with employer partners to assist them in recruiting and hiring individuals who complete the TAACCCT program and achieving the grant’s overall employment and retention goals</w:t>
      </w:r>
      <w:r w:rsidR="004A6E3F" w:rsidRPr="00EA59C0">
        <w:t>;</w:t>
      </w:r>
    </w:p>
    <w:p w:rsidR="00703DDF" w:rsidRPr="00EA59C0" w:rsidRDefault="00703DDF" w:rsidP="00703DDF">
      <w:pPr>
        <w:pStyle w:val="ListParagraph"/>
        <w:numPr>
          <w:ilvl w:val="0"/>
          <w:numId w:val="26"/>
        </w:numPr>
        <w:tabs>
          <w:tab w:val="left" w:pos="1800"/>
        </w:tabs>
        <w:ind w:left="2880"/>
      </w:pPr>
      <w:r w:rsidRPr="00EA59C0">
        <w:t>Providing seamless coordination of college and AJC assessment, support, counseling, and other services for TAACCCT participants through Career Coaches, such as Workforce Navigators for the TAACCCT program; and</w:t>
      </w:r>
    </w:p>
    <w:p w:rsidR="00703DDF" w:rsidRPr="00EA59C0" w:rsidRDefault="00703DDF" w:rsidP="00703DDF">
      <w:pPr>
        <w:pStyle w:val="ListParagraph"/>
        <w:numPr>
          <w:ilvl w:val="0"/>
          <w:numId w:val="26"/>
        </w:numPr>
        <w:tabs>
          <w:tab w:val="left" w:pos="1800"/>
        </w:tabs>
        <w:ind w:left="2880"/>
      </w:pPr>
      <w:r w:rsidRPr="00EA59C0">
        <w:t>Working with successful applicants for TAACCCT programs to ensure that proposed Programs of Study qualify for inclusion on appropriate eligible training provider lists.</w:t>
      </w:r>
    </w:p>
    <w:p w:rsidR="00703DDF" w:rsidRPr="00EA59C0" w:rsidRDefault="00703DDF" w:rsidP="004F0726">
      <w:pPr>
        <w:pStyle w:val="ListParagraph"/>
        <w:tabs>
          <w:tab w:val="left" w:pos="1800"/>
        </w:tabs>
      </w:pPr>
    </w:p>
    <w:p w:rsidR="004C26F4" w:rsidRPr="00EA59C0" w:rsidRDefault="004C26F4" w:rsidP="00C072FA">
      <w:pPr>
        <w:ind w:left="2160"/>
      </w:pPr>
    </w:p>
    <w:p w:rsidR="00B807FC" w:rsidRPr="00EA59C0" w:rsidRDefault="00C026A6" w:rsidP="00C072FA">
      <w:pPr>
        <w:pStyle w:val="ListParagraph"/>
        <w:numPr>
          <w:ilvl w:val="6"/>
          <w:numId w:val="17"/>
        </w:numPr>
      </w:pPr>
      <w:r w:rsidRPr="00EA59C0">
        <w:t xml:space="preserve"> </w:t>
      </w:r>
      <w:r w:rsidR="00B807FC" w:rsidRPr="00EA59C0">
        <w:t>Coordination</w:t>
      </w:r>
      <w:r w:rsidRPr="00EA59C0">
        <w:t xml:space="preserve"> </w:t>
      </w:r>
      <w:r w:rsidR="00B807FC" w:rsidRPr="00EA59C0">
        <w:t>with</w:t>
      </w:r>
      <w:r w:rsidRPr="00EA59C0">
        <w:t xml:space="preserve"> </w:t>
      </w:r>
      <w:r w:rsidR="00B807FC" w:rsidRPr="00EA59C0">
        <w:t>Philanthropic</w:t>
      </w:r>
      <w:r w:rsidRPr="00EA59C0">
        <w:t xml:space="preserve"> </w:t>
      </w:r>
      <w:r w:rsidR="00B807FC" w:rsidRPr="00EA59C0">
        <w:t>Organizations,</w:t>
      </w:r>
      <w:r w:rsidRPr="00EA59C0">
        <w:t xml:space="preserve"> </w:t>
      </w:r>
      <w:r w:rsidR="00B807FC" w:rsidRPr="00EA59C0">
        <w:t>Business-related</w:t>
      </w:r>
      <w:r w:rsidRPr="00EA59C0">
        <w:t xml:space="preserve"> </w:t>
      </w:r>
      <w:r w:rsidR="00B807FC" w:rsidRPr="00EA59C0">
        <w:t>and</w:t>
      </w:r>
      <w:r w:rsidRPr="00EA59C0">
        <w:t xml:space="preserve"> </w:t>
      </w:r>
      <w:r w:rsidR="00B807FC" w:rsidRPr="00EA59C0">
        <w:t>Other</w:t>
      </w:r>
      <w:r w:rsidRPr="00EA59C0">
        <w:t xml:space="preserve"> </w:t>
      </w:r>
      <w:r w:rsidR="00B807FC" w:rsidRPr="00EA59C0">
        <w:t>Non-profit</w:t>
      </w:r>
      <w:r w:rsidRPr="00EA59C0">
        <w:t xml:space="preserve"> </w:t>
      </w:r>
      <w:r w:rsidR="00B807FC" w:rsidRPr="00EA59C0">
        <w:t>Organizations,</w:t>
      </w:r>
      <w:r w:rsidRPr="00EA59C0">
        <w:t xml:space="preserve"> </w:t>
      </w:r>
      <w:r w:rsidR="00B807FC" w:rsidRPr="00EA59C0">
        <w:t>Community-based</w:t>
      </w:r>
      <w:r w:rsidRPr="00EA59C0">
        <w:t xml:space="preserve"> </w:t>
      </w:r>
      <w:r w:rsidR="00B807FC" w:rsidRPr="00EA59C0">
        <w:t>Organizations,</w:t>
      </w:r>
      <w:r w:rsidRPr="00EA59C0">
        <w:t xml:space="preserve"> </w:t>
      </w:r>
      <w:r w:rsidR="00B807FC" w:rsidRPr="00EA59C0">
        <w:t>and</w:t>
      </w:r>
      <w:r w:rsidRPr="00EA59C0">
        <w:t xml:space="preserve"> </w:t>
      </w:r>
      <w:r w:rsidR="00B807FC" w:rsidRPr="00EA59C0">
        <w:t>Labor</w:t>
      </w:r>
      <w:r w:rsidRPr="00EA59C0">
        <w:t xml:space="preserve"> </w:t>
      </w:r>
      <w:r w:rsidR="00B807FC" w:rsidRPr="00EA59C0">
        <w:t>Organizations</w:t>
      </w:r>
      <w:r w:rsidRPr="00EA59C0">
        <w:t xml:space="preserve"> </w:t>
      </w:r>
    </w:p>
    <w:p w:rsidR="0085160D" w:rsidRPr="00EA59C0" w:rsidRDefault="00637DBF" w:rsidP="00C072FA">
      <w:pPr>
        <w:ind w:left="2520"/>
      </w:pPr>
      <w:r w:rsidRPr="00EA59C0">
        <w:t>Applicants</w:t>
      </w:r>
      <w:r w:rsidR="00C026A6" w:rsidRPr="00EA59C0">
        <w:t xml:space="preserve"> </w:t>
      </w:r>
      <w:r w:rsidRPr="00EA59C0">
        <w:t>must</w:t>
      </w:r>
      <w:r w:rsidR="00C026A6" w:rsidRPr="00EA59C0">
        <w:t xml:space="preserve"> </w:t>
      </w:r>
      <w:r w:rsidRPr="00EA59C0">
        <w:t>describe</w:t>
      </w:r>
      <w:r w:rsidR="00C026A6" w:rsidRPr="00EA59C0">
        <w:t xml:space="preserve"> </w:t>
      </w:r>
      <w:r w:rsidR="00B807FC" w:rsidRPr="00EA59C0">
        <w:t>plans</w:t>
      </w:r>
      <w:r w:rsidR="00C026A6" w:rsidRPr="00EA59C0">
        <w:t xml:space="preserve"> </w:t>
      </w:r>
      <w:r w:rsidR="00B807FC" w:rsidRPr="00EA59C0">
        <w:t>to</w:t>
      </w:r>
      <w:r w:rsidR="00C026A6" w:rsidRPr="00EA59C0">
        <w:t xml:space="preserve"> </w:t>
      </w:r>
      <w:r w:rsidR="00B807FC" w:rsidRPr="00EA59C0">
        <w:t>collaborate</w:t>
      </w:r>
      <w:r w:rsidR="00C026A6" w:rsidRPr="00EA59C0">
        <w:t xml:space="preserve"> </w:t>
      </w:r>
      <w:r w:rsidR="00B807FC" w:rsidRPr="00EA59C0">
        <w:t>with</w:t>
      </w:r>
      <w:r w:rsidR="00C026A6" w:rsidRPr="00EA59C0">
        <w:t xml:space="preserve"> </w:t>
      </w:r>
      <w:r w:rsidR="00B807FC" w:rsidRPr="00EA59C0">
        <w:t>philanthropic</w:t>
      </w:r>
      <w:r w:rsidR="00C026A6" w:rsidRPr="00EA59C0">
        <w:t xml:space="preserve"> </w:t>
      </w:r>
      <w:r w:rsidR="00B807FC" w:rsidRPr="00EA59C0">
        <w:t>organizations,</w:t>
      </w:r>
      <w:r w:rsidR="00C026A6" w:rsidRPr="00EA59C0">
        <w:t xml:space="preserve"> </w:t>
      </w:r>
      <w:r w:rsidR="00B807FC" w:rsidRPr="00EA59C0">
        <w:t>business-related</w:t>
      </w:r>
      <w:r w:rsidR="00C026A6" w:rsidRPr="00EA59C0">
        <w:t xml:space="preserve"> </w:t>
      </w:r>
      <w:r w:rsidR="00B807FC" w:rsidRPr="00EA59C0">
        <w:t>and</w:t>
      </w:r>
      <w:r w:rsidR="00C026A6" w:rsidRPr="00EA59C0">
        <w:t xml:space="preserve"> </w:t>
      </w:r>
      <w:r w:rsidR="00B807FC" w:rsidRPr="00EA59C0">
        <w:t>other</w:t>
      </w:r>
      <w:r w:rsidR="00C026A6" w:rsidRPr="00EA59C0">
        <w:t xml:space="preserve"> </w:t>
      </w:r>
      <w:r w:rsidR="00B807FC" w:rsidRPr="00EA59C0">
        <w:t>non-profit</w:t>
      </w:r>
      <w:r w:rsidR="00C026A6" w:rsidRPr="00EA59C0">
        <w:t xml:space="preserve"> </w:t>
      </w:r>
      <w:r w:rsidR="00B807FC" w:rsidRPr="00EA59C0">
        <w:t>organizations,</w:t>
      </w:r>
      <w:r w:rsidR="00C026A6" w:rsidRPr="00EA59C0">
        <w:t xml:space="preserve"> </w:t>
      </w:r>
      <w:r w:rsidR="00B807FC" w:rsidRPr="00EA59C0">
        <w:t>community-based</w:t>
      </w:r>
      <w:r w:rsidR="00C026A6" w:rsidRPr="00EA59C0">
        <w:t xml:space="preserve"> </w:t>
      </w:r>
      <w:r w:rsidR="00B807FC" w:rsidRPr="00EA59C0">
        <w:t>organizations,</w:t>
      </w:r>
      <w:r w:rsidR="00C026A6" w:rsidRPr="00EA59C0">
        <w:t xml:space="preserve"> </w:t>
      </w:r>
      <w:r w:rsidR="00B807FC" w:rsidRPr="00EA59C0">
        <w:t>and</w:t>
      </w:r>
      <w:r w:rsidR="004C26F4" w:rsidRPr="00EA59C0">
        <w:t>/or</w:t>
      </w:r>
      <w:r w:rsidR="00C026A6" w:rsidRPr="00EA59C0">
        <w:t xml:space="preserve"> </w:t>
      </w:r>
      <w:r w:rsidR="00B807FC" w:rsidRPr="00EA59C0">
        <w:t>labor</w:t>
      </w:r>
      <w:r w:rsidR="00C026A6" w:rsidRPr="00EA59C0">
        <w:t xml:space="preserve"> </w:t>
      </w:r>
      <w:r w:rsidR="00B807FC" w:rsidRPr="00EA59C0">
        <w:t>organizations,</w:t>
      </w:r>
      <w:r w:rsidR="00C026A6" w:rsidRPr="00EA59C0">
        <w:t xml:space="preserve"> </w:t>
      </w:r>
      <w:r w:rsidR="00B807FC" w:rsidRPr="00EA59C0">
        <w:t>especially</w:t>
      </w:r>
      <w:r w:rsidR="00C026A6" w:rsidRPr="00EA59C0">
        <w:t xml:space="preserve"> </w:t>
      </w:r>
      <w:r w:rsidR="00B807FC" w:rsidRPr="00EA59C0">
        <w:t>those</w:t>
      </w:r>
      <w:r w:rsidR="00C026A6" w:rsidRPr="00EA59C0">
        <w:t xml:space="preserve"> </w:t>
      </w:r>
      <w:r w:rsidR="00B807FC" w:rsidRPr="00EA59C0">
        <w:t>engaged</w:t>
      </w:r>
      <w:r w:rsidR="00C026A6" w:rsidRPr="00EA59C0">
        <w:t xml:space="preserve"> </w:t>
      </w:r>
      <w:r w:rsidR="00B807FC" w:rsidRPr="00EA59C0">
        <w:t>in</w:t>
      </w:r>
      <w:r w:rsidR="00C026A6" w:rsidRPr="00EA59C0">
        <w:t xml:space="preserve"> </w:t>
      </w:r>
      <w:r w:rsidR="00B807FC" w:rsidRPr="00EA59C0">
        <w:t>sector</w:t>
      </w:r>
      <w:r w:rsidR="00C026A6" w:rsidRPr="00EA59C0">
        <w:t xml:space="preserve"> </w:t>
      </w:r>
      <w:r w:rsidR="00B807FC" w:rsidRPr="00EA59C0">
        <w:t>strategies</w:t>
      </w:r>
      <w:r w:rsidR="00C026A6" w:rsidRPr="00EA59C0">
        <w:t xml:space="preserve"> </w:t>
      </w:r>
      <w:r w:rsidR="00B807FC" w:rsidRPr="00EA59C0">
        <w:t>and</w:t>
      </w:r>
      <w:r w:rsidR="00C026A6" w:rsidRPr="00EA59C0">
        <w:t xml:space="preserve"> </w:t>
      </w:r>
      <w:r w:rsidR="00B807FC" w:rsidRPr="00EA59C0">
        <w:t>those</w:t>
      </w:r>
      <w:r w:rsidR="00C026A6" w:rsidRPr="00EA59C0">
        <w:t xml:space="preserve"> </w:t>
      </w:r>
      <w:r w:rsidR="00B807FC" w:rsidRPr="00EA59C0">
        <w:t>with</w:t>
      </w:r>
      <w:r w:rsidR="00C026A6" w:rsidRPr="00EA59C0">
        <w:t xml:space="preserve"> </w:t>
      </w:r>
      <w:r w:rsidR="00B807FC" w:rsidRPr="00EA59C0">
        <w:t>demonstrated</w:t>
      </w:r>
      <w:r w:rsidR="00C026A6" w:rsidRPr="00EA59C0">
        <w:t xml:space="preserve"> </w:t>
      </w:r>
      <w:r w:rsidR="00B807FC" w:rsidRPr="00EA59C0">
        <w:t>experience</w:t>
      </w:r>
      <w:r w:rsidR="00C026A6" w:rsidRPr="00EA59C0">
        <w:t xml:space="preserve"> </w:t>
      </w:r>
      <w:r w:rsidR="00B807FC" w:rsidRPr="00EA59C0">
        <w:t>in</w:t>
      </w:r>
      <w:r w:rsidR="00C026A6" w:rsidRPr="00EA59C0">
        <w:t xml:space="preserve"> </w:t>
      </w:r>
      <w:r w:rsidR="00B807FC" w:rsidRPr="00EA59C0">
        <w:t>improving</w:t>
      </w:r>
      <w:r w:rsidR="00C026A6" w:rsidRPr="00EA59C0">
        <w:t xml:space="preserve"> </w:t>
      </w:r>
      <w:r w:rsidR="00B807FC" w:rsidRPr="00EA59C0">
        <w:t>employment-related</w:t>
      </w:r>
      <w:r w:rsidR="00C026A6" w:rsidRPr="00EA59C0">
        <w:t xml:space="preserve"> </w:t>
      </w:r>
      <w:r w:rsidR="00B807FC" w:rsidRPr="00EA59C0">
        <w:t>skills</w:t>
      </w:r>
      <w:r w:rsidR="00D9436D" w:rsidRPr="00EA59C0">
        <w:t xml:space="preserve"> and involvement in initiatives to help address workers barriers to employment, such as Promise Zones</w:t>
      </w:r>
      <w:r w:rsidR="00B807FC" w:rsidRPr="00EA59C0">
        <w:t>.</w:t>
      </w:r>
      <w:r w:rsidR="00C026A6" w:rsidRPr="00EA59C0">
        <w:t xml:space="preserve"> </w:t>
      </w:r>
      <w:r w:rsidR="00B807FC" w:rsidRPr="00EA59C0">
        <w:t>Types</w:t>
      </w:r>
      <w:r w:rsidR="00C026A6" w:rsidRPr="00EA59C0">
        <w:t xml:space="preserve"> </w:t>
      </w:r>
      <w:r w:rsidR="00B807FC" w:rsidRPr="00EA59C0">
        <w:t>of</w:t>
      </w:r>
      <w:r w:rsidR="00C026A6" w:rsidRPr="00EA59C0">
        <w:t xml:space="preserve"> </w:t>
      </w:r>
      <w:r w:rsidR="00B807FC" w:rsidRPr="00EA59C0">
        <w:t>collaboration</w:t>
      </w:r>
      <w:r w:rsidR="00C026A6" w:rsidRPr="00EA59C0">
        <w:t xml:space="preserve"> </w:t>
      </w:r>
      <w:r w:rsidR="00B807FC" w:rsidRPr="00EA59C0">
        <w:t>could</w:t>
      </w:r>
      <w:r w:rsidR="00C026A6" w:rsidRPr="00EA59C0">
        <w:t xml:space="preserve"> </w:t>
      </w:r>
      <w:r w:rsidR="00B807FC" w:rsidRPr="00EA59C0">
        <w:t>include:</w:t>
      </w:r>
      <w:r w:rsidR="00C026A6" w:rsidRPr="00EA59C0">
        <w:t xml:space="preserve"> </w:t>
      </w:r>
      <w:r w:rsidR="00B807FC" w:rsidRPr="00EA59C0">
        <w:t>leveraging</w:t>
      </w:r>
      <w:r w:rsidR="00C026A6" w:rsidRPr="00EA59C0">
        <w:t xml:space="preserve"> </w:t>
      </w:r>
      <w:r w:rsidR="00B807FC" w:rsidRPr="00EA59C0">
        <w:t>comprehensive</w:t>
      </w:r>
      <w:r w:rsidR="00C026A6" w:rsidRPr="00EA59C0">
        <w:t xml:space="preserve"> </w:t>
      </w:r>
      <w:r w:rsidR="00B807FC" w:rsidRPr="00EA59C0">
        <w:t>case</w:t>
      </w:r>
      <w:r w:rsidR="00C026A6" w:rsidRPr="00EA59C0">
        <w:t xml:space="preserve"> </w:t>
      </w:r>
      <w:r w:rsidR="00B807FC" w:rsidRPr="00EA59C0">
        <w:t>management</w:t>
      </w:r>
      <w:r w:rsidR="00C026A6" w:rsidRPr="00EA59C0">
        <w:t xml:space="preserve"> </w:t>
      </w:r>
      <w:r w:rsidR="00B807FC" w:rsidRPr="00EA59C0">
        <w:t>or</w:t>
      </w:r>
      <w:r w:rsidR="00C026A6" w:rsidRPr="00EA59C0">
        <w:t xml:space="preserve"> </w:t>
      </w:r>
      <w:r w:rsidR="00B807FC" w:rsidRPr="00EA59C0">
        <w:t>other</w:t>
      </w:r>
      <w:r w:rsidR="00C026A6" w:rsidRPr="00EA59C0">
        <w:t xml:space="preserve"> </w:t>
      </w:r>
      <w:r w:rsidR="00B807FC" w:rsidRPr="00EA59C0">
        <w:t>services</w:t>
      </w:r>
      <w:r w:rsidR="00C026A6" w:rsidRPr="00EA59C0">
        <w:t xml:space="preserve"> </w:t>
      </w:r>
      <w:r w:rsidR="00B807FC" w:rsidRPr="00EA59C0">
        <w:t>to</w:t>
      </w:r>
      <w:r w:rsidR="00C026A6" w:rsidRPr="00EA59C0">
        <w:t xml:space="preserve"> </w:t>
      </w:r>
      <w:r w:rsidR="00B807FC" w:rsidRPr="00EA59C0">
        <w:t>assist</w:t>
      </w:r>
      <w:r w:rsidR="00C026A6" w:rsidRPr="00EA59C0">
        <w:t xml:space="preserve"> </w:t>
      </w:r>
      <w:r w:rsidR="00B807FC" w:rsidRPr="00EA59C0">
        <w:t>participants</w:t>
      </w:r>
      <w:r w:rsidR="00C026A6" w:rsidRPr="00EA59C0">
        <w:t xml:space="preserve"> </w:t>
      </w:r>
      <w:r w:rsidR="00B807FC" w:rsidRPr="00EA59C0">
        <w:t>with</w:t>
      </w:r>
      <w:r w:rsidR="00C026A6" w:rsidRPr="00EA59C0">
        <w:t xml:space="preserve"> </w:t>
      </w:r>
      <w:r w:rsidR="00B807FC" w:rsidRPr="00EA59C0">
        <w:t>barriers</w:t>
      </w:r>
      <w:r w:rsidR="00C026A6" w:rsidRPr="00EA59C0">
        <w:t xml:space="preserve"> </w:t>
      </w:r>
      <w:r w:rsidR="00B807FC" w:rsidRPr="00EA59C0">
        <w:t>to</w:t>
      </w:r>
      <w:r w:rsidR="00C026A6" w:rsidRPr="00EA59C0">
        <w:t xml:space="preserve"> </w:t>
      </w:r>
      <w:r w:rsidR="00B807FC" w:rsidRPr="00EA59C0">
        <w:t>employment;</w:t>
      </w:r>
      <w:r w:rsidR="00C026A6" w:rsidRPr="00EA59C0">
        <w:t xml:space="preserve"> </w:t>
      </w:r>
      <w:r w:rsidR="00B807FC" w:rsidRPr="00EA59C0">
        <w:t>connecting</w:t>
      </w:r>
      <w:r w:rsidR="00C026A6" w:rsidRPr="00EA59C0">
        <w:t xml:space="preserve"> </w:t>
      </w:r>
      <w:r w:rsidR="00B807FC" w:rsidRPr="00EA59C0">
        <w:t>program</w:t>
      </w:r>
      <w:r w:rsidR="00C026A6" w:rsidRPr="00EA59C0">
        <w:t xml:space="preserve"> </w:t>
      </w:r>
      <w:r w:rsidR="00B807FC" w:rsidRPr="00EA59C0">
        <w:t>participants</w:t>
      </w:r>
      <w:r w:rsidR="00C026A6" w:rsidRPr="00EA59C0">
        <w:t xml:space="preserve"> </w:t>
      </w:r>
      <w:r w:rsidR="00B807FC" w:rsidRPr="00EA59C0">
        <w:t>to</w:t>
      </w:r>
      <w:r w:rsidR="00C026A6" w:rsidRPr="00EA59C0">
        <w:t xml:space="preserve"> </w:t>
      </w:r>
      <w:r w:rsidR="00B807FC" w:rsidRPr="00EA59C0">
        <w:t>work-based</w:t>
      </w:r>
      <w:r w:rsidR="00C026A6" w:rsidRPr="00EA59C0">
        <w:t xml:space="preserve"> </w:t>
      </w:r>
      <w:r w:rsidR="00B807FC" w:rsidRPr="00EA59C0">
        <w:t>training</w:t>
      </w:r>
      <w:r w:rsidR="00C026A6" w:rsidRPr="00EA59C0">
        <w:t xml:space="preserve"> </w:t>
      </w:r>
      <w:r w:rsidR="00B807FC" w:rsidRPr="00EA59C0">
        <w:t>opportunities;</w:t>
      </w:r>
      <w:r w:rsidR="00C026A6" w:rsidRPr="00EA59C0">
        <w:t xml:space="preserve"> </w:t>
      </w:r>
      <w:r w:rsidR="00B807FC" w:rsidRPr="00EA59C0">
        <w:t>assisting</w:t>
      </w:r>
      <w:r w:rsidR="00C026A6" w:rsidRPr="00EA59C0">
        <w:t xml:space="preserve"> </w:t>
      </w:r>
      <w:r w:rsidR="00B807FC" w:rsidRPr="00EA59C0">
        <w:t>with</w:t>
      </w:r>
      <w:r w:rsidR="00C026A6" w:rsidRPr="00EA59C0">
        <w:t xml:space="preserve"> </w:t>
      </w:r>
      <w:r w:rsidR="00B807FC" w:rsidRPr="00EA59C0">
        <w:t>placement</w:t>
      </w:r>
      <w:r w:rsidR="00C026A6" w:rsidRPr="00EA59C0">
        <w:t xml:space="preserve"> </w:t>
      </w:r>
      <w:r w:rsidR="00B807FC" w:rsidRPr="00EA59C0">
        <w:t>opportunities;</w:t>
      </w:r>
      <w:r w:rsidR="00C026A6" w:rsidRPr="00EA59C0">
        <w:t xml:space="preserve"> </w:t>
      </w:r>
      <w:r w:rsidR="00B807FC" w:rsidRPr="00EA59C0">
        <w:t>and</w:t>
      </w:r>
      <w:r w:rsidR="00C026A6" w:rsidRPr="00EA59C0">
        <w:t xml:space="preserve"> </w:t>
      </w:r>
      <w:r w:rsidR="00B807FC" w:rsidRPr="00EA59C0">
        <w:t>providing</w:t>
      </w:r>
      <w:r w:rsidR="00C026A6" w:rsidRPr="00EA59C0">
        <w:t xml:space="preserve"> </w:t>
      </w:r>
      <w:r w:rsidR="00B807FC" w:rsidRPr="00EA59C0">
        <w:t>supportive</w:t>
      </w:r>
      <w:r w:rsidR="00C026A6" w:rsidRPr="00EA59C0">
        <w:t xml:space="preserve"> </w:t>
      </w:r>
      <w:r w:rsidR="00B807FC" w:rsidRPr="00EA59C0">
        <w:t>services,</w:t>
      </w:r>
      <w:r w:rsidR="00C026A6" w:rsidRPr="00EA59C0">
        <w:t xml:space="preserve"> </w:t>
      </w:r>
      <w:r w:rsidR="00B807FC" w:rsidRPr="00EA59C0">
        <w:t>where</w:t>
      </w:r>
      <w:r w:rsidR="00C026A6" w:rsidRPr="00EA59C0">
        <w:t xml:space="preserve"> </w:t>
      </w:r>
      <w:r w:rsidR="00B807FC" w:rsidRPr="00EA59C0">
        <w:t>appropriate.</w:t>
      </w:r>
    </w:p>
    <w:p w:rsidR="00637DBF" w:rsidRPr="00EA59C0" w:rsidRDefault="00637DBF" w:rsidP="00C072FA"/>
    <w:p w:rsidR="00B53E89" w:rsidRPr="00EA59C0" w:rsidRDefault="00B53E89" w:rsidP="00C072FA">
      <w:pPr>
        <w:pStyle w:val="ListParagraph"/>
        <w:numPr>
          <w:ilvl w:val="5"/>
          <w:numId w:val="17"/>
        </w:numPr>
        <w:rPr>
          <w:b/>
        </w:rPr>
      </w:pPr>
      <w:r w:rsidRPr="00EA59C0">
        <w:rPr>
          <w:b/>
        </w:rPr>
        <w:t>Alignment</w:t>
      </w:r>
      <w:r w:rsidR="00C026A6" w:rsidRPr="00EA59C0">
        <w:rPr>
          <w:b/>
        </w:rPr>
        <w:t xml:space="preserve"> </w:t>
      </w:r>
      <w:r w:rsidRPr="00EA59C0">
        <w:rPr>
          <w:b/>
        </w:rPr>
        <w:t>with</w:t>
      </w:r>
      <w:r w:rsidR="00C026A6" w:rsidRPr="00EA59C0">
        <w:rPr>
          <w:b/>
        </w:rPr>
        <w:t xml:space="preserve"> </w:t>
      </w:r>
      <w:r w:rsidRPr="00EA59C0">
        <w:rPr>
          <w:b/>
        </w:rPr>
        <w:t>Previously-Funded</w:t>
      </w:r>
      <w:r w:rsidR="00C026A6" w:rsidRPr="00EA59C0">
        <w:rPr>
          <w:b/>
        </w:rPr>
        <w:t xml:space="preserve"> </w:t>
      </w:r>
      <w:r w:rsidRPr="00EA59C0">
        <w:rPr>
          <w:b/>
        </w:rPr>
        <w:t>TAACCCT</w:t>
      </w:r>
      <w:r w:rsidR="00C026A6" w:rsidRPr="00EA59C0">
        <w:rPr>
          <w:b/>
        </w:rPr>
        <w:t xml:space="preserve"> </w:t>
      </w:r>
      <w:r w:rsidRPr="00EA59C0">
        <w:rPr>
          <w:b/>
        </w:rPr>
        <w:t>Projects</w:t>
      </w:r>
    </w:p>
    <w:p w:rsidR="00B53E89" w:rsidRPr="00EA59C0" w:rsidRDefault="00B53E89" w:rsidP="00C072FA">
      <w:pPr>
        <w:ind w:left="2160"/>
      </w:pPr>
      <w:r w:rsidRPr="00EA59C0">
        <w:t>Applicants</w:t>
      </w:r>
      <w:r w:rsidR="00C026A6" w:rsidRPr="00EA59C0">
        <w:t xml:space="preserve"> </w:t>
      </w:r>
      <w:r w:rsidRPr="00EA59C0">
        <w:t>must</w:t>
      </w:r>
      <w:r w:rsidR="00C026A6" w:rsidRPr="00EA59C0">
        <w:t xml:space="preserve"> </w:t>
      </w:r>
      <w:r w:rsidRPr="00EA59C0">
        <w:t>provide</w:t>
      </w:r>
      <w:r w:rsidR="00C026A6" w:rsidRPr="00EA59C0">
        <w:t xml:space="preserve"> </w:t>
      </w:r>
      <w:r w:rsidRPr="00EA59C0">
        <w:t>a</w:t>
      </w:r>
      <w:r w:rsidR="00C026A6" w:rsidRPr="00EA59C0">
        <w:t xml:space="preserve"> </w:t>
      </w:r>
      <w:r w:rsidRPr="00EA59C0">
        <w:t>plan</w:t>
      </w:r>
      <w:r w:rsidR="00C026A6" w:rsidRPr="00EA59C0">
        <w:t xml:space="preserve"> </w:t>
      </w:r>
      <w:r w:rsidRPr="00EA59C0">
        <w:t>to</w:t>
      </w:r>
      <w:r w:rsidR="00C026A6" w:rsidRPr="00EA59C0">
        <w:t xml:space="preserve"> </w:t>
      </w:r>
      <w:r w:rsidRPr="00EA59C0">
        <w:t>reach</w:t>
      </w:r>
      <w:r w:rsidR="00C026A6" w:rsidRPr="00EA59C0">
        <w:t xml:space="preserve"> </w:t>
      </w:r>
      <w:r w:rsidRPr="00EA59C0">
        <w:t>out</w:t>
      </w:r>
      <w:r w:rsidR="00C026A6" w:rsidRPr="00EA59C0">
        <w:t xml:space="preserve"> </w:t>
      </w:r>
      <w:r w:rsidRPr="00EA59C0">
        <w:t>to</w:t>
      </w:r>
      <w:r w:rsidR="00C026A6" w:rsidRPr="00EA59C0">
        <w:t xml:space="preserve"> </w:t>
      </w:r>
      <w:r w:rsidRPr="00EA59C0">
        <w:t>grantees</w:t>
      </w:r>
      <w:r w:rsidR="00C026A6" w:rsidRPr="00EA59C0">
        <w:t xml:space="preserve"> </w:t>
      </w:r>
      <w:r w:rsidRPr="00EA59C0">
        <w:t>from</w:t>
      </w:r>
      <w:r w:rsidR="00C026A6" w:rsidRPr="00EA59C0">
        <w:t xml:space="preserve"> </w:t>
      </w:r>
      <w:r w:rsidRPr="00EA59C0">
        <w:t>Round</w:t>
      </w:r>
      <w:r w:rsidR="00C026A6" w:rsidRPr="00EA59C0">
        <w:t xml:space="preserve"> </w:t>
      </w:r>
      <w:r w:rsidRPr="00EA59C0">
        <w:t>1,</w:t>
      </w:r>
      <w:r w:rsidR="00C026A6" w:rsidRPr="00EA59C0">
        <w:t xml:space="preserve"> </w:t>
      </w:r>
      <w:r w:rsidRPr="00EA59C0">
        <w:t>2,</w:t>
      </w:r>
      <w:r w:rsidR="00C026A6" w:rsidRPr="00EA59C0">
        <w:t xml:space="preserve"> </w:t>
      </w:r>
      <w:r w:rsidRPr="00EA59C0">
        <w:t>or</w:t>
      </w:r>
      <w:r w:rsidR="00C026A6" w:rsidRPr="00EA59C0">
        <w:t xml:space="preserve"> </w:t>
      </w:r>
      <w:r w:rsidRPr="00EA59C0">
        <w:t>3</w:t>
      </w:r>
      <w:r w:rsidR="00C026A6" w:rsidRPr="00EA59C0">
        <w:t xml:space="preserve"> </w:t>
      </w:r>
      <w:r w:rsidRPr="00EA59C0">
        <w:t>to</w:t>
      </w:r>
      <w:r w:rsidR="00C026A6" w:rsidRPr="00EA59C0">
        <w:t xml:space="preserve"> </w:t>
      </w:r>
      <w:r w:rsidRPr="00EA59C0">
        <w:t>coordinate</w:t>
      </w:r>
      <w:r w:rsidR="00C026A6" w:rsidRPr="00EA59C0">
        <w:t xml:space="preserve"> </w:t>
      </w:r>
      <w:r w:rsidRPr="00EA59C0">
        <w:t>efforts,</w:t>
      </w:r>
      <w:r w:rsidR="00C026A6" w:rsidRPr="00EA59C0">
        <w:t xml:space="preserve"> </w:t>
      </w:r>
      <w:r w:rsidR="00675A7E" w:rsidRPr="00EA59C0">
        <w:t>minimize</w:t>
      </w:r>
      <w:r w:rsidR="00C026A6" w:rsidRPr="00EA59C0">
        <w:t xml:space="preserve"> </w:t>
      </w:r>
      <w:r w:rsidRPr="00EA59C0">
        <w:t>duplication,</w:t>
      </w:r>
      <w:r w:rsidR="00C026A6" w:rsidRPr="00EA59C0">
        <w:t xml:space="preserve"> </w:t>
      </w:r>
      <w:r w:rsidRPr="00EA59C0">
        <w:t>share</w:t>
      </w:r>
      <w:r w:rsidR="00C026A6" w:rsidRPr="00EA59C0">
        <w:t xml:space="preserve"> </w:t>
      </w:r>
      <w:r w:rsidRPr="00EA59C0">
        <w:t>information,</w:t>
      </w:r>
      <w:r w:rsidR="00C026A6" w:rsidRPr="00EA59C0">
        <w:t xml:space="preserve"> </w:t>
      </w:r>
      <w:r w:rsidRPr="00EA59C0">
        <w:t>and</w:t>
      </w:r>
      <w:r w:rsidR="00C026A6" w:rsidRPr="00EA59C0">
        <w:t xml:space="preserve"> </w:t>
      </w:r>
      <w:r w:rsidRPr="00EA59C0">
        <w:t>expand</w:t>
      </w:r>
      <w:r w:rsidR="00C026A6" w:rsidRPr="00EA59C0">
        <w:t xml:space="preserve"> </w:t>
      </w:r>
      <w:r w:rsidRPr="00EA59C0">
        <w:t>the</w:t>
      </w:r>
      <w:r w:rsidR="00C026A6" w:rsidRPr="00EA59C0">
        <w:t xml:space="preserve"> </w:t>
      </w:r>
      <w:r w:rsidRPr="00EA59C0">
        <w:t>geographical</w:t>
      </w:r>
      <w:r w:rsidR="00C026A6" w:rsidRPr="00EA59C0">
        <w:t xml:space="preserve"> </w:t>
      </w:r>
      <w:r w:rsidRPr="00EA59C0">
        <w:t>reach</w:t>
      </w:r>
      <w:r w:rsidR="00C026A6" w:rsidRPr="00EA59C0">
        <w:t xml:space="preserve"> </w:t>
      </w:r>
      <w:r w:rsidRPr="00EA59C0">
        <w:t>of</w:t>
      </w:r>
      <w:r w:rsidR="00C026A6" w:rsidRPr="00EA59C0">
        <w:t xml:space="preserve"> </w:t>
      </w:r>
      <w:r w:rsidRPr="00EA59C0">
        <w:t>their</w:t>
      </w:r>
      <w:r w:rsidR="00C026A6" w:rsidRPr="00EA59C0">
        <w:t xml:space="preserve"> </w:t>
      </w:r>
      <w:r w:rsidRPr="00EA59C0">
        <w:t>program.</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use</w:t>
      </w:r>
      <w:r w:rsidR="00C026A6" w:rsidRPr="00EA59C0">
        <w:t xml:space="preserve"> </w:t>
      </w:r>
      <w:r w:rsidRPr="00EA59C0">
        <w:t>free,</w:t>
      </w:r>
      <w:r w:rsidR="00C026A6" w:rsidRPr="00EA59C0">
        <w:t xml:space="preserve"> </w:t>
      </w:r>
      <w:r w:rsidRPr="00EA59C0">
        <w:t>existing</w:t>
      </w:r>
      <w:r w:rsidR="00C026A6" w:rsidRPr="00EA59C0">
        <w:t xml:space="preserve"> </w:t>
      </w:r>
      <w:r w:rsidRPr="00EA59C0">
        <w:t>instructional</w:t>
      </w:r>
      <w:r w:rsidR="00C026A6" w:rsidRPr="00EA59C0">
        <w:t xml:space="preserve"> </w:t>
      </w:r>
      <w:r w:rsidRPr="00EA59C0">
        <w:t>resources</w:t>
      </w:r>
      <w:r w:rsidR="00C026A6" w:rsidRPr="00EA59C0">
        <w:t xml:space="preserve"> </w:t>
      </w:r>
      <w:r w:rsidRPr="00EA59C0">
        <w:t>for</w:t>
      </w:r>
      <w:r w:rsidR="00C026A6" w:rsidRPr="00EA59C0">
        <w:t xml:space="preserve"> </w:t>
      </w:r>
      <w:r w:rsidRPr="00EA59C0">
        <w:t>their</w:t>
      </w:r>
      <w:r w:rsidR="00C026A6" w:rsidRPr="00EA59C0">
        <w:t xml:space="preserve"> </w:t>
      </w:r>
      <w:r w:rsidRPr="00EA59C0">
        <w:t>targeted</w:t>
      </w:r>
      <w:r w:rsidR="00C026A6" w:rsidRPr="00EA59C0">
        <w:t xml:space="preserve"> </w:t>
      </w:r>
      <w:r w:rsidRPr="00EA59C0">
        <w:t>programs</w:t>
      </w:r>
      <w:r w:rsidR="00C026A6" w:rsidRPr="00EA59C0">
        <w:t xml:space="preserve"> </w:t>
      </w:r>
      <w:r w:rsidRPr="00EA59C0">
        <w:t>of</w:t>
      </w:r>
      <w:r w:rsidR="00C026A6" w:rsidRPr="00EA59C0">
        <w:t xml:space="preserve"> </w:t>
      </w:r>
      <w:r w:rsidRPr="00EA59C0">
        <w:t>study,</w:t>
      </w:r>
      <w:r w:rsidR="00C026A6" w:rsidRPr="00EA59C0">
        <w:t xml:space="preserve"> </w:t>
      </w:r>
      <w:r w:rsidRPr="00EA59C0">
        <w:t>whenever</w:t>
      </w:r>
      <w:r w:rsidR="00C026A6" w:rsidRPr="00EA59C0">
        <w:t xml:space="preserve"> </w:t>
      </w:r>
      <w:r w:rsidRPr="00EA59C0">
        <w:t>those</w:t>
      </w:r>
      <w:r w:rsidR="00C026A6" w:rsidRPr="00EA59C0">
        <w:t xml:space="preserve"> </w:t>
      </w:r>
      <w:r w:rsidRPr="00EA59C0">
        <w:t>are</w:t>
      </w:r>
      <w:r w:rsidR="00C026A6" w:rsidRPr="00EA59C0">
        <w:t xml:space="preserve"> </w:t>
      </w:r>
      <w:r w:rsidRPr="00EA59C0">
        <w:t>available.</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engage</w:t>
      </w:r>
      <w:r w:rsidR="00C026A6" w:rsidRPr="00EA59C0">
        <w:t xml:space="preserve"> </w:t>
      </w:r>
      <w:r w:rsidRPr="00EA59C0">
        <w:t>with</w:t>
      </w:r>
      <w:r w:rsidR="00C026A6" w:rsidRPr="00EA59C0">
        <w:t xml:space="preserve"> </w:t>
      </w:r>
      <w:r w:rsidRPr="00EA59C0">
        <w:t>grantees</w:t>
      </w:r>
      <w:r w:rsidR="00C026A6" w:rsidRPr="00EA59C0">
        <w:t xml:space="preserve"> </w:t>
      </w:r>
      <w:r w:rsidRPr="00EA59C0">
        <w:t>that</w:t>
      </w:r>
      <w:r w:rsidR="00C026A6" w:rsidRPr="00EA59C0">
        <w:t xml:space="preserve"> </w:t>
      </w:r>
      <w:r w:rsidRPr="00EA59C0">
        <w:t>are</w:t>
      </w:r>
      <w:r w:rsidR="00C026A6" w:rsidRPr="00EA59C0">
        <w:t xml:space="preserve"> </w:t>
      </w:r>
      <w:r w:rsidRPr="00EA59C0">
        <w:t>geographically</w:t>
      </w:r>
      <w:r w:rsidR="00C026A6" w:rsidRPr="00EA59C0">
        <w:t xml:space="preserve"> </w:t>
      </w:r>
      <w:r w:rsidRPr="00EA59C0">
        <w:t>nearby,</w:t>
      </w:r>
      <w:r w:rsidR="00C026A6" w:rsidRPr="00EA59C0">
        <w:t xml:space="preserve"> </w:t>
      </w:r>
      <w:r w:rsidRPr="00EA59C0">
        <w:t>and/or</w:t>
      </w:r>
      <w:r w:rsidR="00C026A6" w:rsidRPr="00EA59C0">
        <w:t xml:space="preserve"> </w:t>
      </w:r>
      <w:r w:rsidRPr="00EA59C0">
        <w:t>with</w:t>
      </w:r>
      <w:r w:rsidR="00C026A6" w:rsidRPr="00EA59C0">
        <w:t xml:space="preserve"> </w:t>
      </w:r>
      <w:r w:rsidRPr="00EA59C0">
        <w:t>grantees</w:t>
      </w:r>
      <w:r w:rsidR="00C026A6" w:rsidRPr="00EA59C0">
        <w:t xml:space="preserve"> </w:t>
      </w:r>
      <w:r w:rsidRPr="00EA59C0">
        <w:t>across</w:t>
      </w:r>
      <w:r w:rsidR="00C026A6" w:rsidRPr="00EA59C0">
        <w:t xml:space="preserve"> </w:t>
      </w:r>
      <w:r w:rsidRPr="00EA59C0">
        <w:t>the</w:t>
      </w:r>
      <w:r w:rsidR="00C026A6" w:rsidRPr="00EA59C0">
        <w:t xml:space="preserve"> </w:t>
      </w:r>
      <w:r w:rsidRPr="00EA59C0">
        <w:t>country.</w:t>
      </w:r>
      <w:r w:rsidR="00C026A6" w:rsidRPr="00EA59C0">
        <w:t xml:space="preserve">  </w:t>
      </w:r>
      <w:r w:rsidRPr="00EA59C0">
        <w:t>Applicants</w:t>
      </w:r>
      <w:r w:rsidR="00C026A6" w:rsidRPr="00EA59C0">
        <w:t xml:space="preserve"> </w:t>
      </w:r>
      <w:r w:rsidRPr="00EA59C0">
        <w:t>proposing</w:t>
      </w:r>
      <w:r w:rsidR="00C026A6" w:rsidRPr="00EA59C0">
        <w:t xml:space="preserve"> </w:t>
      </w:r>
      <w:r w:rsidRPr="00EA59C0">
        <w:t>to</w:t>
      </w:r>
      <w:r w:rsidR="00C026A6" w:rsidRPr="00EA59C0">
        <w:t xml:space="preserve"> </w:t>
      </w:r>
      <w:r w:rsidRPr="00EA59C0">
        <w:t>develop</w:t>
      </w:r>
      <w:r w:rsidR="00C026A6" w:rsidRPr="00EA59C0">
        <w:t xml:space="preserve"> </w:t>
      </w:r>
      <w:r w:rsidRPr="00EA59C0">
        <w:t>new</w:t>
      </w:r>
      <w:r w:rsidR="00C026A6" w:rsidRPr="00EA59C0">
        <w:t xml:space="preserve"> </w:t>
      </w:r>
      <w:r w:rsidRPr="00EA59C0">
        <w:t>instructional</w:t>
      </w:r>
      <w:r w:rsidR="00C026A6" w:rsidRPr="00EA59C0">
        <w:t xml:space="preserve"> </w:t>
      </w:r>
      <w:r w:rsidRPr="00EA59C0">
        <w:t>resources</w:t>
      </w:r>
      <w:r w:rsidR="00C026A6" w:rsidRPr="00EA59C0">
        <w:t xml:space="preserve"> </w:t>
      </w:r>
      <w:r w:rsidRPr="00EA59C0">
        <w:t>must</w:t>
      </w:r>
      <w:r w:rsidR="00C026A6" w:rsidRPr="00EA59C0">
        <w:t xml:space="preserve"> </w:t>
      </w:r>
      <w:r w:rsidRPr="00EA59C0">
        <w:t>demonstrate</w:t>
      </w:r>
      <w:r w:rsidR="00C026A6" w:rsidRPr="00EA59C0">
        <w:t xml:space="preserve"> </w:t>
      </w:r>
      <w:r w:rsidRPr="00EA59C0">
        <w:t>that</w:t>
      </w:r>
      <w:r w:rsidR="00C026A6" w:rsidRPr="00EA59C0">
        <w:t xml:space="preserve"> </w:t>
      </w:r>
      <w:r w:rsidRPr="00EA59C0">
        <w:t>they</w:t>
      </w:r>
      <w:r w:rsidR="00C026A6" w:rsidRPr="00EA59C0">
        <w:t xml:space="preserve"> </w:t>
      </w:r>
      <w:r w:rsidRPr="00EA59C0">
        <w:t>have</w:t>
      </w:r>
      <w:r w:rsidR="00C026A6" w:rsidRPr="00EA59C0">
        <w:t xml:space="preserve"> </w:t>
      </w:r>
      <w:r w:rsidRPr="00EA59C0">
        <w:t>researched</w:t>
      </w:r>
      <w:r w:rsidR="00C026A6" w:rsidRPr="00EA59C0">
        <w:t xml:space="preserve"> </w:t>
      </w:r>
      <w:r w:rsidRPr="00EA59C0">
        <w:t>resources</w:t>
      </w:r>
      <w:r w:rsidR="00C026A6" w:rsidRPr="00EA59C0">
        <w:t xml:space="preserve"> </w:t>
      </w:r>
      <w:r w:rsidRPr="00EA59C0">
        <w:t>currently</w:t>
      </w:r>
      <w:r w:rsidR="00C026A6" w:rsidRPr="00EA59C0">
        <w:t xml:space="preserve"> </w:t>
      </w:r>
      <w:r w:rsidRPr="00EA59C0">
        <w:t>freely</w:t>
      </w:r>
      <w:r w:rsidR="00C026A6" w:rsidRPr="00EA59C0">
        <w:t xml:space="preserve"> </w:t>
      </w:r>
      <w:r w:rsidRPr="00EA59C0">
        <w:t>available,</w:t>
      </w:r>
      <w:r w:rsidR="00C026A6" w:rsidRPr="00EA59C0">
        <w:t xml:space="preserve"> </w:t>
      </w:r>
      <w:r w:rsidRPr="00EA59C0">
        <w:t>and</w:t>
      </w:r>
      <w:r w:rsidR="00C026A6" w:rsidRPr="00EA59C0">
        <w:t xml:space="preserve"> </w:t>
      </w:r>
      <w:r w:rsidRPr="00EA59C0">
        <w:t>that</w:t>
      </w:r>
      <w:r w:rsidR="00C026A6" w:rsidRPr="00EA59C0">
        <w:t xml:space="preserve"> </w:t>
      </w:r>
      <w:r w:rsidRPr="00EA59C0">
        <w:t>resources</w:t>
      </w:r>
      <w:r w:rsidR="00C026A6" w:rsidRPr="00EA59C0">
        <w:t xml:space="preserve"> </w:t>
      </w:r>
      <w:r w:rsidRPr="00EA59C0">
        <w:t>for</w:t>
      </w:r>
      <w:r w:rsidR="00C026A6" w:rsidRPr="00EA59C0">
        <w:t xml:space="preserve"> </w:t>
      </w:r>
      <w:r w:rsidRPr="00EA59C0">
        <w:t>their</w:t>
      </w:r>
      <w:r w:rsidR="00C026A6" w:rsidRPr="00EA59C0">
        <w:t xml:space="preserve"> </w:t>
      </w:r>
      <w:r w:rsidRPr="00EA59C0">
        <w:t>proposed</w:t>
      </w:r>
      <w:r w:rsidR="00C026A6" w:rsidRPr="00EA59C0">
        <w:t xml:space="preserve"> </w:t>
      </w:r>
      <w:r w:rsidRPr="00EA59C0">
        <w:t>program</w:t>
      </w:r>
      <w:r w:rsidR="00C026A6" w:rsidRPr="00EA59C0">
        <w:t xml:space="preserve"> </w:t>
      </w:r>
      <w:r w:rsidRPr="00EA59C0">
        <w:t>of</w:t>
      </w:r>
      <w:r w:rsidR="00C026A6" w:rsidRPr="00EA59C0">
        <w:t xml:space="preserve"> </w:t>
      </w:r>
      <w:r w:rsidRPr="00EA59C0">
        <w:t>study</w:t>
      </w:r>
      <w:r w:rsidR="00C026A6" w:rsidRPr="00EA59C0">
        <w:t xml:space="preserve"> </w:t>
      </w:r>
      <w:r w:rsidRPr="00EA59C0">
        <w:t>are</w:t>
      </w:r>
      <w:r w:rsidR="00C026A6" w:rsidRPr="00EA59C0">
        <w:t xml:space="preserve"> </w:t>
      </w:r>
      <w:r w:rsidRPr="00EA59C0">
        <w:t>not</w:t>
      </w:r>
      <w:r w:rsidR="00C026A6" w:rsidRPr="00EA59C0">
        <w:t xml:space="preserve"> </w:t>
      </w:r>
      <w:r w:rsidRPr="00EA59C0">
        <w:t>available</w:t>
      </w:r>
      <w:r w:rsidR="00C026A6" w:rsidRPr="00EA59C0">
        <w:t xml:space="preserve"> </w:t>
      </w:r>
      <w:r w:rsidRPr="00EA59C0">
        <w:t>to</w:t>
      </w:r>
      <w:r w:rsidR="00C026A6" w:rsidRPr="00EA59C0">
        <w:t xml:space="preserve"> </w:t>
      </w:r>
      <w:r w:rsidRPr="00EA59C0">
        <w:t>meet</w:t>
      </w:r>
      <w:r w:rsidR="00C026A6" w:rsidRPr="00EA59C0">
        <w:t xml:space="preserve"> </w:t>
      </w:r>
      <w:r w:rsidRPr="00EA59C0">
        <w:t>their</w:t>
      </w:r>
      <w:r w:rsidR="00C026A6" w:rsidRPr="00EA59C0">
        <w:t xml:space="preserve"> </w:t>
      </w:r>
      <w:r w:rsidRPr="00EA59C0">
        <w:t>needs.</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also</w:t>
      </w:r>
      <w:r w:rsidR="00C026A6" w:rsidRPr="00EA59C0">
        <w:t xml:space="preserve"> </w:t>
      </w:r>
      <w:r w:rsidRPr="00EA59C0">
        <w:t>identify</w:t>
      </w:r>
      <w:r w:rsidR="00C026A6" w:rsidRPr="00EA59C0">
        <w:t xml:space="preserve"> </w:t>
      </w:r>
      <w:r w:rsidRPr="00EA59C0">
        <w:t>planned</w:t>
      </w:r>
      <w:r w:rsidR="00C026A6" w:rsidRPr="00EA59C0">
        <w:t xml:space="preserve"> </w:t>
      </w:r>
      <w:r w:rsidRPr="00EA59C0">
        <w:t>activities</w:t>
      </w:r>
      <w:r w:rsidR="00C026A6" w:rsidRPr="00EA59C0">
        <w:t xml:space="preserve"> </w:t>
      </w:r>
      <w:r w:rsidRPr="00EA59C0">
        <w:t>for</w:t>
      </w:r>
      <w:r w:rsidR="00C026A6" w:rsidRPr="00EA59C0">
        <w:t xml:space="preserve"> </w:t>
      </w:r>
      <w:r w:rsidRPr="00EA59C0">
        <w:t>coordination</w:t>
      </w:r>
      <w:r w:rsidR="00C026A6" w:rsidRPr="00EA59C0">
        <w:t xml:space="preserve"> </w:t>
      </w:r>
      <w:r w:rsidRPr="00EA59C0">
        <w:t>with</w:t>
      </w:r>
      <w:r w:rsidR="00C026A6" w:rsidRPr="00EA59C0">
        <w:t xml:space="preserve"> </w:t>
      </w:r>
      <w:r w:rsidRPr="00EA59C0">
        <w:t>other</w:t>
      </w:r>
      <w:r w:rsidR="00C026A6" w:rsidRPr="00EA59C0">
        <w:t xml:space="preserve"> </w:t>
      </w:r>
      <w:r w:rsidRPr="00EA59C0">
        <w:t>institutions</w:t>
      </w:r>
      <w:r w:rsidR="00C026A6" w:rsidRPr="00EA59C0">
        <w:t xml:space="preserve"> </w:t>
      </w:r>
      <w:r w:rsidRPr="00EA59C0">
        <w:t>and</w:t>
      </w:r>
      <w:r w:rsidR="00C026A6" w:rsidRPr="00EA59C0">
        <w:t xml:space="preserve"> </w:t>
      </w:r>
      <w:r w:rsidRPr="00EA59C0">
        <w:t>consortia,</w:t>
      </w:r>
      <w:r w:rsidR="00C026A6" w:rsidRPr="00EA59C0">
        <w:t xml:space="preserve"> </w:t>
      </w:r>
      <w:r w:rsidRPr="00EA59C0">
        <w:t>such</w:t>
      </w:r>
      <w:r w:rsidR="00C026A6" w:rsidRPr="00EA59C0">
        <w:t xml:space="preserve"> </w:t>
      </w:r>
      <w:r w:rsidRPr="00EA59C0">
        <w:t>as:</w:t>
      </w:r>
    </w:p>
    <w:p w:rsidR="00B53E89" w:rsidRPr="00EA59C0" w:rsidRDefault="00B53E89" w:rsidP="00080097">
      <w:pPr>
        <w:pStyle w:val="ListParagraph"/>
        <w:numPr>
          <w:ilvl w:val="3"/>
          <w:numId w:val="27"/>
        </w:numPr>
      </w:pPr>
      <w:r w:rsidRPr="00EA59C0">
        <w:t>Sharing</w:t>
      </w:r>
      <w:r w:rsidR="00C026A6" w:rsidRPr="00EA59C0">
        <w:t xml:space="preserve"> </w:t>
      </w:r>
      <w:r w:rsidRPr="00EA59C0">
        <w:t>information,</w:t>
      </w:r>
      <w:r w:rsidR="00C026A6" w:rsidRPr="00EA59C0">
        <w:t xml:space="preserve"> </w:t>
      </w:r>
      <w:r w:rsidRPr="00EA59C0">
        <w:t>such</w:t>
      </w:r>
      <w:r w:rsidR="00C026A6" w:rsidRPr="00EA59C0">
        <w:t xml:space="preserve"> </w:t>
      </w:r>
      <w:r w:rsidRPr="00EA59C0">
        <w:t>as</w:t>
      </w:r>
      <w:r w:rsidR="00C026A6" w:rsidRPr="00EA59C0">
        <w:t xml:space="preserve"> </w:t>
      </w:r>
      <w:r w:rsidRPr="00EA59C0">
        <w:t>lessons</w:t>
      </w:r>
      <w:r w:rsidR="00C026A6" w:rsidRPr="00EA59C0">
        <w:t xml:space="preserve"> </w:t>
      </w:r>
      <w:r w:rsidRPr="00EA59C0">
        <w:t>learned</w:t>
      </w:r>
      <w:r w:rsidR="00C026A6" w:rsidRPr="00EA59C0">
        <w:t xml:space="preserve"> </w:t>
      </w:r>
      <w:r w:rsidRPr="00EA59C0">
        <w:t>and</w:t>
      </w:r>
      <w:r w:rsidR="00C026A6" w:rsidRPr="00EA59C0">
        <w:t xml:space="preserve"> </w:t>
      </w:r>
      <w:r w:rsidRPr="00EA59C0">
        <w:t>promising</w:t>
      </w:r>
      <w:r w:rsidR="00C026A6" w:rsidRPr="00EA59C0">
        <w:t xml:space="preserve"> </w:t>
      </w:r>
      <w:r w:rsidRPr="00EA59C0">
        <w:t>practices;</w:t>
      </w:r>
      <w:r w:rsidR="00C026A6" w:rsidRPr="00EA59C0">
        <w:t xml:space="preserve"> </w:t>
      </w:r>
    </w:p>
    <w:p w:rsidR="00B53E89" w:rsidRPr="00EA59C0" w:rsidRDefault="00B53E89" w:rsidP="00080097">
      <w:pPr>
        <w:pStyle w:val="ListParagraph"/>
        <w:numPr>
          <w:ilvl w:val="3"/>
          <w:numId w:val="27"/>
        </w:numPr>
      </w:pPr>
      <w:r w:rsidRPr="00EA59C0">
        <w:t>Sharing</w:t>
      </w:r>
      <w:r w:rsidR="00C026A6" w:rsidRPr="00EA59C0">
        <w:t xml:space="preserve"> </w:t>
      </w:r>
      <w:r w:rsidRPr="00EA59C0">
        <w:t>course</w:t>
      </w:r>
      <w:r w:rsidR="00C026A6" w:rsidRPr="00EA59C0">
        <w:t xml:space="preserve"> </w:t>
      </w:r>
      <w:r w:rsidRPr="00EA59C0">
        <w:t>and</w:t>
      </w:r>
      <w:r w:rsidR="00C026A6" w:rsidRPr="00EA59C0">
        <w:t xml:space="preserve"> </w:t>
      </w:r>
      <w:r w:rsidRPr="00EA59C0">
        <w:t>program</w:t>
      </w:r>
      <w:r w:rsidR="00C026A6" w:rsidRPr="00EA59C0">
        <w:t xml:space="preserve"> </w:t>
      </w:r>
      <w:r w:rsidRPr="00EA59C0">
        <w:t>content;</w:t>
      </w:r>
      <w:r w:rsidR="00C026A6" w:rsidRPr="00EA59C0">
        <w:t xml:space="preserve"> </w:t>
      </w:r>
    </w:p>
    <w:p w:rsidR="00B53E89" w:rsidRPr="00EA59C0" w:rsidRDefault="00B53E89" w:rsidP="00080097">
      <w:pPr>
        <w:pStyle w:val="ListParagraph"/>
        <w:numPr>
          <w:ilvl w:val="3"/>
          <w:numId w:val="27"/>
        </w:numPr>
      </w:pPr>
      <w:r w:rsidRPr="00EA59C0">
        <w:t>Collaborating</w:t>
      </w:r>
      <w:r w:rsidR="00C026A6" w:rsidRPr="00EA59C0">
        <w:t xml:space="preserve"> </w:t>
      </w:r>
      <w:r w:rsidRPr="00EA59C0">
        <w:t>in</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and</w:t>
      </w:r>
      <w:r w:rsidR="00C026A6" w:rsidRPr="00EA59C0">
        <w:t xml:space="preserve"> </w:t>
      </w:r>
      <w:r w:rsidRPr="00EA59C0">
        <w:t>delivery</w:t>
      </w:r>
      <w:r w:rsidR="00C026A6" w:rsidRPr="00EA59C0">
        <w:t xml:space="preserve"> </w:t>
      </w:r>
      <w:r w:rsidRPr="00EA59C0">
        <w:t>of</w:t>
      </w:r>
      <w:r w:rsidR="00C026A6" w:rsidRPr="00EA59C0">
        <w:t xml:space="preserve"> </w:t>
      </w:r>
      <w:r w:rsidRPr="00EA59C0">
        <w:t>programs</w:t>
      </w:r>
      <w:r w:rsidR="00C026A6" w:rsidRPr="00EA59C0">
        <w:t xml:space="preserve"> </w:t>
      </w:r>
      <w:r w:rsidRPr="00EA59C0">
        <w:t>and</w:t>
      </w:r>
      <w:r w:rsidR="00C026A6" w:rsidRPr="00EA59C0">
        <w:t xml:space="preserve"> </w:t>
      </w:r>
      <w:r w:rsidRPr="00EA59C0">
        <w:t>courses;</w:t>
      </w:r>
      <w:r w:rsidR="00C026A6" w:rsidRPr="00EA59C0">
        <w:t xml:space="preserve"> </w:t>
      </w:r>
    </w:p>
    <w:p w:rsidR="00B53E89" w:rsidRPr="00EA59C0" w:rsidRDefault="00B53E89" w:rsidP="00080097">
      <w:pPr>
        <w:pStyle w:val="ListParagraph"/>
        <w:numPr>
          <w:ilvl w:val="3"/>
          <w:numId w:val="27"/>
        </w:numPr>
      </w:pPr>
      <w:r w:rsidRPr="00EA59C0">
        <w:t>Developing</w:t>
      </w:r>
      <w:r w:rsidR="00C026A6" w:rsidRPr="00EA59C0">
        <w:t xml:space="preserve"> </w:t>
      </w:r>
      <w:r w:rsidRPr="00EA59C0">
        <w:t>transferability</w:t>
      </w:r>
      <w:r w:rsidR="00C026A6" w:rsidRPr="00EA59C0">
        <w:t xml:space="preserve"> </w:t>
      </w:r>
      <w:r w:rsidRPr="00EA59C0">
        <w:t>and</w:t>
      </w:r>
      <w:r w:rsidR="00C026A6" w:rsidRPr="00EA59C0">
        <w:t xml:space="preserve"> </w:t>
      </w:r>
      <w:r w:rsidRPr="00EA59C0">
        <w:t>articulation</w:t>
      </w:r>
      <w:r w:rsidR="00C026A6" w:rsidRPr="00EA59C0">
        <w:t xml:space="preserve"> </w:t>
      </w:r>
      <w:r w:rsidRPr="00EA59C0">
        <w:t>agreements;</w:t>
      </w:r>
      <w:r w:rsidR="00C026A6" w:rsidRPr="00EA59C0">
        <w:t xml:space="preserve"> </w:t>
      </w:r>
    </w:p>
    <w:p w:rsidR="00B53E89" w:rsidRPr="00EA59C0" w:rsidRDefault="00B53E89" w:rsidP="00080097">
      <w:pPr>
        <w:pStyle w:val="ListParagraph"/>
        <w:numPr>
          <w:ilvl w:val="3"/>
          <w:numId w:val="27"/>
        </w:numPr>
      </w:pPr>
      <w:r w:rsidRPr="00EA59C0">
        <w:t>Working</w:t>
      </w:r>
      <w:r w:rsidR="00C026A6" w:rsidRPr="00EA59C0">
        <w:t xml:space="preserve"> </w:t>
      </w:r>
      <w:r w:rsidRPr="00EA59C0">
        <w:t>together</w:t>
      </w:r>
      <w:r w:rsidR="00C026A6" w:rsidRPr="00EA59C0">
        <w:t xml:space="preserve"> </w:t>
      </w:r>
      <w:r w:rsidRPr="00EA59C0">
        <w:t>to</w:t>
      </w:r>
      <w:r w:rsidR="00C026A6" w:rsidRPr="00EA59C0">
        <w:t xml:space="preserve"> </w:t>
      </w:r>
      <w:r w:rsidRPr="00EA59C0">
        <w:t>develop</w:t>
      </w:r>
      <w:r w:rsidR="00C026A6" w:rsidRPr="00EA59C0">
        <w:t xml:space="preserve"> </w:t>
      </w:r>
      <w:r w:rsidRPr="00EA59C0">
        <w:t>best</w:t>
      </w:r>
      <w:r w:rsidR="00C026A6" w:rsidRPr="00EA59C0">
        <w:t xml:space="preserve"> </w:t>
      </w:r>
      <w:r w:rsidRPr="00EA59C0">
        <w:t>practices</w:t>
      </w:r>
      <w:r w:rsidR="00C026A6" w:rsidRPr="00EA59C0">
        <w:t xml:space="preserve"> </w:t>
      </w:r>
      <w:r w:rsidRPr="00EA59C0">
        <w:t>in</w:t>
      </w:r>
      <w:r w:rsidR="00C026A6" w:rsidRPr="00EA59C0">
        <w:t xml:space="preserve"> </w:t>
      </w:r>
      <w:r w:rsidRPr="00EA59C0">
        <w:t>a</w:t>
      </w:r>
      <w:r w:rsidR="00C026A6" w:rsidRPr="00EA59C0">
        <w:t xml:space="preserve"> </w:t>
      </w:r>
      <w:r w:rsidRPr="00EA59C0">
        <w:t>particular</w:t>
      </w:r>
      <w:r w:rsidR="00C026A6" w:rsidRPr="00EA59C0">
        <w:t xml:space="preserve"> </w:t>
      </w:r>
      <w:r w:rsidRPr="00EA59C0">
        <w:t>area</w:t>
      </w:r>
      <w:r w:rsidR="00C026A6" w:rsidRPr="00EA59C0">
        <w:t xml:space="preserve"> </w:t>
      </w:r>
      <w:r w:rsidRPr="00EA59C0">
        <w:t>of</w:t>
      </w:r>
      <w:r w:rsidR="00C026A6" w:rsidRPr="00EA59C0">
        <w:t xml:space="preserve"> </w:t>
      </w:r>
      <w:r w:rsidRPr="00EA59C0">
        <w:t>training</w:t>
      </w:r>
      <w:r w:rsidR="00C026A6" w:rsidRPr="00EA59C0">
        <w:t xml:space="preserve"> </w:t>
      </w:r>
      <w:r w:rsidRPr="00EA59C0">
        <w:t>or</w:t>
      </w:r>
      <w:r w:rsidR="00C026A6" w:rsidRPr="00EA59C0">
        <w:t xml:space="preserve"> </w:t>
      </w:r>
      <w:r w:rsidRPr="00EA59C0">
        <w:t>education</w:t>
      </w:r>
      <w:r w:rsidR="00C026A6" w:rsidRPr="00EA59C0">
        <w:t xml:space="preserve"> </w:t>
      </w:r>
      <w:r w:rsidRPr="00EA59C0">
        <w:t>(such</w:t>
      </w:r>
      <w:r w:rsidR="00C026A6" w:rsidRPr="00EA59C0">
        <w:t xml:space="preserve"> </w:t>
      </w:r>
      <w:r w:rsidRPr="00EA59C0">
        <w:t>as</w:t>
      </w:r>
      <w:r w:rsidR="00C026A6" w:rsidRPr="00EA59C0">
        <w:t xml:space="preserve"> </w:t>
      </w:r>
      <w:r w:rsidRPr="00EA59C0">
        <w:t>a</w:t>
      </w:r>
      <w:r w:rsidR="00C026A6" w:rsidRPr="00EA59C0">
        <w:t xml:space="preserve"> </w:t>
      </w:r>
      <w:r w:rsidRPr="00EA59C0">
        <w:t>coalition</w:t>
      </w:r>
      <w:r w:rsidR="00C026A6" w:rsidRPr="00EA59C0">
        <w:t xml:space="preserve"> </w:t>
      </w:r>
      <w:r w:rsidRPr="00EA59C0">
        <w:t>effort</w:t>
      </w:r>
      <w:r w:rsidR="00C026A6" w:rsidRPr="00EA59C0">
        <w:t xml:space="preserve"> </w:t>
      </w:r>
      <w:r w:rsidRPr="00EA59C0">
        <w:t>to</w:t>
      </w:r>
      <w:r w:rsidR="00C026A6" w:rsidRPr="00EA59C0">
        <w:t xml:space="preserve"> </w:t>
      </w:r>
      <w:r w:rsidRPr="00EA59C0">
        <w:t>foster</w:t>
      </w:r>
      <w:r w:rsidR="00C026A6" w:rsidRPr="00EA59C0">
        <w:t xml:space="preserve"> </w:t>
      </w:r>
      <w:r w:rsidRPr="00EA59C0">
        <w:t>more</w:t>
      </w:r>
      <w:r w:rsidR="00C026A6" w:rsidRPr="00EA59C0">
        <w:t xml:space="preserve"> </w:t>
      </w:r>
      <w:r w:rsidRPr="00EA59C0">
        <w:t>entrepreneurs);</w:t>
      </w:r>
      <w:r w:rsidR="00C026A6" w:rsidRPr="00EA59C0">
        <w:t xml:space="preserve"> </w:t>
      </w:r>
      <w:r w:rsidRPr="00EA59C0">
        <w:t>and</w:t>
      </w:r>
      <w:r w:rsidR="00C026A6" w:rsidRPr="00EA59C0">
        <w:t xml:space="preserve"> </w:t>
      </w:r>
    </w:p>
    <w:p w:rsidR="00B53E89" w:rsidRPr="00EA59C0" w:rsidRDefault="00B53E89" w:rsidP="00080097">
      <w:pPr>
        <w:pStyle w:val="ListParagraph"/>
        <w:numPr>
          <w:ilvl w:val="3"/>
          <w:numId w:val="27"/>
        </w:numPr>
      </w:pPr>
      <w:r w:rsidRPr="00EA59C0">
        <w:t>Leveraging</w:t>
      </w:r>
      <w:r w:rsidR="00C026A6" w:rsidRPr="00EA59C0">
        <w:t xml:space="preserve"> </w:t>
      </w:r>
      <w:r w:rsidRPr="00EA59C0">
        <w:t>the</w:t>
      </w:r>
      <w:r w:rsidR="00C026A6" w:rsidRPr="00EA59C0">
        <w:t xml:space="preserve"> </w:t>
      </w:r>
      <w:r w:rsidRPr="00EA59C0">
        <w:t>work</w:t>
      </w:r>
      <w:r w:rsidR="00C026A6" w:rsidRPr="00EA59C0">
        <w:t xml:space="preserve"> </w:t>
      </w:r>
      <w:r w:rsidRPr="00EA59C0">
        <w:t>of</w:t>
      </w:r>
      <w:r w:rsidR="00C026A6" w:rsidRPr="00EA59C0">
        <w:t xml:space="preserve"> </w:t>
      </w:r>
      <w:r w:rsidRPr="00EA59C0">
        <w:t>philanthropic</w:t>
      </w:r>
      <w:r w:rsidR="00C026A6" w:rsidRPr="00EA59C0">
        <w:t xml:space="preserve"> </w:t>
      </w:r>
      <w:r w:rsidRPr="00EA59C0">
        <w:t>or</w:t>
      </w:r>
      <w:r w:rsidR="00C026A6" w:rsidRPr="00EA59C0">
        <w:t xml:space="preserve"> </w:t>
      </w:r>
      <w:r w:rsidRPr="00EA59C0">
        <w:t>non-profit</w:t>
      </w:r>
      <w:r w:rsidR="00C026A6" w:rsidRPr="00EA59C0">
        <w:t xml:space="preserve"> </w:t>
      </w:r>
      <w:r w:rsidRPr="00EA59C0">
        <w:t>organizations</w:t>
      </w:r>
      <w:r w:rsidR="00C026A6" w:rsidRPr="00EA59C0">
        <w:t xml:space="preserve"> </w:t>
      </w:r>
      <w:r w:rsidRPr="00EA59C0">
        <w:t>that</w:t>
      </w:r>
      <w:r w:rsidR="00C026A6" w:rsidRPr="00EA59C0">
        <w:t xml:space="preserve"> </w:t>
      </w:r>
      <w:r w:rsidRPr="00EA59C0">
        <w:t>support</w:t>
      </w:r>
      <w:r w:rsidR="00C026A6" w:rsidRPr="00EA59C0">
        <w:t xml:space="preserve"> </w:t>
      </w:r>
      <w:r w:rsidRPr="00EA59C0">
        <w:t>community</w:t>
      </w:r>
      <w:r w:rsidR="00C026A6" w:rsidRPr="00EA59C0">
        <w:t xml:space="preserve"> </w:t>
      </w:r>
      <w:r w:rsidRPr="00EA59C0">
        <w:t>colleges.</w:t>
      </w:r>
    </w:p>
    <w:p w:rsidR="00637DBF" w:rsidRPr="00EA59C0" w:rsidRDefault="00637DBF" w:rsidP="00C072FA">
      <w:pPr>
        <w:ind w:left="-360"/>
      </w:pPr>
    </w:p>
    <w:p w:rsidR="00B53E89" w:rsidRPr="00EA59C0" w:rsidRDefault="00B53E89" w:rsidP="00C072FA">
      <w:pPr>
        <w:pStyle w:val="ListParagraph"/>
        <w:numPr>
          <w:ilvl w:val="5"/>
          <w:numId w:val="17"/>
        </w:numPr>
        <w:rPr>
          <w:b/>
        </w:rPr>
      </w:pPr>
      <w:r w:rsidRPr="00EA59C0">
        <w:rPr>
          <w:b/>
        </w:rPr>
        <w:t>Sector</w:t>
      </w:r>
      <w:r w:rsidR="00C026A6" w:rsidRPr="00EA59C0">
        <w:rPr>
          <w:b/>
        </w:rPr>
        <w:t xml:space="preserve"> </w:t>
      </w:r>
      <w:r w:rsidRPr="00EA59C0">
        <w:rPr>
          <w:b/>
        </w:rPr>
        <w:t>Strategies</w:t>
      </w:r>
      <w:r w:rsidR="00C026A6" w:rsidRPr="00EA59C0">
        <w:rPr>
          <w:b/>
        </w:rPr>
        <w:t xml:space="preserve"> </w:t>
      </w:r>
      <w:r w:rsidRPr="00EA59C0">
        <w:rPr>
          <w:b/>
        </w:rPr>
        <w:t>and</w:t>
      </w:r>
      <w:r w:rsidR="00C026A6" w:rsidRPr="00EA59C0">
        <w:rPr>
          <w:b/>
        </w:rPr>
        <w:t xml:space="preserve"> </w:t>
      </w:r>
      <w:r w:rsidRPr="00EA59C0">
        <w:rPr>
          <w:b/>
        </w:rPr>
        <w:t>Employer</w:t>
      </w:r>
      <w:r w:rsidR="00C026A6" w:rsidRPr="00EA59C0">
        <w:rPr>
          <w:b/>
        </w:rPr>
        <w:t xml:space="preserve"> </w:t>
      </w:r>
      <w:r w:rsidRPr="00EA59C0">
        <w:rPr>
          <w:b/>
        </w:rPr>
        <w:t>Engagement</w:t>
      </w:r>
    </w:p>
    <w:p w:rsidR="00B53E89" w:rsidRPr="00EA59C0" w:rsidRDefault="00B53E89" w:rsidP="00C072FA">
      <w:pPr>
        <w:ind w:left="2160"/>
      </w:pPr>
      <w:r w:rsidRPr="00EA59C0">
        <w:t>Applicants</w:t>
      </w:r>
      <w:r w:rsidR="00C026A6" w:rsidRPr="00EA59C0">
        <w:t xml:space="preserve"> </w:t>
      </w:r>
      <w:r w:rsidRPr="00EA59C0">
        <w:t>must</w:t>
      </w:r>
      <w:r w:rsidR="00C026A6" w:rsidRPr="00EA59C0">
        <w:t xml:space="preserve"> </w:t>
      </w:r>
      <w:r w:rsidRPr="00EA59C0">
        <w:t>identify</w:t>
      </w:r>
      <w:r w:rsidR="00C026A6" w:rsidRPr="00EA59C0">
        <w:t xml:space="preserve"> </w:t>
      </w:r>
      <w:r w:rsidRPr="00EA59C0">
        <w:t>or</w:t>
      </w:r>
      <w:r w:rsidR="00C026A6" w:rsidRPr="00EA59C0">
        <w:t xml:space="preserve"> </w:t>
      </w:r>
      <w:r w:rsidRPr="00EA59C0">
        <w:t>take</w:t>
      </w:r>
      <w:r w:rsidR="00C026A6" w:rsidRPr="00EA59C0">
        <w:t xml:space="preserve"> </w:t>
      </w:r>
      <w:r w:rsidRPr="00EA59C0">
        <w:t>to</w:t>
      </w:r>
      <w:r w:rsidR="00C026A6" w:rsidRPr="00EA59C0">
        <w:t xml:space="preserve"> </w:t>
      </w:r>
      <w:r w:rsidRPr="00EA59C0">
        <w:t>scale</w:t>
      </w:r>
      <w:r w:rsidR="00C026A6" w:rsidRPr="00EA59C0">
        <w:t xml:space="preserve"> </w:t>
      </w:r>
      <w:r w:rsidRPr="00EA59C0">
        <w:t>successful</w:t>
      </w:r>
      <w:r w:rsidR="00C026A6" w:rsidRPr="00EA59C0">
        <w:t xml:space="preserve"> </w:t>
      </w:r>
      <w:r w:rsidRPr="00EA59C0">
        <w:t>sector</w:t>
      </w:r>
      <w:r w:rsidR="00C026A6" w:rsidRPr="00EA59C0">
        <w:t xml:space="preserve"> </w:t>
      </w:r>
      <w:r w:rsidRPr="00EA59C0">
        <w:t>strategies.</w:t>
      </w:r>
      <w:r w:rsidR="00C026A6" w:rsidRPr="00EA59C0">
        <w:t xml:space="preserve">  </w:t>
      </w:r>
      <w:r w:rsidRPr="00EA59C0">
        <w:t>These</w:t>
      </w:r>
      <w:r w:rsidR="00C026A6" w:rsidRPr="00EA59C0">
        <w:t xml:space="preserve"> </w:t>
      </w:r>
      <w:r w:rsidRPr="00EA59C0">
        <w:t>sector</w:t>
      </w:r>
      <w:r w:rsidR="00C026A6" w:rsidRPr="00EA59C0">
        <w:t xml:space="preserve"> </w:t>
      </w:r>
      <w:r w:rsidRPr="00EA59C0">
        <w:t>strategies</w:t>
      </w:r>
      <w:r w:rsidR="00C026A6" w:rsidRPr="00EA59C0">
        <w:t xml:space="preserve"> </w:t>
      </w:r>
      <w:r w:rsidRPr="00EA59C0">
        <w:t>must</w:t>
      </w:r>
      <w:r w:rsidR="00C026A6" w:rsidRPr="00EA59C0">
        <w:t xml:space="preserve"> </w:t>
      </w:r>
      <w:r w:rsidRPr="00EA59C0">
        <w:t>focus</w:t>
      </w:r>
      <w:r w:rsidR="00C026A6" w:rsidRPr="00EA59C0">
        <w:t xml:space="preserve"> </w:t>
      </w:r>
      <w:r w:rsidRPr="00EA59C0">
        <w:t>on</w:t>
      </w:r>
      <w:r w:rsidR="00C026A6" w:rsidRPr="00EA59C0">
        <w:t xml:space="preserve"> </w:t>
      </w:r>
      <w:r w:rsidRPr="00EA59C0">
        <w:t>addressing</w:t>
      </w:r>
      <w:r w:rsidR="00C026A6" w:rsidRPr="00EA59C0">
        <w:t xml:space="preserve"> </w:t>
      </w:r>
      <w:r w:rsidRPr="00EA59C0">
        <w:t>employers’</w:t>
      </w:r>
      <w:r w:rsidR="00C026A6" w:rsidRPr="00EA59C0">
        <w:t xml:space="preserve"> </w:t>
      </w:r>
      <w:r w:rsidRPr="00EA59C0">
        <w:t>workforce</w:t>
      </w:r>
      <w:r w:rsidR="00C026A6" w:rsidRPr="00EA59C0">
        <w:t xml:space="preserve"> </w:t>
      </w:r>
      <w:r w:rsidRPr="00EA59C0">
        <w:t>needs</w:t>
      </w:r>
      <w:r w:rsidR="00C026A6" w:rsidRPr="00EA59C0">
        <w:t xml:space="preserve"> </w:t>
      </w:r>
      <w:r w:rsidRPr="00EA59C0">
        <w:t>by</w:t>
      </w:r>
      <w:r w:rsidR="00C026A6" w:rsidRPr="00EA59C0">
        <w:t xml:space="preserve"> </w:t>
      </w:r>
      <w:r w:rsidRPr="00EA59C0">
        <w:t>expanding</w:t>
      </w:r>
      <w:r w:rsidR="00C026A6" w:rsidRPr="00EA59C0">
        <w:t xml:space="preserve"> </w:t>
      </w:r>
      <w:r w:rsidRPr="00EA59C0">
        <w:t>or</w:t>
      </w:r>
      <w:r w:rsidR="00C026A6" w:rsidRPr="00EA59C0">
        <w:t xml:space="preserve"> </w:t>
      </w:r>
      <w:r w:rsidRPr="00EA59C0">
        <w:t>improving</w:t>
      </w:r>
      <w:r w:rsidR="00C026A6" w:rsidRPr="00EA59C0">
        <w:t xml:space="preserve"> </w:t>
      </w:r>
      <w:r w:rsidRPr="00EA59C0">
        <w:t>applicants</w:t>
      </w:r>
      <w:r w:rsidR="00CD4908" w:rsidRPr="00EA59C0">
        <w:t>’</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based</w:t>
      </w:r>
      <w:r w:rsidR="00C026A6" w:rsidRPr="00EA59C0">
        <w:t xml:space="preserve"> </w:t>
      </w:r>
      <w:r w:rsidRPr="00EA59C0">
        <w:t>on</w:t>
      </w:r>
      <w:r w:rsidR="00C026A6" w:rsidRPr="00EA59C0">
        <w:t xml:space="preserve"> </w:t>
      </w:r>
      <w:r w:rsidRPr="00EA59C0">
        <w:t>the</w:t>
      </w:r>
      <w:r w:rsidR="00C026A6" w:rsidRPr="00EA59C0">
        <w:t xml:space="preserve"> </w:t>
      </w:r>
      <w:r w:rsidRPr="00EA59C0">
        <w:t>use</w:t>
      </w:r>
      <w:r w:rsidR="00C026A6" w:rsidRPr="00EA59C0">
        <w:t xml:space="preserve"> </w:t>
      </w:r>
      <w:r w:rsidRPr="00EA59C0">
        <w:t>of</w:t>
      </w:r>
      <w:r w:rsidR="00C026A6" w:rsidRPr="00EA59C0">
        <w:t xml:space="preserve"> </w:t>
      </w:r>
      <w:r w:rsidRPr="00EA59C0">
        <w:t>real</w:t>
      </w:r>
      <w:r w:rsidR="004C26F4" w:rsidRPr="00EA59C0">
        <w:t>-</w:t>
      </w:r>
      <w:r w:rsidRPr="00EA59C0">
        <w:t>time</w:t>
      </w:r>
      <w:r w:rsidR="00C026A6" w:rsidRPr="00EA59C0">
        <w:t xml:space="preserve"> </w:t>
      </w:r>
      <w:r w:rsidRPr="00EA59C0">
        <w:t>labor</w:t>
      </w:r>
      <w:r w:rsidR="00C026A6" w:rsidRPr="00EA59C0">
        <w:t xml:space="preserve"> </w:t>
      </w:r>
      <w:r w:rsidRPr="00EA59C0">
        <w:t>market</w:t>
      </w:r>
      <w:r w:rsidR="00C026A6" w:rsidRPr="00EA59C0">
        <w:t xml:space="preserve"> </w:t>
      </w:r>
      <w:r w:rsidRPr="00EA59C0">
        <w:t>information.</w:t>
      </w:r>
    </w:p>
    <w:p w:rsidR="00C03D1A" w:rsidRPr="00EA59C0" w:rsidRDefault="00C03D1A" w:rsidP="00C072FA">
      <w:pPr>
        <w:ind w:left="1440"/>
      </w:pPr>
    </w:p>
    <w:p w:rsidR="00B53E89" w:rsidRPr="00EA59C0" w:rsidRDefault="00B53E89" w:rsidP="00C072FA">
      <w:pPr>
        <w:pStyle w:val="ListParagraph"/>
        <w:numPr>
          <w:ilvl w:val="6"/>
          <w:numId w:val="17"/>
        </w:numPr>
      </w:pPr>
      <w:r w:rsidRPr="00EA59C0">
        <w:t>Sector</w:t>
      </w:r>
      <w:r w:rsidR="00C026A6" w:rsidRPr="00EA59C0">
        <w:t xml:space="preserve"> </w:t>
      </w:r>
      <w:r w:rsidRPr="00EA59C0">
        <w:t>Identification</w:t>
      </w:r>
    </w:p>
    <w:p w:rsidR="00B53E89" w:rsidRPr="00EA59C0" w:rsidRDefault="00B53E89" w:rsidP="00FF55AC">
      <w:pPr>
        <w:ind w:left="2520"/>
      </w:pPr>
      <w:r w:rsidRPr="00EA59C0">
        <w:t>Applicants</w:t>
      </w:r>
      <w:r w:rsidR="00C026A6" w:rsidRPr="00EA59C0">
        <w:t xml:space="preserve"> </w:t>
      </w:r>
      <w:r w:rsidRPr="00EA59C0">
        <w:t>must</w:t>
      </w:r>
      <w:r w:rsidR="00C026A6" w:rsidRPr="00EA59C0">
        <w:t xml:space="preserve"> </w:t>
      </w:r>
      <w:r w:rsidRPr="00EA59C0">
        <w:t>identify</w:t>
      </w:r>
      <w:r w:rsidR="00C026A6" w:rsidRPr="00EA59C0">
        <w:t xml:space="preserve"> </w:t>
      </w:r>
      <w:r w:rsidRPr="00EA59C0">
        <w:t>one</w:t>
      </w:r>
      <w:r w:rsidR="00C026A6" w:rsidRPr="00EA59C0">
        <w:t xml:space="preserve"> </w:t>
      </w:r>
      <w:r w:rsidRPr="00EA59C0">
        <w:t>or</w:t>
      </w:r>
      <w:r w:rsidR="00C026A6" w:rsidRPr="00EA59C0">
        <w:t xml:space="preserve"> </w:t>
      </w:r>
      <w:r w:rsidRPr="00EA59C0">
        <w:t>more</w:t>
      </w:r>
      <w:r w:rsidR="00C026A6" w:rsidRPr="00EA59C0">
        <w:t xml:space="preserve"> </w:t>
      </w:r>
      <w:r w:rsidRPr="00EA59C0">
        <w:t>specific</w:t>
      </w:r>
      <w:r w:rsidR="00C026A6" w:rsidRPr="00EA59C0">
        <w:t xml:space="preserve"> </w:t>
      </w:r>
      <w:r w:rsidRPr="00EA59C0">
        <w:t>industry</w:t>
      </w:r>
      <w:r w:rsidR="00C026A6" w:rsidRPr="00EA59C0">
        <w:t xml:space="preserve"> </w:t>
      </w:r>
      <w:r w:rsidRPr="00EA59C0">
        <w:t>sectors</w:t>
      </w:r>
      <w:r w:rsidR="00C026A6" w:rsidRPr="00EA59C0">
        <w:t xml:space="preserve"> </w:t>
      </w:r>
      <w:r w:rsidRPr="00EA59C0">
        <w:t>on</w:t>
      </w:r>
      <w:r w:rsidR="00C026A6" w:rsidRPr="00EA59C0">
        <w:t xml:space="preserve"> </w:t>
      </w:r>
      <w:r w:rsidRPr="00EA59C0">
        <w:t>which</w:t>
      </w:r>
      <w:r w:rsidR="00C026A6" w:rsidRPr="00EA59C0">
        <w:t xml:space="preserve"> </w:t>
      </w:r>
      <w:r w:rsidRPr="00EA59C0">
        <w:t>they</w:t>
      </w:r>
      <w:r w:rsidR="00C026A6" w:rsidRPr="00EA59C0">
        <w:t xml:space="preserve"> </w:t>
      </w:r>
      <w:r w:rsidRPr="00EA59C0">
        <w:t>will</w:t>
      </w:r>
      <w:r w:rsidR="00C026A6" w:rsidRPr="00EA59C0">
        <w:t xml:space="preserve"> </w:t>
      </w:r>
      <w:r w:rsidRPr="00EA59C0">
        <w:t>focus.</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involve</w:t>
      </w:r>
      <w:r w:rsidR="00C026A6" w:rsidRPr="00EA59C0">
        <w:t xml:space="preserve"> </w:t>
      </w:r>
      <w:r w:rsidRPr="00EA59C0">
        <w:t>at</w:t>
      </w:r>
      <w:r w:rsidR="00C026A6" w:rsidRPr="00EA59C0">
        <w:t xml:space="preserve"> </w:t>
      </w:r>
      <w:r w:rsidRPr="00EA59C0">
        <w:t>least</w:t>
      </w:r>
      <w:r w:rsidR="00C026A6" w:rsidRPr="00EA59C0">
        <w:t xml:space="preserve"> </w:t>
      </w:r>
      <w:r w:rsidRPr="00EA59C0">
        <w:t>two</w:t>
      </w:r>
      <w:r w:rsidR="00C026A6" w:rsidRPr="00EA59C0">
        <w:t xml:space="preserve"> </w:t>
      </w:r>
      <w:r w:rsidRPr="00EA59C0">
        <w:t>employers</w:t>
      </w:r>
      <w:r w:rsidR="00C026A6" w:rsidRPr="00EA59C0">
        <w:t xml:space="preserve"> </w:t>
      </w:r>
      <w:r w:rsidR="00C51E61" w:rsidRPr="00EA59C0">
        <w:t>and</w:t>
      </w:r>
      <w:r w:rsidR="00C026A6" w:rsidRPr="00EA59C0">
        <w:t xml:space="preserve"> </w:t>
      </w:r>
      <w:r w:rsidR="004D0089" w:rsidRPr="00EA59C0">
        <w:t>a</w:t>
      </w:r>
      <w:r w:rsidR="00C026A6" w:rsidRPr="00EA59C0">
        <w:t xml:space="preserve"> </w:t>
      </w:r>
      <w:r w:rsidR="004D0089" w:rsidRPr="00EA59C0">
        <w:t>re</w:t>
      </w:r>
      <w:r w:rsidR="00C51E61" w:rsidRPr="00EA59C0">
        <w:t>gional</w:t>
      </w:r>
      <w:r w:rsidR="00C026A6" w:rsidRPr="00EA59C0">
        <w:t xml:space="preserve"> </w:t>
      </w:r>
      <w:r w:rsidR="00C51E61" w:rsidRPr="00EA59C0">
        <w:t>industry</w:t>
      </w:r>
      <w:r w:rsidR="00C026A6" w:rsidRPr="00EA59C0">
        <w:t xml:space="preserve"> </w:t>
      </w:r>
      <w:r w:rsidR="00C51E61" w:rsidRPr="00EA59C0">
        <w:t>representative</w:t>
      </w:r>
      <w:r w:rsidR="00C026A6" w:rsidRPr="00EA59C0">
        <w:t xml:space="preserve"> </w:t>
      </w:r>
      <w:r w:rsidRPr="00EA59C0">
        <w:t>for</w:t>
      </w:r>
      <w:r w:rsidR="00C026A6" w:rsidRPr="00EA59C0">
        <w:t xml:space="preserve"> </w:t>
      </w:r>
      <w:r w:rsidRPr="00EA59C0">
        <w:t>each</w:t>
      </w:r>
      <w:r w:rsidR="00C026A6" w:rsidRPr="00EA59C0">
        <w:t xml:space="preserve"> </w:t>
      </w:r>
      <w:r w:rsidRPr="00EA59C0">
        <w:t>targeted</w:t>
      </w:r>
      <w:r w:rsidR="00C026A6" w:rsidRPr="00EA59C0">
        <w:t xml:space="preserve"> </w:t>
      </w:r>
      <w:r w:rsidRPr="00EA59C0">
        <w:t>sector</w:t>
      </w:r>
      <w:r w:rsidR="00C026A6" w:rsidRPr="00EA59C0">
        <w:t xml:space="preserve"> </w:t>
      </w:r>
      <w:r w:rsidRPr="00EA59C0">
        <w:t>in</w:t>
      </w:r>
      <w:r w:rsidR="00C026A6" w:rsidRPr="00EA59C0">
        <w:t xml:space="preserve"> </w:t>
      </w:r>
      <w:r w:rsidRPr="00EA59C0">
        <w:t>each</w:t>
      </w:r>
      <w:r w:rsidR="00C026A6" w:rsidRPr="00EA59C0">
        <w:t xml:space="preserve"> </w:t>
      </w:r>
      <w:r w:rsidRPr="00EA59C0">
        <w:t>region</w:t>
      </w:r>
      <w:r w:rsidR="00C026A6" w:rsidRPr="00EA59C0">
        <w:t xml:space="preserve"> </w:t>
      </w:r>
      <w:r w:rsidRPr="00EA59C0">
        <w:t>served</w:t>
      </w:r>
      <w:r w:rsidR="00C026A6" w:rsidRPr="00EA59C0">
        <w:t xml:space="preserve"> </w:t>
      </w:r>
      <w:r w:rsidRPr="00EA59C0">
        <w:t>by</w:t>
      </w:r>
      <w:r w:rsidR="00C026A6" w:rsidRPr="00EA59C0">
        <w:t xml:space="preserve"> </w:t>
      </w:r>
      <w:r w:rsidRPr="00EA59C0">
        <w:t>the</w:t>
      </w:r>
      <w:r w:rsidR="00C026A6" w:rsidRPr="00EA59C0">
        <w:t xml:space="preserve"> </w:t>
      </w:r>
      <w:r w:rsidRPr="00EA59C0">
        <w:t>program</w:t>
      </w:r>
      <w:r w:rsidR="004D0089" w:rsidRPr="00EA59C0">
        <w:t>.</w:t>
      </w:r>
      <w:r w:rsidR="00C026A6" w:rsidRPr="00EA59C0">
        <w:t xml:space="preserve">  </w:t>
      </w:r>
      <w:r w:rsidR="004D0089" w:rsidRPr="00EA59C0">
        <w:t>T</w:t>
      </w:r>
      <w:r w:rsidRPr="00EA59C0">
        <w:t>he</w:t>
      </w:r>
      <w:r w:rsidR="00C026A6" w:rsidRPr="00EA59C0">
        <w:t xml:space="preserve"> </w:t>
      </w:r>
      <w:r w:rsidRPr="00EA59C0">
        <w:t>employers</w:t>
      </w:r>
      <w:r w:rsidR="00C026A6" w:rsidRPr="00EA59C0">
        <w:t xml:space="preserve"> </w:t>
      </w:r>
      <w:r w:rsidR="004D0089" w:rsidRPr="00EA59C0">
        <w:t>must</w:t>
      </w:r>
      <w:r w:rsidR="00C026A6" w:rsidRPr="00EA59C0">
        <w:t xml:space="preserve"> </w:t>
      </w:r>
      <w:r w:rsidRPr="00EA59C0">
        <w:t>either</w:t>
      </w:r>
      <w:r w:rsidR="00C026A6" w:rsidRPr="00EA59C0">
        <w:t xml:space="preserve"> </w:t>
      </w:r>
      <w:r w:rsidR="004D0089" w:rsidRPr="00EA59C0">
        <w:t>be</w:t>
      </w:r>
      <w:r w:rsidR="00C026A6" w:rsidRPr="00EA59C0">
        <w:t xml:space="preserve"> </w:t>
      </w:r>
      <w:r w:rsidRPr="00EA59C0">
        <w:t>located</w:t>
      </w:r>
      <w:r w:rsidR="00C026A6" w:rsidRPr="00EA59C0">
        <w:t xml:space="preserve"> </w:t>
      </w:r>
      <w:r w:rsidRPr="00EA59C0">
        <w:t>in</w:t>
      </w:r>
      <w:r w:rsidR="00C026A6" w:rsidRPr="00EA59C0">
        <w:t xml:space="preserve"> </w:t>
      </w:r>
      <w:r w:rsidRPr="00EA59C0">
        <w:t>that</w:t>
      </w:r>
      <w:r w:rsidR="00C026A6" w:rsidRPr="00EA59C0">
        <w:t xml:space="preserve"> </w:t>
      </w:r>
      <w:r w:rsidRPr="00EA59C0">
        <w:t>region</w:t>
      </w:r>
      <w:r w:rsidR="00C026A6" w:rsidRPr="00EA59C0">
        <w:t xml:space="preserve"> </w:t>
      </w:r>
      <w:r w:rsidRPr="00EA59C0">
        <w:t>or</w:t>
      </w:r>
      <w:r w:rsidR="00C026A6" w:rsidRPr="00EA59C0">
        <w:t xml:space="preserve"> </w:t>
      </w:r>
      <w:r w:rsidRPr="00EA59C0">
        <w:t>can</w:t>
      </w:r>
      <w:r w:rsidR="00C026A6" w:rsidRPr="00EA59C0">
        <w:t xml:space="preserve"> </w:t>
      </w:r>
      <w:r w:rsidRPr="00EA59C0">
        <w:t>hire</w:t>
      </w:r>
      <w:r w:rsidR="00C026A6" w:rsidRPr="00EA59C0">
        <w:t xml:space="preserve"> </w:t>
      </w:r>
      <w:r w:rsidRPr="00EA59C0">
        <w:t>individuals</w:t>
      </w:r>
      <w:r w:rsidR="00C026A6" w:rsidRPr="00EA59C0">
        <w:t xml:space="preserve"> </w:t>
      </w:r>
      <w:r w:rsidRPr="00EA59C0">
        <w:t>in</w:t>
      </w:r>
      <w:r w:rsidR="00C026A6" w:rsidRPr="00EA59C0">
        <w:t xml:space="preserve"> </w:t>
      </w:r>
      <w:r w:rsidRPr="00EA59C0">
        <w:t>that</w:t>
      </w:r>
      <w:r w:rsidR="00C026A6" w:rsidRPr="00EA59C0">
        <w:t xml:space="preserve"> </w:t>
      </w:r>
      <w:r w:rsidRPr="00EA59C0">
        <w:t>area.</w:t>
      </w:r>
      <w:r w:rsidR="00C026A6" w:rsidRPr="00EA59C0">
        <w:t xml:space="preserve">  </w:t>
      </w:r>
      <w:r w:rsidRPr="00EA59C0">
        <w:t>Employers</w:t>
      </w:r>
      <w:r w:rsidR="00C026A6" w:rsidRPr="00EA59C0">
        <w:t xml:space="preserve"> </w:t>
      </w:r>
      <w:r w:rsidRPr="00EA59C0">
        <w:t>identified</w:t>
      </w:r>
      <w:r w:rsidR="00C026A6" w:rsidRPr="00EA59C0">
        <w:t xml:space="preserve"> </w:t>
      </w:r>
      <w:r w:rsidRPr="00EA59C0">
        <w:t>must</w:t>
      </w:r>
      <w:r w:rsidR="00C026A6" w:rsidRPr="00EA59C0">
        <w:t xml:space="preserve"> </w:t>
      </w:r>
      <w:r w:rsidRPr="00EA59C0">
        <w:t>be</w:t>
      </w:r>
      <w:r w:rsidR="00C026A6" w:rsidRPr="00EA59C0">
        <w:t xml:space="preserve"> </w:t>
      </w:r>
      <w:r w:rsidRPr="00EA59C0">
        <w:t>consistent</w:t>
      </w:r>
      <w:r w:rsidR="00C026A6" w:rsidRPr="00EA59C0">
        <w:t xml:space="preserve"> </w:t>
      </w:r>
      <w:r w:rsidRPr="00EA59C0">
        <w:t>with</w:t>
      </w:r>
      <w:r w:rsidR="00C026A6" w:rsidRPr="00EA59C0">
        <w:t xml:space="preserve"> </w:t>
      </w:r>
      <w:r w:rsidRPr="00EA59C0">
        <w:t>employers</w:t>
      </w:r>
      <w:r w:rsidR="00C026A6" w:rsidRPr="00EA59C0">
        <w:t xml:space="preserve"> </w:t>
      </w:r>
      <w:r w:rsidRPr="00EA59C0">
        <w:t>and</w:t>
      </w:r>
      <w:r w:rsidR="00C026A6" w:rsidRPr="00EA59C0">
        <w:t xml:space="preserve"> </w:t>
      </w:r>
      <w:r w:rsidRPr="00EA59C0">
        <w:t>employer</w:t>
      </w:r>
      <w:r w:rsidR="00C026A6" w:rsidRPr="00EA59C0">
        <w:t xml:space="preserve"> </w:t>
      </w:r>
      <w:r w:rsidRPr="00EA59C0">
        <w:t>roles</w:t>
      </w:r>
      <w:r w:rsidR="00C026A6" w:rsidRPr="00EA59C0">
        <w:t xml:space="preserve"> </w:t>
      </w:r>
      <w:r w:rsidRPr="00EA59C0">
        <w:t>identified</w:t>
      </w:r>
      <w:r w:rsidR="00C026A6" w:rsidRPr="00EA59C0">
        <w:t xml:space="preserve"> </w:t>
      </w:r>
      <w:r w:rsidRPr="00EA59C0">
        <w:t>in</w:t>
      </w:r>
      <w:r w:rsidR="00C026A6" w:rsidRPr="00EA59C0">
        <w:t xml:space="preserve"> </w:t>
      </w:r>
      <w:r w:rsidRPr="00EA59C0">
        <w:t>the</w:t>
      </w:r>
      <w:r w:rsidR="00C026A6" w:rsidRPr="00EA59C0">
        <w:t xml:space="preserve"> </w:t>
      </w:r>
      <w:r w:rsidRPr="00EA59C0">
        <w:t>required</w:t>
      </w:r>
      <w:r w:rsidR="00C026A6" w:rsidRPr="00EA59C0">
        <w:t xml:space="preserve"> </w:t>
      </w:r>
      <w:r w:rsidRPr="00EA59C0">
        <w:t>documentation</w:t>
      </w:r>
      <w:r w:rsidR="00C026A6" w:rsidRPr="00EA59C0">
        <w:t xml:space="preserve"> </w:t>
      </w:r>
      <w:r w:rsidRPr="00EA59C0">
        <w:t>of</w:t>
      </w:r>
      <w:r w:rsidR="00C026A6" w:rsidRPr="00EA59C0">
        <w:t xml:space="preserve"> </w:t>
      </w:r>
      <w:r w:rsidRPr="00EA59C0">
        <w:t>employer</w:t>
      </w:r>
      <w:r w:rsidR="00C026A6" w:rsidRPr="00EA59C0">
        <w:t xml:space="preserve"> </w:t>
      </w:r>
      <w:r w:rsidRPr="00EA59C0">
        <w:t>commitment</w:t>
      </w:r>
      <w:r w:rsidR="0036564D" w:rsidRPr="00EA59C0">
        <w:t>.</w:t>
      </w:r>
      <w:r w:rsidR="00C026A6" w:rsidRPr="00EA59C0">
        <w:t xml:space="preserve"> </w:t>
      </w:r>
      <w:r w:rsidR="001154CE" w:rsidRPr="00EA59C0">
        <w:t>If</w:t>
      </w:r>
      <w:r w:rsidR="00C026A6" w:rsidRPr="00EA59C0">
        <w:t xml:space="preserve"> </w:t>
      </w:r>
      <w:r w:rsidR="001154CE" w:rsidRPr="00EA59C0">
        <w:t>applicable,</w:t>
      </w:r>
      <w:r w:rsidR="00C026A6" w:rsidRPr="00EA59C0">
        <w:t xml:space="preserve"> </w:t>
      </w:r>
      <w:r w:rsidR="001154CE" w:rsidRPr="00EA59C0">
        <w:t>evidence</w:t>
      </w:r>
      <w:r w:rsidR="00C026A6" w:rsidRPr="00EA59C0">
        <w:t xml:space="preserve"> </w:t>
      </w:r>
      <w:r w:rsidR="001154CE" w:rsidRPr="00EA59C0">
        <w:t>of</w:t>
      </w:r>
      <w:r w:rsidR="00C026A6" w:rsidRPr="00EA59C0">
        <w:t xml:space="preserve"> </w:t>
      </w:r>
      <w:r w:rsidR="001154CE" w:rsidRPr="00EA59C0">
        <w:t>prior</w:t>
      </w:r>
      <w:r w:rsidR="00C026A6" w:rsidRPr="00EA59C0">
        <w:t xml:space="preserve"> </w:t>
      </w:r>
      <w:r w:rsidR="001154CE" w:rsidRPr="00EA59C0">
        <w:t>designation</w:t>
      </w:r>
      <w:r w:rsidR="00C026A6" w:rsidRPr="00EA59C0">
        <w:t xml:space="preserve"> </w:t>
      </w:r>
      <w:r w:rsidR="001154CE" w:rsidRPr="00EA59C0">
        <w:t>by</w:t>
      </w:r>
      <w:r w:rsidR="00C026A6" w:rsidRPr="00EA59C0">
        <w:t xml:space="preserve"> </w:t>
      </w:r>
      <w:r w:rsidR="001154CE" w:rsidRPr="00EA59C0">
        <w:t>a</w:t>
      </w:r>
      <w:r w:rsidR="00C026A6" w:rsidRPr="00EA59C0">
        <w:t xml:space="preserve"> </w:t>
      </w:r>
      <w:r w:rsidR="001154CE" w:rsidRPr="00EA59C0">
        <w:t>certifying</w:t>
      </w:r>
      <w:r w:rsidR="00C026A6" w:rsidRPr="00EA59C0">
        <w:t xml:space="preserve"> </w:t>
      </w:r>
      <w:r w:rsidR="00FF55AC" w:rsidRPr="00EA59C0">
        <w:t>F</w:t>
      </w:r>
      <w:r w:rsidR="001154CE" w:rsidRPr="00EA59C0">
        <w:t>ederal</w:t>
      </w:r>
      <w:r w:rsidR="00C026A6" w:rsidRPr="00EA59C0">
        <w:t xml:space="preserve"> </w:t>
      </w:r>
      <w:r w:rsidR="001154CE" w:rsidRPr="00EA59C0">
        <w:t>entity</w:t>
      </w:r>
      <w:r w:rsidR="00C026A6" w:rsidRPr="00EA59C0">
        <w:t xml:space="preserve"> </w:t>
      </w:r>
      <w:r w:rsidR="00FF55AC" w:rsidRPr="00EA59C0">
        <w:t>may</w:t>
      </w:r>
      <w:r w:rsidR="00C026A6" w:rsidRPr="00EA59C0">
        <w:t xml:space="preserve"> </w:t>
      </w:r>
      <w:r w:rsidR="00FF55AC" w:rsidRPr="00EA59C0">
        <w:t>be</w:t>
      </w:r>
      <w:r w:rsidR="00C026A6" w:rsidRPr="00EA59C0">
        <w:t xml:space="preserve"> </w:t>
      </w:r>
      <w:r w:rsidR="00FF55AC" w:rsidRPr="00EA59C0">
        <w:t>used</w:t>
      </w:r>
      <w:r w:rsidR="00C026A6" w:rsidRPr="00EA59C0">
        <w:t xml:space="preserve"> </w:t>
      </w:r>
      <w:r w:rsidR="00FF55AC" w:rsidRPr="00EA59C0">
        <w:t>by</w:t>
      </w:r>
      <w:r w:rsidR="00C026A6" w:rsidRPr="00EA59C0">
        <w:t xml:space="preserve"> </w:t>
      </w:r>
      <w:r w:rsidR="00FF55AC" w:rsidRPr="00EA59C0">
        <w:t>applicants</w:t>
      </w:r>
      <w:r w:rsidR="00C026A6" w:rsidRPr="00EA59C0">
        <w:t xml:space="preserve"> </w:t>
      </w:r>
      <w:r w:rsidR="00FF55AC" w:rsidRPr="00EA59C0">
        <w:t>as</w:t>
      </w:r>
      <w:r w:rsidR="00C026A6" w:rsidRPr="00EA59C0">
        <w:t xml:space="preserve"> </w:t>
      </w:r>
      <w:r w:rsidR="00FF55AC" w:rsidRPr="00EA59C0">
        <w:t>evidence</w:t>
      </w:r>
      <w:r w:rsidR="00C026A6" w:rsidRPr="00EA59C0">
        <w:t xml:space="preserve"> </w:t>
      </w:r>
      <w:r w:rsidR="001154CE" w:rsidRPr="00EA59C0">
        <w:t>for</w:t>
      </w:r>
      <w:r w:rsidR="00C026A6" w:rsidRPr="00EA59C0">
        <w:t xml:space="preserve"> </w:t>
      </w:r>
      <w:r w:rsidR="001154CE" w:rsidRPr="00EA59C0">
        <w:t>the</w:t>
      </w:r>
      <w:r w:rsidR="00C026A6" w:rsidRPr="00EA59C0">
        <w:t xml:space="preserve"> </w:t>
      </w:r>
      <w:r w:rsidR="001154CE" w:rsidRPr="00EA59C0">
        <w:t>strength</w:t>
      </w:r>
      <w:r w:rsidR="00C026A6" w:rsidRPr="00EA59C0">
        <w:t xml:space="preserve"> </w:t>
      </w:r>
      <w:r w:rsidR="001154CE" w:rsidRPr="00EA59C0">
        <w:t>of</w:t>
      </w:r>
      <w:r w:rsidR="00C026A6" w:rsidRPr="00EA59C0">
        <w:t xml:space="preserve"> </w:t>
      </w:r>
      <w:r w:rsidR="001154CE" w:rsidRPr="00EA59C0">
        <w:t>an</w:t>
      </w:r>
      <w:r w:rsidR="00C026A6" w:rsidRPr="00EA59C0">
        <w:t xml:space="preserve"> </w:t>
      </w:r>
      <w:r w:rsidR="001154CE" w:rsidRPr="00EA59C0">
        <w:t>existing</w:t>
      </w:r>
      <w:r w:rsidR="00C026A6" w:rsidRPr="00EA59C0">
        <w:t xml:space="preserve"> </w:t>
      </w:r>
      <w:r w:rsidR="001154CE" w:rsidRPr="00EA59C0">
        <w:t>sector</w:t>
      </w:r>
      <w:r w:rsidR="00C026A6" w:rsidRPr="00EA59C0">
        <w:t xml:space="preserve"> </w:t>
      </w:r>
      <w:r w:rsidR="001154CE" w:rsidRPr="00EA59C0">
        <w:t>strategy</w:t>
      </w:r>
      <w:r w:rsidR="00C026A6" w:rsidRPr="00EA59C0">
        <w:t xml:space="preserve"> </w:t>
      </w:r>
      <w:r w:rsidR="001154CE" w:rsidRPr="00EA59C0">
        <w:t>that</w:t>
      </w:r>
      <w:r w:rsidR="00C026A6" w:rsidRPr="00EA59C0">
        <w:t xml:space="preserve"> </w:t>
      </w:r>
      <w:r w:rsidR="001154CE" w:rsidRPr="00EA59C0">
        <w:t>integrates</w:t>
      </w:r>
      <w:r w:rsidR="00C026A6" w:rsidRPr="00EA59C0">
        <w:t xml:space="preserve"> </w:t>
      </w:r>
      <w:r w:rsidR="001154CE" w:rsidRPr="00EA59C0">
        <w:t>workforce</w:t>
      </w:r>
      <w:r w:rsidR="00C026A6" w:rsidRPr="00EA59C0">
        <w:t xml:space="preserve"> </w:t>
      </w:r>
      <w:r w:rsidR="001154CE" w:rsidRPr="00EA59C0">
        <w:t>development</w:t>
      </w:r>
      <w:r w:rsidR="00C026A6" w:rsidRPr="00EA59C0">
        <w:t xml:space="preserve"> </w:t>
      </w:r>
      <w:r w:rsidR="001154CE" w:rsidRPr="00EA59C0">
        <w:t>into</w:t>
      </w:r>
      <w:r w:rsidR="00C026A6" w:rsidRPr="00EA59C0">
        <w:t xml:space="preserve"> </w:t>
      </w:r>
      <w:r w:rsidR="001154CE" w:rsidRPr="00EA59C0">
        <w:t>a</w:t>
      </w:r>
      <w:r w:rsidR="00C026A6" w:rsidRPr="00EA59C0">
        <w:t xml:space="preserve"> </w:t>
      </w:r>
      <w:r w:rsidR="001154CE" w:rsidRPr="00EA59C0">
        <w:t>comprehensive</w:t>
      </w:r>
      <w:r w:rsidR="00C026A6" w:rsidRPr="00EA59C0">
        <w:t xml:space="preserve"> </w:t>
      </w:r>
      <w:r w:rsidR="001154CE" w:rsidRPr="00EA59C0">
        <w:t>regional</w:t>
      </w:r>
      <w:r w:rsidR="00C026A6" w:rsidRPr="00EA59C0">
        <w:t xml:space="preserve"> </w:t>
      </w:r>
      <w:r w:rsidR="001154CE" w:rsidRPr="00EA59C0">
        <w:t>development</w:t>
      </w:r>
      <w:r w:rsidR="00C026A6" w:rsidRPr="00EA59C0">
        <w:t xml:space="preserve"> </w:t>
      </w:r>
      <w:r w:rsidR="001154CE" w:rsidRPr="00EA59C0">
        <w:t>strategy.</w:t>
      </w:r>
      <w:r w:rsidR="00C026A6" w:rsidRPr="00EA59C0">
        <w:t xml:space="preserve">  </w:t>
      </w:r>
      <w:r w:rsidR="001154CE" w:rsidRPr="00EA59C0">
        <w:t>Designation</w:t>
      </w:r>
      <w:r w:rsidR="00C026A6" w:rsidRPr="00EA59C0">
        <w:t xml:space="preserve"> </w:t>
      </w:r>
      <w:r w:rsidR="001154CE" w:rsidRPr="00EA59C0">
        <w:t>as</w:t>
      </w:r>
      <w:r w:rsidR="00C026A6" w:rsidRPr="00EA59C0">
        <w:t xml:space="preserve"> </w:t>
      </w:r>
      <w:r w:rsidR="001154CE" w:rsidRPr="00EA59C0">
        <w:t>a</w:t>
      </w:r>
      <w:r w:rsidR="00C026A6" w:rsidRPr="00EA59C0">
        <w:t xml:space="preserve"> </w:t>
      </w:r>
      <w:r w:rsidR="001154CE" w:rsidRPr="00EA59C0">
        <w:t>“Manufacturing</w:t>
      </w:r>
      <w:r w:rsidR="00C026A6" w:rsidRPr="00EA59C0">
        <w:t xml:space="preserve"> </w:t>
      </w:r>
      <w:r w:rsidR="001154CE" w:rsidRPr="00EA59C0">
        <w:t>Community”</w:t>
      </w:r>
      <w:r w:rsidR="00C026A6" w:rsidRPr="00EA59C0">
        <w:t xml:space="preserve"> </w:t>
      </w:r>
      <w:r w:rsidR="001154CE" w:rsidRPr="00EA59C0">
        <w:t>by</w:t>
      </w:r>
      <w:r w:rsidR="00C026A6" w:rsidRPr="00EA59C0">
        <w:t xml:space="preserve"> </w:t>
      </w:r>
      <w:r w:rsidR="001154CE" w:rsidRPr="00EA59C0">
        <w:t>the</w:t>
      </w:r>
      <w:r w:rsidR="00C026A6" w:rsidRPr="00EA59C0">
        <w:t xml:space="preserve"> </w:t>
      </w:r>
      <w:r w:rsidR="001154CE" w:rsidRPr="00EA59C0">
        <w:t>Investing</w:t>
      </w:r>
      <w:r w:rsidR="00C026A6" w:rsidRPr="00EA59C0">
        <w:t xml:space="preserve"> </w:t>
      </w:r>
      <w:r w:rsidR="001154CE" w:rsidRPr="00EA59C0">
        <w:t>in</w:t>
      </w:r>
      <w:r w:rsidR="00C026A6" w:rsidRPr="00EA59C0">
        <w:t xml:space="preserve"> </w:t>
      </w:r>
      <w:r w:rsidR="001154CE" w:rsidRPr="00EA59C0">
        <w:t>Manufacturing</w:t>
      </w:r>
      <w:r w:rsidR="00C026A6" w:rsidRPr="00EA59C0">
        <w:t xml:space="preserve"> </w:t>
      </w:r>
      <w:r w:rsidR="001154CE" w:rsidRPr="00EA59C0">
        <w:t>Communities</w:t>
      </w:r>
      <w:r w:rsidR="00C026A6" w:rsidRPr="00EA59C0">
        <w:t xml:space="preserve"> </w:t>
      </w:r>
      <w:r w:rsidR="001154CE" w:rsidRPr="00EA59C0">
        <w:t>Partnership</w:t>
      </w:r>
      <w:r w:rsidR="00C026A6" w:rsidRPr="00EA59C0">
        <w:t xml:space="preserve"> </w:t>
      </w:r>
      <w:r w:rsidR="001154CE" w:rsidRPr="00EA59C0">
        <w:t>(IMCP)</w:t>
      </w:r>
      <w:r w:rsidR="00C026A6" w:rsidRPr="00EA59C0">
        <w:t xml:space="preserve"> </w:t>
      </w:r>
      <w:r w:rsidR="001154CE" w:rsidRPr="00EA59C0">
        <w:t>is</w:t>
      </w:r>
      <w:r w:rsidR="00C026A6" w:rsidRPr="00EA59C0">
        <w:t xml:space="preserve"> </w:t>
      </w:r>
      <w:r w:rsidR="001154CE" w:rsidRPr="00EA59C0">
        <w:t>an</w:t>
      </w:r>
      <w:r w:rsidR="00C026A6" w:rsidRPr="00EA59C0">
        <w:t xml:space="preserve"> </w:t>
      </w:r>
      <w:r w:rsidR="001154CE" w:rsidRPr="00EA59C0">
        <w:t>example</w:t>
      </w:r>
      <w:r w:rsidR="00C026A6" w:rsidRPr="00EA59C0">
        <w:t xml:space="preserve"> </w:t>
      </w:r>
      <w:r w:rsidR="001154CE" w:rsidRPr="00EA59C0">
        <w:t>of</w:t>
      </w:r>
      <w:r w:rsidR="00C026A6" w:rsidRPr="00EA59C0">
        <w:t xml:space="preserve"> </w:t>
      </w:r>
      <w:r w:rsidR="001154CE" w:rsidRPr="00EA59C0">
        <w:t>an</w:t>
      </w:r>
      <w:r w:rsidR="00C026A6" w:rsidRPr="00EA59C0">
        <w:t xml:space="preserve"> </w:t>
      </w:r>
      <w:r w:rsidR="001154CE" w:rsidRPr="00EA59C0">
        <w:t>eligible</w:t>
      </w:r>
      <w:r w:rsidR="00C026A6" w:rsidRPr="00EA59C0">
        <w:t xml:space="preserve"> </w:t>
      </w:r>
      <w:r w:rsidR="001154CE" w:rsidRPr="00EA59C0">
        <w:t>prior</w:t>
      </w:r>
      <w:r w:rsidR="00C026A6" w:rsidRPr="00EA59C0">
        <w:t xml:space="preserve"> </w:t>
      </w:r>
      <w:r w:rsidR="001154CE" w:rsidRPr="00EA59C0">
        <w:t>designation</w:t>
      </w:r>
      <w:r w:rsidR="00C026A6" w:rsidRPr="00EA59C0">
        <w:t xml:space="preserve"> </w:t>
      </w:r>
      <w:r w:rsidR="001154CE" w:rsidRPr="00EA59C0">
        <w:t>for</w:t>
      </w:r>
      <w:r w:rsidR="00C026A6" w:rsidRPr="00EA59C0">
        <w:t xml:space="preserve"> </w:t>
      </w:r>
      <w:r w:rsidR="001154CE" w:rsidRPr="00EA59C0">
        <w:t>these</w:t>
      </w:r>
      <w:r w:rsidR="00C026A6" w:rsidRPr="00EA59C0">
        <w:t xml:space="preserve"> </w:t>
      </w:r>
      <w:r w:rsidR="001154CE" w:rsidRPr="00EA59C0">
        <w:t>purposes.</w:t>
      </w:r>
    </w:p>
    <w:p w:rsidR="00B53E89" w:rsidRPr="00EA59C0" w:rsidRDefault="00C026A6" w:rsidP="00C072FA">
      <w:pPr>
        <w:ind w:hanging="360"/>
      </w:pPr>
      <w:r w:rsidRPr="00EA59C0">
        <w:t xml:space="preserve"> </w:t>
      </w:r>
    </w:p>
    <w:p w:rsidR="00B53E89" w:rsidRPr="00EA59C0" w:rsidRDefault="00B53E89" w:rsidP="00C072FA">
      <w:pPr>
        <w:pStyle w:val="ListParagraph"/>
        <w:numPr>
          <w:ilvl w:val="6"/>
          <w:numId w:val="17"/>
        </w:numPr>
      </w:pPr>
      <w:r w:rsidRPr="00EA59C0">
        <w:t>Employer</w:t>
      </w:r>
      <w:r w:rsidR="00C026A6" w:rsidRPr="00EA59C0">
        <w:t xml:space="preserve"> </w:t>
      </w:r>
      <w:r w:rsidR="001223DA" w:rsidRPr="00EA59C0">
        <w:t>and</w:t>
      </w:r>
      <w:r w:rsidR="00C026A6" w:rsidRPr="00EA59C0">
        <w:t xml:space="preserve"> </w:t>
      </w:r>
      <w:r w:rsidR="001223DA" w:rsidRPr="00EA59C0">
        <w:t>Industry</w:t>
      </w:r>
      <w:r w:rsidR="00C026A6" w:rsidRPr="00EA59C0">
        <w:t xml:space="preserve"> </w:t>
      </w:r>
      <w:r w:rsidR="001223DA" w:rsidRPr="00EA59C0">
        <w:t>Representative</w:t>
      </w:r>
      <w:r w:rsidR="00C026A6" w:rsidRPr="00EA59C0">
        <w:t xml:space="preserve"> </w:t>
      </w:r>
      <w:r w:rsidR="00574107" w:rsidRPr="00EA59C0">
        <w:t>Engagement</w:t>
      </w:r>
    </w:p>
    <w:p w:rsidR="00B53E89" w:rsidRPr="00EA59C0" w:rsidRDefault="00B53E89" w:rsidP="00C072FA">
      <w:pPr>
        <w:ind w:left="2520"/>
      </w:pPr>
      <w:r w:rsidRPr="00EA59C0">
        <w:t>Describe</w:t>
      </w:r>
      <w:r w:rsidR="00C026A6" w:rsidRPr="00EA59C0">
        <w:t xml:space="preserve"> </w:t>
      </w:r>
      <w:r w:rsidRPr="00EA59C0">
        <w:t>the</w:t>
      </w:r>
      <w:r w:rsidR="00C026A6" w:rsidRPr="00EA59C0">
        <w:t xml:space="preserve"> </w:t>
      </w:r>
      <w:r w:rsidRPr="00EA59C0">
        <w:t>specific</w:t>
      </w:r>
      <w:r w:rsidR="00C026A6" w:rsidRPr="00EA59C0">
        <w:t xml:space="preserve"> </w:t>
      </w:r>
      <w:r w:rsidRPr="00EA59C0">
        <w:t>role</w:t>
      </w:r>
      <w:r w:rsidR="00C026A6" w:rsidRPr="00EA59C0">
        <w:t xml:space="preserve"> </w:t>
      </w:r>
      <w:r w:rsidRPr="00EA59C0">
        <w:t>of</w:t>
      </w:r>
      <w:r w:rsidR="00C026A6" w:rsidRPr="00EA59C0">
        <w:t xml:space="preserve"> </w:t>
      </w:r>
      <w:r w:rsidRPr="00EA59C0">
        <w:t>employers</w:t>
      </w:r>
      <w:r w:rsidR="00C026A6" w:rsidRPr="00EA59C0">
        <w:t xml:space="preserve"> </w:t>
      </w:r>
      <w:r w:rsidR="001223DA" w:rsidRPr="00EA59C0">
        <w:t>and</w:t>
      </w:r>
      <w:r w:rsidR="00C026A6" w:rsidRPr="00EA59C0">
        <w:t xml:space="preserve"> </w:t>
      </w:r>
      <w:r w:rsidR="001223DA" w:rsidRPr="00EA59C0">
        <w:t>regional</w:t>
      </w:r>
      <w:r w:rsidR="00C026A6" w:rsidRPr="00EA59C0">
        <w:t xml:space="preserve"> </w:t>
      </w:r>
      <w:r w:rsidR="001223DA" w:rsidRPr="00EA59C0">
        <w:t>industry</w:t>
      </w:r>
      <w:r w:rsidR="00C026A6" w:rsidRPr="00EA59C0">
        <w:t xml:space="preserve"> </w:t>
      </w:r>
      <w:r w:rsidR="001223DA" w:rsidRPr="00EA59C0">
        <w:t>representatives</w:t>
      </w:r>
      <w:r w:rsidR="00C026A6" w:rsidRPr="00EA59C0">
        <w:t xml:space="preserve"> </w:t>
      </w:r>
      <w:r w:rsidR="00CC3BC9" w:rsidRPr="00EA59C0">
        <w:t>(and</w:t>
      </w:r>
      <w:r w:rsidR="00C026A6" w:rsidRPr="00EA59C0">
        <w:t xml:space="preserve"> </w:t>
      </w:r>
      <w:r w:rsidR="00CC3BC9" w:rsidRPr="00EA59C0">
        <w:t>national</w:t>
      </w:r>
      <w:r w:rsidR="00C026A6" w:rsidRPr="00EA59C0">
        <w:t xml:space="preserve"> </w:t>
      </w:r>
      <w:r w:rsidR="00CC3BC9" w:rsidRPr="00EA59C0">
        <w:t>industry</w:t>
      </w:r>
      <w:r w:rsidR="00C026A6" w:rsidRPr="00EA59C0">
        <w:t xml:space="preserve"> </w:t>
      </w:r>
      <w:r w:rsidR="00CC3BC9" w:rsidRPr="00EA59C0">
        <w:t>representatives,</w:t>
      </w:r>
      <w:r w:rsidR="00C026A6" w:rsidRPr="00EA59C0">
        <w:t xml:space="preserve"> </w:t>
      </w:r>
      <w:r w:rsidR="00CC3BC9" w:rsidRPr="00EA59C0">
        <w:t>if</w:t>
      </w:r>
      <w:r w:rsidR="00C026A6" w:rsidRPr="00EA59C0">
        <w:t xml:space="preserve"> </w:t>
      </w:r>
      <w:r w:rsidR="00CC3BC9" w:rsidRPr="00EA59C0">
        <w:t>applicable)</w:t>
      </w:r>
      <w:r w:rsidR="00C026A6" w:rsidRPr="00EA59C0">
        <w:t xml:space="preserve"> </w:t>
      </w:r>
      <w:r w:rsidRPr="00EA59C0">
        <w:t>involved</w:t>
      </w:r>
      <w:r w:rsidR="00C026A6" w:rsidRPr="00EA59C0">
        <w:t xml:space="preserve"> </w:t>
      </w:r>
      <w:r w:rsidRPr="00EA59C0">
        <w:t>in</w:t>
      </w:r>
      <w:r w:rsidR="00C026A6" w:rsidRPr="00EA59C0">
        <w:t xml:space="preserve"> </w:t>
      </w:r>
      <w:r w:rsidRPr="00EA59C0">
        <w:t>the</w:t>
      </w:r>
      <w:r w:rsidR="00C026A6" w:rsidRPr="00EA59C0">
        <w:t xml:space="preserve"> </w:t>
      </w:r>
      <w:r w:rsidRPr="00EA59C0">
        <w:t>project,</w:t>
      </w:r>
      <w:r w:rsidR="00C026A6" w:rsidRPr="00EA59C0">
        <w:t xml:space="preserve"> </w:t>
      </w:r>
      <w:r w:rsidRPr="00EA59C0">
        <w:t>including</w:t>
      </w:r>
      <w:r w:rsidR="00C026A6" w:rsidRPr="00EA59C0">
        <w:t xml:space="preserve"> </w:t>
      </w:r>
      <w:r w:rsidRPr="00EA59C0">
        <w:t>evidence</w:t>
      </w:r>
      <w:r w:rsidR="00C026A6" w:rsidRPr="00EA59C0">
        <w:t xml:space="preserve"> </w:t>
      </w:r>
      <w:r w:rsidRPr="00EA59C0">
        <w:t>that</w:t>
      </w:r>
      <w:r w:rsidR="00C026A6" w:rsidRPr="00EA59C0">
        <w:t xml:space="preserve"> </w:t>
      </w:r>
      <w:r w:rsidRPr="00EA59C0">
        <w:t>the</w:t>
      </w:r>
      <w:r w:rsidR="00C026A6" w:rsidRPr="00EA59C0">
        <w:t xml:space="preserve"> </w:t>
      </w:r>
      <w:r w:rsidRPr="00EA59C0">
        <w:t>employer</w:t>
      </w:r>
      <w:r w:rsidR="00574107" w:rsidRPr="00EA59C0">
        <w:t>s</w:t>
      </w:r>
      <w:r w:rsidR="00C026A6" w:rsidRPr="00EA59C0">
        <w:t xml:space="preserve"> </w:t>
      </w:r>
      <w:r w:rsidR="00CC3BC9" w:rsidRPr="00EA59C0">
        <w:t>and</w:t>
      </w:r>
      <w:r w:rsidR="00C026A6" w:rsidRPr="00EA59C0">
        <w:t xml:space="preserve"> </w:t>
      </w:r>
      <w:r w:rsidR="001223DA" w:rsidRPr="00EA59C0">
        <w:t>industry</w:t>
      </w:r>
      <w:r w:rsidR="00C026A6" w:rsidRPr="00EA59C0">
        <w:t xml:space="preserve"> </w:t>
      </w:r>
      <w:r w:rsidR="001223DA" w:rsidRPr="00EA59C0">
        <w:t>representatives</w:t>
      </w:r>
      <w:r w:rsidR="00C026A6" w:rsidRPr="00EA59C0">
        <w:t xml:space="preserve"> </w:t>
      </w:r>
      <w:r w:rsidRPr="00EA59C0">
        <w:t>are</w:t>
      </w:r>
      <w:r w:rsidR="00C026A6" w:rsidRPr="00EA59C0">
        <w:t xml:space="preserve"> </w:t>
      </w:r>
      <w:r w:rsidRPr="00EA59C0">
        <w:t>committed</w:t>
      </w:r>
      <w:r w:rsidR="00C026A6" w:rsidRPr="00EA59C0">
        <w:t xml:space="preserve"> </w:t>
      </w:r>
      <w:r w:rsidRPr="00EA59C0">
        <w:t>to</w:t>
      </w:r>
      <w:r w:rsidR="00C026A6" w:rsidRPr="00EA59C0">
        <w:t xml:space="preserve"> </w:t>
      </w:r>
      <w:r w:rsidRPr="00EA59C0">
        <w:t>being</w:t>
      </w:r>
      <w:r w:rsidR="00C026A6" w:rsidRPr="00EA59C0">
        <w:t xml:space="preserve"> </w:t>
      </w:r>
      <w:r w:rsidRPr="00EA59C0">
        <w:t>involved</w:t>
      </w:r>
      <w:r w:rsidR="00C026A6" w:rsidRPr="00EA59C0">
        <w:t xml:space="preserve"> </w:t>
      </w:r>
      <w:r w:rsidRPr="00EA59C0">
        <w:t>in</w:t>
      </w:r>
      <w:r w:rsidR="00C026A6" w:rsidRPr="00EA59C0">
        <w:t xml:space="preserve"> </w:t>
      </w:r>
      <w:r w:rsidRPr="00EA59C0">
        <w:t>the</w:t>
      </w:r>
      <w:r w:rsidR="00C026A6" w:rsidRPr="00EA59C0">
        <w:t xml:space="preserve"> </w:t>
      </w:r>
      <w:r w:rsidRPr="00EA59C0">
        <w:t>project</w:t>
      </w:r>
      <w:r w:rsidR="00C026A6" w:rsidRPr="00EA59C0">
        <w:t xml:space="preserve"> </w:t>
      </w:r>
      <w:r w:rsidRPr="00EA59C0">
        <w:t>through</w:t>
      </w:r>
      <w:r w:rsidR="00C026A6" w:rsidRPr="00EA59C0">
        <w:t xml:space="preserve"> </w:t>
      </w:r>
      <w:r w:rsidRPr="00EA59C0">
        <w:t>required</w:t>
      </w:r>
      <w:r w:rsidR="00C026A6" w:rsidRPr="00EA59C0">
        <w:t xml:space="preserve"> </w:t>
      </w:r>
      <w:r w:rsidRPr="00EA59C0">
        <w:t>documentation</w:t>
      </w:r>
      <w:r w:rsidR="00C026A6" w:rsidRPr="00EA59C0">
        <w:t xml:space="preserve"> </w:t>
      </w:r>
      <w:r w:rsidRPr="00EA59C0">
        <w:t>of</w:t>
      </w:r>
      <w:r w:rsidR="00C026A6" w:rsidRPr="00EA59C0">
        <w:t xml:space="preserve"> </w:t>
      </w:r>
      <w:r w:rsidRPr="00EA59C0">
        <w:t>commitment(s)</w:t>
      </w:r>
      <w:r w:rsidR="00C026A6" w:rsidRPr="00EA59C0">
        <w:t xml:space="preserve"> </w:t>
      </w:r>
      <w:r w:rsidRPr="00EA59C0">
        <w:t>(submitted</w:t>
      </w:r>
      <w:r w:rsidR="00C026A6" w:rsidRPr="00EA59C0">
        <w:t xml:space="preserve"> </w:t>
      </w:r>
      <w:r w:rsidRPr="00EA59C0">
        <w:t>as</w:t>
      </w:r>
      <w:r w:rsidR="00C026A6" w:rsidRPr="00EA59C0">
        <w:t xml:space="preserve"> </w:t>
      </w:r>
      <w:r w:rsidRPr="00EA59C0">
        <w:t>an</w:t>
      </w:r>
      <w:r w:rsidR="00C026A6" w:rsidRPr="00EA59C0">
        <w:t xml:space="preserve"> </w:t>
      </w:r>
      <w:r w:rsidRPr="00EA59C0">
        <w:t>attachment</w:t>
      </w:r>
      <w:r w:rsidR="00C026A6" w:rsidRPr="00EA59C0">
        <w:t xml:space="preserve"> </w:t>
      </w:r>
      <w:r w:rsidRPr="00EA59C0">
        <w:t>to</w:t>
      </w:r>
      <w:r w:rsidR="00C026A6" w:rsidRPr="00EA59C0">
        <w:t xml:space="preserve"> </w:t>
      </w:r>
      <w:r w:rsidRPr="00EA59C0">
        <w:t>the</w:t>
      </w:r>
      <w:r w:rsidR="00C026A6" w:rsidRPr="00EA59C0">
        <w:t xml:space="preserve"> </w:t>
      </w:r>
      <w:r w:rsidRPr="00EA59C0">
        <w:t>proposal).</w:t>
      </w:r>
      <w:r w:rsidR="00C026A6" w:rsidRPr="00EA59C0">
        <w:t xml:space="preserve"> </w:t>
      </w:r>
      <w:r w:rsidRPr="00EA59C0">
        <w:t>Employer</w:t>
      </w:r>
      <w:r w:rsidR="00574107" w:rsidRPr="00EA59C0">
        <w:t>s</w:t>
      </w:r>
      <w:r w:rsidR="00C026A6" w:rsidRPr="00EA59C0">
        <w:t xml:space="preserve"> </w:t>
      </w:r>
      <w:r w:rsidR="001223DA" w:rsidRPr="00EA59C0">
        <w:t>and</w:t>
      </w:r>
      <w:r w:rsidR="00C026A6" w:rsidRPr="00EA59C0">
        <w:t xml:space="preserve"> </w:t>
      </w:r>
      <w:r w:rsidR="001223DA" w:rsidRPr="00EA59C0">
        <w:t>regional</w:t>
      </w:r>
      <w:r w:rsidR="00C026A6" w:rsidRPr="00EA59C0">
        <w:t xml:space="preserve"> </w:t>
      </w:r>
      <w:r w:rsidR="001223DA" w:rsidRPr="00EA59C0">
        <w:t>industry</w:t>
      </w:r>
      <w:r w:rsidR="00C026A6" w:rsidRPr="00EA59C0">
        <w:t xml:space="preserve"> </w:t>
      </w:r>
      <w:r w:rsidR="001223DA" w:rsidRPr="00EA59C0">
        <w:t>representatives</w:t>
      </w:r>
      <w:r w:rsidR="00C026A6" w:rsidRPr="00EA59C0">
        <w:t xml:space="preserve"> </w:t>
      </w:r>
      <w:r w:rsidR="00CC3BC9" w:rsidRPr="00EA59C0">
        <w:t>(and</w:t>
      </w:r>
      <w:r w:rsidR="00C026A6" w:rsidRPr="00EA59C0">
        <w:t xml:space="preserve"> </w:t>
      </w:r>
      <w:r w:rsidR="00CC3BC9" w:rsidRPr="00EA59C0">
        <w:t>national</w:t>
      </w:r>
      <w:r w:rsidR="00C026A6" w:rsidRPr="00EA59C0">
        <w:t xml:space="preserve"> </w:t>
      </w:r>
      <w:r w:rsidR="00CC3BC9" w:rsidRPr="00EA59C0">
        <w:t>industry</w:t>
      </w:r>
      <w:r w:rsidR="00C026A6" w:rsidRPr="00EA59C0">
        <w:t xml:space="preserve"> </w:t>
      </w:r>
      <w:r w:rsidR="00CC3BC9" w:rsidRPr="00EA59C0">
        <w:t>representatives,</w:t>
      </w:r>
      <w:r w:rsidR="00C026A6" w:rsidRPr="00EA59C0">
        <w:t xml:space="preserve"> </w:t>
      </w:r>
      <w:r w:rsidR="00CC3BC9" w:rsidRPr="00EA59C0">
        <w:t>if</w:t>
      </w:r>
      <w:r w:rsidR="00C026A6" w:rsidRPr="00EA59C0">
        <w:t xml:space="preserve"> </w:t>
      </w:r>
      <w:r w:rsidR="00CC3BC9" w:rsidRPr="00EA59C0">
        <w:t>applicable)</w:t>
      </w:r>
      <w:r w:rsidR="00C026A6" w:rsidRPr="00EA59C0">
        <w:t xml:space="preserve"> </w:t>
      </w:r>
      <w:r w:rsidRPr="00EA59C0">
        <w:t>must:</w:t>
      </w:r>
    </w:p>
    <w:p w:rsidR="00B53E89" w:rsidRPr="00EA59C0" w:rsidRDefault="00B53E89" w:rsidP="00080097">
      <w:pPr>
        <w:pStyle w:val="ListParagraph"/>
        <w:numPr>
          <w:ilvl w:val="0"/>
          <w:numId w:val="28"/>
        </w:numPr>
      </w:pPr>
      <w:r w:rsidRPr="00EA59C0">
        <w:t>Serve</w:t>
      </w:r>
      <w:r w:rsidR="00C026A6" w:rsidRPr="00EA59C0">
        <w:t xml:space="preserve"> </w:t>
      </w:r>
      <w:r w:rsidRPr="00EA59C0">
        <w:t>on</w:t>
      </w:r>
      <w:r w:rsidR="00C026A6" w:rsidRPr="00EA59C0">
        <w:t xml:space="preserve"> </w:t>
      </w:r>
      <w:r w:rsidRPr="00EA59C0">
        <w:t>the</w:t>
      </w:r>
      <w:r w:rsidR="00C026A6" w:rsidRPr="00EA59C0">
        <w:t xml:space="preserve"> </w:t>
      </w:r>
      <w:r w:rsidRPr="00EA59C0">
        <w:t>project’s</w:t>
      </w:r>
      <w:r w:rsidR="00C026A6" w:rsidRPr="00EA59C0">
        <w:t xml:space="preserve"> </w:t>
      </w:r>
      <w:r w:rsidRPr="00EA59C0">
        <w:t>leadership</w:t>
      </w:r>
      <w:r w:rsidR="00C026A6" w:rsidRPr="00EA59C0">
        <w:t xml:space="preserve"> </w:t>
      </w:r>
      <w:r w:rsidRPr="00EA59C0">
        <w:t>team</w:t>
      </w:r>
      <w:r w:rsidR="007E62B8" w:rsidRPr="00EA59C0">
        <w:t>;</w:t>
      </w:r>
      <w:r w:rsidR="00C026A6" w:rsidRPr="00EA59C0">
        <w:t xml:space="preserve"> </w:t>
      </w:r>
    </w:p>
    <w:p w:rsidR="00B53E89" w:rsidRPr="00EA59C0" w:rsidRDefault="00B53E89" w:rsidP="00080097">
      <w:pPr>
        <w:pStyle w:val="ListParagraph"/>
        <w:numPr>
          <w:ilvl w:val="0"/>
          <w:numId w:val="28"/>
        </w:numPr>
      </w:pPr>
      <w:r w:rsidRPr="00EA59C0">
        <w:t>Help</w:t>
      </w:r>
      <w:r w:rsidR="00C026A6" w:rsidRPr="00EA59C0">
        <w:t xml:space="preserve"> </w:t>
      </w:r>
      <w:r w:rsidR="00A519A5" w:rsidRPr="00EA59C0">
        <w:t>implement</w:t>
      </w:r>
      <w:r w:rsidR="00C026A6" w:rsidRPr="00EA59C0">
        <w:t xml:space="preserve"> </w:t>
      </w:r>
      <w:r w:rsidRPr="00EA59C0">
        <w:t>program</w:t>
      </w:r>
      <w:r w:rsidR="00C026A6" w:rsidRPr="00EA59C0">
        <w:t xml:space="preserve"> </w:t>
      </w:r>
      <w:r w:rsidRPr="00EA59C0">
        <w:t>strategies</w:t>
      </w:r>
      <w:r w:rsidR="00C026A6" w:rsidRPr="00EA59C0">
        <w:t xml:space="preserve"> </w:t>
      </w:r>
      <w:r w:rsidRPr="00EA59C0">
        <w:t>and</w:t>
      </w:r>
      <w:r w:rsidR="00C026A6" w:rsidRPr="00EA59C0">
        <w:t xml:space="preserve"> </w:t>
      </w:r>
      <w:r w:rsidRPr="00EA59C0">
        <w:t>goals</w:t>
      </w:r>
      <w:r w:rsidR="007E62B8" w:rsidRPr="00EA59C0">
        <w:t>;</w:t>
      </w:r>
      <w:r w:rsidR="00C026A6" w:rsidRPr="00EA59C0">
        <w:t xml:space="preserve"> </w:t>
      </w:r>
    </w:p>
    <w:p w:rsidR="000813F5" w:rsidRPr="00EA59C0" w:rsidRDefault="00B53E89" w:rsidP="00080097">
      <w:pPr>
        <w:pStyle w:val="ListParagraph"/>
        <w:numPr>
          <w:ilvl w:val="0"/>
          <w:numId w:val="28"/>
        </w:numPr>
      </w:pPr>
      <w:r w:rsidRPr="00EA59C0">
        <w:t>Identify</w:t>
      </w:r>
      <w:r w:rsidR="00C026A6" w:rsidRPr="00EA59C0">
        <w:t xml:space="preserve"> </w:t>
      </w:r>
      <w:r w:rsidRPr="00EA59C0">
        <w:t>and</w:t>
      </w:r>
      <w:r w:rsidR="00C026A6" w:rsidRPr="00EA59C0">
        <w:t xml:space="preserve"> </w:t>
      </w:r>
      <w:r w:rsidRPr="00EA59C0">
        <w:t>map</w:t>
      </w:r>
      <w:r w:rsidR="00C026A6" w:rsidRPr="00EA59C0">
        <w:t xml:space="preserve"> </w:t>
      </w:r>
      <w:r w:rsidRPr="00EA59C0">
        <w:t>the</w:t>
      </w:r>
      <w:r w:rsidR="00C026A6" w:rsidRPr="00EA59C0">
        <w:t xml:space="preserve"> </w:t>
      </w:r>
      <w:r w:rsidRPr="00EA59C0">
        <w:t>necessary</w:t>
      </w:r>
      <w:r w:rsidR="00C026A6" w:rsidRPr="00EA59C0">
        <w:t xml:space="preserve"> </w:t>
      </w:r>
      <w:r w:rsidRPr="00EA59C0">
        <w:t>skills</w:t>
      </w:r>
      <w:r w:rsidR="00C026A6" w:rsidRPr="00EA59C0">
        <w:t xml:space="preserve"> </w:t>
      </w:r>
      <w:r w:rsidRPr="00EA59C0">
        <w:t>and</w:t>
      </w:r>
      <w:r w:rsidR="00C026A6" w:rsidRPr="00EA59C0">
        <w:t xml:space="preserve"> </w:t>
      </w:r>
      <w:r w:rsidRPr="00EA59C0">
        <w:t>competencies</w:t>
      </w:r>
      <w:r w:rsidR="00C026A6" w:rsidRPr="00EA59C0">
        <w:t xml:space="preserve"> </w:t>
      </w:r>
      <w:r w:rsidRPr="00EA59C0">
        <w:t>for</w:t>
      </w:r>
      <w:r w:rsidR="00C026A6" w:rsidRPr="00EA59C0">
        <w:t xml:space="preserve"> </w:t>
      </w:r>
      <w:r w:rsidRPr="00EA59C0">
        <w:t>the</w:t>
      </w:r>
      <w:r w:rsidR="00C026A6" w:rsidRPr="00EA59C0">
        <w:t xml:space="preserve"> </w:t>
      </w:r>
      <w:r w:rsidRPr="00EA59C0">
        <w:t>program</w:t>
      </w:r>
      <w:r w:rsidR="007E62B8" w:rsidRPr="00EA59C0">
        <w:t>;</w:t>
      </w:r>
      <w:r w:rsidR="00C026A6" w:rsidRPr="00EA59C0">
        <w:t xml:space="preserve"> </w:t>
      </w:r>
    </w:p>
    <w:p w:rsidR="00B53E89" w:rsidRPr="00EA59C0" w:rsidRDefault="000813F5" w:rsidP="00080097">
      <w:pPr>
        <w:pStyle w:val="ListParagraph"/>
        <w:numPr>
          <w:ilvl w:val="0"/>
          <w:numId w:val="28"/>
        </w:numPr>
      </w:pPr>
      <w:r w:rsidRPr="00EA59C0">
        <w:t>Assist</w:t>
      </w:r>
      <w:r w:rsidR="00C026A6" w:rsidRPr="00EA59C0">
        <w:t xml:space="preserve"> </w:t>
      </w:r>
      <w:r w:rsidRPr="00EA59C0">
        <w:t>with</w:t>
      </w:r>
      <w:r w:rsidR="00C026A6" w:rsidRPr="00EA59C0">
        <w:t xml:space="preserve"> </w:t>
      </w:r>
      <w:r w:rsidRPr="00EA59C0">
        <w:t>development</w:t>
      </w:r>
      <w:r w:rsidR="00C026A6" w:rsidRPr="00EA59C0">
        <w:t xml:space="preserve"> </w:t>
      </w:r>
      <w:r w:rsidRPr="00EA59C0">
        <w:t>of</w:t>
      </w:r>
      <w:r w:rsidR="00C026A6" w:rsidRPr="00EA59C0">
        <w:t xml:space="preserve"> </w:t>
      </w:r>
      <w:r w:rsidR="00947A4C" w:rsidRPr="00EA59C0">
        <w:t>n</w:t>
      </w:r>
      <w:r w:rsidRPr="00EA59C0">
        <w:t>ational</w:t>
      </w:r>
      <w:r w:rsidR="00C026A6" w:rsidRPr="00EA59C0">
        <w:t xml:space="preserve"> </w:t>
      </w:r>
      <w:r w:rsidR="00947A4C" w:rsidRPr="00EA59C0">
        <w:t>industry-r</w:t>
      </w:r>
      <w:r w:rsidRPr="00EA59C0">
        <w:t>ecognized</w:t>
      </w:r>
      <w:r w:rsidR="00C026A6" w:rsidRPr="00EA59C0">
        <w:t xml:space="preserve"> </w:t>
      </w:r>
      <w:r w:rsidR="00947A4C" w:rsidRPr="00EA59C0">
        <w:t>c</w:t>
      </w:r>
      <w:r w:rsidRPr="00EA59C0">
        <w:t>redentials</w:t>
      </w:r>
      <w:r w:rsidR="00C026A6" w:rsidRPr="00EA59C0">
        <w:t xml:space="preserve"> </w:t>
      </w:r>
      <w:r w:rsidR="00997A44" w:rsidRPr="00EA59C0">
        <w:t>if</w:t>
      </w:r>
      <w:r w:rsidR="00C026A6" w:rsidRPr="00EA59C0">
        <w:t xml:space="preserve"> </w:t>
      </w:r>
      <w:r w:rsidR="00997A44" w:rsidRPr="00EA59C0">
        <w:t>needed</w:t>
      </w:r>
      <w:r w:rsidR="00C026A6" w:rsidRPr="00EA59C0">
        <w:t xml:space="preserve"> </w:t>
      </w:r>
      <w:r w:rsidR="00997A44" w:rsidRPr="00EA59C0">
        <w:t>and</w:t>
      </w:r>
      <w:r w:rsidR="00C026A6" w:rsidRPr="00EA59C0">
        <w:t xml:space="preserve"> </w:t>
      </w:r>
      <w:r w:rsidR="00997A44" w:rsidRPr="00EA59C0">
        <w:t>appropriate,</w:t>
      </w:r>
      <w:r w:rsidR="00C026A6" w:rsidRPr="00EA59C0">
        <w:t xml:space="preserve"> </w:t>
      </w:r>
      <w:r w:rsidR="00997A44" w:rsidRPr="00EA59C0">
        <w:t>that</w:t>
      </w:r>
      <w:r w:rsidR="00C026A6" w:rsidRPr="00EA59C0">
        <w:t xml:space="preserve"> </w:t>
      </w:r>
      <w:r w:rsidR="00997A44" w:rsidRPr="00EA59C0">
        <w:t>map</w:t>
      </w:r>
      <w:r w:rsidR="00C026A6" w:rsidRPr="00EA59C0">
        <w:t xml:space="preserve"> </w:t>
      </w:r>
      <w:r w:rsidRPr="00EA59C0">
        <w:t>to</w:t>
      </w:r>
      <w:r w:rsidR="00C026A6" w:rsidRPr="00EA59C0">
        <w:t xml:space="preserve"> </w:t>
      </w:r>
      <w:r w:rsidRPr="00EA59C0">
        <w:t>curriculum</w:t>
      </w:r>
      <w:r w:rsidR="00C026A6" w:rsidRPr="00EA59C0">
        <w:t xml:space="preserve"> </w:t>
      </w:r>
      <w:r w:rsidRPr="00EA59C0">
        <w:t>development</w:t>
      </w:r>
      <w:r w:rsidR="00C026A6" w:rsidRPr="00EA59C0">
        <w:t xml:space="preserve"> </w:t>
      </w:r>
      <w:r w:rsidRPr="00EA59C0">
        <w:t>and</w:t>
      </w:r>
      <w:r w:rsidR="00C026A6" w:rsidRPr="00EA59C0">
        <w:t xml:space="preserve"> </w:t>
      </w:r>
      <w:r w:rsidRPr="00EA59C0">
        <w:t>courses</w:t>
      </w:r>
      <w:r w:rsidR="00CC1118" w:rsidRPr="00EA59C0">
        <w:t>,</w:t>
      </w:r>
      <w:r w:rsidR="00C026A6" w:rsidRPr="00EA59C0">
        <w:t xml:space="preserve"> </w:t>
      </w:r>
      <w:r w:rsidRPr="00EA59C0">
        <w:t>as</w:t>
      </w:r>
      <w:r w:rsidR="00C026A6" w:rsidRPr="00EA59C0">
        <w:t xml:space="preserve"> </w:t>
      </w:r>
      <w:r w:rsidRPr="00EA59C0">
        <w:t>applicable;</w:t>
      </w:r>
      <w:r w:rsidR="00C026A6" w:rsidRPr="00EA59C0">
        <w:t xml:space="preserve">  </w:t>
      </w:r>
      <w:r w:rsidR="00B53E89" w:rsidRPr="00EA59C0">
        <w:t>and</w:t>
      </w:r>
      <w:r w:rsidR="00C026A6" w:rsidRPr="00EA59C0">
        <w:t xml:space="preserve"> </w:t>
      </w:r>
    </w:p>
    <w:p w:rsidR="00B53E89" w:rsidRPr="00EA59C0" w:rsidRDefault="00B53E89" w:rsidP="00080097">
      <w:pPr>
        <w:pStyle w:val="ListParagraph"/>
        <w:numPr>
          <w:ilvl w:val="0"/>
          <w:numId w:val="28"/>
        </w:numPr>
      </w:pPr>
      <w:r w:rsidRPr="00EA59C0">
        <w:t>Assist</w:t>
      </w:r>
      <w:r w:rsidR="00C026A6" w:rsidRPr="00EA59C0">
        <w:t xml:space="preserve"> </w:t>
      </w:r>
      <w:r w:rsidRPr="00EA59C0">
        <w:t>with</w:t>
      </w:r>
      <w:r w:rsidR="00C026A6" w:rsidRPr="00EA59C0">
        <w:t xml:space="preserve"> </w:t>
      </w:r>
      <w:r w:rsidRPr="00EA59C0">
        <w:t>curriculum</w:t>
      </w:r>
      <w:r w:rsidR="00C026A6" w:rsidRPr="00EA59C0">
        <w:t xml:space="preserve"> </w:t>
      </w:r>
      <w:r w:rsidRPr="00EA59C0">
        <w:t>development</w:t>
      </w:r>
      <w:r w:rsidR="004C26F4" w:rsidRPr="00EA59C0">
        <w:t>,</w:t>
      </w:r>
      <w:r w:rsidR="00C026A6" w:rsidRPr="00EA59C0">
        <w:t xml:space="preserve"> </w:t>
      </w:r>
      <w:r w:rsidR="004C26F4" w:rsidRPr="00EA59C0">
        <w:t>program</w:t>
      </w:r>
      <w:r w:rsidR="00C026A6" w:rsidRPr="00EA59C0">
        <w:t xml:space="preserve"> </w:t>
      </w:r>
      <w:r w:rsidR="004C26F4" w:rsidRPr="00EA59C0">
        <w:t>design,</w:t>
      </w:r>
      <w:r w:rsidR="00C026A6" w:rsidRPr="00EA59C0">
        <w:t xml:space="preserve"> </w:t>
      </w:r>
      <w:r w:rsidR="004C26F4" w:rsidRPr="00EA59C0">
        <w:t>and</w:t>
      </w:r>
      <w:r w:rsidR="00C026A6" w:rsidRPr="00EA59C0">
        <w:t xml:space="preserve"> </w:t>
      </w:r>
      <w:r w:rsidR="004C26F4" w:rsidRPr="00EA59C0">
        <w:t>subsequent</w:t>
      </w:r>
      <w:r w:rsidR="00C026A6" w:rsidRPr="00EA59C0">
        <w:t xml:space="preserve"> </w:t>
      </w:r>
      <w:r w:rsidR="00E44EC3" w:rsidRPr="00EA59C0">
        <w:t>implementation</w:t>
      </w:r>
      <w:r w:rsidR="00C026A6" w:rsidRPr="00EA59C0">
        <w:t xml:space="preserve"> </w:t>
      </w:r>
      <w:r w:rsidR="00E44EC3" w:rsidRPr="00EA59C0">
        <w:t>of</w:t>
      </w:r>
      <w:r w:rsidR="00C026A6" w:rsidRPr="00EA59C0">
        <w:t xml:space="preserve"> </w:t>
      </w:r>
      <w:r w:rsidRPr="00EA59C0">
        <w:t>program</w:t>
      </w:r>
      <w:r w:rsidR="00C026A6" w:rsidRPr="00EA59C0">
        <w:t xml:space="preserve"> </w:t>
      </w:r>
      <w:r w:rsidRPr="00EA59C0">
        <w:t>design.</w:t>
      </w:r>
      <w:r w:rsidR="00C026A6" w:rsidRPr="00EA59C0">
        <w:t xml:space="preserve">   </w:t>
      </w:r>
    </w:p>
    <w:p w:rsidR="008F0626" w:rsidRPr="00EA59C0" w:rsidRDefault="008F0626" w:rsidP="00C072FA">
      <w:pPr>
        <w:ind w:left="2520"/>
      </w:pPr>
    </w:p>
    <w:p w:rsidR="0085234D" w:rsidRPr="00EA59C0" w:rsidRDefault="0085234D" w:rsidP="00C072FA">
      <w:pPr>
        <w:ind w:left="2520"/>
      </w:pPr>
      <w:r w:rsidRPr="00EA59C0">
        <w:t>Applicants</w:t>
      </w:r>
      <w:r w:rsidR="00C026A6" w:rsidRPr="00EA59C0">
        <w:t xml:space="preserve"> </w:t>
      </w:r>
      <w:r w:rsidRPr="00EA59C0">
        <w:t>must</w:t>
      </w:r>
      <w:r w:rsidR="00C026A6" w:rsidRPr="00EA59C0">
        <w:t xml:space="preserve"> </w:t>
      </w:r>
      <w:r w:rsidRPr="00EA59C0">
        <w:t>also</w:t>
      </w:r>
      <w:r w:rsidR="00C026A6" w:rsidRPr="00EA59C0">
        <w:t xml:space="preserve"> </w:t>
      </w:r>
      <w:r w:rsidRPr="00EA59C0">
        <w:t>describe</w:t>
      </w:r>
      <w:r w:rsidR="00C026A6" w:rsidRPr="00EA59C0">
        <w:t xml:space="preserve"> </w:t>
      </w:r>
      <w:r w:rsidRPr="00EA59C0">
        <w:t>how</w:t>
      </w:r>
      <w:r w:rsidR="00C026A6" w:rsidRPr="00EA59C0">
        <w:t xml:space="preserve"> </w:t>
      </w:r>
      <w:r w:rsidRPr="00EA59C0">
        <w:t>relationships</w:t>
      </w:r>
      <w:r w:rsidR="00C026A6" w:rsidRPr="00EA59C0">
        <w:t xml:space="preserve"> </w:t>
      </w:r>
      <w:r w:rsidRPr="00EA59C0">
        <w:t>with</w:t>
      </w:r>
      <w:r w:rsidR="00C026A6" w:rsidRPr="00EA59C0">
        <w:t xml:space="preserve"> </w:t>
      </w:r>
      <w:r w:rsidRPr="00EA59C0">
        <w:t>employers</w:t>
      </w:r>
      <w:r w:rsidR="00C026A6" w:rsidRPr="00EA59C0">
        <w:t xml:space="preserve"> </w:t>
      </w:r>
      <w:r w:rsidR="00534CCA" w:rsidRPr="00EA59C0">
        <w:t>and</w:t>
      </w:r>
      <w:r w:rsidR="00C026A6" w:rsidRPr="00EA59C0">
        <w:t xml:space="preserve"> </w:t>
      </w:r>
      <w:r w:rsidR="00534CCA" w:rsidRPr="00EA59C0">
        <w:t>regional</w:t>
      </w:r>
      <w:r w:rsidR="00C026A6" w:rsidRPr="00EA59C0">
        <w:t xml:space="preserve"> </w:t>
      </w:r>
      <w:r w:rsidR="00534CCA" w:rsidRPr="00EA59C0">
        <w:t>industry</w:t>
      </w:r>
      <w:r w:rsidR="00C026A6" w:rsidRPr="00EA59C0">
        <w:t xml:space="preserve"> </w:t>
      </w:r>
      <w:r w:rsidR="00534CCA" w:rsidRPr="00EA59C0">
        <w:t>representatives</w:t>
      </w:r>
      <w:r w:rsidR="00C026A6" w:rsidRPr="00EA59C0">
        <w:t xml:space="preserve"> </w:t>
      </w:r>
      <w:r w:rsidRPr="00EA59C0">
        <w:t>will</w:t>
      </w:r>
      <w:r w:rsidR="00C026A6" w:rsidRPr="00EA59C0">
        <w:t xml:space="preserve"> </w:t>
      </w:r>
      <w:r w:rsidRPr="00EA59C0">
        <w:t>be</w:t>
      </w:r>
      <w:r w:rsidR="00C026A6" w:rsidRPr="00EA59C0">
        <w:t xml:space="preserve"> </w:t>
      </w:r>
      <w:r w:rsidRPr="00EA59C0">
        <w:t>sustained</w:t>
      </w:r>
      <w:r w:rsidR="00C026A6" w:rsidRPr="00EA59C0">
        <w:t xml:space="preserve"> </w:t>
      </w:r>
      <w:r w:rsidRPr="00EA59C0">
        <w:t>throughout</w:t>
      </w:r>
      <w:r w:rsidR="00C026A6" w:rsidRPr="00EA59C0">
        <w:t xml:space="preserve"> </w:t>
      </w:r>
      <w:r w:rsidRPr="00EA59C0">
        <w:t>the</w:t>
      </w:r>
      <w:r w:rsidR="00C026A6" w:rsidRPr="00EA59C0">
        <w:t xml:space="preserve"> </w:t>
      </w:r>
      <w:r w:rsidRPr="00EA59C0">
        <w:t>duration</w:t>
      </w:r>
      <w:r w:rsidR="00C026A6" w:rsidRPr="00EA59C0">
        <w:t xml:space="preserve"> </w:t>
      </w:r>
      <w:r w:rsidRPr="00EA59C0">
        <w:t>of</w:t>
      </w:r>
      <w:r w:rsidR="00C026A6" w:rsidRPr="00EA59C0">
        <w:t xml:space="preserve"> </w:t>
      </w:r>
      <w:r w:rsidRPr="00EA59C0">
        <w:t>the</w:t>
      </w:r>
      <w:r w:rsidR="00C026A6" w:rsidRPr="00EA59C0">
        <w:t xml:space="preserve"> </w:t>
      </w:r>
      <w:r w:rsidRPr="00EA59C0">
        <w:t>program</w:t>
      </w:r>
      <w:r w:rsidR="00C026A6" w:rsidRPr="00EA59C0">
        <w:t xml:space="preserve"> </w:t>
      </w:r>
      <w:r w:rsidRPr="00EA59C0">
        <w:t>and</w:t>
      </w:r>
      <w:r w:rsidR="00C026A6" w:rsidRPr="00EA59C0">
        <w:t xml:space="preserve"> </w:t>
      </w:r>
      <w:r w:rsidRPr="00EA59C0">
        <w:t>beyond.</w:t>
      </w:r>
    </w:p>
    <w:p w:rsidR="0085234D" w:rsidRPr="00EA59C0" w:rsidRDefault="0085234D" w:rsidP="00C072FA">
      <w:pPr>
        <w:ind w:left="2160"/>
      </w:pPr>
    </w:p>
    <w:p w:rsidR="008F0626" w:rsidRPr="00EA59C0" w:rsidRDefault="00D670AB" w:rsidP="00C072FA">
      <w:pPr>
        <w:pStyle w:val="ListParagraph"/>
        <w:numPr>
          <w:ilvl w:val="6"/>
          <w:numId w:val="17"/>
        </w:numPr>
      </w:pPr>
      <w:r w:rsidRPr="00EA59C0">
        <w:t xml:space="preserve"> </w:t>
      </w:r>
      <w:r w:rsidR="008F0626" w:rsidRPr="00EA59C0">
        <w:t>Additional</w:t>
      </w:r>
      <w:r w:rsidR="00C026A6" w:rsidRPr="00EA59C0">
        <w:t xml:space="preserve"> </w:t>
      </w:r>
      <w:r w:rsidR="008F0626" w:rsidRPr="00EA59C0">
        <w:t>Role</w:t>
      </w:r>
      <w:r w:rsidR="0001299C" w:rsidRPr="00EA59C0">
        <w:t>(s)</w:t>
      </w:r>
      <w:r w:rsidR="00C026A6" w:rsidRPr="00EA59C0">
        <w:t xml:space="preserve"> </w:t>
      </w:r>
      <w:r w:rsidR="008F0626" w:rsidRPr="00EA59C0">
        <w:t>of</w:t>
      </w:r>
      <w:r w:rsidR="00C026A6" w:rsidRPr="00EA59C0">
        <w:t xml:space="preserve"> </w:t>
      </w:r>
      <w:r w:rsidR="008F0626" w:rsidRPr="00EA59C0">
        <w:t>Employers</w:t>
      </w:r>
      <w:r w:rsidR="00C026A6" w:rsidRPr="00EA59C0">
        <w:t xml:space="preserve"> </w:t>
      </w:r>
      <w:r w:rsidR="004C26F4" w:rsidRPr="00EA59C0">
        <w:t>and</w:t>
      </w:r>
      <w:r w:rsidR="00C026A6" w:rsidRPr="00EA59C0">
        <w:t xml:space="preserve"> </w:t>
      </w:r>
      <w:r w:rsidR="004C26F4" w:rsidRPr="00EA59C0">
        <w:t>Industry</w:t>
      </w:r>
      <w:r w:rsidR="00C026A6" w:rsidRPr="00EA59C0">
        <w:t xml:space="preserve"> </w:t>
      </w:r>
      <w:r w:rsidR="004C26F4" w:rsidRPr="00EA59C0">
        <w:t>Representatives</w:t>
      </w:r>
    </w:p>
    <w:p w:rsidR="00637DBF" w:rsidRPr="00EA59C0" w:rsidRDefault="00B53E89" w:rsidP="00C072FA">
      <w:pPr>
        <w:ind w:left="2520"/>
      </w:pPr>
      <w:r w:rsidRPr="00EA59C0">
        <w:t>Describe</w:t>
      </w:r>
      <w:r w:rsidR="00C026A6" w:rsidRPr="00EA59C0">
        <w:t xml:space="preserve"> </w:t>
      </w:r>
      <w:r w:rsidRPr="00EA59C0">
        <w:t>additional</w:t>
      </w:r>
      <w:r w:rsidR="00C026A6" w:rsidRPr="00EA59C0">
        <w:t xml:space="preserve"> </w:t>
      </w:r>
      <w:r w:rsidRPr="00EA59C0">
        <w:t>roles</w:t>
      </w:r>
      <w:r w:rsidR="00C026A6" w:rsidRPr="00EA59C0">
        <w:t xml:space="preserve"> </w:t>
      </w:r>
      <w:r w:rsidRPr="00EA59C0">
        <w:t>for</w:t>
      </w:r>
      <w:r w:rsidR="00C026A6" w:rsidRPr="00EA59C0">
        <w:t xml:space="preserve"> </w:t>
      </w:r>
      <w:r w:rsidRPr="00EA59C0">
        <w:t>employers</w:t>
      </w:r>
      <w:r w:rsidR="00C026A6" w:rsidRPr="00EA59C0">
        <w:t xml:space="preserve"> </w:t>
      </w:r>
      <w:r w:rsidRPr="00EA59C0">
        <w:t>and</w:t>
      </w:r>
      <w:r w:rsidR="00C026A6" w:rsidRPr="00EA59C0">
        <w:t xml:space="preserve"> </w:t>
      </w:r>
      <w:r w:rsidR="004C26F4" w:rsidRPr="00EA59C0">
        <w:t>regional</w:t>
      </w:r>
      <w:r w:rsidR="00C026A6" w:rsidRPr="00EA59C0">
        <w:t xml:space="preserve"> </w:t>
      </w:r>
      <w:r w:rsidRPr="00EA59C0">
        <w:t>industry</w:t>
      </w:r>
      <w:r w:rsidR="00C026A6" w:rsidRPr="00EA59C0">
        <w:t xml:space="preserve"> </w:t>
      </w:r>
      <w:r w:rsidRPr="00EA59C0">
        <w:t>representatives,</w:t>
      </w:r>
      <w:r w:rsidR="00C026A6" w:rsidRPr="00EA59C0">
        <w:t xml:space="preserve"> </w:t>
      </w:r>
      <w:r w:rsidR="003F57C2" w:rsidRPr="00EA59C0">
        <w:t>and</w:t>
      </w:r>
      <w:r w:rsidR="00C026A6" w:rsidRPr="00EA59C0">
        <w:t xml:space="preserve"> </w:t>
      </w:r>
      <w:r w:rsidR="003F57C2" w:rsidRPr="00EA59C0">
        <w:t>national</w:t>
      </w:r>
      <w:r w:rsidR="00C026A6" w:rsidRPr="00EA59C0">
        <w:t xml:space="preserve"> </w:t>
      </w:r>
      <w:r w:rsidR="003F57C2" w:rsidRPr="00EA59C0">
        <w:t>industry</w:t>
      </w:r>
      <w:r w:rsidR="00C026A6" w:rsidRPr="00EA59C0">
        <w:t xml:space="preserve"> </w:t>
      </w:r>
      <w:r w:rsidR="003F57C2" w:rsidRPr="00EA59C0">
        <w:t>representatives</w:t>
      </w:r>
      <w:r w:rsidR="00C026A6" w:rsidRPr="00EA59C0">
        <w:t xml:space="preserve"> </w:t>
      </w:r>
      <w:r w:rsidR="003F57C2" w:rsidRPr="00EA59C0">
        <w:t>(</w:t>
      </w:r>
      <w:r w:rsidRPr="00EA59C0">
        <w:t>if</w:t>
      </w:r>
      <w:r w:rsidR="00C026A6" w:rsidRPr="00EA59C0">
        <w:t xml:space="preserve"> </w:t>
      </w:r>
      <w:r w:rsidRPr="00EA59C0">
        <w:t>applicable</w:t>
      </w:r>
      <w:r w:rsidR="003F57C2" w:rsidRPr="00EA59C0">
        <w:t>)</w:t>
      </w:r>
      <w:r w:rsidRPr="00EA59C0">
        <w:t>.</w:t>
      </w:r>
      <w:r w:rsidR="00C026A6" w:rsidRPr="00EA59C0">
        <w:t xml:space="preserve">  </w:t>
      </w:r>
      <w:r w:rsidRPr="00EA59C0">
        <w:t>Evidence</w:t>
      </w:r>
      <w:r w:rsidR="00C026A6" w:rsidRPr="00EA59C0">
        <w:t xml:space="preserve"> </w:t>
      </w:r>
      <w:r w:rsidRPr="00EA59C0">
        <w:t>of</w:t>
      </w:r>
      <w:r w:rsidR="00C026A6" w:rsidRPr="00EA59C0">
        <w:t xml:space="preserve"> </w:t>
      </w:r>
      <w:r w:rsidRPr="00EA59C0">
        <w:t>this</w:t>
      </w:r>
      <w:r w:rsidR="00C026A6" w:rsidRPr="00EA59C0">
        <w:t xml:space="preserve"> </w:t>
      </w:r>
      <w:r w:rsidRPr="00EA59C0">
        <w:t>additional</w:t>
      </w:r>
      <w:r w:rsidR="00C026A6" w:rsidRPr="00EA59C0">
        <w:t xml:space="preserve"> </w:t>
      </w:r>
      <w:r w:rsidRPr="00EA59C0">
        <w:t>commitment</w:t>
      </w:r>
      <w:r w:rsidR="00C026A6" w:rsidRPr="00EA59C0">
        <w:t xml:space="preserve"> </w:t>
      </w:r>
      <w:r w:rsidRPr="00EA59C0">
        <w:t>must</w:t>
      </w:r>
      <w:r w:rsidR="00C026A6" w:rsidRPr="00EA59C0">
        <w:t xml:space="preserve"> </w:t>
      </w:r>
      <w:r w:rsidRPr="00EA59C0">
        <w:t>also</w:t>
      </w:r>
      <w:r w:rsidR="00C026A6" w:rsidRPr="00EA59C0">
        <w:t xml:space="preserve"> </w:t>
      </w:r>
      <w:r w:rsidRPr="00EA59C0">
        <w:t>be</w:t>
      </w:r>
      <w:r w:rsidR="00C026A6" w:rsidRPr="00EA59C0">
        <w:t xml:space="preserve"> </w:t>
      </w:r>
      <w:r w:rsidRPr="00EA59C0">
        <w:t>demonstrated</w:t>
      </w:r>
      <w:r w:rsidR="00C026A6" w:rsidRPr="00EA59C0">
        <w:t xml:space="preserve"> </w:t>
      </w:r>
      <w:r w:rsidRPr="00EA59C0">
        <w:t>through</w:t>
      </w:r>
      <w:r w:rsidR="00C026A6" w:rsidRPr="00EA59C0">
        <w:t xml:space="preserve"> </w:t>
      </w:r>
      <w:r w:rsidRPr="00EA59C0">
        <w:t>documentation</w:t>
      </w:r>
      <w:r w:rsidR="00C026A6" w:rsidRPr="00EA59C0">
        <w:t xml:space="preserve"> </w:t>
      </w:r>
      <w:r w:rsidRPr="00EA59C0">
        <w:t>of</w:t>
      </w:r>
      <w:r w:rsidR="00C026A6" w:rsidRPr="00EA59C0">
        <w:t xml:space="preserve"> </w:t>
      </w:r>
      <w:r w:rsidRPr="00EA59C0">
        <w:t>commitment(s)</w:t>
      </w:r>
      <w:r w:rsidR="00C026A6" w:rsidRPr="00EA59C0">
        <w:t xml:space="preserve"> </w:t>
      </w:r>
      <w:r w:rsidRPr="00EA59C0">
        <w:t>submitted</w:t>
      </w:r>
      <w:r w:rsidR="00C026A6" w:rsidRPr="00EA59C0">
        <w:t xml:space="preserve"> </w:t>
      </w:r>
      <w:r w:rsidRPr="00EA59C0">
        <w:t>as</w:t>
      </w:r>
      <w:r w:rsidR="00C026A6" w:rsidRPr="00EA59C0">
        <w:t xml:space="preserve"> </w:t>
      </w:r>
      <w:r w:rsidRPr="00EA59C0">
        <w:t>an</w:t>
      </w:r>
      <w:r w:rsidR="00C026A6" w:rsidRPr="00EA59C0">
        <w:t xml:space="preserve"> </w:t>
      </w:r>
      <w:r w:rsidRPr="00EA59C0">
        <w:t>attachment</w:t>
      </w:r>
      <w:r w:rsidR="00C026A6" w:rsidRPr="00EA59C0">
        <w:t xml:space="preserve"> </w:t>
      </w:r>
      <w:r w:rsidRPr="00EA59C0">
        <w:t>to</w:t>
      </w:r>
      <w:r w:rsidR="00C026A6" w:rsidRPr="00EA59C0">
        <w:t xml:space="preserve"> </w:t>
      </w:r>
      <w:r w:rsidRPr="00EA59C0">
        <w:t>the</w:t>
      </w:r>
      <w:r w:rsidR="00C026A6" w:rsidRPr="00EA59C0">
        <w:t xml:space="preserve"> </w:t>
      </w:r>
      <w:r w:rsidRPr="00EA59C0">
        <w:t>proposal.</w:t>
      </w:r>
      <w:r w:rsidR="00C026A6" w:rsidRPr="00EA59C0">
        <w:t xml:space="preserve">  </w:t>
      </w:r>
      <w:r w:rsidRPr="00EA59C0">
        <w:t>Examples</w:t>
      </w:r>
      <w:r w:rsidR="00C026A6" w:rsidRPr="00EA59C0">
        <w:t xml:space="preserve"> </w:t>
      </w:r>
      <w:r w:rsidRPr="00EA59C0">
        <w:t>of</w:t>
      </w:r>
      <w:r w:rsidR="00C026A6" w:rsidRPr="00EA59C0">
        <w:t xml:space="preserve"> </w:t>
      </w:r>
      <w:r w:rsidRPr="00EA59C0">
        <w:t>some</w:t>
      </w:r>
      <w:r w:rsidR="00C026A6" w:rsidRPr="00EA59C0">
        <w:t xml:space="preserve"> </w:t>
      </w:r>
      <w:r w:rsidRPr="00EA59C0">
        <w:t>additional</w:t>
      </w:r>
      <w:r w:rsidR="00C026A6" w:rsidRPr="00EA59C0">
        <w:t xml:space="preserve"> </w:t>
      </w:r>
      <w:r w:rsidRPr="00EA59C0">
        <w:t>roles</w:t>
      </w:r>
      <w:r w:rsidR="00C026A6" w:rsidRPr="00EA59C0">
        <w:t xml:space="preserve"> </w:t>
      </w:r>
      <w:r w:rsidRPr="00EA59C0">
        <w:t>include</w:t>
      </w:r>
      <w:r w:rsidR="00C026A6" w:rsidRPr="00EA59C0">
        <w:t xml:space="preserve"> </w:t>
      </w:r>
      <w:r w:rsidRPr="00EA59C0">
        <w:t>providing</w:t>
      </w:r>
      <w:r w:rsidR="00C026A6" w:rsidRPr="00EA59C0">
        <w:t xml:space="preserve"> </w:t>
      </w:r>
      <w:r w:rsidRPr="00EA59C0">
        <w:t>work-based</w:t>
      </w:r>
      <w:r w:rsidR="00C026A6" w:rsidRPr="00EA59C0">
        <w:t xml:space="preserve"> </w:t>
      </w:r>
      <w:r w:rsidRPr="00EA59C0">
        <w:t>training</w:t>
      </w:r>
      <w:r w:rsidR="00C026A6" w:rsidRPr="00EA59C0">
        <w:t xml:space="preserve"> </w:t>
      </w:r>
      <w:r w:rsidRPr="00EA59C0">
        <w:t>opportunities</w:t>
      </w:r>
      <w:r w:rsidR="00C026A6" w:rsidRPr="00EA59C0">
        <w:t xml:space="preserve"> </w:t>
      </w:r>
      <w:r w:rsidRPr="00EA59C0">
        <w:t>for</w:t>
      </w:r>
      <w:r w:rsidR="00C026A6" w:rsidRPr="00EA59C0">
        <w:t xml:space="preserve"> </w:t>
      </w:r>
      <w:r w:rsidRPr="00EA59C0">
        <w:t>program</w:t>
      </w:r>
      <w:r w:rsidR="00C026A6" w:rsidRPr="00EA59C0">
        <w:t xml:space="preserve"> </w:t>
      </w:r>
      <w:r w:rsidRPr="00EA59C0">
        <w:t>participants</w:t>
      </w:r>
      <w:r w:rsidR="00C026A6" w:rsidRPr="00EA59C0">
        <w:t xml:space="preserve"> </w:t>
      </w:r>
      <w:r w:rsidRPr="00EA59C0">
        <w:t>(such</w:t>
      </w:r>
      <w:r w:rsidR="00C026A6" w:rsidRPr="00EA59C0">
        <w:t xml:space="preserve"> </w:t>
      </w:r>
      <w:r w:rsidRPr="00EA59C0">
        <w:t>as</w:t>
      </w:r>
      <w:r w:rsidR="00C026A6" w:rsidRPr="00EA59C0">
        <w:t xml:space="preserve"> </w:t>
      </w:r>
      <w:r w:rsidR="00CC6C2C" w:rsidRPr="00EA59C0">
        <w:t xml:space="preserve">registered </w:t>
      </w:r>
      <w:r w:rsidRPr="00EA59C0">
        <w:t>apprenticeships,</w:t>
      </w:r>
      <w:r w:rsidR="00C026A6" w:rsidRPr="00EA59C0">
        <w:t xml:space="preserve"> </w:t>
      </w:r>
      <w:r w:rsidRPr="00EA59C0">
        <w:t>internships,</w:t>
      </w:r>
      <w:r w:rsidR="00C026A6" w:rsidRPr="00EA59C0">
        <w:t xml:space="preserve"> </w:t>
      </w:r>
      <w:r w:rsidRPr="00EA59C0">
        <w:t>and</w:t>
      </w:r>
      <w:r w:rsidR="00C026A6" w:rsidRPr="00EA59C0">
        <w:t xml:space="preserve"> </w:t>
      </w:r>
      <w:r w:rsidRPr="00EA59C0">
        <w:t>on-the-job</w:t>
      </w:r>
      <w:r w:rsidR="00C026A6" w:rsidRPr="00EA59C0">
        <w:t xml:space="preserve"> </w:t>
      </w:r>
      <w:r w:rsidRPr="00EA59C0">
        <w:t>training),</w:t>
      </w:r>
      <w:r w:rsidR="00C026A6" w:rsidRPr="00EA59C0">
        <w:t xml:space="preserve"> </w:t>
      </w:r>
      <w:r w:rsidRPr="00EA59C0">
        <w:t>providing</w:t>
      </w:r>
      <w:r w:rsidR="00C026A6" w:rsidRPr="00EA59C0">
        <w:t xml:space="preserve"> </w:t>
      </w:r>
      <w:r w:rsidR="00691BA7" w:rsidRPr="00EA59C0">
        <w:t>leveraged</w:t>
      </w:r>
      <w:r w:rsidR="00C026A6" w:rsidRPr="00EA59C0">
        <w:t xml:space="preserve"> </w:t>
      </w:r>
      <w:r w:rsidRPr="00EA59C0">
        <w:t>resources</w:t>
      </w:r>
      <w:r w:rsidR="00C026A6" w:rsidRPr="00EA59C0">
        <w:t xml:space="preserve"> </w:t>
      </w:r>
      <w:r w:rsidRPr="00EA59C0">
        <w:t>to</w:t>
      </w:r>
      <w:r w:rsidR="00C026A6" w:rsidRPr="00EA59C0">
        <w:t xml:space="preserve"> </w:t>
      </w:r>
      <w:r w:rsidRPr="00EA59C0">
        <w:t>support</w:t>
      </w:r>
      <w:r w:rsidR="00C026A6" w:rsidRPr="00EA59C0">
        <w:t xml:space="preserve"> </w:t>
      </w:r>
      <w:r w:rsidRPr="00EA59C0">
        <w:t>education/training</w:t>
      </w:r>
      <w:r w:rsidR="00C026A6" w:rsidRPr="00EA59C0">
        <w:t xml:space="preserve"> </w:t>
      </w:r>
      <w:r w:rsidRPr="00EA59C0">
        <w:t>(such</w:t>
      </w:r>
      <w:r w:rsidR="00C026A6" w:rsidRPr="00EA59C0">
        <w:t xml:space="preserve"> </w:t>
      </w:r>
      <w:r w:rsidRPr="00EA59C0">
        <w:t>as</w:t>
      </w:r>
      <w:r w:rsidR="00C026A6" w:rsidRPr="00EA59C0">
        <w:t xml:space="preserve"> </w:t>
      </w:r>
      <w:r w:rsidRPr="00EA59C0">
        <w:t>equipment,</w:t>
      </w:r>
      <w:r w:rsidR="00C026A6" w:rsidRPr="00EA59C0">
        <w:t xml:space="preserve"> </w:t>
      </w:r>
      <w:r w:rsidRPr="00EA59C0">
        <w:t>facilities,</w:t>
      </w:r>
      <w:r w:rsidR="00C026A6" w:rsidRPr="00EA59C0">
        <w:t xml:space="preserve"> </w:t>
      </w:r>
      <w:r w:rsidRPr="00EA59C0">
        <w:t>and,</w:t>
      </w:r>
      <w:r w:rsidR="00C026A6" w:rsidRPr="00EA59C0">
        <w:t xml:space="preserve"> </w:t>
      </w:r>
      <w:r w:rsidRPr="00EA59C0">
        <w:t>instructors),</w:t>
      </w:r>
      <w:r w:rsidR="00C026A6" w:rsidRPr="00EA59C0">
        <w:t xml:space="preserve"> </w:t>
      </w:r>
      <w:r w:rsidRPr="00EA59C0">
        <w:t>and</w:t>
      </w:r>
      <w:r w:rsidR="00C026A6" w:rsidRPr="00EA59C0">
        <w:t xml:space="preserve"> </w:t>
      </w:r>
      <w:r w:rsidRPr="00EA59C0">
        <w:t>committing</w:t>
      </w:r>
      <w:r w:rsidR="00C026A6" w:rsidRPr="00EA59C0">
        <w:t xml:space="preserve"> </w:t>
      </w:r>
      <w:r w:rsidRPr="00EA59C0">
        <w:t>to</w:t>
      </w:r>
      <w:r w:rsidR="00C026A6" w:rsidRPr="00EA59C0">
        <w:t xml:space="preserve"> </w:t>
      </w:r>
      <w:r w:rsidRPr="00EA59C0">
        <w:t>hire,</w:t>
      </w:r>
      <w:r w:rsidR="00C026A6" w:rsidRPr="00EA59C0">
        <w:t xml:space="preserve"> </w:t>
      </w:r>
      <w:r w:rsidRPr="00EA59C0">
        <w:t>promote</w:t>
      </w:r>
      <w:r w:rsidR="007E62B8" w:rsidRPr="00EA59C0">
        <w:t>,</w:t>
      </w:r>
      <w:r w:rsidR="00C026A6" w:rsidRPr="00EA59C0">
        <w:t xml:space="preserve"> </w:t>
      </w:r>
      <w:r w:rsidRPr="00EA59C0">
        <w:t>and/or</w:t>
      </w:r>
      <w:r w:rsidR="00C026A6" w:rsidRPr="00EA59C0">
        <w:t xml:space="preserve"> </w:t>
      </w:r>
      <w:r w:rsidRPr="00EA59C0">
        <w:t>retain</w:t>
      </w:r>
      <w:r w:rsidR="00C026A6" w:rsidRPr="00EA59C0">
        <w:t xml:space="preserve"> </w:t>
      </w:r>
      <w:r w:rsidRPr="00EA59C0">
        <w:t>qualified</w:t>
      </w:r>
      <w:r w:rsidR="00C026A6" w:rsidRPr="00EA59C0">
        <w:t xml:space="preserve"> </w:t>
      </w:r>
      <w:r w:rsidR="0036564D" w:rsidRPr="00EA59C0">
        <w:t>p</w:t>
      </w:r>
      <w:r w:rsidRPr="00EA59C0">
        <w:t>rogram</w:t>
      </w:r>
      <w:r w:rsidR="00C026A6" w:rsidRPr="00EA59C0">
        <w:t xml:space="preserve"> </w:t>
      </w:r>
      <w:r w:rsidR="0036564D" w:rsidRPr="00EA59C0">
        <w:t>p</w:t>
      </w:r>
      <w:r w:rsidRPr="00EA59C0">
        <w:t>articipants.</w:t>
      </w:r>
      <w:r w:rsidR="00C026A6" w:rsidRPr="00EA59C0">
        <w:t xml:space="preserve">   </w:t>
      </w:r>
    </w:p>
    <w:p w:rsidR="00637DBF" w:rsidRPr="00EA59C0" w:rsidRDefault="00637DBF" w:rsidP="00C072FA">
      <w:pPr>
        <w:ind w:hanging="360"/>
      </w:pPr>
    </w:p>
    <w:p w:rsidR="00DD3C15" w:rsidRPr="00EA59C0" w:rsidRDefault="005D6B9E" w:rsidP="00C072FA">
      <w:pPr>
        <w:pStyle w:val="ListParagraph"/>
        <w:numPr>
          <w:ilvl w:val="5"/>
          <w:numId w:val="17"/>
        </w:numPr>
        <w:rPr>
          <w:b/>
        </w:rPr>
      </w:pPr>
      <w:r w:rsidRPr="00EA59C0">
        <w:rPr>
          <w:b/>
        </w:rPr>
        <w:t>Project</w:t>
      </w:r>
      <w:r w:rsidR="00C026A6" w:rsidRPr="00EA59C0">
        <w:rPr>
          <w:b/>
        </w:rPr>
        <w:t xml:space="preserve"> </w:t>
      </w:r>
      <w:r w:rsidRPr="00EA59C0">
        <w:rPr>
          <w:b/>
        </w:rPr>
        <w:t>Workp</w:t>
      </w:r>
      <w:r w:rsidR="00DD3C15" w:rsidRPr="00EA59C0">
        <w:rPr>
          <w:b/>
        </w:rPr>
        <w:t>lan</w:t>
      </w:r>
    </w:p>
    <w:p w:rsidR="00DD3C15" w:rsidRPr="00EA59C0" w:rsidRDefault="00DD3C15" w:rsidP="00C072FA">
      <w:pPr>
        <w:ind w:left="2160"/>
      </w:pPr>
      <w:r w:rsidRPr="00EA59C0">
        <w:t>Applicants</w:t>
      </w:r>
      <w:r w:rsidR="00C026A6" w:rsidRPr="00EA59C0">
        <w:t xml:space="preserve"> </w:t>
      </w:r>
      <w:r w:rsidRPr="00EA59C0">
        <w:t>must</w:t>
      </w:r>
      <w:r w:rsidR="00C026A6" w:rsidRPr="00EA59C0">
        <w:t xml:space="preserve"> </w:t>
      </w:r>
      <w:r w:rsidRPr="00EA59C0">
        <w:t>present</w:t>
      </w:r>
      <w:r w:rsidR="00C026A6" w:rsidRPr="00EA59C0">
        <w:t xml:space="preserve"> </w:t>
      </w:r>
      <w:r w:rsidRPr="00EA59C0">
        <w:t>a</w:t>
      </w:r>
      <w:r w:rsidR="00C026A6" w:rsidRPr="00EA59C0">
        <w:t xml:space="preserve"> </w:t>
      </w:r>
      <w:r w:rsidRPr="00EA59C0">
        <w:t>comprehensive</w:t>
      </w:r>
      <w:r w:rsidR="00C026A6" w:rsidRPr="00EA59C0">
        <w:t xml:space="preserve"> </w:t>
      </w:r>
      <w:r w:rsidRPr="00EA59C0">
        <w:t>project</w:t>
      </w:r>
      <w:r w:rsidR="00C026A6" w:rsidRPr="00EA59C0">
        <w:t xml:space="preserve"> </w:t>
      </w:r>
      <w:r w:rsidRPr="00EA59C0">
        <w:t>work</w:t>
      </w:r>
      <w:r w:rsidR="00C026A6" w:rsidRPr="00EA59C0">
        <w:t xml:space="preserve"> </w:t>
      </w:r>
      <w:r w:rsidRPr="00EA59C0">
        <w:t>plan</w:t>
      </w:r>
      <w:r w:rsidR="0071487D" w:rsidRPr="00EA59C0">
        <w:t>.</w:t>
      </w:r>
      <w:r w:rsidR="00C026A6" w:rsidRPr="00EA59C0">
        <w:t xml:space="preserve">  </w:t>
      </w:r>
      <w:r w:rsidR="0071487D" w:rsidRPr="00EA59C0">
        <w:t>A</w:t>
      </w:r>
      <w:r w:rsidR="00C026A6" w:rsidRPr="00EA59C0">
        <w:t xml:space="preserve"> </w:t>
      </w:r>
      <w:r w:rsidR="0071487D" w:rsidRPr="00EA59C0">
        <w:t>sample</w:t>
      </w:r>
      <w:r w:rsidR="00C026A6" w:rsidRPr="00EA59C0">
        <w:t xml:space="preserve"> </w:t>
      </w:r>
      <w:r w:rsidR="0071487D" w:rsidRPr="00EA59C0">
        <w:t>format</w:t>
      </w:r>
      <w:r w:rsidR="00C026A6" w:rsidRPr="00EA59C0">
        <w:t xml:space="preserve"> </w:t>
      </w:r>
      <w:r w:rsidR="0071487D" w:rsidRPr="00EA59C0">
        <w:t>can</w:t>
      </w:r>
      <w:r w:rsidR="00C026A6" w:rsidRPr="00EA59C0">
        <w:t xml:space="preserve"> </w:t>
      </w:r>
      <w:r w:rsidR="0071487D" w:rsidRPr="00EA59C0">
        <w:t>be</w:t>
      </w:r>
      <w:r w:rsidR="00C026A6" w:rsidRPr="00EA59C0">
        <w:t xml:space="preserve"> </w:t>
      </w:r>
      <w:r w:rsidR="0071487D" w:rsidRPr="00EA59C0">
        <w:t>found</w:t>
      </w:r>
      <w:r w:rsidR="00C026A6" w:rsidRPr="00EA59C0">
        <w:t xml:space="preserve"> </w:t>
      </w:r>
      <w:r w:rsidRPr="00EA59C0">
        <w:t>in</w:t>
      </w:r>
      <w:r w:rsidR="00C026A6" w:rsidRPr="00EA59C0">
        <w:t xml:space="preserve"> </w:t>
      </w:r>
      <w:r w:rsidRPr="00EA59C0">
        <w:t>Appendix</w:t>
      </w:r>
      <w:r w:rsidR="00C026A6" w:rsidRPr="00EA59C0">
        <w:t xml:space="preserve"> </w:t>
      </w:r>
      <w:r w:rsidR="008A70C1" w:rsidRPr="00EA59C0">
        <w:t>K</w:t>
      </w:r>
      <w:r w:rsidRPr="00EA59C0">
        <w:t>.</w:t>
      </w:r>
      <w:r w:rsidR="00C026A6" w:rsidRPr="00EA59C0">
        <w:t xml:space="preserve">  </w:t>
      </w:r>
      <w:r w:rsidRPr="00EA59C0">
        <w:t>For</w:t>
      </w:r>
      <w:r w:rsidR="00C026A6" w:rsidRPr="00EA59C0">
        <w:t xml:space="preserve"> </w:t>
      </w:r>
      <w:r w:rsidR="005D6B9E" w:rsidRPr="00EA59C0">
        <w:t>consortium</w:t>
      </w:r>
      <w:r w:rsidR="00C026A6" w:rsidRPr="00EA59C0">
        <w:t xml:space="preserve"> </w:t>
      </w:r>
      <w:r w:rsidR="005D6B9E" w:rsidRPr="00EA59C0">
        <w:t>applicants,</w:t>
      </w:r>
      <w:r w:rsidR="00C026A6" w:rsidRPr="00EA59C0">
        <w:t xml:space="preserve"> </w:t>
      </w:r>
      <w:r w:rsidR="005D6B9E" w:rsidRPr="00EA59C0">
        <w:t>the</w:t>
      </w:r>
      <w:r w:rsidR="00C026A6" w:rsidRPr="00EA59C0">
        <w:t xml:space="preserve"> </w:t>
      </w:r>
      <w:r w:rsidR="005D6B9E" w:rsidRPr="00EA59C0">
        <w:t>work</w:t>
      </w:r>
      <w:r w:rsidRPr="00EA59C0">
        <w:t>plan</w:t>
      </w:r>
      <w:r w:rsidR="00C026A6" w:rsidRPr="00EA59C0">
        <w:t xml:space="preserve"> </w:t>
      </w:r>
      <w:r w:rsidRPr="00EA59C0">
        <w:t>must</w:t>
      </w:r>
      <w:r w:rsidR="00C026A6" w:rsidRPr="00EA59C0">
        <w:t xml:space="preserve"> </w:t>
      </w:r>
      <w:r w:rsidRPr="00EA59C0">
        <w:t>break</w:t>
      </w:r>
      <w:r w:rsidR="00C026A6" w:rsidRPr="00EA59C0">
        <w:t xml:space="preserve"> </w:t>
      </w:r>
      <w:r w:rsidRPr="00EA59C0">
        <w:t>out</w:t>
      </w:r>
      <w:r w:rsidR="00C026A6" w:rsidRPr="00EA59C0">
        <w:t xml:space="preserve"> </w:t>
      </w:r>
      <w:r w:rsidRPr="00EA59C0">
        <w:t>consortium</w:t>
      </w:r>
      <w:r w:rsidR="00C026A6" w:rsidRPr="00EA59C0">
        <w:t xml:space="preserve"> </w:t>
      </w:r>
      <w:r w:rsidRPr="00EA59C0">
        <w:t>member</w:t>
      </w:r>
      <w:r w:rsidR="00C026A6" w:rsidRPr="00EA59C0">
        <w:t xml:space="preserve"> </w:t>
      </w:r>
      <w:r w:rsidRPr="00EA59C0">
        <w:t>roles</w:t>
      </w:r>
      <w:r w:rsidR="00C026A6" w:rsidRPr="00EA59C0">
        <w:t xml:space="preserve"> </w:t>
      </w:r>
      <w:r w:rsidRPr="00EA59C0">
        <w:t>and</w:t>
      </w:r>
      <w:r w:rsidR="00C026A6" w:rsidRPr="00EA59C0">
        <w:t xml:space="preserve"> </w:t>
      </w:r>
      <w:r w:rsidRPr="00EA59C0">
        <w:t>responsibilities</w:t>
      </w:r>
      <w:r w:rsidR="00C026A6" w:rsidRPr="00EA59C0">
        <w:t xml:space="preserve"> </w:t>
      </w:r>
      <w:r w:rsidRPr="00EA59C0">
        <w:t>within</w:t>
      </w:r>
      <w:r w:rsidR="00C026A6" w:rsidRPr="00EA59C0">
        <w:t xml:space="preserve"> </w:t>
      </w:r>
      <w:r w:rsidRPr="00EA59C0">
        <w:t>each</w:t>
      </w:r>
      <w:r w:rsidR="00C026A6" w:rsidRPr="00EA59C0">
        <w:t xml:space="preserve"> </w:t>
      </w:r>
      <w:r w:rsidRPr="00EA59C0">
        <w:t>of</w:t>
      </w:r>
      <w:r w:rsidR="00C026A6" w:rsidRPr="00EA59C0">
        <w:t xml:space="preserve"> </w:t>
      </w:r>
      <w:r w:rsidRPr="00EA59C0">
        <w:t>the</w:t>
      </w:r>
      <w:r w:rsidR="00C026A6" w:rsidRPr="00EA59C0">
        <w:t xml:space="preserve"> </w:t>
      </w:r>
      <w:r w:rsidRPr="00EA59C0">
        <w:t>sections</w:t>
      </w:r>
      <w:r w:rsidR="00C026A6" w:rsidRPr="00EA59C0">
        <w:t xml:space="preserve"> </w:t>
      </w:r>
      <w:r w:rsidRPr="00EA59C0">
        <w:t>outlined</w:t>
      </w:r>
      <w:r w:rsidR="00C026A6" w:rsidRPr="00EA59C0">
        <w:t xml:space="preserve"> </w:t>
      </w:r>
      <w:r w:rsidRPr="00EA59C0">
        <w:t>below.</w:t>
      </w:r>
      <w:r w:rsidR="00C026A6" w:rsidRPr="00EA59C0">
        <w:t xml:space="preserve">  </w:t>
      </w:r>
      <w:r w:rsidRPr="00EA59C0">
        <w:t>The</w:t>
      </w:r>
      <w:r w:rsidR="00C026A6" w:rsidRPr="00EA59C0">
        <w:t xml:space="preserve"> </w:t>
      </w:r>
      <w:r w:rsidRPr="00EA59C0">
        <w:t>project</w:t>
      </w:r>
      <w:r w:rsidR="00C026A6" w:rsidRPr="00EA59C0">
        <w:t xml:space="preserve"> </w:t>
      </w:r>
      <w:r w:rsidR="005D6B9E" w:rsidRPr="00EA59C0">
        <w:t>work</w:t>
      </w:r>
      <w:r w:rsidRPr="00EA59C0">
        <w:t>plan</w:t>
      </w:r>
      <w:r w:rsidR="00C026A6" w:rsidRPr="00EA59C0">
        <w:t xml:space="preserve"> </w:t>
      </w:r>
      <w:r w:rsidRPr="00EA59C0">
        <w:t>must</w:t>
      </w:r>
      <w:r w:rsidR="00C026A6" w:rsidRPr="00EA59C0">
        <w:t xml:space="preserve"> </w:t>
      </w:r>
      <w:r w:rsidRPr="00EA59C0">
        <w:t>demonstrate</w:t>
      </w:r>
      <w:r w:rsidR="00C026A6" w:rsidRPr="00EA59C0">
        <w:t xml:space="preserve"> </w:t>
      </w:r>
      <w:r w:rsidRPr="00EA59C0">
        <w:t>a</w:t>
      </w:r>
      <w:r w:rsidR="00C026A6" w:rsidRPr="00EA59C0">
        <w:t xml:space="preserve"> </w:t>
      </w:r>
      <w:r w:rsidRPr="00EA59C0">
        <w:t>cohesive,</w:t>
      </w:r>
      <w:r w:rsidR="00C026A6" w:rsidRPr="00EA59C0">
        <w:t xml:space="preserve"> </w:t>
      </w:r>
      <w:r w:rsidRPr="00EA59C0">
        <w:t>well-designed</w:t>
      </w:r>
      <w:r w:rsidR="00C026A6" w:rsidRPr="00EA59C0">
        <w:t xml:space="preserve"> </w:t>
      </w:r>
      <w:r w:rsidRPr="00EA59C0">
        <w:t>approach</w:t>
      </w:r>
      <w:r w:rsidR="00C026A6" w:rsidRPr="00EA59C0">
        <w:t xml:space="preserve"> </w:t>
      </w:r>
      <w:r w:rsidRPr="00EA59C0">
        <w:t>to</w:t>
      </w:r>
      <w:r w:rsidR="00C026A6" w:rsidRPr="00EA59C0">
        <w:t xml:space="preserve"> </w:t>
      </w:r>
      <w:r w:rsidRPr="00EA59C0">
        <w:t>implement</w:t>
      </w:r>
      <w:r w:rsidR="00C026A6" w:rsidRPr="00EA59C0">
        <w:t xml:space="preserve"> </w:t>
      </w:r>
      <w:r w:rsidRPr="00EA59C0">
        <w:t>the</w:t>
      </w:r>
      <w:r w:rsidR="00C026A6" w:rsidRPr="00EA59C0">
        <w:t xml:space="preserve"> </w:t>
      </w:r>
      <w:r w:rsidRPr="00EA59C0">
        <w:t>project.</w:t>
      </w:r>
      <w:r w:rsidR="00C026A6" w:rsidRPr="00EA59C0">
        <w:t xml:space="preserve">  </w:t>
      </w:r>
      <w:r w:rsidRPr="00EA59C0">
        <w:t>The</w:t>
      </w:r>
      <w:r w:rsidR="00C026A6" w:rsidRPr="00EA59C0">
        <w:t xml:space="preserve"> </w:t>
      </w:r>
      <w:r w:rsidRPr="00EA59C0">
        <w:t>applicant</w:t>
      </w:r>
      <w:r w:rsidR="00C026A6" w:rsidRPr="00EA59C0">
        <w:t xml:space="preserve"> </w:t>
      </w:r>
      <w:r w:rsidRPr="00EA59C0">
        <w:t>must</w:t>
      </w:r>
      <w:r w:rsidR="00C026A6" w:rsidRPr="00EA59C0">
        <w:t xml:space="preserve"> </w:t>
      </w:r>
      <w:r w:rsidRPr="00EA59C0">
        <w:t>also</w:t>
      </w:r>
      <w:r w:rsidR="00C026A6" w:rsidRPr="00EA59C0">
        <w:t xml:space="preserve"> </w:t>
      </w:r>
      <w:r w:rsidRPr="00EA59C0">
        <w:t>demonstrate</w:t>
      </w:r>
      <w:r w:rsidR="00C026A6" w:rsidRPr="00EA59C0">
        <w:t xml:space="preserve"> </w:t>
      </w:r>
      <w:r w:rsidRPr="00EA59C0">
        <w:t>the</w:t>
      </w:r>
      <w:r w:rsidR="00C026A6" w:rsidRPr="00EA59C0">
        <w:t xml:space="preserve"> </w:t>
      </w:r>
      <w:r w:rsidRPr="00EA59C0">
        <w:t>capacity</w:t>
      </w:r>
      <w:r w:rsidR="00C026A6" w:rsidRPr="00EA59C0">
        <w:t xml:space="preserve"> </w:t>
      </w:r>
      <w:r w:rsidRPr="00EA59C0">
        <w:t>of</w:t>
      </w:r>
      <w:r w:rsidR="00C026A6" w:rsidRPr="00EA59C0">
        <w:t xml:space="preserve"> </w:t>
      </w:r>
      <w:r w:rsidRPr="00EA59C0">
        <w:t>the</w:t>
      </w:r>
      <w:r w:rsidR="00C026A6" w:rsidRPr="00EA59C0">
        <w:t xml:space="preserve"> </w:t>
      </w:r>
      <w:r w:rsidRPr="00EA59C0">
        <w:t>single</w:t>
      </w:r>
      <w:r w:rsidR="00C026A6" w:rsidRPr="00EA59C0">
        <w:t xml:space="preserve"> </w:t>
      </w:r>
      <w:r w:rsidRPr="00EA59C0">
        <w:t>institution</w:t>
      </w:r>
      <w:r w:rsidR="00C026A6" w:rsidRPr="00EA59C0">
        <w:t xml:space="preserve"> </w:t>
      </w:r>
      <w:r w:rsidRPr="00EA59C0">
        <w:t>applicant,</w:t>
      </w:r>
      <w:r w:rsidR="00C026A6" w:rsidRPr="00EA59C0">
        <w:t xml:space="preserve"> </w:t>
      </w:r>
      <w:r w:rsidRPr="00EA59C0">
        <w:t>or</w:t>
      </w:r>
      <w:r w:rsidR="00C026A6" w:rsidRPr="00EA59C0">
        <w:t xml:space="preserve"> </w:t>
      </w:r>
      <w:r w:rsidRPr="00EA59C0">
        <w:t>Lead</w:t>
      </w:r>
      <w:r w:rsidR="00C026A6" w:rsidRPr="00EA59C0">
        <w:t xml:space="preserve"> </w:t>
      </w:r>
      <w:r w:rsidRPr="00EA59C0">
        <w:t>Institution</w:t>
      </w:r>
      <w:r w:rsidR="00C026A6" w:rsidRPr="00EA59C0">
        <w:t xml:space="preserve"> </w:t>
      </w:r>
      <w:r w:rsidRPr="00EA59C0">
        <w:t>for</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to</w:t>
      </w:r>
      <w:r w:rsidR="00C026A6" w:rsidRPr="00EA59C0">
        <w:t xml:space="preserve"> </w:t>
      </w:r>
      <w:r w:rsidRPr="00EA59C0">
        <w:t>manage</w:t>
      </w:r>
      <w:r w:rsidR="00C026A6" w:rsidRPr="00EA59C0">
        <w:t xml:space="preserve"> </w:t>
      </w:r>
      <w:r w:rsidRPr="00EA59C0">
        <w:t>the</w:t>
      </w:r>
      <w:r w:rsidR="00C026A6" w:rsidRPr="00EA59C0">
        <w:t xml:space="preserve"> </w:t>
      </w:r>
      <w:r w:rsidRPr="00EA59C0">
        <w:t>project</w:t>
      </w:r>
      <w:r w:rsidR="00C026A6" w:rsidRPr="00EA59C0">
        <w:t xml:space="preserve"> </w:t>
      </w:r>
      <w:r w:rsidRPr="00EA59C0">
        <w:t>and</w:t>
      </w:r>
      <w:r w:rsidR="00C026A6" w:rsidRPr="00EA59C0">
        <w:t xml:space="preserve"> </w:t>
      </w:r>
      <w:r w:rsidRPr="00EA59C0">
        <w:t>the</w:t>
      </w:r>
      <w:r w:rsidR="00C026A6" w:rsidRPr="00EA59C0">
        <w:t xml:space="preserve"> </w:t>
      </w:r>
      <w:r w:rsidRPr="00EA59C0">
        <w:t>role</w:t>
      </w:r>
      <w:r w:rsidR="00C026A6" w:rsidRPr="00EA59C0">
        <w:t xml:space="preserve"> </w:t>
      </w:r>
      <w:r w:rsidRPr="00EA59C0">
        <w:t>employer</w:t>
      </w:r>
      <w:r w:rsidR="00574107" w:rsidRPr="00EA59C0">
        <w:t>s</w:t>
      </w:r>
      <w:r w:rsidR="00C026A6" w:rsidRPr="00EA59C0">
        <w:t xml:space="preserve"> </w:t>
      </w:r>
      <w:r w:rsidRPr="00EA59C0">
        <w:t>will</w:t>
      </w:r>
      <w:r w:rsidR="00C026A6" w:rsidRPr="00EA59C0">
        <w:t xml:space="preserve"> </w:t>
      </w:r>
      <w:r w:rsidRPr="00EA59C0">
        <w:t>play</w:t>
      </w:r>
      <w:r w:rsidR="00C026A6" w:rsidRPr="00EA59C0">
        <w:t xml:space="preserve"> </w:t>
      </w:r>
      <w:r w:rsidRPr="00EA59C0">
        <w:t>in</w:t>
      </w:r>
      <w:r w:rsidR="00C026A6" w:rsidRPr="00EA59C0">
        <w:t xml:space="preserve"> </w:t>
      </w:r>
      <w:r w:rsidRPr="00EA59C0">
        <w:t>supporting</w:t>
      </w:r>
      <w:r w:rsidR="00C026A6" w:rsidRPr="00EA59C0">
        <w:t xml:space="preserve"> </w:t>
      </w:r>
      <w:r w:rsidRPr="00EA59C0">
        <w:t>these</w:t>
      </w:r>
      <w:r w:rsidR="00C026A6" w:rsidRPr="00EA59C0">
        <w:t xml:space="preserve"> </w:t>
      </w:r>
      <w:r w:rsidRPr="00EA59C0">
        <w:t>activities.</w:t>
      </w:r>
    </w:p>
    <w:p w:rsidR="00DD3C15" w:rsidRPr="00EA59C0" w:rsidRDefault="00DD3C15" w:rsidP="00C072FA">
      <w:pPr>
        <w:ind w:left="-360"/>
      </w:pPr>
    </w:p>
    <w:p w:rsidR="00DD3C15" w:rsidRPr="00EA59C0" w:rsidRDefault="00DD3C15" w:rsidP="00C072FA">
      <w:pPr>
        <w:pStyle w:val="ListParagraph"/>
        <w:numPr>
          <w:ilvl w:val="6"/>
          <w:numId w:val="17"/>
        </w:numPr>
      </w:pPr>
      <w:r w:rsidRPr="00EA59C0">
        <w:t>Feasible</w:t>
      </w:r>
      <w:r w:rsidR="00C026A6" w:rsidRPr="00EA59C0">
        <w:t xml:space="preserve"> </w:t>
      </w:r>
      <w:r w:rsidRPr="00EA59C0">
        <w:t>and</w:t>
      </w:r>
      <w:r w:rsidR="00C026A6" w:rsidRPr="00EA59C0">
        <w:t xml:space="preserve"> </w:t>
      </w:r>
      <w:r w:rsidRPr="00EA59C0">
        <w:t>Realistic</w:t>
      </w:r>
      <w:r w:rsidR="00C026A6" w:rsidRPr="00EA59C0">
        <w:t xml:space="preserve"> </w:t>
      </w:r>
      <w:r w:rsidRPr="00EA59C0">
        <w:t>Activities</w:t>
      </w:r>
      <w:r w:rsidR="00C026A6" w:rsidRPr="00EA59C0">
        <w:t xml:space="preserve"> </w:t>
      </w:r>
      <w:r w:rsidRPr="00EA59C0">
        <w:t>and</w:t>
      </w:r>
      <w:r w:rsidR="00C026A6" w:rsidRPr="00EA59C0">
        <w:t xml:space="preserve"> </w:t>
      </w:r>
      <w:r w:rsidRPr="00EA59C0">
        <w:t>Timeframes</w:t>
      </w:r>
      <w:r w:rsidR="00C026A6" w:rsidRPr="00EA59C0">
        <w:t xml:space="preserve"> </w:t>
      </w:r>
    </w:p>
    <w:p w:rsidR="00DD3C15" w:rsidRPr="00EA59C0" w:rsidRDefault="00DD3C15" w:rsidP="00C072FA">
      <w:pPr>
        <w:ind w:left="2520"/>
      </w:pPr>
      <w:r w:rsidRPr="00EA59C0">
        <w:t>Describe</w:t>
      </w:r>
      <w:r w:rsidR="00C026A6" w:rsidRPr="00EA59C0">
        <w:t xml:space="preserve"> </w:t>
      </w:r>
      <w:r w:rsidRPr="00EA59C0">
        <w:t>the</w:t>
      </w:r>
      <w:r w:rsidR="00C026A6" w:rsidRPr="00EA59C0">
        <w:t xml:space="preserve"> </w:t>
      </w:r>
      <w:r w:rsidRPr="00EA59C0">
        <w:t>activities,</w:t>
      </w:r>
      <w:r w:rsidR="00C026A6" w:rsidRPr="00EA59C0">
        <w:t xml:space="preserve"> </w:t>
      </w:r>
      <w:r w:rsidRPr="00EA59C0">
        <w:t>timeframes,</w:t>
      </w:r>
      <w:r w:rsidR="00C026A6" w:rsidRPr="00EA59C0">
        <w:t xml:space="preserve"> </w:t>
      </w:r>
      <w:r w:rsidRPr="00EA59C0">
        <w:t>deliverables,</w:t>
      </w:r>
      <w:r w:rsidR="00C026A6" w:rsidRPr="00EA59C0">
        <w:t xml:space="preserve"> </w:t>
      </w:r>
      <w:r w:rsidRPr="00EA59C0">
        <w:t>and</w:t>
      </w:r>
      <w:r w:rsidR="00C026A6" w:rsidRPr="00EA59C0">
        <w:t xml:space="preserve"> </w:t>
      </w:r>
      <w:r w:rsidRPr="00EA59C0">
        <w:t>key</w:t>
      </w:r>
      <w:r w:rsidR="00C026A6" w:rsidRPr="00EA59C0">
        <w:t xml:space="preserve"> </w:t>
      </w:r>
      <w:r w:rsidRPr="00EA59C0">
        <w:t>implementers</w:t>
      </w:r>
      <w:r w:rsidR="00C026A6" w:rsidRPr="00EA59C0">
        <w:t xml:space="preserve"> </w:t>
      </w:r>
      <w:r w:rsidRPr="00EA59C0">
        <w:t>required</w:t>
      </w:r>
      <w:r w:rsidR="00C026A6" w:rsidRPr="00EA59C0">
        <w:t xml:space="preserve"> </w:t>
      </w:r>
      <w:r w:rsidRPr="00EA59C0">
        <w:t>to</w:t>
      </w:r>
      <w:r w:rsidR="00C026A6" w:rsidRPr="00EA59C0">
        <w:t xml:space="preserve"> </w:t>
      </w:r>
      <w:r w:rsidRPr="00EA59C0">
        <w:t>implement</w:t>
      </w:r>
      <w:r w:rsidR="00C026A6" w:rsidRPr="00EA59C0">
        <w:t xml:space="preserve"> </w:t>
      </w:r>
      <w:r w:rsidRPr="00EA59C0">
        <w:t>the</w:t>
      </w:r>
      <w:r w:rsidR="00C026A6" w:rsidRPr="00EA59C0">
        <w:t xml:space="preserve"> </w:t>
      </w:r>
      <w:r w:rsidRPr="00EA59C0">
        <w:t>strategies</w:t>
      </w:r>
      <w:r w:rsidR="00C026A6" w:rsidRPr="00EA59C0">
        <w:t xml:space="preserve"> </w:t>
      </w:r>
      <w:r w:rsidRPr="00EA59C0">
        <w:t>described</w:t>
      </w:r>
      <w:r w:rsidR="00C026A6" w:rsidRPr="00EA59C0">
        <w:t xml:space="preserve"> </w:t>
      </w:r>
      <w:r w:rsidRPr="00EA59C0">
        <w:t>in</w:t>
      </w:r>
      <w:r w:rsidR="00C026A6" w:rsidRPr="00EA59C0">
        <w:t xml:space="preserve"> </w:t>
      </w:r>
      <w:r w:rsidRPr="00EA59C0">
        <w:t>this</w:t>
      </w:r>
      <w:r w:rsidR="00C026A6" w:rsidRPr="00EA59C0">
        <w:t xml:space="preserve"> </w:t>
      </w:r>
      <w:r w:rsidRPr="00EA59C0">
        <w:t>Methodology</w:t>
      </w:r>
      <w:r w:rsidR="00C026A6" w:rsidRPr="00EA59C0">
        <w:t xml:space="preserve"> </w:t>
      </w:r>
      <w:r w:rsidRPr="00EA59C0">
        <w:t>an</w:t>
      </w:r>
      <w:r w:rsidR="005D6B9E" w:rsidRPr="00EA59C0">
        <w:t>d</w:t>
      </w:r>
      <w:r w:rsidR="00C026A6" w:rsidRPr="00EA59C0">
        <w:t xml:space="preserve"> </w:t>
      </w:r>
      <w:r w:rsidR="005D6B9E" w:rsidRPr="00EA59C0">
        <w:t>Workp</w:t>
      </w:r>
      <w:r w:rsidRPr="00EA59C0">
        <w:t>lan</w:t>
      </w:r>
      <w:r w:rsidR="00C026A6" w:rsidRPr="00EA59C0">
        <w:t xml:space="preserve"> </w:t>
      </w:r>
      <w:r w:rsidRPr="00EA59C0">
        <w:t>section</w:t>
      </w:r>
      <w:r w:rsidR="00C026A6" w:rsidRPr="00EA59C0">
        <w:t xml:space="preserve"> </w:t>
      </w:r>
      <w:r w:rsidRPr="00EA59C0">
        <w:t>within</w:t>
      </w:r>
      <w:r w:rsidR="00C026A6" w:rsidRPr="00EA59C0">
        <w:t xml:space="preserve"> </w:t>
      </w:r>
      <w:r w:rsidRPr="00EA59C0">
        <w:t>the</w:t>
      </w:r>
      <w:r w:rsidR="00C026A6" w:rsidRPr="00EA59C0">
        <w:t xml:space="preserve"> </w:t>
      </w:r>
      <w:r w:rsidRPr="00EA59C0">
        <w:t>grant</w:t>
      </w:r>
      <w:r w:rsidR="00C026A6" w:rsidRPr="00EA59C0">
        <w:t xml:space="preserve"> </w:t>
      </w:r>
      <w:r w:rsidRPr="00EA59C0">
        <w:t>period</w:t>
      </w:r>
      <w:r w:rsidR="00C026A6" w:rsidRPr="00EA59C0">
        <w:t xml:space="preserve"> </w:t>
      </w:r>
      <w:r w:rsidRPr="00EA59C0">
        <w:t>of</w:t>
      </w:r>
      <w:r w:rsidR="00C026A6" w:rsidRPr="00EA59C0">
        <w:t xml:space="preserve"> </w:t>
      </w:r>
      <w:r w:rsidRPr="00EA59C0">
        <w:t>performance.</w:t>
      </w:r>
      <w:r w:rsidR="00C026A6" w:rsidRPr="00EA59C0">
        <w:t xml:space="preserve">  </w:t>
      </w:r>
      <w:r w:rsidRPr="00EA59C0">
        <w:t>Include</w:t>
      </w:r>
      <w:r w:rsidR="00C026A6" w:rsidRPr="00EA59C0">
        <w:t xml:space="preserve"> </w:t>
      </w:r>
      <w:r w:rsidRPr="00EA59C0">
        <w:t>timeframes</w:t>
      </w:r>
      <w:r w:rsidR="00C026A6" w:rsidRPr="00EA59C0">
        <w:t xml:space="preserve"> </w:t>
      </w:r>
      <w:r w:rsidRPr="00EA59C0">
        <w:t>for</w:t>
      </w:r>
      <w:r w:rsidR="00C026A6" w:rsidRPr="00EA59C0">
        <w:t xml:space="preserve"> </w:t>
      </w:r>
      <w:r w:rsidRPr="00EA59C0">
        <w:t>accomplishing</w:t>
      </w:r>
      <w:r w:rsidR="00C026A6" w:rsidRPr="00EA59C0">
        <w:t xml:space="preserve"> </w:t>
      </w:r>
      <w:r w:rsidRPr="00EA59C0">
        <w:t>all</w:t>
      </w:r>
      <w:r w:rsidR="00C026A6" w:rsidRPr="00EA59C0">
        <w:t xml:space="preserve"> </w:t>
      </w:r>
      <w:r w:rsidRPr="00EA59C0">
        <w:t>procurement</w:t>
      </w:r>
      <w:r w:rsidR="00C026A6" w:rsidRPr="00EA59C0">
        <w:t xml:space="preserve"> </w:t>
      </w:r>
      <w:r w:rsidRPr="00EA59C0">
        <w:t>and</w:t>
      </w:r>
      <w:r w:rsidR="00C026A6" w:rsidRPr="00EA59C0">
        <w:t xml:space="preserve"> </w:t>
      </w:r>
      <w:r w:rsidRPr="00EA59C0">
        <w:t>other</w:t>
      </w:r>
      <w:r w:rsidR="00C026A6" w:rsidRPr="00EA59C0">
        <w:t xml:space="preserve"> </w:t>
      </w:r>
      <w:r w:rsidRPr="00EA59C0">
        <w:t>necessary</w:t>
      </w:r>
      <w:r w:rsidR="00C026A6" w:rsidRPr="00EA59C0">
        <w:t xml:space="preserve"> </w:t>
      </w:r>
      <w:r w:rsidRPr="00EA59C0">
        <w:t>grant</w:t>
      </w:r>
      <w:r w:rsidR="00C026A6" w:rsidRPr="00EA59C0">
        <w:t xml:space="preserve"> </w:t>
      </w:r>
      <w:r w:rsidRPr="00EA59C0">
        <w:t>start-up</w:t>
      </w:r>
      <w:r w:rsidR="00C026A6" w:rsidRPr="00EA59C0">
        <w:t xml:space="preserve"> </w:t>
      </w:r>
      <w:r w:rsidRPr="00EA59C0">
        <w:t>activities</w:t>
      </w:r>
      <w:r w:rsidR="00C026A6" w:rsidRPr="00EA59C0">
        <w:t xml:space="preserve"> </w:t>
      </w:r>
      <w:r w:rsidRPr="00EA59C0">
        <w:t>immediately</w:t>
      </w:r>
      <w:r w:rsidR="00C026A6" w:rsidRPr="00EA59C0">
        <w:t xml:space="preserve"> </w:t>
      </w:r>
      <w:r w:rsidRPr="00EA59C0">
        <w:t>following</w:t>
      </w:r>
      <w:r w:rsidR="00C026A6" w:rsidRPr="00EA59C0">
        <w:t xml:space="preserve"> </w:t>
      </w:r>
      <w:r w:rsidRPr="00EA59C0">
        <w:t>the</w:t>
      </w:r>
      <w:r w:rsidR="00C026A6" w:rsidRPr="00EA59C0">
        <w:t xml:space="preserve"> </w:t>
      </w:r>
      <w:r w:rsidRPr="00EA59C0">
        <w:t>start</w:t>
      </w:r>
      <w:r w:rsidR="00C026A6" w:rsidRPr="00EA59C0">
        <w:t xml:space="preserve"> </w:t>
      </w:r>
      <w:r w:rsidRPr="00EA59C0">
        <w:t>of</w:t>
      </w:r>
      <w:r w:rsidR="00C026A6" w:rsidRPr="00EA59C0">
        <w:t xml:space="preserve"> </w:t>
      </w:r>
      <w:r w:rsidRPr="00EA59C0">
        <w:t>the</w:t>
      </w:r>
      <w:r w:rsidR="00C026A6" w:rsidRPr="00EA59C0">
        <w:t xml:space="preserve"> </w:t>
      </w:r>
      <w:r w:rsidRPr="00EA59C0">
        <w:t>grant</w:t>
      </w:r>
      <w:r w:rsidR="00C026A6" w:rsidRPr="00EA59C0">
        <w:t xml:space="preserve"> </w:t>
      </w:r>
      <w:r w:rsidRPr="00EA59C0">
        <w:t>period</w:t>
      </w:r>
      <w:r w:rsidR="00C026A6" w:rsidRPr="00EA59C0">
        <w:t xml:space="preserve"> </w:t>
      </w:r>
      <w:r w:rsidRPr="00EA59C0">
        <w:t>of</w:t>
      </w:r>
      <w:r w:rsidR="00C026A6" w:rsidRPr="00EA59C0">
        <w:t xml:space="preserve"> </w:t>
      </w:r>
      <w:r w:rsidRPr="00EA59C0">
        <w:t>performance.</w:t>
      </w:r>
    </w:p>
    <w:p w:rsidR="00DD3C15" w:rsidRPr="00EA59C0" w:rsidRDefault="00DD3C15" w:rsidP="00C072FA">
      <w:pPr>
        <w:ind w:hanging="360"/>
      </w:pPr>
    </w:p>
    <w:p w:rsidR="00DD3C15" w:rsidRPr="00EA59C0" w:rsidRDefault="00DD3C15" w:rsidP="00C072FA">
      <w:pPr>
        <w:pStyle w:val="ListParagraph"/>
        <w:numPr>
          <w:ilvl w:val="6"/>
          <w:numId w:val="17"/>
        </w:numPr>
      </w:pPr>
      <w:r w:rsidRPr="00EA59C0">
        <w:t>Understanding</w:t>
      </w:r>
      <w:r w:rsidR="00C026A6" w:rsidRPr="00EA59C0">
        <w:t xml:space="preserve"> </w:t>
      </w:r>
      <w:r w:rsidRPr="00EA59C0">
        <w:t>of</w:t>
      </w:r>
      <w:r w:rsidR="00C026A6" w:rsidRPr="00EA59C0">
        <w:t xml:space="preserve"> </w:t>
      </w:r>
      <w:r w:rsidRPr="00EA59C0">
        <w:t>Costs</w:t>
      </w:r>
      <w:r w:rsidR="00C026A6" w:rsidRPr="00EA59C0">
        <w:t xml:space="preserve"> </w:t>
      </w:r>
      <w:r w:rsidRPr="00EA59C0">
        <w:t>Associated</w:t>
      </w:r>
      <w:r w:rsidR="00C026A6" w:rsidRPr="00EA59C0">
        <w:t xml:space="preserve"> </w:t>
      </w:r>
      <w:r w:rsidRPr="00EA59C0">
        <w:t>with</w:t>
      </w:r>
      <w:r w:rsidR="00C026A6" w:rsidRPr="00EA59C0">
        <w:t xml:space="preserve"> </w:t>
      </w:r>
      <w:r w:rsidRPr="00EA59C0">
        <w:t>Project</w:t>
      </w:r>
      <w:r w:rsidR="00C026A6" w:rsidRPr="00EA59C0">
        <w:t xml:space="preserve"> </w:t>
      </w:r>
      <w:r w:rsidRPr="00EA59C0">
        <w:t>Activities</w:t>
      </w:r>
      <w:r w:rsidR="00C026A6" w:rsidRPr="00EA59C0">
        <w:t xml:space="preserve"> </w:t>
      </w:r>
    </w:p>
    <w:p w:rsidR="00DD3C15" w:rsidRPr="00EA59C0" w:rsidRDefault="00DD3C15" w:rsidP="00C072FA">
      <w:pPr>
        <w:ind w:left="2520"/>
      </w:pPr>
      <w:r w:rsidRPr="00EA59C0">
        <w:t>Identify</w:t>
      </w:r>
      <w:r w:rsidR="00C026A6" w:rsidRPr="00EA59C0">
        <w:t xml:space="preserve"> </w:t>
      </w:r>
      <w:r w:rsidRPr="00EA59C0">
        <w:t>and</w:t>
      </w:r>
      <w:r w:rsidR="00C026A6" w:rsidRPr="00EA59C0">
        <w:t xml:space="preserve"> </w:t>
      </w:r>
      <w:r w:rsidRPr="00EA59C0">
        <w:t>describe</w:t>
      </w:r>
      <w:r w:rsidR="00C026A6" w:rsidRPr="00EA59C0">
        <w:t xml:space="preserve"> </w:t>
      </w:r>
      <w:r w:rsidRPr="00EA59C0">
        <w:t>costs</w:t>
      </w:r>
      <w:r w:rsidR="00C026A6" w:rsidRPr="00EA59C0">
        <w:t xml:space="preserve"> </w:t>
      </w:r>
      <w:r w:rsidRPr="00EA59C0">
        <w:t>associated</w:t>
      </w:r>
      <w:r w:rsidR="00C026A6" w:rsidRPr="00EA59C0">
        <w:t xml:space="preserve"> </w:t>
      </w:r>
      <w:r w:rsidRPr="00EA59C0">
        <w:t>with</w:t>
      </w:r>
      <w:r w:rsidR="00C026A6" w:rsidRPr="00EA59C0">
        <w:t xml:space="preserve"> </w:t>
      </w:r>
      <w:r w:rsidRPr="00EA59C0">
        <w:t>each</w:t>
      </w:r>
      <w:r w:rsidR="00C026A6" w:rsidRPr="00EA59C0">
        <w:t xml:space="preserve"> </w:t>
      </w:r>
      <w:r w:rsidRPr="00EA59C0">
        <w:t>major</w:t>
      </w:r>
      <w:r w:rsidR="00C026A6" w:rsidRPr="00EA59C0">
        <w:t xml:space="preserve"> </w:t>
      </w:r>
      <w:r w:rsidRPr="00EA59C0">
        <w:t>project</w:t>
      </w:r>
      <w:r w:rsidR="00C026A6" w:rsidRPr="00EA59C0">
        <w:t xml:space="preserve"> </w:t>
      </w:r>
      <w:r w:rsidRPr="00EA59C0">
        <w:t>activity</w:t>
      </w:r>
      <w:r w:rsidR="00C026A6" w:rsidRPr="00EA59C0">
        <w:t xml:space="preserve"> </w:t>
      </w:r>
      <w:r w:rsidRPr="00EA59C0">
        <w:t>in</w:t>
      </w:r>
      <w:r w:rsidR="00C026A6" w:rsidRPr="00EA59C0">
        <w:t xml:space="preserve"> </w:t>
      </w:r>
      <w:r w:rsidRPr="00EA59C0">
        <w:t>the</w:t>
      </w:r>
      <w:r w:rsidR="00C026A6" w:rsidRPr="00EA59C0">
        <w:t xml:space="preserve"> </w:t>
      </w:r>
      <w:r w:rsidRPr="00EA59C0">
        <w:t>proposed</w:t>
      </w:r>
      <w:r w:rsidR="00C026A6" w:rsidRPr="00EA59C0">
        <w:t xml:space="preserve"> </w:t>
      </w:r>
      <w:r w:rsidRPr="00EA59C0">
        <w:t>work</w:t>
      </w:r>
      <w:r w:rsidR="00C026A6" w:rsidRPr="00EA59C0">
        <w:t xml:space="preserve"> </w:t>
      </w:r>
      <w:r w:rsidRPr="00EA59C0">
        <w:t>plan,</w:t>
      </w:r>
      <w:r w:rsidR="00C026A6" w:rsidRPr="00EA59C0">
        <w:t xml:space="preserve"> </w:t>
      </w:r>
      <w:r w:rsidRPr="00EA59C0">
        <w:t>including</w:t>
      </w:r>
      <w:r w:rsidR="00C026A6" w:rsidRPr="00EA59C0">
        <w:t xml:space="preserve"> </w:t>
      </w:r>
      <w:r w:rsidRPr="00EA59C0">
        <w:t>staff</w:t>
      </w:r>
      <w:r w:rsidR="00C026A6" w:rsidRPr="00EA59C0">
        <w:t xml:space="preserve"> </w:t>
      </w:r>
      <w:r w:rsidRPr="00EA59C0">
        <w:t>costs,</w:t>
      </w:r>
      <w:r w:rsidR="00C026A6" w:rsidRPr="00EA59C0">
        <w:t xml:space="preserve"> </w:t>
      </w:r>
      <w:r w:rsidRPr="00EA59C0">
        <w:t>which</w:t>
      </w:r>
      <w:r w:rsidR="00C026A6" w:rsidRPr="00EA59C0">
        <w:t xml:space="preserve"> </w:t>
      </w:r>
      <w:r w:rsidRPr="00EA59C0">
        <w:t>must</w:t>
      </w:r>
      <w:r w:rsidR="00C026A6" w:rsidRPr="00EA59C0">
        <w:t xml:space="preserve"> </w:t>
      </w:r>
      <w:r w:rsidRPr="00EA59C0">
        <w:t>align</w:t>
      </w:r>
      <w:r w:rsidR="00C026A6" w:rsidRPr="00EA59C0">
        <w:t xml:space="preserve"> </w:t>
      </w:r>
      <w:r w:rsidRPr="00EA59C0">
        <w:t>with</w:t>
      </w:r>
      <w:r w:rsidR="00C026A6" w:rsidRPr="00EA59C0">
        <w:t xml:space="preserve"> </w:t>
      </w:r>
      <w:r w:rsidRPr="00EA59C0">
        <w:t>the</w:t>
      </w:r>
      <w:r w:rsidR="00C026A6" w:rsidRPr="00EA59C0">
        <w:t xml:space="preserve"> </w:t>
      </w:r>
      <w:r w:rsidRPr="00EA59C0">
        <w:t>proposed</w:t>
      </w:r>
      <w:r w:rsidR="00C026A6" w:rsidRPr="00EA59C0">
        <w:t xml:space="preserve"> </w:t>
      </w:r>
      <w:r w:rsidRPr="00EA59C0">
        <w:t>budget.</w:t>
      </w:r>
      <w:r w:rsidR="00C026A6" w:rsidRPr="00EA59C0">
        <w:t xml:space="preserve"> </w:t>
      </w:r>
      <w:r w:rsidRPr="00EA59C0">
        <w:t>Applicants</w:t>
      </w:r>
      <w:r w:rsidR="00C026A6" w:rsidRPr="00EA59C0">
        <w:t xml:space="preserve"> </w:t>
      </w:r>
      <w:r w:rsidRPr="00EA59C0">
        <w:t>do</w:t>
      </w:r>
      <w:r w:rsidR="00C026A6" w:rsidRPr="00EA59C0">
        <w:t xml:space="preserve"> </w:t>
      </w:r>
      <w:r w:rsidRPr="00EA59C0">
        <w:t>not</w:t>
      </w:r>
      <w:r w:rsidR="00C026A6" w:rsidRPr="00EA59C0">
        <w:t xml:space="preserve"> </w:t>
      </w:r>
      <w:r w:rsidRPr="00EA59C0">
        <w:t>need</w:t>
      </w:r>
      <w:r w:rsidR="00C026A6" w:rsidRPr="00EA59C0">
        <w:t xml:space="preserve"> </w:t>
      </w:r>
      <w:r w:rsidRPr="00EA59C0">
        <w:t>to</w:t>
      </w:r>
      <w:r w:rsidR="00C026A6" w:rsidRPr="00EA59C0">
        <w:t xml:space="preserve"> </w:t>
      </w:r>
      <w:r w:rsidRPr="00EA59C0">
        <w:t>include</w:t>
      </w:r>
      <w:r w:rsidR="00C026A6" w:rsidRPr="00EA59C0">
        <w:t xml:space="preserve"> </w:t>
      </w:r>
      <w:r w:rsidRPr="00EA59C0">
        <w:t>a</w:t>
      </w:r>
      <w:r w:rsidR="00C026A6" w:rsidRPr="00EA59C0">
        <w:t xml:space="preserve"> </w:t>
      </w:r>
      <w:r w:rsidRPr="00EA59C0">
        <w:t>cost</w:t>
      </w:r>
      <w:r w:rsidR="00C026A6" w:rsidRPr="00EA59C0">
        <w:t xml:space="preserve"> </w:t>
      </w:r>
      <w:r w:rsidRPr="00EA59C0">
        <w:t>per</w:t>
      </w:r>
      <w:r w:rsidR="00C026A6" w:rsidRPr="00EA59C0">
        <w:t xml:space="preserve"> </w:t>
      </w:r>
      <w:r w:rsidRPr="00EA59C0">
        <w:t>participant.</w:t>
      </w:r>
    </w:p>
    <w:p w:rsidR="00DD3C15" w:rsidRPr="00EA59C0" w:rsidRDefault="00DD3C15" w:rsidP="00C072FA">
      <w:pPr>
        <w:ind w:left="-360"/>
      </w:pPr>
    </w:p>
    <w:p w:rsidR="00DD3C15" w:rsidRPr="00EA59C0" w:rsidRDefault="00DD3C15" w:rsidP="00C072FA">
      <w:pPr>
        <w:pStyle w:val="ListParagraph"/>
        <w:numPr>
          <w:ilvl w:val="6"/>
          <w:numId w:val="17"/>
        </w:numPr>
      </w:pPr>
      <w:r w:rsidRPr="00EA59C0">
        <w:t>Identification</w:t>
      </w:r>
      <w:r w:rsidR="00C026A6" w:rsidRPr="00EA59C0">
        <w:t xml:space="preserve"> </w:t>
      </w:r>
      <w:r w:rsidRPr="00EA59C0">
        <w:t>of</w:t>
      </w:r>
      <w:r w:rsidR="00C026A6" w:rsidRPr="00EA59C0">
        <w:t xml:space="preserve"> </w:t>
      </w:r>
      <w:r w:rsidRPr="00EA59C0">
        <w:t>Project</w:t>
      </w:r>
      <w:r w:rsidR="00C026A6" w:rsidRPr="00EA59C0">
        <w:t xml:space="preserve"> </w:t>
      </w:r>
      <w:r w:rsidRPr="00EA59C0">
        <w:t>Deliverables</w:t>
      </w:r>
      <w:r w:rsidR="00C026A6" w:rsidRPr="00EA59C0">
        <w:t xml:space="preserve"> </w:t>
      </w:r>
    </w:p>
    <w:p w:rsidR="0036564D" w:rsidRPr="00EA59C0" w:rsidRDefault="00DD3C15" w:rsidP="00C072FA">
      <w:pPr>
        <w:ind w:left="2520"/>
      </w:pPr>
      <w:r w:rsidRPr="00EA59C0">
        <w:t>Identify</w:t>
      </w:r>
      <w:r w:rsidR="00C026A6" w:rsidRPr="00EA59C0">
        <w:t xml:space="preserve"> </w:t>
      </w:r>
      <w:r w:rsidRPr="00EA59C0">
        <w:t>and</w:t>
      </w:r>
      <w:r w:rsidR="00C026A6" w:rsidRPr="00EA59C0">
        <w:t xml:space="preserve"> </w:t>
      </w:r>
      <w:r w:rsidRPr="00EA59C0">
        <w:t>describe</w:t>
      </w:r>
      <w:r w:rsidR="00C026A6" w:rsidRPr="00EA59C0">
        <w:t xml:space="preserve"> </w:t>
      </w:r>
      <w:r w:rsidRPr="00EA59C0">
        <w:t>the</w:t>
      </w:r>
      <w:r w:rsidR="00C026A6" w:rsidRPr="00EA59C0">
        <w:t xml:space="preserve"> </w:t>
      </w:r>
      <w:r w:rsidRPr="00EA59C0">
        <w:t>new</w:t>
      </w:r>
      <w:r w:rsidR="00C026A6" w:rsidRPr="00EA59C0">
        <w:t xml:space="preserve"> </w:t>
      </w:r>
      <w:r w:rsidRPr="00EA59C0">
        <w:t>intellectual</w:t>
      </w:r>
      <w:r w:rsidR="00C026A6" w:rsidRPr="00EA59C0">
        <w:t xml:space="preserve"> </w:t>
      </w:r>
      <w:r w:rsidRPr="00EA59C0">
        <w:t>property</w:t>
      </w:r>
      <w:r w:rsidR="00C026A6" w:rsidRPr="00EA59C0">
        <w:t xml:space="preserve"> </w:t>
      </w:r>
      <w:r w:rsidRPr="00EA59C0">
        <w:t>(such</w:t>
      </w:r>
      <w:r w:rsidR="00C026A6" w:rsidRPr="00EA59C0">
        <w:t xml:space="preserve"> </w:t>
      </w:r>
      <w:r w:rsidRPr="00EA59C0">
        <w:t>as</w:t>
      </w:r>
      <w:r w:rsidR="00C026A6" w:rsidRPr="00EA59C0">
        <w:t xml:space="preserve"> </w:t>
      </w:r>
      <w:r w:rsidRPr="00EA59C0">
        <w:t>books,</w:t>
      </w:r>
      <w:r w:rsidR="00C026A6" w:rsidRPr="00EA59C0">
        <w:t xml:space="preserve"> </w:t>
      </w:r>
      <w:r w:rsidRPr="00EA59C0">
        <w:t>courses,</w:t>
      </w:r>
      <w:r w:rsidR="00C026A6" w:rsidRPr="00EA59C0">
        <w:t xml:space="preserve"> </w:t>
      </w:r>
      <w:r w:rsidRPr="00EA59C0">
        <w:t>modules,</w:t>
      </w:r>
      <w:r w:rsidR="00C026A6" w:rsidRPr="00EA59C0">
        <w:t xml:space="preserve"> </w:t>
      </w:r>
      <w:r w:rsidRPr="00EA59C0">
        <w:t>seminars,</w:t>
      </w:r>
      <w:r w:rsidR="00C026A6" w:rsidRPr="00EA59C0">
        <w:t xml:space="preserve"> </w:t>
      </w:r>
      <w:r w:rsidRPr="00EA59C0">
        <w:t>tutoring</w:t>
      </w:r>
      <w:r w:rsidR="00C026A6" w:rsidRPr="00EA59C0">
        <w:t xml:space="preserve"> </w:t>
      </w:r>
      <w:r w:rsidRPr="00EA59C0">
        <w:t>systems,</w:t>
      </w:r>
      <w:r w:rsidR="00C026A6" w:rsidRPr="00EA59C0">
        <w:t xml:space="preserve"> </w:t>
      </w:r>
      <w:r w:rsidRPr="00EA59C0">
        <w:t>simulations,</w:t>
      </w:r>
      <w:r w:rsidR="00C026A6" w:rsidRPr="00EA59C0">
        <w:t xml:space="preserve"> </w:t>
      </w:r>
      <w:r w:rsidRPr="00EA59C0">
        <w:t>etc.)</w:t>
      </w:r>
      <w:r w:rsidR="00C026A6" w:rsidRPr="00EA59C0">
        <w:t xml:space="preserve"> </w:t>
      </w:r>
      <w:r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developed</w:t>
      </w:r>
      <w:r w:rsidR="00C026A6" w:rsidRPr="00EA59C0">
        <w:t xml:space="preserve"> </w:t>
      </w:r>
      <w:r w:rsidRPr="00EA59C0">
        <w:t>with</w:t>
      </w:r>
      <w:r w:rsidR="00C026A6" w:rsidRPr="00EA59C0">
        <w:t xml:space="preserve"> </w:t>
      </w:r>
      <w:r w:rsidRPr="00EA59C0">
        <w:t>grant</w:t>
      </w:r>
      <w:r w:rsidR="00C026A6" w:rsidRPr="00EA59C0">
        <w:t xml:space="preserve"> </w:t>
      </w:r>
      <w:r w:rsidRPr="00EA59C0">
        <w:t>funds,</w:t>
      </w:r>
      <w:r w:rsidR="00C026A6" w:rsidRPr="00EA59C0">
        <w:t xml:space="preserve"> </w:t>
      </w:r>
      <w:r w:rsidRPr="00EA59C0">
        <w:t>and/or</w:t>
      </w:r>
      <w:r w:rsidR="00C026A6" w:rsidRPr="00EA59C0">
        <w:t xml:space="preserve"> </w:t>
      </w:r>
      <w:r w:rsidRPr="00EA59C0">
        <w:t>describe</w:t>
      </w:r>
      <w:r w:rsidR="00C026A6" w:rsidRPr="00EA59C0">
        <w:t xml:space="preserve"> </w:t>
      </w:r>
      <w:r w:rsidRPr="00EA59C0">
        <w:t>which</w:t>
      </w:r>
      <w:r w:rsidR="00C026A6" w:rsidRPr="00EA59C0">
        <w:t xml:space="preserve"> </w:t>
      </w:r>
      <w:r w:rsidRPr="00EA59C0">
        <w:t>existing</w:t>
      </w:r>
      <w:r w:rsidR="00C026A6" w:rsidRPr="00EA59C0">
        <w:t xml:space="preserve"> </w:t>
      </w:r>
      <w:r w:rsidRPr="00EA59C0">
        <w:t>Open</w:t>
      </w:r>
      <w:r w:rsidR="00C026A6" w:rsidRPr="00EA59C0">
        <w:t xml:space="preserve"> </w:t>
      </w:r>
      <w:r w:rsidRPr="00EA59C0">
        <w:t>Educational</w:t>
      </w:r>
      <w:r w:rsidR="00C026A6" w:rsidRPr="00EA59C0">
        <w:t xml:space="preserve"> </w:t>
      </w:r>
      <w:r w:rsidRPr="00EA59C0">
        <w:t>Resources</w:t>
      </w:r>
      <w:r w:rsidR="00C026A6" w:rsidRPr="00EA59C0">
        <w:t xml:space="preserve"> </w:t>
      </w:r>
      <w:r w:rsidRPr="00EA59C0">
        <w:t>(OER)</w:t>
      </w:r>
      <w:r w:rsidR="00C026A6" w:rsidRPr="00EA59C0">
        <w:t xml:space="preserve"> </w:t>
      </w:r>
      <w:r w:rsidRPr="00EA59C0">
        <w:t>or</w:t>
      </w:r>
      <w:r w:rsidR="00C026A6" w:rsidRPr="00EA59C0">
        <w:t xml:space="preserve"> </w:t>
      </w:r>
      <w:r w:rsidRPr="00EA59C0">
        <w:t>other</w:t>
      </w:r>
      <w:r w:rsidR="00C026A6" w:rsidRPr="00EA59C0">
        <w:t xml:space="preserve"> </w:t>
      </w:r>
      <w:r w:rsidRPr="00EA59C0">
        <w:t>licensed</w:t>
      </w:r>
      <w:r w:rsidR="00C026A6" w:rsidRPr="00EA59C0">
        <w:t xml:space="preserve"> </w:t>
      </w:r>
      <w:r w:rsidRPr="00EA59C0">
        <w:t>intellectual</w:t>
      </w:r>
      <w:r w:rsidR="00C026A6" w:rsidRPr="00EA59C0">
        <w:t xml:space="preserve"> </w:t>
      </w:r>
      <w:r w:rsidRPr="00EA59C0">
        <w:t>property</w:t>
      </w:r>
      <w:r w:rsidR="00C026A6" w:rsidRPr="00EA59C0">
        <w:t xml:space="preserve"> </w:t>
      </w:r>
      <w:r w:rsidRPr="00EA59C0">
        <w:t>will</w:t>
      </w:r>
      <w:r w:rsidR="00C026A6" w:rsidRPr="00EA59C0">
        <w:t xml:space="preserve"> </w:t>
      </w:r>
      <w:r w:rsidRPr="00EA59C0">
        <w:t>be</w:t>
      </w:r>
      <w:r w:rsidR="00C026A6" w:rsidRPr="00EA59C0">
        <w:t xml:space="preserve"> </w:t>
      </w:r>
      <w:r w:rsidRPr="00EA59C0">
        <w:t>improved</w:t>
      </w:r>
      <w:r w:rsidR="00C026A6" w:rsidRPr="00EA59C0">
        <w:t xml:space="preserve"> </w:t>
      </w:r>
      <w:r w:rsidRPr="00EA59C0">
        <w:t>with</w:t>
      </w:r>
      <w:r w:rsidR="00C026A6" w:rsidRPr="00EA59C0">
        <w:t xml:space="preserve"> </w:t>
      </w:r>
      <w:r w:rsidRPr="00EA59C0">
        <w:t>grant</w:t>
      </w:r>
      <w:r w:rsidR="00C026A6" w:rsidRPr="00EA59C0">
        <w:t xml:space="preserve"> </w:t>
      </w:r>
      <w:r w:rsidRPr="00EA59C0">
        <w:t>funds.</w:t>
      </w:r>
      <w:r w:rsidR="00C026A6" w:rsidRPr="00EA59C0">
        <w:t xml:space="preserve"> </w:t>
      </w:r>
      <w:r w:rsidRPr="00EA59C0">
        <w:t>Quantify</w:t>
      </w:r>
      <w:r w:rsidR="00C026A6" w:rsidRPr="00EA59C0">
        <w:t xml:space="preserve"> </w:t>
      </w:r>
      <w:r w:rsidRPr="00EA59C0">
        <w:t>the</w:t>
      </w:r>
      <w:r w:rsidR="00C026A6" w:rsidRPr="00EA59C0">
        <w:t xml:space="preserve"> </w:t>
      </w:r>
      <w:r w:rsidRPr="00EA59C0">
        <w:t>number</w:t>
      </w:r>
      <w:r w:rsidR="00C026A6" w:rsidRPr="00EA59C0">
        <w:t xml:space="preserve"> </w:t>
      </w:r>
      <w:r w:rsidRPr="00EA59C0">
        <w:t>of</w:t>
      </w:r>
      <w:r w:rsidR="00C026A6" w:rsidRPr="00EA59C0">
        <w:t xml:space="preserve"> </w:t>
      </w:r>
      <w:r w:rsidRPr="00EA59C0">
        <w:t>deliverables</w:t>
      </w:r>
      <w:r w:rsidR="00C026A6" w:rsidRPr="00EA59C0">
        <w:t xml:space="preserve"> </w:t>
      </w:r>
      <w:r w:rsidRPr="00EA59C0">
        <w:t>provided</w:t>
      </w:r>
      <w:r w:rsidR="00C026A6" w:rsidRPr="00EA59C0">
        <w:t xml:space="preserve"> </w:t>
      </w:r>
      <w:r w:rsidRPr="00EA59C0">
        <w:t>and</w:t>
      </w:r>
      <w:r w:rsidR="00C026A6" w:rsidRPr="00EA59C0">
        <w:t xml:space="preserve"> </w:t>
      </w:r>
      <w:r w:rsidRPr="00EA59C0">
        <w:t>provide</w:t>
      </w:r>
      <w:r w:rsidR="00C026A6" w:rsidRPr="00EA59C0">
        <w:t xml:space="preserve"> </w:t>
      </w:r>
      <w:r w:rsidRPr="00EA59C0">
        <w:t>a</w:t>
      </w:r>
      <w:r w:rsidR="00C026A6" w:rsidRPr="00EA59C0">
        <w:t xml:space="preserve"> </w:t>
      </w:r>
      <w:r w:rsidRPr="00EA59C0">
        <w:t>brief</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them,</w:t>
      </w:r>
      <w:r w:rsidR="00C026A6" w:rsidRPr="00EA59C0">
        <w:t xml:space="preserve"> </w:t>
      </w:r>
      <w:r w:rsidRPr="00EA59C0">
        <w:t>such</w:t>
      </w:r>
      <w:r w:rsidR="00C026A6" w:rsidRPr="00EA59C0">
        <w:t xml:space="preserve"> </w:t>
      </w:r>
      <w:r w:rsidRPr="00EA59C0">
        <w:t>as</w:t>
      </w:r>
      <w:r w:rsidR="00C026A6" w:rsidRPr="00EA59C0">
        <w:t xml:space="preserve"> </w:t>
      </w:r>
      <w:r w:rsidRPr="00EA59C0">
        <w:t>“1</w:t>
      </w:r>
      <w:r w:rsidR="00C026A6" w:rsidRPr="00EA59C0">
        <w:t xml:space="preserve"> </w:t>
      </w:r>
      <w:r w:rsidRPr="00EA59C0">
        <w:t>Licensed</w:t>
      </w:r>
      <w:r w:rsidR="00C026A6" w:rsidRPr="00EA59C0">
        <w:t xml:space="preserve"> </w:t>
      </w:r>
      <w:r w:rsidRPr="00EA59C0">
        <w:t>Practical</w:t>
      </w:r>
      <w:r w:rsidR="00C026A6" w:rsidRPr="00EA59C0">
        <w:t xml:space="preserve"> </w:t>
      </w:r>
      <w:r w:rsidRPr="00EA59C0">
        <w:t>Nursing</w:t>
      </w:r>
      <w:r w:rsidR="00C026A6" w:rsidRPr="00EA59C0">
        <w:t xml:space="preserve"> </w:t>
      </w:r>
      <w:r w:rsidRPr="00EA59C0">
        <w:t>curriculum.”</w:t>
      </w:r>
      <w:r w:rsidR="00C026A6" w:rsidRPr="00EA59C0">
        <w:t xml:space="preserve">  </w:t>
      </w:r>
      <w:r w:rsidRPr="00EA59C0">
        <w:t>Specify</w:t>
      </w:r>
      <w:r w:rsidR="00C026A6" w:rsidRPr="00EA59C0">
        <w:t xml:space="preserve"> </w:t>
      </w:r>
      <w:r w:rsidRPr="00EA59C0">
        <w:t>the</w:t>
      </w:r>
      <w:r w:rsidR="00C026A6" w:rsidRPr="00EA59C0">
        <w:t xml:space="preserve"> </w:t>
      </w:r>
      <w:r w:rsidRPr="00EA59C0">
        <w:t>expected</w:t>
      </w:r>
      <w:r w:rsidR="00C026A6" w:rsidRPr="00EA59C0">
        <w:t xml:space="preserve"> </w:t>
      </w:r>
      <w:r w:rsidRPr="00EA59C0">
        <w:t>date</w:t>
      </w:r>
      <w:r w:rsidR="00C026A6" w:rsidRPr="00EA59C0">
        <w:t xml:space="preserve"> </w:t>
      </w:r>
      <w:r w:rsidRPr="00EA59C0">
        <w:t>the</w:t>
      </w:r>
      <w:r w:rsidR="00C026A6" w:rsidRPr="00EA59C0">
        <w:t xml:space="preserve"> </w:t>
      </w:r>
      <w:r w:rsidRPr="00EA59C0">
        <w:t>deliverables</w:t>
      </w:r>
      <w:r w:rsidR="00C026A6" w:rsidRPr="00EA59C0">
        <w:t xml:space="preserve"> </w:t>
      </w:r>
      <w:r w:rsidRPr="00EA59C0">
        <w:t>will</w:t>
      </w:r>
      <w:r w:rsidR="00C026A6" w:rsidRPr="00EA59C0">
        <w:t xml:space="preserve"> </w:t>
      </w:r>
      <w:r w:rsidRPr="00EA59C0">
        <w:t>be</w:t>
      </w:r>
      <w:r w:rsidR="00C026A6" w:rsidRPr="00EA59C0">
        <w:t xml:space="preserve"> </w:t>
      </w:r>
      <w:r w:rsidRPr="00EA59C0">
        <w:t>delivered</w:t>
      </w:r>
      <w:r w:rsidR="00C026A6" w:rsidRPr="00EA59C0">
        <w:t xml:space="preserve"> </w:t>
      </w:r>
      <w:r w:rsidRPr="00EA59C0">
        <w:t>to</w:t>
      </w:r>
      <w:r w:rsidR="00C026A6" w:rsidRPr="00EA59C0">
        <w:t xml:space="preserve"> </w:t>
      </w:r>
      <w:r w:rsidRPr="00EA59C0">
        <w:t>the</w:t>
      </w:r>
      <w:r w:rsidR="00C026A6" w:rsidRPr="00EA59C0">
        <w:t xml:space="preserve"> </w:t>
      </w:r>
      <w:r w:rsidRPr="00EA59C0">
        <w:t>Department.</w:t>
      </w:r>
    </w:p>
    <w:p w:rsidR="0036564D" w:rsidRPr="00EA59C0" w:rsidRDefault="0036564D" w:rsidP="00C072FA">
      <w:pPr>
        <w:ind w:hanging="360"/>
      </w:pPr>
    </w:p>
    <w:p w:rsidR="00655531" w:rsidRPr="00EA59C0" w:rsidRDefault="00D81847" w:rsidP="008826BE">
      <w:pPr>
        <w:pStyle w:val="ListParagraph"/>
        <w:numPr>
          <w:ilvl w:val="4"/>
          <w:numId w:val="17"/>
        </w:numPr>
        <w:spacing w:line="480" w:lineRule="auto"/>
        <w:rPr>
          <w:b/>
        </w:rPr>
      </w:pPr>
      <w:r w:rsidRPr="00EA59C0">
        <w:rPr>
          <w:b/>
        </w:rPr>
        <w:t>Outcomes</w:t>
      </w:r>
      <w:r w:rsidR="00C026A6" w:rsidRPr="00EA59C0">
        <w:rPr>
          <w:b/>
        </w:rPr>
        <w:t xml:space="preserve"> </w:t>
      </w:r>
      <w:r w:rsidR="007D44F1" w:rsidRPr="00EA59C0">
        <w:rPr>
          <w:b/>
        </w:rPr>
        <w:t>and</w:t>
      </w:r>
      <w:r w:rsidR="00C026A6" w:rsidRPr="00EA59C0">
        <w:rPr>
          <w:b/>
        </w:rPr>
        <w:t xml:space="preserve"> </w:t>
      </w:r>
      <w:r w:rsidR="00EC4D6E" w:rsidRPr="00EA59C0">
        <w:rPr>
          <w:b/>
        </w:rPr>
        <w:t>O</w:t>
      </w:r>
      <w:r w:rsidR="007D44F1" w:rsidRPr="00EA59C0">
        <w:rPr>
          <w:b/>
        </w:rPr>
        <w:t>utputs</w:t>
      </w:r>
    </w:p>
    <w:p w:rsidR="005B03BD" w:rsidRPr="00EA59C0" w:rsidRDefault="00C03D1A" w:rsidP="00C072FA">
      <w:pPr>
        <w:ind w:left="1800"/>
      </w:pPr>
      <w:r w:rsidRPr="00EA59C0">
        <w:t>A</w:t>
      </w:r>
      <w:r w:rsidR="005B03BD" w:rsidRPr="00EA59C0">
        <w:t>pplicant</w:t>
      </w:r>
      <w:r w:rsidRPr="00EA59C0">
        <w:t>s</w:t>
      </w:r>
      <w:r w:rsidR="00C026A6" w:rsidRPr="00EA59C0">
        <w:t xml:space="preserve"> </w:t>
      </w:r>
      <w:r w:rsidR="005B03BD" w:rsidRPr="00EA59C0">
        <w:t>must</w:t>
      </w:r>
      <w:r w:rsidR="00C026A6" w:rsidRPr="00EA59C0">
        <w:t xml:space="preserve"> </w:t>
      </w:r>
      <w:r w:rsidR="005B03BD" w:rsidRPr="00EA59C0">
        <w:t>provide</w:t>
      </w:r>
      <w:r w:rsidR="00C026A6" w:rsidRPr="00EA59C0">
        <w:t xml:space="preserve"> </w:t>
      </w:r>
      <w:r w:rsidR="005B03BD" w:rsidRPr="00EA59C0">
        <w:t>outcome</w:t>
      </w:r>
      <w:r w:rsidR="00C026A6" w:rsidRPr="00EA59C0">
        <w:t xml:space="preserve"> </w:t>
      </w:r>
      <w:r w:rsidR="005B03BD" w:rsidRPr="00EA59C0">
        <w:t>projections,</w:t>
      </w:r>
      <w:r w:rsidR="00C026A6" w:rsidRPr="00EA59C0">
        <w:t xml:space="preserve"> </w:t>
      </w:r>
      <w:r w:rsidR="005B03BD" w:rsidRPr="00EA59C0">
        <w:t>including</w:t>
      </w:r>
      <w:r w:rsidR="00C026A6" w:rsidRPr="00EA59C0">
        <w:t xml:space="preserve"> </w:t>
      </w:r>
      <w:r w:rsidR="005B03BD" w:rsidRPr="00EA59C0">
        <w:t>an</w:t>
      </w:r>
      <w:r w:rsidR="00C026A6" w:rsidRPr="00EA59C0">
        <w:t xml:space="preserve"> </w:t>
      </w:r>
      <w:r w:rsidR="005B03BD" w:rsidRPr="00EA59C0">
        <w:t>effective</w:t>
      </w:r>
      <w:r w:rsidR="00C026A6" w:rsidRPr="00EA59C0">
        <w:t xml:space="preserve"> </w:t>
      </w:r>
      <w:r w:rsidR="005B03BD" w:rsidRPr="00EA59C0">
        <w:t>plan</w:t>
      </w:r>
      <w:r w:rsidR="00C026A6" w:rsidRPr="00EA59C0">
        <w:t xml:space="preserve"> </w:t>
      </w:r>
      <w:r w:rsidR="005B03BD" w:rsidRPr="00EA59C0">
        <w:t>to</w:t>
      </w:r>
      <w:r w:rsidR="00C026A6" w:rsidRPr="00EA59C0">
        <w:t xml:space="preserve"> </w:t>
      </w:r>
      <w:r w:rsidR="005B03BD" w:rsidRPr="00EA59C0">
        <w:t>track</w:t>
      </w:r>
      <w:r w:rsidR="00C026A6" w:rsidRPr="00EA59C0">
        <w:t xml:space="preserve"> </w:t>
      </w:r>
      <w:r w:rsidR="005B03BD" w:rsidRPr="00EA59C0">
        <w:t>and</w:t>
      </w:r>
      <w:r w:rsidR="00C026A6" w:rsidRPr="00EA59C0">
        <w:t xml:space="preserve"> </w:t>
      </w:r>
      <w:r w:rsidR="005B03BD" w:rsidRPr="00EA59C0">
        <w:t>report</w:t>
      </w:r>
      <w:r w:rsidR="00C026A6" w:rsidRPr="00EA59C0">
        <w:t xml:space="preserve"> </w:t>
      </w:r>
      <w:r w:rsidR="005B03BD" w:rsidRPr="00EA59C0">
        <w:t>all</w:t>
      </w:r>
      <w:r w:rsidR="00C026A6" w:rsidRPr="00EA59C0">
        <w:t xml:space="preserve"> </w:t>
      </w:r>
      <w:r w:rsidR="005B03BD" w:rsidRPr="00EA59C0">
        <w:t>outcome</w:t>
      </w:r>
      <w:r w:rsidR="00C026A6" w:rsidRPr="00EA59C0">
        <w:t xml:space="preserve"> </w:t>
      </w:r>
      <w:r w:rsidR="005B03BD" w:rsidRPr="00EA59C0">
        <w:t>measures</w:t>
      </w:r>
      <w:r w:rsidR="00C026A6" w:rsidRPr="00EA59C0">
        <w:t xml:space="preserve"> </w:t>
      </w:r>
      <w:r w:rsidR="005B03BD" w:rsidRPr="00EA59C0">
        <w:t>for</w:t>
      </w:r>
      <w:r w:rsidR="00C026A6" w:rsidRPr="00EA59C0">
        <w:t xml:space="preserve"> </w:t>
      </w:r>
      <w:r w:rsidR="005B03BD" w:rsidRPr="00EA59C0">
        <w:t>all</w:t>
      </w:r>
      <w:r w:rsidR="00C026A6" w:rsidRPr="00EA59C0">
        <w:t xml:space="preserve"> </w:t>
      </w:r>
      <w:r w:rsidR="005B03BD" w:rsidRPr="00EA59C0">
        <w:t>program</w:t>
      </w:r>
      <w:r w:rsidR="00C026A6" w:rsidRPr="00EA59C0">
        <w:t xml:space="preserve"> </w:t>
      </w:r>
      <w:r w:rsidR="005B03BD" w:rsidRPr="00EA59C0">
        <w:t>participants,</w:t>
      </w:r>
      <w:r w:rsidR="00C026A6" w:rsidRPr="00EA59C0">
        <w:t xml:space="preserve"> </w:t>
      </w:r>
      <w:r w:rsidR="005B03BD" w:rsidRPr="00EA59C0">
        <w:t>and</w:t>
      </w:r>
      <w:r w:rsidR="00C026A6" w:rsidRPr="00EA59C0">
        <w:t xml:space="preserve"> </w:t>
      </w:r>
      <w:r w:rsidR="005B03BD" w:rsidRPr="00EA59C0">
        <w:t>an</w:t>
      </w:r>
      <w:r w:rsidR="00C026A6" w:rsidRPr="00EA59C0">
        <w:t xml:space="preserve"> </w:t>
      </w:r>
      <w:r w:rsidR="005B03BD" w:rsidRPr="00EA59C0">
        <w:t>effective</w:t>
      </w:r>
      <w:r w:rsidR="00C026A6" w:rsidRPr="00EA59C0">
        <w:t xml:space="preserve"> </w:t>
      </w:r>
      <w:r w:rsidR="005B03BD" w:rsidRPr="00EA59C0">
        <w:t>plan</w:t>
      </w:r>
      <w:r w:rsidR="00C026A6" w:rsidRPr="00EA59C0">
        <w:t xml:space="preserve"> </w:t>
      </w:r>
      <w:r w:rsidR="005B03BD" w:rsidRPr="00EA59C0">
        <w:t>for</w:t>
      </w:r>
      <w:r w:rsidR="00C026A6" w:rsidRPr="00EA59C0">
        <w:t xml:space="preserve"> </w:t>
      </w:r>
      <w:r w:rsidR="005B03BD" w:rsidRPr="00EA59C0">
        <w:t>the</w:t>
      </w:r>
      <w:r w:rsidR="00C026A6" w:rsidRPr="00EA59C0">
        <w:t xml:space="preserve"> </w:t>
      </w:r>
      <w:r w:rsidR="005B03BD" w:rsidRPr="00EA59C0">
        <w:t>use</w:t>
      </w:r>
      <w:r w:rsidR="00C026A6" w:rsidRPr="00EA59C0">
        <w:t xml:space="preserve"> </w:t>
      </w:r>
      <w:r w:rsidR="005B03BD" w:rsidRPr="00EA59C0">
        <w:t>of</w:t>
      </w:r>
      <w:r w:rsidR="00C026A6" w:rsidRPr="00EA59C0">
        <w:t xml:space="preserve"> </w:t>
      </w:r>
      <w:r w:rsidR="005B03BD" w:rsidRPr="00EA59C0">
        <w:t>reported</w:t>
      </w:r>
      <w:r w:rsidR="00C026A6" w:rsidRPr="00EA59C0">
        <w:t xml:space="preserve"> </w:t>
      </w:r>
      <w:r w:rsidR="005B03BD" w:rsidRPr="00EA59C0">
        <w:t>data</w:t>
      </w:r>
      <w:r w:rsidR="00C026A6" w:rsidRPr="00EA59C0">
        <w:t xml:space="preserve"> </w:t>
      </w:r>
      <w:r w:rsidR="005B03BD" w:rsidRPr="00EA59C0">
        <w:t>to</w:t>
      </w:r>
      <w:r w:rsidR="00C026A6" w:rsidRPr="00EA59C0">
        <w:t xml:space="preserve"> </w:t>
      </w:r>
      <w:r w:rsidR="005B03BD" w:rsidRPr="00EA59C0">
        <w:t>continuously</w:t>
      </w:r>
      <w:r w:rsidR="00C026A6" w:rsidRPr="00EA59C0">
        <w:t xml:space="preserve"> </w:t>
      </w:r>
      <w:r w:rsidR="005B03BD" w:rsidRPr="00EA59C0">
        <w:t>assess</w:t>
      </w:r>
      <w:r w:rsidR="00C026A6" w:rsidRPr="00EA59C0">
        <w:t xml:space="preserve"> </w:t>
      </w:r>
      <w:r w:rsidR="005B03BD" w:rsidRPr="00EA59C0">
        <w:t>the</w:t>
      </w:r>
      <w:r w:rsidR="00C026A6" w:rsidRPr="00EA59C0">
        <w:t xml:space="preserve"> </w:t>
      </w:r>
      <w:r w:rsidR="005B03BD" w:rsidRPr="00EA59C0">
        <w:t>effectiveness</w:t>
      </w:r>
      <w:r w:rsidR="00C026A6" w:rsidRPr="00EA59C0">
        <w:t xml:space="preserve"> </w:t>
      </w:r>
      <w:r w:rsidR="005B03BD" w:rsidRPr="00EA59C0">
        <w:t>of</w:t>
      </w:r>
      <w:r w:rsidR="00C026A6" w:rsidRPr="00EA59C0">
        <w:t xml:space="preserve"> </w:t>
      </w:r>
      <w:r w:rsidR="005B03BD" w:rsidRPr="00EA59C0">
        <w:t>and</w:t>
      </w:r>
      <w:r w:rsidR="00C026A6" w:rsidRPr="00EA59C0">
        <w:t xml:space="preserve"> </w:t>
      </w:r>
      <w:r w:rsidR="005B03BD" w:rsidRPr="00EA59C0">
        <w:t>to</w:t>
      </w:r>
      <w:r w:rsidR="00C026A6" w:rsidRPr="00EA59C0">
        <w:t xml:space="preserve"> </w:t>
      </w:r>
      <w:r w:rsidR="005B03BD" w:rsidRPr="00EA59C0">
        <w:t>improve</w:t>
      </w:r>
      <w:r w:rsidR="00C026A6" w:rsidRPr="00EA59C0">
        <w:t xml:space="preserve"> </w:t>
      </w:r>
      <w:r w:rsidR="005B03BD" w:rsidRPr="00EA59C0">
        <w:t>programming.</w:t>
      </w:r>
      <w:r w:rsidR="00C026A6" w:rsidRPr="00EA59C0">
        <w:t xml:space="preserve">  </w:t>
      </w:r>
      <w:r w:rsidR="005B03BD" w:rsidRPr="00EA59C0">
        <w:t>The</w:t>
      </w:r>
      <w:r w:rsidR="00C026A6" w:rsidRPr="00EA59C0">
        <w:t xml:space="preserve"> </w:t>
      </w:r>
      <w:r w:rsidR="005B03BD" w:rsidRPr="00EA59C0">
        <w:t>grantee’s</w:t>
      </w:r>
      <w:r w:rsidR="00C026A6" w:rsidRPr="00EA59C0">
        <w:t xml:space="preserve"> </w:t>
      </w:r>
      <w:r w:rsidR="005B03BD" w:rsidRPr="00EA59C0">
        <w:t>performance</w:t>
      </w:r>
      <w:r w:rsidR="00C026A6" w:rsidRPr="00EA59C0">
        <w:t xml:space="preserve"> </w:t>
      </w:r>
      <w:r w:rsidR="005B03BD" w:rsidRPr="00EA59C0">
        <w:t>in</w:t>
      </w:r>
      <w:r w:rsidR="00C026A6" w:rsidRPr="00EA59C0">
        <w:t xml:space="preserve"> </w:t>
      </w:r>
      <w:r w:rsidR="005B03BD" w:rsidRPr="00EA59C0">
        <w:t>meeting</w:t>
      </w:r>
      <w:r w:rsidR="00C026A6" w:rsidRPr="00EA59C0">
        <w:t xml:space="preserve"> </w:t>
      </w:r>
      <w:r w:rsidR="005B03BD" w:rsidRPr="00EA59C0">
        <w:t>outcome</w:t>
      </w:r>
      <w:r w:rsidR="00C026A6" w:rsidRPr="00EA59C0">
        <w:t xml:space="preserve"> </w:t>
      </w:r>
      <w:r w:rsidR="005B03BD" w:rsidRPr="00EA59C0">
        <w:t>projections</w:t>
      </w:r>
      <w:r w:rsidR="00C026A6" w:rsidRPr="00EA59C0">
        <w:t xml:space="preserve"> </w:t>
      </w:r>
      <w:r w:rsidR="005B03BD" w:rsidRPr="00EA59C0">
        <w:t>may</w:t>
      </w:r>
      <w:r w:rsidR="00C026A6" w:rsidRPr="00EA59C0">
        <w:t xml:space="preserve"> </w:t>
      </w:r>
      <w:r w:rsidR="005B03BD" w:rsidRPr="00EA59C0">
        <w:t>impact</w:t>
      </w:r>
      <w:r w:rsidR="00C026A6" w:rsidRPr="00EA59C0">
        <w:t xml:space="preserve"> </w:t>
      </w:r>
      <w:r w:rsidR="005B03BD" w:rsidRPr="00EA59C0">
        <w:t>the</w:t>
      </w:r>
      <w:r w:rsidR="00C026A6" w:rsidRPr="00EA59C0">
        <w:t xml:space="preserve"> </w:t>
      </w:r>
      <w:r w:rsidR="005B03BD" w:rsidRPr="00EA59C0">
        <w:t>decision</w:t>
      </w:r>
      <w:r w:rsidR="00C026A6" w:rsidRPr="00EA59C0">
        <w:t xml:space="preserve"> </w:t>
      </w:r>
      <w:r w:rsidR="005B03BD" w:rsidRPr="00EA59C0">
        <w:t>by</w:t>
      </w:r>
      <w:r w:rsidR="00C026A6" w:rsidRPr="00EA59C0">
        <w:t xml:space="preserve"> </w:t>
      </w:r>
      <w:r w:rsidR="005B03BD" w:rsidRPr="00EA59C0">
        <w:t>the</w:t>
      </w:r>
      <w:r w:rsidR="00C026A6" w:rsidRPr="00EA59C0">
        <w:t xml:space="preserve"> </w:t>
      </w:r>
      <w:r w:rsidR="005B03BD" w:rsidRPr="00EA59C0">
        <w:t>Department</w:t>
      </w:r>
      <w:r w:rsidR="00C026A6" w:rsidRPr="00EA59C0">
        <w:t xml:space="preserve"> </w:t>
      </w:r>
      <w:r w:rsidR="005B03BD" w:rsidRPr="00EA59C0">
        <w:t>to</w:t>
      </w:r>
      <w:r w:rsidR="00C026A6" w:rsidRPr="00EA59C0">
        <w:t xml:space="preserve"> </w:t>
      </w:r>
      <w:r w:rsidR="005B03BD" w:rsidRPr="00EA59C0">
        <w:t>award</w:t>
      </w:r>
      <w:r w:rsidR="00C026A6" w:rsidRPr="00EA59C0">
        <w:t xml:space="preserve"> </w:t>
      </w:r>
      <w:r w:rsidR="005B03BD" w:rsidRPr="00EA59C0">
        <w:t>any</w:t>
      </w:r>
      <w:r w:rsidR="00C026A6" w:rsidRPr="00EA59C0">
        <w:t xml:space="preserve"> </w:t>
      </w:r>
      <w:r w:rsidR="005B03BD" w:rsidRPr="00EA59C0">
        <w:t>future</w:t>
      </w:r>
      <w:r w:rsidR="00C026A6" w:rsidRPr="00EA59C0">
        <w:t xml:space="preserve"> </w:t>
      </w:r>
      <w:r w:rsidR="005B03BD" w:rsidRPr="00EA59C0">
        <w:t>grants</w:t>
      </w:r>
      <w:r w:rsidR="00C026A6" w:rsidRPr="00EA59C0">
        <w:t xml:space="preserve"> </w:t>
      </w:r>
      <w:r w:rsidR="005B03BD" w:rsidRPr="00EA59C0">
        <w:t>to</w:t>
      </w:r>
      <w:r w:rsidR="00C026A6" w:rsidRPr="00EA59C0">
        <w:t xml:space="preserve"> </w:t>
      </w:r>
      <w:r w:rsidR="005B03BD" w:rsidRPr="00EA59C0">
        <w:t>the</w:t>
      </w:r>
      <w:r w:rsidR="00C026A6" w:rsidRPr="00EA59C0">
        <w:t xml:space="preserve"> </w:t>
      </w:r>
      <w:r w:rsidR="005B03BD" w:rsidRPr="00EA59C0">
        <w:t>grantee.</w:t>
      </w:r>
      <w:r w:rsidR="00C026A6" w:rsidRPr="00EA59C0">
        <w:t xml:space="preserve">  </w:t>
      </w:r>
    </w:p>
    <w:p w:rsidR="005B03BD" w:rsidRPr="00EA59C0" w:rsidRDefault="005B03BD" w:rsidP="00C072FA">
      <w:pPr>
        <w:ind w:left="1080"/>
      </w:pPr>
    </w:p>
    <w:p w:rsidR="005B03BD" w:rsidRPr="00EA59C0" w:rsidRDefault="005B03BD" w:rsidP="00C072FA">
      <w:pPr>
        <w:pStyle w:val="ListParagraph"/>
        <w:numPr>
          <w:ilvl w:val="5"/>
          <w:numId w:val="17"/>
        </w:numPr>
        <w:rPr>
          <w:b/>
        </w:rPr>
      </w:pPr>
      <w:r w:rsidRPr="00EA59C0">
        <w:rPr>
          <w:b/>
        </w:rPr>
        <w:t>Analysis</w:t>
      </w:r>
      <w:r w:rsidR="00C026A6" w:rsidRPr="00EA59C0">
        <w:rPr>
          <w:b/>
        </w:rPr>
        <w:t xml:space="preserve"> </w:t>
      </w:r>
      <w:r w:rsidRPr="00EA59C0">
        <w:rPr>
          <w:b/>
        </w:rPr>
        <w:t>of</w:t>
      </w:r>
      <w:r w:rsidR="00C026A6" w:rsidRPr="00EA59C0">
        <w:rPr>
          <w:b/>
        </w:rPr>
        <w:t xml:space="preserve"> </w:t>
      </w:r>
      <w:r w:rsidRPr="00EA59C0">
        <w:rPr>
          <w:b/>
        </w:rPr>
        <w:t>Outcome</w:t>
      </w:r>
      <w:r w:rsidR="00C026A6" w:rsidRPr="00EA59C0">
        <w:rPr>
          <w:b/>
        </w:rPr>
        <w:t xml:space="preserve"> </w:t>
      </w:r>
      <w:r w:rsidRPr="00EA59C0">
        <w:rPr>
          <w:b/>
        </w:rPr>
        <w:t>Projections</w:t>
      </w:r>
    </w:p>
    <w:p w:rsidR="005B03BD" w:rsidRPr="00EA59C0" w:rsidRDefault="005B03BD" w:rsidP="00C072FA">
      <w:pPr>
        <w:ind w:left="2160"/>
      </w:pPr>
      <w:r w:rsidRPr="00EA59C0">
        <w:t>Grantees</w:t>
      </w:r>
      <w:r w:rsidR="00C026A6" w:rsidRPr="00EA59C0">
        <w:t xml:space="preserve"> </w:t>
      </w:r>
      <w:r w:rsidRPr="00EA59C0">
        <w:t>will</w:t>
      </w:r>
      <w:r w:rsidR="00C026A6" w:rsidRPr="00EA59C0">
        <w:t xml:space="preserve"> </w:t>
      </w:r>
      <w:r w:rsidRPr="00EA59C0">
        <w:t>be</w:t>
      </w:r>
      <w:r w:rsidR="00C026A6" w:rsidRPr="00EA59C0">
        <w:t xml:space="preserve"> </w:t>
      </w:r>
      <w:r w:rsidRPr="00EA59C0">
        <w:t>required</w:t>
      </w:r>
      <w:r w:rsidR="00C026A6" w:rsidRPr="00EA59C0">
        <w:t xml:space="preserve"> </w:t>
      </w:r>
      <w:r w:rsidRPr="00EA59C0">
        <w:t>to</w:t>
      </w:r>
      <w:r w:rsidR="00C026A6" w:rsidRPr="00EA59C0">
        <w:t xml:space="preserve"> </w:t>
      </w:r>
      <w:r w:rsidRPr="00EA59C0">
        <w:t>report</w:t>
      </w:r>
      <w:r w:rsidR="00C026A6" w:rsidRPr="00EA59C0">
        <w:t xml:space="preserve"> </w:t>
      </w:r>
      <w:r w:rsidRPr="00EA59C0">
        <w:t>data</w:t>
      </w:r>
      <w:r w:rsidR="00C026A6" w:rsidRPr="00EA59C0">
        <w:t xml:space="preserve"> </w:t>
      </w:r>
      <w:r w:rsidRPr="00EA59C0">
        <w:t>on</w:t>
      </w:r>
      <w:r w:rsidR="00C026A6" w:rsidRPr="00EA59C0">
        <w:t xml:space="preserve"> </w:t>
      </w:r>
      <w:r w:rsidRPr="00EA59C0">
        <w:t>a</w:t>
      </w:r>
      <w:r w:rsidR="00C026A6" w:rsidRPr="00EA59C0">
        <w:t xml:space="preserve"> </w:t>
      </w:r>
      <w:r w:rsidRPr="00EA59C0">
        <w:t>number</w:t>
      </w:r>
      <w:r w:rsidR="00C026A6" w:rsidRPr="00EA59C0">
        <w:t xml:space="preserve"> </w:t>
      </w:r>
      <w:r w:rsidRPr="00EA59C0">
        <w:t>of</w:t>
      </w:r>
      <w:r w:rsidR="00C026A6" w:rsidRPr="00EA59C0">
        <w:t xml:space="preserve"> </w:t>
      </w:r>
      <w:r w:rsidRPr="00EA59C0">
        <w:t>outcome</w:t>
      </w:r>
      <w:r w:rsidR="00C026A6" w:rsidRPr="00EA59C0">
        <w:t xml:space="preserve"> </w:t>
      </w:r>
      <w:r w:rsidRPr="00EA59C0">
        <w:t>measures</w:t>
      </w:r>
      <w:r w:rsidR="00C026A6" w:rsidRPr="00EA59C0">
        <w:t xml:space="preserve"> </w:t>
      </w:r>
      <w:r w:rsidRPr="00EA59C0">
        <w:t>on</w:t>
      </w:r>
      <w:r w:rsidR="00C026A6" w:rsidRPr="00EA59C0">
        <w:t xml:space="preserve"> </w:t>
      </w:r>
      <w:r w:rsidRPr="00EA59C0">
        <w:t>an</w:t>
      </w:r>
      <w:r w:rsidR="00C026A6" w:rsidRPr="00EA59C0">
        <w:t xml:space="preserve"> </w:t>
      </w:r>
      <w:r w:rsidRPr="00EA59C0">
        <w:t>annual</w:t>
      </w:r>
      <w:r w:rsidR="00C026A6" w:rsidRPr="00EA59C0">
        <w:t xml:space="preserve"> </w:t>
      </w:r>
      <w:r w:rsidRPr="00EA59C0">
        <w:t>basis,</w:t>
      </w:r>
      <w:r w:rsidR="00C026A6" w:rsidRPr="00EA59C0">
        <w:t xml:space="preserve"> </w:t>
      </w:r>
      <w:r w:rsidRPr="00EA59C0">
        <w:t>as</w:t>
      </w:r>
      <w:r w:rsidR="00C026A6" w:rsidRPr="00EA59C0">
        <w:t xml:space="preserve"> </w:t>
      </w:r>
      <w:r w:rsidRPr="00EA59C0">
        <w:t>specified</w:t>
      </w:r>
      <w:r w:rsidR="00C026A6" w:rsidRPr="00EA59C0">
        <w:t xml:space="preserve"> </w:t>
      </w:r>
      <w:r w:rsidRPr="00EA59C0">
        <w:t>in</w:t>
      </w:r>
      <w:r w:rsidR="00C026A6" w:rsidRPr="00EA59C0">
        <w:t xml:space="preserve"> </w:t>
      </w:r>
      <w:r w:rsidRPr="00EA59C0">
        <w:t>Section</w:t>
      </w:r>
      <w:r w:rsidR="00C026A6" w:rsidRPr="00EA59C0">
        <w:t xml:space="preserve"> </w:t>
      </w:r>
      <w:r w:rsidRPr="00EA59C0">
        <w:t>VI.</w:t>
      </w:r>
      <w:r w:rsidR="00EC35CA" w:rsidRPr="00EA59C0">
        <w:t>B.4</w:t>
      </w:r>
      <w:r w:rsidRPr="00EA59C0">
        <w:t>.</w:t>
      </w:r>
      <w:r w:rsidR="00C026A6" w:rsidRPr="00EA59C0">
        <w:t xml:space="preserve">  </w:t>
      </w:r>
      <w:r w:rsidRPr="00EA59C0">
        <w:t>For</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r w:rsidR="009C56A0" w:rsidRPr="00EA59C0">
        <w:t>must</w:t>
      </w:r>
      <w:r w:rsidR="00C026A6" w:rsidRPr="00EA59C0">
        <w:t xml:space="preserve"> </w:t>
      </w:r>
      <w:r w:rsidRPr="00EA59C0">
        <w:t>provide</w:t>
      </w:r>
      <w:r w:rsidR="00C026A6" w:rsidRPr="00EA59C0">
        <w:t xml:space="preserve"> </w:t>
      </w:r>
      <w:r w:rsidRPr="00EA59C0">
        <w:t>aggregate</w:t>
      </w:r>
      <w:r w:rsidR="00C026A6" w:rsidRPr="00EA59C0">
        <w:t xml:space="preserve"> </w:t>
      </w:r>
      <w:r w:rsidRPr="00EA59C0">
        <w:t>outcome</w:t>
      </w:r>
      <w:r w:rsidR="00C026A6" w:rsidRPr="00EA59C0">
        <w:t xml:space="preserve"> </w:t>
      </w:r>
      <w:r w:rsidRPr="00EA59C0">
        <w:t>projections</w:t>
      </w:r>
      <w:r w:rsidR="00C026A6" w:rsidRPr="00EA59C0">
        <w:t xml:space="preserve"> </w:t>
      </w:r>
      <w:r w:rsidRPr="00EA59C0">
        <w:t>for</w:t>
      </w:r>
      <w:r w:rsidR="00C026A6" w:rsidRPr="00EA59C0">
        <w:t xml:space="preserve"> </w:t>
      </w:r>
      <w:r w:rsidRPr="00EA59C0">
        <w:t>the</w:t>
      </w:r>
      <w:r w:rsidR="00C026A6" w:rsidRPr="00EA59C0">
        <w:t xml:space="preserve"> </w:t>
      </w:r>
      <w:r w:rsidRPr="00EA59C0">
        <w:t>overall</w:t>
      </w:r>
      <w:r w:rsidR="00C026A6" w:rsidRPr="00EA59C0">
        <w:t xml:space="preserve"> </w:t>
      </w:r>
      <w:r w:rsidRPr="00EA59C0">
        <w:t>project.</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provide</w:t>
      </w:r>
      <w:r w:rsidR="00C026A6" w:rsidRPr="00EA59C0">
        <w:t xml:space="preserve"> </w:t>
      </w:r>
      <w:r w:rsidRPr="00EA59C0">
        <w:t>projections</w:t>
      </w:r>
      <w:r w:rsidR="00C026A6" w:rsidRPr="00EA59C0">
        <w:t xml:space="preserve"> </w:t>
      </w:r>
      <w:r w:rsidRPr="00EA59C0">
        <w:t>in</w:t>
      </w:r>
      <w:r w:rsidR="00C026A6" w:rsidRPr="00EA59C0">
        <w:t xml:space="preserve"> </w:t>
      </w:r>
      <w:r w:rsidRPr="00EA59C0">
        <w:t>their</w:t>
      </w:r>
      <w:r w:rsidR="00C026A6" w:rsidRPr="00EA59C0">
        <w:t xml:space="preserve"> </w:t>
      </w:r>
      <w:r w:rsidRPr="00EA59C0">
        <w:t>applications</w:t>
      </w:r>
      <w:r w:rsidR="00C026A6" w:rsidRPr="00EA59C0">
        <w:t xml:space="preserve"> </w:t>
      </w:r>
      <w:r w:rsidRPr="00EA59C0">
        <w:t>for</w:t>
      </w:r>
      <w:r w:rsidR="00C026A6" w:rsidRPr="00EA59C0">
        <w:t xml:space="preserve"> </w:t>
      </w:r>
      <w:r w:rsidRPr="00EA59C0">
        <w:t>the</w:t>
      </w:r>
      <w:r w:rsidR="00C026A6" w:rsidRPr="00EA59C0">
        <w:t xml:space="preserve"> </w:t>
      </w:r>
      <w:r w:rsidRPr="00EA59C0">
        <w:t>following</w:t>
      </w:r>
      <w:r w:rsidR="00C026A6" w:rsidRPr="00EA59C0">
        <w:t xml:space="preserve"> </w:t>
      </w:r>
      <w:r w:rsidRPr="00EA59C0">
        <w:t>nine</w:t>
      </w:r>
      <w:r w:rsidR="00C026A6" w:rsidRPr="00EA59C0">
        <w:t xml:space="preserve"> </w:t>
      </w:r>
      <w:r w:rsidRPr="00EA59C0">
        <w:t>outcome</w:t>
      </w:r>
      <w:r w:rsidR="00C026A6" w:rsidRPr="00EA59C0">
        <w:t xml:space="preserve"> </w:t>
      </w:r>
      <w:r w:rsidRPr="00EA59C0">
        <w:t>measures</w:t>
      </w:r>
      <w:r w:rsidR="00C026A6" w:rsidRPr="00EA59C0">
        <w:t xml:space="preserve"> </w:t>
      </w:r>
      <w:r w:rsidRPr="00EA59C0">
        <w:t>regarding</w:t>
      </w:r>
      <w:r w:rsidR="00C026A6" w:rsidRPr="00EA59C0">
        <w:t xml:space="preserve"> </w:t>
      </w:r>
      <w:r w:rsidRPr="00EA59C0">
        <w:t>their</w:t>
      </w:r>
      <w:r w:rsidR="00C026A6" w:rsidRPr="00EA59C0">
        <w:t xml:space="preserve"> </w:t>
      </w:r>
      <w:r w:rsidRPr="00EA59C0">
        <w:t>program</w:t>
      </w:r>
      <w:r w:rsidR="00C026A6" w:rsidRPr="00EA59C0">
        <w:t xml:space="preserve"> </w:t>
      </w:r>
      <w:r w:rsidRPr="00EA59C0">
        <w:t>participants.</w:t>
      </w:r>
      <w:r w:rsidR="00C026A6" w:rsidRPr="00EA59C0">
        <w:t xml:space="preserve">  </w:t>
      </w:r>
      <w:r w:rsidRPr="00EA59C0">
        <w:t>For</w:t>
      </w:r>
      <w:r w:rsidR="00C026A6" w:rsidRPr="00EA59C0">
        <w:t xml:space="preserve"> </w:t>
      </w:r>
      <w:r w:rsidRPr="00EA59C0">
        <w:t>the</w:t>
      </w:r>
      <w:r w:rsidR="00C026A6" w:rsidRPr="00EA59C0">
        <w:t xml:space="preserve"> </w:t>
      </w:r>
      <w:r w:rsidRPr="00EA59C0">
        <w:t>purposes</w:t>
      </w:r>
      <w:r w:rsidR="00C026A6" w:rsidRPr="00EA59C0">
        <w:t xml:space="preserve"> </w:t>
      </w:r>
      <w:r w:rsidRPr="00EA59C0">
        <w:t>of</w:t>
      </w:r>
      <w:r w:rsidR="00C026A6" w:rsidRPr="00EA59C0">
        <w:t xml:space="preserve"> </w:t>
      </w:r>
      <w:r w:rsidRPr="00EA59C0">
        <w:t>reporting,</w:t>
      </w:r>
      <w:r w:rsidR="00C026A6" w:rsidRPr="00EA59C0">
        <w:t xml:space="preserve"> </w:t>
      </w:r>
      <w:r w:rsidRPr="00EA59C0">
        <w:t>a</w:t>
      </w:r>
      <w:r w:rsidR="00C026A6" w:rsidRPr="00EA59C0">
        <w:t xml:space="preserve"> </w:t>
      </w:r>
      <w:r w:rsidRPr="00EA59C0">
        <w:t>participant</w:t>
      </w:r>
      <w:r w:rsidR="00C026A6" w:rsidRPr="00EA59C0">
        <w:t xml:space="preserve"> </w:t>
      </w:r>
      <w:r w:rsidRPr="00EA59C0">
        <w:t>is</w:t>
      </w:r>
      <w:r w:rsidR="00C026A6" w:rsidRPr="00EA59C0">
        <w:t xml:space="preserve"> </w:t>
      </w:r>
      <w:r w:rsidRPr="00EA59C0">
        <w:t>defined</w:t>
      </w:r>
      <w:r w:rsidR="00C026A6" w:rsidRPr="00EA59C0">
        <w:t xml:space="preserve"> </w:t>
      </w:r>
      <w:r w:rsidRPr="00EA59C0">
        <w:t>as</w:t>
      </w:r>
      <w:r w:rsidR="00C026A6" w:rsidRPr="00EA59C0">
        <w:t xml:space="preserve"> </w:t>
      </w:r>
      <w:r w:rsidRPr="00EA59C0">
        <w:t>a</w:t>
      </w:r>
      <w:r w:rsidR="00C026A6" w:rsidRPr="00EA59C0">
        <w:t xml:space="preserve"> </w:t>
      </w:r>
      <w:r w:rsidRPr="00EA59C0">
        <w:t>student</w:t>
      </w:r>
      <w:r w:rsidR="00C026A6" w:rsidRPr="00EA59C0">
        <w:t xml:space="preserve"> </w:t>
      </w:r>
      <w:r w:rsidRPr="00EA59C0">
        <w:t>who</w:t>
      </w:r>
      <w:r w:rsidR="00C026A6" w:rsidRPr="00EA59C0">
        <w:t xml:space="preserve"> </w:t>
      </w:r>
      <w:r w:rsidRPr="00EA59C0">
        <w:t>enrolls</w:t>
      </w:r>
      <w:r w:rsidR="00C026A6" w:rsidRPr="00EA59C0">
        <w:t xml:space="preserve"> </w:t>
      </w:r>
      <w:r w:rsidRPr="00EA59C0">
        <w:t>in</w:t>
      </w:r>
      <w:r w:rsidR="00C026A6" w:rsidRPr="00EA59C0">
        <w:t xml:space="preserve"> </w:t>
      </w:r>
      <w:r w:rsidRPr="00EA59C0">
        <w:t>a</w:t>
      </w:r>
      <w:r w:rsidR="00C026A6" w:rsidRPr="00EA59C0">
        <w:t xml:space="preserve"> </w:t>
      </w:r>
      <w:r w:rsidRPr="00EA59C0">
        <w:t>grant-funded</w:t>
      </w:r>
      <w:r w:rsidR="00C026A6" w:rsidRPr="00EA59C0">
        <w:t xml:space="preserve"> </w:t>
      </w:r>
      <w:r w:rsidRPr="00EA59C0">
        <w:t>program</w:t>
      </w:r>
      <w:r w:rsidR="00C026A6" w:rsidRPr="00EA59C0">
        <w:t xml:space="preserve"> </w:t>
      </w:r>
      <w:r w:rsidRPr="00EA59C0">
        <w:t>of</w:t>
      </w:r>
      <w:r w:rsidR="00C026A6" w:rsidRPr="00EA59C0">
        <w:t xml:space="preserve"> </w:t>
      </w:r>
      <w:r w:rsidRPr="00EA59C0">
        <w:t>study</w:t>
      </w:r>
      <w:r w:rsidR="00C026A6" w:rsidRPr="00EA59C0">
        <w:t xml:space="preserve"> </w:t>
      </w:r>
      <w:r w:rsidRPr="00EA59C0">
        <w:t>leading</w:t>
      </w:r>
      <w:r w:rsidR="00C026A6" w:rsidRPr="00EA59C0">
        <w:t xml:space="preserve"> </w:t>
      </w:r>
      <w:r w:rsidRPr="00EA59C0">
        <w:t>to</w:t>
      </w:r>
      <w:r w:rsidR="00C026A6" w:rsidRPr="00EA59C0">
        <w:t xml:space="preserve"> </w:t>
      </w:r>
      <w:r w:rsidRPr="00EA59C0">
        <w:t>a</w:t>
      </w:r>
      <w:r w:rsidR="00C026A6" w:rsidRPr="00EA59C0">
        <w:t xml:space="preserve"> </w:t>
      </w:r>
      <w:r w:rsidRPr="00EA59C0">
        <w:t>degree</w:t>
      </w:r>
      <w:r w:rsidR="00C026A6" w:rsidRPr="00EA59C0">
        <w:t xml:space="preserve"> </w:t>
      </w:r>
      <w:r w:rsidRPr="00EA59C0">
        <w:t>or</w:t>
      </w:r>
      <w:r w:rsidR="00C026A6" w:rsidRPr="00EA59C0">
        <w:t xml:space="preserve"> </w:t>
      </w:r>
      <w:r w:rsidRPr="00EA59C0">
        <w:t>certificates,</w:t>
      </w:r>
      <w:r w:rsidR="00C026A6" w:rsidRPr="00EA59C0">
        <w:t xml:space="preserve"> </w:t>
      </w:r>
      <w:r w:rsidRPr="00EA59C0">
        <w:t>or</w:t>
      </w:r>
      <w:r w:rsidR="00C026A6" w:rsidRPr="00EA59C0">
        <w:t xml:space="preserve"> </w:t>
      </w:r>
      <w:r w:rsidRPr="00EA59C0">
        <w:t>a</w:t>
      </w:r>
      <w:r w:rsidR="00C026A6" w:rsidRPr="00EA59C0">
        <w:t xml:space="preserve"> </w:t>
      </w:r>
      <w:r w:rsidRPr="00EA59C0">
        <w:t>course</w:t>
      </w:r>
      <w:r w:rsidR="00C026A6" w:rsidRPr="00EA59C0">
        <w:t xml:space="preserve"> </w:t>
      </w:r>
      <w:r w:rsidRPr="00EA59C0">
        <w:t>that</w:t>
      </w:r>
      <w:r w:rsidR="00C026A6" w:rsidRPr="00EA59C0">
        <w:t xml:space="preserve"> </w:t>
      </w:r>
      <w:r w:rsidRPr="00EA59C0">
        <w:t>is</w:t>
      </w:r>
      <w:r w:rsidR="00C026A6" w:rsidRPr="00EA59C0">
        <w:t xml:space="preserve"> </w:t>
      </w:r>
      <w:r w:rsidRPr="00EA59C0">
        <w:t>part</w:t>
      </w:r>
      <w:r w:rsidR="00C026A6" w:rsidRPr="00EA59C0">
        <w:t xml:space="preserve"> </w:t>
      </w:r>
      <w:r w:rsidRPr="00EA59C0">
        <w:t>of</w:t>
      </w:r>
      <w:r w:rsidR="00C026A6" w:rsidRPr="00EA59C0">
        <w:t xml:space="preserve"> </w:t>
      </w:r>
      <w:r w:rsidRPr="00EA59C0">
        <w:t>such</w:t>
      </w:r>
      <w:r w:rsidR="00C026A6" w:rsidRPr="00EA59C0">
        <w:t xml:space="preserve"> </w:t>
      </w:r>
      <w:r w:rsidRPr="00EA59C0">
        <w:t>a</w:t>
      </w:r>
      <w:r w:rsidR="00C026A6" w:rsidRPr="00EA59C0">
        <w:t xml:space="preserve"> </w:t>
      </w:r>
      <w:r w:rsidRPr="00EA59C0">
        <w:t>program.</w:t>
      </w:r>
      <w:r w:rsidR="00C026A6" w:rsidRPr="00EA59C0">
        <w:t xml:space="preserve">  </w:t>
      </w:r>
      <w:r w:rsidRPr="00EA59C0">
        <w:t>Only</w:t>
      </w:r>
      <w:r w:rsidR="00C026A6" w:rsidRPr="00EA59C0">
        <w:t xml:space="preserve"> </w:t>
      </w:r>
      <w:r w:rsidRPr="00EA59C0">
        <w:t>students</w:t>
      </w:r>
      <w:r w:rsidR="00C026A6" w:rsidRPr="00EA59C0">
        <w:t xml:space="preserve"> </w:t>
      </w:r>
      <w:r w:rsidRPr="00EA59C0">
        <w:t>who</w:t>
      </w:r>
      <w:r w:rsidR="00C026A6" w:rsidRPr="00EA59C0">
        <w:t xml:space="preserve"> </w:t>
      </w:r>
      <w:r w:rsidRPr="00EA59C0">
        <w:t>enroll</w:t>
      </w:r>
      <w:r w:rsidR="00C026A6" w:rsidRPr="00EA59C0">
        <w:t xml:space="preserve"> </w:t>
      </w:r>
      <w:r w:rsidRPr="00EA59C0">
        <w:t>in</w:t>
      </w:r>
      <w:r w:rsidR="00C026A6" w:rsidRPr="00EA59C0">
        <w:t xml:space="preserve"> </w:t>
      </w:r>
      <w:r w:rsidRPr="00EA59C0">
        <w:t>these</w:t>
      </w:r>
      <w:r w:rsidR="00C026A6" w:rsidRPr="00EA59C0">
        <w:t xml:space="preserve"> </w:t>
      </w:r>
      <w:r w:rsidRPr="00EA59C0">
        <w:t>courses</w:t>
      </w:r>
      <w:r w:rsidR="00C026A6" w:rsidRPr="00EA59C0">
        <w:t xml:space="preserve"> </w:t>
      </w:r>
      <w:r w:rsidRPr="00EA59C0">
        <w:t>and</w:t>
      </w:r>
      <w:r w:rsidR="00C026A6" w:rsidRPr="00EA59C0">
        <w:t xml:space="preserve"> </w:t>
      </w:r>
      <w:r w:rsidRPr="00EA59C0">
        <w:t>programs</w:t>
      </w:r>
      <w:r w:rsidR="00C026A6" w:rsidRPr="00EA59C0">
        <w:t xml:space="preserve"> </w:t>
      </w:r>
      <w:r w:rsidRPr="00EA59C0">
        <w:t>leading</w:t>
      </w:r>
      <w:r w:rsidR="00C026A6" w:rsidRPr="00EA59C0">
        <w:t xml:space="preserve"> </w:t>
      </w:r>
      <w:r w:rsidRPr="00EA59C0">
        <w:t>to</w:t>
      </w:r>
      <w:r w:rsidR="00C026A6" w:rsidRPr="00EA59C0">
        <w:t xml:space="preserve"> </w:t>
      </w:r>
      <w:r w:rsidRPr="00EA59C0">
        <w:t>degrees</w:t>
      </w:r>
      <w:r w:rsidR="00C026A6" w:rsidRPr="00EA59C0">
        <w:t xml:space="preserve"> </w:t>
      </w:r>
      <w:r w:rsidRPr="00EA59C0">
        <w:t>or</w:t>
      </w:r>
      <w:r w:rsidR="00C026A6" w:rsidRPr="00EA59C0">
        <w:t xml:space="preserve"> </w:t>
      </w:r>
      <w:r w:rsidRPr="00EA59C0">
        <w:t>certificates</w:t>
      </w:r>
      <w:r w:rsidR="00C026A6" w:rsidRPr="00EA59C0">
        <w:t xml:space="preserve"> </w:t>
      </w:r>
      <w:r w:rsidRPr="00EA59C0">
        <w:t>can</w:t>
      </w:r>
      <w:r w:rsidR="00C026A6" w:rsidRPr="00EA59C0">
        <w:t xml:space="preserve"> </w:t>
      </w:r>
      <w:r w:rsidRPr="00EA59C0">
        <w:t>be</w:t>
      </w:r>
      <w:r w:rsidR="00C026A6" w:rsidRPr="00EA59C0">
        <w:t xml:space="preserve"> </w:t>
      </w:r>
      <w:r w:rsidRPr="00EA59C0">
        <w:t>reported</w:t>
      </w:r>
      <w:r w:rsidR="00C026A6" w:rsidRPr="00EA59C0">
        <w:t xml:space="preserve"> </w:t>
      </w:r>
      <w:r w:rsidRPr="00EA59C0">
        <w:t>in</w:t>
      </w:r>
      <w:r w:rsidR="00C026A6" w:rsidRPr="00EA59C0">
        <w:t xml:space="preserve"> </w:t>
      </w:r>
      <w:r w:rsidRPr="00EA59C0">
        <w:t>grant</w:t>
      </w:r>
      <w:r w:rsidR="00C026A6" w:rsidRPr="00EA59C0">
        <w:t xml:space="preserve"> </w:t>
      </w:r>
      <w:r w:rsidRPr="00EA59C0">
        <w:t>outcomes.</w:t>
      </w:r>
      <w:r w:rsidR="00C026A6" w:rsidRPr="00EA59C0">
        <w:t xml:space="preserve">  </w:t>
      </w:r>
      <w:r w:rsidRPr="00EA59C0">
        <w:t>Therefore,</w:t>
      </w:r>
      <w:r w:rsidR="00C026A6" w:rsidRPr="00EA59C0">
        <w:t xml:space="preserve"> </w:t>
      </w:r>
      <w:r w:rsidRPr="00EA59C0">
        <w:t>not</w:t>
      </w:r>
      <w:r w:rsidR="00C026A6" w:rsidRPr="00EA59C0">
        <w:t xml:space="preserve"> </w:t>
      </w:r>
      <w:r w:rsidRPr="00EA59C0">
        <w:t>every</w:t>
      </w:r>
      <w:r w:rsidR="00C026A6" w:rsidRPr="00EA59C0">
        <w:t xml:space="preserve"> </w:t>
      </w:r>
      <w:r w:rsidRPr="00EA59C0">
        <w:t>student</w:t>
      </w:r>
      <w:r w:rsidR="00C026A6" w:rsidRPr="00EA59C0">
        <w:t xml:space="preserve"> </w:t>
      </w:r>
      <w:r w:rsidRPr="00EA59C0">
        <w:t>eligible</w:t>
      </w:r>
      <w:r w:rsidR="00C026A6" w:rsidRPr="00EA59C0">
        <w:t xml:space="preserve"> </w:t>
      </w:r>
      <w:r w:rsidRPr="00EA59C0">
        <w:t>for</w:t>
      </w:r>
      <w:r w:rsidR="00C026A6" w:rsidRPr="00EA59C0">
        <w:t xml:space="preserve"> </w:t>
      </w:r>
      <w:r w:rsidRPr="00EA59C0">
        <w:t>participation</w:t>
      </w:r>
      <w:r w:rsidR="00C026A6" w:rsidRPr="00EA59C0">
        <w:t xml:space="preserve"> </w:t>
      </w:r>
      <w:r w:rsidRPr="00EA59C0">
        <w:t>or</w:t>
      </w:r>
      <w:r w:rsidR="00C026A6" w:rsidRPr="00EA59C0">
        <w:t xml:space="preserve"> </w:t>
      </w:r>
      <w:r w:rsidRPr="00EA59C0">
        <w:t>who</w:t>
      </w:r>
      <w:r w:rsidR="00C026A6" w:rsidRPr="00EA59C0">
        <w:t xml:space="preserve"> </w:t>
      </w:r>
      <w:r w:rsidRPr="00EA59C0">
        <w:t>receives</w:t>
      </w:r>
      <w:r w:rsidR="00C026A6" w:rsidRPr="00EA59C0">
        <w:t xml:space="preserve"> </w:t>
      </w:r>
      <w:r w:rsidRPr="00EA59C0">
        <w:t>grant-funded</w:t>
      </w:r>
      <w:r w:rsidR="00C026A6" w:rsidRPr="00EA59C0">
        <w:t xml:space="preserve"> </w:t>
      </w:r>
      <w:r w:rsidRPr="00EA59C0">
        <w:t>services</w:t>
      </w:r>
      <w:r w:rsidR="00C026A6" w:rsidRPr="00EA59C0">
        <w:t xml:space="preserve"> </w:t>
      </w:r>
      <w:r w:rsidRPr="00EA59C0">
        <w:t>may</w:t>
      </w:r>
      <w:r w:rsidR="00C026A6" w:rsidRPr="00EA59C0">
        <w:t xml:space="preserve"> </w:t>
      </w:r>
      <w:r w:rsidRPr="00EA59C0">
        <w:t>be</w:t>
      </w:r>
      <w:r w:rsidR="00C026A6" w:rsidRPr="00EA59C0">
        <w:t xml:space="preserve"> </w:t>
      </w:r>
      <w:r w:rsidRPr="00EA59C0">
        <w:t>reported</w:t>
      </w:r>
      <w:r w:rsidR="00C026A6" w:rsidRPr="00EA59C0">
        <w:t xml:space="preserve"> </w:t>
      </w:r>
      <w:r w:rsidRPr="00EA59C0">
        <w:t>in</w:t>
      </w:r>
      <w:r w:rsidR="00C026A6" w:rsidRPr="00EA59C0">
        <w:t xml:space="preserve"> </w:t>
      </w:r>
      <w:r w:rsidRPr="00EA59C0">
        <w:t>the</w:t>
      </w:r>
      <w:r w:rsidR="00C026A6" w:rsidRPr="00EA59C0">
        <w:t xml:space="preserve"> </w:t>
      </w:r>
      <w:r w:rsidRPr="00EA59C0">
        <w:t>standardized</w:t>
      </w:r>
      <w:r w:rsidR="00C026A6" w:rsidRPr="00EA59C0">
        <w:t xml:space="preserve"> </w:t>
      </w:r>
      <w:r w:rsidRPr="00EA59C0">
        <w:t>grant</w:t>
      </w:r>
      <w:r w:rsidR="00C026A6" w:rsidRPr="00EA59C0">
        <w:t xml:space="preserve"> </w:t>
      </w:r>
      <w:r w:rsidRPr="00EA59C0">
        <w:t>outcomes,</w:t>
      </w:r>
      <w:r w:rsidR="00C026A6" w:rsidRPr="00EA59C0">
        <w:t xml:space="preserve"> </w:t>
      </w:r>
      <w:r w:rsidRPr="00EA59C0">
        <w:t>and</w:t>
      </w:r>
      <w:r w:rsidR="00C026A6" w:rsidRPr="00EA59C0">
        <w:t xml:space="preserve"> </w:t>
      </w:r>
      <w:r w:rsidRPr="00EA59C0">
        <w:t>this</w:t>
      </w:r>
      <w:r w:rsidR="00C026A6" w:rsidRPr="00EA59C0">
        <w:t xml:space="preserve"> </w:t>
      </w:r>
      <w:r w:rsidRPr="00EA59C0">
        <w:t>should</w:t>
      </w:r>
      <w:r w:rsidR="00C026A6" w:rsidRPr="00EA59C0">
        <w:t xml:space="preserve"> </w:t>
      </w:r>
      <w:r w:rsidRPr="00EA59C0">
        <w:t>be</w:t>
      </w:r>
      <w:r w:rsidR="00C026A6" w:rsidRPr="00EA59C0">
        <w:t xml:space="preserve"> </w:t>
      </w:r>
      <w:r w:rsidRPr="00EA59C0">
        <w:t>taken</w:t>
      </w:r>
      <w:r w:rsidR="00C026A6" w:rsidRPr="00EA59C0">
        <w:t xml:space="preserve"> </w:t>
      </w:r>
      <w:r w:rsidRPr="00EA59C0">
        <w:t>into</w:t>
      </w:r>
      <w:r w:rsidR="00C026A6" w:rsidRPr="00EA59C0">
        <w:t xml:space="preserve"> </w:t>
      </w:r>
      <w:r w:rsidRPr="00EA59C0">
        <w:t>account</w:t>
      </w:r>
      <w:r w:rsidR="00C026A6" w:rsidRPr="00EA59C0">
        <w:t xml:space="preserve"> </w:t>
      </w:r>
      <w:r w:rsidRPr="00EA59C0">
        <w:t>when</w:t>
      </w:r>
      <w:r w:rsidR="00C026A6" w:rsidRPr="00EA59C0">
        <w:t xml:space="preserve"> </w:t>
      </w:r>
      <w:r w:rsidRPr="00EA59C0">
        <w:t>setting</w:t>
      </w:r>
      <w:r w:rsidR="00C026A6" w:rsidRPr="00EA59C0">
        <w:t xml:space="preserve"> </w:t>
      </w:r>
      <w:r w:rsidRPr="00EA59C0">
        <w:t>outcome</w:t>
      </w:r>
      <w:r w:rsidR="00C026A6" w:rsidRPr="00EA59C0">
        <w:t xml:space="preserve"> </w:t>
      </w:r>
      <w:r w:rsidRPr="00EA59C0">
        <w:t>targets.</w:t>
      </w:r>
    </w:p>
    <w:p w:rsidR="005B03BD" w:rsidRPr="00EA59C0" w:rsidRDefault="005B03BD" w:rsidP="00C072FA">
      <w:pPr>
        <w:pStyle w:val="ListParagraph"/>
        <w:numPr>
          <w:ilvl w:val="3"/>
          <w:numId w:val="6"/>
        </w:numPr>
      </w:pPr>
      <w:r w:rsidRPr="00EA59C0">
        <w:t>Total</w:t>
      </w:r>
      <w:r w:rsidR="00C026A6" w:rsidRPr="00EA59C0">
        <w:t xml:space="preserve"> </w:t>
      </w:r>
      <w:r w:rsidRPr="00EA59C0">
        <w:t>unique</w:t>
      </w:r>
      <w:r w:rsidR="00C026A6" w:rsidRPr="00EA59C0">
        <w:t xml:space="preserve"> </w:t>
      </w:r>
      <w:r w:rsidRPr="00EA59C0">
        <w:t>participants</w:t>
      </w:r>
      <w:r w:rsidR="00C026A6" w:rsidRPr="00EA59C0">
        <w:t xml:space="preserve"> </w:t>
      </w:r>
      <w:r w:rsidRPr="00EA59C0">
        <w:t>served/enrolled;</w:t>
      </w:r>
    </w:p>
    <w:p w:rsidR="005B03BD" w:rsidRPr="00EA59C0" w:rsidRDefault="005B03BD" w:rsidP="00C072FA">
      <w:pPr>
        <w:pStyle w:val="ListParagraph"/>
        <w:numPr>
          <w:ilvl w:val="3"/>
          <w:numId w:val="6"/>
        </w:numPr>
      </w:pPr>
      <w:r w:rsidRPr="00EA59C0">
        <w:t>Total</w:t>
      </w:r>
      <w:r w:rsidR="00C026A6" w:rsidRPr="00EA59C0">
        <w:t xml:space="preserve"> </w:t>
      </w:r>
      <w:r w:rsidRPr="00EA59C0">
        <w:t>number</w:t>
      </w:r>
      <w:r w:rsidR="00C026A6" w:rsidRPr="00EA59C0">
        <w:t xml:space="preserve"> </w:t>
      </w:r>
      <w:r w:rsidRPr="00EA59C0">
        <w:t>of</w:t>
      </w:r>
      <w:r w:rsidR="00C026A6" w:rsidRPr="00EA59C0">
        <w:t xml:space="preserve"> </w:t>
      </w:r>
      <w:r w:rsidRPr="00EA59C0">
        <w:t>participants</w:t>
      </w:r>
      <w:r w:rsidR="00C026A6" w:rsidRPr="00EA59C0">
        <w:t xml:space="preserve"> </w:t>
      </w:r>
      <w:r w:rsidRPr="00EA59C0">
        <w:t>who</w:t>
      </w:r>
      <w:r w:rsidR="00C026A6" w:rsidRPr="00EA59C0">
        <w:t xml:space="preserve"> </w:t>
      </w:r>
      <w:r w:rsidRPr="00EA59C0">
        <w:t>have</w:t>
      </w:r>
      <w:r w:rsidR="00C026A6" w:rsidRPr="00EA59C0">
        <w:t xml:space="preserve"> </w:t>
      </w:r>
      <w:r w:rsidRPr="00EA59C0">
        <w:t>completed</w:t>
      </w:r>
      <w:r w:rsidR="00C026A6" w:rsidRPr="00EA59C0">
        <w:t xml:space="preserve"> </w:t>
      </w:r>
      <w:r w:rsidRPr="00EA59C0">
        <w:t>a</w:t>
      </w:r>
      <w:r w:rsidR="00C026A6" w:rsidRPr="00EA59C0">
        <w:t xml:space="preserve"> </w:t>
      </w:r>
      <w:r w:rsidRPr="00EA59C0">
        <w:t>TAACCCT-funded</w:t>
      </w:r>
      <w:r w:rsidR="00C026A6" w:rsidRPr="00EA59C0">
        <w:t xml:space="preserve"> </w:t>
      </w:r>
      <w:r w:rsidRPr="00EA59C0">
        <w:t>program;</w:t>
      </w:r>
    </w:p>
    <w:p w:rsidR="005B03BD" w:rsidRPr="00EA59C0" w:rsidRDefault="005B03BD" w:rsidP="00C072FA">
      <w:pPr>
        <w:pStyle w:val="ListParagraph"/>
        <w:numPr>
          <w:ilvl w:val="3"/>
          <w:numId w:val="6"/>
        </w:numPr>
      </w:pPr>
      <w:r w:rsidRPr="00EA59C0">
        <w:t>Total</w:t>
      </w:r>
      <w:r w:rsidR="00C026A6" w:rsidRPr="00EA59C0">
        <w:t xml:space="preserve"> </w:t>
      </w:r>
      <w:r w:rsidRPr="00EA59C0">
        <w:t>number</w:t>
      </w:r>
      <w:r w:rsidR="00C026A6" w:rsidRPr="00EA59C0">
        <w:t xml:space="preserve"> </w:t>
      </w:r>
      <w:r w:rsidRPr="00EA59C0">
        <w:t>of</w:t>
      </w:r>
      <w:r w:rsidR="00C026A6" w:rsidRPr="00EA59C0">
        <w:t xml:space="preserve"> </w:t>
      </w:r>
      <w:r w:rsidRPr="00EA59C0">
        <w:t>participants</w:t>
      </w:r>
      <w:r w:rsidR="00C026A6" w:rsidRPr="00EA59C0">
        <w:t xml:space="preserve"> </w:t>
      </w:r>
      <w:r w:rsidRPr="00EA59C0">
        <w:t>still</w:t>
      </w:r>
      <w:r w:rsidR="00C026A6" w:rsidRPr="00EA59C0">
        <w:t xml:space="preserve"> </w:t>
      </w:r>
      <w:r w:rsidRPr="00EA59C0">
        <w:t>retained</w:t>
      </w:r>
      <w:r w:rsidR="00C026A6" w:rsidRPr="00EA59C0">
        <w:t xml:space="preserve"> </w:t>
      </w:r>
      <w:r w:rsidRPr="00EA59C0">
        <w:t>in</w:t>
      </w:r>
      <w:r w:rsidR="00C026A6" w:rsidRPr="00EA59C0">
        <w:t xml:space="preserve"> </w:t>
      </w:r>
      <w:r w:rsidRPr="00EA59C0">
        <w:t>their</w:t>
      </w:r>
      <w:r w:rsidR="00C026A6" w:rsidRPr="00EA59C0">
        <w:t xml:space="preserve"> </w:t>
      </w:r>
      <w:r w:rsidRPr="00EA59C0">
        <w:t>program</w:t>
      </w:r>
      <w:r w:rsidR="00C026A6" w:rsidRPr="00EA59C0">
        <w:t xml:space="preserve"> </w:t>
      </w:r>
      <w:r w:rsidRPr="00EA59C0">
        <w:t>of</w:t>
      </w:r>
      <w:r w:rsidR="00C026A6" w:rsidRPr="00EA59C0">
        <w:t xml:space="preserve"> </w:t>
      </w:r>
      <w:r w:rsidRPr="00EA59C0">
        <w:t>study</w:t>
      </w:r>
      <w:r w:rsidR="00C026A6" w:rsidRPr="00EA59C0">
        <w:t xml:space="preserve"> </w:t>
      </w:r>
      <w:r w:rsidRPr="00EA59C0">
        <w:t>or</w:t>
      </w:r>
      <w:r w:rsidR="00C026A6" w:rsidRPr="00EA59C0">
        <w:t xml:space="preserve"> </w:t>
      </w:r>
      <w:r w:rsidRPr="00EA59C0">
        <w:t>another</w:t>
      </w:r>
      <w:r w:rsidR="00C026A6" w:rsidRPr="00EA59C0">
        <w:t xml:space="preserve"> </w:t>
      </w:r>
      <w:r w:rsidRPr="00EA59C0">
        <w:t>TAACCCT-funded</w:t>
      </w:r>
      <w:r w:rsidR="00C026A6" w:rsidRPr="00EA59C0">
        <w:t xml:space="preserve"> </w:t>
      </w:r>
      <w:r w:rsidRPr="00EA59C0">
        <w:t>program;</w:t>
      </w:r>
    </w:p>
    <w:p w:rsidR="005B03BD" w:rsidRPr="00EA59C0" w:rsidRDefault="005B03BD" w:rsidP="00C072FA">
      <w:pPr>
        <w:pStyle w:val="ListParagraph"/>
        <w:numPr>
          <w:ilvl w:val="3"/>
          <w:numId w:val="6"/>
        </w:numPr>
      </w:pPr>
      <w:r w:rsidRPr="00EA59C0">
        <w:t>Total</w:t>
      </w:r>
      <w:r w:rsidR="00C026A6" w:rsidRPr="00EA59C0">
        <w:t xml:space="preserve"> </w:t>
      </w:r>
      <w:r w:rsidRPr="00EA59C0">
        <w:t>number</w:t>
      </w:r>
      <w:r w:rsidR="00C026A6" w:rsidRPr="00EA59C0">
        <w:t xml:space="preserve"> </w:t>
      </w:r>
      <w:r w:rsidRPr="00EA59C0">
        <w:t>of</w:t>
      </w:r>
      <w:r w:rsidR="00C026A6" w:rsidRPr="00EA59C0">
        <w:t xml:space="preserve"> </w:t>
      </w:r>
      <w:r w:rsidRPr="00EA59C0">
        <w:t>participants</w:t>
      </w:r>
      <w:r w:rsidR="00C026A6" w:rsidRPr="00EA59C0">
        <w:t xml:space="preserve"> </w:t>
      </w:r>
      <w:r w:rsidRPr="00EA59C0">
        <w:t>completing</w:t>
      </w:r>
      <w:r w:rsidR="00C026A6" w:rsidRPr="00EA59C0">
        <w:t xml:space="preserve"> </w:t>
      </w:r>
      <w:r w:rsidRPr="00EA59C0">
        <w:t>credit</w:t>
      </w:r>
      <w:r w:rsidR="00C026A6" w:rsidRPr="00EA59C0">
        <w:t xml:space="preserve"> </w:t>
      </w:r>
      <w:r w:rsidRPr="00EA59C0">
        <w:t>hours;</w:t>
      </w:r>
    </w:p>
    <w:p w:rsidR="005B03BD" w:rsidRPr="00EA59C0" w:rsidRDefault="005B03BD" w:rsidP="00C072FA">
      <w:pPr>
        <w:pStyle w:val="ListParagraph"/>
        <w:numPr>
          <w:ilvl w:val="3"/>
          <w:numId w:val="6"/>
        </w:numPr>
      </w:pPr>
      <w:r w:rsidRPr="00EA59C0">
        <w:t>Total</w:t>
      </w:r>
      <w:r w:rsidR="00C026A6" w:rsidRPr="00EA59C0">
        <w:t xml:space="preserve"> </w:t>
      </w:r>
      <w:r w:rsidRPr="00EA59C0">
        <w:t>number</w:t>
      </w:r>
      <w:r w:rsidR="00C026A6" w:rsidRPr="00EA59C0">
        <w:t xml:space="preserve"> </w:t>
      </w:r>
      <w:r w:rsidRPr="00EA59C0">
        <w:t>of</w:t>
      </w:r>
      <w:r w:rsidR="00C026A6" w:rsidRPr="00EA59C0">
        <w:t xml:space="preserve"> </w:t>
      </w:r>
      <w:r w:rsidRPr="00EA59C0">
        <w:t>participants</w:t>
      </w:r>
      <w:r w:rsidR="00C026A6" w:rsidRPr="00EA59C0">
        <w:t xml:space="preserve"> </w:t>
      </w:r>
      <w:r w:rsidRPr="00EA59C0">
        <w:t>earning</w:t>
      </w:r>
      <w:r w:rsidR="00C026A6" w:rsidRPr="00EA59C0">
        <w:t xml:space="preserve"> </w:t>
      </w:r>
      <w:r w:rsidRPr="00EA59C0">
        <w:t>credentials;</w:t>
      </w:r>
    </w:p>
    <w:p w:rsidR="005B03BD" w:rsidRPr="00EA59C0" w:rsidRDefault="005B03BD" w:rsidP="00C072FA">
      <w:pPr>
        <w:pStyle w:val="ListParagraph"/>
        <w:numPr>
          <w:ilvl w:val="3"/>
          <w:numId w:val="6"/>
        </w:numPr>
      </w:pPr>
      <w:r w:rsidRPr="00EA59C0">
        <w:t>Total</w:t>
      </w:r>
      <w:r w:rsidR="00C026A6" w:rsidRPr="00EA59C0">
        <w:t xml:space="preserve"> </w:t>
      </w:r>
      <w:r w:rsidRPr="00EA59C0">
        <w:t>number</w:t>
      </w:r>
      <w:r w:rsidR="00C026A6" w:rsidRPr="00EA59C0">
        <w:t xml:space="preserve"> </w:t>
      </w:r>
      <w:r w:rsidRPr="00EA59C0">
        <w:t>of</w:t>
      </w:r>
      <w:r w:rsidR="00C026A6" w:rsidRPr="00EA59C0">
        <w:t xml:space="preserve"> </w:t>
      </w:r>
      <w:r w:rsidRPr="00EA59C0">
        <w:t>participants</w:t>
      </w:r>
      <w:r w:rsidR="00C026A6" w:rsidRPr="00EA59C0">
        <w:t xml:space="preserve"> </w:t>
      </w:r>
      <w:r w:rsidRPr="00EA59C0">
        <w:t>enrolled</w:t>
      </w:r>
      <w:r w:rsidR="00C026A6" w:rsidRPr="00EA59C0">
        <w:t xml:space="preserve"> </w:t>
      </w:r>
      <w:r w:rsidRPr="00EA59C0">
        <w:t>in</w:t>
      </w:r>
      <w:r w:rsidR="00C026A6" w:rsidRPr="00EA59C0">
        <w:t xml:space="preserve"> </w:t>
      </w:r>
      <w:r w:rsidRPr="00EA59C0">
        <w:t>further</w:t>
      </w:r>
      <w:r w:rsidR="00C026A6" w:rsidRPr="00EA59C0">
        <w:t xml:space="preserve"> </w:t>
      </w:r>
      <w:r w:rsidRPr="00EA59C0">
        <w:t>education</w:t>
      </w:r>
      <w:r w:rsidR="00C026A6" w:rsidRPr="00EA59C0">
        <w:t xml:space="preserve"> </w:t>
      </w:r>
      <w:r w:rsidRPr="00EA59C0">
        <w:t>after</w:t>
      </w:r>
      <w:r w:rsidR="00C026A6" w:rsidRPr="00EA59C0">
        <w:t xml:space="preserve"> </w:t>
      </w:r>
      <w:r w:rsidRPr="00EA59C0">
        <w:t>grant-funded</w:t>
      </w:r>
      <w:r w:rsidR="00C026A6" w:rsidRPr="00EA59C0">
        <w:t xml:space="preserve"> </w:t>
      </w:r>
      <w:r w:rsidRPr="00EA59C0">
        <w:t>program</w:t>
      </w:r>
      <w:r w:rsidR="00C026A6" w:rsidRPr="00EA59C0">
        <w:t xml:space="preserve"> </w:t>
      </w:r>
      <w:r w:rsidRPr="00EA59C0">
        <w:t>of</w:t>
      </w:r>
      <w:r w:rsidR="00C026A6" w:rsidRPr="00EA59C0">
        <w:t xml:space="preserve"> </w:t>
      </w:r>
      <w:r w:rsidRPr="00EA59C0">
        <w:t>study</w:t>
      </w:r>
      <w:r w:rsidR="00C026A6" w:rsidRPr="00EA59C0">
        <w:t xml:space="preserve"> </w:t>
      </w:r>
      <w:r w:rsidRPr="00EA59C0">
        <w:t>completion;</w:t>
      </w:r>
    </w:p>
    <w:p w:rsidR="005B03BD" w:rsidRPr="00EA59C0" w:rsidRDefault="005B03BD" w:rsidP="00C072FA">
      <w:pPr>
        <w:pStyle w:val="ListParagraph"/>
        <w:numPr>
          <w:ilvl w:val="3"/>
          <w:numId w:val="6"/>
        </w:numPr>
      </w:pPr>
      <w:r w:rsidRPr="00EA59C0">
        <w:t>Total</w:t>
      </w:r>
      <w:r w:rsidR="00C026A6" w:rsidRPr="00EA59C0">
        <w:t xml:space="preserve"> </w:t>
      </w:r>
      <w:r w:rsidRPr="00EA59C0">
        <w:t>number</w:t>
      </w:r>
      <w:r w:rsidR="00C026A6" w:rsidRPr="00EA59C0">
        <w:t xml:space="preserve"> </w:t>
      </w:r>
      <w:r w:rsidRPr="00EA59C0">
        <w:t>of</w:t>
      </w:r>
      <w:r w:rsidR="00C026A6" w:rsidRPr="00EA59C0">
        <w:t xml:space="preserve"> </w:t>
      </w:r>
      <w:r w:rsidRPr="00EA59C0">
        <w:t>participants</w:t>
      </w:r>
      <w:r w:rsidR="00C026A6" w:rsidRPr="00EA59C0">
        <w:t xml:space="preserve"> </w:t>
      </w:r>
      <w:r w:rsidRPr="00EA59C0">
        <w:t>employed</w:t>
      </w:r>
      <w:r w:rsidR="00C026A6" w:rsidRPr="00EA59C0">
        <w:t xml:space="preserve"> </w:t>
      </w:r>
      <w:r w:rsidRPr="00EA59C0">
        <w:t>after</w:t>
      </w:r>
      <w:r w:rsidR="00C026A6" w:rsidRPr="00EA59C0">
        <w:t xml:space="preserve"> </w:t>
      </w:r>
      <w:r w:rsidRPr="00EA59C0">
        <w:t>grant-funded</w:t>
      </w:r>
      <w:r w:rsidR="00C026A6" w:rsidRPr="00EA59C0">
        <w:t xml:space="preserve"> </w:t>
      </w:r>
      <w:r w:rsidRPr="00EA59C0">
        <w:t>program</w:t>
      </w:r>
      <w:r w:rsidR="00C026A6" w:rsidRPr="00EA59C0">
        <w:t xml:space="preserve"> </w:t>
      </w:r>
      <w:r w:rsidRPr="00EA59C0">
        <w:t>of</w:t>
      </w:r>
      <w:r w:rsidR="00C026A6" w:rsidRPr="00EA59C0">
        <w:t xml:space="preserve"> </w:t>
      </w:r>
      <w:r w:rsidRPr="00EA59C0">
        <w:t>study</w:t>
      </w:r>
      <w:r w:rsidR="00C026A6" w:rsidRPr="00EA59C0">
        <w:t xml:space="preserve"> </w:t>
      </w:r>
      <w:r w:rsidRPr="00EA59C0">
        <w:t>completion</w:t>
      </w:r>
      <w:r w:rsidR="00C026A6" w:rsidRPr="00EA59C0">
        <w:t xml:space="preserve"> </w:t>
      </w:r>
      <w:r w:rsidRPr="00EA59C0">
        <w:t>(non-incumbent</w:t>
      </w:r>
      <w:r w:rsidR="00C026A6" w:rsidRPr="00EA59C0">
        <w:t xml:space="preserve"> </w:t>
      </w:r>
      <w:r w:rsidRPr="00EA59C0">
        <w:t>workers</w:t>
      </w:r>
      <w:r w:rsidR="00C026A6" w:rsidRPr="00EA59C0">
        <w:t xml:space="preserve"> </w:t>
      </w:r>
      <w:r w:rsidRPr="00EA59C0">
        <w:t>only);</w:t>
      </w:r>
    </w:p>
    <w:p w:rsidR="005B03BD" w:rsidRPr="00EA59C0" w:rsidRDefault="005B03BD" w:rsidP="00C072FA">
      <w:pPr>
        <w:pStyle w:val="ListParagraph"/>
        <w:numPr>
          <w:ilvl w:val="3"/>
          <w:numId w:val="6"/>
        </w:numPr>
      </w:pPr>
      <w:r w:rsidRPr="00EA59C0">
        <w:t>Total</w:t>
      </w:r>
      <w:r w:rsidR="00C026A6" w:rsidRPr="00EA59C0">
        <w:t xml:space="preserve"> </w:t>
      </w:r>
      <w:r w:rsidRPr="00EA59C0">
        <w:t>number</w:t>
      </w:r>
      <w:r w:rsidR="00C026A6" w:rsidRPr="00EA59C0">
        <w:t xml:space="preserve"> </w:t>
      </w:r>
      <w:r w:rsidRPr="00EA59C0">
        <w:t>of</w:t>
      </w:r>
      <w:r w:rsidR="00C026A6" w:rsidRPr="00EA59C0">
        <w:t xml:space="preserve"> </w:t>
      </w:r>
      <w:r w:rsidRPr="00EA59C0">
        <w:t>participants</w:t>
      </w:r>
      <w:r w:rsidR="00C026A6" w:rsidRPr="00EA59C0">
        <w:t xml:space="preserve"> </w:t>
      </w:r>
      <w:r w:rsidRPr="00EA59C0">
        <w:t>retained</w:t>
      </w:r>
      <w:r w:rsidR="00C026A6" w:rsidRPr="00EA59C0">
        <w:t xml:space="preserve"> </w:t>
      </w:r>
      <w:r w:rsidRPr="00EA59C0">
        <w:t>in</w:t>
      </w:r>
      <w:r w:rsidR="00C026A6" w:rsidRPr="00EA59C0">
        <w:t xml:space="preserve"> </w:t>
      </w:r>
      <w:r w:rsidRPr="00EA59C0">
        <w:t>employment</w:t>
      </w:r>
      <w:r w:rsidR="00C026A6" w:rsidRPr="00EA59C0">
        <w:t xml:space="preserve"> </w:t>
      </w:r>
      <w:r w:rsidRPr="00EA59C0">
        <w:t>after</w:t>
      </w:r>
      <w:r w:rsidR="00C026A6" w:rsidRPr="00EA59C0">
        <w:t xml:space="preserve"> </w:t>
      </w:r>
      <w:r w:rsidRPr="00EA59C0">
        <w:t>program</w:t>
      </w:r>
      <w:r w:rsidR="00C026A6" w:rsidRPr="00EA59C0">
        <w:t xml:space="preserve"> </w:t>
      </w:r>
      <w:r w:rsidRPr="00EA59C0">
        <w:t>of</w:t>
      </w:r>
      <w:r w:rsidR="00C026A6" w:rsidRPr="00EA59C0">
        <w:t xml:space="preserve"> </w:t>
      </w:r>
      <w:r w:rsidRPr="00EA59C0">
        <w:t>study</w:t>
      </w:r>
      <w:r w:rsidR="00C026A6" w:rsidRPr="00EA59C0">
        <w:t xml:space="preserve"> </w:t>
      </w:r>
      <w:r w:rsidRPr="00EA59C0">
        <w:t>completion</w:t>
      </w:r>
      <w:r w:rsidR="00C026A6" w:rsidRPr="00EA59C0">
        <w:t xml:space="preserve"> </w:t>
      </w:r>
      <w:r w:rsidRPr="00EA59C0">
        <w:t>(non-incumbent</w:t>
      </w:r>
      <w:r w:rsidR="00C026A6" w:rsidRPr="00EA59C0">
        <w:t xml:space="preserve"> </w:t>
      </w:r>
      <w:r w:rsidRPr="00EA59C0">
        <w:t>workers</w:t>
      </w:r>
      <w:r w:rsidR="00C026A6" w:rsidRPr="00EA59C0">
        <w:t xml:space="preserve"> </w:t>
      </w:r>
      <w:r w:rsidRPr="00EA59C0">
        <w:t>only);</w:t>
      </w:r>
      <w:r w:rsidR="00C026A6" w:rsidRPr="00EA59C0">
        <w:t xml:space="preserve"> </w:t>
      </w:r>
      <w:r w:rsidRPr="00EA59C0">
        <w:t>and</w:t>
      </w:r>
    </w:p>
    <w:p w:rsidR="005B03BD" w:rsidRPr="00EA59C0" w:rsidRDefault="005B03BD" w:rsidP="00C072FA">
      <w:pPr>
        <w:pStyle w:val="ListParagraph"/>
        <w:numPr>
          <w:ilvl w:val="3"/>
          <w:numId w:val="6"/>
        </w:numPr>
      </w:pPr>
      <w:r w:rsidRPr="00EA59C0">
        <w:t>Total</w:t>
      </w:r>
      <w:r w:rsidR="00C026A6" w:rsidRPr="00EA59C0">
        <w:t xml:space="preserve"> </w:t>
      </w:r>
      <w:r w:rsidRPr="00EA59C0">
        <w:t>number</w:t>
      </w:r>
      <w:r w:rsidR="00C026A6" w:rsidRPr="00EA59C0">
        <w:t xml:space="preserve"> </w:t>
      </w:r>
      <w:r w:rsidRPr="00EA59C0">
        <w:t>of</w:t>
      </w:r>
      <w:r w:rsidR="00C026A6" w:rsidRPr="00EA59C0">
        <w:t xml:space="preserve"> </w:t>
      </w:r>
      <w:r w:rsidRPr="00EA59C0">
        <w:t>those</w:t>
      </w:r>
      <w:r w:rsidR="00C026A6" w:rsidRPr="00EA59C0">
        <w:t xml:space="preserve"> </w:t>
      </w:r>
      <w:r w:rsidRPr="00EA59C0">
        <w:t>participants</w:t>
      </w:r>
      <w:r w:rsidR="00C026A6" w:rsidRPr="00EA59C0">
        <w:t xml:space="preserve"> </w:t>
      </w:r>
      <w:r w:rsidRPr="00EA59C0">
        <w:t>employed</w:t>
      </w:r>
      <w:r w:rsidR="00C026A6" w:rsidRPr="00EA59C0">
        <w:t xml:space="preserve"> </w:t>
      </w:r>
      <w:r w:rsidRPr="00EA59C0">
        <w:t>at</w:t>
      </w:r>
      <w:r w:rsidR="00C026A6" w:rsidRPr="00EA59C0">
        <w:t xml:space="preserve"> </w:t>
      </w:r>
      <w:r w:rsidRPr="00EA59C0">
        <w:t>enrollment</w:t>
      </w:r>
      <w:r w:rsidR="00C026A6" w:rsidRPr="00EA59C0">
        <w:t xml:space="preserve"> </w:t>
      </w:r>
      <w:r w:rsidRPr="00EA59C0">
        <w:t>(for</w:t>
      </w:r>
      <w:r w:rsidR="00C026A6" w:rsidRPr="00EA59C0">
        <w:t xml:space="preserve"> </w:t>
      </w:r>
      <w:r w:rsidRPr="00EA59C0">
        <w:t>purposes</w:t>
      </w:r>
      <w:r w:rsidR="00C026A6" w:rsidRPr="00EA59C0">
        <w:t xml:space="preserve"> </w:t>
      </w:r>
      <w:r w:rsidRPr="00EA59C0">
        <w:t>of</w:t>
      </w:r>
      <w:r w:rsidR="00C026A6" w:rsidRPr="00EA59C0">
        <w:t xml:space="preserve"> </w:t>
      </w:r>
      <w:r w:rsidRPr="00EA59C0">
        <w:t>this</w:t>
      </w:r>
      <w:r w:rsidR="00C026A6" w:rsidRPr="00EA59C0">
        <w:t xml:space="preserve"> </w:t>
      </w:r>
      <w:r w:rsidRPr="00EA59C0">
        <w:t>reporting,</w:t>
      </w:r>
      <w:r w:rsidR="00C026A6" w:rsidRPr="00EA59C0">
        <w:t xml:space="preserve"> </w:t>
      </w:r>
      <w:r w:rsidRPr="00EA59C0">
        <w:t>“</w:t>
      </w:r>
      <w:r w:rsidR="004D7B3C" w:rsidRPr="00EA59C0">
        <w:t>Incumbent</w:t>
      </w:r>
      <w:r w:rsidR="00C026A6" w:rsidRPr="00EA59C0">
        <w:t xml:space="preserve"> </w:t>
      </w:r>
      <w:r w:rsidR="004D7B3C" w:rsidRPr="00EA59C0">
        <w:t>W</w:t>
      </w:r>
      <w:r w:rsidRPr="00EA59C0">
        <w:t>orkers”)</w:t>
      </w:r>
      <w:r w:rsidR="00C026A6" w:rsidRPr="00EA59C0">
        <w:t xml:space="preserve"> </w:t>
      </w:r>
      <w:r w:rsidRPr="00EA59C0">
        <w:t>who</w:t>
      </w:r>
      <w:r w:rsidR="00C026A6" w:rsidRPr="00EA59C0">
        <w:t xml:space="preserve"> </w:t>
      </w:r>
      <w:r w:rsidRPr="00EA59C0">
        <w:t>receive</w:t>
      </w:r>
      <w:r w:rsidR="00C026A6" w:rsidRPr="00EA59C0">
        <w:t xml:space="preserve"> </w:t>
      </w:r>
      <w:r w:rsidRPr="00EA59C0">
        <w:t>a</w:t>
      </w:r>
      <w:r w:rsidR="00C026A6" w:rsidRPr="00EA59C0">
        <w:t xml:space="preserve"> </w:t>
      </w:r>
      <w:r w:rsidRPr="00EA59C0">
        <w:t>wage</w:t>
      </w:r>
      <w:r w:rsidR="00C026A6" w:rsidRPr="00EA59C0">
        <w:t xml:space="preserve"> </w:t>
      </w:r>
      <w:r w:rsidRPr="00EA59C0">
        <w:t>increase</w:t>
      </w:r>
      <w:r w:rsidR="00C026A6" w:rsidRPr="00EA59C0">
        <w:t xml:space="preserve"> </w:t>
      </w:r>
      <w:r w:rsidRPr="00EA59C0">
        <w:t>post-enrollment.</w:t>
      </w:r>
      <w:r w:rsidR="00C026A6" w:rsidRPr="00EA59C0">
        <w:t xml:space="preserve">  </w:t>
      </w:r>
    </w:p>
    <w:p w:rsidR="005B03BD" w:rsidRPr="00EA59C0" w:rsidRDefault="005B03BD" w:rsidP="00C072FA">
      <w:pPr>
        <w:ind w:left="1080"/>
      </w:pPr>
    </w:p>
    <w:p w:rsidR="005B03BD" w:rsidRPr="00EA59C0" w:rsidRDefault="005B03BD" w:rsidP="00C072FA">
      <w:pPr>
        <w:pStyle w:val="ListParagraph"/>
        <w:numPr>
          <w:ilvl w:val="6"/>
          <w:numId w:val="17"/>
        </w:numPr>
      </w:pPr>
      <w:r w:rsidRPr="00EA59C0">
        <w:t>Outcome</w:t>
      </w:r>
      <w:r w:rsidR="00C026A6" w:rsidRPr="00EA59C0">
        <w:t xml:space="preserve"> </w:t>
      </w:r>
      <w:r w:rsidRPr="00EA59C0">
        <w:t>Projections</w:t>
      </w:r>
    </w:p>
    <w:p w:rsidR="005B03BD" w:rsidRPr="00EA59C0" w:rsidRDefault="005B03BD" w:rsidP="00C072FA">
      <w:pPr>
        <w:ind w:left="2520"/>
      </w:pPr>
      <w:r w:rsidRPr="00EA59C0">
        <w:t>Provide</w:t>
      </w:r>
      <w:r w:rsidR="00C026A6" w:rsidRPr="00EA59C0">
        <w:t xml:space="preserve"> </w:t>
      </w:r>
      <w:r w:rsidRPr="00EA59C0">
        <w:t>numerical</w:t>
      </w:r>
      <w:r w:rsidR="00C026A6" w:rsidRPr="00EA59C0">
        <w:t xml:space="preserve"> </w:t>
      </w:r>
      <w:r w:rsidRPr="00EA59C0">
        <w:t>outcome</w:t>
      </w:r>
      <w:r w:rsidR="00C026A6" w:rsidRPr="00EA59C0">
        <w:t xml:space="preserve"> </w:t>
      </w:r>
      <w:r w:rsidRPr="00EA59C0">
        <w:t>projections</w:t>
      </w:r>
      <w:r w:rsidR="00C026A6" w:rsidRPr="00EA59C0">
        <w:t xml:space="preserve"> </w:t>
      </w:r>
      <w:r w:rsidRPr="00EA59C0">
        <w:t>for</w:t>
      </w:r>
      <w:r w:rsidR="00C026A6" w:rsidRPr="00EA59C0">
        <w:t xml:space="preserve"> </w:t>
      </w:r>
      <w:r w:rsidRPr="00EA59C0">
        <w:t>each</w:t>
      </w:r>
      <w:r w:rsidR="00C026A6" w:rsidRPr="00EA59C0">
        <w:t xml:space="preserve"> </w:t>
      </w:r>
      <w:r w:rsidRPr="00EA59C0">
        <w:t>of</w:t>
      </w:r>
      <w:r w:rsidR="00C026A6" w:rsidRPr="00EA59C0">
        <w:t xml:space="preserve"> </w:t>
      </w:r>
      <w:r w:rsidRPr="00EA59C0">
        <w:t>the</w:t>
      </w:r>
      <w:r w:rsidR="00C026A6" w:rsidRPr="00EA59C0">
        <w:t xml:space="preserve"> </w:t>
      </w:r>
      <w:r w:rsidRPr="00EA59C0">
        <w:t>nine</w:t>
      </w:r>
      <w:r w:rsidR="00C026A6" w:rsidRPr="00EA59C0">
        <w:t xml:space="preserve"> </w:t>
      </w:r>
      <w:r w:rsidRPr="00EA59C0">
        <w:t>outcome</w:t>
      </w:r>
      <w:r w:rsidR="00C026A6" w:rsidRPr="00EA59C0">
        <w:t xml:space="preserve"> </w:t>
      </w:r>
      <w:r w:rsidRPr="00EA59C0">
        <w:t>measures</w:t>
      </w:r>
      <w:r w:rsidR="00C026A6" w:rsidRPr="00EA59C0">
        <w:t xml:space="preserve"> </w:t>
      </w:r>
      <w:r w:rsidRPr="00EA59C0">
        <w:t>that</w:t>
      </w:r>
      <w:r w:rsidR="00C026A6" w:rsidRPr="00EA59C0">
        <w:t xml:space="preserve"> </w:t>
      </w:r>
      <w:r w:rsidRPr="00EA59C0">
        <w:t>reflect</w:t>
      </w:r>
      <w:r w:rsidR="00C026A6" w:rsidRPr="00EA59C0">
        <w:t xml:space="preserve"> </w:t>
      </w:r>
      <w:r w:rsidRPr="00EA59C0">
        <w:t>the</w:t>
      </w:r>
      <w:r w:rsidR="00C026A6" w:rsidRPr="00EA59C0">
        <w:t xml:space="preserve"> </w:t>
      </w:r>
      <w:r w:rsidR="002C7410" w:rsidRPr="00EA59C0">
        <w:t>project’s</w:t>
      </w:r>
      <w:r w:rsidR="00C026A6" w:rsidRPr="00EA59C0">
        <w:t xml:space="preserve"> </w:t>
      </w:r>
      <w:r w:rsidRPr="00EA59C0">
        <w:t>expected</w:t>
      </w:r>
      <w:r w:rsidR="00C026A6" w:rsidRPr="00EA59C0">
        <w:t xml:space="preserve"> </w:t>
      </w:r>
      <w:r w:rsidRPr="00EA59C0">
        <w:t>impact</w:t>
      </w:r>
      <w:r w:rsidR="00C026A6" w:rsidRPr="00EA59C0">
        <w:t xml:space="preserve"> </w:t>
      </w:r>
      <w:r w:rsidRPr="00EA59C0">
        <w:t>on</w:t>
      </w:r>
      <w:r w:rsidR="00C026A6" w:rsidRPr="00EA59C0">
        <w:t xml:space="preserve"> </w:t>
      </w:r>
      <w:r w:rsidRPr="00EA59C0">
        <w:t>participants</w:t>
      </w:r>
      <w:r w:rsidR="00C026A6" w:rsidRPr="00EA59C0">
        <w:t xml:space="preserve"> </w:t>
      </w:r>
      <w:r w:rsidRPr="00EA59C0">
        <w:t>(refer</w:t>
      </w:r>
      <w:r w:rsidR="00C026A6" w:rsidRPr="00EA59C0">
        <w:t xml:space="preserve"> </w:t>
      </w:r>
      <w:r w:rsidRPr="00EA59C0">
        <w:t>to</w:t>
      </w:r>
      <w:r w:rsidR="00C026A6" w:rsidRPr="00EA59C0">
        <w:t xml:space="preserve"> </w:t>
      </w:r>
      <w:r w:rsidRPr="00EA59C0">
        <w:t>Appendix</w:t>
      </w:r>
      <w:r w:rsidR="00C026A6" w:rsidRPr="00EA59C0">
        <w:t xml:space="preserve"> </w:t>
      </w:r>
      <w:r w:rsidR="008A70C1" w:rsidRPr="00EA59C0">
        <w:t>L</w:t>
      </w:r>
      <w:r w:rsidR="00C026A6" w:rsidRPr="00EA59C0">
        <w:t xml:space="preserve"> </w:t>
      </w:r>
      <w:r w:rsidRPr="00EA59C0">
        <w:t>for</w:t>
      </w:r>
      <w:r w:rsidR="00C026A6" w:rsidRPr="00EA59C0">
        <w:t xml:space="preserve"> </w:t>
      </w:r>
      <w:r w:rsidRPr="00EA59C0">
        <w:t>the</w:t>
      </w:r>
      <w:r w:rsidR="00C026A6" w:rsidRPr="00EA59C0">
        <w:t xml:space="preserve"> </w:t>
      </w:r>
      <w:r w:rsidRPr="00EA59C0">
        <w:t>definitions</w:t>
      </w:r>
      <w:r w:rsidR="00C026A6" w:rsidRPr="00EA59C0">
        <w:t xml:space="preserve"> </w:t>
      </w:r>
      <w:r w:rsidRPr="00EA59C0">
        <w:t>of</w:t>
      </w:r>
      <w:r w:rsidR="00C026A6" w:rsidRPr="00EA59C0">
        <w:t xml:space="preserve"> </w:t>
      </w:r>
      <w:r w:rsidRPr="00EA59C0">
        <w:t>each</w:t>
      </w:r>
      <w:r w:rsidR="00C026A6" w:rsidRPr="00EA59C0">
        <w:t xml:space="preserve"> </w:t>
      </w:r>
      <w:r w:rsidRPr="00EA59C0">
        <w:t>of</w:t>
      </w:r>
      <w:r w:rsidR="00C026A6" w:rsidRPr="00EA59C0">
        <w:t xml:space="preserve"> </w:t>
      </w:r>
      <w:r w:rsidRPr="00EA59C0">
        <w:t>the</w:t>
      </w:r>
      <w:r w:rsidR="00C026A6" w:rsidRPr="00EA59C0">
        <w:t xml:space="preserve"> </w:t>
      </w:r>
      <w:r w:rsidRPr="00EA59C0">
        <w:t>outcomes</w:t>
      </w:r>
      <w:r w:rsidR="00C026A6" w:rsidRPr="00EA59C0">
        <w:t xml:space="preserve"> </w:t>
      </w:r>
      <w:r w:rsidRPr="00EA59C0">
        <w:t>and</w:t>
      </w:r>
      <w:r w:rsidR="00C026A6" w:rsidRPr="00EA59C0">
        <w:t xml:space="preserve"> </w:t>
      </w:r>
      <w:r w:rsidRPr="00EA59C0">
        <w:t>a</w:t>
      </w:r>
      <w:r w:rsidR="00C026A6" w:rsidRPr="00EA59C0">
        <w:t xml:space="preserve"> </w:t>
      </w:r>
      <w:r w:rsidRPr="00EA59C0">
        <w:t>sample</w:t>
      </w:r>
      <w:r w:rsidR="00C026A6" w:rsidRPr="00EA59C0">
        <w:t xml:space="preserve"> </w:t>
      </w:r>
      <w:r w:rsidRPr="00EA59C0">
        <w:t>format</w:t>
      </w:r>
      <w:r w:rsidR="00C026A6" w:rsidRPr="00EA59C0">
        <w:t xml:space="preserve"> </w:t>
      </w:r>
      <w:r w:rsidRPr="00EA59C0">
        <w:t>for</w:t>
      </w:r>
      <w:r w:rsidR="00C026A6" w:rsidRPr="00EA59C0">
        <w:t xml:space="preserve"> </w:t>
      </w:r>
      <w:r w:rsidRPr="00EA59C0">
        <w:t>providing</w:t>
      </w:r>
      <w:r w:rsidR="00C026A6" w:rsidRPr="00EA59C0">
        <w:t xml:space="preserve"> </w:t>
      </w:r>
      <w:r w:rsidRPr="00EA59C0">
        <w:t>these</w:t>
      </w:r>
      <w:r w:rsidR="00C026A6" w:rsidRPr="00EA59C0">
        <w:t xml:space="preserve"> </w:t>
      </w:r>
      <w:r w:rsidRPr="00EA59C0">
        <w:t>projections).</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provide</w:t>
      </w:r>
      <w:r w:rsidR="00C026A6" w:rsidRPr="00EA59C0">
        <w:t xml:space="preserve"> </w:t>
      </w:r>
      <w:r w:rsidRPr="00EA59C0">
        <w:t>targets</w:t>
      </w:r>
      <w:r w:rsidR="00C026A6" w:rsidRPr="00EA59C0">
        <w:t xml:space="preserve"> </w:t>
      </w:r>
      <w:r w:rsidRPr="00EA59C0">
        <w:t>in</w:t>
      </w:r>
      <w:r w:rsidR="00C026A6" w:rsidRPr="00EA59C0">
        <w:t xml:space="preserve"> </w:t>
      </w:r>
      <w:r w:rsidRPr="00EA59C0">
        <w:t>raw</w:t>
      </w:r>
      <w:r w:rsidR="00C026A6" w:rsidRPr="00EA59C0">
        <w:t xml:space="preserve"> </w:t>
      </w:r>
      <w:r w:rsidRPr="00EA59C0">
        <w:t>numbers</w:t>
      </w:r>
      <w:r w:rsidR="00C026A6" w:rsidRPr="00EA59C0">
        <w:t xml:space="preserve"> </w:t>
      </w:r>
      <w:r w:rsidRPr="00EA59C0">
        <w:t>for</w:t>
      </w:r>
      <w:r w:rsidR="00C026A6" w:rsidRPr="00EA59C0">
        <w:t xml:space="preserve"> </w:t>
      </w:r>
      <w:r w:rsidRPr="00EA59C0">
        <w:t>each</w:t>
      </w:r>
      <w:r w:rsidR="00C026A6" w:rsidRPr="00EA59C0">
        <w:t xml:space="preserve"> </w:t>
      </w:r>
      <w:r w:rsidRPr="00EA59C0">
        <w:t>of</w:t>
      </w:r>
      <w:r w:rsidR="00C026A6" w:rsidRPr="00EA59C0">
        <w:t xml:space="preserve"> </w:t>
      </w:r>
      <w:r w:rsidRPr="00EA59C0">
        <w:t>the</w:t>
      </w:r>
      <w:r w:rsidR="00C026A6" w:rsidRPr="00EA59C0">
        <w:t xml:space="preserve"> </w:t>
      </w:r>
      <w:r w:rsidRPr="00EA59C0">
        <w:t>outcome</w:t>
      </w:r>
      <w:r w:rsidR="00C026A6" w:rsidRPr="00EA59C0">
        <w:t xml:space="preserve"> </w:t>
      </w:r>
      <w:r w:rsidRPr="00EA59C0">
        <w:t>measures;</w:t>
      </w:r>
      <w:r w:rsidR="00C026A6" w:rsidRPr="00EA59C0">
        <w:t xml:space="preserve"> </w:t>
      </w:r>
      <w:r w:rsidRPr="00EA59C0">
        <w:t>percentages,</w:t>
      </w:r>
      <w:r w:rsidR="00C026A6" w:rsidRPr="00EA59C0">
        <w:t xml:space="preserve"> </w:t>
      </w:r>
      <w:r w:rsidRPr="00EA59C0">
        <w:t>percent</w:t>
      </w:r>
      <w:r w:rsidR="00C026A6" w:rsidRPr="00EA59C0">
        <w:t xml:space="preserve"> </w:t>
      </w:r>
      <w:r w:rsidRPr="00EA59C0">
        <w:t>increases,</w:t>
      </w:r>
      <w:r w:rsidR="00C026A6" w:rsidRPr="00EA59C0">
        <w:t xml:space="preserve"> </w:t>
      </w:r>
      <w:r w:rsidRPr="00EA59C0">
        <w:t>or</w:t>
      </w:r>
      <w:r w:rsidR="00C026A6" w:rsidRPr="00EA59C0">
        <w:t xml:space="preserve"> </w:t>
      </w:r>
      <w:r w:rsidRPr="00EA59C0">
        <w:t>other</w:t>
      </w:r>
      <w:r w:rsidR="00C026A6" w:rsidRPr="00EA59C0">
        <w:t xml:space="preserve"> </w:t>
      </w:r>
      <w:r w:rsidRPr="00EA59C0">
        <w:t>types</w:t>
      </w:r>
      <w:r w:rsidR="00C026A6" w:rsidRPr="00EA59C0">
        <w:t xml:space="preserve"> </w:t>
      </w:r>
      <w:r w:rsidRPr="00EA59C0">
        <w:t>of</w:t>
      </w:r>
      <w:r w:rsidR="00C026A6" w:rsidRPr="00EA59C0">
        <w:t xml:space="preserve"> </w:t>
      </w:r>
      <w:r w:rsidRPr="00EA59C0">
        <w:t>data</w:t>
      </w:r>
      <w:r w:rsidR="00C026A6" w:rsidRPr="00EA59C0">
        <w:t xml:space="preserve"> </w:t>
      </w:r>
      <w:r w:rsidRPr="00EA59C0">
        <w:t>projections</w:t>
      </w:r>
      <w:r w:rsidR="00C026A6" w:rsidRPr="00EA59C0">
        <w:t xml:space="preserve"> </w:t>
      </w:r>
      <w:r w:rsidRPr="00EA59C0">
        <w:t>are</w:t>
      </w:r>
      <w:r w:rsidR="00C026A6" w:rsidRPr="00EA59C0">
        <w:t xml:space="preserve"> </w:t>
      </w:r>
      <w:r w:rsidRPr="00EA59C0">
        <w:t>not</w:t>
      </w:r>
      <w:r w:rsidR="00C026A6" w:rsidRPr="00EA59C0">
        <w:t xml:space="preserve"> </w:t>
      </w:r>
      <w:r w:rsidRPr="00EA59C0">
        <w:t>acceptable.</w:t>
      </w:r>
      <w:r w:rsidR="00C026A6" w:rsidRPr="00EA59C0">
        <w:t xml:space="preserve">  </w:t>
      </w:r>
      <w:r w:rsidRPr="00EA59C0">
        <w:t>The</w:t>
      </w:r>
      <w:r w:rsidR="00C026A6" w:rsidRPr="00EA59C0">
        <w:t xml:space="preserve"> </w:t>
      </w:r>
      <w:r w:rsidRPr="00EA59C0">
        <w:t>targets</w:t>
      </w:r>
      <w:r w:rsidR="00C026A6" w:rsidRPr="00EA59C0">
        <w:t xml:space="preserve"> </w:t>
      </w:r>
      <w:r w:rsidRPr="00EA59C0">
        <w:t>should</w:t>
      </w:r>
      <w:r w:rsidR="00C026A6" w:rsidRPr="00EA59C0">
        <w:t xml:space="preserve"> </w:t>
      </w:r>
      <w:r w:rsidRPr="00EA59C0">
        <w:t>be</w:t>
      </w:r>
      <w:r w:rsidR="00C026A6" w:rsidRPr="00EA59C0">
        <w:t xml:space="preserve"> </w:t>
      </w:r>
      <w:r w:rsidRPr="00EA59C0">
        <w:t>provided</w:t>
      </w:r>
      <w:r w:rsidR="00C026A6" w:rsidRPr="00EA59C0">
        <w:t xml:space="preserve"> </w:t>
      </w:r>
      <w:r w:rsidRPr="00EA59C0">
        <w:t>for</w:t>
      </w:r>
      <w:r w:rsidR="00C026A6" w:rsidRPr="00EA59C0">
        <w:t xml:space="preserve"> </w:t>
      </w:r>
      <w:r w:rsidRPr="00EA59C0">
        <w:t>each</w:t>
      </w:r>
      <w:r w:rsidR="00C026A6" w:rsidRPr="00EA59C0">
        <w:t xml:space="preserve"> </w:t>
      </w:r>
      <w:r w:rsidRPr="00EA59C0">
        <w:t>year</w:t>
      </w:r>
      <w:r w:rsidR="00C026A6" w:rsidRPr="00EA59C0">
        <w:t xml:space="preserve"> </w:t>
      </w:r>
      <w:r w:rsidRPr="00EA59C0">
        <w:t>of</w:t>
      </w:r>
      <w:r w:rsidR="00C026A6" w:rsidRPr="00EA59C0">
        <w:t xml:space="preserve"> </w:t>
      </w:r>
      <w:r w:rsidRPr="00EA59C0">
        <w:t>the</w:t>
      </w:r>
      <w:r w:rsidR="00C026A6" w:rsidRPr="00EA59C0">
        <w:t xml:space="preserve"> </w:t>
      </w:r>
      <w:r w:rsidRPr="00EA59C0">
        <w:t>grant</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for</w:t>
      </w:r>
      <w:r w:rsidR="00C026A6" w:rsidRPr="00EA59C0">
        <w:t xml:space="preserve"> </w:t>
      </w:r>
      <w:r w:rsidRPr="00EA59C0">
        <w:t>the</w:t>
      </w:r>
      <w:r w:rsidR="00C026A6" w:rsidRPr="00EA59C0">
        <w:t xml:space="preserve"> </w:t>
      </w:r>
      <w:r w:rsidRPr="00EA59C0">
        <w:t>total</w:t>
      </w:r>
      <w:r w:rsidR="00C026A6" w:rsidRPr="00EA59C0">
        <w:t xml:space="preserve"> </w:t>
      </w:r>
      <w:r w:rsidRPr="00EA59C0">
        <w:t>grant</w:t>
      </w:r>
      <w:r w:rsidR="00C026A6" w:rsidRPr="00EA59C0">
        <w:t xml:space="preserve"> </w:t>
      </w:r>
      <w:r w:rsidRPr="00EA59C0">
        <w:t>period,</w:t>
      </w:r>
      <w:r w:rsidR="00C026A6" w:rsidRPr="00EA59C0">
        <w:t xml:space="preserve"> </w:t>
      </w:r>
      <w:r w:rsidRPr="00EA59C0">
        <w:t>and</w:t>
      </w:r>
      <w:r w:rsidR="00C026A6" w:rsidRPr="00EA59C0">
        <w:t xml:space="preserve"> </w:t>
      </w:r>
      <w:r w:rsidRPr="00EA59C0">
        <w:t>be</w:t>
      </w:r>
      <w:r w:rsidR="00C026A6" w:rsidRPr="00EA59C0">
        <w:t xml:space="preserve"> </w:t>
      </w:r>
      <w:r w:rsidRPr="00EA59C0">
        <w:t>provided</w:t>
      </w:r>
      <w:r w:rsidR="00C026A6" w:rsidRPr="00EA59C0">
        <w:t xml:space="preserve"> </w:t>
      </w:r>
      <w:r w:rsidRPr="00EA59C0">
        <w:t>in</w:t>
      </w:r>
      <w:r w:rsidR="00C026A6" w:rsidRPr="00EA59C0">
        <w:t xml:space="preserve"> </w:t>
      </w:r>
      <w:r w:rsidRPr="00EA59C0">
        <w:t>aggregate</w:t>
      </w:r>
      <w:r w:rsidR="00C026A6" w:rsidRPr="00EA59C0">
        <w:t xml:space="preserve"> </w:t>
      </w:r>
      <w:r w:rsidRPr="00EA59C0">
        <w:t>for</w:t>
      </w:r>
      <w:r w:rsidR="00C026A6" w:rsidRPr="00EA59C0">
        <w:t xml:space="preserve"> </w:t>
      </w:r>
      <w:r w:rsidRPr="00EA59C0">
        <w:t>all</w:t>
      </w:r>
      <w:r w:rsidR="00C026A6" w:rsidRPr="00EA59C0">
        <w:t xml:space="preserve"> </w:t>
      </w:r>
      <w:r w:rsidRPr="00EA59C0">
        <w:t>program</w:t>
      </w:r>
      <w:r w:rsidR="00C026A6" w:rsidRPr="00EA59C0">
        <w:t xml:space="preserve"> </w:t>
      </w:r>
      <w:r w:rsidRPr="00EA59C0">
        <w:t>participants,</w:t>
      </w:r>
      <w:r w:rsidR="00C026A6" w:rsidRPr="00EA59C0">
        <w:t xml:space="preserve"> </w:t>
      </w:r>
      <w:r w:rsidRPr="00EA59C0">
        <w:t>even</w:t>
      </w:r>
      <w:r w:rsidR="00C026A6" w:rsidRPr="00EA59C0">
        <w:t xml:space="preserve"> </w:t>
      </w:r>
      <w:r w:rsidRPr="00EA59C0">
        <w:t>if</w:t>
      </w:r>
      <w:r w:rsidR="00C026A6" w:rsidRPr="00EA59C0">
        <w:t xml:space="preserve"> </w:t>
      </w:r>
      <w:r w:rsidRPr="00EA59C0">
        <w:t>different</w:t>
      </w:r>
      <w:r w:rsidR="00C026A6" w:rsidRPr="00EA59C0">
        <w:t xml:space="preserve"> </w:t>
      </w:r>
      <w:r w:rsidRPr="00EA59C0">
        <w:t>educational</w:t>
      </w:r>
      <w:r w:rsidR="00C026A6" w:rsidRPr="00EA59C0">
        <w:t xml:space="preserve"> </w:t>
      </w:r>
      <w:r w:rsidRPr="00EA59C0">
        <w:t>disciplines</w:t>
      </w:r>
      <w:r w:rsidR="00C026A6" w:rsidRPr="00EA59C0">
        <w:t xml:space="preserve"> </w:t>
      </w:r>
      <w:r w:rsidRPr="00EA59C0">
        <w:t>or</w:t>
      </w:r>
      <w:r w:rsidR="00C026A6" w:rsidRPr="00EA59C0">
        <w:t xml:space="preserve"> </w:t>
      </w:r>
      <w:r w:rsidRPr="00EA59C0">
        <w:t>programs</w:t>
      </w:r>
      <w:r w:rsidR="00C026A6" w:rsidRPr="00EA59C0">
        <w:t xml:space="preserve"> </w:t>
      </w:r>
      <w:r w:rsidRPr="00EA59C0">
        <w:t>have</w:t>
      </w:r>
      <w:r w:rsidR="00C026A6" w:rsidRPr="00EA59C0">
        <w:t xml:space="preserve"> </w:t>
      </w:r>
      <w:r w:rsidRPr="00EA59C0">
        <w:t>distinct</w:t>
      </w:r>
      <w:r w:rsidR="00C026A6" w:rsidRPr="00EA59C0">
        <w:t xml:space="preserve"> </w:t>
      </w:r>
      <w:r w:rsidRPr="00EA59C0">
        <w:t>outcome</w:t>
      </w:r>
      <w:r w:rsidR="00C026A6" w:rsidRPr="00EA59C0">
        <w:t xml:space="preserve"> </w:t>
      </w:r>
      <w:r w:rsidRPr="00EA59C0">
        <w:t>projections.</w:t>
      </w:r>
      <w:r w:rsidR="00C026A6" w:rsidRPr="00EA59C0">
        <w:t xml:space="preserve">  </w:t>
      </w:r>
      <w:r w:rsidRPr="00EA59C0">
        <w:t>The</w:t>
      </w:r>
      <w:r w:rsidR="00C026A6" w:rsidRPr="00EA59C0">
        <w:t xml:space="preserve"> </w:t>
      </w:r>
      <w:r w:rsidRPr="00EA59C0">
        <w:t>outcomes</w:t>
      </w:r>
      <w:r w:rsidR="00C026A6" w:rsidRPr="00EA59C0">
        <w:t xml:space="preserve"> </w:t>
      </w:r>
      <w:r w:rsidRPr="00EA59C0">
        <w:t>must</w:t>
      </w:r>
      <w:r w:rsidR="00C026A6" w:rsidRPr="00EA59C0">
        <w:t xml:space="preserve"> </w:t>
      </w:r>
      <w:r w:rsidRPr="00EA59C0">
        <w:t>be</w:t>
      </w:r>
      <w:r w:rsidR="00C026A6" w:rsidRPr="00EA59C0">
        <w:t xml:space="preserve"> </w:t>
      </w:r>
      <w:r w:rsidRPr="00EA59C0">
        <w:t>included</w:t>
      </w:r>
      <w:r w:rsidR="00C026A6" w:rsidRPr="00EA59C0">
        <w:t xml:space="preserve"> </w:t>
      </w:r>
      <w:r w:rsidRPr="00EA59C0">
        <w:t>as</w:t>
      </w:r>
      <w:r w:rsidR="00C026A6" w:rsidRPr="00EA59C0">
        <w:t xml:space="preserve"> </w:t>
      </w:r>
      <w:r w:rsidRPr="00EA59C0">
        <w:t>a</w:t>
      </w:r>
      <w:r w:rsidR="00C026A6" w:rsidRPr="00EA59C0">
        <w:t xml:space="preserve"> </w:t>
      </w:r>
      <w:r w:rsidRPr="00EA59C0">
        <w:t>table</w:t>
      </w:r>
      <w:r w:rsidR="00C026A6" w:rsidRPr="00EA59C0">
        <w:t xml:space="preserve"> </w:t>
      </w:r>
      <w:r w:rsidRPr="00EA59C0">
        <w:t>in</w:t>
      </w:r>
      <w:r w:rsidR="00C026A6" w:rsidRPr="00EA59C0">
        <w:t xml:space="preserve"> </w:t>
      </w:r>
      <w:r w:rsidRPr="00EA59C0">
        <w:t>the</w:t>
      </w:r>
      <w:r w:rsidR="00C026A6" w:rsidRPr="00EA59C0">
        <w:t xml:space="preserve"> </w:t>
      </w:r>
      <w:r w:rsidRPr="00EA59C0">
        <w:t>Project</w:t>
      </w:r>
      <w:r w:rsidR="00C026A6" w:rsidRPr="00EA59C0">
        <w:t xml:space="preserve"> </w:t>
      </w:r>
      <w:r w:rsidRPr="00EA59C0">
        <w:t>Narrative.</w:t>
      </w:r>
      <w:r w:rsidR="00C026A6" w:rsidRPr="00EA59C0">
        <w:t xml:space="preserve">  </w:t>
      </w:r>
    </w:p>
    <w:p w:rsidR="005B03BD" w:rsidRPr="00EA59C0" w:rsidRDefault="005B03BD" w:rsidP="00C072FA">
      <w:pPr>
        <w:pStyle w:val="ListParagraph"/>
        <w:ind w:left="1440"/>
      </w:pPr>
    </w:p>
    <w:p w:rsidR="005B03BD" w:rsidRPr="00EA59C0" w:rsidRDefault="005B03BD" w:rsidP="00C072FA">
      <w:pPr>
        <w:pStyle w:val="ListParagraph"/>
        <w:numPr>
          <w:ilvl w:val="6"/>
          <w:numId w:val="17"/>
        </w:numPr>
      </w:pPr>
      <w:r w:rsidRPr="00EA59C0">
        <w:t>Targets</w:t>
      </w:r>
    </w:p>
    <w:p w:rsidR="005B03BD" w:rsidRPr="00EA59C0" w:rsidRDefault="005B03BD" w:rsidP="00C072FA">
      <w:pPr>
        <w:ind w:left="2520"/>
      </w:pPr>
      <w:r w:rsidRPr="00EA59C0">
        <w:t>Explain</w:t>
      </w:r>
      <w:r w:rsidR="00C026A6" w:rsidRPr="00EA59C0">
        <w:t xml:space="preserve"> </w:t>
      </w:r>
      <w:r w:rsidRPr="00EA59C0">
        <w:t>how</w:t>
      </w:r>
      <w:r w:rsidR="00C026A6" w:rsidRPr="00EA59C0">
        <w:t xml:space="preserve"> </w:t>
      </w:r>
      <w:r w:rsidRPr="00EA59C0">
        <w:t>the</w:t>
      </w:r>
      <w:r w:rsidR="00C026A6" w:rsidRPr="00EA59C0">
        <w:t xml:space="preserve"> </w:t>
      </w:r>
      <w:r w:rsidRPr="00EA59C0">
        <w:t>outcome</w:t>
      </w:r>
      <w:r w:rsidR="00C026A6" w:rsidRPr="00EA59C0">
        <w:t xml:space="preserve"> </w:t>
      </w:r>
      <w:r w:rsidRPr="00EA59C0">
        <w:t>projections</w:t>
      </w:r>
      <w:r w:rsidR="00C026A6" w:rsidRPr="00EA59C0">
        <w:t xml:space="preserve"> </w:t>
      </w:r>
      <w:r w:rsidRPr="00EA59C0">
        <w:t>are</w:t>
      </w:r>
      <w:r w:rsidR="00C026A6" w:rsidRPr="00EA59C0">
        <w:t xml:space="preserve"> </w:t>
      </w:r>
      <w:r w:rsidRPr="00EA59C0">
        <w:t>appropriate</w:t>
      </w:r>
      <w:r w:rsidR="00C026A6" w:rsidRPr="00EA59C0">
        <w:t xml:space="preserve"> </w:t>
      </w:r>
      <w:r w:rsidRPr="00EA59C0">
        <w:t>numerical</w:t>
      </w:r>
      <w:r w:rsidR="00C026A6" w:rsidRPr="00EA59C0">
        <w:t xml:space="preserve"> </w:t>
      </w:r>
      <w:r w:rsidRPr="00EA59C0">
        <w:t>targets</w:t>
      </w:r>
      <w:r w:rsidR="00C026A6" w:rsidRPr="00EA59C0">
        <w:t xml:space="preserve"> </w:t>
      </w:r>
      <w:r w:rsidRPr="00EA59C0">
        <w:t>for</w:t>
      </w:r>
      <w:r w:rsidR="00C026A6" w:rsidRPr="00EA59C0">
        <w:t xml:space="preserve"> </w:t>
      </w:r>
      <w:r w:rsidRPr="00EA59C0">
        <w:t>the</w:t>
      </w:r>
      <w:r w:rsidR="00C026A6" w:rsidRPr="00EA59C0">
        <w:t xml:space="preserve"> </w:t>
      </w:r>
      <w:r w:rsidRPr="00EA59C0">
        <w:t>program</w:t>
      </w:r>
      <w:r w:rsidR="00C026A6" w:rsidRPr="00EA59C0">
        <w:t xml:space="preserve"> </w:t>
      </w:r>
      <w:r w:rsidRPr="00EA59C0">
        <w:t>design</w:t>
      </w:r>
      <w:r w:rsidR="00C026A6" w:rsidRPr="00EA59C0">
        <w:t xml:space="preserve"> </w:t>
      </w:r>
      <w:r w:rsidRPr="00EA59C0">
        <w:t>by</w:t>
      </w:r>
      <w:r w:rsidR="00C026A6" w:rsidRPr="00EA59C0">
        <w:t xml:space="preserve"> </w:t>
      </w:r>
      <w:r w:rsidRPr="00EA59C0">
        <w:t>providing</w:t>
      </w:r>
      <w:r w:rsidR="00C026A6" w:rsidRPr="00EA59C0">
        <w:t xml:space="preserve"> </w:t>
      </w:r>
      <w:r w:rsidRPr="00EA59C0">
        <w:t>an</w:t>
      </w:r>
      <w:r w:rsidR="00C026A6" w:rsidRPr="00EA59C0">
        <w:t xml:space="preserve"> </w:t>
      </w:r>
      <w:r w:rsidRPr="00EA59C0">
        <w:t>explanation</w:t>
      </w:r>
      <w:r w:rsidR="00C026A6" w:rsidRPr="00EA59C0">
        <w:t xml:space="preserve"> </w:t>
      </w:r>
      <w:r w:rsidRPr="00EA59C0">
        <w:t>of</w:t>
      </w:r>
      <w:r w:rsidR="00C026A6" w:rsidRPr="00EA59C0">
        <w:t xml:space="preserve"> </w:t>
      </w:r>
      <w:r w:rsidRPr="00EA59C0">
        <w:t>how</w:t>
      </w:r>
      <w:r w:rsidR="00C026A6" w:rsidRPr="00EA59C0">
        <w:t xml:space="preserve"> </w:t>
      </w:r>
      <w:r w:rsidRPr="00EA59C0">
        <w:t>the</w:t>
      </w:r>
      <w:r w:rsidR="00C026A6" w:rsidRPr="00EA59C0">
        <w:t xml:space="preserve"> </w:t>
      </w:r>
      <w:r w:rsidRPr="00EA59C0">
        <w:t>targets</w:t>
      </w:r>
      <w:r w:rsidR="00C026A6" w:rsidRPr="00EA59C0">
        <w:t xml:space="preserve"> </w:t>
      </w:r>
      <w:r w:rsidRPr="00EA59C0">
        <w:t>were</w:t>
      </w:r>
      <w:r w:rsidR="00C026A6" w:rsidRPr="00EA59C0">
        <w:t xml:space="preserve"> </w:t>
      </w:r>
      <w:r w:rsidRPr="00EA59C0">
        <w:t>derived</w:t>
      </w:r>
      <w:r w:rsidR="00C026A6" w:rsidRPr="00EA59C0">
        <w:t xml:space="preserve"> </w:t>
      </w:r>
      <w:r w:rsidRPr="00EA59C0">
        <w:t>and</w:t>
      </w:r>
      <w:r w:rsidR="00C026A6" w:rsidRPr="00EA59C0">
        <w:t xml:space="preserve"> </w:t>
      </w:r>
      <w:r w:rsidRPr="00EA59C0">
        <w:t>how</w:t>
      </w:r>
      <w:r w:rsidR="00C026A6" w:rsidRPr="00EA59C0">
        <w:t xml:space="preserve"> </w:t>
      </w:r>
      <w:r w:rsidRPr="00EA59C0">
        <w:t>the</w:t>
      </w:r>
      <w:r w:rsidR="00C026A6" w:rsidRPr="00EA59C0">
        <w:t xml:space="preserve"> </w:t>
      </w:r>
      <w:r w:rsidRPr="00EA59C0">
        <w:t>targets</w:t>
      </w:r>
      <w:r w:rsidR="00C026A6" w:rsidRPr="00EA59C0">
        <w:t xml:space="preserve"> </w:t>
      </w:r>
      <w:r w:rsidRPr="00EA59C0">
        <w:t>fit</w:t>
      </w:r>
      <w:r w:rsidR="00C026A6" w:rsidRPr="00EA59C0">
        <w:t xml:space="preserve"> </w:t>
      </w:r>
      <w:r w:rsidRPr="00EA59C0">
        <w:t>into</w:t>
      </w:r>
      <w:r w:rsidR="00C026A6" w:rsidRPr="00EA59C0">
        <w:t xml:space="preserve"> </w:t>
      </w:r>
      <w:r w:rsidRPr="00EA59C0">
        <w:t>the</w:t>
      </w:r>
      <w:r w:rsidR="00C026A6" w:rsidRPr="00EA59C0">
        <w:t xml:space="preserve"> </w:t>
      </w:r>
      <w:r w:rsidRPr="00EA59C0">
        <w:t>overall</w:t>
      </w:r>
      <w:r w:rsidR="00C026A6" w:rsidRPr="00EA59C0">
        <w:t xml:space="preserve"> </w:t>
      </w:r>
      <w:r w:rsidRPr="00EA59C0">
        <w:t>timeline</w:t>
      </w:r>
      <w:r w:rsidR="00C026A6" w:rsidRPr="00EA59C0">
        <w:t xml:space="preserve"> </w:t>
      </w:r>
      <w:r w:rsidRPr="00EA59C0">
        <w:t>of</w:t>
      </w:r>
      <w:r w:rsidR="00C026A6" w:rsidRPr="00EA59C0">
        <w:t xml:space="preserve"> </w:t>
      </w:r>
      <w:r w:rsidRPr="00EA59C0">
        <w:t>grant</w:t>
      </w:r>
      <w:r w:rsidR="00C026A6" w:rsidRPr="00EA59C0">
        <w:t xml:space="preserve"> </w:t>
      </w:r>
      <w:r w:rsidRPr="00EA59C0">
        <w:t>implementation.</w:t>
      </w:r>
    </w:p>
    <w:p w:rsidR="005B03BD" w:rsidRPr="00EA59C0" w:rsidRDefault="00C026A6" w:rsidP="00C072FA">
      <w:pPr>
        <w:pStyle w:val="ListParagraph"/>
        <w:ind w:left="3240"/>
      </w:pPr>
      <w:r w:rsidRPr="00EA59C0">
        <w:t xml:space="preserve">  </w:t>
      </w:r>
    </w:p>
    <w:p w:rsidR="005B03BD" w:rsidRPr="00EA59C0" w:rsidRDefault="00C026A6" w:rsidP="00C072FA">
      <w:pPr>
        <w:pStyle w:val="ListParagraph"/>
        <w:numPr>
          <w:ilvl w:val="6"/>
          <w:numId w:val="17"/>
        </w:numPr>
      </w:pPr>
      <w:r w:rsidRPr="00EA59C0">
        <w:t xml:space="preserve"> </w:t>
      </w:r>
      <w:r w:rsidR="005B03BD" w:rsidRPr="00EA59C0">
        <w:t>Balance</w:t>
      </w:r>
      <w:r w:rsidRPr="00EA59C0">
        <w:t xml:space="preserve"> </w:t>
      </w:r>
      <w:r w:rsidR="005B03BD" w:rsidRPr="00EA59C0">
        <w:t>of</w:t>
      </w:r>
      <w:r w:rsidRPr="00EA59C0">
        <w:t xml:space="preserve"> </w:t>
      </w:r>
      <w:r w:rsidR="005B03BD" w:rsidRPr="00EA59C0">
        <w:t>Deliverables</w:t>
      </w:r>
      <w:r w:rsidRPr="00EA59C0">
        <w:t xml:space="preserve"> </w:t>
      </w:r>
      <w:r w:rsidR="005B03BD" w:rsidRPr="00EA59C0">
        <w:t>and</w:t>
      </w:r>
      <w:r w:rsidRPr="00EA59C0">
        <w:t xml:space="preserve"> </w:t>
      </w:r>
      <w:r w:rsidR="005B03BD" w:rsidRPr="00EA59C0">
        <w:t>Outcomes</w:t>
      </w:r>
    </w:p>
    <w:p w:rsidR="005B03BD" w:rsidRPr="00EA59C0" w:rsidRDefault="005B03BD" w:rsidP="00C072FA">
      <w:pPr>
        <w:ind w:left="2520"/>
      </w:pPr>
      <w:r w:rsidRPr="00EA59C0">
        <w:t>Provide</w:t>
      </w:r>
      <w:r w:rsidR="00C026A6" w:rsidRPr="00EA59C0">
        <w:t xml:space="preserve"> </w:t>
      </w:r>
      <w:r w:rsidRPr="00EA59C0">
        <w:t>an</w:t>
      </w:r>
      <w:r w:rsidR="00C026A6" w:rsidRPr="00EA59C0">
        <w:t xml:space="preserve"> </w:t>
      </w:r>
      <w:r w:rsidRPr="00EA59C0">
        <w:t>explanation</w:t>
      </w:r>
      <w:r w:rsidR="00C026A6" w:rsidRPr="00EA59C0">
        <w:t xml:space="preserve"> </w:t>
      </w:r>
      <w:r w:rsidRPr="00EA59C0">
        <w:t>for</w:t>
      </w:r>
      <w:r w:rsidR="00C026A6" w:rsidRPr="00EA59C0">
        <w:t xml:space="preserve"> </w:t>
      </w:r>
      <w:r w:rsidRPr="00EA59C0">
        <w:t>the</w:t>
      </w:r>
      <w:r w:rsidR="00C026A6" w:rsidRPr="00EA59C0">
        <w:t xml:space="preserve"> </w:t>
      </w:r>
      <w:r w:rsidRPr="00EA59C0">
        <w:t>mix</w:t>
      </w:r>
      <w:r w:rsidR="00C026A6" w:rsidRPr="00EA59C0">
        <w:t xml:space="preserve"> </w:t>
      </w:r>
      <w:r w:rsidRPr="00EA59C0">
        <w:t>of</w:t>
      </w:r>
      <w:r w:rsidR="00C026A6" w:rsidRPr="00EA59C0">
        <w:t xml:space="preserve"> </w:t>
      </w:r>
      <w:r w:rsidRPr="00EA59C0">
        <w:t>proposed</w:t>
      </w:r>
      <w:r w:rsidR="00C026A6" w:rsidRPr="00EA59C0">
        <w:t xml:space="preserve"> </w:t>
      </w:r>
      <w:r w:rsidRPr="00EA59C0">
        <w:t>outcomes</w:t>
      </w:r>
      <w:r w:rsidR="00C026A6" w:rsidRPr="00EA59C0">
        <w:t xml:space="preserve"> </w:t>
      </w:r>
      <w:r w:rsidRPr="00EA59C0">
        <w:t>(e.g.,</w:t>
      </w:r>
      <w:r w:rsidR="00C026A6" w:rsidRPr="00EA59C0">
        <w:t xml:space="preserve"> </w:t>
      </w:r>
      <w:r w:rsidRPr="00EA59C0">
        <w:t>participants</w:t>
      </w:r>
      <w:r w:rsidR="00C026A6" w:rsidRPr="00EA59C0">
        <w:t xml:space="preserve"> </w:t>
      </w:r>
      <w:r w:rsidRPr="00EA59C0">
        <w:t>served/enrolled)</w:t>
      </w:r>
      <w:r w:rsidR="00C026A6" w:rsidRPr="00EA59C0">
        <w:t xml:space="preserve"> </w:t>
      </w:r>
      <w:r w:rsidRPr="00EA59C0">
        <w:t>versus</w:t>
      </w:r>
      <w:r w:rsidR="00C026A6" w:rsidRPr="00EA59C0">
        <w:t xml:space="preserve"> </w:t>
      </w:r>
      <w:r w:rsidRPr="00EA59C0">
        <w:t>deliverables</w:t>
      </w:r>
      <w:r w:rsidR="00C026A6" w:rsidRPr="00EA59C0">
        <w:t xml:space="preserve"> </w:t>
      </w:r>
      <w:r w:rsidRPr="00EA59C0">
        <w:t>(e.g.,</w:t>
      </w:r>
      <w:r w:rsidR="00C026A6" w:rsidRPr="00EA59C0">
        <w:t xml:space="preserve"> </w:t>
      </w:r>
      <w:r w:rsidRPr="00EA59C0">
        <w:t>courses</w:t>
      </w:r>
      <w:r w:rsidR="00C026A6" w:rsidRPr="00EA59C0">
        <w:t xml:space="preserve"> </w:t>
      </w:r>
      <w:r w:rsidRPr="00EA59C0">
        <w:t>developed</w:t>
      </w:r>
      <w:r w:rsidR="00C026A6" w:rsidRPr="00EA59C0">
        <w:t xml:space="preserve"> </w:t>
      </w:r>
      <w:r w:rsidRPr="00EA59C0">
        <w:t>and</w:t>
      </w:r>
      <w:r w:rsidR="00C026A6" w:rsidRPr="00EA59C0">
        <w:t xml:space="preserve"> </w:t>
      </w:r>
      <w:r w:rsidRPr="00EA59C0">
        <w:t>technology</w:t>
      </w:r>
      <w:r w:rsidR="00C026A6" w:rsidRPr="00EA59C0">
        <w:t xml:space="preserve"> </w:t>
      </w:r>
      <w:r w:rsidRPr="00EA59C0">
        <w:t>infrastructure</w:t>
      </w:r>
      <w:r w:rsidR="00C026A6" w:rsidRPr="00EA59C0">
        <w:t xml:space="preserve"> </w:t>
      </w:r>
      <w:r w:rsidRPr="00EA59C0">
        <w:t>enhancements),</w:t>
      </w:r>
      <w:r w:rsidR="00C026A6" w:rsidRPr="00EA59C0">
        <w:t xml:space="preserve"> </w:t>
      </w:r>
      <w:r w:rsidRPr="00EA59C0">
        <w:t>including</w:t>
      </w:r>
      <w:r w:rsidR="00C026A6" w:rsidRPr="00EA59C0">
        <w:t xml:space="preserve"> </w:t>
      </w:r>
      <w:r w:rsidRPr="00EA59C0">
        <w:t>a</w:t>
      </w:r>
      <w:r w:rsidR="00C026A6" w:rsidRPr="00EA59C0">
        <w:t xml:space="preserve"> </w:t>
      </w:r>
      <w:r w:rsidRPr="00EA59C0">
        <w:t>justification</w:t>
      </w:r>
      <w:r w:rsidR="00C026A6" w:rsidRPr="00EA59C0">
        <w:t xml:space="preserve"> </w:t>
      </w:r>
      <w:r w:rsidRPr="00EA59C0">
        <w:t>of</w:t>
      </w:r>
      <w:r w:rsidR="00C026A6" w:rsidRPr="00EA59C0">
        <w:t xml:space="preserve"> </w:t>
      </w:r>
      <w:r w:rsidRPr="00EA59C0">
        <w:t>unusually</w:t>
      </w:r>
      <w:r w:rsidR="00C026A6" w:rsidRPr="00EA59C0">
        <w:t xml:space="preserve"> </w:t>
      </w:r>
      <w:r w:rsidRPr="00EA59C0">
        <w:t>high</w:t>
      </w:r>
      <w:r w:rsidR="00C026A6" w:rsidRPr="00EA59C0">
        <w:t xml:space="preserve"> </w:t>
      </w:r>
      <w:r w:rsidRPr="00EA59C0">
        <w:t>or</w:t>
      </w:r>
      <w:r w:rsidR="00C026A6" w:rsidRPr="00EA59C0">
        <w:t xml:space="preserve"> </w:t>
      </w:r>
      <w:r w:rsidRPr="00EA59C0">
        <w:t>low</w:t>
      </w:r>
      <w:r w:rsidR="00C026A6" w:rsidRPr="00EA59C0">
        <w:t xml:space="preserve"> </w:t>
      </w:r>
      <w:r w:rsidRPr="00EA59C0">
        <w:t>outcome</w:t>
      </w:r>
      <w:r w:rsidR="00C026A6" w:rsidRPr="00EA59C0">
        <w:t xml:space="preserve"> </w:t>
      </w:r>
      <w:r w:rsidRPr="00EA59C0">
        <w:t>projections</w:t>
      </w:r>
      <w:r w:rsidR="00C026A6" w:rsidRPr="00EA59C0">
        <w:t xml:space="preserve"> </w:t>
      </w:r>
      <w:r w:rsidRPr="00EA59C0">
        <w:t>for</w:t>
      </w:r>
      <w:r w:rsidR="00C026A6" w:rsidRPr="00EA59C0">
        <w:t xml:space="preserve"> </w:t>
      </w:r>
      <w:r w:rsidRPr="00EA59C0">
        <w:t>participants</w:t>
      </w:r>
      <w:r w:rsidR="00C026A6" w:rsidRPr="00EA59C0">
        <w:t xml:space="preserve"> </w:t>
      </w:r>
      <w:r w:rsidRPr="00EA59C0">
        <w:t>in</w:t>
      </w:r>
      <w:r w:rsidR="00C026A6" w:rsidRPr="00EA59C0">
        <w:t xml:space="preserve"> </w:t>
      </w:r>
      <w:r w:rsidRPr="00EA59C0">
        <w:t>the</w:t>
      </w:r>
      <w:r w:rsidR="00C026A6" w:rsidRPr="00EA59C0">
        <w:t xml:space="preserve"> </w:t>
      </w:r>
      <w:r w:rsidRPr="00EA59C0">
        <w:t>context</w:t>
      </w:r>
      <w:r w:rsidR="00C026A6" w:rsidRPr="00EA59C0">
        <w:t xml:space="preserve"> </w:t>
      </w:r>
      <w:r w:rsidRPr="00EA59C0">
        <w:t>of</w:t>
      </w:r>
      <w:r w:rsidR="00C026A6" w:rsidRPr="00EA59C0">
        <w:t xml:space="preserve"> </w:t>
      </w:r>
      <w:r w:rsidRPr="00EA59C0">
        <w:t>the</w:t>
      </w:r>
      <w:r w:rsidR="00C026A6" w:rsidRPr="00EA59C0">
        <w:t xml:space="preserve"> </w:t>
      </w:r>
      <w:r w:rsidRPr="00EA59C0">
        <w:t>entire</w:t>
      </w:r>
      <w:r w:rsidR="00C026A6" w:rsidRPr="00EA59C0">
        <w:t xml:space="preserve"> </w:t>
      </w:r>
      <w:r w:rsidRPr="00EA59C0">
        <w:t>program.</w:t>
      </w:r>
      <w:r w:rsidR="00C026A6" w:rsidRPr="00EA59C0">
        <w:t xml:space="preserve">  </w:t>
      </w:r>
      <w:r w:rsidRPr="00EA59C0">
        <w:t>The</w:t>
      </w:r>
      <w:r w:rsidR="00C026A6" w:rsidRPr="00EA59C0">
        <w:t xml:space="preserve"> </w:t>
      </w:r>
      <w:r w:rsidRPr="00EA59C0">
        <w:t>projected</w:t>
      </w:r>
      <w:r w:rsidR="00C026A6" w:rsidRPr="00EA59C0">
        <w:t xml:space="preserve"> </w:t>
      </w:r>
      <w:r w:rsidRPr="00EA59C0">
        <w:t>outcomes</w:t>
      </w:r>
      <w:r w:rsidR="00C026A6" w:rsidRPr="00EA59C0">
        <w:t xml:space="preserve"> </w:t>
      </w:r>
      <w:r w:rsidRPr="00EA59C0">
        <w:t>and</w:t>
      </w:r>
      <w:r w:rsidR="00C026A6" w:rsidRPr="00EA59C0">
        <w:t xml:space="preserve"> </w:t>
      </w:r>
      <w:r w:rsidRPr="00EA59C0">
        <w:t>deliverables</w:t>
      </w:r>
      <w:r w:rsidR="00C026A6" w:rsidRPr="00EA59C0">
        <w:t xml:space="preserve"> </w:t>
      </w:r>
      <w:r w:rsidRPr="00EA59C0">
        <w:t>should</w:t>
      </w:r>
      <w:r w:rsidR="00C026A6" w:rsidRPr="00EA59C0">
        <w:t xml:space="preserve"> </w:t>
      </w:r>
      <w:r w:rsidRPr="00EA59C0">
        <w:t>be</w:t>
      </w:r>
      <w:r w:rsidR="00C026A6" w:rsidRPr="00EA59C0">
        <w:t xml:space="preserve"> </w:t>
      </w:r>
      <w:r w:rsidRPr="00EA59C0">
        <w:t>well-balanced,</w:t>
      </w:r>
      <w:r w:rsidR="00C026A6" w:rsidRPr="00EA59C0">
        <w:t xml:space="preserve"> </w:t>
      </w:r>
      <w:r w:rsidRPr="00EA59C0">
        <w:t>in</w:t>
      </w:r>
      <w:r w:rsidR="00C026A6" w:rsidRPr="00EA59C0">
        <w:t xml:space="preserve"> </w:t>
      </w:r>
      <w:r w:rsidRPr="00EA59C0">
        <w:t>that</w:t>
      </w:r>
      <w:r w:rsidR="00C026A6" w:rsidRPr="00EA59C0">
        <w:t xml:space="preserve"> </w:t>
      </w:r>
      <w:r w:rsidRPr="00EA59C0">
        <w:t>a</w:t>
      </w:r>
      <w:r w:rsidR="00C026A6" w:rsidRPr="00EA59C0">
        <w:t xml:space="preserve"> </w:t>
      </w:r>
      <w:r w:rsidRPr="00EA59C0">
        <w:t>low</w:t>
      </w:r>
      <w:r w:rsidR="00C026A6" w:rsidRPr="00EA59C0">
        <w:t xml:space="preserve"> </w:t>
      </w:r>
      <w:r w:rsidRPr="00EA59C0">
        <w:t>number</w:t>
      </w:r>
      <w:r w:rsidR="00C026A6" w:rsidRPr="00EA59C0">
        <w:t xml:space="preserve"> </w:t>
      </w:r>
      <w:r w:rsidRPr="00EA59C0">
        <w:t>of</w:t>
      </w:r>
      <w:r w:rsidR="00C026A6" w:rsidRPr="00EA59C0">
        <w:t xml:space="preserve"> </w:t>
      </w:r>
      <w:r w:rsidRPr="00EA59C0">
        <w:t>students</w:t>
      </w:r>
      <w:r w:rsidR="00C026A6" w:rsidRPr="00EA59C0">
        <w:t xml:space="preserve"> </w:t>
      </w:r>
      <w:r w:rsidRPr="00EA59C0">
        <w:t>projected</w:t>
      </w:r>
      <w:r w:rsidR="00C026A6" w:rsidRPr="00EA59C0">
        <w:t xml:space="preserve"> </w:t>
      </w:r>
      <w:r w:rsidRPr="00EA59C0">
        <w:t>to</w:t>
      </w:r>
      <w:r w:rsidR="00C026A6" w:rsidRPr="00EA59C0">
        <w:t xml:space="preserve"> </w:t>
      </w:r>
      <w:r w:rsidRPr="00EA59C0">
        <w:t>complete</w:t>
      </w:r>
      <w:r w:rsidR="00C026A6" w:rsidRPr="00EA59C0">
        <w:t xml:space="preserve"> </w:t>
      </w:r>
      <w:r w:rsidRPr="00EA59C0">
        <w:t>programs</w:t>
      </w:r>
      <w:r w:rsidR="00C026A6" w:rsidRPr="00EA59C0">
        <w:t xml:space="preserve"> </w:t>
      </w:r>
      <w:r w:rsidRPr="00EA59C0">
        <w:t>may</w:t>
      </w:r>
      <w:r w:rsidR="00C026A6" w:rsidRPr="00EA59C0">
        <w:t xml:space="preserve"> </w:t>
      </w:r>
      <w:r w:rsidRPr="00EA59C0">
        <w:t>be</w:t>
      </w:r>
      <w:r w:rsidR="00C026A6" w:rsidRPr="00EA59C0">
        <w:t xml:space="preserve"> </w:t>
      </w:r>
      <w:r w:rsidRPr="00EA59C0">
        <w:t>offset</w:t>
      </w:r>
      <w:r w:rsidR="00C026A6" w:rsidRPr="00EA59C0">
        <w:t xml:space="preserve"> </w:t>
      </w:r>
      <w:r w:rsidRPr="00EA59C0">
        <w:t>by</w:t>
      </w:r>
      <w:r w:rsidR="00C026A6" w:rsidRPr="00EA59C0">
        <w:t xml:space="preserve"> </w:t>
      </w:r>
      <w:r w:rsidRPr="00EA59C0">
        <w:t>a</w:t>
      </w:r>
      <w:r w:rsidR="00C026A6" w:rsidRPr="00EA59C0">
        <w:t xml:space="preserve"> </w:t>
      </w:r>
      <w:r w:rsidRPr="00EA59C0">
        <w:t>large</w:t>
      </w:r>
      <w:r w:rsidR="00C026A6" w:rsidRPr="00EA59C0">
        <w:t xml:space="preserve"> </w:t>
      </w:r>
      <w:r w:rsidRPr="00EA59C0">
        <w:t>number</w:t>
      </w:r>
      <w:r w:rsidR="00C026A6" w:rsidRPr="00EA59C0">
        <w:t xml:space="preserve"> </w:t>
      </w:r>
      <w:r w:rsidRPr="00EA59C0">
        <w:t>of</w:t>
      </w:r>
      <w:r w:rsidR="00C026A6" w:rsidRPr="00EA59C0">
        <w:t xml:space="preserve"> </w:t>
      </w:r>
      <w:r w:rsidRPr="00EA59C0">
        <w:t>complex,</w:t>
      </w:r>
      <w:r w:rsidR="00C026A6" w:rsidRPr="00EA59C0">
        <w:t xml:space="preserve"> </w:t>
      </w:r>
      <w:r w:rsidRPr="00EA59C0">
        <w:t>original,</w:t>
      </w:r>
      <w:r w:rsidR="00C026A6" w:rsidRPr="00EA59C0">
        <w:t xml:space="preserve"> </w:t>
      </w:r>
      <w:r w:rsidRPr="00EA59C0">
        <w:t>and</w:t>
      </w:r>
      <w:r w:rsidR="00C026A6" w:rsidRPr="00EA59C0">
        <w:t xml:space="preserve"> </w:t>
      </w:r>
      <w:r w:rsidRPr="00EA59C0">
        <w:t>innovative</w:t>
      </w:r>
      <w:r w:rsidR="00C026A6" w:rsidRPr="00EA59C0">
        <w:t xml:space="preserve"> </w:t>
      </w:r>
      <w:r w:rsidRPr="00EA59C0">
        <w:t>planned</w:t>
      </w:r>
      <w:r w:rsidR="00C026A6" w:rsidRPr="00EA59C0">
        <w:t xml:space="preserve"> </w:t>
      </w:r>
      <w:r w:rsidRPr="00EA59C0">
        <w:t>deliverables.</w:t>
      </w:r>
    </w:p>
    <w:p w:rsidR="005B03BD" w:rsidRPr="00EA59C0" w:rsidRDefault="005B03BD" w:rsidP="00C072FA">
      <w:pPr>
        <w:pStyle w:val="ListParagraph"/>
        <w:ind w:left="2520"/>
      </w:pPr>
    </w:p>
    <w:p w:rsidR="005B03BD" w:rsidRPr="00EA59C0" w:rsidRDefault="005B03BD" w:rsidP="00C072FA">
      <w:pPr>
        <w:pStyle w:val="ListParagraph"/>
        <w:numPr>
          <w:ilvl w:val="5"/>
          <w:numId w:val="17"/>
        </w:numPr>
        <w:rPr>
          <w:b/>
        </w:rPr>
      </w:pPr>
      <w:r w:rsidRPr="00EA59C0">
        <w:rPr>
          <w:b/>
        </w:rPr>
        <w:t>System</w:t>
      </w:r>
      <w:r w:rsidR="00C026A6" w:rsidRPr="00EA59C0">
        <w:rPr>
          <w:b/>
        </w:rPr>
        <w:t xml:space="preserve"> </w:t>
      </w:r>
      <w:r w:rsidRPr="00EA59C0">
        <w:rPr>
          <w:b/>
        </w:rPr>
        <w:t>or</w:t>
      </w:r>
      <w:r w:rsidR="00C026A6" w:rsidRPr="00EA59C0">
        <w:rPr>
          <w:b/>
        </w:rPr>
        <w:t xml:space="preserve"> </w:t>
      </w:r>
      <w:r w:rsidRPr="00EA59C0">
        <w:rPr>
          <w:b/>
        </w:rPr>
        <w:t>Process</w:t>
      </w:r>
      <w:r w:rsidR="00C026A6" w:rsidRPr="00EA59C0">
        <w:rPr>
          <w:b/>
        </w:rPr>
        <w:t xml:space="preserve"> </w:t>
      </w:r>
      <w:r w:rsidRPr="00EA59C0">
        <w:rPr>
          <w:b/>
        </w:rPr>
        <w:t>for</w:t>
      </w:r>
      <w:r w:rsidR="00C026A6" w:rsidRPr="00EA59C0">
        <w:rPr>
          <w:b/>
        </w:rPr>
        <w:t xml:space="preserve"> </w:t>
      </w:r>
      <w:r w:rsidRPr="00EA59C0">
        <w:rPr>
          <w:b/>
        </w:rPr>
        <w:t>Tracking</w:t>
      </w:r>
      <w:r w:rsidR="00C026A6" w:rsidRPr="00EA59C0">
        <w:rPr>
          <w:b/>
        </w:rPr>
        <w:t xml:space="preserve"> </w:t>
      </w:r>
      <w:r w:rsidRPr="00EA59C0">
        <w:rPr>
          <w:b/>
        </w:rPr>
        <w:t>and</w:t>
      </w:r>
      <w:r w:rsidR="00C026A6" w:rsidRPr="00EA59C0">
        <w:rPr>
          <w:b/>
        </w:rPr>
        <w:t xml:space="preserve"> </w:t>
      </w:r>
      <w:r w:rsidRPr="00EA59C0">
        <w:rPr>
          <w:b/>
        </w:rPr>
        <w:t>Reporting</w:t>
      </w:r>
      <w:r w:rsidR="00C026A6" w:rsidRPr="00EA59C0">
        <w:rPr>
          <w:b/>
        </w:rPr>
        <w:t xml:space="preserve"> </w:t>
      </w:r>
      <w:r w:rsidRPr="00EA59C0">
        <w:rPr>
          <w:b/>
        </w:rPr>
        <w:t>Outcome</w:t>
      </w:r>
      <w:r w:rsidR="00C026A6" w:rsidRPr="00EA59C0">
        <w:rPr>
          <w:b/>
        </w:rPr>
        <w:t xml:space="preserve"> </w:t>
      </w:r>
      <w:r w:rsidRPr="00EA59C0">
        <w:rPr>
          <w:b/>
        </w:rPr>
        <w:t>Measures</w:t>
      </w:r>
    </w:p>
    <w:p w:rsidR="005B03BD" w:rsidRPr="00EA59C0" w:rsidRDefault="005B03BD" w:rsidP="00C072FA">
      <w:pPr>
        <w:pStyle w:val="ListParagraph"/>
        <w:ind w:left="2160"/>
      </w:pPr>
      <w:r w:rsidRPr="00EA59C0">
        <w:t>Successful</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be</w:t>
      </w:r>
      <w:r w:rsidR="00C026A6" w:rsidRPr="00EA59C0">
        <w:t xml:space="preserve"> </w:t>
      </w:r>
      <w:r w:rsidRPr="00EA59C0">
        <w:t>required</w:t>
      </w:r>
      <w:r w:rsidR="00C026A6" w:rsidRPr="00EA59C0">
        <w:t xml:space="preserve"> </w:t>
      </w:r>
      <w:r w:rsidRPr="00EA59C0">
        <w:t>to</w:t>
      </w:r>
      <w:r w:rsidR="00C026A6" w:rsidRPr="00EA59C0">
        <w:t xml:space="preserve"> </w:t>
      </w:r>
      <w:r w:rsidRPr="00EA59C0">
        <w:t>track</w:t>
      </w:r>
      <w:r w:rsidR="00C026A6" w:rsidRPr="00EA59C0">
        <w:t xml:space="preserve"> </w:t>
      </w:r>
      <w:r w:rsidRPr="00EA59C0">
        <w:t>and</w:t>
      </w:r>
      <w:r w:rsidR="00C026A6" w:rsidRPr="00EA59C0">
        <w:t xml:space="preserve"> </w:t>
      </w:r>
      <w:r w:rsidRPr="00EA59C0">
        <w:t>report</w:t>
      </w:r>
      <w:r w:rsidR="00C026A6" w:rsidRPr="00EA59C0">
        <w:t xml:space="preserve"> </w:t>
      </w:r>
      <w:r w:rsidRPr="00EA59C0">
        <w:t>outcome</w:t>
      </w:r>
      <w:r w:rsidR="00C026A6" w:rsidRPr="00EA59C0">
        <w:t xml:space="preserve"> </w:t>
      </w:r>
      <w:r w:rsidRPr="00EA59C0">
        <w:t>measures</w:t>
      </w:r>
      <w:r w:rsidR="00C026A6" w:rsidRPr="00EA59C0">
        <w:t xml:space="preserve"> </w:t>
      </w:r>
      <w:r w:rsidRPr="00EA59C0">
        <w:t>for</w:t>
      </w:r>
      <w:r w:rsidR="00C026A6" w:rsidRPr="00EA59C0">
        <w:t xml:space="preserve"> </w:t>
      </w:r>
      <w:r w:rsidRPr="00EA59C0">
        <w:t>program</w:t>
      </w:r>
      <w:r w:rsidR="00C026A6" w:rsidRPr="00EA59C0">
        <w:t xml:space="preserve"> </w:t>
      </w:r>
      <w:r w:rsidRPr="00EA59C0">
        <w:t>participants,</w:t>
      </w:r>
      <w:r w:rsidR="00C026A6" w:rsidRPr="00EA59C0">
        <w:t xml:space="preserve"> </w:t>
      </w:r>
      <w:r w:rsidRPr="00EA59C0">
        <w:t>and</w:t>
      </w:r>
      <w:r w:rsidR="00C026A6" w:rsidRPr="00EA59C0">
        <w:t xml:space="preserve"> </w:t>
      </w:r>
      <w:r w:rsidRPr="00EA59C0">
        <w:t>must</w:t>
      </w:r>
      <w:r w:rsidR="00C026A6" w:rsidRPr="00EA59C0">
        <w:t xml:space="preserve"> </w:t>
      </w:r>
      <w:r w:rsidRPr="00EA59C0">
        <w:t>have</w:t>
      </w:r>
      <w:r w:rsidR="00C026A6" w:rsidRPr="00EA59C0">
        <w:t xml:space="preserve"> </w:t>
      </w:r>
      <w:r w:rsidRPr="00EA59C0">
        <w:t>appropriate</w:t>
      </w:r>
      <w:r w:rsidR="00C026A6" w:rsidRPr="00EA59C0">
        <w:t xml:space="preserve"> </w:t>
      </w:r>
      <w:r w:rsidRPr="00EA59C0">
        <w:t>systems</w:t>
      </w:r>
      <w:r w:rsidR="00C026A6" w:rsidRPr="00EA59C0">
        <w:t xml:space="preserve"> </w:t>
      </w:r>
      <w:r w:rsidRPr="00EA59C0">
        <w:t>in</w:t>
      </w:r>
      <w:r w:rsidR="00C026A6" w:rsidRPr="00EA59C0">
        <w:t xml:space="preserve"> </w:t>
      </w:r>
      <w:r w:rsidRPr="00EA59C0">
        <w:t>place</w:t>
      </w:r>
      <w:r w:rsidR="00C026A6" w:rsidRPr="00EA59C0">
        <w:t xml:space="preserve"> </w:t>
      </w:r>
      <w:r w:rsidRPr="00EA59C0">
        <w:t>to</w:t>
      </w:r>
      <w:r w:rsidR="00C026A6" w:rsidRPr="00EA59C0">
        <w:t xml:space="preserve"> </w:t>
      </w:r>
      <w:r w:rsidRPr="00EA59C0">
        <w:t>do</w:t>
      </w:r>
      <w:r w:rsidR="00C026A6" w:rsidRPr="00EA59C0">
        <w:t xml:space="preserve"> </w:t>
      </w:r>
      <w:r w:rsidRPr="00EA59C0">
        <w:t>so.</w:t>
      </w:r>
      <w:r w:rsidR="00C026A6" w:rsidRPr="00EA59C0">
        <w:t xml:space="preserve">  </w:t>
      </w:r>
      <w:r w:rsidRPr="00EA59C0">
        <w:t>For</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Lead</w:t>
      </w:r>
      <w:r w:rsidR="00C026A6" w:rsidRPr="00EA59C0">
        <w:t xml:space="preserve"> </w:t>
      </w:r>
      <w:r w:rsidRPr="00EA59C0">
        <w:t>Institutions</w:t>
      </w:r>
      <w:r w:rsidR="00C026A6" w:rsidRPr="00EA59C0">
        <w:t xml:space="preserve"> </w:t>
      </w:r>
      <w:r w:rsidRPr="00EA59C0">
        <w:t>must</w:t>
      </w:r>
      <w:r w:rsidR="00C026A6" w:rsidRPr="00EA59C0">
        <w:t xml:space="preserve"> </w:t>
      </w:r>
      <w:r w:rsidRPr="00EA59C0">
        <w:t>have</w:t>
      </w:r>
      <w:r w:rsidR="00C026A6" w:rsidRPr="00EA59C0">
        <w:t xml:space="preserve"> </w:t>
      </w:r>
      <w:r w:rsidRPr="00EA59C0">
        <w:t>a</w:t>
      </w:r>
      <w:r w:rsidR="00C026A6" w:rsidRPr="00EA59C0">
        <w:t xml:space="preserve"> </w:t>
      </w:r>
      <w:r w:rsidRPr="00EA59C0">
        <w:t>system</w:t>
      </w:r>
      <w:r w:rsidR="00C026A6" w:rsidRPr="00EA59C0">
        <w:t xml:space="preserve"> </w:t>
      </w:r>
      <w:r w:rsidRPr="00EA59C0">
        <w:t>in</w:t>
      </w:r>
      <w:r w:rsidR="00C026A6" w:rsidRPr="00EA59C0">
        <w:t xml:space="preserve"> </w:t>
      </w:r>
      <w:r w:rsidRPr="00EA59C0">
        <w:t>place</w:t>
      </w:r>
      <w:r w:rsidR="00C026A6" w:rsidRPr="00EA59C0">
        <w:t xml:space="preserve"> </w:t>
      </w:r>
      <w:r w:rsidRPr="00EA59C0">
        <w:t>to</w:t>
      </w:r>
      <w:r w:rsidR="00C026A6" w:rsidRPr="00EA59C0">
        <w:t xml:space="preserve"> </w:t>
      </w:r>
      <w:r w:rsidRPr="00EA59C0">
        <w:t>receive</w:t>
      </w:r>
      <w:r w:rsidR="00C026A6" w:rsidRPr="00EA59C0">
        <w:t xml:space="preserve"> </w:t>
      </w:r>
      <w:r w:rsidRPr="00EA59C0">
        <w:t>and</w:t>
      </w:r>
      <w:r w:rsidR="00C026A6" w:rsidRPr="00EA59C0">
        <w:t xml:space="preserve"> </w:t>
      </w:r>
      <w:r w:rsidRPr="00EA59C0">
        <w:t>compile</w:t>
      </w:r>
      <w:r w:rsidR="00C026A6" w:rsidRPr="00EA59C0">
        <w:t xml:space="preserve"> </w:t>
      </w:r>
      <w:r w:rsidRPr="00EA59C0">
        <w:t>outcome</w:t>
      </w:r>
      <w:r w:rsidR="00C026A6" w:rsidRPr="00EA59C0">
        <w:t xml:space="preserve"> </w:t>
      </w:r>
      <w:r w:rsidRPr="00EA59C0">
        <w:t>measures</w:t>
      </w:r>
      <w:r w:rsidR="00C026A6" w:rsidRPr="00EA59C0">
        <w:t xml:space="preserve"> </w:t>
      </w:r>
      <w:r w:rsidRPr="00EA59C0">
        <w:t>of</w:t>
      </w:r>
      <w:r w:rsidR="00C026A6" w:rsidRPr="00EA59C0">
        <w:t xml:space="preserve"> </w:t>
      </w:r>
      <w:r w:rsidRPr="00EA59C0">
        <w:t>member</w:t>
      </w:r>
      <w:r w:rsidR="00C026A6" w:rsidRPr="00EA59C0">
        <w:t xml:space="preserve"> </w:t>
      </w:r>
      <w:r w:rsidRPr="00EA59C0">
        <w:t>institutions.</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refer</w:t>
      </w:r>
      <w:r w:rsidR="00C026A6" w:rsidRPr="00EA59C0">
        <w:t xml:space="preserve"> </w:t>
      </w:r>
      <w:r w:rsidRPr="00EA59C0">
        <w:t>to</w:t>
      </w:r>
      <w:r w:rsidR="00C026A6" w:rsidRPr="00EA59C0">
        <w:t xml:space="preserve"> </w:t>
      </w:r>
      <w:r w:rsidRPr="00EA59C0">
        <w:t>Section</w:t>
      </w:r>
      <w:r w:rsidR="00C026A6" w:rsidRPr="00EA59C0">
        <w:t xml:space="preserve"> </w:t>
      </w:r>
      <w:r w:rsidRPr="00EA59C0">
        <w:t>VI.C</w:t>
      </w:r>
      <w:r w:rsidR="00C026A6" w:rsidRPr="00EA59C0">
        <w:t xml:space="preserve"> </w:t>
      </w:r>
      <w:r w:rsidRPr="00EA59C0">
        <w:t>for</w:t>
      </w:r>
      <w:r w:rsidR="00C026A6" w:rsidRPr="00EA59C0">
        <w:t xml:space="preserve"> </w:t>
      </w:r>
      <w:r w:rsidRPr="00EA59C0">
        <w:t>a</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the</w:t>
      </w:r>
      <w:r w:rsidR="00C026A6" w:rsidRPr="00EA59C0">
        <w:t xml:space="preserve"> </w:t>
      </w:r>
      <w:r w:rsidRPr="00EA59C0">
        <w:t>quarterly</w:t>
      </w:r>
      <w:r w:rsidR="00C026A6" w:rsidRPr="00EA59C0">
        <w:t xml:space="preserve"> </w:t>
      </w:r>
      <w:r w:rsidRPr="00EA59C0">
        <w:t>and</w:t>
      </w:r>
      <w:r w:rsidR="00C026A6" w:rsidRPr="00EA59C0">
        <w:t xml:space="preserve"> </w:t>
      </w:r>
      <w:r w:rsidRPr="00EA59C0">
        <w:t>annual</w:t>
      </w:r>
      <w:r w:rsidR="00C026A6" w:rsidRPr="00EA59C0">
        <w:t xml:space="preserve"> </w:t>
      </w:r>
      <w:r w:rsidRPr="00EA59C0">
        <w:t>reporting</w:t>
      </w:r>
      <w:r w:rsidR="00C026A6" w:rsidRPr="00EA59C0">
        <w:t xml:space="preserve"> </w:t>
      </w:r>
      <w:r w:rsidRPr="00EA59C0">
        <w:t>requirements</w:t>
      </w:r>
      <w:r w:rsidR="00C026A6" w:rsidRPr="00EA59C0">
        <w:t xml:space="preserve"> </w:t>
      </w:r>
      <w:r w:rsidRPr="00EA59C0">
        <w:t>for</w:t>
      </w:r>
      <w:r w:rsidR="00C026A6" w:rsidRPr="00EA59C0">
        <w:t xml:space="preserve"> </w:t>
      </w:r>
      <w:r w:rsidRPr="00EA59C0">
        <w:t>the</w:t>
      </w:r>
      <w:r w:rsidR="00C026A6" w:rsidRPr="00EA59C0">
        <w:t xml:space="preserve"> </w:t>
      </w:r>
      <w:r w:rsidRPr="00EA59C0">
        <w:t>grant.</w:t>
      </w:r>
      <w:r w:rsidR="00C026A6" w:rsidRPr="00EA59C0">
        <w:t xml:space="preserve">  </w:t>
      </w:r>
      <w:r w:rsidRPr="00EA59C0">
        <w:t>The</w:t>
      </w:r>
      <w:r w:rsidR="00C026A6" w:rsidRPr="00EA59C0">
        <w:t xml:space="preserve"> </w:t>
      </w:r>
      <w:r w:rsidRPr="00EA59C0">
        <w:t>specific</w:t>
      </w:r>
      <w:r w:rsidR="00C026A6" w:rsidRPr="00EA59C0">
        <w:t xml:space="preserve"> </w:t>
      </w:r>
      <w:r w:rsidRPr="00EA59C0">
        <w:t>outcomes</w:t>
      </w:r>
      <w:r w:rsidR="00C026A6" w:rsidRPr="00EA59C0">
        <w:t xml:space="preserve"> </w:t>
      </w:r>
      <w:r w:rsidRPr="00EA59C0">
        <w:t>and</w:t>
      </w:r>
      <w:r w:rsidR="00C026A6" w:rsidRPr="00EA59C0">
        <w:t xml:space="preserve"> </w:t>
      </w:r>
      <w:r w:rsidRPr="00EA59C0">
        <w:t>outcome</w:t>
      </w:r>
      <w:r w:rsidR="00C026A6" w:rsidRPr="00EA59C0">
        <w:t xml:space="preserve"> </w:t>
      </w:r>
      <w:r w:rsidRPr="00EA59C0">
        <w:t>definitions</w:t>
      </w:r>
      <w:r w:rsidR="00C026A6" w:rsidRPr="00EA59C0">
        <w:t xml:space="preserve"> </w:t>
      </w:r>
      <w:r w:rsidRPr="00EA59C0">
        <w:t>for</w:t>
      </w:r>
      <w:r w:rsidR="00C026A6" w:rsidRPr="00EA59C0">
        <w:t xml:space="preserve"> </w:t>
      </w:r>
      <w:r w:rsidRPr="00EA59C0">
        <w:t>all</w:t>
      </w:r>
      <w:r w:rsidR="00C026A6" w:rsidRPr="00EA59C0">
        <w:t xml:space="preserve"> </w:t>
      </w:r>
      <w:r w:rsidRPr="00EA59C0">
        <w:t>participants</w:t>
      </w:r>
      <w:r w:rsidR="00C026A6" w:rsidRPr="00EA59C0">
        <w:t xml:space="preserve"> </w:t>
      </w:r>
      <w:r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reported</w:t>
      </w:r>
      <w:r w:rsidR="00C026A6" w:rsidRPr="00EA59C0">
        <w:t xml:space="preserve"> </w:t>
      </w:r>
      <w:r w:rsidRPr="00EA59C0">
        <w:t>are</w:t>
      </w:r>
      <w:r w:rsidR="00C026A6" w:rsidRPr="00EA59C0">
        <w:t xml:space="preserve"> </w:t>
      </w:r>
      <w:r w:rsidRPr="00EA59C0">
        <w:t>found</w:t>
      </w:r>
      <w:r w:rsidR="00C026A6" w:rsidRPr="00EA59C0">
        <w:t xml:space="preserve"> </w:t>
      </w:r>
      <w:r w:rsidRPr="00EA59C0">
        <w:t>in</w:t>
      </w:r>
      <w:r w:rsidR="00C026A6" w:rsidRPr="00EA59C0">
        <w:t xml:space="preserve"> </w:t>
      </w:r>
      <w:r w:rsidRPr="00EA59C0">
        <w:t>Appendix</w:t>
      </w:r>
      <w:r w:rsidR="00C026A6" w:rsidRPr="00EA59C0">
        <w:t xml:space="preserve"> </w:t>
      </w:r>
      <w:r w:rsidR="008A70C1" w:rsidRPr="00EA59C0">
        <w:t>L</w:t>
      </w:r>
      <w:r w:rsidRPr="00EA59C0">
        <w:t>.</w:t>
      </w:r>
      <w:r w:rsidR="00C026A6" w:rsidRPr="00EA59C0">
        <w:t xml:space="preserve">  </w:t>
      </w:r>
    </w:p>
    <w:p w:rsidR="005B03BD" w:rsidRPr="00EA59C0" w:rsidRDefault="005B03BD" w:rsidP="00C072FA">
      <w:pPr>
        <w:pStyle w:val="ListParagraph"/>
        <w:ind w:left="1440"/>
      </w:pPr>
    </w:p>
    <w:p w:rsidR="005B03BD" w:rsidRPr="00EA59C0" w:rsidRDefault="005B03BD" w:rsidP="00C072FA">
      <w:pPr>
        <w:pStyle w:val="ListParagraph"/>
        <w:numPr>
          <w:ilvl w:val="6"/>
          <w:numId w:val="17"/>
        </w:numPr>
      </w:pPr>
      <w:r w:rsidRPr="00EA59C0">
        <w:t>Existing</w:t>
      </w:r>
      <w:r w:rsidR="00C026A6" w:rsidRPr="00EA59C0">
        <w:t xml:space="preserve"> </w:t>
      </w:r>
      <w:r w:rsidRPr="00EA59C0">
        <w:t>Tracking</w:t>
      </w:r>
      <w:r w:rsidR="00C026A6" w:rsidRPr="00EA59C0">
        <w:t xml:space="preserve"> </w:t>
      </w:r>
      <w:r w:rsidRPr="00EA59C0">
        <w:t>Procedures</w:t>
      </w:r>
    </w:p>
    <w:p w:rsidR="005B03BD" w:rsidRPr="00EA59C0" w:rsidRDefault="005B03BD" w:rsidP="00C072FA">
      <w:pPr>
        <w:pStyle w:val="ListParagraph"/>
        <w:ind w:left="2520"/>
      </w:pPr>
      <w:r w:rsidRPr="00EA59C0">
        <w:t>Applicants</w:t>
      </w:r>
      <w:r w:rsidR="00C026A6" w:rsidRPr="00EA59C0">
        <w:t xml:space="preserve"> </w:t>
      </w:r>
      <w:r w:rsidRPr="00EA59C0">
        <w:t>must</w:t>
      </w:r>
      <w:r w:rsidR="00C026A6" w:rsidRPr="00EA59C0">
        <w:t xml:space="preserve"> </w:t>
      </w:r>
      <w:r w:rsidRPr="00EA59C0">
        <w:t>provide</w:t>
      </w:r>
      <w:r w:rsidR="00C026A6" w:rsidRPr="00EA59C0">
        <w:t xml:space="preserve"> </w:t>
      </w:r>
      <w:r w:rsidRPr="00EA59C0">
        <w:t>specific</w:t>
      </w:r>
      <w:r w:rsidR="00C026A6" w:rsidRPr="00EA59C0">
        <w:t xml:space="preserve"> </w:t>
      </w:r>
      <w:r w:rsidRPr="00EA59C0">
        <w:t>details</w:t>
      </w:r>
      <w:r w:rsidR="00C026A6" w:rsidRPr="00EA59C0">
        <w:t xml:space="preserve"> </w:t>
      </w:r>
      <w:r w:rsidRPr="00EA59C0">
        <w:t>about</w:t>
      </w:r>
      <w:r w:rsidR="00C026A6" w:rsidRPr="00EA59C0">
        <w:t xml:space="preserve"> </w:t>
      </w:r>
      <w:r w:rsidRPr="00EA59C0">
        <w:t>the</w:t>
      </w:r>
      <w:r w:rsidR="00C026A6" w:rsidRPr="00EA59C0">
        <w:t xml:space="preserve"> </w:t>
      </w:r>
      <w:r w:rsidRPr="00EA59C0">
        <w:t>procedures</w:t>
      </w:r>
      <w:r w:rsidR="00C026A6" w:rsidRPr="00EA59C0">
        <w:t xml:space="preserve"> </w:t>
      </w:r>
      <w:r w:rsidRPr="00EA59C0">
        <w:t>already</w:t>
      </w:r>
      <w:r w:rsidR="00C026A6" w:rsidRPr="00EA59C0">
        <w:t xml:space="preserve"> </w:t>
      </w:r>
      <w:r w:rsidRPr="00EA59C0">
        <w:t>in</w:t>
      </w:r>
      <w:r w:rsidR="00C026A6" w:rsidRPr="00EA59C0">
        <w:t xml:space="preserve"> </w:t>
      </w:r>
      <w:r w:rsidRPr="00EA59C0">
        <w:t>place</w:t>
      </w:r>
      <w:r w:rsidR="00C026A6" w:rsidRPr="00EA59C0">
        <w:t xml:space="preserve"> </w:t>
      </w:r>
      <w:r w:rsidRPr="00EA59C0">
        <w:t>for</w:t>
      </w:r>
      <w:r w:rsidR="00C026A6" w:rsidRPr="00EA59C0">
        <w:t xml:space="preserve"> </w:t>
      </w:r>
      <w:r w:rsidRPr="00EA59C0">
        <w:t>tracking</w:t>
      </w:r>
      <w:r w:rsidR="00C026A6" w:rsidRPr="00EA59C0">
        <w:t xml:space="preserve"> </w:t>
      </w:r>
      <w:r w:rsidRPr="00EA59C0">
        <w:t>student</w:t>
      </w:r>
      <w:r w:rsidR="00C026A6" w:rsidRPr="00EA59C0">
        <w:t xml:space="preserve"> </w:t>
      </w:r>
      <w:r w:rsidRPr="00EA59C0">
        <w:t>outcomes,</w:t>
      </w:r>
      <w:r w:rsidR="00C026A6" w:rsidRPr="00EA59C0">
        <w:t xml:space="preserve"> </w:t>
      </w:r>
      <w:r w:rsidRPr="00EA59C0">
        <w:t>including</w:t>
      </w:r>
      <w:r w:rsidR="00C026A6" w:rsidRPr="00EA59C0">
        <w:t xml:space="preserve"> </w:t>
      </w:r>
      <w:r w:rsidRPr="00EA59C0">
        <w:t>which</w:t>
      </w:r>
      <w:r w:rsidR="00C026A6" w:rsidRPr="00EA59C0">
        <w:t xml:space="preserve"> </w:t>
      </w:r>
      <w:r w:rsidRPr="00EA59C0">
        <w:t>outcomes</w:t>
      </w:r>
      <w:r w:rsidR="00C026A6" w:rsidRPr="00EA59C0">
        <w:t xml:space="preserve"> </w:t>
      </w:r>
      <w:r w:rsidRPr="00EA59C0">
        <w:t>are</w:t>
      </w:r>
      <w:r w:rsidR="00C026A6" w:rsidRPr="00EA59C0">
        <w:t xml:space="preserve"> </w:t>
      </w:r>
      <w:r w:rsidRPr="00EA59C0">
        <w:t>already</w:t>
      </w:r>
      <w:r w:rsidR="00C026A6" w:rsidRPr="00EA59C0">
        <w:t xml:space="preserve"> </w:t>
      </w:r>
      <w:r w:rsidRPr="00EA59C0">
        <w:t>captured</w:t>
      </w:r>
      <w:r w:rsidR="00C026A6" w:rsidRPr="00EA59C0">
        <w:t xml:space="preserve"> </w:t>
      </w:r>
      <w:r w:rsidRPr="00EA59C0">
        <w:t>through</w:t>
      </w:r>
      <w:r w:rsidR="00C026A6" w:rsidRPr="00EA59C0">
        <w:t xml:space="preserve"> </w:t>
      </w:r>
      <w:r w:rsidRPr="00EA59C0">
        <w:t>the</w:t>
      </w:r>
      <w:r w:rsidR="00C026A6" w:rsidRPr="00EA59C0">
        <w:t xml:space="preserve"> </w:t>
      </w:r>
      <w:r w:rsidRPr="00EA59C0">
        <w:t>process</w:t>
      </w:r>
      <w:r w:rsidR="00C026A6" w:rsidRPr="00EA59C0">
        <w:t xml:space="preserve"> </w:t>
      </w:r>
      <w:r w:rsidRPr="00EA59C0">
        <w:t>currently</w:t>
      </w:r>
      <w:r w:rsidR="00C026A6" w:rsidRPr="00EA59C0">
        <w:t xml:space="preserve"> </w:t>
      </w:r>
      <w:r w:rsidRPr="00EA59C0">
        <w:t>being</w:t>
      </w:r>
      <w:r w:rsidR="00C026A6" w:rsidRPr="00EA59C0">
        <w:t xml:space="preserve"> </w:t>
      </w:r>
      <w:r w:rsidRPr="00EA59C0">
        <w:t>used,</w:t>
      </w:r>
      <w:r w:rsidR="00C026A6" w:rsidRPr="00EA59C0">
        <w:t xml:space="preserve"> </w:t>
      </w:r>
      <w:r w:rsidRPr="00EA59C0">
        <w:t>and</w:t>
      </w:r>
      <w:r w:rsidR="00C026A6" w:rsidRPr="00EA59C0">
        <w:t xml:space="preserve"> </w:t>
      </w:r>
      <w:r w:rsidRPr="00EA59C0">
        <w:t>describe</w:t>
      </w:r>
      <w:r w:rsidR="00C026A6" w:rsidRPr="00EA59C0">
        <w:t xml:space="preserve"> </w:t>
      </w:r>
      <w:r w:rsidRPr="00EA59C0">
        <w:t>staffing,</w:t>
      </w:r>
      <w:r w:rsidR="00C026A6" w:rsidRPr="00EA59C0">
        <w:t xml:space="preserve"> </w:t>
      </w:r>
      <w:r w:rsidRPr="00EA59C0">
        <w:t>technology,</w:t>
      </w:r>
      <w:r w:rsidR="00C026A6" w:rsidRPr="00EA59C0">
        <w:t xml:space="preserve"> </w:t>
      </w:r>
      <w:r w:rsidRPr="00EA59C0">
        <w:t>computer</w:t>
      </w:r>
      <w:r w:rsidR="00C026A6" w:rsidRPr="00EA59C0">
        <w:t xml:space="preserve"> </w:t>
      </w:r>
      <w:r w:rsidRPr="00EA59C0">
        <w:t>applications,</w:t>
      </w:r>
      <w:r w:rsidR="00C026A6" w:rsidRPr="00EA59C0">
        <w:t xml:space="preserve"> </w:t>
      </w:r>
      <w:r w:rsidRPr="00EA59C0">
        <w:t>and</w:t>
      </w:r>
      <w:r w:rsidR="00C026A6" w:rsidRPr="00EA59C0">
        <w:t xml:space="preserve"> </w:t>
      </w:r>
      <w:r w:rsidRPr="00EA59C0">
        <w:t>other</w:t>
      </w:r>
      <w:r w:rsidR="00C026A6" w:rsidRPr="00EA59C0">
        <w:t xml:space="preserve"> </w:t>
      </w:r>
      <w:r w:rsidRPr="00EA59C0">
        <w:t>resources</w:t>
      </w:r>
      <w:r w:rsidR="00C026A6" w:rsidRPr="00EA59C0">
        <w:t xml:space="preserve"> </w:t>
      </w:r>
      <w:r w:rsidRPr="00EA59C0">
        <w:t>already</w:t>
      </w:r>
      <w:r w:rsidR="00C026A6" w:rsidRPr="00EA59C0">
        <w:t xml:space="preserve"> </w:t>
      </w:r>
      <w:r w:rsidRPr="00EA59C0">
        <w:t>available</w:t>
      </w:r>
      <w:r w:rsidR="00C026A6" w:rsidRPr="00EA59C0">
        <w:t xml:space="preserve"> </w:t>
      </w:r>
      <w:r w:rsidRPr="00EA59C0">
        <w:t>to</w:t>
      </w:r>
      <w:r w:rsidR="00C026A6" w:rsidRPr="00EA59C0">
        <w:t xml:space="preserve"> </w:t>
      </w:r>
      <w:r w:rsidRPr="00EA59C0">
        <w:t>accomplish</w:t>
      </w:r>
      <w:r w:rsidR="00C026A6" w:rsidRPr="00EA59C0">
        <w:t xml:space="preserve"> </w:t>
      </w:r>
      <w:r w:rsidRPr="00EA59C0">
        <w:t>this</w:t>
      </w:r>
      <w:r w:rsidR="00C026A6" w:rsidRPr="00EA59C0">
        <w:t xml:space="preserve"> </w:t>
      </w:r>
      <w:r w:rsidRPr="00EA59C0">
        <w:t>task.</w:t>
      </w:r>
      <w:r w:rsidR="00C026A6" w:rsidRPr="00EA59C0">
        <w:t xml:space="preserve">  </w:t>
      </w:r>
      <w:r w:rsidRPr="00EA59C0">
        <w:t>Consortium</w:t>
      </w:r>
      <w:r w:rsidR="00C026A6" w:rsidRPr="00EA59C0">
        <w:t xml:space="preserve"> </w:t>
      </w:r>
      <w:r w:rsidRPr="00EA59C0">
        <w:t>applicants</w:t>
      </w:r>
      <w:r w:rsidR="00C026A6" w:rsidRPr="00EA59C0">
        <w:t xml:space="preserve"> </w:t>
      </w:r>
      <w:r w:rsidR="00910E6D" w:rsidRPr="00EA59C0">
        <w:t>must</w:t>
      </w:r>
      <w:r w:rsidR="00C026A6" w:rsidRPr="00EA59C0">
        <w:t xml:space="preserve"> </w:t>
      </w:r>
      <w:r w:rsidRPr="00EA59C0">
        <w:t>ensure</w:t>
      </w:r>
      <w:r w:rsidR="00C026A6" w:rsidRPr="00EA59C0">
        <w:t xml:space="preserve"> </w:t>
      </w:r>
      <w:r w:rsidRPr="00EA59C0">
        <w:t>they</w:t>
      </w:r>
      <w:r w:rsidR="00C026A6" w:rsidRPr="00EA59C0">
        <w:t xml:space="preserve"> </w:t>
      </w:r>
      <w:r w:rsidRPr="00EA59C0">
        <w:t>describe</w:t>
      </w:r>
      <w:r w:rsidR="00C026A6" w:rsidRPr="00EA59C0">
        <w:t xml:space="preserve"> </w:t>
      </w:r>
      <w:r w:rsidRPr="00EA59C0">
        <w:t>existing</w:t>
      </w:r>
      <w:r w:rsidR="00C026A6" w:rsidRPr="00EA59C0">
        <w:t xml:space="preserve"> </w:t>
      </w:r>
      <w:r w:rsidRPr="00EA59C0">
        <w:t>tracking</w:t>
      </w:r>
      <w:r w:rsidR="00C026A6" w:rsidRPr="00EA59C0">
        <w:t xml:space="preserve"> </w:t>
      </w:r>
      <w:r w:rsidRPr="00EA59C0">
        <w:t>procedures</w:t>
      </w:r>
      <w:r w:rsidR="00C026A6" w:rsidRPr="00EA59C0">
        <w:t xml:space="preserve"> </w:t>
      </w:r>
      <w:r w:rsidRPr="00EA59C0">
        <w:t>across</w:t>
      </w:r>
      <w:r w:rsidR="00C026A6" w:rsidRPr="00EA59C0">
        <w:t xml:space="preserve"> </w:t>
      </w:r>
      <w:r w:rsidRPr="00EA59C0">
        <w:t>consortium</w:t>
      </w:r>
      <w:r w:rsidR="00C026A6" w:rsidRPr="00EA59C0">
        <w:t xml:space="preserve"> </w:t>
      </w:r>
      <w:r w:rsidRPr="00EA59C0">
        <w:t>members.</w:t>
      </w:r>
      <w:r w:rsidR="00C026A6" w:rsidRPr="00EA59C0">
        <w:t xml:space="preserve">  </w:t>
      </w:r>
    </w:p>
    <w:p w:rsidR="005B03BD" w:rsidRPr="00EA59C0" w:rsidRDefault="005B03BD" w:rsidP="00C072FA">
      <w:pPr>
        <w:ind w:left="1080"/>
      </w:pPr>
    </w:p>
    <w:p w:rsidR="005B03BD" w:rsidRPr="00EA59C0" w:rsidRDefault="005B03BD" w:rsidP="00C072FA">
      <w:pPr>
        <w:pStyle w:val="ListParagraph"/>
        <w:numPr>
          <w:ilvl w:val="6"/>
          <w:numId w:val="17"/>
        </w:numPr>
      </w:pPr>
      <w:r w:rsidRPr="00EA59C0">
        <w:t>Plan</w:t>
      </w:r>
      <w:r w:rsidR="00C026A6" w:rsidRPr="00EA59C0">
        <w:t xml:space="preserve"> </w:t>
      </w:r>
      <w:r w:rsidRPr="00EA59C0">
        <w:t>to</w:t>
      </w:r>
      <w:r w:rsidR="00C026A6" w:rsidRPr="00EA59C0">
        <w:t xml:space="preserve"> </w:t>
      </w:r>
      <w:r w:rsidRPr="00EA59C0">
        <w:t>Address</w:t>
      </w:r>
      <w:r w:rsidR="00C026A6" w:rsidRPr="00EA59C0">
        <w:t xml:space="preserve"> </w:t>
      </w:r>
      <w:r w:rsidRPr="00EA59C0">
        <w:t>Gaps</w:t>
      </w:r>
      <w:r w:rsidR="00C026A6" w:rsidRPr="00EA59C0">
        <w:t xml:space="preserve"> </w:t>
      </w:r>
      <w:r w:rsidRPr="00EA59C0">
        <w:t>in</w:t>
      </w:r>
      <w:r w:rsidR="00C026A6" w:rsidRPr="00EA59C0">
        <w:t xml:space="preserve"> </w:t>
      </w:r>
      <w:r w:rsidRPr="00EA59C0">
        <w:t>Tracking</w:t>
      </w:r>
    </w:p>
    <w:p w:rsidR="005B03BD" w:rsidRPr="00EA59C0" w:rsidRDefault="005B03BD" w:rsidP="00C072FA">
      <w:pPr>
        <w:pStyle w:val="ListParagraph"/>
        <w:numPr>
          <w:ilvl w:val="0"/>
          <w:numId w:val="12"/>
        </w:numPr>
      </w:pPr>
      <w:r w:rsidRPr="00EA59C0">
        <w:t>Identify</w:t>
      </w:r>
      <w:r w:rsidR="00C026A6" w:rsidRPr="00EA59C0">
        <w:t xml:space="preserve"> </w:t>
      </w:r>
      <w:r w:rsidRPr="00EA59C0">
        <w:t>and</w:t>
      </w:r>
      <w:r w:rsidR="00C026A6" w:rsidRPr="00EA59C0">
        <w:t xml:space="preserve"> </w:t>
      </w:r>
      <w:r w:rsidRPr="00EA59C0">
        <w:t>explain</w:t>
      </w:r>
      <w:r w:rsidR="00C026A6" w:rsidRPr="00EA59C0">
        <w:t xml:space="preserve"> </w:t>
      </w:r>
      <w:r w:rsidRPr="00EA59C0">
        <w:t>any</w:t>
      </w:r>
      <w:r w:rsidR="00C026A6" w:rsidRPr="00EA59C0">
        <w:t xml:space="preserve"> </w:t>
      </w:r>
      <w:r w:rsidRPr="00EA59C0">
        <w:t>gaps</w:t>
      </w:r>
      <w:r w:rsidR="00C026A6" w:rsidRPr="00EA59C0">
        <w:t xml:space="preserve"> </w:t>
      </w:r>
      <w:r w:rsidRPr="00EA59C0">
        <w:t>between</w:t>
      </w:r>
      <w:r w:rsidR="00C026A6" w:rsidRPr="00EA59C0">
        <w:t xml:space="preserve"> </w:t>
      </w:r>
      <w:r w:rsidRPr="00EA59C0">
        <w:t>the</w:t>
      </w:r>
      <w:r w:rsidR="00C026A6" w:rsidRPr="00EA59C0">
        <w:t xml:space="preserve"> </w:t>
      </w:r>
      <w:r w:rsidRPr="00EA59C0">
        <w:t>information</w:t>
      </w:r>
      <w:r w:rsidR="00C026A6" w:rsidRPr="00EA59C0">
        <w:t xml:space="preserve"> </w:t>
      </w:r>
      <w:r w:rsidRPr="00EA59C0">
        <w:t>that</w:t>
      </w:r>
      <w:r w:rsidR="00C026A6" w:rsidRPr="00EA59C0">
        <w:t xml:space="preserve"> </w:t>
      </w:r>
      <w:r w:rsidRPr="00EA59C0">
        <w:t>is</w:t>
      </w:r>
      <w:r w:rsidR="00C026A6" w:rsidRPr="00EA59C0">
        <w:t xml:space="preserve"> </w:t>
      </w:r>
      <w:r w:rsidRPr="00EA59C0">
        <w:t>already</w:t>
      </w:r>
      <w:r w:rsidR="00C026A6" w:rsidRPr="00EA59C0">
        <w:t xml:space="preserve"> </w:t>
      </w:r>
      <w:r w:rsidRPr="00EA59C0">
        <w:t>collected</w:t>
      </w:r>
      <w:r w:rsidR="00C026A6" w:rsidRPr="00EA59C0">
        <w:t xml:space="preserve"> </w:t>
      </w:r>
      <w:r w:rsidRPr="00EA59C0">
        <w:t>and</w:t>
      </w:r>
      <w:r w:rsidR="00C026A6" w:rsidRPr="00EA59C0">
        <w:t xml:space="preserve"> </w:t>
      </w:r>
      <w:r w:rsidRPr="00EA59C0">
        <w:t>the</w:t>
      </w:r>
      <w:r w:rsidR="00C026A6" w:rsidRPr="00EA59C0">
        <w:t xml:space="preserve"> </w:t>
      </w:r>
      <w:r w:rsidRPr="00EA59C0">
        <w:t>specific</w:t>
      </w:r>
      <w:r w:rsidR="00C026A6" w:rsidRPr="00EA59C0">
        <w:t xml:space="preserve"> </w:t>
      </w:r>
      <w:r w:rsidRPr="00EA59C0">
        <w:t>outcomes</w:t>
      </w:r>
      <w:r w:rsidR="00C026A6" w:rsidRPr="00EA59C0">
        <w:t xml:space="preserve"> </w:t>
      </w:r>
      <w:r w:rsidRPr="00EA59C0">
        <w:t>on</w:t>
      </w:r>
      <w:r w:rsidR="00C026A6" w:rsidRPr="00EA59C0">
        <w:t xml:space="preserve"> </w:t>
      </w:r>
      <w:r w:rsidRPr="00EA59C0">
        <w:t>which</w:t>
      </w:r>
      <w:r w:rsidR="00C026A6" w:rsidRPr="00EA59C0">
        <w:t xml:space="preserve"> </w:t>
      </w:r>
      <w:r w:rsidRPr="00EA59C0">
        <w:t>reporting</w:t>
      </w:r>
      <w:r w:rsidR="00C026A6" w:rsidRPr="00EA59C0">
        <w:t xml:space="preserve"> </w:t>
      </w:r>
      <w:r w:rsidRPr="00EA59C0">
        <w:t>is</w:t>
      </w:r>
      <w:r w:rsidR="00C026A6" w:rsidRPr="00EA59C0">
        <w:t xml:space="preserve"> </w:t>
      </w:r>
      <w:r w:rsidRPr="00EA59C0">
        <w:t>required,</w:t>
      </w:r>
      <w:r w:rsidR="00C026A6" w:rsidRPr="00EA59C0">
        <w:t xml:space="preserve"> </w:t>
      </w:r>
      <w:r w:rsidRPr="00EA59C0">
        <w:t>and</w:t>
      </w:r>
      <w:r w:rsidR="00C026A6" w:rsidRPr="00EA59C0">
        <w:t xml:space="preserve"> </w:t>
      </w:r>
      <w:r w:rsidRPr="00EA59C0">
        <w:t>how</w:t>
      </w:r>
      <w:r w:rsidR="00C026A6" w:rsidRPr="00EA59C0">
        <w:t xml:space="preserve"> </w:t>
      </w:r>
      <w:r w:rsidRPr="00EA59C0">
        <w:t>these</w:t>
      </w:r>
      <w:r w:rsidR="00C026A6" w:rsidRPr="00EA59C0">
        <w:t xml:space="preserve"> </w:t>
      </w:r>
      <w:r w:rsidRPr="00EA59C0">
        <w:t>gaps</w:t>
      </w:r>
      <w:r w:rsidR="00C026A6" w:rsidRPr="00EA59C0">
        <w:t xml:space="preserve"> </w:t>
      </w:r>
      <w:r w:rsidRPr="00EA59C0">
        <w:t>will</w:t>
      </w:r>
      <w:r w:rsidR="00C026A6" w:rsidRPr="00EA59C0">
        <w:t xml:space="preserve"> </w:t>
      </w:r>
      <w:r w:rsidRPr="00EA59C0">
        <w:t>be</w:t>
      </w:r>
      <w:r w:rsidR="00C026A6" w:rsidRPr="00EA59C0">
        <w:t xml:space="preserve"> </w:t>
      </w:r>
      <w:r w:rsidRPr="00EA59C0">
        <w:t>bridged.</w:t>
      </w:r>
      <w:r w:rsidR="00C026A6" w:rsidRPr="00EA59C0">
        <w:t xml:space="preserve">  </w:t>
      </w:r>
      <w:r w:rsidRPr="00EA59C0">
        <w:t>Provide</w:t>
      </w:r>
      <w:r w:rsidR="00C026A6" w:rsidRPr="00EA59C0">
        <w:t xml:space="preserve"> </w:t>
      </w:r>
      <w:r w:rsidRPr="00EA59C0">
        <w:t>a</w:t>
      </w:r>
      <w:r w:rsidR="00C026A6" w:rsidRPr="00EA59C0">
        <w:t xml:space="preserve"> </w:t>
      </w:r>
      <w:r w:rsidRPr="00EA59C0">
        <w:t>specific</w:t>
      </w:r>
      <w:r w:rsidR="00C026A6" w:rsidRPr="00EA59C0">
        <w:t xml:space="preserve"> </w:t>
      </w:r>
      <w:r w:rsidRPr="00EA59C0">
        <w:t>plan</w:t>
      </w:r>
      <w:r w:rsidR="00C026A6" w:rsidRPr="00EA59C0">
        <w:t xml:space="preserve"> </w:t>
      </w:r>
      <w:r w:rsidRPr="00EA59C0">
        <w:t>for</w:t>
      </w:r>
      <w:r w:rsidR="00C026A6" w:rsidRPr="00EA59C0">
        <w:t xml:space="preserve"> </w:t>
      </w:r>
      <w:r w:rsidRPr="00EA59C0">
        <w:t>staffing,</w:t>
      </w:r>
      <w:r w:rsidR="00C026A6" w:rsidRPr="00EA59C0">
        <w:t xml:space="preserve"> </w:t>
      </w:r>
      <w:r w:rsidRPr="00EA59C0">
        <w:t>technology,</w:t>
      </w:r>
      <w:r w:rsidR="00C026A6" w:rsidRPr="00EA59C0">
        <w:t xml:space="preserve"> </w:t>
      </w:r>
      <w:r w:rsidRPr="00EA59C0">
        <w:t>partnerships,</w:t>
      </w:r>
      <w:r w:rsidR="00C026A6" w:rsidRPr="00EA59C0">
        <w:t xml:space="preserve"> </w:t>
      </w:r>
      <w:r w:rsidRPr="00EA59C0">
        <w:t>computer</w:t>
      </w:r>
      <w:r w:rsidR="00C026A6" w:rsidRPr="00EA59C0">
        <w:t xml:space="preserve"> </w:t>
      </w:r>
      <w:r w:rsidRPr="00EA59C0">
        <w:t>application</w:t>
      </w:r>
      <w:r w:rsidR="00C026A6" w:rsidRPr="00EA59C0">
        <w:t xml:space="preserve"> </w:t>
      </w:r>
      <w:r w:rsidRPr="00EA59C0">
        <w:t>purchases,</w:t>
      </w:r>
      <w:r w:rsidR="00C026A6" w:rsidRPr="00EA59C0">
        <w:t xml:space="preserve"> </w:t>
      </w:r>
      <w:r w:rsidRPr="00EA59C0">
        <w:t>or</w:t>
      </w:r>
      <w:r w:rsidR="00C026A6" w:rsidRPr="00EA59C0">
        <w:t xml:space="preserve"> </w:t>
      </w:r>
      <w:r w:rsidRPr="00EA59C0">
        <w:t>other</w:t>
      </w:r>
      <w:r w:rsidR="00C026A6" w:rsidRPr="00EA59C0">
        <w:t xml:space="preserve"> </w:t>
      </w:r>
      <w:r w:rsidRPr="00EA59C0">
        <w:t>resources</w:t>
      </w:r>
      <w:r w:rsidR="00C026A6" w:rsidRPr="00EA59C0">
        <w:t xml:space="preserve"> </w:t>
      </w:r>
      <w:r w:rsidRPr="00EA59C0">
        <w:t>that</w:t>
      </w:r>
      <w:r w:rsidR="00C026A6" w:rsidRPr="00EA59C0">
        <w:t xml:space="preserve"> </w:t>
      </w:r>
      <w:r w:rsidRPr="00EA59C0">
        <w:t>the</w:t>
      </w:r>
      <w:r w:rsidR="00C026A6" w:rsidRPr="00EA59C0">
        <w:t xml:space="preserve"> </w:t>
      </w:r>
      <w:r w:rsidRPr="00EA59C0">
        <w:t>applicant</w:t>
      </w:r>
      <w:r w:rsidR="00C026A6" w:rsidRPr="00EA59C0">
        <w:t xml:space="preserve"> </w:t>
      </w:r>
      <w:r w:rsidRPr="00EA59C0">
        <w:t>plans</w:t>
      </w:r>
      <w:r w:rsidR="00C026A6" w:rsidRPr="00EA59C0">
        <w:t xml:space="preserve"> </w:t>
      </w:r>
      <w:r w:rsidRPr="00EA59C0">
        <w:t>to</w:t>
      </w:r>
      <w:r w:rsidR="00C026A6" w:rsidRPr="00EA59C0">
        <w:t xml:space="preserve"> </w:t>
      </w:r>
      <w:r w:rsidRPr="00EA59C0">
        <w:t>procure</w:t>
      </w:r>
      <w:r w:rsidR="00C026A6" w:rsidRPr="00EA59C0">
        <w:t xml:space="preserve"> </w:t>
      </w:r>
      <w:r w:rsidRPr="00EA59C0">
        <w:t>in</w:t>
      </w:r>
      <w:r w:rsidR="00C026A6" w:rsidRPr="00EA59C0">
        <w:t xml:space="preserve"> </w:t>
      </w:r>
      <w:r w:rsidRPr="00EA59C0">
        <w:t>order</w:t>
      </w:r>
      <w:r w:rsidR="00C026A6" w:rsidRPr="00EA59C0">
        <w:t xml:space="preserve"> </w:t>
      </w:r>
      <w:r w:rsidRPr="00EA59C0">
        <w:t>to</w:t>
      </w:r>
      <w:r w:rsidR="00C026A6" w:rsidRPr="00EA59C0">
        <w:t xml:space="preserve"> </w:t>
      </w:r>
      <w:r w:rsidRPr="00EA59C0">
        <w:t>meet</w:t>
      </w:r>
      <w:r w:rsidR="00C026A6" w:rsidRPr="00EA59C0">
        <w:t xml:space="preserve"> </w:t>
      </w:r>
      <w:r w:rsidRPr="00EA59C0">
        <w:t>this</w:t>
      </w:r>
      <w:r w:rsidR="00C026A6" w:rsidRPr="00EA59C0">
        <w:t xml:space="preserve"> </w:t>
      </w:r>
      <w:r w:rsidRPr="00EA59C0">
        <w:t>requirement.</w:t>
      </w:r>
      <w:r w:rsidR="00C026A6" w:rsidRPr="00EA59C0">
        <w:t xml:space="preserve">  </w:t>
      </w:r>
      <w:r w:rsidRPr="00EA59C0">
        <w:t>Consortium</w:t>
      </w:r>
      <w:r w:rsidR="00C026A6" w:rsidRPr="00EA59C0">
        <w:t xml:space="preserve"> </w:t>
      </w:r>
      <w:r w:rsidRPr="00EA59C0">
        <w:t>applicants</w:t>
      </w:r>
      <w:r w:rsidR="00C026A6" w:rsidRPr="00EA59C0">
        <w:t xml:space="preserve"> </w:t>
      </w:r>
      <w:r w:rsidR="00910E6D" w:rsidRPr="00EA59C0">
        <w:t>must</w:t>
      </w:r>
      <w:r w:rsidR="00C026A6" w:rsidRPr="00EA59C0">
        <w:t xml:space="preserve"> </w:t>
      </w:r>
      <w:r w:rsidRPr="00EA59C0">
        <w:t>ensure</w:t>
      </w:r>
      <w:r w:rsidR="00C026A6" w:rsidRPr="00EA59C0">
        <w:t xml:space="preserve"> </w:t>
      </w:r>
      <w:r w:rsidRPr="00EA59C0">
        <w:t>their</w:t>
      </w:r>
      <w:r w:rsidR="00C026A6" w:rsidRPr="00EA59C0">
        <w:t xml:space="preserve"> </w:t>
      </w:r>
      <w:r w:rsidRPr="00EA59C0">
        <w:t>plans</w:t>
      </w:r>
      <w:r w:rsidR="00C026A6" w:rsidRPr="00EA59C0">
        <w:t xml:space="preserve"> </w:t>
      </w:r>
      <w:r w:rsidRPr="00EA59C0">
        <w:t>address</w:t>
      </w:r>
      <w:r w:rsidR="00C026A6" w:rsidRPr="00EA59C0">
        <w:t xml:space="preserve"> </w:t>
      </w:r>
      <w:r w:rsidRPr="00EA59C0">
        <w:t>gaps</w:t>
      </w:r>
      <w:r w:rsidR="00C026A6" w:rsidRPr="00EA59C0">
        <w:t xml:space="preserve"> </w:t>
      </w:r>
      <w:r w:rsidRPr="00EA59C0">
        <w:t>in</w:t>
      </w:r>
      <w:r w:rsidR="00C026A6" w:rsidRPr="00EA59C0">
        <w:t xml:space="preserve"> </w:t>
      </w:r>
      <w:r w:rsidRPr="00EA59C0">
        <w:t>tracking</w:t>
      </w:r>
      <w:r w:rsidR="00C026A6" w:rsidRPr="00EA59C0">
        <w:t xml:space="preserve"> </w:t>
      </w:r>
      <w:r w:rsidRPr="00EA59C0">
        <w:t>across</w:t>
      </w:r>
      <w:r w:rsidR="00C026A6" w:rsidRPr="00EA59C0">
        <w:t xml:space="preserve"> </w:t>
      </w:r>
      <w:r w:rsidRPr="00EA59C0">
        <w:t>consortium</w:t>
      </w:r>
      <w:r w:rsidR="00C026A6" w:rsidRPr="00EA59C0">
        <w:t xml:space="preserve"> </w:t>
      </w:r>
      <w:r w:rsidRPr="00EA59C0">
        <w:t>members.</w:t>
      </w:r>
      <w:r w:rsidR="00C026A6" w:rsidRPr="00EA59C0">
        <w:t xml:space="preserve">  </w:t>
      </w:r>
    </w:p>
    <w:p w:rsidR="005B03BD" w:rsidRPr="00EA59C0" w:rsidRDefault="005B03BD" w:rsidP="00E71184">
      <w:pPr>
        <w:pStyle w:val="ListParagraph"/>
        <w:numPr>
          <w:ilvl w:val="0"/>
          <w:numId w:val="12"/>
        </w:numPr>
      </w:pPr>
      <w:r w:rsidRPr="00EA59C0">
        <w:t>Applicants</w:t>
      </w:r>
      <w:r w:rsidR="00C026A6" w:rsidRPr="00EA59C0">
        <w:t xml:space="preserve"> </w:t>
      </w:r>
      <w:r w:rsidR="00910E6D" w:rsidRPr="00EA59C0">
        <w:t>must</w:t>
      </w:r>
      <w:r w:rsidR="00C026A6" w:rsidRPr="00EA59C0">
        <w:t xml:space="preserve"> </w:t>
      </w:r>
      <w:r w:rsidRPr="00EA59C0">
        <w:t>describe</w:t>
      </w:r>
      <w:r w:rsidR="00C026A6" w:rsidRPr="00EA59C0">
        <w:t xml:space="preserve"> </w:t>
      </w:r>
      <w:r w:rsidRPr="00EA59C0">
        <w:t>how</w:t>
      </w:r>
      <w:r w:rsidR="00C026A6" w:rsidRPr="00EA59C0">
        <w:t xml:space="preserve"> </w:t>
      </w:r>
      <w:r w:rsidRPr="00EA59C0">
        <w:t>they</w:t>
      </w:r>
      <w:r w:rsidR="00C026A6" w:rsidRPr="00EA59C0">
        <w:t xml:space="preserve"> </w:t>
      </w:r>
      <w:r w:rsidRPr="00EA59C0">
        <w:t>are</w:t>
      </w:r>
      <w:r w:rsidR="00C026A6" w:rsidRPr="00EA59C0">
        <w:t xml:space="preserve"> </w:t>
      </w:r>
      <w:r w:rsidRPr="00EA59C0">
        <w:t>currently</w:t>
      </w:r>
      <w:r w:rsidR="00C026A6" w:rsidRPr="00EA59C0">
        <w:t xml:space="preserve"> </w:t>
      </w:r>
      <w:r w:rsidRPr="00EA59C0">
        <w:t>able</w:t>
      </w:r>
      <w:r w:rsidR="00C026A6" w:rsidRPr="00EA59C0">
        <w:t xml:space="preserve"> </w:t>
      </w:r>
      <w:r w:rsidRPr="00EA59C0">
        <w:t>to</w:t>
      </w:r>
      <w:r w:rsidR="00C026A6" w:rsidRPr="00EA59C0">
        <w:t xml:space="preserve"> </w:t>
      </w:r>
      <w:r w:rsidRPr="00EA59C0">
        <w:t>access</w:t>
      </w:r>
      <w:r w:rsidR="00C026A6" w:rsidRPr="00EA59C0">
        <w:t xml:space="preserve"> </w:t>
      </w:r>
      <w:r w:rsidRPr="00EA59C0">
        <w:t>state</w:t>
      </w:r>
      <w:r w:rsidR="00C026A6" w:rsidRPr="00EA59C0">
        <w:t xml:space="preserve"> </w:t>
      </w:r>
      <w:r w:rsidRPr="00EA59C0">
        <w:t>data</w:t>
      </w:r>
      <w:r w:rsidR="00C026A6" w:rsidRPr="00EA59C0">
        <w:t xml:space="preserve"> </w:t>
      </w:r>
      <w:r w:rsidRPr="00EA59C0">
        <w:t>systems</w:t>
      </w:r>
      <w:r w:rsidR="00C026A6" w:rsidRPr="00EA59C0">
        <w:t xml:space="preserve"> </w:t>
      </w:r>
      <w:r w:rsidRPr="00EA59C0">
        <w:t>to</w:t>
      </w:r>
      <w:r w:rsidR="00C026A6" w:rsidRPr="00EA59C0">
        <w:t xml:space="preserve"> </w:t>
      </w:r>
      <w:r w:rsidRPr="00EA59C0">
        <w:t>track</w:t>
      </w:r>
      <w:r w:rsidR="00C026A6" w:rsidRPr="00EA59C0">
        <w:t xml:space="preserve"> </w:t>
      </w:r>
      <w:r w:rsidRPr="00EA59C0">
        <w:t>student</w:t>
      </w:r>
      <w:r w:rsidR="00C026A6" w:rsidRPr="00EA59C0">
        <w:t xml:space="preserve"> </w:t>
      </w:r>
      <w:r w:rsidRPr="00EA59C0">
        <w:t>employment</w:t>
      </w:r>
      <w:r w:rsidR="00C026A6" w:rsidRPr="00EA59C0">
        <w:t xml:space="preserve"> </w:t>
      </w:r>
      <w:r w:rsidRPr="00EA59C0">
        <w:t>outcomes,</w:t>
      </w:r>
      <w:r w:rsidR="00C026A6" w:rsidRPr="00EA59C0">
        <w:t xml:space="preserve"> </w:t>
      </w:r>
      <w:r w:rsidRPr="00EA59C0">
        <w:t>or</w:t>
      </w:r>
      <w:r w:rsidR="00C026A6" w:rsidRPr="00EA59C0">
        <w:t xml:space="preserve"> </w:t>
      </w:r>
      <w:r w:rsidRPr="00EA59C0">
        <w:t>explain</w:t>
      </w:r>
      <w:r w:rsidR="00C026A6" w:rsidRPr="00EA59C0">
        <w:t xml:space="preserve"> </w:t>
      </w:r>
      <w:r w:rsidRPr="00EA59C0">
        <w:t>how</w:t>
      </w:r>
      <w:r w:rsidR="00C026A6" w:rsidRPr="00EA59C0">
        <w:t xml:space="preserve"> </w:t>
      </w:r>
      <w:r w:rsidRPr="00EA59C0">
        <w:t>access</w:t>
      </w:r>
      <w:r w:rsidR="00C026A6" w:rsidRPr="00EA59C0">
        <w:t xml:space="preserve"> </w:t>
      </w:r>
      <w:r w:rsidRPr="00EA59C0">
        <w:t>to</w:t>
      </w:r>
      <w:r w:rsidR="00C026A6" w:rsidRPr="00EA59C0">
        <w:t xml:space="preserve"> </w:t>
      </w:r>
      <w:r w:rsidRPr="00EA59C0">
        <w:t>state</w:t>
      </w:r>
      <w:r w:rsidR="00C026A6" w:rsidRPr="00EA59C0">
        <w:t xml:space="preserve"> </w:t>
      </w:r>
      <w:r w:rsidRPr="00EA59C0">
        <w:t>longitudinal</w:t>
      </w:r>
      <w:r w:rsidR="00C026A6" w:rsidRPr="00EA59C0">
        <w:t xml:space="preserve"> </w:t>
      </w:r>
      <w:r w:rsidRPr="00EA59C0">
        <w:t>data</w:t>
      </w:r>
      <w:r w:rsidR="00C026A6" w:rsidRPr="00EA59C0">
        <w:t xml:space="preserve"> </w:t>
      </w:r>
      <w:r w:rsidRPr="00EA59C0">
        <w:t>systems</w:t>
      </w:r>
      <w:r w:rsidR="00C026A6" w:rsidRPr="00EA59C0">
        <w:t xml:space="preserve"> </w:t>
      </w:r>
      <w:r w:rsidRPr="00EA59C0">
        <w:t>will</w:t>
      </w:r>
      <w:r w:rsidR="00C026A6" w:rsidRPr="00EA59C0">
        <w:t xml:space="preserve"> </w:t>
      </w:r>
      <w:r w:rsidRPr="00EA59C0">
        <w:t>be</w:t>
      </w:r>
      <w:r w:rsidR="00C026A6" w:rsidRPr="00EA59C0">
        <w:t xml:space="preserve"> </w:t>
      </w:r>
      <w:r w:rsidRPr="00EA59C0">
        <w:t>strengthened</w:t>
      </w:r>
      <w:r w:rsidR="00C026A6" w:rsidRPr="00EA59C0">
        <w:t xml:space="preserve"> </w:t>
      </w:r>
      <w:r w:rsidRPr="00EA59C0">
        <w:t>to</w:t>
      </w:r>
      <w:r w:rsidR="00C026A6" w:rsidRPr="00EA59C0">
        <w:t xml:space="preserve"> </w:t>
      </w:r>
      <w:r w:rsidRPr="00EA59C0">
        <w:t>track</w:t>
      </w:r>
      <w:r w:rsidR="00C026A6" w:rsidRPr="00EA59C0">
        <w:t xml:space="preserve"> </w:t>
      </w:r>
      <w:r w:rsidRPr="00EA59C0">
        <w:t>students’</w:t>
      </w:r>
      <w:r w:rsidR="00C026A6" w:rsidRPr="00EA59C0">
        <w:t xml:space="preserve"> </w:t>
      </w:r>
      <w:r w:rsidRPr="00EA59C0">
        <w:t>employment</w:t>
      </w:r>
      <w:r w:rsidR="00C026A6" w:rsidRPr="00EA59C0">
        <w:t xml:space="preserve"> </w:t>
      </w:r>
      <w:r w:rsidRPr="00EA59C0">
        <w:t>outcomes</w:t>
      </w:r>
      <w:r w:rsidR="00C026A6" w:rsidRPr="00EA59C0">
        <w:t xml:space="preserve"> </w:t>
      </w:r>
      <w:r w:rsidRPr="00EA59C0">
        <w:t>after</w:t>
      </w:r>
      <w:r w:rsidR="00C026A6" w:rsidRPr="00EA59C0">
        <w:t xml:space="preserve"> </w:t>
      </w:r>
      <w:r w:rsidRPr="00EA59C0">
        <w:t>exit</w:t>
      </w:r>
      <w:r w:rsidR="00C026A6" w:rsidRPr="00EA59C0">
        <w:t xml:space="preserve"> </w:t>
      </w:r>
      <w:r w:rsidRPr="00EA59C0">
        <w:t>or</w:t>
      </w:r>
      <w:r w:rsidR="00C026A6" w:rsidRPr="00EA59C0">
        <w:t xml:space="preserve"> </w:t>
      </w:r>
      <w:r w:rsidRPr="00EA59C0">
        <w:t>completion.</w:t>
      </w:r>
      <w:r w:rsidR="00C026A6" w:rsidRPr="00EA59C0">
        <w:t xml:space="preserve">  </w:t>
      </w:r>
      <w:r w:rsidRPr="00EA59C0">
        <w:t>This</w:t>
      </w:r>
      <w:r w:rsidR="00C026A6" w:rsidRPr="00EA59C0">
        <w:t xml:space="preserve"> </w:t>
      </w:r>
      <w:r w:rsidRPr="00EA59C0">
        <w:t>may</w:t>
      </w:r>
      <w:r w:rsidR="00C026A6" w:rsidRPr="00EA59C0">
        <w:t xml:space="preserve"> </w:t>
      </w:r>
      <w:r w:rsidRPr="00EA59C0">
        <w:t>include</w:t>
      </w:r>
      <w:r w:rsidR="00C026A6" w:rsidRPr="00EA59C0">
        <w:t xml:space="preserve"> </w:t>
      </w:r>
      <w:r w:rsidRPr="00EA59C0">
        <w:t>working</w:t>
      </w:r>
      <w:r w:rsidR="00C026A6" w:rsidRPr="00EA59C0">
        <w:t xml:space="preserve"> </w:t>
      </w:r>
      <w:r w:rsidRPr="00EA59C0">
        <w:t>with</w:t>
      </w:r>
      <w:r w:rsidR="00C026A6" w:rsidRPr="00EA59C0">
        <w:t xml:space="preserve"> </w:t>
      </w:r>
      <w:r w:rsidRPr="00EA59C0">
        <w:t>the</w:t>
      </w:r>
      <w:r w:rsidR="00C026A6" w:rsidRPr="00EA59C0">
        <w:t xml:space="preserve"> </w:t>
      </w:r>
      <w:r w:rsidRPr="00EA59C0">
        <w:t>State</w:t>
      </w:r>
      <w:r w:rsidR="00C026A6" w:rsidRPr="00EA59C0">
        <w:t xml:space="preserve"> </w:t>
      </w:r>
      <w:r w:rsidRPr="00EA59C0">
        <w:t>Directory</w:t>
      </w:r>
      <w:r w:rsidR="00C026A6" w:rsidRPr="00EA59C0">
        <w:t xml:space="preserve"> </w:t>
      </w:r>
      <w:r w:rsidRPr="00EA59C0">
        <w:t>of</w:t>
      </w:r>
      <w:r w:rsidR="00C026A6" w:rsidRPr="00EA59C0">
        <w:t xml:space="preserve"> </w:t>
      </w:r>
      <w:r w:rsidRPr="00EA59C0">
        <w:t>New</w:t>
      </w:r>
      <w:r w:rsidR="00C026A6" w:rsidRPr="00EA59C0">
        <w:t xml:space="preserve"> </w:t>
      </w:r>
      <w:r w:rsidRPr="00EA59C0">
        <w:t>Hires,</w:t>
      </w:r>
      <w:r w:rsidR="00C026A6" w:rsidRPr="00EA59C0">
        <w:t xml:space="preserve"> </w:t>
      </w:r>
      <w:r w:rsidRPr="00EA59C0">
        <w:t>the</w:t>
      </w:r>
      <w:r w:rsidR="00C026A6" w:rsidRPr="00EA59C0">
        <w:t xml:space="preserve"> </w:t>
      </w:r>
      <w:r w:rsidR="00E375B1" w:rsidRPr="00EA59C0">
        <w:t>s</w:t>
      </w:r>
      <w:r w:rsidRPr="00EA59C0">
        <w:t>tate</w:t>
      </w:r>
      <w:r w:rsidR="00C026A6" w:rsidRPr="00EA59C0">
        <w:t xml:space="preserve"> </w:t>
      </w:r>
      <w:r w:rsidRPr="00EA59C0">
        <w:t>LMI</w:t>
      </w:r>
      <w:r w:rsidR="00C026A6" w:rsidRPr="00EA59C0">
        <w:t xml:space="preserve"> </w:t>
      </w:r>
      <w:r w:rsidRPr="00EA59C0">
        <w:t>or</w:t>
      </w:r>
      <w:r w:rsidR="00C026A6" w:rsidRPr="00EA59C0">
        <w:t xml:space="preserve"> </w:t>
      </w:r>
      <w:r w:rsidR="00E375B1" w:rsidRPr="00EA59C0">
        <w:t>r</w:t>
      </w:r>
      <w:r w:rsidRPr="00EA59C0">
        <w:t>esearch</w:t>
      </w:r>
      <w:r w:rsidR="00C026A6" w:rsidRPr="00EA59C0">
        <w:t xml:space="preserve"> </w:t>
      </w:r>
      <w:r w:rsidRPr="00EA59C0">
        <w:t>entities</w:t>
      </w:r>
      <w:r w:rsidR="00C026A6" w:rsidRPr="00EA59C0">
        <w:t xml:space="preserve"> </w:t>
      </w:r>
      <w:r w:rsidRPr="00EA59C0">
        <w:t>(that</w:t>
      </w:r>
      <w:r w:rsidR="00C026A6" w:rsidRPr="00EA59C0">
        <w:t xml:space="preserve"> </w:t>
      </w:r>
      <w:r w:rsidRPr="00EA59C0">
        <w:t>supports</w:t>
      </w:r>
      <w:r w:rsidR="00C026A6" w:rsidRPr="00EA59C0">
        <w:t xml:space="preserve"> </w:t>
      </w:r>
      <w:r w:rsidRPr="00EA59C0">
        <w:t>the</w:t>
      </w:r>
      <w:r w:rsidR="00C026A6" w:rsidRPr="00EA59C0">
        <w:t xml:space="preserve"> </w:t>
      </w:r>
      <w:r w:rsidRPr="00EA59C0">
        <w:t>Census</w:t>
      </w:r>
      <w:r w:rsidR="00C026A6" w:rsidRPr="00EA59C0">
        <w:t xml:space="preserve"> </w:t>
      </w:r>
      <w:r w:rsidRPr="00EA59C0">
        <w:t>Bureau’s</w:t>
      </w:r>
      <w:r w:rsidR="00C026A6" w:rsidRPr="00EA59C0">
        <w:t xml:space="preserve"> </w:t>
      </w:r>
      <w:r w:rsidRPr="00EA59C0">
        <w:t>Local</w:t>
      </w:r>
      <w:r w:rsidR="00C026A6" w:rsidRPr="00EA59C0">
        <w:t xml:space="preserve"> </w:t>
      </w:r>
      <w:r w:rsidRPr="00EA59C0">
        <w:t>Employment</w:t>
      </w:r>
      <w:r w:rsidR="00C026A6" w:rsidRPr="00EA59C0">
        <w:t xml:space="preserve"> </w:t>
      </w:r>
      <w:r w:rsidRPr="00EA59C0">
        <w:t>Dynamic</w:t>
      </w:r>
      <w:r w:rsidR="00C026A6" w:rsidRPr="00EA59C0">
        <w:t xml:space="preserve"> </w:t>
      </w:r>
      <w:r w:rsidRPr="00EA59C0">
        <w:t>program),</w:t>
      </w:r>
      <w:r w:rsidR="00C026A6" w:rsidRPr="00EA59C0">
        <w:t xml:space="preserve"> </w:t>
      </w:r>
      <w:r w:rsidRPr="00EA59C0">
        <w:t>the</w:t>
      </w:r>
      <w:r w:rsidR="00C026A6" w:rsidRPr="00EA59C0">
        <w:t xml:space="preserve"> </w:t>
      </w:r>
      <w:r w:rsidRPr="00EA59C0">
        <w:t>State</w:t>
      </w:r>
      <w:r w:rsidR="00C026A6" w:rsidRPr="00EA59C0">
        <w:t xml:space="preserve"> </w:t>
      </w:r>
      <w:r w:rsidRPr="00EA59C0">
        <w:t>Workforce</w:t>
      </w:r>
      <w:r w:rsidR="00C026A6" w:rsidRPr="00EA59C0">
        <w:t xml:space="preserve"> </w:t>
      </w:r>
      <w:r w:rsidRPr="00EA59C0">
        <w:t>Agency</w:t>
      </w:r>
      <w:r w:rsidR="00C026A6" w:rsidRPr="00EA59C0">
        <w:t xml:space="preserve"> </w:t>
      </w:r>
      <w:r w:rsidRPr="00EA59C0">
        <w:t>(SWA)</w:t>
      </w:r>
      <w:r w:rsidR="00C026A6" w:rsidRPr="00EA59C0">
        <w:t xml:space="preserve"> </w:t>
      </w:r>
      <w:r w:rsidRPr="00EA59C0">
        <w:t>that</w:t>
      </w:r>
      <w:r w:rsidR="00C026A6" w:rsidRPr="00EA59C0">
        <w:t xml:space="preserve"> </w:t>
      </w:r>
      <w:r w:rsidRPr="00EA59C0">
        <w:t>is</w:t>
      </w:r>
      <w:r w:rsidR="00C026A6" w:rsidRPr="00EA59C0">
        <w:t xml:space="preserve"> </w:t>
      </w:r>
      <w:r w:rsidRPr="00EA59C0">
        <w:t>responsible</w:t>
      </w:r>
      <w:r w:rsidR="00C026A6" w:rsidRPr="00EA59C0">
        <w:t xml:space="preserve"> </w:t>
      </w:r>
      <w:r w:rsidRPr="00EA59C0">
        <w:t>for</w:t>
      </w:r>
      <w:r w:rsidR="00C026A6" w:rsidRPr="00EA59C0">
        <w:t xml:space="preserve"> </w:t>
      </w:r>
      <w:r w:rsidRPr="00EA59C0">
        <w:t>tracking</w:t>
      </w:r>
      <w:r w:rsidR="00C026A6" w:rsidRPr="00EA59C0">
        <w:t xml:space="preserve"> </w:t>
      </w:r>
      <w:r w:rsidRPr="00EA59C0">
        <w:t>and</w:t>
      </w:r>
      <w:r w:rsidR="00C026A6" w:rsidRPr="00EA59C0">
        <w:t xml:space="preserve"> </w:t>
      </w:r>
      <w:r w:rsidRPr="00EA59C0">
        <w:t>reporting</w:t>
      </w:r>
      <w:r w:rsidR="00C026A6" w:rsidRPr="00EA59C0">
        <w:t xml:space="preserve"> </w:t>
      </w:r>
      <w:r w:rsidRPr="00EA59C0">
        <w:t>outcomes</w:t>
      </w:r>
      <w:r w:rsidR="00C026A6" w:rsidRPr="00EA59C0">
        <w:t xml:space="preserve"> </w:t>
      </w:r>
      <w:r w:rsidRPr="00EA59C0">
        <w:t>on</w:t>
      </w:r>
      <w:r w:rsidR="00C026A6" w:rsidRPr="00EA59C0">
        <w:t xml:space="preserve"> </w:t>
      </w:r>
      <w:r w:rsidRPr="00EA59C0">
        <w:t>TAA</w:t>
      </w:r>
      <w:r w:rsidR="00C026A6" w:rsidRPr="00EA59C0">
        <w:t xml:space="preserve"> </w:t>
      </w:r>
      <w:r w:rsidRPr="00EA59C0">
        <w:t>for</w:t>
      </w:r>
      <w:r w:rsidR="00C026A6" w:rsidRPr="00EA59C0">
        <w:t xml:space="preserve"> </w:t>
      </w:r>
      <w:r w:rsidRPr="00EA59C0">
        <w:t>Workers</w:t>
      </w:r>
      <w:r w:rsidR="00C026A6" w:rsidRPr="00EA59C0">
        <w:t xml:space="preserve"> </w:t>
      </w:r>
      <w:r w:rsidRPr="00EA59C0">
        <w:t>program</w:t>
      </w:r>
      <w:r w:rsidR="00C026A6" w:rsidRPr="00EA59C0">
        <w:t xml:space="preserve"> </w:t>
      </w:r>
      <w:r w:rsidRPr="00EA59C0">
        <w:t>participants</w:t>
      </w:r>
      <w:r w:rsidR="00C026A6" w:rsidRPr="00EA59C0">
        <w:t xml:space="preserve"> </w:t>
      </w:r>
      <w:r w:rsidRPr="00EA59C0">
        <w:t>using</w:t>
      </w:r>
      <w:r w:rsidR="00C026A6" w:rsidRPr="00EA59C0">
        <w:t xml:space="preserve"> </w:t>
      </w:r>
      <w:r w:rsidRPr="00EA59C0">
        <w:t>the</w:t>
      </w:r>
      <w:r w:rsidR="00C026A6" w:rsidRPr="00EA59C0">
        <w:t xml:space="preserve"> </w:t>
      </w:r>
      <w:r w:rsidRPr="00EA59C0">
        <w:t>Trade</w:t>
      </w:r>
      <w:r w:rsidR="00C026A6" w:rsidRPr="00EA59C0">
        <w:t xml:space="preserve"> </w:t>
      </w:r>
      <w:r w:rsidRPr="00EA59C0">
        <w:t>Act</w:t>
      </w:r>
      <w:r w:rsidR="00C026A6" w:rsidRPr="00EA59C0">
        <w:t xml:space="preserve"> </w:t>
      </w:r>
      <w:r w:rsidRPr="00EA59C0">
        <w:t>Participant</w:t>
      </w:r>
      <w:r w:rsidR="00C026A6" w:rsidRPr="00EA59C0">
        <w:t xml:space="preserve"> </w:t>
      </w:r>
      <w:r w:rsidRPr="00EA59C0">
        <w:t>Record</w:t>
      </w:r>
      <w:r w:rsidR="00C026A6" w:rsidRPr="00EA59C0">
        <w:t xml:space="preserve"> </w:t>
      </w:r>
      <w:r w:rsidRPr="00EA59C0">
        <w:t>(</w:t>
      </w:r>
      <w:hyperlink r:id="rId257" w:history="1">
        <w:r w:rsidR="00E71184" w:rsidRPr="006B5691">
          <w:rPr>
            <w:rStyle w:val="Hyperlink"/>
          </w:rPr>
          <w:t>http://www.doleta.gov/performance/pfdocs/12050392_TAPR_Handbook.pdf</w:t>
        </w:r>
      </w:hyperlink>
      <w:r w:rsidRPr="00EA59C0">
        <w:t>),</w:t>
      </w:r>
      <w:r w:rsidR="00E71184">
        <w:t xml:space="preserve"> </w:t>
      </w:r>
      <w:r w:rsidRPr="00EA59C0">
        <w:t>or</w:t>
      </w:r>
      <w:r w:rsidR="00C026A6" w:rsidRPr="00EA59C0">
        <w:t xml:space="preserve"> </w:t>
      </w:r>
      <w:r w:rsidRPr="00EA59C0">
        <w:t>other</w:t>
      </w:r>
      <w:r w:rsidR="00C026A6" w:rsidRPr="00EA59C0">
        <w:t xml:space="preserve"> </w:t>
      </w:r>
      <w:r w:rsidRPr="00EA59C0">
        <w:t>federally-supported</w:t>
      </w:r>
      <w:r w:rsidR="00C026A6" w:rsidRPr="00EA59C0">
        <w:t xml:space="preserve"> </w:t>
      </w:r>
      <w:r w:rsidRPr="00EA59C0">
        <w:t>administrative</w:t>
      </w:r>
      <w:r w:rsidR="00C026A6" w:rsidRPr="00EA59C0">
        <w:t xml:space="preserve"> </w:t>
      </w:r>
      <w:r w:rsidRPr="00EA59C0">
        <w:t>record</w:t>
      </w:r>
      <w:r w:rsidR="00C026A6" w:rsidRPr="00EA59C0">
        <w:t xml:space="preserve"> </w:t>
      </w:r>
      <w:r w:rsidRPr="00EA59C0">
        <w:t>data</w:t>
      </w:r>
      <w:r w:rsidR="00C026A6" w:rsidRPr="00EA59C0">
        <w:t xml:space="preserve"> </w:t>
      </w:r>
      <w:r w:rsidRPr="00EA59C0">
        <w:t>collection</w:t>
      </w:r>
      <w:r w:rsidR="00C026A6" w:rsidRPr="00EA59C0">
        <w:t xml:space="preserve"> </w:t>
      </w:r>
      <w:r w:rsidRPr="00EA59C0">
        <w:t>efforts.</w:t>
      </w:r>
      <w:r w:rsidR="00C026A6" w:rsidRPr="00EA59C0">
        <w:t xml:space="preserve">  </w:t>
      </w:r>
      <w:r w:rsidRPr="00EA59C0">
        <w:t>This</w:t>
      </w:r>
      <w:r w:rsidR="00C026A6" w:rsidRPr="00EA59C0">
        <w:t xml:space="preserve"> </w:t>
      </w:r>
      <w:r w:rsidRPr="00EA59C0">
        <w:t>may</w:t>
      </w:r>
      <w:r w:rsidR="00C026A6" w:rsidRPr="00EA59C0">
        <w:t xml:space="preserve"> </w:t>
      </w:r>
      <w:r w:rsidRPr="00EA59C0">
        <w:t>also</w:t>
      </w:r>
      <w:r w:rsidR="00C026A6" w:rsidRPr="00EA59C0">
        <w:t xml:space="preserve"> </w:t>
      </w:r>
      <w:r w:rsidRPr="00EA59C0">
        <w:t>include</w:t>
      </w:r>
      <w:r w:rsidR="00C026A6" w:rsidRPr="00EA59C0">
        <w:t xml:space="preserve"> </w:t>
      </w:r>
      <w:r w:rsidRPr="00EA59C0">
        <w:t>working</w:t>
      </w:r>
      <w:r w:rsidR="00C026A6" w:rsidRPr="00EA59C0">
        <w:t xml:space="preserve"> </w:t>
      </w:r>
      <w:r w:rsidRPr="00EA59C0">
        <w:t>with</w:t>
      </w:r>
      <w:r w:rsidR="00C026A6" w:rsidRPr="00EA59C0">
        <w:t xml:space="preserve"> </w:t>
      </w:r>
      <w:r w:rsidRPr="00EA59C0">
        <w:t>the</w:t>
      </w:r>
      <w:r w:rsidR="00C026A6" w:rsidRPr="00EA59C0">
        <w:t xml:space="preserve"> </w:t>
      </w:r>
      <w:r w:rsidR="00E375B1" w:rsidRPr="00EA59C0">
        <w:t>SWA</w:t>
      </w:r>
      <w:r w:rsidR="00C026A6" w:rsidRPr="00EA59C0">
        <w:t xml:space="preserve"> </w:t>
      </w:r>
      <w:r w:rsidRPr="00EA59C0">
        <w:t>to</w:t>
      </w:r>
      <w:r w:rsidR="00C026A6" w:rsidRPr="00EA59C0">
        <w:t xml:space="preserve"> </w:t>
      </w:r>
      <w:r w:rsidRPr="00EA59C0">
        <w:t>access</w:t>
      </w:r>
      <w:r w:rsidR="00C026A6" w:rsidRPr="00EA59C0">
        <w:t xml:space="preserve"> </w:t>
      </w:r>
      <w:r w:rsidRPr="00EA59C0">
        <w:t>employment</w:t>
      </w:r>
      <w:r w:rsidR="00C026A6" w:rsidRPr="00EA59C0">
        <w:t xml:space="preserve"> </w:t>
      </w:r>
      <w:r w:rsidRPr="00EA59C0">
        <w:t>data</w:t>
      </w:r>
      <w:r w:rsidR="00C026A6" w:rsidRPr="00EA59C0">
        <w:t xml:space="preserve"> </w:t>
      </w:r>
      <w:r w:rsidRPr="00EA59C0">
        <w:t>available</w:t>
      </w:r>
      <w:r w:rsidR="00C026A6" w:rsidRPr="00EA59C0">
        <w:t xml:space="preserve"> </w:t>
      </w:r>
      <w:r w:rsidRPr="00EA59C0">
        <w:t>in</w:t>
      </w:r>
      <w:r w:rsidR="00C026A6" w:rsidRPr="00EA59C0">
        <w:t xml:space="preserve"> </w:t>
      </w:r>
      <w:r w:rsidRPr="00EA59C0">
        <w:t>unemployment</w:t>
      </w:r>
      <w:r w:rsidR="00C026A6" w:rsidRPr="00EA59C0">
        <w:t xml:space="preserve"> </w:t>
      </w:r>
      <w:r w:rsidRPr="00EA59C0">
        <w:t>wage</w:t>
      </w:r>
      <w:r w:rsidR="00C026A6" w:rsidRPr="00EA59C0">
        <w:t xml:space="preserve"> </w:t>
      </w:r>
      <w:r w:rsidRPr="00EA59C0">
        <w:t>records.</w:t>
      </w:r>
      <w:r w:rsidR="00C026A6" w:rsidRPr="00EA59C0">
        <w:t xml:space="preserve">  </w:t>
      </w:r>
      <w:r w:rsidRPr="00EA59C0">
        <w:t>For</w:t>
      </w:r>
      <w:r w:rsidR="00C026A6" w:rsidRPr="00EA59C0">
        <w:t xml:space="preserve"> </w:t>
      </w:r>
      <w:r w:rsidRPr="00EA59C0">
        <w:t>example,</w:t>
      </w:r>
      <w:r w:rsidR="00C026A6" w:rsidRPr="00EA59C0">
        <w:t xml:space="preserve"> </w:t>
      </w:r>
      <w:r w:rsidRPr="00EA59C0">
        <w:t>if</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does</w:t>
      </w:r>
      <w:r w:rsidR="00C026A6" w:rsidRPr="00EA59C0">
        <w:t xml:space="preserve"> </w:t>
      </w:r>
      <w:r w:rsidRPr="00EA59C0">
        <w:t>not</w:t>
      </w:r>
      <w:r w:rsidR="00C026A6" w:rsidRPr="00EA59C0">
        <w:t xml:space="preserve"> </w:t>
      </w:r>
      <w:r w:rsidRPr="00EA59C0">
        <w:t>have</w:t>
      </w:r>
      <w:r w:rsidR="00C026A6" w:rsidRPr="00EA59C0">
        <w:t xml:space="preserve"> </w:t>
      </w:r>
      <w:r w:rsidRPr="00EA59C0">
        <w:t>an</w:t>
      </w:r>
      <w:r w:rsidR="00C026A6" w:rsidRPr="00EA59C0">
        <w:t xml:space="preserve"> </w:t>
      </w:r>
      <w:r w:rsidRPr="00EA59C0">
        <w:t>existing</w:t>
      </w:r>
      <w:r w:rsidR="00C026A6" w:rsidRPr="00EA59C0">
        <w:t xml:space="preserve"> </w:t>
      </w:r>
      <w:r w:rsidRPr="00EA59C0">
        <w:t>relationship</w:t>
      </w:r>
      <w:r w:rsidR="00C026A6" w:rsidRPr="00EA59C0">
        <w:t xml:space="preserve"> </w:t>
      </w:r>
      <w:r w:rsidRPr="00EA59C0">
        <w:t>with</w:t>
      </w:r>
      <w:r w:rsidR="00C026A6" w:rsidRPr="00EA59C0">
        <w:t xml:space="preserve"> </w:t>
      </w:r>
      <w:r w:rsidRPr="00EA59C0">
        <w:t>its</w:t>
      </w:r>
      <w:r w:rsidR="00C026A6" w:rsidRPr="00EA59C0">
        <w:t xml:space="preserve"> </w:t>
      </w:r>
      <w:r w:rsidRPr="00EA59C0">
        <w:t>state’s</w:t>
      </w:r>
      <w:r w:rsidR="00C026A6" w:rsidRPr="00EA59C0">
        <w:t xml:space="preserve"> </w:t>
      </w:r>
      <w:r w:rsidRPr="00EA59C0">
        <w:t>agency</w:t>
      </w:r>
      <w:r w:rsidR="00C026A6" w:rsidRPr="00EA59C0">
        <w:t xml:space="preserve"> </w:t>
      </w:r>
      <w:r w:rsidRPr="00EA59C0">
        <w:t>responsible</w:t>
      </w:r>
      <w:r w:rsidR="00C026A6" w:rsidRPr="00EA59C0">
        <w:t xml:space="preserve"> </w:t>
      </w:r>
      <w:r w:rsidRPr="00EA59C0">
        <w:t>for</w:t>
      </w:r>
      <w:r w:rsidR="00C026A6" w:rsidRPr="00EA59C0">
        <w:t xml:space="preserve"> </w:t>
      </w:r>
      <w:r w:rsidRPr="00EA59C0">
        <w:t>collecting</w:t>
      </w:r>
      <w:r w:rsidR="00C026A6" w:rsidRPr="00EA59C0">
        <w:t xml:space="preserve"> </w:t>
      </w:r>
      <w:r w:rsidRPr="00EA59C0">
        <w:t>wage</w:t>
      </w:r>
      <w:r w:rsidR="00C026A6" w:rsidRPr="00EA59C0">
        <w:t xml:space="preserve"> </w:t>
      </w:r>
      <w:r w:rsidRPr="00EA59C0">
        <w:t>record</w:t>
      </w:r>
      <w:r w:rsidR="00C026A6" w:rsidRPr="00EA59C0">
        <w:t xml:space="preserve"> </w:t>
      </w:r>
      <w:r w:rsidRPr="00EA59C0">
        <w:t>information</w:t>
      </w:r>
      <w:r w:rsidR="00C026A6" w:rsidRPr="00EA59C0">
        <w:t xml:space="preserve"> </w:t>
      </w:r>
      <w:r w:rsidRPr="00EA59C0">
        <w:t>to</w:t>
      </w:r>
      <w:r w:rsidR="00C026A6" w:rsidRPr="00EA59C0">
        <w:t xml:space="preserve"> </w:t>
      </w:r>
      <w:r w:rsidRPr="00EA59C0">
        <w:t>verify</w:t>
      </w:r>
      <w:r w:rsidR="00C026A6" w:rsidRPr="00EA59C0">
        <w:t xml:space="preserve"> </w:t>
      </w:r>
      <w:r w:rsidRPr="00EA59C0">
        <w:t>employment,</w:t>
      </w:r>
      <w:r w:rsidR="00C026A6" w:rsidRPr="00EA59C0">
        <w:t xml:space="preserve"> </w:t>
      </w:r>
      <w:r w:rsidRPr="00EA59C0">
        <w:t>then</w:t>
      </w:r>
      <w:r w:rsidR="00C026A6" w:rsidRPr="00EA59C0">
        <w:t xml:space="preserve"> </w:t>
      </w:r>
      <w:r w:rsidRPr="00EA59C0">
        <w:t>the</w:t>
      </w:r>
      <w:r w:rsidR="00C026A6" w:rsidRPr="00EA59C0">
        <w:t xml:space="preserve"> </w:t>
      </w:r>
      <w:r w:rsidRPr="00EA59C0">
        <w:t>process</w:t>
      </w:r>
      <w:r w:rsidR="00C026A6" w:rsidRPr="00EA59C0">
        <w:t xml:space="preserve"> </w:t>
      </w:r>
      <w:r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used</w:t>
      </w:r>
      <w:r w:rsidR="00C026A6" w:rsidRPr="00EA59C0">
        <w:t xml:space="preserve"> </w:t>
      </w:r>
      <w:r w:rsidRPr="00EA59C0">
        <w:t>to</w:t>
      </w:r>
      <w:r w:rsidR="00C026A6" w:rsidRPr="00EA59C0">
        <w:t xml:space="preserve"> </w:t>
      </w:r>
      <w:r w:rsidRPr="00EA59C0">
        <w:t>obtain</w:t>
      </w:r>
      <w:r w:rsidR="00C026A6" w:rsidRPr="00EA59C0">
        <w:t xml:space="preserve"> </w:t>
      </w:r>
      <w:r w:rsidRPr="00EA59C0">
        <w:t>employment</w:t>
      </w:r>
      <w:r w:rsidR="00C026A6" w:rsidRPr="00EA59C0">
        <w:t xml:space="preserve"> </w:t>
      </w:r>
      <w:r w:rsidRPr="00EA59C0">
        <w:t>outcome</w:t>
      </w:r>
      <w:r w:rsidR="00C026A6" w:rsidRPr="00EA59C0">
        <w:t xml:space="preserve"> </w:t>
      </w:r>
      <w:r w:rsidRPr="00EA59C0">
        <w:t>information,</w:t>
      </w:r>
      <w:r w:rsidR="00C026A6" w:rsidRPr="00EA59C0">
        <w:t xml:space="preserve"> </w:t>
      </w:r>
      <w:r w:rsidRPr="00EA59C0">
        <w:t>which</w:t>
      </w:r>
      <w:r w:rsidR="00C026A6" w:rsidRPr="00EA59C0">
        <w:t xml:space="preserve"> </w:t>
      </w:r>
      <w:r w:rsidRPr="00EA59C0">
        <w:t>may</w:t>
      </w:r>
      <w:r w:rsidR="00C026A6" w:rsidRPr="00EA59C0">
        <w:t xml:space="preserve"> </w:t>
      </w:r>
      <w:r w:rsidRPr="00EA59C0">
        <w:t>include</w:t>
      </w:r>
      <w:r w:rsidR="00C026A6" w:rsidRPr="00EA59C0">
        <w:t xml:space="preserve"> </w:t>
      </w:r>
      <w:r w:rsidRPr="00EA59C0">
        <w:t>establishing</w:t>
      </w:r>
      <w:r w:rsidR="00C026A6" w:rsidRPr="00EA59C0">
        <w:t xml:space="preserve"> </w:t>
      </w:r>
      <w:r w:rsidRPr="00EA59C0">
        <w:t>data</w:t>
      </w:r>
      <w:r w:rsidR="00C026A6" w:rsidRPr="00EA59C0">
        <w:t xml:space="preserve"> </w:t>
      </w:r>
      <w:r w:rsidRPr="00EA59C0">
        <w:t>sharing</w:t>
      </w:r>
      <w:r w:rsidR="00C026A6" w:rsidRPr="00EA59C0">
        <w:t xml:space="preserve"> </w:t>
      </w:r>
      <w:r w:rsidRPr="00EA59C0">
        <w:t>agreement(s)</w:t>
      </w:r>
      <w:r w:rsidR="00C026A6" w:rsidRPr="00EA59C0">
        <w:t xml:space="preserve"> </w:t>
      </w:r>
      <w:r w:rsidRPr="00EA59C0">
        <w:t>to</w:t>
      </w:r>
      <w:r w:rsidR="00C026A6" w:rsidRPr="00EA59C0">
        <w:t xml:space="preserve"> </w:t>
      </w:r>
      <w:r w:rsidRPr="00EA59C0">
        <w:t>access</w:t>
      </w:r>
      <w:r w:rsidR="00C026A6" w:rsidRPr="00EA59C0">
        <w:t xml:space="preserve"> </w:t>
      </w:r>
      <w:r w:rsidRPr="00EA59C0">
        <w:t>administrative</w:t>
      </w:r>
      <w:r w:rsidR="00C026A6" w:rsidRPr="00EA59C0">
        <w:t xml:space="preserve"> </w:t>
      </w:r>
      <w:r w:rsidRPr="00EA59C0">
        <w:t>records</w:t>
      </w:r>
      <w:r w:rsidR="00C026A6" w:rsidRPr="00EA59C0">
        <w:t xml:space="preserve"> </w:t>
      </w:r>
      <w:r w:rsidRPr="00EA59C0">
        <w:t>containing</w:t>
      </w:r>
      <w:r w:rsidR="00C026A6" w:rsidRPr="00EA59C0">
        <w:t xml:space="preserve"> </w:t>
      </w:r>
      <w:r w:rsidRPr="00EA59C0">
        <w:t>this</w:t>
      </w:r>
      <w:r w:rsidR="00C026A6" w:rsidRPr="00EA59C0">
        <w:t xml:space="preserve"> </w:t>
      </w:r>
      <w:r w:rsidRPr="00EA59C0">
        <w:t>information,</w:t>
      </w:r>
      <w:r w:rsidR="00C026A6" w:rsidRPr="00EA59C0">
        <w:t xml:space="preserve"> </w:t>
      </w:r>
      <w:r w:rsidRPr="00EA59C0">
        <w:t>should</w:t>
      </w:r>
      <w:r w:rsidR="00C026A6" w:rsidRPr="00EA59C0">
        <w:t xml:space="preserve"> </w:t>
      </w:r>
      <w:r w:rsidRPr="00EA59C0">
        <w:t>be</w:t>
      </w:r>
      <w:r w:rsidR="00C026A6" w:rsidRPr="00EA59C0">
        <w:t xml:space="preserve"> </w:t>
      </w:r>
      <w:r w:rsidRPr="00EA59C0">
        <w:t>described.</w:t>
      </w:r>
    </w:p>
    <w:p w:rsidR="005B03BD" w:rsidRPr="00EA59C0" w:rsidRDefault="005B03BD" w:rsidP="00C072FA">
      <w:pPr>
        <w:pStyle w:val="ListParagraph"/>
        <w:ind w:left="1800"/>
      </w:pPr>
    </w:p>
    <w:p w:rsidR="005B03BD" w:rsidRPr="00EA59C0" w:rsidRDefault="005B03BD" w:rsidP="00C072FA">
      <w:pPr>
        <w:pStyle w:val="ListParagraph"/>
        <w:numPr>
          <w:ilvl w:val="5"/>
          <w:numId w:val="17"/>
        </w:numPr>
        <w:rPr>
          <w:b/>
        </w:rPr>
      </w:pPr>
      <w:r w:rsidRPr="00EA59C0">
        <w:rPr>
          <w:b/>
        </w:rPr>
        <w:t>Using</w:t>
      </w:r>
      <w:r w:rsidR="00C026A6" w:rsidRPr="00EA59C0">
        <w:rPr>
          <w:b/>
        </w:rPr>
        <w:t xml:space="preserve"> </w:t>
      </w:r>
      <w:r w:rsidRPr="00EA59C0">
        <w:rPr>
          <w:b/>
        </w:rPr>
        <w:t>Data</w:t>
      </w:r>
      <w:r w:rsidR="00C026A6" w:rsidRPr="00EA59C0">
        <w:rPr>
          <w:b/>
        </w:rPr>
        <w:t xml:space="preserve"> </w:t>
      </w:r>
      <w:r w:rsidRPr="00EA59C0">
        <w:rPr>
          <w:b/>
        </w:rPr>
        <w:t>for</w:t>
      </w:r>
      <w:r w:rsidR="00C026A6" w:rsidRPr="00EA59C0">
        <w:rPr>
          <w:b/>
        </w:rPr>
        <w:t xml:space="preserve"> </w:t>
      </w:r>
      <w:r w:rsidRPr="00EA59C0">
        <w:rPr>
          <w:b/>
        </w:rPr>
        <w:t>Continuous</w:t>
      </w:r>
      <w:r w:rsidR="00C026A6" w:rsidRPr="00EA59C0">
        <w:rPr>
          <w:b/>
        </w:rPr>
        <w:t xml:space="preserve"> </w:t>
      </w:r>
      <w:r w:rsidRPr="00EA59C0">
        <w:rPr>
          <w:b/>
        </w:rPr>
        <w:t>Improvement</w:t>
      </w:r>
    </w:p>
    <w:p w:rsidR="005B03BD" w:rsidRPr="00EA59C0" w:rsidRDefault="005B03BD" w:rsidP="00C072FA">
      <w:pPr>
        <w:ind w:left="2160"/>
      </w:pPr>
      <w:r w:rsidRPr="00EA59C0">
        <w:t>The</w:t>
      </w:r>
      <w:r w:rsidR="00C026A6" w:rsidRPr="00EA59C0">
        <w:t xml:space="preserve"> </w:t>
      </w:r>
      <w:r w:rsidRPr="00EA59C0">
        <w:t>applicant</w:t>
      </w:r>
      <w:r w:rsidR="00C026A6" w:rsidRPr="00EA59C0">
        <w:t xml:space="preserve"> </w:t>
      </w:r>
      <w:r w:rsidRPr="00EA59C0">
        <w:t>must</w:t>
      </w:r>
      <w:r w:rsidR="00C026A6" w:rsidRPr="00EA59C0">
        <w:t xml:space="preserve"> </w:t>
      </w:r>
      <w:r w:rsidRPr="00EA59C0">
        <w:t>describe</w:t>
      </w:r>
      <w:r w:rsidR="00C026A6" w:rsidRPr="00EA59C0">
        <w:t xml:space="preserve"> </w:t>
      </w:r>
      <w:r w:rsidRPr="00EA59C0">
        <w:t>its</w:t>
      </w:r>
      <w:r w:rsidR="00C026A6" w:rsidRPr="00EA59C0">
        <w:t xml:space="preserve"> </w:t>
      </w:r>
      <w:r w:rsidRPr="00EA59C0">
        <w:t>approach</w:t>
      </w:r>
      <w:r w:rsidR="00C026A6" w:rsidRPr="00EA59C0">
        <w:t xml:space="preserve"> </w:t>
      </w:r>
      <w:r w:rsidRPr="00EA59C0">
        <w:t>for</w:t>
      </w:r>
      <w:r w:rsidR="00C026A6" w:rsidRPr="00EA59C0">
        <w:t xml:space="preserve"> </w:t>
      </w:r>
      <w:r w:rsidRPr="00EA59C0">
        <w:t>using</w:t>
      </w:r>
      <w:r w:rsidR="00C026A6" w:rsidRPr="00EA59C0">
        <w:t xml:space="preserve"> </w:t>
      </w:r>
      <w:r w:rsidRPr="00EA59C0">
        <w:t>the</w:t>
      </w:r>
      <w:r w:rsidR="00C026A6" w:rsidRPr="00EA59C0">
        <w:t xml:space="preserve"> </w:t>
      </w:r>
      <w:r w:rsidRPr="00EA59C0">
        <w:t>data</w:t>
      </w:r>
      <w:r w:rsidR="00C026A6" w:rsidRPr="00EA59C0">
        <w:t xml:space="preserve"> </w:t>
      </w:r>
      <w:r w:rsidRPr="00EA59C0">
        <w:t>it</w:t>
      </w:r>
      <w:r w:rsidR="00C026A6" w:rsidRPr="00EA59C0">
        <w:t xml:space="preserve"> </w:t>
      </w:r>
      <w:r w:rsidRPr="00EA59C0">
        <w:t>collects</w:t>
      </w:r>
      <w:r w:rsidR="00C026A6" w:rsidRPr="00EA59C0">
        <w:t xml:space="preserve"> </w:t>
      </w:r>
      <w:r w:rsidRPr="00EA59C0">
        <w:t>and</w:t>
      </w:r>
      <w:r w:rsidR="00C026A6" w:rsidRPr="00EA59C0">
        <w:t xml:space="preserve"> </w:t>
      </w:r>
      <w:r w:rsidRPr="00EA59C0">
        <w:t>reports</w:t>
      </w:r>
      <w:r w:rsidR="00C026A6" w:rsidRPr="00EA59C0">
        <w:t xml:space="preserve"> </w:t>
      </w:r>
      <w:r w:rsidRPr="00EA59C0">
        <w:t>on</w:t>
      </w:r>
      <w:r w:rsidR="00C026A6" w:rsidRPr="00EA59C0">
        <w:t xml:space="preserve"> </w:t>
      </w:r>
      <w:r w:rsidRPr="00EA59C0">
        <w:t>all</w:t>
      </w:r>
      <w:r w:rsidR="00C026A6" w:rsidRPr="00EA59C0">
        <w:t xml:space="preserve"> </w:t>
      </w:r>
      <w:r w:rsidRPr="00EA59C0">
        <w:t>program</w:t>
      </w:r>
      <w:r w:rsidR="00C026A6" w:rsidRPr="00EA59C0">
        <w:t xml:space="preserve"> </w:t>
      </w:r>
      <w:r w:rsidRPr="00EA59C0">
        <w:t>participants</w:t>
      </w:r>
      <w:r w:rsidR="00C026A6" w:rsidRPr="00EA59C0">
        <w:t xml:space="preserve"> </w:t>
      </w:r>
      <w:r w:rsidRPr="00EA59C0">
        <w:t>to</w:t>
      </w:r>
      <w:r w:rsidR="00C026A6" w:rsidRPr="00EA59C0">
        <w:t xml:space="preserve"> </w:t>
      </w:r>
      <w:r w:rsidRPr="00EA59C0">
        <w:t>continuously</w:t>
      </w:r>
      <w:r w:rsidR="00C026A6" w:rsidRPr="00EA59C0">
        <w:t xml:space="preserve"> </w:t>
      </w:r>
      <w:r w:rsidRPr="00EA59C0">
        <w:t>assess</w:t>
      </w:r>
      <w:r w:rsidR="00C026A6" w:rsidRPr="00EA59C0">
        <w:t xml:space="preserve"> </w:t>
      </w:r>
      <w:r w:rsidRPr="00EA59C0">
        <w:t>the</w:t>
      </w:r>
      <w:r w:rsidR="00C026A6" w:rsidRPr="00EA59C0">
        <w:t xml:space="preserve"> </w:t>
      </w:r>
      <w:r w:rsidRPr="00EA59C0">
        <w:t>effectiveness</w:t>
      </w:r>
      <w:r w:rsidR="00C026A6" w:rsidRPr="00EA59C0">
        <w:t xml:space="preserve"> </w:t>
      </w:r>
      <w:r w:rsidRPr="00EA59C0">
        <w:t>of</w:t>
      </w:r>
      <w:r w:rsidR="00C026A6" w:rsidRPr="00EA59C0">
        <w:t xml:space="preserve"> </w:t>
      </w:r>
      <w:r w:rsidRPr="00EA59C0">
        <w:t>and</w:t>
      </w:r>
      <w:r w:rsidR="00C026A6" w:rsidRPr="00EA59C0">
        <w:t xml:space="preserve"> </w:t>
      </w:r>
      <w:r w:rsidRPr="00EA59C0">
        <w:t>improve</w:t>
      </w:r>
      <w:r w:rsidR="00C026A6" w:rsidRPr="00EA59C0">
        <w:t xml:space="preserve"> </w:t>
      </w:r>
      <w:r w:rsidRPr="00EA59C0">
        <w:t>programming.</w:t>
      </w:r>
    </w:p>
    <w:p w:rsidR="00A93F2C" w:rsidRPr="00EA59C0" w:rsidRDefault="00A93F2C" w:rsidP="00C072FA">
      <w:pPr>
        <w:ind w:left="1440"/>
      </w:pPr>
    </w:p>
    <w:p w:rsidR="005B03BD" w:rsidRPr="00EA59C0" w:rsidRDefault="005B03BD" w:rsidP="00C072FA">
      <w:pPr>
        <w:pStyle w:val="ListParagraph"/>
        <w:numPr>
          <w:ilvl w:val="6"/>
          <w:numId w:val="17"/>
        </w:numPr>
      </w:pPr>
      <w:r w:rsidRPr="00EA59C0">
        <w:t>Plan</w:t>
      </w:r>
      <w:r w:rsidR="00C026A6" w:rsidRPr="00EA59C0">
        <w:t xml:space="preserve"> </w:t>
      </w:r>
      <w:r w:rsidRPr="00EA59C0">
        <w:t>for</w:t>
      </w:r>
      <w:r w:rsidR="00C026A6" w:rsidRPr="00EA59C0">
        <w:t xml:space="preserve"> </w:t>
      </w:r>
      <w:r w:rsidRPr="00EA59C0">
        <w:t>Formal</w:t>
      </w:r>
      <w:r w:rsidR="00C026A6" w:rsidRPr="00EA59C0">
        <w:t xml:space="preserve"> </w:t>
      </w:r>
      <w:r w:rsidRPr="00EA59C0">
        <w:t>Data</w:t>
      </w:r>
      <w:r w:rsidR="00C026A6" w:rsidRPr="00EA59C0">
        <w:t xml:space="preserve"> </w:t>
      </w:r>
      <w:r w:rsidRPr="00EA59C0">
        <w:t>Reviews</w:t>
      </w:r>
    </w:p>
    <w:p w:rsidR="005B03BD" w:rsidRPr="00EA59C0" w:rsidRDefault="005B03BD" w:rsidP="00C072FA">
      <w:pPr>
        <w:ind w:left="2520"/>
      </w:pPr>
      <w:r w:rsidRPr="00EA59C0">
        <w:t>Describe</w:t>
      </w:r>
      <w:r w:rsidR="00C026A6" w:rsidRPr="00EA59C0">
        <w:t xml:space="preserve"> </w:t>
      </w:r>
      <w:r w:rsidRPr="00EA59C0">
        <w:t>the</w:t>
      </w:r>
      <w:r w:rsidR="00C026A6" w:rsidRPr="00EA59C0">
        <w:t xml:space="preserve"> </w:t>
      </w:r>
      <w:r w:rsidRPr="00EA59C0">
        <w:t>process</w:t>
      </w:r>
      <w:r w:rsidR="00C026A6" w:rsidRPr="00EA59C0">
        <w:t xml:space="preserve"> </w:t>
      </w:r>
      <w:r w:rsidRPr="00EA59C0">
        <w:t>or</w:t>
      </w:r>
      <w:r w:rsidR="00C026A6" w:rsidRPr="00EA59C0">
        <w:t xml:space="preserve"> </w:t>
      </w:r>
      <w:r w:rsidRPr="00EA59C0">
        <w:t>procedure</w:t>
      </w:r>
      <w:r w:rsidR="00C026A6" w:rsidRPr="00EA59C0">
        <w:t xml:space="preserve"> </w:t>
      </w:r>
      <w:r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used</w:t>
      </w:r>
      <w:r w:rsidR="00C026A6" w:rsidRPr="00EA59C0">
        <w:t xml:space="preserve"> </w:t>
      </w:r>
      <w:r w:rsidRPr="00EA59C0">
        <w:t>to</w:t>
      </w:r>
      <w:r w:rsidR="00C026A6" w:rsidRPr="00EA59C0">
        <w:t xml:space="preserve"> </w:t>
      </w:r>
      <w:r w:rsidRPr="00EA59C0">
        <w:t>formally</w:t>
      </w:r>
      <w:r w:rsidR="00C026A6" w:rsidRPr="00EA59C0">
        <w:t xml:space="preserve"> </w:t>
      </w:r>
      <w:r w:rsidRPr="00EA59C0">
        <w:t>review</w:t>
      </w:r>
      <w:r w:rsidR="00C026A6" w:rsidRPr="00EA59C0">
        <w:t xml:space="preserve"> </w:t>
      </w:r>
      <w:r w:rsidRPr="00EA59C0">
        <w:t>the</w:t>
      </w:r>
      <w:r w:rsidR="00C026A6" w:rsidRPr="00EA59C0">
        <w:t xml:space="preserve"> </w:t>
      </w:r>
      <w:r w:rsidRPr="00EA59C0">
        <w:t>data</w:t>
      </w:r>
      <w:r w:rsidR="00C026A6" w:rsidRPr="00EA59C0">
        <w:t xml:space="preserve"> </w:t>
      </w:r>
      <w:r w:rsidRPr="00EA59C0">
        <w:t>within</w:t>
      </w:r>
      <w:r w:rsidR="00C026A6" w:rsidRPr="00EA59C0">
        <w:t xml:space="preserve"> </w:t>
      </w:r>
      <w:r w:rsidRPr="00EA59C0">
        <w:t>the</w:t>
      </w:r>
      <w:r w:rsidR="00C026A6" w:rsidRPr="00EA59C0">
        <w:t xml:space="preserve"> </w:t>
      </w:r>
      <w:r w:rsidRPr="00EA59C0">
        <w:t>structure</w:t>
      </w:r>
      <w:r w:rsidR="00C026A6" w:rsidRPr="00EA59C0">
        <w:t xml:space="preserve"> </w:t>
      </w:r>
      <w:r w:rsidRPr="00EA59C0">
        <w:t>of</w:t>
      </w:r>
      <w:r w:rsidR="00C026A6" w:rsidRPr="00EA59C0">
        <w:t xml:space="preserve"> </w:t>
      </w:r>
      <w:r w:rsidRPr="00EA59C0">
        <w:t>the</w:t>
      </w:r>
      <w:r w:rsidR="00C026A6" w:rsidRPr="00EA59C0">
        <w:t xml:space="preserve"> </w:t>
      </w:r>
      <w:r w:rsidRPr="00EA59C0">
        <w:t>applicant</w:t>
      </w:r>
      <w:r w:rsidR="00C026A6" w:rsidRPr="00EA59C0">
        <w:t xml:space="preserve"> </w:t>
      </w:r>
      <w:r w:rsidRPr="00EA59C0">
        <w:t>educational</w:t>
      </w:r>
      <w:r w:rsidR="00C026A6" w:rsidRPr="00EA59C0">
        <w:t xml:space="preserve"> </w:t>
      </w:r>
      <w:r w:rsidRPr="00EA59C0">
        <w:t>institution,</w:t>
      </w:r>
      <w:r w:rsidR="00C026A6" w:rsidRPr="00EA59C0">
        <w:t xml:space="preserve"> </w:t>
      </w:r>
      <w:r w:rsidRPr="00EA59C0">
        <w:t>working</w:t>
      </w:r>
      <w:r w:rsidR="00C026A6" w:rsidRPr="00EA59C0">
        <w:t xml:space="preserve"> </w:t>
      </w:r>
      <w:r w:rsidRPr="00EA59C0">
        <w:t>with</w:t>
      </w:r>
      <w:r w:rsidR="00C026A6" w:rsidRPr="00EA59C0">
        <w:t xml:space="preserve"> </w:t>
      </w:r>
      <w:r w:rsidRPr="00EA59C0">
        <w:t>partners</w:t>
      </w:r>
      <w:r w:rsidR="00C026A6" w:rsidRPr="00EA59C0">
        <w:t xml:space="preserve"> </w:t>
      </w:r>
      <w:r w:rsidR="00175E7B" w:rsidRPr="00EA59C0">
        <w:t>and</w:t>
      </w:r>
      <w:r w:rsidR="00C026A6" w:rsidRPr="00EA59C0">
        <w:t xml:space="preserve"> </w:t>
      </w:r>
      <w:r w:rsidR="00175E7B" w:rsidRPr="00EA59C0">
        <w:t>other</w:t>
      </w:r>
      <w:r w:rsidR="00C026A6" w:rsidRPr="00EA59C0">
        <w:t xml:space="preserve"> </w:t>
      </w:r>
      <w:r w:rsidR="00175E7B" w:rsidRPr="00EA59C0">
        <w:t>key</w:t>
      </w:r>
      <w:r w:rsidR="00C026A6" w:rsidRPr="00EA59C0">
        <w:t xml:space="preserve"> </w:t>
      </w:r>
      <w:r w:rsidR="00175E7B" w:rsidRPr="00EA59C0">
        <w:t>stakeholders</w:t>
      </w:r>
      <w:r w:rsidR="00C026A6" w:rsidRPr="00EA59C0">
        <w:t xml:space="preserve"> </w:t>
      </w:r>
      <w:r w:rsidRPr="00EA59C0">
        <w:t>as</w:t>
      </w:r>
      <w:r w:rsidR="00C026A6" w:rsidRPr="00EA59C0">
        <w:t xml:space="preserve"> </w:t>
      </w:r>
      <w:r w:rsidRPr="00EA59C0">
        <w:t>applicable.</w:t>
      </w:r>
      <w:r w:rsidR="00C026A6" w:rsidRPr="00EA59C0">
        <w:t xml:space="preserve">  </w:t>
      </w:r>
      <w:r w:rsidRPr="00EA59C0">
        <w:t>Include</w:t>
      </w:r>
      <w:r w:rsidR="00C026A6" w:rsidRPr="00EA59C0">
        <w:t xml:space="preserve"> </w:t>
      </w:r>
      <w:r w:rsidRPr="00EA59C0">
        <w:t>information</w:t>
      </w:r>
      <w:r w:rsidR="00C026A6" w:rsidRPr="00EA59C0">
        <w:t xml:space="preserve"> </w:t>
      </w:r>
      <w:r w:rsidRPr="00EA59C0">
        <w:t>on</w:t>
      </w:r>
      <w:r w:rsidR="00C026A6" w:rsidRPr="00EA59C0">
        <w:t xml:space="preserve"> </w:t>
      </w:r>
      <w:r w:rsidRPr="00EA59C0">
        <w:t>the</w:t>
      </w:r>
      <w:r w:rsidR="00C026A6" w:rsidRPr="00EA59C0">
        <w:t xml:space="preserve"> </w:t>
      </w:r>
      <w:r w:rsidRPr="00EA59C0">
        <w:t>frequency</w:t>
      </w:r>
      <w:r w:rsidR="00C026A6" w:rsidRPr="00EA59C0">
        <w:t xml:space="preserve"> </w:t>
      </w:r>
      <w:r w:rsidRPr="00EA59C0">
        <w:t>with</w:t>
      </w:r>
      <w:r w:rsidR="00C026A6" w:rsidRPr="00EA59C0">
        <w:t xml:space="preserve"> </w:t>
      </w:r>
      <w:r w:rsidRPr="00EA59C0">
        <w:t>which</w:t>
      </w:r>
      <w:r w:rsidR="00C026A6" w:rsidRPr="00EA59C0">
        <w:t xml:space="preserve"> </w:t>
      </w:r>
      <w:r w:rsidRPr="00EA59C0">
        <w:t>data</w:t>
      </w:r>
      <w:r w:rsidR="00C026A6" w:rsidRPr="00EA59C0">
        <w:t xml:space="preserve"> </w:t>
      </w:r>
      <w:r w:rsidRPr="00EA59C0">
        <w:t>reviews</w:t>
      </w:r>
      <w:r w:rsidR="00C026A6" w:rsidRPr="00EA59C0">
        <w:t xml:space="preserve"> </w:t>
      </w:r>
      <w:r w:rsidRPr="00EA59C0">
        <w:t>will</w:t>
      </w:r>
      <w:r w:rsidR="00C026A6" w:rsidRPr="00EA59C0">
        <w:t xml:space="preserve"> </w:t>
      </w:r>
      <w:r w:rsidRPr="00EA59C0">
        <w:t>occur;</w:t>
      </w:r>
      <w:r w:rsidR="00C026A6" w:rsidRPr="00EA59C0">
        <w:t xml:space="preserve"> </w:t>
      </w:r>
      <w:r w:rsidRPr="00EA59C0">
        <w:t>the</w:t>
      </w:r>
      <w:r w:rsidR="00C026A6" w:rsidRPr="00EA59C0">
        <w:t xml:space="preserve"> </w:t>
      </w:r>
      <w:r w:rsidRPr="00EA59C0">
        <w:t>staff</w:t>
      </w:r>
      <w:r w:rsidR="00C026A6" w:rsidRPr="00EA59C0">
        <w:t xml:space="preserve"> </w:t>
      </w:r>
      <w:r w:rsidRPr="00EA59C0">
        <w:t>members,</w:t>
      </w:r>
      <w:r w:rsidR="00C026A6" w:rsidRPr="00EA59C0">
        <w:t xml:space="preserve"> </w:t>
      </w:r>
      <w:r w:rsidRPr="00EA59C0">
        <w:t>including</w:t>
      </w:r>
      <w:r w:rsidR="00C026A6" w:rsidRPr="00EA59C0">
        <w:t xml:space="preserve"> </w:t>
      </w:r>
      <w:r w:rsidRPr="00EA59C0">
        <w:t>partners</w:t>
      </w:r>
      <w:r w:rsidR="00C026A6" w:rsidRPr="00EA59C0">
        <w:t xml:space="preserve"> </w:t>
      </w:r>
      <w:r w:rsidR="00DD2B3C" w:rsidRPr="00EA59C0">
        <w:t>and</w:t>
      </w:r>
      <w:r w:rsidR="00C026A6" w:rsidRPr="00EA59C0">
        <w:t xml:space="preserve"> </w:t>
      </w:r>
      <w:r w:rsidR="00DD2B3C" w:rsidRPr="00EA59C0">
        <w:t>other</w:t>
      </w:r>
      <w:r w:rsidR="00C026A6" w:rsidRPr="00EA59C0">
        <w:t xml:space="preserve"> </w:t>
      </w:r>
      <w:r w:rsidR="00DD2B3C" w:rsidRPr="00EA59C0">
        <w:t>key</w:t>
      </w:r>
      <w:r w:rsidR="00C026A6" w:rsidRPr="00EA59C0">
        <w:t xml:space="preserve"> </w:t>
      </w:r>
      <w:r w:rsidR="002525C3" w:rsidRPr="00EA59C0">
        <w:t>stakeholders</w:t>
      </w:r>
      <w:r w:rsidR="00C026A6" w:rsidRPr="00EA59C0">
        <w:t xml:space="preserve"> </w:t>
      </w:r>
      <w:r w:rsidRPr="00EA59C0">
        <w:t>who</w:t>
      </w:r>
      <w:r w:rsidR="00C026A6" w:rsidRPr="00EA59C0">
        <w:t xml:space="preserve"> </w:t>
      </w:r>
      <w:r w:rsidRPr="00EA59C0">
        <w:t>will</w:t>
      </w:r>
      <w:r w:rsidR="00C026A6" w:rsidRPr="00EA59C0">
        <w:t xml:space="preserve"> </w:t>
      </w:r>
      <w:r w:rsidRPr="00EA59C0">
        <w:t>take</w:t>
      </w:r>
      <w:r w:rsidR="00C026A6" w:rsidRPr="00EA59C0">
        <w:t xml:space="preserve"> </w:t>
      </w:r>
      <w:r w:rsidRPr="00EA59C0">
        <w:t>part</w:t>
      </w:r>
      <w:r w:rsidR="00C026A6" w:rsidRPr="00EA59C0">
        <w:t xml:space="preserve"> </w:t>
      </w:r>
      <w:r w:rsidRPr="00EA59C0">
        <w:t>in</w:t>
      </w:r>
      <w:r w:rsidR="00C026A6" w:rsidRPr="00EA59C0">
        <w:t xml:space="preserve"> </w:t>
      </w:r>
      <w:r w:rsidRPr="00EA59C0">
        <w:t>the</w:t>
      </w:r>
      <w:r w:rsidR="00C026A6" w:rsidRPr="00EA59C0">
        <w:t xml:space="preserve"> </w:t>
      </w:r>
      <w:r w:rsidRPr="00EA59C0">
        <w:t>reviews</w:t>
      </w:r>
      <w:r w:rsidR="00C026A6" w:rsidRPr="00EA59C0">
        <w:t xml:space="preserve"> </w:t>
      </w:r>
      <w:r w:rsidRPr="00EA59C0">
        <w:t>and</w:t>
      </w:r>
      <w:r w:rsidR="00C026A6" w:rsidRPr="00EA59C0">
        <w:t xml:space="preserve"> </w:t>
      </w:r>
      <w:r w:rsidRPr="00EA59C0">
        <w:t>what</w:t>
      </w:r>
      <w:r w:rsidR="00C026A6" w:rsidRPr="00EA59C0">
        <w:t xml:space="preserve"> </w:t>
      </w:r>
      <w:r w:rsidRPr="00EA59C0">
        <w:t>each</w:t>
      </w:r>
      <w:r w:rsidR="00C026A6" w:rsidRPr="00EA59C0">
        <w:t xml:space="preserve"> </w:t>
      </w:r>
      <w:r w:rsidRPr="00EA59C0">
        <w:t>adds</w:t>
      </w:r>
      <w:r w:rsidR="00C026A6" w:rsidRPr="00EA59C0">
        <w:t xml:space="preserve"> </w:t>
      </w:r>
      <w:r w:rsidRPr="00EA59C0">
        <w:t>to</w:t>
      </w:r>
      <w:r w:rsidR="00C026A6" w:rsidRPr="00EA59C0">
        <w:t xml:space="preserve"> </w:t>
      </w:r>
      <w:r w:rsidRPr="00EA59C0">
        <w:t>the</w:t>
      </w:r>
      <w:r w:rsidR="00C026A6" w:rsidRPr="00EA59C0">
        <w:t xml:space="preserve"> </w:t>
      </w:r>
      <w:r w:rsidRPr="00EA59C0">
        <w:t>review</w:t>
      </w:r>
      <w:r w:rsidR="00C026A6" w:rsidRPr="00EA59C0">
        <w:t xml:space="preserve"> </w:t>
      </w:r>
      <w:r w:rsidRPr="00EA59C0">
        <w:t>process;</w:t>
      </w:r>
      <w:r w:rsidR="00C026A6" w:rsidRPr="00EA59C0">
        <w:t xml:space="preserve"> </w:t>
      </w:r>
      <w:r w:rsidRPr="00EA59C0">
        <w:t>how</w:t>
      </w:r>
      <w:r w:rsidR="00C026A6" w:rsidRPr="00EA59C0">
        <w:t xml:space="preserve"> </w:t>
      </w:r>
      <w:r w:rsidRPr="00EA59C0">
        <w:t>decisions</w:t>
      </w:r>
      <w:r w:rsidR="00C026A6" w:rsidRPr="00EA59C0">
        <w:t xml:space="preserve"> </w:t>
      </w:r>
      <w:r w:rsidRPr="00EA59C0">
        <w:t>will</w:t>
      </w:r>
      <w:r w:rsidR="00C026A6" w:rsidRPr="00EA59C0">
        <w:t xml:space="preserve"> </w:t>
      </w:r>
      <w:r w:rsidRPr="00EA59C0">
        <w:t>be</w:t>
      </w:r>
      <w:r w:rsidR="00C026A6" w:rsidRPr="00EA59C0">
        <w:t xml:space="preserve"> </w:t>
      </w:r>
      <w:r w:rsidRPr="00EA59C0">
        <w:t>made</w:t>
      </w:r>
      <w:r w:rsidR="00C026A6" w:rsidRPr="00EA59C0">
        <w:t xml:space="preserve"> </w:t>
      </w:r>
      <w:r w:rsidRPr="00EA59C0">
        <w:t>about</w:t>
      </w:r>
      <w:r w:rsidR="00C026A6" w:rsidRPr="00EA59C0">
        <w:t xml:space="preserve"> </w:t>
      </w:r>
      <w:r w:rsidRPr="00EA59C0">
        <w:t>adjustments</w:t>
      </w:r>
      <w:r w:rsidR="00C026A6" w:rsidRPr="00EA59C0">
        <w:t xml:space="preserve"> </w:t>
      </w:r>
      <w:r w:rsidRPr="00EA59C0">
        <w:t>or</w:t>
      </w:r>
      <w:r w:rsidR="00C026A6" w:rsidRPr="00EA59C0">
        <w:t xml:space="preserve"> </w:t>
      </w:r>
      <w:r w:rsidRPr="00EA59C0">
        <w:t>improvements;</w:t>
      </w:r>
      <w:r w:rsidR="00C026A6" w:rsidRPr="00EA59C0">
        <w:t xml:space="preserve"> </w:t>
      </w:r>
      <w:r w:rsidRPr="00EA59C0">
        <w:t>how</w:t>
      </w:r>
      <w:r w:rsidR="00C026A6" w:rsidRPr="00EA59C0">
        <w:t xml:space="preserve"> </w:t>
      </w:r>
      <w:r w:rsidRPr="00EA59C0">
        <w:t>progress</w:t>
      </w:r>
      <w:r w:rsidR="00C026A6" w:rsidRPr="00EA59C0">
        <w:t xml:space="preserve"> </w:t>
      </w:r>
      <w:r w:rsidRPr="00EA59C0">
        <w:t>or</w:t>
      </w:r>
      <w:r w:rsidR="00C026A6" w:rsidRPr="00EA59C0">
        <w:t xml:space="preserve"> </w:t>
      </w:r>
      <w:r w:rsidRPr="00EA59C0">
        <w:t>improvement</w:t>
      </w:r>
      <w:r w:rsidR="00C026A6" w:rsidRPr="00EA59C0">
        <w:t xml:space="preserve"> </w:t>
      </w:r>
      <w:r w:rsidRPr="00EA59C0">
        <w:t>in</w:t>
      </w:r>
      <w:r w:rsidR="00C026A6" w:rsidRPr="00EA59C0">
        <w:t xml:space="preserve"> </w:t>
      </w:r>
      <w:r w:rsidRPr="00EA59C0">
        <w:t>programming</w:t>
      </w:r>
      <w:r w:rsidR="00C026A6" w:rsidRPr="00EA59C0">
        <w:t xml:space="preserve"> </w:t>
      </w:r>
      <w:r w:rsidRPr="00EA59C0">
        <w:t>will</w:t>
      </w:r>
      <w:r w:rsidR="00C026A6" w:rsidRPr="00EA59C0">
        <w:t xml:space="preserve"> </w:t>
      </w:r>
      <w:r w:rsidRPr="00EA59C0">
        <w:t>be</w:t>
      </w:r>
      <w:r w:rsidR="00C026A6" w:rsidRPr="00EA59C0">
        <w:t xml:space="preserve"> </w:t>
      </w:r>
      <w:r w:rsidRPr="00EA59C0">
        <w:t>assessed;</w:t>
      </w:r>
      <w:r w:rsidR="00C026A6" w:rsidRPr="00EA59C0">
        <w:t xml:space="preserve"> </w:t>
      </w:r>
      <w:r w:rsidRPr="00EA59C0">
        <w:t>and</w:t>
      </w:r>
      <w:r w:rsidR="00C026A6" w:rsidRPr="00EA59C0">
        <w:t xml:space="preserve"> </w:t>
      </w:r>
      <w:r w:rsidRPr="00EA59C0">
        <w:t>how</w:t>
      </w:r>
      <w:r w:rsidR="00C026A6" w:rsidRPr="00EA59C0">
        <w:t xml:space="preserve"> </w:t>
      </w:r>
      <w:r w:rsidRPr="00EA59C0">
        <w:t>this</w:t>
      </w:r>
      <w:r w:rsidR="00C026A6" w:rsidRPr="00EA59C0">
        <w:t xml:space="preserve"> </w:t>
      </w:r>
      <w:r w:rsidRPr="00EA59C0">
        <w:t>information</w:t>
      </w:r>
      <w:r w:rsidR="00C026A6" w:rsidRPr="00EA59C0">
        <w:t xml:space="preserve"> </w:t>
      </w:r>
      <w:r w:rsidRPr="00EA59C0">
        <w:t>will</w:t>
      </w:r>
      <w:r w:rsidR="00C026A6" w:rsidRPr="00EA59C0">
        <w:t xml:space="preserve"> </w:t>
      </w:r>
      <w:r w:rsidRPr="00EA59C0">
        <w:t>be</w:t>
      </w:r>
      <w:r w:rsidR="00C026A6" w:rsidRPr="00EA59C0">
        <w:t xml:space="preserve"> </w:t>
      </w:r>
      <w:r w:rsidRPr="00EA59C0">
        <w:t>shared</w:t>
      </w:r>
      <w:r w:rsidR="00C026A6" w:rsidRPr="00EA59C0">
        <w:t xml:space="preserve"> </w:t>
      </w:r>
      <w:r w:rsidRPr="00EA59C0">
        <w:t>amongst</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as</w:t>
      </w:r>
      <w:r w:rsidR="00C026A6" w:rsidRPr="00EA59C0">
        <w:t xml:space="preserve"> </w:t>
      </w:r>
      <w:r w:rsidRPr="00EA59C0">
        <w:t>applicable.</w:t>
      </w:r>
      <w:r w:rsidR="00C026A6" w:rsidRPr="00EA59C0">
        <w:t xml:space="preserve"> </w:t>
      </w:r>
    </w:p>
    <w:p w:rsidR="00A93F2C" w:rsidRPr="00EA59C0" w:rsidRDefault="00A93F2C" w:rsidP="00C072FA">
      <w:pPr>
        <w:ind w:left="1440"/>
      </w:pPr>
    </w:p>
    <w:p w:rsidR="005B03BD" w:rsidRPr="00EA59C0" w:rsidRDefault="005B03BD" w:rsidP="00C072FA">
      <w:pPr>
        <w:pStyle w:val="ListParagraph"/>
        <w:numPr>
          <w:ilvl w:val="6"/>
          <w:numId w:val="17"/>
        </w:numPr>
      </w:pPr>
      <w:r w:rsidRPr="00EA59C0">
        <w:t>Sustainability</w:t>
      </w:r>
      <w:r w:rsidR="00C026A6" w:rsidRPr="00EA59C0">
        <w:t xml:space="preserve"> </w:t>
      </w:r>
      <w:r w:rsidRPr="00EA59C0">
        <w:t>Plan</w:t>
      </w:r>
    </w:p>
    <w:p w:rsidR="005B03BD" w:rsidRPr="00EA59C0" w:rsidRDefault="005B03BD" w:rsidP="00C072FA">
      <w:pPr>
        <w:ind w:left="2520"/>
      </w:pPr>
      <w:r w:rsidRPr="00EA59C0">
        <w:t>Describe</w:t>
      </w:r>
      <w:r w:rsidR="00C026A6" w:rsidRPr="00EA59C0">
        <w:t xml:space="preserve"> </w:t>
      </w:r>
      <w:r w:rsidRPr="00EA59C0">
        <w:t>how</w:t>
      </w:r>
      <w:r w:rsidR="00C026A6" w:rsidRPr="00EA59C0">
        <w:t xml:space="preserve"> </w:t>
      </w:r>
      <w:r w:rsidRPr="00EA59C0">
        <w:t>data</w:t>
      </w:r>
      <w:r w:rsidR="00C026A6" w:rsidRPr="00EA59C0">
        <w:t xml:space="preserve"> </w:t>
      </w:r>
      <w:r w:rsidRPr="00EA59C0">
        <w:t>will</w:t>
      </w:r>
      <w:r w:rsidR="00C026A6" w:rsidRPr="00EA59C0">
        <w:t xml:space="preserve"> </w:t>
      </w:r>
      <w:r w:rsidRPr="00EA59C0">
        <w:t>be</w:t>
      </w:r>
      <w:r w:rsidR="00C026A6" w:rsidRPr="00EA59C0">
        <w:t xml:space="preserve"> </w:t>
      </w:r>
      <w:r w:rsidRPr="00EA59C0">
        <w:t>used</w:t>
      </w:r>
      <w:r w:rsidR="00C026A6" w:rsidRPr="00EA59C0">
        <w:t xml:space="preserve"> </w:t>
      </w:r>
      <w:r w:rsidRPr="00EA59C0">
        <w:t>to</w:t>
      </w:r>
      <w:r w:rsidR="00C026A6" w:rsidRPr="00EA59C0">
        <w:t xml:space="preserve"> </w:t>
      </w:r>
      <w:r w:rsidRPr="00EA59C0">
        <w:t>determine</w:t>
      </w:r>
      <w:r w:rsidR="00C026A6" w:rsidRPr="00EA59C0">
        <w:t xml:space="preserve"> </w:t>
      </w:r>
      <w:r w:rsidRPr="00EA59C0">
        <w:t>which</w:t>
      </w:r>
      <w:r w:rsidR="00C026A6" w:rsidRPr="00EA59C0">
        <w:t xml:space="preserve"> </w:t>
      </w:r>
      <w:r w:rsidRPr="00EA59C0">
        <w:t>strategies</w:t>
      </w:r>
      <w:r w:rsidR="00C026A6" w:rsidRPr="00EA59C0">
        <w:t xml:space="preserve"> </w:t>
      </w:r>
      <w:r w:rsidRPr="00EA59C0">
        <w:t>and</w:t>
      </w:r>
      <w:r w:rsidR="00C026A6" w:rsidRPr="00EA59C0">
        <w:t xml:space="preserve"> </w:t>
      </w:r>
      <w:r w:rsidRPr="00EA59C0">
        <w:t>activities</w:t>
      </w:r>
      <w:r w:rsidR="00C026A6" w:rsidRPr="00EA59C0">
        <w:t xml:space="preserve"> </w:t>
      </w:r>
      <w:r w:rsidRPr="00EA59C0">
        <w:t>were</w:t>
      </w:r>
      <w:r w:rsidR="00C026A6" w:rsidRPr="00EA59C0">
        <w:t xml:space="preserve"> </w:t>
      </w:r>
      <w:r w:rsidRPr="00EA59C0">
        <w:t>effective,</w:t>
      </w:r>
      <w:r w:rsidR="00C026A6" w:rsidRPr="00EA59C0">
        <w:t xml:space="preserve"> </w:t>
      </w:r>
      <w:r w:rsidRPr="00EA59C0">
        <w:t>and</w:t>
      </w:r>
      <w:r w:rsidR="00C026A6" w:rsidRPr="00EA59C0">
        <w:t xml:space="preserve"> </w:t>
      </w:r>
      <w:r w:rsidRPr="00EA59C0">
        <w:t>explain</w:t>
      </w:r>
      <w:r w:rsidR="00C026A6" w:rsidRPr="00EA59C0">
        <w:t xml:space="preserve"> </w:t>
      </w:r>
      <w:r w:rsidRPr="00EA59C0">
        <w:t>how</w:t>
      </w:r>
      <w:r w:rsidR="00C026A6" w:rsidRPr="00EA59C0">
        <w:t xml:space="preserve"> </w:t>
      </w:r>
      <w:r w:rsidRPr="00EA59C0">
        <w:t>the</w:t>
      </w:r>
      <w:r w:rsidR="00C026A6" w:rsidRPr="00EA59C0">
        <w:t xml:space="preserve"> </w:t>
      </w:r>
      <w:r w:rsidRPr="00EA59C0">
        <w:t>applicant</w:t>
      </w:r>
      <w:r w:rsidR="00C026A6" w:rsidRPr="00EA59C0">
        <w:t xml:space="preserve"> </w:t>
      </w:r>
      <w:r w:rsidRPr="00EA59C0">
        <w:t>will</w:t>
      </w:r>
      <w:r w:rsidR="00C026A6" w:rsidRPr="00EA59C0">
        <w:t xml:space="preserve"> </w:t>
      </w:r>
      <w:r w:rsidRPr="00EA59C0">
        <w:t>integrate</w:t>
      </w:r>
      <w:r w:rsidR="00C026A6" w:rsidRPr="00EA59C0">
        <w:t xml:space="preserve"> </w:t>
      </w:r>
      <w:r w:rsidRPr="00EA59C0">
        <w:t>these</w:t>
      </w:r>
      <w:r w:rsidR="00C026A6" w:rsidRPr="00EA59C0">
        <w:t xml:space="preserve"> </w:t>
      </w:r>
      <w:r w:rsidRPr="00EA59C0">
        <w:t>strategies</w:t>
      </w:r>
      <w:r w:rsidR="00C026A6" w:rsidRPr="00EA59C0">
        <w:t xml:space="preserve"> </w:t>
      </w:r>
      <w:r w:rsidRPr="00EA59C0">
        <w:t>and</w:t>
      </w:r>
      <w:r w:rsidR="00C026A6" w:rsidRPr="00EA59C0">
        <w:t xml:space="preserve"> </w:t>
      </w:r>
      <w:r w:rsidRPr="00EA59C0">
        <w:t>activities</w:t>
      </w:r>
      <w:r w:rsidR="00C026A6" w:rsidRPr="00EA59C0">
        <w:t xml:space="preserve"> </w:t>
      </w:r>
      <w:r w:rsidRPr="00EA59C0">
        <w:t>into</w:t>
      </w:r>
      <w:r w:rsidR="00C026A6" w:rsidRPr="00EA59C0">
        <w:t xml:space="preserve"> </w:t>
      </w:r>
      <w:r w:rsidR="00150AB3" w:rsidRPr="00EA59C0">
        <w:t>their</w:t>
      </w:r>
      <w:r w:rsidR="00C026A6" w:rsidRPr="00EA59C0">
        <w:t xml:space="preserve"> </w:t>
      </w:r>
      <w:r w:rsidR="00150AB3" w:rsidRPr="00EA59C0">
        <w:t>non-grant</w:t>
      </w:r>
      <w:r w:rsidR="00C026A6" w:rsidRPr="00EA59C0">
        <w:t xml:space="preserve"> </w:t>
      </w:r>
      <w:r w:rsidR="00150AB3" w:rsidRPr="00EA59C0">
        <w:t>funded</w:t>
      </w:r>
      <w:r w:rsidR="00C026A6" w:rsidRPr="00EA59C0">
        <w:t xml:space="preserve"> </w:t>
      </w:r>
      <w:r w:rsidRPr="00EA59C0">
        <w:t>program(s)</w:t>
      </w:r>
      <w:r w:rsidR="00C026A6" w:rsidRPr="00EA59C0">
        <w:t xml:space="preserve"> </w:t>
      </w:r>
      <w:r w:rsidRPr="00EA59C0">
        <w:t>for</w:t>
      </w:r>
      <w:r w:rsidR="00C026A6" w:rsidRPr="00EA59C0">
        <w:t xml:space="preserve"> </w:t>
      </w:r>
      <w:r w:rsidRPr="00EA59C0">
        <w:t>continued</w:t>
      </w:r>
      <w:r w:rsidR="00C026A6" w:rsidRPr="00EA59C0">
        <w:t xml:space="preserve"> </w:t>
      </w:r>
      <w:r w:rsidRPr="00EA59C0">
        <w:t>success.</w:t>
      </w:r>
      <w:r w:rsidR="00C026A6" w:rsidRPr="00EA59C0">
        <w:t xml:space="preserve">  </w:t>
      </w:r>
    </w:p>
    <w:p w:rsidR="005B03BD" w:rsidRPr="00EA59C0" w:rsidRDefault="005B03BD" w:rsidP="00C072FA">
      <w:pPr>
        <w:ind w:left="360"/>
      </w:pPr>
    </w:p>
    <w:p w:rsidR="00144DF0" w:rsidRPr="00EA59C0" w:rsidRDefault="00144DF0" w:rsidP="00C072FA"/>
    <w:p w:rsidR="00655531" w:rsidRPr="00EA59C0" w:rsidRDefault="00D81847" w:rsidP="008826BE">
      <w:pPr>
        <w:pStyle w:val="ListParagraph"/>
        <w:numPr>
          <w:ilvl w:val="4"/>
          <w:numId w:val="17"/>
        </w:numPr>
        <w:spacing w:line="480" w:lineRule="auto"/>
        <w:rPr>
          <w:b/>
        </w:rPr>
      </w:pPr>
      <w:r w:rsidRPr="00EA59C0">
        <w:rPr>
          <w:b/>
        </w:rPr>
        <w:t>Organizational</w:t>
      </w:r>
      <w:r w:rsidR="00C026A6" w:rsidRPr="00EA59C0">
        <w:rPr>
          <w:b/>
        </w:rPr>
        <w:t xml:space="preserve"> </w:t>
      </w:r>
      <w:r w:rsidRPr="00EA59C0">
        <w:rPr>
          <w:b/>
        </w:rPr>
        <w:t>Profile</w:t>
      </w:r>
    </w:p>
    <w:p w:rsidR="0099159E" w:rsidRPr="00EA59C0" w:rsidRDefault="0099159E" w:rsidP="00C072FA">
      <w:pPr>
        <w:ind w:left="1800"/>
      </w:pPr>
      <w:r w:rsidRPr="00EA59C0">
        <w:t>The</w:t>
      </w:r>
      <w:r w:rsidR="00C026A6" w:rsidRPr="00EA59C0">
        <w:t xml:space="preserve"> </w:t>
      </w:r>
      <w:r w:rsidRPr="00EA59C0">
        <w:t>applicant</w:t>
      </w:r>
      <w:r w:rsidR="00C026A6" w:rsidRPr="00EA59C0">
        <w:t xml:space="preserve"> </w:t>
      </w:r>
      <w:r w:rsidRPr="00EA59C0">
        <w:t>must</w:t>
      </w:r>
      <w:r w:rsidR="00C026A6" w:rsidRPr="00EA59C0">
        <w:t xml:space="preserve"> </w:t>
      </w:r>
      <w:r w:rsidRPr="00EA59C0">
        <w:t>fully</w:t>
      </w:r>
      <w:r w:rsidR="00C026A6" w:rsidRPr="00EA59C0">
        <w:t xml:space="preserve"> </w:t>
      </w:r>
      <w:r w:rsidRPr="00EA59C0">
        <w:t>describe</w:t>
      </w:r>
      <w:r w:rsidR="00C026A6" w:rsidRPr="00EA59C0">
        <w:t xml:space="preserve"> </w:t>
      </w:r>
      <w:r w:rsidRPr="00EA59C0">
        <w:t>its</w:t>
      </w:r>
      <w:r w:rsidR="00C026A6" w:rsidRPr="00EA59C0">
        <w:t xml:space="preserve"> </w:t>
      </w:r>
      <w:r w:rsidRPr="00EA59C0">
        <w:t>capacity</w:t>
      </w:r>
      <w:r w:rsidR="00C026A6" w:rsidRPr="00EA59C0">
        <w:t xml:space="preserve"> </w:t>
      </w:r>
      <w:r w:rsidRPr="00EA59C0">
        <w:t>(and</w:t>
      </w:r>
      <w:r w:rsidR="00C026A6" w:rsidRPr="00EA59C0">
        <w:t xml:space="preserve"> </w:t>
      </w:r>
      <w:r w:rsidRPr="00EA59C0">
        <w:t>if</w:t>
      </w:r>
      <w:r w:rsidR="00C026A6" w:rsidRPr="00EA59C0">
        <w:t xml:space="preserve"> </w:t>
      </w:r>
      <w:r w:rsidRPr="00EA59C0">
        <w:t>applicable,</w:t>
      </w:r>
      <w:r w:rsidR="00C026A6" w:rsidRPr="00EA59C0">
        <w:t xml:space="preserve"> </w:t>
      </w:r>
      <w:r w:rsidRPr="00EA59C0">
        <w:t>the</w:t>
      </w:r>
      <w:r w:rsidR="00C026A6" w:rsidRPr="00EA59C0">
        <w:t xml:space="preserve"> </w:t>
      </w:r>
      <w:r w:rsidRPr="00EA59C0">
        <w:t>capacity</w:t>
      </w:r>
      <w:r w:rsidR="00C026A6" w:rsidRPr="00EA59C0">
        <w:t xml:space="preserve"> </w:t>
      </w:r>
      <w:r w:rsidRPr="00EA59C0">
        <w:t>of</w:t>
      </w:r>
      <w:r w:rsidR="00C026A6" w:rsidRPr="00EA59C0">
        <w:t xml:space="preserve"> </w:t>
      </w:r>
      <w:r w:rsidRPr="00EA59C0">
        <w:t>its</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to</w:t>
      </w:r>
      <w:r w:rsidR="00C026A6" w:rsidRPr="00EA59C0">
        <w:t xml:space="preserve"> </w:t>
      </w:r>
      <w:r w:rsidRPr="00EA59C0">
        <w:t>effectively</w:t>
      </w:r>
      <w:r w:rsidR="00C026A6" w:rsidRPr="00EA59C0">
        <w:t xml:space="preserve"> </w:t>
      </w:r>
      <w:r w:rsidRPr="00EA59C0">
        <w:t>manage</w:t>
      </w:r>
      <w:r w:rsidR="00C026A6" w:rsidRPr="00EA59C0">
        <w:t xml:space="preserve"> </w:t>
      </w:r>
      <w:r w:rsidRPr="00EA59C0">
        <w:t>the</w:t>
      </w:r>
      <w:r w:rsidR="00C026A6" w:rsidRPr="00EA59C0">
        <w:t xml:space="preserve"> </w:t>
      </w:r>
      <w:r w:rsidRPr="00EA59C0">
        <w:t>programmatic,</w:t>
      </w:r>
      <w:r w:rsidR="00C026A6" w:rsidRPr="00EA59C0">
        <w:t xml:space="preserve"> </w:t>
      </w:r>
      <w:r w:rsidRPr="00EA59C0">
        <w:t>fiscal,</w:t>
      </w:r>
      <w:r w:rsidR="00C026A6" w:rsidRPr="00EA59C0">
        <w:t xml:space="preserve"> </w:t>
      </w:r>
      <w:r w:rsidRPr="00EA59C0">
        <w:t>and</w:t>
      </w:r>
      <w:r w:rsidR="00C026A6" w:rsidRPr="00EA59C0">
        <w:t xml:space="preserve"> </w:t>
      </w:r>
      <w:r w:rsidRPr="00EA59C0">
        <w:t>administrative</w:t>
      </w:r>
      <w:r w:rsidR="00C026A6" w:rsidRPr="00EA59C0">
        <w:t xml:space="preserve"> </w:t>
      </w:r>
      <w:r w:rsidRPr="00EA59C0">
        <w:t>aspects</w:t>
      </w:r>
      <w:r w:rsidR="00C026A6" w:rsidRPr="00EA59C0">
        <w:t xml:space="preserve"> </w:t>
      </w:r>
      <w:r w:rsidRPr="00EA59C0">
        <w:t>of</w:t>
      </w:r>
      <w:r w:rsidR="00C026A6" w:rsidRPr="00EA59C0">
        <w:t xml:space="preserve"> </w:t>
      </w:r>
      <w:r w:rsidRPr="00EA59C0">
        <w:t>the</w:t>
      </w:r>
      <w:r w:rsidR="00C026A6" w:rsidRPr="00EA59C0">
        <w:t xml:space="preserve"> </w:t>
      </w:r>
      <w:r w:rsidRPr="00EA59C0">
        <w:t>project,</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its</w:t>
      </w:r>
      <w:r w:rsidR="00C026A6" w:rsidRPr="00EA59C0">
        <w:t xml:space="preserve"> </w:t>
      </w:r>
      <w:r w:rsidRPr="00EA59C0">
        <w:t>plan</w:t>
      </w:r>
      <w:r w:rsidR="00C026A6" w:rsidRPr="00EA59C0">
        <w:t xml:space="preserve"> </w:t>
      </w:r>
      <w:r w:rsidRPr="00EA59C0">
        <w:t>for</w:t>
      </w:r>
      <w:r w:rsidR="00C026A6" w:rsidRPr="00EA59C0">
        <w:t xml:space="preserve"> </w:t>
      </w:r>
      <w:r w:rsidRPr="00EA59C0">
        <w:t>sustaining</w:t>
      </w:r>
      <w:r w:rsidR="00C026A6" w:rsidRPr="00EA59C0">
        <w:t xml:space="preserve"> </w:t>
      </w:r>
      <w:r w:rsidRPr="00EA59C0">
        <w:t>the</w:t>
      </w:r>
      <w:r w:rsidR="00C026A6" w:rsidRPr="00EA59C0">
        <w:t xml:space="preserve"> </w:t>
      </w:r>
      <w:r w:rsidRPr="00EA59C0">
        <w:t>proposed</w:t>
      </w:r>
      <w:r w:rsidR="00C026A6" w:rsidRPr="00EA59C0">
        <w:t xml:space="preserve"> </w:t>
      </w:r>
      <w:r w:rsidRPr="00EA59C0">
        <w:t>program(s).</w:t>
      </w:r>
      <w:r w:rsidR="00C026A6" w:rsidRPr="00EA59C0">
        <w:t xml:space="preserve"> </w:t>
      </w:r>
    </w:p>
    <w:p w:rsidR="0099159E" w:rsidRPr="00EA59C0" w:rsidRDefault="0099159E" w:rsidP="00C072FA">
      <w:pPr>
        <w:ind w:left="720"/>
      </w:pPr>
    </w:p>
    <w:p w:rsidR="004F09BB" w:rsidRPr="00EA59C0" w:rsidRDefault="004F09BB" w:rsidP="00C072FA">
      <w:pPr>
        <w:pStyle w:val="ListParagraph"/>
        <w:numPr>
          <w:ilvl w:val="5"/>
          <w:numId w:val="17"/>
        </w:numPr>
        <w:rPr>
          <w:b/>
        </w:rPr>
      </w:pPr>
      <w:r w:rsidRPr="00EA59C0">
        <w:rPr>
          <w:b/>
        </w:rPr>
        <w:t>Professional</w:t>
      </w:r>
      <w:r w:rsidR="00C026A6" w:rsidRPr="00EA59C0">
        <w:rPr>
          <w:b/>
        </w:rPr>
        <w:t xml:space="preserve"> </w:t>
      </w:r>
      <w:r w:rsidRPr="00EA59C0">
        <w:rPr>
          <w:b/>
        </w:rPr>
        <w:t>Qualifications</w:t>
      </w:r>
      <w:r w:rsidR="00C026A6" w:rsidRPr="00EA59C0">
        <w:rPr>
          <w:b/>
        </w:rPr>
        <w:t xml:space="preserve"> </w:t>
      </w:r>
      <w:r w:rsidRPr="00EA59C0">
        <w:rPr>
          <w:b/>
        </w:rPr>
        <w:t>of</w:t>
      </w:r>
      <w:r w:rsidR="00C026A6" w:rsidRPr="00EA59C0">
        <w:rPr>
          <w:b/>
        </w:rPr>
        <w:t xml:space="preserve"> </w:t>
      </w:r>
      <w:r w:rsidRPr="00EA59C0">
        <w:rPr>
          <w:b/>
        </w:rPr>
        <w:t>Project</w:t>
      </w:r>
      <w:r w:rsidR="00C026A6" w:rsidRPr="00EA59C0">
        <w:rPr>
          <w:b/>
        </w:rPr>
        <w:t xml:space="preserve"> </w:t>
      </w:r>
      <w:r w:rsidRPr="00EA59C0">
        <w:rPr>
          <w:b/>
        </w:rPr>
        <w:t>Staff</w:t>
      </w:r>
    </w:p>
    <w:p w:rsidR="0099159E" w:rsidRPr="00EA59C0" w:rsidRDefault="0099159E" w:rsidP="00C072FA">
      <w:pPr>
        <w:pStyle w:val="ListParagraph"/>
        <w:numPr>
          <w:ilvl w:val="6"/>
          <w:numId w:val="17"/>
        </w:numPr>
      </w:pPr>
      <w:r w:rsidRPr="00EA59C0">
        <w:t>Describe</w:t>
      </w:r>
      <w:r w:rsidR="00C026A6" w:rsidRPr="00EA59C0">
        <w:t xml:space="preserve"> </w:t>
      </w:r>
      <w:r w:rsidRPr="00EA59C0">
        <w:t>the</w:t>
      </w:r>
      <w:r w:rsidR="00C026A6" w:rsidRPr="00EA59C0">
        <w:t xml:space="preserve"> </w:t>
      </w:r>
      <w:r w:rsidRPr="00EA59C0">
        <w:t>professional</w:t>
      </w:r>
      <w:r w:rsidR="00C026A6" w:rsidRPr="00EA59C0">
        <w:t xml:space="preserve"> </w:t>
      </w:r>
      <w:r w:rsidRPr="00EA59C0">
        <w:t>qualifications</w:t>
      </w:r>
      <w:r w:rsidR="00C026A6" w:rsidRPr="00EA59C0">
        <w:t xml:space="preserve"> </w:t>
      </w:r>
      <w:r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required</w:t>
      </w:r>
      <w:r w:rsidR="00C026A6" w:rsidRPr="00EA59C0">
        <w:t xml:space="preserve"> </w:t>
      </w:r>
      <w:r w:rsidRPr="00EA59C0">
        <w:t>of</w:t>
      </w:r>
      <w:r w:rsidR="00C026A6" w:rsidRPr="00EA59C0">
        <w:t xml:space="preserve"> </w:t>
      </w:r>
      <w:r w:rsidRPr="00EA59C0">
        <w:t>the</w:t>
      </w:r>
      <w:r w:rsidR="00C026A6" w:rsidRPr="00EA59C0">
        <w:t xml:space="preserve"> </w:t>
      </w:r>
      <w:r w:rsidRPr="00EA59C0">
        <w:t>full-time</w:t>
      </w:r>
      <w:r w:rsidR="00C026A6" w:rsidRPr="00EA59C0">
        <w:t xml:space="preserve"> </w:t>
      </w:r>
      <w:r w:rsidRPr="00EA59C0">
        <w:t>project</w:t>
      </w:r>
      <w:r w:rsidR="00C026A6" w:rsidRPr="00EA59C0">
        <w:t xml:space="preserve"> </w:t>
      </w:r>
      <w:r w:rsidRPr="00EA59C0">
        <w:t>manager.</w:t>
      </w:r>
      <w:r w:rsidR="00C026A6" w:rsidRPr="00EA59C0">
        <w:t xml:space="preserve">  </w:t>
      </w:r>
      <w:r w:rsidRPr="00EA59C0">
        <w:t>Explain</w:t>
      </w:r>
      <w:r w:rsidR="00C026A6" w:rsidRPr="00EA59C0">
        <w:t xml:space="preserve"> </w:t>
      </w:r>
      <w:r w:rsidRPr="00EA59C0">
        <w:t>why</w:t>
      </w:r>
      <w:r w:rsidR="00C026A6" w:rsidRPr="00EA59C0">
        <w:t xml:space="preserve"> </w:t>
      </w:r>
      <w:r w:rsidRPr="00EA59C0">
        <w:t>these</w:t>
      </w:r>
      <w:r w:rsidR="00C026A6" w:rsidRPr="00EA59C0">
        <w:t xml:space="preserve"> </w:t>
      </w:r>
      <w:r w:rsidRPr="00EA59C0">
        <w:t>qualifications</w:t>
      </w:r>
      <w:r w:rsidR="00C026A6" w:rsidRPr="00EA59C0">
        <w:t xml:space="preserve"> </w:t>
      </w:r>
      <w:r w:rsidRPr="00EA59C0">
        <w:t>are</w:t>
      </w:r>
      <w:r w:rsidR="00C026A6" w:rsidRPr="00EA59C0">
        <w:t xml:space="preserve"> </w:t>
      </w:r>
      <w:r w:rsidRPr="00EA59C0">
        <w:t>sufficient</w:t>
      </w:r>
      <w:r w:rsidR="00C026A6" w:rsidRPr="00EA59C0">
        <w:t xml:space="preserve"> </w:t>
      </w:r>
      <w:r w:rsidRPr="00EA59C0">
        <w:t>to</w:t>
      </w:r>
      <w:r w:rsidR="00C026A6" w:rsidRPr="00EA59C0">
        <w:t xml:space="preserve"> </w:t>
      </w:r>
      <w:r w:rsidRPr="00EA59C0">
        <w:t>ensure</w:t>
      </w:r>
      <w:r w:rsidR="00C026A6" w:rsidRPr="00EA59C0">
        <w:t xml:space="preserve"> </w:t>
      </w:r>
      <w:r w:rsidRPr="00EA59C0">
        <w:t>that</w:t>
      </w:r>
      <w:r w:rsidR="00C026A6" w:rsidRPr="00EA59C0">
        <w:t xml:space="preserve"> </w:t>
      </w:r>
      <w:r w:rsidRPr="00EA59C0">
        <w:t>performance</w:t>
      </w:r>
      <w:r w:rsidR="00C026A6" w:rsidRPr="00EA59C0">
        <w:t xml:space="preserve"> </w:t>
      </w:r>
      <w:r w:rsidRPr="00EA59C0">
        <w:t>reporting,</w:t>
      </w:r>
      <w:r w:rsidR="00C026A6" w:rsidRPr="00EA59C0">
        <w:t xml:space="preserve"> </w:t>
      </w:r>
      <w:r w:rsidRPr="00EA59C0">
        <w:t>fiscal</w:t>
      </w:r>
      <w:r w:rsidR="00C026A6" w:rsidRPr="00EA59C0">
        <w:t xml:space="preserve"> </w:t>
      </w:r>
      <w:r w:rsidRPr="00EA59C0">
        <w:t>reporting,</w:t>
      </w:r>
      <w:r w:rsidR="00C026A6" w:rsidRPr="00EA59C0">
        <w:t xml:space="preserve"> </w:t>
      </w:r>
      <w:r w:rsidRPr="00EA59C0">
        <w:t>and</w:t>
      </w:r>
      <w:r w:rsidR="00C026A6" w:rsidRPr="00EA59C0">
        <w:t xml:space="preserve"> </w:t>
      </w:r>
      <w:r w:rsidRPr="00EA59C0">
        <w:t>procurement</w:t>
      </w:r>
      <w:r w:rsidR="00C026A6" w:rsidRPr="00EA59C0">
        <w:t xml:space="preserve"> </w:t>
      </w:r>
      <w:r w:rsidRPr="00EA59C0">
        <w:t>are</w:t>
      </w:r>
      <w:r w:rsidR="00C026A6" w:rsidRPr="00EA59C0">
        <w:t xml:space="preserve"> </w:t>
      </w:r>
      <w:r w:rsidRPr="00EA59C0">
        <w:t>conducted</w:t>
      </w:r>
      <w:r w:rsidR="00C026A6" w:rsidRPr="00EA59C0">
        <w:t xml:space="preserve"> </w:t>
      </w:r>
      <w:r w:rsidRPr="00EA59C0">
        <w:t>in</w:t>
      </w:r>
      <w:r w:rsidR="00C026A6" w:rsidRPr="00EA59C0">
        <w:t xml:space="preserve"> </w:t>
      </w:r>
      <w:r w:rsidRPr="00EA59C0">
        <w:t>accordance</w:t>
      </w:r>
      <w:r w:rsidR="00C026A6" w:rsidRPr="00EA59C0">
        <w:t xml:space="preserve"> </w:t>
      </w:r>
      <w:r w:rsidRPr="00EA59C0">
        <w:t>with</w:t>
      </w:r>
      <w:r w:rsidR="00C026A6" w:rsidRPr="00EA59C0">
        <w:t xml:space="preserve"> </w:t>
      </w:r>
      <w:r w:rsidRPr="00EA59C0">
        <w:t>grant</w:t>
      </w:r>
      <w:r w:rsidR="00C026A6" w:rsidRPr="00EA59C0">
        <w:t xml:space="preserve"> </w:t>
      </w:r>
      <w:r w:rsidRPr="00EA59C0">
        <w:t>requirements.</w:t>
      </w:r>
      <w:r w:rsidR="00C026A6" w:rsidRPr="00EA59C0">
        <w:t xml:space="preserve">  </w:t>
      </w:r>
      <w:r w:rsidRPr="00EA59C0">
        <w:t>Provide</w:t>
      </w:r>
      <w:r w:rsidR="00C026A6" w:rsidRPr="00EA59C0">
        <w:t xml:space="preserve"> </w:t>
      </w:r>
      <w:r w:rsidRPr="00EA59C0">
        <w:t>a</w:t>
      </w:r>
      <w:r w:rsidR="00C026A6" w:rsidRPr="00EA59C0">
        <w:t xml:space="preserve"> </w:t>
      </w:r>
      <w:r w:rsidRPr="00EA59C0">
        <w:t>reasonable</w:t>
      </w:r>
      <w:r w:rsidR="00C026A6" w:rsidRPr="00EA59C0">
        <w:t xml:space="preserve"> </w:t>
      </w:r>
      <w:r w:rsidRPr="00EA59C0">
        <w:t>timeframe</w:t>
      </w:r>
      <w:r w:rsidR="00C026A6" w:rsidRPr="00EA59C0">
        <w:t xml:space="preserve"> </w:t>
      </w:r>
      <w:r w:rsidRPr="00EA59C0">
        <w:t>for</w:t>
      </w:r>
      <w:r w:rsidR="00C026A6" w:rsidRPr="00EA59C0">
        <w:t xml:space="preserve"> </w:t>
      </w:r>
      <w:r w:rsidRPr="00EA59C0">
        <w:t>hiring</w:t>
      </w:r>
      <w:r w:rsidR="00C026A6" w:rsidRPr="00EA59C0">
        <w:t xml:space="preserve"> </w:t>
      </w:r>
      <w:r w:rsidRPr="00EA59C0">
        <w:t>the</w:t>
      </w:r>
      <w:r w:rsidR="00C026A6" w:rsidRPr="00EA59C0">
        <w:t xml:space="preserve"> </w:t>
      </w:r>
      <w:r w:rsidRPr="00EA59C0">
        <w:t>project</w:t>
      </w:r>
      <w:r w:rsidR="00C026A6" w:rsidRPr="00EA59C0">
        <w:t xml:space="preserve"> </w:t>
      </w:r>
      <w:r w:rsidRPr="00EA59C0">
        <w:t>manager</w:t>
      </w:r>
      <w:r w:rsidR="00C026A6" w:rsidRPr="00EA59C0">
        <w:t xml:space="preserve"> </w:t>
      </w:r>
      <w:r w:rsidRPr="00EA59C0">
        <w:t>if</w:t>
      </w:r>
      <w:r w:rsidR="00C026A6" w:rsidRPr="00EA59C0">
        <w:t xml:space="preserve"> </w:t>
      </w:r>
      <w:r w:rsidRPr="00EA59C0">
        <w:t>one</w:t>
      </w:r>
      <w:r w:rsidR="00C026A6" w:rsidRPr="00EA59C0">
        <w:t xml:space="preserve"> </w:t>
      </w:r>
      <w:r w:rsidRPr="00EA59C0">
        <w:t>is</w:t>
      </w:r>
      <w:r w:rsidR="00C026A6" w:rsidRPr="00EA59C0">
        <w:t xml:space="preserve"> </w:t>
      </w:r>
      <w:r w:rsidRPr="00EA59C0">
        <w:t>not</w:t>
      </w:r>
      <w:r w:rsidR="00C026A6" w:rsidRPr="00EA59C0">
        <w:t xml:space="preserve"> </w:t>
      </w:r>
      <w:r w:rsidRPr="00EA59C0">
        <w:t>already</w:t>
      </w:r>
      <w:r w:rsidR="00C026A6" w:rsidRPr="00EA59C0">
        <w:t xml:space="preserve"> </w:t>
      </w:r>
      <w:r w:rsidRPr="00EA59C0">
        <w:t>identified,</w:t>
      </w:r>
      <w:r w:rsidR="00C026A6" w:rsidRPr="00EA59C0">
        <w:t xml:space="preserve"> </w:t>
      </w:r>
      <w:r w:rsidRPr="00EA59C0">
        <w:t>and</w:t>
      </w:r>
      <w:r w:rsidR="00C026A6" w:rsidRPr="00EA59C0">
        <w:t xml:space="preserve"> </w:t>
      </w:r>
      <w:r w:rsidRPr="00EA59C0">
        <w:t>describe</w:t>
      </w:r>
      <w:r w:rsidR="00C026A6" w:rsidRPr="00EA59C0">
        <w:t xml:space="preserve"> </w:t>
      </w:r>
      <w:r w:rsidRPr="00EA59C0">
        <w:t>plans</w:t>
      </w:r>
      <w:r w:rsidR="00C026A6" w:rsidRPr="00EA59C0">
        <w:t xml:space="preserve"> </w:t>
      </w:r>
      <w:r w:rsidRPr="00EA59C0">
        <w:t>to</w:t>
      </w:r>
      <w:r w:rsidR="00C026A6" w:rsidRPr="00EA59C0">
        <w:t xml:space="preserve"> </w:t>
      </w:r>
      <w:r w:rsidRPr="00EA59C0">
        <w:t>assign</w:t>
      </w:r>
      <w:r w:rsidR="00C026A6" w:rsidRPr="00EA59C0">
        <w:t xml:space="preserve"> </w:t>
      </w:r>
      <w:r w:rsidRPr="00EA59C0">
        <w:t>an</w:t>
      </w:r>
      <w:r w:rsidR="00C026A6" w:rsidRPr="00EA59C0">
        <w:t xml:space="preserve"> </w:t>
      </w:r>
      <w:r w:rsidRPr="00EA59C0">
        <w:t>interim</w:t>
      </w:r>
      <w:r w:rsidR="00C026A6" w:rsidRPr="00EA59C0">
        <w:t xml:space="preserve"> </w:t>
      </w:r>
      <w:r w:rsidRPr="00EA59C0">
        <w:t>project</w:t>
      </w:r>
      <w:r w:rsidR="00C026A6" w:rsidRPr="00EA59C0">
        <w:t xml:space="preserve"> </w:t>
      </w:r>
      <w:r w:rsidRPr="00EA59C0">
        <w:t>manager</w:t>
      </w:r>
      <w:r w:rsidR="00C026A6" w:rsidRPr="00EA59C0">
        <w:t xml:space="preserve"> </w:t>
      </w:r>
      <w:r w:rsidRPr="00EA59C0">
        <w:t>if</w:t>
      </w:r>
      <w:r w:rsidR="00C026A6" w:rsidRPr="00EA59C0">
        <w:t xml:space="preserve"> </w:t>
      </w:r>
      <w:r w:rsidRPr="00EA59C0">
        <w:t>required.</w:t>
      </w:r>
      <w:r w:rsidR="00C026A6" w:rsidRPr="00EA59C0">
        <w:t xml:space="preserve">  </w:t>
      </w:r>
      <w:r w:rsidRPr="00EA59C0">
        <w:t>If</w:t>
      </w:r>
      <w:r w:rsidR="00C026A6" w:rsidRPr="00EA59C0">
        <w:t xml:space="preserve"> </w:t>
      </w:r>
      <w:r w:rsidRPr="00EA59C0">
        <w:t>planning</w:t>
      </w:r>
      <w:r w:rsidR="00C026A6" w:rsidRPr="00EA59C0">
        <w:t xml:space="preserve"> </w:t>
      </w:r>
      <w:r w:rsidRPr="00EA59C0">
        <w:t>to</w:t>
      </w:r>
      <w:r w:rsidR="00C026A6" w:rsidRPr="00EA59C0">
        <w:t xml:space="preserve"> </w:t>
      </w:r>
      <w:r w:rsidRPr="00EA59C0">
        <w:t>hire</w:t>
      </w:r>
      <w:r w:rsidR="00C026A6" w:rsidRPr="00EA59C0">
        <w:t xml:space="preserve"> </w:t>
      </w:r>
      <w:r w:rsidRPr="00EA59C0">
        <w:t>a</w:t>
      </w:r>
      <w:r w:rsidR="00C026A6" w:rsidRPr="00EA59C0">
        <w:t xml:space="preserve"> </w:t>
      </w:r>
      <w:r w:rsidRPr="00EA59C0">
        <w:t>project</w:t>
      </w:r>
      <w:r w:rsidR="00C026A6" w:rsidRPr="00EA59C0">
        <w:t xml:space="preserve"> </w:t>
      </w:r>
      <w:r w:rsidRPr="00EA59C0">
        <w:t>manager,</w:t>
      </w:r>
      <w:r w:rsidR="00C026A6" w:rsidRPr="00EA59C0">
        <w:t xml:space="preserve"> </w:t>
      </w:r>
      <w:r w:rsidRPr="00EA59C0">
        <w:t>provide</w:t>
      </w:r>
      <w:r w:rsidR="00C026A6" w:rsidRPr="00EA59C0">
        <w:t xml:space="preserve"> </w:t>
      </w:r>
      <w:r w:rsidRPr="00EA59C0">
        <w:t>a</w:t>
      </w:r>
      <w:r w:rsidR="00C026A6" w:rsidRPr="00EA59C0">
        <w:t xml:space="preserve"> </w:t>
      </w:r>
      <w:r w:rsidRPr="00EA59C0">
        <w:t>plan</w:t>
      </w:r>
      <w:r w:rsidR="00C026A6" w:rsidRPr="00EA59C0">
        <w:t xml:space="preserve"> </w:t>
      </w:r>
      <w:r w:rsidRPr="00EA59C0">
        <w:t>to</w:t>
      </w:r>
      <w:r w:rsidR="00C026A6" w:rsidRPr="00EA59C0">
        <w:t xml:space="preserve"> </w:t>
      </w:r>
      <w:r w:rsidRPr="00EA59C0">
        <w:t>appoint</w:t>
      </w:r>
      <w:r w:rsidR="00C026A6" w:rsidRPr="00EA59C0">
        <w:t xml:space="preserve"> </w:t>
      </w:r>
      <w:r w:rsidRPr="00EA59C0">
        <w:t>an</w:t>
      </w:r>
      <w:r w:rsidR="00C026A6" w:rsidRPr="00EA59C0">
        <w:t xml:space="preserve"> </w:t>
      </w:r>
      <w:r w:rsidRPr="00EA59C0">
        <w:t>interim</w:t>
      </w:r>
      <w:r w:rsidR="00C026A6" w:rsidRPr="00EA59C0">
        <w:t xml:space="preserve"> </w:t>
      </w:r>
      <w:r w:rsidRPr="00EA59C0">
        <w:t>project</w:t>
      </w:r>
      <w:r w:rsidR="00C026A6" w:rsidRPr="00EA59C0">
        <w:t xml:space="preserve"> </w:t>
      </w:r>
      <w:r w:rsidRPr="00EA59C0">
        <w:t>manager</w:t>
      </w:r>
      <w:r w:rsidR="00C026A6" w:rsidRPr="00EA59C0">
        <w:t xml:space="preserve"> </w:t>
      </w:r>
      <w:r w:rsidRPr="00EA59C0">
        <w:t>by</w:t>
      </w:r>
      <w:r w:rsidR="00C026A6" w:rsidRPr="00EA59C0">
        <w:t xml:space="preserve"> </w:t>
      </w:r>
      <w:r w:rsidRPr="00EA59C0">
        <w:t>October</w:t>
      </w:r>
      <w:r w:rsidR="00C026A6" w:rsidRPr="00EA59C0">
        <w:t xml:space="preserve"> </w:t>
      </w:r>
      <w:r w:rsidRPr="00EA59C0">
        <w:t>1,</w:t>
      </w:r>
      <w:r w:rsidR="00C026A6" w:rsidRPr="00EA59C0">
        <w:t xml:space="preserve"> </w:t>
      </w:r>
      <w:r w:rsidRPr="00EA59C0">
        <w:t>201</w:t>
      </w:r>
      <w:r w:rsidR="002C32BA" w:rsidRPr="00EA59C0">
        <w:t>4</w:t>
      </w:r>
      <w:r w:rsidR="00C026A6" w:rsidRPr="00EA59C0">
        <w:t xml:space="preserve"> </w:t>
      </w:r>
      <w:r w:rsidRPr="00EA59C0">
        <w:t>who</w:t>
      </w:r>
      <w:r w:rsidR="00C026A6" w:rsidRPr="00EA59C0">
        <w:t xml:space="preserve"> </w:t>
      </w:r>
      <w:r w:rsidRPr="00EA59C0">
        <w:t>will</w:t>
      </w:r>
      <w:r w:rsidR="00C026A6" w:rsidRPr="00EA59C0">
        <w:t xml:space="preserve"> </w:t>
      </w:r>
      <w:r w:rsidRPr="00EA59C0">
        <w:t>serve</w:t>
      </w:r>
      <w:r w:rsidR="00C026A6" w:rsidRPr="00EA59C0">
        <w:t xml:space="preserve"> </w:t>
      </w:r>
      <w:r w:rsidRPr="00EA59C0">
        <w:t>until</w:t>
      </w:r>
      <w:r w:rsidR="00C026A6" w:rsidRPr="00EA59C0">
        <w:t xml:space="preserve"> </w:t>
      </w:r>
      <w:r w:rsidRPr="00EA59C0">
        <w:t>the</w:t>
      </w:r>
      <w:r w:rsidR="00C026A6" w:rsidRPr="00EA59C0">
        <w:t xml:space="preserve"> </w:t>
      </w:r>
      <w:r w:rsidRPr="00EA59C0">
        <w:t>new</w:t>
      </w:r>
      <w:r w:rsidR="00C026A6" w:rsidRPr="00EA59C0">
        <w:t xml:space="preserve"> </w:t>
      </w:r>
      <w:r w:rsidRPr="00EA59C0">
        <w:t>project</w:t>
      </w:r>
      <w:r w:rsidR="00C026A6" w:rsidRPr="00EA59C0">
        <w:t xml:space="preserve"> </w:t>
      </w:r>
      <w:r w:rsidRPr="00EA59C0">
        <w:t>manager</w:t>
      </w:r>
      <w:r w:rsidR="00C026A6" w:rsidRPr="00EA59C0">
        <w:t xml:space="preserve"> </w:t>
      </w:r>
      <w:r w:rsidRPr="00EA59C0">
        <w:t>is</w:t>
      </w:r>
      <w:r w:rsidR="00C026A6" w:rsidRPr="00EA59C0">
        <w:t xml:space="preserve"> </w:t>
      </w:r>
      <w:r w:rsidRPr="00EA59C0">
        <w:t>hired.</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identify</w:t>
      </w:r>
      <w:r w:rsidR="00C026A6" w:rsidRPr="00EA59C0">
        <w:t xml:space="preserve"> </w:t>
      </w:r>
      <w:r w:rsidRPr="00EA59C0">
        <w:t>how</w:t>
      </w:r>
      <w:r w:rsidR="00C026A6" w:rsidRPr="00EA59C0">
        <w:t xml:space="preserve"> </w:t>
      </w:r>
      <w:r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r w:rsidRPr="00EA59C0">
        <w:t>will</w:t>
      </w:r>
      <w:r w:rsidR="00C026A6" w:rsidRPr="00EA59C0">
        <w:t xml:space="preserve"> </w:t>
      </w:r>
      <w:r w:rsidRPr="00EA59C0">
        <w:t>track</w:t>
      </w:r>
      <w:r w:rsidR="00C026A6" w:rsidRPr="00EA59C0">
        <w:t xml:space="preserve"> </w:t>
      </w:r>
      <w:r w:rsidRPr="00EA59C0">
        <w:t>the</w:t>
      </w:r>
      <w:r w:rsidR="00C026A6" w:rsidRPr="00EA59C0">
        <w:t xml:space="preserve"> </w:t>
      </w:r>
      <w:r w:rsidRPr="00EA59C0">
        <w:t>programmatic,</w:t>
      </w:r>
      <w:r w:rsidR="00C026A6" w:rsidRPr="00EA59C0">
        <w:t xml:space="preserve"> </w:t>
      </w:r>
      <w:r w:rsidRPr="00EA59C0">
        <w:t>fiscal,</w:t>
      </w:r>
      <w:r w:rsidR="00C026A6" w:rsidRPr="00EA59C0">
        <w:t xml:space="preserve"> </w:t>
      </w:r>
      <w:r w:rsidRPr="00EA59C0">
        <w:t>and</w:t>
      </w:r>
      <w:r w:rsidR="00C026A6" w:rsidRPr="00EA59C0">
        <w:t xml:space="preserve"> </w:t>
      </w:r>
      <w:r w:rsidRPr="00EA59C0">
        <w:t>administrative</w:t>
      </w:r>
      <w:r w:rsidR="00C026A6" w:rsidRPr="00EA59C0">
        <w:t xml:space="preserve"> </w:t>
      </w:r>
      <w:r w:rsidRPr="00EA59C0">
        <w:t>progress</w:t>
      </w:r>
      <w:r w:rsidR="00C026A6" w:rsidRPr="00EA59C0">
        <w:t xml:space="preserve"> </w:t>
      </w:r>
      <w:r w:rsidRPr="00EA59C0">
        <w:t>of</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and</w:t>
      </w:r>
      <w:r w:rsidR="00C026A6" w:rsidRPr="00EA59C0">
        <w:t xml:space="preserve"> </w:t>
      </w:r>
      <w:r w:rsidRPr="00EA59C0">
        <w:t>provide</w:t>
      </w:r>
      <w:r w:rsidR="00C026A6" w:rsidRPr="00EA59C0">
        <w:t xml:space="preserve"> </w:t>
      </w:r>
      <w:r w:rsidRPr="00EA59C0">
        <w:t>them</w:t>
      </w:r>
      <w:r w:rsidR="00C026A6" w:rsidRPr="00EA59C0">
        <w:t xml:space="preserve"> </w:t>
      </w:r>
      <w:r w:rsidRPr="00EA59C0">
        <w:t>with</w:t>
      </w:r>
      <w:r w:rsidR="00C026A6" w:rsidRPr="00EA59C0">
        <w:t xml:space="preserve"> </w:t>
      </w:r>
      <w:r w:rsidRPr="00EA59C0">
        <w:t>technical</w:t>
      </w:r>
      <w:r w:rsidR="00C026A6" w:rsidRPr="00EA59C0">
        <w:t xml:space="preserve"> </w:t>
      </w:r>
      <w:r w:rsidRPr="00EA59C0">
        <w:t>assistance</w:t>
      </w:r>
      <w:r w:rsidR="00C026A6" w:rsidRPr="00EA59C0">
        <w:t xml:space="preserve"> </w:t>
      </w:r>
      <w:r w:rsidRPr="00EA59C0">
        <w:t>and</w:t>
      </w:r>
      <w:r w:rsidR="00C026A6" w:rsidRPr="00EA59C0">
        <w:t xml:space="preserve"> </w:t>
      </w:r>
      <w:r w:rsidRPr="00EA59C0">
        <w:t>training</w:t>
      </w:r>
      <w:r w:rsidR="00C026A6" w:rsidRPr="00EA59C0">
        <w:t xml:space="preserve"> </w:t>
      </w:r>
      <w:r w:rsidRPr="00EA59C0">
        <w:t>related</w:t>
      </w:r>
      <w:r w:rsidR="00C026A6" w:rsidRPr="00EA59C0">
        <w:t xml:space="preserve"> </w:t>
      </w:r>
      <w:r w:rsidRPr="00EA59C0">
        <w:t>to</w:t>
      </w:r>
      <w:r w:rsidR="00C026A6" w:rsidRPr="00EA59C0">
        <w:t xml:space="preserve"> </w:t>
      </w:r>
      <w:r w:rsidRPr="00EA59C0">
        <w:t>programmatic,</w:t>
      </w:r>
      <w:r w:rsidR="00C026A6" w:rsidRPr="00EA59C0">
        <w:t xml:space="preserve"> </w:t>
      </w:r>
      <w:r w:rsidRPr="00EA59C0">
        <w:t>fiscal,</w:t>
      </w:r>
      <w:r w:rsidR="00C026A6" w:rsidRPr="00EA59C0">
        <w:t xml:space="preserve"> </w:t>
      </w:r>
      <w:r w:rsidRPr="00EA59C0">
        <w:t>and</w:t>
      </w:r>
      <w:r w:rsidR="00C026A6" w:rsidRPr="00EA59C0">
        <w:t xml:space="preserve"> </w:t>
      </w:r>
      <w:r w:rsidRPr="00EA59C0">
        <w:t>reporting</w:t>
      </w:r>
      <w:r w:rsidR="00C026A6" w:rsidRPr="00EA59C0">
        <w:t xml:space="preserve"> </w:t>
      </w:r>
      <w:r w:rsidRPr="00EA59C0">
        <w:t>requirements.</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also</w:t>
      </w:r>
      <w:r w:rsidR="00C026A6" w:rsidRPr="00EA59C0">
        <w:t xml:space="preserve"> </w:t>
      </w:r>
      <w:r w:rsidRPr="00EA59C0">
        <w:t>describe</w:t>
      </w:r>
      <w:r w:rsidR="00C026A6" w:rsidRPr="00EA59C0">
        <w:t xml:space="preserve"> </w:t>
      </w:r>
      <w:r w:rsidRPr="00EA59C0">
        <w:t>the</w:t>
      </w:r>
      <w:r w:rsidR="00C026A6" w:rsidRPr="00EA59C0">
        <w:t xml:space="preserve"> </w:t>
      </w:r>
      <w:r w:rsidRPr="00EA59C0">
        <w:t>roles</w:t>
      </w:r>
      <w:r w:rsidR="00C026A6" w:rsidRPr="00EA59C0">
        <w:t xml:space="preserve"> </w:t>
      </w:r>
      <w:r w:rsidRPr="00EA59C0">
        <w:t>of</w:t>
      </w:r>
      <w:r w:rsidR="00C026A6" w:rsidRPr="00EA59C0">
        <w:t xml:space="preserve"> </w:t>
      </w:r>
      <w:r w:rsidRPr="00EA59C0">
        <w:t>consortium</w:t>
      </w:r>
      <w:r w:rsidR="00C026A6" w:rsidRPr="00EA59C0">
        <w:t xml:space="preserve"> </w:t>
      </w:r>
      <w:r w:rsidRPr="00EA59C0">
        <w:t>member</w:t>
      </w:r>
      <w:r w:rsidR="00C026A6" w:rsidRPr="00EA59C0">
        <w:t xml:space="preserve"> </w:t>
      </w:r>
      <w:r w:rsidRPr="00EA59C0">
        <w:t>institutions</w:t>
      </w:r>
      <w:r w:rsidR="00C026A6" w:rsidRPr="00EA59C0">
        <w:t xml:space="preserve"> </w:t>
      </w:r>
      <w:r w:rsidRPr="00EA59C0">
        <w:t>in</w:t>
      </w:r>
      <w:r w:rsidR="00C026A6" w:rsidRPr="00EA59C0">
        <w:t xml:space="preserve"> </w:t>
      </w:r>
      <w:r w:rsidRPr="00EA59C0">
        <w:t>managing</w:t>
      </w:r>
      <w:r w:rsidR="00C026A6" w:rsidRPr="00EA59C0">
        <w:t xml:space="preserve"> </w:t>
      </w:r>
      <w:r w:rsidRPr="00EA59C0">
        <w:t>their</w:t>
      </w:r>
      <w:r w:rsidR="00C026A6" w:rsidRPr="00EA59C0">
        <w:t xml:space="preserve"> </w:t>
      </w:r>
      <w:r w:rsidRPr="00EA59C0">
        <w:t>own</w:t>
      </w:r>
      <w:r w:rsidR="00C026A6" w:rsidRPr="00EA59C0">
        <w:t xml:space="preserve"> </w:t>
      </w:r>
      <w:r w:rsidRPr="00EA59C0">
        <w:t>programmatic,</w:t>
      </w:r>
      <w:r w:rsidR="00C026A6" w:rsidRPr="00EA59C0">
        <w:t xml:space="preserve"> </w:t>
      </w:r>
      <w:r w:rsidRPr="00EA59C0">
        <w:t>fiscal,</w:t>
      </w:r>
      <w:r w:rsidR="00C026A6" w:rsidRPr="00EA59C0">
        <w:t xml:space="preserve"> </w:t>
      </w:r>
      <w:r w:rsidRPr="00EA59C0">
        <w:t>and</w:t>
      </w:r>
      <w:r w:rsidR="00C026A6" w:rsidRPr="00EA59C0">
        <w:t xml:space="preserve"> </w:t>
      </w:r>
      <w:r w:rsidRPr="00EA59C0">
        <w:t>administrative</w:t>
      </w:r>
      <w:r w:rsidR="00C026A6" w:rsidRPr="00EA59C0">
        <w:t xml:space="preserve"> </w:t>
      </w:r>
      <w:r w:rsidRPr="00EA59C0">
        <w:t>aspects</w:t>
      </w:r>
      <w:r w:rsidR="00C026A6" w:rsidRPr="00EA59C0">
        <w:t xml:space="preserve"> </w:t>
      </w:r>
      <w:r w:rsidRPr="00EA59C0">
        <w:t>of</w:t>
      </w:r>
      <w:r w:rsidR="00C026A6" w:rsidRPr="00EA59C0">
        <w:t xml:space="preserve"> </w:t>
      </w:r>
      <w:r w:rsidRPr="00EA59C0">
        <w:t>the</w:t>
      </w:r>
      <w:r w:rsidR="00C026A6" w:rsidRPr="00EA59C0">
        <w:t xml:space="preserve"> </w:t>
      </w:r>
      <w:r w:rsidRPr="00EA59C0">
        <w:t>project,</w:t>
      </w:r>
      <w:r w:rsidR="00C026A6" w:rsidRPr="00EA59C0">
        <w:t xml:space="preserve"> </w:t>
      </w:r>
      <w:r w:rsidRPr="00EA59C0">
        <w:t>as</w:t>
      </w:r>
      <w:r w:rsidR="00C026A6" w:rsidRPr="00EA59C0">
        <w:t xml:space="preserve"> </w:t>
      </w:r>
      <w:r w:rsidRPr="00EA59C0">
        <w:t>applicable.</w:t>
      </w:r>
      <w:r w:rsidR="00C026A6" w:rsidRPr="00EA59C0">
        <w:t xml:space="preserve"> </w:t>
      </w:r>
    </w:p>
    <w:p w:rsidR="0099159E" w:rsidRPr="00EA59C0" w:rsidRDefault="0099159E" w:rsidP="00C072FA">
      <w:pPr>
        <w:pStyle w:val="ListParagraph"/>
        <w:numPr>
          <w:ilvl w:val="6"/>
          <w:numId w:val="17"/>
        </w:numPr>
      </w:pPr>
      <w:r w:rsidRPr="00EA59C0">
        <w:t>Describe</w:t>
      </w:r>
      <w:r w:rsidR="00C026A6" w:rsidRPr="00EA59C0">
        <w:t xml:space="preserve"> </w:t>
      </w:r>
      <w:r w:rsidRPr="00EA59C0">
        <w:t>the</w:t>
      </w:r>
      <w:r w:rsidR="00C026A6" w:rsidRPr="00EA59C0">
        <w:t xml:space="preserve"> </w:t>
      </w:r>
      <w:r w:rsidRPr="00EA59C0">
        <w:t>professional</w:t>
      </w:r>
      <w:r w:rsidR="00C026A6" w:rsidRPr="00EA59C0">
        <w:t xml:space="preserve"> </w:t>
      </w:r>
      <w:r w:rsidRPr="00EA59C0">
        <w:t>qualifications</w:t>
      </w:r>
      <w:r w:rsidR="00C026A6" w:rsidRPr="00EA59C0">
        <w:t xml:space="preserve"> </w:t>
      </w:r>
      <w:r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required</w:t>
      </w:r>
      <w:r w:rsidR="00C026A6" w:rsidRPr="00EA59C0">
        <w:t xml:space="preserve"> </w:t>
      </w:r>
      <w:r w:rsidRPr="00EA59C0">
        <w:t>of</w:t>
      </w:r>
      <w:r w:rsidR="00C026A6" w:rsidRPr="00EA59C0">
        <w:t xml:space="preserve"> </w:t>
      </w:r>
      <w:r w:rsidRPr="00EA59C0">
        <w:t>the</w:t>
      </w:r>
      <w:r w:rsidR="00C026A6" w:rsidRPr="00EA59C0">
        <w:t xml:space="preserve"> </w:t>
      </w:r>
      <w:r w:rsidRPr="00EA59C0">
        <w:t>fiscal,</w:t>
      </w:r>
      <w:r w:rsidR="00C026A6" w:rsidRPr="00EA59C0">
        <w:t xml:space="preserve"> </w:t>
      </w:r>
      <w:r w:rsidRPr="00EA59C0">
        <w:t>administrative</w:t>
      </w:r>
      <w:r w:rsidR="00C026A6" w:rsidRPr="00EA59C0">
        <w:t xml:space="preserve"> </w:t>
      </w:r>
      <w:r w:rsidRPr="00EA59C0">
        <w:t>management,</w:t>
      </w:r>
      <w:r w:rsidR="00C026A6" w:rsidRPr="00EA59C0">
        <w:t xml:space="preserve"> </w:t>
      </w:r>
      <w:r w:rsidRPr="00EA59C0">
        <w:t>and</w:t>
      </w:r>
      <w:r w:rsidR="00C026A6" w:rsidRPr="00EA59C0">
        <w:t xml:space="preserve"> </w:t>
      </w:r>
      <w:r w:rsidRPr="00EA59C0">
        <w:t>marketing</w:t>
      </w:r>
      <w:r w:rsidR="00C026A6" w:rsidRPr="00EA59C0">
        <w:t xml:space="preserve"> </w:t>
      </w:r>
      <w:r w:rsidRPr="00EA59C0">
        <w:t>staff.</w:t>
      </w:r>
      <w:r w:rsidR="00C026A6" w:rsidRPr="00EA59C0">
        <w:t xml:space="preserve">  </w:t>
      </w:r>
      <w:r w:rsidRPr="00EA59C0">
        <w:t>Explain</w:t>
      </w:r>
      <w:r w:rsidR="00C026A6" w:rsidRPr="00EA59C0">
        <w:t xml:space="preserve"> </w:t>
      </w:r>
      <w:r w:rsidRPr="00EA59C0">
        <w:t>why</w:t>
      </w:r>
      <w:r w:rsidR="00C026A6" w:rsidRPr="00EA59C0">
        <w:t xml:space="preserve"> </w:t>
      </w:r>
      <w:r w:rsidRPr="00EA59C0">
        <w:t>these</w:t>
      </w:r>
      <w:r w:rsidR="00C026A6" w:rsidRPr="00EA59C0">
        <w:t xml:space="preserve"> </w:t>
      </w:r>
      <w:r w:rsidRPr="00EA59C0">
        <w:t>qualifications</w:t>
      </w:r>
      <w:r w:rsidR="00C026A6" w:rsidRPr="00EA59C0">
        <w:t xml:space="preserve"> </w:t>
      </w:r>
      <w:r w:rsidRPr="00EA59C0">
        <w:t>are</w:t>
      </w:r>
      <w:r w:rsidR="00C026A6" w:rsidRPr="00EA59C0">
        <w:t xml:space="preserve"> </w:t>
      </w:r>
      <w:r w:rsidRPr="00EA59C0">
        <w:t>sufficient</w:t>
      </w:r>
      <w:r w:rsidR="00C026A6" w:rsidRPr="00EA59C0">
        <w:t xml:space="preserve"> </w:t>
      </w:r>
      <w:r w:rsidRPr="00EA59C0">
        <w:t>to</w:t>
      </w:r>
      <w:r w:rsidR="00C026A6" w:rsidRPr="00EA59C0">
        <w:t xml:space="preserve"> </w:t>
      </w:r>
      <w:r w:rsidRPr="00EA59C0">
        <w:t>ensure</w:t>
      </w:r>
      <w:r w:rsidR="00C026A6" w:rsidRPr="00EA59C0">
        <w:t xml:space="preserve"> </w:t>
      </w:r>
      <w:r w:rsidRPr="00EA59C0">
        <w:t>proper</w:t>
      </w:r>
      <w:r w:rsidR="00C026A6" w:rsidRPr="00EA59C0">
        <w:t xml:space="preserve"> </w:t>
      </w:r>
      <w:r w:rsidRPr="00EA59C0">
        <w:t>performance</w:t>
      </w:r>
      <w:r w:rsidR="00C026A6" w:rsidRPr="00EA59C0">
        <w:t xml:space="preserve"> </w:t>
      </w:r>
      <w:r w:rsidRPr="00EA59C0">
        <w:t>reporting,</w:t>
      </w:r>
      <w:r w:rsidR="00C026A6" w:rsidRPr="00EA59C0">
        <w:t xml:space="preserve"> </w:t>
      </w:r>
      <w:r w:rsidRPr="00EA59C0">
        <w:t>fiscal</w:t>
      </w:r>
      <w:r w:rsidR="00C026A6" w:rsidRPr="00EA59C0">
        <w:t xml:space="preserve"> </w:t>
      </w:r>
      <w:r w:rsidRPr="00EA59C0">
        <w:t>reporting,</w:t>
      </w:r>
      <w:r w:rsidR="00C026A6" w:rsidRPr="00EA59C0">
        <w:t xml:space="preserve"> </w:t>
      </w:r>
      <w:r w:rsidRPr="00EA59C0">
        <w:t>procurement</w:t>
      </w:r>
      <w:r w:rsidR="00C026A6" w:rsidRPr="00EA59C0">
        <w:t xml:space="preserve"> </w:t>
      </w:r>
      <w:r w:rsidRPr="00EA59C0">
        <w:t>management,</w:t>
      </w:r>
      <w:r w:rsidR="00C026A6" w:rsidRPr="00EA59C0">
        <w:t xml:space="preserve"> </w:t>
      </w:r>
      <w:r w:rsidRPr="00EA59C0">
        <w:t>and</w:t>
      </w:r>
      <w:r w:rsidR="00C026A6" w:rsidRPr="00EA59C0">
        <w:t xml:space="preserve"> </w:t>
      </w:r>
      <w:r w:rsidRPr="00EA59C0">
        <w:t>marketing</w:t>
      </w:r>
      <w:r w:rsidR="00C026A6" w:rsidRPr="00EA59C0">
        <w:t xml:space="preserve"> </w:t>
      </w:r>
      <w:r w:rsidRPr="00EA59C0">
        <w:t>activities.</w:t>
      </w:r>
      <w:r w:rsidR="00C026A6" w:rsidRPr="00EA59C0">
        <w:t xml:space="preserve">  </w:t>
      </w:r>
      <w:r w:rsidRPr="00EA59C0">
        <w:t>Provide</w:t>
      </w:r>
      <w:r w:rsidR="00C026A6" w:rsidRPr="00EA59C0">
        <w:t xml:space="preserve"> </w:t>
      </w:r>
      <w:r w:rsidRPr="00EA59C0">
        <w:t>a</w:t>
      </w:r>
      <w:r w:rsidR="00C026A6" w:rsidRPr="00EA59C0">
        <w:t xml:space="preserve"> </w:t>
      </w:r>
      <w:r w:rsidRPr="00EA59C0">
        <w:t>reasonable</w:t>
      </w:r>
      <w:r w:rsidR="00C026A6" w:rsidRPr="00EA59C0">
        <w:t xml:space="preserve"> </w:t>
      </w:r>
      <w:r w:rsidRPr="00EA59C0">
        <w:t>timeframe</w:t>
      </w:r>
      <w:r w:rsidR="00C026A6" w:rsidRPr="00EA59C0">
        <w:t xml:space="preserve"> </w:t>
      </w:r>
      <w:r w:rsidRPr="00EA59C0">
        <w:t>for</w:t>
      </w:r>
      <w:r w:rsidR="00C026A6" w:rsidRPr="00EA59C0">
        <w:t xml:space="preserve"> </w:t>
      </w:r>
      <w:r w:rsidRPr="00EA59C0">
        <w:t>hiring</w:t>
      </w:r>
      <w:r w:rsidR="00C026A6" w:rsidRPr="00EA59C0">
        <w:t xml:space="preserve"> </w:t>
      </w:r>
      <w:r w:rsidRPr="00EA59C0">
        <w:t>these</w:t>
      </w:r>
      <w:r w:rsidR="00C026A6" w:rsidRPr="00EA59C0">
        <w:t xml:space="preserve"> </w:t>
      </w:r>
      <w:r w:rsidRPr="00EA59C0">
        <w:t>individuals</w:t>
      </w:r>
      <w:r w:rsidR="00C026A6" w:rsidRPr="00EA59C0">
        <w:t xml:space="preserve"> </w:t>
      </w:r>
      <w:r w:rsidRPr="00EA59C0">
        <w:t>if</w:t>
      </w:r>
      <w:r w:rsidR="00C026A6" w:rsidRPr="00EA59C0">
        <w:t xml:space="preserve"> </w:t>
      </w:r>
      <w:r w:rsidRPr="00EA59C0">
        <w:t>they</w:t>
      </w:r>
      <w:r w:rsidR="00C026A6" w:rsidRPr="00EA59C0">
        <w:t xml:space="preserve"> </w:t>
      </w:r>
      <w:r w:rsidRPr="00EA59C0">
        <w:t>are</w:t>
      </w:r>
      <w:r w:rsidR="00C026A6" w:rsidRPr="00EA59C0">
        <w:t xml:space="preserve"> </w:t>
      </w:r>
      <w:r w:rsidRPr="00EA59C0">
        <w:t>not</w:t>
      </w:r>
      <w:r w:rsidR="00C026A6" w:rsidRPr="00EA59C0">
        <w:t xml:space="preserve"> </w:t>
      </w:r>
      <w:r w:rsidRPr="00EA59C0">
        <w:t>already</w:t>
      </w:r>
      <w:r w:rsidR="00C026A6" w:rsidRPr="00EA59C0">
        <w:t xml:space="preserve"> </w:t>
      </w:r>
      <w:r w:rsidRPr="00EA59C0">
        <w:t>on</w:t>
      </w:r>
      <w:r w:rsidR="00C026A6" w:rsidRPr="00EA59C0">
        <w:t xml:space="preserve"> </w:t>
      </w:r>
      <w:r w:rsidRPr="00EA59C0">
        <w:t>staff.</w:t>
      </w:r>
      <w:r w:rsidR="00C026A6" w:rsidRPr="00EA59C0">
        <w:t xml:space="preserve">  </w:t>
      </w:r>
      <w:r w:rsidRPr="00EA59C0">
        <w:t>For</w:t>
      </w:r>
      <w:r w:rsidR="00C026A6" w:rsidRPr="00EA59C0">
        <w:t xml:space="preserve"> </w:t>
      </w:r>
      <w:r w:rsidRPr="00EA59C0">
        <w:t>consortium</w:t>
      </w:r>
      <w:r w:rsidR="00C026A6" w:rsidRPr="00EA59C0">
        <w:t xml:space="preserve"> </w:t>
      </w:r>
      <w:r w:rsidRPr="00EA59C0">
        <w:t>awards,</w:t>
      </w:r>
      <w:r w:rsidR="00C026A6" w:rsidRPr="00EA59C0">
        <w:t xml:space="preserve"> </w:t>
      </w:r>
      <w:r w:rsidRPr="00EA59C0">
        <w:t>the</w:t>
      </w:r>
      <w:r w:rsidR="00C026A6" w:rsidRPr="00EA59C0">
        <w:t xml:space="preserve"> </w:t>
      </w:r>
      <w:r w:rsidRPr="00EA59C0">
        <w:t>description</w:t>
      </w:r>
      <w:r w:rsidR="00C026A6" w:rsidRPr="00EA59C0">
        <w:t xml:space="preserve"> </w:t>
      </w:r>
      <w:r w:rsidRPr="00EA59C0">
        <w:t>must</w:t>
      </w:r>
      <w:r w:rsidR="00C026A6" w:rsidRPr="00EA59C0">
        <w:t xml:space="preserve"> </w:t>
      </w:r>
      <w:r w:rsidRPr="00EA59C0">
        <w:t>encompass</w:t>
      </w:r>
      <w:r w:rsidR="00C026A6" w:rsidRPr="00EA59C0">
        <w:t xml:space="preserve"> </w:t>
      </w:r>
      <w:r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member</w:t>
      </w:r>
      <w:r w:rsidR="00C026A6" w:rsidRPr="00EA59C0">
        <w:t xml:space="preserve"> </w:t>
      </w:r>
      <w:r w:rsidRPr="00EA59C0">
        <w:t>institutions.</w:t>
      </w:r>
      <w:r w:rsidR="00C026A6" w:rsidRPr="00EA59C0">
        <w:t xml:space="preserve">  </w:t>
      </w:r>
    </w:p>
    <w:p w:rsidR="0099159E" w:rsidRPr="00EA59C0" w:rsidRDefault="0099159E" w:rsidP="00C072FA">
      <w:pPr>
        <w:pStyle w:val="ListParagraph"/>
        <w:ind w:left="1440"/>
      </w:pPr>
    </w:p>
    <w:p w:rsidR="0099159E" w:rsidRPr="00EA59C0" w:rsidRDefault="0099159E" w:rsidP="00C072FA">
      <w:pPr>
        <w:pStyle w:val="ListParagraph"/>
        <w:numPr>
          <w:ilvl w:val="5"/>
          <w:numId w:val="17"/>
        </w:numPr>
        <w:rPr>
          <w:b/>
        </w:rPr>
      </w:pPr>
      <w:r w:rsidRPr="00EA59C0">
        <w:rPr>
          <w:b/>
        </w:rPr>
        <w:t>Management</w:t>
      </w:r>
      <w:r w:rsidR="00C026A6" w:rsidRPr="00EA59C0">
        <w:rPr>
          <w:b/>
        </w:rPr>
        <w:t xml:space="preserve"> </w:t>
      </w:r>
      <w:r w:rsidRPr="00EA59C0">
        <w:rPr>
          <w:b/>
        </w:rPr>
        <w:t>Structures</w:t>
      </w:r>
    </w:p>
    <w:p w:rsidR="0099159E" w:rsidRPr="00EA59C0" w:rsidRDefault="0099159E" w:rsidP="00C072FA">
      <w:pPr>
        <w:ind w:left="2160"/>
      </w:pPr>
      <w:r w:rsidRPr="00EA59C0">
        <w:t>Describe</w:t>
      </w:r>
      <w:r w:rsidR="00C026A6" w:rsidRPr="00EA59C0">
        <w:t xml:space="preserve"> </w:t>
      </w:r>
      <w:r w:rsidRPr="00EA59C0">
        <w:t>a</w:t>
      </w:r>
      <w:r w:rsidR="00C026A6" w:rsidRPr="00EA59C0">
        <w:t xml:space="preserve"> </w:t>
      </w:r>
      <w:r w:rsidRPr="00EA59C0">
        <w:t>management</w:t>
      </w:r>
      <w:r w:rsidR="00C026A6" w:rsidRPr="00EA59C0">
        <w:t xml:space="preserve"> </w:t>
      </w:r>
      <w:r w:rsidRPr="00EA59C0">
        <w:t>structure</w:t>
      </w:r>
      <w:r w:rsidR="00C026A6" w:rsidRPr="00EA59C0">
        <w:t xml:space="preserve"> </w:t>
      </w:r>
      <w:r w:rsidRPr="00EA59C0">
        <w:t>that</w:t>
      </w:r>
      <w:r w:rsidR="00C026A6" w:rsidRPr="00EA59C0">
        <w:t xml:space="preserve"> </w:t>
      </w:r>
      <w:r w:rsidRPr="00EA59C0">
        <w:t>enables</w:t>
      </w:r>
      <w:r w:rsidR="00C026A6" w:rsidRPr="00EA59C0">
        <w:t xml:space="preserve"> </w:t>
      </w:r>
      <w:r w:rsidRPr="00EA59C0">
        <w:t>efficient</w:t>
      </w:r>
      <w:r w:rsidR="00C026A6" w:rsidRPr="00EA59C0">
        <w:t xml:space="preserve"> </w:t>
      </w:r>
      <w:r w:rsidRPr="00EA59C0">
        <w:t>and</w:t>
      </w:r>
      <w:r w:rsidR="00C026A6" w:rsidRPr="00EA59C0">
        <w:t xml:space="preserve"> </w:t>
      </w:r>
      <w:r w:rsidRPr="00EA59C0">
        <w:t>effective</w:t>
      </w:r>
      <w:r w:rsidR="00C026A6" w:rsidRPr="00EA59C0">
        <w:t xml:space="preserve"> </w:t>
      </w:r>
      <w:r w:rsidRPr="00EA59C0">
        <w:t>communication</w:t>
      </w:r>
      <w:r w:rsidR="00C026A6" w:rsidRPr="00EA59C0">
        <w:t xml:space="preserve"> </w:t>
      </w:r>
      <w:r w:rsidRPr="00EA59C0">
        <w:t>between</w:t>
      </w:r>
      <w:r w:rsidR="00C026A6" w:rsidRPr="00EA59C0">
        <w:t xml:space="preserve"> </w:t>
      </w:r>
      <w:r w:rsidRPr="00EA59C0">
        <w:t>project</w:t>
      </w:r>
      <w:r w:rsidR="00C026A6" w:rsidRPr="00EA59C0">
        <w:t xml:space="preserve"> </w:t>
      </w:r>
      <w:r w:rsidRPr="00EA59C0">
        <w:t>staff</w:t>
      </w:r>
      <w:r w:rsidR="00C026A6" w:rsidRPr="00EA59C0">
        <w:t xml:space="preserve"> </w:t>
      </w:r>
      <w:r w:rsidRPr="00EA59C0">
        <w:t>and</w:t>
      </w:r>
      <w:r w:rsidR="00C026A6" w:rsidRPr="00EA59C0">
        <w:t xml:space="preserve"> </w:t>
      </w:r>
      <w:r w:rsidRPr="00EA59C0">
        <w:t>organizations</w:t>
      </w:r>
      <w:r w:rsidR="00C026A6" w:rsidRPr="00EA59C0">
        <w:t xml:space="preserve"> </w:t>
      </w:r>
      <w:r w:rsidRPr="00EA59C0">
        <w:t>at</w:t>
      </w:r>
      <w:r w:rsidR="00C026A6" w:rsidRPr="00EA59C0">
        <w:t xml:space="preserve"> </w:t>
      </w:r>
      <w:r w:rsidRPr="00EA59C0">
        <w:t>all</w:t>
      </w:r>
      <w:r w:rsidR="00C026A6" w:rsidRPr="00EA59C0">
        <w:t xml:space="preserve"> </w:t>
      </w:r>
      <w:r w:rsidRPr="00EA59C0">
        <w:t>levels</w:t>
      </w:r>
      <w:r w:rsidR="00C026A6" w:rsidRPr="00EA59C0">
        <w:t xml:space="preserve"> </w:t>
      </w:r>
      <w:r w:rsidRPr="00EA59C0">
        <w:t>of</w:t>
      </w:r>
      <w:r w:rsidR="00C026A6" w:rsidRPr="00EA59C0">
        <w:t xml:space="preserve"> </w:t>
      </w:r>
      <w:r w:rsidRPr="00EA59C0">
        <w:t>the</w:t>
      </w:r>
      <w:r w:rsidR="00C026A6" w:rsidRPr="00EA59C0">
        <w:t xml:space="preserve"> </w:t>
      </w:r>
      <w:r w:rsidRPr="00EA59C0">
        <w:t>project</w:t>
      </w:r>
      <w:r w:rsidR="00C026A6" w:rsidRPr="00EA59C0">
        <w:t xml:space="preserve"> </w:t>
      </w:r>
      <w:r w:rsidRPr="00EA59C0">
        <w:t>including</w:t>
      </w:r>
      <w:r w:rsidR="00C026A6" w:rsidRPr="00EA59C0">
        <w:t xml:space="preserve"> </w:t>
      </w:r>
      <w:r w:rsidRPr="00EA59C0">
        <w:t>amongst</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as</w:t>
      </w:r>
      <w:r w:rsidR="00C026A6" w:rsidRPr="00EA59C0">
        <w:t xml:space="preserve"> </w:t>
      </w:r>
      <w:r w:rsidRPr="00EA59C0">
        <w:t>applicable.</w:t>
      </w:r>
      <w:r w:rsidR="00C026A6" w:rsidRPr="00EA59C0">
        <w:t xml:space="preserve">  </w:t>
      </w:r>
      <w:r w:rsidRPr="00EA59C0">
        <w:t>Provide</w:t>
      </w:r>
      <w:r w:rsidR="00C026A6" w:rsidRPr="00EA59C0">
        <w:t xml:space="preserve"> </w:t>
      </w:r>
      <w:r w:rsidRPr="00EA59C0">
        <w:t>an</w:t>
      </w:r>
      <w:r w:rsidR="00C026A6" w:rsidRPr="00EA59C0">
        <w:t xml:space="preserve"> </w:t>
      </w:r>
      <w:r w:rsidRPr="00EA59C0">
        <w:t>organizational</w:t>
      </w:r>
      <w:r w:rsidR="00C026A6" w:rsidRPr="00EA59C0">
        <w:t xml:space="preserve"> </w:t>
      </w:r>
      <w:r w:rsidRPr="00EA59C0">
        <w:t>chart</w:t>
      </w:r>
      <w:r w:rsidR="00C026A6" w:rsidRPr="00EA59C0">
        <w:t xml:space="preserve"> </w:t>
      </w:r>
      <w:r w:rsidRPr="00EA59C0">
        <w:t>that</w:t>
      </w:r>
      <w:r w:rsidR="00C026A6" w:rsidRPr="00EA59C0">
        <w:t xml:space="preserve"> </w:t>
      </w:r>
      <w:r w:rsidRPr="00EA59C0">
        <w:t>identifies</w:t>
      </w:r>
      <w:r w:rsidR="00C026A6" w:rsidRPr="00EA59C0">
        <w:t xml:space="preserve"> </w:t>
      </w:r>
      <w:r w:rsidRPr="00EA59C0">
        <w:t>all</w:t>
      </w:r>
      <w:r w:rsidR="00C026A6" w:rsidRPr="00EA59C0">
        <w:t xml:space="preserve"> </w:t>
      </w:r>
      <w:r w:rsidRPr="00EA59C0">
        <w:t>relevant</w:t>
      </w:r>
      <w:r w:rsidR="00C026A6" w:rsidRPr="00EA59C0">
        <w:t xml:space="preserve"> </w:t>
      </w:r>
      <w:r w:rsidRPr="00EA59C0">
        <w:t>leadership,</w:t>
      </w:r>
      <w:r w:rsidR="00C026A6" w:rsidRPr="00EA59C0">
        <w:t xml:space="preserve"> </w:t>
      </w:r>
      <w:r w:rsidRPr="00EA59C0">
        <w:t>program,</w:t>
      </w:r>
      <w:r w:rsidR="00C026A6" w:rsidRPr="00EA59C0">
        <w:t xml:space="preserve"> </w:t>
      </w:r>
      <w:r w:rsidRPr="00EA59C0">
        <w:t>administrative,</w:t>
      </w:r>
      <w:r w:rsidR="00C026A6" w:rsidRPr="00EA59C0">
        <w:t xml:space="preserve"> </w:t>
      </w:r>
      <w:r w:rsidRPr="00EA59C0">
        <w:t>and</w:t>
      </w:r>
      <w:r w:rsidR="00C026A6" w:rsidRPr="00EA59C0">
        <w:t xml:space="preserve"> </w:t>
      </w:r>
      <w:r w:rsidRPr="00EA59C0">
        <w:t>advisory</w:t>
      </w:r>
      <w:r w:rsidR="00C026A6" w:rsidRPr="00EA59C0">
        <w:t xml:space="preserve"> </w:t>
      </w:r>
      <w:r w:rsidRPr="00EA59C0">
        <w:t>positions</w:t>
      </w:r>
      <w:r w:rsidR="00C026A6" w:rsidRPr="00EA59C0">
        <w:t xml:space="preserve"> </w:t>
      </w:r>
      <w:r w:rsidRPr="00EA59C0">
        <w:t>(including</w:t>
      </w:r>
      <w:r w:rsidR="00C026A6" w:rsidRPr="00EA59C0">
        <w:t xml:space="preserve"> </w:t>
      </w:r>
      <w:r w:rsidRPr="00EA59C0">
        <w:t>positions,</w:t>
      </w:r>
      <w:r w:rsidR="00C026A6" w:rsidRPr="00EA59C0">
        <w:t xml:space="preserve"> </w:t>
      </w:r>
      <w:r w:rsidRPr="00EA59C0">
        <w:t>if</w:t>
      </w:r>
      <w:r w:rsidR="00C026A6" w:rsidRPr="00EA59C0">
        <w:t xml:space="preserve"> </w:t>
      </w:r>
      <w:r w:rsidRPr="00EA59C0">
        <w:t>applicable,</w:t>
      </w:r>
      <w:r w:rsidR="00C026A6" w:rsidRPr="00EA59C0">
        <w:t xml:space="preserve"> </w:t>
      </w:r>
      <w:r w:rsidRPr="00EA59C0">
        <w:t>within</w:t>
      </w:r>
      <w:r w:rsidR="00C026A6" w:rsidRPr="00EA59C0">
        <w:t xml:space="preserve"> </w:t>
      </w:r>
      <w:r w:rsidRPr="00EA59C0">
        <w:t>consortium</w:t>
      </w:r>
      <w:r w:rsidR="00C026A6" w:rsidRPr="00EA59C0">
        <w:t xml:space="preserve"> </w:t>
      </w:r>
      <w:r w:rsidRPr="00EA59C0">
        <w:t>member</w:t>
      </w:r>
      <w:r w:rsidR="00C026A6" w:rsidRPr="00EA59C0">
        <w:t xml:space="preserve"> </w:t>
      </w:r>
      <w:r w:rsidRPr="00EA59C0">
        <w:t>organizations).</w:t>
      </w:r>
      <w:r w:rsidR="00C026A6" w:rsidRPr="00EA59C0">
        <w:t xml:space="preserve">  </w:t>
      </w:r>
      <w:r w:rsidRPr="00EA59C0">
        <w:t>For</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describe</w:t>
      </w:r>
      <w:r w:rsidR="00C026A6" w:rsidRPr="00EA59C0">
        <w:t xml:space="preserve"> </w:t>
      </w:r>
      <w:r w:rsidRPr="00EA59C0">
        <w:t>how</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will</w:t>
      </w:r>
      <w:r w:rsidR="00C026A6" w:rsidRPr="00EA59C0">
        <w:t xml:space="preserve"> </w:t>
      </w:r>
      <w:r w:rsidRPr="00EA59C0">
        <w:t>collaborate</w:t>
      </w:r>
      <w:r w:rsidR="00C026A6" w:rsidRPr="00EA59C0">
        <w:t xml:space="preserve"> </w:t>
      </w:r>
      <w:r w:rsidRPr="00EA59C0">
        <w:t>throughout</w:t>
      </w:r>
      <w:r w:rsidR="00C026A6" w:rsidRPr="00EA59C0">
        <w:t xml:space="preserve"> </w:t>
      </w:r>
      <w:r w:rsidRPr="00EA59C0">
        <w:t>the</w:t>
      </w:r>
      <w:r w:rsidR="00C026A6" w:rsidRPr="00EA59C0">
        <w:t xml:space="preserve"> </w:t>
      </w:r>
      <w:r w:rsidRPr="00EA59C0">
        <w:t>life</w:t>
      </w:r>
      <w:r w:rsidR="00C026A6" w:rsidRPr="00EA59C0">
        <w:t xml:space="preserve"> </w:t>
      </w:r>
      <w:r w:rsidRPr="00EA59C0">
        <w:t>of</w:t>
      </w:r>
      <w:r w:rsidR="00C026A6" w:rsidRPr="00EA59C0">
        <w:t xml:space="preserve"> </w:t>
      </w:r>
      <w:r w:rsidRPr="00EA59C0">
        <w:t>the</w:t>
      </w:r>
      <w:r w:rsidR="00C026A6" w:rsidRPr="00EA59C0">
        <w:t xml:space="preserve"> </w:t>
      </w:r>
      <w:r w:rsidRPr="00EA59C0">
        <w:t>project.</w:t>
      </w:r>
      <w:r w:rsidR="00C026A6" w:rsidRPr="00EA59C0">
        <w:t xml:space="preserve">  </w:t>
      </w:r>
      <w:r w:rsidRPr="00EA59C0">
        <w:t>The</w:t>
      </w:r>
      <w:r w:rsidR="00C026A6" w:rsidRPr="00EA59C0">
        <w:t xml:space="preserve"> </w:t>
      </w:r>
      <w:r w:rsidRPr="00EA59C0">
        <w:t>organizational</w:t>
      </w:r>
      <w:r w:rsidR="00C026A6" w:rsidRPr="00EA59C0">
        <w:t xml:space="preserve"> </w:t>
      </w:r>
      <w:r w:rsidRPr="00EA59C0">
        <w:t>chart</w:t>
      </w:r>
      <w:r w:rsidR="00C026A6" w:rsidRPr="00EA59C0">
        <w:t xml:space="preserve"> </w:t>
      </w:r>
      <w:r w:rsidRPr="00EA59C0">
        <w:t>must</w:t>
      </w:r>
      <w:r w:rsidR="00C026A6" w:rsidRPr="00EA59C0">
        <w:t xml:space="preserve"> </w:t>
      </w:r>
      <w:r w:rsidRPr="00EA59C0">
        <w:t>be</w:t>
      </w:r>
      <w:r w:rsidR="00C026A6" w:rsidRPr="00EA59C0">
        <w:t xml:space="preserve"> </w:t>
      </w:r>
      <w:r w:rsidRPr="00EA59C0">
        <w:t>included</w:t>
      </w:r>
      <w:r w:rsidR="00C026A6" w:rsidRPr="00EA59C0">
        <w:t xml:space="preserve"> </w:t>
      </w:r>
      <w:r w:rsidRPr="00EA59C0">
        <w:t>as</w:t>
      </w:r>
      <w:r w:rsidR="00C026A6" w:rsidRPr="00EA59C0">
        <w:t xml:space="preserve"> </w:t>
      </w:r>
      <w:r w:rsidRPr="00EA59C0">
        <w:t>an</w:t>
      </w:r>
      <w:r w:rsidR="00C026A6" w:rsidRPr="00EA59C0">
        <w:t xml:space="preserve"> </w:t>
      </w:r>
      <w:r w:rsidRPr="00EA59C0">
        <w:t>attachment</w:t>
      </w:r>
      <w:r w:rsidR="00C026A6" w:rsidRPr="00EA59C0">
        <w:t xml:space="preserve"> </w:t>
      </w:r>
      <w:r w:rsidRPr="00EA59C0">
        <w:t>as</w:t>
      </w:r>
      <w:r w:rsidR="00C026A6" w:rsidRPr="00EA59C0">
        <w:t xml:space="preserve"> </w:t>
      </w:r>
      <w:r w:rsidRPr="00EA59C0">
        <w:t>described</w:t>
      </w:r>
      <w:r w:rsidR="00C026A6" w:rsidRPr="00EA59C0">
        <w:t xml:space="preserve"> </w:t>
      </w:r>
      <w:r w:rsidRPr="00EA59C0">
        <w:t>in</w:t>
      </w:r>
      <w:r w:rsidR="00C026A6" w:rsidRPr="00EA59C0">
        <w:t xml:space="preserve"> </w:t>
      </w:r>
      <w:r w:rsidRPr="00EA59C0">
        <w:t>Section</w:t>
      </w:r>
      <w:r w:rsidR="00C026A6" w:rsidRPr="00EA59C0">
        <w:t xml:space="preserve"> </w:t>
      </w:r>
      <w:r w:rsidRPr="00EA59C0">
        <w:t>IV.B.4.</w:t>
      </w:r>
      <w:r w:rsidR="00C026A6" w:rsidRPr="00EA59C0">
        <w:t xml:space="preserve">  </w:t>
      </w:r>
      <w:r w:rsidRPr="00EA59C0">
        <w:t>This</w:t>
      </w:r>
      <w:r w:rsidR="00C026A6" w:rsidRPr="00EA59C0">
        <w:t xml:space="preserve"> </w:t>
      </w:r>
      <w:r w:rsidRPr="00EA59C0">
        <w:t>attachment</w:t>
      </w:r>
      <w:r w:rsidR="00C026A6" w:rsidRPr="00EA59C0">
        <w:t xml:space="preserve"> </w:t>
      </w:r>
      <w:r w:rsidRPr="00EA59C0">
        <w:t>does</w:t>
      </w:r>
      <w:r w:rsidR="00C026A6" w:rsidRPr="00EA59C0">
        <w:t xml:space="preserve"> </w:t>
      </w:r>
      <w:r w:rsidRPr="00EA59C0">
        <w:t>not</w:t>
      </w:r>
      <w:r w:rsidR="00C026A6" w:rsidRPr="00EA59C0">
        <w:t xml:space="preserve"> </w:t>
      </w:r>
      <w:r w:rsidRPr="00EA59C0">
        <w:t>count</w:t>
      </w:r>
      <w:r w:rsidR="00C026A6" w:rsidRPr="00EA59C0">
        <w:t xml:space="preserve"> </w:t>
      </w:r>
      <w:r w:rsidRPr="00EA59C0">
        <w:t>against</w:t>
      </w:r>
      <w:r w:rsidR="00C026A6" w:rsidRPr="00EA59C0">
        <w:t xml:space="preserve"> </w:t>
      </w:r>
      <w:r w:rsidRPr="00EA59C0">
        <w:t>the</w:t>
      </w:r>
      <w:r w:rsidR="00C026A6" w:rsidRPr="00EA59C0">
        <w:t xml:space="preserve"> </w:t>
      </w:r>
      <w:r w:rsidRPr="00EA59C0">
        <w:t>page</w:t>
      </w:r>
      <w:r w:rsidR="00C026A6" w:rsidRPr="00EA59C0">
        <w:t xml:space="preserve"> </w:t>
      </w:r>
      <w:r w:rsidRPr="00EA59C0">
        <w:t>limit</w:t>
      </w:r>
      <w:r w:rsidR="00C026A6" w:rsidRPr="00EA59C0">
        <w:t xml:space="preserve"> </w:t>
      </w:r>
      <w:r w:rsidRPr="00EA59C0">
        <w:t>for</w:t>
      </w:r>
      <w:r w:rsidR="00C026A6" w:rsidRPr="00EA59C0">
        <w:t xml:space="preserve"> </w:t>
      </w:r>
      <w:r w:rsidRPr="00EA59C0">
        <w:t>the</w:t>
      </w:r>
      <w:r w:rsidR="00C026A6" w:rsidRPr="00EA59C0">
        <w:t xml:space="preserve"> </w:t>
      </w:r>
      <w:r w:rsidRPr="00EA59C0">
        <w:t>Project</w:t>
      </w:r>
      <w:r w:rsidR="00C026A6" w:rsidRPr="00EA59C0">
        <w:t xml:space="preserve"> </w:t>
      </w:r>
      <w:r w:rsidRPr="00EA59C0">
        <w:t>Narrative.</w:t>
      </w:r>
    </w:p>
    <w:p w:rsidR="00643A29" w:rsidRPr="00EA59C0" w:rsidRDefault="00643A29" w:rsidP="00C072FA">
      <w:pPr>
        <w:pStyle w:val="ListParagraph"/>
        <w:ind w:left="1080"/>
      </w:pPr>
    </w:p>
    <w:p w:rsidR="0099159E" w:rsidRPr="00EA59C0" w:rsidRDefault="0099159E" w:rsidP="00C072FA">
      <w:pPr>
        <w:pStyle w:val="ListParagraph"/>
        <w:numPr>
          <w:ilvl w:val="5"/>
          <w:numId w:val="17"/>
        </w:numPr>
        <w:rPr>
          <w:b/>
        </w:rPr>
      </w:pPr>
      <w:r w:rsidRPr="00EA59C0">
        <w:rPr>
          <w:b/>
        </w:rPr>
        <w:t>Systems</w:t>
      </w:r>
      <w:r w:rsidR="00C026A6" w:rsidRPr="00EA59C0">
        <w:rPr>
          <w:b/>
        </w:rPr>
        <w:t xml:space="preserve"> </w:t>
      </w:r>
      <w:r w:rsidRPr="00EA59C0">
        <w:rPr>
          <w:b/>
        </w:rPr>
        <w:t>and</w:t>
      </w:r>
      <w:r w:rsidR="00C026A6" w:rsidRPr="00EA59C0">
        <w:rPr>
          <w:b/>
        </w:rPr>
        <w:t xml:space="preserve"> </w:t>
      </w:r>
      <w:r w:rsidRPr="00EA59C0">
        <w:rPr>
          <w:b/>
        </w:rPr>
        <w:t>Processes</w:t>
      </w:r>
    </w:p>
    <w:p w:rsidR="0099159E" w:rsidRPr="00EA59C0" w:rsidRDefault="00C03D1A" w:rsidP="00C072FA">
      <w:pPr>
        <w:pStyle w:val="ListParagraph"/>
        <w:ind w:left="2160"/>
      </w:pPr>
      <w:r w:rsidRPr="00EA59C0">
        <w:t>The</w:t>
      </w:r>
      <w:r w:rsidR="00C026A6" w:rsidRPr="00EA59C0">
        <w:t xml:space="preserve"> </w:t>
      </w:r>
      <w:r w:rsidRPr="00EA59C0">
        <w:t>applicant</w:t>
      </w:r>
      <w:r w:rsidR="00C026A6" w:rsidRPr="00EA59C0">
        <w:t xml:space="preserve"> </w:t>
      </w:r>
      <w:r w:rsidRPr="00EA59C0">
        <w:t>must</w:t>
      </w:r>
      <w:r w:rsidR="00C026A6" w:rsidRPr="00EA59C0">
        <w:t xml:space="preserve"> </w:t>
      </w:r>
      <w:r w:rsidRPr="00EA59C0">
        <w:t>e</w:t>
      </w:r>
      <w:r w:rsidR="0099159E" w:rsidRPr="00EA59C0">
        <w:t>xplain</w:t>
      </w:r>
      <w:r w:rsidR="00C026A6" w:rsidRPr="00EA59C0">
        <w:t xml:space="preserve"> </w:t>
      </w:r>
      <w:r w:rsidR="0099159E" w:rsidRPr="00EA59C0">
        <w:t>how</w:t>
      </w:r>
      <w:r w:rsidR="00C026A6" w:rsidRPr="00EA59C0">
        <w:t xml:space="preserve"> </w:t>
      </w:r>
      <w:r w:rsidR="0099159E" w:rsidRPr="00EA59C0">
        <w:t>the</w:t>
      </w:r>
      <w:r w:rsidR="00C026A6" w:rsidRPr="00EA59C0">
        <w:t xml:space="preserve"> </w:t>
      </w:r>
      <w:r w:rsidR="0099159E" w:rsidRPr="00EA59C0">
        <w:t>proposed</w:t>
      </w:r>
      <w:r w:rsidR="00C026A6" w:rsidRPr="00EA59C0">
        <w:t xml:space="preserve"> </w:t>
      </w:r>
      <w:r w:rsidR="0099159E" w:rsidRPr="00EA59C0">
        <w:t>project</w:t>
      </w:r>
      <w:r w:rsidR="00C026A6" w:rsidRPr="00EA59C0">
        <w:t xml:space="preserve"> </w:t>
      </w:r>
      <w:r w:rsidR="0099159E" w:rsidRPr="00EA59C0">
        <w:t>will</w:t>
      </w:r>
      <w:r w:rsidR="00C026A6" w:rsidRPr="00EA59C0">
        <w:t xml:space="preserve"> </w:t>
      </w:r>
      <w:r w:rsidR="0099159E" w:rsidRPr="00EA59C0">
        <w:t>use</w:t>
      </w:r>
      <w:r w:rsidR="00C026A6" w:rsidRPr="00EA59C0">
        <w:t xml:space="preserve"> </w:t>
      </w:r>
      <w:r w:rsidR="0099159E" w:rsidRPr="00EA59C0">
        <w:t>systems</w:t>
      </w:r>
      <w:r w:rsidR="00C026A6" w:rsidRPr="00EA59C0">
        <w:t xml:space="preserve"> </w:t>
      </w:r>
      <w:r w:rsidR="0099159E" w:rsidRPr="00EA59C0">
        <w:t>and</w:t>
      </w:r>
      <w:r w:rsidR="00C026A6" w:rsidRPr="00EA59C0">
        <w:t xml:space="preserve"> </w:t>
      </w:r>
      <w:r w:rsidR="0099159E" w:rsidRPr="00EA59C0">
        <w:t>processes</w:t>
      </w:r>
      <w:r w:rsidR="00C026A6" w:rsidRPr="00EA59C0">
        <w:t xml:space="preserve"> </w:t>
      </w:r>
      <w:r w:rsidR="0099159E" w:rsidRPr="00EA59C0">
        <w:t>that</w:t>
      </w:r>
      <w:r w:rsidR="00C026A6" w:rsidRPr="00EA59C0">
        <w:t xml:space="preserve"> </w:t>
      </w:r>
      <w:r w:rsidR="0099159E" w:rsidRPr="00EA59C0">
        <w:t>enable</w:t>
      </w:r>
      <w:r w:rsidR="00C026A6" w:rsidRPr="00EA59C0">
        <w:t xml:space="preserve"> </w:t>
      </w:r>
      <w:r w:rsidR="0099159E" w:rsidRPr="00EA59C0">
        <w:t>timely</w:t>
      </w:r>
      <w:r w:rsidR="00C026A6" w:rsidRPr="00EA59C0">
        <w:t xml:space="preserve"> </w:t>
      </w:r>
      <w:r w:rsidR="0099159E" w:rsidRPr="00EA59C0">
        <w:t>and</w:t>
      </w:r>
      <w:r w:rsidR="00C026A6" w:rsidRPr="00EA59C0">
        <w:t xml:space="preserve"> </w:t>
      </w:r>
      <w:r w:rsidR="0099159E" w:rsidRPr="00EA59C0">
        <w:t>accurate</w:t>
      </w:r>
      <w:r w:rsidR="00C026A6" w:rsidRPr="00EA59C0">
        <w:t xml:space="preserve"> </w:t>
      </w:r>
      <w:r w:rsidR="0099159E" w:rsidRPr="00EA59C0">
        <w:t>financial</w:t>
      </w:r>
      <w:r w:rsidR="00C026A6" w:rsidRPr="00EA59C0">
        <w:t xml:space="preserve"> </w:t>
      </w:r>
      <w:r w:rsidR="0099159E" w:rsidRPr="00EA59C0">
        <w:t>and</w:t>
      </w:r>
      <w:r w:rsidR="00C026A6" w:rsidRPr="00EA59C0">
        <w:t xml:space="preserve"> </w:t>
      </w:r>
      <w:r w:rsidR="0099159E" w:rsidRPr="00EA59C0">
        <w:t>performance</w:t>
      </w:r>
      <w:r w:rsidR="00C026A6" w:rsidRPr="00EA59C0">
        <w:t xml:space="preserve"> </w:t>
      </w:r>
      <w:r w:rsidR="0099159E" w:rsidRPr="00EA59C0">
        <w:t>reporting,</w:t>
      </w:r>
      <w:r w:rsidR="00C026A6" w:rsidRPr="00EA59C0">
        <w:t xml:space="preserve"> </w:t>
      </w:r>
      <w:r w:rsidR="0099159E" w:rsidRPr="00EA59C0">
        <w:t>and</w:t>
      </w:r>
      <w:r w:rsidR="00C026A6" w:rsidRPr="00EA59C0">
        <w:t xml:space="preserve"> </w:t>
      </w:r>
      <w:r w:rsidR="0099159E" w:rsidRPr="00EA59C0">
        <w:t>allow</w:t>
      </w:r>
      <w:r w:rsidR="00C026A6" w:rsidRPr="00EA59C0">
        <w:t xml:space="preserve"> </w:t>
      </w:r>
      <w:r w:rsidR="0099159E" w:rsidRPr="00EA59C0">
        <w:t>for</w:t>
      </w:r>
      <w:r w:rsidR="00C026A6" w:rsidRPr="00EA59C0">
        <w:t xml:space="preserve"> </w:t>
      </w:r>
      <w:r w:rsidR="0099159E" w:rsidRPr="00EA59C0">
        <w:t>expedient</w:t>
      </w:r>
      <w:r w:rsidR="00C026A6" w:rsidRPr="00EA59C0">
        <w:t xml:space="preserve"> </w:t>
      </w:r>
      <w:r w:rsidR="0099159E" w:rsidRPr="00EA59C0">
        <w:t>procurement</w:t>
      </w:r>
      <w:r w:rsidR="00C026A6" w:rsidRPr="00EA59C0">
        <w:t xml:space="preserve"> </w:t>
      </w:r>
      <w:r w:rsidR="0099159E" w:rsidRPr="00EA59C0">
        <w:t>procedures</w:t>
      </w:r>
      <w:r w:rsidR="00C026A6" w:rsidRPr="00EA59C0">
        <w:t xml:space="preserve"> </w:t>
      </w:r>
      <w:r w:rsidR="0099159E" w:rsidRPr="00EA59C0">
        <w:t>that</w:t>
      </w:r>
      <w:r w:rsidR="00C026A6" w:rsidRPr="00EA59C0">
        <w:t xml:space="preserve"> </w:t>
      </w:r>
      <w:r w:rsidR="0099159E" w:rsidRPr="00EA59C0">
        <w:t>comply</w:t>
      </w:r>
      <w:r w:rsidR="00C026A6" w:rsidRPr="00EA59C0">
        <w:t xml:space="preserve"> </w:t>
      </w:r>
      <w:r w:rsidR="0099159E" w:rsidRPr="00EA59C0">
        <w:t>with</w:t>
      </w:r>
      <w:r w:rsidR="00C026A6" w:rsidRPr="00EA59C0">
        <w:t xml:space="preserve"> </w:t>
      </w:r>
      <w:r w:rsidR="0099159E" w:rsidRPr="00EA59C0">
        <w:t>Federal,</w:t>
      </w:r>
      <w:r w:rsidR="00C026A6" w:rsidRPr="00EA59C0">
        <w:t xml:space="preserve"> </w:t>
      </w:r>
      <w:r w:rsidR="0099159E" w:rsidRPr="00EA59C0">
        <w:t>state</w:t>
      </w:r>
      <w:r w:rsidR="00C026A6" w:rsidRPr="00EA59C0">
        <w:t xml:space="preserve"> </w:t>
      </w:r>
      <w:r w:rsidR="0099159E" w:rsidRPr="00EA59C0">
        <w:t>(if</w:t>
      </w:r>
      <w:r w:rsidR="00C026A6" w:rsidRPr="00EA59C0">
        <w:t xml:space="preserve"> </w:t>
      </w:r>
      <w:r w:rsidR="0099159E" w:rsidRPr="00EA59C0">
        <w:t>applicable),</w:t>
      </w:r>
      <w:r w:rsidR="00C026A6" w:rsidRPr="00EA59C0">
        <w:t xml:space="preserve"> </w:t>
      </w:r>
      <w:r w:rsidR="0099159E" w:rsidRPr="00EA59C0">
        <w:t>and</w:t>
      </w:r>
      <w:r w:rsidR="00C026A6" w:rsidRPr="00EA59C0">
        <w:t xml:space="preserve"> </w:t>
      </w:r>
      <w:r w:rsidR="0099159E" w:rsidRPr="00EA59C0">
        <w:t>other</w:t>
      </w:r>
      <w:r w:rsidR="00C026A6" w:rsidRPr="00EA59C0">
        <w:t xml:space="preserve"> </w:t>
      </w:r>
      <w:r w:rsidR="0099159E" w:rsidRPr="00EA59C0">
        <w:t>relevant</w:t>
      </w:r>
      <w:r w:rsidR="00C026A6" w:rsidRPr="00EA59C0">
        <w:t xml:space="preserve"> </w:t>
      </w:r>
      <w:r w:rsidR="0099159E" w:rsidRPr="00EA59C0">
        <w:t>laws</w:t>
      </w:r>
      <w:r w:rsidR="00C026A6" w:rsidRPr="00EA59C0">
        <w:t xml:space="preserve"> </w:t>
      </w:r>
      <w:r w:rsidR="0099159E" w:rsidRPr="00EA59C0">
        <w:t>and</w:t>
      </w:r>
      <w:r w:rsidR="00C026A6" w:rsidRPr="00EA59C0">
        <w:t xml:space="preserve"> </w:t>
      </w:r>
      <w:r w:rsidR="0099159E" w:rsidRPr="00EA59C0">
        <w:t>requirements,</w:t>
      </w:r>
      <w:r w:rsidR="00C026A6" w:rsidRPr="00EA59C0">
        <w:t xml:space="preserve"> </w:t>
      </w:r>
      <w:r w:rsidR="0099159E" w:rsidRPr="00EA59C0">
        <w:t>including</w:t>
      </w:r>
      <w:r w:rsidR="00C026A6" w:rsidRPr="00EA59C0">
        <w:t xml:space="preserve"> </w:t>
      </w:r>
      <w:r w:rsidR="0099159E" w:rsidRPr="00EA59C0">
        <w:t>across</w:t>
      </w:r>
      <w:r w:rsidR="00C026A6" w:rsidRPr="00EA59C0">
        <w:t xml:space="preserve"> </w:t>
      </w:r>
      <w:r w:rsidR="0099159E" w:rsidRPr="00EA59C0">
        <w:t>consortium</w:t>
      </w:r>
      <w:r w:rsidR="00C026A6" w:rsidRPr="00EA59C0">
        <w:t xml:space="preserve"> </w:t>
      </w:r>
      <w:r w:rsidR="0099159E" w:rsidRPr="00EA59C0">
        <w:t>members,</w:t>
      </w:r>
      <w:r w:rsidR="00C026A6" w:rsidRPr="00EA59C0">
        <w:t xml:space="preserve"> </w:t>
      </w:r>
      <w:r w:rsidR="0099159E" w:rsidRPr="00EA59C0">
        <w:t>as</w:t>
      </w:r>
      <w:r w:rsidR="00C026A6" w:rsidRPr="00EA59C0">
        <w:t xml:space="preserve"> </w:t>
      </w:r>
      <w:r w:rsidR="0099159E" w:rsidRPr="00EA59C0">
        <w:t>applicable.</w:t>
      </w:r>
      <w:r w:rsidR="00C026A6" w:rsidRPr="00EA59C0">
        <w:t xml:space="preserve">  </w:t>
      </w:r>
    </w:p>
    <w:p w:rsidR="0099159E" w:rsidRPr="00EA59C0" w:rsidRDefault="0099159E" w:rsidP="00C072FA">
      <w:pPr>
        <w:pStyle w:val="ListParagraph"/>
        <w:numPr>
          <w:ilvl w:val="6"/>
          <w:numId w:val="17"/>
        </w:numPr>
      </w:pPr>
      <w:r w:rsidRPr="00EA59C0">
        <w:t>State</w:t>
      </w:r>
      <w:r w:rsidR="00C026A6" w:rsidRPr="00EA59C0">
        <w:t xml:space="preserve"> </w:t>
      </w:r>
      <w:r w:rsidRPr="00EA59C0">
        <w:t>whether</w:t>
      </w:r>
      <w:r w:rsidR="00C026A6" w:rsidRPr="00EA59C0">
        <w:t xml:space="preserve"> </w:t>
      </w:r>
      <w:r w:rsidRPr="00EA59C0">
        <w:t>reports</w:t>
      </w:r>
      <w:r w:rsidR="00C026A6" w:rsidRPr="00EA59C0">
        <w:t xml:space="preserve"> </w:t>
      </w:r>
      <w:r w:rsidRPr="00EA59C0">
        <w:t>(program</w:t>
      </w:r>
      <w:r w:rsidR="00C026A6" w:rsidRPr="00EA59C0">
        <w:t xml:space="preserve"> </w:t>
      </w:r>
      <w:r w:rsidRPr="00EA59C0">
        <w:t>and</w:t>
      </w:r>
      <w:r w:rsidR="00C026A6" w:rsidRPr="00EA59C0">
        <w:t xml:space="preserve"> </w:t>
      </w:r>
      <w:r w:rsidRPr="00EA59C0">
        <w:t>financial)</w:t>
      </w:r>
      <w:r w:rsidR="00C026A6" w:rsidRPr="00EA59C0">
        <w:t xml:space="preserve"> </w:t>
      </w:r>
      <w:r w:rsidRPr="00EA59C0">
        <w:t>for</w:t>
      </w:r>
      <w:r w:rsidR="00C026A6" w:rsidRPr="00EA59C0">
        <w:t xml:space="preserve"> </w:t>
      </w:r>
      <w:r w:rsidRPr="00EA59C0">
        <w:t>the</w:t>
      </w:r>
      <w:r w:rsidR="00C026A6" w:rsidRPr="00EA59C0">
        <w:t xml:space="preserve"> </w:t>
      </w:r>
      <w:r w:rsidRPr="00EA59C0">
        <w:t>most</w:t>
      </w:r>
      <w:r w:rsidR="00C026A6" w:rsidRPr="00EA59C0">
        <w:t xml:space="preserve"> </w:t>
      </w:r>
      <w:r w:rsidRPr="00EA59C0">
        <w:t>recent</w:t>
      </w:r>
      <w:r w:rsidR="00C026A6" w:rsidRPr="00EA59C0">
        <w:t xml:space="preserve"> </w:t>
      </w:r>
      <w:r w:rsidRPr="00EA59C0">
        <w:t>grant(s)</w:t>
      </w:r>
      <w:r w:rsidR="00C026A6" w:rsidRPr="00EA59C0">
        <w:t xml:space="preserve"> </w:t>
      </w:r>
      <w:r w:rsidRPr="00EA59C0">
        <w:t>from</w:t>
      </w:r>
      <w:r w:rsidR="00C026A6" w:rsidRPr="00EA59C0">
        <w:t xml:space="preserve"> </w:t>
      </w:r>
      <w:r w:rsidRPr="00EA59C0">
        <w:t>ETA</w:t>
      </w:r>
      <w:r w:rsidR="00C026A6" w:rsidRPr="00EA59C0">
        <w:t xml:space="preserve"> </w:t>
      </w:r>
      <w:r w:rsidRPr="00EA59C0">
        <w:t>or</w:t>
      </w:r>
      <w:r w:rsidR="00C026A6" w:rsidRPr="00EA59C0">
        <w:t xml:space="preserve"> </w:t>
      </w:r>
      <w:r w:rsidRPr="00EA59C0">
        <w:t>other</w:t>
      </w:r>
      <w:r w:rsidR="00C026A6" w:rsidRPr="00EA59C0">
        <w:t xml:space="preserve"> </w:t>
      </w:r>
      <w:r w:rsidRPr="00EA59C0">
        <w:t>sources</w:t>
      </w:r>
      <w:r w:rsidR="00C026A6" w:rsidRPr="00EA59C0">
        <w:t xml:space="preserve"> </w:t>
      </w:r>
      <w:r w:rsidRPr="00EA59C0">
        <w:t>have</w:t>
      </w:r>
      <w:r w:rsidR="00C026A6" w:rsidRPr="00EA59C0">
        <w:t xml:space="preserve"> </w:t>
      </w:r>
      <w:r w:rsidRPr="00EA59C0">
        <w:t>been</w:t>
      </w:r>
      <w:r w:rsidR="00C026A6" w:rsidRPr="00EA59C0">
        <w:t xml:space="preserve"> </w:t>
      </w:r>
      <w:r w:rsidRPr="00EA59C0">
        <w:t>submitted</w:t>
      </w:r>
      <w:r w:rsidR="00C026A6" w:rsidRPr="00EA59C0">
        <w:t xml:space="preserve"> </w:t>
      </w:r>
      <w:r w:rsidRPr="00EA59C0">
        <w:t>on</w:t>
      </w:r>
      <w:r w:rsidR="00C026A6" w:rsidRPr="00EA59C0">
        <w:t xml:space="preserve"> </w:t>
      </w:r>
      <w:r w:rsidRPr="00EA59C0">
        <w:t>time,</w:t>
      </w:r>
      <w:r w:rsidR="00C026A6" w:rsidRPr="00EA59C0">
        <w:t xml:space="preserve"> </w:t>
      </w:r>
      <w:r w:rsidRPr="00EA59C0">
        <w:t>and</w:t>
      </w:r>
      <w:r w:rsidR="00C026A6" w:rsidRPr="00EA59C0">
        <w:t xml:space="preserve"> </w:t>
      </w:r>
      <w:r w:rsidRPr="00EA59C0">
        <w:t>describe</w:t>
      </w:r>
      <w:r w:rsidR="00C026A6" w:rsidRPr="00EA59C0">
        <w:t xml:space="preserve"> </w:t>
      </w:r>
      <w:r w:rsidRPr="00EA59C0">
        <w:t>the</w:t>
      </w:r>
      <w:r w:rsidR="00C026A6" w:rsidRPr="00EA59C0">
        <w:t xml:space="preserve"> </w:t>
      </w:r>
      <w:r w:rsidRPr="00EA59C0">
        <w:t>grants</w:t>
      </w:r>
      <w:r w:rsidR="00C026A6" w:rsidRPr="00EA59C0">
        <w:t xml:space="preserve"> </w:t>
      </w:r>
      <w:r w:rsidRPr="00EA59C0">
        <w:t>management</w:t>
      </w:r>
      <w:r w:rsidR="00C026A6" w:rsidRPr="00EA59C0">
        <w:t xml:space="preserve"> </w:t>
      </w:r>
      <w:r w:rsidRPr="00EA59C0">
        <w:t>practices</w:t>
      </w:r>
      <w:r w:rsidR="00C026A6" w:rsidRPr="00EA59C0">
        <w:t xml:space="preserve"> </w:t>
      </w:r>
      <w:r w:rsidRPr="00EA59C0">
        <w:t>used</w:t>
      </w:r>
      <w:r w:rsidR="00C026A6" w:rsidRPr="00EA59C0">
        <w:t xml:space="preserve"> </w:t>
      </w:r>
      <w:r w:rsidRPr="00EA59C0">
        <w:t>to</w:t>
      </w:r>
      <w:r w:rsidR="00C026A6" w:rsidRPr="00EA59C0">
        <w:t xml:space="preserve"> </w:t>
      </w:r>
      <w:r w:rsidRPr="00EA59C0">
        <w:t>complete</w:t>
      </w:r>
      <w:r w:rsidR="00C026A6" w:rsidRPr="00EA59C0">
        <w:t xml:space="preserve"> </w:t>
      </w:r>
      <w:r w:rsidRPr="00EA59C0">
        <w:t>grant</w:t>
      </w:r>
      <w:r w:rsidR="00C026A6" w:rsidRPr="00EA59C0">
        <w:t xml:space="preserve"> </w:t>
      </w:r>
      <w:r w:rsidRPr="00EA59C0">
        <w:t>activities</w:t>
      </w:r>
      <w:r w:rsidR="00C026A6" w:rsidRPr="00EA59C0">
        <w:t xml:space="preserve"> </w:t>
      </w:r>
      <w:r w:rsidRPr="00EA59C0">
        <w:t>within</w:t>
      </w:r>
      <w:r w:rsidR="00C026A6" w:rsidRPr="00EA59C0">
        <w:t xml:space="preserve"> </w:t>
      </w:r>
      <w:r w:rsidRPr="00EA59C0">
        <w:t>the</w:t>
      </w:r>
      <w:r w:rsidR="00C026A6" w:rsidRPr="00EA59C0">
        <w:t xml:space="preserve"> </w:t>
      </w:r>
      <w:r w:rsidRPr="00EA59C0">
        <w:t>period</w:t>
      </w:r>
      <w:r w:rsidR="00C026A6" w:rsidRPr="00EA59C0">
        <w:t xml:space="preserve"> </w:t>
      </w:r>
      <w:r w:rsidRPr="00EA59C0">
        <w:t>of</w:t>
      </w:r>
      <w:r w:rsidR="00C026A6" w:rsidRPr="00EA59C0">
        <w:t xml:space="preserve"> </w:t>
      </w:r>
      <w:r w:rsidRPr="00EA59C0">
        <w:t>performance.</w:t>
      </w:r>
      <w:r w:rsidR="00C026A6" w:rsidRPr="00EA59C0">
        <w:t xml:space="preserve">  </w:t>
      </w:r>
    </w:p>
    <w:p w:rsidR="00144DF0" w:rsidRPr="00EA59C0" w:rsidRDefault="0099159E" w:rsidP="00C072FA">
      <w:pPr>
        <w:pStyle w:val="ListParagraph"/>
        <w:numPr>
          <w:ilvl w:val="6"/>
          <w:numId w:val="17"/>
        </w:numPr>
      </w:pPr>
      <w:r w:rsidRPr="00EA59C0">
        <w:t>Describe</w:t>
      </w:r>
      <w:r w:rsidR="00C026A6" w:rsidRPr="00EA59C0">
        <w:t xml:space="preserve"> </w:t>
      </w:r>
      <w:r w:rsidRPr="00EA59C0">
        <w:t>the</w:t>
      </w:r>
      <w:r w:rsidR="00C026A6" w:rsidRPr="00EA59C0">
        <w:t xml:space="preserve"> </w:t>
      </w:r>
      <w:r w:rsidRPr="00EA59C0">
        <w:t>procurement</w:t>
      </w:r>
      <w:r w:rsidR="00C026A6" w:rsidRPr="00EA59C0">
        <w:t xml:space="preserve"> </w:t>
      </w:r>
      <w:r w:rsidRPr="00EA59C0">
        <w:t>processes,</w:t>
      </w:r>
      <w:r w:rsidR="00C026A6" w:rsidRPr="00EA59C0">
        <w:t xml:space="preserve"> </w:t>
      </w:r>
      <w:r w:rsidRPr="00EA59C0">
        <w:t>systems,</w:t>
      </w:r>
      <w:r w:rsidR="00C026A6" w:rsidRPr="00EA59C0">
        <w:t xml:space="preserve"> </w:t>
      </w:r>
      <w:r w:rsidRPr="00EA59C0">
        <w:t>and</w:t>
      </w:r>
      <w:r w:rsidR="00C026A6" w:rsidRPr="00EA59C0">
        <w:t xml:space="preserve"> </w:t>
      </w:r>
      <w:r w:rsidRPr="00EA59C0">
        <w:t>procedures</w:t>
      </w:r>
      <w:r w:rsidR="00C026A6" w:rsidRPr="00EA59C0">
        <w:t xml:space="preserve"> </w:t>
      </w:r>
      <w:r w:rsidRPr="00EA59C0">
        <w:t>of</w:t>
      </w:r>
      <w:r w:rsidR="00C026A6" w:rsidRPr="00EA59C0">
        <w:t xml:space="preserve"> </w:t>
      </w:r>
      <w:r w:rsidRPr="00EA59C0">
        <w:t>the</w:t>
      </w:r>
      <w:r w:rsidR="00C026A6" w:rsidRPr="00EA59C0">
        <w:t xml:space="preserve"> </w:t>
      </w:r>
      <w:r w:rsidRPr="00EA59C0">
        <w:t>applicant</w:t>
      </w:r>
      <w:r w:rsidR="00C026A6" w:rsidRPr="00EA59C0">
        <w:t xml:space="preserve"> </w:t>
      </w:r>
      <w:r w:rsidRPr="00EA59C0">
        <w:t>(and,</w:t>
      </w:r>
      <w:r w:rsidR="00C026A6" w:rsidRPr="00EA59C0">
        <w:t xml:space="preserve"> </w:t>
      </w:r>
      <w:r w:rsidRPr="00EA59C0">
        <w:t>if</w:t>
      </w:r>
      <w:r w:rsidR="00C026A6" w:rsidRPr="00EA59C0">
        <w:t xml:space="preserve"> </w:t>
      </w:r>
      <w:r w:rsidRPr="00EA59C0">
        <w:t>applicable,</w:t>
      </w:r>
      <w:r w:rsidR="00C026A6" w:rsidRPr="00EA59C0">
        <w:t xml:space="preserve"> </w:t>
      </w:r>
      <w:r w:rsidRPr="00EA59C0">
        <w:t>those</w:t>
      </w:r>
      <w:r w:rsidR="00C026A6" w:rsidRPr="00EA59C0">
        <w:t xml:space="preserve"> </w:t>
      </w:r>
      <w:r w:rsidRPr="00EA59C0">
        <w:t>of</w:t>
      </w:r>
      <w:r w:rsidR="00C026A6" w:rsidRPr="00EA59C0">
        <w:t xml:space="preserve"> </w:t>
      </w:r>
      <w:r w:rsidRPr="00EA59C0">
        <w:t>consortium</w:t>
      </w:r>
      <w:r w:rsidR="00C026A6" w:rsidRPr="00EA59C0">
        <w:t xml:space="preserve"> </w:t>
      </w:r>
      <w:r w:rsidRPr="00EA59C0">
        <w:t>members).</w:t>
      </w:r>
    </w:p>
    <w:p w:rsidR="00643A29" w:rsidRPr="00EA59C0" w:rsidRDefault="00643A29" w:rsidP="00C072FA"/>
    <w:p w:rsidR="00643A29" w:rsidRPr="00EA59C0" w:rsidRDefault="00643A29" w:rsidP="00C072FA"/>
    <w:p w:rsidR="00144DF0" w:rsidRPr="00EA59C0" w:rsidRDefault="00D81847" w:rsidP="00C072FA">
      <w:pPr>
        <w:pStyle w:val="Heading2"/>
        <w:numPr>
          <w:ilvl w:val="2"/>
          <w:numId w:val="17"/>
        </w:numPr>
        <w:spacing w:line="240" w:lineRule="auto"/>
        <w:rPr>
          <w:rFonts w:ascii="Times New Roman" w:hAnsi="Times New Roman"/>
          <w:i w:val="0"/>
        </w:rPr>
      </w:pPr>
      <w:r w:rsidRPr="00EA59C0">
        <w:rPr>
          <w:rFonts w:ascii="Times New Roman" w:hAnsi="Times New Roman"/>
          <w:i w:val="0"/>
        </w:rPr>
        <w:t>Attachments</w:t>
      </w:r>
      <w:r w:rsidR="00C026A6" w:rsidRPr="00EA59C0">
        <w:rPr>
          <w:rFonts w:ascii="Times New Roman" w:hAnsi="Times New Roman"/>
          <w:i w:val="0"/>
        </w:rPr>
        <w:t xml:space="preserve"> </w:t>
      </w:r>
      <w:r w:rsidRPr="00EA59C0">
        <w:rPr>
          <w:rFonts w:ascii="Times New Roman" w:hAnsi="Times New Roman"/>
          <w:i w:val="0"/>
        </w:rPr>
        <w:t>to</w:t>
      </w:r>
      <w:r w:rsidR="00C026A6" w:rsidRPr="00EA59C0">
        <w:rPr>
          <w:rFonts w:ascii="Times New Roman" w:hAnsi="Times New Roman"/>
          <w:i w:val="0"/>
        </w:rPr>
        <w:t xml:space="preserve"> </w:t>
      </w:r>
      <w:r w:rsidRPr="00EA59C0">
        <w:rPr>
          <w:rFonts w:ascii="Times New Roman" w:hAnsi="Times New Roman"/>
          <w:i w:val="0"/>
        </w:rPr>
        <w:t>the</w:t>
      </w:r>
      <w:r w:rsidR="00C026A6" w:rsidRPr="00EA59C0">
        <w:rPr>
          <w:rFonts w:ascii="Times New Roman" w:hAnsi="Times New Roman"/>
          <w:i w:val="0"/>
        </w:rPr>
        <w:t xml:space="preserve"> </w:t>
      </w:r>
      <w:r w:rsidRPr="00EA59C0">
        <w:rPr>
          <w:rFonts w:ascii="Times New Roman" w:hAnsi="Times New Roman"/>
          <w:i w:val="0"/>
        </w:rPr>
        <w:t>Project</w:t>
      </w:r>
      <w:r w:rsidR="00C026A6" w:rsidRPr="00EA59C0">
        <w:rPr>
          <w:rFonts w:ascii="Times New Roman" w:hAnsi="Times New Roman"/>
          <w:i w:val="0"/>
        </w:rPr>
        <w:t xml:space="preserve"> </w:t>
      </w:r>
      <w:r w:rsidRPr="00EA59C0">
        <w:rPr>
          <w:rFonts w:ascii="Times New Roman" w:hAnsi="Times New Roman"/>
          <w:i w:val="0"/>
        </w:rPr>
        <w:t>Narrative</w:t>
      </w:r>
    </w:p>
    <w:p w:rsidR="00DD22B8" w:rsidRPr="00EA59C0" w:rsidRDefault="007470AB" w:rsidP="00C072FA">
      <w:pPr>
        <w:pStyle w:val="PlainText"/>
        <w:ind w:left="1080"/>
      </w:pPr>
      <w:r w:rsidRPr="00EA59C0">
        <w:t>In</w:t>
      </w:r>
      <w:r w:rsidR="00C026A6" w:rsidRPr="00EA59C0">
        <w:t xml:space="preserve"> </w:t>
      </w:r>
      <w:r w:rsidRPr="00EA59C0">
        <w:t>addition</w:t>
      </w:r>
      <w:r w:rsidR="00C026A6" w:rsidRPr="00EA59C0">
        <w:t xml:space="preserve"> </w:t>
      </w:r>
      <w:r w:rsidRPr="00EA59C0">
        <w:t>to</w:t>
      </w:r>
      <w:r w:rsidR="00C026A6" w:rsidRPr="00EA59C0">
        <w:t xml:space="preserve"> </w:t>
      </w:r>
      <w:r w:rsidRPr="00EA59C0">
        <w:t>the</w:t>
      </w:r>
      <w:r w:rsidR="00C026A6" w:rsidRPr="00EA59C0">
        <w:t xml:space="preserve"> </w:t>
      </w:r>
      <w:r w:rsidR="00ED2908" w:rsidRPr="00EA59C0">
        <w:t>Project</w:t>
      </w:r>
      <w:r w:rsidR="00C026A6" w:rsidRPr="00EA59C0">
        <w:t xml:space="preserve"> </w:t>
      </w:r>
      <w:r w:rsidR="00ED2908" w:rsidRPr="00EA59C0">
        <w:t>Narrative</w:t>
      </w:r>
      <w:r w:rsidRPr="00EA59C0">
        <w:t>,</w:t>
      </w:r>
      <w:r w:rsidR="00C026A6" w:rsidRPr="00EA59C0">
        <w:t xml:space="preserve"> </w:t>
      </w:r>
      <w:r w:rsidRPr="00EA59C0">
        <w:t>the</w:t>
      </w:r>
      <w:r w:rsidR="00C026A6" w:rsidRPr="00EA59C0">
        <w:t xml:space="preserve"> </w:t>
      </w:r>
      <w:r w:rsidRPr="00EA59C0">
        <w:t>applicant</w:t>
      </w:r>
      <w:r w:rsidR="00C026A6" w:rsidRPr="00EA59C0">
        <w:t xml:space="preserve"> </w:t>
      </w:r>
      <w:r w:rsidRPr="00EA59C0">
        <w:t>must</w:t>
      </w:r>
      <w:r w:rsidR="00C026A6" w:rsidRPr="00EA59C0">
        <w:t xml:space="preserve"> </w:t>
      </w:r>
      <w:r w:rsidRPr="00EA59C0">
        <w:t>submit</w:t>
      </w:r>
      <w:r w:rsidR="00C026A6" w:rsidRPr="00EA59C0">
        <w:t xml:space="preserve"> </w:t>
      </w:r>
      <w:r w:rsidRPr="00EA59C0">
        <w:t>attachments</w:t>
      </w:r>
      <w:r w:rsidR="00ED2908" w:rsidRPr="00EA59C0">
        <w:t>.</w:t>
      </w:r>
      <w:r w:rsidR="00C026A6" w:rsidRPr="00EA59C0">
        <w:t xml:space="preserve">  </w:t>
      </w:r>
      <w:r w:rsidR="00ED2908" w:rsidRPr="00EA59C0">
        <w:t>All</w:t>
      </w:r>
      <w:r w:rsidR="00C026A6" w:rsidRPr="00EA59C0">
        <w:t xml:space="preserve"> </w:t>
      </w:r>
      <w:r w:rsidR="00ED2908" w:rsidRPr="00EA59C0">
        <w:t>attachments</w:t>
      </w:r>
      <w:r w:rsidR="00C026A6" w:rsidRPr="00EA59C0">
        <w:t xml:space="preserve"> </w:t>
      </w:r>
      <w:r w:rsidR="00ED2908" w:rsidRPr="00EA59C0">
        <w:t>must</w:t>
      </w:r>
      <w:r w:rsidR="00C026A6" w:rsidRPr="00EA59C0">
        <w:t xml:space="preserve"> </w:t>
      </w:r>
      <w:r w:rsidR="00ED2908" w:rsidRPr="00EA59C0">
        <w:t>be</w:t>
      </w:r>
      <w:r w:rsidR="00C026A6" w:rsidRPr="00EA59C0">
        <w:t xml:space="preserve"> </w:t>
      </w:r>
      <w:r w:rsidR="00DF1326" w:rsidRPr="00EA59C0">
        <w:t>clearly</w:t>
      </w:r>
      <w:r w:rsidR="00C026A6" w:rsidRPr="00EA59C0">
        <w:t xml:space="preserve"> </w:t>
      </w:r>
      <w:r w:rsidR="00DF1326" w:rsidRPr="00EA59C0">
        <w:t>labeled</w:t>
      </w:r>
      <w:r w:rsidR="00C026A6" w:rsidRPr="00EA59C0">
        <w:t xml:space="preserve"> </w:t>
      </w:r>
      <w:r w:rsidR="00DF1326" w:rsidRPr="00EA59C0">
        <w:t>as</w:t>
      </w:r>
      <w:r w:rsidR="00C026A6" w:rsidRPr="00EA59C0">
        <w:t xml:space="preserve"> </w:t>
      </w:r>
      <w:r w:rsidR="00ED2908" w:rsidRPr="00EA59C0">
        <w:t>Attachments.</w:t>
      </w:r>
      <w:r w:rsidR="00C026A6" w:rsidRPr="00EA59C0">
        <w:t xml:space="preserve">  </w:t>
      </w:r>
      <w:r w:rsidR="00ED2908" w:rsidRPr="00EA59C0">
        <w:t>Only</w:t>
      </w:r>
      <w:r w:rsidR="00C026A6" w:rsidRPr="00EA59C0">
        <w:t xml:space="preserve"> </w:t>
      </w:r>
      <w:r w:rsidR="00ED2908" w:rsidRPr="00EA59C0">
        <w:t>those</w:t>
      </w:r>
      <w:r w:rsidR="00C026A6" w:rsidRPr="00EA59C0">
        <w:t xml:space="preserve"> </w:t>
      </w:r>
      <w:r w:rsidR="00ED2908" w:rsidRPr="00EA59C0">
        <w:t>attachments</w:t>
      </w:r>
      <w:r w:rsidR="00C026A6" w:rsidRPr="00EA59C0">
        <w:t xml:space="preserve"> </w:t>
      </w:r>
      <w:r w:rsidR="00ED2908" w:rsidRPr="00EA59C0">
        <w:t>listed</w:t>
      </w:r>
      <w:r w:rsidR="00C026A6" w:rsidRPr="00EA59C0">
        <w:t xml:space="preserve"> </w:t>
      </w:r>
      <w:r w:rsidR="00ED2908" w:rsidRPr="00EA59C0">
        <w:t>below</w:t>
      </w:r>
      <w:r w:rsidR="00C026A6" w:rsidRPr="00EA59C0">
        <w:t xml:space="preserve"> </w:t>
      </w:r>
      <w:r w:rsidR="00ED2908" w:rsidRPr="00EA59C0">
        <w:t>will</w:t>
      </w:r>
      <w:r w:rsidR="00C026A6" w:rsidRPr="00EA59C0">
        <w:t xml:space="preserve"> </w:t>
      </w:r>
      <w:r w:rsidR="00ED2908" w:rsidRPr="00EA59C0">
        <w:t>be</w:t>
      </w:r>
      <w:r w:rsidR="00C026A6" w:rsidRPr="00EA59C0">
        <w:t xml:space="preserve"> </w:t>
      </w:r>
      <w:r w:rsidR="00ED2908" w:rsidRPr="00EA59C0">
        <w:t>excluded</w:t>
      </w:r>
      <w:r w:rsidR="00C026A6" w:rsidRPr="00EA59C0">
        <w:t xml:space="preserve"> </w:t>
      </w:r>
      <w:r w:rsidR="00ED2908" w:rsidRPr="00EA59C0">
        <w:t>from</w:t>
      </w:r>
      <w:r w:rsidR="00C026A6" w:rsidRPr="00EA59C0">
        <w:t xml:space="preserve"> </w:t>
      </w:r>
      <w:r w:rsidR="00ED2908" w:rsidRPr="00EA59C0">
        <w:t>the</w:t>
      </w:r>
      <w:r w:rsidR="00C026A6" w:rsidRPr="00EA59C0">
        <w:t xml:space="preserve"> </w:t>
      </w:r>
      <w:r w:rsidR="00ED2908" w:rsidRPr="00EA59C0">
        <w:t>page</w:t>
      </w:r>
      <w:r w:rsidR="00C026A6" w:rsidRPr="00EA59C0">
        <w:t xml:space="preserve"> </w:t>
      </w:r>
      <w:r w:rsidR="00ED2908" w:rsidRPr="00EA59C0">
        <w:t>limit.</w:t>
      </w:r>
      <w:r w:rsidR="00C026A6" w:rsidRPr="00EA59C0">
        <w:t xml:space="preserve">  </w:t>
      </w:r>
      <w:r w:rsidR="00ED2908" w:rsidRPr="00EA59C0">
        <w:t>Additional</w:t>
      </w:r>
      <w:r w:rsidR="00C026A6" w:rsidRPr="00EA59C0">
        <w:t xml:space="preserve"> </w:t>
      </w:r>
      <w:r w:rsidR="00ED2908" w:rsidRPr="00EA59C0">
        <w:t>materials</w:t>
      </w:r>
      <w:r w:rsidR="00C026A6" w:rsidRPr="00EA59C0">
        <w:t xml:space="preserve"> </w:t>
      </w:r>
      <w:r w:rsidR="00ED2908" w:rsidRPr="00EA59C0">
        <w:t>such</w:t>
      </w:r>
      <w:r w:rsidR="00C026A6" w:rsidRPr="00EA59C0">
        <w:t xml:space="preserve"> </w:t>
      </w:r>
      <w:r w:rsidR="00ED2908" w:rsidRPr="00EA59C0">
        <w:t>as</w:t>
      </w:r>
      <w:r w:rsidR="00C026A6" w:rsidRPr="00EA59C0">
        <w:t xml:space="preserve"> </w:t>
      </w:r>
      <w:r w:rsidR="00ED2908" w:rsidRPr="00EA59C0">
        <w:t>resumés</w:t>
      </w:r>
      <w:r w:rsidR="00C026A6" w:rsidRPr="00EA59C0">
        <w:t xml:space="preserve"> </w:t>
      </w:r>
      <w:r w:rsidR="00ED2908" w:rsidRPr="00EA59C0">
        <w:t>or</w:t>
      </w:r>
      <w:r w:rsidR="00C026A6" w:rsidRPr="00EA59C0">
        <w:t xml:space="preserve"> </w:t>
      </w:r>
      <w:r w:rsidR="00ED2908" w:rsidRPr="00EA59C0">
        <w:t>general</w:t>
      </w:r>
      <w:r w:rsidR="00C026A6" w:rsidRPr="00EA59C0">
        <w:t xml:space="preserve"> </w:t>
      </w:r>
      <w:r w:rsidR="00ED2908" w:rsidRPr="00EA59C0">
        <w:t>letters</w:t>
      </w:r>
      <w:r w:rsidR="00C026A6" w:rsidRPr="00EA59C0">
        <w:t xml:space="preserve"> </w:t>
      </w:r>
      <w:r w:rsidR="00ED2908" w:rsidRPr="00EA59C0">
        <w:t>of</w:t>
      </w:r>
      <w:r w:rsidR="00C026A6" w:rsidRPr="00EA59C0">
        <w:t xml:space="preserve"> </w:t>
      </w:r>
      <w:r w:rsidR="00ED2908" w:rsidRPr="00EA59C0">
        <w:t>support</w:t>
      </w:r>
      <w:r w:rsidR="00C026A6" w:rsidRPr="00EA59C0">
        <w:t xml:space="preserve"> </w:t>
      </w:r>
      <w:r w:rsidR="00323309" w:rsidRPr="00EA59C0">
        <w:t>must</w:t>
      </w:r>
      <w:r w:rsidR="00C026A6" w:rsidRPr="00EA59C0">
        <w:t xml:space="preserve"> </w:t>
      </w:r>
      <w:r w:rsidR="00323309" w:rsidRPr="00EA59C0">
        <w:t>not</w:t>
      </w:r>
      <w:r w:rsidR="00C026A6" w:rsidRPr="00EA59C0">
        <w:t xml:space="preserve"> </w:t>
      </w:r>
      <w:r w:rsidR="00323309" w:rsidRPr="00EA59C0">
        <w:t>be</w:t>
      </w:r>
      <w:r w:rsidR="00C026A6" w:rsidRPr="00EA59C0">
        <w:t xml:space="preserve"> </w:t>
      </w:r>
      <w:r w:rsidR="00323309" w:rsidRPr="00EA59C0">
        <w:t>included</w:t>
      </w:r>
      <w:r w:rsidR="00ED2908" w:rsidRPr="00EA59C0">
        <w:t>.</w:t>
      </w:r>
      <w:r w:rsidR="00C026A6" w:rsidRPr="00EA59C0">
        <w:t xml:space="preserve">  </w:t>
      </w:r>
      <w:r w:rsidR="00D81847" w:rsidRPr="00EA59C0">
        <w:t>Applicants</w:t>
      </w:r>
      <w:r w:rsidR="00C026A6" w:rsidRPr="00EA59C0">
        <w:t xml:space="preserve"> </w:t>
      </w:r>
      <w:r w:rsidR="00D81847" w:rsidRPr="00EA59C0">
        <w:t>must</w:t>
      </w:r>
      <w:r w:rsidR="00C026A6" w:rsidRPr="00EA59C0">
        <w:t xml:space="preserve"> </w:t>
      </w:r>
      <w:r w:rsidR="00D81847" w:rsidRPr="00EA59C0">
        <w:t>submit</w:t>
      </w:r>
      <w:r w:rsidR="00C026A6" w:rsidRPr="00EA59C0">
        <w:t xml:space="preserve"> </w:t>
      </w:r>
      <w:r w:rsidR="00D81847" w:rsidRPr="00EA59C0">
        <w:t>their</w:t>
      </w:r>
      <w:r w:rsidR="00C026A6" w:rsidRPr="00EA59C0">
        <w:t xml:space="preserve"> </w:t>
      </w:r>
      <w:r w:rsidR="00D81847" w:rsidRPr="00EA59C0">
        <w:t>application</w:t>
      </w:r>
      <w:r w:rsidR="00C026A6" w:rsidRPr="00EA59C0">
        <w:t xml:space="preserve"> </w:t>
      </w:r>
      <w:r w:rsidR="00D81847" w:rsidRPr="00EA59C0">
        <w:t>in</w:t>
      </w:r>
      <w:r w:rsidR="00C026A6" w:rsidRPr="00EA59C0">
        <w:t xml:space="preserve"> </w:t>
      </w:r>
      <w:r w:rsidR="00D81847" w:rsidRPr="00EA59C0">
        <w:t>one</w:t>
      </w:r>
      <w:r w:rsidR="00C026A6" w:rsidRPr="00EA59C0">
        <w:t xml:space="preserve"> </w:t>
      </w:r>
      <w:r w:rsidR="00D81847" w:rsidRPr="00EA59C0">
        <w:t>package</w:t>
      </w:r>
      <w:r w:rsidR="00C026A6" w:rsidRPr="00EA59C0">
        <w:t xml:space="preserve"> </w:t>
      </w:r>
      <w:r w:rsidR="00D81847" w:rsidRPr="00EA59C0">
        <w:t>because</w:t>
      </w:r>
      <w:r w:rsidR="00C026A6" w:rsidRPr="00EA59C0">
        <w:t xml:space="preserve"> </w:t>
      </w:r>
      <w:r w:rsidR="00D81847" w:rsidRPr="00EA59C0">
        <w:t>documents</w:t>
      </w:r>
      <w:r w:rsidR="00C026A6" w:rsidRPr="00EA59C0">
        <w:t xml:space="preserve"> </w:t>
      </w:r>
      <w:r w:rsidR="00D81847" w:rsidRPr="00EA59C0">
        <w:t>received</w:t>
      </w:r>
      <w:r w:rsidR="00C026A6" w:rsidRPr="00EA59C0">
        <w:t xml:space="preserve"> </w:t>
      </w:r>
      <w:r w:rsidR="00D81847" w:rsidRPr="00EA59C0">
        <w:t>separately</w:t>
      </w:r>
      <w:r w:rsidR="00C026A6" w:rsidRPr="00EA59C0">
        <w:t xml:space="preserve"> </w:t>
      </w:r>
      <w:r w:rsidR="00D81847" w:rsidRPr="00EA59C0">
        <w:t>will</w:t>
      </w:r>
      <w:r w:rsidR="00C026A6" w:rsidRPr="00EA59C0">
        <w:t xml:space="preserve"> </w:t>
      </w:r>
      <w:r w:rsidR="00D81847" w:rsidRPr="00EA59C0">
        <w:t>be</w:t>
      </w:r>
      <w:r w:rsidR="00C026A6" w:rsidRPr="00EA59C0">
        <w:t xml:space="preserve"> </w:t>
      </w:r>
      <w:r w:rsidR="00D81847" w:rsidRPr="00EA59C0">
        <w:t>tracked</w:t>
      </w:r>
      <w:r w:rsidR="00C026A6" w:rsidRPr="00EA59C0">
        <w:t xml:space="preserve"> </w:t>
      </w:r>
      <w:r w:rsidR="00D81847" w:rsidRPr="00EA59C0">
        <w:t>separately</w:t>
      </w:r>
      <w:r w:rsidR="00C026A6" w:rsidRPr="00EA59C0">
        <w:t xml:space="preserve"> </w:t>
      </w:r>
      <w:r w:rsidR="00D81847" w:rsidRPr="00EA59C0">
        <w:t>and</w:t>
      </w:r>
      <w:r w:rsidR="00C026A6" w:rsidRPr="00EA59C0">
        <w:t xml:space="preserve"> </w:t>
      </w:r>
      <w:r w:rsidR="00D81847" w:rsidRPr="00EA59C0">
        <w:t>will</w:t>
      </w:r>
      <w:r w:rsidR="00C026A6" w:rsidRPr="00EA59C0">
        <w:t xml:space="preserve"> </w:t>
      </w:r>
      <w:r w:rsidR="00D81847" w:rsidRPr="00EA59C0">
        <w:t>not</w:t>
      </w:r>
      <w:r w:rsidR="00C026A6" w:rsidRPr="00EA59C0">
        <w:t xml:space="preserve"> </w:t>
      </w:r>
      <w:r w:rsidR="00D81847" w:rsidRPr="00EA59C0">
        <w:t>be</w:t>
      </w:r>
      <w:r w:rsidR="00C026A6" w:rsidRPr="00EA59C0">
        <w:t xml:space="preserve"> </w:t>
      </w:r>
      <w:r w:rsidR="00D81847" w:rsidRPr="00EA59C0">
        <w:t>attached</w:t>
      </w:r>
      <w:r w:rsidR="00C026A6" w:rsidRPr="00EA59C0">
        <w:t xml:space="preserve"> </w:t>
      </w:r>
      <w:r w:rsidR="00D81847" w:rsidRPr="00EA59C0">
        <w:t>to</w:t>
      </w:r>
      <w:r w:rsidR="00C026A6" w:rsidRPr="00EA59C0">
        <w:t xml:space="preserve"> </w:t>
      </w:r>
      <w:r w:rsidR="00D81847" w:rsidRPr="00EA59C0">
        <w:t>the</w:t>
      </w:r>
      <w:r w:rsidR="00C026A6" w:rsidRPr="00EA59C0">
        <w:t xml:space="preserve"> </w:t>
      </w:r>
      <w:r w:rsidR="00D81847" w:rsidRPr="00EA59C0">
        <w:t>application</w:t>
      </w:r>
      <w:r w:rsidR="00C026A6" w:rsidRPr="00EA59C0">
        <w:t xml:space="preserve"> </w:t>
      </w:r>
      <w:r w:rsidR="00D81847" w:rsidRPr="00EA59C0">
        <w:t>for</w:t>
      </w:r>
      <w:r w:rsidR="00C026A6" w:rsidRPr="00EA59C0">
        <w:t xml:space="preserve"> </w:t>
      </w:r>
      <w:r w:rsidR="00D81847" w:rsidRPr="00EA59C0">
        <w:t>review.</w:t>
      </w:r>
      <w:r w:rsidR="00C026A6" w:rsidRPr="00EA59C0">
        <w:t xml:space="preserve">  </w:t>
      </w:r>
      <w:r w:rsidR="005F2162" w:rsidRPr="00EA59C0">
        <w:t>Save</w:t>
      </w:r>
      <w:r w:rsidR="00C026A6" w:rsidRPr="00EA59C0">
        <w:t xml:space="preserve"> </w:t>
      </w:r>
      <w:r w:rsidR="005F2162" w:rsidRPr="00EA59C0">
        <w:t>all</w:t>
      </w:r>
      <w:r w:rsidR="00C026A6" w:rsidRPr="00EA59C0">
        <w:t xml:space="preserve"> </w:t>
      </w:r>
      <w:r w:rsidR="005F2162" w:rsidRPr="00EA59C0">
        <w:t>files</w:t>
      </w:r>
      <w:r w:rsidR="00C026A6" w:rsidRPr="00EA59C0">
        <w:t xml:space="preserve"> </w:t>
      </w:r>
      <w:r w:rsidR="005F2162" w:rsidRPr="00EA59C0">
        <w:t>with</w:t>
      </w:r>
      <w:r w:rsidR="00C026A6" w:rsidRPr="00EA59C0">
        <w:t xml:space="preserve"> </w:t>
      </w:r>
      <w:r w:rsidR="005F2162" w:rsidRPr="00EA59C0">
        <w:t>descriptive</w:t>
      </w:r>
      <w:r w:rsidR="00C026A6" w:rsidRPr="00EA59C0">
        <w:t xml:space="preserve"> </w:t>
      </w:r>
      <w:r w:rsidR="005F2162" w:rsidRPr="00EA59C0">
        <w:t>file</w:t>
      </w:r>
      <w:r w:rsidR="00C026A6" w:rsidRPr="00EA59C0">
        <w:t xml:space="preserve"> </w:t>
      </w:r>
      <w:r w:rsidR="005F2162" w:rsidRPr="00EA59C0">
        <w:t>names</w:t>
      </w:r>
      <w:r w:rsidR="00C026A6" w:rsidRPr="00EA59C0">
        <w:t xml:space="preserve"> </w:t>
      </w:r>
      <w:r w:rsidR="005F2162" w:rsidRPr="00EA59C0">
        <w:t>of</w:t>
      </w:r>
      <w:r w:rsidR="00C026A6" w:rsidRPr="00EA59C0">
        <w:t xml:space="preserve"> </w:t>
      </w:r>
      <w:r w:rsidR="005F2162" w:rsidRPr="00EA59C0">
        <w:t>50</w:t>
      </w:r>
      <w:r w:rsidR="00C026A6" w:rsidRPr="00EA59C0">
        <w:t xml:space="preserve"> </w:t>
      </w:r>
      <w:r w:rsidR="005F2162" w:rsidRPr="00EA59C0">
        <w:t>characters</w:t>
      </w:r>
      <w:r w:rsidR="00C026A6" w:rsidRPr="00EA59C0">
        <w:t xml:space="preserve"> </w:t>
      </w:r>
      <w:r w:rsidR="005F2162" w:rsidRPr="00EA59C0">
        <w:t>or</w:t>
      </w:r>
      <w:r w:rsidR="00C026A6" w:rsidRPr="00EA59C0">
        <w:t xml:space="preserve"> </w:t>
      </w:r>
      <w:r w:rsidR="005F2162" w:rsidRPr="00EA59C0">
        <w:t>less</w:t>
      </w:r>
      <w:r w:rsidR="00C026A6" w:rsidRPr="00EA59C0">
        <w:t xml:space="preserve"> </w:t>
      </w:r>
      <w:r w:rsidR="005F2162" w:rsidRPr="00EA59C0">
        <w:t>and</w:t>
      </w:r>
      <w:r w:rsidR="00C026A6" w:rsidRPr="00EA59C0">
        <w:t xml:space="preserve"> </w:t>
      </w:r>
      <w:r w:rsidR="005F2162" w:rsidRPr="00EA59C0">
        <w:t>be</w:t>
      </w:r>
      <w:r w:rsidR="00C026A6" w:rsidRPr="00EA59C0">
        <w:t xml:space="preserve"> </w:t>
      </w:r>
      <w:r w:rsidR="005F2162" w:rsidRPr="00EA59C0">
        <w:t>sure</w:t>
      </w:r>
      <w:r w:rsidR="00C026A6" w:rsidRPr="00EA59C0">
        <w:t xml:space="preserve"> </w:t>
      </w:r>
      <w:r w:rsidR="005F2162" w:rsidRPr="00EA59C0">
        <w:t>to</w:t>
      </w:r>
      <w:r w:rsidR="00C026A6" w:rsidRPr="00EA59C0">
        <w:t xml:space="preserve"> </w:t>
      </w:r>
      <w:r w:rsidR="005F2162" w:rsidRPr="00EA59C0">
        <w:t>only</w:t>
      </w:r>
      <w:r w:rsidR="00C026A6" w:rsidRPr="00EA59C0">
        <w:t xml:space="preserve"> </w:t>
      </w:r>
      <w:r w:rsidR="005F2162" w:rsidRPr="00EA59C0">
        <w:t>use</w:t>
      </w:r>
      <w:r w:rsidR="00C026A6" w:rsidRPr="00EA59C0">
        <w:t xml:space="preserve"> </w:t>
      </w:r>
      <w:r w:rsidR="005F2162" w:rsidRPr="00EA59C0">
        <w:t>standard</w:t>
      </w:r>
      <w:r w:rsidR="00C026A6" w:rsidRPr="00EA59C0">
        <w:t xml:space="preserve"> </w:t>
      </w:r>
      <w:r w:rsidR="005F2162" w:rsidRPr="00EA59C0">
        <w:t>characters</w:t>
      </w:r>
      <w:r w:rsidR="00C026A6" w:rsidRPr="00EA59C0">
        <w:t xml:space="preserve"> </w:t>
      </w:r>
      <w:r w:rsidR="005F2162" w:rsidRPr="00EA59C0">
        <w:t>in</w:t>
      </w:r>
      <w:r w:rsidR="00C026A6" w:rsidRPr="00EA59C0">
        <w:t xml:space="preserve"> </w:t>
      </w:r>
      <w:r w:rsidR="005F2162" w:rsidRPr="00EA59C0">
        <w:t>file</w:t>
      </w:r>
      <w:r w:rsidR="00C026A6" w:rsidRPr="00EA59C0">
        <w:t xml:space="preserve"> </w:t>
      </w:r>
      <w:r w:rsidR="005F2162" w:rsidRPr="00EA59C0">
        <w:t>names:</w:t>
      </w:r>
      <w:r w:rsidR="00C026A6" w:rsidRPr="00EA59C0">
        <w:t xml:space="preserve"> </w:t>
      </w:r>
      <w:r w:rsidR="005F2162" w:rsidRPr="00EA59C0">
        <w:t>A-Z,</w:t>
      </w:r>
      <w:r w:rsidR="00C026A6" w:rsidRPr="00EA59C0">
        <w:t xml:space="preserve"> </w:t>
      </w:r>
      <w:r w:rsidR="005F2162" w:rsidRPr="00EA59C0">
        <w:t>a-z,</w:t>
      </w:r>
      <w:r w:rsidR="00C026A6" w:rsidRPr="00EA59C0">
        <w:t xml:space="preserve"> </w:t>
      </w:r>
      <w:r w:rsidR="005F2162" w:rsidRPr="00EA59C0">
        <w:t>0-9,</w:t>
      </w:r>
      <w:r w:rsidR="00C026A6" w:rsidRPr="00EA59C0">
        <w:t xml:space="preserve"> </w:t>
      </w:r>
      <w:r w:rsidR="005F2162" w:rsidRPr="00EA59C0">
        <w:t>and</w:t>
      </w:r>
      <w:r w:rsidR="00C026A6" w:rsidRPr="00EA59C0">
        <w:t xml:space="preserve"> </w:t>
      </w:r>
      <w:r w:rsidR="005F2162" w:rsidRPr="00EA59C0">
        <w:t>underscore</w:t>
      </w:r>
      <w:r w:rsidR="00C026A6" w:rsidRPr="00EA59C0">
        <w:t xml:space="preserve"> </w:t>
      </w:r>
      <w:r w:rsidR="005F2162" w:rsidRPr="00EA59C0">
        <w:t>(_).</w:t>
      </w:r>
      <w:r w:rsidR="00C026A6" w:rsidRPr="00EA59C0">
        <w:t xml:space="preserve">  </w:t>
      </w:r>
      <w:r w:rsidR="005F2162" w:rsidRPr="00EA59C0">
        <w:t>File</w:t>
      </w:r>
      <w:r w:rsidR="00C026A6" w:rsidRPr="00EA59C0">
        <w:t xml:space="preserve"> </w:t>
      </w:r>
      <w:r w:rsidR="005F2162" w:rsidRPr="00EA59C0">
        <w:t>names</w:t>
      </w:r>
      <w:r w:rsidR="00C026A6" w:rsidRPr="00EA59C0">
        <w:t xml:space="preserve"> </w:t>
      </w:r>
      <w:r w:rsidR="005F2162" w:rsidRPr="00EA59C0">
        <w:t>may</w:t>
      </w:r>
      <w:r w:rsidR="00C026A6" w:rsidRPr="00EA59C0">
        <w:t xml:space="preserve"> </w:t>
      </w:r>
      <w:r w:rsidR="005F2162" w:rsidRPr="00EA59C0">
        <w:t>not</w:t>
      </w:r>
      <w:r w:rsidR="00C026A6" w:rsidRPr="00EA59C0">
        <w:t xml:space="preserve"> </w:t>
      </w:r>
      <w:r w:rsidR="005F2162" w:rsidRPr="00EA59C0">
        <w:t>include</w:t>
      </w:r>
      <w:r w:rsidR="00C026A6" w:rsidRPr="00EA59C0">
        <w:t xml:space="preserve"> </w:t>
      </w:r>
      <w:r w:rsidR="005F2162" w:rsidRPr="00EA59C0">
        <w:t>special</w:t>
      </w:r>
      <w:r w:rsidR="00C026A6" w:rsidRPr="00EA59C0">
        <w:t xml:space="preserve"> </w:t>
      </w:r>
      <w:r w:rsidR="005F2162" w:rsidRPr="00EA59C0">
        <w:t>characters</w:t>
      </w:r>
      <w:r w:rsidR="00C026A6" w:rsidRPr="00EA59C0">
        <w:t xml:space="preserve"> </w:t>
      </w:r>
      <w:r w:rsidR="005F2162" w:rsidRPr="00EA59C0">
        <w:t>(e.g.</w:t>
      </w:r>
      <w:r w:rsidR="00C026A6" w:rsidRPr="00EA59C0">
        <w:t xml:space="preserve"> </w:t>
      </w:r>
      <w:r w:rsidR="005F2162" w:rsidRPr="00EA59C0">
        <w:t>&amp;,–,*,%,/,#),</w:t>
      </w:r>
      <w:r w:rsidR="00C026A6" w:rsidRPr="00EA59C0">
        <w:t xml:space="preserve"> </w:t>
      </w:r>
      <w:r w:rsidR="005F2162" w:rsidRPr="00EA59C0">
        <w:t>periods</w:t>
      </w:r>
      <w:r w:rsidR="00C026A6" w:rsidRPr="00EA59C0">
        <w:t xml:space="preserve"> </w:t>
      </w:r>
      <w:r w:rsidR="005F2162" w:rsidRPr="00EA59C0">
        <w:t>(.),</w:t>
      </w:r>
      <w:r w:rsidR="00C026A6" w:rsidRPr="00EA59C0">
        <w:t xml:space="preserve"> </w:t>
      </w:r>
      <w:r w:rsidR="005F2162" w:rsidRPr="00EA59C0">
        <w:t>blank</w:t>
      </w:r>
      <w:r w:rsidR="00C026A6" w:rsidRPr="00EA59C0">
        <w:t xml:space="preserve"> </w:t>
      </w:r>
      <w:r w:rsidR="005F2162" w:rsidRPr="00EA59C0">
        <w:t>spaces</w:t>
      </w:r>
      <w:r w:rsidR="00C026A6" w:rsidRPr="00EA59C0">
        <w:t xml:space="preserve"> </w:t>
      </w:r>
      <w:r w:rsidR="005F2162" w:rsidRPr="00EA59C0">
        <w:t>or</w:t>
      </w:r>
      <w:r w:rsidR="00C026A6" w:rsidRPr="00EA59C0">
        <w:t xml:space="preserve"> </w:t>
      </w:r>
      <w:r w:rsidR="005F2162" w:rsidRPr="00EA59C0">
        <w:t>accent</w:t>
      </w:r>
      <w:r w:rsidR="00C026A6" w:rsidRPr="00EA59C0">
        <w:t xml:space="preserve"> </w:t>
      </w:r>
      <w:r w:rsidR="005F2162" w:rsidRPr="00EA59C0">
        <w:t>marks,</w:t>
      </w:r>
      <w:r w:rsidR="00C026A6" w:rsidRPr="00EA59C0">
        <w:t xml:space="preserve"> </w:t>
      </w:r>
      <w:r w:rsidR="005F2162" w:rsidRPr="00EA59C0">
        <w:t>and</w:t>
      </w:r>
      <w:r w:rsidR="00C026A6" w:rsidRPr="00EA59C0">
        <w:t xml:space="preserve"> </w:t>
      </w:r>
      <w:r w:rsidR="005F2162" w:rsidRPr="00EA59C0">
        <w:t>must</w:t>
      </w:r>
      <w:r w:rsidR="00C026A6" w:rsidRPr="00EA59C0">
        <w:t xml:space="preserve"> </w:t>
      </w:r>
      <w:r w:rsidR="005F2162" w:rsidRPr="00EA59C0">
        <w:t>be</w:t>
      </w:r>
      <w:r w:rsidR="00C026A6" w:rsidRPr="00EA59C0">
        <w:t xml:space="preserve"> </w:t>
      </w:r>
      <w:r w:rsidR="005F2162" w:rsidRPr="00EA59C0">
        <w:t>unique</w:t>
      </w:r>
      <w:r w:rsidR="00C026A6" w:rsidRPr="00EA59C0">
        <w:t xml:space="preserve"> </w:t>
      </w:r>
      <w:r w:rsidR="005F2162" w:rsidRPr="00EA59C0">
        <w:t>(i.e.,</w:t>
      </w:r>
      <w:r w:rsidR="00C026A6" w:rsidRPr="00EA59C0">
        <w:t xml:space="preserve"> </w:t>
      </w:r>
      <w:r w:rsidR="005F2162" w:rsidRPr="00EA59C0">
        <w:t>no</w:t>
      </w:r>
      <w:r w:rsidR="00C026A6" w:rsidRPr="00EA59C0">
        <w:t xml:space="preserve"> </w:t>
      </w:r>
      <w:r w:rsidR="005F2162" w:rsidRPr="00EA59C0">
        <w:t>other</w:t>
      </w:r>
      <w:r w:rsidR="00C026A6" w:rsidRPr="00EA59C0">
        <w:t xml:space="preserve"> </w:t>
      </w:r>
      <w:r w:rsidR="005F2162" w:rsidRPr="00EA59C0">
        <w:t>attachment</w:t>
      </w:r>
      <w:r w:rsidR="00C026A6" w:rsidRPr="00EA59C0">
        <w:t xml:space="preserve"> </w:t>
      </w:r>
      <w:r w:rsidR="005F2162" w:rsidRPr="00EA59C0">
        <w:t>may</w:t>
      </w:r>
      <w:r w:rsidR="00C026A6" w:rsidRPr="00EA59C0">
        <w:t xml:space="preserve"> </w:t>
      </w:r>
      <w:r w:rsidR="005F2162" w:rsidRPr="00EA59C0">
        <w:t>have</w:t>
      </w:r>
      <w:r w:rsidR="00C026A6" w:rsidRPr="00EA59C0">
        <w:t xml:space="preserve"> </w:t>
      </w:r>
      <w:r w:rsidR="005F2162" w:rsidRPr="00EA59C0">
        <w:t>the</w:t>
      </w:r>
      <w:r w:rsidR="00C026A6" w:rsidRPr="00EA59C0">
        <w:t xml:space="preserve"> </w:t>
      </w:r>
      <w:r w:rsidR="005F2162" w:rsidRPr="00EA59C0">
        <w:t>same</w:t>
      </w:r>
      <w:r w:rsidR="00C026A6" w:rsidRPr="00EA59C0">
        <w:t xml:space="preserve"> </w:t>
      </w:r>
      <w:r w:rsidR="005F2162" w:rsidRPr="00EA59C0">
        <w:t>file</w:t>
      </w:r>
      <w:r w:rsidR="00C026A6" w:rsidRPr="00EA59C0">
        <w:t xml:space="preserve"> </w:t>
      </w:r>
      <w:r w:rsidR="005F2162" w:rsidRPr="00EA59C0">
        <w:t>name).</w:t>
      </w:r>
      <w:r w:rsidR="00C026A6" w:rsidRPr="00EA59C0">
        <w:t xml:space="preserve">  </w:t>
      </w:r>
      <w:r w:rsidR="005F2162" w:rsidRPr="00EA59C0">
        <w:t>An</w:t>
      </w:r>
      <w:r w:rsidR="00C026A6" w:rsidRPr="00EA59C0">
        <w:t xml:space="preserve"> </w:t>
      </w:r>
      <w:r w:rsidR="005F2162" w:rsidRPr="00EA59C0">
        <w:t>underscore</w:t>
      </w:r>
      <w:r w:rsidR="00C026A6" w:rsidRPr="00EA59C0">
        <w:t xml:space="preserve"> </w:t>
      </w:r>
      <w:r w:rsidR="005F2162" w:rsidRPr="00EA59C0">
        <w:t>(example:</w:t>
      </w:r>
      <w:r w:rsidR="00C026A6" w:rsidRPr="00EA59C0">
        <w:t xml:space="preserve"> </w:t>
      </w:r>
      <w:r w:rsidR="005F2162" w:rsidRPr="00EA59C0">
        <w:t>my_Attached_File.pdf)</w:t>
      </w:r>
      <w:r w:rsidR="00C026A6" w:rsidRPr="00EA59C0">
        <w:t xml:space="preserve"> </w:t>
      </w:r>
      <w:r w:rsidR="005F2162" w:rsidRPr="00EA59C0">
        <w:t>may</w:t>
      </w:r>
      <w:r w:rsidR="00C026A6" w:rsidRPr="00EA59C0">
        <w:t xml:space="preserve"> </w:t>
      </w:r>
      <w:r w:rsidR="005F2162" w:rsidRPr="00EA59C0">
        <w:t>be</w:t>
      </w:r>
      <w:r w:rsidR="00C026A6" w:rsidRPr="00EA59C0">
        <w:t xml:space="preserve"> </w:t>
      </w:r>
      <w:r w:rsidR="005F2162" w:rsidRPr="00EA59C0">
        <w:t>used</w:t>
      </w:r>
      <w:r w:rsidR="00C026A6" w:rsidRPr="00EA59C0">
        <w:t xml:space="preserve"> </w:t>
      </w:r>
      <w:r w:rsidR="005F2162" w:rsidRPr="00EA59C0">
        <w:t>to</w:t>
      </w:r>
      <w:r w:rsidR="00C026A6" w:rsidRPr="00EA59C0">
        <w:t xml:space="preserve"> </w:t>
      </w:r>
      <w:r w:rsidR="005F2162" w:rsidRPr="00EA59C0">
        <w:t>separate</w:t>
      </w:r>
      <w:r w:rsidR="00C026A6" w:rsidRPr="00EA59C0">
        <w:t xml:space="preserve"> </w:t>
      </w:r>
      <w:r w:rsidR="005F2162" w:rsidRPr="00EA59C0">
        <w:t>a</w:t>
      </w:r>
      <w:r w:rsidR="00C026A6" w:rsidRPr="00EA59C0">
        <w:t xml:space="preserve"> </w:t>
      </w:r>
      <w:r w:rsidR="005F2162" w:rsidRPr="00EA59C0">
        <w:t>file</w:t>
      </w:r>
      <w:r w:rsidR="00C026A6" w:rsidRPr="00EA59C0">
        <w:t xml:space="preserve"> </w:t>
      </w:r>
      <w:r w:rsidR="005F2162" w:rsidRPr="00EA59C0">
        <w:t>name.</w:t>
      </w:r>
      <w:r w:rsidR="00C026A6" w:rsidRPr="00EA59C0">
        <w:t xml:space="preserve"> </w:t>
      </w:r>
    </w:p>
    <w:p w:rsidR="00DC6217" w:rsidRPr="00EA59C0" w:rsidRDefault="00DC6217" w:rsidP="00DC6217">
      <w:pPr>
        <w:pStyle w:val="PlainText"/>
        <w:ind w:left="1080"/>
      </w:pPr>
      <w:r w:rsidRPr="00EA59C0">
        <w:t>The</w:t>
      </w:r>
      <w:r w:rsidR="00C026A6" w:rsidRPr="00EA59C0">
        <w:t xml:space="preserve"> </w:t>
      </w:r>
      <w:r w:rsidRPr="00EA59C0">
        <w:t>following</w:t>
      </w:r>
      <w:r w:rsidR="00C026A6" w:rsidRPr="00EA59C0">
        <w:t xml:space="preserve"> </w:t>
      </w:r>
      <w:r w:rsidRPr="00EA59C0">
        <w:t>attachments</w:t>
      </w:r>
      <w:r w:rsidR="00C026A6" w:rsidRPr="00EA59C0">
        <w:t xml:space="preserve"> </w:t>
      </w:r>
      <w:r w:rsidRPr="00EA59C0">
        <w:t>must</w:t>
      </w:r>
      <w:r w:rsidR="00C026A6" w:rsidRPr="00EA59C0">
        <w:t xml:space="preserve"> </w:t>
      </w:r>
      <w:r w:rsidRPr="00EA59C0">
        <w:t>be</w:t>
      </w:r>
      <w:r w:rsidR="00C026A6" w:rsidRPr="00EA59C0">
        <w:t xml:space="preserve"> </w:t>
      </w:r>
      <w:r w:rsidRPr="00EA59C0">
        <w:t>submitted</w:t>
      </w:r>
      <w:r w:rsidR="00C026A6" w:rsidRPr="00EA59C0">
        <w:t xml:space="preserve"> </w:t>
      </w:r>
      <w:r w:rsidRPr="00EA59C0">
        <w:t>by</w:t>
      </w:r>
      <w:r w:rsidR="00C026A6" w:rsidRPr="00EA59C0">
        <w:t xml:space="preserve"> </w:t>
      </w:r>
      <w:r w:rsidRPr="00EA59C0">
        <w:t>all</w:t>
      </w:r>
      <w:r w:rsidR="00C026A6" w:rsidRPr="00EA59C0">
        <w:t xml:space="preserve"> </w:t>
      </w:r>
      <w:r w:rsidRPr="00EA59C0">
        <w:t>applicants,</w:t>
      </w:r>
      <w:r w:rsidR="00C026A6" w:rsidRPr="00EA59C0">
        <w:t xml:space="preserve"> </w:t>
      </w:r>
      <w:r w:rsidRPr="00EA59C0">
        <w:t>and</w:t>
      </w:r>
      <w:r w:rsidR="00C026A6" w:rsidRPr="00EA59C0">
        <w:t xml:space="preserve"> </w:t>
      </w:r>
      <w:r w:rsidRPr="00EA59C0">
        <w:t>applications</w:t>
      </w:r>
      <w:r w:rsidR="00C026A6" w:rsidRPr="00EA59C0">
        <w:t xml:space="preserve"> </w:t>
      </w:r>
      <w:r w:rsidRPr="00EA59C0">
        <w:t>that</w:t>
      </w:r>
      <w:r w:rsidR="00C026A6" w:rsidRPr="00EA59C0">
        <w:t xml:space="preserve"> </w:t>
      </w:r>
      <w:r w:rsidRPr="00EA59C0">
        <w:t>fail</w:t>
      </w:r>
      <w:r w:rsidR="00C026A6" w:rsidRPr="00EA59C0">
        <w:t xml:space="preserve"> </w:t>
      </w:r>
      <w:r w:rsidRPr="00EA59C0">
        <w:t>to</w:t>
      </w:r>
      <w:r w:rsidR="00C026A6" w:rsidRPr="00EA59C0">
        <w:t xml:space="preserve"> </w:t>
      </w:r>
      <w:r w:rsidRPr="00EA59C0">
        <w:t>include</w:t>
      </w:r>
      <w:r w:rsidR="00C026A6" w:rsidRPr="00EA59C0">
        <w:t xml:space="preserve"> </w:t>
      </w:r>
      <w:r w:rsidRPr="00EA59C0">
        <w:t>any</w:t>
      </w:r>
      <w:r w:rsidR="00C026A6" w:rsidRPr="00EA59C0">
        <w:t xml:space="preserve"> </w:t>
      </w:r>
      <w:r w:rsidRPr="00EA59C0">
        <w:t>of</w:t>
      </w:r>
      <w:r w:rsidR="00C026A6" w:rsidRPr="00EA59C0">
        <w:t xml:space="preserve"> </w:t>
      </w:r>
      <w:r w:rsidRPr="00EA59C0">
        <w:t>these</w:t>
      </w:r>
      <w:r w:rsidR="00C026A6" w:rsidRPr="00EA59C0">
        <w:t xml:space="preserve"> </w:t>
      </w:r>
      <w:r w:rsidRPr="00EA59C0">
        <w:t>attachments</w:t>
      </w:r>
      <w:r w:rsidR="00C026A6" w:rsidRPr="00EA59C0">
        <w:t xml:space="preserve"> </w:t>
      </w:r>
      <w:r w:rsidRPr="00EA59C0">
        <w:t>will</w:t>
      </w:r>
      <w:r w:rsidR="00C026A6" w:rsidRPr="00EA59C0">
        <w:t xml:space="preserve"> </w:t>
      </w:r>
      <w:r w:rsidRPr="00EA59C0">
        <w:t>be</w:t>
      </w:r>
      <w:r w:rsidR="00C026A6" w:rsidRPr="00EA59C0">
        <w:t xml:space="preserve"> </w:t>
      </w:r>
      <w:r w:rsidRPr="00EA59C0">
        <w:t>found</w:t>
      </w:r>
      <w:r w:rsidR="00C026A6" w:rsidRPr="00EA59C0">
        <w:t xml:space="preserve"> </w:t>
      </w:r>
      <w:r w:rsidRPr="00EA59C0">
        <w:t>non-responsive</w:t>
      </w:r>
      <w:r w:rsidR="00C026A6" w:rsidRPr="00EA59C0">
        <w:t xml:space="preserve"> </w:t>
      </w:r>
      <w:r w:rsidRPr="00EA59C0">
        <w:t>and</w:t>
      </w:r>
      <w:r w:rsidR="00C026A6" w:rsidRPr="00EA59C0">
        <w:t xml:space="preserve"> </w:t>
      </w:r>
      <w:r w:rsidRPr="00EA59C0">
        <w:t>will</w:t>
      </w:r>
      <w:r w:rsidR="00C026A6" w:rsidRPr="00EA59C0">
        <w:t xml:space="preserve"> </w:t>
      </w:r>
      <w:r w:rsidRPr="00EA59C0">
        <w:t>not</w:t>
      </w:r>
      <w:r w:rsidR="00C026A6" w:rsidRPr="00EA59C0">
        <w:t xml:space="preserve"> </w:t>
      </w:r>
      <w:r w:rsidRPr="00EA59C0">
        <w:t>be</w:t>
      </w:r>
      <w:r w:rsidR="00C026A6" w:rsidRPr="00EA59C0">
        <w:t xml:space="preserve"> </w:t>
      </w:r>
      <w:r w:rsidRPr="00EA59C0">
        <w:t>reviewed:</w:t>
      </w:r>
    </w:p>
    <w:p w:rsidR="005F34D2" w:rsidRPr="00EA59C0" w:rsidRDefault="00D81847" w:rsidP="006D2090">
      <w:pPr>
        <w:pStyle w:val="Heading2"/>
        <w:numPr>
          <w:ilvl w:val="3"/>
          <w:numId w:val="17"/>
        </w:numPr>
        <w:spacing w:line="240" w:lineRule="auto"/>
        <w:rPr>
          <w:rFonts w:ascii="Times New Roman" w:hAnsi="Times New Roman"/>
          <w:b w:val="0"/>
          <w:i w:val="0"/>
        </w:rPr>
      </w:pPr>
      <w:r w:rsidRPr="00EA59C0">
        <w:rPr>
          <w:rFonts w:ascii="Times New Roman" w:hAnsi="Times New Roman"/>
          <w:b w:val="0"/>
          <w:i w:val="0"/>
        </w:rPr>
        <w:t>Abstract</w:t>
      </w:r>
      <w:r w:rsidR="00F52343" w:rsidRPr="00EA59C0">
        <w:rPr>
          <w:rFonts w:ascii="Times New Roman" w:hAnsi="Times New Roman"/>
          <w:b w:val="0"/>
          <w:i w:val="0"/>
        </w:rPr>
        <w:t>:</w:t>
      </w:r>
      <w:r w:rsidR="00C026A6" w:rsidRPr="00EA59C0">
        <w:rPr>
          <w:rFonts w:ascii="Times New Roman" w:hAnsi="Times New Roman"/>
          <w:b w:val="0"/>
          <w:i w:val="0"/>
        </w:rPr>
        <w:t xml:space="preserve">  </w:t>
      </w:r>
      <w:r w:rsidR="00260875" w:rsidRPr="00EA59C0">
        <w:rPr>
          <w:rFonts w:ascii="Times New Roman" w:hAnsi="Times New Roman"/>
          <w:b w:val="0"/>
          <w:i w:val="0"/>
        </w:rPr>
        <w:t>All</w:t>
      </w:r>
      <w:r w:rsidR="00C026A6" w:rsidRPr="00EA59C0">
        <w:rPr>
          <w:rFonts w:ascii="Times New Roman" w:hAnsi="Times New Roman"/>
          <w:b w:val="0"/>
          <w:i w:val="0"/>
        </w:rPr>
        <w:t xml:space="preserve"> </w:t>
      </w:r>
      <w:r w:rsidR="00260875" w:rsidRPr="00EA59C0">
        <w:rPr>
          <w:rFonts w:ascii="Times New Roman" w:hAnsi="Times New Roman"/>
          <w:b w:val="0"/>
          <w:i w:val="0"/>
        </w:rPr>
        <w:t>applicants</w:t>
      </w:r>
      <w:r w:rsidR="00C026A6" w:rsidRPr="00EA59C0">
        <w:rPr>
          <w:rFonts w:ascii="Times New Roman" w:hAnsi="Times New Roman"/>
          <w:b w:val="0"/>
          <w:i w:val="0"/>
        </w:rPr>
        <w:t xml:space="preserve"> </w:t>
      </w:r>
      <w:r w:rsidR="00260875" w:rsidRPr="00EA59C0">
        <w:rPr>
          <w:rFonts w:ascii="Times New Roman" w:hAnsi="Times New Roman"/>
          <w:b w:val="0"/>
          <w:i w:val="0"/>
        </w:rPr>
        <w:t>must</w:t>
      </w:r>
      <w:r w:rsidR="00C026A6" w:rsidRPr="00EA59C0">
        <w:rPr>
          <w:rFonts w:ascii="Times New Roman" w:hAnsi="Times New Roman"/>
          <w:b w:val="0"/>
          <w:i w:val="0"/>
        </w:rPr>
        <w:t xml:space="preserve"> </w:t>
      </w:r>
      <w:r w:rsidR="00260875" w:rsidRPr="00EA59C0">
        <w:rPr>
          <w:rFonts w:ascii="Times New Roman" w:hAnsi="Times New Roman"/>
          <w:b w:val="0"/>
          <w:i w:val="0"/>
        </w:rPr>
        <w:t>submit</w:t>
      </w:r>
      <w:r w:rsidR="00C026A6" w:rsidRPr="00EA59C0">
        <w:rPr>
          <w:rFonts w:ascii="Times New Roman" w:hAnsi="Times New Roman"/>
          <w:b w:val="0"/>
          <w:i w:val="0"/>
        </w:rPr>
        <w:t xml:space="preserve"> </w:t>
      </w:r>
      <w:r w:rsidR="00260875" w:rsidRPr="00EA59C0">
        <w:rPr>
          <w:rFonts w:ascii="Times New Roman" w:hAnsi="Times New Roman"/>
          <w:b w:val="0"/>
          <w:i w:val="0"/>
        </w:rPr>
        <w:t>a</w:t>
      </w:r>
      <w:r w:rsidR="00173227" w:rsidRPr="00EA59C0">
        <w:rPr>
          <w:rFonts w:ascii="Times New Roman" w:hAnsi="Times New Roman"/>
          <w:b w:val="0"/>
          <w:i w:val="0"/>
        </w:rPr>
        <w:t>n</w:t>
      </w:r>
      <w:r w:rsidR="00C026A6" w:rsidRPr="00EA59C0">
        <w:rPr>
          <w:rFonts w:ascii="Times New Roman" w:hAnsi="Times New Roman"/>
          <w:b w:val="0"/>
          <w:i w:val="0"/>
        </w:rPr>
        <w:t xml:space="preserve"> </w:t>
      </w:r>
      <w:r w:rsidR="00173227" w:rsidRPr="00EA59C0">
        <w:rPr>
          <w:rFonts w:ascii="Times New Roman" w:hAnsi="Times New Roman"/>
          <w:b w:val="0"/>
          <w:i w:val="0"/>
        </w:rPr>
        <w:t>up</w:t>
      </w:r>
      <w:r w:rsidR="00C026A6" w:rsidRPr="00EA59C0">
        <w:rPr>
          <w:rFonts w:ascii="Times New Roman" w:hAnsi="Times New Roman"/>
          <w:b w:val="0"/>
          <w:i w:val="0"/>
        </w:rPr>
        <w:t xml:space="preserve"> </w:t>
      </w:r>
      <w:r w:rsidR="00173227" w:rsidRPr="00EA59C0">
        <w:rPr>
          <w:rFonts w:ascii="Times New Roman" w:hAnsi="Times New Roman"/>
          <w:b w:val="0"/>
          <w:i w:val="0"/>
        </w:rPr>
        <w:t>to</w:t>
      </w:r>
      <w:r w:rsidR="00C026A6" w:rsidRPr="00EA59C0">
        <w:rPr>
          <w:rFonts w:ascii="Times New Roman" w:hAnsi="Times New Roman"/>
          <w:b w:val="0"/>
          <w:i w:val="0"/>
        </w:rPr>
        <w:t xml:space="preserve"> </w:t>
      </w:r>
      <w:r w:rsidR="007470AB" w:rsidRPr="00EA59C0">
        <w:rPr>
          <w:rFonts w:ascii="Times New Roman" w:hAnsi="Times New Roman"/>
          <w:b w:val="0"/>
          <w:i w:val="0"/>
        </w:rPr>
        <w:t>two-page</w:t>
      </w:r>
      <w:r w:rsidR="00C026A6" w:rsidRPr="00EA59C0">
        <w:rPr>
          <w:rFonts w:ascii="Times New Roman" w:hAnsi="Times New Roman"/>
          <w:b w:val="0"/>
          <w:i w:val="0"/>
        </w:rPr>
        <w:t xml:space="preserve"> </w:t>
      </w:r>
      <w:r w:rsidR="007470AB" w:rsidRPr="00EA59C0">
        <w:rPr>
          <w:rFonts w:ascii="Times New Roman" w:hAnsi="Times New Roman"/>
          <w:b w:val="0"/>
          <w:i w:val="0"/>
        </w:rPr>
        <w:t>abstract</w:t>
      </w:r>
      <w:r w:rsidR="00C026A6" w:rsidRPr="00EA59C0">
        <w:rPr>
          <w:rFonts w:ascii="Times New Roman" w:hAnsi="Times New Roman"/>
          <w:b w:val="0"/>
          <w:i w:val="0"/>
        </w:rPr>
        <w:t xml:space="preserve"> </w:t>
      </w:r>
      <w:r w:rsidR="007470AB" w:rsidRPr="00EA59C0">
        <w:rPr>
          <w:rFonts w:ascii="Times New Roman" w:hAnsi="Times New Roman"/>
          <w:b w:val="0"/>
          <w:i w:val="0"/>
        </w:rPr>
        <w:t>summarizing</w:t>
      </w:r>
      <w:r w:rsidR="00C026A6" w:rsidRPr="00EA59C0">
        <w:rPr>
          <w:rFonts w:ascii="Times New Roman" w:hAnsi="Times New Roman"/>
          <w:b w:val="0"/>
          <w:i w:val="0"/>
        </w:rPr>
        <w:t xml:space="preserve"> </w:t>
      </w:r>
      <w:r w:rsidR="007470AB" w:rsidRPr="00EA59C0">
        <w:rPr>
          <w:rFonts w:ascii="Times New Roman" w:hAnsi="Times New Roman"/>
          <w:b w:val="0"/>
          <w:i w:val="0"/>
        </w:rPr>
        <w:t>the</w:t>
      </w:r>
      <w:r w:rsidR="00C026A6" w:rsidRPr="00EA59C0">
        <w:rPr>
          <w:rFonts w:ascii="Times New Roman" w:hAnsi="Times New Roman"/>
          <w:b w:val="0"/>
          <w:i w:val="0"/>
        </w:rPr>
        <w:t xml:space="preserve"> </w:t>
      </w:r>
      <w:r w:rsidR="007470AB" w:rsidRPr="00EA59C0">
        <w:rPr>
          <w:rFonts w:ascii="Times New Roman" w:hAnsi="Times New Roman"/>
          <w:b w:val="0"/>
          <w:i w:val="0"/>
        </w:rPr>
        <w:t>proposed</w:t>
      </w:r>
      <w:r w:rsidR="00C026A6" w:rsidRPr="00EA59C0">
        <w:rPr>
          <w:rFonts w:ascii="Times New Roman" w:hAnsi="Times New Roman"/>
          <w:b w:val="0"/>
          <w:i w:val="0"/>
        </w:rPr>
        <w:t xml:space="preserve"> </w:t>
      </w:r>
      <w:r w:rsidR="007470AB" w:rsidRPr="00EA59C0">
        <w:rPr>
          <w:rFonts w:ascii="Times New Roman" w:hAnsi="Times New Roman"/>
          <w:b w:val="0"/>
          <w:i w:val="0"/>
        </w:rPr>
        <w:t>project,</w:t>
      </w:r>
      <w:r w:rsidR="00C026A6" w:rsidRPr="00EA59C0">
        <w:rPr>
          <w:rFonts w:ascii="Times New Roman" w:hAnsi="Times New Roman"/>
          <w:b w:val="0"/>
          <w:i w:val="0"/>
        </w:rPr>
        <w:t xml:space="preserve"> </w:t>
      </w:r>
      <w:r w:rsidR="007470AB" w:rsidRPr="00EA59C0">
        <w:rPr>
          <w:rFonts w:ascii="Times New Roman" w:hAnsi="Times New Roman"/>
          <w:b w:val="0"/>
          <w:i w:val="0"/>
        </w:rPr>
        <w:t>including</w:t>
      </w:r>
      <w:r w:rsidR="002C67CF" w:rsidRPr="00EA59C0">
        <w:rPr>
          <w:rFonts w:ascii="Times New Roman" w:hAnsi="Times New Roman"/>
          <w:b w:val="0"/>
          <w:i w:val="0"/>
        </w:rPr>
        <w:t>,</w:t>
      </w:r>
      <w:r w:rsidR="00C026A6" w:rsidRPr="00EA59C0">
        <w:rPr>
          <w:rFonts w:ascii="Times New Roman" w:hAnsi="Times New Roman"/>
          <w:b w:val="0"/>
          <w:i w:val="0"/>
        </w:rPr>
        <w:t xml:space="preserve"> </w:t>
      </w:r>
      <w:r w:rsidR="007470AB" w:rsidRPr="00EA59C0">
        <w:rPr>
          <w:rFonts w:ascii="Times New Roman" w:hAnsi="Times New Roman"/>
          <w:b w:val="0"/>
          <w:i w:val="0"/>
        </w:rPr>
        <w:t>but</w:t>
      </w:r>
      <w:r w:rsidR="00C026A6" w:rsidRPr="00EA59C0">
        <w:rPr>
          <w:rFonts w:ascii="Times New Roman" w:hAnsi="Times New Roman"/>
          <w:b w:val="0"/>
          <w:i w:val="0"/>
        </w:rPr>
        <w:t xml:space="preserve"> </w:t>
      </w:r>
      <w:r w:rsidR="007470AB" w:rsidRPr="00EA59C0">
        <w:rPr>
          <w:rFonts w:ascii="Times New Roman" w:hAnsi="Times New Roman"/>
          <w:b w:val="0"/>
          <w:i w:val="0"/>
        </w:rPr>
        <w:t>not</w:t>
      </w:r>
      <w:r w:rsidR="00C026A6" w:rsidRPr="00EA59C0">
        <w:rPr>
          <w:rFonts w:ascii="Times New Roman" w:hAnsi="Times New Roman"/>
          <w:b w:val="0"/>
          <w:i w:val="0"/>
        </w:rPr>
        <w:t xml:space="preserve"> </w:t>
      </w:r>
      <w:r w:rsidR="007470AB" w:rsidRPr="00EA59C0">
        <w:rPr>
          <w:rFonts w:ascii="Times New Roman" w:hAnsi="Times New Roman"/>
          <w:b w:val="0"/>
          <w:i w:val="0"/>
        </w:rPr>
        <w:t>limited</w:t>
      </w:r>
      <w:r w:rsidR="00C026A6" w:rsidRPr="00EA59C0">
        <w:rPr>
          <w:rFonts w:ascii="Times New Roman" w:hAnsi="Times New Roman"/>
          <w:b w:val="0"/>
          <w:i w:val="0"/>
        </w:rPr>
        <w:t xml:space="preserve"> </w:t>
      </w:r>
      <w:r w:rsidR="007470AB" w:rsidRPr="00EA59C0">
        <w:rPr>
          <w:rFonts w:ascii="Times New Roman" w:hAnsi="Times New Roman"/>
          <w:b w:val="0"/>
          <w:i w:val="0"/>
        </w:rPr>
        <w:t>to</w:t>
      </w:r>
      <w:r w:rsidR="002C67CF" w:rsidRPr="00EA59C0">
        <w:rPr>
          <w:rFonts w:ascii="Times New Roman" w:hAnsi="Times New Roman"/>
          <w:b w:val="0"/>
          <w:i w:val="0"/>
        </w:rPr>
        <w:t>,</w:t>
      </w:r>
      <w:r w:rsidR="00C026A6" w:rsidRPr="00EA59C0">
        <w:rPr>
          <w:rFonts w:ascii="Times New Roman" w:hAnsi="Times New Roman"/>
          <w:b w:val="0"/>
          <w:i w:val="0"/>
        </w:rPr>
        <w:t xml:space="preserve"> </w:t>
      </w:r>
      <w:r w:rsidR="007470AB" w:rsidRPr="00EA59C0">
        <w:rPr>
          <w:rFonts w:ascii="Times New Roman" w:hAnsi="Times New Roman"/>
          <w:b w:val="0"/>
          <w:i w:val="0"/>
        </w:rPr>
        <w:t>the</w:t>
      </w:r>
      <w:r w:rsidR="00C026A6" w:rsidRPr="00EA59C0">
        <w:rPr>
          <w:rFonts w:ascii="Times New Roman" w:hAnsi="Times New Roman"/>
          <w:b w:val="0"/>
          <w:i w:val="0"/>
        </w:rPr>
        <w:t xml:space="preserve"> </w:t>
      </w:r>
      <w:r w:rsidR="007470AB" w:rsidRPr="00EA59C0">
        <w:rPr>
          <w:rFonts w:ascii="Times New Roman" w:hAnsi="Times New Roman"/>
          <w:b w:val="0"/>
          <w:i w:val="0"/>
        </w:rPr>
        <w:t>scope</w:t>
      </w:r>
      <w:r w:rsidR="00C026A6" w:rsidRPr="00EA59C0">
        <w:rPr>
          <w:rFonts w:ascii="Times New Roman" w:hAnsi="Times New Roman"/>
          <w:b w:val="0"/>
          <w:i w:val="0"/>
        </w:rPr>
        <w:t xml:space="preserve"> </w:t>
      </w:r>
      <w:r w:rsidR="007470AB" w:rsidRPr="00EA59C0">
        <w:rPr>
          <w:rFonts w:ascii="Times New Roman" w:hAnsi="Times New Roman"/>
          <w:b w:val="0"/>
          <w:i w:val="0"/>
        </w:rPr>
        <w:t>of</w:t>
      </w:r>
      <w:r w:rsidR="00C026A6" w:rsidRPr="00EA59C0">
        <w:rPr>
          <w:rFonts w:ascii="Times New Roman" w:hAnsi="Times New Roman"/>
          <w:b w:val="0"/>
          <w:i w:val="0"/>
        </w:rPr>
        <w:t xml:space="preserve"> </w:t>
      </w:r>
      <w:r w:rsidR="007470AB" w:rsidRPr="00EA59C0">
        <w:rPr>
          <w:rFonts w:ascii="Times New Roman" w:hAnsi="Times New Roman"/>
          <w:b w:val="0"/>
          <w:i w:val="0"/>
        </w:rPr>
        <w:t>the</w:t>
      </w:r>
      <w:r w:rsidR="00C026A6" w:rsidRPr="00EA59C0">
        <w:rPr>
          <w:rFonts w:ascii="Times New Roman" w:hAnsi="Times New Roman"/>
          <w:b w:val="0"/>
          <w:i w:val="0"/>
        </w:rPr>
        <w:t xml:space="preserve"> </w:t>
      </w:r>
      <w:r w:rsidR="007470AB" w:rsidRPr="00EA59C0">
        <w:rPr>
          <w:rFonts w:ascii="Times New Roman" w:hAnsi="Times New Roman"/>
          <w:b w:val="0"/>
          <w:i w:val="0"/>
        </w:rPr>
        <w:t>project</w:t>
      </w:r>
      <w:r w:rsidR="00C026A6" w:rsidRPr="00EA59C0">
        <w:rPr>
          <w:rFonts w:ascii="Times New Roman" w:hAnsi="Times New Roman"/>
          <w:b w:val="0"/>
          <w:i w:val="0"/>
        </w:rPr>
        <w:t xml:space="preserve"> </w:t>
      </w:r>
      <w:r w:rsidR="007470AB" w:rsidRPr="00EA59C0">
        <w:rPr>
          <w:rFonts w:ascii="Times New Roman" w:hAnsi="Times New Roman"/>
          <w:b w:val="0"/>
          <w:i w:val="0"/>
        </w:rPr>
        <w:t>and</w:t>
      </w:r>
      <w:r w:rsidR="00C026A6" w:rsidRPr="00EA59C0">
        <w:rPr>
          <w:rFonts w:ascii="Times New Roman" w:hAnsi="Times New Roman"/>
          <w:b w:val="0"/>
          <w:i w:val="0"/>
        </w:rPr>
        <w:t xml:space="preserve"> </w:t>
      </w:r>
      <w:r w:rsidR="007470AB" w:rsidRPr="00EA59C0">
        <w:rPr>
          <w:rFonts w:ascii="Times New Roman" w:hAnsi="Times New Roman"/>
          <w:b w:val="0"/>
          <w:i w:val="0"/>
        </w:rPr>
        <w:t>proposed</w:t>
      </w:r>
      <w:r w:rsidR="00C026A6" w:rsidRPr="00EA59C0">
        <w:rPr>
          <w:rFonts w:ascii="Times New Roman" w:hAnsi="Times New Roman"/>
          <w:b w:val="0"/>
          <w:i w:val="0"/>
        </w:rPr>
        <w:t xml:space="preserve"> </w:t>
      </w:r>
      <w:r w:rsidR="007470AB" w:rsidRPr="00EA59C0">
        <w:rPr>
          <w:rFonts w:ascii="Times New Roman" w:hAnsi="Times New Roman"/>
          <w:b w:val="0"/>
          <w:i w:val="0"/>
        </w:rPr>
        <w:t>outcomes.</w:t>
      </w:r>
      <w:r w:rsidR="00C026A6" w:rsidRPr="00EA59C0">
        <w:rPr>
          <w:rFonts w:ascii="Times New Roman" w:hAnsi="Times New Roman"/>
          <w:b w:val="0"/>
          <w:i w:val="0"/>
        </w:rPr>
        <w:t xml:space="preserve">  </w:t>
      </w:r>
      <w:r w:rsidR="007470AB" w:rsidRPr="00EA59C0">
        <w:rPr>
          <w:rFonts w:ascii="Times New Roman" w:hAnsi="Times New Roman"/>
          <w:b w:val="0"/>
          <w:i w:val="0"/>
        </w:rPr>
        <w:t>The</w:t>
      </w:r>
      <w:r w:rsidR="00C026A6" w:rsidRPr="00EA59C0">
        <w:rPr>
          <w:rFonts w:ascii="Times New Roman" w:hAnsi="Times New Roman"/>
          <w:b w:val="0"/>
          <w:i w:val="0"/>
        </w:rPr>
        <w:t xml:space="preserve"> </w:t>
      </w:r>
      <w:r w:rsidR="007470AB" w:rsidRPr="00EA59C0">
        <w:rPr>
          <w:rFonts w:ascii="Times New Roman" w:hAnsi="Times New Roman"/>
          <w:b w:val="0"/>
          <w:i w:val="0"/>
        </w:rPr>
        <w:t>proposed</w:t>
      </w:r>
      <w:r w:rsidR="00C026A6" w:rsidRPr="00EA59C0">
        <w:rPr>
          <w:rFonts w:ascii="Times New Roman" w:hAnsi="Times New Roman"/>
          <w:b w:val="0"/>
          <w:i w:val="0"/>
        </w:rPr>
        <w:t xml:space="preserve"> </w:t>
      </w:r>
      <w:r w:rsidR="007470AB" w:rsidRPr="00EA59C0">
        <w:rPr>
          <w:rFonts w:ascii="Times New Roman" w:hAnsi="Times New Roman"/>
          <w:b w:val="0"/>
          <w:i w:val="0"/>
        </w:rPr>
        <w:t>project</w:t>
      </w:r>
      <w:r w:rsidR="00C026A6" w:rsidRPr="00EA59C0">
        <w:rPr>
          <w:rFonts w:ascii="Times New Roman" w:hAnsi="Times New Roman"/>
          <w:b w:val="0"/>
          <w:i w:val="0"/>
        </w:rPr>
        <w:t xml:space="preserve"> </w:t>
      </w:r>
      <w:r w:rsidR="007470AB" w:rsidRPr="00EA59C0">
        <w:rPr>
          <w:rFonts w:ascii="Times New Roman" w:hAnsi="Times New Roman"/>
          <w:b w:val="0"/>
          <w:i w:val="0"/>
        </w:rPr>
        <w:t>must</w:t>
      </w:r>
      <w:r w:rsidR="00C026A6" w:rsidRPr="00EA59C0">
        <w:rPr>
          <w:rFonts w:ascii="Times New Roman" w:hAnsi="Times New Roman"/>
          <w:b w:val="0"/>
          <w:i w:val="0"/>
        </w:rPr>
        <w:t xml:space="preserve"> </w:t>
      </w:r>
      <w:r w:rsidR="00EC35CA" w:rsidRPr="00EA59C0">
        <w:rPr>
          <w:rFonts w:ascii="Times New Roman" w:hAnsi="Times New Roman"/>
          <w:b w:val="0"/>
          <w:i w:val="0"/>
        </w:rPr>
        <w:t>clearly</w:t>
      </w:r>
      <w:r w:rsidR="00C026A6" w:rsidRPr="00EA59C0">
        <w:rPr>
          <w:rFonts w:ascii="Times New Roman" w:hAnsi="Times New Roman"/>
          <w:b w:val="0"/>
          <w:i w:val="0"/>
        </w:rPr>
        <w:t xml:space="preserve"> </w:t>
      </w:r>
      <w:r w:rsidR="00EC35CA" w:rsidRPr="00EA59C0">
        <w:rPr>
          <w:rFonts w:ascii="Times New Roman" w:hAnsi="Times New Roman"/>
          <w:b w:val="0"/>
          <w:i w:val="0"/>
        </w:rPr>
        <w:t>identify</w:t>
      </w:r>
      <w:r w:rsidR="00C026A6" w:rsidRPr="00EA59C0">
        <w:rPr>
          <w:rFonts w:ascii="Times New Roman" w:hAnsi="Times New Roman"/>
          <w:b w:val="0"/>
          <w:i w:val="0"/>
        </w:rPr>
        <w:t xml:space="preserve"> </w:t>
      </w:r>
      <w:r w:rsidR="00EC35CA" w:rsidRPr="00EA59C0">
        <w:rPr>
          <w:rFonts w:ascii="Times New Roman" w:hAnsi="Times New Roman"/>
          <w:b w:val="0"/>
          <w:i w:val="0"/>
        </w:rPr>
        <w:t>the</w:t>
      </w:r>
      <w:r w:rsidR="00C026A6" w:rsidRPr="00EA59C0">
        <w:rPr>
          <w:rFonts w:ascii="Times New Roman" w:hAnsi="Times New Roman"/>
          <w:b w:val="0"/>
          <w:i w:val="0"/>
        </w:rPr>
        <w:t xml:space="preserve"> </w:t>
      </w:r>
      <w:r w:rsidR="00EC35CA" w:rsidRPr="00EA59C0">
        <w:rPr>
          <w:rFonts w:ascii="Times New Roman" w:hAnsi="Times New Roman"/>
          <w:b w:val="0"/>
          <w:i w:val="0"/>
        </w:rPr>
        <w:t>following</w:t>
      </w:r>
      <w:r w:rsidR="00C026A6" w:rsidRPr="00EA59C0">
        <w:rPr>
          <w:rFonts w:ascii="Times New Roman" w:hAnsi="Times New Roman"/>
          <w:b w:val="0"/>
          <w:i w:val="0"/>
        </w:rPr>
        <w:t xml:space="preserve"> </w:t>
      </w:r>
      <w:r w:rsidR="00EC35CA" w:rsidRPr="00EA59C0">
        <w:rPr>
          <w:rFonts w:ascii="Times New Roman" w:hAnsi="Times New Roman"/>
          <w:b w:val="0"/>
          <w:i w:val="0"/>
        </w:rPr>
        <w:t>items</w:t>
      </w:r>
      <w:r w:rsidR="0087755D" w:rsidRPr="00EA59C0">
        <w:rPr>
          <w:rFonts w:ascii="Times New Roman" w:hAnsi="Times New Roman"/>
          <w:b w:val="0"/>
          <w:i w:val="0"/>
        </w:rPr>
        <w:t>:</w:t>
      </w:r>
      <w:r w:rsidR="00C026A6" w:rsidRPr="00EA59C0">
        <w:rPr>
          <w:rFonts w:ascii="Times New Roman" w:hAnsi="Times New Roman"/>
          <w:b w:val="0"/>
          <w:i w:val="0"/>
        </w:rPr>
        <w:t xml:space="preserve"> </w:t>
      </w:r>
    </w:p>
    <w:p w:rsidR="00CE268A" w:rsidRPr="00EA59C0" w:rsidRDefault="00CE268A" w:rsidP="00C072FA">
      <w:pPr>
        <w:pStyle w:val="PlainText"/>
        <w:numPr>
          <w:ilvl w:val="4"/>
          <w:numId w:val="17"/>
        </w:numPr>
        <w:spacing w:before="0" w:beforeAutospacing="0" w:after="0" w:afterAutospacing="0"/>
      </w:pPr>
      <w:r w:rsidRPr="00EA59C0">
        <w:t>Applicant</w:t>
      </w:r>
      <w:r w:rsidR="00C026A6" w:rsidRPr="00EA59C0">
        <w:t xml:space="preserve"> </w:t>
      </w:r>
      <w:r w:rsidRPr="00EA59C0">
        <w:t>Name</w:t>
      </w:r>
    </w:p>
    <w:p w:rsidR="00CE268A" w:rsidRPr="00EA59C0" w:rsidRDefault="00CE268A" w:rsidP="00C072FA">
      <w:pPr>
        <w:pStyle w:val="PlainText"/>
        <w:numPr>
          <w:ilvl w:val="4"/>
          <w:numId w:val="17"/>
        </w:numPr>
        <w:spacing w:before="0" w:beforeAutospacing="0" w:after="0" w:afterAutospacing="0"/>
      </w:pPr>
      <w:r w:rsidRPr="00EA59C0">
        <w:t>Applicant</w:t>
      </w:r>
      <w:r w:rsidR="00C026A6" w:rsidRPr="00EA59C0">
        <w:t xml:space="preserve"> </w:t>
      </w:r>
      <w:r w:rsidRPr="00EA59C0">
        <w:t>City/State</w:t>
      </w:r>
    </w:p>
    <w:p w:rsidR="00CE268A" w:rsidRPr="00EA59C0" w:rsidRDefault="00CE268A" w:rsidP="00C072FA">
      <w:pPr>
        <w:pStyle w:val="PlainText"/>
        <w:numPr>
          <w:ilvl w:val="4"/>
          <w:numId w:val="17"/>
        </w:numPr>
        <w:spacing w:before="0" w:beforeAutospacing="0" w:after="0" w:afterAutospacing="0"/>
      </w:pPr>
      <w:r w:rsidRPr="00EA59C0">
        <w:t>Consortium</w:t>
      </w:r>
      <w:r w:rsidR="00C026A6" w:rsidRPr="00EA59C0">
        <w:t xml:space="preserve"> </w:t>
      </w:r>
      <w:r w:rsidRPr="00EA59C0">
        <w:t>Member(s)</w:t>
      </w:r>
      <w:r w:rsidR="00C026A6" w:rsidRPr="00EA59C0">
        <w:t xml:space="preserve"> </w:t>
      </w:r>
      <w:r w:rsidRPr="00EA59C0">
        <w:t>and</w:t>
      </w:r>
      <w:r w:rsidR="00C026A6" w:rsidRPr="00EA59C0">
        <w:t xml:space="preserve"> </w:t>
      </w:r>
      <w:r w:rsidRPr="00EA59C0">
        <w:t>Consortium</w:t>
      </w:r>
      <w:r w:rsidR="00C026A6" w:rsidRPr="00EA59C0">
        <w:t xml:space="preserve"> </w:t>
      </w:r>
      <w:r w:rsidRPr="00EA59C0">
        <w:t>Member</w:t>
      </w:r>
      <w:r w:rsidR="00C026A6" w:rsidRPr="00EA59C0">
        <w:t xml:space="preserve"> </w:t>
      </w:r>
      <w:r w:rsidRPr="00EA59C0">
        <w:t>State(s)</w:t>
      </w:r>
      <w:r w:rsidR="00C026A6" w:rsidRPr="00EA59C0">
        <w:t xml:space="preserve"> </w:t>
      </w:r>
      <w:r w:rsidR="00E754D5" w:rsidRPr="00EA59C0">
        <w:t>(if</w:t>
      </w:r>
      <w:r w:rsidR="00C026A6" w:rsidRPr="00EA59C0">
        <w:t xml:space="preserve"> </w:t>
      </w:r>
      <w:r w:rsidR="00E754D5" w:rsidRPr="00EA59C0">
        <w:t>applicable)</w:t>
      </w:r>
    </w:p>
    <w:p w:rsidR="00CE268A" w:rsidRPr="00EA59C0" w:rsidRDefault="00CE268A" w:rsidP="00C072FA">
      <w:pPr>
        <w:pStyle w:val="PlainText"/>
        <w:numPr>
          <w:ilvl w:val="4"/>
          <w:numId w:val="17"/>
        </w:numPr>
        <w:spacing w:before="0" w:beforeAutospacing="0" w:after="0" w:afterAutospacing="0"/>
      </w:pPr>
      <w:r w:rsidRPr="00EA59C0">
        <w:t>Areas</w:t>
      </w:r>
      <w:r w:rsidR="00C026A6" w:rsidRPr="00EA59C0">
        <w:t xml:space="preserve"> </w:t>
      </w:r>
      <w:r w:rsidRPr="00EA59C0">
        <w:t>Served</w:t>
      </w:r>
      <w:r w:rsidR="00C026A6" w:rsidRPr="00EA59C0">
        <w:t xml:space="preserve"> </w:t>
      </w:r>
      <w:r w:rsidRPr="00EA59C0">
        <w:t>by</w:t>
      </w:r>
      <w:r w:rsidR="00C026A6" w:rsidRPr="00EA59C0">
        <w:t xml:space="preserve"> </w:t>
      </w:r>
      <w:r w:rsidRPr="00EA59C0">
        <w:t>Grant</w:t>
      </w:r>
      <w:r w:rsidR="00C026A6" w:rsidRPr="00EA59C0">
        <w:t xml:space="preserve"> </w:t>
      </w:r>
      <w:r w:rsidRPr="00EA59C0">
        <w:t>(by</w:t>
      </w:r>
      <w:r w:rsidR="00C026A6" w:rsidRPr="00EA59C0">
        <w:t xml:space="preserve"> </w:t>
      </w:r>
      <w:r w:rsidRPr="00EA59C0">
        <w:t>city,</w:t>
      </w:r>
      <w:r w:rsidR="00C026A6" w:rsidRPr="00EA59C0">
        <w:t xml:space="preserve"> </w:t>
      </w:r>
      <w:r w:rsidRPr="00EA59C0">
        <w:t>county,</w:t>
      </w:r>
      <w:r w:rsidR="00C026A6" w:rsidRPr="00EA59C0">
        <w:t xml:space="preserve"> </w:t>
      </w:r>
      <w:r w:rsidRPr="00EA59C0">
        <w:t>and</w:t>
      </w:r>
      <w:r w:rsidR="00C026A6" w:rsidRPr="00EA59C0">
        <w:t xml:space="preserve"> </w:t>
      </w:r>
      <w:r w:rsidRPr="00EA59C0">
        <w:t>state)</w:t>
      </w:r>
    </w:p>
    <w:p w:rsidR="00CE268A" w:rsidRPr="00EA59C0" w:rsidRDefault="00CE268A" w:rsidP="00C072FA">
      <w:pPr>
        <w:pStyle w:val="PlainText"/>
        <w:numPr>
          <w:ilvl w:val="4"/>
          <w:numId w:val="17"/>
        </w:numPr>
        <w:spacing w:before="0" w:beforeAutospacing="0" w:after="0" w:afterAutospacing="0"/>
      </w:pPr>
      <w:r w:rsidRPr="00EA59C0">
        <w:t>Total</w:t>
      </w:r>
      <w:r w:rsidR="00C026A6" w:rsidRPr="00EA59C0">
        <w:t xml:space="preserve"> </w:t>
      </w:r>
      <w:r w:rsidRPr="00EA59C0">
        <w:t>Funding</w:t>
      </w:r>
      <w:r w:rsidR="00C026A6" w:rsidRPr="00EA59C0">
        <w:t xml:space="preserve"> </w:t>
      </w:r>
      <w:r w:rsidRPr="00EA59C0">
        <w:t>Level</w:t>
      </w:r>
      <w:r w:rsidR="00C026A6" w:rsidRPr="00EA59C0">
        <w:t xml:space="preserve"> </w:t>
      </w:r>
      <w:r w:rsidRPr="00EA59C0">
        <w:t>Requested</w:t>
      </w:r>
    </w:p>
    <w:p w:rsidR="00CE268A" w:rsidRPr="00EA59C0" w:rsidRDefault="00CE268A" w:rsidP="00C072FA">
      <w:pPr>
        <w:pStyle w:val="PlainText"/>
        <w:numPr>
          <w:ilvl w:val="4"/>
          <w:numId w:val="17"/>
        </w:numPr>
        <w:spacing w:before="0" w:beforeAutospacing="0" w:after="0" w:afterAutospacing="0"/>
      </w:pPr>
      <w:r w:rsidRPr="00EA59C0">
        <w:t>Sub-Total</w:t>
      </w:r>
      <w:r w:rsidR="00C026A6" w:rsidRPr="00EA59C0">
        <w:t xml:space="preserve"> </w:t>
      </w:r>
      <w:r w:rsidRPr="00EA59C0">
        <w:t>Requested</w:t>
      </w:r>
      <w:r w:rsidR="00C026A6" w:rsidRPr="00EA59C0">
        <w:t xml:space="preserve"> </w:t>
      </w:r>
      <w:r w:rsidRPr="00EA59C0">
        <w:t>Funding</w:t>
      </w:r>
      <w:r w:rsidR="00C026A6" w:rsidRPr="00EA59C0">
        <w:t xml:space="preserve"> </w:t>
      </w:r>
      <w:r w:rsidRPr="00EA59C0">
        <w:t>Amount</w:t>
      </w:r>
      <w:r w:rsidR="00C026A6" w:rsidRPr="00EA59C0">
        <w:t xml:space="preserve"> </w:t>
      </w:r>
      <w:r w:rsidRPr="00EA59C0">
        <w:t>by</w:t>
      </w:r>
      <w:r w:rsidR="00C026A6" w:rsidRPr="00EA59C0">
        <w:t xml:space="preserve"> </w:t>
      </w:r>
      <w:r w:rsidRPr="00EA59C0">
        <w:t>Consortium</w:t>
      </w:r>
      <w:r w:rsidR="00C026A6" w:rsidRPr="00EA59C0">
        <w:t xml:space="preserve"> </w:t>
      </w:r>
      <w:r w:rsidRPr="00EA59C0">
        <w:t>Member</w:t>
      </w:r>
      <w:r w:rsidR="00C026A6" w:rsidRPr="00EA59C0">
        <w:t xml:space="preserve"> </w:t>
      </w:r>
      <w:r w:rsidRPr="00EA59C0">
        <w:t>(i</w:t>
      </w:r>
      <w:r w:rsidR="00F1494F" w:rsidRPr="00EA59C0">
        <w:t>f</w:t>
      </w:r>
      <w:r w:rsidR="00C026A6" w:rsidRPr="00EA59C0">
        <w:t xml:space="preserve"> </w:t>
      </w:r>
      <w:r w:rsidRPr="00EA59C0">
        <w:t>applicable)</w:t>
      </w:r>
    </w:p>
    <w:p w:rsidR="00CE268A" w:rsidRPr="00EA59C0" w:rsidRDefault="00CE268A" w:rsidP="00C072FA">
      <w:pPr>
        <w:pStyle w:val="PlainText"/>
        <w:numPr>
          <w:ilvl w:val="4"/>
          <w:numId w:val="17"/>
        </w:numPr>
        <w:spacing w:before="0" w:beforeAutospacing="0" w:after="0" w:afterAutospacing="0"/>
      </w:pPr>
      <w:r w:rsidRPr="00EA59C0">
        <w:t>Project</w:t>
      </w:r>
      <w:r w:rsidR="00C026A6" w:rsidRPr="00EA59C0">
        <w:t xml:space="preserve"> </w:t>
      </w:r>
      <w:r w:rsidRPr="00EA59C0">
        <w:t>Name</w:t>
      </w:r>
    </w:p>
    <w:p w:rsidR="00CE268A" w:rsidRPr="00EA59C0" w:rsidRDefault="00CE268A" w:rsidP="00C072FA">
      <w:pPr>
        <w:pStyle w:val="PlainText"/>
        <w:numPr>
          <w:ilvl w:val="4"/>
          <w:numId w:val="17"/>
        </w:numPr>
        <w:spacing w:before="0" w:beforeAutospacing="0" w:after="0" w:afterAutospacing="0"/>
      </w:pPr>
      <w:r w:rsidRPr="00EA59C0">
        <w:t>Project</w:t>
      </w:r>
      <w:r w:rsidR="00C026A6" w:rsidRPr="00EA59C0">
        <w:t xml:space="preserve"> </w:t>
      </w:r>
      <w:r w:rsidRPr="00EA59C0">
        <w:t>Description</w:t>
      </w:r>
      <w:r w:rsidR="00C026A6" w:rsidRPr="00EA59C0">
        <w:t xml:space="preserve"> </w:t>
      </w:r>
      <w:r w:rsidRPr="00EA59C0">
        <w:t>and</w:t>
      </w:r>
      <w:r w:rsidR="00C026A6" w:rsidRPr="00EA59C0">
        <w:t xml:space="preserve"> </w:t>
      </w:r>
      <w:r w:rsidRPr="00EA59C0">
        <w:t>List</w:t>
      </w:r>
      <w:r w:rsidR="00C026A6" w:rsidRPr="00EA59C0">
        <w:t xml:space="preserve"> </w:t>
      </w:r>
      <w:r w:rsidRPr="00EA59C0">
        <w:t>of</w:t>
      </w:r>
      <w:r w:rsidR="00C026A6" w:rsidRPr="00EA59C0">
        <w:t xml:space="preserve"> </w:t>
      </w:r>
      <w:r w:rsidRPr="00EA59C0">
        <w:t>Credentials</w:t>
      </w:r>
      <w:r w:rsidR="00C026A6" w:rsidRPr="00EA59C0">
        <w:t xml:space="preserve"> </w:t>
      </w:r>
      <w:r w:rsidRPr="00EA59C0">
        <w:t>to</w:t>
      </w:r>
      <w:r w:rsidR="00C026A6" w:rsidRPr="00EA59C0">
        <w:t xml:space="preserve"> </w:t>
      </w:r>
      <w:r w:rsidRPr="00EA59C0">
        <w:t>be</w:t>
      </w:r>
      <w:r w:rsidR="00C026A6" w:rsidRPr="00EA59C0">
        <w:t xml:space="preserve"> </w:t>
      </w:r>
      <w:r w:rsidRPr="00EA59C0">
        <w:t>Developed</w:t>
      </w:r>
      <w:r w:rsidR="00C026A6" w:rsidRPr="00EA59C0">
        <w:t xml:space="preserve"> </w:t>
      </w:r>
      <w:r w:rsidRPr="00EA59C0">
        <w:t>and</w:t>
      </w:r>
      <w:r w:rsidR="00C026A6" w:rsidRPr="00EA59C0">
        <w:t xml:space="preserve"> </w:t>
      </w:r>
      <w:r w:rsidRPr="00EA59C0">
        <w:t>Awarded</w:t>
      </w:r>
    </w:p>
    <w:p w:rsidR="00CE268A" w:rsidRPr="00EA59C0" w:rsidRDefault="00CE268A" w:rsidP="00C072FA">
      <w:pPr>
        <w:pStyle w:val="PlainText"/>
        <w:numPr>
          <w:ilvl w:val="4"/>
          <w:numId w:val="17"/>
        </w:numPr>
        <w:spacing w:before="0" w:beforeAutospacing="0" w:after="0" w:afterAutospacing="0"/>
      </w:pPr>
      <w:r w:rsidRPr="00EA59C0">
        <w:t>Populations</w:t>
      </w:r>
      <w:r w:rsidR="00C026A6" w:rsidRPr="00EA59C0">
        <w:t xml:space="preserve"> </w:t>
      </w:r>
      <w:r w:rsidRPr="00EA59C0">
        <w:t>to</w:t>
      </w:r>
      <w:r w:rsidR="00C026A6" w:rsidRPr="00EA59C0">
        <w:t xml:space="preserve"> </w:t>
      </w:r>
      <w:r w:rsidRPr="00EA59C0">
        <w:t>be</w:t>
      </w:r>
      <w:r w:rsidR="00C026A6" w:rsidRPr="00EA59C0">
        <w:t xml:space="preserve"> </w:t>
      </w:r>
      <w:r w:rsidRPr="00EA59C0">
        <w:t>Served</w:t>
      </w:r>
    </w:p>
    <w:p w:rsidR="00CE268A" w:rsidRPr="00EA59C0" w:rsidRDefault="00CE268A" w:rsidP="00C072FA">
      <w:pPr>
        <w:pStyle w:val="PlainText"/>
        <w:numPr>
          <w:ilvl w:val="4"/>
          <w:numId w:val="17"/>
        </w:numPr>
        <w:spacing w:before="0" w:beforeAutospacing="0" w:after="0" w:afterAutospacing="0"/>
      </w:pPr>
      <w:r w:rsidRPr="00EA59C0">
        <w:t>Targeted</w:t>
      </w:r>
      <w:r w:rsidR="00C026A6" w:rsidRPr="00EA59C0">
        <w:t xml:space="preserve"> </w:t>
      </w:r>
      <w:r w:rsidRPr="00EA59C0">
        <w:t>Industry(s)</w:t>
      </w:r>
    </w:p>
    <w:p w:rsidR="00CE268A" w:rsidRPr="00EA59C0" w:rsidRDefault="00CE268A" w:rsidP="00C072FA">
      <w:pPr>
        <w:pStyle w:val="PlainText"/>
        <w:numPr>
          <w:ilvl w:val="4"/>
          <w:numId w:val="17"/>
        </w:numPr>
        <w:spacing w:before="0" w:beforeAutospacing="0" w:after="0" w:afterAutospacing="0"/>
      </w:pPr>
      <w:r w:rsidRPr="00EA59C0">
        <w:t>Employer</w:t>
      </w:r>
      <w:r w:rsidR="00C026A6" w:rsidRPr="00EA59C0">
        <w:t xml:space="preserve"> </w:t>
      </w:r>
      <w:r w:rsidRPr="00EA59C0">
        <w:t>Partner(s)</w:t>
      </w:r>
    </w:p>
    <w:p w:rsidR="00CE268A" w:rsidRPr="00EA59C0" w:rsidRDefault="00CE268A" w:rsidP="00C072FA">
      <w:pPr>
        <w:pStyle w:val="PlainText"/>
        <w:numPr>
          <w:ilvl w:val="4"/>
          <w:numId w:val="17"/>
        </w:numPr>
        <w:spacing w:before="0" w:beforeAutospacing="0" w:after="0" w:afterAutospacing="0"/>
      </w:pPr>
      <w:r w:rsidRPr="00EA59C0">
        <w:t>Public</w:t>
      </w:r>
      <w:r w:rsidR="00C026A6" w:rsidRPr="00EA59C0">
        <w:t xml:space="preserve"> </w:t>
      </w:r>
      <w:r w:rsidRPr="00EA59C0">
        <w:t>Workforce</w:t>
      </w:r>
      <w:r w:rsidR="00C026A6" w:rsidRPr="00EA59C0">
        <w:t xml:space="preserve"> </w:t>
      </w:r>
      <w:r w:rsidRPr="00EA59C0">
        <w:t>System</w:t>
      </w:r>
      <w:r w:rsidR="00C026A6" w:rsidRPr="00EA59C0">
        <w:t xml:space="preserve"> </w:t>
      </w:r>
      <w:r w:rsidRPr="00EA59C0">
        <w:t>Partner(s)</w:t>
      </w:r>
    </w:p>
    <w:p w:rsidR="00CE268A" w:rsidRPr="00EA59C0" w:rsidRDefault="00CE268A" w:rsidP="00C072FA">
      <w:pPr>
        <w:pStyle w:val="PlainText"/>
        <w:numPr>
          <w:ilvl w:val="4"/>
          <w:numId w:val="17"/>
        </w:numPr>
        <w:spacing w:before="0" w:beforeAutospacing="0" w:after="0" w:afterAutospacing="0"/>
      </w:pPr>
      <w:r w:rsidRPr="00EA59C0">
        <w:t>Other</w:t>
      </w:r>
      <w:r w:rsidR="00C026A6" w:rsidRPr="00EA59C0">
        <w:t xml:space="preserve"> </w:t>
      </w:r>
      <w:r w:rsidRPr="00EA59C0">
        <w:t>Key</w:t>
      </w:r>
      <w:r w:rsidR="00C026A6" w:rsidRPr="00EA59C0">
        <w:t xml:space="preserve"> </w:t>
      </w:r>
      <w:r w:rsidRPr="00EA59C0">
        <w:t>Partner(s)</w:t>
      </w:r>
    </w:p>
    <w:p w:rsidR="00CE268A" w:rsidRPr="00EA59C0" w:rsidRDefault="00CE268A" w:rsidP="00C072FA">
      <w:pPr>
        <w:pStyle w:val="PlainText"/>
        <w:numPr>
          <w:ilvl w:val="4"/>
          <w:numId w:val="17"/>
        </w:numPr>
        <w:spacing w:before="0" w:beforeAutospacing="0" w:after="0" w:afterAutospacing="0"/>
      </w:pPr>
      <w:r w:rsidRPr="00EA59C0">
        <w:t>Public</w:t>
      </w:r>
      <w:r w:rsidR="00C026A6" w:rsidRPr="00EA59C0">
        <w:t xml:space="preserve"> </w:t>
      </w:r>
      <w:r w:rsidRPr="00EA59C0">
        <w:t>Contact</w:t>
      </w:r>
      <w:r w:rsidR="00C026A6" w:rsidRPr="00EA59C0">
        <w:t xml:space="preserve"> </w:t>
      </w:r>
      <w:r w:rsidRPr="00EA59C0">
        <w:t>Information</w:t>
      </w:r>
    </w:p>
    <w:p w:rsidR="00CE268A" w:rsidRPr="00EA59C0" w:rsidRDefault="00CE268A" w:rsidP="00C072FA">
      <w:pPr>
        <w:pStyle w:val="PlainText"/>
        <w:numPr>
          <w:ilvl w:val="4"/>
          <w:numId w:val="17"/>
        </w:numPr>
        <w:spacing w:before="0" w:beforeAutospacing="0" w:after="0" w:afterAutospacing="0"/>
      </w:pPr>
      <w:r w:rsidRPr="00EA59C0">
        <w:t>Percentage</w:t>
      </w:r>
      <w:r w:rsidR="00C026A6" w:rsidRPr="00EA59C0">
        <w:t xml:space="preserve"> </w:t>
      </w:r>
      <w:r w:rsidRPr="00EA59C0">
        <w:t>of</w:t>
      </w:r>
      <w:r w:rsidR="00C026A6" w:rsidRPr="00EA59C0">
        <w:t xml:space="preserve"> </w:t>
      </w:r>
      <w:r w:rsidRPr="00EA59C0">
        <w:t>OER</w:t>
      </w:r>
      <w:r w:rsidR="00C026A6" w:rsidRPr="00EA59C0">
        <w:t xml:space="preserve"> </w:t>
      </w:r>
      <w:r w:rsidRPr="00EA59C0">
        <w:t>Program</w:t>
      </w:r>
      <w:r w:rsidR="00C026A6" w:rsidRPr="00EA59C0">
        <w:t xml:space="preserve"> </w:t>
      </w:r>
      <w:r w:rsidRPr="00EA59C0">
        <w:t>Materials</w:t>
      </w:r>
      <w:r w:rsidR="00C026A6" w:rsidRPr="00EA59C0">
        <w:t xml:space="preserve"> </w:t>
      </w:r>
      <w:r w:rsidRPr="00EA59C0">
        <w:t>Developed</w:t>
      </w:r>
      <w:r w:rsidR="00C026A6" w:rsidRPr="00EA59C0">
        <w:t xml:space="preserve"> </w:t>
      </w:r>
      <w:r w:rsidRPr="00EA59C0">
        <w:t>vs.</w:t>
      </w:r>
      <w:r w:rsidR="00C026A6" w:rsidRPr="00EA59C0">
        <w:t xml:space="preserve"> </w:t>
      </w:r>
      <w:r w:rsidRPr="00EA59C0">
        <w:t>Percentage</w:t>
      </w:r>
      <w:r w:rsidR="00C026A6" w:rsidRPr="00EA59C0">
        <w:t xml:space="preserve"> </w:t>
      </w:r>
      <w:r w:rsidRPr="00EA59C0">
        <w:t>of</w:t>
      </w:r>
      <w:r w:rsidR="00C026A6" w:rsidRPr="00EA59C0">
        <w:t xml:space="preserve"> </w:t>
      </w:r>
      <w:r w:rsidRPr="00EA59C0">
        <w:t>Licensed</w:t>
      </w:r>
      <w:r w:rsidR="00C026A6" w:rsidRPr="00EA59C0">
        <w:t xml:space="preserve"> </w:t>
      </w:r>
      <w:r w:rsidRPr="00EA59C0">
        <w:t>or</w:t>
      </w:r>
      <w:r w:rsidR="00C026A6" w:rsidRPr="00EA59C0">
        <w:t xml:space="preserve"> </w:t>
      </w:r>
      <w:r w:rsidRPr="00EA59C0">
        <w:t>Purchased</w:t>
      </w:r>
      <w:r w:rsidR="00C026A6" w:rsidRPr="00EA59C0">
        <w:t xml:space="preserve"> </w:t>
      </w:r>
      <w:r w:rsidRPr="00EA59C0">
        <w:t>Program</w:t>
      </w:r>
      <w:r w:rsidR="00C026A6" w:rsidRPr="00EA59C0">
        <w:t xml:space="preserve"> </w:t>
      </w:r>
      <w:r w:rsidRPr="00EA59C0">
        <w:t>Materials</w:t>
      </w:r>
    </w:p>
    <w:p w:rsidR="00CE268A" w:rsidRPr="00EA59C0" w:rsidRDefault="00CE268A" w:rsidP="00C072FA">
      <w:pPr>
        <w:pStyle w:val="PlainText"/>
        <w:numPr>
          <w:ilvl w:val="4"/>
          <w:numId w:val="17"/>
        </w:numPr>
        <w:spacing w:before="0" w:beforeAutospacing="0" w:after="0" w:afterAutospacing="0"/>
      </w:pPr>
      <w:r w:rsidRPr="00EA59C0">
        <w:t>Data</w:t>
      </w:r>
      <w:r w:rsidR="00C026A6" w:rsidRPr="00EA59C0">
        <w:t xml:space="preserve"> </w:t>
      </w:r>
      <w:r w:rsidRPr="00EA59C0">
        <w:t>Tags</w:t>
      </w:r>
      <w:r w:rsidR="00C026A6" w:rsidRPr="00EA59C0">
        <w:t xml:space="preserve">  </w:t>
      </w:r>
    </w:p>
    <w:p w:rsidR="000813F5" w:rsidRPr="00EA59C0" w:rsidRDefault="00CE268A" w:rsidP="00835C43">
      <w:pPr>
        <w:pStyle w:val="PlainText"/>
        <w:ind w:left="1440"/>
      </w:pPr>
      <w:r w:rsidRPr="00EA59C0">
        <w:t>The</w:t>
      </w:r>
      <w:r w:rsidR="00C026A6" w:rsidRPr="00EA59C0">
        <w:t xml:space="preserve"> </w:t>
      </w:r>
      <w:r w:rsidRPr="00EA59C0">
        <w:t>Abstract</w:t>
      </w:r>
      <w:r w:rsidR="00C026A6" w:rsidRPr="00EA59C0">
        <w:t xml:space="preserve"> </w:t>
      </w:r>
      <w:r w:rsidRPr="00EA59C0">
        <w:t>is</w:t>
      </w:r>
      <w:r w:rsidR="00C026A6" w:rsidRPr="00EA59C0">
        <w:t xml:space="preserve"> </w:t>
      </w:r>
      <w:r w:rsidRPr="00EA59C0">
        <w:t>limited</w:t>
      </w:r>
      <w:r w:rsidR="00C026A6" w:rsidRPr="00EA59C0">
        <w:t xml:space="preserve"> </w:t>
      </w:r>
      <w:r w:rsidRPr="00EA59C0">
        <w:t>to</w:t>
      </w:r>
      <w:r w:rsidR="00C026A6" w:rsidRPr="00EA59C0">
        <w:t xml:space="preserve"> </w:t>
      </w:r>
      <w:r w:rsidRPr="00EA59C0">
        <w:t>two-page</w:t>
      </w:r>
      <w:r w:rsidR="00C026A6" w:rsidRPr="00EA59C0">
        <w:t xml:space="preserve"> </w:t>
      </w:r>
      <w:r w:rsidRPr="00EA59C0">
        <w:t>double-spaced</w:t>
      </w:r>
      <w:r w:rsidR="00C026A6" w:rsidRPr="00EA59C0">
        <w:t xml:space="preserve"> </w:t>
      </w:r>
      <w:r w:rsidRPr="00EA59C0">
        <w:t>single</w:t>
      </w:r>
      <w:r w:rsidR="00C026A6" w:rsidRPr="00EA59C0">
        <w:t xml:space="preserve"> </w:t>
      </w:r>
      <w:r w:rsidRPr="00EA59C0">
        <w:t>sided</w:t>
      </w:r>
      <w:r w:rsidR="00C026A6" w:rsidRPr="00EA59C0">
        <w:t xml:space="preserve"> </w:t>
      </w:r>
      <w:r w:rsidRPr="00EA59C0">
        <w:t>8.5x11</w:t>
      </w:r>
      <w:r w:rsidR="00C026A6" w:rsidRPr="00EA59C0">
        <w:t xml:space="preserve"> </w:t>
      </w:r>
      <w:r w:rsidRPr="00EA59C0">
        <w:t>inch</w:t>
      </w:r>
      <w:r w:rsidR="00C026A6" w:rsidRPr="00EA59C0">
        <w:t xml:space="preserve"> </w:t>
      </w:r>
      <w:r w:rsidRPr="00EA59C0">
        <w:t>pages</w:t>
      </w:r>
      <w:r w:rsidR="00C026A6" w:rsidRPr="00EA59C0">
        <w:t xml:space="preserve"> </w:t>
      </w:r>
      <w:r w:rsidRPr="00EA59C0">
        <w:t>with</w:t>
      </w:r>
      <w:r w:rsidR="00C026A6" w:rsidRPr="00EA59C0">
        <w:t xml:space="preserve"> </w:t>
      </w:r>
      <w:r w:rsidRPr="00EA59C0">
        <w:t>12</w:t>
      </w:r>
      <w:r w:rsidR="00C026A6" w:rsidRPr="00EA59C0">
        <w:t xml:space="preserve"> </w:t>
      </w:r>
      <w:r w:rsidRPr="00EA59C0">
        <w:t>point</w:t>
      </w:r>
      <w:r w:rsidR="00C026A6" w:rsidRPr="00EA59C0">
        <w:t xml:space="preserve"> </w:t>
      </w:r>
      <w:r w:rsidRPr="00EA59C0">
        <w:t>text</w:t>
      </w:r>
      <w:r w:rsidR="00C026A6" w:rsidRPr="00EA59C0">
        <w:t xml:space="preserve"> </w:t>
      </w:r>
      <w:r w:rsidRPr="00EA59C0">
        <w:t>font</w:t>
      </w:r>
      <w:r w:rsidR="00C026A6" w:rsidRPr="00EA59C0">
        <w:t xml:space="preserve"> </w:t>
      </w:r>
      <w:r w:rsidRPr="00EA59C0">
        <w:t>and</w:t>
      </w:r>
      <w:r w:rsidR="00C026A6" w:rsidRPr="00EA59C0">
        <w:t xml:space="preserve"> </w:t>
      </w:r>
      <w:r w:rsidRPr="00EA59C0">
        <w:t>1</w:t>
      </w:r>
      <w:r w:rsidR="00C026A6" w:rsidRPr="00EA59C0">
        <w:t xml:space="preserve"> </w:t>
      </w:r>
      <w:r w:rsidRPr="00EA59C0">
        <w:t>inch</w:t>
      </w:r>
      <w:r w:rsidR="00C026A6" w:rsidRPr="00EA59C0">
        <w:t xml:space="preserve"> </w:t>
      </w:r>
      <w:r w:rsidRPr="00EA59C0">
        <w:t>margins</w:t>
      </w:r>
      <w:r w:rsidR="00C026A6" w:rsidRPr="00EA59C0">
        <w:t xml:space="preserve"> </w:t>
      </w:r>
      <w:r w:rsidRPr="00EA59C0">
        <w:t>A</w:t>
      </w:r>
      <w:r w:rsidR="00C026A6" w:rsidRPr="00EA59C0">
        <w:t xml:space="preserve"> </w:t>
      </w:r>
      <w:r w:rsidRPr="00EA59C0">
        <w:t>recommended</w:t>
      </w:r>
      <w:r w:rsidR="00C026A6" w:rsidRPr="00EA59C0">
        <w:t xml:space="preserve"> </w:t>
      </w:r>
      <w:r w:rsidRPr="00EA59C0">
        <w:t>format</w:t>
      </w:r>
      <w:r w:rsidR="00C026A6" w:rsidRPr="00EA59C0">
        <w:t xml:space="preserve"> </w:t>
      </w:r>
      <w:r w:rsidRPr="00EA59C0">
        <w:t>for</w:t>
      </w:r>
      <w:r w:rsidR="00C026A6" w:rsidRPr="00EA59C0">
        <w:t xml:space="preserve"> </w:t>
      </w:r>
      <w:r w:rsidRPr="00EA59C0">
        <w:t>the</w:t>
      </w:r>
      <w:r w:rsidR="00C026A6" w:rsidRPr="00EA59C0">
        <w:t xml:space="preserve"> </w:t>
      </w:r>
      <w:r w:rsidRPr="00EA59C0">
        <w:t>Abstract</w:t>
      </w:r>
      <w:r w:rsidR="00C026A6" w:rsidRPr="00EA59C0">
        <w:t xml:space="preserve"> </w:t>
      </w:r>
      <w:r w:rsidRPr="00EA59C0">
        <w:t>can</w:t>
      </w:r>
      <w:r w:rsidR="00C026A6" w:rsidRPr="00EA59C0">
        <w:t xml:space="preserve"> </w:t>
      </w:r>
      <w:r w:rsidRPr="00EA59C0">
        <w:t>be</w:t>
      </w:r>
      <w:r w:rsidR="00C026A6" w:rsidRPr="00EA59C0">
        <w:t xml:space="preserve"> </w:t>
      </w:r>
      <w:r w:rsidRPr="00EA59C0">
        <w:t>found</w:t>
      </w:r>
      <w:r w:rsidR="00C026A6" w:rsidRPr="00EA59C0">
        <w:t xml:space="preserve"> </w:t>
      </w:r>
      <w:r w:rsidRPr="00EA59C0">
        <w:t>in</w:t>
      </w:r>
      <w:r w:rsidR="00C026A6" w:rsidRPr="00EA59C0">
        <w:t xml:space="preserve"> </w:t>
      </w:r>
      <w:r w:rsidRPr="00EA59C0">
        <w:t>Appendix</w:t>
      </w:r>
      <w:r w:rsidR="00C026A6" w:rsidRPr="00EA59C0">
        <w:t xml:space="preserve"> </w:t>
      </w:r>
      <w:r w:rsidR="00495FBC" w:rsidRPr="00EA59C0">
        <w:t>M</w:t>
      </w:r>
      <w:r w:rsidRPr="00EA59C0">
        <w:t>.</w:t>
      </w:r>
      <w:r w:rsidR="00C026A6" w:rsidRPr="00EA59C0">
        <w:t xml:space="preserve">  </w:t>
      </w:r>
      <w:r w:rsidR="007470AB" w:rsidRPr="00EA59C0">
        <w:t>If</w:t>
      </w:r>
      <w:r w:rsidR="00C026A6" w:rsidRPr="00EA59C0">
        <w:t xml:space="preserve"> </w:t>
      </w:r>
      <w:r w:rsidR="007470AB" w:rsidRPr="00EA59C0">
        <w:t>using</w:t>
      </w:r>
      <w:r w:rsidR="00C026A6" w:rsidRPr="00EA59C0">
        <w:t xml:space="preserve"> </w:t>
      </w:r>
      <w:r w:rsidR="007470AB" w:rsidRPr="00EA59C0">
        <w:t>grants.gov</w:t>
      </w:r>
      <w:r w:rsidR="00C026A6" w:rsidRPr="00EA59C0">
        <w:t xml:space="preserve"> </w:t>
      </w:r>
      <w:r w:rsidR="007470AB" w:rsidRPr="00EA59C0">
        <w:t>for</w:t>
      </w:r>
      <w:r w:rsidR="00C026A6" w:rsidRPr="00EA59C0">
        <w:t xml:space="preserve"> </w:t>
      </w:r>
      <w:r w:rsidR="007470AB" w:rsidRPr="00EA59C0">
        <w:t>submission,</w:t>
      </w:r>
      <w:r w:rsidR="00C026A6" w:rsidRPr="00EA59C0">
        <w:t xml:space="preserve"> </w:t>
      </w:r>
      <w:r w:rsidR="007470AB" w:rsidRPr="00EA59C0">
        <w:t>this</w:t>
      </w:r>
      <w:r w:rsidR="00C026A6" w:rsidRPr="00EA59C0">
        <w:t xml:space="preserve"> </w:t>
      </w:r>
      <w:r w:rsidR="007470AB" w:rsidRPr="00EA59C0">
        <w:t>document</w:t>
      </w:r>
      <w:r w:rsidR="00C026A6" w:rsidRPr="00EA59C0">
        <w:t xml:space="preserve"> </w:t>
      </w:r>
      <w:r w:rsidR="007470AB" w:rsidRPr="00EA59C0">
        <w:t>must</w:t>
      </w:r>
      <w:r w:rsidR="00C026A6" w:rsidRPr="00EA59C0">
        <w:t xml:space="preserve"> </w:t>
      </w:r>
      <w:r w:rsidR="007470AB" w:rsidRPr="00EA59C0">
        <w:t>be</w:t>
      </w:r>
      <w:r w:rsidR="00C026A6" w:rsidRPr="00EA59C0">
        <w:t xml:space="preserve"> </w:t>
      </w:r>
      <w:r w:rsidR="007470AB" w:rsidRPr="00EA59C0">
        <w:t>attached</w:t>
      </w:r>
      <w:r w:rsidR="00C026A6" w:rsidRPr="00EA59C0">
        <w:t xml:space="preserve"> </w:t>
      </w:r>
      <w:r w:rsidR="007470AB" w:rsidRPr="00EA59C0">
        <w:t>under</w:t>
      </w:r>
      <w:r w:rsidR="00C026A6" w:rsidRPr="00EA59C0">
        <w:t xml:space="preserve"> </w:t>
      </w:r>
      <w:r w:rsidR="007470AB" w:rsidRPr="00EA59C0">
        <w:t>the</w:t>
      </w:r>
      <w:r w:rsidR="00C026A6" w:rsidRPr="00EA59C0">
        <w:t xml:space="preserve"> </w:t>
      </w:r>
      <w:r w:rsidR="007470AB" w:rsidRPr="00EA59C0">
        <w:t>Mandatory</w:t>
      </w:r>
      <w:r w:rsidR="00C026A6" w:rsidRPr="00EA59C0">
        <w:t xml:space="preserve"> </w:t>
      </w:r>
      <w:r w:rsidR="007470AB" w:rsidRPr="00EA59C0">
        <w:t>Other</w:t>
      </w:r>
      <w:r w:rsidR="00C026A6" w:rsidRPr="00EA59C0">
        <w:t xml:space="preserve"> </w:t>
      </w:r>
      <w:r w:rsidR="007470AB" w:rsidRPr="00EA59C0">
        <w:t>Attachment</w:t>
      </w:r>
      <w:r w:rsidR="00C026A6" w:rsidRPr="00EA59C0">
        <w:t xml:space="preserve"> </w:t>
      </w:r>
      <w:r w:rsidR="007470AB" w:rsidRPr="00EA59C0">
        <w:t>section</w:t>
      </w:r>
      <w:r w:rsidR="00C026A6" w:rsidRPr="00EA59C0">
        <w:t xml:space="preserve"> </w:t>
      </w:r>
      <w:r w:rsidR="007470AB" w:rsidRPr="00EA59C0">
        <w:t>and</w:t>
      </w:r>
      <w:r w:rsidR="00C026A6" w:rsidRPr="00EA59C0">
        <w:t xml:space="preserve"> </w:t>
      </w:r>
      <w:r w:rsidR="007470AB" w:rsidRPr="00EA59C0">
        <w:t>labeled</w:t>
      </w:r>
      <w:r w:rsidR="00C026A6" w:rsidRPr="00EA59C0">
        <w:t xml:space="preserve"> </w:t>
      </w:r>
      <w:r w:rsidR="002C67CF" w:rsidRPr="00EA59C0">
        <w:t>“A</w:t>
      </w:r>
      <w:r w:rsidR="007470AB" w:rsidRPr="00EA59C0">
        <w:t>bstract.</w:t>
      </w:r>
      <w:r w:rsidR="002C67CF" w:rsidRPr="00EA59C0">
        <w:t>”</w:t>
      </w:r>
      <w:r w:rsidR="00C026A6" w:rsidRPr="00EA59C0">
        <w:t xml:space="preserve">  </w:t>
      </w:r>
      <w:r w:rsidR="002C67CF" w:rsidRPr="00EA59C0">
        <w:t>Please</w:t>
      </w:r>
      <w:r w:rsidR="00C026A6" w:rsidRPr="00EA59C0">
        <w:t xml:space="preserve"> </w:t>
      </w:r>
      <w:r w:rsidR="002C67CF" w:rsidRPr="00EA59C0">
        <w:t>note</w:t>
      </w:r>
      <w:r w:rsidR="00C026A6" w:rsidRPr="00EA59C0">
        <w:t xml:space="preserve"> </w:t>
      </w:r>
      <w:r w:rsidR="002C67CF" w:rsidRPr="00EA59C0">
        <w:t>that</w:t>
      </w:r>
      <w:r w:rsidR="00C026A6" w:rsidRPr="00EA59C0">
        <w:t xml:space="preserve"> </w:t>
      </w:r>
      <w:r w:rsidR="002C67CF" w:rsidRPr="00EA59C0">
        <w:t>applicants</w:t>
      </w:r>
      <w:r w:rsidR="00C026A6" w:rsidRPr="00EA59C0">
        <w:t xml:space="preserve"> </w:t>
      </w:r>
      <w:r w:rsidR="002C67CF" w:rsidRPr="00EA59C0">
        <w:t>will</w:t>
      </w:r>
      <w:r w:rsidR="00C026A6" w:rsidRPr="00EA59C0">
        <w:t xml:space="preserve"> </w:t>
      </w:r>
      <w:r w:rsidR="002C67CF" w:rsidRPr="00EA59C0">
        <w:t>be</w:t>
      </w:r>
      <w:r w:rsidR="00C026A6" w:rsidRPr="00EA59C0">
        <w:t xml:space="preserve"> </w:t>
      </w:r>
      <w:r w:rsidR="002C67CF" w:rsidRPr="00EA59C0">
        <w:t>held</w:t>
      </w:r>
      <w:r w:rsidR="00C026A6" w:rsidRPr="00EA59C0">
        <w:t xml:space="preserve"> </w:t>
      </w:r>
      <w:r w:rsidR="002C67CF" w:rsidRPr="00EA59C0">
        <w:t>to</w:t>
      </w:r>
      <w:r w:rsidR="00C026A6" w:rsidRPr="00EA59C0">
        <w:t xml:space="preserve"> </w:t>
      </w:r>
      <w:r w:rsidR="002C67CF" w:rsidRPr="00EA59C0">
        <w:t>outcomes</w:t>
      </w:r>
      <w:r w:rsidR="00C026A6" w:rsidRPr="00EA59C0">
        <w:t xml:space="preserve"> </w:t>
      </w:r>
      <w:r w:rsidR="002C67CF" w:rsidRPr="00EA59C0">
        <w:t>provided</w:t>
      </w:r>
      <w:r w:rsidR="00C026A6" w:rsidRPr="00EA59C0">
        <w:t xml:space="preserve"> </w:t>
      </w:r>
      <w:r w:rsidR="002C67CF" w:rsidRPr="00EA59C0">
        <w:t>and</w:t>
      </w:r>
      <w:r w:rsidR="00C026A6" w:rsidRPr="00EA59C0">
        <w:t xml:space="preserve"> </w:t>
      </w:r>
      <w:r w:rsidR="002C67CF" w:rsidRPr="00EA59C0">
        <w:t>failure</w:t>
      </w:r>
      <w:r w:rsidR="00C026A6" w:rsidRPr="00EA59C0">
        <w:t xml:space="preserve"> </w:t>
      </w:r>
      <w:r w:rsidR="002C67CF" w:rsidRPr="00EA59C0">
        <w:t>to</w:t>
      </w:r>
      <w:r w:rsidR="00C026A6" w:rsidRPr="00EA59C0">
        <w:t xml:space="preserve"> </w:t>
      </w:r>
      <w:r w:rsidR="002C67CF" w:rsidRPr="00EA59C0">
        <w:t>meet</w:t>
      </w:r>
      <w:r w:rsidR="00C026A6" w:rsidRPr="00EA59C0">
        <w:t xml:space="preserve"> </w:t>
      </w:r>
      <w:r w:rsidR="002C67CF" w:rsidRPr="00EA59C0">
        <w:t>those</w:t>
      </w:r>
      <w:r w:rsidR="00C026A6" w:rsidRPr="00EA59C0">
        <w:t xml:space="preserve"> </w:t>
      </w:r>
      <w:r w:rsidR="002C67CF" w:rsidRPr="00EA59C0">
        <w:t>outcomes</w:t>
      </w:r>
      <w:r w:rsidR="00C026A6" w:rsidRPr="00EA59C0">
        <w:t xml:space="preserve"> </w:t>
      </w:r>
      <w:r w:rsidR="002C67CF" w:rsidRPr="00EA59C0">
        <w:t>may</w:t>
      </w:r>
      <w:r w:rsidR="00C026A6" w:rsidRPr="00EA59C0">
        <w:t xml:space="preserve"> </w:t>
      </w:r>
      <w:r w:rsidR="002C67CF" w:rsidRPr="00EA59C0">
        <w:t>have</w:t>
      </w:r>
      <w:r w:rsidR="00C026A6" w:rsidRPr="00EA59C0">
        <w:t xml:space="preserve"> </w:t>
      </w:r>
      <w:r w:rsidR="002C67CF" w:rsidRPr="00EA59C0">
        <w:t>a</w:t>
      </w:r>
      <w:r w:rsidR="00C026A6" w:rsidRPr="00EA59C0">
        <w:t xml:space="preserve"> </w:t>
      </w:r>
      <w:r w:rsidR="002C67CF" w:rsidRPr="00EA59C0">
        <w:t>significant</w:t>
      </w:r>
      <w:r w:rsidR="00C026A6" w:rsidRPr="00EA59C0">
        <w:t xml:space="preserve"> </w:t>
      </w:r>
      <w:r w:rsidR="002C67CF" w:rsidRPr="00EA59C0">
        <w:t>impact</w:t>
      </w:r>
      <w:r w:rsidR="00C026A6" w:rsidRPr="00EA59C0">
        <w:t xml:space="preserve"> </w:t>
      </w:r>
      <w:r w:rsidR="002C67CF" w:rsidRPr="00EA59C0">
        <w:t>on</w:t>
      </w:r>
      <w:r w:rsidR="00C026A6" w:rsidRPr="00EA59C0">
        <w:t xml:space="preserve"> </w:t>
      </w:r>
      <w:r w:rsidR="002C67CF" w:rsidRPr="00EA59C0">
        <w:t>future</w:t>
      </w:r>
      <w:r w:rsidR="00C026A6" w:rsidRPr="00EA59C0">
        <w:t xml:space="preserve"> </w:t>
      </w:r>
      <w:r w:rsidR="002C67CF" w:rsidRPr="00EA59C0">
        <w:t>grants</w:t>
      </w:r>
      <w:r w:rsidR="00C026A6" w:rsidRPr="00EA59C0">
        <w:t xml:space="preserve"> </w:t>
      </w:r>
      <w:r w:rsidR="002C67CF" w:rsidRPr="00EA59C0">
        <w:t>with</w:t>
      </w:r>
      <w:r w:rsidR="00C026A6" w:rsidRPr="00EA59C0">
        <w:t xml:space="preserve"> </w:t>
      </w:r>
      <w:r w:rsidR="002C67CF" w:rsidRPr="00EA59C0">
        <w:t>ETA.</w:t>
      </w:r>
      <w:r w:rsidR="00C026A6" w:rsidRPr="00EA59C0">
        <w:t xml:space="preserve"> </w:t>
      </w:r>
    </w:p>
    <w:p w:rsidR="00DC6217" w:rsidRPr="00EA59C0" w:rsidRDefault="000813F5" w:rsidP="00835C43">
      <w:pPr>
        <w:pStyle w:val="PlainText"/>
        <w:ind w:left="1440"/>
      </w:pPr>
      <w:r w:rsidRPr="00EA59C0">
        <w:t>For</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the</w:t>
      </w:r>
      <w:r w:rsidR="00C026A6" w:rsidRPr="00EA59C0">
        <w:t xml:space="preserve"> </w:t>
      </w:r>
      <w:r w:rsidRPr="00EA59C0">
        <w:t>abstract</w:t>
      </w:r>
      <w:r w:rsidR="00C026A6" w:rsidRPr="00EA59C0">
        <w:t xml:space="preserve"> </w:t>
      </w:r>
      <w:r w:rsidRPr="00EA59C0">
        <w:t>must</w:t>
      </w:r>
      <w:r w:rsidR="00C026A6" w:rsidRPr="00EA59C0">
        <w:t xml:space="preserve"> </w:t>
      </w:r>
      <w:r w:rsidRPr="00EA59C0">
        <w:t>clearly</w:t>
      </w:r>
      <w:r w:rsidR="00C026A6" w:rsidRPr="00EA59C0">
        <w:t xml:space="preserve"> </w:t>
      </w:r>
      <w:r w:rsidRPr="00EA59C0">
        <w:t>identify</w:t>
      </w:r>
      <w:r w:rsidR="00C026A6" w:rsidRPr="00EA59C0">
        <w:t xml:space="preserve"> </w:t>
      </w:r>
      <w:r w:rsidRPr="00EA59C0">
        <w:t>the</w:t>
      </w:r>
      <w:r w:rsidR="00C026A6" w:rsidRPr="00EA59C0">
        <w:t xml:space="preserve"> </w:t>
      </w:r>
      <w:r w:rsidRPr="00EA59C0">
        <w:t>total</w:t>
      </w:r>
      <w:r w:rsidR="00C026A6" w:rsidRPr="00EA59C0">
        <w:t xml:space="preserve"> </w:t>
      </w:r>
      <w:r w:rsidRPr="00EA59C0">
        <w:t>consortium</w:t>
      </w:r>
      <w:r w:rsidR="00C026A6" w:rsidRPr="00EA59C0">
        <w:t xml:space="preserve"> </w:t>
      </w:r>
      <w:r w:rsidRPr="00EA59C0">
        <w:t>award</w:t>
      </w:r>
      <w:r w:rsidR="00C026A6" w:rsidRPr="00EA59C0">
        <w:t xml:space="preserve"> </w:t>
      </w:r>
      <w:r w:rsidRPr="00EA59C0">
        <w:t>amount,</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identify</w:t>
      </w:r>
      <w:r w:rsidR="00C026A6" w:rsidRPr="00EA59C0">
        <w:t xml:space="preserve"> </w:t>
      </w:r>
      <w:r w:rsidRPr="00EA59C0">
        <w:t>all</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and</w:t>
      </w:r>
      <w:r w:rsidR="00C026A6" w:rsidRPr="00EA59C0">
        <w:t xml:space="preserve"> </w:t>
      </w:r>
      <w:r w:rsidRPr="00EA59C0">
        <w:t>the</w:t>
      </w:r>
      <w:r w:rsidR="00C026A6" w:rsidRPr="00EA59C0">
        <w:t xml:space="preserve"> </w:t>
      </w:r>
      <w:r w:rsidRPr="00EA59C0">
        <w:t>sub-total</w:t>
      </w:r>
      <w:r w:rsidR="00C026A6" w:rsidRPr="00EA59C0">
        <w:t xml:space="preserve"> </w:t>
      </w:r>
      <w:r w:rsidRPr="00EA59C0">
        <w:t>requested</w:t>
      </w:r>
      <w:r w:rsidR="00C026A6" w:rsidRPr="00EA59C0">
        <w:t xml:space="preserve"> </w:t>
      </w:r>
      <w:r w:rsidRPr="00EA59C0">
        <w:t>funding</w:t>
      </w:r>
      <w:r w:rsidR="00C026A6" w:rsidRPr="00EA59C0">
        <w:t xml:space="preserve"> </w:t>
      </w:r>
      <w:r w:rsidRPr="00EA59C0">
        <w:t>amount</w:t>
      </w:r>
      <w:r w:rsidR="00C026A6" w:rsidRPr="00EA59C0">
        <w:t xml:space="preserve"> </w:t>
      </w:r>
      <w:r w:rsidRPr="00EA59C0">
        <w:t>of</w:t>
      </w:r>
      <w:r w:rsidR="00C026A6" w:rsidRPr="00EA59C0">
        <w:t xml:space="preserve"> </w:t>
      </w:r>
      <w:r w:rsidRPr="00EA59C0">
        <w:t>each</w:t>
      </w:r>
      <w:r w:rsidR="00C026A6" w:rsidRPr="00EA59C0">
        <w:t xml:space="preserve"> </w:t>
      </w:r>
      <w:r w:rsidRPr="00EA59C0">
        <w:t>consortium</w:t>
      </w:r>
      <w:r w:rsidR="00C026A6" w:rsidRPr="00EA59C0">
        <w:t xml:space="preserve"> </w:t>
      </w:r>
      <w:r w:rsidRPr="00EA59C0">
        <w:t>member.</w:t>
      </w:r>
    </w:p>
    <w:p w:rsidR="00485ABA" w:rsidRPr="00EA59C0" w:rsidRDefault="00485ABA" w:rsidP="006D2090">
      <w:pPr>
        <w:pStyle w:val="Heading2"/>
        <w:numPr>
          <w:ilvl w:val="3"/>
          <w:numId w:val="17"/>
        </w:numPr>
        <w:spacing w:line="240" w:lineRule="auto"/>
        <w:rPr>
          <w:rFonts w:ascii="Times New Roman" w:hAnsi="Times New Roman"/>
          <w:b w:val="0"/>
          <w:i w:val="0"/>
        </w:rPr>
      </w:pPr>
      <w:r w:rsidRPr="00EA59C0">
        <w:rPr>
          <w:rFonts w:ascii="Times New Roman" w:hAnsi="Times New Roman"/>
          <w:b w:val="0"/>
          <w:i w:val="0"/>
        </w:rPr>
        <w:t>Documentation</w:t>
      </w:r>
      <w:r w:rsidR="00C026A6" w:rsidRPr="00EA59C0">
        <w:rPr>
          <w:rFonts w:ascii="Times New Roman" w:hAnsi="Times New Roman"/>
          <w:b w:val="0"/>
          <w:i w:val="0"/>
        </w:rPr>
        <w:t xml:space="preserve"> </w:t>
      </w:r>
      <w:r w:rsidRPr="00EA59C0">
        <w:rPr>
          <w:rFonts w:ascii="Times New Roman" w:hAnsi="Times New Roman"/>
          <w:b w:val="0"/>
          <w:i w:val="0"/>
        </w:rPr>
        <w:t>of</w:t>
      </w:r>
      <w:r w:rsidR="00C026A6" w:rsidRPr="00EA59C0">
        <w:rPr>
          <w:rFonts w:ascii="Times New Roman" w:hAnsi="Times New Roman"/>
          <w:b w:val="0"/>
          <w:i w:val="0"/>
        </w:rPr>
        <w:t xml:space="preserve"> </w:t>
      </w:r>
      <w:r w:rsidRPr="00EA59C0">
        <w:rPr>
          <w:rFonts w:ascii="Times New Roman" w:hAnsi="Times New Roman"/>
          <w:b w:val="0"/>
          <w:i w:val="0"/>
        </w:rPr>
        <w:t>Employer</w:t>
      </w:r>
      <w:r w:rsidR="00C026A6" w:rsidRPr="00EA59C0">
        <w:rPr>
          <w:rFonts w:ascii="Times New Roman" w:hAnsi="Times New Roman"/>
          <w:b w:val="0"/>
          <w:i w:val="0"/>
        </w:rPr>
        <w:t xml:space="preserve"> </w:t>
      </w:r>
      <w:r w:rsidRPr="00EA59C0">
        <w:rPr>
          <w:rFonts w:ascii="Times New Roman" w:hAnsi="Times New Roman"/>
          <w:b w:val="0"/>
          <w:i w:val="0"/>
        </w:rPr>
        <w:t>Commitment:</w:t>
      </w:r>
      <w:r w:rsidR="00C026A6" w:rsidRPr="00EA59C0">
        <w:rPr>
          <w:rFonts w:ascii="Times New Roman" w:hAnsi="Times New Roman"/>
          <w:b w:val="0"/>
          <w:i w:val="0"/>
        </w:rPr>
        <w:t xml:space="preserve">  </w:t>
      </w:r>
      <w:r w:rsidRPr="00EA59C0">
        <w:rPr>
          <w:rFonts w:ascii="Times New Roman" w:hAnsi="Times New Roman"/>
          <w:b w:val="0"/>
          <w:i w:val="0"/>
        </w:rPr>
        <w:t>All</w:t>
      </w:r>
      <w:r w:rsidR="00C026A6" w:rsidRPr="00EA59C0">
        <w:rPr>
          <w:rFonts w:ascii="Times New Roman" w:hAnsi="Times New Roman"/>
          <w:b w:val="0"/>
          <w:i w:val="0"/>
        </w:rPr>
        <w:t xml:space="preserve"> </w:t>
      </w:r>
      <w:r w:rsidRPr="00EA59C0">
        <w:rPr>
          <w:rFonts w:ascii="Times New Roman" w:hAnsi="Times New Roman"/>
          <w:b w:val="0"/>
          <w:i w:val="0"/>
        </w:rPr>
        <w:t>applicants</w:t>
      </w:r>
      <w:r w:rsidR="00C026A6" w:rsidRPr="00EA59C0">
        <w:rPr>
          <w:rFonts w:ascii="Times New Roman" w:hAnsi="Times New Roman"/>
          <w:b w:val="0"/>
          <w:i w:val="0"/>
        </w:rPr>
        <w:t xml:space="preserve"> </w:t>
      </w:r>
      <w:r w:rsidRPr="00EA59C0">
        <w:rPr>
          <w:rFonts w:ascii="Times New Roman" w:hAnsi="Times New Roman"/>
          <w:b w:val="0"/>
          <w:i w:val="0"/>
        </w:rPr>
        <w:t>must</w:t>
      </w:r>
      <w:r w:rsidR="00C026A6" w:rsidRPr="00EA59C0">
        <w:rPr>
          <w:rFonts w:ascii="Times New Roman" w:hAnsi="Times New Roman"/>
          <w:b w:val="0"/>
          <w:i w:val="0"/>
        </w:rPr>
        <w:t xml:space="preserve"> </w:t>
      </w:r>
      <w:r w:rsidRPr="00EA59C0">
        <w:rPr>
          <w:rFonts w:ascii="Times New Roman" w:hAnsi="Times New Roman"/>
          <w:b w:val="0"/>
          <w:i w:val="0"/>
        </w:rPr>
        <w:t>submit</w:t>
      </w:r>
      <w:r w:rsidR="00C026A6" w:rsidRPr="00EA59C0">
        <w:rPr>
          <w:rFonts w:ascii="Times New Roman" w:hAnsi="Times New Roman"/>
          <w:b w:val="0"/>
          <w:i w:val="0"/>
        </w:rPr>
        <w:t xml:space="preserve"> </w:t>
      </w:r>
      <w:r w:rsidRPr="00EA59C0">
        <w:rPr>
          <w:rFonts w:ascii="Times New Roman" w:hAnsi="Times New Roman"/>
          <w:b w:val="0"/>
          <w:i w:val="0"/>
        </w:rPr>
        <w:t>documentation</w:t>
      </w:r>
      <w:r w:rsidR="00C026A6" w:rsidRPr="00EA59C0">
        <w:rPr>
          <w:rFonts w:ascii="Times New Roman" w:hAnsi="Times New Roman"/>
          <w:b w:val="0"/>
          <w:i w:val="0"/>
        </w:rPr>
        <w:t xml:space="preserve"> </w:t>
      </w:r>
      <w:r w:rsidRPr="00EA59C0">
        <w:rPr>
          <w:rFonts w:ascii="Times New Roman" w:hAnsi="Times New Roman"/>
          <w:b w:val="0"/>
          <w:i w:val="0"/>
        </w:rPr>
        <w:t>of</w:t>
      </w:r>
      <w:r w:rsidR="00C026A6" w:rsidRPr="00EA59C0">
        <w:rPr>
          <w:rFonts w:ascii="Times New Roman" w:hAnsi="Times New Roman"/>
          <w:b w:val="0"/>
          <w:i w:val="0"/>
        </w:rPr>
        <w:t xml:space="preserve"> </w:t>
      </w:r>
      <w:r w:rsidRPr="00EA59C0">
        <w:rPr>
          <w:rFonts w:ascii="Times New Roman" w:hAnsi="Times New Roman"/>
          <w:b w:val="0"/>
          <w:i w:val="0"/>
        </w:rPr>
        <w:t>employer(s)</w:t>
      </w:r>
      <w:r w:rsidR="00C026A6" w:rsidRPr="00EA59C0">
        <w:rPr>
          <w:rFonts w:ascii="Times New Roman" w:hAnsi="Times New Roman"/>
          <w:b w:val="0"/>
          <w:i w:val="0"/>
        </w:rPr>
        <w:t xml:space="preserve"> </w:t>
      </w:r>
      <w:r w:rsidRPr="00EA59C0">
        <w:rPr>
          <w:rFonts w:ascii="Times New Roman" w:hAnsi="Times New Roman"/>
          <w:b w:val="0"/>
          <w:i w:val="0"/>
        </w:rPr>
        <w:t>commitment</w:t>
      </w:r>
      <w:r w:rsidR="00C026A6" w:rsidRPr="00EA59C0">
        <w:rPr>
          <w:rFonts w:ascii="Times New Roman" w:hAnsi="Times New Roman"/>
          <w:b w:val="0"/>
          <w:i w:val="0"/>
        </w:rPr>
        <w:t xml:space="preserve"> </w:t>
      </w:r>
      <w:r w:rsidRPr="00EA59C0">
        <w:rPr>
          <w:rFonts w:ascii="Times New Roman" w:hAnsi="Times New Roman"/>
          <w:b w:val="0"/>
          <w:i w:val="0"/>
        </w:rPr>
        <w:t>that</w:t>
      </w:r>
      <w:r w:rsidR="00C026A6" w:rsidRPr="00EA59C0">
        <w:rPr>
          <w:rFonts w:ascii="Times New Roman" w:hAnsi="Times New Roman"/>
          <w:b w:val="0"/>
          <w:i w:val="0"/>
        </w:rPr>
        <w:t xml:space="preserve"> </w:t>
      </w:r>
      <w:r w:rsidRPr="00EA59C0">
        <w:rPr>
          <w:rFonts w:ascii="Times New Roman" w:hAnsi="Times New Roman"/>
          <w:b w:val="0"/>
          <w:i w:val="0"/>
        </w:rPr>
        <w:t>includes</w:t>
      </w:r>
      <w:r w:rsidR="00C026A6" w:rsidRPr="00EA59C0">
        <w:rPr>
          <w:rFonts w:ascii="Times New Roman" w:hAnsi="Times New Roman"/>
          <w:b w:val="0"/>
          <w:i w:val="0"/>
        </w:rPr>
        <w:t xml:space="preserve"> </w:t>
      </w:r>
      <w:r w:rsidRPr="00EA59C0">
        <w:rPr>
          <w:rFonts w:ascii="Times New Roman" w:hAnsi="Times New Roman"/>
          <w:b w:val="0"/>
          <w:i w:val="0"/>
        </w:rPr>
        <w:t>signatures</w:t>
      </w:r>
      <w:r w:rsidR="00C026A6" w:rsidRPr="00EA59C0">
        <w:rPr>
          <w:rFonts w:ascii="Times New Roman" w:hAnsi="Times New Roman"/>
          <w:b w:val="0"/>
          <w:i w:val="0"/>
        </w:rPr>
        <w:t xml:space="preserve"> </w:t>
      </w:r>
      <w:r w:rsidRPr="00EA59C0">
        <w:rPr>
          <w:rFonts w:ascii="Times New Roman" w:hAnsi="Times New Roman"/>
          <w:b w:val="0"/>
          <w:i w:val="0"/>
        </w:rPr>
        <w:t>from</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employer(s)</w:t>
      </w:r>
      <w:r w:rsidR="00C026A6" w:rsidRPr="00EA59C0">
        <w:rPr>
          <w:rFonts w:ascii="Times New Roman" w:hAnsi="Times New Roman"/>
          <w:b w:val="0"/>
          <w:i w:val="0"/>
        </w:rPr>
        <w:t xml:space="preserve"> </w:t>
      </w:r>
      <w:r w:rsidRPr="00EA59C0">
        <w:rPr>
          <w:rFonts w:ascii="Times New Roman" w:hAnsi="Times New Roman"/>
          <w:b w:val="0"/>
          <w:i w:val="0"/>
        </w:rPr>
        <w:t>as</w:t>
      </w:r>
      <w:r w:rsidR="00C026A6" w:rsidRPr="00EA59C0">
        <w:rPr>
          <w:rFonts w:ascii="Times New Roman" w:hAnsi="Times New Roman"/>
          <w:b w:val="0"/>
          <w:i w:val="0"/>
        </w:rPr>
        <w:t xml:space="preserve"> </w:t>
      </w:r>
      <w:r w:rsidRPr="00EA59C0">
        <w:rPr>
          <w:rFonts w:ascii="Times New Roman" w:hAnsi="Times New Roman"/>
          <w:b w:val="0"/>
          <w:i w:val="0"/>
        </w:rPr>
        <w:t>required</w:t>
      </w:r>
      <w:r w:rsidR="00C026A6" w:rsidRPr="00EA59C0">
        <w:rPr>
          <w:rFonts w:ascii="Times New Roman" w:hAnsi="Times New Roman"/>
          <w:b w:val="0"/>
          <w:i w:val="0"/>
        </w:rPr>
        <w:t xml:space="preserve"> </w:t>
      </w:r>
      <w:r w:rsidRPr="00EA59C0">
        <w:rPr>
          <w:rFonts w:ascii="Times New Roman" w:hAnsi="Times New Roman"/>
          <w:b w:val="0"/>
          <w:i w:val="0"/>
        </w:rPr>
        <w:t>in</w:t>
      </w:r>
      <w:r w:rsidR="00C026A6" w:rsidRPr="00EA59C0">
        <w:rPr>
          <w:rFonts w:ascii="Times New Roman" w:hAnsi="Times New Roman"/>
          <w:b w:val="0"/>
          <w:i w:val="0"/>
        </w:rPr>
        <w:t xml:space="preserve"> </w:t>
      </w:r>
      <w:r w:rsidRPr="00EA59C0">
        <w:rPr>
          <w:rFonts w:ascii="Times New Roman" w:hAnsi="Times New Roman"/>
          <w:b w:val="0"/>
          <w:i w:val="0"/>
        </w:rPr>
        <w:t>Section</w:t>
      </w:r>
      <w:r w:rsidR="00C026A6" w:rsidRPr="00EA59C0">
        <w:rPr>
          <w:rFonts w:ascii="Times New Roman" w:hAnsi="Times New Roman"/>
          <w:b w:val="0"/>
          <w:i w:val="0"/>
        </w:rPr>
        <w:t xml:space="preserve"> </w:t>
      </w:r>
      <w:r w:rsidRPr="00EA59C0">
        <w:rPr>
          <w:rFonts w:ascii="Times New Roman" w:hAnsi="Times New Roman"/>
          <w:b w:val="0"/>
          <w:i w:val="0"/>
        </w:rPr>
        <w:t>I.B.6</w:t>
      </w:r>
      <w:r w:rsidR="00C026A6" w:rsidRPr="00EA59C0">
        <w:rPr>
          <w:rFonts w:ascii="Times New Roman" w:hAnsi="Times New Roman"/>
          <w:b w:val="0"/>
          <w:i w:val="0"/>
        </w:rPr>
        <w:t xml:space="preserve"> </w:t>
      </w:r>
      <w:r w:rsidRPr="00EA59C0">
        <w:rPr>
          <w:rFonts w:ascii="Times New Roman" w:hAnsi="Times New Roman"/>
          <w:b w:val="0"/>
          <w:i w:val="0"/>
        </w:rPr>
        <w:t>of</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SGA,</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describes</w:t>
      </w:r>
      <w:r w:rsidR="00C026A6" w:rsidRPr="00EA59C0">
        <w:rPr>
          <w:rFonts w:ascii="Times New Roman" w:hAnsi="Times New Roman"/>
          <w:b w:val="0"/>
          <w:i w:val="0"/>
        </w:rPr>
        <w:t xml:space="preserve"> </w:t>
      </w:r>
      <w:r w:rsidRPr="00EA59C0">
        <w:rPr>
          <w:rFonts w:ascii="Times New Roman" w:hAnsi="Times New Roman"/>
          <w:b w:val="0"/>
          <w:i w:val="0"/>
        </w:rPr>
        <w:t>their</w:t>
      </w:r>
      <w:r w:rsidR="00C026A6" w:rsidRPr="00EA59C0">
        <w:rPr>
          <w:rFonts w:ascii="Times New Roman" w:hAnsi="Times New Roman"/>
          <w:b w:val="0"/>
          <w:i w:val="0"/>
        </w:rPr>
        <w:t xml:space="preserve"> </w:t>
      </w:r>
      <w:r w:rsidRPr="00EA59C0">
        <w:rPr>
          <w:rFonts w:ascii="Times New Roman" w:hAnsi="Times New Roman"/>
          <w:b w:val="0"/>
          <w:i w:val="0"/>
        </w:rPr>
        <w:t>role</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responsibility</w:t>
      </w:r>
      <w:r w:rsidR="00C026A6" w:rsidRPr="00EA59C0">
        <w:rPr>
          <w:rFonts w:ascii="Times New Roman" w:hAnsi="Times New Roman"/>
          <w:b w:val="0"/>
          <w:i w:val="0"/>
        </w:rPr>
        <w:t xml:space="preserve"> </w:t>
      </w:r>
      <w:r w:rsidRPr="00EA59C0">
        <w:rPr>
          <w:rFonts w:ascii="Times New Roman" w:hAnsi="Times New Roman"/>
          <w:b w:val="0"/>
          <w:i w:val="0"/>
        </w:rPr>
        <w:t>in</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project.</w:t>
      </w:r>
      <w:r w:rsidR="00C026A6" w:rsidRPr="00EA59C0">
        <w:rPr>
          <w:rFonts w:ascii="Times New Roman" w:hAnsi="Times New Roman"/>
          <w:b w:val="0"/>
          <w:i w:val="0"/>
        </w:rPr>
        <w:t xml:space="preserve">  </w:t>
      </w:r>
      <w:r w:rsidRPr="00EA59C0">
        <w:rPr>
          <w:rFonts w:ascii="Times New Roman" w:hAnsi="Times New Roman"/>
          <w:b w:val="0"/>
          <w:i w:val="0"/>
        </w:rPr>
        <w:t>This</w:t>
      </w:r>
      <w:r w:rsidR="00C026A6" w:rsidRPr="00EA59C0">
        <w:rPr>
          <w:rFonts w:ascii="Times New Roman" w:hAnsi="Times New Roman"/>
          <w:b w:val="0"/>
          <w:i w:val="0"/>
        </w:rPr>
        <w:t xml:space="preserve"> </w:t>
      </w:r>
      <w:r w:rsidRPr="00EA59C0">
        <w:rPr>
          <w:rFonts w:ascii="Times New Roman" w:hAnsi="Times New Roman"/>
          <w:b w:val="0"/>
          <w:i w:val="0"/>
        </w:rPr>
        <w:t>documentation</w:t>
      </w:r>
      <w:r w:rsidR="00C026A6" w:rsidRPr="00EA59C0">
        <w:rPr>
          <w:rFonts w:ascii="Times New Roman" w:hAnsi="Times New Roman"/>
          <w:b w:val="0"/>
          <w:i w:val="0"/>
        </w:rPr>
        <w:t xml:space="preserve"> </w:t>
      </w:r>
      <w:r w:rsidRPr="00EA59C0">
        <w:rPr>
          <w:rFonts w:ascii="Times New Roman" w:hAnsi="Times New Roman"/>
          <w:b w:val="0"/>
          <w:i w:val="0"/>
        </w:rPr>
        <w:t>does</w:t>
      </w:r>
      <w:r w:rsidR="00C026A6" w:rsidRPr="00EA59C0">
        <w:rPr>
          <w:rFonts w:ascii="Times New Roman" w:hAnsi="Times New Roman"/>
          <w:b w:val="0"/>
          <w:i w:val="0"/>
        </w:rPr>
        <w:t xml:space="preserve"> </w:t>
      </w:r>
      <w:r w:rsidRPr="00EA59C0">
        <w:rPr>
          <w:rFonts w:ascii="Times New Roman" w:hAnsi="Times New Roman"/>
          <w:b w:val="0"/>
          <w:i w:val="0"/>
        </w:rPr>
        <w:t>not</w:t>
      </w:r>
      <w:r w:rsidR="00C026A6" w:rsidRPr="00EA59C0">
        <w:rPr>
          <w:rFonts w:ascii="Times New Roman" w:hAnsi="Times New Roman"/>
          <w:b w:val="0"/>
          <w:i w:val="0"/>
        </w:rPr>
        <w:t xml:space="preserve"> </w:t>
      </w:r>
      <w:r w:rsidRPr="00EA59C0">
        <w:rPr>
          <w:rFonts w:ascii="Times New Roman" w:hAnsi="Times New Roman"/>
          <w:b w:val="0"/>
          <w:i w:val="0"/>
        </w:rPr>
        <w:t>eliminate</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need</w:t>
      </w:r>
      <w:r w:rsidR="00C026A6" w:rsidRPr="00EA59C0">
        <w:rPr>
          <w:rFonts w:ascii="Times New Roman" w:hAnsi="Times New Roman"/>
          <w:b w:val="0"/>
          <w:i w:val="0"/>
        </w:rPr>
        <w:t xml:space="preserve"> </w:t>
      </w:r>
      <w:r w:rsidRPr="00EA59C0">
        <w:rPr>
          <w:rFonts w:ascii="Times New Roman" w:hAnsi="Times New Roman"/>
          <w:b w:val="0"/>
          <w:i w:val="0"/>
        </w:rPr>
        <w:t>to</w:t>
      </w:r>
      <w:r w:rsidR="00C026A6" w:rsidRPr="00EA59C0">
        <w:rPr>
          <w:rFonts w:ascii="Times New Roman" w:hAnsi="Times New Roman"/>
          <w:b w:val="0"/>
          <w:i w:val="0"/>
        </w:rPr>
        <w:t xml:space="preserve"> </w:t>
      </w:r>
      <w:r w:rsidRPr="00EA59C0">
        <w:rPr>
          <w:rFonts w:ascii="Times New Roman" w:hAnsi="Times New Roman"/>
          <w:b w:val="0"/>
          <w:i w:val="0"/>
        </w:rPr>
        <w:t>follow</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procurement</w:t>
      </w:r>
      <w:r w:rsidR="00C026A6" w:rsidRPr="00EA59C0">
        <w:rPr>
          <w:rFonts w:ascii="Times New Roman" w:hAnsi="Times New Roman"/>
          <w:b w:val="0"/>
          <w:i w:val="0"/>
        </w:rPr>
        <w:t xml:space="preserve"> </w:t>
      </w:r>
      <w:r w:rsidRPr="00EA59C0">
        <w:rPr>
          <w:rFonts w:ascii="Times New Roman" w:hAnsi="Times New Roman"/>
          <w:b w:val="0"/>
          <w:i w:val="0"/>
        </w:rPr>
        <w:t>requirements</w:t>
      </w:r>
      <w:r w:rsidR="00C026A6" w:rsidRPr="00EA59C0">
        <w:rPr>
          <w:rFonts w:ascii="Times New Roman" w:hAnsi="Times New Roman"/>
          <w:b w:val="0"/>
          <w:i w:val="0"/>
        </w:rPr>
        <w:t xml:space="preserve"> </w:t>
      </w:r>
      <w:r w:rsidRPr="00EA59C0">
        <w:rPr>
          <w:rFonts w:ascii="Times New Roman" w:hAnsi="Times New Roman"/>
          <w:b w:val="0"/>
          <w:i w:val="0"/>
        </w:rPr>
        <w:t>specified</w:t>
      </w:r>
      <w:r w:rsidR="00C026A6" w:rsidRPr="00EA59C0">
        <w:rPr>
          <w:rFonts w:ascii="Times New Roman" w:hAnsi="Times New Roman"/>
          <w:b w:val="0"/>
          <w:i w:val="0"/>
        </w:rPr>
        <w:t xml:space="preserve"> </w:t>
      </w:r>
      <w:r w:rsidRPr="00EA59C0">
        <w:rPr>
          <w:rFonts w:ascii="Times New Roman" w:hAnsi="Times New Roman"/>
          <w:b w:val="0"/>
          <w:i w:val="0"/>
        </w:rPr>
        <w:t>at</w:t>
      </w:r>
      <w:r w:rsidR="00C026A6" w:rsidRPr="00EA59C0">
        <w:rPr>
          <w:rFonts w:ascii="Times New Roman" w:hAnsi="Times New Roman"/>
          <w:b w:val="0"/>
          <w:i w:val="0"/>
        </w:rPr>
        <w:t xml:space="preserve"> </w:t>
      </w:r>
      <w:r w:rsidRPr="00EA59C0">
        <w:rPr>
          <w:rFonts w:ascii="Times New Roman" w:hAnsi="Times New Roman"/>
          <w:b w:val="0"/>
          <w:i w:val="0"/>
        </w:rPr>
        <w:t>29</w:t>
      </w:r>
      <w:r w:rsidR="00C026A6" w:rsidRPr="00EA59C0">
        <w:rPr>
          <w:rFonts w:ascii="Times New Roman" w:hAnsi="Times New Roman"/>
          <w:b w:val="0"/>
          <w:i w:val="0"/>
        </w:rPr>
        <w:t xml:space="preserve"> </w:t>
      </w:r>
      <w:r w:rsidRPr="00EA59C0">
        <w:rPr>
          <w:rFonts w:ascii="Times New Roman" w:hAnsi="Times New Roman"/>
          <w:b w:val="0"/>
          <w:i w:val="0"/>
        </w:rPr>
        <w:t>CFR</w:t>
      </w:r>
      <w:r w:rsidR="00C026A6" w:rsidRPr="00EA59C0">
        <w:rPr>
          <w:rFonts w:ascii="Times New Roman" w:hAnsi="Times New Roman"/>
          <w:b w:val="0"/>
          <w:i w:val="0"/>
        </w:rPr>
        <w:t xml:space="preserve"> </w:t>
      </w:r>
      <w:r w:rsidRPr="00EA59C0">
        <w:rPr>
          <w:rFonts w:ascii="Times New Roman" w:hAnsi="Times New Roman"/>
          <w:b w:val="0"/>
          <w:i w:val="0"/>
        </w:rPr>
        <w:t>95.40</w:t>
      </w:r>
      <w:r w:rsidR="00C026A6" w:rsidRPr="00EA59C0">
        <w:rPr>
          <w:rFonts w:ascii="Times New Roman" w:hAnsi="Times New Roman"/>
          <w:b w:val="0"/>
          <w:i w:val="0"/>
        </w:rPr>
        <w:t xml:space="preserve"> </w:t>
      </w:r>
      <w:r w:rsidRPr="00EA59C0">
        <w:rPr>
          <w:rFonts w:ascii="Times New Roman" w:hAnsi="Times New Roman"/>
          <w:b w:val="0"/>
          <w:i w:val="0"/>
        </w:rPr>
        <w:t>–</w:t>
      </w:r>
      <w:r w:rsidR="00C026A6" w:rsidRPr="00EA59C0">
        <w:rPr>
          <w:rFonts w:ascii="Times New Roman" w:hAnsi="Times New Roman"/>
          <w:b w:val="0"/>
          <w:i w:val="0"/>
        </w:rPr>
        <w:t xml:space="preserve"> </w:t>
      </w:r>
      <w:r w:rsidRPr="00EA59C0">
        <w:rPr>
          <w:rFonts w:ascii="Times New Roman" w:hAnsi="Times New Roman"/>
          <w:b w:val="0"/>
          <w:i w:val="0"/>
        </w:rPr>
        <w:t>48</w:t>
      </w:r>
      <w:r w:rsidR="00C026A6" w:rsidRPr="00EA59C0">
        <w:rPr>
          <w:rFonts w:ascii="Times New Roman" w:hAnsi="Times New Roman"/>
          <w:b w:val="0"/>
          <w:i w:val="0"/>
        </w:rPr>
        <w:t xml:space="preserve"> </w:t>
      </w:r>
      <w:r w:rsidRPr="00EA59C0">
        <w:rPr>
          <w:rFonts w:ascii="Times New Roman" w:hAnsi="Times New Roman"/>
          <w:b w:val="0"/>
          <w:i w:val="0"/>
        </w:rPr>
        <w:t>where</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parties</w:t>
      </w:r>
      <w:r w:rsidR="00C026A6" w:rsidRPr="00EA59C0">
        <w:rPr>
          <w:rFonts w:ascii="Times New Roman" w:hAnsi="Times New Roman"/>
          <w:b w:val="0"/>
          <w:i w:val="0"/>
        </w:rPr>
        <w:t xml:space="preserve"> </w:t>
      </w:r>
      <w:r w:rsidRPr="00EA59C0">
        <w:rPr>
          <w:rFonts w:ascii="Times New Roman" w:hAnsi="Times New Roman"/>
          <w:b w:val="0"/>
          <w:i w:val="0"/>
        </w:rPr>
        <w:t>enter</w:t>
      </w:r>
      <w:r w:rsidR="00C026A6" w:rsidRPr="00EA59C0">
        <w:rPr>
          <w:rFonts w:ascii="Times New Roman" w:hAnsi="Times New Roman"/>
          <w:b w:val="0"/>
          <w:i w:val="0"/>
        </w:rPr>
        <w:t xml:space="preserve"> </w:t>
      </w:r>
      <w:r w:rsidRPr="00EA59C0">
        <w:rPr>
          <w:rFonts w:ascii="Times New Roman" w:hAnsi="Times New Roman"/>
          <w:b w:val="0"/>
          <w:i w:val="0"/>
        </w:rPr>
        <w:t>into</w:t>
      </w:r>
      <w:r w:rsidR="00C026A6" w:rsidRPr="00EA59C0">
        <w:rPr>
          <w:rFonts w:ascii="Times New Roman" w:hAnsi="Times New Roman"/>
          <w:b w:val="0"/>
          <w:i w:val="0"/>
        </w:rPr>
        <w:t xml:space="preserve"> </w:t>
      </w:r>
      <w:r w:rsidRPr="00EA59C0">
        <w:rPr>
          <w:rFonts w:ascii="Times New Roman" w:hAnsi="Times New Roman"/>
          <w:b w:val="0"/>
          <w:i w:val="0"/>
        </w:rPr>
        <w:t>a</w:t>
      </w:r>
      <w:r w:rsidR="00C026A6" w:rsidRPr="00EA59C0">
        <w:rPr>
          <w:rFonts w:ascii="Times New Roman" w:hAnsi="Times New Roman"/>
          <w:b w:val="0"/>
          <w:i w:val="0"/>
        </w:rPr>
        <w:t xml:space="preserve"> </w:t>
      </w:r>
      <w:r w:rsidRPr="00EA59C0">
        <w:rPr>
          <w:rFonts w:ascii="Times New Roman" w:hAnsi="Times New Roman"/>
          <w:b w:val="0"/>
          <w:i w:val="0"/>
        </w:rPr>
        <w:t>contract</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supplies</w:t>
      </w:r>
      <w:r w:rsidR="00C026A6" w:rsidRPr="00EA59C0">
        <w:rPr>
          <w:rFonts w:ascii="Times New Roman" w:hAnsi="Times New Roman"/>
          <w:b w:val="0"/>
          <w:i w:val="0"/>
        </w:rPr>
        <w:t xml:space="preserve"> </w:t>
      </w:r>
      <w:r w:rsidRPr="00EA59C0">
        <w:rPr>
          <w:rFonts w:ascii="Times New Roman" w:hAnsi="Times New Roman"/>
          <w:b w:val="0"/>
          <w:i w:val="0"/>
        </w:rPr>
        <w:t>or</w:t>
      </w:r>
      <w:r w:rsidR="00C026A6" w:rsidRPr="00EA59C0">
        <w:rPr>
          <w:rFonts w:ascii="Times New Roman" w:hAnsi="Times New Roman"/>
          <w:b w:val="0"/>
          <w:i w:val="0"/>
        </w:rPr>
        <w:t xml:space="preserve"> </w:t>
      </w:r>
      <w:r w:rsidRPr="00EA59C0">
        <w:rPr>
          <w:rFonts w:ascii="Times New Roman" w:hAnsi="Times New Roman"/>
          <w:b w:val="0"/>
          <w:i w:val="0"/>
        </w:rPr>
        <w:t>services.</w:t>
      </w:r>
      <w:r w:rsidR="00C026A6" w:rsidRPr="00EA59C0">
        <w:rPr>
          <w:rFonts w:ascii="Times New Roman" w:hAnsi="Times New Roman"/>
          <w:b w:val="0"/>
          <w:i w:val="0"/>
        </w:rPr>
        <w:t xml:space="preserve">  </w:t>
      </w:r>
      <w:r w:rsidRPr="00EA59C0">
        <w:rPr>
          <w:rFonts w:ascii="Times New Roman" w:hAnsi="Times New Roman"/>
          <w:b w:val="0"/>
          <w:i w:val="0"/>
        </w:rPr>
        <w:t>If</w:t>
      </w:r>
      <w:r w:rsidR="00C026A6" w:rsidRPr="00EA59C0">
        <w:rPr>
          <w:rFonts w:ascii="Times New Roman" w:hAnsi="Times New Roman"/>
          <w:b w:val="0"/>
          <w:i w:val="0"/>
        </w:rPr>
        <w:t xml:space="preserve"> </w:t>
      </w:r>
      <w:r w:rsidRPr="00EA59C0">
        <w:rPr>
          <w:rFonts w:ascii="Times New Roman" w:hAnsi="Times New Roman"/>
          <w:b w:val="0"/>
          <w:i w:val="0"/>
        </w:rPr>
        <w:t>using</w:t>
      </w:r>
      <w:r w:rsidR="00C026A6" w:rsidRPr="00EA59C0">
        <w:rPr>
          <w:rFonts w:ascii="Times New Roman" w:hAnsi="Times New Roman"/>
          <w:b w:val="0"/>
          <w:i w:val="0"/>
        </w:rPr>
        <w:t xml:space="preserve"> </w:t>
      </w:r>
      <w:r w:rsidRPr="00EA59C0">
        <w:rPr>
          <w:rFonts w:ascii="Times New Roman" w:hAnsi="Times New Roman"/>
          <w:b w:val="0"/>
          <w:i w:val="0"/>
        </w:rPr>
        <w:t>grants.gov</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submission,</w:t>
      </w:r>
      <w:r w:rsidR="00C026A6" w:rsidRPr="00EA59C0">
        <w:rPr>
          <w:rFonts w:ascii="Times New Roman" w:hAnsi="Times New Roman"/>
          <w:b w:val="0"/>
          <w:i w:val="0"/>
        </w:rPr>
        <w:t xml:space="preserve"> </w:t>
      </w:r>
      <w:r w:rsidRPr="00EA59C0">
        <w:rPr>
          <w:rFonts w:ascii="Times New Roman" w:hAnsi="Times New Roman"/>
          <w:b w:val="0"/>
          <w:i w:val="0"/>
        </w:rPr>
        <w:t>this</w:t>
      </w:r>
      <w:r w:rsidR="00C026A6" w:rsidRPr="00EA59C0">
        <w:rPr>
          <w:rFonts w:ascii="Times New Roman" w:hAnsi="Times New Roman"/>
          <w:b w:val="0"/>
          <w:i w:val="0"/>
        </w:rPr>
        <w:t xml:space="preserve"> </w:t>
      </w:r>
      <w:r w:rsidRPr="00EA59C0">
        <w:rPr>
          <w:rFonts w:ascii="Times New Roman" w:hAnsi="Times New Roman"/>
          <w:b w:val="0"/>
          <w:i w:val="0"/>
        </w:rPr>
        <w:t>document</w:t>
      </w:r>
      <w:r w:rsidR="00C026A6" w:rsidRPr="00EA59C0">
        <w:rPr>
          <w:rFonts w:ascii="Times New Roman" w:hAnsi="Times New Roman"/>
          <w:b w:val="0"/>
          <w:i w:val="0"/>
        </w:rPr>
        <w:t xml:space="preserve"> </w:t>
      </w:r>
      <w:r w:rsidRPr="00EA59C0">
        <w:rPr>
          <w:rFonts w:ascii="Times New Roman" w:hAnsi="Times New Roman"/>
          <w:b w:val="0"/>
          <w:i w:val="0"/>
        </w:rPr>
        <w:t>must</w:t>
      </w:r>
      <w:r w:rsidR="00C026A6" w:rsidRPr="00EA59C0">
        <w:rPr>
          <w:rFonts w:ascii="Times New Roman" w:hAnsi="Times New Roman"/>
          <w:b w:val="0"/>
          <w:i w:val="0"/>
        </w:rPr>
        <w:t xml:space="preserve"> </w:t>
      </w:r>
      <w:r w:rsidRPr="00EA59C0">
        <w:rPr>
          <w:rFonts w:ascii="Times New Roman" w:hAnsi="Times New Roman"/>
          <w:b w:val="0"/>
          <w:i w:val="0"/>
        </w:rPr>
        <w:t>be</w:t>
      </w:r>
      <w:r w:rsidR="00C026A6" w:rsidRPr="00EA59C0">
        <w:rPr>
          <w:rFonts w:ascii="Times New Roman" w:hAnsi="Times New Roman"/>
          <w:b w:val="0"/>
          <w:i w:val="0"/>
        </w:rPr>
        <w:t xml:space="preserve"> </w:t>
      </w:r>
      <w:r w:rsidRPr="00EA59C0">
        <w:rPr>
          <w:rFonts w:ascii="Times New Roman" w:hAnsi="Times New Roman"/>
          <w:b w:val="0"/>
          <w:i w:val="0"/>
        </w:rPr>
        <w:t>attached</w:t>
      </w:r>
      <w:r w:rsidR="00C026A6" w:rsidRPr="00EA59C0">
        <w:rPr>
          <w:rFonts w:ascii="Times New Roman" w:hAnsi="Times New Roman"/>
          <w:b w:val="0"/>
          <w:i w:val="0"/>
        </w:rPr>
        <w:t xml:space="preserve"> </w:t>
      </w:r>
      <w:r w:rsidRPr="00EA59C0">
        <w:rPr>
          <w:rFonts w:ascii="Times New Roman" w:hAnsi="Times New Roman"/>
          <w:b w:val="0"/>
          <w:i w:val="0"/>
        </w:rPr>
        <w:t>under</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Mandatory</w:t>
      </w:r>
      <w:r w:rsidR="00C026A6" w:rsidRPr="00EA59C0">
        <w:rPr>
          <w:rFonts w:ascii="Times New Roman" w:hAnsi="Times New Roman"/>
          <w:b w:val="0"/>
          <w:i w:val="0"/>
        </w:rPr>
        <w:t xml:space="preserve"> </w:t>
      </w:r>
      <w:r w:rsidRPr="00EA59C0">
        <w:rPr>
          <w:rFonts w:ascii="Times New Roman" w:hAnsi="Times New Roman"/>
          <w:b w:val="0"/>
          <w:i w:val="0"/>
        </w:rPr>
        <w:t>Other</w:t>
      </w:r>
      <w:r w:rsidR="00C026A6" w:rsidRPr="00EA59C0">
        <w:rPr>
          <w:rFonts w:ascii="Times New Roman" w:hAnsi="Times New Roman"/>
          <w:b w:val="0"/>
          <w:i w:val="0"/>
        </w:rPr>
        <w:t xml:space="preserve"> </w:t>
      </w:r>
      <w:r w:rsidRPr="00EA59C0">
        <w:rPr>
          <w:rFonts w:ascii="Times New Roman" w:hAnsi="Times New Roman"/>
          <w:b w:val="0"/>
          <w:i w:val="0"/>
        </w:rPr>
        <w:t>Attachment</w:t>
      </w:r>
      <w:r w:rsidR="00C026A6" w:rsidRPr="00EA59C0">
        <w:rPr>
          <w:rFonts w:ascii="Times New Roman" w:hAnsi="Times New Roman"/>
          <w:b w:val="0"/>
          <w:i w:val="0"/>
        </w:rPr>
        <w:t xml:space="preserve"> </w:t>
      </w:r>
      <w:r w:rsidRPr="00EA59C0">
        <w:rPr>
          <w:rFonts w:ascii="Times New Roman" w:hAnsi="Times New Roman"/>
          <w:b w:val="0"/>
          <w:i w:val="0"/>
        </w:rPr>
        <w:t>section</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labeled</w:t>
      </w:r>
      <w:r w:rsidR="00C026A6" w:rsidRPr="00EA59C0">
        <w:rPr>
          <w:rFonts w:ascii="Times New Roman" w:hAnsi="Times New Roman"/>
          <w:b w:val="0"/>
          <w:i w:val="0"/>
        </w:rPr>
        <w:t xml:space="preserve"> </w:t>
      </w:r>
      <w:r w:rsidRPr="00EA59C0">
        <w:rPr>
          <w:rFonts w:ascii="Times New Roman" w:hAnsi="Times New Roman"/>
          <w:b w:val="0"/>
          <w:i w:val="0"/>
        </w:rPr>
        <w:t>“Documentation</w:t>
      </w:r>
      <w:r w:rsidR="00C026A6" w:rsidRPr="00EA59C0">
        <w:rPr>
          <w:rFonts w:ascii="Times New Roman" w:hAnsi="Times New Roman"/>
          <w:b w:val="0"/>
          <w:i w:val="0"/>
        </w:rPr>
        <w:t xml:space="preserve"> </w:t>
      </w:r>
      <w:r w:rsidRPr="00EA59C0">
        <w:rPr>
          <w:rFonts w:ascii="Times New Roman" w:hAnsi="Times New Roman"/>
          <w:b w:val="0"/>
          <w:i w:val="0"/>
        </w:rPr>
        <w:t>of</w:t>
      </w:r>
      <w:r w:rsidR="00C026A6" w:rsidRPr="00EA59C0">
        <w:rPr>
          <w:rFonts w:ascii="Times New Roman" w:hAnsi="Times New Roman"/>
          <w:b w:val="0"/>
          <w:i w:val="0"/>
        </w:rPr>
        <w:t xml:space="preserve"> </w:t>
      </w:r>
      <w:r w:rsidRPr="00EA59C0">
        <w:rPr>
          <w:rFonts w:ascii="Times New Roman" w:hAnsi="Times New Roman"/>
          <w:b w:val="0"/>
          <w:i w:val="0"/>
        </w:rPr>
        <w:t>Employer</w:t>
      </w:r>
      <w:r w:rsidR="00C026A6" w:rsidRPr="00EA59C0">
        <w:rPr>
          <w:rFonts w:ascii="Times New Roman" w:hAnsi="Times New Roman"/>
          <w:b w:val="0"/>
          <w:i w:val="0"/>
        </w:rPr>
        <w:t xml:space="preserve"> </w:t>
      </w:r>
      <w:r w:rsidRPr="00EA59C0">
        <w:rPr>
          <w:rFonts w:ascii="Times New Roman" w:hAnsi="Times New Roman"/>
          <w:b w:val="0"/>
          <w:i w:val="0"/>
        </w:rPr>
        <w:t>Commitment.”</w:t>
      </w:r>
    </w:p>
    <w:p w:rsidR="006D2090" w:rsidRPr="00EA59C0" w:rsidRDefault="006D2090" w:rsidP="006D2090"/>
    <w:p w:rsidR="004536EC" w:rsidRPr="00EA59C0" w:rsidRDefault="00485ABA" w:rsidP="006D2090">
      <w:pPr>
        <w:pStyle w:val="Heading2"/>
        <w:numPr>
          <w:ilvl w:val="3"/>
          <w:numId w:val="17"/>
        </w:numPr>
        <w:spacing w:line="240" w:lineRule="auto"/>
        <w:rPr>
          <w:rFonts w:ascii="Times New Roman" w:hAnsi="Times New Roman"/>
          <w:b w:val="0"/>
          <w:i w:val="0"/>
        </w:rPr>
      </w:pPr>
      <w:r w:rsidRPr="00EA59C0">
        <w:rPr>
          <w:rFonts w:ascii="Times New Roman" w:hAnsi="Times New Roman"/>
          <w:b w:val="0"/>
          <w:i w:val="0"/>
        </w:rPr>
        <w:t>Documentation</w:t>
      </w:r>
      <w:r w:rsidR="00C026A6" w:rsidRPr="00EA59C0">
        <w:rPr>
          <w:rFonts w:ascii="Times New Roman" w:hAnsi="Times New Roman"/>
          <w:b w:val="0"/>
          <w:i w:val="0"/>
        </w:rPr>
        <w:t xml:space="preserve"> </w:t>
      </w:r>
      <w:r w:rsidRPr="00EA59C0">
        <w:rPr>
          <w:rFonts w:ascii="Times New Roman" w:hAnsi="Times New Roman"/>
          <w:b w:val="0"/>
          <w:i w:val="0"/>
        </w:rPr>
        <w:t>of</w:t>
      </w:r>
      <w:r w:rsidR="00C026A6" w:rsidRPr="00EA59C0">
        <w:rPr>
          <w:rFonts w:ascii="Times New Roman" w:hAnsi="Times New Roman"/>
          <w:b w:val="0"/>
          <w:i w:val="0"/>
        </w:rPr>
        <w:t xml:space="preserve"> </w:t>
      </w:r>
      <w:r w:rsidRPr="00EA59C0">
        <w:rPr>
          <w:rFonts w:ascii="Times New Roman" w:hAnsi="Times New Roman"/>
          <w:b w:val="0"/>
          <w:i w:val="0"/>
        </w:rPr>
        <w:t>Workforce</w:t>
      </w:r>
      <w:r w:rsidR="00C026A6" w:rsidRPr="00EA59C0">
        <w:rPr>
          <w:rFonts w:ascii="Times New Roman" w:hAnsi="Times New Roman"/>
          <w:b w:val="0"/>
          <w:i w:val="0"/>
        </w:rPr>
        <w:t xml:space="preserve"> </w:t>
      </w:r>
      <w:r w:rsidRPr="00EA59C0">
        <w:rPr>
          <w:rFonts w:ascii="Times New Roman" w:hAnsi="Times New Roman"/>
          <w:b w:val="0"/>
          <w:i w:val="0"/>
        </w:rPr>
        <w:t>System</w:t>
      </w:r>
      <w:r w:rsidR="00C026A6" w:rsidRPr="00EA59C0">
        <w:rPr>
          <w:rFonts w:ascii="Times New Roman" w:hAnsi="Times New Roman"/>
          <w:b w:val="0"/>
          <w:i w:val="0"/>
        </w:rPr>
        <w:t xml:space="preserve"> </w:t>
      </w:r>
      <w:r w:rsidRPr="00EA59C0">
        <w:rPr>
          <w:rFonts w:ascii="Times New Roman" w:hAnsi="Times New Roman"/>
          <w:b w:val="0"/>
          <w:i w:val="0"/>
        </w:rPr>
        <w:t>Commitment:</w:t>
      </w:r>
      <w:r w:rsidR="00C026A6" w:rsidRPr="00EA59C0">
        <w:rPr>
          <w:rFonts w:ascii="Times New Roman" w:hAnsi="Times New Roman"/>
          <w:b w:val="0"/>
          <w:i w:val="0"/>
        </w:rPr>
        <w:t xml:space="preserve">  </w:t>
      </w:r>
      <w:r w:rsidRPr="00EA59C0">
        <w:rPr>
          <w:rFonts w:ascii="Times New Roman" w:hAnsi="Times New Roman"/>
          <w:b w:val="0"/>
          <w:i w:val="0"/>
        </w:rPr>
        <w:t>All</w:t>
      </w:r>
      <w:r w:rsidR="00C026A6" w:rsidRPr="00EA59C0">
        <w:rPr>
          <w:rFonts w:ascii="Times New Roman" w:hAnsi="Times New Roman"/>
          <w:b w:val="0"/>
          <w:i w:val="0"/>
        </w:rPr>
        <w:t xml:space="preserve"> </w:t>
      </w:r>
      <w:r w:rsidRPr="00EA59C0">
        <w:rPr>
          <w:rFonts w:ascii="Times New Roman" w:hAnsi="Times New Roman"/>
          <w:b w:val="0"/>
          <w:i w:val="0"/>
        </w:rPr>
        <w:t>applicants</w:t>
      </w:r>
      <w:r w:rsidR="00C026A6" w:rsidRPr="00EA59C0">
        <w:rPr>
          <w:rFonts w:ascii="Times New Roman" w:hAnsi="Times New Roman"/>
          <w:b w:val="0"/>
          <w:i w:val="0"/>
        </w:rPr>
        <w:t xml:space="preserve"> </w:t>
      </w:r>
      <w:r w:rsidRPr="00EA59C0">
        <w:rPr>
          <w:rFonts w:ascii="Times New Roman" w:hAnsi="Times New Roman"/>
          <w:b w:val="0"/>
          <w:i w:val="0"/>
        </w:rPr>
        <w:t>must</w:t>
      </w:r>
      <w:r w:rsidR="00C026A6" w:rsidRPr="00EA59C0">
        <w:rPr>
          <w:rFonts w:ascii="Times New Roman" w:hAnsi="Times New Roman"/>
          <w:b w:val="0"/>
          <w:i w:val="0"/>
        </w:rPr>
        <w:t xml:space="preserve"> </w:t>
      </w:r>
      <w:r w:rsidRPr="00EA59C0">
        <w:rPr>
          <w:rFonts w:ascii="Times New Roman" w:hAnsi="Times New Roman"/>
          <w:b w:val="0"/>
          <w:i w:val="0"/>
        </w:rPr>
        <w:t>submit</w:t>
      </w:r>
      <w:r w:rsidR="00C026A6" w:rsidRPr="00EA59C0">
        <w:rPr>
          <w:rFonts w:ascii="Times New Roman" w:hAnsi="Times New Roman"/>
          <w:b w:val="0"/>
          <w:i w:val="0"/>
        </w:rPr>
        <w:t xml:space="preserve"> </w:t>
      </w:r>
      <w:r w:rsidRPr="00EA59C0">
        <w:rPr>
          <w:rFonts w:ascii="Times New Roman" w:hAnsi="Times New Roman"/>
          <w:b w:val="0"/>
          <w:i w:val="0"/>
        </w:rPr>
        <w:t>documentation</w:t>
      </w:r>
      <w:r w:rsidR="00C026A6" w:rsidRPr="00EA59C0">
        <w:rPr>
          <w:rFonts w:ascii="Times New Roman" w:hAnsi="Times New Roman"/>
          <w:b w:val="0"/>
          <w:i w:val="0"/>
        </w:rPr>
        <w:t xml:space="preserve"> </w:t>
      </w:r>
      <w:r w:rsidR="004536EC" w:rsidRPr="00EA59C0">
        <w:rPr>
          <w:rFonts w:ascii="Times New Roman" w:hAnsi="Times New Roman"/>
          <w:b w:val="0"/>
          <w:i w:val="0"/>
        </w:rPr>
        <w:t>demonstrating the commitment of the workforce system at multiple levels.  Collectively, the attached documentation must demonstrate:</w:t>
      </w:r>
    </w:p>
    <w:p w:rsidR="004536EC" w:rsidRPr="00EA59C0" w:rsidRDefault="004536EC" w:rsidP="00080097">
      <w:pPr>
        <w:pStyle w:val="ListParagraph"/>
        <w:numPr>
          <w:ilvl w:val="0"/>
          <w:numId w:val="57"/>
        </w:numPr>
      </w:pPr>
      <w:r w:rsidRPr="00EA59C0">
        <w:t>Commitment</w:t>
      </w:r>
      <w:r w:rsidR="00C026A6" w:rsidRPr="00EA59C0">
        <w:t xml:space="preserve"> </w:t>
      </w:r>
      <w:r w:rsidR="00485ABA" w:rsidRPr="00EA59C0">
        <w:t>from</w:t>
      </w:r>
      <w:r w:rsidR="00C026A6" w:rsidRPr="00EA59C0">
        <w:t xml:space="preserve"> </w:t>
      </w:r>
      <w:r w:rsidR="00485ABA" w:rsidRPr="00EA59C0">
        <w:t>the</w:t>
      </w:r>
      <w:r w:rsidR="00C026A6" w:rsidRPr="00EA59C0">
        <w:t xml:space="preserve"> </w:t>
      </w:r>
      <w:r w:rsidR="00485ABA" w:rsidRPr="00EA59C0">
        <w:t>state</w:t>
      </w:r>
      <w:r w:rsidR="00C026A6" w:rsidRPr="00EA59C0">
        <w:t xml:space="preserve"> </w:t>
      </w:r>
      <w:r w:rsidR="00485ABA" w:rsidRPr="00EA59C0">
        <w:t>agency</w:t>
      </w:r>
      <w:r w:rsidR="00C026A6" w:rsidRPr="00EA59C0">
        <w:t xml:space="preserve"> </w:t>
      </w:r>
      <w:r w:rsidR="00485ABA" w:rsidRPr="00EA59C0">
        <w:t>that</w:t>
      </w:r>
      <w:r w:rsidR="00C026A6" w:rsidRPr="00EA59C0">
        <w:t xml:space="preserve"> </w:t>
      </w:r>
      <w:r w:rsidR="00485ABA" w:rsidRPr="00EA59C0">
        <w:t>administers</w:t>
      </w:r>
      <w:r w:rsidR="00C026A6" w:rsidRPr="00EA59C0">
        <w:t xml:space="preserve"> </w:t>
      </w:r>
      <w:r w:rsidR="00485ABA" w:rsidRPr="00EA59C0">
        <w:t>the</w:t>
      </w:r>
      <w:r w:rsidR="00C026A6" w:rsidRPr="00EA59C0">
        <w:t xml:space="preserve"> </w:t>
      </w:r>
      <w:r w:rsidR="00485ABA" w:rsidRPr="00EA59C0">
        <w:t>TAA</w:t>
      </w:r>
      <w:r w:rsidR="00C026A6" w:rsidRPr="00EA59C0">
        <w:t xml:space="preserve"> </w:t>
      </w:r>
      <w:r w:rsidR="00485ABA" w:rsidRPr="00EA59C0">
        <w:t>for</w:t>
      </w:r>
      <w:r w:rsidR="00C026A6" w:rsidRPr="00EA59C0">
        <w:t xml:space="preserve"> </w:t>
      </w:r>
      <w:r w:rsidR="00485ABA" w:rsidRPr="00EA59C0">
        <w:t>workers</w:t>
      </w:r>
      <w:r w:rsidR="00C026A6" w:rsidRPr="00EA59C0">
        <w:t xml:space="preserve"> </w:t>
      </w:r>
      <w:r w:rsidR="00485ABA" w:rsidRPr="00EA59C0">
        <w:t>program</w:t>
      </w:r>
      <w:r w:rsidRPr="00EA59C0">
        <w:t>;</w:t>
      </w:r>
    </w:p>
    <w:p w:rsidR="004536EC" w:rsidRPr="00EA59C0" w:rsidRDefault="004536EC" w:rsidP="00080097">
      <w:pPr>
        <w:pStyle w:val="ListParagraph"/>
        <w:numPr>
          <w:ilvl w:val="0"/>
          <w:numId w:val="57"/>
        </w:numPr>
      </w:pPr>
      <w:r w:rsidRPr="00EA59C0">
        <w:t xml:space="preserve">Commitment </w:t>
      </w:r>
      <w:r w:rsidR="00485ABA" w:rsidRPr="00EA59C0">
        <w:t>from</w:t>
      </w:r>
      <w:r w:rsidR="00C026A6" w:rsidRPr="00EA59C0">
        <w:t xml:space="preserve"> </w:t>
      </w:r>
      <w:r w:rsidR="00485ABA" w:rsidRPr="00EA59C0">
        <w:t>the</w:t>
      </w:r>
      <w:r w:rsidR="00C026A6" w:rsidRPr="00EA59C0">
        <w:t xml:space="preserve"> </w:t>
      </w:r>
      <w:r w:rsidR="00485ABA" w:rsidRPr="00EA59C0">
        <w:t>local</w:t>
      </w:r>
      <w:r w:rsidR="00C026A6" w:rsidRPr="00EA59C0">
        <w:t xml:space="preserve"> </w:t>
      </w:r>
      <w:r w:rsidR="00485ABA" w:rsidRPr="00EA59C0">
        <w:t>workforce</w:t>
      </w:r>
      <w:r w:rsidR="00C026A6" w:rsidRPr="00EA59C0">
        <w:t xml:space="preserve"> </w:t>
      </w:r>
      <w:r w:rsidR="00485ABA" w:rsidRPr="00EA59C0">
        <w:t>system</w:t>
      </w:r>
      <w:r w:rsidRPr="00EA59C0">
        <w:t>; and</w:t>
      </w:r>
    </w:p>
    <w:p w:rsidR="004536EC" w:rsidRPr="00EA59C0" w:rsidRDefault="004536EC" w:rsidP="00080097">
      <w:pPr>
        <w:pStyle w:val="ListParagraph"/>
        <w:numPr>
          <w:ilvl w:val="0"/>
          <w:numId w:val="57"/>
        </w:numPr>
      </w:pPr>
      <w:r w:rsidRPr="00EA59C0">
        <w:t>Support of the state workforce system, as indicated by a letter(s) signed by the Governor for all the states included in the application, or his or her designee (which may be the Administrator of the state workforce agency).</w:t>
      </w:r>
    </w:p>
    <w:p w:rsidR="004536EC" w:rsidRPr="00EA59C0" w:rsidRDefault="004536EC" w:rsidP="004536EC">
      <w:pPr>
        <w:ind w:left="1440"/>
      </w:pPr>
    </w:p>
    <w:p w:rsidR="004536EC" w:rsidRPr="00EA59C0" w:rsidRDefault="004536EC" w:rsidP="004536EC">
      <w:pPr>
        <w:ind w:left="1440"/>
      </w:pPr>
      <w:r w:rsidRPr="00EA59C0">
        <w:t>Applicants can submit multiple individual letters to document this commitment, or can submit combined letters.  For example, applicants may submit individual letters from the state agency that administers the TAA for workers program, the local workforce system, and the state workforce system(s).  Applicants may also submit an individual letter from the local workforce system, and also submit one combined letter that documents the commitment of the state agency that administers the TAA for workers program and the state workforce system(s).  If using grants.gov for submission, this document(s) must be attached under the Mandatory Other Attachment section and labeled “Documentation of Workforce System Commitment.”</w:t>
      </w:r>
    </w:p>
    <w:p w:rsidR="004536EC" w:rsidRPr="00EA59C0" w:rsidRDefault="004536EC" w:rsidP="004536EC">
      <w:pPr>
        <w:ind w:left="1440"/>
      </w:pPr>
    </w:p>
    <w:p w:rsidR="003D14E5" w:rsidRPr="00EA59C0" w:rsidRDefault="003D14E5" w:rsidP="003D14E5">
      <w:pPr>
        <w:ind w:left="1440"/>
      </w:pPr>
      <w:r w:rsidRPr="00EA59C0">
        <w:t xml:space="preserve">Applicants must submit documentation from the WIBs that may be involved in the project.  In cases where the applicant is proposing to </w:t>
      </w:r>
      <w:r w:rsidRPr="00EA59C0">
        <w:rPr>
          <w:bCs/>
        </w:rPr>
        <w:t>procure activities and services from</w:t>
      </w:r>
      <w:r w:rsidRPr="00EA59C0">
        <w:t xml:space="preserve"> the workforce system and have completed procurement, applicants must submit documentation from the WIBs that will be involved indicating their interest and expected roles and responsibilities in the project.  In cases where applicants are proposing to </w:t>
      </w:r>
      <w:r w:rsidRPr="00EA59C0">
        <w:rPr>
          <w:bCs/>
        </w:rPr>
        <w:t>procure activities and services from</w:t>
      </w:r>
      <w:r w:rsidRPr="00EA59C0">
        <w:t xml:space="preserve"> the workforce system and have not finished procuring a specific WIB </w:t>
      </w:r>
      <w:r w:rsidR="00C376C8" w:rsidRPr="00EA59C0">
        <w:t>or WIB(s)</w:t>
      </w:r>
      <w:r w:rsidRPr="00EA59C0">
        <w:t xml:space="preserve"> when they submit their proposal, applicants must submit documentation from the WIBs that may be involved indicating their interest and expected roles and responsibilities in the project.  This documentation does not eliminate the need to follow the procurement requirements specified at 29 CFR 95.40 – 48 where the parties enter into a contract for supplies or services.  </w:t>
      </w:r>
    </w:p>
    <w:p w:rsidR="003D14E5" w:rsidRPr="00EA59C0" w:rsidRDefault="003D14E5" w:rsidP="00485ABA"/>
    <w:p w:rsidR="00485ABA" w:rsidRPr="00EA59C0" w:rsidRDefault="00485ABA" w:rsidP="006D2090">
      <w:pPr>
        <w:pStyle w:val="Heading2"/>
        <w:numPr>
          <w:ilvl w:val="3"/>
          <w:numId w:val="17"/>
        </w:numPr>
        <w:spacing w:line="240" w:lineRule="auto"/>
        <w:rPr>
          <w:rFonts w:ascii="Times New Roman" w:hAnsi="Times New Roman"/>
          <w:b w:val="0"/>
          <w:i w:val="0"/>
        </w:rPr>
      </w:pPr>
      <w:r w:rsidRPr="00EA59C0">
        <w:rPr>
          <w:rFonts w:ascii="Times New Roman" w:hAnsi="Times New Roman"/>
          <w:b w:val="0"/>
          <w:i w:val="0"/>
        </w:rPr>
        <w:t>Program</w:t>
      </w:r>
      <w:r w:rsidR="00C026A6" w:rsidRPr="00EA59C0">
        <w:rPr>
          <w:rFonts w:ascii="Times New Roman" w:hAnsi="Times New Roman"/>
          <w:b w:val="0"/>
          <w:i w:val="0"/>
        </w:rPr>
        <w:t xml:space="preserve"> </w:t>
      </w:r>
      <w:r w:rsidRPr="00EA59C0">
        <w:rPr>
          <w:rFonts w:ascii="Times New Roman" w:hAnsi="Times New Roman"/>
          <w:b w:val="0"/>
          <w:i w:val="0"/>
        </w:rPr>
        <w:t>Evaluation</w:t>
      </w:r>
      <w:r w:rsidR="00C026A6" w:rsidRPr="00EA59C0">
        <w:rPr>
          <w:rFonts w:ascii="Times New Roman" w:hAnsi="Times New Roman"/>
          <w:b w:val="0"/>
          <w:i w:val="0"/>
        </w:rPr>
        <w:t xml:space="preserve"> </w:t>
      </w:r>
      <w:r w:rsidRPr="00EA59C0">
        <w:rPr>
          <w:rFonts w:ascii="Times New Roman" w:hAnsi="Times New Roman"/>
          <w:b w:val="0"/>
          <w:i w:val="0"/>
        </w:rPr>
        <w:t>Plan</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Budget</w:t>
      </w:r>
      <w:r w:rsidR="00C026A6" w:rsidRPr="00EA59C0">
        <w:rPr>
          <w:rFonts w:ascii="Times New Roman" w:hAnsi="Times New Roman"/>
          <w:b w:val="0"/>
          <w:i w:val="0"/>
        </w:rPr>
        <w:t xml:space="preserve"> </w:t>
      </w:r>
      <w:r w:rsidRPr="00EA59C0">
        <w:rPr>
          <w:rFonts w:ascii="Times New Roman" w:hAnsi="Times New Roman"/>
          <w:b w:val="0"/>
          <w:i w:val="0"/>
        </w:rPr>
        <w:t>Narrative:</w:t>
      </w:r>
      <w:r w:rsidR="00C026A6" w:rsidRPr="00EA59C0">
        <w:rPr>
          <w:rFonts w:ascii="Times New Roman" w:hAnsi="Times New Roman"/>
          <w:b w:val="0"/>
          <w:i w:val="0"/>
        </w:rPr>
        <w:t xml:space="preserve">  </w:t>
      </w:r>
      <w:r w:rsidRPr="00EA59C0">
        <w:rPr>
          <w:rFonts w:ascii="Times New Roman" w:hAnsi="Times New Roman"/>
          <w:b w:val="0"/>
          <w:i w:val="0"/>
        </w:rPr>
        <w:t>All</w:t>
      </w:r>
      <w:r w:rsidR="00C026A6" w:rsidRPr="00EA59C0">
        <w:rPr>
          <w:rFonts w:ascii="Times New Roman" w:hAnsi="Times New Roman"/>
          <w:b w:val="0"/>
          <w:i w:val="0"/>
        </w:rPr>
        <w:t xml:space="preserve"> </w:t>
      </w:r>
      <w:r w:rsidRPr="00EA59C0">
        <w:rPr>
          <w:rFonts w:ascii="Times New Roman" w:hAnsi="Times New Roman"/>
          <w:b w:val="0"/>
          <w:i w:val="0"/>
        </w:rPr>
        <w:t>applicants</w:t>
      </w:r>
      <w:r w:rsidR="00C026A6" w:rsidRPr="00EA59C0">
        <w:rPr>
          <w:rFonts w:ascii="Times New Roman" w:hAnsi="Times New Roman"/>
          <w:b w:val="0"/>
          <w:i w:val="0"/>
        </w:rPr>
        <w:t xml:space="preserve"> </w:t>
      </w:r>
      <w:r w:rsidRPr="00EA59C0">
        <w:rPr>
          <w:rFonts w:ascii="Times New Roman" w:hAnsi="Times New Roman"/>
          <w:b w:val="0"/>
          <w:i w:val="0"/>
        </w:rPr>
        <w:t>must</w:t>
      </w:r>
      <w:r w:rsidR="00C026A6" w:rsidRPr="00EA59C0">
        <w:rPr>
          <w:rFonts w:ascii="Times New Roman" w:hAnsi="Times New Roman"/>
          <w:b w:val="0"/>
          <w:i w:val="0"/>
        </w:rPr>
        <w:t xml:space="preserve"> </w:t>
      </w:r>
      <w:r w:rsidRPr="00EA59C0">
        <w:rPr>
          <w:rFonts w:ascii="Times New Roman" w:hAnsi="Times New Roman"/>
          <w:b w:val="0"/>
          <w:i w:val="0"/>
        </w:rPr>
        <w:t>submit</w:t>
      </w:r>
      <w:r w:rsidR="00C026A6" w:rsidRPr="00EA59C0">
        <w:rPr>
          <w:rFonts w:ascii="Times New Roman" w:hAnsi="Times New Roman"/>
          <w:b w:val="0"/>
          <w:i w:val="0"/>
        </w:rPr>
        <w:t xml:space="preserve"> </w:t>
      </w:r>
      <w:r w:rsidRPr="00EA59C0">
        <w:rPr>
          <w:rFonts w:ascii="Times New Roman" w:hAnsi="Times New Roman"/>
          <w:b w:val="0"/>
          <w:i w:val="0"/>
        </w:rPr>
        <w:t>a</w:t>
      </w:r>
      <w:r w:rsidR="00C026A6" w:rsidRPr="00EA59C0">
        <w:rPr>
          <w:rFonts w:ascii="Times New Roman" w:hAnsi="Times New Roman"/>
          <w:b w:val="0"/>
          <w:i w:val="0"/>
        </w:rPr>
        <w:t xml:space="preserve"> </w:t>
      </w:r>
      <w:r w:rsidRPr="00EA59C0">
        <w:rPr>
          <w:rFonts w:ascii="Times New Roman" w:hAnsi="Times New Roman"/>
          <w:b w:val="0"/>
          <w:i w:val="0"/>
        </w:rPr>
        <w:t>program</w:t>
      </w:r>
      <w:r w:rsidR="00C026A6" w:rsidRPr="00EA59C0">
        <w:rPr>
          <w:rFonts w:ascii="Times New Roman" w:hAnsi="Times New Roman"/>
          <w:b w:val="0"/>
          <w:i w:val="0"/>
        </w:rPr>
        <w:t xml:space="preserve"> </w:t>
      </w:r>
      <w:r w:rsidRPr="00EA59C0">
        <w:rPr>
          <w:rFonts w:ascii="Times New Roman" w:hAnsi="Times New Roman"/>
          <w:b w:val="0"/>
          <w:i w:val="0"/>
        </w:rPr>
        <w:t>evaluation</w:t>
      </w:r>
      <w:r w:rsidR="00C026A6" w:rsidRPr="00EA59C0">
        <w:rPr>
          <w:rFonts w:ascii="Times New Roman" w:hAnsi="Times New Roman"/>
          <w:b w:val="0"/>
          <w:i w:val="0"/>
        </w:rPr>
        <w:t xml:space="preserve"> </w:t>
      </w:r>
      <w:r w:rsidRPr="00EA59C0">
        <w:rPr>
          <w:rFonts w:ascii="Times New Roman" w:hAnsi="Times New Roman"/>
          <w:b w:val="0"/>
          <w:i w:val="0"/>
        </w:rPr>
        <w:t>plan</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separate</w:t>
      </w:r>
      <w:r w:rsidR="00C026A6" w:rsidRPr="00EA59C0">
        <w:rPr>
          <w:rFonts w:ascii="Times New Roman" w:hAnsi="Times New Roman"/>
          <w:b w:val="0"/>
          <w:i w:val="0"/>
        </w:rPr>
        <w:t xml:space="preserve"> </w:t>
      </w:r>
      <w:r w:rsidRPr="00EA59C0">
        <w:rPr>
          <w:rFonts w:ascii="Times New Roman" w:hAnsi="Times New Roman"/>
          <w:b w:val="0"/>
          <w:i w:val="0"/>
        </w:rPr>
        <w:t>evaluation</w:t>
      </w:r>
      <w:r w:rsidR="00C026A6" w:rsidRPr="00EA59C0">
        <w:rPr>
          <w:rFonts w:ascii="Times New Roman" w:hAnsi="Times New Roman"/>
          <w:b w:val="0"/>
          <w:i w:val="0"/>
        </w:rPr>
        <w:t xml:space="preserve"> </w:t>
      </w:r>
      <w:r w:rsidRPr="00EA59C0">
        <w:rPr>
          <w:rFonts w:ascii="Times New Roman" w:hAnsi="Times New Roman"/>
          <w:b w:val="0"/>
          <w:i w:val="0"/>
        </w:rPr>
        <w:t>budget</w:t>
      </w:r>
      <w:r w:rsidR="00C026A6" w:rsidRPr="00EA59C0">
        <w:rPr>
          <w:rFonts w:ascii="Times New Roman" w:hAnsi="Times New Roman"/>
          <w:b w:val="0"/>
          <w:i w:val="0"/>
        </w:rPr>
        <w:t xml:space="preserve"> </w:t>
      </w:r>
      <w:r w:rsidRPr="00EA59C0">
        <w:rPr>
          <w:rFonts w:ascii="Times New Roman" w:hAnsi="Times New Roman"/>
          <w:b w:val="0"/>
          <w:i w:val="0"/>
        </w:rPr>
        <w:t>narrative</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an</w:t>
      </w:r>
      <w:r w:rsidR="00C026A6" w:rsidRPr="00EA59C0">
        <w:rPr>
          <w:rFonts w:ascii="Times New Roman" w:hAnsi="Times New Roman"/>
          <w:b w:val="0"/>
          <w:i w:val="0"/>
        </w:rPr>
        <w:t xml:space="preserve"> </w:t>
      </w:r>
      <w:r w:rsidRPr="00EA59C0">
        <w:rPr>
          <w:rFonts w:ascii="Times New Roman" w:hAnsi="Times New Roman"/>
          <w:b w:val="0"/>
          <w:i w:val="0"/>
        </w:rPr>
        <w:t>independent</w:t>
      </w:r>
      <w:r w:rsidR="00C026A6" w:rsidRPr="00EA59C0">
        <w:rPr>
          <w:rFonts w:ascii="Times New Roman" w:hAnsi="Times New Roman"/>
          <w:b w:val="0"/>
          <w:i w:val="0"/>
        </w:rPr>
        <w:t xml:space="preserve"> </w:t>
      </w:r>
      <w:r w:rsidRPr="00EA59C0">
        <w:rPr>
          <w:rFonts w:ascii="Times New Roman" w:hAnsi="Times New Roman"/>
          <w:b w:val="0"/>
          <w:i w:val="0"/>
        </w:rPr>
        <w:t>third-party</w:t>
      </w:r>
      <w:r w:rsidR="00C026A6" w:rsidRPr="00EA59C0">
        <w:rPr>
          <w:rFonts w:ascii="Times New Roman" w:hAnsi="Times New Roman"/>
          <w:b w:val="0"/>
          <w:i w:val="0"/>
        </w:rPr>
        <w:t xml:space="preserve"> </w:t>
      </w:r>
      <w:r w:rsidRPr="00EA59C0">
        <w:rPr>
          <w:rFonts w:ascii="Times New Roman" w:hAnsi="Times New Roman"/>
          <w:b w:val="0"/>
          <w:i w:val="0"/>
        </w:rPr>
        <w:t>evaluation</w:t>
      </w:r>
      <w:r w:rsidR="00C026A6" w:rsidRPr="00EA59C0">
        <w:rPr>
          <w:rFonts w:ascii="Times New Roman" w:hAnsi="Times New Roman"/>
          <w:b w:val="0"/>
          <w:i w:val="0"/>
        </w:rPr>
        <w:t xml:space="preserve"> </w:t>
      </w:r>
      <w:r w:rsidRPr="00EA59C0">
        <w:rPr>
          <w:rFonts w:ascii="Times New Roman" w:hAnsi="Times New Roman"/>
          <w:b w:val="0"/>
          <w:i w:val="0"/>
        </w:rPr>
        <w:t>of</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proposed</w:t>
      </w:r>
      <w:r w:rsidR="00C026A6" w:rsidRPr="00EA59C0">
        <w:rPr>
          <w:rFonts w:ascii="Times New Roman" w:hAnsi="Times New Roman"/>
          <w:b w:val="0"/>
          <w:i w:val="0"/>
        </w:rPr>
        <w:t xml:space="preserve"> </w:t>
      </w:r>
      <w:r w:rsidRPr="00EA59C0">
        <w:rPr>
          <w:rFonts w:ascii="Times New Roman" w:hAnsi="Times New Roman"/>
          <w:b w:val="0"/>
          <w:i w:val="0"/>
        </w:rPr>
        <w:t>project,</w:t>
      </w:r>
      <w:r w:rsidR="00C026A6" w:rsidRPr="00EA59C0">
        <w:rPr>
          <w:rFonts w:ascii="Times New Roman" w:hAnsi="Times New Roman"/>
          <w:b w:val="0"/>
          <w:i w:val="0"/>
        </w:rPr>
        <w:t xml:space="preserve"> </w:t>
      </w:r>
      <w:r w:rsidRPr="00EA59C0">
        <w:rPr>
          <w:rFonts w:ascii="Times New Roman" w:hAnsi="Times New Roman"/>
          <w:b w:val="0"/>
          <w:i w:val="0"/>
        </w:rPr>
        <w:t>as</w:t>
      </w:r>
      <w:r w:rsidR="00C026A6" w:rsidRPr="00EA59C0">
        <w:rPr>
          <w:rFonts w:ascii="Times New Roman" w:hAnsi="Times New Roman"/>
          <w:b w:val="0"/>
          <w:i w:val="0"/>
        </w:rPr>
        <w:t xml:space="preserve"> </w:t>
      </w:r>
      <w:r w:rsidRPr="00EA59C0">
        <w:rPr>
          <w:rFonts w:ascii="Times New Roman" w:hAnsi="Times New Roman"/>
          <w:b w:val="0"/>
          <w:i w:val="0"/>
        </w:rPr>
        <w:t>described</w:t>
      </w:r>
      <w:r w:rsidR="00C026A6" w:rsidRPr="00EA59C0">
        <w:rPr>
          <w:rFonts w:ascii="Times New Roman" w:hAnsi="Times New Roman"/>
          <w:b w:val="0"/>
          <w:i w:val="0"/>
        </w:rPr>
        <w:t xml:space="preserve"> </w:t>
      </w:r>
      <w:r w:rsidRPr="00EA59C0">
        <w:rPr>
          <w:rFonts w:ascii="Times New Roman" w:hAnsi="Times New Roman"/>
          <w:b w:val="0"/>
          <w:i w:val="0"/>
        </w:rPr>
        <w:t>in</w:t>
      </w:r>
      <w:r w:rsidR="00C026A6" w:rsidRPr="00EA59C0">
        <w:rPr>
          <w:rFonts w:ascii="Times New Roman" w:hAnsi="Times New Roman"/>
          <w:b w:val="0"/>
          <w:i w:val="0"/>
        </w:rPr>
        <w:t xml:space="preserve"> </w:t>
      </w:r>
      <w:r w:rsidRPr="00EA59C0">
        <w:rPr>
          <w:rFonts w:ascii="Times New Roman" w:hAnsi="Times New Roman"/>
          <w:b w:val="0"/>
          <w:i w:val="0"/>
        </w:rPr>
        <w:t>Section</w:t>
      </w:r>
      <w:r w:rsidR="00C026A6" w:rsidRPr="00EA59C0">
        <w:rPr>
          <w:rFonts w:ascii="Times New Roman" w:hAnsi="Times New Roman"/>
          <w:b w:val="0"/>
          <w:i w:val="0"/>
        </w:rPr>
        <w:t xml:space="preserve"> </w:t>
      </w:r>
      <w:r w:rsidRPr="00EA59C0">
        <w:rPr>
          <w:rFonts w:ascii="Times New Roman" w:hAnsi="Times New Roman"/>
          <w:b w:val="0"/>
          <w:i w:val="0"/>
        </w:rPr>
        <w:t>V.D.</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project</w:t>
      </w:r>
      <w:r w:rsidR="00C026A6" w:rsidRPr="00EA59C0">
        <w:rPr>
          <w:rFonts w:ascii="Times New Roman" w:hAnsi="Times New Roman"/>
          <w:b w:val="0"/>
          <w:i w:val="0"/>
        </w:rPr>
        <w:t xml:space="preserve"> </w:t>
      </w:r>
      <w:r w:rsidRPr="00EA59C0">
        <w:rPr>
          <w:rFonts w:ascii="Times New Roman" w:hAnsi="Times New Roman"/>
          <w:b w:val="0"/>
          <w:i w:val="0"/>
        </w:rPr>
        <w:t>evaluation</w:t>
      </w:r>
      <w:r w:rsidR="00C026A6" w:rsidRPr="00EA59C0">
        <w:rPr>
          <w:rFonts w:ascii="Times New Roman" w:hAnsi="Times New Roman"/>
          <w:b w:val="0"/>
          <w:i w:val="0"/>
        </w:rPr>
        <w:t xml:space="preserve"> </w:t>
      </w:r>
      <w:r w:rsidRPr="00EA59C0">
        <w:rPr>
          <w:rFonts w:ascii="Times New Roman" w:hAnsi="Times New Roman"/>
          <w:b w:val="0"/>
          <w:i w:val="0"/>
        </w:rPr>
        <w:t>plan</w:t>
      </w:r>
      <w:r w:rsidR="00C026A6" w:rsidRPr="00EA59C0">
        <w:rPr>
          <w:rFonts w:ascii="Times New Roman" w:hAnsi="Times New Roman"/>
          <w:b w:val="0"/>
          <w:i w:val="0"/>
        </w:rPr>
        <w:t xml:space="preserve"> </w:t>
      </w:r>
      <w:r w:rsidRPr="00EA59C0">
        <w:rPr>
          <w:rFonts w:ascii="Times New Roman" w:hAnsi="Times New Roman"/>
          <w:b w:val="0"/>
          <w:i w:val="0"/>
        </w:rPr>
        <w:t>does</w:t>
      </w:r>
      <w:r w:rsidR="00C026A6" w:rsidRPr="00EA59C0">
        <w:rPr>
          <w:rFonts w:ascii="Times New Roman" w:hAnsi="Times New Roman"/>
          <w:b w:val="0"/>
          <w:i w:val="0"/>
        </w:rPr>
        <w:t xml:space="preserve"> </w:t>
      </w:r>
      <w:r w:rsidRPr="00EA59C0">
        <w:rPr>
          <w:rFonts w:ascii="Times New Roman" w:hAnsi="Times New Roman"/>
          <w:b w:val="0"/>
          <w:i w:val="0"/>
        </w:rPr>
        <w:t>not</w:t>
      </w:r>
      <w:r w:rsidR="00C026A6" w:rsidRPr="00EA59C0">
        <w:rPr>
          <w:rFonts w:ascii="Times New Roman" w:hAnsi="Times New Roman"/>
          <w:b w:val="0"/>
          <w:i w:val="0"/>
        </w:rPr>
        <w:t xml:space="preserve"> </w:t>
      </w:r>
      <w:r w:rsidRPr="00EA59C0">
        <w:rPr>
          <w:rFonts w:ascii="Times New Roman" w:hAnsi="Times New Roman"/>
          <w:b w:val="0"/>
          <w:i w:val="0"/>
        </w:rPr>
        <w:t>count</w:t>
      </w:r>
      <w:r w:rsidR="00C026A6" w:rsidRPr="00EA59C0">
        <w:rPr>
          <w:rFonts w:ascii="Times New Roman" w:hAnsi="Times New Roman"/>
          <w:b w:val="0"/>
          <w:i w:val="0"/>
        </w:rPr>
        <w:t xml:space="preserve"> </w:t>
      </w:r>
      <w:r w:rsidRPr="00EA59C0">
        <w:rPr>
          <w:rFonts w:ascii="Times New Roman" w:hAnsi="Times New Roman"/>
          <w:b w:val="0"/>
          <w:i w:val="0"/>
        </w:rPr>
        <w:t>against</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project</w:t>
      </w:r>
      <w:r w:rsidR="00C026A6" w:rsidRPr="00EA59C0">
        <w:rPr>
          <w:rFonts w:ascii="Times New Roman" w:hAnsi="Times New Roman"/>
          <w:b w:val="0"/>
          <w:i w:val="0"/>
        </w:rPr>
        <w:t xml:space="preserve"> </w:t>
      </w:r>
      <w:r w:rsidRPr="00EA59C0">
        <w:rPr>
          <w:rFonts w:ascii="Times New Roman" w:hAnsi="Times New Roman"/>
          <w:b w:val="0"/>
          <w:i w:val="0"/>
        </w:rPr>
        <w:t>narrative</w:t>
      </w:r>
      <w:r w:rsidR="00C026A6" w:rsidRPr="00EA59C0">
        <w:rPr>
          <w:rFonts w:ascii="Times New Roman" w:hAnsi="Times New Roman"/>
          <w:b w:val="0"/>
          <w:i w:val="0"/>
        </w:rPr>
        <w:t xml:space="preserve"> </w:t>
      </w:r>
      <w:r w:rsidRPr="00EA59C0">
        <w:rPr>
          <w:rFonts w:ascii="Times New Roman" w:hAnsi="Times New Roman"/>
          <w:b w:val="0"/>
          <w:i w:val="0"/>
        </w:rPr>
        <w:t>page</w:t>
      </w:r>
      <w:r w:rsidR="00C026A6" w:rsidRPr="00EA59C0">
        <w:rPr>
          <w:rFonts w:ascii="Times New Roman" w:hAnsi="Times New Roman"/>
          <w:b w:val="0"/>
          <w:i w:val="0"/>
        </w:rPr>
        <w:t xml:space="preserve"> </w:t>
      </w:r>
      <w:r w:rsidRPr="00EA59C0">
        <w:rPr>
          <w:rFonts w:ascii="Times New Roman" w:hAnsi="Times New Roman"/>
          <w:b w:val="0"/>
          <w:i w:val="0"/>
        </w:rPr>
        <w:t>limit,</w:t>
      </w:r>
      <w:r w:rsidR="00C026A6" w:rsidRPr="00EA59C0">
        <w:rPr>
          <w:rFonts w:ascii="Times New Roman" w:hAnsi="Times New Roman"/>
          <w:b w:val="0"/>
          <w:i w:val="0"/>
        </w:rPr>
        <w:t xml:space="preserve"> </w:t>
      </w:r>
      <w:r w:rsidRPr="00EA59C0">
        <w:rPr>
          <w:rFonts w:ascii="Times New Roman" w:hAnsi="Times New Roman"/>
          <w:b w:val="0"/>
          <w:i w:val="0"/>
        </w:rPr>
        <w:t>but</w:t>
      </w:r>
      <w:r w:rsidR="00C026A6" w:rsidRPr="00EA59C0">
        <w:rPr>
          <w:rFonts w:ascii="Times New Roman" w:hAnsi="Times New Roman"/>
          <w:b w:val="0"/>
          <w:i w:val="0"/>
        </w:rPr>
        <w:t xml:space="preserve"> </w:t>
      </w:r>
      <w:r w:rsidRPr="00EA59C0">
        <w:rPr>
          <w:rFonts w:ascii="Times New Roman" w:hAnsi="Times New Roman"/>
          <w:b w:val="0"/>
          <w:i w:val="0"/>
        </w:rPr>
        <w:t>cannot</w:t>
      </w:r>
      <w:r w:rsidR="00C026A6" w:rsidRPr="00EA59C0">
        <w:rPr>
          <w:rFonts w:ascii="Times New Roman" w:hAnsi="Times New Roman"/>
          <w:b w:val="0"/>
          <w:i w:val="0"/>
        </w:rPr>
        <w:t xml:space="preserve"> </w:t>
      </w:r>
      <w:r w:rsidRPr="00EA59C0">
        <w:rPr>
          <w:rFonts w:ascii="Times New Roman" w:hAnsi="Times New Roman"/>
          <w:b w:val="0"/>
          <w:i w:val="0"/>
        </w:rPr>
        <w:t>exceed</w:t>
      </w:r>
      <w:r w:rsidR="00C026A6" w:rsidRPr="00EA59C0">
        <w:rPr>
          <w:rFonts w:ascii="Times New Roman" w:hAnsi="Times New Roman"/>
          <w:b w:val="0"/>
          <w:i w:val="0"/>
        </w:rPr>
        <w:t xml:space="preserve"> </w:t>
      </w:r>
      <w:r w:rsidRPr="00EA59C0">
        <w:rPr>
          <w:rFonts w:ascii="Times New Roman" w:hAnsi="Times New Roman"/>
          <w:b w:val="0"/>
          <w:i w:val="0"/>
        </w:rPr>
        <w:t>5</w:t>
      </w:r>
      <w:r w:rsidR="00C026A6" w:rsidRPr="00EA59C0">
        <w:rPr>
          <w:rFonts w:ascii="Times New Roman" w:hAnsi="Times New Roman"/>
          <w:b w:val="0"/>
          <w:i w:val="0"/>
        </w:rPr>
        <w:t xml:space="preserve"> </w:t>
      </w:r>
      <w:r w:rsidRPr="00EA59C0">
        <w:rPr>
          <w:rFonts w:ascii="Times New Roman" w:hAnsi="Times New Roman"/>
          <w:b w:val="0"/>
          <w:i w:val="0"/>
        </w:rPr>
        <w:t>pages.</w:t>
      </w:r>
      <w:r w:rsidR="00C026A6" w:rsidRPr="00EA59C0">
        <w:rPr>
          <w:rFonts w:ascii="Times New Roman" w:hAnsi="Times New Roman"/>
          <w:b w:val="0"/>
          <w:i w:val="0"/>
        </w:rPr>
        <w:t xml:space="preserve">  </w:t>
      </w:r>
      <w:r w:rsidRPr="00EA59C0">
        <w:rPr>
          <w:rFonts w:ascii="Times New Roman" w:hAnsi="Times New Roman"/>
          <w:b w:val="0"/>
          <w:i w:val="0"/>
        </w:rPr>
        <w:t>There</w:t>
      </w:r>
      <w:r w:rsidR="00C026A6" w:rsidRPr="00EA59C0">
        <w:rPr>
          <w:rFonts w:ascii="Times New Roman" w:hAnsi="Times New Roman"/>
          <w:b w:val="0"/>
          <w:i w:val="0"/>
        </w:rPr>
        <w:t xml:space="preserve"> </w:t>
      </w:r>
      <w:r w:rsidRPr="00EA59C0">
        <w:rPr>
          <w:rFonts w:ascii="Times New Roman" w:hAnsi="Times New Roman"/>
          <w:b w:val="0"/>
          <w:i w:val="0"/>
        </w:rPr>
        <w:t>is</w:t>
      </w:r>
      <w:r w:rsidR="00C026A6" w:rsidRPr="00EA59C0">
        <w:rPr>
          <w:rFonts w:ascii="Times New Roman" w:hAnsi="Times New Roman"/>
          <w:b w:val="0"/>
          <w:i w:val="0"/>
        </w:rPr>
        <w:t xml:space="preserve"> </w:t>
      </w:r>
      <w:r w:rsidRPr="00EA59C0">
        <w:rPr>
          <w:rFonts w:ascii="Times New Roman" w:hAnsi="Times New Roman"/>
          <w:b w:val="0"/>
          <w:i w:val="0"/>
        </w:rPr>
        <w:t>no</w:t>
      </w:r>
      <w:r w:rsidR="00C026A6" w:rsidRPr="00EA59C0">
        <w:rPr>
          <w:rFonts w:ascii="Times New Roman" w:hAnsi="Times New Roman"/>
          <w:b w:val="0"/>
          <w:i w:val="0"/>
        </w:rPr>
        <w:t xml:space="preserve"> </w:t>
      </w:r>
      <w:r w:rsidRPr="00EA59C0">
        <w:rPr>
          <w:rFonts w:ascii="Times New Roman" w:hAnsi="Times New Roman"/>
          <w:b w:val="0"/>
          <w:i w:val="0"/>
        </w:rPr>
        <w:t>page</w:t>
      </w:r>
      <w:r w:rsidR="00C026A6" w:rsidRPr="00EA59C0">
        <w:rPr>
          <w:rFonts w:ascii="Times New Roman" w:hAnsi="Times New Roman"/>
          <w:b w:val="0"/>
          <w:i w:val="0"/>
        </w:rPr>
        <w:t xml:space="preserve"> </w:t>
      </w:r>
      <w:r w:rsidRPr="00EA59C0">
        <w:rPr>
          <w:rFonts w:ascii="Times New Roman" w:hAnsi="Times New Roman"/>
          <w:b w:val="0"/>
          <w:i w:val="0"/>
        </w:rPr>
        <w:t>limit</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evaluation</w:t>
      </w:r>
      <w:r w:rsidR="00C026A6" w:rsidRPr="00EA59C0">
        <w:rPr>
          <w:rFonts w:ascii="Times New Roman" w:hAnsi="Times New Roman"/>
          <w:b w:val="0"/>
          <w:i w:val="0"/>
        </w:rPr>
        <w:t xml:space="preserve"> </w:t>
      </w:r>
      <w:r w:rsidRPr="00EA59C0">
        <w:rPr>
          <w:rFonts w:ascii="Times New Roman" w:hAnsi="Times New Roman"/>
          <w:b w:val="0"/>
          <w:i w:val="0"/>
        </w:rPr>
        <w:t>budget</w:t>
      </w:r>
      <w:r w:rsidR="00C026A6" w:rsidRPr="00EA59C0">
        <w:rPr>
          <w:rFonts w:ascii="Times New Roman" w:hAnsi="Times New Roman"/>
          <w:b w:val="0"/>
          <w:i w:val="0"/>
        </w:rPr>
        <w:t xml:space="preserve"> </w:t>
      </w:r>
      <w:r w:rsidRPr="00EA59C0">
        <w:rPr>
          <w:rFonts w:ascii="Times New Roman" w:hAnsi="Times New Roman"/>
          <w:b w:val="0"/>
          <w:i w:val="0"/>
        </w:rPr>
        <w:t>narrative.</w:t>
      </w:r>
      <w:r w:rsidR="00C026A6" w:rsidRPr="00EA59C0">
        <w:rPr>
          <w:rFonts w:ascii="Times New Roman" w:hAnsi="Times New Roman"/>
          <w:b w:val="0"/>
          <w:i w:val="0"/>
        </w:rPr>
        <w:t xml:space="preserve">  </w:t>
      </w:r>
      <w:r w:rsidRPr="00EA59C0">
        <w:rPr>
          <w:rFonts w:ascii="Times New Roman" w:hAnsi="Times New Roman"/>
          <w:b w:val="0"/>
          <w:i w:val="0"/>
        </w:rPr>
        <w:t>If</w:t>
      </w:r>
      <w:r w:rsidR="00C026A6" w:rsidRPr="00EA59C0">
        <w:rPr>
          <w:rFonts w:ascii="Times New Roman" w:hAnsi="Times New Roman"/>
          <w:b w:val="0"/>
          <w:i w:val="0"/>
        </w:rPr>
        <w:t xml:space="preserve"> </w:t>
      </w:r>
      <w:r w:rsidRPr="00EA59C0">
        <w:rPr>
          <w:rFonts w:ascii="Times New Roman" w:hAnsi="Times New Roman"/>
          <w:b w:val="0"/>
          <w:i w:val="0"/>
        </w:rPr>
        <w:t>using</w:t>
      </w:r>
      <w:r w:rsidR="00C026A6" w:rsidRPr="00EA59C0">
        <w:rPr>
          <w:rFonts w:ascii="Times New Roman" w:hAnsi="Times New Roman"/>
          <w:b w:val="0"/>
          <w:i w:val="0"/>
        </w:rPr>
        <w:t xml:space="preserve"> </w:t>
      </w:r>
      <w:r w:rsidRPr="00EA59C0">
        <w:rPr>
          <w:rFonts w:ascii="Times New Roman" w:hAnsi="Times New Roman"/>
          <w:b w:val="0"/>
          <w:i w:val="0"/>
        </w:rPr>
        <w:t>grants.gov</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submission,</w:t>
      </w:r>
      <w:r w:rsidR="00C026A6" w:rsidRPr="00EA59C0">
        <w:rPr>
          <w:rFonts w:ascii="Times New Roman" w:hAnsi="Times New Roman"/>
          <w:b w:val="0"/>
          <w:i w:val="0"/>
        </w:rPr>
        <w:t xml:space="preserve"> </w:t>
      </w:r>
      <w:r w:rsidRPr="00EA59C0">
        <w:rPr>
          <w:rFonts w:ascii="Times New Roman" w:hAnsi="Times New Roman"/>
          <w:b w:val="0"/>
          <w:i w:val="0"/>
        </w:rPr>
        <w:t>these</w:t>
      </w:r>
      <w:r w:rsidR="00C026A6" w:rsidRPr="00EA59C0">
        <w:rPr>
          <w:rFonts w:ascii="Times New Roman" w:hAnsi="Times New Roman"/>
          <w:b w:val="0"/>
          <w:i w:val="0"/>
        </w:rPr>
        <w:t xml:space="preserve"> </w:t>
      </w:r>
      <w:r w:rsidRPr="00EA59C0">
        <w:rPr>
          <w:rFonts w:ascii="Times New Roman" w:hAnsi="Times New Roman"/>
          <w:b w:val="0"/>
          <w:i w:val="0"/>
        </w:rPr>
        <w:t>documents</w:t>
      </w:r>
      <w:r w:rsidR="00C026A6" w:rsidRPr="00EA59C0">
        <w:rPr>
          <w:rFonts w:ascii="Times New Roman" w:hAnsi="Times New Roman"/>
          <w:b w:val="0"/>
          <w:i w:val="0"/>
        </w:rPr>
        <w:t xml:space="preserve"> </w:t>
      </w:r>
      <w:r w:rsidRPr="00EA59C0">
        <w:rPr>
          <w:rFonts w:ascii="Times New Roman" w:hAnsi="Times New Roman"/>
          <w:b w:val="0"/>
          <w:i w:val="0"/>
        </w:rPr>
        <w:t>must</w:t>
      </w:r>
      <w:r w:rsidR="00C026A6" w:rsidRPr="00EA59C0">
        <w:rPr>
          <w:rFonts w:ascii="Times New Roman" w:hAnsi="Times New Roman"/>
          <w:b w:val="0"/>
          <w:i w:val="0"/>
        </w:rPr>
        <w:t xml:space="preserve"> </w:t>
      </w:r>
      <w:r w:rsidRPr="00EA59C0">
        <w:rPr>
          <w:rFonts w:ascii="Times New Roman" w:hAnsi="Times New Roman"/>
          <w:b w:val="0"/>
          <w:i w:val="0"/>
        </w:rPr>
        <w:t>be</w:t>
      </w:r>
      <w:r w:rsidR="00C026A6" w:rsidRPr="00EA59C0">
        <w:rPr>
          <w:rFonts w:ascii="Times New Roman" w:hAnsi="Times New Roman"/>
          <w:b w:val="0"/>
          <w:i w:val="0"/>
        </w:rPr>
        <w:t xml:space="preserve"> </w:t>
      </w:r>
      <w:r w:rsidRPr="00EA59C0">
        <w:rPr>
          <w:rFonts w:ascii="Times New Roman" w:hAnsi="Times New Roman"/>
          <w:b w:val="0"/>
          <w:i w:val="0"/>
        </w:rPr>
        <w:t>attached</w:t>
      </w:r>
      <w:r w:rsidR="00C026A6" w:rsidRPr="00EA59C0">
        <w:rPr>
          <w:rFonts w:ascii="Times New Roman" w:hAnsi="Times New Roman"/>
          <w:b w:val="0"/>
          <w:i w:val="0"/>
        </w:rPr>
        <w:t xml:space="preserve"> </w:t>
      </w:r>
      <w:r w:rsidRPr="00EA59C0">
        <w:rPr>
          <w:rFonts w:ascii="Times New Roman" w:hAnsi="Times New Roman"/>
          <w:b w:val="0"/>
          <w:i w:val="0"/>
        </w:rPr>
        <w:t>under</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Mandatory</w:t>
      </w:r>
      <w:r w:rsidR="00C026A6" w:rsidRPr="00EA59C0">
        <w:rPr>
          <w:rFonts w:ascii="Times New Roman" w:hAnsi="Times New Roman"/>
          <w:b w:val="0"/>
          <w:i w:val="0"/>
        </w:rPr>
        <w:t xml:space="preserve"> </w:t>
      </w:r>
      <w:r w:rsidRPr="00EA59C0">
        <w:rPr>
          <w:rFonts w:ascii="Times New Roman" w:hAnsi="Times New Roman"/>
          <w:b w:val="0"/>
          <w:i w:val="0"/>
        </w:rPr>
        <w:t>Other</w:t>
      </w:r>
      <w:r w:rsidR="00C026A6" w:rsidRPr="00EA59C0">
        <w:rPr>
          <w:rFonts w:ascii="Times New Roman" w:hAnsi="Times New Roman"/>
          <w:b w:val="0"/>
          <w:i w:val="0"/>
        </w:rPr>
        <w:t xml:space="preserve"> </w:t>
      </w:r>
      <w:r w:rsidRPr="00EA59C0">
        <w:rPr>
          <w:rFonts w:ascii="Times New Roman" w:hAnsi="Times New Roman"/>
          <w:b w:val="0"/>
          <w:i w:val="0"/>
        </w:rPr>
        <w:t>Attachment</w:t>
      </w:r>
      <w:r w:rsidR="00C026A6" w:rsidRPr="00EA59C0">
        <w:rPr>
          <w:rFonts w:ascii="Times New Roman" w:hAnsi="Times New Roman"/>
          <w:b w:val="0"/>
          <w:i w:val="0"/>
        </w:rPr>
        <w:t xml:space="preserve"> </w:t>
      </w:r>
      <w:r w:rsidRPr="00EA59C0">
        <w:rPr>
          <w:rFonts w:ascii="Times New Roman" w:hAnsi="Times New Roman"/>
          <w:b w:val="0"/>
          <w:i w:val="0"/>
        </w:rPr>
        <w:t>section</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labeled</w:t>
      </w:r>
      <w:r w:rsidR="00C026A6" w:rsidRPr="00EA59C0">
        <w:rPr>
          <w:rFonts w:ascii="Times New Roman" w:hAnsi="Times New Roman"/>
          <w:b w:val="0"/>
          <w:i w:val="0"/>
        </w:rPr>
        <w:t xml:space="preserve"> </w:t>
      </w:r>
      <w:r w:rsidRPr="00EA59C0">
        <w:rPr>
          <w:rFonts w:ascii="Times New Roman" w:hAnsi="Times New Roman"/>
          <w:b w:val="0"/>
          <w:i w:val="0"/>
        </w:rPr>
        <w:t>“Program</w:t>
      </w:r>
      <w:r w:rsidR="00C026A6" w:rsidRPr="00EA59C0">
        <w:rPr>
          <w:rFonts w:ascii="Times New Roman" w:hAnsi="Times New Roman"/>
          <w:b w:val="0"/>
          <w:i w:val="0"/>
        </w:rPr>
        <w:t xml:space="preserve"> </w:t>
      </w:r>
      <w:r w:rsidRPr="00EA59C0">
        <w:rPr>
          <w:rFonts w:ascii="Times New Roman" w:hAnsi="Times New Roman"/>
          <w:b w:val="0"/>
          <w:i w:val="0"/>
        </w:rPr>
        <w:t>Evaluation</w:t>
      </w:r>
      <w:r w:rsidR="00C026A6" w:rsidRPr="00EA59C0">
        <w:rPr>
          <w:rFonts w:ascii="Times New Roman" w:hAnsi="Times New Roman"/>
          <w:b w:val="0"/>
          <w:i w:val="0"/>
        </w:rPr>
        <w:t xml:space="preserve"> </w:t>
      </w:r>
      <w:r w:rsidRPr="00EA59C0">
        <w:rPr>
          <w:rFonts w:ascii="Times New Roman" w:hAnsi="Times New Roman"/>
          <w:b w:val="0"/>
          <w:i w:val="0"/>
        </w:rPr>
        <w:t>Plan”</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“Program</w:t>
      </w:r>
      <w:r w:rsidR="00C026A6" w:rsidRPr="00EA59C0">
        <w:rPr>
          <w:rFonts w:ascii="Times New Roman" w:hAnsi="Times New Roman"/>
          <w:b w:val="0"/>
          <w:i w:val="0"/>
        </w:rPr>
        <w:t xml:space="preserve"> </w:t>
      </w:r>
      <w:r w:rsidRPr="00EA59C0">
        <w:rPr>
          <w:rFonts w:ascii="Times New Roman" w:hAnsi="Times New Roman"/>
          <w:b w:val="0"/>
          <w:i w:val="0"/>
        </w:rPr>
        <w:t>Evaluation</w:t>
      </w:r>
      <w:r w:rsidR="00C026A6" w:rsidRPr="00EA59C0">
        <w:rPr>
          <w:rFonts w:ascii="Times New Roman" w:hAnsi="Times New Roman"/>
          <w:b w:val="0"/>
          <w:i w:val="0"/>
        </w:rPr>
        <w:t xml:space="preserve"> </w:t>
      </w:r>
      <w:r w:rsidRPr="00EA59C0">
        <w:rPr>
          <w:rFonts w:ascii="Times New Roman" w:hAnsi="Times New Roman"/>
          <w:b w:val="0"/>
          <w:i w:val="0"/>
        </w:rPr>
        <w:t>Budget</w:t>
      </w:r>
      <w:r w:rsidR="00C026A6" w:rsidRPr="00EA59C0">
        <w:rPr>
          <w:rFonts w:ascii="Times New Roman" w:hAnsi="Times New Roman"/>
          <w:b w:val="0"/>
          <w:i w:val="0"/>
        </w:rPr>
        <w:t xml:space="preserve"> </w:t>
      </w:r>
      <w:r w:rsidRPr="00EA59C0">
        <w:rPr>
          <w:rFonts w:ascii="Times New Roman" w:hAnsi="Times New Roman"/>
          <w:b w:val="0"/>
          <w:i w:val="0"/>
        </w:rPr>
        <w:t>Narrative.”</w:t>
      </w:r>
    </w:p>
    <w:p w:rsidR="00485ABA" w:rsidRPr="00EA59C0" w:rsidRDefault="00485ABA" w:rsidP="00485ABA">
      <w:pPr>
        <w:pStyle w:val="ListParagraph"/>
      </w:pPr>
    </w:p>
    <w:p w:rsidR="00485ABA" w:rsidRPr="00EA59C0" w:rsidRDefault="00485ABA" w:rsidP="006D2090">
      <w:pPr>
        <w:pStyle w:val="Heading2"/>
        <w:numPr>
          <w:ilvl w:val="3"/>
          <w:numId w:val="17"/>
        </w:numPr>
        <w:spacing w:line="240" w:lineRule="auto"/>
        <w:rPr>
          <w:rFonts w:ascii="Times New Roman" w:hAnsi="Times New Roman"/>
          <w:b w:val="0"/>
          <w:i w:val="0"/>
        </w:rPr>
      </w:pPr>
      <w:r w:rsidRPr="00EA59C0">
        <w:rPr>
          <w:rFonts w:ascii="Times New Roman" w:hAnsi="Times New Roman"/>
          <w:b w:val="0"/>
          <w:i w:val="0"/>
        </w:rPr>
        <w:t>Employment</w:t>
      </w:r>
      <w:r w:rsidR="00C026A6" w:rsidRPr="00EA59C0">
        <w:rPr>
          <w:rFonts w:ascii="Times New Roman" w:hAnsi="Times New Roman"/>
          <w:b w:val="0"/>
          <w:i w:val="0"/>
        </w:rPr>
        <w:t xml:space="preserve"> </w:t>
      </w:r>
      <w:r w:rsidRPr="00EA59C0">
        <w:rPr>
          <w:rFonts w:ascii="Times New Roman" w:hAnsi="Times New Roman"/>
          <w:b w:val="0"/>
          <w:i w:val="0"/>
        </w:rPr>
        <w:t>Results</w:t>
      </w:r>
      <w:r w:rsidR="00C026A6" w:rsidRPr="00EA59C0">
        <w:rPr>
          <w:rFonts w:ascii="Times New Roman" w:hAnsi="Times New Roman"/>
          <w:b w:val="0"/>
          <w:i w:val="0"/>
        </w:rPr>
        <w:t xml:space="preserve"> </w:t>
      </w:r>
      <w:r w:rsidRPr="00EA59C0">
        <w:rPr>
          <w:rFonts w:ascii="Times New Roman" w:hAnsi="Times New Roman"/>
          <w:b w:val="0"/>
          <w:i w:val="0"/>
        </w:rPr>
        <w:t>Scorecard</w:t>
      </w:r>
      <w:r w:rsidR="00C026A6" w:rsidRPr="00EA59C0">
        <w:rPr>
          <w:rFonts w:ascii="Times New Roman" w:hAnsi="Times New Roman"/>
          <w:b w:val="0"/>
          <w:i w:val="0"/>
        </w:rPr>
        <w:t xml:space="preserve"> </w:t>
      </w:r>
      <w:r w:rsidRPr="00EA59C0">
        <w:rPr>
          <w:rFonts w:ascii="Times New Roman" w:hAnsi="Times New Roman"/>
          <w:b w:val="0"/>
          <w:i w:val="0"/>
        </w:rPr>
        <w:t>Workplan</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Single</w:t>
      </w:r>
      <w:r w:rsidR="00C026A6" w:rsidRPr="00EA59C0">
        <w:rPr>
          <w:rFonts w:ascii="Times New Roman" w:hAnsi="Times New Roman"/>
          <w:b w:val="0"/>
          <w:i w:val="0"/>
        </w:rPr>
        <w:t xml:space="preserve"> </w:t>
      </w:r>
      <w:r w:rsidRPr="00EA59C0">
        <w:rPr>
          <w:rFonts w:ascii="Times New Roman" w:hAnsi="Times New Roman"/>
          <w:b w:val="0"/>
          <w:i w:val="0"/>
        </w:rPr>
        <w:t>State</w:t>
      </w:r>
      <w:r w:rsidR="00C026A6" w:rsidRPr="00EA59C0">
        <w:rPr>
          <w:rFonts w:ascii="Times New Roman" w:hAnsi="Times New Roman"/>
          <w:b w:val="0"/>
          <w:i w:val="0"/>
        </w:rPr>
        <w:t xml:space="preserve"> </w:t>
      </w:r>
      <w:r w:rsidRPr="00EA59C0">
        <w:rPr>
          <w:rFonts w:ascii="Times New Roman" w:hAnsi="Times New Roman"/>
          <w:b w:val="0"/>
          <w:i w:val="0"/>
        </w:rPr>
        <w:t>Consortium</w:t>
      </w:r>
      <w:r w:rsidR="00C026A6" w:rsidRPr="00EA59C0">
        <w:rPr>
          <w:rFonts w:ascii="Times New Roman" w:hAnsi="Times New Roman"/>
          <w:b w:val="0"/>
          <w:i w:val="0"/>
        </w:rPr>
        <w:t xml:space="preserve"> </w:t>
      </w:r>
      <w:r w:rsidRPr="00EA59C0">
        <w:rPr>
          <w:rFonts w:ascii="Times New Roman" w:hAnsi="Times New Roman"/>
          <w:b w:val="0"/>
          <w:i w:val="0"/>
        </w:rPr>
        <w:t>Applicants)</w:t>
      </w:r>
      <w:r w:rsidR="00C026A6" w:rsidRPr="00EA59C0">
        <w:rPr>
          <w:rFonts w:ascii="Times New Roman" w:hAnsi="Times New Roman"/>
          <w:b w:val="0"/>
          <w:i w:val="0"/>
        </w:rPr>
        <w:t xml:space="preserve"> </w:t>
      </w:r>
      <w:r w:rsidRPr="00EA59C0">
        <w:rPr>
          <w:rFonts w:ascii="Times New Roman" w:hAnsi="Times New Roman"/>
          <w:b w:val="0"/>
          <w:i w:val="0"/>
        </w:rPr>
        <w:t>or</w:t>
      </w:r>
      <w:r w:rsidR="00C026A6" w:rsidRPr="00EA59C0">
        <w:rPr>
          <w:rFonts w:ascii="Times New Roman" w:hAnsi="Times New Roman"/>
          <w:b w:val="0"/>
          <w:i w:val="0"/>
        </w:rPr>
        <w:t xml:space="preserve"> </w:t>
      </w:r>
      <w:r w:rsidRPr="00EA59C0">
        <w:rPr>
          <w:rFonts w:ascii="Times New Roman" w:hAnsi="Times New Roman"/>
          <w:b w:val="0"/>
          <w:i w:val="0"/>
        </w:rPr>
        <w:t>Employment</w:t>
      </w:r>
      <w:r w:rsidR="00C026A6" w:rsidRPr="00EA59C0">
        <w:rPr>
          <w:rFonts w:ascii="Times New Roman" w:hAnsi="Times New Roman"/>
          <w:b w:val="0"/>
          <w:i w:val="0"/>
        </w:rPr>
        <w:t xml:space="preserve"> </w:t>
      </w:r>
      <w:r w:rsidRPr="00EA59C0">
        <w:rPr>
          <w:rFonts w:ascii="Times New Roman" w:hAnsi="Times New Roman"/>
          <w:b w:val="0"/>
          <w:i w:val="0"/>
        </w:rPr>
        <w:t>Results</w:t>
      </w:r>
      <w:r w:rsidR="00C026A6" w:rsidRPr="00EA59C0">
        <w:rPr>
          <w:rFonts w:ascii="Times New Roman" w:hAnsi="Times New Roman"/>
          <w:b w:val="0"/>
          <w:i w:val="0"/>
        </w:rPr>
        <w:t xml:space="preserve"> </w:t>
      </w:r>
      <w:r w:rsidRPr="00EA59C0">
        <w:rPr>
          <w:rFonts w:ascii="Times New Roman" w:hAnsi="Times New Roman"/>
          <w:b w:val="0"/>
          <w:i w:val="0"/>
        </w:rPr>
        <w:t>Scorecard</w:t>
      </w:r>
      <w:r w:rsidR="00C026A6" w:rsidRPr="00EA59C0">
        <w:rPr>
          <w:rFonts w:ascii="Times New Roman" w:hAnsi="Times New Roman"/>
          <w:b w:val="0"/>
          <w:i w:val="0"/>
        </w:rPr>
        <w:t xml:space="preserve"> </w:t>
      </w:r>
      <w:r w:rsidRPr="00EA59C0">
        <w:rPr>
          <w:rFonts w:ascii="Times New Roman" w:hAnsi="Times New Roman"/>
          <w:b w:val="0"/>
          <w:i w:val="0"/>
        </w:rPr>
        <w:t>Continuous</w:t>
      </w:r>
      <w:r w:rsidR="00C026A6" w:rsidRPr="00EA59C0">
        <w:rPr>
          <w:rFonts w:ascii="Times New Roman" w:hAnsi="Times New Roman"/>
          <w:b w:val="0"/>
          <w:i w:val="0"/>
        </w:rPr>
        <w:t xml:space="preserve"> </w:t>
      </w:r>
      <w:r w:rsidRPr="00EA59C0">
        <w:rPr>
          <w:rFonts w:ascii="Times New Roman" w:hAnsi="Times New Roman"/>
          <w:b w:val="0"/>
          <w:i w:val="0"/>
        </w:rPr>
        <w:t>Improvement</w:t>
      </w:r>
      <w:r w:rsidR="00C026A6" w:rsidRPr="00EA59C0">
        <w:rPr>
          <w:rFonts w:ascii="Times New Roman" w:hAnsi="Times New Roman"/>
          <w:b w:val="0"/>
          <w:i w:val="0"/>
        </w:rPr>
        <w:t xml:space="preserve"> </w:t>
      </w:r>
      <w:r w:rsidRPr="00EA59C0">
        <w:rPr>
          <w:rFonts w:ascii="Times New Roman" w:hAnsi="Times New Roman"/>
          <w:b w:val="0"/>
          <w:i w:val="0"/>
        </w:rPr>
        <w:t>Workplan</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00DC0136" w:rsidRPr="00EA59C0">
        <w:rPr>
          <w:rFonts w:ascii="Times New Roman" w:hAnsi="Times New Roman"/>
          <w:b w:val="0"/>
          <w:i w:val="0"/>
        </w:rPr>
        <w:t>Regional</w:t>
      </w:r>
      <w:r w:rsidR="00C026A6" w:rsidRPr="00EA59C0">
        <w:rPr>
          <w:rFonts w:ascii="Times New Roman" w:hAnsi="Times New Roman"/>
          <w:b w:val="0"/>
          <w:i w:val="0"/>
        </w:rPr>
        <w:t xml:space="preserve"> </w:t>
      </w:r>
      <w:r w:rsidRPr="00EA59C0">
        <w:rPr>
          <w:rFonts w:ascii="Times New Roman" w:hAnsi="Times New Roman"/>
          <w:b w:val="0"/>
          <w:i w:val="0"/>
        </w:rPr>
        <w:t>Multi-State</w:t>
      </w:r>
      <w:r w:rsidR="00C026A6" w:rsidRPr="00EA59C0">
        <w:rPr>
          <w:rFonts w:ascii="Times New Roman" w:hAnsi="Times New Roman"/>
          <w:b w:val="0"/>
          <w:i w:val="0"/>
        </w:rPr>
        <w:t xml:space="preserve"> </w:t>
      </w:r>
      <w:r w:rsidRPr="00EA59C0">
        <w:rPr>
          <w:rFonts w:ascii="Times New Roman" w:hAnsi="Times New Roman"/>
          <w:b w:val="0"/>
          <w:i w:val="0"/>
        </w:rPr>
        <w:t>Consortium</w:t>
      </w:r>
      <w:r w:rsidR="00C026A6" w:rsidRPr="00EA59C0">
        <w:rPr>
          <w:rFonts w:ascii="Times New Roman" w:hAnsi="Times New Roman"/>
          <w:b w:val="0"/>
          <w:i w:val="0"/>
        </w:rPr>
        <w:t xml:space="preserve"> </w:t>
      </w:r>
      <w:r w:rsidRPr="00EA59C0">
        <w:rPr>
          <w:rFonts w:ascii="Times New Roman" w:hAnsi="Times New Roman"/>
          <w:b w:val="0"/>
          <w:i w:val="0"/>
        </w:rPr>
        <w:t>Applicants)):</w:t>
      </w:r>
      <w:r w:rsidR="00C026A6" w:rsidRPr="00EA59C0">
        <w:rPr>
          <w:rFonts w:ascii="Times New Roman" w:hAnsi="Times New Roman"/>
          <w:b w:val="0"/>
          <w:i w:val="0"/>
        </w:rPr>
        <w:t xml:space="preserve">  </w:t>
      </w:r>
      <w:r w:rsidR="00E330B4" w:rsidRPr="00EA59C0">
        <w:rPr>
          <w:rFonts w:ascii="Times New Roman" w:hAnsi="Times New Roman"/>
          <w:b w:val="0"/>
          <w:i w:val="0"/>
        </w:rPr>
        <w:t>Single State Consortium Applicants must submit an Employment Results Scorecard Workplan as described in Section III.D.10.  Regional Multi-State Consortium Applicants must submit an Employment Results Scorecard Continuous Improvement Workplan as described in Section III.D.11.</w:t>
      </w:r>
      <w:r w:rsidR="00E25F8E"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00E25F8E" w:rsidRPr="00EA59C0">
        <w:rPr>
          <w:rFonts w:ascii="Times New Roman" w:hAnsi="Times New Roman"/>
          <w:b w:val="0"/>
          <w:i w:val="0"/>
        </w:rPr>
        <w:t>E</w:t>
      </w:r>
      <w:r w:rsidRPr="00EA59C0">
        <w:rPr>
          <w:rFonts w:ascii="Times New Roman" w:hAnsi="Times New Roman"/>
          <w:b w:val="0"/>
          <w:i w:val="0"/>
        </w:rPr>
        <w:t>mployment</w:t>
      </w:r>
      <w:r w:rsidR="00C026A6" w:rsidRPr="00EA59C0">
        <w:rPr>
          <w:rFonts w:ascii="Times New Roman" w:hAnsi="Times New Roman"/>
          <w:b w:val="0"/>
          <w:i w:val="0"/>
        </w:rPr>
        <w:t xml:space="preserve"> </w:t>
      </w:r>
      <w:r w:rsidR="00E25F8E" w:rsidRPr="00EA59C0">
        <w:rPr>
          <w:rFonts w:ascii="Times New Roman" w:hAnsi="Times New Roman"/>
          <w:b w:val="0"/>
          <w:i w:val="0"/>
        </w:rPr>
        <w:t>R</w:t>
      </w:r>
      <w:r w:rsidRPr="00EA59C0">
        <w:rPr>
          <w:rFonts w:ascii="Times New Roman" w:hAnsi="Times New Roman"/>
          <w:b w:val="0"/>
          <w:i w:val="0"/>
        </w:rPr>
        <w:t>esults</w:t>
      </w:r>
      <w:r w:rsidR="00C026A6" w:rsidRPr="00EA59C0">
        <w:rPr>
          <w:rFonts w:ascii="Times New Roman" w:hAnsi="Times New Roman"/>
          <w:b w:val="0"/>
          <w:i w:val="0"/>
        </w:rPr>
        <w:t xml:space="preserve"> </w:t>
      </w:r>
      <w:r w:rsidR="00E25F8E" w:rsidRPr="00EA59C0">
        <w:rPr>
          <w:rFonts w:ascii="Times New Roman" w:hAnsi="Times New Roman"/>
          <w:b w:val="0"/>
          <w:i w:val="0"/>
        </w:rPr>
        <w:t>S</w:t>
      </w:r>
      <w:r w:rsidRPr="00EA59C0">
        <w:rPr>
          <w:rFonts w:ascii="Times New Roman" w:hAnsi="Times New Roman"/>
          <w:b w:val="0"/>
          <w:i w:val="0"/>
        </w:rPr>
        <w:t>corecard</w:t>
      </w:r>
      <w:r w:rsidR="00C026A6" w:rsidRPr="00EA59C0">
        <w:rPr>
          <w:rFonts w:ascii="Times New Roman" w:hAnsi="Times New Roman"/>
          <w:b w:val="0"/>
          <w:i w:val="0"/>
        </w:rPr>
        <w:t xml:space="preserve"> </w:t>
      </w:r>
      <w:r w:rsidR="00E25F8E" w:rsidRPr="00EA59C0">
        <w:rPr>
          <w:rFonts w:ascii="Times New Roman" w:hAnsi="Times New Roman"/>
          <w:b w:val="0"/>
          <w:i w:val="0"/>
        </w:rPr>
        <w:t>W</w:t>
      </w:r>
      <w:r w:rsidRPr="00EA59C0">
        <w:rPr>
          <w:rFonts w:ascii="Times New Roman" w:hAnsi="Times New Roman"/>
          <w:b w:val="0"/>
          <w:i w:val="0"/>
        </w:rPr>
        <w:t>orkplan</w:t>
      </w:r>
      <w:r w:rsidR="00C026A6" w:rsidRPr="00EA59C0">
        <w:rPr>
          <w:rFonts w:ascii="Times New Roman" w:hAnsi="Times New Roman"/>
          <w:b w:val="0"/>
          <w:i w:val="0"/>
        </w:rPr>
        <w:t xml:space="preserve"> </w:t>
      </w:r>
      <w:r w:rsidRPr="00EA59C0">
        <w:rPr>
          <w:rFonts w:ascii="Times New Roman" w:hAnsi="Times New Roman"/>
          <w:b w:val="0"/>
          <w:i w:val="0"/>
        </w:rPr>
        <w:t>or</w:t>
      </w:r>
      <w:r w:rsidR="00C026A6" w:rsidRPr="00EA59C0">
        <w:rPr>
          <w:rFonts w:ascii="Times New Roman" w:hAnsi="Times New Roman"/>
          <w:b w:val="0"/>
          <w:i w:val="0"/>
        </w:rPr>
        <w:t xml:space="preserve"> </w:t>
      </w:r>
      <w:r w:rsidR="00E25F8E" w:rsidRPr="00EA59C0">
        <w:rPr>
          <w:rFonts w:ascii="Times New Roman" w:hAnsi="Times New Roman"/>
          <w:b w:val="0"/>
          <w:i w:val="0"/>
        </w:rPr>
        <w:t>C</w:t>
      </w:r>
      <w:r w:rsidRPr="00EA59C0">
        <w:rPr>
          <w:rFonts w:ascii="Times New Roman" w:hAnsi="Times New Roman"/>
          <w:b w:val="0"/>
          <w:i w:val="0"/>
        </w:rPr>
        <w:t>ontinuous</w:t>
      </w:r>
      <w:r w:rsidR="00C026A6" w:rsidRPr="00EA59C0">
        <w:rPr>
          <w:rFonts w:ascii="Times New Roman" w:hAnsi="Times New Roman"/>
          <w:b w:val="0"/>
          <w:i w:val="0"/>
        </w:rPr>
        <w:t xml:space="preserve"> </w:t>
      </w:r>
      <w:r w:rsidR="00E25F8E" w:rsidRPr="00EA59C0">
        <w:rPr>
          <w:rFonts w:ascii="Times New Roman" w:hAnsi="Times New Roman"/>
          <w:b w:val="0"/>
          <w:i w:val="0"/>
        </w:rPr>
        <w:t>I</w:t>
      </w:r>
      <w:r w:rsidRPr="00EA59C0">
        <w:rPr>
          <w:rFonts w:ascii="Times New Roman" w:hAnsi="Times New Roman"/>
          <w:b w:val="0"/>
          <w:i w:val="0"/>
        </w:rPr>
        <w:t>mprovement</w:t>
      </w:r>
      <w:r w:rsidR="00C026A6" w:rsidRPr="00EA59C0">
        <w:rPr>
          <w:rFonts w:ascii="Times New Roman" w:hAnsi="Times New Roman"/>
          <w:b w:val="0"/>
          <w:i w:val="0"/>
        </w:rPr>
        <w:t xml:space="preserve"> </w:t>
      </w:r>
      <w:r w:rsidR="00E25F8E" w:rsidRPr="00EA59C0">
        <w:rPr>
          <w:rFonts w:ascii="Times New Roman" w:hAnsi="Times New Roman"/>
          <w:b w:val="0"/>
          <w:i w:val="0"/>
        </w:rPr>
        <w:t>W</w:t>
      </w:r>
      <w:r w:rsidRPr="00EA59C0">
        <w:rPr>
          <w:rFonts w:ascii="Times New Roman" w:hAnsi="Times New Roman"/>
          <w:b w:val="0"/>
          <w:i w:val="0"/>
        </w:rPr>
        <w:t>orkplan</w:t>
      </w:r>
      <w:r w:rsidR="00C026A6" w:rsidRPr="00EA59C0">
        <w:rPr>
          <w:rFonts w:ascii="Times New Roman" w:hAnsi="Times New Roman"/>
          <w:b w:val="0"/>
          <w:i w:val="0"/>
        </w:rPr>
        <w:t xml:space="preserve"> </w:t>
      </w:r>
      <w:r w:rsidRPr="00EA59C0">
        <w:rPr>
          <w:rFonts w:ascii="Times New Roman" w:hAnsi="Times New Roman"/>
          <w:b w:val="0"/>
          <w:i w:val="0"/>
        </w:rPr>
        <w:t>does</w:t>
      </w:r>
      <w:r w:rsidR="00C026A6" w:rsidRPr="00EA59C0">
        <w:rPr>
          <w:rFonts w:ascii="Times New Roman" w:hAnsi="Times New Roman"/>
          <w:b w:val="0"/>
          <w:i w:val="0"/>
        </w:rPr>
        <w:t xml:space="preserve"> </w:t>
      </w:r>
      <w:r w:rsidRPr="00EA59C0">
        <w:rPr>
          <w:rFonts w:ascii="Times New Roman" w:hAnsi="Times New Roman"/>
          <w:b w:val="0"/>
          <w:i w:val="0"/>
        </w:rPr>
        <w:t>not</w:t>
      </w:r>
      <w:r w:rsidR="00C026A6" w:rsidRPr="00EA59C0">
        <w:rPr>
          <w:rFonts w:ascii="Times New Roman" w:hAnsi="Times New Roman"/>
          <w:b w:val="0"/>
          <w:i w:val="0"/>
        </w:rPr>
        <w:t xml:space="preserve"> </w:t>
      </w:r>
      <w:r w:rsidRPr="00EA59C0">
        <w:rPr>
          <w:rFonts w:ascii="Times New Roman" w:hAnsi="Times New Roman"/>
          <w:b w:val="0"/>
          <w:i w:val="0"/>
        </w:rPr>
        <w:t>count</w:t>
      </w:r>
      <w:r w:rsidR="00C026A6" w:rsidRPr="00EA59C0">
        <w:rPr>
          <w:rFonts w:ascii="Times New Roman" w:hAnsi="Times New Roman"/>
          <w:b w:val="0"/>
          <w:i w:val="0"/>
        </w:rPr>
        <w:t xml:space="preserve"> </w:t>
      </w:r>
      <w:r w:rsidRPr="00EA59C0">
        <w:rPr>
          <w:rFonts w:ascii="Times New Roman" w:hAnsi="Times New Roman"/>
          <w:b w:val="0"/>
          <w:i w:val="0"/>
        </w:rPr>
        <w:t>against</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project</w:t>
      </w:r>
      <w:r w:rsidR="00C026A6" w:rsidRPr="00EA59C0">
        <w:rPr>
          <w:rFonts w:ascii="Times New Roman" w:hAnsi="Times New Roman"/>
          <w:b w:val="0"/>
          <w:i w:val="0"/>
        </w:rPr>
        <w:t xml:space="preserve"> </w:t>
      </w:r>
      <w:r w:rsidRPr="00EA59C0">
        <w:rPr>
          <w:rFonts w:ascii="Times New Roman" w:hAnsi="Times New Roman"/>
          <w:b w:val="0"/>
          <w:i w:val="0"/>
        </w:rPr>
        <w:t>narrative</w:t>
      </w:r>
      <w:r w:rsidR="00C026A6" w:rsidRPr="00EA59C0">
        <w:rPr>
          <w:rFonts w:ascii="Times New Roman" w:hAnsi="Times New Roman"/>
          <w:b w:val="0"/>
          <w:i w:val="0"/>
        </w:rPr>
        <w:t xml:space="preserve"> </w:t>
      </w:r>
      <w:r w:rsidRPr="00EA59C0">
        <w:rPr>
          <w:rFonts w:ascii="Times New Roman" w:hAnsi="Times New Roman"/>
          <w:b w:val="0"/>
          <w:i w:val="0"/>
        </w:rPr>
        <w:t>page</w:t>
      </w:r>
      <w:r w:rsidR="00C026A6" w:rsidRPr="00EA59C0">
        <w:rPr>
          <w:rFonts w:ascii="Times New Roman" w:hAnsi="Times New Roman"/>
          <w:b w:val="0"/>
          <w:i w:val="0"/>
        </w:rPr>
        <w:t xml:space="preserve"> </w:t>
      </w:r>
      <w:r w:rsidRPr="00EA59C0">
        <w:rPr>
          <w:rFonts w:ascii="Times New Roman" w:hAnsi="Times New Roman"/>
          <w:b w:val="0"/>
          <w:i w:val="0"/>
        </w:rPr>
        <w:t>limit,</w:t>
      </w:r>
      <w:r w:rsidR="00C026A6" w:rsidRPr="00EA59C0">
        <w:rPr>
          <w:rFonts w:ascii="Times New Roman" w:hAnsi="Times New Roman"/>
          <w:b w:val="0"/>
          <w:i w:val="0"/>
        </w:rPr>
        <w:t xml:space="preserve"> </w:t>
      </w:r>
      <w:r w:rsidRPr="00EA59C0">
        <w:rPr>
          <w:rFonts w:ascii="Times New Roman" w:hAnsi="Times New Roman"/>
          <w:b w:val="0"/>
          <w:i w:val="0"/>
        </w:rPr>
        <w:t>but</w:t>
      </w:r>
      <w:r w:rsidR="00C026A6" w:rsidRPr="00EA59C0">
        <w:rPr>
          <w:rFonts w:ascii="Times New Roman" w:hAnsi="Times New Roman"/>
          <w:b w:val="0"/>
          <w:i w:val="0"/>
        </w:rPr>
        <w:t xml:space="preserve"> </w:t>
      </w:r>
      <w:r w:rsidRPr="00EA59C0">
        <w:rPr>
          <w:rFonts w:ascii="Times New Roman" w:hAnsi="Times New Roman"/>
          <w:b w:val="0"/>
          <w:i w:val="0"/>
        </w:rPr>
        <w:t>cannot</w:t>
      </w:r>
      <w:r w:rsidR="00C026A6" w:rsidRPr="00EA59C0">
        <w:rPr>
          <w:rFonts w:ascii="Times New Roman" w:hAnsi="Times New Roman"/>
          <w:b w:val="0"/>
          <w:i w:val="0"/>
        </w:rPr>
        <w:t xml:space="preserve"> </w:t>
      </w:r>
      <w:r w:rsidRPr="00EA59C0">
        <w:rPr>
          <w:rFonts w:ascii="Times New Roman" w:hAnsi="Times New Roman"/>
          <w:b w:val="0"/>
          <w:i w:val="0"/>
        </w:rPr>
        <w:t>exceed</w:t>
      </w:r>
      <w:r w:rsidR="00C026A6" w:rsidRPr="00EA59C0">
        <w:rPr>
          <w:rFonts w:ascii="Times New Roman" w:hAnsi="Times New Roman"/>
          <w:b w:val="0"/>
          <w:i w:val="0"/>
        </w:rPr>
        <w:t xml:space="preserve"> </w:t>
      </w:r>
      <w:r w:rsidRPr="00EA59C0">
        <w:rPr>
          <w:rFonts w:ascii="Times New Roman" w:hAnsi="Times New Roman"/>
          <w:b w:val="0"/>
          <w:i w:val="0"/>
        </w:rPr>
        <w:t>5</w:t>
      </w:r>
      <w:r w:rsidR="00C026A6" w:rsidRPr="00EA59C0">
        <w:rPr>
          <w:rFonts w:ascii="Times New Roman" w:hAnsi="Times New Roman"/>
          <w:b w:val="0"/>
          <w:i w:val="0"/>
        </w:rPr>
        <w:t xml:space="preserve"> </w:t>
      </w:r>
      <w:r w:rsidRPr="00EA59C0">
        <w:rPr>
          <w:rFonts w:ascii="Times New Roman" w:hAnsi="Times New Roman"/>
          <w:b w:val="0"/>
          <w:i w:val="0"/>
        </w:rPr>
        <w:t>pages.</w:t>
      </w:r>
      <w:r w:rsidR="00C026A6" w:rsidRPr="00EA59C0">
        <w:rPr>
          <w:rFonts w:ascii="Times New Roman" w:hAnsi="Times New Roman"/>
          <w:b w:val="0"/>
          <w:i w:val="0"/>
        </w:rPr>
        <w:t xml:space="preserve">  </w:t>
      </w:r>
      <w:r w:rsidRPr="00EA59C0">
        <w:rPr>
          <w:rFonts w:ascii="Times New Roman" w:hAnsi="Times New Roman"/>
          <w:b w:val="0"/>
          <w:i w:val="0"/>
        </w:rPr>
        <w:t>If</w:t>
      </w:r>
      <w:r w:rsidR="00C026A6" w:rsidRPr="00EA59C0">
        <w:rPr>
          <w:rFonts w:ascii="Times New Roman" w:hAnsi="Times New Roman"/>
          <w:b w:val="0"/>
          <w:i w:val="0"/>
        </w:rPr>
        <w:t xml:space="preserve"> </w:t>
      </w:r>
      <w:r w:rsidRPr="00EA59C0">
        <w:rPr>
          <w:rFonts w:ascii="Times New Roman" w:hAnsi="Times New Roman"/>
          <w:b w:val="0"/>
          <w:i w:val="0"/>
        </w:rPr>
        <w:t>using</w:t>
      </w:r>
      <w:r w:rsidR="00C026A6" w:rsidRPr="00EA59C0">
        <w:rPr>
          <w:rFonts w:ascii="Times New Roman" w:hAnsi="Times New Roman"/>
          <w:b w:val="0"/>
          <w:i w:val="0"/>
        </w:rPr>
        <w:t xml:space="preserve"> </w:t>
      </w:r>
      <w:r w:rsidRPr="00EA59C0">
        <w:rPr>
          <w:rFonts w:ascii="Times New Roman" w:hAnsi="Times New Roman"/>
          <w:b w:val="0"/>
          <w:i w:val="0"/>
        </w:rPr>
        <w:t>grants.gov</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submission,</w:t>
      </w:r>
      <w:r w:rsidR="00C026A6" w:rsidRPr="00EA59C0">
        <w:rPr>
          <w:rFonts w:ascii="Times New Roman" w:hAnsi="Times New Roman"/>
          <w:b w:val="0"/>
          <w:i w:val="0"/>
        </w:rPr>
        <w:t xml:space="preserve"> </w:t>
      </w:r>
      <w:r w:rsidRPr="00EA59C0">
        <w:rPr>
          <w:rFonts w:ascii="Times New Roman" w:hAnsi="Times New Roman"/>
          <w:b w:val="0"/>
          <w:i w:val="0"/>
        </w:rPr>
        <w:t>these</w:t>
      </w:r>
      <w:r w:rsidR="00C026A6" w:rsidRPr="00EA59C0">
        <w:rPr>
          <w:rFonts w:ascii="Times New Roman" w:hAnsi="Times New Roman"/>
          <w:b w:val="0"/>
          <w:i w:val="0"/>
        </w:rPr>
        <w:t xml:space="preserve"> </w:t>
      </w:r>
      <w:r w:rsidRPr="00EA59C0">
        <w:rPr>
          <w:rFonts w:ascii="Times New Roman" w:hAnsi="Times New Roman"/>
          <w:b w:val="0"/>
          <w:i w:val="0"/>
        </w:rPr>
        <w:t>documents</w:t>
      </w:r>
      <w:r w:rsidR="00C026A6" w:rsidRPr="00EA59C0">
        <w:rPr>
          <w:rFonts w:ascii="Times New Roman" w:hAnsi="Times New Roman"/>
          <w:b w:val="0"/>
          <w:i w:val="0"/>
        </w:rPr>
        <w:t xml:space="preserve"> </w:t>
      </w:r>
      <w:r w:rsidRPr="00EA59C0">
        <w:rPr>
          <w:rFonts w:ascii="Times New Roman" w:hAnsi="Times New Roman"/>
          <w:b w:val="0"/>
          <w:i w:val="0"/>
        </w:rPr>
        <w:t>must</w:t>
      </w:r>
      <w:r w:rsidR="00C026A6" w:rsidRPr="00EA59C0">
        <w:rPr>
          <w:rFonts w:ascii="Times New Roman" w:hAnsi="Times New Roman"/>
          <w:b w:val="0"/>
          <w:i w:val="0"/>
        </w:rPr>
        <w:t xml:space="preserve"> </w:t>
      </w:r>
      <w:r w:rsidRPr="00EA59C0">
        <w:rPr>
          <w:rFonts w:ascii="Times New Roman" w:hAnsi="Times New Roman"/>
          <w:b w:val="0"/>
          <w:i w:val="0"/>
        </w:rPr>
        <w:t>be</w:t>
      </w:r>
      <w:r w:rsidR="00C026A6" w:rsidRPr="00EA59C0">
        <w:rPr>
          <w:rFonts w:ascii="Times New Roman" w:hAnsi="Times New Roman"/>
          <w:b w:val="0"/>
          <w:i w:val="0"/>
        </w:rPr>
        <w:t xml:space="preserve"> </w:t>
      </w:r>
      <w:r w:rsidRPr="00EA59C0">
        <w:rPr>
          <w:rFonts w:ascii="Times New Roman" w:hAnsi="Times New Roman"/>
          <w:b w:val="0"/>
          <w:i w:val="0"/>
        </w:rPr>
        <w:t>attached</w:t>
      </w:r>
      <w:r w:rsidR="00C026A6" w:rsidRPr="00EA59C0">
        <w:rPr>
          <w:rFonts w:ascii="Times New Roman" w:hAnsi="Times New Roman"/>
          <w:b w:val="0"/>
          <w:i w:val="0"/>
        </w:rPr>
        <w:t xml:space="preserve"> </w:t>
      </w:r>
      <w:r w:rsidRPr="00EA59C0">
        <w:rPr>
          <w:rFonts w:ascii="Times New Roman" w:hAnsi="Times New Roman"/>
          <w:b w:val="0"/>
          <w:i w:val="0"/>
        </w:rPr>
        <w:t>under</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Mandatory</w:t>
      </w:r>
      <w:r w:rsidR="00C026A6" w:rsidRPr="00EA59C0">
        <w:rPr>
          <w:rFonts w:ascii="Times New Roman" w:hAnsi="Times New Roman"/>
          <w:b w:val="0"/>
          <w:i w:val="0"/>
        </w:rPr>
        <w:t xml:space="preserve"> </w:t>
      </w:r>
      <w:r w:rsidRPr="00EA59C0">
        <w:rPr>
          <w:rFonts w:ascii="Times New Roman" w:hAnsi="Times New Roman"/>
          <w:b w:val="0"/>
          <w:i w:val="0"/>
        </w:rPr>
        <w:t>Other</w:t>
      </w:r>
      <w:r w:rsidR="00C026A6" w:rsidRPr="00EA59C0">
        <w:rPr>
          <w:rFonts w:ascii="Times New Roman" w:hAnsi="Times New Roman"/>
          <w:b w:val="0"/>
          <w:i w:val="0"/>
        </w:rPr>
        <w:t xml:space="preserve"> </w:t>
      </w:r>
      <w:r w:rsidRPr="00EA59C0">
        <w:rPr>
          <w:rFonts w:ascii="Times New Roman" w:hAnsi="Times New Roman"/>
          <w:b w:val="0"/>
          <w:i w:val="0"/>
        </w:rPr>
        <w:t>Attachment</w:t>
      </w:r>
      <w:r w:rsidR="00C026A6" w:rsidRPr="00EA59C0">
        <w:rPr>
          <w:rFonts w:ascii="Times New Roman" w:hAnsi="Times New Roman"/>
          <w:b w:val="0"/>
          <w:i w:val="0"/>
        </w:rPr>
        <w:t xml:space="preserve"> </w:t>
      </w:r>
      <w:r w:rsidRPr="00EA59C0">
        <w:rPr>
          <w:rFonts w:ascii="Times New Roman" w:hAnsi="Times New Roman"/>
          <w:b w:val="0"/>
          <w:i w:val="0"/>
        </w:rPr>
        <w:t>section</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labeled</w:t>
      </w:r>
      <w:r w:rsidR="00C026A6" w:rsidRPr="00EA59C0">
        <w:rPr>
          <w:rFonts w:ascii="Times New Roman" w:hAnsi="Times New Roman"/>
          <w:b w:val="0"/>
          <w:i w:val="0"/>
        </w:rPr>
        <w:t xml:space="preserve"> </w:t>
      </w:r>
      <w:r w:rsidRPr="00EA59C0">
        <w:rPr>
          <w:rFonts w:ascii="Times New Roman" w:hAnsi="Times New Roman"/>
          <w:b w:val="0"/>
          <w:i w:val="0"/>
        </w:rPr>
        <w:t>“Employment</w:t>
      </w:r>
      <w:r w:rsidR="00C026A6" w:rsidRPr="00EA59C0">
        <w:rPr>
          <w:rFonts w:ascii="Times New Roman" w:hAnsi="Times New Roman"/>
          <w:b w:val="0"/>
          <w:i w:val="0"/>
        </w:rPr>
        <w:t xml:space="preserve"> </w:t>
      </w:r>
      <w:r w:rsidRPr="00EA59C0">
        <w:rPr>
          <w:rFonts w:ascii="Times New Roman" w:hAnsi="Times New Roman"/>
          <w:b w:val="0"/>
          <w:i w:val="0"/>
        </w:rPr>
        <w:t>Results</w:t>
      </w:r>
      <w:r w:rsidR="00C026A6" w:rsidRPr="00EA59C0">
        <w:rPr>
          <w:rFonts w:ascii="Times New Roman" w:hAnsi="Times New Roman"/>
          <w:b w:val="0"/>
          <w:i w:val="0"/>
        </w:rPr>
        <w:t xml:space="preserve"> </w:t>
      </w:r>
      <w:r w:rsidRPr="00EA59C0">
        <w:rPr>
          <w:rFonts w:ascii="Times New Roman" w:hAnsi="Times New Roman"/>
          <w:b w:val="0"/>
          <w:i w:val="0"/>
        </w:rPr>
        <w:t>Scorecard</w:t>
      </w:r>
      <w:r w:rsidR="00C026A6" w:rsidRPr="00EA59C0">
        <w:rPr>
          <w:rFonts w:ascii="Times New Roman" w:hAnsi="Times New Roman"/>
          <w:b w:val="0"/>
          <w:i w:val="0"/>
        </w:rPr>
        <w:t xml:space="preserve"> </w:t>
      </w:r>
      <w:r w:rsidRPr="00EA59C0">
        <w:rPr>
          <w:rFonts w:ascii="Times New Roman" w:hAnsi="Times New Roman"/>
          <w:b w:val="0"/>
          <w:i w:val="0"/>
        </w:rPr>
        <w:t>Workplan</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Single</w:t>
      </w:r>
      <w:r w:rsidR="00C026A6" w:rsidRPr="00EA59C0">
        <w:rPr>
          <w:rFonts w:ascii="Times New Roman" w:hAnsi="Times New Roman"/>
          <w:b w:val="0"/>
          <w:i w:val="0"/>
        </w:rPr>
        <w:t xml:space="preserve"> </w:t>
      </w:r>
      <w:r w:rsidRPr="00EA59C0">
        <w:rPr>
          <w:rFonts w:ascii="Times New Roman" w:hAnsi="Times New Roman"/>
          <w:b w:val="0"/>
          <w:i w:val="0"/>
        </w:rPr>
        <w:t>State</w:t>
      </w:r>
      <w:r w:rsidR="00C026A6" w:rsidRPr="00EA59C0">
        <w:rPr>
          <w:rFonts w:ascii="Times New Roman" w:hAnsi="Times New Roman"/>
          <w:b w:val="0"/>
          <w:i w:val="0"/>
        </w:rPr>
        <w:t xml:space="preserve"> </w:t>
      </w:r>
      <w:r w:rsidRPr="00EA59C0">
        <w:rPr>
          <w:rFonts w:ascii="Times New Roman" w:hAnsi="Times New Roman"/>
          <w:b w:val="0"/>
          <w:i w:val="0"/>
        </w:rPr>
        <w:t>Consortium</w:t>
      </w:r>
      <w:r w:rsidR="00C026A6" w:rsidRPr="00EA59C0">
        <w:rPr>
          <w:rFonts w:ascii="Times New Roman" w:hAnsi="Times New Roman"/>
          <w:b w:val="0"/>
          <w:i w:val="0"/>
        </w:rPr>
        <w:t xml:space="preserve"> </w:t>
      </w:r>
      <w:r w:rsidRPr="00EA59C0">
        <w:rPr>
          <w:rFonts w:ascii="Times New Roman" w:hAnsi="Times New Roman"/>
          <w:b w:val="0"/>
          <w:i w:val="0"/>
        </w:rPr>
        <w:t>Applicants”</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“Employment</w:t>
      </w:r>
      <w:r w:rsidR="00C026A6" w:rsidRPr="00EA59C0">
        <w:rPr>
          <w:rFonts w:ascii="Times New Roman" w:hAnsi="Times New Roman"/>
          <w:b w:val="0"/>
          <w:i w:val="0"/>
        </w:rPr>
        <w:t xml:space="preserve"> </w:t>
      </w:r>
      <w:r w:rsidRPr="00EA59C0">
        <w:rPr>
          <w:rFonts w:ascii="Times New Roman" w:hAnsi="Times New Roman"/>
          <w:b w:val="0"/>
          <w:i w:val="0"/>
        </w:rPr>
        <w:t>Results</w:t>
      </w:r>
      <w:r w:rsidR="00C026A6" w:rsidRPr="00EA59C0">
        <w:rPr>
          <w:rFonts w:ascii="Times New Roman" w:hAnsi="Times New Roman"/>
          <w:b w:val="0"/>
          <w:i w:val="0"/>
        </w:rPr>
        <w:t xml:space="preserve"> </w:t>
      </w:r>
      <w:r w:rsidRPr="00EA59C0">
        <w:rPr>
          <w:rFonts w:ascii="Times New Roman" w:hAnsi="Times New Roman"/>
          <w:b w:val="0"/>
          <w:i w:val="0"/>
        </w:rPr>
        <w:t>Scorecard</w:t>
      </w:r>
      <w:r w:rsidR="00C026A6" w:rsidRPr="00EA59C0">
        <w:rPr>
          <w:rFonts w:ascii="Times New Roman" w:hAnsi="Times New Roman"/>
          <w:b w:val="0"/>
          <w:i w:val="0"/>
        </w:rPr>
        <w:t xml:space="preserve"> </w:t>
      </w:r>
      <w:r w:rsidRPr="00EA59C0">
        <w:rPr>
          <w:rFonts w:ascii="Times New Roman" w:hAnsi="Times New Roman"/>
          <w:b w:val="0"/>
          <w:i w:val="0"/>
        </w:rPr>
        <w:t>Continuous</w:t>
      </w:r>
      <w:r w:rsidR="00C026A6" w:rsidRPr="00EA59C0">
        <w:rPr>
          <w:rFonts w:ascii="Times New Roman" w:hAnsi="Times New Roman"/>
          <w:b w:val="0"/>
          <w:i w:val="0"/>
        </w:rPr>
        <w:t xml:space="preserve"> </w:t>
      </w:r>
      <w:r w:rsidRPr="00EA59C0">
        <w:rPr>
          <w:rFonts w:ascii="Times New Roman" w:hAnsi="Times New Roman"/>
          <w:b w:val="0"/>
          <w:i w:val="0"/>
        </w:rPr>
        <w:t>Improvement</w:t>
      </w:r>
      <w:r w:rsidR="00C026A6" w:rsidRPr="00EA59C0">
        <w:rPr>
          <w:rFonts w:ascii="Times New Roman" w:hAnsi="Times New Roman"/>
          <w:b w:val="0"/>
          <w:i w:val="0"/>
        </w:rPr>
        <w:t xml:space="preserve"> </w:t>
      </w:r>
      <w:r w:rsidRPr="00EA59C0">
        <w:rPr>
          <w:rFonts w:ascii="Times New Roman" w:hAnsi="Times New Roman"/>
          <w:b w:val="0"/>
          <w:i w:val="0"/>
        </w:rPr>
        <w:t>Workplan</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00E25F8E" w:rsidRPr="00EA59C0">
        <w:rPr>
          <w:rFonts w:ascii="Times New Roman" w:hAnsi="Times New Roman"/>
          <w:b w:val="0"/>
          <w:i w:val="0"/>
        </w:rPr>
        <w:t xml:space="preserve">Regional </w:t>
      </w:r>
      <w:r w:rsidRPr="00EA59C0">
        <w:rPr>
          <w:rFonts w:ascii="Times New Roman" w:hAnsi="Times New Roman"/>
          <w:b w:val="0"/>
          <w:i w:val="0"/>
        </w:rPr>
        <w:t>Multi-State</w:t>
      </w:r>
      <w:r w:rsidR="00C026A6" w:rsidRPr="00EA59C0">
        <w:rPr>
          <w:rFonts w:ascii="Times New Roman" w:hAnsi="Times New Roman"/>
          <w:b w:val="0"/>
          <w:i w:val="0"/>
        </w:rPr>
        <w:t xml:space="preserve"> </w:t>
      </w:r>
      <w:r w:rsidRPr="00EA59C0">
        <w:rPr>
          <w:rFonts w:ascii="Times New Roman" w:hAnsi="Times New Roman"/>
          <w:b w:val="0"/>
          <w:i w:val="0"/>
        </w:rPr>
        <w:t>Consortium</w:t>
      </w:r>
      <w:r w:rsidR="00C026A6" w:rsidRPr="00EA59C0">
        <w:rPr>
          <w:rFonts w:ascii="Times New Roman" w:hAnsi="Times New Roman"/>
          <w:b w:val="0"/>
          <w:i w:val="0"/>
        </w:rPr>
        <w:t xml:space="preserve"> </w:t>
      </w:r>
      <w:r w:rsidRPr="00EA59C0">
        <w:rPr>
          <w:rFonts w:ascii="Times New Roman" w:hAnsi="Times New Roman"/>
          <w:b w:val="0"/>
          <w:i w:val="0"/>
        </w:rPr>
        <w:t>Applicants).”</w:t>
      </w:r>
    </w:p>
    <w:p w:rsidR="00144DF0" w:rsidRPr="00EA59C0" w:rsidRDefault="00DC6217" w:rsidP="00313EB6">
      <w:pPr>
        <w:pStyle w:val="PlainText"/>
        <w:ind w:left="1440"/>
        <w:rPr>
          <w:rFonts w:cs="Arial"/>
        </w:rPr>
      </w:pPr>
      <w:r w:rsidRPr="00EA59C0">
        <w:t>Additional</w:t>
      </w:r>
      <w:r w:rsidR="00C026A6" w:rsidRPr="00EA59C0">
        <w:t xml:space="preserve"> </w:t>
      </w:r>
      <w:r w:rsidRPr="00EA59C0">
        <w:t>attachments</w:t>
      </w:r>
      <w:r w:rsidR="00C026A6" w:rsidRPr="00EA59C0">
        <w:t xml:space="preserve"> </w:t>
      </w:r>
      <w:r w:rsidRPr="00EA59C0">
        <w:t>that</w:t>
      </w:r>
      <w:r w:rsidR="00C026A6" w:rsidRPr="00EA59C0">
        <w:t xml:space="preserve"> </w:t>
      </w:r>
      <w:r w:rsidRPr="00EA59C0">
        <w:t>are</w:t>
      </w:r>
      <w:r w:rsidR="00C026A6" w:rsidRPr="00EA59C0">
        <w:t xml:space="preserve"> </w:t>
      </w:r>
      <w:r w:rsidRPr="00EA59C0">
        <w:t>required</w:t>
      </w:r>
      <w:r w:rsidR="00C026A6" w:rsidRPr="00EA59C0">
        <w:t xml:space="preserve"> </w:t>
      </w:r>
      <w:r w:rsidRPr="00EA59C0">
        <w:t>for</w:t>
      </w:r>
      <w:r w:rsidR="00C026A6" w:rsidRPr="00EA59C0">
        <w:t xml:space="preserve"> </w:t>
      </w:r>
      <w:r w:rsidR="00CE2FFB" w:rsidRPr="00EA59C0">
        <w:t>all</w:t>
      </w:r>
      <w:r w:rsidR="00C026A6" w:rsidRPr="00EA59C0">
        <w:t xml:space="preserve"> </w:t>
      </w:r>
      <w:r w:rsidR="00CE2FFB" w:rsidRPr="00EA59C0">
        <w:t>which</w:t>
      </w:r>
      <w:r w:rsidR="00C026A6" w:rsidRPr="00EA59C0">
        <w:t xml:space="preserve"> </w:t>
      </w:r>
      <w:r w:rsidRPr="00EA59C0">
        <w:t>may</w:t>
      </w:r>
      <w:r w:rsidR="00C026A6" w:rsidRPr="00EA59C0">
        <w:t xml:space="preserve"> </w:t>
      </w:r>
      <w:r w:rsidRPr="00EA59C0">
        <w:t>impact</w:t>
      </w:r>
      <w:r w:rsidR="00C026A6" w:rsidRPr="00EA59C0">
        <w:t xml:space="preserve"> </w:t>
      </w:r>
      <w:r w:rsidR="00E754D5" w:rsidRPr="00EA59C0">
        <w:t>the</w:t>
      </w:r>
      <w:r w:rsidR="00C026A6" w:rsidRPr="00EA59C0">
        <w:t xml:space="preserve"> </w:t>
      </w:r>
      <w:r w:rsidRPr="00EA59C0">
        <w:t>scoring</w:t>
      </w:r>
      <w:r w:rsidR="00C026A6" w:rsidRPr="00EA59C0">
        <w:t xml:space="preserve"> </w:t>
      </w:r>
      <w:r w:rsidRPr="00EA59C0">
        <w:t>under</w:t>
      </w:r>
      <w:r w:rsidR="00C026A6" w:rsidRPr="00EA59C0">
        <w:t xml:space="preserve"> </w:t>
      </w:r>
      <w:r w:rsidRPr="00EA59C0">
        <w:t>Section</w:t>
      </w:r>
      <w:r w:rsidR="00C026A6" w:rsidRPr="00EA59C0">
        <w:t xml:space="preserve"> </w:t>
      </w:r>
      <w:r w:rsidR="005F34D2" w:rsidRPr="00EA59C0">
        <w:t>V.A</w:t>
      </w:r>
      <w:r w:rsidR="00C026A6" w:rsidRPr="00EA59C0">
        <w:t xml:space="preserve"> </w:t>
      </w:r>
      <w:r w:rsidRPr="00EA59C0">
        <w:t>are:</w:t>
      </w:r>
    </w:p>
    <w:p w:rsidR="00144DF0" w:rsidRPr="00EA59C0" w:rsidRDefault="00D81847" w:rsidP="00230D68">
      <w:pPr>
        <w:pStyle w:val="Heading2"/>
        <w:numPr>
          <w:ilvl w:val="3"/>
          <w:numId w:val="17"/>
        </w:numPr>
        <w:spacing w:line="240" w:lineRule="auto"/>
        <w:rPr>
          <w:rFonts w:ascii="Times New Roman" w:hAnsi="Times New Roman"/>
          <w:b w:val="0"/>
          <w:i w:val="0"/>
        </w:rPr>
      </w:pPr>
      <w:r w:rsidRPr="00EA59C0">
        <w:rPr>
          <w:rFonts w:ascii="Times New Roman" w:hAnsi="Times New Roman"/>
          <w:b w:val="0"/>
          <w:i w:val="0"/>
        </w:rPr>
        <w:t>Project/Performance</w:t>
      </w:r>
      <w:r w:rsidR="00C026A6" w:rsidRPr="00EA59C0">
        <w:rPr>
          <w:rFonts w:ascii="Times New Roman" w:hAnsi="Times New Roman"/>
          <w:b w:val="0"/>
          <w:i w:val="0"/>
        </w:rPr>
        <w:t xml:space="preserve"> </w:t>
      </w:r>
      <w:r w:rsidRPr="00EA59C0">
        <w:rPr>
          <w:rFonts w:ascii="Times New Roman" w:hAnsi="Times New Roman"/>
          <w:b w:val="0"/>
          <w:i w:val="0"/>
        </w:rPr>
        <w:t>Site</w:t>
      </w:r>
      <w:r w:rsidR="00C026A6" w:rsidRPr="00EA59C0">
        <w:rPr>
          <w:rFonts w:ascii="Times New Roman" w:hAnsi="Times New Roman"/>
          <w:b w:val="0"/>
          <w:i w:val="0"/>
        </w:rPr>
        <w:t xml:space="preserve"> </w:t>
      </w:r>
      <w:r w:rsidRPr="00EA59C0">
        <w:rPr>
          <w:rFonts w:ascii="Times New Roman" w:hAnsi="Times New Roman"/>
          <w:b w:val="0"/>
          <w:i w:val="0"/>
        </w:rPr>
        <w:t>Location(s)</w:t>
      </w:r>
      <w:r w:rsidR="00C026A6" w:rsidRPr="00EA59C0">
        <w:rPr>
          <w:rFonts w:ascii="Times New Roman" w:hAnsi="Times New Roman"/>
          <w:b w:val="0"/>
          <w:i w:val="0"/>
        </w:rPr>
        <w:t xml:space="preserve"> </w:t>
      </w:r>
      <w:r w:rsidRPr="00EA59C0">
        <w:rPr>
          <w:rFonts w:ascii="Times New Roman" w:hAnsi="Times New Roman"/>
          <w:b w:val="0"/>
          <w:i w:val="0"/>
        </w:rPr>
        <w:t>Form</w:t>
      </w:r>
      <w:r w:rsidR="00F52343" w:rsidRPr="00EA59C0">
        <w:rPr>
          <w:rFonts w:ascii="Times New Roman" w:hAnsi="Times New Roman"/>
          <w:b w:val="0"/>
          <w:i w:val="0"/>
        </w:rPr>
        <w:t>:</w:t>
      </w:r>
      <w:r w:rsidR="00C026A6" w:rsidRPr="00EA59C0">
        <w:rPr>
          <w:rFonts w:ascii="Times New Roman" w:hAnsi="Times New Roman"/>
          <w:b w:val="0"/>
          <w:i w:val="0"/>
        </w:rPr>
        <w:t xml:space="preserve"> </w:t>
      </w:r>
      <w:r w:rsidR="00260875" w:rsidRPr="00EA59C0">
        <w:rPr>
          <w:rFonts w:ascii="Times New Roman" w:hAnsi="Times New Roman"/>
          <w:b w:val="0"/>
          <w:i w:val="0"/>
        </w:rPr>
        <w:t>All</w:t>
      </w:r>
      <w:r w:rsidR="00C026A6" w:rsidRPr="00EA59C0">
        <w:rPr>
          <w:rFonts w:ascii="Times New Roman" w:hAnsi="Times New Roman"/>
          <w:b w:val="0"/>
          <w:i w:val="0"/>
        </w:rPr>
        <w:t xml:space="preserve"> </w:t>
      </w:r>
      <w:r w:rsidR="00260875" w:rsidRPr="00EA59C0">
        <w:rPr>
          <w:rFonts w:ascii="Times New Roman" w:hAnsi="Times New Roman"/>
          <w:b w:val="0"/>
          <w:i w:val="0"/>
        </w:rPr>
        <w:t>applicants</w:t>
      </w:r>
      <w:r w:rsidR="00C026A6" w:rsidRPr="00EA59C0">
        <w:rPr>
          <w:rFonts w:ascii="Times New Roman" w:hAnsi="Times New Roman"/>
          <w:b w:val="0"/>
          <w:i w:val="0"/>
        </w:rPr>
        <w:t xml:space="preserve"> </w:t>
      </w:r>
      <w:r w:rsidR="00260875" w:rsidRPr="00EA59C0">
        <w:rPr>
          <w:rFonts w:ascii="Times New Roman" w:hAnsi="Times New Roman"/>
          <w:b w:val="0"/>
          <w:i w:val="0"/>
        </w:rPr>
        <w:t>must</w:t>
      </w:r>
      <w:r w:rsidR="00C026A6" w:rsidRPr="00EA59C0">
        <w:rPr>
          <w:rFonts w:ascii="Times New Roman" w:hAnsi="Times New Roman"/>
          <w:b w:val="0"/>
          <w:i w:val="0"/>
        </w:rPr>
        <w:t xml:space="preserve"> </w:t>
      </w:r>
      <w:r w:rsidR="00260875" w:rsidRPr="00EA59C0">
        <w:rPr>
          <w:rFonts w:ascii="Times New Roman" w:hAnsi="Times New Roman"/>
          <w:b w:val="0"/>
          <w:i w:val="0"/>
        </w:rPr>
        <w:t>submit</w:t>
      </w:r>
      <w:r w:rsidR="00C026A6" w:rsidRPr="00EA59C0">
        <w:rPr>
          <w:rFonts w:ascii="Times New Roman" w:hAnsi="Times New Roman"/>
          <w:b w:val="0"/>
          <w:i w:val="0"/>
        </w:rPr>
        <w:t xml:space="preserve"> </w:t>
      </w:r>
      <w:r w:rsidR="00260875" w:rsidRPr="00EA59C0">
        <w:rPr>
          <w:rFonts w:ascii="Times New Roman" w:hAnsi="Times New Roman"/>
          <w:b w:val="0"/>
          <w:i w:val="0"/>
        </w:rPr>
        <w:t>a</w:t>
      </w:r>
      <w:r w:rsidR="00C026A6" w:rsidRPr="00EA59C0">
        <w:rPr>
          <w:rFonts w:ascii="Times New Roman" w:hAnsi="Times New Roman"/>
          <w:b w:val="0"/>
          <w:i w:val="0"/>
        </w:rPr>
        <w:t xml:space="preserve"> </w:t>
      </w:r>
      <w:r w:rsidR="007470AB" w:rsidRPr="00EA59C0">
        <w:rPr>
          <w:rFonts w:ascii="Times New Roman" w:hAnsi="Times New Roman"/>
          <w:b w:val="0"/>
          <w:i w:val="0"/>
        </w:rPr>
        <w:t>Project/Performance</w:t>
      </w:r>
      <w:r w:rsidR="00C026A6" w:rsidRPr="00EA59C0">
        <w:rPr>
          <w:rFonts w:ascii="Times New Roman" w:hAnsi="Times New Roman"/>
          <w:b w:val="0"/>
          <w:i w:val="0"/>
        </w:rPr>
        <w:t xml:space="preserve"> </w:t>
      </w:r>
      <w:r w:rsidR="007470AB" w:rsidRPr="00EA59C0">
        <w:rPr>
          <w:rFonts w:ascii="Times New Roman" w:hAnsi="Times New Roman"/>
          <w:b w:val="0"/>
          <w:i w:val="0"/>
        </w:rPr>
        <w:t>Site</w:t>
      </w:r>
      <w:r w:rsidR="00C026A6" w:rsidRPr="00EA59C0">
        <w:rPr>
          <w:rFonts w:ascii="Times New Roman" w:hAnsi="Times New Roman"/>
          <w:b w:val="0"/>
          <w:i w:val="0"/>
        </w:rPr>
        <w:t xml:space="preserve"> </w:t>
      </w:r>
      <w:r w:rsidR="007470AB" w:rsidRPr="00EA59C0">
        <w:rPr>
          <w:rFonts w:ascii="Times New Roman" w:hAnsi="Times New Roman"/>
          <w:b w:val="0"/>
          <w:i w:val="0"/>
        </w:rPr>
        <w:t>Location(s)</w:t>
      </w:r>
      <w:r w:rsidR="00C026A6" w:rsidRPr="00EA59C0">
        <w:rPr>
          <w:rFonts w:ascii="Times New Roman" w:hAnsi="Times New Roman"/>
          <w:b w:val="0"/>
          <w:i w:val="0"/>
        </w:rPr>
        <w:t xml:space="preserve"> </w:t>
      </w:r>
      <w:r w:rsidR="00F52343" w:rsidRPr="00EA59C0">
        <w:rPr>
          <w:rFonts w:ascii="Times New Roman" w:hAnsi="Times New Roman"/>
          <w:b w:val="0"/>
          <w:i w:val="0"/>
        </w:rPr>
        <w:t>F</w:t>
      </w:r>
      <w:r w:rsidR="007470AB" w:rsidRPr="00EA59C0">
        <w:rPr>
          <w:rFonts w:ascii="Times New Roman" w:hAnsi="Times New Roman"/>
          <w:b w:val="0"/>
          <w:i w:val="0"/>
        </w:rPr>
        <w:t>orm</w:t>
      </w:r>
      <w:r w:rsidR="00C026A6" w:rsidRPr="00EA59C0">
        <w:rPr>
          <w:rFonts w:ascii="Times New Roman" w:hAnsi="Times New Roman"/>
          <w:b w:val="0"/>
          <w:i w:val="0"/>
        </w:rPr>
        <w:t xml:space="preserve"> </w:t>
      </w:r>
      <w:r w:rsidR="007470AB" w:rsidRPr="00EA59C0">
        <w:rPr>
          <w:rFonts w:ascii="Times New Roman" w:hAnsi="Times New Roman"/>
          <w:b w:val="0"/>
          <w:i w:val="0"/>
        </w:rPr>
        <w:t>(available</w:t>
      </w:r>
      <w:r w:rsidR="00C026A6" w:rsidRPr="00EA59C0">
        <w:rPr>
          <w:rFonts w:ascii="Times New Roman" w:hAnsi="Times New Roman"/>
          <w:b w:val="0"/>
          <w:i w:val="0"/>
        </w:rPr>
        <w:t xml:space="preserve"> </w:t>
      </w:r>
      <w:r w:rsidR="007470AB" w:rsidRPr="00EA59C0">
        <w:rPr>
          <w:rFonts w:ascii="Times New Roman" w:hAnsi="Times New Roman"/>
          <w:b w:val="0"/>
          <w:i w:val="0"/>
        </w:rPr>
        <w:t>at</w:t>
      </w:r>
      <w:r w:rsidR="00230D68">
        <w:rPr>
          <w:rFonts w:ascii="Times New Roman" w:hAnsi="Times New Roman"/>
          <w:b w:val="0"/>
          <w:i w:val="0"/>
        </w:rPr>
        <w:t xml:space="preserve"> </w:t>
      </w:r>
      <w:hyperlink r:id="rId258" w:history="1">
        <w:r w:rsidR="00230D68" w:rsidRPr="00BB093B">
          <w:rPr>
            <w:rStyle w:val="Hyperlink"/>
            <w:rFonts w:ascii="Times New Roman" w:hAnsi="Times New Roman"/>
            <w:b w:val="0"/>
            <w:i w:val="0"/>
          </w:rPr>
          <w:t>http://www.grants.gov/web/grants/forms/sf-424-family.html</w:t>
        </w:r>
      </w:hyperlink>
      <w:r w:rsidR="00230D68">
        <w:rPr>
          <w:rFonts w:ascii="Times New Roman" w:hAnsi="Times New Roman"/>
          <w:b w:val="0"/>
          <w:i w:val="0"/>
        </w:rPr>
        <w:t xml:space="preserve"> )</w:t>
      </w:r>
      <w:r w:rsidR="00C026A6" w:rsidRPr="00EA59C0">
        <w:rPr>
          <w:rFonts w:ascii="Times New Roman" w:hAnsi="Times New Roman"/>
          <w:b w:val="0"/>
          <w:i w:val="0"/>
        </w:rPr>
        <w:t xml:space="preserve"> </w:t>
      </w:r>
      <w:r w:rsidR="007470AB" w:rsidRPr="00EA59C0">
        <w:rPr>
          <w:rFonts w:ascii="Times New Roman" w:hAnsi="Times New Roman"/>
          <w:b w:val="0"/>
          <w:i w:val="0"/>
        </w:rPr>
        <w:t>.</w:t>
      </w:r>
      <w:r w:rsidR="00C026A6" w:rsidRPr="00EA59C0">
        <w:rPr>
          <w:rFonts w:ascii="Times New Roman" w:hAnsi="Times New Roman"/>
          <w:b w:val="0"/>
          <w:i w:val="0"/>
        </w:rPr>
        <w:t xml:space="preserve"> </w:t>
      </w:r>
      <w:r w:rsidR="00CE268A" w:rsidRPr="00EA59C0">
        <w:rPr>
          <w:rFonts w:ascii="Times New Roman" w:hAnsi="Times New Roman"/>
          <w:b w:val="0"/>
          <w:i w:val="0"/>
        </w:rPr>
        <w:t>Please</w:t>
      </w:r>
      <w:r w:rsidR="00C026A6" w:rsidRPr="00EA59C0">
        <w:rPr>
          <w:rFonts w:ascii="Times New Roman" w:hAnsi="Times New Roman"/>
          <w:b w:val="0"/>
          <w:i w:val="0"/>
        </w:rPr>
        <w:t xml:space="preserve"> </w:t>
      </w:r>
      <w:r w:rsidR="00CE268A" w:rsidRPr="00EA59C0">
        <w:rPr>
          <w:rFonts w:ascii="Times New Roman" w:hAnsi="Times New Roman"/>
          <w:b w:val="0"/>
          <w:i w:val="0"/>
        </w:rPr>
        <w:t>note</w:t>
      </w:r>
      <w:r w:rsidR="00C026A6" w:rsidRPr="00EA59C0">
        <w:rPr>
          <w:rFonts w:ascii="Times New Roman" w:hAnsi="Times New Roman"/>
          <w:b w:val="0"/>
          <w:i w:val="0"/>
        </w:rPr>
        <w:t xml:space="preserve"> </w:t>
      </w:r>
      <w:r w:rsidR="00CE268A" w:rsidRPr="00EA59C0">
        <w:rPr>
          <w:rFonts w:ascii="Times New Roman" w:hAnsi="Times New Roman"/>
          <w:b w:val="0"/>
          <w:i w:val="0"/>
        </w:rPr>
        <w:t>that</w:t>
      </w:r>
      <w:r w:rsidR="00C026A6" w:rsidRPr="00EA59C0">
        <w:rPr>
          <w:rFonts w:ascii="Times New Roman" w:hAnsi="Times New Roman"/>
          <w:b w:val="0"/>
          <w:i w:val="0"/>
        </w:rPr>
        <w:t xml:space="preserve"> </w:t>
      </w:r>
      <w:r w:rsidR="00CE268A" w:rsidRPr="00EA59C0">
        <w:rPr>
          <w:rFonts w:ascii="Times New Roman" w:hAnsi="Times New Roman"/>
          <w:b w:val="0"/>
          <w:i w:val="0"/>
        </w:rPr>
        <w:t>consortium</w:t>
      </w:r>
      <w:r w:rsidR="00C026A6" w:rsidRPr="00EA59C0">
        <w:rPr>
          <w:rFonts w:ascii="Times New Roman" w:hAnsi="Times New Roman"/>
          <w:b w:val="0"/>
          <w:i w:val="0"/>
        </w:rPr>
        <w:t xml:space="preserve"> </w:t>
      </w:r>
      <w:r w:rsidR="00CE268A" w:rsidRPr="00EA59C0">
        <w:rPr>
          <w:rFonts w:ascii="Times New Roman" w:hAnsi="Times New Roman"/>
          <w:b w:val="0"/>
          <w:i w:val="0"/>
        </w:rPr>
        <w:t>applicants</w:t>
      </w:r>
      <w:r w:rsidR="00C026A6" w:rsidRPr="00EA59C0">
        <w:rPr>
          <w:rFonts w:ascii="Times New Roman" w:hAnsi="Times New Roman"/>
          <w:b w:val="0"/>
          <w:i w:val="0"/>
        </w:rPr>
        <w:t xml:space="preserve"> </w:t>
      </w:r>
      <w:r w:rsidR="00CE268A" w:rsidRPr="00EA59C0">
        <w:rPr>
          <w:rFonts w:ascii="Times New Roman" w:hAnsi="Times New Roman"/>
          <w:b w:val="0"/>
          <w:i w:val="0"/>
        </w:rPr>
        <w:t>must</w:t>
      </w:r>
      <w:r w:rsidR="00C026A6" w:rsidRPr="00EA59C0">
        <w:rPr>
          <w:rFonts w:ascii="Times New Roman" w:hAnsi="Times New Roman"/>
          <w:b w:val="0"/>
          <w:i w:val="0"/>
        </w:rPr>
        <w:t xml:space="preserve"> </w:t>
      </w:r>
      <w:r w:rsidR="00CE268A" w:rsidRPr="00EA59C0">
        <w:rPr>
          <w:rFonts w:ascii="Times New Roman" w:hAnsi="Times New Roman"/>
          <w:b w:val="0"/>
          <w:i w:val="0"/>
        </w:rPr>
        <w:t>submit</w:t>
      </w:r>
      <w:r w:rsidR="00C026A6" w:rsidRPr="00EA59C0">
        <w:rPr>
          <w:rFonts w:ascii="Times New Roman" w:hAnsi="Times New Roman"/>
          <w:b w:val="0"/>
          <w:i w:val="0"/>
        </w:rPr>
        <w:t xml:space="preserve"> </w:t>
      </w:r>
      <w:r w:rsidR="00CE268A" w:rsidRPr="00EA59C0">
        <w:rPr>
          <w:rFonts w:ascii="Times New Roman" w:hAnsi="Times New Roman"/>
          <w:b w:val="0"/>
          <w:i w:val="0"/>
        </w:rPr>
        <w:t>one</w:t>
      </w:r>
      <w:r w:rsidR="00C026A6" w:rsidRPr="00EA59C0">
        <w:rPr>
          <w:rFonts w:ascii="Times New Roman" w:hAnsi="Times New Roman"/>
          <w:b w:val="0"/>
          <w:i w:val="0"/>
        </w:rPr>
        <w:t xml:space="preserve"> </w:t>
      </w:r>
      <w:r w:rsidR="00CE268A" w:rsidRPr="00EA59C0">
        <w:rPr>
          <w:rFonts w:ascii="Times New Roman" w:hAnsi="Times New Roman"/>
          <w:b w:val="0"/>
          <w:i w:val="0"/>
        </w:rPr>
        <w:t>form</w:t>
      </w:r>
      <w:r w:rsidR="00C026A6" w:rsidRPr="00EA59C0">
        <w:rPr>
          <w:rFonts w:ascii="Times New Roman" w:hAnsi="Times New Roman"/>
          <w:b w:val="0"/>
          <w:i w:val="0"/>
        </w:rPr>
        <w:t xml:space="preserve"> </w:t>
      </w:r>
      <w:r w:rsidR="00CE268A" w:rsidRPr="00EA59C0">
        <w:rPr>
          <w:rFonts w:ascii="Times New Roman" w:hAnsi="Times New Roman"/>
          <w:b w:val="0"/>
          <w:i w:val="0"/>
        </w:rPr>
        <w:t>that</w:t>
      </w:r>
      <w:r w:rsidR="00C026A6" w:rsidRPr="00EA59C0">
        <w:rPr>
          <w:rFonts w:ascii="Times New Roman" w:hAnsi="Times New Roman"/>
          <w:b w:val="0"/>
          <w:i w:val="0"/>
        </w:rPr>
        <w:t xml:space="preserve"> </w:t>
      </w:r>
      <w:r w:rsidR="00CE268A" w:rsidRPr="00EA59C0">
        <w:rPr>
          <w:rFonts w:ascii="Times New Roman" w:hAnsi="Times New Roman"/>
          <w:b w:val="0"/>
          <w:i w:val="0"/>
        </w:rPr>
        <w:t>specifies</w:t>
      </w:r>
      <w:r w:rsidR="00C026A6" w:rsidRPr="00EA59C0">
        <w:rPr>
          <w:rFonts w:ascii="Times New Roman" w:hAnsi="Times New Roman"/>
          <w:b w:val="0"/>
          <w:i w:val="0"/>
        </w:rPr>
        <w:t xml:space="preserve"> </w:t>
      </w:r>
      <w:r w:rsidR="00CE268A" w:rsidRPr="00EA59C0">
        <w:rPr>
          <w:rFonts w:ascii="Times New Roman" w:hAnsi="Times New Roman"/>
          <w:b w:val="0"/>
          <w:i w:val="0"/>
        </w:rPr>
        <w:t>site</w:t>
      </w:r>
      <w:r w:rsidR="00C026A6" w:rsidRPr="00EA59C0">
        <w:rPr>
          <w:rFonts w:ascii="Times New Roman" w:hAnsi="Times New Roman"/>
          <w:b w:val="0"/>
          <w:i w:val="0"/>
        </w:rPr>
        <w:t xml:space="preserve"> </w:t>
      </w:r>
      <w:r w:rsidR="00CE268A" w:rsidRPr="00EA59C0">
        <w:rPr>
          <w:rFonts w:ascii="Times New Roman" w:hAnsi="Times New Roman"/>
          <w:b w:val="0"/>
          <w:i w:val="0"/>
        </w:rPr>
        <w:t>locations</w:t>
      </w:r>
      <w:r w:rsidR="00C026A6" w:rsidRPr="00EA59C0">
        <w:rPr>
          <w:rFonts w:ascii="Times New Roman" w:hAnsi="Times New Roman"/>
          <w:b w:val="0"/>
          <w:i w:val="0"/>
        </w:rPr>
        <w:t xml:space="preserve"> </w:t>
      </w:r>
      <w:r w:rsidR="00CE268A" w:rsidRPr="00EA59C0">
        <w:rPr>
          <w:rFonts w:ascii="Times New Roman" w:hAnsi="Times New Roman"/>
          <w:b w:val="0"/>
          <w:i w:val="0"/>
        </w:rPr>
        <w:t>for</w:t>
      </w:r>
      <w:r w:rsidR="00C026A6" w:rsidRPr="00EA59C0">
        <w:rPr>
          <w:rFonts w:ascii="Times New Roman" w:hAnsi="Times New Roman"/>
          <w:b w:val="0"/>
          <w:i w:val="0"/>
        </w:rPr>
        <w:t xml:space="preserve"> </w:t>
      </w:r>
      <w:r w:rsidR="00CE268A" w:rsidRPr="00EA59C0">
        <w:rPr>
          <w:rFonts w:ascii="Times New Roman" w:hAnsi="Times New Roman"/>
          <w:b w:val="0"/>
          <w:i w:val="0"/>
        </w:rPr>
        <w:t>each</w:t>
      </w:r>
      <w:r w:rsidR="00C026A6" w:rsidRPr="00EA59C0">
        <w:rPr>
          <w:rFonts w:ascii="Times New Roman" w:hAnsi="Times New Roman"/>
          <w:b w:val="0"/>
          <w:i w:val="0"/>
        </w:rPr>
        <w:t xml:space="preserve"> </w:t>
      </w:r>
      <w:r w:rsidR="00CE268A" w:rsidRPr="00EA59C0">
        <w:rPr>
          <w:rFonts w:ascii="Times New Roman" w:hAnsi="Times New Roman"/>
          <w:b w:val="0"/>
          <w:i w:val="0"/>
        </w:rPr>
        <w:t>institution</w:t>
      </w:r>
      <w:r w:rsidR="00C026A6" w:rsidRPr="00EA59C0">
        <w:rPr>
          <w:rFonts w:ascii="Times New Roman" w:hAnsi="Times New Roman"/>
          <w:b w:val="0"/>
          <w:i w:val="0"/>
        </w:rPr>
        <w:t xml:space="preserve"> </w:t>
      </w:r>
      <w:r w:rsidR="00CE268A" w:rsidRPr="00EA59C0">
        <w:rPr>
          <w:rFonts w:ascii="Times New Roman" w:hAnsi="Times New Roman"/>
          <w:b w:val="0"/>
          <w:i w:val="0"/>
        </w:rPr>
        <w:t>in</w:t>
      </w:r>
      <w:r w:rsidR="00C026A6" w:rsidRPr="00EA59C0">
        <w:rPr>
          <w:rFonts w:ascii="Times New Roman" w:hAnsi="Times New Roman"/>
          <w:b w:val="0"/>
          <w:i w:val="0"/>
        </w:rPr>
        <w:t xml:space="preserve"> </w:t>
      </w:r>
      <w:r w:rsidR="00CE268A" w:rsidRPr="00EA59C0">
        <w:rPr>
          <w:rFonts w:ascii="Times New Roman" w:hAnsi="Times New Roman"/>
          <w:b w:val="0"/>
          <w:i w:val="0"/>
        </w:rPr>
        <w:t>the</w:t>
      </w:r>
      <w:r w:rsidR="00C026A6" w:rsidRPr="00EA59C0">
        <w:rPr>
          <w:rFonts w:ascii="Times New Roman" w:hAnsi="Times New Roman"/>
          <w:b w:val="0"/>
          <w:i w:val="0"/>
        </w:rPr>
        <w:t xml:space="preserve"> </w:t>
      </w:r>
      <w:r w:rsidR="00CE268A" w:rsidRPr="00EA59C0">
        <w:rPr>
          <w:rFonts w:ascii="Times New Roman" w:hAnsi="Times New Roman"/>
          <w:b w:val="0"/>
          <w:i w:val="0"/>
        </w:rPr>
        <w:t>consortium.</w:t>
      </w:r>
      <w:r w:rsidR="00C026A6" w:rsidRPr="00EA59C0">
        <w:rPr>
          <w:rFonts w:ascii="Times New Roman" w:hAnsi="Times New Roman"/>
          <w:b w:val="0"/>
          <w:i w:val="0"/>
        </w:rPr>
        <w:t xml:space="preserve">  </w:t>
      </w:r>
      <w:r w:rsidR="007470AB" w:rsidRPr="00EA59C0">
        <w:rPr>
          <w:rFonts w:ascii="Times New Roman" w:hAnsi="Times New Roman"/>
          <w:b w:val="0"/>
          <w:i w:val="0"/>
        </w:rPr>
        <w:t>If</w:t>
      </w:r>
      <w:r w:rsidR="00C026A6" w:rsidRPr="00EA59C0">
        <w:rPr>
          <w:rFonts w:ascii="Times New Roman" w:hAnsi="Times New Roman"/>
          <w:b w:val="0"/>
          <w:i w:val="0"/>
        </w:rPr>
        <w:t xml:space="preserve"> </w:t>
      </w:r>
      <w:r w:rsidR="007470AB" w:rsidRPr="00EA59C0">
        <w:rPr>
          <w:rFonts w:ascii="Times New Roman" w:hAnsi="Times New Roman"/>
          <w:b w:val="0"/>
          <w:i w:val="0"/>
        </w:rPr>
        <w:t>using</w:t>
      </w:r>
      <w:r w:rsidR="00C026A6" w:rsidRPr="00EA59C0">
        <w:rPr>
          <w:rFonts w:ascii="Times New Roman" w:hAnsi="Times New Roman"/>
          <w:b w:val="0"/>
          <w:i w:val="0"/>
        </w:rPr>
        <w:t xml:space="preserve"> </w:t>
      </w:r>
      <w:r w:rsidR="007470AB" w:rsidRPr="00EA59C0">
        <w:rPr>
          <w:rFonts w:ascii="Times New Roman" w:hAnsi="Times New Roman"/>
          <w:b w:val="0"/>
          <w:i w:val="0"/>
        </w:rPr>
        <w:t>grants.gov</w:t>
      </w:r>
      <w:r w:rsidR="00C026A6" w:rsidRPr="00EA59C0">
        <w:rPr>
          <w:rFonts w:ascii="Times New Roman" w:hAnsi="Times New Roman"/>
          <w:b w:val="0"/>
          <w:i w:val="0"/>
        </w:rPr>
        <w:t xml:space="preserve"> </w:t>
      </w:r>
      <w:r w:rsidR="007470AB" w:rsidRPr="00EA59C0">
        <w:rPr>
          <w:rFonts w:ascii="Times New Roman" w:hAnsi="Times New Roman"/>
          <w:b w:val="0"/>
          <w:i w:val="0"/>
        </w:rPr>
        <w:t>for</w:t>
      </w:r>
      <w:r w:rsidR="00C026A6" w:rsidRPr="00EA59C0">
        <w:rPr>
          <w:rFonts w:ascii="Times New Roman" w:hAnsi="Times New Roman"/>
          <w:b w:val="0"/>
          <w:i w:val="0"/>
        </w:rPr>
        <w:t xml:space="preserve"> </w:t>
      </w:r>
      <w:r w:rsidR="007470AB" w:rsidRPr="00EA59C0">
        <w:rPr>
          <w:rFonts w:ascii="Times New Roman" w:hAnsi="Times New Roman"/>
          <w:b w:val="0"/>
          <w:i w:val="0"/>
        </w:rPr>
        <w:t>submission,</w:t>
      </w:r>
      <w:r w:rsidR="00C026A6" w:rsidRPr="00EA59C0">
        <w:rPr>
          <w:rFonts w:ascii="Times New Roman" w:hAnsi="Times New Roman"/>
          <w:b w:val="0"/>
          <w:i w:val="0"/>
        </w:rPr>
        <w:t xml:space="preserve"> </w:t>
      </w:r>
      <w:r w:rsidR="007470AB" w:rsidRPr="00EA59C0">
        <w:rPr>
          <w:rFonts w:ascii="Times New Roman" w:hAnsi="Times New Roman"/>
          <w:b w:val="0"/>
          <w:i w:val="0"/>
        </w:rPr>
        <w:t>this</w:t>
      </w:r>
      <w:r w:rsidR="00C026A6" w:rsidRPr="00EA59C0">
        <w:rPr>
          <w:rFonts w:ascii="Times New Roman" w:hAnsi="Times New Roman"/>
          <w:b w:val="0"/>
          <w:i w:val="0"/>
        </w:rPr>
        <w:t xml:space="preserve"> </w:t>
      </w:r>
      <w:r w:rsidR="007470AB" w:rsidRPr="00EA59C0">
        <w:rPr>
          <w:rFonts w:ascii="Times New Roman" w:hAnsi="Times New Roman"/>
          <w:b w:val="0"/>
          <w:i w:val="0"/>
        </w:rPr>
        <w:t>form</w:t>
      </w:r>
      <w:r w:rsidR="00C026A6" w:rsidRPr="00EA59C0">
        <w:rPr>
          <w:rFonts w:ascii="Times New Roman" w:hAnsi="Times New Roman"/>
          <w:b w:val="0"/>
          <w:i w:val="0"/>
        </w:rPr>
        <w:t xml:space="preserve"> </w:t>
      </w:r>
      <w:r w:rsidR="007470AB" w:rsidRPr="00EA59C0">
        <w:rPr>
          <w:rFonts w:ascii="Times New Roman" w:hAnsi="Times New Roman"/>
          <w:b w:val="0"/>
          <w:i w:val="0"/>
        </w:rPr>
        <w:t>must</w:t>
      </w:r>
      <w:r w:rsidR="00C026A6" w:rsidRPr="00EA59C0">
        <w:rPr>
          <w:rFonts w:ascii="Times New Roman" w:hAnsi="Times New Roman"/>
          <w:b w:val="0"/>
          <w:i w:val="0"/>
        </w:rPr>
        <w:t xml:space="preserve"> </w:t>
      </w:r>
      <w:r w:rsidR="007470AB" w:rsidRPr="00EA59C0">
        <w:rPr>
          <w:rFonts w:ascii="Times New Roman" w:hAnsi="Times New Roman"/>
          <w:b w:val="0"/>
          <w:i w:val="0"/>
        </w:rPr>
        <w:t>be</w:t>
      </w:r>
      <w:r w:rsidR="00C026A6" w:rsidRPr="00EA59C0">
        <w:rPr>
          <w:rFonts w:ascii="Times New Roman" w:hAnsi="Times New Roman"/>
          <w:b w:val="0"/>
          <w:i w:val="0"/>
        </w:rPr>
        <w:t xml:space="preserve"> </w:t>
      </w:r>
      <w:r w:rsidR="007470AB" w:rsidRPr="00EA59C0">
        <w:rPr>
          <w:rFonts w:ascii="Times New Roman" w:hAnsi="Times New Roman"/>
          <w:b w:val="0"/>
          <w:i w:val="0"/>
        </w:rPr>
        <w:t>attached</w:t>
      </w:r>
      <w:r w:rsidR="00C026A6" w:rsidRPr="00EA59C0">
        <w:rPr>
          <w:rFonts w:ascii="Times New Roman" w:hAnsi="Times New Roman"/>
          <w:b w:val="0"/>
          <w:i w:val="0"/>
        </w:rPr>
        <w:t xml:space="preserve"> </w:t>
      </w:r>
      <w:r w:rsidR="007470AB" w:rsidRPr="00EA59C0">
        <w:rPr>
          <w:rFonts w:ascii="Times New Roman" w:hAnsi="Times New Roman"/>
          <w:b w:val="0"/>
          <w:i w:val="0"/>
        </w:rPr>
        <w:t>under</w:t>
      </w:r>
      <w:r w:rsidR="00C026A6" w:rsidRPr="00EA59C0">
        <w:rPr>
          <w:rFonts w:ascii="Times New Roman" w:hAnsi="Times New Roman"/>
          <w:b w:val="0"/>
          <w:i w:val="0"/>
        </w:rPr>
        <w:t xml:space="preserve"> </w:t>
      </w:r>
      <w:r w:rsidR="007470AB" w:rsidRPr="00EA59C0">
        <w:rPr>
          <w:rFonts w:ascii="Times New Roman" w:hAnsi="Times New Roman"/>
          <w:b w:val="0"/>
          <w:i w:val="0"/>
        </w:rPr>
        <w:t>the</w:t>
      </w:r>
      <w:r w:rsidR="00C026A6" w:rsidRPr="00EA59C0">
        <w:rPr>
          <w:rFonts w:ascii="Times New Roman" w:hAnsi="Times New Roman"/>
          <w:b w:val="0"/>
          <w:i w:val="0"/>
        </w:rPr>
        <w:t xml:space="preserve"> </w:t>
      </w:r>
      <w:r w:rsidR="007470AB" w:rsidRPr="00EA59C0">
        <w:rPr>
          <w:rFonts w:ascii="Times New Roman" w:hAnsi="Times New Roman"/>
          <w:b w:val="0"/>
          <w:i w:val="0"/>
        </w:rPr>
        <w:t>required</w:t>
      </w:r>
      <w:r w:rsidR="00C026A6" w:rsidRPr="00EA59C0">
        <w:rPr>
          <w:rFonts w:ascii="Times New Roman" w:hAnsi="Times New Roman"/>
          <w:b w:val="0"/>
          <w:i w:val="0"/>
        </w:rPr>
        <w:t xml:space="preserve"> </w:t>
      </w:r>
      <w:r w:rsidR="007470AB" w:rsidRPr="00EA59C0">
        <w:rPr>
          <w:rFonts w:ascii="Times New Roman" w:hAnsi="Times New Roman"/>
          <w:b w:val="0"/>
          <w:i w:val="0"/>
        </w:rPr>
        <w:t>forms</w:t>
      </w:r>
      <w:r w:rsidR="00C026A6" w:rsidRPr="00EA59C0">
        <w:rPr>
          <w:rFonts w:ascii="Times New Roman" w:hAnsi="Times New Roman"/>
          <w:b w:val="0"/>
          <w:i w:val="0"/>
        </w:rPr>
        <w:t xml:space="preserve"> </w:t>
      </w:r>
      <w:r w:rsidR="007470AB" w:rsidRPr="00EA59C0">
        <w:rPr>
          <w:rFonts w:ascii="Times New Roman" w:hAnsi="Times New Roman"/>
          <w:b w:val="0"/>
          <w:i w:val="0"/>
        </w:rPr>
        <w:t>section</w:t>
      </w:r>
      <w:r w:rsidR="00C026A6" w:rsidRPr="00EA59C0">
        <w:rPr>
          <w:rFonts w:ascii="Times New Roman" w:hAnsi="Times New Roman"/>
          <w:b w:val="0"/>
          <w:i w:val="0"/>
        </w:rPr>
        <w:t xml:space="preserve"> </w:t>
      </w:r>
      <w:r w:rsidR="00EC35CA" w:rsidRPr="00EA59C0">
        <w:rPr>
          <w:rFonts w:ascii="Times New Roman" w:hAnsi="Times New Roman"/>
          <w:b w:val="0"/>
          <w:i w:val="0"/>
        </w:rPr>
        <w:t>and</w:t>
      </w:r>
      <w:r w:rsidR="00C026A6" w:rsidRPr="00EA59C0">
        <w:rPr>
          <w:rFonts w:ascii="Times New Roman" w:hAnsi="Times New Roman"/>
          <w:b w:val="0"/>
          <w:i w:val="0"/>
        </w:rPr>
        <w:t xml:space="preserve"> </w:t>
      </w:r>
      <w:r w:rsidR="00EC35CA" w:rsidRPr="00EA59C0">
        <w:rPr>
          <w:rFonts w:ascii="Times New Roman" w:hAnsi="Times New Roman"/>
          <w:b w:val="0"/>
          <w:i w:val="0"/>
        </w:rPr>
        <w:t>labeled</w:t>
      </w:r>
      <w:r w:rsidR="00C026A6" w:rsidRPr="00EA59C0">
        <w:rPr>
          <w:rFonts w:ascii="Times New Roman" w:hAnsi="Times New Roman"/>
          <w:b w:val="0"/>
          <w:i w:val="0"/>
        </w:rPr>
        <w:t xml:space="preserve"> </w:t>
      </w:r>
      <w:r w:rsidR="00EC35CA" w:rsidRPr="00EA59C0">
        <w:rPr>
          <w:rFonts w:ascii="Times New Roman" w:hAnsi="Times New Roman"/>
          <w:b w:val="0"/>
          <w:i w:val="0"/>
        </w:rPr>
        <w:t>“Project/Performance</w:t>
      </w:r>
      <w:r w:rsidR="00C026A6" w:rsidRPr="00EA59C0">
        <w:rPr>
          <w:rFonts w:ascii="Times New Roman" w:hAnsi="Times New Roman"/>
          <w:b w:val="0"/>
          <w:i w:val="0"/>
        </w:rPr>
        <w:t xml:space="preserve"> </w:t>
      </w:r>
      <w:r w:rsidR="00EC35CA" w:rsidRPr="00EA59C0">
        <w:rPr>
          <w:rFonts w:ascii="Times New Roman" w:hAnsi="Times New Roman"/>
          <w:b w:val="0"/>
          <w:i w:val="0"/>
        </w:rPr>
        <w:t>Site</w:t>
      </w:r>
      <w:r w:rsidR="00C026A6" w:rsidRPr="00EA59C0">
        <w:rPr>
          <w:rFonts w:ascii="Times New Roman" w:hAnsi="Times New Roman"/>
          <w:b w:val="0"/>
          <w:i w:val="0"/>
        </w:rPr>
        <w:t xml:space="preserve"> </w:t>
      </w:r>
      <w:r w:rsidR="00EC35CA" w:rsidRPr="00EA59C0">
        <w:rPr>
          <w:rFonts w:ascii="Times New Roman" w:hAnsi="Times New Roman"/>
          <w:b w:val="0"/>
          <w:i w:val="0"/>
        </w:rPr>
        <w:t>Location(s)</w:t>
      </w:r>
      <w:r w:rsidR="00C026A6" w:rsidRPr="00EA59C0">
        <w:rPr>
          <w:rFonts w:ascii="Times New Roman" w:hAnsi="Times New Roman"/>
          <w:b w:val="0"/>
          <w:i w:val="0"/>
        </w:rPr>
        <w:t xml:space="preserve"> </w:t>
      </w:r>
      <w:r w:rsidR="00EC35CA" w:rsidRPr="00EA59C0">
        <w:rPr>
          <w:rFonts w:ascii="Times New Roman" w:hAnsi="Times New Roman"/>
          <w:b w:val="0"/>
          <w:i w:val="0"/>
        </w:rPr>
        <w:t>Form</w:t>
      </w:r>
      <w:r w:rsidR="007470AB" w:rsidRPr="00EA59C0">
        <w:rPr>
          <w:rFonts w:ascii="Times New Roman" w:hAnsi="Times New Roman"/>
          <w:b w:val="0"/>
          <w:i w:val="0"/>
        </w:rPr>
        <w:t>.</w:t>
      </w:r>
      <w:r w:rsidR="00EC35CA" w:rsidRPr="00EA59C0">
        <w:rPr>
          <w:rFonts w:ascii="Times New Roman" w:hAnsi="Times New Roman"/>
          <w:b w:val="0"/>
          <w:i w:val="0"/>
        </w:rPr>
        <w:t>”</w:t>
      </w:r>
      <w:r w:rsidR="00C026A6" w:rsidRPr="00EA59C0">
        <w:rPr>
          <w:rFonts w:ascii="Times New Roman" w:hAnsi="Times New Roman"/>
          <w:b w:val="0"/>
          <w:i w:val="0"/>
        </w:rPr>
        <w:t xml:space="preserve">  </w:t>
      </w:r>
      <w:r w:rsidR="007470AB" w:rsidRPr="00EA59C0">
        <w:rPr>
          <w:rFonts w:ascii="Times New Roman" w:hAnsi="Times New Roman"/>
          <w:b w:val="0"/>
          <w:i w:val="0"/>
        </w:rPr>
        <w:t>Please</w:t>
      </w:r>
      <w:r w:rsidR="00C026A6" w:rsidRPr="00EA59C0">
        <w:rPr>
          <w:rFonts w:ascii="Times New Roman" w:hAnsi="Times New Roman"/>
          <w:b w:val="0"/>
          <w:i w:val="0"/>
        </w:rPr>
        <w:t xml:space="preserve"> </w:t>
      </w:r>
      <w:r w:rsidR="007470AB" w:rsidRPr="00EA59C0">
        <w:rPr>
          <w:rFonts w:ascii="Times New Roman" w:hAnsi="Times New Roman"/>
          <w:b w:val="0"/>
          <w:i w:val="0"/>
        </w:rPr>
        <w:t>note</w:t>
      </w:r>
      <w:r w:rsidR="00C026A6" w:rsidRPr="00EA59C0">
        <w:rPr>
          <w:rFonts w:ascii="Times New Roman" w:hAnsi="Times New Roman"/>
          <w:b w:val="0"/>
          <w:i w:val="0"/>
        </w:rPr>
        <w:t xml:space="preserve"> </w:t>
      </w:r>
      <w:r w:rsidR="007470AB" w:rsidRPr="00EA59C0">
        <w:rPr>
          <w:rFonts w:ascii="Times New Roman" w:hAnsi="Times New Roman"/>
          <w:b w:val="0"/>
          <w:i w:val="0"/>
        </w:rPr>
        <w:t>that</w:t>
      </w:r>
      <w:r w:rsidR="00C026A6" w:rsidRPr="00EA59C0">
        <w:rPr>
          <w:rFonts w:ascii="Times New Roman" w:hAnsi="Times New Roman"/>
          <w:b w:val="0"/>
          <w:i w:val="0"/>
        </w:rPr>
        <w:t xml:space="preserve"> </w:t>
      </w:r>
      <w:r w:rsidR="007470AB" w:rsidRPr="00EA59C0">
        <w:rPr>
          <w:rFonts w:ascii="Times New Roman" w:hAnsi="Times New Roman"/>
          <w:b w:val="0"/>
          <w:i w:val="0"/>
        </w:rPr>
        <w:t>this</w:t>
      </w:r>
      <w:r w:rsidR="00C026A6" w:rsidRPr="00EA59C0">
        <w:rPr>
          <w:rFonts w:ascii="Times New Roman" w:hAnsi="Times New Roman"/>
          <w:b w:val="0"/>
          <w:i w:val="0"/>
        </w:rPr>
        <w:t xml:space="preserve"> </w:t>
      </w:r>
      <w:r w:rsidR="007470AB" w:rsidRPr="00EA59C0">
        <w:rPr>
          <w:rFonts w:ascii="Times New Roman" w:hAnsi="Times New Roman"/>
          <w:b w:val="0"/>
          <w:i w:val="0"/>
        </w:rPr>
        <w:t>is</w:t>
      </w:r>
      <w:r w:rsidR="00C026A6" w:rsidRPr="00EA59C0">
        <w:rPr>
          <w:rFonts w:ascii="Times New Roman" w:hAnsi="Times New Roman"/>
          <w:b w:val="0"/>
          <w:i w:val="0"/>
        </w:rPr>
        <w:t xml:space="preserve"> </w:t>
      </w:r>
      <w:r w:rsidR="007470AB" w:rsidRPr="00EA59C0">
        <w:rPr>
          <w:rFonts w:ascii="Times New Roman" w:hAnsi="Times New Roman"/>
          <w:b w:val="0"/>
          <w:i w:val="0"/>
        </w:rPr>
        <w:t>a</w:t>
      </w:r>
      <w:r w:rsidR="00C026A6" w:rsidRPr="00EA59C0">
        <w:rPr>
          <w:rFonts w:ascii="Times New Roman" w:hAnsi="Times New Roman"/>
          <w:b w:val="0"/>
          <w:i w:val="0"/>
        </w:rPr>
        <w:t xml:space="preserve"> </w:t>
      </w:r>
      <w:r w:rsidR="007470AB" w:rsidRPr="00EA59C0">
        <w:rPr>
          <w:rFonts w:ascii="Times New Roman" w:hAnsi="Times New Roman"/>
          <w:b w:val="0"/>
          <w:i w:val="0"/>
        </w:rPr>
        <w:t>standard</w:t>
      </w:r>
      <w:r w:rsidR="00C026A6" w:rsidRPr="00EA59C0">
        <w:rPr>
          <w:rFonts w:ascii="Times New Roman" w:hAnsi="Times New Roman"/>
          <w:b w:val="0"/>
          <w:i w:val="0"/>
        </w:rPr>
        <w:t xml:space="preserve"> </w:t>
      </w:r>
      <w:r w:rsidR="007470AB" w:rsidRPr="00EA59C0">
        <w:rPr>
          <w:rFonts w:ascii="Times New Roman" w:hAnsi="Times New Roman"/>
          <w:b w:val="0"/>
          <w:i w:val="0"/>
        </w:rPr>
        <w:t>form</w:t>
      </w:r>
      <w:r w:rsidR="00C026A6" w:rsidRPr="00EA59C0">
        <w:rPr>
          <w:rFonts w:ascii="Times New Roman" w:hAnsi="Times New Roman"/>
          <w:b w:val="0"/>
          <w:i w:val="0"/>
        </w:rPr>
        <w:t xml:space="preserve"> </w:t>
      </w:r>
      <w:r w:rsidR="007470AB" w:rsidRPr="00EA59C0">
        <w:rPr>
          <w:rFonts w:ascii="Times New Roman" w:hAnsi="Times New Roman"/>
          <w:b w:val="0"/>
          <w:i w:val="0"/>
        </w:rPr>
        <w:t>used</w:t>
      </w:r>
      <w:r w:rsidR="00C026A6" w:rsidRPr="00EA59C0">
        <w:rPr>
          <w:rFonts w:ascii="Times New Roman" w:hAnsi="Times New Roman"/>
          <w:b w:val="0"/>
          <w:i w:val="0"/>
        </w:rPr>
        <w:t xml:space="preserve"> </w:t>
      </w:r>
      <w:r w:rsidR="007470AB" w:rsidRPr="00EA59C0">
        <w:rPr>
          <w:rFonts w:ascii="Times New Roman" w:hAnsi="Times New Roman"/>
          <w:b w:val="0"/>
          <w:i w:val="0"/>
        </w:rPr>
        <w:t>for</w:t>
      </w:r>
      <w:r w:rsidR="00C026A6" w:rsidRPr="00EA59C0">
        <w:rPr>
          <w:rFonts w:ascii="Times New Roman" w:hAnsi="Times New Roman"/>
          <w:b w:val="0"/>
          <w:i w:val="0"/>
        </w:rPr>
        <w:t xml:space="preserve"> </w:t>
      </w:r>
      <w:r w:rsidR="007470AB" w:rsidRPr="00EA59C0">
        <w:rPr>
          <w:rFonts w:ascii="Times New Roman" w:hAnsi="Times New Roman"/>
          <w:b w:val="0"/>
          <w:i w:val="0"/>
        </w:rPr>
        <w:t>many</w:t>
      </w:r>
      <w:r w:rsidR="00C026A6" w:rsidRPr="00EA59C0">
        <w:rPr>
          <w:rFonts w:ascii="Times New Roman" w:hAnsi="Times New Roman"/>
          <w:b w:val="0"/>
          <w:i w:val="0"/>
        </w:rPr>
        <w:t xml:space="preserve"> </w:t>
      </w:r>
      <w:r w:rsidR="007470AB" w:rsidRPr="00EA59C0">
        <w:rPr>
          <w:rFonts w:ascii="Times New Roman" w:hAnsi="Times New Roman"/>
          <w:b w:val="0"/>
          <w:i w:val="0"/>
        </w:rPr>
        <w:t>programs</w:t>
      </w:r>
      <w:r w:rsidR="00C026A6" w:rsidRPr="00EA59C0">
        <w:rPr>
          <w:rFonts w:ascii="Times New Roman" w:hAnsi="Times New Roman"/>
          <w:b w:val="0"/>
          <w:i w:val="0"/>
        </w:rPr>
        <w:t xml:space="preserve"> </w:t>
      </w:r>
      <w:r w:rsidR="007470AB" w:rsidRPr="00EA59C0">
        <w:rPr>
          <w:rFonts w:ascii="Times New Roman" w:hAnsi="Times New Roman"/>
          <w:b w:val="0"/>
          <w:i w:val="0"/>
        </w:rPr>
        <w:t>and</w:t>
      </w:r>
      <w:r w:rsidR="00C026A6" w:rsidRPr="00EA59C0">
        <w:rPr>
          <w:rFonts w:ascii="Times New Roman" w:hAnsi="Times New Roman"/>
          <w:b w:val="0"/>
          <w:i w:val="0"/>
        </w:rPr>
        <w:t xml:space="preserve"> </w:t>
      </w:r>
      <w:r w:rsidR="007470AB" w:rsidRPr="00EA59C0">
        <w:rPr>
          <w:rFonts w:ascii="Times New Roman" w:hAnsi="Times New Roman"/>
          <w:b w:val="0"/>
          <w:i w:val="0"/>
        </w:rPr>
        <w:t>has</w:t>
      </w:r>
      <w:r w:rsidR="00C026A6" w:rsidRPr="00EA59C0">
        <w:rPr>
          <w:rFonts w:ascii="Times New Roman" w:hAnsi="Times New Roman"/>
          <w:b w:val="0"/>
          <w:i w:val="0"/>
        </w:rPr>
        <w:t xml:space="preserve"> </w:t>
      </w:r>
      <w:r w:rsidR="007470AB" w:rsidRPr="00EA59C0">
        <w:rPr>
          <w:rFonts w:ascii="Times New Roman" w:hAnsi="Times New Roman"/>
          <w:b w:val="0"/>
          <w:i w:val="0"/>
        </w:rPr>
        <w:t>a</w:t>
      </w:r>
      <w:r w:rsidR="00C026A6" w:rsidRPr="00EA59C0">
        <w:rPr>
          <w:rFonts w:ascii="Times New Roman" w:hAnsi="Times New Roman"/>
          <w:b w:val="0"/>
          <w:i w:val="0"/>
        </w:rPr>
        <w:t xml:space="preserve"> </w:t>
      </w:r>
      <w:r w:rsidR="007470AB" w:rsidRPr="00EA59C0">
        <w:rPr>
          <w:rFonts w:ascii="Times New Roman" w:hAnsi="Times New Roman"/>
          <w:b w:val="0"/>
          <w:i w:val="0"/>
        </w:rPr>
        <w:t>check</w:t>
      </w:r>
      <w:r w:rsidR="00C026A6" w:rsidRPr="00EA59C0">
        <w:rPr>
          <w:rFonts w:ascii="Times New Roman" w:hAnsi="Times New Roman"/>
          <w:b w:val="0"/>
          <w:i w:val="0"/>
        </w:rPr>
        <w:t xml:space="preserve"> </w:t>
      </w:r>
      <w:r w:rsidR="007470AB" w:rsidRPr="00EA59C0">
        <w:rPr>
          <w:rFonts w:ascii="Times New Roman" w:hAnsi="Times New Roman"/>
          <w:b w:val="0"/>
          <w:i w:val="0"/>
        </w:rPr>
        <w:t>box</w:t>
      </w:r>
      <w:r w:rsidR="00C026A6" w:rsidRPr="00EA59C0">
        <w:rPr>
          <w:rFonts w:ascii="Times New Roman" w:hAnsi="Times New Roman"/>
          <w:b w:val="0"/>
          <w:i w:val="0"/>
        </w:rPr>
        <w:t xml:space="preserve"> </w:t>
      </w:r>
      <w:r w:rsidR="007470AB" w:rsidRPr="00EA59C0">
        <w:rPr>
          <w:rFonts w:ascii="Times New Roman" w:hAnsi="Times New Roman"/>
          <w:b w:val="0"/>
          <w:i w:val="0"/>
        </w:rPr>
        <w:t>for</w:t>
      </w:r>
      <w:r w:rsidR="00C026A6" w:rsidRPr="00EA59C0">
        <w:rPr>
          <w:rFonts w:ascii="Times New Roman" w:hAnsi="Times New Roman"/>
          <w:b w:val="0"/>
          <w:i w:val="0"/>
        </w:rPr>
        <w:t xml:space="preserve"> </w:t>
      </w:r>
      <w:r w:rsidR="007470AB" w:rsidRPr="00EA59C0">
        <w:rPr>
          <w:rFonts w:ascii="Times New Roman" w:hAnsi="Times New Roman"/>
          <w:b w:val="0"/>
          <w:i w:val="0"/>
        </w:rPr>
        <w:t>applying</w:t>
      </w:r>
      <w:r w:rsidR="00C026A6" w:rsidRPr="00EA59C0">
        <w:rPr>
          <w:rFonts w:ascii="Times New Roman" w:hAnsi="Times New Roman"/>
          <w:b w:val="0"/>
          <w:i w:val="0"/>
        </w:rPr>
        <w:t xml:space="preserve"> </w:t>
      </w:r>
      <w:r w:rsidR="007470AB" w:rsidRPr="00EA59C0">
        <w:rPr>
          <w:rFonts w:ascii="Times New Roman" w:hAnsi="Times New Roman"/>
          <w:b w:val="0"/>
          <w:i w:val="0"/>
        </w:rPr>
        <w:t>as</w:t>
      </w:r>
      <w:r w:rsidR="00C026A6" w:rsidRPr="00EA59C0">
        <w:rPr>
          <w:rFonts w:ascii="Times New Roman" w:hAnsi="Times New Roman"/>
          <w:b w:val="0"/>
          <w:i w:val="0"/>
        </w:rPr>
        <w:t xml:space="preserve"> </w:t>
      </w:r>
      <w:r w:rsidR="007470AB" w:rsidRPr="00EA59C0">
        <w:rPr>
          <w:rFonts w:ascii="Times New Roman" w:hAnsi="Times New Roman"/>
          <w:b w:val="0"/>
          <w:i w:val="0"/>
        </w:rPr>
        <w:t>an</w:t>
      </w:r>
      <w:r w:rsidR="00C026A6" w:rsidRPr="00EA59C0">
        <w:rPr>
          <w:rFonts w:ascii="Times New Roman" w:hAnsi="Times New Roman"/>
          <w:b w:val="0"/>
          <w:i w:val="0"/>
        </w:rPr>
        <w:t xml:space="preserve"> </w:t>
      </w:r>
      <w:r w:rsidR="007470AB" w:rsidRPr="00EA59C0">
        <w:rPr>
          <w:rFonts w:ascii="Times New Roman" w:hAnsi="Times New Roman"/>
          <w:b w:val="0"/>
          <w:i w:val="0"/>
        </w:rPr>
        <w:t>individual.</w:t>
      </w:r>
      <w:r w:rsidR="00C026A6" w:rsidRPr="00EA59C0">
        <w:rPr>
          <w:rFonts w:ascii="Times New Roman" w:hAnsi="Times New Roman"/>
          <w:b w:val="0"/>
          <w:i w:val="0"/>
        </w:rPr>
        <w:t xml:space="preserve">  </w:t>
      </w:r>
      <w:r w:rsidR="007470AB" w:rsidRPr="00EA59C0">
        <w:rPr>
          <w:rFonts w:ascii="Times New Roman" w:hAnsi="Times New Roman"/>
          <w:b w:val="0"/>
          <w:i w:val="0"/>
        </w:rPr>
        <w:t>Disregard</w:t>
      </w:r>
      <w:r w:rsidR="00C026A6" w:rsidRPr="00EA59C0">
        <w:rPr>
          <w:rFonts w:ascii="Times New Roman" w:hAnsi="Times New Roman"/>
          <w:b w:val="0"/>
          <w:i w:val="0"/>
        </w:rPr>
        <w:t xml:space="preserve"> </w:t>
      </w:r>
      <w:r w:rsidR="007470AB" w:rsidRPr="00EA59C0">
        <w:rPr>
          <w:rFonts w:ascii="Times New Roman" w:hAnsi="Times New Roman"/>
          <w:b w:val="0"/>
          <w:i w:val="0"/>
        </w:rPr>
        <w:t>this</w:t>
      </w:r>
      <w:r w:rsidR="00C026A6" w:rsidRPr="00EA59C0">
        <w:rPr>
          <w:rFonts w:ascii="Times New Roman" w:hAnsi="Times New Roman"/>
          <w:b w:val="0"/>
          <w:i w:val="0"/>
        </w:rPr>
        <w:t xml:space="preserve"> </w:t>
      </w:r>
      <w:r w:rsidR="007470AB" w:rsidRPr="00EA59C0">
        <w:rPr>
          <w:rFonts w:ascii="Times New Roman" w:hAnsi="Times New Roman"/>
          <w:b w:val="0"/>
          <w:i w:val="0"/>
        </w:rPr>
        <w:t>box</w:t>
      </w:r>
      <w:r w:rsidR="00C026A6" w:rsidRPr="00EA59C0">
        <w:rPr>
          <w:rFonts w:ascii="Times New Roman" w:hAnsi="Times New Roman"/>
          <w:b w:val="0"/>
          <w:i w:val="0"/>
        </w:rPr>
        <w:t xml:space="preserve"> </w:t>
      </w:r>
      <w:r w:rsidR="007470AB" w:rsidRPr="00EA59C0">
        <w:rPr>
          <w:rFonts w:ascii="Times New Roman" w:hAnsi="Times New Roman"/>
          <w:b w:val="0"/>
          <w:i w:val="0"/>
        </w:rPr>
        <w:t>on</w:t>
      </w:r>
      <w:r w:rsidR="00C026A6" w:rsidRPr="00EA59C0">
        <w:rPr>
          <w:rFonts w:ascii="Times New Roman" w:hAnsi="Times New Roman"/>
          <w:b w:val="0"/>
          <w:i w:val="0"/>
        </w:rPr>
        <w:t xml:space="preserve"> </w:t>
      </w:r>
      <w:r w:rsidR="007470AB" w:rsidRPr="00EA59C0">
        <w:rPr>
          <w:rFonts w:ascii="Times New Roman" w:hAnsi="Times New Roman"/>
          <w:b w:val="0"/>
          <w:i w:val="0"/>
        </w:rPr>
        <w:t>the</w:t>
      </w:r>
      <w:r w:rsidR="00C026A6" w:rsidRPr="00EA59C0">
        <w:rPr>
          <w:rFonts w:ascii="Times New Roman" w:hAnsi="Times New Roman"/>
          <w:b w:val="0"/>
          <w:i w:val="0"/>
        </w:rPr>
        <w:t xml:space="preserve"> </w:t>
      </w:r>
      <w:r w:rsidR="007470AB" w:rsidRPr="00EA59C0">
        <w:rPr>
          <w:rFonts w:ascii="Times New Roman" w:hAnsi="Times New Roman"/>
          <w:b w:val="0"/>
          <w:i w:val="0"/>
        </w:rPr>
        <w:t>form</w:t>
      </w:r>
      <w:r w:rsidR="00C026A6" w:rsidRPr="00EA59C0">
        <w:rPr>
          <w:rFonts w:ascii="Times New Roman" w:hAnsi="Times New Roman"/>
          <w:b w:val="0"/>
          <w:i w:val="0"/>
        </w:rPr>
        <w:t xml:space="preserve"> </w:t>
      </w:r>
      <w:r w:rsidR="007470AB" w:rsidRPr="00EA59C0">
        <w:rPr>
          <w:rFonts w:ascii="Times New Roman" w:hAnsi="Times New Roman"/>
          <w:b w:val="0"/>
          <w:i w:val="0"/>
        </w:rPr>
        <w:t>as</w:t>
      </w:r>
      <w:r w:rsidR="00C026A6" w:rsidRPr="00EA59C0">
        <w:rPr>
          <w:rFonts w:ascii="Times New Roman" w:hAnsi="Times New Roman"/>
          <w:b w:val="0"/>
          <w:i w:val="0"/>
        </w:rPr>
        <w:t xml:space="preserve"> </w:t>
      </w:r>
      <w:r w:rsidR="007470AB" w:rsidRPr="00EA59C0">
        <w:rPr>
          <w:rFonts w:ascii="Times New Roman" w:hAnsi="Times New Roman"/>
          <w:b w:val="0"/>
          <w:i w:val="0"/>
        </w:rPr>
        <w:t>individuals</w:t>
      </w:r>
      <w:r w:rsidR="00C026A6" w:rsidRPr="00EA59C0">
        <w:rPr>
          <w:rFonts w:ascii="Times New Roman" w:hAnsi="Times New Roman"/>
          <w:b w:val="0"/>
          <w:i w:val="0"/>
        </w:rPr>
        <w:t xml:space="preserve"> </w:t>
      </w:r>
      <w:r w:rsidR="007470AB" w:rsidRPr="00EA59C0">
        <w:rPr>
          <w:rFonts w:ascii="Times New Roman" w:hAnsi="Times New Roman"/>
          <w:b w:val="0"/>
          <w:i w:val="0"/>
        </w:rPr>
        <w:t>are</w:t>
      </w:r>
      <w:r w:rsidR="00C026A6" w:rsidRPr="00EA59C0">
        <w:rPr>
          <w:rFonts w:ascii="Times New Roman" w:hAnsi="Times New Roman"/>
          <w:b w:val="0"/>
          <w:i w:val="0"/>
        </w:rPr>
        <w:t xml:space="preserve"> </w:t>
      </w:r>
      <w:r w:rsidR="007470AB" w:rsidRPr="00EA59C0">
        <w:rPr>
          <w:rFonts w:ascii="Times New Roman" w:hAnsi="Times New Roman"/>
          <w:b w:val="0"/>
          <w:i w:val="0"/>
        </w:rPr>
        <w:t>not</w:t>
      </w:r>
      <w:r w:rsidR="00C026A6" w:rsidRPr="00EA59C0">
        <w:rPr>
          <w:rFonts w:ascii="Times New Roman" w:hAnsi="Times New Roman"/>
          <w:b w:val="0"/>
          <w:i w:val="0"/>
        </w:rPr>
        <w:t xml:space="preserve"> </w:t>
      </w:r>
      <w:r w:rsidR="007470AB" w:rsidRPr="00EA59C0">
        <w:rPr>
          <w:rFonts w:ascii="Times New Roman" w:hAnsi="Times New Roman"/>
          <w:b w:val="0"/>
          <w:i w:val="0"/>
        </w:rPr>
        <w:t>eligible</w:t>
      </w:r>
      <w:r w:rsidR="00C026A6" w:rsidRPr="00EA59C0">
        <w:rPr>
          <w:rFonts w:ascii="Times New Roman" w:hAnsi="Times New Roman"/>
          <w:b w:val="0"/>
          <w:i w:val="0"/>
        </w:rPr>
        <w:t xml:space="preserve"> </w:t>
      </w:r>
      <w:r w:rsidR="007470AB" w:rsidRPr="00EA59C0">
        <w:rPr>
          <w:rFonts w:ascii="Times New Roman" w:hAnsi="Times New Roman"/>
          <w:b w:val="0"/>
          <w:i w:val="0"/>
        </w:rPr>
        <w:t>to</w:t>
      </w:r>
      <w:r w:rsidR="00C026A6" w:rsidRPr="00EA59C0">
        <w:rPr>
          <w:rFonts w:ascii="Times New Roman" w:hAnsi="Times New Roman"/>
          <w:b w:val="0"/>
          <w:i w:val="0"/>
        </w:rPr>
        <w:t xml:space="preserve"> </w:t>
      </w:r>
      <w:r w:rsidR="007470AB" w:rsidRPr="00EA59C0">
        <w:rPr>
          <w:rFonts w:ascii="Times New Roman" w:hAnsi="Times New Roman"/>
          <w:b w:val="0"/>
          <w:i w:val="0"/>
        </w:rPr>
        <w:t>apply</w:t>
      </w:r>
      <w:r w:rsidR="00C026A6" w:rsidRPr="00EA59C0">
        <w:rPr>
          <w:rFonts w:ascii="Times New Roman" w:hAnsi="Times New Roman"/>
          <w:b w:val="0"/>
          <w:i w:val="0"/>
        </w:rPr>
        <w:t xml:space="preserve"> </w:t>
      </w:r>
      <w:r w:rsidR="007470AB" w:rsidRPr="00EA59C0">
        <w:rPr>
          <w:rFonts w:ascii="Times New Roman" w:hAnsi="Times New Roman"/>
          <w:b w:val="0"/>
          <w:i w:val="0"/>
        </w:rPr>
        <w:t>for</w:t>
      </w:r>
      <w:r w:rsidR="00C026A6" w:rsidRPr="00EA59C0">
        <w:rPr>
          <w:rFonts w:ascii="Times New Roman" w:hAnsi="Times New Roman"/>
          <w:b w:val="0"/>
          <w:i w:val="0"/>
        </w:rPr>
        <w:t xml:space="preserve"> </w:t>
      </w:r>
      <w:r w:rsidR="007470AB" w:rsidRPr="00EA59C0">
        <w:rPr>
          <w:rFonts w:ascii="Times New Roman" w:hAnsi="Times New Roman"/>
          <w:b w:val="0"/>
          <w:i w:val="0"/>
        </w:rPr>
        <w:t>this</w:t>
      </w:r>
      <w:r w:rsidR="00C026A6" w:rsidRPr="00EA59C0">
        <w:rPr>
          <w:rFonts w:ascii="Times New Roman" w:hAnsi="Times New Roman"/>
          <w:b w:val="0"/>
          <w:i w:val="0"/>
        </w:rPr>
        <w:t xml:space="preserve"> </w:t>
      </w:r>
      <w:r w:rsidR="007470AB" w:rsidRPr="00EA59C0">
        <w:rPr>
          <w:rFonts w:ascii="Times New Roman" w:hAnsi="Times New Roman"/>
          <w:b w:val="0"/>
          <w:i w:val="0"/>
        </w:rPr>
        <w:t>solicitation.</w:t>
      </w:r>
    </w:p>
    <w:p w:rsidR="00DC6217" w:rsidRPr="00EA59C0" w:rsidRDefault="00E108AF" w:rsidP="006D2090">
      <w:pPr>
        <w:pStyle w:val="Heading2"/>
        <w:numPr>
          <w:ilvl w:val="3"/>
          <w:numId w:val="17"/>
        </w:numPr>
        <w:spacing w:line="240" w:lineRule="auto"/>
        <w:rPr>
          <w:rFonts w:ascii="Times New Roman" w:hAnsi="Times New Roman"/>
          <w:b w:val="0"/>
          <w:i w:val="0"/>
        </w:rPr>
      </w:pPr>
      <w:r w:rsidRPr="00EA59C0">
        <w:rPr>
          <w:rFonts w:ascii="Times New Roman" w:hAnsi="Times New Roman"/>
          <w:b w:val="0"/>
          <w:i w:val="0"/>
        </w:rPr>
        <w:t>Documentation</w:t>
      </w:r>
      <w:r w:rsidR="00C026A6" w:rsidRPr="00EA59C0">
        <w:rPr>
          <w:rFonts w:ascii="Times New Roman" w:hAnsi="Times New Roman"/>
          <w:b w:val="0"/>
          <w:i w:val="0"/>
        </w:rPr>
        <w:t xml:space="preserve"> </w:t>
      </w:r>
      <w:r w:rsidRPr="00EA59C0">
        <w:rPr>
          <w:rFonts w:ascii="Times New Roman" w:hAnsi="Times New Roman"/>
          <w:b w:val="0"/>
          <w:i w:val="0"/>
        </w:rPr>
        <w:t>of</w:t>
      </w:r>
      <w:r w:rsidR="00C026A6" w:rsidRPr="00EA59C0">
        <w:rPr>
          <w:rFonts w:ascii="Times New Roman" w:hAnsi="Times New Roman"/>
          <w:b w:val="0"/>
          <w:i w:val="0"/>
        </w:rPr>
        <w:t xml:space="preserve"> </w:t>
      </w:r>
      <w:r w:rsidRPr="00EA59C0">
        <w:rPr>
          <w:rFonts w:ascii="Times New Roman" w:hAnsi="Times New Roman"/>
          <w:b w:val="0"/>
          <w:i w:val="0"/>
        </w:rPr>
        <w:t>accreditation</w:t>
      </w:r>
      <w:r w:rsidR="00C026A6" w:rsidRPr="00EA59C0">
        <w:rPr>
          <w:rFonts w:ascii="Times New Roman" w:hAnsi="Times New Roman"/>
          <w:b w:val="0"/>
          <w:i w:val="0"/>
        </w:rPr>
        <w:t xml:space="preserve"> </w:t>
      </w:r>
      <w:r w:rsidRPr="00EA59C0">
        <w:rPr>
          <w:rFonts w:ascii="Times New Roman" w:hAnsi="Times New Roman"/>
          <w:b w:val="0"/>
          <w:i w:val="0"/>
        </w:rPr>
        <w:t>status</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each</w:t>
      </w:r>
      <w:r w:rsidR="00C026A6" w:rsidRPr="00EA59C0">
        <w:rPr>
          <w:rFonts w:ascii="Times New Roman" w:hAnsi="Times New Roman"/>
          <w:b w:val="0"/>
          <w:i w:val="0"/>
        </w:rPr>
        <w:t xml:space="preserve"> </w:t>
      </w:r>
      <w:r w:rsidRPr="00EA59C0">
        <w:rPr>
          <w:rFonts w:ascii="Times New Roman" w:hAnsi="Times New Roman"/>
          <w:b w:val="0"/>
          <w:i w:val="0"/>
        </w:rPr>
        <w:t>individual</w:t>
      </w:r>
      <w:r w:rsidR="00C026A6" w:rsidRPr="00EA59C0">
        <w:rPr>
          <w:rFonts w:ascii="Times New Roman" w:hAnsi="Times New Roman"/>
          <w:b w:val="0"/>
          <w:i w:val="0"/>
        </w:rPr>
        <w:t xml:space="preserve"> </w:t>
      </w:r>
      <w:r w:rsidRPr="00EA59C0">
        <w:rPr>
          <w:rFonts w:ascii="Times New Roman" w:hAnsi="Times New Roman"/>
          <w:b w:val="0"/>
          <w:i w:val="0"/>
        </w:rPr>
        <w:t>institution</w:t>
      </w:r>
      <w:r w:rsidR="00C026A6" w:rsidRPr="00EA59C0">
        <w:rPr>
          <w:rFonts w:ascii="Times New Roman" w:hAnsi="Times New Roman"/>
          <w:b w:val="0"/>
          <w:i w:val="0"/>
        </w:rPr>
        <w:t xml:space="preserve"> </w:t>
      </w:r>
      <w:r w:rsidRPr="00EA59C0">
        <w:rPr>
          <w:rFonts w:ascii="Times New Roman" w:hAnsi="Times New Roman"/>
          <w:b w:val="0"/>
          <w:i w:val="0"/>
        </w:rPr>
        <w:t>applicant,</w:t>
      </w:r>
      <w:r w:rsidR="00C026A6" w:rsidRPr="00EA59C0">
        <w:rPr>
          <w:rFonts w:ascii="Times New Roman" w:hAnsi="Times New Roman"/>
          <w:b w:val="0"/>
          <w:i w:val="0"/>
        </w:rPr>
        <w:t xml:space="preserve"> </w:t>
      </w:r>
      <w:r w:rsidRPr="00EA59C0">
        <w:rPr>
          <w:rFonts w:ascii="Times New Roman" w:hAnsi="Times New Roman"/>
          <w:b w:val="0"/>
          <w:i w:val="0"/>
        </w:rPr>
        <w:t>consortium</w:t>
      </w:r>
      <w:r w:rsidR="00C026A6" w:rsidRPr="00EA59C0">
        <w:rPr>
          <w:rFonts w:ascii="Times New Roman" w:hAnsi="Times New Roman"/>
          <w:b w:val="0"/>
          <w:i w:val="0"/>
        </w:rPr>
        <w:t xml:space="preserve"> </w:t>
      </w:r>
      <w:r w:rsidRPr="00EA59C0">
        <w:rPr>
          <w:rFonts w:ascii="Times New Roman" w:hAnsi="Times New Roman"/>
          <w:b w:val="0"/>
          <w:i w:val="0"/>
        </w:rPr>
        <w:t>lead</w:t>
      </w:r>
      <w:r w:rsidR="00C026A6" w:rsidRPr="00EA59C0">
        <w:rPr>
          <w:rFonts w:ascii="Times New Roman" w:hAnsi="Times New Roman"/>
          <w:b w:val="0"/>
          <w:i w:val="0"/>
        </w:rPr>
        <w:t xml:space="preserve"> </w:t>
      </w:r>
      <w:r w:rsidRPr="00EA59C0">
        <w:rPr>
          <w:rFonts w:ascii="Times New Roman" w:hAnsi="Times New Roman"/>
          <w:b w:val="0"/>
          <w:i w:val="0"/>
        </w:rPr>
        <w:t>applicant</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consortium</w:t>
      </w:r>
      <w:r w:rsidR="00C026A6" w:rsidRPr="00EA59C0">
        <w:rPr>
          <w:rFonts w:ascii="Times New Roman" w:hAnsi="Times New Roman"/>
          <w:b w:val="0"/>
          <w:i w:val="0"/>
        </w:rPr>
        <w:t xml:space="preserve"> </w:t>
      </w:r>
      <w:r w:rsidRPr="00EA59C0">
        <w:rPr>
          <w:rFonts w:ascii="Times New Roman" w:hAnsi="Times New Roman"/>
          <w:b w:val="0"/>
          <w:i w:val="0"/>
        </w:rPr>
        <w:t>members</w:t>
      </w:r>
      <w:r w:rsidR="00C026A6" w:rsidRPr="00EA59C0">
        <w:rPr>
          <w:rFonts w:ascii="Times New Roman" w:hAnsi="Times New Roman"/>
          <w:b w:val="0"/>
          <w:i w:val="0"/>
        </w:rPr>
        <w:t xml:space="preserve"> </w:t>
      </w:r>
      <w:r w:rsidRPr="00EA59C0">
        <w:rPr>
          <w:rFonts w:ascii="Times New Roman" w:hAnsi="Times New Roman"/>
          <w:b w:val="0"/>
          <w:i w:val="0"/>
        </w:rPr>
        <w:t>as</w:t>
      </w:r>
      <w:r w:rsidR="00C026A6" w:rsidRPr="00EA59C0">
        <w:rPr>
          <w:rFonts w:ascii="Times New Roman" w:hAnsi="Times New Roman"/>
          <w:b w:val="0"/>
          <w:i w:val="0"/>
        </w:rPr>
        <w:t xml:space="preserve"> </w:t>
      </w:r>
      <w:r w:rsidRPr="00EA59C0">
        <w:rPr>
          <w:rFonts w:ascii="Times New Roman" w:hAnsi="Times New Roman"/>
          <w:b w:val="0"/>
          <w:i w:val="0"/>
        </w:rPr>
        <w:t>specified</w:t>
      </w:r>
      <w:r w:rsidR="00C026A6" w:rsidRPr="00EA59C0">
        <w:rPr>
          <w:rFonts w:ascii="Times New Roman" w:hAnsi="Times New Roman"/>
          <w:b w:val="0"/>
          <w:i w:val="0"/>
        </w:rPr>
        <w:t xml:space="preserve"> </w:t>
      </w:r>
      <w:r w:rsidRPr="00EA59C0">
        <w:rPr>
          <w:rFonts w:ascii="Times New Roman" w:hAnsi="Times New Roman"/>
          <w:b w:val="0"/>
          <w:i w:val="0"/>
        </w:rPr>
        <w:t>in</w:t>
      </w:r>
      <w:r w:rsidR="00C026A6" w:rsidRPr="00EA59C0">
        <w:rPr>
          <w:rFonts w:ascii="Times New Roman" w:hAnsi="Times New Roman"/>
          <w:b w:val="0"/>
          <w:i w:val="0"/>
        </w:rPr>
        <w:t xml:space="preserve"> </w:t>
      </w:r>
      <w:r w:rsidRPr="00EA59C0">
        <w:rPr>
          <w:rFonts w:ascii="Times New Roman" w:hAnsi="Times New Roman"/>
          <w:b w:val="0"/>
          <w:i w:val="0"/>
        </w:rPr>
        <w:t>Section</w:t>
      </w:r>
      <w:r w:rsidR="00C026A6" w:rsidRPr="00EA59C0">
        <w:rPr>
          <w:rFonts w:ascii="Times New Roman" w:hAnsi="Times New Roman"/>
          <w:b w:val="0"/>
          <w:i w:val="0"/>
        </w:rPr>
        <w:t xml:space="preserve"> </w:t>
      </w:r>
      <w:r w:rsidRPr="00EA59C0">
        <w:rPr>
          <w:rFonts w:ascii="Times New Roman" w:hAnsi="Times New Roman"/>
          <w:b w:val="0"/>
          <w:i w:val="0"/>
        </w:rPr>
        <w:t>III.A.</w:t>
      </w:r>
    </w:p>
    <w:p w:rsidR="00144DF0" w:rsidRPr="00EA59C0" w:rsidRDefault="00D81847" w:rsidP="006D2090">
      <w:pPr>
        <w:pStyle w:val="Heading2"/>
        <w:numPr>
          <w:ilvl w:val="3"/>
          <w:numId w:val="17"/>
        </w:numPr>
        <w:spacing w:line="240" w:lineRule="auto"/>
        <w:rPr>
          <w:rFonts w:ascii="Times New Roman" w:hAnsi="Times New Roman"/>
          <w:b w:val="0"/>
          <w:i w:val="0"/>
        </w:rPr>
      </w:pPr>
      <w:r w:rsidRPr="00EA59C0">
        <w:rPr>
          <w:rFonts w:ascii="Times New Roman" w:hAnsi="Times New Roman"/>
          <w:b w:val="0"/>
          <w:i w:val="0"/>
        </w:rPr>
        <w:t>Indirect</w:t>
      </w:r>
      <w:r w:rsidR="00C026A6" w:rsidRPr="00EA59C0">
        <w:rPr>
          <w:rFonts w:ascii="Times New Roman" w:hAnsi="Times New Roman"/>
          <w:b w:val="0"/>
          <w:i w:val="0"/>
        </w:rPr>
        <w:t xml:space="preserve"> </w:t>
      </w:r>
      <w:r w:rsidRPr="00EA59C0">
        <w:rPr>
          <w:rFonts w:ascii="Times New Roman" w:hAnsi="Times New Roman"/>
          <w:b w:val="0"/>
          <w:i w:val="0"/>
        </w:rPr>
        <w:t>Cost</w:t>
      </w:r>
      <w:r w:rsidR="00C026A6" w:rsidRPr="00EA59C0">
        <w:rPr>
          <w:rFonts w:ascii="Times New Roman" w:hAnsi="Times New Roman"/>
          <w:b w:val="0"/>
          <w:i w:val="0"/>
        </w:rPr>
        <w:t xml:space="preserve"> </w:t>
      </w:r>
      <w:r w:rsidRPr="00EA59C0">
        <w:rPr>
          <w:rFonts w:ascii="Times New Roman" w:hAnsi="Times New Roman"/>
          <w:b w:val="0"/>
          <w:i w:val="0"/>
        </w:rPr>
        <w:t>Rate</w:t>
      </w:r>
      <w:r w:rsidR="00C026A6" w:rsidRPr="00EA59C0">
        <w:rPr>
          <w:rFonts w:ascii="Times New Roman" w:hAnsi="Times New Roman"/>
          <w:b w:val="0"/>
          <w:i w:val="0"/>
        </w:rPr>
        <w:t xml:space="preserve"> </w:t>
      </w:r>
      <w:r w:rsidRPr="00EA59C0">
        <w:rPr>
          <w:rFonts w:ascii="Times New Roman" w:hAnsi="Times New Roman"/>
          <w:b w:val="0"/>
          <w:i w:val="0"/>
        </w:rPr>
        <w:t>Agreement:</w:t>
      </w:r>
      <w:r w:rsidR="00C026A6" w:rsidRPr="00EA59C0">
        <w:rPr>
          <w:rFonts w:ascii="Times New Roman" w:hAnsi="Times New Roman"/>
          <w:b w:val="0"/>
          <w:i w:val="0"/>
        </w:rPr>
        <w:t xml:space="preserve">  </w:t>
      </w:r>
      <w:r w:rsidRPr="00EA59C0">
        <w:rPr>
          <w:rFonts w:ascii="Times New Roman" w:hAnsi="Times New Roman"/>
          <w:b w:val="0"/>
          <w:i w:val="0"/>
        </w:rPr>
        <w:t>If</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applicant</w:t>
      </w:r>
      <w:r w:rsidR="00C026A6" w:rsidRPr="00EA59C0">
        <w:rPr>
          <w:rFonts w:ascii="Times New Roman" w:hAnsi="Times New Roman"/>
          <w:b w:val="0"/>
          <w:i w:val="0"/>
        </w:rPr>
        <w:t xml:space="preserve"> </w:t>
      </w:r>
      <w:r w:rsidRPr="00EA59C0">
        <w:rPr>
          <w:rFonts w:ascii="Times New Roman" w:hAnsi="Times New Roman"/>
          <w:b w:val="0"/>
          <w:i w:val="0"/>
        </w:rPr>
        <w:t>is</w:t>
      </w:r>
      <w:r w:rsidR="00C026A6" w:rsidRPr="00EA59C0">
        <w:rPr>
          <w:rFonts w:ascii="Times New Roman" w:hAnsi="Times New Roman"/>
          <w:b w:val="0"/>
          <w:i w:val="0"/>
        </w:rPr>
        <w:t xml:space="preserve"> </w:t>
      </w:r>
      <w:r w:rsidRPr="00EA59C0">
        <w:rPr>
          <w:rFonts w:ascii="Times New Roman" w:hAnsi="Times New Roman"/>
          <w:b w:val="0"/>
          <w:i w:val="0"/>
        </w:rPr>
        <w:t>requesting</w:t>
      </w:r>
      <w:r w:rsidR="00C026A6" w:rsidRPr="00EA59C0">
        <w:rPr>
          <w:rFonts w:ascii="Times New Roman" w:hAnsi="Times New Roman"/>
          <w:b w:val="0"/>
          <w:i w:val="0"/>
        </w:rPr>
        <w:t xml:space="preserve"> </w:t>
      </w:r>
      <w:r w:rsidRPr="00EA59C0">
        <w:rPr>
          <w:rFonts w:ascii="Times New Roman" w:hAnsi="Times New Roman"/>
          <w:b w:val="0"/>
          <w:i w:val="0"/>
        </w:rPr>
        <w:t>indirect</w:t>
      </w:r>
      <w:r w:rsidR="00C026A6" w:rsidRPr="00EA59C0">
        <w:rPr>
          <w:rFonts w:ascii="Times New Roman" w:hAnsi="Times New Roman"/>
          <w:b w:val="0"/>
          <w:i w:val="0"/>
        </w:rPr>
        <w:t xml:space="preserve"> </w:t>
      </w:r>
      <w:r w:rsidRPr="00EA59C0">
        <w:rPr>
          <w:rFonts w:ascii="Times New Roman" w:hAnsi="Times New Roman"/>
          <w:b w:val="0"/>
          <w:i w:val="0"/>
        </w:rPr>
        <w:t>charges,</w:t>
      </w:r>
      <w:r w:rsidR="00C026A6" w:rsidRPr="00EA59C0">
        <w:rPr>
          <w:rFonts w:ascii="Times New Roman" w:hAnsi="Times New Roman"/>
          <w:b w:val="0"/>
          <w:i w:val="0"/>
        </w:rPr>
        <w:t xml:space="preserve"> </w:t>
      </w:r>
      <w:r w:rsidRPr="00EA59C0">
        <w:rPr>
          <w:rFonts w:ascii="Times New Roman" w:hAnsi="Times New Roman"/>
          <w:b w:val="0"/>
          <w:i w:val="0"/>
        </w:rPr>
        <w:t>attach</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most</w:t>
      </w:r>
      <w:r w:rsidR="00C026A6" w:rsidRPr="00EA59C0">
        <w:rPr>
          <w:rFonts w:ascii="Times New Roman" w:hAnsi="Times New Roman"/>
          <w:b w:val="0"/>
          <w:i w:val="0"/>
        </w:rPr>
        <w:t xml:space="preserve"> </w:t>
      </w:r>
      <w:r w:rsidRPr="00EA59C0">
        <w:rPr>
          <w:rFonts w:ascii="Times New Roman" w:hAnsi="Times New Roman"/>
          <w:b w:val="0"/>
          <w:i w:val="0"/>
        </w:rPr>
        <w:t>recent</w:t>
      </w:r>
      <w:r w:rsidR="00C026A6" w:rsidRPr="00EA59C0">
        <w:rPr>
          <w:rFonts w:ascii="Times New Roman" w:hAnsi="Times New Roman"/>
          <w:b w:val="0"/>
          <w:i w:val="0"/>
        </w:rPr>
        <w:t xml:space="preserve"> </w:t>
      </w:r>
      <w:r w:rsidRPr="00EA59C0">
        <w:rPr>
          <w:rFonts w:ascii="Times New Roman" w:hAnsi="Times New Roman"/>
          <w:b w:val="0"/>
          <w:i w:val="0"/>
        </w:rPr>
        <w:t>Indirect</w:t>
      </w:r>
      <w:r w:rsidR="00C026A6" w:rsidRPr="00EA59C0">
        <w:rPr>
          <w:rFonts w:ascii="Times New Roman" w:hAnsi="Times New Roman"/>
          <w:b w:val="0"/>
          <w:i w:val="0"/>
        </w:rPr>
        <w:t xml:space="preserve"> </w:t>
      </w:r>
      <w:r w:rsidRPr="00EA59C0">
        <w:rPr>
          <w:rFonts w:ascii="Times New Roman" w:hAnsi="Times New Roman"/>
          <w:b w:val="0"/>
          <w:i w:val="0"/>
        </w:rPr>
        <w:t>Cost</w:t>
      </w:r>
      <w:r w:rsidR="00C026A6" w:rsidRPr="00EA59C0">
        <w:rPr>
          <w:rFonts w:ascii="Times New Roman" w:hAnsi="Times New Roman"/>
          <w:b w:val="0"/>
          <w:i w:val="0"/>
        </w:rPr>
        <w:t xml:space="preserve"> </w:t>
      </w:r>
      <w:r w:rsidRPr="00EA59C0">
        <w:rPr>
          <w:rFonts w:ascii="Times New Roman" w:hAnsi="Times New Roman"/>
          <w:b w:val="0"/>
          <w:i w:val="0"/>
        </w:rPr>
        <w:t>Rate</w:t>
      </w:r>
      <w:r w:rsidR="00C026A6" w:rsidRPr="00EA59C0">
        <w:rPr>
          <w:rFonts w:ascii="Times New Roman" w:hAnsi="Times New Roman"/>
          <w:b w:val="0"/>
          <w:i w:val="0"/>
        </w:rPr>
        <w:t xml:space="preserve"> </w:t>
      </w:r>
      <w:r w:rsidRPr="00EA59C0">
        <w:rPr>
          <w:rFonts w:ascii="Times New Roman" w:hAnsi="Times New Roman"/>
          <w:b w:val="0"/>
          <w:i w:val="0"/>
        </w:rPr>
        <w:t>Agreement</w:t>
      </w:r>
      <w:r w:rsidR="00C026A6" w:rsidRPr="00EA59C0">
        <w:rPr>
          <w:rFonts w:ascii="Times New Roman" w:hAnsi="Times New Roman"/>
          <w:b w:val="0"/>
          <w:i w:val="0"/>
        </w:rPr>
        <w:t xml:space="preserve"> </w:t>
      </w:r>
      <w:r w:rsidRPr="00EA59C0">
        <w:rPr>
          <w:rFonts w:ascii="Times New Roman" w:hAnsi="Times New Roman"/>
          <w:b w:val="0"/>
          <w:i w:val="0"/>
        </w:rPr>
        <w:t>approved</w:t>
      </w:r>
      <w:r w:rsidR="00C026A6" w:rsidRPr="00EA59C0">
        <w:rPr>
          <w:rFonts w:ascii="Times New Roman" w:hAnsi="Times New Roman"/>
          <w:b w:val="0"/>
          <w:i w:val="0"/>
        </w:rPr>
        <w:t xml:space="preserve"> </w:t>
      </w:r>
      <w:r w:rsidRPr="00EA59C0">
        <w:rPr>
          <w:rFonts w:ascii="Times New Roman" w:hAnsi="Times New Roman"/>
          <w:b w:val="0"/>
          <w:i w:val="0"/>
        </w:rPr>
        <w:t>by</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applicant’s</w:t>
      </w:r>
      <w:r w:rsidR="00C026A6" w:rsidRPr="00EA59C0">
        <w:rPr>
          <w:rFonts w:ascii="Times New Roman" w:hAnsi="Times New Roman"/>
          <w:b w:val="0"/>
          <w:i w:val="0"/>
        </w:rPr>
        <w:t xml:space="preserve"> </w:t>
      </w:r>
      <w:r w:rsidRPr="00EA59C0">
        <w:rPr>
          <w:rFonts w:ascii="Times New Roman" w:hAnsi="Times New Roman"/>
          <w:b w:val="0"/>
          <w:i w:val="0"/>
        </w:rPr>
        <w:t>cognizant</w:t>
      </w:r>
      <w:r w:rsidR="00C026A6" w:rsidRPr="00EA59C0">
        <w:rPr>
          <w:rFonts w:ascii="Times New Roman" w:hAnsi="Times New Roman"/>
          <w:b w:val="0"/>
          <w:i w:val="0"/>
        </w:rPr>
        <w:t xml:space="preserve"> </w:t>
      </w:r>
      <w:r w:rsidRPr="00EA59C0">
        <w:rPr>
          <w:rFonts w:ascii="Times New Roman" w:hAnsi="Times New Roman"/>
          <w:b w:val="0"/>
          <w:i w:val="0"/>
        </w:rPr>
        <w:t>Federal</w:t>
      </w:r>
      <w:r w:rsidR="00C026A6" w:rsidRPr="00EA59C0">
        <w:rPr>
          <w:rFonts w:ascii="Times New Roman" w:hAnsi="Times New Roman"/>
          <w:b w:val="0"/>
          <w:i w:val="0"/>
        </w:rPr>
        <w:t xml:space="preserve"> </w:t>
      </w:r>
      <w:r w:rsidRPr="00EA59C0">
        <w:rPr>
          <w:rFonts w:ascii="Times New Roman" w:hAnsi="Times New Roman"/>
          <w:b w:val="0"/>
          <w:i w:val="0"/>
        </w:rPr>
        <w:t>agency.</w:t>
      </w:r>
      <w:r w:rsidR="00C026A6" w:rsidRPr="00EA59C0">
        <w:rPr>
          <w:rFonts w:ascii="Times New Roman" w:hAnsi="Times New Roman"/>
          <w:b w:val="0"/>
          <w:i w:val="0"/>
        </w:rPr>
        <w:t xml:space="preserve">  </w:t>
      </w:r>
      <w:r w:rsidR="00CE268A" w:rsidRPr="00EA59C0">
        <w:rPr>
          <w:rFonts w:ascii="Times New Roman" w:hAnsi="Times New Roman"/>
          <w:b w:val="0"/>
          <w:i w:val="0"/>
        </w:rPr>
        <w:t>For</w:t>
      </w:r>
      <w:r w:rsidR="00C026A6" w:rsidRPr="00EA59C0">
        <w:rPr>
          <w:rFonts w:ascii="Times New Roman" w:hAnsi="Times New Roman"/>
          <w:b w:val="0"/>
          <w:i w:val="0"/>
        </w:rPr>
        <w:t xml:space="preserve"> </w:t>
      </w:r>
      <w:r w:rsidR="00CE268A" w:rsidRPr="00EA59C0">
        <w:rPr>
          <w:rFonts w:ascii="Times New Roman" w:hAnsi="Times New Roman"/>
          <w:b w:val="0"/>
          <w:i w:val="0"/>
        </w:rPr>
        <w:t>consortium</w:t>
      </w:r>
      <w:r w:rsidR="00C026A6" w:rsidRPr="00EA59C0">
        <w:rPr>
          <w:rFonts w:ascii="Times New Roman" w:hAnsi="Times New Roman"/>
          <w:b w:val="0"/>
          <w:i w:val="0"/>
        </w:rPr>
        <w:t xml:space="preserve"> </w:t>
      </w:r>
      <w:r w:rsidR="00CE268A" w:rsidRPr="00EA59C0">
        <w:rPr>
          <w:rFonts w:ascii="Times New Roman" w:hAnsi="Times New Roman"/>
          <w:b w:val="0"/>
          <w:i w:val="0"/>
        </w:rPr>
        <w:t>applicants,</w:t>
      </w:r>
      <w:r w:rsidR="00C026A6" w:rsidRPr="00EA59C0">
        <w:rPr>
          <w:rFonts w:ascii="Times New Roman" w:hAnsi="Times New Roman"/>
          <w:b w:val="0"/>
          <w:i w:val="0"/>
        </w:rPr>
        <w:t xml:space="preserve"> </w:t>
      </w:r>
      <w:r w:rsidR="00CE268A" w:rsidRPr="00EA59C0">
        <w:rPr>
          <w:rFonts w:ascii="Times New Roman" w:hAnsi="Times New Roman"/>
          <w:b w:val="0"/>
          <w:i w:val="0"/>
        </w:rPr>
        <w:t>each</w:t>
      </w:r>
      <w:r w:rsidR="00C026A6" w:rsidRPr="00EA59C0">
        <w:rPr>
          <w:rFonts w:ascii="Times New Roman" w:hAnsi="Times New Roman"/>
          <w:b w:val="0"/>
          <w:i w:val="0"/>
        </w:rPr>
        <w:t xml:space="preserve"> </w:t>
      </w:r>
      <w:r w:rsidR="00CE268A" w:rsidRPr="00EA59C0">
        <w:rPr>
          <w:rFonts w:ascii="Times New Roman" w:hAnsi="Times New Roman"/>
          <w:b w:val="0"/>
          <w:i w:val="0"/>
        </w:rPr>
        <w:t>consortium</w:t>
      </w:r>
      <w:r w:rsidR="00C026A6" w:rsidRPr="00EA59C0">
        <w:rPr>
          <w:rFonts w:ascii="Times New Roman" w:hAnsi="Times New Roman"/>
          <w:b w:val="0"/>
          <w:i w:val="0"/>
        </w:rPr>
        <w:t xml:space="preserve"> </w:t>
      </w:r>
      <w:r w:rsidR="00CE268A" w:rsidRPr="00EA59C0">
        <w:rPr>
          <w:rFonts w:ascii="Times New Roman" w:hAnsi="Times New Roman"/>
          <w:b w:val="0"/>
          <w:i w:val="0"/>
        </w:rPr>
        <w:t>member</w:t>
      </w:r>
      <w:r w:rsidR="00C026A6" w:rsidRPr="00EA59C0">
        <w:rPr>
          <w:rFonts w:ascii="Times New Roman" w:hAnsi="Times New Roman"/>
          <w:b w:val="0"/>
          <w:i w:val="0"/>
        </w:rPr>
        <w:t xml:space="preserve"> </w:t>
      </w:r>
      <w:r w:rsidR="00CE268A" w:rsidRPr="00EA59C0">
        <w:rPr>
          <w:rFonts w:ascii="Times New Roman" w:hAnsi="Times New Roman"/>
          <w:b w:val="0"/>
          <w:i w:val="0"/>
        </w:rPr>
        <w:t>institution</w:t>
      </w:r>
      <w:r w:rsidR="00C026A6" w:rsidRPr="00EA59C0">
        <w:rPr>
          <w:rFonts w:ascii="Times New Roman" w:hAnsi="Times New Roman"/>
          <w:b w:val="0"/>
          <w:i w:val="0"/>
        </w:rPr>
        <w:t xml:space="preserve"> </w:t>
      </w:r>
      <w:r w:rsidR="00CE268A" w:rsidRPr="00EA59C0">
        <w:rPr>
          <w:rFonts w:ascii="Times New Roman" w:hAnsi="Times New Roman"/>
          <w:b w:val="0"/>
          <w:i w:val="0"/>
        </w:rPr>
        <w:t>that</w:t>
      </w:r>
      <w:r w:rsidR="00C026A6" w:rsidRPr="00EA59C0">
        <w:rPr>
          <w:rFonts w:ascii="Times New Roman" w:hAnsi="Times New Roman"/>
          <w:b w:val="0"/>
          <w:i w:val="0"/>
        </w:rPr>
        <w:t xml:space="preserve"> </w:t>
      </w:r>
      <w:r w:rsidR="00CE268A" w:rsidRPr="00EA59C0">
        <w:rPr>
          <w:rFonts w:ascii="Times New Roman" w:hAnsi="Times New Roman"/>
          <w:b w:val="0"/>
          <w:i w:val="0"/>
        </w:rPr>
        <w:t>plans</w:t>
      </w:r>
      <w:r w:rsidR="00C026A6" w:rsidRPr="00EA59C0">
        <w:rPr>
          <w:rFonts w:ascii="Times New Roman" w:hAnsi="Times New Roman"/>
          <w:b w:val="0"/>
          <w:i w:val="0"/>
        </w:rPr>
        <w:t xml:space="preserve"> </w:t>
      </w:r>
      <w:r w:rsidR="00CE268A" w:rsidRPr="00EA59C0">
        <w:rPr>
          <w:rFonts w:ascii="Times New Roman" w:hAnsi="Times New Roman"/>
          <w:b w:val="0"/>
          <w:i w:val="0"/>
        </w:rPr>
        <w:t>to</w:t>
      </w:r>
      <w:r w:rsidR="00C026A6" w:rsidRPr="00EA59C0">
        <w:rPr>
          <w:rFonts w:ascii="Times New Roman" w:hAnsi="Times New Roman"/>
          <w:b w:val="0"/>
          <w:i w:val="0"/>
        </w:rPr>
        <w:t xml:space="preserve"> </w:t>
      </w:r>
      <w:r w:rsidR="00CE268A" w:rsidRPr="00EA59C0">
        <w:rPr>
          <w:rFonts w:ascii="Times New Roman" w:hAnsi="Times New Roman"/>
          <w:b w:val="0"/>
          <w:i w:val="0"/>
        </w:rPr>
        <w:t>claim</w:t>
      </w:r>
      <w:r w:rsidR="00C026A6" w:rsidRPr="00EA59C0">
        <w:rPr>
          <w:rFonts w:ascii="Times New Roman" w:hAnsi="Times New Roman"/>
          <w:b w:val="0"/>
          <w:i w:val="0"/>
        </w:rPr>
        <w:t xml:space="preserve"> </w:t>
      </w:r>
      <w:r w:rsidR="00CE268A" w:rsidRPr="00EA59C0">
        <w:rPr>
          <w:rFonts w:ascii="Times New Roman" w:hAnsi="Times New Roman"/>
          <w:b w:val="0"/>
          <w:i w:val="0"/>
        </w:rPr>
        <w:t>indirect</w:t>
      </w:r>
      <w:r w:rsidR="00C026A6" w:rsidRPr="00EA59C0">
        <w:rPr>
          <w:rFonts w:ascii="Times New Roman" w:hAnsi="Times New Roman"/>
          <w:b w:val="0"/>
          <w:i w:val="0"/>
        </w:rPr>
        <w:t xml:space="preserve"> </w:t>
      </w:r>
      <w:r w:rsidR="00CE268A" w:rsidRPr="00EA59C0">
        <w:rPr>
          <w:rFonts w:ascii="Times New Roman" w:hAnsi="Times New Roman"/>
          <w:b w:val="0"/>
          <w:i w:val="0"/>
        </w:rPr>
        <w:t>costs</w:t>
      </w:r>
      <w:r w:rsidR="00C026A6" w:rsidRPr="00EA59C0">
        <w:rPr>
          <w:rFonts w:ascii="Times New Roman" w:hAnsi="Times New Roman"/>
          <w:b w:val="0"/>
          <w:i w:val="0"/>
        </w:rPr>
        <w:t xml:space="preserve"> </w:t>
      </w:r>
      <w:r w:rsidR="00CE268A" w:rsidRPr="00EA59C0">
        <w:rPr>
          <w:rFonts w:ascii="Times New Roman" w:hAnsi="Times New Roman"/>
          <w:b w:val="0"/>
          <w:i w:val="0"/>
        </w:rPr>
        <w:t>must</w:t>
      </w:r>
      <w:r w:rsidR="00C026A6" w:rsidRPr="00EA59C0">
        <w:rPr>
          <w:rFonts w:ascii="Times New Roman" w:hAnsi="Times New Roman"/>
          <w:b w:val="0"/>
          <w:i w:val="0"/>
        </w:rPr>
        <w:t xml:space="preserve"> </w:t>
      </w:r>
      <w:r w:rsidR="00CE268A" w:rsidRPr="00EA59C0">
        <w:rPr>
          <w:rFonts w:ascii="Times New Roman" w:hAnsi="Times New Roman"/>
          <w:b w:val="0"/>
          <w:i w:val="0"/>
        </w:rPr>
        <w:t>submit</w:t>
      </w:r>
      <w:r w:rsidR="00C026A6" w:rsidRPr="00EA59C0">
        <w:rPr>
          <w:rFonts w:ascii="Times New Roman" w:hAnsi="Times New Roman"/>
          <w:b w:val="0"/>
          <w:i w:val="0"/>
        </w:rPr>
        <w:t xml:space="preserve"> </w:t>
      </w:r>
      <w:r w:rsidR="00CE268A" w:rsidRPr="00EA59C0">
        <w:rPr>
          <w:rFonts w:ascii="Times New Roman" w:hAnsi="Times New Roman"/>
          <w:b w:val="0"/>
          <w:i w:val="0"/>
        </w:rPr>
        <w:t>their</w:t>
      </w:r>
      <w:r w:rsidR="00C026A6" w:rsidRPr="00EA59C0">
        <w:rPr>
          <w:rFonts w:ascii="Times New Roman" w:hAnsi="Times New Roman"/>
          <w:b w:val="0"/>
          <w:i w:val="0"/>
        </w:rPr>
        <w:t xml:space="preserve"> </w:t>
      </w:r>
      <w:r w:rsidR="00CE268A" w:rsidRPr="00EA59C0">
        <w:rPr>
          <w:rFonts w:ascii="Times New Roman" w:hAnsi="Times New Roman"/>
          <w:b w:val="0"/>
          <w:i w:val="0"/>
        </w:rPr>
        <w:t>most</w:t>
      </w:r>
      <w:r w:rsidR="00C026A6" w:rsidRPr="00EA59C0">
        <w:rPr>
          <w:rFonts w:ascii="Times New Roman" w:hAnsi="Times New Roman"/>
          <w:b w:val="0"/>
          <w:i w:val="0"/>
        </w:rPr>
        <w:t xml:space="preserve"> </w:t>
      </w:r>
      <w:r w:rsidR="00CE268A" w:rsidRPr="00EA59C0">
        <w:rPr>
          <w:rFonts w:ascii="Times New Roman" w:hAnsi="Times New Roman"/>
          <w:b w:val="0"/>
          <w:i w:val="0"/>
        </w:rPr>
        <w:t>recent</w:t>
      </w:r>
      <w:r w:rsidR="00C026A6" w:rsidRPr="00EA59C0">
        <w:rPr>
          <w:rFonts w:ascii="Times New Roman" w:hAnsi="Times New Roman"/>
          <w:b w:val="0"/>
          <w:i w:val="0"/>
        </w:rPr>
        <w:t xml:space="preserve"> </w:t>
      </w:r>
      <w:r w:rsidR="00CE268A" w:rsidRPr="00EA59C0">
        <w:rPr>
          <w:rFonts w:ascii="Times New Roman" w:hAnsi="Times New Roman"/>
          <w:b w:val="0"/>
          <w:i w:val="0"/>
        </w:rPr>
        <w:t>Indirect</w:t>
      </w:r>
      <w:r w:rsidR="00C026A6" w:rsidRPr="00EA59C0">
        <w:rPr>
          <w:rFonts w:ascii="Times New Roman" w:hAnsi="Times New Roman"/>
          <w:b w:val="0"/>
          <w:i w:val="0"/>
        </w:rPr>
        <w:t xml:space="preserve"> </w:t>
      </w:r>
      <w:r w:rsidR="00CE268A" w:rsidRPr="00EA59C0">
        <w:rPr>
          <w:rFonts w:ascii="Times New Roman" w:hAnsi="Times New Roman"/>
          <w:b w:val="0"/>
          <w:i w:val="0"/>
        </w:rPr>
        <w:t>Cost</w:t>
      </w:r>
      <w:r w:rsidR="00C026A6" w:rsidRPr="00EA59C0">
        <w:rPr>
          <w:rFonts w:ascii="Times New Roman" w:hAnsi="Times New Roman"/>
          <w:b w:val="0"/>
          <w:i w:val="0"/>
        </w:rPr>
        <w:t xml:space="preserve"> </w:t>
      </w:r>
      <w:r w:rsidR="00CE268A" w:rsidRPr="00EA59C0">
        <w:rPr>
          <w:rFonts w:ascii="Times New Roman" w:hAnsi="Times New Roman"/>
          <w:b w:val="0"/>
          <w:i w:val="0"/>
        </w:rPr>
        <w:t>Rate</w:t>
      </w:r>
      <w:r w:rsidR="00C026A6" w:rsidRPr="00EA59C0">
        <w:rPr>
          <w:rFonts w:ascii="Times New Roman" w:hAnsi="Times New Roman"/>
          <w:b w:val="0"/>
          <w:i w:val="0"/>
        </w:rPr>
        <w:t xml:space="preserve"> </w:t>
      </w:r>
      <w:r w:rsidR="00CE268A" w:rsidRPr="00EA59C0">
        <w:rPr>
          <w:rFonts w:ascii="Times New Roman" w:hAnsi="Times New Roman"/>
          <w:b w:val="0"/>
          <w:i w:val="0"/>
        </w:rPr>
        <w:t>Agreement</w:t>
      </w:r>
      <w:r w:rsidR="00C026A6" w:rsidRPr="00EA59C0">
        <w:rPr>
          <w:rFonts w:ascii="Times New Roman" w:hAnsi="Times New Roman"/>
          <w:b w:val="0"/>
          <w:i w:val="0"/>
        </w:rPr>
        <w:t xml:space="preserve"> </w:t>
      </w:r>
      <w:r w:rsidR="00CE268A" w:rsidRPr="00EA59C0">
        <w:rPr>
          <w:rFonts w:ascii="Times New Roman" w:hAnsi="Times New Roman"/>
          <w:b w:val="0"/>
          <w:i w:val="0"/>
        </w:rPr>
        <w:t>approved</w:t>
      </w:r>
      <w:r w:rsidR="00C026A6" w:rsidRPr="00EA59C0">
        <w:rPr>
          <w:rFonts w:ascii="Times New Roman" w:hAnsi="Times New Roman"/>
          <w:b w:val="0"/>
          <w:i w:val="0"/>
        </w:rPr>
        <w:t xml:space="preserve"> </w:t>
      </w:r>
      <w:r w:rsidR="00CE268A" w:rsidRPr="00EA59C0">
        <w:rPr>
          <w:rFonts w:ascii="Times New Roman" w:hAnsi="Times New Roman"/>
          <w:b w:val="0"/>
          <w:i w:val="0"/>
        </w:rPr>
        <w:t>by</w:t>
      </w:r>
      <w:r w:rsidR="00C026A6" w:rsidRPr="00EA59C0">
        <w:rPr>
          <w:rFonts w:ascii="Times New Roman" w:hAnsi="Times New Roman"/>
          <w:b w:val="0"/>
          <w:i w:val="0"/>
        </w:rPr>
        <w:t xml:space="preserve"> </w:t>
      </w:r>
      <w:r w:rsidR="00CE268A" w:rsidRPr="00EA59C0">
        <w:rPr>
          <w:rFonts w:ascii="Times New Roman" w:hAnsi="Times New Roman"/>
          <w:b w:val="0"/>
          <w:i w:val="0"/>
        </w:rPr>
        <w:t>their</w:t>
      </w:r>
      <w:r w:rsidR="00C026A6" w:rsidRPr="00EA59C0">
        <w:rPr>
          <w:rFonts w:ascii="Times New Roman" w:hAnsi="Times New Roman"/>
          <w:b w:val="0"/>
          <w:i w:val="0"/>
        </w:rPr>
        <w:t xml:space="preserve"> </w:t>
      </w:r>
      <w:r w:rsidR="00CE268A" w:rsidRPr="00EA59C0">
        <w:rPr>
          <w:rFonts w:ascii="Times New Roman" w:hAnsi="Times New Roman"/>
          <w:b w:val="0"/>
          <w:i w:val="0"/>
        </w:rPr>
        <w:t>cognizant</w:t>
      </w:r>
      <w:r w:rsidR="00C026A6" w:rsidRPr="00EA59C0">
        <w:rPr>
          <w:rFonts w:ascii="Times New Roman" w:hAnsi="Times New Roman"/>
          <w:b w:val="0"/>
          <w:i w:val="0"/>
        </w:rPr>
        <w:t xml:space="preserve"> </w:t>
      </w:r>
      <w:r w:rsidR="00CE268A" w:rsidRPr="00EA59C0">
        <w:rPr>
          <w:rFonts w:ascii="Times New Roman" w:hAnsi="Times New Roman"/>
          <w:b w:val="0"/>
          <w:i w:val="0"/>
        </w:rPr>
        <w:t>Federal</w:t>
      </w:r>
      <w:r w:rsidR="00C026A6" w:rsidRPr="00EA59C0">
        <w:rPr>
          <w:rFonts w:ascii="Times New Roman" w:hAnsi="Times New Roman"/>
          <w:b w:val="0"/>
          <w:i w:val="0"/>
        </w:rPr>
        <w:t xml:space="preserve"> </w:t>
      </w:r>
      <w:r w:rsidR="00CE268A" w:rsidRPr="00EA59C0">
        <w:rPr>
          <w:rFonts w:ascii="Times New Roman" w:hAnsi="Times New Roman"/>
          <w:b w:val="0"/>
          <w:i w:val="0"/>
        </w:rPr>
        <w:t>agency.</w:t>
      </w:r>
      <w:r w:rsidR="00C026A6" w:rsidRPr="00EA59C0">
        <w:rPr>
          <w:rFonts w:ascii="Times New Roman" w:hAnsi="Times New Roman"/>
          <w:b w:val="0"/>
          <w:i w:val="0"/>
        </w:rPr>
        <w:t xml:space="preserve">  </w:t>
      </w:r>
      <w:r w:rsidRPr="00EA59C0">
        <w:rPr>
          <w:rFonts w:ascii="Times New Roman" w:hAnsi="Times New Roman"/>
          <w:b w:val="0"/>
          <w:i w:val="0"/>
        </w:rPr>
        <w:t>(For</w:t>
      </w:r>
      <w:r w:rsidR="00C026A6" w:rsidRPr="00EA59C0">
        <w:rPr>
          <w:rFonts w:ascii="Times New Roman" w:hAnsi="Times New Roman"/>
          <w:b w:val="0"/>
          <w:i w:val="0"/>
        </w:rPr>
        <w:t xml:space="preserve"> </w:t>
      </w:r>
      <w:r w:rsidRPr="00EA59C0">
        <w:rPr>
          <w:rFonts w:ascii="Times New Roman" w:hAnsi="Times New Roman"/>
          <w:b w:val="0"/>
          <w:i w:val="0"/>
        </w:rPr>
        <w:t>more</w:t>
      </w:r>
      <w:r w:rsidR="00C026A6" w:rsidRPr="00EA59C0">
        <w:rPr>
          <w:rFonts w:ascii="Times New Roman" w:hAnsi="Times New Roman"/>
          <w:b w:val="0"/>
          <w:i w:val="0"/>
        </w:rPr>
        <w:t xml:space="preserve"> </w:t>
      </w:r>
      <w:r w:rsidRPr="00EA59C0">
        <w:rPr>
          <w:rFonts w:ascii="Times New Roman" w:hAnsi="Times New Roman"/>
          <w:b w:val="0"/>
          <w:i w:val="0"/>
        </w:rPr>
        <w:t>information,</w:t>
      </w:r>
      <w:r w:rsidR="00C026A6" w:rsidRPr="00EA59C0">
        <w:rPr>
          <w:rFonts w:ascii="Times New Roman" w:hAnsi="Times New Roman"/>
          <w:b w:val="0"/>
          <w:i w:val="0"/>
        </w:rPr>
        <w:t xml:space="preserve"> </w:t>
      </w:r>
      <w:r w:rsidRPr="00EA59C0">
        <w:rPr>
          <w:rFonts w:ascii="Times New Roman" w:hAnsi="Times New Roman"/>
          <w:b w:val="0"/>
          <w:i w:val="0"/>
        </w:rPr>
        <w:t>see</w:t>
      </w:r>
      <w:r w:rsidR="00C026A6" w:rsidRPr="00EA59C0">
        <w:rPr>
          <w:rFonts w:ascii="Times New Roman" w:hAnsi="Times New Roman"/>
          <w:b w:val="0"/>
          <w:i w:val="0"/>
        </w:rPr>
        <w:t xml:space="preserve"> </w:t>
      </w:r>
      <w:r w:rsidRPr="00EA59C0">
        <w:rPr>
          <w:rFonts w:ascii="Times New Roman" w:hAnsi="Times New Roman"/>
          <w:b w:val="0"/>
          <w:i w:val="0"/>
        </w:rPr>
        <w:t>Section</w:t>
      </w:r>
      <w:r w:rsidR="00C026A6" w:rsidRPr="00EA59C0">
        <w:rPr>
          <w:rFonts w:ascii="Times New Roman" w:hAnsi="Times New Roman"/>
          <w:b w:val="0"/>
          <w:i w:val="0"/>
        </w:rPr>
        <w:t xml:space="preserve"> </w:t>
      </w:r>
      <w:r w:rsidRPr="00EA59C0">
        <w:rPr>
          <w:rFonts w:ascii="Times New Roman" w:hAnsi="Times New Roman"/>
          <w:b w:val="0"/>
          <w:i w:val="0"/>
        </w:rPr>
        <w:t>IV.B.2.</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Section</w:t>
      </w:r>
      <w:r w:rsidR="00C026A6" w:rsidRPr="00EA59C0">
        <w:rPr>
          <w:rFonts w:ascii="Times New Roman" w:hAnsi="Times New Roman"/>
          <w:b w:val="0"/>
          <w:i w:val="0"/>
        </w:rPr>
        <w:t xml:space="preserve"> </w:t>
      </w:r>
      <w:r w:rsidRPr="00EA59C0">
        <w:rPr>
          <w:rFonts w:ascii="Times New Roman" w:hAnsi="Times New Roman"/>
          <w:b w:val="0"/>
          <w:i w:val="0"/>
        </w:rPr>
        <w:t>IV.E.</w:t>
      </w:r>
      <w:r w:rsidR="00EC35CA" w:rsidRPr="00EA59C0">
        <w:rPr>
          <w:rFonts w:ascii="Times New Roman" w:hAnsi="Times New Roman"/>
          <w:b w:val="0"/>
          <w:i w:val="0"/>
        </w:rPr>
        <w:t>2</w:t>
      </w:r>
      <w:r w:rsidRPr="00EA59C0">
        <w:rPr>
          <w:rFonts w:ascii="Times New Roman" w:hAnsi="Times New Roman"/>
          <w:b w:val="0"/>
          <w:i w:val="0"/>
        </w:rPr>
        <w:t>.)</w:t>
      </w:r>
    </w:p>
    <w:p w:rsidR="00CE268A" w:rsidRPr="00EA59C0" w:rsidRDefault="00E50243" w:rsidP="006D2090">
      <w:pPr>
        <w:pStyle w:val="Heading2"/>
        <w:numPr>
          <w:ilvl w:val="3"/>
          <w:numId w:val="17"/>
        </w:numPr>
        <w:spacing w:line="240" w:lineRule="auto"/>
        <w:rPr>
          <w:rFonts w:ascii="Times New Roman" w:hAnsi="Times New Roman"/>
          <w:b w:val="0"/>
          <w:i w:val="0"/>
        </w:rPr>
      </w:pPr>
      <w:r w:rsidRPr="00EA59C0">
        <w:rPr>
          <w:rFonts w:ascii="Times New Roman" w:hAnsi="Times New Roman"/>
          <w:b w:val="0"/>
          <w:i w:val="0"/>
        </w:rPr>
        <w:t>Organizational Chart:  All applicants must provide an organizational chart that identifies all relevant leadership, program, administrative, and advisory positions (including positions within consortium member institutions) for the project.  For consortium applications, the Lead Institution must collaborate with the member institutions to provide one or more organizational charts, as appropriate.</w:t>
      </w:r>
    </w:p>
    <w:p w:rsidR="00761449" w:rsidRPr="00EA59C0" w:rsidRDefault="00761449" w:rsidP="00C072FA">
      <w:pPr>
        <w:pStyle w:val="ListParagraph"/>
      </w:pPr>
    </w:p>
    <w:p w:rsidR="007470AB" w:rsidRPr="00EA59C0" w:rsidRDefault="007470AB" w:rsidP="008826BE">
      <w:pPr>
        <w:pStyle w:val="Heading2"/>
        <w:numPr>
          <w:ilvl w:val="1"/>
          <w:numId w:val="17"/>
        </w:numPr>
        <w:rPr>
          <w:rFonts w:ascii="Times New Roman" w:hAnsi="Times New Roman"/>
          <w:b w:val="0"/>
          <w:i w:val="0"/>
        </w:rPr>
      </w:pPr>
      <w:r w:rsidRPr="00EA59C0">
        <w:rPr>
          <w:rFonts w:ascii="Times New Roman" w:hAnsi="Times New Roman"/>
          <w:b w:val="0"/>
          <w:i w:val="0"/>
        </w:rPr>
        <w:t>Submission</w:t>
      </w:r>
      <w:r w:rsidR="00C026A6" w:rsidRPr="00EA59C0">
        <w:rPr>
          <w:rFonts w:ascii="Times New Roman" w:hAnsi="Times New Roman"/>
          <w:b w:val="0"/>
          <w:i w:val="0"/>
        </w:rPr>
        <w:t xml:space="preserve"> </w:t>
      </w:r>
      <w:r w:rsidRPr="00EA59C0">
        <w:rPr>
          <w:rFonts w:ascii="Times New Roman" w:hAnsi="Times New Roman"/>
          <w:b w:val="0"/>
          <w:i w:val="0"/>
        </w:rPr>
        <w:t>Date,</w:t>
      </w:r>
      <w:r w:rsidR="00C026A6" w:rsidRPr="00EA59C0">
        <w:rPr>
          <w:rFonts w:ascii="Times New Roman" w:hAnsi="Times New Roman"/>
          <w:b w:val="0"/>
          <w:i w:val="0"/>
        </w:rPr>
        <w:t xml:space="preserve"> </w:t>
      </w:r>
      <w:r w:rsidRPr="00EA59C0">
        <w:rPr>
          <w:rFonts w:ascii="Times New Roman" w:hAnsi="Times New Roman"/>
          <w:b w:val="0"/>
          <w:i w:val="0"/>
        </w:rPr>
        <w:t>Times,</w:t>
      </w:r>
      <w:r w:rsidR="00C026A6" w:rsidRPr="00EA59C0">
        <w:rPr>
          <w:rFonts w:ascii="Times New Roman" w:hAnsi="Times New Roman"/>
          <w:b w:val="0"/>
          <w:i w:val="0"/>
        </w:rPr>
        <w:t xml:space="preserve"> </w:t>
      </w:r>
      <w:r w:rsidRPr="00EA59C0">
        <w:rPr>
          <w:rFonts w:ascii="Times New Roman" w:hAnsi="Times New Roman"/>
          <w:b w:val="0"/>
          <w:i w:val="0"/>
        </w:rPr>
        <w:t>Process</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Addresses</w:t>
      </w:r>
    </w:p>
    <w:p w:rsidR="00144DF0" w:rsidRPr="00EA59C0" w:rsidRDefault="007470AB" w:rsidP="00C072FA">
      <w:pPr>
        <w:ind w:left="720"/>
      </w:pPr>
      <w:r w:rsidRPr="00EA59C0">
        <w:t>The</w:t>
      </w:r>
      <w:r w:rsidR="00C026A6" w:rsidRPr="00EA59C0">
        <w:t xml:space="preserve"> </w:t>
      </w:r>
      <w:r w:rsidRPr="00EA59C0">
        <w:t>closing</w:t>
      </w:r>
      <w:r w:rsidR="00C026A6" w:rsidRPr="00EA59C0">
        <w:t xml:space="preserve"> </w:t>
      </w:r>
      <w:r w:rsidRPr="00EA59C0">
        <w:t>date</w:t>
      </w:r>
      <w:r w:rsidR="00C026A6" w:rsidRPr="00EA59C0">
        <w:t xml:space="preserve"> </w:t>
      </w:r>
      <w:r w:rsidRPr="00EA59C0">
        <w:t>for</w:t>
      </w:r>
      <w:r w:rsidR="00C026A6" w:rsidRPr="00EA59C0">
        <w:t xml:space="preserve"> </w:t>
      </w:r>
      <w:r w:rsidRPr="00EA59C0">
        <w:t>receipt</w:t>
      </w:r>
      <w:r w:rsidR="00C026A6" w:rsidRPr="00EA59C0">
        <w:t xml:space="preserve"> </w:t>
      </w:r>
      <w:r w:rsidRPr="00EA59C0">
        <w:t>of</w:t>
      </w:r>
      <w:r w:rsidR="00C026A6" w:rsidRPr="00EA59C0">
        <w:t xml:space="preserve"> </w:t>
      </w:r>
      <w:r w:rsidRPr="00EA59C0">
        <w:t>applications</w:t>
      </w:r>
      <w:r w:rsidR="00C026A6" w:rsidRPr="00EA59C0">
        <w:t xml:space="preserve"> </w:t>
      </w:r>
      <w:r w:rsidRPr="00EA59C0">
        <w:t>under</w:t>
      </w:r>
      <w:r w:rsidR="00C026A6" w:rsidRPr="00EA59C0">
        <w:t xml:space="preserve"> </w:t>
      </w:r>
      <w:r w:rsidRPr="00EA59C0">
        <w:t>this</w:t>
      </w:r>
      <w:r w:rsidR="00C026A6" w:rsidRPr="00EA59C0">
        <w:t xml:space="preserve"> </w:t>
      </w:r>
      <w:r w:rsidRPr="00EA59C0">
        <w:t>announcement</w:t>
      </w:r>
      <w:r w:rsidR="00C026A6" w:rsidRPr="00EA59C0">
        <w:t xml:space="preserve"> </w:t>
      </w:r>
      <w:r w:rsidRPr="00EA59C0">
        <w:t>is</w:t>
      </w:r>
      <w:r w:rsidR="00C026A6" w:rsidRPr="00EA59C0">
        <w:t xml:space="preserve"> </w:t>
      </w:r>
      <w:r w:rsidRPr="00EA59C0">
        <w:rPr>
          <w:b/>
        </w:rPr>
        <w:t>[</w:t>
      </w:r>
      <w:r w:rsidRPr="00EA59C0">
        <w:rPr>
          <w:b/>
          <w:i/>
        </w:rPr>
        <w:t>insert</w:t>
      </w:r>
      <w:r w:rsidR="00C026A6" w:rsidRPr="00EA59C0">
        <w:rPr>
          <w:b/>
          <w:i/>
        </w:rPr>
        <w:t xml:space="preserve"> </w:t>
      </w:r>
      <w:r w:rsidRPr="00EA59C0">
        <w:rPr>
          <w:b/>
          <w:i/>
        </w:rPr>
        <w:t>date</w:t>
      </w:r>
      <w:r w:rsidR="00C026A6" w:rsidRPr="00EA59C0">
        <w:rPr>
          <w:b/>
          <w:i/>
        </w:rPr>
        <w:t xml:space="preserve"> </w:t>
      </w:r>
      <w:r w:rsidRPr="00EA59C0">
        <w:rPr>
          <w:b/>
          <w:i/>
        </w:rPr>
        <w:t>XX</w:t>
      </w:r>
      <w:r w:rsidR="00C026A6" w:rsidRPr="00EA59C0">
        <w:rPr>
          <w:b/>
          <w:i/>
        </w:rPr>
        <w:t xml:space="preserve"> </w:t>
      </w:r>
      <w:r w:rsidRPr="00EA59C0">
        <w:rPr>
          <w:b/>
          <w:i/>
        </w:rPr>
        <w:t>days</w:t>
      </w:r>
      <w:r w:rsidR="00C026A6" w:rsidRPr="00EA59C0">
        <w:rPr>
          <w:b/>
          <w:i/>
        </w:rPr>
        <w:t xml:space="preserve"> </w:t>
      </w:r>
      <w:r w:rsidRPr="00EA59C0">
        <w:rPr>
          <w:b/>
          <w:i/>
        </w:rPr>
        <w:t>after</w:t>
      </w:r>
      <w:r w:rsidR="00C026A6" w:rsidRPr="00EA59C0">
        <w:rPr>
          <w:b/>
          <w:i/>
        </w:rPr>
        <w:t xml:space="preserve"> </w:t>
      </w:r>
      <w:r w:rsidRPr="00EA59C0">
        <w:rPr>
          <w:b/>
          <w:i/>
        </w:rPr>
        <w:t>date</w:t>
      </w:r>
      <w:r w:rsidR="00C026A6" w:rsidRPr="00EA59C0">
        <w:rPr>
          <w:b/>
          <w:i/>
        </w:rPr>
        <w:t xml:space="preserve"> </w:t>
      </w:r>
      <w:r w:rsidRPr="00EA59C0">
        <w:rPr>
          <w:b/>
          <w:i/>
        </w:rPr>
        <w:t>of</w:t>
      </w:r>
      <w:r w:rsidR="00C026A6" w:rsidRPr="00EA59C0">
        <w:rPr>
          <w:b/>
          <w:i/>
        </w:rPr>
        <w:t xml:space="preserve"> </w:t>
      </w:r>
      <w:r w:rsidRPr="00EA59C0">
        <w:rPr>
          <w:b/>
          <w:i/>
        </w:rPr>
        <w:t>publication</w:t>
      </w:r>
      <w:r w:rsidR="00C026A6" w:rsidRPr="00EA59C0">
        <w:rPr>
          <w:b/>
          <w:i/>
        </w:rPr>
        <w:t xml:space="preserve"> </w:t>
      </w:r>
      <w:r w:rsidR="00260875" w:rsidRPr="00EA59C0">
        <w:rPr>
          <w:b/>
          <w:i/>
        </w:rPr>
        <w:t>of</w:t>
      </w:r>
      <w:r w:rsidR="00C026A6" w:rsidRPr="00EA59C0">
        <w:rPr>
          <w:b/>
          <w:i/>
        </w:rPr>
        <w:t xml:space="preserve"> </w:t>
      </w:r>
      <w:r w:rsidR="00260875" w:rsidRPr="00EA59C0">
        <w:rPr>
          <w:b/>
          <w:i/>
        </w:rPr>
        <w:t>the</w:t>
      </w:r>
      <w:r w:rsidR="00C026A6" w:rsidRPr="00EA59C0">
        <w:rPr>
          <w:b/>
          <w:i/>
        </w:rPr>
        <w:t xml:space="preserve"> </w:t>
      </w:r>
      <w:r w:rsidR="00544350" w:rsidRPr="00EA59C0">
        <w:rPr>
          <w:b/>
          <w:i/>
        </w:rPr>
        <w:t>one</w:t>
      </w:r>
      <w:r w:rsidR="00C026A6" w:rsidRPr="00EA59C0">
        <w:rPr>
          <w:b/>
          <w:i/>
        </w:rPr>
        <w:t xml:space="preserve"> </w:t>
      </w:r>
      <w:r w:rsidR="00544350" w:rsidRPr="00EA59C0">
        <w:rPr>
          <w:b/>
          <w:i/>
        </w:rPr>
        <w:t>page</w:t>
      </w:r>
      <w:r w:rsidR="00C026A6" w:rsidRPr="00EA59C0">
        <w:rPr>
          <w:b/>
          <w:i/>
        </w:rPr>
        <w:t xml:space="preserve"> </w:t>
      </w:r>
      <w:r w:rsidR="00260875" w:rsidRPr="00EA59C0">
        <w:rPr>
          <w:b/>
          <w:i/>
        </w:rPr>
        <w:t>notice</w:t>
      </w:r>
      <w:r w:rsidR="00C026A6" w:rsidRPr="00EA59C0">
        <w:rPr>
          <w:b/>
          <w:i/>
        </w:rPr>
        <w:t xml:space="preserve"> </w:t>
      </w:r>
      <w:r w:rsidRPr="00EA59C0">
        <w:rPr>
          <w:b/>
          <w:i/>
        </w:rPr>
        <w:t>in</w:t>
      </w:r>
      <w:r w:rsidR="00C026A6" w:rsidRPr="00EA59C0">
        <w:rPr>
          <w:b/>
          <w:i/>
        </w:rPr>
        <w:t xml:space="preserve"> </w:t>
      </w:r>
      <w:r w:rsidR="00260875" w:rsidRPr="00EA59C0">
        <w:rPr>
          <w:b/>
          <w:i/>
        </w:rPr>
        <w:t>the</w:t>
      </w:r>
      <w:r w:rsidR="00C026A6" w:rsidRPr="00EA59C0">
        <w:rPr>
          <w:b/>
          <w:i/>
        </w:rPr>
        <w:t xml:space="preserve"> </w:t>
      </w:r>
      <w:r w:rsidRPr="00EA59C0">
        <w:rPr>
          <w:b/>
          <w:i/>
        </w:rPr>
        <w:t>Federal</w:t>
      </w:r>
      <w:r w:rsidR="00C026A6" w:rsidRPr="00EA59C0">
        <w:rPr>
          <w:b/>
          <w:i/>
        </w:rPr>
        <w:t xml:space="preserve"> </w:t>
      </w:r>
      <w:r w:rsidRPr="00EA59C0">
        <w:rPr>
          <w:b/>
          <w:i/>
        </w:rPr>
        <w:t>Register</w:t>
      </w:r>
      <w:r w:rsidRPr="00EA59C0">
        <w:rPr>
          <w:b/>
        </w:rPr>
        <w:t>]</w:t>
      </w:r>
      <w:r w:rsidRPr="00EA59C0">
        <w:t>.</w:t>
      </w:r>
      <w:r w:rsidR="00C026A6" w:rsidRPr="00EA59C0">
        <w:t xml:space="preserve">  </w:t>
      </w:r>
      <w:r w:rsidRPr="00EA59C0">
        <w:t>Applications</w:t>
      </w:r>
      <w:r w:rsidR="00C026A6" w:rsidRPr="00EA59C0">
        <w:t xml:space="preserve"> </w:t>
      </w:r>
      <w:r w:rsidRPr="00EA59C0">
        <w:t>m</w:t>
      </w:r>
      <w:r w:rsidR="00DB3E46" w:rsidRPr="00EA59C0">
        <w:t>ust</w:t>
      </w:r>
      <w:r w:rsidR="00C026A6" w:rsidRPr="00EA59C0">
        <w:t xml:space="preserve"> </w:t>
      </w:r>
      <w:r w:rsidRPr="00EA59C0">
        <w:t>be</w:t>
      </w:r>
      <w:r w:rsidR="00C026A6" w:rsidRPr="00EA59C0">
        <w:t xml:space="preserve"> </w:t>
      </w:r>
      <w:r w:rsidRPr="00EA59C0">
        <w:t>submitted</w:t>
      </w:r>
      <w:r w:rsidR="00C026A6" w:rsidRPr="00EA59C0">
        <w:t xml:space="preserve"> </w:t>
      </w:r>
      <w:r w:rsidR="00DB3E46" w:rsidRPr="00EA59C0">
        <w:t>either</w:t>
      </w:r>
      <w:r w:rsidR="00C026A6" w:rsidRPr="00EA59C0">
        <w:t xml:space="preserve"> </w:t>
      </w:r>
      <w:r w:rsidRPr="00EA59C0">
        <w:t>electronically</w:t>
      </w:r>
      <w:r w:rsidR="00C026A6" w:rsidRPr="00EA59C0">
        <w:t xml:space="preserve"> </w:t>
      </w:r>
      <w:r w:rsidRPr="00EA59C0">
        <w:t>on</w:t>
      </w:r>
      <w:r w:rsidR="00C026A6" w:rsidRPr="00EA59C0">
        <w:t xml:space="preserve"> </w:t>
      </w:r>
      <w:hyperlink r:id="rId259" w:history="1">
        <w:r w:rsidR="00CB31F9" w:rsidRPr="00EA59C0">
          <w:rPr>
            <w:rStyle w:val="Hyperlink"/>
            <w:iCs/>
            <w:color w:val="auto"/>
          </w:rPr>
          <w:t>http://www.grants.gov</w:t>
        </w:r>
      </w:hyperlink>
      <w:r w:rsidR="00C026A6" w:rsidRPr="00EA59C0">
        <w:t xml:space="preserve"> </w:t>
      </w:r>
      <w:r w:rsidRPr="00EA59C0">
        <w:t>or</w:t>
      </w:r>
      <w:r w:rsidR="00C026A6" w:rsidRPr="00EA59C0">
        <w:t xml:space="preserve"> </w:t>
      </w:r>
      <w:r w:rsidRPr="00EA59C0">
        <w:t>in</w:t>
      </w:r>
      <w:r w:rsidR="00C026A6" w:rsidRPr="00EA59C0">
        <w:t xml:space="preserve"> </w:t>
      </w:r>
      <w:r w:rsidRPr="00EA59C0">
        <w:t>hard</w:t>
      </w:r>
      <w:r w:rsidR="00C026A6" w:rsidRPr="00EA59C0">
        <w:t xml:space="preserve"> </w:t>
      </w:r>
      <w:r w:rsidRPr="00EA59C0">
        <w:t>copy</w:t>
      </w:r>
      <w:r w:rsidR="00C026A6" w:rsidRPr="00EA59C0">
        <w:t xml:space="preserve"> </w:t>
      </w:r>
      <w:r w:rsidRPr="00EA59C0">
        <w:t>by</w:t>
      </w:r>
      <w:r w:rsidR="00C026A6" w:rsidRPr="00EA59C0">
        <w:t xml:space="preserve"> </w:t>
      </w:r>
      <w:r w:rsidRPr="00EA59C0">
        <w:t>mail</w:t>
      </w:r>
      <w:r w:rsidR="00C026A6" w:rsidRPr="00EA59C0">
        <w:t xml:space="preserve"> </w:t>
      </w:r>
      <w:r w:rsidRPr="00EA59C0">
        <w:t>or</w:t>
      </w:r>
      <w:r w:rsidR="00C026A6" w:rsidRPr="00EA59C0">
        <w:t xml:space="preserve"> </w:t>
      </w:r>
      <w:r w:rsidR="00DB3E46" w:rsidRPr="00EA59C0">
        <w:t>in</w:t>
      </w:r>
      <w:r w:rsidR="00C026A6" w:rsidRPr="00EA59C0">
        <w:t xml:space="preserve"> </w:t>
      </w:r>
      <w:r w:rsidR="00DB3E46" w:rsidRPr="00EA59C0">
        <w:t>hard</w:t>
      </w:r>
      <w:r w:rsidR="00C026A6" w:rsidRPr="00EA59C0">
        <w:t xml:space="preserve"> </w:t>
      </w:r>
      <w:r w:rsidR="00DB3E46" w:rsidRPr="00EA59C0">
        <w:t>copy</w:t>
      </w:r>
      <w:r w:rsidR="00C026A6" w:rsidRPr="00EA59C0">
        <w:t xml:space="preserve"> </w:t>
      </w:r>
      <w:r w:rsidR="00DB3E46" w:rsidRPr="00EA59C0">
        <w:t>by</w:t>
      </w:r>
      <w:r w:rsidR="00C026A6" w:rsidRPr="00EA59C0">
        <w:t xml:space="preserve"> </w:t>
      </w:r>
      <w:r w:rsidRPr="00EA59C0">
        <w:t>hand</w:t>
      </w:r>
      <w:r w:rsidR="00C026A6" w:rsidRPr="00EA59C0">
        <w:t xml:space="preserve"> </w:t>
      </w:r>
      <w:r w:rsidRPr="00EA59C0">
        <w:t>delivery</w:t>
      </w:r>
      <w:r w:rsidR="00C026A6" w:rsidRPr="00EA59C0">
        <w:t xml:space="preserve"> </w:t>
      </w:r>
      <w:r w:rsidRPr="00EA59C0">
        <w:rPr>
          <w:b/>
        </w:rPr>
        <w:t>(including</w:t>
      </w:r>
      <w:r w:rsidR="00C026A6" w:rsidRPr="00EA59C0">
        <w:rPr>
          <w:b/>
        </w:rPr>
        <w:t xml:space="preserve"> </w:t>
      </w:r>
      <w:r w:rsidRPr="00EA59C0">
        <w:rPr>
          <w:b/>
        </w:rPr>
        <w:t>overnight</w:t>
      </w:r>
      <w:r w:rsidR="00C026A6" w:rsidRPr="00EA59C0">
        <w:rPr>
          <w:b/>
        </w:rPr>
        <w:t xml:space="preserve"> </w:t>
      </w:r>
      <w:r w:rsidRPr="00EA59C0">
        <w:rPr>
          <w:b/>
        </w:rPr>
        <w:t>delivery)</w:t>
      </w:r>
      <w:r w:rsidRPr="00EA59C0">
        <w:t>.</w:t>
      </w:r>
      <w:r w:rsidR="00C026A6" w:rsidRPr="00EA59C0">
        <w:t xml:space="preserve">   </w:t>
      </w:r>
      <w:r w:rsidRPr="00EA59C0">
        <w:t>Hard</w:t>
      </w:r>
      <w:r w:rsidR="00C026A6" w:rsidRPr="00EA59C0">
        <w:t xml:space="preserve"> </w:t>
      </w:r>
      <w:r w:rsidRPr="00EA59C0">
        <w:t>copy</w:t>
      </w:r>
      <w:r w:rsidR="00C026A6" w:rsidRPr="00EA59C0">
        <w:t xml:space="preserve"> </w:t>
      </w:r>
      <w:r w:rsidRPr="00EA59C0">
        <w:t>applications</w:t>
      </w:r>
      <w:r w:rsidR="00C026A6" w:rsidRPr="00EA59C0">
        <w:t xml:space="preserve"> </w:t>
      </w:r>
      <w:r w:rsidRPr="00EA59C0">
        <w:t>must</w:t>
      </w:r>
      <w:r w:rsidR="00C026A6" w:rsidRPr="00EA59C0">
        <w:t xml:space="preserve"> </w:t>
      </w:r>
      <w:r w:rsidRPr="00EA59C0">
        <w:t>be</w:t>
      </w:r>
      <w:r w:rsidR="00C026A6" w:rsidRPr="00EA59C0">
        <w:t xml:space="preserve"> </w:t>
      </w:r>
      <w:r w:rsidRPr="00EA59C0">
        <w:t>received</w:t>
      </w:r>
      <w:r w:rsidR="00C026A6" w:rsidRPr="00EA59C0">
        <w:t xml:space="preserve"> </w:t>
      </w:r>
      <w:r w:rsidRPr="00EA59C0">
        <w:t>at</w:t>
      </w:r>
      <w:r w:rsidR="00C026A6" w:rsidRPr="00EA59C0">
        <w:t xml:space="preserve"> </w:t>
      </w:r>
      <w:r w:rsidRPr="00EA59C0">
        <w:t>the</w:t>
      </w:r>
      <w:r w:rsidR="00C026A6" w:rsidRPr="00EA59C0">
        <w:t xml:space="preserve"> </w:t>
      </w:r>
      <w:r w:rsidRPr="00EA59C0">
        <w:t>address</w:t>
      </w:r>
      <w:r w:rsidR="00C026A6" w:rsidRPr="00EA59C0">
        <w:t xml:space="preserve"> </w:t>
      </w:r>
      <w:r w:rsidRPr="00EA59C0">
        <w:t>below</w:t>
      </w:r>
      <w:r w:rsidR="00C026A6" w:rsidRPr="00EA59C0">
        <w:t xml:space="preserve"> </w:t>
      </w:r>
      <w:r w:rsidRPr="00EA59C0">
        <w:t>no</w:t>
      </w:r>
      <w:r w:rsidR="00C026A6" w:rsidRPr="00EA59C0">
        <w:t xml:space="preserve"> </w:t>
      </w:r>
      <w:r w:rsidRPr="00EA59C0">
        <w:t>later</w:t>
      </w:r>
      <w:r w:rsidR="00C026A6" w:rsidRPr="00EA59C0">
        <w:t xml:space="preserve"> </w:t>
      </w:r>
      <w:r w:rsidRPr="00EA59C0">
        <w:t>than</w:t>
      </w:r>
      <w:r w:rsidR="00C026A6" w:rsidRPr="00EA59C0">
        <w:t xml:space="preserve"> </w:t>
      </w:r>
      <w:r w:rsidRPr="00EA59C0">
        <w:t>4:00:00</w:t>
      </w:r>
      <w:r w:rsidR="00C026A6" w:rsidRPr="00EA59C0">
        <w:t xml:space="preserve"> </w:t>
      </w:r>
      <w:r w:rsidRPr="00EA59C0">
        <w:t>p.m.</w:t>
      </w:r>
      <w:r w:rsidR="00C026A6" w:rsidRPr="00EA59C0">
        <w:t xml:space="preserve"> </w:t>
      </w:r>
      <w:r w:rsidRPr="00EA59C0">
        <w:t>Eastern</w:t>
      </w:r>
      <w:r w:rsidR="00C026A6" w:rsidRPr="00EA59C0">
        <w:t xml:space="preserve"> </w:t>
      </w:r>
      <w:r w:rsidRPr="00EA59C0">
        <w:t>Time</w:t>
      </w:r>
      <w:r w:rsidR="00C026A6" w:rsidRPr="00EA59C0">
        <w:t xml:space="preserve"> </w:t>
      </w:r>
      <w:r w:rsidRPr="00EA59C0">
        <w:t>on</w:t>
      </w:r>
      <w:r w:rsidR="00C026A6" w:rsidRPr="00EA59C0">
        <w:t xml:space="preserve"> </w:t>
      </w:r>
      <w:r w:rsidRPr="00EA59C0">
        <w:t>the</w:t>
      </w:r>
      <w:r w:rsidR="00C026A6" w:rsidRPr="00EA59C0">
        <w:t xml:space="preserve"> </w:t>
      </w:r>
      <w:r w:rsidRPr="00EA59C0">
        <w:t>closing</w:t>
      </w:r>
      <w:r w:rsidR="00C026A6" w:rsidRPr="00EA59C0">
        <w:t xml:space="preserve"> </w:t>
      </w:r>
      <w:r w:rsidRPr="00EA59C0">
        <w:t>date.</w:t>
      </w:r>
      <w:r w:rsidR="00C026A6" w:rsidRPr="00EA59C0">
        <w:t xml:space="preserve">  </w:t>
      </w:r>
      <w:r w:rsidRPr="00EA59C0">
        <w:t>Applications</w:t>
      </w:r>
      <w:r w:rsidR="00C026A6" w:rsidRPr="00EA59C0">
        <w:t xml:space="preserve"> </w:t>
      </w:r>
      <w:r w:rsidRPr="00EA59C0">
        <w:t>submitted</w:t>
      </w:r>
      <w:r w:rsidR="00C026A6" w:rsidRPr="00EA59C0">
        <w:t xml:space="preserve"> </w:t>
      </w:r>
      <w:r w:rsidRPr="00EA59C0">
        <w:t>on</w:t>
      </w:r>
      <w:r w:rsidR="00C026A6" w:rsidRPr="00EA59C0">
        <w:t xml:space="preserve"> </w:t>
      </w:r>
      <w:r w:rsidRPr="00EA59C0">
        <w:t>grants.gov</w:t>
      </w:r>
      <w:r w:rsidR="00C026A6" w:rsidRPr="00EA59C0">
        <w:t xml:space="preserve"> </w:t>
      </w:r>
      <w:r w:rsidRPr="00EA59C0">
        <w:t>must</w:t>
      </w:r>
      <w:r w:rsidR="00C026A6" w:rsidRPr="00EA59C0">
        <w:t xml:space="preserve"> </w:t>
      </w:r>
      <w:r w:rsidRPr="00EA59C0">
        <w:t>also</w:t>
      </w:r>
      <w:r w:rsidR="00C026A6" w:rsidRPr="00EA59C0">
        <w:t xml:space="preserve"> </w:t>
      </w:r>
      <w:r w:rsidRPr="00EA59C0">
        <w:t>be</w:t>
      </w:r>
      <w:r w:rsidR="00C026A6" w:rsidRPr="00EA59C0">
        <w:t xml:space="preserve"> </w:t>
      </w:r>
      <w:r w:rsidRPr="00EA59C0">
        <w:t>successfully</w:t>
      </w:r>
      <w:r w:rsidR="00C026A6" w:rsidRPr="00EA59C0">
        <w:t xml:space="preserve"> </w:t>
      </w:r>
      <w:r w:rsidRPr="00EA59C0">
        <w:t>submitted</w:t>
      </w:r>
      <w:r w:rsidR="00C026A6" w:rsidRPr="00EA59C0">
        <w:t xml:space="preserve"> </w:t>
      </w:r>
      <w:r w:rsidRPr="00EA59C0">
        <w:t>(as</w:t>
      </w:r>
      <w:r w:rsidR="00C026A6" w:rsidRPr="00EA59C0">
        <w:t xml:space="preserve"> </w:t>
      </w:r>
      <w:r w:rsidRPr="00EA59C0">
        <w:t>described</w:t>
      </w:r>
      <w:r w:rsidR="00C026A6" w:rsidRPr="00EA59C0">
        <w:t xml:space="preserve"> </w:t>
      </w:r>
      <w:r w:rsidRPr="00EA59C0">
        <w:t>below)</w:t>
      </w:r>
      <w:r w:rsidR="00C026A6" w:rsidRPr="00EA59C0">
        <w:t xml:space="preserve"> </w:t>
      </w:r>
      <w:r w:rsidRPr="00EA59C0">
        <w:t>no</w:t>
      </w:r>
      <w:r w:rsidR="00C026A6" w:rsidRPr="00EA59C0">
        <w:t xml:space="preserve"> </w:t>
      </w:r>
      <w:r w:rsidRPr="00EA59C0">
        <w:t>later</w:t>
      </w:r>
      <w:r w:rsidR="00C026A6" w:rsidRPr="00EA59C0">
        <w:t xml:space="preserve"> </w:t>
      </w:r>
      <w:r w:rsidRPr="00EA59C0">
        <w:t>than</w:t>
      </w:r>
      <w:r w:rsidR="00C026A6" w:rsidRPr="00EA59C0">
        <w:t xml:space="preserve"> </w:t>
      </w:r>
      <w:r w:rsidRPr="00EA59C0">
        <w:t>4:00:00</w:t>
      </w:r>
      <w:r w:rsidR="00C026A6" w:rsidRPr="00EA59C0">
        <w:t xml:space="preserve"> </w:t>
      </w:r>
      <w:r w:rsidRPr="00EA59C0">
        <w:t>p.m.</w:t>
      </w:r>
      <w:r w:rsidR="00C026A6" w:rsidRPr="00EA59C0">
        <w:t xml:space="preserve"> </w:t>
      </w:r>
      <w:r w:rsidRPr="00EA59C0">
        <w:t>Eastern</w:t>
      </w:r>
      <w:r w:rsidR="00C026A6" w:rsidRPr="00EA59C0">
        <w:t xml:space="preserve"> </w:t>
      </w:r>
      <w:r w:rsidRPr="00EA59C0">
        <w:t>Time</w:t>
      </w:r>
      <w:r w:rsidR="00C026A6" w:rsidRPr="00EA59C0">
        <w:t xml:space="preserve"> </w:t>
      </w:r>
      <w:r w:rsidRPr="00EA59C0">
        <w:t>on</w:t>
      </w:r>
      <w:r w:rsidR="00C026A6" w:rsidRPr="00EA59C0">
        <w:t xml:space="preserve"> </w:t>
      </w:r>
      <w:r w:rsidRPr="00EA59C0">
        <w:t>the</w:t>
      </w:r>
      <w:r w:rsidR="00C026A6" w:rsidRPr="00EA59C0">
        <w:t xml:space="preserve"> </w:t>
      </w:r>
      <w:r w:rsidRPr="00EA59C0">
        <w:t>closing</w:t>
      </w:r>
      <w:r w:rsidR="00C026A6" w:rsidRPr="00EA59C0">
        <w:t xml:space="preserve"> </w:t>
      </w:r>
      <w:r w:rsidRPr="00EA59C0">
        <w:t>date.</w:t>
      </w:r>
      <w:r w:rsidR="00C026A6" w:rsidRPr="00EA59C0">
        <w:t xml:space="preserve">  </w:t>
      </w:r>
      <w:r w:rsidR="004F0D97" w:rsidRPr="00EA59C0">
        <w:t>Applicants</w:t>
      </w:r>
      <w:r w:rsidR="00C026A6" w:rsidRPr="00EA59C0">
        <w:t xml:space="preserve"> </w:t>
      </w:r>
      <w:r w:rsidR="004F0D97" w:rsidRPr="00EA59C0">
        <w:t>are</w:t>
      </w:r>
      <w:r w:rsidR="00C026A6" w:rsidRPr="00EA59C0">
        <w:t xml:space="preserve"> </w:t>
      </w:r>
      <w:r w:rsidR="004F0D97" w:rsidRPr="00EA59C0">
        <w:t>cautioned</w:t>
      </w:r>
      <w:r w:rsidR="00C026A6" w:rsidRPr="00EA59C0">
        <w:t xml:space="preserve"> </w:t>
      </w:r>
      <w:r w:rsidR="004F0D97" w:rsidRPr="00EA59C0">
        <w:t>that</w:t>
      </w:r>
      <w:r w:rsidR="00C026A6" w:rsidRPr="00EA59C0">
        <w:t xml:space="preserve"> </w:t>
      </w:r>
      <w:r w:rsidR="004F0D97" w:rsidRPr="00EA59C0">
        <w:t>applications</w:t>
      </w:r>
      <w:r w:rsidR="00C026A6" w:rsidRPr="00EA59C0">
        <w:t xml:space="preserve"> </w:t>
      </w:r>
      <w:r w:rsidR="004F0D97" w:rsidRPr="00EA59C0">
        <w:t>should</w:t>
      </w:r>
      <w:r w:rsidR="00C026A6" w:rsidRPr="00EA59C0">
        <w:t xml:space="preserve"> </w:t>
      </w:r>
      <w:r w:rsidR="004F0D97" w:rsidRPr="00EA59C0">
        <w:t>be</w:t>
      </w:r>
      <w:r w:rsidR="00C026A6" w:rsidRPr="00EA59C0">
        <w:t xml:space="preserve"> </w:t>
      </w:r>
      <w:r w:rsidR="004F0D97" w:rsidRPr="00EA59C0">
        <w:t>submitted</w:t>
      </w:r>
      <w:r w:rsidR="00C026A6" w:rsidRPr="00EA59C0">
        <w:t xml:space="preserve"> </w:t>
      </w:r>
      <w:r w:rsidR="004F0D97" w:rsidRPr="00EA59C0">
        <w:t>before</w:t>
      </w:r>
      <w:r w:rsidR="00C026A6" w:rsidRPr="00EA59C0">
        <w:t xml:space="preserve"> </w:t>
      </w:r>
      <w:r w:rsidR="004F0D97" w:rsidRPr="00EA59C0">
        <w:t>the</w:t>
      </w:r>
      <w:r w:rsidR="00C026A6" w:rsidRPr="00EA59C0">
        <w:t xml:space="preserve"> </w:t>
      </w:r>
      <w:r w:rsidR="004F0D97" w:rsidRPr="00EA59C0">
        <w:t>deadline</w:t>
      </w:r>
      <w:r w:rsidR="00C026A6" w:rsidRPr="00EA59C0">
        <w:t xml:space="preserve"> </w:t>
      </w:r>
      <w:r w:rsidR="004F0D97" w:rsidRPr="00EA59C0">
        <w:t>to</w:t>
      </w:r>
      <w:r w:rsidR="00C026A6" w:rsidRPr="00EA59C0">
        <w:t xml:space="preserve"> </w:t>
      </w:r>
      <w:r w:rsidR="004F0D97" w:rsidRPr="00EA59C0">
        <w:t>ensure</w:t>
      </w:r>
      <w:r w:rsidR="00C026A6" w:rsidRPr="00EA59C0">
        <w:t xml:space="preserve"> </w:t>
      </w:r>
      <w:r w:rsidR="004F0D97" w:rsidRPr="00EA59C0">
        <w:t>that</w:t>
      </w:r>
      <w:r w:rsidR="00C026A6" w:rsidRPr="00EA59C0">
        <w:t xml:space="preserve"> </w:t>
      </w:r>
      <w:r w:rsidR="004F0D97" w:rsidRPr="00EA59C0">
        <w:t>the</w:t>
      </w:r>
      <w:r w:rsidR="00C026A6" w:rsidRPr="00EA59C0">
        <w:t xml:space="preserve"> </w:t>
      </w:r>
      <w:r w:rsidR="004F0D97" w:rsidRPr="00EA59C0">
        <w:t>risk</w:t>
      </w:r>
      <w:r w:rsidR="00C026A6" w:rsidRPr="00EA59C0">
        <w:t xml:space="preserve"> </w:t>
      </w:r>
      <w:r w:rsidR="004F0D97" w:rsidRPr="00EA59C0">
        <w:t>of</w:t>
      </w:r>
      <w:r w:rsidR="00C026A6" w:rsidRPr="00EA59C0">
        <w:t xml:space="preserve"> </w:t>
      </w:r>
      <w:r w:rsidR="004F0D97" w:rsidRPr="00EA59C0">
        <w:t>late</w:t>
      </w:r>
      <w:r w:rsidR="00C026A6" w:rsidRPr="00EA59C0">
        <w:t xml:space="preserve"> </w:t>
      </w:r>
      <w:r w:rsidR="004F0D97" w:rsidRPr="00EA59C0">
        <w:t>receipt</w:t>
      </w:r>
      <w:r w:rsidR="00C026A6" w:rsidRPr="00EA59C0">
        <w:t xml:space="preserve"> </w:t>
      </w:r>
      <w:r w:rsidR="004F0D97" w:rsidRPr="00EA59C0">
        <w:t>of</w:t>
      </w:r>
      <w:r w:rsidR="00C026A6" w:rsidRPr="00EA59C0">
        <w:t xml:space="preserve"> </w:t>
      </w:r>
      <w:r w:rsidR="004F0D97" w:rsidRPr="00EA59C0">
        <w:t>the</w:t>
      </w:r>
      <w:r w:rsidR="00C026A6" w:rsidRPr="00EA59C0">
        <w:t xml:space="preserve"> </w:t>
      </w:r>
      <w:r w:rsidR="004F0D97" w:rsidRPr="00EA59C0">
        <w:t>application</w:t>
      </w:r>
      <w:r w:rsidR="00C026A6" w:rsidRPr="00EA59C0">
        <w:t xml:space="preserve"> </w:t>
      </w:r>
      <w:r w:rsidR="004F0D97" w:rsidRPr="00EA59C0">
        <w:t>is</w:t>
      </w:r>
      <w:r w:rsidR="00C026A6" w:rsidRPr="00EA59C0">
        <w:t xml:space="preserve"> </w:t>
      </w:r>
      <w:r w:rsidR="004F0D97" w:rsidRPr="00EA59C0">
        <w:t>minimized.</w:t>
      </w:r>
      <w:r w:rsidR="00C026A6" w:rsidRPr="00EA59C0">
        <w:t xml:space="preserve">  </w:t>
      </w:r>
      <w:r w:rsidRPr="00EA59C0">
        <w:t>Applications</w:t>
      </w:r>
      <w:r w:rsidR="00C026A6" w:rsidRPr="00EA59C0">
        <w:t xml:space="preserve"> </w:t>
      </w:r>
      <w:r w:rsidRPr="00EA59C0">
        <w:t>sent</w:t>
      </w:r>
      <w:r w:rsidR="00C026A6" w:rsidRPr="00EA59C0">
        <w:t xml:space="preserve"> </w:t>
      </w:r>
      <w:r w:rsidRPr="00EA59C0">
        <w:t>by</w:t>
      </w:r>
      <w:r w:rsidR="00C026A6" w:rsidRPr="00EA59C0">
        <w:t xml:space="preserve"> </w:t>
      </w:r>
      <w:r w:rsidRPr="00EA59C0">
        <w:t>e-mail,</w:t>
      </w:r>
      <w:r w:rsidR="00C026A6" w:rsidRPr="00EA59C0">
        <w:t xml:space="preserve"> </w:t>
      </w:r>
      <w:r w:rsidRPr="00EA59C0">
        <w:t>telegram,</w:t>
      </w:r>
      <w:r w:rsidR="00C026A6" w:rsidRPr="00EA59C0">
        <w:t xml:space="preserve"> </w:t>
      </w:r>
      <w:r w:rsidRPr="00EA59C0">
        <w:t>or</w:t>
      </w:r>
      <w:r w:rsidR="00C026A6" w:rsidRPr="00EA59C0">
        <w:t xml:space="preserve"> </w:t>
      </w:r>
      <w:r w:rsidRPr="00EA59C0">
        <w:t>facsimile</w:t>
      </w:r>
      <w:r w:rsidR="00C026A6" w:rsidRPr="00EA59C0">
        <w:t xml:space="preserve"> </w:t>
      </w:r>
      <w:r w:rsidRPr="00EA59C0">
        <w:t>(FAX)</w:t>
      </w:r>
      <w:r w:rsidR="00C026A6" w:rsidRPr="00EA59C0">
        <w:t xml:space="preserve"> </w:t>
      </w:r>
      <w:r w:rsidRPr="00EA59C0">
        <w:t>will</w:t>
      </w:r>
      <w:r w:rsidR="00C026A6" w:rsidRPr="00EA59C0">
        <w:t xml:space="preserve"> </w:t>
      </w:r>
      <w:r w:rsidRPr="00EA59C0">
        <w:t>not</w:t>
      </w:r>
      <w:r w:rsidR="00C026A6" w:rsidRPr="00EA59C0">
        <w:t xml:space="preserve"> </w:t>
      </w:r>
      <w:r w:rsidRPr="00EA59C0">
        <w:t>be</w:t>
      </w:r>
      <w:r w:rsidR="00C026A6" w:rsidRPr="00EA59C0">
        <w:t xml:space="preserve"> </w:t>
      </w:r>
      <w:r w:rsidRPr="00EA59C0">
        <w:t>accepted.</w:t>
      </w:r>
      <w:r w:rsidR="00C026A6" w:rsidRPr="00EA59C0">
        <w:t xml:space="preserve">  </w:t>
      </w:r>
    </w:p>
    <w:p w:rsidR="00144DF0" w:rsidRPr="00EA59C0" w:rsidRDefault="00144DF0" w:rsidP="00C072FA">
      <w:pPr>
        <w:ind w:left="360"/>
      </w:pPr>
    </w:p>
    <w:p w:rsidR="00144DF0" w:rsidRPr="00EA59C0" w:rsidRDefault="007470AB" w:rsidP="00C072FA">
      <w:pPr>
        <w:ind w:left="720"/>
        <w:rPr>
          <w:b/>
        </w:rPr>
      </w:pPr>
      <w:r w:rsidRPr="00EA59C0">
        <w:t>Applicants</w:t>
      </w:r>
      <w:r w:rsidR="00C026A6" w:rsidRPr="00EA59C0">
        <w:t xml:space="preserve"> </w:t>
      </w:r>
      <w:r w:rsidRPr="00EA59C0">
        <w:t>submitting</w:t>
      </w:r>
      <w:r w:rsidR="00C026A6" w:rsidRPr="00EA59C0">
        <w:t xml:space="preserve"> </w:t>
      </w:r>
      <w:r w:rsidRPr="00EA59C0">
        <w:t>proposals</w:t>
      </w:r>
      <w:r w:rsidR="00C026A6" w:rsidRPr="00EA59C0">
        <w:t xml:space="preserve"> </w:t>
      </w:r>
      <w:r w:rsidRPr="00EA59C0">
        <w:t>in</w:t>
      </w:r>
      <w:r w:rsidR="00C026A6" w:rsidRPr="00EA59C0">
        <w:t xml:space="preserve"> </w:t>
      </w:r>
      <w:r w:rsidRPr="00EA59C0">
        <w:t>hard</w:t>
      </w:r>
      <w:r w:rsidR="00C026A6" w:rsidRPr="00EA59C0">
        <w:t xml:space="preserve"> </w:t>
      </w:r>
      <w:r w:rsidRPr="00EA59C0">
        <w:t>copy</w:t>
      </w:r>
      <w:r w:rsidR="00C026A6" w:rsidRPr="00EA59C0">
        <w:t xml:space="preserve"> </w:t>
      </w:r>
      <w:r w:rsidR="004F0D97" w:rsidRPr="00EA59C0">
        <w:t>by</w:t>
      </w:r>
      <w:r w:rsidR="00C026A6" w:rsidRPr="00EA59C0">
        <w:t xml:space="preserve"> </w:t>
      </w:r>
      <w:r w:rsidR="004F0D97" w:rsidRPr="00EA59C0">
        <w:t>mail</w:t>
      </w:r>
      <w:r w:rsidR="00C026A6" w:rsidRPr="00EA59C0">
        <w:t xml:space="preserve"> </w:t>
      </w:r>
      <w:r w:rsidR="004F0D97" w:rsidRPr="00EA59C0">
        <w:t>or</w:t>
      </w:r>
      <w:r w:rsidR="00C026A6" w:rsidRPr="00EA59C0">
        <w:t xml:space="preserve"> </w:t>
      </w:r>
      <w:r w:rsidR="004F0D97" w:rsidRPr="00EA59C0">
        <w:t>overnight</w:t>
      </w:r>
      <w:r w:rsidR="00C026A6" w:rsidRPr="00EA59C0">
        <w:t xml:space="preserve"> </w:t>
      </w:r>
      <w:r w:rsidR="004F0D97" w:rsidRPr="00EA59C0">
        <w:t>delivery</w:t>
      </w:r>
      <w:r w:rsidR="00C026A6" w:rsidRPr="00EA59C0">
        <w:t xml:space="preserve"> </w:t>
      </w:r>
      <w:r w:rsidRPr="00EA59C0">
        <w:t>must</w:t>
      </w:r>
      <w:r w:rsidR="00C026A6" w:rsidRPr="00EA59C0">
        <w:t xml:space="preserve"> </w:t>
      </w:r>
      <w:r w:rsidRPr="00EA59C0">
        <w:t>submit</w:t>
      </w:r>
      <w:r w:rsidR="00C026A6" w:rsidRPr="00EA59C0">
        <w:t xml:space="preserve"> </w:t>
      </w:r>
      <w:r w:rsidRPr="00EA59C0">
        <w:t>an</w:t>
      </w:r>
      <w:r w:rsidR="00C026A6" w:rsidRPr="00EA59C0">
        <w:t xml:space="preserve"> </w:t>
      </w:r>
      <w:r w:rsidRPr="00EA59C0">
        <w:t>original</w:t>
      </w:r>
      <w:r w:rsidR="00C026A6" w:rsidRPr="00EA59C0">
        <w:t xml:space="preserve"> </w:t>
      </w:r>
      <w:r w:rsidRPr="00EA59C0">
        <w:t>signed</w:t>
      </w:r>
      <w:r w:rsidR="00C026A6" w:rsidRPr="00EA59C0">
        <w:t xml:space="preserve"> </w:t>
      </w:r>
      <w:r w:rsidRPr="00EA59C0">
        <w:t>application</w:t>
      </w:r>
      <w:r w:rsidR="00C026A6" w:rsidRPr="00EA59C0">
        <w:t xml:space="preserve"> </w:t>
      </w:r>
      <w:r w:rsidRPr="00EA59C0">
        <w:t>(including</w:t>
      </w:r>
      <w:r w:rsidR="00C026A6" w:rsidRPr="00EA59C0">
        <w:t xml:space="preserve"> </w:t>
      </w:r>
      <w:r w:rsidRPr="00EA59C0">
        <w:t>the</w:t>
      </w:r>
      <w:r w:rsidR="00C026A6" w:rsidRPr="00EA59C0">
        <w:t xml:space="preserve"> </w:t>
      </w:r>
      <w:r w:rsidRPr="00EA59C0">
        <w:t>SF-424)</w:t>
      </w:r>
      <w:r w:rsidR="00C026A6" w:rsidRPr="00EA59C0">
        <w:t xml:space="preserve"> </w:t>
      </w:r>
      <w:r w:rsidRPr="00EA59C0">
        <w:t>and</w:t>
      </w:r>
      <w:r w:rsidR="00C026A6" w:rsidRPr="00EA59C0">
        <w:t xml:space="preserve"> </w:t>
      </w:r>
      <w:r w:rsidRPr="00EA59C0">
        <w:t>one</w:t>
      </w:r>
      <w:r w:rsidR="00C026A6" w:rsidRPr="00EA59C0">
        <w:t xml:space="preserve"> </w:t>
      </w:r>
      <w:r w:rsidRPr="00EA59C0">
        <w:t>(1)</w:t>
      </w:r>
      <w:r w:rsidR="00C026A6" w:rsidRPr="00EA59C0">
        <w:t xml:space="preserve"> </w:t>
      </w:r>
      <w:r w:rsidRPr="00EA59C0">
        <w:t>‘‘copy-ready’’</w:t>
      </w:r>
      <w:r w:rsidR="00C026A6" w:rsidRPr="00EA59C0">
        <w:t xml:space="preserve"> </w:t>
      </w:r>
      <w:r w:rsidRPr="00EA59C0">
        <w:t>version</w:t>
      </w:r>
      <w:r w:rsidR="00C026A6" w:rsidRPr="00EA59C0">
        <w:t xml:space="preserve"> </w:t>
      </w:r>
      <w:r w:rsidRPr="00EA59C0">
        <w:t>free</w:t>
      </w:r>
      <w:r w:rsidR="00C026A6" w:rsidRPr="00EA59C0">
        <w:t xml:space="preserve"> </w:t>
      </w:r>
      <w:r w:rsidRPr="00EA59C0">
        <w:t>of</w:t>
      </w:r>
      <w:r w:rsidR="00C026A6" w:rsidRPr="00EA59C0">
        <w:t xml:space="preserve"> </w:t>
      </w:r>
      <w:r w:rsidRPr="00EA59C0">
        <w:t>bindings,</w:t>
      </w:r>
      <w:r w:rsidR="00C026A6" w:rsidRPr="00EA59C0">
        <w:t xml:space="preserve"> </w:t>
      </w:r>
      <w:r w:rsidRPr="00EA59C0">
        <w:t>staples</w:t>
      </w:r>
      <w:r w:rsidR="00C026A6" w:rsidRPr="00EA59C0">
        <w:t xml:space="preserve"> </w:t>
      </w:r>
      <w:r w:rsidRPr="00EA59C0">
        <w:t>or</w:t>
      </w:r>
      <w:r w:rsidR="00C026A6" w:rsidRPr="00EA59C0">
        <w:t xml:space="preserve"> </w:t>
      </w:r>
      <w:r w:rsidRPr="00EA59C0">
        <w:t>protruding</w:t>
      </w:r>
      <w:r w:rsidR="00C026A6" w:rsidRPr="00EA59C0">
        <w:t xml:space="preserve"> </w:t>
      </w:r>
      <w:r w:rsidRPr="00EA59C0">
        <w:t>tabs</w:t>
      </w:r>
      <w:r w:rsidR="00C026A6" w:rsidRPr="00EA59C0">
        <w:t xml:space="preserve"> </w:t>
      </w:r>
      <w:r w:rsidRPr="00EA59C0">
        <w:t>to</w:t>
      </w:r>
      <w:r w:rsidR="00C026A6" w:rsidRPr="00EA59C0">
        <w:t xml:space="preserve"> </w:t>
      </w:r>
      <w:r w:rsidRPr="00EA59C0">
        <w:t>ease</w:t>
      </w:r>
      <w:r w:rsidR="00C026A6" w:rsidRPr="00EA59C0">
        <w:t xml:space="preserve"> </w:t>
      </w:r>
      <w:r w:rsidRPr="00EA59C0">
        <w:t>in</w:t>
      </w:r>
      <w:r w:rsidR="00C026A6" w:rsidRPr="00EA59C0">
        <w:t xml:space="preserve"> </w:t>
      </w:r>
      <w:r w:rsidRPr="00EA59C0">
        <w:t>the</w:t>
      </w:r>
      <w:r w:rsidR="00C026A6" w:rsidRPr="00EA59C0">
        <w:t xml:space="preserve"> </w:t>
      </w:r>
      <w:r w:rsidRPr="00EA59C0">
        <w:t>reproduction</w:t>
      </w:r>
      <w:r w:rsidR="00C026A6" w:rsidRPr="00EA59C0">
        <w:t xml:space="preserve"> </w:t>
      </w:r>
      <w:r w:rsidRPr="00EA59C0">
        <w:t>of</w:t>
      </w:r>
      <w:r w:rsidR="00C026A6" w:rsidRPr="00EA59C0">
        <w:t xml:space="preserve"> </w:t>
      </w:r>
      <w:r w:rsidRPr="00EA59C0">
        <w:t>the</w:t>
      </w:r>
      <w:r w:rsidR="00C026A6" w:rsidRPr="00EA59C0">
        <w:t xml:space="preserve"> </w:t>
      </w:r>
      <w:r w:rsidRPr="00EA59C0">
        <w:t>proposal</w:t>
      </w:r>
      <w:r w:rsidR="00C026A6" w:rsidRPr="00EA59C0">
        <w:t xml:space="preserve"> </w:t>
      </w:r>
      <w:r w:rsidRPr="00EA59C0">
        <w:t>by</w:t>
      </w:r>
      <w:r w:rsidR="00C026A6" w:rsidRPr="00EA59C0">
        <w:t xml:space="preserve"> </w:t>
      </w:r>
      <w:r w:rsidRPr="00EA59C0">
        <w:t>DOL.</w:t>
      </w:r>
      <w:r w:rsidR="00C026A6" w:rsidRPr="00EA59C0">
        <w:t xml:space="preserve">  </w:t>
      </w:r>
      <w:r w:rsidRPr="00EA59C0">
        <w:t>Applicants</w:t>
      </w:r>
      <w:r w:rsidR="00C026A6" w:rsidRPr="00EA59C0">
        <w:t xml:space="preserve"> </w:t>
      </w:r>
      <w:r w:rsidRPr="00EA59C0">
        <w:t>submitting</w:t>
      </w:r>
      <w:r w:rsidR="00C026A6" w:rsidRPr="00EA59C0">
        <w:t xml:space="preserve"> </w:t>
      </w:r>
      <w:r w:rsidRPr="00EA59C0">
        <w:t>proposals</w:t>
      </w:r>
      <w:r w:rsidR="00C026A6" w:rsidRPr="00EA59C0">
        <w:t xml:space="preserve"> </w:t>
      </w:r>
      <w:r w:rsidRPr="00EA59C0">
        <w:t>in</w:t>
      </w:r>
      <w:r w:rsidR="00C026A6" w:rsidRPr="00EA59C0">
        <w:t xml:space="preserve"> </w:t>
      </w:r>
      <w:r w:rsidRPr="00EA59C0">
        <w:t>hard</w:t>
      </w:r>
      <w:r w:rsidR="00C026A6" w:rsidRPr="00EA59C0">
        <w:t xml:space="preserve"> </w:t>
      </w:r>
      <w:r w:rsidRPr="00EA59C0">
        <w:t>copy</w:t>
      </w:r>
      <w:r w:rsidR="00C026A6" w:rsidRPr="00EA59C0">
        <w:t xml:space="preserve"> </w:t>
      </w:r>
      <w:r w:rsidRPr="00EA59C0">
        <w:t>are</w:t>
      </w:r>
      <w:r w:rsidR="00C026A6" w:rsidRPr="00EA59C0">
        <w:t xml:space="preserve"> </w:t>
      </w:r>
      <w:r w:rsidRPr="00EA59C0">
        <w:t>also</w:t>
      </w:r>
      <w:r w:rsidR="00C026A6" w:rsidRPr="00EA59C0">
        <w:t xml:space="preserve"> </w:t>
      </w:r>
      <w:r w:rsidRPr="00EA59C0">
        <w:t>required</w:t>
      </w:r>
      <w:r w:rsidR="00C026A6" w:rsidRPr="00EA59C0">
        <w:t xml:space="preserve"> </w:t>
      </w:r>
      <w:r w:rsidRPr="00EA59C0">
        <w:t>to</w:t>
      </w:r>
      <w:r w:rsidR="00C026A6" w:rsidRPr="00EA59C0">
        <w:t xml:space="preserve"> </w:t>
      </w:r>
      <w:r w:rsidR="004F0D97" w:rsidRPr="00EA59C0">
        <w:t>include</w:t>
      </w:r>
      <w:r w:rsidR="00C026A6" w:rsidRPr="00EA59C0">
        <w:t xml:space="preserve"> </w:t>
      </w:r>
      <w:r w:rsidR="004F0D97" w:rsidRPr="00EA59C0">
        <w:t>in</w:t>
      </w:r>
      <w:r w:rsidR="00C026A6" w:rsidRPr="00EA59C0">
        <w:t xml:space="preserve"> </w:t>
      </w:r>
      <w:r w:rsidR="004F0D97" w:rsidRPr="00EA59C0">
        <w:t>the</w:t>
      </w:r>
      <w:r w:rsidR="00C026A6" w:rsidRPr="00EA59C0">
        <w:t xml:space="preserve"> </w:t>
      </w:r>
      <w:r w:rsidR="004F0D97" w:rsidRPr="00EA59C0">
        <w:t>hard</w:t>
      </w:r>
      <w:r w:rsidR="00C026A6" w:rsidRPr="00EA59C0">
        <w:t xml:space="preserve"> </w:t>
      </w:r>
      <w:r w:rsidR="004F0D97" w:rsidRPr="00EA59C0">
        <w:t>copy</w:t>
      </w:r>
      <w:r w:rsidR="00C026A6" w:rsidRPr="00EA59C0">
        <w:t xml:space="preserve"> </w:t>
      </w:r>
      <w:r w:rsidR="004F0D97" w:rsidRPr="00EA59C0">
        <w:t>submission</w:t>
      </w:r>
      <w:r w:rsidR="00C026A6" w:rsidRPr="00EA59C0">
        <w:t xml:space="preserve"> </w:t>
      </w:r>
      <w:r w:rsidRPr="00EA59C0">
        <w:t>an</w:t>
      </w:r>
      <w:r w:rsidR="00C026A6" w:rsidRPr="00EA59C0">
        <w:t xml:space="preserve"> </w:t>
      </w:r>
      <w:r w:rsidRPr="00EA59C0">
        <w:t>identical</w:t>
      </w:r>
      <w:r w:rsidR="00C026A6" w:rsidRPr="00EA59C0">
        <w:t xml:space="preserve"> </w:t>
      </w:r>
      <w:r w:rsidRPr="00EA59C0">
        <w:t>electronic</w:t>
      </w:r>
      <w:r w:rsidR="00C026A6" w:rsidRPr="00EA59C0">
        <w:t xml:space="preserve"> </w:t>
      </w:r>
      <w:r w:rsidRPr="00EA59C0">
        <w:t>copy</w:t>
      </w:r>
      <w:r w:rsidR="00C026A6" w:rsidRPr="00EA59C0">
        <w:t xml:space="preserve"> </w:t>
      </w:r>
      <w:r w:rsidRPr="00EA59C0">
        <w:t>of</w:t>
      </w:r>
      <w:r w:rsidR="00C026A6" w:rsidRPr="00EA59C0">
        <w:t xml:space="preserve"> </w:t>
      </w:r>
      <w:r w:rsidRPr="00EA59C0">
        <w:t>the</w:t>
      </w:r>
      <w:r w:rsidR="00C026A6" w:rsidRPr="00EA59C0">
        <w:t xml:space="preserve"> </w:t>
      </w:r>
      <w:r w:rsidRPr="00EA59C0">
        <w:t>proposal</w:t>
      </w:r>
      <w:r w:rsidR="00C026A6" w:rsidRPr="00EA59C0">
        <w:t xml:space="preserve"> </w:t>
      </w:r>
      <w:r w:rsidRPr="00EA59C0">
        <w:t>on</w:t>
      </w:r>
      <w:r w:rsidR="00C026A6" w:rsidRPr="00EA59C0">
        <w:t xml:space="preserve"> </w:t>
      </w:r>
      <w:r w:rsidRPr="00EA59C0">
        <w:t>compact</w:t>
      </w:r>
      <w:r w:rsidR="00C026A6" w:rsidRPr="00EA59C0">
        <w:t xml:space="preserve"> </w:t>
      </w:r>
      <w:r w:rsidRPr="00EA59C0">
        <w:t>disc</w:t>
      </w:r>
      <w:r w:rsidR="00C026A6" w:rsidRPr="00EA59C0">
        <w:t xml:space="preserve"> </w:t>
      </w:r>
      <w:r w:rsidRPr="00EA59C0">
        <w:t>(CD).</w:t>
      </w:r>
      <w:r w:rsidR="00C026A6" w:rsidRPr="00EA59C0">
        <w:t xml:space="preserve">  </w:t>
      </w:r>
      <w:r w:rsidRPr="00EA59C0">
        <w:t>If</w:t>
      </w:r>
      <w:r w:rsidR="00C026A6" w:rsidRPr="00EA59C0">
        <w:t xml:space="preserve"> </w:t>
      </w:r>
      <w:r w:rsidRPr="00EA59C0">
        <w:t>discrepancies</w:t>
      </w:r>
      <w:r w:rsidR="00C026A6" w:rsidRPr="00EA59C0">
        <w:t xml:space="preserve"> </w:t>
      </w:r>
      <w:r w:rsidRPr="00EA59C0">
        <w:t>between</w:t>
      </w:r>
      <w:r w:rsidR="00C026A6" w:rsidRPr="00EA59C0">
        <w:t xml:space="preserve"> </w:t>
      </w:r>
      <w:r w:rsidRPr="00EA59C0">
        <w:t>the</w:t>
      </w:r>
      <w:r w:rsidR="00C026A6" w:rsidRPr="00EA59C0">
        <w:t xml:space="preserve"> </w:t>
      </w:r>
      <w:r w:rsidRPr="00EA59C0">
        <w:t>hard</w:t>
      </w:r>
      <w:r w:rsidR="00C026A6" w:rsidRPr="00EA59C0">
        <w:t xml:space="preserve"> </w:t>
      </w:r>
      <w:r w:rsidRPr="00EA59C0">
        <w:t>copy</w:t>
      </w:r>
      <w:r w:rsidR="00C026A6" w:rsidRPr="00EA59C0">
        <w:t xml:space="preserve"> </w:t>
      </w:r>
      <w:r w:rsidRPr="00EA59C0">
        <w:t>submission</w:t>
      </w:r>
      <w:r w:rsidR="00C026A6" w:rsidRPr="00EA59C0">
        <w:t xml:space="preserve"> </w:t>
      </w:r>
      <w:r w:rsidRPr="00EA59C0">
        <w:t>and</w:t>
      </w:r>
      <w:r w:rsidR="00C026A6" w:rsidRPr="00EA59C0">
        <w:t xml:space="preserve"> </w:t>
      </w:r>
      <w:r w:rsidRPr="00EA59C0">
        <w:t>CD</w:t>
      </w:r>
      <w:r w:rsidR="00C026A6" w:rsidRPr="00EA59C0">
        <w:t xml:space="preserve"> </w:t>
      </w:r>
      <w:r w:rsidRPr="00EA59C0">
        <w:t>copy</w:t>
      </w:r>
      <w:r w:rsidR="00C026A6" w:rsidRPr="00EA59C0">
        <w:t xml:space="preserve"> </w:t>
      </w:r>
      <w:r w:rsidRPr="00EA59C0">
        <w:t>are</w:t>
      </w:r>
      <w:r w:rsidR="00C026A6" w:rsidRPr="00EA59C0">
        <w:t xml:space="preserve"> </w:t>
      </w:r>
      <w:r w:rsidRPr="00EA59C0">
        <w:t>identified,</w:t>
      </w:r>
      <w:r w:rsidR="00C026A6" w:rsidRPr="00EA59C0">
        <w:t xml:space="preserve"> </w:t>
      </w:r>
      <w:r w:rsidRPr="00EA59C0">
        <w:t>the</w:t>
      </w:r>
      <w:r w:rsidR="00C026A6" w:rsidRPr="00EA59C0">
        <w:t xml:space="preserve"> </w:t>
      </w:r>
      <w:r w:rsidRPr="00EA59C0">
        <w:t>application</w:t>
      </w:r>
      <w:r w:rsidR="00C026A6" w:rsidRPr="00EA59C0">
        <w:t xml:space="preserve"> </w:t>
      </w:r>
      <w:r w:rsidRPr="00EA59C0">
        <w:t>on</w:t>
      </w:r>
      <w:r w:rsidR="00C026A6" w:rsidRPr="00EA59C0">
        <w:t xml:space="preserve"> </w:t>
      </w:r>
      <w:r w:rsidRPr="00EA59C0">
        <w:t>the</w:t>
      </w:r>
      <w:r w:rsidR="00C026A6" w:rsidRPr="00EA59C0">
        <w:t xml:space="preserve"> </w:t>
      </w:r>
      <w:r w:rsidRPr="00EA59C0">
        <w:t>CD</w:t>
      </w:r>
      <w:r w:rsidR="00C026A6" w:rsidRPr="00EA59C0">
        <w:t xml:space="preserve"> </w:t>
      </w:r>
      <w:r w:rsidRPr="00EA59C0">
        <w:t>will</w:t>
      </w:r>
      <w:r w:rsidR="00C026A6" w:rsidRPr="00EA59C0">
        <w:t xml:space="preserve"> </w:t>
      </w:r>
      <w:r w:rsidRPr="00EA59C0">
        <w:t>be</w:t>
      </w:r>
      <w:r w:rsidR="00C026A6" w:rsidRPr="00EA59C0">
        <w:t xml:space="preserve"> </w:t>
      </w:r>
      <w:r w:rsidRPr="00EA59C0">
        <w:t>considered</w:t>
      </w:r>
      <w:r w:rsidR="00C026A6" w:rsidRPr="00EA59C0">
        <w:t xml:space="preserve"> </w:t>
      </w:r>
      <w:r w:rsidRPr="00EA59C0">
        <w:t>the</w:t>
      </w:r>
      <w:r w:rsidR="00C026A6" w:rsidRPr="00EA59C0">
        <w:t xml:space="preserve"> </w:t>
      </w:r>
      <w:r w:rsidRPr="00EA59C0">
        <w:t>official</w:t>
      </w:r>
      <w:r w:rsidR="00C026A6" w:rsidRPr="00EA59C0">
        <w:t xml:space="preserve"> </w:t>
      </w:r>
      <w:r w:rsidRPr="00EA59C0">
        <w:t>applicant</w:t>
      </w:r>
      <w:r w:rsidR="00C026A6" w:rsidRPr="00EA59C0">
        <w:t xml:space="preserve"> </w:t>
      </w:r>
      <w:r w:rsidRPr="00EA59C0">
        <w:t>submission</w:t>
      </w:r>
      <w:r w:rsidR="00C026A6" w:rsidRPr="00EA59C0">
        <w:t xml:space="preserve"> </w:t>
      </w:r>
      <w:r w:rsidRPr="00EA59C0">
        <w:t>for</w:t>
      </w:r>
      <w:r w:rsidR="00C026A6" w:rsidRPr="00EA59C0">
        <w:t xml:space="preserve"> </w:t>
      </w:r>
      <w:r w:rsidRPr="00EA59C0">
        <w:t>evaluation</w:t>
      </w:r>
      <w:r w:rsidR="00C026A6" w:rsidRPr="00EA59C0">
        <w:t xml:space="preserve"> </w:t>
      </w:r>
      <w:r w:rsidRPr="00EA59C0">
        <w:t>purposes.</w:t>
      </w:r>
      <w:r w:rsidR="00C026A6" w:rsidRPr="00EA59C0">
        <w:t xml:space="preserve">  </w:t>
      </w:r>
      <w:r w:rsidRPr="00EA59C0">
        <w:t>Failure</w:t>
      </w:r>
      <w:r w:rsidR="00C026A6" w:rsidRPr="00EA59C0">
        <w:t xml:space="preserve"> </w:t>
      </w:r>
      <w:r w:rsidRPr="00EA59C0">
        <w:t>to</w:t>
      </w:r>
      <w:r w:rsidR="00C026A6" w:rsidRPr="00EA59C0">
        <w:t xml:space="preserve"> </w:t>
      </w:r>
      <w:r w:rsidRPr="00EA59C0">
        <w:t>provide</w:t>
      </w:r>
      <w:r w:rsidR="00C026A6" w:rsidRPr="00EA59C0">
        <w:t xml:space="preserve"> </w:t>
      </w:r>
      <w:r w:rsidRPr="00EA59C0">
        <w:t>identical</w:t>
      </w:r>
      <w:r w:rsidR="00C026A6" w:rsidRPr="00EA59C0">
        <w:t xml:space="preserve"> </w:t>
      </w:r>
      <w:r w:rsidRPr="00EA59C0">
        <w:t>applications</w:t>
      </w:r>
      <w:r w:rsidR="00C026A6" w:rsidRPr="00EA59C0">
        <w:t xml:space="preserve"> </w:t>
      </w:r>
      <w:r w:rsidRPr="00EA59C0">
        <w:t>in</w:t>
      </w:r>
      <w:r w:rsidR="00C026A6" w:rsidRPr="00EA59C0">
        <w:t xml:space="preserve"> </w:t>
      </w:r>
      <w:r w:rsidRPr="00EA59C0">
        <w:t>hardcopy</w:t>
      </w:r>
      <w:r w:rsidR="00C026A6" w:rsidRPr="00EA59C0">
        <w:t xml:space="preserve"> </w:t>
      </w:r>
      <w:r w:rsidRPr="00EA59C0">
        <w:t>and</w:t>
      </w:r>
      <w:r w:rsidR="00C026A6" w:rsidRPr="00EA59C0">
        <w:t xml:space="preserve"> </w:t>
      </w:r>
      <w:r w:rsidRPr="00EA59C0">
        <w:t>CD</w:t>
      </w:r>
      <w:r w:rsidR="00C026A6" w:rsidRPr="00EA59C0">
        <w:t xml:space="preserve"> </w:t>
      </w:r>
      <w:r w:rsidRPr="00EA59C0">
        <w:t>format</w:t>
      </w:r>
      <w:r w:rsidR="00C026A6" w:rsidRPr="00EA59C0">
        <w:t xml:space="preserve"> </w:t>
      </w:r>
      <w:r w:rsidRPr="00EA59C0">
        <w:t>may</w:t>
      </w:r>
      <w:r w:rsidR="00C026A6" w:rsidRPr="00EA59C0">
        <w:t xml:space="preserve"> </w:t>
      </w:r>
      <w:r w:rsidRPr="00EA59C0">
        <w:t>have</w:t>
      </w:r>
      <w:r w:rsidR="00C026A6" w:rsidRPr="00EA59C0">
        <w:t xml:space="preserve"> </w:t>
      </w:r>
      <w:r w:rsidRPr="00EA59C0">
        <w:t>an</w:t>
      </w:r>
      <w:r w:rsidR="00C026A6" w:rsidRPr="00EA59C0">
        <w:t xml:space="preserve"> </w:t>
      </w:r>
      <w:r w:rsidRPr="00EA59C0">
        <w:t>impact</w:t>
      </w:r>
      <w:r w:rsidR="00C026A6" w:rsidRPr="00EA59C0">
        <w:t xml:space="preserve"> </w:t>
      </w:r>
      <w:r w:rsidRPr="00EA59C0">
        <w:t>on</w:t>
      </w:r>
      <w:r w:rsidR="00C026A6" w:rsidRPr="00EA59C0">
        <w:t xml:space="preserve"> </w:t>
      </w:r>
      <w:r w:rsidRPr="00EA59C0">
        <w:t>the</w:t>
      </w:r>
      <w:r w:rsidR="00C026A6" w:rsidRPr="00EA59C0">
        <w:t xml:space="preserve"> </w:t>
      </w:r>
      <w:r w:rsidRPr="00EA59C0">
        <w:t>overall</w:t>
      </w:r>
      <w:r w:rsidR="00C026A6" w:rsidRPr="00EA59C0">
        <w:t xml:space="preserve"> </w:t>
      </w:r>
      <w:r w:rsidRPr="00EA59C0">
        <w:t>evaluation.</w:t>
      </w:r>
      <w:r w:rsidR="00C026A6" w:rsidRPr="00EA59C0">
        <w:t xml:space="preserve"> </w:t>
      </w:r>
    </w:p>
    <w:bookmarkEnd w:id="19"/>
    <w:bookmarkEnd w:id="20"/>
    <w:bookmarkEnd w:id="21"/>
    <w:bookmarkEnd w:id="22"/>
    <w:p w:rsidR="00144DF0" w:rsidRPr="00EA59C0" w:rsidRDefault="00144DF0" w:rsidP="00C072FA">
      <w:pPr>
        <w:widowControl w:val="0"/>
        <w:ind w:left="720"/>
      </w:pPr>
    </w:p>
    <w:p w:rsidR="00144DF0" w:rsidRPr="00EA59C0" w:rsidRDefault="007470AB" w:rsidP="00C072FA">
      <w:pPr>
        <w:widowControl w:val="0"/>
        <w:ind w:left="720"/>
      </w:pPr>
      <w:r w:rsidRPr="00EA59C0">
        <w:t>If</w:t>
      </w:r>
      <w:r w:rsidR="00C026A6" w:rsidRPr="00EA59C0">
        <w:t xml:space="preserve"> </w:t>
      </w:r>
      <w:r w:rsidRPr="00EA59C0">
        <w:t>an</w:t>
      </w:r>
      <w:r w:rsidR="00C026A6" w:rsidRPr="00EA59C0">
        <w:t xml:space="preserve"> </w:t>
      </w:r>
      <w:r w:rsidRPr="00EA59C0">
        <w:t>application</w:t>
      </w:r>
      <w:r w:rsidR="00C026A6" w:rsidRPr="00EA59C0">
        <w:t xml:space="preserve"> </w:t>
      </w:r>
      <w:r w:rsidRPr="00EA59C0">
        <w:t>is</w:t>
      </w:r>
      <w:r w:rsidR="00C026A6" w:rsidRPr="00EA59C0">
        <w:t xml:space="preserve"> </w:t>
      </w:r>
      <w:r w:rsidRPr="00EA59C0">
        <w:t>physically</w:t>
      </w:r>
      <w:r w:rsidR="00C026A6" w:rsidRPr="00EA59C0">
        <w:t xml:space="preserve"> </w:t>
      </w:r>
      <w:r w:rsidRPr="00EA59C0">
        <w:t>submitted</w:t>
      </w:r>
      <w:r w:rsidR="00C026A6" w:rsidRPr="00EA59C0">
        <w:t xml:space="preserve"> </w:t>
      </w:r>
      <w:r w:rsidRPr="00EA59C0">
        <w:t>by</w:t>
      </w:r>
      <w:r w:rsidR="00C026A6" w:rsidRPr="00EA59C0">
        <w:t xml:space="preserve"> </w:t>
      </w:r>
      <w:r w:rsidRPr="00EA59C0">
        <w:t>both</w:t>
      </w:r>
      <w:r w:rsidR="00C026A6" w:rsidRPr="00EA59C0">
        <w:t xml:space="preserve"> </w:t>
      </w:r>
      <w:r w:rsidRPr="00EA59C0">
        <w:t>hard</w:t>
      </w:r>
      <w:r w:rsidR="00C026A6" w:rsidRPr="00EA59C0">
        <w:t xml:space="preserve"> </w:t>
      </w:r>
      <w:r w:rsidRPr="00EA59C0">
        <w:t>copy</w:t>
      </w:r>
      <w:r w:rsidR="00C026A6" w:rsidRPr="00EA59C0">
        <w:t xml:space="preserve"> </w:t>
      </w:r>
      <w:r w:rsidRPr="00EA59C0">
        <w:t>and</w:t>
      </w:r>
      <w:r w:rsidR="00C026A6" w:rsidRPr="00EA59C0">
        <w:t xml:space="preserve"> </w:t>
      </w:r>
      <w:r w:rsidRPr="00EA59C0">
        <w:t>through</w:t>
      </w:r>
      <w:r w:rsidR="00C026A6" w:rsidRPr="00EA59C0">
        <w:t xml:space="preserve"> </w:t>
      </w:r>
      <w:hyperlink r:id="rId260" w:history="1">
        <w:r w:rsidRPr="00EA59C0">
          <w:rPr>
            <w:rStyle w:val="Hyperlink"/>
            <w:iCs/>
            <w:color w:val="auto"/>
          </w:rPr>
          <w:t>http://www.grants.gov</w:t>
        </w:r>
      </w:hyperlink>
      <w:r w:rsidRPr="00EA59C0">
        <w:rPr>
          <w:iCs/>
          <w:u w:val="single"/>
        </w:rPr>
        <w:t>,</w:t>
      </w:r>
      <w:r w:rsidR="00C026A6" w:rsidRPr="00EA59C0">
        <w:rPr>
          <w:iCs/>
        </w:rPr>
        <w:t xml:space="preserve"> </w:t>
      </w:r>
      <w:r w:rsidRPr="00EA59C0">
        <w:t>a</w:t>
      </w:r>
      <w:r w:rsidR="00C026A6" w:rsidRPr="00EA59C0">
        <w:t xml:space="preserve"> </w:t>
      </w:r>
      <w:r w:rsidRPr="00EA59C0">
        <w:t>letter</w:t>
      </w:r>
      <w:r w:rsidR="00C026A6" w:rsidRPr="00EA59C0">
        <w:t xml:space="preserve"> </w:t>
      </w:r>
      <w:r w:rsidRPr="00EA59C0">
        <w:t>must</w:t>
      </w:r>
      <w:r w:rsidR="00C026A6" w:rsidRPr="00EA59C0">
        <w:t xml:space="preserve"> </w:t>
      </w:r>
      <w:r w:rsidRPr="00EA59C0">
        <w:t>accompany</w:t>
      </w:r>
      <w:r w:rsidR="00C026A6" w:rsidRPr="00EA59C0">
        <w:t xml:space="preserve"> </w:t>
      </w:r>
      <w:r w:rsidRPr="00EA59C0">
        <w:t>the</w:t>
      </w:r>
      <w:r w:rsidR="00C026A6" w:rsidRPr="00EA59C0">
        <w:t xml:space="preserve"> </w:t>
      </w:r>
      <w:r w:rsidRPr="00EA59C0">
        <w:t>hard-copy</w:t>
      </w:r>
      <w:r w:rsidR="00C026A6" w:rsidRPr="00EA59C0">
        <w:t xml:space="preserve"> </w:t>
      </w:r>
      <w:r w:rsidRPr="00EA59C0">
        <w:t>application</w:t>
      </w:r>
      <w:r w:rsidR="00C026A6" w:rsidRPr="00EA59C0">
        <w:t xml:space="preserve"> </w:t>
      </w:r>
      <w:r w:rsidRPr="00EA59C0">
        <w:t>stating</w:t>
      </w:r>
      <w:r w:rsidR="00C026A6" w:rsidRPr="00EA59C0">
        <w:t xml:space="preserve"> </w:t>
      </w:r>
      <w:r w:rsidRPr="00EA59C0">
        <w:t>which</w:t>
      </w:r>
      <w:r w:rsidR="00C026A6" w:rsidRPr="00EA59C0">
        <w:t xml:space="preserve"> </w:t>
      </w:r>
      <w:r w:rsidRPr="00EA59C0">
        <w:t>application</w:t>
      </w:r>
      <w:r w:rsidR="00C026A6" w:rsidRPr="00EA59C0">
        <w:t xml:space="preserve"> </w:t>
      </w:r>
      <w:r w:rsidRPr="00EA59C0">
        <w:t>to</w:t>
      </w:r>
      <w:r w:rsidR="00C026A6" w:rsidRPr="00EA59C0">
        <w:t xml:space="preserve"> </w:t>
      </w:r>
      <w:r w:rsidRPr="00EA59C0">
        <w:t>review.</w:t>
      </w:r>
      <w:r w:rsidR="00C026A6" w:rsidRPr="00EA59C0">
        <w:t xml:space="preserve">  </w:t>
      </w:r>
      <w:r w:rsidRPr="00EA59C0">
        <w:t>If</w:t>
      </w:r>
      <w:r w:rsidR="00C026A6" w:rsidRPr="00EA59C0">
        <w:t xml:space="preserve"> </w:t>
      </w:r>
      <w:r w:rsidRPr="00EA59C0">
        <w:t>no</w:t>
      </w:r>
      <w:r w:rsidR="00C026A6" w:rsidRPr="00EA59C0">
        <w:t xml:space="preserve"> </w:t>
      </w:r>
      <w:r w:rsidRPr="00EA59C0">
        <w:t>letter</w:t>
      </w:r>
      <w:r w:rsidR="00C026A6" w:rsidRPr="00EA59C0">
        <w:t xml:space="preserve"> </w:t>
      </w:r>
      <w:r w:rsidRPr="00EA59C0">
        <w:t>accompanies</w:t>
      </w:r>
      <w:r w:rsidR="00C026A6" w:rsidRPr="00EA59C0">
        <w:t xml:space="preserve"> </w:t>
      </w:r>
      <w:r w:rsidRPr="00EA59C0">
        <w:t>the</w:t>
      </w:r>
      <w:r w:rsidR="00C026A6" w:rsidRPr="00EA59C0">
        <w:t xml:space="preserve"> </w:t>
      </w:r>
      <w:r w:rsidRPr="00EA59C0">
        <w:t>hard</w:t>
      </w:r>
      <w:r w:rsidR="00C026A6" w:rsidRPr="00EA59C0">
        <w:t xml:space="preserve"> </w:t>
      </w:r>
      <w:r w:rsidRPr="00EA59C0">
        <w:t>copy,</w:t>
      </w:r>
      <w:r w:rsidR="00C026A6" w:rsidRPr="00EA59C0">
        <w:t xml:space="preserve"> </w:t>
      </w:r>
      <w:r w:rsidRPr="00EA59C0">
        <w:t>we</w:t>
      </w:r>
      <w:r w:rsidR="00C026A6" w:rsidRPr="00EA59C0">
        <w:t xml:space="preserve"> </w:t>
      </w:r>
      <w:r w:rsidRPr="00EA59C0">
        <w:t>will</w:t>
      </w:r>
      <w:r w:rsidR="00C026A6" w:rsidRPr="00EA59C0">
        <w:t xml:space="preserve"> </w:t>
      </w:r>
      <w:r w:rsidRPr="00EA59C0">
        <w:t>review</w:t>
      </w:r>
      <w:r w:rsidR="00C026A6" w:rsidRPr="00EA59C0">
        <w:t xml:space="preserve"> </w:t>
      </w:r>
      <w:r w:rsidRPr="00EA59C0">
        <w:t>the</w:t>
      </w:r>
      <w:r w:rsidR="00C026A6" w:rsidRPr="00EA59C0">
        <w:t xml:space="preserve"> </w:t>
      </w:r>
      <w:r w:rsidRPr="00EA59C0">
        <w:t>copy</w:t>
      </w:r>
      <w:r w:rsidR="00C026A6" w:rsidRPr="00EA59C0">
        <w:t xml:space="preserve"> </w:t>
      </w:r>
      <w:r w:rsidRPr="00EA59C0">
        <w:t>submitted</w:t>
      </w:r>
      <w:r w:rsidR="00C026A6" w:rsidRPr="00EA59C0">
        <w:t xml:space="preserve"> </w:t>
      </w:r>
      <w:r w:rsidRPr="00EA59C0">
        <w:t>through</w:t>
      </w:r>
      <w:r w:rsidR="00C026A6" w:rsidRPr="00EA59C0">
        <w:t xml:space="preserve"> </w:t>
      </w:r>
      <w:hyperlink r:id="rId261" w:history="1">
        <w:r w:rsidRPr="00EA59C0">
          <w:rPr>
            <w:rStyle w:val="Hyperlink"/>
            <w:iCs/>
            <w:color w:val="auto"/>
          </w:rPr>
          <w:t>http://www.grants.gov</w:t>
        </w:r>
      </w:hyperlink>
      <w:r w:rsidRPr="00EA59C0">
        <w:t>.</w:t>
      </w:r>
      <w:r w:rsidR="00C026A6" w:rsidRPr="00EA59C0">
        <w:t xml:space="preserve">  </w:t>
      </w:r>
    </w:p>
    <w:p w:rsidR="00144DF0" w:rsidRPr="00EA59C0" w:rsidRDefault="00144DF0" w:rsidP="00C072FA">
      <w:pPr>
        <w:widowControl w:val="0"/>
        <w:ind w:left="360"/>
      </w:pPr>
    </w:p>
    <w:p w:rsidR="00144DF0" w:rsidRPr="00EA59C0" w:rsidRDefault="007470AB" w:rsidP="00C072FA">
      <w:pPr>
        <w:widowControl w:val="0"/>
        <w:ind w:left="720"/>
      </w:pPr>
      <w:r w:rsidRPr="00EA59C0">
        <w:t>No</w:t>
      </w:r>
      <w:r w:rsidR="00C026A6" w:rsidRPr="00EA59C0">
        <w:t xml:space="preserve"> </w:t>
      </w:r>
      <w:r w:rsidRPr="00EA59C0">
        <w:t>exceptions</w:t>
      </w:r>
      <w:r w:rsidR="00C026A6" w:rsidRPr="00EA59C0">
        <w:t xml:space="preserve"> </w:t>
      </w:r>
      <w:r w:rsidRPr="00EA59C0">
        <w:t>to</w:t>
      </w:r>
      <w:r w:rsidR="00C026A6" w:rsidRPr="00EA59C0">
        <w:t xml:space="preserve"> </w:t>
      </w:r>
      <w:r w:rsidRPr="00EA59C0">
        <w:t>the</w:t>
      </w:r>
      <w:r w:rsidR="00C026A6" w:rsidRPr="00EA59C0">
        <w:t xml:space="preserve"> </w:t>
      </w:r>
      <w:r w:rsidRPr="00EA59C0">
        <w:t>mailing</w:t>
      </w:r>
      <w:r w:rsidR="00C026A6" w:rsidRPr="00EA59C0">
        <w:t xml:space="preserve"> </w:t>
      </w:r>
      <w:r w:rsidRPr="00EA59C0">
        <w:t>and</w:t>
      </w:r>
      <w:r w:rsidR="00C026A6" w:rsidRPr="00EA59C0">
        <w:t xml:space="preserve"> </w:t>
      </w:r>
      <w:r w:rsidRPr="00EA59C0">
        <w:t>delivery</w:t>
      </w:r>
      <w:r w:rsidR="00C026A6" w:rsidRPr="00EA59C0">
        <w:t xml:space="preserve"> </w:t>
      </w:r>
      <w:r w:rsidRPr="00EA59C0">
        <w:t>requirements</w:t>
      </w:r>
      <w:r w:rsidR="00C026A6" w:rsidRPr="00EA59C0">
        <w:t xml:space="preserve"> </w:t>
      </w:r>
      <w:bookmarkStart w:id="23" w:name="Document0zzSDUNumber3"/>
      <w:bookmarkEnd w:id="23"/>
      <w:r w:rsidRPr="00EA59C0">
        <w:t>set</w:t>
      </w:r>
      <w:r w:rsidR="00C026A6" w:rsidRPr="00EA59C0">
        <w:t xml:space="preserve"> </w:t>
      </w:r>
      <w:r w:rsidRPr="00EA59C0">
        <w:t>forth</w:t>
      </w:r>
      <w:r w:rsidR="00C026A6" w:rsidRPr="00EA59C0">
        <w:t xml:space="preserve"> </w:t>
      </w:r>
      <w:r w:rsidRPr="00EA59C0">
        <w:t>in</w:t>
      </w:r>
      <w:r w:rsidR="00C026A6" w:rsidRPr="00EA59C0">
        <w:t xml:space="preserve"> </w:t>
      </w:r>
      <w:r w:rsidRPr="00EA59C0">
        <w:t>this</w:t>
      </w:r>
      <w:r w:rsidR="00C026A6" w:rsidRPr="00EA59C0">
        <w:t xml:space="preserve"> </w:t>
      </w:r>
      <w:r w:rsidRPr="00EA59C0">
        <w:t>notice</w:t>
      </w:r>
      <w:r w:rsidR="00C026A6" w:rsidRPr="00EA59C0">
        <w:t xml:space="preserve"> </w:t>
      </w:r>
      <w:r w:rsidRPr="00EA59C0">
        <w:t>will</w:t>
      </w:r>
      <w:r w:rsidR="00C026A6" w:rsidRPr="00EA59C0">
        <w:t xml:space="preserve"> </w:t>
      </w:r>
      <w:r w:rsidRPr="00EA59C0">
        <w:t>be</w:t>
      </w:r>
      <w:r w:rsidR="00C026A6" w:rsidRPr="00EA59C0">
        <w:t xml:space="preserve"> </w:t>
      </w:r>
      <w:r w:rsidRPr="00EA59C0">
        <w:t>granted.</w:t>
      </w:r>
      <w:r w:rsidR="00C026A6" w:rsidRPr="00EA59C0">
        <w:t xml:space="preserve">  </w:t>
      </w:r>
      <w:r w:rsidRPr="00EA59C0">
        <w:t>Further,</w:t>
      </w:r>
      <w:r w:rsidR="00C026A6" w:rsidRPr="00EA59C0">
        <w:t xml:space="preserve"> </w:t>
      </w:r>
      <w:r w:rsidRPr="00EA59C0">
        <w:t>documents</w:t>
      </w:r>
      <w:r w:rsidR="00C026A6" w:rsidRPr="00EA59C0">
        <w:t xml:space="preserve"> </w:t>
      </w:r>
      <w:r w:rsidRPr="00EA59C0">
        <w:t>submitted</w:t>
      </w:r>
      <w:r w:rsidR="00C026A6" w:rsidRPr="00EA59C0">
        <w:t xml:space="preserve"> </w:t>
      </w:r>
      <w:r w:rsidRPr="00EA59C0">
        <w:t>separately</w:t>
      </w:r>
      <w:r w:rsidR="00C026A6" w:rsidRPr="00EA59C0">
        <w:t xml:space="preserve"> </w:t>
      </w:r>
      <w:r w:rsidRPr="00EA59C0">
        <w:t>from</w:t>
      </w:r>
      <w:r w:rsidR="00C026A6" w:rsidRPr="00EA59C0">
        <w:t xml:space="preserve"> </w:t>
      </w:r>
      <w:r w:rsidRPr="00EA59C0">
        <w:t>the</w:t>
      </w:r>
      <w:r w:rsidR="00C026A6" w:rsidRPr="00EA59C0">
        <w:t xml:space="preserve"> </w:t>
      </w:r>
      <w:r w:rsidRPr="00EA59C0">
        <w:t>application,</w:t>
      </w:r>
      <w:r w:rsidR="00C026A6" w:rsidRPr="00EA59C0">
        <w:t xml:space="preserve"> </w:t>
      </w:r>
      <w:r w:rsidRPr="00EA59C0">
        <w:t>before</w:t>
      </w:r>
      <w:r w:rsidR="00C026A6" w:rsidRPr="00EA59C0">
        <w:t xml:space="preserve"> </w:t>
      </w:r>
      <w:r w:rsidRPr="00EA59C0">
        <w:t>or</w:t>
      </w:r>
      <w:r w:rsidR="00C026A6" w:rsidRPr="00EA59C0">
        <w:t xml:space="preserve"> </w:t>
      </w:r>
      <w:r w:rsidRPr="00EA59C0">
        <w:t>after</w:t>
      </w:r>
      <w:r w:rsidR="00C026A6" w:rsidRPr="00EA59C0">
        <w:t xml:space="preserve"> </w:t>
      </w:r>
      <w:r w:rsidRPr="00EA59C0">
        <w:t>the</w:t>
      </w:r>
      <w:r w:rsidR="00C026A6" w:rsidRPr="00EA59C0">
        <w:t xml:space="preserve"> </w:t>
      </w:r>
      <w:r w:rsidRPr="00EA59C0">
        <w:t>deadline,</w:t>
      </w:r>
      <w:r w:rsidR="00C026A6" w:rsidRPr="00EA59C0">
        <w:t xml:space="preserve"> </w:t>
      </w:r>
      <w:r w:rsidRPr="00EA59C0">
        <w:t>will</w:t>
      </w:r>
      <w:r w:rsidR="00C026A6" w:rsidRPr="00EA59C0">
        <w:t xml:space="preserve"> </w:t>
      </w:r>
      <w:r w:rsidRPr="00EA59C0">
        <w:t>not</w:t>
      </w:r>
      <w:r w:rsidR="00C026A6" w:rsidRPr="00EA59C0">
        <w:t xml:space="preserve"> </w:t>
      </w:r>
      <w:r w:rsidRPr="00EA59C0">
        <w:t>be</w:t>
      </w:r>
      <w:r w:rsidR="00C026A6" w:rsidRPr="00EA59C0">
        <w:t xml:space="preserve"> </w:t>
      </w:r>
      <w:r w:rsidRPr="00EA59C0">
        <w:t>accepted</w:t>
      </w:r>
      <w:r w:rsidR="00C026A6" w:rsidRPr="00EA59C0">
        <w:t xml:space="preserve"> </w:t>
      </w:r>
      <w:r w:rsidRPr="00EA59C0">
        <w:t>as</w:t>
      </w:r>
      <w:r w:rsidR="00C026A6" w:rsidRPr="00EA59C0">
        <w:t xml:space="preserve"> </w:t>
      </w:r>
      <w:r w:rsidRPr="00EA59C0">
        <w:t>part</w:t>
      </w:r>
      <w:r w:rsidR="00C026A6" w:rsidRPr="00EA59C0">
        <w:t xml:space="preserve"> </w:t>
      </w:r>
      <w:r w:rsidRPr="00EA59C0">
        <w:t>of</w:t>
      </w:r>
      <w:r w:rsidR="00C026A6" w:rsidRPr="00EA59C0">
        <w:t xml:space="preserve"> </w:t>
      </w:r>
      <w:r w:rsidRPr="00EA59C0">
        <w:t>the</w:t>
      </w:r>
      <w:r w:rsidR="00C026A6" w:rsidRPr="00EA59C0">
        <w:t xml:space="preserve"> </w:t>
      </w:r>
      <w:r w:rsidRPr="00EA59C0">
        <w:t>application.</w:t>
      </w:r>
      <w:r w:rsidR="00C026A6" w:rsidRPr="00EA59C0">
        <w:t xml:space="preserve"> </w:t>
      </w:r>
    </w:p>
    <w:p w:rsidR="00144DF0" w:rsidRPr="00EA59C0" w:rsidRDefault="00144DF0" w:rsidP="00C072FA">
      <w:pPr>
        <w:widowControl w:val="0"/>
        <w:autoSpaceDE w:val="0"/>
        <w:autoSpaceDN w:val="0"/>
        <w:adjustRightInd w:val="0"/>
        <w:ind w:left="720"/>
      </w:pPr>
    </w:p>
    <w:p w:rsidR="00144DF0" w:rsidRPr="00EA59C0" w:rsidRDefault="007470AB" w:rsidP="00C072FA">
      <w:pPr>
        <w:widowControl w:val="0"/>
        <w:autoSpaceDE w:val="0"/>
        <w:autoSpaceDN w:val="0"/>
        <w:adjustRightInd w:val="0"/>
        <w:ind w:left="720"/>
      </w:pPr>
      <w:r w:rsidRPr="00EA59C0">
        <w:t>Mailed</w:t>
      </w:r>
      <w:r w:rsidR="00C026A6" w:rsidRPr="00EA59C0">
        <w:t xml:space="preserve"> </w:t>
      </w:r>
      <w:r w:rsidRPr="00EA59C0">
        <w:t>applications</w:t>
      </w:r>
      <w:r w:rsidR="00C026A6" w:rsidRPr="00EA59C0">
        <w:t xml:space="preserve"> </w:t>
      </w:r>
      <w:r w:rsidRPr="00EA59C0">
        <w:t>must</w:t>
      </w:r>
      <w:r w:rsidR="00C026A6" w:rsidRPr="00EA59C0">
        <w:t xml:space="preserve"> </w:t>
      </w:r>
      <w:r w:rsidRPr="00EA59C0">
        <w:t>be</w:t>
      </w:r>
      <w:r w:rsidR="00C026A6" w:rsidRPr="00EA59C0">
        <w:t xml:space="preserve"> </w:t>
      </w:r>
      <w:r w:rsidRPr="00EA59C0">
        <w:t>addressed</w:t>
      </w:r>
      <w:r w:rsidR="00C026A6" w:rsidRPr="00EA59C0">
        <w:t xml:space="preserve"> </w:t>
      </w:r>
      <w:r w:rsidRPr="00EA59C0">
        <w:t>to</w:t>
      </w:r>
      <w:r w:rsidR="00C026A6" w:rsidRPr="00EA59C0">
        <w:t xml:space="preserve"> </w:t>
      </w:r>
      <w:r w:rsidRPr="00EA59C0">
        <w:t>the</w:t>
      </w:r>
      <w:r w:rsidR="00C026A6" w:rsidRPr="00EA59C0">
        <w:t xml:space="preserve"> </w:t>
      </w:r>
      <w:r w:rsidRPr="00EA59C0">
        <w:t>U.S.</w:t>
      </w:r>
      <w:r w:rsidR="00C026A6" w:rsidRPr="00EA59C0">
        <w:t xml:space="preserve"> </w:t>
      </w:r>
      <w:r w:rsidRPr="00EA59C0">
        <w:t>Department</w:t>
      </w:r>
      <w:r w:rsidR="00C026A6" w:rsidRPr="00EA59C0">
        <w:t xml:space="preserve"> </w:t>
      </w:r>
      <w:r w:rsidRPr="00EA59C0">
        <w:t>of</w:t>
      </w:r>
      <w:r w:rsidR="00C026A6" w:rsidRPr="00EA59C0">
        <w:t xml:space="preserve"> </w:t>
      </w:r>
      <w:r w:rsidRPr="00EA59C0">
        <w:t>Labor,</w:t>
      </w:r>
      <w:r w:rsidR="00C026A6" w:rsidRPr="00EA59C0">
        <w:t xml:space="preserve"> </w:t>
      </w:r>
      <w:r w:rsidRPr="00EA59C0">
        <w:t>Employment</w:t>
      </w:r>
      <w:r w:rsidR="00C026A6" w:rsidRPr="00EA59C0">
        <w:t xml:space="preserve"> </w:t>
      </w:r>
      <w:r w:rsidRPr="00EA59C0">
        <w:t>and</w:t>
      </w:r>
      <w:r w:rsidR="00C026A6" w:rsidRPr="00EA59C0">
        <w:t xml:space="preserve"> </w:t>
      </w:r>
      <w:r w:rsidRPr="00EA59C0">
        <w:t>Training</w:t>
      </w:r>
      <w:r w:rsidR="00C026A6" w:rsidRPr="00EA59C0">
        <w:t xml:space="preserve"> </w:t>
      </w:r>
      <w:r w:rsidRPr="00EA59C0">
        <w:t>Administration,</w:t>
      </w:r>
      <w:r w:rsidR="00C026A6" w:rsidRPr="00EA59C0">
        <w:t xml:space="preserve"> </w:t>
      </w:r>
      <w:r w:rsidR="00544350" w:rsidRPr="00EA59C0">
        <w:t>Office</w:t>
      </w:r>
      <w:r w:rsidR="00C026A6" w:rsidRPr="00EA59C0">
        <w:t xml:space="preserve"> </w:t>
      </w:r>
      <w:r w:rsidR="00544350" w:rsidRPr="00EA59C0">
        <w:t>of</w:t>
      </w:r>
      <w:r w:rsidR="00C026A6" w:rsidRPr="00EA59C0">
        <w:t xml:space="preserve"> </w:t>
      </w:r>
      <w:r w:rsidR="00544350" w:rsidRPr="00EA59C0">
        <w:t>Grants</w:t>
      </w:r>
      <w:r w:rsidR="00C026A6" w:rsidRPr="00EA59C0">
        <w:t xml:space="preserve"> </w:t>
      </w:r>
      <w:r w:rsidR="00544350" w:rsidRPr="00EA59C0">
        <w:t>Management</w:t>
      </w:r>
      <w:r w:rsidRPr="00EA59C0">
        <w:t>,</w:t>
      </w:r>
      <w:r w:rsidR="00C026A6" w:rsidRPr="00EA59C0">
        <w:t xml:space="preserve"> </w:t>
      </w:r>
      <w:r w:rsidRPr="00EA59C0">
        <w:t>Attention:</w:t>
      </w:r>
      <w:r w:rsidR="00C026A6" w:rsidRPr="00EA59C0">
        <w:t xml:space="preserve">  </w:t>
      </w:r>
      <w:r w:rsidR="004F5405" w:rsidRPr="00EA59C0">
        <w:t>Steve</w:t>
      </w:r>
      <w:r w:rsidR="00C026A6" w:rsidRPr="00EA59C0">
        <w:t xml:space="preserve"> </w:t>
      </w:r>
      <w:r w:rsidR="004F5405" w:rsidRPr="00EA59C0">
        <w:t>Rietzke</w:t>
      </w:r>
      <w:r w:rsidRPr="00EA59C0">
        <w:t>,</w:t>
      </w:r>
      <w:r w:rsidR="00C026A6" w:rsidRPr="00EA59C0">
        <w:t xml:space="preserve"> </w:t>
      </w:r>
      <w:r w:rsidRPr="00EA59C0">
        <w:t>Grant</w:t>
      </w:r>
      <w:r w:rsidR="00C026A6" w:rsidRPr="00EA59C0">
        <w:t xml:space="preserve"> </w:t>
      </w:r>
      <w:r w:rsidRPr="00EA59C0">
        <w:t>Officer,</w:t>
      </w:r>
      <w:r w:rsidR="00C026A6" w:rsidRPr="00EA59C0">
        <w:t xml:space="preserve"> </w:t>
      </w:r>
      <w:r w:rsidRPr="00EA59C0">
        <w:t>Reference</w:t>
      </w:r>
      <w:r w:rsidR="00C026A6" w:rsidRPr="00EA59C0">
        <w:t xml:space="preserve"> </w:t>
      </w:r>
      <w:r w:rsidRPr="00EA59C0">
        <w:t>SGA/DFA</w:t>
      </w:r>
      <w:r w:rsidR="00C026A6" w:rsidRPr="00EA59C0">
        <w:t xml:space="preserve"> </w:t>
      </w:r>
      <w:r w:rsidRPr="00EA59C0">
        <w:t>PY</w:t>
      </w:r>
      <w:r w:rsidR="00C026A6" w:rsidRPr="00EA59C0">
        <w:t xml:space="preserve"> </w:t>
      </w:r>
      <w:r w:rsidR="004F5405" w:rsidRPr="00EA59C0">
        <w:t>13-10</w:t>
      </w:r>
      <w:r w:rsidRPr="00EA59C0">
        <w:t>,</w:t>
      </w:r>
      <w:r w:rsidR="00C026A6" w:rsidRPr="00EA59C0">
        <w:t xml:space="preserve"> </w:t>
      </w:r>
      <w:r w:rsidRPr="00EA59C0">
        <w:t>200</w:t>
      </w:r>
      <w:r w:rsidR="00C026A6" w:rsidRPr="00EA59C0">
        <w:t xml:space="preserve"> </w:t>
      </w:r>
      <w:r w:rsidRPr="00EA59C0">
        <w:t>Constitution</w:t>
      </w:r>
      <w:r w:rsidR="00C026A6" w:rsidRPr="00EA59C0">
        <w:t xml:space="preserve"> </w:t>
      </w:r>
      <w:r w:rsidRPr="00EA59C0">
        <w:t>Avenue,</w:t>
      </w:r>
      <w:r w:rsidR="00C026A6" w:rsidRPr="00EA59C0">
        <w:t xml:space="preserve"> </w:t>
      </w:r>
      <w:r w:rsidRPr="00EA59C0">
        <w:t>NW,</w:t>
      </w:r>
      <w:r w:rsidR="00C026A6" w:rsidRPr="00EA59C0">
        <w:t xml:space="preserve"> </w:t>
      </w:r>
      <w:r w:rsidRPr="00EA59C0">
        <w:t>Room</w:t>
      </w:r>
      <w:r w:rsidR="00C026A6" w:rsidRPr="00EA59C0">
        <w:t xml:space="preserve"> </w:t>
      </w:r>
      <w:r w:rsidRPr="00EA59C0">
        <w:t>N4716,</w:t>
      </w:r>
      <w:r w:rsidR="00C026A6" w:rsidRPr="00EA59C0">
        <w:t xml:space="preserve"> </w:t>
      </w:r>
      <w:r w:rsidRPr="00EA59C0">
        <w:t>Washington,</w:t>
      </w:r>
      <w:r w:rsidR="00C026A6" w:rsidRPr="00EA59C0">
        <w:t xml:space="preserve"> </w:t>
      </w:r>
      <w:r w:rsidRPr="00EA59C0">
        <w:t>DC</w:t>
      </w:r>
      <w:r w:rsidR="00C026A6" w:rsidRPr="00EA59C0">
        <w:t xml:space="preserve">  </w:t>
      </w:r>
      <w:r w:rsidRPr="00EA59C0">
        <w:t>20210.</w:t>
      </w:r>
      <w:r w:rsidR="00C026A6" w:rsidRPr="00EA59C0">
        <w:t xml:space="preserve">  </w:t>
      </w:r>
      <w:r w:rsidRPr="00EA59C0">
        <w:t>Applicants</w:t>
      </w:r>
      <w:r w:rsidR="00C026A6" w:rsidRPr="00EA59C0">
        <w:t xml:space="preserve"> </w:t>
      </w:r>
      <w:r w:rsidRPr="00EA59C0">
        <w:t>are</w:t>
      </w:r>
      <w:r w:rsidR="00C026A6" w:rsidRPr="00EA59C0">
        <w:t xml:space="preserve"> </w:t>
      </w:r>
      <w:r w:rsidRPr="00EA59C0">
        <w:t>advised</w:t>
      </w:r>
      <w:r w:rsidR="00C026A6" w:rsidRPr="00EA59C0">
        <w:t xml:space="preserve"> </w:t>
      </w:r>
      <w:r w:rsidRPr="00EA59C0">
        <w:t>that</w:t>
      </w:r>
      <w:r w:rsidR="00C026A6" w:rsidRPr="00EA59C0">
        <w:t xml:space="preserve"> </w:t>
      </w:r>
      <w:r w:rsidRPr="00EA59C0">
        <w:t>mail</w:t>
      </w:r>
      <w:r w:rsidR="00C026A6" w:rsidRPr="00EA59C0">
        <w:t xml:space="preserve"> </w:t>
      </w:r>
      <w:r w:rsidRPr="00EA59C0">
        <w:t>delivery</w:t>
      </w:r>
      <w:r w:rsidR="00C026A6" w:rsidRPr="00EA59C0">
        <w:t xml:space="preserve"> </w:t>
      </w:r>
      <w:r w:rsidRPr="00EA59C0">
        <w:t>in</w:t>
      </w:r>
      <w:r w:rsidR="00C026A6" w:rsidRPr="00EA59C0">
        <w:t xml:space="preserve"> </w:t>
      </w:r>
      <w:r w:rsidRPr="00EA59C0">
        <w:t>the</w:t>
      </w:r>
      <w:r w:rsidR="00C026A6" w:rsidRPr="00EA59C0">
        <w:t xml:space="preserve"> </w:t>
      </w:r>
      <w:r w:rsidRPr="00EA59C0">
        <w:t>Washington</w:t>
      </w:r>
      <w:r w:rsidR="00C026A6" w:rsidRPr="00EA59C0">
        <w:t xml:space="preserve"> </w:t>
      </w:r>
      <w:r w:rsidRPr="00EA59C0">
        <w:t>DC</w:t>
      </w:r>
      <w:r w:rsidR="00C026A6" w:rsidRPr="00EA59C0">
        <w:t xml:space="preserve"> </w:t>
      </w:r>
      <w:r w:rsidRPr="00EA59C0">
        <w:t>area</w:t>
      </w:r>
      <w:r w:rsidR="00C026A6" w:rsidRPr="00EA59C0">
        <w:t xml:space="preserve"> </w:t>
      </w:r>
      <w:r w:rsidRPr="00EA59C0">
        <w:t>may</w:t>
      </w:r>
      <w:r w:rsidR="00C026A6" w:rsidRPr="00EA59C0">
        <w:t xml:space="preserve"> </w:t>
      </w:r>
      <w:r w:rsidRPr="00EA59C0">
        <w:t>be</w:t>
      </w:r>
      <w:r w:rsidR="00C026A6" w:rsidRPr="00EA59C0">
        <w:t xml:space="preserve"> </w:t>
      </w:r>
      <w:r w:rsidRPr="00EA59C0">
        <w:t>delayed</w:t>
      </w:r>
      <w:r w:rsidR="00C026A6" w:rsidRPr="00EA59C0">
        <w:t xml:space="preserve"> </w:t>
      </w:r>
      <w:r w:rsidRPr="00EA59C0">
        <w:t>due</w:t>
      </w:r>
      <w:r w:rsidR="00C026A6" w:rsidRPr="00EA59C0">
        <w:t xml:space="preserve"> </w:t>
      </w:r>
      <w:r w:rsidRPr="00EA59C0">
        <w:t>to</w:t>
      </w:r>
      <w:r w:rsidR="00C026A6" w:rsidRPr="00EA59C0">
        <w:t xml:space="preserve"> </w:t>
      </w:r>
      <w:r w:rsidRPr="00EA59C0">
        <w:t>mail</w:t>
      </w:r>
      <w:r w:rsidR="00C026A6" w:rsidRPr="00EA59C0">
        <w:t xml:space="preserve"> </w:t>
      </w:r>
      <w:r w:rsidRPr="00EA59C0">
        <w:t>decontamination</w:t>
      </w:r>
      <w:r w:rsidR="00C026A6" w:rsidRPr="00EA59C0">
        <w:t xml:space="preserve"> </w:t>
      </w:r>
      <w:r w:rsidRPr="00EA59C0">
        <w:t>procedures.</w:t>
      </w:r>
      <w:r w:rsidR="00C026A6" w:rsidRPr="00EA59C0">
        <w:t xml:space="preserve">  </w:t>
      </w:r>
      <w:r w:rsidRPr="00EA59C0">
        <w:t>Hand-delivered</w:t>
      </w:r>
      <w:r w:rsidR="00C026A6" w:rsidRPr="00EA59C0">
        <w:t xml:space="preserve"> </w:t>
      </w:r>
      <w:r w:rsidRPr="00EA59C0">
        <w:t>proposals</w:t>
      </w:r>
      <w:r w:rsidR="00C026A6" w:rsidRPr="00EA59C0">
        <w:t xml:space="preserve"> </w:t>
      </w:r>
      <w:r w:rsidRPr="00EA59C0">
        <w:t>will</w:t>
      </w:r>
      <w:r w:rsidR="00C026A6" w:rsidRPr="00EA59C0">
        <w:t xml:space="preserve"> </w:t>
      </w:r>
      <w:r w:rsidRPr="00EA59C0">
        <w:t>be</w:t>
      </w:r>
      <w:r w:rsidR="00C026A6" w:rsidRPr="00EA59C0">
        <w:t xml:space="preserve"> </w:t>
      </w:r>
      <w:r w:rsidRPr="00EA59C0">
        <w:t>received</w:t>
      </w:r>
      <w:r w:rsidR="00C026A6" w:rsidRPr="00EA59C0">
        <w:t xml:space="preserve"> </w:t>
      </w:r>
      <w:r w:rsidRPr="00EA59C0">
        <w:t>at</w:t>
      </w:r>
      <w:r w:rsidR="00C026A6" w:rsidRPr="00EA59C0">
        <w:t xml:space="preserve"> </w:t>
      </w:r>
      <w:r w:rsidRPr="00EA59C0">
        <w:t>the</w:t>
      </w:r>
      <w:r w:rsidR="00C026A6" w:rsidRPr="00EA59C0">
        <w:t xml:space="preserve"> </w:t>
      </w:r>
      <w:r w:rsidRPr="00EA59C0">
        <w:t>above</w:t>
      </w:r>
      <w:r w:rsidR="00C026A6" w:rsidRPr="00EA59C0">
        <w:t xml:space="preserve"> </w:t>
      </w:r>
      <w:r w:rsidRPr="00EA59C0">
        <w:t>address.</w:t>
      </w:r>
      <w:r w:rsidR="00C026A6" w:rsidRPr="00EA59C0">
        <w:t xml:space="preserve">  </w:t>
      </w:r>
      <w:r w:rsidRPr="00EA59C0">
        <w:t>All</w:t>
      </w:r>
      <w:r w:rsidR="00C026A6" w:rsidRPr="00EA59C0">
        <w:t xml:space="preserve"> </w:t>
      </w:r>
      <w:r w:rsidRPr="00EA59C0">
        <w:t>overnight</w:t>
      </w:r>
      <w:r w:rsidR="00C026A6" w:rsidRPr="00EA59C0">
        <w:t xml:space="preserve"> </w:t>
      </w:r>
      <w:r w:rsidR="004F0D97" w:rsidRPr="00EA59C0">
        <w:t>delivery</w:t>
      </w:r>
      <w:r w:rsidR="00C026A6" w:rsidRPr="00EA59C0">
        <w:t xml:space="preserve"> </w:t>
      </w:r>
      <w:r w:rsidR="004F0D97" w:rsidRPr="00EA59C0">
        <w:t>submissions</w:t>
      </w:r>
      <w:r w:rsidR="00C026A6" w:rsidRPr="00EA59C0">
        <w:t xml:space="preserve"> </w:t>
      </w:r>
      <w:r w:rsidRPr="00EA59C0">
        <w:t>will</w:t>
      </w:r>
      <w:r w:rsidR="00C026A6" w:rsidRPr="00EA59C0">
        <w:t xml:space="preserve"> </w:t>
      </w:r>
      <w:r w:rsidRPr="00EA59C0">
        <w:t>be</w:t>
      </w:r>
      <w:r w:rsidR="00C026A6" w:rsidRPr="00EA59C0">
        <w:t xml:space="preserve"> </w:t>
      </w:r>
      <w:r w:rsidRPr="00EA59C0">
        <w:t>considered</w:t>
      </w:r>
      <w:r w:rsidR="00C026A6" w:rsidRPr="00EA59C0">
        <w:t xml:space="preserve"> </w:t>
      </w:r>
      <w:r w:rsidRPr="00EA59C0">
        <w:t>to</w:t>
      </w:r>
      <w:r w:rsidR="00C026A6" w:rsidRPr="00EA59C0">
        <w:t xml:space="preserve"> </w:t>
      </w:r>
      <w:r w:rsidRPr="00EA59C0">
        <w:t>be</w:t>
      </w:r>
      <w:r w:rsidR="00C026A6" w:rsidRPr="00EA59C0">
        <w:t xml:space="preserve"> </w:t>
      </w:r>
      <w:r w:rsidRPr="00EA59C0">
        <w:t>hand-delivered</w:t>
      </w:r>
      <w:r w:rsidR="00C026A6" w:rsidRPr="00EA59C0">
        <w:t xml:space="preserve"> </w:t>
      </w:r>
      <w:r w:rsidRPr="00EA59C0">
        <w:t>and</w:t>
      </w:r>
      <w:r w:rsidR="00C026A6" w:rsidRPr="00EA59C0">
        <w:t xml:space="preserve"> </w:t>
      </w:r>
      <w:r w:rsidRPr="00EA59C0">
        <w:t>must</w:t>
      </w:r>
      <w:r w:rsidR="00C026A6" w:rsidRPr="00EA59C0">
        <w:t xml:space="preserve"> </w:t>
      </w:r>
      <w:r w:rsidRPr="00EA59C0">
        <w:t>be</w:t>
      </w:r>
      <w:r w:rsidR="00C026A6" w:rsidRPr="00EA59C0">
        <w:t xml:space="preserve"> </w:t>
      </w:r>
      <w:r w:rsidRPr="00EA59C0">
        <w:t>received</w:t>
      </w:r>
      <w:r w:rsidR="00C026A6" w:rsidRPr="00EA59C0">
        <w:t xml:space="preserve"> </w:t>
      </w:r>
      <w:r w:rsidRPr="00EA59C0">
        <w:t>at</w:t>
      </w:r>
      <w:r w:rsidR="00C026A6" w:rsidRPr="00EA59C0">
        <w:t xml:space="preserve"> </w:t>
      </w:r>
      <w:r w:rsidRPr="00EA59C0">
        <w:t>the</w:t>
      </w:r>
      <w:r w:rsidR="00C026A6" w:rsidRPr="00EA59C0">
        <w:t xml:space="preserve"> </w:t>
      </w:r>
      <w:r w:rsidRPr="00EA59C0">
        <w:t>designated</w:t>
      </w:r>
      <w:r w:rsidR="00C026A6" w:rsidRPr="00EA59C0">
        <w:t xml:space="preserve"> </w:t>
      </w:r>
      <w:r w:rsidRPr="00EA59C0">
        <w:t>place</w:t>
      </w:r>
      <w:r w:rsidR="00C026A6" w:rsidRPr="00EA59C0">
        <w:t xml:space="preserve"> </w:t>
      </w:r>
      <w:r w:rsidRPr="00EA59C0">
        <w:t>by</w:t>
      </w:r>
      <w:r w:rsidR="00C026A6" w:rsidRPr="00EA59C0">
        <w:t xml:space="preserve"> </w:t>
      </w:r>
      <w:r w:rsidRPr="00EA59C0">
        <w:t>the</w:t>
      </w:r>
      <w:r w:rsidR="00C026A6" w:rsidRPr="00EA59C0">
        <w:t xml:space="preserve"> </w:t>
      </w:r>
      <w:r w:rsidRPr="00EA59C0">
        <w:t>specified</w:t>
      </w:r>
      <w:r w:rsidR="00C026A6" w:rsidRPr="00EA59C0">
        <w:t xml:space="preserve"> </w:t>
      </w:r>
      <w:r w:rsidRPr="00EA59C0">
        <w:t>closing</w:t>
      </w:r>
      <w:r w:rsidR="00C026A6" w:rsidRPr="00EA59C0">
        <w:t xml:space="preserve"> </w:t>
      </w:r>
      <w:r w:rsidRPr="00EA59C0">
        <w:t>date</w:t>
      </w:r>
      <w:r w:rsidR="00C026A6" w:rsidRPr="00EA59C0">
        <w:t xml:space="preserve"> </w:t>
      </w:r>
      <w:r w:rsidRPr="00EA59C0">
        <w:t>and</w:t>
      </w:r>
      <w:r w:rsidR="00C026A6" w:rsidRPr="00EA59C0">
        <w:t xml:space="preserve"> </w:t>
      </w:r>
      <w:r w:rsidRPr="00EA59C0">
        <w:t>time.</w:t>
      </w:r>
    </w:p>
    <w:p w:rsidR="004F0D97" w:rsidRPr="00EA59C0" w:rsidRDefault="004F0D97" w:rsidP="00C072FA">
      <w:pPr>
        <w:autoSpaceDE w:val="0"/>
        <w:autoSpaceDN w:val="0"/>
        <w:adjustRightInd w:val="0"/>
        <w:ind w:left="360"/>
        <w:rPr>
          <w:iCs/>
        </w:rPr>
      </w:pPr>
    </w:p>
    <w:p w:rsidR="007470AB" w:rsidRPr="00EA59C0" w:rsidRDefault="007470AB" w:rsidP="00C072FA">
      <w:pPr>
        <w:autoSpaceDE w:val="0"/>
        <w:autoSpaceDN w:val="0"/>
        <w:adjustRightInd w:val="0"/>
        <w:ind w:left="720"/>
        <w:rPr>
          <w:iCs/>
        </w:rPr>
      </w:pPr>
      <w:r w:rsidRPr="00EA59C0">
        <w:rPr>
          <w:iCs/>
        </w:rPr>
        <w:t>Applications</w:t>
      </w:r>
      <w:r w:rsidR="00C026A6" w:rsidRPr="00EA59C0">
        <w:rPr>
          <w:iCs/>
        </w:rPr>
        <w:t xml:space="preserve"> </w:t>
      </w:r>
      <w:r w:rsidRPr="00EA59C0">
        <w:rPr>
          <w:iCs/>
        </w:rPr>
        <w:t>that</w:t>
      </w:r>
      <w:r w:rsidR="00C026A6" w:rsidRPr="00EA59C0">
        <w:rPr>
          <w:iCs/>
        </w:rPr>
        <w:t xml:space="preserve"> </w:t>
      </w:r>
      <w:r w:rsidRPr="00EA59C0">
        <w:rPr>
          <w:iCs/>
        </w:rPr>
        <w:t>are</w:t>
      </w:r>
      <w:r w:rsidR="00C026A6" w:rsidRPr="00EA59C0">
        <w:rPr>
          <w:iCs/>
        </w:rPr>
        <w:t xml:space="preserve"> </w:t>
      </w:r>
      <w:r w:rsidRPr="00EA59C0">
        <w:rPr>
          <w:iCs/>
        </w:rPr>
        <w:t>submitted</w:t>
      </w:r>
      <w:r w:rsidR="00C026A6" w:rsidRPr="00EA59C0">
        <w:rPr>
          <w:iCs/>
        </w:rPr>
        <w:t xml:space="preserve"> </w:t>
      </w:r>
      <w:r w:rsidRPr="00EA59C0">
        <w:rPr>
          <w:iCs/>
        </w:rPr>
        <w:t>through</w:t>
      </w:r>
      <w:r w:rsidR="00C026A6" w:rsidRPr="00EA59C0">
        <w:rPr>
          <w:iCs/>
        </w:rPr>
        <w:t xml:space="preserve"> </w:t>
      </w:r>
      <w:r w:rsidRPr="00EA59C0">
        <w:rPr>
          <w:iCs/>
        </w:rPr>
        <w:t>Grants.gov</w:t>
      </w:r>
      <w:r w:rsidR="00C026A6" w:rsidRPr="00EA59C0">
        <w:rPr>
          <w:iCs/>
        </w:rPr>
        <w:t xml:space="preserve"> </w:t>
      </w:r>
      <w:r w:rsidRPr="00EA59C0">
        <w:rPr>
          <w:iCs/>
        </w:rPr>
        <w:t>must</w:t>
      </w:r>
      <w:r w:rsidR="00C026A6" w:rsidRPr="00EA59C0">
        <w:rPr>
          <w:iCs/>
        </w:rPr>
        <w:t xml:space="preserve"> </w:t>
      </w:r>
      <w:r w:rsidRPr="00EA59C0">
        <w:rPr>
          <w:iCs/>
        </w:rPr>
        <w:t>be</w:t>
      </w:r>
      <w:r w:rsidR="00C026A6" w:rsidRPr="00EA59C0">
        <w:rPr>
          <w:iCs/>
        </w:rPr>
        <w:t xml:space="preserve"> </w:t>
      </w:r>
      <w:r w:rsidRPr="00EA59C0">
        <w:rPr>
          <w:iCs/>
        </w:rPr>
        <w:t>successfully</w:t>
      </w:r>
      <w:r w:rsidR="00C026A6" w:rsidRPr="00EA59C0">
        <w:rPr>
          <w:iCs/>
        </w:rPr>
        <w:t xml:space="preserve"> </w:t>
      </w:r>
      <w:r w:rsidRPr="00EA59C0">
        <w:rPr>
          <w:iCs/>
        </w:rPr>
        <w:t>submitted</w:t>
      </w:r>
      <w:r w:rsidR="00C026A6" w:rsidRPr="00EA59C0">
        <w:rPr>
          <w:iCs/>
        </w:rPr>
        <w:t xml:space="preserve"> </w:t>
      </w:r>
      <w:r w:rsidRPr="00EA59C0">
        <w:rPr>
          <w:iCs/>
        </w:rPr>
        <w:t>at</w:t>
      </w:r>
      <w:r w:rsidR="00C026A6" w:rsidRPr="00EA59C0">
        <w:rPr>
          <w:iCs/>
        </w:rPr>
        <w:t xml:space="preserve"> </w:t>
      </w:r>
      <w:hyperlink r:id="rId262" w:history="1">
        <w:r w:rsidR="00417B31" w:rsidRPr="00EA59C0">
          <w:rPr>
            <w:rStyle w:val="Hyperlink"/>
            <w:iCs/>
            <w:color w:val="auto"/>
          </w:rPr>
          <w:t>http://www.grants.gov</w:t>
        </w:r>
      </w:hyperlink>
      <w:r w:rsidR="00C026A6" w:rsidRPr="00EA59C0">
        <w:rPr>
          <w:iCs/>
        </w:rPr>
        <w:t xml:space="preserve"> </w:t>
      </w:r>
      <w:r w:rsidRPr="00EA59C0">
        <w:rPr>
          <w:iCs/>
        </w:rPr>
        <w:t>no</w:t>
      </w:r>
      <w:r w:rsidR="00C026A6" w:rsidRPr="00EA59C0">
        <w:rPr>
          <w:iCs/>
        </w:rPr>
        <w:t xml:space="preserve"> </w:t>
      </w:r>
      <w:r w:rsidRPr="00EA59C0">
        <w:rPr>
          <w:iCs/>
        </w:rPr>
        <w:t>later</w:t>
      </w:r>
      <w:r w:rsidR="00C026A6" w:rsidRPr="00EA59C0">
        <w:rPr>
          <w:iCs/>
        </w:rPr>
        <w:t xml:space="preserve"> </w:t>
      </w:r>
      <w:r w:rsidRPr="00EA59C0">
        <w:rPr>
          <w:iCs/>
        </w:rPr>
        <w:t>than</w:t>
      </w:r>
      <w:r w:rsidR="00C026A6" w:rsidRPr="00EA59C0">
        <w:rPr>
          <w:iCs/>
        </w:rPr>
        <w:t xml:space="preserve"> </w:t>
      </w:r>
      <w:r w:rsidRPr="00EA59C0">
        <w:rPr>
          <w:iCs/>
        </w:rPr>
        <w:t>4:00:00</w:t>
      </w:r>
      <w:r w:rsidR="00C026A6" w:rsidRPr="00EA59C0">
        <w:rPr>
          <w:iCs/>
        </w:rPr>
        <w:t xml:space="preserve"> </w:t>
      </w:r>
      <w:r w:rsidRPr="00EA59C0">
        <w:rPr>
          <w:iCs/>
        </w:rPr>
        <w:t>p.m.</w:t>
      </w:r>
      <w:r w:rsidR="00C026A6" w:rsidRPr="00EA59C0">
        <w:rPr>
          <w:iCs/>
        </w:rPr>
        <w:t xml:space="preserve"> </w:t>
      </w:r>
      <w:r w:rsidRPr="00EA59C0">
        <w:rPr>
          <w:iCs/>
        </w:rPr>
        <w:t>Eastern</w:t>
      </w:r>
      <w:r w:rsidR="00C026A6" w:rsidRPr="00EA59C0">
        <w:rPr>
          <w:iCs/>
        </w:rPr>
        <w:t xml:space="preserve"> </w:t>
      </w:r>
      <w:r w:rsidRPr="00EA59C0">
        <w:rPr>
          <w:iCs/>
        </w:rPr>
        <w:t>Time</w:t>
      </w:r>
      <w:r w:rsidR="00C026A6" w:rsidRPr="00EA59C0">
        <w:rPr>
          <w:iCs/>
        </w:rPr>
        <w:t xml:space="preserve"> </w:t>
      </w:r>
      <w:r w:rsidRPr="00EA59C0">
        <w:rPr>
          <w:iCs/>
        </w:rPr>
        <w:t>on</w:t>
      </w:r>
      <w:r w:rsidR="00C026A6" w:rsidRPr="00EA59C0">
        <w:rPr>
          <w:iCs/>
        </w:rPr>
        <w:t xml:space="preserve"> </w:t>
      </w:r>
      <w:r w:rsidRPr="00EA59C0">
        <w:rPr>
          <w:iCs/>
        </w:rPr>
        <w:t>the</w:t>
      </w:r>
      <w:r w:rsidR="00C026A6" w:rsidRPr="00EA59C0">
        <w:rPr>
          <w:iCs/>
        </w:rPr>
        <w:t xml:space="preserve"> </w:t>
      </w:r>
      <w:r w:rsidRPr="00EA59C0">
        <w:rPr>
          <w:iCs/>
        </w:rPr>
        <w:t>closing</w:t>
      </w:r>
      <w:r w:rsidR="00C026A6" w:rsidRPr="00EA59C0">
        <w:rPr>
          <w:iCs/>
        </w:rPr>
        <w:t xml:space="preserve"> </w:t>
      </w:r>
      <w:r w:rsidRPr="00EA59C0">
        <w:rPr>
          <w:iCs/>
        </w:rPr>
        <w:t>date</w:t>
      </w:r>
      <w:r w:rsidR="00C026A6" w:rsidRPr="00EA59C0">
        <w:rPr>
          <w:iCs/>
        </w:rPr>
        <w:t xml:space="preserve"> </w:t>
      </w:r>
      <w:r w:rsidRPr="00EA59C0">
        <w:rPr>
          <w:iCs/>
        </w:rPr>
        <w:t>and</w:t>
      </w:r>
      <w:r w:rsidR="00C026A6" w:rsidRPr="00EA59C0">
        <w:rPr>
          <w:iCs/>
        </w:rPr>
        <w:t xml:space="preserve"> </w:t>
      </w:r>
      <w:r w:rsidRPr="00EA59C0">
        <w:rPr>
          <w:iCs/>
        </w:rPr>
        <w:t>then</w:t>
      </w:r>
      <w:r w:rsidR="00C026A6" w:rsidRPr="00EA59C0">
        <w:rPr>
          <w:iCs/>
        </w:rPr>
        <w:t xml:space="preserve"> </w:t>
      </w:r>
      <w:r w:rsidRPr="00EA59C0">
        <w:rPr>
          <w:iCs/>
        </w:rPr>
        <w:t>subsequently</w:t>
      </w:r>
      <w:r w:rsidR="00C026A6" w:rsidRPr="00EA59C0">
        <w:rPr>
          <w:iCs/>
        </w:rPr>
        <w:t xml:space="preserve"> </w:t>
      </w:r>
      <w:r w:rsidRPr="00EA59C0">
        <w:rPr>
          <w:iCs/>
        </w:rPr>
        <w:t>validated</w:t>
      </w:r>
      <w:r w:rsidR="00C026A6" w:rsidRPr="00EA59C0">
        <w:rPr>
          <w:iCs/>
        </w:rPr>
        <w:t xml:space="preserve"> </w:t>
      </w:r>
      <w:r w:rsidRPr="00EA59C0">
        <w:rPr>
          <w:iCs/>
        </w:rPr>
        <w:t>by</w:t>
      </w:r>
      <w:r w:rsidR="00C026A6" w:rsidRPr="00EA59C0">
        <w:rPr>
          <w:iCs/>
        </w:rPr>
        <w:t xml:space="preserve"> </w:t>
      </w:r>
      <w:r w:rsidRPr="00EA59C0">
        <w:rPr>
          <w:iCs/>
        </w:rPr>
        <w:t>Grants.gov.</w:t>
      </w:r>
      <w:r w:rsidR="00C026A6" w:rsidRPr="00EA59C0">
        <w:rPr>
          <w:iCs/>
        </w:rPr>
        <w:t xml:space="preserve">  </w:t>
      </w:r>
      <w:r w:rsidRPr="00EA59C0">
        <w:rPr>
          <w:iCs/>
        </w:rPr>
        <w:t>The</w:t>
      </w:r>
      <w:r w:rsidR="00C026A6" w:rsidRPr="00EA59C0">
        <w:rPr>
          <w:iCs/>
        </w:rPr>
        <w:t xml:space="preserve"> </w:t>
      </w:r>
      <w:r w:rsidRPr="00EA59C0">
        <w:rPr>
          <w:iCs/>
        </w:rPr>
        <w:t>submission</w:t>
      </w:r>
      <w:r w:rsidR="00C026A6" w:rsidRPr="00EA59C0">
        <w:rPr>
          <w:iCs/>
        </w:rPr>
        <w:t xml:space="preserve"> </w:t>
      </w:r>
      <w:r w:rsidRPr="00EA59C0">
        <w:rPr>
          <w:iCs/>
        </w:rPr>
        <w:t>and</w:t>
      </w:r>
      <w:r w:rsidR="00C026A6" w:rsidRPr="00EA59C0">
        <w:rPr>
          <w:iCs/>
        </w:rPr>
        <w:t xml:space="preserve"> </w:t>
      </w:r>
      <w:r w:rsidRPr="00EA59C0">
        <w:rPr>
          <w:iCs/>
        </w:rPr>
        <w:t>validation</w:t>
      </w:r>
      <w:r w:rsidR="00C026A6" w:rsidRPr="00EA59C0">
        <w:rPr>
          <w:iCs/>
        </w:rPr>
        <w:t xml:space="preserve"> </w:t>
      </w:r>
      <w:r w:rsidRPr="00EA59C0">
        <w:rPr>
          <w:iCs/>
        </w:rPr>
        <w:t>process</w:t>
      </w:r>
      <w:r w:rsidR="00C026A6" w:rsidRPr="00EA59C0">
        <w:rPr>
          <w:iCs/>
        </w:rPr>
        <w:t xml:space="preserve"> </w:t>
      </w:r>
      <w:r w:rsidRPr="00EA59C0">
        <w:rPr>
          <w:iCs/>
        </w:rPr>
        <w:t>is</w:t>
      </w:r>
      <w:r w:rsidR="00C026A6" w:rsidRPr="00EA59C0">
        <w:rPr>
          <w:iCs/>
        </w:rPr>
        <w:t xml:space="preserve"> </w:t>
      </w:r>
      <w:r w:rsidRPr="00EA59C0">
        <w:rPr>
          <w:iCs/>
        </w:rPr>
        <w:t>described</w:t>
      </w:r>
      <w:r w:rsidR="00C026A6" w:rsidRPr="00EA59C0">
        <w:rPr>
          <w:iCs/>
        </w:rPr>
        <w:t xml:space="preserve"> </w:t>
      </w:r>
      <w:r w:rsidRPr="00EA59C0">
        <w:rPr>
          <w:iCs/>
        </w:rPr>
        <w:t>in</w:t>
      </w:r>
      <w:r w:rsidR="00C026A6" w:rsidRPr="00EA59C0">
        <w:rPr>
          <w:iCs/>
        </w:rPr>
        <w:t xml:space="preserve"> </w:t>
      </w:r>
      <w:r w:rsidRPr="00EA59C0">
        <w:rPr>
          <w:iCs/>
        </w:rPr>
        <w:t>more</w:t>
      </w:r>
      <w:r w:rsidR="00C026A6" w:rsidRPr="00EA59C0">
        <w:rPr>
          <w:iCs/>
        </w:rPr>
        <w:t xml:space="preserve"> </w:t>
      </w:r>
      <w:r w:rsidRPr="00EA59C0">
        <w:rPr>
          <w:iCs/>
        </w:rPr>
        <w:t>detail</w:t>
      </w:r>
      <w:r w:rsidR="00C026A6" w:rsidRPr="00EA59C0">
        <w:rPr>
          <w:iCs/>
        </w:rPr>
        <w:t xml:space="preserve"> </w:t>
      </w:r>
      <w:r w:rsidRPr="00EA59C0">
        <w:rPr>
          <w:iCs/>
        </w:rPr>
        <w:t>below.</w:t>
      </w:r>
      <w:r w:rsidR="00C026A6" w:rsidRPr="00EA59C0">
        <w:rPr>
          <w:iCs/>
        </w:rPr>
        <w:t xml:space="preserve">  </w:t>
      </w:r>
      <w:r w:rsidRPr="00EA59C0">
        <w:rPr>
          <w:iCs/>
        </w:rPr>
        <w:t>The</w:t>
      </w:r>
      <w:r w:rsidR="00C026A6" w:rsidRPr="00EA59C0">
        <w:rPr>
          <w:iCs/>
        </w:rPr>
        <w:t xml:space="preserve"> </w:t>
      </w:r>
      <w:r w:rsidRPr="00EA59C0">
        <w:rPr>
          <w:iCs/>
        </w:rPr>
        <w:t>process</w:t>
      </w:r>
      <w:r w:rsidR="00C026A6" w:rsidRPr="00EA59C0">
        <w:rPr>
          <w:iCs/>
        </w:rPr>
        <w:t xml:space="preserve"> </w:t>
      </w:r>
      <w:r w:rsidRPr="00EA59C0">
        <w:rPr>
          <w:iCs/>
        </w:rPr>
        <w:t>can</w:t>
      </w:r>
      <w:r w:rsidR="00C026A6" w:rsidRPr="00EA59C0">
        <w:rPr>
          <w:iCs/>
        </w:rPr>
        <w:t xml:space="preserve"> </w:t>
      </w:r>
      <w:r w:rsidRPr="00EA59C0">
        <w:rPr>
          <w:iCs/>
        </w:rPr>
        <w:t>be</w:t>
      </w:r>
      <w:r w:rsidR="00C026A6" w:rsidRPr="00EA59C0">
        <w:rPr>
          <w:iCs/>
        </w:rPr>
        <w:t xml:space="preserve"> </w:t>
      </w:r>
      <w:r w:rsidRPr="00EA59C0">
        <w:rPr>
          <w:iCs/>
        </w:rPr>
        <w:t>complicated</w:t>
      </w:r>
      <w:r w:rsidR="00C026A6" w:rsidRPr="00EA59C0">
        <w:rPr>
          <w:iCs/>
        </w:rPr>
        <w:t xml:space="preserve"> </w:t>
      </w:r>
      <w:r w:rsidRPr="00EA59C0">
        <w:rPr>
          <w:iCs/>
        </w:rPr>
        <w:t>and</w:t>
      </w:r>
      <w:r w:rsidR="00C026A6" w:rsidRPr="00EA59C0">
        <w:rPr>
          <w:iCs/>
        </w:rPr>
        <w:t xml:space="preserve"> </w:t>
      </w:r>
      <w:r w:rsidRPr="00EA59C0">
        <w:rPr>
          <w:iCs/>
        </w:rPr>
        <w:t>time-consuming.</w:t>
      </w:r>
      <w:r w:rsidR="00C026A6" w:rsidRPr="00EA59C0">
        <w:rPr>
          <w:iCs/>
        </w:rPr>
        <w:t xml:space="preserve">  </w:t>
      </w:r>
      <w:r w:rsidRPr="00EA59C0">
        <w:rPr>
          <w:iCs/>
        </w:rPr>
        <w:t>Applicants</w:t>
      </w:r>
      <w:r w:rsidR="00C026A6" w:rsidRPr="00EA59C0">
        <w:rPr>
          <w:iCs/>
        </w:rPr>
        <w:t xml:space="preserve"> </w:t>
      </w:r>
      <w:r w:rsidRPr="00EA59C0">
        <w:rPr>
          <w:iCs/>
        </w:rPr>
        <w:t>are</w:t>
      </w:r>
      <w:r w:rsidR="00C026A6" w:rsidRPr="00EA59C0">
        <w:rPr>
          <w:iCs/>
        </w:rPr>
        <w:t xml:space="preserve"> </w:t>
      </w:r>
      <w:r w:rsidRPr="00EA59C0">
        <w:rPr>
          <w:iCs/>
        </w:rPr>
        <w:t>strongly</w:t>
      </w:r>
      <w:r w:rsidR="00C026A6" w:rsidRPr="00EA59C0">
        <w:rPr>
          <w:iCs/>
        </w:rPr>
        <w:t xml:space="preserve"> </w:t>
      </w:r>
      <w:r w:rsidRPr="00EA59C0">
        <w:rPr>
          <w:iCs/>
        </w:rPr>
        <w:t>advised</w:t>
      </w:r>
      <w:r w:rsidR="00C026A6" w:rsidRPr="00EA59C0">
        <w:rPr>
          <w:iCs/>
        </w:rPr>
        <w:t xml:space="preserve"> </w:t>
      </w:r>
      <w:r w:rsidRPr="00EA59C0">
        <w:rPr>
          <w:iCs/>
        </w:rPr>
        <w:t>to</w:t>
      </w:r>
      <w:r w:rsidR="00C026A6" w:rsidRPr="00EA59C0">
        <w:rPr>
          <w:iCs/>
        </w:rPr>
        <w:t xml:space="preserve"> </w:t>
      </w:r>
      <w:r w:rsidRPr="00EA59C0">
        <w:rPr>
          <w:iCs/>
        </w:rPr>
        <w:t>initiate</w:t>
      </w:r>
      <w:r w:rsidR="00C026A6" w:rsidRPr="00EA59C0">
        <w:rPr>
          <w:iCs/>
        </w:rPr>
        <w:t xml:space="preserve"> </w:t>
      </w:r>
      <w:r w:rsidRPr="00EA59C0">
        <w:rPr>
          <w:iCs/>
        </w:rPr>
        <w:t>the</w:t>
      </w:r>
      <w:r w:rsidR="00C026A6" w:rsidRPr="00EA59C0">
        <w:rPr>
          <w:iCs/>
        </w:rPr>
        <w:t xml:space="preserve"> </w:t>
      </w:r>
      <w:r w:rsidRPr="00EA59C0">
        <w:rPr>
          <w:iCs/>
        </w:rPr>
        <w:t>process</w:t>
      </w:r>
      <w:r w:rsidR="00C026A6" w:rsidRPr="00EA59C0">
        <w:rPr>
          <w:iCs/>
        </w:rPr>
        <w:t xml:space="preserve"> </w:t>
      </w:r>
      <w:r w:rsidRPr="00EA59C0">
        <w:rPr>
          <w:iCs/>
        </w:rPr>
        <w:t>as</w:t>
      </w:r>
      <w:r w:rsidR="00C026A6" w:rsidRPr="00EA59C0">
        <w:rPr>
          <w:iCs/>
        </w:rPr>
        <w:t xml:space="preserve"> </w:t>
      </w:r>
      <w:r w:rsidRPr="00EA59C0">
        <w:rPr>
          <w:iCs/>
        </w:rPr>
        <w:t>soon</w:t>
      </w:r>
      <w:r w:rsidR="00C026A6" w:rsidRPr="00EA59C0">
        <w:rPr>
          <w:iCs/>
        </w:rPr>
        <w:t xml:space="preserve"> </w:t>
      </w:r>
      <w:r w:rsidRPr="00EA59C0">
        <w:rPr>
          <w:iCs/>
        </w:rPr>
        <w:t>as</w:t>
      </w:r>
      <w:r w:rsidR="00C026A6" w:rsidRPr="00EA59C0">
        <w:rPr>
          <w:iCs/>
        </w:rPr>
        <w:t xml:space="preserve"> </w:t>
      </w:r>
      <w:r w:rsidRPr="00EA59C0">
        <w:rPr>
          <w:iCs/>
        </w:rPr>
        <w:t>possible</w:t>
      </w:r>
      <w:r w:rsidR="00C026A6" w:rsidRPr="00EA59C0">
        <w:rPr>
          <w:iCs/>
        </w:rPr>
        <w:t xml:space="preserve"> </w:t>
      </w:r>
      <w:r w:rsidRPr="00EA59C0">
        <w:rPr>
          <w:iCs/>
        </w:rPr>
        <w:t>and</w:t>
      </w:r>
      <w:r w:rsidR="00C026A6" w:rsidRPr="00EA59C0">
        <w:rPr>
          <w:iCs/>
        </w:rPr>
        <w:t xml:space="preserve"> </w:t>
      </w:r>
      <w:r w:rsidRPr="00EA59C0">
        <w:rPr>
          <w:iCs/>
        </w:rPr>
        <w:t>to</w:t>
      </w:r>
      <w:r w:rsidR="00C026A6" w:rsidRPr="00EA59C0">
        <w:rPr>
          <w:iCs/>
        </w:rPr>
        <w:t xml:space="preserve"> </w:t>
      </w:r>
      <w:r w:rsidRPr="00EA59C0">
        <w:rPr>
          <w:iCs/>
        </w:rPr>
        <w:t>plan</w:t>
      </w:r>
      <w:r w:rsidR="00C026A6" w:rsidRPr="00EA59C0">
        <w:rPr>
          <w:iCs/>
        </w:rPr>
        <w:t xml:space="preserve"> </w:t>
      </w:r>
      <w:r w:rsidRPr="00EA59C0">
        <w:rPr>
          <w:iCs/>
        </w:rPr>
        <w:t>for</w:t>
      </w:r>
      <w:r w:rsidR="00C026A6" w:rsidRPr="00EA59C0">
        <w:rPr>
          <w:iCs/>
        </w:rPr>
        <w:t xml:space="preserve"> </w:t>
      </w:r>
      <w:r w:rsidRPr="00EA59C0">
        <w:rPr>
          <w:iCs/>
        </w:rPr>
        <w:t>time</w:t>
      </w:r>
      <w:r w:rsidR="00C026A6" w:rsidRPr="00EA59C0">
        <w:rPr>
          <w:iCs/>
        </w:rPr>
        <w:t xml:space="preserve"> </w:t>
      </w:r>
      <w:r w:rsidRPr="00EA59C0">
        <w:rPr>
          <w:iCs/>
        </w:rPr>
        <w:t>to</w:t>
      </w:r>
      <w:r w:rsidR="00C026A6" w:rsidRPr="00EA59C0">
        <w:rPr>
          <w:iCs/>
        </w:rPr>
        <w:t xml:space="preserve"> </w:t>
      </w:r>
      <w:r w:rsidRPr="00EA59C0">
        <w:rPr>
          <w:iCs/>
        </w:rPr>
        <w:t>resolve</w:t>
      </w:r>
      <w:r w:rsidR="00C026A6" w:rsidRPr="00EA59C0">
        <w:rPr>
          <w:iCs/>
        </w:rPr>
        <w:t xml:space="preserve"> </w:t>
      </w:r>
      <w:r w:rsidRPr="00EA59C0">
        <w:rPr>
          <w:iCs/>
        </w:rPr>
        <w:t>technical</w:t>
      </w:r>
      <w:r w:rsidR="00C026A6" w:rsidRPr="00EA59C0">
        <w:rPr>
          <w:iCs/>
        </w:rPr>
        <w:t xml:space="preserve"> </w:t>
      </w:r>
      <w:r w:rsidRPr="00EA59C0">
        <w:rPr>
          <w:iCs/>
        </w:rPr>
        <w:t>problems</w:t>
      </w:r>
      <w:r w:rsidR="00C026A6" w:rsidRPr="00EA59C0">
        <w:rPr>
          <w:iCs/>
        </w:rPr>
        <w:t xml:space="preserve"> </w:t>
      </w:r>
      <w:r w:rsidRPr="00EA59C0">
        <w:rPr>
          <w:iCs/>
        </w:rPr>
        <w:t>if</w:t>
      </w:r>
      <w:r w:rsidR="00C026A6" w:rsidRPr="00EA59C0">
        <w:rPr>
          <w:iCs/>
        </w:rPr>
        <w:t xml:space="preserve"> </w:t>
      </w:r>
      <w:r w:rsidRPr="00EA59C0">
        <w:rPr>
          <w:iCs/>
        </w:rPr>
        <w:t>necessary.</w:t>
      </w:r>
      <w:r w:rsidR="00C026A6" w:rsidRPr="00EA59C0">
        <w:rPr>
          <w:iCs/>
        </w:rPr>
        <w:t xml:space="preserve">  </w:t>
      </w:r>
      <w:r w:rsidRPr="00EA59C0">
        <w:rPr>
          <w:iCs/>
        </w:rPr>
        <w:tab/>
      </w:r>
    </w:p>
    <w:p w:rsidR="004F0D97" w:rsidRPr="00EA59C0" w:rsidRDefault="004F0D97" w:rsidP="00C072FA">
      <w:pPr>
        <w:autoSpaceDE w:val="0"/>
        <w:autoSpaceDN w:val="0"/>
        <w:adjustRightInd w:val="0"/>
        <w:ind w:left="720"/>
        <w:rPr>
          <w:iCs/>
        </w:rPr>
      </w:pPr>
    </w:p>
    <w:p w:rsidR="007470AB" w:rsidRPr="00EA59C0" w:rsidRDefault="007470AB" w:rsidP="00C072FA">
      <w:pPr>
        <w:autoSpaceDE w:val="0"/>
        <w:autoSpaceDN w:val="0"/>
        <w:adjustRightInd w:val="0"/>
        <w:ind w:left="720"/>
        <w:rPr>
          <w:iCs/>
        </w:rPr>
      </w:pPr>
      <w:r w:rsidRPr="00EA59C0">
        <w:rPr>
          <w:iCs/>
        </w:rPr>
        <w:t>The</w:t>
      </w:r>
      <w:r w:rsidR="00C026A6" w:rsidRPr="00EA59C0">
        <w:rPr>
          <w:iCs/>
        </w:rPr>
        <w:t xml:space="preserve"> </w:t>
      </w:r>
      <w:r w:rsidRPr="00EA59C0">
        <w:rPr>
          <w:iCs/>
        </w:rPr>
        <w:t>Department</w:t>
      </w:r>
      <w:r w:rsidR="00C026A6" w:rsidRPr="00EA59C0">
        <w:rPr>
          <w:iCs/>
        </w:rPr>
        <w:t xml:space="preserve"> </w:t>
      </w:r>
      <w:r w:rsidRPr="00EA59C0">
        <w:rPr>
          <w:iCs/>
        </w:rPr>
        <w:t>strongly</w:t>
      </w:r>
      <w:r w:rsidR="00C026A6" w:rsidRPr="00EA59C0">
        <w:rPr>
          <w:iCs/>
        </w:rPr>
        <w:t xml:space="preserve"> </w:t>
      </w:r>
      <w:r w:rsidRPr="00EA59C0">
        <w:rPr>
          <w:iCs/>
        </w:rPr>
        <w:t>recommends</w:t>
      </w:r>
      <w:r w:rsidR="00C026A6" w:rsidRPr="00EA59C0">
        <w:rPr>
          <w:iCs/>
        </w:rPr>
        <w:t xml:space="preserve"> </w:t>
      </w:r>
      <w:r w:rsidRPr="00EA59C0">
        <w:rPr>
          <w:iCs/>
        </w:rPr>
        <w:t>that</w:t>
      </w:r>
      <w:r w:rsidR="00C026A6" w:rsidRPr="00EA59C0">
        <w:rPr>
          <w:iCs/>
        </w:rPr>
        <w:t xml:space="preserve"> </w:t>
      </w:r>
      <w:r w:rsidRPr="00EA59C0">
        <w:rPr>
          <w:iCs/>
        </w:rPr>
        <w:t>before</w:t>
      </w:r>
      <w:r w:rsidR="00C026A6" w:rsidRPr="00EA59C0">
        <w:rPr>
          <w:iCs/>
        </w:rPr>
        <w:t xml:space="preserve"> </w:t>
      </w:r>
      <w:r w:rsidRPr="00EA59C0">
        <w:rPr>
          <w:iCs/>
        </w:rPr>
        <w:t>applicant</w:t>
      </w:r>
      <w:r w:rsidR="004F0D97" w:rsidRPr="00EA59C0">
        <w:rPr>
          <w:iCs/>
        </w:rPr>
        <w:t>s</w:t>
      </w:r>
      <w:r w:rsidR="00C026A6" w:rsidRPr="00EA59C0">
        <w:rPr>
          <w:iCs/>
        </w:rPr>
        <w:t xml:space="preserve"> </w:t>
      </w:r>
      <w:r w:rsidRPr="00EA59C0">
        <w:rPr>
          <w:iCs/>
        </w:rPr>
        <w:t>begin</w:t>
      </w:r>
      <w:r w:rsidR="00C026A6" w:rsidRPr="00EA59C0">
        <w:rPr>
          <w:iCs/>
        </w:rPr>
        <w:t xml:space="preserve"> </w:t>
      </w:r>
      <w:r w:rsidRPr="00EA59C0">
        <w:rPr>
          <w:iCs/>
        </w:rPr>
        <w:t>to</w:t>
      </w:r>
      <w:r w:rsidR="00C026A6" w:rsidRPr="00EA59C0">
        <w:rPr>
          <w:iCs/>
        </w:rPr>
        <w:t xml:space="preserve"> </w:t>
      </w:r>
      <w:r w:rsidRPr="00EA59C0">
        <w:rPr>
          <w:iCs/>
        </w:rPr>
        <w:t>write</w:t>
      </w:r>
      <w:r w:rsidR="00C026A6" w:rsidRPr="00EA59C0">
        <w:rPr>
          <w:iCs/>
        </w:rPr>
        <w:t xml:space="preserve"> </w:t>
      </w:r>
      <w:r w:rsidRPr="00EA59C0">
        <w:rPr>
          <w:iCs/>
        </w:rPr>
        <w:t>the</w:t>
      </w:r>
      <w:r w:rsidR="00C026A6" w:rsidRPr="00EA59C0">
        <w:rPr>
          <w:iCs/>
        </w:rPr>
        <w:t xml:space="preserve"> </w:t>
      </w:r>
      <w:r w:rsidRPr="00EA59C0">
        <w:rPr>
          <w:iCs/>
        </w:rPr>
        <w:t>proposal,</w:t>
      </w:r>
      <w:r w:rsidR="00C026A6" w:rsidRPr="00EA59C0">
        <w:rPr>
          <w:iCs/>
        </w:rPr>
        <w:t xml:space="preserve"> </w:t>
      </w:r>
      <w:r w:rsidR="004F0D97" w:rsidRPr="00EA59C0">
        <w:rPr>
          <w:iCs/>
        </w:rPr>
        <w:t>they</w:t>
      </w:r>
      <w:r w:rsidR="00C026A6" w:rsidRPr="00EA59C0">
        <w:rPr>
          <w:iCs/>
        </w:rPr>
        <w:t xml:space="preserve"> </w:t>
      </w:r>
      <w:r w:rsidRPr="00EA59C0">
        <w:rPr>
          <w:iCs/>
        </w:rPr>
        <w:t>should</w:t>
      </w:r>
      <w:r w:rsidR="00C026A6" w:rsidRPr="00EA59C0">
        <w:rPr>
          <w:iCs/>
        </w:rPr>
        <w:t xml:space="preserve"> </w:t>
      </w:r>
      <w:r w:rsidRPr="00EA59C0">
        <w:rPr>
          <w:iCs/>
        </w:rPr>
        <w:t>immediately</w:t>
      </w:r>
      <w:r w:rsidR="00C026A6" w:rsidRPr="00EA59C0">
        <w:rPr>
          <w:iCs/>
        </w:rPr>
        <w:t xml:space="preserve"> </w:t>
      </w:r>
      <w:r w:rsidRPr="00EA59C0">
        <w:rPr>
          <w:iCs/>
        </w:rPr>
        <w:t>initiate</w:t>
      </w:r>
      <w:r w:rsidR="00C026A6" w:rsidRPr="00EA59C0">
        <w:rPr>
          <w:iCs/>
        </w:rPr>
        <w:t xml:space="preserve"> </w:t>
      </w:r>
      <w:r w:rsidRPr="00EA59C0">
        <w:rPr>
          <w:iCs/>
        </w:rPr>
        <w:t>and</w:t>
      </w:r>
      <w:r w:rsidR="00C026A6" w:rsidRPr="00EA59C0">
        <w:rPr>
          <w:iCs/>
        </w:rPr>
        <w:t xml:space="preserve"> </w:t>
      </w:r>
      <w:r w:rsidRPr="00EA59C0">
        <w:rPr>
          <w:iCs/>
        </w:rPr>
        <w:t>complete</w:t>
      </w:r>
      <w:r w:rsidR="00C026A6" w:rsidRPr="00EA59C0">
        <w:rPr>
          <w:iCs/>
        </w:rPr>
        <w:t xml:space="preserve"> </w:t>
      </w:r>
      <w:r w:rsidRPr="00EA59C0">
        <w:rPr>
          <w:iCs/>
        </w:rPr>
        <w:t>the</w:t>
      </w:r>
      <w:r w:rsidR="00C026A6" w:rsidRPr="00EA59C0">
        <w:rPr>
          <w:iCs/>
        </w:rPr>
        <w:t xml:space="preserve"> </w:t>
      </w:r>
      <w:r w:rsidRPr="00EA59C0">
        <w:rPr>
          <w:iCs/>
        </w:rPr>
        <w:t>“Get</w:t>
      </w:r>
      <w:r w:rsidR="00C026A6" w:rsidRPr="00EA59C0">
        <w:rPr>
          <w:iCs/>
        </w:rPr>
        <w:t xml:space="preserve"> </w:t>
      </w:r>
      <w:r w:rsidRPr="00EA59C0">
        <w:rPr>
          <w:iCs/>
        </w:rPr>
        <w:t>Registered”</w:t>
      </w:r>
      <w:r w:rsidR="00C026A6" w:rsidRPr="00EA59C0">
        <w:rPr>
          <w:iCs/>
        </w:rPr>
        <w:t xml:space="preserve"> </w:t>
      </w:r>
      <w:r w:rsidRPr="00EA59C0">
        <w:rPr>
          <w:iCs/>
        </w:rPr>
        <w:t>registration</w:t>
      </w:r>
      <w:r w:rsidR="00C026A6" w:rsidRPr="00EA59C0">
        <w:rPr>
          <w:iCs/>
        </w:rPr>
        <w:t xml:space="preserve"> </w:t>
      </w:r>
      <w:r w:rsidRPr="00EA59C0">
        <w:rPr>
          <w:iCs/>
        </w:rPr>
        <w:t>steps</w:t>
      </w:r>
      <w:r w:rsidR="00C026A6" w:rsidRPr="00EA59C0">
        <w:rPr>
          <w:iCs/>
        </w:rPr>
        <w:t xml:space="preserve"> </w:t>
      </w:r>
      <w:r w:rsidRPr="00EA59C0">
        <w:rPr>
          <w:iCs/>
        </w:rPr>
        <w:t>at</w:t>
      </w:r>
      <w:r w:rsidR="00C026A6" w:rsidRPr="00EA59C0">
        <w:rPr>
          <w:b/>
          <w:iCs/>
          <w:u w:val="single"/>
        </w:rPr>
        <w:t xml:space="preserve"> </w:t>
      </w:r>
      <w:hyperlink r:id="rId263" w:history="1">
        <w:r w:rsidR="0079364A" w:rsidRPr="00EA59C0">
          <w:rPr>
            <w:rStyle w:val="Hyperlink"/>
            <w:iCs/>
            <w:color w:val="auto"/>
          </w:rPr>
          <w:t>http://www.grants.gov/web/grants/applicants/organization-registration.html</w:t>
        </w:r>
      </w:hyperlink>
      <w:r w:rsidR="00C026A6" w:rsidRPr="00EA59C0">
        <w:rPr>
          <w:iCs/>
        </w:rPr>
        <w:t xml:space="preserve"> </w:t>
      </w:r>
      <w:r w:rsidRPr="00EA59C0">
        <w:rPr>
          <w:iCs/>
        </w:rPr>
        <w:t>Applicants</w:t>
      </w:r>
      <w:r w:rsidR="00C026A6" w:rsidRPr="00EA59C0">
        <w:rPr>
          <w:iCs/>
        </w:rPr>
        <w:t xml:space="preserve"> </w:t>
      </w:r>
      <w:r w:rsidRPr="00EA59C0">
        <w:rPr>
          <w:iCs/>
        </w:rPr>
        <w:t>should</w:t>
      </w:r>
      <w:r w:rsidR="00C026A6" w:rsidRPr="00EA59C0">
        <w:rPr>
          <w:iCs/>
        </w:rPr>
        <w:t xml:space="preserve"> </w:t>
      </w:r>
      <w:r w:rsidRPr="00EA59C0">
        <w:rPr>
          <w:iCs/>
        </w:rPr>
        <w:t>read</w:t>
      </w:r>
      <w:r w:rsidR="00C026A6" w:rsidRPr="00EA59C0">
        <w:rPr>
          <w:iCs/>
        </w:rPr>
        <w:t xml:space="preserve"> </w:t>
      </w:r>
      <w:r w:rsidRPr="00EA59C0">
        <w:rPr>
          <w:iCs/>
        </w:rPr>
        <w:t>through</w:t>
      </w:r>
      <w:r w:rsidR="00C026A6" w:rsidRPr="00EA59C0">
        <w:rPr>
          <w:iCs/>
        </w:rPr>
        <w:t xml:space="preserve"> </w:t>
      </w:r>
      <w:r w:rsidRPr="00EA59C0">
        <w:rPr>
          <w:iCs/>
        </w:rPr>
        <w:t>the</w:t>
      </w:r>
      <w:r w:rsidR="00C026A6" w:rsidRPr="00EA59C0">
        <w:rPr>
          <w:iCs/>
        </w:rPr>
        <w:t xml:space="preserve"> </w:t>
      </w:r>
      <w:r w:rsidRPr="00EA59C0">
        <w:rPr>
          <w:iCs/>
        </w:rPr>
        <w:t>registration</w:t>
      </w:r>
      <w:r w:rsidR="00C026A6" w:rsidRPr="00EA59C0">
        <w:rPr>
          <w:iCs/>
        </w:rPr>
        <w:t xml:space="preserve"> </w:t>
      </w:r>
      <w:r w:rsidRPr="00EA59C0">
        <w:rPr>
          <w:iCs/>
        </w:rPr>
        <w:t>process</w:t>
      </w:r>
      <w:r w:rsidR="00C026A6" w:rsidRPr="00EA59C0">
        <w:rPr>
          <w:iCs/>
        </w:rPr>
        <w:t xml:space="preserve"> </w:t>
      </w:r>
      <w:r w:rsidRPr="00EA59C0">
        <w:rPr>
          <w:iCs/>
        </w:rPr>
        <w:t>carefully</w:t>
      </w:r>
      <w:r w:rsidR="00C026A6" w:rsidRPr="00EA59C0">
        <w:rPr>
          <w:iCs/>
        </w:rPr>
        <w:t xml:space="preserve"> </w:t>
      </w:r>
      <w:r w:rsidRPr="00EA59C0">
        <w:rPr>
          <w:iCs/>
        </w:rPr>
        <w:t>before</w:t>
      </w:r>
      <w:r w:rsidR="00C026A6" w:rsidRPr="00EA59C0">
        <w:rPr>
          <w:iCs/>
        </w:rPr>
        <w:t xml:space="preserve"> </w:t>
      </w:r>
      <w:r w:rsidRPr="00EA59C0">
        <w:rPr>
          <w:iCs/>
        </w:rPr>
        <w:t>registering.</w:t>
      </w:r>
      <w:r w:rsidR="00C026A6" w:rsidRPr="00EA59C0">
        <w:rPr>
          <w:iCs/>
        </w:rPr>
        <w:t xml:space="preserve">  </w:t>
      </w:r>
      <w:r w:rsidRPr="00EA59C0">
        <w:rPr>
          <w:iCs/>
        </w:rPr>
        <w:t>These</w:t>
      </w:r>
      <w:r w:rsidR="00C026A6" w:rsidRPr="00EA59C0">
        <w:rPr>
          <w:iCs/>
        </w:rPr>
        <w:t xml:space="preserve"> </w:t>
      </w:r>
      <w:r w:rsidRPr="00EA59C0">
        <w:rPr>
          <w:iCs/>
        </w:rPr>
        <w:t>steps</w:t>
      </w:r>
      <w:r w:rsidR="00C026A6" w:rsidRPr="00EA59C0">
        <w:rPr>
          <w:iCs/>
        </w:rPr>
        <w:t xml:space="preserve"> </w:t>
      </w:r>
      <w:r w:rsidRPr="00EA59C0">
        <w:rPr>
          <w:iCs/>
        </w:rPr>
        <w:t>may</w:t>
      </w:r>
      <w:r w:rsidR="00C026A6" w:rsidRPr="00EA59C0">
        <w:rPr>
          <w:iCs/>
        </w:rPr>
        <w:t xml:space="preserve"> </w:t>
      </w:r>
      <w:r w:rsidRPr="00EA59C0">
        <w:rPr>
          <w:iCs/>
        </w:rPr>
        <w:t>take</w:t>
      </w:r>
      <w:r w:rsidR="00C026A6" w:rsidRPr="00EA59C0">
        <w:rPr>
          <w:iCs/>
        </w:rPr>
        <w:t xml:space="preserve"> </w:t>
      </w:r>
      <w:r w:rsidRPr="00EA59C0">
        <w:rPr>
          <w:iCs/>
        </w:rPr>
        <w:t>as</w:t>
      </w:r>
      <w:r w:rsidR="00C026A6" w:rsidRPr="00EA59C0">
        <w:rPr>
          <w:iCs/>
        </w:rPr>
        <w:t xml:space="preserve"> </w:t>
      </w:r>
      <w:r w:rsidRPr="00EA59C0">
        <w:rPr>
          <w:iCs/>
        </w:rPr>
        <w:t>much</w:t>
      </w:r>
      <w:r w:rsidR="00C026A6" w:rsidRPr="00EA59C0">
        <w:rPr>
          <w:iCs/>
        </w:rPr>
        <w:t xml:space="preserve"> </w:t>
      </w:r>
      <w:r w:rsidRPr="00EA59C0">
        <w:rPr>
          <w:iCs/>
        </w:rPr>
        <w:t>as</w:t>
      </w:r>
      <w:r w:rsidR="00C026A6" w:rsidRPr="00EA59C0">
        <w:rPr>
          <w:iCs/>
        </w:rPr>
        <w:t xml:space="preserve"> </w:t>
      </w:r>
      <w:r w:rsidRPr="00EA59C0">
        <w:rPr>
          <w:iCs/>
        </w:rPr>
        <w:t>four</w:t>
      </w:r>
      <w:r w:rsidR="00C026A6" w:rsidRPr="00EA59C0">
        <w:rPr>
          <w:iCs/>
        </w:rPr>
        <w:t xml:space="preserve"> </w:t>
      </w:r>
      <w:r w:rsidRPr="00EA59C0">
        <w:rPr>
          <w:iCs/>
        </w:rPr>
        <w:t>weeks</w:t>
      </w:r>
      <w:r w:rsidR="00C026A6" w:rsidRPr="00EA59C0">
        <w:rPr>
          <w:iCs/>
        </w:rPr>
        <w:t xml:space="preserve"> </w:t>
      </w:r>
      <w:r w:rsidRPr="00EA59C0">
        <w:rPr>
          <w:iCs/>
        </w:rPr>
        <w:t>to</w:t>
      </w:r>
      <w:r w:rsidR="00C026A6" w:rsidRPr="00EA59C0">
        <w:rPr>
          <w:iCs/>
        </w:rPr>
        <w:t xml:space="preserve"> </w:t>
      </w:r>
      <w:r w:rsidRPr="00EA59C0">
        <w:rPr>
          <w:iCs/>
        </w:rPr>
        <w:t>complete,</w:t>
      </w:r>
      <w:r w:rsidR="00C026A6" w:rsidRPr="00EA59C0">
        <w:rPr>
          <w:iCs/>
        </w:rPr>
        <w:t xml:space="preserve"> </w:t>
      </w:r>
      <w:r w:rsidRPr="00EA59C0">
        <w:rPr>
          <w:iCs/>
        </w:rPr>
        <w:t>and</w:t>
      </w:r>
      <w:r w:rsidR="00C026A6" w:rsidRPr="00EA59C0">
        <w:rPr>
          <w:iCs/>
        </w:rPr>
        <w:t xml:space="preserve"> </w:t>
      </w:r>
      <w:r w:rsidRPr="00EA59C0">
        <w:rPr>
          <w:iCs/>
        </w:rPr>
        <w:t>this</w:t>
      </w:r>
      <w:r w:rsidR="00C026A6" w:rsidRPr="00EA59C0">
        <w:rPr>
          <w:iCs/>
        </w:rPr>
        <w:t xml:space="preserve"> </w:t>
      </w:r>
      <w:r w:rsidRPr="00EA59C0">
        <w:rPr>
          <w:iCs/>
        </w:rPr>
        <w:t>time</w:t>
      </w:r>
      <w:r w:rsidR="00C026A6" w:rsidRPr="00EA59C0">
        <w:rPr>
          <w:iCs/>
        </w:rPr>
        <w:t xml:space="preserve"> </w:t>
      </w:r>
      <w:r w:rsidRPr="00EA59C0">
        <w:rPr>
          <w:iCs/>
        </w:rPr>
        <w:t>should</w:t>
      </w:r>
      <w:r w:rsidR="00C026A6" w:rsidRPr="00EA59C0">
        <w:rPr>
          <w:iCs/>
        </w:rPr>
        <w:t xml:space="preserve"> </w:t>
      </w:r>
      <w:r w:rsidRPr="00EA59C0">
        <w:rPr>
          <w:iCs/>
        </w:rPr>
        <w:t>be</w:t>
      </w:r>
      <w:r w:rsidR="00C026A6" w:rsidRPr="00EA59C0">
        <w:rPr>
          <w:iCs/>
        </w:rPr>
        <w:t xml:space="preserve"> </w:t>
      </w:r>
      <w:r w:rsidRPr="00EA59C0">
        <w:rPr>
          <w:iCs/>
        </w:rPr>
        <w:t>factored</w:t>
      </w:r>
      <w:r w:rsidR="00C026A6" w:rsidRPr="00EA59C0">
        <w:rPr>
          <w:iCs/>
        </w:rPr>
        <w:t xml:space="preserve"> </w:t>
      </w:r>
      <w:r w:rsidRPr="00EA59C0">
        <w:rPr>
          <w:iCs/>
        </w:rPr>
        <w:t>into</w:t>
      </w:r>
      <w:r w:rsidR="00C026A6" w:rsidRPr="00EA59C0">
        <w:rPr>
          <w:iCs/>
        </w:rPr>
        <w:t xml:space="preserve"> </w:t>
      </w:r>
      <w:r w:rsidRPr="00EA59C0">
        <w:rPr>
          <w:iCs/>
        </w:rPr>
        <w:t>plans</w:t>
      </w:r>
      <w:r w:rsidR="00C026A6" w:rsidRPr="00EA59C0">
        <w:rPr>
          <w:iCs/>
        </w:rPr>
        <w:t xml:space="preserve"> </w:t>
      </w:r>
      <w:r w:rsidRPr="00EA59C0">
        <w:rPr>
          <w:iCs/>
        </w:rPr>
        <w:t>for</w:t>
      </w:r>
      <w:r w:rsidR="00C026A6" w:rsidRPr="00EA59C0">
        <w:rPr>
          <w:iCs/>
        </w:rPr>
        <w:t xml:space="preserve"> </w:t>
      </w:r>
      <w:r w:rsidR="004F0D97" w:rsidRPr="00EA59C0">
        <w:rPr>
          <w:iCs/>
        </w:rPr>
        <w:t>timely</w:t>
      </w:r>
      <w:r w:rsidR="00C026A6" w:rsidRPr="00EA59C0">
        <w:rPr>
          <w:iCs/>
        </w:rPr>
        <w:t xml:space="preserve"> </w:t>
      </w:r>
      <w:r w:rsidRPr="00EA59C0">
        <w:rPr>
          <w:iCs/>
        </w:rPr>
        <w:t>electronic</w:t>
      </w:r>
      <w:r w:rsidR="00C026A6" w:rsidRPr="00EA59C0">
        <w:rPr>
          <w:iCs/>
        </w:rPr>
        <w:t xml:space="preserve"> </w:t>
      </w:r>
      <w:r w:rsidRPr="00EA59C0">
        <w:rPr>
          <w:iCs/>
        </w:rPr>
        <w:t>submission</w:t>
      </w:r>
      <w:r w:rsidR="00C026A6" w:rsidRPr="00EA59C0">
        <w:rPr>
          <w:iCs/>
        </w:rPr>
        <w:t xml:space="preserve"> </w:t>
      </w:r>
      <w:r w:rsidRPr="00EA59C0">
        <w:rPr>
          <w:iCs/>
        </w:rPr>
        <w:t>in</w:t>
      </w:r>
      <w:r w:rsidR="00C026A6" w:rsidRPr="00EA59C0">
        <w:rPr>
          <w:iCs/>
        </w:rPr>
        <w:t xml:space="preserve"> </w:t>
      </w:r>
      <w:r w:rsidRPr="00EA59C0">
        <w:rPr>
          <w:iCs/>
        </w:rPr>
        <w:t>order</w:t>
      </w:r>
      <w:r w:rsidR="00C026A6" w:rsidRPr="00EA59C0">
        <w:rPr>
          <w:iCs/>
        </w:rPr>
        <w:t xml:space="preserve"> </w:t>
      </w:r>
      <w:r w:rsidRPr="00EA59C0">
        <w:rPr>
          <w:iCs/>
        </w:rPr>
        <w:t>to</w:t>
      </w:r>
      <w:r w:rsidR="00C026A6" w:rsidRPr="00EA59C0">
        <w:rPr>
          <w:iCs/>
        </w:rPr>
        <w:t xml:space="preserve"> </w:t>
      </w:r>
      <w:r w:rsidRPr="00EA59C0">
        <w:rPr>
          <w:iCs/>
        </w:rPr>
        <w:t>avoid</w:t>
      </w:r>
      <w:r w:rsidR="00C026A6" w:rsidRPr="00EA59C0">
        <w:rPr>
          <w:iCs/>
        </w:rPr>
        <w:t xml:space="preserve"> </w:t>
      </w:r>
      <w:r w:rsidRPr="00EA59C0">
        <w:rPr>
          <w:iCs/>
        </w:rPr>
        <w:t>unexpected</w:t>
      </w:r>
      <w:r w:rsidR="00C026A6" w:rsidRPr="00EA59C0">
        <w:rPr>
          <w:iCs/>
        </w:rPr>
        <w:t xml:space="preserve"> </w:t>
      </w:r>
      <w:r w:rsidRPr="00EA59C0">
        <w:rPr>
          <w:iCs/>
        </w:rPr>
        <w:t>delays</w:t>
      </w:r>
      <w:r w:rsidR="00C026A6" w:rsidRPr="00EA59C0">
        <w:rPr>
          <w:iCs/>
        </w:rPr>
        <w:t xml:space="preserve"> </w:t>
      </w:r>
      <w:r w:rsidRPr="00EA59C0">
        <w:rPr>
          <w:iCs/>
        </w:rPr>
        <w:t>that</w:t>
      </w:r>
      <w:r w:rsidR="00C026A6" w:rsidRPr="00EA59C0">
        <w:rPr>
          <w:iCs/>
        </w:rPr>
        <w:t xml:space="preserve"> </w:t>
      </w:r>
      <w:r w:rsidRPr="00EA59C0">
        <w:rPr>
          <w:iCs/>
        </w:rPr>
        <w:t>could</w:t>
      </w:r>
      <w:r w:rsidR="00C026A6" w:rsidRPr="00EA59C0">
        <w:rPr>
          <w:iCs/>
        </w:rPr>
        <w:t xml:space="preserve"> </w:t>
      </w:r>
      <w:r w:rsidRPr="00EA59C0">
        <w:rPr>
          <w:iCs/>
        </w:rPr>
        <w:t>result</w:t>
      </w:r>
      <w:r w:rsidR="00C026A6" w:rsidRPr="00EA59C0">
        <w:rPr>
          <w:iCs/>
        </w:rPr>
        <w:t xml:space="preserve"> </w:t>
      </w:r>
      <w:r w:rsidRPr="00EA59C0">
        <w:rPr>
          <w:iCs/>
        </w:rPr>
        <w:t>in</w:t>
      </w:r>
      <w:r w:rsidR="00C026A6" w:rsidRPr="00EA59C0">
        <w:rPr>
          <w:iCs/>
        </w:rPr>
        <w:t xml:space="preserve"> </w:t>
      </w:r>
      <w:r w:rsidRPr="00EA59C0">
        <w:rPr>
          <w:iCs/>
        </w:rPr>
        <w:t>the</w:t>
      </w:r>
      <w:r w:rsidR="00C026A6" w:rsidRPr="00EA59C0">
        <w:rPr>
          <w:iCs/>
        </w:rPr>
        <w:t xml:space="preserve"> </w:t>
      </w:r>
      <w:r w:rsidRPr="00EA59C0">
        <w:rPr>
          <w:iCs/>
        </w:rPr>
        <w:t>rejection</w:t>
      </w:r>
      <w:r w:rsidR="00C026A6" w:rsidRPr="00EA59C0">
        <w:rPr>
          <w:iCs/>
        </w:rPr>
        <w:t xml:space="preserve"> </w:t>
      </w:r>
      <w:r w:rsidRPr="00EA59C0">
        <w:rPr>
          <w:iCs/>
        </w:rPr>
        <w:t>of</w:t>
      </w:r>
      <w:r w:rsidR="00C026A6" w:rsidRPr="00EA59C0">
        <w:rPr>
          <w:iCs/>
        </w:rPr>
        <w:t xml:space="preserve"> </w:t>
      </w:r>
      <w:r w:rsidRPr="00EA59C0">
        <w:rPr>
          <w:iCs/>
        </w:rPr>
        <w:t>an</w:t>
      </w:r>
      <w:r w:rsidR="00C026A6" w:rsidRPr="00EA59C0">
        <w:rPr>
          <w:iCs/>
        </w:rPr>
        <w:t xml:space="preserve"> </w:t>
      </w:r>
      <w:r w:rsidRPr="00EA59C0">
        <w:rPr>
          <w:iCs/>
        </w:rPr>
        <w:t>application.</w:t>
      </w:r>
      <w:r w:rsidR="00C026A6" w:rsidRPr="00EA59C0">
        <w:rPr>
          <w:iCs/>
        </w:rPr>
        <w:t xml:space="preserve">  </w:t>
      </w:r>
      <w:r w:rsidRPr="00EA59C0">
        <w:rPr>
          <w:iCs/>
        </w:rPr>
        <w:t>The</w:t>
      </w:r>
      <w:r w:rsidR="00C026A6" w:rsidRPr="00EA59C0">
        <w:rPr>
          <w:iCs/>
        </w:rPr>
        <w:t xml:space="preserve"> </w:t>
      </w:r>
      <w:r w:rsidRPr="00EA59C0">
        <w:rPr>
          <w:iCs/>
        </w:rPr>
        <w:t>site</w:t>
      </w:r>
      <w:r w:rsidR="00C026A6" w:rsidRPr="00EA59C0">
        <w:rPr>
          <w:iCs/>
        </w:rPr>
        <w:t xml:space="preserve"> </w:t>
      </w:r>
      <w:r w:rsidRPr="00EA59C0">
        <w:rPr>
          <w:iCs/>
        </w:rPr>
        <w:t>also</w:t>
      </w:r>
      <w:r w:rsidR="00C026A6" w:rsidRPr="00EA59C0">
        <w:rPr>
          <w:iCs/>
        </w:rPr>
        <w:t xml:space="preserve"> </w:t>
      </w:r>
      <w:r w:rsidRPr="00EA59C0">
        <w:rPr>
          <w:iCs/>
        </w:rPr>
        <w:t>contains</w:t>
      </w:r>
      <w:r w:rsidR="00C026A6" w:rsidRPr="00EA59C0">
        <w:rPr>
          <w:iCs/>
        </w:rPr>
        <w:t xml:space="preserve"> </w:t>
      </w:r>
      <w:r w:rsidRPr="00EA59C0">
        <w:rPr>
          <w:iCs/>
        </w:rPr>
        <w:t>registration</w:t>
      </w:r>
      <w:r w:rsidR="00C026A6" w:rsidRPr="00EA59C0">
        <w:rPr>
          <w:iCs/>
        </w:rPr>
        <w:t xml:space="preserve"> </w:t>
      </w:r>
      <w:r w:rsidRPr="00EA59C0">
        <w:rPr>
          <w:iCs/>
        </w:rPr>
        <w:t>checklists</w:t>
      </w:r>
      <w:r w:rsidR="00C026A6" w:rsidRPr="00EA59C0">
        <w:rPr>
          <w:iCs/>
        </w:rPr>
        <w:t xml:space="preserve"> </w:t>
      </w:r>
      <w:r w:rsidRPr="00EA59C0">
        <w:rPr>
          <w:iCs/>
        </w:rPr>
        <w:t>to</w:t>
      </w:r>
      <w:r w:rsidR="00C026A6" w:rsidRPr="00EA59C0">
        <w:rPr>
          <w:iCs/>
        </w:rPr>
        <w:t xml:space="preserve"> </w:t>
      </w:r>
      <w:r w:rsidRPr="00EA59C0">
        <w:rPr>
          <w:iCs/>
        </w:rPr>
        <w:t>help</w:t>
      </w:r>
      <w:r w:rsidR="00C026A6" w:rsidRPr="00EA59C0">
        <w:rPr>
          <w:iCs/>
        </w:rPr>
        <w:t xml:space="preserve"> </w:t>
      </w:r>
      <w:r w:rsidR="004F0D97" w:rsidRPr="00EA59C0">
        <w:rPr>
          <w:iCs/>
        </w:rPr>
        <w:t>applicants</w:t>
      </w:r>
      <w:r w:rsidR="00C026A6" w:rsidRPr="00EA59C0">
        <w:rPr>
          <w:iCs/>
        </w:rPr>
        <w:t xml:space="preserve"> </w:t>
      </w:r>
      <w:r w:rsidRPr="00EA59C0">
        <w:rPr>
          <w:iCs/>
        </w:rPr>
        <w:t>walk</w:t>
      </w:r>
      <w:r w:rsidR="00C026A6" w:rsidRPr="00EA59C0">
        <w:rPr>
          <w:iCs/>
        </w:rPr>
        <w:t xml:space="preserve"> </w:t>
      </w:r>
      <w:r w:rsidRPr="00EA59C0">
        <w:rPr>
          <w:iCs/>
        </w:rPr>
        <w:t>through</w:t>
      </w:r>
      <w:r w:rsidR="00C026A6" w:rsidRPr="00EA59C0">
        <w:rPr>
          <w:iCs/>
        </w:rPr>
        <w:t xml:space="preserve"> </w:t>
      </w:r>
      <w:r w:rsidRPr="00EA59C0">
        <w:rPr>
          <w:iCs/>
        </w:rPr>
        <w:t>the</w:t>
      </w:r>
      <w:r w:rsidR="00C026A6" w:rsidRPr="00EA59C0">
        <w:rPr>
          <w:iCs/>
        </w:rPr>
        <w:t xml:space="preserve"> </w:t>
      </w:r>
      <w:r w:rsidRPr="00EA59C0">
        <w:rPr>
          <w:iCs/>
        </w:rPr>
        <w:t>process.</w:t>
      </w:r>
      <w:r w:rsidR="00C026A6" w:rsidRPr="00EA59C0">
        <w:rPr>
          <w:iCs/>
        </w:rPr>
        <w:t xml:space="preserve">  </w:t>
      </w:r>
      <w:r w:rsidRPr="00EA59C0">
        <w:rPr>
          <w:iCs/>
        </w:rPr>
        <w:t>The</w:t>
      </w:r>
      <w:r w:rsidR="00C026A6" w:rsidRPr="00EA59C0">
        <w:rPr>
          <w:iCs/>
        </w:rPr>
        <w:t xml:space="preserve"> </w:t>
      </w:r>
      <w:r w:rsidRPr="00EA59C0">
        <w:rPr>
          <w:iCs/>
        </w:rPr>
        <w:t>Department</w:t>
      </w:r>
      <w:r w:rsidR="00C026A6" w:rsidRPr="00EA59C0">
        <w:rPr>
          <w:iCs/>
        </w:rPr>
        <w:t xml:space="preserve"> </w:t>
      </w:r>
      <w:r w:rsidRPr="00EA59C0">
        <w:rPr>
          <w:iCs/>
        </w:rPr>
        <w:t>strongly</w:t>
      </w:r>
      <w:r w:rsidR="00C026A6" w:rsidRPr="00EA59C0">
        <w:rPr>
          <w:iCs/>
        </w:rPr>
        <w:t xml:space="preserve"> </w:t>
      </w:r>
      <w:r w:rsidRPr="00EA59C0">
        <w:rPr>
          <w:iCs/>
        </w:rPr>
        <w:t>recommends</w:t>
      </w:r>
      <w:r w:rsidR="00C026A6" w:rsidRPr="00EA59C0">
        <w:rPr>
          <w:iCs/>
        </w:rPr>
        <w:t xml:space="preserve"> </w:t>
      </w:r>
      <w:r w:rsidRPr="00EA59C0">
        <w:rPr>
          <w:iCs/>
        </w:rPr>
        <w:t>that</w:t>
      </w:r>
      <w:r w:rsidR="00C026A6" w:rsidRPr="00EA59C0">
        <w:rPr>
          <w:iCs/>
        </w:rPr>
        <w:t xml:space="preserve"> </w:t>
      </w:r>
      <w:r w:rsidRPr="00EA59C0">
        <w:rPr>
          <w:iCs/>
        </w:rPr>
        <w:t>applicants</w:t>
      </w:r>
      <w:r w:rsidR="00C026A6" w:rsidRPr="00EA59C0">
        <w:rPr>
          <w:iCs/>
        </w:rPr>
        <w:t xml:space="preserve"> </w:t>
      </w:r>
      <w:r w:rsidRPr="00EA59C0">
        <w:rPr>
          <w:iCs/>
        </w:rPr>
        <w:t>download</w:t>
      </w:r>
      <w:r w:rsidR="00C026A6" w:rsidRPr="00EA59C0">
        <w:rPr>
          <w:iCs/>
        </w:rPr>
        <w:t xml:space="preserve"> </w:t>
      </w:r>
      <w:r w:rsidRPr="00EA59C0">
        <w:rPr>
          <w:iCs/>
        </w:rPr>
        <w:t>the</w:t>
      </w:r>
      <w:r w:rsidR="00C026A6" w:rsidRPr="00EA59C0">
        <w:rPr>
          <w:iCs/>
        </w:rPr>
        <w:t xml:space="preserve"> </w:t>
      </w:r>
      <w:r w:rsidRPr="00EA59C0">
        <w:rPr>
          <w:iCs/>
        </w:rPr>
        <w:t>“Organization</w:t>
      </w:r>
      <w:r w:rsidR="00C026A6" w:rsidRPr="00EA59C0">
        <w:rPr>
          <w:iCs/>
        </w:rPr>
        <w:t xml:space="preserve"> </w:t>
      </w:r>
      <w:r w:rsidRPr="00EA59C0">
        <w:rPr>
          <w:iCs/>
        </w:rPr>
        <w:t>Registration</w:t>
      </w:r>
      <w:r w:rsidR="00C026A6" w:rsidRPr="00EA59C0">
        <w:rPr>
          <w:iCs/>
        </w:rPr>
        <w:t xml:space="preserve"> </w:t>
      </w:r>
      <w:r w:rsidRPr="00EA59C0">
        <w:rPr>
          <w:iCs/>
        </w:rPr>
        <w:t>Checklist”</w:t>
      </w:r>
      <w:r w:rsidR="00C026A6" w:rsidRPr="00EA59C0">
        <w:rPr>
          <w:iCs/>
        </w:rPr>
        <w:t xml:space="preserve"> </w:t>
      </w:r>
      <w:r w:rsidRPr="00EA59C0">
        <w:rPr>
          <w:iCs/>
        </w:rPr>
        <w:t>at</w:t>
      </w:r>
      <w:r w:rsidR="00C026A6" w:rsidRPr="00EA59C0">
        <w:rPr>
          <w:iCs/>
        </w:rPr>
        <w:t xml:space="preserve"> </w:t>
      </w:r>
      <w:hyperlink r:id="rId264" w:history="1">
        <w:r w:rsidR="0079364A" w:rsidRPr="00EA59C0">
          <w:rPr>
            <w:rStyle w:val="Hyperlink"/>
            <w:iCs/>
            <w:color w:val="auto"/>
          </w:rPr>
          <w:t>http://www.grants.gov/documents/19/18243/OrganizationRegChecklist.pdf/fc7e7c18-2497-4b08-8d9b-bfac399947a3</w:t>
        </w:r>
      </w:hyperlink>
      <w:r w:rsidR="00C026A6" w:rsidRPr="00EA59C0">
        <w:rPr>
          <w:iCs/>
        </w:rPr>
        <w:t xml:space="preserve"> </w:t>
      </w:r>
      <w:hyperlink r:id="rId265" w:history="1"/>
      <w:r w:rsidRPr="00EA59C0">
        <w:rPr>
          <w:iCs/>
        </w:rPr>
        <w:t>and</w:t>
      </w:r>
      <w:r w:rsidR="00C026A6" w:rsidRPr="00EA59C0">
        <w:rPr>
          <w:iCs/>
        </w:rPr>
        <w:t xml:space="preserve"> </w:t>
      </w:r>
      <w:r w:rsidRPr="00EA59C0">
        <w:rPr>
          <w:iCs/>
        </w:rPr>
        <w:t>prepare</w:t>
      </w:r>
      <w:r w:rsidR="00C026A6" w:rsidRPr="00EA59C0">
        <w:rPr>
          <w:iCs/>
        </w:rPr>
        <w:t xml:space="preserve"> </w:t>
      </w:r>
      <w:r w:rsidRPr="00EA59C0">
        <w:rPr>
          <w:iCs/>
        </w:rPr>
        <w:t>the</w:t>
      </w:r>
      <w:r w:rsidR="00C026A6" w:rsidRPr="00EA59C0">
        <w:rPr>
          <w:iCs/>
        </w:rPr>
        <w:t xml:space="preserve"> </w:t>
      </w:r>
      <w:r w:rsidRPr="00EA59C0">
        <w:rPr>
          <w:iCs/>
        </w:rPr>
        <w:t>information</w:t>
      </w:r>
      <w:r w:rsidR="00C026A6" w:rsidRPr="00EA59C0">
        <w:rPr>
          <w:iCs/>
        </w:rPr>
        <w:t xml:space="preserve"> </w:t>
      </w:r>
      <w:r w:rsidRPr="00EA59C0">
        <w:rPr>
          <w:iCs/>
        </w:rPr>
        <w:t>requested</w:t>
      </w:r>
      <w:r w:rsidR="00C026A6" w:rsidRPr="00EA59C0">
        <w:rPr>
          <w:iCs/>
        </w:rPr>
        <w:t xml:space="preserve"> </w:t>
      </w:r>
      <w:r w:rsidRPr="00EA59C0">
        <w:rPr>
          <w:iCs/>
        </w:rPr>
        <w:t>before</w:t>
      </w:r>
      <w:r w:rsidR="00C026A6" w:rsidRPr="00EA59C0">
        <w:rPr>
          <w:iCs/>
        </w:rPr>
        <w:t xml:space="preserve"> </w:t>
      </w:r>
      <w:r w:rsidRPr="00EA59C0">
        <w:rPr>
          <w:iCs/>
        </w:rPr>
        <w:t>beginning</w:t>
      </w:r>
      <w:r w:rsidR="00C026A6" w:rsidRPr="00EA59C0">
        <w:rPr>
          <w:iCs/>
        </w:rPr>
        <w:t xml:space="preserve"> </w:t>
      </w:r>
      <w:r w:rsidRPr="00EA59C0">
        <w:rPr>
          <w:iCs/>
        </w:rPr>
        <w:t>the</w:t>
      </w:r>
      <w:r w:rsidR="00C026A6" w:rsidRPr="00EA59C0">
        <w:rPr>
          <w:iCs/>
        </w:rPr>
        <w:t xml:space="preserve"> </w:t>
      </w:r>
      <w:r w:rsidRPr="00EA59C0">
        <w:rPr>
          <w:iCs/>
        </w:rPr>
        <w:t>registration</w:t>
      </w:r>
      <w:r w:rsidR="00C026A6" w:rsidRPr="00EA59C0">
        <w:rPr>
          <w:iCs/>
        </w:rPr>
        <w:t xml:space="preserve"> </w:t>
      </w:r>
      <w:r w:rsidRPr="00EA59C0">
        <w:rPr>
          <w:iCs/>
        </w:rPr>
        <w:t>process.</w:t>
      </w:r>
      <w:r w:rsidR="00C026A6" w:rsidRPr="00EA59C0">
        <w:rPr>
          <w:iCs/>
        </w:rPr>
        <w:t xml:space="preserve"> </w:t>
      </w:r>
      <w:r w:rsidRPr="00EA59C0">
        <w:rPr>
          <w:iCs/>
        </w:rPr>
        <w:t>Reviewing</w:t>
      </w:r>
      <w:r w:rsidR="00C026A6" w:rsidRPr="00EA59C0">
        <w:rPr>
          <w:iCs/>
        </w:rPr>
        <w:t xml:space="preserve"> </w:t>
      </w:r>
      <w:r w:rsidRPr="00EA59C0">
        <w:rPr>
          <w:iCs/>
        </w:rPr>
        <w:t>and</w:t>
      </w:r>
      <w:r w:rsidR="00C026A6" w:rsidRPr="00EA59C0">
        <w:rPr>
          <w:iCs/>
        </w:rPr>
        <w:t xml:space="preserve"> </w:t>
      </w:r>
      <w:r w:rsidRPr="00EA59C0">
        <w:rPr>
          <w:iCs/>
        </w:rPr>
        <w:t>assembling</w:t>
      </w:r>
      <w:r w:rsidR="00C026A6" w:rsidRPr="00EA59C0">
        <w:rPr>
          <w:iCs/>
        </w:rPr>
        <w:t xml:space="preserve"> </w:t>
      </w:r>
      <w:r w:rsidRPr="00EA59C0">
        <w:rPr>
          <w:iCs/>
        </w:rPr>
        <w:t>required</w:t>
      </w:r>
      <w:r w:rsidR="00C026A6" w:rsidRPr="00EA59C0">
        <w:rPr>
          <w:iCs/>
        </w:rPr>
        <w:t xml:space="preserve"> </w:t>
      </w:r>
      <w:r w:rsidRPr="00EA59C0">
        <w:rPr>
          <w:iCs/>
        </w:rPr>
        <w:t>information</w:t>
      </w:r>
      <w:r w:rsidR="00C026A6" w:rsidRPr="00EA59C0">
        <w:rPr>
          <w:iCs/>
        </w:rPr>
        <w:t xml:space="preserve"> </w:t>
      </w:r>
      <w:r w:rsidRPr="00EA59C0">
        <w:rPr>
          <w:iCs/>
        </w:rPr>
        <w:t>before</w:t>
      </w:r>
      <w:r w:rsidR="00C026A6" w:rsidRPr="00EA59C0">
        <w:rPr>
          <w:iCs/>
        </w:rPr>
        <w:t xml:space="preserve"> </w:t>
      </w:r>
      <w:r w:rsidRPr="00EA59C0">
        <w:rPr>
          <w:iCs/>
        </w:rPr>
        <w:t>beginning</w:t>
      </w:r>
      <w:r w:rsidR="00C026A6" w:rsidRPr="00EA59C0">
        <w:rPr>
          <w:iCs/>
        </w:rPr>
        <w:t xml:space="preserve"> </w:t>
      </w:r>
      <w:r w:rsidRPr="00EA59C0">
        <w:rPr>
          <w:iCs/>
        </w:rPr>
        <w:t>the</w:t>
      </w:r>
      <w:r w:rsidR="00C026A6" w:rsidRPr="00EA59C0">
        <w:rPr>
          <w:iCs/>
        </w:rPr>
        <w:t xml:space="preserve"> </w:t>
      </w:r>
      <w:r w:rsidRPr="00EA59C0">
        <w:rPr>
          <w:iCs/>
        </w:rPr>
        <w:t>registration</w:t>
      </w:r>
      <w:r w:rsidR="00C026A6" w:rsidRPr="00EA59C0">
        <w:rPr>
          <w:iCs/>
        </w:rPr>
        <w:t xml:space="preserve"> </w:t>
      </w:r>
      <w:r w:rsidRPr="00EA59C0">
        <w:rPr>
          <w:iCs/>
        </w:rPr>
        <w:t>process</w:t>
      </w:r>
      <w:r w:rsidR="00C026A6" w:rsidRPr="00EA59C0">
        <w:rPr>
          <w:iCs/>
        </w:rPr>
        <w:t xml:space="preserve"> </w:t>
      </w:r>
      <w:r w:rsidRPr="00EA59C0">
        <w:rPr>
          <w:iCs/>
        </w:rPr>
        <w:t>will</w:t>
      </w:r>
      <w:r w:rsidR="00C026A6" w:rsidRPr="00EA59C0">
        <w:rPr>
          <w:iCs/>
        </w:rPr>
        <w:t xml:space="preserve"> </w:t>
      </w:r>
      <w:r w:rsidRPr="00EA59C0">
        <w:rPr>
          <w:iCs/>
        </w:rPr>
        <w:t>alleviate</w:t>
      </w:r>
      <w:r w:rsidR="00C026A6" w:rsidRPr="00EA59C0">
        <w:rPr>
          <w:iCs/>
        </w:rPr>
        <w:t xml:space="preserve"> </w:t>
      </w:r>
      <w:r w:rsidRPr="00EA59C0">
        <w:rPr>
          <w:iCs/>
        </w:rPr>
        <w:t>last</w:t>
      </w:r>
      <w:r w:rsidR="00C026A6" w:rsidRPr="00EA59C0">
        <w:rPr>
          <w:iCs/>
        </w:rPr>
        <w:t xml:space="preserve"> </w:t>
      </w:r>
      <w:r w:rsidRPr="00EA59C0">
        <w:rPr>
          <w:iCs/>
        </w:rPr>
        <w:t>minute</w:t>
      </w:r>
      <w:r w:rsidR="00C026A6" w:rsidRPr="00EA59C0">
        <w:rPr>
          <w:iCs/>
        </w:rPr>
        <w:t xml:space="preserve"> </w:t>
      </w:r>
      <w:r w:rsidRPr="00EA59C0">
        <w:rPr>
          <w:iCs/>
        </w:rPr>
        <w:t>searches</w:t>
      </w:r>
      <w:r w:rsidR="00C026A6" w:rsidRPr="00EA59C0">
        <w:rPr>
          <w:iCs/>
        </w:rPr>
        <w:t xml:space="preserve"> </w:t>
      </w:r>
      <w:r w:rsidRPr="00EA59C0">
        <w:rPr>
          <w:iCs/>
        </w:rPr>
        <w:t>for</w:t>
      </w:r>
      <w:r w:rsidR="00C026A6" w:rsidRPr="00EA59C0">
        <w:rPr>
          <w:iCs/>
        </w:rPr>
        <w:t xml:space="preserve"> </w:t>
      </w:r>
      <w:r w:rsidRPr="00EA59C0">
        <w:rPr>
          <w:iCs/>
        </w:rPr>
        <w:t>required</w:t>
      </w:r>
      <w:r w:rsidR="00C026A6" w:rsidRPr="00EA59C0">
        <w:rPr>
          <w:iCs/>
        </w:rPr>
        <w:t xml:space="preserve"> </w:t>
      </w:r>
      <w:r w:rsidRPr="00EA59C0">
        <w:rPr>
          <w:iCs/>
        </w:rPr>
        <w:t>information</w:t>
      </w:r>
      <w:r w:rsidR="00C026A6" w:rsidRPr="00EA59C0">
        <w:rPr>
          <w:iCs/>
        </w:rPr>
        <w:t xml:space="preserve"> </w:t>
      </w:r>
      <w:r w:rsidRPr="00EA59C0">
        <w:rPr>
          <w:iCs/>
        </w:rPr>
        <w:t>and</w:t>
      </w:r>
      <w:r w:rsidR="00C026A6" w:rsidRPr="00EA59C0">
        <w:rPr>
          <w:iCs/>
        </w:rPr>
        <w:t xml:space="preserve"> </w:t>
      </w:r>
      <w:r w:rsidRPr="00EA59C0">
        <w:rPr>
          <w:iCs/>
        </w:rPr>
        <w:t>save</w:t>
      </w:r>
      <w:r w:rsidR="00C026A6" w:rsidRPr="00EA59C0">
        <w:rPr>
          <w:iCs/>
        </w:rPr>
        <w:t xml:space="preserve"> </w:t>
      </w:r>
      <w:r w:rsidRPr="00EA59C0">
        <w:rPr>
          <w:iCs/>
        </w:rPr>
        <w:t>time.</w:t>
      </w:r>
      <w:r w:rsidR="00C026A6" w:rsidRPr="00EA59C0">
        <w:rPr>
          <w:iCs/>
        </w:rPr>
        <w:t xml:space="preserve">  </w:t>
      </w:r>
    </w:p>
    <w:p w:rsidR="00144DF0" w:rsidRPr="00EA59C0" w:rsidRDefault="00144DF0" w:rsidP="00C072FA">
      <w:pPr>
        <w:autoSpaceDE w:val="0"/>
        <w:autoSpaceDN w:val="0"/>
        <w:adjustRightInd w:val="0"/>
        <w:ind w:left="360"/>
      </w:pPr>
    </w:p>
    <w:p w:rsidR="00144DF0" w:rsidRPr="00EA59C0" w:rsidRDefault="007470AB" w:rsidP="00C072FA">
      <w:pPr>
        <w:autoSpaceDE w:val="0"/>
        <w:autoSpaceDN w:val="0"/>
        <w:adjustRightInd w:val="0"/>
        <w:ind w:left="720"/>
        <w:rPr>
          <w:iCs/>
        </w:rPr>
      </w:pPr>
      <w:r w:rsidRPr="00EA59C0">
        <w:t>As</w:t>
      </w:r>
      <w:r w:rsidR="00C026A6" w:rsidRPr="00EA59C0">
        <w:t xml:space="preserve"> </w:t>
      </w:r>
      <w:r w:rsidRPr="00EA59C0">
        <w:t>described</w:t>
      </w:r>
      <w:r w:rsidR="00C026A6" w:rsidRPr="00EA59C0">
        <w:t xml:space="preserve"> </w:t>
      </w:r>
      <w:r w:rsidR="004F0D97" w:rsidRPr="00EA59C0">
        <w:t>earlier</w:t>
      </w:r>
      <w:r w:rsidR="00C026A6" w:rsidRPr="00EA59C0">
        <w:t xml:space="preserve"> </w:t>
      </w:r>
      <w:r w:rsidR="004F0D97" w:rsidRPr="00EA59C0">
        <w:t>in</w:t>
      </w:r>
      <w:r w:rsidR="00C026A6" w:rsidRPr="00EA59C0">
        <w:t xml:space="preserve"> </w:t>
      </w:r>
      <w:r w:rsidR="004F0D97" w:rsidRPr="00EA59C0">
        <w:t>Section</w:t>
      </w:r>
      <w:r w:rsidR="00C026A6" w:rsidRPr="00EA59C0">
        <w:t xml:space="preserve"> </w:t>
      </w:r>
      <w:r w:rsidR="004F0D97" w:rsidRPr="00EA59C0">
        <w:t>IV.B.1.</w:t>
      </w:r>
      <w:r w:rsidRPr="00EA59C0">
        <w:t>,</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have</w:t>
      </w:r>
      <w:r w:rsidR="00C026A6" w:rsidRPr="00EA59C0">
        <w:t xml:space="preserve"> </w:t>
      </w:r>
      <w:r w:rsidRPr="00EA59C0">
        <w:t>a</w:t>
      </w:r>
      <w:r w:rsidR="00C026A6" w:rsidRPr="00EA59C0">
        <w:t xml:space="preserve"> </w:t>
      </w:r>
      <w:r w:rsidR="006A1A2C" w:rsidRPr="00EA59C0">
        <w:t>DUNS</w:t>
      </w:r>
      <w:r w:rsidR="00C026A6" w:rsidRPr="00EA59C0">
        <w:t xml:space="preserve"> </w:t>
      </w:r>
      <w:r w:rsidRPr="00EA59C0">
        <w:t>Number</w:t>
      </w:r>
      <w:r w:rsidR="00C026A6" w:rsidRPr="00EA59C0">
        <w:t xml:space="preserve"> </w:t>
      </w:r>
      <w:r w:rsidRPr="00EA59C0">
        <w:t>and</w:t>
      </w:r>
      <w:r w:rsidR="00C026A6" w:rsidRPr="00EA59C0">
        <w:t xml:space="preserve"> </w:t>
      </w:r>
      <w:r w:rsidRPr="00EA59C0">
        <w:t>must</w:t>
      </w:r>
      <w:r w:rsidR="00C026A6" w:rsidRPr="00EA59C0">
        <w:t xml:space="preserve"> </w:t>
      </w:r>
      <w:r w:rsidRPr="00EA59C0">
        <w:t>register</w:t>
      </w:r>
      <w:r w:rsidR="00C026A6" w:rsidRPr="00EA59C0">
        <w:t xml:space="preserve"> </w:t>
      </w:r>
      <w:r w:rsidRPr="00EA59C0">
        <w:t>with</w:t>
      </w:r>
      <w:r w:rsidR="00C026A6" w:rsidRPr="00EA59C0">
        <w:t xml:space="preserve"> </w:t>
      </w:r>
      <w:r w:rsidRPr="00EA59C0">
        <w:t>the</w:t>
      </w:r>
      <w:r w:rsidR="00C026A6" w:rsidRPr="00EA59C0">
        <w:t xml:space="preserve"> </w:t>
      </w:r>
      <w:r w:rsidR="00D81847" w:rsidRPr="00EA59C0">
        <w:t>System</w:t>
      </w:r>
      <w:r w:rsidR="00C026A6" w:rsidRPr="00EA59C0">
        <w:t xml:space="preserve"> </w:t>
      </w:r>
      <w:r w:rsidR="00D81847" w:rsidRPr="00EA59C0">
        <w:t>for</w:t>
      </w:r>
      <w:r w:rsidR="00C026A6" w:rsidRPr="00EA59C0">
        <w:t xml:space="preserve"> </w:t>
      </w:r>
      <w:r w:rsidR="00D81847" w:rsidRPr="00EA59C0">
        <w:t>Award</w:t>
      </w:r>
      <w:r w:rsidR="00C026A6" w:rsidRPr="00EA59C0">
        <w:t xml:space="preserve"> </w:t>
      </w:r>
      <w:r w:rsidR="00D81847" w:rsidRPr="00EA59C0">
        <w:t>Management</w:t>
      </w:r>
      <w:r w:rsidR="00C026A6" w:rsidRPr="00EA59C0">
        <w:t xml:space="preserve"> </w:t>
      </w:r>
      <w:r w:rsidR="00D81847" w:rsidRPr="00EA59C0">
        <w:t>(SAM)</w:t>
      </w:r>
      <w:r w:rsidR="004F0D97" w:rsidRPr="00EA59C0">
        <w:t>.</w:t>
      </w:r>
      <w:r w:rsidR="00C026A6" w:rsidRPr="00EA59C0">
        <w:t xml:space="preserve"> </w:t>
      </w:r>
    </w:p>
    <w:p w:rsidR="00144DF0" w:rsidRPr="00EA59C0" w:rsidRDefault="00144DF0" w:rsidP="00C072FA">
      <w:pPr>
        <w:autoSpaceDE w:val="0"/>
        <w:autoSpaceDN w:val="0"/>
        <w:adjustRightInd w:val="0"/>
        <w:ind w:left="720"/>
        <w:rPr>
          <w:iCs/>
        </w:rPr>
      </w:pPr>
    </w:p>
    <w:p w:rsidR="00144DF0" w:rsidRPr="00EA59C0" w:rsidRDefault="007470AB" w:rsidP="00C072FA">
      <w:pPr>
        <w:autoSpaceDE w:val="0"/>
        <w:autoSpaceDN w:val="0"/>
        <w:adjustRightInd w:val="0"/>
        <w:ind w:left="720"/>
        <w:rPr>
          <w:iCs/>
        </w:rPr>
      </w:pPr>
      <w:r w:rsidRPr="00EA59C0">
        <w:rPr>
          <w:iCs/>
        </w:rPr>
        <w:t>The</w:t>
      </w:r>
      <w:r w:rsidR="00C026A6" w:rsidRPr="00EA59C0">
        <w:rPr>
          <w:iCs/>
        </w:rPr>
        <w:t xml:space="preserve"> </w:t>
      </w:r>
      <w:r w:rsidRPr="00EA59C0">
        <w:rPr>
          <w:iCs/>
        </w:rPr>
        <w:t>next</w:t>
      </w:r>
      <w:r w:rsidR="00C026A6" w:rsidRPr="00EA59C0">
        <w:rPr>
          <w:iCs/>
        </w:rPr>
        <w:t xml:space="preserve"> </w:t>
      </w:r>
      <w:r w:rsidRPr="00EA59C0">
        <w:rPr>
          <w:iCs/>
        </w:rPr>
        <w:t>step</w:t>
      </w:r>
      <w:r w:rsidR="00C026A6" w:rsidRPr="00EA59C0">
        <w:rPr>
          <w:iCs/>
        </w:rPr>
        <w:t xml:space="preserve"> </w:t>
      </w:r>
      <w:r w:rsidRPr="00EA59C0">
        <w:rPr>
          <w:iCs/>
        </w:rPr>
        <w:t>in</w:t>
      </w:r>
      <w:r w:rsidR="00C026A6" w:rsidRPr="00EA59C0">
        <w:rPr>
          <w:iCs/>
        </w:rPr>
        <w:t xml:space="preserve"> </w:t>
      </w:r>
      <w:r w:rsidRPr="00EA59C0">
        <w:rPr>
          <w:iCs/>
        </w:rPr>
        <w:t>the</w:t>
      </w:r>
      <w:r w:rsidR="00C026A6" w:rsidRPr="00EA59C0">
        <w:rPr>
          <w:iCs/>
        </w:rPr>
        <w:t xml:space="preserve"> </w:t>
      </w:r>
      <w:r w:rsidRPr="00EA59C0">
        <w:rPr>
          <w:iCs/>
        </w:rPr>
        <w:t>registration</w:t>
      </w:r>
      <w:r w:rsidR="00C026A6" w:rsidRPr="00EA59C0">
        <w:rPr>
          <w:iCs/>
        </w:rPr>
        <w:t xml:space="preserve"> </w:t>
      </w:r>
      <w:r w:rsidRPr="00EA59C0">
        <w:rPr>
          <w:iCs/>
        </w:rPr>
        <w:t>process</w:t>
      </w:r>
      <w:r w:rsidR="00C026A6" w:rsidRPr="00EA59C0">
        <w:rPr>
          <w:iCs/>
        </w:rPr>
        <w:t xml:space="preserve"> </w:t>
      </w:r>
      <w:r w:rsidRPr="00EA59C0">
        <w:rPr>
          <w:iCs/>
        </w:rPr>
        <w:t>is</w:t>
      </w:r>
      <w:r w:rsidR="00C026A6" w:rsidRPr="00EA59C0">
        <w:rPr>
          <w:iCs/>
        </w:rPr>
        <w:t xml:space="preserve"> </w:t>
      </w:r>
      <w:r w:rsidRPr="00EA59C0">
        <w:rPr>
          <w:iCs/>
        </w:rPr>
        <w:t>creating</w:t>
      </w:r>
      <w:r w:rsidR="00C026A6" w:rsidRPr="00EA59C0">
        <w:rPr>
          <w:iCs/>
        </w:rPr>
        <w:t xml:space="preserve"> </w:t>
      </w:r>
      <w:r w:rsidRPr="00EA59C0">
        <w:rPr>
          <w:iCs/>
        </w:rPr>
        <w:t>a</w:t>
      </w:r>
      <w:r w:rsidR="00C026A6" w:rsidRPr="00EA59C0">
        <w:rPr>
          <w:iCs/>
        </w:rPr>
        <w:t xml:space="preserve"> </w:t>
      </w:r>
      <w:r w:rsidRPr="00EA59C0">
        <w:rPr>
          <w:iCs/>
        </w:rPr>
        <w:t>username</w:t>
      </w:r>
      <w:r w:rsidR="00C026A6" w:rsidRPr="00EA59C0">
        <w:rPr>
          <w:iCs/>
        </w:rPr>
        <w:t xml:space="preserve"> </w:t>
      </w:r>
      <w:r w:rsidRPr="00EA59C0">
        <w:rPr>
          <w:iCs/>
        </w:rPr>
        <w:t>and</w:t>
      </w:r>
      <w:r w:rsidR="00C026A6" w:rsidRPr="00EA59C0">
        <w:rPr>
          <w:iCs/>
        </w:rPr>
        <w:t xml:space="preserve"> </w:t>
      </w:r>
      <w:r w:rsidRPr="00EA59C0">
        <w:rPr>
          <w:iCs/>
        </w:rPr>
        <w:t>password</w:t>
      </w:r>
      <w:r w:rsidR="00C026A6" w:rsidRPr="00EA59C0">
        <w:rPr>
          <w:iCs/>
        </w:rPr>
        <w:t xml:space="preserve"> </w:t>
      </w:r>
      <w:r w:rsidRPr="00EA59C0">
        <w:rPr>
          <w:iCs/>
        </w:rPr>
        <w:t>with</w:t>
      </w:r>
      <w:r w:rsidR="00C026A6" w:rsidRPr="00EA59C0">
        <w:rPr>
          <w:iCs/>
        </w:rPr>
        <w:t xml:space="preserve"> </w:t>
      </w:r>
      <w:r w:rsidRPr="00EA59C0">
        <w:rPr>
          <w:iCs/>
        </w:rPr>
        <w:t>Grants.gov</w:t>
      </w:r>
      <w:r w:rsidR="00C026A6" w:rsidRPr="00EA59C0">
        <w:rPr>
          <w:iCs/>
        </w:rPr>
        <w:t xml:space="preserve"> </w:t>
      </w:r>
      <w:r w:rsidRPr="00EA59C0">
        <w:rPr>
          <w:iCs/>
        </w:rPr>
        <w:t>to</w:t>
      </w:r>
      <w:r w:rsidR="00C026A6" w:rsidRPr="00EA59C0">
        <w:rPr>
          <w:iCs/>
        </w:rPr>
        <w:t xml:space="preserve"> </w:t>
      </w:r>
      <w:r w:rsidRPr="00EA59C0">
        <w:rPr>
          <w:iCs/>
        </w:rPr>
        <w:t>become</w:t>
      </w:r>
      <w:r w:rsidR="00C026A6" w:rsidRPr="00EA59C0">
        <w:rPr>
          <w:iCs/>
        </w:rPr>
        <w:t xml:space="preserve"> </w:t>
      </w:r>
      <w:r w:rsidRPr="00EA59C0">
        <w:rPr>
          <w:iCs/>
        </w:rPr>
        <w:t>an</w:t>
      </w:r>
      <w:r w:rsidR="00C026A6" w:rsidRPr="00EA59C0">
        <w:rPr>
          <w:iCs/>
        </w:rPr>
        <w:t xml:space="preserve"> </w:t>
      </w:r>
      <w:r w:rsidRPr="00EA59C0">
        <w:rPr>
          <w:iCs/>
        </w:rPr>
        <w:t>Authorized</w:t>
      </w:r>
      <w:r w:rsidR="00C026A6" w:rsidRPr="00EA59C0">
        <w:rPr>
          <w:iCs/>
        </w:rPr>
        <w:t xml:space="preserve"> </w:t>
      </w:r>
      <w:r w:rsidRPr="00EA59C0">
        <w:rPr>
          <w:iCs/>
        </w:rPr>
        <w:t>Organizational</w:t>
      </w:r>
      <w:r w:rsidR="00C026A6" w:rsidRPr="00EA59C0">
        <w:rPr>
          <w:iCs/>
        </w:rPr>
        <w:t xml:space="preserve"> </w:t>
      </w:r>
      <w:r w:rsidRPr="00EA59C0">
        <w:rPr>
          <w:iCs/>
        </w:rPr>
        <w:t>Representative</w:t>
      </w:r>
      <w:r w:rsidR="00C026A6" w:rsidRPr="00EA59C0">
        <w:rPr>
          <w:iCs/>
        </w:rPr>
        <w:t xml:space="preserve"> </w:t>
      </w:r>
      <w:r w:rsidRPr="00EA59C0">
        <w:rPr>
          <w:iCs/>
        </w:rPr>
        <w:t>(AOR).</w:t>
      </w:r>
      <w:r w:rsidR="00C026A6" w:rsidRPr="00EA59C0">
        <w:rPr>
          <w:iCs/>
        </w:rPr>
        <w:t xml:space="preserve">  </w:t>
      </w:r>
      <w:r w:rsidRPr="00EA59C0">
        <w:rPr>
          <w:iCs/>
        </w:rPr>
        <w:t>AORs</w:t>
      </w:r>
      <w:r w:rsidR="00C026A6" w:rsidRPr="00EA59C0">
        <w:rPr>
          <w:iCs/>
        </w:rPr>
        <w:t xml:space="preserve"> </w:t>
      </w:r>
      <w:r w:rsidRPr="00EA59C0">
        <w:rPr>
          <w:iCs/>
        </w:rPr>
        <w:t>will</w:t>
      </w:r>
      <w:r w:rsidR="00C026A6" w:rsidRPr="00EA59C0">
        <w:rPr>
          <w:iCs/>
        </w:rPr>
        <w:t xml:space="preserve"> </w:t>
      </w:r>
      <w:r w:rsidRPr="00EA59C0">
        <w:rPr>
          <w:iCs/>
        </w:rPr>
        <w:t>need</w:t>
      </w:r>
      <w:r w:rsidR="00C026A6" w:rsidRPr="00EA59C0">
        <w:rPr>
          <w:iCs/>
        </w:rPr>
        <w:t xml:space="preserve"> </w:t>
      </w:r>
      <w:r w:rsidRPr="00EA59C0">
        <w:rPr>
          <w:iCs/>
        </w:rPr>
        <w:t>to</w:t>
      </w:r>
      <w:r w:rsidR="00C026A6" w:rsidRPr="00EA59C0">
        <w:rPr>
          <w:iCs/>
        </w:rPr>
        <w:t xml:space="preserve"> </w:t>
      </w:r>
      <w:r w:rsidRPr="00EA59C0">
        <w:rPr>
          <w:iCs/>
        </w:rPr>
        <w:t>know</w:t>
      </w:r>
      <w:r w:rsidR="00C026A6" w:rsidRPr="00EA59C0">
        <w:rPr>
          <w:iCs/>
        </w:rPr>
        <w:t xml:space="preserve"> </w:t>
      </w:r>
      <w:r w:rsidRPr="00EA59C0">
        <w:rPr>
          <w:iCs/>
        </w:rPr>
        <w:t>the</w:t>
      </w:r>
      <w:r w:rsidR="00C026A6" w:rsidRPr="00EA59C0">
        <w:rPr>
          <w:iCs/>
        </w:rPr>
        <w:t xml:space="preserve"> </w:t>
      </w:r>
      <w:r w:rsidR="006A1A2C" w:rsidRPr="00EA59C0">
        <w:rPr>
          <w:iCs/>
        </w:rPr>
        <w:t>DUNS</w:t>
      </w:r>
      <w:r w:rsidR="00C026A6" w:rsidRPr="00EA59C0">
        <w:t xml:space="preserve"> </w:t>
      </w:r>
      <w:r w:rsidRPr="00EA59C0">
        <w:t>Number</w:t>
      </w:r>
      <w:r w:rsidR="00C026A6" w:rsidRPr="00EA59C0">
        <w:rPr>
          <w:iCs/>
        </w:rPr>
        <w:t xml:space="preserve"> </w:t>
      </w:r>
      <w:r w:rsidRPr="00EA59C0">
        <w:rPr>
          <w:iCs/>
        </w:rPr>
        <w:t>of</w:t>
      </w:r>
      <w:r w:rsidR="00C026A6" w:rsidRPr="00EA59C0">
        <w:rPr>
          <w:iCs/>
        </w:rPr>
        <w:t xml:space="preserve"> </w:t>
      </w:r>
      <w:r w:rsidRPr="00EA59C0">
        <w:rPr>
          <w:iCs/>
        </w:rPr>
        <w:t>the</w:t>
      </w:r>
      <w:r w:rsidR="00C026A6" w:rsidRPr="00EA59C0">
        <w:rPr>
          <w:iCs/>
        </w:rPr>
        <w:t xml:space="preserve"> </w:t>
      </w:r>
      <w:r w:rsidRPr="00EA59C0">
        <w:rPr>
          <w:iCs/>
        </w:rPr>
        <w:t>organization</w:t>
      </w:r>
      <w:r w:rsidR="00C026A6" w:rsidRPr="00EA59C0">
        <w:rPr>
          <w:iCs/>
        </w:rPr>
        <w:t xml:space="preserve"> </w:t>
      </w:r>
      <w:r w:rsidRPr="00EA59C0">
        <w:rPr>
          <w:iCs/>
        </w:rPr>
        <w:t>for</w:t>
      </w:r>
      <w:r w:rsidR="00C026A6" w:rsidRPr="00EA59C0">
        <w:rPr>
          <w:iCs/>
        </w:rPr>
        <w:t xml:space="preserve"> </w:t>
      </w:r>
      <w:r w:rsidRPr="00EA59C0">
        <w:rPr>
          <w:iCs/>
        </w:rPr>
        <w:t>which</w:t>
      </w:r>
      <w:r w:rsidR="00C026A6" w:rsidRPr="00EA59C0">
        <w:rPr>
          <w:iCs/>
        </w:rPr>
        <w:t xml:space="preserve"> </w:t>
      </w:r>
      <w:r w:rsidRPr="00EA59C0">
        <w:rPr>
          <w:iCs/>
        </w:rPr>
        <w:t>they</w:t>
      </w:r>
      <w:r w:rsidR="00C026A6" w:rsidRPr="00EA59C0">
        <w:rPr>
          <w:iCs/>
        </w:rPr>
        <w:t xml:space="preserve"> </w:t>
      </w:r>
      <w:r w:rsidRPr="00EA59C0">
        <w:rPr>
          <w:iCs/>
        </w:rPr>
        <w:t>will</w:t>
      </w:r>
      <w:r w:rsidR="00C026A6" w:rsidRPr="00EA59C0">
        <w:rPr>
          <w:iCs/>
        </w:rPr>
        <w:t xml:space="preserve"> </w:t>
      </w:r>
      <w:r w:rsidRPr="00EA59C0">
        <w:rPr>
          <w:iCs/>
        </w:rPr>
        <w:t>be</w:t>
      </w:r>
      <w:r w:rsidR="00C026A6" w:rsidRPr="00EA59C0">
        <w:rPr>
          <w:iCs/>
        </w:rPr>
        <w:t xml:space="preserve"> </w:t>
      </w:r>
      <w:r w:rsidRPr="00EA59C0">
        <w:rPr>
          <w:iCs/>
        </w:rPr>
        <w:t>submitting</w:t>
      </w:r>
      <w:r w:rsidR="00C026A6" w:rsidRPr="00EA59C0">
        <w:rPr>
          <w:iCs/>
        </w:rPr>
        <w:t xml:space="preserve"> </w:t>
      </w:r>
      <w:r w:rsidRPr="00EA59C0">
        <w:rPr>
          <w:iCs/>
        </w:rPr>
        <w:t>applications</w:t>
      </w:r>
      <w:r w:rsidR="00C026A6" w:rsidRPr="00EA59C0">
        <w:rPr>
          <w:iCs/>
        </w:rPr>
        <w:t xml:space="preserve"> </w:t>
      </w:r>
      <w:r w:rsidRPr="00EA59C0">
        <w:rPr>
          <w:iCs/>
        </w:rPr>
        <w:t>to</w:t>
      </w:r>
      <w:r w:rsidR="00C026A6" w:rsidRPr="00EA59C0">
        <w:rPr>
          <w:iCs/>
        </w:rPr>
        <w:t xml:space="preserve"> </w:t>
      </w:r>
      <w:r w:rsidRPr="00EA59C0">
        <w:rPr>
          <w:iCs/>
        </w:rPr>
        <w:t>complete</w:t>
      </w:r>
      <w:r w:rsidR="00C026A6" w:rsidRPr="00EA59C0">
        <w:rPr>
          <w:iCs/>
        </w:rPr>
        <w:t xml:space="preserve"> </w:t>
      </w:r>
      <w:r w:rsidRPr="00EA59C0">
        <w:rPr>
          <w:iCs/>
        </w:rPr>
        <w:t>this</w:t>
      </w:r>
      <w:r w:rsidR="00C026A6" w:rsidRPr="00EA59C0">
        <w:rPr>
          <w:iCs/>
        </w:rPr>
        <w:t xml:space="preserve"> </w:t>
      </w:r>
      <w:r w:rsidRPr="00EA59C0">
        <w:rPr>
          <w:iCs/>
        </w:rPr>
        <w:t>process.</w:t>
      </w:r>
      <w:r w:rsidR="00C026A6" w:rsidRPr="00EA59C0">
        <w:rPr>
          <w:iCs/>
        </w:rPr>
        <w:t xml:space="preserve">  </w:t>
      </w:r>
      <w:r w:rsidRPr="00EA59C0">
        <w:rPr>
          <w:iCs/>
        </w:rPr>
        <w:t>To</w:t>
      </w:r>
      <w:r w:rsidR="00C026A6" w:rsidRPr="00EA59C0">
        <w:rPr>
          <w:iCs/>
        </w:rPr>
        <w:t xml:space="preserve"> </w:t>
      </w:r>
      <w:r w:rsidRPr="00EA59C0">
        <w:rPr>
          <w:iCs/>
        </w:rPr>
        <w:t>read</w:t>
      </w:r>
      <w:r w:rsidR="00C026A6" w:rsidRPr="00EA59C0">
        <w:rPr>
          <w:iCs/>
        </w:rPr>
        <w:t xml:space="preserve"> </w:t>
      </w:r>
      <w:r w:rsidRPr="00EA59C0">
        <w:rPr>
          <w:iCs/>
        </w:rPr>
        <w:t>more</w:t>
      </w:r>
      <w:r w:rsidR="00C026A6" w:rsidRPr="00EA59C0">
        <w:rPr>
          <w:iCs/>
        </w:rPr>
        <w:t xml:space="preserve"> </w:t>
      </w:r>
      <w:r w:rsidRPr="00EA59C0">
        <w:rPr>
          <w:iCs/>
        </w:rPr>
        <w:t>detailed</w:t>
      </w:r>
      <w:r w:rsidR="00C026A6" w:rsidRPr="00EA59C0">
        <w:rPr>
          <w:iCs/>
        </w:rPr>
        <w:t xml:space="preserve"> </w:t>
      </w:r>
      <w:r w:rsidRPr="00EA59C0">
        <w:rPr>
          <w:iCs/>
        </w:rPr>
        <w:t>instructions</w:t>
      </w:r>
      <w:r w:rsidR="00C026A6" w:rsidRPr="00EA59C0">
        <w:rPr>
          <w:iCs/>
        </w:rPr>
        <w:t xml:space="preserve"> </w:t>
      </w:r>
      <w:r w:rsidRPr="00EA59C0">
        <w:rPr>
          <w:iCs/>
        </w:rPr>
        <w:t>for</w:t>
      </w:r>
      <w:r w:rsidR="00C026A6" w:rsidRPr="00EA59C0">
        <w:rPr>
          <w:iCs/>
        </w:rPr>
        <w:t xml:space="preserve"> </w:t>
      </w:r>
      <w:r w:rsidRPr="00EA59C0">
        <w:rPr>
          <w:iCs/>
        </w:rPr>
        <w:t>creating</w:t>
      </w:r>
      <w:r w:rsidR="00C026A6" w:rsidRPr="00EA59C0">
        <w:rPr>
          <w:iCs/>
        </w:rPr>
        <w:t xml:space="preserve"> </w:t>
      </w:r>
      <w:r w:rsidRPr="00EA59C0">
        <w:rPr>
          <w:iCs/>
        </w:rPr>
        <w:t>a</w:t>
      </w:r>
      <w:r w:rsidR="00C026A6" w:rsidRPr="00EA59C0">
        <w:rPr>
          <w:iCs/>
        </w:rPr>
        <w:t xml:space="preserve"> </w:t>
      </w:r>
      <w:r w:rsidRPr="00EA59C0">
        <w:rPr>
          <w:iCs/>
        </w:rPr>
        <w:t>profile</w:t>
      </w:r>
      <w:r w:rsidR="00C026A6" w:rsidRPr="00EA59C0">
        <w:rPr>
          <w:iCs/>
        </w:rPr>
        <w:t xml:space="preserve"> </w:t>
      </w:r>
      <w:r w:rsidRPr="00EA59C0">
        <w:rPr>
          <w:iCs/>
        </w:rPr>
        <w:t>on</w:t>
      </w:r>
      <w:r w:rsidR="00C026A6" w:rsidRPr="00EA59C0">
        <w:rPr>
          <w:iCs/>
        </w:rPr>
        <w:t xml:space="preserve"> </w:t>
      </w:r>
      <w:r w:rsidRPr="00EA59C0">
        <w:rPr>
          <w:iCs/>
        </w:rPr>
        <w:t>Grants.gov</w:t>
      </w:r>
      <w:r w:rsidR="00C026A6" w:rsidRPr="00EA59C0">
        <w:rPr>
          <w:iCs/>
        </w:rPr>
        <w:t xml:space="preserve"> </w:t>
      </w:r>
      <w:r w:rsidRPr="00EA59C0">
        <w:rPr>
          <w:iCs/>
        </w:rPr>
        <w:t>visit:</w:t>
      </w:r>
      <w:r w:rsidR="00C026A6" w:rsidRPr="00EA59C0">
        <w:rPr>
          <w:iCs/>
        </w:rPr>
        <w:t xml:space="preserve"> </w:t>
      </w:r>
      <w:hyperlink r:id="rId266" w:history="1">
        <w:r w:rsidR="0079364A" w:rsidRPr="00EA59C0">
          <w:rPr>
            <w:rStyle w:val="Hyperlink"/>
            <w:iCs/>
            <w:color w:val="auto"/>
          </w:rPr>
          <w:t>http://www.grants.gov/web/grants/applicants/organization-registration/step-3-username-password.html</w:t>
        </w:r>
      </w:hyperlink>
      <w:r w:rsidR="00B50A9D" w:rsidRPr="00EA59C0">
        <w:rPr>
          <w:iCs/>
        </w:rPr>
        <w:t>.</w:t>
      </w:r>
      <w:r w:rsidR="00C026A6" w:rsidRPr="00EA59C0">
        <w:rPr>
          <w:iCs/>
        </w:rPr>
        <w:t xml:space="preserve">  </w:t>
      </w:r>
      <w:hyperlink w:history="1"/>
    </w:p>
    <w:p w:rsidR="00144DF0" w:rsidRPr="00EA59C0" w:rsidRDefault="00144DF0" w:rsidP="00C072FA">
      <w:pPr>
        <w:autoSpaceDE w:val="0"/>
        <w:autoSpaceDN w:val="0"/>
        <w:adjustRightInd w:val="0"/>
        <w:ind w:left="720"/>
        <w:rPr>
          <w:iCs/>
        </w:rPr>
      </w:pPr>
    </w:p>
    <w:p w:rsidR="00144DF0" w:rsidRPr="00EA59C0" w:rsidRDefault="007470AB" w:rsidP="00C072FA">
      <w:pPr>
        <w:autoSpaceDE w:val="0"/>
        <w:autoSpaceDN w:val="0"/>
        <w:adjustRightInd w:val="0"/>
        <w:ind w:left="720"/>
        <w:rPr>
          <w:iCs/>
        </w:rPr>
      </w:pPr>
      <w:r w:rsidRPr="00EA59C0">
        <w:rPr>
          <w:iCs/>
        </w:rPr>
        <w:t>After</w:t>
      </w:r>
      <w:r w:rsidR="00C026A6" w:rsidRPr="00EA59C0">
        <w:rPr>
          <w:iCs/>
        </w:rPr>
        <w:t xml:space="preserve"> </w:t>
      </w:r>
      <w:r w:rsidRPr="00EA59C0">
        <w:rPr>
          <w:iCs/>
        </w:rPr>
        <w:t>creating</w:t>
      </w:r>
      <w:r w:rsidR="00C026A6" w:rsidRPr="00EA59C0">
        <w:rPr>
          <w:iCs/>
        </w:rPr>
        <w:t xml:space="preserve"> </w:t>
      </w:r>
      <w:r w:rsidRPr="00EA59C0">
        <w:rPr>
          <w:iCs/>
        </w:rPr>
        <w:t>a</w:t>
      </w:r>
      <w:r w:rsidR="00C026A6" w:rsidRPr="00EA59C0">
        <w:rPr>
          <w:iCs/>
        </w:rPr>
        <w:t xml:space="preserve"> </w:t>
      </w:r>
      <w:r w:rsidRPr="00EA59C0">
        <w:rPr>
          <w:iCs/>
        </w:rPr>
        <w:t>profile</w:t>
      </w:r>
      <w:r w:rsidR="00C026A6" w:rsidRPr="00EA59C0">
        <w:rPr>
          <w:iCs/>
        </w:rPr>
        <w:t xml:space="preserve"> </w:t>
      </w:r>
      <w:r w:rsidRPr="00EA59C0">
        <w:rPr>
          <w:iCs/>
        </w:rPr>
        <w:t>on</w:t>
      </w:r>
      <w:r w:rsidR="00C026A6" w:rsidRPr="00EA59C0">
        <w:rPr>
          <w:iCs/>
        </w:rPr>
        <w:t xml:space="preserve"> </w:t>
      </w:r>
      <w:r w:rsidRPr="00EA59C0">
        <w:rPr>
          <w:iCs/>
        </w:rPr>
        <w:t>Grants.gov,</w:t>
      </w:r>
      <w:r w:rsidR="00C026A6" w:rsidRPr="00EA59C0">
        <w:rPr>
          <w:iCs/>
        </w:rPr>
        <w:t xml:space="preserve"> </w:t>
      </w:r>
      <w:r w:rsidRPr="00EA59C0">
        <w:rPr>
          <w:iCs/>
        </w:rPr>
        <w:t>the</w:t>
      </w:r>
      <w:r w:rsidR="00C026A6" w:rsidRPr="00EA59C0">
        <w:rPr>
          <w:iCs/>
        </w:rPr>
        <w:t xml:space="preserve"> </w:t>
      </w:r>
      <w:r w:rsidRPr="00EA59C0">
        <w:rPr>
          <w:iCs/>
        </w:rPr>
        <w:t>E-Biz</w:t>
      </w:r>
      <w:r w:rsidR="00C026A6" w:rsidRPr="00EA59C0">
        <w:rPr>
          <w:iCs/>
        </w:rPr>
        <w:t xml:space="preserve"> </w:t>
      </w:r>
      <w:r w:rsidRPr="00EA59C0">
        <w:rPr>
          <w:iCs/>
        </w:rPr>
        <w:t>point</w:t>
      </w:r>
      <w:r w:rsidR="00C026A6" w:rsidRPr="00EA59C0">
        <w:rPr>
          <w:iCs/>
        </w:rPr>
        <w:t xml:space="preserve"> </w:t>
      </w:r>
      <w:r w:rsidRPr="00EA59C0">
        <w:rPr>
          <w:iCs/>
        </w:rPr>
        <w:t>of</w:t>
      </w:r>
      <w:r w:rsidR="00C026A6" w:rsidRPr="00EA59C0">
        <w:rPr>
          <w:iCs/>
        </w:rPr>
        <w:t xml:space="preserve"> </w:t>
      </w:r>
      <w:r w:rsidRPr="00EA59C0">
        <w:rPr>
          <w:iCs/>
        </w:rPr>
        <w:t>Contact</w:t>
      </w:r>
      <w:r w:rsidR="00C026A6" w:rsidRPr="00EA59C0">
        <w:rPr>
          <w:iCs/>
        </w:rPr>
        <w:t xml:space="preserve"> </w:t>
      </w:r>
      <w:r w:rsidRPr="00EA59C0">
        <w:rPr>
          <w:iCs/>
        </w:rPr>
        <w:t>(E-Biz</w:t>
      </w:r>
      <w:r w:rsidR="00C026A6" w:rsidRPr="00EA59C0">
        <w:rPr>
          <w:iCs/>
        </w:rPr>
        <w:t xml:space="preserve"> </w:t>
      </w:r>
      <w:r w:rsidRPr="00EA59C0">
        <w:rPr>
          <w:iCs/>
        </w:rPr>
        <w:t>POC)</w:t>
      </w:r>
      <w:r w:rsidR="00C026A6" w:rsidRPr="00EA59C0">
        <w:rPr>
          <w:iCs/>
        </w:rPr>
        <w:t xml:space="preserve"> </w:t>
      </w:r>
      <w:r w:rsidRPr="00EA59C0">
        <w:rPr>
          <w:iCs/>
        </w:rPr>
        <w:t>-</w:t>
      </w:r>
      <w:r w:rsidR="00C026A6" w:rsidRPr="00EA59C0">
        <w:rPr>
          <w:iCs/>
        </w:rPr>
        <w:t xml:space="preserve"> </w:t>
      </w:r>
      <w:r w:rsidRPr="00EA59C0">
        <w:rPr>
          <w:iCs/>
        </w:rPr>
        <w:t>a</w:t>
      </w:r>
      <w:r w:rsidR="00C026A6" w:rsidRPr="00EA59C0">
        <w:rPr>
          <w:iCs/>
        </w:rPr>
        <w:t xml:space="preserve"> </w:t>
      </w:r>
      <w:r w:rsidRPr="00EA59C0">
        <w:rPr>
          <w:iCs/>
        </w:rPr>
        <w:t>representative</w:t>
      </w:r>
      <w:r w:rsidR="00C026A6" w:rsidRPr="00EA59C0">
        <w:rPr>
          <w:iCs/>
        </w:rPr>
        <w:t xml:space="preserve"> </w:t>
      </w:r>
      <w:r w:rsidRPr="00EA59C0">
        <w:rPr>
          <w:iCs/>
        </w:rPr>
        <w:t>from</w:t>
      </w:r>
      <w:r w:rsidR="00C026A6" w:rsidRPr="00EA59C0">
        <w:rPr>
          <w:iCs/>
        </w:rPr>
        <w:t xml:space="preserve"> </w:t>
      </w:r>
      <w:r w:rsidRPr="00EA59C0">
        <w:rPr>
          <w:iCs/>
        </w:rPr>
        <w:t>your</w:t>
      </w:r>
      <w:r w:rsidR="00C026A6" w:rsidRPr="00EA59C0">
        <w:rPr>
          <w:iCs/>
        </w:rPr>
        <w:t xml:space="preserve"> </w:t>
      </w:r>
      <w:r w:rsidRPr="00EA59C0">
        <w:rPr>
          <w:iCs/>
        </w:rPr>
        <w:t>organization</w:t>
      </w:r>
      <w:r w:rsidR="00C026A6" w:rsidRPr="00EA59C0">
        <w:rPr>
          <w:iCs/>
        </w:rPr>
        <w:t xml:space="preserve"> </w:t>
      </w:r>
      <w:r w:rsidRPr="00EA59C0">
        <w:rPr>
          <w:iCs/>
        </w:rPr>
        <w:t>who</w:t>
      </w:r>
      <w:r w:rsidR="00C026A6" w:rsidRPr="00EA59C0">
        <w:rPr>
          <w:iCs/>
        </w:rPr>
        <w:t xml:space="preserve"> </w:t>
      </w:r>
      <w:r w:rsidRPr="00EA59C0">
        <w:rPr>
          <w:iCs/>
        </w:rPr>
        <w:t>is</w:t>
      </w:r>
      <w:r w:rsidR="00C026A6" w:rsidRPr="00EA59C0">
        <w:rPr>
          <w:iCs/>
        </w:rPr>
        <w:t xml:space="preserve"> </w:t>
      </w:r>
      <w:r w:rsidRPr="00EA59C0">
        <w:rPr>
          <w:iCs/>
        </w:rPr>
        <w:t>the</w:t>
      </w:r>
      <w:r w:rsidR="00C026A6" w:rsidRPr="00EA59C0">
        <w:rPr>
          <w:iCs/>
        </w:rPr>
        <w:t xml:space="preserve"> </w:t>
      </w:r>
      <w:r w:rsidRPr="00EA59C0">
        <w:rPr>
          <w:iCs/>
        </w:rPr>
        <w:t>contact</w:t>
      </w:r>
      <w:r w:rsidR="00C026A6" w:rsidRPr="00EA59C0">
        <w:rPr>
          <w:iCs/>
        </w:rPr>
        <w:t xml:space="preserve"> </w:t>
      </w:r>
      <w:r w:rsidRPr="00EA59C0">
        <w:rPr>
          <w:iCs/>
        </w:rPr>
        <w:t>listed</w:t>
      </w:r>
      <w:r w:rsidR="00C026A6" w:rsidRPr="00EA59C0">
        <w:rPr>
          <w:iCs/>
        </w:rPr>
        <w:t xml:space="preserve"> </w:t>
      </w:r>
      <w:r w:rsidRPr="00EA59C0">
        <w:rPr>
          <w:iCs/>
        </w:rPr>
        <w:t>for</w:t>
      </w:r>
      <w:r w:rsidR="00C026A6" w:rsidRPr="00EA59C0">
        <w:rPr>
          <w:iCs/>
        </w:rPr>
        <w:t xml:space="preserve"> </w:t>
      </w:r>
      <w:r w:rsidR="00316EF5" w:rsidRPr="00EA59C0">
        <w:rPr>
          <w:iCs/>
        </w:rPr>
        <w:t>SAM</w:t>
      </w:r>
      <w:r w:rsidR="00C026A6" w:rsidRPr="00EA59C0">
        <w:rPr>
          <w:iCs/>
        </w:rPr>
        <w:t xml:space="preserve"> </w:t>
      </w:r>
      <w:r w:rsidRPr="00EA59C0">
        <w:rPr>
          <w:iCs/>
        </w:rPr>
        <w:t>–</w:t>
      </w:r>
      <w:r w:rsidR="00C026A6" w:rsidRPr="00EA59C0">
        <w:rPr>
          <w:iCs/>
        </w:rPr>
        <w:t xml:space="preserve"> </w:t>
      </w:r>
      <w:r w:rsidRPr="00EA59C0">
        <w:rPr>
          <w:iCs/>
        </w:rPr>
        <w:t>will</w:t>
      </w:r>
      <w:r w:rsidR="00C026A6" w:rsidRPr="00EA59C0">
        <w:rPr>
          <w:iCs/>
        </w:rPr>
        <w:t xml:space="preserve"> </w:t>
      </w:r>
      <w:r w:rsidRPr="00EA59C0">
        <w:rPr>
          <w:iCs/>
        </w:rPr>
        <w:t>receive</w:t>
      </w:r>
      <w:r w:rsidR="00C026A6" w:rsidRPr="00EA59C0">
        <w:rPr>
          <w:iCs/>
        </w:rPr>
        <w:t xml:space="preserve"> </w:t>
      </w:r>
      <w:r w:rsidRPr="00EA59C0">
        <w:rPr>
          <w:iCs/>
        </w:rPr>
        <w:t>an</w:t>
      </w:r>
      <w:r w:rsidR="00C026A6" w:rsidRPr="00EA59C0">
        <w:rPr>
          <w:iCs/>
        </w:rPr>
        <w:t xml:space="preserve"> </w:t>
      </w:r>
      <w:r w:rsidRPr="00EA59C0">
        <w:rPr>
          <w:iCs/>
        </w:rPr>
        <w:t>email</w:t>
      </w:r>
      <w:r w:rsidR="00C026A6" w:rsidRPr="00EA59C0">
        <w:rPr>
          <w:iCs/>
        </w:rPr>
        <w:t xml:space="preserve"> </w:t>
      </w:r>
      <w:r w:rsidRPr="00EA59C0">
        <w:rPr>
          <w:iCs/>
        </w:rPr>
        <w:t>to</w:t>
      </w:r>
      <w:r w:rsidR="00C026A6" w:rsidRPr="00EA59C0">
        <w:rPr>
          <w:iCs/>
        </w:rPr>
        <w:t xml:space="preserve"> </w:t>
      </w:r>
      <w:r w:rsidRPr="00EA59C0">
        <w:rPr>
          <w:iCs/>
        </w:rPr>
        <w:t>grant</w:t>
      </w:r>
      <w:r w:rsidR="00C026A6" w:rsidRPr="00EA59C0">
        <w:rPr>
          <w:iCs/>
        </w:rPr>
        <w:t xml:space="preserve"> </w:t>
      </w:r>
      <w:r w:rsidRPr="00EA59C0">
        <w:rPr>
          <w:iCs/>
        </w:rPr>
        <w:t>the</w:t>
      </w:r>
      <w:r w:rsidR="00C026A6" w:rsidRPr="00EA59C0">
        <w:rPr>
          <w:iCs/>
        </w:rPr>
        <w:t xml:space="preserve"> </w:t>
      </w:r>
      <w:r w:rsidRPr="00EA59C0">
        <w:rPr>
          <w:iCs/>
        </w:rPr>
        <w:t>AOR</w:t>
      </w:r>
      <w:r w:rsidR="00C026A6" w:rsidRPr="00EA59C0">
        <w:rPr>
          <w:iCs/>
        </w:rPr>
        <w:t xml:space="preserve"> </w:t>
      </w:r>
      <w:r w:rsidRPr="00EA59C0">
        <w:rPr>
          <w:iCs/>
        </w:rPr>
        <w:t>permission</w:t>
      </w:r>
      <w:r w:rsidR="00C026A6" w:rsidRPr="00EA59C0">
        <w:rPr>
          <w:iCs/>
        </w:rPr>
        <w:t xml:space="preserve"> </w:t>
      </w:r>
      <w:r w:rsidRPr="00EA59C0">
        <w:rPr>
          <w:iCs/>
        </w:rPr>
        <w:t>to</w:t>
      </w:r>
      <w:r w:rsidR="00C026A6" w:rsidRPr="00EA59C0">
        <w:rPr>
          <w:iCs/>
        </w:rPr>
        <w:t xml:space="preserve"> </w:t>
      </w:r>
      <w:r w:rsidRPr="00EA59C0">
        <w:rPr>
          <w:iCs/>
        </w:rPr>
        <w:t>submit</w:t>
      </w:r>
      <w:r w:rsidR="00C026A6" w:rsidRPr="00EA59C0">
        <w:rPr>
          <w:iCs/>
        </w:rPr>
        <w:t xml:space="preserve"> </w:t>
      </w:r>
      <w:r w:rsidRPr="00EA59C0">
        <w:rPr>
          <w:iCs/>
        </w:rPr>
        <w:t>applications</w:t>
      </w:r>
      <w:r w:rsidR="00C026A6" w:rsidRPr="00EA59C0">
        <w:rPr>
          <w:iCs/>
        </w:rPr>
        <w:t xml:space="preserve"> </w:t>
      </w:r>
      <w:r w:rsidRPr="00EA59C0">
        <w:rPr>
          <w:iCs/>
        </w:rPr>
        <w:t>on</w:t>
      </w:r>
      <w:r w:rsidR="00C026A6" w:rsidRPr="00EA59C0">
        <w:rPr>
          <w:iCs/>
        </w:rPr>
        <w:t xml:space="preserve"> </w:t>
      </w:r>
      <w:r w:rsidRPr="00EA59C0">
        <w:rPr>
          <w:iCs/>
        </w:rPr>
        <w:t>behalf</w:t>
      </w:r>
      <w:r w:rsidR="00C026A6" w:rsidRPr="00EA59C0">
        <w:rPr>
          <w:iCs/>
        </w:rPr>
        <w:t xml:space="preserve"> </w:t>
      </w:r>
      <w:r w:rsidRPr="00EA59C0">
        <w:rPr>
          <w:iCs/>
        </w:rPr>
        <w:t>of</w:t>
      </w:r>
      <w:r w:rsidR="00C026A6" w:rsidRPr="00EA59C0">
        <w:rPr>
          <w:iCs/>
        </w:rPr>
        <w:t xml:space="preserve"> </w:t>
      </w:r>
      <w:r w:rsidRPr="00EA59C0">
        <w:rPr>
          <w:iCs/>
        </w:rPr>
        <w:t>their</w:t>
      </w:r>
      <w:r w:rsidR="00C026A6" w:rsidRPr="00EA59C0">
        <w:rPr>
          <w:iCs/>
        </w:rPr>
        <w:t xml:space="preserve"> </w:t>
      </w:r>
      <w:r w:rsidRPr="00EA59C0">
        <w:rPr>
          <w:iCs/>
        </w:rPr>
        <w:t>organization.</w:t>
      </w:r>
      <w:r w:rsidR="00C026A6" w:rsidRPr="00EA59C0">
        <w:rPr>
          <w:iCs/>
        </w:rPr>
        <w:t xml:space="preserve">  </w:t>
      </w:r>
      <w:r w:rsidRPr="00EA59C0">
        <w:rPr>
          <w:iCs/>
        </w:rPr>
        <w:t>The</w:t>
      </w:r>
      <w:r w:rsidR="00C026A6" w:rsidRPr="00EA59C0">
        <w:rPr>
          <w:iCs/>
        </w:rPr>
        <w:t xml:space="preserve"> </w:t>
      </w:r>
      <w:r w:rsidRPr="00EA59C0">
        <w:rPr>
          <w:iCs/>
        </w:rPr>
        <w:t>E-Biz</w:t>
      </w:r>
      <w:r w:rsidR="00C026A6" w:rsidRPr="00EA59C0">
        <w:rPr>
          <w:iCs/>
        </w:rPr>
        <w:t xml:space="preserve"> </w:t>
      </w:r>
      <w:r w:rsidRPr="00EA59C0">
        <w:rPr>
          <w:iCs/>
        </w:rPr>
        <w:t>POC</w:t>
      </w:r>
      <w:r w:rsidR="00C026A6" w:rsidRPr="00EA59C0">
        <w:rPr>
          <w:iCs/>
        </w:rPr>
        <w:t xml:space="preserve"> </w:t>
      </w:r>
      <w:r w:rsidRPr="00EA59C0">
        <w:rPr>
          <w:iCs/>
        </w:rPr>
        <w:t>will</w:t>
      </w:r>
      <w:r w:rsidR="00C026A6" w:rsidRPr="00EA59C0">
        <w:rPr>
          <w:iCs/>
        </w:rPr>
        <w:t xml:space="preserve"> </w:t>
      </w:r>
      <w:r w:rsidRPr="00EA59C0">
        <w:rPr>
          <w:iCs/>
        </w:rPr>
        <w:t>then</w:t>
      </w:r>
      <w:r w:rsidR="00C026A6" w:rsidRPr="00EA59C0">
        <w:rPr>
          <w:iCs/>
        </w:rPr>
        <w:t xml:space="preserve"> </w:t>
      </w:r>
      <w:r w:rsidRPr="00EA59C0">
        <w:rPr>
          <w:iCs/>
        </w:rPr>
        <w:t>log</w:t>
      </w:r>
      <w:r w:rsidR="00C026A6" w:rsidRPr="00EA59C0">
        <w:rPr>
          <w:iCs/>
        </w:rPr>
        <w:t xml:space="preserve"> </w:t>
      </w:r>
      <w:r w:rsidRPr="00EA59C0">
        <w:rPr>
          <w:iCs/>
        </w:rPr>
        <w:t>in</w:t>
      </w:r>
      <w:r w:rsidR="00C026A6" w:rsidRPr="00EA59C0">
        <w:rPr>
          <w:iCs/>
        </w:rPr>
        <w:t xml:space="preserve"> </w:t>
      </w:r>
      <w:r w:rsidRPr="00EA59C0">
        <w:rPr>
          <w:iCs/>
        </w:rPr>
        <w:t>to</w:t>
      </w:r>
      <w:r w:rsidR="00C026A6" w:rsidRPr="00EA59C0">
        <w:rPr>
          <w:iCs/>
        </w:rPr>
        <w:t xml:space="preserve"> </w:t>
      </w:r>
      <w:r w:rsidRPr="00EA59C0">
        <w:rPr>
          <w:iCs/>
        </w:rPr>
        <w:t>Grants.gov</w:t>
      </w:r>
      <w:r w:rsidR="00C026A6" w:rsidRPr="00EA59C0">
        <w:rPr>
          <w:iCs/>
        </w:rPr>
        <w:t xml:space="preserve"> </w:t>
      </w:r>
      <w:r w:rsidRPr="00EA59C0">
        <w:rPr>
          <w:iCs/>
        </w:rPr>
        <w:t>and</w:t>
      </w:r>
      <w:r w:rsidR="00C026A6" w:rsidRPr="00EA59C0">
        <w:rPr>
          <w:iCs/>
        </w:rPr>
        <w:t xml:space="preserve"> </w:t>
      </w:r>
      <w:r w:rsidRPr="00EA59C0">
        <w:rPr>
          <w:iCs/>
        </w:rPr>
        <w:t>approve</w:t>
      </w:r>
      <w:r w:rsidR="00C026A6" w:rsidRPr="00EA59C0">
        <w:rPr>
          <w:iCs/>
        </w:rPr>
        <w:t xml:space="preserve"> </w:t>
      </w:r>
      <w:r w:rsidRPr="00EA59C0">
        <w:rPr>
          <w:iCs/>
        </w:rPr>
        <w:t>an</w:t>
      </w:r>
      <w:r w:rsidR="00C026A6" w:rsidRPr="00EA59C0">
        <w:rPr>
          <w:iCs/>
        </w:rPr>
        <w:t xml:space="preserve"> </w:t>
      </w:r>
      <w:r w:rsidR="00727E40" w:rsidRPr="00EA59C0">
        <w:rPr>
          <w:iCs/>
        </w:rPr>
        <w:t>individual</w:t>
      </w:r>
      <w:r w:rsidR="00C026A6" w:rsidRPr="00EA59C0">
        <w:rPr>
          <w:iCs/>
        </w:rPr>
        <w:t xml:space="preserve"> </w:t>
      </w:r>
      <w:r w:rsidRPr="00EA59C0">
        <w:rPr>
          <w:iCs/>
        </w:rPr>
        <w:t>as</w:t>
      </w:r>
      <w:r w:rsidR="00C026A6" w:rsidRPr="00EA59C0">
        <w:rPr>
          <w:iCs/>
        </w:rPr>
        <w:t xml:space="preserve"> </w:t>
      </w:r>
      <w:r w:rsidRPr="00EA59C0">
        <w:rPr>
          <w:iCs/>
        </w:rPr>
        <w:t>the</w:t>
      </w:r>
      <w:r w:rsidR="00C026A6" w:rsidRPr="00EA59C0">
        <w:rPr>
          <w:iCs/>
        </w:rPr>
        <w:t xml:space="preserve"> </w:t>
      </w:r>
      <w:r w:rsidRPr="00EA59C0">
        <w:rPr>
          <w:iCs/>
        </w:rPr>
        <w:t>AOR,</w:t>
      </w:r>
      <w:r w:rsidR="00C026A6" w:rsidRPr="00EA59C0">
        <w:rPr>
          <w:iCs/>
        </w:rPr>
        <w:t xml:space="preserve"> </w:t>
      </w:r>
      <w:r w:rsidRPr="00EA59C0">
        <w:rPr>
          <w:iCs/>
        </w:rPr>
        <w:t>thereby</w:t>
      </w:r>
      <w:r w:rsidR="00C026A6" w:rsidRPr="00EA59C0">
        <w:rPr>
          <w:iCs/>
        </w:rPr>
        <w:t xml:space="preserve"> </w:t>
      </w:r>
      <w:r w:rsidRPr="00EA59C0">
        <w:rPr>
          <w:iCs/>
        </w:rPr>
        <w:t>giving</w:t>
      </w:r>
      <w:r w:rsidR="00C026A6" w:rsidRPr="00EA59C0">
        <w:rPr>
          <w:iCs/>
        </w:rPr>
        <w:t xml:space="preserve"> </w:t>
      </w:r>
      <w:r w:rsidRPr="00EA59C0">
        <w:rPr>
          <w:iCs/>
        </w:rPr>
        <w:t>him</w:t>
      </w:r>
      <w:r w:rsidR="00C026A6" w:rsidRPr="00EA59C0">
        <w:rPr>
          <w:iCs/>
        </w:rPr>
        <w:t xml:space="preserve"> </w:t>
      </w:r>
      <w:r w:rsidRPr="00EA59C0">
        <w:rPr>
          <w:iCs/>
        </w:rPr>
        <w:t>or</w:t>
      </w:r>
      <w:r w:rsidR="00C026A6" w:rsidRPr="00EA59C0">
        <w:rPr>
          <w:iCs/>
        </w:rPr>
        <w:t xml:space="preserve"> </w:t>
      </w:r>
      <w:r w:rsidRPr="00EA59C0">
        <w:rPr>
          <w:iCs/>
        </w:rPr>
        <w:t>her</w:t>
      </w:r>
      <w:r w:rsidR="00C026A6" w:rsidRPr="00EA59C0">
        <w:rPr>
          <w:iCs/>
        </w:rPr>
        <w:t xml:space="preserve"> </w:t>
      </w:r>
      <w:r w:rsidRPr="00EA59C0">
        <w:rPr>
          <w:iCs/>
        </w:rPr>
        <w:t>permission</w:t>
      </w:r>
      <w:r w:rsidR="00C026A6" w:rsidRPr="00EA59C0">
        <w:rPr>
          <w:iCs/>
        </w:rPr>
        <w:t xml:space="preserve"> </w:t>
      </w:r>
      <w:r w:rsidRPr="00EA59C0">
        <w:rPr>
          <w:iCs/>
        </w:rPr>
        <w:t>to</w:t>
      </w:r>
      <w:r w:rsidR="00C026A6" w:rsidRPr="00EA59C0">
        <w:rPr>
          <w:iCs/>
        </w:rPr>
        <w:t xml:space="preserve"> </w:t>
      </w:r>
      <w:r w:rsidRPr="00EA59C0">
        <w:rPr>
          <w:iCs/>
        </w:rPr>
        <w:t>submit</w:t>
      </w:r>
      <w:r w:rsidR="00C026A6" w:rsidRPr="00EA59C0">
        <w:rPr>
          <w:iCs/>
        </w:rPr>
        <w:t xml:space="preserve"> </w:t>
      </w:r>
      <w:r w:rsidRPr="00EA59C0">
        <w:rPr>
          <w:iCs/>
        </w:rPr>
        <w:t>applications.</w:t>
      </w:r>
      <w:r w:rsidR="00C026A6" w:rsidRPr="00EA59C0">
        <w:rPr>
          <w:iCs/>
        </w:rPr>
        <w:t xml:space="preserve">  </w:t>
      </w:r>
      <w:r w:rsidRPr="00EA59C0">
        <w:rPr>
          <w:iCs/>
        </w:rPr>
        <w:t>To</w:t>
      </w:r>
      <w:r w:rsidR="00C026A6" w:rsidRPr="00EA59C0">
        <w:rPr>
          <w:iCs/>
        </w:rPr>
        <w:t xml:space="preserve"> </w:t>
      </w:r>
      <w:r w:rsidRPr="00EA59C0">
        <w:rPr>
          <w:iCs/>
        </w:rPr>
        <w:t>learn</w:t>
      </w:r>
      <w:r w:rsidR="00C026A6" w:rsidRPr="00EA59C0">
        <w:rPr>
          <w:iCs/>
        </w:rPr>
        <w:t xml:space="preserve"> </w:t>
      </w:r>
      <w:r w:rsidRPr="00EA59C0">
        <w:rPr>
          <w:iCs/>
        </w:rPr>
        <w:t>more</w:t>
      </w:r>
      <w:r w:rsidR="00C026A6" w:rsidRPr="00EA59C0">
        <w:rPr>
          <w:iCs/>
        </w:rPr>
        <w:t xml:space="preserve"> </w:t>
      </w:r>
      <w:r w:rsidRPr="00EA59C0">
        <w:rPr>
          <w:iCs/>
        </w:rPr>
        <w:t>about</w:t>
      </w:r>
      <w:r w:rsidR="00C026A6" w:rsidRPr="00EA59C0">
        <w:rPr>
          <w:iCs/>
        </w:rPr>
        <w:t xml:space="preserve"> </w:t>
      </w:r>
      <w:r w:rsidRPr="00EA59C0">
        <w:rPr>
          <w:iCs/>
        </w:rPr>
        <w:t>AOR</w:t>
      </w:r>
      <w:r w:rsidR="00C026A6" w:rsidRPr="00EA59C0">
        <w:rPr>
          <w:iCs/>
        </w:rPr>
        <w:t xml:space="preserve"> </w:t>
      </w:r>
      <w:r w:rsidRPr="00EA59C0">
        <w:rPr>
          <w:iCs/>
        </w:rPr>
        <w:t>Authorization</w:t>
      </w:r>
      <w:r w:rsidR="00C026A6" w:rsidRPr="00EA59C0">
        <w:rPr>
          <w:iCs/>
        </w:rPr>
        <w:t xml:space="preserve"> </w:t>
      </w:r>
      <w:r w:rsidRPr="00EA59C0">
        <w:rPr>
          <w:iCs/>
        </w:rPr>
        <w:t>visit:</w:t>
      </w:r>
      <w:r w:rsidR="00C026A6" w:rsidRPr="00EA59C0">
        <w:rPr>
          <w:iCs/>
        </w:rPr>
        <w:t xml:space="preserve"> </w:t>
      </w:r>
      <w:hyperlink r:id="rId267" w:history="1">
        <w:r w:rsidR="0079364A" w:rsidRPr="00EA59C0">
          <w:rPr>
            <w:rStyle w:val="Hyperlink"/>
            <w:color w:val="auto"/>
          </w:rPr>
          <w:t>http://www.grants.gov/web/grants/applicants/organization-registration/step-4-aor-authorization.html</w:t>
        </w:r>
      </w:hyperlink>
      <w:r w:rsidR="00C026A6" w:rsidRPr="00EA59C0">
        <w:t xml:space="preserve"> </w:t>
      </w:r>
      <w:r w:rsidRPr="00EA59C0">
        <w:rPr>
          <w:iCs/>
        </w:rPr>
        <w:t>or</w:t>
      </w:r>
      <w:r w:rsidR="00C026A6" w:rsidRPr="00EA59C0">
        <w:rPr>
          <w:iCs/>
        </w:rPr>
        <w:t xml:space="preserve"> </w:t>
      </w:r>
      <w:r w:rsidRPr="00EA59C0">
        <w:rPr>
          <w:iCs/>
        </w:rPr>
        <w:t>to</w:t>
      </w:r>
      <w:r w:rsidR="00C026A6" w:rsidRPr="00EA59C0">
        <w:rPr>
          <w:iCs/>
        </w:rPr>
        <w:t xml:space="preserve"> </w:t>
      </w:r>
      <w:r w:rsidRPr="00EA59C0">
        <w:rPr>
          <w:iCs/>
        </w:rPr>
        <w:t>track</w:t>
      </w:r>
      <w:r w:rsidR="00C026A6" w:rsidRPr="00EA59C0">
        <w:rPr>
          <w:iCs/>
        </w:rPr>
        <w:t xml:space="preserve"> </w:t>
      </w:r>
      <w:r w:rsidRPr="00EA59C0">
        <w:rPr>
          <w:iCs/>
        </w:rPr>
        <w:t>AOR</w:t>
      </w:r>
      <w:r w:rsidR="00C026A6" w:rsidRPr="00EA59C0">
        <w:rPr>
          <w:iCs/>
        </w:rPr>
        <w:t xml:space="preserve"> </w:t>
      </w:r>
      <w:r w:rsidRPr="00EA59C0">
        <w:rPr>
          <w:iCs/>
        </w:rPr>
        <w:t>status</w:t>
      </w:r>
      <w:r w:rsidR="00C026A6" w:rsidRPr="00EA59C0">
        <w:rPr>
          <w:iCs/>
        </w:rPr>
        <w:t xml:space="preserve"> </w:t>
      </w:r>
      <w:r w:rsidRPr="00EA59C0">
        <w:rPr>
          <w:iCs/>
        </w:rPr>
        <w:t>visit:</w:t>
      </w:r>
      <w:r w:rsidR="00C026A6" w:rsidRPr="00EA59C0">
        <w:rPr>
          <w:iCs/>
        </w:rPr>
        <w:t xml:space="preserve"> </w:t>
      </w:r>
      <w:hyperlink r:id="rId268" w:history="1">
        <w:r w:rsidR="0079364A" w:rsidRPr="00EA59C0">
          <w:rPr>
            <w:rStyle w:val="Hyperlink"/>
            <w:color w:val="auto"/>
          </w:rPr>
          <w:t>http://www.grants.gov/web/grants/applicants/organization-registration/step-5-track-aor-status.html</w:t>
        </w:r>
      </w:hyperlink>
      <w:r w:rsidR="00C026A6" w:rsidRPr="00EA59C0">
        <w:rPr>
          <w:iCs/>
        </w:rPr>
        <w:t xml:space="preserve"> </w:t>
      </w:r>
      <w:r w:rsidRPr="00EA59C0">
        <w:rPr>
          <w:iCs/>
        </w:rPr>
        <w:t>.</w:t>
      </w:r>
      <w:r w:rsidR="00C026A6" w:rsidRPr="00EA59C0">
        <w:rPr>
          <w:iCs/>
        </w:rPr>
        <w:t xml:space="preserve"> </w:t>
      </w:r>
    </w:p>
    <w:p w:rsidR="00144DF0" w:rsidRPr="00EA59C0" w:rsidRDefault="00144DF0" w:rsidP="00C072FA">
      <w:pPr>
        <w:autoSpaceDE w:val="0"/>
        <w:autoSpaceDN w:val="0"/>
        <w:adjustRightInd w:val="0"/>
        <w:ind w:left="360"/>
        <w:rPr>
          <w:iCs/>
        </w:rPr>
      </w:pPr>
    </w:p>
    <w:p w:rsidR="00144DF0" w:rsidRPr="00EA59C0" w:rsidRDefault="007470AB" w:rsidP="00C072FA">
      <w:pPr>
        <w:autoSpaceDE w:val="0"/>
        <w:autoSpaceDN w:val="0"/>
        <w:adjustRightInd w:val="0"/>
        <w:ind w:left="720"/>
        <w:rPr>
          <w:iCs/>
          <w:u w:val="single"/>
        </w:rPr>
      </w:pPr>
      <w:r w:rsidRPr="00EA59C0">
        <w:rPr>
          <w:iCs/>
        </w:rPr>
        <w:t>An</w:t>
      </w:r>
      <w:r w:rsidR="00C026A6" w:rsidRPr="00EA59C0">
        <w:rPr>
          <w:iCs/>
        </w:rPr>
        <w:t xml:space="preserve"> </w:t>
      </w:r>
      <w:r w:rsidRPr="00EA59C0">
        <w:rPr>
          <w:iCs/>
        </w:rPr>
        <w:t>application</w:t>
      </w:r>
      <w:r w:rsidR="00C026A6" w:rsidRPr="00EA59C0">
        <w:rPr>
          <w:iCs/>
        </w:rPr>
        <w:t xml:space="preserve"> </w:t>
      </w:r>
      <w:r w:rsidRPr="00EA59C0">
        <w:rPr>
          <w:iCs/>
        </w:rPr>
        <w:t>submitted</w:t>
      </w:r>
      <w:r w:rsidR="00C026A6" w:rsidRPr="00EA59C0">
        <w:rPr>
          <w:iCs/>
        </w:rPr>
        <w:t xml:space="preserve"> </w:t>
      </w:r>
      <w:r w:rsidRPr="00EA59C0">
        <w:rPr>
          <w:iCs/>
        </w:rPr>
        <w:t>through</w:t>
      </w:r>
      <w:r w:rsidR="00C026A6" w:rsidRPr="00EA59C0">
        <w:rPr>
          <w:iCs/>
        </w:rPr>
        <w:t xml:space="preserve"> </w:t>
      </w:r>
      <w:r w:rsidRPr="00EA59C0">
        <w:rPr>
          <w:iCs/>
        </w:rPr>
        <w:t>Grants.gov</w:t>
      </w:r>
      <w:r w:rsidR="00C026A6" w:rsidRPr="00EA59C0">
        <w:rPr>
          <w:iCs/>
        </w:rPr>
        <w:t xml:space="preserve"> </w:t>
      </w:r>
      <w:r w:rsidRPr="00EA59C0">
        <w:rPr>
          <w:iCs/>
        </w:rPr>
        <w:t>constitutes</w:t>
      </w:r>
      <w:r w:rsidR="00C026A6" w:rsidRPr="00EA59C0">
        <w:rPr>
          <w:iCs/>
        </w:rPr>
        <w:t xml:space="preserve"> </w:t>
      </w:r>
      <w:r w:rsidRPr="00EA59C0">
        <w:rPr>
          <w:iCs/>
        </w:rPr>
        <w:t>a</w:t>
      </w:r>
      <w:r w:rsidR="00C026A6" w:rsidRPr="00EA59C0">
        <w:rPr>
          <w:iCs/>
        </w:rPr>
        <w:t xml:space="preserve"> </w:t>
      </w:r>
      <w:r w:rsidRPr="00EA59C0">
        <w:rPr>
          <w:iCs/>
        </w:rPr>
        <w:t>submission</w:t>
      </w:r>
      <w:r w:rsidR="00C026A6" w:rsidRPr="00EA59C0">
        <w:rPr>
          <w:iCs/>
        </w:rPr>
        <w:t xml:space="preserve"> </w:t>
      </w:r>
      <w:r w:rsidRPr="00EA59C0">
        <w:rPr>
          <w:iCs/>
        </w:rPr>
        <w:t>as</w:t>
      </w:r>
      <w:r w:rsidR="00C026A6" w:rsidRPr="00EA59C0">
        <w:rPr>
          <w:iCs/>
        </w:rPr>
        <w:t xml:space="preserve"> </w:t>
      </w:r>
      <w:r w:rsidRPr="00EA59C0">
        <w:rPr>
          <w:iCs/>
        </w:rPr>
        <w:t>an</w:t>
      </w:r>
      <w:r w:rsidR="00C026A6" w:rsidRPr="00EA59C0">
        <w:rPr>
          <w:iCs/>
        </w:rPr>
        <w:t xml:space="preserve"> </w:t>
      </w:r>
      <w:r w:rsidRPr="00EA59C0">
        <w:rPr>
          <w:iCs/>
        </w:rPr>
        <w:t>electronically</w:t>
      </w:r>
      <w:r w:rsidR="00C026A6" w:rsidRPr="00EA59C0">
        <w:rPr>
          <w:iCs/>
        </w:rPr>
        <w:t xml:space="preserve"> </w:t>
      </w:r>
      <w:r w:rsidRPr="00EA59C0">
        <w:rPr>
          <w:iCs/>
        </w:rPr>
        <w:t>signed</w:t>
      </w:r>
      <w:r w:rsidR="00C026A6" w:rsidRPr="00EA59C0">
        <w:rPr>
          <w:iCs/>
        </w:rPr>
        <w:t xml:space="preserve"> </w:t>
      </w:r>
      <w:r w:rsidRPr="00EA59C0">
        <w:rPr>
          <w:iCs/>
        </w:rPr>
        <w:t>application.</w:t>
      </w:r>
      <w:r w:rsidR="00C026A6" w:rsidRPr="00EA59C0">
        <w:rPr>
          <w:iCs/>
        </w:rPr>
        <w:t xml:space="preserve"> </w:t>
      </w:r>
      <w:r w:rsidRPr="00EA59C0">
        <w:rPr>
          <w:iCs/>
        </w:rPr>
        <w:t>The</w:t>
      </w:r>
      <w:r w:rsidR="00C026A6" w:rsidRPr="00EA59C0">
        <w:rPr>
          <w:iCs/>
        </w:rPr>
        <w:t xml:space="preserve"> </w:t>
      </w:r>
      <w:r w:rsidRPr="00EA59C0">
        <w:rPr>
          <w:iCs/>
        </w:rPr>
        <w:t>registration</w:t>
      </w:r>
      <w:r w:rsidR="00C026A6" w:rsidRPr="00EA59C0">
        <w:rPr>
          <w:iCs/>
        </w:rPr>
        <w:t xml:space="preserve"> </w:t>
      </w:r>
      <w:r w:rsidRPr="00EA59C0">
        <w:rPr>
          <w:iCs/>
        </w:rPr>
        <w:t>and</w:t>
      </w:r>
      <w:r w:rsidR="00C026A6" w:rsidRPr="00EA59C0">
        <w:rPr>
          <w:iCs/>
        </w:rPr>
        <w:t xml:space="preserve"> </w:t>
      </w:r>
      <w:r w:rsidRPr="00EA59C0">
        <w:rPr>
          <w:iCs/>
        </w:rPr>
        <w:t>account</w:t>
      </w:r>
      <w:r w:rsidR="00C026A6" w:rsidRPr="00EA59C0">
        <w:rPr>
          <w:iCs/>
        </w:rPr>
        <w:t xml:space="preserve"> </w:t>
      </w:r>
      <w:r w:rsidRPr="00EA59C0">
        <w:rPr>
          <w:iCs/>
        </w:rPr>
        <w:t>creation</w:t>
      </w:r>
      <w:r w:rsidR="00C026A6" w:rsidRPr="00EA59C0">
        <w:rPr>
          <w:iCs/>
        </w:rPr>
        <w:t xml:space="preserve"> </w:t>
      </w:r>
      <w:r w:rsidRPr="00EA59C0">
        <w:rPr>
          <w:iCs/>
        </w:rPr>
        <w:t>with</w:t>
      </w:r>
      <w:r w:rsidR="00C026A6" w:rsidRPr="00EA59C0">
        <w:rPr>
          <w:iCs/>
        </w:rPr>
        <w:t xml:space="preserve"> </w:t>
      </w:r>
      <w:r w:rsidRPr="00EA59C0">
        <w:rPr>
          <w:iCs/>
        </w:rPr>
        <w:t>Grants.gov,</w:t>
      </w:r>
      <w:r w:rsidR="00C026A6" w:rsidRPr="00EA59C0">
        <w:rPr>
          <w:iCs/>
        </w:rPr>
        <w:t xml:space="preserve"> </w:t>
      </w:r>
      <w:r w:rsidRPr="00EA59C0">
        <w:rPr>
          <w:iCs/>
        </w:rPr>
        <w:t>with</w:t>
      </w:r>
      <w:r w:rsidR="00C026A6" w:rsidRPr="00EA59C0">
        <w:rPr>
          <w:iCs/>
        </w:rPr>
        <w:t xml:space="preserve"> </w:t>
      </w:r>
      <w:r w:rsidRPr="00EA59C0">
        <w:rPr>
          <w:iCs/>
        </w:rPr>
        <w:t>E-Biz</w:t>
      </w:r>
      <w:r w:rsidR="00C026A6" w:rsidRPr="00EA59C0">
        <w:rPr>
          <w:iCs/>
        </w:rPr>
        <w:t xml:space="preserve"> </w:t>
      </w:r>
      <w:r w:rsidRPr="00EA59C0">
        <w:rPr>
          <w:iCs/>
        </w:rPr>
        <w:t>POC</w:t>
      </w:r>
      <w:r w:rsidR="00C026A6" w:rsidRPr="00EA59C0">
        <w:rPr>
          <w:iCs/>
        </w:rPr>
        <w:t xml:space="preserve"> </w:t>
      </w:r>
      <w:r w:rsidRPr="00EA59C0">
        <w:rPr>
          <w:iCs/>
        </w:rPr>
        <w:t>approval,</w:t>
      </w:r>
      <w:r w:rsidR="00C026A6" w:rsidRPr="00EA59C0">
        <w:rPr>
          <w:iCs/>
        </w:rPr>
        <w:t xml:space="preserve"> </w:t>
      </w:r>
      <w:r w:rsidRPr="00EA59C0">
        <w:rPr>
          <w:iCs/>
        </w:rPr>
        <w:t>establishes</w:t>
      </w:r>
      <w:r w:rsidR="00C026A6" w:rsidRPr="00EA59C0">
        <w:rPr>
          <w:iCs/>
        </w:rPr>
        <w:t xml:space="preserve"> </w:t>
      </w:r>
      <w:r w:rsidRPr="00EA59C0">
        <w:rPr>
          <w:iCs/>
        </w:rPr>
        <w:t>an</w:t>
      </w:r>
      <w:r w:rsidR="00C026A6" w:rsidRPr="00EA59C0">
        <w:rPr>
          <w:iCs/>
        </w:rPr>
        <w:t xml:space="preserve"> </w:t>
      </w:r>
      <w:r w:rsidRPr="00EA59C0">
        <w:rPr>
          <w:iCs/>
        </w:rPr>
        <w:t>AOR.</w:t>
      </w:r>
      <w:r w:rsidR="00C026A6" w:rsidRPr="00EA59C0">
        <w:rPr>
          <w:iCs/>
        </w:rPr>
        <w:t xml:space="preserve">  </w:t>
      </w:r>
      <w:r w:rsidRPr="00EA59C0">
        <w:rPr>
          <w:iCs/>
        </w:rPr>
        <w:t>When</w:t>
      </w:r>
      <w:r w:rsidR="00C026A6" w:rsidRPr="00EA59C0">
        <w:rPr>
          <w:iCs/>
        </w:rPr>
        <w:t xml:space="preserve"> </w:t>
      </w:r>
      <w:r w:rsidR="00727E40" w:rsidRPr="00EA59C0">
        <w:rPr>
          <w:iCs/>
        </w:rPr>
        <w:t>an</w:t>
      </w:r>
      <w:r w:rsidR="00C026A6" w:rsidRPr="00EA59C0">
        <w:rPr>
          <w:iCs/>
        </w:rPr>
        <w:t xml:space="preserve"> </w:t>
      </w:r>
      <w:r w:rsidR="00727E40" w:rsidRPr="00EA59C0">
        <w:rPr>
          <w:iCs/>
        </w:rPr>
        <w:t>application</w:t>
      </w:r>
      <w:r w:rsidR="00C026A6" w:rsidRPr="00EA59C0">
        <w:rPr>
          <w:iCs/>
        </w:rPr>
        <w:t xml:space="preserve"> </w:t>
      </w:r>
      <w:r w:rsidR="00727E40" w:rsidRPr="00EA59C0">
        <w:rPr>
          <w:iCs/>
        </w:rPr>
        <w:t>is</w:t>
      </w:r>
      <w:r w:rsidR="00C026A6" w:rsidRPr="00EA59C0">
        <w:rPr>
          <w:iCs/>
        </w:rPr>
        <w:t xml:space="preserve"> </w:t>
      </w:r>
      <w:r w:rsidRPr="00EA59C0">
        <w:rPr>
          <w:iCs/>
        </w:rPr>
        <w:t>submit</w:t>
      </w:r>
      <w:r w:rsidR="00727E40" w:rsidRPr="00EA59C0">
        <w:rPr>
          <w:iCs/>
        </w:rPr>
        <w:t>ted</w:t>
      </w:r>
      <w:r w:rsidR="00C026A6" w:rsidRPr="00EA59C0">
        <w:rPr>
          <w:iCs/>
        </w:rPr>
        <w:t xml:space="preserve"> </w:t>
      </w:r>
      <w:r w:rsidRPr="00EA59C0">
        <w:rPr>
          <w:iCs/>
        </w:rPr>
        <w:t>through</w:t>
      </w:r>
      <w:r w:rsidR="00C026A6" w:rsidRPr="00EA59C0">
        <w:rPr>
          <w:iCs/>
        </w:rPr>
        <w:t xml:space="preserve"> </w:t>
      </w:r>
      <w:r w:rsidRPr="00EA59C0">
        <w:rPr>
          <w:iCs/>
        </w:rPr>
        <w:t>Grants.gov,</w:t>
      </w:r>
      <w:r w:rsidR="00C026A6" w:rsidRPr="00EA59C0">
        <w:rPr>
          <w:iCs/>
        </w:rPr>
        <w:t xml:space="preserve"> </w:t>
      </w:r>
      <w:r w:rsidRPr="00EA59C0">
        <w:rPr>
          <w:iCs/>
        </w:rPr>
        <w:t>the</w:t>
      </w:r>
      <w:r w:rsidR="00C026A6" w:rsidRPr="00EA59C0">
        <w:rPr>
          <w:iCs/>
        </w:rPr>
        <w:t xml:space="preserve"> </w:t>
      </w:r>
      <w:r w:rsidRPr="00EA59C0">
        <w:rPr>
          <w:iCs/>
        </w:rPr>
        <w:t>name</w:t>
      </w:r>
      <w:r w:rsidR="00C026A6" w:rsidRPr="00EA59C0">
        <w:rPr>
          <w:iCs/>
        </w:rPr>
        <w:t xml:space="preserve"> </w:t>
      </w:r>
      <w:r w:rsidRPr="00EA59C0">
        <w:rPr>
          <w:iCs/>
        </w:rPr>
        <w:t>of</w:t>
      </w:r>
      <w:r w:rsidR="00C026A6" w:rsidRPr="00EA59C0">
        <w:rPr>
          <w:iCs/>
        </w:rPr>
        <w:t xml:space="preserve"> </w:t>
      </w:r>
      <w:r w:rsidR="00727E40" w:rsidRPr="00EA59C0">
        <w:rPr>
          <w:iCs/>
        </w:rPr>
        <w:t>the</w:t>
      </w:r>
      <w:r w:rsidR="00C026A6" w:rsidRPr="00EA59C0">
        <w:rPr>
          <w:iCs/>
        </w:rPr>
        <w:t xml:space="preserve"> </w:t>
      </w:r>
      <w:r w:rsidRPr="00EA59C0">
        <w:rPr>
          <w:iCs/>
        </w:rPr>
        <w:t>AOR</w:t>
      </w:r>
      <w:r w:rsidR="00C026A6" w:rsidRPr="00EA59C0">
        <w:rPr>
          <w:iCs/>
        </w:rPr>
        <w:t xml:space="preserve"> </w:t>
      </w:r>
      <w:r w:rsidRPr="00EA59C0">
        <w:rPr>
          <w:iCs/>
        </w:rPr>
        <w:t>on</w:t>
      </w:r>
      <w:r w:rsidR="00C026A6" w:rsidRPr="00EA59C0">
        <w:rPr>
          <w:iCs/>
        </w:rPr>
        <w:t xml:space="preserve"> </w:t>
      </w:r>
      <w:r w:rsidRPr="00EA59C0">
        <w:rPr>
          <w:iCs/>
        </w:rPr>
        <w:t>file</w:t>
      </w:r>
      <w:r w:rsidR="00C026A6" w:rsidRPr="00EA59C0">
        <w:rPr>
          <w:iCs/>
        </w:rPr>
        <w:t xml:space="preserve"> </w:t>
      </w:r>
      <w:r w:rsidRPr="00EA59C0">
        <w:rPr>
          <w:iCs/>
        </w:rPr>
        <w:t>will</w:t>
      </w:r>
      <w:r w:rsidR="00C026A6" w:rsidRPr="00EA59C0">
        <w:rPr>
          <w:iCs/>
        </w:rPr>
        <w:t xml:space="preserve"> </w:t>
      </w:r>
      <w:r w:rsidRPr="00EA59C0">
        <w:rPr>
          <w:iCs/>
        </w:rPr>
        <w:t>be</w:t>
      </w:r>
      <w:r w:rsidR="00C026A6" w:rsidRPr="00EA59C0">
        <w:rPr>
          <w:iCs/>
        </w:rPr>
        <w:t xml:space="preserve"> </w:t>
      </w:r>
      <w:r w:rsidRPr="00EA59C0">
        <w:rPr>
          <w:iCs/>
        </w:rPr>
        <w:t>inserted</w:t>
      </w:r>
      <w:r w:rsidR="00C026A6" w:rsidRPr="00EA59C0">
        <w:rPr>
          <w:iCs/>
        </w:rPr>
        <w:t xml:space="preserve"> </w:t>
      </w:r>
      <w:r w:rsidRPr="00EA59C0">
        <w:rPr>
          <w:iCs/>
        </w:rPr>
        <w:t>into</w:t>
      </w:r>
      <w:r w:rsidR="00C026A6" w:rsidRPr="00EA59C0">
        <w:rPr>
          <w:iCs/>
        </w:rPr>
        <w:t xml:space="preserve"> </w:t>
      </w:r>
      <w:r w:rsidRPr="00EA59C0">
        <w:rPr>
          <w:iCs/>
        </w:rPr>
        <w:t>the</w:t>
      </w:r>
      <w:r w:rsidR="00C026A6" w:rsidRPr="00EA59C0">
        <w:rPr>
          <w:iCs/>
        </w:rPr>
        <w:t xml:space="preserve"> </w:t>
      </w:r>
      <w:r w:rsidRPr="00EA59C0">
        <w:rPr>
          <w:iCs/>
        </w:rPr>
        <w:t>signature</w:t>
      </w:r>
      <w:r w:rsidR="00C026A6" w:rsidRPr="00EA59C0">
        <w:rPr>
          <w:iCs/>
        </w:rPr>
        <w:t xml:space="preserve"> </w:t>
      </w:r>
      <w:r w:rsidRPr="00EA59C0">
        <w:rPr>
          <w:iCs/>
        </w:rPr>
        <w:t>line</w:t>
      </w:r>
      <w:r w:rsidR="00C026A6" w:rsidRPr="00EA59C0">
        <w:rPr>
          <w:iCs/>
        </w:rPr>
        <w:t xml:space="preserve"> </w:t>
      </w:r>
      <w:r w:rsidRPr="00EA59C0">
        <w:rPr>
          <w:iCs/>
        </w:rPr>
        <w:t>of</w:t>
      </w:r>
      <w:r w:rsidR="00C026A6" w:rsidRPr="00EA59C0">
        <w:rPr>
          <w:iCs/>
        </w:rPr>
        <w:t xml:space="preserve"> </w:t>
      </w:r>
      <w:r w:rsidRPr="00EA59C0">
        <w:rPr>
          <w:iCs/>
        </w:rPr>
        <w:t>the</w:t>
      </w:r>
      <w:r w:rsidR="00C026A6" w:rsidRPr="00EA59C0">
        <w:rPr>
          <w:iCs/>
        </w:rPr>
        <w:t xml:space="preserve"> </w:t>
      </w:r>
      <w:r w:rsidRPr="00EA59C0">
        <w:rPr>
          <w:iCs/>
        </w:rPr>
        <w:t>application.</w:t>
      </w:r>
      <w:r w:rsidR="00C026A6" w:rsidRPr="00EA59C0">
        <w:rPr>
          <w:iCs/>
        </w:rPr>
        <w:t xml:space="preserve">  </w:t>
      </w:r>
      <w:r w:rsidRPr="00EA59C0">
        <w:rPr>
          <w:iCs/>
          <w:u w:val="single"/>
        </w:rPr>
        <w:t>Applicants</w:t>
      </w:r>
      <w:r w:rsidR="00C026A6" w:rsidRPr="00EA59C0">
        <w:rPr>
          <w:iCs/>
          <w:u w:val="single"/>
        </w:rPr>
        <w:t xml:space="preserve"> </w:t>
      </w:r>
      <w:r w:rsidRPr="00EA59C0">
        <w:rPr>
          <w:iCs/>
          <w:u w:val="single"/>
        </w:rPr>
        <w:t>must</w:t>
      </w:r>
      <w:r w:rsidR="00C026A6" w:rsidRPr="00EA59C0">
        <w:rPr>
          <w:iCs/>
          <w:u w:val="single"/>
        </w:rPr>
        <w:t xml:space="preserve"> </w:t>
      </w:r>
      <w:r w:rsidRPr="00EA59C0">
        <w:rPr>
          <w:iCs/>
          <w:u w:val="single"/>
        </w:rPr>
        <w:t>register</w:t>
      </w:r>
      <w:r w:rsidR="00C026A6" w:rsidRPr="00EA59C0">
        <w:rPr>
          <w:iCs/>
          <w:u w:val="single"/>
        </w:rPr>
        <w:t xml:space="preserve"> </w:t>
      </w:r>
      <w:r w:rsidRPr="00EA59C0">
        <w:rPr>
          <w:iCs/>
          <w:u w:val="single"/>
        </w:rPr>
        <w:t>the</w:t>
      </w:r>
      <w:r w:rsidR="00C026A6" w:rsidRPr="00EA59C0">
        <w:rPr>
          <w:iCs/>
          <w:u w:val="single"/>
        </w:rPr>
        <w:t xml:space="preserve"> </w:t>
      </w:r>
      <w:r w:rsidRPr="00EA59C0">
        <w:rPr>
          <w:iCs/>
          <w:u w:val="single"/>
        </w:rPr>
        <w:t>individual</w:t>
      </w:r>
      <w:r w:rsidR="00C026A6" w:rsidRPr="00EA59C0">
        <w:rPr>
          <w:iCs/>
          <w:u w:val="single"/>
        </w:rPr>
        <w:t xml:space="preserve"> </w:t>
      </w:r>
      <w:r w:rsidRPr="00EA59C0">
        <w:rPr>
          <w:iCs/>
          <w:u w:val="single"/>
        </w:rPr>
        <w:t>who</w:t>
      </w:r>
      <w:r w:rsidR="00C026A6" w:rsidRPr="00EA59C0">
        <w:rPr>
          <w:iCs/>
          <w:u w:val="single"/>
        </w:rPr>
        <w:t xml:space="preserve"> </w:t>
      </w:r>
      <w:r w:rsidRPr="00EA59C0">
        <w:rPr>
          <w:iCs/>
          <w:u w:val="single"/>
        </w:rPr>
        <w:t>is</w:t>
      </w:r>
      <w:r w:rsidR="00C026A6" w:rsidRPr="00EA59C0">
        <w:rPr>
          <w:iCs/>
          <w:u w:val="single"/>
        </w:rPr>
        <w:t xml:space="preserve"> </w:t>
      </w:r>
      <w:r w:rsidRPr="00EA59C0">
        <w:rPr>
          <w:iCs/>
          <w:u w:val="single"/>
        </w:rPr>
        <w:t>able</w:t>
      </w:r>
      <w:r w:rsidR="00C026A6" w:rsidRPr="00EA59C0">
        <w:rPr>
          <w:iCs/>
          <w:u w:val="single"/>
        </w:rPr>
        <w:t xml:space="preserve"> </w:t>
      </w:r>
      <w:r w:rsidRPr="00EA59C0">
        <w:rPr>
          <w:iCs/>
          <w:u w:val="single"/>
        </w:rPr>
        <w:t>to</w:t>
      </w:r>
      <w:r w:rsidR="00C026A6" w:rsidRPr="00EA59C0">
        <w:rPr>
          <w:iCs/>
          <w:u w:val="single"/>
        </w:rPr>
        <w:t xml:space="preserve"> </w:t>
      </w:r>
      <w:r w:rsidRPr="00EA59C0">
        <w:rPr>
          <w:iCs/>
          <w:u w:val="single"/>
        </w:rPr>
        <w:t>make</w:t>
      </w:r>
      <w:r w:rsidR="00C026A6" w:rsidRPr="00EA59C0">
        <w:rPr>
          <w:iCs/>
          <w:u w:val="single"/>
        </w:rPr>
        <w:t xml:space="preserve"> </w:t>
      </w:r>
      <w:r w:rsidRPr="00EA59C0">
        <w:rPr>
          <w:iCs/>
          <w:u w:val="single"/>
        </w:rPr>
        <w:t>legally</w:t>
      </w:r>
      <w:r w:rsidR="00C026A6" w:rsidRPr="00EA59C0">
        <w:rPr>
          <w:iCs/>
          <w:u w:val="single"/>
        </w:rPr>
        <w:t xml:space="preserve"> </w:t>
      </w:r>
      <w:r w:rsidRPr="00EA59C0">
        <w:rPr>
          <w:iCs/>
          <w:u w:val="single"/>
        </w:rPr>
        <w:t>binding</w:t>
      </w:r>
      <w:r w:rsidR="00C026A6" w:rsidRPr="00EA59C0">
        <w:rPr>
          <w:iCs/>
          <w:u w:val="single"/>
        </w:rPr>
        <w:t xml:space="preserve"> </w:t>
      </w:r>
      <w:r w:rsidRPr="00EA59C0">
        <w:rPr>
          <w:iCs/>
          <w:u w:val="single"/>
        </w:rPr>
        <w:t>commitments</w:t>
      </w:r>
      <w:r w:rsidR="00C026A6" w:rsidRPr="00EA59C0">
        <w:rPr>
          <w:iCs/>
          <w:u w:val="single"/>
        </w:rPr>
        <w:t xml:space="preserve"> </w:t>
      </w:r>
      <w:r w:rsidRPr="00EA59C0">
        <w:rPr>
          <w:iCs/>
          <w:u w:val="single"/>
        </w:rPr>
        <w:t>for</w:t>
      </w:r>
      <w:r w:rsidR="00C026A6" w:rsidRPr="00EA59C0">
        <w:rPr>
          <w:iCs/>
          <w:u w:val="single"/>
        </w:rPr>
        <w:t xml:space="preserve"> </w:t>
      </w:r>
      <w:r w:rsidRPr="00EA59C0">
        <w:rPr>
          <w:iCs/>
          <w:u w:val="single"/>
        </w:rPr>
        <w:t>the</w:t>
      </w:r>
      <w:r w:rsidR="00C026A6" w:rsidRPr="00EA59C0">
        <w:rPr>
          <w:iCs/>
          <w:u w:val="single"/>
        </w:rPr>
        <w:t xml:space="preserve"> </w:t>
      </w:r>
      <w:r w:rsidRPr="00EA59C0">
        <w:rPr>
          <w:iCs/>
          <w:u w:val="single"/>
        </w:rPr>
        <w:t>applicant</w:t>
      </w:r>
      <w:r w:rsidR="00C026A6" w:rsidRPr="00EA59C0">
        <w:rPr>
          <w:iCs/>
          <w:u w:val="single"/>
        </w:rPr>
        <w:t xml:space="preserve"> </w:t>
      </w:r>
      <w:r w:rsidRPr="00EA59C0">
        <w:rPr>
          <w:iCs/>
          <w:u w:val="single"/>
        </w:rPr>
        <w:t>organization</w:t>
      </w:r>
      <w:r w:rsidR="00C026A6" w:rsidRPr="00EA59C0">
        <w:rPr>
          <w:iCs/>
          <w:u w:val="single"/>
        </w:rPr>
        <w:t xml:space="preserve"> </w:t>
      </w:r>
      <w:r w:rsidRPr="00EA59C0">
        <w:rPr>
          <w:iCs/>
          <w:u w:val="single"/>
        </w:rPr>
        <w:t>as</w:t>
      </w:r>
      <w:r w:rsidR="00C026A6" w:rsidRPr="00EA59C0">
        <w:rPr>
          <w:iCs/>
          <w:u w:val="single"/>
        </w:rPr>
        <w:t xml:space="preserve"> </w:t>
      </w:r>
      <w:r w:rsidRPr="00EA59C0">
        <w:rPr>
          <w:iCs/>
          <w:u w:val="single"/>
        </w:rPr>
        <w:t>the</w:t>
      </w:r>
      <w:r w:rsidR="00C026A6" w:rsidRPr="00EA59C0">
        <w:rPr>
          <w:iCs/>
          <w:u w:val="single"/>
        </w:rPr>
        <w:t xml:space="preserve"> </w:t>
      </w:r>
      <w:r w:rsidRPr="00EA59C0">
        <w:rPr>
          <w:iCs/>
          <w:u w:val="single"/>
        </w:rPr>
        <w:t>AOR;</w:t>
      </w:r>
      <w:r w:rsidR="00C026A6" w:rsidRPr="00EA59C0">
        <w:rPr>
          <w:iCs/>
          <w:u w:val="single"/>
        </w:rPr>
        <w:t xml:space="preserve"> </w:t>
      </w:r>
      <w:r w:rsidRPr="00EA59C0">
        <w:rPr>
          <w:iCs/>
          <w:u w:val="single"/>
        </w:rPr>
        <w:t>this</w:t>
      </w:r>
      <w:r w:rsidR="00C026A6" w:rsidRPr="00EA59C0">
        <w:rPr>
          <w:iCs/>
          <w:u w:val="single"/>
        </w:rPr>
        <w:t xml:space="preserve"> </w:t>
      </w:r>
      <w:r w:rsidRPr="00EA59C0">
        <w:rPr>
          <w:iCs/>
          <w:u w:val="single"/>
        </w:rPr>
        <w:t>step</w:t>
      </w:r>
      <w:r w:rsidR="00C026A6" w:rsidRPr="00EA59C0">
        <w:rPr>
          <w:iCs/>
          <w:u w:val="single"/>
        </w:rPr>
        <w:t xml:space="preserve"> </w:t>
      </w:r>
      <w:r w:rsidRPr="00EA59C0">
        <w:rPr>
          <w:iCs/>
          <w:u w:val="single"/>
        </w:rPr>
        <w:t>is</w:t>
      </w:r>
      <w:r w:rsidR="00C026A6" w:rsidRPr="00EA59C0">
        <w:rPr>
          <w:iCs/>
          <w:u w:val="single"/>
        </w:rPr>
        <w:t xml:space="preserve"> </w:t>
      </w:r>
      <w:r w:rsidRPr="00EA59C0">
        <w:rPr>
          <w:iCs/>
          <w:u w:val="single"/>
        </w:rPr>
        <w:t>often</w:t>
      </w:r>
      <w:r w:rsidR="00C026A6" w:rsidRPr="00EA59C0">
        <w:rPr>
          <w:iCs/>
          <w:u w:val="single"/>
        </w:rPr>
        <w:t xml:space="preserve"> </w:t>
      </w:r>
      <w:r w:rsidRPr="00EA59C0">
        <w:rPr>
          <w:iCs/>
          <w:u w:val="single"/>
        </w:rPr>
        <w:t>missed</w:t>
      </w:r>
      <w:r w:rsidR="00C026A6" w:rsidRPr="00EA59C0">
        <w:rPr>
          <w:iCs/>
          <w:u w:val="single"/>
        </w:rPr>
        <w:t xml:space="preserve"> </w:t>
      </w:r>
      <w:r w:rsidRPr="00EA59C0">
        <w:rPr>
          <w:iCs/>
          <w:u w:val="single"/>
        </w:rPr>
        <w:t>and</w:t>
      </w:r>
      <w:r w:rsidR="00C026A6" w:rsidRPr="00EA59C0">
        <w:rPr>
          <w:iCs/>
          <w:u w:val="single"/>
        </w:rPr>
        <w:t xml:space="preserve"> </w:t>
      </w:r>
      <w:r w:rsidRPr="00EA59C0">
        <w:rPr>
          <w:iCs/>
          <w:u w:val="single"/>
        </w:rPr>
        <w:t>it</w:t>
      </w:r>
      <w:r w:rsidR="00C026A6" w:rsidRPr="00EA59C0">
        <w:rPr>
          <w:iCs/>
          <w:u w:val="single"/>
        </w:rPr>
        <w:t xml:space="preserve"> </w:t>
      </w:r>
      <w:r w:rsidRPr="00EA59C0">
        <w:rPr>
          <w:iCs/>
          <w:u w:val="single"/>
        </w:rPr>
        <w:t>is</w:t>
      </w:r>
      <w:r w:rsidR="00C026A6" w:rsidRPr="00EA59C0">
        <w:rPr>
          <w:iCs/>
          <w:u w:val="single"/>
        </w:rPr>
        <w:t xml:space="preserve"> </w:t>
      </w:r>
      <w:r w:rsidRPr="00EA59C0">
        <w:rPr>
          <w:iCs/>
          <w:u w:val="single"/>
        </w:rPr>
        <w:t>crucial</w:t>
      </w:r>
      <w:r w:rsidR="00C026A6" w:rsidRPr="00EA59C0">
        <w:rPr>
          <w:iCs/>
          <w:u w:val="single"/>
        </w:rPr>
        <w:t xml:space="preserve"> </w:t>
      </w:r>
      <w:r w:rsidRPr="00EA59C0">
        <w:rPr>
          <w:iCs/>
          <w:u w:val="single"/>
        </w:rPr>
        <w:t>for</w:t>
      </w:r>
      <w:r w:rsidR="00C026A6" w:rsidRPr="00EA59C0">
        <w:rPr>
          <w:iCs/>
          <w:u w:val="single"/>
        </w:rPr>
        <w:t xml:space="preserve"> </w:t>
      </w:r>
      <w:r w:rsidRPr="00EA59C0">
        <w:rPr>
          <w:iCs/>
          <w:u w:val="single"/>
        </w:rPr>
        <w:t>valid</w:t>
      </w:r>
      <w:r w:rsidR="00C026A6" w:rsidRPr="00EA59C0">
        <w:rPr>
          <w:iCs/>
          <w:u w:val="single"/>
        </w:rPr>
        <w:t xml:space="preserve"> </w:t>
      </w:r>
      <w:r w:rsidRPr="00EA59C0">
        <w:rPr>
          <w:iCs/>
          <w:u w:val="single"/>
        </w:rPr>
        <w:t>submissions.</w:t>
      </w:r>
      <w:r w:rsidR="00C026A6" w:rsidRPr="00EA59C0">
        <w:rPr>
          <w:iCs/>
          <w:u w:val="single"/>
        </w:rPr>
        <w:t xml:space="preserve"> </w:t>
      </w:r>
    </w:p>
    <w:p w:rsidR="00144DF0" w:rsidRPr="00EA59C0" w:rsidRDefault="00144DF0" w:rsidP="00C072FA">
      <w:pPr>
        <w:autoSpaceDE w:val="0"/>
        <w:autoSpaceDN w:val="0"/>
        <w:adjustRightInd w:val="0"/>
        <w:ind w:left="720"/>
      </w:pPr>
    </w:p>
    <w:p w:rsidR="00144DF0" w:rsidRPr="00EA59C0" w:rsidRDefault="007470AB" w:rsidP="00C072FA">
      <w:pPr>
        <w:autoSpaceDE w:val="0"/>
        <w:autoSpaceDN w:val="0"/>
        <w:adjustRightInd w:val="0"/>
        <w:ind w:left="720"/>
        <w:rPr>
          <w:iCs/>
        </w:rPr>
      </w:pPr>
      <w:r w:rsidRPr="00EA59C0">
        <w:t>When</w:t>
      </w:r>
      <w:r w:rsidR="00C026A6" w:rsidRPr="00EA59C0">
        <w:t xml:space="preserve"> </w:t>
      </w:r>
      <w:r w:rsidRPr="00EA59C0">
        <w:t>a</w:t>
      </w:r>
      <w:r w:rsidR="00C026A6" w:rsidRPr="00EA59C0">
        <w:t xml:space="preserve"> </w:t>
      </w:r>
      <w:r w:rsidRPr="00EA59C0">
        <w:t>registered</w:t>
      </w:r>
      <w:r w:rsidR="00C026A6" w:rsidRPr="00EA59C0">
        <w:t xml:space="preserve"> </w:t>
      </w:r>
      <w:r w:rsidRPr="00EA59C0">
        <w:t>applicant</w:t>
      </w:r>
      <w:r w:rsidR="00C026A6" w:rsidRPr="00EA59C0">
        <w:t xml:space="preserve"> </w:t>
      </w:r>
      <w:r w:rsidRPr="00EA59C0">
        <w:t>submits</w:t>
      </w:r>
      <w:r w:rsidR="00C026A6" w:rsidRPr="00EA59C0">
        <w:t xml:space="preserve"> </w:t>
      </w:r>
      <w:r w:rsidRPr="00EA59C0">
        <w:t>an</w:t>
      </w:r>
      <w:r w:rsidR="00C026A6" w:rsidRPr="00EA59C0">
        <w:t xml:space="preserve"> </w:t>
      </w:r>
      <w:r w:rsidRPr="00EA59C0">
        <w:t>application</w:t>
      </w:r>
      <w:r w:rsidR="00C026A6" w:rsidRPr="00EA59C0">
        <w:t xml:space="preserve"> </w:t>
      </w:r>
      <w:r w:rsidRPr="00EA59C0">
        <w:t>with</w:t>
      </w:r>
      <w:r w:rsidR="00C026A6" w:rsidRPr="00EA59C0">
        <w:t xml:space="preserve"> </w:t>
      </w:r>
      <w:r w:rsidRPr="00EA59C0">
        <w:t>Grants.gov,</w:t>
      </w:r>
      <w:r w:rsidR="00C026A6" w:rsidRPr="00EA59C0">
        <w:t xml:space="preserve"> </w:t>
      </w:r>
      <w:r w:rsidRPr="00EA59C0">
        <w:t>an</w:t>
      </w:r>
      <w:r w:rsidR="00C026A6" w:rsidRPr="00EA59C0">
        <w:t xml:space="preserve"> </w:t>
      </w:r>
      <w:r w:rsidRPr="00EA59C0">
        <w:t>electronic</w:t>
      </w:r>
      <w:r w:rsidR="00C026A6" w:rsidRPr="00EA59C0">
        <w:t xml:space="preserve"> </w:t>
      </w:r>
      <w:r w:rsidRPr="00EA59C0">
        <w:t>time</w:t>
      </w:r>
      <w:r w:rsidR="00C026A6" w:rsidRPr="00EA59C0">
        <w:t xml:space="preserve"> </w:t>
      </w:r>
      <w:r w:rsidRPr="00EA59C0">
        <w:t>stamp</w:t>
      </w:r>
      <w:r w:rsidR="00C026A6" w:rsidRPr="00EA59C0">
        <w:t xml:space="preserve"> </w:t>
      </w:r>
      <w:r w:rsidRPr="00EA59C0">
        <w:t>is</w:t>
      </w:r>
      <w:r w:rsidR="00C026A6" w:rsidRPr="00EA59C0">
        <w:t xml:space="preserve"> </w:t>
      </w:r>
      <w:r w:rsidRPr="00EA59C0">
        <w:t>generated</w:t>
      </w:r>
      <w:r w:rsidR="00C026A6" w:rsidRPr="00EA59C0">
        <w:t xml:space="preserve"> </w:t>
      </w:r>
      <w:r w:rsidRPr="00EA59C0">
        <w:t>within</w:t>
      </w:r>
      <w:r w:rsidR="00C026A6" w:rsidRPr="00EA59C0">
        <w:t xml:space="preserve"> </w:t>
      </w:r>
      <w:r w:rsidRPr="00EA59C0">
        <w:t>the</w:t>
      </w:r>
      <w:r w:rsidR="00C026A6" w:rsidRPr="00EA59C0">
        <w:t xml:space="preserve"> </w:t>
      </w:r>
      <w:r w:rsidRPr="00EA59C0">
        <w:t>system</w:t>
      </w:r>
      <w:r w:rsidR="00C026A6" w:rsidRPr="00EA59C0">
        <w:t xml:space="preserve"> </w:t>
      </w:r>
      <w:r w:rsidRPr="00EA59C0">
        <w:t>when</w:t>
      </w:r>
      <w:r w:rsidR="00C026A6" w:rsidRPr="00EA59C0">
        <w:t xml:space="preserve"> </w:t>
      </w:r>
      <w:r w:rsidRPr="00EA59C0">
        <w:t>the</w:t>
      </w:r>
      <w:r w:rsidR="00C026A6" w:rsidRPr="00EA59C0">
        <w:t xml:space="preserve"> </w:t>
      </w:r>
      <w:r w:rsidRPr="00EA59C0">
        <w:t>application</w:t>
      </w:r>
      <w:r w:rsidR="00C026A6" w:rsidRPr="00EA59C0">
        <w:t xml:space="preserve"> </w:t>
      </w:r>
      <w:r w:rsidRPr="00EA59C0">
        <w:t>is</w:t>
      </w:r>
      <w:r w:rsidR="00C026A6" w:rsidRPr="00EA59C0">
        <w:t xml:space="preserve"> </w:t>
      </w:r>
      <w:r w:rsidRPr="00EA59C0">
        <w:t>successfully</w:t>
      </w:r>
      <w:r w:rsidR="00C026A6" w:rsidRPr="00EA59C0">
        <w:t xml:space="preserve"> </w:t>
      </w:r>
      <w:r w:rsidRPr="00EA59C0">
        <w:t>received</w:t>
      </w:r>
      <w:r w:rsidR="00C026A6" w:rsidRPr="00EA59C0">
        <w:t xml:space="preserve"> </w:t>
      </w:r>
      <w:r w:rsidRPr="00EA59C0">
        <w:t>by</w:t>
      </w:r>
      <w:r w:rsidR="00C026A6" w:rsidRPr="00EA59C0">
        <w:t xml:space="preserve"> </w:t>
      </w:r>
      <w:r w:rsidRPr="00EA59C0">
        <w:t>Grants.gov.</w:t>
      </w:r>
      <w:r w:rsidR="00C026A6" w:rsidRPr="00EA59C0">
        <w:t xml:space="preserve">  </w:t>
      </w:r>
      <w:r w:rsidRPr="00EA59C0">
        <w:t>Within</w:t>
      </w:r>
      <w:r w:rsidR="00C026A6" w:rsidRPr="00EA59C0">
        <w:t xml:space="preserve"> </w:t>
      </w:r>
      <w:r w:rsidRPr="00EA59C0">
        <w:t>two</w:t>
      </w:r>
      <w:r w:rsidR="00C026A6" w:rsidRPr="00EA59C0">
        <w:t xml:space="preserve"> </w:t>
      </w:r>
      <w:r w:rsidRPr="00EA59C0">
        <w:t>business</w:t>
      </w:r>
      <w:r w:rsidR="00C026A6" w:rsidRPr="00EA59C0">
        <w:t xml:space="preserve"> </w:t>
      </w:r>
      <w:r w:rsidRPr="00EA59C0">
        <w:t>days</w:t>
      </w:r>
      <w:r w:rsidR="00C026A6" w:rsidRPr="00EA59C0">
        <w:t xml:space="preserve"> </w:t>
      </w:r>
      <w:r w:rsidRPr="00EA59C0">
        <w:t>of</w:t>
      </w:r>
      <w:r w:rsidR="00C026A6" w:rsidRPr="00EA59C0">
        <w:t xml:space="preserve"> </w:t>
      </w:r>
      <w:r w:rsidRPr="00EA59C0">
        <w:t>application</w:t>
      </w:r>
      <w:r w:rsidR="00C026A6" w:rsidRPr="00EA59C0">
        <w:t xml:space="preserve"> </w:t>
      </w:r>
      <w:r w:rsidRPr="00EA59C0">
        <w:t>submission,</w:t>
      </w:r>
      <w:r w:rsidR="00C026A6" w:rsidRPr="00EA59C0">
        <w:t xml:space="preserve"> </w:t>
      </w:r>
      <w:r w:rsidRPr="00EA59C0">
        <w:t>Grants.gov</w:t>
      </w:r>
      <w:r w:rsidR="00C026A6" w:rsidRPr="00EA59C0">
        <w:t xml:space="preserve"> </w:t>
      </w:r>
      <w:r w:rsidRPr="00EA59C0">
        <w:t>will</w:t>
      </w:r>
      <w:r w:rsidR="00C026A6" w:rsidRPr="00EA59C0">
        <w:t xml:space="preserve"> </w:t>
      </w:r>
      <w:r w:rsidRPr="00EA59C0">
        <w:t>send</w:t>
      </w:r>
      <w:r w:rsidR="00C026A6" w:rsidRPr="00EA59C0">
        <w:t xml:space="preserve"> </w:t>
      </w:r>
      <w:r w:rsidRPr="00EA59C0">
        <w:t>the</w:t>
      </w:r>
      <w:r w:rsidR="00C026A6" w:rsidRPr="00EA59C0">
        <w:t xml:space="preserve"> </w:t>
      </w:r>
      <w:r w:rsidRPr="00EA59C0">
        <w:t>applicant</w:t>
      </w:r>
      <w:r w:rsidR="00C026A6" w:rsidRPr="00EA59C0">
        <w:t xml:space="preserve"> </w:t>
      </w:r>
      <w:r w:rsidRPr="00EA59C0">
        <w:t>two</w:t>
      </w:r>
      <w:r w:rsidR="00C026A6" w:rsidRPr="00EA59C0">
        <w:t xml:space="preserve"> </w:t>
      </w:r>
      <w:r w:rsidRPr="00EA59C0">
        <w:t>email</w:t>
      </w:r>
      <w:r w:rsidR="00C026A6" w:rsidRPr="00EA59C0">
        <w:t xml:space="preserve"> </w:t>
      </w:r>
      <w:r w:rsidRPr="00EA59C0">
        <w:t>messages</w:t>
      </w:r>
      <w:r w:rsidR="00C026A6" w:rsidRPr="00EA59C0">
        <w:t xml:space="preserve"> </w:t>
      </w:r>
      <w:r w:rsidRPr="00EA59C0">
        <w:t>to</w:t>
      </w:r>
      <w:r w:rsidR="00C026A6" w:rsidRPr="00EA59C0">
        <w:t xml:space="preserve"> </w:t>
      </w:r>
      <w:r w:rsidRPr="00EA59C0">
        <w:t>provide</w:t>
      </w:r>
      <w:r w:rsidR="00C026A6" w:rsidRPr="00EA59C0">
        <w:t xml:space="preserve"> </w:t>
      </w:r>
      <w:r w:rsidRPr="00EA59C0">
        <w:t>the</w:t>
      </w:r>
      <w:r w:rsidR="00C026A6" w:rsidRPr="00EA59C0">
        <w:t xml:space="preserve"> </w:t>
      </w:r>
      <w:r w:rsidRPr="00EA59C0">
        <w:t>status</w:t>
      </w:r>
      <w:r w:rsidR="00C026A6" w:rsidRPr="00EA59C0">
        <w:t xml:space="preserve"> </w:t>
      </w:r>
      <w:r w:rsidRPr="00EA59C0">
        <w:t>of</w:t>
      </w:r>
      <w:r w:rsidR="00C026A6" w:rsidRPr="00EA59C0">
        <w:t xml:space="preserve"> </w:t>
      </w:r>
      <w:r w:rsidRPr="00EA59C0">
        <w:t>the</w:t>
      </w:r>
      <w:r w:rsidR="00C026A6" w:rsidRPr="00EA59C0">
        <w:t xml:space="preserve"> </w:t>
      </w:r>
      <w:r w:rsidRPr="00EA59C0">
        <w:t>application’s</w:t>
      </w:r>
      <w:r w:rsidR="00C026A6" w:rsidRPr="00EA59C0">
        <w:t xml:space="preserve"> </w:t>
      </w:r>
      <w:r w:rsidRPr="00EA59C0">
        <w:t>progress</w:t>
      </w:r>
      <w:r w:rsidR="00C026A6" w:rsidRPr="00EA59C0">
        <w:t xml:space="preserve"> </w:t>
      </w:r>
      <w:r w:rsidRPr="00EA59C0">
        <w:t>through</w:t>
      </w:r>
      <w:r w:rsidR="00C026A6" w:rsidRPr="00EA59C0">
        <w:t xml:space="preserve"> </w:t>
      </w:r>
      <w:r w:rsidRPr="00EA59C0">
        <w:t>the</w:t>
      </w:r>
      <w:r w:rsidR="00C026A6" w:rsidRPr="00EA59C0">
        <w:t xml:space="preserve"> </w:t>
      </w:r>
      <w:r w:rsidRPr="00EA59C0">
        <w:t>system.</w:t>
      </w:r>
      <w:r w:rsidR="00C026A6" w:rsidRPr="00EA59C0">
        <w:t xml:space="preserve">  </w:t>
      </w:r>
      <w:r w:rsidRPr="00EA59C0">
        <w:t>The</w:t>
      </w:r>
      <w:r w:rsidR="00C026A6" w:rsidRPr="00EA59C0">
        <w:t xml:space="preserve"> </w:t>
      </w:r>
      <w:r w:rsidRPr="00EA59C0">
        <w:t>first</w:t>
      </w:r>
      <w:r w:rsidR="00C026A6" w:rsidRPr="00EA59C0">
        <w:t xml:space="preserve"> </w:t>
      </w:r>
      <w:r w:rsidRPr="00EA59C0">
        <w:t>email,</w:t>
      </w:r>
      <w:r w:rsidR="00C026A6" w:rsidRPr="00EA59C0">
        <w:t xml:space="preserve"> </w:t>
      </w:r>
      <w:r w:rsidRPr="00EA59C0">
        <w:t>sent</w:t>
      </w:r>
      <w:r w:rsidR="00C026A6" w:rsidRPr="00EA59C0">
        <w:t xml:space="preserve"> </w:t>
      </w:r>
      <w:r w:rsidRPr="00EA59C0">
        <w:t>almost</w:t>
      </w:r>
      <w:r w:rsidR="00C026A6" w:rsidRPr="00EA59C0">
        <w:t xml:space="preserve"> </w:t>
      </w:r>
      <w:r w:rsidRPr="00EA59C0">
        <w:t>immediately,</w:t>
      </w:r>
      <w:r w:rsidR="00C026A6" w:rsidRPr="00EA59C0">
        <w:t xml:space="preserve"> </w:t>
      </w:r>
      <w:r w:rsidRPr="00EA59C0">
        <w:t>will</w:t>
      </w:r>
      <w:r w:rsidR="00C026A6" w:rsidRPr="00EA59C0">
        <w:t xml:space="preserve"> </w:t>
      </w:r>
      <w:r w:rsidRPr="00EA59C0">
        <w:t>contain</w:t>
      </w:r>
      <w:r w:rsidR="00C026A6" w:rsidRPr="00EA59C0">
        <w:t xml:space="preserve"> </w:t>
      </w:r>
      <w:r w:rsidRPr="00EA59C0">
        <w:t>a</w:t>
      </w:r>
      <w:r w:rsidR="00C026A6" w:rsidRPr="00EA59C0">
        <w:t xml:space="preserve"> </w:t>
      </w:r>
      <w:r w:rsidRPr="00EA59C0">
        <w:t>tracking</w:t>
      </w:r>
      <w:r w:rsidR="00C026A6" w:rsidRPr="00EA59C0">
        <w:t xml:space="preserve"> </w:t>
      </w:r>
      <w:r w:rsidRPr="00EA59C0">
        <w:t>number</w:t>
      </w:r>
      <w:r w:rsidR="00C026A6" w:rsidRPr="00EA59C0">
        <w:t xml:space="preserve"> </w:t>
      </w:r>
      <w:r w:rsidRPr="00EA59C0">
        <w:t>and</w:t>
      </w:r>
      <w:r w:rsidR="00C026A6" w:rsidRPr="00EA59C0">
        <w:t xml:space="preserve"> </w:t>
      </w:r>
      <w:r w:rsidRPr="00EA59C0">
        <w:t>will</w:t>
      </w:r>
      <w:r w:rsidR="00C026A6" w:rsidRPr="00EA59C0">
        <w:t xml:space="preserve"> </w:t>
      </w:r>
      <w:r w:rsidRPr="00EA59C0">
        <w:t>confirm</w:t>
      </w:r>
      <w:r w:rsidR="00C026A6" w:rsidRPr="00EA59C0">
        <w:t xml:space="preserve"> </w:t>
      </w:r>
      <w:r w:rsidRPr="00EA59C0">
        <w:t>receipt</w:t>
      </w:r>
      <w:r w:rsidR="00C026A6" w:rsidRPr="00EA59C0">
        <w:t xml:space="preserve"> </w:t>
      </w:r>
      <w:r w:rsidRPr="00EA59C0">
        <w:t>of</w:t>
      </w:r>
      <w:r w:rsidR="00C026A6" w:rsidRPr="00EA59C0">
        <w:t xml:space="preserve"> </w:t>
      </w:r>
      <w:r w:rsidRPr="00EA59C0">
        <w:t>the</w:t>
      </w:r>
      <w:r w:rsidR="00C026A6" w:rsidRPr="00EA59C0">
        <w:t xml:space="preserve"> </w:t>
      </w:r>
      <w:r w:rsidRPr="00EA59C0">
        <w:t>application</w:t>
      </w:r>
      <w:r w:rsidR="00C026A6" w:rsidRPr="00EA59C0">
        <w:t xml:space="preserve"> </w:t>
      </w:r>
      <w:r w:rsidRPr="00EA59C0">
        <w:t>by</w:t>
      </w:r>
      <w:r w:rsidR="00C026A6" w:rsidRPr="00EA59C0">
        <w:t xml:space="preserve"> </w:t>
      </w:r>
      <w:r w:rsidRPr="00EA59C0">
        <w:t>Grants.gov.</w:t>
      </w:r>
      <w:r w:rsidR="00C026A6" w:rsidRPr="00EA59C0">
        <w:t xml:space="preserve">  </w:t>
      </w:r>
      <w:r w:rsidRPr="00EA59C0">
        <w:t>The</w:t>
      </w:r>
      <w:r w:rsidR="00C026A6" w:rsidRPr="00EA59C0">
        <w:t xml:space="preserve"> </w:t>
      </w:r>
      <w:r w:rsidRPr="00EA59C0">
        <w:t>second</w:t>
      </w:r>
      <w:r w:rsidR="00C026A6" w:rsidRPr="00EA59C0">
        <w:t xml:space="preserve"> </w:t>
      </w:r>
      <w:r w:rsidRPr="00EA59C0">
        <w:t>email</w:t>
      </w:r>
      <w:r w:rsidR="00C026A6" w:rsidRPr="00EA59C0">
        <w:t xml:space="preserve"> </w:t>
      </w:r>
      <w:r w:rsidRPr="00EA59C0">
        <w:t>will</w:t>
      </w:r>
      <w:r w:rsidR="00C026A6" w:rsidRPr="00EA59C0">
        <w:t xml:space="preserve"> </w:t>
      </w:r>
      <w:r w:rsidRPr="00EA59C0">
        <w:t>indicate</w:t>
      </w:r>
      <w:r w:rsidR="00C026A6" w:rsidRPr="00EA59C0">
        <w:t xml:space="preserve"> </w:t>
      </w:r>
      <w:r w:rsidRPr="00EA59C0">
        <w:t>the</w:t>
      </w:r>
      <w:r w:rsidR="00C026A6" w:rsidRPr="00EA59C0">
        <w:t xml:space="preserve"> </w:t>
      </w:r>
      <w:r w:rsidRPr="00EA59C0">
        <w:t>application</w:t>
      </w:r>
      <w:r w:rsidR="00C026A6" w:rsidRPr="00EA59C0">
        <w:t xml:space="preserve"> </w:t>
      </w:r>
      <w:r w:rsidRPr="00EA59C0">
        <w:t>has</w:t>
      </w:r>
      <w:r w:rsidR="00C026A6" w:rsidRPr="00EA59C0">
        <w:t xml:space="preserve"> </w:t>
      </w:r>
      <w:r w:rsidRPr="00EA59C0">
        <w:t>either</w:t>
      </w:r>
      <w:r w:rsidR="00C026A6" w:rsidRPr="00EA59C0">
        <w:t xml:space="preserve"> </w:t>
      </w:r>
      <w:r w:rsidRPr="00EA59C0">
        <w:t>been</w:t>
      </w:r>
      <w:r w:rsidR="00C026A6" w:rsidRPr="00EA59C0">
        <w:t xml:space="preserve"> </w:t>
      </w:r>
      <w:r w:rsidRPr="00EA59C0">
        <w:t>successfully</w:t>
      </w:r>
      <w:r w:rsidR="00C026A6" w:rsidRPr="00EA59C0">
        <w:t xml:space="preserve"> </w:t>
      </w:r>
      <w:r w:rsidRPr="00EA59C0">
        <w:t>validated</w:t>
      </w:r>
      <w:r w:rsidR="00C026A6" w:rsidRPr="00EA59C0">
        <w:t xml:space="preserve"> </w:t>
      </w:r>
      <w:r w:rsidRPr="00EA59C0">
        <w:t>or</w:t>
      </w:r>
      <w:r w:rsidR="00C026A6" w:rsidRPr="00EA59C0">
        <w:t xml:space="preserve"> </w:t>
      </w:r>
      <w:r w:rsidRPr="00EA59C0">
        <w:t>has</w:t>
      </w:r>
      <w:r w:rsidR="00C026A6" w:rsidRPr="00EA59C0">
        <w:t xml:space="preserve"> </w:t>
      </w:r>
      <w:r w:rsidRPr="00EA59C0">
        <w:t>been</w:t>
      </w:r>
      <w:r w:rsidR="00C026A6" w:rsidRPr="00EA59C0">
        <w:t xml:space="preserve"> </w:t>
      </w:r>
      <w:r w:rsidRPr="00EA59C0">
        <w:t>rejected</w:t>
      </w:r>
      <w:r w:rsidR="00C026A6" w:rsidRPr="00EA59C0">
        <w:t xml:space="preserve"> </w:t>
      </w:r>
      <w:r w:rsidRPr="00EA59C0">
        <w:t>due</w:t>
      </w:r>
      <w:r w:rsidR="00C026A6" w:rsidRPr="00EA59C0">
        <w:t xml:space="preserve"> </w:t>
      </w:r>
      <w:r w:rsidRPr="00EA59C0">
        <w:t>to</w:t>
      </w:r>
      <w:r w:rsidR="00C026A6" w:rsidRPr="00EA59C0">
        <w:t xml:space="preserve"> </w:t>
      </w:r>
      <w:r w:rsidRPr="00EA59C0">
        <w:t>errors.</w:t>
      </w:r>
      <w:r w:rsidR="00C026A6" w:rsidRPr="00EA59C0">
        <w:t xml:space="preserve">  </w:t>
      </w:r>
      <w:r w:rsidRPr="00EA59C0">
        <w:t>Grants.gov</w:t>
      </w:r>
      <w:r w:rsidR="00C026A6" w:rsidRPr="00EA59C0">
        <w:t xml:space="preserve"> </w:t>
      </w:r>
      <w:r w:rsidRPr="00EA59C0">
        <w:t>will</w:t>
      </w:r>
      <w:r w:rsidR="00C026A6" w:rsidRPr="00EA59C0">
        <w:t xml:space="preserve"> </w:t>
      </w:r>
      <w:r w:rsidRPr="00EA59C0">
        <w:t>reject</w:t>
      </w:r>
      <w:r w:rsidR="00C026A6" w:rsidRPr="00EA59C0">
        <w:t xml:space="preserve"> </w:t>
      </w:r>
      <w:r w:rsidRPr="00EA59C0">
        <w:t>applications</w:t>
      </w:r>
      <w:r w:rsidR="00C026A6" w:rsidRPr="00EA59C0">
        <w:t xml:space="preserve"> </w:t>
      </w:r>
      <w:r w:rsidRPr="00EA59C0">
        <w:t>if</w:t>
      </w:r>
      <w:r w:rsidR="00C026A6" w:rsidRPr="00EA59C0">
        <w:t xml:space="preserve"> </w:t>
      </w:r>
      <w:r w:rsidRPr="00EA59C0">
        <w:t>the</w:t>
      </w:r>
      <w:r w:rsidR="00C026A6" w:rsidRPr="00EA59C0">
        <w:t xml:space="preserve"> </w:t>
      </w:r>
      <w:r w:rsidRPr="00EA59C0">
        <w:t>applicant’s</w:t>
      </w:r>
      <w:r w:rsidR="00C026A6" w:rsidRPr="00EA59C0">
        <w:t xml:space="preserve"> </w:t>
      </w:r>
      <w:r w:rsidR="00727E40" w:rsidRPr="00EA59C0">
        <w:t>registration</w:t>
      </w:r>
      <w:r w:rsidR="00C026A6" w:rsidRPr="00EA59C0">
        <w:t xml:space="preserve"> </w:t>
      </w:r>
      <w:r w:rsidR="00727E40" w:rsidRPr="00EA59C0">
        <w:t>in</w:t>
      </w:r>
      <w:r w:rsidR="00C026A6" w:rsidRPr="00EA59C0">
        <w:t xml:space="preserve"> </w:t>
      </w:r>
      <w:r w:rsidR="00316EF5" w:rsidRPr="00EA59C0">
        <w:t>SAM</w:t>
      </w:r>
      <w:r w:rsidR="00C026A6" w:rsidRPr="00EA59C0">
        <w:t xml:space="preserve"> </w:t>
      </w:r>
      <w:r w:rsidRPr="00EA59C0">
        <w:t>is</w:t>
      </w:r>
      <w:r w:rsidR="00C026A6" w:rsidRPr="00EA59C0">
        <w:t xml:space="preserve"> </w:t>
      </w:r>
      <w:r w:rsidRPr="00EA59C0">
        <w:t>expired.</w:t>
      </w:r>
      <w:r w:rsidR="00C026A6" w:rsidRPr="00EA59C0">
        <w:t xml:space="preserve"> </w:t>
      </w:r>
      <w:r w:rsidRPr="00EA59C0">
        <w:t>Only</w:t>
      </w:r>
      <w:r w:rsidR="00C026A6" w:rsidRPr="00EA59C0">
        <w:t xml:space="preserve"> </w:t>
      </w:r>
      <w:r w:rsidRPr="00EA59C0">
        <w:t>applications</w:t>
      </w:r>
      <w:r w:rsidR="00C026A6" w:rsidRPr="00EA59C0">
        <w:t xml:space="preserve"> </w:t>
      </w:r>
      <w:r w:rsidRPr="00EA59C0">
        <w:t>that</w:t>
      </w:r>
      <w:r w:rsidR="00C026A6" w:rsidRPr="00EA59C0">
        <w:t xml:space="preserve"> </w:t>
      </w:r>
      <w:r w:rsidRPr="00EA59C0">
        <w:t>have</w:t>
      </w:r>
      <w:r w:rsidR="00C026A6" w:rsidRPr="00EA59C0">
        <w:t xml:space="preserve"> </w:t>
      </w:r>
      <w:r w:rsidRPr="00EA59C0">
        <w:t>been</w:t>
      </w:r>
      <w:r w:rsidR="00C026A6" w:rsidRPr="00EA59C0">
        <w:t xml:space="preserve"> </w:t>
      </w:r>
      <w:r w:rsidRPr="00EA59C0">
        <w:t>successfully</w:t>
      </w:r>
      <w:r w:rsidR="00C026A6" w:rsidRPr="00EA59C0">
        <w:t xml:space="preserve"> </w:t>
      </w:r>
      <w:r w:rsidRPr="00EA59C0">
        <w:t>submitted</w:t>
      </w:r>
      <w:r w:rsidR="00C026A6" w:rsidRPr="00EA59C0">
        <w:t xml:space="preserve"> </w:t>
      </w:r>
      <w:r w:rsidRPr="00EA59C0">
        <w:t>by</w:t>
      </w:r>
      <w:r w:rsidR="00C026A6" w:rsidRPr="00EA59C0">
        <w:t xml:space="preserve"> </w:t>
      </w:r>
      <w:r w:rsidRPr="00EA59C0">
        <w:t>the</w:t>
      </w:r>
      <w:r w:rsidR="00C026A6" w:rsidRPr="00EA59C0">
        <w:t xml:space="preserve"> </w:t>
      </w:r>
      <w:r w:rsidRPr="00EA59C0">
        <w:t>deadline</w:t>
      </w:r>
      <w:r w:rsidR="00C026A6" w:rsidRPr="00EA59C0">
        <w:t xml:space="preserve"> </w:t>
      </w:r>
      <w:r w:rsidRPr="00EA59C0">
        <w:t>and</w:t>
      </w:r>
      <w:r w:rsidR="00C026A6" w:rsidRPr="00EA59C0">
        <w:t xml:space="preserve"> </w:t>
      </w:r>
      <w:r w:rsidRPr="00EA59C0">
        <w:t>subsequently</w:t>
      </w:r>
      <w:r w:rsidR="00C026A6" w:rsidRPr="00EA59C0">
        <w:t xml:space="preserve"> </w:t>
      </w:r>
      <w:r w:rsidRPr="00EA59C0">
        <w:t>successfully</w:t>
      </w:r>
      <w:r w:rsidR="00C026A6" w:rsidRPr="00EA59C0">
        <w:t xml:space="preserve"> </w:t>
      </w:r>
      <w:r w:rsidRPr="00EA59C0">
        <w:t>validated</w:t>
      </w:r>
      <w:r w:rsidR="00C026A6" w:rsidRPr="00EA59C0">
        <w:t xml:space="preserve"> </w:t>
      </w:r>
      <w:r w:rsidRPr="00EA59C0">
        <w:t>will</w:t>
      </w:r>
      <w:r w:rsidR="00C026A6" w:rsidRPr="00EA59C0">
        <w:t xml:space="preserve"> </w:t>
      </w:r>
      <w:r w:rsidRPr="00EA59C0">
        <w:t>be</w:t>
      </w:r>
      <w:r w:rsidR="00C026A6" w:rsidRPr="00EA59C0">
        <w:t xml:space="preserve"> </w:t>
      </w:r>
      <w:r w:rsidRPr="00EA59C0">
        <w:t>considered.</w:t>
      </w:r>
      <w:r w:rsidR="00C026A6" w:rsidRPr="00EA59C0">
        <w:t xml:space="preserve">  </w:t>
      </w:r>
      <w:r w:rsidRPr="00EA59C0">
        <w:rPr>
          <w:iCs/>
        </w:rPr>
        <w:t>It</w:t>
      </w:r>
      <w:r w:rsidR="00C026A6" w:rsidRPr="00EA59C0">
        <w:rPr>
          <w:iCs/>
        </w:rPr>
        <w:t xml:space="preserve"> </w:t>
      </w:r>
      <w:r w:rsidRPr="00EA59C0">
        <w:rPr>
          <w:iCs/>
        </w:rPr>
        <w:t>is</w:t>
      </w:r>
      <w:r w:rsidR="00C026A6" w:rsidRPr="00EA59C0">
        <w:rPr>
          <w:iCs/>
        </w:rPr>
        <w:t xml:space="preserve"> </w:t>
      </w:r>
      <w:r w:rsidRPr="00EA59C0">
        <w:rPr>
          <w:iCs/>
        </w:rPr>
        <w:t>the</w:t>
      </w:r>
      <w:r w:rsidR="00C026A6" w:rsidRPr="00EA59C0">
        <w:rPr>
          <w:iCs/>
        </w:rPr>
        <w:t xml:space="preserve"> </w:t>
      </w:r>
      <w:r w:rsidRPr="00EA59C0">
        <w:rPr>
          <w:iCs/>
        </w:rPr>
        <w:t>sole</w:t>
      </w:r>
      <w:r w:rsidR="00C026A6" w:rsidRPr="00EA59C0">
        <w:rPr>
          <w:iCs/>
        </w:rPr>
        <w:t xml:space="preserve"> </w:t>
      </w:r>
      <w:r w:rsidRPr="00EA59C0">
        <w:rPr>
          <w:iCs/>
        </w:rPr>
        <w:t>responsibility</w:t>
      </w:r>
      <w:r w:rsidR="00C026A6" w:rsidRPr="00EA59C0">
        <w:rPr>
          <w:iCs/>
        </w:rPr>
        <w:t xml:space="preserve"> </w:t>
      </w:r>
      <w:r w:rsidRPr="00EA59C0">
        <w:rPr>
          <w:iCs/>
        </w:rPr>
        <w:t>of</w:t>
      </w:r>
      <w:r w:rsidR="00C026A6" w:rsidRPr="00EA59C0">
        <w:rPr>
          <w:iCs/>
        </w:rPr>
        <w:t xml:space="preserve"> </w:t>
      </w:r>
      <w:r w:rsidRPr="00EA59C0">
        <w:rPr>
          <w:iCs/>
        </w:rPr>
        <w:t>the</w:t>
      </w:r>
      <w:r w:rsidR="00C026A6" w:rsidRPr="00EA59C0">
        <w:rPr>
          <w:iCs/>
        </w:rPr>
        <w:t xml:space="preserve"> </w:t>
      </w:r>
      <w:r w:rsidRPr="00EA59C0">
        <w:rPr>
          <w:iCs/>
        </w:rPr>
        <w:t>applicant</w:t>
      </w:r>
      <w:r w:rsidR="00C026A6" w:rsidRPr="00EA59C0">
        <w:rPr>
          <w:iCs/>
        </w:rPr>
        <w:t xml:space="preserve"> </w:t>
      </w:r>
      <w:r w:rsidRPr="00EA59C0">
        <w:rPr>
          <w:iCs/>
        </w:rPr>
        <w:t>to</w:t>
      </w:r>
      <w:r w:rsidR="00C026A6" w:rsidRPr="00EA59C0">
        <w:rPr>
          <w:iCs/>
        </w:rPr>
        <w:t xml:space="preserve"> </w:t>
      </w:r>
      <w:r w:rsidRPr="00EA59C0">
        <w:rPr>
          <w:iCs/>
        </w:rPr>
        <w:t>ensure</w:t>
      </w:r>
      <w:r w:rsidR="00C026A6" w:rsidRPr="00EA59C0">
        <w:rPr>
          <w:iCs/>
        </w:rPr>
        <w:t xml:space="preserve"> </w:t>
      </w:r>
      <w:r w:rsidRPr="00EA59C0">
        <w:rPr>
          <w:iCs/>
        </w:rPr>
        <w:t>a</w:t>
      </w:r>
      <w:r w:rsidR="00C026A6" w:rsidRPr="00EA59C0">
        <w:rPr>
          <w:iCs/>
        </w:rPr>
        <w:t xml:space="preserve"> </w:t>
      </w:r>
      <w:r w:rsidRPr="00EA59C0">
        <w:rPr>
          <w:iCs/>
        </w:rPr>
        <w:t>timely</w:t>
      </w:r>
      <w:r w:rsidR="00C026A6" w:rsidRPr="00EA59C0">
        <w:rPr>
          <w:iCs/>
        </w:rPr>
        <w:t xml:space="preserve"> </w:t>
      </w:r>
      <w:r w:rsidRPr="00EA59C0">
        <w:rPr>
          <w:iCs/>
        </w:rPr>
        <w:t>submission.</w:t>
      </w:r>
      <w:r w:rsidR="00C026A6" w:rsidRPr="00EA59C0">
        <w:rPr>
          <w:iCs/>
        </w:rPr>
        <w:t xml:space="preserve">  </w:t>
      </w:r>
      <w:r w:rsidRPr="00EA59C0">
        <w:rPr>
          <w:iCs/>
        </w:rPr>
        <w:t>While</w:t>
      </w:r>
      <w:r w:rsidR="00C026A6" w:rsidRPr="00EA59C0">
        <w:rPr>
          <w:iCs/>
        </w:rPr>
        <w:t xml:space="preserve"> </w:t>
      </w:r>
      <w:r w:rsidRPr="00EA59C0">
        <w:rPr>
          <w:iCs/>
        </w:rPr>
        <w:t>it</w:t>
      </w:r>
      <w:r w:rsidR="00C026A6" w:rsidRPr="00EA59C0">
        <w:rPr>
          <w:iCs/>
        </w:rPr>
        <w:t xml:space="preserve"> </w:t>
      </w:r>
      <w:r w:rsidRPr="00EA59C0">
        <w:rPr>
          <w:iCs/>
        </w:rPr>
        <w:t>is</w:t>
      </w:r>
      <w:r w:rsidR="00C026A6" w:rsidRPr="00EA59C0">
        <w:rPr>
          <w:iCs/>
        </w:rPr>
        <w:t xml:space="preserve"> </w:t>
      </w:r>
      <w:r w:rsidRPr="00EA59C0">
        <w:rPr>
          <w:iCs/>
        </w:rPr>
        <w:t>not</w:t>
      </w:r>
      <w:r w:rsidR="00C026A6" w:rsidRPr="00EA59C0">
        <w:rPr>
          <w:iCs/>
        </w:rPr>
        <w:t xml:space="preserve"> </w:t>
      </w:r>
      <w:r w:rsidRPr="00EA59C0">
        <w:rPr>
          <w:iCs/>
        </w:rPr>
        <w:t>required</w:t>
      </w:r>
      <w:r w:rsidR="00C026A6" w:rsidRPr="00EA59C0">
        <w:rPr>
          <w:iCs/>
        </w:rPr>
        <w:t xml:space="preserve"> </w:t>
      </w:r>
      <w:r w:rsidRPr="00EA59C0">
        <w:rPr>
          <w:iCs/>
        </w:rPr>
        <w:t>that</w:t>
      </w:r>
      <w:r w:rsidR="00C026A6" w:rsidRPr="00EA59C0">
        <w:rPr>
          <w:iCs/>
        </w:rPr>
        <w:t xml:space="preserve"> </w:t>
      </w:r>
      <w:r w:rsidRPr="00EA59C0">
        <w:rPr>
          <w:iCs/>
        </w:rPr>
        <w:t>an</w:t>
      </w:r>
      <w:r w:rsidR="00C026A6" w:rsidRPr="00EA59C0">
        <w:rPr>
          <w:iCs/>
        </w:rPr>
        <w:t xml:space="preserve"> </w:t>
      </w:r>
      <w:r w:rsidRPr="00EA59C0">
        <w:rPr>
          <w:iCs/>
        </w:rPr>
        <w:t>application</w:t>
      </w:r>
      <w:r w:rsidR="00C026A6" w:rsidRPr="00EA59C0">
        <w:rPr>
          <w:iCs/>
        </w:rPr>
        <w:t xml:space="preserve"> </w:t>
      </w:r>
      <w:r w:rsidRPr="00EA59C0">
        <w:rPr>
          <w:iCs/>
        </w:rPr>
        <w:t>be</w:t>
      </w:r>
      <w:r w:rsidR="00C026A6" w:rsidRPr="00EA59C0">
        <w:rPr>
          <w:iCs/>
        </w:rPr>
        <w:t xml:space="preserve"> </w:t>
      </w:r>
      <w:r w:rsidRPr="00EA59C0">
        <w:rPr>
          <w:iCs/>
        </w:rPr>
        <w:t>successfully</w:t>
      </w:r>
      <w:r w:rsidR="00C026A6" w:rsidRPr="00EA59C0">
        <w:rPr>
          <w:iCs/>
        </w:rPr>
        <w:t xml:space="preserve"> </w:t>
      </w:r>
      <w:r w:rsidRPr="00EA59C0">
        <w:rPr>
          <w:iCs/>
        </w:rPr>
        <w:t>validated</w:t>
      </w:r>
      <w:r w:rsidR="00C026A6" w:rsidRPr="00EA59C0">
        <w:rPr>
          <w:iCs/>
        </w:rPr>
        <w:t xml:space="preserve"> </w:t>
      </w:r>
      <w:r w:rsidRPr="00EA59C0">
        <w:rPr>
          <w:iCs/>
        </w:rPr>
        <w:t>before</w:t>
      </w:r>
      <w:r w:rsidR="00C026A6" w:rsidRPr="00EA59C0">
        <w:rPr>
          <w:iCs/>
        </w:rPr>
        <w:t xml:space="preserve"> </w:t>
      </w:r>
      <w:r w:rsidRPr="00EA59C0">
        <w:rPr>
          <w:iCs/>
        </w:rPr>
        <w:t>the</w:t>
      </w:r>
      <w:r w:rsidR="00C026A6" w:rsidRPr="00EA59C0">
        <w:rPr>
          <w:iCs/>
        </w:rPr>
        <w:t xml:space="preserve"> </w:t>
      </w:r>
      <w:r w:rsidRPr="00EA59C0">
        <w:rPr>
          <w:iCs/>
        </w:rPr>
        <w:t>deadline</w:t>
      </w:r>
      <w:r w:rsidR="00C026A6" w:rsidRPr="00EA59C0">
        <w:rPr>
          <w:iCs/>
        </w:rPr>
        <w:t xml:space="preserve"> </w:t>
      </w:r>
      <w:r w:rsidRPr="00EA59C0">
        <w:rPr>
          <w:iCs/>
        </w:rPr>
        <w:t>for</w:t>
      </w:r>
      <w:r w:rsidR="00C026A6" w:rsidRPr="00EA59C0">
        <w:rPr>
          <w:iCs/>
        </w:rPr>
        <w:t xml:space="preserve"> </w:t>
      </w:r>
      <w:r w:rsidRPr="00EA59C0">
        <w:rPr>
          <w:iCs/>
        </w:rPr>
        <w:t>submission,</w:t>
      </w:r>
      <w:r w:rsidR="00C026A6" w:rsidRPr="00EA59C0">
        <w:rPr>
          <w:iCs/>
        </w:rPr>
        <w:t xml:space="preserve"> </w:t>
      </w:r>
      <w:r w:rsidRPr="00EA59C0">
        <w:rPr>
          <w:iCs/>
        </w:rPr>
        <w:t>it</w:t>
      </w:r>
      <w:r w:rsidR="00C026A6" w:rsidRPr="00EA59C0">
        <w:rPr>
          <w:iCs/>
        </w:rPr>
        <w:t xml:space="preserve"> </w:t>
      </w:r>
      <w:r w:rsidRPr="00EA59C0">
        <w:rPr>
          <w:iCs/>
        </w:rPr>
        <w:t>is</w:t>
      </w:r>
      <w:r w:rsidR="00C026A6" w:rsidRPr="00EA59C0">
        <w:rPr>
          <w:iCs/>
        </w:rPr>
        <w:t xml:space="preserve"> </w:t>
      </w:r>
      <w:r w:rsidRPr="00EA59C0">
        <w:rPr>
          <w:iCs/>
        </w:rPr>
        <w:t>prudent</w:t>
      </w:r>
      <w:r w:rsidR="00C026A6" w:rsidRPr="00EA59C0">
        <w:rPr>
          <w:iCs/>
        </w:rPr>
        <w:t xml:space="preserve"> </w:t>
      </w:r>
      <w:r w:rsidRPr="00EA59C0">
        <w:rPr>
          <w:iCs/>
        </w:rPr>
        <w:t>to</w:t>
      </w:r>
      <w:r w:rsidR="00C026A6" w:rsidRPr="00EA59C0">
        <w:rPr>
          <w:iCs/>
        </w:rPr>
        <w:t xml:space="preserve"> </w:t>
      </w:r>
      <w:r w:rsidRPr="00EA59C0">
        <w:rPr>
          <w:iCs/>
        </w:rPr>
        <w:t>reserve</w:t>
      </w:r>
      <w:r w:rsidR="00C026A6" w:rsidRPr="00EA59C0">
        <w:rPr>
          <w:iCs/>
        </w:rPr>
        <w:t xml:space="preserve"> </w:t>
      </w:r>
      <w:r w:rsidRPr="00EA59C0">
        <w:rPr>
          <w:iCs/>
        </w:rPr>
        <w:t>time</w:t>
      </w:r>
      <w:r w:rsidR="00C026A6" w:rsidRPr="00EA59C0">
        <w:rPr>
          <w:iCs/>
        </w:rPr>
        <w:t xml:space="preserve"> </w:t>
      </w:r>
      <w:r w:rsidRPr="00EA59C0">
        <w:rPr>
          <w:iCs/>
        </w:rPr>
        <w:t>before</w:t>
      </w:r>
      <w:r w:rsidR="00C026A6" w:rsidRPr="00EA59C0">
        <w:rPr>
          <w:iCs/>
        </w:rPr>
        <w:t xml:space="preserve"> </w:t>
      </w:r>
      <w:r w:rsidRPr="00EA59C0">
        <w:rPr>
          <w:iCs/>
        </w:rPr>
        <w:t>the</w:t>
      </w:r>
      <w:r w:rsidR="00C026A6" w:rsidRPr="00EA59C0">
        <w:rPr>
          <w:iCs/>
        </w:rPr>
        <w:t xml:space="preserve"> </w:t>
      </w:r>
      <w:r w:rsidRPr="00EA59C0">
        <w:rPr>
          <w:iCs/>
        </w:rPr>
        <w:t>deadline</w:t>
      </w:r>
      <w:r w:rsidR="00C026A6" w:rsidRPr="00EA59C0">
        <w:rPr>
          <w:iCs/>
        </w:rPr>
        <w:t xml:space="preserve"> </w:t>
      </w:r>
      <w:r w:rsidRPr="00EA59C0">
        <w:rPr>
          <w:iCs/>
        </w:rPr>
        <w:t>in</w:t>
      </w:r>
      <w:r w:rsidR="00C026A6" w:rsidRPr="00EA59C0">
        <w:rPr>
          <w:iCs/>
        </w:rPr>
        <w:t xml:space="preserve"> </w:t>
      </w:r>
      <w:r w:rsidRPr="00EA59C0">
        <w:rPr>
          <w:iCs/>
        </w:rPr>
        <w:t>case</w:t>
      </w:r>
      <w:r w:rsidR="00C026A6" w:rsidRPr="00EA59C0">
        <w:rPr>
          <w:iCs/>
        </w:rPr>
        <w:t xml:space="preserve"> </w:t>
      </w:r>
      <w:r w:rsidRPr="00EA59C0">
        <w:rPr>
          <w:iCs/>
        </w:rPr>
        <w:t>it</w:t>
      </w:r>
      <w:r w:rsidR="00C026A6" w:rsidRPr="00EA59C0">
        <w:rPr>
          <w:iCs/>
        </w:rPr>
        <w:t xml:space="preserve"> </w:t>
      </w:r>
      <w:r w:rsidRPr="00EA59C0">
        <w:rPr>
          <w:iCs/>
        </w:rPr>
        <w:t>is</w:t>
      </w:r>
      <w:r w:rsidR="00C026A6" w:rsidRPr="00EA59C0">
        <w:rPr>
          <w:iCs/>
        </w:rPr>
        <w:t xml:space="preserve"> </w:t>
      </w:r>
      <w:r w:rsidRPr="00EA59C0">
        <w:rPr>
          <w:iCs/>
        </w:rPr>
        <w:t>necessary</w:t>
      </w:r>
      <w:r w:rsidR="00C026A6" w:rsidRPr="00EA59C0">
        <w:rPr>
          <w:iCs/>
        </w:rPr>
        <w:t xml:space="preserve"> </w:t>
      </w:r>
      <w:r w:rsidRPr="00EA59C0">
        <w:rPr>
          <w:iCs/>
        </w:rPr>
        <w:t>to</w:t>
      </w:r>
      <w:r w:rsidR="00C026A6" w:rsidRPr="00EA59C0">
        <w:rPr>
          <w:iCs/>
        </w:rPr>
        <w:t xml:space="preserve"> </w:t>
      </w:r>
      <w:r w:rsidRPr="00EA59C0">
        <w:rPr>
          <w:iCs/>
        </w:rPr>
        <w:t>resubmit</w:t>
      </w:r>
      <w:r w:rsidR="00C026A6" w:rsidRPr="00EA59C0">
        <w:rPr>
          <w:iCs/>
        </w:rPr>
        <w:t xml:space="preserve"> </w:t>
      </w:r>
      <w:r w:rsidRPr="00EA59C0">
        <w:rPr>
          <w:iCs/>
        </w:rPr>
        <w:t>an</w:t>
      </w:r>
      <w:r w:rsidR="00C026A6" w:rsidRPr="00EA59C0">
        <w:rPr>
          <w:iCs/>
        </w:rPr>
        <w:t xml:space="preserve"> </w:t>
      </w:r>
      <w:r w:rsidRPr="00EA59C0">
        <w:rPr>
          <w:iCs/>
        </w:rPr>
        <w:t>application</w:t>
      </w:r>
      <w:r w:rsidR="00C026A6" w:rsidRPr="00EA59C0">
        <w:rPr>
          <w:iCs/>
        </w:rPr>
        <w:t xml:space="preserve"> </w:t>
      </w:r>
      <w:r w:rsidRPr="00EA59C0">
        <w:rPr>
          <w:iCs/>
        </w:rPr>
        <w:t>that</w:t>
      </w:r>
      <w:r w:rsidR="00C026A6" w:rsidRPr="00EA59C0">
        <w:rPr>
          <w:iCs/>
        </w:rPr>
        <w:t xml:space="preserve"> </w:t>
      </w:r>
      <w:r w:rsidRPr="00EA59C0">
        <w:rPr>
          <w:iCs/>
        </w:rPr>
        <w:t>has</w:t>
      </w:r>
      <w:r w:rsidR="00C026A6" w:rsidRPr="00EA59C0">
        <w:rPr>
          <w:iCs/>
        </w:rPr>
        <w:t xml:space="preserve"> </w:t>
      </w:r>
      <w:r w:rsidRPr="00EA59C0">
        <w:rPr>
          <w:iCs/>
        </w:rPr>
        <w:t>not</w:t>
      </w:r>
      <w:r w:rsidR="00C026A6" w:rsidRPr="00EA59C0">
        <w:rPr>
          <w:iCs/>
        </w:rPr>
        <w:t xml:space="preserve"> </w:t>
      </w:r>
      <w:r w:rsidRPr="00EA59C0">
        <w:rPr>
          <w:iCs/>
        </w:rPr>
        <w:t>been</w:t>
      </w:r>
      <w:r w:rsidR="00C026A6" w:rsidRPr="00EA59C0">
        <w:rPr>
          <w:iCs/>
        </w:rPr>
        <w:t xml:space="preserve"> </w:t>
      </w:r>
      <w:r w:rsidRPr="00EA59C0">
        <w:rPr>
          <w:iCs/>
        </w:rPr>
        <w:t>successfully</w:t>
      </w:r>
      <w:r w:rsidR="00C026A6" w:rsidRPr="00EA59C0">
        <w:rPr>
          <w:iCs/>
        </w:rPr>
        <w:t xml:space="preserve"> </w:t>
      </w:r>
      <w:r w:rsidRPr="00EA59C0">
        <w:rPr>
          <w:iCs/>
        </w:rPr>
        <w:t>validated.</w:t>
      </w:r>
      <w:r w:rsidR="00C026A6" w:rsidRPr="00EA59C0">
        <w:rPr>
          <w:iCs/>
        </w:rPr>
        <w:t xml:space="preserve">  </w:t>
      </w:r>
      <w:r w:rsidRPr="00EA59C0">
        <w:rPr>
          <w:iCs/>
        </w:rPr>
        <w:t>Therefore,</w:t>
      </w:r>
      <w:r w:rsidR="00C026A6" w:rsidRPr="00EA59C0">
        <w:rPr>
          <w:iCs/>
        </w:rPr>
        <w:t xml:space="preserve"> </w:t>
      </w:r>
      <w:r w:rsidRPr="00EA59C0">
        <w:rPr>
          <w:iCs/>
        </w:rPr>
        <w:t>sufficient</w:t>
      </w:r>
      <w:r w:rsidR="00C026A6" w:rsidRPr="00EA59C0">
        <w:rPr>
          <w:iCs/>
        </w:rPr>
        <w:t xml:space="preserve"> </w:t>
      </w:r>
      <w:r w:rsidRPr="00EA59C0">
        <w:rPr>
          <w:iCs/>
        </w:rPr>
        <w:t>time</w:t>
      </w:r>
      <w:r w:rsidR="00C026A6" w:rsidRPr="00EA59C0">
        <w:rPr>
          <w:iCs/>
        </w:rPr>
        <w:t xml:space="preserve"> </w:t>
      </w:r>
      <w:r w:rsidRPr="00EA59C0">
        <w:rPr>
          <w:iCs/>
        </w:rPr>
        <w:t>should</w:t>
      </w:r>
      <w:r w:rsidR="00C026A6" w:rsidRPr="00EA59C0">
        <w:rPr>
          <w:iCs/>
        </w:rPr>
        <w:t xml:space="preserve"> </w:t>
      </w:r>
      <w:r w:rsidRPr="00EA59C0">
        <w:rPr>
          <w:iCs/>
        </w:rPr>
        <w:t>be</w:t>
      </w:r>
      <w:r w:rsidR="00C026A6" w:rsidRPr="00EA59C0">
        <w:rPr>
          <w:iCs/>
        </w:rPr>
        <w:t xml:space="preserve"> </w:t>
      </w:r>
      <w:r w:rsidRPr="00EA59C0">
        <w:rPr>
          <w:iCs/>
        </w:rPr>
        <w:t>allotted</w:t>
      </w:r>
      <w:r w:rsidR="00C026A6" w:rsidRPr="00EA59C0">
        <w:rPr>
          <w:iCs/>
        </w:rPr>
        <w:t xml:space="preserve"> </w:t>
      </w:r>
      <w:r w:rsidRPr="00EA59C0">
        <w:rPr>
          <w:iCs/>
        </w:rPr>
        <w:t>for</w:t>
      </w:r>
      <w:r w:rsidR="00C026A6" w:rsidRPr="00EA59C0">
        <w:rPr>
          <w:iCs/>
        </w:rPr>
        <w:t xml:space="preserve"> </w:t>
      </w:r>
      <w:r w:rsidRPr="00EA59C0">
        <w:rPr>
          <w:iCs/>
        </w:rPr>
        <w:t>submission</w:t>
      </w:r>
      <w:r w:rsidR="00C026A6" w:rsidRPr="00EA59C0">
        <w:rPr>
          <w:iCs/>
        </w:rPr>
        <w:t xml:space="preserve"> </w:t>
      </w:r>
      <w:r w:rsidRPr="00EA59C0">
        <w:rPr>
          <w:iCs/>
        </w:rPr>
        <w:t>(two</w:t>
      </w:r>
      <w:r w:rsidR="00C026A6" w:rsidRPr="00EA59C0">
        <w:rPr>
          <w:iCs/>
        </w:rPr>
        <w:t xml:space="preserve"> </w:t>
      </w:r>
      <w:r w:rsidRPr="00EA59C0">
        <w:rPr>
          <w:iCs/>
        </w:rPr>
        <w:t>business</w:t>
      </w:r>
      <w:r w:rsidR="00C026A6" w:rsidRPr="00EA59C0">
        <w:rPr>
          <w:iCs/>
        </w:rPr>
        <w:t xml:space="preserve"> </w:t>
      </w:r>
      <w:r w:rsidRPr="00EA59C0">
        <w:rPr>
          <w:iCs/>
        </w:rPr>
        <w:t>days)</w:t>
      </w:r>
      <w:r w:rsidR="00C026A6" w:rsidRPr="00EA59C0">
        <w:rPr>
          <w:iCs/>
        </w:rPr>
        <w:t xml:space="preserve"> </w:t>
      </w:r>
      <w:r w:rsidRPr="00EA59C0">
        <w:rPr>
          <w:iCs/>
        </w:rPr>
        <w:t>and,</w:t>
      </w:r>
      <w:r w:rsidR="00C026A6" w:rsidRPr="00EA59C0">
        <w:rPr>
          <w:iCs/>
        </w:rPr>
        <w:t xml:space="preserve"> </w:t>
      </w:r>
      <w:r w:rsidRPr="00EA59C0">
        <w:rPr>
          <w:iCs/>
        </w:rPr>
        <w:t>if</w:t>
      </w:r>
      <w:r w:rsidR="00C026A6" w:rsidRPr="00EA59C0">
        <w:rPr>
          <w:iCs/>
        </w:rPr>
        <w:t xml:space="preserve"> </w:t>
      </w:r>
      <w:r w:rsidRPr="00EA59C0">
        <w:rPr>
          <w:iCs/>
        </w:rPr>
        <w:t>applicable,</w:t>
      </w:r>
      <w:r w:rsidR="00C026A6" w:rsidRPr="00EA59C0">
        <w:rPr>
          <w:iCs/>
        </w:rPr>
        <w:t xml:space="preserve"> </w:t>
      </w:r>
      <w:r w:rsidRPr="00EA59C0">
        <w:rPr>
          <w:iCs/>
        </w:rPr>
        <w:t>additional</w:t>
      </w:r>
      <w:r w:rsidR="00C026A6" w:rsidRPr="00EA59C0">
        <w:rPr>
          <w:iCs/>
        </w:rPr>
        <w:t xml:space="preserve"> </w:t>
      </w:r>
      <w:r w:rsidRPr="00EA59C0">
        <w:rPr>
          <w:iCs/>
        </w:rPr>
        <w:t>time</w:t>
      </w:r>
      <w:r w:rsidR="00C026A6" w:rsidRPr="00EA59C0">
        <w:rPr>
          <w:iCs/>
        </w:rPr>
        <w:t xml:space="preserve"> </w:t>
      </w:r>
      <w:r w:rsidRPr="00EA59C0">
        <w:rPr>
          <w:iCs/>
        </w:rPr>
        <w:t>to</w:t>
      </w:r>
      <w:r w:rsidR="00C026A6" w:rsidRPr="00EA59C0">
        <w:rPr>
          <w:iCs/>
        </w:rPr>
        <w:t xml:space="preserve"> </w:t>
      </w:r>
      <w:r w:rsidRPr="00EA59C0">
        <w:rPr>
          <w:iCs/>
        </w:rPr>
        <w:t>address</w:t>
      </w:r>
      <w:r w:rsidR="00C026A6" w:rsidRPr="00EA59C0">
        <w:rPr>
          <w:iCs/>
        </w:rPr>
        <w:t xml:space="preserve"> </w:t>
      </w:r>
      <w:r w:rsidRPr="00EA59C0">
        <w:rPr>
          <w:iCs/>
        </w:rPr>
        <w:t>errors</w:t>
      </w:r>
      <w:r w:rsidR="00C026A6" w:rsidRPr="00EA59C0">
        <w:rPr>
          <w:iCs/>
        </w:rPr>
        <w:t xml:space="preserve"> </w:t>
      </w:r>
      <w:r w:rsidRPr="00EA59C0">
        <w:rPr>
          <w:iCs/>
        </w:rPr>
        <w:t>and</w:t>
      </w:r>
      <w:r w:rsidR="00C026A6" w:rsidRPr="00EA59C0">
        <w:rPr>
          <w:iCs/>
        </w:rPr>
        <w:t xml:space="preserve"> </w:t>
      </w:r>
      <w:r w:rsidRPr="00EA59C0">
        <w:rPr>
          <w:iCs/>
        </w:rPr>
        <w:t>receive</w:t>
      </w:r>
      <w:r w:rsidR="00C026A6" w:rsidRPr="00EA59C0">
        <w:rPr>
          <w:iCs/>
        </w:rPr>
        <w:t xml:space="preserve"> </w:t>
      </w:r>
      <w:r w:rsidRPr="00EA59C0">
        <w:rPr>
          <w:iCs/>
        </w:rPr>
        <w:t>validation</w:t>
      </w:r>
      <w:r w:rsidR="00C026A6" w:rsidRPr="00EA59C0">
        <w:rPr>
          <w:iCs/>
        </w:rPr>
        <w:t xml:space="preserve"> </w:t>
      </w:r>
      <w:r w:rsidRPr="00EA59C0">
        <w:rPr>
          <w:iCs/>
        </w:rPr>
        <w:t>upon</w:t>
      </w:r>
      <w:r w:rsidR="00C026A6" w:rsidRPr="00EA59C0">
        <w:rPr>
          <w:iCs/>
        </w:rPr>
        <w:t xml:space="preserve"> </w:t>
      </w:r>
      <w:r w:rsidRPr="00EA59C0">
        <w:rPr>
          <w:iCs/>
        </w:rPr>
        <w:t>resubmission</w:t>
      </w:r>
      <w:r w:rsidR="00C026A6" w:rsidRPr="00EA59C0">
        <w:rPr>
          <w:iCs/>
        </w:rPr>
        <w:t xml:space="preserve"> </w:t>
      </w:r>
      <w:r w:rsidRPr="00EA59C0">
        <w:rPr>
          <w:iCs/>
        </w:rPr>
        <w:t>(an</w:t>
      </w:r>
      <w:r w:rsidR="00C026A6" w:rsidRPr="00EA59C0">
        <w:rPr>
          <w:iCs/>
        </w:rPr>
        <w:t xml:space="preserve"> </w:t>
      </w:r>
      <w:r w:rsidRPr="00EA59C0">
        <w:rPr>
          <w:iCs/>
        </w:rPr>
        <w:t>additional</w:t>
      </w:r>
      <w:r w:rsidR="00C026A6" w:rsidRPr="00EA59C0">
        <w:rPr>
          <w:iCs/>
        </w:rPr>
        <w:t xml:space="preserve"> </w:t>
      </w:r>
      <w:r w:rsidRPr="00EA59C0">
        <w:rPr>
          <w:iCs/>
        </w:rPr>
        <w:t>two</w:t>
      </w:r>
      <w:r w:rsidR="00C026A6" w:rsidRPr="00EA59C0">
        <w:rPr>
          <w:iCs/>
        </w:rPr>
        <w:t xml:space="preserve"> </w:t>
      </w:r>
      <w:r w:rsidRPr="00EA59C0">
        <w:rPr>
          <w:iCs/>
        </w:rPr>
        <w:t>business</w:t>
      </w:r>
      <w:r w:rsidR="00C026A6" w:rsidRPr="00EA59C0">
        <w:rPr>
          <w:iCs/>
        </w:rPr>
        <w:t xml:space="preserve"> </w:t>
      </w:r>
      <w:r w:rsidRPr="00EA59C0">
        <w:rPr>
          <w:iCs/>
        </w:rPr>
        <w:t>days</w:t>
      </w:r>
      <w:r w:rsidR="00C026A6" w:rsidRPr="00EA59C0">
        <w:rPr>
          <w:iCs/>
        </w:rPr>
        <w:t xml:space="preserve"> </w:t>
      </w:r>
      <w:r w:rsidRPr="00EA59C0">
        <w:rPr>
          <w:iCs/>
        </w:rPr>
        <w:t>for</w:t>
      </w:r>
      <w:r w:rsidR="00C026A6" w:rsidRPr="00EA59C0">
        <w:rPr>
          <w:iCs/>
        </w:rPr>
        <w:t xml:space="preserve"> </w:t>
      </w:r>
      <w:r w:rsidRPr="00EA59C0">
        <w:rPr>
          <w:iCs/>
        </w:rPr>
        <w:t>each</w:t>
      </w:r>
      <w:r w:rsidR="00C026A6" w:rsidRPr="00EA59C0">
        <w:rPr>
          <w:iCs/>
        </w:rPr>
        <w:t xml:space="preserve"> </w:t>
      </w:r>
      <w:r w:rsidRPr="00EA59C0">
        <w:rPr>
          <w:iCs/>
        </w:rPr>
        <w:t>ensuing</w:t>
      </w:r>
      <w:r w:rsidR="00C026A6" w:rsidRPr="00EA59C0">
        <w:rPr>
          <w:iCs/>
        </w:rPr>
        <w:t xml:space="preserve"> </w:t>
      </w:r>
      <w:r w:rsidRPr="00EA59C0">
        <w:rPr>
          <w:iCs/>
        </w:rPr>
        <w:t>submission).</w:t>
      </w:r>
      <w:r w:rsidR="00C026A6" w:rsidRPr="00EA59C0">
        <w:rPr>
          <w:iCs/>
        </w:rPr>
        <w:t xml:space="preserve">  </w:t>
      </w:r>
      <w:r w:rsidRPr="00EA59C0">
        <w:rPr>
          <w:iCs/>
        </w:rPr>
        <w:t>It</w:t>
      </w:r>
      <w:r w:rsidR="00C026A6" w:rsidRPr="00EA59C0">
        <w:rPr>
          <w:iCs/>
        </w:rPr>
        <w:t xml:space="preserve"> </w:t>
      </w:r>
      <w:r w:rsidRPr="00EA59C0">
        <w:rPr>
          <w:iCs/>
        </w:rPr>
        <w:t>is</w:t>
      </w:r>
      <w:r w:rsidR="00C026A6" w:rsidRPr="00EA59C0">
        <w:rPr>
          <w:iCs/>
        </w:rPr>
        <w:t xml:space="preserve"> </w:t>
      </w:r>
      <w:r w:rsidRPr="00EA59C0">
        <w:rPr>
          <w:iCs/>
        </w:rPr>
        <w:t>important</w:t>
      </w:r>
      <w:r w:rsidR="00C026A6" w:rsidRPr="00EA59C0">
        <w:rPr>
          <w:iCs/>
        </w:rPr>
        <w:t xml:space="preserve"> </w:t>
      </w:r>
      <w:r w:rsidRPr="00EA59C0">
        <w:rPr>
          <w:iCs/>
        </w:rPr>
        <w:t>to</w:t>
      </w:r>
      <w:r w:rsidR="00C026A6" w:rsidRPr="00EA59C0">
        <w:rPr>
          <w:iCs/>
        </w:rPr>
        <w:t xml:space="preserve"> </w:t>
      </w:r>
      <w:r w:rsidRPr="00EA59C0">
        <w:rPr>
          <w:iCs/>
        </w:rPr>
        <w:t>note</w:t>
      </w:r>
      <w:r w:rsidR="00C026A6" w:rsidRPr="00EA59C0">
        <w:rPr>
          <w:iCs/>
        </w:rPr>
        <w:t xml:space="preserve"> </w:t>
      </w:r>
      <w:r w:rsidRPr="00EA59C0">
        <w:rPr>
          <w:iCs/>
        </w:rPr>
        <w:t>that</w:t>
      </w:r>
      <w:r w:rsidR="00C026A6" w:rsidRPr="00EA59C0">
        <w:rPr>
          <w:iCs/>
        </w:rPr>
        <w:t xml:space="preserve"> </w:t>
      </w:r>
      <w:r w:rsidRPr="00EA59C0">
        <w:rPr>
          <w:iCs/>
        </w:rPr>
        <w:t>if</w:t>
      </w:r>
      <w:r w:rsidR="00C026A6" w:rsidRPr="00EA59C0">
        <w:rPr>
          <w:iCs/>
        </w:rPr>
        <w:t xml:space="preserve"> </w:t>
      </w:r>
      <w:r w:rsidRPr="00EA59C0">
        <w:rPr>
          <w:iCs/>
        </w:rPr>
        <w:t>sufficient</w:t>
      </w:r>
      <w:r w:rsidR="00C026A6" w:rsidRPr="00EA59C0">
        <w:rPr>
          <w:iCs/>
        </w:rPr>
        <w:t xml:space="preserve"> </w:t>
      </w:r>
      <w:r w:rsidRPr="00EA59C0">
        <w:rPr>
          <w:iCs/>
        </w:rPr>
        <w:t>time</w:t>
      </w:r>
      <w:r w:rsidR="00C026A6" w:rsidRPr="00EA59C0">
        <w:rPr>
          <w:iCs/>
        </w:rPr>
        <w:t xml:space="preserve"> </w:t>
      </w:r>
      <w:r w:rsidRPr="00EA59C0">
        <w:rPr>
          <w:iCs/>
        </w:rPr>
        <w:t>is</w:t>
      </w:r>
      <w:r w:rsidR="00C026A6" w:rsidRPr="00EA59C0">
        <w:rPr>
          <w:iCs/>
        </w:rPr>
        <w:t xml:space="preserve"> </w:t>
      </w:r>
      <w:r w:rsidRPr="00EA59C0">
        <w:rPr>
          <w:iCs/>
        </w:rPr>
        <w:t>not</w:t>
      </w:r>
      <w:r w:rsidR="00C026A6" w:rsidRPr="00EA59C0">
        <w:rPr>
          <w:iCs/>
        </w:rPr>
        <w:t xml:space="preserve"> </w:t>
      </w:r>
      <w:r w:rsidRPr="00EA59C0">
        <w:rPr>
          <w:iCs/>
        </w:rPr>
        <w:t>allotted</w:t>
      </w:r>
      <w:r w:rsidR="00C026A6" w:rsidRPr="00EA59C0">
        <w:rPr>
          <w:iCs/>
        </w:rPr>
        <w:t xml:space="preserve"> </w:t>
      </w:r>
      <w:r w:rsidRPr="00EA59C0">
        <w:rPr>
          <w:iCs/>
        </w:rPr>
        <w:t>and</w:t>
      </w:r>
      <w:r w:rsidR="00C026A6" w:rsidRPr="00EA59C0">
        <w:rPr>
          <w:iCs/>
        </w:rPr>
        <w:t xml:space="preserve"> </w:t>
      </w:r>
      <w:r w:rsidRPr="00EA59C0">
        <w:rPr>
          <w:iCs/>
        </w:rPr>
        <w:t>a</w:t>
      </w:r>
      <w:r w:rsidR="00C026A6" w:rsidRPr="00EA59C0">
        <w:rPr>
          <w:iCs/>
        </w:rPr>
        <w:t xml:space="preserve"> </w:t>
      </w:r>
      <w:r w:rsidRPr="00EA59C0">
        <w:rPr>
          <w:iCs/>
        </w:rPr>
        <w:t>rejection</w:t>
      </w:r>
      <w:r w:rsidR="00C026A6" w:rsidRPr="00EA59C0">
        <w:rPr>
          <w:iCs/>
        </w:rPr>
        <w:t xml:space="preserve"> </w:t>
      </w:r>
      <w:r w:rsidRPr="00EA59C0">
        <w:rPr>
          <w:iCs/>
        </w:rPr>
        <w:t>notice</w:t>
      </w:r>
      <w:r w:rsidR="00C026A6" w:rsidRPr="00EA59C0">
        <w:rPr>
          <w:iCs/>
        </w:rPr>
        <w:t xml:space="preserve"> </w:t>
      </w:r>
      <w:r w:rsidRPr="00EA59C0">
        <w:rPr>
          <w:iCs/>
        </w:rPr>
        <w:t>is</w:t>
      </w:r>
      <w:r w:rsidR="00C026A6" w:rsidRPr="00EA59C0">
        <w:rPr>
          <w:iCs/>
        </w:rPr>
        <w:t xml:space="preserve"> </w:t>
      </w:r>
      <w:r w:rsidRPr="00EA59C0">
        <w:rPr>
          <w:iCs/>
        </w:rPr>
        <w:t>received</w:t>
      </w:r>
      <w:r w:rsidR="00C026A6" w:rsidRPr="00EA59C0">
        <w:rPr>
          <w:iCs/>
        </w:rPr>
        <w:t xml:space="preserve"> </w:t>
      </w:r>
      <w:r w:rsidRPr="00EA59C0">
        <w:rPr>
          <w:iCs/>
        </w:rPr>
        <w:t>after</w:t>
      </w:r>
      <w:r w:rsidR="00C026A6" w:rsidRPr="00EA59C0">
        <w:rPr>
          <w:iCs/>
        </w:rPr>
        <w:t xml:space="preserve"> </w:t>
      </w:r>
      <w:r w:rsidRPr="00EA59C0">
        <w:rPr>
          <w:iCs/>
        </w:rPr>
        <w:t>the</w:t>
      </w:r>
      <w:r w:rsidR="00C026A6" w:rsidRPr="00EA59C0">
        <w:rPr>
          <w:iCs/>
        </w:rPr>
        <w:t xml:space="preserve"> </w:t>
      </w:r>
      <w:r w:rsidRPr="00EA59C0">
        <w:rPr>
          <w:iCs/>
        </w:rPr>
        <w:t>due</w:t>
      </w:r>
      <w:r w:rsidR="00C026A6" w:rsidRPr="00EA59C0">
        <w:rPr>
          <w:iCs/>
        </w:rPr>
        <w:t xml:space="preserve"> </w:t>
      </w:r>
      <w:r w:rsidRPr="00EA59C0">
        <w:rPr>
          <w:iCs/>
        </w:rPr>
        <w:t>date</w:t>
      </w:r>
      <w:r w:rsidR="00C026A6" w:rsidRPr="00EA59C0">
        <w:rPr>
          <w:iCs/>
        </w:rPr>
        <w:t xml:space="preserve"> </w:t>
      </w:r>
      <w:r w:rsidRPr="00EA59C0">
        <w:rPr>
          <w:iCs/>
        </w:rPr>
        <w:t>and</w:t>
      </w:r>
      <w:r w:rsidR="00C026A6" w:rsidRPr="00EA59C0">
        <w:rPr>
          <w:iCs/>
        </w:rPr>
        <w:t xml:space="preserve"> </w:t>
      </w:r>
      <w:r w:rsidRPr="00EA59C0">
        <w:rPr>
          <w:iCs/>
        </w:rPr>
        <w:t>time,</w:t>
      </w:r>
      <w:r w:rsidR="00C026A6" w:rsidRPr="00EA59C0">
        <w:rPr>
          <w:iCs/>
        </w:rPr>
        <w:t xml:space="preserve"> </w:t>
      </w:r>
      <w:r w:rsidRPr="00EA59C0">
        <w:rPr>
          <w:iCs/>
        </w:rPr>
        <w:t>the</w:t>
      </w:r>
      <w:r w:rsidR="00C026A6" w:rsidRPr="00EA59C0">
        <w:rPr>
          <w:iCs/>
        </w:rPr>
        <w:t xml:space="preserve"> </w:t>
      </w:r>
      <w:r w:rsidRPr="00EA59C0">
        <w:rPr>
          <w:iCs/>
        </w:rPr>
        <w:t>application</w:t>
      </w:r>
      <w:r w:rsidR="00C026A6" w:rsidRPr="00EA59C0">
        <w:rPr>
          <w:iCs/>
        </w:rPr>
        <w:t xml:space="preserve"> </w:t>
      </w:r>
      <w:r w:rsidRPr="00EA59C0">
        <w:rPr>
          <w:iCs/>
        </w:rPr>
        <w:t>will</w:t>
      </w:r>
      <w:r w:rsidR="00C026A6" w:rsidRPr="00EA59C0">
        <w:rPr>
          <w:iCs/>
        </w:rPr>
        <w:t xml:space="preserve"> </w:t>
      </w:r>
      <w:r w:rsidRPr="00EA59C0">
        <w:rPr>
          <w:iCs/>
        </w:rPr>
        <w:t>not</w:t>
      </w:r>
      <w:r w:rsidR="00C026A6" w:rsidRPr="00EA59C0">
        <w:rPr>
          <w:iCs/>
        </w:rPr>
        <w:t xml:space="preserve"> </w:t>
      </w:r>
      <w:r w:rsidRPr="00EA59C0">
        <w:rPr>
          <w:iCs/>
        </w:rPr>
        <w:t>be</w:t>
      </w:r>
      <w:r w:rsidR="00C026A6" w:rsidRPr="00EA59C0">
        <w:rPr>
          <w:iCs/>
        </w:rPr>
        <w:t xml:space="preserve"> </w:t>
      </w:r>
      <w:r w:rsidRPr="00EA59C0">
        <w:rPr>
          <w:iCs/>
        </w:rPr>
        <w:t>considered.</w:t>
      </w:r>
      <w:r w:rsidR="00C026A6" w:rsidRPr="00EA59C0">
        <w:rPr>
          <w:iCs/>
        </w:rPr>
        <w:t xml:space="preserve">  </w:t>
      </w:r>
    </w:p>
    <w:p w:rsidR="00144DF0" w:rsidRPr="00EA59C0" w:rsidRDefault="00144DF0" w:rsidP="00C072FA">
      <w:pPr>
        <w:autoSpaceDE w:val="0"/>
        <w:autoSpaceDN w:val="0"/>
        <w:adjustRightInd w:val="0"/>
        <w:ind w:left="360"/>
      </w:pPr>
    </w:p>
    <w:p w:rsidR="00144DF0" w:rsidRPr="00EA59C0" w:rsidRDefault="007470AB" w:rsidP="00C072FA">
      <w:pPr>
        <w:autoSpaceDE w:val="0"/>
        <w:autoSpaceDN w:val="0"/>
        <w:adjustRightInd w:val="0"/>
        <w:ind w:left="720"/>
        <w:rPr>
          <w:iCs/>
        </w:rPr>
      </w:pPr>
      <w:r w:rsidRPr="00EA59C0">
        <w:t>To</w:t>
      </w:r>
      <w:r w:rsidR="00C026A6" w:rsidRPr="00EA59C0">
        <w:t xml:space="preserve"> </w:t>
      </w:r>
      <w:r w:rsidRPr="00EA59C0">
        <w:t>ensure</w:t>
      </w:r>
      <w:r w:rsidR="00C026A6" w:rsidRPr="00EA59C0">
        <w:t xml:space="preserve"> </w:t>
      </w:r>
      <w:r w:rsidRPr="00EA59C0">
        <w:t>consideration,</w:t>
      </w:r>
      <w:r w:rsidR="00C026A6" w:rsidRPr="00EA59C0">
        <w:t xml:space="preserve"> </w:t>
      </w:r>
      <w:r w:rsidRPr="00EA59C0">
        <w:t>the</w:t>
      </w:r>
      <w:r w:rsidR="00C026A6" w:rsidRPr="00EA59C0">
        <w:t xml:space="preserve"> </w:t>
      </w:r>
      <w:r w:rsidRPr="00EA59C0">
        <w:t>components</w:t>
      </w:r>
      <w:r w:rsidR="00C026A6" w:rsidRPr="00EA59C0">
        <w:t xml:space="preserve"> </w:t>
      </w:r>
      <w:r w:rsidRPr="00EA59C0">
        <w:t>of</w:t>
      </w:r>
      <w:r w:rsidR="00C026A6" w:rsidRPr="00EA59C0">
        <w:t xml:space="preserve"> </w:t>
      </w:r>
      <w:r w:rsidRPr="00EA59C0">
        <w:t>the</w:t>
      </w:r>
      <w:r w:rsidR="00C026A6" w:rsidRPr="00EA59C0">
        <w:t xml:space="preserve"> </w:t>
      </w:r>
      <w:r w:rsidRPr="00EA59C0">
        <w:t>application</w:t>
      </w:r>
      <w:r w:rsidR="00C026A6" w:rsidRPr="00EA59C0">
        <w:t xml:space="preserve"> </w:t>
      </w:r>
      <w:r w:rsidRPr="00EA59C0">
        <w:rPr>
          <w:bCs/>
        </w:rPr>
        <w:t>must</w:t>
      </w:r>
      <w:r w:rsidR="00C026A6" w:rsidRPr="00EA59C0">
        <w:t xml:space="preserve"> </w:t>
      </w:r>
      <w:r w:rsidRPr="00EA59C0">
        <w:t>be</w:t>
      </w:r>
      <w:r w:rsidR="00C026A6" w:rsidRPr="00EA59C0">
        <w:t xml:space="preserve"> </w:t>
      </w:r>
      <w:r w:rsidRPr="00EA59C0">
        <w:t>saved</w:t>
      </w:r>
      <w:r w:rsidR="00C026A6" w:rsidRPr="00EA59C0">
        <w:t xml:space="preserve"> </w:t>
      </w:r>
      <w:r w:rsidRPr="00EA59C0">
        <w:t>as</w:t>
      </w:r>
      <w:r w:rsidR="00C026A6" w:rsidRPr="00EA59C0">
        <w:t xml:space="preserve"> </w:t>
      </w:r>
      <w:r w:rsidRPr="00EA59C0">
        <w:t>.doc,</w:t>
      </w:r>
      <w:r w:rsidR="00C026A6" w:rsidRPr="00EA59C0">
        <w:t xml:space="preserve"> </w:t>
      </w:r>
      <w:r w:rsidRPr="00EA59C0">
        <w:t>.docx,</w:t>
      </w:r>
      <w:r w:rsidR="00C026A6" w:rsidRPr="00EA59C0">
        <w:t xml:space="preserve"> </w:t>
      </w:r>
      <w:r w:rsidRPr="00EA59C0">
        <w:t>.xls,</w:t>
      </w:r>
      <w:r w:rsidR="00C026A6" w:rsidRPr="00EA59C0">
        <w:t xml:space="preserve"> </w:t>
      </w:r>
      <w:r w:rsidRPr="00EA59C0">
        <w:t>.xlsx,</w:t>
      </w:r>
      <w:r w:rsidR="00C026A6" w:rsidRPr="00EA59C0">
        <w:t xml:space="preserve"> </w:t>
      </w:r>
      <w:r w:rsidRPr="00EA59C0">
        <w:t>.rtf</w:t>
      </w:r>
      <w:r w:rsidR="00C026A6" w:rsidRPr="00EA59C0">
        <w:t xml:space="preserve"> </w:t>
      </w:r>
      <w:r w:rsidRPr="00EA59C0">
        <w:t>or</w:t>
      </w:r>
      <w:r w:rsidR="00C026A6" w:rsidRPr="00EA59C0">
        <w:t xml:space="preserve"> </w:t>
      </w:r>
      <w:r w:rsidRPr="00EA59C0">
        <w:t>.pdf</w:t>
      </w:r>
      <w:r w:rsidR="00C026A6" w:rsidRPr="00EA59C0">
        <w:t xml:space="preserve"> </w:t>
      </w:r>
      <w:r w:rsidRPr="00EA59C0">
        <w:t>files.</w:t>
      </w:r>
      <w:r w:rsidR="00C026A6" w:rsidRPr="00EA59C0">
        <w:t xml:space="preserve">  </w:t>
      </w:r>
      <w:r w:rsidRPr="00EA59C0">
        <w:t>If</w:t>
      </w:r>
      <w:r w:rsidR="00C026A6" w:rsidRPr="00EA59C0">
        <w:t xml:space="preserve"> </w:t>
      </w:r>
      <w:r w:rsidRPr="00EA59C0">
        <w:t>submitted</w:t>
      </w:r>
      <w:r w:rsidR="00C026A6" w:rsidRPr="00EA59C0">
        <w:t xml:space="preserve"> </w:t>
      </w:r>
      <w:r w:rsidRPr="00EA59C0">
        <w:t>in</w:t>
      </w:r>
      <w:r w:rsidR="00C026A6" w:rsidRPr="00EA59C0">
        <w:t xml:space="preserve"> </w:t>
      </w:r>
      <w:r w:rsidRPr="00EA59C0">
        <w:t>any</w:t>
      </w:r>
      <w:r w:rsidR="00C026A6" w:rsidRPr="00EA59C0">
        <w:t xml:space="preserve"> </w:t>
      </w:r>
      <w:r w:rsidRPr="00EA59C0">
        <w:t>other</w:t>
      </w:r>
      <w:r w:rsidR="00C026A6" w:rsidRPr="00EA59C0">
        <w:t xml:space="preserve"> </w:t>
      </w:r>
      <w:r w:rsidRPr="00EA59C0">
        <w:t>format,</w:t>
      </w:r>
      <w:r w:rsidR="00C026A6" w:rsidRPr="00EA59C0">
        <w:t xml:space="preserve"> </w:t>
      </w:r>
      <w:r w:rsidRPr="00EA59C0">
        <w:t>the</w:t>
      </w:r>
      <w:r w:rsidR="00C026A6" w:rsidRPr="00EA59C0">
        <w:t xml:space="preserve"> </w:t>
      </w:r>
      <w:r w:rsidRPr="00EA59C0">
        <w:t>applicant</w:t>
      </w:r>
      <w:r w:rsidR="00C026A6" w:rsidRPr="00EA59C0">
        <w:t xml:space="preserve"> </w:t>
      </w:r>
      <w:r w:rsidRPr="00EA59C0">
        <w:t>bears</w:t>
      </w:r>
      <w:r w:rsidR="00C026A6" w:rsidRPr="00EA59C0">
        <w:t xml:space="preserve"> </w:t>
      </w:r>
      <w:r w:rsidRPr="00EA59C0">
        <w:t>the</w:t>
      </w:r>
      <w:r w:rsidR="00C026A6" w:rsidRPr="00EA59C0">
        <w:t xml:space="preserve"> </w:t>
      </w:r>
      <w:r w:rsidRPr="00EA59C0">
        <w:t>risk</w:t>
      </w:r>
      <w:r w:rsidR="00C026A6" w:rsidRPr="00EA59C0">
        <w:t xml:space="preserve"> </w:t>
      </w:r>
      <w:r w:rsidRPr="00EA59C0">
        <w:t>that</w:t>
      </w:r>
      <w:r w:rsidR="00C026A6" w:rsidRPr="00EA59C0">
        <w:t xml:space="preserve"> </w:t>
      </w:r>
      <w:r w:rsidRPr="00EA59C0">
        <w:t>compatibility</w:t>
      </w:r>
      <w:r w:rsidR="00C026A6" w:rsidRPr="00EA59C0">
        <w:t xml:space="preserve"> </w:t>
      </w:r>
      <w:r w:rsidRPr="00EA59C0">
        <w:t>or</w:t>
      </w:r>
      <w:r w:rsidR="00C026A6" w:rsidRPr="00EA59C0">
        <w:t xml:space="preserve"> </w:t>
      </w:r>
      <w:r w:rsidRPr="00EA59C0">
        <w:t>other</w:t>
      </w:r>
      <w:r w:rsidR="00C026A6" w:rsidRPr="00EA59C0">
        <w:t xml:space="preserve"> </w:t>
      </w:r>
      <w:r w:rsidRPr="00EA59C0">
        <w:t>issues</w:t>
      </w:r>
      <w:r w:rsidR="00C026A6" w:rsidRPr="00EA59C0">
        <w:t xml:space="preserve"> </w:t>
      </w:r>
      <w:r w:rsidRPr="00EA59C0">
        <w:t>will</w:t>
      </w:r>
      <w:r w:rsidR="00C026A6" w:rsidRPr="00EA59C0">
        <w:t xml:space="preserve"> </w:t>
      </w:r>
      <w:r w:rsidRPr="00EA59C0">
        <w:t>prevent</w:t>
      </w:r>
      <w:r w:rsidR="00C026A6" w:rsidRPr="00EA59C0">
        <w:t xml:space="preserve"> </w:t>
      </w:r>
      <w:r w:rsidR="00727E40" w:rsidRPr="00EA59C0">
        <w:t>DOL</w:t>
      </w:r>
      <w:r w:rsidR="00C026A6" w:rsidRPr="00EA59C0">
        <w:t xml:space="preserve"> </w:t>
      </w:r>
      <w:r w:rsidRPr="00EA59C0">
        <w:t>from</w:t>
      </w:r>
      <w:r w:rsidR="00C026A6" w:rsidRPr="00EA59C0">
        <w:t xml:space="preserve"> </w:t>
      </w:r>
      <w:r w:rsidRPr="00EA59C0">
        <w:t>considering</w:t>
      </w:r>
      <w:r w:rsidR="00C026A6" w:rsidRPr="00EA59C0">
        <w:t xml:space="preserve"> </w:t>
      </w:r>
      <w:r w:rsidRPr="00EA59C0">
        <w:t>the</w:t>
      </w:r>
      <w:r w:rsidR="00C026A6" w:rsidRPr="00EA59C0">
        <w:t xml:space="preserve"> </w:t>
      </w:r>
      <w:r w:rsidRPr="00EA59C0">
        <w:t>application.</w:t>
      </w:r>
      <w:r w:rsidR="00C026A6" w:rsidRPr="00EA59C0">
        <w:t xml:space="preserve">  </w:t>
      </w:r>
      <w:r w:rsidR="00727E40" w:rsidRPr="00EA59C0">
        <w:t>DOL</w:t>
      </w:r>
      <w:r w:rsidR="00C026A6" w:rsidRPr="00EA59C0">
        <w:t xml:space="preserve"> </w:t>
      </w:r>
      <w:r w:rsidRPr="00EA59C0">
        <w:t>will</w:t>
      </w:r>
      <w:r w:rsidR="00C026A6" w:rsidRPr="00EA59C0">
        <w:t xml:space="preserve"> </w:t>
      </w:r>
      <w:r w:rsidRPr="00EA59C0">
        <w:t>attempt</w:t>
      </w:r>
      <w:r w:rsidR="00C026A6" w:rsidRPr="00EA59C0">
        <w:t xml:space="preserve"> </w:t>
      </w:r>
      <w:r w:rsidRPr="00EA59C0">
        <w:t>to</w:t>
      </w:r>
      <w:r w:rsidR="00C026A6" w:rsidRPr="00EA59C0">
        <w:t xml:space="preserve"> </w:t>
      </w:r>
      <w:r w:rsidRPr="00EA59C0">
        <w:t>open</w:t>
      </w:r>
      <w:r w:rsidR="00C026A6" w:rsidRPr="00EA59C0">
        <w:t xml:space="preserve"> </w:t>
      </w:r>
      <w:r w:rsidRPr="00EA59C0">
        <w:t>the</w:t>
      </w:r>
      <w:r w:rsidR="00C026A6" w:rsidRPr="00EA59C0">
        <w:t xml:space="preserve"> </w:t>
      </w:r>
      <w:r w:rsidRPr="00EA59C0">
        <w:t>document</w:t>
      </w:r>
      <w:r w:rsidR="00C026A6" w:rsidRPr="00EA59C0">
        <w:t xml:space="preserve"> </w:t>
      </w:r>
      <w:r w:rsidRPr="00EA59C0">
        <w:t>but</w:t>
      </w:r>
      <w:r w:rsidR="00C026A6" w:rsidRPr="00EA59C0">
        <w:t xml:space="preserve"> </w:t>
      </w:r>
      <w:r w:rsidRPr="00EA59C0">
        <w:t>will</w:t>
      </w:r>
      <w:r w:rsidR="00C026A6" w:rsidRPr="00EA59C0">
        <w:t xml:space="preserve"> </w:t>
      </w:r>
      <w:r w:rsidRPr="00EA59C0">
        <w:t>not</w:t>
      </w:r>
      <w:r w:rsidR="00C026A6" w:rsidRPr="00EA59C0">
        <w:t xml:space="preserve"> </w:t>
      </w:r>
      <w:r w:rsidRPr="00EA59C0">
        <w:t>take</w:t>
      </w:r>
      <w:r w:rsidR="00C026A6" w:rsidRPr="00EA59C0">
        <w:t xml:space="preserve"> </w:t>
      </w:r>
      <w:r w:rsidRPr="00EA59C0">
        <w:t>any</w:t>
      </w:r>
      <w:r w:rsidR="00C026A6" w:rsidRPr="00EA59C0">
        <w:t xml:space="preserve"> </w:t>
      </w:r>
      <w:r w:rsidRPr="00EA59C0">
        <w:t>additional</w:t>
      </w:r>
      <w:r w:rsidR="00C026A6" w:rsidRPr="00EA59C0">
        <w:t xml:space="preserve"> </w:t>
      </w:r>
      <w:r w:rsidRPr="00EA59C0">
        <w:t>measures</w:t>
      </w:r>
      <w:r w:rsidR="00C026A6" w:rsidRPr="00EA59C0">
        <w:t xml:space="preserve"> </w:t>
      </w:r>
      <w:r w:rsidRPr="00EA59C0">
        <w:t>in</w:t>
      </w:r>
      <w:r w:rsidR="00C026A6" w:rsidRPr="00EA59C0">
        <w:t xml:space="preserve"> </w:t>
      </w:r>
      <w:r w:rsidRPr="00EA59C0">
        <w:t>the</w:t>
      </w:r>
      <w:r w:rsidR="00C026A6" w:rsidRPr="00EA59C0">
        <w:t xml:space="preserve"> </w:t>
      </w:r>
      <w:r w:rsidRPr="00EA59C0">
        <w:t>event</w:t>
      </w:r>
      <w:r w:rsidR="00C026A6" w:rsidRPr="00EA59C0">
        <w:t xml:space="preserve"> </w:t>
      </w:r>
      <w:r w:rsidRPr="00EA59C0">
        <w:t>of</w:t>
      </w:r>
      <w:r w:rsidR="00C026A6" w:rsidRPr="00EA59C0">
        <w:t xml:space="preserve"> </w:t>
      </w:r>
      <w:r w:rsidRPr="00EA59C0">
        <w:t>problems</w:t>
      </w:r>
      <w:r w:rsidR="00C026A6" w:rsidRPr="00EA59C0">
        <w:t xml:space="preserve"> </w:t>
      </w:r>
      <w:r w:rsidRPr="00EA59C0">
        <w:t>with</w:t>
      </w:r>
      <w:r w:rsidR="00C026A6" w:rsidRPr="00EA59C0">
        <w:t xml:space="preserve"> </w:t>
      </w:r>
      <w:r w:rsidRPr="00EA59C0">
        <w:t>opening.</w:t>
      </w:r>
      <w:r w:rsidR="00C026A6" w:rsidRPr="00EA59C0">
        <w:t xml:space="preserve">  </w:t>
      </w:r>
      <w:r w:rsidRPr="00EA59C0">
        <w:t>In</w:t>
      </w:r>
      <w:r w:rsidR="00C026A6" w:rsidRPr="00EA59C0">
        <w:t xml:space="preserve"> </w:t>
      </w:r>
      <w:r w:rsidRPr="00EA59C0">
        <w:t>such</w:t>
      </w:r>
      <w:r w:rsidR="00C026A6" w:rsidRPr="00EA59C0">
        <w:t xml:space="preserve"> </w:t>
      </w:r>
      <w:r w:rsidRPr="00EA59C0">
        <w:t>cases,</w:t>
      </w:r>
      <w:r w:rsidR="00C026A6" w:rsidRPr="00EA59C0">
        <w:t xml:space="preserve"> </w:t>
      </w:r>
      <w:r w:rsidRPr="00EA59C0">
        <w:t>the</w:t>
      </w:r>
      <w:r w:rsidR="00C026A6" w:rsidRPr="00EA59C0">
        <w:t xml:space="preserve"> </w:t>
      </w:r>
      <w:r w:rsidRPr="00EA59C0">
        <w:t>non-conforming</w:t>
      </w:r>
      <w:r w:rsidR="00C026A6" w:rsidRPr="00EA59C0">
        <w:t xml:space="preserve"> </w:t>
      </w:r>
      <w:r w:rsidRPr="00EA59C0">
        <w:t>application</w:t>
      </w:r>
      <w:r w:rsidR="00C026A6" w:rsidRPr="00EA59C0">
        <w:t xml:space="preserve"> </w:t>
      </w:r>
      <w:r w:rsidRPr="00EA59C0">
        <w:t>will</w:t>
      </w:r>
      <w:r w:rsidR="00C026A6" w:rsidRPr="00EA59C0">
        <w:t xml:space="preserve"> </w:t>
      </w:r>
      <w:r w:rsidRPr="00EA59C0">
        <w:t>not</w:t>
      </w:r>
      <w:r w:rsidR="00C026A6" w:rsidRPr="00EA59C0">
        <w:t xml:space="preserve"> </w:t>
      </w:r>
      <w:r w:rsidRPr="00EA59C0">
        <w:t>be</w:t>
      </w:r>
      <w:r w:rsidR="00C026A6" w:rsidRPr="00EA59C0">
        <w:t xml:space="preserve"> </w:t>
      </w:r>
      <w:r w:rsidRPr="00EA59C0">
        <w:t>considered</w:t>
      </w:r>
      <w:r w:rsidR="00C026A6" w:rsidRPr="00EA59C0">
        <w:t xml:space="preserve"> </w:t>
      </w:r>
      <w:r w:rsidRPr="00EA59C0">
        <w:t>for</w:t>
      </w:r>
      <w:r w:rsidR="00C026A6" w:rsidRPr="00EA59C0">
        <w:t xml:space="preserve"> </w:t>
      </w:r>
      <w:r w:rsidRPr="00EA59C0">
        <w:t>funding</w:t>
      </w:r>
      <w:r w:rsidRPr="00EA59C0">
        <w:rPr>
          <w:iCs/>
        </w:rPr>
        <w:t>.</w:t>
      </w:r>
      <w:r w:rsidR="00C026A6" w:rsidRPr="00EA59C0">
        <w:rPr>
          <w:iCs/>
        </w:rPr>
        <w:t xml:space="preserve"> </w:t>
      </w:r>
    </w:p>
    <w:p w:rsidR="00144DF0" w:rsidRPr="00EA59C0" w:rsidRDefault="00144DF0" w:rsidP="00C072FA">
      <w:pPr>
        <w:ind w:left="720"/>
        <w:rPr>
          <w:iCs/>
        </w:rPr>
      </w:pPr>
    </w:p>
    <w:p w:rsidR="00144DF0" w:rsidRPr="00EA59C0" w:rsidRDefault="007470AB" w:rsidP="00C072FA">
      <w:pPr>
        <w:ind w:left="720"/>
        <w:rPr>
          <w:iCs/>
        </w:rPr>
      </w:pPr>
      <w:r w:rsidRPr="00EA59C0">
        <w:rPr>
          <w:iCs/>
        </w:rPr>
        <w:t>We</w:t>
      </w:r>
      <w:r w:rsidR="00C026A6" w:rsidRPr="00EA59C0">
        <w:rPr>
          <w:iCs/>
        </w:rPr>
        <w:t xml:space="preserve"> </w:t>
      </w:r>
      <w:r w:rsidRPr="00EA59C0">
        <w:rPr>
          <w:iCs/>
        </w:rPr>
        <w:t>strongly</w:t>
      </w:r>
      <w:r w:rsidR="00C026A6" w:rsidRPr="00EA59C0">
        <w:rPr>
          <w:iCs/>
        </w:rPr>
        <w:t xml:space="preserve"> </w:t>
      </w:r>
      <w:r w:rsidRPr="00EA59C0">
        <w:rPr>
          <w:iCs/>
        </w:rPr>
        <w:t>advise</w:t>
      </w:r>
      <w:r w:rsidR="00C026A6" w:rsidRPr="00EA59C0">
        <w:rPr>
          <w:iCs/>
        </w:rPr>
        <w:t xml:space="preserve"> </w:t>
      </w:r>
      <w:r w:rsidRPr="00EA59C0">
        <w:rPr>
          <w:iCs/>
        </w:rPr>
        <w:t>applicants</w:t>
      </w:r>
      <w:r w:rsidR="00C026A6" w:rsidRPr="00EA59C0">
        <w:rPr>
          <w:iCs/>
        </w:rPr>
        <w:t xml:space="preserve"> </w:t>
      </w:r>
      <w:r w:rsidRPr="00EA59C0">
        <w:rPr>
          <w:iCs/>
        </w:rPr>
        <w:t>to</w:t>
      </w:r>
      <w:r w:rsidR="00C026A6" w:rsidRPr="00EA59C0">
        <w:rPr>
          <w:iCs/>
        </w:rPr>
        <w:t xml:space="preserve"> </w:t>
      </w:r>
      <w:r w:rsidRPr="00EA59C0">
        <w:rPr>
          <w:iCs/>
        </w:rPr>
        <w:t>use</w:t>
      </w:r>
      <w:r w:rsidR="00C026A6" w:rsidRPr="00EA59C0">
        <w:rPr>
          <w:iCs/>
        </w:rPr>
        <w:t xml:space="preserve"> </w:t>
      </w:r>
      <w:r w:rsidRPr="00EA59C0">
        <w:rPr>
          <w:iCs/>
        </w:rPr>
        <w:t>the</w:t>
      </w:r>
      <w:r w:rsidR="00C026A6" w:rsidRPr="00EA59C0">
        <w:rPr>
          <w:iCs/>
        </w:rPr>
        <w:t xml:space="preserve"> </w:t>
      </w:r>
      <w:r w:rsidRPr="00EA59C0">
        <w:rPr>
          <w:iCs/>
        </w:rPr>
        <w:t>various</w:t>
      </w:r>
      <w:r w:rsidR="00C026A6" w:rsidRPr="00EA59C0">
        <w:rPr>
          <w:iCs/>
        </w:rPr>
        <w:t xml:space="preserve"> </w:t>
      </w:r>
      <w:r w:rsidRPr="00EA59C0">
        <w:rPr>
          <w:iCs/>
        </w:rPr>
        <w:t>tools</w:t>
      </w:r>
      <w:r w:rsidR="00C026A6" w:rsidRPr="00EA59C0">
        <w:rPr>
          <w:iCs/>
        </w:rPr>
        <w:t xml:space="preserve"> </w:t>
      </w:r>
      <w:r w:rsidRPr="00EA59C0">
        <w:rPr>
          <w:iCs/>
        </w:rPr>
        <w:t>and</w:t>
      </w:r>
      <w:r w:rsidR="00C026A6" w:rsidRPr="00EA59C0">
        <w:rPr>
          <w:iCs/>
        </w:rPr>
        <w:t xml:space="preserve"> </w:t>
      </w:r>
      <w:r w:rsidRPr="00EA59C0">
        <w:rPr>
          <w:iCs/>
        </w:rPr>
        <w:t>documents,</w:t>
      </w:r>
      <w:r w:rsidR="00C026A6" w:rsidRPr="00EA59C0">
        <w:rPr>
          <w:iCs/>
        </w:rPr>
        <w:t xml:space="preserve"> </w:t>
      </w:r>
      <w:r w:rsidRPr="00EA59C0">
        <w:rPr>
          <w:iCs/>
        </w:rPr>
        <w:t>including</w:t>
      </w:r>
      <w:r w:rsidR="00C026A6" w:rsidRPr="00EA59C0">
        <w:rPr>
          <w:iCs/>
        </w:rPr>
        <w:t xml:space="preserve"> </w:t>
      </w:r>
      <w:r w:rsidRPr="00EA59C0">
        <w:rPr>
          <w:iCs/>
        </w:rPr>
        <w:t>FAQs,</w:t>
      </w:r>
      <w:r w:rsidR="00C026A6" w:rsidRPr="00EA59C0">
        <w:rPr>
          <w:iCs/>
        </w:rPr>
        <w:t xml:space="preserve"> </w:t>
      </w:r>
      <w:r w:rsidRPr="00EA59C0">
        <w:rPr>
          <w:iCs/>
        </w:rPr>
        <w:t>which</w:t>
      </w:r>
      <w:r w:rsidR="00C026A6" w:rsidRPr="00EA59C0">
        <w:rPr>
          <w:iCs/>
        </w:rPr>
        <w:t xml:space="preserve"> </w:t>
      </w:r>
      <w:r w:rsidRPr="00EA59C0">
        <w:rPr>
          <w:iCs/>
        </w:rPr>
        <w:t>are</w:t>
      </w:r>
      <w:r w:rsidR="00C026A6" w:rsidRPr="00EA59C0">
        <w:rPr>
          <w:iCs/>
        </w:rPr>
        <w:t xml:space="preserve"> </w:t>
      </w:r>
      <w:r w:rsidRPr="00EA59C0">
        <w:rPr>
          <w:iCs/>
        </w:rPr>
        <w:t>available</w:t>
      </w:r>
      <w:r w:rsidR="00C026A6" w:rsidRPr="00EA59C0">
        <w:rPr>
          <w:iCs/>
        </w:rPr>
        <w:t xml:space="preserve"> </w:t>
      </w:r>
      <w:r w:rsidRPr="00EA59C0">
        <w:rPr>
          <w:iCs/>
        </w:rPr>
        <w:t>on</w:t>
      </w:r>
      <w:r w:rsidR="00C026A6" w:rsidRPr="00EA59C0">
        <w:rPr>
          <w:iCs/>
        </w:rPr>
        <w:t xml:space="preserve"> </w:t>
      </w:r>
      <w:r w:rsidRPr="00EA59C0">
        <w:rPr>
          <w:iCs/>
        </w:rPr>
        <w:t>the</w:t>
      </w:r>
      <w:r w:rsidR="00C026A6" w:rsidRPr="00EA59C0">
        <w:rPr>
          <w:iCs/>
        </w:rPr>
        <w:t xml:space="preserve"> </w:t>
      </w:r>
      <w:r w:rsidRPr="00EA59C0">
        <w:rPr>
          <w:iCs/>
        </w:rPr>
        <w:t>“Applicant</w:t>
      </w:r>
      <w:r w:rsidR="00C026A6" w:rsidRPr="00EA59C0">
        <w:rPr>
          <w:iCs/>
        </w:rPr>
        <w:t xml:space="preserve"> </w:t>
      </w:r>
      <w:r w:rsidRPr="00EA59C0">
        <w:rPr>
          <w:iCs/>
        </w:rPr>
        <w:t>Resources”</w:t>
      </w:r>
      <w:r w:rsidR="00C026A6" w:rsidRPr="00EA59C0">
        <w:rPr>
          <w:iCs/>
        </w:rPr>
        <w:t xml:space="preserve"> </w:t>
      </w:r>
      <w:r w:rsidRPr="00EA59C0">
        <w:rPr>
          <w:iCs/>
        </w:rPr>
        <w:t>page</w:t>
      </w:r>
      <w:r w:rsidR="00C026A6" w:rsidRPr="00EA59C0">
        <w:rPr>
          <w:iCs/>
        </w:rPr>
        <w:t xml:space="preserve"> </w:t>
      </w:r>
      <w:r w:rsidRPr="00EA59C0">
        <w:rPr>
          <w:iCs/>
        </w:rPr>
        <w:t>at</w:t>
      </w:r>
      <w:r w:rsidR="00C026A6" w:rsidRPr="00EA59C0">
        <w:rPr>
          <w:iCs/>
        </w:rPr>
        <w:t xml:space="preserve"> </w:t>
      </w:r>
      <w:hyperlink r:id="rId269" w:history="1">
        <w:r w:rsidR="0079364A" w:rsidRPr="00EA59C0">
          <w:rPr>
            <w:rStyle w:val="Hyperlink"/>
            <w:color w:val="auto"/>
          </w:rPr>
          <w:t>http://www.grants.gov/web/grants/applicants/applicant-resources.html</w:t>
        </w:r>
      </w:hyperlink>
      <w:r w:rsidR="00B50A9D" w:rsidRPr="00EA59C0">
        <w:t>.</w:t>
      </w:r>
      <w:r w:rsidR="00C026A6" w:rsidRPr="00EA59C0">
        <w:rPr>
          <w:iCs/>
        </w:rPr>
        <w:t xml:space="preserve">   </w:t>
      </w:r>
      <w:bookmarkStart w:id="24" w:name="4"/>
      <w:bookmarkEnd w:id="24"/>
    </w:p>
    <w:p w:rsidR="00144DF0" w:rsidRPr="00EA59C0" w:rsidRDefault="00144DF0" w:rsidP="00C072FA">
      <w:pPr>
        <w:ind w:left="720"/>
        <w:rPr>
          <w:iCs/>
        </w:rPr>
      </w:pPr>
    </w:p>
    <w:p w:rsidR="00144DF0" w:rsidRPr="00EA59C0" w:rsidRDefault="007470AB" w:rsidP="00C072FA">
      <w:pPr>
        <w:ind w:left="720"/>
      </w:pPr>
      <w:r w:rsidRPr="00EA59C0">
        <w:rPr>
          <w:iCs/>
        </w:rPr>
        <w:t>ETA</w:t>
      </w:r>
      <w:r w:rsidR="00C026A6" w:rsidRPr="00EA59C0">
        <w:rPr>
          <w:iCs/>
        </w:rPr>
        <w:t xml:space="preserve"> </w:t>
      </w:r>
      <w:r w:rsidRPr="00EA59C0">
        <w:rPr>
          <w:iCs/>
        </w:rPr>
        <w:t>encourages</w:t>
      </w:r>
      <w:r w:rsidR="00C026A6" w:rsidRPr="00EA59C0">
        <w:rPr>
          <w:iCs/>
        </w:rPr>
        <w:t xml:space="preserve"> </w:t>
      </w:r>
      <w:r w:rsidRPr="00EA59C0">
        <w:rPr>
          <w:iCs/>
        </w:rPr>
        <w:t>new</w:t>
      </w:r>
      <w:r w:rsidR="00C026A6" w:rsidRPr="00EA59C0">
        <w:rPr>
          <w:iCs/>
        </w:rPr>
        <w:t xml:space="preserve"> </w:t>
      </w:r>
      <w:r w:rsidRPr="00EA59C0">
        <w:rPr>
          <w:iCs/>
        </w:rPr>
        <w:t>prospective</w:t>
      </w:r>
      <w:r w:rsidR="00C026A6" w:rsidRPr="00EA59C0">
        <w:rPr>
          <w:iCs/>
        </w:rPr>
        <w:t xml:space="preserve"> </w:t>
      </w:r>
      <w:r w:rsidRPr="00EA59C0">
        <w:rPr>
          <w:iCs/>
        </w:rPr>
        <w:t>applicants</w:t>
      </w:r>
      <w:r w:rsidR="00C026A6" w:rsidRPr="00EA59C0">
        <w:rPr>
          <w:iCs/>
        </w:rPr>
        <w:t xml:space="preserve"> </w:t>
      </w:r>
      <w:r w:rsidRPr="00EA59C0">
        <w:rPr>
          <w:iCs/>
        </w:rPr>
        <w:t>to</w:t>
      </w:r>
      <w:r w:rsidR="00C026A6" w:rsidRPr="00EA59C0">
        <w:rPr>
          <w:iCs/>
        </w:rPr>
        <w:t xml:space="preserve"> </w:t>
      </w:r>
      <w:r w:rsidRPr="00EA59C0">
        <w:rPr>
          <w:iCs/>
        </w:rPr>
        <w:t>view</w:t>
      </w:r>
      <w:r w:rsidR="00C026A6" w:rsidRPr="00EA59C0">
        <w:rPr>
          <w:iCs/>
        </w:rPr>
        <w:t xml:space="preserve"> </w:t>
      </w:r>
      <w:r w:rsidRPr="00EA59C0">
        <w:rPr>
          <w:iCs/>
        </w:rPr>
        <w:t>the</w:t>
      </w:r>
      <w:r w:rsidR="00C026A6" w:rsidRPr="00EA59C0">
        <w:rPr>
          <w:iCs/>
        </w:rPr>
        <w:t xml:space="preserve"> </w:t>
      </w:r>
      <w:r w:rsidRPr="00EA59C0">
        <w:rPr>
          <w:iCs/>
        </w:rPr>
        <w:t>online</w:t>
      </w:r>
      <w:r w:rsidR="00C026A6" w:rsidRPr="00EA59C0">
        <w:rPr>
          <w:iCs/>
        </w:rPr>
        <w:t xml:space="preserve"> </w:t>
      </w:r>
      <w:r w:rsidRPr="00EA59C0">
        <w:rPr>
          <w:iCs/>
        </w:rPr>
        <w:t>tutorial,</w:t>
      </w:r>
      <w:r w:rsidR="00C026A6" w:rsidRPr="00EA59C0">
        <w:rPr>
          <w:iCs/>
        </w:rPr>
        <w:t xml:space="preserve"> </w:t>
      </w:r>
      <w:r w:rsidRPr="00EA59C0">
        <w:rPr>
          <w:iCs/>
        </w:rPr>
        <w:t>“</w:t>
      </w:r>
      <w:r w:rsidRPr="00EA59C0">
        <w:t>Grant</w:t>
      </w:r>
      <w:r w:rsidR="00C026A6" w:rsidRPr="00EA59C0">
        <w:t xml:space="preserve"> </w:t>
      </w:r>
      <w:r w:rsidRPr="00EA59C0">
        <w:t>Applications</w:t>
      </w:r>
      <w:r w:rsidR="00C026A6" w:rsidRPr="00EA59C0">
        <w:t xml:space="preserve"> </w:t>
      </w:r>
      <w:r w:rsidRPr="00EA59C0">
        <w:t>101:</w:t>
      </w:r>
      <w:r w:rsidR="00C026A6" w:rsidRPr="00EA59C0">
        <w:t xml:space="preserve">  </w:t>
      </w:r>
      <w:r w:rsidRPr="00EA59C0">
        <w:t>A</w:t>
      </w:r>
      <w:r w:rsidR="00C026A6" w:rsidRPr="00EA59C0">
        <w:t xml:space="preserve"> </w:t>
      </w:r>
      <w:r w:rsidRPr="00EA59C0">
        <w:t>Plain</w:t>
      </w:r>
      <w:r w:rsidR="00C026A6" w:rsidRPr="00EA59C0">
        <w:t xml:space="preserve"> </w:t>
      </w:r>
      <w:r w:rsidRPr="00EA59C0">
        <w:t>English</w:t>
      </w:r>
      <w:r w:rsidR="00C026A6" w:rsidRPr="00EA59C0">
        <w:t xml:space="preserve"> </w:t>
      </w:r>
      <w:r w:rsidRPr="00EA59C0">
        <w:t>Guide</w:t>
      </w:r>
      <w:r w:rsidR="00C026A6" w:rsidRPr="00EA59C0">
        <w:t xml:space="preserve"> </w:t>
      </w:r>
      <w:r w:rsidRPr="00EA59C0">
        <w:t>to</w:t>
      </w:r>
      <w:r w:rsidR="00C026A6" w:rsidRPr="00EA59C0">
        <w:t xml:space="preserve"> </w:t>
      </w:r>
      <w:r w:rsidRPr="00EA59C0">
        <w:t>ETA</w:t>
      </w:r>
      <w:r w:rsidR="00C026A6" w:rsidRPr="00EA59C0">
        <w:t xml:space="preserve"> </w:t>
      </w:r>
      <w:r w:rsidRPr="00EA59C0">
        <w:t>Competitive</w:t>
      </w:r>
      <w:r w:rsidR="00C026A6" w:rsidRPr="00EA59C0">
        <w:t xml:space="preserve"> </w:t>
      </w:r>
      <w:r w:rsidRPr="00EA59C0">
        <w:t>Grants,”</w:t>
      </w:r>
      <w:r w:rsidR="00C026A6" w:rsidRPr="00EA59C0">
        <w:t xml:space="preserve"> </w:t>
      </w:r>
      <w:r w:rsidRPr="00EA59C0">
        <w:t>available</w:t>
      </w:r>
      <w:r w:rsidR="00C026A6" w:rsidRPr="00EA59C0">
        <w:t xml:space="preserve"> </w:t>
      </w:r>
      <w:r w:rsidRPr="00EA59C0">
        <w:t>through</w:t>
      </w:r>
      <w:r w:rsidR="00C026A6" w:rsidRPr="00EA59C0">
        <w:t xml:space="preserve"> </w:t>
      </w:r>
      <w:r w:rsidRPr="00EA59C0">
        <w:t>Workforce3One</w:t>
      </w:r>
      <w:r w:rsidR="00C026A6" w:rsidRPr="00EA59C0">
        <w:t xml:space="preserve"> </w:t>
      </w:r>
      <w:r w:rsidRPr="00EA59C0">
        <w:t>at:</w:t>
      </w:r>
      <w:r w:rsidR="00C026A6" w:rsidRPr="00EA59C0">
        <w:t xml:space="preserve">  </w:t>
      </w:r>
      <w:hyperlink r:id="rId270" w:history="1">
        <w:r w:rsidRPr="00EA59C0">
          <w:rPr>
            <w:rStyle w:val="Hyperlink"/>
            <w:color w:val="auto"/>
          </w:rPr>
          <w:t>http://www.workforce3one.org/page/grants_toolkit</w:t>
        </w:r>
      </w:hyperlink>
      <w:r w:rsidRPr="00EA59C0">
        <w:t>.</w:t>
      </w:r>
      <w:r w:rsidR="00C026A6" w:rsidRPr="00EA59C0">
        <w:t xml:space="preserve"> </w:t>
      </w:r>
    </w:p>
    <w:p w:rsidR="00144DF0" w:rsidRPr="00EA59C0" w:rsidRDefault="00144DF0" w:rsidP="00C072FA">
      <w:pPr>
        <w:autoSpaceDE w:val="0"/>
        <w:autoSpaceDN w:val="0"/>
        <w:adjustRightInd w:val="0"/>
        <w:ind w:left="720"/>
        <w:rPr>
          <w:iCs/>
        </w:rPr>
      </w:pPr>
    </w:p>
    <w:p w:rsidR="00144DF0" w:rsidRPr="00EA59C0" w:rsidRDefault="007470AB" w:rsidP="00C072FA">
      <w:pPr>
        <w:autoSpaceDE w:val="0"/>
        <w:autoSpaceDN w:val="0"/>
        <w:adjustRightInd w:val="0"/>
        <w:ind w:left="720"/>
        <w:rPr>
          <w:iCs/>
        </w:rPr>
      </w:pPr>
      <w:r w:rsidRPr="00EA59C0">
        <w:rPr>
          <w:iCs/>
        </w:rPr>
        <w:t>To</w:t>
      </w:r>
      <w:r w:rsidR="00C026A6" w:rsidRPr="00EA59C0">
        <w:rPr>
          <w:iCs/>
        </w:rPr>
        <w:t xml:space="preserve"> </w:t>
      </w:r>
      <w:r w:rsidRPr="00EA59C0">
        <w:rPr>
          <w:iCs/>
        </w:rPr>
        <w:t>receive</w:t>
      </w:r>
      <w:r w:rsidR="00C026A6" w:rsidRPr="00EA59C0">
        <w:rPr>
          <w:iCs/>
        </w:rPr>
        <w:t xml:space="preserve"> </w:t>
      </w:r>
      <w:r w:rsidRPr="00EA59C0">
        <w:rPr>
          <w:iCs/>
        </w:rPr>
        <w:t>updated</w:t>
      </w:r>
      <w:r w:rsidR="00C026A6" w:rsidRPr="00EA59C0">
        <w:rPr>
          <w:iCs/>
        </w:rPr>
        <w:t xml:space="preserve"> </w:t>
      </w:r>
      <w:r w:rsidRPr="00EA59C0">
        <w:rPr>
          <w:iCs/>
        </w:rPr>
        <w:t>information</w:t>
      </w:r>
      <w:r w:rsidR="00C026A6" w:rsidRPr="00EA59C0">
        <w:rPr>
          <w:iCs/>
        </w:rPr>
        <w:t xml:space="preserve"> </w:t>
      </w:r>
      <w:r w:rsidRPr="00EA59C0">
        <w:rPr>
          <w:iCs/>
        </w:rPr>
        <w:t>about</w:t>
      </w:r>
      <w:r w:rsidR="00C026A6" w:rsidRPr="00EA59C0">
        <w:rPr>
          <w:iCs/>
        </w:rPr>
        <w:t xml:space="preserve"> </w:t>
      </w:r>
      <w:r w:rsidRPr="00EA59C0">
        <w:rPr>
          <w:iCs/>
        </w:rPr>
        <w:t>critical</w:t>
      </w:r>
      <w:r w:rsidR="00C026A6" w:rsidRPr="00EA59C0">
        <w:rPr>
          <w:iCs/>
        </w:rPr>
        <w:t xml:space="preserve"> </w:t>
      </w:r>
      <w:r w:rsidRPr="00EA59C0">
        <w:rPr>
          <w:iCs/>
        </w:rPr>
        <w:t>issues,</w:t>
      </w:r>
      <w:r w:rsidR="00C026A6" w:rsidRPr="00EA59C0">
        <w:rPr>
          <w:iCs/>
        </w:rPr>
        <w:t xml:space="preserve"> </w:t>
      </w:r>
      <w:r w:rsidRPr="00EA59C0">
        <w:rPr>
          <w:iCs/>
        </w:rPr>
        <w:t>new</w:t>
      </w:r>
      <w:r w:rsidR="00C026A6" w:rsidRPr="00EA59C0">
        <w:rPr>
          <w:iCs/>
        </w:rPr>
        <w:t xml:space="preserve"> </w:t>
      </w:r>
      <w:r w:rsidRPr="00EA59C0">
        <w:rPr>
          <w:iCs/>
        </w:rPr>
        <w:t>tips</w:t>
      </w:r>
      <w:r w:rsidR="00C026A6" w:rsidRPr="00EA59C0">
        <w:rPr>
          <w:iCs/>
        </w:rPr>
        <w:t xml:space="preserve"> </w:t>
      </w:r>
      <w:r w:rsidRPr="00EA59C0">
        <w:rPr>
          <w:iCs/>
        </w:rPr>
        <w:t>for</w:t>
      </w:r>
      <w:r w:rsidR="00C026A6" w:rsidRPr="00EA59C0">
        <w:rPr>
          <w:iCs/>
        </w:rPr>
        <w:t xml:space="preserve"> </w:t>
      </w:r>
      <w:r w:rsidRPr="00EA59C0">
        <w:rPr>
          <w:iCs/>
        </w:rPr>
        <w:t>users</w:t>
      </w:r>
      <w:r w:rsidR="00C026A6" w:rsidRPr="00EA59C0">
        <w:rPr>
          <w:iCs/>
        </w:rPr>
        <w:t xml:space="preserve"> </w:t>
      </w:r>
      <w:r w:rsidRPr="00EA59C0">
        <w:rPr>
          <w:iCs/>
        </w:rPr>
        <w:t>and</w:t>
      </w:r>
      <w:r w:rsidR="00C026A6" w:rsidRPr="00EA59C0">
        <w:rPr>
          <w:iCs/>
        </w:rPr>
        <w:t xml:space="preserve"> </w:t>
      </w:r>
      <w:r w:rsidRPr="00EA59C0">
        <w:rPr>
          <w:iCs/>
        </w:rPr>
        <w:t>other</w:t>
      </w:r>
      <w:r w:rsidR="00C026A6" w:rsidRPr="00EA59C0">
        <w:rPr>
          <w:iCs/>
        </w:rPr>
        <w:t xml:space="preserve"> </w:t>
      </w:r>
      <w:r w:rsidRPr="00EA59C0">
        <w:rPr>
          <w:iCs/>
        </w:rPr>
        <w:t>time</w:t>
      </w:r>
      <w:r w:rsidR="00C026A6" w:rsidRPr="00EA59C0">
        <w:rPr>
          <w:iCs/>
        </w:rPr>
        <w:t xml:space="preserve"> </w:t>
      </w:r>
      <w:r w:rsidRPr="00EA59C0">
        <w:rPr>
          <w:iCs/>
        </w:rPr>
        <w:t>sensitive</w:t>
      </w:r>
      <w:r w:rsidR="00C026A6" w:rsidRPr="00EA59C0">
        <w:rPr>
          <w:iCs/>
        </w:rPr>
        <w:t xml:space="preserve"> </w:t>
      </w:r>
      <w:r w:rsidRPr="00EA59C0">
        <w:rPr>
          <w:iCs/>
        </w:rPr>
        <w:t>updates</w:t>
      </w:r>
      <w:r w:rsidR="00C026A6" w:rsidRPr="00EA59C0">
        <w:rPr>
          <w:iCs/>
        </w:rPr>
        <w:t xml:space="preserve"> </w:t>
      </w:r>
      <w:r w:rsidRPr="00EA59C0">
        <w:rPr>
          <w:iCs/>
        </w:rPr>
        <w:t>as</w:t>
      </w:r>
      <w:r w:rsidR="00C026A6" w:rsidRPr="00EA59C0">
        <w:rPr>
          <w:iCs/>
        </w:rPr>
        <w:t xml:space="preserve"> </w:t>
      </w:r>
      <w:r w:rsidRPr="00EA59C0">
        <w:rPr>
          <w:iCs/>
        </w:rPr>
        <w:t>information</w:t>
      </w:r>
      <w:r w:rsidR="00C026A6" w:rsidRPr="00EA59C0">
        <w:rPr>
          <w:iCs/>
        </w:rPr>
        <w:t xml:space="preserve"> </w:t>
      </w:r>
      <w:r w:rsidRPr="00EA59C0">
        <w:rPr>
          <w:iCs/>
        </w:rPr>
        <w:t>is</w:t>
      </w:r>
      <w:r w:rsidR="00C026A6" w:rsidRPr="00EA59C0">
        <w:rPr>
          <w:iCs/>
        </w:rPr>
        <w:t xml:space="preserve"> </w:t>
      </w:r>
      <w:r w:rsidRPr="00EA59C0">
        <w:rPr>
          <w:iCs/>
        </w:rPr>
        <w:t>available,</w:t>
      </w:r>
      <w:r w:rsidR="00C026A6" w:rsidRPr="00EA59C0">
        <w:rPr>
          <w:iCs/>
        </w:rPr>
        <w:t xml:space="preserve"> </w:t>
      </w:r>
      <w:r w:rsidRPr="00EA59C0">
        <w:rPr>
          <w:iCs/>
        </w:rPr>
        <w:t>applicants</w:t>
      </w:r>
      <w:r w:rsidR="00C026A6" w:rsidRPr="00EA59C0">
        <w:rPr>
          <w:iCs/>
        </w:rPr>
        <w:t xml:space="preserve"> </w:t>
      </w:r>
      <w:r w:rsidRPr="00EA59C0">
        <w:rPr>
          <w:iCs/>
        </w:rPr>
        <w:t>may</w:t>
      </w:r>
      <w:r w:rsidR="00C026A6" w:rsidRPr="00EA59C0">
        <w:rPr>
          <w:iCs/>
        </w:rPr>
        <w:t xml:space="preserve"> </w:t>
      </w:r>
      <w:r w:rsidRPr="00EA59C0">
        <w:rPr>
          <w:iCs/>
        </w:rPr>
        <w:t>subscribe</w:t>
      </w:r>
      <w:r w:rsidR="00C026A6" w:rsidRPr="00EA59C0">
        <w:rPr>
          <w:iCs/>
        </w:rPr>
        <w:t xml:space="preserve"> </w:t>
      </w:r>
      <w:r w:rsidRPr="00EA59C0">
        <w:rPr>
          <w:iCs/>
        </w:rPr>
        <w:t>to</w:t>
      </w:r>
      <w:r w:rsidR="00C026A6" w:rsidRPr="00EA59C0">
        <w:rPr>
          <w:iCs/>
        </w:rPr>
        <w:t xml:space="preserve"> </w:t>
      </w:r>
      <w:r w:rsidRPr="00EA59C0">
        <w:rPr>
          <w:iCs/>
        </w:rPr>
        <w:t>“Grants.gov</w:t>
      </w:r>
      <w:r w:rsidR="00C026A6" w:rsidRPr="00EA59C0">
        <w:rPr>
          <w:iCs/>
        </w:rPr>
        <w:t xml:space="preserve"> </w:t>
      </w:r>
      <w:r w:rsidRPr="00EA59C0">
        <w:rPr>
          <w:iCs/>
        </w:rPr>
        <w:t>Updates”</w:t>
      </w:r>
      <w:r w:rsidR="00C026A6" w:rsidRPr="00EA59C0">
        <w:rPr>
          <w:iCs/>
        </w:rPr>
        <w:t xml:space="preserve"> </w:t>
      </w:r>
      <w:r w:rsidRPr="00EA59C0">
        <w:rPr>
          <w:iCs/>
        </w:rPr>
        <w:t>at</w:t>
      </w:r>
      <w:r w:rsidR="00C026A6" w:rsidRPr="00EA59C0">
        <w:rPr>
          <w:iCs/>
        </w:rPr>
        <w:t xml:space="preserve"> </w:t>
      </w:r>
      <w:hyperlink r:id="rId271" w:history="1">
        <w:r w:rsidR="0079364A" w:rsidRPr="00EA59C0">
          <w:rPr>
            <w:rStyle w:val="Hyperlink"/>
            <w:color w:val="auto"/>
          </w:rPr>
          <w:t>http://www.grants.gov/web/grants/manage-subscriptions.html</w:t>
        </w:r>
      </w:hyperlink>
      <w:r w:rsidR="00B50A9D" w:rsidRPr="00EA59C0">
        <w:t>.</w:t>
      </w:r>
      <w:r w:rsidR="00C026A6" w:rsidRPr="00EA59C0">
        <w:rPr>
          <w:iCs/>
        </w:rPr>
        <w:t xml:space="preserve"> </w:t>
      </w:r>
      <w:r w:rsidRPr="00EA59C0">
        <w:rPr>
          <w:iCs/>
        </w:rPr>
        <w:t>.</w:t>
      </w:r>
      <w:hyperlink w:history="1"/>
    </w:p>
    <w:p w:rsidR="00144DF0" w:rsidRPr="00EA59C0" w:rsidRDefault="00144DF0" w:rsidP="00C072FA">
      <w:pPr>
        <w:autoSpaceDE w:val="0"/>
        <w:autoSpaceDN w:val="0"/>
        <w:adjustRightInd w:val="0"/>
        <w:ind w:left="720"/>
        <w:rPr>
          <w:iCs/>
        </w:rPr>
      </w:pPr>
    </w:p>
    <w:p w:rsidR="00144DF0" w:rsidRPr="00EA59C0" w:rsidRDefault="007470AB" w:rsidP="00C072FA">
      <w:pPr>
        <w:autoSpaceDE w:val="0"/>
        <w:autoSpaceDN w:val="0"/>
        <w:adjustRightInd w:val="0"/>
        <w:ind w:left="720"/>
        <w:rPr>
          <w:iCs/>
        </w:rPr>
      </w:pPr>
      <w:r w:rsidRPr="00EA59C0">
        <w:rPr>
          <w:iCs/>
        </w:rPr>
        <w:t>If</w:t>
      </w:r>
      <w:r w:rsidR="00C026A6" w:rsidRPr="00EA59C0">
        <w:rPr>
          <w:iCs/>
        </w:rPr>
        <w:t xml:space="preserve"> </w:t>
      </w:r>
      <w:r w:rsidRPr="00EA59C0">
        <w:rPr>
          <w:iCs/>
        </w:rPr>
        <w:t>applicants</w:t>
      </w:r>
      <w:r w:rsidR="00C026A6" w:rsidRPr="00EA59C0">
        <w:rPr>
          <w:iCs/>
        </w:rPr>
        <w:t xml:space="preserve"> </w:t>
      </w:r>
      <w:r w:rsidRPr="00EA59C0">
        <w:rPr>
          <w:iCs/>
        </w:rPr>
        <w:t>encounter</w:t>
      </w:r>
      <w:r w:rsidR="00C026A6" w:rsidRPr="00EA59C0">
        <w:rPr>
          <w:iCs/>
        </w:rPr>
        <w:t xml:space="preserve"> </w:t>
      </w:r>
      <w:r w:rsidRPr="00EA59C0">
        <w:rPr>
          <w:iCs/>
        </w:rPr>
        <w:t>a</w:t>
      </w:r>
      <w:r w:rsidR="00C026A6" w:rsidRPr="00EA59C0">
        <w:rPr>
          <w:iCs/>
        </w:rPr>
        <w:t xml:space="preserve"> </w:t>
      </w:r>
      <w:r w:rsidRPr="00EA59C0">
        <w:rPr>
          <w:iCs/>
        </w:rPr>
        <w:t>problem</w:t>
      </w:r>
      <w:r w:rsidR="00C026A6" w:rsidRPr="00EA59C0">
        <w:rPr>
          <w:iCs/>
        </w:rPr>
        <w:t xml:space="preserve"> </w:t>
      </w:r>
      <w:r w:rsidRPr="00EA59C0">
        <w:rPr>
          <w:iCs/>
        </w:rPr>
        <w:t>with</w:t>
      </w:r>
      <w:r w:rsidR="00C026A6" w:rsidRPr="00EA59C0">
        <w:rPr>
          <w:iCs/>
        </w:rPr>
        <w:t xml:space="preserve"> </w:t>
      </w:r>
      <w:r w:rsidRPr="00EA59C0">
        <w:rPr>
          <w:iCs/>
        </w:rPr>
        <w:t>Grants.gov</w:t>
      </w:r>
      <w:r w:rsidR="00C026A6" w:rsidRPr="00EA59C0">
        <w:rPr>
          <w:iCs/>
        </w:rPr>
        <w:t xml:space="preserve"> </w:t>
      </w:r>
      <w:r w:rsidRPr="00EA59C0">
        <w:rPr>
          <w:iCs/>
        </w:rPr>
        <w:t>and</w:t>
      </w:r>
      <w:r w:rsidR="00C026A6" w:rsidRPr="00EA59C0">
        <w:rPr>
          <w:iCs/>
        </w:rPr>
        <w:t xml:space="preserve"> </w:t>
      </w:r>
      <w:r w:rsidRPr="00EA59C0">
        <w:rPr>
          <w:iCs/>
        </w:rPr>
        <w:t>do</w:t>
      </w:r>
      <w:r w:rsidR="00C026A6" w:rsidRPr="00EA59C0">
        <w:rPr>
          <w:iCs/>
        </w:rPr>
        <w:t xml:space="preserve"> </w:t>
      </w:r>
      <w:r w:rsidRPr="00EA59C0">
        <w:rPr>
          <w:iCs/>
        </w:rPr>
        <w:t>not</w:t>
      </w:r>
      <w:r w:rsidR="00C026A6" w:rsidRPr="00EA59C0">
        <w:rPr>
          <w:iCs/>
        </w:rPr>
        <w:t xml:space="preserve"> </w:t>
      </w:r>
      <w:r w:rsidRPr="00EA59C0">
        <w:rPr>
          <w:iCs/>
        </w:rPr>
        <w:t>find</w:t>
      </w:r>
      <w:r w:rsidR="00C026A6" w:rsidRPr="00EA59C0">
        <w:rPr>
          <w:iCs/>
        </w:rPr>
        <w:t xml:space="preserve"> </w:t>
      </w:r>
      <w:r w:rsidRPr="00EA59C0">
        <w:rPr>
          <w:iCs/>
        </w:rPr>
        <w:t>an</w:t>
      </w:r>
      <w:r w:rsidR="00C026A6" w:rsidRPr="00EA59C0">
        <w:rPr>
          <w:iCs/>
        </w:rPr>
        <w:t xml:space="preserve"> </w:t>
      </w:r>
      <w:r w:rsidRPr="00EA59C0">
        <w:rPr>
          <w:iCs/>
        </w:rPr>
        <w:t>answer</w:t>
      </w:r>
      <w:r w:rsidR="00C026A6" w:rsidRPr="00EA59C0">
        <w:rPr>
          <w:iCs/>
        </w:rPr>
        <w:t xml:space="preserve"> </w:t>
      </w:r>
      <w:r w:rsidRPr="00EA59C0">
        <w:rPr>
          <w:iCs/>
        </w:rPr>
        <w:t>in</w:t>
      </w:r>
      <w:r w:rsidR="00C026A6" w:rsidRPr="00EA59C0">
        <w:rPr>
          <w:iCs/>
        </w:rPr>
        <w:t xml:space="preserve"> </w:t>
      </w:r>
      <w:r w:rsidRPr="00EA59C0">
        <w:rPr>
          <w:iCs/>
        </w:rPr>
        <w:t>any</w:t>
      </w:r>
      <w:r w:rsidR="00C026A6" w:rsidRPr="00EA59C0">
        <w:rPr>
          <w:iCs/>
        </w:rPr>
        <w:t xml:space="preserve"> </w:t>
      </w:r>
      <w:r w:rsidRPr="00EA59C0">
        <w:rPr>
          <w:iCs/>
        </w:rPr>
        <w:t>of</w:t>
      </w:r>
      <w:r w:rsidR="00C026A6" w:rsidRPr="00EA59C0">
        <w:rPr>
          <w:iCs/>
        </w:rPr>
        <w:t xml:space="preserve"> </w:t>
      </w:r>
      <w:r w:rsidRPr="00EA59C0">
        <w:rPr>
          <w:iCs/>
        </w:rPr>
        <w:t>the</w:t>
      </w:r>
      <w:r w:rsidR="00C026A6" w:rsidRPr="00EA59C0">
        <w:rPr>
          <w:iCs/>
        </w:rPr>
        <w:t xml:space="preserve"> </w:t>
      </w:r>
      <w:r w:rsidRPr="00EA59C0">
        <w:rPr>
          <w:iCs/>
        </w:rPr>
        <w:t>other</w:t>
      </w:r>
      <w:r w:rsidR="00C026A6" w:rsidRPr="00EA59C0">
        <w:rPr>
          <w:iCs/>
        </w:rPr>
        <w:t xml:space="preserve"> </w:t>
      </w:r>
      <w:r w:rsidRPr="00EA59C0">
        <w:rPr>
          <w:iCs/>
        </w:rPr>
        <w:t>resources,</w:t>
      </w:r>
      <w:r w:rsidR="00C026A6" w:rsidRPr="00EA59C0">
        <w:rPr>
          <w:iCs/>
        </w:rPr>
        <w:t xml:space="preserve"> </w:t>
      </w:r>
      <w:r w:rsidR="00DF4338" w:rsidRPr="00EA59C0">
        <w:rPr>
          <w:iCs/>
        </w:rPr>
        <w:t>please</w:t>
      </w:r>
      <w:r w:rsidR="00C026A6" w:rsidRPr="00EA59C0">
        <w:rPr>
          <w:iCs/>
        </w:rPr>
        <w:t xml:space="preserve"> </w:t>
      </w:r>
      <w:r w:rsidR="00DF4338" w:rsidRPr="00EA59C0">
        <w:rPr>
          <w:iCs/>
        </w:rPr>
        <w:t>contact</w:t>
      </w:r>
      <w:r w:rsidR="00C026A6" w:rsidRPr="00EA59C0">
        <w:rPr>
          <w:iCs/>
        </w:rPr>
        <w:t xml:space="preserve"> </w:t>
      </w:r>
      <w:r w:rsidR="00DF4338" w:rsidRPr="00EA59C0">
        <w:rPr>
          <w:iCs/>
        </w:rPr>
        <w:t>Grants.gov</w:t>
      </w:r>
      <w:r w:rsidR="00C026A6" w:rsidRPr="00EA59C0">
        <w:rPr>
          <w:iCs/>
        </w:rPr>
        <w:t xml:space="preserve"> </w:t>
      </w:r>
      <w:r w:rsidR="00DF4338" w:rsidRPr="00EA59C0">
        <w:rPr>
          <w:iCs/>
        </w:rPr>
        <w:t>Customer</w:t>
      </w:r>
      <w:r w:rsidR="00C026A6" w:rsidRPr="00EA59C0">
        <w:rPr>
          <w:iCs/>
        </w:rPr>
        <w:t xml:space="preserve"> </w:t>
      </w:r>
      <w:r w:rsidR="00DF4338" w:rsidRPr="00EA59C0">
        <w:rPr>
          <w:iCs/>
        </w:rPr>
        <w:t>Service.</w:t>
      </w:r>
      <w:r w:rsidR="00C026A6" w:rsidRPr="00EA59C0">
        <w:rPr>
          <w:iCs/>
        </w:rPr>
        <w:t xml:space="preserve">  </w:t>
      </w:r>
      <w:r w:rsidR="00DF4338" w:rsidRPr="00EA59C0">
        <w:rPr>
          <w:iCs/>
        </w:rPr>
        <w:t>For</w:t>
      </w:r>
      <w:r w:rsidR="00C026A6" w:rsidRPr="00EA59C0">
        <w:rPr>
          <w:iCs/>
        </w:rPr>
        <w:t xml:space="preserve"> </w:t>
      </w:r>
      <w:r w:rsidR="00DF4338" w:rsidRPr="00EA59C0">
        <w:rPr>
          <w:iCs/>
        </w:rPr>
        <w:t>more</w:t>
      </w:r>
      <w:r w:rsidR="00C026A6" w:rsidRPr="00EA59C0">
        <w:rPr>
          <w:iCs/>
        </w:rPr>
        <w:t xml:space="preserve"> </w:t>
      </w:r>
      <w:r w:rsidR="00DF4338" w:rsidRPr="00EA59C0">
        <w:rPr>
          <w:iCs/>
        </w:rPr>
        <w:t>information</w:t>
      </w:r>
      <w:r w:rsidR="00C026A6" w:rsidRPr="00EA59C0">
        <w:rPr>
          <w:iCs/>
        </w:rPr>
        <w:t xml:space="preserve"> </w:t>
      </w:r>
      <w:r w:rsidR="00DF4338" w:rsidRPr="00EA59C0">
        <w:rPr>
          <w:iCs/>
        </w:rPr>
        <w:t>please</w:t>
      </w:r>
      <w:r w:rsidR="00C026A6" w:rsidRPr="00EA59C0">
        <w:rPr>
          <w:iCs/>
        </w:rPr>
        <w:t xml:space="preserve"> </w:t>
      </w:r>
      <w:r w:rsidR="00DF4338" w:rsidRPr="00EA59C0">
        <w:rPr>
          <w:iCs/>
        </w:rPr>
        <w:t>visit</w:t>
      </w:r>
      <w:r w:rsidR="00C026A6" w:rsidRPr="00EA59C0">
        <w:rPr>
          <w:iCs/>
        </w:rPr>
        <w:t xml:space="preserve"> </w:t>
      </w:r>
      <w:hyperlink r:id="rId272" w:history="1">
        <w:r w:rsidR="00DF4338" w:rsidRPr="00EA59C0">
          <w:rPr>
            <w:rStyle w:val="Hyperlink"/>
            <w:iCs/>
            <w:color w:val="auto"/>
          </w:rPr>
          <w:t>http://www.grants.gov/documents/19/18249/CustomerServiceProcess.pdf/35f168e0-49ea-426f-be2b-5b772178326d</w:t>
        </w:r>
      </w:hyperlink>
      <w:r w:rsidR="00C026A6" w:rsidRPr="00EA59C0">
        <w:rPr>
          <w:iCs/>
        </w:rPr>
        <w:t xml:space="preserve"> </w:t>
      </w:r>
      <w:r w:rsidR="00DF4338" w:rsidRPr="00EA59C0">
        <w:rPr>
          <w:iCs/>
        </w:rPr>
        <w:t>or</w:t>
      </w:r>
      <w:r w:rsidR="00C026A6" w:rsidRPr="00EA59C0">
        <w:rPr>
          <w:iCs/>
        </w:rPr>
        <w:t xml:space="preserve"> </w:t>
      </w:r>
      <w:r w:rsidRPr="00EA59C0">
        <w:rPr>
          <w:iCs/>
        </w:rPr>
        <w:t>call</w:t>
      </w:r>
      <w:r w:rsidR="00C026A6" w:rsidRPr="00EA59C0">
        <w:rPr>
          <w:iCs/>
        </w:rPr>
        <w:t xml:space="preserve"> </w:t>
      </w:r>
      <w:r w:rsidRPr="00EA59C0">
        <w:rPr>
          <w:iCs/>
        </w:rPr>
        <w:t>1-800-518-4726</w:t>
      </w:r>
      <w:r w:rsidR="00C026A6" w:rsidRPr="00EA59C0">
        <w:rPr>
          <w:iCs/>
        </w:rPr>
        <w:t xml:space="preserve"> </w:t>
      </w:r>
      <w:r w:rsidRPr="00EA59C0">
        <w:rPr>
          <w:iCs/>
        </w:rPr>
        <w:t>or</w:t>
      </w:r>
      <w:r w:rsidR="00C026A6" w:rsidRPr="00EA59C0">
        <w:rPr>
          <w:iCs/>
        </w:rPr>
        <w:t xml:space="preserve"> </w:t>
      </w:r>
      <w:r w:rsidRPr="00EA59C0">
        <w:rPr>
          <w:iCs/>
        </w:rPr>
        <w:t>606-545-5035</w:t>
      </w:r>
      <w:r w:rsidR="00C026A6" w:rsidRPr="00EA59C0">
        <w:rPr>
          <w:iCs/>
        </w:rPr>
        <w:t xml:space="preserve"> </w:t>
      </w:r>
      <w:r w:rsidRPr="00EA59C0">
        <w:rPr>
          <w:iCs/>
        </w:rPr>
        <w:t>to</w:t>
      </w:r>
      <w:r w:rsidR="00C026A6" w:rsidRPr="00EA59C0">
        <w:rPr>
          <w:iCs/>
        </w:rPr>
        <w:t xml:space="preserve"> </w:t>
      </w:r>
      <w:r w:rsidRPr="00EA59C0">
        <w:rPr>
          <w:iCs/>
        </w:rPr>
        <w:t>speak</w:t>
      </w:r>
      <w:r w:rsidR="00C026A6" w:rsidRPr="00EA59C0">
        <w:rPr>
          <w:iCs/>
        </w:rPr>
        <w:t xml:space="preserve"> </w:t>
      </w:r>
      <w:r w:rsidRPr="00EA59C0">
        <w:rPr>
          <w:iCs/>
        </w:rPr>
        <w:t>to</w:t>
      </w:r>
      <w:r w:rsidR="00C026A6" w:rsidRPr="00EA59C0">
        <w:rPr>
          <w:iCs/>
        </w:rPr>
        <w:t xml:space="preserve"> </w:t>
      </w:r>
      <w:r w:rsidRPr="00EA59C0">
        <w:rPr>
          <w:iCs/>
        </w:rPr>
        <w:t>a</w:t>
      </w:r>
      <w:r w:rsidR="00C026A6" w:rsidRPr="00EA59C0">
        <w:rPr>
          <w:iCs/>
        </w:rPr>
        <w:t xml:space="preserve"> </w:t>
      </w:r>
      <w:r w:rsidRPr="00EA59C0">
        <w:rPr>
          <w:iCs/>
        </w:rPr>
        <w:t>Customer</w:t>
      </w:r>
      <w:r w:rsidR="00C026A6" w:rsidRPr="00EA59C0">
        <w:rPr>
          <w:iCs/>
        </w:rPr>
        <w:t xml:space="preserve"> </w:t>
      </w:r>
      <w:r w:rsidRPr="00EA59C0">
        <w:rPr>
          <w:iCs/>
        </w:rPr>
        <w:t>Support</w:t>
      </w:r>
      <w:r w:rsidR="00C026A6" w:rsidRPr="00EA59C0">
        <w:rPr>
          <w:iCs/>
        </w:rPr>
        <w:t xml:space="preserve"> </w:t>
      </w:r>
      <w:r w:rsidRPr="00EA59C0">
        <w:rPr>
          <w:iCs/>
        </w:rPr>
        <w:t>Representative</w:t>
      </w:r>
      <w:r w:rsidR="00C026A6" w:rsidRPr="00EA59C0">
        <w:rPr>
          <w:iCs/>
        </w:rPr>
        <w:t xml:space="preserve"> </w:t>
      </w:r>
      <w:r w:rsidRPr="00EA59C0">
        <w:rPr>
          <w:iCs/>
        </w:rPr>
        <w:t>or</w:t>
      </w:r>
      <w:r w:rsidR="00C026A6" w:rsidRPr="00EA59C0">
        <w:rPr>
          <w:iCs/>
        </w:rPr>
        <w:t xml:space="preserve"> </w:t>
      </w:r>
      <w:r w:rsidRPr="00EA59C0">
        <w:rPr>
          <w:iCs/>
        </w:rPr>
        <w:t>email</w:t>
      </w:r>
      <w:r w:rsidR="00C026A6" w:rsidRPr="00EA59C0">
        <w:rPr>
          <w:iCs/>
        </w:rPr>
        <w:t xml:space="preserve"> </w:t>
      </w:r>
      <w:r w:rsidRPr="00EA59C0">
        <w:rPr>
          <w:iCs/>
        </w:rPr>
        <w:t>“</w:t>
      </w:r>
      <w:r w:rsidR="00230D68">
        <w:rPr>
          <w:iCs/>
        </w:rPr>
        <w:t xml:space="preserve">support@grants.gov </w:t>
      </w:r>
      <w:r w:rsidRPr="00EA59C0">
        <w:rPr>
          <w:iCs/>
        </w:rPr>
        <w:t>”.</w:t>
      </w:r>
      <w:r w:rsidR="00C026A6" w:rsidRPr="00EA59C0">
        <w:rPr>
          <w:iCs/>
        </w:rPr>
        <w:t xml:space="preserve">  </w:t>
      </w:r>
      <w:r w:rsidRPr="00EA59C0">
        <w:rPr>
          <w:iCs/>
        </w:rPr>
        <w:t>The</w:t>
      </w:r>
      <w:r w:rsidR="00C026A6" w:rsidRPr="00EA59C0">
        <w:rPr>
          <w:iCs/>
        </w:rPr>
        <w:t xml:space="preserve"> </w:t>
      </w:r>
      <w:r w:rsidRPr="00EA59C0">
        <w:rPr>
          <w:iCs/>
        </w:rPr>
        <w:t>Contact</w:t>
      </w:r>
      <w:r w:rsidR="00C026A6" w:rsidRPr="00EA59C0">
        <w:rPr>
          <w:iCs/>
        </w:rPr>
        <w:t xml:space="preserve"> </w:t>
      </w:r>
      <w:r w:rsidRPr="00EA59C0">
        <w:rPr>
          <w:iCs/>
        </w:rPr>
        <w:t>Center</w:t>
      </w:r>
      <w:r w:rsidR="00C026A6" w:rsidRPr="00EA59C0">
        <w:rPr>
          <w:iCs/>
        </w:rPr>
        <w:t xml:space="preserve"> </w:t>
      </w:r>
      <w:r w:rsidRPr="00EA59C0">
        <w:rPr>
          <w:iCs/>
        </w:rPr>
        <w:t>is</w:t>
      </w:r>
      <w:r w:rsidR="00C026A6" w:rsidRPr="00EA59C0">
        <w:rPr>
          <w:iCs/>
        </w:rPr>
        <w:t xml:space="preserve"> </w:t>
      </w:r>
      <w:r w:rsidRPr="00EA59C0">
        <w:rPr>
          <w:iCs/>
        </w:rPr>
        <w:t>open</w:t>
      </w:r>
      <w:r w:rsidR="00C026A6" w:rsidRPr="00EA59C0">
        <w:rPr>
          <w:iCs/>
        </w:rPr>
        <w:t xml:space="preserve"> </w:t>
      </w:r>
      <w:r w:rsidRPr="00EA59C0">
        <w:rPr>
          <w:iCs/>
        </w:rPr>
        <w:t>24</w:t>
      </w:r>
      <w:r w:rsidR="00C026A6" w:rsidRPr="00EA59C0">
        <w:rPr>
          <w:iCs/>
        </w:rPr>
        <w:t xml:space="preserve"> </w:t>
      </w:r>
      <w:r w:rsidRPr="00EA59C0">
        <w:rPr>
          <w:iCs/>
        </w:rPr>
        <w:t>hours</w:t>
      </w:r>
      <w:r w:rsidR="00C026A6" w:rsidRPr="00EA59C0">
        <w:rPr>
          <w:iCs/>
        </w:rPr>
        <w:t xml:space="preserve"> </w:t>
      </w:r>
      <w:r w:rsidRPr="00EA59C0">
        <w:rPr>
          <w:iCs/>
        </w:rPr>
        <w:t>a</w:t>
      </w:r>
      <w:r w:rsidR="00C026A6" w:rsidRPr="00EA59C0">
        <w:rPr>
          <w:iCs/>
        </w:rPr>
        <w:t xml:space="preserve"> </w:t>
      </w:r>
      <w:r w:rsidRPr="00EA59C0">
        <w:rPr>
          <w:iCs/>
        </w:rPr>
        <w:t>day,</w:t>
      </w:r>
      <w:r w:rsidR="00C026A6" w:rsidRPr="00EA59C0">
        <w:rPr>
          <w:iCs/>
        </w:rPr>
        <w:t xml:space="preserve"> </w:t>
      </w:r>
      <w:r w:rsidRPr="00EA59C0">
        <w:rPr>
          <w:iCs/>
        </w:rPr>
        <w:t>seven</w:t>
      </w:r>
      <w:r w:rsidR="00C026A6" w:rsidRPr="00EA59C0">
        <w:rPr>
          <w:iCs/>
        </w:rPr>
        <w:t xml:space="preserve"> </w:t>
      </w:r>
      <w:r w:rsidRPr="00EA59C0">
        <w:rPr>
          <w:iCs/>
        </w:rPr>
        <w:t>days</w:t>
      </w:r>
      <w:r w:rsidR="00C026A6" w:rsidRPr="00EA59C0">
        <w:rPr>
          <w:iCs/>
        </w:rPr>
        <w:t xml:space="preserve"> </w:t>
      </w:r>
      <w:r w:rsidRPr="00EA59C0">
        <w:rPr>
          <w:iCs/>
        </w:rPr>
        <w:t>a</w:t>
      </w:r>
      <w:r w:rsidR="00C026A6" w:rsidRPr="00EA59C0">
        <w:rPr>
          <w:iCs/>
        </w:rPr>
        <w:t xml:space="preserve"> </w:t>
      </w:r>
      <w:r w:rsidRPr="00EA59C0">
        <w:rPr>
          <w:iCs/>
        </w:rPr>
        <w:t>week.</w:t>
      </w:r>
      <w:r w:rsidR="00C026A6" w:rsidRPr="00EA59C0">
        <w:rPr>
          <w:iCs/>
        </w:rPr>
        <w:t xml:space="preserve">  </w:t>
      </w:r>
      <w:r w:rsidRPr="00EA59C0">
        <w:rPr>
          <w:iCs/>
        </w:rPr>
        <w:t>It</w:t>
      </w:r>
      <w:r w:rsidR="00C026A6" w:rsidRPr="00EA59C0">
        <w:rPr>
          <w:iCs/>
        </w:rPr>
        <w:t xml:space="preserve"> </w:t>
      </w:r>
      <w:r w:rsidRPr="00EA59C0">
        <w:rPr>
          <w:iCs/>
        </w:rPr>
        <w:t>is</w:t>
      </w:r>
      <w:r w:rsidR="00C026A6" w:rsidRPr="00EA59C0">
        <w:rPr>
          <w:iCs/>
        </w:rPr>
        <w:t xml:space="preserve"> </w:t>
      </w:r>
      <w:r w:rsidRPr="00EA59C0">
        <w:rPr>
          <w:iCs/>
        </w:rPr>
        <w:t>closed</w:t>
      </w:r>
      <w:r w:rsidR="00C026A6" w:rsidRPr="00EA59C0">
        <w:rPr>
          <w:iCs/>
        </w:rPr>
        <w:t xml:space="preserve"> </w:t>
      </w:r>
      <w:r w:rsidRPr="00EA59C0">
        <w:rPr>
          <w:iCs/>
        </w:rPr>
        <w:t>on</w:t>
      </w:r>
      <w:r w:rsidR="00C026A6" w:rsidRPr="00EA59C0">
        <w:rPr>
          <w:iCs/>
        </w:rPr>
        <w:t xml:space="preserve"> </w:t>
      </w:r>
      <w:r w:rsidR="00585049" w:rsidRPr="00EA59C0">
        <w:rPr>
          <w:iCs/>
        </w:rPr>
        <w:t>F</w:t>
      </w:r>
      <w:r w:rsidRPr="00EA59C0">
        <w:rPr>
          <w:iCs/>
        </w:rPr>
        <w:t>ederal</w:t>
      </w:r>
      <w:r w:rsidR="00C026A6" w:rsidRPr="00EA59C0">
        <w:rPr>
          <w:iCs/>
        </w:rPr>
        <w:t xml:space="preserve"> </w:t>
      </w:r>
      <w:r w:rsidRPr="00EA59C0">
        <w:rPr>
          <w:iCs/>
        </w:rPr>
        <w:t>holidays.</w:t>
      </w:r>
    </w:p>
    <w:p w:rsidR="00727E40" w:rsidRPr="00EA59C0" w:rsidRDefault="00727E40" w:rsidP="00C072FA">
      <w:pPr>
        <w:autoSpaceDE w:val="0"/>
        <w:autoSpaceDN w:val="0"/>
        <w:adjustRightInd w:val="0"/>
        <w:ind w:left="720"/>
        <w:rPr>
          <w:iCs/>
        </w:rPr>
      </w:pPr>
    </w:p>
    <w:p w:rsidR="007470AB" w:rsidRPr="00EA59C0" w:rsidRDefault="007470AB" w:rsidP="00C072FA">
      <w:pPr>
        <w:autoSpaceDE w:val="0"/>
        <w:autoSpaceDN w:val="0"/>
        <w:adjustRightInd w:val="0"/>
        <w:ind w:left="720"/>
        <w:rPr>
          <w:iCs/>
        </w:rPr>
      </w:pPr>
      <w:r w:rsidRPr="00EA59C0">
        <w:rPr>
          <w:b/>
          <w:iCs/>
        </w:rPr>
        <w:t>Late</w:t>
      </w:r>
      <w:r w:rsidR="00C026A6" w:rsidRPr="00EA59C0">
        <w:rPr>
          <w:b/>
          <w:iCs/>
        </w:rPr>
        <w:t xml:space="preserve"> </w:t>
      </w:r>
      <w:r w:rsidRPr="00EA59C0">
        <w:rPr>
          <w:b/>
          <w:iCs/>
        </w:rPr>
        <w:t>Applications:</w:t>
      </w:r>
      <w:r w:rsidR="00C026A6" w:rsidRPr="00EA59C0">
        <w:rPr>
          <w:iCs/>
        </w:rPr>
        <w:t xml:space="preserve"> </w:t>
      </w:r>
      <w:r w:rsidRPr="00EA59C0">
        <w:rPr>
          <w:iCs/>
        </w:rPr>
        <w:t>For</w:t>
      </w:r>
      <w:r w:rsidR="00C026A6" w:rsidRPr="00EA59C0">
        <w:rPr>
          <w:iCs/>
        </w:rPr>
        <w:t xml:space="preserve"> </w:t>
      </w:r>
      <w:r w:rsidRPr="00EA59C0">
        <w:rPr>
          <w:iCs/>
        </w:rPr>
        <w:t>applications</w:t>
      </w:r>
      <w:r w:rsidR="00C026A6" w:rsidRPr="00EA59C0">
        <w:rPr>
          <w:iCs/>
        </w:rPr>
        <w:t xml:space="preserve"> </w:t>
      </w:r>
      <w:r w:rsidRPr="00EA59C0">
        <w:rPr>
          <w:iCs/>
        </w:rPr>
        <w:t>submitted</w:t>
      </w:r>
      <w:r w:rsidR="00C026A6" w:rsidRPr="00EA59C0">
        <w:rPr>
          <w:iCs/>
        </w:rPr>
        <w:t xml:space="preserve"> </w:t>
      </w:r>
      <w:r w:rsidRPr="00EA59C0">
        <w:rPr>
          <w:iCs/>
        </w:rPr>
        <w:t>on</w:t>
      </w:r>
      <w:r w:rsidR="00C026A6" w:rsidRPr="00EA59C0">
        <w:rPr>
          <w:iCs/>
        </w:rPr>
        <w:t xml:space="preserve"> </w:t>
      </w:r>
      <w:r w:rsidRPr="00EA59C0">
        <w:rPr>
          <w:iCs/>
        </w:rPr>
        <w:t>Grants.gov,</w:t>
      </w:r>
      <w:r w:rsidR="00C026A6" w:rsidRPr="00EA59C0">
        <w:rPr>
          <w:iCs/>
        </w:rPr>
        <w:t xml:space="preserve"> </w:t>
      </w:r>
      <w:r w:rsidRPr="00EA59C0">
        <w:rPr>
          <w:iCs/>
        </w:rPr>
        <w:t>only</w:t>
      </w:r>
      <w:r w:rsidR="00C026A6" w:rsidRPr="00EA59C0">
        <w:rPr>
          <w:iCs/>
        </w:rPr>
        <w:t xml:space="preserve"> </w:t>
      </w:r>
      <w:r w:rsidRPr="00EA59C0">
        <w:rPr>
          <w:iCs/>
        </w:rPr>
        <w:t>applications</w:t>
      </w:r>
      <w:r w:rsidR="00C026A6" w:rsidRPr="00EA59C0">
        <w:rPr>
          <w:iCs/>
        </w:rPr>
        <w:t xml:space="preserve"> </w:t>
      </w:r>
      <w:r w:rsidRPr="00EA59C0">
        <w:rPr>
          <w:iCs/>
        </w:rPr>
        <w:t>that</w:t>
      </w:r>
      <w:r w:rsidR="00C026A6" w:rsidRPr="00EA59C0">
        <w:rPr>
          <w:iCs/>
        </w:rPr>
        <w:t xml:space="preserve"> </w:t>
      </w:r>
      <w:r w:rsidRPr="00EA59C0">
        <w:rPr>
          <w:iCs/>
        </w:rPr>
        <w:t>have</w:t>
      </w:r>
      <w:r w:rsidR="00C026A6" w:rsidRPr="00EA59C0">
        <w:rPr>
          <w:iCs/>
        </w:rPr>
        <w:t xml:space="preserve"> </w:t>
      </w:r>
      <w:r w:rsidRPr="00EA59C0">
        <w:rPr>
          <w:iCs/>
        </w:rPr>
        <w:t>been</w:t>
      </w:r>
      <w:r w:rsidR="00C026A6" w:rsidRPr="00EA59C0">
        <w:rPr>
          <w:iCs/>
        </w:rPr>
        <w:t xml:space="preserve"> </w:t>
      </w:r>
      <w:r w:rsidRPr="00EA59C0">
        <w:rPr>
          <w:iCs/>
        </w:rPr>
        <w:t>successfully</w:t>
      </w:r>
      <w:r w:rsidR="00C026A6" w:rsidRPr="00EA59C0">
        <w:rPr>
          <w:iCs/>
        </w:rPr>
        <w:t xml:space="preserve"> </w:t>
      </w:r>
      <w:r w:rsidRPr="00EA59C0">
        <w:rPr>
          <w:iCs/>
        </w:rPr>
        <w:t>submitted</w:t>
      </w:r>
      <w:r w:rsidR="00C026A6" w:rsidRPr="00EA59C0">
        <w:rPr>
          <w:iCs/>
        </w:rPr>
        <w:t xml:space="preserve"> </w:t>
      </w:r>
      <w:r w:rsidRPr="00EA59C0">
        <w:rPr>
          <w:iCs/>
        </w:rPr>
        <w:t>no</w:t>
      </w:r>
      <w:r w:rsidR="00C026A6" w:rsidRPr="00EA59C0">
        <w:rPr>
          <w:iCs/>
        </w:rPr>
        <w:t xml:space="preserve"> </w:t>
      </w:r>
      <w:r w:rsidRPr="00EA59C0">
        <w:rPr>
          <w:iCs/>
        </w:rPr>
        <w:t>later</w:t>
      </w:r>
      <w:r w:rsidR="00C026A6" w:rsidRPr="00EA59C0">
        <w:rPr>
          <w:iCs/>
        </w:rPr>
        <w:t xml:space="preserve"> </w:t>
      </w:r>
      <w:r w:rsidRPr="00EA59C0">
        <w:rPr>
          <w:iCs/>
        </w:rPr>
        <w:t>than</w:t>
      </w:r>
      <w:r w:rsidR="00C026A6" w:rsidRPr="00EA59C0">
        <w:rPr>
          <w:iCs/>
        </w:rPr>
        <w:t xml:space="preserve"> </w:t>
      </w:r>
      <w:r w:rsidRPr="00EA59C0">
        <w:rPr>
          <w:iCs/>
        </w:rPr>
        <w:t>4:00</w:t>
      </w:r>
      <w:r w:rsidR="00C026A6" w:rsidRPr="00EA59C0">
        <w:rPr>
          <w:iCs/>
        </w:rPr>
        <w:t xml:space="preserve"> </w:t>
      </w:r>
      <w:r w:rsidRPr="00EA59C0">
        <w:rPr>
          <w:iCs/>
        </w:rPr>
        <w:t>p.m.</w:t>
      </w:r>
      <w:r w:rsidR="00C026A6" w:rsidRPr="00EA59C0">
        <w:rPr>
          <w:iCs/>
        </w:rPr>
        <w:t xml:space="preserve"> </w:t>
      </w:r>
      <w:r w:rsidRPr="00EA59C0">
        <w:rPr>
          <w:iCs/>
        </w:rPr>
        <w:t>Eastern</w:t>
      </w:r>
      <w:r w:rsidR="00C026A6" w:rsidRPr="00EA59C0">
        <w:rPr>
          <w:iCs/>
        </w:rPr>
        <w:t xml:space="preserve"> </w:t>
      </w:r>
      <w:r w:rsidRPr="00EA59C0">
        <w:rPr>
          <w:iCs/>
        </w:rPr>
        <w:t>Time</w:t>
      </w:r>
      <w:r w:rsidR="00C026A6" w:rsidRPr="00EA59C0">
        <w:rPr>
          <w:iCs/>
        </w:rPr>
        <w:t xml:space="preserve"> </w:t>
      </w:r>
      <w:r w:rsidRPr="00EA59C0">
        <w:rPr>
          <w:iCs/>
        </w:rPr>
        <w:t>on</w:t>
      </w:r>
      <w:r w:rsidR="00C026A6" w:rsidRPr="00EA59C0">
        <w:rPr>
          <w:iCs/>
        </w:rPr>
        <w:t xml:space="preserve"> </w:t>
      </w:r>
      <w:r w:rsidRPr="00EA59C0">
        <w:rPr>
          <w:iCs/>
        </w:rPr>
        <w:t>the</w:t>
      </w:r>
      <w:r w:rsidR="00C026A6" w:rsidRPr="00EA59C0">
        <w:rPr>
          <w:iCs/>
        </w:rPr>
        <w:t xml:space="preserve"> </w:t>
      </w:r>
      <w:r w:rsidRPr="00EA59C0">
        <w:rPr>
          <w:iCs/>
        </w:rPr>
        <w:t>closing</w:t>
      </w:r>
      <w:r w:rsidR="00C026A6" w:rsidRPr="00EA59C0">
        <w:rPr>
          <w:iCs/>
        </w:rPr>
        <w:t xml:space="preserve"> </w:t>
      </w:r>
      <w:r w:rsidRPr="00EA59C0">
        <w:rPr>
          <w:iCs/>
        </w:rPr>
        <w:t>date</w:t>
      </w:r>
      <w:r w:rsidR="00C026A6" w:rsidRPr="00EA59C0">
        <w:rPr>
          <w:iCs/>
        </w:rPr>
        <w:t xml:space="preserve"> </w:t>
      </w:r>
      <w:r w:rsidRPr="00EA59C0">
        <w:rPr>
          <w:iCs/>
        </w:rPr>
        <w:t>and</w:t>
      </w:r>
      <w:r w:rsidR="00C026A6" w:rsidRPr="00EA59C0">
        <w:rPr>
          <w:iCs/>
        </w:rPr>
        <w:t xml:space="preserve"> </w:t>
      </w:r>
      <w:r w:rsidRPr="00EA59C0">
        <w:rPr>
          <w:iCs/>
        </w:rPr>
        <w:t>then</w:t>
      </w:r>
      <w:r w:rsidR="00C026A6" w:rsidRPr="00EA59C0">
        <w:rPr>
          <w:iCs/>
        </w:rPr>
        <w:t xml:space="preserve"> </w:t>
      </w:r>
      <w:r w:rsidRPr="00EA59C0">
        <w:rPr>
          <w:iCs/>
        </w:rPr>
        <w:t>successfully</w:t>
      </w:r>
      <w:r w:rsidR="00C026A6" w:rsidRPr="00EA59C0">
        <w:rPr>
          <w:iCs/>
        </w:rPr>
        <w:t xml:space="preserve"> </w:t>
      </w:r>
      <w:r w:rsidRPr="00EA59C0">
        <w:rPr>
          <w:iCs/>
        </w:rPr>
        <w:t>validated</w:t>
      </w:r>
      <w:r w:rsidR="00C026A6" w:rsidRPr="00EA59C0">
        <w:rPr>
          <w:iCs/>
        </w:rPr>
        <w:t xml:space="preserve"> </w:t>
      </w:r>
      <w:r w:rsidRPr="00EA59C0">
        <w:rPr>
          <w:iCs/>
        </w:rPr>
        <w:t>will</w:t>
      </w:r>
      <w:r w:rsidR="00C026A6" w:rsidRPr="00EA59C0">
        <w:rPr>
          <w:iCs/>
        </w:rPr>
        <w:t xml:space="preserve"> </w:t>
      </w:r>
      <w:r w:rsidRPr="00EA59C0">
        <w:rPr>
          <w:iCs/>
        </w:rPr>
        <w:t>be</w:t>
      </w:r>
      <w:r w:rsidR="00C026A6" w:rsidRPr="00EA59C0">
        <w:rPr>
          <w:iCs/>
        </w:rPr>
        <w:t xml:space="preserve"> </w:t>
      </w:r>
      <w:r w:rsidRPr="00EA59C0">
        <w:rPr>
          <w:iCs/>
        </w:rPr>
        <w:t>considered.</w:t>
      </w:r>
      <w:r w:rsidR="00C026A6" w:rsidRPr="00EA59C0">
        <w:rPr>
          <w:iCs/>
        </w:rPr>
        <w:t xml:space="preserve">  </w:t>
      </w:r>
      <w:r w:rsidRPr="00EA59C0">
        <w:t>Applicants</w:t>
      </w:r>
      <w:r w:rsidR="00C026A6" w:rsidRPr="00EA59C0">
        <w:t xml:space="preserve"> </w:t>
      </w:r>
      <w:r w:rsidRPr="00EA59C0">
        <w:t>take</w:t>
      </w:r>
      <w:r w:rsidR="00C026A6" w:rsidRPr="00EA59C0">
        <w:t xml:space="preserve"> </w:t>
      </w:r>
      <w:r w:rsidRPr="00EA59C0">
        <w:t>a</w:t>
      </w:r>
      <w:r w:rsidR="00C026A6" w:rsidRPr="00EA59C0">
        <w:t xml:space="preserve"> </w:t>
      </w:r>
      <w:r w:rsidRPr="00EA59C0">
        <w:t>significant</w:t>
      </w:r>
      <w:r w:rsidR="00C026A6" w:rsidRPr="00EA59C0">
        <w:t xml:space="preserve"> </w:t>
      </w:r>
      <w:r w:rsidRPr="00EA59C0">
        <w:t>risk</w:t>
      </w:r>
      <w:r w:rsidR="00C026A6" w:rsidRPr="00EA59C0">
        <w:t xml:space="preserve"> </w:t>
      </w:r>
      <w:r w:rsidRPr="00EA59C0">
        <w:t>by</w:t>
      </w:r>
      <w:r w:rsidR="00C026A6" w:rsidRPr="00EA59C0">
        <w:t xml:space="preserve"> </w:t>
      </w:r>
      <w:r w:rsidRPr="00EA59C0">
        <w:t>waiting</w:t>
      </w:r>
      <w:r w:rsidR="00C026A6" w:rsidRPr="00EA59C0">
        <w:t xml:space="preserve"> </w:t>
      </w:r>
      <w:r w:rsidRPr="00EA59C0">
        <w:t>to</w:t>
      </w:r>
      <w:r w:rsidR="00C026A6" w:rsidRPr="00EA59C0">
        <w:t xml:space="preserve"> </w:t>
      </w:r>
      <w:r w:rsidRPr="00EA59C0">
        <w:t>the</w:t>
      </w:r>
      <w:r w:rsidR="00C026A6" w:rsidRPr="00EA59C0">
        <w:t xml:space="preserve"> </w:t>
      </w:r>
      <w:r w:rsidRPr="00EA59C0">
        <w:t>last</w:t>
      </w:r>
      <w:r w:rsidR="00C026A6" w:rsidRPr="00EA59C0">
        <w:t xml:space="preserve"> </w:t>
      </w:r>
      <w:r w:rsidRPr="00EA59C0">
        <w:t>day</w:t>
      </w:r>
      <w:r w:rsidR="00C026A6" w:rsidRPr="00EA59C0">
        <w:t xml:space="preserve"> </w:t>
      </w:r>
      <w:r w:rsidRPr="00EA59C0">
        <w:t>to</w:t>
      </w:r>
      <w:r w:rsidR="00C026A6" w:rsidRPr="00EA59C0">
        <w:t xml:space="preserve"> </w:t>
      </w:r>
      <w:r w:rsidRPr="00EA59C0">
        <w:t>submit</w:t>
      </w:r>
      <w:r w:rsidR="00C026A6" w:rsidRPr="00EA59C0">
        <w:t xml:space="preserve"> </w:t>
      </w:r>
      <w:r w:rsidR="00727E40" w:rsidRPr="00EA59C0">
        <w:t>through</w:t>
      </w:r>
      <w:r w:rsidR="00C026A6" w:rsidRPr="00EA59C0">
        <w:t xml:space="preserve"> </w:t>
      </w:r>
      <w:r w:rsidRPr="00EA59C0">
        <w:t>Grants.gov.</w:t>
      </w:r>
    </w:p>
    <w:p w:rsidR="00144DF0" w:rsidRPr="00EA59C0" w:rsidRDefault="00144DF0" w:rsidP="00C072FA">
      <w:pPr>
        <w:widowControl w:val="0"/>
        <w:shd w:val="clear" w:color="auto" w:fill="FFFFFF"/>
        <w:adjustRightInd w:val="0"/>
        <w:ind w:left="720"/>
        <w:textAlignment w:val="baseline"/>
      </w:pPr>
    </w:p>
    <w:p w:rsidR="00144DF0" w:rsidRPr="00EA59C0" w:rsidRDefault="007470AB" w:rsidP="00C072FA">
      <w:pPr>
        <w:widowControl w:val="0"/>
        <w:shd w:val="clear" w:color="auto" w:fill="FFFFFF"/>
        <w:adjustRightInd w:val="0"/>
        <w:ind w:left="720"/>
        <w:textAlignment w:val="baseline"/>
      </w:pPr>
      <w:r w:rsidRPr="00EA59C0">
        <w:t>Any</w:t>
      </w:r>
      <w:r w:rsidR="00C026A6" w:rsidRPr="00EA59C0">
        <w:t xml:space="preserve"> </w:t>
      </w:r>
      <w:r w:rsidRPr="00EA59C0">
        <w:t>hard</w:t>
      </w:r>
      <w:r w:rsidR="00C026A6" w:rsidRPr="00EA59C0">
        <w:t xml:space="preserve"> </w:t>
      </w:r>
      <w:r w:rsidRPr="00EA59C0">
        <w:t>copy</w:t>
      </w:r>
      <w:r w:rsidR="00C026A6" w:rsidRPr="00EA59C0">
        <w:t xml:space="preserve"> </w:t>
      </w:r>
      <w:r w:rsidRPr="00EA59C0">
        <w:t>application</w:t>
      </w:r>
      <w:r w:rsidR="00C026A6" w:rsidRPr="00EA59C0">
        <w:t xml:space="preserve"> </w:t>
      </w:r>
      <w:r w:rsidRPr="00EA59C0">
        <w:t>received</w:t>
      </w:r>
      <w:r w:rsidR="00C026A6" w:rsidRPr="00EA59C0">
        <w:t xml:space="preserve"> </w:t>
      </w:r>
      <w:r w:rsidRPr="00EA59C0">
        <w:t>after</w:t>
      </w:r>
      <w:r w:rsidR="00C026A6" w:rsidRPr="00EA59C0">
        <w:t xml:space="preserve"> </w:t>
      </w:r>
      <w:r w:rsidRPr="00EA59C0">
        <w:t>the</w:t>
      </w:r>
      <w:r w:rsidR="00C026A6" w:rsidRPr="00EA59C0">
        <w:t xml:space="preserve"> </w:t>
      </w:r>
      <w:r w:rsidRPr="00EA59C0">
        <w:t>exact</w:t>
      </w:r>
      <w:r w:rsidR="00C026A6" w:rsidRPr="00EA59C0">
        <w:t xml:space="preserve"> </w:t>
      </w:r>
      <w:r w:rsidRPr="00EA59C0">
        <w:t>date</w:t>
      </w:r>
      <w:r w:rsidR="00C026A6" w:rsidRPr="00EA59C0">
        <w:t xml:space="preserve"> </w:t>
      </w:r>
      <w:r w:rsidRPr="00EA59C0">
        <w:t>and</w:t>
      </w:r>
      <w:r w:rsidR="00C026A6" w:rsidRPr="00EA59C0">
        <w:t xml:space="preserve"> </w:t>
      </w:r>
      <w:r w:rsidRPr="00EA59C0">
        <w:t>time</w:t>
      </w:r>
      <w:r w:rsidR="00C026A6" w:rsidRPr="00EA59C0">
        <w:t xml:space="preserve"> </w:t>
      </w:r>
      <w:r w:rsidRPr="00EA59C0">
        <w:t>specified</w:t>
      </w:r>
      <w:r w:rsidR="00C026A6" w:rsidRPr="00EA59C0">
        <w:t xml:space="preserve"> </w:t>
      </w:r>
      <w:r w:rsidRPr="00EA59C0">
        <w:t>for</w:t>
      </w:r>
      <w:r w:rsidR="00C026A6" w:rsidRPr="00EA59C0">
        <w:t xml:space="preserve"> </w:t>
      </w:r>
      <w:r w:rsidRPr="00EA59C0">
        <w:t>receipt</w:t>
      </w:r>
      <w:r w:rsidR="00C026A6" w:rsidRPr="00EA59C0">
        <w:t xml:space="preserve"> </w:t>
      </w:r>
      <w:r w:rsidRPr="00EA59C0">
        <w:t>at</w:t>
      </w:r>
      <w:r w:rsidR="00C026A6" w:rsidRPr="00EA59C0">
        <w:t xml:space="preserve"> </w:t>
      </w:r>
      <w:r w:rsidRPr="00EA59C0">
        <w:t>the</w:t>
      </w:r>
      <w:r w:rsidR="00C026A6" w:rsidRPr="00EA59C0">
        <w:t xml:space="preserve"> </w:t>
      </w:r>
      <w:r w:rsidRPr="00EA59C0">
        <w:t>office</w:t>
      </w:r>
      <w:r w:rsidR="00C026A6" w:rsidRPr="00EA59C0">
        <w:t xml:space="preserve"> </w:t>
      </w:r>
      <w:r w:rsidRPr="00EA59C0">
        <w:t>designated</w:t>
      </w:r>
      <w:r w:rsidR="00C026A6" w:rsidRPr="00EA59C0">
        <w:t xml:space="preserve"> </w:t>
      </w:r>
      <w:r w:rsidRPr="00EA59C0">
        <w:t>in</w:t>
      </w:r>
      <w:r w:rsidR="00C026A6" w:rsidRPr="00EA59C0">
        <w:t xml:space="preserve"> </w:t>
      </w:r>
      <w:r w:rsidRPr="00EA59C0">
        <w:t>this</w:t>
      </w:r>
      <w:r w:rsidR="00C026A6" w:rsidRPr="00EA59C0">
        <w:t xml:space="preserve"> </w:t>
      </w:r>
      <w:r w:rsidRPr="00EA59C0">
        <w:t>notice</w:t>
      </w:r>
      <w:r w:rsidR="00C026A6" w:rsidRPr="00EA59C0">
        <w:t xml:space="preserve"> </w:t>
      </w:r>
      <w:r w:rsidRPr="00EA59C0">
        <w:t>will</w:t>
      </w:r>
      <w:r w:rsidR="00C026A6" w:rsidRPr="00EA59C0">
        <w:t xml:space="preserve"> </w:t>
      </w:r>
      <w:r w:rsidRPr="00EA59C0">
        <w:t>not</w:t>
      </w:r>
      <w:r w:rsidR="00C026A6" w:rsidRPr="00EA59C0">
        <w:t xml:space="preserve"> </w:t>
      </w:r>
      <w:r w:rsidRPr="00EA59C0">
        <w:t>be</w:t>
      </w:r>
      <w:r w:rsidR="00C026A6" w:rsidRPr="00EA59C0">
        <w:t xml:space="preserve"> </w:t>
      </w:r>
      <w:r w:rsidRPr="00EA59C0">
        <w:t>considered,</w:t>
      </w:r>
      <w:r w:rsidR="00C026A6" w:rsidRPr="00EA59C0">
        <w:t xml:space="preserve"> </w:t>
      </w:r>
      <w:r w:rsidRPr="00EA59C0">
        <w:t>unless</w:t>
      </w:r>
      <w:r w:rsidR="00C026A6" w:rsidRPr="00EA59C0">
        <w:t xml:space="preserve"> </w:t>
      </w:r>
      <w:r w:rsidRPr="00EA59C0">
        <w:t>it</w:t>
      </w:r>
      <w:r w:rsidR="00C026A6" w:rsidRPr="00EA59C0">
        <w:t xml:space="preserve"> </w:t>
      </w:r>
      <w:r w:rsidRPr="00EA59C0">
        <w:t>is</w:t>
      </w:r>
      <w:r w:rsidR="00C026A6" w:rsidRPr="00EA59C0">
        <w:t xml:space="preserve"> </w:t>
      </w:r>
      <w:r w:rsidRPr="00EA59C0">
        <w:t>received</w:t>
      </w:r>
      <w:r w:rsidR="00C026A6" w:rsidRPr="00EA59C0">
        <w:t xml:space="preserve"> </w:t>
      </w:r>
      <w:r w:rsidRPr="00EA59C0">
        <w:t>before</w:t>
      </w:r>
      <w:r w:rsidR="00C026A6" w:rsidRPr="00EA59C0">
        <w:t xml:space="preserve"> </w:t>
      </w:r>
      <w:r w:rsidRPr="00EA59C0">
        <w:t>awards</w:t>
      </w:r>
      <w:r w:rsidR="00C026A6" w:rsidRPr="00EA59C0">
        <w:t xml:space="preserve"> </w:t>
      </w:r>
      <w:r w:rsidRPr="00EA59C0">
        <w:t>are</w:t>
      </w:r>
      <w:r w:rsidR="00C026A6" w:rsidRPr="00EA59C0">
        <w:t xml:space="preserve"> </w:t>
      </w:r>
      <w:r w:rsidRPr="00EA59C0">
        <w:t>made,</w:t>
      </w:r>
      <w:r w:rsidR="00C026A6" w:rsidRPr="00EA59C0">
        <w:t xml:space="preserve"> </w:t>
      </w:r>
      <w:r w:rsidRPr="00EA59C0">
        <w:t>it</w:t>
      </w:r>
      <w:r w:rsidR="00C026A6" w:rsidRPr="00EA59C0">
        <w:t xml:space="preserve"> </w:t>
      </w:r>
      <w:r w:rsidRPr="00EA59C0">
        <w:t>was</w:t>
      </w:r>
      <w:r w:rsidR="00C026A6" w:rsidRPr="00EA59C0">
        <w:t xml:space="preserve"> </w:t>
      </w:r>
      <w:r w:rsidRPr="00EA59C0">
        <w:t>properly</w:t>
      </w:r>
      <w:r w:rsidR="00C026A6" w:rsidRPr="00EA59C0">
        <w:t xml:space="preserve"> </w:t>
      </w:r>
      <w:r w:rsidRPr="00EA59C0">
        <w:t>addressed,</w:t>
      </w:r>
      <w:r w:rsidR="00C026A6" w:rsidRPr="00EA59C0">
        <w:t xml:space="preserve"> </w:t>
      </w:r>
      <w:r w:rsidRPr="00EA59C0">
        <w:t>and</w:t>
      </w:r>
      <w:r w:rsidR="00C026A6" w:rsidRPr="00EA59C0">
        <w:t xml:space="preserve"> </w:t>
      </w:r>
      <w:r w:rsidRPr="00EA59C0">
        <w:t>it</w:t>
      </w:r>
      <w:r w:rsidR="00C026A6" w:rsidRPr="00EA59C0">
        <w:t xml:space="preserve"> </w:t>
      </w:r>
      <w:r w:rsidRPr="00EA59C0">
        <w:t>was:</w:t>
      </w:r>
      <w:r w:rsidR="00C026A6" w:rsidRPr="00EA59C0">
        <w:t xml:space="preserve">  </w:t>
      </w:r>
      <w:r w:rsidRPr="00EA59C0">
        <w:t>(a)</w:t>
      </w:r>
      <w:r w:rsidR="00C026A6" w:rsidRPr="00EA59C0">
        <w:t xml:space="preserve"> </w:t>
      </w:r>
      <w:r w:rsidRPr="00EA59C0">
        <w:t>sent</w:t>
      </w:r>
      <w:r w:rsidR="00C026A6" w:rsidRPr="00EA59C0">
        <w:t xml:space="preserve"> </w:t>
      </w:r>
      <w:r w:rsidRPr="00EA59C0">
        <w:t>by</w:t>
      </w:r>
      <w:r w:rsidR="00C026A6" w:rsidRPr="00EA59C0">
        <w:t xml:space="preserve"> </w:t>
      </w:r>
      <w:r w:rsidRPr="00EA59C0">
        <w:t>U.S.</w:t>
      </w:r>
      <w:r w:rsidR="00C026A6" w:rsidRPr="00EA59C0">
        <w:t xml:space="preserve"> </w:t>
      </w:r>
      <w:r w:rsidRPr="00EA59C0">
        <w:t>Postal</w:t>
      </w:r>
      <w:r w:rsidR="00C026A6" w:rsidRPr="00EA59C0">
        <w:t xml:space="preserve"> </w:t>
      </w:r>
      <w:r w:rsidRPr="00EA59C0">
        <w:t>Service</w:t>
      </w:r>
      <w:r w:rsidR="00C026A6" w:rsidRPr="00EA59C0">
        <w:t xml:space="preserve"> </w:t>
      </w:r>
      <w:r w:rsidRPr="00EA59C0">
        <w:t>mail,</w:t>
      </w:r>
      <w:r w:rsidR="00C026A6" w:rsidRPr="00EA59C0">
        <w:t xml:space="preserve"> </w:t>
      </w:r>
      <w:r w:rsidRPr="00EA59C0">
        <w:t>postmarked</w:t>
      </w:r>
      <w:r w:rsidR="00C026A6" w:rsidRPr="00EA59C0">
        <w:t xml:space="preserve"> </w:t>
      </w:r>
      <w:r w:rsidRPr="00EA59C0">
        <w:t>not</w:t>
      </w:r>
      <w:r w:rsidR="00C026A6" w:rsidRPr="00EA59C0">
        <w:t xml:space="preserve"> </w:t>
      </w:r>
      <w:r w:rsidRPr="00EA59C0">
        <w:t>later</w:t>
      </w:r>
      <w:r w:rsidR="00C026A6" w:rsidRPr="00EA59C0">
        <w:t xml:space="preserve"> </w:t>
      </w:r>
      <w:r w:rsidRPr="00EA59C0">
        <w:t>than</w:t>
      </w:r>
      <w:r w:rsidR="00C026A6" w:rsidRPr="00EA59C0">
        <w:t xml:space="preserve"> </w:t>
      </w:r>
      <w:r w:rsidRPr="00EA59C0">
        <w:t>the</w:t>
      </w:r>
      <w:r w:rsidR="00C026A6" w:rsidRPr="00EA59C0">
        <w:t xml:space="preserve"> </w:t>
      </w:r>
      <w:r w:rsidRPr="00EA59C0">
        <w:t>fifth</w:t>
      </w:r>
      <w:r w:rsidR="00C026A6" w:rsidRPr="00EA59C0">
        <w:t xml:space="preserve"> </w:t>
      </w:r>
      <w:r w:rsidRPr="00EA59C0">
        <w:t>calendar</w:t>
      </w:r>
      <w:r w:rsidR="00C026A6" w:rsidRPr="00EA59C0">
        <w:t xml:space="preserve"> </w:t>
      </w:r>
      <w:r w:rsidRPr="00EA59C0">
        <w:t>day</w:t>
      </w:r>
      <w:r w:rsidR="00C026A6" w:rsidRPr="00EA59C0">
        <w:t xml:space="preserve"> </w:t>
      </w:r>
      <w:r w:rsidRPr="00EA59C0">
        <w:t>before</w:t>
      </w:r>
      <w:r w:rsidR="00C026A6" w:rsidRPr="00EA59C0">
        <w:t xml:space="preserve"> </w:t>
      </w:r>
      <w:r w:rsidRPr="00EA59C0">
        <w:t>the</w:t>
      </w:r>
      <w:r w:rsidR="00C026A6" w:rsidRPr="00EA59C0">
        <w:t xml:space="preserve"> </w:t>
      </w:r>
      <w:r w:rsidRPr="00EA59C0">
        <w:t>date</w:t>
      </w:r>
      <w:r w:rsidR="00C026A6" w:rsidRPr="00EA59C0">
        <w:t xml:space="preserve"> </w:t>
      </w:r>
      <w:r w:rsidRPr="00EA59C0">
        <w:t>specified</w:t>
      </w:r>
      <w:r w:rsidR="00C026A6" w:rsidRPr="00EA59C0">
        <w:t xml:space="preserve"> </w:t>
      </w:r>
      <w:r w:rsidRPr="00EA59C0">
        <w:t>for</w:t>
      </w:r>
      <w:r w:rsidR="00C026A6" w:rsidRPr="00EA59C0">
        <w:t xml:space="preserve"> </w:t>
      </w:r>
      <w:r w:rsidRPr="00EA59C0">
        <w:t>receipt</w:t>
      </w:r>
      <w:r w:rsidR="00C026A6" w:rsidRPr="00EA59C0">
        <w:t xml:space="preserve"> </w:t>
      </w:r>
      <w:r w:rsidRPr="00EA59C0">
        <w:t>of</w:t>
      </w:r>
      <w:r w:rsidR="00C026A6" w:rsidRPr="00EA59C0">
        <w:t xml:space="preserve"> </w:t>
      </w:r>
      <w:r w:rsidRPr="00EA59C0">
        <w:t>applications</w:t>
      </w:r>
      <w:r w:rsidR="00C026A6" w:rsidRPr="00EA59C0">
        <w:t xml:space="preserve"> </w:t>
      </w:r>
      <w:r w:rsidRPr="00EA59C0">
        <w:t>(e.g.,</w:t>
      </w:r>
      <w:r w:rsidR="00C026A6" w:rsidRPr="00EA59C0">
        <w:t xml:space="preserve"> </w:t>
      </w:r>
      <w:r w:rsidRPr="00EA59C0">
        <w:t>an</w:t>
      </w:r>
      <w:r w:rsidR="00C026A6" w:rsidRPr="00EA59C0">
        <w:t xml:space="preserve"> </w:t>
      </w:r>
      <w:r w:rsidRPr="00EA59C0">
        <w:t>application</w:t>
      </w:r>
      <w:r w:rsidR="00C026A6" w:rsidRPr="00EA59C0">
        <w:t xml:space="preserve"> </w:t>
      </w:r>
      <w:r w:rsidRPr="00EA59C0">
        <w:t>required</w:t>
      </w:r>
      <w:r w:rsidR="00C026A6" w:rsidRPr="00EA59C0">
        <w:t xml:space="preserve"> </w:t>
      </w:r>
      <w:r w:rsidRPr="00EA59C0">
        <w:t>to</w:t>
      </w:r>
      <w:r w:rsidR="00C026A6" w:rsidRPr="00EA59C0">
        <w:t xml:space="preserve"> </w:t>
      </w:r>
      <w:r w:rsidRPr="00EA59C0">
        <w:t>be</w:t>
      </w:r>
      <w:r w:rsidR="00C026A6" w:rsidRPr="00EA59C0">
        <w:t xml:space="preserve"> </w:t>
      </w:r>
      <w:r w:rsidRPr="00EA59C0">
        <w:t>received</w:t>
      </w:r>
      <w:r w:rsidR="00C026A6" w:rsidRPr="00EA59C0">
        <w:t xml:space="preserve"> </w:t>
      </w:r>
      <w:r w:rsidRPr="00EA59C0">
        <w:t>by</w:t>
      </w:r>
      <w:r w:rsidR="00C026A6" w:rsidRPr="00EA59C0">
        <w:t xml:space="preserve"> </w:t>
      </w:r>
      <w:r w:rsidRPr="00EA59C0">
        <w:t>the</w:t>
      </w:r>
      <w:r w:rsidR="00C026A6" w:rsidRPr="00EA59C0">
        <w:t xml:space="preserve"> </w:t>
      </w:r>
      <w:r w:rsidRPr="00EA59C0">
        <w:t>20th</w:t>
      </w:r>
      <w:r w:rsidR="00C026A6" w:rsidRPr="00EA59C0">
        <w:t xml:space="preserve"> </w:t>
      </w:r>
      <w:r w:rsidRPr="00EA59C0">
        <w:t>of</w:t>
      </w:r>
      <w:r w:rsidR="00C026A6" w:rsidRPr="00EA59C0">
        <w:t xml:space="preserve"> </w:t>
      </w:r>
      <w:r w:rsidRPr="00EA59C0">
        <w:t>the</w:t>
      </w:r>
      <w:r w:rsidR="00C026A6" w:rsidRPr="00EA59C0">
        <w:t xml:space="preserve"> </w:t>
      </w:r>
      <w:r w:rsidRPr="00EA59C0">
        <w:t>month</w:t>
      </w:r>
      <w:r w:rsidR="00C026A6" w:rsidRPr="00EA59C0">
        <w:t xml:space="preserve"> </w:t>
      </w:r>
      <w:r w:rsidRPr="00EA59C0">
        <w:t>must</w:t>
      </w:r>
      <w:r w:rsidR="00C026A6" w:rsidRPr="00EA59C0">
        <w:t xml:space="preserve"> </w:t>
      </w:r>
      <w:r w:rsidRPr="00EA59C0">
        <w:t>be</w:t>
      </w:r>
      <w:r w:rsidR="00C026A6" w:rsidRPr="00EA59C0">
        <w:t xml:space="preserve"> </w:t>
      </w:r>
      <w:r w:rsidRPr="00EA59C0">
        <w:t>postmarked</w:t>
      </w:r>
      <w:r w:rsidR="00C026A6" w:rsidRPr="00EA59C0">
        <w:t xml:space="preserve"> </w:t>
      </w:r>
      <w:r w:rsidRPr="00EA59C0">
        <w:t>by</w:t>
      </w:r>
      <w:r w:rsidR="00C026A6" w:rsidRPr="00EA59C0">
        <w:t xml:space="preserve"> </w:t>
      </w:r>
      <w:r w:rsidRPr="00EA59C0">
        <w:t>the</w:t>
      </w:r>
      <w:r w:rsidR="00C026A6" w:rsidRPr="00EA59C0">
        <w:t xml:space="preserve"> </w:t>
      </w:r>
      <w:r w:rsidRPr="00EA59C0">
        <w:t>15th</w:t>
      </w:r>
      <w:r w:rsidR="00C026A6" w:rsidRPr="00EA59C0">
        <w:t xml:space="preserve"> </w:t>
      </w:r>
      <w:r w:rsidRPr="00EA59C0">
        <w:t>of</w:t>
      </w:r>
      <w:r w:rsidR="00C026A6" w:rsidRPr="00EA59C0">
        <w:t xml:space="preserve"> </w:t>
      </w:r>
      <w:r w:rsidRPr="00EA59C0">
        <w:t>that</w:t>
      </w:r>
      <w:r w:rsidR="00C026A6" w:rsidRPr="00EA59C0">
        <w:t xml:space="preserve"> </w:t>
      </w:r>
      <w:r w:rsidRPr="00EA59C0">
        <w:t>month);</w:t>
      </w:r>
      <w:r w:rsidR="00C026A6" w:rsidRPr="00EA59C0">
        <w:t xml:space="preserve"> </w:t>
      </w:r>
      <w:r w:rsidRPr="00EA59C0">
        <w:t>or</w:t>
      </w:r>
      <w:r w:rsidR="00C026A6" w:rsidRPr="00EA59C0">
        <w:t xml:space="preserve"> </w:t>
      </w:r>
      <w:r w:rsidRPr="00EA59C0">
        <w:t>(b)</w:t>
      </w:r>
      <w:r w:rsidR="00C026A6" w:rsidRPr="00EA59C0">
        <w:t xml:space="preserve"> </w:t>
      </w:r>
      <w:r w:rsidRPr="00EA59C0">
        <w:t>sent</w:t>
      </w:r>
      <w:r w:rsidR="00C026A6" w:rsidRPr="00EA59C0">
        <w:t xml:space="preserve"> </w:t>
      </w:r>
      <w:r w:rsidRPr="00EA59C0">
        <w:t>by</w:t>
      </w:r>
      <w:r w:rsidR="00C026A6" w:rsidRPr="00EA59C0">
        <w:t xml:space="preserve"> </w:t>
      </w:r>
      <w:r w:rsidRPr="00EA59C0">
        <w:t>professional</w:t>
      </w:r>
      <w:r w:rsidR="00C026A6" w:rsidRPr="00EA59C0">
        <w:t xml:space="preserve"> </w:t>
      </w:r>
      <w:r w:rsidRPr="00EA59C0">
        <w:t>overnight</w:t>
      </w:r>
      <w:r w:rsidR="00C026A6" w:rsidRPr="00EA59C0">
        <w:t xml:space="preserve"> </w:t>
      </w:r>
      <w:r w:rsidRPr="00EA59C0">
        <w:t>delivery</w:t>
      </w:r>
      <w:r w:rsidR="00C026A6" w:rsidRPr="00EA59C0">
        <w:t xml:space="preserve"> </w:t>
      </w:r>
      <w:r w:rsidRPr="00EA59C0">
        <w:t>service</w:t>
      </w:r>
      <w:r w:rsidR="00C026A6" w:rsidRPr="00EA59C0">
        <w:t xml:space="preserve"> </w:t>
      </w:r>
      <w:r w:rsidRPr="00EA59C0">
        <w:t>to</w:t>
      </w:r>
      <w:r w:rsidR="00C026A6" w:rsidRPr="00EA59C0">
        <w:t xml:space="preserve"> </w:t>
      </w:r>
      <w:r w:rsidRPr="00EA59C0">
        <w:t>the</w:t>
      </w:r>
      <w:r w:rsidR="00C026A6" w:rsidRPr="00EA59C0">
        <w:t xml:space="preserve"> </w:t>
      </w:r>
      <w:r w:rsidRPr="00EA59C0">
        <w:t>addressee</w:t>
      </w:r>
      <w:r w:rsidR="00C026A6" w:rsidRPr="00EA59C0">
        <w:t xml:space="preserve"> </w:t>
      </w:r>
      <w:r w:rsidRPr="00EA59C0">
        <w:t>not</w:t>
      </w:r>
      <w:r w:rsidR="00C026A6" w:rsidRPr="00EA59C0">
        <w:t xml:space="preserve"> </w:t>
      </w:r>
      <w:r w:rsidRPr="00EA59C0">
        <w:t>later</w:t>
      </w:r>
      <w:r w:rsidR="00C026A6" w:rsidRPr="00EA59C0">
        <w:t xml:space="preserve"> </w:t>
      </w:r>
      <w:r w:rsidRPr="00EA59C0">
        <w:t>than</w:t>
      </w:r>
      <w:r w:rsidR="00C026A6" w:rsidRPr="00EA59C0">
        <w:t xml:space="preserve"> </w:t>
      </w:r>
      <w:r w:rsidRPr="00EA59C0">
        <w:t>one</w:t>
      </w:r>
      <w:r w:rsidR="00C026A6" w:rsidRPr="00EA59C0">
        <w:t xml:space="preserve"> </w:t>
      </w:r>
      <w:r w:rsidRPr="00EA59C0">
        <w:t>working</w:t>
      </w:r>
      <w:r w:rsidR="00C026A6" w:rsidRPr="00EA59C0">
        <w:t xml:space="preserve"> </w:t>
      </w:r>
      <w:r w:rsidRPr="00EA59C0">
        <w:t>day</w:t>
      </w:r>
      <w:r w:rsidR="00C026A6" w:rsidRPr="00EA59C0">
        <w:t xml:space="preserve"> </w:t>
      </w:r>
      <w:r w:rsidRPr="00EA59C0">
        <w:t>before</w:t>
      </w:r>
      <w:r w:rsidR="00C026A6" w:rsidRPr="00EA59C0">
        <w:t xml:space="preserve"> </w:t>
      </w:r>
      <w:r w:rsidRPr="00EA59C0">
        <w:t>the</w:t>
      </w:r>
      <w:r w:rsidR="00C026A6" w:rsidRPr="00EA59C0">
        <w:t xml:space="preserve"> </w:t>
      </w:r>
      <w:r w:rsidRPr="00EA59C0">
        <w:t>date</w:t>
      </w:r>
      <w:r w:rsidR="00C026A6" w:rsidRPr="00EA59C0">
        <w:t xml:space="preserve"> </w:t>
      </w:r>
      <w:r w:rsidRPr="00EA59C0">
        <w:t>specified</w:t>
      </w:r>
      <w:r w:rsidR="00C026A6" w:rsidRPr="00EA59C0">
        <w:t xml:space="preserve"> </w:t>
      </w:r>
      <w:r w:rsidRPr="00EA59C0">
        <w:t>for</w:t>
      </w:r>
      <w:r w:rsidR="00C026A6" w:rsidRPr="00EA59C0">
        <w:t xml:space="preserve"> </w:t>
      </w:r>
      <w:r w:rsidRPr="00EA59C0">
        <w:t>receipt</w:t>
      </w:r>
      <w:r w:rsidR="00C026A6" w:rsidRPr="00EA59C0">
        <w:t xml:space="preserve"> </w:t>
      </w:r>
      <w:r w:rsidRPr="00EA59C0">
        <w:t>of</w:t>
      </w:r>
      <w:r w:rsidR="00C026A6" w:rsidRPr="00EA59C0">
        <w:t xml:space="preserve"> </w:t>
      </w:r>
      <w:r w:rsidRPr="00EA59C0">
        <w:t>applications.</w:t>
      </w:r>
      <w:r w:rsidR="00C026A6" w:rsidRPr="00EA59C0">
        <w:t xml:space="preserve">  </w:t>
      </w:r>
      <w:r w:rsidRPr="00EA59C0">
        <w:t>‘‘Postmarked’’</w:t>
      </w:r>
      <w:r w:rsidR="00C026A6" w:rsidRPr="00EA59C0">
        <w:t xml:space="preserve"> </w:t>
      </w:r>
      <w:r w:rsidRPr="00EA59C0">
        <w:t>means</w:t>
      </w:r>
      <w:r w:rsidR="00C026A6" w:rsidRPr="00EA59C0">
        <w:t xml:space="preserve"> </w:t>
      </w:r>
      <w:r w:rsidRPr="00EA59C0">
        <w:t>a</w:t>
      </w:r>
      <w:r w:rsidR="00C026A6" w:rsidRPr="00EA59C0">
        <w:t xml:space="preserve"> </w:t>
      </w:r>
      <w:r w:rsidRPr="00EA59C0">
        <w:t>printed,</w:t>
      </w:r>
      <w:r w:rsidR="00C026A6" w:rsidRPr="00EA59C0">
        <w:t xml:space="preserve"> </w:t>
      </w:r>
      <w:r w:rsidRPr="00EA59C0">
        <w:t>stamped</w:t>
      </w:r>
      <w:r w:rsidR="00C026A6" w:rsidRPr="00EA59C0">
        <w:t xml:space="preserve"> </w:t>
      </w:r>
      <w:r w:rsidRPr="00EA59C0">
        <w:t>or</w:t>
      </w:r>
      <w:r w:rsidR="00C026A6" w:rsidRPr="00EA59C0">
        <w:t xml:space="preserve"> </w:t>
      </w:r>
      <w:r w:rsidRPr="00EA59C0">
        <w:t>otherwise</w:t>
      </w:r>
      <w:r w:rsidR="00C026A6" w:rsidRPr="00EA59C0">
        <w:t xml:space="preserve"> </w:t>
      </w:r>
      <w:r w:rsidRPr="00EA59C0">
        <w:t>placed</w:t>
      </w:r>
      <w:r w:rsidR="00C026A6" w:rsidRPr="00EA59C0">
        <w:t xml:space="preserve"> </w:t>
      </w:r>
      <w:r w:rsidRPr="00EA59C0">
        <w:t>impression</w:t>
      </w:r>
      <w:r w:rsidR="00C026A6" w:rsidRPr="00EA59C0">
        <w:t xml:space="preserve"> </w:t>
      </w:r>
      <w:r w:rsidRPr="00EA59C0">
        <w:t>(exclusive</w:t>
      </w:r>
      <w:r w:rsidR="00C026A6" w:rsidRPr="00EA59C0">
        <w:t xml:space="preserve"> </w:t>
      </w:r>
      <w:r w:rsidRPr="00EA59C0">
        <w:t>of</w:t>
      </w:r>
      <w:r w:rsidR="00C026A6" w:rsidRPr="00EA59C0">
        <w:t xml:space="preserve"> </w:t>
      </w:r>
      <w:r w:rsidRPr="00EA59C0">
        <w:t>a</w:t>
      </w:r>
      <w:r w:rsidR="00C026A6" w:rsidRPr="00EA59C0">
        <w:t xml:space="preserve"> </w:t>
      </w:r>
      <w:r w:rsidRPr="00EA59C0">
        <w:t>postage</w:t>
      </w:r>
      <w:r w:rsidR="00C026A6" w:rsidRPr="00EA59C0">
        <w:t xml:space="preserve"> </w:t>
      </w:r>
      <w:r w:rsidRPr="00EA59C0">
        <w:t>meter</w:t>
      </w:r>
      <w:r w:rsidR="00C026A6" w:rsidRPr="00EA59C0">
        <w:t xml:space="preserve"> </w:t>
      </w:r>
      <w:r w:rsidRPr="00EA59C0">
        <w:t>machine</w:t>
      </w:r>
      <w:r w:rsidR="00C026A6" w:rsidRPr="00EA59C0">
        <w:t xml:space="preserve"> </w:t>
      </w:r>
      <w:r w:rsidRPr="00EA59C0">
        <w:t>impression)</w:t>
      </w:r>
      <w:r w:rsidR="00C026A6" w:rsidRPr="00EA59C0">
        <w:t xml:space="preserve"> </w:t>
      </w:r>
      <w:r w:rsidRPr="00EA59C0">
        <w:t>that</w:t>
      </w:r>
      <w:r w:rsidR="00C026A6" w:rsidRPr="00EA59C0">
        <w:t xml:space="preserve"> </w:t>
      </w:r>
      <w:r w:rsidRPr="00EA59C0">
        <w:t>is</w:t>
      </w:r>
      <w:r w:rsidR="00C026A6" w:rsidRPr="00EA59C0">
        <w:t xml:space="preserve"> </w:t>
      </w:r>
      <w:r w:rsidRPr="00EA59C0">
        <w:t>readily</w:t>
      </w:r>
      <w:r w:rsidR="00C026A6" w:rsidRPr="00EA59C0">
        <w:t xml:space="preserve"> </w:t>
      </w:r>
      <w:r w:rsidRPr="00EA59C0">
        <w:t>identifiable,</w:t>
      </w:r>
      <w:r w:rsidR="00C026A6" w:rsidRPr="00EA59C0">
        <w:t xml:space="preserve"> </w:t>
      </w:r>
      <w:r w:rsidRPr="00EA59C0">
        <w:t>without</w:t>
      </w:r>
      <w:r w:rsidR="00C026A6" w:rsidRPr="00EA59C0">
        <w:t xml:space="preserve"> </w:t>
      </w:r>
      <w:r w:rsidRPr="00EA59C0">
        <w:t>further</w:t>
      </w:r>
      <w:r w:rsidR="00C026A6" w:rsidRPr="00EA59C0">
        <w:t xml:space="preserve"> </w:t>
      </w:r>
      <w:r w:rsidRPr="00EA59C0">
        <w:t>action,</w:t>
      </w:r>
      <w:r w:rsidR="00C026A6" w:rsidRPr="00EA59C0">
        <w:t xml:space="preserve"> </w:t>
      </w:r>
      <w:r w:rsidRPr="00EA59C0">
        <w:t>as</w:t>
      </w:r>
      <w:r w:rsidR="00C026A6" w:rsidRPr="00EA59C0">
        <w:t xml:space="preserve"> </w:t>
      </w:r>
      <w:r w:rsidRPr="00EA59C0">
        <w:t>having</w:t>
      </w:r>
      <w:r w:rsidR="00C026A6" w:rsidRPr="00EA59C0">
        <w:t xml:space="preserve"> </w:t>
      </w:r>
      <w:r w:rsidRPr="00EA59C0">
        <w:t>been</w:t>
      </w:r>
      <w:r w:rsidR="00C026A6" w:rsidRPr="00EA59C0">
        <w:t xml:space="preserve"> </w:t>
      </w:r>
      <w:r w:rsidRPr="00EA59C0">
        <w:t>supplied</w:t>
      </w:r>
      <w:r w:rsidR="00C026A6" w:rsidRPr="00EA59C0">
        <w:t xml:space="preserve"> </w:t>
      </w:r>
      <w:r w:rsidRPr="00EA59C0">
        <w:t>or</w:t>
      </w:r>
      <w:r w:rsidR="00C026A6" w:rsidRPr="00EA59C0">
        <w:t xml:space="preserve"> </w:t>
      </w:r>
      <w:r w:rsidRPr="00EA59C0">
        <w:t>affixed</w:t>
      </w:r>
      <w:r w:rsidR="00C026A6" w:rsidRPr="00EA59C0">
        <w:t xml:space="preserve"> </w:t>
      </w:r>
      <w:r w:rsidRPr="00EA59C0">
        <w:t>on</w:t>
      </w:r>
      <w:r w:rsidR="00C026A6" w:rsidRPr="00EA59C0">
        <w:t xml:space="preserve"> </w:t>
      </w:r>
      <w:r w:rsidRPr="00EA59C0">
        <w:t>the</w:t>
      </w:r>
      <w:r w:rsidR="00C026A6" w:rsidRPr="00EA59C0">
        <w:t xml:space="preserve"> </w:t>
      </w:r>
      <w:r w:rsidRPr="00EA59C0">
        <w:t>date</w:t>
      </w:r>
      <w:r w:rsidR="00C026A6" w:rsidRPr="00EA59C0">
        <w:t xml:space="preserve"> </w:t>
      </w:r>
      <w:r w:rsidRPr="00EA59C0">
        <w:t>of</w:t>
      </w:r>
      <w:r w:rsidR="00C026A6" w:rsidRPr="00EA59C0">
        <w:t xml:space="preserve"> </w:t>
      </w:r>
      <w:r w:rsidRPr="00EA59C0">
        <w:t>mailing</w:t>
      </w:r>
      <w:r w:rsidR="00C026A6" w:rsidRPr="00EA59C0">
        <w:t xml:space="preserve"> </w:t>
      </w:r>
      <w:r w:rsidRPr="00EA59C0">
        <w:t>by</w:t>
      </w:r>
      <w:r w:rsidR="00C026A6" w:rsidRPr="00EA59C0">
        <w:t xml:space="preserve"> </w:t>
      </w:r>
      <w:r w:rsidRPr="00EA59C0">
        <w:t>an</w:t>
      </w:r>
      <w:r w:rsidR="00C026A6" w:rsidRPr="00EA59C0">
        <w:t xml:space="preserve"> </w:t>
      </w:r>
      <w:r w:rsidRPr="00EA59C0">
        <w:t>employee</w:t>
      </w:r>
      <w:r w:rsidR="00C026A6" w:rsidRPr="00EA59C0">
        <w:t xml:space="preserve"> </w:t>
      </w:r>
      <w:r w:rsidRPr="00EA59C0">
        <w:t>of</w:t>
      </w:r>
      <w:r w:rsidR="00C026A6" w:rsidRPr="00EA59C0">
        <w:t xml:space="preserve"> </w:t>
      </w:r>
      <w:r w:rsidRPr="00EA59C0">
        <w:t>the</w:t>
      </w:r>
      <w:r w:rsidR="00C026A6" w:rsidRPr="00EA59C0">
        <w:t xml:space="preserve"> </w:t>
      </w:r>
      <w:r w:rsidRPr="00EA59C0">
        <w:t>U.S.</w:t>
      </w:r>
      <w:r w:rsidR="00C026A6" w:rsidRPr="00EA59C0">
        <w:t xml:space="preserve"> </w:t>
      </w:r>
      <w:r w:rsidRPr="00EA59C0">
        <w:t>Postal</w:t>
      </w:r>
      <w:r w:rsidR="00C026A6" w:rsidRPr="00EA59C0">
        <w:t xml:space="preserve"> </w:t>
      </w:r>
      <w:r w:rsidRPr="00EA59C0">
        <w:t>Service.</w:t>
      </w:r>
      <w:r w:rsidR="00C026A6" w:rsidRPr="00EA59C0">
        <w:t xml:space="preserve">  </w:t>
      </w:r>
      <w:r w:rsidRPr="00EA59C0">
        <w:t>Therefore,</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request</w:t>
      </w:r>
      <w:r w:rsidR="00C026A6" w:rsidRPr="00EA59C0">
        <w:t xml:space="preserve"> </w:t>
      </w:r>
      <w:r w:rsidRPr="00EA59C0">
        <w:t>the</w:t>
      </w:r>
      <w:r w:rsidR="00C026A6" w:rsidRPr="00EA59C0">
        <w:t xml:space="preserve"> </w:t>
      </w:r>
      <w:r w:rsidRPr="00EA59C0">
        <w:t>postal</w:t>
      </w:r>
      <w:r w:rsidR="00C026A6" w:rsidRPr="00EA59C0">
        <w:t xml:space="preserve"> </w:t>
      </w:r>
      <w:r w:rsidRPr="00EA59C0">
        <w:t>clerk</w:t>
      </w:r>
      <w:r w:rsidR="00C026A6" w:rsidRPr="00EA59C0">
        <w:t xml:space="preserve"> </w:t>
      </w:r>
      <w:r w:rsidRPr="00EA59C0">
        <w:t>to</w:t>
      </w:r>
      <w:r w:rsidR="00C026A6" w:rsidRPr="00EA59C0">
        <w:t xml:space="preserve"> </w:t>
      </w:r>
      <w:r w:rsidRPr="00EA59C0">
        <w:t>place</w:t>
      </w:r>
      <w:r w:rsidR="00C026A6" w:rsidRPr="00EA59C0">
        <w:t xml:space="preserve"> </w:t>
      </w:r>
      <w:r w:rsidRPr="00EA59C0">
        <w:t>a</w:t>
      </w:r>
      <w:r w:rsidR="00C026A6" w:rsidRPr="00EA59C0">
        <w:t xml:space="preserve"> </w:t>
      </w:r>
      <w:r w:rsidRPr="00EA59C0">
        <w:t>legible</w:t>
      </w:r>
      <w:r w:rsidR="00C026A6" w:rsidRPr="00EA59C0">
        <w:t xml:space="preserve"> </w:t>
      </w:r>
      <w:r w:rsidRPr="00EA59C0">
        <w:t>hand</w:t>
      </w:r>
      <w:r w:rsidR="00C026A6" w:rsidRPr="00EA59C0">
        <w:t xml:space="preserve"> </w:t>
      </w:r>
      <w:r w:rsidRPr="00EA59C0">
        <w:t>cancellation</w:t>
      </w:r>
      <w:r w:rsidR="00C026A6" w:rsidRPr="00EA59C0">
        <w:t xml:space="preserve"> </w:t>
      </w:r>
      <w:r w:rsidRPr="00EA59C0">
        <w:t>‘‘bull’s</w:t>
      </w:r>
      <w:r w:rsidR="00C026A6" w:rsidRPr="00EA59C0">
        <w:t xml:space="preserve"> </w:t>
      </w:r>
      <w:r w:rsidRPr="00EA59C0">
        <w:t>eye’’</w:t>
      </w:r>
      <w:r w:rsidR="00C026A6" w:rsidRPr="00EA59C0">
        <w:t xml:space="preserve"> </w:t>
      </w:r>
      <w:r w:rsidRPr="00EA59C0">
        <w:t>postmark</w:t>
      </w:r>
      <w:r w:rsidR="00C026A6" w:rsidRPr="00EA59C0">
        <w:t xml:space="preserve"> </w:t>
      </w:r>
      <w:r w:rsidRPr="00EA59C0">
        <w:t>on</w:t>
      </w:r>
      <w:r w:rsidR="00C026A6" w:rsidRPr="00EA59C0">
        <w:t xml:space="preserve"> </w:t>
      </w:r>
      <w:r w:rsidRPr="00EA59C0">
        <w:t>both</w:t>
      </w:r>
      <w:r w:rsidR="00C026A6" w:rsidRPr="00EA59C0">
        <w:t xml:space="preserve"> </w:t>
      </w:r>
      <w:r w:rsidRPr="00EA59C0">
        <w:t>the</w:t>
      </w:r>
      <w:r w:rsidR="00C026A6" w:rsidRPr="00EA59C0">
        <w:t xml:space="preserve"> </w:t>
      </w:r>
      <w:r w:rsidRPr="00EA59C0">
        <w:t>receipt</w:t>
      </w:r>
      <w:r w:rsidR="00C026A6" w:rsidRPr="00EA59C0">
        <w:t xml:space="preserve"> </w:t>
      </w:r>
      <w:r w:rsidRPr="00EA59C0">
        <w:t>and</w:t>
      </w:r>
      <w:r w:rsidR="00C026A6" w:rsidRPr="00EA59C0">
        <w:t xml:space="preserve"> </w:t>
      </w:r>
      <w:r w:rsidRPr="00EA59C0">
        <w:t>the</w:t>
      </w:r>
      <w:r w:rsidR="00C026A6" w:rsidRPr="00EA59C0">
        <w:t xml:space="preserve"> </w:t>
      </w:r>
      <w:r w:rsidRPr="00EA59C0">
        <w:t>package.</w:t>
      </w:r>
      <w:r w:rsidR="00C026A6" w:rsidRPr="00EA59C0">
        <w:t xml:space="preserve">  </w:t>
      </w:r>
      <w:r w:rsidRPr="00EA59C0">
        <w:t>Failure</w:t>
      </w:r>
      <w:r w:rsidR="00C026A6" w:rsidRPr="00EA59C0">
        <w:t xml:space="preserve"> </w:t>
      </w:r>
      <w:r w:rsidRPr="00EA59C0">
        <w:t>to</w:t>
      </w:r>
      <w:r w:rsidR="00C026A6" w:rsidRPr="00EA59C0">
        <w:t xml:space="preserve"> </w:t>
      </w:r>
      <w:r w:rsidRPr="00EA59C0">
        <w:t>adhere</w:t>
      </w:r>
      <w:r w:rsidR="00C026A6" w:rsidRPr="00EA59C0">
        <w:t xml:space="preserve"> </w:t>
      </w:r>
      <w:r w:rsidRPr="00EA59C0">
        <w:t>to</w:t>
      </w:r>
      <w:r w:rsidR="00C026A6" w:rsidRPr="00EA59C0">
        <w:t xml:space="preserve"> </w:t>
      </w:r>
      <w:r w:rsidRPr="00EA59C0">
        <w:t>these</w:t>
      </w:r>
      <w:r w:rsidR="00C026A6" w:rsidRPr="00EA59C0">
        <w:t xml:space="preserve"> </w:t>
      </w:r>
      <w:r w:rsidRPr="00EA59C0">
        <w:t>instructions</w:t>
      </w:r>
      <w:r w:rsidR="00C026A6" w:rsidRPr="00EA59C0">
        <w:t xml:space="preserve"> </w:t>
      </w:r>
      <w:r w:rsidRPr="00EA59C0">
        <w:t>will</w:t>
      </w:r>
      <w:r w:rsidR="00C026A6" w:rsidRPr="00EA59C0">
        <w:t xml:space="preserve"> </w:t>
      </w:r>
      <w:r w:rsidRPr="00EA59C0">
        <w:t>be</w:t>
      </w:r>
      <w:r w:rsidR="00C026A6" w:rsidRPr="00EA59C0">
        <w:t xml:space="preserve"> </w:t>
      </w:r>
      <w:r w:rsidRPr="00EA59C0">
        <w:t>a</w:t>
      </w:r>
      <w:r w:rsidR="00C026A6" w:rsidRPr="00EA59C0">
        <w:t xml:space="preserve"> </w:t>
      </w:r>
      <w:r w:rsidRPr="00EA59C0">
        <w:t>basis</w:t>
      </w:r>
      <w:r w:rsidR="00C026A6" w:rsidRPr="00EA59C0">
        <w:t xml:space="preserve"> </w:t>
      </w:r>
      <w:r w:rsidRPr="00EA59C0">
        <w:t>for</w:t>
      </w:r>
      <w:r w:rsidR="00C026A6" w:rsidRPr="00EA59C0">
        <w:t xml:space="preserve"> </w:t>
      </w:r>
      <w:r w:rsidRPr="00EA59C0">
        <w:t>a</w:t>
      </w:r>
      <w:r w:rsidR="00C026A6" w:rsidRPr="00EA59C0">
        <w:t xml:space="preserve"> </w:t>
      </w:r>
      <w:r w:rsidRPr="00EA59C0">
        <w:t>determination</w:t>
      </w:r>
      <w:r w:rsidR="00C026A6" w:rsidRPr="00EA59C0">
        <w:t xml:space="preserve"> </w:t>
      </w:r>
      <w:r w:rsidRPr="00EA59C0">
        <w:t>that</w:t>
      </w:r>
      <w:r w:rsidR="00C026A6" w:rsidRPr="00EA59C0">
        <w:t xml:space="preserve"> </w:t>
      </w:r>
      <w:r w:rsidRPr="00EA59C0">
        <w:t>the</w:t>
      </w:r>
      <w:r w:rsidR="00C026A6" w:rsidRPr="00EA59C0">
        <w:t xml:space="preserve"> </w:t>
      </w:r>
      <w:r w:rsidRPr="00EA59C0">
        <w:t>application</w:t>
      </w:r>
      <w:r w:rsidR="00C026A6" w:rsidRPr="00EA59C0">
        <w:t xml:space="preserve"> </w:t>
      </w:r>
      <w:r w:rsidRPr="00EA59C0">
        <w:t>was</w:t>
      </w:r>
      <w:r w:rsidR="00C026A6" w:rsidRPr="00EA59C0">
        <w:t xml:space="preserve"> </w:t>
      </w:r>
      <w:r w:rsidRPr="00EA59C0">
        <w:t>not</w:t>
      </w:r>
      <w:r w:rsidR="00C026A6" w:rsidRPr="00EA59C0">
        <w:t xml:space="preserve"> </w:t>
      </w:r>
      <w:r w:rsidRPr="00EA59C0">
        <w:t>filed</w:t>
      </w:r>
      <w:r w:rsidR="00C026A6" w:rsidRPr="00EA59C0">
        <w:t xml:space="preserve"> </w:t>
      </w:r>
      <w:r w:rsidRPr="00EA59C0">
        <w:t>timely</w:t>
      </w:r>
      <w:r w:rsidR="00C026A6" w:rsidRPr="00EA59C0">
        <w:t xml:space="preserve"> </w:t>
      </w:r>
      <w:r w:rsidRPr="00EA59C0">
        <w:t>and</w:t>
      </w:r>
      <w:r w:rsidR="00C026A6" w:rsidRPr="00EA59C0">
        <w:t xml:space="preserve"> </w:t>
      </w:r>
      <w:r w:rsidRPr="00EA59C0">
        <w:t>will</w:t>
      </w:r>
      <w:r w:rsidR="00C026A6" w:rsidRPr="00EA59C0">
        <w:t xml:space="preserve"> </w:t>
      </w:r>
      <w:r w:rsidRPr="00EA59C0">
        <w:t>not</w:t>
      </w:r>
      <w:r w:rsidR="00C026A6" w:rsidRPr="00EA59C0">
        <w:t xml:space="preserve"> </w:t>
      </w:r>
      <w:r w:rsidRPr="00EA59C0">
        <w:t>be</w:t>
      </w:r>
      <w:r w:rsidR="00C026A6" w:rsidRPr="00EA59C0">
        <w:t xml:space="preserve"> </w:t>
      </w:r>
      <w:r w:rsidRPr="00EA59C0">
        <w:t>considered.</w:t>
      </w:r>
      <w:r w:rsidR="00C026A6" w:rsidRPr="00EA59C0">
        <w:t xml:space="preserve">  </w:t>
      </w:r>
      <w:r w:rsidRPr="00EA59C0">
        <w:t>Evidence</w:t>
      </w:r>
      <w:r w:rsidR="00C026A6" w:rsidRPr="00EA59C0">
        <w:t xml:space="preserve"> </w:t>
      </w:r>
      <w:r w:rsidRPr="00EA59C0">
        <w:t>of</w:t>
      </w:r>
      <w:r w:rsidR="00C026A6" w:rsidRPr="00EA59C0">
        <w:t xml:space="preserve"> </w:t>
      </w:r>
      <w:r w:rsidRPr="00EA59C0">
        <w:t>timely</w:t>
      </w:r>
      <w:r w:rsidR="00C026A6" w:rsidRPr="00EA59C0">
        <w:t xml:space="preserve"> </w:t>
      </w:r>
      <w:r w:rsidRPr="00EA59C0">
        <w:t>submission</w:t>
      </w:r>
      <w:r w:rsidR="00C026A6" w:rsidRPr="00EA59C0">
        <w:t xml:space="preserve"> </w:t>
      </w:r>
      <w:r w:rsidRPr="00EA59C0">
        <w:t>by</w:t>
      </w:r>
      <w:r w:rsidR="00C026A6" w:rsidRPr="00EA59C0">
        <w:t xml:space="preserve"> </w:t>
      </w:r>
      <w:r w:rsidRPr="00EA59C0">
        <w:t>a</w:t>
      </w:r>
      <w:r w:rsidR="00C026A6" w:rsidRPr="00EA59C0">
        <w:t xml:space="preserve"> </w:t>
      </w:r>
      <w:r w:rsidRPr="00EA59C0">
        <w:t>professional</w:t>
      </w:r>
      <w:r w:rsidR="00C026A6" w:rsidRPr="00EA59C0">
        <w:t xml:space="preserve"> </w:t>
      </w:r>
      <w:r w:rsidRPr="00EA59C0">
        <w:t>overnight</w:t>
      </w:r>
      <w:r w:rsidR="00C026A6" w:rsidRPr="00EA59C0">
        <w:t xml:space="preserve"> </w:t>
      </w:r>
      <w:r w:rsidRPr="00EA59C0">
        <w:t>delivery</w:t>
      </w:r>
      <w:r w:rsidR="00C026A6" w:rsidRPr="00EA59C0">
        <w:t xml:space="preserve"> </w:t>
      </w:r>
      <w:r w:rsidRPr="00EA59C0">
        <w:t>service</w:t>
      </w:r>
      <w:r w:rsidR="00C026A6" w:rsidRPr="00EA59C0">
        <w:t xml:space="preserve"> </w:t>
      </w:r>
      <w:r w:rsidRPr="00EA59C0">
        <w:t>must</w:t>
      </w:r>
      <w:r w:rsidR="00C026A6" w:rsidRPr="00EA59C0">
        <w:t xml:space="preserve"> </w:t>
      </w:r>
      <w:r w:rsidRPr="00EA59C0">
        <w:t>be</w:t>
      </w:r>
      <w:r w:rsidR="00C026A6" w:rsidRPr="00EA59C0">
        <w:t xml:space="preserve"> </w:t>
      </w:r>
      <w:r w:rsidRPr="00EA59C0">
        <w:t>demonstrated</w:t>
      </w:r>
      <w:r w:rsidR="00C026A6" w:rsidRPr="00EA59C0">
        <w:t xml:space="preserve"> </w:t>
      </w:r>
      <w:r w:rsidRPr="00EA59C0">
        <w:t>by</w:t>
      </w:r>
      <w:r w:rsidR="00C026A6" w:rsidRPr="00EA59C0">
        <w:t xml:space="preserve"> </w:t>
      </w:r>
      <w:r w:rsidRPr="00EA59C0">
        <w:t>equally</w:t>
      </w:r>
      <w:r w:rsidR="00C026A6" w:rsidRPr="00EA59C0">
        <w:t xml:space="preserve"> </w:t>
      </w:r>
      <w:r w:rsidRPr="00EA59C0">
        <w:t>reliable</w:t>
      </w:r>
      <w:r w:rsidR="00C026A6" w:rsidRPr="00EA59C0">
        <w:t xml:space="preserve"> </w:t>
      </w:r>
      <w:r w:rsidRPr="00EA59C0">
        <w:t>evidence</w:t>
      </w:r>
      <w:r w:rsidR="00C026A6" w:rsidRPr="00EA59C0">
        <w:t xml:space="preserve"> </w:t>
      </w:r>
      <w:r w:rsidRPr="00EA59C0">
        <w:t>created</w:t>
      </w:r>
      <w:r w:rsidR="00C026A6" w:rsidRPr="00EA59C0">
        <w:t xml:space="preserve"> </w:t>
      </w:r>
      <w:r w:rsidRPr="00EA59C0">
        <w:t>by</w:t>
      </w:r>
      <w:r w:rsidR="00C026A6" w:rsidRPr="00EA59C0">
        <w:t xml:space="preserve"> </w:t>
      </w:r>
      <w:r w:rsidRPr="00EA59C0">
        <w:t>the</w:t>
      </w:r>
      <w:r w:rsidR="00C026A6" w:rsidRPr="00EA59C0">
        <w:t xml:space="preserve"> </w:t>
      </w:r>
      <w:r w:rsidRPr="00EA59C0">
        <w:t>delivery</w:t>
      </w:r>
      <w:r w:rsidR="00C026A6" w:rsidRPr="00EA59C0">
        <w:t xml:space="preserve"> </w:t>
      </w:r>
      <w:r w:rsidRPr="00EA59C0">
        <w:t>service</w:t>
      </w:r>
      <w:r w:rsidR="00C026A6" w:rsidRPr="00EA59C0">
        <w:t xml:space="preserve"> </w:t>
      </w:r>
      <w:r w:rsidRPr="00EA59C0">
        <w:t>provider</w:t>
      </w:r>
      <w:r w:rsidR="00C026A6" w:rsidRPr="00EA59C0">
        <w:t xml:space="preserve"> </w:t>
      </w:r>
      <w:r w:rsidRPr="00EA59C0">
        <w:t>indicating</w:t>
      </w:r>
      <w:r w:rsidR="00C026A6" w:rsidRPr="00EA59C0">
        <w:t xml:space="preserve"> </w:t>
      </w:r>
      <w:r w:rsidRPr="00EA59C0">
        <w:t>the</w:t>
      </w:r>
      <w:r w:rsidR="00C026A6" w:rsidRPr="00EA59C0">
        <w:t xml:space="preserve"> </w:t>
      </w:r>
      <w:r w:rsidRPr="00EA59C0">
        <w:t>time</w:t>
      </w:r>
      <w:r w:rsidR="00C026A6" w:rsidRPr="00EA59C0">
        <w:t xml:space="preserve"> </w:t>
      </w:r>
      <w:r w:rsidRPr="00EA59C0">
        <w:t>and</w:t>
      </w:r>
      <w:r w:rsidR="00C026A6" w:rsidRPr="00EA59C0">
        <w:t xml:space="preserve"> </w:t>
      </w:r>
      <w:r w:rsidRPr="00EA59C0">
        <w:t>place</w:t>
      </w:r>
      <w:r w:rsidR="00C026A6" w:rsidRPr="00EA59C0">
        <w:t xml:space="preserve"> </w:t>
      </w:r>
      <w:r w:rsidRPr="00EA59C0">
        <w:t>of</w:t>
      </w:r>
      <w:r w:rsidR="00C026A6" w:rsidRPr="00EA59C0">
        <w:t xml:space="preserve"> </w:t>
      </w:r>
      <w:r w:rsidRPr="00EA59C0">
        <w:t>receipt.</w:t>
      </w:r>
      <w:r w:rsidR="00C026A6" w:rsidRPr="00EA59C0">
        <w:t xml:space="preserve">   </w:t>
      </w:r>
    </w:p>
    <w:p w:rsidR="00080097" w:rsidRPr="00EA59C0" w:rsidRDefault="00080097" w:rsidP="00C072FA">
      <w:pPr>
        <w:widowControl w:val="0"/>
        <w:shd w:val="clear" w:color="auto" w:fill="FFFFFF"/>
        <w:adjustRightInd w:val="0"/>
        <w:ind w:left="720"/>
        <w:textAlignment w:val="baseline"/>
      </w:pPr>
    </w:p>
    <w:p w:rsidR="007470AB" w:rsidRPr="00EA59C0" w:rsidRDefault="007470AB" w:rsidP="00C072FA">
      <w:pPr>
        <w:pStyle w:val="Heading2"/>
        <w:numPr>
          <w:ilvl w:val="1"/>
          <w:numId w:val="17"/>
        </w:numPr>
        <w:spacing w:line="240" w:lineRule="auto"/>
        <w:rPr>
          <w:rFonts w:ascii="Times New Roman" w:hAnsi="Times New Roman"/>
          <w:b w:val="0"/>
          <w:i w:val="0"/>
        </w:rPr>
      </w:pPr>
      <w:bookmarkStart w:id="25" w:name="_Toc207778226"/>
      <w:bookmarkStart w:id="26" w:name="_Toc208654626"/>
      <w:bookmarkStart w:id="27" w:name="_Toc228885506"/>
      <w:bookmarkStart w:id="28" w:name="_Toc229889165"/>
      <w:r w:rsidRPr="00EA59C0">
        <w:rPr>
          <w:rFonts w:ascii="Times New Roman" w:hAnsi="Times New Roman"/>
          <w:b w:val="0"/>
          <w:i w:val="0"/>
        </w:rPr>
        <w:t>Intergovernmental</w:t>
      </w:r>
      <w:r w:rsidR="00C026A6" w:rsidRPr="00EA59C0">
        <w:rPr>
          <w:rFonts w:ascii="Times New Roman" w:hAnsi="Times New Roman"/>
          <w:b w:val="0"/>
          <w:i w:val="0"/>
        </w:rPr>
        <w:t xml:space="preserve"> </w:t>
      </w:r>
      <w:r w:rsidRPr="00EA59C0">
        <w:rPr>
          <w:rFonts w:ascii="Times New Roman" w:hAnsi="Times New Roman"/>
          <w:b w:val="0"/>
          <w:i w:val="0"/>
        </w:rPr>
        <w:t>Review</w:t>
      </w:r>
      <w:bookmarkEnd w:id="25"/>
      <w:bookmarkEnd w:id="26"/>
      <w:bookmarkEnd w:id="27"/>
      <w:bookmarkEnd w:id="28"/>
    </w:p>
    <w:p w:rsidR="00144DF0" w:rsidRPr="00EA59C0" w:rsidRDefault="007470AB" w:rsidP="00C072FA">
      <w:pPr>
        <w:widowControl w:val="0"/>
        <w:ind w:left="720"/>
      </w:pPr>
      <w:r w:rsidRPr="00EA59C0">
        <w:t>This</w:t>
      </w:r>
      <w:r w:rsidR="00C026A6" w:rsidRPr="00EA59C0">
        <w:t xml:space="preserve"> </w:t>
      </w:r>
      <w:r w:rsidRPr="00EA59C0">
        <w:t>funding</w:t>
      </w:r>
      <w:r w:rsidR="00C026A6" w:rsidRPr="00EA59C0">
        <w:t xml:space="preserve"> </w:t>
      </w:r>
      <w:r w:rsidRPr="00EA59C0">
        <w:t>opportunity</w:t>
      </w:r>
      <w:r w:rsidR="00C026A6" w:rsidRPr="00EA59C0">
        <w:t xml:space="preserve"> </w:t>
      </w:r>
      <w:r w:rsidRPr="00EA59C0">
        <w:t>is</w:t>
      </w:r>
      <w:r w:rsidR="00C026A6" w:rsidRPr="00EA59C0">
        <w:t xml:space="preserve"> </w:t>
      </w:r>
      <w:r w:rsidRPr="00EA59C0">
        <w:t>not</w:t>
      </w:r>
      <w:r w:rsidR="00C026A6" w:rsidRPr="00EA59C0">
        <w:t xml:space="preserve"> </w:t>
      </w:r>
      <w:r w:rsidRPr="00EA59C0">
        <w:t>subject</w:t>
      </w:r>
      <w:r w:rsidR="00C026A6" w:rsidRPr="00EA59C0">
        <w:t xml:space="preserve"> </w:t>
      </w:r>
      <w:r w:rsidRPr="00EA59C0">
        <w:t>to</w:t>
      </w:r>
      <w:r w:rsidR="00C026A6" w:rsidRPr="00EA59C0">
        <w:t xml:space="preserve"> </w:t>
      </w:r>
      <w:r w:rsidRPr="00EA59C0">
        <w:t>Executive</w:t>
      </w:r>
      <w:r w:rsidR="00C026A6" w:rsidRPr="00EA59C0">
        <w:t xml:space="preserve"> </w:t>
      </w:r>
      <w:r w:rsidRPr="00EA59C0">
        <w:t>Order</w:t>
      </w:r>
      <w:r w:rsidR="00C026A6" w:rsidRPr="00EA59C0">
        <w:t xml:space="preserve"> </w:t>
      </w:r>
      <w:r w:rsidRPr="00EA59C0">
        <w:t>12372,</w:t>
      </w:r>
      <w:r w:rsidR="00C026A6" w:rsidRPr="00EA59C0">
        <w:t xml:space="preserve"> </w:t>
      </w:r>
      <w:r w:rsidRPr="00EA59C0">
        <w:t>“Intergovernmental</w:t>
      </w:r>
      <w:r w:rsidR="00C026A6" w:rsidRPr="00EA59C0">
        <w:t xml:space="preserve"> </w:t>
      </w:r>
      <w:r w:rsidRPr="00EA59C0">
        <w:t>Review</w:t>
      </w:r>
      <w:r w:rsidR="00C026A6" w:rsidRPr="00EA59C0">
        <w:t xml:space="preserve"> </w:t>
      </w:r>
      <w:r w:rsidRPr="00EA59C0">
        <w:t>of</w:t>
      </w:r>
      <w:r w:rsidR="00C026A6" w:rsidRPr="00EA59C0">
        <w:t xml:space="preserve"> </w:t>
      </w:r>
      <w:r w:rsidRPr="00EA59C0">
        <w:t>Federal</w:t>
      </w:r>
      <w:r w:rsidR="00C026A6" w:rsidRPr="00EA59C0">
        <w:t xml:space="preserve"> </w:t>
      </w:r>
      <w:r w:rsidRPr="00EA59C0">
        <w:t>Programs.”</w:t>
      </w:r>
    </w:p>
    <w:p w:rsidR="0087755D" w:rsidRPr="00EA59C0" w:rsidRDefault="0087755D" w:rsidP="00C072FA">
      <w:pPr>
        <w:widowControl w:val="0"/>
        <w:ind w:left="360"/>
      </w:pPr>
    </w:p>
    <w:p w:rsidR="007470AB" w:rsidRPr="00EA59C0" w:rsidRDefault="007470AB" w:rsidP="00C072FA">
      <w:pPr>
        <w:pStyle w:val="Heading2"/>
        <w:numPr>
          <w:ilvl w:val="1"/>
          <w:numId w:val="17"/>
        </w:numPr>
        <w:spacing w:line="240" w:lineRule="auto"/>
        <w:rPr>
          <w:rFonts w:ascii="Times New Roman" w:hAnsi="Times New Roman"/>
          <w:b w:val="0"/>
          <w:i w:val="0"/>
        </w:rPr>
      </w:pPr>
      <w:bookmarkStart w:id="29" w:name="_Toc207778227"/>
      <w:bookmarkStart w:id="30" w:name="_Toc208654627"/>
      <w:bookmarkStart w:id="31" w:name="_Toc228885507"/>
      <w:bookmarkStart w:id="32" w:name="_Toc229889166"/>
      <w:r w:rsidRPr="00EA59C0">
        <w:rPr>
          <w:rFonts w:ascii="Times New Roman" w:hAnsi="Times New Roman"/>
          <w:b w:val="0"/>
          <w:i w:val="0"/>
        </w:rPr>
        <w:t>Funding</w:t>
      </w:r>
      <w:r w:rsidR="00C026A6" w:rsidRPr="00EA59C0">
        <w:rPr>
          <w:rFonts w:ascii="Times New Roman" w:hAnsi="Times New Roman"/>
          <w:b w:val="0"/>
          <w:i w:val="0"/>
        </w:rPr>
        <w:t xml:space="preserve"> </w:t>
      </w:r>
      <w:r w:rsidRPr="00EA59C0">
        <w:rPr>
          <w:rFonts w:ascii="Times New Roman" w:hAnsi="Times New Roman"/>
          <w:b w:val="0"/>
          <w:i w:val="0"/>
        </w:rPr>
        <w:t>Restrictions</w:t>
      </w:r>
    </w:p>
    <w:p w:rsidR="00144DF0" w:rsidRPr="00EA59C0" w:rsidRDefault="007470AB" w:rsidP="00C072FA">
      <w:pPr>
        <w:widowControl w:val="0"/>
        <w:adjustRightInd w:val="0"/>
        <w:ind w:left="720"/>
        <w:textAlignment w:val="baseline"/>
      </w:pPr>
      <w:r w:rsidRPr="00EA59C0">
        <w:t>All</w:t>
      </w:r>
      <w:r w:rsidR="00C026A6" w:rsidRPr="00EA59C0">
        <w:t xml:space="preserve"> </w:t>
      </w:r>
      <w:r w:rsidRPr="00EA59C0">
        <w:t>proposed</w:t>
      </w:r>
      <w:r w:rsidR="00C026A6" w:rsidRPr="00EA59C0">
        <w:t xml:space="preserve"> </w:t>
      </w:r>
      <w:r w:rsidRPr="00EA59C0">
        <w:t>project</w:t>
      </w:r>
      <w:r w:rsidR="00C026A6" w:rsidRPr="00EA59C0">
        <w:t xml:space="preserve"> </w:t>
      </w:r>
      <w:r w:rsidRPr="00EA59C0">
        <w:t>costs</w:t>
      </w:r>
      <w:r w:rsidR="00C026A6" w:rsidRPr="00EA59C0">
        <w:t xml:space="preserve"> </w:t>
      </w:r>
      <w:r w:rsidRPr="00EA59C0">
        <w:t>must</w:t>
      </w:r>
      <w:r w:rsidR="00C026A6" w:rsidRPr="00EA59C0">
        <w:t xml:space="preserve"> </w:t>
      </w:r>
      <w:r w:rsidRPr="00EA59C0">
        <w:t>be</w:t>
      </w:r>
      <w:r w:rsidR="00C026A6" w:rsidRPr="00EA59C0">
        <w:t xml:space="preserve"> </w:t>
      </w:r>
      <w:r w:rsidRPr="00EA59C0">
        <w:t>necessary</w:t>
      </w:r>
      <w:r w:rsidR="00C026A6" w:rsidRPr="00EA59C0">
        <w:t xml:space="preserve"> </w:t>
      </w:r>
      <w:r w:rsidRPr="00EA59C0">
        <w:t>and</w:t>
      </w:r>
      <w:r w:rsidR="00C026A6" w:rsidRPr="00EA59C0">
        <w:t xml:space="preserve"> </w:t>
      </w:r>
      <w:r w:rsidRPr="00EA59C0">
        <w:t>reasonable</w:t>
      </w:r>
      <w:r w:rsidR="00C026A6" w:rsidRPr="00EA59C0">
        <w:t xml:space="preserve"> </w:t>
      </w:r>
      <w:r w:rsidRPr="00EA59C0">
        <w:t>and</w:t>
      </w:r>
      <w:r w:rsidR="00C026A6" w:rsidRPr="00EA59C0">
        <w:t xml:space="preserve"> </w:t>
      </w:r>
      <w:r w:rsidRPr="00EA59C0">
        <w:t>in</w:t>
      </w:r>
      <w:r w:rsidR="00C026A6" w:rsidRPr="00EA59C0">
        <w:t xml:space="preserve"> </w:t>
      </w:r>
      <w:r w:rsidRPr="00EA59C0">
        <w:t>accordance</w:t>
      </w:r>
      <w:r w:rsidR="00C026A6" w:rsidRPr="00EA59C0">
        <w:t xml:space="preserve"> </w:t>
      </w:r>
      <w:r w:rsidRPr="00EA59C0">
        <w:t>with</w:t>
      </w:r>
      <w:r w:rsidR="00C026A6" w:rsidRPr="00EA59C0">
        <w:t xml:space="preserve"> </w:t>
      </w:r>
      <w:r w:rsidRPr="00EA59C0">
        <w:t>Federal</w:t>
      </w:r>
      <w:r w:rsidR="00C026A6" w:rsidRPr="00EA59C0">
        <w:t xml:space="preserve"> </w:t>
      </w:r>
      <w:r w:rsidRPr="00EA59C0">
        <w:t>guidelines.</w:t>
      </w:r>
      <w:r w:rsidR="00C026A6" w:rsidRPr="00EA59C0">
        <w:t xml:space="preserve">  </w:t>
      </w:r>
      <w:r w:rsidRPr="00EA59C0">
        <w:t>Determinations</w:t>
      </w:r>
      <w:r w:rsidR="00C026A6" w:rsidRPr="00EA59C0">
        <w:t xml:space="preserve"> </w:t>
      </w:r>
      <w:r w:rsidRPr="00EA59C0">
        <w:t>of</w:t>
      </w:r>
      <w:r w:rsidR="00C026A6" w:rsidRPr="00EA59C0">
        <w:t xml:space="preserve"> </w:t>
      </w:r>
      <w:r w:rsidRPr="00EA59C0">
        <w:t>allowable</w:t>
      </w:r>
      <w:r w:rsidR="00C026A6" w:rsidRPr="00EA59C0">
        <w:t xml:space="preserve"> </w:t>
      </w:r>
      <w:r w:rsidRPr="00EA59C0">
        <w:t>costs</w:t>
      </w:r>
      <w:r w:rsidR="00C026A6" w:rsidRPr="00EA59C0">
        <w:t xml:space="preserve"> </w:t>
      </w:r>
      <w:r w:rsidRPr="00EA59C0">
        <w:t>will</w:t>
      </w:r>
      <w:r w:rsidR="00C026A6" w:rsidRPr="00EA59C0">
        <w:t xml:space="preserve"> </w:t>
      </w:r>
      <w:r w:rsidRPr="00EA59C0">
        <w:t>be</w:t>
      </w:r>
      <w:r w:rsidR="00C026A6" w:rsidRPr="00EA59C0">
        <w:t xml:space="preserve"> </w:t>
      </w:r>
      <w:r w:rsidRPr="00EA59C0">
        <w:t>made</w:t>
      </w:r>
      <w:r w:rsidR="00C026A6" w:rsidRPr="00EA59C0">
        <w:t xml:space="preserve"> </w:t>
      </w:r>
      <w:r w:rsidRPr="00EA59C0">
        <w:t>in</w:t>
      </w:r>
      <w:r w:rsidR="00C026A6" w:rsidRPr="00EA59C0">
        <w:t xml:space="preserve"> </w:t>
      </w:r>
      <w:r w:rsidRPr="00EA59C0">
        <w:t>accordance</w:t>
      </w:r>
      <w:r w:rsidR="00C026A6" w:rsidRPr="00EA59C0">
        <w:t xml:space="preserve"> </w:t>
      </w:r>
      <w:r w:rsidRPr="00EA59C0">
        <w:t>with</w:t>
      </w:r>
      <w:r w:rsidR="00C026A6" w:rsidRPr="00EA59C0">
        <w:t xml:space="preserve"> </w:t>
      </w:r>
      <w:r w:rsidRPr="00EA59C0">
        <w:t>the</w:t>
      </w:r>
      <w:r w:rsidR="00C026A6" w:rsidRPr="00EA59C0">
        <w:t xml:space="preserve"> </w:t>
      </w:r>
      <w:r w:rsidRPr="00EA59C0">
        <w:t>applicable</w:t>
      </w:r>
      <w:r w:rsidR="00C026A6" w:rsidRPr="00EA59C0">
        <w:t xml:space="preserve"> </w:t>
      </w:r>
      <w:r w:rsidRPr="00EA59C0">
        <w:t>Federal</w:t>
      </w:r>
      <w:r w:rsidR="00C026A6" w:rsidRPr="00EA59C0">
        <w:t xml:space="preserve"> </w:t>
      </w:r>
      <w:r w:rsidRPr="00EA59C0">
        <w:t>cost</w:t>
      </w:r>
      <w:r w:rsidR="00C026A6" w:rsidRPr="00EA59C0">
        <w:t xml:space="preserve"> </w:t>
      </w:r>
      <w:r w:rsidRPr="00EA59C0">
        <w:t>principles.</w:t>
      </w:r>
      <w:r w:rsidR="00C026A6" w:rsidRPr="00EA59C0">
        <w:t xml:space="preserve">  </w:t>
      </w:r>
      <w:r w:rsidRPr="00EA59C0">
        <w:t>Disallowed</w:t>
      </w:r>
      <w:r w:rsidR="00C026A6" w:rsidRPr="00EA59C0">
        <w:t xml:space="preserve"> </w:t>
      </w:r>
      <w:r w:rsidRPr="00EA59C0">
        <w:t>costs</w:t>
      </w:r>
      <w:r w:rsidR="00C026A6" w:rsidRPr="00EA59C0">
        <w:t xml:space="preserve"> </w:t>
      </w:r>
      <w:r w:rsidRPr="00EA59C0">
        <w:t>are</w:t>
      </w:r>
      <w:r w:rsidR="00C026A6" w:rsidRPr="00EA59C0">
        <w:t xml:space="preserve"> </w:t>
      </w:r>
      <w:r w:rsidRPr="00EA59C0">
        <w:t>those</w:t>
      </w:r>
      <w:r w:rsidR="00C026A6" w:rsidRPr="00EA59C0">
        <w:t xml:space="preserve"> </w:t>
      </w:r>
      <w:r w:rsidRPr="00EA59C0">
        <w:t>charges</w:t>
      </w:r>
      <w:r w:rsidR="00C026A6" w:rsidRPr="00EA59C0">
        <w:t xml:space="preserve"> </w:t>
      </w:r>
      <w:r w:rsidRPr="00EA59C0">
        <w:t>to</w:t>
      </w:r>
      <w:r w:rsidR="00C026A6" w:rsidRPr="00EA59C0">
        <w:t xml:space="preserve"> </w:t>
      </w:r>
      <w:r w:rsidRPr="00EA59C0">
        <w:t>a</w:t>
      </w:r>
      <w:r w:rsidR="00C026A6" w:rsidRPr="00EA59C0">
        <w:t xml:space="preserve"> </w:t>
      </w:r>
      <w:r w:rsidRPr="00EA59C0">
        <w:t>grant</w:t>
      </w:r>
      <w:r w:rsidR="00C026A6" w:rsidRPr="00EA59C0">
        <w:t xml:space="preserve"> </w:t>
      </w:r>
      <w:r w:rsidRPr="00EA59C0">
        <w:t>that</w:t>
      </w:r>
      <w:r w:rsidR="00C026A6" w:rsidRPr="00EA59C0">
        <w:t xml:space="preserve"> </w:t>
      </w:r>
      <w:r w:rsidRPr="00EA59C0">
        <w:t>the</w:t>
      </w:r>
      <w:r w:rsidR="00C026A6" w:rsidRPr="00EA59C0">
        <w:t xml:space="preserve"> </w:t>
      </w:r>
      <w:r w:rsidRPr="00EA59C0">
        <w:t>grantor</w:t>
      </w:r>
      <w:r w:rsidR="00C026A6" w:rsidRPr="00EA59C0">
        <w:t xml:space="preserve"> </w:t>
      </w:r>
      <w:r w:rsidRPr="00EA59C0">
        <w:t>agency</w:t>
      </w:r>
      <w:r w:rsidR="00C026A6" w:rsidRPr="00EA59C0">
        <w:t xml:space="preserve"> </w:t>
      </w:r>
      <w:r w:rsidRPr="00EA59C0">
        <w:t>or</w:t>
      </w:r>
      <w:r w:rsidR="00C026A6" w:rsidRPr="00EA59C0">
        <w:t xml:space="preserve"> </w:t>
      </w:r>
      <w:r w:rsidRPr="00EA59C0">
        <w:t>its</w:t>
      </w:r>
      <w:r w:rsidR="00C026A6" w:rsidRPr="00EA59C0">
        <w:t xml:space="preserve"> </w:t>
      </w:r>
      <w:r w:rsidRPr="00EA59C0">
        <w:t>representative</w:t>
      </w:r>
      <w:r w:rsidR="00C026A6" w:rsidRPr="00EA59C0">
        <w:t xml:space="preserve"> </w:t>
      </w:r>
      <w:r w:rsidRPr="00EA59C0">
        <w:t>determines</w:t>
      </w:r>
      <w:r w:rsidR="00C026A6" w:rsidRPr="00EA59C0">
        <w:t xml:space="preserve"> </w:t>
      </w:r>
      <w:r w:rsidRPr="00EA59C0">
        <w:t>not</w:t>
      </w:r>
      <w:r w:rsidR="00C026A6" w:rsidRPr="00EA59C0">
        <w:t xml:space="preserve"> </w:t>
      </w:r>
      <w:r w:rsidRPr="00EA59C0">
        <w:t>to</w:t>
      </w:r>
      <w:r w:rsidR="00C026A6" w:rsidRPr="00EA59C0">
        <w:t xml:space="preserve"> </w:t>
      </w:r>
      <w:r w:rsidRPr="00EA59C0">
        <w:t>be</w:t>
      </w:r>
      <w:r w:rsidR="00C026A6" w:rsidRPr="00EA59C0">
        <w:t xml:space="preserve"> </w:t>
      </w:r>
      <w:r w:rsidRPr="00EA59C0">
        <w:t>allowed</w:t>
      </w:r>
      <w:r w:rsidR="00C026A6" w:rsidRPr="00EA59C0">
        <w:t xml:space="preserve"> </w:t>
      </w:r>
      <w:r w:rsidRPr="00EA59C0">
        <w:t>in</w:t>
      </w:r>
      <w:r w:rsidR="00C026A6" w:rsidRPr="00EA59C0">
        <w:t xml:space="preserve"> </w:t>
      </w:r>
      <w:r w:rsidRPr="00EA59C0">
        <w:t>accordance</w:t>
      </w:r>
      <w:r w:rsidR="00C026A6" w:rsidRPr="00EA59C0">
        <w:t xml:space="preserve"> </w:t>
      </w:r>
      <w:r w:rsidRPr="00EA59C0">
        <w:t>with</w:t>
      </w:r>
      <w:r w:rsidR="00C026A6" w:rsidRPr="00EA59C0">
        <w:t xml:space="preserve"> </w:t>
      </w:r>
      <w:r w:rsidRPr="00EA59C0">
        <w:t>the</w:t>
      </w:r>
      <w:r w:rsidR="00C026A6" w:rsidRPr="00EA59C0">
        <w:t xml:space="preserve"> </w:t>
      </w:r>
      <w:r w:rsidRPr="00EA59C0">
        <w:t>applicable</w:t>
      </w:r>
      <w:r w:rsidR="00C026A6" w:rsidRPr="00EA59C0">
        <w:t xml:space="preserve"> </w:t>
      </w:r>
      <w:r w:rsidRPr="00EA59C0">
        <w:t>Federal</w:t>
      </w:r>
      <w:r w:rsidR="00C026A6" w:rsidRPr="00EA59C0">
        <w:t xml:space="preserve"> </w:t>
      </w:r>
      <w:r w:rsidRPr="00EA59C0">
        <w:t>cost</w:t>
      </w:r>
      <w:r w:rsidR="00C026A6" w:rsidRPr="00EA59C0">
        <w:t xml:space="preserve"> </w:t>
      </w:r>
      <w:r w:rsidRPr="00EA59C0">
        <w:t>principles</w:t>
      </w:r>
      <w:r w:rsidR="00C026A6" w:rsidRPr="00EA59C0">
        <w:t xml:space="preserve"> </w:t>
      </w:r>
      <w:r w:rsidRPr="00EA59C0">
        <w:t>or</w:t>
      </w:r>
      <w:r w:rsidR="00C026A6" w:rsidRPr="00EA59C0">
        <w:t xml:space="preserve"> </w:t>
      </w:r>
      <w:r w:rsidRPr="00EA59C0">
        <w:t>other</w:t>
      </w:r>
      <w:r w:rsidR="00C026A6" w:rsidRPr="00EA59C0">
        <w:t xml:space="preserve"> </w:t>
      </w:r>
      <w:r w:rsidRPr="00EA59C0">
        <w:t>conditions</w:t>
      </w:r>
      <w:r w:rsidR="00C026A6" w:rsidRPr="00EA59C0">
        <w:t xml:space="preserve"> </w:t>
      </w:r>
      <w:r w:rsidRPr="00EA59C0">
        <w:t>contained</w:t>
      </w:r>
      <w:r w:rsidR="00C026A6" w:rsidRPr="00EA59C0">
        <w:t xml:space="preserve"> </w:t>
      </w:r>
      <w:r w:rsidRPr="00EA59C0">
        <w:t>in</w:t>
      </w:r>
      <w:r w:rsidR="00C026A6" w:rsidRPr="00EA59C0">
        <w:t xml:space="preserve"> </w:t>
      </w:r>
      <w:r w:rsidRPr="00EA59C0">
        <w:t>the</w:t>
      </w:r>
      <w:r w:rsidR="00C026A6" w:rsidRPr="00EA59C0">
        <w:t xml:space="preserve"> </w:t>
      </w:r>
      <w:r w:rsidRPr="00EA59C0">
        <w:t>grant.</w:t>
      </w:r>
      <w:r w:rsidR="00C026A6" w:rsidRPr="00EA59C0">
        <w:t xml:space="preserve">  </w:t>
      </w:r>
      <w:r w:rsidRPr="00EA59C0">
        <w:t>Applicants,</w:t>
      </w:r>
      <w:r w:rsidR="00C026A6" w:rsidRPr="00EA59C0">
        <w:t xml:space="preserve"> </w:t>
      </w:r>
      <w:r w:rsidRPr="00EA59C0">
        <w:t>whether</w:t>
      </w:r>
      <w:r w:rsidR="00C026A6" w:rsidRPr="00EA59C0">
        <w:t xml:space="preserve"> </w:t>
      </w:r>
      <w:r w:rsidRPr="00EA59C0">
        <w:t>successful</w:t>
      </w:r>
      <w:r w:rsidR="00C026A6" w:rsidRPr="00EA59C0">
        <w:t xml:space="preserve"> </w:t>
      </w:r>
      <w:r w:rsidRPr="00EA59C0">
        <w:t>or</w:t>
      </w:r>
      <w:r w:rsidR="00C026A6" w:rsidRPr="00EA59C0">
        <w:t xml:space="preserve"> </w:t>
      </w:r>
      <w:r w:rsidRPr="00EA59C0">
        <w:t>not,</w:t>
      </w:r>
      <w:r w:rsidR="00C026A6" w:rsidRPr="00EA59C0">
        <w:t xml:space="preserve"> </w:t>
      </w:r>
      <w:r w:rsidRPr="00EA59C0">
        <w:t>will</w:t>
      </w:r>
      <w:r w:rsidR="00C026A6" w:rsidRPr="00EA59C0">
        <w:t xml:space="preserve"> </w:t>
      </w:r>
      <w:r w:rsidRPr="00EA59C0">
        <w:t>not</w:t>
      </w:r>
      <w:r w:rsidR="00C026A6" w:rsidRPr="00EA59C0">
        <w:t xml:space="preserve"> </w:t>
      </w:r>
      <w:r w:rsidRPr="00EA59C0">
        <w:t>be</w:t>
      </w:r>
      <w:r w:rsidR="00C026A6" w:rsidRPr="00EA59C0">
        <w:t xml:space="preserve"> </w:t>
      </w:r>
      <w:r w:rsidRPr="00EA59C0">
        <w:t>entitled</w:t>
      </w:r>
      <w:r w:rsidR="00C026A6" w:rsidRPr="00EA59C0">
        <w:t xml:space="preserve"> </w:t>
      </w:r>
      <w:r w:rsidRPr="00EA59C0">
        <w:t>to</w:t>
      </w:r>
      <w:r w:rsidR="00C026A6" w:rsidRPr="00EA59C0">
        <w:t xml:space="preserve"> </w:t>
      </w:r>
      <w:r w:rsidRPr="00EA59C0">
        <w:t>reimbursement</w:t>
      </w:r>
      <w:r w:rsidR="00C026A6" w:rsidRPr="00EA59C0">
        <w:t xml:space="preserve"> </w:t>
      </w:r>
      <w:r w:rsidRPr="00EA59C0">
        <w:t>of</w:t>
      </w:r>
      <w:r w:rsidR="00C026A6" w:rsidRPr="00EA59C0">
        <w:t xml:space="preserve"> </w:t>
      </w:r>
      <w:r w:rsidRPr="00EA59C0">
        <w:t>pre-award</w:t>
      </w:r>
      <w:r w:rsidR="00C026A6" w:rsidRPr="00EA59C0">
        <w:t xml:space="preserve"> </w:t>
      </w:r>
      <w:r w:rsidRPr="00EA59C0">
        <w:t>costs.</w:t>
      </w:r>
      <w:r w:rsidR="00C026A6" w:rsidRPr="00EA59C0">
        <w:t xml:space="preserve">  </w:t>
      </w:r>
    </w:p>
    <w:p w:rsidR="00DA3679" w:rsidRPr="00EA59C0" w:rsidRDefault="00DA3679" w:rsidP="00C072FA">
      <w:pPr>
        <w:widowControl w:val="0"/>
        <w:adjustRightInd w:val="0"/>
        <w:textAlignment w:val="baseline"/>
      </w:pPr>
    </w:p>
    <w:p w:rsidR="00144DF0" w:rsidRPr="00EA59C0" w:rsidRDefault="005033BD" w:rsidP="00080097">
      <w:pPr>
        <w:pStyle w:val="Heading3"/>
        <w:numPr>
          <w:ilvl w:val="2"/>
          <w:numId w:val="17"/>
        </w:numPr>
        <w:rPr>
          <w:color w:val="auto"/>
        </w:rPr>
      </w:pPr>
      <w:r w:rsidRPr="00EA59C0">
        <w:rPr>
          <w:color w:val="auto"/>
        </w:rPr>
        <w:t>Unallowable</w:t>
      </w:r>
      <w:r w:rsidR="00C026A6" w:rsidRPr="00EA59C0">
        <w:rPr>
          <w:color w:val="auto"/>
        </w:rPr>
        <w:t xml:space="preserve"> </w:t>
      </w:r>
      <w:r w:rsidRPr="00EA59C0">
        <w:rPr>
          <w:color w:val="auto"/>
        </w:rPr>
        <w:t>Activities</w:t>
      </w:r>
    </w:p>
    <w:p w:rsidR="00A93F2C" w:rsidRPr="00EA59C0" w:rsidRDefault="00DE4621" w:rsidP="00C072FA">
      <w:pPr>
        <w:widowControl w:val="0"/>
        <w:adjustRightInd w:val="0"/>
        <w:ind w:left="1080"/>
        <w:textAlignment w:val="baseline"/>
      </w:pPr>
      <w:r w:rsidRPr="00EA59C0">
        <w:t>Unallowable</w:t>
      </w:r>
      <w:r w:rsidR="00C026A6" w:rsidRPr="00EA59C0">
        <w:t xml:space="preserve"> </w:t>
      </w:r>
      <w:r w:rsidRPr="00EA59C0">
        <w:t>activities</w:t>
      </w:r>
      <w:r w:rsidR="00C026A6" w:rsidRPr="00EA59C0">
        <w:t xml:space="preserve"> </w:t>
      </w:r>
      <w:r w:rsidRPr="00EA59C0">
        <w:t>include</w:t>
      </w:r>
      <w:r w:rsidR="00C026A6" w:rsidRPr="00EA59C0">
        <w:t xml:space="preserve"> </w:t>
      </w:r>
      <w:r w:rsidRPr="00EA59C0">
        <w:t>the</w:t>
      </w:r>
      <w:r w:rsidR="00C026A6" w:rsidRPr="00EA59C0">
        <w:t xml:space="preserve"> </w:t>
      </w:r>
      <w:r w:rsidRPr="00EA59C0">
        <w:t>use</w:t>
      </w:r>
      <w:r w:rsidR="00C026A6" w:rsidRPr="00EA59C0">
        <w:t xml:space="preserve"> </w:t>
      </w:r>
      <w:r w:rsidRPr="00EA59C0">
        <w:t>of</w:t>
      </w:r>
      <w:r w:rsidR="00C026A6" w:rsidRPr="00EA59C0">
        <w:t xml:space="preserve"> </w:t>
      </w:r>
      <w:r w:rsidRPr="00EA59C0">
        <w:t>grant</w:t>
      </w:r>
      <w:r w:rsidR="00C026A6" w:rsidRPr="00EA59C0">
        <w:t xml:space="preserve"> </w:t>
      </w:r>
      <w:r w:rsidRPr="00EA59C0">
        <w:t>funds</w:t>
      </w:r>
      <w:r w:rsidR="00C026A6" w:rsidRPr="00EA59C0">
        <w:t xml:space="preserve"> </w:t>
      </w:r>
      <w:r w:rsidRPr="00EA59C0">
        <w:t>to</w:t>
      </w:r>
      <w:r w:rsidR="00C026A6" w:rsidRPr="00EA59C0">
        <w:t xml:space="preserve"> </w:t>
      </w:r>
      <w:r w:rsidRPr="00EA59C0">
        <w:t>pay</w:t>
      </w:r>
      <w:r w:rsidR="00C026A6" w:rsidRPr="00EA59C0">
        <w:t xml:space="preserve"> </w:t>
      </w:r>
      <w:r w:rsidRPr="00EA59C0">
        <w:t>an</w:t>
      </w:r>
      <w:r w:rsidR="00C026A6" w:rsidRPr="00EA59C0">
        <w:t xml:space="preserve"> </w:t>
      </w:r>
      <w:r w:rsidRPr="00EA59C0">
        <w:t>individual</w:t>
      </w:r>
      <w:r w:rsidR="00C026A6" w:rsidRPr="00EA59C0">
        <w:t xml:space="preserve"> </w:t>
      </w:r>
      <w:r w:rsidRPr="00EA59C0">
        <w:t>student’s</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costs,</w:t>
      </w:r>
      <w:r w:rsidR="00C026A6" w:rsidRPr="00EA59C0">
        <w:t xml:space="preserve"> </w:t>
      </w:r>
      <w:r w:rsidRPr="00EA59C0">
        <w:t>such</w:t>
      </w:r>
      <w:r w:rsidR="00C026A6" w:rsidRPr="00EA59C0">
        <w:t xml:space="preserve"> </w:t>
      </w:r>
      <w:r w:rsidRPr="00EA59C0">
        <w:t>as</w:t>
      </w:r>
      <w:r w:rsidR="00C026A6" w:rsidRPr="00EA59C0">
        <w:t xml:space="preserve"> </w:t>
      </w:r>
      <w:r w:rsidRPr="00EA59C0">
        <w:t>the</w:t>
      </w:r>
      <w:r w:rsidR="00C026A6" w:rsidRPr="00EA59C0">
        <w:t xml:space="preserve"> </w:t>
      </w:r>
      <w:r w:rsidRPr="00EA59C0">
        <w:t>cost</w:t>
      </w:r>
      <w:r w:rsidR="00C026A6" w:rsidRPr="00EA59C0">
        <w:t xml:space="preserve"> </w:t>
      </w:r>
      <w:r w:rsidRPr="00EA59C0">
        <w:t>of</w:t>
      </w:r>
      <w:r w:rsidR="00C026A6" w:rsidRPr="00EA59C0">
        <w:t xml:space="preserve"> </w:t>
      </w:r>
      <w:r w:rsidRPr="00EA59C0">
        <w:t>tuition</w:t>
      </w:r>
      <w:r w:rsidR="00C026A6" w:rsidRPr="00EA59C0">
        <w:t xml:space="preserve"> </w:t>
      </w:r>
      <w:r w:rsidRPr="00EA59C0">
        <w:t>(including</w:t>
      </w:r>
      <w:r w:rsidR="00C026A6" w:rsidRPr="00EA59C0">
        <w:t xml:space="preserve"> </w:t>
      </w:r>
      <w:r w:rsidRPr="00EA59C0">
        <w:t>scholarships),</w:t>
      </w:r>
      <w:r w:rsidR="00C026A6" w:rsidRPr="00EA59C0">
        <w:t xml:space="preserve"> </w:t>
      </w:r>
      <w:r w:rsidRPr="00EA59C0">
        <w:t>books,</w:t>
      </w:r>
      <w:r w:rsidR="00C026A6" w:rsidRPr="00EA59C0">
        <w:t xml:space="preserve"> </w:t>
      </w:r>
      <w:r w:rsidRPr="00EA59C0">
        <w:t>and</w:t>
      </w:r>
      <w:r w:rsidR="00C026A6" w:rsidRPr="00EA59C0">
        <w:t xml:space="preserve"> </w:t>
      </w:r>
      <w:r w:rsidRPr="00EA59C0">
        <w:t>academic</w:t>
      </w:r>
      <w:r w:rsidR="00C026A6" w:rsidRPr="00EA59C0">
        <w:t xml:space="preserve"> </w:t>
      </w:r>
      <w:r w:rsidRPr="00EA59C0">
        <w:t>fees.</w:t>
      </w:r>
      <w:r w:rsidR="00C026A6" w:rsidRPr="00EA59C0">
        <w:t xml:space="preserve">  </w:t>
      </w:r>
      <w:r w:rsidRPr="00EA59C0">
        <w:t>Unallowable</w:t>
      </w:r>
      <w:r w:rsidR="00C026A6" w:rsidRPr="00EA59C0">
        <w:t xml:space="preserve"> </w:t>
      </w:r>
      <w:r w:rsidRPr="00EA59C0">
        <w:t>academic</w:t>
      </w:r>
      <w:r w:rsidR="00C026A6" w:rsidRPr="00EA59C0">
        <w:t xml:space="preserve"> </w:t>
      </w:r>
      <w:r w:rsidRPr="00EA59C0">
        <w:t>fees</w:t>
      </w:r>
      <w:r w:rsidR="00C026A6" w:rsidRPr="00EA59C0">
        <w:t xml:space="preserve"> </w:t>
      </w:r>
      <w:r w:rsidRPr="00EA59C0">
        <w:t>include</w:t>
      </w:r>
      <w:r w:rsidR="00C026A6" w:rsidRPr="00EA59C0">
        <w:t xml:space="preserve"> </w:t>
      </w:r>
      <w:r w:rsidRPr="00EA59C0">
        <w:t>the</w:t>
      </w:r>
      <w:r w:rsidR="00C026A6" w:rsidRPr="00EA59C0">
        <w:t xml:space="preserve"> </w:t>
      </w:r>
      <w:r w:rsidRPr="00EA59C0">
        <w:t>testing</w:t>
      </w:r>
      <w:r w:rsidR="00C026A6" w:rsidRPr="00EA59C0">
        <w:t xml:space="preserve"> </w:t>
      </w:r>
      <w:r w:rsidRPr="00EA59C0">
        <w:t>and</w:t>
      </w:r>
      <w:r w:rsidR="00C026A6" w:rsidRPr="00EA59C0">
        <w:t xml:space="preserve"> </w:t>
      </w:r>
      <w:r w:rsidRPr="00EA59C0">
        <w:t>licensure</w:t>
      </w:r>
      <w:r w:rsidR="00C026A6" w:rsidRPr="00EA59C0">
        <w:t xml:space="preserve"> </w:t>
      </w:r>
      <w:r w:rsidRPr="00EA59C0">
        <w:t>fees</w:t>
      </w:r>
      <w:r w:rsidR="00C026A6" w:rsidRPr="00EA59C0">
        <w:t xml:space="preserve"> </w:t>
      </w:r>
      <w:r w:rsidRPr="00EA59C0">
        <w:t>required</w:t>
      </w:r>
      <w:r w:rsidR="00C026A6" w:rsidRPr="00EA59C0">
        <w:t xml:space="preserve"> </w:t>
      </w:r>
      <w:r w:rsidRPr="00EA59C0">
        <w:t>for</w:t>
      </w:r>
      <w:r w:rsidR="00C026A6" w:rsidRPr="00EA59C0">
        <w:t xml:space="preserve"> </w:t>
      </w:r>
      <w:r w:rsidRPr="00EA59C0">
        <w:t>individual</w:t>
      </w:r>
      <w:r w:rsidR="00C026A6" w:rsidRPr="00EA59C0">
        <w:t xml:space="preserve"> </w:t>
      </w:r>
      <w:r w:rsidRPr="00EA59C0">
        <w:t>students</w:t>
      </w:r>
      <w:r w:rsidR="00C026A6" w:rsidRPr="00EA59C0">
        <w:t xml:space="preserve"> </w:t>
      </w:r>
      <w:r w:rsidRPr="00EA59C0">
        <w:t>to</w:t>
      </w:r>
      <w:r w:rsidR="00C026A6" w:rsidRPr="00EA59C0">
        <w:t xml:space="preserve"> </w:t>
      </w:r>
      <w:r w:rsidRPr="00EA59C0">
        <w:t>receive</w:t>
      </w:r>
      <w:r w:rsidR="00C026A6" w:rsidRPr="00EA59C0">
        <w:t xml:space="preserve"> </w:t>
      </w:r>
      <w:r w:rsidRPr="00EA59C0">
        <w:t>an</w:t>
      </w:r>
      <w:r w:rsidR="00C026A6" w:rsidRPr="00EA59C0">
        <w:t xml:space="preserve"> </w:t>
      </w:r>
      <w:r w:rsidRPr="00EA59C0">
        <w:t>industry-recognized</w:t>
      </w:r>
      <w:r w:rsidR="00C026A6" w:rsidRPr="00EA59C0">
        <w:t xml:space="preserve"> </w:t>
      </w:r>
      <w:r w:rsidRPr="00EA59C0">
        <w:t>credential.</w:t>
      </w:r>
      <w:r w:rsidR="00C026A6" w:rsidRPr="00EA59C0">
        <w:t xml:space="preserve">  </w:t>
      </w:r>
      <w:r w:rsidRPr="00EA59C0">
        <w:t>Other</w:t>
      </w:r>
      <w:r w:rsidR="00C026A6" w:rsidRPr="00EA59C0">
        <w:t xml:space="preserve"> </w:t>
      </w:r>
      <w:r w:rsidRPr="00EA59C0">
        <w:t>unallowable</w:t>
      </w:r>
      <w:r w:rsidR="00C026A6" w:rsidRPr="00EA59C0">
        <w:t xml:space="preserve"> </w:t>
      </w:r>
      <w:r w:rsidRPr="00EA59C0">
        <w:t>activities</w:t>
      </w:r>
      <w:r w:rsidR="00C026A6" w:rsidRPr="00EA59C0">
        <w:t xml:space="preserve"> </w:t>
      </w:r>
      <w:r w:rsidRPr="00EA59C0">
        <w:t>include</w:t>
      </w:r>
      <w:r w:rsidR="00C026A6" w:rsidRPr="00EA59C0">
        <w:t xml:space="preserve"> </w:t>
      </w:r>
      <w:r w:rsidRPr="00EA59C0">
        <w:t>incentive</w:t>
      </w:r>
      <w:r w:rsidR="00C026A6" w:rsidRPr="00EA59C0">
        <w:t xml:space="preserve"> </w:t>
      </w:r>
      <w:r w:rsidRPr="00EA59C0">
        <w:t>payments</w:t>
      </w:r>
      <w:r w:rsidR="00C026A6" w:rsidRPr="00EA59C0">
        <w:t xml:space="preserve"> </w:t>
      </w:r>
      <w:r w:rsidRPr="00EA59C0">
        <w:t>for</w:t>
      </w:r>
      <w:r w:rsidR="00C026A6" w:rsidRPr="00EA59C0">
        <w:t xml:space="preserve"> </w:t>
      </w:r>
      <w:r w:rsidRPr="00EA59C0">
        <w:t>participants</w:t>
      </w:r>
      <w:r w:rsidR="00C026A6" w:rsidRPr="00EA59C0">
        <w:t xml:space="preserve"> </w:t>
      </w:r>
      <w:r w:rsidRPr="00EA59C0">
        <w:t>such</w:t>
      </w:r>
      <w:r w:rsidR="00C026A6" w:rsidRPr="00EA59C0">
        <w:t xml:space="preserve"> </w:t>
      </w:r>
      <w:r w:rsidRPr="00EA59C0">
        <w:t>as</w:t>
      </w:r>
      <w:r w:rsidR="00C026A6" w:rsidRPr="00EA59C0">
        <w:t xml:space="preserve"> </w:t>
      </w:r>
      <w:r w:rsidRPr="00EA59C0">
        <w:t>performance-based</w:t>
      </w:r>
      <w:r w:rsidR="00C026A6" w:rsidRPr="00EA59C0">
        <w:t xml:space="preserve"> </w:t>
      </w:r>
      <w:r w:rsidRPr="00EA59C0">
        <w:t>cash</w:t>
      </w:r>
      <w:r w:rsidR="00C026A6" w:rsidRPr="00EA59C0">
        <w:t xml:space="preserve"> </w:t>
      </w:r>
      <w:r w:rsidRPr="00EA59C0">
        <w:t>bonuses;</w:t>
      </w:r>
      <w:r w:rsidR="00C026A6" w:rsidRPr="00EA59C0">
        <w:t xml:space="preserve"> </w:t>
      </w:r>
      <w:r w:rsidRPr="00EA59C0">
        <w:t>WIA</w:t>
      </w:r>
      <w:r w:rsidR="00C026A6" w:rsidRPr="00EA59C0">
        <w:t xml:space="preserve"> </w:t>
      </w:r>
      <w:r w:rsidRPr="00EA59C0">
        <w:t>supportive</w:t>
      </w:r>
      <w:r w:rsidR="00C026A6" w:rsidRPr="00EA59C0">
        <w:t xml:space="preserve"> </w:t>
      </w:r>
      <w:r w:rsidRPr="00EA59C0">
        <w:t>services;</w:t>
      </w:r>
      <w:r w:rsidR="00C026A6" w:rsidRPr="00EA59C0">
        <w:t xml:space="preserve"> </w:t>
      </w:r>
      <w:r w:rsidRPr="00EA59C0">
        <w:t>wages</w:t>
      </w:r>
      <w:r w:rsidR="00C026A6" w:rsidRPr="00EA59C0">
        <w:t xml:space="preserve"> </w:t>
      </w:r>
      <w:r w:rsidRPr="00EA59C0">
        <w:t>of</w:t>
      </w:r>
      <w:r w:rsidR="00C026A6" w:rsidRPr="00EA59C0">
        <w:t xml:space="preserve"> </w:t>
      </w:r>
      <w:r w:rsidRPr="00EA59C0">
        <w:t>participants</w:t>
      </w:r>
      <w:r w:rsidR="00C026A6" w:rsidRPr="00EA59C0">
        <w:t xml:space="preserve"> </w:t>
      </w:r>
      <w:r w:rsidRPr="00EA59C0">
        <w:t>(including</w:t>
      </w:r>
      <w:r w:rsidR="00C026A6" w:rsidRPr="00EA59C0">
        <w:t xml:space="preserve"> </w:t>
      </w:r>
      <w:r w:rsidRPr="00EA59C0">
        <w:t>the</w:t>
      </w:r>
      <w:r w:rsidR="00C026A6" w:rsidRPr="00EA59C0">
        <w:t xml:space="preserve"> </w:t>
      </w:r>
      <w:r w:rsidRPr="00EA59C0">
        <w:t>wages</w:t>
      </w:r>
      <w:r w:rsidR="00C026A6" w:rsidRPr="00EA59C0">
        <w:t xml:space="preserve"> </w:t>
      </w:r>
      <w:r w:rsidRPr="00EA59C0">
        <w:t>of</w:t>
      </w:r>
      <w:r w:rsidR="00C026A6" w:rsidRPr="00EA59C0">
        <w:t xml:space="preserve"> </w:t>
      </w:r>
      <w:r w:rsidRPr="00EA59C0">
        <w:t>students</w:t>
      </w:r>
      <w:r w:rsidR="00C026A6" w:rsidRPr="00EA59C0">
        <w:t xml:space="preserve"> </w:t>
      </w:r>
      <w:r w:rsidRPr="00EA59C0">
        <w:t>participating</w:t>
      </w:r>
      <w:r w:rsidR="00C026A6" w:rsidRPr="00EA59C0">
        <w:t xml:space="preserve"> </w:t>
      </w:r>
      <w:r w:rsidRPr="00EA59C0">
        <w:t>in</w:t>
      </w:r>
      <w:r w:rsidR="00C026A6" w:rsidRPr="00EA59C0">
        <w:t xml:space="preserve"> </w:t>
      </w:r>
      <w:r w:rsidRPr="00EA59C0">
        <w:t>co-operative</w:t>
      </w:r>
      <w:r w:rsidR="00C026A6" w:rsidRPr="00EA59C0">
        <w:t xml:space="preserve"> </w:t>
      </w:r>
      <w:r w:rsidRPr="00EA59C0">
        <w:t>education</w:t>
      </w:r>
      <w:r w:rsidR="00C026A6" w:rsidRPr="00EA59C0">
        <w:t xml:space="preserve"> </w:t>
      </w:r>
      <w:r w:rsidRPr="00EA59C0">
        <w:t>programs,</w:t>
      </w:r>
      <w:r w:rsidR="00C026A6" w:rsidRPr="00EA59C0">
        <w:t xml:space="preserve"> </w:t>
      </w:r>
      <w:r w:rsidRPr="00EA59C0">
        <w:t>Registered</w:t>
      </w:r>
      <w:r w:rsidR="00C026A6" w:rsidRPr="00EA59C0">
        <w:t xml:space="preserve"> </w:t>
      </w:r>
      <w:r w:rsidRPr="00EA59C0">
        <w:t>Apprenticeship,</w:t>
      </w:r>
      <w:r w:rsidR="00C026A6" w:rsidRPr="00EA59C0">
        <w:t xml:space="preserve"> </w:t>
      </w:r>
      <w:r w:rsidRPr="00EA59C0">
        <w:t>on-the-job</w:t>
      </w:r>
      <w:r w:rsidR="00C026A6" w:rsidRPr="00EA59C0">
        <w:t xml:space="preserve"> </w:t>
      </w:r>
      <w:r w:rsidRPr="00EA59C0">
        <w:t>training,</w:t>
      </w:r>
      <w:r w:rsidR="00C026A6" w:rsidRPr="00EA59C0">
        <w:t xml:space="preserve"> </w:t>
      </w:r>
      <w:r w:rsidRPr="00EA59C0">
        <w:t>work-based</w:t>
      </w:r>
      <w:r w:rsidR="00C026A6" w:rsidRPr="00EA59C0">
        <w:t xml:space="preserve"> </w:t>
      </w:r>
      <w:r w:rsidRPr="00EA59C0">
        <w:t>training,</w:t>
      </w:r>
      <w:r w:rsidR="00C026A6" w:rsidRPr="00EA59C0">
        <w:t xml:space="preserve"> </w:t>
      </w:r>
      <w:r w:rsidRPr="00EA59C0">
        <w:t>or</w:t>
      </w:r>
      <w:r w:rsidR="00C026A6" w:rsidRPr="00EA59C0">
        <w:t xml:space="preserve"> </w:t>
      </w:r>
      <w:r w:rsidRPr="00EA59C0">
        <w:t>internships)</w:t>
      </w:r>
      <w:r w:rsidR="00C026A6" w:rsidRPr="00EA59C0">
        <w:t xml:space="preserve"> </w:t>
      </w:r>
      <w:r w:rsidRPr="00EA59C0">
        <w:t>and</w:t>
      </w:r>
      <w:r w:rsidR="00C026A6" w:rsidRPr="00EA59C0">
        <w:t xml:space="preserve"> </w:t>
      </w:r>
      <w:r w:rsidRPr="00EA59C0">
        <w:t>stipends</w:t>
      </w:r>
      <w:r w:rsidR="00C026A6" w:rsidRPr="00EA59C0">
        <w:t xml:space="preserve"> </w:t>
      </w:r>
      <w:r w:rsidRPr="00EA59C0">
        <w:t>for</w:t>
      </w:r>
      <w:r w:rsidR="00C026A6" w:rsidRPr="00EA59C0">
        <w:t xml:space="preserve"> </w:t>
      </w:r>
      <w:r w:rsidRPr="00EA59C0">
        <w:t>wage</w:t>
      </w:r>
      <w:r w:rsidR="00C026A6" w:rsidRPr="00EA59C0">
        <w:t xml:space="preserve"> </w:t>
      </w:r>
      <w:r w:rsidRPr="00EA59C0">
        <w:t>replacement</w:t>
      </w:r>
      <w:r w:rsidR="00C026A6" w:rsidRPr="00EA59C0">
        <w:t xml:space="preserve"> </w:t>
      </w:r>
      <w:r w:rsidRPr="00EA59C0">
        <w:t>of</w:t>
      </w:r>
      <w:r w:rsidR="00C026A6" w:rsidRPr="00EA59C0">
        <w:t xml:space="preserve"> </w:t>
      </w:r>
      <w:r w:rsidRPr="00EA59C0">
        <w:t>participants;</w:t>
      </w:r>
      <w:r w:rsidR="00C026A6" w:rsidRPr="00EA59C0">
        <w:t xml:space="preserve"> </w:t>
      </w:r>
      <w:r w:rsidRPr="00EA59C0">
        <w:t>the</w:t>
      </w:r>
      <w:r w:rsidR="00C026A6" w:rsidRPr="00EA59C0">
        <w:t xml:space="preserve"> </w:t>
      </w:r>
      <w:r w:rsidRPr="00EA59C0">
        <w:t>purchase</w:t>
      </w:r>
      <w:r w:rsidR="00C026A6" w:rsidRPr="00EA59C0">
        <w:t xml:space="preserve"> </w:t>
      </w:r>
      <w:r w:rsidRPr="00EA59C0">
        <w:t>of</w:t>
      </w:r>
      <w:r w:rsidR="00C026A6" w:rsidRPr="00EA59C0">
        <w:t xml:space="preserve"> </w:t>
      </w:r>
      <w:r w:rsidRPr="00EA59C0">
        <w:t>real</w:t>
      </w:r>
      <w:r w:rsidR="00C026A6" w:rsidRPr="00EA59C0">
        <w:t xml:space="preserve"> </w:t>
      </w:r>
      <w:r w:rsidRPr="00EA59C0">
        <w:t>property;</w:t>
      </w:r>
      <w:r w:rsidR="00C026A6" w:rsidRPr="00EA59C0">
        <w:t xml:space="preserve"> </w:t>
      </w:r>
      <w:r w:rsidRPr="00EA59C0">
        <w:t>and</w:t>
      </w:r>
      <w:r w:rsidR="00C026A6" w:rsidRPr="00EA59C0">
        <w:t xml:space="preserve"> </w:t>
      </w:r>
      <w:r w:rsidRPr="00EA59C0">
        <w:t>construction.</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ensure</w:t>
      </w:r>
      <w:r w:rsidR="00C026A6" w:rsidRPr="00EA59C0">
        <w:t xml:space="preserve"> </w:t>
      </w:r>
      <w:r w:rsidRPr="00EA59C0">
        <w:t>they</w:t>
      </w:r>
      <w:r w:rsidR="00C026A6" w:rsidRPr="00EA59C0">
        <w:t xml:space="preserve"> </w:t>
      </w:r>
      <w:r w:rsidRPr="00EA59C0">
        <w:t>do</w:t>
      </w:r>
      <w:r w:rsidR="00C026A6" w:rsidRPr="00EA59C0">
        <w:t xml:space="preserve"> </w:t>
      </w:r>
      <w:r w:rsidRPr="00EA59C0">
        <w:t>not</w:t>
      </w:r>
      <w:r w:rsidR="00C026A6" w:rsidRPr="00EA59C0">
        <w:t xml:space="preserve"> </w:t>
      </w:r>
      <w:r w:rsidRPr="00EA59C0">
        <w:t>propose</w:t>
      </w:r>
      <w:r w:rsidR="00C026A6" w:rsidRPr="00EA59C0">
        <w:t xml:space="preserve"> </w:t>
      </w:r>
      <w:r w:rsidRPr="00EA59C0">
        <w:t>the</w:t>
      </w:r>
      <w:r w:rsidR="00C026A6" w:rsidRPr="00EA59C0">
        <w:t xml:space="preserve"> </w:t>
      </w:r>
      <w:r w:rsidRPr="00EA59C0">
        <w:t>unallowable</w:t>
      </w:r>
      <w:r w:rsidR="00C026A6" w:rsidRPr="00EA59C0">
        <w:t xml:space="preserve"> </w:t>
      </w:r>
      <w:r w:rsidRPr="00EA59C0">
        <w:t>activities</w:t>
      </w:r>
      <w:r w:rsidR="00C026A6" w:rsidRPr="00EA59C0">
        <w:t xml:space="preserve"> </w:t>
      </w:r>
      <w:r w:rsidRPr="00EA59C0">
        <w:t>listed</w:t>
      </w:r>
      <w:r w:rsidR="00C026A6" w:rsidRPr="00EA59C0">
        <w:t xml:space="preserve"> </w:t>
      </w:r>
      <w:r w:rsidRPr="00EA59C0">
        <w:t>above.</w:t>
      </w:r>
      <w:r w:rsidR="00C026A6" w:rsidRPr="00EA59C0">
        <w:t xml:space="preserve">  </w:t>
      </w:r>
      <w:r w:rsidRPr="00EA59C0">
        <w:t>Some</w:t>
      </w:r>
      <w:r w:rsidR="00C026A6" w:rsidRPr="00EA59C0">
        <w:t xml:space="preserve"> </w:t>
      </w:r>
      <w:r w:rsidRPr="00EA59C0">
        <w:t>of</w:t>
      </w:r>
      <w:r w:rsidR="00C026A6" w:rsidRPr="00EA59C0">
        <w:t xml:space="preserve"> </w:t>
      </w:r>
      <w:r w:rsidRPr="00EA59C0">
        <w:t>these</w:t>
      </w:r>
      <w:r w:rsidR="00C026A6" w:rsidRPr="00EA59C0">
        <w:t xml:space="preserve"> </w:t>
      </w:r>
      <w:r w:rsidRPr="00EA59C0">
        <w:t>activities</w:t>
      </w:r>
      <w:r w:rsidR="00C026A6" w:rsidRPr="00EA59C0">
        <w:t xml:space="preserve"> </w:t>
      </w:r>
      <w:r w:rsidRPr="00EA59C0">
        <w:t>may</w:t>
      </w:r>
      <w:r w:rsidR="00C026A6" w:rsidRPr="00EA59C0">
        <w:t xml:space="preserve"> </w:t>
      </w:r>
      <w:r w:rsidRPr="00EA59C0">
        <w:t>duplicate</w:t>
      </w:r>
      <w:r w:rsidR="00C026A6" w:rsidRPr="00EA59C0">
        <w:t xml:space="preserve"> </w:t>
      </w:r>
      <w:r w:rsidRPr="00EA59C0">
        <w:t>services</w:t>
      </w:r>
      <w:r w:rsidR="00C026A6" w:rsidRPr="00EA59C0">
        <w:t xml:space="preserve"> </w:t>
      </w:r>
      <w:r w:rsidRPr="00EA59C0">
        <w:t>and</w:t>
      </w:r>
      <w:r w:rsidR="00C026A6" w:rsidRPr="00EA59C0">
        <w:t xml:space="preserve"> </w:t>
      </w:r>
      <w:r w:rsidRPr="00EA59C0">
        <w:t>benefits</w:t>
      </w:r>
      <w:r w:rsidR="00C026A6" w:rsidRPr="00EA59C0">
        <w:t xml:space="preserve"> </w:t>
      </w:r>
      <w:r w:rsidRPr="00EA59C0">
        <w:t>provided</w:t>
      </w:r>
      <w:r w:rsidR="00C026A6" w:rsidRPr="00EA59C0">
        <w:t xml:space="preserve"> </w:t>
      </w:r>
      <w:r w:rsidRPr="00EA59C0">
        <w:t>to</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For</w:t>
      </w:r>
      <w:r w:rsidR="00C026A6" w:rsidRPr="00EA59C0">
        <w:t xml:space="preserve"> </w:t>
      </w:r>
      <w:r w:rsidRPr="00EA59C0">
        <w:t>example,</w:t>
      </w:r>
      <w:r w:rsidR="00C026A6" w:rsidRPr="00EA59C0">
        <w:t xml:space="preserve"> </w:t>
      </w:r>
      <w:r w:rsidRPr="00EA59C0">
        <w:t>TAA-eligible</w:t>
      </w:r>
      <w:r w:rsidR="00C026A6" w:rsidRPr="00EA59C0">
        <w:t xml:space="preserve"> </w:t>
      </w:r>
      <w:r w:rsidRPr="00EA59C0">
        <w:t>participants</w:t>
      </w:r>
      <w:r w:rsidR="00C026A6" w:rsidRPr="00EA59C0">
        <w:t xml:space="preserve"> </w:t>
      </w:r>
      <w:r w:rsidRPr="00EA59C0">
        <w:t>in</w:t>
      </w:r>
      <w:r w:rsidR="00C026A6" w:rsidRPr="00EA59C0">
        <w:t xml:space="preserve"> </w:t>
      </w:r>
      <w:r w:rsidRPr="00EA59C0">
        <w:t>TAACCCT-funded</w:t>
      </w:r>
      <w:r w:rsidR="00C026A6" w:rsidRPr="00EA59C0">
        <w:t xml:space="preserve"> </w:t>
      </w:r>
      <w:r w:rsidRPr="00EA59C0">
        <w:t>programs</w:t>
      </w:r>
      <w:r w:rsidR="00C026A6" w:rsidRPr="00EA59C0">
        <w:t xml:space="preserve"> </w:t>
      </w:r>
      <w:r w:rsidRPr="00EA59C0">
        <w:t>are</w:t>
      </w:r>
      <w:r w:rsidR="00C026A6" w:rsidRPr="00EA59C0">
        <w:t xml:space="preserve"> </w:t>
      </w:r>
      <w:r w:rsidRPr="00EA59C0">
        <w:t>entitled</w:t>
      </w:r>
      <w:r w:rsidR="00C026A6" w:rsidRPr="00EA59C0">
        <w:t xml:space="preserve"> </w:t>
      </w:r>
      <w:r w:rsidRPr="00EA59C0">
        <w:t>to</w:t>
      </w:r>
      <w:r w:rsidR="00C026A6" w:rsidRPr="00EA59C0">
        <w:t xml:space="preserve"> </w:t>
      </w:r>
      <w:r w:rsidRPr="00EA59C0">
        <w:t>TAA</w:t>
      </w:r>
      <w:r w:rsidR="00C026A6" w:rsidRPr="00EA59C0">
        <w:t xml:space="preserve"> </w:t>
      </w:r>
      <w:r w:rsidRPr="00EA59C0">
        <w:t>benefits,</w:t>
      </w:r>
      <w:r w:rsidR="00C026A6" w:rsidRPr="00EA59C0">
        <w:t xml:space="preserve"> </w:t>
      </w:r>
      <w:r w:rsidRPr="00EA59C0">
        <w:t>including</w:t>
      </w:r>
      <w:r w:rsidR="00C026A6" w:rsidRPr="00EA59C0">
        <w:t xml:space="preserve"> </w:t>
      </w:r>
      <w:r w:rsidRPr="00EA59C0">
        <w:t>tuition</w:t>
      </w:r>
      <w:r w:rsidR="00C026A6" w:rsidRPr="00EA59C0">
        <w:t xml:space="preserve"> </w:t>
      </w:r>
      <w:r w:rsidRPr="00EA59C0">
        <w:t>and</w:t>
      </w:r>
      <w:r w:rsidR="00C026A6" w:rsidRPr="00EA59C0">
        <w:t xml:space="preserve"> </w:t>
      </w:r>
      <w:r w:rsidRPr="00EA59C0">
        <w:t>related</w:t>
      </w:r>
      <w:r w:rsidR="00C026A6" w:rsidRPr="00EA59C0">
        <w:t xml:space="preserve"> </w:t>
      </w:r>
      <w:r w:rsidRPr="00EA59C0">
        <w:t>necessary</w:t>
      </w:r>
      <w:r w:rsidR="00C026A6" w:rsidRPr="00EA59C0">
        <w:t xml:space="preserve"> </w:t>
      </w:r>
      <w:r w:rsidRPr="00EA59C0">
        <w:t>and</w:t>
      </w:r>
      <w:r w:rsidR="00C026A6" w:rsidRPr="00EA59C0">
        <w:t xml:space="preserve"> </w:t>
      </w:r>
      <w:r w:rsidRPr="00EA59C0">
        <w:t>approved</w:t>
      </w:r>
      <w:r w:rsidR="00C026A6" w:rsidRPr="00EA59C0">
        <w:t xml:space="preserve"> </w:t>
      </w:r>
      <w:r w:rsidRPr="00EA59C0">
        <w:t>expenses</w:t>
      </w:r>
      <w:r w:rsidR="00C026A6" w:rsidRPr="00EA59C0">
        <w:t xml:space="preserve"> </w:t>
      </w:r>
      <w:r w:rsidRPr="00EA59C0">
        <w:t>such</w:t>
      </w:r>
      <w:r w:rsidR="00C026A6" w:rsidRPr="00EA59C0">
        <w:t xml:space="preserve"> </w:t>
      </w:r>
      <w:r w:rsidRPr="00EA59C0">
        <w:t>as</w:t>
      </w:r>
      <w:r w:rsidR="00C026A6" w:rsidRPr="00EA59C0">
        <w:t xml:space="preserve"> </w:t>
      </w:r>
      <w:r w:rsidRPr="00EA59C0">
        <w:t>books,</w:t>
      </w:r>
      <w:r w:rsidR="00C026A6" w:rsidRPr="00EA59C0">
        <w:t xml:space="preserve"> </w:t>
      </w:r>
      <w:r w:rsidRPr="00EA59C0">
        <w:t>tools,</w:t>
      </w:r>
      <w:r w:rsidR="00C026A6" w:rsidRPr="00EA59C0">
        <w:t xml:space="preserve"> </w:t>
      </w:r>
      <w:r w:rsidRPr="00EA59C0">
        <w:t>academic</w:t>
      </w:r>
      <w:r w:rsidR="00C026A6" w:rsidRPr="00EA59C0">
        <w:t xml:space="preserve"> </w:t>
      </w:r>
      <w:r w:rsidRPr="00EA59C0">
        <w:t>fees,</w:t>
      </w:r>
      <w:r w:rsidR="00C026A6" w:rsidRPr="00EA59C0">
        <w:t xml:space="preserve"> </w:t>
      </w:r>
      <w:r w:rsidRPr="00EA59C0">
        <w:t>travel</w:t>
      </w:r>
      <w:r w:rsidR="00C026A6" w:rsidRPr="00EA59C0">
        <w:t xml:space="preserve"> </w:t>
      </w:r>
      <w:r w:rsidRPr="00EA59C0">
        <w:t>or</w:t>
      </w:r>
      <w:r w:rsidR="00C026A6" w:rsidRPr="00EA59C0">
        <w:t xml:space="preserve"> </w:t>
      </w:r>
      <w:r w:rsidRPr="00EA59C0">
        <w:t>transportation</w:t>
      </w:r>
      <w:r w:rsidR="00C026A6" w:rsidRPr="00EA59C0">
        <w:t xml:space="preserve"> </w:t>
      </w:r>
      <w:r w:rsidRPr="00EA59C0">
        <w:t>expenses,</w:t>
      </w:r>
      <w:r w:rsidR="00C026A6" w:rsidRPr="00EA59C0">
        <w:t xml:space="preserve"> </w:t>
      </w:r>
      <w:r w:rsidRPr="00EA59C0">
        <w:t>and</w:t>
      </w:r>
      <w:r w:rsidR="00C026A6" w:rsidRPr="00EA59C0">
        <w:t xml:space="preserve"> </w:t>
      </w:r>
      <w:r w:rsidRPr="00EA59C0">
        <w:t>subsistence</w:t>
      </w:r>
      <w:r w:rsidR="00C026A6" w:rsidRPr="00EA59C0">
        <w:t xml:space="preserve"> </w:t>
      </w:r>
      <w:r w:rsidRPr="00EA59C0">
        <w:t>expenses.</w:t>
      </w:r>
    </w:p>
    <w:p w:rsidR="00DE4621" w:rsidRPr="00EA59C0" w:rsidRDefault="00DE4621" w:rsidP="00C072FA">
      <w:pPr>
        <w:widowControl w:val="0"/>
        <w:adjustRightInd w:val="0"/>
        <w:ind w:left="1080"/>
        <w:textAlignment w:val="baseline"/>
      </w:pPr>
    </w:p>
    <w:p w:rsidR="005033BD" w:rsidRPr="00EA59C0" w:rsidRDefault="005033BD" w:rsidP="00C072FA">
      <w:pPr>
        <w:widowControl w:val="0"/>
        <w:adjustRightInd w:val="0"/>
        <w:ind w:left="1080"/>
        <w:textAlignment w:val="baseline"/>
      </w:pPr>
      <w:r w:rsidRPr="00EA59C0">
        <w:t>Applicants</w:t>
      </w:r>
      <w:r w:rsidR="00C026A6" w:rsidRPr="00EA59C0">
        <w:t xml:space="preserve"> </w:t>
      </w:r>
      <w:r w:rsidRPr="00EA59C0">
        <w:t>may</w:t>
      </w:r>
      <w:r w:rsidR="00C026A6" w:rsidRPr="00EA59C0">
        <w:t xml:space="preserve"> </w:t>
      </w:r>
      <w:r w:rsidRPr="00EA59C0">
        <w:t>not</w:t>
      </w:r>
      <w:r w:rsidR="00C026A6" w:rsidRPr="00EA59C0">
        <w:t xml:space="preserve"> </w:t>
      </w:r>
      <w:r w:rsidRPr="00EA59C0">
        <w:t>use</w:t>
      </w:r>
      <w:r w:rsidR="00C026A6" w:rsidRPr="00EA59C0">
        <w:t xml:space="preserve"> </w:t>
      </w:r>
      <w:r w:rsidRPr="00EA59C0">
        <w:t>grant</w:t>
      </w:r>
      <w:r w:rsidR="00C026A6" w:rsidRPr="00EA59C0">
        <w:t xml:space="preserve"> </w:t>
      </w:r>
      <w:r w:rsidRPr="00EA59C0">
        <w:t>funds</w:t>
      </w:r>
      <w:r w:rsidR="00C026A6" w:rsidRPr="00EA59C0">
        <w:t xml:space="preserve"> </w:t>
      </w:r>
      <w:r w:rsidRPr="00EA59C0">
        <w:t>to</w:t>
      </w:r>
      <w:r w:rsidR="00C026A6" w:rsidRPr="00EA59C0">
        <w:t xml:space="preserve"> </w:t>
      </w:r>
      <w:r w:rsidRPr="00EA59C0">
        <w:t>supplant</w:t>
      </w:r>
      <w:r w:rsidR="00C026A6" w:rsidRPr="00EA59C0">
        <w:t xml:space="preserve"> </w:t>
      </w:r>
      <w:r w:rsidRPr="00EA59C0">
        <w:t>other</w:t>
      </w:r>
      <w:r w:rsidR="00C026A6" w:rsidRPr="00EA59C0">
        <w:t xml:space="preserve"> </w:t>
      </w:r>
      <w:r w:rsidRPr="00EA59C0">
        <w:t>funding</w:t>
      </w:r>
      <w:r w:rsidR="00C026A6" w:rsidRPr="00EA59C0">
        <w:t xml:space="preserve"> </w:t>
      </w:r>
      <w:r w:rsidRPr="00EA59C0">
        <w:t>sources</w:t>
      </w:r>
      <w:r w:rsidR="00C026A6" w:rsidRPr="00EA59C0">
        <w:t xml:space="preserve"> </w:t>
      </w:r>
      <w:r w:rsidRPr="00EA59C0">
        <w:t>they</w:t>
      </w:r>
      <w:r w:rsidR="00C026A6" w:rsidRPr="00EA59C0">
        <w:t xml:space="preserve"> </w:t>
      </w:r>
      <w:r w:rsidRPr="00EA59C0">
        <w:t>are</w:t>
      </w:r>
      <w:r w:rsidR="00C026A6" w:rsidRPr="00EA59C0">
        <w:t xml:space="preserve"> </w:t>
      </w:r>
      <w:r w:rsidRPr="00EA59C0">
        <w:t>currently</w:t>
      </w:r>
      <w:r w:rsidR="00C026A6" w:rsidRPr="00EA59C0">
        <w:t xml:space="preserve"> </w:t>
      </w:r>
      <w:r w:rsidRPr="00EA59C0">
        <w:t>using</w:t>
      </w:r>
      <w:r w:rsidR="00C026A6" w:rsidRPr="00EA59C0">
        <w:t xml:space="preserve"> </w:t>
      </w:r>
      <w:r w:rsidRPr="00EA59C0">
        <w:t>to</w:t>
      </w:r>
      <w:r w:rsidR="00C026A6" w:rsidRPr="00EA59C0">
        <w:t xml:space="preserve"> </w:t>
      </w:r>
      <w:r w:rsidRPr="00EA59C0">
        <w:t>fund</w:t>
      </w:r>
      <w:r w:rsidR="00C026A6" w:rsidRPr="00EA59C0">
        <w:t xml:space="preserve"> </w:t>
      </w:r>
      <w:r w:rsidRPr="00EA59C0">
        <w:t>existing</w:t>
      </w:r>
      <w:r w:rsidR="00C026A6" w:rsidRPr="00EA59C0">
        <w:t xml:space="preserve"> </w:t>
      </w:r>
      <w:r w:rsidRPr="00EA59C0">
        <w:t>activities.</w:t>
      </w:r>
    </w:p>
    <w:p w:rsidR="005033BD" w:rsidRPr="00EA59C0" w:rsidRDefault="005033BD" w:rsidP="00C072FA">
      <w:pPr>
        <w:widowControl w:val="0"/>
        <w:adjustRightInd w:val="0"/>
        <w:textAlignment w:val="baseline"/>
      </w:pPr>
    </w:p>
    <w:p w:rsidR="007470AB" w:rsidRPr="00EA59C0" w:rsidRDefault="007470AB" w:rsidP="00C072FA">
      <w:pPr>
        <w:pStyle w:val="Heading3"/>
        <w:numPr>
          <w:ilvl w:val="2"/>
          <w:numId w:val="17"/>
        </w:numPr>
        <w:rPr>
          <w:color w:val="auto"/>
        </w:rPr>
      </w:pPr>
      <w:r w:rsidRPr="00EA59C0">
        <w:rPr>
          <w:color w:val="auto"/>
        </w:rPr>
        <w:t>Indirect</w:t>
      </w:r>
      <w:r w:rsidR="00C026A6" w:rsidRPr="00EA59C0">
        <w:rPr>
          <w:color w:val="auto"/>
        </w:rPr>
        <w:t xml:space="preserve"> </w:t>
      </w:r>
      <w:r w:rsidRPr="00EA59C0">
        <w:rPr>
          <w:color w:val="auto"/>
        </w:rPr>
        <w:t>Costs</w:t>
      </w:r>
    </w:p>
    <w:p w:rsidR="007470AB" w:rsidRPr="00EA59C0" w:rsidRDefault="007470AB" w:rsidP="00080097">
      <w:pPr>
        <w:widowControl w:val="0"/>
        <w:adjustRightInd w:val="0"/>
        <w:ind w:left="1080"/>
        <w:textAlignment w:val="baseline"/>
      </w:pPr>
      <w:r w:rsidRPr="00EA59C0">
        <w:t>As</w:t>
      </w:r>
      <w:r w:rsidR="00C026A6" w:rsidRPr="00EA59C0">
        <w:t xml:space="preserve"> </w:t>
      </w:r>
      <w:r w:rsidRPr="00EA59C0">
        <w:t>specified</w:t>
      </w:r>
      <w:r w:rsidR="00C026A6" w:rsidRPr="00EA59C0">
        <w:t xml:space="preserve"> </w:t>
      </w:r>
      <w:r w:rsidRPr="00EA59C0">
        <w:t>in</w:t>
      </w:r>
      <w:r w:rsidR="00C026A6" w:rsidRPr="00EA59C0">
        <w:t xml:space="preserve"> </w:t>
      </w:r>
      <w:r w:rsidRPr="00EA59C0">
        <w:t>OMB</w:t>
      </w:r>
      <w:r w:rsidR="00C026A6" w:rsidRPr="00EA59C0">
        <w:t xml:space="preserve"> </w:t>
      </w:r>
      <w:r w:rsidRPr="00EA59C0">
        <w:t>Circular</w:t>
      </w:r>
      <w:r w:rsidR="00C026A6" w:rsidRPr="00EA59C0">
        <w:t xml:space="preserve"> </w:t>
      </w:r>
      <w:r w:rsidRPr="00EA59C0">
        <w:t>Cost</w:t>
      </w:r>
      <w:r w:rsidR="00C026A6" w:rsidRPr="00EA59C0">
        <w:t xml:space="preserve"> </w:t>
      </w:r>
      <w:r w:rsidRPr="00EA59C0">
        <w:t>Principles,</w:t>
      </w:r>
      <w:r w:rsidR="00C026A6" w:rsidRPr="00EA59C0">
        <w:t xml:space="preserve"> </w:t>
      </w:r>
      <w:r w:rsidRPr="00EA59C0">
        <w:t>indirect</w:t>
      </w:r>
      <w:r w:rsidR="00C026A6" w:rsidRPr="00EA59C0">
        <w:t xml:space="preserve"> </w:t>
      </w:r>
      <w:r w:rsidRPr="00EA59C0">
        <w:t>costs</w:t>
      </w:r>
      <w:r w:rsidR="00C026A6" w:rsidRPr="00EA59C0">
        <w:t xml:space="preserve"> </w:t>
      </w:r>
      <w:r w:rsidRPr="00EA59C0">
        <w:t>are</w:t>
      </w:r>
      <w:r w:rsidR="00C026A6" w:rsidRPr="00EA59C0">
        <w:t xml:space="preserve"> </w:t>
      </w:r>
      <w:r w:rsidRPr="00EA59C0">
        <w:t>those</w:t>
      </w:r>
      <w:r w:rsidR="00C026A6" w:rsidRPr="00EA59C0">
        <w:t xml:space="preserve"> </w:t>
      </w:r>
      <w:r w:rsidRPr="00EA59C0">
        <w:t>that</w:t>
      </w:r>
      <w:r w:rsidR="00C026A6" w:rsidRPr="00EA59C0">
        <w:t xml:space="preserve"> </w:t>
      </w:r>
      <w:r w:rsidRPr="00EA59C0">
        <w:t>have</w:t>
      </w:r>
      <w:r w:rsidR="00C026A6" w:rsidRPr="00EA59C0">
        <w:t xml:space="preserve"> </w:t>
      </w:r>
      <w:r w:rsidRPr="00EA59C0">
        <w:t>been</w:t>
      </w:r>
      <w:r w:rsidR="00C026A6" w:rsidRPr="00EA59C0">
        <w:t xml:space="preserve"> </w:t>
      </w:r>
      <w:r w:rsidRPr="00EA59C0">
        <w:t>incurred</w:t>
      </w:r>
      <w:r w:rsidR="00C026A6" w:rsidRPr="00EA59C0">
        <w:t xml:space="preserve"> </w:t>
      </w:r>
      <w:r w:rsidRPr="00EA59C0">
        <w:t>for</w:t>
      </w:r>
      <w:r w:rsidR="00C026A6" w:rsidRPr="00EA59C0">
        <w:t xml:space="preserve"> </w:t>
      </w:r>
      <w:r w:rsidRPr="00EA59C0">
        <w:t>common</w:t>
      </w:r>
      <w:r w:rsidR="00C026A6" w:rsidRPr="00EA59C0">
        <w:t xml:space="preserve"> </w:t>
      </w:r>
      <w:r w:rsidRPr="00EA59C0">
        <w:t>or</w:t>
      </w:r>
      <w:r w:rsidR="00C026A6" w:rsidRPr="00EA59C0">
        <w:t xml:space="preserve"> </w:t>
      </w:r>
      <w:r w:rsidRPr="00EA59C0">
        <w:t>joint</w:t>
      </w:r>
      <w:r w:rsidR="00C026A6" w:rsidRPr="00EA59C0">
        <w:t xml:space="preserve"> </w:t>
      </w:r>
      <w:r w:rsidRPr="00EA59C0">
        <w:t>objectives</w:t>
      </w:r>
      <w:r w:rsidR="00C026A6" w:rsidRPr="00EA59C0">
        <w:t xml:space="preserve"> </w:t>
      </w:r>
      <w:r w:rsidRPr="00EA59C0">
        <w:t>and</w:t>
      </w:r>
      <w:r w:rsidR="00C026A6" w:rsidRPr="00EA59C0">
        <w:t xml:space="preserve"> </w:t>
      </w:r>
      <w:r w:rsidRPr="00EA59C0">
        <w:t>cannot</w:t>
      </w:r>
      <w:r w:rsidR="00C026A6" w:rsidRPr="00EA59C0">
        <w:t xml:space="preserve"> </w:t>
      </w:r>
      <w:r w:rsidRPr="00EA59C0">
        <w:t>be</w:t>
      </w:r>
      <w:r w:rsidR="00C026A6" w:rsidRPr="00EA59C0">
        <w:t xml:space="preserve"> </w:t>
      </w:r>
      <w:r w:rsidRPr="00EA59C0">
        <w:t>readily</w:t>
      </w:r>
      <w:r w:rsidR="00C026A6" w:rsidRPr="00EA59C0">
        <w:t xml:space="preserve"> </w:t>
      </w:r>
      <w:r w:rsidRPr="00EA59C0">
        <w:t>identified</w:t>
      </w:r>
      <w:r w:rsidR="00C026A6" w:rsidRPr="00EA59C0">
        <w:t xml:space="preserve"> </w:t>
      </w:r>
      <w:r w:rsidRPr="00EA59C0">
        <w:t>with</w:t>
      </w:r>
      <w:r w:rsidR="00C026A6" w:rsidRPr="00EA59C0">
        <w:t xml:space="preserve"> </w:t>
      </w:r>
      <w:r w:rsidRPr="00EA59C0">
        <w:t>a</w:t>
      </w:r>
      <w:r w:rsidR="00C026A6" w:rsidRPr="00EA59C0">
        <w:t xml:space="preserve"> </w:t>
      </w:r>
      <w:r w:rsidRPr="00EA59C0">
        <w:t>particular</w:t>
      </w:r>
      <w:r w:rsidR="00C026A6" w:rsidRPr="00EA59C0">
        <w:t xml:space="preserve"> </w:t>
      </w:r>
      <w:r w:rsidRPr="00EA59C0">
        <w:t>final</w:t>
      </w:r>
      <w:r w:rsidR="00C026A6" w:rsidRPr="00EA59C0">
        <w:t xml:space="preserve"> </w:t>
      </w:r>
      <w:r w:rsidRPr="00EA59C0">
        <w:t>cost</w:t>
      </w:r>
      <w:r w:rsidR="00C026A6" w:rsidRPr="00EA59C0">
        <w:t xml:space="preserve"> </w:t>
      </w:r>
      <w:r w:rsidRPr="00EA59C0">
        <w:t>objective.</w:t>
      </w:r>
      <w:r w:rsidR="00C026A6" w:rsidRPr="00EA59C0">
        <w:t xml:space="preserve">  </w:t>
      </w:r>
      <w:r w:rsidRPr="00EA59C0">
        <w:t>An</w:t>
      </w:r>
      <w:r w:rsidR="00C026A6" w:rsidRPr="00EA59C0">
        <w:t xml:space="preserve"> </w:t>
      </w:r>
      <w:r w:rsidRPr="00EA59C0">
        <w:t>indirect</w:t>
      </w:r>
      <w:r w:rsidR="00C026A6" w:rsidRPr="00EA59C0">
        <w:t xml:space="preserve"> </w:t>
      </w:r>
      <w:r w:rsidRPr="00EA59C0">
        <w:t>cost</w:t>
      </w:r>
      <w:r w:rsidR="00C026A6" w:rsidRPr="00EA59C0">
        <w:t xml:space="preserve"> </w:t>
      </w:r>
      <w:r w:rsidRPr="00EA59C0">
        <w:t>rate</w:t>
      </w:r>
      <w:r w:rsidR="00C026A6" w:rsidRPr="00EA59C0">
        <w:t xml:space="preserve"> </w:t>
      </w:r>
      <w:r w:rsidRPr="00EA59C0">
        <w:t>(ICR)</w:t>
      </w:r>
      <w:r w:rsidR="00C026A6" w:rsidRPr="00EA59C0">
        <w:t xml:space="preserve"> </w:t>
      </w:r>
      <w:r w:rsidRPr="00EA59C0">
        <w:t>is</w:t>
      </w:r>
      <w:r w:rsidR="00C026A6" w:rsidRPr="00EA59C0">
        <w:t xml:space="preserve"> </w:t>
      </w:r>
      <w:r w:rsidRPr="00EA59C0">
        <w:t>required</w:t>
      </w:r>
      <w:r w:rsidR="00C026A6" w:rsidRPr="00EA59C0">
        <w:t xml:space="preserve"> </w:t>
      </w:r>
      <w:r w:rsidRPr="00EA59C0">
        <w:t>when</w:t>
      </w:r>
      <w:r w:rsidR="00C026A6" w:rsidRPr="00EA59C0">
        <w:t xml:space="preserve"> </w:t>
      </w:r>
      <w:r w:rsidRPr="00EA59C0">
        <w:t>an</w:t>
      </w:r>
      <w:r w:rsidR="00C026A6" w:rsidRPr="00EA59C0">
        <w:t xml:space="preserve"> </w:t>
      </w:r>
      <w:r w:rsidRPr="00EA59C0">
        <w:t>organization</w:t>
      </w:r>
      <w:r w:rsidR="00C026A6" w:rsidRPr="00EA59C0">
        <w:t xml:space="preserve"> </w:t>
      </w:r>
      <w:r w:rsidRPr="00EA59C0">
        <w:t>operates</w:t>
      </w:r>
      <w:r w:rsidR="00C026A6" w:rsidRPr="00EA59C0">
        <w:t xml:space="preserve"> </w:t>
      </w:r>
      <w:r w:rsidRPr="00EA59C0">
        <w:t>under</w:t>
      </w:r>
      <w:r w:rsidR="00C026A6" w:rsidRPr="00EA59C0">
        <w:t xml:space="preserve"> </w:t>
      </w:r>
      <w:r w:rsidRPr="00EA59C0">
        <w:t>more</w:t>
      </w:r>
      <w:r w:rsidR="00C026A6" w:rsidRPr="00EA59C0">
        <w:t xml:space="preserve"> </w:t>
      </w:r>
      <w:r w:rsidRPr="00EA59C0">
        <w:t>than</w:t>
      </w:r>
      <w:r w:rsidR="00C026A6" w:rsidRPr="00EA59C0">
        <w:t xml:space="preserve"> </w:t>
      </w:r>
      <w:r w:rsidRPr="00EA59C0">
        <w:t>one</w:t>
      </w:r>
      <w:r w:rsidR="00C026A6" w:rsidRPr="00EA59C0">
        <w:t xml:space="preserve"> </w:t>
      </w:r>
      <w:r w:rsidRPr="00EA59C0">
        <w:t>grant</w:t>
      </w:r>
      <w:r w:rsidR="00C026A6" w:rsidRPr="00EA59C0">
        <w:t xml:space="preserve"> </w:t>
      </w:r>
      <w:r w:rsidRPr="00EA59C0">
        <w:t>or</w:t>
      </w:r>
      <w:r w:rsidR="00C026A6" w:rsidRPr="00EA59C0">
        <w:t xml:space="preserve"> </w:t>
      </w:r>
      <w:r w:rsidRPr="00EA59C0">
        <w:t>other</w:t>
      </w:r>
      <w:r w:rsidR="00C026A6" w:rsidRPr="00EA59C0">
        <w:t xml:space="preserve"> </w:t>
      </w:r>
      <w:r w:rsidRPr="00EA59C0">
        <w:t>activity,</w:t>
      </w:r>
      <w:r w:rsidR="00C026A6" w:rsidRPr="00EA59C0">
        <w:t xml:space="preserve"> </w:t>
      </w:r>
      <w:r w:rsidRPr="00EA59C0">
        <w:t>whether</w:t>
      </w:r>
      <w:r w:rsidR="00C026A6" w:rsidRPr="00EA59C0">
        <w:t xml:space="preserve"> </w:t>
      </w:r>
      <w:r w:rsidRPr="00EA59C0">
        <w:t>Federally-assisted</w:t>
      </w:r>
      <w:r w:rsidR="00C026A6" w:rsidRPr="00EA59C0">
        <w:t xml:space="preserve"> </w:t>
      </w:r>
      <w:r w:rsidRPr="00EA59C0">
        <w:t>or</w:t>
      </w:r>
      <w:r w:rsidR="00C026A6" w:rsidRPr="00EA59C0">
        <w:t xml:space="preserve"> </w:t>
      </w:r>
      <w:r w:rsidRPr="00EA59C0">
        <w:t>not.</w:t>
      </w:r>
      <w:r w:rsidR="00C026A6" w:rsidRPr="00EA59C0">
        <w:t xml:space="preserve">  </w:t>
      </w:r>
      <w:r w:rsidRPr="00EA59C0">
        <w:t>Organizations</w:t>
      </w:r>
      <w:r w:rsidR="00C026A6" w:rsidRPr="00EA59C0">
        <w:t xml:space="preserve"> </w:t>
      </w:r>
      <w:r w:rsidRPr="00EA59C0">
        <w:t>must</w:t>
      </w:r>
      <w:r w:rsidR="00C026A6" w:rsidRPr="00EA59C0">
        <w:t xml:space="preserve"> </w:t>
      </w:r>
      <w:r w:rsidRPr="00EA59C0">
        <w:t>use</w:t>
      </w:r>
      <w:r w:rsidR="00C026A6" w:rsidRPr="00EA59C0">
        <w:t xml:space="preserve"> </w:t>
      </w:r>
      <w:r w:rsidRPr="00EA59C0">
        <w:t>the</w:t>
      </w:r>
      <w:r w:rsidR="00C026A6" w:rsidRPr="00EA59C0">
        <w:t xml:space="preserve"> </w:t>
      </w:r>
      <w:r w:rsidRPr="00EA59C0">
        <w:t>ICR</w:t>
      </w:r>
      <w:r w:rsidR="00C026A6" w:rsidRPr="00EA59C0">
        <w:t xml:space="preserve"> </w:t>
      </w:r>
      <w:r w:rsidRPr="00EA59C0">
        <w:t>supplied</w:t>
      </w:r>
      <w:r w:rsidR="00C026A6" w:rsidRPr="00EA59C0">
        <w:t xml:space="preserve"> </w:t>
      </w:r>
      <w:r w:rsidRPr="00EA59C0">
        <w:t>by</w:t>
      </w:r>
      <w:r w:rsidR="00C026A6" w:rsidRPr="00EA59C0">
        <w:t xml:space="preserve"> </w:t>
      </w:r>
      <w:r w:rsidRPr="00EA59C0">
        <w:t>the</w:t>
      </w:r>
      <w:r w:rsidR="00C026A6" w:rsidRPr="00EA59C0">
        <w:t xml:space="preserve"> </w:t>
      </w:r>
      <w:r w:rsidRPr="00EA59C0">
        <w:t>Federal</w:t>
      </w:r>
      <w:r w:rsidR="00C026A6" w:rsidRPr="00EA59C0">
        <w:t xml:space="preserve"> </w:t>
      </w:r>
      <w:r w:rsidRPr="00EA59C0">
        <w:t>Cognizant</w:t>
      </w:r>
      <w:r w:rsidR="00C026A6" w:rsidRPr="00EA59C0">
        <w:t xml:space="preserve"> </w:t>
      </w:r>
      <w:r w:rsidRPr="00EA59C0">
        <w:t>Agency.</w:t>
      </w:r>
      <w:r w:rsidR="00C026A6" w:rsidRPr="00EA59C0">
        <w:t xml:space="preserve">  </w:t>
      </w:r>
      <w:r w:rsidRPr="00EA59C0">
        <w:t>If</w:t>
      </w:r>
      <w:r w:rsidR="00C026A6" w:rsidRPr="00EA59C0">
        <w:t xml:space="preserve"> </w:t>
      </w:r>
      <w:r w:rsidRPr="00EA59C0">
        <w:t>an</w:t>
      </w:r>
      <w:r w:rsidR="00C026A6" w:rsidRPr="00EA59C0">
        <w:t xml:space="preserve"> </w:t>
      </w:r>
      <w:r w:rsidRPr="00EA59C0">
        <w:t>organization</w:t>
      </w:r>
      <w:r w:rsidR="00C026A6" w:rsidRPr="00EA59C0">
        <w:t xml:space="preserve"> </w:t>
      </w:r>
      <w:r w:rsidRPr="00EA59C0">
        <w:t>requires</w:t>
      </w:r>
      <w:r w:rsidR="00C026A6" w:rsidRPr="00EA59C0">
        <w:t xml:space="preserve"> </w:t>
      </w:r>
      <w:r w:rsidRPr="00EA59C0">
        <w:t>a</w:t>
      </w:r>
      <w:r w:rsidR="00C026A6" w:rsidRPr="00EA59C0">
        <w:t xml:space="preserve"> </w:t>
      </w:r>
      <w:r w:rsidRPr="00EA59C0">
        <w:t>new</w:t>
      </w:r>
      <w:r w:rsidR="00C026A6" w:rsidRPr="00EA59C0">
        <w:t xml:space="preserve"> </w:t>
      </w:r>
      <w:r w:rsidRPr="00EA59C0">
        <w:t>ICR</w:t>
      </w:r>
      <w:r w:rsidR="00C026A6" w:rsidRPr="00EA59C0">
        <w:t xml:space="preserve"> </w:t>
      </w:r>
      <w:r w:rsidRPr="00EA59C0">
        <w:t>or</w:t>
      </w:r>
      <w:r w:rsidR="00C026A6" w:rsidRPr="00EA59C0">
        <w:t xml:space="preserve"> </w:t>
      </w:r>
      <w:r w:rsidRPr="00EA59C0">
        <w:t>has</w:t>
      </w:r>
      <w:r w:rsidR="00C026A6" w:rsidRPr="00EA59C0">
        <w:t xml:space="preserve"> </w:t>
      </w:r>
      <w:r w:rsidRPr="00EA59C0">
        <w:t>a</w:t>
      </w:r>
      <w:r w:rsidR="00C026A6" w:rsidRPr="00EA59C0">
        <w:t xml:space="preserve"> </w:t>
      </w:r>
      <w:r w:rsidRPr="00EA59C0">
        <w:t>pending</w:t>
      </w:r>
      <w:r w:rsidR="00C026A6" w:rsidRPr="00EA59C0">
        <w:t xml:space="preserve"> </w:t>
      </w:r>
      <w:r w:rsidRPr="00EA59C0">
        <w:t>ICR,</w:t>
      </w:r>
      <w:r w:rsidR="00C026A6" w:rsidRPr="00EA59C0">
        <w:t xml:space="preserve"> </w:t>
      </w:r>
      <w:r w:rsidRPr="00EA59C0">
        <w:t>the</w:t>
      </w:r>
      <w:r w:rsidR="00C026A6" w:rsidRPr="00EA59C0">
        <w:t xml:space="preserve"> </w:t>
      </w:r>
      <w:r w:rsidRPr="00EA59C0">
        <w:t>Grant</w:t>
      </w:r>
      <w:r w:rsidR="00C026A6" w:rsidRPr="00EA59C0">
        <w:t xml:space="preserve"> </w:t>
      </w:r>
      <w:r w:rsidRPr="00EA59C0">
        <w:t>Officer</w:t>
      </w:r>
      <w:r w:rsidR="00C026A6" w:rsidRPr="00EA59C0">
        <w:t xml:space="preserve"> </w:t>
      </w:r>
      <w:r w:rsidRPr="00EA59C0">
        <w:t>will</w:t>
      </w:r>
      <w:r w:rsidR="00C026A6" w:rsidRPr="00EA59C0">
        <w:t xml:space="preserve"> </w:t>
      </w:r>
      <w:r w:rsidRPr="00EA59C0">
        <w:t>award</w:t>
      </w:r>
      <w:r w:rsidR="00C026A6" w:rsidRPr="00EA59C0">
        <w:t xml:space="preserve"> </w:t>
      </w:r>
      <w:r w:rsidRPr="00EA59C0">
        <w:t>a</w:t>
      </w:r>
      <w:r w:rsidR="00C026A6" w:rsidRPr="00EA59C0">
        <w:t xml:space="preserve"> </w:t>
      </w:r>
      <w:r w:rsidRPr="00EA59C0">
        <w:t>temporary</w:t>
      </w:r>
      <w:r w:rsidR="00C026A6" w:rsidRPr="00EA59C0">
        <w:t xml:space="preserve"> </w:t>
      </w:r>
      <w:r w:rsidRPr="00EA59C0">
        <w:t>billing</w:t>
      </w:r>
      <w:r w:rsidR="00C026A6" w:rsidRPr="00EA59C0">
        <w:t xml:space="preserve"> </w:t>
      </w:r>
      <w:r w:rsidRPr="00EA59C0">
        <w:t>rate</w:t>
      </w:r>
      <w:r w:rsidR="00C026A6" w:rsidRPr="00EA59C0">
        <w:t xml:space="preserve"> </w:t>
      </w:r>
      <w:r w:rsidRPr="00EA59C0">
        <w:t>for</w:t>
      </w:r>
      <w:r w:rsidR="00C026A6" w:rsidRPr="00EA59C0">
        <w:t xml:space="preserve"> </w:t>
      </w:r>
      <w:r w:rsidRPr="00EA59C0">
        <w:t>90</w:t>
      </w:r>
      <w:r w:rsidR="00C026A6" w:rsidRPr="00EA59C0">
        <w:t xml:space="preserve"> </w:t>
      </w:r>
      <w:r w:rsidRPr="00EA59C0">
        <w:t>days</w:t>
      </w:r>
      <w:r w:rsidR="00C026A6" w:rsidRPr="00EA59C0">
        <w:t xml:space="preserve"> </w:t>
      </w:r>
      <w:r w:rsidRPr="00EA59C0">
        <w:t>until</w:t>
      </w:r>
      <w:r w:rsidR="00C026A6" w:rsidRPr="00EA59C0">
        <w:t xml:space="preserve"> </w:t>
      </w:r>
      <w:r w:rsidRPr="00EA59C0">
        <w:t>a</w:t>
      </w:r>
      <w:r w:rsidR="00C026A6" w:rsidRPr="00EA59C0">
        <w:t xml:space="preserve"> </w:t>
      </w:r>
      <w:r w:rsidRPr="00EA59C0">
        <w:t>provisional</w:t>
      </w:r>
      <w:r w:rsidR="00C026A6" w:rsidRPr="00EA59C0">
        <w:t xml:space="preserve"> </w:t>
      </w:r>
      <w:r w:rsidRPr="00EA59C0">
        <w:t>rate</w:t>
      </w:r>
      <w:r w:rsidR="00C026A6" w:rsidRPr="00EA59C0">
        <w:t xml:space="preserve"> </w:t>
      </w:r>
      <w:r w:rsidRPr="00EA59C0">
        <w:t>can</w:t>
      </w:r>
      <w:r w:rsidR="00C026A6" w:rsidRPr="00EA59C0">
        <w:t xml:space="preserve"> </w:t>
      </w:r>
      <w:r w:rsidRPr="00EA59C0">
        <w:t>be</w:t>
      </w:r>
      <w:r w:rsidR="00C026A6" w:rsidRPr="00EA59C0">
        <w:t xml:space="preserve"> </w:t>
      </w:r>
      <w:r w:rsidRPr="00EA59C0">
        <w:t>issued.</w:t>
      </w:r>
      <w:r w:rsidR="00C026A6" w:rsidRPr="00EA59C0">
        <w:t xml:space="preserve">  </w:t>
      </w:r>
      <w:r w:rsidRPr="00EA59C0">
        <w:t>This</w:t>
      </w:r>
      <w:r w:rsidR="00C026A6" w:rsidRPr="00EA59C0">
        <w:t xml:space="preserve"> </w:t>
      </w:r>
      <w:r w:rsidRPr="00EA59C0">
        <w:t>rate</w:t>
      </w:r>
      <w:r w:rsidR="00C026A6" w:rsidRPr="00EA59C0">
        <w:t xml:space="preserve"> </w:t>
      </w:r>
      <w:r w:rsidRPr="00EA59C0">
        <w:t>is</w:t>
      </w:r>
      <w:r w:rsidR="00C026A6" w:rsidRPr="00EA59C0">
        <w:t xml:space="preserve"> </w:t>
      </w:r>
      <w:r w:rsidRPr="00EA59C0">
        <w:t>based</w:t>
      </w:r>
      <w:r w:rsidR="00C026A6" w:rsidRPr="00EA59C0">
        <w:t xml:space="preserve"> </w:t>
      </w:r>
      <w:r w:rsidRPr="00EA59C0">
        <w:t>on</w:t>
      </w:r>
      <w:r w:rsidR="00C026A6" w:rsidRPr="00EA59C0">
        <w:t xml:space="preserve"> </w:t>
      </w:r>
      <w:r w:rsidRPr="00EA59C0">
        <w:t>the</w:t>
      </w:r>
      <w:r w:rsidR="00C026A6" w:rsidRPr="00EA59C0">
        <w:t xml:space="preserve"> </w:t>
      </w:r>
      <w:r w:rsidRPr="00EA59C0">
        <w:t>fact</w:t>
      </w:r>
      <w:r w:rsidR="00C026A6" w:rsidRPr="00EA59C0">
        <w:t xml:space="preserve"> </w:t>
      </w:r>
      <w:r w:rsidRPr="00EA59C0">
        <w:t>that</w:t>
      </w:r>
      <w:r w:rsidR="00C026A6" w:rsidRPr="00EA59C0">
        <w:t xml:space="preserve"> </w:t>
      </w:r>
      <w:r w:rsidRPr="00EA59C0">
        <w:t>an</w:t>
      </w:r>
      <w:r w:rsidR="00C026A6" w:rsidRPr="00EA59C0">
        <w:t xml:space="preserve"> </w:t>
      </w:r>
      <w:r w:rsidRPr="00EA59C0">
        <w:t>organization</w:t>
      </w:r>
      <w:r w:rsidR="00C026A6" w:rsidRPr="00EA59C0">
        <w:t xml:space="preserve"> </w:t>
      </w:r>
      <w:r w:rsidRPr="00EA59C0">
        <w:t>has</w:t>
      </w:r>
      <w:r w:rsidR="00C026A6" w:rsidRPr="00EA59C0">
        <w:t xml:space="preserve"> </w:t>
      </w:r>
      <w:r w:rsidRPr="00EA59C0">
        <w:t>not</w:t>
      </w:r>
      <w:r w:rsidR="00C026A6" w:rsidRPr="00EA59C0">
        <w:t xml:space="preserve"> </w:t>
      </w:r>
      <w:r w:rsidRPr="00EA59C0">
        <w:t>established</w:t>
      </w:r>
      <w:r w:rsidR="00C026A6" w:rsidRPr="00EA59C0">
        <w:t xml:space="preserve"> </w:t>
      </w:r>
      <w:r w:rsidRPr="00EA59C0">
        <w:t>an</w:t>
      </w:r>
      <w:r w:rsidR="00C026A6" w:rsidRPr="00EA59C0">
        <w:t xml:space="preserve"> </w:t>
      </w:r>
      <w:r w:rsidRPr="00EA59C0">
        <w:t>ICR</w:t>
      </w:r>
      <w:r w:rsidR="00C026A6" w:rsidRPr="00EA59C0">
        <w:t xml:space="preserve"> </w:t>
      </w:r>
      <w:r w:rsidRPr="00EA59C0">
        <w:t>agreement.</w:t>
      </w:r>
      <w:r w:rsidR="00C026A6" w:rsidRPr="00EA59C0">
        <w:t xml:space="preserve">  </w:t>
      </w:r>
      <w:r w:rsidRPr="00EA59C0">
        <w:t>Within</w:t>
      </w:r>
      <w:r w:rsidR="00C026A6" w:rsidRPr="00EA59C0">
        <w:t xml:space="preserve"> </w:t>
      </w:r>
      <w:r w:rsidRPr="00EA59C0">
        <w:t>this</w:t>
      </w:r>
      <w:r w:rsidR="00C026A6" w:rsidRPr="00EA59C0">
        <w:t xml:space="preserve"> </w:t>
      </w:r>
      <w:r w:rsidRPr="00EA59C0">
        <w:t>90</w:t>
      </w:r>
      <w:r w:rsidR="00C026A6" w:rsidRPr="00EA59C0">
        <w:t xml:space="preserve"> </w:t>
      </w:r>
      <w:r w:rsidRPr="00EA59C0">
        <w:t>day</w:t>
      </w:r>
      <w:r w:rsidR="00C026A6" w:rsidRPr="00EA59C0">
        <w:t xml:space="preserve"> </w:t>
      </w:r>
      <w:r w:rsidRPr="00EA59C0">
        <w:t>period,</w:t>
      </w:r>
      <w:r w:rsidR="00C026A6" w:rsidRPr="00EA59C0">
        <w:t xml:space="preserve"> </w:t>
      </w:r>
      <w:r w:rsidRPr="00EA59C0">
        <w:t>the</w:t>
      </w:r>
      <w:r w:rsidR="00C026A6" w:rsidRPr="00EA59C0">
        <w:t xml:space="preserve"> </w:t>
      </w:r>
      <w:r w:rsidRPr="00EA59C0">
        <w:t>organization</w:t>
      </w:r>
      <w:r w:rsidR="00C026A6" w:rsidRPr="00EA59C0">
        <w:t xml:space="preserve"> </w:t>
      </w:r>
      <w:r w:rsidRPr="00EA59C0">
        <w:t>must</w:t>
      </w:r>
      <w:r w:rsidR="00C026A6" w:rsidRPr="00EA59C0">
        <w:t xml:space="preserve"> </w:t>
      </w:r>
      <w:r w:rsidRPr="00EA59C0">
        <w:t>submit</w:t>
      </w:r>
      <w:r w:rsidR="00C026A6" w:rsidRPr="00EA59C0">
        <w:t xml:space="preserve"> </w:t>
      </w:r>
      <w:r w:rsidRPr="00EA59C0">
        <w:t>an</w:t>
      </w:r>
      <w:r w:rsidR="00C026A6" w:rsidRPr="00EA59C0">
        <w:t xml:space="preserve"> </w:t>
      </w:r>
      <w:r w:rsidRPr="00EA59C0">
        <w:t>acceptable</w:t>
      </w:r>
      <w:r w:rsidR="00C026A6" w:rsidRPr="00EA59C0">
        <w:t xml:space="preserve"> </w:t>
      </w:r>
      <w:r w:rsidRPr="00EA59C0">
        <w:t>indirect</w:t>
      </w:r>
      <w:r w:rsidR="00C026A6" w:rsidRPr="00EA59C0">
        <w:t xml:space="preserve"> </w:t>
      </w:r>
      <w:r w:rsidRPr="00EA59C0">
        <w:t>cost</w:t>
      </w:r>
      <w:r w:rsidR="00C026A6" w:rsidRPr="00EA59C0">
        <w:t xml:space="preserve"> </w:t>
      </w:r>
      <w:r w:rsidRPr="00EA59C0">
        <w:t>proposal</w:t>
      </w:r>
      <w:r w:rsidR="00C026A6" w:rsidRPr="00EA59C0">
        <w:t xml:space="preserve"> </w:t>
      </w:r>
      <w:r w:rsidRPr="00EA59C0">
        <w:t>to</w:t>
      </w:r>
      <w:r w:rsidR="00C026A6" w:rsidRPr="00EA59C0">
        <w:t xml:space="preserve"> </w:t>
      </w:r>
      <w:r w:rsidRPr="00EA59C0">
        <w:t>their</w:t>
      </w:r>
      <w:r w:rsidR="00C026A6" w:rsidRPr="00EA59C0">
        <w:t xml:space="preserve"> </w:t>
      </w:r>
      <w:r w:rsidRPr="00EA59C0">
        <w:t>Federal</w:t>
      </w:r>
      <w:r w:rsidR="00C026A6" w:rsidRPr="00EA59C0">
        <w:t xml:space="preserve"> </w:t>
      </w:r>
      <w:r w:rsidRPr="00EA59C0">
        <w:t>Cognizant</w:t>
      </w:r>
      <w:r w:rsidR="00C026A6" w:rsidRPr="00EA59C0">
        <w:t xml:space="preserve"> </w:t>
      </w:r>
      <w:r w:rsidRPr="00EA59C0">
        <w:t>Agency</w:t>
      </w:r>
      <w:r w:rsidR="00C026A6" w:rsidRPr="00EA59C0">
        <w:t xml:space="preserve"> </w:t>
      </w:r>
      <w:r w:rsidRPr="00EA59C0">
        <w:t>to</w:t>
      </w:r>
      <w:r w:rsidR="00C026A6" w:rsidRPr="00EA59C0">
        <w:t xml:space="preserve"> </w:t>
      </w:r>
      <w:r w:rsidRPr="00EA59C0">
        <w:t>obtain</w:t>
      </w:r>
      <w:r w:rsidR="00C026A6" w:rsidRPr="00EA59C0">
        <w:t xml:space="preserve"> </w:t>
      </w:r>
      <w:r w:rsidRPr="00EA59C0">
        <w:t>a</w:t>
      </w:r>
      <w:r w:rsidR="00C026A6" w:rsidRPr="00EA59C0">
        <w:t xml:space="preserve"> </w:t>
      </w:r>
      <w:r w:rsidRPr="00EA59C0">
        <w:t>provisional</w:t>
      </w:r>
      <w:r w:rsidR="00C026A6" w:rsidRPr="00EA59C0">
        <w:t xml:space="preserve"> </w:t>
      </w:r>
      <w:r w:rsidRPr="00EA59C0">
        <w:t>ICR.</w:t>
      </w:r>
      <w:r w:rsidR="00C026A6" w:rsidRPr="00EA59C0">
        <w:t xml:space="preserve">  </w:t>
      </w:r>
      <w:r w:rsidR="00495723" w:rsidRPr="00EA59C0">
        <w:t>(See</w:t>
      </w:r>
      <w:r w:rsidR="00C026A6" w:rsidRPr="00EA59C0">
        <w:t xml:space="preserve"> </w:t>
      </w:r>
      <w:r w:rsidR="00495723" w:rsidRPr="00EA59C0">
        <w:t>Section</w:t>
      </w:r>
      <w:r w:rsidR="00C026A6" w:rsidRPr="00EA59C0">
        <w:t xml:space="preserve"> </w:t>
      </w:r>
      <w:r w:rsidR="00495723" w:rsidRPr="00EA59C0">
        <w:t>IV.B.4.</w:t>
      </w:r>
      <w:r w:rsidR="00C026A6" w:rsidRPr="00EA59C0">
        <w:t xml:space="preserve"> </w:t>
      </w:r>
      <w:r w:rsidR="00495723" w:rsidRPr="00EA59C0">
        <w:t>for</w:t>
      </w:r>
      <w:r w:rsidR="00C026A6" w:rsidRPr="00EA59C0">
        <w:t xml:space="preserve"> </w:t>
      </w:r>
      <w:r w:rsidR="00495723" w:rsidRPr="00EA59C0">
        <w:t>more</w:t>
      </w:r>
      <w:r w:rsidR="00C026A6" w:rsidRPr="00EA59C0">
        <w:t xml:space="preserve"> </w:t>
      </w:r>
      <w:r w:rsidR="00495723" w:rsidRPr="00EA59C0">
        <w:t>information</w:t>
      </w:r>
      <w:r w:rsidR="00C026A6" w:rsidRPr="00EA59C0">
        <w:t xml:space="preserve"> </w:t>
      </w:r>
      <w:r w:rsidR="00495723" w:rsidRPr="00EA59C0">
        <w:t>on</w:t>
      </w:r>
      <w:r w:rsidR="00C026A6" w:rsidRPr="00EA59C0">
        <w:t xml:space="preserve"> </w:t>
      </w:r>
      <w:r w:rsidR="00495723" w:rsidRPr="00EA59C0">
        <w:t>ICR</w:t>
      </w:r>
      <w:r w:rsidR="00C026A6" w:rsidRPr="00EA59C0">
        <w:t xml:space="preserve"> </w:t>
      </w:r>
      <w:r w:rsidR="00495723" w:rsidRPr="00EA59C0">
        <w:t>Agreement</w:t>
      </w:r>
      <w:r w:rsidR="00C026A6" w:rsidRPr="00EA59C0">
        <w:t xml:space="preserve"> </w:t>
      </w:r>
      <w:r w:rsidR="00495723" w:rsidRPr="00EA59C0">
        <w:t>submission</w:t>
      </w:r>
      <w:r w:rsidR="00C026A6" w:rsidRPr="00EA59C0">
        <w:t xml:space="preserve"> </w:t>
      </w:r>
      <w:r w:rsidR="00495723" w:rsidRPr="00EA59C0">
        <w:t>requirements.)</w:t>
      </w:r>
    </w:p>
    <w:p w:rsidR="00144DF0" w:rsidRPr="00EA59C0" w:rsidRDefault="00144DF0" w:rsidP="00C072FA"/>
    <w:p w:rsidR="007470AB" w:rsidRPr="00EA59C0" w:rsidRDefault="007470AB" w:rsidP="00C072FA">
      <w:pPr>
        <w:pStyle w:val="Heading3"/>
        <w:numPr>
          <w:ilvl w:val="2"/>
          <w:numId w:val="17"/>
        </w:numPr>
        <w:rPr>
          <w:color w:val="auto"/>
        </w:rPr>
      </w:pPr>
      <w:r w:rsidRPr="00EA59C0">
        <w:rPr>
          <w:color w:val="auto"/>
        </w:rPr>
        <w:t>Administrative</w:t>
      </w:r>
      <w:r w:rsidR="00C026A6" w:rsidRPr="00EA59C0">
        <w:rPr>
          <w:color w:val="auto"/>
        </w:rPr>
        <w:t xml:space="preserve"> </w:t>
      </w:r>
      <w:r w:rsidRPr="00EA59C0">
        <w:rPr>
          <w:color w:val="auto"/>
        </w:rPr>
        <w:t>Costs</w:t>
      </w:r>
    </w:p>
    <w:p w:rsidR="007470AB" w:rsidRPr="00EA59C0" w:rsidRDefault="007470AB" w:rsidP="00080097">
      <w:pPr>
        <w:widowControl w:val="0"/>
        <w:adjustRightInd w:val="0"/>
        <w:ind w:left="1080"/>
        <w:textAlignment w:val="baseline"/>
      </w:pPr>
      <w:r w:rsidRPr="00EA59C0">
        <w:t>Under</w:t>
      </w:r>
      <w:r w:rsidR="00C026A6" w:rsidRPr="00EA59C0">
        <w:t xml:space="preserve"> </w:t>
      </w:r>
      <w:r w:rsidRPr="00EA59C0">
        <w:t>this</w:t>
      </w:r>
      <w:r w:rsidR="00C026A6" w:rsidRPr="00EA59C0">
        <w:t xml:space="preserve"> </w:t>
      </w:r>
      <w:r w:rsidRPr="00EA59C0">
        <w:t>SGA,</w:t>
      </w:r>
      <w:r w:rsidR="00C026A6" w:rsidRPr="00EA59C0">
        <w:t xml:space="preserve"> </w:t>
      </w:r>
      <w:r w:rsidRPr="00EA59C0">
        <w:t>an</w:t>
      </w:r>
      <w:r w:rsidR="00C026A6" w:rsidRPr="00EA59C0">
        <w:t xml:space="preserve"> </w:t>
      </w:r>
      <w:r w:rsidRPr="00EA59C0">
        <w:t>entity</w:t>
      </w:r>
      <w:r w:rsidR="00C026A6" w:rsidRPr="00EA59C0">
        <w:t xml:space="preserve"> </w:t>
      </w:r>
      <w:r w:rsidRPr="00EA59C0">
        <w:t>that</w:t>
      </w:r>
      <w:r w:rsidR="00C026A6" w:rsidRPr="00EA59C0">
        <w:t xml:space="preserve"> </w:t>
      </w:r>
      <w:r w:rsidRPr="00EA59C0">
        <w:t>receives</w:t>
      </w:r>
      <w:r w:rsidR="00C026A6" w:rsidRPr="00EA59C0">
        <w:t xml:space="preserve"> </w:t>
      </w:r>
      <w:r w:rsidRPr="00EA59C0">
        <w:t>a</w:t>
      </w:r>
      <w:r w:rsidR="00C026A6" w:rsidRPr="00EA59C0">
        <w:t xml:space="preserve"> </w:t>
      </w:r>
      <w:r w:rsidRPr="00EA59C0">
        <w:t>grant</w:t>
      </w:r>
      <w:r w:rsidR="00C026A6" w:rsidRPr="00EA59C0">
        <w:t xml:space="preserve"> </w:t>
      </w:r>
      <w:r w:rsidRPr="00EA59C0">
        <w:t>to</w:t>
      </w:r>
      <w:r w:rsidR="00C026A6" w:rsidRPr="00EA59C0">
        <w:t xml:space="preserve"> </w:t>
      </w:r>
      <w:r w:rsidRPr="00EA59C0">
        <w:t>carry</w:t>
      </w:r>
      <w:r w:rsidR="00C026A6" w:rsidRPr="00EA59C0">
        <w:t xml:space="preserve"> </w:t>
      </w:r>
      <w:r w:rsidRPr="00EA59C0">
        <w:t>out</w:t>
      </w:r>
      <w:r w:rsidR="00C026A6" w:rsidRPr="00EA59C0">
        <w:t xml:space="preserve"> </w:t>
      </w:r>
      <w:r w:rsidRPr="00EA59C0">
        <w:t>a</w:t>
      </w:r>
      <w:r w:rsidR="00C026A6" w:rsidRPr="00EA59C0">
        <w:t xml:space="preserve"> </w:t>
      </w:r>
      <w:r w:rsidRPr="00EA59C0">
        <w:t>project</w:t>
      </w:r>
      <w:r w:rsidR="00C026A6" w:rsidRPr="00EA59C0">
        <w:t xml:space="preserve"> </w:t>
      </w:r>
      <w:r w:rsidRPr="00EA59C0">
        <w:t>or</w:t>
      </w:r>
      <w:r w:rsidR="00C026A6" w:rsidRPr="00EA59C0">
        <w:t xml:space="preserve"> </w:t>
      </w:r>
      <w:r w:rsidRPr="00EA59C0">
        <w:t>program</w:t>
      </w:r>
      <w:r w:rsidR="00C026A6" w:rsidRPr="00EA59C0">
        <w:t xml:space="preserve"> </w:t>
      </w:r>
      <w:r w:rsidRPr="00EA59C0">
        <w:t>may</w:t>
      </w:r>
      <w:r w:rsidR="00C026A6" w:rsidRPr="00EA59C0">
        <w:t xml:space="preserve"> </w:t>
      </w:r>
      <w:r w:rsidRPr="00EA59C0">
        <w:t>not</w:t>
      </w:r>
      <w:r w:rsidR="00C026A6" w:rsidRPr="00EA59C0">
        <w:t xml:space="preserve"> </w:t>
      </w:r>
      <w:r w:rsidRPr="00EA59C0">
        <w:t>use</w:t>
      </w:r>
      <w:r w:rsidR="00C026A6" w:rsidRPr="00EA59C0">
        <w:t xml:space="preserve"> </w:t>
      </w:r>
      <w:r w:rsidRPr="00EA59C0">
        <w:t>more</w:t>
      </w:r>
      <w:r w:rsidR="00C026A6" w:rsidRPr="00EA59C0">
        <w:t xml:space="preserve"> </w:t>
      </w:r>
      <w:r w:rsidRPr="00EA59C0">
        <w:t>than</w:t>
      </w:r>
      <w:r w:rsidR="00C026A6" w:rsidRPr="00EA59C0">
        <w:t xml:space="preserve"> </w:t>
      </w:r>
      <w:r w:rsidRPr="00EA59C0">
        <w:t>10</w:t>
      </w:r>
      <w:r w:rsidR="00C026A6" w:rsidRPr="00EA59C0">
        <w:t xml:space="preserve"> </w:t>
      </w:r>
      <w:r w:rsidRPr="00EA59C0">
        <w:t>percent</w:t>
      </w:r>
      <w:r w:rsidR="00C026A6" w:rsidRPr="00EA59C0">
        <w:t xml:space="preserve"> </w:t>
      </w:r>
      <w:r w:rsidRPr="00EA59C0">
        <w:t>of</w:t>
      </w:r>
      <w:r w:rsidR="00C026A6" w:rsidRPr="00EA59C0">
        <w:t xml:space="preserve"> </w:t>
      </w:r>
      <w:r w:rsidRPr="00EA59C0">
        <w:t>the</w:t>
      </w:r>
      <w:r w:rsidR="00C026A6" w:rsidRPr="00EA59C0">
        <w:t xml:space="preserve"> </w:t>
      </w:r>
      <w:r w:rsidRPr="00EA59C0">
        <w:t>amount</w:t>
      </w:r>
      <w:r w:rsidR="00C026A6" w:rsidRPr="00EA59C0">
        <w:t xml:space="preserve"> </w:t>
      </w:r>
      <w:r w:rsidRPr="00EA59C0">
        <w:t>of</w:t>
      </w:r>
      <w:r w:rsidR="00C026A6" w:rsidRPr="00EA59C0">
        <w:t xml:space="preserve"> </w:t>
      </w:r>
      <w:r w:rsidRPr="00EA59C0">
        <w:t>the</w:t>
      </w:r>
      <w:r w:rsidR="00C026A6" w:rsidRPr="00EA59C0">
        <w:t xml:space="preserve"> </w:t>
      </w:r>
      <w:r w:rsidRPr="00EA59C0">
        <w:t>grant</w:t>
      </w:r>
      <w:r w:rsidR="00C026A6" w:rsidRPr="00EA59C0">
        <w:t xml:space="preserve"> </w:t>
      </w:r>
      <w:r w:rsidRPr="00EA59C0">
        <w:t>to</w:t>
      </w:r>
      <w:r w:rsidR="00C026A6" w:rsidRPr="00EA59C0">
        <w:t xml:space="preserve"> </w:t>
      </w:r>
      <w:r w:rsidRPr="00EA59C0">
        <w:t>pay</w:t>
      </w:r>
      <w:r w:rsidR="00C026A6" w:rsidRPr="00EA59C0">
        <w:t xml:space="preserve"> </w:t>
      </w:r>
      <w:r w:rsidRPr="00EA59C0">
        <w:t>administrative</w:t>
      </w:r>
      <w:r w:rsidR="00C026A6" w:rsidRPr="00EA59C0">
        <w:t xml:space="preserve"> </w:t>
      </w:r>
      <w:r w:rsidRPr="00EA59C0">
        <w:t>costs</w:t>
      </w:r>
      <w:r w:rsidR="00C026A6" w:rsidRPr="00EA59C0">
        <w:t xml:space="preserve"> </w:t>
      </w:r>
      <w:r w:rsidRPr="00EA59C0">
        <w:t>associated</w:t>
      </w:r>
      <w:r w:rsidR="00C026A6" w:rsidRPr="00EA59C0">
        <w:t xml:space="preserve"> </w:t>
      </w:r>
      <w:r w:rsidRPr="00EA59C0">
        <w:t>with</w:t>
      </w:r>
      <w:r w:rsidR="00C026A6" w:rsidRPr="00EA59C0">
        <w:t xml:space="preserve"> </w:t>
      </w:r>
      <w:r w:rsidRPr="00EA59C0">
        <w:t>the</w:t>
      </w:r>
      <w:r w:rsidR="00C026A6" w:rsidRPr="00EA59C0">
        <w:t xml:space="preserve"> </w:t>
      </w:r>
      <w:r w:rsidRPr="00EA59C0">
        <w:t>program</w:t>
      </w:r>
      <w:r w:rsidR="00C026A6" w:rsidRPr="00EA59C0">
        <w:t xml:space="preserve"> </w:t>
      </w:r>
      <w:r w:rsidRPr="00EA59C0">
        <w:t>or</w:t>
      </w:r>
      <w:r w:rsidR="00C026A6" w:rsidRPr="00EA59C0">
        <w:t xml:space="preserve"> </w:t>
      </w:r>
      <w:r w:rsidRPr="00EA59C0">
        <w:t>project.</w:t>
      </w:r>
      <w:r w:rsidR="00C026A6" w:rsidRPr="00EA59C0">
        <w:t xml:space="preserve">  </w:t>
      </w:r>
      <w:r w:rsidRPr="00EA59C0">
        <w:t>Administrative</w:t>
      </w:r>
      <w:r w:rsidR="00C026A6" w:rsidRPr="00EA59C0">
        <w:t xml:space="preserve"> </w:t>
      </w:r>
      <w:r w:rsidRPr="00EA59C0">
        <w:t>costs</w:t>
      </w:r>
      <w:r w:rsidR="00C026A6" w:rsidRPr="00EA59C0">
        <w:t xml:space="preserve"> </w:t>
      </w:r>
      <w:r w:rsidRPr="00EA59C0">
        <w:t>could</w:t>
      </w:r>
      <w:r w:rsidR="00C026A6" w:rsidRPr="00EA59C0">
        <w:t xml:space="preserve"> </w:t>
      </w:r>
      <w:r w:rsidRPr="00EA59C0">
        <w:t>be</w:t>
      </w:r>
      <w:r w:rsidR="00C026A6" w:rsidRPr="00EA59C0">
        <w:t xml:space="preserve"> </w:t>
      </w:r>
      <w:r w:rsidRPr="00EA59C0">
        <w:t>direct</w:t>
      </w:r>
      <w:r w:rsidR="00C026A6" w:rsidRPr="00EA59C0">
        <w:t xml:space="preserve"> </w:t>
      </w:r>
      <w:r w:rsidRPr="00EA59C0">
        <w:t>or</w:t>
      </w:r>
      <w:r w:rsidR="00C026A6" w:rsidRPr="00EA59C0">
        <w:t xml:space="preserve"> </w:t>
      </w:r>
      <w:r w:rsidRPr="00EA59C0">
        <w:t>indirect</w:t>
      </w:r>
      <w:r w:rsidR="00C026A6" w:rsidRPr="00EA59C0">
        <w:t xml:space="preserve"> </w:t>
      </w:r>
      <w:r w:rsidRPr="00EA59C0">
        <w:t>costs,</w:t>
      </w:r>
      <w:r w:rsidR="00C026A6" w:rsidRPr="00EA59C0">
        <w:t xml:space="preserve"> </w:t>
      </w:r>
      <w:r w:rsidRPr="00EA59C0">
        <w:t>and</w:t>
      </w:r>
      <w:r w:rsidR="00C026A6" w:rsidRPr="00EA59C0">
        <w:t xml:space="preserve"> </w:t>
      </w:r>
      <w:r w:rsidRPr="00EA59C0">
        <w:t>are</w:t>
      </w:r>
      <w:r w:rsidR="00C026A6" w:rsidRPr="00EA59C0">
        <w:t xml:space="preserve"> </w:t>
      </w:r>
      <w:r w:rsidRPr="00EA59C0">
        <w:t>defined</w:t>
      </w:r>
      <w:r w:rsidR="00C026A6" w:rsidRPr="00EA59C0">
        <w:t xml:space="preserve"> </w:t>
      </w:r>
      <w:r w:rsidRPr="00EA59C0">
        <w:t>at</w:t>
      </w:r>
      <w:r w:rsidR="00C026A6" w:rsidRPr="00EA59C0">
        <w:t xml:space="preserve"> </w:t>
      </w:r>
      <w:r w:rsidRPr="00EA59C0">
        <w:t>20</w:t>
      </w:r>
      <w:r w:rsidR="00C026A6" w:rsidRPr="00EA59C0">
        <w:t xml:space="preserve"> </w:t>
      </w:r>
      <w:r w:rsidRPr="00EA59C0">
        <w:t>CFR</w:t>
      </w:r>
      <w:r w:rsidR="00C026A6" w:rsidRPr="00EA59C0">
        <w:t xml:space="preserve"> </w:t>
      </w:r>
      <w:r w:rsidRPr="00EA59C0">
        <w:t>667.220.</w:t>
      </w:r>
      <w:r w:rsidR="00C026A6" w:rsidRPr="00EA59C0">
        <w:t xml:space="preserve">  </w:t>
      </w:r>
      <w:r w:rsidRPr="00EA59C0">
        <w:t>Administrative</w:t>
      </w:r>
      <w:r w:rsidR="00C026A6" w:rsidRPr="00EA59C0">
        <w:t xml:space="preserve"> </w:t>
      </w:r>
      <w:r w:rsidRPr="00EA59C0">
        <w:t>costs</w:t>
      </w:r>
      <w:r w:rsidR="00C026A6" w:rsidRPr="00EA59C0">
        <w:t xml:space="preserve"> </w:t>
      </w:r>
      <w:r w:rsidRPr="00EA59C0">
        <w:t>do</w:t>
      </w:r>
      <w:r w:rsidR="00C026A6" w:rsidRPr="00EA59C0">
        <w:t xml:space="preserve"> </w:t>
      </w:r>
      <w:r w:rsidRPr="00EA59C0">
        <w:t>not</w:t>
      </w:r>
      <w:r w:rsidR="00C026A6" w:rsidRPr="00EA59C0">
        <w:t xml:space="preserve"> </w:t>
      </w:r>
      <w:r w:rsidRPr="00EA59C0">
        <w:t>need</w:t>
      </w:r>
      <w:r w:rsidR="00C026A6" w:rsidRPr="00EA59C0">
        <w:t xml:space="preserve"> </w:t>
      </w:r>
      <w:r w:rsidRPr="00EA59C0">
        <w:t>to</w:t>
      </w:r>
      <w:r w:rsidR="00C026A6" w:rsidRPr="00EA59C0">
        <w:t xml:space="preserve"> </w:t>
      </w:r>
      <w:r w:rsidRPr="00EA59C0">
        <w:t>be</w:t>
      </w:r>
      <w:r w:rsidR="00C026A6" w:rsidRPr="00EA59C0">
        <w:t xml:space="preserve"> </w:t>
      </w:r>
      <w:r w:rsidRPr="00EA59C0">
        <w:t>identified</w:t>
      </w:r>
      <w:r w:rsidR="00C026A6" w:rsidRPr="00EA59C0">
        <w:t xml:space="preserve"> </w:t>
      </w:r>
      <w:r w:rsidRPr="00EA59C0">
        <w:t>separately</w:t>
      </w:r>
      <w:r w:rsidR="00C026A6" w:rsidRPr="00EA59C0">
        <w:t xml:space="preserve"> </w:t>
      </w:r>
      <w:r w:rsidRPr="00EA59C0">
        <w:t>from</w:t>
      </w:r>
      <w:r w:rsidR="00C026A6" w:rsidRPr="00EA59C0">
        <w:t xml:space="preserve"> </w:t>
      </w:r>
      <w:r w:rsidRPr="00EA59C0">
        <w:t>program</w:t>
      </w:r>
      <w:r w:rsidR="00C026A6" w:rsidRPr="00EA59C0">
        <w:t xml:space="preserve"> </w:t>
      </w:r>
      <w:r w:rsidRPr="00EA59C0">
        <w:t>costs</w:t>
      </w:r>
      <w:r w:rsidR="00C026A6" w:rsidRPr="00EA59C0">
        <w:t xml:space="preserve"> </w:t>
      </w:r>
      <w:r w:rsidRPr="00EA59C0">
        <w:t>on</w:t>
      </w:r>
      <w:r w:rsidR="00C026A6" w:rsidRPr="00EA59C0">
        <w:t xml:space="preserve"> </w:t>
      </w:r>
      <w:r w:rsidRPr="00EA59C0">
        <w:t>the</w:t>
      </w:r>
      <w:r w:rsidR="00C026A6" w:rsidRPr="00EA59C0">
        <w:t xml:space="preserve"> </w:t>
      </w:r>
      <w:r w:rsidRPr="00EA59C0">
        <w:t>SF-424A</w:t>
      </w:r>
      <w:r w:rsidR="00C026A6" w:rsidRPr="00EA59C0">
        <w:t xml:space="preserve"> </w:t>
      </w:r>
      <w:r w:rsidRPr="00EA59C0">
        <w:t>Budget</w:t>
      </w:r>
      <w:r w:rsidR="00C026A6" w:rsidRPr="00EA59C0">
        <w:t xml:space="preserve"> </w:t>
      </w:r>
      <w:r w:rsidRPr="00EA59C0">
        <w:t>Information</w:t>
      </w:r>
      <w:r w:rsidR="00C026A6" w:rsidRPr="00EA59C0">
        <w:t xml:space="preserve"> </w:t>
      </w:r>
      <w:r w:rsidRPr="00EA59C0">
        <w:t>Form.</w:t>
      </w:r>
      <w:r w:rsidR="00C026A6" w:rsidRPr="00EA59C0">
        <w:t xml:space="preserve">  </w:t>
      </w:r>
      <w:r w:rsidRPr="00EA59C0">
        <w:t>However,</w:t>
      </w:r>
      <w:r w:rsidR="00C026A6" w:rsidRPr="00EA59C0">
        <w:t xml:space="preserve"> </w:t>
      </w:r>
      <w:r w:rsidRPr="00EA59C0">
        <w:t>they</w:t>
      </w:r>
      <w:r w:rsidR="00C026A6" w:rsidRPr="00EA59C0">
        <w:t xml:space="preserve"> </w:t>
      </w:r>
      <w:r w:rsidRPr="00EA59C0">
        <w:t>must</w:t>
      </w:r>
      <w:r w:rsidR="00C026A6" w:rsidRPr="00EA59C0">
        <w:t xml:space="preserve"> </w:t>
      </w:r>
      <w:r w:rsidRPr="00EA59C0">
        <w:t>be</w:t>
      </w:r>
      <w:r w:rsidR="00C026A6" w:rsidRPr="00EA59C0">
        <w:t xml:space="preserve"> </w:t>
      </w:r>
      <w:r w:rsidRPr="00EA59C0">
        <w:t>tracked</w:t>
      </w:r>
      <w:r w:rsidR="00C026A6" w:rsidRPr="00EA59C0">
        <w:t xml:space="preserve"> </w:t>
      </w:r>
      <w:r w:rsidRPr="00EA59C0">
        <w:t>through</w:t>
      </w:r>
      <w:r w:rsidR="00C026A6" w:rsidRPr="00EA59C0">
        <w:t xml:space="preserve"> </w:t>
      </w:r>
      <w:r w:rsidRPr="00EA59C0">
        <w:t>the</w:t>
      </w:r>
      <w:r w:rsidR="00C026A6" w:rsidRPr="00EA59C0">
        <w:t xml:space="preserve"> </w:t>
      </w:r>
      <w:r w:rsidRPr="00EA59C0">
        <w:t>grantee’s</w:t>
      </w:r>
      <w:r w:rsidR="00C026A6" w:rsidRPr="00EA59C0">
        <w:t xml:space="preserve"> </w:t>
      </w:r>
      <w:r w:rsidRPr="00EA59C0">
        <w:t>accounting</w:t>
      </w:r>
      <w:r w:rsidR="00C026A6" w:rsidRPr="00EA59C0">
        <w:t xml:space="preserve"> </w:t>
      </w:r>
      <w:r w:rsidRPr="00EA59C0">
        <w:t>system.</w:t>
      </w:r>
      <w:r w:rsidR="00C026A6" w:rsidRPr="00EA59C0">
        <w:t xml:space="preserve">  </w:t>
      </w:r>
      <w:r w:rsidRPr="00EA59C0">
        <w:t>To</w:t>
      </w:r>
      <w:r w:rsidR="00C026A6" w:rsidRPr="00EA59C0">
        <w:t xml:space="preserve"> </w:t>
      </w:r>
      <w:r w:rsidRPr="00EA59C0">
        <w:t>claim</w:t>
      </w:r>
      <w:r w:rsidR="00C026A6" w:rsidRPr="00EA59C0">
        <w:t xml:space="preserve"> </w:t>
      </w:r>
      <w:r w:rsidRPr="00EA59C0">
        <w:t>any</w:t>
      </w:r>
      <w:r w:rsidR="00C026A6" w:rsidRPr="00EA59C0">
        <w:t xml:space="preserve"> </w:t>
      </w:r>
      <w:r w:rsidRPr="00EA59C0">
        <w:t>administrative</w:t>
      </w:r>
      <w:r w:rsidR="00C026A6" w:rsidRPr="00EA59C0">
        <w:t xml:space="preserve"> </w:t>
      </w:r>
      <w:r w:rsidRPr="00EA59C0">
        <w:t>costs</w:t>
      </w:r>
      <w:r w:rsidR="00C026A6" w:rsidRPr="00EA59C0">
        <w:t xml:space="preserve"> </w:t>
      </w:r>
      <w:r w:rsidRPr="00EA59C0">
        <w:t>that</w:t>
      </w:r>
      <w:r w:rsidR="00C026A6" w:rsidRPr="00EA59C0">
        <w:t xml:space="preserve"> </w:t>
      </w:r>
      <w:r w:rsidRPr="00EA59C0">
        <w:t>are</w:t>
      </w:r>
      <w:r w:rsidR="00C026A6" w:rsidRPr="00EA59C0">
        <w:t xml:space="preserve"> </w:t>
      </w:r>
      <w:r w:rsidRPr="00EA59C0">
        <w:t>also</w:t>
      </w:r>
      <w:r w:rsidR="00C026A6" w:rsidRPr="00EA59C0">
        <w:t xml:space="preserve"> </w:t>
      </w:r>
      <w:r w:rsidRPr="00EA59C0">
        <w:t>indirect</w:t>
      </w:r>
      <w:r w:rsidR="00C026A6" w:rsidRPr="00EA59C0">
        <w:t xml:space="preserve"> </w:t>
      </w:r>
      <w:r w:rsidRPr="00EA59C0">
        <w:t>costs,</w:t>
      </w:r>
      <w:r w:rsidR="00C026A6" w:rsidRPr="00EA59C0">
        <w:t xml:space="preserve"> </w:t>
      </w:r>
      <w:r w:rsidRPr="00EA59C0">
        <w:t>the</w:t>
      </w:r>
      <w:r w:rsidR="00C026A6" w:rsidRPr="00EA59C0">
        <w:t xml:space="preserve"> </w:t>
      </w:r>
      <w:r w:rsidRPr="00EA59C0">
        <w:t>applicant</w:t>
      </w:r>
      <w:r w:rsidR="00C026A6" w:rsidRPr="00EA59C0">
        <w:t xml:space="preserve"> </w:t>
      </w:r>
      <w:r w:rsidRPr="00EA59C0">
        <w:t>must</w:t>
      </w:r>
      <w:r w:rsidR="00C026A6" w:rsidRPr="00EA59C0">
        <w:t xml:space="preserve"> </w:t>
      </w:r>
      <w:r w:rsidRPr="00EA59C0">
        <w:t>obtain</w:t>
      </w:r>
      <w:r w:rsidR="00C026A6" w:rsidRPr="00EA59C0">
        <w:t xml:space="preserve"> </w:t>
      </w:r>
      <w:r w:rsidRPr="00EA59C0">
        <w:t>an</w:t>
      </w:r>
      <w:r w:rsidR="00C026A6" w:rsidRPr="00EA59C0">
        <w:t xml:space="preserve"> </w:t>
      </w:r>
      <w:r w:rsidRPr="00EA59C0">
        <w:t>Indirect</w:t>
      </w:r>
      <w:r w:rsidR="00C026A6" w:rsidRPr="00EA59C0">
        <w:t xml:space="preserve"> </w:t>
      </w:r>
      <w:r w:rsidRPr="00EA59C0">
        <w:t>Cost</w:t>
      </w:r>
      <w:r w:rsidR="00C026A6" w:rsidRPr="00EA59C0">
        <w:t xml:space="preserve"> </w:t>
      </w:r>
      <w:r w:rsidRPr="00EA59C0">
        <w:t>Rate</w:t>
      </w:r>
      <w:r w:rsidR="00C026A6" w:rsidRPr="00EA59C0">
        <w:t xml:space="preserve"> </w:t>
      </w:r>
      <w:r w:rsidRPr="00EA59C0">
        <w:t>Agreement</w:t>
      </w:r>
      <w:r w:rsidR="00C026A6" w:rsidRPr="00EA59C0">
        <w:t xml:space="preserve"> </w:t>
      </w:r>
      <w:r w:rsidRPr="00EA59C0">
        <w:t>from</w:t>
      </w:r>
      <w:r w:rsidR="00C026A6" w:rsidRPr="00EA59C0">
        <w:t xml:space="preserve"> </w:t>
      </w:r>
      <w:r w:rsidRPr="00EA59C0">
        <w:t>its</w:t>
      </w:r>
      <w:r w:rsidR="00C026A6" w:rsidRPr="00EA59C0">
        <w:t xml:space="preserve"> </w:t>
      </w:r>
      <w:r w:rsidRPr="00EA59C0">
        <w:t>Federal</w:t>
      </w:r>
      <w:r w:rsidR="00C026A6" w:rsidRPr="00EA59C0">
        <w:t xml:space="preserve"> </w:t>
      </w:r>
      <w:r w:rsidRPr="00EA59C0">
        <w:t>Cognizant</w:t>
      </w:r>
      <w:r w:rsidR="00C026A6" w:rsidRPr="00EA59C0">
        <w:t xml:space="preserve"> </w:t>
      </w:r>
      <w:r w:rsidRPr="00EA59C0">
        <w:t>agency,</w:t>
      </w:r>
      <w:r w:rsidR="00C026A6" w:rsidRPr="00EA59C0">
        <w:t xml:space="preserve"> </w:t>
      </w:r>
      <w:r w:rsidRPr="00EA59C0">
        <w:t>as</w:t>
      </w:r>
      <w:r w:rsidR="00C026A6" w:rsidRPr="00EA59C0">
        <w:t xml:space="preserve"> </w:t>
      </w:r>
      <w:r w:rsidRPr="00EA59C0">
        <w:t>specified</w:t>
      </w:r>
      <w:r w:rsidR="00C026A6" w:rsidRPr="00EA59C0">
        <w:t xml:space="preserve"> </w:t>
      </w:r>
      <w:r w:rsidRPr="00EA59C0">
        <w:t>above.</w:t>
      </w:r>
    </w:p>
    <w:p w:rsidR="00144DF0" w:rsidRPr="00EA59C0" w:rsidRDefault="00144DF0" w:rsidP="00C072FA"/>
    <w:p w:rsidR="007470AB" w:rsidRPr="00EA59C0" w:rsidRDefault="007470AB" w:rsidP="00C072FA">
      <w:pPr>
        <w:pStyle w:val="Heading3"/>
        <w:numPr>
          <w:ilvl w:val="2"/>
          <w:numId w:val="17"/>
        </w:numPr>
        <w:rPr>
          <w:color w:val="auto"/>
        </w:rPr>
      </w:pPr>
      <w:r w:rsidRPr="00EA59C0">
        <w:rPr>
          <w:color w:val="auto"/>
        </w:rPr>
        <w:t>Salary</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Bonus</w:t>
      </w:r>
      <w:r w:rsidR="00C026A6" w:rsidRPr="00EA59C0">
        <w:rPr>
          <w:color w:val="auto"/>
        </w:rPr>
        <w:t xml:space="preserve"> </w:t>
      </w:r>
      <w:r w:rsidRPr="00EA59C0">
        <w:rPr>
          <w:color w:val="auto"/>
        </w:rPr>
        <w:t>Limitations</w:t>
      </w:r>
    </w:p>
    <w:p w:rsidR="007470AB" w:rsidRPr="00EA59C0" w:rsidRDefault="00033715" w:rsidP="00080097">
      <w:pPr>
        <w:widowControl w:val="0"/>
        <w:adjustRightInd w:val="0"/>
        <w:ind w:left="1080"/>
        <w:textAlignment w:val="baseline"/>
      </w:pPr>
      <w:r w:rsidRPr="00EA59C0">
        <w:t>N</w:t>
      </w:r>
      <w:r w:rsidR="007470AB" w:rsidRPr="00EA59C0">
        <w:t>one</w:t>
      </w:r>
      <w:r w:rsidR="00C026A6" w:rsidRPr="00EA59C0">
        <w:t xml:space="preserve"> </w:t>
      </w:r>
      <w:r w:rsidR="007470AB" w:rsidRPr="00EA59C0">
        <w:t>of</w:t>
      </w:r>
      <w:r w:rsidR="00C026A6" w:rsidRPr="00EA59C0">
        <w:t xml:space="preserve"> </w:t>
      </w:r>
      <w:r w:rsidR="007470AB" w:rsidRPr="00EA59C0">
        <w:t>the</w:t>
      </w:r>
      <w:r w:rsidR="00C026A6" w:rsidRPr="00EA59C0">
        <w:t xml:space="preserve"> </w:t>
      </w:r>
      <w:r w:rsidRPr="00EA59C0">
        <w:t>grant</w:t>
      </w:r>
      <w:r w:rsidR="00C026A6" w:rsidRPr="00EA59C0">
        <w:t xml:space="preserve"> </w:t>
      </w:r>
      <w:r w:rsidR="007470AB" w:rsidRPr="00EA59C0">
        <w:t>funds</w:t>
      </w:r>
      <w:r w:rsidR="00C026A6" w:rsidRPr="00EA59C0">
        <w:t xml:space="preserve"> </w:t>
      </w:r>
      <w:r w:rsidR="007470AB" w:rsidRPr="00EA59C0">
        <w:t>may</w:t>
      </w:r>
      <w:r w:rsidR="00C026A6" w:rsidRPr="00EA59C0">
        <w:t xml:space="preserve"> </w:t>
      </w:r>
      <w:r w:rsidR="007470AB" w:rsidRPr="00EA59C0">
        <w:t>be</w:t>
      </w:r>
      <w:r w:rsidR="00C026A6" w:rsidRPr="00EA59C0">
        <w:t xml:space="preserve"> </w:t>
      </w:r>
      <w:r w:rsidR="007470AB" w:rsidRPr="00EA59C0">
        <w:t>used</w:t>
      </w:r>
      <w:r w:rsidR="00C026A6" w:rsidRPr="00EA59C0">
        <w:t xml:space="preserve"> </w:t>
      </w:r>
      <w:r w:rsidR="007470AB" w:rsidRPr="00EA59C0">
        <w:t>by</w:t>
      </w:r>
      <w:r w:rsidR="00C026A6" w:rsidRPr="00EA59C0">
        <w:t xml:space="preserve"> </w:t>
      </w:r>
      <w:r w:rsidR="007470AB" w:rsidRPr="00EA59C0">
        <w:t>a</w:t>
      </w:r>
      <w:r w:rsidR="00C026A6" w:rsidRPr="00EA59C0">
        <w:t xml:space="preserve"> </w:t>
      </w:r>
      <w:r w:rsidR="007470AB" w:rsidRPr="00EA59C0">
        <w:t>recipient</w:t>
      </w:r>
      <w:r w:rsidR="00C026A6" w:rsidRPr="00EA59C0">
        <w:t xml:space="preserve"> </w:t>
      </w:r>
      <w:r w:rsidR="007470AB" w:rsidRPr="00EA59C0">
        <w:t>or</w:t>
      </w:r>
      <w:r w:rsidR="00C026A6" w:rsidRPr="00EA59C0">
        <w:t xml:space="preserve"> </w:t>
      </w:r>
      <w:r w:rsidR="007470AB" w:rsidRPr="00EA59C0">
        <w:t>sub</w:t>
      </w:r>
      <w:r w:rsidR="00DE4621" w:rsidRPr="00EA59C0">
        <w:t>-</w:t>
      </w:r>
      <w:r w:rsidR="007470AB" w:rsidRPr="00EA59C0">
        <w:t>recipient</w:t>
      </w:r>
      <w:r w:rsidR="00C026A6" w:rsidRPr="00EA59C0">
        <w:t xml:space="preserve"> </w:t>
      </w:r>
      <w:r w:rsidR="007470AB" w:rsidRPr="00EA59C0">
        <w:t>of</w:t>
      </w:r>
      <w:r w:rsidR="00C026A6" w:rsidRPr="00EA59C0">
        <w:t xml:space="preserve"> </w:t>
      </w:r>
      <w:r w:rsidR="007470AB" w:rsidRPr="00EA59C0">
        <w:t>such</w:t>
      </w:r>
      <w:r w:rsidR="00C026A6" w:rsidRPr="00EA59C0">
        <w:t xml:space="preserve"> </w:t>
      </w:r>
      <w:r w:rsidR="007470AB" w:rsidRPr="00EA59C0">
        <w:t>funds</w:t>
      </w:r>
      <w:r w:rsidR="00C026A6" w:rsidRPr="00EA59C0">
        <w:t xml:space="preserve"> </w:t>
      </w:r>
      <w:r w:rsidR="007470AB" w:rsidRPr="00EA59C0">
        <w:t>to</w:t>
      </w:r>
      <w:r w:rsidR="00C026A6" w:rsidRPr="00EA59C0">
        <w:t xml:space="preserve"> </w:t>
      </w:r>
      <w:r w:rsidR="007470AB" w:rsidRPr="00EA59C0">
        <w:t>pay</w:t>
      </w:r>
      <w:r w:rsidR="00C026A6" w:rsidRPr="00EA59C0">
        <w:t xml:space="preserve"> </w:t>
      </w:r>
      <w:r w:rsidR="007470AB" w:rsidRPr="00EA59C0">
        <w:t>the</w:t>
      </w:r>
      <w:r w:rsidR="00C026A6" w:rsidRPr="00EA59C0">
        <w:t xml:space="preserve"> </w:t>
      </w:r>
      <w:r w:rsidR="007470AB" w:rsidRPr="00EA59C0">
        <w:t>salary</w:t>
      </w:r>
      <w:r w:rsidR="00C026A6" w:rsidRPr="00EA59C0">
        <w:t xml:space="preserve"> </w:t>
      </w:r>
      <w:r w:rsidR="007470AB" w:rsidRPr="00EA59C0">
        <w:t>and</w:t>
      </w:r>
      <w:r w:rsidR="00C026A6" w:rsidRPr="00EA59C0">
        <w:t xml:space="preserve"> </w:t>
      </w:r>
      <w:r w:rsidR="007470AB" w:rsidRPr="00EA59C0">
        <w:t>bonuses</w:t>
      </w:r>
      <w:r w:rsidR="00C026A6" w:rsidRPr="00EA59C0">
        <w:t xml:space="preserve"> </w:t>
      </w:r>
      <w:r w:rsidR="007470AB" w:rsidRPr="00EA59C0">
        <w:t>of</w:t>
      </w:r>
      <w:r w:rsidR="00C026A6" w:rsidRPr="00EA59C0">
        <w:t xml:space="preserve"> </w:t>
      </w:r>
      <w:r w:rsidR="007470AB" w:rsidRPr="00EA59C0">
        <w:t>an</w:t>
      </w:r>
      <w:r w:rsidR="00C026A6" w:rsidRPr="00EA59C0">
        <w:t xml:space="preserve"> </w:t>
      </w:r>
      <w:r w:rsidR="007470AB" w:rsidRPr="00EA59C0">
        <w:t>individual,</w:t>
      </w:r>
      <w:r w:rsidR="00C026A6" w:rsidRPr="00EA59C0">
        <w:t xml:space="preserve"> </w:t>
      </w:r>
      <w:r w:rsidR="007470AB" w:rsidRPr="00EA59C0">
        <w:t>either</w:t>
      </w:r>
      <w:r w:rsidR="00C026A6" w:rsidRPr="00EA59C0">
        <w:t xml:space="preserve"> </w:t>
      </w:r>
      <w:r w:rsidR="007470AB" w:rsidRPr="00EA59C0">
        <w:t>as</w:t>
      </w:r>
      <w:r w:rsidR="00C026A6" w:rsidRPr="00EA59C0">
        <w:t xml:space="preserve"> </w:t>
      </w:r>
      <w:r w:rsidR="007470AB" w:rsidRPr="00EA59C0">
        <w:t>direct</w:t>
      </w:r>
      <w:r w:rsidR="00C026A6" w:rsidRPr="00EA59C0">
        <w:t xml:space="preserve"> </w:t>
      </w:r>
      <w:r w:rsidR="007470AB" w:rsidRPr="00EA59C0">
        <w:t>costs</w:t>
      </w:r>
      <w:r w:rsidR="00C026A6" w:rsidRPr="00EA59C0">
        <w:t xml:space="preserve"> </w:t>
      </w:r>
      <w:r w:rsidR="007470AB" w:rsidRPr="00EA59C0">
        <w:t>or</w:t>
      </w:r>
      <w:r w:rsidR="00C026A6" w:rsidRPr="00EA59C0">
        <w:t xml:space="preserve"> </w:t>
      </w:r>
      <w:r w:rsidR="007470AB" w:rsidRPr="00EA59C0">
        <w:t>indirect</w:t>
      </w:r>
      <w:r w:rsidR="00C026A6" w:rsidRPr="00EA59C0">
        <w:t xml:space="preserve"> </w:t>
      </w:r>
      <w:r w:rsidR="007470AB" w:rsidRPr="00EA59C0">
        <w:t>costs,</w:t>
      </w:r>
      <w:r w:rsidR="00C026A6" w:rsidRPr="00EA59C0">
        <w:t xml:space="preserve"> </w:t>
      </w:r>
      <w:r w:rsidR="007470AB" w:rsidRPr="00EA59C0">
        <w:t>at</w:t>
      </w:r>
      <w:r w:rsidR="00C026A6" w:rsidRPr="00EA59C0">
        <w:t xml:space="preserve"> </w:t>
      </w:r>
      <w:r w:rsidR="007470AB" w:rsidRPr="00EA59C0">
        <w:t>a</w:t>
      </w:r>
      <w:r w:rsidR="00C026A6" w:rsidRPr="00EA59C0">
        <w:t xml:space="preserve"> </w:t>
      </w:r>
      <w:r w:rsidR="007470AB" w:rsidRPr="00EA59C0">
        <w:t>rate</w:t>
      </w:r>
      <w:r w:rsidR="00C026A6" w:rsidRPr="00EA59C0">
        <w:t xml:space="preserve"> </w:t>
      </w:r>
      <w:r w:rsidR="007470AB" w:rsidRPr="00EA59C0">
        <w:t>in</w:t>
      </w:r>
      <w:r w:rsidR="00C026A6" w:rsidRPr="00EA59C0">
        <w:t xml:space="preserve"> </w:t>
      </w:r>
      <w:r w:rsidR="007470AB" w:rsidRPr="00EA59C0">
        <w:t>excess</w:t>
      </w:r>
      <w:r w:rsidR="00C026A6" w:rsidRPr="00EA59C0">
        <w:t xml:space="preserve"> </w:t>
      </w:r>
      <w:r w:rsidR="007470AB" w:rsidRPr="00EA59C0">
        <w:t>of</w:t>
      </w:r>
      <w:r w:rsidR="00C026A6" w:rsidRPr="00EA59C0">
        <w:t xml:space="preserve"> </w:t>
      </w:r>
      <w:r w:rsidR="007470AB" w:rsidRPr="00EA59C0">
        <w:t>Executive</w:t>
      </w:r>
      <w:r w:rsidR="00C026A6" w:rsidRPr="00EA59C0">
        <w:t xml:space="preserve"> </w:t>
      </w:r>
      <w:r w:rsidR="007470AB" w:rsidRPr="00EA59C0">
        <w:t>Level</w:t>
      </w:r>
      <w:r w:rsidR="00C026A6" w:rsidRPr="00EA59C0">
        <w:t xml:space="preserve"> </w:t>
      </w:r>
      <w:r w:rsidR="007470AB" w:rsidRPr="00EA59C0">
        <w:t>II.</w:t>
      </w:r>
      <w:r w:rsidR="00C026A6" w:rsidRPr="00EA59C0">
        <w:t xml:space="preserve">  </w:t>
      </w:r>
      <w:r w:rsidR="007470AB" w:rsidRPr="00EA59C0">
        <w:t>This</w:t>
      </w:r>
      <w:r w:rsidR="00C026A6" w:rsidRPr="00EA59C0">
        <w:t xml:space="preserve"> </w:t>
      </w:r>
      <w:r w:rsidR="007470AB" w:rsidRPr="00EA59C0">
        <w:t>limitation</w:t>
      </w:r>
      <w:r w:rsidR="00C026A6" w:rsidRPr="00EA59C0">
        <w:t xml:space="preserve"> </w:t>
      </w:r>
      <w:r w:rsidR="007470AB" w:rsidRPr="00EA59C0">
        <w:t>does</w:t>
      </w:r>
      <w:r w:rsidR="00C026A6" w:rsidRPr="00EA59C0">
        <w:t xml:space="preserve"> </w:t>
      </w:r>
      <w:r w:rsidR="007470AB" w:rsidRPr="00EA59C0">
        <w:t>not</w:t>
      </w:r>
      <w:r w:rsidR="00C026A6" w:rsidRPr="00EA59C0">
        <w:t xml:space="preserve"> </w:t>
      </w:r>
      <w:r w:rsidR="007470AB" w:rsidRPr="00EA59C0">
        <w:t>apply</w:t>
      </w:r>
      <w:r w:rsidR="00C026A6" w:rsidRPr="00EA59C0">
        <w:t xml:space="preserve"> </w:t>
      </w:r>
      <w:r w:rsidR="007470AB" w:rsidRPr="00EA59C0">
        <w:t>to</w:t>
      </w:r>
      <w:r w:rsidR="00C026A6" w:rsidRPr="00EA59C0">
        <w:t xml:space="preserve"> </w:t>
      </w:r>
      <w:r w:rsidR="007470AB" w:rsidRPr="00EA59C0">
        <w:t>vendors</w:t>
      </w:r>
      <w:r w:rsidR="00C026A6" w:rsidRPr="00EA59C0">
        <w:t xml:space="preserve"> </w:t>
      </w:r>
      <w:r w:rsidR="007470AB" w:rsidRPr="00EA59C0">
        <w:t>providing</w:t>
      </w:r>
      <w:r w:rsidR="00C026A6" w:rsidRPr="00EA59C0">
        <w:t xml:space="preserve"> </w:t>
      </w:r>
      <w:r w:rsidR="007470AB" w:rsidRPr="00EA59C0">
        <w:t>goods</w:t>
      </w:r>
      <w:r w:rsidR="00C026A6" w:rsidRPr="00EA59C0">
        <w:t xml:space="preserve"> </w:t>
      </w:r>
      <w:r w:rsidR="007470AB" w:rsidRPr="00EA59C0">
        <w:t>and</w:t>
      </w:r>
      <w:r w:rsidR="00C026A6" w:rsidRPr="00EA59C0">
        <w:t xml:space="preserve"> </w:t>
      </w:r>
      <w:r w:rsidR="007470AB" w:rsidRPr="00EA59C0">
        <w:t>services</w:t>
      </w:r>
      <w:r w:rsidR="00C026A6" w:rsidRPr="00EA59C0">
        <w:t xml:space="preserve"> </w:t>
      </w:r>
      <w:r w:rsidR="007470AB" w:rsidRPr="00EA59C0">
        <w:t>as</w:t>
      </w:r>
      <w:r w:rsidR="00C026A6" w:rsidRPr="00EA59C0">
        <w:t xml:space="preserve"> </w:t>
      </w:r>
      <w:r w:rsidR="007470AB" w:rsidRPr="00EA59C0">
        <w:t>defined</w:t>
      </w:r>
      <w:r w:rsidR="00C026A6" w:rsidRPr="00EA59C0">
        <w:t xml:space="preserve"> </w:t>
      </w:r>
      <w:r w:rsidR="007470AB" w:rsidRPr="00EA59C0">
        <w:t>in</w:t>
      </w:r>
      <w:r w:rsidR="00C026A6" w:rsidRPr="00EA59C0">
        <w:t xml:space="preserve"> </w:t>
      </w:r>
      <w:r w:rsidR="007470AB" w:rsidRPr="00EA59C0">
        <w:t>OMB</w:t>
      </w:r>
      <w:r w:rsidR="00C026A6" w:rsidRPr="00EA59C0">
        <w:t xml:space="preserve"> </w:t>
      </w:r>
      <w:r w:rsidR="007470AB" w:rsidRPr="00EA59C0">
        <w:t>Circular</w:t>
      </w:r>
      <w:r w:rsidR="00C026A6" w:rsidRPr="00EA59C0">
        <w:t xml:space="preserve"> </w:t>
      </w:r>
      <w:r w:rsidR="007470AB" w:rsidRPr="00EA59C0">
        <w:t>A-133</w:t>
      </w:r>
      <w:r w:rsidR="00C026A6" w:rsidRPr="00EA59C0">
        <w:t xml:space="preserve"> </w:t>
      </w:r>
      <w:r w:rsidR="007470AB" w:rsidRPr="00EA59C0">
        <w:t>(codified</w:t>
      </w:r>
      <w:r w:rsidR="00C026A6" w:rsidRPr="00EA59C0">
        <w:t xml:space="preserve"> </w:t>
      </w:r>
      <w:r w:rsidR="007470AB" w:rsidRPr="00EA59C0">
        <w:t>at</w:t>
      </w:r>
      <w:r w:rsidR="00C026A6" w:rsidRPr="00EA59C0">
        <w:t xml:space="preserve"> </w:t>
      </w:r>
      <w:r w:rsidR="007470AB" w:rsidRPr="00EA59C0">
        <w:t>29</w:t>
      </w:r>
      <w:r w:rsidR="00C026A6" w:rsidRPr="00EA59C0">
        <w:t xml:space="preserve"> </w:t>
      </w:r>
      <w:r w:rsidR="007470AB" w:rsidRPr="00EA59C0">
        <w:t>CFR</w:t>
      </w:r>
      <w:r w:rsidR="00C026A6" w:rsidRPr="00EA59C0">
        <w:t xml:space="preserve"> </w:t>
      </w:r>
      <w:r w:rsidR="007470AB" w:rsidRPr="00EA59C0">
        <w:t>Parts</w:t>
      </w:r>
      <w:r w:rsidR="00C026A6" w:rsidRPr="00EA59C0">
        <w:t xml:space="preserve"> </w:t>
      </w:r>
      <w:r w:rsidR="007470AB" w:rsidRPr="00EA59C0">
        <w:t>96</w:t>
      </w:r>
      <w:r w:rsidR="00C026A6" w:rsidRPr="00EA59C0">
        <w:t xml:space="preserve"> </w:t>
      </w:r>
      <w:r w:rsidR="007470AB" w:rsidRPr="00EA59C0">
        <w:t>and</w:t>
      </w:r>
      <w:r w:rsidR="00C026A6" w:rsidRPr="00EA59C0">
        <w:t xml:space="preserve"> </w:t>
      </w:r>
      <w:r w:rsidR="007470AB" w:rsidRPr="00EA59C0">
        <w:t>99).</w:t>
      </w:r>
      <w:r w:rsidR="00C026A6" w:rsidRPr="00EA59C0">
        <w:t xml:space="preserve">  </w:t>
      </w:r>
      <w:r w:rsidR="007470AB" w:rsidRPr="00EA59C0">
        <w:t>See</w:t>
      </w:r>
      <w:r w:rsidR="00C026A6" w:rsidRPr="00EA59C0">
        <w:t xml:space="preserve"> </w:t>
      </w:r>
      <w:r w:rsidRPr="00EA59C0">
        <w:t>Public</w:t>
      </w:r>
      <w:r w:rsidR="00C026A6" w:rsidRPr="00EA59C0">
        <w:t xml:space="preserve"> </w:t>
      </w:r>
      <w:r w:rsidRPr="00EA59C0">
        <w:t>Laws</w:t>
      </w:r>
      <w:r w:rsidR="00C026A6" w:rsidRPr="00EA59C0">
        <w:t xml:space="preserve"> </w:t>
      </w:r>
      <w:r w:rsidR="004C0252" w:rsidRPr="00EA59C0">
        <w:t>112-74</w:t>
      </w:r>
      <w:r w:rsidR="00C026A6" w:rsidRPr="00EA59C0">
        <w:t xml:space="preserve"> </w:t>
      </w:r>
      <w:r w:rsidR="004C0252" w:rsidRPr="00EA59C0">
        <w:t>(Division</w:t>
      </w:r>
      <w:r w:rsidR="00C026A6" w:rsidRPr="00EA59C0">
        <w:t xml:space="preserve"> </w:t>
      </w:r>
      <w:r w:rsidR="004C0252" w:rsidRPr="00EA59C0">
        <w:t>F,</w:t>
      </w:r>
      <w:r w:rsidR="00C026A6" w:rsidRPr="00EA59C0">
        <w:t xml:space="preserve"> </w:t>
      </w:r>
      <w:r w:rsidR="004C0252" w:rsidRPr="00EA59C0">
        <w:t>Title</w:t>
      </w:r>
      <w:r w:rsidR="00C026A6" w:rsidRPr="00EA59C0">
        <w:t xml:space="preserve"> </w:t>
      </w:r>
      <w:r w:rsidR="004C0252" w:rsidRPr="00EA59C0">
        <w:t>I,</w:t>
      </w:r>
      <w:r w:rsidR="00C026A6" w:rsidRPr="00EA59C0">
        <w:t xml:space="preserve"> </w:t>
      </w:r>
      <w:r w:rsidR="004C0252" w:rsidRPr="00EA59C0">
        <w:t>section</w:t>
      </w:r>
      <w:r w:rsidR="00C026A6" w:rsidRPr="00EA59C0">
        <w:t xml:space="preserve"> </w:t>
      </w:r>
      <w:r w:rsidR="004C0252" w:rsidRPr="00EA59C0">
        <w:t>105),</w:t>
      </w:r>
      <w:r w:rsidR="00C026A6" w:rsidRPr="00EA59C0">
        <w:t xml:space="preserve"> </w:t>
      </w:r>
      <w:r w:rsidR="004C0252" w:rsidRPr="00EA59C0">
        <w:t>112-10</w:t>
      </w:r>
      <w:r w:rsidR="00C026A6" w:rsidRPr="00EA59C0">
        <w:t xml:space="preserve"> </w:t>
      </w:r>
      <w:r w:rsidR="004C0252" w:rsidRPr="00EA59C0">
        <w:t>(Division</w:t>
      </w:r>
      <w:r w:rsidR="00C026A6" w:rsidRPr="00EA59C0">
        <w:t xml:space="preserve"> </w:t>
      </w:r>
      <w:r w:rsidR="004C0252" w:rsidRPr="00EA59C0">
        <w:t>B,</w:t>
      </w:r>
      <w:r w:rsidR="00C026A6" w:rsidRPr="00EA59C0">
        <w:t xml:space="preserve"> </w:t>
      </w:r>
      <w:r w:rsidR="004C0252" w:rsidRPr="00EA59C0">
        <w:t>Title</w:t>
      </w:r>
      <w:r w:rsidR="00C026A6" w:rsidRPr="00EA59C0">
        <w:t xml:space="preserve"> </w:t>
      </w:r>
      <w:r w:rsidR="004C0252" w:rsidRPr="00EA59C0">
        <w:t>I)</w:t>
      </w:r>
      <w:r w:rsidR="00C026A6" w:rsidRPr="00EA59C0">
        <w:t xml:space="preserve"> </w:t>
      </w:r>
      <w:r w:rsidR="004C0252" w:rsidRPr="00EA59C0">
        <w:t>and</w:t>
      </w:r>
      <w:r w:rsidR="00C026A6" w:rsidRPr="00EA59C0">
        <w:t xml:space="preserve"> </w:t>
      </w:r>
      <w:r w:rsidRPr="00EA59C0">
        <w:t>111-117</w:t>
      </w:r>
      <w:r w:rsidR="00C026A6" w:rsidRPr="00EA59C0">
        <w:t xml:space="preserve"> </w:t>
      </w:r>
      <w:r w:rsidR="003223F7" w:rsidRPr="00EA59C0">
        <w:t>(Division</w:t>
      </w:r>
      <w:r w:rsidR="00C026A6" w:rsidRPr="00EA59C0">
        <w:t xml:space="preserve"> </w:t>
      </w:r>
      <w:r w:rsidR="003223F7" w:rsidRPr="00EA59C0">
        <w:t>D,</w:t>
      </w:r>
      <w:r w:rsidR="00C026A6" w:rsidRPr="00EA59C0">
        <w:t xml:space="preserve"> </w:t>
      </w:r>
      <w:r w:rsidR="003223F7" w:rsidRPr="00EA59C0">
        <w:t>Title</w:t>
      </w:r>
      <w:r w:rsidR="00C026A6" w:rsidRPr="00EA59C0">
        <w:t xml:space="preserve"> </w:t>
      </w:r>
      <w:r w:rsidR="003223F7" w:rsidRPr="00EA59C0">
        <w:t>I</w:t>
      </w:r>
      <w:r w:rsidR="00CB3EEF" w:rsidRPr="00EA59C0">
        <w:t>,</w:t>
      </w:r>
      <w:r w:rsidR="00C026A6" w:rsidRPr="00EA59C0">
        <w:t xml:space="preserve"> </w:t>
      </w:r>
      <w:r w:rsidR="00CB3EEF" w:rsidRPr="00EA59C0">
        <w:t>section</w:t>
      </w:r>
      <w:r w:rsidR="00C026A6" w:rsidRPr="00EA59C0">
        <w:t xml:space="preserve"> </w:t>
      </w:r>
      <w:r w:rsidR="00CB3EEF" w:rsidRPr="00EA59C0">
        <w:t>107</w:t>
      </w:r>
      <w:r w:rsidR="00E42510" w:rsidRPr="00EA59C0">
        <w:t>),</w:t>
      </w:r>
      <w:r w:rsidR="00C026A6" w:rsidRPr="00EA59C0">
        <w:t xml:space="preserve"> </w:t>
      </w:r>
      <w:r w:rsidRPr="00EA59C0">
        <w:t>and</w:t>
      </w:r>
      <w:r w:rsidR="00C026A6" w:rsidRPr="00EA59C0">
        <w:t xml:space="preserve"> </w:t>
      </w:r>
      <w:r w:rsidR="007470AB" w:rsidRPr="00EA59C0">
        <w:t>Training</w:t>
      </w:r>
      <w:r w:rsidR="00C026A6" w:rsidRPr="00EA59C0">
        <w:t xml:space="preserve"> </w:t>
      </w:r>
      <w:r w:rsidR="007470AB" w:rsidRPr="00EA59C0">
        <w:t>and</w:t>
      </w:r>
      <w:r w:rsidR="00C026A6" w:rsidRPr="00EA59C0">
        <w:t xml:space="preserve"> </w:t>
      </w:r>
      <w:r w:rsidR="007470AB" w:rsidRPr="00EA59C0">
        <w:t>Employment</w:t>
      </w:r>
      <w:r w:rsidR="00C026A6" w:rsidRPr="00EA59C0">
        <w:t xml:space="preserve"> </w:t>
      </w:r>
      <w:r w:rsidR="007470AB" w:rsidRPr="00EA59C0">
        <w:t>Guidance</w:t>
      </w:r>
      <w:r w:rsidR="00C026A6" w:rsidRPr="00EA59C0">
        <w:t xml:space="preserve"> </w:t>
      </w:r>
      <w:r w:rsidR="007470AB" w:rsidRPr="00EA59C0">
        <w:t>Letter</w:t>
      </w:r>
      <w:r w:rsidR="00C026A6" w:rsidRPr="00EA59C0">
        <w:t xml:space="preserve"> </w:t>
      </w:r>
      <w:r w:rsidR="007470AB" w:rsidRPr="00EA59C0">
        <w:t>number</w:t>
      </w:r>
      <w:r w:rsidR="00C026A6" w:rsidRPr="00EA59C0">
        <w:t xml:space="preserve"> </w:t>
      </w:r>
      <w:r w:rsidR="007470AB" w:rsidRPr="00EA59C0">
        <w:t>5-06</w:t>
      </w:r>
      <w:r w:rsidR="00C026A6" w:rsidRPr="00EA59C0">
        <w:t xml:space="preserve"> </w:t>
      </w:r>
      <w:r w:rsidR="007470AB" w:rsidRPr="00EA59C0">
        <w:t>for</w:t>
      </w:r>
      <w:r w:rsidR="00C026A6" w:rsidRPr="00EA59C0">
        <w:t xml:space="preserve"> </w:t>
      </w:r>
      <w:r w:rsidR="007470AB" w:rsidRPr="00EA59C0">
        <w:t>further</w:t>
      </w:r>
      <w:r w:rsidR="00C026A6" w:rsidRPr="00EA59C0">
        <w:t xml:space="preserve"> </w:t>
      </w:r>
      <w:r w:rsidR="007470AB" w:rsidRPr="00EA59C0">
        <w:t>clarification:</w:t>
      </w:r>
      <w:r w:rsidR="00C026A6" w:rsidRPr="00EA59C0">
        <w:t xml:space="preserve">  </w:t>
      </w:r>
      <w:hyperlink r:id="rId273" w:history="1">
        <w:r w:rsidR="007470AB" w:rsidRPr="00EA59C0">
          <w:t>http://wdr.doleta.gov/directives/corr_doc.cfm?DOCN=2262</w:t>
        </w:r>
      </w:hyperlink>
      <w:r w:rsidR="007470AB" w:rsidRPr="00EA59C0">
        <w:t>.</w:t>
      </w:r>
    </w:p>
    <w:p w:rsidR="00495723" w:rsidRPr="00EA59C0" w:rsidRDefault="00495723" w:rsidP="00B505EF"/>
    <w:p w:rsidR="007470AB" w:rsidRPr="00EA59C0" w:rsidRDefault="00FA3494" w:rsidP="00B505EF">
      <w:pPr>
        <w:pStyle w:val="Heading3"/>
        <w:numPr>
          <w:ilvl w:val="2"/>
          <w:numId w:val="17"/>
        </w:numPr>
        <w:rPr>
          <w:color w:val="auto"/>
        </w:rPr>
      </w:pPr>
      <w:r w:rsidRPr="00EA59C0">
        <w:rPr>
          <w:color w:val="auto"/>
        </w:rPr>
        <w:t>Limitation</w:t>
      </w:r>
      <w:r w:rsidR="00C026A6" w:rsidRPr="00EA59C0">
        <w:rPr>
          <w:color w:val="auto"/>
        </w:rPr>
        <w:t xml:space="preserve"> </w:t>
      </w:r>
      <w:r w:rsidRPr="00EA59C0">
        <w:rPr>
          <w:color w:val="auto"/>
        </w:rPr>
        <w:t>on</w:t>
      </w:r>
      <w:r w:rsidR="00C026A6" w:rsidRPr="00EA59C0">
        <w:rPr>
          <w:color w:val="auto"/>
        </w:rPr>
        <w:t xml:space="preserve"> </w:t>
      </w:r>
      <w:r w:rsidR="007470AB" w:rsidRPr="00EA59C0">
        <w:rPr>
          <w:color w:val="auto"/>
        </w:rPr>
        <w:t>Use</w:t>
      </w:r>
      <w:r w:rsidR="00C026A6" w:rsidRPr="00EA59C0">
        <w:rPr>
          <w:color w:val="auto"/>
        </w:rPr>
        <w:t xml:space="preserve"> </w:t>
      </w:r>
      <w:r w:rsidR="007470AB" w:rsidRPr="00EA59C0">
        <w:rPr>
          <w:color w:val="auto"/>
        </w:rPr>
        <w:t>of</w:t>
      </w:r>
      <w:r w:rsidR="00C026A6" w:rsidRPr="00EA59C0">
        <w:rPr>
          <w:color w:val="auto"/>
        </w:rPr>
        <w:t xml:space="preserve"> </w:t>
      </w:r>
      <w:r w:rsidR="007470AB" w:rsidRPr="00EA59C0">
        <w:rPr>
          <w:color w:val="auto"/>
        </w:rPr>
        <w:t>Grant</w:t>
      </w:r>
      <w:r w:rsidR="00C026A6" w:rsidRPr="00EA59C0">
        <w:rPr>
          <w:color w:val="auto"/>
        </w:rPr>
        <w:t xml:space="preserve"> </w:t>
      </w:r>
      <w:r w:rsidR="007470AB" w:rsidRPr="00EA59C0">
        <w:rPr>
          <w:color w:val="auto"/>
        </w:rPr>
        <w:t>Funds</w:t>
      </w:r>
      <w:r w:rsidR="00C026A6" w:rsidRPr="00EA59C0">
        <w:rPr>
          <w:color w:val="auto"/>
        </w:rPr>
        <w:t xml:space="preserve"> </w:t>
      </w:r>
      <w:r w:rsidR="007470AB" w:rsidRPr="00EA59C0">
        <w:rPr>
          <w:color w:val="auto"/>
        </w:rPr>
        <w:t>for</w:t>
      </w:r>
      <w:r w:rsidR="00C026A6" w:rsidRPr="00EA59C0">
        <w:rPr>
          <w:color w:val="auto"/>
        </w:rPr>
        <w:t xml:space="preserve"> </w:t>
      </w:r>
      <w:r w:rsidR="007470AB" w:rsidRPr="00EA59C0">
        <w:rPr>
          <w:color w:val="auto"/>
        </w:rPr>
        <w:t>Participant</w:t>
      </w:r>
      <w:r w:rsidR="00C026A6" w:rsidRPr="00EA59C0">
        <w:rPr>
          <w:color w:val="auto"/>
        </w:rPr>
        <w:t xml:space="preserve"> </w:t>
      </w:r>
      <w:r w:rsidR="007470AB" w:rsidRPr="00EA59C0">
        <w:rPr>
          <w:color w:val="auto"/>
        </w:rPr>
        <w:t>Wages</w:t>
      </w:r>
      <w:r w:rsidR="00C026A6" w:rsidRPr="00EA59C0">
        <w:rPr>
          <w:color w:val="auto"/>
        </w:rPr>
        <w:t xml:space="preserve"> </w:t>
      </w:r>
    </w:p>
    <w:p w:rsidR="007470AB" w:rsidRPr="00EA59C0" w:rsidRDefault="00244763" w:rsidP="00080097">
      <w:pPr>
        <w:widowControl w:val="0"/>
        <w:adjustRightInd w:val="0"/>
        <w:ind w:left="1080"/>
        <w:textAlignment w:val="baseline"/>
      </w:pPr>
      <w:r w:rsidRPr="00EA59C0">
        <w:t>Eligible</w:t>
      </w:r>
      <w:r w:rsidR="00C026A6" w:rsidRPr="00EA59C0">
        <w:t xml:space="preserve"> </w:t>
      </w:r>
      <w:r w:rsidRPr="00EA59C0">
        <w:t>institutions</w:t>
      </w:r>
      <w:r w:rsidR="00C026A6" w:rsidRPr="00EA59C0">
        <w:t xml:space="preserve"> </w:t>
      </w:r>
      <w:r w:rsidR="00485ABA" w:rsidRPr="00EA59C0">
        <w:t>Grant</w:t>
      </w:r>
      <w:r w:rsidR="00C026A6" w:rsidRPr="00EA59C0">
        <w:t xml:space="preserve"> </w:t>
      </w:r>
      <w:r w:rsidR="00485ABA" w:rsidRPr="00EA59C0">
        <w:t>funds</w:t>
      </w:r>
      <w:r w:rsidR="00C026A6" w:rsidRPr="00EA59C0">
        <w:t xml:space="preserve"> </w:t>
      </w:r>
      <w:r w:rsidR="007470AB" w:rsidRPr="00EA59C0">
        <w:t>may</w:t>
      </w:r>
      <w:r w:rsidR="00C026A6" w:rsidRPr="00EA59C0">
        <w:t xml:space="preserve"> </w:t>
      </w:r>
      <w:r w:rsidR="00485ABA" w:rsidRPr="00EA59C0">
        <w:t>be</w:t>
      </w:r>
      <w:r w:rsidR="00C026A6" w:rsidRPr="00EA59C0">
        <w:t xml:space="preserve"> </w:t>
      </w:r>
      <w:r w:rsidR="00485ABA" w:rsidRPr="00EA59C0">
        <w:t>used</w:t>
      </w:r>
      <w:r w:rsidR="00C026A6" w:rsidRPr="00EA59C0">
        <w:t xml:space="preserve"> </w:t>
      </w:r>
      <w:r w:rsidR="007470AB" w:rsidRPr="00EA59C0">
        <w:t>to</w:t>
      </w:r>
      <w:r w:rsidR="00C026A6" w:rsidRPr="00EA59C0">
        <w:t xml:space="preserve"> </w:t>
      </w:r>
      <w:r w:rsidR="007470AB" w:rsidRPr="00EA59C0">
        <w:t>pay</w:t>
      </w:r>
      <w:r w:rsidR="00C026A6" w:rsidRPr="00EA59C0">
        <w:t xml:space="preserve"> </w:t>
      </w:r>
      <w:r w:rsidR="007470AB" w:rsidRPr="00EA59C0">
        <w:t>for</w:t>
      </w:r>
      <w:r w:rsidR="00C026A6" w:rsidRPr="00EA59C0">
        <w:t xml:space="preserve"> </w:t>
      </w:r>
      <w:r w:rsidR="007470AB" w:rsidRPr="00EA59C0">
        <w:t>the</w:t>
      </w:r>
      <w:r w:rsidR="00C026A6" w:rsidRPr="00EA59C0">
        <w:t xml:space="preserve"> </w:t>
      </w:r>
      <w:r w:rsidR="007470AB" w:rsidRPr="00EA59C0">
        <w:t>wages</w:t>
      </w:r>
      <w:r w:rsidR="00C026A6" w:rsidRPr="00EA59C0">
        <w:t xml:space="preserve"> </w:t>
      </w:r>
      <w:r w:rsidR="007470AB" w:rsidRPr="00EA59C0">
        <w:t>of</w:t>
      </w:r>
      <w:r w:rsidR="00C026A6" w:rsidRPr="00EA59C0">
        <w:t xml:space="preserve"> </w:t>
      </w:r>
      <w:r w:rsidR="007470AB" w:rsidRPr="00EA59C0">
        <w:t>participants.</w:t>
      </w:r>
      <w:r w:rsidR="00C026A6" w:rsidRPr="00EA59C0">
        <w:t xml:space="preserve">  </w:t>
      </w:r>
      <w:r w:rsidR="007470AB" w:rsidRPr="00EA59C0">
        <w:t>Further,</w:t>
      </w:r>
      <w:r w:rsidR="00C026A6" w:rsidRPr="00EA59C0">
        <w:t xml:space="preserve"> </w:t>
      </w:r>
      <w:r w:rsidR="007470AB" w:rsidRPr="00EA59C0">
        <w:t>the</w:t>
      </w:r>
      <w:r w:rsidR="00C026A6" w:rsidRPr="00EA59C0">
        <w:t xml:space="preserve"> </w:t>
      </w:r>
      <w:r w:rsidR="007470AB" w:rsidRPr="00EA59C0">
        <w:t>provision</w:t>
      </w:r>
      <w:r w:rsidR="00C026A6" w:rsidRPr="00EA59C0">
        <w:t xml:space="preserve"> </w:t>
      </w:r>
      <w:r w:rsidR="007470AB" w:rsidRPr="00EA59C0">
        <w:t>of</w:t>
      </w:r>
      <w:r w:rsidR="00C026A6" w:rsidRPr="00EA59C0">
        <w:t xml:space="preserve"> </w:t>
      </w:r>
      <w:r w:rsidR="007470AB" w:rsidRPr="00EA59C0">
        <w:t>stipends</w:t>
      </w:r>
      <w:r w:rsidR="00C026A6" w:rsidRPr="00EA59C0">
        <w:t xml:space="preserve"> </w:t>
      </w:r>
      <w:r w:rsidR="007470AB" w:rsidRPr="00EA59C0">
        <w:t>to</w:t>
      </w:r>
      <w:r w:rsidR="00C026A6" w:rsidRPr="00EA59C0">
        <w:t xml:space="preserve"> </w:t>
      </w:r>
      <w:r w:rsidR="007470AB" w:rsidRPr="00EA59C0">
        <w:t>training</w:t>
      </w:r>
      <w:r w:rsidR="00C026A6" w:rsidRPr="00EA59C0">
        <w:t xml:space="preserve"> </w:t>
      </w:r>
      <w:r w:rsidR="007470AB" w:rsidRPr="00EA59C0">
        <w:t>enrollees</w:t>
      </w:r>
      <w:r w:rsidR="00C026A6" w:rsidRPr="00EA59C0">
        <w:t xml:space="preserve"> </w:t>
      </w:r>
      <w:r w:rsidR="007470AB" w:rsidRPr="00EA59C0">
        <w:t>for</w:t>
      </w:r>
      <w:r w:rsidR="00C026A6" w:rsidRPr="00EA59C0">
        <w:t xml:space="preserve"> </w:t>
      </w:r>
      <w:r w:rsidR="007470AB" w:rsidRPr="00EA59C0">
        <w:t>the</w:t>
      </w:r>
      <w:r w:rsidR="00C026A6" w:rsidRPr="00EA59C0">
        <w:t xml:space="preserve"> </w:t>
      </w:r>
      <w:r w:rsidR="007470AB" w:rsidRPr="00EA59C0">
        <w:t>purposes</w:t>
      </w:r>
      <w:r w:rsidR="00C026A6" w:rsidRPr="00EA59C0">
        <w:t xml:space="preserve"> </w:t>
      </w:r>
      <w:r w:rsidR="007470AB" w:rsidRPr="00EA59C0">
        <w:t>of</w:t>
      </w:r>
      <w:r w:rsidR="00C026A6" w:rsidRPr="00EA59C0">
        <w:t xml:space="preserve"> </w:t>
      </w:r>
      <w:r w:rsidR="007470AB" w:rsidRPr="00EA59C0">
        <w:t>wage</w:t>
      </w:r>
      <w:r w:rsidR="00C026A6" w:rsidRPr="00EA59C0">
        <w:t xml:space="preserve"> </w:t>
      </w:r>
      <w:r w:rsidR="007470AB" w:rsidRPr="00EA59C0">
        <w:t>replacement</w:t>
      </w:r>
      <w:r w:rsidR="00C026A6" w:rsidRPr="00EA59C0">
        <w:t xml:space="preserve"> </w:t>
      </w:r>
      <w:r w:rsidR="007470AB" w:rsidRPr="00EA59C0">
        <w:t>is</w:t>
      </w:r>
      <w:r w:rsidR="00C026A6" w:rsidRPr="00EA59C0">
        <w:t xml:space="preserve"> </w:t>
      </w:r>
      <w:r w:rsidR="007470AB" w:rsidRPr="00EA59C0">
        <w:t>not</w:t>
      </w:r>
      <w:r w:rsidR="00C026A6" w:rsidRPr="00EA59C0">
        <w:t xml:space="preserve"> </w:t>
      </w:r>
      <w:r w:rsidR="007470AB" w:rsidRPr="00EA59C0">
        <w:t>an</w:t>
      </w:r>
      <w:r w:rsidR="00C026A6" w:rsidRPr="00EA59C0">
        <w:t xml:space="preserve"> </w:t>
      </w:r>
      <w:r w:rsidR="007470AB" w:rsidRPr="00EA59C0">
        <w:t>allowable</w:t>
      </w:r>
      <w:r w:rsidR="00C026A6" w:rsidRPr="00EA59C0">
        <w:t xml:space="preserve"> </w:t>
      </w:r>
      <w:r w:rsidR="007470AB" w:rsidRPr="00EA59C0">
        <w:t>cost</w:t>
      </w:r>
      <w:r w:rsidR="00C026A6" w:rsidRPr="00EA59C0">
        <w:t xml:space="preserve"> </w:t>
      </w:r>
      <w:r w:rsidR="007470AB" w:rsidRPr="00EA59C0">
        <w:t>under</w:t>
      </w:r>
      <w:r w:rsidR="00C026A6" w:rsidRPr="00EA59C0">
        <w:t xml:space="preserve"> </w:t>
      </w:r>
      <w:r w:rsidR="007470AB" w:rsidRPr="00EA59C0">
        <w:t>this</w:t>
      </w:r>
      <w:r w:rsidR="00C026A6" w:rsidRPr="00EA59C0">
        <w:t xml:space="preserve"> </w:t>
      </w:r>
      <w:r w:rsidR="007470AB" w:rsidRPr="00EA59C0">
        <w:t>SGA.</w:t>
      </w:r>
    </w:p>
    <w:p w:rsidR="00B2084C" w:rsidRPr="00EA59C0" w:rsidRDefault="00B2084C" w:rsidP="00B505EF"/>
    <w:p w:rsidR="007D0AC5" w:rsidRPr="00EA59C0" w:rsidRDefault="00FA3494" w:rsidP="00B505EF">
      <w:pPr>
        <w:pStyle w:val="Heading3"/>
        <w:numPr>
          <w:ilvl w:val="2"/>
          <w:numId w:val="17"/>
        </w:numPr>
        <w:rPr>
          <w:color w:val="auto"/>
        </w:rPr>
      </w:pPr>
      <w:r w:rsidRPr="00EA59C0">
        <w:rPr>
          <w:color w:val="auto"/>
        </w:rPr>
        <w:t>Limitation</w:t>
      </w:r>
      <w:r w:rsidR="00C026A6" w:rsidRPr="00EA59C0">
        <w:rPr>
          <w:color w:val="auto"/>
        </w:rPr>
        <w:t xml:space="preserve"> </w:t>
      </w:r>
      <w:r w:rsidRPr="00EA59C0">
        <w:rPr>
          <w:color w:val="auto"/>
        </w:rPr>
        <w:t>on</w:t>
      </w:r>
      <w:r w:rsidR="00C026A6" w:rsidRPr="00EA59C0">
        <w:rPr>
          <w:color w:val="auto"/>
        </w:rPr>
        <w:t xml:space="preserve"> </w:t>
      </w:r>
      <w:r w:rsidR="007D0AC5" w:rsidRPr="00EA59C0">
        <w:rPr>
          <w:color w:val="auto"/>
        </w:rPr>
        <w:t>Use</w:t>
      </w:r>
      <w:r w:rsidR="00C026A6" w:rsidRPr="00EA59C0">
        <w:rPr>
          <w:color w:val="auto"/>
        </w:rPr>
        <w:t xml:space="preserve"> </w:t>
      </w:r>
      <w:r w:rsidR="007D0AC5" w:rsidRPr="00EA59C0">
        <w:rPr>
          <w:color w:val="auto"/>
        </w:rPr>
        <w:t>of</w:t>
      </w:r>
      <w:r w:rsidR="00C026A6" w:rsidRPr="00EA59C0">
        <w:rPr>
          <w:color w:val="auto"/>
        </w:rPr>
        <w:t xml:space="preserve"> </w:t>
      </w:r>
      <w:r w:rsidR="007D0AC5" w:rsidRPr="00EA59C0">
        <w:rPr>
          <w:color w:val="auto"/>
        </w:rPr>
        <w:t>Funds</w:t>
      </w:r>
      <w:r w:rsidR="00C026A6" w:rsidRPr="00EA59C0">
        <w:rPr>
          <w:color w:val="auto"/>
        </w:rPr>
        <w:t xml:space="preserve"> </w:t>
      </w:r>
      <w:r w:rsidR="007D0AC5" w:rsidRPr="00EA59C0">
        <w:rPr>
          <w:color w:val="auto"/>
        </w:rPr>
        <w:t>for</w:t>
      </w:r>
      <w:r w:rsidR="00C026A6" w:rsidRPr="00EA59C0">
        <w:rPr>
          <w:color w:val="auto"/>
        </w:rPr>
        <w:t xml:space="preserve"> </w:t>
      </w:r>
      <w:r w:rsidR="007D0AC5" w:rsidRPr="00EA59C0">
        <w:rPr>
          <w:color w:val="auto"/>
        </w:rPr>
        <w:t>Sub-grants</w:t>
      </w:r>
    </w:p>
    <w:p w:rsidR="00E27381" w:rsidRPr="00EA59C0" w:rsidRDefault="00E27381" w:rsidP="00B505EF">
      <w:pPr>
        <w:ind w:left="1080"/>
      </w:pPr>
      <w:r w:rsidRPr="00EA59C0">
        <w:t>As</w:t>
      </w:r>
      <w:r w:rsidR="00C026A6" w:rsidRPr="00EA59C0">
        <w:t xml:space="preserve"> </w:t>
      </w:r>
      <w:r w:rsidRPr="00EA59C0">
        <w:t>provided</w:t>
      </w:r>
      <w:r w:rsidR="00C026A6" w:rsidRPr="00EA59C0">
        <w:t xml:space="preserve"> </w:t>
      </w:r>
      <w:r w:rsidRPr="00EA59C0">
        <w:t>by</w:t>
      </w:r>
      <w:r w:rsidR="00C026A6" w:rsidRPr="00EA59C0">
        <w:t xml:space="preserve"> </w:t>
      </w:r>
      <w:r w:rsidRPr="00EA59C0">
        <w:t>the</w:t>
      </w:r>
      <w:r w:rsidR="00C026A6" w:rsidRPr="00EA59C0">
        <w:t xml:space="preserve"> </w:t>
      </w:r>
      <w:r w:rsidRPr="00EA59C0">
        <w:t>Consolidated</w:t>
      </w:r>
      <w:r w:rsidR="00C026A6" w:rsidRPr="00EA59C0">
        <w:t xml:space="preserve"> </w:t>
      </w:r>
      <w:r w:rsidRPr="00EA59C0">
        <w:t>Appropriations</w:t>
      </w:r>
      <w:r w:rsidR="00C026A6" w:rsidRPr="00EA59C0">
        <w:t xml:space="preserve"> </w:t>
      </w:r>
      <w:r w:rsidRPr="00EA59C0">
        <w:t>Act</w:t>
      </w:r>
      <w:r w:rsidR="00C026A6" w:rsidRPr="00EA59C0">
        <w:t xml:space="preserve"> </w:t>
      </w:r>
      <w:r w:rsidRPr="00EA59C0">
        <w:t>of</w:t>
      </w:r>
      <w:r w:rsidR="00C026A6" w:rsidRPr="00EA59C0">
        <w:t xml:space="preserve"> </w:t>
      </w:r>
      <w:r w:rsidRPr="00EA59C0">
        <w:t>2014</w:t>
      </w:r>
      <w:r w:rsidR="00C026A6" w:rsidRPr="00EA59C0">
        <w:t xml:space="preserve"> </w:t>
      </w:r>
      <w:r w:rsidRPr="00EA59C0">
        <w:t>(Public</w:t>
      </w:r>
      <w:r w:rsidR="00C026A6" w:rsidRPr="00EA59C0">
        <w:t xml:space="preserve"> </w:t>
      </w:r>
      <w:r w:rsidRPr="00EA59C0">
        <w:t>Law</w:t>
      </w:r>
      <w:r w:rsidR="00C026A6" w:rsidRPr="00EA59C0">
        <w:t xml:space="preserve"> </w:t>
      </w:r>
      <w:r w:rsidRPr="00EA59C0">
        <w:t>No:</w:t>
      </w:r>
      <w:r w:rsidR="00C026A6" w:rsidRPr="00EA59C0">
        <w:t xml:space="preserve"> </w:t>
      </w:r>
      <w:r w:rsidRPr="00EA59C0">
        <w:t>113-76),</w:t>
      </w:r>
      <w:r w:rsidR="00C026A6" w:rsidRPr="00EA59C0">
        <w:t xml:space="preserve"> </w:t>
      </w:r>
      <w:r w:rsidRPr="00EA59C0">
        <w:t>TAACCCT</w:t>
      </w:r>
      <w:r w:rsidR="00C026A6" w:rsidRPr="00EA59C0">
        <w:t xml:space="preserve"> </w:t>
      </w:r>
      <w:r w:rsidRPr="00EA59C0">
        <w:t>Round</w:t>
      </w:r>
      <w:r w:rsidR="00C026A6" w:rsidRPr="00EA59C0">
        <w:t xml:space="preserve"> </w:t>
      </w:r>
      <w:r w:rsidRPr="00EA59C0">
        <w:t>4</w:t>
      </w:r>
      <w:r w:rsidR="00C026A6" w:rsidRPr="00EA59C0">
        <w:t xml:space="preserve"> </w:t>
      </w:r>
      <w:r w:rsidRPr="00EA59C0">
        <w:t>grantees</w:t>
      </w:r>
      <w:r w:rsidR="00C026A6" w:rsidRPr="00EA59C0">
        <w:t xml:space="preserve"> </w:t>
      </w:r>
      <w:r w:rsidRPr="00EA59C0">
        <w:t>have</w:t>
      </w:r>
      <w:r w:rsidR="00C026A6" w:rsidRPr="00EA59C0">
        <w:t xml:space="preserve"> </w:t>
      </w:r>
      <w:r w:rsidRPr="00EA59C0">
        <w:t>authority</w:t>
      </w:r>
      <w:r w:rsidR="00C026A6" w:rsidRPr="00EA59C0">
        <w:t xml:space="preserve"> </w:t>
      </w:r>
      <w:r w:rsidRPr="00EA59C0">
        <w:t>to</w:t>
      </w:r>
      <w:r w:rsidR="00C026A6" w:rsidRPr="00EA59C0">
        <w:t xml:space="preserve"> </w:t>
      </w:r>
      <w:r w:rsidRPr="00EA59C0">
        <w:t>award</w:t>
      </w:r>
      <w:r w:rsidR="00C026A6" w:rsidRPr="00EA59C0">
        <w:t xml:space="preserve"> </w:t>
      </w:r>
      <w:r w:rsidRPr="00EA59C0">
        <w:t>subgrants</w:t>
      </w:r>
      <w:r w:rsidR="00C026A6" w:rsidRPr="00EA59C0">
        <w:t xml:space="preserve"> </w:t>
      </w:r>
      <w:r w:rsidRPr="00EA59C0">
        <w:t>only</w:t>
      </w:r>
      <w:r w:rsidR="00C026A6" w:rsidRPr="00EA59C0">
        <w:t xml:space="preserve"> </w:t>
      </w:r>
      <w:r w:rsidRPr="00EA59C0">
        <w:t>to</w:t>
      </w:r>
      <w:r w:rsidR="00C026A6" w:rsidRPr="00EA59C0">
        <w:t xml:space="preserve"> </w:t>
      </w:r>
      <w:r w:rsidRPr="00EA59C0">
        <w:t>other</w:t>
      </w:r>
      <w:r w:rsidR="00C026A6" w:rsidRPr="00EA59C0">
        <w:t xml:space="preserve"> </w:t>
      </w:r>
      <w:r w:rsidRPr="00EA59C0">
        <w:t>eligible</w:t>
      </w:r>
      <w:r w:rsidR="00C026A6" w:rsidRPr="00EA59C0">
        <w:t xml:space="preserve"> </w:t>
      </w:r>
      <w:r w:rsidRPr="00EA59C0">
        <w:t>institutions.</w:t>
      </w:r>
      <w:r w:rsidR="00C026A6" w:rsidRPr="00EA59C0">
        <w:t xml:space="preserve">  </w:t>
      </w:r>
      <w:r w:rsidRPr="00EA59C0">
        <w:t>As</w:t>
      </w:r>
      <w:r w:rsidR="00C026A6" w:rsidRPr="00EA59C0">
        <w:t xml:space="preserve"> </w:t>
      </w:r>
      <w:r w:rsidRPr="00EA59C0">
        <w:t>subrecipients,</w:t>
      </w:r>
      <w:r w:rsidR="00C026A6" w:rsidRPr="00EA59C0">
        <w:t xml:space="preserve"> </w:t>
      </w:r>
      <w:r w:rsidRPr="00EA59C0">
        <w:t>eligible</w:t>
      </w:r>
      <w:r w:rsidR="00C026A6" w:rsidRPr="00EA59C0">
        <w:t xml:space="preserve"> </w:t>
      </w:r>
      <w:r w:rsidRPr="00EA59C0">
        <w:t>institutions</w:t>
      </w:r>
      <w:r w:rsidR="00C026A6" w:rsidRPr="00EA59C0">
        <w:t xml:space="preserve"> </w:t>
      </w:r>
      <w:r w:rsidRPr="00EA59C0">
        <w:t>will</w:t>
      </w:r>
      <w:r w:rsidR="00C026A6" w:rsidRPr="00EA59C0">
        <w:t xml:space="preserve"> </w:t>
      </w:r>
      <w:r w:rsidRPr="00EA59C0">
        <w:t>carry</w:t>
      </w:r>
      <w:r w:rsidR="00C026A6" w:rsidRPr="00EA59C0">
        <w:t xml:space="preserve"> </w:t>
      </w:r>
      <w:r w:rsidRPr="00EA59C0">
        <w:t>out</w:t>
      </w:r>
      <w:r w:rsidR="00C026A6" w:rsidRPr="00EA59C0">
        <w:t xml:space="preserve"> </w:t>
      </w:r>
      <w:r w:rsidRPr="00EA59C0">
        <w:t>one</w:t>
      </w:r>
      <w:r w:rsidR="00C026A6" w:rsidRPr="00EA59C0">
        <w:t xml:space="preserve"> </w:t>
      </w:r>
      <w:r w:rsidRPr="00EA59C0">
        <w:t>or</w:t>
      </w:r>
      <w:r w:rsidR="00C026A6" w:rsidRPr="00EA59C0">
        <w:t xml:space="preserve"> </w:t>
      </w:r>
      <w:r w:rsidRPr="00EA59C0">
        <w:t>more</w:t>
      </w:r>
      <w:r w:rsidR="00C026A6" w:rsidRPr="00EA59C0">
        <w:t xml:space="preserve"> </w:t>
      </w:r>
      <w:r w:rsidRPr="00EA59C0">
        <w:t>major</w:t>
      </w:r>
      <w:r w:rsidR="00C026A6" w:rsidRPr="00EA59C0">
        <w:t xml:space="preserve"> </w:t>
      </w:r>
      <w:r w:rsidRPr="00EA59C0">
        <w:t>programmatic</w:t>
      </w:r>
      <w:r w:rsidR="00C026A6" w:rsidRPr="00EA59C0">
        <w:t xml:space="preserve"> </w:t>
      </w:r>
      <w:r w:rsidRPr="00EA59C0">
        <w:t>functions</w:t>
      </w:r>
      <w:r w:rsidR="00C026A6" w:rsidRPr="00EA59C0">
        <w:t xml:space="preserve"> </w:t>
      </w:r>
      <w:r w:rsidRPr="00EA59C0">
        <w:t>to</w:t>
      </w:r>
      <w:r w:rsidR="00C026A6" w:rsidRPr="00EA59C0">
        <w:t xml:space="preserve"> </w:t>
      </w:r>
      <w:r w:rsidRPr="00EA59C0">
        <w:t>directly</w:t>
      </w:r>
      <w:r w:rsidR="00C026A6" w:rsidRPr="00EA59C0">
        <w:t xml:space="preserve"> </w:t>
      </w:r>
      <w:r w:rsidRPr="00EA59C0">
        <w:t>meet</w:t>
      </w:r>
      <w:r w:rsidR="00C026A6" w:rsidRPr="00EA59C0">
        <w:t xml:space="preserve"> </w:t>
      </w:r>
      <w:r w:rsidRPr="00EA59C0">
        <w:t>the</w:t>
      </w:r>
      <w:r w:rsidR="00C026A6" w:rsidRPr="00EA59C0">
        <w:t xml:space="preserve"> </w:t>
      </w:r>
      <w:r w:rsidRPr="00EA59C0">
        <w:t>project’s</w:t>
      </w:r>
      <w:r w:rsidR="00C026A6" w:rsidRPr="00EA59C0">
        <w:t xml:space="preserve"> </w:t>
      </w:r>
      <w:r w:rsidRPr="00EA59C0">
        <w:t>goals.</w:t>
      </w:r>
      <w:r w:rsidR="00C026A6" w:rsidRPr="00EA59C0">
        <w:t xml:space="preserve">  </w:t>
      </w:r>
      <w:r w:rsidRPr="00EA59C0">
        <w:t>Subgrants</w:t>
      </w:r>
      <w:r w:rsidR="00C026A6" w:rsidRPr="00EA59C0">
        <w:t xml:space="preserve"> </w:t>
      </w:r>
      <w:r w:rsidRPr="00EA59C0">
        <w:t>may</w:t>
      </w:r>
      <w:r w:rsidR="00C026A6" w:rsidRPr="00EA59C0">
        <w:t xml:space="preserve"> </w:t>
      </w:r>
      <w:r w:rsidRPr="00EA59C0">
        <w:t>not</w:t>
      </w:r>
      <w:r w:rsidR="00C026A6" w:rsidRPr="00EA59C0">
        <w:t xml:space="preserve"> </w:t>
      </w:r>
      <w:r w:rsidRPr="00EA59C0">
        <w:t>be</w:t>
      </w:r>
      <w:r w:rsidR="00C026A6" w:rsidRPr="00EA59C0">
        <w:t xml:space="preserve"> </w:t>
      </w:r>
      <w:r w:rsidRPr="00EA59C0">
        <w:t>made</w:t>
      </w:r>
      <w:r w:rsidR="00C026A6" w:rsidRPr="00EA59C0">
        <w:t xml:space="preserve"> </w:t>
      </w:r>
      <w:r w:rsidRPr="00EA59C0">
        <w:t>to</w:t>
      </w:r>
      <w:r w:rsidR="00C026A6" w:rsidRPr="00EA59C0">
        <w:t xml:space="preserve"> </w:t>
      </w:r>
      <w:r w:rsidRPr="00EA59C0">
        <w:t>other</w:t>
      </w:r>
      <w:r w:rsidR="00C026A6" w:rsidRPr="00EA59C0">
        <w:t xml:space="preserve"> </w:t>
      </w:r>
      <w:r w:rsidRPr="00EA59C0">
        <w:t>entities</w:t>
      </w:r>
      <w:r w:rsidR="00C026A6" w:rsidRPr="00EA59C0">
        <w:t xml:space="preserve"> </w:t>
      </w:r>
      <w:r w:rsidRPr="00EA59C0">
        <w:t>(public</w:t>
      </w:r>
      <w:r w:rsidR="00C026A6" w:rsidRPr="00EA59C0">
        <w:t xml:space="preserve"> </w:t>
      </w:r>
      <w:r w:rsidRPr="00EA59C0">
        <w:t>or</w:t>
      </w:r>
      <w:r w:rsidR="00C026A6" w:rsidRPr="00EA59C0">
        <w:t xml:space="preserve"> </w:t>
      </w:r>
      <w:r w:rsidRPr="00EA59C0">
        <w:t>private),</w:t>
      </w:r>
      <w:r w:rsidR="00C026A6" w:rsidRPr="00EA59C0">
        <w:t xml:space="preserve"> </w:t>
      </w:r>
      <w:r w:rsidRPr="00EA59C0">
        <w:t>including</w:t>
      </w:r>
      <w:r w:rsidR="00C026A6" w:rsidRPr="00EA59C0">
        <w:t xml:space="preserve"> </w:t>
      </w:r>
      <w:r w:rsidRPr="00EA59C0">
        <w:t>WIBS</w:t>
      </w:r>
      <w:r w:rsidR="00C026A6" w:rsidRPr="00EA59C0">
        <w:t xml:space="preserve"> </w:t>
      </w:r>
      <w:r w:rsidRPr="00EA59C0">
        <w:t>and</w:t>
      </w:r>
      <w:r w:rsidR="00C026A6" w:rsidRPr="00EA59C0">
        <w:t xml:space="preserve"> </w:t>
      </w:r>
      <w:r w:rsidRPr="00EA59C0">
        <w:t>employers.</w:t>
      </w:r>
      <w:r w:rsidR="00C026A6" w:rsidRPr="00EA59C0">
        <w:t xml:space="preserve">   </w:t>
      </w:r>
      <w:r w:rsidRPr="00EA59C0">
        <w:t>However,</w:t>
      </w:r>
      <w:r w:rsidR="00C026A6" w:rsidRPr="00EA59C0">
        <w:t xml:space="preserve"> </w:t>
      </w:r>
      <w:r w:rsidRPr="00EA59C0">
        <w:t>grantees</w:t>
      </w:r>
      <w:r w:rsidR="00C026A6" w:rsidRPr="00EA59C0">
        <w:t xml:space="preserve"> </w:t>
      </w:r>
      <w:r w:rsidRPr="00EA59C0">
        <w:t>do</w:t>
      </w:r>
      <w:r w:rsidR="00C026A6" w:rsidRPr="00EA59C0">
        <w:t xml:space="preserve"> </w:t>
      </w:r>
      <w:r w:rsidRPr="00EA59C0">
        <w:t>have</w:t>
      </w:r>
      <w:r w:rsidR="00C026A6" w:rsidRPr="00EA59C0">
        <w:t xml:space="preserve"> </w:t>
      </w:r>
      <w:r w:rsidRPr="00EA59C0">
        <w:t>the</w:t>
      </w:r>
      <w:r w:rsidR="00C026A6" w:rsidRPr="00EA59C0">
        <w:t xml:space="preserve"> </w:t>
      </w:r>
      <w:r w:rsidRPr="00EA59C0">
        <w:t>authority</w:t>
      </w:r>
      <w:r w:rsidR="00C026A6" w:rsidRPr="00EA59C0">
        <w:t xml:space="preserve"> </w:t>
      </w:r>
      <w:r w:rsidRPr="00EA59C0">
        <w:t>to</w:t>
      </w:r>
      <w:r w:rsidR="00C026A6" w:rsidRPr="00EA59C0">
        <w:t xml:space="preserve"> </w:t>
      </w:r>
      <w:r w:rsidRPr="00EA59C0">
        <w:t>award</w:t>
      </w:r>
      <w:r w:rsidR="00C026A6" w:rsidRPr="00EA59C0">
        <w:t xml:space="preserve"> </w:t>
      </w:r>
      <w:r w:rsidRPr="00EA59C0">
        <w:t>contracts</w:t>
      </w:r>
      <w:r w:rsidR="00C026A6" w:rsidRPr="00EA59C0">
        <w:t xml:space="preserve"> </w:t>
      </w:r>
      <w:r w:rsidRPr="00EA59C0">
        <w:t>under</w:t>
      </w:r>
      <w:r w:rsidR="00C026A6" w:rsidRPr="00EA59C0">
        <w:t xml:space="preserve"> </w:t>
      </w:r>
      <w:r w:rsidRPr="00EA59C0">
        <w:t>this</w:t>
      </w:r>
      <w:r w:rsidR="00C026A6" w:rsidRPr="00EA59C0">
        <w:t xml:space="preserve"> </w:t>
      </w:r>
      <w:r w:rsidRPr="00EA59C0">
        <w:t>program</w:t>
      </w:r>
      <w:r w:rsidR="00C026A6" w:rsidRPr="00EA59C0">
        <w:t xml:space="preserve"> </w:t>
      </w:r>
      <w:r w:rsidRPr="00EA59C0">
        <w:t>to</w:t>
      </w:r>
      <w:r w:rsidR="00C026A6" w:rsidRPr="00EA59C0">
        <w:t xml:space="preserve"> </w:t>
      </w:r>
      <w:r w:rsidRPr="00EA59C0">
        <w:t>other</w:t>
      </w:r>
      <w:r w:rsidR="00C026A6" w:rsidRPr="00EA59C0">
        <w:t xml:space="preserve"> </w:t>
      </w:r>
      <w:r w:rsidRPr="00EA59C0">
        <w:t>entities</w:t>
      </w:r>
      <w:r w:rsidR="00C026A6" w:rsidRPr="00EA59C0">
        <w:t xml:space="preserve"> </w:t>
      </w:r>
      <w:r w:rsidRPr="00EA59C0">
        <w:t>that</w:t>
      </w:r>
      <w:r w:rsidR="00C026A6" w:rsidRPr="00EA59C0">
        <w:t xml:space="preserve"> </w:t>
      </w:r>
      <w:r w:rsidRPr="00EA59C0">
        <w:t>are</w:t>
      </w:r>
      <w:r w:rsidR="00C026A6" w:rsidRPr="00EA59C0">
        <w:t xml:space="preserve"> </w:t>
      </w:r>
      <w:r w:rsidRPr="00EA59C0">
        <w:t>not</w:t>
      </w:r>
      <w:r w:rsidR="00C026A6" w:rsidRPr="00EA59C0">
        <w:t xml:space="preserve"> </w:t>
      </w:r>
      <w:r w:rsidRPr="00EA59C0">
        <w:t>eligible</w:t>
      </w:r>
      <w:r w:rsidR="00C026A6" w:rsidRPr="00EA59C0">
        <w:t xml:space="preserve"> </w:t>
      </w:r>
      <w:r w:rsidRPr="00EA59C0">
        <w:t>for</w:t>
      </w:r>
      <w:r w:rsidR="00C026A6" w:rsidRPr="00EA59C0">
        <w:t xml:space="preserve"> </w:t>
      </w:r>
      <w:r w:rsidRPr="00EA59C0">
        <w:t>a</w:t>
      </w:r>
      <w:r w:rsidR="00C026A6" w:rsidRPr="00EA59C0">
        <w:t xml:space="preserve"> </w:t>
      </w:r>
      <w:r w:rsidRPr="00EA59C0">
        <w:t>subgrant.</w:t>
      </w:r>
      <w:r w:rsidR="00C026A6" w:rsidRPr="00EA59C0">
        <w:t xml:space="preserve">  </w:t>
      </w:r>
      <w:r w:rsidRPr="00EA59C0">
        <w:t>A</w:t>
      </w:r>
      <w:r w:rsidR="00C026A6" w:rsidRPr="00EA59C0">
        <w:t xml:space="preserve"> </w:t>
      </w:r>
      <w:r w:rsidRPr="00EA59C0">
        <w:t>grantee</w:t>
      </w:r>
      <w:r w:rsidR="00C026A6" w:rsidRPr="00EA59C0">
        <w:t xml:space="preserve"> </w:t>
      </w:r>
      <w:r w:rsidRPr="00EA59C0">
        <w:t>enters</w:t>
      </w:r>
      <w:r w:rsidR="00C026A6" w:rsidRPr="00EA59C0">
        <w:t xml:space="preserve"> </w:t>
      </w:r>
      <w:r w:rsidRPr="00EA59C0">
        <w:t>into</w:t>
      </w:r>
      <w:r w:rsidR="00C026A6" w:rsidRPr="00EA59C0">
        <w:t xml:space="preserve"> </w:t>
      </w:r>
      <w:r w:rsidRPr="00EA59C0">
        <w:t>a</w:t>
      </w:r>
      <w:r w:rsidR="00C026A6" w:rsidRPr="00EA59C0">
        <w:t xml:space="preserve"> </w:t>
      </w:r>
      <w:r w:rsidRPr="00EA59C0">
        <w:t>subcontract</w:t>
      </w:r>
      <w:r w:rsidR="00C026A6" w:rsidRPr="00EA59C0">
        <w:t xml:space="preserve"> </w:t>
      </w:r>
      <w:r w:rsidRPr="00EA59C0">
        <w:t>to</w:t>
      </w:r>
      <w:r w:rsidR="00C026A6" w:rsidRPr="00EA59C0">
        <w:t xml:space="preserve"> </w:t>
      </w:r>
      <w:r w:rsidRPr="00EA59C0">
        <w:t>procure</w:t>
      </w:r>
      <w:r w:rsidR="00C026A6" w:rsidRPr="00EA59C0">
        <w:t xml:space="preserve"> </w:t>
      </w:r>
      <w:r w:rsidRPr="00EA59C0">
        <w:t>goods</w:t>
      </w:r>
      <w:r w:rsidR="00C026A6" w:rsidRPr="00EA59C0">
        <w:t xml:space="preserve"> </w:t>
      </w:r>
      <w:r w:rsidRPr="00EA59C0">
        <w:t>and/or</w:t>
      </w:r>
      <w:r w:rsidR="00C026A6" w:rsidRPr="00EA59C0">
        <w:t xml:space="preserve"> </w:t>
      </w:r>
      <w:r w:rsidRPr="00EA59C0">
        <w:t>services</w:t>
      </w:r>
      <w:r w:rsidR="00C026A6" w:rsidRPr="00EA59C0">
        <w:t xml:space="preserve"> </w:t>
      </w:r>
      <w:r w:rsidRPr="00EA59C0">
        <w:t>that</w:t>
      </w:r>
      <w:r w:rsidR="00C026A6" w:rsidRPr="00EA59C0">
        <w:t xml:space="preserve"> </w:t>
      </w:r>
      <w:r w:rsidRPr="00EA59C0">
        <w:t>are</w:t>
      </w:r>
      <w:r w:rsidR="00C026A6" w:rsidRPr="00EA59C0">
        <w:t xml:space="preserve"> </w:t>
      </w:r>
      <w:r w:rsidRPr="00EA59C0">
        <w:t>ancillary</w:t>
      </w:r>
      <w:r w:rsidR="00C026A6" w:rsidRPr="00EA59C0">
        <w:t xml:space="preserve"> </w:t>
      </w:r>
      <w:r w:rsidRPr="00EA59C0">
        <w:t>or</w:t>
      </w:r>
      <w:r w:rsidR="00C026A6" w:rsidRPr="00EA59C0">
        <w:t xml:space="preserve"> </w:t>
      </w:r>
      <w:r w:rsidRPr="00EA59C0">
        <w:t>supportive</w:t>
      </w:r>
      <w:r w:rsidR="00C026A6" w:rsidRPr="00EA59C0">
        <w:t xml:space="preserve"> </w:t>
      </w:r>
      <w:r w:rsidRPr="00EA59C0">
        <w:t>to</w:t>
      </w:r>
      <w:r w:rsidR="00C026A6" w:rsidRPr="00EA59C0">
        <w:t xml:space="preserve"> </w:t>
      </w:r>
      <w:r w:rsidRPr="00EA59C0">
        <w:t>the</w:t>
      </w:r>
      <w:r w:rsidR="00C026A6" w:rsidRPr="00EA59C0">
        <w:t xml:space="preserve"> </w:t>
      </w:r>
      <w:r w:rsidRPr="00EA59C0">
        <w:t>grantee’s</w:t>
      </w:r>
      <w:r w:rsidR="00C026A6" w:rsidRPr="00EA59C0">
        <w:t xml:space="preserve"> </w:t>
      </w:r>
      <w:r w:rsidRPr="00EA59C0">
        <w:t>operation</w:t>
      </w:r>
      <w:r w:rsidR="00C026A6" w:rsidRPr="00EA59C0">
        <w:t xml:space="preserve"> </w:t>
      </w:r>
      <w:r w:rsidRPr="00EA59C0">
        <w:t>of</w:t>
      </w:r>
      <w:r w:rsidR="00C026A6" w:rsidRPr="00EA59C0">
        <w:t xml:space="preserve"> </w:t>
      </w:r>
      <w:r w:rsidRPr="00EA59C0">
        <w:t>the</w:t>
      </w:r>
      <w:r w:rsidR="00C026A6" w:rsidRPr="00EA59C0">
        <w:t xml:space="preserve"> </w:t>
      </w:r>
      <w:r w:rsidRPr="00EA59C0">
        <w:t>project.</w:t>
      </w:r>
      <w:r w:rsidR="00C026A6" w:rsidRPr="00EA59C0">
        <w:t xml:space="preserve"> </w:t>
      </w:r>
      <w:r w:rsidRPr="00EA59C0">
        <w:t>A</w:t>
      </w:r>
      <w:r w:rsidR="00C026A6" w:rsidRPr="00EA59C0">
        <w:t xml:space="preserve"> </w:t>
      </w:r>
      <w:r w:rsidRPr="00EA59C0">
        <w:t>subcontract</w:t>
      </w:r>
      <w:r w:rsidR="00C026A6" w:rsidRPr="00EA59C0">
        <w:t xml:space="preserve"> </w:t>
      </w:r>
      <w:r w:rsidRPr="00EA59C0">
        <w:t>is</w:t>
      </w:r>
      <w:r w:rsidR="00C026A6" w:rsidRPr="00EA59C0">
        <w:t xml:space="preserve"> </w:t>
      </w:r>
      <w:r w:rsidRPr="00EA59C0">
        <w:t>defined</w:t>
      </w:r>
      <w:r w:rsidR="00C026A6" w:rsidRPr="00EA59C0">
        <w:t xml:space="preserve"> </w:t>
      </w:r>
      <w:r w:rsidRPr="00EA59C0">
        <w:t>as</w:t>
      </w:r>
      <w:r w:rsidR="00C026A6" w:rsidRPr="00EA59C0">
        <w:t xml:space="preserve"> </w:t>
      </w:r>
      <w:r w:rsidRPr="00EA59C0">
        <w:t>an</w:t>
      </w:r>
      <w:r w:rsidR="00C026A6" w:rsidRPr="00EA59C0">
        <w:t xml:space="preserve"> </w:t>
      </w:r>
      <w:r w:rsidRPr="00EA59C0">
        <w:t>agreement,</w:t>
      </w:r>
      <w:r w:rsidR="00C026A6" w:rsidRPr="00EA59C0">
        <w:t xml:space="preserve"> </w:t>
      </w:r>
      <w:r w:rsidRPr="00EA59C0">
        <w:t>purchase</w:t>
      </w:r>
      <w:r w:rsidR="00C026A6" w:rsidRPr="00EA59C0">
        <w:t xml:space="preserve"> </w:t>
      </w:r>
      <w:r w:rsidRPr="00EA59C0">
        <w:t>order,</w:t>
      </w:r>
      <w:r w:rsidR="00C026A6" w:rsidRPr="00EA59C0">
        <w:t xml:space="preserve"> </w:t>
      </w:r>
      <w:r w:rsidRPr="00EA59C0">
        <w:t>or</w:t>
      </w:r>
      <w:r w:rsidR="00C026A6" w:rsidRPr="00EA59C0">
        <w:t xml:space="preserve"> </w:t>
      </w:r>
      <w:r w:rsidRPr="00EA59C0">
        <w:t>any</w:t>
      </w:r>
      <w:r w:rsidR="00C026A6" w:rsidRPr="00EA59C0">
        <w:t xml:space="preserve"> </w:t>
      </w:r>
      <w:r w:rsidRPr="00EA59C0">
        <w:t>legal</w:t>
      </w:r>
      <w:r w:rsidR="00C026A6" w:rsidRPr="00EA59C0">
        <w:t xml:space="preserve"> </w:t>
      </w:r>
      <w:r w:rsidRPr="00EA59C0">
        <w:t>instrument</w:t>
      </w:r>
      <w:r w:rsidR="00C026A6" w:rsidRPr="00EA59C0">
        <w:t xml:space="preserve"> </w:t>
      </w:r>
      <w:r w:rsidRPr="00EA59C0">
        <w:t>issued</w:t>
      </w:r>
      <w:r w:rsidR="00C026A6" w:rsidRPr="00EA59C0">
        <w:t xml:space="preserve"> </w:t>
      </w:r>
      <w:r w:rsidRPr="00EA59C0">
        <w:t>to</w:t>
      </w:r>
      <w:r w:rsidR="00C026A6" w:rsidRPr="00EA59C0">
        <w:t xml:space="preserve"> </w:t>
      </w:r>
      <w:r w:rsidRPr="00EA59C0">
        <w:t>a</w:t>
      </w:r>
      <w:r w:rsidR="00C026A6" w:rsidRPr="00EA59C0">
        <w:t xml:space="preserve"> </w:t>
      </w:r>
      <w:r w:rsidRPr="00EA59C0">
        <w:t>third</w:t>
      </w:r>
      <w:r w:rsidR="00C026A6" w:rsidRPr="00EA59C0">
        <w:t xml:space="preserve"> </w:t>
      </w:r>
      <w:r w:rsidRPr="00EA59C0">
        <w:t>party</w:t>
      </w:r>
      <w:r w:rsidR="00C026A6" w:rsidRPr="00EA59C0">
        <w:t xml:space="preserve"> </w:t>
      </w:r>
      <w:r w:rsidRPr="00EA59C0">
        <w:t>(the</w:t>
      </w:r>
      <w:r w:rsidR="00C026A6" w:rsidRPr="00EA59C0">
        <w:t xml:space="preserve"> </w:t>
      </w:r>
      <w:r w:rsidRPr="00EA59C0">
        <w:t>subcontractor)</w:t>
      </w:r>
      <w:r w:rsidR="00C026A6" w:rsidRPr="00EA59C0">
        <w:t xml:space="preserve"> </w:t>
      </w:r>
      <w:r w:rsidRPr="00EA59C0">
        <w:t>calling</w:t>
      </w:r>
      <w:r w:rsidR="00C026A6" w:rsidRPr="00EA59C0">
        <w:t xml:space="preserve"> </w:t>
      </w:r>
      <w:r w:rsidRPr="00EA59C0">
        <w:t>for</w:t>
      </w:r>
      <w:r w:rsidR="00C026A6" w:rsidRPr="00EA59C0">
        <w:t xml:space="preserve"> </w:t>
      </w:r>
      <w:r w:rsidRPr="00EA59C0">
        <w:t>the</w:t>
      </w:r>
      <w:r w:rsidR="00C026A6" w:rsidRPr="00EA59C0">
        <w:t xml:space="preserve"> </w:t>
      </w:r>
      <w:r w:rsidRPr="00EA59C0">
        <w:t>performance</w:t>
      </w:r>
      <w:r w:rsidR="00C026A6" w:rsidRPr="00EA59C0">
        <w:t xml:space="preserve"> </w:t>
      </w:r>
      <w:r w:rsidRPr="00EA59C0">
        <w:t>of</w:t>
      </w:r>
      <w:r w:rsidR="00C026A6" w:rsidRPr="00EA59C0">
        <w:t xml:space="preserve"> </w:t>
      </w:r>
      <w:r w:rsidRPr="00EA59C0">
        <w:t>a</w:t>
      </w:r>
      <w:r w:rsidR="00C026A6" w:rsidRPr="00EA59C0">
        <w:t xml:space="preserve"> </w:t>
      </w:r>
      <w:r w:rsidRPr="00EA59C0">
        <w:t>defined</w:t>
      </w:r>
      <w:r w:rsidR="00C026A6" w:rsidRPr="00EA59C0">
        <w:t xml:space="preserve"> </w:t>
      </w:r>
      <w:r w:rsidRPr="00EA59C0">
        <w:t>piece</w:t>
      </w:r>
      <w:r w:rsidR="00C026A6" w:rsidRPr="00EA59C0">
        <w:t xml:space="preserve"> </w:t>
      </w:r>
      <w:r w:rsidRPr="00EA59C0">
        <w:t>of</w:t>
      </w:r>
      <w:r w:rsidR="00C026A6" w:rsidRPr="00EA59C0">
        <w:t xml:space="preserve"> </w:t>
      </w:r>
      <w:r w:rsidRPr="00EA59C0">
        <w:t>work</w:t>
      </w:r>
      <w:r w:rsidR="00C026A6" w:rsidRPr="00EA59C0">
        <w:t xml:space="preserve"> </w:t>
      </w:r>
      <w:r w:rsidRPr="00EA59C0">
        <w:t>or</w:t>
      </w:r>
      <w:r w:rsidR="00C026A6" w:rsidRPr="00EA59C0">
        <w:t xml:space="preserve"> </w:t>
      </w:r>
      <w:r w:rsidRPr="00EA59C0">
        <w:t>production</w:t>
      </w:r>
      <w:r w:rsidR="00C026A6" w:rsidRPr="00EA59C0">
        <w:t xml:space="preserve"> </w:t>
      </w:r>
      <w:r w:rsidRPr="00EA59C0">
        <w:t>and/or</w:t>
      </w:r>
      <w:r w:rsidR="00C026A6" w:rsidRPr="00EA59C0">
        <w:t xml:space="preserve"> </w:t>
      </w:r>
      <w:r w:rsidRPr="00EA59C0">
        <w:t>delivery</w:t>
      </w:r>
      <w:r w:rsidR="00C026A6" w:rsidRPr="00EA59C0">
        <w:t xml:space="preserve"> </w:t>
      </w:r>
      <w:r w:rsidRPr="00EA59C0">
        <w:t>of</w:t>
      </w:r>
      <w:r w:rsidR="00C026A6" w:rsidRPr="00EA59C0">
        <w:t xml:space="preserve"> </w:t>
      </w:r>
      <w:r w:rsidRPr="00EA59C0">
        <w:t>specified</w:t>
      </w:r>
      <w:r w:rsidR="00C026A6" w:rsidRPr="00EA59C0">
        <w:t xml:space="preserve"> </w:t>
      </w:r>
      <w:r w:rsidRPr="00EA59C0">
        <w:t>goods</w:t>
      </w:r>
      <w:r w:rsidR="00C026A6" w:rsidRPr="00EA59C0">
        <w:t xml:space="preserve"> </w:t>
      </w:r>
      <w:r w:rsidRPr="00EA59C0">
        <w:t>and</w:t>
      </w:r>
      <w:r w:rsidR="00C026A6" w:rsidRPr="00EA59C0">
        <w:t xml:space="preserve"> </w:t>
      </w:r>
      <w:r w:rsidRPr="00EA59C0">
        <w:t>services.</w:t>
      </w:r>
      <w:r w:rsidR="00C026A6" w:rsidRPr="00EA59C0">
        <w:t xml:space="preserve">  </w:t>
      </w:r>
      <w:r w:rsidRPr="00EA59C0">
        <w:t>The</w:t>
      </w:r>
      <w:r w:rsidR="00C026A6" w:rsidRPr="00EA59C0">
        <w:t xml:space="preserve"> </w:t>
      </w:r>
      <w:r w:rsidRPr="00EA59C0">
        <w:t>determination</w:t>
      </w:r>
      <w:r w:rsidR="00C026A6" w:rsidRPr="00EA59C0">
        <w:t xml:space="preserve"> </w:t>
      </w:r>
      <w:r w:rsidRPr="00EA59C0">
        <w:t>of</w:t>
      </w:r>
      <w:r w:rsidR="00C026A6" w:rsidRPr="00EA59C0">
        <w:t xml:space="preserve"> </w:t>
      </w:r>
      <w:r w:rsidRPr="00EA59C0">
        <w:t>whether</w:t>
      </w:r>
      <w:r w:rsidR="00C026A6" w:rsidRPr="00EA59C0">
        <w:t xml:space="preserve"> </w:t>
      </w:r>
      <w:r w:rsidRPr="00EA59C0">
        <w:t>a</w:t>
      </w:r>
      <w:r w:rsidR="00C026A6" w:rsidRPr="00EA59C0">
        <w:t xml:space="preserve"> </w:t>
      </w:r>
      <w:r w:rsidRPr="00EA59C0">
        <w:t>grantee</w:t>
      </w:r>
      <w:r w:rsidR="00C026A6" w:rsidRPr="00EA59C0">
        <w:t xml:space="preserve"> </w:t>
      </w:r>
      <w:r w:rsidRPr="00EA59C0">
        <w:t>has</w:t>
      </w:r>
      <w:r w:rsidR="00C026A6" w:rsidRPr="00EA59C0">
        <w:t xml:space="preserve"> </w:t>
      </w:r>
      <w:r w:rsidRPr="00EA59C0">
        <w:t>entered</w:t>
      </w:r>
      <w:r w:rsidR="00C026A6" w:rsidRPr="00EA59C0">
        <w:t xml:space="preserve"> </w:t>
      </w:r>
      <w:r w:rsidRPr="00EA59C0">
        <w:t>into</w:t>
      </w:r>
      <w:r w:rsidR="00C026A6" w:rsidRPr="00EA59C0">
        <w:t xml:space="preserve"> </w:t>
      </w:r>
      <w:r w:rsidRPr="00EA59C0">
        <w:t>a</w:t>
      </w:r>
      <w:r w:rsidR="00C026A6" w:rsidRPr="00EA59C0">
        <w:t xml:space="preserve"> </w:t>
      </w:r>
      <w:r w:rsidRPr="00EA59C0">
        <w:t>vendor</w:t>
      </w:r>
      <w:r w:rsidR="00C026A6" w:rsidRPr="00EA59C0">
        <w:t xml:space="preserve"> </w:t>
      </w:r>
      <w:r w:rsidRPr="00EA59C0">
        <w:t>relationship</w:t>
      </w:r>
      <w:r w:rsidR="00C026A6" w:rsidRPr="00EA59C0">
        <w:t xml:space="preserve"> </w:t>
      </w:r>
      <w:r w:rsidRPr="00EA59C0">
        <w:t>or</w:t>
      </w:r>
      <w:r w:rsidR="00C026A6" w:rsidRPr="00EA59C0">
        <w:t xml:space="preserve"> </w:t>
      </w:r>
      <w:r w:rsidRPr="00EA59C0">
        <w:t>a</w:t>
      </w:r>
      <w:r w:rsidR="00C026A6" w:rsidRPr="00EA59C0">
        <w:t xml:space="preserve"> </w:t>
      </w:r>
      <w:r w:rsidRPr="00EA59C0">
        <w:t>subrecipient</w:t>
      </w:r>
      <w:r w:rsidR="00C026A6" w:rsidRPr="00EA59C0">
        <w:t xml:space="preserve"> </w:t>
      </w:r>
      <w:r w:rsidRPr="00EA59C0">
        <w:t>relationship</w:t>
      </w:r>
      <w:r w:rsidR="00C026A6" w:rsidRPr="00EA59C0">
        <w:t xml:space="preserve"> </w:t>
      </w:r>
      <w:r w:rsidRPr="00EA59C0">
        <w:t>with</w:t>
      </w:r>
      <w:r w:rsidR="00C026A6" w:rsidRPr="00EA59C0">
        <w:t xml:space="preserve"> </w:t>
      </w:r>
      <w:r w:rsidRPr="00EA59C0">
        <w:t>another</w:t>
      </w:r>
      <w:r w:rsidR="00C026A6" w:rsidRPr="00EA59C0">
        <w:t xml:space="preserve"> </w:t>
      </w:r>
      <w:r w:rsidRPr="00EA59C0">
        <w:t>entity</w:t>
      </w:r>
      <w:r w:rsidR="00C026A6" w:rsidRPr="00EA59C0">
        <w:t xml:space="preserve"> </w:t>
      </w:r>
      <w:r w:rsidRPr="00EA59C0">
        <w:t>is</w:t>
      </w:r>
      <w:r w:rsidR="00C026A6" w:rsidRPr="00EA59C0">
        <w:t xml:space="preserve"> </w:t>
      </w:r>
      <w:r w:rsidRPr="00EA59C0">
        <w:t>determined</w:t>
      </w:r>
      <w:r w:rsidR="00C026A6" w:rsidRPr="00EA59C0">
        <w:t xml:space="preserve"> </w:t>
      </w:r>
      <w:r w:rsidRPr="00EA59C0">
        <w:t>primarily</w:t>
      </w:r>
      <w:r w:rsidR="00C026A6" w:rsidRPr="00EA59C0">
        <w:t xml:space="preserve"> </w:t>
      </w:r>
      <w:r w:rsidRPr="00EA59C0">
        <w:t>with</w:t>
      </w:r>
      <w:r w:rsidR="00C026A6" w:rsidRPr="00EA59C0">
        <w:t xml:space="preserve"> </w:t>
      </w:r>
      <w:r w:rsidRPr="00EA59C0">
        <w:t>reference</w:t>
      </w:r>
      <w:r w:rsidR="00C026A6" w:rsidRPr="00EA59C0">
        <w:t xml:space="preserve"> </w:t>
      </w:r>
      <w:r w:rsidRPr="00EA59C0">
        <w:t>to</w:t>
      </w:r>
      <w:r w:rsidR="00C026A6" w:rsidRPr="00EA59C0">
        <w:t xml:space="preserve"> </w:t>
      </w:r>
      <w:r w:rsidRPr="00EA59C0">
        <w:t>the</w:t>
      </w:r>
      <w:r w:rsidR="00C026A6" w:rsidRPr="00EA59C0">
        <w:t xml:space="preserve"> </w:t>
      </w:r>
      <w:r w:rsidRPr="00EA59C0">
        <w:t>general</w:t>
      </w:r>
      <w:r w:rsidR="00C026A6" w:rsidRPr="00EA59C0">
        <w:t xml:space="preserve"> </w:t>
      </w:r>
      <w:r w:rsidRPr="00EA59C0">
        <w:t>purpose,</w:t>
      </w:r>
      <w:r w:rsidR="00C026A6" w:rsidRPr="00EA59C0">
        <w:t xml:space="preserve"> </w:t>
      </w:r>
      <w:r w:rsidRPr="00EA59C0">
        <w:t>programmatic</w:t>
      </w:r>
      <w:r w:rsidR="00C026A6" w:rsidRPr="00EA59C0">
        <w:t xml:space="preserve"> </w:t>
      </w:r>
      <w:r w:rsidRPr="00EA59C0">
        <w:t>functions,</w:t>
      </w:r>
      <w:r w:rsidR="00C026A6" w:rsidRPr="00EA59C0">
        <w:t xml:space="preserve"> </w:t>
      </w:r>
      <w:r w:rsidRPr="00EA59C0">
        <w:t>and</w:t>
      </w:r>
      <w:r w:rsidR="00C026A6" w:rsidRPr="00EA59C0">
        <w:t xml:space="preserve"> </w:t>
      </w:r>
      <w:r w:rsidRPr="00EA59C0">
        <w:t>responsibilities</w:t>
      </w:r>
      <w:r w:rsidR="00C026A6" w:rsidRPr="00EA59C0">
        <w:t xml:space="preserve"> </w:t>
      </w:r>
      <w:r w:rsidRPr="00EA59C0">
        <w:t>that</w:t>
      </w:r>
      <w:r w:rsidR="00C026A6" w:rsidRPr="00EA59C0">
        <w:t xml:space="preserve"> </w:t>
      </w:r>
      <w:r w:rsidRPr="00EA59C0">
        <w:t>the</w:t>
      </w:r>
      <w:r w:rsidR="00C026A6" w:rsidRPr="00EA59C0">
        <w:t xml:space="preserve"> </w:t>
      </w:r>
      <w:r w:rsidRPr="00EA59C0">
        <w:t>grantee</w:t>
      </w:r>
      <w:r w:rsidR="00C026A6" w:rsidRPr="00EA59C0">
        <w:t xml:space="preserve"> </w:t>
      </w:r>
      <w:r w:rsidRPr="00EA59C0">
        <w:t>gives</w:t>
      </w:r>
      <w:r w:rsidR="00C026A6" w:rsidRPr="00EA59C0">
        <w:t xml:space="preserve"> </w:t>
      </w:r>
      <w:r w:rsidRPr="00EA59C0">
        <w:t>to</w:t>
      </w:r>
      <w:r w:rsidR="00C026A6" w:rsidRPr="00EA59C0">
        <w:t xml:space="preserve"> </w:t>
      </w:r>
      <w:r w:rsidRPr="00EA59C0">
        <w:t>the</w:t>
      </w:r>
      <w:r w:rsidR="00C026A6" w:rsidRPr="00EA59C0">
        <w:t xml:space="preserve"> </w:t>
      </w:r>
      <w:r w:rsidRPr="00EA59C0">
        <w:t>other</w:t>
      </w:r>
      <w:r w:rsidR="00C026A6" w:rsidRPr="00EA59C0">
        <w:t xml:space="preserve"> </w:t>
      </w:r>
      <w:r w:rsidRPr="00EA59C0">
        <w:t>organization</w:t>
      </w:r>
      <w:r w:rsidR="00C026A6" w:rsidRPr="00EA59C0">
        <w:t xml:space="preserve"> </w:t>
      </w:r>
      <w:r w:rsidRPr="00EA59C0">
        <w:t>along</w:t>
      </w:r>
      <w:r w:rsidR="00C026A6" w:rsidRPr="00EA59C0">
        <w:t xml:space="preserve"> </w:t>
      </w:r>
      <w:r w:rsidRPr="00EA59C0">
        <w:t>with</w:t>
      </w:r>
      <w:r w:rsidR="00C026A6" w:rsidRPr="00EA59C0">
        <w:t xml:space="preserve"> </w:t>
      </w:r>
      <w:r w:rsidRPr="00EA59C0">
        <w:t>grant</w:t>
      </w:r>
      <w:r w:rsidR="00C026A6" w:rsidRPr="00EA59C0">
        <w:t xml:space="preserve"> </w:t>
      </w:r>
      <w:r w:rsidRPr="00EA59C0">
        <w:t>funds.</w:t>
      </w:r>
      <w:r w:rsidR="00C026A6" w:rsidRPr="00EA59C0">
        <w:t xml:space="preserve">  </w:t>
      </w:r>
      <w:r w:rsidRPr="00EA59C0">
        <w:t>These</w:t>
      </w:r>
      <w:r w:rsidR="00C026A6" w:rsidRPr="00EA59C0">
        <w:t xml:space="preserve"> </w:t>
      </w:r>
      <w:r w:rsidRPr="00EA59C0">
        <w:t>three</w:t>
      </w:r>
      <w:r w:rsidR="00C026A6" w:rsidRPr="00EA59C0">
        <w:t xml:space="preserve"> </w:t>
      </w:r>
      <w:r w:rsidRPr="00EA59C0">
        <w:t>elements</w:t>
      </w:r>
      <w:r w:rsidR="00C026A6" w:rsidRPr="00EA59C0">
        <w:t xml:space="preserve"> </w:t>
      </w:r>
      <w:r w:rsidRPr="00EA59C0">
        <w:t>should</w:t>
      </w:r>
      <w:r w:rsidR="00C026A6" w:rsidRPr="00EA59C0">
        <w:t xml:space="preserve"> </w:t>
      </w:r>
      <w:r w:rsidRPr="00EA59C0">
        <w:t>be</w:t>
      </w:r>
      <w:r w:rsidR="00C026A6" w:rsidRPr="00EA59C0">
        <w:t xml:space="preserve"> </w:t>
      </w:r>
      <w:r w:rsidRPr="00EA59C0">
        <w:t>closely</w:t>
      </w:r>
      <w:r w:rsidR="00C026A6" w:rsidRPr="00EA59C0">
        <w:t xml:space="preserve"> </w:t>
      </w:r>
      <w:r w:rsidRPr="00EA59C0">
        <w:t>examined,</w:t>
      </w:r>
      <w:r w:rsidR="00C026A6" w:rsidRPr="00EA59C0">
        <w:t xml:space="preserve"> </w:t>
      </w:r>
      <w:r w:rsidRPr="00EA59C0">
        <w:t>together</w:t>
      </w:r>
      <w:r w:rsidR="00C026A6" w:rsidRPr="00EA59C0">
        <w:t xml:space="preserve"> </w:t>
      </w:r>
      <w:r w:rsidRPr="00EA59C0">
        <w:t>with</w:t>
      </w:r>
      <w:r w:rsidR="00C026A6" w:rsidRPr="00EA59C0">
        <w:t xml:space="preserve"> </w:t>
      </w:r>
      <w:r w:rsidRPr="00EA59C0">
        <w:t>the</w:t>
      </w:r>
      <w:r w:rsidR="00C026A6" w:rsidRPr="00EA59C0">
        <w:t xml:space="preserve"> </w:t>
      </w:r>
      <w:r w:rsidRPr="00EA59C0">
        <w:t>usual</w:t>
      </w:r>
      <w:r w:rsidR="00C026A6" w:rsidRPr="00EA59C0">
        <w:t xml:space="preserve"> </w:t>
      </w:r>
      <w:r w:rsidRPr="00EA59C0">
        <w:t>characteristics</w:t>
      </w:r>
      <w:r w:rsidR="00C026A6" w:rsidRPr="00EA59C0">
        <w:t xml:space="preserve"> </w:t>
      </w:r>
      <w:r w:rsidRPr="00EA59C0">
        <w:t>(terms</w:t>
      </w:r>
      <w:r w:rsidR="00C026A6" w:rsidRPr="00EA59C0">
        <w:t xml:space="preserve"> </w:t>
      </w:r>
      <w:r w:rsidRPr="00EA59C0">
        <w:t>and</w:t>
      </w:r>
      <w:r w:rsidR="00C026A6" w:rsidRPr="00EA59C0">
        <w:t xml:space="preserve"> </w:t>
      </w:r>
      <w:r w:rsidRPr="00EA59C0">
        <w:t>performance</w:t>
      </w:r>
      <w:r w:rsidR="00C026A6" w:rsidRPr="00EA59C0">
        <w:t xml:space="preserve"> </w:t>
      </w:r>
      <w:r w:rsidRPr="00EA59C0">
        <w:t>standards,</w:t>
      </w:r>
      <w:r w:rsidR="00C026A6" w:rsidRPr="00EA59C0">
        <w:t xml:space="preserve"> </w:t>
      </w:r>
      <w:r w:rsidRPr="00EA59C0">
        <w:t>scope</w:t>
      </w:r>
      <w:r w:rsidR="00C026A6" w:rsidRPr="00EA59C0">
        <w:t xml:space="preserve"> </w:t>
      </w:r>
      <w:r w:rsidRPr="00EA59C0">
        <w:t>of</w:t>
      </w:r>
      <w:r w:rsidR="00C026A6" w:rsidRPr="00EA59C0">
        <w:t xml:space="preserve"> </w:t>
      </w:r>
      <w:r w:rsidRPr="00EA59C0">
        <w:t>work,</w:t>
      </w:r>
      <w:r w:rsidR="00C026A6" w:rsidRPr="00EA59C0">
        <w:t xml:space="preserve"> </w:t>
      </w:r>
      <w:r w:rsidRPr="00EA59C0">
        <w:t>etc.).</w:t>
      </w:r>
      <w:r w:rsidR="00C026A6" w:rsidRPr="00EA59C0">
        <w:t xml:space="preserve">  </w:t>
      </w:r>
      <w:r w:rsidRPr="00EA59C0">
        <w:t>As</w:t>
      </w:r>
      <w:r w:rsidR="00C026A6" w:rsidRPr="00EA59C0">
        <w:t xml:space="preserve"> </w:t>
      </w:r>
      <w:r w:rsidRPr="00EA59C0">
        <w:t>a</w:t>
      </w:r>
      <w:r w:rsidR="00C026A6" w:rsidRPr="00EA59C0">
        <w:t xml:space="preserve"> </w:t>
      </w:r>
      <w:r w:rsidRPr="00EA59C0">
        <w:t>reference</w:t>
      </w:r>
      <w:r w:rsidR="00C026A6" w:rsidRPr="00EA59C0">
        <w:t xml:space="preserve"> </w:t>
      </w:r>
      <w:r w:rsidRPr="00EA59C0">
        <w:t>tool</w:t>
      </w:r>
      <w:r w:rsidR="00C026A6" w:rsidRPr="00EA59C0">
        <w:t xml:space="preserve"> </w:t>
      </w:r>
      <w:r w:rsidRPr="00EA59C0">
        <w:t>in</w:t>
      </w:r>
      <w:r w:rsidR="00C026A6" w:rsidRPr="00EA59C0">
        <w:t xml:space="preserve"> </w:t>
      </w:r>
      <w:r w:rsidRPr="00EA59C0">
        <w:t>determining</w:t>
      </w:r>
      <w:r w:rsidR="00C026A6" w:rsidRPr="00EA59C0">
        <w:t xml:space="preserve"> </w:t>
      </w:r>
      <w:r w:rsidRPr="00EA59C0">
        <w:t>whether</w:t>
      </w:r>
      <w:r w:rsidR="00C026A6" w:rsidRPr="00EA59C0">
        <w:t xml:space="preserve"> </w:t>
      </w:r>
      <w:r w:rsidRPr="00EA59C0">
        <w:t>an</w:t>
      </w:r>
      <w:r w:rsidR="00C026A6" w:rsidRPr="00EA59C0">
        <w:t xml:space="preserve"> </w:t>
      </w:r>
      <w:r w:rsidRPr="00EA59C0">
        <w:t>agreement</w:t>
      </w:r>
      <w:r w:rsidR="00C026A6" w:rsidRPr="00EA59C0">
        <w:t xml:space="preserve"> </w:t>
      </w:r>
      <w:r w:rsidRPr="00EA59C0">
        <w:t>is</w:t>
      </w:r>
      <w:r w:rsidR="00C026A6" w:rsidRPr="00EA59C0">
        <w:t xml:space="preserve"> </w:t>
      </w:r>
      <w:r w:rsidRPr="00EA59C0">
        <w:t>a</w:t>
      </w:r>
      <w:r w:rsidR="00C026A6" w:rsidRPr="00EA59C0">
        <w:t xml:space="preserve"> </w:t>
      </w:r>
      <w:r w:rsidRPr="00EA59C0">
        <w:t>subgrant</w:t>
      </w:r>
      <w:r w:rsidR="00C026A6" w:rsidRPr="00EA59C0">
        <w:t xml:space="preserve"> </w:t>
      </w:r>
      <w:r w:rsidRPr="00EA59C0">
        <w:t>or</w:t>
      </w:r>
      <w:r w:rsidR="00C026A6" w:rsidRPr="00EA59C0">
        <w:t xml:space="preserve"> </w:t>
      </w:r>
      <w:r w:rsidRPr="00EA59C0">
        <w:t>a</w:t>
      </w:r>
      <w:r w:rsidR="00C026A6" w:rsidRPr="00EA59C0">
        <w:t xml:space="preserve"> </w:t>
      </w:r>
      <w:r w:rsidRPr="00EA59C0">
        <w:t>subcontract,</w:t>
      </w:r>
      <w:r w:rsidR="00C026A6" w:rsidRPr="00EA59C0">
        <w:t xml:space="preserve"> </w:t>
      </w:r>
      <w:r w:rsidRPr="00EA59C0">
        <w:t>see</w:t>
      </w:r>
      <w:r w:rsidR="00C026A6" w:rsidRPr="00EA59C0">
        <w:t xml:space="preserve"> </w:t>
      </w:r>
      <w:r w:rsidRPr="00EA59C0">
        <w:t>Appendix</w:t>
      </w:r>
      <w:r w:rsidR="00C026A6" w:rsidRPr="00EA59C0">
        <w:t xml:space="preserve"> </w:t>
      </w:r>
      <w:r w:rsidR="008A70C1" w:rsidRPr="00EA59C0">
        <w:t>N</w:t>
      </w:r>
      <w:r w:rsidRPr="00EA59C0">
        <w:t>.</w:t>
      </w:r>
      <w:r w:rsidR="00C026A6" w:rsidRPr="00EA59C0">
        <w:t xml:space="preserve">  </w:t>
      </w:r>
      <w:r w:rsidRPr="00EA59C0">
        <w:t>The</w:t>
      </w:r>
      <w:r w:rsidR="00C026A6" w:rsidRPr="00EA59C0">
        <w:t xml:space="preserve"> </w:t>
      </w:r>
      <w:r w:rsidRPr="00EA59C0">
        <w:t>table</w:t>
      </w:r>
      <w:r w:rsidR="00C026A6" w:rsidRPr="00EA59C0">
        <w:t xml:space="preserve"> </w:t>
      </w:r>
      <w:r w:rsidRPr="00EA59C0">
        <w:t>in</w:t>
      </w:r>
      <w:r w:rsidR="00C026A6" w:rsidRPr="00EA59C0">
        <w:t xml:space="preserve"> </w:t>
      </w:r>
      <w:r w:rsidRPr="00EA59C0">
        <w:t>Appendix</w:t>
      </w:r>
      <w:r w:rsidR="00C026A6" w:rsidRPr="00EA59C0">
        <w:t xml:space="preserve"> </w:t>
      </w:r>
      <w:r w:rsidR="008A70C1" w:rsidRPr="00EA59C0">
        <w:t>N</w:t>
      </w:r>
      <w:r w:rsidR="00C026A6" w:rsidRPr="00EA59C0">
        <w:t xml:space="preserve"> </w:t>
      </w:r>
      <w:r w:rsidRPr="00EA59C0">
        <w:t>is</w:t>
      </w:r>
      <w:r w:rsidR="00C026A6" w:rsidRPr="00EA59C0">
        <w:t xml:space="preserve"> </w:t>
      </w:r>
      <w:r w:rsidRPr="00EA59C0">
        <w:t>for</w:t>
      </w:r>
      <w:r w:rsidR="00C026A6" w:rsidRPr="00EA59C0">
        <w:t xml:space="preserve"> </w:t>
      </w:r>
      <w:r w:rsidRPr="00EA59C0">
        <w:t>reference</w:t>
      </w:r>
      <w:r w:rsidR="00C026A6" w:rsidRPr="00EA59C0">
        <w:t xml:space="preserve"> </w:t>
      </w:r>
      <w:r w:rsidRPr="00EA59C0">
        <w:t>only</w:t>
      </w:r>
      <w:r w:rsidR="00C026A6" w:rsidRPr="00EA59C0">
        <w:t xml:space="preserve"> </w:t>
      </w:r>
      <w:r w:rsidRPr="00EA59C0">
        <w:t>and</w:t>
      </w:r>
      <w:r w:rsidR="00C026A6" w:rsidRPr="00EA59C0">
        <w:t xml:space="preserve"> </w:t>
      </w:r>
      <w:r w:rsidRPr="00EA59C0">
        <w:t>does</w:t>
      </w:r>
      <w:r w:rsidR="00C026A6" w:rsidRPr="00EA59C0">
        <w:t xml:space="preserve"> </w:t>
      </w:r>
      <w:r w:rsidRPr="00EA59C0">
        <w:t>not</w:t>
      </w:r>
      <w:r w:rsidR="00C026A6" w:rsidRPr="00EA59C0">
        <w:t xml:space="preserve"> </w:t>
      </w:r>
      <w:r w:rsidRPr="00EA59C0">
        <w:t>limit</w:t>
      </w:r>
      <w:r w:rsidR="00C026A6" w:rsidRPr="00EA59C0">
        <w:t xml:space="preserve"> </w:t>
      </w:r>
      <w:r w:rsidRPr="00EA59C0">
        <w:t>the</w:t>
      </w:r>
      <w:r w:rsidR="00C026A6" w:rsidRPr="00EA59C0">
        <w:t xml:space="preserve"> </w:t>
      </w:r>
      <w:r w:rsidRPr="00EA59C0">
        <w:t>Grant</w:t>
      </w:r>
      <w:r w:rsidR="00C026A6" w:rsidRPr="00EA59C0">
        <w:t xml:space="preserve"> </w:t>
      </w:r>
      <w:r w:rsidRPr="00EA59C0">
        <w:t>Officer’s</w:t>
      </w:r>
      <w:r w:rsidR="00C026A6" w:rsidRPr="00EA59C0">
        <w:t xml:space="preserve"> </w:t>
      </w:r>
      <w:r w:rsidRPr="00EA59C0">
        <w:t>right</w:t>
      </w:r>
      <w:r w:rsidR="00C026A6" w:rsidRPr="00EA59C0">
        <w:t xml:space="preserve"> </w:t>
      </w:r>
      <w:r w:rsidRPr="00EA59C0">
        <w:t>to</w:t>
      </w:r>
      <w:r w:rsidR="00C026A6" w:rsidRPr="00EA59C0">
        <w:t xml:space="preserve"> </w:t>
      </w:r>
      <w:r w:rsidRPr="00EA59C0">
        <w:t>review</w:t>
      </w:r>
      <w:r w:rsidR="00C026A6" w:rsidRPr="00EA59C0">
        <w:t xml:space="preserve"> </w:t>
      </w:r>
      <w:r w:rsidRPr="00EA59C0">
        <w:t>and</w:t>
      </w:r>
      <w:r w:rsidR="00C026A6" w:rsidRPr="00EA59C0">
        <w:t xml:space="preserve"> </w:t>
      </w:r>
      <w:r w:rsidRPr="00EA59C0">
        <w:t>disallow</w:t>
      </w:r>
      <w:r w:rsidR="00C026A6" w:rsidRPr="00EA59C0">
        <w:t xml:space="preserve"> </w:t>
      </w:r>
      <w:r w:rsidRPr="00EA59C0">
        <w:t>improper</w:t>
      </w:r>
      <w:r w:rsidR="00C026A6" w:rsidRPr="00EA59C0">
        <w:t xml:space="preserve"> </w:t>
      </w:r>
      <w:r w:rsidRPr="00EA59C0">
        <w:t>transactions.</w:t>
      </w:r>
      <w:r w:rsidR="00C026A6" w:rsidRPr="00EA59C0">
        <w:t xml:space="preserve">  </w:t>
      </w:r>
      <w:r w:rsidRPr="00EA59C0">
        <w:t>Additionally,</w:t>
      </w:r>
      <w:r w:rsidR="00C026A6" w:rsidRPr="00EA59C0">
        <w:t xml:space="preserve"> </w:t>
      </w:r>
      <w:r w:rsidRPr="00EA59C0">
        <w:t>applicants</w:t>
      </w:r>
      <w:r w:rsidR="00C026A6" w:rsidRPr="00EA59C0">
        <w:t xml:space="preserve"> </w:t>
      </w:r>
      <w:r w:rsidRPr="00EA59C0">
        <w:t>can</w:t>
      </w:r>
      <w:r w:rsidR="00C026A6" w:rsidRPr="00EA59C0">
        <w:t xml:space="preserve"> </w:t>
      </w:r>
      <w:r w:rsidRPr="00EA59C0">
        <w:t>review</w:t>
      </w:r>
      <w:r w:rsidR="00C026A6" w:rsidRPr="00EA59C0">
        <w:t xml:space="preserve"> </w:t>
      </w:r>
      <w:r w:rsidRPr="00EA59C0">
        <w:t>the</w:t>
      </w:r>
      <w:r w:rsidR="00C026A6" w:rsidRPr="00EA59C0">
        <w:t xml:space="preserve"> </w:t>
      </w:r>
      <w:r w:rsidRPr="00EA59C0">
        <w:t>definition</w:t>
      </w:r>
      <w:r w:rsidR="00C026A6" w:rsidRPr="00EA59C0">
        <w:t xml:space="preserve"> </w:t>
      </w:r>
      <w:r w:rsidRPr="00EA59C0">
        <w:t>of</w:t>
      </w:r>
      <w:r w:rsidR="00C026A6" w:rsidRPr="00EA59C0">
        <w:t xml:space="preserve"> </w:t>
      </w:r>
      <w:r w:rsidRPr="00EA59C0">
        <w:t>subrecipient</w:t>
      </w:r>
      <w:r w:rsidR="00C026A6" w:rsidRPr="00EA59C0">
        <w:t xml:space="preserve"> </w:t>
      </w:r>
      <w:r w:rsidRPr="00EA59C0">
        <w:t>and</w:t>
      </w:r>
      <w:r w:rsidR="00C026A6" w:rsidRPr="00EA59C0">
        <w:t xml:space="preserve"> </w:t>
      </w:r>
      <w:r w:rsidRPr="00EA59C0">
        <w:t>vendor</w:t>
      </w:r>
      <w:r w:rsidR="00C026A6" w:rsidRPr="00EA59C0">
        <w:t xml:space="preserve"> </w:t>
      </w:r>
      <w:r w:rsidRPr="00EA59C0">
        <w:t>in</w:t>
      </w:r>
      <w:r w:rsidR="00C026A6" w:rsidRPr="00EA59C0">
        <w:t xml:space="preserve"> </w:t>
      </w:r>
      <w:r w:rsidRPr="00EA59C0">
        <w:t>OMB</w:t>
      </w:r>
      <w:r w:rsidR="00C026A6" w:rsidRPr="00EA59C0">
        <w:t xml:space="preserve"> </w:t>
      </w:r>
      <w:r w:rsidRPr="00EA59C0">
        <w:t>Circular</w:t>
      </w:r>
      <w:r w:rsidR="00C026A6" w:rsidRPr="00EA59C0">
        <w:t xml:space="preserve"> </w:t>
      </w:r>
      <w:r w:rsidRPr="00EA59C0">
        <w:t>A-133.</w:t>
      </w:r>
    </w:p>
    <w:p w:rsidR="00E27381" w:rsidRPr="00EA59C0" w:rsidRDefault="00E27381" w:rsidP="00B505EF">
      <w:pPr>
        <w:ind w:left="1080"/>
      </w:pPr>
    </w:p>
    <w:p w:rsidR="00E27381" w:rsidRPr="00EA59C0" w:rsidRDefault="00E27381" w:rsidP="00B505EF">
      <w:pPr>
        <w:ind w:left="1080"/>
      </w:pPr>
      <w:r w:rsidRPr="00EA59C0">
        <w:t>Subcontracts</w:t>
      </w:r>
      <w:r w:rsidR="00C026A6" w:rsidRPr="00EA59C0">
        <w:t xml:space="preserve"> </w:t>
      </w:r>
      <w:r w:rsidRPr="00EA59C0">
        <w:t>must</w:t>
      </w:r>
      <w:r w:rsidR="00C026A6" w:rsidRPr="00EA59C0">
        <w:t xml:space="preserve"> </w:t>
      </w:r>
      <w:r w:rsidRPr="00EA59C0">
        <w:t>be</w:t>
      </w:r>
      <w:r w:rsidR="00C026A6" w:rsidRPr="00EA59C0">
        <w:t xml:space="preserve"> </w:t>
      </w:r>
      <w:r w:rsidRPr="00EA59C0">
        <w:t>awarded</w:t>
      </w:r>
      <w:r w:rsidR="00C026A6" w:rsidRPr="00EA59C0">
        <w:t xml:space="preserve"> </w:t>
      </w:r>
      <w:r w:rsidRPr="00EA59C0">
        <w:t>in</w:t>
      </w:r>
      <w:r w:rsidR="00C026A6" w:rsidRPr="00EA59C0">
        <w:t xml:space="preserve"> </w:t>
      </w:r>
      <w:r w:rsidRPr="00EA59C0">
        <w:t>accordance</w:t>
      </w:r>
      <w:r w:rsidR="00C026A6" w:rsidRPr="00EA59C0">
        <w:t xml:space="preserve"> </w:t>
      </w:r>
      <w:r w:rsidRPr="00EA59C0">
        <w:t>with</w:t>
      </w:r>
      <w:r w:rsidR="00C026A6" w:rsidRPr="00EA59C0">
        <w:t xml:space="preserve"> </w:t>
      </w:r>
      <w:r w:rsidRPr="00EA59C0">
        <w:t>29</w:t>
      </w:r>
      <w:r w:rsidR="00C026A6" w:rsidRPr="00EA59C0">
        <w:t xml:space="preserve"> </w:t>
      </w:r>
      <w:r w:rsidRPr="00EA59C0">
        <w:t>CFR</w:t>
      </w:r>
      <w:r w:rsidR="00C026A6" w:rsidRPr="00EA59C0">
        <w:t xml:space="preserve"> </w:t>
      </w:r>
      <w:r w:rsidRPr="00EA59C0">
        <w:t>95.40-48</w:t>
      </w:r>
      <w:r w:rsidR="00C026A6" w:rsidRPr="00EA59C0">
        <w:t xml:space="preserve"> </w:t>
      </w:r>
      <w:r w:rsidRPr="00EA59C0">
        <w:t>and</w:t>
      </w:r>
      <w:r w:rsidR="00C026A6" w:rsidRPr="00EA59C0">
        <w:t xml:space="preserve"> </w:t>
      </w:r>
      <w:r w:rsidRPr="00EA59C0">
        <w:t>are</w:t>
      </w:r>
      <w:r w:rsidR="00C026A6" w:rsidRPr="00EA59C0">
        <w:t xml:space="preserve"> </w:t>
      </w:r>
      <w:r w:rsidRPr="00EA59C0">
        <w:t>subject</w:t>
      </w:r>
      <w:r w:rsidR="00C026A6" w:rsidRPr="00EA59C0">
        <w:t xml:space="preserve"> </w:t>
      </w:r>
      <w:r w:rsidRPr="00EA59C0">
        <w:t>to</w:t>
      </w:r>
      <w:r w:rsidR="00C026A6" w:rsidRPr="00EA59C0">
        <w:t xml:space="preserve"> </w:t>
      </w:r>
      <w:r w:rsidRPr="00EA59C0">
        <w:t>audit,</w:t>
      </w:r>
      <w:r w:rsidR="00C026A6" w:rsidRPr="00EA59C0">
        <w:t xml:space="preserve"> </w:t>
      </w:r>
      <w:r w:rsidRPr="00EA59C0">
        <w:t>in</w:t>
      </w:r>
      <w:r w:rsidR="00C026A6" w:rsidRPr="00EA59C0">
        <w:t xml:space="preserve"> </w:t>
      </w:r>
      <w:r w:rsidRPr="00EA59C0">
        <w:t>accordance</w:t>
      </w:r>
      <w:r w:rsidR="00C026A6" w:rsidRPr="00EA59C0">
        <w:t xml:space="preserve"> </w:t>
      </w:r>
      <w:r w:rsidRPr="00EA59C0">
        <w:t>with</w:t>
      </w:r>
      <w:r w:rsidR="00C026A6" w:rsidRPr="00EA59C0">
        <w:t xml:space="preserve"> </w:t>
      </w:r>
      <w:r w:rsidRPr="00EA59C0">
        <w:t>the</w:t>
      </w:r>
      <w:r w:rsidR="00C026A6" w:rsidRPr="00EA59C0">
        <w:t xml:space="preserve"> </w:t>
      </w:r>
      <w:r w:rsidRPr="00EA59C0">
        <w:t>requirements</w:t>
      </w:r>
      <w:r w:rsidR="00C026A6" w:rsidRPr="00EA59C0">
        <w:t xml:space="preserve"> </w:t>
      </w:r>
      <w:r w:rsidRPr="00EA59C0">
        <w:t>of</w:t>
      </w:r>
      <w:r w:rsidR="00C026A6" w:rsidRPr="00EA59C0">
        <w:t xml:space="preserve"> </w:t>
      </w:r>
      <w:r w:rsidRPr="00EA59C0">
        <w:t>29</w:t>
      </w:r>
      <w:r w:rsidR="00C026A6" w:rsidRPr="00EA59C0">
        <w:t xml:space="preserve"> </w:t>
      </w:r>
      <w:r w:rsidRPr="00EA59C0">
        <w:t>CFR</w:t>
      </w:r>
      <w:r w:rsidR="00C026A6" w:rsidRPr="00EA59C0">
        <w:t xml:space="preserve"> </w:t>
      </w:r>
      <w:r w:rsidRPr="00EA59C0">
        <w:t>95.26</w:t>
      </w:r>
      <w:r w:rsidR="00C026A6" w:rsidRPr="00EA59C0">
        <w:t xml:space="preserve"> </w:t>
      </w:r>
      <w:r w:rsidRPr="00EA59C0">
        <w:t>(d).</w:t>
      </w:r>
      <w:r w:rsidR="00C026A6" w:rsidRPr="00EA59C0">
        <w:t xml:space="preserve">  </w:t>
      </w:r>
      <w:r w:rsidRPr="00EA59C0">
        <w:t>Grantees</w:t>
      </w:r>
      <w:r w:rsidR="00C026A6" w:rsidRPr="00EA59C0">
        <w:t xml:space="preserve"> </w:t>
      </w:r>
      <w:r w:rsidRPr="00EA59C0">
        <w:t>are</w:t>
      </w:r>
      <w:r w:rsidR="00C026A6" w:rsidRPr="00EA59C0">
        <w:t xml:space="preserve"> </w:t>
      </w:r>
      <w:r w:rsidRPr="00EA59C0">
        <w:t>responsible</w:t>
      </w:r>
      <w:r w:rsidR="00C026A6" w:rsidRPr="00EA59C0">
        <w:t xml:space="preserve"> </w:t>
      </w:r>
      <w:r w:rsidRPr="00EA59C0">
        <w:t>for</w:t>
      </w:r>
      <w:r w:rsidR="00C026A6" w:rsidRPr="00EA59C0">
        <w:t xml:space="preserve"> </w:t>
      </w:r>
      <w:r w:rsidRPr="00EA59C0">
        <w:t>ensuring</w:t>
      </w:r>
      <w:r w:rsidR="00C026A6" w:rsidRPr="00EA59C0">
        <w:t xml:space="preserve"> </w:t>
      </w:r>
      <w:r w:rsidRPr="00EA59C0">
        <w:t>that</w:t>
      </w:r>
      <w:r w:rsidR="00C026A6" w:rsidRPr="00EA59C0">
        <w:t xml:space="preserve"> </w:t>
      </w:r>
      <w:r w:rsidRPr="00EA59C0">
        <w:t>all</w:t>
      </w:r>
      <w:r w:rsidR="00C026A6" w:rsidRPr="00EA59C0">
        <w:t xml:space="preserve"> </w:t>
      </w:r>
      <w:r w:rsidRPr="00EA59C0">
        <w:t>subcontractors</w:t>
      </w:r>
      <w:r w:rsidR="00C026A6" w:rsidRPr="00EA59C0">
        <w:t xml:space="preserve"> </w:t>
      </w:r>
      <w:r w:rsidRPr="00EA59C0">
        <w:t>are</w:t>
      </w:r>
      <w:r w:rsidR="00C026A6" w:rsidRPr="00EA59C0">
        <w:t xml:space="preserve"> </w:t>
      </w:r>
      <w:r w:rsidRPr="00EA59C0">
        <w:t>eligible</w:t>
      </w:r>
      <w:r w:rsidR="00C026A6" w:rsidRPr="00EA59C0">
        <w:t xml:space="preserve"> </w:t>
      </w:r>
      <w:r w:rsidRPr="00EA59C0">
        <w:t>for</w:t>
      </w:r>
      <w:r w:rsidR="00C026A6" w:rsidRPr="00EA59C0">
        <w:t xml:space="preserve"> </w:t>
      </w:r>
      <w:r w:rsidRPr="00EA59C0">
        <w:t>participation</w:t>
      </w:r>
      <w:r w:rsidR="00C026A6" w:rsidRPr="00EA59C0">
        <w:t xml:space="preserve"> </w:t>
      </w:r>
      <w:r w:rsidRPr="00EA59C0">
        <w:t>in</w:t>
      </w:r>
      <w:r w:rsidR="00C026A6" w:rsidRPr="00EA59C0">
        <w:t xml:space="preserve"> </w:t>
      </w:r>
      <w:r w:rsidRPr="00EA59C0">
        <w:t>Federal</w:t>
      </w:r>
      <w:r w:rsidR="00C026A6" w:rsidRPr="00EA59C0">
        <w:t xml:space="preserve"> </w:t>
      </w:r>
      <w:r w:rsidRPr="00EA59C0">
        <w:t>assistance</w:t>
      </w:r>
      <w:r w:rsidR="00C026A6" w:rsidRPr="00EA59C0">
        <w:t xml:space="preserve"> </w:t>
      </w:r>
      <w:r w:rsidRPr="00EA59C0">
        <w:t>programs</w:t>
      </w:r>
      <w:r w:rsidR="00C026A6" w:rsidRPr="00EA59C0">
        <w:t xml:space="preserve"> </w:t>
      </w:r>
      <w:r w:rsidRPr="00EA59C0">
        <w:t>and</w:t>
      </w:r>
      <w:r w:rsidR="00C026A6" w:rsidRPr="00EA59C0">
        <w:t xml:space="preserve"> </w:t>
      </w:r>
      <w:r w:rsidRPr="00EA59C0">
        <w:t>all</w:t>
      </w:r>
      <w:r w:rsidR="00C026A6" w:rsidRPr="00EA59C0">
        <w:t xml:space="preserve"> </w:t>
      </w:r>
      <w:r w:rsidRPr="00EA59C0">
        <w:t>procurement</w:t>
      </w:r>
      <w:r w:rsidR="00C026A6" w:rsidRPr="00EA59C0">
        <w:t xml:space="preserve"> </w:t>
      </w:r>
      <w:r w:rsidRPr="00EA59C0">
        <w:t>requirements</w:t>
      </w:r>
      <w:r w:rsidR="00C026A6" w:rsidRPr="00EA59C0">
        <w:t xml:space="preserve"> </w:t>
      </w:r>
      <w:r w:rsidRPr="00EA59C0">
        <w:t>at</w:t>
      </w:r>
      <w:r w:rsidR="00C026A6" w:rsidRPr="00EA59C0">
        <w:t xml:space="preserve"> </w:t>
      </w:r>
      <w:r w:rsidRPr="00EA59C0">
        <w:t>29</w:t>
      </w:r>
      <w:r w:rsidR="00C026A6" w:rsidRPr="00EA59C0">
        <w:t xml:space="preserve"> </w:t>
      </w:r>
      <w:r w:rsidRPr="00EA59C0">
        <w:t>CFR</w:t>
      </w:r>
      <w:r w:rsidR="00C026A6" w:rsidRPr="00EA59C0">
        <w:t xml:space="preserve"> </w:t>
      </w:r>
      <w:r w:rsidRPr="00EA59C0">
        <w:t>95.40-48</w:t>
      </w:r>
      <w:r w:rsidR="00C026A6" w:rsidRPr="00EA59C0">
        <w:t xml:space="preserve"> </w:t>
      </w:r>
      <w:r w:rsidRPr="00EA59C0">
        <w:t>are</w:t>
      </w:r>
      <w:r w:rsidR="00C026A6" w:rsidRPr="00EA59C0">
        <w:t xml:space="preserve"> </w:t>
      </w:r>
      <w:r w:rsidRPr="00EA59C0">
        <w:t>met.</w:t>
      </w:r>
      <w:r w:rsidR="00C026A6" w:rsidRPr="00EA59C0">
        <w:t xml:space="preserve">  </w:t>
      </w:r>
      <w:r w:rsidRPr="00EA59C0">
        <w:t>Applicants</w:t>
      </w:r>
      <w:r w:rsidR="00C026A6" w:rsidRPr="00EA59C0">
        <w:t xml:space="preserve"> </w:t>
      </w:r>
      <w:r w:rsidRPr="00EA59C0">
        <w:t>under</w:t>
      </w:r>
      <w:r w:rsidR="00C026A6" w:rsidRPr="00EA59C0">
        <w:t xml:space="preserve"> </w:t>
      </w:r>
      <w:r w:rsidRPr="00EA59C0">
        <w:t>this</w:t>
      </w:r>
      <w:r w:rsidR="00C026A6" w:rsidRPr="00EA59C0">
        <w:t xml:space="preserve"> </w:t>
      </w:r>
      <w:r w:rsidRPr="00EA59C0">
        <w:t>solicitation</w:t>
      </w:r>
      <w:r w:rsidR="00C026A6" w:rsidRPr="00EA59C0">
        <w:t xml:space="preserve"> </w:t>
      </w:r>
      <w:r w:rsidRPr="00EA59C0">
        <w:t>should</w:t>
      </w:r>
      <w:r w:rsidR="00C026A6" w:rsidRPr="00EA59C0">
        <w:t xml:space="preserve"> </w:t>
      </w:r>
      <w:r w:rsidRPr="00EA59C0">
        <w:t>note</w:t>
      </w:r>
      <w:r w:rsidR="00C026A6" w:rsidRPr="00EA59C0">
        <w:t xml:space="preserve"> </w:t>
      </w:r>
      <w:r w:rsidRPr="00EA59C0">
        <w:t>that</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will</w:t>
      </w:r>
      <w:r w:rsidR="00C026A6" w:rsidRPr="00EA59C0">
        <w:t xml:space="preserve"> </w:t>
      </w:r>
      <w:r w:rsidRPr="00EA59C0">
        <w:t>function</w:t>
      </w:r>
      <w:r w:rsidR="00C026A6" w:rsidRPr="00EA59C0">
        <w:t xml:space="preserve"> </w:t>
      </w:r>
      <w:r w:rsidRPr="00EA59C0">
        <w:t>as</w:t>
      </w:r>
      <w:r w:rsidR="00C026A6" w:rsidRPr="00EA59C0">
        <w:t xml:space="preserve"> </w:t>
      </w:r>
      <w:r w:rsidRPr="00EA59C0">
        <w:t>subrecipients,</w:t>
      </w:r>
      <w:r w:rsidR="00C026A6" w:rsidRPr="00EA59C0">
        <w:t xml:space="preserve"> </w:t>
      </w:r>
      <w:r w:rsidRPr="00EA59C0">
        <w:t>not</w:t>
      </w:r>
      <w:r w:rsidR="00C026A6" w:rsidRPr="00EA59C0">
        <w:t xml:space="preserve"> </w:t>
      </w:r>
      <w:r w:rsidRPr="00EA59C0">
        <w:t>as</w:t>
      </w:r>
      <w:r w:rsidR="00C026A6" w:rsidRPr="00EA59C0">
        <w:t xml:space="preserve"> </w:t>
      </w:r>
      <w:r w:rsidRPr="00EA59C0">
        <w:t>vendors</w:t>
      </w:r>
      <w:r w:rsidR="00C026A6" w:rsidRPr="00EA59C0">
        <w:t xml:space="preserve"> </w:t>
      </w:r>
      <w:r w:rsidRPr="00EA59C0">
        <w:t>(contractors).</w:t>
      </w:r>
    </w:p>
    <w:p w:rsidR="00080097" w:rsidRPr="00EA59C0" w:rsidRDefault="00080097" w:rsidP="00B505EF">
      <w:pPr>
        <w:ind w:left="1080"/>
      </w:pPr>
    </w:p>
    <w:p w:rsidR="007470AB" w:rsidRPr="00EA59C0" w:rsidRDefault="007470AB" w:rsidP="00B505EF">
      <w:pPr>
        <w:pStyle w:val="Heading2"/>
        <w:numPr>
          <w:ilvl w:val="1"/>
          <w:numId w:val="17"/>
        </w:numPr>
        <w:spacing w:line="240" w:lineRule="auto"/>
        <w:rPr>
          <w:rFonts w:ascii="Times New Roman" w:hAnsi="Times New Roman"/>
          <w:b w:val="0"/>
          <w:i w:val="0"/>
        </w:rPr>
      </w:pPr>
      <w:r w:rsidRPr="00EA59C0">
        <w:rPr>
          <w:rFonts w:ascii="Times New Roman" w:hAnsi="Times New Roman"/>
          <w:b w:val="0"/>
          <w:i w:val="0"/>
        </w:rPr>
        <w:t>Other</w:t>
      </w:r>
      <w:r w:rsidR="00C026A6" w:rsidRPr="00EA59C0">
        <w:rPr>
          <w:rFonts w:ascii="Times New Roman" w:hAnsi="Times New Roman"/>
          <w:b w:val="0"/>
          <w:i w:val="0"/>
        </w:rPr>
        <w:t xml:space="preserve"> </w:t>
      </w:r>
      <w:r w:rsidRPr="00EA59C0">
        <w:rPr>
          <w:rFonts w:ascii="Times New Roman" w:hAnsi="Times New Roman"/>
          <w:b w:val="0"/>
          <w:i w:val="0"/>
        </w:rPr>
        <w:t>Submission</w:t>
      </w:r>
      <w:r w:rsidR="00C026A6" w:rsidRPr="00EA59C0">
        <w:rPr>
          <w:rFonts w:ascii="Times New Roman" w:hAnsi="Times New Roman"/>
          <w:b w:val="0"/>
          <w:i w:val="0"/>
        </w:rPr>
        <w:t xml:space="preserve"> </w:t>
      </w:r>
      <w:r w:rsidRPr="00EA59C0">
        <w:rPr>
          <w:rFonts w:ascii="Times New Roman" w:hAnsi="Times New Roman"/>
          <w:b w:val="0"/>
          <w:i w:val="0"/>
        </w:rPr>
        <w:t>Requirements</w:t>
      </w:r>
      <w:bookmarkEnd w:id="29"/>
      <w:bookmarkEnd w:id="30"/>
      <w:bookmarkEnd w:id="31"/>
      <w:bookmarkEnd w:id="32"/>
    </w:p>
    <w:p w:rsidR="00144DF0" w:rsidRPr="00EA59C0" w:rsidRDefault="007470AB" w:rsidP="00B505EF">
      <w:pPr>
        <w:widowControl w:val="0"/>
        <w:ind w:left="720"/>
      </w:pPr>
      <w:r w:rsidRPr="00EA59C0">
        <w:t>Withdrawal</w:t>
      </w:r>
      <w:r w:rsidR="00C026A6" w:rsidRPr="00EA59C0">
        <w:t xml:space="preserve"> </w:t>
      </w:r>
      <w:r w:rsidRPr="00EA59C0">
        <w:t>of</w:t>
      </w:r>
      <w:r w:rsidR="00C026A6" w:rsidRPr="00EA59C0">
        <w:t xml:space="preserve"> </w:t>
      </w:r>
      <w:r w:rsidRPr="00EA59C0">
        <w:t>Applications:</w:t>
      </w:r>
      <w:r w:rsidR="00C026A6" w:rsidRPr="00EA59C0">
        <w:t xml:space="preserve">  </w:t>
      </w:r>
      <w:r w:rsidRPr="00EA59C0">
        <w:t>Applications</w:t>
      </w:r>
      <w:r w:rsidR="00C026A6" w:rsidRPr="00EA59C0">
        <w:t xml:space="preserve"> </w:t>
      </w:r>
      <w:r w:rsidRPr="00EA59C0">
        <w:t>may</w:t>
      </w:r>
      <w:r w:rsidR="00C026A6" w:rsidRPr="00EA59C0">
        <w:t xml:space="preserve"> </w:t>
      </w:r>
      <w:r w:rsidRPr="00EA59C0">
        <w:t>be</w:t>
      </w:r>
      <w:r w:rsidR="00C026A6" w:rsidRPr="00EA59C0">
        <w:t xml:space="preserve"> </w:t>
      </w:r>
      <w:r w:rsidRPr="00EA59C0">
        <w:t>withdrawn</w:t>
      </w:r>
      <w:r w:rsidR="00C026A6" w:rsidRPr="00EA59C0">
        <w:t xml:space="preserve"> </w:t>
      </w:r>
      <w:r w:rsidRPr="00EA59C0">
        <w:t>by</w:t>
      </w:r>
      <w:r w:rsidR="00C026A6" w:rsidRPr="00EA59C0">
        <w:t xml:space="preserve"> </w:t>
      </w:r>
      <w:r w:rsidRPr="00EA59C0">
        <w:t>written</w:t>
      </w:r>
      <w:r w:rsidR="00C026A6" w:rsidRPr="00EA59C0">
        <w:t xml:space="preserve"> </w:t>
      </w:r>
      <w:r w:rsidRPr="00EA59C0">
        <w:t>notice</w:t>
      </w:r>
      <w:r w:rsidR="00C026A6" w:rsidRPr="00EA59C0">
        <w:t xml:space="preserve"> </w:t>
      </w:r>
      <w:r w:rsidRPr="00EA59C0">
        <w:t>to</w:t>
      </w:r>
      <w:r w:rsidR="00C026A6" w:rsidRPr="00EA59C0">
        <w:t xml:space="preserve"> </w:t>
      </w:r>
      <w:r w:rsidRPr="00EA59C0">
        <w:t>the</w:t>
      </w:r>
      <w:r w:rsidR="00C026A6" w:rsidRPr="00EA59C0">
        <w:t xml:space="preserve"> </w:t>
      </w:r>
      <w:r w:rsidRPr="00EA59C0">
        <w:t>Grant</w:t>
      </w:r>
      <w:r w:rsidR="00C026A6" w:rsidRPr="00EA59C0">
        <w:t xml:space="preserve"> </w:t>
      </w:r>
      <w:r w:rsidRPr="00EA59C0">
        <w:t>Officer</w:t>
      </w:r>
      <w:r w:rsidR="00C026A6" w:rsidRPr="00EA59C0">
        <w:t xml:space="preserve"> </w:t>
      </w:r>
      <w:r w:rsidRPr="00EA59C0">
        <w:t>at</w:t>
      </w:r>
      <w:r w:rsidR="00C026A6" w:rsidRPr="00EA59C0">
        <w:t xml:space="preserve"> </w:t>
      </w:r>
      <w:r w:rsidRPr="00EA59C0">
        <w:t>any</w:t>
      </w:r>
      <w:r w:rsidR="00C026A6" w:rsidRPr="00EA59C0">
        <w:t xml:space="preserve"> </w:t>
      </w:r>
      <w:r w:rsidRPr="00EA59C0">
        <w:t>time</w:t>
      </w:r>
      <w:r w:rsidR="00C026A6" w:rsidRPr="00EA59C0">
        <w:t xml:space="preserve"> </w:t>
      </w:r>
      <w:r w:rsidRPr="00EA59C0">
        <w:t>before</w:t>
      </w:r>
      <w:r w:rsidR="00C026A6" w:rsidRPr="00EA59C0">
        <w:t xml:space="preserve"> </w:t>
      </w:r>
      <w:r w:rsidRPr="00EA59C0">
        <w:t>an</w:t>
      </w:r>
      <w:r w:rsidR="00C026A6" w:rsidRPr="00EA59C0">
        <w:t xml:space="preserve"> </w:t>
      </w:r>
      <w:r w:rsidRPr="00EA59C0">
        <w:t>award</w:t>
      </w:r>
      <w:r w:rsidR="00C026A6" w:rsidRPr="00EA59C0">
        <w:t xml:space="preserve"> </w:t>
      </w:r>
      <w:r w:rsidRPr="00EA59C0">
        <w:t>is</w:t>
      </w:r>
      <w:r w:rsidR="00C026A6" w:rsidRPr="00EA59C0">
        <w:t xml:space="preserve"> </w:t>
      </w:r>
      <w:r w:rsidRPr="00EA59C0">
        <w:t>made.</w:t>
      </w:r>
    </w:p>
    <w:p w:rsidR="00AB6B23" w:rsidRPr="00EA59C0" w:rsidRDefault="00AB6B23" w:rsidP="00B505EF">
      <w:pPr>
        <w:pStyle w:val="ListParagraph"/>
        <w:ind w:left="360"/>
        <w:rPr>
          <w:b/>
          <w:bCs/>
        </w:rPr>
      </w:pPr>
      <w:bookmarkStart w:id="33" w:name="_Toc207778228"/>
      <w:bookmarkStart w:id="34" w:name="_Toc228885508"/>
      <w:bookmarkStart w:id="35" w:name="_Toc229889167"/>
    </w:p>
    <w:p w:rsidR="007470AB" w:rsidRPr="00EA59C0" w:rsidRDefault="00D81847" w:rsidP="008826BE">
      <w:pPr>
        <w:pStyle w:val="Heading1"/>
        <w:numPr>
          <w:ilvl w:val="0"/>
          <w:numId w:val="17"/>
        </w:numPr>
        <w:rPr>
          <w:rFonts w:ascii="Times New Roman" w:hAnsi="Times New Roman"/>
        </w:rPr>
      </w:pPr>
      <w:r w:rsidRPr="00EA59C0">
        <w:rPr>
          <w:rFonts w:ascii="Times New Roman" w:hAnsi="Times New Roman"/>
        </w:rPr>
        <w:t>Application</w:t>
      </w:r>
      <w:r w:rsidR="00C026A6" w:rsidRPr="00EA59C0">
        <w:rPr>
          <w:rFonts w:ascii="Times New Roman" w:hAnsi="Times New Roman"/>
        </w:rPr>
        <w:t xml:space="preserve"> </w:t>
      </w:r>
      <w:r w:rsidRPr="00EA59C0">
        <w:rPr>
          <w:rFonts w:ascii="Times New Roman" w:hAnsi="Times New Roman"/>
        </w:rPr>
        <w:t>Review</w:t>
      </w:r>
      <w:r w:rsidR="00C026A6" w:rsidRPr="00EA59C0">
        <w:rPr>
          <w:rFonts w:ascii="Times New Roman" w:hAnsi="Times New Roman"/>
        </w:rPr>
        <w:t xml:space="preserve"> </w:t>
      </w:r>
      <w:r w:rsidRPr="00EA59C0">
        <w:rPr>
          <w:rFonts w:ascii="Times New Roman" w:hAnsi="Times New Roman"/>
        </w:rPr>
        <w:t>Information</w:t>
      </w:r>
      <w:bookmarkEnd w:id="33"/>
      <w:bookmarkEnd w:id="34"/>
      <w:bookmarkEnd w:id="35"/>
      <w:r w:rsidR="00C026A6" w:rsidRPr="00EA59C0">
        <w:rPr>
          <w:rFonts w:ascii="Times New Roman" w:hAnsi="Times New Roman"/>
        </w:rPr>
        <w:t xml:space="preserve"> </w:t>
      </w:r>
    </w:p>
    <w:p w:rsidR="007470AB" w:rsidRPr="00EA59C0" w:rsidRDefault="007470AB" w:rsidP="00B505EF">
      <w:pPr>
        <w:pStyle w:val="Heading2"/>
        <w:numPr>
          <w:ilvl w:val="1"/>
          <w:numId w:val="17"/>
        </w:numPr>
        <w:spacing w:line="240" w:lineRule="auto"/>
        <w:rPr>
          <w:rFonts w:ascii="Times New Roman" w:hAnsi="Times New Roman"/>
          <w:b w:val="0"/>
          <w:i w:val="0"/>
        </w:rPr>
      </w:pPr>
      <w:bookmarkStart w:id="36" w:name="_Toc222215586"/>
      <w:bookmarkStart w:id="37" w:name="_Toc222224714"/>
      <w:bookmarkStart w:id="38" w:name="_Toc222215587"/>
      <w:bookmarkStart w:id="39" w:name="_Toc222224715"/>
      <w:bookmarkStart w:id="40" w:name="_Toc207778229"/>
      <w:bookmarkStart w:id="41" w:name="_Toc208654629"/>
      <w:bookmarkStart w:id="42" w:name="_Toc228885509"/>
      <w:bookmarkStart w:id="43" w:name="_Toc229889168"/>
      <w:bookmarkEnd w:id="36"/>
      <w:bookmarkEnd w:id="37"/>
      <w:bookmarkEnd w:id="38"/>
      <w:bookmarkEnd w:id="39"/>
      <w:r w:rsidRPr="00EA59C0">
        <w:rPr>
          <w:rFonts w:ascii="Times New Roman" w:hAnsi="Times New Roman"/>
          <w:b w:val="0"/>
          <w:i w:val="0"/>
        </w:rPr>
        <w:t>Criteria</w:t>
      </w:r>
      <w:bookmarkEnd w:id="40"/>
      <w:bookmarkEnd w:id="41"/>
      <w:bookmarkEnd w:id="42"/>
      <w:bookmarkEnd w:id="43"/>
    </w:p>
    <w:p w:rsidR="007470AB" w:rsidRPr="00EA59C0" w:rsidRDefault="00D81847" w:rsidP="00B505EF">
      <w:pPr>
        <w:ind w:left="720"/>
      </w:pPr>
      <w:r w:rsidRPr="00EA59C0">
        <w:t>Procedures</w:t>
      </w:r>
      <w:r w:rsidR="00C026A6" w:rsidRPr="00EA59C0">
        <w:t xml:space="preserve"> </w:t>
      </w:r>
      <w:r w:rsidRPr="00EA59C0">
        <w:t>for</w:t>
      </w:r>
      <w:r w:rsidR="00C026A6" w:rsidRPr="00EA59C0">
        <w:t xml:space="preserve"> </w:t>
      </w:r>
      <w:r w:rsidRPr="00EA59C0">
        <w:t>assessing</w:t>
      </w:r>
      <w:r w:rsidR="00C026A6" w:rsidRPr="00EA59C0">
        <w:t xml:space="preserve"> </w:t>
      </w:r>
      <w:r w:rsidRPr="00EA59C0">
        <w:t>the</w:t>
      </w:r>
      <w:r w:rsidR="00C026A6" w:rsidRPr="00EA59C0">
        <w:t xml:space="preserve"> </w:t>
      </w:r>
      <w:r w:rsidRPr="00EA59C0">
        <w:t>technical</w:t>
      </w:r>
      <w:r w:rsidR="00C026A6" w:rsidRPr="00EA59C0">
        <w:t xml:space="preserve"> </w:t>
      </w:r>
      <w:r w:rsidRPr="00EA59C0">
        <w:t>merit</w:t>
      </w:r>
      <w:r w:rsidR="00C026A6" w:rsidRPr="00EA59C0">
        <w:t xml:space="preserve"> </w:t>
      </w:r>
      <w:r w:rsidRPr="00EA59C0">
        <w:t>of</w:t>
      </w:r>
      <w:r w:rsidR="00C026A6" w:rsidRPr="00EA59C0">
        <w:t xml:space="preserve"> </w:t>
      </w:r>
      <w:r w:rsidRPr="00EA59C0">
        <w:t>applications</w:t>
      </w:r>
      <w:r w:rsidR="00C026A6" w:rsidRPr="00EA59C0">
        <w:t xml:space="preserve"> </w:t>
      </w:r>
      <w:r w:rsidRPr="00EA59C0">
        <w:t>have</w:t>
      </w:r>
      <w:r w:rsidR="00C026A6" w:rsidRPr="00EA59C0">
        <w:t xml:space="preserve"> </w:t>
      </w:r>
      <w:r w:rsidRPr="00EA59C0">
        <w:t>been</w:t>
      </w:r>
      <w:r w:rsidR="00C026A6" w:rsidRPr="00EA59C0">
        <w:t xml:space="preserve"> </w:t>
      </w:r>
      <w:r w:rsidRPr="00EA59C0">
        <w:t>instituted</w:t>
      </w:r>
      <w:r w:rsidR="00C026A6" w:rsidRPr="00EA59C0">
        <w:t xml:space="preserve"> </w:t>
      </w:r>
      <w:r w:rsidRPr="00EA59C0">
        <w:t>to</w:t>
      </w:r>
      <w:r w:rsidR="00C026A6" w:rsidRPr="00EA59C0">
        <w:t xml:space="preserve"> </w:t>
      </w:r>
      <w:r w:rsidRPr="00EA59C0">
        <w:t>provide</w:t>
      </w:r>
      <w:r w:rsidR="00C026A6" w:rsidRPr="00EA59C0">
        <w:t xml:space="preserve"> </w:t>
      </w:r>
      <w:r w:rsidRPr="00EA59C0">
        <w:t>for</w:t>
      </w:r>
      <w:r w:rsidR="00C026A6" w:rsidRPr="00EA59C0">
        <w:t xml:space="preserve"> </w:t>
      </w:r>
      <w:r w:rsidRPr="00EA59C0">
        <w:t>an</w:t>
      </w:r>
      <w:r w:rsidR="00C026A6" w:rsidRPr="00EA59C0">
        <w:t xml:space="preserve"> </w:t>
      </w:r>
      <w:r w:rsidRPr="00EA59C0">
        <w:t>objective</w:t>
      </w:r>
      <w:r w:rsidR="00C026A6" w:rsidRPr="00EA59C0">
        <w:t xml:space="preserve"> </w:t>
      </w:r>
      <w:r w:rsidRPr="00EA59C0">
        <w:t>review</w:t>
      </w:r>
      <w:r w:rsidR="00C026A6" w:rsidRPr="00EA59C0">
        <w:t xml:space="preserve"> </w:t>
      </w:r>
      <w:r w:rsidRPr="00EA59C0">
        <w:t>of</w:t>
      </w:r>
      <w:r w:rsidR="00C026A6" w:rsidRPr="00EA59C0">
        <w:t xml:space="preserve"> </w:t>
      </w:r>
      <w:r w:rsidRPr="00EA59C0">
        <w:t>applications</w:t>
      </w:r>
      <w:r w:rsidR="00C026A6" w:rsidRPr="00EA59C0">
        <w:t xml:space="preserve"> </w:t>
      </w:r>
      <w:r w:rsidRPr="00EA59C0">
        <w:t>and</w:t>
      </w:r>
      <w:r w:rsidR="00C026A6" w:rsidRPr="00EA59C0">
        <w:t xml:space="preserve"> </w:t>
      </w:r>
      <w:r w:rsidRPr="00EA59C0">
        <w:t>to</w:t>
      </w:r>
      <w:r w:rsidR="00C026A6" w:rsidRPr="00EA59C0">
        <w:t xml:space="preserve"> </w:t>
      </w:r>
      <w:r w:rsidRPr="00EA59C0">
        <w:t>assist</w:t>
      </w:r>
      <w:r w:rsidR="00C026A6" w:rsidRPr="00EA59C0">
        <w:t xml:space="preserve"> </w:t>
      </w:r>
      <w:r w:rsidRPr="00EA59C0">
        <w:t>the</w:t>
      </w:r>
      <w:r w:rsidR="00C026A6" w:rsidRPr="00EA59C0">
        <w:t xml:space="preserve"> </w:t>
      </w:r>
      <w:r w:rsidRPr="00EA59C0">
        <w:t>applicant</w:t>
      </w:r>
      <w:r w:rsidR="00C026A6" w:rsidRPr="00EA59C0">
        <w:t xml:space="preserve"> </w:t>
      </w:r>
      <w:r w:rsidRPr="00EA59C0">
        <w:t>in</w:t>
      </w:r>
      <w:r w:rsidR="00C026A6" w:rsidRPr="00EA59C0">
        <w:t xml:space="preserve"> </w:t>
      </w:r>
      <w:r w:rsidRPr="00EA59C0">
        <w:t>understanding</w:t>
      </w:r>
      <w:r w:rsidR="00C026A6" w:rsidRPr="00EA59C0">
        <w:t xml:space="preserve"> </w:t>
      </w:r>
      <w:r w:rsidRPr="00EA59C0">
        <w:t>the</w:t>
      </w:r>
      <w:r w:rsidR="00C026A6" w:rsidRPr="00EA59C0">
        <w:t xml:space="preserve"> </w:t>
      </w:r>
      <w:r w:rsidRPr="00EA59C0">
        <w:t>standards</w:t>
      </w:r>
      <w:r w:rsidR="00C026A6" w:rsidRPr="00EA59C0">
        <w:t xml:space="preserve"> </w:t>
      </w:r>
      <w:r w:rsidRPr="00EA59C0">
        <w:t>against</w:t>
      </w:r>
      <w:r w:rsidR="00C026A6" w:rsidRPr="00EA59C0">
        <w:t xml:space="preserve"> </w:t>
      </w:r>
      <w:r w:rsidRPr="00EA59C0">
        <w:t>which</w:t>
      </w:r>
      <w:r w:rsidR="00C026A6" w:rsidRPr="00EA59C0">
        <w:t xml:space="preserve"> </w:t>
      </w:r>
      <w:r w:rsidRPr="00EA59C0">
        <w:t>each</w:t>
      </w:r>
      <w:r w:rsidR="00C026A6" w:rsidRPr="00EA59C0">
        <w:t xml:space="preserve"> </w:t>
      </w:r>
      <w:r w:rsidRPr="00EA59C0">
        <w:t>application</w:t>
      </w:r>
      <w:r w:rsidR="00C026A6" w:rsidRPr="00EA59C0">
        <w:t xml:space="preserve"> </w:t>
      </w:r>
      <w:r w:rsidRPr="00EA59C0">
        <w:t>will</w:t>
      </w:r>
      <w:r w:rsidR="00C026A6" w:rsidRPr="00EA59C0">
        <w:t xml:space="preserve"> </w:t>
      </w:r>
      <w:r w:rsidRPr="00EA59C0">
        <w:t>be</w:t>
      </w:r>
      <w:r w:rsidR="00C026A6" w:rsidRPr="00EA59C0">
        <w:t xml:space="preserve"> </w:t>
      </w:r>
      <w:r w:rsidRPr="00EA59C0">
        <w:t>judged.</w:t>
      </w:r>
      <w:r w:rsidR="00C026A6" w:rsidRPr="00EA59C0">
        <w:t xml:space="preserve">  </w:t>
      </w:r>
      <w:r w:rsidR="003C0A83" w:rsidRPr="00EA59C0">
        <w:t>The</w:t>
      </w:r>
      <w:r w:rsidR="00C026A6" w:rsidRPr="00EA59C0">
        <w:t xml:space="preserve"> </w:t>
      </w:r>
      <w:r w:rsidR="003C0A83" w:rsidRPr="00EA59C0">
        <w:t>evaluation</w:t>
      </w:r>
      <w:r w:rsidR="00C026A6" w:rsidRPr="00EA59C0">
        <w:t xml:space="preserve"> </w:t>
      </w:r>
      <w:r w:rsidR="003C0A83" w:rsidRPr="00EA59C0">
        <w:t>criteria</w:t>
      </w:r>
      <w:r w:rsidR="00C026A6" w:rsidRPr="00EA59C0">
        <w:t xml:space="preserve"> </w:t>
      </w:r>
      <w:r w:rsidR="003C0A83" w:rsidRPr="00EA59C0">
        <w:t>are</w:t>
      </w:r>
      <w:r w:rsidR="00C026A6" w:rsidRPr="00EA59C0">
        <w:t xml:space="preserve"> </w:t>
      </w:r>
      <w:r w:rsidR="003C0A83" w:rsidRPr="00EA59C0">
        <w:t>based</w:t>
      </w:r>
      <w:r w:rsidR="00C026A6" w:rsidRPr="00EA59C0">
        <w:t xml:space="preserve"> </w:t>
      </w:r>
      <w:r w:rsidR="003C0A83" w:rsidRPr="00EA59C0">
        <w:t>on</w:t>
      </w:r>
      <w:r w:rsidR="00C026A6" w:rsidRPr="00EA59C0">
        <w:t xml:space="preserve"> </w:t>
      </w:r>
      <w:r w:rsidR="003C0A83" w:rsidRPr="00EA59C0">
        <w:t>the</w:t>
      </w:r>
      <w:r w:rsidR="00C026A6" w:rsidRPr="00EA59C0">
        <w:t xml:space="preserve"> </w:t>
      </w:r>
      <w:r w:rsidR="003C0A83" w:rsidRPr="00EA59C0">
        <w:t>information</w:t>
      </w:r>
      <w:r w:rsidR="00C026A6" w:rsidRPr="00EA59C0">
        <w:t xml:space="preserve"> </w:t>
      </w:r>
      <w:r w:rsidR="003C0A83" w:rsidRPr="00EA59C0">
        <w:t>required</w:t>
      </w:r>
      <w:r w:rsidR="00C026A6" w:rsidRPr="00EA59C0">
        <w:t xml:space="preserve"> </w:t>
      </w:r>
      <w:r w:rsidR="003C0A83" w:rsidRPr="00EA59C0">
        <w:t>in</w:t>
      </w:r>
      <w:r w:rsidR="00C026A6" w:rsidRPr="00EA59C0">
        <w:t xml:space="preserve"> </w:t>
      </w:r>
      <w:r w:rsidR="003C0A83" w:rsidRPr="00EA59C0">
        <w:t>the</w:t>
      </w:r>
      <w:r w:rsidR="00C026A6" w:rsidRPr="00EA59C0">
        <w:t xml:space="preserve"> </w:t>
      </w:r>
      <w:r w:rsidR="003C0A83" w:rsidRPr="00EA59C0">
        <w:t>application</w:t>
      </w:r>
      <w:r w:rsidR="00C026A6" w:rsidRPr="00EA59C0">
        <w:t xml:space="preserve"> </w:t>
      </w:r>
      <w:r w:rsidR="003C0A83" w:rsidRPr="00EA59C0">
        <w:t>as</w:t>
      </w:r>
      <w:r w:rsidR="00C026A6" w:rsidRPr="00EA59C0">
        <w:t xml:space="preserve"> </w:t>
      </w:r>
      <w:r w:rsidR="003C0A83" w:rsidRPr="00EA59C0">
        <w:t>described</w:t>
      </w:r>
      <w:r w:rsidR="00C026A6" w:rsidRPr="00EA59C0">
        <w:t xml:space="preserve"> </w:t>
      </w:r>
      <w:r w:rsidR="003C0A83" w:rsidRPr="00EA59C0">
        <w:t>in</w:t>
      </w:r>
      <w:r w:rsidR="00C026A6" w:rsidRPr="00EA59C0">
        <w:t xml:space="preserve"> </w:t>
      </w:r>
      <w:r w:rsidR="003C0A83" w:rsidRPr="00EA59C0">
        <w:t>Section</w:t>
      </w:r>
      <w:r w:rsidR="00C026A6" w:rsidRPr="00EA59C0">
        <w:t xml:space="preserve"> </w:t>
      </w:r>
      <w:r w:rsidR="003C0A83" w:rsidRPr="00EA59C0">
        <w:t>I.</w:t>
      </w:r>
      <w:r w:rsidR="00C026A6" w:rsidRPr="00EA59C0">
        <w:t xml:space="preserve"> </w:t>
      </w:r>
      <w:r w:rsidR="003C0A83" w:rsidRPr="00EA59C0">
        <w:t>and</w:t>
      </w:r>
      <w:r w:rsidR="00C026A6" w:rsidRPr="00EA59C0">
        <w:t xml:space="preserve"> </w:t>
      </w:r>
      <w:r w:rsidR="003C0A83" w:rsidRPr="00EA59C0">
        <w:t>Section</w:t>
      </w:r>
      <w:r w:rsidR="00C026A6" w:rsidRPr="00EA59C0">
        <w:t xml:space="preserve"> </w:t>
      </w:r>
      <w:r w:rsidR="003C0A83" w:rsidRPr="00EA59C0">
        <w:t>IV.B.</w:t>
      </w:r>
      <w:r w:rsidR="00C026A6" w:rsidRPr="00EA59C0">
        <w:t xml:space="preserve">  </w:t>
      </w:r>
      <w:r w:rsidR="007470AB" w:rsidRPr="00EA59C0">
        <w:t>The</w:t>
      </w:r>
      <w:r w:rsidR="00C026A6" w:rsidRPr="00EA59C0">
        <w:t xml:space="preserve"> </w:t>
      </w:r>
      <w:r w:rsidR="007470AB" w:rsidRPr="00EA59C0">
        <w:t>evaluation</w:t>
      </w:r>
      <w:r w:rsidR="00C026A6" w:rsidRPr="00EA59C0">
        <w:t xml:space="preserve"> </w:t>
      </w:r>
      <w:r w:rsidR="007470AB" w:rsidRPr="00EA59C0">
        <w:t>criteria</w:t>
      </w:r>
      <w:r w:rsidR="00C026A6" w:rsidRPr="00EA59C0">
        <w:t xml:space="preserve"> </w:t>
      </w:r>
      <w:r w:rsidR="007470AB" w:rsidRPr="00EA59C0">
        <w:t>are</w:t>
      </w:r>
      <w:r w:rsidR="00C026A6" w:rsidRPr="00EA59C0">
        <w:t xml:space="preserve"> </w:t>
      </w:r>
      <w:r w:rsidR="007470AB" w:rsidRPr="00EA59C0">
        <w:t>described</w:t>
      </w:r>
      <w:r w:rsidR="00C026A6" w:rsidRPr="00EA59C0">
        <w:t xml:space="preserve"> </w:t>
      </w:r>
      <w:r w:rsidR="007470AB" w:rsidRPr="00EA59C0">
        <w:t>below:</w:t>
      </w:r>
      <w:r w:rsidR="00C026A6" w:rsidRPr="00EA59C0">
        <w:t xml:space="preserve">  </w:t>
      </w:r>
    </w:p>
    <w:p w:rsidR="00996016" w:rsidRPr="00EA59C0" w:rsidRDefault="00996016" w:rsidP="00B505E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8"/>
        <w:gridCol w:w="1530"/>
      </w:tblGrid>
      <w:tr w:rsidR="00EA59C0" w:rsidRPr="00EA59C0" w:rsidTr="0087755D">
        <w:trPr>
          <w:divId w:val="2063751277"/>
          <w:jc w:val="center"/>
        </w:trPr>
        <w:tc>
          <w:tcPr>
            <w:tcW w:w="5958" w:type="dxa"/>
            <w:tcMar>
              <w:top w:w="0" w:type="dxa"/>
              <w:left w:w="108" w:type="dxa"/>
              <w:bottom w:w="0" w:type="dxa"/>
              <w:right w:w="108" w:type="dxa"/>
            </w:tcMar>
            <w:hideMark/>
          </w:tcPr>
          <w:p w:rsidR="00C2381D" w:rsidRPr="00EA59C0" w:rsidRDefault="00C2381D" w:rsidP="00B505EF">
            <w:pPr>
              <w:rPr>
                <w:rFonts w:eastAsiaTheme="minorHAnsi"/>
              </w:rPr>
            </w:pPr>
            <w:r w:rsidRPr="00EA59C0">
              <w:t>Criterion</w:t>
            </w:r>
          </w:p>
        </w:tc>
        <w:tc>
          <w:tcPr>
            <w:tcW w:w="1530" w:type="dxa"/>
            <w:tcMar>
              <w:top w:w="0" w:type="dxa"/>
              <w:left w:w="108" w:type="dxa"/>
              <w:bottom w:w="0" w:type="dxa"/>
              <w:right w:w="108" w:type="dxa"/>
            </w:tcMar>
            <w:hideMark/>
          </w:tcPr>
          <w:p w:rsidR="00C2381D" w:rsidRPr="00EA59C0" w:rsidRDefault="00C2381D" w:rsidP="00B505EF">
            <w:pPr>
              <w:jc w:val="right"/>
              <w:rPr>
                <w:rFonts w:eastAsiaTheme="minorHAnsi"/>
              </w:rPr>
            </w:pPr>
            <w:r w:rsidRPr="00EA59C0">
              <w:t>Points</w:t>
            </w:r>
          </w:p>
        </w:tc>
      </w:tr>
      <w:tr w:rsidR="00EA59C0" w:rsidRPr="00EA59C0" w:rsidTr="0087755D">
        <w:trPr>
          <w:divId w:val="2063751277"/>
          <w:jc w:val="center"/>
        </w:trPr>
        <w:tc>
          <w:tcPr>
            <w:tcW w:w="5958" w:type="dxa"/>
            <w:tcMar>
              <w:top w:w="0" w:type="dxa"/>
              <w:left w:w="108" w:type="dxa"/>
              <w:bottom w:w="0" w:type="dxa"/>
              <w:right w:w="108" w:type="dxa"/>
            </w:tcMar>
            <w:hideMark/>
          </w:tcPr>
          <w:p w:rsidR="00C2381D" w:rsidRPr="00EA59C0" w:rsidRDefault="00C2381D" w:rsidP="00B505EF">
            <w:pPr>
              <w:numPr>
                <w:ilvl w:val="0"/>
                <w:numId w:val="7"/>
              </w:numPr>
              <w:tabs>
                <w:tab w:val="clear" w:pos="684"/>
                <w:tab w:val="num" w:pos="360"/>
              </w:tabs>
              <w:ind w:left="0" w:firstLine="0"/>
              <w:rPr>
                <w:rFonts w:eastAsiaTheme="minorHAnsi"/>
              </w:rPr>
            </w:pPr>
            <w:r w:rsidRPr="00EA59C0">
              <w:t>Statement</w:t>
            </w:r>
            <w:r w:rsidR="00C026A6" w:rsidRPr="00EA59C0">
              <w:t xml:space="preserve"> </w:t>
            </w:r>
            <w:r w:rsidRPr="00EA59C0">
              <w:t>of</w:t>
            </w:r>
            <w:r w:rsidR="00C026A6" w:rsidRPr="00EA59C0">
              <w:t xml:space="preserve"> </w:t>
            </w:r>
            <w:r w:rsidRPr="00EA59C0">
              <w:t>Need</w:t>
            </w:r>
          </w:p>
          <w:p w:rsidR="00C2381D" w:rsidRPr="00EA59C0" w:rsidRDefault="00F71122" w:rsidP="00B505EF">
            <w:pPr>
              <w:rPr>
                <w:rFonts w:eastAsiaTheme="minorHAnsi"/>
              </w:rPr>
            </w:pPr>
            <w:r w:rsidRPr="00EA59C0">
              <w:t>(See</w:t>
            </w:r>
            <w:r w:rsidR="00C026A6" w:rsidRPr="00EA59C0">
              <w:t xml:space="preserve"> </w:t>
            </w:r>
            <w:r w:rsidRPr="00EA59C0">
              <w:t>Section</w:t>
            </w:r>
            <w:r w:rsidR="00C026A6" w:rsidRPr="00EA59C0">
              <w:t xml:space="preserve"> </w:t>
            </w:r>
            <w:r w:rsidRPr="00EA59C0">
              <w:t>IV.B.3.a.</w:t>
            </w:r>
            <w:r w:rsidR="000A2082" w:rsidRPr="00EA59C0">
              <w:t>(</w:t>
            </w:r>
            <w:r w:rsidRPr="00EA59C0">
              <w:t>1</w:t>
            </w:r>
            <w:r w:rsidR="000A2082" w:rsidRPr="00EA59C0">
              <w:t>)</w:t>
            </w:r>
            <w:r w:rsidR="00C2381D" w:rsidRPr="00EA59C0">
              <w:t>.</w:t>
            </w:r>
            <w:r w:rsidR="00C026A6" w:rsidRPr="00EA59C0">
              <w:t xml:space="preserve"> </w:t>
            </w:r>
            <w:r w:rsidR="00C2381D" w:rsidRPr="00EA59C0">
              <w:t>Statement</w:t>
            </w:r>
            <w:r w:rsidR="00C026A6" w:rsidRPr="00EA59C0">
              <w:t xml:space="preserve"> </w:t>
            </w:r>
            <w:r w:rsidR="00C2381D" w:rsidRPr="00EA59C0">
              <w:t>of</w:t>
            </w:r>
            <w:r w:rsidR="00C026A6" w:rsidRPr="00EA59C0">
              <w:t xml:space="preserve"> </w:t>
            </w:r>
            <w:r w:rsidR="00C2381D" w:rsidRPr="00EA59C0">
              <w:t>Need)</w:t>
            </w:r>
          </w:p>
        </w:tc>
        <w:tc>
          <w:tcPr>
            <w:tcW w:w="1530" w:type="dxa"/>
            <w:tcMar>
              <w:top w:w="0" w:type="dxa"/>
              <w:left w:w="108" w:type="dxa"/>
              <w:bottom w:w="0" w:type="dxa"/>
              <w:right w:w="108" w:type="dxa"/>
            </w:tcMar>
          </w:tcPr>
          <w:p w:rsidR="00C2381D" w:rsidRPr="00EA59C0" w:rsidRDefault="009053C5" w:rsidP="00B505EF">
            <w:pPr>
              <w:jc w:val="right"/>
              <w:rPr>
                <w:rFonts w:eastAsiaTheme="minorHAnsi"/>
              </w:rPr>
            </w:pPr>
            <w:r w:rsidRPr="00EA59C0">
              <w:rPr>
                <w:rFonts w:eastAsiaTheme="minorHAnsi"/>
              </w:rPr>
              <w:t>20</w:t>
            </w:r>
          </w:p>
          <w:p w:rsidR="009053C5" w:rsidRPr="00EA59C0" w:rsidRDefault="009053C5" w:rsidP="00B505EF">
            <w:pPr>
              <w:jc w:val="right"/>
              <w:rPr>
                <w:rFonts w:eastAsiaTheme="minorHAnsi"/>
              </w:rPr>
            </w:pPr>
          </w:p>
        </w:tc>
      </w:tr>
      <w:tr w:rsidR="00EA59C0" w:rsidRPr="00EA59C0" w:rsidTr="0087755D">
        <w:trPr>
          <w:divId w:val="2063751277"/>
          <w:jc w:val="center"/>
        </w:trPr>
        <w:tc>
          <w:tcPr>
            <w:tcW w:w="5958" w:type="dxa"/>
            <w:tcMar>
              <w:top w:w="0" w:type="dxa"/>
              <w:left w:w="108" w:type="dxa"/>
              <w:bottom w:w="0" w:type="dxa"/>
              <w:right w:w="108" w:type="dxa"/>
            </w:tcMar>
            <w:hideMark/>
          </w:tcPr>
          <w:p w:rsidR="00C2381D" w:rsidRPr="00EA59C0" w:rsidRDefault="00C2381D" w:rsidP="00B505EF">
            <w:pPr>
              <w:numPr>
                <w:ilvl w:val="0"/>
                <w:numId w:val="7"/>
              </w:numPr>
              <w:tabs>
                <w:tab w:val="clear" w:pos="684"/>
                <w:tab w:val="num" w:pos="360"/>
              </w:tabs>
              <w:ind w:left="0" w:firstLine="0"/>
              <w:rPr>
                <w:rFonts w:eastAsiaTheme="minorHAnsi"/>
              </w:rPr>
            </w:pPr>
            <w:r w:rsidRPr="00EA59C0">
              <w:t>Methodology</w:t>
            </w:r>
            <w:r w:rsidR="00C026A6" w:rsidRPr="00EA59C0">
              <w:t xml:space="preserve"> </w:t>
            </w:r>
            <w:r w:rsidRPr="00EA59C0">
              <w:t>and</w:t>
            </w:r>
            <w:r w:rsidR="00C026A6" w:rsidRPr="00EA59C0">
              <w:t xml:space="preserve"> </w:t>
            </w:r>
            <w:r w:rsidRPr="00EA59C0">
              <w:t>Workplan</w:t>
            </w:r>
          </w:p>
          <w:p w:rsidR="00C2381D" w:rsidRPr="00EA59C0" w:rsidRDefault="00C2381D" w:rsidP="00B505EF">
            <w:pPr>
              <w:rPr>
                <w:rFonts w:eastAsiaTheme="minorHAnsi"/>
              </w:rPr>
            </w:pPr>
            <w:r w:rsidRPr="00EA59C0">
              <w:t>(See</w:t>
            </w:r>
            <w:r w:rsidR="00C026A6" w:rsidRPr="00EA59C0">
              <w:t xml:space="preserve"> </w:t>
            </w:r>
            <w:r w:rsidRPr="00EA59C0">
              <w:t>Section</w:t>
            </w:r>
            <w:r w:rsidR="00C026A6" w:rsidRPr="00EA59C0">
              <w:t xml:space="preserve"> </w:t>
            </w:r>
            <w:r w:rsidRPr="00EA59C0">
              <w:t>IV.B.3</w:t>
            </w:r>
            <w:r w:rsidR="000A2082" w:rsidRPr="00EA59C0">
              <w:t>.a.(2)</w:t>
            </w:r>
            <w:r w:rsidRPr="00EA59C0">
              <w:t>.</w:t>
            </w:r>
            <w:r w:rsidR="00C026A6" w:rsidRPr="00EA59C0">
              <w:t xml:space="preserve"> </w:t>
            </w:r>
            <w:r w:rsidRPr="00EA59C0">
              <w:t>Methodology</w:t>
            </w:r>
            <w:r w:rsidR="00C026A6" w:rsidRPr="00EA59C0">
              <w:t xml:space="preserve"> </w:t>
            </w:r>
            <w:r w:rsidRPr="00EA59C0">
              <w:t>and</w:t>
            </w:r>
            <w:r w:rsidR="00C026A6" w:rsidRPr="00EA59C0">
              <w:t xml:space="preserve"> </w:t>
            </w:r>
            <w:r w:rsidRPr="00EA59C0">
              <w:t>Workplan)</w:t>
            </w:r>
          </w:p>
        </w:tc>
        <w:tc>
          <w:tcPr>
            <w:tcW w:w="1530" w:type="dxa"/>
            <w:tcMar>
              <w:top w:w="0" w:type="dxa"/>
              <w:left w:w="108" w:type="dxa"/>
              <w:bottom w:w="0" w:type="dxa"/>
              <w:right w:w="108" w:type="dxa"/>
            </w:tcMar>
          </w:tcPr>
          <w:p w:rsidR="00C2381D" w:rsidRPr="00EA59C0" w:rsidRDefault="00485ABA" w:rsidP="00B505EF">
            <w:pPr>
              <w:jc w:val="right"/>
              <w:rPr>
                <w:rFonts w:eastAsiaTheme="minorHAnsi"/>
              </w:rPr>
            </w:pPr>
            <w:r w:rsidRPr="00EA59C0">
              <w:rPr>
                <w:rFonts w:eastAsiaTheme="minorHAnsi"/>
              </w:rPr>
              <w:t>55</w:t>
            </w:r>
          </w:p>
        </w:tc>
      </w:tr>
      <w:tr w:rsidR="00EA59C0" w:rsidRPr="00EA59C0" w:rsidTr="0087755D">
        <w:trPr>
          <w:divId w:val="2063751277"/>
          <w:jc w:val="center"/>
        </w:trPr>
        <w:tc>
          <w:tcPr>
            <w:tcW w:w="5958" w:type="dxa"/>
            <w:tcMar>
              <w:top w:w="0" w:type="dxa"/>
              <w:left w:w="108" w:type="dxa"/>
              <w:bottom w:w="0" w:type="dxa"/>
              <w:right w:w="108" w:type="dxa"/>
            </w:tcMar>
            <w:hideMark/>
          </w:tcPr>
          <w:p w:rsidR="00C2381D" w:rsidRPr="00EA59C0" w:rsidRDefault="00C2381D" w:rsidP="00B505EF">
            <w:pPr>
              <w:numPr>
                <w:ilvl w:val="0"/>
                <w:numId w:val="7"/>
              </w:numPr>
              <w:tabs>
                <w:tab w:val="clear" w:pos="684"/>
                <w:tab w:val="num" w:pos="360"/>
              </w:tabs>
              <w:ind w:left="0" w:firstLine="0"/>
              <w:rPr>
                <w:rFonts w:eastAsiaTheme="minorHAnsi"/>
              </w:rPr>
            </w:pPr>
            <w:r w:rsidRPr="00EA59C0">
              <w:t>Outcomes</w:t>
            </w:r>
            <w:r w:rsidR="00C026A6" w:rsidRPr="00EA59C0">
              <w:t xml:space="preserve"> </w:t>
            </w:r>
            <w:r w:rsidRPr="00EA59C0">
              <w:t>and</w:t>
            </w:r>
            <w:r w:rsidR="00C026A6" w:rsidRPr="00EA59C0">
              <w:t xml:space="preserve"> </w:t>
            </w:r>
            <w:r w:rsidRPr="00EA59C0">
              <w:t>Outputs</w:t>
            </w:r>
          </w:p>
          <w:p w:rsidR="00C2381D" w:rsidRPr="00EA59C0" w:rsidRDefault="00C2381D" w:rsidP="00B505EF">
            <w:pPr>
              <w:rPr>
                <w:rFonts w:eastAsiaTheme="minorHAnsi"/>
              </w:rPr>
            </w:pPr>
            <w:r w:rsidRPr="00EA59C0">
              <w:t>(See</w:t>
            </w:r>
            <w:r w:rsidR="00C026A6" w:rsidRPr="00EA59C0">
              <w:t xml:space="preserve"> </w:t>
            </w:r>
            <w:r w:rsidRPr="00EA59C0">
              <w:t>Section</w:t>
            </w:r>
            <w:r w:rsidR="00C026A6" w:rsidRPr="00EA59C0">
              <w:t xml:space="preserve"> </w:t>
            </w:r>
            <w:r w:rsidRPr="00EA59C0">
              <w:t>IV.B.3.</w:t>
            </w:r>
            <w:r w:rsidR="00C026A6" w:rsidRPr="00EA59C0">
              <w:t xml:space="preserve"> </w:t>
            </w:r>
            <w:r w:rsidR="000A2082" w:rsidRPr="00EA59C0">
              <w:t>a.(3).</w:t>
            </w:r>
            <w:r w:rsidR="00C026A6" w:rsidRPr="00EA59C0">
              <w:t xml:space="preserve"> </w:t>
            </w:r>
            <w:r w:rsidRPr="00EA59C0">
              <w:t>Outcomes</w:t>
            </w:r>
            <w:r w:rsidR="00C026A6" w:rsidRPr="00EA59C0">
              <w:t xml:space="preserve"> </w:t>
            </w:r>
            <w:r w:rsidRPr="00EA59C0">
              <w:t>and</w:t>
            </w:r>
            <w:r w:rsidR="00C026A6" w:rsidRPr="00EA59C0">
              <w:t xml:space="preserve"> </w:t>
            </w:r>
            <w:r w:rsidRPr="00EA59C0">
              <w:t>Outputs)</w:t>
            </w:r>
          </w:p>
        </w:tc>
        <w:tc>
          <w:tcPr>
            <w:tcW w:w="1530" w:type="dxa"/>
            <w:tcMar>
              <w:top w:w="0" w:type="dxa"/>
              <w:left w:w="108" w:type="dxa"/>
              <w:bottom w:w="0" w:type="dxa"/>
              <w:right w:w="108" w:type="dxa"/>
            </w:tcMar>
          </w:tcPr>
          <w:p w:rsidR="00C2381D" w:rsidRPr="00EA59C0" w:rsidRDefault="009053C5" w:rsidP="00B505EF">
            <w:pPr>
              <w:jc w:val="right"/>
              <w:rPr>
                <w:rFonts w:eastAsiaTheme="minorHAnsi"/>
              </w:rPr>
            </w:pPr>
            <w:r w:rsidRPr="00EA59C0">
              <w:rPr>
                <w:rFonts w:eastAsiaTheme="minorHAnsi"/>
              </w:rPr>
              <w:t>15</w:t>
            </w:r>
          </w:p>
        </w:tc>
      </w:tr>
      <w:tr w:rsidR="00EA59C0" w:rsidRPr="00EA59C0" w:rsidTr="0087755D">
        <w:trPr>
          <w:divId w:val="2063751277"/>
          <w:jc w:val="center"/>
        </w:trPr>
        <w:tc>
          <w:tcPr>
            <w:tcW w:w="5958" w:type="dxa"/>
            <w:tcMar>
              <w:top w:w="0" w:type="dxa"/>
              <w:left w:w="108" w:type="dxa"/>
              <w:bottom w:w="0" w:type="dxa"/>
              <w:right w:w="108" w:type="dxa"/>
            </w:tcMar>
            <w:hideMark/>
          </w:tcPr>
          <w:p w:rsidR="00C2381D" w:rsidRPr="00EA59C0" w:rsidRDefault="00C2381D" w:rsidP="00B505EF">
            <w:pPr>
              <w:numPr>
                <w:ilvl w:val="0"/>
                <w:numId w:val="7"/>
              </w:numPr>
              <w:tabs>
                <w:tab w:val="clear" w:pos="684"/>
                <w:tab w:val="num" w:pos="360"/>
              </w:tabs>
              <w:ind w:left="0" w:firstLine="0"/>
              <w:rPr>
                <w:rFonts w:eastAsiaTheme="minorHAnsi"/>
              </w:rPr>
            </w:pPr>
            <w:r w:rsidRPr="00EA59C0">
              <w:t>Organizational</w:t>
            </w:r>
            <w:r w:rsidR="00C026A6" w:rsidRPr="00EA59C0">
              <w:t xml:space="preserve"> </w:t>
            </w:r>
            <w:r w:rsidRPr="00EA59C0">
              <w:t>Profile</w:t>
            </w:r>
          </w:p>
          <w:p w:rsidR="00C2381D" w:rsidRPr="00EA59C0" w:rsidRDefault="00C2381D" w:rsidP="00B505EF">
            <w:pPr>
              <w:rPr>
                <w:rFonts w:eastAsiaTheme="minorHAnsi"/>
              </w:rPr>
            </w:pPr>
            <w:r w:rsidRPr="00EA59C0">
              <w:t>(See</w:t>
            </w:r>
            <w:r w:rsidR="00C026A6" w:rsidRPr="00EA59C0">
              <w:t xml:space="preserve"> </w:t>
            </w:r>
            <w:r w:rsidRPr="00EA59C0">
              <w:t>Section</w:t>
            </w:r>
            <w:r w:rsidR="00C026A6" w:rsidRPr="00EA59C0">
              <w:t xml:space="preserve"> </w:t>
            </w:r>
            <w:r w:rsidRPr="00EA59C0">
              <w:t>IV.B.3.</w:t>
            </w:r>
            <w:r w:rsidR="00C026A6" w:rsidRPr="00EA59C0">
              <w:t xml:space="preserve"> </w:t>
            </w:r>
            <w:r w:rsidR="000A2082" w:rsidRPr="00EA59C0">
              <w:t>a.(4).</w:t>
            </w:r>
            <w:r w:rsidR="00C026A6" w:rsidRPr="00EA59C0">
              <w:t xml:space="preserve"> </w:t>
            </w:r>
            <w:r w:rsidRPr="00EA59C0">
              <w:t>Organizational</w:t>
            </w:r>
            <w:r w:rsidR="00C026A6" w:rsidRPr="00EA59C0">
              <w:t xml:space="preserve"> </w:t>
            </w:r>
            <w:r w:rsidRPr="00EA59C0">
              <w:t>Profile)</w:t>
            </w:r>
          </w:p>
        </w:tc>
        <w:tc>
          <w:tcPr>
            <w:tcW w:w="1530" w:type="dxa"/>
            <w:tcMar>
              <w:top w:w="0" w:type="dxa"/>
              <w:left w:w="108" w:type="dxa"/>
              <w:bottom w:w="0" w:type="dxa"/>
              <w:right w:w="108" w:type="dxa"/>
            </w:tcMar>
          </w:tcPr>
          <w:p w:rsidR="00C2381D" w:rsidRPr="00EA59C0" w:rsidRDefault="00485ABA" w:rsidP="00B505EF">
            <w:pPr>
              <w:jc w:val="right"/>
              <w:rPr>
                <w:rFonts w:eastAsiaTheme="minorHAnsi"/>
              </w:rPr>
            </w:pPr>
            <w:r w:rsidRPr="00EA59C0">
              <w:rPr>
                <w:rFonts w:eastAsiaTheme="minorHAnsi"/>
              </w:rPr>
              <w:t>10</w:t>
            </w:r>
          </w:p>
        </w:tc>
      </w:tr>
      <w:tr w:rsidR="00EA59C0" w:rsidRPr="00EA59C0" w:rsidTr="004C3998">
        <w:trPr>
          <w:divId w:val="2063751277"/>
          <w:trHeight w:val="638"/>
          <w:jc w:val="center"/>
        </w:trPr>
        <w:tc>
          <w:tcPr>
            <w:tcW w:w="5958" w:type="dxa"/>
            <w:tcMar>
              <w:top w:w="0" w:type="dxa"/>
              <w:left w:w="108" w:type="dxa"/>
              <w:bottom w:w="0" w:type="dxa"/>
              <w:right w:w="108" w:type="dxa"/>
            </w:tcMar>
          </w:tcPr>
          <w:p w:rsidR="009053C5" w:rsidRPr="00EA59C0" w:rsidRDefault="009053C5" w:rsidP="00B505EF"/>
          <w:p w:rsidR="009053C5" w:rsidRPr="00EA59C0" w:rsidRDefault="009053C5" w:rsidP="00B505EF">
            <w:r w:rsidRPr="00EA59C0">
              <w:t>TOTAL</w:t>
            </w:r>
          </w:p>
        </w:tc>
        <w:tc>
          <w:tcPr>
            <w:tcW w:w="1530" w:type="dxa"/>
            <w:tcMar>
              <w:top w:w="0" w:type="dxa"/>
              <w:left w:w="108" w:type="dxa"/>
              <w:bottom w:w="0" w:type="dxa"/>
              <w:right w:w="108" w:type="dxa"/>
            </w:tcMar>
          </w:tcPr>
          <w:p w:rsidR="009053C5" w:rsidRPr="00EA59C0" w:rsidRDefault="009053C5" w:rsidP="00B505EF">
            <w:pPr>
              <w:jc w:val="right"/>
              <w:rPr>
                <w:rFonts w:eastAsiaTheme="minorHAnsi"/>
              </w:rPr>
            </w:pPr>
          </w:p>
          <w:p w:rsidR="009053C5" w:rsidRPr="00EA59C0" w:rsidRDefault="009053C5" w:rsidP="00B505EF">
            <w:pPr>
              <w:jc w:val="right"/>
              <w:rPr>
                <w:rFonts w:eastAsiaTheme="minorHAnsi"/>
              </w:rPr>
            </w:pPr>
            <w:r w:rsidRPr="00EA59C0">
              <w:rPr>
                <w:rFonts w:eastAsiaTheme="minorHAnsi"/>
              </w:rPr>
              <w:t>100</w:t>
            </w:r>
          </w:p>
        </w:tc>
      </w:tr>
    </w:tbl>
    <w:p w:rsidR="007470AB" w:rsidRPr="00EA59C0" w:rsidRDefault="007470AB" w:rsidP="002319A5">
      <w:pPr>
        <w:spacing w:line="480" w:lineRule="auto"/>
        <w:rPr>
          <w:b/>
        </w:rPr>
      </w:pPr>
    </w:p>
    <w:p w:rsidR="00144DF0" w:rsidRPr="00EA59C0" w:rsidRDefault="00CE2FFB" w:rsidP="00B505EF">
      <w:pPr>
        <w:pStyle w:val="ListParagraph"/>
        <w:numPr>
          <w:ilvl w:val="2"/>
          <w:numId w:val="17"/>
        </w:numPr>
        <w:rPr>
          <w:b/>
        </w:rPr>
      </w:pPr>
      <w:r w:rsidRPr="00EA59C0">
        <w:rPr>
          <w:b/>
        </w:rPr>
        <w:t>Statement</w:t>
      </w:r>
      <w:r w:rsidR="00C026A6" w:rsidRPr="00EA59C0">
        <w:rPr>
          <w:b/>
        </w:rPr>
        <w:t xml:space="preserve"> </w:t>
      </w:r>
      <w:r w:rsidRPr="00EA59C0">
        <w:rPr>
          <w:b/>
        </w:rPr>
        <w:t>of</w:t>
      </w:r>
      <w:r w:rsidR="00C026A6" w:rsidRPr="00EA59C0">
        <w:rPr>
          <w:b/>
        </w:rPr>
        <w:t xml:space="preserve"> </w:t>
      </w:r>
      <w:r w:rsidR="00D81847" w:rsidRPr="00EA59C0">
        <w:rPr>
          <w:b/>
        </w:rPr>
        <w:t>Need</w:t>
      </w:r>
      <w:r w:rsidR="00C026A6" w:rsidRPr="00EA59C0">
        <w:rPr>
          <w:b/>
        </w:rPr>
        <w:t xml:space="preserve"> </w:t>
      </w:r>
      <w:r w:rsidR="00D81847" w:rsidRPr="00EA59C0">
        <w:rPr>
          <w:b/>
        </w:rPr>
        <w:t>(</w:t>
      </w:r>
      <w:r w:rsidR="00F90F29" w:rsidRPr="00EA59C0">
        <w:rPr>
          <w:b/>
        </w:rPr>
        <w:t>20</w:t>
      </w:r>
      <w:r w:rsidR="00C026A6" w:rsidRPr="00EA59C0">
        <w:rPr>
          <w:b/>
        </w:rPr>
        <w:t xml:space="preserve"> </w:t>
      </w:r>
      <w:r w:rsidR="00D81847" w:rsidRPr="00EA59C0">
        <w:rPr>
          <w:b/>
        </w:rPr>
        <w:t>points)</w:t>
      </w:r>
    </w:p>
    <w:p w:rsidR="00F90F29" w:rsidRPr="00EA59C0" w:rsidRDefault="00A103FD" w:rsidP="00B505EF">
      <w:pPr>
        <w:pStyle w:val="ListParagraph"/>
        <w:numPr>
          <w:ilvl w:val="3"/>
          <w:numId w:val="17"/>
        </w:numPr>
        <w:rPr>
          <w:b/>
        </w:rPr>
      </w:pPr>
      <w:r w:rsidRPr="00EA59C0">
        <w:rPr>
          <w:b/>
        </w:rPr>
        <w:t>Serving</w:t>
      </w:r>
      <w:r w:rsidR="00C026A6" w:rsidRPr="00EA59C0">
        <w:rPr>
          <w:b/>
        </w:rPr>
        <w:t xml:space="preserve"> </w:t>
      </w:r>
      <w:r w:rsidRPr="00EA59C0">
        <w:rPr>
          <w:b/>
        </w:rPr>
        <w:t>the</w:t>
      </w:r>
      <w:r w:rsidR="00C026A6" w:rsidRPr="00EA59C0">
        <w:rPr>
          <w:b/>
        </w:rPr>
        <w:t xml:space="preserve"> </w:t>
      </w:r>
      <w:r w:rsidRPr="00EA59C0">
        <w:rPr>
          <w:b/>
        </w:rPr>
        <w:t>Education</w:t>
      </w:r>
      <w:r w:rsidR="00C026A6" w:rsidRPr="00EA59C0">
        <w:rPr>
          <w:b/>
        </w:rPr>
        <w:t xml:space="preserve"> </w:t>
      </w:r>
      <w:r w:rsidRPr="00EA59C0">
        <w:rPr>
          <w:b/>
        </w:rPr>
        <w:t>and</w:t>
      </w:r>
      <w:r w:rsidR="00C026A6" w:rsidRPr="00EA59C0">
        <w:rPr>
          <w:b/>
        </w:rPr>
        <w:t xml:space="preserve"> </w:t>
      </w:r>
      <w:r w:rsidRPr="00EA59C0">
        <w:rPr>
          <w:b/>
        </w:rPr>
        <w:t>Training</w:t>
      </w:r>
      <w:r w:rsidR="00C026A6" w:rsidRPr="00EA59C0">
        <w:rPr>
          <w:b/>
        </w:rPr>
        <w:t xml:space="preserve"> </w:t>
      </w:r>
      <w:r w:rsidRPr="00EA59C0">
        <w:rPr>
          <w:b/>
        </w:rPr>
        <w:t>Needs</w:t>
      </w:r>
      <w:r w:rsidR="00C026A6" w:rsidRPr="00EA59C0">
        <w:rPr>
          <w:b/>
        </w:rPr>
        <w:t xml:space="preserve"> </w:t>
      </w:r>
      <w:r w:rsidRPr="00EA59C0">
        <w:rPr>
          <w:b/>
        </w:rPr>
        <w:t>of</w:t>
      </w:r>
      <w:r w:rsidR="00C026A6" w:rsidRPr="00EA59C0">
        <w:rPr>
          <w:b/>
        </w:rPr>
        <w:t xml:space="preserve"> </w:t>
      </w:r>
      <w:r w:rsidRPr="00EA59C0">
        <w:rPr>
          <w:b/>
        </w:rPr>
        <w:t>TAA-Eligible</w:t>
      </w:r>
      <w:r w:rsidR="00C026A6" w:rsidRPr="00EA59C0">
        <w:rPr>
          <w:b/>
        </w:rPr>
        <w:t xml:space="preserve"> </w:t>
      </w:r>
      <w:r w:rsidRPr="00EA59C0">
        <w:rPr>
          <w:b/>
        </w:rPr>
        <w:t>Workers</w:t>
      </w:r>
      <w:r w:rsidR="00C026A6" w:rsidRPr="00EA59C0">
        <w:rPr>
          <w:b/>
        </w:rPr>
        <w:t xml:space="preserve"> </w:t>
      </w:r>
      <w:r w:rsidRPr="00EA59C0">
        <w:rPr>
          <w:b/>
        </w:rPr>
        <w:t>(10</w:t>
      </w:r>
      <w:r w:rsidR="00C026A6" w:rsidRPr="00EA59C0">
        <w:rPr>
          <w:b/>
        </w:rPr>
        <w:t xml:space="preserve"> </w:t>
      </w:r>
      <w:r w:rsidRPr="00EA59C0">
        <w:rPr>
          <w:b/>
        </w:rPr>
        <w:t>points)</w:t>
      </w:r>
    </w:p>
    <w:p w:rsidR="00614391" w:rsidRPr="00EA59C0" w:rsidRDefault="00614391"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demonstrates</w:t>
      </w:r>
      <w:r w:rsidR="00C026A6" w:rsidRPr="00EA59C0">
        <w:t xml:space="preserve"> </w:t>
      </w:r>
      <w:r w:rsidRPr="00EA59C0">
        <w:t>the</w:t>
      </w:r>
      <w:r w:rsidR="00C026A6" w:rsidRPr="00EA59C0">
        <w:t xml:space="preserve"> </w:t>
      </w:r>
      <w:r w:rsidRPr="00EA59C0">
        <w:t>impact</w:t>
      </w:r>
      <w:r w:rsidR="00C026A6" w:rsidRPr="00EA59C0">
        <w:t xml:space="preserve"> </w:t>
      </w:r>
      <w:r w:rsidRPr="00EA59C0">
        <w:t>of</w:t>
      </w:r>
      <w:r w:rsidR="00C026A6" w:rsidRPr="00EA59C0">
        <w:t xml:space="preserve"> </w:t>
      </w:r>
      <w:r w:rsidRPr="00EA59C0">
        <w:t>foreign</w:t>
      </w:r>
      <w:r w:rsidR="00C026A6" w:rsidRPr="00EA59C0">
        <w:t xml:space="preserve"> </w:t>
      </w:r>
      <w:r w:rsidRPr="00EA59C0">
        <w:t>trade</w:t>
      </w:r>
      <w:r w:rsidR="00C026A6" w:rsidRPr="00EA59C0">
        <w:t xml:space="preserve"> </w:t>
      </w:r>
      <w:r w:rsidRPr="00EA59C0">
        <w:t>in</w:t>
      </w:r>
      <w:r w:rsidR="00C026A6" w:rsidRPr="00EA59C0">
        <w:t xml:space="preserve"> </w:t>
      </w:r>
      <w:r w:rsidRPr="00EA59C0">
        <w:t>at</w:t>
      </w:r>
      <w:r w:rsidR="00C026A6" w:rsidRPr="00EA59C0">
        <w:t xml:space="preserve"> </w:t>
      </w:r>
      <w:r w:rsidRPr="00EA59C0">
        <w:t>least</w:t>
      </w:r>
      <w:r w:rsidR="00C026A6" w:rsidRPr="00EA59C0">
        <w:t xml:space="preserve"> </w:t>
      </w:r>
      <w:r w:rsidRPr="00EA59C0">
        <w:t>one</w:t>
      </w:r>
      <w:r w:rsidR="00C026A6" w:rsidRPr="00EA59C0">
        <w:t xml:space="preserve"> </w:t>
      </w:r>
      <w:r w:rsidR="006201A5" w:rsidRPr="00EA59C0">
        <w:t>region</w:t>
      </w:r>
      <w:r w:rsidR="00C026A6" w:rsidRPr="00EA59C0">
        <w:t xml:space="preserve"> </w:t>
      </w:r>
      <w:r w:rsidRPr="00EA59C0">
        <w:t>to</w:t>
      </w:r>
      <w:r w:rsidR="00C026A6" w:rsidRPr="00EA59C0">
        <w:t xml:space="preserve"> </w:t>
      </w:r>
      <w:r w:rsidRPr="00EA59C0">
        <w:t>be</w:t>
      </w:r>
      <w:r w:rsidR="00C026A6" w:rsidRPr="00EA59C0">
        <w:t xml:space="preserve"> </w:t>
      </w:r>
      <w:r w:rsidRPr="00EA59C0">
        <w:t>served,</w:t>
      </w:r>
      <w:r w:rsidR="00C026A6" w:rsidRPr="00EA59C0">
        <w:t xml:space="preserve"> </w:t>
      </w:r>
      <w:r w:rsidRPr="00EA59C0">
        <w:t>and</w:t>
      </w:r>
      <w:r w:rsidR="00C026A6" w:rsidRPr="00EA59C0">
        <w:t xml:space="preserve"> </w:t>
      </w: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demonstrates</w:t>
      </w:r>
      <w:r w:rsidR="00C026A6" w:rsidRPr="00EA59C0">
        <w:t xml:space="preserve"> </w:t>
      </w:r>
      <w:r w:rsidRPr="00EA59C0">
        <w:t>how</w:t>
      </w:r>
      <w:r w:rsidR="00C026A6" w:rsidRPr="00EA59C0">
        <w:t xml:space="preserve"> </w:t>
      </w:r>
      <w:r w:rsidRPr="00EA59C0">
        <w:t>these</w:t>
      </w:r>
      <w:r w:rsidR="00C026A6" w:rsidRPr="00EA59C0">
        <w:t xml:space="preserve"> </w:t>
      </w:r>
      <w:r w:rsidRPr="00EA59C0">
        <w:t>programs</w:t>
      </w:r>
      <w:r w:rsidR="00C026A6" w:rsidRPr="00EA59C0">
        <w:t xml:space="preserve"> </w:t>
      </w:r>
      <w:r w:rsidRPr="00EA59C0">
        <w:t>will</w:t>
      </w:r>
      <w:r w:rsidR="00C026A6" w:rsidRPr="00EA59C0">
        <w:t xml:space="preserve"> </w:t>
      </w:r>
      <w:r w:rsidRPr="00EA59C0">
        <w:t>be</w:t>
      </w:r>
      <w:r w:rsidR="00C026A6" w:rsidRPr="00EA59C0">
        <w:t xml:space="preserve"> </w:t>
      </w:r>
      <w:r w:rsidRPr="00EA59C0">
        <w:t>made</w:t>
      </w:r>
      <w:r w:rsidR="00C026A6" w:rsidRPr="00EA59C0">
        <w:t xml:space="preserve"> </w:t>
      </w:r>
      <w:r w:rsidRPr="00EA59C0">
        <w:t>accessible</w:t>
      </w:r>
      <w:r w:rsidR="00C026A6" w:rsidRPr="00EA59C0">
        <w:t xml:space="preserve"> </w:t>
      </w:r>
      <w:r w:rsidRPr="00EA59C0">
        <w:t>to</w:t>
      </w:r>
      <w:r w:rsidR="00C026A6" w:rsidRPr="00EA59C0">
        <w:t xml:space="preserve"> </w:t>
      </w:r>
      <w:r w:rsidRPr="00EA59C0">
        <w:t>and</w:t>
      </w:r>
      <w:r w:rsidR="00C026A6" w:rsidRPr="00EA59C0">
        <w:t xml:space="preserve"> </w:t>
      </w:r>
      <w:r w:rsidRPr="00EA59C0">
        <w:t>will</w:t>
      </w:r>
      <w:r w:rsidR="00C026A6" w:rsidRPr="00EA59C0">
        <w:t xml:space="preserve"> </w:t>
      </w:r>
      <w:r w:rsidRPr="00EA59C0">
        <w:t>serve</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(4</w:t>
      </w:r>
      <w:r w:rsidR="00C026A6" w:rsidRPr="00EA59C0">
        <w:t xml:space="preserve"> </w:t>
      </w:r>
      <w:r w:rsidRPr="00EA59C0">
        <w:t>points)</w:t>
      </w:r>
      <w:r w:rsidR="0087755D" w:rsidRPr="00EA59C0">
        <w:t>;</w:t>
      </w:r>
    </w:p>
    <w:p w:rsidR="00614391" w:rsidRPr="00EA59C0" w:rsidRDefault="00614391" w:rsidP="00B505EF">
      <w:pPr>
        <w:pStyle w:val="ListParagraph"/>
        <w:numPr>
          <w:ilvl w:val="4"/>
          <w:numId w:val="17"/>
        </w:numPr>
      </w:pPr>
      <w:r w:rsidRPr="00EA59C0">
        <w:t>The</w:t>
      </w:r>
      <w:r w:rsidR="00C026A6" w:rsidRPr="00EA59C0">
        <w:t xml:space="preserve"> </w:t>
      </w:r>
      <w:r w:rsidRPr="00EA59C0">
        <w:t>degree</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demonstrates</w:t>
      </w:r>
      <w:r w:rsidR="00C026A6" w:rsidRPr="00EA59C0">
        <w:t xml:space="preserve"> </w:t>
      </w:r>
      <w:r w:rsidRPr="00EA59C0">
        <w:t>a</w:t>
      </w:r>
      <w:r w:rsidR="00C026A6" w:rsidRPr="00EA59C0">
        <w:t xml:space="preserve"> </w:t>
      </w:r>
      <w:r w:rsidRPr="00EA59C0">
        <w:t>thorough</w:t>
      </w:r>
      <w:r w:rsidR="00C026A6" w:rsidRPr="00EA59C0">
        <w:t xml:space="preserve"> </w:t>
      </w:r>
      <w:r w:rsidRPr="00EA59C0">
        <w:t>understanding</w:t>
      </w:r>
      <w:r w:rsidR="00C026A6" w:rsidRPr="00EA59C0">
        <w:t xml:space="preserve"> </w:t>
      </w:r>
      <w:r w:rsidRPr="00EA59C0">
        <w:t>of</w:t>
      </w:r>
      <w:r w:rsidR="00C026A6" w:rsidRPr="00EA59C0">
        <w:t xml:space="preserve"> </w:t>
      </w:r>
      <w:r w:rsidRPr="00EA59C0">
        <w:t>the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needs</w:t>
      </w:r>
      <w:r w:rsidR="00C026A6" w:rsidRPr="00EA59C0">
        <w:t xml:space="preserve"> </w:t>
      </w:r>
      <w:r w:rsidRPr="00EA59C0">
        <w:t>of</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in</w:t>
      </w:r>
      <w:r w:rsidR="00C026A6" w:rsidRPr="00EA59C0">
        <w:t xml:space="preserve"> </w:t>
      </w:r>
      <w:r w:rsidRPr="00EA59C0">
        <w:t>the</w:t>
      </w:r>
      <w:r w:rsidR="00C026A6" w:rsidRPr="00EA59C0">
        <w:t xml:space="preserve"> </w:t>
      </w:r>
      <w:r w:rsidR="006201A5" w:rsidRPr="00EA59C0">
        <w:t>region(s</w:t>
      </w:r>
      <w:r w:rsidR="00E73EF7" w:rsidRPr="00EA59C0">
        <w:t>)</w:t>
      </w:r>
      <w:r w:rsidR="00C026A6" w:rsidRPr="00EA59C0">
        <w:t xml:space="preserve"> </w:t>
      </w:r>
      <w:r w:rsidRPr="00EA59C0">
        <w:t>to</w:t>
      </w:r>
      <w:r w:rsidR="00C026A6" w:rsidRPr="00EA59C0">
        <w:t xml:space="preserve"> </w:t>
      </w:r>
      <w:r w:rsidRPr="00EA59C0">
        <w:t>be</w:t>
      </w:r>
      <w:r w:rsidR="00C026A6" w:rsidRPr="00EA59C0">
        <w:t xml:space="preserve"> </w:t>
      </w:r>
      <w:r w:rsidRPr="00EA59C0">
        <w:t>served,</w:t>
      </w:r>
      <w:r w:rsidR="00C026A6" w:rsidRPr="00EA59C0">
        <w:t xml:space="preserve"> </w:t>
      </w:r>
      <w:r w:rsidRPr="00EA59C0">
        <w:t>including:</w:t>
      </w:r>
      <w:r w:rsidR="00C026A6" w:rsidRPr="00EA59C0">
        <w:t xml:space="preserve"> </w:t>
      </w:r>
      <w:r w:rsidRPr="00EA59C0">
        <w:t>the</w:t>
      </w:r>
      <w:r w:rsidR="00C026A6" w:rsidRPr="00EA59C0">
        <w:t xml:space="preserve"> </w:t>
      </w:r>
      <w:r w:rsidRPr="00EA59C0">
        <w:t>industry</w:t>
      </w:r>
      <w:r w:rsidR="00C026A6" w:rsidRPr="00EA59C0">
        <w:t xml:space="preserve"> </w:t>
      </w:r>
      <w:r w:rsidRPr="00EA59C0">
        <w:t>and/or</w:t>
      </w:r>
      <w:r w:rsidR="00C026A6" w:rsidRPr="00EA59C0">
        <w:t xml:space="preserve"> </w:t>
      </w:r>
      <w:r w:rsidRPr="00EA59C0">
        <w:t>occupations</w:t>
      </w:r>
      <w:r w:rsidR="00C026A6" w:rsidRPr="00EA59C0">
        <w:t xml:space="preserve"> </w:t>
      </w:r>
      <w:r w:rsidRPr="00EA59C0">
        <w:t>in</w:t>
      </w:r>
      <w:r w:rsidR="00C026A6" w:rsidRPr="00EA59C0">
        <w:t xml:space="preserve"> </w:t>
      </w:r>
      <w:r w:rsidRPr="00EA59C0">
        <w:t>which</w:t>
      </w:r>
      <w:r w:rsidR="00C026A6" w:rsidRPr="00EA59C0">
        <w:t xml:space="preserve"> </w:t>
      </w:r>
      <w:r w:rsidRPr="00EA59C0">
        <w:t>the</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are</w:t>
      </w:r>
      <w:r w:rsidR="00C026A6" w:rsidRPr="00EA59C0">
        <w:t xml:space="preserve"> </w:t>
      </w:r>
      <w:r w:rsidRPr="00EA59C0">
        <w:t>or</w:t>
      </w:r>
      <w:r w:rsidR="00C026A6" w:rsidRPr="00EA59C0">
        <w:t xml:space="preserve"> </w:t>
      </w:r>
      <w:r w:rsidRPr="00EA59C0">
        <w:t>were</w:t>
      </w:r>
      <w:r w:rsidR="00C026A6" w:rsidRPr="00EA59C0">
        <w:t xml:space="preserve"> </w:t>
      </w:r>
      <w:r w:rsidRPr="00EA59C0">
        <w:t>employed;</w:t>
      </w:r>
      <w:r w:rsidR="00C026A6" w:rsidRPr="00EA59C0">
        <w:t xml:space="preserve"> </w:t>
      </w:r>
      <w:r w:rsidRPr="00EA59C0">
        <w:t>the</w:t>
      </w:r>
      <w:r w:rsidR="00C026A6" w:rsidRPr="00EA59C0">
        <w:t xml:space="preserve"> </w:t>
      </w:r>
      <w:r w:rsidRPr="00EA59C0">
        <w:t>current</w:t>
      </w:r>
      <w:r w:rsidR="00C026A6" w:rsidRPr="00EA59C0">
        <w:t xml:space="preserve"> </w:t>
      </w:r>
      <w:r w:rsidRPr="00EA59C0">
        <w:t>level</w:t>
      </w:r>
      <w:r w:rsidR="00C026A6" w:rsidRPr="00EA59C0">
        <w:t xml:space="preserve"> </w:t>
      </w:r>
      <w:r w:rsidRPr="00EA59C0">
        <w:t>of</w:t>
      </w:r>
      <w:r w:rsidR="00C026A6" w:rsidRPr="00EA59C0">
        <w:t xml:space="preserve"> </w:t>
      </w:r>
      <w:r w:rsidRPr="00EA59C0">
        <w:t>skills</w:t>
      </w:r>
      <w:r w:rsidR="00C026A6" w:rsidRPr="00EA59C0">
        <w:t xml:space="preserve"> </w:t>
      </w:r>
      <w:r w:rsidRPr="00EA59C0">
        <w:t>and</w:t>
      </w:r>
      <w:r w:rsidR="00C026A6" w:rsidRPr="00EA59C0">
        <w:t xml:space="preserve"> </w:t>
      </w:r>
      <w:r w:rsidRPr="00EA59C0">
        <w:t>educational</w:t>
      </w:r>
      <w:r w:rsidR="00C026A6" w:rsidRPr="00EA59C0">
        <w:t xml:space="preserve"> </w:t>
      </w:r>
      <w:r w:rsidRPr="00EA59C0">
        <w:t>attainment</w:t>
      </w:r>
      <w:r w:rsidR="00C026A6" w:rsidRPr="00EA59C0">
        <w:t xml:space="preserve"> </w:t>
      </w:r>
      <w:r w:rsidRPr="00EA59C0">
        <w:t>of</w:t>
      </w:r>
      <w:r w:rsidR="00C026A6" w:rsidRPr="00EA59C0">
        <w:t xml:space="preserve"> </w:t>
      </w:r>
      <w:r w:rsidRPr="00EA59C0">
        <w:t>the</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and</w:t>
      </w:r>
      <w:r w:rsidR="00C026A6" w:rsidRPr="00EA59C0">
        <w:t xml:space="preserve"> </w:t>
      </w:r>
      <w:r w:rsidRPr="00EA59C0">
        <w:t>the</w:t>
      </w:r>
      <w:r w:rsidR="00C026A6" w:rsidRPr="00EA59C0">
        <w:t xml:space="preserve"> </w:t>
      </w:r>
      <w:r w:rsidRPr="00EA59C0">
        <w:t>additional</w:t>
      </w:r>
      <w:r w:rsidR="00C026A6" w:rsidRPr="00EA59C0">
        <w:t xml:space="preserve"> </w:t>
      </w:r>
      <w:r w:rsidRPr="00EA59C0">
        <w:t>barriers</w:t>
      </w:r>
      <w:r w:rsidR="00C026A6" w:rsidRPr="00EA59C0">
        <w:t xml:space="preserve"> </w:t>
      </w:r>
      <w:r w:rsidRPr="00EA59C0">
        <w:t>these</w:t>
      </w:r>
      <w:r w:rsidR="00C026A6" w:rsidRPr="00EA59C0">
        <w:t xml:space="preserve"> </w:t>
      </w:r>
      <w:r w:rsidRPr="00EA59C0">
        <w:t>TAA-eligible</w:t>
      </w:r>
      <w:r w:rsidR="00C026A6" w:rsidRPr="00EA59C0">
        <w:t xml:space="preserve"> </w:t>
      </w:r>
      <w:r w:rsidRPr="00EA59C0">
        <w:t>workers</w:t>
      </w:r>
      <w:r w:rsidR="00C026A6" w:rsidRPr="00EA59C0">
        <w:t xml:space="preserve"> </w:t>
      </w:r>
      <w:r w:rsidRPr="00EA59C0">
        <w:t>may</w:t>
      </w:r>
      <w:r w:rsidR="00C026A6" w:rsidRPr="00EA59C0">
        <w:t xml:space="preserve"> </w:t>
      </w:r>
      <w:r w:rsidRPr="00EA59C0">
        <w:t>face</w:t>
      </w:r>
      <w:r w:rsidR="00C026A6" w:rsidRPr="00EA59C0">
        <w:t xml:space="preserve"> </w:t>
      </w:r>
      <w:r w:rsidRPr="00EA59C0">
        <w:t>in</w:t>
      </w:r>
      <w:r w:rsidR="00C026A6" w:rsidRPr="00EA59C0">
        <w:t xml:space="preserve"> </w:t>
      </w:r>
      <w:r w:rsidRPr="00EA59C0">
        <w:t>seeking</w:t>
      </w:r>
      <w:r w:rsidR="00C026A6" w:rsidRPr="00EA59C0">
        <w:t xml:space="preserve"> </w:t>
      </w:r>
      <w:r w:rsidRPr="00EA59C0">
        <w:t>employment.</w:t>
      </w:r>
      <w:r w:rsidR="00C026A6" w:rsidRPr="00EA59C0">
        <w:t xml:space="preserve"> </w:t>
      </w:r>
      <w:r w:rsidRPr="00EA59C0">
        <w:t>(3</w:t>
      </w:r>
      <w:r w:rsidR="00C026A6" w:rsidRPr="00EA59C0">
        <w:t xml:space="preserve"> </w:t>
      </w:r>
      <w:r w:rsidRPr="00EA59C0">
        <w:t>points);</w:t>
      </w:r>
      <w:r w:rsidR="00C026A6" w:rsidRPr="00EA59C0">
        <w:t xml:space="preserve"> </w:t>
      </w:r>
      <w:r w:rsidRPr="00EA59C0">
        <w:t>and</w:t>
      </w:r>
    </w:p>
    <w:p w:rsidR="00614391" w:rsidRPr="00EA59C0" w:rsidRDefault="00614391"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demonstrates</w:t>
      </w:r>
      <w:r w:rsidR="00C026A6" w:rsidRPr="00EA59C0">
        <w:t xml:space="preserve"> </w:t>
      </w:r>
      <w:r w:rsidRPr="00EA59C0">
        <w:t>the</w:t>
      </w:r>
      <w:r w:rsidR="00C026A6" w:rsidRPr="00EA59C0">
        <w:t xml:space="preserve"> </w:t>
      </w:r>
      <w:r w:rsidRPr="00EA59C0">
        <w:t>strength</w:t>
      </w:r>
      <w:r w:rsidR="00C026A6" w:rsidRPr="00EA59C0">
        <w:t xml:space="preserve"> </w:t>
      </w:r>
      <w:r w:rsidRPr="00EA59C0">
        <w:t>of</w:t>
      </w:r>
      <w:r w:rsidR="00C026A6" w:rsidRPr="00EA59C0">
        <w:t xml:space="preserve"> </w:t>
      </w:r>
      <w:r w:rsidRPr="00EA59C0">
        <w:t>the</w:t>
      </w:r>
      <w:r w:rsidR="00C026A6" w:rsidRPr="00EA59C0">
        <w:t xml:space="preserve"> </w:t>
      </w:r>
      <w:r w:rsidRPr="00EA59C0">
        <w:t>partnerships</w:t>
      </w:r>
      <w:r w:rsidR="00C026A6" w:rsidRPr="00EA59C0">
        <w:t xml:space="preserve"> </w:t>
      </w:r>
      <w:r w:rsidRPr="00EA59C0">
        <w:t>with</w:t>
      </w:r>
      <w:r w:rsidR="00C026A6" w:rsidRPr="00EA59C0">
        <w:t xml:space="preserve"> </w:t>
      </w:r>
      <w:r w:rsidRPr="00EA59C0">
        <w:t>applicable</w:t>
      </w:r>
      <w:r w:rsidR="00C026A6" w:rsidRPr="00EA59C0">
        <w:t xml:space="preserve"> </w:t>
      </w:r>
      <w:r w:rsidR="00650E04" w:rsidRPr="00EA59C0">
        <w:t>cooperating</w:t>
      </w:r>
      <w:r w:rsidR="00C026A6" w:rsidRPr="00EA59C0">
        <w:t xml:space="preserve"> </w:t>
      </w:r>
      <w:r w:rsidR="00650E04" w:rsidRPr="00EA59C0">
        <w:t>State</w:t>
      </w:r>
      <w:r w:rsidR="00C026A6" w:rsidRPr="00EA59C0">
        <w:t xml:space="preserve"> </w:t>
      </w:r>
      <w:r w:rsidR="00650E04" w:rsidRPr="00EA59C0">
        <w:t>a</w:t>
      </w:r>
      <w:r w:rsidRPr="00EA59C0">
        <w:t>gencies</w:t>
      </w:r>
      <w:r w:rsidR="00C026A6" w:rsidRPr="00EA59C0">
        <w:t xml:space="preserve"> </w:t>
      </w:r>
      <w:r w:rsidR="00650E04" w:rsidRPr="00EA59C0">
        <w:t>that</w:t>
      </w:r>
      <w:r w:rsidR="00C026A6" w:rsidRPr="00EA59C0">
        <w:t xml:space="preserve"> </w:t>
      </w:r>
      <w:r w:rsidR="0087755D" w:rsidRPr="00EA59C0">
        <w:t>administer</w:t>
      </w:r>
      <w:r w:rsidR="00C026A6" w:rsidRPr="00EA59C0">
        <w:t xml:space="preserve"> </w:t>
      </w:r>
      <w:r w:rsidR="0087755D" w:rsidRPr="00EA59C0">
        <w:t>the</w:t>
      </w:r>
      <w:r w:rsidR="00C026A6" w:rsidRPr="00EA59C0">
        <w:t xml:space="preserve"> </w:t>
      </w:r>
      <w:r w:rsidR="00650E04" w:rsidRPr="00EA59C0">
        <w:t>TAA</w:t>
      </w:r>
      <w:r w:rsidR="00C026A6" w:rsidRPr="00EA59C0">
        <w:t xml:space="preserve"> </w:t>
      </w:r>
      <w:r w:rsidR="00650E04" w:rsidRPr="00EA59C0">
        <w:t>for</w:t>
      </w:r>
      <w:r w:rsidR="00C026A6" w:rsidRPr="00EA59C0">
        <w:t xml:space="preserve"> </w:t>
      </w:r>
      <w:r w:rsidR="00650E04" w:rsidRPr="00EA59C0">
        <w:t>Workers</w:t>
      </w:r>
      <w:r w:rsidR="00C026A6" w:rsidRPr="00EA59C0">
        <w:t xml:space="preserve"> </w:t>
      </w:r>
      <w:r w:rsidR="00650E04" w:rsidRPr="00EA59C0">
        <w:t>program</w:t>
      </w:r>
      <w:r w:rsidR="00C026A6" w:rsidRPr="00EA59C0">
        <w:t xml:space="preserve"> </w:t>
      </w:r>
      <w:r w:rsidRPr="00EA59C0">
        <w:t>in</w:t>
      </w:r>
      <w:r w:rsidR="00C026A6" w:rsidRPr="00EA59C0">
        <w:t xml:space="preserve"> </w:t>
      </w:r>
      <w:r w:rsidRPr="00EA59C0">
        <w:t>the</w:t>
      </w:r>
      <w:r w:rsidR="00C026A6" w:rsidRPr="00EA59C0">
        <w:t xml:space="preserve"> </w:t>
      </w:r>
      <w:r w:rsidR="006201A5" w:rsidRPr="00EA59C0">
        <w:t xml:space="preserve">regions </w:t>
      </w:r>
      <w:r w:rsidRPr="00EA59C0">
        <w:t>to</w:t>
      </w:r>
      <w:r w:rsidR="00C026A6" w:rsidRPr="00EA59C0">
        <w:t xml:space="preserve"> </w:t>
      </w:r>
      <w:r w:rsidRPr="00EA59C0">
        <w:t>be</w:t>
      </w:r>
      <w:r w:rsidR="00C026A6" w:rsidRPr="00EA59C0">
        <w:t xml:space="preserve"> </w:t>
      </w:r>
      <w:r w:rsidRPr="00EA59C0">
        <w:t>served.</w:t>
      </w:r>
      <w:r w:rsidR="00C026A6" w:rsidRPr="00EA59C0">
        <w:t xml:space="preserve"> </w:t>
      </w:r>
      <w:r w:rsidRPr="00EA59C0">
        <w:t>(3</w:t>
      </w:r>
      <w:r w:rsidR="00C026A6" w:rsidRPr="00EA59C0">
        <w:t xml:space="preserve"> </w:t>
      </w:r>
      <w:r w:rsidRPr="00EA59C0">
        <w:t>points).</w:t>
      </w:r>
    </w:p>
    <w:p w:rsidR="00614391" w:rsidRPr="00EA59C0" w:rsidRDefault="00614391" w:rsidP="00B505EF"/>
    <w:p w:rsidR="00A103FD" w:rsidRPr="00EA59C0" w:rsidRDefault="00A103FD" w:rsidP="00B505EF">
      <w:pPr>
        <w:pStyle w:val="ListParagraph"/>
        <w:numPr>
          <w:ilvl w:val="3"/>
          <w:numId w:val="17"/>
        </w:numPr>
        <w:rPr>
          <w:b/>
        </w:rPr>
      </w:pPr>
      <w:r w:rsidRPr="00EA59C0">
        <w:rPr>
          <w:b/>
        </w:rPr>
        <w:t>Evidence</w:t>
      </w:r>
      <w:r w:rsidR="00C026A6" w:rsidRPr="00EA59C0">
        <w:rPr>
          <w:b/>
        </w:rPr>
        <w:t xml:space="preserve"> </w:t>
      </w:r>
      <w:r w:rsidRPr="00EA59C0">
        <w:rPr>
          <w:b/>
        </w:rPr>
        <w:t>Need</w:t>
      </w:r>
      <w:r w:rsidR="00C026A6" w:rsidRPr="00EA59C0">
        <w:rPr>
          <w:b/>
        </w:rPr>
        <w:t xml:space="preserve"> </w:t>
      </w:r>
      <w:r w:rsidRPr="00EA59C0">
        <w:rPr>
          <w:b/>
        </w:rPr>
        <w:t>of</w:t>
      </w:r>
      <w:r w:rsidR="00C026A6" w:rsidRPr="00EA59C0">
        <w:rPr>
          <w:b/>
        </w:rPr>
        <w:t xml:space="preserve"> </w:t>
      </w:r>
      <w:r w:rsidRPr="00EA59C0">
        <w:rPr>
          <w:b/>
        </w:rPr>
        <w:t>Job</w:t>
      </w:r>
      <w:r w:rsidR="00C026A6" w:rsidRPr="00EA59C0">
        <w:rPr>
          <w:b/>
        </w:rPr>
        <w:t xml:space="preserve"> </w:t>
      </w:r>
      <w:r w:rsidRPr="00EA59C0">
        <w:rPr>
          <w:b/>
        </w:rPr>
        <w:t>Opportunities</w:t>
      </w:r>
      <w:r w:rsidR="00C026A6" w:rsidRPr="00EA59C0">
        <w:rPr>
          <w:b/>
        </w:rPr>
        <w:t xml:space="preserve"> </w:t>
      </w:r>
      <w:r w:rsidRPr="00EA59C0">
        <w:rPr>
          <w:b/>
        </w:rPr>
        <w:t>in</w:t>
      </w:r>
      <w:r w:rsidR="00C026A6" w:rsidRPr="00EA59C0">
        <w:rPr>
          <w:b/>
        </w:rPr>
        <w:t xml:space="preserve"> </w:t>
      </w:r>
      <w:r w:rsidRPr="00EA59C0">
        <w:rPr>
          <w:b/>
        </w:rPr>
        <w:t>the</w:t>
      </w:r>
      <w:r w:rsidR="00C026A6" w:rsidRPr="00EA59C0">
        <w:rPr>
          <w:b/>
        </w:rPr>
        <w:t xml:space="preserve"> </w:t>
      </w:r>
      <w:r w:rsidRPr="00EA59C0">
        <w:rPr>
          <w:b/>
        </w:rPr>
        <w:t>Targeted</w:t>
      </w:r>
      <w:r w:rsidR="00C026A6" w:rsidRPr="00EA59C0">
        <w:rPr>
          <w:b/>
        </w:rPr>
        <w:t xml:space="preserve"> </w:t>
      </w:r>
      <w:r w:rsidRPr="00EA59C0">
        <w:rPr>
          <w:b/>
        </w:rPr>
        <w:t>industries</w:t>
      </w:r>
      <w:r w:rsidR="00C026A6" w:rsidRPr="00EA59C0">
        <w:rPr>
          <w:b/>
        </w:rPr>
        <w:t xml:space="preserve"> </w:t>
      </w:r>
      <w:r w:rsidRPr="00EA59C0">
        <w:rPr>
          <w:b/>
        </w:rPr>
        <w:t>and</w:t>
      </w:r>
      <w:r w:rsidR="00C026A6" w:rsidRPr="00EA59C0">
        <w:rPr>
          <w:b/>
        </w:rPr>
        <w:t xml:space="preserve"> </w:t>
      </w:r>
      <w:r w:rsidRPr="00EA59C0">
        <w:rPr>
          <w:b/>
        </w:rPr>
        <w:t>Occupations</w:t>
      </w:r>
      <w:r w:rsidR="00C026A6" w:rsidRPr="00EA59C0">
        <w:rPr>
          <w:b/>
        </w:rPr>
        <w:t xml:space="preserve"> </w:t>
      </w:r>
      <w:r w:rsidRPr="00EA59C0">
        <w:rPr>
          <w:b/>
        </w:rPr>
        <w:t>(5</w:t>
      </w:r>
      <w:r w:rsidR="00C026A6" w:rsidRPr="00EA59C0">
        <w:rPr>
          <w:b/>
        </w:rPr>
        <w:t xml:space="preserve"> </w:t>
      </w:r>
      <w:r w:rsidRPr="00EA59C0">
        <w:rPr>
          <w:b/>
        </w:rPr>
        <w:t>points)</w:t>
      </w:r>
    </w:p>
    <w:p w:rsidR="0087755D" w:rsidRPr="00EA59C0" w:rsidRDefault="0087755D" w:rsidP="00B505EF">
      <w:pPr>
        <w:pStyle w:val="ListParagraph"/>
        <w:numPr>
          <w:ilvl w:val="4"/>
          <w:numId w:val="17"/>
        </w:numPr>
      </w:pPr>
      <w:r w:rsidRPr="00EA59C0">
        <w:t>T</w:t>
      </w:r>
      <w:r w:rsidR="0001525D" w:rsidRPr="00EA59C0">
        <w:t>he</w:t>
      </w:r>
      <w:r w:rsidR="00C026A6" w:rsidRPr="00EA59C0">
        <w:t xml:space="preserve"> </w:t>
      </w:r>
      <w:r w:rsidR="0001525D" w:rsidRPr="00EA59C0">
        <w:t>extent</w:t>
      </w:r>
      <w:r w:rsidR="00C026A6" w:rsidRPr="00EA59C0">
        <w:t xml:space="preserve"> </w:t>
      </w:r>
      <w:r w:rsidR="0001525D" w:rsidRPr="00EA59C0">
        <w:t>to</w:t>
      </w:r>
      <w:r w:rsidR="00C026A6" w:rsidRPr="00EA59C0">
        <w:t xml:space="preserve"> </w:t>
      </w:r>
      <w:r w:rsidR="0001525D" w:rsidRPr="00EA59C0">
        <w:t>which</w:t>
      </w:r>
      <w:r w:rsidR="00C026A6" w:rsidRPr="00EA59C0">
        <w:t xml:space="preserve"> </w:t>
      </w:r>
      <w:r w:rsidR="0001525D" w:rsidRPr="00EA59C0">
        <w:t>the</w:t>
      </w:r>
      <w:r w:rsidR="00C026A6" w:rsidRPr="00EA59C0">
        <w:t xml:space="preserve"> </w:t>
      </w:r>
      <w:r w:rsidR="0001525D" w:rsidRPr="00EA59C0">
        <w:t>labor</w:t>
      </w:r>
      <w:r w:rsidR="00C026A6" w:rsidRPr="00EA59C0">
        <w:t xml:space="preserve"> </w:t>
      </w:r>
      <w:r w:rsidR="0001525D" w:rsidRPr="00EA59C0">
        <w:t>market</w:t>
      </w:r>
      <w:r w:rsidR="00C026A6" w:rsidRPr="00EA59C0">
        <w:t xml:space="preserve"> </w:t>
      </w:r>
      <w:r w:rsidR="0001525D" w:rsidRPr="00EA59C0">
        <w:t>information</w:t>
      </w:r>
      <w:r w:rsidR="00C026A6" w:rsidRPr="00EA59C0">
        <w:t xml:space="preserve"> </w:t>
      </w:r>
      <w:r w:rsidR="0001525D" w:rsidRPr="00EA59C0">
        <w:t>provided</w:t>
      </w:r>
      <w:r w:rsidR="00C026A6" w:rsidRPr="00EA59C0">
        <w:t xml:space="preserve"> </w:t>
      </w:r>
      <w:r w:rsidR="0001525D" w:rsidRPr="00EA59C0">
        <w:t>by</w:t>
      </w:r>
      <w:r w:rsidR="00C026A6" w:rsidRPr="00EA59C0">
        <w:t xml:space="preserve"> </w:t>
      </w:r>
      <w:r w:rsidR="0001525D" w:rsidRPr="00EA59C0">
        <w:t>the</w:t>
      </w:r>
      <w:r w:rsidR="00C026A6" w:rsidRPr="00EA59C0">
        <w:t xml:space="preserve"> </w:t>
      </w:r>
      <w:r w:rsidR="0001525D" w:rsidRPr="00EA59C0">
        <w:t>applicant</w:t>
      </w:r>
      <w:r w:rsidR="00C026A6" w:rsidRPr="00EA59C0">
        <w:t xml:space="preserve"> </w:t>
      </w:r>
      <w:r w:rsidR="0001525D" w:rsidRPr="00EA59C0">
        <w:t>is</w:t>
      </w:r>
      <w:r w:rsidR="00C026A6" w:rsidRPr="00EA59C0">
        <w:t xml:space="preserve"> </w:t>
      </w:r>
      <w:r w:rsidR="0001525D" w:rsidRPr="00EA59C0">
        <w:t>accurate</w:t>
      </w:r>
      <w:r w:rsidR="00C026A6" w:rsidRPr="00EA59C0">
        <w:t xml:space="preserve"> </w:t>
      </w:r>
      <w:r w:rsidR="0001525D" w:rsidRPr="00EA59C0">
        <w:t>and</w:t>
      </w:r>
      <w:r w:rsidR="00C026A6" w:rsidRPr="00EA59C0">
        <w:t xml:space="preserve"> </w:t>
      </w:r>
      <w:r w:rsidR="0001525D" w:rsidRPr="00EA59C0">
        <w:t>timely,</w:t>
      </w:r>
      <w:r w:rsidR="00C026A6" w:rsidRPr="00EA59C0">
        <w:t xml:space="preserve"> </w:t>
      </w:r>
      <w:r w:rsidR="0001525D" w:rsidRPr="00EA59C0">
        <w:t>matches</w:t>
      </w:r>
      <w:r w:rsidR="00C026A6" w:rsidRPr="00EA59C0">
        <w:t xml:space="preserve"> </w:t>
      </w:r>
      <w:r w:rsidR="0001525D" w:rsidRPr="00EA59C0">
        <w:t>the</w:t>
      </w:r>
      <w:r w:rsidR="00C026A6" w:rsidRPr="00EA59C0">
        <w:t xml:space="preserve"> </w:t>
      </w:r>
      <w:r w:rsidR="0001525D" w:rsidRPr="00EA59C0">
        <w:t>geographical</w:t>
      </w:r>
      <w:r w:rsidR="00C026A6" w:rsidRPr="00EA59C0">
        <w:t xml:space="preserve"> </w:t>
      </w:r>
      <w:r w:rsidR="0001525D" w:rsidRPr="00EA59C0">
        <w:t>scope</w:t>
      </w:r>
      <w:r w:rsidR="00C026A6" w:rsidRPr="00EA59C0">
        <w:t xml:space="preserve"> </w:t>
      </w:r>
      <w:r w:rsidR="0001525D" w:rsidRPr="00EA59C0">
        <w:t>of</w:t>
      </w:r>
      <w:r w:rsidR="00C026A6" w:rsidRPr="00EA59C0">
        <w:t xml:space="preserve"> </w:t>
      </w:r>
      <w:r w:rsidR="0001525D" w:rsidRPr="00EA59C0">
        <w:t>the</w:t>
      </w:r>
      <w:r w:rsidR="00C026A6" w:rsidRPr="00EA59C0">
        <w:t xml:space="preserve"> </w:t>
      </w:r>
      <w:r w:rsidR="0001525D" w:rsidRPr="00EA59C0">
        <w:t>project,</w:t>
      </w:r>
      <w:r w:rsidR="00C026A6" w:rsidRPr="00EA59C0">
        <w:t xml:space="preserve"> </w:t>
      </w:r>
      <w:r w:rsidR="0001525D" w:rsidRPr="00EA59C0">
        <w:t>and</w:t>
      </w:r>
      <w:r w:rsidR="00C026A6" w:rsidRPr="00EA59C0">
        <w:t xml:space="preserve"> </w:t>
      </w:r>
      <w:r w:rsidR="0001525D" w:rsidRPr="00EA59C0">
        <w:t>indicates</w:t>
      </w:r>
      <w:r w:rsidR="00C026A6" w:rsidRPr="00EA59C0">
        <w:t xml:space="preserve"> </w:t>
      </w:r>
      <w:r w:rsidR="0001525D" w:rsidRPr="00EA59C0">
        <w:t>a</w:t>
      </w:r>
      <w:r w:rsidR="00C026A6" w:rsidRPr="00EA59C0">
        <w:t xml:space="preserve"> </w:t>
      </w:r>
      <w:r w:rsidR="0001525D" w:rsidRPr="00EA59C0">
        <w:t>projected</w:t>
      </w:r>
      <w:r w:rsidR="00C026A6" w:rsidRPr="00EA59C0">
        <w:t xml:space="preserve"> </w:t>
      </w:r>
      <w:r w:rsidR="0001525D" w:rsidRPr="00EA59C0">
        <w:t>demand</w:t>
      </w:r>
      <w:r w:rsidR="00C026A6" w:rsidRPr="00EA59C0">
        <w:t xml:space="preserve"> </w:t>
      </w:r>
      <w:r w:rsidR="0001525D" w:rsidRPr="00EA59C0">
        <w:t>for</w:t>
      </w:r>
      <w:r w:rsidR="00C026A6" w:rsidRPr="00EA59C0">
        <w:t xml:space="preserve"> </w:t>
      </w:r>
      <w:r w:rsidR="0001525D" w:rsidRPr="00EA59C0">
        <w:t>job</w:t>
      </w:r>
      <w:r w:rsidR="00C026A6" w:rsidRPr="00EA59C0">
        <w:t xml:space="preserve"> </w:t>
      </w:r>
      <w:r w:rsidR="0001525D" w:rsidRPr="00EA59C0">
        <w:t>opportunities</w:t>
      </w:r>
      <w:r w:rsidR="00C026A6" w:rsidRPr="00EA59C0">
        <w:t xml:space="preserve"> </w:t>
      </w:r>
      <w:r w:rsidR="0001525D" w:rsidRPr="00EA59C0">
        <w:t>in</w:t>
      </w:r>
      <w:r w:rsidR="00C026A6" w:rsidRPr="00EA59C0">
        <w:t xml:space="preserve"> </w:t>
      </w:r>
      <w:r w:rsidR="0001525D" w:rsidRPr="00EA59C0">
        <w:t>each</w:t>
      </w:r>
      <w:r w:rsidR="00C026A6" w:rsidRPr="00EA59C0">
        <w:t xml:space="preserve"> </w:t>
      </w:r>
      <w:r w:rsidR="0001525D" w:rsidRPr="00EA59C0">
        <w:t>targeted</w:t>
      </w:r>
      <w:r w:rsidR="00C026A6" w:rsidRPr="00EA59C0">
        <w:t xml:space="preserve"> </w:t>
      </w:r>
      <w:r w:rsidR="0001525D" w:rsidRPr="00EA59C0">
        <w:t>industry</w:t>
      </w:r>
      <w:r w:rsidR="00C026A6" w:rsidRPr="00EA59C0">
        <w:t xml:space="preserve"> </w:t>
      </w:r>
      <w:r w:rsidR="0001525D" w:rsidRPr="00EA59C0">
        <w:t>and</w:t>
      </w:r>
      <w:r w:rsidR="00C026A6" w:rsidRPr="00EA59C0">
        <w:t xml:space="preserve"> </w:t>
      </w:r>
      <w:r w:rsidR="0001525D" w:rsidRPr="00EA59C0">
        <w:t>occupation</w:t>
      </w:r>
      <w:r w:rsidR="00C026A6" w:rsidRPr="00EA59C0">
        <w:t xml:space="preserve"> </w:t>
      </w:r>
      <w:r w:rsidR="0001525D" w:rsidRPr="00EA59C0">
        <w:t>in</w:t>
      </w:r>
      <w:r w:rsidR="00C026A6" w:rsidRPr="00EA59C0">
        <w:t xml:space="preserve"> </w:t>
      </w:r>
      <w:r w:rsidR="0001525D" w:rsidRPr="00EA59C0">
        <w:t>the</w:t>
      </w:r>
      <w:r w:rsidR="00C026A6" w:rsidRPr="00EA59C0">
        <w:t xml:space="preserve"> </w:t>
      </w:r>
      <w:r w:rsidR="006201A5" w:rsidRPr="00EA59C0">
        <w:t xml:space="preserve">region(s) </w:t>
      </w:r>
      <w:r w:rsidR="0001525D" w:rsidRPr="00EA59C0">
        <w:t>to</w:t>
      </w:r>
      <w:r w:rsidR="00C026A6" w:rsidRPr="00EA59C0">
        <w:t xml:space="preserve"> </w:t>
      </w:r>
      <w:r w:rsidR="0001525D" w:rsidRPr="00EA59C0">
        <w:t>be</w:t>
      </w:r>
      <w:r w:rsidR="00C026A6" w:rsidRPr="00EA59C0">
        <w:t xml:space="preserve"> </w:t>
      </w:r>
      <w:r w:rsidR="0001525D" w:rsidRPr="00EA59C0">
        <w:t>served.</w:t>
      </w:r>
      <w:r w:rsidR="00C026A6" w:rsidRPr="00EA59C0">
        <w:t xml:space="preserve"> </w:t>
      </w:r>
      <w:r w:rsidR="0001525D" w:rsidRPr="00EA59C0">
        <w:t>(3</w:t>
      </w:r>
      <w:r w:rsidR="00C026A6" w:rsidRPr="00EA59C0">
        <w:t xml:space="preserve"> </w:t>
      </w:r>
      <w:r w:rsidR="0001525D" w:rsidRPr="00EA59C0">
        <w:t>points);</w:t>
      </w:r>
      <w:r w:rsidR="00C026A6" w:rsidRPr="00EA59C0">
        <w:t xml:space="preserve"> </w:t>
      </w:r>
      <w:r w:rsidR="0001525D" w:rsidRPr="00EA59C0">
        <w:t>and</w:t>
      </w:r>
    </w:p>
    <w:p w:rsidR="0001525D" w:rsidRPr="00EA59C0" w:rsidRDefault="0001525D"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demonstrates</w:t>
      </w:r>
      <w:r w:rsidR="00C026A6" w:rsidRPr="00EA59C0">
        <w:t xml:space="preserve"> </w:t>
      </w:r>
      <w:r w:rsidRPr="00EA59C0">
        <w:t>an</w:t>
      </w:r>
      <w:r w:rsidR="00C026A6" w:rsidRPr="00EA59C0">
        <w:t xml:space="preserve"> </w:t>
      </w:r>
      <w:r w:rsidRPr="00EA59C0">
        <w:t>understanding</w:t>
      </w:r>
      <w:r w:rsidR="00C026A6" w:rsidRPr="00EA59C0">
        <w:t xml:space="preserve"> </w:t>
      </w:r>
      <w:r w:rsidRPr="00EA59C0">
        <w:t>of</w:t>
      </w:r>
      <w:r w:rsidR="00C026A6" w:rsidRPr="00EA59C0">
        <w:t xml:space="preserve"> </w:t>
      </w:r>
      <w:r w:rsidRPr="00EA59C0">
        <w:t>skills,</w:t>
      </w:r>
      <w:r w:rsidR="00C026A6" w:rsidRPr="00EA59C0">
        <w:t xml:space="preserve"> </w:t>
      </w:r>
      <w:r w:rsidRPr="00EA59C0">
        <w:t>abilities,</w:t>
      </w:r>
      <w:r w:rsidR="00C026A6" w:rsidRPr="00EA59C0">
        <w:t xml:space="preserve"> </w:t>
      </w:r>
      <w:r w:rsidRPr="00EA59C0">
        <w:t>and</w:t>
      </w:r>
      <w:r w:rsidR="00C026A6" w:rsidRPr="00EA59C0">
        <w:t xml:space="preserve"> </w:t>
      </w:r>
      <w:r w:rsidRPr="00EA59C0">
        <w:t>credentials</w:t>
      </w:r>
      <w:r w:rsidR="00C026A6" w:rsidRPr="00EA59C0">
        <w:t xml:space="preserve"> </w:t>
      </w:r>
      <w:r w:rsidRPr="00EA59C0">
        <w:t>required</w:t>
      </w:r>
      <w:r w:rsidR="00C026A6" w:rsidRPr="00EA59C0">
        <w:t xml:space="preserve"> </w:t>
      </w:r>
      <w:r w:rsidRPr="00EA59C0">
        <w:t>in</w:t>
      </w:r>
      <w:r w:rsidR="00C026A6" w:rsidRPr="00EA59C0">
        <w:t xml:space="preserve"> </w:t>
      </w:r>
      <w:r w:rsidRPr="00EA59C0">
        <w:t>the</w:t>
      </w:r>
      <w:r w:rsidR="00C026A6" w:rsidRPr="00EA59C0">
        <w:t xml:space="preserve"> </w:t>
      </w:r>
      <w:r w:rsidRPr="00EA59C0">
        <w:t>targeted</w:t>
      </w:r>
      <w:r w:rsidR="00C026A6" w:rsidRPr="00EA59C0">
        <w:t xml:space="preserve"> </w:t>
      </w:r>
      <w:r w:rsidRPr="00EA59C0">
        <w:t>industries</w:t>
      </w:r>
      <w:r w:rsidR="00C026A6" w:rsidRPr="00EA59C0">
        <w:t xml:space="preserve"> </w:t>
      </w:r>
      <w:r w:rsidRPr="00EA59C0">
        <w:t>and</w:t>
      </w:r>
      <w:r w:rsidR="00C026A6" w:rsidRPr="00EA59C0">
        <w:t xml:space="preserve"> </w:t>
      </w:r>
      <w:r w:rsidRPr="00EA59C0">
        <w:t>occupations</w:t>
      </w:r>
      <w:r w:rsidR="00C026A6" w:rsidRPr="00EA59C0">
        <w:t xml:space="preserve"> </w:t>
      </w:r>
      <w:r w:rsidRPr="00EA59C0">
        <w:t>and</w:t>
      </w:r>
      <w:r w:rsidR="00C026A6" w:rsidRPr="00EA59C0">
        <w:t xml:space="preserve"> </w:t>
      </w:r>
      <w:r w:rsidRPr="00EA59C0">
        <w:t>how</w:t>
      </w:r>
      <w:r w:rsidR="00C026A6" w:rsidRPr="00EA59C0">
        <w:t xml:space="preserve"> </w:t>
      </w:r>
      <w:r w:rsidRPr="00EA59C0">
        <w:t>the</w:t>
      </w:r>
      <w:r w:rsidR="00C026A6" w:rsidRPr="00EA59C0">
        <w:t xml:space="preserve"> </w:t>
      </w:r>
      <w:r w:rsidRPr="00EA59C0">
        <w:t>applicant</w:t>
      </w:r>
      <w:r w:rsidR="00C026A6" w:rsidRPr="00EA59C0">
        <w:t xml:space="preserve"> </w:t>
      </w:r>
      <w:r w:rsidRPr="00EA59C0">
        <w:t>will</w:t>
      </w:r>
      <w:r w:rsidR="00C026A6" w:rsidRPr="00EA59C0">
        <w:t xml:space="preserve"> </w:t>
      </w:r>
      <w:r w:rsidRPr="00EA59C0">
        <w:t>engage</w:t>
      </w:r>
      <w:r w:rsidR="00C026A6" w:rsidRPr="00EA59C0">
        <w:t xml:space="preserve"> </w:t>
      </w:r>
      <w:r w:rsidRPr="00EA59C0">
        <w:t>with</w:t>
      </w:r>
      <w:r w:rsidR="00C026A6" w:rsidRPr="00EA59C0">
        <w:t xml:space="preserve"> </w:t>
      </w:r>
      <w:r w:rsidRPr="00EA59C0">
        <w:t>employers</w:t>
      </w:r>
      <w:r w:rsidR="00C026A6" w:rsidRPr="00EA59C0">
        <w:t xml:space="preserve"> </w:t>
      </w:r>
      <w:r w:rsidRPr="00EA59C0">
        <w:t>in</w:t>
      </w:r>
      <w:r w:rsidR="00C026A6" w:rsidRPr="00EA59C0">
        <w:t xml:space="preserve"> </w:t>
      </w:r>
      <w:r w:rsidRPr="00EA59C0">
        <w:t>the</w:t>
      </w:r>
      <w:r w:rsidR="00C026A6" w:rsidRPr="00EA59C0">
        <w:t xml:space="preserve"> </w:t>
      </w:r>
      <w:r w:rsidR="006201A5" w:rsidRPr="00EA59C0">
        <w:t>region</w:t>
      </w:r>
      <w:r w:rsidR="00C026A6" w:rsidRPr="00EA59C0">
        <w:t xml:space="preserve"> </w:t>
      </w:r>
      <w:r w:rsidRPr="00EA59C0">
        <w:t>to</w:t>
      </w:r>
      <w:r w:rsidR="00C026A6" w:rsidRPr="00EA59C0">
        <w:t xml:space="preserve"> </w:t>
      </w:r>
      <w:r w:rsidRPr="00EA59C0">
        <w:t>obtain</w:t>
      </w:r>
      <w:r w:rsidR="00C026A6" w:rsidRPr="00EA59C0">
        <w:t xml:space="preserve"> </w:t>
      </w:r>
      <w:r w:rsidRPr="00EA59C0">
        <w:t>feedback</w:t>
      </w:r>
      <w:r w:rsidR="00C026A6" w:rsidRPr="00EA59C0">
        <w:t xml:space="preserve"> </w:t>
      </w:r>
      <w:r w:rsidRPr="00EA59C0">
        <w:t>on</w:t>
      </w:r>
      <w:r w:rsidR="00C026A6" w:rsidRPr="00EA59C0">
        <w:t xml:space="preserve"> </w:t>
      </w:r>
      <w:r w:rsidRPr="00EA59C0">
        <w:t>any</w:t>
      </w:r>
      <w:r w:rsidR="00C026A6" w:rsidRPr="00EA59C0">
        <w:t xml:space="preserve"> </w:t>
      </w:r>
      <w:r w:rsidRPr="00EA59C0">
        <w:t>content</w:t>
      </w:r>
      <w:r w:rsidR="00C026A6" w:rsidRPr="00EA59C0">
        <w:t xml:space="preserve"> </w:t>
      </w:r>
      <w:r w:rsidRPr="00EA59C0">
        <w:t>developed</w:t>
      </w:r>
      <w:r w:rsidR="00C026A6" w:rsidRPr="00EA59C0">
        <w:t xml:space="preserve"> </w:t>
      </w:r>
      <w:r w:rsidRPr="00EA59C0">
        <w:t>and</w:t>
      </w:r>
      <w:r w:rsidR="00C026A6" w:rsidRPr="00EA59C0">
        <w:t xml:space="preserve"> </w:t>
      </w:r>
      <w:r w:rsidRPr="00EA59C0">
        <w:t>delivered</w:t>
      </w:r>
      <w:r w:rsidR="00C026A6" w:rsidRPr="00EA59C0">
        <w:t xml:space="preserve"> </w:t>
      </w:r>
      <w:r w:rsidRPr="00EA59C0">
        <w:t>during</w:t>
      </w:r>
      <w:r w:rsidR="00C026A6" w:rsidRPr="00EA59C0">
        <w:t xml:space="preserve"> </w:t>
      </w:r>
      <w:r w:rsidRPr="00EA59C0">
        <w:t>the</w:t>
      </w:r>
      <w:r w:rsidR="00C026A6" w:rsidRPr="00EA59C0">
        <w:t xml:space="preserve"> </w:t>
      </w:r>
      <w:r w:rsidRPr="00EA59C0">
        <w:t>life</w:t>
      </w:r>
      <w:r w:rsidR="00C026A6" w:rsidRPr="00EA59C0">
        <w:t xml:space="preserve"> </w:t>
      </w:r>
      <w:r w:rsidRPr="00EA59C0">
        <w:t>of</w:t>
      </w:r>
      <w:r w:rsidR="00C026A6" w:rsidRPr="00EA59C0">
        <w:t xml:space="preserve"> </w:t>
      </w:r>
      <w:r w:rsidRPr="00EA59C0">
        <w:t>the</w:t>
      </w:r>
      <w:r w:rsidR="00C026A6" w:rsidRPr="00EA59C0">
        <w:t xml:space="preserve"> </w:t>
      </w:r>
      <w:r w:rsidRPr="00EA59C0">
        <w:t>project,</w:t>
      </w:r>
      <w:r w:rsidR="00C026A6" w:rsidRPr="00EA59C0">
        <w:t xml:space="preserve"> </w:t>
      </w:r>
      <w:r w:rsidRPr="00EA59C0">
        <w:t>and</w:t>
      </w:r>
      <w:r w:rsidR="00C026A6" w:rsidRPr="00EA59C0">
        <w:t xml:space="preserve"> </w:t>
      </w:r>
      <w:r w:rsidRPr="00EA59C0">
        <w:t>are</w:t>
      </w:r>
      <w:r w:rsidR="00C026A6" w:rsidRPr="00EA59C0">
        <w:t xml:space="preserve"> </w:t>
      </w:r>
      <w:r w:rsidRPr="00EA59C0">
        <w:t>part</w:t>
      </w:r>
      <w:r w:rsidR="00C026A6" w:rsidRPr="00EA59C0">
        <w:t xml:space="preserve"> </w:t>
      </w:r>
      <w:r w:rsidRPr="00EA59C0">
        <w:t>of</w:t>
      </w:r>
      <w:r w:rsidR="00C026A6" w:rsidRPr="00EA59C0">
        <w:t xml:space="preserve"> </w:t>
      </w:r>
      <w:r w:rsidRPr="00EA59C0">
        <w:t>a</w:t>
      </w:r>
      <w:r w:rsidR="00C026A6" w:rsidRPr="00EA59C0">
        <w:t xml:space="preserve"> </w:t>
      </w:r>
      <w:r w:rsidRPr="00EA59C0">
        <w:t>sector</w:t>
      </w:r>
      <w:r w:rsidR="00C026A6" w:rsidRPr="00EA59C0">
        <w:t xml:space="preserve"> </w:t>
      </w:r>
      <w:r w:rsidRPr="00EA59C0">
        <w:t>strategy</w:t>
      </w:r>
      <w:r w:rsidR="00C026A6" w:rsidRPr="00EA59C0">
        <w:t xml:space="preserve"> </w:t>
      </w:r>
      <w:r w:rsidR="00AF2213" w:rsidRPr="00EA59C0">
        <w:t>that</w:t>
      </w:r>
      <w:r w:rsidR="00C026A6" w:rsidRPr="00EA59C0">
        <w:t xml:space="preserve"> </w:t>
      </w:r>
      <w:r w:rsidRPr="00EA59C0">
        <w:t>demonstrates</w:t>
      </w:r>
      <w:r w:rsidR="00C026A6" w:rsidRPr="00EA59C0">
        <w:t xml:space="preserve"> </w:t>
      </w:r>
      <w:r w:rsidRPr="00EA59C0">
        <w:t>a</w:t>
      </w:r>
      <w:r w:rsidR="00C026A6" w:rsidRPr="00EA59C0">
        <w:t xml:space="preserve"> </w:t>
      </w:r>
      <w:r w:rsidRPr="00EA59C0">
        <w:t>strong</w:t>
      </w:r>
      <w:r w:rsidR="00C026A6" w:rsidRPr="00EA59C0">
        <w:t xml:space="preserve"> </w:t>
      </w:r>
      <w:r w:rsidRPr="00EA59C0">
        <w:t>understanding</w:t>
      </w:r>
      <w:r w:rsidR="00C026A6" w:rsidRPr="00EA59C0">
        <w:t xml:space="preserve"> </w:t>
      </w:r>
      <w:r w:rsidRPr="00EA59C0">
        <w:t>of</w:t>
      </w:r>
      <w:r w:rsidR="00C026A6" w:rsidRPr="00EA59C0">
        <w:t xml:space="preserve"> </w:t>
      </w:r>
      <w:r w:rsidRPr="00EA59C0">
        <w:t>sector</w:t>
      </w:r>
      <w:r w:rsidR="00C026A6" w:rsidRPr="00EA59C0">
        <w:t xml:space="preserve"> </w:t>
      </w:r>
      <w:r w:rsidRPr="00EA59C0">
        <w:t>skill</w:t>
      </w:r>
      <w:r w:rsidR="00C026A6" w:rsidRPr="00EA59C0">
        <w:t xml:space="preserve"> </w:t>
      </w:r>
      <w:r w:rsidRPr="00EA59C0">
        <w:t>needs</w:t>
      </w:r>
      <w:r w:rsidR="00C026A6" w:rsidRPr="00EA59C0">
        <w:t xml:space="preserve"> </w:t>
      </w:r>
      <w:r w:rsidRPr="00EA59C0">
        <w:t>across</w:t>
      </w:r>
      <w:r w:rsidR="00C026A6" w:rsidRPr="00EA59C0">
        <w:t xml:space="preserve"> </w:t>
      </w:r>
      <w:r w:rsidRPr="00EA59C0">
        <w:t>multiple</w:t>
      </w:r>
      <w:r w:rsidR="00C026A6" w:rsidRPr="00EA59C0">
        <w:t xml:space="preserve"> </w:t>
      </w:r>
      <w:r w:rsidRPr="00EA59C0">
        <w:t>employers.</w:t>
      </w:r>
      <w:r w:rsidR="00C026A6" w:rsidRPr="00EA59C0">
        <w:t xml:space="preserve"> </w:t>
      </w:r>
      <w:r w:rsidRPr="00EA59C0">
        <w:t>(2</w:t>
      </w:r>
      <w:r w:rsidR="00C026A6" w:rsidRPr="00EA59C0">
        <w:t xml:space="preserve"> </w:t>
      </w:r>
      <w:r w:rsidRPr="00EA59C0">
        <w:t>points)</w:t>
      </w:r>
    </w:p>
    <w:p w:rsidR="0001525D" w:rsidRPr="00EA59C0" w:rsidRDefault="0001525D" w:rsidP="00B505EF">
      <w:pPr>
        <w:pStyle w:val="ListParagraph"/>
        <w:ind w:left="1080"/>
      </w:pPr>
    </w:p>
    <w:p w:rsidR="00F90F29" w:rsidRPr="00EA59C0" w:rsidRDefault="00A103FD" w:rsidP="00B505EF">
      <w:pPr>
        <w:pStyle w:val="ListParagraph"/>
        <w:numPr>
          <w:ilvl w:val="3"/>
          <w:numId w:val="17"/>
        </w:numPr>
        <w:rPr>
          <w:b/>
        </w:rPr>
      </w:pPr>
      <w:r w:rsidRPr="00EA59C0">
        <w:rPr>
          <w:b/>
        </w:rPr>
        <w:t>Gap</w:t>
      </w:r>
      <w:r w:rsidR="00C026A6" w:rsidRPr="00EA59C0">
        <w:rPr>
          <w:b/>
        </w:rPr>
        <w:t xml:space="preserve"> </w:t>
      </w:r>
      <w:r w:rsidRPr="00EA59C0">
        <w:rPr>
          <w:b/>
        </w:rPr>
        <w:t>Analysis</w:t>
      </w:r>
      <w:r w:rsidR="00C026A6" w:rsidRPr="00EA59C0">
        <w:rPr>
          <w:b/>
        </w:rPr>
        <w:t xml:space="preserve"> </w:t>
      </w:r>
      <w:r w:rsidRPr="00EA59C0">
        <w:rPr>
          <w:b/>
        </w:rPr>
        <w:t>(5</w:t>
      </w:r>
      <w:r w:rsidR="00C026A6" w:rsidRPr="00EA59C0">
        <w:rPr>
          <w:b/>
        </w:rPr>
        <w:t xml:space="preserve"> </w:t>
      </w:r>
      <w:r w:rsidRPr="00EA59C0">
        <w:rPr>
          <w:b/>
        </w:rPr>
        <w:t>points)</w:t>
      </w:r>
    </w:p>
    <w:p w:rsidR="002E2459" w:rsidRPr="00EA59C0" w:rsidRDefault="0001525D" w:rsidP="00B505EF">
      <w:pPr>
        <w:pStyle w:val="ListParagraph"/>
        <w:numPr>
          <w:ilvl w:val="4"/>
          <w:numId w:val="17"/>
        </w:numPr>
      </w:pPr>
      <w:r w:rsidRPr="00EA59C0">
        <w:t>The</w:t>
      </w:r>
      <w:r w:rsidR="00C026A6" w:rsidRPr="00EA59C0">
        <w:t xml:space="preserve"> </w:t>
      </w:r>
      <w:r w:rsidRPr="00EA59C0">
        <w:t>comprehensiveness</w:t>
      </w:r>
      <w:r w:rsidR="00C026A6" w:rsidRPr="00EA59C0">
        <w:t xml:space="preserve"> </w:t>
      </w:r>
      <w:r w:rsidRPr="00EA59C0">
        <w:t>of</w:t>
      </w:r>
      <w:r w:rsidR="00C026A6" w:rsidRPr="00EA59C0">
        <w:t xml:space="preserve"> </w:t>
      </w:r>
      <w:r w:rsidRPr="00EA59C0">
        <w:t>the</w:t>
      </w:r>
      <w:r w:rsidR="00C026A6" w:rsidRPr="00EA59C0">
        <w:t xml:space="preserve"> </w:t>
      </w:r>
      <w:r w:rsidRPr="00EA59C0">
        <w:t>gap</w:t>
      </w:r>
      <w:r w:rsidR="00C026A6" w:rsidRPr="00EA59C0">
        <w:t xml:space="preserve"> </w:t>
      </w:r>
      <w:r w:rsidRPr="00EA59C0">
        <w:t>analyses</w:t>
      </w:r>
      <w:r w:rsidR="00C026A6" w:rsidRPr="00EA59C0">
        <w:t xml:space="preserve"> </w:t>
      </w:r>
      <w:r w:rsidRPr="00EA59C0">
        <w:t>in</w:t>
      </w:r>
      <w:r w:rsidR="00C026A6" w:rsidRPr="00EA59C0">
        <w:t xml:space="preserve"> </w:t>
      </w:r>
      <w:r w:rsidRPr="00EA59C0">
        <w:t>existing</w:t>
      </w:r>
      <w:r w:rsidR="00C026A6" w:rsidRPr="00EA59C0">
        <w:t xml:space="preserve"> </w:t>
      </w:r>
      <w:r w:rsidRPr="00EA59C0">
        <w:t>education</w:t>
      </w:r>
      <w:r w:rsidR="00C026A6" w:rsidRPr="00EA59C0">
        <w:t xml:space="preserve"> </w:t>
      </w:r>
      <w:r w:rsidRPr="00EA59C0">
        <w:t>and</w:t>
      </w:r>
      <w:r w:rsidR="00C026A6" w:rsidRPr="00EA59C0">
        <w:t xml:space="preserve"> </w:t>
      </w:r>
      <w:r w:rsidRPr="00EA59C0">
        <w:t>career</w:t>
      </w:r>
      <w:r w:rsidR="00C026A6" w:rsidRPr="00EA59C0">
        <w:t xml:space="preserve"> </w:t>
      </w:r>
      <w:r w:rsidRPr="00EA59C0">
        <w:t>training</w:t>
      </w:r>
      <w:r w:rsidR="00C026A6" w:rsidRPr="00EA59C0">
        <w:t xml:space="preserve"> </w:t>
      </w:r>
      <w:r w:rsidRPr="00EA59C0">
        <w:t>programs</w:t>
      </w:r>
      <w:r w:rsidR="00C026A6" w:rsidRPr="00EA59C0">
        <w:t xml:space="preserve"> </w:t>
      </w:r>
      <w:r w:rsidRPr="00EA59C0">
        <w:t>(including</w:t>
      </w:r>
      <w:r w:rsidR="00C026A6" w:rsidRPr="00EA59C0">
        <w:t xml:space="preserve"> </w:t>
      </w:r>
      <w:r w:rsidRPr="00EA59C0">
        <w:t>researching</w:t>
      </w:r>
      <w:r w:rsidR="00C026A6" w:rsidRPr="00EA59C0">
        <w:t xml:space="preserve"> </w:t>
      </w:r>
      <w:r w:rsidRPr="00EA59C0">
        <w:t>previously</w:t>
      </w:r>
      <w:r w:rsidR="00C026A6" w:rsidRPr="00EA59C0">
        <w:t xml:space="preserve"> </w:t>
      </w:r>
      <w:r w:rsidRPr="00EA59C0">
        <w:t>funded</w:t>
      </w:r>
      <w:r w:rsidR="00C026A6" w:rsidRPr="00EA59C0">
        <w:t xml:space="preserve"> </w:t>
      </w:r>
      <w:r w:rsidRPr="00EA59C0">
        <w:t>TAACCCT</w:t>
      </w:r>
      <w:r w:rsidR="00C026A6" w:rsidRPr="00EA59C0">
        <w:t xml:space="preserve"> </w:t>
      </w:r>
      <w:r w:rsidRPr="00EA59C0">
        <w:t>projects)</w:t>
      </w:r>
      <w:r w:rsidR="00C026A6" w:rsidRPr="00EA59C0">
        <w:t xml:space="preserve"> </w:t>
      </w:r>
      <w:r w:rsidRPr="00EA59C0">
        <w:t>and</w:t>
      </w:r>
      <w:r w:rsidR="00C026A6" w:rsidRPr="00EA59C0">
        <w:t xml:space="preserve"> </w:t>
      </w:r>
      <w:r w:rsidRPr="00EA59C0">
        <w:t>infrastructure</w:t>
      </w:r>
      <w:r w:rsidR="00C026A6" w:rsidRPr="00EA59C0">
        <w:t xml:space="preserve"> </w:t>
      </w:r>
      <w:r w:rsidR="002E2459" w:rsidRPr="00EA59C0">
        <w:t>in</w:t>
      </w:r>
      <w:r w:rsidR="00C026A6" w:rsidRPr="00EA59C0">
        <w:t xml:space="preserve"> </w:t>
      </w:r>
      <w:r w:rsidR="002E2459" w:rsidRPr="00EA59C0">
        <w:t>each</w:t>
      </w:r>
      <w:r w:rsidR="00C026A6" w:rsidRPr="00EA59C0">
        <w:t xml:space="preserve"> </w:t>
      </w:r>
      <w:r w:rsidR="006201A5" w:rsidRPr="00EA59C0">
        <w:t>region</w:t>
      </w:r>
      <w:r w:rsidR="00C026A6" w:rsidRPr="00EA59C0">
        <w:t xml:space="preserve"> </w:t>
      </w:r>
      <w:r w:rsidR="002E2459" w:rsidRPr="00EA59C0">
        <w:t>to</w:t>
      </w:r>
      <w:r w:rsidR="00C026A6" w:rsidRPr="00EA59C0">
        <w:t xml:space="preserve"> </w:t>
      </w:r>
      <w:r w:rsidR="002E2459" w:rsidRPr="00EA59C0">
        <w:t>be</w:t>
      </w:r>
      <w:r w:rsidR="00C026A6" w:rsidRPr="00EA59C0">
        <w:t xml:space="preserve"> </w:t>
      </w:r>
      <w:r w:rsidR="002E2459" w:rsidRPr="00EA59C0">
        <w:t>served</w:t>
      </w:r>
      <w:r w:rsidR="00C026A6" w:rsidRPr="00EA59C0">
        <w:t xml:space="preserve"> </w:t>
      </w:r>
      <w:r w:rsidR="002E2459" w:rsidRPr="00EA59C0">
        <w:t>(</w:t>
      </w:r>
      <w:r w:rsidR="00955FE3" w:rsidRPr="00EA59C0">
        <w:t>2</w:t>
      </w:r>
      <w:r w:rsidR="00C026A6" w:rsidRPr="00EA59C0">
        <w:t xml:space="preserve"> </w:t>
      </w:r>
      <w:r w:rsidR="002E2459" w:rsidRPr="00EA59C0">
        <w:t>points);</w:t>
      </w:r>
      <w:r w:rsidR="00C026A6" w:rsidRPr="00EA59C0">
        <w:t xml:space="preserve"> </w:t>
      </w:r>
      <w:r w:rsidR="002E2459" w:rsidRPr="00EA59C0">
        <w:t>and</w:t>
      </w:r>
    </w:p>
    <w:p w:rsidR="00A103FD" w:rsidRPr="00EA59C0" w:rsidRDefault="002E2459" w:rsidP="00B505EF">
      <w:pPr>
        <w:pStyle w:val="ListParagraph"/>
        <w:numPr>
          <w:ilvl w:val="4"/>
          <w:numId w:val="17"/>
        </w:numPr>
      </w:pPr>
      <w:r w:rsidRPr="00EA59C0">
        <w:t>T</w:t>
      </w:r>
      <w:r w:rsidR="0001525D" w:rsidRPr="00EA59C0">
        <w:t>he</w:t>
      </w:r>
      <w:r w:rsidR="00C026A6" w:rsidRPr="00EA59C0">
        <w:t xml:space="preserve"> </w:t>
      </w:r>
      <w:r w:rsidR="0001525D" w:rsidRPr="00EA59C0">
        <w:t>degree</w:t>
      </w:r>
      <w:r w:rsidR="00C026A6" w:rsidRPr="00EA59C0">
        <w:t xml:space="preserve"> </w:t>
      </w:r>
      <w:r w:rsidR="0001525D" w:rsidRPr="00EA59C0">
        <w:t>to</w:t>
      </w:r>
      <w:r w:rsidR="00C026A6" w:rsidRPr="00EA59C0">
        <w:t xml:space="preserve"> </w:t>
      </w:r>
      <w:r w:rsidR="0001525D" w:rsidRPr="00EA59C0">
        <w:t>which</w:t>
      </w:r>
      <w:r w:rsidR="00C026A6" w:rsidRPr="00EA59C0">
        <w:t xml:space="preserve"> </w:t>
      </w:r>
      <w:r w:rsidR="0001525D" w:rsidRPr="00EA59C0">
        <w:t>the</w:t>
      </w:r>
      <w:r w:rsidR="00C026A6" w:rsidRPr="00EA59C0">
        <w:t xml:space="preserve"> </w:t>
      </w:r>
      <w:r w:rsidR="0001525D" w:rsidRPr="00EA59C0">
        <w:t>applicant</w:t>
      </w:r>
      <w:r w:rsidR="00C026A6" w:rsidRPr="00EA59C0">
        <w:t xml:space="preserve"> </w:t>
      </w:r>
      <w:r w:rsidR="0001525D" w:rsidRPr="00EA59C0">
        <w:t>demonstrates</w:t>
      </w:r>
      <w:r w:rsidR="00C026A6" w:rsidRPr="00EA59C0">
        <w:t xml:space="preserve"> </w:t>
      </w:r>
      <w:r w:rsidRPr="00EA59C0">
        <w:t>how</w:t>
      </w:r>
      <w:r w:rsidR="00C026A6" w:rsidRPr="00EA59C0">
        <w:t xml:space="preserve"> </w:t>
      </w:r>
      <w:r w:rsidR="0001525D" w:rsidRPr="00EA59C0">
        <w:t>the</w:t>
      </w:r>
      <w:r w:rsidR="00C026A6" w:rsidRPr="00EA59C0">
        <w:t xml:space="preserve"> </w:t>
      </w:r>
      <w:r w:rsidR="0001525D" w:rsidRPr="00EA59C0">
        <w:t>lack</w:t>
      </w:r>
      <w:r w:rsidR="00C026A6" w:rsidRPr="00EA59C0">
        <w:t xml:space="preserve"> </w:t>
      </w:r>
      <w:r w:rsidR="0001525D" w:rsidRPr="00EA59C0">
        <w:t>of</w:t>
      </w:r>
      <w:r w:rsidR="00C026A6" w:rsidRPr="00EA59C0">
        <w:t xml:space="preserve"> </w:t>
      </w:r>
      <w:r w:rsidR="0001525D" w:rsidRPr="00EA59C0">
        <w:t>capacity</w:t>
      </w:r>
      <w:r w:rsidR="00C026A6" w:rsidRPr="00EA59C0">
        <w:t xml:space="preserve"> </w:t>
      </w:r>
      <w:r w:rsidR="0001525D" w:rsidRPr="00EA59C0">
        <w:t>impacts</w:t>
      </w:r>
      <w:r w:rsidR="00C026A6" w:rsidRPr="00EA59C0">
        <w:t xml:space="preserve"> </w:t>
      </w:r>
      <w:r w:rsidR="00AF2213" w:rsidRPr="00EA59C0">
        <w:t>their</w:t>
      </w:r>
      <w:r w:rsidR="00C026A6" w:rsidRPr="00EA59C0">
        <w:t xml:space="preserve"> </w:t>
      </w:r>
      <w:r w:rsidR="0001525D" w:rsidRPr="00EA59C0">
        <w:t>ability</w:t>
      </w:r>
      <w:r w:rsidR="00C026A6" w:rsidRPr="00EA59C0">
        <w:t xml:space="preserve"> </w:t>
      </w:r>
      <w:r w:rsidR="0001525D" w:rsidRPr="00EA59C0">
        <w:t>to</w:t>
      </w:r>
      <w:r w:rsidR="00C026A6" w:rsidRPr="00EA59C0">
        <w:t xml:space="preserve"> </w:t>
      </w:r>
      <w:r w:rsidR="0001525D" w:rsidRPr="00EA59C0">
        <w:t>serve</w:t>
      </w:r>
      <w:r w:rsidR="00C026A6" w:rsidRPr="00EA59C0">
        <w:t xml:space="preserve"> </w:t>
      </w:r>
      <w:r w:rsidR="0001525D" w:rsidRPr="00EA59C0">
        <w:t>TAA-eligible</w:t>
      </w:r>
      <w:r w:rsidR="00C026A6" w:rsidRPr="00EA59C0">
        <w:t xml:space="preserve"> </w:t>
      </w:r>
      <w:r w:rsidR="0001525D" w:rsidRPr="00EA59C0">
        <w:t>and</w:t>
      </w:r>
      <w:r w:rsidR="00C026A6" w:rsidRPr="00EA59C0">
        <w:t xml:space="preserve"> </w:t>
      </w:r>
      <w:r w:rsidR="0001525D" w:rsidRPr="00EA59C0">
        <w:t>other</w:t>
      </w:r>
      <w:r w:rsidR="00C026A6" w:rsidRPr="00EA59C0">
        <w:t xml:space="preserve"> </w:t>
      </w:r>
      <w:r w:rsidR="0001525D" w:rsidRPr="00EA59C0">
        <w:t>adults</w:t>
      </w:r>
      <w:r w:rsidR="00C026A6" w:rsidRPr="00EA59C0">
        <w:t xml:space="preserve"> </w:t>
      </w:r>
      <w:r w:rsidR="0001525D" w:rsidRPr="00EA59C0">
        <w:t>seeking</w:t>
      </w:r>
      <w:r w:rsidR="00C026A6" w:rsidRPr="00EA59C0">
        <w:t xml:space="preserve"> </w:t>
      </w:r>
      <w:r w:rsidR="0001525D" w:rsidRPr="00EA59C0">
        <w:t>education</w:t>
      </w:r>
      <w:r w:rsidR="00C026A6" w:rsidRPr="00EA59C0">
        <w:t xml:space="preserve"> </w:t>
      </w:r>
      <w:r w:rsidR="0001525D" w:rsidRPr="00EA59C0">
        <w:t>or</w:t>
      </w:r>
      <w:r w:rsidR="00C026A6" w:rsidRPr="00EA59C0">
        <w:t xml:space="preserve"> </w:t>
      </w:r>
      <w:r w:rsidR="0001525D" w:rsidRPr="00EA59C0">
        <w:t>career</w:t>
      </w:r>
      <w:r w:rsidR="00C026A6" w:rsidRPr="00EA59C0">
        <w:t xml:space="preserve"> </w:t>
      </w:r>
      <w:r w:rsidR="0001525D" w:rsidRPr="00EA59C0">
        <w:t>training</w:t>
      </w:r>
      <w:r w:rsidR="00C026A6" w:rsidRPr="00EA59C0">
        <w:t xml:space="preserve"> </w:t>
      </w:r>
      <w:r w:rsidR="0001525D" w:rsidRPr="00EA59C0">
        <w:t>in</w:t>
      </w:r>
      <w:r w:rsidR="00C026A6" w:rsidRPr="00EA59C0">
        <w:t xml:space="preserve"> </w:t>
      </w:r>
      <w:r w:rsidR="0001525D" w:rsidRPr="00EA59C0">
        <w:t>the</w:t>
      </w:r>
      <w:r w:rsidR="00C026A6" w:rsidRPr="00EA59C0">
        <w:t xml:space="preserve"> </w:t>
      </w:r>
      <w:r w:rsidR="006201A5" w:rsidRPr="00EA59C0">
        <w:t>region(s)</w:t>
      </w:r>
      <w:r w:rsidR="00C026A6" w:rsidRPr="00EA59C0">
        <w:t xml:space="preserve"> </w:t>
      </w:r>
      <w:r w:rsidR="0001525D" w:rsidRPr="00EA59C0">
        <w:t>to</w:t>
      </w:r>
      <w:r w:rsidR="00C026A6" w:rsidRPr="00EA59C0">
        <w:t xml:space="preserve"> </w:t>
      </w:r>
      <w:r w:rsidR="0001525D" w:rsidRPr="00EA59C0">
        <w:t>be</w:t>
      </w:r>
      <w:r w:rsidR="00C026A6" w:rsidRPr="00EA59C0">
        <w:t xml:space="preserve"> </w:t>
      </w:r>
      <w:r w:rsidR="0001525D" w:rsidRPr="00EA59C0">
        <w:t>served.</w:t>
      </w:r>
      <w:r w:rsidR="00C026A6" w:rsidRPr="00EA59C0">
        <w:t xml:space="preserve">  </w:t>
      </w:r>
      <w:r w:rsidR="0001525D" w:rsidRPr="00EA59C0">
        <w:t>(</w:t>
      </w:r>
      <w:r w:rsidR="00955FE3" w:rsidRPr="00EA59C0">
        <w:t>3</w:t>
      </w:r>
      <w:r w:rsidR="00C026A6" w:rsidRPr="00EA59C0">
        <w:t xml:space="preserve"> </w:t>
      </w:r>
      <w:r w:rsidR="0001525D" w:rsidRPr="00EA59C0">
        <w:t>points)</w:t>
      </w:r>
    </w:p>
    <w:p w:rsidR="0001525D" w:rsidRPr="00EA59C0" w:rsidRDefault="0001525D" w:rsidP="00B505EF">
      <w:pPr>
        <w:pStyle w:val="ListParagraph"/>
        <w:ind w:left="360"/>
        <w:rPr>
          <w:b/>
        </w:rPr>
      </w:pPr>
    </w:p>
    <w:p w:rsidR="00144DF0" w:rsidRPr="00EA59C0" w:rsidRDefault="00A103FD" w:rsidP="00B505EF">
      <w:pPr>
        <w:pStyle w:val="ListParagraph"/>
        <w:numPr>
          <w:ilvl w:val="2"/>
          <w:numId w:val="17"/>
        </w:numPr>
        <w:rPr>
          <w:b/>
        </w:rPr>
      </w:pPr>
      <w:r w:rsidRPr="00EA59C0">
        <w:rPr>
          <w:b/>
        </w:rPr>
        <w:t>Methodology</w:t>
      </w:r>
      <w:r w:rsidR="00C026A6" w:rsidRPr="00EA59C0">
        <w:rPr>
          <w:b/>
        </w:rPr>
        <w:t xml:space="preserve"> </w:t>
      </w:r>
      <w:r w:rsidRPr="00EA59C0">
        <w:rPr>
          <w:b/>
        </w:rPr>
        <w:t>and</w:t>
      </w:r>
      <w:r w:rsidR="00C026A6" w:rsidRPr="00EA59C0">
        <w:rPr>
          <w:b/>
        </w:rPr>
        <w:t xml:space="preserve"> </w:t>
      </w:r>
      <w:r w:rsidRPr="00EA59C0">
        <w:rPr>
          <w:b/>
        </w:rPr>
        <w:t>Workplan</w:t>
      </w:r>
      <w:r w:rsidR="00C026A6" w:rsidRPr="00EA59C0">
        <w:rPr>
          <w:b/>
        </w:rPr>
        <w:t xml:space="preserve"> </w:t>
      </w:r>
      <w:r w:rsidR="00D81847" w:rsidRPr="00EA59C0">
        <w:rPr>
          <w:b/>
        </w:rPr>
        <w:t>(</w:t>
      </w:r>
      <w:r w:rsidR="00F90F29" w:rsidRPr="00EA59C0">
        <w:rPr>
          <w:b/>
        </w:rPr>
        <w:t>5</w:t>
      </w:r>
      <w:r w:rsidR="00003E29" w:rsidRPr="00EA59C0">
        <w:rPr>
          <w:b/>
        </w:rPr>
        <w:t>5</w:t>
      </w:r>
      <w:r w:rsidR="00C026A6" w:rsidRPr="00EA59C0">
        <w:rPr>
          <w:b/>
        </w:rPr>
        <w:t xml:space="preserve"> </w:t>
      </w:r>
      <w:r w:rsidR="00D81847" w:rsidRPr="00EA59C0">
        <w:rPr>
          <w:b/>
        </w:rPr>
        <w:t>points)</w:t>
      </w:r>
    </w:p>
    <w:p w:rsidR="00DE5C85" w:rsidRPr="00EA59C0" w:rsidRDefault="00DE5C85" w:rsidP="00B505EF">
      <w:pPr>
        <w:pStyle w:val="ListParagraph"/>
        <w:ind w:left="1080"/>
      </w:pPr>
      <w:r w:rsidRPr="00EA59C0">
        <w:t>Reviewers</w:t>
      </w:r>
      <w:r w:rsidR="00C026A6" w:rsidRPr="00EA59C0">
        <w:t xml:space="preserve"> </w:t>
      </w:r>
      <w:r w:rsidRPr="00EA59C0">
        <w:t>will</w:t>
      </w:r>
      <w:r w:rsidR="00C026A6" w:rsidRPr="00EA59C0">
        <w:t xml:space="preserve"> </w:t>
      </w:r>
      <w:r w:rsidRPr="00EA59C0">
        <w:t>award</w:t>
      </w:r>
      <w:r w:rsidR="00C026A6" w:rsidRPr="00EA59C0">
        <w:t xml:space="preserve"> </w:t>
      </w:r>
      <w:r w:rsidRPr="00EA59C0">
        <w:t>points</w:t>
      </w:r>
      <w:r w:rsidR="00C026A6" w:rsidRPr="00EA59C0">
        <w:t xml:space="preserve"> </w:t>
      </w:r>
      <w:r w:rsidRPr="00EA59C0">
        <w:t>based</w:t>
      </w:r>
      <w:r w:rsidR="00C026A6" w:rsidRPr="00EA59C0">
        <w:t xml:space="preserve"> </w:t>
      </w:r>
      <w:r w:rsidRPr="00EA59C0">
        <w:t>on</w:t>
      </w:r>
      <w:r w:rsidR="00C026A6" w:rsidRPr="00EA59C0">
        <w:t xml:space="preserve"> </w:t>
      </w: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applicants</w:t>
      </w:r>
      <w:r w:rsidR="00C026A6" w:rsidRPr="00EA59C0">
        <w:t xml:space="preserve"> </w:t>
      </w:r>
      <w:r w:rsidRPr="00EA59C0">
        <w:t>demonstrate</w:t>
      </w:r>
      <w:r w:rsidR="00C026A6" w:rsidRPr="00EA59C0">
        <w:t xml:space="preserve"> </w:t>
      </w:r>
      <w:r w:rsidRPr="00EA59C0">
        <w:t>a</w:t>
      </w:r>
      <w:r w:rsidR="00C026A6" w:rsidRPr="00EA59C0">
        <w:t xml:space="preserve"> </w:t>
      </w:r>
      <w:r w:rsidRPr="00EA59C0">
        <w:t>complete</w:t>
      </w:r>
      <w:r w:rsidR="00C026A6" w:rsidRPr="00EA59C0">
        <w:t xml:space="preserve"> </w:t>
      </w:r>
      <w:r w:rsidRPr="00EA59C0">
        <w:t>and</w:t>
      </w:r>
      <w:r w:rsidR="00C026A6" w:rsidRPr="00EA59C0">
        <w:t xml:space="preserve"> </w:t>
      </w:r>
      <w:r w:rsidRPr="00EA59C0">
        <w:t>clear</w:t>
      </w:r>
      <w:r w:rsidR="00C026A6" w:rsidRPr="00EA59C0">
        <w:t xml:space="preserve"> </w:t>
      </w:r>
      <w:r w:rsidRPr="00EA59C0">
        <w:t>understanding</w:t>
      </w:r>
      <w:r w:rsidR="00C026A6" w:rsidRPr="00EA59C0">
        <w:t xml:space="preserve"> </w:t>
      </w:r>
      <w:r w:rsidRPr="00EA59C0">
        <w:t>of</w:t>
      </w:r>
      <w:r w:rsidR="00C026A6" w:rsidRPr="00EA59C0">
        <w:t xml:space="preserve"> </w:t>
      </w:r>
      <w:r w:rsidRPr="00EA59C0">
        <w:t>the</w:t>
      </w:r>
      <w:r w:rsidR="00C026A6" w:rsidRPr="00EA59C0">
        <w:t xml:space="preserve"> </w:t>
      </w:r>
      <w:r w:rsidRPr="00EA59C0">
        <w:t>proposed</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strategies,</w:t>
      </w:r>
      <w:r w:rsidR="00C026A6" w:rsidRPr="00EA59C0">
        <w:t xml:space="preserve"> </w:t>
      </w:r>
      <w:r w:rsidRPr="00EA59C0">
        <w:t>including</w:t>
      </w:r>
      <w:r w:rsidR="00C026A6" w:rsidRPr="00EA59C0">
        <w:t xml:space="preserve"> </w:t>
      </w:r>
      <w:r w:rsidRPr="00EA59C0">
        <w:t>the</w:t>
      </w:r>
      <w:r w:rsidR="00C026A6" w:rsidRPr="00EA59C0">
        <w:t xml:space="preserve"> </w:t>
      </w:r>
      <w:r w:rsidRPr="00EA59C0">
        <w:t>research</w:t>
      </w:r>
      <w:r w:rsidR="00C026A6" w:rsidRPr="00EA59C0">
        <w:t xml:space="preserve"> </w:t>
      </w:r>
      <w:r w:rsidRPr="00EA59C0">
        <w:t>and</w:t>
      </w:r>
      <w:r w:rsidR="00C026A6" w:rsidRPr="00EA59C0">
        <w:t xml:space="preserve"> </w:t>
      </w:r>
      <w:r w:rsidRPr="00EA59C0">
        <w:t>evidence</w:t>
      </w:r>
      <w:r w:rsidR="00C026A6" w:rsidRPr="00EA59C0">
        <w:t xml:space="preserve"> </w:t>
      </w:r>
      <w:r w:rsidRPr="00EA59C0">
        <w:t>on</w:t>
      </w:r>
      <w:r w:rsidR="00C026A6" w:rsidRPr="00EA59C0">
        <w:t xml:space="preserve"> </w:t>
      </w:r>
      <w:r w:rsidRPr="00EA59C0">
        <w:t>which</w:t>
      </w:r>
      <w:r w:rsidR="00C026A6" w:rsidRPr="00EA59C0">
        <w:t xml:space="preserve"> </w:t>
      </w:r>
      <w:r w:rsidRPr="00EA59C0">
        <w:t>those</w:t>
      </w:r>
      <w:r w:rsidR="00C026A6" w:rsidRPr="00EA59C0">
        <w:t xml:space="preserve"> </w:t>
      </w:r>
      <w:r w:rsidRPr="00EA59C0">
        <w:t>strategies</w:t>
      </w:r>
      <w:r w:rsidR="00C026A6" w:rsidRPr="00EA59C0">
        <w:t xml:space="preserve"> </w:t>
      </w:r>
      <w:r w:rsidRPr="00EA59C0">
        <w:t>are</w:t>
      </w:r>
      <w:r w:rsidR="00C026A6" w:rsidRPr="00EA59C0">
        <w:t xml:space="preserve"> </w:t>
      </w:r>
      <w:r w:rsidRPr="00EA59C0">
        <w:t>based,</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how</w:t>
      </w:r>
      <w:r w:rsidR="00C026A6" w:rsidRPr="00EA59C0">
        <w:t xml:space="preserve"> </w:t>
      </w:r>
      <w:r w:rsidRPr="00EA59C0">
        <w:t>the</w:t>
      </w:r>
      <w:r w:rsidR="00C026A6" w:rsidRPr="00EA59C0">
        <w:t xml:space="preserve"> </w:t>
      </w:r>
      <w:r w:rsidRPr="00EA59C0">
        <w:t>proposed</w:t>
      </w:r>
      <w:r w:rsidR="00C026A6" w:rsidRPr="00EA59C0">
        <w:t xml:space="preserve"> </w:t>
      </w:r>
      <w:r w:rsidRPr="00EA59C0">
        <w:t>strategies</w:t>
      </w:r>
      <w:r w:rsidR="00C026A6" w:rsidRPr="00EA59C0">
        <w:t xml:space="preserve"> </w:t>
      </w:r>
      <w:r w:rsidRPr="00EA59C0">
        <w:t>incorporate</w:t>
      </w:r>
      <w:r w:rsidR="00C026A6" w:rsidRPr="00EA59C0">
        <w:t xml:space="preserve"> </w:t>
      </w:r>
      <w:r w:rsidRPr="00EA59C0">
        <w:t>the</w:t>
      </w:r>
      <w:r w:rsidR="00C026A6" w:rsidRPr="00EA59C0">
        <w:t xml:space="preserve"> </w:t>
      </w:r>
      <w:r w:rsidRPr="00EA59C0">
        <w:t>Core</w:t>
      </w:r>
      <w:r w:rsidR="00C026A6" w:rsidRPr="00EA59C0">
        <w:t xml:space="preserve"> </w:t>
      </w:r>
      <w:r w:rsidRPr="00EA59C0">
        <w:t>Elements</w:t>
      </w:r>
      <w:r w:rsidR="00C026A6" w:rsidRPr="00EA59C0">
        <w:t xml:space="preserve"> </w:t>
      </w:r>
      <w:r w:rsidRPr="00EA59C0">
        <w:t>described</w:t>
      </w:r>
      <w:r w:rsidR="00C026A6" w:rsidRPr="00EA59C0">
        <w:t xml:space="preserve"> </w:t>
      </w:r>
      <w:r w:rsidRPr="00EA59C0">
        <w:t>in</w:t>
      </w:r>
      <w:r w:rsidR="00C026A6" w:rsidRPr="00EA59C0">
        <w:t xml:space="preserve"> </w:t>
      </w:r>
      <w:r w:rsidRPr="00EA59C0">
        <w:t>Section</w:t>
      </w:r>
      <w:r w:rsidR="00C026A6" w:rsidRPr="00EA59C0">
        <w:t xml:space="preserve"> </w:t>
      </w:r>
      <w:r w:rsidRPr="00EA59C0">
        <w:t>I.B.</w:t>
      </w:r>
      <w:r w:rsidR="00C026A6" w:rsidRPr="00EA59C0">
        <w:t xml:space="preserve">  </w:t>
      </w:r>
      <w:r w:rsidRPr="00EA59C0">
        <w:t>In</w:t>
      </w:r>
      <w:r w:rsidR="00C026A6" w:rsidRPr="00EA59C0">
        <w:t xml:space="preserve"> </w:t>
      </w:r>
      <w:r w:rsidRPr="00EA59C0">
        <w:t>addition,</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demonstrate</w:t>
      </w:r>
      <w:r w:rsidR="00C026A6" w:rsidRPr="00EA59C0">
        <w:t xml:space="preserve"> </w:t>
      </w:r>
      <w:r w:rsidRPr="00EA59C0">
        <w:t>a</w:t>
      </w:r>
      <w:r w:rsidR="00C026A6" w:rsidRPr="00EA59C0">
        <w:t xml:space="preserve"> </w:t>
      </w:r>
      <w:r w:rsidRPr="00EA59C0">
        <w:t>cohesive,</w:t>
      </w:r>
      <w:r w:rsidR="00C026A6" w:rsidRPr="00EA59C0">
        <w:t xml:space="preserve"> </w:t>
      </w:r>
      <w:r w:rsidRPr="00EA59C0">
        <w:t>well-designed</w:t>
      </w:r>
      <w:r w:rsidR="00C026A6" w:rsidRPr="00EA59C0">
        <w:t xml:space="preserve"> </w:t>
      </w:r>
      <w:r w:rsidRPr="00EA59C0">
        <w:t>approach</w:t>
      </w:r>
      <w:r w:rsidR="00C026A6" w:rsidRPr="00EA59C0">
        <w:t xml:space="preserve"> </w:t>
      </w:r>
      <w:r w:rsidRPr="00EA59C0">
        <w:t>to</w:t>
      </w:r>
      <w:r w:rsidR="00C026A6" w:rsidRPr="00EA59C0">
        <w:t xml:space="preserve"> </w:t>
      </w:r>
      <w:r w:rsidRPr="00EA59C0">
        <w:t>implement</w:t>
      </w:r>
      <w:r w:rsidR="00C026A6" w:rsidRPr="00EA59C0">
        <w:t xml:space="preserve"> </w:t>
      </w:r>
      <w:r w:rsidRPr="00EA59C0">
        <w:t>the</w:t>
      </w:r>
      <w:r w:rsidR="00C026A6" w:rsidRPr="00EA59C0">
        <w:t xml:space="preserve"> </w:t>
      </w:r>
      <w:r w:rsidRPr="00EA59C0">
        <w:t>project.</w:t>
      </w:r>
      <w:r w:rsidR="00C026A6" w:rsidRPr="00EA59C0">
        <w:t xml:space="preserve">  </w:t>
      </w:r>
      <w:r w:rsidRPr="00EA59C0">
        <w:t>Points</w:t>
      </w:r>
      <w:r w:rsidR="00C026A6" w:rsidRPr="00EA59C0">
        <w:t xml:space="preserve"> </w:t>
      </w:r>
      <w:r w:rsidRPr="00EA59C0">
        <w:t>for</w:t>
      </w:r>
      <w:r w:rsidR="00C026A6" w:rsidRPr="00EA59C0">
        <w:t xml:space="preserve"> </w:t>
      </w:r>
      <w:r w:rsidRPr="00EA59C0">
        <w:t>this</w:t>
      </w:r>
      <w:r w:rsidR="00C026A6" w:rsidRPr="00EA59C0">
        <w:t xml:space="preserve"> </w:t>
      </w:r>
      <w:r w:rsidRPr="00EA59C0">
        <w:t>section</w:t>
      </w:r>
      <w:r w:rsidR="00C026A6" w:rsidRPr="00EA59C0">
        <w:t xml:space="preserve"> </w:t>
      </w:r>
      <w:r w:rsidRPr="00EA59C0">
        <w:t>will</w:t>
      </w:r>
      <w:r w:rsidR="00C026A6" w:rsidRPr="00EA59C0">
        <w:t xml:space="preserve"> </w:t>
      </w:r>
      <w:r w:rsidRPr="00EA59C0">
        <w:t>be</w:t>
      </w:r>
      <w:r w:rsidR="00C026A6" w:rsidRPr="00EA59C0">
        <w:t xml:space="preserve"> </w:t>
      </w:r>
      <w:r w:rsidRPr="00EA59C0">
        <w:t>based</w:t>
      </w:r>
      <w:r w:rsidR="00C026A6" w:rsidRPr="00EA59C0">
        <w:t xml:space="preserve"> </w:t>
      </w:r>
      <w:r w:rsidRPr="00EA59C0">
        <w:t>on</w:t>
      </w:r>
      <w:r w:rsidR="00C026A6" w:rsidRPr="00EA59C0">
        <w:t xml:space="preserve"> </w:t>
      </w:r>
      <w:r w:rsidRPr="00EA59C0">
        <w:t>the</w:t>
      </w:r>
      <w:r w:rsidR="00C026A6" w:rsidRPr="00EA59C0">
        <w:t xml:space="preserve"> </w:t>
      </w:r>
      <w:r w:rsidRPr="00EA59C0">
        <w:t>following</w:t>
      </w:r>
      <w:r w:rsidR="00C026A6" w:rsidRPr="00EA59C0">
        <w:t xml:space="preserve"> </w:t>
      </w:r>
      <w:r w:rsidRPr="00EA59C0">
        <w:t>sub-criteria:</w:t>
      </w:r>
    </w:p>
    <w:p w:rsidR="00955FE3" w:rsidRPr="00EA59C0" w:rsidRDefault="00955FE3" w:rsidP="00B505EF">
      <w:pPr>
        <w:pStyle w:val="ListParagraph"/>
        <w:ind w:left="360"/>
      </w:pPr>
    </w:p>
    <w:p w:rsidR="00A103FD" w:rsidRPr="00EA59C0" w:rsidRDefault="00A103FD" w:rsidP="00B505EF">
      <w:pPr>
        <w:pStyle w:val="ListParagraph"/>
        <w:numPr>
          <w:ilvl w:val="3"/>
          <w:numId w:val="17"/>
        </w:numPr>
        <w:rPr>
          <w:b/>
        </w:rPr>
      </w:pPr>
      <w:r w:rsidRPr="00EA59C0">
        <w:rPr>
          <w:b/>
        </w:rPr>
        <w:t>Evidence-based</w:t>
      </w:r>
      <w:r w:rsidR="00C026A6" w:rsidRPr="00EA59C0">
        <w:rPr>
          <w:b/>
        </w:rPr>
        <w:t xml:space="preserve"> </w:t>
      </w:r>
      <w:r w:rsidRPr="00EA59C0">
        <w:rPr>
          <w:b/>
        </w:rPr>
        <w:t>Design</w:t>
      </w:r>
      <w:r w:rsidR="00C026A6" w:rsidRPr="00EA59C0">
        <w:rPr>
          <w:b/>
        </w:rPr>
        <w:t xml:space="preserve"> </w:t>
      </w:r>
      <w:r w:rsidR="00614391" w:rsidRPr="00EA59C0">
        <w:rPr>
          <w:b/>
        </w:rPr>
        <w:t>(8</w:t>
      </w:r>
      <w:r w:rsidR="00C026A6" w:rsidRPr="00EA59C0">
        <w:rPr>
          <w:b/>
        </w:rPr>
        <w:t xml:space="preserve"> </w:t>
      </w:r>
      <w:r w:rsidR="00614391" w:rsidRPr="00EA59C0">
        <w:rPr>
          <w:b/>
        </w:rPr>
        <w:t>points)</w:t>
      </w:r>
    </w:p>
    <w:p w:rsidR="00955FE3" w:rsidRPr="00EA59C0" w:rsidRDefault="00955FE3" w:rsidP="00B505EF">
      <w:pPr>
        <w:pStyle w:val="ListParagraph"/>
        <w:numPr>
          <w:ilvl w:val="4"/>
          <w:numId w:val="17"/>
        </w:numPr>
      </w:pPr>
      <w:r w:rsidRPr="00EA59C0">
        <w:t>The</w:t>
      </w:r>
      <w:r w:rsidR="00C026A6" w:rsidRPr="00EA59C0">
        <w:t xml:space="preserve"> </w:t>
      </w:r>
      <w:r w:rsidRPr="00EA59C0">
        <w:t>strength</w:t>
      </w:r>
      <w:r w:rsidR="00C026A6" w:rsidRPr="00EA59C0">
        <w:t xml:space="preserve"> </w:t>
      </w:r>
      <w:r w:rsidRPr="00EA59C0">
        <w:t>and</w:t>
      </w:r>
      <w:r w:rsidR="00C026A6" w:rsidRPr="00EA59C0">
        <w:t xml:space="preserve"> </w:t>
      </w:r>
      <w:r w:rsidR="00CD4908" w:rsidRPr="00EA59C0">
        <w:t>quality</w:t>
      </w:r>
      <w:r w:rsidR="00C026A6" w:rsidRPr="00EA59C0">
        <w:t xml:space="preserve"> </w:t>
      </w:r>
      <w:r w:rsidRPr="00EA59C0">
        <w:t>of</w:t>
      </w:r>
      <w:r w:rsidR="00C026A6" w:rsidRPr="00EA59C0">
        <w:t xml:space="preserve"> </w:t>
      </w:r>
      <w:r w:rsidRPr="00EA59C0">
        <w:t>the</w:t>
      </w:r>
      <w:r w:rsidR="00C026A6" w:rsidRPr="00EA59C0">
        <w:t xml:space="preserve"> </w:t>
      </w:r>
      <w:r w:rsidRPr="00EA59C0">
        <w:t>evidence</w:t>
      </w:r>
      <w:r w:rsidR="00C026A6" w:rsidRPr="00EA59C0">
        <w:t xml:space="preserve"> </w:t>
      </w:r>
      <w:r w:rsidRPr="00EA59C0">
        <w:t>cited</w:t>
      </w:r>
      <w:r w:rsidR="00C026A6" w:rsidRPr="00EA59C0">
        <w:t xml:space="preserve"> </w:t>
      </w:r>
      <w:r w:rsidRPr="00EA59C0">
        <w:t>for</w:t>
      </w:r>
      <w:r w:rsidR="00C026A6" w:rsidRPr="00EA59C0">
        <w:t xml:space="preserve"> </w:t>
      </w:r>
      <w:r w:rsidRPr="00EA59C0">
        <w:t>the</w:t>
      </w:r>
      <w:r w:rsidR="00C026A6" w:rsidRPr="00EA59C0">
        <w:t xml:space="preserve"> </w:t>
      </w:r>
      <w:r w:rsidRPr="00EA59C0">
        <w:t>specific</w:t>
      </w:r>
      <w:r w:rsidR="00C026A6" w:rsidRPr="00EA59C0">
        <w:t xml:space="preserve"> </w:t>
      </w:r>
      <w:r w:rsidRPr="00EA59C0">
        <w:t>strategies</w:t>
      </w:r>
      <w:r w:rsidR="00C026A6" w:rsidRPr="00EA59C0">
        <w:t xml:space="preserve"> </w:t>
      </w:r>
      <w:r w:rsidRPr="00EA59C0">
        <w:t>chosen</w:t>
      </w:r>
      <w:r w:rsidR="00C026A6" w:rsidRPr="00EA59C0">
        <w:t xml:space="preserve"> </w:t>
      </w:r>
      <w:r w:rsidRPr="00EA59C0">
        <w:t>by</w:t>
      </w:r>
      <w:r w:rsidR="00C026A6" w:rsidRPr="00EA59C0">
        <w:t xml:space="preserve"> </w:t>
      </w:r>
      <w:r w:rsidRPr="00EA59C0">
        <w:t>the</w:t>
      </w:r>
      <w:r w:rsidR="00C026A6" w:rsidRPr="00EA59C0">
        <w:t xml:space="preserve"> </w:t>
      </w:r>
      <w:r w:rsidRPr="00EA59C0">
        <w:t>applicant.</w:t>
      </w:r>
      <w:r w:rsidR="00C026A6" w:rsidRPr="00EA59C0">
        <w:t xml:space="preserve"> </w:t>
      </w:r>
      <w:r w:rsidRPr="00EA59C0">
        <w:t>(2</w:t>
      </w:r>
      <w:r w:rsidR="00C026A6" w:rsidRPr="00EA59C0">
        <w:t xml:space="preserve"> </w:t>
      </w:r>
      <w:r w:rsidRPr="00EA59C0">
        <w:t>Points)</w:t>
      </w:r>
    </w:p>
    <w:p w:rsidR="00955FE3" w:rsidRPr="00EA59C0" w:rsidRDefault="00955FE3" w:rsidP="00080097">
      <w:pPr>
        <w:pStyle w:val="ListParagraph"/>
        <w:numPr>
          <w:ilvl w:val="0"/>
          <w:numId w:val="29"/>
        </w:numPr>
      </w:pPr>
      <w:r w:rsidRPr="00EA59C0">
        <w:t>Applicants</w:t>
      </w:r>
      <w:r w:rsidR="00C026A6" w:rsidRPr="00EA59C0">
        <w:t xml:space="preserve"> </w:t>
      </w:r>
      <w:r w:rsidRPr="00EA59C0">
        <w:t>that</w:t>
      </w:r>
      <w:r w:rsidR="00C026A6" w:rsidRPr="00EA59C0">
        <w:t xml:space="preserve"> </w:t>
      </w:r>
      <w:r w:rsidRPr="00EA59C0">
        <w:t>cite</w:t>
      </w:r>
      <w:r w:rsidR="00C026A6" w:rsidRPr="00EA59C0">
        <w:t xml:space="preserve"> </w:t>
      </w:r>
      <w:r w:rsidRPr="00EA59C0">
        <w:t>and</w:t>
      </w:r>
      <w:r w:rsidR="00C026A6" w:rsidRPr="00EA59C0">
        <w:t xml:space="preserve"> </w:t>
      </w:r>
      <w:r w:rsidRPr="00EA59C0">
        <w:t>describe</w:t>
      </w:r>
      <w:r w:rsidR="00C026A6" w:rsidRPr="00EA59C0">
        <w:t xml:space="preserve"> </w:t>
      </w:r>
      <w:r w:rsidRPr="00EA59C0">
        <w:t>strong</w:t>
      </w:r>
      <w:r w:rsidR="00C026A6" w:rsidRPr="00EA59C0">
        <w:t xml:space="preserve"> </w:t>
      </w:r>
      <w:r w:rsidRPr="00EA59C0">
        <w:t>or</w:t>
      </w:r>
      <w:r w:rsidR="00C026A6" w:rsidRPr="00EA59C0">
        <w:t xml:space="preserve"> </w:t>
      </w:r>
      <w:r w:rsidRPr="00EA59C0">
        <w:t>moderate</w:t>
      </w:r>
      <w:r w:rsidR="00C026A6" w:rsidRPr="00EA59C0">
        <w:t xml:space="preserve"> </w:t>
      </w:r>
      <w:r w:rsidR="00FB394E" w:rsidRPr="00EA59C0">
        <w:t>evidence</w:t>
      </w:r>
      <w:r w:rsidR="00C026A6" w:rsidRPr="00EA59C0">
        <w:t xml:space="preserve"> </w:t>
      </w:r>
      <w:r w:rsidR="00FB394E" w:rsidRPr="00EA59C0">
        <w:t>will</w:t>
      </w:r>
      <w:r w:rsidR="00C026A6" w:rsidRPr="00EA59C0">
        <w:t xml:space="preserve"> </w:t>
      </w:r>
      <w:r w:rsidR="00FB394E" w:rsidRPr="00EA59C0">
        <w:t>receive</w:t>
      </w:r>
      <w:r w:rsidR="00C026A6" w:rsidRPr="00EA59C0">
        <w:t xml:space="preserve"> </w:t>
      </w:r>
      <w:r w:rsidR="00FB394E" w:rsidRPr="00EA59C0">
        <w:t>2</w:t>
      </w:r>
      <w:r w:rsidR="00C026A6" w:rsidRPr="00EA59C0">
        <w:t xml:space="preserve"> </w:t>
      </w:r>
      <w:r w:rsidR="00FB394E" w:rsidRPr="00EA59C0">
        <w:t>points;</w:t>
      </w:r>
    </w:p>
    <w:p w:rsidR="00955FE3" w:rsidRPr="00EA59C0" w:rsidRDefault="00955FE3" w:rsidP="00080097">
      <w:pPr>
        <w:pStyle w:val="ListParagraph"/>
        <w:numPr>
          <w:ilvl w:val="0"/>
          <w:numId w:val="29"/>
        </w:numPr>
      </w:pPr>
      <w:r w:rsidRPr="00EA59C0">
        <w:t>Applicants</w:t>
      </w:r>
      <w:r w:rsidR="00C026A6" w:rsidRPr="00EA59C0">
        <w:t xml:space="preserve"> </w:t>
      </w:r>
      <w:r w:rsidRPr="00EA59C0">
        <w:t>that</w:t>
      </w:r>
      <w:r w:rsidR="00C026A6" w:rsidRPr="00EA59C0">
        <w:t xml:space="preserve"> </w:t>
      </w:r>
      <w:r w:rsidRPr="00EA59C0">
        <w:t>cite</w:t>
      </w:r>
      <w:r w:rsidR="00C026A6" w:rsidRPr="00EA59C0">
        <w:t xml:space="preserve"> </w:t>
      </w:r>
      <w:r w:rsidRPr="00EA59C0">
        <w:t>and</w:t>
      </w:r>
      <w:r w:rsidR="00C026A6" w:rsidRPr="00EA59C0">
        <w:t xml:space="preserve"> </w:t>
      </w:r>
      <w:r w:rsidRPr="00EA59C0">
        <w:t>describe</w:t>
      </w:r>
      <w:r w:rsidR="00C026A6" w:rsidRPr="00EA59C0">
        <w:t xml:space="preserve"> </w:t>
      </w:r>
      <w:r w:rsidR="004D2353" w:rsidRPr="00EA59C0">
        <w:t>evidence</w:t>
      </w:r>
      <w:r w:rsidR="00C026A6" w:rsidRPr="00EA59C0">
        <w:t xml:space="preserve"> </w:t>
      </w:r>
      <w:r w:rsidR="004D2353" w:rsidRPr="00EA59C0">
        <w:t>of</w:t>
      </w:r>
      <w:r w:rsidR="00C026A6" w:rsidRPr="00EA59C0">
        <w:t xml:space="preserve"> </w:t>
      </w:r>
      <w:r w:rsidR="004D2353" w:rsidRPr="00EA59C0">
        <w:t>promise</w:t>
      </w:r>
      <w:r w:rsidR="00C026A6" w:rsidRPr="00EA59C0">
        <w:t xml:space="preserve"> </w:t>
      </w:r>
      <w:r w:rsidR="004D2353" w:rsidRPr="00EA59C0">
        <w:t>or</w:t>
      </w:r>
      <w:r w:rsidR="00C026A6" w:rsidRPr="00EA59C0">
        <w:t xml:space="preserve"> </w:t>
      </w:r>
      <w:r w:rsidR="004D2353" w:rsidRPr="00EA59C0">
        <w:t>a</w:t>
      </w:r>
      <w:r w:rsidR="00C026A6" w:rsidRPr="00EA59C0">
        <w:t xml:space="preserve"> </w:t>
      </w:r>
      <w:r w:rsidR="004D2353" w:rsidRPr="00EA59C0">
        <w:t>strong</w:t>
      </w:r>
      <w:r w:rsidR="00C026A6" w:rsidRPr="00EA59C0">
        <w:t xml:space="preserve"> </w:t>
      </w:r>
      <w:r w:rsidR="004D2353" w:rsidRPr="00EA59C0">
        <w:t>theory</w:t>
      </w:r>
      <w:r w:rsidR="00C026A6" w:rsidRPr="00EA59C0">
        <w:t xml:space="preserve"> </w:t>
      </w:r>
      <w:r w:rsidR="00FB394E" w:rsidRPr="00EA59C0">
        <w:t>will</w:t>
      </w:r>
      <w:r w:rsidR="00C026A6" w:rsidRPr="00EA59C0">
        <w:t xml:space="preserve"> </w:t>
      </w:r>
      <w:r w:rsidR="00FB394E" w:rsidRPr="00EA59C0">
        <w:t>receive</w:t>
      </w:r>
      <w:r w:rsidR="00C026A6" w:rsidRPr="00EA59C0">
        <w:t xml:space="preserve"> </w:t>
      </w:r>
      <w:r w:rsidR="00FB394E" w:rsidRPr="00EA59C0">
        <w:t>1</w:t>
      </w:r>
      <w:r w:rsidR="00C026A6" w:rsidRPr="00EA59C0">
        <w:t xml:space="preserve"> </w:t>
      </w:r>
      <w:r w:rsidR="00FB394E" w:rsidRPr="00EA59C0">
        <w:t>point;</w:t>
      </w:r>
      <w:r w:rsidR="00C026A6" w:rsidRPr="00EA59C0">
        <w:t xml:space="preserve"> </w:t>
      </w:r>
      <w:r w:rsidR="00FB394E" w:rsidRPr="00EA59C0">
        <w:t>and</w:t>
      </w:r>
      <w:r w:rsidR="00C026A6" w:rsidRPr="00EA59C0">
        <w:t xml:space="preserve"> </w:t>
      </w:r>
    </w:p>
    <w:p w:rsidR="00955FE3" w:rsidRPr="00EA59C0" w:rsidRDefault="00955FE3" w:rsidP="00080097">
      <w:pPr>
        <w:pStyle w:val="ListParagraph"/>
        <w:numPr>
          <w:ilvl w:val="0"/>
          <w:numId w:val="29"/>
        </w:numPr>
      </w:pPr>
      <w:r w:rsidRPr="00EA59C0">
        <w:t>Applicants</w:t>
      </w:r>
      <w:r w:rsidR="00C026A6" w:rsidRPr="00EA59C0">
        <w:t xml:space="preserve"> </w:t>
      </w:r>
      <w:r w:rsidRPr="00EA59C0">
        <w:t>that</w:t>
      </w:r>
      <w:r w:rsidR="00C026A6" w:rsidRPr="00EA59C0">
        <w:t xml:space="preserve"> </w:t>
      </w:r>
      <w:r w:rsidRPr="00EA59C0">
        <w:t>do</w:t>
      </w:r>
      <w:r w:rsidR="00C026A6" w:rsidRPr="00EA59C0">
        <w:t xml:space="preserve"> </w:t>
      </w:r>
      <w:r w:rsidRPr="00EA59C0">
        <w:t>not</w:t>
      </w:r>
      <w:r w:rsidR="00C026A6" w:rsidRPr="00EA59C0">
        <w:t xml:space="preserve"> </w:t>
      </w:r>
      <w:r w:rsidRPr="00EA59C0">
        <w:t>cite</w:t>
      </w:r>
      <w:r w:rsidR="00C026A6" w:rsidRPr="00EA59C0">
        <w:t xml:space="preserve"> </w:t>
      </w:r>
      <w:r w:rsidRPr="00EA59C0">
        <w:t>and</w:t>
      </w:r>
      <w:r w:rsidR="00C026A6" w:rsidRPr="00EA59C0">
        <w:t xml:space="preserve"> </w:t>
      </w:r>
      <w:r w:rsidRPr="00EA59C0">
        <w:t>describe</w:t>
      </w:r>
      <w:r w:rsidR="00C026A6" w:rsidRPr="00EA59C0">
        <w:t xml:space="preserve"> </w:t>
      </w:r>
      <w:r w:rsidRPr="00EA59C0">
        <w:t>strong,</w:t>
      </w:r>
      <w:r w:rsidR="00C026A6" w:rsidRPr="00EA59C0">
        <w:t xml:space="preserve"> </w:t>
      </w:r>
      <w:r w:rsidRPr="00EA59C0">
        <w:t>moderate,</w:t>
      </w:r>
      <w:r w:rsidR="00C026A6" w:rsidRPr="00EA59C0">
        <w:t xml:space="preserve"> </w:t>
      </w:r>
      <w:r w:rsidRPr="00EA59C0">
        <w:t>or</w:t>
      </w:r>
      <w:r w:rsidR="00C026A6" w:rsidRPr="00EA59C0">
        <w:t xml:space="preserve"> </w:t>
      </w:r>
      <w:r w:rsidRPr="00EA59C0">
        <w:t>preliminary</w:t>
      </w:r>
      <w:r w:rsidR="00C026A6" w:rsidRPr="00EA59C0">
        <w:t xml:space="preserve"> </w:t>
      </w:r>
      <w:r w:rsidRPr="00EA59C0">
        <w:t>evidence</w:t>
      </w:r>
      <w:r w:rsidR="00C026A6" w:rsidRPr="00EA59C0">
        <w:t xml:space="preserve"> </w:t>
      </w:r>
      <w:r w:rsidRPr="00EA59C0">
        <w:t>will</w:t>
      </w:r>
      <w:r w:rsidR="00C026A6" w:rsidRPr="00EA59C0">
        <w:t xml:space="preserve"> </w:t>
      </w:r>
      <w:r w:rsidRPr="00EA59C0">
        <w:t>receive</w:t>
      </w:r>
      <w:r w:rsidR="00C026A6" w:rsidRPr="00EA59C0">
        <w:t xml:space="preserve"> </w:t>
      </w:r>
      <w:r w:rsidRPr="00EA59C0">
        <w:t>0</w:t>
      </w:r>
      <w:r w:rsidR="00C026A6" w:rsidRPr="00EA59C0">
        <w:t xml:space="preserve"> </w:t>
      </w:r>
      <w:r w:rsidRPr="00EA59C0">
        <w:t>points.</w:t>
      </w:r>
    </w:p>
    <w:p w:rsidR="00D8676D" w:rsidRPr="00EA59C0" w:rsidRDefault="00D8676D"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provides</w:t>
      </w:r>
      <w:r w:rsidR="00C026A6" w:rsidRPr="00EA59C0">
        <w:t xml:space="preserve"> </w:t>
      </w:r>
      <w:r w:rsidRPr="00EA59C0">
        <w:t>appropriate</w:t>
      </w:r>
      <w:r w:rsidR="00C026A6" w:rsidRPr="00EA59C0">
        <w:t xml:space="preserve"> </w:t>
      </w:r>
      <w:r w:rsidRPr="00EA59C0">
        <w:t>evidence</w:t>
      </w:r>
      <w:r w:rsidR="00C026A6" w:rsidRPr="00EA59C0">
        <w:t xml:space="preserve"> </w:t>
      </w:r>
      <w:r w:rsidRPr="00EA59C0">
        <w:t>for</w:t>
      </w:r>
      <w:r w:rsidR="00C026A6" w:rsidRPr="00EA59C0">
        <w:t xml:space="preserve"> </w:t>
      </w:r>
      <w:r w:rsidRPr="00EA59C0">
        <w:t>the</w:t>
      </w:r>
      <w:r w:rsidR="00C026A6" w:rsidRPr="00EA59C0">
        <w:t xml:space="preserve"> </w:t>
      </w:r>
      <w:r w:rsidRPr="00EA59C0">
        <w:t>program</w:t>
      </w:r>
      <w:r w:rsidR="00C026A6" w:rsidRPr="00EA59C0">
        <w:t xml:space="preserve"> </w:t>
      </w:r>
      <w:r w:rsidRPr="00EA59C0">
        <w:t>design.</w:t>
      </w:r>
      <w:r w:rsidR="00C026A6" w:rsidRPr="00EA59C0">
        <w:t xml:space="preserve"> </w:t>
      </w:r>
      <w:r w:rsidRPr="00EA59C0">
        <w:t>(3</w:t>
      </w:r>
      <w:r w:rsidR="00C026A6" w:rsidRPr="00EA59C0">
        <w:t xml:space="preserve"> </w:t>
      </w:r>
      <w:r w:rsidRPr="00EA59C0">
        <w:t>points)</w:t>
      </w:r>
      <w:r w:rsidR="0024446D" w:rsidRPr="00EA59C0">
        <w:t>; and</w:t>
      </w:r>
    </w:p>
    <w:p w:rsidR="00D8676D" w:rsidRPr="00EA59C0" w:rsidRDefault="00D8676D"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provides</w:t>
      </w:r>
      <w:r w:rsidR="00C026A6" w:rsidRPr="00EA59C0">
        <w:t xml:space="preserve"> </w:t>
      </w:r>
      <w:r w:rsidRPr="00EA59C0">
        <w:t>a</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the</w:t>
      </w:r>
      <w:r w:rsidR="00C026A6" w:rsidRPr="00EA59C0">
        <w:t xml:space="preserve"> </w:t>
      </w:r>
      <w:r w:rsidRPr="00EA59C0">
        <w:t>proposed</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strategies</w:t>
      </w:r>
      <w:r w:rsidR="00C026A6" w:rsidRPr="00EA59C0">
        <w:t xml:space="preserve"> </w:t>
      </w:r>
      <w:r w:rsidRPr="00EA59C0">
        <w:t>and</w:t>
      </w:r>
      <w:r w:rsidR="00C026A6" w:rsidRPr="00EA59C0">
        <w:t xml:space="preserve"> </w:t>
      </w:r>
      <w:r w:rsidRPr="00EA59C0">
        <w:t>fully</w:t>
      </w:r>
      <w:r w:rsidR="00C026A6" w:rsidRPr="00EA59C0">
        <w:t xml:space="preserve"> </w:t>
      </w:r>
      <w:r w:rsidRPr="00EA59C0">
        <w:t>demonstrates</w:t>
      </w:r>
      <w:r w:rsidR="00C026A6" w:rsidRPr="00EA59C0">
        <w:t xml:space="preserve"> </w:t>
      </w:r>
      <w:r w:rsidRPr="00EA59C0">
        <w:t>how</w:t>
      </w:r>
      <w:r w:rsidR="00C026A6" w:rsidRPr="00EA59C0">
        <w:t xml:space="preserve"> </w:t>
      </w:r>
      <w:r w:rsidRPr="00EA59C0">
        <w:t>the</w:t>
      </w:r>
      <w:r w:rsidR="00C026A6" w:rsidRPr="00EA59C0">
        <w:t xml:space="preserve"> </w:t>
      </w:r>
      <w:r w:rsidRPr="00EA59C0">
        <w:t>evidence</w:t>
      </w:r>
      <w:r w:rsidR="00C026A6" w:rsidRPr="00EA59C0">
        <w:t xml:space="preserve"> </w:t>
      </w:r>
      <w:r w:rsidRPr="00EA59C0">
        <w:t>will</w:t>
      </w:r>
      <w:r w:rsidR="00C026A6" w:rsidRPr="00EA59C0">
        <w:t xml:space="preserve"> </w:t>
      </w:r>
      <w:r w:rsidRPr="00EA59C0">
        <w:t>be</w:t>
      </w:r>
      <w:r w:rsidR="00C026A6" w:rsidRPr="00EA59C0">
        <w:t xml:space="preserve"> </w:t>
      </w:r>
      <w:r w:rsidRPr="00EA59C0">
        <w:t>embedded</w:t>
      </w:r>
      <w:r w:rsidR="00C026A6" w:rsidRPr="00EA59C0">
        <w:t xml:space="preserve"> </w:t>
      </w:r>
      <w:r w:rsidRPr="00EA59C0">
        <w:t>in</w:t>
      </w:r>
      <w:r w:rsidR="00C026A6" w:rsidRPr="00EA59C0">
        <w:t xml:space="preserve"> </w:t>
      </w:r>
      <w:r w:rsidRPr="00EA59C0">
        <w:t>the</w:t>
      </w:r>
      <w:r w:rsidR="00C026A6" w:rsidRPr="00EA59C0">
        <w:t xml:space="preserve"> </w:t>
      </w:r>
      <w:r w:rsidRPr="00EA59C0">
        <w:t>design</w:t>
      </w:r>
      <w:r w:rsidR="00C026A6" w:rsidRPr="00EA59C0">
        <w:t xml:space="preserve"> </w:t>
      </w:r>
      <w:r w:rsidRPr="00EA59C0">
        <w:t>and</w:t>
      </w:r>
      <w:r w:rsidR="00C026A6" w:rsidRPr="00EA59C0">
        <w:t xml:space="preserve"> </w:t>
      </w:r>
      <w:r w:rsidRPr="00EA59C0">
        <w:t>delivery</w:t>
      </w:r>
      <w:r w:rsidR="00C026A6" w:rsidRPr="00EA59C0">
        <w:t xml:space="preserve"> </w:t>
      </w:r>
      <w:r w:rsidRPr="00EA59C0">
        <w:t>of</w:t>
      </w:r>
      <w:r w:rsidR="00C026A6" w:rsidRPr="00EA59C0">
        <w:t xml:space="preserve"> </w:t>
      </w:r>
      <w:r w:rsidRPr="00EA59C0">
        <w:t>the</w:t>
      </w:r>
      <w:r w:rsidR="00C026A6" w:rsidRPr="00EA59C0">
        <w:t xml:space="preserve"> </w:t>
      </w:r>
      <w:r w:rsidRPr="00EA59C0">
        <w:t>program,</w:t>
      </w:r>
      <w:r w:rsidR="00C026A6" w:rsidRPr="00EA59C0">
        <w:t xml:space="preserve"> </w:t>
      </w:r>
      <w:r w:rsidRPr="00EA59C0">
        <w:t>including</w:t>
      </w:r>
      <w:r w:rsidR="00C026A6" w:rsidRPr="00EA59C0">
        <w:t xml:space="preserve"> </w:t>
      </w:r>
      <w:r w:rsidRPr="00EA59C0">
        <w:t>identifying</w:t>
      </w:r>
      <w:r w:rsidR="00C026A6" w:rsidRPr="00EA59C0">
        <w:t xml:space="preserve"> </w:t>
      </w:r>
      <w:r w:rsidRPr="00EA59C0">
        <w:t>if</w:t>
      </w:r>
      <w:r w:rsidR="00C026A6" w:rsidRPr="00EA59C0">
        <w:t xml:space="preserve"> </w:t>
      </w:r>
      <w:r w:rsidRPr="00EA59C0">
        <w:t>the</w:t>
      </w:r>
      <w:r w:rsidR="00C026A6" w:rsidRPr="00EA59C0">
        <w:t xml:space="preserve"> </w:t>
      </w:r>
      <w:r w:rsidRPr="00EA59C0">
        <w:t>project</w:t>
      </w:r>
      <w:r w:rsidR="00C026A6" w:rsidRPr="00EA59C0">
        <w:t xml:space="preserve"> </w:t>
      </w:r>
      <w:r w:rsidRPr="00EA59C0">
        <w:t>will</w:t>
      </w:r>
      <w:r w:rsidR="00C026A6" w:rsidRPr="00EA59C0">
        <w:t xml:space="preserve"> </w:t>
      </w:r>
      <w:r w:rsidRPr="00EA59C0">
        <w:t>replicate</w:t>
      </w:r>
      <w:r w:rsidR="00C026A6" w:rsidRPr="00EA59C0">
        <w:t xml:space="preserve"> </w:t>
      </w:r>
      <w:r w:rsidRPr="00EA59C0">
        <w:t>existing</w:t>
      </w:r>
      <w:r w:rsidR="00C026A6" w:rsidRPr="00EA59C0">
        <w:t xml:space="preserve"> </w:t>
      </w:r>
      <w:r w:rsidRPr="00EA59C0">
        <w:t>evidence-based</w:t>
      </w:r>
      <w:r w:rsidR="00C026A6" w:rsidRPr="00EA59C0">
        <w:t xml:space="preserve"> </w:t>
      </w:r>
      <w:r w:rsidRPr="00EA59C0">
        <w:t>design,</w:t>
      </w:r>
      <w:r w:rsidR="00C026A6" w:rsidRPr="00EA59C0">
        <w:t xml:space="preserve"> </w:t>
      </w:r>
      <w:r w:rsidRPr="00EA59C0">
        <w:t>development,</w:t>
      </w:r>
      <w:r w:rsidR="00C026A6" w:rsidRPr="00EA59C0">
        <w:t xml:space="preserve"> </w:t>
      </w:r>
      <w:r w:rsidRPr="00EA59C0">
        <w:t>or</w:t>
      </w:r>
      <w:r w:rsidR="00C026A6" w:rsidRPr="00EA59C0">
        <w:t xml:space="preserve"> </w:t>
      </w:r>
      <w:r w:rsidRPr="00EA59C0">
        <w:t>delivery</w:t>
      </w:r>
      <w:r w:rsidR="00C026A6" w:rsidRPr="00EA59C0">
        <w:t xml:space="preserve"> </w:t>
      </w:r>
      <w:r w:rsidRPr="00EA59C0">
        <w:t>strategies</w:t>
      </w:r>
      <w:r w:rsidR="00C026A6" w:rsidRPr="00EA59C0">
        <w:t xml:space="preserve"> </w:t>
      </w:r>
      <w:r w:rsidRPr="00EA59C0">
        <w:t>or</w:t>
      </w:r>
      <w:r w:rsidR="00C026A6" w:rsidRPr="00EA59C0">
        <w:t xml:space="preserve"> </w:t>
      </w:r>
      <w:r w:rsidRPr="00EA59C0">
        <w:t>implement</w:t>
      </w:r>
      <w:r w:rsidR="00C026A6" w:rsidRPr="00EA59C0">
        <w:t xml:space="preserve"> </w:t>
      </w:r>
      <w:r w:rsidRPr="00EA59C0">
        <w:t>innovative</w:t>
      </w:r>
      <w:r w:rsidR="00C026A6" w:rsidRPr="00EA59C0">
        <w:t xml:space="preserve"> </w:t>
      </w:r>
      <w:r w:rsidRPr="00EA59C0">
        <w:t>or</w:t>
      </w:r>
      <w:r w:rsidR="00C026A6" w:rsidRPr="00EA59C0">
        <w:t xml:space="preserve"> </w:t>
      </w:r>
      <w:r w:rsidRPr="00EA59C0">
        <w:t>new</w:t>
      </w:r>
      <w:r w:rsidR="00C026A6" w:rsidRPr="00EA59C0">
        <w:t xml:space="preserve"> </w:t>
      </w:r>
      <w:r w:rsidRPr="00EA59C0">
        <w:t>strategies.</w:t>
      </w:r>
      <w:r w:rsidR="00C026A6" w:rsidRPr="00EA59C0">
        <w:t xml:space="preserve"> </w:t>
      </w:r>
      <w:r w:rsidRPr="00EA59C0">
        <w:t>(3</w:t>
      </w:r>
      <w:r w:rsidR="00C026A6" w:rsidRPr="00EA59C0">
        <w:t xml:space="preserve"> </w:t>
      </w:r>
      <w:r w:rsidRPr="00EA59C0">
        <w:t>points)</w:t>
      </w:r>
    </w:p>
    <w:p w:rsidR="00D8676D" w:rsidRPr="00EA59C0" w:rsidRDefault="00D8676D" w:rsidP="00B505EF"/>
    <w:p w:rsidR="00A103FD" w:rsidRPr="00EA59C0" w:rsidRDefault="00A103FD" w:rsidP="00B505EF">
      <w:pPr>
        <w:pStyle w:val="ListParagraph"/>
        <w:numPr>
          <w:ilvl w:val="3"/>
          <w:numId w:val="17"/>
        </w:numPr>
        <w:rPr>
          <w:b/>
        </w:rPr>
      </w:pPr>
      <w:r w:rsidRPr="00EA59C0">
        <w:rPr>
          <w:b/>
        </w:rPr>
        <w:t>Career</w:t>
      </w:r>
      <w:r w:rsidR="00C026A6" w:rsidRPr="00EA59C0">
        <w:rPr>
          <w:b/>
        </w:rPr>
        <w:t xml:space="preserve"> </w:t>
      </w:r>
      <w:r w:rsidRPr="00EA59C0">
        <w:rPr>
          <w:b/>
        </w:rPr>
        <w:t>Pathways</w:t>
      </w:r>
      <w:r w:rsidR="00C026A6" w:rsidRPr="00EA59C0">
        <w:rPr>
          <w:b/>
        </w:rPr>
        <w:t xml:space="preserve"> </w:t>
      </w:r>
      <w:r w:rsidR="00614391" w:rsidRPr="00EA59C0">
        <w:rPr>
          <w:b/>
        </w:rPr>
        <w:t>(</w:t>
      </w:r>
      <w:r w:rsidR="00C026A6" w:rsidRPr="00EA59C0">
        <w:rPr>
          <w:b/>
        </w:rPr>
        <w:t xml:space="preserve"> </w:t>
      </w:r>
      <w:r w:rsidR="00CE2FFB" w:rsidRPr="00EA59C0">
        <w:rPr>
          <w:b/>
        </w:rPr>
        <w:t>12</w:t>
      </w:r>
      <w:r w:rsidR="00C026A6" w:rsidRPr="00EA59C0">
        <w:rPr>
          <w:b/>
        </w:rPr>
        <w:t xml:space="preserve"> </w:t>
      </w:r>
      <w:r w:rsidR="00614391" w:rsidRPr="00EA59C0">
        <w:rPr>
          <w:b/>
        </w:rPr>
        <w:t>points)</w:t>
      </w:r>
    </w:p>
    <w:p w:rsidR="00D8676D" w:rsidRPr="00EA59C0" w:rsidRDefault="00D8676D"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demonstrates</w:t>
      </w:r>
      <w:r w:rsidR="00C026A6" w:rsidRPr="00EA59C0">
        <w:t xml:space="preserve"> </w:t>
      </w:r>
      <w:r w:rsidRPr="00EA59C0">
        <w:t>substantive</w:t>
      </w:r>
      <w:r w:rsidR="00C026A6" w:rsidRPr="00EA59C0">
        <w:t xml:space="preserve"> </w:t>
      </w:r>
      <w:r w:rsidRPr="00EA59C0">
        <w:t>plans</w:t>
      </w:r>
      <w:r w:rsidR="00C026A6" w:rsidRPr="00EA59C0">
        <w:t xml:space="preserve"> </w:t>
      </w:r>
      <w:r w:rsidRPr="00EA59C0">
        <w:t>to</w:t>
      </w:r>
      <w:r w:rsidR="00C026A6" w:rsidRPr="00EA59C0">
        <w:t xml:space="preserve"> </w:t>
      </w:r>
      <w:r w:rsidRPr="00EA59C0">
        <w:t>include</w:t>
      </w:r>
      <w:r w:rsidR="00C026A6" w:rsidRPr="00EA59C0">
        <w:t xml:space="preserve"> </w:t>
      </w:r>
      <w:r w:rsidR="00955FE3" w:rsidRPr="00EA59C0">
        <w:t>contextualized,</w:t>
      </w:r>
      <w:r w:rsidR="00C026A6" w:rsidRPr="00EA59C0">
        <w:t xml:space="preserve"> </w:t>
      </w:r>
      <w:r w:rsidRPr="00EA59C0">
        <w:t>accelerate</w:t>
      </w:r>
      <w:r w:rsidR="00955FE3" w:rsidRPr="00EA59C0">
        <w:t>d</w:t>
      </w:r>
      <w:r w:rsidR="00C026A6" w:rsidRPr="00EA59C0">
        <w:t xml:space="preserve"> </w:t>
      </w:r>
      <w:r w:rsidR="00955FE3" w:rsidRPr="00EA59C0">
        <w:t>remedial</w:t>
      </w:r>
      <w:r w:rsidR="00C026A6" w:rsidRPr="00EA59C0">
        <w:t xml:space="preserve"> </w:t>
      </w:r>
      <w:r w:rsidRPr="00EA59C0">
        <w:t>coursework</w:t>
      </w:r>
      <w:r w:rsidR="0024446D" w:rsidRPr="00EA59C0">
        <w:t>.</w:t>
      </w:r>
      <w:r w:rsidR="00C026A6" w:rsidRPr="00EA59C0">
        <w:t xml:space="preserve"> </w:t>
      </w:r>
      <w:r w:rsidR="00D916CC" w:rsidRPr="00EA59C0">
        <w:t>(</w:t>
      </w:r>
      <w:r w:rsidR="00C026A6" w:rsidRPr="00EA59C0">
        <w:t xml:space="preserve"> </w:t>
      </w:r>
      <w:r w:rsidR="00CE2FFB" w:rsidRPr="00EA59C0">
        <w:t>3</w:t>
      </w:r>
      <w:r w:rsidR="00C026A6" w:rsidRPr="00EA59C0">
        <w:t xml:space="preserve"> </w:t>
      </w:r>
      <w:r w:rsidR="00D916CC" w:rsidRPr="00EA59C0">
        <w:t>point</w:t>
      </w:r>
      <w:r w:rsidR="00CE2FFB" w:rsidRPr="00EA59C0">
        <w:t>s</w:t>
      </w:r>
      <w:r w:rsidR="00D916CC" w:rsidRPr="00EA59C0">
        <w:t>)</w:t>
      </w:r>
      <w:r w:rsidR="0024446D" w:rsidRPr="00EA59C0">
        <w:t>;</w:t>
      </w:r>
      <w:r w:rsidR="00C026A6" w:rsidRPr="00EA59C0">
        <w:t xml:space="preserve"> </w:t>
      </w:r>
    </w:p>
    <w:p w:rsidR="00D8676D" w:rsidRPr="00EA59C0" w:rsidRDefault="00D8676D"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identifies</w:t>
      </w:r>
      <w:r w:rsidR="00C026A6" w:rsidRPr="00EA59C0">
        <w:t xml:space="preserve"> </w:t>
      </w:r>
      <w:r w:rsidRPr="00EA59C0">
        <w:t>specific</w:t>
      </w:r>
      <w:r w:rsidR="00C026A6" w:rsidRPr="00EA59C0">
        <w:t xml:space="preserve"> </w:t>
      </w:r>
      <w:r w:rsidRPr="00EA59C0">
        <w:t>services</w:t>
      </w:r>
      <w:r w:rsidR="00C026A6" w:rsidRPr="00EA59C0">
        <w:t xml:space="preserve"> </w:t>
      </w:r>
      <w:r w:rsidRPr="00EA59C0">
        <w:t>and</w:t>
      </w:r>
      <w:r w:rsidR="00C026A6" w:rsidRPr="00EA59C0">
        <w:t xml:space="preserve"> </w:t>
      </w:r>
      <w:r w:rsidRPr="00EA59C0">
        <w:t>career</w:t>
      </w:r>
      <w:r w:rsidR="00C026A6" w:rsidRPr="00EA59C0">
        <w:t xml:space="preserve"> </w:t>
      </w:r>
      <w:r w:rsidRPr="00EA59C0">
        <w:t>guidance</w:t>
      </w:r>
      <w:r w:rsidR="00C026A6" w:rsidRPr="00EA59C0">
        <w:t xml:space="preserve"> </w:t>
      </w:r>
      <w:r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provided</w:t>
      </w:r>
      <w:r w:rsidR="00C026A6" w:rsidRPr="00EA59C0">
        <w:t xml:space="preserve"> </w:t>
      </w:r>
      <w:r w:rsidRPr="00EA59C0">
        <w:t>and</w:t>
      </w:r>
      <w:r w:rsidR="00C026A6" w:rsidRPr="00EA59C0">
        <w:t xml:space="preserve"> </w:t>
      </w:r>
      <w:r w:rsidR="00D916CC" w:rsidRPr="00EA59C0">
        <w:t>that</w:t>
      </w:r>
      <w:r w:rsidR="00C026A6" w:rsidRPr="00EA59C0">
        <w:t xml:space="preserve"> </w:t>
      </w:r>
      <w:r w:rsidRPr="00EA59C0">
        <w:t>addresses</w:t>
      </w:r>
      <w:r w:rsidR="00C026A6" w:rsidRPr="00EA59C0">
        <w:t xml:space="preserve"> </w:t>
      </w:r>
      <w:r w:rsidRPr="00EA59C0">
        <w:t>the</w:t>
      </w:r>
      <w:r w:rsidR="00C026A6" w:rsidRPr="00EA59C0">
        <w:t xml:space="preserve"> </w:t>
      </w:r>
      <w:r w:rsidRPr="00EA59C0">
        <w:t>barriers</w:t>
      </w:r>
      <w:r w:rsidR="00C026A6" w:rsidRPr="00EA59C0">
        <w:t xml:space="preserve"> </w:t>
      </w:r>
      <w:r w:rsidRPr="00EA59C0">
        <w:t>to</w:t>
      </w:r>
      <w:r w:rsidR="00C026A6" w:rsidRPr="00EA59C0">
        <w:t xml:space="preserve"> </w:t>
      </w:r>
      <w:r w:rsidR="00F327A1" w:rsidRPr="00EA59C0">
        <w:t>program</w:t>
      </w:r>
      <w:r w:rsidR="00C026A6" w:rsidRPr="00EA59C0">
        <w:t xml:space="preserve"> </w:t>
      </w:r>
      <w:r w:rsidR="00F327A1" w:rsidRPr="00EA59C0">
        <w:t>retention</w:t>
      </w:r>
      <w:r w:rsidR="00C026A6" w:rsidRPr="00EA59C0">
        <w:t xml:space="preserve"> </w:t>
      </w:r>
      <w:r w:rsidR="00F327A1" w:rsidRPr="00EA59C0">
        <w:t>and</w:t>
      </w:r>
      <w:r w:rsidR="00C026A6" w:rsidRPr="00EA59C0">
        <w:t xml:space="preserve"> </w:t>
      </w:r>
      <w:r w:rsidR="00F327A1" w:rsidRPr="00EA59C0">
        <w:t>completion</w:t>
      </w:r>
      <w:r w:rsidR="0024446D" w:rsidRPr="00EA59C0">
        <w:t>.</w:t>
      </w:r>
      <w:r w:rsidR="00C026A6" w:rsidRPr="00EA59C0">
        <w:t xml:space="preserve">  </w:t>
      </w:r>
      <w:r w:rsidR="00D916CC" w:rsidRPr="00EA59C0">
        <w:t>(1</w:t>
      </w:r>
      <w:r w:rsidR="00C026A6" w:rsidRPr="00EA59C0">
        <w:t xml:space="preserve"> </w:t>
      </w:r>
      <w:r w:rsidR="00D916CC" w:rsidRPr="00EA59C0">
        <w:t>point)</w:t>
      </w:r>
      <w:r w:rsidR="0024446D" w:rsidRPr="00EA59C0">
        <w:t>;</w:t>
      </w:r>
    </w:p>
    <w:p w:rsidR="00D8676D" w:rsidRPr="00EA59C0" w:rsidRDefault="00D8676D" w:rsidP="00B505EF">
      <w:pPr>
        <w:pStyle w:val="ListParagraph"/>
        <w:numPr>
          <w:ilvl w:val="4"/>
          <w:numId w:val="17"/>
        </w:numPr>
      </w:pPr>
      <w:r w:rsidRPr="00EA59C0">
        <w:t>The</w:t>
      </w:r>
      <w:r w:rsidR="00C026A6" w:rsidRPr="00EA59C0">
        <w:t xml:space="preserve"> </w:t>
      </w:r>
      <w:r w:rsidR="00955FE3"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provides</w:t>
      </w:r>
      <w:r w:rsidR="00C026A6" w:rsidRPr="00EA59C0">
        <w:t xml:space="preserve"> </w:t>
      </w:r>
      <w:r w:rsidRPr="00EA59C0">
        <w:t>an</w:t>
      </w:r>
      <w:r w:rsidR="00C026A6" w:rsidRPr="00EA59C0">
        <w:t xml:space="preserve"> </w:t>
      </w:r>
      <w:r w:rsidRPr="00EA59C0">
        <w:t>explanation</w:t>
      </w:r>
      <w:r w:rsidR="00C026A6" w:rsidRPr="00EA59C0">
        <w:t xml:space="preserve"> </w:t>
      </w:r>
      <w:r w:rsidRPr="00EA59C0">
        <w:t>of</w:t>
      </w:r>
      <w:r w:rsidR="00C026A6" w:rsidRPr="00EA59C0">
        <w:t xml:space="preserve"> </w:t>
      </w:r>
      <w:r w:rsidRPr="00EA59C0">
        <w:t>how</w:t>
      </w:r>
      <w:r w:rsidR="00C026A6" w:rsidRPr="00EA59C0">
        <w:t xml:space="preserve"> </w:t>
      </w:r>
      <w:r w:rsidRPr="00EA59C0">
        <w:t>prior</w:t>
      </w:r>
      <w:r w:rsidR="00C026A6" w:rsidRPr="00EA59C0">
        <w:t xml:space="preserve"> </w:t>
      </w:r>
      <w:r w:rsidRPr="00EA59C0">
        <w:t>learning</w:t>
      </w:r>
      <w:r w:rsidR="00C026A6" w:rsidRPr="00EA59C0">
        <w:t xml:space="preserve"> </w:t>
      </w:r>
      <w:r w:rsidRPr="00EA59C0">
        <w:t>will</w:t>
      </w:r>
      <w:r w:rsidR="00C026A6" w:rsidRPr="00EA59C0">
        <w:t xml:space="preserve"> </w:t>
      </w:r>
      <w:r w:rsidRPr="00EA59C0">
        <w:t>be</w:t>
      </w:r>
      <w:r w:rsidR="00C026A6" w:rsidRPr="00EA59C0">
        <w:t xml:space="preserve"> </w:t>
      </w:r>
      <w:r w:rsidRPr="00EA59C0">
        <w:t>assessed,</w:t>
      </w:r>
      <w:r w:rsidR="00C026A6" w:rsidRPr="00EA59C0">
        <w:t xml:space="preserve"> </w:t>
      </w:r>
      <w:r w:rsidRPr="00EA59C0">
        <w:t>identifies</w:t>
      </w:r>
      <w:r w:rsidR="00C026A6" w:rsidRPr="00EA59C0">
        <w:t xml:space="preserve"> </w:t>
      </w:r>
      <w:r w:rsidRPr="00EA59C0">
        <w:t>the</w:t>
      </w:r>
      <w:r w:rsidR="00C026A6" w:rsidRPr="00EA59C0">
        <w:t xml:space="preserve"> </w:t>
      </w:r>
      <w:r w:rsidRPr="00EA59C0">
        <w:t>types</w:t>
      </w:r>
      <w:r w:rsidR="00C026A6" w:rsidRPr="00EA59C0">
        <w:t xml:space="preserve"> </w:t>
      </w:r>
      <w:r w:rsidRPr="00EA59C0">
        <w:t>of</w:t>
      </w:r>
      <w:r w:rsidR="00C026A6" w:rsidRPr="00EA59C0">
        <w:t xml:space="preserve"> </w:t>
      </w:r>
      <w:r w:rsidRPr="00EA59C0">
        <w:t>assessments</w:t>
      </w:r>
      <w:r w:rsidR="00C026A6" w:rsidRPr="00EA59C0">
        <w:t xml:space="preserve"> </w:t>
      </w:r>
      <w:r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used,</w:t>
      </w:r>
      <w:r w:rsidR="00C026A6" w:rsidRPr="00EA59C0">
        <w:t xml:space="preserve"> </w:t>
      </w:r>
      <w:r w:rsidRPr="00EA59C0">
        <w:t>and</w:t>
      </w:r>
      <w:r w:rsidR="00C026A6" w:rsidRPr="00EA59C0">
        <w:t xml:space="preserve"> </w:t>
      </w:r>
      <w:r w:rsidRPr="00EA59C0">
        <w:t>how</w:t>
      </w:r>
      <w:r w:rsidR="00C026A6" w:rsidRPr="00EA59C0">
        <w:t xml:space="preserve"> </w:t>
      </w:r>
      <w:r w:rsidRPr="00EA59C0">
        <w:t>credit</w:t>
      </w:r>
      <w:r w:rsidR="00C026A6" w:rsidRPr="00EA59C0">
        <w:t xml:space="preserve"> </w:t>
      </w:r>
      <w:r w:rsidRPr="00EA59C0">
        <w:t>for</w:t>
      </w:r>
      <w:r w:rsidR="00C026A6" w:rsidRPr="00EA59C0">
        <w:t xml:space="preserve"> </w:t>
      </w:r>
      <w:r w:rsidR="00955FE3" w:rsidRPr="00EA59C0">
        <w:t>prior</w:t>
      </w:r>
      <w:r w:rsidR="00C026A6" w:rsidRPr="00EA59C0">
        <w:t xml:space="preserve"> </w:t>
      </w:r>
      <w:r w:rsidR="00955FE3" w:rsidRPr="00EA59C0">
        <w:t>learning</w:t>
      </w:r>
      <w:r w:rsidR="00C026A6" w:rsidRPr="00EA59C0">
        <w:t xml:space="preserve"> </w:t>
      </w:r>
      <w:r w:rsidR="00955FE3" w:rsidRPr="00EA59C0">
        <w:t>will</w:t>
      </w:r>
      <w:r w:rsidR="00C026A6" w:rsidRPr="00EA59C0">
        <w:t xml:space="preserve"> </w:t>
      </w:r>
      <w:r w:rsidR="00955FE3" w:rsidRPr="00EA59C0">
        <w:t>be</w:t>
      </w:r>
      <w:r w:rsidR="00C026A6" w:rsidRPr="00EA59C0">
        <w:t xml:space="preserve"> </w:t>
      </w:r>
      <w:r w:rsidR="00955FE3" w:rsidRPr="00EA59C0">
        <w:t>awarded</w:t>
      </w:r>
      <w:r w:rsidR="0024446D" w:rsidRPr="00EA59C0">
        <w:t>.</w:t>
      </w:r>
      <w:r w:rsidR="00C026A6" w:rsidRPr="00EA59C0">
        <w:t xml:space="preserve"> </w:t>
      </w:r>
      <w:r w:rsidR="00D916CC" w:rsidRPr="00EA59C0">
        <w:t>(1</w:t>
      </w:r>
      <w:r w:rsidR="00C026A6" w:rsidRPr="00EA59C0">
        <w:t xml:space="preserve"> </w:t>
      </w:r>
      <w:r w:rsidR="00D916CC" w:rsidRPr="00EA59C0">
        <w:t>point)</w:t>
      </w:r>
      <w:r w:rsidR="0024446D" w:rsidRPr="00EA59C0">
        <w:t>;</w:t>
      </w:r>
    </w:p>
    <w:p w:rsidR="00D8676D" w:rsidRPr="00EA59C0" w:rsidRDefault="00D8676D"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identifies</w:t>
      </w:r>
      <w:r w:rsidR="00C026A6" w:rsidRPr="00EA59C0">
        <w:t xml:space="preserve"> </w:t>
      </w:r>
      <w:r w:rsidRPr="00EA59C0">
        <w:t>the</w:t>
      </w:r>
      <w:r w:rsidR="00C026A6" w:rsidRPr="00EA59C0">
        <w:t xml:space="preserve"> </w:t>
      </w:r>
      <w:r w:rsidRPr="00EA59C0">
        <w:t>specific</w:t>
      </w:r>
      <w:r w:rsidR="00C026A6" w:rsidRPr="00EA59C0">
        <w:t xml:space="preserve"> </w:t>
      </w:r>
      <w:r w:rsidRPr="00EA59C0">
        <w:t>programs</w:t>
      </w:r>
      <w:r w:rsidR="00C026A6" w:rsidRPr="00EA59C0">
        <w:t xml:space="preserve"> </w:t>
      </w:r>
      <w:r w:rsidR="0024446D" w:rsidRPr="00EA59C0">
        <w:t xml:space="preserve">that </w:t>
      </w:r>
      <w:r w:rsidRPr="00EA59C0">
        <w:t>will</w:t>
      </w:r>
      <w:r w:rsidR="00C026A6" w:rsidRPr="00EA59C0">
        <w:t xml:space="preserve"> </w:t>
      </w:r>
      <w:r w:rsidRPr="00EA59C0">
        <w:t>be</w:t>
      </w:r>
      <w:r w:rsidR="00C026A6" w:rsidRPr="00EA59C0">
        <w:t xml:space="preserve"> </w:t>
      </w:r>
      <w:r w:rsidRPr="00EA59C0">
        <w:t>competency-based</w:t>
      </w:r>
      <w:r w:rsidR="00C026A6" w:rsidRPr="00EA59C0">
        <w:t xml:space="preserve"> </w:t>
      </w:r>
      <w:r w:rsidRPr="00EA59C0">
        <w:t>and</w:t>
      </w:r>
      <w:r w:rsidR="00C026A6" w:rsidRPr="00EA59C0">
        <w:t xml:space="preserve"> </w:t>
      </w:r>
      <w:r w:rsidRPr="00EA59C0">
        <w:t>the</w:t>
      </w:r>
      <w:r w:rsidR="00C026A6" w:rsidRPr="00EA59C0">
        <w:t xml:space="preserve"> </w:t>
      </w:r>
      <w:r w:rsidRPr="00EA59C0">
        <w:t>methods</w:t>
      </w:r>
      <w:r w:rsidR="00C026A6" w:rsidRPr="00EA59C0">
        <w:t xml:space="preserve"> </w:t>
      </w:r>
      <w:r w:rsidRPr="00EA59C0">
        <w:t>used</w:t>
      </w:r>
      <w:r w:rsidR="00C026A6" w:rsidRPr="00EA59C0">
        <w:t xml:space="preserve"> </w:t>
      </w:r>
      <w:r w:rsidR="00955FE3" w:rsidRPr="00EA59C0">
        <w:t>for</w:t>
      </w:r>
      <w:r w:rsidR="00C026A6" w:rsidRPr="00EA59C0">
        <w:t xml:space="preserve"> </w:t>
      </w:r>
      <w:r w:rsidR="00955FE3" w:rsidRPr="00EA59C0">
        <w:t>measuring</w:t>
      </w:r>
      <w:r w:rsidR="00C026A6" w:rsidRPr="00EA59C0">
        <w:t xml:space="preserve"> </w:t>
      </w:r>
      <w:r w:rsidR="00FF49ED" w:rsidRPr="00EA59C0">
        <w:t>the</w:t>
      </w:r>
      <w:r w:rsidR="00C026A6" w:rsidRPr="00EA59C0">
        <w:t xml:space="preserve"> </w:t>
      </w:r>
      <w:r w:rsidR="00955FE3" w:rsidRPr="00EA59C0">
        <w:t>proficiency</w:t>
      </w:r>
      <w:r w:rsidR="00C026A6" w:rsidRPr="00EA59C0">
        <w:t xml:space="preserve"> </w:t>
      </w:r>
      <w:r w:rsidR="00FF49ED" w:rsidRPr="00EA59C0">
        <w:t>of</w:t>
      </w:r>
      <w:r w:rsidR="00C026A6" w:rsidRPr="00EA59C0">
        <w:t xml:space="preserve"> </w:t>
      </w:r>
      <w:r w:rsidR="00FF49ED" w:rsidRPr="00EA59C0">
        <w:t>program</w:t>
      </w:r>
      <w:r w:rsidR="00C026A6" w:rsidRPr="00EA59C0">
        <w:t xml:space="preserve"> </w:t>
      </w:r>
      <w:r w:rsidR="00FF49ED" w:rsidRPr="00EA59C0">
        <w:t>participants</w:t>
      </w:r>
      <w:r w:rsidR="0024446D" w:rsidRPr="00EA59C0">
        <w:t>.</w:t>
      </w:r>
      <w:r w:rsidR="00C026A6" w:rsidRPr="00EA59C0">
        <w:t xml:space="preserve"> </w:t>
      </w:r>
      <w:r w:rsidR="00D916CC" w:rsidRPr="00EA59C0">
        <w:t>(1</w:t>
      </w:r>
      <w:r w:rsidR="00C026A6" w:rsidRPr="00EA59C0">
        <w:t xml:space="preserve"> </w:t>
      </w:r>
      <w:r w:rsidR="00D916CC" w:rsidRPr="00EA59C0">
        <w:t>point)</w:t>
      </w:r>
      <w:r w:rsidR="0024446D" w:rsidRPr="00EA59C0">
        <w:t>;</w:t>
      </w:r>
    </w:p>
    <w:p w:rsidR="00D8676D" w:rsidRPr="00EA59C0" w:rsidRDefault="00D8676D"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00EE281D" w:rsidRPr="00EA59C0">
        <w:t>identifies</w:t>
      </w:r>
      <w:r w:rsidR="00C026A6" w:rsidRPr="00EA59C0">
        <w:t xml:space="preserve"> </w:t>
      </w:r>
      <w:r w:rsidRPr="00EA59C0">
        <w:t>modul</w:t>
      </w:r>
      <w:r w:rsidR="00EE281D" w:rsidRPr="00EA59C0">
        <w:t>ar</w:t>
      </w:r>
      <w:r w:rsidRPr="00EA59C0">
        <w:t>ized</w:t>
      </w:r>
      <w:r w:rsidR="00C026A6" w:rsidRPr="00EA59C0">
        <w:t xml:space="preserve"> </w:t>
      </w:r>
      <w:r w:rsidRPr="00EA59C0">
        <w:t>curricula</w:t>
      </w:r>
      <w:r w:rsidR="00C026A6" w:rsidRPr="00EA59C0">
        <w:t xml:space="preserve"> </w:t>
      </w:r>
      <w:r w:rsidR="00EE281D" w:rsidRPr="00EA59C0">
        <w:t>that</w:t>
      </w:r>
      <w:r w:rsidR="00C026A6" w:rsidRPr="00EA59C0">
        <w:t xml:space="preserve"> </w:t>
      </w:r>
      <w:r w:rsidR="00EE281D" w:rsidRPr="00EA59C0">
        <w:t>will</w:t>
      </w:r>
      <w:r w:rsidR="00C026A6" w:rsidRPr="00EA59C0">
        <w:t xml:space="preserve"> </w:t>
      </w:r>
      <w:r w:rsidR="00EE281D" w:rsidRPr="00EA59C0">
        <w:t>be</w:t>
      </w:r>
      <w:r w:rsidR="00C026A6" w:rsidRPr="00EA59C0">
        <w:t xml:space="preserve"> </w:t>
      </w:r>
      <w:r w:rsidR="00EE281D" w:rsidRPr="00EA59C0">
        <w:t>developed</w:t>
      </w:r>
      <w:r w:rsidR="00C026A6" w:rsidRPr="00EA59C0">
        <w:t xml:space="preserve"> </w:t>
      </w:r>
      <w:r w:rsidR="00EE281D" w:rsidRPr="00EA59C0">
        <w:t>or</w:t>
      </w:r>
      <w:r w:rsidR="00C026A6" w:rsidRPr="00EA59C0">
        <w:t xml:space="preserve"> </w:t>
      </w:r>
      <w:r w:rsidR="00EE281D" w:rsidRPr="00EA59C0">
        <w:t>enhanced</w:t>
      </w:r>
      <w:r w:rsidR="0024446D" w:rsidRPr="00EA59C0">
        <w:t>.</w:t>
      </w:r>
      <w:r w:rsidR="00C026A6" w:rsidRPr="00EA59C0">
        <w:t xml:space="preserve"> </w:t>
      </w:r>
      <w:r w:rsidR="00D916CC" w:rsidRPr="00EA59C0">
        <w:t>(1</w:t>
      </w:r>
      <w:r w:rsidR="00C026A6" w:rsidRPr="00EA59C0">
        <w:t xml:space="preserve"> </w:t>
      </w:r>
      <w:r w:rsidR="00D916CC" w:rsidRPr="00EA59C0">
        <w:t>point)</w:t>
      </w:r>
      <w:r w:rsidR="0024446D" w:rsidRPr="00EA59C0">
        <w:t>;</w:t>
      </w:r>
    </w:p>
    <w:p w:rsidR="00D8676D" w:rsidRPr="00EA59C0" w:rsidRDefault="00D8676D"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demonstrates</w:t>
      </w:r>
      <w:r w:rsidR="00C026A6" w:rsidRPr="00EA59C0">
        <w:t xml:space="preserve"> </w:t>
      </w:r>
      <w:r w:rsidRPr="00EA59C0">
        <w:t>feasible</w:t>
      </w:r>
      <w:r w:rsidR="00C026A6" w:rsidRPr="00EA59C0">
        <w:t xml:space="preserve"> </w:t>
      </w:r>
      <w:r w:rsidRPr="00EA59C0">
        <w:t>plans</w:t>
      </w:r>
      <w:r w:rsidR="00C026A6" w:rsidRPr="00EA59C0">
        <w:t xml:space="preserve"> </w:t>
      </w:r>
      <w:r w:rsidRPr="00EA59C0">
        <w:t>to</w:t>
      </w:r>
      <w:r w:rsidR="00C026A6" w:rsidRPr="00EA59C0">
        <w:t xml:space="preserve"> </w:t>
      </w:r>
      <w:r w:rsidRPr="00EA59C0">
        <w:t>develop</w:t>
      </w:r>
      <w:r w:rsidR="00C026A6" w:rsidRPr="00EA59C0">
        <w:t xml:space="preserve"> </w:t>
      </w:r>
      <w:r w:rsidRPr="00EA59C0">
        <w:t>interconnecting</w:t>
      </w:r>
      <w:r w:rsidR="00C026A6" w:rsidRPr="00EA59C0">
        <w:t xml:space="preserve"> </w:t>
      </w:r>
      <w:r w:rsidRPr="00EA59C0">
        <w:t>credentials</w:t>
      </w:r>
      <w:r w:rsidR="00C026A6" w:rsidRPr="00EA59C0">
        <w:t xml:space="preserve"> </w:t>
      </w:r>
      <w:r w:rsidRPr="00EA59C0">
        <w:t>that</w:t>
      </w:r>
      <w:r w:rsidR="00C026A6" w:rsidRPr="00EA59C0">
        <w:t xml:space="preserve"> </w:t>
      </w:r>
      <w:r w:rsidRPr="00EA59C0">
        <w:t>can</w:t>
      </w:r>
      <w:r w:rsidR="00C026A6" w:rsidRPr="00EA59C0">
        <w:t xml:space="preserve"> </w:t>
      </w:r>
      <w:r w:rsidRPr="00EA59C0">
        <w:t>be</w:t>
      </w:r>
      <w:r w:rsidR="00C026A6" w:rsidRPr="00EA59C0">
        <w:t xml:space="preserve"> </w:t>
      </w:r>
      <w:r w:rsidRPr="00EA59C0">
        <w:t>stacked</w:t>
      </w:r>
      <w:r w:rsidR="00C026A6" w:rsidRPr="00EA59C0">
        <w:t xml:space="preserve"> </w:t>
      </w:r>
      <w:r w:rsidRPr="00EA59C0">
        <w:t>and</w:t>
      </w:r>
      <w:r w:rsidR="00C026A6" w:rsidRPr="00EA59C0">
        <w:t xml:space="preserve"> </w:t>
      </w:r>
      <w:r w:rsidRPr="00EA59C0">
        <w:t>latticed</w:t>
      </w:r>
      <w:r w:rsidR="00C026A6" w:rsidRPr="00EA59C0">
        <w:t xml:space="preserve"> </w:t>
      </w:r>
      <w:r w:rsidRPr="00EA59C0">
        <w:t>and</w:t>
      </w:r>
      <w:r w:rsidR="00C026A6" w:rsidRPr="00EA59C0">
        <w:t xml:space="preserve"> </w:t>
      </w:r>
      <w:r w:rsidRPr="00EA59C0">
        <w:t>that</w:t>
      </w:r>
      <w:r w:rsidR="00C026A6" w:rsidRPr="00EA59C0">
        <w:t xml:space="preserve"> </w:t>
      </w:r>
      <w:r w:rsidRPr="00EA59C0">
        <w:t>are</w:t>
      </w:r>
      <w:r w:rsidR="00C026A6" w:rsidRPr="00EA59C0">
        <w:t xml:space="preserve"> </w:t>
      </w:r>
      <w:r w:rsidRPr="00EA59C0">
        <w:t>linked</w:t>
      </w:r>
      <w:r w:rsidR="00C026A6" w:rsidRPr="00EA59C0">
        <w:t xml:space="preserve"> </w:t>
      </w:r>
      <w:r w:rsidRPr="00EA59C0">
        <w:t>to</w:t>
      </w:r>
      <w:r w:rsidR="00C026A6" w:rsidRPr="00EA59C0">
        <w:t xml:space="preserve"> </w:t>
      </w:r>
      <w:r w:rsidRPr="00EA59C0">
        <w:t>career</w:t>
      </w:r>
      <w:r w:rsidR="00C026A6" w:rsidRPr="00EA59C0">
        <w:t xml:space="preserve"> </w:t>
      </w:r>
      <w:r w:rsidRPr="00EA59C0">
        <w:t>ladders</w:t>
      </w:r>
      <w:r w:rsidR="0024446D" w:rsidRPr="00EA59C0">
        <w:t>.</w:t>
      </w:r>
      <w:r w:rsidR="00C026A6" w:rsidRPr="00EA59C0">
        <w:t xml:space="preserve"> </w:t>
      </w:r>
      <w:r w:rsidR="00D916CC" w:rsidRPr="00EA59C0">
        <w:t>(</w:t>
      </w:r>
      <w:r w:rsidR="00C026A6" w:rsidRPr="00EA59C0">
        <w:t xml:space="preserve"> </w:t>
      </w:r>
      <w:r w:rsidR="00CE2FFB" w:rsidRPr="00EA59C0">
        <w:t>2</w:t>
      </w:r>
      <w:r w:rsidR="00C026A6" w:rsidRPr="00EA59C0">
        <w:t xml:space="preserve"> </w:t>
      </w:r>
      <w:r w:rsidR="00D916CC" w:rsidRPr="00EA59C0">
        <w:t>point</w:t>
      </w:r>
      <w:r w:rsidR="0024446D" w:rsidRPr="00EA59C0">
        <w:t>s</w:t>
      </w:r>
      <w:r w:rsidR="00D916CC" w:rsidRPr="00EA59C0">
        <w:t>)</w:t>
      </w:r>
      <w:r w:rsidR="0024446D" w:rsidRPr="00EA59C0">
        <w:t>;</w:t>
      </w:r>
    </w:p>
    <w:p w:rsidR="00D8676D" w:rsidRPr="00EA59C0" w:rsidRDefault="00D8676D"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provides</w:t>
      </w:r>
      <w:r w:rsidR="00C026A6" w:rsidRPr="00EA59C0">
        <w:t xml:space="preserve"> </w:t>
      </w:r>
      <w:r w:rsidRPr="00EA59C0">
        <w:t>plans</w:t>
      </w:r>
      <w:r w:rsidR="00C026A6" w:rsidRPr="00EA59C0">
        <w:t xml:space="preserve"> </w:t>
      </w:r>
      <w:r w:rsidRPr="00EA59C0">
        <w:t>to</w:t>
      </w:r>
      <w:r w:rsidR="00C026A6" w:rsidRPr="00EA59C0">
        <w:t xml:space="preserve"> </w:t>
      </w:r>
      <w:r w:rsidRPr="00EA59C0">
        <w:t>engage</w:t>
      </w:r>
      <w:r w:rsidR="00C026A6" w:rsidRPr="00EA59C0">
        <w:t xml:space="preserve"> </w:t>
      </w:r>
      <w:r w:rsidRPr="00EA59C0">
        <w:t>employers</w:t>
      </w:r>
      <w:r w:rsidR="00C026A6" w:rsidRPr="00EA59C0">
        <w:t xml:space="preserve"> </w:t>
      </w:r>
      <w:r w:rsidRPr="00EA59C0">
        <w:t>and/or</w:t>
      </w:r>
      <w:r w:rsidR="00C026A6" w:rsidRPr="00EA59C0">
        <w:t xml:space="preserve"> </w:t>
      </w:r>
      <w:r w:rsidR="00D916CC" w:rsidRPr="00EA59C0">
        <w:t>regional</w:t>
      </w:r>
      <w:r w:rsidR="00C026A6" w:rsidRPr="00EA59C0">
        <w:t xml:space="preserve"> </w:t>
      </w:r>
      <w:r w:rsidR="00D916CC" w:rsidRPr="00EA59C0">
        <w:t>or</w:t>
      </w:r>
      <w:r w:rsidR="00C026A6" w:rsidRPr="00EA59C0">
        <w:t xml:space="preserve"> </w:t>
      </w:r>
      <w:r w:rsidR="00D916CC" w:rsidRPr="00EA59C0">
        <w:t>national</w:t>
      </w:r>
      <w:r w:rsidR="00C026A6" w:rsidRPr="00EA59C0">
        <w:t xml:space="preserve"> </w:t>
      </w:r>
      <w:r w:rsidRPr="00EA59C0">
        <w:t>industry</w:t>
      </w:r>
      <w:r w:rsidR="00C026A6" w:rsidRPr="00EA59C0">
        <w:t xml:space="preserve"> </w:t>
      </w:r>
      <w:r w:rsidRPr="00EA59C0">
        <w:t>associations</w:t>
      </w:r>
      <w:r w:rsidR="00C026A6" w:rsidRPr="00EA59C0">
        <w:t xml:space="preserve"> </w:t>
      </w:r>
      <w:r w:rsidRPr="00EA59C0">
        <w:t>to</w:t>
      </w:r>
      <w:r w:rsidR="00C026A6" w:rsidRPr="00EA59C0">
        <w:t xml:space="preserve"> </w:t>
      </w:r>
      <w:r w:rsidRPr="00EA59C0">
        <w:t>identify</w:t>
      </w:r>
      <w:r w:rsidR="00C026A6" w:rsidRPr="00EA59C0">
        <w:t xml:space="preserve"> </w:t>
      </w:r>
      <w:r w:rsidRPr="00EA59C0">
        <w:t>courses</w:t>
      </w:r>
      <w:r w:rsidR="00C026A6" w:rsidRPr="00EA59C0">
        <w:t xml:space="preserve"> </w:t>
      </w:r>
      <w:r w:rsidR="00955FE3" w:rsidRPr="00EA59C0">
        <w:t>for</w:t>
      </w:r>
      <w:r w:rsidR="00C026A6" w:rsidRPr="00EA59C0">
        <w:t xml:space="preserve"> </w:t>
      </w:r>
      <w:r w:rsidR="00955FE3" w:rsidRPr="00EA59C0">
        <w:t>new</w:t>
      </w:r>
      <w:r w:rsidR="00C026A6" w:rsidRPr="00EA59C0">
        <w:t xml:space="preserve"> </w:t>
      </w:r>
      <w:r w:rsidR="00955FE3" w:rsidRPr="00EA59C0">
        <w:t>or</w:t>
      </w:r>
      <w:r w:rsidR="00C026A6" w:rsidRPr="00EA59C0">
        <w:t xml:space="preserve"> </w:t>
      </w:r>
      <w:r w:rsidR="00955FE3" w:rsidRPr="00EA59C0">
        <w:t>existing</w:t>
      </w:r>
      <w:r w:rsidR="00C026A6" w:rsidRPr="00EA59C0">
        <w:t xml:space="preserve"> </w:t>
      </w:r>
      <w:r w:rsidR="00955FE3" w:rsidRPr="00EA59C0">
        <w:t>credentials</w:t>
      </w:r>
      <w:r w:rsidR="0024446D" w:rsidRPr="00EA59C0">
        <w:t>.</w:t>
      </w:r>
      <w:r w:rsidR="00C026A6" w:rsidRPr="00EA59C0">
        <w:t xml:space="preserve"> </w:t>
      </w:r>
      <w:r w:rsidR="00D916CC" w:rsidRPr="00EA59C0">
        <w:t>(2</w:t>
      </w:r>
      <w:r w:rsidR="00C026A6" w:rsidRPr="00EA59C0">
        <w:t xml:space="preserve"> </w:t>
      </w:r>
      <w:r w:rsidR="00D916CC" w:rsidRPr="00EA59C0">
        <w:t>points)</w:t>
      </w:r>
      <w:r w:rsidR="0024446D" w:rsidRPr="00EA59C0">
        <w:t>;</w:t>
      </w:r>
      <w:r w:rsidR="00C026A6" w:rsidRPr="00EA59C0">
        <w:t xml:space="preserve"> </w:t>
      </w:r>
      <w:r w:rsidR="00955FE3" w:rsidRPr="00EA59C0">
        <w:t>and</w:t>
      </w:r>
      <w:r w:rsidR="00C026A6" w:rsidRPr="00EA59C0">
        <w:t xml:space="preserve"> </w:t>
      </w:r>
    </w:p>
    <w:p w:rsidR="00D8676D" w:rsidRPr="00EA59C0" w:rsidRDefault="002A7A93" w:rsidP="00B505EF">
      <w:pPr>
        <w:pStyle w:val="ListParagraph"/>
        <w:numPr>
          <w:ilvl w:val="4"/>
          <w:numId w:val="17"/>
        </w:numPr>
      </w:pPr>
      <w:r w:rsidRPr="00EA59C0">
        <w:t>The</w:t>
      </w:r>
      <w:r w:rsidR="00C026A6" w:rsidRPr="00EA59C0">
        <w:t xml:space="preserve"> </w:t>
      </w:r>
      <w:r w:rsidRPr="00EA59C0">
        <w:t>strength</w:t>
      </w:r>
      <w:r w:rsidR="00C026A6" w:rsidRPr="00EA59C0">
        <w:t xml:space="preserve"> </w:t>
      </w:r>
      <w:r w:rsidRPr="00EA59C0">
        <w:t>of</w:t>
      </w:r>
      <w:r w:rsidR="00C026A6" w:rsidRPr="00EA59C0">
        <w:t xml:space="preserve"> </w:t>
      </w:r>
      <w:r w:rsidRPr="00EA59C0">
        <w:t>the</w:t>
      </w:r>
      <w:r w:rsidR="00C026A6" w:rsidRPr="00EA59C0">
        <w:t xml:space="preserve"> </w:t>
      </w:r>
      <w:r w:rsidR="00D8676D" w:rsidRPr="00EA59C0">
        <w:t>plan</w:t>
      </w:r>
      <w:r w:rsidR="00C026A6" w:rsidRPr="00EA59C0">
        <w:t xml:space="preserve"> </w:t>
      </w:r>
      <w:r w:rsidR="00D8676D" w:rsidRPr="00EA59C0">
        <w:t>for</w:t>
      </w:r>
      <w:r w:rsidR="00C026A6" w:rsidRPr="00EA59C0">
        <w:t xml:space="preserve"> </w:t>
      </w:r>
      <w:r w:rsidR="00D8676D" w:rsidRPr="00EA59C0">
        <w:t>supporting</w:t>
      </w:r>
      <w:r w:rsidR="00C026A6" w:rsidRPr="00EA59C0">
        <w:t xml:space="preserve"> </w:t>
      </w:r>
      <w:r w:rsidR="00D8676D" w:rsidRPr="00EA59C0">
        <w:t>the</w:t>
      </w:r>
      <w:r w:rsidR="00C026A6" w:rsidRPr="00EA59C0">
        <w:t xml:space="preserve"> </w:t>
      </w:r>
      <w:r w:rsidR="00D8676D" w:rsidRPr="00EA59C0">
        <w:t>transferability</w:t>
      </w:r>
      <w:r w:rsidR="00C026A6" w:rsidRPr="00EA59C0">
        <w:t xml:space="preserve"> </w:t>
      </w:r>
      <w:r w:rsidR="00D8676D" w:rsidRPr="00EA59C0">
        <w:t>and</w:t>
      </w:r>
      <w:r w:rsidR="00C026A6" w:rsidRPr="00EA59C0">
        <w:t xml:space="preserve"> </w:t>
      </w:r>
      <w:r w:rsidR="00D8676D" w:rsidRPr="00EA59C0">
        <w:t>articulation</w:t>
      </w:r>
      <w:r w:rsidR="00C026A6" w:rsidRPr="00EA59C0">
        <w:t xml:space="preserve"> </w:t>
      </w:r>
      <w:r w:rsidR="00D8676D" w:rsidRPr="00EA59C0">
        <w:t>of</w:t>
      </w:r>
      <w:r w:rsidR="00C026A6" w:rsidRPr="00EA59C0">
        <w:t xml:space="preserve"> </w:t>
      </w:r>
      <w:r w:rsidR="00D8676D" w:rsidRPr="00EA59C0">
        <w:t>courses</w:t>
      </w:r>
      <w:r w:rsidR="00C026A6" w:rsidRPr="00EA59C0">
        <w:t xml:space="preserve"> </w:t>
      </w:r>
      <w:r w:rsidR="00D8676D" w:rsidRPr="00EA59C0">
        <w:t>across</w:t>
      </w:r>
      <w:r w:rsidR="00C026A6" w:rsidRPr="00EA59C0">
        <w:t xml:space="preserve"> </w:t>
      </w:r>
      <w:r w:rsidR="00D8676D" w:rsidRPr="00EA59C0">
        <w:t>programs</w:t>
      </w:r>
      <w:r w:rsidR="00C026A6" w:rsidRPr="00EA59C0">
        <w:t xml:space="preserve"> </w:t>
      </w:r>
      <w:r w:rsidR="00D8676D" w:rsidRPr="00EA59C0">
        <w:t>and</w:t>
      </w:r>
      <w:r w:rsidR="00C026A6" w:rsidRPr="00EA59C0">
        <w:t xml:space="preserve"> </w:t>
      </w:r>
      <w:r w:rsidR="00D8676D" w:rsidRPr="00EA59C0">
        <w:t>institutions</w:t>
      </w:r>
      <w:r w:rsidR="00C026A6" w:rsidRPr="00EA59C0">
        <w:t xml:space="preserve"> </w:t>
      </w:r>
      <w:r w:rsidR="00D8676D" w:rsidRPr="00EA59C0">
        <w:t>that</w:t>
      </w:r>
      <w:r w:rsidR="00C026A6" w:rsidRPr="00EA59C0">
        <w:t xml:space="preserve"> </w:t>
      </w:r>
      <w:r w:rsidR="00D8676D" w:rsidRPr="00EA59C0">
        <w:t>will</w:t>
      </w:r>
      <w:r w:rsidR="00C026A6" w:rsidRPr="00EA59C0">
        <w:t xml:space="preserve"> </w:t>
      </w:r>
      <w:r w:rsidR="00D8676D" w:rsidRPr="00EA59C0">
        <w:t>create</w:t>
      </w:r>
      <w:r w:rsidR="00C026A6" w:rsidRPr="00EA59C0">
        <w:t xml:space="preserve"> </w:t>
      </w:r>
      <w:r w:rsidR="00D8676D" w:rsidRPr="00EA59C0">
        <w:t>career</w:t>
      </w:r>
      <w:r w:rsidR="00C026A6" w:rsidRPr="00EA59C0">
        <w:t xml:space="preserve"> </w:t>
      </w:r>
      <w:r w:rsidR="00D8676D" w:rsidRPr="00EA59C0">
        <w:t>pathways</w:t>
      </w:r>
      <w:r w:rsidR="00C026A6" w:rsidRPr="00EA59C0">
        <w:t xml:space="preserve"> </w:t>
      </w:r>
      <w:r w:rsidR="00D8676D" w:rsidRPr="00EA59C0">
        <w:t>and</w:t>
      </w:r>
      <w:r w:rsidR="00C026A6" w:rsidRPr="00EA59C0">
        <w:t xml:space="preserve"> </w:t>
      </w:r>
      <w:r w:rsidR="00D8676D" w:rsidRPr="00EA59C0">
        <w:t>the</w:t>
      </w:r>
      <w:r w:rsidR="00C026A6" w:rsidRPr="00EA59C0">
        <w:t xml:space="preserve"> </w:t>
      </w:r>
      <w:r w:rsidR="00D8676D" w:rsidRPr="00EA59C0">
        <w:t>steps</w:t>
      </w:r>
      <w:r w:rsidR="00C026A6" w:rsidRPr="00EA59C0">
        <w:t xml:space="preserve"> </w:t>
      </w:r>
      <w:r w:rsidR="00D8676D" w:rsidRPr="00EA59C0">
        <w:t>and</w:t>
      </w:r>
      <w:r w:rsidR="00C026A6" w:rsidRPr="00EA59C0">
        <w:t xml:space="preserve"> </w:t>
      </w:r>
      <w:r w:rsidR="00D8676D" w:rsidRPr="00EA59C0">
        <w:t>approvals</w:t>
      </w:r>
      <w:r w:rsidR="00C026A6" w:rsidRPr="00EA59C0">
        <w:t xml:space="preserve"> </w:t>
      </w:r>
      <w:r w:rsidR="00D8676D" w:rsidRPr="00EA59C0">
        <w:t>needed</w:t>
      </w:r>
      <w:r w:rsidR="00C026A6" w:rsidRPr="00EA59C0">
        <w:t xml:space="preserve"> </w:t>
      </w:r>
      <w:r w:rsidR="00D8676D" w:rsidRPr="00EA59C0">
        <w:t>for</w:t>
      </w:r>
      <w:r w:rsidR="00C026A6" w:rsidRPr="00EA59C0">
        <w:t xml:space="preserve"> </w:t>
      </w:r>
      <w:r w:rsidR="00D8676D" w:rsidRPr="00EA59C0">
        <w:t>these</w:t>
      </w:r>
      <w:r w:rsidR="00C026A6" w:rsidRPr="00EA59C0">
        <w:t xml:space="preserve"> </w:t>
      </w:r>
      <w:r w:rsidR="00D8676D" w:rsidRPr="00EA59C0">
        <w:t>to</w:t>
      </w:r>
      <w:r w:rsidR="00C026A6" w:rsidRPr="00EA59C0">
        <w:t xml:space="preserve"> </w:t>
      </w:r>
      <w:r w:rsidR="00D8676D" w:rsidRPr="00EA59C0">
        <w:t>become</w:t>
      </w:r>
      <w:r w:rsidR="00C026A6" w:rsidRPr="00EA59C0">
        <w:t xml:space="preserve"> </w:t>
      </w:r>
      <w:r w:rsidR="00D8676D" w:rsidRPr="00EA59C0">
        <w:t>effective.</w:t>
      </w:r>
      <w:r w:rsidR="00C026A6" w:rsidRPr="00EA59C0">
        <w:t xml:space="preserve"> </w:t>
      </w:r>
      <w:r w:rsidR="00D916CC" w:rsidRPr="00EA59C0">
        <w:t>(</w:t>
      </w:r>
      <w:r w:rsidR="00D2492E" w:rsidRPr="00EA59C0">
        <w:t>1</w:t>
      </w:r>
      <w:r w:rsidR="00C026A6" w:rsidRPr="00EA59C0">
        <w:t xml:space="preserve"> </w:t>
      </w:r>
      <w:r w:rsidR="00D916CC" w:rsidRPr="00EA59C0">
        <w:t>point)</w:t>
      </w:r>
    </w:p>
    <w:p w:rsidR="00D8676D" w:rsidRPr="00EA59C0" w:rsidRDefault="00D8676D" w:rsidP="00B505EF">
      <w:pPr>
        <w:pStyle w:val="ListParagraph"/>
        <w:ind w:left="1440"/>
      </w:pPr>
    </w:p>
    <w:p w:rsidR="00A103FD" w:rsidRPr="00EA59C0" w:rsidRDefault="00A103FD" w:rsidP="00B505EF">
      <w:pPr>
        <w:pStyle w:val="ListParagraph"/>
        <w:numPr>
          <w:ilvl w:val="3"/>
          <w:numId w:val="17"/>
        </w:numPr>
        <w:rPr>
          <w:b/>
        </w:rPr>
      </w:pPr>
      <w:r w:rsidRPr="00EA59C0">
        <w:rPr>
          <w:b/>
        </w:rPr>
        <w:t>Advanced</w:t>
      </w:r>
      <w:r w:rsidR="00C026A6" w:rsidRPr="00EA59C0">
        <w:rPr>
          <w:b/>
        </w:rPr>
        <w:t xml:space="preserve"> </w:t>
      </w:r>
      <w:r w:rsidRPr="00EA59C0">
        <w:rPr>
          <w:b/>
        </w:rPr>
        <w:t>Online</w:t>
      </w:r>
      <w:r w:rsidR="00C026A6" w:rsidRPr="00EA59C0">
        <w:rPr>
          <w:b/>
        </w:rPr>
        <w:t xml:space="preserve"> </w:t>
      </w:r>
      <w:r w:rsidRPr="00EA59C0">
        <w:rPr>
          <w:b/>
        </w:rPr>
        <w:t>And</w:t>
      </w:r>
      <w:r w:rsidR="00C026A6" w:rsidRPr="00EA59C0">
        <w:rPr>
          <w:b/>
        </w:rPr>
        <w:t xml:space="preserve"> </w:t>
      </w:r>
      <w:r w:rsidRPr="00EA59C0">
        <w:rPr>
          <w:b/>
        </w:rPr>
        <w:t>Technology</w:t>
      </w:r>
      <w:r w:rsidR="00C026A6" w:rsidRPr="00EA59C0">
        <w:rPr>
          <w:b/>
        </w:rPr>
        <w:t xml:space="preserve"> </w:t>
      </w:r>
      <w:r w:rsidRPr="00EA59C0">
        <w:rPr>
          <w:b/>
        </w:rPr>
        <w:t>Enabled</w:t>
      </w:r>
      <w:r w:rsidR="00C026A6" w:rsidRPr="00EA59C0">
        <w:rPr>
          <w:b/>
        </w:rPr>
        <w:t xml:space="preserve"> </w:t>
      </w:r>
      <w:r w:rsidRPr="00EA59C0">
        <w:rPr>
          <w:b/>
        </w:rPr>
        <w:t>Learning</w:t>
      </w:r>
      <w:r w:rsidR="00C026A6" w:rsidRPr="00EA59C0">
        <w:rPr>
          <w:b/>
        </w:rPr>
        <w:t xml:space="preserve"> </w:t>
      </w:r>
      <w:r w:rsidR="00614391" w:rsidRPr="00EA59C0">
        <w:rPr>
          <w:b/>
        </w:rPr>
        <w:t>(5</w:t>
      </w:r>
      <w:r w:rsidR="00C026A6" w:rsidRPr="00EA59C0">
        <w:rPr>
          <w:b/>
        </w:rPr>
        <w:t xml:space="preserve"> </w:t>
      </w:r>
      <w:r w:rsidR="00B12A50" w:rsidRPr="00EA59C0">
        <w:rPr>
          <w:b/>
        </w:rPr>
        <w:t>points</w:t>
      </w:r>
      <w:r w:rsidR="00614391" w:rsidRPr="00EA59C0">
        <w:rPr>
          <w:b/>
        </w:rPr>
        <w:t>)</w:t>
      </w:r>
    </w:p>
    <w:p w:rsidR="00D8676D" w:rsidRPr="00EA59C0" w:rsidRDefault="00D8676D" w:rsidP="00B505EF">
      <w:pPr>
        <w:pStyle w:val="ListParagraph"/>
        <w:numPr>
          <w:ilvl w:val="4"/>
          <w:numId w:val="17"/>
        </w:numPr>
      </w:pPr>
      <w:r w:rsidRPr="00EA59C0">
        <w:t>The</w:t>
      </w:r>
      <w:r w:rsidR="00C026A6" w:rsidRPr="00EA59C0">
        <w:t xml:space="preserve"> </w:t>
      </w:r>
      <w:r w:rsidRPr="00EA59C0">
        <w:t>degree</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incorporates</w:t>
      </w:r>
      <w:r w:rsidR="00C026A6" w:rsidRPr="00EA59C0">
        <w:t xml:space="preserve"> </w:t>
      </w:r>
      <w:r w:rsidRPr="00EA59C0">
        <w:t>advanced</w:t>
      </w:r>
      <w:r w:rsidR="00C026A6" w:rsidRPr="00EA59C0">
        <w:t xml:space="preserve"> </w:t>
      </w:r>
      <w:r w:rsidRPr="00EA59C0">
        <w:t>technology</w:t>
      </w:r>
      <w:r w:rsidR="00C026A6" w:rsidRPr="00EA59C0">
        <w:t xml:space="preserve"> </w:t>
      </w:r>
      <w:r w:rsidRPr="00EA59C0">
        <w:t>into</w:t>
      </w:r>
      <w:r w:rsidR="00C026A6" w:rsidRPr="00EA59C0">
        <w:t xml:space="preserve"> </w:t>
      </w:r>
      <w:r w:rsidRPr="00EA59C0">
        <w:t>the</w:t>
      </w:r>
      <w:r w:rsidR="00C026A6" w:rsidRPr="00EA59C0">
        <w:t xml:space="preserve"> </w:t>
      </w:r>
      <w:r w:rsidRPr="00EA59C0">
        <w:t>program</w:t>
      </w:r>
      <w:r w:rsidR="00C026A6" w:rsidRPr="00EA59C0">
        <w:t xml:space="preserve"> </w:t>
      </w:r>
      <w:r w:rsidRPr="00EA59C0">
        <w:t>design</w:t>
      </w:r>
      <w:r w:rsidR="00C026A6" w:rsidRPr="00EA59C0">
        <w:t xml:space="preserve"> </w:t>
      </w:r>
      <w:r w:rsidRPr="00EA59C0">
        <w:t>and</w:t>
      </w:r>
      <w:r w:rsidR="00C026A6" w:rsidRPr="00EA59C0">
        <w:t xml:space="preserve"> </w:t>
      </w:r>
      <w:r w:rsidRPr="00EA59C0">
        <w:t>delivery</w:t>
      </w:r>
      <w:r w:rsidR="00C026A6" w:rsidRPr="00EA59C0">
        <w:t xml:space="preserve"> </w:t>
      </w:r>
      <w:r w:rsidRPr="00EA59C0">
        <w:t>in</w:t>
      </w:r>
      <w:r w:rsidR="00C026A6" w:rsidRPr="00EA59C0">
        <w:t xml:space="preserve"> </w:t>
      </w:r>
      <w:r w:rsidRPr="00EA59C0">
        <w:t>innovative</w:t>
      </w:r>
      <w:r w:rsidR="00C026A6" w:rsidRPr="00EA59C0">
        <w:t xml:space="preserve"> </w:t>
      </w:r>
      <w:r w:rsidRPr="00EA59C0">
        <w:t>and</w:t>
      </w:r>
      <w:r w:rsidR="00C026A6" w:rsidRPr="00EA59C0">
        <w:t xml:space="preserve"> </w:t>
      </w:r>
      <w:r w:rsidRPr="00EA59C0">
        <w:t>effective</w:t>
      </w:r>
      <w:r w:rsidR="00C026A6" w:rsidRPr="00EA59C0">
        <w:t xml:space="preserve"> </w:t>
      </w:r>
      <w:r w:rsidRPr="00EA59C0">
        <w:t>ways,</w:t>
      </w:r>
      <w:r w:rsidR="00C026A6" w:rsidRPr="00EA59C0">
        <w:t xml:space="preserve"> </w:t>
      </w:r>
      <w:r w:rsidRPr="00EA59C0">
        <w:t>such</w:t>
      </w:r>
      <w:r w:rsidR="00C026A6" w:rsidRPr="00EA59C0">
        <w:t xml:space="preserve"> </w:t>
      </w:r>
      <w:r w:rsidRPr="00EA59C0">
        <w:t>as</w:t>
      </w:r>
      <w:r w:rsidR="00C026A6" w:rsidRPr="00EA59C0">
        <w:t xml:space="preserve"> </w:t>
      </w:r>
      <w:r w:rsidRPr="00EA59C0">
        <w:t>interactive</w:t>
      </w:r>
      <w:r w:rsidR="00C026A6" w:rsidRPr="00EA59C0">
        <w:t xml:space="preserve"> </w:t>
      </w:r>
      <w:r w:rsidRPr="00EA59C0">
        <w:t>simulations,</w:t>
      </w:r>
      <w:r w:rsidR="00C026A6" w:rsidRPr="00EA59C0">
        <w:t xml:space="preserve"> </w:t>
      </w:r>
      <w:r w:rsidRPr="00EA59C0">
        <w:t>digital</w:t>
      </w:r>
      <w:r w:rsidR="00C026A6" w:rsidRPr="00EA59C0">
        <w:t xml:space="preserve"> </w:t>
      </w:r>
      <w:r w:rsidRPr="00EA59C0">
        <w:t>tutors,</w:t>
      </w:r>
      <w:r w:rsidR="00C026A6" w:rsidRPr="00EA59C0">
        <w:t xml:space="preserve"> </w:t>
      </w:r>
      <w:r w:rsidRPr="00EA59C0">
        <w:t>and</w:t>
      </w:r>
      <w:r w:rsidR="00C026A6" w:rsidRPr="00EA59C0">
        <w:t xml:space="preserve"> </w:t>
      </w:r>
      <w:r w:rsidRPr="00EA59C0">
        <w:t>other</w:t>
      </w:r>
      <w:r w:rsidR="00C026A6" w:rsidRPr="00EA59C0">
        <w:t xml:space="preserve"> </w:t>
      </w:r>
      <w:r w:rsidRPr="00EA59C0">
        <w:t>promising</w:t>
      </w:r>
      <w:r w:rsidR="00C026A6" w:rsidRPr="00EA59C0">
        <w:t xml:space="preserve"> </w:t>
      </w:r>
      <w:r w:rsidRPr="00EA59C0">
        <w:t>technology</w:t>
      </w:r>
      <w:r w:rsidR="00C026A6" w:rsidRPr="00EA59C0">
        <w:t xml:space="preserve"> </w:t>
      </w:r>
      <w:r w:rsidRPr="00EA59C0">
        <w:t>interventions.</w:t>
      </w:r>
      <w:r w:rsidR="00C026A6" w:rsidRPr="00EA59C0">
        <w:t xml:space="preserve">  </w:t>
      </w:r>
      <w:r w:rsidRPr="00EA59C0">
        <w:t>(3</w:t>
      </w:r>
      <w:r w:rsidR="00C026A6" w:rsidRPr="00EA59C0">
        <w:t xml:space="preserve"> </w:t>
      </w:r>
      <w:r w:rsidRPr="00EA59C0">
        <w:t>points)</w:t>
      </w:r>
      <w:r w:rsidR="0024446D" w:rsidRPr="00EA59C0">
        <w:t>; and</w:t>
      </w:r>
    </w:p>
    <w:p w:rsidR="00D8676D" w:rsidRPr="00EA59C0" w:rsidRDefault="00D8676D"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002C7540" w:rsidRPr="00EA59C0">
        <w:t xml:space="preserve">demonstrates a plan </w:t>
      </w:r>
      <w:r w:rsidRPr="00EA59C0">
        <w:t>to</w:t>
      </w:r>
      <w:r w:rsidR="00C026A6" w:rsidRPr="00EA59C0">
        <w:t xml:space="preserve"> </w:t>
      </w:r>
      <w:r w:rsidRPr="00EA59C0">
        <w:t>use</w:t>
      </w:r>
      <w:r w:rsidR="00C026A6" w:rsidRPr="00EA59C0">
        <w:t xml:space="preserve"> </w:t>
      </w:r>
      <w:r w:rsidRPr="00EA59C0">
        <w:t>technology</w:t>
      </w:r>
      <w:r w:rsidR="00C026A6" w:rsidRPr="00EA59C0">
        <w:t xml:space="preserve"> </w:t>
      </w:r>
      <w:r w:rsidRPr="00EA59C0">
        <w:t>strategies</w:t>
      </w:r>
      <w:r w:rsidR="00C026A6" w:rsidRPr="00EA59C0">
        <w:t xml:space="preserve"> </w:t>
      </w:r>
      <w:r w:rsidR="002C7540" w:rsidRPr="00EA59C0">
        <w:t xml:space="preserve">that furthers innovation in technology </w:t>
      </w:r>
      <w:r w:rsidRPr="00EA59C0">
        <w:t>to</w:t>
      </w:r>
      <w:r w:rsidR="00C026A6" w:rsidRPr="00EA59C0">
        <w:t xml:space="preserve"> </w:t>
      </w:r>
      <w:r w:rsidRPr="00EA59C0">
        <w:t>positively</w:t>
      </w:r>
      <w:r w:rsidR="00C026A6" w:rsidRPr="00EA59C0">
        <w:t xml:space="preserve"> </w:t>
      </w:r>
      <w:r w:rsidRPr="00EA59C0">
        <w:t>impact</w:t>
      </w:r>
      <w:r w:rsidR="00C026A6" w:rsidRPr="00EA59C0">
        <w:t xml:space="preserve"> </w:t>
      </w:r>
      <w:r w:rsidRPr="00EA59C0">
        <w:t>program</w:t>
      </w:r>
      <w:r w:rsidR="00C026A6" w:rsidRPr="00EA59C0">
        <w:t xml:space="preserve"> </w:t>
      </w:r>
      <w:r w:rsidRPr="00EA59C0">
        <w:t>outcomes.</w:t>
      </w:r>
      <w:r w:rsidR="00C026A6" w:rsidRPr="00EA59C0">
        <w:t xml:space="preserve">  </w:t>
      </w:r>
      <w:r w:rsidRPr="00EA59C0">
        <w:t>(2</w:t>
      </w:r>
      <w:r w:rsidR="00C026A6" w:rsidRPr="00EA59C0">
        <w:t xml:space="preserve"> </w:t>
      </w:r>
      <w:r w:rsidRPr="00EA59C0">
        <w:t>points)</w:t>
      </w:r>
    </w:p>
    <w:p w:rsidR="00D8676D" w:rsidRPr="00EA59C0" w:rsidRDefault="00D8676D" w:rsidP="00B505EF">
      <w:pPr>
        <w:pStyle w:val="ListParagraph"/>
        <w:rPr>
          <w:b/>
        </w:rPr>
      </w:pPr>
    </w:p>
    <w:p w:rsidR="00A103FD" w:rsidRPr="00EA59C0" w:rsidRDefault="00A103FD" w:rsidP="00B505EF">
      <w:pPr>
        <w:pStyle w:val="ListParagraph"/>
        <w:numPr>
          <w:ilvl w:val="3"/>
          <w:numId w:val="17"/>
        </w:numPr>
        <w:rPr>
          <w:b/>
        </w:rPr>
      </w:pPr>
      <w:r w:rsidRPr="00EA59C0">
        <w:rPr>
          <w:b/>
        </w:rPr>
        <w:t>Strategic</w:t>
      </w:r>
      <w:r w:rsidR="00C026A6" w:rsidRPr="00EA59C0">
        <w:rPr>
          <w:b/>
        </w:rPr>
        <w:t xml:space="preserve"> </w:t>
      </w:r>
      <w:r w:rsidRPr="00EA59C0">
        <w:rPr>
          <w:b/>
        </w:rPr>
        <w:t>Alignment</w:t>
      </w:r>
      <w:r w:rsidR="00C026A6" w:rsidRPr="00EA59C0">
        <w:rPr>
          <w:b/>
        </w:rPr>
        <w:t xml:space="preserve"> </w:t>
      </w:r>
      <w:r w:rsidRPr="00EA59C0">
        <w:rPr>
          <w:b/>
        </w:rPr>
        <w:t>with</w:t>
      </w:r>
      <w:r w:rsidR="00C026A6" w:rsidRPr="00EA59C0">
        <w:rPr>
          <w:b/>
        </w:rPr>
        <w:t xml:space="preserve"> </w:t>
      </w:r>
      <w:r w:rsidRPr="00EA59C0">
        <w:rPr>
          <w:b/>
        </w:rPr>
        <w:t>the</w:t>
      </w:r>
      <w:r w:rsidR="00C026A6" w:rsidRPr="00EA59C0">
        <w:rPr>
          <w:b/>
        </w:rPr>
        <w:t xml:space="preserve"> </w:t>
      </w:r>
      <w:r w:rsidRPr="00EA59C0">
        <w:rPr>
          <w:b/>
        </w:rPr>
        <w:t>Workforce</w:t>
      </w:r>
      <w:r w:rsidR="00C026A6" w:rsidRPr="00EA59C0">
        <w:rPr>
          <w:b/>
        </w:rPr>
        <w:t xml:space="preserve"> </w:t>
      </w:r>
      <w:r w:rsidRPr="00EA59C0">
        <w:rPr>
          <w:b/>
        </w:rPr>
        <w:t>System</w:t>
      </w:r>
      <w:r w:rsidR="00C026A6" w:rsidRPr="00EA59C0">
        <w:rPr>
          <w:b/>
        </w:rPr>
        <w:t xml:space="preserve"> </w:t>
      </w:r>
      <w:r w:rsidRPr="00EA59C0">
        <w:rPr>
          <w:b/>
        </w:rPr>
        <w:t>and</w:t>
      </w:r>
      <w:r w:rsidR="00C026A6" w:rsidRPr="00EA59C0">
        <w:rPr>
          <w:b/>
        </w:rPr>
        <w:t xml:space="preserve"> </w:t>
      </w:r>
      <w:r w:rsidRPr="00EA59C0">
        <w:rPr>
          <w:b/>
        </w:rPr>
        <w:t>Other</w:t>
      </w:r>
      <w:r w:rsidR="00C026A6" w:rsidRPr="00EA59C0">
        <w:rPr>
          <w:b/>
        </w:rPr>
        <w:t xml:space="preserve"> </w:t>
      </w:r>
      <w:r w:rsidR="00EC5A37" w:rsidRPr="00EA59C0">
        <w:rPr>
          <w:b/>
        </w:rPr>
        <w:t>Stakeholders</w:t>
      </w:r>
      <w:r w:rsidR="00C026A6" w:rsidRPr="00EA59C0">
        <w:rPr>
          <w:b/>
        </w:rPr>
        <w:t xml:space="preserve"> </w:t>
      </w:r>
      <w:r w:rsidR="00614391" w:rsidRPr="00EA59C0">
        <w:rPr>
          <w:b/>
        </w:rPr>
        <w:t>(</w:t>
      </w:r>
      <w:r w:rsidR="005205AB" w:rsidRPr="00EA59C0">
        <w:rPr>
          <w:b/>
        </w:rPr>
        <w:t>7</w:t>
      </w:r>
      <w:r w:rsidR="00C026A6" w:rsidRPr="00EA59C0">
        <w:rPr>
          <w:b/>
        </w:rPr>
        <w:t xml:space="preserve"> </w:t>
      </w:r>
      <w:r w:rsidR="00614391" w:rsidRPr="00EA59C0">
        <w:rPr>
          <w:b/>
        </w:rPr>
        <w:t>points)</w:t>
      </w:r>
    </w:p>
    <w:p w:rsidR="00D8676D" w:rsidRPr="00EA59C0" w:rsidRDefault="00D8676D" w:rsidP="00B505EF">
      <w:pPr>
        <w:pStyle w:val="ListParagraph"/>
        <w:numPr>
          <w:ilvl w:val="4"/>
          <w:numId w:val="17"/>
        </w:numPr>
        <w:tabs>
          <w:tab w:val="left" w:pos="1080"/>
        </w:tabs>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demonstrates</w:t>
      </w:r>
      <w:r w:rsidR="00C026A6" w:rsidRPr="00EA59C0">
        <w:t xml:space="preserve"> </w:t>
      </w:r>
      <w:r w:rsidRPr="00EA59C0">
        <w:t>that</w:t>
      </w:r>
      <w:r w:rsidR="00C026A6" w:rsidRPr="00EA59C0">
        <w:t xml:space="preserve"> </w:t>
      </w:r>
      <w:r w:rsidRPr="00EA59C0">
        <w:t>the</w:t>
      </w:r>
      <w:r w:rsidR="00C026A6" w:rsidRPr="00EA59C0">
        <w:t xml:space="preserve"> </w:t>
      </w:r>
      <w:r w:rsidRPr="00EA59C0">
        <w:t>strategies</w:t>
      </w:r>
      <w:r w:rsidR="00C026A6" w:rsidRPr="00EA59C0">
        <w:t xml:space="preserve"> </w:t>
      </w:r>
      <w:r w:rsidRPr="00EA59C0">
        <w:t>in</w:t>
      </w:r>
      <w:r w:rsidR="00C026A6" w:rsidRPr="00EA59C0">
        <w:t xml:space="preserve"> </w:t>
      </w:r>
      <w:r w:rsidRPr="00EA59C0">
        <w:t>the</w:t>
      </w:r>
      <w:r w:rsidR="00C026A6" w:rsidRPr="00EA59C0">
        <w:t xml:space="preserve"> </w:t>
      </w:r>
      <w:r w:rsidRPr="00EA59C0">
        <w:t>proposed</w:t>
      </w:r>
      <w:r w:rsidR="00C026A6" w:rsidRPr="00EA59C0">
        <w:t xml:space="preserve"> </w:t>
      </w:r>
      <w:r w:rsidRPr="00EA59C0">
        <w:t>TAACCCT</w:t>
      </w:r>
      <w:r w:rsidR="00C026A6" w:rsidRPr="00EA59C0">
        <w:t xml:space="preserve"> </w:t>
      </w:r>
      <w:r w:rsidRPr="00EA59C0">
        <w:t>project</w:t>
      </w:r>
      <w:r w:rsidR="00C026A6" w:rsidRPr="00EA59C0">
        <w:t xml:space="preserve"> </w:t>
      </w:r>
      <w:r w:rsidRPr="00EA59C0">
        <w:t>are</w:t>
      </w:r>
      <w:r w:rsidR="00C026A6" w:rsidRPr="00EA59C0">
        <w:t xml:space="preserve"> </w:t>
      </w:r>
      <w:r w:rsidRPr="00EA59C0">
        <w:t>aligned</w:t>
      </w:r>
      <w:r w:rsidR="00C026A6" w:rsidRPr="00EA59C0">
        <w:t xml:space="preserve"> </w:t>
      </w:r>
      <w:r w:rsidRPr="00EA59C0">
        <w:t>with</w:t>
      </w:r>
      <w:r w:rsidR="00C026A6" w:rsidRPr="00EA59C0">
        <w:t xml:space="preserve"> </w:t>
      </w:r>
      <w:r w:rsidRPr="00EA59C0">
        <w:t>the</w:t>
      </w:r>
      <w:r w:rsidR="00C026A6" w:rsidRPr="00EA59C0">
        <w:t xml:space="preserve"> </w:t>
      </w:r>
      <w:r w:rsidRPr="00EA59C0">
        <w:t>goals</w:t>
      </w:r>
      <w:r w:rsidR="00C026A6" w:rsidRPr="00EA59C0">
        <w:t xml:space="preserve"> </w:t>
      </w:r>
      <w:r w:rsidRPr="00EA59C0">
        <w:t>and</w:t>
      </w:r>
      <w:r w:rsidR="00C026A6" w:rsidRPr="00EA59C0">
        <w:t xml:space="preserve"> </w:t>
      </w:r>
      <w:r w:rsidRPr="00EA59C0">
        <w:t>priorities</w:t>
      </w:r>
      <w:r w:rsidR="00C026A6" w:rsidRPr="00EA59C0">
        <w:t xml:space="preserve"> </w:t>
      </w:r>
      <w:r w:rsidRPr="00EA59C0">
        <w:t>of</w:t>
      </w:r>
      <w:r w:rsidR="00C026A6" w:rsidRPr="00EA59C0">
        <w:t xml:space="preserve"> </w:t>
      </w:r>
      <w:r w:rsidRPr="00EA59C0">
        <w:t>both</w:t>
      </w:r>
      <w:r w:rsidR="00C026A6" w:rsidRPr="00EA59C0">
        <w:t xml:space="preserve"> </w:t>
      </w:r>
      <w:r w:rsidRPr="00EA59C0">
        <w:t>the</w:t>
      </w:r>
      <w:r w:rsidR="00C026A6" w:rsidRPr="00EA59C0">
        <w:t xml:space="preserve"> </w:t>
      </w:r>
      <w:r w:rsidRPr="00EA59C0">
        <w:t>Governor’s</w:t>
      </w:r>
      <w:r w:rsidR="00C026A6" w:rsidRPr="00EA59C0">
        <w:t xml:space="preserve"> </w:t>
      </w:r>
      <w:r w:rsidRPr="00EA59C0">
        <w:t>Economic</w:t>
      </w:r>
      <w:r w:rsidR="00C026A6" w:rsidRPr="00EA59C0">
        <w:t xml:space="preserve"> </w:t>
      </w:r>
      <w:r w:rsidRPr="00EA59C0">
        <w:t>Development</w:t>
      </w:r>
      <w:r w:rsidR="00C026A6" w:rsidRPr="00EA59C0">
        <w:t xml:space="preserve"> </w:t>
      </w:r>
      <w:r w:rsidR="00452C4D" w:rsidRPr="00EA59C0">
        <w:t>plan</w:t>
      </w:r>
      <w:r w:rsidR="00C026A6" w:rsidRPr="00EA59C0">
        <w:t xml:space="preserve"> </w:t>
      </w:r>
      <w:r w:rsidRPr="00EA59C0">
        <w:t>and</w:t>
      </w:r>
      <w:r w:rsidR="00C026A6" w:rsidRPr="00EA59C0">
        <w:t xml:space="preserve"> </w:t>
      </w:r>
      <w:r w:rsidRPr="00EA59C0">
        <w:t>WIA-WP</w:t>
      </w:r>
      <w:r w:rsidR="00C026A6" w:rsidRPr="00EA59C0">
        <w:t xml:space="preserve"> </w:t>
      </w:r>
      <w:r w:rsidRPr="00EA59C0">
        <w:t>integrated</w:t>
      </w:r>
      <w:r w:rsidR="00C026A6" w:rsidRPr="00EA59C0">
        <w:t xml:space="preserve"> </w:t>
      </w:r>
      <w:r w:rsidRPr="00EA59C0">
        <w:t>state</w:t>
      </w:r>
      <w:r w:rsidR="00C026A6" w:rsidRPr="00EA59C0">
        <w:t xml:space="preserve"> </w:t>
      </w:r>
      <w:r w:rsidRPr="00EA59C0">
        <w:t>workforce</w:t>
      </w:r>
      <w:r w:rsidR="00C026A6" w:rsidRPr="00EA59C0">
        <w:t xml:space="preserve"> </w:t>
      </w:r>
      <w:r w:rsidRPr="00EA59C0">
        <w:t>plan</w:t>
      </w:r>
      <w:r w:rsidR="00C026A6" w:rsidRPr="00EA59C0">
        <w:t xml:space="preserve"> </w:t>
      </w:r>
      <w:r w:rsidRPr="00EA59C0">
        <w:t>for</w:t>
      </w:r>
      <w:r w:rsidR="00C026A6" w:rsidRPr="00EA59C0">
        <w:t xml:space="preserve"> </w:t>
      </w:r>
      <w:r w:rsidRPr="00EA59C0">
        <w:t>each</w:t>
      </w:r>
      <w:r w:rsidR="00C026A6" w:rsidRPr="00EA59C0">
        <w:t xml:space="preserve"> </w:t>
      </w:r>
      <w:r w:rsidRPr="00EA59C0">
        <w:t>of</w:t>
      </w:r>
      <w:r w:rsidR="00C026A6" w:rsidRPr="00EA59C0">
        <w:t xml:space="preserve"> </w:t>
      </w:r>
      <w:r w:rsidRPr="00EA59C0">
        <w:t>the</w:t>
      </w:r>
      <w:r w:rsidR="00C026A6" w:rsidRPr="00EA59C0">
        <w:t xml:space="preserve"> </w:t>
      </w:r>
      <w:r w:rsidRPr="00EA59C0">
        <w:t>states</w:t>
      </w:r>
      <w:r w:rsidR="00C026A6" w:rsidRPr="00EA59C0">
        <w:t xml:space="preserve"> </w:t>
      </w:r>
      <w:r w:rsidRPr="00EA59C0">
        <w:t>targeted</w:t>
      </w:r>
      <w:r w:rsidR="00C026A6" w:rsidRPr="00EA59C0">
        <w:t xml:space="preserve"> </w:t>
      </w:r>
      <w:r w:rsidRPr="00EA59C0">
        <w:t>through</w:t>
      </w:r>
      <w:r w:rsidR="00C026A6" w:rsidRPr="00EA59C0">
        <w:t xml:space="preserve"> </w:t>
      </w:r>
      <w:r w:rsidRPr="00EA59C0">
        <w:t>its</w:t>
      </w:r>
      <w:r w:rsidR="00C026A6" w:rsidRPr="00EA59C0">
        <w:t xml:space="preserve"> </w:t>
      </w:r>
      <w:r w:rsidRPr="00EA59C0">
        <w:t>project,</w:t>
      </w:r>
      <w:r w:rsidR="00C026A6" w:rsidRPr="00EA59C0">
        <w:t xml:space="preserve"> </w:t>
      </w:r>
      <w:r w:rsidRPr="00EA59C0">
        <w:t>including</w:t>
      </w:r>
      <w:r w:rsidR="00C026A6" w:rsidRPr="00EA59C0">
        <w:t xml:space="preserve"> </w:t>
      </w:r>
      <w:r w:rsidRPr="00EA59C0">
        <w:t>targeting</w:t>
      </w:r>
      <w:r w:rsidR="00C026A6" w:rsidRPr="00EA59C0">
        <w:t xml:space="preserve"> </w:t>
      </w:r>
      <w:r w:rsidRPr="00EA59C0">
        <w:t>the</w:t>
      </w:r>
      <w:r w:rsidR="00C026A6" w:rsidRPr="00EA59C0">
        <w:t xml:space="preserve"> </w:t>
      </w:r>
      <w:r w:rsidRPr="00EA59C0">
        <w:t>specific</w:t>
      </w:r>
      <w:r w:rsidR="00C026A6" w:rsidRPr="00EA59C0">
        <w:t xml:space="preserve"> </w:t>
      </w:r>
      <w:r w:rsidRPr="00EA59C0">
        <w:t>industry</w:t>
      </w:r>
      <w:r w:rsidR="00C026A6" w:rsidRPr="00EA59C0">
        <w:t xml:space="preserve"> </w:t>
      </w:r>
      <w:r w:rsidRPr="00EA59C0">
        <w:t>sectors</w:t>
      </w:r>
      <w:r w:rsidR="00C026A6" w:rsidRPr="00EA59C0">
        <w:t xml:space="preserve"> </w:t>
      </w:r>
      <w:r w:rsidRPr="00EA59C0">
        <w:t>or</w:t>
      </w:r>
      <w:r w:rsidR="00C026A6" w:rsidRPr="00EA59C0">
        <w:t xml:space="preserve"> </w:t>
      </w:r>
      <w:r w:rsidRPr="00EA59C0">
        <w:t>clust</w:t>
      </w:r>
      <w:r w:rsidR="00C63F6B" w:rsidRPr="00EA59C0">
        <w:t>ers</w:t>
      </w:r>
      <w:r w:rsidR="00C026A6" w:rsidRPr="00EA59C0">
        <w:t xml:space="preserve"> </w:t>
      </w:r>
      <w:r w:rsidR="00C63F6B" w:rsidRPr="00EA59C0">
        <w:t>in</w:t>
      </w:r>
      <w:r w:rsidR="00C026A6" w:rsidRPr="00EA59C0">
        <w:t xml:space="preserve"> </w:t>
      </w:r>
      <w:r w:rsidR="00C63F6B" w:rsidRPr="00EA59C0">
        <w:t>those</w:t>
      </w:r>
      <w:r w:rsidR="00C026A6" w:rsidRPr="00EA59C0">
        <w:t xml:space="preserve"> </w:t>
      </w:r>
      <w:r w:rsidR="00C63F6B" w:rsidRPr="00EA59C0">
        <w:t>plans</w:t>
      </w:r>
      <w:r w:rsidR="0024446D" w:rsidRPr="00EA59C0">
        <w:t>.</w:t>
      </w:r>
      <w:r w:rsidR="00C026A6" w:rsidRPr="00EA59C0">
        <w:t xml:space="preserve">  </w:t>
      </w:r>
      <w:r w:rsidR="00C63F6B" w:rsidRPr="00EA59C0">
        <w:t>(</w:t>
      </w:r>
      <w:r w:rsidR="00B12A50" w:rsidRPr="00EA59C0">
        <w:t>1</w:t>
      </w:r>
      <w:r w:rsidR="00C026A6" w:rsidRPr="00EA59C0">
        <w:t xml:space="preserve"> </w:t>
      </w:r>
      <w:r w:rsidR="00B12A50" w:rsidRPr="00EA59C0">
        <w:t>point</w:t>
      </w:r>
      <w:r w:rsidR="00C63F6B" w:rsidRPr="00EA59C0">
        <w:t>)</w:t>
      </w:r>
      <w:r w:rsidR="0024446D" w:rsidRPr="00EA59C0">
        <w:t>;</w:t>
      </w:r>
    </w:p>
    <w:p w:rsidR="00D8676D" w:rsidRPr="00EA59C0" w:rsidRDefault="00D8676D" w:rsidP="00B505EF">
      <w:pPr>
        <w:pStyle w:val="ListParagraph"/>
        <w:numPr>
          <w:ilvl w:val="4"/>
          <w:numId w:val="17"/>
        </w:numPr>
        <w:tabs>
          <w:tab w:val="left" w:pos="1080"/>
        </w:tabs>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demonstrates</w:t>
      </w:r>
      <w:r w:rsidR="00C026A6" w:rsidRPr="00EA59C0">
        <w:t xml:space="preserve"> </w:t>
      </w:r>
      <w:r w:rsidRPr="00EA59C0">
        <w:t>that</w:t>
      </w:r>
      <w:r w:rsidR="00C026A6" w:rsidRPr="00EA59C0">
        <w:t xml:space="preserve"> </w:t>
      </w:r>
      <w:r w:rsidRPr="00EA59C0">
        <w:t>the</w:t>
      </w:r>
      <w:r w:rsidR="00C026A6" w:rsidRPr="00EA59C0">
        <w:t xml:space="preserve"> </w:t>
      </w:r>
      <w:r w:rsidRPr="00EA59C0">
        <w:t>strategies</w:t>
      </w:r>
      <w:r w:rsidR="00C026A6" w:rsidRPr="00EA59C0">
        <w:t xml:space="preserve"> </w:t>
      </w:r>
      <w:r w:rsidRPr="00EA59C0">
        <w:t>in</w:t>
      </w:r>
      <w:r w:rsidR="00C026A6" w:rsidRPr="00EA59C0">
        <w:t xml:space="preserve"> </w:t>
      </w:r>
      <w:r w:rsidRPr="00EA59C0">
        <w:t>the</w:t>
      </w:r>
      <w:r w:rsidR="00C026A6" w:rsidRPr="00EA59C0">
        <w:t xml:space="preserve"> </w:t>
      </w:r>
      <w:r w:rsidRPr="00EA59C0">
        <w:t>proposed</w:t>
      </w:r>
      <w:r w:rsidR="00C026A6" w:rsidRPr="00EA59C0">
        <w:t xml:space="preserve"> </w:t>
      </w:r>
      <w:r w:rsidRPr="00EA59C0">
        <w:t>TAACCCT</w:t>
      </w:r>
      <w:r w:rsidR="00C026A6" w:rsidRPr="00EA59C0">
        <w:t xml:space="preserve"> </w:t>
      </w:r>
      <w:r w:rsidRPr="00EA59C0">
        <w:t>project</w:t>
      </w:r>
      <w:r w:rsidR="00C026A6" w:rsidRPr="00EA59C0">
        <w:t xml:space="preserve"> </w:t>
      </w:r>
      <w:r w:rsidRPr="00EA59C0">
        <w:t>include</w:t>
      </w:r>
      <w:r w:rsidR="00C026A6" w:rsidRPr="00EA59C0">
        <w:t xml:space="preserve"> </w:t>
      </w:r>
      <w:r w:rsidRPr="00EA59C0">
        <w:t>targeting</w:t>
      </w:r>
      <w:r w:rsidR="00C026A6" w:rsidRPr="00EA59C0">
        <w:t xml:space="preserve"> </w:t>
      </w:r>
      <w:r w:rsidRPr="00EA59C0">
        <w:t>the</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strategies,</w:t>
      </w:r>
      <w:r w:rsidR="00C026A6" w:rsidRPr="00EA59C0">
        <w:t xml:space="preserve"> </w:t>
      </w:r>
      <w:r w:rsidRPr="00EA59C0">
        <w:t>and/or</w:t>
      </w:r>
      <w:r w:rsidR="00C026A6" w:rsidRPr="00EA59C0">
        <w:t xml:space="preserve"> </w:t>
      </w:r>
      <w:r w:rsidRPr="00EA59C0">
        <w:t>goals</w:t>
      </w:r>
      <w:r w:rsidR="00C026A6" w:rsidRPr="00EA59C0">
        <w:t xml:space="preserve"> </w:t>
      </w:r>
      <w:r w:rsidRPr="00EA59C0">
        <w:t>for</w:t>
      </w:r>
      <w:r w:rsidR="00C026A6" w:rsidRPr="00EA59C0">
        <w:t xml:space="preserve"> </w:t>
      </w:r>
      <w:r w:rsidRPr="00EA59C0">
        <w:t>credential</w:t>
      </w:r>
      <w:r w:rsidR="00C026A6" w:rsidRPr="00EA59C0">
        <w:t xml:space="preserve"> </w:t>
      </w:r>
      <w:r w:rsidRPr="00EA59C0">
        <w:t>attainment</w:t>
      </w:r>
      <w:r w:rsidR="00C026A6" w:rsidRPr="00EA59C0">
        <w:t xml:space="preserve"> </w:t>
      </w:r>
      <w:r w:rsidRPr="00EA59C0">
        <w:t>included</w:t>
      </w:r>
      <w:r w:rsidR="00C026A6" w:rsidRPr="00EA59C0">
        <w:t xml:space="preserve"> </w:t>
      </w:r>
      <w:r w:rsidRPr="00EA59C0">
        <w:t>in</w:t>
      </w:r>
      <w:r w:rsidR="00C026A6" w:rsidRPr="00EA59C0">
        <w:t xml:space="preserve"> </w:t>
      </w:r>
      <w:r w:rsidRPr="00EA59C0">
        <w:t>the</w:t>
      </w:r>
      <w:r w:rsidR="00C026A6" w:rsidRPr="00EA59C0">
        <w:t xml:space="preserve"> </w:t>
      </w:r>
      <w:r w:rsidRPr="00EA59C0">
        <w:t>Governor’s</w:t>
      </w:r>
      <w:r w:rsidR="00C026A6" w:rsidRPr="00EA59C0">
        <w:t xml:space="preserve"> </w:t>
      </w:r>
      <w:r w:rsidRPr="00EA59C0">
        <w:t>Economic</w:t>
      </w:r>
      <w:r w:rsidR="00C026A6" w:rsidRPr="00EA59C0">
        <w:t xml:space="preserve"> </w:t>
      </w:r>
      <w:r w:rsidRPr="00EA59C0">
        <w:t>Development</w:t>
      </w:r>
      <w:r w:rsidR="00C026A6" w:rsidRPr="00EA59C0">
        <w:t xml:space="preserve"> </w:t>
      </w:r>
      <w:r w:rsidRPr="00EA59C0">
        <w:t>and</w:t>
      </w:r>
      <w:r w:rsidR="00C026A6" w:rsidRPr="00EA59C0">
        <w:t xml:space="preserve"> </w:t>
      </w:r>
      <w:r w:rsidRPr="00EA59C0">
        <w:t>WIA-WP</w:t>
      </w:r>
      <w:r w:rsidR="00C026A6" w:rsidRPr="00EA59C0">
        <w:t xml:space="preserve"> </w:t>
      </w:r>
      <w:r w:rsidRPr="00EA59C0">
        <w:t>plans.</w:t>
      </w:r>
      <w:r w:rsidR="00C026A6" w:rsidRPr="00EA59C0">
        <w:t xml:space="preserve"> </w:t>
      </w:r>
      <w:r w:rsidRPr="00EA59C0">
        <w:t>(1</w:t>
      </w:r>
      <w:r w:rsidR="00C026A6" w:rsidRPr="00EA59C0">
        <w:t xml:space="preserve"> </w:t>
      </w:r>
      <w:r w:rsidRPr="00EA59C0">
        <w:t>point)</w:t>
      </w:r>
      <w:r w:rsidR="00C026A6" w:rsidRPr="00EA59C0">
        <w:t xml:space="preserve">  </w:t>
      </w:r>
    </w:p>
    <w:p w:rsidR="006A370C" w:rsidRPr="00EA59C0" w:rsidRDefault="00D8676D" w:rsidP="00B505EF">
      <w:pPr>
        <w:pStyle w:val="ListParagraph"/>
        <w:numPr>
          <w:ilvl w:val="4"/>
          <w:numId w:val="17"/>
        </w:numPr>
        <w:tabs>
          <w:tab w:val="left" w:pos="1080"/>
        </w:tabs>
      </w:pPr>
      <w:r w:rsidRPr="00EA59C0">
        <w:t>The</w:t>
      </w:r>
      <w:r w:rsidR="00C026A6" w:rsidRPr="00EA59C0">
        <w:t xml:space="preserve"> </w:t>
      </w:r>
      <w:r w:rsidRPr="00EA59C0">
        <w:t>level</w:t>
      </w:r>
      <w:r w:rsidR="00C026A6" w:rsidRPr="00EA59C0">
        <w:t xml:space="preserve"> </w:t>
      </w:r>
      <w:r w:rsidRPr="00EA59C0">
        <w:t>of</w:t>
      </w:r>
      <w:r w:rsidR="00C026A6" w:rsidRPr="00EA59C0">
        <w:t xml:space="preserve"> </w:t>
      </w:r>
      <w:r w:rsidRPr="00EA59C0">
        <w:t>collaboration</w:t>
      </w:r>
      <w:r w:rsidR="00C026A6" w:rsidRPr="00EA59C0">
        <w:t xml:space="preserve"> </w:t>
      </w:r>
      <w:r w:rsidRPr="00EA59C0">
        <w:t>between</w:t>
      </w:r>
      <w:r w:rsidR="00C026A6" w:rsidRPr="00EA59C0">
        <w:t xml:space="preserve"> </w:t>
      </w:r>
      <w:r w:rsidRPr="00EA59C0">
        <w:t>the</w:t>
      </w:r>
      <w:r w:rsidR="00C026A6" w:rsidRPr="00EA59C0">
        <w:t xml:space="preserve"> </w:t>
      </w:r>
      <w:r w:rsidRPr="00EA59C0">
        <w:t>applicant</w:t>
      </w:r>
      <w:r w:rsidR="00C026A6" w:rsidRPr="00EA59C0">
        <w:t xml:space="preserve"> </w:t>
      </w:r>
      <w:r w:rsidRPr="00EA59C0">
        <w:t>and</w:t>
      </w:r>
      <w:r w:rsidR="00C026A6" w:rsidRPr="00EA59C0">
        <w:t xml:space="preserve"> </w:t>
      </w:r>
      <w:r w:rsidRPr="00EA59C0">
        <w:t>the</w:t>
      </w:r>
      <w:r w:rsidR="00C026A6" w:rsidRPr="00EA59C0">
        <w:t xml:space="preserve"> </w:t>
      </w:r>
      <w:r w:rsidRPr="00EA59C0">
        <w:t>public</w:t>
      </w:r>
      <w:r w:rsidR="00C026A6" w:rsidRPr="00EA59C0">
        <w:t xml:space="preserve"> </w:t>
      </w:r>
      <w:r w:rsidRPr="00EA59C0">
        <w:t>workforce</w:t>
      </w:r>
      <w:r w:rsidR="00C026A6" w:rsidRPr="00EA59C0">
        <w:t xml:space="preserve"> </w:t>
      </w:r>
      <w:r w:rsidRPr="00EA59C0">
        <w:t>system</w:t>
      </w:r>
      <w:r w:rsidR="00C026A6" w:rsidRPr="00EA59C0">
        <w:t xml:space="preserve"> </w:t>
      </w:r>
      <w:r w:rsidRPr="00EA59C0">
        <w:t>to</w:t>
      </w:r>
      <w:r w:rsidR="00C026A6" w:rsidRPr="00EA59C0">
        <w:t xml:space="preserve"> </w:t>
      </w:r>
      <w:r w:rsidRPr="00EA59C0">
        <w:t>develop</w:t>
      </w:r>
      <w:r w:rsidR="00C026A6" w:rsidRPr="00EA59C0">
        <w:t xml:space="preserve"> </w:t>
      </w:r>
      <w:r w:rsidRPr="00EA59C0">
        <w:t>and</w:t>
      </w:r>
      <w:r w:rsidR="00C026A6" w:rsidRPr="00EA59C0">
        <w:t xml:space="preserve"> </w:t>
      </w:r>
      <w:r w:rsidRPr="00EA59C0">
        <w:t>deliver</w:t>
      </w:r>
      <w:r w:rsidR="00C026A6" w:rsidRPr="00EA59C0">
        <w:t xml:space="preserve"> </w:t>
      </w:r>
      <w:r w:rsidRPr="00EA59C0">
        <w:t>programs</w:t>
      </w:r>
      <w:r w:rsidR="00D2492E" w:rsidRPr="00EA59C0">
        <w:t>,</w:t>
      </w:r>
      <w:r w:rsidR="00C026A6" w:rsidRPr="00EA59C0">
        <w:t xml:space="preserve"> </w:t>
      </w:r>
      <w:r w:rsidR="00D2492E" w:rsidRPr="00EA59C0">
        <w:t>including</w:t>
      </w:r>
      <w:r w:rsidR="00C026A6" w:rsidRPr="00EA59C0">
        <w:t xml:space="preserve"> </w:t>
      </w:r>
      <w:r w:rsidR="00D2492E" w:rsidRPr="00EA59C0">
        <w:t>the</w:t>
      </w:r>
      <w:r w:rsidR="00C026A6" w:rsidRPr="00EA59C0">
        <w:t xml:space="preserve"> </w:t>
      </w:r>
      <w:r w:rsidR="00D2492E" w:rsidRPr="00EA59C0">
        <w:t>specific</w:t>
      </w:r>
      <w:r w:rsidR="00C026A6" w:rsidRPr="00EA59C0">
        <w:t xml:space="preserve"> </w:t>
      </w:r>
      <w:r w:rsidR="00D2492E" w:rsidRPr="00EA59C0">
        <w:t>services</w:t>
      </w:r>
      <w:r w:rsidR="00C026A6" w:rsidRPr="00EA59C0">
        <w:t xml:space="preserve"> </w:t>
      </w:r>
      <w:r w:rsidR="00D2492E" w:rsidRPr="00EA59C0">
        <w:t>and</w:t>
      </w:r>
      <w:r w:rsidR="00C026A6" w:rsidRPr="00EA59C0">
        <w:t xml:space="preserve"> </w:t>
      </w:r>
      <w:r w:rsidR="00D2492E" w:rsidRPr="00EA59C0">
        <w:t>activities</w:t>
      </w:r>
      <w:r w:rsidR="00C026A6" w:rsidRPr="00EA59C0">
        <w:t xml:space="preserve"> </w:t>
      </w:r>
      <w:r w:rsidR="00D2492E" w:rsidRPr="00EA59C0">
        <w:t>that</w:t>
      </w:r>
      <w:r w:rsidR="00C026A6" w:rsidRPr="00EA59C0">
        <w:t xml:space="preserve"> </w:t>
      </w:r>
      <w:r w:rsidR="00D2492E" w:rsidRPr="00EA59C0">
        <w:t>the</w:t>
      </w:r>
      <w:r w:rsidR="00C026A6" w:rsidRPr="00EA59C0">
        <w:t xml:space="preserve"> </w:t>
      </w:r>
      <w:r w:rsidR="00D2492E" w:rsidRPr="00EA59C0">
        <w:t>public</w:t>
      </w:r>
      <w:r w:rsidR="00C026A6" w:rsidRPr="00EA59C0">
        <w:t xml:space="preserve"> </w:t>
      </w:r>
      <w:r w:rsidR="00D2492E" w:rsidRPr="00EA59C0">
        <w:t>workforce</w:t>
      </w:r>
      <w:r w:rsidR="00C026A6" w:rsidRPr="00EA59C0">
        <w:t xml:space="preserve"> </w:t>
      </w:r>
      <w:r w:rsidR="00D2492E" w:rsidRPr="00EA59C0">
        <w:t>system</w:t>
      </w:r>
      <w:r w:rsidR="00C026A6" w:rsidRPr="00EA59C0">
        <w:t xml:space="preserve"> </w:t>
      </w:r>
      <w:r w:rsidR="00D2492E" w:rsidRPr="00EA59C0">
        <w:t>partner(s)</w:t>
      </w:r>
      <w:r w:rsidR="00C026A6" w:rsidRPr="00EA59C0">
        <w:t xml:space="preserve"> </w:t>
      </w:r>
      <w:r w:rsidR="00D2492E" w:rsidRPr="00EA59C0">
        <w:t>will</w:t>
      </w:r>
      <w:r w:rsidR="00C026A6" w:rsidRPr="00EA59C0">
        <w:t xml:space="preserve"> </w:t>
      </w:r>
      <w:r w:rsidR="00D2492E" w:rsidRPr="00EA59C0">
        <w:t>provide</w:t>
      </w:r>
      <w:r w:rsidR="00C026A6" w:rsidRPr="00EA59C0">
        <w:t xml:space="preserve"> </w:t>
      </w:r>
      <w:r w:rsidR="00D2492E" w:rsidRPr="00EA59C0">
        <w:t>in</w:t>
      </w:r>
      <w:r w:rsidR="00C026A6" w:rsidRPr="00EA59C0">
        <w:t xml:space="preserve"> </w:t>
      </w:r>
      <w:r w:rsidR="00D2492E" w:rsidRPr="00EA59C0">
        <w:t>support</w:t>
      </w:r>
      <w:r w:rsidR="00C026A6" w:rsidRPr="00EA59C0">
        <w:t xml:space="preserve"> </w:t>
      </w:r>
      <w:r w:rsidR="00D2492E" w:rsidRPr="00EA59C0">
        <w:t>of</w:t>
      </w:r>
      <w:r w:rsidR="00C026A6" w:rsidRPr="00EA59C0">
        <w:t xml:space="preserve"> </w:t>
      </w:r>
      <w:r w:rsidR="00D2492E" w:rsidRPr="00EA59C0">
        <w:t>the</w:t>
      </w:r>
      <w:r w:rsidR="00C026A6" w:rsidRPr="00EA59C0">
        <w:t xml:space="preserve"> </w:t>
      </w:r>
      <w:r w:rsidR="00D2492E" w:rsidRPr="00EA59C0">
        <w:t>project</w:t>
      </w:r>
      <w:r w:rsidR="00485ABA" w:rsidRPr="00EA59C0">
        <w:t>.</w:t>
      </w:r>
      <w:r w:rsidR="00C026A6" w:rsidRPr="00EA59C0">
        <w:t xml:space="preserve">  </w:t>
      </w:r>
      <w:r w:rsidRPr="00EA59C0">
        <w:t>This</w:t>
      </w:r>
      <w:r w:rsidR="00C026A6" w:rsidRPr="00EA59C0">
        <w:t xml:space="preserve"> </w:t>
      </w:r>
      <w:r w:rsidRPr="00EA59C0">
        <w:t>includes</w:t>
      </w:r>
      <w:r w:rsidR="00C026A6" w:rsidRPr="00EA59C0">
        <w:t xml:space="preserve"> </w:t>
      </w:r>
      <w:r w:rsidRPr="00EA59C0">
        <w:t>evidence</w:t>
      </w:r>
      <w:r w:rsidR="00C026A6" w:rsidRPr="00EA59C0">
        <w:t xml:space="preserve"> </w:t>
      </w:r>
      <w:r w:rsidRPr="00EA59C0">
        <w:t>that</w:t>
      </w:r>
      <w:r w:rsidR="00C026A6" w:rsidRPr="00EA59C0">
        <w:t xml:space="preserve"> </w:t>
      </w:r>
      <w:r w:rsidRPr="00EA59C0">
        <w:t>at</w:t>
      </w:r>
      <w:r w:rsidR="00C026A6" w:rsidRPr="00EA59C0">
        <w:t xml:space="preserve"> </w:t>
      </w:r>
      <w:r w:rsidRPr="00EA59C0">
        <w:t>least</w:t>
      </w:r>
      <w:r w:rsidR="00C026A6" w:rsidRPr="00EA59C0">
        <w:t xml:space="preserve"> </w:t>
      </w:r>
      <w:r w:rsidRPr="00EA59C0">
        <w:t>one</w:t>
      </w:r>
      <w:r w:rsidR="00C026A6" w:rsidRPr="00EA59C0">
        <w:t xml:space="preserve"> </w:t>
      </w:r>
      <w:r w:rsidRPr="00EA59C0">
        <w:t>local</w:t>
      </w:r>
      <w:r w:rsidR="00C026A6" w:rsidRPr="00EA59C0">
        <w:t xml:space="preserve"> </w:t>
      </w:r>
      <w:r w:rsidRPr="00EA59C0">
        <w:t>WIB</w:t>
      </w:r>
      <w:r w:rsidR="00C026A6" w:rsidRPr="00EA59C0">
        <w:t xml:space="preserve"> </w:t>
      </w:r>
      <w:r w:rsidRPr="00EA59C0">
        <w:t>or</w:t>
      </w:r>
      <w:r w:rsidR="00C026A6" w:rsidRPr="00EA59C0">
        <w:t xml:space="preserve"> </w:t>
      </w:r>
      <w:r w:rsidRPr="00EA59C0">
        <w:t>AJC</w:t>
      </w:r>
      <w:r w:rsidR="00C026A6" w:rsidRPr="00EA59C0">
        <w:t xml:space="preserve"> </w:t>
      </w:r>
      <w:r w:rsidR="00253C37" w:rsidRPr="00EA59C0">
        <w:t>and</w:t>
      </w:r>
      <w:r w:rsidR="00C026A6" w:rsidRPr="00EA59C0">
        <w:t xml:space="preserve"> </w:t>
      </w:r>
      <w:r w:rsidR="00253C37" w:rsidRPr="00EA59C0">
        <w:t>the</w:t>
      </w:r>
      <w:r w:rsidR="00C026A6" w:rsidRPr="00EA59C0">
        <w:t xml:space="preserve"> </w:t>
      </w:r>
      <w:r w:rsidR="00253C37" w:rsidRPr="00EA59C0">
        <w:t>State</w:t>
      </w:r>
      <w:r w:rsidR="00C026A6" w:rsidRPr="00EA59C0">
        <w:t xml:space="preserve"> </w:t>
      </w:r>
      <w:r w:rsidR="00253C37" w:rsidRPr="00EA59C0">
        <w:t>agency</w:t>
      </w:r>
      <w:r w:rsidR="00C026A6" w:rsidRPr="00EA59C0">
        <w:t xml:space="preserve"> </w:t>
      </w:r>
      <w:r w:rsidR="00253C37" w:rsidRPr="00EA59C0">
        <w:t>that</w:t>
      </w:r>
      <w:r w:rsidR="00C026A6" w:rsidRPr="00EA59C0">
        <w:t xml:space="preserve"> </w:t>
      </w:r>
      <w:r w:rsidR="00253C37" w:rsidRPr="00EA59C0">
        <w:t>administers</w:t>
      </w:r>
      <w:r w:rsidR="00C026A6" w:rsidRPr="00EA59C0">
        <w:t xml:space="preserve"> </w:t>
      </w:r>
      <w:r w:rsidR="00253C37" w:rsidRPr="00EA59C0">
        <w:t>the</w:t>
      </w:r>
      <w:r w:rsidR="00C026A6" w:rsidRPr="00EA59C0">
        <w:t xml:space="preserve"> </w:t>
      </w:r>
      <w:r w:rsidR="00253C37" w:rsidRPr="00EA59C0">
        <w:t>TAA</w:t>
      </w:r>
      <w:r w:rsidR="00C026A6" w:rsidRPr="00EA59C0">
        <w:t xml:space="preserve"> </w:t>
      </w:r>
      <w:r w:rsidR="00253C37" w:rsidRPr="00EA59C0">
        <w:t>for</w:t>
      </w:r>
      <w:r w:rsidR="00C026A6" w:rsidRPr="00EA59C0">
        <w:t xml:space="preserve"> </w:t>
      </w:r>
      <w:r w:rsidR="00253C37" w:rsidRPr="00EA59C0">
        <w:t>workers</w:t>
      </w:r>
      <w:r w:rsidR="00C026A6" w:rsidRPr="00EA59C0">
        <w:t xml:space="preserve"> </w:t>
      </w:r>
      <w:r w:rsidR="00253C37" w:rsidRPr="00EA59C0">
        <w:t>program</w:t>
      </w:r>
      <w:r w:rsidR="00C026A6" w:rsidRPr="00EA59C0">
        <w:t xml:space="preserve"> </w:t>
      </w:r>
      <w:r w:rsidR="00253C37" w:rsidRPr="00EA59C0">
        <w:t>are</w:t>
      </w:r>
      <w:r w:rsidR="00C026A6" w:rsidRPr="00EA59C0">
        <w:t xml:space="preserve"> </w:t>
      </w:r>
      <w:r w:rsidR="00253C37" w:rsidRPr="00EA59C0">
        <w:t>all</w:t>
      </w:r>
      <w:r w:rsidR="00C026A6" w:rsidRPr="00EA59C0">
        <w:t xml:space="preserve"> </w:t>
      </w:r>
      <w:r w:rsidRPr="00EA59C0">
        <w:t>involved</w:t>
      </w:r>
      <w:r w:rsidR="00C026A6" w:rsidRPr="00EA59C0">
        <w:t xml:space="preserve"> </w:t>
      </w:r>
      <w:r w:rsidRPr="00EA59C0">
        <w:t>in</w:t>
      </w:r>
      <w:r w:rsidR="00C026A6" w:rsidRPr="00EA59C0">
        <w:t xml:space="preserve"> </w:t>
      </w:r>
      <w:r w:rsidRPr="00EA59C0">
        <w:t>the</w:t>
      </w:r>
      <w:r w:rsidR="00C026A6" w:rsidRPr="00EA59C0">
        <w:t xml:space="preserve"> </w:t>
      </w:r>
      <w:r w:rsidRPr="00EA59C0">
        <w:t>development</w:t>
      </w:r>
      <w:r w:rsidR="00C026A6" w:rsidRPr="00EA59C0">
        <w:t xml:space="preserve"> </w:t>
      </w:r>
      <w:r w:rsidRPr="00EA59C0">
        <w:t>and</w:t>
      </w:r>
      <w:r w:rsidR="00C026A6" w:rsidRPr="00EA59C0">
        <w:t xml:space="preserve"> </w:t>
      </w:r>
      <w:r w:rsidRPr="00EA59C0">
        <w:t>implementation</w:t>
      </w:r>
      <w:r w:rsidR="00C026A6" w:rsidRPr="00EA59C0">
        <w:t xml:space="preserve"> </w:t>
      </w:r>
      <w:r w:rsidRPr="00EA59C0">
        <w:t>of</w:t>
      </w:r>
      <w:r w:rsidR="00C026A6" w:rsidRPr="00EA59C0">
        <w:t xml:space="preserve"> </w:t>
      </w:r>
      <w:r w:rsidRPr="00EA59C0">
        <w:t>the</w:t>
      </w:r>
      <w:r w:rsidR="00C026A6" w:rsidRPr="00EA59C0">
        <w:t xml:space="preserve"> </w:t>
      </w:r>
      <w:r w:rsidRPr="00EA59C0">
        <w:t>grant</w:t>
      </w:r>
      <w:r w:rsidR="00C026A6" w:rsidRPr="00EA59C0">
        <w:t xml:space="preserve"> </w:t>
      </w:r>
      <w:r w:rsidRPr="00EA59C0">
        <w:t>project</w:t>
      </w:r>
      <w:r w:rsidR="00F56E7F" w:rsidRPr="00EA59C0">
        <w:t>.</w:t>
      </w:r>
      <w:r w:rsidR="00C026A6" w:rsidRPr="00EA59C0">
        <w:t xml:space="preserve"> </w:t>
      </w:r>
      <w:r w:rsidR="00F56E7F" w:rsidRPr="00EA59C0">
        <w:t>(</w:t>
      </w:r>
      <w:r w:rsidR="00C026A6" w:rsidRPr="00EA59C0">
        <w:t xml:space="preserve"> </w:t>
      </w:r>
      <w:r w:rsidR="0093560B" w:rsidRPr="00EA59C0">
        <w:t>2</w:t>
      </w:r>
      <w:r w:rsidR="00C026A6" w:rsidRPr="00EA59C0">
        <w:t xml:space="preserve"> </w:t>
      </w:r>
      <w:r w:rsidR="00371638" w:rsidRPr="00EA59C0">
        <w:t>point</w:t>
      </w:r>
      <w:r w:rsidR="00A02DFF" w:rsidRPr="00EA59C0">
        <w:t>s</w:t>
      </w:r>
      <w:r w:rsidR="00F56E7F" w:rsidRPr="00EA59C0">
        <w:t>);</w:t>
      </w:r>
    </w:p>
    <w:p w:rsidR="00D8676D" w:rsidRPr="00EA59C0" w:rsidRDefault="005212F0" w:rsidP="00B505EF">
      <w:pPr>
        <w:pStyle w:val="ListParagraph"/>
        <w:numPr>
          <w:ilvl w:val="4"/>
          <w:numId w:val="17"/>
        </w:numPr>
        <w:tabs>
          <w:tab w:val="left" w:pos="1080"/>
        </w:tabs>
      </w:pPr>
      <w:r w:rsidRPr="00EA59C0">
        <w:t xml:space="preserve">Evidence that the grant will fund a contract with at least one WIB or AJC to provide services or activities tailored to </w:t>
      </w:r>
      <w:r w:rsidR="009C252A" w:rsidRPr="00EA59C0">
        <w:t>the TAACCCT project</w:t>
      </w:r>
      <w:r w:rsidRPr="00EA59C0">
        <w:t xml:space="preserve"> </w:t>
      </w:r>
      <w:r w:rsidR="009C252A" w:rsidRPr="00EA59C0">
        <w:t xml:space="preserve">that are not already funded by other grants </w:t>
      </w:r>
      <w:r w:rsidRPr="00EA59C0">
        <w:t>to support the development or implementation of the TAACCCT project</w:t>
      </w:r>
      <w:r w:rsidR="006A370C" w:rsidRPr="00EA59C0">
        <w:t>.</w:t>
      </w:r>
      <w:r w:rsidR="00C026A6" w:rsidRPr="00EA59C0">
        <w:t xml:space="preserve">  </w:t>
      </w:r>
      <w:r w:rsidR="00371638" w:rsidRPr="00EA59C0">
        <w:t>(</w:t>
      </w:r>
      <w:r w:rsidR="0093560B" w:rsidRPr="00EA59C0">
        <w:t>1</w:t>
      </w:r>
      <w:r w:rsidR="00C026A6" w:rsidRPr="00EA59C0">
        <w:t xml:space="preserve"> </w:t>
      </w:r>
      <w:r w:rsidR="006A370C" w:rsidRPr="00EA59C0">
        <w:t>point);</w:t>
      </w:r>
      <w:r w:rsidR="00C026A6" w:rsidRPr="00EA59C0">
        <w:t xml:space="preserve">  </w:t>
      </w:r>
      <w:r w:rsidR="00F56E7F" w:rsidRPr="00EA59C0">
        <w:t>and</w:t>
      </w:r>
      <w:r w:rsidR="00C026A6" w:rsidRPr="00EA59C0">
        <w:t xml:space="preserve"> </w:t>
      </w:r>
    </w:p>
    <w:p w:rsidR="00D8676D" w:rsidRPr="00EA59C0" w:rsidRDefault="00D8676D" w:rsidP="00B505EF">
      <w:pPr>
        <w:pStyle w:val="ListParagraph"/>
        <w:numPr>
          <w:ilvl w:val="4"/>
          <w:numId w:val="17"/>
        </w:numPr>
        <w:tabs>
          <w:tab w:val="left" w:pos="1080"/>
        </w:tabs>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intends</w:t>
      </w:r>
      <w:r w:rsidR="00C026A6" w:rsidRPr="00EA59C0">
        <w:t xml:space="preserve"> </w:t>
      </w:r>
      <w:r w:rsidRPr="00EA59C0">
        <w:t>to</w:t>
      </w:r>
      <w:r w:rsidR="00C026A6" w:rsidRPr="00EA59C0">
        <w:t xml:space="preserve"> </w:t>
      </w:r>
      <w:r w:rsidRPr="00EA59C0">
        <w:t>collaborate</w:t>
      </w:r>
      <w:r w:rsidR="00C026A6" w:rsidRPr="00EA59C0">
        <w:t xml:space="preserve"> </w:t>
      </w:r>
      <w:r w:rsidRPr="00EA59C0">
        <w:t>with</w:t>
      </w:r>
      <w:r w:rsidR="00C026A6" w:rsidRPr="00EA59C0">
        <w:t xml:space="preserve"> </w:t>
      </w:r>
      <w:r w:rsidRPr="00EA59C0">
        <w:t>philanthropic</w:t>
      </w:r>
      <w:r w:rsidR="00C026A6" w:rsidRPr="00EA59C0">
        <w:t xml:space="preserve"> </w:t>
      </w:r>
      <w:r w:rsidRPr="00EA59C0">
        <w:t>organizations,</w:t>
      </w:r>
      <w:r w:rsidR="00C026A6" w:rsidRPr="00EA59C0">
        <w:t xml:space="preserve"> </w:t>
      </w:r>
      <w:r w:rsidRPr="00EA59C0">
        <w:t>business-related</w:t>
      </w:r>
      <w:r w:rsidR="00C026A6" w:rsidRPr="00EA59C0">
        <w:t xml:space="preserve"> </w:t>
      </w:r>
      <w:r w:rsidRPr="00EA59C0">
        <w:t>and</w:t>
      </w:r>
      <w:r w:rsidR="00C026A6" w:rsidRPr="00EA59C0">
        <w:t xml:space="preserve"> </w:t>
      </w:r>
      <w:r w:rsidRPr="00EA59C0">
        <w:t>other</w:t>
      </w:r>
      <w:r w:rsidR="00C026A6" w:rsidRPr="00EA59C0">
        <w:t xml:space="preserve"> </w:t>
      </w:r>
      <w:r w:rsidRPr="00EA59C0">
        <w:t>non-profit</w:t>
      </w:r>
      <w:r w:rsidR="00C026A6" w:rsidRPr="00EA59C0">
        <w:t xml:space="preserve"> </w:t>
      </w:r>
      <w:r w:rsidRPr="00EA59C0">
        <w:t>organizations,</w:t>
      </w:r>
      <w:r w:rsidR="00C026A6" w:rsidRPr="00EA59C0">
        <w:t xml:space="preserve"> </w:t>
      </w:r>
      <w:r w:rsidRPr="00EA59C0">
        <w:t>community-based</w:t>
      </w:r>
      <w:r w:rsidR="00C026A6" w:rsidRPr="00EA59C0">
        <w:t xml:space="preserve"> </w:t>
      </w:r>
      <w:r w:rsidRPr="00EA59C0">
        <w:t>organizations,</w:t>
      </w:r>
      <w:r w:rsidR="00C026A6" w:rsidRPr="00EA59C0">
        <w:t xml:space="preserve"> </w:t>
      </w:r>
      <w:r w:rsidRPr="00EA59C0">
        <w:t>and</w:t>
      </w:r>
      <w:r w:rsidR="00EC5A37" w:rsidRPr="00EA59C0">
        <w:t>/or</w:t>
      </w:r>
      <w:r w:rsidR="00C026A6" w:rsidRPr="00EA59C0">
        <w:t xml:space="preserve"> </w:t>
      </w:r>
      <w:r w:rsidRPr="00EA59C0">
        <w:t>labor</w:t>
      </w:r>
      <w:r w:rsidR="00C026A6" w:rsidRPr="00EA59C0">
        <w:t xml:space="preserve"> </w:t>
      </w:r>
      <w:r w:rsidRPr="00EA59C0">
        <w:t>organizations</w:t>
      </w:r>
      <w:r w:rsidR="00C026A6" w:rsidRPr="00EA59C0">
        <w:t xml:space="preserve"> </w:t>
      </w:r>
      <w:r w:rsidRPr="00EA59C0">
        <w:t>that</w:t>
      </w:r>
      <w:r w:rsidR="00C026A6" w:rsidRPr="00EA59C0">
        <w:t xml:space="preserve"> </w:t>
      </w:r>
      <w:r w:rsidRPr="00EA59C0">
        <w:t>can</w:t>
      </w:r>
      <w:r w:rsidR="00C026A6" w:rsidRPr="00EA59C0">
        <w:t xml:space="preserve"> </w:t>
      </w:r>
      <w:r w:rsidRPr="00EA59C0">
        <w:t>have</w:t>
      </w:r>
      <w:r w:rsidR="00C026A6" w:rsidRPr="00EA59C0">
        <w:t xml:space="preserve"> </w:t>
      </w:r>
      <w:r w:rsidRPr="00EA59C0">
        <w:t>a</w:t>
      </w:r>
      <w:r w:rsidR="00C026A6" w:rsidRPr="00EA59C0">
        <w:t xml:space="preserve"> </w:t>
      </w:r>
      <w:r w:rsidRPr="00EA59C0">
        <w:t>positive</w:t>
      </w:r>
      <w:r w:rsidR="00C026A6" w:rsidRPr="00EA59C0">
        <w:t xml:space="preserve"> </w:t>
      </w:r>
      <w:r w:rsidRPr="00EA59C0">
        <w:t>impact</w:t>
      </w:r>
      <w:r w:rsidR="00C026A6" w:rsidRPr="00EA59C0">
        <w:t xml:space="preserve"> </w:t>
      </w:r>
      <w:r w:rsidRPr="00EA59C0">
        <w:t>on</w:t>
      </w:r>
      <w:r w:rsidR="00C026A6" w:rsidRPr="00EA59C0">
        <w:t xml:space="preserve"> </w:t>
      </w:r>
      <w:r w:rsidRPr="00EA59C0">
        <w:t>the</w:t>
      </w:r>
      <w:r w:rsidR="00C026A6" w:rsidRPr="00EA59C0">
        <w:t xml:space="preserve"> </w:t>
      </w:r>
      <w:r w:rsidRPr="00EA59C0">
        <w:t>project,</w:t>
      </w:r>
      <w:r w:rsidR="00C026A6" w:rsidRPr="00EA59C0">
        <w:t xml:space="preserve"> </w:t>
      </w:r>
      <w:r w:rsidRPr="00EA59C0">
        <w:t>especially</w:t>
      </w:r>
      <w:r w:rsidR="00C026A6" w:rsidRPr="00EA59C0">
        <w:t xml:space="preserve"> </w:t>
      </w:r>
      <w:r w:rsidRPr="00EA59C0">
        <w:t>those</w:t>
      </w:r>
      <w:r w:rsidR="00C026A6" w:rsidRPr="00EA59C0">
        <w:t xml:space="preserve"> </w:t>
      </w:r>
      <w:r w:rsidRPr="00EA59C0">
        <w:t>engaged</w:t>
      </w:r>
      <w:r w:rsidR="00C026A6" w:rsidRPr="00EA59C0">
        <w:t xml:space="preserve"> </w:t>
      </w:r>
      <w:r w:rsidRPr="00EA59C0">
        <w:t>in</w:t>
      </w:r>
      <w:r w:rsidR="00C026A6" w:rsidRPr="00EA59C0">
        <w:t xml:space="preserve"> </w:t>
      </w:r>
      <w:r w:rsidRPr="00EA59C0">
        <w:t>sector</w:t>
      </w:r>
      <w:r w:rsidR="00C026A6" w:rsidRPr="00EA59C0">
        <w:t xml:space="preserve"> </w:t>
      </w:r>
      <w:r w:rsidRPr="00EA59C0">
        <w:t>strategies</w:t>
      </w:r>
      <w:r w:rsidR="00C026A6" w:rsidRPr="00EA59C0">
        <w:t xml:space="preserve"> </w:t>
      </w:r>
      <w:r w:rsidRPr="00EA59C0">
        <w:t>and</w:t>
      </w:r>
      <w:r w:rsidR="00C026A6" w:rsidRPr="00EA59C0">
        <w:t xml:space="preserve"> </w:t>
      </w:r>
      <w:r w:rsidRPr="00EA59C0">
        <w:t>those</w:t>
      </w:r>
      <w:r w:rsidR="00C026A6" w:rsidRPr="00EA59C0">
        <w:t xml:space="preserve"> </w:t>
      </w:r>
      <w:r w:rsidRPr="00EA59C0">
        <w:t>with</w:t>
      </w:r>
      <w:r w:rsidR="00C026A6" w:rsidRPr="00EA59C0">
        <w:t xml:space="preserve"> </w:t>
      </w:r>
      <w:r w:rsidRPr="00EA59C0">
        <w:t>demonstrated</w:t>
      </w:r>
      <w:r w:rsidR="00C026A6" w:rsidRPr="00EA59C0">
        <w:t xml:space="preserve"> </w:t>
      </w:r>
      <w:r w:rsidRPr="00EA59C0">
        <w:t>experience</w:t>
      </w:r>
      <w:r w:rsidR="00C026A6" w:rsidRPr="00EA59C0">
        <w:t xml:space="preserve"> </w:t>
      </w:r>
      <w:r w:rsidRPr="00EA59C0">
        <w:t>in</w:t>
      </w:r>
      <w:r w:rsidR="00C026A6" w:rsidRPr="00EA59C0">
        <w:t xml:space="preserve"> </w:t>
      </w:r>
      <w:r w:rsidRPr="00EA59C0">
        <w:t>improving</w:t>
      </w:r>
      <w:r w:rsidR="00C026A6" w:rsidRPr="00EA59C0">
        <w:t xml:space="preserve"> </w:t>
      </w:r>
      <w:r w:rsidRPr="00EA59C0">
        <w:t>employment-related</w:t>
      </w:r>
      <w:r w:rsidR="00C026A6" w:rsidRPr="00EA59C0">
        <w:t xml:space="preserve"> </w:t>
      </w:r>
      <w:r w:rsidRPr="00EA59C0">
        <w:t>skills</w:t>
      </w:r>
      <w:r w:rsidR="00D9436D" w:rsidRPr="00EA59C0">
        <w:t xml:space="preserve"> and involvement in initiatives to help address workers’ barriers to employment, such as Promise Zones</w:t>
      </w:r>
      <w:r w:rsidRPr="00EA59C0">
        <w:t>.</w:t>
      </w:r>
      <w:r w:rsidR="00C026A6" w:rsidRPr="00EA59C0">
        <w:t xml:space="preserve">  </w:t>
      </w:r>
      <w:r w:rsidRPr="00EA59C0">
        <w:t>(</w:t>
      </w:r>
      <w:r w:rsidR="00B12A50" w:rsidRPr="00EA59C0">
        <w:t>2</w:t>
      </w:r>
      <w:r w:rsidR="00C026A6" w:rsidRPr="00EA59C0">
        <w:t xml:space="preserve"> </w:t>
      </w:r>
      <w:r w:rsidRPr="00EA59C0">
        <w:t>points)</w:t>
      </w:r>
    </w:p>
    <w:p w:rsidR="00D8676D" w:rsidRPr="00EA59C0" w:rsidRDefault="00D8676D" w:rsidP="00B505EF">
      <w:pPr>
        <w:pStyle w:val="ListParagraph"/>
        <w:ind w:left="1440"/>
      </w:pPr>
    </w:p>
    <w:p w:rsidR="00A103FD" w:rsidRPr="00EA59C0" w:rsidRDefault="00A103FD" w:rsidP="00B505EF">
      <w:pPr>
        <w:pStyle w:val="ListParagraph"/>
        <w:numPr>
          <w:ilvl w:val="3"/>
          <w:numId w:val="17"/>
        </w:numPr>
        <w:rPr>
          <w:b/>
        </w:rPr>
      </w:pPr>
      <w:r w:rsidRPr="00EA59C0">
        <w:rPr>
          <w:b/>
        </w:rPr>
        <w:t>Alignment</w:t>
      </w:r>
      <w:r w:rsidR="00C026A6" w:rsidRPr="00EA59C0">
        <w:rPr>
          <w:b/>
        </w:rPr>
        <w:t xml:space="preserve"> </w:t>
      </w:r>
      <w:r w:rsidRPr="00EA59C0">
        <w:rPr>
          <w:b/>
        </w:rPr>
        <w:t>with</w:t>
      </w:r>
      <w:r w:rsidR="00C026A6" w:rsidRPr="00EA59C0">
        <w:rPr>
          <w:b/>
        </w:rPr>
        <w:t xml:space="preserve"> </w:t>
      </w:r>
      <w:r w:rsidRPr="00EA59C0">
        <w:rPr>
          <w:b/>
        </w:rPr>
        <w:t>Previously</w:t>
      </w:r>
      <w:r w:rsidR="00C026A6" w:rsidRPr="00EA59C0">
        <w:rPr>
          <w:b/>
        </w:rPr>
        <w:t xml:space="preserve"> </w:t>
      </w:r>
      <w:r w:rsidRPr="00EA59C0">
        <w:rPr>
          <w:b/>
        </w:rPr>
        <w:t>Funded</w:t>
      </w:r>
      <w:r w:rsidR="00C026A6" w:rsidRPr="00EA59C0">
        <w:rPr>
          <w:b/>
        </w:rPr>
        <w:t xml:space="preserve"> </w:t>
      </w:r>
      <w:r w:rsidRPr="00EA59C0">
        <w:rPr>
          <w:b/>
        </w:rPr>
        <w:t>TAACCCT</w:t>
      </w:r>
      <w:r w:rsidR="00C026A6" w:rsidRPr="00EA59C0">
        <w:rPr>
          <w:b/>
        </w:rPr>
        <w:t xml:space="preserve"> </w:t>
      </w:r>
      <w:r w:rsidRPr="00EA59C0">
        <w:rPr>
          <w:b/>
        </w:rPr>
        <w:t>Projects</w:t>
      </w:r>
      <w:r w:rsidR="00C026A6" w:rsidRPr="00EA59C0">
        <w:rPr>
          <w:b/>
        </w:rPr>
        <w:t xml:space="preserve"> </w:t>
      </w:r>
      <w:r w:rsidR="00614391" w:rsidRPr="00EA59C0">
        <w:rPr>
          <w:b/>
        </w:rPr>
        <w:t>(</w:t>
      </w:r>
      <w:r w:rsidR="00856767" w:rsidRPr="00EA59C0">
        <w:rPr>
          <w:b/>
        </w:rPr>
        <w:t>4</w:t>
      </w:r>
      <w:r w:rsidR="00C026A6" w:rsidRPr="00EA59C0">
        <w:rPr>
          <w:b/>
        </w:rPr>
        <w:t xml:space="preserve"> </w:t>
      </w:r>
      <w:r w:rsidR="00614391" w:rsidRPr="00EA59C0">
        <w:rPr>
          <w:b/>
        </w:rPr>
        <w:t>points)</w:t>
      </w:r>
    </w:p>
    <w:p w:rsidR="00D8676D" w:rsidRPr="00EA59C0" w:rsidRDefault="00D8676D" w:rsidP="00B505EF">
      <w:pPr>
        <w:pStyle w:val="ListParagraph"/>
        <w:ind w:left="1440"/>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applicant’s</w:t>
      </w:r>
      <w:r w:rsidR="00C026A6" w:rsidRPr="00EA59C0">
        <w:t xml:space="preserve"> </w:t>
      </w:r>
      <w:r w:rsidRPr="00EA59C0">
        <w:t>project</w:t>
      </w:r>
      <w:r w:rsidR="00C026A6" w:rsidRPr="00EA59C0">
        <w:t xml:space="preserve"> </w:t>
      </w:r>
      <w:r w:rsidRPr="00EA59C0">
        <w:t>incorporates</w:t>
      </w:r>
      <w:r w:rsidR="00C026A6" w:rsidRPr="00EA59C0">
        <w:t xml:space="preserve"> </w:t>
      </w:r>
      <w:r w:rsidRPr="00EA59C0">
        <w:t>previously-funded</w:t>
      </w:r>
      <w:r w:rsidR="00C026A6" w:rsidRPr="00EA59C0">
        <w:t xml:space="preserve"> </w:t>
      </w:r>
      <w:r w:rsidRPr="00EA59C0">
        <w:t>TAACCCT</w:t>
      </w:r>
      <w:r w:rsidR="00C026A6" w:rsidRPr="00EA59C0">
        <w:t xml:space="preserve"> </w:t>
      </w:r>
      <w:r w:rsidRPr="00EA59C0">
        <w:t>projects,</w:t>
      </w:r>
      <w:r w:rsidR="00C026A6" w:rsidRPr="00EA59C0">
        <w:t xml:space="preserve"> </w:t>
      </w:r>
      <w:r w:rsidRPr="00EA59C0">
        <w:t>including</w:t>
      </w:r>
      <w:r w:rsidR="00C026A6" w:rsidRPr="00EA59C0">
        <w:t xml:space="preserve"> </w:t>
      </w:r>
      <w:r w:rsidRPr="00EA59C0">
        <w:t>the</w:t>
      </w:r>
      <w:r w:rsidR="00C026A6" w:rsidRPr="00EA59C0">
        <w:t xml:space="preserve"> </w:t>
      </w:r>
      <w:r w:rsidRPr="00EA59C0">
        <w:t>use</w:t>
      </w:r>
      <w:r w:rsidR="00C026A6" w:rsidRPr="00EA59C0">
        <w:t xml:space="preserve"> </w:t>
      </w:r>
      <w:r w:rsidRPr="00EA59C0">
        <w:t>of</w:t>
      </w:r>
      <w:r w:rsidR="00C026A6" w:rsidRPr="00EA59C0">
        <w:t xml:space="preserve"> </w:t>
      </w:r>
      <w:r w:rsidRPr="00EA59C0">
        <w:t>free,</w:t>
      </w:r>
      <w:r w:rsidR="00C026A6" w:rsidRPr="00EA59C0">
        <w:t xml:space="preserve"> </w:t>
      </w:r>
      <w:r w:rsidRPr="00EA59C0">
        <w:t>existing</w:t>
      </w:r>
      <w:r w:rsidR="00C026A6" w:rsidRPr="00EA59C0">
        <w:t xml:space="preserve"> </w:t>
      </w:r>
      <w:r w:rsidRPr="00EA59C0">
        <w:t>instructional</w:t>
      </w:r>
      <w:r w:rsidR="00C026A6" w:rsidRPr="00EA59C0">
        <w:t xml:space="preserve"> </w:t>
      </w:r>
      <w:r w:rsidRPr="00EA59C0">
        <w:t>resources,</w:t>
      </w:r>
      <w:r w:rsidR="00C026A6" w:rsidRPr="00EA59C0">
        <w:t xml:space="preserve"> </w:t>
      </w:r>
      <w:r w:rsidRPr="00EA59C0">
        <w:t>to</w:t>
      </w:r>
      <w:r w:rsidR="00C026A6" w:rsidRPr="00EA59C0">
        <w:t xml:space="preserve"> </w:t>
      </w:r>
      <w:r w:rsidRPr="00EA59C0">
        <w:t>help</w:t>
      </w:r>
      <w:r w:rsidR="00C026A6" w:rsidRPr="00EA59C0">
        <w:t xml:space="preserve"> </w:t>
      </w:r>
      <w:r w:rsidRPr="00EA59C0">
        <w:t>decrease</w:t>
      </w:r>
      <w:r w:rsidR="00C026A6" w:rsidRPr="00EA59C0">
        <w:t xml:space="preserve"> </w:t>
      </w:r>
      <w:r w:rsidRPr="00EA59C0">
        <w:t>duplication</w:t>
      </w:r>
      <w:r w:rsidR="00C026A6" w:rsidRPr="00EA59C0">
        <w:t xml:space="preserve"> </w:t>
      </w:r>
      <w:r w:rsidRPr="00EA59C0">
        <w:t>and</w:t>
      </w:r>
      <w:r w:rsidR="00C026A6" w:rsidRPr="00EA59C0">
        <w:t xml:space="preserve"> </w:t>
      </w:r>
      <w:r w:rsidRPr="00EA59C0">
        <w:t>extend</w:t>
      </w:r>
      <w:r w:rsidR="00C026A6" w:rsidRPr="00EA59C0">
        <w:t xml:space="preserve"> </w:t>
      </w:r>
      <w:r w:rsidRPr="00EA59C0">
        <w:t>the</w:t>
      </w:r>
      <w:r w:rsidR="00C026A6" w:rsidRPr="00EA59C0">
        <w:t xml:space="preserve"> </w:t>
      </w:r>
      <w:r w:rsidRPr="00EA59C0">
        <w:t>geographical</w:t>
      </w:r>
      <w:r w:rsidR="00C026A6" w:rsidRPr="00EA59C0">
        <w:t xml:space="preserve"> </w:t>
      </w:r>
      <w:r w:rsidRPr="00EA59C0">
        <w:t>reach</w:t>
      </w:r>
      <w:r w:rsidR="00C026A6" w:rsidRPr="00EA59C0">
        <w:t xml:space="preserve"> </w:t>
      </w:r>
      <w:r w:rsidRPr="00EA59C0">
        <w:t>of</w:t>
      </w:r>
      <w:r w:rsidR="00C026A6" w:rsidRPr="00EA59C0">
        <w:t xml:space="preserve"> </w:t>
      </w:r>
      <w:r w:rsidRPr="00EA59C0">
        <w:t>the</w:t>
      </w:r>
      <w:r w:rsidR="00C026A6" w:rsidRPr="00EA59C0">
        <w:t xml:space="preserve"> </w:t>
      </w:r>
      <w:r w:rsidRPr="00EA59C0">
        <w:t>TAACCCT</w:t>
      </w:r>
      <w:r w:rsidR="00C026A6" w:rsidRPr="00EA59C0">
        <w:t xml:space="preserve"> </w:t>
      </w:r>
      <w:r w:rsidRPr="00EA59C0">
        <w:t>program.</w:t>
      </w:r>
      <w:r w:rsidR="00C026A6" w:rsidRPr="00EA59C0">
        <w:t xml:space="preserve">  </w:t>
      </w:r>
      <w:r w:rsidR="00404C31" w:rsidRPr="00EA59C0">
        <w:t>The</w:t>
      </w:r>
      <w:r w:rsidR="00C026A6" w:rsidRPr="00EA59C0">
        <w:t xml:space="preserve"> </w:t>
      </w:r>
      <w:r w:rsidR="00404C31" w:rsidRPr="00EA59C0">
        <w:t>extent</w:t>
      </w:r>
      <w:r w:rsidR="00C026A6" w:rsidRPr="00EA59C0">
        <w:t xml:space="preserve"> </w:t>
      </w:r>
      <w:r w:rsidR="00404C31" w:rsidRPr="00EA59C0">
        <w:t>to</w:t>
      </w:r>
      <w:r w:rsidR="00C026A6" w:rsidRPr="00EA59C0">
        <w:t xml:space="preserve"> </w:t>
      </w:r>
      <w:r w:rsidR="00404C31" w:rsidRPr="00EA59C0">
        <w:t>which</w:t>
      </w:r>
      <w:r w:rsidR="00C026A6" w:rsidRPr="00EA59C0">
        <w:t xml:space="preserve"> </w:t>
      </w:r>
      <w:r w:rsidR="00404C31" w:rsidRPr="00EA59C0">
        <w:t>the</w:t>
      </w:r>
      <w:r w:rsidR="00C026A6" w:rsidRPr="00EA59C0">
        <w:t xml:space="preserve"> </w:t>
      </w:r>
      <w:r w:rsidR="00404C31" w:rsidRPr="00EA59C0">
        <w:t>a</w:t>
      </w:r>
      <w:r w:rsidRPr="00EA59C0">
        <w:t>pplicant</w:t>
      </w:r>
      <w:r w:rsidR="00C026A6" w:rsidRPr="00EA59C0">
        <w:t xml:space="preserve"> </w:t>
      </w:r>
      <w:r w:rsidRPr="00EA59C0">
        <w:t>identif</w:t>
      </w:r>
      <w:r w:rsidR="009919F8" w:rsidRPr="00EA59C0">
        <w:t>ies</w:t>
      </w:r>
      <w:r w:rsidR="00C026A6" w:rsidRPr="00EA59C0">
        <w:t xml:space="preserve"> </w:t>
      </w:r>
      <w:r w:rsidRPr="00EA59C0">
        <w:t>research</w:t>
      </w:r>
      <w:r w:rsidR="00C026A6" w:rsidRPr="00EA59C0">
        <w:t xml:space="preserve"> </w:t>
      </w:r>
      <w:r w:rsidRPr="00EA59C0">
        <w:t>efforts</w:t>
      </w:r>
      <w:r w:rsidR="00C026A6" w:rsidRPr="00EA59C0">
        <w:t xml:space="preserve"> </w:t>
      </w:r>
      <w:r w:rsidRPr="00EA59C0">
        <w:t>of</w:t>
      </w:r>
      <w:r w:rsidR="00C026A6" w:rsidRPr="00EA59C0">
        <w:t xml:space="preserve"> </w:t>
      </w:r>
      <w:r w:rsidRPr="00EA59C0">
        <w:t>these</w:t>
      </w:r>
      <w:r w:rsidR="00C026A6" w:rsidRPr="00EA59C0">
        <w:t xml:space="preserve"> </w:t>
      </w:r>
      <w:r w:rsidRPr="00EA59C0">
        <w:t>projects,</w:t>
      </w:r>
      <w:r w:rsidR="00C026A6" w:rsidRPr="00EA59C0">
        <w:t xml:space="preserve"> </w:t>
      </w:r>
      <w:r w:rsidRPr="00EA59C0">
        <w:t>including</w:t>
      </w:r>
      <w:r w:rsidR="00C026A6" w:rsidRPr="00EA59C0">
        <w:t xml:space="preserve"> </w:t>
      </w:r>
      <w:r w:rsidRPr="00EA59C0">
        <w:t>outreach</w:t>
      </w:r>
      <w:r w:rsidR="00C026A6" w:rsidRPr="00EA59C0">
        <w:t xml:space="preserve"> </w:t>
      </w:r>
      <w:r w:rsidRPr="00EA59C0">
        <w:t>to</w:t>
      </w:r>
      <w:r w:rsidR="00C026A6" w:rsidRPr="00EA59C0">
        <w:t xml:space="preserve"> </w:t>
      </w:r>
      <w:r w:rsidRPr="00EA59C0">
        <w:t>grantees,</w:t>
      </w:r>
      <w:r w:rsidR="00C026A6" w:rsidRPr="00EA59C0">
        <w:t xml:space="preserve"> </w:t>
      </w:r>
      <w:r w:rsidRPr="00EA59C0">
        <w:t>in</w:t>
      </w:r>
      <w:r w:rsidR="00C026A6" w:rsidRPr="00EA59C0">
        <w:t xml:space="preserve"> </w:t>
      </w:r>
      <w:r w:rsidRPr="00EA59C0">
        <w:t>response</w:t>
      </w:r>
      <w:r w:rsidR="00C026A6" w:rsidRPr="00EA59C0">
        <w:t xml:space="preserve"> </w:t>
      </w:r>
      <w:r w:rsidRPr="00EA59C0">
        <w:t>to</w:t>
      </w:r>
      <w:r w:rsidR="00C026A6" w:rsidRPr="00EA59C0">
        <w:t xml:space="preserve"> </w:t>
      </w:r>
      <w:r w:rsidRPr="00EA59C0">
        <w:t>this</w:t>
      </w:r>
      <w:r w:rsidR="00C026A6" w:rsidRPr="00EA59C0">
        <w:t xml:space="preserve"> </w:t>
      </w:r>
      <w:r w:rsidRPr="00EA59C0">
        <w:t>criterion.</w:t>
      </w:r>
      <w:r w:rsidR="00C026A6" w:rsidRPr="00EA59C0">
        <w:t xml:space="preserve">  </w:t>
      </w:r>
      <w:r w:rsidR="00404C31" w:rsidRPr="00EA59C0">
        <w:t>The</w:t>
      </w:r>
      <w:r w:rsidR="00C026A6" w:rsidRPr="00EA59C0">
        <w:t xml:space="preserve"> </w:t>
      </w:r>
      <w:r w:rsidR="00404C31" w:rsidRPr="00EA59C0">
        <w:t>extent</w:t>
      </w:r>
      <w:r w:rsidR="00C026A6" w:rsidRPr="00EA59C0">
        <w:t xml:space="preserve"> </w:t>
      </w:r>
      <w:r w:rsidR="00404C31" w:rsidRPr="00EA59C0">
        <w:t>to</w:t>
      </w:r>
      <w:r w:rsidR="00C026A6" w:rsidRPr="00EA59C0">
        <w:t xml:space="preserve"> </w:t>
      </w:r>
      <w:r w:rsidR="00404C31" w:rsidRPr="00EA59C0">
        <w:t>which</w:t>
      </w:r>
      <w:r w:rsidR="00C026A6" w:rsidRPr="00EA59C0">
        <w:t xml:space="preserve"> </w:t>
      </w:r>
      <w:r w:rsidR="00404C31" w:rsidRPr="00EA59C0">
        <w:t>the</w:t>
      </w:r>
      <w:r w:rsidR="00C026A6" w:rsidRPr="00EA59C0">
        <w:t xml:space="preserve"> </w:t>
      </w:r>
      <w:r w:rsidR="00404C31" w:rsidRPr="00EA59C0">
        <w:t>a</w:t>
      </w:r>
      <w:r w:rsidRPr="00EA59C0">
        <w:t>pplicant</w:t>
      </w:r>
      <w:r w:rsidR="00C026A6" w:rsidRPr="00EA59C0">
        <w:t xml:space="preserve"> </w:t>
      </w:r>
      <w:r w:rsidRPr="00EA59C0">
        <w:t>identif</w:t>
      </w:r>
      <w:r w:rsidR="00404C31" w:rsidRPr="00EA59C0">
        <w:t>ie</w:t>
      </w:r>
      <w:r w:rsidR="009919F8" w:rsidRPr="00EA59C0">
        <w:t>s</w:t>
      </w:r>
      <w:r w:rsidR="00C026A6" w:rsidRPr="00EA59C0">
        <w:t xml:space="preserve"> </w:t>
      </w:r>
      <w:r w:rsidRPr="00EA59C0">
        <w:t>planned</w:t>
      </w:r>
      <w:r w:rsidR="00C026A6" w:rsidRPr="00EA59C0">
        <w:t xml:space="preserve"> </w:t>
      </w:r>
      <w:r w:rsidRPr="00EA59C0">
        <w:t>activities</w:t>
      </w:r>
      <w:r w:rsidR="00C026A6" w:rsidRPr="00EA59C0">
        <w:t xml:space="preserve"> </w:t>
      </w:r>
      <w:r w:rsidRPr="00EA59C0">
        <w:t>for</w:t>
      </w:r>
      <w:r w:rsidR="00C026A6" w:rsidRPr="00EA59C0">
        <w:t xml:space="preserve"> </w:t>
      </w:r>
      <w:r w:rsidRPr="00EA59C0">
        <w:t>coordination</w:t>
      </w:r>
      <w:r w:rsidR="00C026A6" w:rsidRPr="00EA59C0">
        <w:t xml:space="preserve"> </w:t>
      </w:r>
      <w:r w:rsidRPr="00EA59C0">
        <w:t>with</w:t>
      </w:r>
      <w:r w:rsidR="00C026A6" w:rsidRPr="00EA59C0">
        <w:t xml:space="preserve"> </w:t>
      </w:r>
      <w:r w:rsidRPr="00EA59C0">
        <w:t>other</w:t>
      </w:r>
      <w:r w:rsidR="00C026A6" w:rsidRPr="00EA59C0">
        <w:t xml:space="preserve"> </w:t>
      </w:r>
      <w:r w:rsidRPr="00EA59C0">
        <w:t>institutions</w:t>
      </w:r>
      <w:r w:rsidR="00C026A6" w:rsidRPr="00EA59C0">
        <w:t xml:space="preserve"> </w:t>
      </w:r>
      <w:r w:rsidRPr="00EA59C0">
        <w:t>and</w:t>
      </w:r>
      <w:r w:rsidR="00C026A6" w:rsidRPr="00EA59C0">
        <w:t xml:space="preserve"> </w:t>
      </w:r>
      <w:r w:rsidRPr="00EA59C0">
        <w:t>consortia.</w:t>
      </w:r>
      <w:r w:rsidR="00C026A6" w:rsidRPr="00EA59C0">
        <w:t xml:space="preserve"> </w:t>
      </w:r>
      <w:r w:rsidRPr="00EA59C0">
        <w:t>(</w:t>
      </w:r>
      <w:r w:rsidR="00856767" w:rsidRPr="00EA59C0">
        <w:t>4</w:t>
      </w:r>
      <w:r w:rsidR="00C026A6" w:rsidRPr="00EA59C0">
        <w:t xml:space="preserve"> </w:t>
      </w:r>
      <w:r w:rsidRPr="00EA59C0">
        <w:t>points)</w:t>
      </w:r>
    </w:p>
    <w:p w:rsidR="00D8676D" w:rsidRPr="00EA59C0" w:rsidRDefault="00D8676D" w:rsidP="00B505EF">
      <w:pPr>
        <w:pStyle w:val="ListParagraph"/>
      </w:pPr>
    </w:p>
    <w:p w:rsidR="00A103FD" w:rsidRPr="00EA59C0" w:rsidRDefault="00A103FD" w:rsidP="00B505EF">
      <w:pPr>
        <w:pStyle w:val="ListParagraph"/>
        <w:numPr>
          <w:ilvl w:val="3"/>
          <w:numId w:val="17"/>
        </w:numPr>
        <w:rPr>
          <w:b/>
        </w:rPr>
      </w:pPr>
      <w:r w:rsidRPr="00EA59C0">
        <w:rPr>
          <w:b/>
        </w:rPr>
        <w:t>Sector</w:t>
      </w:r>
      <w:r w:rsidR="00C026A6" w:rsidRPr="00EA59C0">
        <w:rPr>
          <w:b/>
        </w:rPr>
        <w:t xml:space="preserve"> </w:t>
      </w:r>
      <w:r w:rsidRPr="00EA59C0">
        <w:rPr>
          <w:b/>
        </w:rPr>
        <w:t>Strategies</w:t>
      </w:r>
      <w:r w:rsidR="00C026A6" w:rsidRPr="00EA59C0">
        <w:rPr>
          <w:b/>
        </w:rPr>
        <w:t xml:space="preserve"> </w:t>
      </w:r>
      <w:r w:rsidRPr="00EA59C0">
        <w:rPr>
          <w:b/>
        </w:rPr>
        <w:t>and</w:t>
      </w:r>
      <w:r w:rsidR="00C026A6" w:rsidRPr="00EA59C0">
        <w:rPr>
          <w:b/>
        </w:rPr>
        <w:t xml:space="preserve"> </w:t>
      </w:r>
      <w:r w:rsidRPr="00EA59C0">
        <w:rPr>
          <w:b/>
        </w:rPr>
        <w:t>Employer</w:t>
      </w:r>
      <w:r w:rsidR="00C026A6" w:rsidRPr="00EA59C0">
        <w:rPr>
          <w:b/>
        </w:rPr>
        <w:t xml:space="preserve"> </w:t>
      </w:r>
      <w:r w:rsidRPr="00EA59C0">
        <w:rPr>
          <w:b/>
        </w:rPr>
        <w:t>Engagement</w:t>
      </w:r>
      <w:r w:rsidR="00C026A6" w:rsidRPr="00EA59C0">
        <w:rPr>
          <w:b/>
        </w:rPr>
        <w:t xml:space="preserve"> </w:t>
      </w:r>
      <w:r w:rsidR="00614391" w:rsidRPr="00EA59C0">
        <w:rPr>
          <w:b/>
        </w:rPr>
        <w:t>(</w:t>
      </w:r>
      <w:r w:rsidR="000F5CDF" w:rsidRPr="00EA59C0">
        <w:rPr>
          <w:b/>
        </w:rPr>
        <w:t>10</w:t>
      </w:r>
      <w:r w:rsidR="00C026A6" w:rsidRPr="00EA59C0">
        <w:rPr>
          <w:b/>
        </w:rPr>
        <w:t xml:space="preserve"> </w:t>
      </w:r>
      <w:r w:rsidR="00614391" w:rsidRPr="00EA59C0">
        <w:rPr>
          <w:b/>
        </w:rPr>
        <w:t>points)</w:t>
      </w:r>
    </w:p>
    <w:p w:rsidR="0029348D" w:rsidRPr="00EA59C0" w:rsidRDefault="0029348D" w:rsidP="00961BC7">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identifies</w:t>
      </w:r>
      <w:r w:rsidR="00C026A6" w:rsidRPr="00EA59C0">
        <w:t xml:space="preserve"> </w:t>
      </w:r>
      <w:r w:rsidRPr="00EA59C0">
        <w:t>or</w:t>
      </w:r>
      <w:r w:rsidR="00C026A6" w:rsidRPr="00EA59C0">
        <w:t xml:space="preserve"> </w:t>
      </w:r>
      <w:r w:rsidR="00157918" w:rsidRPr="00EA59C0">
        <w:t>plans</w:t>
      </w:r>
      <w:r w:rsidR="00C026A6" w:rsidRPr="00EA59C0">
        <w:t xml:space="preserve"> </w:t>
      </w:r>
      <w:r w:rsidR="00157918" w:rsidRPr="00EA59C0">
        <w:t>to</w:t>
      </w:r>
      <w:r w:rsidR="00C026A6" w:rsidRPr="00EA59C0">
        <w:t xml:space="preserve"> </w:t>
      </w:r>
      <w:r w:rsidRPr="00EA59C0">
        <w:t>scale</w:t>
      </w:r>
      <w:r w:rsidR="00C026A6" w:rsidRPr="00EA59C0">
        <w:t xml:space="preserve"> </w:t>
      </w:r>
      <w:r w:rsidRPr="00EA59C0">
        <w:t>successful</w:t>
      </w:r>
      <w:r w:rsidR="00C026A6" w:rsidRPr="00EA59C0">
        <w:t xml:space="preserve"> </w:t>
      </w:r>
      <w:r w:rsidRPr="00EA59C0">
        <w:t>sector</w:t>
      </w:r>
      <w:r w:rsidR="00C026A6" w:rsidRPr="00EA59C0">
        <w:t xml:space="preserve"> </w:t>
      </w:r>
      <w:r w:rsidRPr="00EA59C0">
        <w:t>strategies</w:t>
      </w:r>
      <w:r w:rsidR="00C026A6" w:rsidRPr="00EA59C0">
        <w:t xml:space="preserve"> </w:t>
      </w:r>
      <w:r w:rsidRPr="00EA59C0">
        <w:t>by</w:t>
      </w:r>
      <w:r w:rsidR="00C026A6" w:rsidRPr="00EA59C0">
        <w:t xml:space="preserve"> </w:t>
      </w:r>
      <w:r w:rsidRPr="00EA59C0">
        <w:t>identifying</w:t>
      </w:r>
      <w:r w:rsidR="00C026A6" w:rsidRPr="00EA59C0">
        <w:t xml:space="preserve"> </w:t>
      </w:r>
      <w:r w:rsidRPr="00EA59C0">
        <w:t>one</w:t>
      </w:r>
      <w:r w:rsidR="00C026A6" w:rsidRPr="00EA59C0">
        <w:t xml:space="preserve"> </w:t>
      </w:r>
      <w:r w:rsidRPr="00EA59C0">
        <w:t>or</w:t>
      </w:r>
      <w:r w:rsidR="00C026A6" w:rsidRPr="00EA59C0">
        <w:t xml:space="preserve"> </w:t>
      </w:r>
      <w:r w:rsidRPr="00EA59C0">
        <w:t>more</w:t>
      </w:r>
      <w:r w:rsidR="00C026A6" w:rsidRPr="00EA59C0">
        <w:t xml:space="preserve"> </w:t>
      </w:r>
      <w:r w:rsidRPr="00EA59C0">
        <w:t>specific</w:t>
      </w:r>
      <w:r w:rsidR="00C026A6" w:rsidRPr="00EA59C0">
        <w:t xml:space="preserve"> </w:t>
      </w:r>
      <w:r w:rsidRPr="00EA59C0">
        <w:t>industry</w:t>
      </w:r>
      <w:r w:rsidR="00C026A6" w:rsidRPr="00EA59C0">
        <w:t xml:space="preserve"> </w:t>
      </w:r>
      <w:r w:rsidRPr="00EA59C0">
        <w:t>sectors</w:t>
      </w:r>
      <w:r w:rsidR="00C026A6" w:rsidRPr="00EA59C0">
        <w:t xml:space="preserve"> </w:t>
      </w:r>
      <w:r w:rsidRPr="00EA59C0">
        <w:t>on</w:t>
      </w:r>
      <w:r w:rsidR="00C026A6" w:rsidRPr="00EA59C0">
        <w:t xml:space="preserve"> </w:t>
      </w:r>
      <w:r w:rsidRPr="00EA59C0">
        <w:t>which</w:t>
      </w:r>
      <w:r w:rsidR="00C026A6" w:rsidRPr="00EA59C0">
        <w:t xml:space="preserve"> </w:t>
      </w:r>
      <w:r w:rsidRPr="00EA59C0">
        <w:t>they</w:t>
      </w:r>
      <w:r w:rsidR="00C026A6" w:rsidRPr="00EA59C0">
        <w:t xml:space="preserve"> </w:t>
      </w:r>
      <w:r w:rsidRPr="00EA59C0">
        <w:t>will</w:t>
      </w:r>
      <w:r w:rsidR="00C026A6" w:rsidRPr="00EA59C0">
        <w:t xml:space="preserve"> </w:t>
      </w:r>
      <w:r w:rsidRPr="00EA59C0">
        <w:t>focus</w:t>
      </w:r>
      <w:r w:rsidR="00C026A6" w:rsidRPr="00EA59C0">
        <w:t xml:space="preserve"> </w:t>
      </w:r>
      <w:r w:rsidRPr="00EA59C0">
        <w:t>and</w:t>
      </w:r>
      <w:r w:rsidR="00C026A6" w:rsidRPr="00EA59C0">
        <w:t xml:space="preserve"> </w:t>
      </w:r>
      <w:r w:rsidRPr="00EA59C0">
        <w:t>involving</w:t>
      </w:r>
      <w:r w:rsidR="00C026A6" w:rsidRPr="00EA59C0">
        <w:t xml:space="preserve"> </w:t>
      </w:r>
      <w:r w:rsidRPr="00EA59C0">
        <w:t>at</w:t>
      </w:r>
      <w:r w:rsidR="00C026A6" w:rsidRPr="00EA59C0">
        <w:t xml:space="preserve"> </w:t>
      </w:r>
      <w:r w:rsidRPr="00EA59C0">
        <w:t>least</w:t>
      </w:r>
      <w:r w:rsidR="00C026A6" w:rsidRPr="00EA59C0">
        <w:t xml:space="preserve"> </w:t>
      </w:r>
      <w:r w:rsidRPr="00EA59C0">
        <w:t>two</w:t>
      </w:r>
      <w:r w:rsidR="00C026A6" w:rsidRPr="00EA59C0">
        <w:t xml:space="preserve"> </w:t>
      </w:r>
      <w:r w:rsidRPr="00EA59C0">
        <w:t>employers</w:t>
      </w:r>
      <w:r w:rsidR="00C026A6" w:rsidRPr="00EA59C0">
        <w:t xml:space="preserve"> </w:t>
      </w:r>
      <w:r w:rsidRPr="00EA59C0">
        <w:t>for</w:t>
      </w:r>
      <w:r w:rsidR="00C026A6" w:rsidRPr="00EA59C0">
        <w:t xml:space="preserve"> </w:t>
      </w:r>
      <w:r w:rsidRPr="00EA59C0">
        <w:t>each</w:t>
      </w:r>
      <w:r w:rsidR="00C026A6" w:rsidRPr="00EA59C0">
        <w:t xml:space="preserve"> </w:t>
      </w:r>
      <w:r w:rsidRPr="00EA59C0">
        <w:t>targeted</w:t>
      </w:r>
      <w:r w:rsidR="00C026A6" w:rsidRPr="00EA59C0">
        <w:t xml:space="preserve"> </w:t>
      </w:r>
      <w:r w:rsidRPr="00EA59C0">
        <w:t>sector</w:t>
      </w:r>
      <w:r w:rsidR="00C026A6" w:rsidRPr="00EA59C0">
        <w:t xml:space="preserve"> </w:t>
      </w:r>
      <w:r w:rsidRPr="00EA59C0">
        <w:t>in</w:t>
      </w:r>
      <w:r w:rsidR="00C026A6" w:rsidRPr="00EA59C0">
        <w:t xml:space="preserve"> </w:t>
      </w:r>
      <w:r w:rsidRPr="00EA59C0">
        <w:t>each</w:t>
      </w:r>
      <w:r w:rsidR="00C026A6" w:rsidRPr="00EA59C0">
        <w:t xml:space="preserve"> </w:t>
      </w:r>
      <w:r w:rsidR="001F7510" w:rsidRPr="00EA59C0">
        <w:t>region</w:t>
      </w:r>
      <w:r w:rsidR="00C026A6" w:rsidRPr="00EA59C0">
        <w:t xml:space="preserve"> </w:t>
      </w:r>
      <w:r w:rsidRPr="00EA59C0">
        <w:t>served</w:t>
      </w:r>
      <w:r w:rsidR="00C026A6" w:rsidRPr="00EA59C0">
        <w:t xml:space="preserve"> </w:t>
      </w:r>
      <w:r w:rsidRPr="00EA59C0">
        <w:t>by</w:t>
      </w:r>
      <w:r w:rsidR="00C026A6" w:rsidRPr="00EA59C0">
        <w:t xml:space="preserve"> </w:t>
      </w:r>
      <w:r w:rsidRPr="00EA59C0">
        <w:t>the</w:t>
      </w:r>
      <w:r w:rsidR="00C026A6" w:rsidRPr="00EA59C0">
        <w:t xml:space="preserve"> </w:t>
      </w:r>
      <w:r w:rsidRPr="00EA59C0">
        <w:t>program,</w:t>
      </w:r>
      <w:r w:rsidR="00C026A6" w:rsidRPr="00EA59C0">
        <w:t xml:space="preserve"> </w:t>
      </w:r>
      <w:r w:rsidR="00D974FB" w:rsidRPr="00EA59C0">
        <w:t>as</w:t>
      </w:r>
      <w:r w:rsidR="00C026A6" w:rsidRPr="00EA59C0">
        <w:t xml:space="preserve"> </w:t>
      </w:r>
      <w:r w:rsidR="00D974FB" w:rsidRPr="00EA59C0">
        <w:t>well</w:t>
      </w:r>
      <w:r w:rsidR="00C026A6" w:rsidRPr="00EA59C0">
        <w:t xml:space="preserve"> </w:t>
      </w:r>
      <w:r w:rsidR="00D974FB" w:rsidRPr="00EA59C0">
        <w:t>as</w:t>
      </w:r>
      <w:r w:rsidR="00C026A6" w:rsidRPr="00EA59C0">
        <w:t xml:space="preserve"> </w:t>
      </w:r>
      <w:r w:rsidR="00D974FB" w:rsidRPr="00EA59C0">
        <w:t>a</w:t>
      </w:r>
      <w:r w:rsidR="00C026A6" w:rsidRPr="00EA59C0">
        <w:t xml:space="preserve"> </w:t>
      </w:r>
      <w:r w:rsidR="00D974FB" w:rsidRPr="00EA59C0">
        <w:t>regional</w:t>
      </w:r>
      <w:r w:rsidR="00C026A6" w:rsidRPr="00EA59C0">
        <w:t xml:space="preserve"> </w:t>
      </w:r>
      <w:r w:rsidR="00D974FB" w:rsidRPr="00EA59C0">
        <w:t>industry</w:t>
      </w:r>
      <w:r w:rsidR="00C026A6" w:rsidRPr="00EA59C0">
        <w:t xml:space="preserve"> </w:t>
      </w:r>
      <w:r w:rsidR="00D974FB" w:rsidRPr="00EA59C0">
        <w:t>represen</w:t>
      </w:r>
      <w:r w:rsidR="00D53B71" w:rsidRPr="00EA59C0">
        <w:t>tative</w:t>
      </w:r>
      <w:r w:rsidR="00C026A6" w:rsidRPr="00EA59C0">
        <w:t xml:space="preserve"> </w:t>
      </w:r>
      <w:r w:rsidR="00961BC7" w:rsidRPr="00EA59C0">
        <w:t>or</w:t>
      </w:r>
      <w:r w:rsidR="00C026A6" w:rsidRPr="00EA59C0">
        <w:t xml:space="preserve"> </w:t>
      </w:r>
      <w:r w:rsidR="00961BC7" w:rsidRPr="00EA59C0">
        <w:t>through</w:t>
      </w:r>
      <w:r w:rsidR="00C026A6" w:rsidRPr="00EA59C0">
        <w:t xml:space="preserve"> </w:t>
      </w:r>
      <w:r w:rsidR="00961BC7" w:rsidRPr="00EA59C0">
        <w:t>evidence</w:t>
      </w:r>
      <w:r w:rsidR="00C026A6" w:rsidRPr="00EA59C0">
        <w:t xml:space="preserve"> </w:t>
      </w:r>
      <w:r w:rsidR="00961BC7" w:rsidRPr="00EA59C0">
        <w:t>of</w:t>
      </w:r>
      <w:r w:rsidR="00C026A6" w:rsidRPr="00EA59C0">
        <w:t xml:space="preserve"> </w:t>
      </w:r>
      <w:r w:rsidR="00961BC7" w:rsidRPr="00EA59C0">
        <w:t>designation</w:t>
      </w:r>
      <w:r w:rsidR="00C026A6" w:rsidRPr="00EA59C0">
        <w:t xml:space="preserve"> </w:t>
      </w:r>
      <w:r w:rsidR="00961BC7" w:rsidRPr="00EA59C0">
        <w:t>as</w:t>
      </w:r>
      <w:r w:rsidR="00C026A6" w:rsidRPr="00EA59C0">
        <w:t xml:space="preserve"> </w:t>
      </w:r>
      <w:r w:rsidR="00961BC7" w:rsidRPr="00EA59C0">
        <w:t>a</w:t>
      </w:r>
      <w:r w:rsidR="00C026A6" w:rsidRPr="00EA59C0">
        <w:t xml:space="preserve"> </w:t>
      </w:r>
      <w:r w:rsidR="00961BC7" w:rsidRPr="00EA59C0">
        <w:t>“Manufacturing</w:t>
      </w:r>
      <w:r w:rsidR="00C026A6" w:rsidRPr="00EA59C0">
        <w:t xml:space="preserve"> </w:t>
      </w:r>
      <w:r w:rsidR="00961BC7" w:rsidRPr="00EA59C0">
        <w:t>Community”</w:t>
      </w:r>
      <w:r w:rsidR="00C026A6" w:rsidRPr="00EA59C0">
        <w:t xml:space="preserve"> </w:t>
      </w:r>
      <w:r w:rsidR="00961BC7" w:rsidRPr="00EA59C0">
        <w:t>through</w:t>
      </w:r>
      <w:r w:rsidR="00C026A6" w:rsidRPr="00EA59C0">
        <w:t xml:space="preserve"> </w:t>
      </w:r>
      <w:r w:rsidR="00961BC7" w:rsidRPr="00EA59C0">
        <w:t>the</w:t>
      </w:r>
      <w:r w:rsidR="00C026A6" w:rsidRPr="00EA59C0">
        <w:t xml:space="preserve"> </w:t>
      </w:r>
      <w:r w:rsidR="00961BC7" w:rsidRPr="00EA59C0">
        <w:t>IMCP</w:t>
      </w:r>
      <w:r w:rsidR="00C026A6" w:rsidRPr="00EA59C0">
        <w:t xml:space="preserve">.  </w:t>
      </w:r>
      <w:r w:rsidR="00D974FB" w:rsidRPr="00EA59C0">
        <w:t>T</w:t>
      </w:r>
      <w:r w:rsidRPr="00EA59C0">
        <w:t>he</w:t>
      </w:r>
      <w:r w:rsidR="00C026A6" w:rsidRPr="00EA59C0">
        <w:t xml:space="preserve"> </w:t>
      </w:r>
      <w:r w:rsidRPr="00EA59C0">
        <w:t>employers</w:t>
      </w:r>
      <w:r w:rsidR="00C026A6" w:rsidRPr="00EA59C0">
        <w:t xml:space="preserve"> </w:t>
      </w:r>
      <w:r w:rsidR="00D974FB" w:rsidRPr="00EA59C0">
        <w:t>must</w:t>
      </w:r>
      <w:r w:rsidR="00C026A6" w:rsidRPr="00EA59C0">
        <w:t xml:space="preserve"> </w:t>
      </w:r>
      <w:r w:rsidRPr="00EA59C0">
        <w:t>either</w:t>
      </w:r>
      <w:r w:rsidR="00C026A6" w:rsidRPr="00EA59C0">
        <w:t xml:space="preserve"> </w:t>
      </w:r>
      <w:r w:rsidR="00D974FB" w:rsidRPr="00EA59C0">
        <w:t>be</w:t>
      </w:r>
      <w:r w:rsidR="00C026A6" w:rsidRPr="00EA59C0">
        <w:t xml:space="preserve"> </w:t>
      </w:r>
      <w:r w:rsidRPr="00EA59C0">
        <w:t>located</w:t>
      </w:r>
      <w:r w:rsidR="00C026A6" w:rsidRPr="00EA59C0">
        <w:t xml:space="preserve"> </w:t>
      </w:r>
      <w:r w:rsidRPr="00EA59C0">
        <w:t>in</w:t>
      </w:r>
      <w:r w:rsidR="00C026A6" w:rsidRPr="00EA59C0">
        <w:t xml:space="preserve"> </w:t>
      </w:r>
      <w:r w:rsidRPr="00EA59C0">
        <w:t>that</w:t>
      </w:r>
      <w:r w:rsidR="00C026A6" w:rsidRPr="00EA59C0">
        <w:t xml:space="preserve"> </w:t>
      </w:r>
      <w:r w:rsidR="001F7510" w:rsidRPr="00EA59C0">
        <w:t>region</w:t>
      </w:r>
      <w:r w:rsidR="00C026A6" w:rsidRPr="00EA59C0">
        <w:t xml:space="preserve"> </w:t>
      </w:r>
      <w:r w:rsidRPr="00EA59C0">
        <w:t>or</w:t>
      </w:r>
      <w:r w:rsidR="00C026A6" w:rsidRPr="00EA59C0">
        <w:t xml:space="preserve"> </w:t>
      </w:r>
      <w:r w:rsidRPr="00EA59C0">
        <w:t>can</w:t>
      </w:r>
      <w:r w:rsidR="00C026A6" w:rsidRPr="00EA59C0">
        <w:t xml:space="preserve"> </w:t>
      </w:r>
      <w:r w:rsidRPr="00EA59C0">
        <w:t>hire</w:t>
      </w:r>
      <w:r w:rsidR="00C026A6" w:rsidRPr="00EA59C0">
        <w:t xml:space="preserve"> </w:t>
      </w:r>
      <w:r w:rsidRPr="00EA59C0">
        <w:t>individuals</w:t>
      </w:r>
      <w:r w:rsidR="00C026A6" w:rsidRPr="00EA59C0">
        <w:t xml:space="preserve"> </w:t>
      </w:r>
      <w:r w:rsidRPr="00EA59C0">
        <w:t>in</w:t>
      </w:r>
      <w:r w:rsidR="00C026A6" w:rsidRPr="00EA59C0">
        <w:t xml:space="preserve"> </w:t>
      </w:r>
      <w:r w:rsidRPr="00EA59C0">
        <w:t>that</w:t>
      </w:r>
      <w:r w:rsidR="00C026A6" w:rsidRPr="00EA59C0">
        <w:t xml:space="preserve"> </w:t>
      </w:r>
      <w:r w:rsidRPr="00EA59C0">
        <w:t>area.</w:t>
      </w:r>
      <w:r w:rsidR="00C026A6" w:rsidRPr="00EA59C0">
        <w:t xml:space="preserve"> </w:t>
      </w:r>
      <w:r w:rsidRPr="00EA59C0">
        <w:t>(</w:t>
      </w:r>
      <w:r w:rsidR="005B6E83" w:rsidRPr="00EA59C0">
        <w:t>3</w:t>
      </w:r>
      <w:r w:rsidR="00C026A6" w:rsidRPr="00EA59C0">
        <w:t xml:space="preserve"> </w:t>
      </w:r>
      <w:r w:rsidRPr="00EA59C0">
        <w:t>points)</w:t>
      </w:r>
      <w:r w:rsidR="0024446D" w:rsidRPr="00EA59C0">
        <w:t>;</w:t>
      </w:r>
    </w:p>
    <w:p w:rsidR="0029348D" w:rsidRPr="00EA59C0" w:rsidRDefault="0029348D" w:rsidP="00B505EF">
      <w:pPr>
        <w:pStyle w:val="ListParagraph"/>
        <w:numPr>
          <w:ilvl w:val="4"/>
          <w:numId w:val="17"/>
        </w:numPr>
      </w:pPr>
      <w:r w:rsidRPr="00EA59C0">
        <w:t>Evidence</w:t>
      </w:r>
      <w:r w:rsidR="00C026A6" w:rsidRPr="00EA59C0">
        <w:t xml:space="preserve"> </w:t>
      </w:r>
      <w:r w:rsidRPr="00EA59C0">
        <w:t>of</w:t>
      </w:r>
      <w:r w:rsidR="00C026A6" w:rsidRPr="00EA59C0">
        <w:t xml:space="preserve"> </w:t>
      </w:r>
      <w:r w:rsidR="00897DF2" w:rsidRPr="00EA59C0">
        <w:t>a</w:t>
      </w:r>
      <w:r w:rsidR="00C026A6" w:rsidRPr="00EA59C0">
        <w:t xml:space="preserve"> </w:t>
      </w:r>
      <w:r w:rsidR="00897DF2" w:rsidRPr="00EA59C0">
        <w:t>commitment</w:t>
      </w:r>
      <w:r w:rsidR="00C026A6" w:rsidRPr="00EA59C0">
        <w:t xml:space="preserve"> </w:t>
      </w:r>
      <w:r w:rsidR="00897DF2" w:rsidRPr="00EA59C0">
        <w:t>to</w:t>
      </w:r>
      <w:r w:rsidR="00C026A6" w:rsidRPr="00EA59C0">
        <w:t xml:space="preserve"> </w:t>
      </w:r>
      <w:r w:rsidRPr="00EA59C0">
        <w:t>employer</w:t>
      </w:r>
      <w:r w:rsidR="00C026A6" w:rsidRPr="00EA59C0">
        <w:t xml:space="preserve"> </w:t>
      </w:r>
      <w:r w:rsidR="008F2644" w:rsidRPr="00EA59C0">
        <w:t>and</w:t>
      </w:r>
      <w:r w:rsidR="00C026A6" w:rsidRPr="00EA59C0">
        <w:t xml:space="preserve"> </w:t>
      </w:r>
      <w:r w:rsidR="008F2644" w:rsidRPr="00EA59C0">
        <w:t>regional</w:t>
      </w:r>
      <w:r w:rsidR="00C026A6" w:rsidRPr="00EA59C0">
        <w:t xml:space="preserve"> </w:t>
      </w:r>
      <w:r w:rsidR="008F2644" w:rsidRPr="00EA59C0">
        <w:t>industry</w:t>
      </w:r>
      <w:r w:rsidR="00C026A6" w:rsidRPr="00EA59C0">
        <w:t xml:space="preserve"> </w:t>
      </w:r>
      <w:r w:rsidR="00B1309D" w:rsidRPr="00EA59C0">
        <w:t>representative</w:t>
      </w:r>
      <w:r w:rsidR="00C026A6" w:rsidRPr="00EA59C0">
        <w:t xml:space="preserve"> </w:t>
      </w:r>
      <w:r w:rsidR="008F0769" w:rsidRPr="00EA59C0">
        <w:t>(</w:t>
      </w:r>
      <w:r w:rsidR="007329E1" w:rsidRPr="00EA59C0">
        <w:t>and</w:t>
      </w:r>
      <w:r w:rsidR="00C026A6" w:rsidRPr="00EA59C0">
        <w:t xml:space="preserve"> </w:t>
      </w:r>
      <w:r w:rsidR="007329E1" w:rsidRPr="00EA59C0">
        <w:t>national</w:t>
      </w:r>
      <w:r w:rsidR="00C026A6" w:rsidRPr="00EA59C0">
        <w:t xml:space="preserve"> </w:t>
      </w:r>
      <w:r w:rsidR="007329E1" w:rsidRPr="00EA59C0">
        <w:t>indust</w:t>
      </w:r>
      <w:r w:rsidR="008F0769" w:rsidRPr="00EA59C0">
        <w:t>ry</w:t>
      </w:r>
      <w:r w:rsidR="00C026A6" w:rsidRPr="00EA59C0">
        <w:t xml:space="preserve"> </w:t>
      </w:r>
      <w:r w:rsidR="008F0769" w:rsidRPr="00EA59C0">
        <w:t>representative</w:t>
      </w:r>
      <w:r w:rsidR="00C026A6" w:rsidRPr="00EA59C0">
        <w:t xml:space="preserve"> </w:t>
      </w:r>
      <w:r w:rsidR="008F0769" w:rsidRPr="00EA59C0">
        <w:t>if</w:t>
      </w:r>
      <w:r w:rsidR="00C026A6" w:rsidRPr="00EA59C0">
        <w:t xml:space="preserve"> </w:t>
      </w:r>
      <w:r w:rsidR="008F0769" w:rsidRPr="00EA59C0">
        <w:t>applicable)</w:t>
      </w:r>
      <w:r w:rsidR="00C026A6" w:rsidRPr="00EA59C0">
        <w:t xml:space="preserve"> </w:t>
      </w:r>
      <w:r w:rsidRPr="00EA59C0">
        <w:t>involvement</w:t>
      </w:r>
      <w:r w:rsidR="00C026A6" w:rsidRPr="00EA59C0">
        <w:t xml:space="preserve"> </w:t>
      </w:r>
      <w:r w:rsidRPr="00EA59C0">
        <w:t>on</w:t>
      </w:r>
      <w:r w:rsidR="00C026A6" w:rsidRPr="00EA59C0">
        <w:t xml:space="preserve"> </w:t>
      </w:r>
      <w:r w:rsidRPr="00EA59C0">
        <w:t>the</w:t>
      </w:r>
      <w:r w:rsidR="00C026A6" w:rsidRPr="00EA59C0">
        <w:t xml:space="preserve"> </w:t>
      </w:r>
      <w:r w:rsidRPr="00EA59C0">
        <w:t>project’s</w:t>
      </w:r>
      <w:r w:rsidR="00C026A6" w:rsidRPr="00EA59C0">
        <w:t xml:space="preserve"> </w:t>
      </w:r>
      <w:r w:rsidRPr="00EA59C0">
        <w:t>leadership</w:t>
      </w:r>
      <w:r w:rsidR="00C026A6" w:rsidRPr="00EA59C0">
        <w:t xml:space="preserve"> </w:t>
      </w:r>
      <w:r w:rsidRPr="00EA59C0">
        <w:t>team,</w:t>
      </w:r>
      <w:r w:rsidR="00C026A6" w:rsidRPr="00EA59C0">
        <w:t xml:space="preserve"> </w:t>
      </w:r>
      <w:r w:rsidRPr="00EA59C0">
        <w:t>in</w:t>
      </w:r>
      <w:r w:rsidR="00C026A6" w:rsidRPr="00EA59C0">
        <w:t xml:space="preserve"> </w:t>
      </w:r>
      <w:r w:rsidRPr="00EA59C0">
        <w:t>helping</w:t>
      </w:r>
      <w:r w:rsidR="00C026A6" w:rsidRPr="00EA59C0">
        <w:t xml:space="preserve"> </w:t>
      </w:r>
      <w:r w:rsidR="009919F8" w:rsidRPr="00EA59C0">
        <w:t>implement</w:t>
      </w:r>
      <w:r w:rsidR="00C026A6" w:rsidRPr="00EA59C0">
        <w:t xml:space="preserve"> </w:t>
      </w:r>
      <w:r w:rsidRPr="00EA59C0">
        <w:t>program</w:t>
      </w:r>
      <w:r w:rsidR="00C026A6" w:rsidRPr="00EA59C0">
        <w:t xml:space="preserve"> </w:t>
      </w:r>
      <w:r w:rsidRPr="00EA59C0">
        <w:t>strategies</w:t>
      </w:r>
      <w:r w:rsidR="00C026A6" w:rsidRPr="00EA59C0">
        <w:t xml:space="preserve"> </w:t>
      </w:r>
      <w:r w:rsidRPr="00EA59C0">
        <w:t>and</w:t>
      </w:r>
      <w:r w:rsidR="00C026A6" w:rsidRPr="00EA59C0">
        <w:t xml:space="preserve"> </w:t>
      </w:r>
      <w:r w:rsidRPr="00EA59C0">
        <w:t>goals,</w:t>
      </w:r>
      <w:r w:rsidR="00C026A6" w:rsidRPr="00EA59C0">
        <w:t xml:space="preserve"> </w:t>
      </w:r>
      <w:r w:rsidRPr="00EA59C0">
        <w:t>in</w:t>
      </w:r>
      <w:r w:rsidR="00C026A6" w:rsidRPr="00EA59C0">
        <w:t xml:space="preserve"> </w:t>
      </w:r>
      <w:r w:rsidRPr="00EA59C0">
        <w:t>identifying</w:t>
      </w:r>
      <w:r w:rsidR="00C026A6" w:rsidRPr="00EA59C0">
        <w:t xml:space="preserve"> </w:t>
      </w:r>
      <w:r w:rsidRPr="00EA59C0">
        <w:t>and</w:t>
      </w:r>
      <w:r w:rsidR="00C026A6" w:rsidRPr="00EA59C0">
        <w:t xml:space="preserve"> </w:t>
      </w:r>
      <w:r w:rsidRPr="00EA59C0">
        <w:t>mapping</w:t>
      </w:r>
      <w:r w:rsidR="00C026A6" w:rsidRPr="00EA59C0">
        <w:t xml:space="preserve"> </w:t>
      </w:r>
      <w:r w:rsidRPr="00EA59C0">
        <w:t>the</w:t>
      </w:r>
      <w:r w:rsidR="00C026A6" w:rsidRPr="00EA59C0">
        <w:t xml:space="preserve"> </w:t>
      </w:r>
      <w:r w:rsidRPr="00EA59C0">
        <w:t>necessary</w:t>
      </w:r>
      <w:r w:rsidR="00C026A6" w:rsidRPr="00EA59C0">
        <w:t xml:space="preserve"> </w:t>
      </w:r>
      <w:r w:rsidRPr="00EA59C0">
        <w:t>skills</w:t>
      </w:r>
      <w:r w:rsidR="00C026A6" w:rsidRPr="00EA59C0">
        <w:t xml:space="preserve"> </w:t>
      </w:r>
      <w:r w:rsidRPr="00EA59C0">
        <w:t>and</w:t>
      </w:r>
      <w:r w:rsidR="00C026A6" w:rsidRPr="00EA59C0">
        <w:t xml:space="preserve"> </w:t>
      </w:r>
      <w:r w:rsidRPr="00EA59C0">
        <w:t>competencies</w:t>
      </w:r>
      <w:r w:rsidR="00C026A6" w:rsidRPr="00EA59C0">
        <w:t xml:space="preserve"> </w:t>
      </w:r>
      <w:r w:rsidRPr="00EA59C0">
        <w:t>for</w:t>
      </w:r>
      <w:r w:rsidR="00C026A6" w:rsidRPr="00EA59C0">
        <w:t xml:space="preserve"> </w:t>
      </w:r>
      <w:r w:rsidRPr="00EA59C0">
        <w:t>the</w:t>
      </w:r>
      <w:r w:rsidR="00C026A6" w:rsidRPr="00EA59C0">
        <w:t xml:space="preserve"> </w:t>
      </w:r>
      <w:r w:rsidRPr="00EA59C0">
        <w:t>program,</w:t>
      </w:r>
      <w:r w:rsidR="00C026A6" w:rsidRPr="00EA59C0">
        <w:t xml:space="preserve"> </w:t>
      </w:r>
      <w:r w:rsidRPr="00EA59C0">
        <w:t>and</w:t>
      </w:r>
      <w:r w:rsidR="00C026A6" w:rsidRPr="00EA59C0">
        <w:t xml:space="preserve"> </w:t>
      </w:r>
      <w:r w:rsidR="005D1448" w:rsidRPr="00EA59C0">
        <w:t>a</w:t>
      </w:r>
      <w:r w:rsidRPr="00EA59C0">
        <w:t>ssisting</w:t>
      </w:r>
      <w:r w:rsidR="00C026A6" w:rsidRPr="00EA59C0">
        <w:t xml:space="preserve"> </w:t>
      </w:r>
      <w:r w:rsidRPr="00EA59C0">
        <w:t>with</w:t>
      </w:r>
      <w:r w:rsidR="00C026A6" w:rsidRPr="00EA59C0">
        <w:t xml:space="preserve"> </w:t>
      </w:r>
      <w:r w:rsidRPr="00EA59C0">
        <w:t>curriculum</w:t>
      </w:r>
      <w:r w:rsidR="00C026A6" w:rsidRPr="00EA59C0">
        <w:t xml:space="preserve"> </w:t>
      </w:r>
      <w:r w:rsidRPr="00EA59C0">
        <w:t>development</w:t>
      </w:r>
      <w:r w:rsidR="00997A44" w:rsidRPr="00EA59C0">
        <w:t>,</w:t>
      </w:r>
      <w:r w:rsidR="00C026A6" w:rsidRPr="00EA59C0">
        <w:t xml:space="preserve">   </w:t>
      </w:r>
      <w:r w:rsidR="00E634B8" w:rsidRPr="00EA59C0">
        <w:t>implementation</w:t>
      </w:r>
      <w:r w:rsidR="00C026A6" w:rsidRPr="00EA59C0">
        <w:t xml:space="preserve"> </w:t>
      </w:r>
      <w:r w:rsidR="00E634B8" w:rsidRPr="00EA59C0">
        <w:t>of</w:t>
      </w:r>
      <w:r w:rsidR="00C026A6" w:rsidRPr="00EA59C0">
        <w:t xml:space="preserve"> </w:t>
      </w:r>
      <w:r w:rsidRPr="00EA59C0">
        <w:t>program</w:t>
      </w:r>
      <w:r w:rsidR="00C026A6" w:rsidRPr="00EA59C0">
        <w:t xml:space="preserve"> </w:t>
      </w:r>
      <w:r w:rsidRPr="00EA59C0">
        <w:t>design</w:t>
      </w:r>
      <w:r w:rsidR="009919F8" w:rsidRPr="00EA59C0">
        <w:t>,</w:t>
      </w:r>
      <w:r w:rsidR="00C026A6" w:rsidRPr="00EA59C0">
        <w:t xml:space="preserve"> </w:t>
      </w:r>
      <w:r w:rsidR="00997A44" w:rsidRPr="00EA59C0">
        <w:t>the</w:t>
      </w:r>
      <w:r w:rsidR="00C026A6" w:rsidRPr="00EA59C0">
        <w:t xml:space="preserve"> </w:t>
      </w:r>
      <w:r w:rsidR="00997A44" w:rsidRPr="00EA59C0">
        <w:t>design</w:t>
      </w:r>
      <w:r w:rsidR="00C026A6" w:rsidRPr="00EA59C0">
        <w:t xml:space="preserve"> </w:t>
      </w:r>
      <w:r w:rsidR="00997A44" w:rsidRPr="00EA59C0">
        <w:t>of</w:t>
      </w:r>
      <w:r w:rsidR="00C026A6" w:rsidRPr="00EA59C0">
        <w:t xml:space="preserve"> </w:t>
      </w:r>
      <w:r w:rsidR="00997A44" w:rsidRPr="00EA59C0">
        <w:t>national</w:t>
      </w:r>
      <w:r w:rsidR="00C026A6" w:rsidRPr="00EA59C0">
        <w:t xml:space="preserve"> </w:t>
      </w:r>
      <w:r w:rsidR="00997A44" w:rsidRPr="00EA59C0">
        <w:t>industry-recognized</w:t>
      </w:r>
      <w:r w:rsidR="00C026A6" w:rsidRPr="00EA59C0">
        <w:t xml:space="preserve"> </w:t>
      </w:r>
      <w:r w:rsidR="00997A44" w:rsidRPr="00EA59C0">
        <w:t>credentials</w:t>
      </w:r>
      <w:r w:rsidR="00C026A6" w:rsidRPr="00EA59C0">
        <w:t xml:space="preserve"> </w:t>
      </w:r>
      <w:r w:rsidR="00997A44" w:rsidRPr="00EA59C0">
        <w:t>if</w:t>
      </w:r>
      <w:r w:rsidR="00C026A6" w:rsidRPr="00EA59C0">
        <w:t xml:space="preserve"> </w:t>
      </w:r>
      <w:r w:rsidR="00997A44" w:rsidRPr="00EA59C0">
        <w:t>needed</w:t>
      </w:r>
      <w:r w:rsidR="00C026A6" w:rsidRPr="00EA59C0">
        <w:t xml:space="preserve"> </w:t>
      </w:r>
      <w:r w:rsidR="00997A44" w:rsidRPr="00EA59C0">
        <w:t>and</w:t>
      </w:r>
      <w:r w:rsidR="00C026A6" w:rsidRPr="00EA59C0">
        <w:t xml:space="preserve"> </w:t>
      </w:r>
      <w:r w:rsidR="00997A44" w:rsidRPr="00EA59C0">
        <w:t>appropriate,</w:t>
      </w:r>
      <w:r w:rsidR="00C026A6" w:rsidRPr="00EA59C0">
        <w:t xml:space="preserve"> </w:t>
      </w:r>
      <w:r w:rsidR="009919F8" w:rsidRPr="00EA59C0">
        <w:t>and</w:t>
      </w:r>
      <w:r w:rsidR="00C026A6" w:rsidRPr="00EA59C0">
        <w:t xml:space="preserve"> </w:t>
      </w:r>
      <w:r w:rsidR="003F0F5A" w:rsidRPr="00EA59C0">
        <w:t>of</w:t>
      </w:r>
      <w:r w:rsidR="00C026A6" w:rsidRPr="00EA59C0">
        <w:t xml:space="preserve"> </w:t>
      </w:r>
      <w:r w:rsidR="003F0F5A" w:rsidRPr="00EA59C0">
        <w:t>their</w:t>
      </w:r>
      <w:r w:rsidR="00C026A6" w:rsidRPr="00EA59C0">
        <w:t xml:space="preserve"> </w:t>
      </w:r>
      <w:r w:rsidR="003F0F5A" w:rsidRPr="00EA59C0">
        <w:t>sustained</w:t>
      </w:r>
      <w:r w:rsidR="00C026A6" w:rsidRPr="00EA59C0">
        <w:t xml:space="preserve"> </w:t>
      </w:r>
      <w:r w:rsidR="003F0F5A" w:rsidRPr="00EA59C0">
        <w:t>involvement</w:t>
      </w:r>
      <w:r w:rsidR="00C026A6" w:rsidRPr="00EA59C0">
        <w:t xml:space="preserve"> </w:t>
      </w:r>
      <w:r w:rsidR="003F0F5A" w:rsidRPr="00EA59C0">
        <w:t>in</w:t>
      </w:r>
      <w:r w:rsidR="00C026A6" w:rsidRPr="00EA59C0">
        <w:t xml:space="preserve"> </w:t>
      </w:r>
      <w:r w:rsidR="003F0F5A" w:rsidRPr="00EA59C0">
        <w:t>the</w:t>
      </w:r>
      <w:r w:rsidR="00C026A6" w:rsidRPr="00EA59C0">
        <w:t xml:space="preserve"> </w:t>
      </w:r>
      <w:r w:rsidR="003F0F5A" w:rsidRPr="00EA59C0">
        <w:t>project</w:t>
      </w:r>
      <w:r w:rsidR="00C026A6" w:rsidRPr="00EA59C0">
        <w:t xml:space="preserve"> </w:t>
      </w:r>
      <w:r w:rsidR="003F0F5A" w:rsidRPr="00EA59C0">
        <w:t>throughout</w:t>
      </w:r>
      <w:r w:rsidR="00C026A6" w:rsidRPr="00EA59C0">
        <w:t xml:space="preserve"> </w:t>
      </w:r>
      <w:r w:rsidR="003F0F5A" w:rsidRPr="00EA59C0">
        <w:t>the</w:t>
      </w:r>
      <w:r w:rsidR="00C026A6" w:rsidRPr="00EA59C0">
        <w:t xml:space="preserve"> </w:t>
      </w:r>
      <w:r w:rsidR="003F0F5A" w:rsidRPr="00EA59C0">
        <w:t>duration</w:t>
      </w:r>
      <w:r w:rsidR="00C026A6" w:rsidRPr="00EA59C0">
        <w:t xml:space="preserve"> </w:t>
      </w:r>
      <w:r w:rsidR="003F0F5A" w:rsidRPr="00EA59C0">
        <w:t>of</w:t>
      </w:r>
      <w:r w:rsidR="00C026A6" w:rsidRPr="00EA59C0">
        <w:t xml:space="preserve"> </w:t>
      </w:r>
      <w:r w:rsidR="003F0F5A" w:rsidRPr="00EA59C0">
        <w:t>the</w:t>
      </w:r>
      <w:r w:rsidR="00C026A6" w:rsidRPr="00EA59C0">
        <w:t xml:space="preserve"> </w:t>
      </w:r>
      <w:r w:rsidR="003F0F5A" w:rsidRPr="00EA59C0">
        <w:t>program</w:t>
      </w:r>
      <w:r w:rsidR="00C026A6" w:rsidRPr="00EA59C0">
        <w:t xml:space="preserve"> </w:t>
      </w:r>
      <w:r w:rsidR="003F0F5A" w:rsidRPr="00EA59C0">
        <w:t>and</w:t>
      </w:r>
      <w:r w:rsidR="00C026A6" w:rsidRPr="00EA59C0">
        <w:t xml:space="preserve"> </w:t>
      </w:r>
      <w:r w:rsidR="003F0F5A" w:rsidRPr="00EA59C0">
        <w:t>beyond</w:t>
      </w:r>
      <w:r w:rsidRPr="00EA59C0">
        <w:t>.</w:t>
      </w:r>
      <w:r w:rsidR="00C026A6" w:rsidRPr="00EA59C0">
        <w:t xml:space="preserve"> </w:t>
      </w:r>
      <w:r w:rsidRPr="00EA59C0">
        <w:t>(</w:t>
      </w:r>
      <w:r w:rsidR="0093560B" w:rsidRPr="00EA59C0">
        <w:t>4</w:t>
      </w:r>
      <w:r w:rsidR="00C026A6" w:rsidRPr="00EA59C0">
        <w:t xml:space="preserve"> </w:t>
      </w:r>
      <w:r w:rsidRPr="00EA59C0">
        <w:t>points)</w:t>
      </w:r>
      <w:r w:rsidR="0024446D" w:rsidRPr="00EA59C0">
        <w:t>; and</w:t>
      </w:r>
      <w:r w:rsidR="00C026A6" w:rsidRPr="00EA59C0">
        <w:t xml:space="preserve"> </w:t>
      </w:r>
    </w:p>
    <w:p w:rsidR="0029348D" w:rsidRPr="00EA59C0" w:rsidRDefault="0029348D" w:rsidP="00B505EF">
      <w:pPr>
        <w:pStyle w:val="ListParagraph"/>
        <w:numPr>
          <w:ilvl w:val="4"/>
          <w:numId w:val="17"/>
        </w:numPr>
      </w:pPr>
      <w:r w:rsidRPr="00EA59C0">
        <w:t>Level</w:t>
      </w:r>
      <w:r w:rsidR="00C026A6" w:rsidRPr="00EA59C0">
        <w:t xml:space="preserve"> </w:t>
      </w:r>
      <w:r w:rsidRPr="00EA59C0">
        <w:t>of</w:t>
      </w:r>
      <w:r w:rsidR="00C026A6" w:rsidRPr="00EA59C0">
        <w:t xml:space="preserve"> </w:t>
      </w:r>
      <w:r w:rsidR="002262A7" w:rsidRPr="00EA59C0">
        <w:t>commitment</w:t>
      </w:r>
      <w:r w:rsidR="00C026A6" w:rsidRPr="00EA59C0">
        <w:t xml:space="preserve"> </w:t>
      </w:r>
      <w:r w:rsidR="002262A7" w:rsidRPr="00EA59C0">
        <w:t>to</w:t>
      </w:r>
      <w:r w:rsidR="00C026A6" w:rsidRPr="00EA59C0">
        <w:t xml:space="preserve"> </w:t>
      </w:r>
      <w:r w:rsidRPr="00EA59C0">
        <w:t>additional</w:t>
      </w:r>
      <w:r w:rsidR="00C026A6" w:rsidRPr="00EA59C0">
        <w:t xml:space="preserve"> </w:t>
      </w:r>
      <w:r w:rsidRPr="00EA59C0">
        <w:t>involvement</w:t>
      </w:r>
      <w:r w:rsidR="00C026A6" w:rsidRPr="00EA59C0">
        <w:t xml:space="preserve"> </w:t>
      </w:r>
      <w:r w:rsidR="002262A7" w:rsidRPr="00EA59C0">
        <w:t>by</w:t>
      </w:r>
      <w:r w:rsidR="00C026A6" w:rsidRPr="00EA59C0">
        <w:t xml:space="preserve"> </w:t>
      </w:r>
      <w:r w:rsidRPr="00EA59C0">
        <w:t>employers</w:t>
      </w:r>
      <w:r w:rsidR="00C026A6" w:rsidRPr="00EA59C0">
        <w:t xml:space="preserve"> </w:t>
      </w:r>
      <w:r w:rsidRPr="00EA59C0">
        <w:t>and</w:t>
      </w:r>
      <w:r w:rsidR="00C026A6" w:rsidRPr="00EA59C0">
        <w:t xml:space="preserve"> </w:t>
      </w:r>
      <w:r w:rsidR="00811F0D" w:rsidRPr="00EA59C0">
        <w:t>regional</w:t>
      </w:r>
      <w:r w:rsidR="00C026A6" w:rsidRPr="00EA59C0">
        <w:t xml:space="preserve"> </w:t>
      </w:r>
      <w:r w:rsidRPr="00EA59C0">
        <w:t>industry</w:t>
      </w:r>
      <w:r w:rsidR="00C026A6" w:rsidRPr="00EA59C0">
        <w:t xml:space="preserve"> </w:t>
      </w:r>
      <w:r w:rsidRPr="00EA59C0">
        <w:t>representatives,</w:t>
      </w:r>
      <w:r w:rsidR="00C026A6" w:rsidRPr="00EA59C0">
        <w:t xml:space="preserve"> </w:t>
      </w:r>
      <w:r w:rsidR="00811F0D" w:rsidRPr="00EA59C0">
        <w:t>and</w:t>
      </w:r>
      <w:r w:rsidR="00C026A6" w:rsidRPr="00EA59C0">
        <w:t xml:space="preserve"> </w:t>
      </w:r>
      <w:r w:rsidR="00811F0D" w:rsidRPr="00EA59C0">
        <w:t>national</w:t>
      </w:r>
      <w:r w:rsidR="00C026A6" w:rsidRPr="00EA59C0">
        <w:t xml:space="preserve"> </w:t>
      </w:r>
      <w:r w:rsidR="00811F0D" w:rsidRPr="00EA59C0">
        <w:t>industry</w:t>
      </w:r>
      <w:r w:rsidR="00C026A6" w:rsidRPr="00EA59C0">
        <w:t xml:space="preserve"> </w:t>
      </w:r>
      <w:r w:rsidR="00811F0D" w:rsidRPr="00EA59C0">
        <w:t>representatives</w:t>
      </w:r>
      <w:r w:rsidR="00C026A6" w:rsidRPr="00EA59C0">
        <w:t xml:space="preserve"> </w:t>
      </w:r>
      <w:r w:rsidR="00811F0D" w:rsidRPr="00EA59C0">
        <w:t>(if</w:t>
      </w:r>
      <w:r w:rsidR="00C026A6" w:rsidRPr="00EA59C0">
        <w:t xml:space="preserve"> </w:t>
      </w:r>
      <w:r w:rsidR="00811F0D" w:rsidRPr="00EA59C0">
        <w:t>applicable),</w:t>
      </w:r>
      <w:r w:rsidR="00C026A6" w:rsidRPr="00EA59C0">
        <w:t xml:space="preserve"> </w:t>
      </w:r>
      <w:r w:rsidRPr="00EA59C0">
        <w:t>supported</w:t>
      </w:r>
      <w:r w:rsidR="00C026A6" w:rsidRPr="00EA59C0">
        <w:t xml:space="preserve"> </w:t>
      </w:r>
      <w:r w:rsidRPr="00EA59C0">
        <w:t>by</w:t>
      </w:r>
      <w:r w:rsidR="00C026A6" w:rsidRPr="00EA59C0">
        <w:t xml:space="preserve"> </w:t>
      </w:r>
      <w:r w:rsidRPr="00EA59C0">
        <w:t>additional</w:t>
      </w:r>
      <w:r w:rsidR="00C026A6" w:rsidRPr="00EA59C0">
        <w:t xml:space="preserve"> </w:t>
      </w:r>
      <w:r w:rsidRPr="00EA59C0">
        <w:t>documentation.</w:t>
      </w:r>
      <w:r w:rsidR="00C026A6" w:rsidRPr="00EA59C0">
        <w:t xml:space="preserve">  </w:t>
      </w:r>
      <w:r w:rsidRPr="00EA59C0">
        <w:t>This</w:t>
      </w:r>
      <w:r w:rsidR="00C026A6" w:rsidRPr="00EA59C0">
        <w:t xml:space="preserve"> </w:t>
      </w:r>
      <w:r w:rsidRPr="00EA59C0">
        <w:t>involvement</w:t>
      </w:r>
      <w:r w:rsidR="00C026A6" w:rsidRPr="00EA59C0">
        <w:t xml:space="preserve"> </w:t>
      </w:r>
      <w:r w:rsidRPr="00EA59C0">
        <w:t>could</w:t>
      </w:r>
      <w:r w:rsidR="00C026A6" w:rsidRPr="00EA59C0">
        <w:t xml:space="preserve"> </w:t>
      </w:r>
      <w:r w:rsidRPr="00EA59C0">
        <w:t>include</w:t>
      </w:r>
      <w:r w:rsidR="00C026A6" w:rsidRPr="00EA59C0">
        <w:t xml:space="preserve"> </w:t>
      </w:r>
      <w:r w:rsidRPr="00EA59C0">
        <w:t>providing</w:t>
      </w:r>
      <w:r w:rsidR="00C026A6" w:rsidRPr="00EA59C0">
        <w:t xml:space="preserve"> </w:t>
      </w:r>
      <w:r w:rsidRPr="00EA59C0">
        <w:t>work-based</w:t>
      </w:r>
      <w:r w:rsidR="00C026A6" w:rsidRPr="00EA59C0">
        <w:t xml:space="preserve"> </w:t>
      </w:r>
      <w:r w:rsidRPr="00EA59C0">
        <w:t>training</w:t>
      </w:r>
      <w:r w:rsidR="00C026A6" w:rsidRPr="00EA59C0">
        <w:t xml:space="preserve"> </w:t>
      </w:r>
      <w:r w:rsidRPr="00EA59C0">
        <w:t>opportunities</w:t>
      </w:r>
      <w:r w:rsidR="00C026A6" w:rsidRPr="00EA59C0">
        <w:t xml:space="preserve"> </w:t>
      </w:r>
      <w:r w:rsidRPr="00EA59C0">
        <w:t>for</w:t>
      </w:r>
      <w:r w:rsidR="00C026A6" w:rsidRPr="00EA59C0">
        <w:t xml:space="preserve"> </w:t>
      </w:r>
      <w:r w:rsidRPr="00EA59C0">
        <w:t>the</w:t>
      </w:r>
      <w:r w:rsidR="00C026A6" w:rsidRPr="00EA59C0">
        <w:t xml:space="preserve"> </w:t>
      </w:r>
      <w:r w:rsidRPr="00EA59C0">
        <w:t>program</w:t>
      </w:r>
      <w:r w:rsidR="006E56B3" w:rsidRPr="00EA59C0">
        <w:t xml:space="preserve"> such as registered apprenticeships</w:t>
      </w:r>
      <w:r w:rsidRPr="00EA59C0">
        <w:t>,</w:t>
      </w:r>
      <w:r w:rsidR="00C026A6" w:rsidRPr="00EA59C0">
        <w:t xml:space="preserve"> </w:t>
      </w:r>
      <w:r w:rsidRPr="00EA59C0">
        <w:t>providing</w:t>
      </w:r>
      <w:r w:rsidR="00C026A6" w:rsidRPr="00EA59C0">
        <w:t xml:space="preserve"> </w:t>
      </w:r>
      <w:r w:rsidR="00CA5C38" w:rsidRPr="00EA59C0">
        <w:t>leveraged</w:t>
      </w:r>
      <w:r w:rsidR="00C026A6" w:rsidRPr="00EA59C0">
        <w:t xml:space="preserve"> </w:t>
      </w:r>
      <w:r w:rsidRPr="00EA59C0">
        <w:t>resources</w:t>
      </w:r>
      <w:r w:rsidR="00C026A6" w:rsidRPr="00EA59C0">
        <w:t xml:space="preserve"> </w:t>
      </w:r>
      <w:r w:rsidRPr="00EA59C0">
        <w:t>to</w:t>
      </w:r>
      <w:r w:rsidR="00C026A6" w:rsidRPr="00EA59C0">
        <w:t xml:space="preserve"> </w:t>
      </w:r>
      <w:r w:rsidRPr="00EA59C0">
        <w:t>support</w:t>
      </w:r>
      <w:r w:rsidR="00C026A6" w:rsidRPr="00EA59C0">
        <w:t xml:space="preserve"> </w:t>
      </w:r>
      <w:r w:rsidRPr="00EA59C0">
        <w:t>education/training</w:t>
      </w:r>
      <w:r w:rsidR="00C026A6" w:rsidRPr="00EA59C0">
        <w:t xml:space="preserve"> </w:t>
      </w:r>
      <w:r w:rsidR="00776FB3" w:rsidRPr="00EA59C0">
        <w:t>including</w:t>
      </w:r>
      <w:r w:rsidR="00C026A6" w:rsidRPr="00EA59C0">
        <w:t xml:space="preserve"> </w:t>
      </w:r>
      <w:r w:rsidR="00776FB3" w:rsidRPr="00EA59C0">
        <w:t>cash</w:t>
      </w:r>
      <w:r w:rsidR="00C026A6" w:rsidRPr="00EA59C0">
        <w:t xml:space="preserve"> </w:t>
      </w:r>
      <w:r w:rsidR="00776FB3" w:rsidRPr="00EA59C0">
        <w:t>or</w:t>
      </w:r>
      <w:r w:rsidR="00C026A6" w:rsidRPr="00EA59C0">
        <w:t xml:space="preserve"> </w:t>
      </w:r>
      <w:r w:rsidR="00776FB3" w:rsidRPr="00EA59C0">
        <w:t>in-kind</w:t>
      </w:r>
      <w:r w:rsidR="00C026A6" w:rsidRPr="00EA59C0">
        <w:t xml:space="preserve"> </w:t>
      </w:r>
      <w:r w:rsidR="00776FB3" w:rsidRPr="00EA59C0">
        <w:t>support</w:t>
      </w:r>
      <w:r w:rsidRPr="00EA59C0">
        <w:t>,</w:t>
      </w:r>
      <w:r w:rsidR="00C026A6" w:rsidRPr="00EA59C0">
        <w:t xml:space="preserve"> </w:t>
      </w:r>
      <w:r w:rsidRPr="00EA59C0">
        <w:t>and</w:t>
      </w:r>
      <w:r w:rsidR="00C026A6" w:rsidRPr="00EA59C0">
        <w:t xml:space="preserve"> </w:t>
      </w:r>
      <w:r w:rsidRPr="00EA59C0">
        <w:t>committing</w:t>
      </w:r>
      <w:r w:rsidR="00C026A6" w:rsidRPr="00EA59C0">
        <w:t xml:space="preserve"> </w:t>
      </w:r>
      <w:r w:rsidRPr="00EA59C0">
        <w:t>to</w:t>
      </w:r>
      <w:r w:rsidR="00C026A6" w:rsidRPr="00EA59C0">
        <w:t xml:space="preserve"> </w:t>
      </w:r>
      <w:r w:rsidRPr="00EA59C0">
        <w:t>hire,</w:t>
      </w:r>
      <w:r w:rsidR="00C026A6" w:rsidRPr="00EA59C0">
        <w:t xml:space="preserve"> </w:t>
      </w:r>
      <w:r w:rsidRPr="00EA59C0">
        <w:t>promote</w:t>
      </w:r>
      <w:r w:rsidR="00C026A6" w:rsidRPr="00EA59C0">
        <w:t xml:space="preserve"> </w:t>
      </w:r>
      <w:r w:rsidRPr="00EA59C0">
        <w:t>and/or</w:t>
      </w:r>
      <w:r w:rsidR="00C026A6" w:rsidRPr="00EA59C0">
        <w:t xml:space="preserve"> </w:t>
      </w:r>
      <w:r w:rsidRPr="00EA59C0">
        <w:t>retain</w:t>
      </w:r>
      <w:r w:rsidR="00C026A6" w:rsidRPr="00EA59C0">
        <w:t xml:space="preserve"> </w:t>
      </w:r>
      <w:r w:rsidRPr="00EA59C0">
        <w:t>qualified</w:t>
      </w:r>
      <w:r w:rsidR="00C026A6" w:rsidRPr="00EA59C0">
        <w:t xml:space="preserve"> </w:t>
      </w:r>
      <w:r w:rsidRPr="00EA59C0">
        <w:t>program</w:t>
      </w:r>
      <w:r w:rsidR="00C026A6" w:rsidRPr="00EA59C0">
        <w:t xml:space="preserve"> </w:t>
      </w:r>
      <w:r w:rsidRPr="00EA59C0">
        <w:t>participants.</w:t>
      </w:r>
      <w:r w:rsidR="00C026A6" w:rsidRPr="00EA59C0">
        <w:t xml:space="preserve"> </w:t>
      </w:r>
      <w:r w:rsidRPr="00EA59C0">
        <w:t>(</w:t>
      </w:r>
      <w:r w:rsidR="000F5CDF" w:rsidRPr="00EA59C0">
        <w:t>3</w:t>
      </w:r>
      <w:r w:rsidR="00C026A6" w:rsidRPr="00EA59C0">
        <w:t xml:space="preserve"> </w:t>
      </w:r>
      <w:r w:rsidRPr="00EA59C0">
        <w:t>points)</w:t>
      </w:r>
    </w:p>
    <w:p w:rsidR="00C026A6" w:rsidRPr="00EA59C0" w:rsidRDefault="00C026A6" w:rsidP="00C026A6">
      <w:pPr>
        <w:pStyle w:val="ListParagraph"/>
        <w:ind w:left="1800"/>
      </w:pPr>
    </w:p>
    <w:p w:rsidR="00614391" w:rsidRPr="00EA59C0" w:rsidRDefault="00614391" w:rsidP="00B505EF">
      <w:pPr>
        <w:pStyle w:val="ListParagraph"/>
        <w:numPr>
          <w:ilvl w:val="3"/>
          <w:numId w:val="17"/>
        </w:numPr>
        <w:rPr>
          <w:b/>
        </w:rPr>
      </w:pPr>
      <w:r w:rsidRPr="00EA59C0">
        <w:rPr>
          <w:b/>
        </w:rPr>
        <w:t>Project</w:t>
      </w:r>
      <w:r w:rsidR="00C026A6" w:rsidRPr="00EA59C0">
        <w:rPr>
          <w:b/>
        </w:rPr>
        <w:t xml:space="preserve"> </w:t>
      </w:r>
      <w:r w:rsidRPr="00EA59C0">
        <w:rPr>
          <w:b/>
        </w:rPr>
        <w:t>Workplan</w:t>
      </w:r>
      <w:r w:rsidR="00C026A6" w:rsidRPr="00EA59C0">
        <w:rPr>
          <w:b/>
        </w:rPr>
        <w:t xml:space="preserve"> </w:t>
      </w:r>
      <w:r w:rsidRPr="00EA59C0">
        <w:rPr>
          <w:b/>
        </w:rPr>
        <w:t>(</w:t>
      </w:r>
      <w:r w:rsidR="00C026A6" w:rsidRPr="00EA59C0">
        <w:rPr>
          <w:b/>
        </w:rPr>
        <w:t xml:space="preserve"> </w:t>
      </w:r>
      <w:r w:rsidR="005205AB" w:rsidRPr="00EA59C0">
        <w:rPr>
          <w:b/>
        </w:rPr>
        <w:t>9</w:t>
      </w:r>
      <w:r w:rsidR="00C026A6" w:rsidRPr="00EA59C0">
        <w:rPr>
          <w:b/>
        </w:rPr>
        <w:t xml:space="preserve"> </w:t>
      </w:r>
      <w:r w:rsidRPr="00EA59C0">
        <w:rPr>
          <w:b/>
        </w:rPr>
        <w:t>points)</w:t>
      </w:r>
    </w:p>
    <w:p w:rsidR="00B3559A" w:rsidRPr="00EA59C0" w:rsidRDefault="00B3559A" w:rsidP="00B505EF">
      <w:pPr>
        <w:pStyle w:val="ListParagraph"/>
        <w:numPr>
          <w:ilvl w:val="4"/>
          <w:numId w:val="17"/>
        </w:numPr>
      </w:pPr>
      <w:r w:rsidRPr="00EA59C0">
        <w:t>The</w:t>
      </w:r>
      <w:r w:rsidR="00C026A6" w:rsidRPr="00EA59C0">
        <w:t xml:space="preserve"> </w:t>
      </w:r>
      <w:r w:rsidRPr="00EA59C0">
        <w:t>comprehensiveness</w:t>
      </w:r>
      <w:r w:rsidR="00C026A6" w:rsidRPr="00EA59C0">
        <w:t xml:space="preserve"> </w:t>
      </w:r>
      <w:r w:rsidRPr="00EA59C0">
        <w:t>of</w:t>
      </w:r>
      <w:r w:rsidR="00C026A6" w:rsidRPr="00EA59C0">
        <w:t xml:space="preserve"> </w:t>
      </w:r>
      <w:r w:rsidRPr="00EA59C0">
        <w:t>the</w:t>
      </w:r>
      <w:r w:rsidR="00C026A6" w:rsidRPr="00EA59C0">
        <w:t xml:space="preserve"> </w:t>
      </w:r>
      <w:r w:rsidRPr="00EA59C0">
        <w:t>project</w:t>
      </w:r>
      <w:r w:rsidR="00C026A6" w:rsidRPr="00EA59C0">
        <w:t xml:space="preserve"> </w:t>
      </w:r>
      <w:r w:rsidRPr="00EA59C0">
        <w:t>work</w:t>
      </w:r>
      <w:r w:rsidR="00C026A6" w:rsidRPr="00EA59C0">
        <w:t xml:space="preserve"> </w:t>
      </w:r>
      <w:r w:rsidRPr="00EA59C0">
        <w:t>plan</w:t>
      </w:r>
      <w:r w:rsidR="00C026A6" w:rsidRPr="00EA59C0">
        <w:t xml:space="preserve"> </w:t>
      </w:r>
      <w:r w:rsidRPr="00EA59C0">
        <w:t>that</w:t>
      </w:r>
      <w:r w:rsidR="00C026A6" w:rsidRPr="00EA59C0">
        <w:t xml:space="preserve"> </w:t>
      </w:r>
      <w:r w:rsidRPr="00EA59C0">
        <w:t>includes</w:t>
      </w:r>
      <w:r w:rsidR="00C026A6" w:rsidRPr="00EA59C0">
        <w:t xml:space="preserve"> </w:t>
      </w:r>
      <w:r w:rsidRPr="00EA59C0">
        <w:t>feasible</w:t>
      </w:r>
      <w:r w:rsidR="00C026A6" w:rsidRPr="00EA59C0">
        <w:t xml:space="preserve"> </w:t>
      </w:r>
      <w:r w:rsidRPr="00EA59C0">
        <w:t>and</w:t>
      </w:r>
      <w:r w:rsidR="00C026A6" w:rsidRPr="00EA59C0">
        <w:t xml:space="preserve"> </w:t>
      </w:r>
      <w:r w:rsidRPr="00EA59C0">
        <w:t>realistic</w:t>
      </w:r>
      <w:r w:rsidR="00C026A6" w:rsidRPr="00EA59C0">
        <w:t xml:space="preserve"> </w:t>
      </w:r>
      <w:r w:rsidRPr="00EA59C0">
        <w:t>activities</w:t>
      </w:r>
      <w:r w:rsidR="00C026A6" w:rsidRPr="00EA59C0">
        <w:t xml:space="preserve"> </w:t>
      </w:r>
      <w:r w:rsidRPr="00EA59C0">
        <w:t>and</w:t>
      </w:r>
      <w:r w:rsidR="00C026A6" w:rsidRPr="00EA59C0">
        <w:t xml:space="preserve"> </w:t>
      </w:r>
      <w:r w:rsidRPr="00EA59C0">
        <w:t>timeframes,</w:t>
      </w:r>
      <w:r w:rsidR="00C026A6" w:rsidRPr="00EA59C0">
        <w:t xml:space="preserve"> </w:t>
      </w:r>
      <w:r w:rsidRPr="00EA59C0">
        <w:t>identifies</w:t>
      </w:r>
      <w:r w:rsidR="00C026A6" w:rsidRPr="00EA59C0">
        <w:t xml:space="preserve"> </w:t>
      </w:r>
      <w:r w:rsidRPr="00EA59C0">
        <w:t>key</w:t>
      </w:r>
      <w:r w:rsidR="00C026A6" w:rsidRPr="00EA59C0">
        <w:t xml:space="preserve"> </w:t>
      </w:r>
      <w:r w:rsidRPr="00EA59C0">
        <w:t>implementers</w:t>
      </w:r>
      <w:r w:rsidR="00C026A6" w:rsidRPr="00EA59C0">
        <w:t xml:space="preserve"> </w:t>
      </w:r>
      <w:r w:rsidRPr="00EA59C0">
        <w:t>(including</w:t>
      </w:r>
      <w:r w:rsidR="00C026A6" w:rsidRPr="00EA59C0">
        <w:t xml:space="preserve"> </w:t>
      </w:r>
      <w:r w:rsidRPr="00EA59C0">
        <w:t>specific</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if</w:t>
      </w:r>
      <w:r w:rsidR="00C026A6" w:rsidRPr="00EA59C0">
        <w:t xml:space="preserve"> </w:t>
      </w:r>
      <w:r w:rsidRPr="00EA59C0">
        <w:t>applicable),</w:t>
      </w:r>
      <w:r w:rsidR="00C026A6" w:rsidRPr="00EA59C0">
        <w:t xml:space="preserve"> </w:t>
      </w:r>
      <w:r w:rsidRPr="00EA59C0">
        <w:t>and</w:t>
      </w:r>
      <w:r w:rsidR="00C026A6" w:rsidRPr="00EA59C0">
        <w:t xml:space="preserve"> </w:t>
      </w:r>
      <w:r w:rsidRPr="00EA59C0">
        <w:t>clearly</w:t>
      </w:r>
      <w:r w:rsidR="00C026A6" w:rsidRPr="00EA59C0">
        <w:t xml:space="preserve"> </w:t>
      </w:r>
      <w:r w:rsidRPr="00EA59C0">
        <w:t>specifies</w:t>
      </w:r>
      <w:r w:rsidR="00C026A6" w:rsidRPr="00EA59C0">
        <w:t xml:space="preserve"> </w:t>
      </w:r>
      <w:r w:rsidRPr="00EA59C0">
        <w:t>the</w:t>
      </w:r>
      <w:r w:rsidR="00C026A6" w:rsidRPr="00EA59C0">
        <w:t xml:space="preserve"> </w:t>
      </w:r>
      <w:r w:rsidRPr="00EA59C0">
        <w:t>roles</w:t>
      </w:r>
      <w:r w:rsidR="00C026A6" w:rsidRPr="00EA59C0">
        <w:t xml:space="preserve"> </w:t>
      </w:r>
      <w:r w:rsidRPr="00EA59C0">
        <w:t>of</w:t>
      </w:r>
      <w:r w:rsidR="00C026A6" w:rsidRPr="00EA59C0">
        <w:t xml:space="preserve"> </w:t>
      </w:r>
      <w:r w:rsidRPr="00EA59C0">
        <w:t>employers,</w:t>
      </w:r>
      <w:r w:rsidR="00C026A6" w:rsidRPr="00EA59C0">
        <w:t xml:space="preserve"> </w:t>
      </w:r>
      <w:r w:rsidR="00C91793" w:rsidRPr="00EA59C0">
        <w:t>cooperating</w:t>
      </w:r>
      <w:r w:rsidR="00C026A6" w:rsidRPr="00EA59C0">
        <w:t xml:space="preserve"> </w:t>
      </w:r>
      <w:r w:rsidR="00C91793" w:rsidRPr="00EA59C0">
        <w:t>State</w:t>
      </w:r>
      <w:r w:rsidR="00C026A6" w:rsidRPr="00EA59C0">
        <w:t xml:space="preserve"> </w:t>
      </w:r>
      <w:r w:rsidR="00C91793" w:rsidRPr="00EA59C0">
        <w:t>agen</w:t>
      </w:r>
      <w:r w:rsidR="001D3203" w:rsidRPr="00EA59C0">
        <w:t>cies</w:t>
      </w:r>
      <w:r w:rsidR="00C026A6" w:rsidRPr="00EA59C0">
        <w:t xml:space="preserve"> </w:t>
      </w:r>
      <w:r w:rsidR="001D3203" w:rsidRPr="00EA59C0">
        <w:t>that</w:t>
      </w:r>
      <w:r w:rsidR="00C026A6" w:rsidRPr="00EA59C0">
        <w:t xml:space="preserve"> </w:t>
      </w:r>
      <w:r w:rsidR="001D3203" w:rsidRPr="00EA59C0">
        <w:t>administer</w:t>
      </w:r>
      <w:r w:rsidR="00C026A6" w:rsidRPr="00EA59C0">
        <w:t xml:space="preserve"> </w:t>
      </w:r>
      <w:r w:rsidR="001D3203" w:rsidRPr="00EA59C0">
        <w:t>the</w:t>
      </w:r>
      <w:r w:rsidR="00C026A6" w:rsidRPr="00EA59C0">
        <w:t xml:space="preserve"> </w:t>
      </w:r>
      <w:r w:rsidR="001D3203" w:rsidRPr="00EA59C0">
        <w:t>TAA</w:t>
      </w:r>
      <w:r w:rsidR="00C026A6" w:rsidRPr="00EA59C0">
        <w:t xml:space="preserve"> </w:t>
      </w:r>
      <w:r w:rsidR="001D3203" w:rsidRPr="00EA59C0">
        <w:t>for</w:t>
      </w:r>
      <w:r w:rsidR="00C026A6" w:rsidRPr="00EA59C0">
        <w:t xml:space="preserve"> </w:t>
      </w:r>
      <w:r w:rsidR="001D3203" w:rsidRPr="00EA59C0">
        <w:t>Workers</w:t>
      </w:r>
      <w:r w:rsidR="00C026A6" w:rsidRPr="00EA59C0">
        <w:t xml:space="preserve"> </w:t>
      </w:r>
      <w:r w:rsidR="001D3203" w:rsidRPr="00EA59C0">
        <w:t>program</w:t>
      </w:r>
      <w:r w:rsidR="00C026A6" w:rsidRPr="00EA59C0">
        <w:t xml:space="preserve"> </w:t>
      </w:r>
      <w:r w:rsidR="001D3203" w:rsidRPr="00EA59C0">
        <w:t>and</w:t>
      </w:r>
      <w:r w:rsidR="00C026A6" w:rsidRPr="00EA59C0">
        <w:t xml:space="preserve"> </w:t>
      </w:r>
      <w:r w:rsidR="001D3203" w:rsidRPr="00EA59C0">
        <w:t>other</w:t>
      </w:r>
      <w:r w:rsidR="00C026A6" w:rsidRPr="00EA59C0">
        <w:t xml:space="preserve"> </w:t>
      </w:r>
      <w:r w:rsidRPr="00EA59C0">
        <w:t>public</w:t>
      </w:r>
      <w:r w:rsidR="00C026A6" w:rsidRPr="00EA59C0">
        <w:t xml:space="preserve"> </w:t>
      </w:r>
      <w:r w:rsidRPr="00EA59C0">
        <w:t>workforce</w:t>
      </w:r>
      <w:r w:rsidR="00C026A6" w:rsidRPr="00EA59C0">
        <w:t xml:space="preserve"> </w:t>
      </w:r>
      <w:r w:rsidRPr="00EA59C0">
        <w:t>system</w:t>
      </w:r>
      <w:r w:rsidR="00C50C51" w:rsidRPr="00EA59C0">
        <w:t xml:space="preserve"> entities</w:t>
      </w:r>
      <w:r w:rsidR="006A00B3" w:rsidRPr="00EA59C0">
        <w:t>,</w:t>
      </w:r>
      <w:r w:rsidR="00C026A6" w:rsidRPr="00EA59C0">
        <w:t xml:space="preserve"> </w:t>
      </w:r>
      <w:r w:rsidRPr="00EA59C0">
        <w:t>and</w:t>
      </w:r>
      <w:r w:rsidR="00C026A6" w:rsidRPr="00EA59C0">
        <w:t xml:space="preserve"> </w:t>
      </w:r>
      <w:r w:rsidRPr="00EA59C0">
        <w:t>individual</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as</w:t>
      </w:r>
      <w:r w:rsidR="00C026A6" w:rsidRPr="00EA59C0">
        <w:t xml:space="preserve"> </w:t>
      </w:r>
      <w:r w:rsidRPr="00EA59C0">
        <w:t>applicable.</w:t>
      </w:r>
      <w:r w:rsidR="00C026A6" w:rsidRPr="00EA59C0">
        <w:t xml:space="preserve">  </w:t>
      </w:r>
      <w:r w:rsidRPr="00EA59C0">
        <w:t>(</w:t>
      </w:r>
      <w:r w:rsidR="005205AB" w:rsidRPr="00EA59C0">
        <w:t>4</w:t>
      </w:r>
      <w:r w:rsidR="00C026A6" w:rsidRPr="00EA59C0">
        <w:t xml:space="preserve"> </w:t>
      </w:r>
      <w:r w:rsidR="009F7896" w:rsidRPr="00EA59C0">
        <w:t>points</w:t>
      </w:r>
      <w:r w:rsidR="006A00B3" w:rsidRPr="00EA59C0">
        <w:t xml:space="preserve">); </w:t>
      </w:r>
    </w:p>
    <w:p w:rsidR="00B3559A" w:rsidRPr="00EA59C0" w:rsidRDefault="00B3559A" w:rsidP="00B505EF">
      <w:pPr>
        <w:pStyle w:val="ListParagraph"/>
        <w:numPr>
          <w:ilvl w:val="4"/>
          <w:numId w:val="17"/>
        </w:numPr>
      </w:pPr>
      <w:r w:rsidRPr="00EA59C0">
        <w:t>The</w:t>
      </w:r>
      <w:r w:rsidR="00C026A6" w:rsidRPr="00EA59C0">
        <w:t xml:space="preserve"> </w:t>
      </w:r>
      <w:r w:rsidRPr="00EA59C0">
        <w:t>completeness</w:t>
      </w:r>
      <w:r w:rsidR="00C026A6" w:rsidRPr="00EA59C0">
        <w:t xml:space="preserve"> </w:t>
      </w:r>
      <w:r w:rsidRPr="00EA59C0">
        <w:t>with</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identifies</w:t>
      </w:r>
      <w:r w:rsidR="00C026A6" w:rsidRPr="00EA59C0">
        <w:t xml:space="preserve"> </w:t>
      </w:r>
      <w:r w:rsidRPr="00EA59C0">
        <w:t>and</w:t>
      </w:r>
      <w:r w:rsidR="00C026A6" w:rsidRPr="00EA59C0">
        <w:t xml:space="preserve"> </w:t>
      </w:r>
      <w:r w:rsidRPr="00EA59C0">
        <w:t>describes</w:t>
      </w:r>
      <w:r w:rsidR="00C026A6" w:rsidRPr="00EA59C0">
        <w:t xml:space="preserve"> </w:t>
      </w:r>
      <w:r w:rsidRPr="00EA59C0">
        <w:t>the</w:t>
      </w:r>
      <w:r w:rsidR="00C026A6" w:rsidRPr="00EA59C0">
        <w:t xml:space="preserve"> </w:t>
      </w:r>
      <w:r w:rsidRPr="00EA59C0">
        <w:t>costs</w:t>
      </w:r>
      <w:r w:rsidR="00C026A6" w:rsidRPr="00EA59C0">
        <w:t xml:space="preserve"> </w:t>
      </w:r>
      <w:r w:rsidRPr="00EA59C0">
        <w:t>associated</w:t>
      </w:r>
      <w:r w:rsidR="00C026A6" w:rsidRPr="00EA59C0">
        <w:t xml:space="preserve"> </w:t>
      </w:r>
      <w:r w:rsidRPr="00EA59C0">
        <w:t>with</w:t>
      </w:r>
      <w:r w:rsidR="00C026A6" w:rsidRPr="00EA59C0">
        <w:t xml:space="preserve"> </w:t>
      </w:r>
      <w:r w:rsidRPr="00EA59C0">
        <w:t>all</w:t>
      </w:r>
      <w:r w:rsidR="00C026A6" w:rsidRPr="00EA59C0">
        <w:t xml:space="preserve"> </w:t>
      </w:r>
      <w:r w:rsidRPr="00EA59C0">
        <w:t>project</w:t>
      </w:r>
      <w:r w:rsidR="00C026A6" w:rsidRPr="00EA59C0">
        <w:t xml:space="preserve"> </w:t>
      </w:r>
      <w:r w:rsidRPr="00EA59C0">
        <w:t>activities,</w:t>
      </w:r>
      <w:r w:rsidR="00C026A6" w:rsidRPr="00EA59C0">
        <w:t xml:space="preserve"> </w:t>
      </w:r>
      <w:r w:rsidRPr="00EA59C0">
        <w:t>consistent</w:t>
      </w:r>
      <w:r w:rsidR="00C026A6" w:rsidRPr="00EA59C0">
        <w:t xml:space="preserve"> </w:t>
      </w:r>
      <w:r w:rsidRPr="00EA59C0">
        <w:t>with</w:t>
      </w:r>
      <w:r w:rsidR="00C026A6" w:rsidRPr="00EA59C0">
        <w:t xml:space="preserve"> </w:t>
      </w:r>
      <w:r w:rsidRPr="00EA59C0">
        <w:t>costs</w:t>
      </w:r>
      <w:r w:rsidR="00C026A6" w:rsidRPr="00EA59C0">
        <w:t xml:space="preserve"> </w:t>
      </w:r>
      <w:r w:rsidRPr="00EA59C0">
        <w:t>identified</w:t>
      </w:r>
      <w:r w:rsidR="00C026A6" w:rsidRPr="00EA59C0">
        <w:t xml:space="preserve"> </w:t>
      </w:r>
      <w:r w:rsidRPr="00EA59C0">
        <w:t>in</w:t>
      </w:r>
      <w:r w:rsidR="00C026A6" w:rsidRPr="00EA59C0">
        <w:t xml:space="preserve"> </w:t>
      </w:r>
      <w:r w:rsidRPr="00EA59C0">
        <w:t>the</w:t>
      </w:r>
      <w:r w:rsidR="00C026A6" w:rsidRPr="00EA59C0">
        <w:t xml:space="preserve"> </w:t>
      </w:r>
      <w:r w:rsidRPr="00EA59C0">
        <w:t>proposed</w:t>
      </w:r>
      <w:r w:rsidR="00C026A6" w:rsidRPr="00EA59C0">
        <w:t xml:space="preserve"> </w:t>
      </w:r>
      <w:r w:rsidRPr="00EA59C0">
        <w:t>budget.</w:t>
      </w:r>
      <w:r w:rsidR="00C026A6" w:rsidRPr="00EA59C0">
        <w:t xml:space="preserve">  </w:t>
      </w:r>
      <w:r w:rsidRPr="00EA59C0">
        <w:t>(</w:t>
      </w:r>
      <w:r w:rsidR="00CE2FFB" w:rsidRPr="00EA59C0">
        <w:t>3</w:t>
      </w:r>
      <w:r w:rsidR="00C026A6" w:rsidRPr="00EA59C0">
        <w:t xml:space="preserve"> </w:t>
      </w:r>
      <w:r w:rsidRPr="00EA59C0">
        <w:t>points);</w:t>
      </w:r>
      <w:r w:rsidR="00C026A6" w:rsidRPr="00EA59C0">
        <w:t xml:space="preserve"> </w:t>
      </w:r>
      <w:r w:rsidRPr="00EA59C0">
        <w:t>and</w:t>
      </w:r>
    </w:p>
    <w:p w:rsidR="00A103FD" w:rsidRPr="00EA59C0" w:rsidRDefault="00B3559A"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provides</w:t>
      </w:r>
      <w:r w:rsidR="00C026A6" w:rsidRPr="00EA59C0">
        <w:t xml:space="preserve"> </w:t>
      </w:r>
      <w:r w:rsidRPr="00EA59C0">
        <w:t>a</w:t>
      </w:r>
      <w:r w:rsidR="00C026A6" w:rsidRPr="00EA59C0">
        <w:t xml:space="preserve"> </w:t>
      </w:r>
      <w:r w:rsidRPr="00EA59C0">
        <w:t>complete</w:t>
      </w:r>
      <w:r w:rsidR="00C026A6" w:rsidRPr="00EA59C0">
        <w:t xml:space="preserve"> </w:t>
      </w:r>
      <w:r w:rsidRPr="00EA59C0">
        <w:t>accounting</w:t>
      </w:r>
      <w:r w:rsidR="00C026A6" w:rsidRPr="00EA59C0">
        <w:t xml:space="preserve"> </w:t>
      </w:r>
      <w:r w:rsidRPr="00EA59C0">
        <w:t>of</w:t>
      </w:r>
      <w:r w:rsidR="00C026A6" w:rsidRPr="00EA59C0">
        <w:t xml:space="preserve"> </w:t>
      </w:r>
      <w:r w:rsidRPr="00EA59C0">
        <w:t>expected</w:t>
      </w:r>
      <w:r w:rsidR="00C026A6" w:rsidRPr="00EA59C0">
        <w:t xml:space="preserve"> </w:t>
      </w:r>
      <w:r w:rsidRPr="00EA59C0">
        <w:t>project</w:t>
      </w:r>
      <w:r w:rsidR="00C026A6" w:rsidRPr="00EA59C0">
        <w:t xml:space="preserve"> </w:t>
      </w:r>
      <w:r w:rsidRPr="00EA59C0">
        <w:t>deliverables,</w:t>
      </w:r>
      <w:r w:rsidR="00C026A6" w:rsidRPr="00EA59C0">
        <w:t xml:space="preserve"> </w:t>
      </w:r>
      <w:r w:rsidRPr="00EA59C0">
        <w:t>including</w:t>
      </w:r>
      <w:r w:rsidR="00C026A6" w:rsidRPr="00EA59C0">
        <w:t xml:space="preserve"> </w:t>
      </w:r>
      <w:r w:rsidRPr="00EA59C0">
        <w:t>new</w:t>
      </w:r>
      <w:r w:rsidR="00C026A6" w:rsidRPr="00EA59C0">
        <w:t xml:space="preserve"> </w:t>
      </w:r>
      <w:r w:rsidRPr="00EA59C0">
        <w:t>intellectual</w:t>
      </w:r>
      <w:r w:rsidR="00C026A6" w:rsidRPr="00EA59C0">
        <w:t xml:space="preserve"> </w:t>
      </w:r>
      <w:r w:rsidRPr="00EA59C0">
        <w:t>property,</w:t>
      </w:r>
      <w:r w:rsidR="00C026A6" w:rsidRPr="00EA59C0">
        <w:t xml:space="preserve"> </w:t>
      </w:r>
      <w:r w:rsidRPr="00EA59C0">
        <w:t>and</w:t>
      </w:r>
      <w:r w:rsidR="00C026A6" w:rsidRPr="00EA59C0">
        <w:t xml:space="preserve"> </w:t>
      </w:r>
      <w:r w:rsidRPr="00EA59C0">
        <w:t>expected</w:t>
      </w:r>
      <w:r w:rsidR="00C026A6" w:rsidRPr="00EA59C0">
        <w:t xml:space="preserve"> </w:t>
      </w:r>
      <w:r w:rsidRPr="00EA59C0">
        <w:t>dates</w:t>
      </w:r>
      <w:r w:rsidR="00C026A6" w:rsidRPr="00EA59C0">
        <w:t xml:space="preserve"> </w:t>
      </w:r>
      <w:r w:rsidRPr="00EA59C0">
        <w:t>for</w:t>
      </w:r>
      <w:r w:rsidR="00C026A6" w:rsidRPr="00EA59C0">
        <w:t xml:space="preserve"> </w:t>
      </w:r>
      <w:r w:rsidRPr="00EA59C0">
        <w:t>delivery</w:t>
      </w:r>
      <w:r w:rsidR="00C026A6" w:rsidRPr="00EA59C0">
        <w:t xml:space="preserve"> </w:t>
      </w:r>
      <w:r w:rsidRPr="00EA59C0">
        <w:t>to</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break</w:t>
      </w:r>
      <w:r w:rsidR="00C026A6" w:rsidRPr="00EA59C0">
        <w:t xml:space="preserve"> </w:t>
      </w:r>
      <w:r w:rsidRPr="00EA59C0">
        <w:t>out</w:t>
      </w:r>
      <w:r w:rsidR="00C026A6" w:rsidRPr="00EA59C0">
        <w:t xml:space="preserve"> </w:t>
      </w:r>
      <w:r w:rsidRPr="00EA59C0">
        <w:t>the</w:t>
      </w:r>
      <w:r w:rsidR="00C026A6" w:rsidRPr="00EA59C0">
        <w:t xml:space="preserve"> </w:t>
      </w:r>
      <w:r w:rsidRPr="00EA59C0">
        <w:t>deliverables</w:t>
      </w:r>
      <w:r w:rsidR="00C026A6" w:rsidRPr="00EA59C0">
        <w:t xml:space="preserve"> </w:t>
      </w:r>
      <w:r w:rsidRPr="00EA59C0">
        <w:t>expected</w:t>
      </w:r>
      <w:r w:rsidR="00C026A6" w:rsidRPr="00EA59C0">
        <w:t xml:space="preserve"> </w:t>
      </w:r>
      <w:r w:rsidRPr="00EA59C0">
        <w:t>by</w:t>
      </w:r>
      <w:r w:rsidR="00C026A6" w:rsidRPr="00EA59C0">
        <w:t xml:space="preserve"> </w:t>
      </w:r>
      <w:r w:rsidRPr="00EA59C0">
        <w:t>consortium</w:t>
      </w:r>
      <w:r w:rsidR="00C026A6" w:rsidRPr="00EA59C0">
        <w:t xml:space="preserve"> </w:t>
      </w:r>
      <w:r w:rsidRPr="00EA59C0">
        <w:t>member.</w:t>
      </w:r>
      <w:r w:rsidR="00C026A6" w:rsidRPr="00EA59C0">
        <w:t xml:space="preserve">  </w:t>
      </w:r>
      <w:r w:rsidRPr="00EA59C0">
        <w:t>(2</w:t>
      </w:r>
      <w:r w:rsidR="00C026A6" w:rsidRPr="00EA59C0">
        <w:t xml:space="preserve"> </w:t>
      </w:r>
      <w:r w:rsidRPr="00EA59C0">
        <w:t>points)</w:t>
      </w:r>
    </w:p>
    <w:p w:rsidR="00A103FD" w:rsidRPr="00EA59C0" w:rsidRDefault="00A103FD" w:rsidP="00B505EF">
      <w:pPr>
        <w:pStyle w:val="ListParagraph"/>
        <w:ind w:left="360"/>
        <w:rPr>
          <w:b/>
        </w:rPr>
      </w:pPr>
    </w:p>
    <w:p w:rsidR="00144DF0" w:rsidRPr="00EA59C0" w:rsidRDefault="00A103FD" w:rsidP="00B505EF">
      <w:pPr>
        <w:pStyle w:val="ListParagraph"/>
        <w:numPr>
          <w:ilvl w:val="2"/>
          <w:numId w:val="17"/>
        </w:numPr>
        <w:rPr>
          <w:b/>
        </w:rPr>
      </w:pPr>
      <w:r w:rsidRPr="00EA59C0">
        <w:rPr>
          <w:b/>
        </w:rPr>
        <w:t>Outcomes</w:t>
      </w:r>
      <w:r w:rsidR="00C026A6" w:rsidRPr="00EA59C0">
        <w:rPr>
          <w:b/>
        </w:rPr>
        <w:t xml:space="preserve"> </w:t>
      </w:r>
      <w:r w:rsidRPr="00EA59C0">
        <w:rPr>
          <w:b/>
        </w:rPr>
        <w:t>and</w:t>
      </w:r>
      <w:r w:rsidR="00C026A6" w:rsidRPr="00EA59C0">
        <w:rPr>
          <w:b/>
        </w:rPr>
        <w:t xml:space="preserve"> </w:t>
      </w:r>
      <w:r w:rsidRPr="00EA59C0">
        <w:rPr>
          <w:b/>
        </w:rPr>
        <w:t>Outputs</w:t>
      </w:r>
      <w:r w:rsidR="00C026A6" w:rsidRPr="00EA59C0">
        <w:rPr>
          <w:b/>
        </w:rPr>
        <w:t xml:space="preserve"> </w:t>
      </w:r>
      <w:r w:rsidR="00D81847" w:rsidRPr="00EA59C0">
        <w:rPr>
          <w:b/>
        </w:rPr>
        <w:t>(</w:t>
      </w:r>
      <w:r w:rsidRPr="00EA59C0">
        <w:rPr>
          <w:b/>
        </w:rPr>
        <w:t>15</w:t>
      </w:r>
      <w:r w:rsidR="00C026A6" w:rsidRPr="00EA59C0">
        <w:rPr>
          <w:b/>
        </w:rPr>
        <w:t xml:space="preserve"> </w:t>
      </w:r>
      <w:r w:rsidR="00D81847" w:rsidRPr="00EA59C0">
        <w:rPr>
          <w:b/>
        </w:rPr>
        <w:t>points)</w:t>
      </w:r>
    </w:p>
    <w:p w:rsidR="008A38C2" w:rsidRPr="00EA59C0" w:rsidRDefault="008A38C2" w:rsidP="00B505EF">
      <w:pPr>
        <w:pStyle w:val="ListParagraph"/>
        <w:ind w:left="1080"/>
      </w:pPr>
      <w:r w:rsidRPr="00EA59C0">
        <w:t>Reviewers</w:t>
      </w:r>
      <w:r w:rsidR="00C026A6" w:rsidRPr="00EA59C0">
        <w:t xml:space="preserve"> </w:t>
      </w:r>
      <w:r w:rsidRPr="00EA59C0">
        <w:t>will</w:t>
      </w:r>
      <w:r w:rsidR="00C026A6" w:rsidRPr="00EA59C0">
        <w:t xml:space="preserve"> </w:t>
      </w:r>
      <w:r w:rsidRPr="00EA59C0">
        <w:t>award</w:t>
      </w:r>
      <w:r w:rsidR="00C026A6" w:rsidRPr="00EA59C0">
        <w:t xml:space="preserve"> </w:t>
      </w:r>
      <w:r w:rsidRPr="00EA59C0">
        <w:t>points</w:t>
      </w:r>
      <w:r w:rsidR="00C026A6" w:rsidRPr="00EA59C0">
        <w:t xml:space="preserve"> </w:t>
      </w:r>
      <w:r w:rsidRPr="00EA59C0">
        <w:t>based</w:t>
      </w:r>
      <w:r w:rsidR="00C026A6" w:rsidRPr="00EA59C0">
        <w:t xml:space="preserve"> </w:t>
      </w:r>
      <w:r w:rsidRPr="00EA59C0">
        <w:t>on</w:t>
      </w:r>
      <w:r w:rsidR="00C026A6" w:rsidRPr="00EA59C0">
        <w:t xml:space="preserve"> </w:t>
      </w:r>
      <w:r w:rsidRPr="00EA59C0">
        <w:t>how</w:t>
      </w:r>
      <w:r w:rsidR="00C026A6" w:rsidRPr="00EA59C0">
        <w:t xml:space="preserve"> </w:t>
      </w:r>
      <w:r w:rsidRPr="00EA59C0">
        <w:t>well</w:t>
      </w:r>
      <w:r w:rsidR="00C026A6" w:rsidRPr="00EA59C0">
        <w:t xml:space="preserve"> </w:t>
      </w:r>
      <w:r w:rsidRPr="00EA59C0">
        <w:t>applicants</w:t>
      </w:r>
      <w:r w:rsidR="00C026A6" w:rsidRPr="00EA59C0">
        <w:t xml:space="preserve"> </w:t>
      </w:r>
      <w:r w:rsidRPr="00EA59C0">
        <w:t>demonstrate</w:t>
      </w:r>
      <w:r w:rsidR="00C026A6" w:rsidRPr="00EA59C0">
        <w:t xml:space="preserve"> </w:t>
      </w:r>
      <w:r w:rsidRPr="00EA59C0">
        <w:t>that</w:t>
      </w:r>
      <w:r w:rsidR="00C026A6" w:rsidRPr="00EA59C0">
        <w:t xml:space="preserve"> </w:t>
      </w:r>
      <w:r w:rsidRPr="00EA59C0">
        <w:t>the</w:t>
      </w:r>
      <w:r w:rsidR="00C026A6" w:rsidRPr="00EA59C0">
        <w:t xml:space="preserve"> </w:t>
      </w:r>
      <w:r w:rsidRPr="00EA59C0">
        <w:t>expected</w:t>
      </w:r>
      <w:r w:rsidR="00C026A6" w:rsidRPr="00EA59C0">
        <w:t xml:space="preserve"> </w:t>
      </w:r>
      <w:r w:rsidRPr="00EA59C0">
        <w:t>outcomes</w:t>
      </w:r>
      <w:r w:rsidR="00C026A6" w:rsidRPr="00EA59C0">
        <w:t xml:space="preserve"> </w:t>
      </w:r>
      <w:r w:rsidRPr="00EA59C0">
        <w:t>are</w:t>
      </w:r>
      <w:r w:rsidR="00C026A6" w:rsidRPr="00EA59C0">
        <w:t xml:space="preserve"> </w:t>
      </w:r>
      <w:r w:rsidRPr="00EA59C0">
        <w:t>appropriate</w:t>
      </w:r>
      <w:r w:rsidR="00C026A6" w:rsidRPr="00EA59C0">
        <w:t xml:space="preserve"> </w:t>
      </w:r>
      <w:r w:rsidRPr="00EA59C0">
        <w:t>for</w:t>
      </w:r>
      <w:r w:rsidR="00C026A6" w:rsidRPr="00EA59C0">
        <w:t xml:space="preserve"> </w:t>
      </w:r>
      <w:r w:rsidRPr="00EA59C0">
        <w:t>the</w:t>
      </w:r>
      <w:r w:rsidR="00C026A6" w:rsidRPr="00EA59C0">
        <w:t xml:space="preserve"> </w:t>
      </w:r>
      <w:r w:rsidRPr="00EA59C0">
        <w:t>strategic</w:t>
      </w:r>
      <w:r w:rsidR="00C026A6" w:rsidRPr="00EA59C0">
        <w:t xml:space="preserve"> </w:t>
      </w:r>
      <w:r w:rsidRPr="00EA59C0">
        <w:t>approach</w:t>
      </w:r>
      <w:r w:rsidR="00C026A6" w:rsidRPr="00EA59C0">
        <w:t xml:space="preserve"> </w:t>
      </w:r>
      <w:r w:rsidRPr="00EA59C0">
        <w:t>proposed.</w:t>
      </w:r>
      <w:r w:rsidR="00C026A6" w:rsidRPr="00EA59C0">
        <w:t xml:space="preserve">  </w:t>
      </w:r>
      <w:r w:rsidRPr="00EA59C0">
        <w:t>Applicants</w:t>
      </w:r>
      <w:r w:rsidR="00C026A6" w:rsidRPr="00EA59C0">
        <w:t xml:space="preserve"> </w:t>
      </w:r>
      <w:r w:rsidRPr="00EA59C0">
        <w:t>must</w:t>
      </w:r>
      <w:r w:rsidR="00C026A6" w:rsidRPr="00EA59C0">
        <w:t xml:space="preserve"> </w:t>
      </w:r>
      <w:r w:rsidRPr="00EA59C0">
        <w:t>also</w:t>
      </w:r>
      <w:r w:rsidR="00C026A6" w:rsidRPr="00EA59C0">
        <w:t xml:space="preserve"> </w:t>
      </w:r>
      <w:r w:rsidRPr="00EA59C0">
        <w:t>demonstrate</w:t>
      </w:r>
      <w:r w:rsidR="00C026A6" w:rsidRPr="00EA59C0">
        <w:t xml:space="preserve"> </w:t>
      </w:r>
      <w:r w:rsidRPr="00EA59C0">
        <w:t>their</w:t>
      </w:r>
      <w:r w:rsidR="00C026A6" w:rsidRPr="00EA59C0">
        <w:t xml:space="preserve"> </w:t>
      </w:r>
      <w:r w:rsidRPr="00EA59C0">
        <w:t>commitment</w:t>
      </w:r>
      <w:r w:rsidR="00C026A6" w:rsidRPr="00EA59C0">
        <w:t xml:space="preserve"> </w:t>
      </w:r>
      <w:r w:rsidRPr="00EA59C0">
        <w:t>to</w:t>
      </w:r>
      <w:r w:rsidR="00C026A6" w:rsidRPr="00EA59C0">
        <w:t xml:space="preserve"> </w:t>
      </w:r>
      <w:r w:rsidRPr="00EA59C0">
        <w:t>collect,</w:t>
      </w:r>
      <w:r w:rsidR="00C026A6" w:rsidRPr="00EA59C0">
        <w:t xml:space="preserve"> </w:t>
      </w:r>
      <w:r w:rsidRPr="00EA59C0">
        <w:t>report,</w:t>
      </w:r>
      <w:r w:rsidR="00C026A6" w:rsidRPr="00EA59C0">
        <w:t xml:space="preserve"> </w:t>
      </w:r>
      <w:r w:rsidRPr="00EA59C0">
        <w:t>and</w:t>
      </w:r>
      <w:r w:rsidR="00C026A6" w:rsidRPr="00EA59C0">
        <w:t xml:space="preserve"> </w:t>
      </w:r>
      <w:r w:rsidRPr="00EA59C0">
        <w:t>effectively</w:t>
      </w:r>
      <w:r w:rsidR="00C026A6" w:rsidRPr="00EA59C0">
        <w:t xml:space="preserve"> </w:t>
      </w:r>
      <w:r w:rsidRPr="00EA59C0">
        <w:t>use</w:t>
      </w:r>
      <w:r w:rsidR="00C026A6" w:rsidRPr="00EA59C0">
        <w:t xml:space="preserve"> </w:t>
      </w:r>
      <w:r w:rsidRPr="00EA59C0">
        <w:t>outcome</w:t>
      </w:r>
      <w:r w:rsidR="00C026A6" w:rsidRPr="00EA59C0">
        <w:t xml:space="preserve"> </w:t>
      </w:r>
      <w:r w:rsidRPr="00EA59C0">
        <w:t>data</w:t>
      </w:r>
      <w:r w:rsidR="00C026A6" w:rsidRPr="00EA59C0">
        <w:t xml:space="preserve"> </w:t>
      </w:r>
      <w:r w:rsidRPr="00EA59C0">
        <w:t>to</w:t>
      </w:r>
      <w:r w:rsidR="00C026A6" w:rsidRPr="00EA59C0">
        <w:t xml:space="preserve"> </w:t>
      </w:r>
      <w:r w:rsidRPr="00EA59C0">
        <w:t>continually</w:t>
      </w:r>
      <w:r w:rsidR="00C026A6" w:rsidRPr="00EA59C0">
        <w:t xml:space="preserve"> </w:t>
      </w:r>
      <w:r w:rsidRPr="00EA59C0">
        <w:t>improve</w:t>
      </w:r>
      <w:r w:rsidR="00C026A6" w:rsidRPr="00EA59C0">
        <w:t xml:space="preserve"> </w:t>
      </w:r>
      <w:r w:rsidRPr="00EA59C0">
        <w:t>and</w:t>
      </w:r>
      <w:r w:rsidR="00C026A6" w:rsidRPr="00EA59C0">
        <w:t xml:space="preserve"> </w:t>
      </w:r>
      <w:r w:rsidRPr="00EA59C0">
        <w:t>inform</w:t>
      </w:r>
      <w:r w:rsidR="00C026A6" w:rsidRPr="00EA59C0">
        <w:t xml:space="preserve"> </w:t>
      </w:r>
      <w:r w:rsidRPr="00EA59C0">
        <w:t>program</w:t>
      </w:r>
      <w:r w:rsidR="00C026A6" w:rsidRPr="00EA59C0">
        <w:t xml:space="preserve"> </w:t>
      </w:r>
      <w:r w:rsidRPr="00EA59C0">
        <w:t>design.</w:t>
      </w:r>
      <w:r w:rsidR="00C026A6" w:rsidRPr="00EA59C0">
        <w:t xml:space="preserve">  </w:t>
      </w:r>
      <w:r w:rsidR="00157918" w:rsidRPr="00EA59C0">
        <w:t>For</w:t>
      </w:r>
      <w:r w:rsidR="00C026A6" w:rsidRPr="00EA59C0">
        <w:t xml:space="preserve"> </w:t>
      </w:r>
      <w:r w:rsidR="00157918" w:rsidRPr="00EA59C0">
        <w:t>consortium</w:t>
      </w:r>
      <w:r w:rsidR="00C026A6" w:rsidRPr="00EA59C0">
        <w:t xml:space="preserve"> </w:t>
      </w:r>
      <w:r w:rsidR="00157918" w:rsidRPr="00EA59C0">
        <w:t>applicants,</w:t>
      </w:r>
      <w:r w:rsidR="00C026A6" w:rsidRPr="00EA59C0">
        <w:t xml:space="preserve"> </w:t>
      </w:r>
      <w:r w:rsidR="00157918" w:rsidRPr="00EA59C0">
        <w:t>this</w:t>
      </w:r>
      <w:r w:rsidR="00C026A6" w:rsidRPr="00EA59C0">
        <w:t xml:space="preserve"> </w:t>
      </w:r>
      <w:r w:rsidR="00157918" w:rsidRPr="00EA59C0">
        <w:t>represents</w:t>
      </w:r>
      <w:r w:rsidR="00C026A6" w:rsidRPr="00EA59C0">
        <w:t xml:space="preserve"> </w:t>
      </w:r>
      <w:r w:rsidR="00157918" w:rsidRPr="00EA59C0">
        <w:t>the</w:t>
      </w:r>
      <w:r w:rsidR="00C026A6" w:rsidRPr="00EA59C0">
        <w:t xml:space="preserve"> </w:t>
      </w:r>
      <w:r w:rsidR="00157918" w:rsidRPr="00EA59C0">
        <w:t>aggregate</w:t>
      </w:r>
      <w:r w:rsidR="00C026A6" w:rsidRPr="00EA59C0">
        <w:t xml:space="preserve"> </w:t>
      </w:r>
      <w:r w:rsidR="00157918" w:rsidRPr="00EA59C0">
        <w:t>outcomes</w:t>
      </w:r>
      <w:r w:rsidR="00C026A6" w:rsidRPr="00EA59C0">
        <w:t xml:space="preserve"> </w:t>
      </w:r>
      <w:r w:rsidR="00157918" w:rsidRPr="00EA59C0">
        <w:t>for</w:t>
      </w:r>
      <w:r w:rsidR="00C026A6" w:rsidRPr="00EA59C0">
        <w:t xml:space="preserve"> </w:t>
      </w:r>
      <w:r w:rsidR="00157918" w:rsidRPr="00EA59C0">
        <w:t>the</w:t>
      </w:r>
      <w:r w:rsidR="00C026A6" w:rsidRPr="00EA59C0">
        <w:t xml:space="preserve"> </w:t>
      </w:r>
      <w:r w:rsidR="00157918" w:rsidRPr="00EA59C0">
        <w:t>project</w:t>
      </w:r>
      <w:r w:rsidR="00C026A6" w:rsidRPr="00EA59C0">
        <w:t xml:space="preserve"> </w:t>
      </w:r>
      <w:r w:rsidR="00157918" w:rsidRPr="00EA59C0">
        <w:t>overall.</w:t>
      </w:r>
      <w:r w:rsidR="00C026A6" w:rsidRPr="00EA59C0">
        <w:t xml:space="preserve">  </w:t>
      </w:r>
    </w:p>
    <w:p w:rsidR="008A38C2" w:rsidRPr="00EA59C0" w:rsidRDefault="008A38C2" w:rsidP="00B505EF">
      <w:pPr>
        <w:pStyle w:val="ListParagraph"/>
        <w:ind w:left="360"/>
      </w:pPr>
    </w:p>
    <w:p w:rsidR="00A103FD" w:rsidRPr="00EA59C0" w:rsidRDefault="00A103FD" w:rsidP="00B505EF">
      <w:pPr>
        <w:pStyle w:val="ListParagraph"/>
        <w:numPr>
          <w:ilvl w:val="3"/>
          <w:numId w:val="17"/>
        </w:numPr>
        <w:rPr>
          <w:b/>
        </w:rPr>
      </w:pPr>
      <w:r w:rsidRPr="00EA59C0">
        <w:rPr>
          <w:b/>
        </w:rPr>
        <w:t>Analysis</w:t>
      </w:r>
      <w:r w:rsidR="00C026A6" w:rsidRPr="00EA59C0">
        <w:rPr>
          <w:b/>
        </w:rPr>
        <w:t xml:space="preserve"> </w:t>
      </w:r>
      <w:r w:rsidRPr="00EA59C0">
        <w:rPr>
          <w:b/>
        </w:rPr>
        <w:t>of</w:t>
      </w:r>
      <w:r w:rsidR="00C026A6" w:rsidRPr="00EA59C0">
        <w:rPr>
          <w:b/>
        </w:rPr>
        <w:t xml:space="preserve"> </w:t>
      </w:r>
      <w:r w:rsidRPr="00EA59C0">
        <w:rPr>
          <w:b/>
        </w:rPr>
        <w:t>Outcome</w:t>
      </w:r>
      <w:r w:rsidR="00C026A6" w:rsidRPr="00EA59C0">
        <w:rPr>
          <w:b/>
        </w:rPr>
        <w:t xml:space="preserve"> </w:t>
      </w:r>
      <w:r w:rsidRPr="00EA59C0">
        <w:rPr>
          <w:b/>
        </w:rPr>
        <w:t>Projections</w:t>
      </w:r>
      <w:r w:rsidR="00C026A6" w:rsidRPr="00EA59C0">
        <w:rPr>
          <w:b/>
        </w:rPr>
        <w:t xml:space="preserve"> </w:t>
      </w:r>
      <w:r w:rsidR="00614391" w:rsidRPr="00EA59C0">
        <w:rPr>
          <w:b/>
        </w:rPr>
        <w:t>(5</w:t>
      </w:r>
      <w:r w:rsidR="00C026A6" w:rsidRPr="00EA59C0">
        <w:rPr>
          <w:b/>
        </w:rPr>
        <w:t xml:space="preserve"> </w:t>
      </w:r>
      <w:r w:rsidR="00614391" w:rsidRPr="00EA59C0">
        <w:rPr>
          <w:b/>
        </w:rPr>
        <w:t>points)</w:t>
      </w:r>
    </w:p>
    <w:p w:rsidR="00E636BE" w:rsidRPr="00EA59C0" w:rsidRDefault="00E636BE"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provides</w:t>
      </w:r>
      <w:r w:rsidR="00C026A6" w:rsidRPr="00EA59C0">
        <w:t xml:space="preserve"> </w:t>
      </w:r>
      <w:r w:rsidRPr="00EA59C0">
        <w:t>numerical</w:t>
      </w:r>
      <w:r w:rsidR="00C026A6" w:rsidRPr="00EA59C0">
        <w:t xml:space="preserve"> </w:t>
      </w:r>
      <w:r w:rsidRPr="00EA59C0">
        <w:t>projections</w:t>
      </w:r>
      <w:r w:rsidR="00C026A6" w:rsidRPr="00EA59C0">
        <w:t xml:space="preserve"> </w:t>
      </w:r>
      <w:r w:rsidRPr="00EA59C0">
        <w:t>on</w:t>
      </w:r>
      <w:r w:rsidR="00C026A6" w:rsidRPr="00EA59C0">
        <w:t xml:space="preserve"> </w:t>
      </w:r>
      <w:r w:rsidRPr="00EA59C0">
        <w:t>an</w:t>
      </w:r>
      <w:r w:rsidR="00C026A6" w:rsidRPr="00EA59C0">
        <w:t xml:space="preserve"> </w:t>
      </w:r>
      <w:r w:rsidRPr="00EA59C0">
        <w:t>annual</w:t>
      </w:r>
      <w:r w:rsidR="00C026A6" w:rsidRPr="00EA59C0">
        <w:t xml:space="preserve"> </w:t>
      </w:r>
      <w:r w:rsidRPr="00EA59C0">
        <w:t>basis</w:t>
      </w:r>
      <w:r w:rsidR="00C026A6" w:rsidRPr="00EA59C0">
        <w:t xml:space="preserve"> </w:t>
      </w:r>
      <w:r w:rsidRPr="00EA59C0">
        <w:t>for</w:t>
      </w:r>
      <w:r w:rsidR="00C026A6" w:rsidRPr="00EA59C0">
        <w:t xml:space="preserve"> </w:t>
      </w:r>
      <w:r w:rsidRPr="00EA59C0">
        <w:t>each</w:t>
      </w:r>
      <w:r w:rsidR="00C026A6" w:rsidRPr="00EA59C0">
        <w:t xml:space="preserve"> </w:t>
      </w:r>
      <w:r w:rsidRPr="00EA59C0">
        <w:t>of</w:t>
      </w:r>
      <w:r w:rsidR="00C026A6" w:rsidRPr="00EA59C0">
        <w:t xml:space="preserve"> </w:t>
      </w:r>
      <w:r w:rsidRPr="00EA59C0">
        <w:t>the</w:t>
      </w:r>
      <w:r w:rsidR="00C026A6" w:rsidRPr="00EA59C0">
        <w:t xml:space="preserve"> </w:t>
      </w:r>
      <w:r w:rsidRPr="00EA59C0">
        <w:t>required</w:t>
      </w:r>
      <w:r w:rsidR="00C026A6" w:rsidRPr="00EA59C0">
        <w:t xml:space="preserve"> </w:t>
      </w:r>
      <w:r w:rsidRPr="00EA59C0">
        <w:t>nine</w:t>
      </w:r>
      <w:r w:rsidR="00C026A6" w:rsidRPr="00EA59C0">
        <w:t xml:space="preserve"> </w:t>
      </w:r>
      <w:r w:rsidRPr="00EA59C0">
        <w:t>outcome</w:t>
      </w:r>
      <w:r w:rsidR="00C026A6" w:rsidRPr="00EA59C0">
        <w:t xml:space="preserve"> </w:t>
      </w:r>
      <w:r w:rsidRPr="00EA59C0">
        <w:t>measures</w:t>
      </w:r>
      <w:r w:rsidR="00C026A6" w:rsidRPr="00EA59C0">
        <w:t xml:space="preserve"> </w:t>
      </w:r>
      <w:r w:rsidRPr="00EA59C0">
        <w:t>that</w:t>
      </w:r>
      <w:r w:rsidR="00C026A6" w:rsidRPr="00EA59C0">
        <w:t xml:space="preserve"> </w:t>
      </w:r>
      <w:r w:rsidRPr="00EA59C0">
        <w:t>reflect</w:t>
      </w:r>
      <w:r w:rsidR="00C026A6" w:rsidRPr="00EA59C0">
        <w:t xml:space="preserve"> </w:t>
      </w:r>
      <w:r w:rsidRPr="00EA59C0">
        <w:t>the</w:t>
      </w:r>
      <w:r w:rsidR="00C026A6" w:rsidRPr="00EA59C0">
        <w:t xml:space="preserve"> </w:t>
      </w:r>
      <w:r w:rsidRPr="00EA59C0">
        <w:t>program’s</w:t>
      </w:r>
      <w:r w:rsidR="00C026A6" w:rsidRPr="00EA59C0">
        <w:t xml:space="preserve"> </w:t>
      </w:r>
      <w:r w:rsidRPr="00EA59C0">
        <w:t>expected</w:t>
      </w:r>
      <w:r w:rsidR="00C026A6" w:rsidRPr="00EA59C0">
        <w:t xml:space="preserve"> </w:t>
      </w:r>
      <w:r w:rsidRPr="00EA59C0">
        <w:t>impact</w:t>
      </w:r>
      <w:r w:rsidR="00C026A6" w:rsidRPr="00EA59C0">
        <w:t xml:space="preserve"> </w:t>
      </w:r>
      <w:r w:rsidRPr="00EA59C0">
        <w:t>on</w:t>
      </w:r>
      <w:r w:rsidR="00C026A6" w:rsidRPr="00EA59C0">
        <w:t xml:space="preserve"> </w:t>
      </w:r>
      <w:r w:rsidRPr="00EA59C0">
        <w:t>participants.</w:t>
      </w:r>
      <w:r w:rsidR="00C026A6" w:rsidRPr="00EA59C0">
        <w:t xml:space="preserve">  </w:t>
      </w:r>
      <w:r w:rsidRPr="00EA59C0">
        <w:t>(2</w:t>
      </w:r>
      <w:r w:rsidR="00C026A6" w:rsidRPr="00EA59C0">
        <w:t xml:space="preserve"> </w:t>
      </w:r>
      <w:r w:rsidRPr="00EA59C0">
        <w:t>points);</w:t>
      </w:r>
    </w:p>
    <w:p w:rsidR="00E636BE" w:rsidRPr="00EA59C0" w:rsidRDefault="00E636BE" w:rsidP="00B505EF">
      <w:pPr>
        <w:pStyle w:val="ListParagraph"/>
        <w:numPr>
          <w:ilvl w:val="4"/>
          <w:numId w:val="17"/>
        </w:numPr>
      </w:pPr>
      <w:r w:rsidRPr="00EA59C0">
        <w:t>The</w:t>
      </w:r>
      <w:r w:rsidR="00C026A6" w:rsidRPr="00EA59C0">
        <w:t xml:space="preserve"> </w:t>
      </w:r>
      <w:r w:rsidRPr="00EA59C0">
        <w:t>degree</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provides</w:t>
      </w:r>
      <w:r w:rsidR="00C026A6" w:rsidRPr="00EA59C0">
        <w:t xml:space="preserve"> </w:t>
      </w:r>
      <w:r w:rsidRPr="00EA59C0">
        <w:t>a</w:t>
      </w:r>
      <w:r w:rsidR="00C026A6" w:rsidRPr="00EA59C0">
        <w:t xml:space="preserve"> </w:t>
      </w:r>
      <w:r w:rsidRPr="00EA59C0">
        <w:t>logical</w:t>
      </w:r>
      <w:r w:rsidR="00C026A6" w:rsidRPr="00EA59C0">
        <w:t xml:space="preserve"> </w:t>
      </w:r>
      <w:r w:rsidRPr="00EA59C0">
        <w:t>and</w:t>
      </w:r>
      <w:r w:rsidR="00C026A6" w:rsidRPr="00EA59C0">
        <w:t xml:space="preserve"> </w:t>
      </w:r>
      <w:r w:rsidRPr="00EA59C0">
        <w:t>realistic</w:t>
      </w:r>
      <w:r w:rsidR="00C026A6" w:rsidRPr="00EA59C0">
        <w:t xml:space="preserve"> </w:t>
      </w:r>
      <w:r w:rsidRPr="00EA59C0">
        <w:t>explanation</w:t>
      </w:r>
      <w:r w:rsidR="00C026A6" w:rsidRPr="00EA59C0">
        <w:t xml:space="preserve"> </w:t>
      </w:r>
      <w:r w:rsidRPr="00EA59C0">
        <w:t>of</w:t>
      </w:r>
      <w:r w:rsidR="00C026A6" w:rsidRPr="00EA59C0">
        <w:t xml:space="preserve"> </w:t>
      </w:r>
      <w:r w:rsidRPr="00EA59C0">
        <w:t>how</w:t>
      </w:r>
      <w:r w:rsidR="00C026A6" w:rsidRPr="00EA59C0">
        <w:t xml:space="preserve"> </w:t>
      </w:r>
      <w:r w:rsidRPr="00EA59C0">
        <w:t>the</w:t>
      </w:r>
      <w:r w:rsidR="00C026A6" w:rsidRPr="00EA59C0">
        <w:t xml:space="preserve"> </w:t>
      </w:r>
      <w:r w:rsidRPr="00EA59C0">
        <w:t>targets</w:t>
      </w:r>
      <w:r w:rsidR="00C026A6" w:rsidRPr="00EA59C0">
        <w:t xml:space="preserve"> </w:t>
      </w:r>
      <w:r w:rsidRPr="00EA59C0">
        <w:t>were</w:t>
      </w:r>
      <w:r w:rsidR="00C026A6" w:rsidRPr="00EA59C0">
        <w:t xml:space="preserve"> </w:t>
      </w:r>
      <w:r w:rsidRPr="00EA59C0">
        <w:t>derived</w:t>
      </w:r>
      <w:r w:rsidR="00C026A6" w:rsidRPr="00EA59C0">
        <w:t xml:space="preserve"> </w:t>
      </w:r>
      <w:r w:rsidRPr="00EA59C0">
        <w:t>and</w:t>
      </w:r>
      <w:r w:rsidR="00C026A6" w:rsidRPr="00EA59C0">
        <w:t xml:space="preserve"> </w:t>
      </w:r>
      <w:r w:rsidRPr="00EA59C0">
        <w:t>how</w:t>
      </w:r>
      <w:r w:rsidR="00C026A6" w:rsidRPr="00EA59C0">
        <w:t xml:space="preserve"> </w:t>
      </w:r>
      <w:r w:rsidRPr="00EA59C0">
        <w:t>they</w:t>
      </w:r>
      <w:r w:rsidR="00C026A6" w:rsidRPr="00EA59C0">
        <w:t xml:space="preserve"> </w:t>
      </w:r>
      <w:r w:rsidRPr="00EA59C0">
        <w:t>fit</w:t>
      </w:r>
      <w:r w:rsidR="00C026A6" w:rsidRPr="00EA59C0">
        <w:t xml:space="preserve"> </w:t>
      </w:r>
      <w:r w:rsidRPr="00EA59C0">
        <w:t>into</w:t>
      </w:r>
      <w:r w:rsidR="00C026A6" w:rsidRPr="00EA59C0">
        <w:t xml:space="preserve"> </w:t>
      </w:r>
      <w:r w:rsidRPr="00EA59C0">
        <w:t>the</w:t>
      </w:r>
      <w:r w:rsidR="00C026A6" w:rsidRPr="00EA59C0">
        <w:t xml:space="preserve"> </w:t>
      </w:r>
      <w:r w:rsidRPr="00EA59C0">
        <w:t>overall</w:t>
      </w:r>
      <w:r w:rsidR="00C026A6" w:rsidRPr="00EA59C0">
        <w:t xml:space="preserve"> </w:t>
      </w:r>
      <w:r w:rsidRPr="00EA59C0">
        <w:t>grant</w:t>
      </w:r>
      <w:r w:rsidR="00C026A6" w:rsidRPr="00EA59C0">
        <w:t xml:space="preserve"> </w:t>
      </w:r>
      <w:r w:rsidRPr="00EA59C0">
        <w:t>implementation</w:t>
      </w:r>
      <w:r w:rsidR="00C026A6" w:rsidRPr="00EA59C0">
        <w:t xml:space="preserve"> </w:t>
      </w:r>
      <w:r w:rsidRPr="00EA59C0">
        <w:t>timeline.</w:t>
      </w:r>
      <w:r w:rsidR="00C026A6" w:rsidRPr="00EA59C0">
        <w:t xml:space="preserve">  </w:t>
      </w:r>
      <w:r w:rsidRPr="00EA59C0">
        <w:t>(2</w:t>
      </w:r>
      <w:r w:rsidR="00C026A6" w:rsidRPr="00EA59C0">
        <w:t xml:space="preserve"> </w:t>
      </w:r>
      <w:r w:rsidRPr="00EA59C0">
        <w:t>points);</w:t>
      </w:r>
      <w:r w:rsidR="00C026A6" w:rsidRPr="00EA59C0">
        <w:t xml:space="preserve"> </w:t>
      </w:r>
      <w:r w:rsidRPr="00EA59C0">
        <w:t>and</w:t>
      </w:r>
    </w:p>
    <w:p w:rsidR="00E636BE" w:rsidRPr="00EA59C0" w:rsidRDefault="00E636BE" w:rsidP="00B505EF">
      <w:pPr>
        <w:pStyle w:val="ListParagraph"/>
        <w:numPr>
          <w:ilvl w:val="4"/>
          <w:numId w:val="17"/>
        </w:numPr>
      </w:pPr>
      <w:r w:rsidRPr="00EA59C0">
        <w:t>The</w:t>
      </w:r>
      <w:r w:rsidR="00C026A6" w:rsidRPr="00EA59C0">
        <w:t xml:space="preserve"> </w:t>
      </w:r>
      <w:r w:rsidRPr="00EA59C0">
        <w:t>degree</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demonstrates</w:t>
      </w:r>
      <w:r w:rsidR="00C026A6" w:rsidRPr="00EA59C0">
        <w:t xml:space="preserve"> </w:t>
      </w:r>
      <w:r w:rsidRPr="00EA59C0">
        <w:t>a</w:t>
      </w:r>
      <w:r w:rsidR="00C026A6" w:rsidRPr="00EA59C0">
        <w:t xml:space="preserve"> </w:t>
      </w:r>
      <w:r w:rsidRPr="00EA59C0">
        <w:t>reasonable</w:t>
      </w:r>
      <w:r w:rsidR="00C026A6" w:rsidRPr="00EA59C0">
        <w:t xml:space="preserve"> </w:t>
      </w:r>
      <w:r w:rsidRPr="00EA59C0">
        <w:t>mix</w:t>
      </w:r>
      <w:r w:rsidR="00C026A6" w:rsidRPr="00EA59C0">
        <w:t xml:space="preserve"> </w:t>
      </w:r>
      <w:r w:rsidRPr="00EA59C0">
        <w:t>of</w:t>
      </w:r>
      <w:r w:rsidR="00C026A6" w:rsidRPr="00EA59C0">
        <w:t xml:space="preserve"> </w:t>
      </w:r>
      <w:r w:rsidRPr="00EA59C0">
        <w:t>proposed</w:t>
      </w:r>
      <w:r w:rsidR="00C026A6" w:rsidRPr="00EA59C0">
        <w:t xml:space="preserve"> </w:t>
      </w:r>
      <w:r w:rsidRPr="00EA59C0">
        <w:t>outcomes</w:t>
      </w:r>
      <w:r w:rsidR="00C026A6" w:rsidRPr="00EA59C0">
        <w:t xml:space="preserve"> </w:t>
      </w:r>
      <w:r w:rsidR="00513E07" w:rsidRPr="00EA59C0">
        <w:t>for</w:t>
      </w:r>
      <w:r w:rsidR="00C026A6" w:rsidRPr="00EA59C0">
        <w:t xml:space="preserve"> </w:t>
      </w:r>
      <w:r w:rsidR="00513E07" w:rsidRPr="00EA59C0">
        <w:t>each</w:t>
      </w:r>
      <w:r w:rsidR="00C026A6" w:rsidRPr="00EA59C0">
        <w:t xml:space="preserve"> </w:t>
      </w:r>
      <w:r w:rsidR="00513E07" w:rsidRPr="00EA59C0">
        <w:t>of</w:t>
      </w:r>
      <w:r w:rsidR="00C026A6" w:rsidRPr="00EA59C0">
        <w:t xml:space="preserve"> </w:t>
      </w:r>
      <w:r w:rsidR="00513E07" w:rsidRPr="00EA59C0">
        <w:t>the</w:t>
      </w:r>
      <w:r w:rsidR="00C026A6" w:rsidRPr="00EA59C0">
        <w:t xml:space="preserve"> </w:t>
      </w:r>
      <w:r w:rsidR="00513E07" w:rsidRPr="00EA59C0">
        <w:t>required</w:t>
      </w:r>
      <w:r w:rsidR="00C026A6" w:rsidRPr="00EA59C0">
        <w:t xml:space="preserve"> </w:t>
      </w:r>
      <w:r w:rsidR="00513E07" w:rsidRPr="00EA59C0">
        <w:t>nine</w:t>
      </w:r>
      <w:r w:rsidR="00C026A6" w:rsidRPr="00EA59C0">
        <w:t xml:space="preserve"> </w:t>
      </w:r>
      <w:r w:rsidR="00513E07" w:rsidRPr="00EA59C0">
        <w:t>outcome</w:t>
      </w:r>
      <w:r w:rsidR="00C026A6" w:rsidRPr="00EA59C0">
        <w:t xml:space="preserve"> </w:t>
      </w:r>
      <w:r w:rsidR="00513E07" w:rsidRPr="00EA59C0">
        <w:t>measures</w:t>
      </w:r>
      <w:r w:rsidR="00C026A6" w:rsidRPr="00EA59C0">
        <w:t xml:space="preserve"> </w:t>
      </w:r>
      <w:r w:rsidRPr="00EA59C0">
        <w:t>versus</w:t>
      </w:r>
      <w:r w:rsidR="00C026A6" w:rsidRPr="00EA59C0">
        <w:t xml:space="preserve"> </w:t>
      </w:r>
      <w:r w:rsidRPr="00EA59C0">
        <w:t>deliverables.</w:t>
      </w:r>
      <w:r w:rsidR="00C026A6" w:rsidRPr="00EA59C0">
        <w:t xml:space="preserve">  </w:t>
      </w:r>
      <w:r w:rsidRPr="00EA59C0">
        <w:t>(1</w:t>
      </w:r>
      <w:r w:rsidR="00C026A6" w:rsidRPr="00EA59C0">
        <w:t xml:space="preserve"> </w:t>
      </w:r>
      <w:r w:rsidRPr="00EA59C0">
        <w:t>point)</w:t>
      </w:r>
    </w:p>
    <w:p w:rsidR="00E636BE" w:rsidRPr="00EA59C0" w:rsidRDefault="00E636BE" w:rsidP="00B505EF">
      <w:pPr>
        <w:pStyle w:val="ListParagraph"/>
        <w:ind w:left="1080"/>
      </w:pPr>
    </w:p>
    <w:p w:rsidR="00A103FD" w:rsidRPr="00EA59C0" w:rsidRDefault="00A103FD" w:rsidP="00B505EF">
      <w:pPr>
        <w:pStyle w:val="ListParagraph"/>
        <w:numPr>
          <w:ilvl w:val="3"/>
          <w:numId w:val="17"/>
        </w:numPr>
        <w:rPr>
          <w:b/>
        </w:rPr>
      </w:pPr>
      <w:r w:rsidRPr="00EA59C0">
        <w:rPr>
          <w:b/>
        </w:rPr>
        <w:t>System</w:t>
      </w:r>
      <w:r w:rsidR="00C026A6" w:rsidRPr="00EA59C0">
        <w:rPr>
          <w:b/>
        </w:rPr>
        <w:t xml:space="preserve"> </w:t>
      </w:r>
      <w:r w:rsidR="00157918" w:rsidRPr="00EA59C0">
        <w:rPr>
          <w:b/>
        </w:rPr>
        <w:t>or</w:t>
      </w:r>
      <w:r w:rsidR="00C026A6" w:rsidRPr="00EA59C0">
        <w:rPr>
          <w:b/>
        </w:rPr>
        <w:t xml:space="preserve"> </w:t>
      </w:r>
      <w:r w:rsidRPr="00EA59C0">
        <w:rPr>
          <w:b/>
        </w:rPr>
        <w:t>Process</w:t>
      </w:r>
      <w:r w:rsidR="00C026A6" w:rsidRPr="00EA59C0">
        <w:rPr>
          <w:b/>
        </w:rPr>
        <w:t xml:space="preserve"> </w:t>
      </w:r>
      <w:r w:rsidRPr="00EA59C0">
        <w:rPr>
          <w:b/>
        </w:rPr>
        <w:t>for</w:t>
      </w:r>
      <w:r w:rsidR="00C026A6" w:rsidRPr="00EA59C0">
        <w:rPr>
          <w:b/>
        </w:rPr>
        <w:t xml:space="preserve"> </w:t>
      </w:r>
      <w:r w:rsidRPr="00EA59C0">
        <w:rPr>
          <w:b/>
        </w:rPr>
        <w:t>Tracking</w:t>
      </w:r>
      <w:r w:rsidR="00C026A6" w:rsidRPr="00EA59C0">
        <w:rPr>
          <w:b/>
        </w:rPr>
        <w:t xml:space="preserve"> </w:t>
      </w:r>
      <w:r w:rsidRPr="00EA59C0">
        <w:rPr>
          <w:b/>
        </w:rPr>
        <w:t>and</w:t>
      </w:r>
      <w:r w:rsidR="00C026A6" w:rsidRPr="00EA59C0">
        <w:rPr>
          <w:b/>
        </w:rPr>
        <w:t xml:space="preserve"> </w:t>
      </w:r>
      <w:r w:rsidRPr="00EA59C0">
        <w:rPr>
          <w:b/>
        </w:rPr>
        <w:t>Reporting</w:t>
      </w:r>
      <w:r w:rsidR="00C026A6" w:rsidRPr="00EA59C0">
        <w:rPr>
          <w:b/>
        </w:rPr>
        <w:t xml:space="preserve"> </w:t>
      </w:r>
      <w:r w:rsidRPr="00EA59C0">
        <w:rPr>
          <w:b/>
        </w:rPr>
        <w:t>Outcome</w:t>
      </w:r>
      <w:r w:rsidR="00C026A6" w:rsidRPr="00EA59C0">
        <w:rPr>
          <w:b/>
        </w:rPr>
        <w:t xml:space="preserve"> </w:t>
      </w:r>
      <w:r w:rsidRPr="00EA59C0">
        <w:rPr>
          <w:b/>
        </w:rPr>
        <w:t>Measures</w:t>
      </w:r>
      <w:r w:rsidR="00C026A6" w:rsidRPr="00EA59C0">
        <w:rPr>
          <w:b/>
        </w:rPr>
        <w:t xml:space="preserve"> </w:t>
      </w:r>
      <w:r w:rsidR="00614391" w:rsidRPr="00EA59C0">
        <w:rPr>
          <w:b/>
        </w:rPr>
        <w:t>(5</w:t>
      </w:r>
      <w:r w:rsidR="00C026A6" w:rsidRPr="00EA59C0">
        <w:rPr>
          <w:b/>
        </w:rPr>
        <w:t xml:space="preserve"> </w:t>
      </w:r>
      <w:r w:rsidR="00E636BE" w:rsidRPr="00EA59C0">
        <w:rPr>
          <w:b/>
        </w:rPr>
        <w:t>points)</w:t>
      </w:r>
    </w:p>
    <w:p w:rsidR="008C61C6" w:rsidRPr="00EA59C0" w:rsidRDefault="008C61C6"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describes</w:t>
      </w:r>
      <w:r w:rsidR="00C026A6" w:rsidRPr="00EA59C0">
        <w:t xml:space="preserve"> </w:t>
      </w:r>
      <w:r w:rsidRPr="00EA59C0">
        <w:t>existing</w:t>
      </w:r>
      <w:r w:rsidR="00C026A6" w:rsidRPr="00EA59C0">
        <w:t xml:space="preserve"> </w:t>
      </w:r>
      <w:r w:rsidRPr="00EA59C0">
        <w:t>or</w:t>
      </w:r>
      <w:r w:rsidR="00C026A6" w:rsidRPr="00EA59C0">
        <w:t xml:space="preserve"> </w:t>
      </w:r>
      <w:r w:rsidRPr="00EA59C0">
        <w:t>planned</w:t>
      </w:r>
      <w:r w:rsidR="00C026A6" w:rsidRPr="00EA59C0">
        <w:t xml:space="preserve"> </w:t>
      </w:r>
      <w:r w:rsidRPr="00EA59C0">
        <w:t>tracking</w:t>
      </w:r>
      <w:r w:rsidR="00C026A6" w:rsidRPr="00EA59C0">
        <w:t xml:space="preserve"> </w:t>
      </w:r>
      <w:r w:rsidRPr="00EA59C0">
        <w:t>procedures</w:t>
      </w:r>
      <w:r w:rsidR="00C026A6" w:rsidRPr="00EA59C0">
        <w:t xml:space="preserve"> </w:t>
      </w:r>
      <w:r w:rsidRPr="00EA59C0">
        <w:t>and</w:t>
      </w:r>
      <w:r w:rsidR="00C026A6" w:rsidRPr="00EA59C0">
        <w:t xml:space="preserve"> </w:t>
      </w:r>
      <w:r w:rsidRPr="00EA59C0">
        <w:t>systems</w:t>
      </w:r>
      <w:r w:rsidR="00C026A6" w:rsidRPr="00EA59C0">
        <w:t xml:space="preserve"> </w:t>
      </w:r>
      <w:r w:rsidRPr="00EA59C0">
        <w:t>(including</w:t>
      </w:r>
      <w:r w:rsidR="00C026A6" w:rsidRPr="00EA59C0">
        <w:t xml:space="preserve"> </w:t>
      </w:r>
      <w:r w:rsidRPr="00EA59C0">
        <w:t>staffing,</w:t>
      </w:r>
      <w:r w:rsidR="00C026A6" w:rsidRPr="00EA59C0">
        <w:t xml:space="preserve"> </w:t>
      </w:r>
      <w:r w:rsidRPr="00EA59C0">
        <w:t>technology,</w:t>
      </w:r>
      <w:r w:rsidR="00C026A6" w:rsidRPr="00EA59C0">
        <w:t xml:space="preserve"> </w:t>
      </w:r>
      <w:r w:rsidRPr="00EA59C0">
        <w:t>computer</w:t>
      </w:r>
      <w:r w:rsidR="00C026A6" w:rsidRPr="00EA59C0">
        <w:t xml:space="preserve"> </w:t>
      </w:r>
      <w:r w:rsidRPr="00EA59C0">
        <w:t>applications,</w:t>
      </w:r>
      <w:r w:rsidR="00C026A6" w:rsidRPr="00EA59C0">
        <w:t xml:space="preserve"> </w:t>
      </w:r>
      <w:r w:rsidRPr="00EA59C0">
        <w:t>and</w:t>
      </w:r>
      <w:r w:rsidR="00C026A6" w:rsidRPr="00EA59C0">
        <w:t xml:space="preserve"> </w:t>
      </w:r>
      <w:r w:rsidRPr="00EA59C0">
        <w:t>other</w:t>
      </w:r>
      <w:r w:rsidR="00C026A6" w:rsidRPr="00EA59C0">
        <w:t xml:space="preserve"> </w:t>
      </w:r>
      <w:r w:rsidRPr="00EA59C0">
        <w:t>resources)</w:t>
      </w:r>
      <w:r w:rsidR="00C026A6" w:rsidRPr="00EA59C0">
        <w:t xml:space="preserve"> </w:t>
      </w:r>
      <w:r w:rsidRPr="00EA59C0">
        <w:t>that</w:t>
      </w:r>
      <w:r w:rsidR="00C026A6" w:rsidRPr="00EA59C0">
        <w:t xml:space="preserve"> </w:t>
      </w:r>
      <w:r w:rsidRPr="00EA59C0">
        <w:t>are</w:t>
      </w:r>
      <w:r w:rsidR="00C026A6" w:rsidRPr="00EA59C0">
        <w:t xml:space="preserve"> </w:t>
      </w:r>
      <w:r w:rsidRPr="00EA59C0">
        <w:t>sufficient</w:t>
      </w:r>
      <w:r w:rsidR="00C026A6" w:rsidRPr="00EA59C0">
        <w:t xml:space="preserve"> </w:t>
      </w:r>
      <w:r w:rsidRPr="00EA59C0">
        <w:t>to</w:t>
      </w:r>
      <w:r w:rsidR="00C026A6" w:rsidRPr="00EA59C0">
        <w:t xml:space="preserve"> </w:t>
      </w:r>
      <w:r w:rsidRPr="00EA59C0">
        <w:t>effectively</w:t>
      </w:r>
      <w:r w:rsidR="00C026A6" w:rsidRPr="00EA59C0">
        <w:t xml:space="preserve"> </w:t>
      </w:r>
      <w:r w:rsidRPr="00EA59C0">
        <w:t>track</w:t>
      </w:r>
      <w:r w:rsidR="00C026A6" w:rsidRPr="00EA59C0">
        <w:t xml:space="preserve"> </w:t>
      </w:r>
      <w:r w:rsidRPr="00EA59C0">
        <w:t>and</w:t>
      </w:r>
      <w:r w:rsidR="00C026A6" w:rsidRPr="00EA59C0">
        <w:t xml:space="preserve"> </w:t>
      </w:r>
      <w:r w:rsidRPr="00EA59C0">
        <w:t>report</w:t>
      </w:r>
      <w:r w:rsidR="00C026A6" w:rsidRPr="00EA59C0">
        <w:t xml:space="preserve"> </w:t>
      </w:r>
      <w:r w:rsidR="009F7896" w:rsidRPr="00EA59C0">
        <w:t>the</w:t>
      </w:r>
      <w:r w:rsidR="00C026A6" w:rsidRPr="00EA59C0">
        <w:t xml:space="preserve"> </w:t>
      </w:r>
      <w:r w:rsidR="009F7896" w:rsidRPr="00EA59C0">
        <w:t>required</w:t>
      </w:r>
      <w:r w:rsidR="00C026A6" w:rsidRPr="00EA59C0">
        <w:t xml:space="preserve"> </w:t>
      </w:r>
      <w:r w:rsidR="009F7896" w:rsidRPr="00EA59C0">
        <w:t>outcome</w:t>
      </w:r>
      <w:r w:rsidR="00C026A6" w:rsidRPr="00EA59C0">
        <w:t xml:space="preserve"> </w:t>
      </w:r>
      <w:r w:rsidR="009F7896" w:rsidRPr="00EA59C0">
        <w:t>metrics.</w:t>
      </w:r>
      <w:r w:rsidR="00C026A6" w:rsidRPr="00EA59C0">
        <w:t xml:space="preserve"> </w:t>
      </w:r>
      <w:r w:rsidRPr="00EA59C0">
        <w:t>(3</w:t>
      </w:r>
      <w:r w:rsidR="00C026A6" w:rsidRPr="00EA59C0">
        <w:t xml:space="preserve"> </w:t>
      </w:r>
      <w:r w:rsidRPr="00EA59C0">
        <w:t>points);</w:t>
      </w:r>
      <w:r w:rsidR="00C026A6" w:rsidRPr="00EA59C0">
        <w:t xml:space="preserve"> </w:t>
      </w:r>
      <w:r w:rsidRPr="00EA59C0">
        <w:t>and</w:t>
      </w:r>
    </w:p>
    <w:p w:rsidR="00E636BE" w:rsidRPr="00EA59C0" w:rsidRDefault="008C61C6" w:rsidP="00B505EF">
      <w:pPr>
        <w:pStyle w:val="ListParagraph"/>
        <w:numPr>
          <w:ilvl w:val="4"/>
          <w:numId w:val="17"/>
        </w:numPr>
      </w:pPr>
      <w:r w:rsidRPr="00EA59C0">
        <w:t>The</w:t>
      </w:r>
      <w:r w:rsidR="00C026A6" w:rsidRPr="00EA59C0">
        <w:t xml:space="preserve"> </w:t>
      </w:r>
      <w:r w:rsidRPr="00EA59C0">
        <w:t>comprehensiveness</w:t>
      </w:r>
      <w:r w:rsidR="00C026A6" w:rsidRPr="00EA59C0">
        <w:t xml:space="preserve"> </w:t>
      </w:r>
      <w:r w:rsidRPr="00EA59C0">
        <w:t>of</w:t>
      </w:r>
      <w:r w:rsidR="00C026A6" w:rsidRPr="00EA59C0">
        <w:t xml:space="preserve"> </w:t>
      </w:r>
      <w:r w:rsidRPr="00EA59C0">
        <w:t>the</w:t>
      </w:r>
      <w:r w:rsidR="00C026A6" w:rsidRPr="00EA59C0">
        <w:t xml:space="preserve"> </w:t>
      </w:r>
      <w:r w:rsidRPr="00EA59C0">
        <w:t>applicant’s</w:t>
      </w:r>
      <w:r w:rsidR="00C026A6" w:rsidRPr="00EA59C0">
        <w:t xml:space="preserve"> </w:t>
      </w:r>
      <w:r w:rsidRPr="00EA59C0">
        <w:t>plan</w:t>
      </w:r>
      <w:r w:rsidR="00C026A6" w:rsidRPr="00EA59C0">
        <w:t xml:space="preserve"> </w:t>
      </w:r>
      <w:r w:rsidRPr="00EA59C0">
        <w:t>to</w:t>
      </w:r>
      <w:r w:rsidR="00C026A6" w:rsidRPr="00EA59C0">
        <w:t xml:space="preserve"> </w:t>
      </w:r>
      <w:r w:rsidRPr="00EA59C0">
        <w:t>identify</w:t>
      </w:r>
      <w:r w:rsidR="00C026A6" w:rsidRPr="00EA59C0">
        <w:t xml:space="preserve"> </w:t>
      </w:r>
      <w:r w:rsidRPr="00EA59C0">
        <w:t>and</w:t>
      </w:r>
      <w:r w:rsidR="00C026A6" w:rsidRPr="00EA59C0">
        <w:t xml:space="preserve"> </w:t>
      </w:r>
      <w:r w:rsidRPr="00EA59C0">
        <w:t>address</w:t>
      </w:r>
      <w:r w:rsidR="00C026A6" w:rsidRPr="00EA59C0">
        <w:t xml:space="preserve"> </w:t>
      </w:r>
      <w:r w:rsidRPr="00EA59C0">
        <w:t>gaps</w:t>
      </w:r>
      <w:r w:rsidR="00C026A6" w:rsidRPr="00EA59C0">
        <w:t xml:space="preserve"> </w:t>
      </w:r>
      <w:r w:rsidRPr="00EA59C0">
        <w:t>in</w:t>
      </w:r>
      <w:r w:rsidR="00C026A6" w:rsidRPr="00EA59C0">
        <w:t xml:space="preserve"> </w:t>
      </w:r>
      <w:r w:rsidRPr="00EA59C0">
        <w:t>tracking</w:t>
      </w:r>
      <w:r w:rsidR="00C026A6" w:rsidRPr="00EA59C0">
        <w:t xml:space="preserve"> </w:t>
      </w:r>
      <w:r w:rsidRPr="00EA59C0">
        <w:t>procedures,</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among</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as</w:t>
      </w:r>
      <w:r w:rsidR="00C026A6" w:rsidRPr="00EA59C0">
        <w:t xml:space="preserve"> </w:t>
      </w:r>
      <w:r w:rsidRPr="00EA59C0">
        <w:t>applicable,</w:t>
      </w:r>
      <w:r w:rsidR="00C026A6" w:rsidRPr="00EA59C0">
        <w:t xml:space="preserve"> </w:t>
      </w:r>
      <w:r w:rsidRPr="00EA59C0">
        <w:t>including</w:t>
      </w:r>
      <w:r w:rsidR="00C026A6" w:rsidRPr="00EA59C0">
        <w:t xml:space="preserve"> </w:t>
      </w:r>
      <w:r w:rsidRPr="00EA59C0">
        <w:t>how</w:t>
      </w:r>
      <w:r w:rsidR="00C026A6" w:rsidRPr="00EA59C0">
        <w:t xml:space="preserve"> </w:t>
      </w:r>
      <w:r w:rsidRPr="00EA59C0">
        <w:t>access</w:t>
      </w:r>
      <w:r w:rsidR="00C026A6" w:rsidRPr="00EA59C0">
        <w:t xml:space="preserve"> </w:t>
      </w:r>
      <w:r w:rsidRPr="00EA59C0">
        <w:t>to</w:t>
      </w:r>
      <w:r w:rsidR="00C026A6" w:rsidRPr="00EA59C0">
        <w:t xml:space="preserve"> </w:t>
      </w:r>
      <w:r w:rsidRPr="00EA59C0">
        <w:t>the</w:t>
      </w:r>
      <w:r w:rsidR="00C026A6" w:rsidRPr="00EA59C0">
        <w:t xml:space="preserve"> </w:t>
      </w:r>
      <w:r w:rsidRPr="00EA59C0">
        <w:t>state</w:t>
      </w:r>
      <w:r w:rsidR="00C026A6" w:rsidRPr="00EA59C0">
        <w:t xml:space="preserve"> </w:t>
      </w:r>
      <w:r w:rsidRPr="00EA59C0">
        <w:t>longitudinal</w:t>
      </w:r>
      <w:r w:rsidR="00C026A6" w:rsidRPr="00EA59C0">
        <w:t xml:space="preserve"> </w:t>
      </w:r>
      <w:r w:rsidRPr="00EA59C0">
        <w:t>system</w:t>
      </w:r>
      <w:r w:rsidR="00C026A6" w:rsidRPr="00EA59C0">
        <w:t xml:space="preserve"> </w:t>
      </w:r>
      <w:r w:rsidRPr="00EA59C0">
        <w:t>will</w:t>
      </w:r>
      <w:r w:rsidR="00C026A6" w:rsidRPr="00EA59C0">
        <w:t xml:space="preserve"> </w:t>
      </w:r>
      <w:r w:rsidRPr="00EA59C0">
        <w:t>be</w:t>
      </w:r>
      <w:r w:rsidR="00C026A6" w:rsidRPr="00EA59C0">
        <w:t xml:space="preserve"> </w:t>
      </w:r>
      <w:r w:rsidRPr="00EA59C0">
        <w:t>strengthened</w:t>
      </w:r>
      <w:r w:rsidR="00C026A6" w:rsidRPr="00EA59C0">
        <w:t xml:space="preserve"> </w:t>
      </w:r>
      <w:r w:rsidRPr="00EA59C0">
        <w:t>to</w:t>
      </w:r>
      <w:r w:rsidR="00C026A6" w:rsidRPr="00EA59C0">
        <w:t xml:space="preserve"> </w:t>
      </w:r>
      <w:r w:rsidRPr="00EA59C0">
        <w:t>track</w:t>
      </w:r>
      <w:r w:rsidR="00C026A6" w:rsidRPr="00EA59C0">
        <w:t xml:space="preserve"> </w:t>
      </w:r>
      <w:r w:rsidRPr="00EA59C0">
        <w:t>student’s</w:t>
      </w:r>
      <w:r w:rsidR="00C026A6" w:rsidRPr="00EA59C0">
        <w:t xml:space="preserve"> </w:t>
      </w:r>
      <w:r w:rsidRPr="00EA59C0">
        <w:t>employment</w:t>
      </w:r>
      <w:r w:rsidR="00C026A6" w:rsidRPr="00EA59C0">
        <w:t xml:space="preserve"> </w:t>
      </w:r>
      <w:r w:rsidRPr="00EA59C0">
        <w:t>outcomes</w:t>
      </w:r>
      <w:r w:rsidR="00C026A6" w:rsidRPr="00EA59C0">
        <w:t xml:space="preserve"> </w:t>
      </w:r>
      <w:r w:rsidRPr="00EA59C0">
        <w:t>after</w:t>
      </w:r>
      <w:r w:rsidR="00C026A6" w:rsidRPr="00EA59C0">
        <w:t xml:space="preserve"> </w:t>
      </w:r>
      <w:r w:rsidRPr="00EA59C0">
        <w:t>exit</w:t>
      </w:r>
      <w:r w:rsidR="00C026A6" w:rsidRPr="00EA59C0">
        <w:t xml:space="preserve"> </w:t>
      </w:r>
      <w:r w:rsidRPr="00EA59C0">
        <w:t>or</w:t>
      </w:r>
      <w:r w:rsidR="00C026A6" w:rsidRPr="00EA59C0">
        <w:t xml:space="preserve"> </w:t>
      </w:r>
      <w:r w:rsidRPr="00EA59C0">
        <w:t>completion.</w:t>
      </w:r>
      <w:r w:rsidR="00C026A6" w:rsidRPr="00EA59C0">
        <w:t xml:space="preserve">  </w:t>
      </w:r>
      <w:r w:rsidRPr="00EA59C0">
        <w:t>(2</w:t>
      </w:r>
      <w:r w:rsidR="00C026A6" w:rsidRPr="00EA59C0">
        <w:t xml:space="preserve"> </w:t>
      </w:r>
      <w:r w:rsidRPr="00EA59C0">
        <w:t>points)</w:t>
      </w:r>
    </w:p>
    <w:p w:rsidR="00E636BE" w:rsidRPr="00EA59C0" w:rsidRDefault="00E636BE" w:rsidP="00B505EF">
      <w:pPr>
        <w:pStyle w:val="ListParagraph"/>
        <w:rPr>
          <w:b/>
        </w:rPr>
      </w:pPr>
    </w:p>
    <w:p w:rsidR="00614391" w:rsidRPr="00EA59C0" w:rsidRDefault="00614391" w:rsidP="00B505EF">
      <w:pPr>
        <w:pStyle w:val="ListParagraph"/>
        <w:numPr>
          <w:ilvl w:val="3"/>
          <w:numId w:val="17"/>
        </w:numPr>
        <w:rPr>
          <w:b/>
        </w:rPr>
      </w:pPr>
      <w:r w:rsidRPr="00EA59C0">
        <w:rPr>
          <w:b/>
        </w:rPr>
        <w:t>Using</w:t>
      </w:r>
      <w:r w:rsidR="00C026A6" w:rsidRPr="00EA59C0">
        <w:rPr>
          <w:b/>
        </w:rPr>
        <w:t xml:space="preserve"> </w:t>
      </w:r>
      <w:r w:rsidRPr="00EA59C0">
        <w:rPr>
          <w:b/>
        </w:rPr>
        <w:t>Data</w:t>
      </w:r>
      <w:r w:rsidR="00C026A6" w:rsidRPr="00EA59C0">
        <w:rPr>
          <w:b/>
        </w:rPr>
        <w:t xml:space="preserve"> </w:t>
      </w:r>
      <w:r w:rsidRPr="00EA59C0">
        <w:rPr>
          <w:b/>
        </w:rPr>
        <w:t>for</w:t>
      </w:r>
      <w:r w:rsidR="00C026A6" w:rsidRPr="00EA59C0">
        <w:rPr>
          <w:b/>
        </w:rPr>
        <w:t xml:space="preserve"> </w:t>
      </w:r>
      <w:r w:rsidRPr="00EA59C0">
        <w:rPr>
          <w:b/>
        </w:rPr>
        <w:t>Continuous</w:t>
      </w:r>
      <w:r w:rsidR="00C026A6" w:rsidRPr="00EA59C0">
        <w:rPr>
          <w:b/>
        </w:rPr>
        <w:t xml:space="preserve"> </w:t>
      </w:r>
      <w:r w:rsidRPr="00EA59C0">
        <w:rPr>
          <w:b/>
        </w:rPr>
        <w:t>Improvement</w:t>
      </w:r>
      <w:r w:rsidR="00C026A6" w:rsidRPr="00EA59C0">
        <w:rPr>
          <w:b/>
        </w:rPr>
        <w:t xml:space="preserve"> </w:t>
      </w:r>
      <w:r w:rsidRPr="00EA59C0">
        <w:rPr>
          <w:b/>
        </w:rPr>
        <w:t>(5</w:t>
      </w:r>
      <w:r w:rsidR="00C026A6" w:rsidRPr="00EA59C0">
        <w:rPr>
          <w:b/>
        </w:rPr>
        <w:t xml:space="preserve"> </w:t>
      </w:r>
      <w:r w:rsidRPr="00EA59C0">
        <w:rPr>
          <w:b/>
        </w:rPr>
        <w:t>points)</w:t>
      </w:r>
    </w:p>
    <w:p w:rsidR="008C61C6" w:rsidRPr="00EA59C0" w:rsidRDefault="008C61C6"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describes</w:t>
      </w:r>
      <w:r w:rsidR="00C026A6" w:rsidRPr="00EA59C0">
        <w:t xml:space="preserve"> </w:t>
      </w:r>
      <w:r w:rsidRPr="00EA59C0">
        <w:t>processes</w:t>
      </w:r>
      <w:r w:rsidR="00C026A6" w:rsidRPr="00EA59C0">
        <w:t xml:space="preserve"> </w:t>
      </w:r>
      <w:r w:rsidRPr="00EA59C0">
        <w:t>or</w:t>
      </w:r>
      <w:r w:rsidR="00C026A6" w:rsidRPr="00EA59C0">
        <w:t xml:space="preserve"> </w:t>
      </w:r>
      <w:r w:rsidRPr="00EA59C0">
        <w:t>procedures</w:t>
      </w:r>
      <w:r w:rsidR="00C026A6" w:rsidRPr="00EA59C0">
        <w:t xml:space="preserve"> </w:t>
      </w:r>
      <w:r w:rsidRPr="00EA59C0">
        <w:t>that</w:t>
      </w:r>
      <w:r w:rsidR="00C026A6" w:rsidRPr="00EA59C0">
        <w:t xml:space="preserve"> </w:t>
      </w:r>
      <w:r w:rsidRPr="00EA59C0">
        <w:t>will</w:t>
      </w:r>
      <w:r w:rsidR="00C026A6" w:rsidRPr="00EA59C0">
        <w:t xml:space="preserve"> </w:t>
      </w:r>
      <w:r w:rsidRPr="00EA59C0">
        <w:t>enable</w:t>
      </w:r>
      <w:r w:rsidR="00C026A6" w:rsidRPr="00EA59C0">
        <w:t xml:space="preserve"> </w:t>
      </w:r>
      <w:r w:rsidRPr="00EA59C0">
        <w:t>it</w:t>
      </w:r>
      <w:r w:rsidR="00C026A6" w:rsidRPr="00EA59C0">
        <w:t xml:space="preserve"> </w:t>
      </w:r>
      <w:r w:rsidRPr="00EA59C0">
        <w:t>to</w:t>
      </w:r>
      <w:r w:rsidR="00C026A6" w:rsidRPr="00EA59C0">
        <w:t xml:space="preserve"> </w:t>
      </w:r>
      <w:r w:rsidRPr="00EA59C0">
        <w:t>review</w:t>
      </w:r>
      <w:r w:rsidR="00C026A6" w:rsidRPr="00EA59C0">
        <w:t xml:space="preserve"> </w:t>
      </w:r>
      <w:r w:rsidRPr="00EA59C0">
        <w:t>participant</w:t>
      </w:r>
      <w:r w:rsidR="00C026A6" w:rsidRPr="00EA59C0">
        <w:t xml:space="preserve"> </w:t>
      </w:r>
      <w:r w:rsidRPr="00EA59C0">
        <w:t>and</w:t>
      </w:r>
      <w:r w:rsidR="00C026A6" w:rsidRPr="00EA59C0">
        <w:t xml:space="preserve"> </w:t>
      </w:r>
      <w:r w:rsidRPr="00EA59C0">
        <w:t>outcome</w:t>
      </w:r>
      <w:r w:rsidR="00C026A6" w:rsidRPr="00EA59C0">
        <w:t xml:space="preserve"> </w:t>
      </w:r>
      <w:r w:rsidRPr="00EA59C0">
        <w:t>data</w:t>
      </w:r>
      <w:r w:rsidR="00C026A6" w:rsidRPr="00EA59C0">
        <w:t xml:space="preserve"> </w:t>
      </w:r>
      <w:r w:rsidRPr="00EA59C0">
        <w:t>regularly,</w:t>
      </w:r>
      <w:r w:rsidR="00C026A6" w:rsidRPr="00EA59C0">
        <w:t xml:space="preserve"> </w:t>
      </w:r>
      <w:r w:rsidRPr="00EA59C0">
        <w:t>share</w:t>
      </w:r>
      <w:r w:rsidR="00C026A6" w:rsidRPr="00EA59C0">
        <w:t xml:space="preserve"> </w:t>
      </w:r>
      <w:r w:rsidRPr="00EA59C0">
        <w:t>data</w:t>
      </w:r>
      <w:r w:rsidR="00C026A6" w:rsidRPr="00EA59C0">
        <w:t xml:space="preserve"> </w:t>
      </w:r>
      <w:r w:rsidR="00C66F54" w:rsidRPr="00EA59C0">
        <w:t>with</w:t>
      </w:r>
      <w:r w:rsidR="00C026A6" w:rsidRPr="00EA59C0">
        <w:t xml:space="preserve"> </w:t>
      </w:r>
      <w:r w:rsidR="003F0A3A" w:rsidRPr="00EA59C0">
        <w:t>partners,</w:t>
      </w:r>
      <w:r w:rsidR="00C026A6" w:rsidRPr="00EA59C0">
        <w:t xml:space="preserve"> </w:t>
      </w:r>
      <w:r w:rsidR="003F0A3A" w:rsidRPr="00EA59C0">
        <w:t>other</w:t>
      </w:r>
      <w:r w:rsidR="00C026A6" w:rsidRPr="00EA59C0">
        <w:t xml:space="preserve"> </w:t>
      </w:r>
      <w:r w:rsidR="003F0A3A" w:rsidRPr="00EA59C0">
        <w:t>key</w:t>
      </w:r>
      <w:r w:rsidR="00C026A6" w:rsidRPr="00EA59C0">
        <w:t xml:space="preserve"> </w:t>
      </w:r>
      <w:r w:rsidR="003F0A3A" w:rsidRPr="00EA59C0">
        <w:t>stakeholders</w:t>
      </w:r>
      <w:r w:rsidR="00F338E8" w:rsidRPr="00EA59C0">
        <w:t>,</w:t>
      </w:r>
      <w:r w:rsidR="00C026A6" w:rsidRPr="00EA59C0">
        <w:t xml:space="preserve"> </w:t>
      </w:r>
      <w:r w:rsidRPr="00EA59C0">
        <w:t>and</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(if</w:t>
      </w:r>
      <w:r w:rsidR="00C026A6" w:rsidRPr="00EA59C0">
        <w:t xml:space="preserve"> </w:t>
      </w:r>
      <w:r w:rsidRPr="00EA59C0">
        <w:t>applicable)</w:t>
      </w:r>
      <w:r w:rsidR="00C026A6" w:rsidRPr="00EA59C0">
        <w:t xml:space="preserve"> </w:t>
      </w:r>
      <w:r w:rsidRPr="00EA59C0">
        <w:t>in</w:t>
      </w:r>
      <w:r w:rsidR="00C026A6" w:rsidRPr="00EA59C0">
        <w:t xml:space="preserve"> </w:t>
      </w:r>
      <w:r w:rsidRPr="00EA59C0">
        <w:t>a</w:t>
      </w:r>
      <w:r w:rsidR="00C026A6" w:rsidRPr="00EA59C0">
        <w:t xml:space="preserve"> </w:t>
      </w:r>
      <w:r w:rsidRPr="00EA59C0">
        <w:t>timely</w:t>
      </w:r>
      <w:r w:rsidR="00C026A6" w:rsidRPr="00EA59C0">
        <w:t xml:space="preserve"> </w:t>
      </w:r>
      <w:r w:rsidRPr="00EA59C0">
        <w:t>fashion,</w:t>
      </w:r>
      <w:r w:rsidR="00C026A6" w:rsidRPr="00EA59C0">
        <w:t xml:space="preserve"> </w:t>
      </w:r>
      <w:r w:rsidRPr="00EA59C0">
        <w:t>and</w:t>
      </w:r>
      <w:r w:rsidR="00C026A6" w:rsidRPr="00EA59C0">
        <w:t xml:space="preserve"> </w:t>
      </w:r>
      <w:r w:rsidRPr="00EA59C0">
        <w:t>use</w:t>
      </w:r>
      <w:r w:rsidR="00C026A6" w:rsidRPr="00EA59C0">
        <w:t xml:space="preserve"> </w:t>
      </w:r>
      <w:r w:rsidRPr="00EA59C0">
        <w:t>data</w:t>
      </w:r>
      <w:r w:rsidR="00C026A6" w:rsidRPr="00EA59C0">
        <w:t xml:space="preserve"> </w:t>
      </w:r>
      <w:r w:rsidRPr="00EA59C0">
        <w:t>effectively</w:t>
      </w:r>
      <w:r w:rsidR="00C026A6" w:rsidRPr="00EA59C0">
        <w:t xml:space="preserve"> </w:t>
      </w:r>
      <w:r w:rsidRPr="00EA59C0">
        <w:t>to</w:t>
      </w:r>
      <w:r w:rsidR="00C026A6" w:rsidRPr="00EA59C0">
        <w:t xml:space="preserve"> </w:t>
      </w:r>
      <w:r w:rsidRPr="00EA59C0">
        <w:t>continuously</w:t>
      </w:r>
      <w:r w:rsidR="00C026A6" w:rsidRPr="00EA59C0">
        <w:t xml:space="preserve"> </w:t>
      </w:r>
      <w:r w:rsidRPr="00EA59C0">
        <w:t>improve</w:t>
      </w:r>
      <w:r w:rsidR="00C026A6" w:rsidRPr="00EA59C0">
        <w:t xml:space="preserve"> </w:t>
      </w:r>
      <w:r w:rsidRPr="00EA59C0">
        <w:t>programming.</w:t>
      </w:r>
      <w:r w:rsidR="00C026A6" w:rsidRPr="00EA59C0">
        <w:t xml:space="preserve">  </w:t>
      </w:r>
      <w:r w:rsidRPr="00EA59C0">
        <w:t>(3</w:t>
      </w:r>
      <w:r w:rsidR="00C026A6" w:rsidRPr="00EA59C0">
        <w:t xml:space="preserve"> </w:t>
      </w:r>
      <w:r w:rsidRPr="00EA59C0">
        <w:t>points);</w:t>
      </w:r>
      <w:r w:rsidR="00C026A6" w:rsidRPr="00EA59C0">
        <w:t xml:space="preserve"> </w:t>
      </w:r>
      <w:r w:rsidRPr="00EA59C0">
        <w:t>and</w:t>
      </w:r>
    </w:p>
    <w:p w:rsidR="00A103FD" w:rsidRPr="00EA59C0" w:rsidRDefault="008C61C6" w:rsidP="00B505EF">
      <w:pPr>
        <w:pStyle w:val="ListParagraph"/>
        <w:numPr>
          <w:ilvl w:val="4"/>
          <w:numId w:val="17"/>
        </w:numPr>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demonstrates</w:t>
      </w:r>
      <w:r w:rsidR="00C026A6" w:rsidRPr="00EA59C0">
        <w:t xml:space="preserve"> </w:t>
      </w:r>
      <w:r w:rsidRPr="00EA59C0">
        <w:t>a</w:t>
      </w:r>
      <w:r w:rsidR="00C026A6" w:rsidRPr="00EA59C0">
        <w:t xml:space="preserve"> </w:t>
      </w:r>
      <w:r w:rsidRPr="00EA59C0">
        <w:t>sustainability</w:t>
      </w:r>
      <w:r w:rsidR="00C026A6" w:rsidRPr="00EA59C0">
        <w:t xml:space="preserve"> </w:t>
      </w:r>
      <w:r w:rsidRPr="00EA59C0">
        <w:t>plan</w:t>
      </w:r>
      <w:r w:rsidR="00C026A6" w:rsidRPr="00EA59C0">
        <w:t xml:space="preserve"> </w:t>
      </w:r>
      <w:r w:rsidRPr="00EA59C0">
        <w:t>to</w:t>
      </w:r>
      <w:r w:rsidR="00C026A6" w:rsidRPr="00EA59C0">
        <w:t xml:space="preserve"> </w:t>
      </w:r>
      <w:r w:rsidRPr="00EA59C0">
        <w:t>use</w:t>
      </w:r>
      <w:r w:rsidR="00C026A6" w:rsidRPr="00EA59C0">
        <w:t xml:space="preserve"> </w:t>
      </w:r>
      <w:r w:rsidRPr="00EA59C0">
        <w:t>data</w:t>
      </w:r>
      <w:r w:rsidR="00C026A6" w:rsidRPr="00EA59C0">
        <w:t xml:space="preserve"> </w:t>
      </w:r>
      <w:r w:rsidRPr="00EA59C0">
        <w:t>to</w:t>
      </w:r>
      <w:r w:rsidR="00C026A6" w:rsidRPr="00EA59C0">
        <w:t xml:space="preserve"> </w:t>
      </w:r>
      <w:r w:rsidRPr="00EA59C0">
        <w:t>determine</w:t>
      </w:r>
      <w:r w:rsidR="00C026A6" w:rsidRPr="00EA59C0">
        <w:t xml:space="preserve"> </w:t>
      </w:r>
      <w:r w:rsidRPr="00EA59C0">
        <w:t>which</w:t>
      </w:r>
      <w:r w:rsidR="00C026A6" w:rsidRPr="00EA59C0">
        <w:t xml:space="preserve"> </w:t>
      </w:r>
      <w:r w:rsidRPr="00EA59C0">
        <w:t>strategies</w:t>
      </w:r>
      <w:r w:rsidR="00C026A6" w:rsidRPr="00EA59C0">
        <w:t xml:space="preserve"> </w:t>
      </w:r>
      <w:r w:rsidRPr="00EA59C0">
        <w:t>and</w:t>
      </w:r>
      <w:r w:rsidR="00C026A6" w:rsidRPr="00EA59C0">
        <w:t xml:space="preserve"> </w:t>
      </w:r>
      <w:r w:rsidRPr="00EA59C0">
        <w:t>activities</w:t>
      </w:r>
      <w:r w:rsidR="00C026A6" w:rsidRPr="00EA59C0">
        <w:t xml:space="preserve"> </w:t>
      </w:r>
      <w:r w:rsidRPr="00EA59C0">
        <w:t>were</w:t>
      </w:r>
      <w:r w:rsidR="00C026A6" w:rsidRPr="00EA59C0">
        <w:t xml:space="preserve"> </w:t>
      </w:r>
      <w:r w:rsidRPr="00EA59C0">
        <w:t>effective,</w:t>
      </w:r>
      <w:r w:rsidR="00C026A6" w:rsidRPr="00EA59C0">
        <w:t xml:space="preserve"> </w:t>
      </w:r>
      <w:r w:rsidRPr="00EA59C0">
        <w:t>including</w:t>
      </w:r>
      <w:r w:rsidR="00C026A6" w:rsidRPr="00EA59C0">
        <w:t xml:space="preserve"> </w:t>
      </w:r>
      <w:r w:rsidRPr="00EA59C0">
        <w:t>how</w:t>
      </w:r>
      <w:r w:rsidR="00C026A6" w:rsidRPr="00EA59C0">
        <w:t xml:space="preserve"> </w:t>
      </w:r>
      <w:r w:rsidRPr="00EA59C0">
        <w:t>strategies</w:t>
      </w:r>
      <w:r w:rsidR="00C026A6" w:rsidRPr="00EA59C0">
        <w:t xml:space="preserve"> </w:t>
      </w:r>
      <w:r w:rsidR="00600C19" w:rsidRPr="00EA59C0">
        <w:t>and</w:t>
      </w:r>
      <w:r w:rsidR="00C026A6" w:rsidRPr="00EA59C0">
        <w:t xml:space="preserve"> </w:t>
      </w:r>
      <w:r w:rsidRPr="00EA59C0">
        <w:t>activities</w:t>
      </w:r>
      <w:r w:rsidR="00C026A6" w:rsidRPr="00EA59C0">
        <w:t xml:space="preserve"> </w:t>
      </w:r>
      <w:r w:rsidRPr="00EA59C0">
        <w:t>will</w:t>
      </w:r>
      <w:r w:rsidR="00C026A6" w:rsidRPr="00EA59C0">
        <w:t xml:space="preserve"> </w:t>
      </w:r>
      <w:r w:rsidRPr="00EA59C0">
        <w:t>be</w:t>
      </w:r>
      <w:r w:rsidR="00C026A6" w:rsidRPr="00EA59C0">
        <w:t xml:space="preserve"> </w:t>
      </w:r>
      <w:r w:rsidRPr="00EA59C0">
        <w:t>integrated</w:t>
      </w:r>
      <w:r w:rsidR="00C026A6" w:rsidRPr="00EA59C0">
        <w:t xml:space="preserve"> </w:t>
      </w:r>
      <w:r w:rsidRPr="00EA59C0">
        <w:t>into</w:t>
      </w:r>
      <w:r w:rsidR="00C026A6" w:rsidRPr="00EA59C0">
        <w:t xml:space="preserve"> </w:t>
      </w:r>
      <w:r w:rsidRPr="00EA59C0">
        <w:t>the</w:t>
      </w:r>
      <w:r w:rsidR="00600C19" w:rsidRPr="00EA59C0">
        <w:t>ir</w:t>
      </w:r>
      <w:r w:rsidR="00C026A6" w:rsidRPr="00EA59C0">
        <w:t xml:space="preserve"> </w:t>
      </w:r>
      <w:r w:rsidR="00600C19" w:rsidRPr="00EA59C0">
        <w:t>non-grant</w:t>
      </w:r>
      <w:r w:rsidR="00C026A6" w:rsidRPr="00EA59C0">
        <w:t xml:space="preserve"> </w:t>
      </w:r>
      <w:r w:rsidR="00600C19" w:rsidRPr="00EA59C0">
        <w:t>funded</w:t>
      </w:r>
      <w:r w:rsidR="00C026A6" w:rsidRPr="00EA59C0">
        <w:t xml:space="preserve"> </w:t>
      </w:r>
      <w:r w:rsidRPr="00EA59C0">
        <w:t>program</w:t>
      </w:r>
      <w:r w:rsidR="00150AB3" w:rsidRPr="00EA59C0">
        <w:t>s</w:t>
      </w:r>
      <w:r w:rsidR="00C026A6" w:rsidRPr="00EA59C0">
        <w:t xml:space="preserve"> </w:t>
      </w:r>
      <w:r w:rsidRPr="00EA59C0">
        <w:t>throughout</w:t>
      </w:r>
      <w:r w:rsidR="00C026A6" w:rsidRPr="00EA59C0">
        <w:t xml:space="preserve"> </w:t>
      </w:r>
      <w:r w:rsidRPr="00EA59C0">
        <w:t>the</w:t>
      </w:r>
      <w:r w:rsidR="00C026A6" w:rsidRPr="00EA59C0">
        <w:t xml:space="preserve"> </w:t>
      </w:r>
      <w:r w:rsidRPr="00EA59C0">
        <w:t>duration</w:t>
      </w:r>
      <w:r w:rsidR="00C026A6" w:rsidRPr="00EA59C0">
        <w:t xml:space="preserve"> </w:t>
      </w:r>
      <w:r w:rsidRPr="00EA59C0">
        <w:t>of</w:t>
      </w:r>
      <w:r w:rsidR="00C026A6" w:rsidRPr="00EA59C0">
        <w:t xml:space="preserve"> </w:t>
      </w:r>
      <w:r w:rsidRPr="00EA59C0">
        <w:t>the</w:t>
      </w:r>
      <w:r w:rsidR="00C026A6" w:rsidRPr="00EA59C0">
        <w:t xml:space="preserve"> </w:t>
      </w:r>
      <w:r w:rsidRPr="00EA59C0">
        <w:t>program</w:t>
      </w:r>
      <w:r w:rsidR="00C026A6" w:rsidRPr="00EA59C0">
        <w:t xml:space="preserve"> </w:t>
      </w:r>
      <w:r w:rsidRPr="00EA59C0">
        <w:t>and</w:t>
      </w:r>
      <w:r w:rsidR="00C026A6" w:rsidRPr="00EA59C0">
        <w:t xml:space="preserve"> </w:t>
      </w:r>
      <w:r w:rsidRPr="00EA59C0">
        <w:t>beyond</w:t>
      </w:r>
      <w:r w:rsidR="00C026A6" w:rsidRPr="00EA59C0">
        <w:t xml:space="preserve"> </w:t>
      </w:r>
      <w:r w:rsidRPr="00EA59C0">
        <w:t>(2</w:t>
      </w:r>
      <w:r w:rsidR="00C026A6" w:rsidRPr="00EA59C0">
        <w:t xml:space="preserve"> </w:t>
      </w:r>
      <w:r w:rsidRPr="00EA59C0">
        <w:t>points).</w:t>
      </w:r>
      <w:r w:rsidR="00C026A6" w:rsidRPr="00EA59C0">
        <w:t xml:space="preserve">  </w:t>
      </w:r>
    </w:p>
    <w:p w:rsidR="008C61C6" w:rsidRPr="00EA59C0" w:rsidRDefault="008C61C6" w:rsidP="00B505EF">
      <w:pPr>
        <w:pStyle w:val="ListParagraph"/>
        <w:ind w:left="360"/>
        <w:rPr>
          <w:b/>
        </w:rPr>
      </w:pPr>
    </w:p>
    <w:p w:rsidR="00144DF0" w:rsidRPr="00EA59C0" w:rsidRDefault="00D81847" w:rsidP="00B505EF">
      <w:pPr>
        <w:pStyle w:val="ListParagraph"/>
        <w:numPr>
          <w:ilvl w:val="2"/>
          <w:numId w:val="17"/>
        </w:numPr>
        <w:rPr>
          <w:b/>
        </w:rPr>
      </w:pPr>
      <w:r w:rsidRPr="00EA59C0">
        <w:rPr>
          <w:b/>
        </w:rPr>
        <w:t>Organizational</w:t>
      </w:r>
      <w:r w:rsidR="00C026A6" w:rsidRPr="00EA59C0">
        <w:rPr>
          <w:b/>
        </w:rPr>
        <w:t xml:space="preserve"> </w:t>
      </w:r>
      <w:r w:rsidR="00A103FD" w:rsidRPr="00EA59C0">
        <w:rPr>
          <w:b/>
        </w:rPr>
        <w:t>Profile</w:t>
      </w:r>
      <w:r w:rsidR="00C026A6" w:rsidRPr="00EA59C0">
        <w:rPr>
          <w:b/>
        </w:rPr>
        <w:t xml:space="preserve"> </w:t>
      </w:r>
      <w:r w:rsidRPr="00EA59C0">
        <w:rPr>
          <w:b/>
        </w:rPr>
        <w:t>(</w:t>
      </w:r>
      <w:r w:rsidR="00C026A6" w:rsidRPr="00EA59C0">
        <w:rPr>
          <w:b/>
        </w:rPr>
        <w:t xml:space="preserve"> </w:t>
      </w:r>
      <w:r w:rsidR="00545CA3" w:rsidRPr="00EA59C0">
        <w:rPr>
          <w:b/>
        </w:rPr>
        <w:t>12</w:t>
      </w:r>
      <w:r w:rsidR="00C026A6" w:rsidRPr="00EA59C0">
        <w:rPr>
          <w:b/>
        </w:rPr>
        <w:t xml:space="preserve"> </w:t>
      </w:r>
      <w:r w:rsidRPr="00EA59C0">
        <w:rPr>
          <w:b/>
        </w:rPr>
        <w:t>points)</w:t>
      </w:r>
    </w:p>
    <w:p w:rsidR="00614391" w:rsidRPr="00EA59C0" w:rsidRDefault="00614391" w:rsidP="00B505EF">
      <w:pPr>
        <w:pStyle w:val="ListParagraph"/>
        <w:numPr>
          <w:ilvl w:val="3"/>
          <w:numId w:val="17"/>
        </w:numPr>
        <w:rPr>
          <w:b/>
        </w:rPr>
      </w:pPr>
      <w:r w:rsidRPr="00EA59C0">
        <w:rPr>
          <w:b/>
        </w:rPr>
        <w:t>Qualifications</w:t>
      </w:r>
      <w:r w:rsidR="00C026A6" w:rsidRPr="00EA59C0">
        <w:rPr>
          <w:b/>
        </w:rPr>
        <w:t xml:space="preserve"> </w:t>
      </w:r>
      <w:r w:rsidRPr="00EA59C0">
        <w:rPr>
          <w:b/>
        </w:rPr>
        <w:t>(</w:t>
      </w:r>
      <w:r w:rsidR="0037628D" w:rsidRPr="00EA59C0">
        <w:rPr>
          <w:b/>
        </w:rPr>
        <w:t>5</w:t>
      </w:r>
      <w:r w:rsidR="00C026A6" w:rsidRPr="00EA59C0">
        <w:rPr>
          <w:b/>
        </w:rPr>
        <w:t xml:space="preserve"> </w:t>
      </w:r>
      <w:r w:rsidRPr="00EA59C0">
        <w:rPr>
          <w:b/>
        </w:rPr>
        <w:t>points)</w:t>
      </w:r>
    </w:p>
    <w:p w:rsidR="008C61C6" w:rsidRPr="00EA59C0" w:rsidRDefault="008C61C6" w:rsidP="00B505EF">
      <w:pPr>
        <w:pStyle w:val="ListParagraph"/>
        <w:ind w:left="1440"/>
      </w:pPr>
      <w:r w:rsidRPr="00EA59C0">
        <w:t>The</w:t>
      </w:r>
      <w:r w:rsidR="00C026A6" w:rsidRPr="00EA59C0">
        <w:t xml:space="preserve"> </w:t>
      </w:r>
      <w:r w:rsidRPr="00EA59C0">
        <w:t>level</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demonstrates</w:t>
      </w:r>
      <w:r w:rsidR="00C026A6" w:rsidRPr="00EA59C0">
        <w:t xml:space="preserve"> </w:t>
      </w:r>
      <w:r w:rsidRPr="00EA59C0">
        <w:t>capacity</w:t>
      </w:r>
      <w:r w:rsidR="00C026A6" w:rsidRPr="00EA59C0">
        <w:t xml:space="preserve"> </w:t>
      </w:r>
      <w:r w:rsidRPr="00EA59C0">
        <w:t>to</w:t>
      </w:r>
      <w:r w:rsidR="00C026A6" w:rsidRPr="00EA59C0">
        <w:t xml:space="preserve"> </w:t>
      </w:r>
      <w:r w:rsidRPr="00EA59C0">
        <w:t>manage</w:t>
      </w:r>
      <w:r w:rsidR="00C026A6" w:rsidRPr="00EA59C0">
        <w:t xml:space="preserve"> </w:t>
      </w:r>
      <w:r w:rsidRPr="00EA59C0">
        <w:t>the</w:t>
      </w:r>
      <w:r w:rsidR="00C026A6" w:rsidRPr="00EA59C0">
        <w:t xml:space="preserve"> </w:t>
      </w:r>
      <w:r w:rsidRPr="00EA59C0">
        <w:t>project</w:t>
      </w:r>
      <w:r w:rsidR="00C026A6" w:rsidRPr="00EA59C0">
        <w:t xml:space="preserve"> </w:t>
      </w:r>
      <w:r w:rsidRPr="00EA59C0">
        <w:t>with</w:t>
      </w:r>
      <w:r w:rsidR="00C026A6" w:rsidRPr="00EA59C0">
        <w:t xml:space="preserve"> </w:t>
      </w:r>
      <w:r w:rsidRPr="00EA59C0">
        <w:t>qualified</w:t>
      </w:r>
      <w:r w:rsidR="00C026A6" w:rsidRPr="00EA59C0">
        <w:t xml:space="preserve"> </w:t>
      </w:r>
      <w:r w:rsidRPr="00EA59C0">
        <w:t>staff</w:t>
      </w:r>
      <w:r w:rsidR="00C026A6" w:rsidRPr="00EA59C0">
        <w:t xml:space="preserve"> </w:t>
      </w:r>
      <w:r w:rsidRPr="00EA59C0">
        <w:t>and</w:t>
      </w:r>
      <w:r w:rsidR="00C026A6" w:rsidRPr="00EA59C0">
        <w:t xml:space="preserve"> </w:t>
      </w:r>
      <w:r w:rsidRPr="00EA59C0">
        <w:t>a</w:t>
      </w:r>
      <w:r w:rsidR="00C026A6" w:rsidRPr="00EA59C0">
        <w:t xml:space="preserve"> </w:t>
      </w:r>
      <w:r w:rsidRPr="00EA59C0">
        <w:t>qualified</w:t>
      </w:r>
      <w:r w:rsidR="00C026A6" w:rsidRPr="00EA59C0">
        <w:t xml:space="preserve"> </w:t>
      </w:r>
      <w:r w:rsidRPr="00EA59C0">
        <w:t>project</w:t>
      </w:r>
      <w:r w:rsidR="00C026A6" w:rsidRPr="00EA59C0">
        <w:t xml:space="preserve"> </w:t>
      </w:r>
      <w:r w:rsidRPr="00EA59C0">
        <w:t>manager,</w:t>
      </w:r>
      <w:r w:rsidR="00C026A6" w:rsidRPr="00EA59C0">
        <w:t xml:space="preserve"> </w:t>
      </w:r>
      <w:r w:rsidRPr="00EA59C0">
        <w:t>including</w:t>
      </w:r>
      <w:r w:rsidR="00C026A6" w:rsidRPr="00EA59C0">
        <w:t xml:space="preserve"> </w:t>
      </w:r>
      <w:r w:rsidRPr="00EA59C0">
        <w:t>a</w:t>
      </w:r>
      <w:r w:rsidR="00C026A6" w:rsidRPr="00EA59C0">
        <w:t xml:space="preserve"> </w:t>
      </w:r>
      <w:r w:rsidRPr="00EA59C0">
        <w:t>reasonable</w:t>
      </w:r>
      <w:r w:rsidR="00C026A6" w:rsidRPr="00EA59C0">
        <w:t xml:space="preserve"> </w:t>
      </w:r>
      <w:r w:rsidRPr="00EA59C0">
        <w:t>timeframe</w:t>
      </w:r>
      <w:r w:rsidR="00C026A6" w:rsidRPr="00EA59C0">
        <w:t xml:space="preserve"> </w:t>
      </w:r>
      <w:r w:rsidRPr="00EA59C0">
        <w:t>for</w:t>
      </w:r>
      <w:r w:rsidR="00C026A6" w:rsidRPr="00EA59C0">
        <w:t xml:space="preserve"> </w:t>
      </w:r>
      <w:r w:rsidRPr="00EA59C0">
        <w:t>hiring</w:t>
      </w:r>
      <w:r w:rsidR="00C026A6" w:rsidRPr="00EA59C0">
        <w:t xml:space="preserve"> </w:t>
      </w:r>
      <w:r w:rsidRPr="00EA59C0">
        <w:t>the</w:t>
      </w:r>
      <w:r w:rsidR="00C026A6" w:rsidRPr="00EA59C0">
        <w:t xml:space="preserve"> </w:t>
      </w:r>
      <w:r w:rsidRPr="00EA59C0">
        <w:t>project</w:t>
      </w:r>
      <w:r w:rsidR="00C026A6" w:rsidRPr="00EA59C0">
        <w:t xml:space="preserve"> </w:t>
      </w:r>
      <w:r w:rsidRPr="00EA59C0">
        <w:t>manager</w:t>
      </w:r>
      <w:r w:rsidR="00C026A6" w:rsidRPr="00EA59C0">
        <w:t xml:space="preserve"> </w:t>
      </w:r>
      <w:r w:rsidRPr="00EA59C0">
        <w:t>if</w:t>
      </w:r>
      <w:r w:rsidR="00C026A6" w:rsidRPr="00EA59C0">
        <w:t xml:space="preserve"> </w:t>
      </w:r>
      <w:r w:rsidRPr="00EA59C0">
        <w:t>one</w:t>
      </w:r>
      <w:r w:rsidR="00C026A6" w:rsidRPr="00EA59C0">
        <w:t xml:space="preserve"> </w:t>
      </w:r>
      <w:r w:rsidRPr="00EA59C0">
        <w:t>is</w:t>
      </w:r>
      <w:r w:rsidR="00C026A6" w:rsidRPr="00EA59C0">
        <w:t xml:space="preserve"> </w:t>
      </w:r>
      <w:r w:rsidRPr="00EA59C0">
        <w:t>not</w:t>
      </w:r>
      <w:r w:rsidR="00C026A6" w:rsidRPr="00EA59C0">
        <w:t xml:space="preserve"> </w:t>
      </w:r>
      <w:r w:rsidRPr="00EA59C0">
        <w:t>already</w:t>
      </w:r>
      <w:r w:rsidR="00C026A6" w:rsidRPr="00EA59C0">
        <w:t xml:space="preserve"> </w:t>
      </w:r>
      <w:r w:rsidRPr="00EA59C0">
        <w:t>identified,</w:t>
      </w:r>
      <w:r w:rsidR="00C026A6" w:rsidRPr="00EA59C0">
        <w:t xml:space="preserve"> </w:t>
      </w:r>
      <w:r w:rsidRPr="00EA59C0">
        <w:t>and</w:t>
      </w:r>
      <w:r w:rsidR="00C026A6" w:rsidRPr="00EA59C0">
        <w:t xml:space="preserve"> </w:t>
      </w:r>
      <w:r w:rsidRPr="00EA59C0">
        <w:t>describes</w:t>
      </w:r>
      <w:r w:rsidR="00C026A6" w:rsidRPr="00EA59C0">
        <w:t xml:space="preserve"> </w:t>
      </w:r>
      <w:r w:rsidRPr="00EA59C0">
        <w:t>plans</w:t>
      </w:r>
      <w:r w:rsidR="00C026A6" w:rsidRPr="00EA59C0">
        <w:t xml:space="preserve"> </w:t>
      </w:r>
      <w:r w:rsidRPr="00EA59C0">
        <w:t>to</w:t>
      </w:r>
      <w:r w:rsidR="00C026A6" w:rsidRPr="00EA59C0">
        <w:t xml:space="preserve"> </w:t>
      </w:r>
      <w:r w:rsidRPr="00EA59C0">
        <w:t>assign</w:t>
      </w:r>
      <w:r w:rsidR="00C026A6" w:rsidRPr="00EA59C0">
        <w:t xml:space="preserve"> </w:t>
      </w:r>
      <w:r w:rsidRPr="00EA59C0">
        <w:t>an</w:t>
      </w:r>
      <w:r w:rsidR="00C026A6" w:rsidRPr="00EA59C0">
        <w:t xml:space="preserve"> </w:t>
      </w:r>
      <w:r w:rsidRPr="00EA59C0">
        <w:t>interim</w:t>
      </w:r>
      <w:r w:rsidR="00C026A6" w:rsidRPr="00EA59C0">
        <w:t xml:space="preserve"> </w:t>
      </w:r>
      <w:r w:rsidRPr="00EA59C0">
        <w:t>project</w:t>
      </w:r>
      <w:r w:rsidR="00C026A6" w:rsidRPr="00EA59C0">
        <w:t xml:space="preserve"> </w:t>
      </w:r>
      <w:r w:rsidRPr="00EA59C0">
        <w:t>manager</w:t>
      </w:r>
      <w:r w:rsidR="00C026A6" w:rsidRPr="00EA59C0">
        <w:t xml:space="preserve"> </w:t>
      </w:r>
      <w:r w:rsidRPr="00EA59C0">
        <w:t>if</w:t>
      </w:r>
      <w:r w:rsidR="00C026A6" w:rsidRPr="00EA59C0">
        <w:t xml:space="preserve"> </w:t>
      </w:r>
      <w:r w:rsidRPr="00EA59C0">
        <w:t>required.</w:t>
      </w:r>
      <w:r w:rsidR="00C026A6" w:rsidRPr="00EA59C0">
        <w:t xml:space="preserve">  </w:t>
      </w:r>
      <w:r w:rsidRPr="00EA59C0">
        <w:t>For</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this</w:t>
      </w:r>
      <w:r w:rsidR="00C026A6" w:rsidRPr="00EA59C0">
        <w:t xml:space="preserve"> </w:t>
      </w:r>
      <w:r w:rsidRPr="00EA59C0">
        <w:t>includes</w:t>
      </w:r>
      <w:r w:rsidR="00C026A6" w:rsidRPr="00EA59C0">
        <w:t xml:space="preserve"> </w:t>
      </w:r>
      <w:r w:rsidRPr="00EA59C0">
        <w:t>the</w:t>
      </w:r>
      <w:r w:rsidR="00C026A6" w:rsidRPr="00EA59C0">
        <w:t xml:space="preserve"> </w:t>
      </w:r>
      <w:r w:rsidRPr="00EA59C0">
        <w:t>Lead</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Member</w:t>
      </w:r>
      <w:r w:rsidR="00C026A6" w:rsidRPr="00EA59C0">
        <w:t xml:space="preserve"> </w:t>
      </w:r>
      <w:r w:rsidRPr="00EA59C0">
        <w:t>Institutions.</w:t>
      </w:r>
      <w:r w:rsidR="00C026A6" w:rsidRPr="00EA59C0">
        <w:t xml:space="preserve">  </w:t>
      </w:r>
      <w:r w:rsidRPr="00EA59C0">
        <w:t>Additionally,</w:t>
      </w:r>
      <w:r w:rsidR="00C026A6" w:rsidRPr="00EA59C0">
        <w:t xml:space="preserve"> </w:t>
      </w:r>
      <w:r w:rsidR="00117249" w:rsidRPr="00EA59C0">
        <w:t>the</w:t>
      </w:r>
      <w:r w:rsidR="00C026A6" w:rsidRPr="00EA59C0">
        <w:t xml:space="preserve"> </w:t>
      </w:r>
      <w:r w:rsidRPr="00EA59C0">
        <w:t>consortium</w:t>
      </w:r>
      <w:r w:rsidR="00C026A6" w:rsidRPr="00EA59C0">
        <w:t xml:space="preserve"> </w:t>
      </w:r>
      <w:r w:rsidRPr="00EA59C0">
        <w:t>applicant</w:t>
      </w:r>
      <w:r w:rsidR="00C026A6" w:rsidRPr="00EA59C0">
        <w:t xml:space="preserve"> </w:t>
      </w:r>
      <w:r w:rsidRPr="00EA59C0">
        <w:t>will</w:t>
      </w:r>
      <w:r w:rsidR="00C026A6" w:rsidRPr="00EA59C0">
        <w:t xml:space="preserve"> </w:t>
      </w:r>
      <w:r w:rsidRPr="00EA59C0">
        <w:t>be</w:t>
      </w:r>
      <w:r w:rsidR="00C026A6" w:rsidRPr="00EA59C0">
        <w:t xml:space="preserve"> </w:t>
      </w:r>
      <w:r w:rsidRPr="00EA59C0">
        <w:t>rated</w:t>
      </w:r>
      <w:r w:rsidR="00C026A6" w:rsidRPr="00EA59C0">
        <w:t xml:space="preserve"> </w:t>
      </w:r>
      <w:r w:rsidRPr="00EA59C0">
        <w:t>on</w:t>
      </w:r>
      <w:r w:rsidR="00C026A6" w:rsidRPr="00EA59C0">
        <w:t xml:space="preserve"> </w:t>
      </w: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0058610B" w:rsidRPr="00EA59C0">
        <w:t>applicant</w:t>
      </w:r>
      <w:r w:rsidR="00C026A6" w:rsidRPr="00EA59C0">
        <w:t xml:space="preserve"> </w:t>
      </w:r>
      <w:r w:rsidR="00117249" w:rsidRPr="00EA59C0">
        <w:t>demonstrates</w:t>
      </w:r>
      <w:r w:rsidR="00C026A6" w:rsidRPr="00EA59C0">
        <w:t xml:space="preserve"> </w:t>
      </w:r>
      <w:r w:rsidR="00117249" w:rsidRPr="00EA59C0">
        <w:t>that</w:t>
      </w:r>
      <w:r w:rsidR="00C026A6" w:rsidRPr="00EA59C0">
        <w:t xml:space="preserve"> </w:t>
      </w:r>
      <w:r w:rsidR="00117249" w:rsidRPr="00EA59C0">
        <w:t>the</w:t>
      </w:r>
      <w:r w:rsidR="00C026A6" w:rsidRPr="00EA59C0">
        <w:t xml:space="preserve"> </w:t>
      </w:r>
      <w:r w:rsidRPr="00EA59C0">
        <w:t>Lead</w:t>
      </w:r>
      <w:r w:rsidR="00C026A6" w:rsidRPr="00EA59C0">
        <w:t xml:space="preserve"> </w:t>
      </w:r>
      <w:r w:rsidRPr="00EA59C0">
        <w:t>Institution</w:t>
      </w:r>
      <w:r w:rsidR="00C026A6" w:rsidRPr="00EA59C0">
        <w:t xml:space="preserve"> </w:t>
      </w:r>
      <w:r w:rsidR="00994813" w:rsidRPr="00EA59C0">
        <w:t>is</w:t>
      </w:r>
      <w:r w:rsidR="00C026A6" w:rsidRPr="00EA59C0">
        <w:t xml:space="preserve"> </w:t>
      </w:r>
      <w:r w:rsidR="00994813" w:rsidRPr="00EA59C0">
        <w:t>prepared</w:t>
      </w:r>
      <w:r w:rsidR="00C026A6" w:rsidRPr="00EA59C0">
        <w:t xml:space="preserve"> </w:t>
      </w:r>
      <w:r w:rsidR="00994813" w:rsidRPr="00EA59C0">
        <w:t>to</w:t>
      </w:r>
      <w:r w:rsidR="00C026A6" w:rsidRPr="00EA59C0">
        <w:t xml:space="preserve"> </w:t>
      </w:r>
      <w:r w:rsidRPr="00EA59C0">
        <w:t>effectively</w:t>
      </w:r>
      <w:r w:rsidR="00C026A6" w:rsidRPr="00EA59C0">
        <w:t xml:space="preserve"> </w:t>
      </w:r>
      <w:r w:rsidRPr="00EA59C0">
        <w:t>track</w:t>
      </w:r>
      <w:r w:rsidR="00C026A6" w:rsidRPr="00EA59C0">
        <w:t xml:space="preserve"> </w:t>
      </w:r>
      <w:r w:rsidRPr="00EA59C0">
        <w:t>the</w:t>
      </w:r>
      <w:r w:rsidR="00C026A6" w:rsidRPr="00EA59C0">
        <w:t xml:space="preserve"> </w:t>
      </w:r>
      <w:r w:rsidRPr="00EA59C0">
        <w:t>programmatic,</w:t>
      </w:r>
      <w:r w:rsidR="00C026A6" w:rsidRPr="00EA59C0">
        <w:t xml:space="preserve"> </w:t>
      </w:r>
      <w:r w:rsidRPr="00EA59C0">
        <w:t>fiscal,</w:t>
      </w:r>
      <w:r w:rsidR="00C026A6" w:rsidRPr="00EA59C0">
        <w:t xml:space="preserve"> </w:t>
      </w:r>
      <w:r w:rsidRPr="00EA59C0">
        <w:t>and</w:t>
      </w:r>
      <w:r w:rsidR="00C026A6" w:rsidRPr="00EA59C0">
        <w:t xml:space="preserve"> </w:t>
      </w:r>
      <w:r w:rsidRPr="00EA59C0">
        <w:t>administrative</w:t>
      </w:r>
      <w:r w:rsidR="00C026A6" w:rsidRPr="00EA59C0">
        <w:t xml:space="preserve"> </w:t>
      </w:r>
      <w:r w:rsidRPr="00EA59C0">
        <w:t>progress</w:t>
      </w:r>
      <w:r w:rsidR="00C026A6" w:rsidRPr="00EA59C0">
        <w:t xml:space="preserve"> </w:t>
      </w:r>
      <w:r w:rsidRPr="00EA59C0">
        <w:t>of</w:t>
      </w:r>
      <w:r w:rsidR="00C026A6" w:rsidRPr="00EA59C0">
        <w:t xml:space="preserve"> </w:t>
      </w:r>
      <w:r w:rsidRPr="00EA59C0">
        <w:t>consortium</w:t>
      </w:r>
      <w:r w:rsidR="00C026A6" w:rsidRPr="00EA59C0">
        <w:t xml:space="preserve"> </w:t>
      </w:r>
      <w:r w:rsidRPr="00EA59C0">
        <w:t>members.</w:t>
      </w:r>
      <w:r w:rsidR="00C026A6" w:rsidRPr="00EA59C0">
        <w:t xml:space="preserve"> </w:t>
      </w:r>
      <w:r w:rsidR="00E511D2" w:rsidRPr="00EA59C0">
        <w:t>(5</w:t>
      </w:r>
      <w:r w:rsidR="00C026A6" w:rsidRPr="00EA59C0">
        <w:t xml:space="preserve"> </w:t>
      </w:r>
      <w:r w:rsidR="00E511D2" w:rsidRPr="00EA59C0">
        <w:t>points)</w:t>
      </w:r>
      <w:r w:rsidR="0024446D" w:rsidRPr="00EA59C0">
        <w:t>;</w:t>
      </w:r>
    </w:p>
    <w:p w:rsidR="008F0AF6" w:rsidRPr="00EA59C0" w:rsidRDefault="008F0AF6" w:rsidP="00B505EF">
      <w:pPr>
        <w:pStyle w:val="ListParagraph"/>
      </w:pPr>
    </w:p>
    <w:p w:rsidR="00614391" w:rsidRPr="00EA59C0" w:rsidRDefault="00614391" w:rsidP="00B505EF">
      <w:pPr>
        <w:pStyle w:val="ListParagraph"/>
        <w:numPr>
          <w:ilvl w:val="3"/>
          <w:numId w:val="17"/>
        </w:numPr>
        <w:rPr>
          <w:b/>
        </w:rPr>
      </w:pPr>
      <w:r w:rsidRPr="00EA59C0">
        <w:rPr>
          <w:b/>
        </w:rPr>
        <w:t>Communication</w:t>
      </w:r>
      <w:r w:rsidR="00C026A6" w:rsidRPr="00EA59C0">
        <w:rPr>
          <w:b/>
        </w:rPr>
        <w:t xml:space="preserve"> </w:t>
      </w:r>
      <w:r w:rsidRPr="00EA59C0">
        <w:rPr>
          <w:b/>
        </w:rPr>
        <w:t>(</w:t>
      </w:r>
      <w:r w:rsidR="00545CA3" w:rsidRPr="00EA59C0">
        <w:rPr>
          <w:b/>
        </w:rPr>
        <w:t>4</w:t>
      </w:r>
      <w:r w:rsidR="00C026A6" w:rsidRPr="00EA59C0">
        <w:rPr>
          <w:b/>
        </w:rPr>
        <w:t xml:space="preserve"> </w:t>
      </w:r>
      <w:r w:rsidRPr="00EA59C0">
        <w:rPr>
          <w:b/>
        </w:rPr>
        <w:t>points)</w:t>
      </w:r>
    </w:p>
    <w:p w:rsidR="008C61C6" w:rsidRPr="00EA59C0" w:rsidRDefault="008C61C6" w:rsidP="00B505EF">
      <w:pPr>
        <w:pStyle w:val="ListParagraph"/>
        <w:ind w:left="1440"/>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describes</w:t>
      </w:r>
      <w:r w:rsidR="00C026A6" w:rsidRPr="00EA59C0">
        <w:t xml:space="preserve"> </w:t>
      </w:r>
      <w:r w:rsidRPr="00EA59C0">
        <w:t>how</w:t>
      </w:r>
      <w:r w:rsidR="00C026A6" w:rsidRPr="00EA59C0">
        <w:t xml:space="preserve"> </w:t>
      </w:r>
      <w:r w:rsidRPr="00EA59C0">
        <w:t>efficient</w:t>
      </w:r>
      <w:r w:rsidR="00C026A6" w:rsidRPr="00EA59C0">
        <w:t xml:space="preserve"> </w:t>
      </w:r>
      <w:r w:rsidRPr="00EA59C0">
        <w:t>and</w:t>
      </w:r>
      <w:r w:rsidR="00C026A6" w:rsidRPr="00EA59C0">
        <w:t xml:space="preserve"> </w:t>
      </w:r>
      <w:r w:rsidRPr="00EA59C0">
        <w:t>effective</w:t>
      </w:r>
      <w:r w:rsidR="00C026A6" w:rsidRPr="00EA59C0">
        <w:t xml:space="preserve"> </w:t>
      </w:r>
      <w:r w:rsidRPr="00EA59C0">
        <w:t>communication</w:t>
      </w:r>
      <w:r w:rsidR="00C026A6" w:rsidRPr="00EA59C0">
        <w:t xml:space="preserve"> </w:t>
      </w:r>
      <w:r w:rsidRPr="00EA59C0">
        <w:t>will</w:t>
      </w:r>
      <w:r w:rsidR="00C026A6" w:rsidRPr="00EA59C0">
        <w:t xml:space="preserve"> </w:t>
      </w:r>
      <w:r w:rsidRPr="00EA59C0">
        <w:t>take</w:t>
      </w:r>
      <w:r w:rsidR="00C026A6" w:rsidRPr="00EA59C0">
        <w:t xml:space="preserve"> </w:t>
      </w:r>
      <w:r w:rsidRPr="00EA59C0">
        <w:t>place</w:t>
      </w:r>
      <w:r w:rsidR="00C026A6" w:rsidRPr="00EA59C0">
        <w:t xml:space="preserve"> </w:t>
      </w:r>
      <w:r w:rsidRPr="00EA59C0">
        <w:t>between</w:t>
      </w:r>
      <w:r w:rsidR="00C026A6" w:rsidRPr="00EA59C0">
        <w:t xml:space="preserve"> </w:t>
      </w:r>
      <w:r w:rsidRPr="00EA59C0">
        <w:t>staff</w:t>
      </w:r>
      <w:r w:rsidR="00C026A6" w:rsidRPr="00EA59C0">
        <w:t xml:space="preserve"> </w:t>
      </w:r>
      <w:r w:rsidRPr="00EA59C0">
        <w:t>at</w:t>
      </w:r>
      <w:r w:rsidR="00C026A6" w:rsidRPr="00EA59C0">
        <w:t xml:space="preserve"> </w:t>
      </w:r>
      <w:r w:rsidRPr="00EA59C0">
        <w:t>all</w:t>
      </w:r>
      <w:r w:rsidR="00C026A6" w:rsidRPr="00EA59C0">
        <w:t xml:space="preserve"> </w:t>
      </w:r>
      <w:r w:rsidRPr="00EA59C0">
        <w:t>levels</w:t>
      </w:r>
      <w:r w:rsidR="00C026A6" w:rsidRPr="00EA59C0">
        <w:t xml:space="preserve"> </w:t>
      </w:r>
      <w:r w:rsidRPr="00EA59C0">
        <w:t>of</w:t>
      </w:r>
      <w:r w:rsidR="00C026A6" w:rsidRPr="00EA59C0">
        <w:t xml:space="preserve"> </w:t>
      </w:r>
      <w:r w:rsidRPr="00EA59C0">
        <w:t>the</w:t>
      </w:r>
      <w:r w:rsidR="00C026A6" w:rsidRPr="00EA59C0">
        <w:t xml:space="preserve"> </w:t>
      </w:r>
      <w:r w:rsidRPr="00EA59C0">
        <w:t>project,</w:t>
      </w:r>
      <w:r w:rsidR="00C026A6" w:rsidRPr="00EA59C0">
        <w:t xml:space="preserve"> </w:t>
      </w:r>
      <w:r w:rsidRPr="00EA59C0">
        <w:t>including</w:t>
      </w:r>
      <w:r w:rsidR="00C026A6" w:rsidRPr="00EA59C0">
        <w:t xml:space="preserve"> </w:t>
      </w:r>
      <w:r w:rsidRPr="00EA59C0">
        <w:t>among</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as</w:t>
      </w:r>
      <w:r w:rsidR="00C026A6" w:rsidRPr="00EA59C0">
        <w:t xml:space="preserve"> </w:t>
      </w:r>
      <w:r w:rsidRPr="00EA59C0">
        <w:t>applicable.</w:t>
      </w:r>
      <w:r w:rsidR="00C026A6" w:rsidRPr="00EA59C0">
        <w:t xml:space="preserve"> </w:t>
      </w:r>
      <w:r w:rsidRPr="00EA59C0">
        <w:t>(</w:t>
      </w:r>
      <w:r w:rsidR="00545CA3" w:rsidRPr="00EA59C0">
        <w:t>4</w:t>
      </w:r>
      <w:r w:rsidR="00C026A6" w:rsidRPr="00EA59C0">
        <w:t xml:space="preserve"> </w:t>
      </w:r>
      <w:r w:rsidRPr="00EA59C0">
        <w:t>points);</w:t>
      </w:r>
      <w:r w:rsidR="00C026A6" w:rsidRPr="00EA59C0">
        <w:t xml:space="preserve"> </w:t>
      </w:r>
      <w:r w:rsidRPr="00EA59C0">
        <w:t>and</w:t>
      </w:r>
    </w:p>
    <w:p w:rsidR="008F0AF6" w:rsidRPr="00EA59C0" w:rsidRDefault="008F0AF6" w:rsidP="00B505EF">
      <w:pPr>
        <w:pStyle w:val="ListParagraph"/>
      </w:pPr>
    </w:p>
    <w:p w:rsidR="00614391" w:rsidRPr="00EA59C0" w:rsidRDefault="00614391" w:rsidP="00B505EF">
      <w:pPr>
        <w:pStyle w:val="ListParagraph"/>
        <w:numPr>
          <w:ilvl w:val="3"/>
          <w:numId w:val="17"/>
        </w:numPr>
        <w:rPr>
          <w:b/>
        </w:rPr>
      </w:pPr>
      <w:r w:rsidRPr="00EA59C0">
        <w:rPr>
          <w:b/>
        </w:rPr>
        <w:t>Systems</w:t>
      </w:r>
      <w:r w:rsidR="00C026A6" w:rsidRPr="00EA59C0">
        <w:rPr>
          <w:b/>
        </w:rPr>
        <w:t xml:space="preserve"> </w:t>
      </w:r>
      <w:r w:rsidRPr="00EA59C0">
        <w:rPr>
          <w:b/>
        </w:rPr>
        <w:t>and</w:t>
      </w:r>
      <w:r w:rsidR="00C026A6" w:rsidRPr="00EA59C0">
        <w:rPr>
          <w:b/>
        </w:rPr>
        <w:t xml:space="preserve"> </w:t>
      </w:r>
      <w:r w:rsidRPr="00EA59C0">
        <w:rPr>
          <w:b/>
        </w:rPr>
        <w:t>Processes</w:t>
      </w:r>
      <w:r w:rsidR="00C026A6" w:rsidRPr="00EA59C0">
        <w:rPr>
          <w:b/>
        </w:rPr>
        <w:t xml:space="preserve"> </w:t>
      </w:r>
      <w:r w:rsidRPr="00EA59C0">
        <w:rPr>
          <w:b/>
        </w:rPr>
        <w:t>for</w:t>
      </w:r>
      <w:r w:rsidR="00C026A6" w:rsidRPr="00EA59C0">
        <w:rPr>
          <w:b/>
        </w:rPr>
        <w:t xml:space="preserve"> </w:t>
      </w:r>
      <w:r w:rsidRPr="00EA59C0">
        <w:rPr>
          <w:b/>
        </w:rPr>
        <w:t>Timely</w:t>
      </w:r>
      <w:r w:rsidR="00C026A6" w:rsidRPr="00EA59C0">
        <w:rPr>
          <w:b/>
        </w:rPr>
        <w:t xml:space="preserve"> </w:t>
      </w:r>
      <w:r w:rsidRPr="00EA59C0">
        <w:rPr>
          <w:b/>
        </w:rPr>
        <w:t>Reporting</w:t>
      </w:r>
      <w:r w:rsidR="00C026A6" w:rsidRPr="00EA59C0">
        <w:rPr>
          <w:b/>
        </w:rPr>
        <w:t xml:space="preserve"> </w:t>
      </w:r>
      <w:r w:rsidRPr="00EA59C0">
        <w:rPr>
          <w:b/>
        </w:rPr>
        <w:t>(3</w:t>
      </w:r>
      <w:r w:rsidR="00C026A6" w:rsidRPr="00EA59C0">
        <w:rPr>
          <w:b/>
        </w:rPr>
        <w:t xml:space="preserve"> </w:t>
      </w:r>
      <w:r w:rsidRPr="00EA59C0">
        <w:rPr>
          <w:b/>
        </w:rPr>
        <w:t>points)</w:t>
      </w:r>
    </w:p>
    <w:p w:rsidR="00A103FD" w:rsidRPr="00EA59C0" w:rsidRDefault="008C61C6" w:rsidP="00B505EF">
      <w:pPr>
        <w:pStyle w:val="ListParagraph"/>
        <w:ind w:left="1440"/>
      </w:pPr>
      <w:r w:rsidRPr="00EA59C0">
        <w:t>The</w:t>
      </w:r>
      <w:r w:rsidR="00C026A6" w:rsidRPr="00EA59C0">
        <w:t xml:space="preserve"> </w:t>
      </w:r>
      <w:r w:rsidRPr="00EA59C0">
        <w:t>extent</w:t>
      </w:r>
      <w:r w:rsidR="00C026A6" w:rsidRPr="00EA59C0">
        <w:t xml:space="preserve"> </w:t>
      </w:r>
      <w:r w:rsidRPr="00EA59C0">
        <w:t>to</w:t>
      </w:r>
      <w:r w:rsidR="00C026A6" w:rsidRPr="00EA59C0">
        <w:t xml:space="preserve"> </w:t>
      </w:r>
      <w:r w:rsidRPr="00EA59C0">
        <w:t>which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demonstrates</w:t>
      </w:r>
      <w:r w:rsidR="00C026A6" w:rsidRPr="00EA59C0">
        <w:t xml:space="preserve"> </w:t>
      </w:r>
      <w:r w:rsidRPr="00EA59C0">
        <w:t>that</w:t>
      </w:r>
      <w:r w:rsidR="00C026A6" w:rsidRPr="00EA59C0">
        <w:t xml:space="preserve"> </w:t>
      </w:r>
      <w:r w:rsidRPr="00EA59C0">
        <w:t>it</w:t>
      </w:r>
      <w:r w:rsidR="00C026A6" w:rsidRPr="00EA59C0">
        <w:t xml:space="preserve"> </w:t>
      </w:r>
      <w:r w:rsidRPr="00EA59C0">
        <w:t>will</w:t>
      </w:r>
      <w:r w:rsidR="00C026A6" w:rsidRPr="00EA59C0">
        <w:t xml:space="preserve"> </w:t>
      </w:r>
      <w:r w:rsidRPr="00EA59C0">
        <w:t>use</w:t>
      </w:r>
      <w:r w:rsidR="00C026A6" w:rsidRPr="00EA59C0">
        <w:t xml:space="preserve"> </w:t>
      </w:r>
      <w:r w:rsidRPr="00EA59C0">
        <w:t>systems</w:t>
      </w:r>
      <w:r w:rsidR="00C026A6" w:rsidRPr="00EA59C0">
        <w:t xml:space="preserve"> </w:t>
      </w:r>
      <w:r w:rsidRPr="00EA59C0">
        <w:t>and</w:t>
      </w:r>
      <w:r w:rsidR="00C026A6" w:rsidRPr="00EA59C0">
        <w:t xml:space="preserve"> </w:t>
      </w:r>
      <w:r w:rsidRPr="00EA59C0">
        <w:t>processes</w:t>
      </w:r>
      <w:r w:rsidR="00C026A6" w:rsidRPr="00EA59C0">
        <w:t xml:space="preserve"> </w:t>
      </w:r>
      <w:r w:rsidRPr="00EA59C0">
        <w:t>that</w:t>
      </w:r>
      <w:r w:rsidR="00C026A6" w:rsidRPr="00EA59C0">
        <w:t xml:space="preserve"> </w:t>
      </w:r>
      <w:r w:rsidRPr="00EA59C0">
        <w:t>enable</w:t>
      </w:r>
      <w:r w:rsidR="00C026A6" w:rsidRPr="00EA59C0">
        <w:t xml:space="preserve"> </w:t>
      </w:r>
      <w:r w:rsidRPr="00EA59C0">
        <w:t>timely</w:t>
      </w:r>
      <w:r w:rsidR="00C026A6" w:rsidRPr="00EA59C0">
        <w:t xml:space="preserve"> </w:t>
      </w:r>
      <w:r w:rsidRPr="00EA59C0">
        <w:t>and</w:t>
      </w:r>
      <w:r w:rsidR="00C026A6" w:rsidRPr="00EA59C0">
        <w:t xml:space="preserve"> </w:t>
      </w:r>
      <w:r w:rsidRPr="00EA59C0">
        <w:t>accurate</w:t>
      </w:r>
      <w:r w:rsidR="00C026A6" w:rsidRPr="00EA59C0">
        <w:t xml:space="preserve"> </w:t>
      </w:r>
      <w:r w:rsidRPr="00EA59C0">
        <w:t>financial</w:t>
      </w:r>
      <w:r w:rsidR="00C026A6" w:rsidRPr="00EA59C0">
        <w:t xml:space="preserve"> </w:t>
      </w:r>
      <w:r w:rsidRPr="00EA59C0">
        <w:t>and</w:t>
      </w:r>
      <w:r w:rsidR="00C026A6" w:rsidRPr="00EA59C0">
        <w:t xml:space="preserve"> </w:t>
      </w:r>
      <w:r w:rsidRPr="00EA59C0">
        <w:t>performance</w:t>
      </w:r>
      <w:r w:rsidR="00C026A6" w:rsidRPr="00EA59C0">
        <w:t xml:space="preserve"> </w:t>
      </w:r>
      <w:r w:rsidRPr="00EA59C0">
        <w:t>reporting,</w:t>
      </w:r>
      <w:r w:rsidR="00C026A6" w:rsidRPr="00EA59C0">
        <w:t xml:space="preserve"> </w:t>
      </w:r>
      <w:r w:rsidRPr="00EA59C0">
        <w:t>identifies</w:t>
      </w:r>
      <w:r w:rsidR="00C026A6" w:rsidRPr="00EA59C0">
        <w:t xml:space="preserve"> </w:t>
      </w:r>
      <w:r w:rsidRPr="00EA59C0">
        <w:t>previous</w:t>
      </w:r>
      <w:r w:rsidR="00C026A6" w:rsidRPr="00EA59C0">
        <w:t xml:space="preserve"> </w:t>
      </w:r>
      <w:r w:rsidRPr="00EA59C0">
        <w:t>experience</w:t>
      </w:r>
      <w:r w:rsidR="00C026A6" w:rsidRPr="00EA59C0">
        <w:t xml:space="preserve"> </w:t>
      </w:r>
      <w:r w:rsidRPr="00EA59C0">
        <w:t>in</w:t>
      </w:r>
      <w:r w:rsidR="00C026A6" w:rsidRPr="00EA59C0">
        <w:t xml:space="preserve"> </w:t>
      </w:r>
      <w:r w:rsidRPr="00EA59C0">
        <w:t>submitting</w:t>
      </w:r>
      <w:r w:rsidR="00C026A6" w:rsidRPr="00EA59C0">
        <w:t xml:space="preserve"> </w:t>
      </w:r>
      <w:r w:rsidRPr="00EA59C0">
        <w:t>reports</w:t>
      </w:r>
      <w:r w:rsidR="00C026A6" w:rsidRPr="00EA59C0">
        <w:t xml:space="preserve"> </w:t>
      </w:r>
      <w:r w:rsidRPr="00EA59C0">
        <w:t>on</w:t>
      </w:r>
      <w:r w:rsidR="00C026A6" w:rsidRPr="00EA59C0">
        <w:t xml:space="preserve"> </w:t>
      </w:r>
      <w:r w:rsidRPr="00EA59C0">
        <w:t>time,</w:t>
      </w:r>
      <w:r w:rsidR="00C026A6" w:rsidRPr="00EA59C0">
        <w:t xml:space="preserve"> </w:t>
      </w:r>
      <w:r w:rsidRPr="00EA59C0">
        <w:t>and</w:t>
      </w:r>
      <w:r w:rsidR="00C026A6" w:rsidRPr="00EA59C0">
        <w:t xml:space="preserve"> </w:t>
      </w:r>
      <w:r w:rsidRPr="00EA59C0">
        <w:t>describes</w:t>
      </w:r>
      <w:r w:rsidR="00C026A6" w:rsidRPr="00EA59C0">
        <w:t xml:space="preserve"> </w:t>
      </w:r>
      <w:r w:rsidRPr="00EA59C0">
        <w:t>the</w:t>
      </w:r>
      <w:r w:rsidR="00C026A6" w:rsidRPr="00EA59C0">
        <w:t xml:space="preserve"> </w:t>
      </w:r>
      <w:r w:rsidRPr="00EA59C0">
        <w:t>procurement</w:t>
      </w:r>
      <w:r w:rsidR="00C026A6" w:rsidRPr="00EA59C0">
        <w:t xml:space="preserve"> </w:t>
      </w:r>
      <w:r w:rsidRPr="00EA59C0">
        <w:t>processes,</w:t>
      </w:r>
      <w:r w:rsidR="00C026A6" w:rsidRPr="00EA59C0">
        <w:t xml:space="preserve"> </w:t>
      </w:r>
      <w:r w:rsidRPr="00EA59C0">
        <w:t>systems,</w:t>
      </w:r>
      <w:r w:rsidR="00C026A6" w:rsidRPr="00EA59C0">
        <w:t xml:space="preserve"> </w:t>
      </w:r>
      <w:r w:rsidRPr="00EA59C0">
        <w:t>and</w:t>
      </w:r>
      <w:r w:rsidR="00C026A6" w:rsidRPr="00EA59C0">
        <w:t xml:space="preserve"> </w:t>
      </w:r>
      <w:r w:rsidRPr="00EA59C0">
        <w:t>procedures</w:t>
      </w:r>
      <w:r w:rsidR="00C026A6" w:rsidRPr="00EA59C0">
        <w:t xml:space="preserve"> </w:t>
      </w:r>
      <w:r w:rsidRPr="00EA59C0">
        <w:t>of</w:t>
      </w:r>
      <w:r w:rsidR="00C026A6" w:rsidRPr="00EA59C0">
        <w:t xml:space="preserve"> </w:t>
      </w:r>
      <w:r w:rsidRPr="00EA59C0">
        <w:t>the</w:t>
      </w:r>
      <w:r w:rsidR="00C026A6" w:rsidRPr="00EA59C0">
        <w:t xml:space="preserve"> </w:t>
      </w:r>
      <w:r w:rsidRPr="00EA59C0">
        <w:t>applicant</w:t>
      </w:r>
      <w:r w:rsidR="00C026A6" w:rsidRPr="00EA59C0">
        <w:t xml:space="preserve"> </w:t>
      </w:r>
      <w:r w:rsidRPr="00EA59C0">
        <w:t>(and,</w:t>
      </w:r>
      <w:r w:rsidR="00C026A6" w:rsidRPr="00EA59C0">
        <w:t xml:space="preserve"> </w:t>
      </w:r>
      <w:r w:rsidRPr="00EA59C0">
        <w:t>if</w:t>
      </w:r>
      <w:r w:rsidR="00C026A6" w:rsidRPr="00EA59C0">
        <w:t xml:space="preserve"> </w:t>
      </w:r>
      <w:r w:rsidRPr="00EA59C0">
        <w:t>applicable,</w:t>
      </w:r>
      <w:r w:rsidR="00C026A6" w:rsidRPr="00EA59C0">
        <w:t xml:space="preserve"> </w:t>
      </w:r>
      <w:r w:rsidRPr="00EA59C0">
        <w:t>those</w:t>
      </w:r>
      <w:r w:rsidR="00C026A6" w:rsidRPr="00EA59C0">
        <w:t xml:space="preserve"> </w:t>
      </w:r>
      <w:r w:rsidRPr="00EA59C0">
        <w:t>of</w:t>
      </w:r>
      <w:r w:rsidR="00C026A6" w:rsidRPr="00EA59C0">
        <w:t xml:space="preserve"> </w:t>
      </w:r>
      <w:r w:rsidR="00EC0DD7" w:rsidRPr="00EA59C0">
        <w:t>the</w:t>
      </w:r>
      <w:r w:rsidR="00C026A6" w:rsidRPr="00EA59C0">
        <w:t xml:space="preserve"> </w:t>
      </w:r>
      <w:r w:rsidR="00EC0DD7" w:rsidRPr="00EA59C0">
        <w:t>Lead</w:t>
      </w:r>
      <w:r w:rsidR="00C026A6" w:rsidRPr="00EA59C0">
        <w:t xml:space="preserve"> </w:t>
      </w:r>
      <w:r w:rsidR="00EC0DD7" w:rsidRPr="00EA59C0">
        <w:t>Institution</w:t>
      </w:r>
      <w:r w:rsidR="00C026A6" w:rsidRPr="00EA59C0">
        <w:t xml:space="preserve"> </w:t>
      </w:r>
      <w:r w:rsidR="00EC0DD7" w:rsidRPr="00EA59C0">
        <w:t>and</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(3</w:t>
      </w:r>
      <w:r w:rsidR="00C026A6" w:rsidRPr="00EA59C0">
        <w:t xml:space="preserve"> </w:t>
      </w:r>
      <w:r w:rsidRPr="00EA59C0">
        <w:t>points)</w:t>
      </w:r>
    </w:p>
    <w:p w:rsidR="00C026A6" w:rsidRPr="00EA59C0" w:rsidRDefault="00C026A6" w:rsidP="00B505EF">
      <w:pPr>
        <w:pStyle w:val="ListParagraph"/>
        <w:ind w:left="360"/>
        <w:rPr>
          <w:b/>
        </w:rPr>
      </w:pPr>
    </w:p>
    <w:p w:rsidR="00A5757C" w:rsidRPr="00EA59C0" w:rsidRDefault="00A5757C" w:rsidP="00B505EF">
      <w:pPr>
        <w:pStyle w:val="Heading2"/>
        <w:numPr>
          <w:ilvl w:val="1"/>
          <w:numId w:val="17"/>
        </w:numPr>
        <w:spacing w:line="240" w:lineRule="auto"/>
        <w:rPr>
          <w:rFonts w:ascii="Times New Roman" w:hAnsi="Times New Roman"/>
          <w:i w:val="0"/>
        </w:rPr>
      </w:pPr>
      <w:r w:rsidRPr="00EA59C0">
        <w:rPr>
          <w:rFonts w:ascii="Times New Roman" w:hAnsi="Times New Roman"/>
          <w:i w:val="0"/>
        </w:rPr>
        <w:t>Evaluation</w:t>
      </w:r>
      <w:r w:rsidR="00C026A6" w:rsidRPr="00EA59C0">
        <w:rPr>
          <w:rFonts w:ascii="Times New Roman" w:hAnsi="Times New Roman"/>
          <w:i w:val="0"/>
        </w:rPr>
        <w:t xml:space="preserve"> </w:t>
      </w:r>
      <w:r w:rsidRPr="00EA59C0">
        <w:rPr>
          <w:rFonts w:ascii="Times New Roman" w:hAnsi="Times New Roman"/>
          <w:i w:val="0"/>
        </w:rPr>
        <w:t>of</w:t>
      </w:r>
      <w:r w:rsidR="00C026A6" w:rsidRPr="00EA59C0">
        <w:rPr>
          <w:rFonts w:ascii="Times New Roman" w:hAnsi="Times New Roman"/>
          <w:i w:val="0"/>
        </w:rPr>
        <w:t xml:space="preserve"> </w:t>
      </w:r>
      <w:r w:rsidRPr="00EA59C0">
        <w:rPr>
          <w:rFonts w:ascii="Times New Roman" w:hAnsi="Times New Roman"/>
          <w:i w:val="0"/>
        </w:rPr>
        <w:t>Supplementary</w:t>
      </w:r>
      <w:r w:rsidR="00C026A6" w:rsidRPr="00EA59C0">
        <w:rPr>
          <w:rFonts w:ascii="Times New Roman" w:hAnsi="Times New Roman"/>
          <w:i w:val="0"/>
        </w:rPr>
        <w:t xml:space="preserve"> </w:t>
      </w:r>
      <w:r w:rsidRPr="00EA59C0">
        <w:rPr>
          <w:rFonts w:ascii="Times New Roman" w:hAnsi="Times New Roman"/>
          <w:i w:val="0"/>
        </w:rPr>
        <w:t>Materials</w:t>
      </w:r>
      <w:r w:rsidR="00C026A6" w:rsidRPr="00EA59C0">
        <w:rPr>
          <w:rFonts w:ascii="Times New Roman" w:hAnsi="Times New Roman"/>
          <w:i w:val="0"/>
        </w:rPr>
        <w:t xml:space="preserve"> </w:t>
      </w:r>
      <w:r w:rsidRPr="00EA59C0">
        <w:rPr>
          <w:rFonts w:ascii="Times New Roman" w:hAnsi="Times New Roman"/>
          <w:i w:val="0"/>
        </w:rPr>
        <w:t>for</w:t>
      </w:r>
      <w:r w:rsidR="00C026A6" w:rsidRPr="00EA59C0">
        <w:rPr>
          <w:rFonts w:ascii="Times New Roman" w:hAnsi="Times New Roman"/>
          <w:i w:val="0"/>
        </w:rPr>
        <w:t xml:space="preserve"> </w:t>
      </w:r>
      <w:r w:rsidRPr="00EA59C0">
        <w:rPr>
          <w:rFonts w:ascii="Times New Roman" w:hAnsi="Times New Roman"/>
          <w:i w:val="0"/>
        </w:rPr>
        <w:t>Applications</w:t>
      </w:r>
      <w:r w:rsidR="00C026A6" w:rsidRPr="00EA59C0">
        <w:rPr>
          <w:rFonts w:ascii="Times New Roman" w:hAnsi="Times New Roman"/>
          <w:i w:val="0"/>
        </w:rPr>
        <w:t xml:space="preserve"> </w:t>
      </w:r>
      <w:r w:rsidRPr="00EA59C0">
        <w:rPr>
          <w:rFonts w:ascii="Times New Roman" w:hAnsi="Times New Roman"/>
          <w:i w:val="0"/>
        </w:rPr>
        <w:t>Requesting</w:t>
      </w:r>
      <w:r w:rsidR="00C026A6" w:rsidRPr="00EA59C0">
        <w:rPr>
          <w:rFonts w:ascii="Times New Roman" w:hAnsi="Times New Roman"/>
          <w:i w:val="0"/>
        </w:rPr>
        <w:t xml:space="preserve"> </w:t>
      </w:r>
      <w:r w:rsidRPr="00EA59C0">
        <w:rPr>
          <w:rFonts w:ascii="Times New Roman" w:hAnsi="Times New Roman"/>
          <w:i w:val="0"/>
        </w:rPr>
        <w:t>Funds</w:t>
      </w:r>
      <w:r w:rsidR="00C026A6" w:rsidRPr="00EA59C0">
        <w:rPr>
          <w:rFonts w:ascii="Times New Roman" w:hAnsi="Times New Roman"/>
          <w:i w:val="0"/>
        </w:rPr>
        <w:t xml:space="preserve"> </w:t>
      </w:r>
      <w:r w:rsidRPr="00EA59C0">
        <w:rPr>
          <w:rFonts w:ascii="Times New Roman" w:hAnsi="Times New Roman"/>
          <w:i w:val="0"/>
        </w:rPr>
        <w:t>above</w:t>
      </w:r>
      <w:r w:rsidR="00C026A6" w:rsidRPr="00EA59C0">
        <w:rPr>
          <w:rFonts w:ascii="Times New Roman" w:hAnsi="Times New Roman"/>
          <w:i w:val="0"/>
        </w:rPr>
        <w:t xml:space="preserve"> </w:t>
      </w:r>
      <w:r w:rsidRPr="00EA59C0">
        <w:rPr>
          <w:rFonts w:ascii="Times New Roman" w:hAnsi="Times New Roman"/>
          <w:i w:val="0"/>
        </w:rPr>
        <w:t>the</w:t>
      </w:r>
      <w:r w:rsidR="00C026A6" w:rsidRPr="00EA59C0">
        <w:rPr>
          <w:rFonts w:ascii="Times New Roman" w:hAnsi="Times New Roman"/>
          <w:i w:val="0"/>
        </w:rPr>
        <w:t xml:space="preserve"> </w:t>
      </w:r>
      <w:r w:rsidRPr="00EA59C0">
        <w:rPr>
          <w:rFonts w:ascii="Times New Roman" w:hAnsi="Times New Roman"/>
          <w:i w:val="0"/>
        </w:rPr>
        <w:t>Award</w:t>
      </w:r>
      <w:r w:rsidR="00C026A6" w:rsidRPr="00EA59C0">
        <w:rPr>
          <w:rFonts w:ascii="Times New Roman" w:hAnsi="Times New Roman"/>
          <w:i w:val="0"/>
        </w:rPr>
        <w:t xml:space="preserve"> </w:t>
      </w:r>
      <w:r w:rsidRPr="00EA59C0">
        <w:rPr>
          <w:rFonts w:ascii="Times New Roman" w:hAnsi="Times New Roman"/>
          <w:i w:val="0"/>
        </w:rPr>
        <w:t>Amount</w:t>
      </w:r>
      <w:r w:rsidR="00C026A6" w:rsidRPr="00EA59C0">
        <w:rPr>
          <w:rFonts w:ascii="Times New Roman" w:hAnsi="Times New Roman"/>
          <w:i w:val="0"/>
        </w:rPr>
        <w:t xml:space="preserve"> </w:t>
      </w:r>
      <w:r w:rsidRPr="00EA59C0">
        <w:rPr>
          <w:rFonts w:ascii="Times New Roman" w:hAnsi="Times New Roman"/>
          <w:i w:val="0"/>
        </w:rPr>
        <w:t>Ceiling</w:t>
      </w:r>
    </w:p>
    <w:p w:rsidR="00A5757C" w:rsidRPr="00EA59C0" w:rsidRDefault="00A5757C" w:rsidP="00B505EF">
      <w:pPr>
        <w:pStyle w:val="ListParagraph"/>
      </w:pPr>
    </w:p>
    <w:p w:rsidR="00A5757C" w:rsidRPr="00EA59C0" w:rsidRDefault="00A5757C" w:rsidP="00B505EF">
      <w:pPr>
        <w:pStyle w:val="ListParagraph"/>
      </w:pPr>
      <w:r w:rsidRPr="00EA59C0">
        <w:t>As</w:t>
      </w:r>
      <w:r w:rsidR="00C026A6" w:rsidRPr="00EA59C0">
        <w:t xml:space="preserve"> </w:t>
      </w:r>
      <w:r w:rsidRPr="00EA59C0">
        <w:t>specified</w:t>
      </w:r>
      <w:r w:rsidR="00C026A6" w:rsidRPr="00EA59C0">
        <w:t xml:space="preserve"> </w:t>
      </w:r>
      <w:r w:rsidRPr="00EA59C0">
        <w:t>in</w:t>
      </w:r>
      <w:r w:rsidR="00C026A6" w:rsidRPr="00EA59C0">
        <w:t xml:space="preserve"> </w:t>
      </w:r>
      <w:r w:rsidRPr="00EA59C0">
        <w:t>Section</w:t>
      </w:r>
      <w:r w:rsidR="00C026A6" w:rsidRPr="00EA59C0">
        <w:t xml:space="preserve"> </w:t>
      </w:r>
      <w:r w:rsidRPr="00EA59C0">
        <w:t>II.A</w:t>
      </w:r>
      <w:r w:rsidR="00985D63" w:rsidRPr="00EA59C0">
        <w:t>.3</w:t>
      </w:r>
      <w:r w:rsidRPr="00EA59C0">
        <w:t>,</w:t>
      </w:r>
      <w:r w:rsidR="00C026A6" w:rsidRPr="00EA59C0">
        <w:t xml:space="preserve"> </w:t>
      </w:r>
      <w:r w:rsidR="00F31737" w:rsidRPr="00EA59C0">
        <w:t xml:space="preserve">single institution grants may exceed the award amount ceiling by extending their proposed project to include option 3 below, and </w:t>
      </w:r>
      <w:r w:rsidR="0055370A" w:rsidRPr="00EA59C0">
        <w:t xml:space="preserve">consortium </w:t>
      </w:r>
      <w:r w:rsidRPr="00EA59C0">
        <w:t>grants</w:t>
      </w:r>
      <w:r w:rsidR="00C026A6" w:rsidRPr="00EA59C0">
        <w:t xml:space="preserve"> </w:t>
      </w:r>
      <w:r w:rsidRPr="00EA59C0">
        <w:t>may</w:t>
      </w:r>
      <w:r w:rsidR="00C026A6" w:rsidRPr="00EA59C0">
        <w:t xml:space="preserve"> </w:t>
      </w:r>
      <w:r w:rsidRPr="00EA59C0">
        <w:t>exceed</w:t>
      </w:r>
      <w:r w:rsidR="00C026A6" w:rsidRPr="00EA59C0">
        <w:t xml:space="preserve"> </w:t>
      </w:r>
      <w:r w:rsidRPr="00EA59C0">
        <w:t>the</w:t>
      </w:r>
      <w:r w:rsidR="00C026A6" w:rsidRPr="00EA59C0">
        <w:t xml:space="preserve"> </w:t>
      </w:r>
      <w:r w:rsidRPr="00EA59C0">
        <w:t>award</w:t>
      </w:r>
      <w:r w:rsidR="00C026A6" w:rsidRPr="00EA59C0">
        <w:t xml:space="preserve"> </w:t>
      </w:r>
      <w:r w:rsidRPr="00EA59C0">
        <w:t>amount</w:t>
      </w:r>
      <w:r w:rsidR="00C026A6" w:rsidRPr="00EA59C0">
        <w:t xml:space="preserve"> </w:t>
      </w:r>
      <w:r w:rsidRPr="00EA59C0">
        <w:t>ceiling</w:t>
      </w:r>
      <w:r w:rsidR="00C026A6" w:rsidRPr="00EA59C0">
        <w:t xml:space="preserve"> </w:t>
      </w:r>
      <w:r w:rsidRPr="00EA59C0">
        <w:t>by</w:t>
      </w:r>
      <w:r w:rsidR="00C026A6" w:rsidRPr="00EA59C0">
        <w:t xml:space="preserve"> </w:t>
      </w:r>
      <w:r w:rsidR="00FD5E8D" w:rsidRPr="00EA59C0">
        <w:t>extending</w:t>
      </w:r>
      <w:r w:rsidR="00C026A6" w:rsidRPr="00EA59C0">
        <w:t xml:space="preserve"> </w:t>
      </w:r>
      <w:r w:rsidR="00FD5E8D" w:rsidRPr="00EA59C0">
        <w:t>their</w:t>
      </w:r>
      <w:r w:rsidR="00C026A6" w:rsidRPr="00EA59C0">
        <w:t xml:space="preserve"> </w:t>
      </w:r>
      <w:r w:rsidR="00FD5E8D" w:rsidRPr="00EA59C0">
        <w:t>proposed</w:t>
      </w:r>
      <w:r w:rsidR="00C026A6" w:rsidRPr="00EA59C0">
        <w:t xml:space="preserve"> </w:t>
      </w:r>
      <w:r w:rsidR="00FD5E8D" w:rsidRPr="00EA59C0">
        <w:t>projects</w:t>
      </w:r>
      <w:r w:rsidR="00C026A6" w:rsidRPr="00EA59C0">
        <w:t xml:space="preserve"> </w:t>
      </w:r>
      <w:r w:rsidR="00FD5E8D" w:rsidRPr="00EA59C0">
        <w:t>to</w:t>
      </w:r>
      <w:r w:rsidR="00C026A6" w:rsidRPr="00EA59C0">
        <w:t xml:space="preserve"> </w:t>
      </w:r>
      <w:r w:rsidR="00FD5E8D" w:rsidRPr="00EA59C0">
        <w:t>include</w:t>
      </w:r>
      <w:r w:rsidR="00C026A6" w:rsidRPr="00EA59C0">
        <w:t xml:space="preserve"> </w:t>
      </w:r>
      <w:r w:rsidR="00E22727" w:rsidRPr="00EA59C0">
        <w:t xml:space="preserve">only </w:t>
      </w:r>
      <w:r w:rsidR="00FD5E8D" w:rsidRPr="00EA59C0">
        <w:t>one</w:t>
      </w:r>
      <w:r w:rsidR="00C026A6" w:rsidRPr="00EA59C0">
        <w:t xml:space="preserve"> </w:t>
      </w:r>
      <w:r w:rsidR="00FD5E8D" w:rsidRPr="00EA59C0">
        <w:t>of</w:t>
      </w:r>
      <w:r w:rsidR="00C026A6" w:rsidRPr="00EA59C0">
        <w:t xml:space="preserve"> </w:t>
      </w:r>
      <w:r w:rsidR="00FD5E8D" w:rsidRPr="00EA59C0">
        <w:t>the</w:t>
      </w:r>
      <w:r w:rsidR="00C026A6" w:rsidRPr="00EA59C0">
        <w:t xml:space="preserve"> </w:t>
      </w:r>
      <w:r w:rsidR="00FD5E8D" w:rsidRPr="00EA59C0">
        <w:t>following</w:t>
      </w:r>
      <w:r w:rsidR="00C026A6" w:rsidRPr="00EA59C0">
        <w:t xml:space="preserve"> </w:t>
      </w:r>
      <w:r w:rsidR="0078298B" w:rsidRPr="00EA59C0">
        <w:t>options</w:t>
      </w:r>
      <w:r w:rsidR="00FD5E8D" w:rsidRPr="00EA59C0">
        <w:t>:</w:t>
      </w:r>
    </w:p>
    <w:p w:rsidR="00FD5E8D" w:rsidRPr="00EA59C0" w:rsidRDefault="00FD5E8D" w:rsidP="00B505EF">
      <w:pPr>
        <w:pStyle w:val="ListParagraph"/>
      </w:pPr>
    </w:p>
    <w:p w:rsidR="00A5757C" w:rsidRPr="00EA59C0" w:rsidRDefault="00FD5E8D" w:rsidP="00FA0E98">
      <w:pPr>
        <w:pStyle w:val="ListParagraph"/>
        <w:numPr>
          <w:ilvl w:val="0"/>
          <w:numId w:val="15"/>
        </w:numPr>
        <w:ind w:left="1080"/>
      </w:pPr>
      <w:r w:rsidRPr="00EA59C0">
        <w:t>Advance</w:t>
      </w:r>
      <w:r w:rsidR="00C026A6" w:rsidRPr="00EA59C0">
        <w:t xml:space="preserve"> </w:t>
      </w:r>
      <w:r w:rsidRPr="00EA59C0">
        <w:t>State</w:t>
      </w:r>
      <w:r w:rsidR="00C026A6" w:rsidRPr="00EA59C0">
        <w:t xml:space="preserve"> </w:t>
      </w:r>
      <w:r w:rsidRPr="00EA59C0">
        <w:t>Career</w:t>
      </w:r>
      <w:r w:rsidR="00C026A6" w:rsidRPr="00EA59C0">
        <w:t xml:space="preserve"> </w:t>
      </w:r>
      <w:r w:rsidRPr="00EA59C0">
        <w:t>Pathway</w:t>
      </w:r>
      <w:r w:rsidR="00C026A6" w:rsidRPr="00EA59C0">
        <w:t xml:space="preserve"> </w:t>
      </w:r>
      <w:r w:rsidRPr="00EA59C0">
        <w:t>System</w:t>
      </w:r>
    </w:p>
    <w:p w:rsidR="00FD5E8D" w:rsidRPr="00EA59C0" w:rsidRDefault="00FD5E8D" w:rsidP="00FA0E98">
      <w:pPr>
        <w:pStyle w:val="ListParagraph"/>
        <w:numPr>
          <w:ilvl w:val="0"/>
          <w:numId w:val="15"/>
        </w:numPr>
        <w:ind w:left="1080"/>
      </w:pPr>
      <w:r w:rsidRPr="00EA59C0">
        <w:t>Improve</w:t>
      </w:r>
      <w:r w:rsidR="00C026A6" w:rsidRPr="00EA59C0">
        <w:t xml:space="preserve"> </w:t>
      </w:r>
      <w:r w:rsidRPr="00EA59C0">
        <w:t>Statewide</w:t>
      </w:r>
      <w:r w:rsidR="00C026A6" w:rsidRPr="00EA59C0">
        <w:t xml:space="preserve"> </w:t>
      </w:r>
      <w:r w:rsidRPr="00EA59C0">
        <w:t>Data</w:t>
      </w:r>
      <w:r w:rsidR="00C026A6" w:rsidRPr="00EA59C0">
        <w:t xml:space="preserve"> </w:t>
      </w:r>
      <w:r w:rsidR="00157918" w:rsidRPr="00EA59C0">
        <w:t>Collection</w:t>
      </w:r>
      <w:r w:rsidRPr="00EA59C0">
        <w:t>,</w:t>
      </w:r>
      <w:r w:rsidR="00C026A6" w:rsidRPr="00EA59C0">
        <w:t xml:space="preserve"> </w:t>
      </w:r>
      <w:r w:rsidRPr="00EA59C0">
        <w:t>Integration,</w:t>
      </w:r>
      <w:r w:rsidR="00C026A6" w:rsidRPr="00EA59C0">
        <w:t xml:space="preserve"> </w:t>
      </w:r>
      <w:r w:rsidRPr="00EA59C0">
        <w:t>and</w:t>
      </w:r>
      <w:r w:rsidR="00C026A6" w:rsidRPr="00EA59C0">
        <w:t xml:space="preserve"> </w:t>
      </w:r>
      <w:r w:rsidRPr="00EA59C0">
        <w:t>Use</w:t>
      </w:r>
    </w:p>
    <w:p w:rsidR="000A2CDE" w:rsidRPr="00EA59C0" w:rsidRDefault="00E22727" w:rsidP="00FA0E98">
      <w:pPr>
        <w:pStyle w:val="ListParagraph"/>
        <w:numPr>
          <w:ilvl w:val="0"/>
          <w:numId w:val="15"/>
        </w:numPr>
        <w:ind w:left="1080"/>
      </w:pPr>
      <w:r w:rsidRPr="00EA59C0">
        <w:t>Create Nationally</w:t>
      </w:r>
      <w:r w:rsidR="00C026A6" w:rsidRPr="00EA59C0">
        <w:t xml:space="preserve"> </w:t>
      </w:r>
      <w:r w:rsidR="000A2CDE" w:rsidRPr="00EA59C0">
        <w:t>Recognized</w:t>
      </w:r>
      <w:r w:rsidR="002F56F9" w:rsidRPr="00EA59C0">
        <w:t xml:space="preserve"> Competencies</w:t>
      </w:r>
      <w:r w:rsidR="00C026A6" w:rsidRPr="00EA59C0">
        <w:t xml:space="preserve"> </w:t>
      </w:r>
      <w:r w:rsidRPr="00EA59C0">
        <w:t xml:space="preserve">and </w:t>
      </w:r>
      <w:r w:rsidR="009D78AD" w:rsidRPr="00EA59C0">
        <w:t>Credentials</w:t>
      </w:r>
    </w:p>
    <w:p w:rsidR="00FD5E8D" w:rsidRPr="00EA59C0" w:rsidRDefault="00FD5E8D" w:rsidP="00FA0E98">
      <w:pPr>
        <w:pStyle w:val="ListParagraph"/>
        <w:ind w:left="360"/>
      </w:pPr>
    </w:p>
    <w:p w:rsidR="0078298B" w:rsidRPr="00EA59C0" w:rsidRDefault="0078298B" w:rsidP="00FA0E98">
      <w:pPr>
        <w:pStyle w:val="ListParagraph"/>
      </w:pPr>
      <w:r w:rsidRPr="00EA59C0">
        <w:t>Applicants</w:t>
      </w:r>
      <w:r w:rsidR="00C026A6" w:rsidRPr="00EA59C0">
        <w:t xml:space="preserve"> </w:t>
      </w:r>
      <w:r w:rsidRPr="00EA59C0">
        <w:t>must</w:t>
      </w:r>
      <w:r w:rsidR="00C026A6" w:rsidRPr="00EA59C0">
        <w:t xml:space="preserve"> </w:t>
      </w:r>
      <w:r w:rsidRPr="00EA59C0">
        <w:t>provide</w:t>
      </w:r>
      <w:r w:rsidR="00C026A6" w:rsidRPr="00EA59C0">
        <w:t xml:space="preserve"> </w:t>
      </w:r>
      <w:r w:rsidRPr="00EA59C0">
        <w:t>supplementary</w:t>
      </w:r>
      <w:r w:rsidR="00C026A6" w:rsidRPr="00EA59C0">
        <w:t xml:space="preserve"> </w:t>
      </w:r>
      <w:r w:rsidRPr="00EA59C0">
        <w:t>materials</w:t>
      </w:r>
      <w:r w:rsidR="00C026A6" w:rsidRPr="00EA59C0">
        <w:t xml:space="preserve"> </w:t>
      </w:r>
      <w:r w:rsidRPr="00EA59C0">
        <w:t>as</w:t>
      </w:r>
      <w:r w:rsidR="00C026A6" w:rsidRPr="00EA59C0">
        <w:t xml:space="preserve"> </w:t>
      </w:r>
      <w:r w:rsidRPr="00EA59C0">
        <w:t>required</w:t>
      </w:r>
      <w:r w:rsidR="00C026A6" w:rsidRPr="00EA59C0">
        <w:t xml:space="preserve"> </w:t>
      </w:r>
      <w:r w:rsidRPr="00EA59C0">
        <w:t>in</w:t>
      </w:r>
      <w:r w:rsidR="00C026A6" w:rsidRPr="00EA59C0">
        <w:t xml:space="preserve"> </w:t>
      </w:r>
      <w:r w:rsidRPr="00EA59C0">
        <w:t>Section</w:t>
      </w:r>
      <w:r w:rsidR="00C026A6" w:rsidRPr="00EA59C0">
        <w:t xml:space="preserve"> </w:t>
      </w:r>
      <w:r w:rsidRPr="00EA59C0">
        <w:t>V.B.</w:t>
      </w:r>
      <w:r w:rsidR="004A7B74" w:rsidRPr="00EA59C0">
        <w:t>1</w:t>
      </w:r>
      <w:r w:rsidR="00C026A6" w:rsidRPr="00EA59C0">
        <w:t xml:space="preserve"> </w:t>
      </w:r>
      <w:r w:rsidRPr="00EA59C0">
        <w:t>of</w:t>
      </w:r>
      <w:r w:rsidR="00C026A6" w:rsidRPr="00EA59C0">
        <w:t xml:space="preserve"> </w:t>
      </w:r>
      <w:r w:rsidRPr="00EA59C0">
        <w:t>the</w:t>
      </w:r>
      <w:r w:rsidR="00C026A6" w:rsidRPr="00EA59C0">
        <w:t xml:space="preserve"> </w:t>
      </w:r>
      <w:r w:rsidRPr="00EA59C0">
        <w:t>SGA</w:t>
      </w:r>
      <w:r w:rsidR="00C026A6" w:rsidRPr="00EA59C0">
        <w:t xml:space="preserve"> </w:t>
      </w:r>
      <w:r w:rsidRPr="00EA59C0">
        <w:t>to</w:t>
      </w:r>
      <w:r w:rsidR="00C026A6" w:rsidRPr="00EA59C0">
        <w:t xml:space="preserve"> </w:t>
      </w:r>
      <w:r w:rsidRPr="00EA59C0">
        <w:t>be</w:t>
      </w:r>
      <w:r w:rsidR="00C026A6" w:rsidRPr="00EA59C0">
        <w:t xml:space="preserve"> </w:t>
      </w:r>
      <w:r w:rsidRPr="00EA59C0">
        <w:t>considered</w:t>
      </w:r>
      <w:r w:rsidR="00C026A6" w:rsidRPr="00EA59C0">
        <w:t xml:space="preserve"> </w:t>
      </w:r>
      <w:r w:rsidRPr="00EA59C0">
        <w:t>for</w:t>
      </w:r>
      <w:r w:rsidR="00C026A6" w:rsidRPr="00EA59C0">
        <w:t xml:space="preserve"> </w:t>
      </w:r>
      <w:r w:rsidRPr="00EA59C0">
        <w:t>funds</w:t>
      </w:r>
      <w:r w:rsidR="00C026A6" w:rsidRPr="00EA59C0">
        <w:t xml:space="preserve"> </w:t>
      </w:r>
      <w:r w:rsidRPr="00EA59C0">
        <w:t>above</w:t>
      </w:r>
      <w:r w:rsidR="00C026A6" w:rsidRPr="00EA59C0">
        <w:t xml:space="preserve"> </w:t>
      </w:r>
      <w:r w:rsidRPr="00EA59C0">
        <w:t>the</w:t>
      </w:r>
      <w:r w:rsidR="00C026A6" w:rsidRPr="00EA59C0">
        <w:t xml:space="preserve"> </w:t>
      </w:r>
      <w:r w:rsidRPr="00EA59C0">
        <w:t>award</w:t>
      </w:r>
      <w:r w:rsidR="00C026A6" w:rsidRPr="00EA59C0">
        <w:t xml:space="preserve"> </w:t>
      </w:r>
      <w:r w:rsidRPr="00EA59C0">
        <w:t>amount</w:t>
      </w:r>
      <w:r w:rsidR="00C026A6" w:rsidRPr="00EA59C0">
        <w:t xml:space="preserve"> </w:t>
      </w:r>
      <w:r w:rsidRPr="00EA59C0">
        <w:t>ceiling.</w:t>
      </w:r>
    </w:p>
    <w:p w:rsidR="0078298B" w:rsidRPr="00EA59C0" w:rsidRDefault="0078298B" w:rsidP="00FA0E98">
      <w:pPr>
        <w:pStyle w:val="ListParagraph"/>
      </w:pPr>
    </w:p>
    <w:p w:rsidR="004A7B74" w:rsidRPr="00EA59C0" w:rsidRDefault="000C27C2" w:rsidP="00080097">
      <w:pPr>
        <w:pStyle w:val="ListParagraph"/>
      </w:pPr>
      <w:r w:rsidRPr="00EA59C0">
        <w:t>Regardless</w:t>
      </w:r>
      <w:r w:rsidR="00C026A6" w:rsidRPr="00EA59C0">
        <w:t xml:space="preserve"> </w:t>
      </w:r>
      <w:r w:rsidRPr="00EA59C0">
        <w:t>of</w:t>
      </w:r>
      <w:r w:rsidR="00C026A6" w:rsidRPr="00EA59C0">
        <w:t xml:space="preserve"> </w:t>
      </w:r>
      <w:r w:rsidRPr="00EA59C0">
        <w:t>whether</w:t>
      </w:r>
      <w:r w:rsidR="00C026A6" w:rsidRPr="00EA59C0">
        <w:t xml:space="preserve"> </w:t>
      </w:r>
      <w:r w:rsidRPr="00EA59C0">
        <w:t>an</w:t>
      </w:r>
      <w:r w:rsidR="00C026A6" w:rsidRPr="00EA59C0">
        <w:t xml:space="preserve"> </w:t>
      </w:r>
      <w:r w:rsidRPr="00EA59C0">
        <w:t>applicant</w:t>
      </w:r>
      <w:r w:rsidR="00C026A6" w:rsidRPr="00EA59C0">
        <w:t xml:space="preserve"> </w:t>
      </w:r>
      <w:r w:rsidRPr="00EA59C0">
        <w:t>requests</w:t>
      </w:r>
      <w:r w:rsidR="00C026A6" w:rsidRPr="00EA59C0">
        <w:t xml:space="preserve"> </w:t>
      </w:r>
      <w:r w:rsidRPr="00EA59C0">
        <w:t>funds</w:t>
      </w:r>
      <w:r w:rsidR="00C026A6" w:rsidRPr="00EA59C0">
        <w:t xml:space="preserve"> </w:t>
      </w:r>
      <w:r w:rsidRPr="00EA59C0">
        <w:t>above</w:t>
      </w:r>
      <w:r w:rsidR="00C026A6" w:rsidRPr="00EA59C0">
        <w:t xml:space="preserve"> </w:t>
      </w:r>
      <w:r w:rsidRPr="00EA59C0">
        <w:t>the</w:t>
      </w:r>
      <w:r w:rsidR="00C026A6" w:rsidRPr="00EA59C0">
        <w:t xml:space="preserve"> </w:t>
      </w:r>
      <w:r w:rsidRPr="00EA59C0">
        <w:t>award</w:t>
      </w:r>
      <w:r w:rsidR="00C026A6" w:rsidRPr="00EA59C0">
        <w:t xml:space="preserve"> </w:t>
      </w:r>
      <w:r w:rsidRPr="00EA59C0">
        <w:t>amount</w:t>
      </w:r>
      <w:r w:rsidR="00C026A6" w:rsidRPr="00EA59C0">
        <w:t xml:space="preserve"> </w:t>
      </w:r>
      <w:r w:rsidRPr="00EA59C0">
        <w:t>ceiling,</w:t>
      </w:r>
      <w:r w:rsidR="00C026A6" w:rsidRPr="00EA59C0">
        <w:t xml:space="preserve"> </w:t>
      </w:r>
      <w:r w:rsidRPr="00EA59C0">
        <w:t>a</w:t>
      </w:r>
      <w:r w:rsidR="00C026A6" w:rsidRPr="00EA59C0">
        <w:t xml:space="preserve"> </w:t>
      </w:r>
      <w:r w:rsidR="004A7B74" w:rsidRPr="00EA59C0">
        <w:t>technical</w:t>
      </w:r>
      <w:r w:rsidR="00C026A6" w:rsidRPr="00EA59C0">
        <w:t xml:space="preserve"> </w:t>
      </w:r>
      <w:r w:rsidR="004A7B74" w:rsidRPr="00EA59C0">
        <w:t>review</w:t>
      </w:r>
      <w:r w:rsidR="00C026A6" w:rsidRPr="00EA59C0">
        <w:t xml:space="preserve"> </w:t>
      </w:r>
      <w:r w:rsidR="004A7B74" w:rsidRPr="00EA59C0">
        <w:t>panel</w:t>
      </w:r>
      <w:r w:rsidR="00C026A6" w:rsidRPr="00EA59C0">
        <w:t xml:space="preserve"> </w:t>
      </w:r>
      <w:r w:rsidR="004A7B74" w:rsidRPr="00EA59C0">
        <w:t>will</w:t>
      </w:r>
      <w:r w:rsidR="00C026A6" w:rsidRPr="00EA59C0">
        <w:t xml:space="preserve"> </w:t>
      </w:r>
      <w:r w:rsidR="004A7B74" w:rsidRPr="00EA59C0">
        <w:t>evaluate</w:t>
      </w:r>
      <w:r w:rsidR="00C026A6" w:rsidRPr="00EA59C0">
        <w:t xml:space="preserve"> </w:t>
      </w:r>
      <w:r w:rsidRPr="00EA59C0">
        <w:t>and</w:t>
      </w:r>
      <w:r w:rsidR="00C026A6" w:rsidRPr="00EA59C0">
        <w:t xml:space="preserve"> </w:t>
      </w:r>
      <w:r w:rsidRPr="00EA59C0">
        <w:t>score</w:t>
      </w:r>
      <w:r w:rsidR="00C026A6" w:rsidRPr="00EA59C0">
        <w:t xml:space="preserve"> </w:t>
      </w:r>
      <w:r w:rsidR="004A7B74" w:rsidRPr="00EA59C0">
        <w:t>all</w:t>
      </w:r>
      <w:r w:rsidR="00C026A6" w:rsidRPr="00EA59C0">
        <w:t xml:space="preserve"> </w:t>
      </w:r>
      <w:r w:rsidR="004A7B74" w:rsidRPr="00EA59C0">
        <w:t>applications</w:t>
      </w:r>
      <w:r w:rsidR="00C026A6" w:rsidRPr="00EA59C0">
        <w:t xml:space="preserve"> </w:t>
      </w:r>
      <w:r w:rsidRPr="00EA59C0">
        <w:t>based</w:t>
      </w:r>
      <w:r w:rsidR="00C026A6" w:rsidRPr="00EA59C0">
        <w:t xml:space="preserve"> </w:t>
      </w:r>
      <w:r w:rsidRPr="00EA59C0">
        <w:t>on</w:t>
      </w:r>
      <w:r w:rsidR="00C026A6" w:rsidRPr="00EA59C0">
        <w:t xml:space="preserve"> </w:t>
      </w:r>
      <w:r w:rsidRPr="00EA59C0">
        <w:t>the</w:t>
      </w:r>
      <w:r w:rsidR="00C026A6" w:rsidRPr="00EA59C0">
        <w:t xml:space="preserve"> </w:t>
      </w:r>
      <w:r w:rsidRPr="00EA59C0">
        <w:t>evaluation</w:t>
      </w:r>
      <w:r w:rsidR="00C026A6" w:rsidRPr="00EA59C0">
        <w:t xml:space="preserve"> </w:t>
      </w:r>
      <w:r w:rsidRPr="00EA59C0">
        <w:t>criteria</w:t>
      </w:r>
      <w:r w:rsidR="00C026A6" w:rsidRPr="00EA59C0">
        <w:t xml:space="preserve"> </w:t>
      </w:r>
      <w:r w:rsidR="004A7B74" w:rsidRPr="00EA59C0">
        <w:t>in</w:t>
      </w:r>
      <w:r w:rsidR="00C026A6" w:rsidRPr="00EA59C0">
        <w:t xml:space="preserve"> </w:t>
      </w:r>
      <w:r w:rsidR="004A7B74" w:rsidRPr="00EA59C0">
        <w:t>Section</w:t>
      </w:r>
      <w:r w:rsidR="00C026A6" w:rsidRPr="00EA59C0">
        <w:t xml:space="preserve"> </w:t>
      </w:r>
      <w:r w:rsidR="004A7B74" w:rsidRPr="00EA59C0">
        <w:t>V.A</w:t>
      </w:r>
      <w:r w:rsidR="00C026A6" w:rsidRPr="00EA59C0">
        <w:t xml:space="preserve">.  </w:t>
      </w:r>
      <w:r w:rsidRPr="00EA59C0">
        <w:t>A</w:t>
      </w:r>
      <w:r w:rsidR="004A7B74" w:rsidRPr="00EA59C0">
        <w:t>pplications</w:t>
      </w:r>
      <w:r w:rsidR="00C026A6" w:rsidRPr="00EA59C0">
        <w:t xml:space="preserve"> </w:t>
      </w:r>
      <w:r w:rsidR="004A7B74" w:rsidRPr="00EA59C0">
        <w:t>with</w:t>
      </w:r>
      <w:r w:rsidR="00C026A6" w:rsidRPr="00EA59C0">
        <w:t xml:space="preserve"> </w:t>
      </w:r>
      <w:r w:rsidR="004A7B74" w:rsidRPr="00EA59C0">
        <w:t>funding</w:t>
      </w:r>
      <w:r w:rsidR="00C026A6" w:rsidRPr="00EA59C0">
        <w:t xml:space="preserve"> </w:t>
      </w:r>
      <w:r w:rsidR="004A7B74" w:rsidRPr="00EA59C0">
        <w:t>requests</w:t>
      </w:r>
      <w:r w:rsidR="00C026A6" w:rsidRPr="00EA59C0">
        <w:t xml:space="preserve"> </w:t>
      </w:r>
      <w:r w:rsidR="004A7B74" w:rsidRPr="00EA59C0">
        <w:t>that</w:t>
      </w:r>
      <w:r w:rsidR="00C026A6" w:rsidRPr="00EA59C0">
        <w:t xml:space="preserve"> </w:t>
      </w:r>
      <w:r w:rsidR="004A7B74" w:rsidRPr="00EA59C0">
        <w:t>exceed</w:t>
      </w:r>
      <w:r w:rsidR="00C026A6" w:rsidRPr="00EA59C0">
        <w:t xml:space="preserve"> </w:t>
      </w:r>
      <w:r w:rsidR="004A7B74" w:rsidRPr="00EA59C0">
        <w:t>the</w:t>
      </w:r>
      <w:r w:rsidR="00C026A6" w:rsidRPr="00EA59C0">
        <w:t xml:space="preserve"> </w:t>
      </w:r>
      <w:r w:rsidR="004A7B74" w:rsidRPr="00EA59C0">
        <w:t>award</w:t>
      </w:r>
      <w:r w:rsidR="00C026A6" w:rsidRPr="00EA59C0">
        <w:t xml:space="preserve"> </w:t>
      </w:r>
      <w:r w:rsidR="004A7B74" w:rsidRPr="00EA59C0">
        <w:t>amount</w:t>
      </w:r>
      <w:r w:rsidR="00C026A6" w:rsidRPr="00EA59C0">
        <w:t xml:space="preserve"> </w:t>
      </w:r>
      <w:r w:rsidR="004A7B74" w:rsidRPr="00EA59C0">
        <w:t>ceiling</w:t>
      </w:r>
      <w:r w:rsidR="00C026A6" w:rsidRPr="00EA59C0">
        <w:t xml:space="preserve"> </w:t>
      </w:r>
      <w:r w:rsidR="004A7B74" w:rsidRPr="00EA59C0">
        <w:t>and</w:t>
      </w:r>
      <w:r w:rsidR="00C026A6" w:rsidRPr="00EA59C0">
        <w:t xml:space="preserve"> </w:t>
      </w:r>
      <w:r w:rsidR="004A7B74" w:rsidRPr="00EA59C0">
        <w:t>focus</w:t>
      </w:r>
      <w:r w:rsidR="00C026A6" w:rsidRPr="00EA59C0">
        <w:t xml:space="preserve"> </w:t>
      </w:r>
      <w:r w:rsidR="004A7B74" w:rsidRPr="00EA59C0">
        <w:t>on</w:t>
      </w:r>
      <w:r w:rsidR="00C026A6" w:rsidRPr="00EA59C0">
        <w:t xml:space="preserve"> </w:t>
      </w:r>
      <w:r w:rsidR="004A7B74" w:rsidRPr="00EA59C0">
        <w:t>one</w:t>
      </w:r>
      <w:r w:rsidR="00C026A6" w:rsidRPr="00EA59C0">
        <w:t xml:space="preserve"> </w:t>
      </w:r>
      <w:r w:rsidR="004A7B74" w:rsidRPr="00EA59C0">
        <w:t>of</w:t>
      </w:r>
      <w:r w:rsidR="00C026A6" w:rsidRPr="00EA59C0">
        <w:t xml:space="preserve"> </w:t>
      </w:r>
      <w:r w:rsidR="004A7B74" w:rsidRPr="00EA59C0">
        <w:t>the</w:t>
      </w:r>
      <w:r w:rsidR="00C026A6" w:rsidRPr="00EA59C0">
        <w:t xml:space="preserve"> </w:t>
      </w:r>
      <w:r w:rsidR="004A7B74" w:rsidRPr="00EA59C0">
        <w:t>three</w:t>
      </w:r>
      <w:r w:rsidR="00C026A6" w:rsidRPr="00EA59C0">
        <w:t xml:space="preserve"> </w:t>
      </w:r>
      <w:r w:rsidR="004A7B74" w:rsidRPr="00EA59C0">
        <w:t>options</w:t>
      </w:r>
      <w:r w:rsidR="00C026A6" w:rsidRPr="00EA59C0">
        <w:t xml:space="preserve"> </w:t>
      </w:r>
      <w:r w:rsidR="004A7B74" w:rsidRPr="00EA59C0">
        <w:t>above</w:t>
      </w:r>
      <w:r w:rsidR="00C026A6" w:rsidRPr="00EA59C0">
        <w:t xml:space="preserve"> </w:t>
      </w:r>
      <w:r w:rsidR="004A7B74" w:rsidRPr="00EA59C0">
        <w:t>will</w:t>
      </w:r>
      <w:r w:rsidR="00C026A6" w:rsidRPr="00EA59C0">
        <w:t xml:space="preserve"> </w:t>
      </w:r>
      <w:r w:rsidR="004A7B74" w:rsidRPr="00EA59C0">
        <w:t>be</w:t>
      </w:r>
      <w:r w:rsidR="00C026A6" w:rsidRPr="00EA59C0">
        <w:t xml:space="preserve"> </w:t>
      </w:r>
      <w:r w:rsidR="004A7B74" w:rsidRPr="00EA59C0">
        <w:t>subject</w:t>
      </w:r>
      <w:r w:rsidR="00C026A6" w:rsidRPr="00EA59C0">
        <w:t xml:space="preserve"> </w:t>
      </w:r>
      <w:r w:rsidR="004A7B74" w:rsidRPr="00EA59C0">
        <w:t>to</w:t>
      </w:r>
      <w:r w:rsidR="00C026A6" w:rsidRPr="00EA59C0">
        <w:t xml:space="preserve"> </w:t>
      </w:r>
      <w:r w:rsidR="004A7B74" w:rsidRPr="00EA59C0">
        <w:t>an</w:t>
      </w:r>
      <w:r w:rsidR="00C026A6" w:rsidRPr="00EA59C0">
        <w:t xml:space="preserve"> </w:t>
      </w:r>
      <w:r w:rsidR="004A7B74" w:rsidRPr="00EA59C0">
        <w:t>additional</w:t>
      </w:r>
      <w:r w:rsidR="00C026A6" w:rsidRPr="00EA59C0">
        <w:t xml:space="preserve"> </w:t>
      </w:r>
      <w:r w:rsidR="004A7B74" w:rsidRPr="00EA59C0">
        <w:t>review</w:t>
      </w:r>
      <w:r w:rsidR="00C026A6" w:rsidRPr="00EA59C0">
        <w:t xml:space="preserve">     </w:t>
      </w:r>
      <w:r w:rsidRPr="00EA59C0">
        <w:t>a</w:t>
      </w:r>
      <w:r w:rsidR="00C026A6" w:rsidRPr="00EA59C0">
        <w:t xml:space="preserve"> </w:t>
      </w:r>
      <w:r w:rsidR="004A7B74" w:rsidRPr="00EA59C0">
        <w:t>panel</w:t>
      </w:r>
      <w:r w:rsidR="00C026A6" w:rsidRPr="00EA59C0">
        <w:t xml:space="preserve"> </w:t>
      </w:r>
      <w:r w:rsidR="004A7B74" w:rsidRPr="00EA59C0">
        <w:t>consisting</w:t>
      </w:r>
      <w:r w:rsidR="00C026A6" w:rsidRPr="00EA59C0">
        <w:t xml:space="preserve"> </w:t>
      </w:r>
      <w:r w:rsidR="004A7B74" w:rsidRPr="00EA59C0">
        <w:t>of</w:t>
      </w:r>
      <w:r w:rsidR="00C026A6" w:rsidRPr="00EA59C0">
        <w:t xml:space="preserve"> </w:t>
      </w:r>
      <w:r w:rsidR="004A7B74" w:rsidRPr="00EA59C0">
        <w:t>a</w:t>
      </w:r>
      <w:r w:rsidR="00C026A6" w:rsidRPr="00EA59C0">
        <w:t xml:space="preserve"> </w:t>
      </w:r>
      <w:r w:rsidR="004A7B74" w:rsidRPr="00EA59C0">
        <w:t>mix</w:t>
      </w:r>
      <w:r w:rsidR="00C026A6" w:rsidRPr="00EA59C0">
        <w:t xml:space="preserve"> </w:t>
      </w:r>
      <w:r w:rsidR="004A7B74" w:rsidRPr="00EA59C0">
        <w:t>of</w:t>
      </w:r>
      <w:r w:rsidR="00C026A6" w:rsidRPr="00EA59C0">
        <w:t xml:space="preserve"> </w:t>
      </w:r>
      <w:r w:rsidR="004A7B74" w:rsidRPr="00EA59C0">
        <w:t>experts</w:t>
      </w:r>
      <w:r w:rsidR="00C026A6" w:rsidRPr="00EA59C0">
        <w:t xml:space="preserve"> </w:t>
      </w:r>
      <w:r w:rsidR="004A7B74" w:rsidRPr="00EA59C0">
        <w:t>in</w:t>
      </w:r>
      <w:r w:rsidR="00C026A6" w:rsidRPr="00EA59C0">
        <w:t xml:space="preserve"> </w:t>
      </w:r>
      <w:r w:rsidR="004A7B74" w:rsidRPr="00EA59C0">
        <w:t>education</w:t>
      </w:r>
      <w:r w:rsidR="00C026A6" w:rsidRPr="00EA59C0">
        <w:t xml:space="preserve"> </w:t>
      </w:r>
      <w:r w:rsidR="004A7B74" w:rsidRPr="00EA59C0">
        <w:t>and</w:t>
      </w:r>
      <w:r w:rsidR="00C026A6" w:rsidRPr="00EA59C0">
        <w:t xml:space="preserve"> </w:t>
      </w:r>
      <w:r w:rsidR="004A7B74" w:rsidRPr="00EA59C0">
        <w:t>training.</w:t>
      </w:r>
      <w:r w:rsidR="00C026A6" w:rsidRPr="00EA59C0">
        <w:t xml:space="preserve"> </w:t>
      </w:r>
      <w:r w:rsidR="004A7B74" w:rsidRPr="00EA59C0">
        <w:t>The</w:t>
      </w:r>
      <w:r w:rsidR="00C026A6" w:rsidRPr="00EA59C0">
        <w:t xml:space="preserve"> </w:t>
      </w:r>
      <w:r w:rsidR="004A7B74" w:rsidRPr="00EA59C0">
        <w:t>expert</w:t>
      </w:r>
      <w:r w:rsidR="00C026A6" w:rsidRPr="00EA59C0">
        <w:t xml:space="preserve"> </w:t>
      </w:r>
      <w:r w:rsidR="004A7B74" w:rsidRPr="00EA59C0">
        <w:t>review</w:t>
      </w:r>
      <w:r w:rsidR="00C026A6" w:rsidRPr="00EA59C0">
        <w:t xml:space="preserve"> </w:t>
      </w:r>
      <w:r w:rsidR="004A7B74" w:rsidRPr="00EA59C0">
        <w:t>panel</w:t>
      </w:r>
      <w:r w:rsidR="00C026A6" w:rsidRPr="00EA59C0">
        <w:t xml:space="preserve"> </w:t>
      </w:r>
      <w:r w:rsidR="004A7B74" w:rsidRPr="00EA59C0">
        <w:t>will</w:t>
      </w:r>
      <w:r w:rsidR="00C026A6" w:rsidRPr="00EA59C0">
        <w:t xml:space="preserve"> </w:t>
      </w:r>
      <w:r w:rsidR="004A7B74" w:rsidRPr="00EA59C0">
        <w:t>review</w:t>
      </w:r>
      <w:r w:rsidR="00C026A6" w:rsidRPr="00EA59C0">
        <w:t xml:space="preserve"> </w:t>
      </w:r>
      <w:r w:rsidR="004A7B74" w:rsidRPr="00EA59C0">
        <w:t>the</w:t>
      </w:r>
      <w:r w:rsidR="00C026A6" w:rsidRPr="00EA59C0">
        <w:t xml:space="preserve"> </w:t>
      </w:r>
      <w:r w:rsidR="004A7B74" w:rsidRPr="00EA59C0">
        <w:t>applicant’s</w:t>
      </w:r>
      <w:r w:rsidR="00C026A6" w:rsidRPr="00EA59C0">
        <w:t xml:space="preserve"> </w:t>
      </w:r>
      <w:r w:rsidR="004A7B74" w:rsidRPr="00EA59C0">
        <w:t>proposal</w:t>
      </w:r>
      <w:r w:rsidR="00C026A6" w:rsidRPr="00EA59C0">
        <w:t xml:space="preserve"> </w:t>
      </w:r>
      <w:r w:rsidR="004A7B74" w:rsidRPr="00EA59C0">
        <w:t>to</w:t>
      </w:r>
      <w:r w:rsidR="00C026A6" w:rsidRPr="00EA59C0">
        <w:t xml:space="preserve"> </w:t>
      </w:r>
      <w:r w:rsidR="004A7B74" w:rsidRPr="00EA59C0">
        <w:t>exceed</w:t>
      </w:r>
      <w:r w:rsidR="00C026A6" w:rsidRPr="00EA59C0">
        <w:t xml:space="preserve"> </w:t>
      </w:r>
      <w:r w:rsidR="004A7B74" w:rsidRPr="00EA59C0">
        <w:t>the</w:t>
      </w:r>
      <w:r w:rsidR="00C026A6" w:rsidRPr="00EA59C0">
        <w:t xml:space="preserve"> </w:t>
      </w:r>
      <w:r w:rsidR="004A7B74" w:rsidRPr="00EA59C0">
        <w:t>cap</w:t>
      </w:r>
      <w:r w:rsidR="00C026A6" w:rsidRPr="00EA59C0">
        <w:t xml:space="preserve"> </w:t>
      </w:r>
      <w:r w:rsidR="004A7B74" w:rsidRPr="00EA59C0">
        <w:t>as</w:t>
      </w:r>
      <w:r w:rsidR="00C026A6" w:rsidRPr="00EA59C0">
        <w:t xml:space="preserve"> </w:t>
      </w:r>
      <w:r w:rsidR="004A7B74" w:rsidRPr="00EA59C0">
        <w:t>described</w:t>
      </w:r>
      <w:r w:rsidR="00C026A6" w:rsidRPr="00EA59C0">
        <w:t xml:space="preserve"> </w:t>
      </w:r>
      <w:r w:rsidR="004A7B74" w:rsidRPr="00EA59C0">
        <w:t>below</w:t>
      </w:r>
      <w:r w:rsidR="00C026A6" w:rsidRPr="00EA59C0">
        <w:t xml:space="preserve">. </w:t>
      </w:r>
    </w:p>
    <w:p w:rsidR="0078298B" w:rsidRPr="00EA59C0" w:rsidRDefault="00C026A6">
      <w:pPr>
        <w:pStyle w:val="ListParagraph"/>
      </w:pPr>
      <w:r w:rsidRPr="00EA59C0">
        <w:t xml:space="preserve">                                   </w:t>
      </w:r>
    </w:p>
    <w:p w:rsidR="0078298B" w:rsidRPr="00EA59C0" w:rsidRDefault="0078298B" w:rsidP="00080097">
      <w:pPr>
        <w:pStyle w:val="Heading2"/>
        <w:numPr>
          <w:ilvl w:val="2"/>
          <w:numId w:val="17"/>
        </w:numPr>
        <w:spacing w:line="240" w:lineRule="auto"/>
        <w:rPr>
          <w:rFonts w:ascii="Times New Roman" w:hAnsi="Times New Roman"/>
          <w:i w:val="0"/>
        </w:rPr>
      </w:pPr>
      <w:r w:rsidRPr="00EA59C0">
        <w:rPr>
          <w:rFonts w:ascii="Times New Roman" w:hAnsi="Times New Roman"/>
          <w:i w:val="0"/>
        </w:rPr>
        <w:t>Content</w:t>
      </w:r>
      <w:r w:rsidR="00C026A6" w:rsidRPr="00EA59C0">
        <w:rPr>
          <w:rFonts w:ascii="Times New Roman" w:hAnsi="Times New Roman"/>
          <w:i w:val="0"/>
        </w:rPr>
        <w:t xml:space="preserve"> </w:t>
      </w:r>
      <w:r w:rsidRPr="00EA59C0">
        <w:rPr>
          <w:rFonts w:ascii="Times New Roman" w:hAnsi="Times New Roman"/>
          <w:i w:val="0"/>
        </w:rPr>
        <w:t>and</w:t>
      </w:r>
      <w:r w:rsidR="00C026A6" w:rsidRPr="00EA59C0">
        <w:rPr>
          <w:rFonts w:ascii="Times New Roman" w:hAnsi="Times New Roman"/>
          <w:i w:val="0"/>
        </w:rPr>
        <w:t xml:space="preserve"> </w:t>
      </w:r>
      <w:r w:rsidRPr="00EA59C0">
        <w:rPr>
          <w:rFonts w:ascii="Times New Roman" w:hAnsi="Times New Roman"/>
          <w:i w:val="0"/>
        </w:rPr>
        <w:t>Form</w:t>
      </w:r>
      <w:r w:rsidR="00C026A6" w:rsidRPr="00EA59C0">
        <w:rPr>
          <w:rFonts w:ascii="Times New Roman" w:hAnsi="Times New Roman"/>
          <w:i w:val="0"/>
        </w:rPr>
        <w:t xml:space="preserve"> </w:t>
      </w:r>
      <w:r w:rsidRPr="00EA59C0">
        <w:rPr>
          <w:rFonts w:ascii="Times New Roman" w:hAnsi="Times New Roman"/>
          <w:i w:val="0"/>
        </w:rPr>
        <w:t>of</w:t>
      </w:r>
      <w:r w:rsidR="00C026A6" w:rsidRPr="00EA59C0">
        <w:rPr>
          <w:rFonts w:ascii="Times New Roman" w:hAnsi="Times New Roman"/>
          <w:i w:val="0"/>
        </w:rPr>
        <w:t xml:space="preserve"> </w:t>
      </w:r>
      <w:r w:rsidRPr="00EA59C0">
        <w:rPr>
          <w:rFonts w:ascii="Times New Roman" w:hAnsi="Times New Roman"/>
          <w:i w:val="0"/>
        </w:rPr>
        <w:t>Supplementary</w:t>
      </w:r>
      <w:r w:rsidR="00C026A6" w:rsidRPr="00EA59C0">
        <w:rPr>
          <w:rFonts w:ascii="Times New Roman" w:hAnsi="Times New Roman"/>
          <w:i w:val="0"/>
        </w:rPr>
        <w:t xml:space="preserve"> </w:t>
      </w:r>
      <w:r w:rsidRPr="00EA59C0">
        <w:rPr>
          <w:rFonts w:ascii="Times New Roman" w:hAnsi="Times New Roman"/>
          <w:i w:val="0"/>
        </w:rPr>
        <w:t>Application</w:t>
      </w:r>
      <w:r w:rsidR="00C026A6" w:rsidRPr="00EA59C0">
        <w:rPr>
          <w:rFonts w:ascii="Times New Roman" w:hAnsi="Times New Roman"/>
          <w:i w:val="0"/>
        </w:rPr>
        <w:t xml:space="preserve"> </w:t>
      </w:r>
      <w:r w:rsidRPr="00EA59C0">
        <w:rPr>
          <w:rFonts w:ascii="Times New Roman" w:hAnsi="Times New Roman"/>
          <w:i w:val="0"/>
        </w:rPr>
        <w:t>Materials</w:t>
      </w:r>
    </w:p>
    <w:p w:rsidR="0078298B" w:rsidRPr="00EA59C0" w:rsidRDefault="0078298B">
      <w:pPr>
        <w:pStyle w:val="ListParagraph"/>
        <w:tabs>
          <w:tab w:val="num" w:pos="720"/>
        </w:tabs>
        <w:ind w:left="1080"/>
      </w:pPr>
      <w:r w:rsidRPr="00EA59C0">
        <w:t>Applicants</w:t>
      </w:r>
      <w:r w:rsidR="00C026A6" w:rsidRPr="00EA59C0">
        <w:t xml:space="preserve"> </w:t>
      </w:r>
      <w:r w:rsidRPr="00EA59C0">
        <w:t>must</w:t>
      </w:r>
      <w:r w:rsidR="00C026A6" w:rsidRPr="00EA59C0">
        <w:t xml:space="preserve"> </w:t>
      </w:r>
      <w:r w:rsidRPr="00EA59C0">
        <w:t>provide</w:t>
      </w:r>
      <w:r w:rsidR="00C026A6" w:rsidRPr="00EA59C0">
        <w:t xml:space="preserve"> </w:t>
      </w:r>
      <w:r w:rsidRPr="00EA59C0">
        <w:t>the</w:t>
      </w:r>
      <w:r w:rsidR="00C026A6" w:rsidRPr="00EA59C0">
        <w:t xml:space="preserve"> </w:t>
      </w:r>
      <w:r w:rsidRPr="00EA59C0">
        <w:t>supplementary</w:t>
      </w:r>
      <w:r w:rsidR="00C026A6" w:rsidRPr="00EA59C0">
        <w:t xml:space="preserve"> </w:t>
      </w:r>
      <w:r w:rsidRPr="00EA59C0">
        <w:t>materials</w:t>
      </w:r>
      <w:r w:rsidR="00C026A6" w:rsidRPr="00EA59C0">
        <w:t xml:space="preserve"> </w:t>
      </w:r>
      <w:r w:rsidRPr="00EA59C0">
        <w:t>described</w:t>
      </w:r>
      <w:r w:rsidR="00C026A6" w:rsidRPr="00EA59C0">
        <w:t xml:space="preserve"> </w:t>
      </w:r>
      <w:r w:rsidRPr="00EA59C0">
        <w:t>in</w:t>
      </w:r>
      <w:r w:rsidR="00C026A6" w:rsidRPr="00EA59C0">
        <w:t xml:space="preserve"> </w:t>
      </w:r>
      <w:r w:rsidRPr="00EA59C0">
        <w:t>this</w:t>
      </w:r>
      <w:r w:rsidR="00C026A6" w:rsidRPr="00EA59C0">
        <w:t xml:space="preserve"> </w:t>
      </w:r>
      <w:r w:rsidRPr="00EA59C0">
        <w:t>section</w:t>
      </w:r>
      <w:r w:rsidR="00C026A6" w:rsidRPr="00EA59C0">
        <w:t xml:space="preserve"> </w:t>
      </w:r>
      <w:r w:rsidRPr="00EA59C0">
        <w:t>to</w:t>
      </w:r>
      <w:r w:rsidR="00C026A6" w:rsidRPr="00EA59C0">
        <w:t xml:space="preserve"> </w:t>
      </w:r>
      <w:r w:rsidRPr="00EA59C0">
        <w:t>be</w:t>
      </w:r>
      <w:r w:rsidR="00C026A6" w:rsidRPr="00EA59C0">
        <w:t xml:space="preserve"> </w:t>
      </w:r>
      <w:r w:rsidRPr="00EA59C0">
        <w:t>eligible</w:t>
      </w:r>
      <w:r w:rsidR="00C026A6" w:rsidRPr="00EA59C0">
        <w:t xml:space="preserve"> </w:t>
      </w:r>
      <w:r w:rsidRPr="00EA59C0">
        <w:t>to</w:t>
      </w:r>
      <w:r w:rsidR="00C026A6" w:rsidRPr="00EA59C0">
        <w:t xml:space="preserve"> </w:t>
      </w:r>
      <w:r w:rsidRPr="00EA59C0">
        <w:t>exceed</w:t>
      </w:r>
      <w:r w:rsidR="00C026A6" w:rsidRPr="00EA59C0">
        <w:t xml:space="preserve"> </w:t>
      </w:r>
      <w:r w:rsidRPr="00EA59C0">
        <w:t>the</w:t>
      </w:r>
      <w:r w:rsidR="00C026A6" w:rsidRPr="00EA59C0">
        <w:t xml:space="preserve"> </w:t>
      </w:r>
      <w:r w:rsidRPr="00EA59C0">
        <w:t>award</w:t>
      </w:r>
      <w:r w:rsidR="00C026A6" w:rsidRPr="00EA59C0">
        <w:t xml:space="preserve"> </w:t>
      </w:r>
      <w:r w:rsidRPr="00EA59C0">
        <w:t>amount</w:t>
      </w:r>
      <w:r w:rsidR="00C026A6" w:rsidRPr="00EA59C0">
        <w:t xml:space="preserve"> </w:t>
      </w:r>
      <w:r w:rsidRPr="00EA59C0">
        <w:t>ceiling</w:t>
      </w:r>
      <w:r w:rsidR="00C026A6" w:rsidRPr="00EA59C0">
        <w:t xml:space="preserve"> </w:t>
      </w:r>
      <w:r w:rsidRPr="00EA59C0">
        <w:t>of</w:t>
      </w:r>
      <w:r w:rsidR="00C026A6" w:rsidRPr="00EA59C0">
        <w:t xml:space="preserve"> </w:t>
      </w:r>
      <w:r w:rsidRPr="00EA59C0">
        <w:t>$2</w:t>
      </w:r>
      <w:r w:rsidR="00C026A6" w:rsidRPr="00EA59C0">
        <w:t xml:space="preserve"> </w:t>
      </w:r>
      <w:r w:rsidRPr="00EA59C0">
        <w:t>million</w:t>
      </w:r>
      <w:r w:rsidR="00C026A6" w:rsidRPr="00EA59C0">
        <w:t xml:space="preserve"> </w:t>
      </w:r>
      <w:r w:rsidRPr="00EA59C0">
        <w:t>for</w:t>
      </w:r>
      <w:r w:rsidR="00C026A6" w:rsidRPr="00EA59C0">
        <w:t xml:space="preserve"> </w:t>
      </w:r>
      <w:r w:rsidRPr="00EA59C0">
        <w:t>Tier</w:t>
      </w:r>
      <w:r w:rsidR="00C026A6" w:rsidRPr="00EA59C0">
        <w:t xml:space="preserve"> </w:t>
      </w:r>
      <w:r w:rsidRPr="00EA59C0">
        <w:t>1</w:t>
      </w:r>
      <w:r w:rsidR="00C026A6" w:rsidRPr="00EA59C0">
        <w:t xml:space="preserve"> </w:t>
      </w:r>
      <w:r w:rsidRPr="00EA59C0">
        <w:t>consortium</w:t>
      </w:r>
      <w:r w:rsidR="00C026A6" w:rsidRPr="00EA59C0">
        <w:t xml:space="preserve"> </w:t>
      </w:r>
      <w:r w:rsidRPr="00EA59C0">
        <w:t>applicants</w:t>
      </w:r>
      <w:r w:rsidR="00C026A6" w:rsidRPr="00EA59C0">
        <w:t xml:space="preserve"> </w:t>
      </w:r>
      <w:r w:rsidRPr="00EA59C0">
        <w:t>and</w:t>
      </w:r>
      <w:r w:rsidR="00C026A6" w:rsidRPr="00EA59C0">
        <w:t xml:space="preserve"> </w:t>
      </w:r>
      <w:r w:rsidRPr="00EA59C0">
        <w:t>$5</w:t>
      </w:r>
      <w:r w:rsidR="00C026A6" w:rsidRPr="00EA59C0">
        <w:t xml:space="preserve"> </w:t>
      </w:r>
      <w:r w:rsidRPr="00EA59C0">
        <w:t>million</w:t>
      </w:r>
      <w:r w:rsidR="00C026A6" w:rsidRPr="00EA59C0">
        <w:t xml:space="preserve"> </w:t>
      </w:r>
      <w:r w:rsidRPr="00EA59C0">
        <w:t>for</w:t>
      </w:r>
      <w:r w:rsidR="00C026A6" w:rsidRPr="00EA59C0">
        <w:t xml:space="preserve"> </w:t>
      </w:r>
      <w:r w:rsidRPr="00EA59C0">
        <w:t>Tier</w:t>
      </w:r>
      <w:r w:rsidR="00C026A6" w:rsidRPr="00EA59C0">
        <w:t xml:space="preserve"> </w:t>
      </w:r>
      <w:r w:rsidRPr="00EA59C0">
        <w:t>2</w:t>
      </w:r>
      <w:r w:rsidR="00C026A6" w:rsidRPr="00EA59C0">
        <w:t xml:space="preserve"> </w:t>
      </w:r>
      <w:r w:rsidRPr="00EA59C0">
        <w:t>consortium</w:t>
      </w:r>
      <w:r w:rsidR="00C026A6" w:rsidRPr="00EA59C0">
        <w:t xml:space="preserve"> </w:t>
      </w:r>
      <w:r w:rsidRPr="00EA59C0">
        <w:t>applicants</w:t>
      </w:r>
      <w:r w:rsidR="00966C11" w:rsidRPr="00EA59C0">
        <w:t xml:space="preserve"> and $</w:t>
      </w:r>
      <w:r w:rsidR="00092DA8" w:rsidRPr="00EA59C0">
        <w:t>75</w:t>
      </w:r>
      <w:r w:rsidR="00966C11" w:rsidRPr="00EA59C0">
        <w:t xml:space="preserve">0,000 for single </w:t>
      </w:r>
      <w:r w:rsidR="00092DA8" w:rsidRPr="00EA59C0">
        <w:t xml:space="preserve">institution </w:t>
      </w:r>
      <w:r w:rsidR="00966C11" w:rsidRPr="00EA59C0">
        <w:t>applicants</w:t>
      </w:r>
      <w:r w:rsidRPr="00EA59C0">
        <w:t>.</w:t>
      </w:r>
      <w:r w:rsidR="00C026A6" w:rsidRPr="00EA59C0">
        <w:t xml:space="preserve">  </w:t>
      </w:r>
      <w:r w:rsidRPr="00EA59C0">
        <w:t>These</w:t>
      </w:r>
      <w:r w:rsidR="00C026A6" w:rsidRPr="00EA59C0">
        <w:t xml:space="preserve"> </w:t>
      </w:r>
      <w:r w:rsidRPr="00EA59C0">
        <w:t>supplementary</w:t>
      </w:r>
      <w:r w:rsidR="00C026A6" w:rsidRPr="00EA59C0">
        <w:t xml:space="preserve"> </w:t>
      </w:r>
      <w:r w:rsidRPr="00EA59C0">
        <w:t>materials</w:t>
      </w:r>
      <w:r w:rsidR="00C026A6" w:rsidRPr="00EA59C0">
        <w:t xml:space="preserve"> </w:t>
      </w:r>
      <w:r w:rsidRPr="00EA59C0">
        <w:t>consist</w:t>
      </w:r>
      <w:r w:rsidR="00C026A6" w:rsidRPr="00EA59C0">
        <w:t xml:space="preserve"> </w:t>
      </w:r>
      <w:r w:rsidRPr="00EA59C0">
        <w:t>of</w:t>
      </w:r>
      <w:r w:rsidR="00C026A6" w:rsidRPr="00EA59C0">
        <w:t xml:space="preserve"> </w:t>
      </w:r>
      <w:r w:rsidRPr="00EA59C0">
        <w:t>three</w:t>
      </w:r>
      <w:r w:rsidR="00C026A6" w:rsidRPr="00EA59C0">
        <w:t xml:space="preserve"> </w:t>
      </w:r>
      <w:r w:rsidRPr="00EA59C0">
        <w:t>separate</w:t>
      </w:r>
      <w:r w:rsidR="00C026A6" w:rsidRPr="00EA59C0">
        <w:t xml:space="preserve"> </w:t>
      </w:r>
      <w:r w:rsidRPr="00EA59C0">
        <w:t>and</w:t>
      </w:r>
      <w:r w:rsidR="00C026A6" w:rsidRPr="00EA59C0">
        <w:t xml:space="preserve"> </w:t>
      </w:r>
      <w:r w:rsidRPr="00EA59C0">
        <w:t>distinct</w:t>
      </w:r>
      <w:r w:rsidR="00C026A6" w:rsidRPr="00EA59C0">
        <w:t xml:space="preserve"> </w:t>
      </w:r>
      <w:r w:rsidRPr="00EA59C0">
        <w:t>parts:</w:t>
      </w:r>
      <w:r w:rsidR="00C026A6" w:rsidRPr="00EA59C0">
        <w:t xml:space="preserve"> </w:t>
      </w:r>
      <w:r w:rsidRPr="00EA59C0">
        <w:t>(I)</w:t>
      </w:r>
      <w:r w:rsidR="00C026A6" w:rsidRPr="00EA59C0">
        <w:t xml:space="preserve"> </w:t>
      </w:r>
      <w:r w:rsidRPr="00EA59C0">
        <w:t>budget</w:t>
      </w:r>
      <w:r w:rsidR="00C026A6" w:rsidRPr="00EA59C0">
        <w:t xml:space="preserve"> </w:t>
      </w:r>
      <w:r w:rsidRPr="00EA59C0">
        <w:t>narrative;</w:t>
      </w:r>
      <w:r w:rsidR="00C026A6" w:rsidRPr="00EA59C0">
        <w:t xml:space="preserve"> </w:t>
      </w:r>
      <w:r w:rsidRPr="00EA59C0">
        <w:t>(II)</w:t>
      </w:r>
      <w:r w:rsidR="00C026A6" w:rsidRPr="00EA59C0">
        <w:t xml:space="preserve"> </w:t>
      </w:r>
      <w:r w:rsidRPr="00EA59C0">
        <w:t>factors</w:t>
      </w:r>
      <w:r w:rsidR="00C026A6" w:rsidRPr="00EA59C0">
        <w:t xml:space="preserve"> </w:t>
      </w:r>
      <w:r w:rsidRPr="00EA59C0">
        <w:t>for</w:t>
      </w:r>
      <w:r w:rsidR="00C026A6" w:rsidRPr="00EA59C0">
        <w:t xml:space="preserve"> </w:t>
      </w:r>
      <w:r w:rsidRPr="00EA59C0">
        <w:t>consideration;</w:t>
      </w:r>
      <w:r w:rsidR="00C026A6" w:rsidRPr="00EA59C0">
        <w:t xml:space="preserve"> </w:t>
      </w:r>
      <w:r w:rsidRPr="00EA59C0">
        <w:t>and</w:t>
      </w:r>
      <w:r w:rsidR="00C026A6" w:rsidRPr="00EA59C0">
        <w:t xml:space="preserve"> </w:t>
      </w:r>
      <w:r w:rsidRPr="00EA59C0">
        <w:t>(III)</w:t>
      </w:r>
      <w:r w:rsidR="00C026A6" w:rsidRPr="00EA59C0">
        <w:t xml:space="preserve"> </w:t>
      </w:r>
      <w:r w:rsidRPr="00EA59C0">
        <w:t>attachments</w:t>
      </w:r>
      <w:r w:rsidR="00C026A6" w:rsidRPr="00EA59C0">
        <w:t xml:space="preserve"> </w:t>
      </w:r>
      <w:r w:rsidRPr="00EA59C0">
        <w:t>to</w:t>
      </w:r>
      <w:r w:rsidR="00C026A6" w:rsidRPr="00EA59C0">
        <w:t xml:space="preserve"> </w:t>
      </w:r>
      <w:r w:rsidRPr="00EA59C0">
        <w:t>the</w:t>
      </w:r>
      <w:r w:rsidR="00C026A6" w:rsidRPr="00EA59C0">
        <w:t xml:space="preserve"> </w:t>
      </w:r>
      <w:r w:rsidRPr="00EA59C0">
        <w:t>supplementary</w:t>
      </w:r>
      <w:r w:rsidR="00C026A6" w:rsidRPr="00EA59C0">
        <w:t xml:space="preserve"> </w:t>
      </w:r>
      <w:r w:rsidRPr="00EA59C0">
        <w:t>materials.</w:t>
      </w:r>
      <w:r w:rsidR="00C026A6" w:rsidRPr="00EA59C0">
        <w:t xml:space="preserve"> </w:t>
      </w:r>
      <w:r w:rsidRPr="00EA59C0">
        <w:t>All</w:t>
      </w:r>
      <w:r w:rsidR="00C026A6" w:rsidRPr="00EA59C0">
        <w:t xml:space="preserve"> </w:t>
      </w:r>
      <w:r w:rsidRPr="00EA59C0">
        <w:t>supplementary</w:t>
      </w:r>
      <w:r w:rsidR="00C026A6" w:rsidRPr="00EA59C0">
        <w:t xml:space="preserve"> </w:t>
      </w:r>
      <w:r w:rsidRPr="00EA59C0">
        <w:t>materials</w:t>
      </w:r>
      <w:r w:rsidR="00C026A6" w:rsidRPr="00EA59C0">
        <w:t xml:space="preserve"> </w:t>
      </w:r>
      <w:r w:rsidRPr="00EA59C0">
        <w:t>must</w:t>
      </w:r>
      <w:r w:rsidR="00C026A6" w:rsidRPr="00EA59C0">
        <w:t xml:space="preserve"> </w:t>
      </w:r>
      <w:r w:rsidRPr="00EA59C0">
        <w:t>be</w:t>
      </w:r>
      <w:r w:rsidR="00C026A6" w:rsidRPr="00EA59C0">
        <w:t xml:space="preserve"> </w:t>
      </w:r>
      <w:r w:rsidR="00AB3FCC" w:rsidRPr="00EA59C0">
        <w:t>included</w:t>
      </w:r>
      <w:r w:rsidR="00C026A6" w:rsidRPr="00EA59C0">
        <w:t xml:space="preserve"> </w:t>
      </w:r>
      <w:r w:rsidR="00AB3FCC" w:rsidRPr="00EA59C0">
        <w:t>as</w:t>
      </w:r>
      <w:r w:rsidR="00C026A6" w:rsidRPr="00EA59C0">
        <w:t xml:space="preserve"> </w:t>
      </w:r>
      <w:r w:rsidR="00AB3FCC" w:rsidRPr="00EA59C0">
        <w:t>separate</w:t>
      </w:r>
      <w:r w:rsidR="00C026A6" w:rsidRPr="00EA59C0">
        <w:t xml:space="preserve"> </w:t>
      </w:r>
      <w:r w:rsidR="00AB3FCC" w:rsidRPr="00EA59C0">
        <w:t>documents,</w:t>
      </w:r>
      <w:r w:rsidR="00C026A6" w:rsidRPr="00EA59C0">
        <w:t xml:space="preserve"> </w:t>
      </w:r>
      <w:r w:rsidR="00AB3FCC" w:rsidRPr="00EA59C0">
        <w:t>along</w:t>
      </w:r>
      <w:r w:rsidR="00C026A6" w:rsidRPr="00EA59C0">
        <w:t xml:space="preserve"> </w:t>
      </w:r>
      <w:r w:rsidR="00AB3FCC" w:rsidRPr="00EA59C0">
        <w:t>with</w:t>
      </w:r>
      <w:r w:rsidR="00C026A6" w:rsidRPr="00EA59C0">
        <w:t xml:space="preserve"> </w:t>
      </w:r>
      <w:r w:rsidR="00AB3FCC" w:rsidRPr="00EA59C0">
        <w:t>the</w:t>
      </w:r>
      <w:r w:rsidR="00C026A6" w:rsidRPr="00EA59C0">
        <w:t xml:space="preserve"> </w:t>
      </w:r>
      <w:r w:rsidR="00AB3FCC" w:rsidRPr="00EA59C0">
        <w:t>other</w:t>
      </w:r>
      <w:r w:rsidR="00C026A6" w:rsidRPr="00EA59C0">
        <w:t xml:space="preserve"> </w:t>
      </w:r>
      <w:r w:rsidR="00AB3FCC" w:rsidRPr="00EA59C0">
        <w:t>items</w:t>
      </w:r>
      <w:r w:rsidR="00C026A6" w:rsidRPr="00EA59C0">
        <w:t xml:space="preserve"> </w:t>
      </w:r>
      <w:r w:rsidR="00AB3FCC" w:rsidRPr="00EA59C0">
        <w:t>that</w:t>
      </w:r>
      <w:r w:rsidR="00C026A6" w:rsidRPr="00EA59C0">
        <w:t xml:space="preserve"> </w:t>
      </w:r>
      <w:r w:rsidR="00AB3FCC" w:rsidRPr="00EA59C0">
        <w:t>are</w:t>
      </w:r>
      <w:r w:rsidR="00C026A6" w:rsidRPr="00EA59C0">
        <w:t xml:space="preserve"> </w:t>
      </w:r>
      <w:r w:rsidR="00AB3FCC" w:rsidRPr="00EA59C0">
        <w:t>submitted</w:t>
      </w:r>
      <w:r w:rsidR="00C026A6" w:rsidRPr="00EA59C0">
        <w:t xml:space="preserve"> </w:t>
      </w:r>
      <w:r w:rsidR="00AB3FCC" w:rsidRPr="00EA59C0">
        <w:t>in</w:t>
      </w:r>
      <w:r w:rsidR="00C026A6" w:rsidRPr="00EA59C0">
        <w:t xml:space="preserve"> </w:t>
      </w:r>
      <w:r w:rsidR="00AB3FCC" w:rsidRPr="00EA59C0">
        <w:t>the</w:t>
      </w:r>
      <w:r w:rsidR="00C026A6" w:rsidRPr="00EA59C0">
        <w:t xml:space="preserve"> </w:t>
      </w:r>
      <w:r w:rsidRPr="00EA59C0">
        <w:t>proposal.</w:t>
      </w:r>
      <w:r w:rsidR="00C026A6" w:rsidRPr="00EA59C0">
        <w:t xml:space="preserve">  </w:t>
      </w:r>
      <w:r w:rsidRPr="00EA59C0">
        <w:t>Applications</w:t>
      </w:r>
      <w:r w:rsidR="00C026A6" w:rsidRPr="00EA59C0">
        <w:t xml:space="preserve"> </w:t>
      </w:r>
      <w:r w:rsidRPr="00EA59C0">
        <w:t>that</w:t>
      </w:r>
      <w:r w:rsidR="00C026A6" w:rsidRPr="00EA59C0">
        <w:t xml:space="preserve"> </w:t>
      </w:r>
      <w:r w:rsidRPr="00EA59C0">
        <w:t>fail</w:t>
      </w:r>
      <w:r w:rsidR="00C026A6" w:rsidRPr="00EA59C0">
        <w:t xml:space="preserve"> </w:t>
      </w:r>
      <w:r w:rsidRPr="00EA59C0">
        <w:t>to</w:t>
      </w:r>
      <w:r w:rsidR="00C026A6" w:rsidRPr="00EA59C0">
        <w:t xml:space="preserve"> </w:t>
      </w:r>
      <w:r w:rsidRPr="00EA59C0">
        <w:t>adhere</w:t>
      </w:r>
      <w:r w:rsidR="00C026A6" w:rsidRPr="00EA59C0">
        <w:t xml:space="preserve"> </w:t>
      </w:r>
      <w:r w:rsidRPr="00EA59C0">
        <w:t>to</w:t>
      </w:r>
      <w:r w:rsidR="00C026A6" w:rsidRPr="00EA59C0">
        <w:t xml:space="preserve"> </w:t>
      </w:r>
      <w:r w:rsidRPr="00EA59C0">
        <w:t>the</w:t>
      </w:r>
      <w:r w:rsidR="00C026A6" w:rsidRPr="00EA59C0">
        <w:t xml:space="preserve"> </w:t>
      </w:r>
      <w:r w:rsidRPr="00EA59C0">
        <w:t>instructions</w:t>
      </w:r>
      <w:r w:rsidR="00C026A6" w:rsidRPr="00EA59C0">
        <w:t xml:space="preserve"> </w:t>
      </w:r>
      <w:r w:rsidRPr="00EA59C0">
        <w:t>in</w:t>
      </w:r>
      <w:r w:rsidR="00C026A6" w:rsidRPr="00EA59C0">
        <w:t xml:space="preserve"> </w:t>
      </w:r>
      <w:r w:rsidRPr="00EA59C0">
        <w:t>this</w:t>
      </w:r>
      <w:r w:rsidR="00C026A6" w:rsidRPr="00EA59C0">
        <w:t xml:space="preserve"> </w:t>
      </w:r>
      <w:r w:rsidRPr="00EA59C0">
        <w:t>section</w:t>
      </w:r>
      <w:r w:rsidR="00C026A6" w:rsidRPr="00EA59C0">
        <w:t xml:space="preserve"> </w:t>
      </w:r>
      <w:r w:rsidRPr="00EA59C0">
        <w:t>will</w:t>
      </w:r>
      <w:r w:rsidR="00C026A6" w:rsidRPr="00EA59C0">
        <w:t xml:space="preserve"> </w:t>
      </w:r>
      <w:r w:rsidRPr="00EA59C0">
        <w:t>not</w:t>
      </w:r>
      <w:r w:rsidR="00C026A6" w:rsidRPr="00EA59C0">
        <w:t xml:space="preserve"> </w:t>
      </w:r>
      <w:r w:rsidRPr="00EA59C0">
        <w:t>be</w:t>
      </w:r>
      <w:r w:rsidR="00C026A6" w:rsidRPr="00EA59C0">
        <w:t xml:space="preserve"> </w:t>
      </w:r>
      <w:r w:rsidRPr="00EA59C0">
        <w:t>eligible</w:t>
      </w:r>
      <w:r w:rsidR="00C026A6" w:rsidRPr="00EA59C0">
        <w:t xml:space="preserve"> </w:t>
      </w:r>
      <w:r w:rsidRPr="00EA59C0">
        <w:t>to</w:t>
      </w:r>
      <w:r w:rsidR="00C026A6" w:rsidRPr="00EA59C0">
        <w:t xml:space="preserve"> </w:t>
      </w:r>
      <w:r w:rsidRPr="00EA59C0">
        <w:t>exceed</w:t>
      </w:r>
      <w:r w:rsidR="00C026A6" w:rsidRPr="00EA59C0">
        <w:t xml:space="preserve"> </w:t>
      </w:r>
      <w:r w:rsidRPr="00EA59C0">
        <w:t>the</w:t>
      </w:r>
      <w:r w:rsidR="00C026A6" w:rsidRPr="00EA59C0">
        <w:t xml:space="preserve"> </w:t>
      </w:r>
      <w:r w:rsidRPr="00EA59C0">
        <w:t>award</w:t>
      </w:r>
      <w:r w:rsidR="00C026A6" w:rsidRPr="00EA59C0">
        <w:t xml:space="preserve"> </w:t>
      </w:r>
      <w:r w:rsidRPr="00EA59C0">
        <w:t>amount</w:t>
      </w:r>
      <w:r w:rsidR="00C026A6" w:rsidRPr="00EA59C0">
        <w:t xml:space="preserve"> </w:t>
      </w:r>
      <w:r w:rsidRPr="00EA59C0">
        <w:t>ceiling</w:t>
      </w:r>
      <w:r w:rsidR="00C026A6" w:rsidRPr="00EA59C0">
        <w:t xml:space="preserve"> </w:t>
      </w:r>
      <w:r w:rsidRPr="00EA59C0">
        <w:t>and</w:t>
      </w:r>
      <w:r w:rsidR="00C026A6" w:rsidRPr="00EA59C0">
        <w:t xml:space="preserve"> </w:t>
      </w:r>
      <w:r w:rsidRPr="00EA59C0">
        <w:t>will</w:t>
      </w:r>
      <w:r w:rsidR="00C026A6" w:rsidRPr="00EA59C0">
        <w:t xml:space="preserve"> </w:t>
      </w:r>
      <w:r w:rsidRPr="00EA59C0">
        <w:t>only</w:t>
      </w:r>
      <w:r w:rsidR="00C026A6" w:rsidRPr="00EA59C0">
        <w:t xml:space="preserve"> </w:t>
      </w:r>
      <w:r w:rsidRPr="00EA59C0">
        <w:t>be</w:t>
      </w:r>
      <w:r w:rsidR="00C026A6" w:rsidRPr="00EA59C0">
        <w:t xml:space="preserve"> </w:t>
      </w:r>
      <w:r w:rsidRPr="00EA59C0">
        <w:t>eligible</w:t>
      </w:r>
      <w:r w:rsidR="00C026A6" w:rsidRPr="00EA59C0">
        <w:t xml:space="preserve"> </w:t>
      </w:r>
      <w:r w:rsidRPr="00EA59C0">
        <w:t>for</w:t>
      </w:r>
      <w:r w:rsidR="00C026A6" w:rsidRPr="00EA59C0">
        <w:t xml:space="preserve"> </w:t>
      </w:r>
      <w:r w:rsidRPr="00EA59C0">
        <w:t>funding</w:t>
      </w:r>
      <w:r w:rsidR="00C026A6" w:rsidRPr="00EA59C0">
        <w:t xml:space="preserve"> </w:t>
      </w:r>
      <w:r w:rsidRPr="00EA59C0">
        <w:t>at</w:t>
      </w:r>
      <w:r w:rsidR="00C026A6" w:rsidRPr="00EA59C0">
        <w:t xml:space="preserve"> </w:t>
      </w:r>
      <w:r w:rsidRPr="00EA59C0">
        <w:t>their</w:t>
      </w:r>
      <w:r w:rsidR="00C026A6" w:rsidRPr="00EA59C0">
        <w:t xml:space="preserve"> </w:t>
      </w:r>
      <w:r w:rsidRPr="00EA59C0">
        <w:t>base-level</w:t>
      </w:r>
      <w:r w:rsidR="00C026A6" w:rsidRPr="00EA59C0">
        <w:t xml:space="preserve"> </w:t>
      </w:r>
      <w:r w:rsidRPr="00EA59C0">
        <w:t>funding</w:t>
      </w:r>
      <w:r w:rsidR="00C026A6" w:rsidRPr="00EA59C0">
        <w:t xml:space="preserve"> </w:t>
      </w:r>
      <w:r w:rsidRPr="00EA59C0">
        <w:t>request.</w:t>
      </w:r>
    </w:p>
    <w:p w:rsidR="006862EB" w:rsidRPr="00EA59C0" w:rsidRDefault="006862EB">
      <w:pPr>
        <w:pStyle w:val="ListParagraph"/>
        <w:tabs>
          <w:tab w:val="num" w:pos="720"/>
        </w:tabs>
        <w:ind w:left="1080"/>
      </w:pPr>
    </w:p>
    <w:p w:rsidR="006862EB" w:rsidRPr="00EA59C0" w:rsidRDefault="00894400">
      <w:pPr>
        <w:pStyle w:val="ListParagraph"/>
        <w:tabs>
          <w:tab w:val="num" w:pos="720"/>
        </w:tabs>
        <w:ind w:left="1080"/>
      </w:pPr>
      <w:r w:rsidRPr="00EA59C0">
        <w:t>If</w:t>
      </w:r>
      <w:r w:rsidR="00C026A6" w:rsidRPr="00EA59C0">
        <w:t xml:space="preserve"> </w:t>
      </w:r>
      <w:r w:rsidRPr="00EA59C0">
        <w:t>using</w:t>
      </w:r>
      <w:r w:rsidR="00C026A6" w:rsidRPr="00EA59C0">
        <w:t xml:space="preserve"> </w:t>
      </w:r>
      <w:r w:rsidRPr="00EA59C0">
        <w:t>grants.gov</w:t>
      </w:r>
      <w:r w:rsidR="00C026A6" w:rsidRPr="00EA59C0">
        <w:t xml:space="preserve"> </w:t>
      </w:r>
      <w:r w:rsidRPr="00EA59C0">
        <w:t>for</w:t>
      </w:r>
      <w:r w:rsidR="00C026A6" w:rsidRPr="00EA59C0">
        <w:t xml:space="preserve"> </w:t>
      </w:r>
      <w:r w:rsidRPr="00EA59C0">
        <w:t>submission,</w:t>
      </w:r>
      <w:r w:rsidR="00C026A6" w:rsidRPr="00EA59C0">
        <w:t xml:space="preserve"> </w:t>
      </w:r>
      <w:r w:rsidRPr="00EA59C0">
        <w:t>th</w:t>
      </w:r>
      <w:r w:rsidR="00B21B95" w:rsidRPr="00EA59C0">
        <w:t>ese</w:t>
      </w:r>
      <w:r w:rsidR="00C026A6" w:rsidRPr="00EA59C0">
        <w:t xml:space="preserve"> </w:t>
      </w:r>
      <w:r w:rsidRPr="00EA59C0">
        <w:t>document</w:t>
      </w:r>
      <w:r w:rsidR="00B21B95" w:rsidRPr="00EA59C0">
        <w:t>s</w:t>
      </w:r>
      <w:r w:rsidR="00C026A6" w:rsidRPr="00EA59C0">
        <w:t xml:space="preserve"> </w:t>
      </w:r>
      <w:r w:rsidRPr="00EA59C0">
        <w:t>must</w:t>
      </w:r>
      <w:r w:rsidR="00C026A6" w:rsidRPr="00EA59C0">
        <w:t xml:space="preserve"> </w:t>
      </w:r>
      <w:r w:rsidRPr="00EA59C0">
        <w:t>be</w:t>
      </w:r>
      <w:r w:rsidR="00C026A6" w:rsidRPr="00EA59C0">
        <w:t xml:space="preserve"> </w:t>
      </w:r>
      <w:r w:rsidRPr="00EA59C0">
        <w:t>attached</w:t>
      </w:r>
      <w:r w:rsidR="00C026A6" w:rsidRPr="00EA59C0">
        <w:t xml:space="preserve"> </w:t>
      </w:r>
      <w:r w:rsidRPr="00EA59C0">
        <w:t>under</w:t>
      </w:r>
      <w:r w:rsidR="00C026A6" w:rsidRPr="00EA59C0">
        <w:t xml:space="preserve"> </w:t>
      </w:r>
      <w:r w:rsidRPr="00EA59C0">
        <w:t>the</w:t>
      </w:r>
      <w:r w:rsidR="00C026A6" w:rsidRPr="00EA59C0">
        <w:t xml:space="preserve"> </w:t>
      </w:r>
      <w:r w:rsidRPr="00EA59C0">
        <w:t>Mandatory</w:t>
      </w:r>
      <w:r w:rsidR="00C026A6" w:rsidRPr="00EA59C0">
        <w:t xml:space="preserve"> </w:t>
      </w:r>
      <w:r w:rsidRPr="00EA59C0">
        <w:t>Other</w:t>
      </w:r>
      <w:r w:rsidR="00C026A6" w:rsidRPr="00EA59C0">
        <w:t xml:space="preserve"> </w:t>
      </w:r>
      <w:r w:rsidRPr="00EA59C0">
        <w:t>Attachment</w:t>
      </w:r>
      <w:r w:rsidR="00C026A6" w:rsidRPr="00EA59C0">
        <w:t xml:space="preserve"> </w:t>
      </w:r>
      <w:r w:rsidRPr="00EA59C0">
        <w:t>section</w:t>
      </w:r>
      <w:r w:rsidR="00C026A6" w:rsidRPr="00EA59C0">
        <w:t xml:space="preserve"> </w:t>
      </w:r>
      <w:r w:rsidRPr="00EA59C0">
        <w:t>and</w:t>
      </w:r>
      <w:r w:rsidR="00C026A6" w:rsidRPr="00EA59C0">
        <w:t xml:space="preserve"> </w:t>
      </w:r>
      <w:r w:rsidRPr="00EA59C0">
        <w:t>labeled</w:t>
      </w:r>
      <w:r w:rsidR="00C026A6" w:rsidRPr="00EA59C0">
        <w:t xml:space="preserve"> </w:t>
      </w:r>
      <w:r w:rsidRPr="00EA59C0">
        <w:t>“Supplementary</w:t>
      </w:r>
      <w:r w:rsidR="00C026A6" w:rsidRPr="00EA59C0">
        <w:t xml:space="preserve"> </w:t>
      </w:r>
      <w:r w:rsidRPr="00EA59C0">
        <w:t>Materials</w:t>
      </w:r>
      <w:r w:rsidR="00C026A6" w:rsidRPr="00EA59C0">
        <w:t xml:space="preserve"> </w:t>
      </w:r>
      <w:r w:rsidRPr="00EA59C0">
        <w:t>for</w:t>
      </w:r>
      <w:r w:rsidR="00C026A6" w:rsidRPr="00EA59C0">
        <w:t xml:space="preserve"> </w:t>
      </w:r>
      <w:r w:rsidRPr="00EA59C0">
        <w:t>Requesting</w:t>
      </w:r>
      <w:r w:rsidR="00C026A6" w:rsidRPr="00EA59C0">
        <w:t xml:space="preserve"> </w:t>
      </w:r>
      <w:r w:rsidRPr="00EA59C0">
        <w:t>Additional</w:t>
      </w:r>
      <w:r w:rsidR="00C026A6" w:rsidRPr="00EA59C0">
        <w:t xml:space="preserve"> </w:t>
      </w:r>
      <w:r w:rsidRPr="00EA59C0">
        <w:t>Funding</w:t>
      </w:r>
      <w:r w:rsidR="00C026A6" w:rsidRPr="00EA59C0">
        <w:t xml:space="preserve"> </w:t>
      </w:r>
      <w:r w:rsidRPr="00EA59C0">
        <w:t>Budget</w:t>
      </w:r>
      <w:r w:rsidR="00C026A6" w:rsidRPr="00EA59C0">
        <w:t xml:space="preserve"> </w:t>
      </w:r>
      <w:r w:rsidRPr="00EA59C0">
        <w:t>Narrative,”</w:t>
      </w:r>
      <w:r w:rsidR="00C026A6" w:rsidRPr="00EA59C0">
        <w:t xml:space="preserve"> </w:t>
      </w:r>
      <w:r w:rsidRPr="00EA59C0">
        <w:t>“Supplementary</w:t>
      </w:r>
      <w:r w:rsidR="00C026A6" w:rsidRPr="00EA59C0">
        <w:t xml:space="preserve"> </w:t>
      </w:r>
      <w:r w:rsidRPr="00EA59C0">
        <w:t>Materials</w:t>
      </w:r>
      <w:r w:rsidR="00C026A6" w:rsidRPr="00EA59C0">
        <w:t xml:space="preserve"> </w:t>
      </w:r>
      <w:r w:rsidRPr="00EA59C0">
        <w:t>for</w:t>
      </w:r>
      <w:r w:rsidR="00C026A6" w:rsidRPr="00EA59C0">
        <w:t xml:space="preserve"> </w:t>
      </w:r>
      <w:r w:rsidRPr="00EA59C0">
        <w:t>Requesting</w:t>
      </w:r>
      <w:r w:rsidR="00C026A6" w:rsidRPr="00EA59C0">
        <w:t xml:space="preserve"> </w:t>
      </w:r>
      <w:r w:rsidRPr="00EA59C0">
        <w:t>Addi</w:t>
      </w:r>
      <w:r w:rsidR="00B21B95" w:rsidRPr="00EA59C0">
        <w:t>tional</w:t>
      </w:r>
      <w:r w:rsidR="00C026A6" w:rsidRPr="00EA59C0">
        <w:t xml:space="preserve"> </w:t>
      </w:r>
      <w:r w:rsidR="00B21B95" w:rsidRPr="00EA59C0">
        <w:t>Funding</w:t>
      </w:r>
      <w:r w:rsidR="00C026A6" w:rsidRPr="00EA59C0">
        <w:t xml:space="preserve"> </w:t>
      </w:r>
      <w:r w:rsidRPr="00EA59C0">
        <w:t>Factors</w:t>
      </w:r>
      <w:r w:rsidR="00C026A6" w:rsidRPr="00EA59C0">
        <w:t xml:space="preserve"> </w:t>
      </w:r>
      <w:r w:rsidRPr="00EA59C0">
        <w:t>for</w:t>
      </w:r>
      <w:r w:rsidR="00C026A6" w:rsidRPr="00EA59C0">
        <w:t xml:space="preserve"> </w:t>
      </w:r>
      <w:r w:rsidRPr="00EA59C0">
        <w:t>Consideration,”</w:t>
      </w:r>
      <w:r w:rsidR="00C026A6" w:rsidRPr="00EA59C0">
        <w:t xml:space="preserve"> </w:t>
      </w:r>
      <w:r w:rsidRPr="00EA59C0">
        <w:t>and</w:t>
      </w:r>
      <w:r w:rsidR="00C026A6" w:rsidRPr="00EA59C0">
        <w:t xml:space="preserve"> </w:t>
      </w:r>
      <w:r w:rsidRPr="00EA59C0">
        <w:t>“Supplementary</w:t>
      </w:r>
      <w:r w:rsidR="00C026A6" w:rsidRPr="00EA59C0">
        <w:t xml:space="preserve"> </w:t>
      </w:r>
      <w:r w:rsidRPr="00EA59C0">
        <w:t>Materials</w:t>
      </w:r>
      <w:r w:rsidR="00C026A6" w:rsidRPr="00EA59C0">
        <w:t xml:space="preserve"> </w:t>
      </w:r>
      <w:r w:rsidRPr="00EA59C0">
        <w:t>for</w:t>
      </w:r>
      <w:r w:rsidR="00C026A6" w:rsidRPr="00EA59C0">
        <w:t xml:space="preserve"> </w:t>
      </w:r>
      <w:r w:rsidRPr="00EA59C0">
        <w:t>Requesting</w:t>
      </w:r>
      <w:r w:rsidR="00C026A6" w:rsidRPr="00EA59C0">
        <w:t xml:space="preserve"> </w:t>
      </w:r>
      <w:r w:rsidRPr="00EA59C0">
        <w:t>Addi</w:t>
      </w:r>
      <w:r w:rsidR="00B21B95" w:rsidRPr="00EA59C0">
        <w:t>tional</w:t>
      </w:r>
      <w:r w:rsidR="00C026A6" w:rsidRPr="00EA59C0">
        <w:t xml:space="preserve"> </w:t>
      </w:r>
      <w:r w:rsidR="00B21B95" w:rsidRPr="00EA59C0">
        <w:t>Funding</w:t>
      </w:r>
      <w:r w:rsidR="00C026A6" w:rsidRPr="00EA59C0">
        <w:t xml:space="preserve"> </w:t>
      </w:r>
      <w:r w:rsidRPr="00EA59C0">
        <w:t>Attachments.”</w:t>
      </w:r>
      <w:r w:rsidR="00C026A6" w:rsidRPr="00EA59C0">
        <w:t xml:space="preserve">  </w:t>
      </w:r>
      <w:r w:rsidRPr="00EA59C0">
        <w:t>Please</w:t>
      </w:r>
      <w:r w:rsidR="00C026A6" w:rsidRPr="00EA59C0">
        <w:t xml:space="preserve"> </w:t>
      </w:r>
      <w:r w:rsidRPr="00EA59C0">
        <w:t>note</w:t>
      </w:r>
      <w:r w:rsidR="00C026A6" w:rsidRPr="00EA59C0">
        <w:t xml:space="preserve"> </w:t>
      </w:r>
      <w:r w:rsidRPr="00EA59C0">
        <w:t>that</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be</w:t>
      </w:r>
      <w:r w:rsidR="00C026A6" w:rsidRPr="00EA59C0">
        <w:t xml:space="preserve"> </w:t>
      </w:r>
      <w:r w:rsidRPr="00EA59C0">
        <w:t>held</w:t>
      </w:r>
      <w:r w:rsidR="00C026A6" w:rsidRPr="00EA59C0">
        <w:t xml:space="preserve"> </w:t>
      </w:r>
      <w:r w:rsidRPr="00EA59C0">
        <w:t>to</w:t>
      </w:r>
      <w:r w:rsidR="00C026A6" w:rsidRPr="00EA59C0">
        <w:t xml:space="preserve"> </w:t>
      </w:r>
      <w:r w:rsidRPr="00EA59C0">
        <w:t>outcomes</w:t>
      </w:r>
      <w:r w:rsidR="00C026A6" w:rsidRPr="00EA59C0">
        <w:t xml:space="preserve"> </w:t>
      </w:r>
      <w:r w:rsidRPr="00EA59C0">
        <w:t>provided</w:t>
      </w:r>
      <w:r w:rsidR="00C026A6" w:rsidRPr="00EA59C0">
        <w:t xml:space="preserve"> </w:t>
      </w:r>
      <w:r w:rsidRPr="00EA59C0">
        <w:t>and</w:t>
      </w:r>
      <w:r w:rsidR="00C026A6" w:rsidRPr="00EA59C0">
        <w:t xml:space="preserve"> </w:t>
      </w:r>
      <w:r w:rsidRPr="00EA59C0">
        <w:t>failure</w:t>
      </w:r>
      <w:r w:rsidR="00C026A6" w:rsidRPr="00EA59C0">
        <w:t xml:space="preserve"> </w:t>
      </w:r>
      <w:r w:rsidRPr="00EA59C0">
        <w:t>to</w:t>
      </w:r>
      <w:r w:rsidR="00C026A6" w:rsidRPr="00EA59C0">
        <w:t xml:space="preserve"> </w:t>
      </w:r>
      <w:r w:rsidRPr="00EA59C0">
        <w:t>meet</w:t>
      </w:r>
      <w:r w:rsidR="00C026A6" w:rsidRPr="00EA59C0">
        <w:t xml:space="preserve"> </w:t>
      </w:r>
      <w:r w:rsidRPr="00EA59C0">
        <w:t>those</w:t>
      </w:r>
      <w:r w:rsidR="00C026A6" w:rsidRPr="00EA59C0">
        <w:t xml:space="preserve"> </w:t>
      </w:r>
      <w:r w:rsidRPr="00EA59C0">
        <w:t>outcomes</w:t>
      </w:r>
      <w:r w:rsidR="00C026A6" w:rsidRPr="00EA59C0">
        <w:t xml:space="preserve"> </w:t>
      </w:r>
      <w:r w:rsidRPr="00EA59C0">
        <w:t>may</w:t>
      </w:r>
      <w:r w:rsidR="00C026A6" w:rsidRPr="00EA59C0">
        <w:t xml:space="preserve"> </w:t>
      </w:r>
      <w:r w:rsidRPr="00EA59C0">
        <w:t>have</w:t>
      </w:r>
      <w:r w:rsidR="00C026A6" w:rsidRPr="00EA59C0">
        <w:t xml:space="preserve"> </w:t>
      </w:r>
      <w:r w:rsidRPr="00EA59C0">
        <w:t>a</w:t>
      </w:r>
      <w:r w:rsidR="00C026A6" w:rsidRPr="00EA59C0">
        <w:t xml:space="preserve"> </w:t>
      </w:r>
      <w:r w:rsidRPr="00EA59C0">
        <w:t>significant</w:t>
      </w:r>
      <w:r w:rsidR="00C026A6" w:rsidRPr="00EA59C0">
        <w:t xml:space="preserve"> </w:t>
      </w:r>
      <w:r w:rsidRPr="00EA59C0">
        <w:t>impact</w:t>
      </w:r>
      <w:r w:rsidR="00C026A6" w:rsidRPr="00EA59C0">
        <w:t xml:space="preserve"> </w:t>
      </w:r>
      <w:r w:rsidRPr="00EA59C0">
        <w:t>on</w:t>
      </w:r>
      <w:r w:rsidR="00C026A6" w:rsidRPr="00EA59C0">
        <w:t xml:space="preserve"> </w:t>
      </w:r>
      <w:r w:rsidRPr="00EA59C0">
        <w:t>future</w:t>
      </w:r>
      <w:r w:rsidR="00C026A6" w:rsidRPr="00EA59C0">
        <w:t xml:space="preserve"> </w:t>
      </w:r>
      <w:r w:rsidRPr="00EA59C0">
        <w:t>grants</w:t>
      </w:r>
      <w:r w:rsidR="00C026A6" w:rsidRPr="00EA59C0">
        <w:t xml:space="preserve"> </w:t>
      </w:r>
      <w:r w:rsidRPr="00EA59C0">
        <w:t>with</w:t>
      </w:r>
      <w:r w:rsidR="00C026A6" w:rsidRPr="00EA59C0">
        <w:t xml:space="preserve"> </w:t>
      </w:r>
      <w:r w:rsidRPr="00EA59C0">
        <w:t>ETA.</w:t>
      </w:r>
    </w:p>
    <w:p w:rsidR="006862EB" w:rsidRPr="00EA59C0" w:rsidRDefault="006862EB">
      <w:pPr>
        <w:pStyle w:val="ListParagraph"/>
        <w:tabs>
          <w:tab w:val="num" w:pos="720"/>
        </w:tabs>
        <w:ind w:left="1080"/>
      </w:pPr>
    </w:p>
    <w:p w:rsidR="0078298B" w:rsidRPr="00EA59C0" w:rsidRDefault="0078298B">
      <w:pPr>
        <w:pStyle w:val="ListParagraph"/>
        <w:numPr>
          <w:ilvl w:val="3"/>
          <w:numId w:val="17"/>
        </w:numPr>
      </w:pPr>
      <w:r w:rsidRPr="00EA59C0">
        <w:t>Budget</w:t>
      </w:r>
      <w:r w:rsidR="00C026A6" w:rsidRPr="00EA59C0">
        <w:t xml:space="preserve"> </w:t>
      </w:r>
      <w:r w:rsidRPr="00EA59C0">
        <w:t>Narrative</w:t>
      </w:r>
    </w:p>
    <w:p w:rsidR="0078298B" w:rsidRPr="00EA59C0" w:rsidRDefault="0078298B">
      <w:pPr>
        <w:pStyle w:val="ListParagraph"/>
        <w:ind w:left="1440"/>
      </w:pPr>
      <w:r w:rsidRPr="00EA59C0">
        <w:t>The</w:t>
      </w:r>
      <w:r w:rsidR="00C026A6" w:rsidRPr="00EA59C0">
        <w:t xml:space="preserve"> </w:t>
      </w:r>
      <w:r w:rsidRPr="00EA59C0">
        <w:t>budget</w:t>
      </w:r>
      <w:r w:rsidR="00C026A6" w:rsidRPr="00EA59C0">
        <w:t xml:space="preserve"> </w:t>
      </w:r>
      <w:r w:rsidRPr="00EA59C0">
        <w:t>narrative</w:t>
      </w:r>
      <w:r w:rsidR="00C026A6" w:rsidRPr="00EA59C0">
        <w:t xml:space="preserve"> </w:t>
      </w:r>
      <w:r w:rsidRPr="00EA59C0">
        <w:t>must</w:t>
      </w:r>
      <w:r w:rsidR="00C026A6" w:rsidRPr="00EA59C0">
        <w:t xml:space="preserve"> </w:t>
      </w:r>
      <w:r w:rsidRPr="00EA59C0">
        <w:t>provide</w:t>
      </w:r>
      <w:r w:rsidR="00C026A6" w:rsidRPr="00EA59C0">
        <w:t xml:space="preserve"> </w:t>
      </w:r>
      <w:r w:rsidRPr="00EA59C0">
        <w:t>a</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the</w:t>
      </w:r>
      <w:r w:rsidR="00C026A6" w:rsidRPr="00EA59C0">
        <w:t xml:space="preserve"> </w:t>
      </w:r>
      <w:r w:rsidRPr="00EA59C0">
        <w:t>additional</w:t>
      </w:r>
      <w:r w:rsidR="00C026A6" w:rsidRPr="00EA59C0">
        <w:t xml:space="preserve"> </w:t>
      </w:r>
      <w:r w:rsidRPr="00EA59C0">
        <w:t>costs</w:t>
      </w:r>
      <w:r w:rsidR="00C026A6" w:rsidRPr="00EA59C0">
        <w:t xml:space="preserve"> </w:t>
      </w:r>
      <w:r w:rsidRPr="00EA59C0">
        <w:t>for</w:t>
      </w:r>
      <w:r w:rsidR="00C026A6" w:rsidRPr="00EA59C0">
        <w:t xml:space="preserve"> </w:t>
      </w:r>
      <w:r w:rsidRPr="00EA59C0">
        <w:t>addressing</w:t>
      </w:r>
      <w:r w:rsidR="00C026A6" w:rsidRPr="00EA59C0">
        <w:t xml:space="preserve"> </w:t>
      </w:r>
      <w:r w:rsidRPr="00EA59C0">
        <w:t>one</w:t>
      </w:r>
      <w:r w:rsidR="00C026A6" w:rsidRPr="00EA59C0">
        <w:t xml:space="preserve"> </w:t>
      </w:r>
      <w:r w:rsidRPr="00EA59C0">
        <w:t>of</w:t>
      </w:r>
      <w:r w:rsidR="00C026A6" w:rsidRPr="00EA59C0">
        <w:t xml:space="preserve"> </w:t>
      </w:r>
      <w:r w:rsidRPr="00EA59C0">
        <w:t>the</w:t>
      </w:r>
      <w:r w:rsidR="00C026A6" w:rsidRPr="00EA59C0">
        <w:t xml:space="preserve"> </w:t>
      </w:r>
      <w:r w:rsidRPr="00EA59C0">
        <w:t>options</w:t>
      </w:r>
      <w:r w:rsidR="00C026A6" w:rsidRPr="00EA59C0">
        <w:t xml:space="preserve"> </w:t>
      </w:r>
      <w:r w:rsidRPr="00EA59C0">
        <w:t>above.</w:t>
      </w:r>
      <w:r w:rsidR="00C026A6" w:rsidRPr="00EA59C0">
        <w:t xml:space="preserve"> </w:t>
      </w:r>
      <w:r w:rsidRPr="00EA59C0">
        <w:t>All</w:t>
      </w:r>
      <w:r w:rsidR="00C026A6" w:rsidRPr="00EA59C0">
        <w:t xml:space="preserve"> </w:t>
      </w:r>
      <w:r w:rsidRPr="00EA59C0">
        <w:t>costs</w:t>
      </w:r>
      <w:r w:rsidR="00C026A6" w:rsidRPr="00EA59C0">
        <w:t xml:space="preserve"> </w:t>
      </w:r>
      <w:r w:rsidRPr="00EA59C0">
        <w:t>included</w:t>
      </w:r>
      <w:r w:rsidR="00C026A6" w:rsidRPr="00EA59C0">
        <w:t xml:space="preserve"> </w:t>
      </w:r>
      <w:r w:rsidRPr="00EA59C0">
        <w:t>in</w:t>
      </w:r>
      <w:r w:rsidR="00C026A6" w:rsidRPr="00EA59C0">
        <w:t xml:space="preserve"> </w:t>
      </w:r>
      <w:r w:rsidRPr="00EA59C0">
        <w:t>the</w:t>
      </w:r>
      <w:r w:rsidR="00C026A6" w:rsidRPr="00EA59C0">
        <w:t xml:space="preserve"> </w:t>
      </w:r>
      <w:r w:rsidRPr="00EA59C0">
        <w:t>supplementary</w:t>
      </w:r>
      <w:r w:rsidR="00C026A6" w:rsidRPr="00EA59C0">
        <w:t xml:space="preserve"> </w:t>
      </w:r>
      <w:r w:rsidRPr="00EA59C0">
        <w:t>budget</w:t>
      </w:r>
      <w:r w:rsidR="00C026A6" w:rsidRPr="00EA59C0">
        <w:t xml:space="preserve"> </w:t>
      </w:r>
      <w:r w:rsidRPr="00EA59C0">
        <w:t>narrative</w:t>
      </w:r>
      <w:r w:rsidR="00C026A6" w:rsidRPr="00EA59C0">
        <w:t xml:space="preserve"> </w:t>
      </w:r>
      <w:r w:rsidRPr="00EA59C0">
        <w:t>must</w:t>
      </w:r>
      <w:r w:rsidR="00C026A6" w:rsidRPr="00EA59C0">
        <w:t xml:space="preserve"> </w:t>
      </w:r>
      <w:r w:rsidRPr="00EA59C0">
        <w:t>be</w:t>
      </w:r>
      <w:r w:rsidR="00C026A6" w:rsidRPr="00EA59C0">
        <w:t xml:space="preserve"> </w:t>
      </w:r>
      <w:r w:rsidRPr="00EA59C0">
        <w:t>reasonable</w:t>
      </w:r>
      <w:r w:rsidR="00C026A6" w:rsidRPr="00EA59C0">
        <w:t xml:space="preserve"> </w:t>
      </w:r>
      <w:r w:rsidRPr="00EA59C0">
        <w:t>and</w:t>
      </w:r>
      <w:r w:rsidR="00C026A6" w:rsidRPr="00EA59C0">
        <w:t xml:space="preserve"> </w:t>
      </w:r>
      <w:r w:rsidRPr="00EA59C0">
        <w:t>appropriate</w:t>
      </w:r>
      <w:r w:rsidR="00C026A6" w:rsidRPr="00EA59C0">
        <w:t xml:space="preserve"> </w:t>
      </w:r>
      <w:r w:rsidRPr="00EA59C0">
        <w:t>to</w:t>
      </w:r>
      <w:r w:rsidR="00C026A6" w:rsidRPr="00EA59C0">
        <w:t xml:space="preserve"> </w:t>
      </w:r>
      <w:r w:rsidRPr="00EA59C0">
        <w:t>the</w:t>
      </w:r>
      <w:r w:rsidR="00C026A6" w:rsidRPr="00EA59C0">
        <w:t xml:space="preserve"> </w:t>
      </w:r>
      <w:r w:rsidRPr="00EA59C0">
        <w:t>project</w:t>
      </w:r>
      <w:r w:rsidR="00C026A6" w:rsidRPr="00EA59C0">
        <w:t xml:space="preserve"> </w:t>
      </w:r>
      <w:r w:rsidRPr="00EA59C0">
        <w:t>timeline</w:t>
      </w:r>
      <w:r w:rsidR="00C026A6" w:rsidRPr="00EA59C0">
        <w:t xml:space="preserve"> </w:t>
      </w:r>
      <w:r w:rsidRPr="00EA59C0">
        <w:t>and</w:t>
      </w:r>
      <w:r w:rsidR="00C026A6" w:rsidRPr="00EA59C0">
        <w:t xml:space="preserve"> </w:t>
      </w:r>
      <w:r w:rsidRPr="00EA59C0">
        <w:t>deliverables.</w:t>
      </w:r>
      <w:r w:rsidR="00C026A6" w:rsidRPr="00EA59C0">
        <w:t xml:space="preserve">  </w:t>
      </w:r>
      <w:r w:rsidRPr="00EA59C0">
        <w:t>The</w:t>
      </w:r>
      <w:r w:rsidR="00C026A6" w:rsidRPr="00EA59C0">
        <w:t xml:space="preserve"> </w:t>
      </w:r>
      <w:r w:rsidRPr="00EA59C0">
        <w:t>budget</w:t>
      </w:r>
      <w:r w:rsidR="00C026A6" w:rsidRPr="00EA59C0">
        <w:t xml:space="preserve"> </w:t>
      </w:r>
      <w:r w:rsidRPr="00EA59C0">
        <w:t>narrative</w:t>
      </w:r>
      <w:r w:rsidR="00C026A6" w:rsidRPr="00EA59C0">
        <w:t xml:space="preserve"> </w:t>
      </w:r>
      <w:r w:rsidRPr="00EA59C0">
        <w:t>should</w:t>
      </w:r>
      <w:r w:rsidR="00C026A6" w:rsidRPr="00EA59C0">
        <w:t xml:space="preserve"> </w:t>
      </w:r>
      <w:r w:rsidRPr="00EA59C0">
        <w:t>not</w:t>
      </w:r>
      <w:r w:rsidR="00C026A6" w:rsidRPr="00EA59C0">
        <w:t xml:space="preserve"> </w:t>
      </w:r>
      <w:r w:rsidRPr="00EA59C0">
        <w:t>exceed</w:t>
      </w:r>
      <w:r w:rsidR="00C026A6" w:rsidRPr="00EA59C0">
        <w:t xml:space="preserve"> </w:t>
      </w:r>
      <w:r w:rsidRPr="00EA59C0">
        <w:t>2</w:t>
      </w:r>
      <w:r w:rsidR="00C026A6" w:rsidRPr="00EA59C0">
        <w:t xml:space="preserve"> </w:t>
      </w:r>
      <w:r w:rsidRPr="00EA59C0">
        <w:t>double-spaced,</w:t>
      </w:r>
      <w:r w:rsidR="00C026A6" w:rsidRPr="00EA59C0">
        <w:t xml:space="preserve"> </w:t>
      </w:r>
      <w:r w:rsidRPr="00EA59C0">
        <w:t>single-sided,</w:t>
      </w:r>
      <w:r w:rsidR="00C026A6" w:rsidRPr="00EA59C0">
        <w:t xml:space="preserve"> </w:t>
      </w:r>
      <w:r w:rsidRPr="00EA59C0">
        <w:t>8.5</w:t>
      </w:r>
      <w:r w:rsidR="00C026A6" w:rsidRPr="00EA59C0">
        <w:t xml:space="preserve"> </w:t>
      </w:r>
      <w:r w:rsidRPr="00EA59C0">
        <w:t>x</w:t>
      </w:r>
      <w:r w:rsidR="00C026A6" w:rsidRPr="00EA59C0">
        <w:t xml:space="preserve"> </w:t>
      </w:r>
      <w:r w:rsidRPr="00EA59C0">
        <w:t>11</w:t>
      </w:r>
      <w:r w:rsidR="00C026A6" w:rsidRPr="00EA59C0">
        <w:t xml:space="preserve"> </w:t>
      </w:r>
      <w:r w:rsidRPr="00EA59C0">
        <w:t>inch</w:t>
      </w:r>
      <w:r w:rsidR="00C026A6" w:rsidRPr="00EA59C0">
        <w:t xml:space="preserve"> </w:t>
      </w:r>
      <w:r w:rsidRPr="00EA59C0">
        <w:t>pages</w:t>
      </w:r>
      <w:r w:rsidR="00C026A6" w:rsidRPr="00EA59C0">
        <w:t xml:space="preserve"> </w:t>
      </w:r>
      <w:r w:rsidRPr="00EA59C0">
        <w:t>with</w:t>
      </w:r>
      <w:r w:rsidR="00C026A6" w:rsidRPr="00EA59C0">
        <w:t xml:space="preserve"> </w:t>
      </w:r>
      <w:r w:rsidRPr="00EA59C0">
        <w:t>12</w:t>
      </w:r>
      <w:r w:rsidR="00C026A6" w:rsidRPr="00EA59C0">
        <w:t xml:space="preserve"> </w:t>
      </w:r>
      <w:r w:rsidRPr="00EA59C0">
        <w:t>point</w:t>
      </w:r>
      <w:r w:rsidR="00C026A6" w:rsidRPr="00EA59C0">
        <w:t xml:space="preserve"> </w:t>
      </w:r>
      <w:r w:rsidRPr="00EA59C0">
        <w:t>text</w:t>
      </w:r>
      <w:r w:rsidR="00C026A6" w:rsidRPr="00EA59C0">
        <w:t xml:space="preserve"> </w:t>
      </w:r>
      <w:r w:rsidRPr="00EA59C0">
        <w:t>font</w:t>
      </w:r>
      <w:r w:rsidR="00C026A6" w:rsidRPr="00EA59C0">
        <w:t xml:space="preserve"> </w:t>
      </w:r>
      <w:r w:rsidRPr="00EA59C0">
        <w:t>and</w:t>
      </w:r>
      <w:r w:rsidR="00C026A6" w:rsidRPr="00EA59C0">
        <w:t xml:space="preserve"> </w:t>
      </w:r>
      <w:r w:rsidRPr="00EA59C0">
        <w:t>1</w:t>
      </w:r>
      <w:r w:rsidR="00C026A6" w:rsidRPr="00EA59C0">
        <w:t xml:space="preserve"> </w:t>
      </w:r>
      <w:r w:rsidRPr="00EA59C0">
        <w:t>inch</w:t>
      </w:r>
      <w:r w:rsidR="00C026A6" w:rsidRPr="00EA59C0">
        <w:t xml:space="preserve"> </w:t>
      </w:r>
      <w:r w:rsidRPr="00EA59C0">
        <w:t>margins</w:t>
      </w:r>
    </w:p>
    <w:p w:rsidR="0078298B" w:rsidRPr="00EA59C0" w:rsidRDefault="0078298B">
      <w:pPr>
        <w:pStyle w:val="ListParagraph"/>
        <w:ind w:left="1080"/>
      </w:pPr>
    </w:p>
    <w:p w:rsidR="0078298B" w:rsidRPr="00EA59C0" w:rsidRDefault="0078298B">
      <w:pPr>
        <w:pStyle w:val="ListParagraph"/>
        <w:numPr>
          <w:ilvl w:val="3"/>
          <w:numId w:val="17"/>
        </w:numPr>
      </w:pPr>
      <w:r w:rsidRPr="00EA59C0">
        <w:t>Factors</w:t>
      </w:r>
      <w:r w:rsidR="00C026A6" w:rsidRPr="00EA59C0">
        <w:t xml:space="preserve"> </w:t>
      </w:r>
      <w:r w:rsidRPr="00EA59C0">
        <w:t>for</w:t>
      </w:r>
      <w:r w:rsidR="00C026A6" w:rsidRPr="00EA59C0">
        <w:t xml:space="preserve"> </w:t>
      </w:r>
      <w:r w:rsidRPr="00EA59C0">
        <w:t>Consideration</w:t>
      </w:r>
    </w:p>
    <w:p w:rsidR="0078298B" w:rsidRPr="00EA59C0" w:rsidRDefault="0078298B">
      <w:pPr>
        <w:pStyle w:val="ListParagraph"/>
        <w:ind w:left="1440"/>
      </w:pPr>
      <w:r w:rsidRPr="00EA59C0">
        <w:t>The</w:t>
      </w:r>
      <w:r w:rsidR="00C026A6" w:rsidRPr="00EA59C0">
        <w:t xml:space="preserve"> </w:t>
      </w:r>
      <w:r w:rsidRPr="00EA59C0">
        <w:t>factors</w:t>
      </w:r>
      <w:r w:rsidR="00C026A6" w:rsidRPr="00EA59C0">
        <w:t xml:space="preserve"> </w:t>
      </w:r>
      <w:r w:rsidRPr="00EA59C0">
        <w:t>for</w:t>
      </w:r>
      <w:r w:rsidR="00C026A6" w:rsidRPr="00EA59C0">
        <w:t xml:space="preserve"> </w:t>
      </w:r>
      <w:r w:rsidRPr="00EA59C0">
        <w:t>consideration</w:t>
      </w:r>
      <w:r w:rsidR="00C026A6" w:rsidRPr="00EA59C0">
        <w:t xml:space="preserve"> </w:t>
      </w:r>
      <w:r w:rsidRPr="00EA59C0">
        <w:t>must</w:t>
      </w:r>
      <w:r w:rsidR="00C026A6" w:rsidRPr="00EA59C0">
        <w:t xml:space="preserve"> </w:t>
      </w:r>
      <w:r w:rsidRPr="00EA59C0">
        <w:t>demonstrate</w:t>
      </w:r>
      <w:r w:rsidR="00C026A6" w:rsidRPr="00EA59C0">
        <w:t xml:space="preserve"> </w:t>
      </w:r>
      <w:r w:rsidRPr="00EA59C0">
        <w:t>the</w:t>
      </w:r>
      <w:r w:rsidR="00C026A6" w:rsidRPr="00EA59C0">
        <w:t xml:space="preserve"> </w:t>
      </w:r>
      <w:r w:rsidRPr="00EA59C0">
        <w:t>applicant’s</w:t>
      </w:r>
      <w:r w:rsidR="00C026A6" w:rsidRPr="00EA59C0">
        <w:t xml:space="preserve"> </w:t>
      </w:r>
      <w:r w:rsidRPr="00EA59C0">
        <w:t>capability</w:t>
      </w:r>
      <w:r w:rsidR="00C026A6" w:rsidRPr="00EA59C0">
        <w:t xml:space="preserve"> </w:t>
      </w:r>
      <w:r w:rsidRPr="00EA59C0">
        <w:t>to</w:t>
      </w:r>
      <w:r w:rsidR="00C026A6" w:rsidRPr="00EA59C0">
        <w:t xml:space="preserve"> </w:t>
      </w:r>
      <w:r w:rsidRPr="00EA59C0">
        <w:t>implement</w:t>
      </w:r>
      <w:r w:rsidR="00C026A6" w:rsidRPr="00EA59C0">
        <w:t xml:space="preserve"> </w:t>
      </w:r>
      <w:r w:rsidRPr="00EA59C0">
        <w:t>one</w:t>
      </w:r>
      <w:r w:rsidR="00C026A6" w:rsidRPr="00EA59C0">
        <w:t xml:space="preserve"> </w:t>
      </w:r>
      <w:r w:rsidRPr="00EA59C0">
        <w:t>of</w:t>
      </w:r>
      <w:r w:rsidR="00C026A6" w:rsidRPr="00EA59C0">
        <w:t xml:space="preserve"> </w:t>
      </w:r>
      <w:r w:rsidRPr="00EA59C0">
        <w:t>the</w:t>
      </w:r>
      <w:r w:rsidR="00013CF4" w:rsidRPr="00EA59C0">
        <w:t xml:space="preserve"> </w:t>
      </w:r>
      <w:r w:rsidRPr="00EA59C0">
        <w:t>options</w:t>
      </w:r>
      <w:r w:rsidR="00C026A6" w:rsidRPr="00EA59C0">
        <w:t xml:space="preserve"> </w:t>
      </w:r>
      <w:r w:rsidRPr="00EA59C0">
        <w:t>described</w:t>
      </w:r>
      <w:r w:rsidR="00C026A6" w:rsidRPr="00EA59C0">
        <w:t xml:space="preserve"> </w:t>
      </w:r>
      <w:r w:rsidRPr="00EA59C0">
        <w:t>in</w:t>
      </w:r>
      <w:r w:rsidR="00C026A6" w:rsidRPr="00EA59C0">
        <w:t xml:space="preserve"> </w:t>
      </w:r>
      <w:r w:rsidRPr="00EA59C0">
        <w:t>detail</w:t>
      </w:r>
      <w:r w:rsidR="00C026A6" w:rsidRPr="00EA59C0">
        <w:t xml:space="preserve"> </w:t>
      </w:r>
      <w:r w:rsidRPr="00EA59C0">
        <w:t>in</w:t>
      </w:r>
      <w:r w:rsidR="00C026A6" w:rsidRPr="00EA59C0">
        <w:t xml:space="preserve"> </w:t>
      </w:r>
      <w:r w:rsidRPr="00EA59C0">
        <w:t>Section</w:t>
      </w:r>
      <w:r w:rsidR="00C026A6" w:rsidRPr="00EA59C0">
        <w:t xml:space="preserve"> </w:t>
      </w:r>
      <w:r w:rsidRPr="00EA59C0">
        <w:t>II.A.3.</w:t>
      </w:r>
      <w:r w:rsidR="00C026A6" w:rsidRPr="00EA59C0">
        <w:t xml:space="preserve"> </w:t>
      </w:r>
      <w:r w:rsidRPr="00EA59C0">
        <w:t>The</w:t>
      </w:r>
      <w:r w:rsidR="00C026A6" w:rsidRPr="00EA59C0">
        <w:t xml:space="preserve"> </w:t>
      </w:r>
      <w:r w:rsidRPr="00EA59C0">
        <w:t>factors</w:t>
      </w:r>
      <w:r w:rsidR="00C026A6" w:rsidRPr="00EA59C0">
        <w:t xml:space="preserve"> </w:t>
      </w:r>
      <w:r w:rsidRPr="00EA59C0">
        <w:t>for</w:t>
      </w:r>
      <w:r w:rsidR="00C026A6" w:rsidRPr="00EA59C0">
        <w:t xml:space="preserve"> </w:t>
      </w:r>
      <w:r w:rsidRPr="00EA59C0">
        <w:t>consideration</w:t>
      </w:r>
      <w:r w:rsidR="00C026A6" w:rsidRPr="00EA59C0">
        <w:t xml:space="preserve"> </w:t>
      </w:r>
      <w:r w:rsidRPr="00EA59C0">
        <w:t>are</w:t>
      </w:r>
      <w:r w:rsidR="00C026A6" w:rsidRPr="00EA59C0">
        <w:t xml:space="preserve"> </w:t>
      </w:r>
      <w:r w:rsidRPr="00EA59C0">
        <w:t>limited</w:t>
      </w:r>
      <w:r w:rsidR="00C026A6" w:rsidRPr="00EA59C0">
        <w:t xml:space="preserve"> </w:t>
      </w:r>
      <w:r w:rsidRPr="00EA59C0">
        <w:t>to</w:t>
      </w:r>
      <w:r w:rsidR="00C026A6" w:rsidRPr="00EA59C0">
        <w:t xml:space="preserve"> </w:t>
      </w:r>
      <w:r w:rsidRPr="00EA59C0">
        <w:t>8</w:t>
      </w:r>
      <w:r w:rsidR="00C026A6" w:rsidRPr="00EA59C0">
        <w:t xml:space="preserve"> </w:t>
      </w:r>
      <w:r w:rsidRPr="00EA59C0">
        <w:t>double-spaced,</w:t>
      </w:r>
      <w:r w:rsidR="00C026A6" w:rsidRPr="00EA59C0">
        <w:t xml:space="preserve"> </w:t>
      </w:r>
      <w:r w:rsidRPr="00EA59C0">
        <w:t>single-sided,</w:t>
      </w:r>
      <w:r w:rsidR="00C026A6" w:rsidRPr="00EA59C0">
        <w:t xml:space="preserve"> </w:t>
      </w:r>
      <w:r w:rsidRPr="00EA59C0">
        <w:t>8.5</w:t>
      </w:r>
      <w:r w:rsidR="00C026A6" w:rsidRPr="00EA59C0">
        <w:t xml:space="preserve"> </w:t>
      </w:r>
      <w:r w:rsidRPr="00EA59C0">
        <w:t>x</w:t>
      </w:r>
      <w:r w:rsidR="00C026A6" w:rsidRPr="00EA59C0">
        <w:t xml:space="preserve"> </w:t>
      </w:r>
      <w:r w:rsidRPr="00EA59C0">
        <w:t>11</w:t>
      </w:r>
      <w:r w:rsidR="00C026A6" w:rsidRPr="00EA59C0">
        <w:t xml:space="preserve"> </w:t>
      </w:r>
      <w:r w:rsidRPr="00EA59C0">
        <w:t>inch</w:t>
      </w:r>
      <w:r w:rsidR="00C026A6" w:rsidRPr="00EA59C0">
        <w:t xml:space="preserve"> </w:t>
      </w:r>
      <w:r w:rsidRPr="00EA59C0">
        <w:t>pages</w:t>
      </w:r>
      <w:r w:rsidR="00C026A6" w:rsidRPr="00EA59C0">
        <w:t xml:space="preserve"> </w:t>
      </w:r>
      <w:r w:rsidRPr="00EA59C0">
        <w:t>with</w:t>
      </w:r>
      <w:r w:rsidR="00C026A6" w:rsidRPr="00EA59C0">
        <w:t xml:space="preserve"> </w:t>
      </w:r>
      <w:r w:rsidRPr="00EA59C0">
        <w:t>12</w:t>
      </w:r>
      <w:r w:rsidR="00C026A6" w:rsidRPr="00EA59C0">
        <w:t xml:space="preserve"> </w:t>
      </w:r>
      <w:r w:rsidRPr="00EA59C0">
        <w:t>point</w:t>
      </w:r>
      <w:r w:rsidR="00C026A6" w:rsidRPr="00EA59C0">
        <w:t xml:space="preserve"> </w:t>
      </w:r>
      <w:r w:rsidRPr="00EA59C0">
        <w:t>text</w:t>
      </w:r>
      <w:r w:rsidR="00C026A6" w:rsidRPr="00EA59C0">
        <w:t xml:space="preserve"> </w:t>
      </w:r>
      <w:r w:rsidRPr="00EA59C0">
        <w:t>font</w:t>
      </w:r>
      <w:r w:rsidR="00C026A6" w:rsidRPr="00EA59C0">
        <w:t xml:space="preserve"> </w:t>
      </w:r>
      <w:r w:rsidRPr="00EA59C0">
        <w:t>and</w:t>
      </w:r>
      <w:r w:rsidR="00C026A6" w:rsidRPr="00EA59C0">
        <w:t xml:space="preserve"> </w:t>
      </w:r>
      <w:r w:rsidRPr="00EA59C0">
        <w:t>1</w:t>
      </w:r>
      <w:r w:rsidR="00C026A6" w:rsidRPr="00EA59C0">
        <w:t xml:space="preserve"> </w:t>
      </w:r>
      <w:r w:rsidRPr="00EA59C0">
        <w:t>inch</w:t>
      </w:r>
      <w:r w:rsidR="00C026A6" w:rsidRPr="00EA59C0">
        <w:t xml:space="preserve"> </w:t>
      </w:r>
      <w:r w:rsidRPr="00EA59C0">
        <w:t>margins.</w:t>
      </w:r>
      <w:r w:rsidR="00C026A6" w:rsidRPr="00EA59C0">
        <w:t xml:space="preserve"> </w:t>
      </w:r>
      <w:r w:rsidRPr="00EA59C0">
        <w:t>Any</w:t>
      </w:r>
      <w:r w:rsidR="00C026A6" w:rsidRPr="00EA59C0">
        <w:t xml:space="preserve"> </w:t>
      </w:r>
      <w:r w:rsidRPr="00EA59C0">
        <w:t>materials</w:t>
      </w:r>
      <w:r w:rsidR="00C026A6" w:rsidRPr="00EA59C0">
        <w:t xml:space="preserve"> </w:t>
      </w:r>
      <w:r w:rsidRPr="00EA59C0">
        <w:t>beyond</w:t>
      </w:r>
      <w:r w:rsidR="00C026A6" w:rsidRPr="00EA59C0">
        <w:t xml:space="preserve"> </w:t>
      </w:r>
      <w:r w:rsidRPr="00EA59C0">
        <w:t>this</w:t>
      </w:r>
      <w:r w:rsidR="00C026A6" w:rsidRPr="00EA59C0">
        <w:t xml:space="preserve"> </w:t>
      </w:r>
      <w:r w:rsidRPr="00EA59C0">
        <w:t>specified</w:t>
      </w:r>
      <w:r w:rsidR="00C026A6" w:rsidRPr="00EA59C0">
        <w:t xml:space="preserve"> </w:t>
      </w:r>
      <w:r w:rsidRPr="00EA59C0">
        <w:t>page</w:t>
      </w:r>
      <w:r w:rsidR="00C026A6" w:rsidRPr="00EA59C0">
        <w:t xml:space="preserve"> </w:t>
      </w:r>
      <w:r w:rsidRPr="00EA59C0">
        <w:t>limit</w:t>
      </w:r>
      <w:r w:rsidR="00C026A6" w:rsidRPr="00EA59C0">
        <w:t xml:space="preserve"> </w:t>
      </w:r>
      <w:r w:rsidRPr="00EA59C0">
        <w:t>will</w:t>
      </w:r>
      <w:r w:rsidR="00C026A6" w:rsidRPr="00EA59C0">
        <w:t xml:space="preserve"> </w:t>
      </w:r>
      <w:r w:rsidRPr="00EA59C0">
        <w:t>not</w:t>
      </w:r>
      <w:r w:rsidR="00C026A6" w:rsidRPr="00EA59C0">
        <w:t xml:space="preserve"> </w:t>
      </w:r>
      <w:r w:rsidRPr="00EA59C0">
        <w:t>be</w:t>
      </w:r>
      <w:r w:rsidR="00C026A6" w:rsidRPr="00EA59C0">
        <w:t xml:space="preserve"> </w:t>
      </w:r>
      <w:r w:rsidRPr="00EA59C0">
        <w:t>read.</w:t>
      </w:r>
    </w:p>
    <w:p w:rsidR="0078298B" w:rsidRPr="00EA59C0" w:rsidRDefault="0078298B">
      <w:pPr>
        <w:pStyle w:val="ListParagraph"/>
        <w:ind w:left="1440"/>
      </w:pPr>
    </w:p>
    <w:p w:rsidR="0078298B" w:rsidRPr="00EA59C0" w:rsidRDefault="00773306">
      <w:pPr>
        <w:pStyle w:val="ListParagraph"/>
        <w:ind w:left="1440"/>
      </w:pPr>
      <w:r w:rsidRPr="00EA59C0">
        <w:t>All a</w:t>
      </w:r>
      <w:r w:rsidR="0078298B" w:rsidRPr="00EA59C0">
        <w:t>pplicants</w:t>
      </w:r>
      <w:r w:rsidR="00C026A6" w:rsidRPr="00EA59C0">
        <w:t xml:space="preserve"> </w:t>
      </w:r>
      <w:r w:rsidRPr="00EA59C0">
        <w:t>seeking to exceed the c</w:t>
      </w:r>
      <w:r w:rsidR="009B66C0" w:rsidRPr="00EA59C0">
        <w:t>eiling</w:t>
      </w:r>
      <w:r w:rsidRPr="00EA59C0">
        <w:t xml:space="preserve"> </w:t>
      </w:r>
      <w:r w:rsidR="0078298B" w:rsidRPr="00EA59C0">
        <w:t>must</w:t>
      </w:r>
      <w:r w:rsidR="00C026A6" w:rsidRPr="00EA59C0">
        <w:t xml:space="preserve"> </w:t>
      </w:r>
      <w:r w:rsidR="0078298B" w:rsidRPr="00EA59C0">
        <w:t>address</w:t>
      </w:r>
      <w:r w:rsidR="00C026A6" w:rsidRPr="00EA59C0">
        <w:t xml:space="preserve"> </w:t>
      </w:r>
      <w:r w:rsidR="0078298B" w:rsidRPr="00EA59C0">
        <w:t>factors</w:t>
      </w:r>
      <w:r w:rsidR="00C026A6" w:rsidRPr="00EA59C0">
        <w:t xml:space="preserve"> </w:t>
      </w:r>
      <w:r w:rsidR="004E1445" w:rsidRPr="00EA59C0">
        <w:t>(1)</w:t>
      </w:r>
      <w:r w:rsidR="00C026A6" w:rsidRPr="00EA59C0">
        <w:t xml:space="preserve"> </w:t>
      </w:r>
      <w:r w:rsidR="004E1445" w:rsidRPr="00EA59C0">
        <w:t>–</w:t>
      </w:r>
      <w:r w:rsidR="00C026A6" w:rsidRPr="00EA59C0">
        <w:t xml:space="preserve"> </w:t>
      </w:r>
      <w:r w:rsidR="004E1445" w:rsidRPr="00EA59C0">
        <w:t>(5)</w:t>
      </w:r>
      <w:r w:rsidRPr="00EA59C0">
        <w:t xml:space="preserve"> below.</w:t>
      </w:r>
      <w:r w:rsidR="00C026A6" w:rsidRPr="00EA59C0">
        <w:t xml:space="preserve"> </w:t>
      </w:r>
      <w:r w:rsidRPr="00EA59C0">
        <w:t>In addition, a</w:t>
      </w:r>
      <w:r w:rsidR="004E1445" w:rsidRPr="00EA59C0">
        <w:t>pplicants</w:t>
      </w:r>
      <w:r w:rsidR="00C026A6" w:rsidRPr="00EA59C0">
        <w:t xml:space="preserve"> </w:t>
      </w:r>
      <w:r w:rsidR="004E1445" w:rsidRPr="00EA59C0">
        <w:t>addressing</w:t>
      </w:r>
      <w:r w:rsidR="00C026A6" w:rsidRPr="00EA59C0">
        <w:t xml:space="preserve"> </w:t>
      </w:r>
      <w:r w:rsidR="004E1445" w:rsidRPr="00EA59C0">
        <w:t>options</w:t>
      </w:r>
      <w:r w:rsidR="00C026A6" w:rsidRPr="00EA59C0">
        <w:t xml:space="preserve"> </w:t>
      </w:r>
      <w:r w:rsidR="004E1445" w:rsidRPr="00EA59C0">
        <w:t>1</w:t>
      </w:r>
      <w:r w:rsidR="00C026A6" w:rsidRPr="00EA59C0">
        <w:t xml:space="preserve"> </w:t>
      </w:r>
      <w:r w:rsidR="004E1445" w:rsidRPr="00EA59C0">
        <w:t>and</w:t>
      </w:r>
      <w:r w:rsidR="00C026A6" w:rsidRPr="00EA59C0">
        <w:t xml:space="preserve"> </w:t>
      </w:r>
      <w:r w:rsidR="004E1445" w:rsidRPr="00EA59C0">
        <w:t>2</w:t>
      </w:r>
      <w:r w:rsidR="00C026A6" w:rsidRPr="00EA59C0">
        <w:t xml:space="preserve"> </w:t>
      </w:r>
      <w:r w:rsidR="004E1445" w:rsidRPr="00EA59C0">
        <w:t>must</w:t>
      </w:r>
      <w:r w:rsidR="00C026A6" w:rsidRPr="00EA59C0">
        <w:t xml:space="preserve"> </w:t>
      </w:r>
      <w:r w:rsidRPr="00EA59C0">
        <w:t xml:space="preserve">also </w:t>
      </w:r>
      <w:r w:rsidR="004E1445" w:rsidRPr="00EA59C0">
        <w:t>address</w:t>
      </w:r>
      <w:r w:rsidR="00C026A6" w:rsidRPr="00EA59C0">
        <w:t xml:space="preserve"> </w:t>
      </w:r>
      <w:r w:rsidR="004E1445" w:rsidRPr="00EA59C0">
        <w:t>factor</w:t>
      </w:r>
      <w:r w:rsidR="00C026A6" w:rsidRPr="00EA59C0">
        <w:t xml:space="preserve"> </w:t>
      </w:r>
      <w:r w:rsidR="004E1445" w:rsidRPr="00EA59C0">
        <w:t>(6);</w:t>
      </w:r>
      <w:r w:rsidR="00C026A6" w:rsidRPr="00EA59C0">
        <w:t xml:space="preserve"> </w:t>
      </w:r>
      <w:r w:rsidR="004E1445" w:rsidRPr="00EA59C0">
        <w:t>applicants</w:t>
      </w:r>
      <w:r w:rsidR="00C026A6" w:rsidRPr="00EA59C0">
        <w:t xml:space="preserve"> </w:t>
      </w:r>
      <w:r w:rsidR="004E1445" w:rsidRPr="00EA59C0">
        <w:t>addressing</w:t>
      </w:r>
      <w:r w:rsidR="00C026A6" w:rsidRPr="00EA59C0">
        <w:t xml:space="preserve"> </w:t>
      </w:r>
      <w:r w:rsidR="004E1445" w:rsidRPr="00EA59C0">
        <w:t>option</w:t>
      </w:r>
      <w:r w:rsidR="00C026A6" w:rsidRPr="00EA59C0">
        <w:t xml:space="preserve"> </w:t>
      </w:r>
      <w:r w:rsidR="004E1445" w:rsidRPr="00EA59C0">
        <w:t>2</w:t>
      </w:r>
      <w:r w:rsidR="00C026A6" w:rsidRPr="00EA59C0">
        <w:t xml:space="preserve"> </w:t>
      </w:r>
      <w:r w:rsidR="004E1445" w:rsidRPr="00EA59C0">
        <w:t>must</w:t>
      </w:r>
      <w:r w:rsidR="00C026A6" w:rsidRPr="00EA59C0">
        <w:t xml:space="preserve"> </w:t>
      </w:r>
      <w:r w:rsidRPr="00EA59C0">
        <w:t xml:space="preserve">also </w:t>
      </w:r>
      <w:r w:rsidR="004E1445" w:rsidRPr="00EA59C0">
        <w:t>address</w:t>
      </w:r>
      <w:r w:rsidR="00C026A6" w:rsidRPr="00EA59C0">
        <w:t xml:space="preserve"> </w:t>
      </w:r>
      <w:r w:rsidR="004E1445" w:rsidRPr="00EA59C0">
        <w:t>factor</w:t>
      </w:r>
      <w:r w:rsidR="00C026A6" w:rsidRPr="00EA59C0">
        <w:t xml:space="preserve"> </w:t>
      </w:r>
      <w:r w:rsidR="004E1445" w:rsidRPr="00EA59C0">
        <w:t>(7),</w:t>
      </w:r>
      <w:r w:rsidR="00C026A6" w:rsidRPr="00EA59C0">
        <w:t xml:space="preserve"> </w:t>
      </w:r>
      <w:r w:rsidR="004E1445" w:rsidRPr="00EA59C0">
        <w:t>and</w:t>
      </w:r>
      <w:r w:rsidR="00C026A6" w:rsidRPr="00EA59C0">
        <w:t xml:space="preserve"> </w:t>
      </w:r>
      <w:r w:rsidR="004E1445" w:rsidRPr="00EA59C0">
        <w:t>applicants</w:t>
      </w:r>
      <w:r w:rsidR="00C026A6" w:rsidRPr="00EA59C0">
        <w:t xml:space="preserve"> </w:t>
      </w:r>
      <w:r w:rsidR="004E1445" w:rsidRPr="00EA59C0">
        <w:t>addressing</w:t>
      </w:r>
      <w:r w:rsidR="00C026A6" w:rsidRPr="00EA59C0">
        <w:t xml:space="preserve"> </w:t>
      </w:r>
      <w:r w:rsidR="008C2E2A" w:rsidRPr="00EA59C0">
        <w:t>option</w:t>
      </w:r>
      <w:r w:rsidR="00C026A6" w:rsidRPr="00EA59C0">
        <w:t xml:space="preserve"> </w:t>
      </w:r>
      <w:r w:rsidR="008C2E2A" w:rsidRPr="00EA59C0">
        <w:t>3</w:t>
      </w:r>
      <w:r w:rsidR="00C026A6" w:rsidRPr="00EA59C0">
        <w:t xml:space="preserve"> </w:t>
      </w:r>
      <w:r w:rsidR="008C2E2A" w:rsidRPr="00EA59C0">
        <w:t>must</w:t>
      </w:r>
      <w:r w:rsidRPr="00EA59C0">
        <w:t xml:space="preserve"> also</w:t>
      </w:r>
      <w:r w:rsidR="00C026A6" w:rsidRPr="00EA59C0">
        <w:t xml:space="preserve"> </w:t>
      </w:r>
      <w:r w:rsidR="008C2E2A" w:rsidRPr="00EA59C0">
        <w:t>address</w:t>
      </w:r>
      <w:r w:rsidR="00C026A6" w:rsidRPr="00EA59C0">
        <w:t xml:space="preserve"> </w:t>
      </w:r>
      <w:r w:rsidR="008C2E2A" w:rsidRPr="00EA59C0">
        <w:t>factor</w:t>
      </w:r>
      <w:r w:rsidR="00C026A6" w:rsidRPr="00EA59C0">
        <w:t xml:space="preserve"> </w:t>
      </w:r>
      <w:r w:rsidR="00DB2B6B" w:rsidRPr="00EA59C0">
        <w:t>(8),</w:t>
      </w:r>
      <w:r w:rsidR="00C026A6" w:rsidRPr="00EA59C0">
        <w:t xml:space="preserve"> </w:t>
      </w:r>
      <w:r w:rsidR="00DB2B6B" w:rsidRPr="00EA59C0">
        <w:t>as</w:t>
      </w:r>
      <w:r w:rsidR="00C026A6" w:rsidRPr="00EA59C0">
        <w:t xml:space="preserve"> </w:t>
      </w:r>
      <w:r w:rsidR="00606C39" w:rsidRPr="00EA59C0">
        <w:t>noted</w:t>
      </w:r>
      <w:r w:rsidR="00C026A6" w:rsidRPr="00EA59C0">
        <w:t xml:space="preserve"> </w:t>
      </w:r>
      <w:r w:rsidR="00606C39" w:rsidRPr="00EA59C0">
        <w:t>below</w:t>
      </w:r>
      <w:r w:rsidR="0078298B" w:rsidRPr="00EA59C0">
        <w:t>:</w:t>
      </w:r>
    </w:p>
    <w:p w:rsidR="0078298B" w:rsidRPr="00EA59C0" w:rsidRDefault="0078298B">
      <w:pPr>
        <w:pStyle w:val="ListParagraph"/>
      </w:pPr>
    </w:p>
    <w:p w:rsidR="0078298B" w:rsidRPr="00EA59C0" w:rsidRDefault="0078298B">
      <w:pPr>
        <w:pStyle w:val="ListParagraph"/>
        <w:numPr>
          <w:ilvl w:val="4"/>
          <w:numId w:val="17"/>
        </w:numPr>
      </w:pPr>
      <w:r w:rsidRPr="00EA59C0">
        <w:t>The</w:t>
      </w:r>
      <w:r w:rsidR="00C026A6" w:rsidRPr="00EA59C0">
        <w:t xml:space="preserve"> </w:t>
      </w:r>
      <w:r w:rsidRPr="00EA59C0">
        <w:t>applicant</w:t>
      </w:r>
      <w:r w:rsidR="00C026A6" w:rsidRPr="00EA59C0">
        <w:t xml:space="preserve"> </w:t>
      </w:r>
      <w:r w:rsidRPr="00EA59C0">
        <w:t>has</w:t>
      </w:r>
      <w:r w:rsidR="00C026A6" w:rsidRPr="00EA59C0">
        <w:t xml:space="preserve"> </w:t>
      </w:r>
      <w:r w:rsidRPr="00EA59C0">
        <w:t>provided</w:t>
      </w:r>
      <w:r w:rsidR="00C026A6" w:rsidRPr="00EA59C0">
        <w:t xml:space="preserve"> </w:t>
      </w:r>
      <w:r w:rsidRPr="00EA59C0">
        <w:t>a</w:t>
      </w:r>
      <w:r w:rsidR="00C026A6" w:rsidRPr="00EA59C0">
        <w:t xml:space="preserve"> </w:t>
      </w:r>
      <w:r w:rsidRPr="00EA59C0">
        <w:t>complete,</w:t>
      </w:r>
      <w:r w:rsidR="00C026A6" w:rsidRPr="00EA59C0">
        <w:t xml:space="preserve"> </w:t>
      </w:r>
      <w:r w:rsidRPr="00EA59C0">
        <w:t>detailed</w:t>
      </w:r>
      <w:r w:rsidR="00C026A6" w:rsidRPr="00EA59C0">
        <w:t xml:space="preserve"> </w:t>
      </w:r>
      <w:r w:rsidRPr="00EA59C0">
        <w:t>description</w:t>
      </w:r>
      <w:r w:rsidR="00C026A6" w:rsidRPr="00EA59C0">
        <w:t xml:space="preserve"> </w:t>
      </w:r>
      <w:r w:rsidRPr="00EA59C0">
        <w:t>of</w:t>
      </w:r>
      <w:r w:rsidR="00C026A6" w:rsidRPr="00EA59C0">
        <w:t xml:space="preserve"> </w:t>
      </w:r>
      <w:r w:rsidRPr="00EA59C0">
        <w:t>the</w:t>
      </w:r>
      <w:r w:rsidR="00C026A6" w:rsidRPr="00EA59C0">
        <w:t xml:space="preserve"> </w:t>
      </w:r>
      <w:r w:rsidRPr="00EA59C0">
        <w:t>option</w:t>
      </w:r>
      <w:r w:rsidR="00C026A6" w:rsidRPr="00EA59C0">
        <w:t xml:space="preserve"> </w:t>
      </w:r>
      <w:r w:rsidRPr="00EA59C0">
        <w:t>which</w:t>
      </w:r>
      <w:r w:rsidR="00C026A6" w:rsidRPr="00EA59C0">
        <w:t xml:space="preserve"> </w:t>
      </w:r>
      <w:r w:rsidR="0077105B" w:rsidRPr="00EA59C0">
        <w:t xml:space="preserve">it </w:t>
      </w:r>
      <w:r w:rsidRPr="00EA59C0">
        <w:t>will</w:t>
      </w:r>
      <w:r w:rsidR="00C026A6" w:rsidRPr="00EA59C0">
        <w:t xml:space="preserve"> </w:t>
      </w:r>
      <w:r w:rsidRPr="00EA59C0">
        <w:t>address,</w:t>
      </w:r>
      <w:r w:rsidR="00C026A6" w:rsidRPr="00EA59C0">
        <w:t xml:space="preserve"> </w:t>
      </w:r>
      <w:r w:rsidRPr="00EA59C0">
        <w:t>fully</w:t>
      </w:r>
      <w:r w:rsidR="00C026A6" w:rsidRPr="00EA59C0">
        <w:t xml:space="preserve"> </w:t>
      </w:r>
      <w:r w:rsidRPr="00EA59C0">
        <w:t>addressing</w:t>
      </w:r>
      <w:r w:rsidR="00C026A6" w:rsidRPr="00EA59C0">
        <w:t xml:space="preserve"> </w:t>
      </w:r>
      <w:r w:rsidRPr="00EA59C0">
        <w:t>the</w:t>
      </w:r>
      <w:r w:rsidR="00C026A6" w:rsidRPr="00EA59C0">
        <w:t xml:space="preserve"> </w:t>
      </w:r>
      <w:r w:rsidRPr="00EA59C0">
        <w:t>parameters</w:t>
      </w:r>
      <w:r w:rsidR="00C026A6" w:rsidRPr="00EA59C0">
        <w:t xml:space="preserve"> </w:t>
      </w:r>
      <w:r w:rsidRPr="00EA59C0">
        <w:t>outlined</w:t>
      </w:r>
      <w:r w:rsidR="00C026A6" w:rsidRPr="00EA59C0">
        <w:t xml:space="preserve"> </w:t>
      </w:r>
      <w:r w:rsidRPr="00EA59C0">
        <w:t>in</w:t>
      </w:r>
      <w:r w:rsidR="00C026A6" w:rsidRPr="00EA59C0">
        <w:t xml:space="preserve"> </w:t>
      </w:r>
      <w:r w:rsidRPr="00EA59C0">
        <w:t>Section</w:t>
      </w:r>
      <w:r w:rsidR="00C026A6" w:rsidRPr="00EA59C0">
        <w:t xml:space="preserve"> </w:t>
      </w:r>
      <w:r w:rsidRPr="00EA59C0">
        <w:t>II.A.3;</w:t>
      </w:r>
    </w:p>
    <w:p w:rsidR="0078298B" w:rsidRPr="00EA59C0" w:rsidRDefault="0078298B">
      <w:pPr>
        <w:pStyle w:val="ListParagraph"/>
        <w:ind w:left="-360"/>
      </w:pPr>
    </w:p>
    <w:p w:rsidR="0078298B" w:rsidRPr="00EA59C0" w:rsidRDefault="0078298B">
      <w:pPr>
        <w:pStyle w:val="ListParagraph"/>
        <w:numPr>
          <w:ilvl w:val="4"/>
          <w:numId w:val="17"/>
        </w:numPr>
      </w:pPr>
      <w:r w:rsidRPr="00EA59C0">
        <w:t>The</w:t>
      </w:r>
      <w:r w:rsidR="00C026A6" w:rsidRPr="00EA59C0">
        <w:t xml:space="preserve"> </w:t>
      </w:r>
      <w:r w:rsidRPr="00EA59C0">
        <w:t>applicant</w:t>
      </w:r>
      <w:r w:rsidR="00C026A6" w:rsidRPr="00EA59C0">
        <w:t xml:space="preserve"> </w:t>
      </w:r>
      <w:r w:rsidRPr="00EA59C0">
        <w:t>has</w:t>
      </w:r>
      <w:r w:rsidR="00C026A6" w:rsidRPr="00EA59C0">
        <w:t xml:space="preserve"> </w:t>
      </w:r>
      <w:r w:rsidRPr="00EA59C0">
        <w:t>provided</w:t>
      </w:r>
      <w:r w:rsidR="00C026A6" w:rsidRPr="00EA59C0">
        <w:t xml:space="preserve"> </w:t>
      </w:r>
      <w:r w:rsidRPr="00EA59C0">
        <w:t>a</w:t>
      </w:r>
      <w:r w:rsidR="00C026A6" w:rsidRPr="00EA59C0">
        <w:t xml:space="preserve"> </w:t>
      </w:r>
      <w:r w:rsidRPr="00EA59C0">
        <w:t>comprehensive</w:t>
      </w:r>
      <w:r w:rsidR="00C026A6" w:rsidRPr="00EA59C0">
        <w:t xml:space="preserve"> </w:t>
      </w:r>
      <w:r w:rsidRPr="00EA59C0">
        <w:t>workplan</w:t>
      </w:r>
      <w:r w:rsidR="00C026A6" w:rsidRPr="00EA59C0">
        <w:t xml:space="preserve"> </w:t>
      </w:r>
      <w:r w:rsidRPr="00EA59C0">
        <w:t>that</w:t>
      </w:r>
      <w:r w:rsidR="00C026A6" w:rsidRPr="00EA59C0">
        <w:t xml:space="preserve"> </w:t>
      </w:r>
      <w:r w:rsidRPr="00EA59C0">
        <w:t>outlines</w:t>
      </w:r>
      <w:r w:rsidR="00C026A6" w:rsidRPr="00EA59C0">
        <w:t xml:space="preserve"> </w:t>
      </w:r>
      <w:r w:rsidRPr="00EA59C0">
        <w:t>the</w:t>
      </w:r>
      <w:r w:rsidR="00C026A6" w:rsidRPr="00EA59C0">
        <w:t xml:space="preserve"> </w:t>
      </w:r>
      <w:r w:rsidRPr="00EA59C0">
        <w:t>key</w:t>
      </w:r>
      <w:r w:rsidR="00C026A6" w:rsidRPr="00EA59C0">
        <w:t xml:space="preserve"> </w:t>
      </w:r>
      <w:r w:rsidRPr="00EA59C0">
        <w:t>activities</w:t>
      </w:r>
      <w:r w:rsidR="00C026A6" w:rsidRPr="00EA59C0">
        <w:t xml:space="preserve"> </w:t>
      </w:r>
      <w:r w:rsidRPr="00EA59C0">
        <w:t>that</w:t>
      </w:r>
      <w:r w:rsidR="00C026A6" w:rsidRPr="00EA59C0">
        <w:t xml:space="preserve"> </w:t>
      </w:r>
      <w:r w:rsidRPr="00EA59C0">
        <w:t>will</w:t>
      </w:r>
      <w:r w:rsidR="00C026A6" w:rsidRPr="00EA59C0">
        <w:t xml:space="preserve"> </w:t>
      </w:r>
      <w:r w:rsidRPr="00EA59C0">
        <w:t>take</w:t>
      </w:r>
      <w:r w:rsidR="00C026A6" w:rsidRPr="00EA59C0">
        <w:t xml:space="preserve"> </w:t>
      </w:r>
      <w:r w:rsidRPr="00EA59C0">
        <w:t>place</w:t>
      </w:r>
      <w:r w:rsidR="00C026A6" w:rsidRPr="00EA59C0">
        <w:t xml:space="preserve"> </w:t>
      </w:r>
      <w:r w:rsidRPr="00EA59C0">
        <w:t>during</w:t>
      </w:r>
      <w:r w:rsidR="00C026A6" w:rsidRPr="00EA59C0">
        <w:t xml:space="preserve"> </w:t>
      </w:r>
      <w:r w:rsidRPr="00EA59C0">
        <w:t>the</w:t>
      </w:r>
      <w:r w:rsidR="00C026A6" w:rsidRPr="00EA59C0">
        <w:t xml:space="preserve"> </w:t>
      </w:r>
      <w:r w:rsidRPr="00EA59C0">
        <w:t>grant</w:t>
      </w:r>
      <w:r w:rsidR="00C026A6" w:rsidRPr="00EA59C0">
        <w:t xml:space="preserve"> </w:t>
      </w:r>
      <w:r w:rsidRPr="00EA59C0">
        <w:t>period,</w:t>
      </w:r>
      <w:r w:rsidR="00C026A6" w:rsidRPr="00EA59C0">
        <w:t xml:space="preserve"> </w:t>
      </w:r>
      <w:r w:rsidR="0077105B" w:rsidRPr="00EA59C0">
        <w:t xml:space="preserve">including the </w:t>
      </w:r>
      <w:r w:rsidRPr="00EA59C0">
        <w:t>entities</w:t>
      </w:r>
      <w:r w:rsidR="00C026A6" w:rsidRPr="00EA59C0">
        <w:t xml:space="preserve"> </w:t>
      </w:r>
      <w:r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responsible</w:t>
      </w:r>
      <w:r w:rsidR="00C026A6" w:rsidRPr="00EA59C0">
        <w:t xml:space="preserve"> </w:t>
      </w:r>
      <w:r w:rsidRPr="00EA59C0">
        <w:t>for</w:t>
      </w:r>
      <w:r w:rsidR="00C026A6" w:rsidRPr="00EA59C0">
        <w:t xml:space="preserve"> </w:t>
      </w:r>
      <w:r w:rsidRPr="00EA59C0">
        <w:t>those</w:t>
      </w:r>
      <w:r w:rsidR="00C026A6" w:rsidRPr="00EA59C0">
        <w:t xml:space="preserve"> </w:t>
      </w:r>
      <w:r w:rsidRPr="00EA59C0">
        <w:t>activities,</w:t>
      </w:r>
      <w:r w:rsidR="00C026A6" w:rsidRPr="00EA59C0">
        <w:t xml:space="preserve"> </w:t>
      </w:r>
      <w:r w:rsidRPr="00EA59C0">
        <w:t>a</w:t>
      </w:r>
      <w:r w:rsidR="00C026A6" w:rsidRPr="00EA59C0">
        <w:t xml:space="preserve"> </w:t>
      </w:r>
      <w:r w:rsidRPr="00EA59C0">
        <w:t>timeline</w:t>
      </w:r>
      <w:r w:rsidR="00C026A6" w:rsidRPr="00EA59C0">
        <w:t xml:space="preserve"> </w:t>
      </w:r>
      <w:r w:rsidRPr="00EA59C0">
        <w:t>for</w:t>
      </w:r>
      <w:r w:rsidR="00C026A6" w:rsidRPr="00EA59C0">
        <w:t xml:space="preserve"> </w:t>
      </w:r>
      <w:r w:rsidRPr="00EA59C0">
        <w:t>completing</w:t>
      </w:r>
      <w:r w:rsidR="00C026A6" w:rsidRPr="00EA59C0">
        <w:t xml:space="preserve"> </w:t>
      </w:r>
      <w:r w:rsidRPr="00EA59C0">
        <w:t>these</w:t>
      </w:r>
      <w:r w:rsidR="00C026A6" w:rsidRPr="00EA59C0">
        <w:t xml:space="preserve"> </w:t>
      </w:r>
      <w:r w:rsidRPr="00EA59C0">
        <w:t>activities,</w:t>
      </w:r>
      <w:r w:rsidR="00C026A6" w:rsidRPr="00EA59C0">
        <w:t xml:space="preserve"> </w:t>
      </w:r>
      <w:r w:rsidRPr="00EA59C0">
        <w:t>and</w:t>
      </w:r>
      <w:r w:rsidR="00C026A6" w:rsidRPr="00EA59C0">
        <w:t xml:space="preserve"> </w:t>
      </w:r>
      <w:r w:rsidRPr="00EA59C0">
        <w:t>when</w:t>
      </w:r>
      <w:r w:rsidR="00C026A6" w:rsidRPr="00EA59C0">
        <w:t xml:space="preserve"> </w:t>
      </w:r>
      <w:r w:rsidRPr="00EA59C0">
        <w:t>specific</w:t>
      </w:r>
      <w:r w:rsidR="00C026A6" w:rsidRPr="00EA59C0">
        <w:t xml:space="preserve"> </w:t>
      </w:r>
      <w:r w:rsidRPr="00EA59C0">
        <w:t>deliverables</w:t>
      </w:r>
      <w:r w:rsidR="00C026A6" w:rsidRPr="00EA59C0">
        <w:t xml:space="preserve"> </w:t>
      </w:r>
      <w:r w:rsidRPr="00EA59C0">
        <w:t>will</w:t>
      </w:r>
      <w:r w:rsidR="00C026A6" w:rsidRPr="00EA59C0">
        <w:t xml:space="preserve"> </w:t>
      </w:r>
      <w:r w:rsidRPr="00EA59C0">
        <w:t>be</w:t>
      </w:r>
      <w:r w:rsidR="00C026A6" w:rsidRPr="00EA59C0">
        <w:t xml:space="preserve"> </w:t>
      </w:r>
      <w:r w:rsidRPr="00EA59C0">
        <w:t>completed.</w:t>
      </w:r>
    </w:p>
    <w:p w:rsidR="0078298B" w:rsidRPr="00EA59C0" w:rsidRDefault="0078298B">
      <w:pPr>
        <w:pStyle w:val="ListParagraph"/>
        <w:ind w:left="1800"/>
      </w:pPr>
    </w:p>
    <w:p w:rsidR="0078298B" w:rsidRPr="00EA59C0" w:rsidRDefault="0078298B">
      <w:pPr>
        <w:pStyle w:val="ListParagraph"/>
        <w:numPr>
          <w:ilvl w:val="4"/>
          <w:numId w:val="17"/>
        </w:numPr>
      </w:pPr>
      <w:r w:rsidRPr="00EA59C0">
        <w:t>The</w:t>
      </w:r>
      <w:r w:rsidR="00C026A6" w:rsidRPr="00EA59C0">
        <w:t xml:space="preserve"> </w:t>
      </w:r>
      <w:r w:rsidRPr="00EA59C0">
        <w:t>applicant</w:t>
      </w:r>
      <w:r w:rsidR="00C026A6" w:rsidRPr="00EA59C0">
        <w:t xml:space="preserve"> </w:t>
      </w:r>
      <w:r w:rsidRPr="00EA59C0">
        <w:t>has</w:t>
      </w:r>
      <w:r w:rsidR="00C026A6" w:rsidRPr="00EA59C0">
        <w:t xml:space="preserve"> </w:t>
      </w:r>
      <w:r w:rsidRPr="00EA59C0">
        <w:t>included</w:t>
      </w:r>
      <w:r w:rsidR="00C026A6" w:rsidRPr="00EA59C0">
        <w:t xml:space="preserve"> </w:t>
      </w:r>
      <w:r w:rsidRPr="00EA59C0">
        <w:t>the</w:t>
      </w:r>
      <w:r w:rsidR="00C026A6" w:rsidRPr="00EA59C0">
        <w:t xml:space="preserve"> </w:t>
      </w:r>
      <w:r w:rsidRPr="00EA59C0">
        <w:t>key</w:t>
      </w:r>
      <w:r w:rsidR="00C026A6" w:rsidRPr="00EA59C0">
        <w:t xml:space="preserve"> </w:t>
      </w:r>
      <w:r w:rsidRPr="00EA59C0">
        <w:t>stakeholders</w:t>
      </w:r>
      <w:r w:rsidR="00C026A6" w:rsidRPr="00EA59C0">
        <w:t xml:space="preserve"> </w:t>
      </w:r>
      <w:r w:rsidRPr="00EA59C0">
        <w:t>needed</w:t>
      </w:r>
      <w:r w:rsidR="00C026A6" w:rsidRPr="00EA59C0">
        <w:t xml:space="preserve"> </w:t>
      </w:r>
      <w:r w:rsidRPr="00EA59C0">
        <w:t>to</w:t>
      </w:r>
      <w:r w:rsidR="00C026A6" w:rsidRPr="00EA59C0">
        <w:t xml:space="preserve"> </w:t>
      </w:r>
      <w:r w:rsidRPr="00EA59C0">
        <w:t>successfully</w:t>
      </w:r>
      <w:r w:rsidR="00C026A6" w:rsidRPr="00EA59C0">
        <w:t xml:space="preserve"> </w:t>
      </w:r>
      <w:r w:rsidRPr="00EA59C0">
        <w:t>complete</w:t>
      </w:r>
      <w:r w:rsidR="00C026A6" w:rsidRPr="00EA59C0">
        <w:t xml:space="preserve"> </w:t>
      </w:r>
      <w:r w:rsidRPr="00EA59C0">
        <w:t>this</w:t>
      </w:r>
      <w:r w:rsidR="00C026A6" w:rsidRPr="00EA59C0">
        <w:t xml:space="preserve"> </w:t>
      </w:r>
      <w:r w:rsidRPr="00EA59C0">
        <w:t>project,</w:t>
      </w:r>
      <w:r w:rsidR="00C026A6" w:rsidRPr="00EA59C0">
        <w:t xml:space="preserve"> </w:t>
      </w:r>
      <w:r w:rsidRPr="00EA59C0">
        <w:t>including</w:t>
      </w:r>
      <w:r w:rsidR="00C026A6" w:rsidRPr="00EA59C0">
        <w:t xml:space="preserve"> </w:t>
      </w:r>
      <w:r w:rsidRPr="00EA59C0">
        <w:t>employers,</w:t>
      </w:r>
      <w:r w:rsidR="00C026A6" w:rsidRPr="00EA59C0">
        <w:t xml:space="preserve"> </w:t>
      </w:r>
      <w:r w:rsidRPr="00EA59C0">
        <w:t>public</w:t>
      </w:r>
      <w:r w:rsidR="00C026A6" w:rsidRPr="00EA59C0">
        <w:t xml:space="preserve"> </w:t>
      </w:r>
      <w:r w:rsidRPr="00EA59C0">
        <w:t>workforce</w:t>
      </w:r>
      <w:r w:rsidR="00C026A6" w:rsidRPr="00EA59C0">
        <w:t xml:space="preserve"> </w:t>
      </w:r>
      <w:r w:rsidRPr="00EA59C0">
        <w:t>system</w:t>
      </w:r>
      <w:r w:rsidR="00C026A6" w:rsidRPr="00EA59C0">
        <w:t xml:space="preserve"> </w:t>
      </w:r>
      <w:r w:rsidRPr="00EA59C0">
        <w:t>partners,</w:t>
      </w:r>
      <w:r w:rsidR="00C026A6" w:rsidRPr="00EA59C0">
        <w:t xml:space="preserve"> </w:t>
      </w:r>
      <w:r w:rsidRPr="00EA59C0">
        <w:t>regional</w:t>
      </w:r>
      <w:r w:rsidR="00C026A6" w:rsidRPr="00EA59C0">
        <w:t xml:space="preserve"> </w:t>
      </w:r>
      <w:r w:rsidRPr="00EA59C0">
        <w:t>industry</w:t>
      </w:r>
      <w:r w:rsidR="00C026A6" w:rsidRPr="00EA59C0">
        <w:t xml:space="preserve"> </w:t>
      </w:r>
      <w:r w:rsidRPr="00EA59C0">
        <w:t>organizations,</w:t>
      </w:r>
      <w:r w:rsidR="00C026A6" w:rsidRPr="00EA59C0">
        <w:t xml:space="preserve"> </w:t>
      </w:r>
      <w:r w:rsidRPr="00EA59C0">
        <w:t>national</w:t>
      </w:r>
      <w:r w:rsidR="00C026A6" w:rsidRPr="00EA59C0">
        <w:t xml:space="preserve"> </w:t>
      </w:r>
      <w:r w:rsidRPr="00EA59C0">
        <w:t>industry</w:t>
      </w:r>
      <w:r w:rsidR="00C026A6" w:rsidRPr="00EA59C0">
        <w:t xml:space="preserve"> </w:t>
      </w:r>
      <w:r w:rsidRPr="00EA59C0">
        <w:t>organizations</w:t>
      </w:r>
      <w:r w:rsidR="00C026A6" w:rsidRPr="00EA59C0">
        <w:t xml:space="preserve"> </w:t>
      </w:r>
      <w:r w:rsidRPr="00EA59C0">
        <w:t>(if</w:t>
      </w:r>
      <w:r w:rsidR="00C026A6" w:rsidRPr="00EA59C0">
        <w:t xml:space="preserve"> </w:t>
      </w:r>
      <w:r w:rsidRPr="00EA59C0">
        <w:t>applicable),</w:t>
      </w:r>
      <w:r w:rsidR="00C026A6" w:rsidRPr="00EA59C0">
        <w:t xml:space="preserve"> </w:t>
      </w:r>
      <w:r w:rsidRPr="00EA59C0">
        <w:t>and</w:t>
      </w:r>
      <w:r w:rsidR="00C026A6" w:rsidRPr="00EA59C0">
        <w:t xml:space="preserve"> </w:t>
      </w:r>
      <w:r w:rsidRPr="00EA59C0">
        <w:t>other</w:t>
      </w:r>
      <w:r w:rsidR="00C026A6" w:rsidRPr="00EA59C0">
        <w:t xml:space="preserve"> </w:t>
      </w:r>
      <w:r w:rsidRPr="00EA59C0">
        <w:t>subject</w:t>
      </w:r>
      <w:r w:rsidR="00C026A6" w:rsidRPr="00EA59C0">
        <w:t xml:space="preserve"> </w:t>
      </w:r>
      <w:r w:rsidRPr="00EA59C0">
        <w:t>matter</w:t>
      </w:r>
      <w:r w:rsidR="00C026A6" w:rsidRPr="00EA59C0">
        <w:t xml:space="preserve"> </w:t>
      </w:r>
      <w:r w:rsidRPr="00EA59C0">
        <w:t>experts.</w:t>
      </w:r>
      <w:r w:rsidR="00C026A6" w:rsidRPr="00EA59C0">
        <w:t xml:space="preserve">  </w:t>
      </w:r>
    </w:p>
    <w:p w:rsidR="0078298B" w:rsidRPr="00EA59C0" w:rsidRDefault="0078298B">
      <w:pPr>
        <w:pStyle w:val="ListParagraph"/>
        <w:ind w:left="1800"/>
      </w:pPr>
    </w:p>
    <w:p w:rsidR="0078298B" w:rsidRPr="00EA59C0" w:rsidRDefault="0078298B">
      <w:pPr>
        <w:pStyle w:val="ListParagraph"/>
        <w:numPr>
          <w:ilvl w:val="4"/>
          <w:numId w:val="17"/>
        </w:numPr>
      </w:pPr>
      <w:r w:rsidRPr="00EA59C0">
        <w:t>The</w:t>
      </w:r>
      <w:r w:rsidR="00C026A6" w:rsidRPr="00EA59C0">
        <w:t xml:space="preserve"> </w:t>
      </w:r>
      <w:r w:rsidRPr="00EA59C0">
        <w:t>applicant</w:t>
      </w:r>
      <w:r w:rsidR="00C026A6" w:rsidRPr="00EA59C0">
        <w:t xml:space="preserve"> </w:t>
      </w:r>
      <w:r w:rsidRPr="00EA59C0">
        <w:t>has</w:t>
      </w:r>
      <w:r w:rsidR="00C026A6" w:rsidRPr="00EA59C0">
        <w:t xml:space="preserve"> </w:t>
      </w:r>
      <w:r w:rsidRPr="00EA59C0">
        <w:t>identified</w:t>
      </w:r>
      <w:r w:rsidR="00C026A6" w:rsidRPr="00EA59C0">
        <w:t xml:space="preserve"> </w:t>
      </w:r>
      <w:r w:rsidRPr="00EA59C0">
        <w:t>the</w:t>
      </w:r>
      <w:r w:rsidR="00C026A6" w:rsidRPr="00EA59C0">
        <w:t xml:space="preserve"> </w:t>
      </w:r>
      <w:r w:rsidRPr="00EA59C0">
        <w:t>specific</w:t>
      </w:r>
      <w:r w:rsidR="00C026A6" w:rsidRPr="00EA59C0">
        <w:t xml:space="preserve"> </w:t>
      </w:r>
      <w:r w:rsidRPr="00EA59C0">
        <w:t>outcomes</w:t>
      </w:r>
      <w:r w:rsidR="00C026A6" w:rsidRPr="00EA59C0">
        <w:t xml:space="preserve"> </w:t>
      </w:r>
      <w:r w:rsidRPr="00EA59C0">
        <w:t>and</w:t>
      </w:r>
      <w:r w:rsidR="00C026A6" w:rsidRPr="00EA59C0">
        <w:t xml:space="preserve"> </w:t>
      </w:r>
      <w:r w:rsidRPr="00EA59C0">
        <w:t>deliverables</w:t>
      </w:r>
      <w:r w:rsidR="00C026A6" w:rsidRPr="00EA59C0">
        <w:t xml:space="preserve"> </w:t>
      </w:r>
      <w:r w:rsidRPr="00EA59C0">
        <w:t>that</w:t>
      </w:r>
      <w:r w:rsidR="00C026A6" w:rsidRPr="00EA59C0">
        <w:t xml:space="preserve"> </w:t>
      </w:r>
      <w:r w:rsidRPr="00EA59C0">
        <w:t>will</w:t>
      </w:r>
      <w:r w:rsidR="00C026A6" w:rsidRPr="00EA59C0">
        <w:t xml:space="preserve"> </w:t>
      </w:r>
      <w:r w:rsidRPr="00EA59C0">
        <w:t>be</w:t>
      </w:r>
      <w:r w:rsidR="00C026A6" w:rsidRPr="00EA59C0">
        <w:t xml:space="preserve"> </w:t>
      </w:r>
      <w:r w:rsidRPr="00EA59C0">
        <w:t>achieved</w:t>
      </w:r>
      <w:r w:rsidR="00C026A6" w:rsidRPr="00EA59C0">
        <w:t xml:space="preserve"> </w:t>
      </w:r>
      <w:r w:rsidRPr="00EA59C0">
        <w:t>if</w:t>
      </w:r>
      <w:r w:rsidR="00C026A6" w:rsidRPr="00EA59C0">
        <w:t xml:space="preserve"> </w:t>
      </w:r>
      <w:r w:rsidRPr="00EA59C0">
        <w:t>it</w:t>
      </w:r>
      <w:r w:rsidR="00C026A6" w:rsidRPr="00EA59C0">
        <w:t xml:space="preserve"> </w:t>
      </w:r>
      <w:r w:rsidRPr="00EA59C0">
        <w:t>receives</w:t>
      </w:r>
      <w:r w:rsidR="00C026A6" w:rsidRPr="00EA59C0">
        <w:t xml:space="preserve"> </w:t>
      </w:r>
      <w:r w:rsidRPr="00EA59C0">
        <w:t>this</w:t>
      </w:r>
      <w:r w:rsidR="00C026A6" w:rsidRPr="00EA59C0">
        <w:t xml:space="preserve"> </w:t>
      </w:r>
      <w:r w:rsidRPr="00EA59C0">
        <w:t>additional</w:t>
      </w:r>
      <w:r w:rsidR="00C026A6" w:rsidRPr="00EA59C0">
        <w:t xml:space="preserve"> </w:t>
      </w:r>
      <w:r w:rsidRPr="00EA59C0">
        <w:t>funding.</w:t>
      </w:r>
      <w:r w:rsidR="00C026A6" w:rsidRPr="00EA59C0">
        <w:t xml:space="preserve">  </w:t>
      </w:r>
      <w:r w:rsidRPr="00EA59C0">
        <w:t>For</w:t>
      </w:r>
      <w:r w:rsidR="00C026A6" w:rsidRPr="00EA59C0">
        <w:t xml:space="preserve"> </w:t>
      </w:r>
      <w:r w:rsidRPr="00EA59C0">
        <w:t>participant-related</w:t>
      </w:r>
      <w:r w:rsidR="00C026A6" w:rsidRPr="00EA59C0">
        <w:t xml:space="preserve"> </w:t>
      </w:r>
      <w:r w:rsidRPr="00EA59C0">
        <w:t>outcomes,</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identify</w:t>
      </w:r>
      <w:r w:rsidR="00C026A6" w:rsidRPr="00EA59C0">
        <w:t xml:space="preserve"> </w:t>
      </w:r>
      <w:r w:rsidRPr="00EA59C0">
        <w:t>the</w:t>
      </w:r>
      <w:r w:rsidR="00C026A6" w:rsidRPr="00EA59C0">
        <w:t xml:space="preserve"> </w:t>
      </w:r>
      <w:r w:rsidRPr="00EA59C0">
        <w:t>impact</w:t>
      </w:r>
      <w:r w:rsidR="00C026A6" w:rsidRPr="00EA59C0">
        <w:t xml:space="preserve"> </w:t>
      </w:r>
      <w:r w:rsidRPr="00EA59C0">
        <w:t>of</w:t>
      </w:r>
      <w:r w:rsidR="00C026A6" w:rsidRPr="00EA59C0">
        <w:t xml:space="preserve"> </w:t>
      </w:r>
      <w:r w:rsidRPr="00EA59C0">
        <w:t>additional</w:t>
      </w:r>
      <w:r w:rsidR="00C026A6" w:rsidRPr="00EA59C0">
        <w:t xml:space="preserve"> </w:t>
      </w:r>
      <w:r w:rsidRPr="00EA59C0">
        <w:t>funding</w:t>
      </w:r>
      <w:r w:rsidR="00C026A6" w:rsidRPr="00EA59C0">
        <w:t xml:space="preserve"> </w:t>
      </w:r>
      <w:r w:rsidRPr="00EA59C0">
        <w:t>on</w:t>
      </w:r>
      <w:r w:rsidR="00C026A6" w:rsidRPr="00EA59C0">
        <w:t xml:space="preserve"> </w:t>
      </w:r>
      <w:r w:rsidRPr="00EA59C0">
        <w:t>the</w:t>
      </w:r>
      <w:r w:rsidR="00C026A6" w:rsidRPr="00EA59C0">
        <w:t xml:space="preserve"> </w:t>
      </w:r>
      <w:r w:rsidRPr="00EA59C0">
        <w:t>nine</w:t>
      </w:r>
      <w:r w:rsidR="00C026A6" w:rsidRPr="00EA59C0">
        <w:t xml:space="preserve"> </w:t>
      </w:r>
      <w:r w:rsidRPr="00EA59C0">
        <w:t>outcome</w:t>
      </w:r>
      <w:r w:rsidR="00C026A6" w:rsidRPr="00EA59C0">
        <w:t xml:space="preserve"> </w:t>
      </w:r>
      <w:r w:rsidRPr="00EA59C0">
        <w:t>measures</w:t>
      </w:r>
      <w:r w:rsidR="00C026A6" w:rsidRPr="00EA59C0">
        <w:t xml:space="preserve"> </w:t>
      </w:r>
      <w:r w:rsidRPr="00EA59C0">
        <w:t>cited</w:t>
      </w:r>
      <w:r w:rsidR="00C026A6" w:rsidRPr="00EA59C0">
        <w:t xml:space="preserve"> </w:t>
      </w:r>
      <w:r w:rsidRPr="00EA59C0">
        <w:t>in</w:t>
      </w:r>
      <w:r w:rsidR="00C026A6" w:rsidRPr="00EA59C0">
        <w:t xml:space="preserve"> </w:t>
      </w:r>
      <w:r w:rsidRPr="00EA59C0">
        <w:t>section</w:t>
      </w:r>
      <w:r w:rsidR="00C026A6" w:rsidRPr="00EA59C0">
        <w:t xml:space="preserve"> </w:t>
      </w:r>
      <w:r w:rsidRPr="00EA59C0">
        <w:t>IV.</w:t>
      </w:r>
      <w:r w:rsidR="00985D63" w:rsidRPr="00EA59C0">
        <w:t>B.3</w:t>
      </w:r>
      <w:r w:rsidR="00C026A6" w:rsidRPr="00EA59C0">
        <w:t xml:space="preserve"> </w:t>
      </w:r>
      <w:r w:rsidR="00985D63" w:rsidRPr="00EA59C0">
        <w:t>and</w:t>
      </w:r>
      <w:r w:rsidR="00C026A6" w:rsidRPr="00EA59C0">
        <w:t xml:space="preserve"> </w:t>
      </w:r>
      <w:r w:rsidR="00985D63" w:rsidRPr="00EA59C0">
        <w:t>VI.B.4</w:t>
      </w:r>
      <w:r w:rsidRPr="00EA59C0">
        <w:t>,</w:t>
      </w:r>
      <w:r w:rsidR="00C026A6" w:rsidRPr="00EA59C0">
        <w:t xml:space="preserve"> </w:t>
      </w:r>
      <w:r w:rsidRPr="00EA59C0">
        <w:t>including</w:t>
      </w:r>
      <w:r w:rsidR="00C026A6" w:rsidRPr="00EA59C0">
        <w:t xml:space="preserve"> </w:t>
      </w:r>
      <w:r w:rsidRPr="00EA59C0">
        <w:t>projected</w:t>
      </w:r>
      <w:r w:rsidR="00C026A6" w:rsidRPr="00EA59C0">
        <w:t xml:space="preserve"> </w:t>
      </w:r>
      <w:r w:rsidRPr="00EA59C0">
        <w:t>increases</w:t>
      </w:r>
      <w:r w:rsidR="00C026A6" w:rsidRPr="00EA59C0">
        <w:t xml:space="preserve"> </w:t>
      </w:r>
      <w:r w:rsidRPr="00EA59C0">
        <w:t>for</w:t>
      </w:r>
      <w:r w:rsidR="00C026A6" w:rsidRPr="00EA59C0">
        <w:t xml:space="preserve"> </w:t>
      </w:r>
      <w:r w:rsidRPr="00EA59C0">
        <w:t>each</w:t>
      </w:r>
      <w:r w:rsidR="00C026A6" w:rsidRPr="00EA59C0">
        <w:t xml:space="preserve"> </w:t>
      </w:r>
      <w:r w:rsidRPr="00EA59C0">
        <w:t>relevant</w:t>
      </w:r>
      <w:r w:rsidR="00C026A6" w:rsidRPr="00EA59C0">
        <w:t xml:space="preserve"> </w:t>
      </w:r>
      <w:r w:rsidRPr="00EA59C0">
        <w:t>outcome</w:t>
      </w:r>
      <w:r w:rsidR="00C026A6" w:rsidRPr="00EA59C0">
        <w:t xml:space="preserve"> </w:t>
      </w:r>
      <w:r w:rsidRPr="00EA59C0">
        <w:t>measure.</w:t>
      </w:r>
      <w:r w:rsidR="00C026A6" w:rsidRPr="00EA59C0">
        <w:t xml:space="preserve">  </w:t>
      </w:r>
      <w:r w:rsidRPr="00EA59C0">
        <w:t>For</w:t>
      </w:r>
      <w:r w:rsidR="00C026A6" w:rsidRPr="00EA59C0">
        <w:t xml:space="preserve"> </w:t>
      </w:r>
      <w:r w:rsidRPr="00EA59C0">
        <w:t>deliverables,</w:t>
      </w:r>
      <w:r w:rsidR="00C026A6" w:rsidRPr="00EA59C0">
        <w:t xml:space="preserve"> </w:t>
      </w:r>
      <w:r w:rsidRPr="00EA59C0">
        <w:t>applicant</w:t>
      </w:r>
      <w:r w:rsidR="00C026A6" w:rsidRPr="00EA59C0">
        <w:t xml:space="preserve"> </w:t>
      </w:r>
      <w:r w:rsidRPr="00EA59C0">
        <w:t>must</w:t>
      </w:r>
      <w:r w:rsidR="00C026A6" w:rsidRPr="00EA59C0">
        <w:t xml:space="preserve"> </w:t>
      </w:r>
      <w:r w:rsidRPr="00EA59C0">
        <w:t>identify</w:t>
      </w:r>
      <w:r w:rsidR="00C026A6" w:rsidRPr="00EA59C0">
        <w:t xml:space="preserve"> </w:t>
      </w:r>
      <w:r w:rsidRPr="00EA59C0">
        <w:t>each</w:t>
      </w:r>
      <w:r w:rsidR="00C026A6" w:rsidRPr="00EA59C0">
        <w:t xml:space="preserve"> </w:t>
      </w:r>
      <w:r w:rsidRPr="00EA59C0">
        <w:t>specific</w:t>
      </w:r>
      <w:r w:rsidR="00C026A6" w:rsidRPr="00EA59C0">
        <w:t xml:space="preserve"> </w:t>
      </w:r>
      <w:r w:rsidRPr="00EA59C0">
        <w:t>deliverable</w:t>
      </w:r>
      <w:r w:rsidR="00C026A6" w:rsidRPr="00EA59C0">
        <w:t xml:space="preserve"> </w:t>
      </w:r>
      <w:r w:rsidRPr="00EA59C0">
        <w:t>that</w:t>
      </w:r>
      <w:r w:rsidR="00C026A6" w:rsidRPr="00EA59C0">
        <w:t xml:space="preserve"> </w:t>
      </w:r>
      <w:r w:rsidRPr="00EA59C0">
        <w:t>it</w:t>
      </w:r>
      <w:r w:rsidR="00C026A6" w:rsidRPr="00EA59C0">
        <w:t xml:space="preserve"> </w:t>
      </w:r>
      <w:r w:rsidRPr="00EA59C0">
        <w:t>will</w:t>
      </w:r>
      <w:r w:rsidR="00C026A6" w:rsidRPr="00EA59C0">
        <w:t xml:space="preserve"> </w:t>
      </w:r>
      <w:r w:rsidRPr="00EA59C0">
        <w:t>complete</w:t>
      </w:r>
      <w:r w:rsidR="00C026A6" w:rsidRPr="00EA59C0">
        <w:t xml:space="preserve"> </w:t>
      </w:r>
      <w:r w:rsidRPr="00EA59C0">
        <w:t>with</w:t>
      </w:r>
      <w:r w:rsidR="00C026A6" w:rsidRPr="00EA59C0">
        <w:t xml:space="preserve"> </w:t>
      </w:r>
      <w:r w:rsidRPr="00EA59C0">
        <w:t>grant</w:t>
      </w:r>
      <w:r w:rsidR="00C026A6" w:rsidRPr="00EA59C0">
        <w:t xml:space="preserve"> </w:t>
      </w:r>
      <w:r w:rsidRPr="00EA59C0">
        <w:t>funds.</w:t>
      </w:r>
    </w:p>
    <w:p w:rsidR="002D23FF" w:rsidRPr="00EA59C0" w:rsidRDefault="002D23FF" w:rsidP="004C3998">
      <w:pPr>
        <w:pStyle w:val="ListParagraph"/>
        <w:ind w:left="1800"/>
      </w:pPr>
    </w:p>
    <w:p w:rsidR="002D23FF" w:rsidRPr="00EA59C0" w:rsidRDefault="002D23FF">
      <w:pPr>
        <w:pStyle w:val="ListParagraph"/>
        <w:numPr>
          <w:ilvl w:val="4"/>
          <w:numId w:val="17"/>
        </w:numPr>
      </w:pPr>
      <w:r w:rsidRPr="00EA59C0">
        <w:t>Applicants</w:t>
      </w:r>
      <w:r w:rsidR="00C026A6" w:rsidRPr="00EA59C0">
        <w:t xml:space="preserve"> </w:t>
      </w:r>
      <w:r w:rsidRPr="00EA59C0">
        <w:t>will</w:t>
      </w:r>
      <w:r w:rsidR="00C026A6" w:rsidRPr="00EA59C0">
        <w:t xml:space="preserve"> </w:t>
      </w:r>
      <w:r w:rsidRPr="00EA59C0">
        <w:t>demonstrate</w:t>
      </w:r>
      <w:r w:rsidR="00C026A6" w:rsidRPr="00EA59C0">
        <w:t xml:space="preserve"> </w:t>
      </w:r>
      <w:r w:rsidRPr="00EA59C0">
        <w:t>that</w:t>
      </w:r>
      <w:r w:rsidR="00C026A6" w:rsidRPr="00EA59C0">
        <w:t xml:space="preserve"> </w:t>
      </w:r>
      <w:r w:rsidRPr="00EA59C0">
        <w:t>the</w:t>
      </w:r>
      <w:r w:rsidR="00C026A6" w:rsidRPr="00EA59C0">
        <w:t xml:space="preserve"> </w:t>
      </w:r>
      <w:r w:rsidRPr="00EA59C0">
        <w:t>proposed</w:t>
      </w:r>
      <w:r w:rsidR="00C026A6" w:rsidRPr="00EA59C0">
        <w:t xml:space="preserve"> </w:t>
      </w:r>
      <w:r w:rsidRPr="00EA59C0">
        <w:t>projects</w:t>
      </w:r>
      <w:r w:rsidR="00C026A6" w:rsidRPr="00EA59C0">
        <w:t xml:space="preserve"> </w:t>
      </w:r>
      <w:r w:rsidRPr="00EA59C0">
        <w:t>will</w:t>
      </w:r>
      <w:r w:rsidR="00C026A6" w:rsidRPr="00EA59C0">
        <w:t xml:space="preserve"> </w:t>
      </w:r>
      <w:r w:rsidRPr="00EA59C0">
        <w:t>lead</w:t>
      </w:r>
      <w:r w:rsidR="00C026A6" w:rsidRPr="00EA59C0">
        <w:t xml:space="preserve"> </w:t>
      </w:r>
      <w:r w:rsidRPr="00EA59C0">
        <w:t>to</w:t>
      </w:r>
      <w:r w:rsidR="00C026A6" w:rsidRPr="00EA59C0">
        <w:t xml:space="preserve"> </w:t>
      </w:r>
      <w:r w:rsidRPr="00EA59C0">
        <w:t>sustained</w:t>
      </w:r>
      <w:r w:rsidR="00C026A6" w:rsidRPr="00EA59C0">
        <w:t xml:space="preserve"> </w:t>
      </w:r>
      <w:r w:rsidRPr="00EA59C0">
        <w:t>enhancements</w:t>
      </w:r>
      <w:r w:rsidR="00C026A6" w:rsidRPr="00EA59C0">
        <w:t xml:space="preserve"> </w:t>
      </w:r>
      <w:r w:rsidRPr="00EA59C0">
        <w:t>to</w:t>
      </w:r>
      <w:r w:rsidR="00C026A6" w:rsidRPr="00EA59C0">
        <w:t xml:space="preserve"> </w:t>
      </w:r>
      <w:r w:rsidRPr="00EA59C0">
        <w:t>college</w:t>
      </w:r>
      <w:r w:rsidR="00C026A6" w:rsidRPr="00EA59C0">
        <w:t xml:space="preserve"> </w:t>
      </w:r>
      <w:r w:rsidRPr="00EA59C0">
        <w:t>programming</w:t>
      </w:r>
      <w:r w:rsidR="00C026A6" w:rsidRPr="00EA59C0">
        <w:t xml:space="preserve"> </w:t>
      </w:r>
      <w:r w:rsidRPr="00EA59C0">
        <w:t>in</w:t>
      </w:r>
      <w:r w:rsidR="00C026A6" w:rsidRPr="00EA59C0">
        <w:t xml:space="preserve"> </w:t>
      </w:r>
      <w:r w:rsidRPr="00EA59C0">
        <w:t>one</w:t>
      </w:r>
      <w:r w:rsidR="00C026A6" w:rsidRPr="00EA59C0">
        <w:t xml:space="preserve"> </w:t>
      </w:r>
      <w:r w:rsidRPr="00EA59C0">
        <w:t>or</w:t>
      </w:r>
      <w:r w:rsidR="00C026A6" w:rsidRPr="00EA59C0">
        <w:t xml:space="preserve"> </w:t>
      </w:r>
      <w:r w:rsidRPr="00EA59C0">
        <w:t>more</w:t>
      </w:r>
      <w:r w:rsidR="00C026A6" w:rsidRPr="00EA59C0">
        <w:t xml:space="preserve"> </w:t>
      </w:r>
      <w:r w:rsidRPr="00EA59C0">
        <w:t>regions</w:t>
      </w:r>
      <w:r w:rsidR="00C026A6" w:rsidRPr="00EA59C0">
        <w:t xml:space="preserve"> </w:t>
      </w:r>
      <w:r w:rsidRPr="00EA59C0">
        <w:t>(for</w:t>
      </w:r>
      <w:r w:rsidR="00C026A6" w:rsidRPr="00EA59C0">
        <w:t xml:space="preserve"> </w:t>
      </w:r>
      <w:r w:rsidRPr="00EA59C0">
        <w:t>option</w:t>
      </w:r>
      <w:r w:rsidR="00C026A6" w:rsidRPr="00EA59C0">
        <w:t xml:space="preserve"> </w:t>
      </w:r>
      <w:r w:rsidRPr="00EA59C0">
        <w:t>3)</w:t>
      </w:r>
      <w:r w:rsidR="00C026A6" w:rsidRPr="00EA59C0">
        <w:t xml:space="preserve"> </w:t>
      </w:r>
      <w:r w:rsidRPr="00EA59C0">
        <w:t>or</w:t>
      </w:r>
      <w:r w:rsidR="00C026A6" w:rsidRPr="00EA59C0">
        <w:t xml:space="preserve"> </w:t>
      </w:r>
      <w:r w:rsidRPr="00EA59C0">
        <w:t>across</w:t>
      </w:r>
      <w:r w:rsidR="00C026A6" w:rsidRPr="00EA59C0">
        <w:t xml:space="preserve"> </w:t>
      </w:r>
      <w:r w:rsidRPr="00EA59C0">
        <w:t>the</w:t>
      </w:r>
      <w:r w:rsidR="00C026A6" w:rsidRPr="00EA59C0">
        <w:t xml:space="preserve"> </w:t>
      </w:r>
      <w:r w:rsidRPr="00EA59C0">
        <w:t>state</w:t>
      </w:r>
      <w:r w:rsidR="00C026A6" w:rsidRPr="00EA59C0">
        <w:t xml:space="preserve"> </w:t>
      </w:r>
      <w:r w:rsidRPr="00EA59C0">
        <w:t>(for</w:t>
      </w:r>
      <w:r w:rsidR="00C026A6" w:rsidRPr="00EA59C0">
        <w:t xml:space="preserve"> </w:t>
      </w:r>
      <w:r w:rsidRPr="00EA59C0">
        <w:t>option</w:t>
      </w:r>
      <w:r w:rsidR="00C026A6" w:rsidRPr="00EA59C0">
        <w:t xml:space="preserve"> </w:t>
      </w:r>
      <w:r w:rsidRPr="00EA59C0">
        <w:t>1</w:t>
      </w:r>
      <w:r w:rsidR="009B66C0" w:rsidRPr="00EA59C0">
        <w:t xml:space="preserve"> and 2</w:t>
      </w:r>
      <w:r w:rsidRPr="00EA59C0">
        <w:t>).</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describe</w:t>
      </w:r>
      <w:r w:rsidR="00C026A6" w:rsidRPr="00EA59C0">
        <w:t xml:space="preserve"> </w:t>
      </w:r>
      <w:r w:rsidRPr="00EA59C0">
        <w:t>how</w:t>
      </w:r>
      <w:r w:rsidR="00C026A6" w:rsidRPr="00EA59C0">
        <w:t xml:space="preserve"> </w:t>
      </w:r>
      <w:r w:rsidRPr="00EA59C0">
        <w:t>all</w:t>
      </w:r>
      <w:r w:rsidR="00C026A6" w:rsidRPr="00EA59C0">
        <w:t xml:space="preserve"> </w:t>
      </w:r>
      <w:r w:rsidRPr="00EA59C0">
        <w:t>consortium</w:t>
      </w:r>
      <w:r w:rsidR="00C026A6" w:rsidRPr="00EA59C0">
        <w:t xml:space="preserve"> </w:t>
      </w:r>
      <w:r w:rsidRPr="00EA59C0">
        <w:t>members</w:t>
      </w:r>
      <w:r w:rsidR="00C026A6" w:rsidRPr="00EA59C0">
        <w:t xml:space="preserve"> </w:t>
      </w:r>
      <w:r w:rsidRPr="00EA59C0">
        <w:t>(if</w:t>
      </w:r>
      <w:r w:rsidR="00C026A6" w:rsidRPr="00EA59C0">
        <w:t xml:space="preserve"> </w:t>
      </w:r>
      <w:r w:rsidRPr="00EA59C0">
        <w:t>applicable)</w:t>
      </w:r>
      <w:r w:rsidR="00C026A6" w:rsidRPr="00EA59C0">
        <w:t xml:space="preserve"> </w:t>
      </w:r>
      <w:r w:rsidRPr="00EA59C0">
        <w:t>and</w:t>
      </w:r>
      <w:r w:rsidR="00C026A6" w:rsidRPr="00EA59C0">
        <w:t xml:space="preserve"> </w:t>
      </w:r>
      <w:r w:rsidRPr="00EA59C0">
        <w:t>participating</w:t>
      </w:r>
      <w:r w:rsidR="00C026A6" w:rsidRPr="00EA59C0">
        <w:t xml:space="preserve"> </w:t>
      </w:r>
      <w:r w:rsidRPr="00EA59C0">
        <w:t>colleges</w:t>
      </w:r>
      <w:r w:rsidR="00C026A6" w:rsidRPr="00EA59C0">
        <w:t xml:space="preserve"> </w:t>
      </w:r>
      <w:r w:rsidRPr="00EA59C0">
        <w:t>that</w:t>
      </w:r>
      <w:r w:rsidR="00C026A6" w:rsidRPr="00EA59C0">
        <w:t xml:space="preserve"> </w:t>
      </w:r>
      <w:r w:rsidRPr="00EA59C0">
        <w:t>are</w:t>
      </w:r>
      <w:r w:rsidR="00C026A6" w:rsidRPr="00EA59C0">
        <w:t xml:space="preserve"> </w:t>
      </w:r>
      <w:r w:rsidRPr="00EA59C0">
        <w:t>not</w:t>
      </w:r>
      <w:r w:rsidR="00C026A6" w:rsidRPr="00EA59C0">
        <w:t xml:space="preserve"> </w:t>
      </w:r>
      <w:r w:rsidRPr="00EA59C0">
        <w:t>receiving</w:t>
      </w:r>
      <w:r w:rsidR="00C026A6" w:rsidRPr="00EA59C0">
        <w:t xml:space="preserve"> </w:t>
      </w:r>
      <w:r w:rsidRPr="00EA59C0">
        <w:t>funding</w:t>
      </w:r>
      <w:r w:rsidR="00C026A6" w:rsidRPr="00EA59C0">
        <w:t xml:space="preserve"> </w:t>
      </w:r>
      <w:r w:rsidRPr="00EA59C0">
        <w:t>will</w:t>
      </w:r>
      <w:r w:rsidR="00C026A6" w:rsidRPr="00EA59C0">
        <w:t xml:space="preserve"> </w:t>
      </w:r>
      <w:r w:rsidRPr="00EA59C0">
        <w:t>implement</w:t>
      </w:r>
      <w:r w:rsidR="00C026A6" w:rsidRPr="00EA59C0">
        <w:t xml:space="preserve"> </w:t>
      </w:r>
      <w:r w:rsidRPr="00EA59C0">
        <w:t>the</w:t>
      </w:r>
      <w:r w:rsidR="00C026A6" w:rsidRPr="00EA59C0">
        <w:t xml:space="preserve"> </w:t>
      </w:r>
      <w:r w:rsidRPr="00EA59C0">
        <w:t>proposed</w:t>
      </w:r>
      <w:r w:rsidR="00C026A6" w:rsidRPr="00EA59C0">
        <w:t xml:space="preserve"> </w:t>
      </w:r>
      <w:r w:rsidRPr="00EA59C0">
        <w:t>activities</w:t>
      </w:r>
      <w:r w:rsidR="00C026A6" w:rsidRPr="00EA59C0">
        <w:t xml:space="preserve"> </w:t>
      </w:r>
      <w:r w:rsidRPr="00EA59C0">
        <w:t>during</w:t>
      </w:r>
      <w:r w:rsidR="00C026A6" w:rsidRPr="00EA59C0">
        <w:t xml:space="preserve"> </w:t>
      </w:r>
      <w:r w:rsidRPr="00EA59C0">
        <w:t>the</w:t>
      </w:r>
      <w:r w:rsidR="00C026A6" w:rsidRPr="00EA59C0">
        <w:t xml:space="preserve"> </w:t>
      </w:r>
      <w:r w:rsidRPr="00EA59C0">
        <w:t>grant</w:t>
      </w:r>
      <w:r w:rsidR="00C026A6" w:rsidRPr="00EA59C0">
        <w:t xml:space="preserve"> </w:t>
      </w:r>
      <w:r w:rsidRPr="00EA59C0">
        <w:t>period.</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also</w:t>
      </w:r>
      <w:r w:rsidR="00C026A6" w:rsidRPr="00EA59C0">
        <w:t xml:space="preserve"> </w:t>
      </w:r>
      <w:r w:rsidRPr="00EA59C0">
        <w:t>describe</w:t>
      </w:r>
      <w:r w:rsidR="00C026A6" w:rsidRPr="00EA59C0">
        <w:t xml:space="preserve"> </w:t>
      </w:r>
      <w:r w:rsidRPr="00EA59C0">
        <w:t>how</w:t>
      </w:r>
      <w:r w:rsidR="009B66C0" w:rsidRPr="00EA59C0">
        <w:t xml:space="preserve"> </w:t>
      </w:r>
      <w:r w:rsidRPr="00EA59C0">
        <w:t>these</w:t>
      </w:r>
      <w:r w:rsidR="00C026A6" w:rsidRPr="00EA59C0">
        <w:t xml:space="preserve"> </w:t>
      </w:r>
      <w:r w:rsidRPr="00EA59C0">
        <w:t>colleges</w:t>
      </w:r>
      <w:r w:rsidR="00C026A6" w:rsidRPr="00EA59C0">
        <w:t xml:space="preserve"> </w:t>
      </w:r>
      <w:r w:rsidRPr="00EA59C0">
        <w:t>will</w:t>
      </w:r>
      <w:r w:rsidR="00C026A6" w:rsidRPr="00EA59C0">
        <w:t xml:space="preserve"> </w:t>
      </w:r>
      <w:r w:rsidRPr="00EA59C0">
        <w:t>institutionalize</w:t>
      </w:r>
      <w:r w:rsidR="00C026A6" w:rsidRPr="00EA59C0">
        <w:t xml:space="preserve"> </w:t>
      </w:r>
      <w:r w:rsidRPr="00EA59C0">
        <w:t>these</w:t>
      </w:r>
      <w:r w:rsidR="00C026A6" w:rsidRPr="00EA59C0">
        <w:t xml:space="preserve"> </w:t>
      </w:r>
      <w:r w:rsidRPr="00EA59C0">
        <w:t>activitie</w:t>
      </w:r>
      <w:r w:rsidR="00830100" w:rsidRPr="00EA59C0">
        <w:t>s</w:t>
      </w:r>
      <w:r w:rsidR="00C026A6" w:rsidRPr="00EA59C0">
        <w:t xml:space="preserve"> </w:t>
      </w:r>
      <w:r w:rsidR="00830100" w:rsidRPr="00EA59C0">
        <w:t>into</w:t>
      </w:r>
      <w:r w:rsidR="00C026A6" w:rsidRPr="00EA59C0">
        <w:t xml:space="preserve"> </w:t>
      </w:r>
      <w:r w:rsidR="00830100" w:rsidRPr="00EA59C0">
        <w:t>their</w:t>
      </w:r>
      <w:r w:rsidR="00C026A6" w:rsidRPr="00EA59C0">
        <w:t xml:space="preserve"> </w:t>
      </w:r>
      <w:r w:rsidR="00830100" w:rsidRPr="00EA59C0">
        <w:t>overall,</w:t>
      </w:r>
      <w:r w:rsidR="00C026A6" w:rsidRPr="00EA59C0">
        <w:t xml:space="preserve"> </w:t>
      </w:r>
      <w:r w:rsidR="00830100" w:rsidRPr="00EA59C0">
        <w:t>non-grant</w:t>
      </w:r>
      <w:r w:rsidR="00C026A6" w:rsidRPr="00EA59C0">
        <w:t xml:space="preserve"> </w:t>
      </w:r>
      <w:r w:rsidRPr="00EA59C0">
        <w:t>funded</w:t>
      </w:r>
      <w:r w:rsidR="00C026A6" w:rsidRPr="00EA59C0">
        <w:t xml:space="preserve"> </w:t>
      </w:r>
      <w:r w:rsidRPr="00EA59C0">
        <w:t>education</w:t>
      </w:r>
      <w:r w:rsidR="00C026A6" w:rsidRPr="00EA59C0">
        <w:t xml:space="preserve"> </w:t>
      </w:r>
      <w:r w:rsidRPr="00EA59C0">
        <w:t>and</w:t>
      </w:r>
      <w:r w:rsidR="00C026A6" w:rsidRPr="00EA59C0">
        <w:t xml:space="preserve"> </w:t>
      </w:r>
      <w:r w:rsidRPr="00EA59C0">
        <w:t>training</w:t>
      </w:r>
      <w:r w:rsidR="00C026A6" w:rsidRPr="00EA59C0">
        <w:t xml:space="preserve"> </w:t>
      </w:r>
      <w:r w:rsidRPr="00EA59C0">
        <w:t>activities,</w:t>
      </w:r>
      <w:r w:rsidR="00C026A6" w:rsidRPr="00EA59C0">
        <w:t xml:space="preserve"> </w:t>
      </w:r>
      <w:r w:rsidR="00F6377A" w:rsidRPr="00EA59C0">
        <w:rPr>
          <w:bCs/>
        </w:rPr>
        <w:t>enabling them to continue providing similar activities with non-grant resources</w:t>
      </w:r>
      <w:r w:rsidR="00F6377A" w:rsidRPr="00EA59C0" w:rsidDel="00F6377A">
        <w:t xml:space="preserve"> </w:t>
      </w:r>
      <w:r w:rsidRPr="00EA59C0">
        <w:t>when</w:t>
      </w:r>
      <w:r w:rsidR="00C026A6" w:rsidRPr="00EA59C0">
        <w:t xml:space="preserve"> </w:t>
      </w:r>
      <w:r w:rsidRPr="00EA59C0">
        <w:t>the</w:t>
      </w:r>
      <w:r w:rsidR="00C026A6" w:rsidRPr="00EA59C0">
        <w:t xml:space="preserve"> </w:t>
      </w:r>
      <w:r w:rsidRPr="00EA59C0">
        <w:t>grant</w:t>
      </w:r>
      <w:r w:rsidR="00C026A6" w:rsidRPr="00EA59C0">
        <w:t xml:space="preserve"> </w:t>
      </w:r>
      <w:r w:rsidRPr="00EA59C0">
        <w:t>ends.</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describe</w:t>
      </w:r>
      <w:r w:rsidR="00C026A6" w:rsidRPr="00EA59C0">
        <w:t xml:space="preserve"> </w:t>
      </w:r>
      <w:r w:rsidRPr="00EA59C0">
        <w:t>the</w:t>
      </w:r>
      <w:r w:rsidR="00C026A6" w:rsidRPr="00EA59C0">
        <w:t xml:space="preserve"> </w:t>
      </w:r>
      <w:r w:rsidRPr="00EA59C0">
        <w:t>sustainability</w:t>
      </w:r>
      <w:r w:rsidR="00C026A6" w:rsidRPr="00EA59C0">
        <w:t xml:space="preserve"> </w:t>
      </w:r>
      <w:r w:rsidRPr="00EA59C0">
        <w:t>planning</w:t>
      </w:r>
      <w:r w:rsidR="00C026A6" w:rsidRPr="00EA59C0">
        <w:t xml:space="preserve"> </w:t>
      </w:r>
      <w:r w:rsidRPr="00EA59C0">
        <w:t>that</w:t>
      </w:r>
      <w:r w:rsidR="00C026A6" w:rsidRPr="00EA59C0">
        <w:t xml:space="preserve"> </w:t>
      </w:r>
      <w:r w:rsidRPr="00EA59C0">
        <w:t>participating</w:t>
      </w:r>
      <w:r w:rsidR="00C026A6" w:rsidRPr="00EA59C0">
        <w:t xml:space="preserve"> </w:t>
      </w:r>
      <w:r w:rsidRPr="00EA59C0">
        <w:t>colleges</w:t>
      </w:r>
      <w:r w:rsidR="00C026A6" w:rsidRPr="00EA59C0">
        <w:t xml:space="preserve"> </w:t>
      </w:r>
      <w:r w:rsidRPr="00EA59C0">
        <w:t>will</w:t>
      </w:r>
      <w:r w:rsidR="00C026A6" w:rsidRPr="00EA59C0">
        <w:t xml:space="preserve"> </w:t>
      </w:r>
      <w:r w:rsidRPr="00EA59C0">
        <w:t>complete</w:t>
      </w:r>
      <w:r w:rsidR="00C026A6" w:rsidRPr="00EA59C0">
        <w:t xml:space="preserve"> </w:t>
      </w:r>
      <w:r w:rsidRPr="00EA59C0">
        <w:t>throughout</w:t>
      </w:r>
      <w:r w:rsidR="00C026A6" w:rsidRPr="00EA59C0">
        <w:t xml:space="preserve"> </w:t>
      </w:r>
      <w:r w:rsidRPr="00EA59C0">
        <w:t>the</w:t>
      </w:r>
      <w:r w:rsidR="00C026A6" w:rsidRPr="00EA59C0">
        <w:t xml:space="preserve"> </w:t>
      </w:r>
      <w:r w:rsidRPr="00EA59C0">
        <w:t>grant</w:t>
      </w:r>
      <w:r w:rsidR="00C026A6" w:rsidRPr="00EA59C0">
        <w:t xml:space="preserve"> </w:t>
      </w:r>
      <w:r w:rsidRPr="00EA59C0">
        <w:t>period</w:t>
      </w:r>
      <w:r w:rsidR="001D0A05" w:rsidRPr="00EA59C0">
        <w:t xml:space="preserve"> to </w:t>
      </w:r>
      <w:r w:rsidR="001D0A05" w:rsidRPr="00EA59C0">
        <w:rPr>
          <w:bCs/>
        </w:rPr>
        <w:t>help develop a strategy for the institutionalization of these activities</w:t>
      </w:r>
      <w:r w:rsidRPr="00EA59C0">
        <w:t>.</w:t>
      </w:r>
      <w:r w:rsidR="00C026A6" w:rsidRPr="00EA59C0">
        <w:t xml:space="preserve">  </w:t>
      </w:r>
    </w:p>
    <w:p w:rsidR="0078298B" w:rsidRPr="00EA59C0" w:rsidRDefault="0078298B">
      <w:pPr>
        <w:pStyle w:val="ListParagraph"/>
        <w:ind w:left="1800"/>
      </w:pPr>
    </w:p>
    <w:p w:rsidR="000F2BA6" w:rsidRPr="00EA59C0" w:rsidRDefault="000F2BA6" w:rsidP="004A31E6">
      <w:pPr>
        <w:pStyle w:val="ListParagraph"/>
        <w:ind w:left="1440"/>
      </w:pPr>
      <w:r w:rsidRPr="00EA59C0">
        <w:t>Applicants</w:t>
      </w:r>
      <w:r w:rsidR="00C026A6" w:rsidRPr="00EA59C0">
        <w:t xml:space="preserve"> </w:t>
      </w:r>
      <w:r w:rsidRPr="00EA59C0">
        <w:t>addressing</w:t>
      </w:r>
      <w:r w:rsidR="00C026A6" w:rsidRPr="00EA59C0">
        <w:t xml:space="preserve"> </w:t>
      </w:r>
      <w:r w:rsidR="00D26FDF" w:rsidRPr="00EA59C0">
        <w:t>Option</w:t>
      </w:r>
      <w:r w:rsidR="00C026A6" w:rsidRPr="00EA59C0">
        <w:t xml:space="preserve"> </w:t>
      </w:r>
      <w:r w:rsidRPr="00EA59C0">
        <w:t>1</w:t>
      </w:r>
      <w:r w:rsidR="00C026A6" w:rsidRPr="00EA59C0">
        <w:t xml:space="preserve"> </w:t>
      </w:r>
      <w:r w:rsidR="0077105B" w:rsidRPr="00EA59C0">
        <w:t xml:space="preserve">or </w:t>
      </w:r>
      <w:r w:rsidRPr="00EA59C0">
        <w:t>2</w:t>
      </w:r>
      <w:r w:rsidR="00C026A6" w:rsidRPr="00EA59C0">
        <w:t xml:space="preserve"> </w:t>
      </w:r>
      <w:r w:rsidR="002D23FF" w:rsidRPr="00EA59C0">
        <w:t>must</w:t>
      </w:r>
      <w:r w:rsidR="00C026A6" w:rsidRPr="00EA59C0">
        <w:t xml:space="preserve"> </w:t>
      </w:r>
      <w:r w:rsidR="002D23FF" w:rsidRPr="00EA59C0">
        <w:t>also</w:t>
      </w:r>
      <w:r w:rsidR="00C026A6" w:rsidRPr="00EA59C0">
        <w:t xml:space="preserve"> </w:t>
      </w:r>
      <w:r w:rsidR="002D23FF" w:rsidRPr="00EA59C0">
        <w:t>address</w:t>
      </w:r>
      <w:r w:rsidR="00C026A6" w:rsidRPr="00EA59C0">
        <w:t xml:space="preserve"> </w:t>
      </w:r>
      <w:r w:rsidR="002D23FF" w:rsidRPr="00EA59C0">
        <w:t>factor</w:t>
      </w:r>
      <w:r w:rsidR="00C026A6" w:rsidRPr="00EA59C0">
        <w:t xml:space="preserve"> </w:t>
      </w:r>
      <w:r w:rsidRPr="00EA59C0">
        <w:t>6:</w:t>
      </w:r>
    </w:p>
    <w:p w:rsidR="000F2BA6" w:rsidRPr="00EA59C0" w:rsidRDefault="000F2BA6">
      <w:pPr>
        <w:pStyle w:val="ListParagraph"/>
        <w:ind w:left="1800"/>
      </w:pPr>
    </w:p>
    <w:p w:rsidR="0078298B" w:rsidRPr="00EA59C0" w:rsidRDefault="0078298B">
      <w:pPr>
        <w:pStyle w:val="ListParagraph"/>
        <w:numPr>
          <w:ilvl w:val="4"/>
          <w:numId w:val="17"/>
        </w:numPr>
      </w:pPr>
      <w:r w:rsidRPr="00EA59C0">
        <w:t>Applicants</w:t>
      </w:r>
      <w:r w:rsidR="00C026A6" w:rsidRPr="00EA59C0">
        <w:t xml:space="preserve"> </w:t>
      </w:r>
      <w:r w:rsidRPr="00EA59C0">
        <w:t>will</w:t>
      </w:r>
      <w:r w:rsidR="00C026A6" w:rsidRPr="00EA59C0">
        <w:t xml:space="preserve"> </w:t>
      </w:r>
      <w:r w:rsidRPr="00EA59C0">
        <w:t>demonstrate</w:t>
      </w:r>
      <w:r w:rsidR="00C026A6" w:rsidRPr="00EA59C0">
        <w:t xml:space="preserve"> </w:t>
      </w:r>
      <w:r w:rsidRPr="00EA59C0">
        <w:t>the</w:t>
      </w:r>
      <w:r w:rsidR="00C026A6" w:rsidRPr="00EA59C0">
        <w:t xml:space="preserve"> </w:t>
      </w:r>
      <w:r w:rsidRPr="00EA59C0">
        <w:t>state</w:t>
      </w:r>
      <w:r w:rsidR="00C026A6" w:rsidRPr="00EA59C0">
        <w:t xml:space="preserve"> </w:t>
      </w:r>
      <w:r w:rsidR="001148B7" w:rsidRPr="00EA59C0">
        <w:t>college</w:t>
      </w:r>
      <w:r w:rsidR="00C026A6" w:rsidRPr="00EA59C0">
        <w:t xml:space="preserve"> </w:t>
      </w:r>
      <w:r w:rsidR="001148B7" w:rsidRPr="00EA59C0">
        <w:t>system’s</w:t>
      </w:r>
      <w:r w:rsidR="00C026A6" w:rsidRPr="00EA59C0">
        <w:t xml:space="preserve"> </w:t>
      </w:r>
      <w:r w:rsidRPr="00EA59C0">
        <w:t>commitment</w:t>
      </w:r>
      <w:r w:rsidR="00C026A6" w:rsidRPr="00EA59C0">
        <w:t xml:space="preserve"> </w:t>
      </w:r>
      <w:r w:rsidRPr="00EA59C0">
        <w:t>to</w:t>
      </w:r>
      <w:r w:rsidR="00C026A6" w:rsidRPr="00EA59C0">
        <w:t xml:space="preserve"> </w:t>
      </w:r>
      <w:r w:rsidRPr="00EA59C0">
        <w:t>adopt</w:t>
      </w:r>
      <w:r w:rsidR="00C026A6" w:rsidRPr="00EA59C0">
        <w:t xml:space="preserve"> </w:t>
      </w:r>
      <w:r w:rsidRPr="00EA59C0">
        <w:t>and</w:t>
      </w:r>
      <w:r w:rsidR="00C026A6" w:rsidRPr="00EA59C0">
        <w:t xml:space="preserve"> </w:t>
      </w:r>
      <w:r w:rsidRPr="00EA59C0">
        <w:t>promote</w:t>
      </w:r>
      <w:r w:rsidR="00C026A6" w:rsidRPr="00EA59C0">
        <w:t xml:space="preserve"> </w:t>
      </w:r>
      <w:r w:rsidRPr="00EA59C0">
        <w:t>the</w:t>
      </w:r>
      <w:r w:rsidR="00C026A6" w:rsidRPr="00EA59C0">
        <w:t xml:space="preserve"> </w:t>
      </w:r>
      <w:r w:rsidRPr="00EA59C0">
        <w:t>proposed</w:t>
      </w:r>
      <w:r w:rsidR="00C026A6" w:rsidRPr="00EA59C0">
        <w:t xml:space="preserve"> </w:t>
      </w:r>
      <w:r w:rsidRPr="00EA59C0">
        <w:t>activities</w:t>
      </w:r>
      <w:r w:rsidR="00C026A6" w:rsidRPr="00EA59C0">
        <w:t xml:space="preserve"> </w:t>
      </w:r>
      <w:r w:rsidRPr="00EA59C0">
        <w:t>statewide.</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include</w:t>
      </w:r>
      <w:r w:rsidR="00C026A6" w:rsidRPr="00EA59C0">
        <w:t xml:space="preserve"> </w:t>
      </w:r>
      <w:r w:rsidRPr="00EA59C0">
        <w:t>a</w:t>
      </w:r>
      <w:r w:rsidR="00C026A6" w:rsidRPr="00EA59C0">
        <w:t xml:space="preserve"> </w:t>
      </w:r>
      <w:r w:rsidRPr="00EA59C0">
        <w:t>letter</w:t>
      </w:r>
      <w:r w:rsidR="00C026A6" w:rsidRPr="00EA59C0">
        <w:t xml:space="preserve"> </w:t>
      </w:r>
      <w:r w:rsidRPr="00EA59C0">
        <w:t>from</w:t>
      </w:r>
      <w:r w:rsidR="00C026A6" w:rsidRPr="00EA59C0">
        <w:t xml:space="preserve"> </w:t>
      </w:r>
      <w:r w:rsidRPr="00EA59C0">
        <w:t>the</w:t>
      </w:r>
      <w:r w:rsidR="00C026A6" w:rsidRPr="00EA59C0">
        <w:t xml:space="preserve"> </w:t>
      </w:r>
      <w:r w:rsidRPr="00EA59C0">
        <w:t>state</w:t>
      </w:r>
      <w:r w:rsidR="00C026A6" w:rsidRPr="00EA59C0">
        <w:t xml:space="preserve"> </w:t>
      </w:r>
      <w:r w:rsidR="001148B7" w:rsidRPr="00EA59C0">
        <w:t>office</w:t>
      </w:r>
      <w:r w:rsidR="00C026A6" w:rsidRPr="00EA59C0">
        <w:t xml:space="preserve"> </w:t>
      </w:r>
      <w:r w:rsidRPr="00EA59C0">
        <w:t>that</w:t>
      </w:r>
      <w:r w:rsidR="00C026A6" w:rsidRPr="00EA59C0">
        <w:t xml:space="preserve"> </w:t>
      </w:r>
      <w:r w:rsidR="00BD4B99" w:rsidRPr="00EA59C0">
        <w:t xml:space="preserve">organizes their community colleges that </w:t>
      </w:r>
      <w:r w:rsidRPr="00EA59C0">
        <w:t>provides</w:t>
      </w:r>
      <w:r w:rsidR="00C026A6" w:rsidRPr="00EA59C0">
        <w:t xml:space="preserve"> </w:t>
      </w:r>
      <w:r w:rsidRPr="00EA59C0">
        <w:t>evidence</w:t>
      </w:r>
      <w:r w:rsidR="00C026A6" w:rsidRPr="00EA59C0">
        <w:t xml:space="preserve"> </w:t>
      </w:r>
      <w:r w:rsidRPr="00EA59C0">
        <w:t>of</w:t>
      </w:r>
      <w:r w:rsidR="00C026A6" w:rsidRPr="00EA59C0">
        <w:t xml:space="preserve"> </w:t>
      </w:r>
      <w:r w:rsidRPr="00EA59C0">
        <w:t>this</w:t>
      </w:r>
      <w:r w:rsidR="00C026A6" w:rsidRPr="00EA59C0">
        <w:t xml:space="preserve"> </w:t>
      </w:r>
      <w:r w:rsidRPr="00EA59C0">
        <w:t>commitment.</w:t>
      </w:r>
      <w:r w:rsidR="00BD4B99" w:rsidRPr="00EA59C0">
        <w:t xml:space="preserve">  </w:t>
      </w:r>
      <w:r w:rsidR="00BD4B99" w:rsidRPr="00EA59C0">
        <w:rPr>
          <w:bCs/>
        </w:rPr>
        <w:t>This may be the state community college system office or a single state board that organizes all of their higher education institutions, depending on the state.</w:t>
      </w:r>
      <w:r w:rsidR="00C026A6" w:rsidRPr="00EA59C0">
        <w:t xml:space="preserve">  </w:t>
      </w:r>
      <w:r w:rsidRPr="00EA59C0">
        <w:t>For</w:t>
      </w:r>
      <w:r w:rsidR="00C026A6" w:rsidRPr="00EA59C0">
        <w:t xml:space="preserve"> </w:t>
      </w:r>
      <w:r w:rsidRPr="00EA59C0">
        <w:t>states</w:t>
      </w:r>
      <w:r w:rsidR="00C026A6" w:rsidRPr="00EA59C0">
        <w:t xml:space="preserve"> </w:t>
      </w:r>
      <w:r w:rsidR="001148B7" w:rsidRPr="00EA59C0">
        <w:t>without</w:t>
      </w:r>
      <w:r w:rsidR="00C026A6" w:rsidRPr="00EA59C0">
        <w:t xml:space="preserve"> </w:t>
      </w:r>
      <w:r w:rsidR="001148B7" w:rsidRPr="00EA59C0">
        <w:t>a</w:t>
      </w:r>
      <w:r w:rsidR="00C026A6" w:rsidRPr="00EA59C0">
        <w:t xml:space="preserve"> </w:t>
      </w:r>
      <w:r w:rsidR="001148B7" w:rsidRPr="00EA59C0">
        <w:t>centralized</w:t>
      </w:r>
      <w:r w:rsidR="00C026A6" w:rsidRPr="00EA59C0">
        <w:t xml:space="preserve"> </w:t>
      </w:r>
      <w:r w:rsidR="001148B7" w:rsidRPr="00EA59C0">
        <w:t>community</w:t>
      </w:r>
      <w:r w:rsidR="00C026A6" w:rsidRPr="00EA59C0">
        <w:t xml:space="preserve"> </w:t>
      </w:r>
      <w:r w:rsidR="001148B7" w:rsidRPr="00EA59C0">
        <w:t>college</w:t>
      </w:r>
      <w:r w:rsidR="00C026A6" w:rsidRPr="00EA59C0">
        <w:t xml:space="preserve"> </w:t>
      </w:r>
      <w:r w:rsidR="001148B7" w:rsidRPr="00EA59C0">
        <w:t>system</w:t>
      </w:r>
      <w:r w:rsidRPr="00EA59C0">
        <w:t>,</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describe</w:t>
      </w:r>
      <w:r w:rsidR="00C026A6" w:rsidRPr="00EA59C0">
        <w:t xml:space="preserve"> </w:t>
      </w:r>
      <w:r w:rsidRPr="00EA59C0">
        <w:t>the</w:t>
      </w:r>
      <w:r w:rsidR="00C026A6" w:rsidRPr="00EA59C0">
        <w:t xml:space="preserve"> </w:t>
      </w:r>
      <w:r w:rsidRPr="00EA59C0">
        <w:t>specific</w:t>
      </w:r>
      <w:r w:rsidR="00C026A6" w:rsidRPr="00EA59C0">
        <w:t xml:space="preserve"> </w:t>
      </w:r>
      <w:r w:rsidRPr="00EA59C0">
        <w:t>steps</w:t>
      </w:r>
      <w:r w:rsidR="00C026A6" w:rsidRPr="00EA59C0">
        <w:t xml:space="preserve"> </w:t>
      </w:r>
      <w:r w:rsidRPr="00EA59C0">
        <w:t>that</w:t>
      </w:r>
      <w:r w:rsidR="00C026A6" w:rsidRPr="00EA59C0">
        <w:t xml:space="preserve"> </w:t>
      </w:r>
      <w:r w:rsidRPr="00EA59C0">
        <w:t>the</w:t>
      </w:r>
      <w:r w:rsidR="00C026A6" w:rsidRPr="00EA59C0">
        <w:t xml:space="preserve"> </w:t>
      </w:r>
      <w:r w:rsidR="001148B7" w:rsidRPr="00EA59C0">
        <w:t>consortium</w:t>
      </w:r>
      <w:r w:rsidR="00C026A6" w:rsidRPr="00EA59C0">
        <w:t xml:space="preserve"> </w:t>
      </w:r>
      <w:r w:rsidRPr="00EA59C0">
        <w:t>will</w:t>
      </w:r>
      <w:r w:rsidR="00C026A6" w:rsidRPr="00EA59C0">
        <w:t xml:space="preserve"> </w:t>
      </w:r>
      <w:r w:rsidRPr="00EA59C0">
        <w:t>complete</w:t>
      </w:r>
      <w:r w:rsidR="00C026A6" w:rsidRPr="00EA59C0">
        <w:t xml:space="preserve"> </w:t>
      </w:r>
      <w:r w:rsidRPr="00EA59C0">
        <w:t>to</w:t>
      </w:r>
      <w:r w:rsidR="00C026A6" w:rsidRPr="00EA59C0">
        <w:t xml:space="preserve"> </w:t>
      </w:r>
      <w:r w:rsidRPr="00EA59C0">
        <w:t>adopt</w:t>
      </w:r>
      <w:r w:rsidR="00C026A6" w:rsidRPr="00EA59C0">
        <w:t xml:space="preserve"> </w:t>
      </w:r>
      <w:r w:rsidRPr="00EA59C0">
        <w:t>and</w:t>
      </w:r>
      <w:r w:rsidR="00C026A6" w:rsidRPr="00EA59C0">
        <w:t xml:space="preserve"> </w:t>
      </w:r>
      <w:r w:rsidRPr="00EA59C0">
        <w:t>promote</w:t>
      </w:r>
      <w:r w:rsidR="00C026A6" w:rsidRPr="00EA59C0">
        <w:t xml:space="preserve"> </w:t>
      </w:r>
      <w:r w:rsidRPr="00EA59C0">
        <w:t>the</w:t>
      </w:r>
      <w:r w:rsidR="00C026A6" w:rsidRPr="00EA59C0">
        <w:t xml:space="preserve"> </w:t>
      </w:r>
      <w:r w:rsidRPr="00EA59C0">
        <w:t>proposed</w:t>
      </w:r>
      <w:r w:rsidR="00C026A6" w:rsidRPr="00EA59C0">
        <w:t xml:space="preserve"> </w:t>
      </w:r>
      <w:r w:rsidRPr="00EA59C0">
        <w:t>activities</w:t>
      </w:r>
      <w:r w:rsidR="00C026A6" w:rsidRPr="00EA59C0">
        <w:t xml:space="preserve"> </w:t>
      </w:r>
      <w:r w:rsidRPr="00EA59C0">
        <w:t>statewide.</w:t>
      </w:r>
    </w:p>
    <w:p w:rsidR="0078298B" w:rsidRPr="00EA59C0" w:rsidRDefault="0078298B">
      <w:pPr>
        <w:pStyle w:val="ListParagraph"/>
        <w:ind w:left="1800"/>
      </w:pPr>
    </w:p>
    <w:p w:rsidR="000F2BA6" w:rsidRPr="00EA59C0" w:rsidRDefault="000F2BA6" w:rsidP="004A31E6">
      <w:pPr>
        <w:pStyle w:val="ListParagraph"/>
        <w:ind w:left="1440"/>
      </w:pPr>
      <w:r w:rsidRPr="00EA59C0">
        <w:t>Applicants</w:t>
      </w:r>
      <w:r w:rsidR="00C026A6" w:rsidRPr="00EA59C0">
        <w:t xml:space="preserve"> </w:t>
      </w:r>
      <w:r w:rsidRPr="00EA59C0">
        <w:t>addressing</w:t>
      </w:r>
      <w:r w:rsidR="00C026A6" w:rsidRPr="00EA59C0">
        <w:t xml:space="preserve"> </w:t>
      </w:r>
      <w:r w:rsidR="00FD7855" w:rsidRPr="00EA59C0">
        <w:t>Option</w:t>
      </w:r>
      <w:r w:rsidR="00C026A6" w:rsidRPr="00EA59C0">
        <w:t xml:space="preserve"> </w:t>
      </w:r>
      <w:r w:rsidRPr="00EA59C0">
        <w:t>2</w:t>
      </w:r>
      <w:r w:rsidR="00C026A6" w:rsidRPr="00EA59C0">
        <w:t xml:space="preserve"> </w:t>
      </w:r>
      <w:r w:rsidRPr="00EA59C0">
        <w:t>mu</w:t>
      </w:r>
      <w:r w:rsidR="00FD7855" w:rsidRPr="00EA59C0">
        <w:t>st</w:t>
      </w:r>
      <w:r w:rsidR="00C026A6" w:rsidRPr="00EA59C0">
        <w:t xml:space="preserve"> </w:t>
      </w:r>
      <w:r w:rsidR="00FD7855" w:rsidRPr="00EA59C0">
        <w:t>also</w:t>
      </w:r>
      <w:r w:rsidR="00C026A6" w:rsidRPr="00EA59C0">
        <w:t xml:space="preserve"> </w:t>
      </w:r>
      <w:r w:rsidR="00FD7855" w:rsidRPr="00EA59C0">
        <w:t>address</w:t>
      </w:r>
      <w:r w:rsidR="00C026A6" w:rsidRPr="00EA59C0">
        <w:t xml:space="preserve"> </w:t>
      </w:r>
      <w:r w:rsidR="00FD7855" w:rsidRPr="00EA59C0">
        <w:t>factor</w:t>
      </w:r>
      <w:r w:rsidR="00C026A6" w:rsidRPr="00EA59C0">
        <w:t xml:space="preserve"> </w:t>
      </w:r>
      <w:r w:rsidRPr="00EA59C0">
        <w:t>7:</w:t>
      </w:r>
    </w:p>
    <w:p w:rsidR="000F2BA6" w:rsidRPr="00EA59C0" w:rsidRDefault="000C27C2" w:rsidP="000C27C2">
      <w:pPr>
        <w:pStyle w:val="ListParagraph"/>
        <w:numPr>
          <w:ilvl w:val="4"/>
          <w:numId w:val="17"/>
        </w:numPr>
      </w:pPr>
      <w:r w:rsidRPr="00EA59C0">
        <w:t>The</w:t>
      </w:r>
      <w:r w:rsidR="00C026A6" w:rsidRPr="00EA59C0">
        <w:t xml:space="preserve"> </w:t>
      </w:r>
      <w:r w:rsidRPr="00EA59C0">
        <w:t>applicant</w:t>
      </w:r>
      <w:r w:rsidR="00C026A6" w:rsidRPr="00EA59C0">
        <w:t xml:space="preserve"> </w:t>
      </w:r>
      <w:r w:rsidRPr="00EA59C0">
        <w:t>demonstrates</w:t>
      </w:r>
      <w:r w:rsidR="00C026A6" w:rsidRPr="00EA59C0">
        <w:t xml:space="preserve"> </w:t>
      </w:r>
      <w:r w:rsidRPr="00EA59C0">
        <w:t>the</w:t>
      </w:r>
      <w:r w:rsidR="00C026A6" w:rsidRPr="00EA59C0">
        <w:t xml:space="preserve"> </w:t>
      </w:r>
      <w:r w:rsidRPr="00EA59C0">
        <w:t>technical</w:t>
      </w:r>
      <w:r w:rsidR="00C026A6" w:rsidRPr="00EA59C0">
        <w:t xml:space="preserve"> </w:t>
      </w:r>
      <w:r w:rsidRPr="00EA59C0">
        <w:t>feasibility</w:t>
      </w:r>
      <w:r w:rsidR="00C026A6" w:rsidRPr="00EA59C0">
        <w:t xml:space="preserve"> </w:t>
      </w:r>
      <w:r w:rsidRPr="00EA59C0">
        <w:t>of</w:t>
      </w:r>
      <w:r w:rsidR="00C026A6" w:rsidRPr="00EA59C0">
        <w:t xml:space="preserve"> </w:t>
      </w:r>
      <w:r w:rsidRPr="00EA59C0">
        <w:t>addressing</w:t>
      </w:r>
      <w:r w:rsidR="00C026A6" w:rsidRPr="00EA59C0">
        <w:t xml:space="preserve"> </w:t>
      </w:r>
      <w:r w:rsidRPr="00EA59C0">
        <w:t>this</w:t>
      </w:r>
      <w:r w:rsidR="00C026A6" w:rsidRPr="00EA59C0">
        <w:t xml:space="preserve"> </w:t>
      </w:r>
      <w:r w:rsidRPr="00EA59C0">
        <w:t>option,</w:t>
      </w:r>
      <w:r w:rsidR="00C026A6" w:rsidRPr="00EA59C0">
        <w:t xml:space="preserve"> </w:t>
      </w:r>
      <w:r w:rsidRPr="00EA59C0">
        <w:t>including</w:t>
      </w:r>
      <w:r w:rsidR="00C026A6" w:rsidRPr="00EA59C0">
        <w:t xml:space="preserve"> </w:t>
      </w:r>
      <w:r w:rsidRPr="00EA59C0">
        <w:t>the</w:t>
      </w:r>
      <w:r w:rsidR="00C026A6" w:rsidRPr="00EA59C0">
        <w:t xml:space="preserve"> </w:t>
      </w:r>
      <w:r w:rsidRPr="00EA59C0">
        <w:t>feasibility</w:t>
      </w:r>
      <w:r w:rsidR="00C026A6" w:rsidRPr="00EA59C0">
        <w:t xml:space="preserve"> </w:t>
      </w:r>
      <w:r w:rsidRPr="00EA59C0">
        <w:t>of</w:t>
      </w:r>
      <w:r w:rsidR="00C026A6" w:rsidRPr="00EA59C0">
        <w:t xml:space="preserve"> </w:t>
      </w:r>
      <w:r w:rsidRPr="00EA59C0">
        <w:t>enhancing</w:t>
      </w:r>
      <w:r w:rsidR="00C026A6" w:rsidRPr="00EA59C0">
        <w:t xml:space="preserve"> </w:t>
      </w:r>
      <w:r w:rsidRPr="00EA59C0">
        <w:t>and</w:t>
      </w:r>
      <w:r w:rsidR="00C026A6" w:rsidRPr="00EA59C0">
        <w:t xml:space="preserve"> </w:t>
      </w:r>
      <w:r w:rsidRPr="00EA59C0">
        <w:t>linking</w:t>
      </w:r>
      <w:r w:rsidR="00C026A6" w:rsidRPr="00EA59C0">
        <w:t xml:space="preserve"> </w:t>
      </w:r>
      <w:r w:rsidRPr="00EA59C0">
        <w:t>technologies</w:t>
      </w:r>
      <w:r w:rsidR="00C026A6" w:rsidRPr="00EA59C0">
        <w:t xml:space="preserve"> </w:t>
      </w:r>
      <w:r w:rsidRPr="00EA59C0">
        <w:t>and</w:t>
      </w:r>
      <w:r w:rsidR="00C026A6" w:rsidRPr="00EA59C0">
        <w:t xml:space="preserve"> </w:t>
      </w:r>
      <w:r w:rsidRPr="00EA59C0">
        <w:t>systems,</w:t>
      </w:r>
      <w:r w:rsidR="00C026A6" w:rsidRPr="00EA59C0">
        <w:t xml:space="preserve"> </w:t>
      </w:r>
      <w:r w:rsidRPr="00EA59C0">
        <w:t>as</w:t>
      </w:r>
      <w:r w:rsidR="00C026A6" w:rsidRPr="00EA59C0">
        <w:t xml:space="preserve"> </w:t>
      </w:r>
      <w:r w:rsidRPr="00EA59C0">
        <w:t>appropriate.</w:t>
      </w:r>
    </w:p>
    <w:p w:rsidR="000F2BA6" w:rsidRPr="00EA59C0" w:rsidRDefault="000F2BA6" w:rsidP="004A31E6">
      <w:pPr>
        <w:pStyle w:val="ListParagraph"/>
        <w:ind w:left="1800"/>
        <w:rPr>
          <w:bCs/>
        </w:rPr>
      </w:pPr>
    </w:p>
    <w:p w:rsidR="00FD7855" w:rsidRPr="00EA59C0" w:rsidRDefault="00FD7855" w:rsidP="00FD7855">
      <w:pPr>
        <w:pStyle w:val="ListParagraph"/>
        <w:ind w:left="1800"/>
      </w:pPr>
      <w:r w:rsidRPr="00EA59C0">
        <w:t>Applicants</w:t>
      </w:r>
      <w:r w:rsidR="00C026A6" w:rsidRPr="00EA59C0">
        <w:t xml:space="preserve"> </w:t>
      </w:r>
      <w:r w:rsidRPr="00EA59C0">
        <w:t>addressing</w:t>
      </w:r>
      <w:r w:rsidR="00C026A6" w:rsidRPr="00EA59C0">
        <w:t xml:space="preserve"> </w:t>
      </w:r>
      <w:r w:rsidR="002D23FF" w:rsidRPr="00EA59C0">
        <w:rPr>
          <w:b/>
        </w:rPr>
        <w:t>Option</w:t>
      </w:r>
      <w:r w:rsidR="00C026A6" w:rsidRPr="00EA59C0">
        <w:rPr>
          <w:b/>
        </w:rPr>
        <w:t xml:space="preserve"> </w:t>
      </w:r>
      <w:r w:rsidRPr="00EA59C0">
        <w:rPr>
          <w:b/>
        </w:rPr>
        <w:t>3</w:t>
      </w:r>
      <w:r w:rsidR="00C026A6" w:rsidRPr="00EA59C0">
        <w:t xml:space="preserve"> </w:t>
      </w:r>
      <w:r w:rsidRPr="00EA59C0">
        <w:t>must</w:t>
      </w:r>
      <w:r w:rsidR="00C026A6" w:rsidRPr="00EA59C0">
        <w:t xml:space="preserve"> </w:t>
      </w:r>
      <w:r w:rsidRPr="00EA59C0">
        <w:t>also</w:t>
      </w:r>
      <w:r w:rsidR="00C026A6" w:rsidRPr="00EA59C0">
        <w:t xml:space="preserve"> </w:t>
      </w:r>
      <w:r w:rsidRPr="00EA59C0">
        <w:t>address</w:t>
      </w:r>
      <w:r w:rsidR="00C026A6" w:rsidRPr="00EA59C0">
        <w:t xml:space="preserve"> </w:t>
      </w:r>
      <w:r w:rsidRPr="00EA59C0">
        <w:t>factor</w:t>
      </w:r>
      <w:r w:rsidR="00C026A6" w:rsidRPr="00EA59C0">
        <w:t xml:space="preserve"> </w:t>
      </w:r>
      <w:r w:rsidRPr="00EA59C0">
        <w:rPr>
          <w:b/>
        </w:rPr>
        <w:t>8</w:t>
      </w:r>
      <w:r w:rsidRPr="00EA59C0">
        <w:t>:</w:t>
      </w:r>
    </w:p>
    <w:p w:rsidR="00FD7855" w:rsidRPr="00EA59C0" w:rsidRDefault="00FD7855" w:rsidP="004A31E6">
      <w:pPr>
        <w:pStyle w:val="ListParagraph"/>
        <w:ind w:left="1440"/>
      </w:pPr>
    </w:p>
    <w:p w:rsidR="000F2BA6" w:rsidRPr="00EA59C0" w:rsidRDefault="000F2BA6" w:rsidP="004A31E6">
      <w:pPr>
        <w:pStyle w:val="ListParagraph"/>
        <w:numPr>
          <w:ilvl w:val="4"/>
          <w:numId w:val="17"/>
        </w:numPr>
      </w:pPr>
      <w:r w:rsidRPr="00EA59C0">
        <w:t>Applicants</w:t>
      </w:r>
      <w:r w:rsidR="00C026A6" w:rsidRPr="00EA59C0">
        <w:t xml:space="preserve"> </w:t>
      </w:r>
      <w:r w:rsidRPr="00EA59C0">
        <w:t>will</w:t>
      </w:r>
      <w:r w:rsidR="00C026A6" w:rsidRPr="00EA59C0">
        <w:t xml:space="preserve"> </w:t>
      </w:r>
      <w:r w:rsidRPr="00EA59C0">
        <w:t>demonstrate</w:t>
      </w:r>
      <w:r w:rsidR="00C026A6" w:rsidRPr="00EA59C0">
        <w:t xml:space="preserve"> </w:t>
      </w:r>
      <w:r w:rsidRPr="00EA59C0">
        <w:t>the</w:t>
      </w:r>
      <w:r w:rsidR="00C026A6" w:rsidRPr="00EA59C0">
        <w:t xml:space="preserve"> </w:t>
      </w:r>
      <w:r w:rsidRPr="00EA59C0">
        <w:t>commitment</w:t>
      </w:r>
      <w:r w:rsidR="00C026A6" w:rsidRPr="00EA59C0">
        <w:t xml:space="preserve"> </w:t>
      </w:r>
      <w:r w:rsidRPr="00EA59C0">
        <w:t>of</w:t>
      </w:r>
      <w:r w:rsidR="00C026A6" w:rsidRPr="00EA59C0">
        <w:t xml:space="preserve"> </w:t>
      </w:r>
      <w:r w:rsidRPr="00EA59C0">
        <w:t>their</w:t>
      </w:r>
      <w:r w:rsidR="00C026A6" w:rsidRPr="00EA59C0">
        <w:t xml:space="preserve"> </w:t>
      </w:r>
      <w:r w:rsidRPr="00EA59C0">
        <w:t>national</w:t>
      </w:r>
      <w:r w:rsidR="00C026A6" w:rsidRPr="00EA59C0">
        <w:t xml:space="preserve"> </w:t>
      </w:r>
      <w:r w:rsidRPr="00EA59C0">
        <w:t>partner</w:t>
      </w:r>
      <w:r w:rsidR="00C026A6" w:rsidRPr="00EA59C0">
        <w:t xml:space="preserve"> </w:t>
      </w:r>
      <w:r w:rsidRPr="00EA59C0">
        <w:t>to</w:t>
      </w:r>
      <w:r w:rsidR="00C026A6" w:rsidRPr="00EA59C0">
        <w:t xml:space="preserve"> </w:t>
      </w:r>
      <w:r w:rsidRPr="00EA59C0">
        <w:t>the</w:t>
      </w:r>
      <w:r w:rsidR="00C026A6" w:rsidRPr="00EA59C0">
        <w:t xml:space="preserve"> </w:t>
      </w:r>
      <w:r w:rsidRPr="00EA59C0">
        <w:t>successful</w:t>
      </w:r>
      <w:r w:rsidR="00C026A6" w:rsidRPr="00EA59C0">
        <w:t xml:space="preserve"> </w:t>
      </w:r>
      <w:r w:rsidRPr="00EA59C0">
        <w:t>implementation</w:t>
      </w:r>
      <w:r w:rsidR="00C026A6" w:rsidRPr="00EA59C0">
        <w:t xml:space="preserve"> </w:t>
      </w:r>
      <w:r w:rsidRPr="00EA59C0">
        <w:t>of</w:t>
      </w:r>
      <w:r w:rsidR="00C026A6" w:rsidRPr="00EA59C0">
        <w:t xml:space="preserve"> </w:t>
      </w:r>
      <w:r w:rsidRPr="00EA59C0">
        <w:t>the</w:t>
      </w:r>
      <w:r w:rsidR="00C026A6" w:rsidRPr="00EA59C0">
        <w:t xml:space="preserve"> </w:t>
      </w:r>
      <w:r w:rsidRPr="00EA59C0">
        <w:t>proposed</w:t>
      </w:r>
      <w:r w:rsidR="00C026A6" w:rsidRPr="00EA59C0">
        <w:t xml:space="preserve"> </w:t>
      </w:r>
      <w:r w:rsidRPr="00EA59C0">
        <w:t>competencies</w:t>
      </w:r>
      <w:r w:rsidR="00C026A6" w:rsidRPr="00EA59C0">
        <w:t xml:space="preserve"> </w:t>
      </w:r>
      <w:r w:rsidRPr="00EA59C0">
        <w:t>and</w:t>
      </w:r>
      <w:r w:rsidR="00C026A6" w:rsidRPr="00EA59C0">
        <w:t xml:space="preserve"> </w:t>
      </w:r>
      <w:r w:rsidRPr="00EA59C0">
        <w:t>credentials,</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to</w:t>
      </w:r>
      <w:r w:rsidR="00C026A6" w:rsidRPr="00EA59C0">
        <w:t xml:space="preserve"> </w:t>
      </w:r>
      <w:r w:rsidRPr="00EA59C0">
        <w:t>helping</w:t>
      </w:r>
      <w:r w:rsidR="00C026A6" w:rsidRPr="00EA59C0">
        <w:t xml:space="preserve"> </w:t>
      </w:r>
      <w:r w:rsidRPr="00EA59C0">
        <w:t>implement</w:t>
      </w:r>
      <w:r w:rsidR="00C026A6" w:rsidRPr="00EA59C0">
        <w:t xml:space="preserve"> </w:t>
      </w:r>
      <w:r w:rsidRPr="00EA59C0">
        <w:t>the</w:t>
      </w:r>
      <w:r w:rsidR="00C026A6" w:rsidRPr="00EA59C0">
        <w:t xml:space="preserve"> </w:t>
      </w:r>
      <w:r w:rsidRPr="00EA59C0">
        <w:t>program</w:t>
      </w:r>
      <w:r w:rsidR="00C026A6" w:rsidRPr="00EA59C0">
        <w:t xml:space="preserve"> </w:t>
      </w:r>
      <w:r w:rsidRPr="00EA59C0">
        <w:t>at</w:t>
      </w:r>
      <w:r w:rsidR="00C026A6" w:rsidRPr="00EA59C0">
        <w:t xml:space="preserve"> </w:t>
      </w:r>
      <w:r w:rsidRPr="00EA59C0">
        <w:t>other</w:t>
      </w:r>
      <w:r w:rsidR="00C026A6" w:rsidRPr="00EA59C0">
        <w:t xml:space="preserve"> </w:t>
      </w:r>
      <w:r w:rsidRPr="00EA59C0">
        <w:t>colleges,</w:t>
      </w:r>
      <w:r w:rsidR="00C026A6" w:rsidRPr="00EA59C0">
        <w:t xml:space="preserve"> </w:t>
      </w:r>
      <w:r w:rsidRPr="00EA59C0">
        <w:t>and</w:t>
      </w:r>
      <w:r w:rsidR="00C026A6" w:rsidRPr="00EA59C0">
        <w:t xml:space="preserve"> </w:t>
      </w:r>
      <w:r w:rsidRPr="00EA59C0">
        <w:t>disseminating</w:t>
      </w:r>
      <w:r w:rsidR="00C026A6" w:rsidRPr="00EA59C0">
        <w:t xml:space="preserve"> </w:t>
      </w:r>
      <w:r w:rsidRPr="00EA59C0">
        <w:t>information</w:t>
      </w:r>
      <w:r w:rsidR="00C026A6" w:rsidRPr="00EA59C0">
        <w:t xml:space="preserve"> </w:t>
      </w:r>
      <w:r w:rsidRPr="00EA59C0">
        <w:t>about</w:t>
      </w:r>
      <w:r w:rsidR="00C026A6" w:rsidRPr="00EA59C0">
        <w:t xml:space="preserve"> </w:t>
      </w:r>
      <w:r w:rsidRPr="00EA59C0">
        <w:t>the</w:t>
      </w:r>
      <w:r w:rsidR="00C026A6" w:rsidRPr="00EA59C0">
        <w:t xml:space="preserve"> </w:t>
      </w:r>
      <w:r w:rsidRPr="00EA59C0">
        <w:t>new</w:t>
      </w:r>
      <w:r w:rsidR="00C026A6" w:rsidRPr="00EA59C0">
        <w:t xml:space="preserve"> </w:t>
      </w:r>
      <w:r w:rsidRPr="00EA59C0">
        <w:t>or</w:t>
      </w:r>
      <w:r w:rsidR="00C026A6" w:rsidRPr="00EA59C0">
        <w:t xml:space="preserve"> </w:t>
      </w:r>
      <w:r w:rsidRPr="00EA59C0">
        <w:t>enhanced</w:t>
      </w:r>
      <w:r w:rsidR="00C026A6" w:rsidRPr="00EA59C0">
        <w:t xml:space="preserve"> </w:t>
      </w:r>
      <w:r w:rsidRPr="00EA59C0">
        <w:t>program</w:t>
      </w:r>
      <w:r w:rsidR="00C026A6" w:rsidRPr="00EA59C0">
        <w:t xml:space="preserve"> </w:t>
      </w:r>
      <w:r w:rsidRPr="00EA59C0">
        <w:t>nationally.</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include</w:t>
      </w:r>
      <w:r w:rsidR="00C026A6" w:rsidRPr="00EA59C0">
        <w:t xml:space="preserve"> </w:t>
      </w:r>
      <w:r w:rsidRPr="00EA59C0">
        <w:t>a</w:t>
      </w:r>
      <w:r w:rsidR="00C026A6" w:rsidRPr="00EA59C0">
        <w:t xml:space="preserve"> </w:t>
      </w:r>
      <w:r w:rsidRPr="00EA59C0">
        <w:t>letter</w:t>
      </w:r>
      <w:r w:rsidR="00C026A6" w:rsidRPr="00EA59C0">
        <w:t xml:space="preserve"> </w:t>
      </w:r>
      <w:r w:rsidRPr="00EA59C0">
        <w:t>from</w:t>
      </w:r>
      <w:r w:rsidR="00C026A6" w:rsidRPr="00EA59C0">
        <w:t xml:space="preserve"> </w:t>
      </w:r>
      <w:r w:rsidRPr="00EA59C0">
        <w:t>the</w:t>
      </w:r>
      <w:r w:rsidR="00C026A6" w:rsidRPr="00EA59C0">
        <w:t xml:space="preserve"> </w:t>
      </w:r>
      <w:r w:rsidRPr="00EA59C0">
        <w:t>national</w:t>
      </w:r>
      <w:r w:rsidR="00C026A6" w:rsidRPr="00EA59C0">
        <w:t xml:space="preserve"> </w:t>
      </w:r>
      <w:r w:rsidRPr="00EA59C0">
        <w:t>partner</w:t>
      </w:r>
      <w:r w:rsidR="00C026A6" w:rsidRPr="00EA59C0">
        <w:t xml:space="preserve"> </w:t>
      </w:r>
      <w:r w:rsidRPr="00EA59C0">
        <w:t>that</w:t>
      </w:r>
      <w:r w:rsidR="00C026A6" w:rsidRPr="00EA59C0">
        <w:t xml:space="preserve"> </w:t>
      </w:r>
      <w:r w:rsidRPr="00EA59C0">
        <w:t>defines</w:t>
      </w:r>
      <w:r w:rsidR="00C026A6" w:rsidRPr="00EA59C0">
        <w:t xml:space="preserve"> </w:t>
      </w:r>
      <w:r w:rsidRPr="00EA59C0">
        <w:t>their</w:t>
      </w:r>
      <w:r w:rsidR="00C026A6" w:rsidRPr="00EA59C0">
        <w:t xml:space="preserve"> </w:t>
      </w:r>
      <w:r w:rsidRPr="00EA59C0">
        <w:t>roles</w:t>
      </w:r>
      <w:r w:rsidR="00C026A6" w:rsidRPr="00EA59C0">
        <w:t xml:space="preserve"> </w:t>
      </w:r>
      <w:r w:rsidRPr="00EA59C0">
        <w:t>and</w:t>
      </w:r>
      <w:r w:rsidR="00C026A6" w:rsidRPr="00EA59C0">
        <w:t xml:space="preserve"> </w:t>
      </w:r>
      <w:r w:rsidRPr="00EA59C0">
        <w:t>provides</w:t>
      </w:r>
      <w:r w:rsidR="00C026A6" w:rsidRPr="00EA59C0">
        <w:t xml:space="preserve"> </w:t>
      </w:r>
      <w:r w:rsidRPr="00EA59C0">
        <w:t>evidence</w:t>
      </w:r>
      <w:r w:rsidR="00C026A6" w:rsidRPr="00EA59C0">
        <w:t xml:space="preserve"> </w:t>
      </w:r>
      <w:r w:rsidRPr="00EA59C0">
        <w:t>of</w:t>
      </w:r>
      <w:r w:rsidR="00C026A6" w:rsidRPr="00EA59C0">
        <w:t xml:space="preserve"> </w:t>
      </w:r>
      <w:r w:rsidRPr="00EA59C0">
        <w:t>their</w:t>
      </w:r>
      <w:r w:rsidR="00C026A6" w:rsidRPr="00EA59C0">
        <w:t xml:space="preserve"> </w:t>
      </w:r>
      <w:r w:rsidRPr="00EA59C0">
        <w:t>commitment.</w:t>
      </w:r>
    </w:p>
    <w:p w:rsidR="00FD7855" w:rsidRPr="00EA59C0" w:rsidRDefault="00FD7855" w:rsidP="004A31E6">
      <w:pPr>
        <w:pStyle w:val="ListParagraph"/>
        <w:ind w:left="1440"/>
      </w:pPr>
    </w:p>
    <w:p w:rsidR="0078298B" w:rsidRPr="00EA59C0" w:rsidRDefault="0078298B">
      <w:pPr>
        <w:pStyle w:val="ListParagraph"/>
        <w:ind w:left="0"/>
      </w:pPr>
    </w:p>
    <w:p w:rsidR="0078298B" w:rsidRPr="00EA59C0" w:rsidRDefault="0078298B" w:rsidP="004C3998">
      <w:pPr>
        <w:pStyle w:val="ListParagraph"/>
        <w:numPr>
          <w:ilvl w:val="3"/>
          <w:numId w:val="17"/>
        </w:numPr>
      </w:pPr>
      <w:r w:rsidRPr="00EA59C0">
        <w:t>Attachments</w:t>
      </w:r>
      <w:r w:rsidR="00C026A6" w:rsidRPr="00EA59C0">
        <w:t xml:space="preserve"> </w:t>
      </w:r>
      <w:r w:rsidRPr="00EA59C0">
        <w:t>to</w:t>
      </w:r>
      <w:r w:rsidR="00C026A6" w:rsidRPr="00EA59C0">
        <w:t xml:space="preserve"> </w:t>
      </w:r>
      <w:r w:rsidRPr="00EA59C0">
        <w:t>the</w:t>
      </w:r>
      <w:r w:rsidR="00C026A6" w:rsidRPr="00EA59C0">
        <w:t xml:space="preserve"> </w:t>
      </w:r>
      <w:r w:rsidRPr="00EA59C0">
        <w:t>Supplementary</w:t>
      </w:r>
      <w:r w:rsidR="00C026A6" w:rsidRPr="00EA59C0">
        <w:t xml:space="preserve"> </w:t>
      </w:r>
      <w:r w:rsidRPr="00EA59C0">
        <w:t>Materials</w:t>
      </w:r>
    </w:p>
    <w:p w:rsidR="0078298B" w:rsidRPr="00EA59C0" w:rsidRDefault="0078298B">
      <w:pPr>
        <w:pStyle w:val="ListParagraph"/>
        <w:ind w:left="1440"/>
      </w:pPr>
      <w:r w:rsidRPr="00EA59C0">
        <w:t>Applicants</w:t>
      </w:r>
      <w:r w:rsidR="00C026A6" w:rsidRPr="00EA59C0">
        <w:t xml:space="preserve"> </w:t>
      </w:r>
      <w:r w:rsidRPr="00EA59C0">
        <w:t>proposing</w:t>
      </w:r>
      <w:r w:rsidR="00C026A6" w:rsidRPr="00EA59C0">
        <w:t xml:space="preserve"> </w:t>
      </w:r>
      <w:r w:rsidRPr="00EA59C0">
        <w:t>to</w:t>
      </w:r>
      <w:r w:rsidR="00C026A6" w:rsidRPr="00EA59C0">
        <w:t xml:space="preserve"> </w:t>
      </w:r>
      <w:r w:rsidRPr="00EA59C0">
        <w:t>replicate,</w:t>
      </w:r>
      <w:r w:rsidR="00C026A6" w:rsidRPr="00EA59C0">
        <w:t xml:space="preserve"> </w:t>
      </w:r>
      <w:r w:rsidRPr="00EA59C0">
        <w:t>at</w:t>
      </w:r>
      <w:r w:rsidR="00C026A6" w:rsidRPr="00EA59C0">
        <w:t xml:space="preserve"> </w:t>
      </w:r>
      <w:r w:rsidRPr="00EA59C0">
        <w:t>multiple</w:t>
      </w:r>
      <w:r w:rsidR="00C026A6" w:rsidRPr="00EA59C0">
        <w:t xml:space="preserve"> </w:t>
      </w:r>
      <w:r w:rsidRPr="00EA59C0">
        <w:t>sites</w:t>
      </w:r>
      <w:r w:rsidR="00C026A6" w:rsidRPr="00EA59C0">
        <w:t xml:space="preserve"> </w:t>
      </w:r>
      <w:r w:rsidRPr="00EA59C0">
        <w:t>or</w:t>
      </w:r>
      <w:r w:rsidR="00C026A6" w:rsidRPr="00EA59C0">
        <w:t xml:space="preserve"> </w:t>
      </w:r>
      <w:r w:rsidRPr="00EA59C0">
        <w:t>with</w:t>
      </w:r>
      <w:r w:rsidR="00C026A6" w:rsidRPr="00EA59C0">
        <w:t xml:space="preserve"> </w:t>
      </w:r>
      <w:r w:rsidRPr="00EA59C0">
        <w:t>multiple</w:t>
      </w:r>
      <w:r w:rsidR="00C026A6" w:rsidRPr="00EA59C0">
        <w:t xml:space="preserve"> </w:t>
      </w:r>
      <w:r w:rsidRPr="00EA59C0">
        <w:t>populations,</w:t>
      </w:r>
      <w:r w:rsidR="00C026A6" w:rsidRPr="00EA59C0">
        <w:t xml:space="preserve"> </w:t>
      </w:r>
      <w:r w:rsidRPr="00EA59C0">
        <w:t>strategies</w:t>
      </w:r>
      <w:r w:rsidR="00C026A6" w:rsidRPr="00EA59C0">
        <w:t xml:space="preserve"> </w:t>
      </w:r>
      <w:r w:rsidRPr="00EA59C0">
        <w:t>that</w:t>
      </w:r>
      <w:r w:rsidR="00C026A6" w:rsidRPr="00EA59C0">
        <w:t xml:space="preserve"> </w:t>
      </w:r>
      <w:r w:rsidRPr="00EA59C0">
        <w:t>have</w:t>
      </w:r>
      <w:r w:rsidR="00C026A6" w:rsidRPr="00EA59C0">
        <w:t xml:space="preserve"> </w:t>
      </w:r>
      <w:r w:rsidRPr="00EA59C0">
        <w:t>been</w:t>
      </w:r>
      <w:r w:rsidR="00C026A6" w:rsidRPr="00EA59C0">
        <w:t xml:space="preserve"> </w:t>
      </w:r>
      <w:r w:rsidRPr="00EA59C0">
        <w:t>shown</w:t>
      </w:r>
      <w:r w:rsidR="00C026A6" w:rsidRPr="00EA59C0">
        <w:t xml:space="preserve"> </w:t>
      </w:r>
      <w:r w:rsidRPr="00EA59C0">
        <w:t>by</w:t>
      </w:r>
      <w:r w:rsidR="00C026A6" w:rsidRPr="00EA59C0">
        <w:t xml:space="preserve"> </w:t>
      </w:r>
      <w:r w:rsidRPr="00EA59C0">
        <w:t>prior</w:t>
      </w:r>
      <w:r w:rsidR="00C026A6" w:rsidRPr="00EA59C0">
        <w:t xml:space="preserve"> </w:t>
      </w:r>
      <w:r w:rsidRPr="00EA59C0">
        <w:t>research</w:t>
      </w:r>
      <w:r w:rsidR="00C026A6" w:rsidRPr="00EA59C0">
        <w:t xml:space="preserve"> </w:t>
      </w:r>
      <w:r w:rsidRPr="00EA59C0">
        <w:t>to</w:t>
      </w:r>
      <w:r w:rsidR="00C026A6" w:rsidRPr="00EA59C0">
        <w:t xml:space="preserve"> </w:t>
      </w:r>
      <w:r w:rsidRPr="00EA59C0">
        <w:t>have</w:t>
      </w:r>
      <w:r w:rsidR="00C026A6" w:rsidRPr="00EA59C0">
        <w:t xml:space="preserve"> </w:t>
      </w:r>
      <w:r w:rsidRPr="00EA59C0">
        <w:t>strong</w:t>
      </w:r>
      <w:r w:rsidR="00C026A6" w:rsidRPr="00EA59C0">
        <w:t xml:space="preserve"> </w:t>
      </w:r>
      <w:r w:rsidRPr="00EA59C0">
        <w:t>or</w:t>
      </w:r>
      <w:r w:rsidR="00C026A6" w:rsidRPr="00EA59C0">
        <w:t xml:space="preserve"> </w:t>
      </w:r>
      <w:r w:rsidRPr="00EA59C0">
        <w:t>moderate</w:t>
      </w:r>
      <w:r w:rsidR="00C026A6" w:rsidRPr="00EA59C0">
        <w:t xml:space="preserve"> </w:t>
      </w:r>
      <w:r w:rsidRPr="00EA59C0">
        <w:t>evidence</w:t>
      </w:r>
      <w:r w:rsidR="00C026A6" w:rsidRPr="00EA59C0">
        <w:t xml:space="preserve"> </w:t>
      </w:r>
      <w:r w:rsidRPr="00EA59C0">
        <w:t>of</w:t>
      </w:r>
      <w:r w:rsidR="00C026A6" w:rsidRPr="00EA59C0">
        <w:t xml:space="preserve"> </w:t>
      </w:r>
      <w:r w:rsidRPr="00EA59C0">
        <w:t>a</w:t>
      </w:r>
      <w:r w:rsidR="00C026A6" w:rsidRPr="00EA59C0">
        <w:t xml:space="preserve"> </w:t>
      </w:r>
      <w:r w:rsidRPr="00EA59C0">
        <w:t>positive</w:t>
      </w:r>
      <w:r w:rsidR="00C026A6" w:rsidRPr="00EA59C0">
        <w:t xml:space="preserve"> </w:t>
      </w:r>
      <w:r w:rsidRPr="00EA59C0">
        <w:t>impact</w:t>
      </w:r>
      <w:r w:rsidR="00C026A6" w:rsidRPr="00EA59C0">
        <w:t xml:space="preserve"> </w:t>
      </w:r>
      <w:r w:rsidRPr="00EA59C0">
        <w:t>on</w:t>
      </w:r>
      <w:r w:rsidR="00C026A6" w:rsidRPr="00EA59C0">
        <w:t xml:space="preserve"> </w:t>
      </w:r>
      <w:r w:rsidRPr="00EA59C0">
        <w:t>education</w:t>
      </w:r>
      <w:r w:rsidR="00C026A6" w:rsidRPr="00EA59C0">
        <w:t xml:space="preserve"> </w:t>
      </w:r>
      <w:r w:rsidRPr="00EA59C0">
        <w:t>and/or</w:t>
      </w:r>
      <w:r w:rsidR="00C026A6" w:rsidRPr="00EA59C0">
        <w:t xml:space="preserve"> </w:t>
      </w:r>
      <w:r w:rsidRPr="00EA59C0">
        <w:t>employment</w:t>
      </w:r>
      <w:r w:rsidR="00C026A6" w:rsidRPr="00EA59C0">
        <w:t xml:space="preserve"> </w:t>
      </w:r>
      <w:r w:rsidRPr="00EA59C0">
        <w:t>outcomes</w:t>
      </w:r>
      <w:r w:rsidR="00C026A6" w:rsidRPr="00EA59C0">
        <w:t xml:space="preserve"> </w:t>
      </w:r>
      <w:r w:rsidRPr="00EA59C0">
        <w:t>must</w:t>
      </w:r>
      <w:r w:rsidR="00C026A6" w:rsidRPr="00EA59C0">
        <w:t xml:space="preserve"> </w:t>
      </w:r>
      <w:r w:rsidRPr="00EA59C0">
        <w:t>provide</w:t>
      </w:r>
      <w:r w:rsidR="00C026A6" w:rsidRPr="00EA59C0">
        <w:t xml:space="preserve"> </w:t>
      </w:r>
      <w:r w:rsidRPr="00EA59C0">
        <w:t>copies</w:t>
      </w:r>
      <w:r w:rsidR="00C026A6" w:rsidRPr="00EA59C0">
        <w:t xml:space="preserve"> </w:t>
      </w:r>
      <w:r w:rsidRPr="00EA59C0">
        <w:t>of</w:t>
      </w:r>
      <w:r w:rsidR="00C026A6" w:rsidRPr="00EA59C0">
        <w:t xml:space="preserve"> </w:t>
      </w:r>
      <w:r w:rsidRPr="00EA59C0">
        <w:t>the</w:t>
      </w:r>
      <w:r w:rsidR="00C026A6" w:rsidRPr="00EA59C0">
        <w:t xml:space="preserve"> </w:t>
      </w:r>
      <w:r w:rsidRPr="00EA59C0">
        <w:t>specific</w:t>
      </w:r>
      <w:r w:rsidR="00C026A6" w:rsidRPr="00EA59C0">
        <w:t xml:space="preserve"> </w:t>
      </w:r>
      <w:r w:rsidRPr="00EA59C0">
        <w:t>evidence</w:t>
      </w:r>
      <w:r w:rsidR="00C026A6" w:rsidRPr="00EA59C0">
        <w:t xml:space="preserve"> </w:t>
      </w:r>
      <w:r w:rsidRPr="00EA59C0">
        <w:t>(e.g.,</w:t>
      </w:r>
      <w:r w:rsidR="00C026A6" w:rsidRPr="00EA59C0">
        <w:t xml:space="preserve"> </w:t>
      </w:r>
      <w:r w:rsidRPr="00EA59C0">
        <w:t>research</w:t>
      </w:r>
      <w:r w:rsidR="00C026A6" w:rsidRPr="00EA59C0">
        <w:t xml:space="preserve"> </w:t>
      </w:r>
      <w:r w:rsidRPr="00EA59C0">
        <w:t>and</w:t>
      </w:r>
      <w:r w:rsidR="00C026A6" w:rsidRPr="00EA59C0">
        <w:t xml:space="preserve"> </w:t>
      </w:r>
      <w:r w:rsidRPr="00EA59C0">
        <w:t>studies)</w:t>
      </w:r>
      <w:r w:rsidR="00C026A6" w:rsidRPr="00EA59C0">
        <w:t xml:space="preserve"> </w:t>
      </w:r>
      <w:r w:rsidRPr="00EA59C0">
        <w:t>cited</w:t>
      </w:r>
      <w:r w:rsidR="00C026A6" w:rsidRPr="00EA59C0">
        <w:t xml:space="preserve"> </w:t>
      </w:r>
      <w:r w:rsidRPr="00EA59C0">
        <w:t>in</w:t>
      </w:r>
      <w:r w:rsidR="00C026A6" w:rsidRPr="00EA59C0">
        <w:t xml:space="preserve"> </w:t>
      </w:r>
      <w:r w:rsidRPr="00EA59C0">
        <w:t>their</w:t>
      </w:r>
      <w:r w:rsidR="00C026A6" w:rsidRPr="00EA59C0">
        <w:t xml:space="preserve"> </w:t>
      </w:r>
      <w:r w:rsidRPr="00EA59C0">
        <w:t>proposal.</w:t>
      </w:r>
      <w:r w:rsidR="00C026A6" w:rsidRPr="00EA59C0">
        <w:t xml:space="preserve"> </w:t>
      </w:r>
      <w:r w:rsidRPr="00EA59C0">
        <w:t>Applicants</w:t>
      </w:r>
      <w:r w:rsidR="00C026A6" w:rsidRPr="00EA59C0">
        <w:t xml:space="preserve"> </w:t>
      </w:r>
      <w:r w:rsidRPr="00EA59C0">
        <w:t>that</w:t>
      </w:r>
      <w:r w:rsidR="00C026A6" w:rsidRPr="00EA59C0">
        <w:t xml:space="preserve"> </w:t>
      </w:r>
      <w:r w:rsidRPr="00EA59C0">
        <w:t>cite</w:t>
      </w:r>
      <w:r w:rsidR="00C026A6" w:rsidRPr="00EA59C0">
        <w:t xml:space="preserve"> </w:t>
      </w:r>
      <w:r w:rsidRPr="00EA59C0">
        <w:t>copyrighted</w:t>
      </w:r>
      <w:r w:rsidR="00C026A6" w:rsidRPr="00EA59C0">
        <w:t xml:space="preserve"> </w:t>
      </w:r>
      <w:r w:rsidRPr="00EA59C0">
        <w:t>work</w:t>
      </w:r>
      <w:r w:rsidR="00C026A6" w:rsidRPr="00EA59C0">
        <w:t xml:space="preserve"> </w:t>
      </w:r>
      <w:r w:rsidRPr="00EA59C0">
        <w:t>must</w:t>
      </w:r>
      <w:r w:rsidR="00C026A6" w:rsidRPr="00EA59C0">
        <w:t xml:space="preserve"> </w:t>
      </w:r>
      <w:r w:rsidRPr="00EA59C0">
        <w:t>follow</w:t>
      </w:r>
      <w:r w:rsidR="00C026A6" w:rsidRPr="00EA59C0">
        <w:t xml:space="preserve"> </w:t>
      </w:r>
      <w:r w:rsidRPr="00EA59C0">
        <w:t>appropriate</w:t>
      </w:r>
      <w:r w:rsidR="00C026A6" w:rsidRPr="00EA59C0">
        <w:t xml:space="preserve"> </w:t>
      </w:r>
      <w:r w:rsidRPr="00EA59C0">
        <w:t>laws</w:t>
      </w:r>
      <w:r w:rsidR="00C026A6" w:rsidRPr="00EA59C0">
        <w:t xml:space="preserve"> </w:t>
      </w:r>
      <w:r w:rsidRPr="00EA59C0">
        <w:t>for</w:t>
      </w:r>
      <w:r w:rsidR="00C026A6" w:rsidRPr="00EA59C0">
        <w:t xml:space="preserve"> </w:t>
      </w:r>
      <w:r w:rsidRPr="00EA59C0">
        <w:t>use</w:t>
      </w:r>
      <w:r w:rsidR="00C026A6" w:rsidRPr="00EA59C0">
        <w:t xml:space="preserve"> </w:t>
      </w:r>
      <w:r w:rsidRPr="00EA59C0">
        <w:t>of</w:t>
      </w:r>
      <w:r w:rsidR="00C026A6" w:rsidRPr="00EA59C0">
        <w:t xml:space="preserve"> </w:t>
      </w:r>
      <w:r w:rsidRPr="00EA59C0">
        <w:t>such</w:t>
      </w:r>
      <w:r w:rsidR="00C026A6" w:rsidRPr="00EA59C0">
        <w:t xml:space="preserve"> </w:t>
      </w:r>
      <w:r w:rsidRPr="00EA59C0">
        <w:t>materials.</w:t>
      </w:r>
    </w:p>
    <w:p w:rsidR="00391A2C" w:rsidRPr="00EA59C0" w:rsidRDefault="00391A2C" w:rsidP="00FA0E98">
      <w:pPr>
        <w:pStyle w:val="ListParagraph"/>
        <w:ind w:left="360"/>
        <w:rPr>
          <w:b/>
        </w:rPr>
      </w:pPr>
    </w:p>
    <w:p w:rsidR="007470AB" w:rsidRPr="00EA59C0" w:rsidRDefault="007470AB" w:rsidP="004C3998">
      <w:pPr>
        <w:pStyle w:val="Heading2"/>
        <w:numPr>
          <w:ilvl w:val="1"/>
          <w:numId w:val="17"/>
        </w:numPr>
        <w:rPr>
          <w:rFonts w:ascii="Times New Roman" w:hAnsi="Times New Roman"/>
          <w:b w:val="0"/>
          <w:i w:val="0"/>
        </w:rPr>
      </w:pPr>
      <w:bookmarkStart w:id="44" w:name="_Toc207778235"/>
      <w:bookmarkStart w:id="45" w:name="_Toc208654635"/>
      <w:bookmarkStart w:id="46" w:name="_Toc228885525"/>
      <w:bookmarkStart w:id="47" w:name="_Toc229889184"/>
      <w:r w:rsidRPr="00EA59C0">
        <w:rPr>
          <w:rFonts w:ascii="Times New Roman" w:hAnsi="Times New Roman"/>
          <w:b w:val="0"/>
          <w:i w:val="0"/>
        </w:rPr>
        <w:t>Review</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Selection</w:t>
      </w:r>
      <w:r w:rsidR="00C026A6" w:rsidRPr="00EA59C0">
        <w:rPr>
          <w:rFonts w:ascii="Times New Roman" w:hAnsi="Times New Roman"/>
          <w:b w:val="0"/>
          <w:i w:val="0"/>
        </w:rPr>
        <w:t xml:space="preserve"> </w:t>
      </w:r>
      <w:r w:rsidRPr="00EA59C0">
        <w:rPr>
          <w:rFonts w:ascii="Times New Roman" w:hAnsi="Times New Roman"/>
          <w:b w:val="0"/>
          <w:i w:val="0"/>
        </w:rPr>
        <w:t>Process</w:t>
      </w:r>
      <w:bookmarkEnd w:id="44"/>
      <w:bookmarkEnd w:id="45"/>
      <w:bookmarkEnd w:id="46"/>
      <w:bookmarkEnd w:id="47"/>
    </w:p>
    <w:p w:rsidR="00144DF0" w:rsidRPr="00EA59C0" w:rsidRDefault="007470AB" w:rsidP="00FA0E98">
      <w:pPr>
        <w:widowControl w:val="0"/>
        <w:ind w:left="720"/>
      </w:pPr>
      <w:r w:rsidRPr="00EA59C0">
        <w:t>Applications</w:t>
      </w:r>
      <w:r w:rsidR="00C026A6" w:rsidRPr="00EA59C0">
        <w:t xml:space="preserve"> </w:t>
      </w:r>
      <w:r w:rsidRPr="00EA59C0">
        <w:t>for</w:t>
      </w:r>
      <w:r w:rsidR="00C026A6" w:rsidRPr="00EA59C0">
        <w:t xml:space="preserve"> </w:t>
      </w:r>
      <w:r w:rsidRPr="00EA59C0">
        <w:t>grants</w:t>
      </w:r>
      <w:r w:rsidR="00C026A6" w:rsidRPr="00EA59C0">
        <w:t xml:space="preserve"> </w:t>
      </w:r>
      <w:r w:rsidRPr="00EA59C0">
        <w:t>under</w:t>
      </w:r>
      <w:r w:rsidR="00C026A6" w:rsidRPr="00EA59C0">
        <w:t xml:space="preserve"> </w:t>
      </w:r>
      <w:r w:rsidRPr="00EA59C0">
        <w:t>this</w:t>
      </w:r>
      <w:r w:rsidR="00C026A6" w:rsidRPr="00EA59C0">
        <w:t xml:space="preserve"> </w:t>
      </w:r>
      <w:r w:rsidRPr="00EA59C0">
        <w:t>Solicitation</w:t>
      </w:r>
      <w:r w:rsidR="00C026A6" w:rsidRPr="00EA59C0">
        <w:t xml:space="preserve"> </w:t>
      </w:r>
      <w:r w:rsidRPr="00EA59C0">
        <w:t>will</w:t>
      </w:r>
      <w:r w:rsidR="00C026A6" w:rsidRPr="00EA59C0">
        <w:t xml:space="preserve"> </w:t>
      </w:r>
      <w:r w:rsidRPr="00EA59C0">
        <w:t>be</w:t>
      </w:r>
      <w:r w:rsidR="00C026A6" w:rsidRPr="00EA59C0">
        <w:t xml:space="preserve"> </w:t>
      </w:r>
      <w:r w:rsidRPr="00EA59C0">
        <w:t>accepted</w:t>
      </w:r>
      <w:r w:rsidR="00C026A6" w:rsidRPr="00EA59C0">
        <w:t xml:space="preserve"> </w:t>
      </w:r>
      <w:r w:rsidRPr="00EA59C0">
        <w:t>after</w:t>
      </w:r>
      <w:r w:rsidR="00C026A6" w:rsidRPr="00EA59C0">
        <w:t xml:space="preserve"> </w:t>
      </w:r>
      <w:r w:rsidRPr="00EA59C0">
        <w:t>the</w:t>
      </w:r>
      <w:r w:rsidR="00C026A6" w:rsidRPr="00EA59C0">
        <w:t xml:space="preserve"> </w:t>
      </w:r>
      <w:r w:rsidRPr="00EA59C0">
        <w:t>publication</w:t>
      </w:r>
      <w:r w:rsidR="00C026A6" w:rsidRPr="00EA59C0">
        <w:t xml:space="preserve"> </w:t>
      </w:r>
      <w:r w:rsidRPr="00EA59C0">
        <w:t>of</w:t>
      </w:r>
      <w:r w:rsidR="00C026A6" w:rsidRPr="00EA59C0">
        <w:t xml:space="preserve"> </w:t>
      </w:r>
      <w:r w:rsidRPr="00EA59C0">
        <w:t>this</w:t>
      </w:r>
      <w:r w:rsidR="00C026A6" w:rsidRPr="00EA59C0">
        <w:t xml:space="preserve"> </w:t>
      </w:r>
      <w:r w:rsidRPr="00EA59C0">
        <w:t>announcement</w:t>
      </w:r>
      <w:r w:rsidR="00C026A6" w:rsidRPr="00EA59C0">
        <w:t xml:space="preserve"> </w:t>
      </w:r>
      <w:r w:rsidRPr="00EA59C0">
        <w:t>and</w:t>
      </w:r>
      <w:r w:rsidR="00C026A6" w:rsidRPr="00EA59C0">
        <w:t xml:space="preserve"> </w:t>
      </w:r>
      <w:r w:rsidRPr="00EA59C0">
        <w:t>until</w:t>
      </w:r>
      <w:r w:rsidR="00C026A6" w:rsidRPr="00EA59C0">
        <w:t xml:space="preserve"> </w:t>
      </w:r>
      <w:r w:rsidRPr="00EA59C0">
        <w:t>the</w:t>
      </w:r>
      <w:r w:rsidR="00C026A6" w:rsidRPr="00EA59C0">
        <w:t xml:space="preserve"> </w:t>
      </w:r>
      <w:r w:rsidRPr="00EA59C0">
        <w:t>specified</w:t>
      </w:r>
      <w:r w:rsidR="00C026A6" w:rsidRPr="00EA59C0">
        <w:t xml:space="preserve"> </w:t>
      </w:r>
      <w:r w:rsidRPr="00EA59C0">
        <w:t>time</w:t>
      </w:r>
      <w:r w:rsidR="00C026A6" w:rsidRPr="00EA59C0">
        <w:t xml:space="preserve"> </w:t>
      </w:r>
      <w:r w:rsidRPr="00EA59C0">
        <w:t>on</w:t>
      </w:r>
      <w:r w:rsidR="00C026A6" w:rsidRPr="00EA59C0">
        <w:t xml:space="preserve"> </w:t>
      </w:r>
      <w:r w:rsidRPr="00EA59C0">
        <w:t>the</w:t>
      </w:r>
      <w:r w:rsidR="00C026A6" w:rsidRPr="00EA59C0">
        <w:t xml:space="preserve"> </w:t>
      </w:r>
      <w:r w:rsidRPr="00EA59C0">
        <w:t>closing</w:t>
      </w:r>
      <w:r w:rsidR="00C026A6" w:rsidRPr="00EA59C0">
        <w:t xml:space="preserve"> </w:t>
      </w:r>
      <w:r w:rsidRPr="00EA59C0">
        <w:t>date.</w:t>
      </w:r>
      <w:r w:rsidR="00C026A6" w:rsidRPr="00EA59C0">
        <w:t xml:space="preserve">  </w:t>
      </w:r>
      <w:r w:rsidRPr="00EA59C0">
        <w:t>A</w:t>
      </w:r>
      <w:r w:rsidR="00C026A6" w:rsidRPr="00EA59C0">
        <w:t xml:space="preserve"> </w:t>
      </w:r>
      <w:r w:rsidRPr="00EA59C0">
        <w:t>technical</w:t>
      </w:r>
      <w:r w:rsidR="00C026A6" w:rsidRPr="00EA59C0">
        <w:t xml:space="preserve"> </w:t>
      </w:r>
      <w:r w:rsidRPr="00EA59C0">
        <w:t>review</w:t>
      </w:r>
      <w:r w:rsidR="00C026A6" w:rsidRPr="00EA59C0">
        <w:t xml:space="preserve"> </w:t>
      </w:r>
      <w:r w:rsidRPr="00EA59C0">
        <w:t>panel</w:t>
      </w:r>
      <w:r w:rsidR="00C026A6" w:rsidRPr="00EA59C0">
        <w:t xml:space="preserve"> </w:t>
      </w:r>
      <w:r w:rsidRPr="00EA59C0">
        <w:t>will</w:t>
      </w:r>
      <w:r w:rsidR="00C026A6" w:rsidRPr="00EA59C0">
        <w:t xml:space="preserve"> </w:t>
      </w:r>
      <w:r w:rsidRPr="00EA59C0">
        <w:t>carefully</w:t>
      </w:r>
      <w:r w:rsidR="00C026A6" w:rsidRPr="00EA59C0">
        <w:t xml:space="preserve"> </w:t>
      </w:r>
      <w:r w:rsidRPr="00EA59C0">
        <w:t>evaluate</w:t>
      </w:r>
      <w:r w:rsidR="00C026A6" w:rsidRPr="00EA59C0">
        <w:t xml:space="preserve"> </w:t>
      </w:r>
      <w:r w:rsidRPr="00EA59C0">
        <w:t>applications</w:t>
      </w:r>
      <w:r w:rsidR="00C026A6" w:rsidRPr="00EA59C0">
        <w:t xml:space="preserve"> </w:t>
      </w:r>
      <w:r w:rsidRPr="00EA59C0">
        <w:t>against</w:t>
      </w:r>
      <w:r w:rsidR="00C026A6" w:rsidRPr="00EA59C0">
        <w:t xml:space="preserve"> </w:t>
      </w:r>
      <w:r w:rsidRPr="00EA59C0">
        <w:t>the</w:t>
      </w:r>
      <w:r w:rsidR="00C026A6" w:rsidRPr="00EA59C0">
        <w:t xml:space="preserve"> </w:t>
      </w:r>
      <w:r w:rsidRPr="00EA59C0">
        <w:t>selection</w:t>
      </w:r>
      <w:r w:rsidR="00C026A6" w:rsidRPr="00EA59C0">
        <w:t xml:space="preserve"> </w:t>
      </w:r>
      <w:r w:rsidRPr="00EA59C0">
        <w:t>criteria.</w:t>
      </w:r>
      <w:r w:rsidR="00C026A6" w:rsidRPr="00EA59C0">
        <w:t xml:space="preserve">  </w:t>
      </w:r>
      <w:r w:rsidRPr="00EA59C0">
        <w:t>These</w:t>
      </w:r>
      <w:r w:rsidR="00C026A6" w:rsidRPr="00EA59C0">
        <w:t xml:space="preserve"> </w:t>
      </w:r>
      <w:r w:rsidRPr="00EA59C0">
        <w:t>criteria</w:t>
      </w:r>
      <w:r w:rsidR="00C026A6" w:rsidRPr="00EA59C0">
        <w:t xml:space="preserve"> </w:t>
      </w:r>
      <w:r w:rsidRPr="00EA59C0">
        <w:t>are</w:t>
      </w:r>
      <w:r w:rsidR="00C026A6" w:rsidRPr="00EA59C0">
        <w:t xml:space="preserve"> </w:t>
      </w:r>
      <w:r w:rsidRPr="00EA59C0">
        <w:t>based</w:t>
      </w:r>
      <w:r w:rsidR="00C026A6" w:rsidRPr="00EA59C0">
        <w:t xml:space="preserve"> </w:t>
      </w:r>
      <w:r w:rsidRPr="00EA59C0">
        <w:t>on</w:t>
      </w:r>
      <w:r w:rsidR="00C026A6" w:rsidRPr="00EA59C0">
        <w:t xml:space="preserve"> </w:t>
      </w:r>
      <w:r w:rsidRPr="00EA59C0">
        <w:t>the</w:t>
      </w:r>
      <w:r w:rsidR="00C026A6" w:rsidRPr="00EA59C0">
        <w:t xml:space="preserve"> </w:t>
      </w:r>
      <w:r w:rsidRPr="00EA59C0">
        <w:t>policy</w:t>
      </w:r>
      <w:r w:rsidR="00C026A6" w:rsidRPr="00EA59C0">
        <w:t xml:space="preserve"> </w:t>
      </w:r>
      <w:r w:rsidRPr="00EA59C0">
        <w:t>goals,</w:t>
      </w:r>
      <w:r w:rsidR="00C026A6" w:rsidRPr="00EA59C0">
        <w:t xml:space="preserve"> </w:t>
      </w:r>
      <w:r w:rsidRPr="00EA59C0">
        <w:t>priorities,</w:t>
      </w:r>
      <w:r w:rsidR="00C026A6" w:rsidRPr="00EA59C0">
        <w:t xml:space="preserve"> </w:t>
      </w:r>
      <w:r w:rsidRPr="00EA59C0">
        <w:t>and</w:t>
      </w:r>
      <w:r w:rsidR="00C026A6" w:rsidRPr="00EA59C0">
        <w:t xml:space="preserve"> </w:t>
      </w:r>
      <w:r w:rsidRPr="00EA59C0">
        <w:t>emphases</w:t>
      </w:r>
      <w:r w:rsidR="00C026A6" w:rsidRPr="00EA59C0">
        <w:t xml:space="preserve"> </w:t>
      </w:r>
      <w:r w:rsidRPr="00EA59C0">
        <w:t>set</w:t>
      </w:r>
      <w:r w:rsidR="00C026A6" w:rsidRPr="00EA59C0">
        <w:t xml:space="preserve"> </w:t>
      </w:r>
      <w:r w:rsidRPr="00EA59C0">
        <w:t>forth</w:t>
      </w:r>
      <w:r w:rsidR="00C026A6" w:rsidRPr="00EA59C0">
        <w:t xml:space="preserve"> </w:t>
      </w:r>
      <w:r w:rsidRPr="00EA59C0">
        <w:t>in</w:t>
      </w:r>
      <w:r w:rsidR="00C026A6" w:rsidRPr="00EA59C0">
        <w:t xml:space="preserve"> </w:t>
      </w:r>
      <w:r w:rsidRPr="00EA59C0">
        <w:t>this</w:t>
      </w:r>
      <w:r w:rsidR="00C026A6" w:rsidRPr="00EA59C0">
        <w:t xml:space="preserve"> </w:t>
      </w:r>
      <w:r w:rsidRPr="00EA59C0">
        <w:t>SGA.</w:t>
      </w:r>
      <w:r w:rsidR="00C026A6" w:rsidRPr="00EA59C0">
        <w:t xml:space="preserve">  </w:t>
      </w:r>
      <w:r w:rsidRPr="00EA59C0">
        <w:t>Up</w:t>
      </w:r>
      <w:r w:rsidR="00C026A6" w:rsidRPr="00EA59C0">
        <w:t xml:space="preserve"> </w:t>
      </w:r>
      <w:r w:rsidRPr="00EA59C0">
        <w:t>to</w:t>
      </w:r>
      <w:r w:rsidR="00C026A6" w:rsidRPr="00EA59C0">
        <w:t xml:space="preserve"> </w:t>
      </w:r>
      <w:r w:rsidRPr="00EA59C0">
        <w:t>100</w:t>
      </w:r>
      <w:r w:rsidR="00C026A6" w:rsidRPr="00EA59C0">
        <w:t xml:space="preserve"> </w:t>
      </w:r>
      <w:r w:rsidRPr="00EA59C0">
        <w:t>points</w:t>
      </w:r>
      <w:r w:rsidR="00C026A6" w:rsidRPr="00EA59C0">
        <w:t xml:space="preserve"> </w:t>
      </w:r>
      <w:r w:rsidRPr="00EA59C0">
        <w:t>may</w:t>
      </w:r>
      <w:r w:rsidR="00C026A6" w:rsidRPr="00EA59C0">
        <w:t xml:space="preserve"> </w:t>
      </w:r>
      <w:r w:rsidRPr="00EA59C0">
        <w:t>be</w:t>
      </w:r>
      <w:r w:rsidR="00C026A6" w:rsidRPr="00EA59C0">
        <w:t xml:space="preserve"> </w:t>
      </w:r>
      <w:r w:rsidRPr="00EA59C0">
        <w:t>awarded</w:t>
      </w:r>
      <w:r w:rsidR="00C026A6" w:rsidRPr="00EA59C0">
        <w:t xml:space="preserve"> </w:t>
      </w:r>
      <w:r w:rsidRPr="00EA59C0">
        <w:t>to</w:t>
      </w:r>
      <w:r w:rsidR="00C026A6" w:rsidRPr="00EA59C0">
        <w:t xml:space="preserve"> </w:t>
      </w:r>
      <w:r w:rsidRPr="00EA59C0">
        <w:t>an</w:t>
      </w:r>
      <w:r w:rsidR="00C026A6" w:rsidRPr="00EA59C0">
        <w:t xml:space="preserve"> </w:t>
      </w:r>
      <w:r w:rsidRPr="00EA59C0">
        <w:t>applica</w:t>
      </w:r>
      <w:r w:rsidR="004C0252" w:rsidRPr="00EA59C0">
        <w:t>nt</w:t>
      </w:r>
      <w:r w:rsidRPr="00EA59C0">
        <w:t>,</w:t>
      </w:r>
      <w:r w:rsidR="00C026A6" w:rsidRPr="00EA59C0">
        <w:t xml:space="preserve"> </w:t>
      </w:r>
      <w:r w:rsidRPr="00EA59C0">
        <w:t>depending</w:t>
      </w:r>
      <w:r w:rsidR="00C026A6" w:rsidRPr="00EA59C0">
        <w:t xml:space="preserve"> </w:t>
      </w:r>
      <w:r w:rsidRPr="00EA59C0">
        <w:t>on</w:t>
      </w:r>
      <w:r w:rsidR="00C026A6" w:rsidRPr="00EA59C0">
        <w:t xml:space="preserve"> </w:t>
      </w:r>
      <w:r w:rsidRPr="00EA59C0">
        <w:t>the</w:t>
      </w:r>
      <w:r w:rsidR="00C026A6" w:rsidRPr="00EA59C0">
        <w:t xml:space="preserve"> </w:t>
      </w:r>
      <w:r w:rsidRPr="00EA59C0">
        <w:t>quality</w:t>
      </w:r>
      <w:r w:rsidR="00C026A6" w:rsidRPr="00EA59C0">
        <w:t xml:space="preserve"> </w:t>
      </w:r>
      <w:r w:rsidRPr="00EA59C0">
        <w:t>of</w:t>
      </w:r>
      <w:r w:rsidR="00C026A6" w:rsidRPr="00EA59C0">
        <w:t xml:space="preserve"> </w:t>
      </w:r>
      <w:r w:rsidRPr="00EA59C0">
        <w:t>the</w:t>
      </w:r>
      <w:r w:rsidR="00C026A6" w:rsidRPr="00EA59C0">
        <w:t xml:space="preserve"> </w:t>
      </w:r>
      <w:r w:rsidRPr="00EA59C0">
        <w:t>responses</w:t>
      </w:r>
      <w:r w:rsidR="00C026A6" w:rsidRPr="00EA59C0">
        <w:t xml:space="preserve"> </w:t>
      </w:r>
      <w:r w:rsidRPr="00EA59C0">
        <w:t>to</w:t>
      </w:r>
      <w:r w:rsidR="00C026A6" w:rsidRPr="00EA59C0">
        <w:t xml:space="preserve"> </w:t>
      </w:r>
      <w:r w:rsidRPr="00EA59C0">
        <w:t>the</w:t>
      </w:r>
      <w:r w:rsidR="00C026A6" w:rsidRPr="00EA59C0">
        <w:t xml:space="preserve"> </w:t>
      </w:r>
      <w:r w:rsidRPr="00EA59C0">
        <w:t>required</w:t>
      </w:r>
      <w:r w:rsidR="00C026A6" w:rsidRPr="00EA59C0">
        <w:t xml:space="preserve"> </w:t>
      </w:r>
      <w:r w:rsidRPr="00EA59C0">
        <w:t>information</w:t>
      </w:r>
      <w:r w:rsidR="00C026A6" w:rsidRPr="00EA59C0">
        <w:t xml:space="preserve"> </w:t>
      </w:r>
      <w:r w:rsidRPr="00EA59C0">
        <w:t>described</w:t>
      </w:r>
      <w:r w:rsidR="00C026A6" w:rsidRPr="00EA59C0">
        <w:t xml:space="preserve"> </w:t>
      </w:r>
      <w:r w:rsidRPr="00EA59C0">
        <w:t>in</w:t>
      </w:r>
      <w:r w:rsidR="00C026A6" w:rsidRPr="00EA59C0">
        <w:t xml:space="preserve"> </w:t>
      </w:r>
      <w:r w:rsidR="008623EA" w:rsidRPr="00EA59C0">
        <w:t>S</w:t>
      </w:r>
      <w:r w:rsidRPr="00EA59C0">
        <w:t>ection</w:t>
      </w:r>
      <w:r w:rsidR="00C026A6" w:rsidRPr="00EA59C0">
        <w:t xml:space="preserve"> </w:t>
      </w:r>
      <w:r w:rsidRPr="00EA59C0">
        <w:t>V.A.</w:t>
      </w:r>
      <w:r w:rsidR="00C026A6" w:rsidRPr="00EA59C0">
        <w:t xml:space="preserve">  </w:t>
      </w:r>
      <w:r w:rsidRPr="00EA59C0">
        <w:t>The</w:t>
      </w:r>
      <w:r w:rsidR="00C026A6" w:rsidRPr="00EA59C0">
        <w:t xml:space="preserve"> </w:t>
      </w:r>
      <w:r w:rsidRPr="00EA59C0">
        <w:t>ranked</w:t>
      </w:r>
      <w:r w:rsidR="00C026A6" w:rsidRPr="00EA59C0">
        <w:t xml:space="preserve"> </w:t>
      </w:r>
      <w:r w:rsidRPr="00EA59C0">
        <w:t>scores</w:t>
      </w:r>
      <w:r w:rsidR="00C026A6" w:rsidRPr="00EA59C0">
        <w:t xml:space="preserve"> </w:t>
      </w:r>
      <w:r w:rsidR="00A70C6D" w:rsidRPr="00EA59C0">
        <w:t>(which</w:t>
      </w:r>
      <w:r w:rsidR="00C026A6" w:rsidRPr="00EA59C0">
        <w:t xml:space="preserve"> </w:t>
      </w:r>
      <w:r w:rsidR="00A70C6D" w:rsidRPr="00EA59C0">
        <w:t>may</w:t>
      </w:r>
      <w:r w:rsidR="00C026A6" w:rsidRPr="00EA59C0">
        <w:t xml:space="preserve"> </w:t>
      </w:r>
      <w:r w:rsidR="00A70C6D" w:rsidRPr="00EA59C0">
        <w:t>include</w:t>
      </w:r>
      <w:r w:rsidR="00C026A6" w:rsidRPr="00EA59C0">
        <w:t xml:space="preserve"> </w:t>
      </w:r>
      <w:r w:rsidR="00A70C6D" w:rsidRPr="00EA59C0">
        <w:t>the</w:t>
      </w:r>
      <w:r w:rsidR="00C026A6" w:rsidRPr="00EA59C0">
        <w:t xml:space="preserve"> </w:t>
      </w:r>
      <w:r w:rsidR="00A70C6D" w:rsidRPr="00EA59C0">
        <w:t>mathematical</w:t>
      </w:r>
      <w:r w:rsidR="00C026A6" w:rsidRPr="00EA59C0">
        <w:t xml:space="preserve"> </w:t>
      </w:r>
      <w:r w:rsidR="00A70C6D" w:rsidRPr="00EA59C0">
        <w:t>normalization</w:t>
      </w:r>
      <w:r w:rsidR="00C026A6" w:rsidRPr="00EA59C0">
        <w:t xml:space="preserve"> </w:t>
      </w:r>
      <w:r w:rsidR="00A70C6D" w:rsidRPr="00EA59C0">
        <w:t>of</w:t>
      </w:r>
      <w:r w:rsidR="00C026A6" w:rsidRPr="00EA59C0">
        <w:t xml:space="preserve"> </w:t>
      </w:r>
      <w:r w:rsidR="00A70C6D" w:rsidRPr="00EA59C0">
        <w:t>review</w:t>
      </w:r>
      <w:r w:rsidR="00C026A6" w:rsidRPr="00EA59C0">
        <w:t xml:space="preserve"> </w:t>
      </w:r>
      <w:r w:rsidR="00A70C6D" w:rsidRPr="00EA59C0">
        <w:t>panels)</w:t>
      </w:r>
      <w:r w:rsidR="00C026A6" w:rsidRPr="00EA59C0">
        <w:t xml:space="preserve"> </w:t>
      </w:r>
      <w:r w:rsidRPr="00EA59C0">
        <w:t>will</w:t>
      </w:r>
      <w:r w:rsidR="00C026A6" w:rsidRPr="00EA59C0">
        <w:t xml:space="preserve"> </w:t>
      </w:r>
      <w:r w:rsidRPr="00EA59C0">
        <w:t>serve</w:t>
      </w:r>
      <w:r w:rsidR="00C026A6" w:rsidRPr="00EA59C0">
        <w:t xml:space="preserve"> </w:t>
      </w:r>
      <w:r w:rsidRPr="00EA59C0">
        <w:t>as</w:t>
      </w:r>
      <w:r w:rsidR="00C026A6" w:rsidRPr="00EA59C0">
        <w:t xml:space="preserve"> </w:t>
      </w:r>
      <w:r w:rsidRPr="00EA59C0">
        <w:t>the</w:t>
      </w:r>
      <w:r w:rsidR="00C026A6" w:rsidRPr="00EA59C0">
        <w:t xml:space="preserve"> </w:t>
      </w:r>
      <w:r w:rsidRPr="00EA59C0">
        <w:t>primary</w:t>
      </w:r>
      <w:r w:rsidR="00C026A6" w:rsidRPr="00EA59C0">
        <w:t xml:space="preserve"> </w:t>
      </w:r>
      <w:r w:rsidRPr="00EA59C0">
        <w:t>basis</w:t>
      </w:r>
      <w:r w:rsidR="00C026A6" w:rsidRPr="00EA59C0">
        <w:t xml:space="preserve"> </w:t>
      </w:r>
      <w:r w:rsidRPr="00EA59C0">
        <w:t>for</w:t>
      </w:r>
      <w:r w:rsidR="00C026A6" w:rsidRPr="00EA59C0">
        <w:t xml:space="preserve"> </w:t>
      </w:r>
      <w:r w:rsidRPr="00EA59C0">
        <w:t>selection</w:t>
      </w:r>
      <w:r w:rsidR="00C026A6" w:rsidRPr="00EA59C0">
        <w:t xml:space="preserve"> </w:t>
      </w:r>
      <w:r w:rsidRPr="00EA59C0">
        <w:t>of</w:t>
      </w:r>
      <w:r w:rsidR="00C026A6" w:rsidRPr="00EA59C0">
        <w:t xml:space="preserve"> </w:t>
      </w:r>
      <w:r w:rsidRPr="00EA59C0">
        <w:t>applications</w:t>
      </w:r>
      <w:r w:rsidR="00C026A6" w:rsidRPr="00EA59C0">
        <w:t xml:space="preserve"> </w:t>
      </w:r>
      <w:r w:rsidRPr="00EA59C0">
        <w:t>for</w:t>
      </w:r>
      <w:r w:rsidR="00C026A6" w:rsidRPr="00EA59C0">
        <w:t xml:space="preserve"> </w:t>
      </w:r>
      <w:r w:rsidRPr="00EA59C0">
        <w:t>funding</w:t>
      </w:r>
      <w:r w:rsidR="004A31E6" w:rsidRPr="00EA59C0">
        <w:t>,</w:t>
      </w:r>
      <w:r w:rsidR="00C026A6" w:rsidRPr="00EA59C0">
        <w:t xml:space="preserve"> </w:t>
      </w:r>
      <w:r w:rsidR="004A31E6" w:rsidRPr="00EA59C0">
        <w:t>along</w:t>
      </w:r>
      <w:r w:rsidR="00C026A6" w:rsidRPr="00EA59C0">
        <w:t xml:space="preserve"> </w:t>
      </w:r>
      <w:r w:rsidR="004A31E6" w:rsidRPr="00EA59C0">
        <w:t>with</w:t>
      </w:r>
      <w:r w:rsidR="00C026A6" w:rsidRPr="00EA59C0">
        <w:t xml:space="preserve"> </w:t>
      </w:r>
      <w:r w:rsidR="004A31E6" w:rsidRPr="00EA59C0">
        <w:t>the</w:t>
      </w:r>
      <w:r w:rsidR="00C026A6" w:rsidRPr="00EA59C0">
        <w:t xml:space="preserve"> </w:t>
      </w:r>
      <w:r w:rsidR="004A31E6" w:rsidRPr="00EA59C0">
        <w:t>legislative</w:t>
      </w:r>
      <w:r w:rsidR="00C026A6" w:rsidRPr="00EA59C0">
        <w:t xml:space="preserve"> </w:t>
      </w:r>
      <w:r w:rsidR="004A31E6" w:rsidRPr="00EA59C0">
        <w:t>intent</w:t>
      </w:r>
      <w:r w:rsidR="00C026A6" w:rsidRPr="00EA59C0">
        <w:t xml:space="preserve"> </w:t>
      </w:r>
      <w:r w:rsidR="004A31E6" w:rsidRPr="00EA59C0">
        <w:t>to</w:t>
      </w:r>
      <w:r w:rsidR="00C026A6" w:rsidRPr="00EA59C0">
        <w:t xml:space="preserve"> </w:t>
      </w:r>
      <w:r w:rsidR="004A31E6" w:rsidRPr="00EA59C0">
        <w:t>fund</w:t>
      </w:r>
      <w:r w:rsidR="00C026A6" w:rsidRPr="00EA59C0">
        <w:t xml:space="preserve"> </w:t>
      </w:r>
      <w:r w:rsidR="004A31E6" w:rsidRPr="00EA59C0">
        <w:t>grants</w:t>
      </w:r>
      <w:r w:rsidR="00C026A6" w:rsidRPr="00EA59C0">
        <w:t xml:space="preserve"> </w:t>
      </w:r>
      <w:r w:rsidR="004A31E6" w:rsidRPr="00EA59C0">
        <w:t>in</w:t>
      </w:r>
      <w:r w:rsidR="00C026A6" w:rsidRPr="00EA59C0">
        <w:t xml:space="preserve"> </w:t>
      </w:r>
      <w:r w:rsidR="004A31E6" w:rsidRPr="00EA59C0">
        <w:t>all</w:t>
      </w:r>
      <w:r w:rsidR="00C026A6" w:rsidRPr="00EA59C0">
        <w:t xml:space="preserve"> </w:t>
      </w:r>
      <w:r w:rsidR="004A31E6" w:rsidRPr="00EA59C0">
        <w:t>States</w:t>
      </w:r>
      <w:r w:rsidR="00CF4AC0" w:rsidRPr="00EA59C0">
        <w:t>.</w:t>
      </w:r>
      <w:r w:rsidR="00C026A6" w:rsidRPr="00EA59C0">
        <w:t xml:space="preserve">  </w:t>
      </w:r>
      <w:r w:rsidR="004A31E6" w:rsidRPr="00EA59C0">
        <w:t>In</w:t>
      </w:r>
      <w:r w:rsidR="00C026A6" w:rsidRPr="00EA59C0">
        <w:t xml:space="preserve"> </w:t>
      </w:r>
      <w:r w:rsidR="004A31E6" w:rsidRPr="00EA59C0">
        <w:t>selecti</w:t>
      </w:r>
      <w:r w:rsidR="009C6F93" w:rsidRPr="00EA59C0">
        <w:t>ng applications for funding up to the award ceiling</w:t>
      </w:r>
      <w:r w:rsidR="004A31E6" w:rsidRPr="00EA59C0">
        <w:t>,</w:t>
      </w:r>
      <w:r w:rsidR="00C026A6" w:rsidRPr="00EA59C0">
        <w:t xml:space="preserve"> </w:t>
      </w:r>
      <w:r w:rsidR="004A31E6" w:rsidRPr="00EA59C0">
        <w:t>the</w:t>
      </w:r>
      <w:r w:rsidR="00C026A6" w:rsidRPr="00EA59C0">
        <w:t xml:space="preserve"> </w:t>
      </w:r>
      <w:r w:rsidR="00CF4AC0" w:rsidRPr="00EA59C0">
        <w:t>Grant</w:t>
      </w:r>
      <w:r w:rsidR="00C026A6" w:rsidRPr="00EA59C0">
        <w:t xml:space="preserve"> </w:t>
      </w:r>
      <w:r w:rsidR="00CF4AC0" w:rsidRPr="00EA59C0">
        <w:t>Officer</w:t>
      </w:r>
      <w:r w:rsidR="00C026A6" w:rsidRPr="00EA59C0">
        <w:t xml:space="preserve"> </w:t>
      </w:r>
      <w:r w:rsidR="00CF4AC0" w:rsidRPr="00EA59C0">
        <w:t>may</w:t>
      </w:r>
      <w:r w:rsidR="00C026A6" w:rsidRPr="00EA59C0">
        <w:t xml:space="preserve"> </w:t>
      </w:r>
      <w:r w:rsidR="00CF4AC0" w:rsidRPr="00EA59C0">
        <w:t>also</w:t>
      </w:r>
      <w:r w:rsidR="00C026A6" w:rsidRPr="00EA59C0">
        <w:t xml:space="preserve"> </w:t>
      </w:r>
      <w:r w:rsidR="00CF4AC0" w:rsidRPr="00EA59C0">
        <w:t>consider</w:t>
      </w:r>
      <w:r w:rsidR="00C026A6" w:rsidRPr="00EA59C0">
        <w:t xml:space="preserve"> </w:t>
      </w:r>
      <w:r w:rsidRPr="00EA59C0">
        <w:t>other</w:t>
      </w:r>
      <w:r w:rsidR="00C026A6" w:rsidRPr="00EA59C0">
        <w:t xml:space="preserve"> </w:t>
      </w:r>
      <w:r w:rsidRPr="00EA59C0">
        <w:t>factors</w:t>
      </w:r>
      <w:r w:rsidR="00C026A6" w:rsidRPr="00EA59C0">
        <w:t xml:space="preserve"> </w:t>
      </w:r>
      <w:r w:rsidRPr="00EA59C0">
        <w:t>such</w:t>
      </w:r>
      <w:r w:rsidR="00C026A6" w:rsidRPr="00EA59C0">
        <w:t xml:space="preserve"> </w:t>
      </w:r>
      <w:r w:rsidR="008F5F33" w:rsidRPr="00EA59C0">
        <w:t>as</w:t>
      </w:r>
      <w:r w:rsidR="00C026A6" w:rsidRPr="00EA59C0">
        <w:t xml:space="preserve"> </w:t>
      </w:r>
      <w:r w:rsidR="00CC06FA" w:rsidRPr="00EA59C0">
        <w:t>prior</w:t>
      </w:r>
      <w:r w:rsidR="00C026A6" w:rsidRPr="00EA59C0">
        <w:t xml:space="preserve"> </w:t>
      </w:r>
      <w:r w:rsidR="00CC06FA" w:rsidRPr="00EA59C0">
        <w:t>receipt</w:t>
      </w:r>
      <w:r w:rsidR="00C026A6" w:rsidRPr="00EA59C0">
        <w:t xml:space="preserve"> </w:t>
      </w:r>
      <w:r w:rsidR="00CC06FA" w:rsidRPr="00EA59C0">
        <w:t>of</w:t>
      </w:r>
      <w:r w:rsidR="00C026A6" w:rsidRPr="00EA59C0">
        <w:t xml:space="preserve"> </w:t>
      </w:r>
      <w:r w:rsidR="00CC06FA" w:rsidRPr="00EA59C0">
        <w:t>a</w:t>
      </w:r>
      <w:r w:rsidR="00C026A6" w:rsidRPr="00EA59C0">
        <w:t xml:space="preserve"> </w:t>
      </w:r>
      <w:r w:rsidR="00212712" w:rsidRPr="00EA59C0">
        <w:t>TAACCCT</w:t>
      </w:r>
      <w:r w:rsidR="00C026A6" w:rsidRPr="00EA59C0">
        <w:t xml:space="preserve"> </w:t>
      </w:r>
      <w:r w:rsidR="00212712" w:rsidRPr="00EA59C0">
        <w:t>grant</w:t>
      </w:r>
      <w:r w:rsidR="00C026A6" w:rsidRPr="00EA59C0">
        <w:t xml:space="preserve"> </w:t>
      </w:r>
      <w:r w:rsidR="004A31E6" w:rsidRPr="00EA59C0">
        <w:t>and</w:t>
      </w:r>
      <w:r w:rsidR="00C026A6" w:rsidRPr="00EA59C0">
        <w:t xml:space="preserve"> </w:t>
      </w:r>
      <w:r w:rsidR="004A31E6" w:rsidRPr="00EA59C0">
        <w:t>findings</w:t>
      </w:r>
      <w:r w:rsidR="00C026A6" w:rsidRPr="00EA59C0">
        <w:t xml:space="preserve"> </w:t>
      </w:r>
      <w:r w:rsidR="004A31E6" w:rsidRPr="00EA59C0">
        <w:t>from</w:t>
      </w:r>
      <w:r w:rsidR="00C026A6" w:rsidRPr="00EA59C0">
        <w:t xml:space="preserve"> </w:t>
      </w:r>
      <w:r w:rsidR="004A31E6" w:rsidRPr="00EA59C0">
        <w:t>the</w:t>
      </w:r>
      <w:r w:rsidR="00C026A6" w:rsidRPr="00EA59C0">
        <w:t xml:space="preserve"> </w:t>
      </w:r>
      <w:r w:rsidR="004A31E6" w:rsidRPr="00EA59C0">
        <w:t>expert</w:t>
      </w:r>
      <w:r w:rsidR="00C026A6" w:rsidRPr="00EA59C0">
        <w:t xml:space="preserve"> </w:t>
      </w:r>
      <w:r w:rsidR="004A31E6" w:rsidRPr="00EA59C0">
        <w:t>review</w:t>
      </w:r>
      <w:r w:rsidR="00C026A6" w:rsidRPr="00EA59C0">
        <w:t xml:space="preserve"> </w:t>
      </w:r>
      <w:r w:rsidR="004A31E6" w:rsidRPr="00EA59C0">
        <w:t>panel’s</w:t>
      </w:r>
      <w:r w:rsidR="00C026A6" w:rsidRPr="00EA59C0">
        <w:t xml:space="preserve"> </w:t>
      </w:r>
      <w:r w:rsidR="004A31E6" w:rsidRPr="00EA59C0">
        <w:t>evaluation</w:t>
      </w:r>
      <w:r w:rsidR="00C026A6" w:rsidRPr="00EA59C0">
        <w:t xml:space="preserve"> </w:t>
      </w:r>
      <w:r w:rsidR="004A31E6" w:rsidRPr="00EA59C0">
        <w:t>of</w:t>
      </w:r>
      <w:r w:rsidR="00C026A6" w:rsidRPr="00EA59C0">
        <w:t xml:space="preserve"> </w:t>
      </w:r>
      <w:r w:rsidR="004A31E6" w:rsidRPr="00EA59C0">
        <w:t>supplementary</w:t>
      </w:r>
      <w:r w:rsidR="00C026A6" w:rsidRPr="00EA59C0">
        <w:t xml:space="preserve"> </w:t>
      </w:r>
      <w:r w:rsidR="004A31E6" w:rsidRPr="00EA59C0">
        <w:t>materials</w:t>
      </w:r>
      <w:r w:rsidR="00C026A6" w:rsidRPr="00EA59C0">
        <w:t xml:space="preserve"> </w:t>
      </w:r>
      <w:r w:rsidR="004A31E6" w:rsidRPr="00EA59C0">
        <w:t>for</w:t>
      </w:r>
      <w:r w:rsidR="00C026A6" w:rsidRPr="00EA59C0">
        <w:t xml:space="preserve"> </w:t>
      </w:r>
      <w:r w:rsidR="004A31E6" w:rsidRPr="00EA59C0">
        <w:t>applications</w:t>
      </w:r>
      <w:r w:rsidR="00C026A6" w:rsidRPr="00EA59C0">
        <w:t xml:space="preserve"> </w:t>
      </w:r>
      <w:r w:rsidR="004A31E6" w:rsidRPr="00EA59C0">
        <w:t>requesting</w:t>
      </w:r>
      <w:r w:rsidR="00C026A6" w:rsidRPr="00EA59C0">
        <w:t xml:space="preserve"> </w:t>
      </w:r>
      <w:r w:rsidR="004A31E6" w:rsidRPr="00EA59C0">
        <w:t>funds</w:t>
      </w:r>
      <w:r w:rsidR="00C026A6" w:rsidRPr="00EA59C0">
        <w:t xml:space="preserve"> </w:t>
      </w:r>
      <w:r w:rsidR="004A31E6" w:rsidRPr="00EA59C0">
        <w:t>above</w:t>
      </w:r>
      <w:r w:rsidR="00C026A6" w:rsidRPr="00EA59C0">
        <w:t xml:space="preserve"> </w:t>
      </w:r>
      <w:r w:rsidR="004A31E6" w:rsidRPr="00EA59C0">
        <w:t>the</w:t>
      </w:r>
      <w:r w:rsidR="00C026A6" w:rsidRPr="00EA59C0">
        <w:t xml:space="preserve"> </w:t>
      </w:r>
      <w:r w:rsidR="004A31E6" w:rsidRPr="00EA59C0">
        <w:t>amount</w:t>
      </w:r>
      <w:r w:rsidR="00C026A6" w:rsidRPr="00EA59C0">
        <w:t xml:space="preserve"> </w:t>
      </w:r>
      <w:r w:rsidR="004A31E6" w:rsidRPr="00EA59C0">
        <w:t>of</w:t>
      </w:r>
      <w:r w:rsidR="00C026A6" w:rsidRPr="00EA59C0">
        <w:t xml:space="preserve"> </w:t>
      </w:r>
      <w:r w:rsidR="004A31E6" w:rsidRPr="00EA59C0">
        <w:t>the</w:t>
      </w:r>
      <w:r w:rsidR="00C026A6" w:rsidRPr="00EA59C0">
        <w:t xml:space="preserve"> </w:t>
      </w:r>
      <w:r w:rsidR="004A31E6" w:rsidRPr="00EA59C0">
        <w:t>award</w:t>
      </w:r>
      <w:r w:rsidR="00C026A6" w:rsidRPr="00EA59C0">
        <w:t xml:space="preserve"> </w:t>
      </w:r>
      <w:r w:rsidR="004A31E6" w:rsidRPr="00EA59C0">
        <w:t>ceiling</w:t>
      </w:r>
      <w:r w:rsidRPr="00EA59C0">
        <w:t>.</w:t>
      </w:r>
      <w:r w:rsidR="00C026A6" w:rsidRPr="00EA59C0">
        <w:t xml:space="preserve">  </w:t>
      </w:r>
      <w:r w:rsidR="009C6F93" w:rsidRPr="00EA59C0">
        <w:t>In determining whether to approve or deny the request for funding beyond the award amount ceiling</w:t>
      </w:r>
      <w:r w:rsidR="00391A2C" w:rsidRPr="00EA59C0">
        <w:t>,</w:t>
      </w:r>
      <w:r w:rsidR="00C026A6" w:rsidRPr="00EA59C0">
        <w:t xml:space="preserve"> </w:t>
      </w:r>
      <w:r w:rsidR="00391A2C" w:rsidRPr="00EA59C0">
        <w:t>the</w:t>
      </w:r>
      <w:r w:rsidR="00C026A6" w:rsidRPr="00EA59C0">
        <w:t xml:space="preserve"> </w:t>
      </w:r>
      <w:r w:rsidR="00391A2C" w:rsidRPr="00EA59C0">
        <w:t>Grant</w:t>
      </w:r>
      <w:r w:rsidR="00C026A6" w:rsidRPr="00EA59C0">
        <w:t xml:space="preserve"> </w:t>
      </w:r>
      <w:r w:rsidR="00391A2C" w:rsidRPr="00EA59C0">
        <w:t>Officer</w:t>
      </w:r>
      <w:r w:rsidR="00C026A6" w:rsidRPr="00EA59C0">
        <w:t xml:space="preserve"> </w:t>
      </w:r>
      <w:r w:rsidR="00391A2C" w:rsidRPr="00EA59C0">
        <w:t>will</w:t>
      </w:r>
      <w:r w:rsidR="00C026A6" w:rsidRPr="00EA59C0">
        <w:t xml:space="preserve"> </w:t>
      </w:r>
      <w:r w:rsidR="00391A2C" w:rsidRPr="00EA59C0">
        <w:t>consider</w:t>
      </w:r>
      <w:r w:rsidR="00C026A6" w:rsidRPr="00EA59C0">
        <w:t xml:space="preserve"> </w:t>
      </w:r>
      <w:r w:rsidR="00391A2C" w:rsidRPr="00EA59C0">
        <w:t>findings</w:t>
      </w:r>
      <w:r w:rsidR="00C026A6" w:rsidRPr="00EA59C0">
        <w:t xml:space="preserve"> </w:t>
      </w:r>
      <w:r w:rsidR="00391A2C" w:rsidRPr="00EA59C0">
        <w:t>from</w:t>
      </w:r>
      <w:r w:rsidR="00C026A6" w:rsidRPr="00EA59C0">
        <w:t xml:space="preserve"> </w:t>
      </w:r>
      <w:r w:rsidR="00391A2C" w:rsidRPr="00EA59C0">
        <w:t>the</w:t>
      </w:r>
      <w:r w:rsidR="00C026A6" w:rsidRPr="00EA59C0">
        <w:t xml:space="preserve"> </w:t>
      </w:r>
      <w:r w:rsidR="00391A2C" w:rsidRPr="00EA59C0">
        <w:t>expert</w:t>
      </w:r>
      <w:r w:rsidR="00C026A6" w:rsidRPr="00EA59C0">
        <w:t xml:space="preserve"> </w:t>
      </w:r>
      <w:r w:rsidR="00391A2C" w:rsidRPr="00EA59C0">
        <w:t>review</w:t>
      </w:r>
      <w:r w:rsidR="00C026A6" w:rsidRPr="00EA59C0">
        <w:t xml:space="preserve"> </w:t>
      </w:r>
      <w:r w:rsidR="00391A2C" w:rsidRPr="00EA59C0">
        <w:t>panel’s</w:t>
      </w:r>
      <w:r w:rsidR="00C026A6" w:rsidRPr="00EA59C0">
        <w:t xml:space="preserve"> </w:t>
      </w:r>
      <w:r w:rsidR="00391A2C" w:rsidRPr="00EA59C0">
        <w:t>evaluation</w:t>
      </w:r>
      <w:r w:rsidR="00C026A6" w:rsidRPr="00EA59C0">
        <w:t xml:space="preserve"> </w:t>
      </w:r>
      <w:r w:rsidR="00391A2C" w:rsidRPr="00EA59C0">
        <w:t>of</w:t>
      </w:r>
      <w:r w:rsidR="00C026A6" w:rsidRPr="00EA59C0">
        <w:t xml:space="preserve"> </w:t>
      </w:r>
      <w:r w:rsidR="00391A2C" w:rsidRPr="00EA59C0">
        <w:t>supplementary</w:t>
      </w:r>
      <w:r w:rsidR="00C026A6" w:rsidRPr="00EA59C0">
        <w:t xml:space="preserve"> </w:t>
      </w:r>
      <w:r w:rsidR="00391A2C" w:rsidRPr="00EA59C0">
        <w:t>materials</w:t>
      </w:r>
      <w:r w:rsidR="00C026A6" w:rsidRPr="00EA59C0">
        <w:t xml:space="preserve"> </w:t>
      </w:r>
      <w:r w:rsidR="00391A2C" w:rsidRPr="00EA59C0">
        <w:t>for</w:t>
      </w:r>
      <w:r w:rsidR="00C026A6" w:rsidRPr="00EA59C0">
        <w:t xml:space="preserve"> </w:t>
      </w:r>
      <w:r w:rsidR="00391A2C" w:rsidRPr="00EA59C0">
        <w:t>applications</w:t>
      </w:r>
      <w:r w:rsidR="00C026A6" w:rsidRPr="00EA59C0">
        <w:t xml:space="preserve"> </w:t>
      </w:r>
      <w:r w:rsidR="00391A2C" w:rsidRPr="00EA59C0">
        <w:t>requesting</w:t>
      </w:r>
      <w:r w:rsidR="00C026A6" w:rsidRPr="00EA59C0">
        <w:t xml:space="preserve"> </w:t>
      </w:r>
      <w:r w:rsidR="00391A2C" w:rsidRPr="00EA59C0">
        <w:t>funds</w:t>
      </w:r>
      <w:r w:rsidR="00C026A6" w:rsidRPr="00EA59C0">
        <w:t xml:space="preserve"> </w:t>
      </w:r>
      <w:r w:rsidR="00391A2C" w:rsidRPr="00EA59C0">
        <w:t>above</w:t>
      </w:r>
      <w:r w:rsidR="00C026A6" w:rsidRPr="00EA59C0">
        <w:t xml:space="preserve"> </w:t>
      </w:r>
      <w:r w:rsidR="00391A2C" w:rsidRPr="00EA59C0">
        <w:t>the</w:t>
      </w:r>
      <w:r w:rsidR="00C026A6" w:rsidRPr="00EA59C0">
        <w:t xml:space="preserve"> </w:t>
      </w:r>
      <w:r w:rsidR="00391A2C" w:rsidRPr="00EA59C0">
        <w:t>award</w:t>
      </w:r>
      <w:r w:rsidR="00C026A6" w:rsidRPr="00EA59C0">
        <w:t xml:space="preserve"> </w:t>
      </w:r>
      <w:r w:rsidR="004A31E6" w:rsidRPr="00EA59C0">
        <w:t>amount</w:t>
      </w:r>
      <w:r w:rsidR="00C026A6" w:rsidRPr="00EA59C0">
        <w:t xml:space="preserve"> </w:t>
      </w:r>
      <w:r w:rsidR="00391A2C" w:rsidRPr="00EA59C0">
        <w:t>ceiling.</w:t>
      </w:r>
      <w:r w:rsidR="00C026A6" w:rsidRPr="00EA59C0">
        <w:t xml:space="preserve">  </w:t>
      </w:r>
      <w:r w:rsidRPr="00EA59C0">
        <w:t>The</w:t>
      </w:r>
      <w:r w:rsidR="00C026A6" w:rsidRPr="00EA59C0">
        <w:t xml:space="preserve"> </w:t>
      </w:r>
      <w:r w:rsidRPr="00EA59C0">
        <w:t>panel</w:t>
      </w:r>
      <w:r w:rsidR="00C026A6" w:rsidRPr="00EA59C0">
        <w:t xml:space="preserve"> </w:t>
      </w:r>
      <w:r w:rsidRPr="00EA59C0">
        <w:t>results</w:t>
      </w:r>
      <w:r w:rsidR="00C026A6" w:rsidRPr="00EA59C0">
        <w:t xml:space="preserve"> </w:t>
      </w:r>
      <w:r w:rsidRPr="00EA59C0">
        <w:t>are</w:t>
      </w:r>
      <w:r w:rsidR="00C026A6" w:rsidRPr="00EA59C0">
        <w:t xml:space="preserve"> </w:t>
      </w:r>
      <w:r w:rsidRPr="00EA59C0">
        <w:t>advisory</w:t>
      </w:r>
      <w:r w:rsidR="00C026A6" w:rsidRPr="00EA59C0">
        <w:t xml:space="preserve"> </w:t>
      </w:r>
      <w:r w:rsidRPr="00EA59C0">
        <w:t>in</w:t>
      </w:r>
      <w:r w:rsidR="00C026A6" w:rsidRPr="00EA59C0">
        <w:t xml:space="preserve"> </w:t>
      </w:r>
      <w:r w:rsidRPr="00EA59C0">
        <w:t>nature</w:t>
      </w:r>
      <w:r w:rsidR="00C026A6" w:rsidRPr="00EA59C0">
        <w:t xml:space="preserve"> </w:t>
      </w:r>
      <w:r w:rsidRPr="00EA59C0">
        <w:t>and</w:t>
      </w:r>
      <w:r w:rsidR="00C026A6" w:rsidRPr="00EA59C0">
        <w:t xml:space="preserve"> </w:t>
      </w:r>
      <w:r w:rsidRPr="00EA59C0">
        <w:t>not</w:t>
      </w:r>
      <w:r w:rsidR="00C026A6" w:rsidRPr="00EA59C0">
        <w:t xml:space="preserve"> </w:t>
      </w:r>
      <w:r w:rsidRPr="00EA59C0">
        <w:t>binding</w:t>
      </w:r>
      <w:r w:rsidR="00C026A6" w:rsidRPr="00EA59C0">
        <w:t xml:space="preserve"> </w:t>
      </w:r>
      <w:r w:rsidRPr="00EA59C0">
        <w:t>on</w:t>
      </w:r>
      <w:r w:rsidR="00C026A6" w:rsidRPr="00EA59C0">
        <w:t xml:space="preserve"> </w:t>
      </w:r>
      <w:r w:rsidRPr="00EA59C0">
        <w:t>the</w:t>
      </w:r>
      <w:r w:rsidR="00C026A6" w:rsidRPr="00EA59C0">
        <w:t xml:space="preserve"> </w:t>
      </w:r>
      <w:r w:rsidRPr="00EA59C0">
        <w:t>Grant</w:t>
      </w:r>
      <w:r w:rsidR="00C026A6" w:rsidRPr="00EA59C0">
        <w:t xml:space="preserve"> </w:t>
      </w:r>
      <w:r w:rsidRPr="00EA59C0">
        <w:t>Officer.</w:t>
      </w:r>
      <w:r w:rsidR="00C026A6" w:rsidRPr="00EA59C0">
        <w:t xml:space="preserve">  </w:t>
      </w:r>
      <w:r w:rsidRPr="00EA59C0">
        <w:t>The</w:t>
      </w:r>
      <w:r w:rsidR="00C026A6" w:rsidRPr="00EA59C0">
        <w:t xml:space="preserve"> </w:t>
      </w:r>
      <w:r w:rsidRPr="00EA59C0">
        <w:t>Grant</w:t>
      </w:r>
      <w:r w:rsidR="00C026A6" w:rsidRPr="00EA59C0">
        <w:t xml:space="preserve"> </w:t>
      </w:r>
      <w:r w:rsidRPr="00EA59C0">
        <w:t>Officer</w:t>
      </w:r>
      <w:r w:rsidR="00C026A6" w:rsidRPr="00EA59C0">
        <w:t xml:space="preserve"> </w:t>
      </w:r>
      <w:r w:rsidRPr="00EA59C0">
        <w:t>may</w:t>
      </w:r>
      <w:r w:rsidR="00C026A6" w:rsidRPr="00EA59C0">
        <w:t xml:space="preserve"> </w:t>
      </w:r>
      <w:r w:rsidRPr="00EA59C0">
        <w:t>consider</w:t>
      </w:r>
      <w:r w:rsidR="00C026A6" w:rsidRPr="00EA59C0">
        <w:t xml:space="preserve"> </w:t>
      </w:r>
      <w:r w:rsidRPr="00EA59C0">
        <w:t>any</w:t>
      </w:r>
      <w:r w:rsidR="00C026A6" w:rsidRPr="00EA59C0">
        <w:t xml:space="preserve"> </w:t>
      </w:r>
      <w:r w:rsidRPr="00EA59C0">
        <w:t>information</w:t>
      </w:r>
      <w:r w:rsidR="00C026A6" w:rsidRPr="00EA59C0">
        <w:t xml:space="preserve"> </w:t>
      </w:r>
      <w:r w:rsidRPr="00EA59C0">
        <w:t>that</w:t>
      </w:r>
      <w:r w:rsidR="00C026A6" w:rsidRPr="00EA59C0">
        <w:t xml:space="preserve"> </w:t>
      </w:r>
      <w:r w:rsidRPr="00EA59C0">
        <w:t>comes</w:t>
      </w:r>
      <w:r w:rsidR="00C026A6" w:rsidRPr="00EA59C0">
        <w:t xml:space="preserve"> </w:t>
      </w:r>
      <w:r w:rsidRPr="00EA59C0">
        <w:t>to</w:t>
      </w:r>
      <w:r w:rsidR="00C026A6" w:rsidRPr="00EA59C0">
        <w:t xml:space="preserve"> </w:t>
      </w:r>
      <w:r w:rsidRPr="00EA59C0">
        <w:t>his/her</w:t>
      </w:r>
      <w:r w:rsidR="00C026A6" w:rsidRPr="00EA59C0">
        <w:t xml:space="preserve"> </w:t>
      </w:r>
      <w:r w:rsidRPr="00EA59C0">
        <w:t>attention.</w:t>
      </w:r>
      <w:r w:rsidR="00C026A6" w:rsidRPr="00EA59C0">
        <w:t xml:space="preserve">  </w:t>
      </w:r>
      <w:r w:rsidRPr="00EA59C0">
        <w:t>The</w:t>
      </w:r>
      <w:r w:rsidR="00C026A6" w:rsidRPr="00EA59C0">
        <w:t xml:space="preserve"> </w:t>
      </w:r>
      <w:r w:rsidRPr="00EA59C0">
        <w:t>government</w:t>
      </w:r>
      <w:r w:rsidR="00C026A6" w:rsidRPr="00EA59C0">
        <w:t xml:space="preserve"> </w:t>
      </w:r>
      <w:r w:rsidRPr="00EA59C0">
        <w:t>may</w:t>
      </w:r>
      <w:r w:rsidR="00C026A6" w:rsidRPr="00EA59C0">
        <w:t xml:space="preserve"> </w:t>
      </w:r>
      <w:r w:rsidRPr="00EA59C0">
        <w:t>elect</w:t>
      </w:r>
      <w:r w:rsidR="00C026A6" w:rsidRPr="00EA59C0">
        <w:t xml:space="preserve"> </w:t>
      </w:r>
      <w:r w:rsidRPr="00EA59C0">
        <w:t>to</w:t>
      </w:r>
      <w:r w:rsidR="00C026A6" w:rsidRPr="00EA59C0">
        <w:t xml:space="preserve"> </w:t>
      </w:r>
      <w:r w:rsidRPr="00EA59C0">
        <w:t>award</w:t>
      </w:r>
      <w:r w:rsidR="00C026A6" w:rsidRPr="00EA59C0">
        <w:t xml:space="preserve"> </w:t>
      </w:r>
      <w:r w:rsidRPr="00EA59C0">
        <w:t>the</w:t>
      </w:r>
      <w:r w:rsidR="00C026A6" w:rsidRPr="00EA59C0">
        <w:t xml:space="preserve"> </w:t>
      </w:r>
      <w:r w:rsidRPr="00EA59C0">
        <w:t>grant(s)</w:t>
      </w:r>
      <w:r w:rsidR="00C026A6" w:rsidRPr="00EA59C0">
        <w:t xml:space="preserve"> </w:t>
      </w:r>
      <w:r w:rsidRPr="00EA59C0">
        <w:t>with</w:t>
      </w:r>
      <w:r w:rsidR="00C026A6" w:rsidRPr="00EA59C0">
        <w:t xml:space="preserve"> </w:t>
      </w:r>
      <w:r w:rsidRPr="00EA59C0">
        <w:t>or</w:t>
      </w:r>
      <w:r w:rsidR="00C026A6" w:rsidRPr="00EA59C0">
        <w:t xml:space="preserve"> </w:t>
      </w:r>
      <w:r w:rsidRPr="00EA59C0">
        <w:t>without</w:t>
      </w:r>
      <w:r w:rsidR="00C026A6" w:rsidRPr="00EA59C0">
        <w:t xml:space="preserve"> </w:t>
      </w:r>
      <w:r w:rsidRPr="00EA59C0">
        <w:t>discussions</w:t>
      </w:r>
      <w:r w:rsidR="00C026A6" w:rsidRPr="00EA59C0">
        <w:t xml:space="preserve"> </w:t>
      </w:r>
      <w:r w:rsidRPr="00EA59C0">
        <w:t>with</w:t>
      </w:r>
      <w:r w:rsidR="00C026A6" w:rsidRPr="00EA59C0">
        <w:t xml:space="preserve"> </w:t>
      </w:r>
      <w:r w:rsidRPr="00EA59C0">
        <w:t>the</w:t>
      </w:r>
      <w:r w:rsidR="00C026A6" w:rsidRPr="00EA59C0">
        <w:t xml:space="preserve"> </w:t>
      </w:r>
      <w:r w:rsidRPr="00EA59C0">
        <w:t>applicant.</w:t>
      </w:r>
      <w:r w:rsidR="00C026A6" w:rsidRPr="00EA59C0">
        <w:t xml:space="preserve">  </w:t>
      </w:r>
      <w:r w:rsidRPr="00EA59C0">
        <w:t>Should</w:t>
      </w:r>
      <w:r w:rsidR="00C026A6" w:rsidRPr="00EA59C0">
        <w:t xml:space="preserve"> </w:t>
      </w:r>
      <w:r w:rsidRPr="00EA59C0">
        <w:t>a</w:t>
      </w:r>
      <w:r w:rsidR="00C026A6" w:rsidRPr="00EA59C0">
        <w:t xml:space="preserve"> </w:t>
      </w:r>
      <w:r w:rsidRPr="00EA59C0">
        <w:t>grant</w:t>
      </w:r>
      <w:r w:rsidR="00C026A6" w:rsidRPr="00EA59C0">
        <w:t xml:space="preserve"> </w:t>
      </w:r>
      <w:r w:rsidRPr="00EA59C0">
        <w:t>be</w:t>
      </w:r>
      <w:r w:rsidR="00C026A6" w:rsidRPr="00EA59C0">
        <w:t xml:space="preserve"> </w:t>
      </w:r>
      <w:r w:rsidRPr="00EA59C0">
        <w:t>awarded</w:t>
      </w:r>
      <w:r w:rsidR="00C026A6" w:rsidRPr="00EA59C0">
        <w:t xml:space="preserve"> </w:t>
      </w:r>
      <w:r w:rsidRPr="00EA59C0">
        <w:t>without</w:t>
      </w:r>
      <w:r w:rsidR="00C026A6" w:rsidRPr="00EA59C0">
        <w:t xml:space="preserve"> </w:t>
      </w:r>
      <w:r w:rsidRPr="00EA59C0">
        <w:t>discussions,</w:t>
      </w:r>
      <w:r w:rsidR="00C026A6" w:rsidRPr="00EA59C0">
        <w:t xml:space="preserve"> </w:t>
      </w:r>
      <w:r w:rsidRPr="00EA59C0">
        <w:t>the</w:t>
      </w:r>
      <w:r w:rsidR="00C026A6" w:rsidRPr="00EA59C0">
        <w:t xml:space="preserve"> </w:t>
      </w:r>
      <w:r w:rsidRPr="00EA59C0">
        <w:t>award</w:t>
      </w:r>
      <w:r w:rsidR="00C026A6" w:rsidRPr="00EA59C0">
        <w:t xml:space="preserve"> </w:t>
      </w:r>
      <w:r w:rsidRPr="00EA59C0">
        <w:t>will</w:t>
      </w:r>
      <w:r w:rsidR="00C026A6" w:rsidRPr="00EA59C0">
        <w:t xml:space="preserve"> </w:t>
      </w:r>
      <w:r w:rsidRPr="00EA59C0">
        <w:t>be</w:t>
      </w:r>
      <w:r w:rsidR="00C026A6" w:rsidRPr="00EA59C0">
        <w:t xml:space="preserve"> </w:t>
      </w:r>
      <w:r w:rsidRPr="00EA59C0">
        <w:t>based</w:t>
      </w:r>
      <w:r w:rsidR="00C026A6" w:rsidRPr="00EA59C0">
        <w:t xml:space="preserve"> </w:t>
      </w:r>
      <w:r w:rsidRPr="00EA59C0">
        <w:t>on</w:t>
      </w:r>
      <w:r w:rsidR="00C026A6" w:rsidRPr="00EA59C0">
        <w:t xml:space="preserve"> </w:t>
      </w:r>
      <w:r w:rsidRPr="00EA59C0">
        <w:t>the</w:t>
      </w:r>
      <w:r w:rsidR="00C026A6" w:rsidRPr="00EA59C0">
        <w:t xml:space="preserve"> </w:t>
      </w:r>
      <w:r w:rsidRPr="00EA59C0">
        <w:t>applicant’s</w:t>
      </w:r>
      <w:r w:rsidR="00C026A6" w:rsidRPr="00EA59C0">
        <w:t xml:space="preserve"> </w:t>
      </w:r>
      <w:r w:rsidRPr="00EA59C0">
        <w:t>signature</w:t>
      </w:r>
      <w:r w:rsidR="00C026A6" w:rsidRPr="00EA59C0">
        <w:t xml:space="preserve"> </w:t>
      </w:r>
      <w:r w:rsidRPr="00EA59C0">
        <w:t>on</w:t>
      </w:r>
      <w:r w:rsidR="00C026A6" w:rsidRPr="00EA59C0">
        <w:t xml:space="preserve"> </w:t>
      </w:r>
      <w:r w:rsidRPr="00EA59C0">
        <w:t>the</w:t>
      </w:r>
      <w:r w:rsidR="00C026A6" w:rsidRPr="00EA59C0">
        <w:t xml:space="preserve"> </w:t>
      </w:r>
      <w:r w:rsidRPr="00EA59C0">
        <w:t>SF-424,</w:t>
      </w:r>
      <w:r w:rsidR="00C026A6" w:rsidRPr="00EA59C0">
        <w:t xml:space="preserve"> </w:t>
      </w:r>
      <w:r w:rsidRPr="00EA59C0">
        <w:t>including</w:t>
      </w:r>
      <w:r w:rsidR="00C026A6" w:rsidRPr="00EA59C0">
        <w:t xml:space="preserve"> </w:t>
      </w:r>
      <w:r w:rsidRPr="00EA59C0">
        <w:t>electronic</w:t>
      </w:r>
      <w:r w:rsidR="00C026A6" w:rsidRPr="00EA59C0">
        <w:t xml:space="preserve"> </w:t>
      </w:r>
      <w:r w:rsidRPr="00EA59C0">
        <w:t>signature</w:t>
      </w:r>
      <w:r w:rsidR="00C026A6" w:rsidRPr="00EA59C0">
        <w:t xml:space="preserve"> </w:t>
      </w:r>
      <w:r w:rsidRPr="00EA59C0">
        <w:t>via</w:t>
      </w:r>
      <w:r w:rsidR="00C026A6" w:rsidRPr="00EA59C0">
        <w:t xml:space="preserve"> </w:t>
      </w:r>
      <w:r w:rsidRPr="00EA59C0">
        <w:t>E-Authentication</w:t>
      </w:r>
      <w:r w:rsidR="00C026A6" w:rsidRPr="00EA59C0">
        <w:t xml:space="preserve"> </w:t>
      </w:r>
      <w:r w:rsidRPr="00EA59C0">
        <w:t>on</w:t>
      </w:r>
      <w:r w:rsidR="00C026A6" w:rsidRPr="00EA59C0">
        <w:t xml:space="preserve"> </w:t>
      </w:r>
      <w:hyperlink r:id="rId274" w:history="1">
        <w:r w:rsidRPr="00EA59C0">
          <w:rPr>
            <w:rStyle w:val="Hyperlink"/>
            <w:color w:val="auto"/>
          </w:rPr>
          <w:t>http://www.grants.gov</w:t>
        </w:r>
      </w:hyperlink>
      <w:r w:rsidRPr="00EA59C0">
        <w:rPr>
          <w:u w:val="single"/>
        </w:rPr>
        <w:t>,</w:t>
      </w:r>
      <w:r w:rsidR="00C026A6" w:rsidRPr="00EA59C0">
        <w:rPr>
          <w:u w:val="single"/>
        </w:rPr>
        <w:t xml:space="preserve"> </w:t>
      </w:r>
      <w:r w:rsidRPr="00EA59C0">
        <w:t>which</w:t>
      </w:r>
      <w:r w:rsidR="00C026A6" w:rsidRPr="00EA59C0">
        <w:t xml:space="preserve"> </w:t>
      </w:r>
      <w:r w:rsidRPr="00EA59C0">
        <w:t>constitutes</w:t>
      </w:r>
      <w:r w:rsidR="00C026A6" w:rsidRPr="00EA59C0">
        <w:t xml:space="preserve"> </w:t>
      </w:r>
      <w:r w:rsidRPr="00EA59C0">
        <w:t>a</w:t>
      </w:r>
      <w:r w:rsidR="00C026A6" w:rsidRPr="00EA59C0">
        <w:t xml:space="preserve"> </w:t>
      </w:r>
      <w:r w:rsidRPr="00EA59C0">
        <w:t>binding</w:t>
      </w:r>
      <w:r w:rsidR="00C026A6" w:rsidRPr="00EA59C0">
        <w:t xml:space="preserve"> </w:t>
      </w:r>
      <w:r w:rsidRPr="00EA59C0">
        <w:t>offer</w:t>
      </w:r>
      <w:r w:rsidR="00C026A6" w:rsidRPr="00EA59C0">
        <w:t xml:space="preserve"> </w:t>
      </w:r>
      <w:r w:rsidRPr="00EA59C0">
        <w:t>by</w:t>
      </w:r>
      <w:r w:rsidR="00C026A6" w:rsidRPr="00EA59C0">
        <w:t xml:space="preserve"> </w:t>
      </w:r>
      <w:r w:rsidRPr="00EA59C0">
        <w:t>the</w:t>
      </w:r>
      <w:r w:rsidR="00C026A6" w:rsidRPr="00EA59C0">
        <w:t xml:space="preserve"> </w:t>
      </w:r>
      <w:r w:rsidRPr="00EA59C0">
        <w:t>applicant.</w:t>
      </w:r>
    </w:p>
    <w:p w:rsidR="003D62DE" w:rsidRPr="00EA59C0" w:rsidRDefault="003D62DE" w:rsidP="00FA0E98">
      <w:pPr>
        <w:widowControl w:val="0"/>
        <w:ind w:left="720"/>
      </w:pPr>
    </w:p>
    <w:p w:rsidR="00532A29" w:rsidRPr="00EA59C0" w:rsidRDefault="00532A29" w:rsidP="00080097">
      <w:pPr>
        <w:pStyle w:val="Heading2"/>
        <w:numPr>
          <w:ilvl w:val="1"/>
          <w:numId w:val="17"/>
        </w:numPr>
        <w:rPr>
          <w:rFonts w:ascii="Times New Roman" w:hAnsi="Times New Roman"/>
          <w:b w:val="0"/>
          <w:i w:val="0"/>
        </w:rPr>
      </w:pPr>
      <w:r w:rsidRPr="00EA59C0">
        <w:rPr>
          <w:rFonts w:ascii="Times New Roman" w:hAnsi="Times New Roman"/>
          <w:b w:val="0"/>
          <w:i w:val="0"/>
        </w:rPr>
        <w:t>Program</w:t>
      </w:r>
      <w:r w:rsidR="00C026A6" w:rsidRPr="00EA59C0">
        <w:rPr>
          <w:rFonts w:ascii="Times New Roman" w:hAnsi="Times New Roman"/>
          <w:b w:val="0"/>
          <w:i w:val="0"/>
        </w:rPr>
        <w:t xml:space="preserve"> </w:t>
      </w:r>
      <w:r w:rsidRPr="00EA59C0">
        <w:rPr>
          <w:rFonts w:ascii="Times New Roman" w:hAnsi="Times New Roman"/>
          <w:b w:val="0"/>
          <w:i w:val="0"/>
        </w:rPr>
        <w:t>Evaluation</w:t>
      </w:r>
      <w:r w:rsidR="00C026A6" w:rsidRPr="00EA59C0">
        <w:rPr>
          <w:rFonts w:ascii="Times New Roman" w:hAnsi="Times New Roman"/>
          <w:b w:val="0"/>
          <w:i w:val="0"/>
        </w:rPr>
        <w:t xml:space="preserve"> </w:t>
      </w:r>
      <w:r w:rsidRPr="00EA59C0">
        <w:rPr>
          <w:rFonts w:ascii="Times New Roman" w:hAnsi="Times New Roman"/>
          <w:b w:val="0"/>
          <w:i w:val="0"/>
        </w:rPr>
        <w:t>Component</w:t>
      </w:r>
    </w:p>
    <w:p w:rsidR="00532A29" w:rsidRPr="00EA59C0" w:rsidRDefault="00C026A6" w:rsidP="00080097">
      <w:pPr>
        <w:pStyle w:val="Default"/>
        <w:ind w:left="720"/>
        <w:rPr>
          <w:color w:val="auto"/>
        </w:rPr>
      </w:pPr>
      <w:r w:rsidRPr="00EA59C0">
        <w:rPr>
          <w:i/>
          <w:iCs/>
          <w:color w:val="auto"/>
        </w:rPr>
        <w:t xml:space="preserve"> </w:t>
      </w:r>
      <w:r w:rsidR="00532A29" w:rsidRPr="00EA59C0">
        <w:rPr>
          <w:color w:val="auto"/>
        </w:rPr>
        <w:t>All</w:t>
      </w:r>
      <w:r w:rsidRPr="00EA59C0">
        <w:rPr>
          <w:color w:val="auto"/>
        </w:rPr>
        <w:t xml:space="preserve"> </w:t>
      </w:r>
      <w:r w:rsidR="00532A29" w:rsidRPr="00EA59C0">
        <w:rPr>
          <w:color w:val="auto"/>
        </w:rPr>
        <w:t>applicants</w:t>
      </w:r>
      <w:r w:rsidRPr="00EA59C0">
        <w:rPr>
          <w:color w:val="auto"/>
        </w:rPr>
        <w:t xml:space="preserve"> </w:t>
      </w:r>
      <w:r w:rsidR="00532A29" w:rsidRPr="00EA59C0">
        <w:rPr>
          <w:color w:val="auto"/>
        </w:rPr>
        <w:t>are</w:t>
      </w:r>
      <w:r w:rsidRPr="00EA59C0">
        <w:rPr>
          <w:color w:val="auto"/>
        </w:rPr>
        <w:t xml:space="preserve"> </w:t>
      </w:r>
      <w:r w:rsidR="00532A29" w:rsidRPr="00EA59C0">
        <w:rPr>
          <w:color w:val="auto"/>
        </w:rPr>
        <w:t>required</w:t>
      </w:r>
      <w:r w:rsidRPr="00EA59C0">
        <w:rPr>
          <w:color w:val="auto"/>
        </w:rPr>
        <w:t xml:space="preserve"> </w:t>
      </w:r>
      <w:r w:rsidR="00532A29" w:rsidRPr="00EA59C0">
        <w:rPr>
          <w:color w:val="auto"/>
        </w:rPr>
        <w:t>to</w:t>
      </w:r>
      <w:r w:rsidRPr="00EA59C0">
        <w:rPr>
          <w:color w:val="auto"/>
        </w:rPr>
        <w:t xml:space="preserve"> </w:t>
      </w:r>
      <w:r w:rsidR="00532A29" w:rsidRPr="00EA59C0">
        <w:rPr>
          <w:color w:val="auto"/>
        </w:rPr>
        <w:t>procure</w:t>
      </w:r>
      <w:r w:rsidRPr="00EA59C0">
        <w:rPr>
          <w:color w:val="auto"/>
        </w:rPr>
        <w:t xml:space="preserve"> </w:t>
      </w:r>
      <w:r w:rsidR="00532A29" w:rsidRPr="00EA59C0">
        <w:rPr>
          <w:color w:val="auto"/>
        </w:rPr>
        <w:t>a</w:t>
      </w:r>
      <w:r w:rsidRPr="00EA59C0">
        <w:rPr>
          <w:color w:val="auto"/>
        </w:rPr>
        <w:t xml:space="preserve"> </w:t>
      </w:r>
      <w:r w:rsidR="00532A29" w:rsidRPr="00EA59C0">
        <w:rPr>
          <w:color w:val="auto"/>
        </w:rPr>
        <w:t>third-party</w:t>
      </w:r>
      <w:r w:rsidRPr="00EA59C0">
        <w:rPr>
          <w:color w:val="auto"/>
        </w:rPr>
        <w:t xml:space="preserve"> </w:t>
      </w:r>
      <w:r w:rsidR="00532A29" w:rsidRPr="00EA59C0">
        <w:rPr>
          <w:color w:val="auto"/>
        </w:rPr>
        <w:t>evaluator</w:t>
      </w:r>
      <w:r w:rsidRPr="00EA59C0">
        <w:rPr>
          <w:color w:val="auto"/>
        </w:rPr>
        <w:t xml:space="preserve"> </w:t>
      </w:r>
      <w:r w:rsidR="00532A29" w:rsidRPr="00EA59C0">
        <w:rPr>
          <w:color w:val="auto"/>
        </w:rPr>
        <w:t>who</w:t>
      </w:r>
      <w:r w:rsidRPr="00EA59C0">
        <w:rPr>
          <w:color w:val="auto"/>
        </w:rPr>
        <w:t xml:space="preserve"> </w:t>
      </w:r>
      <w:r w:rsidR="00532A29" w:rsidRPr="00EA59C0">
        <w:rPr>
          <w:color w:val="auto"/>
        </w:rPr>
        <w:t>will</w:t>
      </w:r>
      <w:r w:rsidRPr="00EA59C0">
        <w:rPr>
          <w:color w:val="auto"/>
        </w:rPr>
        <w:t xml:space="preserve"> </w:t>
      </w:r>
      <w:r w:rsidR="00532A29" w:rsidRPr="00EA59C0">
        <w:rPr>
          <w:color w:val="auto"/>
        </w:rPr>
        <w:t>design</w:t>
      </w:r>
      <w:r w:rsidRPr="00EA59C0">
        <w:rPr>
          <w:color w:val="auto"/>
        </w:rPr>
        <w:t xml:space="preserve"> </w:t>
      </w:r>
      <w:r w:rsidR="00532A29" w:rsidRPr="00EA59C0">
        <w:rPr>
          <w:color w:val="auto"/>
        </w:rPr>
        <w:t>and</w:t>
      </w:r>
      <w:r w:rsidRPr="00EA59C0">
        <w:rPr>
          <w:color w:val="auto"/>
        </w:rPr>
        <w:t xml:space="preserve"> </w:t>
      </w:r>
      <w:r w:rsidR="00532A29" w:rsidRPr="00EA59C0">
        <w:rPr>
          <w:color w:val="auto"/>
        </w:rPr>
        <w:t>implement</w:t>
      </w:r>
      <w:r w:rsidRPr="00EA59C0">
        <w:rPr>
          <w:color w:val="auto"/>
        </w:rPr>
        <w:t xml:space="preserve"> </w:t>
      </w:r>
      <w:r w:rsidR="00532A29" w:rsidRPr="00EA59C0">
        <w:rPr>
          <w:color w:val="auto"/>
        </w:rPr>
        <w:t>an</w:t>
      </w:r>
      <w:r w:rsidRPr="00EA59C0">
        <w:rPr>
          <w:color w:val="auto"/>
        </w:rPr>
        <w:t xml:space="preserve"> </w:t>
      </w:r>
      <w:r w:rsidR="00532A29" w:rsidRPr="00EA59C0">
        <w:rPr>
          <w:color w:val="auto"/>
        </w:rPr>
        <w:t>independent</w:t>
      </w:r>
      <w:r w:rsidRPr="00EA59C0">
        <w:rPr>
          <w:color w:val="auto"/>
        </w:rPr>
        <w:t xml:space="preserve"> </w:t>
      </w:r>
      <w:r w:rsidR="00532A29" w:rsidRPr="00EA59C0">
        <w:rPr>
          <w:color w:val="auto"/>
        </w:rPr>
        <w:t>evaluation</w:t>
      </w:r>
      <w:r w:rsidRPr="00EA59C0">
        <w:rPr>
          <w:color w:val="auto"/>
        </w:rPr>
        <w:t xml:space="preserve"> </w:t>
      </w:r>
      <w:r w:rsidR="00532A29" w:rsidRPr="00EA59C0">
        <w:rPr>
          <w:color w:val="auto"/>
        </w:rPr>
        <w:t>of</w:t>
      </w:r>
      <w:r w:rsidRPr="00EA59C0">
        <w:rPr>
          <w:color w:val="auto"/>
        </w:rPr>
        <w:t xml:space="preserve"> </w:t>
      </w:r>
      <w:r w:rsidR="00532A29" w:rsidRPr="00EA59C0">
        <w:rPr>
          <w:color w:val="auto"/>
        </w:rPr>
        <w:t>grant-funded</w:t>
      </w:r>
      <w:r w:rsidRPr="00EA59C0">
        <w:rPr>
          <w:color w:val="auto"/>
        </w:rPr>
        <w:t xml:space="preserve"> </w:t>
      </w:r>
      <w:r w:rsidR="00532A29" w:rsidRPr="00EA59C0">
        <w:rPr>
          <w:color w:val="auto"/>
        </w:rPr>
        <w:t>projects.</w:t>
      </w:r>
      <w:r w:rsidRPr="00EA59C0">
        <w:rPr>
          <w:color w:val="auto"/>
        </w:rPr>
        <w:t xml:space="preserve">  </w:t>
      </w:r>
      <w:r w:rsidR="00532A29" w:rsidRPr="00EA59C0">
        <w:rPr>
          <w:color w:val="auto"/>
        </w:rPr>
        <w:t>For</w:t>
      </w:r>
      <w:r w:rsidRPr="00EA59C0">
        <w:rPr>
          <w:color w:val="auto"/>
        </w:rPr>
        <w:t xml:space="preserve"> </w:t>
      </w:r>
      <w:r w:rsidR="00532A29" w:rsidRPr="00EA59C0">
        <w:rPr>
          <w:color w:val="auto"/>
        </w:rPr>
        <w:t>consortium</w:t>
      </w:r>
      <w:r w:rsidRPr="00EA59C0">
        <w:rPr>
          <w:color w:val="auto"/>
        </w:rPr>
        <w:t xml:space="preserve"> </w:t>
      </w:r>
      <w:r w:rsidR="00532A29" w:rsidRPr="00EA59C0">
        <w:rPr>
          <w:color w:val="auto"/>
        </w:rPr>
        <w:t>applicants,</w:t>
      </w:r>
      <w:r w:rsidRPr="00EA59C0">
        <w:rPr>
          <w:color w:val="auto"/>
        </w:rPr>
        <w:t xml:space="preserve"> </w:t>
      </w:r>
      <w:r w:rsidR="00532A29" w:rsidRPr="00EA59C0">
        <w:rPr>
          <w:color w:val="auto"/>
        </w:rPr>
        <w:t>there</w:t>
      </w:r>
      <w:r w:rsidRPr="00EA59C0">
        <w:rPr>
          <w:color w:val="auto"/>
        </w:rPr>
        <w:t xml:space="preserve"> </w:t>
      </w:r>
      <w:r w:rsidR="00532A29" w:rsidRPr="00EA59C0">
        <w:rPr>
          <w:color w:val="auto"/>
        </w:rPr>
        <w:t>should</w:t>
      </w:r>
      <w:r w:rsidRPr="00EA59C0">
        <w:rPr>
          <w:color w:val="auto"/>
        </w:rPr>
        <w:t xml:space="preserve"> </w:t>
      </w:r>
      <w:r w:rsidR="00532A29" w:rsidRPr="00EA59C0">
        <w:rPr>
          <w:color w:val="auto"/>
        </w:rPr>
        <w:t>be</w:t>
      </w:r>
      <w:r w:rsidRPr="00EA59C0">
        <w:rPr>
          <w:color w:val="auto"/>
        </w:rPr>
        <w:t xml:space="preserve"> </w:t>
      </w:r>
      <w:r w:rsidR="00532A29" w:rsidRPr="00EA59C0">
        <w:rPr>
          <w:color w:val="auto"/>
        </w:rPr>
        <w:t>a</w:t>
      </w:r>
      <w:r w:rsidRPr="00EA59C0">
        <w:rPr>
          <w:color w:val="auto"/>
        </w:rPr>
        <w:t xml:space="preserve"> </w:t>
      </w:r>
      <w:r w:rsidR="00532A29" w:rsidRPr="00EA59C0">
        <w:rPr>
          <w:color w:val="auto"/>
        </w:rPr>
        <w:t>single</w:t>
      </w:r>
      <w:r w:rsidRPr="00EA59C0">
        <w:rPr>
          <w:color w:val="auto"/>
        </w:rPr>
        <w:t xml:space="preserve"> </w:t>
      </w:r>
      <w:r w:rsidR="00532A29" w:rsidRPr="00EA59C0">
        <w:rPr>
          <w:color w:val="auto"/>
        </w:rPr>
        <w:t>project</w:t>
      </w:r>
      <w:r w:rsidRPr="00EA59C0">
        <w:rPr>
          <w:color w:val="auto"/>
        </w:rPr>
        <w:t xml:space="preserve"> </w:t>
      </w:r>
      <w:r w:rsidR="00532A29" w:rsidRPr="00EA59C0">
        <w:rPr>
          <w:color w:val="auto"/>
        </w:rPr>
        <w:t>evaluation</w:t>
      </w:r>
      <w:r w:rsidRPr="00EA59C0">
        <w:rPr>
          <w:color w:val="auto"/>
        </w:rPr>
        <w:t xml:space="preserve"> </w:t>
      </w:r>
      <w:r w:rsidR="00532A29" w:rsidRPr="00EA59C0">
        <w:rPr>
          <w:color w:val="auto"/>
        </w:rPr>
        <w:t>of</w:t>
      </w:r>
      <w:r w:rsidRPr="00EA59C0">
        <w:rPr>
          <w:color w:val="auto"/>
        </w:rPr>
        <w:t xml:space="preserve"> </w:t>
      </w:r>
      <w:r w:rsidR="00532A29" w:rsidRPr="00EA59C0">
        <w:rPr>
          <w:color w:val="auto"/>
        </w:rPr>
        <w:t>the</w:t>
      </w:r>
      <w:r w:rsidRPr="00EA59C0">
        <w:rPr>
          <w:color w:val="auto"/>
        </w:rPr>
        <w:t xml:space="preserve"> </w:t>
      </w:r>
      <w:r w:rsidR="00532A29" w:rsidRPr="00EA59C0">
        <w:rPr>
          <w:color w:val="auto"/>
        </w:rPr>
        <w:t>project.</w:t>
      </w:r>
      <w:r w:rsidRPr="00EA59C0">
        <w:rPr>
          <w:color w:val="auto"/>
        </w:rPr>
        <w:t xml:space="preserve">  </w:t>
      </w:r>
      <w:r w:rsidR="00532A29" w:rsidRPr="00EA59C0">
        <w:rPr>
          <w:color w:val="auto"/>
        </w:rPr>
        <w:t>Regardless</w:t>
      </w:r>
      <w:r w:rsidRPr="00EA59C0">
        <w:rPr>
          <w:color w:val="auto"/>
        </w:rPr>
        <w:t xml:space="preserve"> </w:t>
      </w:r>
      <w:r w:rsidR="00532A29" w:rsidRPr="00EA59C0">
        <w:rPr>
          <w:color w:val="auto"/>
        </w:rPr>
        <w:t>of</w:t>
      </w:r>
      <w:r w:rsidRPr="00EA59C0">
        <w:rPr>
          <w:color w:val="auto"/>
        </w:rPr>
        <w:t xml:space="preserve"> </w:t>
      </w:r>
      <w:r w:rsidR="00532A29" w:rsidRPr="00EA59C0">
        <w:rPr>
          <w:color w:val="auto"/>
        </w:rPr>
        <w:t>the</w:t>
      </w:r>
      <w:r w:rsidRPr="00EA59C0">
        <w:rPr>
          <w:color w:val="auto"/>
        </w:rPr>
        <w:t xml:space="preserve"> </w:t>
      </w:r>
      <w:r w:rsidR="00532A29" w:rsidRPr="00EA59C0">
        <w:rPr>
          <w:color w:val="auto"/>
        </w:rPr>
        <w:t>design</w:t>
      </w:r>
      <w:r w:rsidRPr="00EA59C0">
        <w:rPr>
          <w:color w:val="auto"/>
        </w:rPr>
        <w:t xml:space="preserve"> </w:t>
      </w:r>
      <w:r w:rsidR="00532A29" w:rsidRPr="00EA59C0">
        <w:rPr>
          <w:color w:val="auto"/>
        </w:rPr>
        <w:t>proposed,</w:t>
      </w:r>
      <w:r w:rsidRPr="00EA59C0">
        <w:rPr>
          <w:color w:val="auto"/>
        </w:rPr>
        <w:t xml:space="preserve"> </w:t>
      </w:r>
      <w:r w:rsidR="00532A29" w:rsidRPr="00EA59C0">
        <w:rPr>
          <w:color w:val="auto"/>
        </w:rPr>
        <w:t>all</w:t>
      </w:r>
      <w:r w:rsidRPr="00EA59C0">
        <w:rPr>
          <w:color w:val="auto"/>
        </w:rPr>
        <w:t xml:space="preserve"> </w:t>
      </w:r>
      <w:r w:rsidR="00532A29" w:rsidRPr="00EA59C0">
        <w:rPr>
          <w:color w:val="auto"/>
        </w:rPr>
        <w:t>evaluations</w:t>
      </w:r>
      <w:r w:rsidRPr="00EA59C0">
        <w:rPr>
          <w:color w:val="auto"/>
        </w:rPr>
        <w:t xml:space="preserve"> </w:t>
      </w:r>
      <w:r w:rsidR="00532A29" w:rsidRPr="00EA59C0">
        <w:rPr>
          <w:color w:val="auto"/>
        </w:rPr>
        <w:t>must</w:t>
      </w:r>
      <w:r w:rsidRPr="00EA59C0">
        <w:rPr>
          <w:color w:val="auto"/>
        </w:rPr>
        <w:t xml:space="preserve"> </w:t>
      </w:r>
      <w:r w:rsidR="00532A29" w:rsidRPr="00EA59C0">
        <w:rPr>
          <w:color w:val="auto"/>
        </w:rPr>
        <w:t>include</w:t>
      </w:r>
      <w:r w:rsidRPr="00EA59C0">
        <w:rPr>
          <w:color w:val="auto"/>
        </w:rPr>
        <w:t xml:space="preserve"> </w:t>
      </w:r>
      <w:r w:rsidR="00532A29" w:rsidRPr="00EA59C0">
        <w:rPr>
          <w:color w:val="auto"/>
        </w:rPr>
        <w:t>two</w:t>
      </w:r>
      <w:r w:rsidRPr="00EA59C0">
        <w:rPr>
          <w:color w:val="auto"/>
        </w:rPr>
        <w:t xml:space="preserve"> </w:t>
      </w:r>
      <w:r w:rsidR="00532A29" w:rsidRPr="00EA59C0">
        <w:rPr>
          <w:color w:val="auto"/>
        </w:rPr>
        <w:t>components:</w:t>
      </w:r>
      <w:r w:rsidRPr="00EA59C0">
        <w:rPr>
          <w:color w:val="auto"/>
        </w:rPr>
        <w:t xml:space="preserve">  </w:t>
      </w:r>
      <w:r w:rsidR="00532A29" w:rsidRPr="00EA59C0">
        <w:rPr>
          <w:color w:val="auto"/>
        </w:rPr>
        <w:t>1)</w:t>
      </w:r>
      <w:r w:rsidRPr="00EA59C0">
        <w:rPr>
          <w:color w:val="auto"/>
        </w:rPr>
        <w:t xml:space="preserve"> </w:t>
      </w:r>
      <w:r w:rsidR="00532A29" w:rsidRPr="00EA59C0">
        <w:rPr>
          <w:color w:val="auto"/>
        </w:rPr>
        <w:t>impact</w:t>
      </w:r>
      <w:r w:rsidRPr="00EA59C0">
        <w:rPr>
          <w:color w:val="auto"/>
        </w:rPr>
        <w:t xml:space="preserve"> </w:t>
      </w:r>
      <w:r w:rsidR="00532A29" w:rsidRPr="00EA59C0">
        <w:rPr>
          <w:color w:val="auto"/>
        </w:rPr>
        <w:t>or</w:t>
      </w:r>
      <w:r w:rsidRPr="00EA59C0">
        <w:rPr>
          <w:color w:val="auto"/>
        </w:rPr>
        <w:t xml:space="preserve"> </w:t>
      </w:r>
      <w:r w:rsidR="00532A29" w:rsidRPr="00EA59C0">
        <w:rPr>
          <w:color w:val="auto"/>
        </w:rPr>
        <w:t>outcomes</w:t>
      </w:r>
      <w:r w:rsidRPr="00EA59C0">
        <w:rPr>
          <w:color w:val="auto"/>
        </w:rPr>
        <w:t xml:space="preserve"> </w:t>
      </w:r>
      <w:r w:rsidR="00532A29" w:rsidRPr="00EA59C0">
        <w:rPr>
          <w:color w:val="auto"/>
        </w:rPr>
        <w:t>analysis</w:t>
      </w:r>
      <w:r w:rsidRPr="00EA59C0">
        <w:rPr>
          <w:color w:val="auto"/>
        </w:rPr>
        <w:t xml:space="preserve"> </w:t>
      </w:r>
      <w:r w:rsidR="00532A29" w:rsidRPr="00EA59C0">
        <w:rPr>
          <w:color w:val="auto"/>
        </w:rPr>
        <w:t>of</w:t>
      </w:r>
      <w:r w:rsidRPr="00EA59C0">
        <w:rPr>
          <w:color w:val="auto"/>
        </w:rPr>
        <w:t xml:space="preserve"> </w:t>
      </w:r>
      <w:r w:rsidR="00532A29" w:rsidRPr="00EA59C0">
        <w:rPr>
          <w:color w:val="auto"/>
        </w:rPr>
        <w:t>participants</w:t>
      </w:r>
      <w:r w:rsidRPr="00EA59C0">
        <w:rPr>
          <w:color w:val="auto"/>
        </w:rPr>
        <w:t xml:space="preserve"> </w:t>
      </w:r>
      <w:r w:rsidR="00532A29" w:rsidRPr="00EA59C0">
        <w:rPr>
          <w:color w:val="auto"/>
        </w:rPr>
        <w:t>in</w:t>
      </w:r>
      <w:r w:rsidRPr="00EA59C0">
        <w:rPr>
          <w:color w:val="auto"/>
        </w:rPr>
        <w:t xml:space="preserve"> </w:t>
      </w:r>
      <w:r w:rsidR="00532A29" w:rsidRPr="00EA59C0">
        <w:rPr>
          <w:color w:val="auto"/>
        </w:rPr>
        <w:t>grant-funded</w:t>
      </w:r>
      <w:r w:rsidRPr="00EA59C0">
        <w:rPr>
          <w:color w:val="auto"/>
        </w:rPr>
        <w:t xml:space="preserve"> </w:t>
      </w:r>
      <w:r w:rsidR="00532A29" w:rsidRPr="00EA59C0">
        <w:rPr>
          <w:color w:val="auto"/>
        </w:rPr>
        <w:t>programs</w:t>
      </w:r>
      <w:r w:rsidRPr="00EA59C0">
        <w:rPr>
          <w:color w:val="auto"/>
        </w:rPr>
        <w:t xml:space="preserve"> </w:t>
      </w:r>
      <w:r w:rsidR="00532A29" w:rsidRPr="00EA59C0">
        <w:rPr>
          <w:color w:val="auto"/>
        </w:rPr>
        <w:t>or</w:t>
      </w:r>
      <w:r w:rsidRPr="00EA59C0">
        <w:rPr>
          <w:color w:val="auto"/>
        </w:rPr>
        <w:t xml:space="preserve"> </w:t>
      </w:r>
      <w:r w:rsidR="00532A29" w:rsidRPr="00EA59C0">
        <w:rPr>
          <w:color w:val="auto"/>
        </w:rPr>
        <w:t>activities,</w:t>
      </w:r>
      <w:r w:rsidRPr="00EA59C0">
        <w:rPr>
          <w:color w:val="auto"/>
        </w:rPr>
        <w:t xml:space="preserve"> </w:t>
      </w:r>
      <w:r w:rsidR="00532A29" w:rsidRPr="00EA59C0">
        <w:rPr>
          <w:color w:val="auto"/>
        </w:rPr>
        <w:t>and</w:t>
      </w:r>
      <w:r w:rsidRPr="00EA59C0">
        <w:rPr>
          <w:color w:val="auto"/>
        </w:rPr>
        <w:t xml:space="preserve"> </w:t>
      </w:r>
      <w:r w:rsidR="00532A29" w:rsidRPr="00EA59C0">
        <w:rPr>
          <w:color w:val="auto"/>
        </w:rPr>
        <w:t>2)</w:t>
      </w:r>
      <w:r w:rsidRPr="00EA59C0">
        <w:rPr>
          <w:color w:val="auto"/>
        </w:rPr>
        <w:t xml:space="preserve"> </w:t>
      </w:r>
      <w:r w:rsidR="00532A29" w:rsidRPr="00EA59C0">
        <w:rPr>
          <w:color w:val="auto"/>
        </w:rPr>
        <w:t>implementation</w:t>
      </w:r>
      <w:r w:rsidRPr="00EA59C0">
        <w:rPr>
          <w:color w:val="auto"/>
        </w:rPr>
        <w:t xml:space="preserve"> </w:t>
      </w:r>
      <w:r w:rsidR="00532A29" w:rsidRPr="00EA59C0">
        <w:rPr>
          <w:color w:val="auto"/>
        </w:rPr>
        <w:t>analysis.</w:t>
      </w:r>
      <w:r w:rsidRPr="00EA59C0">
        <w:rPr>
          <w:color w:val="auto"/>
        </w:rPr>
        <w:t xml:space="preserve">  </w:t>
      </w:r>
      <w:r w:rsidR="00532A29" w:rsidRPr="00EA59C0">
        <w:rPr>
          <w:color w:val="auto"/>
        </w:rPr>
        <w:t>Grant</w:t>
      </w:r>
      <w:r w:rsidRPr="00EA59C0">
        <w:rPr>
          <w:color w:val="auto"/>
        </w:rPr>
        <w:t xml:space="preserve"> </w:t>
      </w:r>
      <w:r w:rsidR="00532A29" w:rsidRPr="00EA59C0">
        <w:rPr>
          <w:color w:val="auto"/>
        </w:rPr>
        <w:t>funds</w:t>
      </w:r>
      <w:r w:rsidRPr="00EA59C0">
        <w:rPr>
          <w:color w:val="auto"/>
        </w:rPr>
        <w:t xml:space="preserve"> </w:t>
      </w:r>
      <w:r w:rsidR="00532A29" w:rsidRPr="00EA59C0">
        <w:rPr>
          <w:color w:val="auto"/>
        </w:rPr>
        <w:t>may</w:t>
      </w:r>
      <w:r w:rsidRPr="00EA59C0">
        <w:rPr>
          <w:color w:val="auto"/>
        </w:rPr>
        <w:t xml:space="preserve"> </w:t>
      </w:r>
      <w:r w:rsidR="00532A29" w:rsidRPr="00EA59C0">
        <w:rPr>
          <w:color w:val="auto"/>
        </w:rPr>
        <w:t>be</w:t>
      </w:r>
      <w:r w:rsidRPr="00EA59C0">
        <w:rPr>
          <w:color w:val="auto"/>
        </w:rPr>
        <w:t xml:space="preserve"> </w:t>
      </w:r>
      <w:r w:rsidR="00532A29" w:rsidRPr="00EA59C0">
        <w:rPr>
          <w:color w:val="auto"/>
        </w:rPr>
        <w:t>used</w:t>
      </w:r>
      <w:r w:rsidRPr="00EA59C0">
        <w:rPr>
          <w:color w:val="auto"/>
        </w:rPr>
        <w:t xml:space="preserve"> </w:t>
      </w:r>
      <w:r w:rsidR="00532A29" w:rsidRPr="00EA59C0">
        <w:rPr>
          <w:color w:val="auto"/>
        </w:rPr>
        <w:t>to</w:t>
      </w:r>
      <w:r w:rsidRPr="00EA59C0">
        <w:rPr>
          <w:color w:val="auto"/>
        </w:rPr>
        <w:t xml:space="preserve"> </w:t>
      </w:r>
      <w:r w:rsidR="00532A29" w:rsidRPr="00EA59C0">
        <w:rPr>
          <w:color w:val="auto"/>
        </w:rPr>
        <w:t>pay</w:t>
      </w:r>
      <w:r w:rsidRPr="00EA59C0">
        <w:rPr>
          <w:color w:val="auto"/>
        </w:rPr>
        <w:t xml:space="preserve"> </w:t>
      </w:r>
      <w:r w:rsidR="00532A29" w:rsidRPr="00EA59C0">
        <w:rPr>
          <w:color w:val="auto"/>
        </w:rPr>
        <w:t>for</w:t>
      </w:r>
      <w:r w:rsidRPr="00EA59C0">
        <w:rPr>
          <w:color w:val="auto"/>
        </w:rPr>
        <w:t xml:space="preserve"> </w:t>
      </w:r>
      <w:r w:rsidR="00532A29" w:rsidRPr="00EA59C0">
        <w:rPr>
          <w:color w:val="auto"/>
        </w:rPr>
        <w:t>the</w:t>
      </w:r>
      <w:r w:rsidRPr="00EA59C0">
        <w:rPr>
          <w:color w:val="auto"/>
        </w:rPr>
        <w:t xml:space="preserve"> </w:t>
      </w:r>
      <w:r w:rsidR="00532A29" w:rsidRPr="00EA59C0">
        <w:rPr>
          <w:color w:val="auto"/>
        </w:rPr>
        <w:t>evaluation.</w:t>
      </w:r>
      <w:r w:rsidRPr="00EA59C0">
        <w:rPr>
          <w:color w:val="auto"/>
        </w:rPr>
        <w:t xml:space="preserve">  </w:t>
      </w:r>
      <w:r w:rsidR="00532A29" w:rsidRPr="00EA59C0">
        <w:rPr>
          <w:color w:val="auto"/>
        </w:rPr>
        <w:t>Applicants</w:t>
      </w:r>
      <w:r w:rsidRPr="00EA59C0">
        <w:rPr>
          <w:color w:val="auto"/>
        </w:rPr>
        <w:t xml:space="preserve"> </w:t>
      </w:r>
      <w:r w:rsidR="00532A29" w:rsidRPr="00EA59C0">
        <w:rPr>
          <w:color w:val="auto"/>
        </w:rPr>
        <w:t>must</w:t>
      </w:r>
      <w:r w:rsidRPr="00EA59C0">
        <w:rPr>
          <w:color w:val="auto"/>
        </w:rPr>
        <w:t xml:space="preserve"> </w:t>
      </w:r>
      <w:r w:rsidR="00532A29" w:rsidRPr="00EA59C0">
        <w:rPr>
          <w:color w:val="auto"/>
        </w:rPr>
        <w:t>submit</w:t>
      </w:r>
      <w:r w:rsidRPr="00EA59C0">
        <w:rPr>
          <w:color w:val="auto"/>
        </w:rPr>
        <w:t xml:space="preserve"> </w:t>
      </w:r>
      <w:r w:rsidR="00532A29" w:rsidRPr="00EA59C0">
        <w:rPr>
          <w:color w:val="auto"/>
        </w:rPr>
        <w:t>a</w:t>
      </w:r>
      <w:r w:rsidRPr="00EA59C0">
        <w:rPr>
          <w:color w:val="auto"/>
        </w:rPr>
        <w:t xml:space="preserve"> </w:t>
      </w:r>
      <w:r w:rsidR="00532A29" w:rsidRPr="00EA59C0">
        <w:rPr>
          <w:color w:val="auto"/>
        </w:rPr>
        <w:t>Summary</w:t>
      </w:r>
      <w:r w:rsidRPr="00EA59C0">
        <w:rPr>
          <w:color w:val="auto"/>
        </w:rPr>
        <w:t xml:space="preserve"> </w:t>
      </w:r>
      <w:r w:rsidR="00532A29" w:rsidRPr="00EA59C0">
        <w:rPr>
          <w:color w:val="auto"/>
        </w:rPr>
        <w:t>Evaluation</w:t>
      </w:r>
      <w:r w:rsidRPr="00EA59C0">
        <w:rPr>
          <w:color w:val="auto"/>
        </w:rPr>
        <w:t xml:space="preserve"> </w:t>
      </w:r>
      <w:r w:rsidR="00532A29" w:rsidRPr="00EA59C0">
        <w:rPr>
          <w:color w:val="auto"/>
        </w:rPr>
        <w:t>Plan</w:t>
      </w:r>
      <w:r w:rsidRPr="00EA59C0">
        <w:rPr>
          <w:color w:val="auto"/>
        </w:rPr>
        <w:t xml:space="preserve"> </w:t>
      </w:r>
      <w:r w:rsidR="00532A29" w:rsidRPr="00EA59C0">
        <w:rPr>
          <w:color w:val="auto"/>
        </w:rPr>
        <w:t>describing</w:t>
      </w:r>
      <w:r w:rsidRPr="00EA59C0">
        <w:rPr>
          <w:color w:val="auto"/>
        </w:rPr>
        <w:t xml:space="preserve"> </w:t>
      </w:r>
      <w:r w:rsidR="00532A29" w:rsidRPr="00EA59C0">
        <w:rPr>
          <w:color w:val="auto"/>
        </w:rPr>
        <w:t>their</w:t>
      </w:r>
      <w:r w:rsidRPr="00EA59C0">
        <w:rPr>
          <w:color w:val="auto"/>
        </w:rPr>
        <w:t xml:space="preserve"> </w:t>
      </w:r>
      <w:r w:rsidR="00532A29" w:rsidRPr="00EA59C0">
        <w:rPr>
          <w:color w:val="auto"/>
        </w:rPr>
        <w:t>proposed</w:t>
      </w:r>
      <w:r w:rsidRPr="00EA59C0">
        <w:rPr>
          <w:color w:val="auto"/>
        </w:rPr>
        <w:t xml:space="preserve"> </w:t>
      </w:r>
      <w:r w:rsidR="00532A29" w:rsidRPr="00EA59C0">
        <w:rPr>
          <w:color w:val="auto"/>
        </w:rPr>
        <w:t>evaluation</w:t>
      </w:r>
      <w:r w:rsidRPr="00EA59C0">
        <w:rPr>
          <w:color w:val="auto"/>
        </w:rPr>
        <w:t xml:space="preserve"> </w:t>
      </w:r>
      <w:r w:rsidR="00532A29" w:rsidRPr="00EA59C0">
        <w:rPr>
          <w:color w:val="auto"/>
        </w:rPr>
        <w:t>and</w:t>
      </w:r>
      <w:r w:rsidRPr="00EA59C0">
        <w:rPr>
          <w:color w:val="auto"/>
        </w:rPr>
        <w:t xml:space="preserve"> </w:t>
      </w:r>
      <w:r w:rsidR="00532A29" w:rsidRPr="00EA59C0">
        <w:rPr>
          <w:color w:val="auto"/>
        </w:rPr>
        <w:t>an</w:t>
      </w:r>
      <w:r w:rsidRPr="00EA59C0">
        <w:rPr>
          <w:color w:val="auto"/>
        </w:rPr>
        <w:t xml:space="preserve"> </w:t>
      </w:r>
      <w:r w:rsidR="00532A29" w:rsidRPr="00EA59C0">
        <w:rPr>
          <w:color w:val="auto"/>
        </w:rPr>
        <w:t>Evaluation</w:t>
      </w:r>
      <w:r w:rsidRPr="00EA59C0">
        <w:rPr>
          <w:color w:val="auto"/>
        </w:rPr>
        <w:t xml:space="preserve"> </w:t>
      </w:r>
      <w:r w:rsidR="00532A29" w:rsidRPr="00EA59C0">
        <w:rPr>
          <w:color w:val="auto"/>
        </w:rPr>
        <w:t>Budget</w:t>
      </w:r>
      <w:r w:rsidRPr="00EA59C0">
        <w:rPr>
          <w:color w:val="auto"/>
        </w:rPr>
        <w:t xml:space="preserve"> </w:t>
      </w:r>
      <w:r w:rsidR="00532A29" w:rsidRPr="00EA59C0">
        <w:rPr>
          <w:color w:val="auto"/>
        </w:rPr>
        <w:t>Narrative</w:t>
      </w:r>
      <w:r w:rsidRPr="00EA59C0">
        <w:rPr>
          <w:color w:val="auto"/>
        </w:rPr>
        <w:t xml:space="preserve"> </w:t>
      </w:r>
      <w:r w:rsidR="00532A29" w:rsidRPr="00EA59C0">
        <w:rPr>
          <w:color w:val="auto"/>
        </w:rPr>
        <w:t>as</w:t>
      </w:r>
      <w:r w:rsidRPr="00EA59C0">
        <w:rPr>
          <w:color w:val="auto"/>
        </w:rPr>
        <w:t xml:space="preserve"> </w:t>
      </w:r>
      <w:r w:rsidR="00532A29" w:rsidRPr="00EA59C0">
        <w:rPr>
          <w:color w:val="auto"/>
        </w:rPr>
        <w:t>separate</w:t>
      </w:r>
      <w:r w:rsidRPr="00EA59C0">
        <w:rPr>
          <w:color w:val="auto"/>
        </w:rPr>
        <w:t xml:space="preserve"> </w:t>
      </w:r>
      <w:r w:rsidR="00532A29" w:rsidRPr="00EA59C0">
        <w:rPr>
          <w:color w:val="auto"/>
        </w:rPr>
        <w:t>attachments</w:t>
      </w:r>
      <w:r w:rsidRPr="00EA59C0">
        <w:rPr>
          <w:color w:val="auto"/>
        </w:rPr>
        <w:t xml:space="preserve"> </w:t>
      </w:r>
      <w:r w:rsidR="00532A29" w:rsidRPr="00EA59C0">
        <w:rPr>
          <w:color w:val="auto"/>
        </w:rPr>
        <w:t>to</w:t>
      </w:r>
      <w:r w:rsidRPr="00EA59C0">
        <w:rPr>
          <w:color w:val="auto"/>
        </w:rPr>
        <w:t xml:space="preserve"> </w:t>
      </w:r>
      <w:r w:rsidR="00532A29" w:rsidRPr="00EA59C0">
        <w:rPr>
          <w:color w:val="auto"/>
        </w:rPr>
        <w:t>the</w:t>
      </w:r>
      <w:r w:rsidRPr="00EA59C0">
        <w:rPr>
          <w:color w:val="auto"/>
        </w:rPr>
        <w:t xml:space="preserve"> </w:t>
      </w:r>
      <w:r w:rsidR="00532A29" w:rsidRPr="00EA59C0">
        <w:rPr>
          <w:color w:val="auto"/>
        </w:rPr>
        <w:t>application,</w:t>
      </w:r>
      <w:r w:rsidRPr="00EA59C0">
        <w:rPr>
          <w:color w:val="auto"/>
        </w:rPr>
        <w:t xml:space="preserve"> </w:t>
      </w:r>
      <w:r w:rsidR="00532A29" w:rsidRPr="00EA59C0">
        <w:rPr>
          <w:color w:val="auto"/>
        </w:rPr>
        <w:t>including</w:t>
      </w:r>
      <w:r w:rsidRPr="00EA59C0">
        <w:rPr>
          <w:color w:val="auto"/>
        </w:rPr>
        <w:t xml:space="preserve"> </w:t>
      </w:r>
      <w:r w:rsidR="00532A29" w:rsidRPr="00EA59C0">
        <w:rPr>
          <w:color w:val="auto"/>
        </w:rPr>
        <w:t>all</w:t>
      </w:r>
      <w:r w:rsidRPr="00EA59C0">
        <w:rPr>
          <w:color w:val="auto"/>
        </w:rPr>
        <w:t xml:space="preserve"> </w:t>
      </w:r>
      <w:r w:rsidR="00532A29" w:rsidRPr="00EA59C0">
        <w:rPr>
          <w:color w:val="auto"/>
        </w:rPr>
        <w:t>items</w:t>
      </w:r>
      <w:r w:rsidRPr="00EA59C0">
        <w:rPr>
          <w:color w:val="auto"/>
        </w:rPr>
        <w:t xml:space="preserve"> </w:t>
      </w:r>
      <w:r w:rsidR="00532A29" w:rsidRPr="00EA59C0">
        <w:rPr>
          <w:color w:val="auto"/>
        </w:rPr>
        <w:t>described</w:t>
      </w:r>
      <w:r w:rsidRPr="00EA59C0">
        <w:rPr>
          <w:color w:val="auto"/>
        </w:rPr>
        <w:t xml:space="preserve"> </w:t>
      </w:r>
      <w:r w:rsidR="00532A29" w:rsidRPr="00EA59C0">
        <w:rPr>
          <w:color w:val="auto"/>
        </w:rPr>
        <w:t>below.</w:t>
      </w:r>
      <w:r w:rsidRPr="00EA59C0">
        <w:rPr>
          <w:color w:val="auto"/>
        </w:rPr>
        <w:t xml:space="preserve">  </w:t>
      </w:r>
      <w:r w:rsidR="00532A29" w:rsidRPr="00EA59C0">
        <w:rPr>
          <w:color w:val="auto"/>
        </w:rPr>
        <w:t>The</w:t>
      </w:r>
      <w:r w:rsidRPr="00EA59C0">
        <w:rPr>
          <w:color w:val="auto"/>
        </w:rPr>
        <w:t xml:space="preserve"> </w:t>
      </w:r>
      <w:r w:rsidR="00532A29" w:rsidRPr="00EA59C0">
        <w:rPr>
          <w:color w:val="auto"/>
        </w:rPr>
        <w:t>Summary</w:t>
      </w:r>
      <w:r w:rsidRPr="00EA59C0">
        <w:rPr>
          <w:color w:val="auto"/>
        </w:rPr>
        <w:t xml:space="preserve"> </w:t>
      </w:r>
      <w:r w:rsidR="00532A29" w:rsidRPr="00EA59C0">
        <w:rPr>
          <w:color w:val="auto"/>
        </w:rPr>
        <w:t>Evaluation</w:t>
      </w:r>
      <w:r w:rsidRPr="00EA59C0">
        <w:rPr>
          <w:color w:val="auto"/>
        </w:rPr>
        <w:t xml:space="preserve"> </w:t>
      </w:r>
      <w:r w:rsidR="00532A29" w:rsidRPr="00EA59C0">
        <w:rPr>
          <w:color w:val="auto"/>
        </w:rPr>
        <w:t>Plan</w:t>
      </w:r>
      <w:r w:rsidRPr="00EA59C0">
        <w:rPr>
          <w:color w:val="auto"/>
        </w:rPr>
        <w:t xml:space="preserve"> </w:t>
      </w:r>
      <w:r w:rsidR="00532A29" w:rsidRPr="00EA59C0">
        <w:rPr>
          <w:color w:val="auto"/>
        </w:rPr>
        <w:t>is</w:t>
      </w:r>
      <w:r w:rsidRPr="00EA59C0">
        <w:rPr>
          <w:color w:val="auto"/>
        </w:rPr>
        <w:t xml:space="preserve"> </w:t>
      </w:r>
      <w:r w:rsidR="00532A29" w:rsidRPr="00EA59C0">
        <w:rPr>
          <w:color w:val="auto"/>
        </w:rPr>
        <w:t>limited</w:t>
      </w:r>
      <w:r w:rsidRPr="00EA59C0">
        <w:rPr>
          <w:color w:val="auto"/>
        </w:rPr>
        <w:t xml:space="preserve"> </w:t>
      </w:r>
      <w:r w:rsidR="00532A29" w:rsidRPr="00EA59C0">
        <w:rPr>
          <w:color w:val="auto"/>
        </w:rPr>
        <w:t>to</w:t>
      </w:r>
      <w:r w:rsidRPr="00EA59C0">
        <w:rPr>
          <w:color w:val="auto"/>
        </w:rPr>
        <w:t xml:space="preserve"> </w:t>
      </w:r>
      <w:r w:rsidR="00532A29" w:rsidRPr="00EA59C0">
        <w:rPr>
          <w:color w:val="auto"/>
        </w:rPr>
        <w:t>5</w:t>
      </w:r>
      <w:r w:rsidRPr="00EA59C0">
        <w:rPr>
          <w:color w:val="auto"/>
        </w:rPr>
        <w:t xml:space="preserve"> </w:t>
      </w:r>
      <w:r w:rsidR="00532A29" w:rsidRPr="00EA59C0">
        <w:rPr>
          <w:color w:val="auto"/>
        </w:rPr>
        <w:t>double-spaced,</w:t>
      </w:r>
      <w:r w:rsidRPr="00EA59C0">
        <w:rPr>
          <w:color w:val="auto"/>
        </w:rPr>
        <w:t xml:space="preserve"> </w:t>
      </w:r>
      <w:r w:rsidR="00532A29" w:rsidRPr="00EA59C0">
        <w:rPr>
          <w:color w:val="auto"/>
        </w:rPr>
        <w:t>single-sided</w:t>
      </w:r>
      <w:r w:rsidRPr="00EA59C0">
        <w:rPr>
          <w:color w:val="auto"/>
        </w:rPr>
        <w:t xml:space="preserve"> </w:t>
      </w:r>
      <w:r w:rsidR="00532A29" w:rsidRPr="00EA59C0">
        <w:rPr>
          <w:color w:val="auto"/>
        </w:rPr>
        <w:t>pages</w:t>
      </w:r>
      <w:r w:rsidRPr="00EA59C0">
        <w:rPr>
          <w:color w:val="auto"/>
        </w:rPr>
        <w:t xml:space="preserve"> </w:t>
      </w:r>
      <w:r w:rsidR="00532A29" w:rsidRPr="00EA59C0">
        <w:rPr>
          <w:color w:val="auto"/>
        </w:rPr>
        <w:t>with</w:t>
      </w:r>
      <w:r w:rsidRPr="00EA59C0">
        <w:rPr>
          <w:color w:val="auto"/>
        </w:rPr>
        <w:t xml:space="preserve"> </w:t>
      </w:r>
      <w:r w:rsidR="00532A29" w:rsidRPr="00EA59C0">
        <w:rPr>
          <w:color w:val="auto"/>
        </w:rPr>
        <w:t>12</w:t>
      </w:r>
      <w:r w:rsidRPr="00EA59C0">
        <w:rPr>
          <w:color w:val="auto"/>
        </w:rPr>
        <w:t xml:space="preserve"> </w:t>
      </w:r>
      <w:r w:rsidR="00532A29" w:rsidRPr="00EA59C0">
        <w:rPr>
          <w:color w:val="auto"/>
        </w:rPr>
        <w:t>point</w:t>
      </w:r>
      <w:r w:rsidRPr="00EA59C0">
        <w:rPr>
          <w:color w:val="auto"/>
        </w:rPr>
        <w:t xml:space="preserve"> </w:t>
      </w:r>
      <w:r w:rsidR="00532A29" w:rsidRPr="00EA59C0">
        <w:rPr>
          <w:color w:val="auto"/>
        </w:rPr>
        <w:t>text</w:t>
      </w:r>
      <w:r w:rsidRPr="00EA59C0">
        <w:rPr>
          <w:color w:val="auto"/>
        </w:rPr>
        <w:t xml:space="preserve"> </w:t>
      </w:r>
      <w:r w:rsidR="00532A29" w:rsidRPr="00EA59C0">
        <w:rPr>
          <w:color w:val="auto"/>
        </w:rPr>
        <w:t>font</w:t>
      </w:r>
      <w:r w:rsidRPr="00EA59C0">
        <w:rPr>
          <w:color w:val="auto"/>
        </w:rPr>
        <w:t xml:space="preserve"> </w:t>
      </w:r>
      <w:r w:rsidR="00532A29" w:rsidRPr="00EA59C0">
        <w:rPr>
          <w:color w:val="auto"/>
        </w:rPr>
        <w:t>and</w:t>
      </w:r>
      <w:r w:rsidRPr="00EA59C0">
        <w:rPr>
          <w:color w:val="auto"/>
        </w:rPr>
        <w:t xml:space="preserve"> </w:t>
      </w:r>
      <w:r w:rsidR="00C8570E" w:rsidRPr="00EA59C0">
        <w:rPr>
          <w:color w:val="auto"/>
        </w:rPr>
        <w:t>1x</w:t>
      </w:r>
      <w:r w:rsidRPr="00EA59C0">
        <w:rPr>
          <w:color w:val="auto"/>
        </w:rPr>
        <w:t xml:space="preserve"> </w:t>
      </w:r>
      <w:r w:rsidR="00532A29" w:rsidRPr="00EA59C0">
        <w:rPr>
          <w:color w:val="auto"/>
        </w:rPr>
        <w:t>1</w:t>
      </w:r>
      <w:r w:rsidRPr="00EA59C0">
        <w:rPr>
          <w:color w:val="auto"/>
        </w:rPr>
        <w:t xml:space="preserve"> </w:t>
      </w:r>
      <w:r w:rsidR="00532A29" w:rsidRPr="00EA59C0">
        <w:rPr>
          <w:color w:val="auto"/>
        </w:rPr>
        <w:t>inch</w:t>
      </w:r>
      <w:r w:rsidRPr="00EA59C0">
        <w:rPr>
          <w:color w:val="auto"/>
        </w:rPr>
        <w:t xml:space="preserve"> </w:t>
      </w:r>
      <w:r w:rsidR="00532A29" w:rsidRPr="00EA59C0">
        <w:rPr>
          <w:color w:val="auto"/>
        </w:rPr>
        <w:t>margins.</w:t>
      </w:r>
      <w:r w:rsidRPr="00EA59C0">
        <w:rPr>
          <w:color w:val="auto"/>
        </w:rPr>
        <w:t xml:space="preserve">  </w:t>
      </w:r>
      <w:r w:rsidR="00532A29" w:rsidRPr="00EA59C0">
        <w:rPr>
          <w:color w:val="auto"/>
        </w:rPr>
        <w:t>There</w:t>
      </w:r>
      <w:r w:rsidRPr="00EA59C0">
        <w:rPr>
          <w:color w:val="auto"/>
        </w:rPr>
        <w:t xml:space="preserve"> </w:t>
      </w:r>
      <w:r w:rsidR="00532A29" w:rsidRPr="00EA59C0">
        <w:rPr>
          <w:color w:val="auto"/>
        </w:rPr>
        <w:t>is</w:t>
      </w:r>
      <w:r w:rsidRPr="00EA59C0">
        <w:rPr>
          <w:color w:val="auto"/>
        </w:rPr>
        <w:t xml:space="preserve"> </w:t>
      </w:r>
      <w:r w:rsidR="00532A29" w:rsidRPr="00EA59C0">
        <w:rPr>
          <w:color w:val="auto"/>
        </w:rPr>
        <w:t>no</w:t>
      </w:r>
      <w:r w:rsidRPr="00EA59C0">
        <w:rPr>
          <w:color w:val="auto"/>
        </w:rPr>
        <w:t xml:space="preserve"> </w:t>
      </w:r>
      <w:r w:rsidR="00532A29" w:rsidRPr="00EA59C0">
        <w:rPr>
          <w:color w:val="auto"/>
        </w:rPr>
        <w:t>page</w:t>
      </w:r>
      <w:r w:rsidRPr="00EA59C0">
        <w:rPr>
          <w:color w:val="auto"/>
        </w:rPr>
        <w:t xml:space="preserve"> </w:t>
      </w:r>
      <w:r w:rsidR="00532A29" w:rsidRPr="00EA59C0">
        <w:rPr>
          <w:color w:val="auto"/>
        </w:rPr>
        <w:t>limit</w:t>
      </w:r>
      <w:r w:rsidRPr="00EA59C0">
        <w:rPr>
          <w:color w:val="auto"/>
        </w:rPr>
        <w:t xml:space="preserve"> </w:t>
      </w:r>
      <w:r w:rsidR="00532A29" w:rsidRPr="00EA59C0">
        <w:rPr>
          <w:color w:val="auto"/>
        </w:rPr>
        <w:t>for</w:t>
      </w:r>
      <w:r w:rsidRPr="00EA59C0">
        <w:rPr>
          <w:color w:val="auto"/>
        </w:rPr>
        <w:t xml:space="preserve"> </w:t>
      </w:r>
      <w:r w:rsidR="00532A29" w:rsidRPr="00EA59C0">
        <w:rPr>
          <w:color w:val="auto"/>
        </w:rPr>
        <w:t>the</w:t>
      </w:r>
      <w:r w:rsidRPr="00EA59C0">
        <w:rPr>
          <w:color w:val="auto"/>
        </w:rPr>
        <w:t xml:space="preserve"> </w:t>
      </w:r>
      <w:r w:rsidR="00532A29" w:rsidRPr="00EA59C0">
        <w:rPr>
          <w:color w:val="auto"/>
        </w:rPr>
        <w:t>Evaluation</w:t>
      </w:r>
      <w:r w:rsidRPr="00EA59C0">
        <w:rPr>
          <w:color w:val="auto"/>
        </w:rPr>
        <w:t xml:space="preserve"> </w:t>
      </w:r>
      <w:r w:rsidR="00532A29" w:rsidRPr="00EA59C0">
        <w:rPr>
          <w:color w:val="auto"/>
        </w:rPr>
        <w:t>Budget</w:t>
      </w:r>
      <w:r w:rsidRPr="00EA59C0">
        <w:rPr>
          <w:color w:val="auto"/>
        </w:rPr>
        <w:t xml:space="preserve"> </w:t>
      </w:r>
      <w:r w:rsidR="00532A29" w:rsidRPr="00EA59C0">
        <w:rPr>
          <w:color w:val="auto"/>
        </w:rPr>
        <w:t>Narrative.</w:t>
      </w:r>
      <w:r w:rsidRPr="00EA59C0">
        <w:rPr>
          <w:color w:val="auto"/>
        </w:rPr>
        <w:t xml:space="preserve">  </w:t>
      </w:r>
      <w:r w:rsidR="00532A29" w:rsidRPr="00EA59C0">
        <w:rPr>
          <w:color w:val="auto"/>
        </w:rPr>
        <w:t>These</w:t>
      </w:r>
      <w:r w:rsidRPr="00EA59C0">
        <w:rPr>
          <w:color w:val="auto"/>
        </w:rPr>
        <w:t xml:space="preserve"> </w:t>
      </w:r>
      <w:r w:rsidR="00532A29" w:rsidRPr="00EA59C0">
        <w:rPr>
          <w:color w:val="auto"/>
        </w:rPr>
        <w:t>attachments</w:t>
      </w:r>
      <w:r w:rsidRPr="00EA59C0">
        <w:rPr>
          <w:color w:val="auto"/>
        </w:rPr>
        <w:t xml:space="preserve"> </w:t>
      </w:r>
      <w:r w:rsidR="00532A29" w:rsidRPr="00EA59C0">
        <w:rPr>
          <w:color w:val="auto"/>
        </w:rPr>
        <w:t>do</w:t>
      </w:r>
      <w:r w:rsidRPr="00EA59C0">
        <w:rPr>
          <w:color w:val="auto"/>
        </w:rPr>
        <w:t xml:space="preserve"> </w:t>
      </w:r>
      <w:r w:rsidR="00532A29" w:rsidRPr="00EA59C0">
        <w:rPr>
          <w:color w:val="auto"/>
        </w:rPr>
        <w:t>not</w:t>
      </w:r>
      <w:r w:rsidRPr="00EA59C0">
        <w:rPr>
          <w:color w:val="auto"/>
        </w:rPr>
        <w:t xml:space="preserve"> </w:t>
      </w:r>
      <w:r w:rsidR="00532A29" w:rsidRPr="00EA59C0">
        <w:rPr>
          <w:color w:val="auto"/>
        </w:rPr>
        <w:t>count</w:t>
      </w:r>
      <w:r w:rsidRPr="00EA59C0">
        <w:rPr>
          <w:color w:val="auto"/>
        </w:rPr>
        <w:t xml:space="preserve"> </w:t>
      </w:r>
      <w:r w:rsidR="00532A29" w:rsidRPr="00EA59C0">
        <w:rPr>
          <w:color w:val="auto"/>
        </w:rPr>
        <w:t>against</w:t>
      </w:r>
      <w:r w:rsidRPr="00EA59C0">
        <w:rPr>
          <w:color w:val="auto"/>
        </w:rPr>
        <w:t xml:space="preserve"> </w:t>
      </w:r>
      <w:r w:rsidR="00532A29" w:rsidRPr="00EA59C0">
        <w:rPr>
          <w:color w:val="auto"/>
        </w:rPr>
        <w:t>the</w:t>
      </w:r>
      <w:r w:rsidRPr="00EA59C0">
        <w:rPr>
          <w:color w:val="auto"/>
        </w:rPr>
        <w:t xml:space="preserve"> </w:t>
      </w:r>
      <w:r w:rsidR="00532A29" w:rsidRPr="00EA59C0">
        <w:rPr>
          <w:color w:val="auto"/>
        </w:rPr>
        <w:t>page</w:t>
      </w:r>
      <w:r w:rsidRPr="00EA59C0">
        <w:rPr>
          <w:color w:val="auto"/>
        </w:rPr>
        <w:t xml:space="preserve"> </w:t>
      </w:r>
      <w:r w:rsidR="00532A29" w:rsidRPr="00EA59C0">
        <w:rPr>
          <w:color w:val="auto"/>
        </w:rPr>
        <w:t>limit</w:t>
      </w:r>
      <w:r w:rsidRPr="00EA59C0">
        <w:rPr>
          <w:color w:val="auto"/>
        </w:rPr>
        <w:t xml:space="preserve"> </w:t>
      </w:r>
      <w:r w:rsidR="00532A29" w:rsidRPr="00EA59C0">
        <w:rPr>
          <w:color w:val="auto"/>
        </w:rPr>
        <w:t>for</w:t>
      </w:r>
      <w:r w:rsidRPr="00EA59C0">
        <w:rPr>
          <w:color w:val="auto"/>
        </w:rPr>
        <w:t xml:space="preserve"> </w:t>
      </w:r>
      <w:r w:rsidR="00532A29" w:rsidRPr="00EA59C0">
        <w:rPr>
          <w:color w:val="auto"/>
        </w:rPr>
        <w:t>the</w:t>
      </w:r>
      <w:r w:rsidRPr="00EA59C0">
        <w:rPr>
          <w:color w:val="auto"/>
        </w:rPr>
        <w:t xml:space="preserve"> </w:t>
      </w:r>
      <w:r w:rsidR="00532A29" w:rsidRPr="00EA59C0">
        <w:rPr>
          <w:color w:val="auto"/>
        </w:rPr>
        <w:t>Project</w:t>
      </w:r>
      <w:r w:rsidRPr="00EA59C0">
        <w:rPr>
          <w:color w:val="auto"/>
        </w:rPr>
        <w:t xml:space="preserve"> </w:t>
      </w:r>
      <w:r w:rsidR="00532A29" w:rsidRPr="00EA59C0">
        <w:rPr>
          <w:color w:val="auto"/>
        </w:rPr>
        <w:t>Narrative.</w:t>
      </w:r>
    </w:p>
    <w:p w:rsidR="00A93F2C" w:rsidRPr="00EA59C0" w:rsidRDefault="00A93F2C" w:rsidP="00FA0E98">
      <w:pPr>
        <w:pStyle w:val="Default"/>
        <w:ind w:left="720"/>
        <w:rPr>
          <w:color w:val="auto"/>
        </w:rPr>
      </w:pPr>
    </w:p>
    <w:p w:rsidR="00532A29" w:rsidRPr="00EA59C0" w:rsidRDefault="00532A29" w:rsidP="00FA0E98">
      <w:pPr>
        <w:pStyle w:val="Default"/>
        <w:ind w:left="720"/>
        <w:rPr>
          <w:color w:val="auto"/>
        </w:rPr>
      </w:pPr>
      <w:r w:rsidRPr="00EA59C0">
        <w:rPr>
          <w:color w:val="auto"/>
        </w:rPr>
        <w:t>In</w:t>
      </w:r>
      <w:r w:rsidR="00C026A6" w:rsidRPr="00EA59C0">
        <w:rPr>
          <w:color w:val="auto"/>
        </w:rPr>
        <w:t xml:space="preserve"> </w:t>
      </w:r>
      <w:r w:rsidRPr="00EA59C0">
        <w:rPr>
          <w:color w:val="auto"/>
        </w:rPr>
        <w:t>addition</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final</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report</w:t>
      </w:r>
      <w:r w:rsidR="00C026A6" w:rsidRPr="00EA59C0">
        <w:rPr>
          <w:color w:val="auto"/>
        </w:rPr>
        <w:t xml:space="preserve"> </w:t>
      </w:r>
      <w:r w:rsidRPr="00EA59C0">
        <w:rPr>
          <w:color w:val="auto"/>
        </w:rPr>
        <w:t>due</w:t>
      </w:r>
      <w:r w:rsidR="00C026A6" w:rsidRPr="00EA59C0">
        <w:rPr>
          <w:color w:val="auto"/>
        </w:rPr>
        <w:t xml:space="preserve"> </w:t>
      </w:r>
      <w:r w:rsidRPr="00EA59C0">
        <w:rPr>
          <w:color w:val="auto"/>
        </w:rPr>
        <w:t>at</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end</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grant</w:t>
      </w:r>
      <w:r w:rsidR="00C026A6" w:rsidRPr="00EA59C0">
        <w:rPr>
          <w:color w:val="auto"/>
        </w:rPr>
        <w:t xml:space="preserve"> </w:t>
      </w:r>
      <w:r w:rsidRPr="00EA59C0">
        <w:rPr>
          <w:color w:val="auto"/>
        </w:rPr>
        <w:t>period</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performance,</w:t>
      </w:r>
      <w:r w:rsidR="00C026A6" w:rsidRPr="00EA59C0">
        <w:rPr>
          <w:color w:val="auto"/>
        </w:rPr>
        <w:t xml:space="preserve"> </w:t>
      </w:r>
      <w:r w:rsidRPr="00EA59C0">
        <w:rPr>
          <w:color w:val="auto"/>
        </w:rPr>
        <w:t>successful</w:t>
      </w:r>
      <w:r w:rsidR="00C026A6" w:rsidRPr="00EA59C0">
        <w:rPr>
          <w:color w:val="auto"/>
        </w:rPr>
        <w:t xml:space="preserve"> </w:t>
      </w:r>
      <w:r w:rsidRPr="00EA59C0">
        <w:rPr>
          <w:color w:val="auto"/>
        </w:rPr>
        <w:t>applicants</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submit</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final</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design</w:t>
      </w:r>
      <w:r w:rsidR="00C026A6" w:rsidRPr="00EA59C0">
        <w:rPr>
          <w:color w:val="auto"/>
        </w:rPr>
        <w:t xml:space="preserve"> </w:t>
      </w:r>
      <w:r w:rsidRPr="00EA59C0">
        <w:rPr>
          <w:color w:val="auto"/>
        </w:rPr>
        <w:t>shortly</w:t>
      </w:r>
      <w:r w:rsidR="00C026A6" w:rsidRPr="00EA59C0">
        <w:rPr>
          <w:color w:val="auto"/>
        </w:rPr>
        <w:t xml:space="preserve"> </w:t>
      </w:r>
      <w:r w:rsidRPr="00EA59C0">
        <w:rPr>
          <w:color w:val="auto"/>
        </w:rPr>
        <w:t>after</w:t>
      </w:r>
      <w:r w:rsidR="00C026A6" w:rsidRPr="00EA59C0">
        <w:rPr>
          <w:color w:val="auto"/>
        </w:rPr>
        <w:t xml:space="preserve"> </w:t>
      </w:r>
      <w:r w:rsidRPr="00EA59C0">
        <w:rPr>
          <w:color w:val="auto"/>
        </w:rPr>
        <w:t>award</w:t>
      </w:r>
      <w:r w:rsidR="00C026A6" w:rsidRPr="00EA59C0">
        <w:rPr>
          <w:color w:val="auto"/>
        </w:rPr>
        <w:t xml:space="preserve"> </w:t>
      </w:r>
      <w:r w:rsidRPr="00EA59C0">
        <w:rPr>
          <w:color w:val="auto"/>
        </w:rPr>
        <w:t>(See</w:t>
      </w:r>
      <w:r w:rsidR="00C026A6" w:rsidRPr="00EA59C0">
        <w:rPr>
          <w:color w:val="auto"/>
        </w:rPr>
        <w:t xml:space="preserve"> </w:t>
      </w:r>
      <w:r w:rsidRPr="00EA59C0">
        <w:rPr>
          <w:color w:val="auto"/>
        </w:rPr>
        <w:t>V.C.1.)</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preliminary</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interim</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findings</w:t>
      </w:r>
      <w:r w:rsidR="00C026A6" w:rsidRPr="00EA59C0">
        <w:rPr>
          <w:color w:val="auto"/>
        </w:rPr>
        <w:t xml:space="preserve"> </w:t>
      </w:r>
      <w:r w:rsidRPr="00EA59C0">
        <w:rPr>
          <w:color w:val="auto"/>
        </w:rPr>
        <w:t>during</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period</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performance.</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submission</w:t>
      </w:r>
      <w:r w:rsidR="00C026A6" w:rsidRPr="00EA59C0">
        <w:rPr>
          <w:color w:val="auto"/>
        </w:rPr>
        <w:t xml:space="preserve"> </w:t>
      </w:r>
      <w:r w:rsidRPr="00EA59C0">
        <w:rPr>
          <w:color w:val="auto"/>
        </w:rPr>
        <w:t>date</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any</w:t>
      </w:r>
      <w:r w:rsidR="00C026A6" w:rsidRPr="00EA59C0">
        <w:rPr>
          <w:color w:val="auto"/>
        </w:rPr>
        <w:t xml:space="preserve"> </w:t>
      </w:r>
      <w:r w:rsidRPr="00EA59C0">
        <w:rPr>
          <w:color w:val="auto"/>
        </w:rPr>
        <w:t>interim</w:t>
      </w:r>
      <w:r w:rsidR="00C026A6" w:rsidRPr="00EA59C0">
        <w:rPr>
          <w:color w:val="auto"/>
        </w:rPr>
        <w:t xml:space="preserve"> </w:t>
      </w:r>
      <w:r w:rsidRPr="00EA59C0">
        <w:rPr>
          <w:color w:val="auto"/>
        </w:rPr>
        <w:t>reports</w:t>
      </w:r>
      <w:r w:rsidR="00C026A6" w:rsidRPr="00EA59C0">
        <w:rPr>
          <w:color w:val="auto"/>
        </w:rPr>
        <w:t xml:space="preserve"> </w:t>
      </w:r>
      <w:r w:rsidRPr="00EA59C0">
        <w:rPr>
          <w:color w:val="auto"/>
        </w:rPr>
        <w:t>should</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determined</w:t>
      </w:r>
      <w:r w:rsidR="00C026A6" w:rsidRPr="00EA59C0">
        <w:rPr>
          <w:color w:val="auto"/>
        </w:rPr>
        <w:t xml:space="preserve"> </w:t>
      </w:r>
      <w:r w:rsidRPr="00EA59C0">
        <w:rPr>
          <w:color w:val="auto"/>
        </w:rPr>
        <w:t>by</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applicant</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clearly</w:t>
      </w:r>
      <w:r w:rsidR="00C026A6" w:rsidRPr="00EA59C0">
        <w:rPr>
          <w:color w:val="auto"/>
        </w:rPr>
        <w:t xml:space="preserve"> </w:t>
      </w:r>
      <w:r w:rsidRPr="00EA59C0">
        <w:rPr>
          <w:color w:val="auto"/>
        </w:rPr>
        <w:t>identified</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summary</w:t>
      </w:r>
      <w:r w:rsidR="00C026A6" w:rsidRPr="00EA59C0">
        <w:rPr>
          <w:color w:val="auto"/>
        </w:rPr>
        <w:t xml:space="preserve"> </w:t>
      </w:r>
      <w:r w:rsidRPr="00EA59C0">
        <w:rPr>
          <w:color w:val="auto"/>
        </w:rPr>
        <w:t>included</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application.</w:t>
      </w:r>
      <w:r w:rsidR="00C026A6" w:rsidRPr="00EA59C0">
        <w:rPr>
          <w:color w:val="auto"/>
        </w:rPr>
        <w:t xml:space="preserve">  </w:t>
      </w:r>
    </w:p>
    <w:p w:rsidR="00A93F2C" w:rsidRPr="00EA59C0" w:rsidRDefault="00A93F2C" w:rsidP="00FA0E98">
      <w:pPr>
        <w:pStyle w:val="Default"/>
        <w:ind w:left="720"/>
        <w:rPr>
          <w:color w:val="auto"/>
        </w:rPr>
      </w:pPr>
    </w:p>
    <w:p w:rsidR="00A93F2C" w:rsidRPr="00EA59C0" w:rsidRDefault="00C8570E" w:rsidP="00080097">
      <w:pPr>
        <w:pStyle w:val="Default"/>
        <w:ind w:left="720"/>
        <w:rPr>
          <w:color w:val="auto"/>
        </w:rPr>
      </w:pPr>
      <w:r w:rsidRPr="00EA59C0">
        <w:rPr>
          <w:color w:val="auto"/>
        </w:rPr>
        <w:t>Separate</w:t>
      </w:r>
      <w:r w:rsidR="00C026A6" w:rsidRPr="00EA59C0">
        <w:rPr>
          <w:color w:val="auto"/>
        </w:rPr>
        <w:t xml:space="preserve"> </w:t>
      </w:r>
      <w:r w:rsidRPr="00EA59C0">
        <w:rPr>
          <w:color w:val="auto"/>
        </w:rPr>
        <w:t>from</w:t>
      </w:r>
      <w:r w:rsidR="00C026A6" w:rsidRPr="00EA59C0">
        <w:rPr>
          <w:color w:val="auto"/>
        </w:rPr>
        <w:t xml:space="preserve"> </w:t>
      </w:r>
      <w:r w:rsidRPr="00EA59C0">
        <w:rPr>
          <w:color w:val="auto"/>
        </w:rPr>
        <w:t>their</w:t>
      </w:r>
      <w:r w:rsidR="00C026A6" w:rsidRPr="00EA59C0">
        <w:rPr>
          <w:color w:val="auto"/>
        </w:rPr>
        <w:t xml:space="preserve"> </w:t>
      </w:r>
      <w:r w:rsidRPr="00EA59C0">
        <w:rPr>
          <w:color w:val="auto"/>
        </w:rPr>
        <w:t>individual</w:t>
      </w:r>
      <w:r w:rsidR="009619BF" w:rsidRPr="00EA59C0">
        <w:rPr>
          <w:color w:val="auto"/>
        </w:rPr>
        <w:t>,</w:t>
      </w:r>
      <w:r w:rsidR="00C026A6" w:rsidRPr="00EA59C0">
        <w:rPr>
          <w:color w:val="auto"/>
        </w:rPr>
        <w:t xml:space="preserve"> </w:t>
      </w:r>
      <w:r w:rsidR="009619BF" w:rsidRPr="00EA59C0">
        <w:rPr>
          <w:color w:val="auto"/>
        </w:rPr>
        <w:t>third-party</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grantees</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participate</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national</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that</w:t>
      </w:r>
      <w:r w:rsidR="00C026A6" w:rsidRPr="00EA59C0">
        <w:rPr>
          <w:color w:val="auto"/>
        </w:rPr>
        <w:t xml:space="preserve"> </w:t>
      </w:r>
      <w:r w:rsidRPr="00EA59C0">
        <w:rPr>
          <w:color w:val="auto"/>
        </w:rPr>
        <w:t>will</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conducted</w:t>
      </w:r>
      <w:r w:rsidR="00C026A6" w:rsidRPr="00EA59C0">
        <w:rPr>
          <w:color w:val="auto"/>
        </w:rPr>
        <w:t xml:space="preserve"> </w:t>
      </w:r>
      <w:r w:rsidRPr="00EA59C0">
        <w:rPr>
          <w:color w:val="auto"/>
        </w:rPr>
        <w:t>by</w:t>
      </w:r>
      <w:r w:rsidR="00C026A6" w:rsidRPr="00EA59C0">
        <w:rPr>
          <w:color w:val="auto"/>
        </w:rPr>
        <w:t xml:space="preserve"> </w:t>
      </w:r>
      <w:r w:rsidR="009619BF" w:rsidRPr="00EA59C0">
        <w:rPr>
          <w:color w:val="auto"/>
        </w:rPr>
        <w:t>a</w:t>
      </w:r>
      <w:r w:rsidR="00C026A6" w:rsidRPr="00EA59C0">
        <w:rPr>
          <w:color w:val="auto"/>
        </w:rPr>
        <w:t xml:space="preserve"> </w:t>
      </w:r>
      <w:r w:rsidR="009619BF" w:rsidRPr="00EA59C0">
        <w:rPr>
          <w:color w:val="auto"/>
        </w:rPr>
        <w:t>contractor</w:t>
      </w:r>
      <w:r w:rsidR="00C026A6" w:rsidRPr="00EA59C0">
        <w:rPr>
          <w:color w:val="auto"/>
        </w:rPr>
        <w:t xml:space="preserve"> </w:t>
      </w:r>
      <w:r w:rsidR="009619BF" w:rsidRPr="00EA59C0">
        <w:rPr>
          <w:color w:val="auto"/>
        </w:rPr>
        <w:t>on</w:t>
      </w:r>
      <w:r w:rsidR="00C026A6" w:rsidRPr="00EA59C0">
        <w:rPr>
          <w:color w:val="auto"/>
        </w:rPr>
        <w:t xml:space="preserve"> </w:t>
      </w:r>
      <w:r w:rsidR="009619BF" w:rsidRPr="00EA59C0">
        <w:rPr>
          <w:color w:val="auto"/>
        </w:rPr>
        <w:t>behalf</w:t>
      </w:r>
      <w:r w:rsidR="00C026A6" w:rsidRPr="00EA59C0">
        <w:rPr>
          <w:color w:val="auto"/>
        </w:rPr>
        <w:t xml:space="preserve"> </w:t>
      </w:r>
      <w:r w:rsidR="009619BF"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Department</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inform</w:t>
      </w:r>
      <w:r w:rsidR="00C026A6" w:rsidRPr="00EA59C0">
        <w:rPr>
          <w:color w:val="auto"/>
        </w:rPr>
        <w:t xml:space="preserve"> </w:t>
      </w:r>
      <w:r w:rsidRPr="00EA59C0">
        <w:rPr>
          <w:color w:val="auto"/>
        </w:rPr>
        <w:t>workforce</w:t>
      </w:r>
      <w:r w:rsidR="00C026A6" w:rsidRPr="00EA59C0">
        <w:rPr>
          <w:color w:val="auto"/>
        </w:rPr>
        <w:t xml:space="preserve"> </w:t>
      </w:r>
      <w:r w:rsidRPr="00EA59C0">
        <w:rPr>
          <w:color w:val="auto"/>
        </w:rPr>
        <w:t>development</w:t>
      </w:r>
      <w:r w:rsidR="00C026A6" w:rsidRPr="00EA59C0">
        <w:rPr>
          <w:color w:val="auto"/>
        </w:rPr>
        <w:t xml:space="preserve"> </w:t>
      </w:r>
      <w:r w:rsidRPr="00EA59C0">
        <w:rPr>
          <w:color w:val="auto"/>
        </w:rPr>
        <w:t>policy</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advance</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Department’s</w:t>
      </w:r>
      <w:r w:rsidR="00C026A6" w:rsidRPr="00EA59C0">
        <w:rPr>
          <w:color w:val="auto"/>
        </w:rPr>
        <w:t xml:space="preserve"> </w:t>
      </w:r>
      <w:r w:rsidRPr="00EA59C0">
        <w:rPr>
          <w:color w:val="auto"/>
        </w:rPr>
        <w:t>mission</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help</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nation’s</w:t>
      </w:r>
      <w:r w:rsidR="00C026A6" w:rsidRPr="00EA59C0">
        <w:rPr>
          <w:color w:val="auto"/>
        </w:rPr>
        <w:t xml:space="preserve"> </w:t>
      </w:r>
      <w:r w:rsidRPr="00EA59C0">
        <w:rPr>
          <w:color w:val="auto"/>
        </w:rPr>
        <w:t>workers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employers.</w:t>
      </w:r>
      <w:r w:rsidR="00C026A6" w:rsidRPr="00EA59C0">
        <w:rPr>
          <w:color w:val="auto"/>
        </w:rPr>
        <w:t xml:space="preserve">  </w:t>
      </w:r>
      <w:r w:rsidR="009619BF" w:rsidRPr="00EA59C0">
        <w:rPr>
          <w:color w:val="auto"/>
        </w:rPr>
        <w:t>The</w:t>
      </w:r>
      <w:r w:rsidR="00C026A6" w:rsidRPr="00EA59C0">
        <w:rPr>
          <w:color w:val="auto"/>
        </w:rPr>
        <w:t xml:space="preserve"> </w:t>
      </w:r>
      <w:r w:rsidRPr="00EA59C0">
        <w:rPr>
          <w:color w:val="auto"/>
        </w:rPr>
        <w:t>national</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may</w:t>
      </w:r>
      <w:r w:rsidR="00C026A6" w:rsidRPr="00EA59C0">
        <w:rPr>
          <w:color w:val="auto"/>
        </w:rPr>
        <w:t xml:space="preserve"> </w:t>
      </w:r>
      <w:r w:rsidRPr="00EA59C0">
        <w:rPr>
          <w:color w:val="auto"/>
        </w:rPr>
        <w:t>include</w:t>
      </w:r>
      <w:r w:rsidR="00C026A6" w:rsidRPr="00EA59C0">
        <w:rPr>
          <w:color w:val="auto"/>
        </w:rPr>
        <w:t xml:space="preserve"> </w:t>
      </w:r>
      <w:r w:rsidRPr="00EA59C0">
        <w:rPr>
          <w:color w:val="auto"/>
        </w:rPr>
        <w:t>an</w:t>
      </w:r>
      <w:r w:rsidR="00C026A6" w:rsidRPr="00EA59C0">
        <w:rPr>
          <w:color w:val="auto"/>
        </w:rPr>
        <w:t xml:space="preserve"> </w:t>
      </w:r>
      <w:r w:rsidRPr="00EA59C0">
        <w:rPr>
          <w:color w:val="auto"/>
        </w:rPr>
        <w:t>implementation</w:t>
      </w:r>
      <w:r w:rsidR="00C026A6" w:rsidRPr="00EA59C0">
        <w:rPr>
          <w:color w:val="auto"/>
        </w:rPr>
        <w:t xml:space="preserve"> </w:t>
      </w:r>
      <w:r w:rsidRPr="00EA59C0">
        <w:rPr>
          <w:color w:val="auto"/>
        </w:rPr>
        <w:t>assessment</w:t>
      </w:r>
      <w:r w:rsidR="00C026A6" w:rsidRPr="00EA59C0">
        <w:rPr>
          <w:color w:val="auto"/>
        </w:rPr>
        <w:t xml:space="preserve"> </w:t>
      </w:r>
      <w:r w:rsidRPr="00EA59C0">
        <w:rPr>
          <w:color w:val="auto"/>
        </w:rPr>
        <w:t>across</w:t>
      </w:r>
      <w:r w:rsidR="00C026A6" w:rsidRPr="00EA59C0">
        <w:rPr>
          <w:color w:val="auto"/>
        </w:rPr>
        <w:t xml:space="preserve"> </w:t>
      </w:r>
      <w:r w:rsidRPr="00EA59C0">
        <w:rPr>
          <w:color w:val="auto"/>
        </w:rPr>
        <w:t>grantees</w:t>
      </w:r>
      <w:r w:rsidR="00C026A6" w:rsidRPr="00EA59C0">
        <w:rPr>
          <w:color w:val="auto"/>
        </w:rPr>
        <w:t xml:space="preserve"> </w:t>
      </w:r>
      <w:r w:rsidRPr="00EA59C0">
        <w:rPr>
          <w:color w:val="auto"/>
        </w:rPr>
        <w:t>as</w:t>
      </w:r>
      <w:r w:rsidR="00C026A6" w:rsidRPr="00EA59C0">
        <w:rPr>
          <w:color w:val="auto"/>
        </w:rPr>
        <w:t xml:space="preserve"> </w:t>
      </w:r>
      <w:r w:rsidRPr="00EA59C0">
        <w:rPr>
          <w:color w:val="auto"/>
        </w:rPr>
        <w:t>well</w:t>
      </w:r>
      <w:r w:rsidR="00C026A6" w:rsidRPr="00EA59C0">
        <w:rPr>
          <w:color w:val="auto"/>
        </w:rPr>
        <w:t xml:space="preserve"> </w:t>
      </w:r>
      <w:r w:rsidRPr="00EA59C0">
        <w:rPr>
          <w:color w:val="auto"/>
        </w:rPr>
        <w:t>as</w:t>
      </w:r>
      <w:r w:rsidR="00C026A6" w:rsidRPr="00EA59C0">
        <w:rPr>
          <w:color w:val="auto"/>
        </w:rPr>
        <w:t xml:space="preserve"> </w:t>
      </w:r>
      <w:r w:rsidRPr="00EA59C0">
        <w:rPr>
          <w:color w:val="auto"/>
        </w:rPr>
        <w:t>an</w:t>
      </w:r>
      <w:r w:rsidR="00C026A6" w:rsidRPr="00EA59C0">
        <w:rPr>
          <w:color w:val="auto"/>
        </w:rPr>
        <w:t xml:space="preserve"> </w:t>
      </w:r>
      <w:r w:rsidRPr="00EA59C0">
        <w:rPr>
          <w:color w:val="auto"/>
        </w:rPr>
        <w:t>impact</w:t>
      </w:r>
      <w:r w:rsidR="00C026A6" w:rsidRPr="00EA59C0">
        <w:rPr>
          <w:color w:val="auto"/>
        </w:rPr>
        <w:t xml:space="preserve"> </w:t>
      </w:r>
      <w:r w:rsidRPr="00EA59C0">
        <w:rPr>
          <w:color w:val="auto"/>
        </w:rPr>
        <w:t>and/or</w:t>
      </w:r>
      <w:r w:rsidR="00C026A6" w:rsidRPr="00EA59C0">
        <w:rPr>
          <w:color w:val="auto"/>
        </w:rPr>
        <w:t xml:space="preserve"> </w:t>
      </w:r>
      <w:r w:rsidRPr="00EA59C0">
        <w:rPr>
          <w:color w:val="auto"/>
        </w:rPr>
        <w:t>outcomes</w:t>
      </w:r>
      <w:r w:rsidR="00C026A6" w:rsidRPr="00EA59C0">
        <w:rPr>
          <w:color w:val="auto"/>
        </w:rPr>
        <w:t xml:space="preserve"> </w:t>
      </w:r>
      <w:r w:rsidRPr="00EA59C0">
        <w:rPr>
          <w:color w:val="auto"/>
        </w:rPr>
        <w:t>analysis</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selected</w:t>
      </w:r>
      <w:r w:rsidR="00C026A6" w:rsidRPr="00EA59C0">
        <w:rPr>
          <w:color w:val="auto"/>
        </w:rPr>
        <w:t xml:space="preserve"> </w:t>
      </w:r>
      <w:r w:rsidRPr="00EA59C0">
        <w:rPr>
          <w:color w:val="auto"/>
        </w:rPr>
        <w:t>colleges</w:t>
      </w:r>
      <w:r w:rsidR="00C026A6" w:rsidRPr="00EA59C0">
        <w:rPr>
          <w:color w:val="auto"/>
        </w:rPr>
        <w:t xml:space="preserve"> </w:t>
      </w:r>
      <w:r w:rsidRPr="00EA59C0">
        <w:rPr>
          <w:color w:val="auto"/>
        </w:rPr>
        <w:t>within</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across</w:t>
      </w:r>
      <w:r w:rsidR="00C026A6" w:rsidRPr="00EA59C0">
        <w:rPr>
          <w:color w:val="auto"/>
        </w:rPr>
        <w:t xml:space="preserve"> </w:t>
      </w:r>
      <w:r w:rsidRPr="00EA59C0">
        <w:rPr>
          <w:color w:val="auto"/>
        </w:rPr>
        <w:t>grantees.</w:t>
      </w:r>
      <w:r w:rsidR="00C026A6" w:rsidRPr="00EA59C0">
        <w:rPr>
          <w:color w:val="auto"/>
        </w:rPr>
        <w:t xml:space="preserve">  </w:t>
      </w:r>
      <w:r w:rsidR="009619BF" w:rsidRPr="00EA59C0">
        <w:rPr>
          <w:color w:val="auto"/>
        </w:rPr>
        <w:t>Conducting</w:t>
      </w:r>
      <w:r w:rsidR="00C026A6" w:rsidRPr="00EA59C0">
        <w:rPr>
          <w:color w:val="auto"/>
        </w:rPr>
        <w:t xml:space="preserve"> </w:t>
      </w:r>
      <w:r w:rsidR="009619BF" w:rsidRPr="00EA59C0">
        <w:rPr>
          <w:color w:val="auto"/>
        </w:rPr>
        <w:t>an</w:t>
      </w:r>
      <w:r w:rsidR="00C026A6" w:rsidRPr="00EA59C0">
        <w:rPr>
          <w:color w:val="auto"/>
        </w:rPr>
        <w:t xml:space="preserve"> </w:t>
      </w:r>
      <w:r w:rsidR="009619BF" w:rsidRPr="00EA59C0">
        <w:rPr>
          <w:color w:val="auto"/>
        </w:rPr>
        <w:t>impact</w:t>
      </w:r>
      <w:r w:rsidR="00C026A6" w:rsidRPr="00EA59C0">
        <w:rPr>
          <w:color w:val="auto"/>
        </w:rPr>
        <w:t xml:space="preserve"> </w:t>
      </w:r>
      <w:r w:rsidR="009619BF" w:rsidRPr="00EA59C0">
        <w:rPr>
          <w:color w:val="auto"/>
        </w:rPr>
        <w:t>analysis</w:t>
      </w:r>
      <w:r w:rsidR="00C026A6" w:rsidRPr="00EA59C0">
        <w:rPr>
          <w:color w:val="auto"/>
        </w:rPr>
        <w:t xml:space="preserve"> </w:t>
      </w:r>
      <w:r w:rsidR="009619BF" w:rsidRPr="00EA59C0">
        <w:rPr>
          <w:color w:val="auto"/>
        </w:rPr>
        <w:t>could</w:t>
      </w:r>
      <w:r w:rsidR="00C026A6" w:rsidRPr="00EA59C0">
        <w:rPr>
          <w:color w:val="auto"/>
        </w:rPr>
        <w:t xml:space="preserve"> </w:t>
      </w:r>
      <w:r w:rsidR="009619BF" w:rsidRPr="00EA59C0">
        <w:rPr>
          <w:color w:val="auto"/>
        </w:rPr>
        <w:t>involve</w:t>
      </w:r>
      <w:r w:rsidR="00C026A6" w:rsidRPr="00EA59C0">
        <w:rPr>
          <w:color w:val="auto"/>
        </w:rPr>
        <w:t xml:space="preserve"> </w:t>
      </w:r>
      <w:r w:rsidR="009619BF" w:rsidRPr="00EA59C0">
        <w:rPr>
          <w:color w:val="auto"/>
        </w:rPr>
        <w:t>random</w:t>
      </w:r>
      <w:r w:rsidR="00C026A6" w:rsidRPr="00EA59C0">
        <w:rPr>
          <w:color w:val="auto"/>
        </w:rPr>
        <w:t xml:space="preserve"> </w:t>
      </w:r>
      <w:r w:rsidR="009619BF" w:rsidRPr="00EA59C0">
        <w:rPr>
          <w:color w:val="auto"/>
        </w:rPr>
        <w:t>assignment</w:t>
      </w:r>
      <w:r w:rsidR="00C026A6" w:rsidRPr="00EA59C0">
        <w:rPr>
          <w:color w:val="auto"/>
        </w:rPr>
        <w:t xml:space="preserve"> </w:t>
      </w:r>
      <w:r w:rsidR="009619BF" w:rsidRPr="00EA59C0">
        <w:rPr>
          <w:color w:val="auto"/>
        </w:rPr>
        <w:t>of</w:t>
      </w:r>
      <w:r w:rsidR="00C026A6" w:rsidRPr="00EA59C0">
        <w:rPr>
          <w:color w:val="auto"/>
        </w:rPr>
        <w:t xml:space="preserve"> </w:t>
      </w:r>
      <w:r w:rsidR="009619BF" w:rsidRPr="00EA59C0">
        <w:rPr>
          <w:color w:val="auto"/>
        </w:rPr>
        <w:t>eligible</w:t>
      </w:r>
      <w:r w:rsidR="00C026A6" w:rsidRPr="00EA59C0">
        <w:rPr>
          <w:color w:val="auto"/>
        </w:rPr>
        <w:t xml:space="preserve"> </w:t>
      </w:r>
      <w:r w:rsidR="009619BF" w:rsidRPr="00EA59C0">
        <w:rPr>
          <w:color w:val="auto"/>
        </w:rPr>
        <w:t>participants</w:t>
      </w:r>
      <w:r w:rsidR="00C026A6" w:rsidRPr="00EA59C0">
        <w:rPr>
          <w:color w:val="auto"/>
        </w:rPr>
        <w:t xml:space="preserve"> </w:t>
      </w:r>
      <w:r w:rsidR="009619BF" w:rsidRPr="00EA59C0">
        <w:rPr>
          <w:color w:val="auto"/>
        </w:rPr>
        <w:t>into</w:t>
      </w:r>
      <w:r w:rsidR="00C026A6" w:rsidRPr="00EA59C0">
        <w:rPr>
          <w:color w:val="auto"/>
        </w:rPr>
        <w:t xml:space="preserve"> </w:t>
      </w:r>
      <w:r w:rsidR="009619BF" w:rsidRPr="00EA59C0">
        <w:rPr>
          <w:color w:val="auto"/>
        </w:rPr>
        <w:t>a</w:t>
      </w:r>
      <w:r w:rsidR="00C026A6" w:rsidRPr="00EA59C0">
        <w:rPr>
          <w:color w:val="auto"/>
        </w:rPr>
        <w:t xml:space="preserve"> </w:t>
      </w:r>
      <w:r w:rsidR="009619BF" w:rsidRPr="00EA59C0">
        <w:rPr>
          <w:color w:val="auto"/>
        </w:rPr>
        <w:t>treatment</w:t>
      </w:r>
      <w:r w:rsidR="00C026A6" w:rsidRPr="00EA59C0">
        <w:rPr>
          <w:color w:val="auto"/>
        </w:rPr>
        <w:t xml:space="preserve"> </w:t>
      </w:r>
      <w:r w:rsidR="009619BF" w:rsidRPr="00EA59C0">
        <w:rPr>
          <w:color w:val="auto"/>
        </w:rPr>
        <w:t>group</w:t>
      </w:r>
      <w:r w:rsidR="00C026A6" w:rsidRPr="00EA59C0">
        <w:rPr>
          <w:color w:val="auto"/>
        </w:rPr>
        <w:t xml:space="preserve"> </w:t>
      </w:r>
      <w:r w:rsidR="009619BF" w:rsidRPr="00EA59C0">
        <w:rPr>
          <w:color w:val="auto"/>
        </w:rPr>
        <w:t>(which</w:t>
      </w:r>
      <w:r w:rsidR="00C026A6" w:rsidRPr="00EA59C0">
        <w:rPr>
          <w:color w:val="auto"/>
        </w:rPr>
        <w:t xml:space="preserve"> </w:t>
      </w:r>
      <w:r w:rsidR="009619BF" w:rsidRPr="00EA59C0">
        <w:rPr>
          <w:color w:val="auto"/>
        </w:rPr>
        <w:t>would</w:t>
      </w:r>
      <w:r w:rsidR="00C026A6" w:rsidRPr="00EA59C0">
        <w:rPr>
          <w:color w:val="auto"/>
        </w:rPr>
        <w:t xml:space="preserve"> </w:t>
      </w:r>
      <w:r w:rsidR="009619BF" w:rsidRPr="00EA59C0">
        <w:rPr>
          <w:color w:val="auto"/>
        </w:rPr>
        <w:t>receive</w:t>
      </w:r>
      <w:r w:rsidR="00C026A6" w:rsidRPr="00EA59C0">
        <w:rPr>
          <w:color w:val="auto"/>
        </w:rPr>
        <w:t xml:space="preserve"> </w:t>
      </w:r>
      <w:r w:rsidR="009619BF" w:rsidRPr="00EA59C0">
        <w:rPr>
          <w:color w:val="auto"/>
        </w:rPr>
        <w:t>program</w:t>
      </w:r>
      <w:r w:rsidR="00C026A6" w:rsidRPr="00EA59C0">
        <w:rPr>
          <w:color w:val="auto"/>
        </w:rPr>
        <w:t xml:space="preserve"> </w:t>
      </w:r>
      <w:r w:rsidR="009619BF" w:rsidRPr="00EA59C0">
        <w:rPr>
          <w:color w:val="auto"/>
        </w:rPr>
        <w:t>services</w:t>
      </w:r>
      <w:r w:rsidR="00C026A6" w:rsidRPr="00EA59C0">
        <w:rPr>
          <w:color w:val="auto"/>
        </w:rPr>
        <w:t xml:space="preserve"> </w:t>
      </w:r>
      <w:r w:rsidR="009619BF" w:rsidRPr="00EA59C0">
        <w:rPr>
          <w:color w:val="auto"/>
        </w:rPr>
        <w:t>or</w:t>
      </w:r>
      <w:r w:rsidR="00C026A6" w:rsidRPr="00EA59C0">
        <w:rPr>
          <w:color w:val="auto"/>
        </w:rPr>
        <w:t xml:space="preserve"> </w:t>
      </w:r>
      <w:r w:rsidR="009619BF" w:rsidRPr="00EA59C0">
        <w:rPr>
          <w:color w:val="auto"/>
        </w:rPr>
        <w:t>enhanced</w:t>
      </w:r>
      <w:r w:rsidR="00C026A6" w:rsidRPr="00EA59C0">
        <w:rPr>
          <w:color w:val="auto"/>
        </w:rPr>
        <w:t xml:space="preserve"> </w:t>
      </w:r>
      <w:r w:rsidR="009619BF" w:rsidRPr="00EA59C0">
        <w:rPr>
          <w:color w:val="auto"/>
        </w:rPr>
        <w:t>program</w:t>
      </w:r>
      <w:r w:rsidR="00C026A6" w:rsidRPr="00EA59C0">
        <w:rPr>
          <w:color w:val="auto"/>
        </w:rPr>
        <w:t xml:space="preserve"> </w:t>
      </w:r>
      <w:r w:rsidR="009619BF" w:rsidRPr="00EA59C0">
        <w:rPr>
          <w:color w:val="auto"/>
        </w:rPr>
        <w:t>services)</w:t>
      </w:r>
      <w:r w:rsidR="00C026A6" w:rsidRPr="00EA59C0">
        <w:rPr>
          <w:color w:val="auto"/>
        </w:rPr>
        <w:t xml:space="preserve"> </w:t>
      </w:r>
      <w:r w:rsidR="009619BF" w:rsidRPr="00EA59C0">
        <w:rPr>
          <w:color w:val="auto"/>
        </w:rPr>
        <w:t>or</w:t>
      </w:r>
      <w:r w:rsidR="00C026A6" w:rsidRPr="00EA59C0">
        <w:rPr>
          <w:color w:val="auto"/>
        </w:rPr>
        <w:t xml:space="preserve"> </w:t>
      </w:r>
      <w:r w:rsidR="009619BF" w:rsidRPr="00EA59C0">
        <w:rPr>
          <w:color w:val="auto"/>
        </w:rPr>
        <w:t>control</w:t>
      </w:r>
      <w:r w:rsidR="00C026A6" w:rsidRPr="00EA59C0">
        <w:rPr>
          <w:color w:val="auto"/>
        </w:rPr>
        <w:t xml:space="preserve"> </w:t>
      </w:r>
      <w:r w:rsidR="009619BF" w:rsidRPr="00EA59C0">
        <w:rPr>
          <w:color w:val="auto"/>
        </w:rPr>
        <w:t>group(s)</w:t>
      </w:r>
      <w:r w:rsidR="00C026A6" w:rsidRPr="00EA59C0">
        <w:rPr>
          <w:color w:val="auto"/>
        </w:rPr>
        <w:t xml:space="preserve"> </w:t>
      </w:r>
      <w:r w:rsidR="009619BF" w:rsidRPr="00EA59C0">
        <w:rPr>
          <w:color w:val="auto"/>
        </w:rPr>
        <w:t>(that</w:t>
      </w:r>
      <w:r w:rsidR="00C026A6" w:rsidRPr="00EA59C0">
        <w:rPr>
          <w:color w:val="auto"/>
        </w:rPr>
        <w:t xml:space="preserve"> </w:t>
      </w:r>
      <w:r w:rsidR="009619BF" w:rsidRPr="00EA59C0">
        <w:rPr>
          <w:color w:val="auto"/>
        </w:rPr>
        <w:t>would</w:t>
      </w:r>
      <w:r w:rsidR="00C026A6" w:rsidRPr="00EA59C0">
        <w:rPr>
          <w:color w:val="auto"/>
        </w:rPr>
        <w:t xml:space="preserve"> </w:t>
      </w:r>
      <w:r w:rsidR="009619BF" w:rsidRPr="00EA59C0">
        <w:rPr>
          <w:color w:val="auto"/>
        </w:rPr>
        <w:t>receive</w:t>
      </w:r>
      <w:r w:rsidR="00C026A6" w:rsidRPr="00EA59C0">
        <w:rPr>
          <w:color w:val="auto"/>
        </w:rPr>
        <w:t xml:space="preserve"> </w:t>
      </w:r>
      <w:r w:rsidR="009619BF" w:rsidRPr="00EA59C0">
        <w:rPr>
          <w:color w:val="auto"/>
        </w:rPr>
        <w:t>no</w:t>
      </w:r>
      <w:r w:rsidR="00C026A6" w:rsidRPr="00EA59C0">
        <w:rPr>
          <w:color w:val="auto"/>
        </w:rPr>
        <w:t xml:space="preserve"> </w:t>
      </w:r>
      <w:r w:rsidR="009619BF" w:rsidRPr="00EA59C0">
        <w:rPr>
          <w:color w:val="auto"/>
        </w:rPr>
        <w:t>program</w:t>
      </w:r>
      <w:r w:rsidR="00C026A6" w:rsidRPr="00EA59C0">
        <w:rPr>
          <w:color w:val="auto"/>
        </w:rPr>
        <w:t xml:space="preserve"> </w:t>
      </w:r>
      <w:r w:rsidR="009619BF" w:rsidRPr="00EA59C0">
        <w:rPr>
          <w:color w:val="auto"/>
        </w:rPr>
        <w:t>services</w:t>
      </w:r>
      <w:r w:rsidR="00C026A6" w:rsidRPr="00EA59C0">
        <w:rPr>
          <w:color w:val="auto"/>
        </w:rPr>
        <w:t xml:space="preserve"> </w:t>
      </w:r>
      <w:r w:rsidR="009619BF" w:rsidRPr="00EA59C0">
        <w:rPr>
          <w:color w:val="auto"/>
        </w:rPr>
        <w:t>or</w:t>
      </w:r>
      <w:r w:rsidR="00C026A6" w:rsidRPr="00EA59C0">
        <w:rPr>
          <w:color w:val="auto"/>
        </w:rPr>
        <w:t xml:space="preserve"> </w:t>
      </w:r>
      <w:r w:rsidR="009619BF" w:rsidRPr="00EA59C0">
        <w:rPr>
          <w:color w:val="auto"/>
        </w:rPr>
        <w:t>un-enhanced</w:t>
      </w:r>
      <w:r w:rsidR="00C026A6" w:rsidRPr="00EA59C0">
        <w:rPr>
          <w:color w:val="auto"/>
        </w:rPr>
        <w:t xml:space="preserve"> </w:t>
      </w:r>
      <w:r w:rsidR="009619BF" w:rsidRPr="00EA59C0">
        <w:rPr>
          <w:color w:val="auto"/>
        </w:rPr>
        <w:t>program</w:t>
      </w:r>
      <w:r w:rsidR="00C026A6" w:rsidRPr="00EA59C0">
        <w:rPr>
          <w:color w:val="auto"/>
        </w:rPr>
        <w:t xml:space="preserve"> </w:t>
      </w:r>
      <w:r w:rsidR="009619BF" w:rsidRPr="00EA59C0">
        <w:rPr>
          <w:color w:val="auto"/>
        </w:rPr>
        <w:t>services).</w:t>
      </w:r>
      <w:r w:rsidR="00C026A6" w:rsidRPr="00EA59C0">
        <w:rPr>
          <w:color w:val="auto"/>
        </w:rPr>
        <w:t xml:space="preserve">  </w:t>
      </w:r>
      <w:r w:rsidR="009619BF" w:rsidRPr="00EA59C0">
        <w:rPr>
          <w:color w:val="auto"/>
        </w:rPr>
        <w:t>This</w:t>
      </w:r>
      <w:r w:rsidR="00C026A6" w:rsidRPr="00EA59C0">
        <w:rPr>
          <w:color w:val="auto"/>
        </w:rPr>
        <w:t xml:space="preserve"> </w:t>
      </w:r>
      <w:r w:rsidR="009619BF" w:rsidRPr="00EA59C0">
        <w:rPr>
          <w:color w:val="auto"/>
        </w:rPr>
        <w:t>is</w:t>
      </w:r>
      <w:r w:rsidR="00C026A6" w:rsidRPr="00EA59C0">
        <w:rPr>
          <w:color w:val="auto"/>
        </w:rPr>
        <w:t xml:space="preserve"> </w:t>
      </w:r>
      <w:r w:rsidR="009619BF" w:rsidRPr="00EA59C0">
        <w:rPr>
          <w:color w:val="auto"/>
        </w:rPr>
        <w:t>similar</w:t>
      </w:r>
      <w:r w:rsidR="00C026A6" w:rsidRPr="00EA59C0">
        <w:rPr>
          <w:color w:val="auto"/>
        </w:rPr>
        <w:t xml:space="preserve"> </w:t>
      </w:r>
      <w:r w:rsidR="009619BF" w:rsidRPr="00EA59C0">
        <w:rPr>
          <w:color w:val="auto"/>
        </w:rPr>
        <w:t>to</w:t>
      </w:r>
      <w:r w:rsidR="00C026A6" w:rsidRPr="00EA59C0">
        <w:rPr>
          <w:color w:val="auto"/>
        </w:rPr>
        <w:t xml:space="preserve"> </w:t>
      </w:r>
      <w:r w:rsidR="009619BF" w:rsidRPr="00EA59C0">
        <w:rPr>
          <w:color w:val="auto"/>
        </w:rPr>
        <w:t>conducting</w:t>
      </w:r>
      <w:r w:rsidR="00C026A6" w:rsidRPr="00EA59C0">
        <w:rPr>
          <w:color w:val="auto"/>
        </w:rPr>
        <w:t xml:space="preserve"> </w:t>
      </w:r>
      <w:r w:rsidR="009619BF" w:rsidRPr="00EA59C0">
        <w:rPr>
          <w:color w:val="auto"/>
        </w:rPr>
        <w:t>a</w:t>
      </w:r>
      <w:r w:rsidR="00C026A6" w:rsidRPr="00EA59C0">
        <w:rPr>
          <w:color w:val="auto"/>
        </w:rPr>
        <w:t xml:space="preserve"> </w:t>
      </w:r>
      <w:r w:rsidR="009619BF" w:rsidRPr="00EA59C0">
        <w:rPr>
          <w:color w:val="auto"/>
        </w:rPr>
        <w:t>lottery</w:t>
      </w:r>
      <w:r w:rsidR="00C026A6" w:rsidRPr="00EA59C0">
        <w:rPr>
          <w:color w:val="auto"/>
        </w:rPr>
        <w:t xml:space="preserve"> </w:t>
      </w:r>
      <w:r w:rsidR="009619BF" w:rsidRPr="00EA59C0">
        <w:rPr>
          <w:color w:val="auto"/>
        </w:rPr>
        <w:t>for</w:t>
      </w:r>
      <w:r w:rsidR="00C026A6" w:rsidRPr="00EA59C0">
        <w:rPr>
          <w:color w:val="auto"/>
        </w:rPr>
        <w:t xml:space="preserve"> </w:t>
      </w:r>
      <w:r w:rsidR="009619BF" w:rsidRPr="00EA59C0">
        <w:rPr>
          <w:color w:val="auto"/>
        </w:rPr>
        <w:t>class</w:t>
      </w:r>
      <w:r w:rsidR="00C026A6" w:rsidRPr="00EA59C0">
        <w:rPr>
          <w:color w:val="auto"/>
        </w:rPr>
        <w:t xml:space="preserve"> </w:t>
      </w:r>
      <w:r w:rsidR="009619BF" w:rsidRPr="00EA59C0">
        <w:rPr>
          <w:color w:val="auto"/>
        </w:rPr>
        <w:t>assignments</w:t>
      </w:r>
      <w:r w:rsidR="00C026A6" w:rsidRPr="00EA59C0">
        <w:rPr>
          <w:color w:val="auto"/>
        </w:rPr>
        <w:t xml:space="preserve"> </w:t>
      </w:r>
      <w:r w:rsidR="009619BF" w:rsidRPr="00EA59C0">
        <w:rPr>
          <w:color w:val="auto"/>
        </w:rPr>
        <w:t>when</w:t>
      </w:r>
      <w:r w:rsidR="00C026A6" w:rsidRPr="00EA59C0">
        <w:rPr>
          <w:color w:val="auto"/>
        </w:rPr>
        <w:t xml:space="preserve"> </w:t>
      </w:r>
      <w:r w:rsidR="009619BF" w:rsidRPr="00EA59C0">
        <w:rPr>
          <w:color w:val="auto"/>
        </w:rPr>
        <w:t>there</w:t>
      </w:r>
      <w:r w:rsidR="00C026A6" w:rsidRPr="00EA59C0">
        <w:rPr>
          <w:color w:val="auto"/>
        </w:rPr>
        <w:t xml:space="preserve"> </w:t>
      </w:r>
      <w:r w:rsidR="009619BF" w:rsidRPr="00EA59C0">
        <w:rPr>
          <w:color w:val="auto"/>
        </w:rPr>
        <w:t>is</w:t>
      </w:r>
      <w:r w:rsidR="00C026A6" w:rsidRPr="00EA59C0">
        <w:rPr>
          <w:color w:val="auto"/>
        </w:rPr>
        <w:t xml:space="preserve"> </w:t>
      </w:r>
      <w:r w:rsidR="009619BF" w:rsidRPr="00EA59C0">
        <w:rPr>
          <w:color w:val="auto"/>
        </w:rPr>
        <w:t>a</w:t>
      </w:r>
      <w:r w:rsidR="00C026A6" w:rsidRPr="00EA59C0">
        <w:rPr>
          <w:color w:val="auto"/>
        </w:rPr>
        <w:t xml:space="preserve"> </w:t>
      </w:r>
      <w:r w:rsidR="009619BF" w:rsidRPr="00EA59C0">
        <w:rPr>
          <w:color w:val="auto"/>
        </w:rPr>
        <w:t>waiting</w:t>
      </w:r>
      <w:r w:rsidR="00C026A6" w:rsidRPr="00EA59C0">
        <w:rPr>
          <w:color w:val="auto"/>
        </w:rPr>
        <w:t xml:space="preserve"> </w:t>
      </w:r>
      <w:r w:rsidR="009619BF" w:rsidRPr="00EA59C0">
        <w:rPr>
          <w:color w:val="auto"/>
        </w:rPr>
        <w:t>list.</w:t>
      </w:r>
      <w:r w:rsidR="00C026A6" w:rsidRPr="00EA59C0">
        <w:rPr>
          <w:color w:val="auto"/>
        </w:rPr>
        <w:t xml:space="preserve">  </w:t>
      </w:r>
      <w:r w:rsidR="009619BF" w:rsidRPr="00EA59C0">
        <w:rPr>
          <w:color w:val="auto"/>
        </w:rPr>
        <w:t>As</w:t>
      </w:r>
      <w:r w:rsidR="00C026A6" w:rsidRPr="00EA59C0">
        <w:rPr>
          <w:color w:val="auto"/>
        </w:rPr>
        <w:t xml:space="preserve"> </w:t>
      </w:r>
      <w:r w:rsidR="009619BF" w:rsidRPr="00EA59C0">
        <w:rPr>
          <w:color w:val="auto"/>
        </w:rPr>
        <w:t>a</w:t>
      </w:r>
      <w:r w:rsidR="00C026A6" w:rsidRPr="00EA59C0">
        <w:rPr>
          <w:color w:val="auto"/>
        </w:rPr>
        <w:t xml:space="preserve"> </w:t>
      </w:r>
      <w:r w:rsidR="009619BF" w:rsidRPr="00EA59C0">
        <w:rPr>
          <w:color w:val="auto"/>
        </w:rPr>
        <w:t>part</w:t>
      </w:r>
      <w:r w:rsidR="00C026A6" w:rsidRPr="00EA59C0">
        <w:rPr>
          <w:color w:val="auto"/>
        </w:rPr>
        <w:t xml:space="preserve"> </w:t>
      </w:r>
      <w:r w:rsidR="009619BF" w:rsidRPr="00EA59C0">
        <w:rPr>
          <w:color w:val="auto"/>
        </w:rPr>
        <w:t>of</w:t>
      </w:r>
      <w:r w:rsidR="00C026A6" w:rsidRPr="00EA59C0">
        <w:rPr>
          <w:color w:val="auto"/>
        </w:rPr>
        <w:t xml:space="preserve"> </w:t>
      </w:r>
      <w:r w:rsidR="009619BF" w:rsidRPr="00EA59C0">
        <w:rPr>
          <w:color w:val="auto"/>
        </w:rPr>
        <w:t>the</w:t>
      </w:r>
      <w:r w:rsidR="00C026A6" w:rsidRPr="00EA59C0">
        <w:rPr>
          <w:color w:val="auto"/>
        </w:rPr>
        <w:t xml:space="preserve"> </w:t>
      </w:r>
      <w:r w:rsidR="009619BF" w:rsidRPr="00EA59C0">
        <w:rPr>
          <w:color w:val="auto"/>
        </w:rPr>
        <w:t>national</w:t>
      </w:r>
      <w:r w:rsidR="00C026A6" w:rsidRPr="00EA59C0">
        <w:rPr>
          <w:color w:val="auto"/>
        </w:rPr>
        <w:t xml:space="preserve"> </w:t>
      </w:r>
      <w:r w:rsidR="009619BF" w:rsidRPr="00EA59C0">
        <w:rPr>
          <w:color w:val="auto"/>
        </w:rPr>
        <w:t>evaluation,</w:t>
      </w:r>
      <w:r w:rsidR="00C026A6" w:rsidRPr="00EA59C0">
        <w:rPr>
          <w:color w:val="auto"/>
        </w:rPr>
        <w:t xml:space="preserve"> </w:t>
      </w:r>
      <w:r w:rsidR="009619BF" w:rsidRPr="00EA59C0">
        <w:rPr>
          <w:color w:val="auto"/>
        </w:rPr>
        <w:t>grantees</w:t>
      </w:r>
      <w:r w:rsidR="00C026A6" w:rsidRPr="00EA59C0">
        <w:rPr>
          <w:color w:val="auto"/>
        </w:rPr>
        <w:t xml:space="preserve"> </w:t>
      </w:r>
      <w:r w:rsidR="009619BF" w:rsidRPr="00EA59C0">
        <w:rPr>
          <w:color w:val="auto"/>
        </w:rPr>
        <w:t>must</w:t>
      </w:r>
      <w:r w:rsidR="00C026A6" w:rsidRPr="00EA59C0">
        <w:rPr>
          <w:color w:val="auto"/>
        </w:rPr>
        <w:t xml:space="preserve"> </w:t>
      </w:r>
      <w:r w:rsidR="009619BF" w:rsidRPr="00EA59C0">
        <w:rPr>
          <w:color w:val="auto"/>
        </w:rPr>
        <w:t>agree</w:t>
      </w:r>
      <w:r w:rsidR="00C026A6" w:rsidRPr="00EA59C0">
        <w:rPr>
          <w:color w:val="auto"/>
        </w:rPr>
        <w:t xml:space="preserve"> </w:t>
      </w:r>
      <w:r w:rsidR="009619BF" w:rsidRPr="00EA59C0">
        <w:rPr>
          <w:color w:val="auto"/>
        </w:rPr>
        <w:t>to:</w:t>
      </w:r>
      <w:r w:rsidR="00C026A6" w:rsidRPr="00EA59C0">
        <w:rPr>
          <w:color w:val="auto"/>
        </w:rPr>
        <w:t xml:space="preserve"> </w:t>
      </w:r>
      <w:r w:rsidR="009619BF" w:rsidRPr="00EA59C0">
        <w:rPr>
          <w:color w:val="auto"/>
        </w:rPr>
        <w:t>(1)</w:t>
      </w:r>
      <w:r w:rsidR="00C026A6" w:rsidRPr="00EA59C0">
        <w:rPr>
          <w:color w:val="auto"/>
        </w:rPr>
        <w:t xml:space="preserve"> </w:t>
      </w:r>
      <w:r w:rsidR="009619BF" w:rsidRPr="00EA59C0">
        <w:rPr>
          <w:color w:val="auto"/>
        </w:rPr>
        <w:t>make</w:t>
      </w:r>
      <w:r w:rsidR="00C026A6" w:rsidRPr="00EA59C0">
        <w:rPr>
          <w:color w:val="auto"/>
        </w:rPr>
        <w:t xml:space="preserve"> </w:t>
      </w:r>
      <w:r w:rsidR="009619BF" w:rsidRPr="00EA59C0">
        <w:rPr>
          <w:color w:val="auto"/>
        </w:rPr>
        <w:t>records</w:t>
      </w:r>
      <w:r w:rsidR="00C026A6" w:rsidRPr="00EA59C0">
        <w:rPr>
          <w:color w:val="auto"/>
        </w:rPr>
        <w:t xml:space="preserve"> </w:t>
      </w:r>
      <w:r w:rsidR="009619BF" w:rsidRPr="00EA59C0">
        <w:rPr>
          <w:color w:val="auto"/>
        </w:rPr>
        <w:t>on</w:t>
      </w:r>
      <w:r w:rsidR="00C026A6" w:rsidRPr="00EA59C0">
        <w:rPr>
          <w:color w:val="auto"/>
        </w:rPr>
        <w:t xml:space="preserve"> </w:t>
      </w:r>
      <w:r w:rsidR="009619BF" w:rsidRPr="00EA59C0">
        <w:rPr>
          <w:color w:val="auto"/>
        </w:rPr>
        <w:t>participants,</w:t>
      </w:r>
      <w:r w:rsidR="00C026A6" w:rsidRPr="00EA59C0">
        <w:rPr>
          <w:color w:val="auto"/>
        </w:rPr>
        <w:t xml:space="preserve"> </w:t>
      </w:r>
      <w:r w:rsidR="009619BF" w:rsidRPr="00EA59C0">
        <w:rPr>
          <w:color w:val="auto"/>
        </w:rPr>
        <w:t>employers,</w:t>
      </w:r>
      <w:r w:rsidR="00C026A6" w:rsidRPr="00EA59C0">
        <w:rPr>
          <w:color w:val="auto"/>
        </w:rPr>
        <w:t xml:space="preserve"> </w:t>
      </w:r>
      <w:r w:rsidR="009619BF" w:rsidRPr="00EA59C0">
        <w:rPr>
          <w:color w:val="auto"/>
        </w:rPr>
        <w:t>and</w:t>
      </w:r>
      <w:r w:rsidR="00C026A6" w:rsidRPr="00EA59C0">
        <w:rPr>
          <w:color w:val="auto"/>
        </w:rPr>
        <w:t xml:space="preserve"> </w:t>
      </w:r>
      <w:r w:rsidR="009619BF" w:rsidRPr="00EA59C0">
        <w:rPr>
          <w:color w:val="auto"/>
        </w:rPr>
        <w:t>funding</w:t>
      </w:r>
      <w:r w:rsidR="00C026A6" w:rsidRPr="00EA59C0">
        <w:rPr>
          <w:color w:val="auto"/>
        </w:rPr>
        <w:t xml:space="preserve"> </w:t>
      </w:r>
      <w:r w:rsidR="009619BF" w:rsidRPr="00EA59C0">
        <w:rPr>
          <w:color w:val="auto"/>
        </w:rPr>
        <w:t>available;</w:t>
      </w:r>
      <w:r w:rsidR="00C026A6" w:rsidRPr="00EA59C0">
        <w:rPr>
          <w:color w:val="auto"/>
        </w:rPr>
        <w:t xml:space="preserve"> </w:t>
      </w:r>
      <w:r w:rsidR="009619BF" w:rsidRPr="00EA59C0">
        <w:rPr>
          <w:color w:val="auto"/>
        </w:rPr>
        <w:t>(2)</w:t>
      </w:r>
      <w:r w:rsidR="00C026A6" w:rsidRPr="00EA59C0">
        <w:rPr>
          <w:color w:val="auto"/>
        </w:rPr>
        <w:t xml:space="preserve"> </w:t>
      </w:r>
      <w:r w:rsidR="009619BF" w:rsidRPr="00EA59C0">
        <w:rPr>
          <w:color w:val="auto"/>
        </w:rPr>
        <w:t>provide</w:t>
      </w:r>
      <w:r w:rsidR="00C026A6" w:rsidRPr="00EA59C0">
        <w:rPr>
          <w:color w:val="auto"/>
        </w:rPr>
        <w:t xml:space="preserve"> </w:t>
      </w:r>
      <w:r w:rsidR="009619BF" w:rsidRPr="00EA59C0">
        <w:rPr>
          <w:color w:val="auto"/>
        </w:rPr>
        <w:t>access</w:t>
      </w:r>
      <w:r w:rsidR="00C026A6" w:rsidRPr="00EA59C0">
        <w:rPr>
          <w:color w:val="auto"/>
        </w:rPr>
        <w:t xml:space="preserve"> </w:t>
      </w:r>
      <w:r w:rsidR="009619BF" w:rsidRPr="00EA59C0">
        <w:rPr>
          <w:color w:val="auto"/>
        </w:rPr>
        <w:t>to</w:t>
      </w:r>
      <w:r w:rsidR="00C026A6" w:rsidRPr="00EA59C0">
        <w:rPr>
          <w:color w:val="auto"/>
        </w:rPr>
        <w:t xml:space="preserve"> </w:t>
      </w:r>
      <w:r w:rsidR="009619BF" w:rsidRPr="00EA59C0">
        <w:rPr>
          <w:color w:val="auto"/>
        </w:rPr>
        <w:t>program</w:t>
      </w:r>
      <w:r w:rsidR="00C026A6" w:rsidRPr="00EA59C0">
        <w:rPr>
          <w:color w:val="auto"/>
        </w:rPr>
        <w:t xml:space="preserve"> </w:t>
      </w:r>
      <w:r w:rsidR="009619BF" w:rsidRPr="00EA59C0">
        <w:rPr>
          <w:color w:val="auto"/>
        </w:rPr>
        <w:t>operating</w:t>
      </w:r>
      <w:r w:rsidR="00C026A6" w:rsidRPr="00EA59C0">
        <w:rPr>
          <w:color w:val="auto"/>
        </w:rPr>
        <w:t xml:space="preserve"> </w:t>
      </w:r>
      <w:r w:rsidR="009619BF" w:rsidRPr="00EA59C0">
        <w:rPr>
          <w:color w:val="auto"/>
        </w:rPr>
        <w:t>personnel</w:t>
      </w:r>
      <w:r w:rsidR="00C026A6" w:rsidRPr="00EA59C0">
        <w:rPr>
          <w:color w:val="auto"/>
        </w:rPr>
        <w:t xml:space="preserve"> </w:t>
      </w:r>
      <w:r w:rsidR="009619BF" w:rsidRPr="00EA59C0">
        <w:rPr>
          <w:color w:val="auto"/>
        </w:rPr>
        <w:t>and</w:t>
      </w:r>
      <w:r w:rsidR="00C026A6" w:rsidRPr="00EA59C0">
        <w:rPr>
          <w:color w:val="auto"/>
        </w:rPr>
        <w:t xml:space="preserve"> </w:t>
      </w:r>
      <w:r w:rsidR="009619BF" w:rsidRPr="00EA59C0">
        <w:rPr>
          <w:color w:val="auto"/>
        </w:rPr>
        <w:t>participants;</w:t>
      </w:r>
      <w:r w:rsidR="00C026A6" w:rsidRPr="00EA59C0">
        <w:rPr>
          <w:color w:val="auto"/>
        </w:rPr>
        <w:t xml:space="preserve"> </w:t>
      </w:r>
      <w:r w:rsidR="009619BF" w:rsidRPr="00EA59C0">
        <w:rPr>
          <w:color w:val="auto"/>
        </w:rPr>
        <w:t>and</w:t>
      </w:r>
      <w:r w:rsidR="00C026A6" w:rsidRPr="00EA59C0">
        <w:rPr>
          <w:color w:val="auto"/>
        </w:rPr>
        <w:t xml:space="preserve"> </w:t>
      </w:r>
      <w:r w:rsidR="009619BF" w:rsidRPr="00EA59C0">
        <w:rPr>
          <w:color w:val="auto"/>
        </w:rPr>
        <w:t>(3)</w:t>
      </w:r>
      <w:r w:rsidR="00C026A6" w:rsidRPr="00EA59C0">
        <w:rPr>
          <w:color w:val="auto"/>
        </w:rPr>
        <w:t xml:space="preserve"> </w:t>
      </w:r>
      <w:r w:rsidR="009619BF" w:rsidRPr="00EA59C0">
        <w:rPr>
          <w:color w:val="auto"/>
        </w:rPr>
        <w:t>follow</w:t>
      </w:r>
      <w:r w:rsidR="00C026A6" w:rsidRPr="00EA59C0">
        <w:rPr>
          <w:color w:val="auto"/>
        </w:rPr>
        <w:t xml:space="preserve"> </w:t>
      </w:r>
      <w:r w:rsidR="009619BF" w:rsidRPr="00EA59C0">
        <w:rPr>
          <w:color w:val="auto"/>
        </w:rPr>
        <w:t>evaluation</w:t>
      </w:r>
      <w:r w:rsidR="00C026A6" w:rsidRPr="00EA59C0">
        <w:rPr>
          <w:color w:val="auto"/>
        </w:rPr>
        <w:t xml:space="preserve"> </w:t>
      </w:r>
      <w:r w:rsidR="009619BF" w:rsidRPr="00EA59C0">
        <w:rPr>
          <w:color w:val="auto"/>
        </w:rPr>
        <w:t>procedures</w:t>
      </w:r>
      <w:r w:rsidR="00C026A6" w:rsidRPr="00EA59C0">
        <w:rPr>
          <w:color w:val="auto"/>
        </w:rPr>
        <w:t xml:space="preserve"> </w:t>
      </w:r>
      <w:r w:rsidR="009619BF" w:rsidRPr="00EA59C0">
        <w:rPr>
          <w:color w:val="auto"/>
        </w:rPr>
        <w:t>as</w:t>
      </w:r>
      <w:r w:rsidR="00C026A6" w:rsidRPr="00EA59C0">
        <w:rPr>
          <w:color w:val="auto"/>
        </w:rPr>
        <w:t xml:space="preserve"> </w:t>
      </w:r>
      <w:r w:rsidR="009619BF" w:rsidRPr="00EA59C0">
        <w:rPr>
          <w:color w:val="auto"/>
        </w:rPr>
        <w:t>specified</w:t>
      </w:r>
      <w:r w:rsidR="00C026A6" w:rsidRPr="00EA59C0">
        <w:rPr>
          <w:color w:val="auto"/>
        </w:rPr>
        <w:t xml:space="preserve"> </w:t>
      </w:r>
      <w:r w:rsidR="009619BF" w:rsidRPr="00EA59C0">
        <w:rPr>
          <w:color w:val="auto"/>
        </w:rPr>
        <w:t>by</w:t>
      </w:r>
      <w:r w:rsidR="00C026A6" w:rsidRPr="00EA59C0">
        <w:rPr>
          <w:color w:val="auto"/>
        </w:rPr>
        <w:t xml:space="preserve"> </w:t>
      </w:r>
      <w:r w:rsidR="009619BF" w:rsidRPr="00EA59C0">
        <w:rPr>
          <w:color w:val="auto"/>
        </w:rPr>
        <w:t>the</w:t>
      </w:r>
      <w:r w:rsidR="00C026A6" w:rsidRPr="00EA59C0">
        <w:rPr>
          <w:color w:val="auto"/>
        </w:rPr>
        <w:t xml:space="preserve"> </w:t>
      </w:r>
      <w:r w:rsidR="009619BF" w:rsidRPr="00EA59C0">
        <w:rPr>
          <w:color w:val="auto"/>
        </w:rPr>
        <w:t>national</w:t>
      </w:r>
      <w:r w:rsidR="00C026A6" w:rsidRPr="00EA59C0">
        <w:rPr>
          <w:color w:val="auto"/>
        </w:rPr>
        <w:t xml:space="preserve"> </w:t>
      </w:r>
      <w:r w:rsidR="009619BF" w:rsidRPr="00EA59C0">
        <w:rPr>
          <w:color w:val="auto"/>
        </w:rPr>
        <w:t>evaluator</w:t>
      </w:r>
      <w:r w:rsidR="00C026A6" w:rsidRPr="00EA59C0">
        <w:rPr>
          <w:color w:val="auto"/>
        </w:rPr>
        <w:t xml:space="preserve"> </w:t>
      </w:r>
      <w:r w:rsidR="009619BF" w:rsidRPr="00EA59C0">
        <w:rPr>
          <w:color w:val="auto"/>
        </w:rPr>
        <w:t>under</w:t>
      </w:r>
      <w:r w:rsidR="00C026A6" w:rsidRPr="00EA59C0">
        <w:rPr>
          <w:color w:val="auto"/>
        </w:rPr>
        <w:t xml:space="preserve"> </w:t>
      </w:r>
      <w:r w:rsidR="009619BF" w:rsidRPr="00EA59C0">
        <w:rPr>
          <w:color w:val="auto"/>
        </w:rPr>
        <w:t>the</w:t>
      </w:r>
      <w:r w:rsidR="00C026A6" w:rsidRPr="00EA59C0">
        <w:rPr>
          <w:color w:val="auto"/>
        </w:rPr>
        <w:t xml:space="preserve"> </w:t>
      </w:r>
      <w:r w:rsidR="009619BF" w:rsidRPr="00EA59C0">
        <w:rPr>
          <w:color w:val="auto"/>
        </w:rPr>
        <w:t>direction</w:t>
      </w:r>
      <w:r w:rsidR="00C026A6" w:rsidRPr="00EA59C0">
        <w:rPr>
          <w:color w:val="auto"/>
        </w:rPr>
        <w:t xml:space="preserve"> </w:t>
      </w:r>
      <w:r w:rsidR="009619BF" w:rsidRPr="00EA59C0">
        <w:rPr>
          <w:color w:val="auto"/>
        </w:rPr>
        <w:t>of</w:t>
      </w:r>
      <w:r w:rsidR="00C026A6" w:rsidRPr="00EA59C0">
        <w:rPr>
          <w:color w:val="auto"/>
        </w:rPr>
        <w:t xml:space="preserve"> </w:t>
      </w:r>
      <w:r w:rsidR="009619BF" w:rsidRPr="00EA59C0">
        <w:rPr>
          <w:color w:val="auto"/>
        </w:rPr>
        <w:t>DOL</w:t>
      </w:r>
      <w:r w:rsidR="00C026A6" w:rsidRPr="00EA59C0">
        <w:rPr>
          <w:color w:val="auto"/>
        </w:rPr>
        <w:t xml:space="preserve"> </w:t>
      </w:r>
      <w:r w:rsidR="009619BF" w:rsidRPr="00EA59C0">
        <w:rPr>
          <w:color w:val="auto"/>
        </w:rPr>
        <w:t>including</w:t>
      </w:r>
      <w:r w:rsidR="00C026A6" w:rsidRPr="00EA59C0">
        <w:rPr>
          <w:color w:val="auto"/>
        </w:rPr>
        <w:t xml:space="preserve"> </w:t>
      </w:r>
      <w:r w:rsidR="009619BF" w:rsidRPr="00EA59C0">
        <w:rPr>
          <w:color w:val="auto"/>
        </w:rPr>
        <w:t>after</w:t>
      </w:r>
      <w:r w:rsidR="00C026A6" w:rsidRPr="00EA59C0">
        <w:rPr>
          <w:color w:val="auto"/>
        </w:rPr>
        <w:t xml:space="preserve"> </w:t>
      </w:r>
      <w:r w:rsidR="009619BF" w:rsidRPr="00EA59C0">
        <w:rPr>
          <w:color w:val="auto"/>
        </w:rPr>
        <w:t>the</w:t>
      </w:r>
      <w:r w:rsidR="00C026A6" w:rsidRPr="00EA59C0">
        <w:rPr>
          <w:color w:val="auto"/>
        </w:rPr>
        <w:t xml:space="preserve"> </w:t>
      </w:r>
      <w:r w:rsidR="009619BF" w:rsidRPr="00EA59C0">
        <w:rPr>
          <w:color w:val="auto"/>
        </w:rPr>
        <w:t>grant</w:t>
      </w:r>
      <w:r w:rsidR="00C026A6" w:rsidRPr="00EA59C0">
        <w:rPr>
          <w:color w:val="auto"/>
        </w:rPr>
        <w:t xml:space="preserve"> </w:t>
      </w:r>
      <w:r w:rsidR="009619BF" w:rsidRPr="00EA59C0">
        <w:rPr>
          <w:color w:val="auto"/>
        </w:rPr>
        <w:t>period</w:t>
      </w:r>
      <w:r w:rsidR="00C026A6" w:rsidRPr="00EA59C0">
        <w:rPr>
          <w:color w:val="auto"/>
        </w:rPr>
        <w:t xml:space="preserve"> </w:t>
      </w:r>
      <w:r w:rsidR="009619BF" w:rsidRPr="00EA59C0">
        <w:rPr>
          <w:color w:val="auto"/>
        </w:rPr>
        <w:t>of</w:t>
      </w:r>
      <w:r w:rsidR="00C026A6" w:rsidRPr="00EA59C0">
        <w:rPr>
          <w:color w:val="auto"/>
        </w:rPr>
        <w:t xml:space="preserve"> </w:t>
      </w:r>
      <w:r w:rsidR="009619BF" w:rsidRPr="00EA59C0">
        <w:rPr>
          <w:color w:val="auto"/>
        </w:rPr>
        <w:t>performance.</w:t>
      </w:r>
    </w:p>
    <w:p w:rsidR="00080097" w:rsidRPr="00EA59C0" w:rsidRDefault="00080097" w:rsidP="00080097">
      <w:pPr>
        <w:pStyle w:val="Default"/>
        <w:ind w:left="720"/>
        <w:rPr>
          <w:color w:val="auto"/>
        </w:rPr>
      </w:pPr>
    </w:p>
    <w:p w:rsidR="00532A29" w:rsidRPr="00EA59C0" w:rsidRDefault="00532A29" w:rsidP="00080097">
      <w:pPr>
        <w:pStyle w:val="Heading2"/>
        <w:numPr>
          <w:ilvl w:val="2"/>
          <w:numId w:val="17"/>
        </w:numPr>
        <w:rPr>
          <w:rFonts w:ascii="Times New Roman" w:hAnsi="Times New Roman"/>
          <w:b w:val="0"/>
          <w:i w:val="0"/>
        </w:rPr>
      </w:pPr>
      <w:r w:rsidRPr="00EA59C0">
        <w:rPr>
          <w:rFonts w:ascii="Times New Roman" w:hAnsi="Times New Roman"/>
          <w:b w:val="0"/>
          <w:i w:val="0"/>
        </w:rPr>
        <w:t>Summary</w:t>
      </w:r>
      <w:r w:rsidR="00C026A6" w:rsidRPr="00EA59C0">
        <w:rPr>
          <w:rFonts w:ascii="Times New Roman" w:hAnsi="Times New Roman"/>
          <w:b w:val="0"/>
          <w:i w:val="0"/>
        </w:rPr>
        <w:t xml:space="preserve"> </w:t>
      </w:r>
      <w:r w:rsidRPr="00EA59C0">
        <w:rPr>
          <w:rFonts w:ascii="Times New Roman" w:hAnsi="Times New Roman"/>
          <w:b w:val="0"/>
          <w:i w:val="0"/>
        </w:rPr>
        <w:t>Evaluation</w:t>
      </w:r>
      <w:r w:rsidR="00C026A6" w:rsidRPr="00EA59C0">
        <w:rPr>
          <w:rFonts w:ascii="Times New Roman" w:hAnsi="Times New Roman"/>
          <w:b w:val="0"/>
          <w:i w:val="0"/>
        </w:rPr>
        <w:t xml:space="preserve"> </w:t>
      </w:r>
      <w:r w:rsidRPr="00EA59C0">
        <w:rPr>
          <w:rFonts w:ascii="Times New Roman" w:hAnsi="Times New Roman"/>
          <w:b w:val="0"/>
          <w:i w:val="0"/>
        </w:rPr>
        <w:t>Plan</w:t>
      </w:r>
      <w:r w:rsidR="00C026A6" w:rsidRPr="00EA59C0">
        <w:rPr>
          <w:rFonts w:ascii="Times New Roman" w:hAnsi="Times New Roman"/>
          <w:b w:val="0"/>
          <w:i w:val="0"/>
        </w:rPr>
        <w:t xml:space="preserve"> </w:t>
      </w:r>
    </w:p>
    <w:p w:rsidR="00532A29" w:rsidRPr="00EA59C0" w:rsidRDefault="00532A29" w:rsidP="00FA0E98">
      <w:pPr>
        <w:pStyle w:val="Default"/>
        <w:ind w:left="1080"/>
        <w:rPr>
          <w:color w:val="auto"/>
        </w:rPr>
      </w:pPr>
      <w:r w:rsidRPr="00EA59C0">
        <w:rPr>
          <w:color w:val="auto"/>
        </w:rPr>
        <w:t>The</w:t>
      </w:r>
      <w:r w:rsidR="00C026A6" w:rsidRPr="00EA59C0">
        <w:rPr>
          <w:color w:val="auto"/>
        </w:rPr>
        <w:t xml:space="preserve"> </w:t>
      </w:r>
      <w:r w:rsidRPr="00EA59C0">
        <w:rPr>
          <w:color w:val="auto"/>
        </w:rPr>
        <w:t>summary</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plan</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include</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description</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plan,</w:t>
      </w:r>
      <w:r w:rsidR="00C026A6" w:rsidRPr="00EA59C0">
        <w:rPr>
          <w:color w:val="auto"/>
        </w:rPr>
        <w:t xml:space="preserve"> </w:t>
      </w:r>
      <w:r w:rsidRPr="00EA59C0">
        <w:rPr>
          <w:color w:val="auto"/>
        </w:rPr>
        <w:t>proposed</w:t>
      </w:r>
      <w:r w:rsidR="00C026A6" w:rsidRPr="00EA59C0">
        <w:rPr>
          <w:color w:val="auto"/>
        </w:rPr>
        <w:t xml:space="preserve"> </w:t>
      </w:r>
      <w:r w:rsidRPr="00EA59C0">
        <w:rPr>
          <w:color w:val="auto"/>
        </w:rPr>
        <w:t>timeline</w:t>
      </w:r>
      <w:r w:rsidR="00C026A6" w:rsidRPr="00EA59C0">
        <w:rPr>
          <w:color w:val="auto"/>
        </w:rPr>
        <w:t xml:space="preserve"> </w:t>
      </w:r>
      <w:r w:rsidRPr="00EA59C0">
        <w:rPr>
          <w:color w:val="auto"/>
        </w:rPr>
        <w:t>including</w:t>
      </w:r>
      <w:r w:rsidR="00C026A6" w:rsidRPr="00EA59C0">
        <w:rPr>
          <w:color w:val="auto"/>
        </w:rPr>
        <w:t xml:space="preserve"> </w:t>
      </w:r>
      <w:r w:rsidRPr="00EA59C0">
        <w:rPr>
          <w:color w:val="auto"/>
        </w:rPr>
        <w:t>dates</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submission</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interim</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final</w:t>
      </w:r>
      <w:r w:rsidR="00C026A6" w:rsidRPr="00EA59C0">
        <w:rPr>
          <w:color w:val="auto"/>
        </w:rPr>
        <w:t xml:space="preserve"> </w:t>
      </w:r>
      <w:r w:rsidRPr="00EA59C0">
        <w:rPr>
          <w:color w:val="auto"/>
        </w:rPr>
        <w:t>reports,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information</w:t>
      </w:r>
      <w:r w:rsidR="00C026A6" w:rsidRPr="00EA59C0">
        <w:rPr>
          <w:color w:val="auto"/>
        </w:rPr>
        <w:t xml:space="preserve"> </w:t>
      </w:r>
      <w:r w:rsidRPr="00EA59C0">
        <w:rPr>
          <w:color w:val="auto"/>
        </w:rPr>
        <w:t>about</w:t>
      </w:r>
      <w:r w:rsidR="00C026A6" w:rsidRPr="00EA59C0">
        <w:rPr>
          <w:color w:val="auto"/>
        </w:rPr>
        <w:t xml:space="preserve"> </w:t>
      </w:r>
      <w:r w:rsidRPr="00EA59C0">
        <w:rPr>
          <w:color w:val="auto"/>
        </w:rPr>
        <w:t>data</w:t>
      </w:r>
      <w:r w:rsidR="00C026A6" w:rsidRPr="00EA59C0">
        <w:rPr>
          <w:color w:val="auto"/>
        </w:rPr>
        <w:t xml:space="preserve"> </w:t>
      </w:r>
      <w:r w:rsidRPr="00EA59C0">
        <w:rPr>
          <w:color w:val="auto"/>
        </w:rPr>
        <w:t>collection</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data</w:t>
      </w:r>
      <w:r w:rsidR="00C026A6" w:rsidRPr="00EA59C0">
        <w:rPr>
          <w:color w:val="auto"/>
        </w:rPr>
        <w:t xml:space="preserve"> </w:t>
      </w:r>
      <w:r w:rsidRPr="00EA59C0">
        <w:rPr>
          <w:color w:val="auto"/>
        </w:rPr>
        <w:t>sources</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used.</w:t>
      </w:r>
      <w:r w:rsidR="00C026A6" w:rsidRPr="00EA59C0">
        <w:rPr>
          <w:color w:val="auto"/>
        </w:rPr>
        <w:t xml:space="preserve">  </w:t>
      </w:r>
      <w:r w:rsidRPr="00EA59C0">
        <w:rPr>
          <w:color w:val="auto"/>
        </w:rPr>
        <w:t>All</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plans</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include:</w:t>
      </w:r>
      <w:r w:rsidR="00C026A6" w:rsidRPr="00EA59C0">
        <w:rPr>
          <w:color w:val="auto"/>
        </w:rPr>
        <w:t xml:space="preserve"> </w:t>
      </w:r>
      <w:r w:rsidRPr="00EA59C0">
        <w:rPr>
          <w:color w:val="auto"/>
        </w:rPr>
        <w:t>1)</w:t>
      </w:r>
      <w:r w:rsidR="00C026A6" w:rsidRPr="00EA59C0">
        <w:rPr>
          <w:color w:val="auto"/>
        </w:rPr>
        <w:t xml:space="preserve"> </w:t>
      </w:r>
      <w:r w:rsidRPr="00EA59C0">
        <w:rPr>
          <w:color w:val="auto"/>
        </w:rPr>
        <w:t>an</w:t>
      </w:r>
      <w:r w:rsidR="00C026A6" w:rsidRPr="00EA59C0">
        <w:rPr>
          <w:color w:val="auto"/>
        </w:rPr>
        <w:t xml:space="preserve"> </w:t>
      </w:r>
      <w:r w:rsidRPr="00EA59C0">
        <w:rPr>
          <w:color w:val="auto"/>
        </w:rPr>
        <w:t>analysis</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participant</w:t>
      </w:r>
      <w:r w:rsidR="00C026A6" w:rsidRPr="00EA59C0">
        <w:rPr>
          <w:color w:val="auto"/>
        </w:rPr>
        <w:t xml:space="preserve"> </w:t>
      </w:r>
      <w:r w:rsidRPr="00EA59C0">
        <w:rPr>
          <w:color w:val="auto"/>
        </w:rPr>
        <w:t>impact</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outcomes,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2)</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implementation</w:t>
      </w:r>
      <w:r w:rsidR="00C026A6" w:rsidRPr="00EA59C0">
        <w:rPr>
          <w:color w:val="auto"/>
        </w:rPr>
        <w:t xml:space="preserve"> </w:t>
      </w:r>
      <w:r w:rsidRPr="00EA59C0">
        <w:rPr>
          <w:color w:val="auto"/>
        </w:rPr>
        <w:t>assessment</w:t>
      </w:r>
      <w:r w:rsidR="00C026A6" w:rsidRPr="00EA59C0">
        <w:rPr>
          <w:color w:val="auto"/>
        </w:rPr>
        <w:t xml:space="preserve"> </w:t>
      </w:r>
      <w:r w:rsidRPr="00EA59C0">
        <w:rPr>
          <w:color w:val="auto"/>
        </w:rPr>
        <w:t>as</w:t>
      </w:r>
      <w:r w:rsidR="00C026A6" w:rsidRPr="00EA59C0">
        <w:rPr>
          <w:color w:val="auto"/>
        </w:rPr>
        <w:t xml:space="preserve"> </w:t>
      </w:r>
      <w:r w:rsidRPr="00EA59C0">
        <w:rPr>
          <w:color w:val="auto"/>
        </w:rPr>
        <w:t>described</w:t>
      </w:r>
      <w:r w:rsidR="00C026A6" w:rsidRPr="00EA59C0">
        <w:rPr>
          <w:color w:val="auto"/>
        </w:rPr>
        <w:t xml:space="preserve"> </w:t>
      </w:r>
      <w:r w:rsidRPr="00EA59C0">
        <w:rPr>
          <w:color w:val="auto"/>
        </w:rPr>
        <w:t>below.</w:t>
      </w:r>
      <w:r w:rsidR="00C026A6" w:rsidRPr="00EA59C0">
        <w:rPr>
          <w:color w:val="auto"/>
        </w:rPr>
        <w:t xml:space="preserve">  </w:t>
      </w:r>
    </w:p>
    <w:p w:rsidR="00A93F2C" w:rsidRPr="00EA59C0" w:rsidRDefault="00A93F2C" w:rsidP="00FA0E98">
      <w:pPr>
        <w:pStyle w:val="Default"/>
        <w:ind w:left="1080"/>
        <w:rPr>
          <w:color w:val="auto"/>
        </w:rPr>
      </w:pPr>
    </w:p>
    <w:p w:rsidR="00532A29" w:rsidRPr="00EA59C0" w:rsidRDefault="00532A29" w:rsidP="00FA0E98">
      <w:pPr>
        <w:pStyle w:val="Default"/>
        <w:ind w:left="1080"/>
        <w:rPr>
          <w:color w:val="auto"/>
        </w:rPr>
      </w:pPr>
      <w:r w:rsidRPr="00EA59C0">
        <w:rPr>
          <w:color w:val="auto"/>
        </w:rPr>
        <w:t>The</w:t>
      </w:r>
      <w:r w:rsidR="00C026A6" w:rsidRPr="00EA59C0">
        <w:rPr>
          <w:color w:val="auto"/>
        </w:rPr>
        <w:t xml:space="preserve"> </w:t>
      </w:r>
      <w:r w:rsidRPr="00EA59C0">
        <w:rPr>
          <w:color w:val="auto"/>
        </w:rPr>
        <w:t>Department</w:t>
      </w:r>
      <w:r w:rsidR="00C026A6" w:rsidRPr="00EA59C0">
        <w:rPr>
          <w:color w:val="auto"/>
        </w:rPr>
        <w:t xml:space="preserve"> </w:t>
      </w:r>
      <w:r w:rsidRPr="00EA59C0">
        <w:rPr>
          <w:color w:val="auto"/>
        </w:rPr>
        <w:t>encourages</w:t>
      </w:r>
      <w:r w:rsidR="00C026A6" w:rsidRPr="00EA59C0">
        <w:rPr>
          <w:color w:val="auto"/>
        </w:rPr>
        <w:t xml:space="preserve"> </w:t>
      </w:r>
      <w:r w:rsidRPr="00EA59C0">
        <w:rPr>
          <w:color w:val="auto"/>
        </w:rPr>
        <w:t>applicants</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propose</w:t>
      </w:r>
      <w:r w:rsidR="00C026A6" w:rsidRPr="00EA59C0">
        <w:rPr>
          <w:color w:val="auto"/>
        </w:rPr>
        <w:t xml:space="preserve"> </w:t>
      </w:r>
      <w:r w:rsidRPr="00EA59C0">
        <w:rPr>
          <w:color w:val="auto"/>
        </w:rPr>
        <w:t>randomized</w:t>
      </w:r>
      <w:r w:rsidR="00C026A6" w:rsidRPr="00EA59C0">
        <w:rPr>
          <w:color w:val="auto"/>
        </w:rPr>
        <w:t xml:space="preserve"> </w:t>
      </w:r>
      <w:r w:rsidRPr="00EA59C0">
        <w:rPr>
          <w:color w:val="auto"/>
        </w:rPr>
        <w:t>control</w:t>
      </w:r>
      <w:r w:rsidR="00C026A6" w:rsidRPr="00EA59C0">
        <w:rPr>
          <w:color w:val="auto"/>
        </w:rPr>
        <w:t xml:space="preserve"> </w:t>
      </w:r>
      <w:r w:rsidRPr="00EA59C0">
        <w:rPr>
          <w:color w:val="auto"/>
        </w:rPr>
        <w:t>trials,</w:t>
      </w:r>
      <w:r w:rsidR="00C026A6" w:rsidRPr="00EA59C0">
        <w:rPr>
          <w:color w:val="auto"/>
        </w:rPr>
        <w:t xml:space="preserve"> </w:t>
      </w:r>
      <w:r w:rsidRPr="00EA59C0">
        <w:rPr>
          <w:color w:val="auto"/>
        </w:rPr>
        <w:t>however,</w:t>
      </w:r>
      <w:r w:rsidR="00C026A6" w:rsidRPr="00EA59C0">
        <w:rPr>
          <w:color w:val="auto"/>
        </w:rPr>
        <w:t xml:space="preserve"> </w:t>
      </w:r>
      <w:r w:rsidRPr="00EA59C0">
        <w:rPr>
          <w:color w:val="auto"/>
        </w:rPr>
        <w:t>non-experimental</w:t>
      </w:r>
      <w:r w:rsidR="00C026A6" w:rsidRPr="00EA59C0">
        <w:rPr>
          <w:color w:val="auto"/>
        </w:rPr>
        <w:t xml:space="preserve"> </w:t>
      </w:r>
      <w:r w:rsidRPr="00EA59C0">
        <w:rPr>
          <w:color w:val="auto"/>
        </w:rPr>
        <w:t>designs</w:t>
      </w:r>
      <w:r w:rsidR="00C026A6" w:rsidRPr="00EA59C0">
        <w:rPr>
          <w:color w:val="auto"/>
        </w:rPr>
        <w:t xml:space="preserve"> </w:t>
      </w:r>
      <w:r w:rsidRPr="00EA59C0">
        <w:rPr>
          <w:color w:val="auto"/>
        </w:rPr>
        <w:t>may</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proposed</w:t>
      </w:r>
      <w:r w:rsidR="00C026A6" w:rsidRPr="00EA59C0">
        <w:rPr>
          <w:color w:val="auto"/>
        </w:rPr>
        <w:t xml:space="preserve"> </w:t>
      </w:r>
      <w:r w:rsidRPr="00EA59C0">
        <w:rPr>
          <w:color w:val="auto"/>
        </w:rPr>
        <w:t>if</w:t>
      </w:r>
      <w:r w:rsidR="00C026A6" w:rsidRPr="00EA59C0">
        <w:rPr>
          <w:color w:val="auto"/>
        </w:rPr>
        <w:t xml:space="preserve"> </w:t>
      </w:r>
      <w:r w:rsidRPr="00EA59C0">
        <w:rPr>
          <w:color w:val="auto"/>
        </w:rPr>
        <w:t>they</w:t>
      </w:r>
      <w:r w:rsidR="00C026A6" w:rsidRPr="00EA59C0">
        <w:rPr>
          <w:color w:val="auto"/>
        </w:rPr>
        <w:t xml:space="preserve"> </w:t>
      </w:r>
      <w:r w:rsidRPr="00EA59C0">
        <w:rPr>
          <w:color w:val="auto"/>
        </w:rPr>
        <w:t>meet</w:t>
      </w:r>
      <w:r w:rsidR="00C026A6" w:rsidRPr="00EA59C0">
        <w:rPr>
          <w:color w:val="auto"/>
        </w:rPr>
        <w:t xml:space="preserve"> </w:t>
      </w:r>
      <w:r w:rsidRPr="00EA59C0">
        <w:rPr>
          <w:color w:val="auto"/>
        </w:rPr>
        <w:t>certain</w:t>
      </w:r>
      <w:r w:rsidR="00C026A6" w:rsidRPr="00EA59C0">
        <w:rPr>
          <w:color w:val="auto"/>
        </w:rPr>
        <w:t xml:space="preserve"> </w:t>
      </w:r>
      <w:r w:rsidRPr="00EA59C0">
        <w:rPr>
          <w:color w:val="auto"/>
        </w:rPr>
        <w:t>evidence</w:t>
      </w:r>
      <w:r w:rsidR="00C026A6" w:rsidRPr="00EA59C0">
        <w:rPr>
          <w:color w:val="auto"/>
        </w:rPr>
        <w:t xml:space="preserve"> </w:t>
      </w:r>
      <w:r w:rsidRPr="00EA59C0">
        <w:rPr>
          <w:color w:val="auto"/>
        </w:rPr>
        <w:t>standards.</w:t>
      </w:r>
      <w:r w:rsidR="00C026A6" w:rsidRPr="00EA59C0">
        <w:rPr>
          <w:color w:val="auto"/>
        </w:rPr>
        <w:t xml:space="preserve">  </w:t>
      </w:r>
      <w:r w:rsidRPr="00EA59C0">
        <w:rPr>
          <w:color w:val="auto"/>
        </w:rPr>
        <w:t>Applicants</w:t>
      </w:r>
      <w:r w:rsidR="00C026A6" w:rsidRPr="00EA59C0">
        <w:rPr>
          <w:color w:val="auto"/>
        </w:rPr>
        <w:t xml:space="preserve"> </w:t>
      </w:r>
      <w:r w:rsidRPr="00EA59C0">
        <w:rPr>
          <w:color w:val="auto"/>
        </w:rPr>
        <w:t>proposing</w:t>
      </w:r>
      <w:r w:rsidR="00C026A6" w:rsidRPr="00EA59C0">
        <w:rPr>
          <w:color w:val="auto"/>
        </w:rPr>
        <w:t xml:space="preserve"> </w:t>
      </w:r>
      <w:r w:rsidRPr="00EA59C0">
        <w:rPr>
          <w:color w:val="auto"/>
        </w:rPr>
        <w:t>alternative</w:t>
      </w:r>
      <w:r w:rsidR="00C026A6" w:rsidRPr="00EA59C0">
        <w:rPr>
          <w:color w:val="auto"/>
        </w:rPr>
        <w:t xml:space="preserve"> </w:t>
      </w:r>
      <w:r w:rsidRPr="00EA59C0">
        <w:rPr>
          <w:color w:val="auto"/>
        </w:rPr>
        <w:t>methodologies</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show</w:t>
      </w:r>
      <w:r w:rsidR="00C026A6" w:rsidRPr="00EA59C0">
        <w:rPr>
          <w:color w:val="auto"/>
        </w:rPr>
        <w:t xml:space="preserve"> </w:t>
      </w:r>
      <w:r w:rsidRPr="00EA59C0">
        <w:rPr>
          <w:color w:val="auto"/>
        </w:rPr>
        <w:t>that</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proposed</w:t>
      </w:r>
      <w:r w:rsidR="00C026A6" w:rsidRPr="00EA59C0">
        <w:rPr>
          <w:color w:val="auto"/>
        </w:rPr>
        <w:t xml:space="preserve"> </w:t>
      </w:r>
      <w:r w:rsidRPr="00EA59C0">
        <w:rPr>
          <w:color w:val="auto"/>
        </w:rPr>
        <w:t>alternative</w:t>
      </w:r>
      <w:r w:rsidR="00C026A6" w:rsidRPr="00EA59C0">
        <w:rPr>
          <w:color w:val="auto"/>
        </w:rPr>
        <w:t xml:space="preserve"> </w:t>
      </w:r>
      <w:r w:rsidRPr="00EA59C0">
        <w:rPr>
          <w:color w:val="auto"/>
        </w:rPr>
        <w:t>design</w:t>
      </w:r>
      <w:r w:rsidR="00C026A6" w:rsidRPr="00EA59C0">
        <w:rPr>
          <w:color w:val="auto"/>
        </w:rPr>
        <w:t xml:space="preserve"> </w:t>
      </w:r>
      <w:r w:rsidRPr="00EA59C0">
        <w:rPr>
          <w:color w:val="auto"/>
        </w:rPr>
        <w:t>(e.g.,</w:t>
      </w:r>
      <w:r w:rsidR="00C026A6" w:rsidRPr="00EA59C0">
        <w:rPr>
          <w:color w:val="auto"/>
        </w:rPr>
        <w:t xml:space="preserve"> </w:t>
      </w:r>
      <w:r w:rsidRPr="00EA59C0">
        <w:rPr>
          <w:color w:val="auto"/>
        </w:rPr>
        <w:t>quasi-experimental</w:t>
      </w:r>
      <w:r w:rsidR="00C026A6" w:rsidRPr="00EA59C0">
        <w:rPr>
          <w:color w:val="auto"/>
        </w:rPr>
        <w:t xml:space="preserve"> </w:t>
      </w:r>
      <w:r w:rsidRPr="00EA59C0">
        <w:rPr>
          <w:color w:val="auto"/>
        </w:rPr>
        <w:t>designs</w:t>
      </w:r>
      <w:r w:rsidR="00C026A6" w:rsidRPr="00EA59C0">
        <w:rPr>
          <w:color w:val="auto"/>
        </w:rPr>
        <w:t xml:space="preserve"> </w:t>
      </w:r>
      <w:r w:rsidRPr="00EA59C0">
        <w:rPr>
          <w:color w:val="auto"/>
        </w:rPr>
        <w:t>such</w:t>
      </w:r>
      <w:r w:rsidR="00C026A6" w:rsidRPr="00EA59C0">
        <w:rPr>
          <w:color w:val="auto"/>
        </w:rPr>
        <w:t xml:space="preserve"> </w:t>
      </w:r>
      <w:r w:rsidRPr="00EA59C0">
        <w:rPr>
          <w:color w:val="auto"/>
        </w:rPr>
        <w:t>as</w:t>
      </w:r>
      <w:r w:rsidR="00C026A6" w:rsidRPr="00EA59C0">
        <w:rPr>
          <w:color w:val="auto"/>
        </w:rPr>
        <w:t xml:space="preserve"> </w:t>
      </w:r>
      <w:r w:rsidRPr="00EA59C0">
        <w:rPr>
          <w:color w:val="auto"/>
        </w:rPr>
        <w:t>regression</w:t>
      </w:r>
      <w:r w:rsidR="00C026A6" w:rsidRPr="00EA59C0">
        <w:rPr>
          <w:color w:val="auto"/>
        </w:rPr>
        <w:t xml:space="preserve"> </w:t>
      </w:r>
      <w:r w:rsidRPr="00EA59C0">
        <w:rPr>
          <w:color w:val="auto"/>
        </w:rPr>
        <w:t>discontinuity)</w:t>
      </w:r>
      <w:r w:rsidR="00C026A6" w:rsidRPr="00EA59C0">
        <w:rPr>
          <w:color w:val="auto"/>
        </w:rPr>
        <w:t xml:space="preserve"> </w:t>
      </w:r>
      <w:r w:rsidRPr="00EA59C0">
        <w:rPr>
          <w:color w:val="auto"/>
        </w:rPr>
        <w:t>also</w:t>
      </w:r>
      <w:r w:rsidR="00C026A6" w:rsidRPr="00EA59C0">
        <w:rPr>
          <w:color w:val="auto"/>
        </w:rPr>
        <w:t xml:space="preserve"> </w:t>
      </w:r>
      <w:r w:rsidRPr="00EA59C0">
        <w:rPr>
          <w:color w:val="auto"/>
        </w:rPr>
        <w:t>allows</w:t>
      </w:r>
      <w:r w:rsidR="00C026A6" w:rsidRPr="00EA59C0">
        <w:rPr>
          <w:color w:val="auto"/>
        </w:rPr>
        <w:t xml:space="preserve"> </w:t>
      </w:r>
      <w:r w:rsidRPr="00EA59C0">
        <w:rPr>
          <w:color w:val="auto"/>
        </w:rPr>
        <w:t>causal</w:t>
      </w:r>
      <w:r w:rsidR="00C026A6" w:rsidRPr="00EA59C0">
        <w:rPr>
          <w:color w:val="auto"/>
        </w:rPr>
        <w:t xml:space="preserve"> </w:t>
      </w:r>
      <w:r w:rsidRPr="00EA59C0">
        <w:rPr>
          <w:color w:val="auto"/>
        </w:rPr>
        <w:t>inferences</w:t>
      </w:r>
      <w:r w:rsidR="00C026A6" w:rsidRPr="00EA59C0">
        <w:rPr>
          <w:color w:val="auto"/>
        </w:rPr>
        <w:t xml:space="preserve"> </w:t>
      </w:r>
      <w:r w:rsidRPr="00EA59C0">
        <w:rPr>
          <w:color w:val="auto"/>
        </w:rPr>
        <w:t>about</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effect</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drawn.</w:t>
      </w:r>
      <w:r w:rsidR="00C026A6" w:rsidRPr="00EA59C0">
        <w:rPr>
          <w:color w:val="auto"/>
        </w:rPr>
        <w:t xml:space="preserve">  </w:t>
      </w:r>
      <w:r w:rsidRPr="00EA59C0">
        <w:rPr>
          <w:color w:val="auto"/>
        </w:rPr>
        <w:t>Additional</w:t>
      </w:r>
      <w:r w:rsidR="00C026A6" w:rsidRPr="00EA59C0">
        <w:rPr>
          <w:color w:val="auto"/>
        </w:rPr>
        <w:t xml:space="preserve"> </w:t>
      </w:r>
      <w:r w:rsidRPr="00EA59C0">
        <w:rPr>
          <w:color w:val="auto"/>
        </w:rPr>
        <w:t>information</w:t>
      </w:r>
      <w:r w:rsidR="00C026A6" w:rsidRPr="00EA59C0">
        <w:rPr>
          <w:color w:val="auto"/>
        </w:rPr>
        <w:t xml:space="preserve"> </w:t>
      </w:r>
      <w:r w:rsidRPr="00EA59C0">
        <w:rPr>
          <w:color w:val="auto"/>
        </w:rPr>
        <w:t>on</w:t>
      </w:r>
      <w:r w:rsidR="00C026A6" w:rsidRPr="00EA59C0">
        <w:rPr>
          <w:color w:val="auto"/>
        </w:rPr>
        <w:t xml:space="preserve"> </w:t>
      </w:r>
      <w:r w:rsidRPr="00EA59C0">
        <w:rPr>
          <w:color w:val="auto"/>
        </w:rPr>
        <w:t>methodological</w:t>
      </w:r>
      <w:r w:rsidR="00C026A6" w:rsidRPr="00EA59C0">
        <w:rPr>
          <w:color w:val="auto"/>
        </w:rPr>
        <w:t xml:space="preserve"> </w:t>
      </w:r>
      <w:r w:rsidRPr="00EA59C0">
        <w:rPr>
          <w:color w:val="auto"/>
        </w:rPr>
        <w:t>designs</w:t>
      </w:r>
      <w:r w:rsidR="00C026A6" w:rsidRPr="00EA59C0">
        <w:rPr>
          <w:color w:val="auto"/>
        </w:rPr>
        <w:t xml:space="preserve"> </w:t>
      </w:r>
      <w:r w:rsidRPr="00EA59C0">
        <w:rPr>
          <w:color w:val="auto"/>
        </w:rPr>
        <w:t>is</w:t>
      </w:r>
      <w:r w:rsidR="00C026A6" w:rsidRPr="00EA59C0">
        <w:rPr>
          <w:color w:val="auto"/>
        </w:rPr>
        <w:t xml:space="preserve"> </w:t>
      </w:r>
      <w:r w:rsidRPr="00EA59C0">
        <w:rPr>
          <w:color w:val="auto"/>
        </w:rPr>
        <w:t>available</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Appendix</w:t>
      </w:r>
      <w:r w:rsidR="00C026A6" w:rsidRPr="00EA59C0">
        <w:rPr>
          <w:color w:val="auto"/>
        </w:rPr>
        <w:t xml:space="preserve"> </w:t>
      </w:r>
      <w:r w:rsidR="008A70C1" w:rsidRPr="00EA59C0">
        <w:rPr>
          <w:color w:val="auto"/>
        </w:rPr>
        <w:t>O</w:t>
      </w:r>
      <w:r w:rsidRPr="00EA59C0">
        <w:rPr>
          <w:color w:val="auto"/>
        </w:rPr>
        <w:t>.</w:t>
      </w:r>
    </w:p>
    <w:p w:rsidR="00A93F2C" w:rsidRPr="00EA59C0" w:rsidRDefault="00A93F2C" w:rsidP="00FA0E98">
      <w:pPr>
        <w:pStyle w:val="Default"/>
        <w:ind w:left="720"/>
        <w:rPr>
          <w:color w:val="auto"/>
        </w:rPr>
      </w:pPr>
    </w:p>
    <w:p w:rsidR="00C8570E" w:rsidRPr="00EA59C0" w:rsidRDefault="00C8570E" w:rsidP="00FA0E98">
      <w:pPr>
        <w:pStyle w:val="Default"/>
        <w:ind w:left="1080"/>
        <w:rPr>
          <w:color w:val="auto"/>
        </w:rPr>
      </w:pPr>
      <w:r w:rsidRPr="00EA59C0">
        <w:rPr>
          <w:color w:val="auto"/>
        </w:rPr>
        <w:t>The</w:t>
      </w:r>
      <w:r w:rsidR="00C026A6" w:rsidRPr="00EA59C0">
        <w:rPr>
          <w:color w:val="auto"/>
        </w:rPr>
        <w:t xml:space="preserve"> </w:t>
      </w:r>
      <w:r w:rsidRPr="00EA59C0">
        <w:rPr>
          <w:color w:val="auto"/>
        </w:rPr>
        <w:t>Department</w:t>
      </w:r>
      <w:r w:rsidR="00C026A6" w:rsidRPr="00EA59C0">
        <w:rPr>
          <w:color w:val="auto"/>
        </w:rPr>
        <w:t xml:space="preserve"> </w:t>
      </w:r>
      <w:r w:rsidRPr="00EA59C0">
        <w:rPr>
          <w:color w:val="auto"/>
        </w:rPr>
        <w:t>will</w:t>
      </w:r>
      <w:r w:rsidR="00C026A6" w:rsidRPr="00EA59C0">
        <w:rPr>
          <w:color w:val="auto"/>
        </w:rPr>
        <w:t xml:space="preserve"> </w:t>
      </w:r>
      <w:r w:rsidRPr="00EA59C0">
        <w:rPr>
          <w:color w:val="auto"/>
        </w:rPr>
        <w:t>review</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Summary</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Plan</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provide</w:t>
      </w:r>
      <w:r w:rsidR="00C026A6" w:rsidRPr="00EA59C0">
        <w:rPr>
          <w:color w:val="auto"/>
        </w:rPr>
        <w:t xml:space="preserve"> </w:t>
      </w:r>
      <w:r w:rsidRPr="00EA59C0">
        <w:rPr>
          <w:color w:val="auto"/>
        </w:rPr>
        <w:t>feedback</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successful</w:t>
      </w:r>
      <w:r w:rsidR="00C026A6" w:rsidRPr="00EA59C0">
        <w:rPr>
          <w:color w:val="auto"/>
        </w:rPr>
        <w:t xml:space="preserve"> </w:t>
      </w:r>
      <w:r w:rsidRPr="00EA59C0">
        <w:rPr>
          <w:color w:val="auto"/>
        </w:rPr>
        <w:t>applicants.</w:t>
      </w:r>
      <w:r w:rsidR="00C026A6" w:rsidRPr="00EA59C0">
        <w:rPr>
          <w:color w:val="auto"/>
        </w:rPr>
        <w:t xml:space="preserve">  </w:t>
      </w:r>
      <w:r w:rsidRPr="00EA59C0">
        <w:rPr>
          <w:color w:val="auto"/>
        </w:rPr>
        <w:t>Grantees</w:t>
      </w:r>
      <w:r w:rsidR="00C026A6" w:rsidRPr="00EA59C0">
        <w:rPr>
          <w:color w:val="auto"/>
        </w:rPr>
        <w:t xml:space="preserve"> </w:t>
      </w:r>
      <w:r w:rsidRPr="00EA59C0">
        <w:rPr>
          <w:color w:val="auto"/>
        </w:rPr>
        <w:t>will</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required</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submit</w:t>
      </w:r>
      <w:r w:rsidR="00C026A6" w:rsidRPr="00EA59C0">
        <w:rPr>
          <w:color w:val="auto"/>
        </w:rPr>
        <w:t xml:space="preserve"> </w:t>
      </w:r>
      <w:r w:rsidR="003D62DE" w:rsidRPr="00EA59C0">
        <w:rPr>
          <w:color w:val="auto"/>
        </w:rPr>
        <w:t>a</w:t>
      </w:r>
      <w:r w:rsidR="00C026A6" w:rsidRPr="00EA59C0">
        <w:rPr>
          <w:color w:val="auto"/>
        </w:rPr>
        <w:t xml:space="preserve"> </w:t>
      </w:r>
      <w:r w:rsidRPr="00EA59C0">
        <w:rPr>
          <w:color w:val="auto"/>
        </w:rPr>
        <w:t>detailed</w:t>
      </w:r>
      <w:r w:rsidR="00C026A6" w:rsidRPr="00EA59C0">
        <w:rPr>
          <w:color w:val="auto"/>
        </w:rPr>
        <w:t xml:space="preserve"> </w:t>
      </w:r>
      <w:r w:rsidRPr="00EA59C0">
        <w:rPr>
          <w:color w:val="auto"/>
        </w:rPr>
        <w:t>evaluation</w:t>
      </w:r>
      <w:r w:rsidR="00C026A6" w:rsidRPr="00EA59C0">
        <w:rPr>
          <w:color w:val="auto"/>
        </w:rPr>
        <w:t xml:space="preserve"> </w:t>
      </w:r>
      <w:r w:rsidR="003D62DE" w:rsidRPr="00EA59C0">
        <w:rPr>
          <w:color w:val="auto"/>
        </w:rPr>
        <w:t>design</w:t>
      </w:r>
      <w:r w:rsidR="00C026A6" w:rsidRPr="00EA59C0">
        <w:rPr>
          <w:color w:val="auto"/>
        </w:rPr>
        <w:t xml:space="preserve"> </w:t>
      </w:r>
      <w:r w:rsidR="003D62DE" w:rsidRPr="00EA59C0">
        <w:rPr>
          <w:color w:val="auto"/>
        </w:rPr>
        <w:t>following</w:t>
      </w:r>
      <w:r w:rsidR="00C026A6" w:rsidRPr="00EA59C0">
        <w:rPr>
          <w:color w:val="auto"/>
        </w:rPr>
        <w:t xml:space="preserve"> </w:t>
      </w:r>
      <w:r w:rsidR="003D62DE" w:rsidRPr="00EA59C0">
        <w:rPr>
          <w:color w:val="auto"/>
        </w:rPr>
        <w:t>award</w:t>
      </w:r>
      <w:r w:rsidR="00C026A6" w:rsidRPr="00EA59C0">
        <w:rPr>
          <w:color w:val="auto"/>
        </w:rPr>
        <w:t xml:space="preserve"> </w:t>
      </w:r>
      <w:r w:rsidRPr="00EA59C0">
        <w:rPr>
          <w:color w:val="auto"/>
        </w:rPr>
        <w:t>addressing</w:t>
      </w:r>
      <w:r w:rsidR="00C026A6" w:rsidRPr="00EA59C0">
        <w:rPr>
          <w:color w:val="auto"/>
        </w:rPr>
        <w:t xml:space="preserve"> </w:t>
      </w:r>
      <w:r w:rsidRPr="00EA59C0">
        <w:rPr>
          <w:color w:val="auto"/>
        </w:rPr>
        <w:t>this</w:t>
      </w:r>
      <w:r w:rsidR="00C026A6" w:rsidRPr="00EA59C0">
        <w:rPr>
          <w:color w:val="auto"/>
        </w:rPr>
        <w:t xml:space="preserve"> </w:t>
      </w:r>
      <w:r w:rsidRPr="00EA59C0">
        <w:rPr>
          <w:color w:val="auto"/>
        </w:rPr>
        <w:t>feedback</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collaboration</w:t>
      </w:r>
      <w:r w:rsidR="00C026A6" w:rsidRPr="00EA59C0">
        <w:rPr>
          <w:color w:val="auto"/>
        </w:rPr>
        <w:t xml:space="preserve"> </w:t>
      </w:r>
      <w:r w:rsidRPr="00EA59C0">
        <w:rPr>
          <w:color w:val="auto"/>
        </w:rPr>
        <w:t>with</w:t>
      </w:r>
      <w:r w:rsidR="00C026A6" w:rsidRPr="00EA59C0">
        <w:rPr>
          <w:color w:val="auto"/>
        </w:rPr>
        <w:t xml:space="preserve"> </w:t>
      </w:r>
      <w:r w:rsidRPr="00EA59C0">
        <w:rPr>
          <w:color w:val="auto"/>
        </w:rPr>
        <w:t>their</w:t>
      </w:r>
      <w:r w:rsidR="00C026A6" w:rsidRPr="00EA59C0">
        <w:rPr>
          <w:color w:val="auto"/>
        </w:rPr>
        <w:t xml:space="preserve"> </w:t>
      </w:r>
      <w:r w:rsidRPr="00EA59C0">
        <w:rPr>
          <w:color w:val="auto"/>
        </w:rPr>
        <w:t>independent</w:t>
      </w:r>
      <w:r w:rsidR="00C026A6" w:rsidRPr="00EA59C0">
        <w:rPr>
          <w:color w:val="auto"/>
        </w:rPr>
        <w:t xml:space="preserve"> </w:t>
      </w:r>
      <w:r w:rsidRPr="00EA59C0">
        <w:rPr>
          <w:color w:val="auto"/>
        </w:rPr>
        <w:t>evaluator.</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detailed</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plan</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include</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same</w:t>
      </w:r>
      <w:r w:rsidR="00C026A6" w:rsidRPr="00EA59C0">
        <w:rPr>
          <w:color w:val="auto"/>
        </w:rPr>
        <w:t xml:space="preserve"> </w:t>
      </w:r>
      <w:r w:rsidRPr="00EA59C0">
        <w:rPr>
          <w:color w:val="auto"/>
        </w:rPr>
        <w:t>elements</w:t>
      </w:r>
      <w:r w:rsidR="00C026A6" w:rsidRPr="00EA59C0">
        <w:rPr>
          <w:color w:val="auto"/>
        </w:rPr>
        <w:t xml:space="preserve"> </w:t>
      </w:r>
      <w:r w:rsidRPr="00EA59C0">
        <w:rPr>
          <w:color w:val="auto"/>
        </w:rPr>
        <w:t>required</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Summary</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Plan</w:t>
      </w:r>
      <w:r w:rsidR="00C026A6" w:rsidRPr="00EA59C0">
        <w:rPr>
          <w:color w:val="auto"/>
        </w:rPr>
        <w:t xml:space="preserve"> </w:t>
      </w:r>
      <w:r w:rsidRPr="00EA59C0">
        <w:rPr>
          <w:color w:val="auto"/>
        </w:rPr>
        <w:t>as</w:t>
      </w:r>
      <w:r w:rsidR="00C026A6" w:rsidRPr="00EA59C0">
        <w:rPr>
          <w:color w:val="auto"/>
        </w:rPr>
        <w:t xml:space="preserve"> </w:t>
      </w:r>
      <w:r w:rsidRPr="00EA59C0">
        <w:rPr>
          <w:color w:val="auto"/>
        </w:rPr>
        <w:t>described</w:t>
      </w:r>
      <w:r w:rsidR="00C026A6" w:rsidRPr="00EA59C0">
        <w:rPr>
          <w:color w:val="auto"/>
        </w:rPr>
        <w:t xml:space="preserve"> </w:t>
      </w:r>
      <w:r w:rsidRPr="00EA59C0">
        <w:rPr>
          <w:color w:val="auto"/>
        </w:rPr>
        <w:t>below.</w:t>
      </w:r>
      <w:r w:rsidR="00C026A6" w:rsidRPr="00EA59C0">
        <w:rPr>
          <w:color w:val="auto"/>
        </w:rPr>
        <w:t xml:space="preserve"> </w:t>
      </w:r>
    </w:p>
    <w:p w:rsidR="00A93F2C" w:rsidRPr="00EA59C0" w:rsidRDefault="00A93F2C" w:rsidP="00FA0E98">
      <w:pPr>
        <w:pStyle w:val="Default"/>
        <w:ind w:left="360"/>
        <w:rPr>
          <w:color w:val="auto"/>
        </w:rPr>
      </w:pPr>
    </w:p>
    <w:p w:rsidR="00532A29" w:rsidRPr="00EA59C0" w:rsidRDefault="00532A29" w:rsidP="004C3998">
      <w:pPr>
        <w:pStyle w:val="Default"/>
        <w:numPr>
          <w:ilvl w:val="3"/>
          <w:numId w:val="17"/>
        </w:numPr>
        <w:rPr>
          <w:b/>
          <w:color w:val="auto"/>
        </w:rPr>
      </w:pPr>
      <w:r w:rsidRPr="00EA59C0">
        <w:rPr>
          <w:b/>
          <w:color w:val="auto"/>
        </w:rPr>
        <w:t>Analysis</w:t>
      </w:r>
      <w:r w:rsidR="00C026A6" w:rsidRPr="00EA59C0">
        <w:rPr>
          <w:b/>
          <w:color w:val="auto"/>
        </w:rPr>
        <w:t xml:space="preserve"> </w:t>
      </w:r>
      <w:r w:rsidRPr="00EA59C0">
        <w:rPr>
          <w:b/>
          <w:color w:val="auto"/>
        </w:rPr>
        <w:t>of</w:t>
      </w:r>
      <w:r w:rsidR="00C026A6" w:rsidRPr="00EA59C0">
        <w:rPr>
          <w:b/>
          <w:color w:val="auto"/>
        </w:rPr>
        <w:t xml:space="preserve"> </w:t>
      </w:r>
      <w:r w:rsidRPr="00EA59C0">
        <w:rPr>
          <w:b/>
          <w:bCs/>
          <w:color w:val="auto"/>
        </w:rPr>
        <w:t>Participant</w:t>
      </w:r>
      <w:r w:rsidR="00C026A6" w:rsidRPr="00EA59C0">
        <w:rPr>
          <w:b/>
          <w:bCs/>
          <w:color w:val="auto"/>
        </w:rPr>
        <w:t xml:space="preserve"> </w:t>
      </w:r>
      <w:r w:rsidRPr="00EA59C0">
        <w:rPr>
          <w:b/>
          <w:bCs/>
          <w:color w:val="auto"/>
        </w:rPr>
        <w:t>(Net)</w:t>
      </w:r>
      <w:r w:rsidR="00C026A6" w:rsidRPr="00EA59C0">
        <w:rPr>
          <w:b/>
          <w:bCs/>
          <w:color w:val="auto"/>
        </w:rPr>
        <w:t xml:space="preserve"> </w:t>
      </w:r>
      <w:r w:rsidRPr="00EA59C0">
        <w:rPr>
          <w:b/>
          <w:bCs/>
          <w:color w:val="auto"/>
        </w:rPr>
        <w:t>Impact</w:t>
      </w:r>
      <w:r w:rsidR="00C026A6" w:rsidRPr="00EA59C0">
        <w:rPr>
          <w:b/>
          <w:bCs/>
          <w:color w:val="auto"/>
        </w:rPr>
        <w:t xml:space="preserve"> </w:t>
      </w:r>
      <w:r w:rsidRPr="00EA59C0">
        <w:rPr>
          <w:b/>
          <w:bCs/>
          <w:color w:val="auto"/>
        </w:rPr>
        <w:t>or</w:t>
      </w:r>
      <w:r w:rsidR="00C026A6" w:rsidRPr="00EA59C0">
        <w:rPr>
          <w:b/>
          <w:bCs/>
          <w:color w:val="auto"/>
        </w:rPr>
        <w:t xml:space="preserve"> </w:t>
      </w:r>
      <w:r w:rsidRPr="00EA59C0">
        <w:rPr>
          <w:b/>
          <w:bCs/>
          <w:color w:val="auto"/>
        </w:rPr>
        <w:t>Outcomes</w:t>
      </w:r>
    </w:p>
    <w:p w:rsidR="00532A29" w:rsidRPr="00EA59C0" w:rsidRDefault="00532A29" w:rsidP="00FA0E98">
      <w:pPr>
        <w:pStyle w:val="Default"/>
        <w:ind w:left="1440"/>
        <w:rPr>
          <w:color w:val="auto"/>
        </w:rPr>
      </w:pPr>
      <w:r w:rsidRPr="00EA59C0">
        <w:rPr>
          <w:color w:val="auto"/>
        </w:rPr>
        <w:t>Applicants</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describe</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plan</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rigorously</w:t>
      </w:r>
      <w:r w:rsidR="00C026A6" w:rsidRPr="00EA59C0">
        <w:rPr>
          <w:color w:val="auto"/>
        </w:rPr>
        <w:t xml:space="preserve"> </w:t>
      </w:r>
      <w:r w:rsidRPr="00EA59C0">
        <w:rPr>
          <w:color w:val="auto"/>
        </w:rPr>
        <w:t>evaluating</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participant</w:t>
      </w:r>
      <w:r w:rsidR="00C026A6" w:rsidRPr="00EA59C0">
        <w:rPr>
          <w:color w:val="auto"/>
        </w:rPr>
        <w:t xml:space="preserve"> </w:t>
      </w:r>
      <w:r w:rsidRPr="00EA59C0">
        <w:rPr>
          <w:color w:val="auto"/>
        </w:rPr>
        <w:t>outcomes</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impacts,</w:t>
      </w:r>
      <w:r w:rsidR="00C026A6" w:rsidRPr="00EA59C0">
        <w:rPr>
          <w:color w:val="auto"/>
        </w:rPr>
        <w:t xml:space="preserve"> </w:t>
      </w:r>
      <w:r w:rsidRPr="00EA59C0">
        <w:rPr>
          <w:color w:val="auto"/>
        </w:rPr>
        <w:t>including</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complete</w:t>
      </w:r>
      <w:r w:rsidR="00C026A6" w:rsidRPr="00EA59C0">
        <w:rPr>
          <w:color w:val="auto"/>
        </w:rPr>
        <w:t xml:space="preserve"> </w:t>
      </w:r>
      <w:r w:rsidRPr="00EA59C0">
        <w:rPr>
          <w:color w:val="auto"/>
        </w:rPr>
        <w:t>description</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study</w:t>
      </w:r>
      <w:r w:rsidR="00C026A6" w:rsidRPr="00EA59C0">
        <w:rPr>
          <w:color w:val="auto"/>
        </w:rPr>
        <w:t xml:space="preserve"> </w:t>
      </w:r>
      <w:r w:rsidRPr="00EA59C0">
        <w:rPr>
          <w:color w:val="auto"/>
        </w:rPr>
        <w:t>methodology,</w:t>
      </w:r>
      <w:r w:rsidR="00C026A6" w:rsidRPr="00EA59C0">
        <w:rPr>
          <w:color w:val="auto"/>
        </w:rPr>
        <w:t xml:space="preserve"> </w:t>
      </w:r>
      <w:r w:rsidRPr="00EA59C0">
        <w:rPr>
          <w:color w:val="auto"/>
        </w:rPr>
        <w:t>outcome</w:t>
      </w:r>
      <w:r w:rsidR="00C026A6" w:rsidRPr="00EA59C0">
        <w:rPr>
          <w:color w:val="auto"/>
        </w:rPr>
        <w:t xml:space="preserve"> </w:t>
      </w:r>
      <w:r w:rsidRPr="00EA59C0">
        <w:rPr>
          <w:color w:val="auto"/>
        </w:rPr>
        <w:t>measures</w:t>
      </w:r>
      <w:r w:rsidR="00C026A6" w:rsidRPr="00EA59C0">
        <w:rPr>
          <w:color w:val="auto"/>
        </w:rPr>
        <w:t xml:space="preserve"> </w:t>
      </w:r>
      <w:r w:rsidRPr="00EA59C0">
        <w:rPr>
          <w:color w:val="auto"/>
        </w:rPr>
        <w:t>(including</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completion,</w:t>
      </w:r>
      <w:r w:rsidR="00C026A6" w:rsidRPr="00EA59C0">
        <w:rPr>
          <w:color w:val="auto"/>
        </w:rPr>
        <w:t xml:space="preserve"> </w:t>
      </w:r>
      <w:r w:rsidRPr="00EA59C0">
        <w:rPr>
          <w:color w:val="auto"/>
        </w:rPr>
        <w:t>degrees</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certificate</w:t>
      </w:r>
      <w:r w:rsidR="00C026A6" w:rsidRPr="00EA59C0">
        <w:rPr>
          <w:color w:val="auto"/>
        </w:rPr>
        <w:t xml:space="preserve"> </w:t>
      </w:r>
      <w:r w:rsidRPr="00EA59C0">
        <w:rPr>
          <w:color w:val="auto"/>
        </w:rPr>
        <w:t>obtained,</w:t>
      </w:r>
      <w:r w:rsidR="00C026A6" w:rsidRPr="00EA59C0">
        <w:rPr>
          <w:color w:val="auto"/>
        </w:rPr>
        <w:t xml:space="preserve"> </w:t>
      </w:r>
      <w:r w:rsidRPr="00EA59C0">
        <w:rPr>
          <w:color w:val="auto"/>
        </w:rPr>
        <w:t>subsequent</w:t>
      </w:r>
      <w:r w:rsidR="00C026A6" w:rsidRPr="00EA59C0">
        <w:rPr>
          <w:color w:val="auto"/>
        </w:rPr>
        <w:t xml:space="preserve"> </w:t>
      </w:r>
      <w:r w:rsidRPr="00EA59C0">
        <w:rPr>
          <w:color w:val="auto"/>
        </w:rPr>
        <w:t>employment</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earnings),</w:t>
      </w:r>
      <w:r w:rsidR="00C026A6" w:rsidRPr="00EA59C0">
        <w:rPr>
          <w:color w:val="auto"/>
        </w:rPr>
        <w:t xml:space="preserve"> </w:t>
      </w:r>
      <w:r w:rsidRPr="00EA59C0">
        <w:rPr>
          <w:color w:val="auto"/>
        </w:rPr>
        <w:t>comparison</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control</w:t>
      </w:r>
      <w:r w:rsidR="00C026A6" w:rsidRPr="00EA59C0">
        <w:rPr>
          <w:color w:val="auto"/>
        </w:rPr>
        <w:t xml:space="preserve"> </w:t>
      </w:r>
      <w:r w:rsidRPr="00EA59C0">
        <w:rPr>
          <w:color w:val="auto"/>
        </w:rPr>
        <w:t>groups</w:t>
      </w:r>
      <w:r w:rsidR="00C026A6" w:rsidRPr="00EA59C0">
        <w:rPr>
          <w:color w:val="auto"/>
        </w:rPr>
        <w:t xml:space="preserve"> </w:t>
      </w:r>
      <w:r w:rsidRPr="00EA59C0">
        <w:rPr>
          <w:color w:val="auto"/>
        </w:rPr>
        <w:t>that</w:t>
      </w:r>
      <w:r w:rsidR="00C026A6" w:rsidRPr="00EA59C0">
        <w:rPr>
          <w:color w:val="auto"/>
        </w:rPr>
        <w:t xml:space="preserve"> </w:t>
      </w:r>
      <w:r w:rsidRPr="00EA59C0">
        <w:rPr>
          <w:color w:val="auto"/>
        </w:rPr>
        <w:t>will</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included,</w:t>
      </w:r>
      <w:r w:rsidR="00C026A6" w:rsidRPr="00EA59C0">
        <w:rPr>
          <w:color w:val="auto"/>
        </w:rPr>
        <w:t xml:space="preserve"> </w:t>
      </w:r>
      <w:r w:rsidRPr="00EA59C0">
        <w:rPr>
          <w:color w:val="auto"/>
        </w:rPr>
        <w:t>data</w:t>
      </w:r>
      <w:r w:rsidR="00C026A6" w:rsidRPr="00EA59C0">
        <w:rPr>
          <w:color w:val="auto"/>
        </w:rPr>
        <w:t xml:space="preserve"> </w:t>
      </w:r>
      <w:r w:rsidRPr="00EA59C0">
        <w:rPr>
          <w:color w:val="auto"/>
        </w:rPr>
        <w:t>collection</w:t>
      </w:r>
      <w:r w:rsidR="00C026A6" w:rsidRPr="00EA59C0">
        <w:rPr>
          <w:color w:val="auto"/>
        </w:rPr>
        <w:t xml:space="preserve"> </w:t>
      </w:r>
      <w:r w:rsidRPr="00EA59C0">
        <w:rPr>
          <w:color w:val="auto"/>
        </w:rPr>
        <w:t>methods</w:t>
      </w:r>
      <w:r w:rsidR="00C026A6" w:rsidRPr="00EA59C0">
        <w:rPr>
          <w:color w:val="auto"/>
        </w:rPr>
        <w:t xml:space="preserve"> </w:t>
      </w:r>
      <w:r w:rsidRPr="00EA59C0">
        <w:rPr>
          <w:color w:val="auto"/>
        </w:rPr>
        <w:t>(e.g.,</w:t>
      </w:r>
      <w:r w:rsidR="00C026A6" w:rsidRPr="00EA59C0">
        <w:rPr>
          <w:color w:val="auto"/>
        </w:rPr>
        <w:t xml:space="preserve"> </w:t>
      </w:r>
      <w:r w:rsidRPr="00EA59C0">
        <w:rPr>
          <w:color w:val="auto"/>
        </w:rPr>
        <w:t>student</w:t>
      </w:r>
      <w:r w:rsidR="00C026A6" w:rsidRPr="00EA59C0">
        <w:rPr>
          <w:color w:val="auto"/>
        </w:rPr>
        <w:t xml:space="preserve"> </w:t>
      </w:r>
      <w:r w:rsidRPr="00EA59C0">
        <w:rPr>
          <w:color w:val="auto"/>
        </w:rPr>
        <w:t>information</w:t>
      </w:r>
      <w:r w:rsidR="00C026A6" w:rsidRPr="00EA59C0">
        <w:rPr>
          <w:color w:val="auto"/>
        </w:rPr>
        <w:t xml:space="preserve"> </w:t>
      </w:r>
      <w:r w:rsidRPr="00EA59C0">
        <w:rPr>
          <w:color w:val="auto"/>
        </w:rPr>
        <w:t>system</w:t>
      </w:r>
      <w:r w:rsidR="00C026A6" w:rsidRPr="00EA59C0">
        <w:rPr>
          <w:color w:val="auto"/>
        </w:rPr>
        <w:t xml:space="preserve"> </w:t>
      </w:r>
      <w:r w:rsidRPr="00EA59C0">
        <w:rPr>
          <w:color w:val="auto"/>
        </w:rPr>
        <w:t>data,</w:t>
      </w:r>
      <w:r w:rsidR="00C026A6" w:rsidRPr="00EA59C0">
        <w:rPr>
          <w:color w:val="auto"/>
        </w:rPr>
        <w:t xml:space="preserve"> </w:t>
      </w:r>
      <w:r w:rsidRPr="00EA59C0">
        <w:rPr>
          <w:color w:val="auto"/>
        </w:rPr>
        <w:t>earnings</w:t>
      </w:r>
      <w:r w:rsidR="00C026A6" w:rsidRPr="00EA59C0">
        <w:rPr>
          <w:color w:val="auto"/>
        </w:rPr>
        <w:t xml:space="preserve"> </w:t>
      </w:r>
      <w:r w:rsidRPr="00EA59C0">
        <w:rPr>
          <w:color w:val="auto"/>
        </w:rPr>
        <w:t>records,</w:t>
      </w:r>
      <w:r w:rsidR="00C026A6" w:rsidRPr="00EA59C0">
        <w:rPr>
          <w:color w:val="auto"/>
        </w:rPr>
        <w:t xml:space="preserve"> </w:t>
      </w:r>
      <w:r w:rsidRPr="00EA59C0">
        <w:rPr>
          <w:color w:val="auto"/>
        </w:rPr>
        <w:t>surveys),</w:t>
      </w:r>
      <w:r w:rsidR="00C026A6" w:rsidRPr="00EA59C0">
        <w:rPr>
          <w:color w:val="auto"/>
        </w:rPr>
        <w:t xml:space="preserve"> </w:t>
      </w:r>
      <w:r w:rsidRPr="00EA59C0">
        <w:rPr>
          <w:color w:val="auto"/>
        </w:rPr>
        <w:t>data</w:t>
      </w:r>
      <w:r w:rsidR="00C026A6" w:rsidRPr="00EA59C0">
        <w:rPr>
          <w:color w:val="auto"/>
        </w:rPr>
        <w:t xml:space="preserve"> </w:t>
      </w:r>
      <w:r w:rsidRPr="00EA59C0">
        <w:rPr>
          <w:color w:val="auto"/>
        </w:rPr>
        <w:t>source(s),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sample</w:t>
      </w:r>
      <w:r w:rsidR="00C026A6" w:rsidRPr="00EA59C0">
        <w:rPr>
          <w:color w:val="auto"/>
        </w:rPr>
        <w:t xml:space="preserve"> </w:t>
      </w:r>
      <w:r w:rsidRPr="00EA59C0">
        <w:rPr>
          <w:color w:val="auto"/>
        </w:rPr>
        <w:t>size.</w:t>
      </w:r>
      <w:r w:rsidR="00C026A6" w:rsidRPr="00EA59C0">
        <w:rPr>
          <w:color w:val="auto"/>
        </w:rPr>
        <w:t xml:space="preserve">  </w:t>
      </w:r>
    </w:p>
    <w:p w:rsidR="00A93F2C" w:rsidRPr="00EA59C0" w:rsidRDefault="00A93F2C" w:rsidP="00FA0E98">
      <w:pPr>
        <w:pStyle w:val="Default"/>
        <w:ind w:left="1440"/>
        <w:rPr>
          <w:color w:val="auto"/>
        </w:rPr>
      </w:pPr>
    </w:p>
    <w:p w:rsidR="00532A29" w:rsidRPr="00EA59C0" w:rsidRDefault="00532A29" w:rsidP="00FA0E98">
      <w:pPr>
        <w:pStyle w:val="Default"/>
        <w:ind w:left="1440"/>
        <w:rPr>
          <w:color w:val="auto"/>
        </w:rPr>
      </w:pPr>
      <w:r w:rsidRPr="00EA59C0">
        <w:rPr>
          <w:color w:val="auto"/>
        </w:rPr>
        <w:t>Applicants</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demonstrate</w:t>
      </w:r>
      <w:r w:rsidR="00C026A6" w:rsidRPr="00EA59C0">
        <w:rPr>
          <w:color w:val="auto"/>
        </w:rPr>
        <w:t xml:space="preserve"> </w:t>
      </w:r>
      <w:r w:rsidRPr="00EA59C0">
        <w:rPr>
          <w:color w:val="auto"/>
        </w:rPr>
        <w:t>that</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selected</w:t>
      </w:r>
      <w:r w:rsidR="00C026A6" w:rsidRPr="00EA59C0">
        <w:rPr>
          <w:color w:val="auto"/>
        </w:rPr>
        <w:t xml:space="preserve"> </w:t>
      </w:r>
      <w:r w:rsidRPr="00EA59C0">
        <w:rPr>
          <w:color w:val="auto"/>
        </w:rPr>
        <w:t>methodology</w:t>
      </w:r>
      <w:r w:rsidR="00C026A6" w:rsidRPr="00EA59C0">
        <w:rPr>
          <w:color w:val="auto"/>
        </w:rPr>
        <w:t xml:space="preserve"> </w:t>
      </w:r>
      <w:r w:rsidRPr="00EA59C0">
        <w:rPr>
          <w:color w:val="auto"/>
        </w:rPr>
        <w:t>proposed</w:t>
      </w:r>
      <w:r w:rsidR="00C026A6" w:rsidRPr="00EA59C0">
        <w:rPr>
          <w:color w:val="auto"/>
        </w:rPr>
        <w:t xml:space="preserve"> </w:t>
      </w:r>
      <w:r w:rsidRPr="00EA59C0">
        <w:rPr>
          <w:color w:val="auto"/>
        </w:rPr>
        <w:t>is</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most</w:t>
      </w:r>
      <w:r w:rsidR="00C026A6" w:rsidRPr="00EA59C0">
        <w:rPr>
          <w:color w:val="auto"/>
        </w:rPr>
        <w:t xml:space="preserve"> </w:t>
      </w:r>
      <w:r w:rsidRPr="00EA59C0">
        <w:rPr>
          <w:color w:val="auto"/>
        </w:rPr>
        <w:t>rigorous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appropriate</w:t>
      </w:r>
      <w:r w:rsidR="00C026A6" w:rsidRPr="00EA59C0">
        <w:rPr>
          <w:color w:val="auto"/>
        </w:rPr>
        <w:t xml:space="preserve"> </w:t>
      </w:r>
      <w:r w:rsidRPr="00EA59C0">
        <w:rPr>
          <w:color w:val="auto"/>
        </w:rPr>
        <w:t>approach</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evaluating</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proposed</w:t>
      </w:r>
      <w:r w:rsidR="00C026A6" w:rsidRPr="00EA59C0">
        <w:rPr>
          <w:color w:val="auto"/>
        </w:rPr>
        <w:t xml:space="preserve"> </w:t>
      </w:r>
      <w:r w:rsidRPr="00EA59C0">
        <w:rPr>
          <w:color w:val="auto"/>
        </w:rPr>
        <w:t>project,</w:t>
      </w:r>
      <w:r w:rsidR="00C026A6" w:rsidRPr="00EA59C0">
        <w:rPr>
          <w:color w:val="auto"/>
        </w:rPr>
        <w:t xml:space="preserve"> </w:t>
      </w:r>
      <w:r w:rsidRPr="00EA59C0">
        <w:rPr>
          <w:color w:val="auto"/>
        </w:rPr>
        <w:t>given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targeted</w:t>
      </w:r>
      <w:r w:rsidR="00C026A6" w:rsidRPr="00EA59C0">
        <w:rPr>
          <w:color w:val="auto"/>
        </w:rPr>
        <w:t xml:space="preserve"> </w:t>
      </w:r>
      <w:r w:rsidRPr="00EA59C0">
        <w:rPr>
          <w:color w:val="auto"/>
        </w:rPr>
        <w:t>participant</w:t>
      </w:r>
      <w:r w:rsidR="00C026A6" w:rsidRPr="00EA59C0">
        <w:rPr>
          <w:color w:val="auto"/>
        </w:rPr>
        <w:t xml:space="preserve"> </w:t>
      </w:r>
      <w:r w:rsidRPr="00EA59C0">
        <w:rPr>
          <w:color w:val="auto"/>
        </w:rPr>
        <w:t>outcomes</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impacts</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interest</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number</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projected</w:t>
      </w:r>
      <w:r w:rsidR="00C026A6" w:rsidRPr="00EA59C0">
        <w:rPr>
          <w:color w:val="auto"/>
        </w:rPr>
        <w:t xml:space="preserve"> </w:t>
      </w:r>
      <w:r w:rsidRPr="00EA59C0">
        <w:rPr>
          <w:color w:val="auto"/>
        </w:rPr>
        <w:t>participants</w:t>
      </w:r>
      <w:r w:rsidR="00C026A6" w:rsidRPr="00EA59C0">
        <w:rPr>
          <w:color w:val="auto"/>
        </w:rPr>
        <w:t xml:space="preserve"> </w:t>
      </w:r>
      <w:r w:rsidRPr="00EA59C0">
        <w:rPr>
          <w:color w:val="auto"/>
        </w:rPr>
        <w:t>(including</w:t>
      </w:r>
      <w:r w:rsidR="00C026A6" w:rsidRPr="00EA59C0">
        <w:rPr>
          <w:color w:val="auto"/>
        </w:rPr>
        <w:t xml:space="preserve"> </w:t>
      </w:r>
      <w:r w:rsidRPr="00EA59C0">
        <w:rPr>
          <w:color w:val="auto"/>
        </w:rPr>
        <w:t>TAA-eligible</w:t>
      </w:r>
      <w:r w:rsidR="00C026A6" w:rsidRPr="00EA59C0">
        <w:rPr>
          <w:color w:val="auto"/>
        </w:rPr>
        <w:t xml:space="preserve"> </w:t>
      </w:r>
      <w:r w:rsidRPr="00EA59C0">
        <w:rPr>
          <w:color w:val="auto"/>
        </w:rPr>
        <w:t>workers).</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applicant</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also</w:t>
      </w:r>
      <w:r w:rsidR="00C026A6" w:rsidRPr="00EA59C0">
        <w:rPr>
          <w:color w:val="auto"/>
        </w:rPr>
        <w:t xml:space="preserve"> </w:t>
      </w:r>
      <w:r w:rsidRPr="00EA59C0">
        <w:rPr>
          <w:color w:val="auto"/>
        </w:rPr>
        <w:t>describe</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plan</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collecting</w:t>
      </w:r>
      <w:r w:rsidR="00C026A6" w:rsidRPr="00EA59C0">
        <w:rPr>
          <w:color w:val="auto"/>
        </w:rPr>
        <w:t xml:space="preserve"> </w:t>
      </w:r>
      <w:r w:rsidRPr="00EA59C0">
        <w:rPr>
          <w:color w:val="auto"/>
        </w:rPr>
        <w:t>follow-up</w:t>
      </w:r>
      <w:r w:rsidR="00C026A6" w:rsidRPr="00EA59C0">
        <w:rPr>
          <w:color w:val="auto"/>
        </w:rPr>
        <w:t xml:space="preserve"> </w:t>
      </w:r>
      <w:r w:rsidRPr="00EA59C0">
        <w:rPr>
          <w:color w:val="auto"/>
        </w:rPr>
        <w:t>data</w:t>
      </w:r>
      <w:r w:rsidR="00C026A6" w:rsidRPr="00EA59C0">
        <w:rPr>
          <w:color w:val="auto"/>
        </w:rPr>
        <w:t xml:space="preserve"> </w:t>
      </w:r>
      <w:r w:rsidRPr="00EA59C0">
        <w:rPr>
          <w:color w:val="auto"/>
        </w:rPr>
        <w:t>from</w:t>
      </w:r>
      <w:r w:rsidR="00C026A6" w:rsidRPr="00EA59C0">
        <w:rPr>
          <w:color w:val="auto"/>
        </w:rPr>
        <w:t xml:space="preserve"> </w:t>
      </w:r>
      <w:r w:rsidRPr="00EA59C0">
        <w:rPr>
          <w:color w:val="auto"/>
        </w:rPr>
        <w:t>participants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control</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comparison</w:t>
      </w:r>
      <w:r w:rsidR="00C026A6" w:rsidRPr="00EA59C0">
        <w:rPr>
          <w:color w:val="auto"/>
        </w:rPr>
        <w:t xml:space="preserve"> </w:t>
      </w:r>
      <w:r w:rsidRPr="00EA59C0">
        <w:rPr>
          <w:color w:val="auto"/>
        </w:rPr>
        <w:t>group.</w:t>
      </w:r>
      <w:r w:rsidR="00C026A6" w:rsidRPr="00EA59C0">
        <w:rPr>
          <w:color w:val="auto"/>
        </w:rPr>
        <w:t xml:space="preserve">  </w:t>
      </w:r>
      <w:r w:rsidRPr="00EA59C0">
        <w:rPr>
          <w:color w:val="auto"/>
        </w:rPr>
        <w:t>Depending</w:t>
      </w:r>
      <w:r w:rsidR="00C026A6" w:rsidRPr="00EA59C0">
        <w:rPr>
          <w:color w:val="auto"/>
        </w:rPr>
        <w:t xml:space="preserve"> </w:t>
      </w:r>
      <w:r w:rsidRPr="00EA59C0">
        <w:rPr>
          <w:color w:val="auto"/>
        </w:rPr>
        <w:t>on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proposed</w:t>
      </w:r>
      <w:r w:rsidR="00C026A6" w:rsidRPr="00EA59C0">
        <w:rPr>
          <w:color w:val="auto"/>
        </w:rPr>
        <w:t xml:space="preserve"> </w:t>
      </w:r>
      <w:r w:rsidRPr="00EA59C0">
        <w:rPr>
          <w:color w:val="auto"/>
        </w:rPr>
        <w:t>methodology,</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applicant</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provide</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following</w:t>
      </w:r>
      <w:r w:rsidR="00C026A6" w:rsidRPr="00EA59C0">
        <w:rPr>
          <w:color w:val="auto"/>
        </w:rPr>
        <w:t xml:space="preserve"> </w:t>
      </w:r>
      <w:r w:rsidRPr="00EA59C0">
        <w:rPr>
          <w:color w:val="auto"/>
        </w:rPr>
        <w:t>explanations</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plan:</w:t>
      </w:r>
      <w:r w:rsidR="00C026A6" w:rsidRPr="00EA59C0">
        <w:rPr>
          <w:color w:val="auto"/>
        </w:rPr>
        <w:t xml:space="preserve"> </w:t>
      </w:r>
    </w:p>
    <w:p w:rsidR="00A93F2C" w:rsidRPr="00EA59C0" w:rsidRDefault="00A93F2C" w:rsidP="00FA0E98">
      <w:pPr>
        <w:pStyle w:val="Default"/>
        <w:ind w:left="1080"/>
        <w:rPr>
          <w:color w:val="auto"/>
        </w:rPr>
      </w:pPr>
    </w:p>
    <w:p w:rsidR="00532A29" w:rsidRPr="00EA59C0" w:rsidRDefault="00532A29" w:rsidP="00FA0E98">
      <w:pPr>
        <w:pStyle w:val="Default"/>
        <w:numPr>
          <w:ilvl w:val="0"/>
          <w:numId w:val="9"/>
        </w:numPr>
        <w:rPr>
          <w:color w:val="auto"/>
        </w:rPr>
      </w:pPr>
      <w:r w:rsidRPr="00EA59C0">
        <w:rPr>
          <w:color w:val="auto"/>
        </w:rPr>
        <w:t>For</w:t>
      </w:r>
      <w:r w:rsidR="00C026A6" w:rsidRPr="00EA59C0">
        <w:rPr>
          <w:color w:val="auto"/>
        </w:rPr>
        <w:t xml:space="preserve"> </w:t>
      </w:r>
      <w:r w:rsidRPr="00EA59C0">
        <w:rPr>
          <w:color w:val="auto"/>
        </w:rPr>
        <w:t>an</w:t>
      </w:r>
      <w:r w:rsidR="00C026A6" w:rsidRPr="00EA59C0">
        <w:rPr>
          <w:color w:val="auto"/>
        </w:rPr>
        <w:t xml:space="preserve"> </w:t>
      </w:r>
      <w:r w:rsidRPr="00EA59C0">
        <w:rPr>
          <w:color w:val="auto"/>
        </w:rPr>
        <w:t>experimental</w:t>
      </w:r>
      <w:r w:rsidR="00C026A6" w:rsidRPr="00EA59C0">
        <w:rPr>
          <w:color w:val="auto"/>
        </w:rPr>
        <w:t xml:space="preserve"> </w:t>
      </w:r>
      <w:r w:rsidRPr="00EA59C0">
        <w:rPr>
          <w:color w:val="auto"/>
        </w:rPr>
        <w:t>design/random</w:t>
      </w:r>
      <w:r w:rsidR="00C026A6" w:rsidRPr="00EA59C0">
        <w:rPr>
          <w:color w:val="auto"/>
        </w:rPr>
        <w:t xml:space="preserve"> </w:t>
      </w:r>
      <w:r w:rsidRPr="00EA59C0">
        <w:rPr>
          <w:color w:val="auto"/>
        </w:rPr>
        <w:t>assignment</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applicant</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explain</w:t>
      </w:r>
      <w:r w:rsidR="00C026A6" w:rsidRPr="00EA59C0">
        <w:rPr>
          <w:color w:val="auto"/>
        </w:rPr>
        <w:t xml:space="preserve"> </w:t>
      </w:r>
      <w:r w:rsidRPr="00EA59C0">
        <w:rPr>
          <w:color w:val="auto"/>
        </w:rPr>
        <w:t>how</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recruitment</w:t>
      </w:r>
      <w:r w:rsidR="00C026A6" w:rsidRPr="00EA59C0">
        <w:rPr>
          <w:color w:val="auto"/>
        </w:rPr>
        <w:t xml:space="preserve"> </w:t>
      </w:r>
      <w:r w:rsidRPr="00EA59C0">
        <w:rPr>
          <w:color w:val="auto"/>
        </w:rPr>
        <w:t>plan</w:t>
      </w:r>
      <w:r w:rsidR="00C026A6" w:rsidRPr="00EA59C0">
        <w:rPr>
          <w:color w:val="auto"/>
        </w:rPr>
        <w:t xml:space="preserve"> </w:t>
      </w:r>
      <w:r w:rsidRPr="00EA59C0">
        <w:rPr>
          <w:color w:val="auto"/>
        </w:rPr>
        <w:t>will</w:t>
      </w:r>
      <w:r w:rsidR="00C026A6" w:rsidRPr="00EA59C0">
        <w:rPr>
          <w:color w:val="auto"/>
        </w:rPr>
        <w:t xml:space="preserve"> </w:t>
      </w:r>
      <w:r w:rsidRPr="00EA59C0">
        <w:rPr>
          <w:color w:val="auto"/>
        </w:rPr>
        <w:t>yield</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sufficient</w:t>
      </w:r>
      <w:r w:rsidR="00C026A6" w:rsidRPr="00EA59C0">
        <w:rPr>
          <w:color w:val="auto"/>
        </w:rPr>
        <w:t xml:space="preserve"> </w:t>
      </w:r>
      <w:r w:rsidRPr="00EA59C0">
        <w:rPr>
          <w:color w:val="auto"/>
        </w:rPr>
        <w:t>number</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qualified</w:t>
      </w:r>
      <w:r w:rsidR="00C026A6" w:rsidRPr="00EA59C0">
        <w:rPr>
          <w:color w:val="auto"/>
        </w:rPr>
        <w:t xml:space="preserve"> </w:t>
      </w:r>
      <w:r w:rsidRPr="00EA59C0">
        <w:rPr>
          <w:color w:val="auto"/>
        </w:rPr>
        <w:t>applicants</w:t>
      </w:r>
      <w:r w:rsidR="00C026A6" w:rsidRPr="00EA59C0">
        <w:rPr>
          <w:color w:val="auto"/>
        </w:rPr>
        <w:t xml:space="preserve"> </w:t>
      </w:r>
      <w:r w:rsidRPr="00EA59C0">
        <w:rPr>
          <w:color w:val="auto"/>
        </w:rPr>
        <w:t>(both</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controls)</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produce</w:t>
      </w:r>
      <w:r w:rsidR="00C026A6" w:rsidRPr="00EA59C0">
        <w:rPr>
          <w:color w:val="auto"/>
        </w:rPr>
        <w:t xml:space="preserve"> </w:t>
      </w:r>
      <w:r w:rsidRPr="00EA59C0">
        <w:rPr>
          <w:color w:val="auto"/>
        </w:rPr>
        <w:t>valid</w:t>
      </w:r>
      <w:r w:rsidR="00C026A6" w:rsidRPr="00EA59C0">
        <w:rPr>
          <w:color w:val="auto"/>
        </w:rPr>
        <w:t xml:space="preserve"> </w:t>
      </w:r>
      <w:r w:rsidRPr="00EA59C0">
        <w:rPr>
          <w:color w:val="auto"/>
        </w:rPr>
        <w:t>estimates</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these</w:t>
      </w:r>
      <w:r w:rsidR="00C026A6" w:rsidRPr="00EA59C0">
        <w:rPr>
          <w:color w:val="auto"/>
        </w:rPr>
        <w:t xml:space="preserve"> </w:t>
      </w:r>
      <w:r w:rsidRPr="00EA59C0">
        <w:rPr>
          <w:color w:val="auto"/>
        </w:rPr>
        <w:t>key</w:t>
      </w:r>
      <w:r w:rsidR="00C026A6" w:rsidRPr="00EA59C0">
        <w:rPr>
          <w:color w:val="auto"/>
        </w:rPr>
        <w:t xml:space="preserve"> </w:t>
      </w:r>
      <w:r w:rsidRPr="00EA59C0">
        <w:rPr>
          <w:color w:val="auto"/>
        </w:rPr>
        <w:t>outcomes:</w:t>
      </w:r>
      <w:r w:rsidR="00C026A6" w:rsidRPr="00EA59C0">
        <w:rPr>
          <w:color w:val="auto"/>
        </w:rPr>
        <w:t xml:space="preserve"> </w:t>
      </w:r>
    </w:p>
    <w:p w:rsidR="00532A29" w:rsidRPr="00EA59C0" w:rsidRDefault="00532A29" w:rsidP="00FA0E98">
      <w:pPr>
        <w:pStyle w:val="Default"/>
        <w:numPr>
          <w:ilvl w:val="1"/>
          <w:numId w:val="9"/>
        </w:numPr>
        <w:rPr>
          <w:color w:val="auto"/>
        </w:rPr>
      </w:pPr>
      <w:r w:rsidRPr="00EA59C0">
        <w:rPr>
          <w:color w:val="auto"/>
        </w:rPr>
        <w:t>Program</w:t>
      </w:r>
      <w:r w:rsidR="00C026A6" w:rsidRPr="00EA59C0">
        <w:rPr>
          <w:color w:val="auto"/>
        </w:rPr>
        <w:t xml:space="preserve"> </w:t>
      </w:r>
      <w:r w:rsidRPr="00EA59C0">
        <w:rPr>
          <w:color w:val="auto"/>
        </w:rPr>
        <w:t>completion,</w:t>
      </w:r>
      <w:r w:rsidR="00C026A6" w:rsidRPr="00EA59C0">
        <w:rPr>
          <w:color w:val="auto"/>
        </w:rPr>
        <w:t xml:space="preserve"> </w:t>
      </w:r>
      <w:r w:rsidRPr="00EA59C0">
        <w:rPr>
          <w:color w:val="auto"/>
        </w:rPr>
        <w:t>credential</w:t>
      </w:r>
      <w:r w:rsidR="00C026A6" w:rsidRPr="00EA59C0">
        <w:rPr>
          <w:color w:val="auto"/>
        </w:rPr>
        <w:t xml:space="preserve"> </w:t>
      </w:r>
      <w:r w:rsidRPr="00EA59C0">
        <w:rPr>
          <w:color w:val="auto"/>
        </w:rPr>
        <w:t>attainment,</w:t>
      </w:r>
      <w:r w:rsidR="00C026A6" w:rsidRPr="00EA59C0">
        <w:rPr>
          <w:color w:val="auto"/>
        </w:rPr>
        <w:t xml:space="preserve"> </w:t>
      </w:r>
      <w:r w:rsidRPr="00EA59C0">
        <w:rPr>
          <w:color w:val="auto"/>
        </w:rPr>
        <w:t>placement</w:t>
      </w:r>
      <w:r w:rsidR="00C026A6" w:rsidRPr="00EA59C0">
        <w:rPr>
          <w:color w:val="auto"/>
        </w:rPr>
        <w:t xml:space="preserve"> </w:t>
      </w:r>
      <w:r w:rsidRPr="00EA59C0">
        <w:rPr>
          <w:color w:val="auto"/>
        </w:rPr>
        <w:t>into</w:t>
      </w:r>
      <w:r w:rsidR="00C026A6" w:rsidRPr="00EA59C0">
        <w:rPr>
          <w:color w:val="auto"/>
        </w:rPr>
        <w:t xml:space="preserve"> </w:t>
      </w:r>
      <w:r w:rsidRPr="00EA59C0">
        <w:rPr>
          <w:color w:val="auto"/>
        </w:rPr>
        <w:t>employment,</w:t>
      </w:r>
      <w:r w:rsidR="00C026A6" w:rsidRPr="00EA59C0">
        <w:rPr>
          <w:color w:val="auto"/>
        </w:rPr>
        <w:t xml:space="preserve"> </w:t>
      </w:r>
      <w:r w:rsidRPr="00EA59C0">
        <w:rPr>
          <w:color w:val="auto"/>
        </w:rPr>
        <w:t>employment</w:t>
      </w:r>
      <w:r w:rsidR="00C026A6" w:rsidRPr="00EA59C0">
        <w:rPr>
          <w:color w:val="auto"/>
        </w:rPr>
        <w:t xml:space="preserve"> </w:t>
      </w:r>
      <w:r w:rsidRPr="00EA59C0">
        <w:rPr>
          <w:color w:val="auto"/>
        </w:rPr>
        <w:t>retention,</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average</w:t>
      </w:r>
      <w:r w:rsidR="00C026A6" w:rsidRPr="00EA59C0">
        <w:rPr>
          <w:color w:val="auto"/>
        </w:rPr>
        <w:t xml:space="preserve"> </w:t>
      </w:r>
      <w:r w:rsidRPr="00EA59C0">
        <w:rPr>
          <w:color w:val="auto"/>
        </w:rPr>
        <w:t>earnings</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those</w:t>
      </w:r>
      <w:r w:rsidR="00C026A6" w:rsidRPr="00EA59C0">
        <w:rPr>
          <w:color w:val="auto"/>
        </w:rPr>
        <w:t xml:space="preserve"> </w:t>
      </w:r>
      <w:r w:rsidRPr="00EA59C0">
        <w:rPr>
          <w:color w:val="auto"/>
        </w:rPr>
        <w:t>who</w:t>
      </w:r>
      <w:r w:rsidR="00C026A6" w:rsidRPr="00EA59C0">
        <w:rPr>
          <w:color w:val="auto"/>
        </w:rPr>
        <w:t xml:space="preserve"> </w:t>
      </w:r>
      <w:r w:rsidRPr="00EA59C0">
        <w:rPr>
          <w:color w:val="auto"/>
        </w:rPr>
        <w:t>retain</w:t>
      </w:r>
      <w:r w:rsidR="00C026A6" w:rsidRPr="00EA59C0">
        <w:rPr>
          <w:color w:val="auto"/>
        </w:rPr>
        <w:t xml:space="preserve"> </w:t>
      </w:r>
      <w:r w:rsidRPr="00EA59C0">
        <w:rPr>
          <w:color w:val="auto"/>
        </w:rPr>
        <w:t>employ</w:t>
      </w:r>
      <w:r w:rsidR="00A93F2C" w:rsidRPr="00EA59C0">
        <w:rPr>
          <w:color w:val="auto"/>
        </w:rPr>
        <w:t>ment</w:t>
      </w:r>
    </w:p>
    <w:p w:rsidR="00A93F2C" w:rsidRPr="00EA59C0" w:rsidRDefault="00A93F2C" w:rsidP="00FA0E98">
      <w:pPr>
        <w:pStyle w:val="Default"/>
        <w:ind w:left="2160"/>
        <w:rPr>
          <w:color w:val="auto"/>
        </w:rPr>
      </w:pPr>
    </w:p>
    <w:p w:rsidR="00532A29" w:rsidRPr="00EA59C0" w:rsidRDefault="00532A29" w:rsidP="00FA0E98">
      <w:pPr>
        <w:pStyle w:val="Default"/>
        <w:ind w:left="2160"/>
        <w:rPr>
          <w:color w:val="auto"/>
        </w:rPr>
      </w:pPr>
      <w:r w:rsidRPr="00EA59C0">
        <w:rPr>
          <w:color w:val="auto"/>
        </w:rPr>
        <w:t>The</w:t>
      </w:r>
      <w:r w:rsidR="00C026A6" w:rsidRPr="00EA59C0">
        <w:rPr>
          <w:color w:val="auto"/>
        </w:rPr>
        <w:t xml:space="preserve"> </w:t>
      </w:r>
      <w:r w:rsidRPr="00EA59C0">
        <w:rPr>
          <w:color w:val="auto"/>
        </w:rPr>
        <w:t>applicant</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also</w:t>
      </w:r>
      <w:r w:rsidR="00C026A6" w:rsidRPr="00EA59C0">
        <w:rPr>
          <w:color w:val="auto"/>
        </w:rPr>
        <w:t xml:space="preserve"> </w:t>
      </w:r>
      <w:r w:rsidRPr="00EA59C0">
        <w:rPr>
          <w:color w:val="auto"/>
        </w:rPr>
        <w:t>describe</w:t>
      </w:r>
      <w:r w:rsidR="00C026A6" w:rsidRPr="00EA59C0">
        <w:rPr>
          <w:color w:val="auto"/>
        </w:rPr>
        <w:t xml:space="preserve"> </w:t>
      </w:r>
      <w:r w:rsidRPr="00EA59C0">
        <w:rPr>
          <w:color w:val="auto"/>
        </w:rPr>
        <w:t>how</w:t>
      </w:r>
      <w:r w:rsidR="00C026A6" w:rsidRPr="00EA59C0">
        <w:rPr>
          <w:color w:val="auto"/>
        </w:rPr>
        <w:t xml:space="preserve"> </w:t>
      </w:r>
      <w:r w:rsidRPr="00EA59C0">
        <w:rPr>
          <w:color w:val="auto"/>
        </w:rPr>
        <w:t>random</w:t>
      </w:r>
      <w:r w:rsidR="00C026A6" w:rsidRPr="00EA59C0">
        <w:rPr>
          <w:color w:val="auto"/>
        </w:rPr>
        <w:t xml:space="preserve"> </w:t>
      </w:r>
      <w:r w:rsidRPr="00EA59C0">
        <w:rPr>
          <w:color w:val="auto"/>
        </w:rPr>
        <w:t>assignment</w:t>
      </w:r>
      <w:r w:rsidR="00C026A6" w:rsidRPr="00EA59C0">
        <w:rPr>
          <w:color w:val="auto"/>
        </w:rPr>
        <w:t xml:space="preserve"> </w:t>
      </w:r>
      <w:r w:rsidRPr="00EA59C0">
        <w:rPr>
          <w:color w:val="auto"/>
        </w:rPr>
        <w:t>will</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performed,</w:t>
      </w:r>
      <w:r w:rsidR="00C026A6" w:rsidRPr="00EA59C0">
        <w:rPr>
          <w:color w:val="auto"/>
        </w:rPr>
        <w:t xml:space="preserve"> </w:t>
      </w:r>
      <w:r w:rsidRPr="00EA59C0">
        <w:rPr>
          <w:color w:val="auto"/>
        </w:rPr>
        <w:t>such</w:t>
      </w:r>
      <w:r w:rsidR="00C026A6" w:rsidRPr="00EA59C0">
        <w:rPr>
          <w:color w:val="auto"/>
        </w:rPr>
        <w:t xml:space="preserve"> </w:t>
      </w:r>
      <w:r w:rsidRPr="00EA59C0">
        <w:rPr>
          <w:color w:val="auto"/>
        </w:rPr>
        <w:t>as</w:t>
      </w:r>
      <w:r w:rsidR="00C026A6" w:rsidRPr="00EA59C0">
        <w:rPr>
          <w:color w:val="auto"/>
        </w:rPr>
        <w:t xml:space="preserve"> </w:t>
      </w:r>
      <w:r w:rsidRPr="00EA59C0">
        <w:rPr>
          <w:color w:val="auto"/>
        </w:rPr>
        <w:t>procedures</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ensure</w:t>
      </w:r>
      <w:r w:rsidR="00C026A6" w:rsidRPr="00EA59C0">
        <w:rPr>
          <w:color w:val="auto"/>
        </w:rPr>
        <w:t xml:space="preserve"> </w:t>
      </w:r>
      <w:r w:rsidRPr="00EA59C0">
        <w:rPr>
          <w:color w:val="auto"/>
        </w:rPr>
        <w:t>compliance</w:t>
      </w:r>
      <w:r w:rsidR="00C026A6" w:rsidRPr="00EA59C0">
        <w:rPr>
          <w:color w:val="auto"/>
        </w:rPr>
        <w:t xml:space="preserve"> </w:t>
      </w:r>
      <w:r w:rsidRPr="00EA59C0">
        <w:rPr>
          <w:color w:val="auto"/>
        </w:rPr>
        <w:t>with</w:t>
      </w:r>
      <w:r w:rsidR="00C026A6" w:rsidRPr="00EA59C0">
        <w:rPr>
          <w:color w:val="auto"/>
        </w:rPr>
        <w:t xml:space="preserve">  </w:t>
      </w:r>
      <w:r w:rsidRPr="00EA59C0">
        <w:rPr>
          <w:color w:val="auto"/>
        </w:rPr>
        <w:t>random</w:t>
      </w:r>
      <w:r w:rsidR="00C026A6" w:rsidRPr="00EA59C0">
        <w:rPr>
          <w:color w:val="auto"/>
        </w:rPr>
        <w:t xml:space="preserve"> </w:t>
      </w:r>
      <w:r w:rsidRPr="00EA59C0">
        <w:rPr>
          <w:color w:val="auto"/>
        </w:rPr>
        <w:t>assignment,</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procedures</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ensure</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fidelity</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implementation</w:t>
      </w:r>
      <w:r w:rsidR="00C026A6" w:rsidRPr="00EA59C0">
        <w:rPr>
          <w:color w:val="auto"/>
        </w:rPr>
        <w:t xml:space="preserve"> </w:t>
      </w:r>
      <w:r w:rsidRPr="00EA59C0">
        <w:rPr>
          <w:color w:val="auto"/>
        </w:rPr>
        <w:t>(i.e.,</w:t>
      </w:r>
      <w:r w:rsidR="00C026A6" w:rsidRPr="00EA59C0">
        <w:rPr>
          <w:color w:val="auto"/>
        </w:rPr>
        <w:t xml:space="preserve"> </w:t>
      </w:r>
      <w:r w:rsidRPr="00EA59C0">
        <w:rPr>
          <w:color w:val="auto"/>
        </w:rPr>
        <w:t>that</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features</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intervention</w:t>
      </w:r>
      <w:r w:rsidR="00C026A6" w:rsidRPr="00EA59C0">
        <w:rPr>
          <w:color w:val="auto"/>
        </w:rPr>
        <w:t xml:space="preserve"> </w:t>
      </w:r>
      <w:r w:rsidRPr="00EA59C0">
        <w:rPr>
          <w:color w:val="auto"/>
        </w:rPr>
        <w:t>occurred</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treatment</w:t>
      </w:r>
      <w:r w:rsidR="00C026A6" w:rsidRPr="00EA59C0">
        <w:rPr>
          <w:color w:val="auto"/>
        </w:rPr>
        <w:t xml:space="preserve"> </w:t>
      </w:r>
      <w:r w:rsidRPr="00EA59C0">
        <w:rPr>
          <w:color w:val="auto"/>
        </w:rPr>
        <w:t>condition</w:t>
      </w:r>
      <w:r w:rsidR="00C026A6" w:rsidRPr="00EA59C0">
        <w:rPr>
          <w:color w:val="auto"/>
        </w:rPr>
        <w:t xml:space="preserve"> </w:t>
      </w:r>
      <w:r w:rsidRPr="00EA59C0">
        <w:rPr>
          <w:color w:val="auto"/>
        </w:rPr>
        <w:t>as</w:t>
      </w:r>
      <w:r w:rsidR="00C026A6" w:rsidRPr="00EA59C0">
        <w:rPr>
          <w:color w:val="auto"/>
        </w:rPr>
        <w:t xml:space="preserve"> </w:t>
      </w:r>
      <w:r w:rsidRPr="00EA59C0">
        <w:rPr>
          <w:color w:val="auto"/>
        </w:rPr>
        <w:t>intended</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did</w:t>
      </w:r>
      <w:r w:rsidR="00C026A6" w:rsidRPr="00EA59C0">
        <w:rPr>
          <w:color w:val="auto"/>
        </w:rPr>
        <w:t xml:space="preserve"> </w:t>
      </w:r>
      <w:r w:rsidRPr="00EA59C0">
        <w:rPr>
          <w:color w:val="auto"/>
        </w:rPr>
        <w:t>not</w:t>
      </w:r>
      <w:r w:rsidR="00C026A6" w:rsidRPr="00EA59C0">
        <w:rPr>
          <w:color w:val="auto"/>
        </w:rPr>
        <w:t xml:space="preserve"> </w:t>
      </w:r>
      <w:r w:rsidRPr="00EA59C0">
        <w:rPr>
          <w:color w:val="auto"/>
        </w:rPr>
        <w:t>occur</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control</w:t>
      </w:r>
      <w:r w:rsidR="00C026A6" w:rsidRPr="00EA59C0">
        <w:rPr>
          <w:color w:val="auto"/>
        </w:rPr>
        <w:t xml:space="preserve"> </w:t>
      </w:r>
      <w:r w:rsidRPr="00EA59C0">
        <w:rPr>
          <w:color w:val="auto"/>
        </w:rPr>
        <w:t>condition).</w:t>
      </w:r>
      <w:r w:rsidR="00C026A6" w:rsidRPr="00EA59C0">
        <w:rPr>
          <w:color w:val="auto"/>
        </w:rPr>
        <w:t xml:space="preserve">  </w:t>
      </w:r>
      <w:r w:rsidRPr="00EA59C0">
        <w:rPr>
          <w:color w:val="auto"/>
        </w:rPr>
        <w:t>Please</w:t>
      </w:r>
      <w:r w:rsidR="00C026A6" w:rsidRPr="00EA59C0">
        <w:rPr>
          <w:color w:val="auto"/>
        </w:rPr>
        <w:t xml:space="preserve"> </w:t>
      </w:r>
      <w:r w:rsidRPr="00EA59C0">
        <w:rPr>
          <w:color w:val="auto"/>
        </w:rPr>
        <w:t>note</w:t>
      </w:r>
      <w:r w:rsidR="00C026A6" w:rsidRPr="00EA59C0">
        <w:rPr>
          <w:color w:val="auto"/>
        </w:rPr>
        <w:t xml:space="preserve"> </w:t>
      </w:r>
      <w:r w:rsidRPr="00EA59C0">
        <w:rPr>
          <w:color w:val="auto"/>
        </w:rPr>
        <w:t>that</w:t>
      </w:r>
      <w:r w:rsidR="00C026A6" w:rsidRPr="00EA59C0">
        <w:rPr>
          <w:color w:val="auto"/>
        </w:rPr>
        <w:t xml:space="preserve"> </w:t>
      </w:r>
      <w:r w:rsidRPr="00EA59C0">
        <w:rPr>
          <w:color w:val="auto"/>
        </w:rPr>
        <w:t>TAA-eligible</w:t>
      </w:r>
      <w:r w:rsidR="00C026A6" w:rsidRPr="00EA59C0">
        <w:rPr>
          <w:color w:val="auto"/>
        </w:rPr>
        <w:t xml:space="preserve"> </w:t>
      </w:r>
      <w:r w:rsidRPr="00EA59C0">
        <w:rPr>
          <w:color w:val="auto"/>
        </w:rPr>
        <w:t>individuals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veterans</w:t>
      </w:r>
      <w:r w:rsidR="00C026A6" w:rsidRPr="00EA59C0">
        <w:rPr>
          <w:color w:val="auto"/>
        </w:rPr>
        <w:t xml:space="preserve"> </w:t>
      </w:r>
      <w:r w:rsidRPr="00EA59C0">
        <w:rPr>
          <w:color w:val="auto"/>
        </w:rPr>
        <w:t>may</w:t>
      </w:r>
      <w:r w:rsidR="00C026A6" w:rsidRPr="00EA59C0">
        <w:rPr>
          <w:color w:val="auto"/>
        </w:rPr>
        <w:t xml:space="preserve"> </w:t>
      </w:r>
      <w:r w:rsidRPr="00EA59C0">
        <w:rPr>
          <w:color w:val="auto"/>
        </w:rPr>
        <w:t>not</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randomly</w:t>
      </w:r>
      <w:r w:rsidR="00C026A6" w:rsidRPr="00EA59C0">
        <w:rPr>
          <w:color w:val="auto"/>
        </w:rPr>
        <w:t xml:space="preserve"> </w:t>
      </w:r>
      <w:r w:rsidRPr="00EA59C0">
        <w:rPr>
          <w:color w:val="auto"/>
        </w:rPr>
        <w:t>assigned.</w:t>
      </w:r>
      <w:r w:rsidR="00C026A6" w:rsidRPr="00EA59C0">
        <w:rPr>
          <w:color w:val="auto"/>
        </w:rPr>
        <w:t xml:space="preserve"> </w:t>
      </w:r>
    </w:p>
    <w:p w:rsidR="00A93F2C" w:rsidRPr="00EA59C0" w:rsidRDefault="00A93F2C" w:rsidP="00FA0E98">
      <w:pPr>
        <w:pStyle w:val="Default"/>
        <w:ind w:left="1080"/>
        <w:rPr>
          <w:color w:val="auto"/>
        </w:rPr>
      </w:pPr>
    </w:p>
    <w:p w:rsidR="00532A29" w:rsidRPr="00EA59C0" w:rsidRDefault="00532A29" w:rsidP="00FA0E98">
      <w:pPr>
        <w:pStyle w:val="Default"/>
        <w:numPr>
          <w:ilvl w:val="0"/>
          <w:numId w:val="9"/>
        </w:numPr>
        <w:rPr>
          <w:color w:val="auto"/>
        </w:rPr>
      </w:pPr>
      <w:r w:rsidRPr="00EA59C0">
        <w:rPr>
          <w:color w:val="auto"/>
        </w:rPr>
        <w:t>Applicants</w:t>
      </w:r>
      <w:r w:rsidR="00C026A6" w:rsidRPr="00EA59C0">
        <w:rPr>
          <w:color w:val="auto"/>
        </w:rPr>
        <w:t xml:space="preserve"> </w:t>
      </w:r>
      <w:r w:rsidRPr="00EA59C0">
        <w:rPr>
          <w:color w:val="auto"/>
        </w:rPr>
        <w:t>proposing</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comparison</w:t>
      </w:r>
      <w:r w:rsidR="00C026A6" w:rsidRPr="00EA59C0">
        <w:rPr>
          <w:color w:val="auto"/>
        </w:rPr>
        <w:t xml:space="preserve"> </w:t>
      </w:r>
      <w:r w:rsidRPr="00EA59C0">
        <w:rPr>
          <w:color w:val="auto"/>
        </w:rPr>
        <w:t>group(s)</w:t>
      </w:r>
      <w:r w:rsidR="00C026A6" w:rsidRPr="00EA59C0">
        <w:rPr>
          <w:color w:val="auto"/>
        </w:rPr>
        <w:t xml:space="preserve"> </w:t>
      </w:r>
      <w:r w:rsidRPr="00EA59C0">
        <w:rPr>
          <w:color w:val="auto"/>
        </w:rPr>
        <w:t>(non-experimental)</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design</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explain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source</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size</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comparison</w:t>
      </w:r>
      <w:r w:rsidR="00C026A6" w:rsidRPr="00EA59C0">
        <w:rPr>
          <w:color w:val="auto"/>
        </w:rPr>
        <w:t xml:space="preserve"> </w:t>
      </w:r>
      <w:r w:rsidRPr="00EA59C0">
        <w:rPr>
          <w:color w:val="auto"/>
        </w:rPr>
        <w:t>group(s)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method</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selecting</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comparison</w:t>
      </w:r>
      <w:r w:rsidR="00C026A6" w:rsidRPr="00EA59C0">
        <w:rPr>
          <w:color w:val="auto"/>
        </w:rPr>
        <w:t xml:space="preserve"> </w:t>
      </w:r>
      <w:r w:rsidRPr="00EA59C0">
        <w:rPr>
          <w:color w:val="auto"/>
        </w:rPr>
        <w:t>group.</w:t>
      </w:r>
      <w:r w:rsidR="00C026A6" w:rsidRPr="00EA59C0">
        <w:rPr>
          <w:color w:val="auto"/>
        </w:rPr>
        <w:t xml:space="preserve">  </w:t>
      </w:r>
      <w:r w:rsidRPr="00EA59C0">
        <w:rPr>
          <w:color w:val="auto"/>
        </w:rPr>
        <w:t>If</w:t>
      </w:r>
      <w:r w:rsidR="00C026A6" w:rsidRPr="00EA59C0">
        <w:rPr>
          <w:color w:val="auto"/>
        </w:rPr>
        <w:t xml:space="preserve"> </w:t>
      </w:r>
      <w:r w:rsidRPr="00EA59C0">
        <w:rPr>
          <w:color w:val="auto"/>
        </w:rPr>
        <w:t>matching</w:t>
      </w:r>
      <w:r w:rsidR="00C026A6" w:rsidRPr="00EA59C0">
        <w:rPr>
          <w:color w:val="auto"/>
        </w:rPr>
        <w:t xml:space="preserve"> </w:t>
      </w:r>
      <w:r w:rsidRPr="00EA59C0">
        <w:rPr>
          <w:color w:val="auto"/>
        </w:rPr>
        <w:t>across</w:t>
      </w:r>
      <w:r w:rsidR="00C026A6" w:rsidRPr="00EA59C0">
        <w:rPr>
          <w:color w:val="auto"/>
        </w:rPr>
        <w:t xml:space="preserve"> </w:t>
      </w:r>
      <w:r w:rsidRPr="00EA59C0">
        <w:rPr>
          <w:color w:val="auto"/>
        </w:rPr>
        <w:t>groups</w:t>
      </w:r>
      <w:r w:rsidR="00C026A6" w:rsidRPr="00EA59C0">
        <w:rPr>
          <w:color w:val="auto"/>
        </w:rPr>
        <w:t xml:space="preserve"> </w:t>
      </w:r>
      <w:r w:rsidRPr="00EA59C0">
        <w:rPr>
          <w:color w:val="auto"/>
        </w:rPr>
        <w:t>are</w:t>
      </w:r>
      <w:r w:rsidR="00C026A6" w:rsidRPr="00EA59C0">
        <w:rPr>
          <w:color w:val="auto"/>
        </w:rPr>
        <w:t xml:space="preserve"> </w:t>
      </w:r>
      <w:r w:rsidRPr="00EA59C0">
        <w:rPr>
          <w:color w:val="auto"/>
        </w:rPr>
        <w:t>used</w:t>
      </w:r>
      <w:r w:rsidR="00C026A6" w:rsidRPr="00EA59C0">
        <w:rPr>
          <w:color w:val="auto"/>
        </w:rPr>
        <w:t xml:space="preserve"> </w:t>
      </w:r>
      <w:r w:rsidRPr="00EA59C0">
        <w:rPr>
          <w:color w:val="auto"/>
        </w:rPr>
        <w:t>(e.g.,</w:t>
      </w:r>
      <w:r w:rsidR="00C026A6" w:rsidRPr="00EA59C0">
        <w:rPr>
          <w:color w:val="auto"/>
        </w:rPr>
        <w:t xml:space="preserve"> </w:t>
      </w:r>
      <w:r w:rsidRPr="00EA59C0">
        <w:rPr>
          <w:color w:val="auto"/>
        </w:rPr>
        <w:t>demographics,</w:t>
      </w:r>
      <w:r w:rsidR="00C026A6" w:rsidRPr="00EA59C0">
        <w:rPr>
          <w:color w:val="auto"/>
        </w:rPr>
        <w:t xml:space="preserve"> </w:t>
      </w:r>
      <w:r w:rsidRPr="00EA59C0">
        <w:rPr>
          <w:color w:val="auto"/>
        </w:rPr>
        <w:t>pretest</w:t>
      </w:r>
      <w:r w:rsidR="00C026A6" w:rsidRPr="00EA59C0">
        <w:rPr>
          <w:color w:val="auto"/>
        </w:rPr>
        <w:t xml:space="preserve"> </w:t>
      </w:r>
      <w:r w:rsidRPr="00EA59C0">
        <w:rPr>
          <w:color w:val="auto"/>
        </w:rPr>
        <w:t>scores,</w:t>
      </w:r>
      <w:r w:rsidR="00C026A6" w:rsidRPr="00EA59C0">
        <w:rPr>
          <w:color w:val="auto"/>
        </w:rPr>
        <w:t xml:space="preserve"> </w:t>
      </w:r>
      <w:r w:rsidRPr="00EA59C0">
        <w:rPr>
          <w:color w:val="auto"/>
        </w:rPr>
        <w:t>level</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education),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statistical</w:t>
      </w:r>
      <w:r w:rsidR="00C026A6" w:rsidRPr="00EA59C0">
        <w:rPr>
          <w:color w:val="auto"/>
        </w:rPr>
        <w:t xml:space="preserve"> </w:t>
      </w:r>
      <w:r w:rsidRPr="00EA59C0">
        <w:rPr>
          <w:color w:val="auto"/>
        </w:rPr>
        <w:t>techniques</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matching</w:t>
      </w:r>
      <w:r w:rsidR="00C026A6" w:rsidRPr="00EA59C0">
        <w:rPr>
          <w:color w:val="auto"/>
        </w:rPr>
        <w:t xml:space="preserve"> </w:t>
      </w:r>
      <w:r w:rsidRPr="00EA59C0">
        <w:rPr>
          <w:color w:val="auto"/>
        </w:rPr>
        <w:t>should</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described,</w:t>
      </w:r>
      <w:r w:rsidR="00C026A6" w:rsidRPr="00EA59C0">
        <w:rPr>
          <w:color w:val="auto"/>
        </w:rPr>
        <w:t xml:space="preserve"> </w:t>
      </w:r>
      <w:r w:rsidRPr="00EA59C0">
        <w:rPr>
          <w:color w:val="auto"/>
        </w:rPr>
        <w:t>including</w:t>
      </w:r>
      <w:r w:rsidR="00C026A6" w:rsidRPr="00EA59C0">
        <w:rPr>
          <w:color w:val="auto"/>
        </w:rPr>
        <w:t xml:space="preserve"> </w:t>
      </w:r>
      <w:r w:rsidRPr="00EA59C0">
        <w:rPr>
          <w:color w:val="auto"/>
        </w:rPr>
        <w:t>an</w:t>
      </w:r>
      <w:r w:rsidR="00C026A6" w:rsidRPr="00EA59C0">
        <w:rPr>
          <w:color w:val="auto"/>
        </w:rPr>
        <w:t xml:space="preserve"> </w:t>
      </w:r>
      <w:r w:rsidRPr="00EA59C0">
        <w:rPr>
          <w:color w:val="auto"/>
        </w:rPr>
        <w:t>explanation</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how</w:t>
      </w:r>
      <w:r w:rsidR="00C026A6" w:rsidRPr="00EA59C0">
        <w:rPr>
          <w:color w:val="auto"/>
        </w:rPr>
        <w:t xml:space="preserve"> </w:t>
      </w:r>
      <w:r w:rsidRPr="00EA59C0">
        <w:rPr>
          <w:color w:val="auto"/>
        </w:rPr>
        <w:t>these</w:t>
      </w:r>
      <w:r w:rsidR="00C026A6" w:rsidRPr="00EA59C0">
        <w:rPr>
          <w:color w:val="auto"/>
        </w:rPr>
        <w:t xml:space="preserve"> </w:t>
      </w:r>
      <w:r w:rsidRPr="00EA59C0">
        <w:rPr>
          <w:color w:val="auto"/>
        </w:rPr>
        <w:t>techniques</w:t>
      </w:r>
      <w:r w:rsidR="00C026A6" w:rsidRPr="00EA59C0">
        <w:rPr>
          <w:color w:val="auto"/>
        </w:rPr>
        <w:t xml:space="preserve"> </w:t>
      </w:r>
      <w:r w:rsidRPr="00EA59C0">
        <w:rPr>
          <w:color w:val="auto"/>
        </w:rPr>
        <w:t>are</w:t>
      </w:r>
      <w:r w:rsidR="00C026A6" w:rsidRPr="00EA59C0">
        <w:rPr>
          <w:color w:val="auto"/>
        </w:rPr>
        <w:t xml:space="preserve"> </w:t>
      </w:r>
      <w:r w:rsidRPr="00EA59C0">
        <w:rPr>
          <w:color w:val="auto"/>
        </w:rPr>
        <w:t>appropriate</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sample</w:t>
      </w:r>
      <w:r w:rsidR="00C026A6" w:rsidRPr="00EA59C0">
        <w:rPr>
          <w:color w:val="auto"/>
        </w:rPr>
        <w:t xml:space="preserve"> </w:t>
      </w:r>
      <w:r w:rsidRPr="00EA59C0">
        <w:rPr>
          <w:color w:val="auto"/>
        </w:rPr>
        <w:t>size.</w:t>
      </w:r>
      <w:r w:rsidR="00C026A6" w:rsidRPr="00EA59C0">
        <w:rPr>
          <w:color w:val="auto"/>
        </w:rPr>
        <w:t xml:space="preserve">  </w:t>
      </w:r>
      <w:r w:rsidRPr="00EA59C0">
        <w:rPr>
          <w:color w:val="auto"/>
        </w:rPr>
        <w:t>Applicants</w:t>
      </w:r>
      <w:r w:rsidR="00C026A6" w:rsidRPr="00EA59C0">
        <w:rPr>
          <w:color w:val="auto"/>
        </w:rPr>
        <w:t xml:space="preserve"> </w:t>
      </w:r>
      <w:r w:rsidRPr="00EA59C0">
        <w:rPr>
          <w:color w:val="auto"/>
        </w:rPr>
        <w:t>should</w:t>
      </w:r>
      <w:r w:rsidR="00C026A6" w:rsidRPr="00EA59C0">
        <w:rPr>
          <w:color w:val="auto"/>
        </w:rPr>
        <w:t xml:space="preserve"> </w:t>
      </w:r>
      <w:r w:rsidRPr="00EA59C0">
        <w:rPr>
          <w:color w:val="auto"/>
        </w:rPr>
        <w:t>also</w:t>
      </w:r>
      <w:r w:rsidR="00C026A6" w:rsidRPr="00EA59C0">
        <w:rPr>
          <w:color w:val="auto"/>
        </w:rPr>
        <w:t xml:space="preserve"> </w:t>
      </w:r>
      <w:r w:rsidRPr="00EA59C0">
        <w:rPr>
          <w:color w:val="auto"/>
        </w:rPr>
        <w:t>discuss</w:t>
      </w:r>
      <w:r w:rsidR="00C026A6" w:rsidRPr="00EA59C0">
        <w:rPr>
          <w:color w:val="auto"/>
        </w:rPr>
        <w:t xml:space="preserve"> </w:t>
      </w:r>
      <w:r w:rsidRPr="00EA59C0">
        <w:rPr>
          <w:color w:val="auto"/>
        </w:rPr>
        <w:t>procedures</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ensure</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fidelity</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implementation</w:t>
      </w:r>
      <w:r w:rsidR="00C026A6" w:rsidRPr="00EA59C0">
        <w:rPr>
          <w:color w:val="auto"/>
        </w:rPr>
        <w:t xml:space="preserve"> </w:t>
      </w:r>
      <w:r w:rsidRPr="00EA59C0">
        <w:rPr>
          <w:color w:val="auto"/>
        </w:rPr>
        <w:t>(i.e.,</w:t>
      </w:r>
      <w:r w:rsidR="00C026A6" w:rsidRPr="00EA59C0">
        <w:rPr>
          <w:color w:val="auto"/>
        </w:rPr>
        <w:t xml:space="preserve"> </w:t>
      </w:r>
      <w:r w:rsidRPr="00EA59C0">
        <w:rPr>
          <w:color w:val="auto"/>
        </w:rPr>
        <w:t>that</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features</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intervention</w:t>
      </w:r>
      <w:r w:rsidR="00C026A6" w:rsidRPr="00EA59C0">
        <w:rPr>
          <w:color w:val="auto"/>
        </w:rPr>
        <w:t xml:space="preserve"> </w:t>
      </w:r>
      <w:r w:rsidRPr="00EA59C0">
        <w:rPr>
          <w:color w:val="auto"/>
        </w:rPr>
        <w:t>occurred</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treatment</w:t>
      </w:r>
      <w:r w:rsidR="00C026A6" w:rsidRPr="00EA59C0">
        <w:rPr>
          <w:color w:val="auto"/>
        </w:rPr>
        <w:t xml:space="preserve"> </w:t>
      </w:r>
      <w:r w:rsidRPr="00EA59C0">
        <w:rPr>
          <w:color w:val="auto"/>
        </w:rPr>
        <w:t>condition</w:t>
      </w:r>
      <w:r w:rsidR="00C026A6" w:rsidRPr="00EA59C0">
        <w:rPr>
          <w:color w:val="auto"/>
        </w:rPr>
        <w:t xml:space="preserve"> </w:t>
      </w:r>
      <w:r w:rsidRPr="00EA59C0">
        <w:rPr>
          <w:color w:val="auto"/>
        </w:rPr>
        <w:t>as</w:t>
      </w:r>
      <w:r w:rsidR="00C026A6" w:rsidRPr="00EA59C0">
        <w:rPr>
          <w:color w:val="auto"/>
        </w:rPr>
        <w:t xml:space="preserve"> </w:t>
      </w:r>
      <w:r w:rsidRPr="00EA59C0">
        <w:rPr>
          <w:color w:val="auto"/>
        </w:rPr>
        <w:t>intended</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did</w:t>
      </w:r>
      <w:r w:rsidR="00C026A6" w:rsidRPr="00EA59C0">
        <w:rPr>
          <w:color w:val="auto"/>
        </w:rPr>
        <w:t xml:space="preserve"> </w:t>
      </w:r>
      <w:r w:rsidRPr="00EA59C0">
        <w:rPr>
          <w:color w:val="auto"/>
        </w:rPr>
        <w:t>not</w:t>
      </w:r>
      <w:r w:rsidR="00C026A6" w:rsidRPr="00EA59C0">
        <w:rPr>
          <w:color w:val="auto"/>
        </w:rPr>
        <w:t xml:space="preserve"> </w:t>
      </w:r>
      <w:r w:rsidRPr="00EA59C0">
        <w:rPr>
          <w:color w:val="auto"/>
        </w:rPr>
        <w:t>occur</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comparison</w:t>
      </w:r>
      <w:r w:rsidR="00C026A6" w:rsidRPr="00EA59C0">
        <w:rPr>
          <w:color w:val="auto"/>
        </w:rPr>
        <w:t xml:space="preserve"> </w:t>
      </w:r>
      <w:r w:rsidRPr="00EA59C0">
        <w:rPr>
          <w:color w:val="auto"/>
        </w:rPr>
        <w:t>condition).</w:t>
      </w:r>
    </w:p>
    <w:p w:rsidR="00A93F2C" w:rsidRPr="00EA59C0" w:rsidRDefault="00A93F2C" w:rsidP="00FA0E98">
      <w:pPr>
        <w:pStyle w:val="Default"/>
        <w:ind w:left="1440"/>
        <w:rPr>
          <w:color w:val="auto"/>
        </w:rPr>
      </w:pPr>
    </w:p>
    <w:p w:rsidR="00532A29" w:rsidRPr="00EA59C0" w:rsidRDefault="00532A29" w:rsidP="00FA0E98">
      <w:pPr>
        <w:pStyle w:val="Default"/>
        <w:ind w:left="1800"/>
        <w:rPr>
          <w:color w:val="auto"/>
        </w:rPr>
      </w:pPr>
      <w:r w:rsidRPr="00EA59C0">
        <w:rPr>
          <w:color w:val="auto"/>
        </w:rPr>
        <w:t>The</w:t>
      </w:r>
      <w:r w:rsidR="00C026A6" w:rsidRPr="00EA59C0">
        <w:rPr>
          <w:color w:val="auto"/>
        </w:rPr>
        <w:t xml:space="preserve"> </w:t>
      </w:r>
      <w:r w:rsidRPr="00EA59C0">
        <w:rPr>
          <w:color w:val="auto"/>
        </w:rPr>
        <w:t>analysis</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individual</w:t>
      </w:r>
      <w:r w:rsidR="00C026A6" w:rsidRPr="00EA59C0">
        <w:rPr>
          <w:color w:val="auto"/>
        </w:rPr>
        <w:t xml:space="preserve"> </w:t>
      </w:r>
      <w:r w:rsidRPr="00EA59C0">
        <w:rPr>
          <w:color w:val="auto"/>
        </w:rPr>
        <w:t>(net)</w:t>
      </w:r>
      <w:r w:rsidR="00C026A6" w:rsidRPr="00EA59C0">
        <w:rPr>
          <w:color w:val="auto"/>
        </w:rPr>
        <w:t xml:space="preserve"> </w:t>
      </w:r>
      <w:r w:rsidRPr="00EA59C0">
        <w:rPr>
          <w:color w:val="auto"/>
        </w:rPr>
        <w:t>impacts</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outcomes</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based</w:t>
      </w:r>
      <w:r w:rsidR="00C026A6" w:rsidRPr="00EA59C0">
        <w:rPr>
          <w:color w:val="auto"/>
        </w:rPr>
        <w:t xml:space="preserve"> </w:t>
      </w:r>
      <w:r w:rsidRPr="00EA59C0">
        <w:rPr>
          <w:color w:val="auto"/>
        </w:rPr>
        <w:t>on</w:t>
      </w:r>
      <w:r w:rsidR="00C026A6" w:rsidRPr="00EA59C0">
        <w:rPr>
          <w:color w:val="auto"/>
        </w:rPr>
        <w:t xml:space="preserve"> </w:t>
      </w:r>
      <w:r w:rsidRPr="00EA59C0">
        <w:rPr>
          <w:color w:val="auto"/>
        </w:rPr>
        <w:t>participant-level</w:t>
      </w:r>
      <w:r w:rsidR="00C026A6" w:rsidRPr="00EA59C0">
        <w:rPr>
          <w:color w:val="auto"/>
        </w:rPr>
        <w:t xml:space="preserve"> </w:t>
      </w:r>
      <w:r w:rsidRPr="00EA59C0">
        <w:rPr>
          <w:color w:val="auto"/>
        </w:rPr>
        <w:t>data.</w:t>
      </w:r>
      <w:r w:rsidR="00C026A6" w:rsidRPr="00EA59C0">
        <w:rPr>
          <w:color w:val="auto"/>
        </w:rPr>
        <w:t xml:space="preserve">  </w:t>
      </w:r>
      <w:r w:rsidRPr="00EA59C0">
        <w:rPr>
          <w:color w:val="auto"/>
        </w:rPr>
        <w:t>Applicants</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indicate</w:t>
      </w:r>
      <w:r w:rsidR="00C026A6" w:rsidRPr="00EA59C0">
        <w:rPr>
          <w:color w:val="auto"/>
        </w:rPr>
        <w:t xml:space="preserve"> </w:t>
      </w:r>
      <w:r w:rsidRPr="00EA59C0">
        <w:rPr>
          <w:color w:val="auto"/>
        </w:rPr>
        <w:t>their</w:t>
      </w:r>
      <w:r w:rsidR="00C026A6" w:rsidRPr="00EA59C0">
        <w:rPr>
          <w:color w:val="auto"/>
        </w:rPr>
        <w:t xml:space="preserve"> </w:t>
      </w:r>
      <w:r w:rsidRPr="00EA59C0">
        <w:rPr>
          <w:color w:val="auto"/>
        </w:rPr>
        <w:t>ability</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transmit</w:t>
      </w:r>
      <w:r w:rsidR="00C026A6" w:rsidRPr="00EA59C0">
        <w:rPr>
          <w:color w:val="auto"/>
        </w:rPr>
        <w:t xml:space="preserve"> </w:t>
      </w:r>
      <w:r w:rsidRPr="00EA59C0">
        <w:rPr>
          <w:color w:val="auto"/>
        </w:rPr>
        <w:t>personally</w:t>
      </w:r>
      <w:r w:rsidR="00C026A6" w:rsidRPr="00EA59C0">
        <w:rPr>
          <w:color w:val="auto"/>
        </w:rPr>
        <w:t xml:space="preserve"> </w:t>
      </w:r>
      <w:r w:rsidRPr="00EA59C0">
        <w:rPr>
          <w:color w:val="auto"/>
        </w:rPr>
        <w:t>identifiable</w:t>
      </w:r>
      <w:r w:rsidR="00C026A6" w:rsidRPr="00EA59C0">
        <w:rPr>
          <w:color w:val="auto"/>
        </w:rPr>
        <w:t xml:space="preserve"> </w:t>
      </w:r>
      <w:r w:rsidRPr="00EA59C0">
        <w:rPr>
          <w:color w:val="auto"/>
        </w:rPr>
        <w:t>data</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their</w:t>
      </w:r>
      <w:r w:rsidR="00C026A6" w:rsidRPr="00EA59C0">
        <w:rPr>
          <w:color w:val="auto"/>
        </w:rPr>
        <w:t xml:space="preserve"> </w:t>
      </w:r>
      <w:r w:rsidRPr="00EA59C0">
        <w:rPr>
          <w:color w:val="auto"/>
        </w:rPr>
        <w:t>third-party</w:t>
      </w:r>
      <w:r w:rsidR="00C026A6" w:rsidRPr="00EA59C0">
        <w:rPr>
          <w:color w:val="auto"/>
        </w:rPr>
        <w:t xml:space="preserve"> </w:t>
      </w:r>
      <w:r w:rsidRPr="00EA59C0">
        <w:rPr>
          <w:color w:val="auto"/>
        </w:rPr>
        <w:t>evaluators,</w:t>
      </w:r>
      <w:r w:rsidR="00C026A6" w:rsidRPr="00EA59C0">
        <w:rPr>
          <w:color w:val="auto"/>
        </w:rPr>
        <w:t xml:space="preserve"> </w:t>
      </w:r>
      <w:r w:rsidRPr="00EA59C0">
        <w:rPr>
          <w:color w:val="auto"/>
        </w:rPr>
        <w:t>such</w:t>
      </w:r>
      <w:r w:rsidR="00C026A6" w:rsidRPr="00EA59C0">
        <w:rPr>
          <w:color w:val="auto"/>
        </w:rPr>
        <w:t xml:space="preserve"> </w:t>
      </w:r>
      <w:r w:rsidRPr="00EA59C0">
        <w:rPr>
          <w:color w:val="auto"/>
        </w:rPr>
        <w:t>as</w:t>
      </w:r>
      <w:r w:rsidR="00C026A6" w:rsidRPr="00EA59C0">
        <w:rPr>
          <w:color w:val="auto"/>
        </w:rPr>
        <w:t xml:space="preserve"> </w:t>
      </w:r>
      <w:r w:rsidRPr="00EA59C0">
        <w:rPr>
          <w:color w:val="auto"/>
        </w:rPr>
        <w:t>name,</w:t>
      </w:r>
      <w:r w:rsidR="00C026A6" w:rsidRPr="00EA59C0">
        <w:rPr>
          <w:color w:val="auto"/>
        </w:rPr>
        <w:t xml:space="preserve"> </w:t>
      </w:r>
      <w:r w:rsidRPr="00EA59C0">
        <w:rPr>
          <w:color w:val="auto"/>
        </w:rPr>
        <w:t>Social</w:t>
      </w:r>
      <w:r w:rsidR="00C026A6" w:rsidRPr="00EA59C0">
        <w:rPr>
          <w:color w:val="auto"/>
        </w:rPr>
        <w:t xml:space="preserve"> </w:t>
      </w:r>
      <w:r w:rsidRPr="00EA59C0">
        <w:rPr>
          <w:color w:val="auto"/>
        </w:rPr>
        <w:t>Security</w:t>
      </w:r>
      <w:r w:rsidR="00C026A6" w:rsidRPr="00EA59C0">
        <w:rPr>
          <w:color w:val="auto"/>
        </w:rPr>
        <w:t xml:space="preserve"> </w:t>
      </w:r>
      <w:r w:rsidRPr="00EA59C0">
        <w:rPr>
          <w:color w:val="auto"/>
        </w:rPr>
        <w:t>Number,</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date</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birth</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participants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individuals</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control</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comparison</w:t>
      </w:r>
      <w:r w:rsidR="00C026A6" w:rsidRPr="00EA59C0">
        <w:rPr>
          <w:color w:val="auto"/>
        </w:rPr>
        <w:t xml:space="preserve"> </w:t>
      </w:r>
      <w:r w:rsidRPr="00EA59C0">
        <w:rPr>
          <w:color w:val="auto"/>
        </w:rPr>
        <w:t>groups,</w:t>
      </w:r>
      <w:r w:rsidR="00C026A6" w:rsidRPr="00EA59C0">
        <w:rPr>
          <w:color w:val="auto"/>
        </w:rPr>
        <w:t xml:space="preserve"> </w:t>
      </w:r>
      <w:r w:rsidRPr="00EA59C0">
        <w:rPr>
          <w:color w:val="auto"/>
        </w:rPr>
        <w:t>using</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secure</w:t>
      </w:r>
      <w:r w:rsidR="00C026A6" w:rsidRPr="00EA59C0">
        <w:rPr>
          <w:color w:val="auto"/>
        </w:rPr>
        <w:t xml:space="preserve"> </w:t>
      </w:r>
      <w:r w:rsidRPr="00EA59C0">
        <w:rPr>
          <w:color w:val="auto"/>
        </w:rPr>
        <w:t>data</w:t>
      </w:r>
      <w:r w:rsidR="00C026A6" w:rsidRPr="00EA59C0">
        <w:rPr>
          <w:color w:val="auto"/>
        </w:rPr>
        <w:t xml:space="preserve"> </w:t>
      </w:r>
      <w:r w:rsidRPr="00EA59C0">
        <w:rPr>
          <w:color w:val="auto"/>
        </w:rPr>
        <w:t>system.</w:t>
      </w:r>
      <w:r w:rsidR="00C026A6" w:rsidRPr="00EA59C0">
        <w:rPr>
          <w:color w:val="auto"/>
        </w:rPr>
        <w:t xml:space="preserve">  </w:t>
      </w:r>
    </w:p>
    <w:p w:rsidR="00532A29" w:rsidRPr="00EA59C0" w:rsidRDefault="00532A29" w:rsidP="00FA0E98">
      <w:pPr>
        <w:pStyle w:val="Default"/>
        <w:ind w:left="720"/>
        <w:rPr>
          <w:color w:val="auto"/>
        </w:rPr>
      </w:pPr>
    </w:p>
    <w:p w:rsidR="00532A29" w:rsidRPr="00EA59C0" w:rsidRDefault="00532A29" w:rsidP="004C3998">
      <w:pPr>
        <w:pStyle w:val="Default"/>
        <w:numPr>
          <w:ilvl w:val="3"/>
          <w:numId w:val="17"/>
        </w:numPr>
        <w:rPr>
          <w:b/>
          <w:color w:val="auto"/>
        </w:rPr>
      </w:pPr>
      <w:r w:rsidRPr="00EA59C0">
        <w:rPr>
          <w:b/>
          <w:color w:val="auto"/>
        </w:rPr>
        <w:t>Program</w:t>
      </w:r>
      <w:r w:rsidR="00C026A6" w:rsidRPr="00EA59C0">
        <w:rPr>
          <w:b/>
          <w:color w:val="auto"/>
        </w:rPr>
        <w:t xml:space="preserve"> </w:t>
      </w:r>
      <w:r w:rsidRPr="00EA59C0">
        <w:rPr>
          <w:b/>
          <w:color w:val="auto"/>
        </w:rPr>
        <w:t>Implementation</w:t>
      </w:r>
      <w:r w:rsidR="00C026A6" w:rsidRPr="00EA59C0">
        <w:rPr>
          <w:b/>
          <w:color w:val="auto"/>
        </w:rPr>
        <w:t xml:space="preserve"> </w:t>
      </w:r>
      <w:r w:rsidRPr="00EA59C0">
        <w:rPr>
          <w:b/>
          <w:color w:val="auto"/>
        </w:rPr>
        <w:t>Analysis</w:t>
      </w:r>
      <w:r w:rsidR="00C026A6" w:rsidRPr="00EA59C0">
        <w:rPr>
          <w:b/>
          <w:color w:val="auto"/>
        </w:rPr>
        <w:t xml:space="preserve"> </w:t>
      </w:r>
    </w:p>
    <w:p w:rsidR="00532A29" w:rsidRPr="00EA59C0" w:rsidRDefault="00532A29" w:rsidP="00FA0E98">
      <w:pPr>
        <w:pStyle w:val="Default"/>
        <w:ind w:left="1440"/>
        <w:rPr>
          <w:color w:val="auto"/>
        </w:rPr>
      </w:pPr>
      <w:r w:rsidRPr="00EA59C0">
        <w:rPr>
          <w:color w:val="auto"/>
        </w:rPr>
        <w:t>Applicants</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include</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plan</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analyzing</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implementation</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grant</w:t>
      </w:r>
      <w:r w:rsidR="00C026A6" w:rsidRPr="00EA59C0">
        <w:rPr>
          <w:color w:val="auto"/>
        </w:rPr>
        <w:t xml:space="preserve"> </w:t>
      </w:r>
      <w:r w:rsidRPr="00EA59C0">
        <w:rPr>
          <w:color w:val="auto"/>
        </w:rPr>
        <w:t>activity</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program(s)</w:t>
      </w:r>
      <w:r w:rsidR="00C026A6" w:rsidRPr="00EA59C0">
        <w:rPr>
          <w:color w:val="auto"/>
        </w:rPr>
        <w:t xml:space="preserve"> </w:t>
      </w:r>
      <w:r w:rsidRPr="00EA59C0">
        <w:rPr>
          <w:color w:val="auto"/>
        </w:rPr>
        <w:t>on</w:t>
      </w:r>
      <w:r w:rsidR="00C026A6" w:rsidRPr="00EA59C0">
        <w:rPr>
          <w:color w:val="auto"/>
        </w:rPr>
        <w:t xml:space="preserve"> </w:t>
      </w:r>
      <w:r w:rsidRPr="00EA59C0">
        <w:rPr>
          <w:color w:val="auto"/>
        </w:rPr>
        <w:t>which</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impact/outcome</w:t>
      </w:r>
      <w:r w:rsidR="00C026A6" w:rsidRPr="00EA59C0">
        <w:rPr>
          <w:color w:val="auto"/>
        </w:rPr>
        <w:t xml:space="preserve"> </w:t>
      </w:r>
      <w:r w:rsidRPr="00EA59C0">
        <w:rPr>
          <w:color w:val="auto"/>
        </w:rPr>
        <w:t>analysis</w:t>
      </w:r>
      <w:r w:rsidR="00C026A6" w:rsidRPr="00EA59C0">
        <w:rPr>
          <w:color w:val="auto"/>
        </w:rPr>
        <w:t xml:space="preserve"> </w:t>
      </w:r>
      <w:r w:rsidRPr="00EA59C0">
        <w:rPr>
          <w:color w:val="auto"/>
        </w:rPr>
        <w:t>will</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based.</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plan</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explain</w:t>
      </w:r>
      <w:r w:rsidR="00C026A6" w:rsidRPr="00EA59C0">
        <w:rPr>
          <w:color w:val="auto"/>
        </w:rPr>
        <w:t xml:space="preserve"> </w:t>
      </w:r>
      <w:r w:rsidRPr="00EA59C0">
        <w:rPr>
          <w:color w:val="auto"/>
        </w:rPr>
        <w:t>how</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third-party</w:t>
      </w:r>
      <w:r w:rsidR="00C026A6" w:rsidRPr="00EA59C0">
        <w:rPr>
          <w:color w:val="auto"/>
        </w:rPr>
        <w:t xml:space="preserve"> </w:t>
      </w:r>
      <w:r w:rsidRPr="00EA59C0">
        <w:rPr>
          <w:color w:val="auto"/>
        </w:rPr>
        <w:t>evaluator</w:t>
      </w:r>
      <w:r w:rsidR="00C026A6" w:rsidRPr="00EA59C0">
        <w:rPr>
          <w:color w:val="auto"/>
        </w:rPr>
        <w:t xml:space="preserve"> </w:t>
      </w:r>
      <w:r w:rsidRPr="00EA59C0">
        <w:rPr>
          <w:color w:val="auto"/>
        </w:rPr>
        <w:t>will:</w:t>
      </w:r>
      <w:r w:rsidR="00C026A6" w:rsidRPr="00EA59C0">
        <w:rPr>
          <w:color w:val="auto"/>
        </w:rPr>
        <w:t xml:space="preserve"> </w:t>
      </w:r>
      <w:r w:rsidRPr="00EA59C0">
        <w:rPr>
          <w:color w:val="auto"/>
        </w:rPr>
        <w:t>1)</w:t>
      </w:r>
      <w:r w:rsidR="00C026A6" w:rsidRPr="00EA59C0">
        <w:rPr>
          <w:color w:val="auto"/>
        </w:rPr>
        <w:t xml:space="preserve"> </w:t>
      </w:r>
      <w:r w:rsidRPr="00EA59C0">
        <w:rPr>
          <w:color w:val="auto"/>
        </w:rPr>
        <w:t>analyze</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steps</w:t>
      </w:r>
      <w:r w:rsidR="00C026A6" w:rsidRPr="00EA59C0">
        <w:rPr>
          <w:color w:val="auto"/>
        </w:rPr>
        <w:t xml:space="preserve"> </w:t>
      </w:r>
      <w:r w:rsidRPr="00EA59C0">
        <w:rPr>
          <w:color w:val="auto"/>
        </w:rPr>
        <w:t>taken</w:t>
      </w:r>
      <w:r w:rsidR="00C026A6" w:rsidRPr="00EA59C0">
        <w:rPr>
          <w:color w:val="auto"/>
        </w:rPr>
        <w:t xml:space="preserve"> </w:t>
      </w:r>
      <w:r w:rsidRPr="00EA59C0">
        <w:rPr>
          <w:color w:val="auto"/>
        </w:rPr>
        <w:t>by</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institution</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create</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run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training</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2)</w:t>
      </w:r>
      <w:r w:rsidR="00C026A6" w:rsidRPr="00EA59C0">
        <w:rPr>
          <w:color w:val="auto"/>
        </w:rPr>
        <w:t xml:space="preserve"> </w:t>
      </w:r>
      <w:r w:rsidRPr="00EA59C0">
        <w:rPr>
          <w:color w:val="auto"/>
        </w:rPr>
        <w:t>assess</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operational</w:t>
      </w:r>
      <w:r w:rsidR="00C026A6" w:rsidRPr="00EA59C0">
        <w:rPr>
          <w:color w:val="auto"/>
        </w:rPr>
        <w:t xml:space="preserve"> </w:t>
      </w:r>
      <w:r w:rsidRPr="00EA59C0">
        <w:rPr>
          <w:color w:val="auto"/>
        </w:rPr>
        <w:t>strengths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weaknesses</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project</w:t>
      </w:r>
      <w:r w:rsidR="00C026A6" w:rsidRPr="00EA59C0">
        <w:rPr>
          <w:color w:val="auto"/>
        </w:rPr>
        <w:t xml:space="preserve"> </w:t>
      </w:r>
      <w:r w:rsidRPr="00EA59C0">
        <w:rPr>
          <w:color w:val="auto"/>
        </w:rPr>
        <w:t>after</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implementation,</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3)</w:t>
      </w:r>
      <w:r w:rsidR="00C026A6" w:rsidRPr="00EA59C0">
        <w:rPr>
          <w:color w:val="auto"/>
        </w:rPr>
        <w:t xml:space="preserve"> </w:t>
      </w:r>
      <w:r w:rsidRPr="00EA59C0">
        <w:rPr>
          <w:color w:val="auto"/>
        </w:rPr>
        <w:t>suggest</w:t>
      </w:r>
      <w:r w:rsidR="00C026A6" w:rsidRPr="00EA59C0">
        <w:rPr>
          <w:color w:val="auto"/>
        </w:rPr>
        <w:t xml:space="preserve"> </w:t>
      </w:r>
      <w:r w:rsidRPr="00EA59C0">
        <w:rPr>
          <w:color w:val="auto"/>
        </w:rPr>
        <w:t>how</w:t>
      </w:r>
      <w:r w:rsidR="00C026A6" w:rsidRPr="00EA59C0">
        <w:rPr>
          <w:color w:val="auto"/>
        </w:rPr>
        <w:t xml:space="preserve"> </w:t>
      </w:r>
      <w:r w:rsidRPr="00EA59C0">
        <w:rPr>
          <w:color w:val="auto"/>
        </w:rPr>
        <w:t>implementation</w:t>
      </w:r>
      <w:r w:rsidR="00C026A6" w:rsidRPr="00EA59C0">
        <w:rPr>
          <w:color w:val="auto"/>
        </w:rPr>
        <w:t xml:space="preserve"> </w:t>
      </w:r>
      <w:r w:rsidRPr="00EA59C0">
        <w:rPr>
          <w:color w:val="auto"/>
        </w:rPr>
        <w:t>might</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strengthened</w:t>
      </w:r>
      <w:r w:rsidR="00C026A6" w:rsidRPr="00EA59C0">
        <w:rPr>
          <w:color w:val="auto"/>
        </w:rPr>
        <w:t xml:space="preserve"> </w:t>
      </w:r>
      <w:r w:rsidRPr="00EA59C0">
        <w:rPr>
          <w:color w:val="auto"/>
        </w:rPr>
        <w:t>within</w:t>
      </w:r>
      <w:r w:rsidR="00C026A6" w:rsidRPr="00EA59C0">
        <w:rPr>
          <w:color w:val="auto"/>
        </w:rPr>
        <w:t xml:space="preserve"> </w:t>
      </w:r>
      <w:r w:rsidRPr="00EA59C0">
        <w:rPr>
          <w:color w:val="auto"/>
        </w:rPr>
        <w:t>appropriate</w:t>
      </w:r>
      <w:r w:rsidR="00C026A6" w:rsidRPr="00EA59C0">
        <w:rPr>
          <w:color w:val="auto"/>
        </w:rPr>
        <w:t xml:space="preserve"> </w:t>
      </w:r>
      <w:r w:rsidRPr="00EA59C0">
        <w:rPr>
          <w:color w:val="auto"/>
        </w:rPr>
        <w:t>parameters</w:t>
      </w:r>
      <w:r w:rsidR="00C026A6" w:rsidRPr="00EA59C0">
        <w:rPr>
          <w:color w:val="auto"/>
        </w:rPr>
        <w:t xml:space="preserve"> </w:t>
      </w:r>
      <w:r w:rsidRPr="00EA59C0">
        <w:rPr>
          <w:color w:val="auto"/>
        </w:rPr>
        <w:t>that</w:t>
      </w:r>
      <w:r w:rsidR="00C026A6" w:rsidRPr="00EA59C0">
        <w:rPr>
          <w:color w:val="auto"/>
        </w:rPr>
        <w:t xml:space="preserve"> </w:t>
      </w:r>
      <w:r w:rsidRPr="00EA59C0">
        <w:rPr>
          <w:color w:val="auto"/>
        </w:rPr>
        <w:t>impact/outcomes</w:t>
      </w:r>
      <w:r w:rsidR="00C026A6" w:rsidRPr="00EA59C0">
        <w:rPr>
          <w:color w:val="auto"/>
        </w:rPr>
        <w:t xml:space="preserve"> </w:t>
      </w:r>
      <w:r w:rsidRPr="00EA59C0">
        <w:rPr>
          <w:color w:val="auto"/>
        </w:rPr>
        <w:t>analysis</w:t>
      </w:r>
      <w:r w:rsidR="00C026A6" w:rsidRPr="00EA59C0">
        <w:rPr>
          <w:color w:val="auto"/>
        </w:rPr>
        <w:t xml:space="preserve"> </w:t>
      </w:r>
      <w:r w:rsidRPr="00EA59C0">
        <w:rPr>
          <w:color w:val="auto"/>
        </w:rPr>
        <w:t>is</w:t>
      </w:r>
      <w:r w:rsidR="00C026A6" w:rsidRPr="00EA59C0">
        <w:rPr>
          <w:color w:val="auto"/>
        </w:rPr>
        <w:t xml:space="preserve"> </w:t>
      </w:r>
      <w:r w:rsidRPr="00EA59C0">
        <w:rPr>
          <w:color w:val="auto"/>
        </w:rPr>
        <w:t>not</w:t>
      </w:r>
      <w:r w:rsidR="00C026A6" w:rsidRPr="00EA59C0">
        <w:rPr>
          <w:color w:val="auto"/>
        </w:rPr>
        <w:t xml:space="preserve"> </w:t>
      </w:r>
      <w:r w:rsidRPr="00EA59C0">
        <w:rPr>
          <w:color w:val="auto"/>
        </w:rPr>
        <w:t>affected.</w:t>
      </w:r>
    </w:p>
    <w:p w:rsidR="00A93F2C" w:rsidRPr="00EA59C0" w:rsidRDefault="00A93F2C" w:rsidP="00FA0E98">
      <w:pPr>
        <w:pStyle w:val="Default"/>
        <w:ind w:left="1440"/>
        <w:rPr>
          <w:color w:val="auto"/>
        </w:rPr>
      </w:pPr>
    </w:p>
    <w:p w:rsidR="00532A29" w:rsidRPr="00EA59C0" w:rsidRDefault="00532A29" w:rsidP="00FA0E98">
      <w:pPr>
        <w:pStyle w:val="Default"/>
        <w:ind w:left="1440"/>
        <w:rPr>
          <w:color w:val="auto"/>
        </w:rPr>
      </w:pPr>
      <w:r w:rsidRPr="00EA59C0">
        <w:rPr>
          <w:color w:val="auto"/>
        </w:rPr>
        <w:t>In</w:t>
      </w:r>
      <w:r w:rsidR="00C026A6" w:rsidRPr="00EA59C0">
        <w:rPr>
          <w:color w:val="auto"/>
        </w:rPr>
        <w:t xml:space="preserve"> </w:t>
      </w:r>
      <w:r w:rsidRPr="00EA59C0">
        <w:rPr>
          <w:color w:val="auto"/>
        </w:rPr>
        <w:t>addition,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plan</w:t>
      </w:r>
      <w:r w:rsidR="00C026A6" w:rsidRPr="00EA59C0">
        <w:rPr>
          <w:color w:val="auto"/>
        </w:rPr>
        <w:t xml:space="preserve"> </w:t>
      </w:r>
      <w:r w:rsidRPr="00EA59C0">
        <w:rPr>
          <w:color w:val="auto"/>
        </w:rPr>
        <w:t>summary</w:t>
      </w:r>
      <w:r w:rsidR="00C026A6" w:rsidRPr="00EA59C0">
        <w:rPr>
          <w:color w:val="auto"/>
        </w:rPr>
        <w:t xml:space="preserve"> </w:t>
      </w:r>
      <w:r w:rsidRPr="00EA59C0">
        <w:rPr>
          <w:color w:val="auto"/>
        </w:rPr>
        <w:t>should</w:t>
      </w:r>
      <w:r w:rsidR="00C026A6" w:rsidRPr="00EA59C0">
        <w:rPr>
          <w:color w:val="auto"/>
        </w:rPr>
        <w:t xml:space="preserve"> </w:t>
      </w:r>
      <w:r w:rsidRPr="00EA59C0">
        <w:rPr>
          <w:color w:val="auto"/>
        </w:rPr>
        <w:t>include</w:t>
      </w:r>
      <w:r w:rsidR="00C026A6" w:rsidRPr="00EA59C0">
        <w:rPr>
          <w:color w:val="auto"/>
        </w:rPr>
        <w:t xml:space="preserve"> </w:t>
      </w:r>
      <w:r w:rsidRPr="00EA59C0">
        <w:rPr>
          <w:color w:val="auto"/>
        </w:rPr>
        <w:t>strategies</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approaches</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addressing</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following</w:t>
      </w:r>
      <w:r w:rsidR="00C026A6" w:rsidRPr="00EA59C0">
        <w:rPr>
          <w:color w:val="auto"/>
        </w:rPr>
        <w:t xml:space="preserve"> </w:t>
      </w:r>
      <w:r w:rsidRPr="00EA59C0">
        <w:rPr>
          <w:color w:val="auto"/>
        </w:rPr>
        <w:t>questions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identify</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data</w:t>
      </w:r>
      <w:r w:rsidR="00C026A6" w:rsidRPr="00EA59C0">
        <w:rPr>
          <w:color w:val="auto"/>
        </w:rPr>
        <w:t xml:space="preserve"> </w:t>
      </w:r>
      <w:r w:rsidRPr="00EA59C0">
        <w:rPr>
          <w:color w:val="auto"/>
        </w:rPr>
        <w:t>source(s)</w:t>
      </w:r>
      <w:r w:rsidR="00C026A6" w:rsidRPr="00EA59C0">
        <w:rPr>
          <w:color w:val="auto"/>
        </w:rPr>
        <w:t xml:space="preserve"> </w:t>
      </w:r>
      <w:r w:rsidRPr="00EA59C0">
        <w:rPr>
          <w:color w:val="auto"/>
        </w:rPr>
        <w:t>that</w:t>
      </w:r>
      <w:r w:rsidR="00C026A6" w:rsidRPr="00EA59C0">
        <w:rPr>
          <w:color w:val="auto"/>
        </w:rPr>
        <w:t xml:space="preserve"> </w:t>
      </w:r>
      <w:r w:rsidRPr="00EA59C0">
        <w:rPr>
          <w:color w:val="auto"/>
        </w:rPr>
        <w:t>will</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utilized:</w:t>
      </w:r>
      <w:r w:rsidR="00C026A6" w:rsidRPr="00EA59C0">
        <w:rPr>
          <w:color w:val="auto"/>
        </w:rPr>
        <w:t xml:space="preserve"> </w:t>
      </w:r>
    </w:p>
    <w:p w:rsidR="00A93F2C" w:rsidRPr="00EA59C0" w:rsidRDefault="00A93F2C" w:rsidP="00FA0E98">
      <w:pPr>
        <w:pStyle w:val="Default"/>
        <w:ind w:left="720"/>
        <w:rPr>
          <w:color w:val="auto"/>
        </w:rPr>
      </w:pPr>
    </w:p>
    <w:p w:rsidR="00532A29" w:rsidRPr="00EA59C0" w:rsidRDefault="00532A29" w:rsidP="00080097">
      <w:pPr>
        <w:pStyle w:val="Default"/>
        <w:numPr>
          <w:ilvl w:val="0"/>
          <w:numId w:val="30"/>
        </w:numPr>
        <w:spacing w:after="17"/>
        <w:rPr>
          <w:color w:val="auto"/>
        </w:rPr>
      </w:pPr>
      <w:r w:rsidRPr="00EA59C0">
        <w:rPr>
          <w:color w:val="auto"/>
        </w:rPr>
        <w:t>How</w:t>
      </w:r>
      <w:r w:rsidR="00C026A6" w:rsidRPr="00EA59C0">
        <w:rPr>
          <w:color w:val="auto"/>
        </w:rPr>
        <w:t xml:space="preserve"> </w:t>
      </w:r>
      <w:r w:rsidRPr="00EA59C0">
        <w:rPr>
          <w:color w:val="auto"/>
        </w:rPr>
        <w:t>was</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particular</w:t>
      </w:r>
      <w:r w:rsidR="00C026A6" w:rsidRPr="00EA59C0">
        <w:rPr>
          <w:color w:val="auto"/>
        </w:rPr>
        <w:t xml:space="preserve"> </w:t>
      </w:r>
      <w:r w:rsidRPr="00EA59C0">
        <w:rPr>
          <w:color w:val="auto"/>
        </w:rPr>
        <w:t>curriculum</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activity</w:t>
      </w:r>
      <w:r w:rsidR="00C026A6" w:rsidRPr="00EA59C0">
        <w:rPr>
          <w:color w:val="auto"/>
        </w:rPr>
        <w:t xml:space="preserve"> </w:t>
      </w:r>
      <w:r w:rsidRPr="00EA59C0">
        <w:rPr>
          <w:color w:val="auto"/>
        </w:rPr>
        <w:t>selected,</w:t>
      </w:r>
      <w:r w:rsidR="00C026A6" w:rsidRPr="00EA59C0">
        <w:rPr>
          <w:color w:val="auto"/>
        </w:rPr>
        <w:t xml:space="preserve"> </w:t>
      </w:r>
      <w:r w:rsidRPr="00EA59C0">
        <w:rPr>
          <w:color w:val="auto"/>
        </w:rPr>
        <w:t>used,</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created?</w:t>
      </w:r>
      <w:r w:rsidR="00C026A6" w:rsidRPr="00EA59C0">
        <w:rPr>
          <w:color w:val="auto"/>
        </w:rPr>
        <w:t xml:space="preserve"> </w:t>
      </w:r>
    </w:p>
    <w:p w:rsidR="00532A29" w:rsidRPr="00EA59C0" w:rsidRDefault="000E7945" w:rsidP="00080097">
      <w:pPr>
        <w:pStyle w:val="Default"/>
        <w:numPr>
          <w:ilvl w:val="0"/>
          <w:numId w:val="30"/>
        </w:numPr>
        <w:spacing w:after="17"/>
        <w:rPr>
          <w:color w:val="auto"/>
        </w:rPr>
      </w:pPr>
      <w:r w:rsidRPr="00EA59C0">
        <w:rPr>
          <w:color w:val="auto"/>
        </w:rPr>
        <w:t>How</w:t>
      </w:r>
      <w:r w:rsidR="00013CF4" w:rsidRPr="00EA59C0">
        <w:rPr>
          <w:color w:val="auto"/>
        </w:rPr>
        <w:t xml:space="preserve"> </w:t>
      </w:r>
      <w:r w:rsidR="00B93729" w:rsidRPr="00EA59C0">
        <w:rPr>
          <w:color w:val="auto"/>
        </w:rPr>
        <w:t>were programs</w:t>
      </w:r>
      <w:r w:rsidRPr="00EA59C0">
        <w:rPr>
          <w:color w:val="auto"/>
        </w:rPr>
        <w:t>/program</w:t>
      </w:r>
      <w:r w:rsidR="00C026A6" w:rsidRPr="00EA59C0">
        <w:rPr>
          <w:color w:val="auto"/>
        </w:rPr>
        <w:t xml:space="preserve"> </w:t>
      </w:r>
      <w:r w:rsidR="00B93729" w:rsidRPr="00EA59C0">
        <w:rPr>
          <w:color w:val="auto"/>
        </w:rPr>
        <w:t>designs improved</w:t>
      </w:r>
      <w:r w:rsidR="00C026A6" w:rsidRPr="00EA59C0">
        <w:rPr>
          <w:color w:val="auto"/>
        </w:rPr>
        <w:t xml:space="preserve"> </w:t>
      </w:r>
      <w:r w:rsidR="00532A29" w:rsidRPr="00EA59C0">
        <w:rPr>
          <w:color w:val="auto"/>
        </w:rPr>
        <w:t>or</w:t>
      </w:r>
      <w:r w:rsidR="00C026A6" w:rsidRPr="00EA59C0">
        <w:rPr>
          <w:color w:val="auto"/>
        </w:rPr>
        <w:t xml:space="preserve"> </w:t>
      </w:r>
      <w:r w:rsidR="00532A29" w:rsidRPr="00EA59C0">
        <w:rPr>
          <w:color w:val="auto"/>
        </w:rPr>
        <w:t>expanded</w:t>
      </w:r>
      <w:r w:rsidR="00C026A6" w:rsidRPr="00EA59C0">
        <w:rPr>
          <w:color w:val="auto"/>
        </w:rPr>
        <w:t xml:space="preserve"> </w:t>
      </w:r>
      <w:r w:rsidR="00532A29" w:rsidRPr="00EA59C0">
        <w:rPr>
          <w:color w:val="auto"/>
        </w:rPr>
        <w:t>using</w:t>
      </w:r>
      <w:r w:rsidR="00C026A6" w:rsidRPr="00EA59C0">
        <w:rPr>
          <w:color w:val="auto"/>
        </w:rPr>
        <w:t xml:space="preserve"> </w:t>
      </w:r>
      <w:r w:rsidR="00532A29" w:rsidRPr="00EA59C0">
        <w:rPr>
          <w:color w:val="auto"/>
        </w:rPr>
        <w:t>grant</w:t>
      </w:r>
      <w:r w:rsidR="00C026A6" w:rsidRPr="00EA59C0">
        <w:rPr>
          <w:color w:val="auto"/>
        </w:rPr>
        <w:t xml:space="preserve"> </w:t>
      </w:r>
      <w:r w:rsidR="00532A29" w:rsidRPr="00EA59C0">
        <w:rPr>
          <w:color w:val="auto"/>
        </w:rPr>
        <w:t>funds?</w:t>
      </w:r>
      <w:r w:rsidR="00C026A6" w:rsidRPr="00EA59C0">
        <w:rPr>
          <w:color w:val="auto"/>
        </w:rPr>
        <w:t xml:space="preserve">  </w:t>
      </w:r>
      <w:r w:rsidR="00532A29" w:rsidRPr="00EA59C0">
        <w:rPr>
          <w:color w:val="auto"/>
        </w:rPr>
        <w:t>What</w:t>
      </w:r>
      <w:r w:rsidR="00C026A6" w:rsidRPr="00EA59C0">
        <w:rPr>
          <w:color w:val="auto"/>
        </w:rPr>
        <w:t xml:space="preserve"> </w:t>
      </w:r>
      <w:r w:rsidR="00532A29" w:rsidRPr="00EA59C0">
        <w:rPr>
          <w:color w:val="auto"/>
        </w:rPr>
        <w:t>delivery</w:t>
      </w:r>
      <w:r w:rsidR="00C026A6" w:rsidRPr="00EA59C0">
        <w:rPr>
          <w:color w:val="auto"/>
        </w:rPr>
        <w:t xml:space="preserve"> </w:t>
      </w:r>
      <w:r w:rsidR="00532A29" w:rsidRPr="00EA59C0">
        <w:rPr>
          <w:color w:val="auto"/>
        </w:rPr>
        <w:t>methods</w:t>
      </w:r>
      <w:r w:rsidR="00C026A6" w:rsidRPr="00EA59C0">
        <w:rPr>
          <w:color w:val="auto"/>
        </w:rPr>
        <w:t xml:space="preserve"> </w:t>
      </w:r>
      <w:r w:rsidR="00532A29" w:rsidRPr="00EA59C0">
        <w:rPr>
          <w:color w:val="auto"/>
        </w:rPr>
        <w:t>were</w:t>
      </w:r>
      <w:r w:rsidR="00C026A6" w:rsidRPr="00EA59C0">
        <w:rPr>
          <w:color w:val="auto"/>
        </w:rPr>
        <w:t xml:space="preserve"> </w:t>
      </w:r>
      <w:r w:rsidR="00532A29" w:rsidRPr="00EA59C0">
        <w:rPr>
          <w:color w:val="auto"/>
        </w:rPr>
        <w:t>offered?</w:t>
      </w:r>
      <w:r w:rsidR="00C026A6" w:rsidRPr="00EA59C0">
        <w:rPr>
          <w:color w:val="auto"/>
        </w:rPr>
        <w:t xml:space="preserve">  </w:t>
      </w:r>
      <w:r w:rsidR="00532A29" w:rsidRPr="00EA59C0">
        <w:rPr>
          <w:color w:val="auto"/>
        </w:rPr>
        <w:t>What</w:t>
      </w:r>
      <w:r w:rsidR="00C026A6" w:rsidRPr="00EA59C0">
        <w:rPr>
          <w:color w:val="auto"/>
        </w:rPr>
        <w:t xml:space="preserve"> </w:t>
      </w:r>
      <w:r w:rsidR="00532A29" w:rsidRPr="00EA59C0">
        <w:rPr>
          <w:color w:val="auto"/>
        </w:rPr>
        <w:t>was</w:t>
      </w:r>
      <w:r w:rsidR="00C026A6" w:rsidRPr="00EA59C0">
        <w:rPr>
          <w:color w:val="auto"/>
        </w:rPr>
        <w:t xml:space="preserve"> </w:t>
      </w:r>
      <w:r w:rsidR="00532A29" w:rsidRPr="00EA59C0">
        <w:rPr>
          <w:color w:val="auto"/>
        </w:rPr>
        <w:t>the</w:t>
      </w:r>
      <w:r w:rsidR="00C026A6" w:rsidRPr="00EA59C0">
        <w:rPr>
          <w:color w:val="auto"/>
        </w:rPr>
        <w:t xml:space="preserve"> </w:t>
      </w:r>
      <w:r w:rsidR="00532A29" w:rsidRPr="00EA59C0">
        <w:rPr>
          <w:color w:val="auto"/>
        </w:rPr>
        <w:t>program</w:t>
      </w:r>
      <w:r w:rsidR="00C026A6" w:rsidRPr="00EA59C0">
        <w:rPr>
          <w:color w:val="auto"/>
        </w:rPr>
        <w:t xml:space="preserve"> </w:t>
      </w:r>
      <w:r w:rsidR="00532A29" w:rsidRPr="00EA59C0">
        <w:rPr>
          <w:color w:val="auto"/>
        </w:rPr>
        <w:t>administrative</w:t>
      </w:r>
      <w:r w:rsidR="00C026A6" w:rsidRPr="00EA59C0">
        <w:rPr>
          <w:color w:val="auto"/>
        </w:rPr>
        <w:t xml:space="preserve"> </w:t>
      </w:r>
      <w:r w:rsidR="00532A29" w:rsidRPr="00EA59C0">
        <w:rPr>
          <w:color w:val="auto"/>
        </w:rPr>
        <w:t>structure?</w:t>
      </w:r>
      <w:r w:rsidR="00C026A6" w:rsidRPr="00EA59C0">
        <w:rPr>
          <w:color w:val="auto"/>
        </w:rPr>
        <w:t xml:space="preserve">  </w:t>
      </w:r>
      <w:r w:rsidR="00532A29" w:rsidRPr="00EA59C0">
        <w:rPr>
          <w:color w:val="auto"/>
        </w:rPr>
        <w:t>What</w:t>
      </w:r>
      <w:r w:rsidR="00C026A6" w:rsidRPr="00EA59C0">
        <w:rPr>
          <w:color w:val="auto"/>
        </w:rPr>
        <w:t xml:space="preserve"> </w:t>
      </w:r>
      <w:r w:rsidR="00532A29" w:rsidRPr="00EA59C0">
        <w:rPr>
          <w:color w:val="auto"/>
        </w:rPr>
        <w:t>support</w:t>
      </w:r>
      <w:r w:rsidR="00C026A6" w:rsidRPr="00EA59C0">
        <w:rPr>
          <w:color w:val="auto"/>
        </w:rPr>
        <w:t xml:space="preserve"> </w:t>
      </w:r>
      <w:r w:rsidR="00532A29" w:rsidRPr="00EA59C0">
        <w:rPr>
          <w:color w:val="auto"/>
        </w:rPr>
        <w:t>or</w:t>
      </w:r>
      <w:r w:rsidR="00C026A6" w:rsidRPr="00EA59C0">
        <w:rPr>
          <w:color w:val="auto"/>
        </w:rPr>
        <w:t xml:space="preserve"> </w:t>
      </w:r>
      <w:r w:rsidR="00532A29" w:rsidRPr="00EA59C0">
        <w:rPr>
          <w:color w:val="auto"/>
        </w:rPr>
        <w:t>other</w:t>
      </w:r>
      <w:r w:rsidR="00C026A6" w:rsidRPr="00EA59C0">
        <w:rPr>
          <w:color w:val="auto"/>
        </w:rPr>
        <w:t xml:space="preserve"> </w:t>
      </w:r>
      <w:r w:rsidR="00532A29" w:rsidRPr="00EA59C0">
        <w:rPr>
          <w:color w:val="auto"/>
        </w:rPr>
        <w:t>services</w:t>
      </w:r>
      <w:r w:rsidR="00C026A6" w:rsidRPr="00EA59C0">
        <w:rPr>
          <w:color w:val="auto"/>
        </w:rPr>
        <w:t xml:space="preserve"> </w:t>
      </w:r>
      <w:r w:rsidR="00532A29" w:rsidRPr="00EA59C0">
        <w:rPr>
          <w:color w:val="auto"/>
        </w:rPr>
        <w:t>were</w:t>
      </w:r>
      <w:r w:rsidR="00C026A6" w:rsidRPr="00EA59C0">
        <w:rPr>
          <w:color w:val="auto"/>
        </w:rPr>
        <w:t xml:space="preserve"> </w:t>
      </w:r>
      <w:r w:rsidR="00532A29" w:rsidRPr="00EA59C0">
        <w:rPr>
          <w:color w:val="auto"/>
        </w:rPr>
        <w:t>offered?</w:t>
      </w:r>
      <w:r w:rsidR="00C026A6" w:rsidRPr="00EA59C0">
        <w:rPr>
          <w:color w:val="auto"/>
        </w:rPr>
        <w:t xml:space="preserve"> </w:t>
      </w:r>
    </w:p>
    <w:p w:rsidR="00532A29" w:rsidRPr="00EA59C0" w:rsidRDefault="00532A29" w:rsidP="00080097">
      <w:pPr>
        <w:pStyle w:val="Default"/>
        <w:numPr>
          <w:ilvl w:val="0"/>
          <w:numId w:val="30"/>
        </w:numPr>
        <w:spacing w:after="17"/>
        <w:rPr>
          <w:color w:val="auto"/>
        </w:rPr>
      </w:pPr>
      <w:r w:rsidRPr="00EA59C0">
        <w:rPr>
          <w:color w:val="auto"/>
        </w:rPr>
        <w:t>Are</w:t>
      </w:r>
      <w:r w:rsidR="00C026A6" w:rsidRPr="00EA59C0">
        <w:rPr>
          <w:color w:val="auto"/>
        </w:rPr>
        <w:t xml:space="preserve"> </w:t>
      </w:r>
      <w:r w:rsidRPr="00EA59C0">
        <w:rPr>
          <w:color w:val="auto"/>
        </w:rPr>
        <w:t>in-depth</w:t>
      </w:r>
      <w:r w:rsidR="00C026A6" w:rsidRPr="00EA59C0">
        <w:rPr>
          <w:color w:val="auto"/>
        </w:rPr>
        <w:t xml:space="preserve"> </w:t>
      </w:r>
      <w:r w:rsidRPr="00EA59C0">
        <w:rPr>
          <w:color w:val="auto"/>
        </w:rPr>
        <w:t>assessment</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participant</w:t>
      </w:r>
      <w:r w:rsidR="00C026A6" w:rsidRPr="00EA59C0">
        <w:rPr>
          <w:color w:val="auto"/>
        </w:rPr>
        <w:t xml:space="preserve"> </w:t>
      </w:r>
      <w:r w:rsidRPr="00EA59C0">
        <w:rPr>
          <w:color w:val="auto"/>
        </w:rPr>
        <w:t>abilities,</w:t>
      </w:r>
      <w:r w:rsidR="00C026A6" w:rsidRPr="00EA59C0">
        <w:rPr>
          <w:color w:val="auto"/>
        </w:rPr>
        <w:t xml:space="preserve"> </w:t>
      </w:r>
      <w:r w:rsidRPr="00EA59C0">
        <w:rPr>
          <w:color w:val="auto"/>
        </w:rPr>
        <w:t>skills,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interests</w:t>
      </w:r>
      <w:r w:rsidR="00C026A6" w:rsidRPr="00EA59C0">
        <w:rPr>
          <w:color w:val="auto"/>
        </w:rPr>
        <w:t xml:space="preserve"> </w:t>
      </w:r>
      <w:r w:rsidRPr="00EA59C0">
        <w:rPr>
          <w:color w:val="auto"/>
        </w:rPr>
        <w:t>conducted</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select</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enroll</w:t>
      </w:r>
      <w:r w:rsidR="00C026A6" w:rsidRPr="00EA59C0">
        <w:rPr>
          <w:color w:val="auto"/>
        </w:rPr>
        <w:t xml:space="preserve"> </w:t>
      </w:r>
      <w:r w:rsidRPr="00EA59C0">
        <w:rPr>
          <w:color w:val="auto"/>
        </w:rPr>
        <w:t>individuals</w:t>
      </w:r>
      <w:r w:rsidR="00C026A6" w:rsidRPr="00EA59C0">
        <w:rPr>
          <w:color w:val="auto"/>
        </w:rPr>
        <w:t xml:space="preserve"> </w:t>
      </w:r>
      <w:r w:rsidRPr="00EA59C0">
        <w:rPr>
          <w:color w:val="auto"/>
        </w:rPr>
        <w:t>into</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being</w:t>
      </w:r>
      <w:r w:rsidR="00C026A6" w:rsidRPr="00EA59C0">
        <w:rPr>
          <w:color w:val="auto"/>
        </w:rPr>
        <w:t xml:space="preserve"> </w:t>
      </w:r>
      <w:r w:rsidRPr="00EA59C0">
        <w:rPr>
          <w:color w:val="auto"/>
        </w:rPr>
        <w:t>evaluated?</w:t>
      </w:r>
      <w:r w:rsidR="00C026A6" w:rsidRPr="00EA59C0">
        <w:rPr>
          <w:color w:val="auto"/>
        </w:rPr>
        <w:t xml:space="preserve">  </w:t>
      </w:r>
      <w:r w:rsidRPr="00EA59C0">
        <w:rPr>
          <w:color w:val="auto"/>
        </w:rPr>
        <w:t>What</w:t>
      </w:r>
      <w:r w:rsidR="00C026A6" w:rsidRPr="00EA59C0">
        <w:rPr>
          <w:color w:val="auto"/>
        </w:rPr>
        <w:t xml:space="preserve"> </w:t>
      </w:r>
      <w:r w:rsidRPr="00EA59C0">
        <w:rPr>
          <w:color w:val="auto"/>
        </w:rPr>
        <w:t>assessment</w:t>
      </w:r>
      <w:r w:rsidR="00C026A6" w:rsidRPr="00EA59C0">
        <w:rPr>
          <w:color w:val="auto"/>
        </w:rPr>
        <w:t xml:space="preserve"> </w:t>
      </w:r>
      <w:r w:rsidRPr="00EA59C0">
        <w:rPr>
          <w:color w:val="auto"/>
        </w:rPr>
        <w:t>tools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process</w:t>
      </w:r>
      <w:r w:rsidR="00C026A6" w:rsidRPr="00EA59C0">
        <w:rPr>
          <w:color w:val="auto"/>
        </w:rPr>
        <w:t xml:space="preserve"> </w:t>
      </w:r>
      <w:r w:rsidRPr="00EA59C0">
        <w:rPr>
          <w:color w:val="auto"/>
        </w:rPr>
        <w:t>were</w:t>
      </w:r>
      <w:r w:rsidR="00C026A6" w:rsidRPr="00EA59C0">
        <w:rPr>
          <w:color w:val="auto"/>
        </w:rPr>
        <w:t xml:space="preserve"> </w:t>
      </w:r>
      <w:r w:rsidRPr="00EA59C0">
        <w:rPr>
          <w:color w:val="auto"/>
        </w:rPr>
        <w:t>used?</w:t>
      </w:r>
      <w:r w:rsidR="00C026A6" w:rsidRPr="00EA59C0">
        <w:rPr>
          <w:color w:val="auto"/>
        </w:rPr>
        <w:t xml:space="preserve">  </w:t>
      </w:r>
      <w:r w:rsidRPr="00EA59C0">
        <w:rPr>
          <w:color w:val="auto"/>
        </w:rPr>
        <w:t>Who</w:t>
      </w:r>
      <w:r w:rsidR="00C026A6" w:rsidRPr="00EA59C0">
        <w:rPr>
          <w:color w:val="auto"/>
        </w:rPr>
        <w:t xml:space="preserve"> </w:t>
      </w:r>
      <w:r w:rsidRPr="00EA59C0">
        <w:rPr>
          <w:color w:val="auto"/>
        </w:rPr>
        <w:t>conducted</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assessments?</w:t>
      </w:r>
      <w:r w:rsidR="00C026A6" w:rsidRPr="00EA59C0">
        <w:rPr>
          <w:color w:val="auto"/>
        </w:rPr>
        <w:t xml:space="preserve">  </w:t>
      </w:r>
      <w:r w:rsidRPr="00EA59C0">
        <w:rPr>
          <w:color w:val="auto"/>
        </w:rPr>
        <w:t>How</w:t>
      </w:r>
      <w:r w:rsidR="00C026A6" w:rsidRPr="00EA59C0">
        <w:rPr>
          <w:color w:val="auto"/>
        </w:rPr>
        <w:t xml:space="preserve"> </w:t>
      </w:r>
      <w:r w:rsidRPr="00EA59C0">
        <w:rPr>
          <w:color w:val="auto"/>
        </w:rPr>
        <w:t>were</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assessment</w:t>
      </w:r>
      <w:r w:rsidR="00C026A6" w:rsidRPr="00EA59C0">
        <w:rPr>
          <w:color w:val="auto"/>
        </w:rPr>
        <w:t xml:space="preserve"> </w:t>
      </w:r>
      <w:r w:rsidRPr="00EA59C0">
        <w:rPr>
          <w:color w:val="auto"/>
        </w:rPr>
        <w:t>results</w:t>
      </w:r>
      <w:r w:rsidR="00C026A6" w:rsidRPr="00EA59C0">
        <w:rPr>
          <w:color w:val="auto"/>
        </w:rPr>
        <w:t xml:space="preserve"> </w:t>
      </w:r>
      <w:r w:rsidRPr="00EA59C0">
        <w:rPr>
          <w:color w:val="auto"/>
        </w:rPr>
        <w:t>used?</w:t>
      </w:r>
      <w:r w:rsidR="00C026A6" w:rsidRPr="00EA59C0">
        <w:rPr>
          <w:color w:val="auto"/>
        </w:rPr>
        <w:t xml:space="preserve">  </w:t>
      </w:r>
      <w:r w:rsidRPr="00EA59C0">
        <w:rPr>
          <w:color w:val="auto"/>
        </w:rPr>
        <w:t>Were</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assessment</w:t>
      </w:r>
      <w:r w:rsidR="00C026A6" w:rsidRPr="00EA59C0">
        <w:rPr>
          <w:color w:val="auto"/>
        </w:rPr>
        <w:t xml:space="preserve"> </w:t>
      </w:r>
      <w:r w:rsidRPr="00EA59C0">
        <w:rPr>
          <w:color w:val="auto"/>
        </w:rPr>
        <w:t>results</w:t>
      </w:r>
      <w:r w:rsidR="00C026A6" w:rsidRPr="00EA59C0">
        <w:rPr>
          <w:color w:val="auto"/>
        </w:rPr>
        <w:t xml:space="preserve"> </w:t>
      </w:r>
      <w:r w:rsidRPr="00EA59C0">
        <w:rPr>
          <w:color w:val="auto"/>
        </w:rPr>
        <w:t>useful</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determining</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appropriate</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course</w:t>
      </w:r>
      <w:r w:rsidR="00C026A6" w:rsidRPr="00EA59C0">
        <w:rPr>
          <w:color w:val="auto"/>
        </w:rPr>
        <w:t xml:space="preserve"> </w:t>
      </w:r>
      <w:r w:rsidRPr="00EA59C0">
        <w:rPr>
          <w:color w:val="auto"/>
        </w:rPr>
        <w:t>sequence</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participants?</w:t>
      </w:r>
      <w:r w:rsidR="00C026A6" w:rsidRPr="00EA59C0">
        <w:rPr>
          <w:color w:val="auto"/>
        </w:rPr>
        <w:t xml:space="preserve">  </w:t>
      </w:r>
      <w:r w:rsidRPr="00EA59C0">
        <w:rPr>
          <w:color w:val="auto"/>
        </w:rPr>
        <w:t>Was</w:t>
      </w:r>
      <w:r w:rsidR="00C026A6" w:rsidRPr="00EA59C0">
        <w:rPr>
          <w:color w:val="auto"/>
        </w:rPr>
        <w:t xml:space="preserve"> </w:t>
      </w:r>
      <w:r w:rsidRPr="00EA59C0">
        <w:rPr>
          <w:color w:val="auto"/>
        </w:rPr>
        <w:t>career</w:t>
      </w:r>
      <w:r w:rsidR="00C026A6" w:rsidRPr="00EA59C0">
        <w:rPr>
          <w:color w:val="auto"/>
        </w:rPr>
        <w:t xml:space="preserve"> </w:t>
      </w:r>
      <w:r w:rsidRPr="00EA59C0">
        <w:rPr>
          <w:color w:val="auto"/>
        </w:rPr>
        <w:t>guidance</w:t>
      </w:r>
      <w:r w:rsidR="00C026A6" w:rsidRPr="00EA59C0">
        <w:rPr>
          <w:color w:val="auto"/>
        </w:rPr>
        <w:t xml:space="preserve"> </w:t>
      </w:r>
      <w:r w:rsidRPr="00EA59C0">
        <w:rPr>
          <w:color w:val="auto"/>
        </w:rPr>
        <w:t>provided?</w:t>
      </w:r>
      <w:r w:rsidR="00C026A6" w:rsidRPr="00EA59C0">
        <w:rPr>
          <w:color w:val="auto"/>
        </w:rPr>
        <w:t xml:space="preserve">  </w:t>
      </w:r>
      <w:r w:rsidRPr="00EA59C0">
        <w:rPr>
          <w:color w:val="auto"/>
        </w:rPr>
        <w:t>If</w:t>
      </w:r>
      <w:r w:rsidR="00C026A6" w:rsidRPr="00EA59C0">
        <w:rPr>
          <w:color w:val="auto"/>
        </w:rPr>
        <w:t xml:space="preserve"> </w:t>
      </w:r>
      <w:r w:rsidRPr="00EA59C0">
        <w:rPr>
          <w:color w:val="auto"/>
        </w:rPr>
        <w:t>so,</w:t>
      </w:r>
      <w:r w:rsidR="00C026A6" w:rsidRPr="00EA59C0">
        <w:rPr>
          <w:color w:val="auto"/>
        </w:rPr>
        <w:t xml:space="preserve"> </w:t>
      </w:r>
      <w:r w:rsidRPr="00EA59C0">
        <w:rPr>
          <w:color w:val="auto"/>
        </w:rPr>
        <w:t>through</w:t>
      </w:r>
      <w:r w:rsidR="00C026A6" w:rsidRPr="00EA59C0">
        <w:rPr>
          <w:color w:val="auto"/>
        </w:rPr>
        <w:t xml:space="preserve"> </w:t>
      </w:r>
      <w:r w:rsidRPr="00EA59C0">
        <w:rPr>
          <w:color w:val="auto"/>
        </w:rPr>
        <w:t>what</w:t>
      </w:r>
      <w:r w:rsidR="00C026A6" w:rsidRPr="00EA59C0">
        <w:rPr>
          <w:color w:val="auto"/>
        </w:rPr>
        <w:t xml:space="preserve"> </w:t>
      </w:r>
      <w:r w:rsidRPr="00EA59C0">
        <w:rPr>
          <w:color w:val="auto"/>
        </w:rPr>
        <w:t>methods?</w:t>
      </w:r>
    </w:p>
    <w:p w:rsidR="00532A29" w:rsidRPr="00EA59C0" w:rsidRDefault="00532A29" w:rsidP="00080097">
      <w:pPr>
        <w:pStyle w:val="Default"/>
        <w:numPr>
          <w:ilvl w:val="0"/>
          <w:numId w:val="30"/>
        </w:numPr>
        <w:spacing w:after="17"/>
        <w:rPr>
          <w:color w:val="auto"/>
        </w:rPr>
      </w:pPr>
      <w:r w:rsidRPr="00EA59C0">
        <w:rPr>
          <w:color w:val="auto"/>
        </w:rPr>
        <w:t>What</w:t>
      </w:r>
      <w:r w:rsidR="00C026A6" w:rsidRPr="00EA59C0">
        <w:rPr>
          <w:color w:val="auto"/>
        </w:rPr>
        <w:t xml:space="preserve"> </w:t>
      </w:r>
      <w:r w:rsidRPr="00EA59C0">
        <w:rPr>
          <w:color w:val="auto"/>
        </w:rPr>
        <w:t>contributions</w:t>
      </w:r>
      <w:r w:rsidR="00C026A6" w:rsidRPr="00EA59C0">
        <w:rPr>
          <w:color w:val="auto"/>
        </w:rPr>
        <w:t xml:space="preserve"> </w:t>
      </w:r>
      <w:r w:rsidRPr="00EA59C0">
        <w:rPr>
          <w:color w:val="auto"/>
        </w:rPr>
        <w:t>did</w:t>
      </w:r>
      <w:r w:rsidR="00C026A6" w:rsidRPr="00EA59C0">
        <w:rPr>
          <w:color w:val="auto"/>
        </w:rPr>
        <w:t xml:space="preserve"> </w:t>
      </w:r>
      <w:r w:rsidRPr="00EA59C0">
        <w:rPr>
          <w:color w:val="auto"/>
        </w:rPr>
        <w:t>each</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partners</w:t>
      </w:r>
      <w:r w:rsidR="00C026A6" w:rsidRPr="00EA59C0">
        <w:rPr>
          <w:color w:val="auto"/>
        </w:rPr>
        <w:t xml:space="preserve"> </w:t>
      </w:r>
      <w:r w:rsidR="00D91F0B" w:rsidRPr="00EA59C0">
        <w:rPr>
          <w:color w:val="auto"/>
        </w:rPr>
        <w:t>and</w:t>
      </w:r>
      <w:r w:rsidR="00C026A6" w:rsidRPr="00EA59C0">
        <w:rPr>
          <w:color w:val="auto"/>
        </w:rPr>
        <w:t xml:space="preserve"> </w:t>
      </w:r>
      <w:r w:rsidR="00D91F0B" w:rsidRPr="00EA59C0">
        <w:rPr>
          <w:color w:val="auto"/>
        </w:rPr>
        <w:t>other</w:t>
      </w:r>
      <w:r w:rsidR="00C026A6" w:rsidRPr="00EA59C0">
        <w:rPr>
          <w:color w:val="auto"/>
        </w:rPr>
        <w:t xml:space="preserve"> </w:t>
      </w:r>
      <w:r w:rsidR="00D91F0B" w:rsidRPr="00EA59C0">
        <w:rPr>
          <w:color w:val="auto"/>
        </w:rPr>
        <w:t>key</w:t>
      </w:r>
      <w:r w:rsidR="00C026A6" w:rsidRPr="00EA59C0">
        <w:rPr>
          <w:color w:val="auto"/>
        </w:rPr>
        <w:t xml:space="preserve"> </w:t>
      </w:r>
      <w:r w:rsidR="00D91F0B" w:rsidRPr="00EA59C0">
        <w:rPr>
          <w:color w:val="auto"/>
        </w:rPr>
        <w:t>stakeholders</w:t>
      </w:r>
      <w:r w:rsidR="00C026A6" w:rsidRPr="00EA59C0">
        <w:rPr>
          <w:color w:val="auto"/>
        </w:rPr>
        <w:t xml:space="preserve"> </w:t>
      </w:r>
      <w:r w:rsidRPr="00EA59C0">
        <w:rPr>
          <w:color w:val="auto"/>
        </w:rPr>
        <w:t>make</w:t>
      </w:r>
      <w:r w:rsidR="00C026A6" w:rsidRPr="00EA59C0">
        <w:rPr>
          <w:color w:val="auto"/>
        </w:rPr>
        <w:t xml:space="preserve"> </w:t>
      </w:r>
      <w:r w:rsidRPr="00EA59C0">
        <w:rPr>
          <w:color w:val="auto"/>
        </w:rPr>
        <w:t>towards:</w:t>
      </w:r>
      <w:r w:rsidR="00C026A6" w:rsidRPr="00EA59C0">
        <w:rPr>
          <w:color w:val="auto"/>
        </w:rPr>
        <w:t xml:space="preserve">  </w:t>
      </w:r>
      <w:r w:rsidRPr="00EA59C0">
        <w:rPr>
          <w:color w:val="auto"/>
        </w:rPr>
        <w:t>1)</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design,</w:t>
      </w:r>
      <w:r w:rsidR="00C026A6" w:rsidRPr="00EA59C0">
        <w:rPr>
          <w:color w:val="auto"/>
        </w:rPr>
        <w:t xml:space="preserve"> </w:t>
      </w:r>
      <w:r w:rsidRPr="00EA59C0">
        <w:rPr>
          <w:color w:val="auto"/>
        </w:rPr>
        <w:t>2)</w:t>
      </w:r>
      <w:r w:rsidR="00C026A6" w:rsidRPr="00EA59C0">
        <w:rPr>
          <w:color w:val="auto"/>
        </w:rPr>
        <w:t xml:space="preserve"> </w:t>
      </w:r>
      <w:r w:rsidRPr="00EA59C0">
        <w:rPr>
          <w:color w:val="auto"/>
        </w:rPr>
        <w:t>curriculum</w:t>
      </w:r>
      <w:r w:rsidR="00C026A6" w:rsidRPr="00EA59C0">
        <w:rPr>
          <w:color w:val="auto"/>
        </w:rPr>
        <w:t xml:space="preserve"> </w:t>
      </w:r>
      <w:r w:rsidRPr="00EA59C0">
        <w:rPr>
          <w:color w:val="auto"/>
        </w:rPr>
        <w:t>development,</w:t>
      </w:r>
      <w:r w:rsidR="00C026A6" w:rsidRPr="00EA59C0">
        <w:rPr>
          <w:color w:val="auto"/>
        </w:rPr>
        <w:t xml:space="preserve"> </w:t>
      </w:r>
      <w:r w:rsidRPr="00EA59C0">
        <w:rPr>
          <w:color w:val="auto"/>
        </w:rPr>
        <w:t>3)</w:t>
      </w:r>
      <w:r w:rsidR="00C026A6" w:rsidRPr="00EA59C0">
        <w:rPr>
          <w:color w:val="auto"/>
        </w:rPr>
        <w:t xml:space="preserve"> </w:t>
      </w:r>
      <w:r w:rsidRPr="00EA59C0">
        <w:rPr>
          <w:color w:val="auto"/>
        </w:rPr>
        <w:t>recruitment,</w:t>
      </w:r>
      <w:r w:rsidR="00C026A6" w:rsidRPr="00EA59C0">
        <w:rPr>
          <w:color w:val="auto"/>
        </w:rPr>
        <w:t xml:space="preserve"> </w:t>
      </w:r>
      <w:r w:rsidRPr="00EA59C0">
        <w:rPr>
          <w:color w:val="auto"/>
        </w:rPr>
        <w:t>4)</w:t>
      </w:r>
      <w:r w:rsidR="00C026A6" w:rsidRPr="00EA59C0">
        <w:rPr>
          <w:color w:val="auto"/>
        </w:rPr>
        <w:t xml:space="preserve"> </w:t>
      </w:r>
      <w:r w:rsidRPr="00EA59C0">
        <w:rPr>
          <w:color w:val="auto"/>
        </w:rPr>
        <w:t>training,</w:t>
      </w:r>
      <w:r w:rsidR="00C026A6" w:rsidRPr="00EA59C0">
        <w:rPr>
          <w:color w:val="auto"/>
        </w:rPr>
        <w:t xml:space="preserve"> </w:t>
      </w:r>
      <w:r w:rsidRPr="00EA59C0">
        <w:rPr>
          <w:color w:val="auto"/>
        </w:rPr>
        <w:t>5)</w:t>
      </w:r>
      <w:r w:rsidR="00C026A6" w:rsidRPr="00EA59C0">
        <w:rPr>
          <w:color w:val="auto"/>
        </w:rPr>
        <w:t xml:space="preserve"> </w:t>
      </w:r>
      <w:r w:rsidRPr="00EA59C0">
        <w:rPr>
          <w:color w:val="auto"/>
        </w:rPr>
        <w:t>placement,</w:t>
      </w:r>
      <w:r w:rsidR="00C026A6" w:rsidRPr="00EA59C0">
        <w:rPr>
          <w:color w:val="auto"/>
        </w:rPr>
        <w:t xml:space="preserve"> </w:t>
      </w:r>
      <w:r w:rsidRPr="00EA59C0">
        <w:rPr>
          <w:color w:val="auto"/>
        </w:rPr>
        <w:t>6)</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management,</w:t>
      </w:r>
      <w:r w:rsidR="00C026A6" w:rsidRPr="00EA59C0">
        <w:rPr>
          <w:color w:val="auto"/>
        </w:rPr>
        <w:t xml:space="preserve"> </w:t>
      </w:r>
      <w:r w:rsidRPr="00EA59C0">
        <w:rPr>
          <w:color w:val="auto"/>
        </w:rPr>
        <w:t>7)</w:t>
      </w:r>
      <w:r w:rsidR="00C026A6" w:rsidRPr="00EA59C0">
        <w:rPr>
          <w:color w:val="auto"/>
        </w:rPr>
        <w:t xml:space="preserve"> </w:t>
      </w:r>
      <w:r w:rsidRPr="00EA59C0">
        <w:rPr>
          <w:color w:val="auto"/>
        </w:rPr>
        <w:t>leveraging</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resources,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8)</w:t>
      </w:r>
      <w:r w:rsidR="00C026A6" w:rsidRPr="00EA59C0">
        <w:rPr>
          <w:color w:val="auto"/>
        </w:rPr>
        <w:t xml:space="preserve"> </w:t>
      </w:r>
      <w:r w:rsidRPr="00EA59C0">
        <w:rPr>
          <w:color w:val="auto"/>
        </w:rPr>
        <w:t>commitment</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sustainability?</w:t>
      </w:r>
      <w:r w:rsidR="00C026A6" w:rsidRPr="00EA59C0">
        <w:rPr>
          <w:color w:val="auto"/>
        </w:rPr>
        <w:t xml:space="preserve">  </w:t>
      </w:r>
      <w:r w:rsidRPr="00EA59C0">
        <w:rPr>
          <w:color w:val="auto"/>
        </w:rPr>
        <w:t>What</w:t>
      </w:r>
      <w:r w:rsidR="00C026A6" w:rsidRPr="00EA59C0">
        <w:rPr>
          <w:color w:val="auto"/>
        </w:rPr>
        <w:t xml:space="preserve"> </w:t>
      </w:r>
      <w:r w:rsidRPr="00EA59C0">
        <w:rPr>
          <w:color w:val="auto"/>
        </w:rPr>
        <w:t>factors</w:t>
      </w:r>
      <w:r w:rsidR="00C026A6" w:rsidRPr="00EA59C0">
        <w:rPr>
          <w:color w:val="auto"/>
        </w:rPr>
        <w:t xml:space="preserve"> </w:t>
      </w:r>
      <w:r w:rsidRPr="00EA59C0">
        <w:rPr>
          <w:color w:val="auto"/>
        </w:rPr>
        <w:t>affected</w:t>
      </w:r>
      <w:r w:rsidR="00C026A6" w:rsidRPr="00EA59C0">
        <w:rPr>
          <w:color w:val="auto"/>
        </w:rPr>
        <w:t xml:space="preserve"> </w:t>
      </w:r>
      <w:r w:rsidRPr="00EA59C0">
        <w:rPr>
          <w:color w:val="auto"/>
        </w:rPr>
        <w:t>partner</w:t>
      </w:r>
      <w:r w:rsidR="00C026A6" w:rsidRPr="00EA59C0">
        <w:rPr>
          <w:color w:val="auto"/>
        </w:rPr>
        <w:t xml:space="preserve"> </w:t>
      </w:r>
      <w:r w:rsidRPr="00EA59C0">
        <w:rPr>
          <w:color w:val="auto"/>
        </w:rPr>
        <w:t>involvement</w:t>
      </w:r>
      <w:r w:rsidR="00C026A6" w:rsidRPr="00EA59C0">
        <w:rPr>
          <w:color w:val="auto"/>
        </w:rPr>
        <w:t xml:space="preserve"> </w:t>
      </w:r>
      <w:r w:rsidRPr="00EA59C0">
        <w:rPr>
          <w:color w:val="auto"/>
        </w:rPr>
        <w:t>or</w:t>
      </w:r>
      <w:r w:rsidR="00C026A6" w:rsidRPr="00EA59C0">
        <w:rPr>
          <w:color w:val="auto"/>
        </w:rPr>
        <w:t xml:space="preserve"> </w:t>
      </w:r>
      <w:r w:rsidRPr="00EA59C0">
        <w:rPr>
          <w:color w:val="auto"/>
        </w:rPr>
        <w:t>lack</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involvement?</w:t>
      </w:r>
      <w:r w:rsidR="00C026A6" w:rsidRPr="00EA59C0">
        <w:rPr>
          <w:color w:val="auto"/>
        </w:rPr>
        <w:t xml:space="preserve">  </w:t>
      </w:r>
      <w:r w:rsidRPr="00EA59C0">
        <w:rPr>
          <w:color w:val="auto"/>
        </w:rPr>
        <w:t>Which</w:t>
      </w:r>
      <w:r w:rsidR="00C026A6" w:rsidRPr="00EA59C0">
        <w:rPr>
          <w:color w:val="auto"/>
        </w:rPr>
        <w:t xml:space="preserve"> </w:t>
      </w:r>
      <w:r w:rsidRPr="00EA59C0">
        <w:rPr>
          <w:color w:val="auto"/>
        </w:rPr>
        <w:t>contributions</w:t>
      </w:r>
      <w:r w:rsidR="00C026A6" w:rsidRPr="00EA59C0">
        <w:rPr>
          <w:color w:val="auto"/>
        </w:rPr>
        <w:t xml:space="preserve"> </w:t>
      </w:r>
      <w:r w:rsidRPr="00EA59C0">
        <w:rPr>
          <w:color w:val="auto"/>
        </w:rPr>
        <w:t>from</w:t>
      </w:r>
      <w:r w:rsidR="00C026A6" w:rsidRPr="00EA59C0">
        <w:rPr>
          <w:color w:val="auto"/>
        </w:rPr>
        <w:t xml:space="preserve"> </w:t>
      </w:r>
      <w:r w:rsidRPr="00EA59C0">
        <w:rPr>
          <w:color w:val="auto"/>
        </w:rPr>
        <w:t>partners</w:t>
      </w:r>
      <w:r w:rsidR="00C026A6" w:rsidRPr="00EA59C0">
        <w:rPr>
          <w:color w:val="auto"/>
        </w:rPr>
        <w:t xml:space="preserve"> </w:t>
      </w:r>
      <w:r w:rsidRPr="00EA59C0">
        <w:rPr>
          <w:color w:val="auto"/>
        </w:rPr>
        <w:t>were</w:t>
      </w:r>
      <w:r w:rsidR="00C026A6" w:rsidRPr="00EA59C0">
        <w:rPr>
          <w:color w:val="auto"/>
        </w:rPr>
        <w:t xml:space="preserve"> </w:t>
      </w:r>
      <w:r w:rsidRPr="00EA59C0">
        <w:rPr>
          <w:color w:val="auto"/>
        </w:rPr>
        <w:t>most</w:t>
      </w:r>
      <w:r w:rsidR="00C026A6" w:rsidRPr="00EA59C0">
        <w:rPr>
          <w:color w:val="auto"/>
        </w:rPr>
        <w:t xml:space="preserve"> </w:t>
      </w:r>
      <w:r w:rsidRPr="00EA59C0">
        <w:rPr>
          <w:color w:val="auto"/>
        </w:rPr>
        <w:t>critical</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success</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grant</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Which</w:t>
      </w:r>
      <w:r w:rsidR="00C026A6" w:rsidRPr="00EA59C0">
        <w:rPr>
          <w:color w:val="auto"/>
        </w:rPr>
        <w:t xml:space="preserve"> </w:t>
      </w:r>
      <w:r w:rsidRPr="00EA59C0">
        <w:rPr>
          <w:color w:val="auto"/>
        </w:rPr>
        <w:t>contributions</w:t>
      </w:r>
      <w:r w:rsidR="00C026A6" w:rsidRPr="00EA59C0">
        <w:rPr>
          <w:color w:val="auto"/>
        </w:rPr>
        <w:t xml:space="preserve"> </w:t>
      </w:r>
      <w:r w:rsidRPr="00EA59C0">
        <w:rPr>
          <w:color w:val="auto"/>
        </w:rPr>
        <w:t>from</w:t>
      </w:r>
      <w:r w:rsidR="00C026A6" w:rsidRPr="00EA59C0">
        <w:rPr>
          <w:color w:val="auto"/>
        </w:rPr>
        <w:t xml:space="preserve"> </w:t>
      </w:r>
      <w:r w:rsidRPr="00EA59C0">
        <w:rPr>
          <w:color w:val="auto"/>
        </w:rPr>
        <w:t>partners</w:t>
      </w:r>
      <w:r w:rsidR="00C026A6" w:rsidRPr="00EA59C0">
        <w:rPr>
          <w:color w:val="auto"/>
        </w:rPr>
        <w:t xml:space="preserve"> </w:t>
      </w:r>
      <w:r w:rsidRPr="00EA59C0">
        <w:rPr>
          <w:color w:val="auto"/>
        </w:rPr>
        <w:t>had</w:t>
      </w:r>
      <w:r w:rsidR="00C026A6" w:rsidRPr="00EA59C0">
        <w:rPr>
          <w:color w:val="auto"/>
        </w:rPr>
        <w:t xml:space="preserve"> </w:t>
      </w:r>
      <w:r w:rsidRPr="00EA59C0">
        <w:rPr>
          <w:color w:val="auto"/>
        </w:rPr>
        <w:t>less</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an</w:t>
      </w:r>
      <w:r w:rsidR="00C026A6" w:rsidRPr="00EA59C0">
        <w:rPr>
          <w:color w:val="auto"/>
        </w:rPr>
        <w:t xml:space="preserve"> </w:t>
      </w:r>
      <w:r w:rsidRPr="00EA59C0">
        <w:rPr>
          <w:color w:val="auto"/>
        </w:rPr>
        <w:t>impact?</w:t>
      </w:r>
      <w:r w:rsidR="00C026A6" w:rsidRPr="00EA59C0">
        <w:rPr>
          <w:color w:val="auto"/>
        </w:rPr>
        <w:t xml:space="preserve"> </w:t>
      </w:r>
    </w:p>
    <w:p w:rsidR="00A93F2C" w:rsidRPr="00EA59C0" w:rsidRDefault="00A93F2C" w:rsidP="00FA0E98">
      <w:pPr>
        <w:pStyle w:val="Default"/>
        <w:spacing w:after="17"/>
        <w:ind w:left="1440"/>
        <w:rPr>
          <w:color w:val="auto"/>
        </w:rPr>
      </w:pPr>
    </w:p>
    <w:p w:rsidR="00532A29" w:rsidRPr="00EA59C0" w:rsidRDefault="00532A29" w:rsidP="004C3998">
      <w:pPr>
        <w:pStyle w:val="Default"/>
        <w:numPr>
          <w:ilvl w:val="3"/>
          <w:numId w:val="17"/>
        </w:numPr>
        <w:rPr>
          <w:b/>
          <w:color w:val="auto"/>
        </w:rPr>
      </w:pPr>
      <w:r w:rsidRPr="00EA59C0">
        <w:rPr>
          <w:b/>
          <w:color w:val="auto"/>
        </w:rPr>
        <w:t>Selection</w:t>
      </w:r>
      <w:r w:rsidR="00C026A6" w:rsidRPr="00EA59C0">
        <w:rPr>
          <w:b/>
          <w:color w:val="auto"/>
        </w:rPr>
        <w:t xml:space="preserve"> </w:t>
      </w:r>
      <w:r w:rsidRPr="00EA59C0">
        <w:rPr>
          <w:b/>
          <w:color w:val="auto"/>
        </w:rPr>
        <w:t>of</w:t>
      </w:r>
      <w:r w:rsidR="00C026A6" w:rsidRPr="00EA59C0">
        <w:rPr>
          <w:b/>
          <w:color w:val="auto"/>
        </w:rPr>
        <w:t xml:space="preserve"> </w:t>
      </w:r>
      <w:r w:rsidRPr="00EA59C0">
        <w:rPr>
          <w:b/>
          <w:color w:val="auto"/>
        </w:rPr>
        <w:t>Third-Party</w:t>
      </w:r>
      <w:r w:rsidR="00C026A6" w:rsidRPr="00EA59C0">
        <w:rPr>
          <w:b/>
          <w:color w:val="auto"/>
        </w:rPr>
        <w:t xml:space="preserve"> </w:t>
      </w:r>
      <w:r w:rsidRPr="00EA59C0">
        <w:rPr>
          <w:b/>
          <w:color w:val="auto"/>
        </w:rPr>
        <w:t>Evaluator</w:t>
      </w:r>
      <w:r w:rsidR="00C026A6" w:rsidRPr="00EA59C0">
        <w:rPr>
          <w:b/>
          <w:color w:val="auto"/>
        </w:rPr>
        <w:t xml:space="preserve"> </w:t>
      </w:r>
    </w:p>
    <w:p w:rsidR="00532A29" w:rsidRPr="00EA59C0" w:rsidRDefault="00532A29" w:rsidP="00FA0E98">
      <w:pPr>
        <w:pStyle w:val="Default"/>
        <w:ind w:left="1440"/>
        <w:rPr>
          <w:color w:val="auto"/>
        </w:rPr>
      </w:pPr>
      <w:r w:rsidRPr="00EA59C0">
        <w:rPr>
          <w:color w:val="auto"/>
        </w:rPr>
        <w:t>All</w:t>
      </w:r>
      <w:r w:rsidR="00C026A6" w:rsidRPr="00EA59C0">
        <w:rPr>
          <w:color w:val="auto"/>
        </w:rPr>
        <w:t xml:space="preserve"> </w:t>
      </w:r>
      <w:r w:rsidRPr="00EA59C0">
        <w:rPr>
          <w:color w:val="auto"/>
        </w:rPr>
        <w:t>applicants</w:t>
      </w:r>
      <w:r w:rsidR="00C026A6" w:rsidRPr="00EA59C0">
        <w:rPr>
          <w:color w:val="auto"/>
        </w:rPr>
        <w:t xml:space="preserve"> </w:t>
      </w:r>
      <w:r w:rsidRPr="00EA59C0">
        <w:rPr>
          <w:color w:val="auto"/>
        </w:rPr>
        <w:t>should</w:t>
      </w:r>
      <w:r w:rsidR="00C026A6" w:rsidRPr="00EA59C0">
        <w:rPr>
          <w:color w:val="auto"/>
        </w:rPr>
        <w:t xml:space="preserve"> </w:t>
      </w:r>
      <w:r w:rsidRPr="00EA59C0">
        <w:rPr>
          <w:color w:val="auto"/>
        </w:rPr>
        <w:t>complete</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procurement</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their</w:t>
      </w:r>
      <w:r w:rsidR="00C026A6" w:rsidRPr="00EA59C0">
        <w:rPr>
          <w:color w:val="auto"/>
        </w:rPr>
        <w:t xml:space="preserve"> </w:t>
      </w:r>
      <w:r w:rsidRPr="00EA59C0">
        <w:rPr>
          <w:color w:val="auto"/>
        </w:rPr>
        <w:t>third-party</w:t>
      </w:r>
      <w:r w:rsidR="00C026A6" w:rsidRPr="00EA59C0">
        <w:rPr>
          <w:color w:val="auto"/>
        </w:rPr>
        <w:t xml:space="preserve"> </w:t>
      </w:r>
      <w:r w:rsidRPr="00EA59C0">
        <w:rPr>
          <w:color w:val="auto"/>
        </w:rPr>
        <w:t>evaluator</w:t>
      </w:r>
      <w:r w:rsidR="00C026A6" w:rsidRPr="00EA59C0">
        <w:rPr>
          <w:color w:val="auto"/>
        </w:rPr>
        <w:t xml:space="preserve"> </w:t>
      </w:r>
      <w:r w:rsidRPr="00EA59C0">
        <w:rPr>
          <w:color w:val="auto"/>
        </w:rPr>
        <w:t>expeditiously</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early</w:t>
      </w:r>
      <w:r w:rsidR="00C026A6" w:rsidRPr="00EA59C0">
        <w:rPr>
          <w:color w:val="auto"/>
        </w:rPr>
        <w:t xml:space="preserve"> </w:t>
      </w:r>
      <w:r w:rsidRPr="00EA59C0">
        <w:rPr>
          <w:color w:val="auto"/>
        </w:rPr>
        <w:t>during</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grant</w:t>
      </w:r>
      <w:r w:rsidR="00C026A6" w:rsidRPr="00EA59C0">
        <w:rPr>
          <w:color w:val="auto"/>
        </w:rPr>
        <w:t xml:space="preserve"> </w:t>
      </w:r>
      <w:r w:rsidRPr="00EA59C0">
        <w:rPr>
          <w:color w:val="auto"/>
        </w:rPr>
        <w:t>period</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performance.</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Department</w:t>
      </w:r>
      <w:r w:rsidR="00C026A6" w:rsidRPr="00EA59C0">
        <w:rPr>
          <w:color w:val="auto"/>
        </w:rPr>
        <w:t xml:space="preserve"> </w:t>
      </w:r>
      <w:r w:rsidRPr="00EA59C0">
        <w:rPr>
          <w:color w:val="auto"/>
        </w:rPr>
        <w:t>encourages</w:t>
      </w:r>
      <w:r w:rsidR="00C026A6" w:rsidRPr="00EA59C0">
        <w:rPr>
          <w:color w:val="auto"/>
        </w:rPr>
        <w:t xml:space="preserve"> </w:t>
      </w:r>
      <w:r w:rsidRPr="00EA59C0">
        <w:rPr>
          <w:color w:val="auto"/>
        </w:rPr>
        <w:t>applicants</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identify</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third-party</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contractor</w:t>
      </w:r>
      <w:r w:rsidR="00C026A6" w:rsidRPr="00EA59C0">
        <w:rPr>
          <w:color w:val="auto"/>
        </w:rPr>
        <w:t xml:space="preserve"> </w:t>
      </w:r>
      <w:r w:rsidRPr="00EA59C0">
        <w:rPr>
          <w:color w:val="auto"/>
        </w:rPr>
        <w:t>at</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time</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application</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identify</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contractor</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Summary</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Plan.</w:t>
      </w:r>
      <w:r w:rsidR="00C026A6" w:rsidRPr="00EA59C0">
        <w:rPr>
          <w:color w:val="auto"/>
        </w:rPr>
        <w:t xml:space="preserve">  </w:t>
      </w:r>
    </w:p>
    <w:p w:rsidR="00A93F2C" w:rsidRPr="00EA59C0" w:rsidRDefault="00A93F2C" w:rsidP="00FA0E98">
      <w:pPr>
        <w:pStyle w:val="Default"/>
        <w:ind w:left="1440"/>
        <w:rPr>
          <w:color w:val="auto"/>
        </w:rPr>
      </w:pPr>
    </w:p>
    <w:p w:rsidR="00532A29" w:rsidRPr="00EA59C0" w:rsidRDefault="00532A29" w:rsidP="00FA0E98">
      <w:pPr>
        <w:pStyle w:val="Default"/>
        <w:ind w:left="1440"/>
        <w:rPr>
          <w:color w:val="auto"/>
        </w:rPr>
      </w:pPr>
      <w:r w:rsidRPr="00EA59C0">
        <w:rPr>
          <w:color w:val="auto"/>
        </w:rPr>
        <w:t>For</w:t>
      </w:r>
      <w:r w:rsidR="00C026A6" w:rsidRPr="00EA59C0">
        <w:rPr>
          <w:color w:val="auto"/>
        </w:rPr>
        <w:t xml:space="preserve"> </w:t>
      </w:r>
      <w:r w:rsidRPr="00EA59C0">
        <w:rPr>
          <w:color w:val="auto"/>
        </w:rPr>
        <w:t>applicants</w:t>
      </w:r>
      <w:r w:rsidR="00C026A6" w:rsidRPr="00EA59C0">
        <w:rPr>
          <w:color w:val="auto"/>
        </w:rPr>
        <w:t xml:space="preserve"> </w:t>
      </w:r>
      <w:r w:rsidRPr="00EA59C0">
        <w:rPr>
          <w:color w:val="auto"/>
        </w:rPr>
        <w:t>that</w:t>
      </w:r>
      <w:r w:rsidR="00C026A6" w:rsidRPr="00EA59C0">
        <w:rPr>
          <w:color w:val="auto"/>
        </w:rPr>
        <w:t xml:space="preserve"> </w:t>
      </w:r>
      <w:r w:rsidRPr="00EA59C0">
        <w:rPr>
          <w:color w:val="auto"/>
        </w:rPr>
        <w:t>are</w:t>
      </w:r>
      <w:r w:rsidR="00C026A6" w:rsidRPr="00EA59C0">
        <w:rPr>
          <w:color w:val="auto"/>
        </w:rPr>
        <w:t xml:space="preserve"> </w:t>
      </w:r>
      <w:r w:rsidRPr="00EA59C0">
        <w:rPr>
          <w:color w:val="auto"/>
        </w:rPr>
        <w:t>not</w:t>
      </w:r>
      <w:r w:rsidR="00C026A6" w:rsidRPr="00EA59C0">
        <w:rPr>
          <w:color w:val="auto"/>
        </w:rPr>
        <w:t xml:space="preserve"> </w:t>
      </w:r>
      <w:r w:rsidRPr="00EA59C0">
        <w:rPr>
          <w:color w:val="auto"/>
        </w:rPr>
        <w:t>able</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procure</w:t>
      </w:r>
      <w:r w:rsidR="00C026A6" w:rsidRPr="00EA59C0">
        <w:rPr>
          <w:color w:val="auto"/>
        </w:rPr>
        <w:t xml:space="preserve"> </w:t>
      </w:r>
      <w:r w:rsidRPr="00EA59C0">
        <w:rPr>
          <w:color w:val="auto"/>
        </w:rPr>
        <w:t>an</w:t>
      </w:r>
      <w:r w:rsidR="00C026A6" w:rsidRPr="00EA59C0">
        <w:rPr>
          <w:color w:val="auto"/>
        </w:rPr>
        <w:t xml:space="preserve"> </w:t>
      </w:r>
      <w:r w:rsidRPr="00EA59C0">
        <w:rPr>
          <w:color w:val="auto"/>
        </w:rPr>
        <w:t>evaluator</w:t>
      </w:r>
      <w:r w:rsidR="00C026A6" w:rsidRPr="00EA59C0">
        <w:rPr>
          <w:color w:val="auto"/>
        </w:rPr>
        <w:t xml:space="preserve"> </w:t>
      </w:r>
      <w:r w:rsidRPr="00EA59C0">
        <w:rPr>
          <w:color w:val="auto"/>
        </w:rPr>
        <w:t>at</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time</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application,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Summary</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Plan</w:t>
      </w:r>
      <w:r w:rsidR="00C026A6" w:rsidRPr="00EA59C0">
        <w:rPr>
          <w:color w:val="auto"/>
        </w:rPr>
        <w:t xml:space="preserve"> </w:t>
      </w:r>
      <w:r w:rsidRPr="00EA59C0">
        <w:rPr>
          <w:color w:val="auto"/>
        </w:rPr>
        <w:t>should</w:t>
      </w:r>
      <w:r w:rsidR="00C026A6" w:rsidRPr="00EA59C0">
        <w:rPr>
          <w:color w:val="auto"/>
        </w:rPr>
        <w:t xml:space="preserve"> </w:t>
      </w:r>
      <w:r w:rsidRPr="00EA59C0">
        <w:rPr>
          <w:color w:val="auto"/>
        </w:rPr>
        <w:t>detail</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process</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selecting</w:t>
      </w:r>
      <w:r w:rsidR="00C026A6" w:rsidRPr="00EA59C0">
        <w:rPr>
          <w:color w:val="auto"/>
        </w:rPr>
        <w:t xml:space="preserve"> </w:t>
      </w:r>
      <w:r w:rsidRPr="00EA59C0">
        <w:rPr>
          <w:color w:val="auto"/>
        </w:rPr>
        <w:t>an</w:t>
      </w:r>
      <w:r w:rsidR="00C026A6" w:rsidRPr="00EA59C0">
        <w:rPr>
          <w:color w:val="auto"/>
        </w:rPr>
        <w:t xml:space="preserve"> </w:t>
      </w:r>
      <w:r w:rsidRPr="00EA59C0">
        <w:rPr>
          <w:color w:val="auto"/>
        </w:rPr>
        <w:t>evaluator</w:t>
      </w:r>
      <w:r w:rsidR="00C026A6" w:rsidRPr="00EA59C0">
        <w:rPr>
          <w:color w:val="auto"/>
        </w:rPr>
        <w:t xml:space="preserve"> </w:t>
      </w:r>
      <w:r w:rsidRPr="00EA59C0">
        <w:rPr>
          <w:color w:val="auto"/>
        </w:rPr>
        <w:t>that</w:t>
      </w:r>
      <w:r w:rsidR="00C026A6" w:rsidRPr="00EA59C0">
        <w:rPr>
          <w:color w:val="auto"/>
        </w:rPr>
        <w:t xml:space="preserve"> </w:t>
      </w:r>
      <w:r w:rsidRPr="00EA59C0">
        <w:rPr>
          <w:color w:val="auto"/>
        </w:rPr>
        <w:t>includes:</w:t>
      </w:r>
    </w:p>
    <w:p w:rsidR="00532A29" w:rsidRPr="00EA59C0" w:rsidRDefault="00532A29" w:rsidP="00FA0E98">
      <w:pPr>
        <w:pStyle w:val="Default"/>
        <w:numPr>
          <w:ilvl w:val="2"/>
          <w:numId w:val="10"/>
        </w:numPr>
        <w:rPr>
          <w:color w:val="auto"/>
        </w:rPr>
      </w:pPr>
      <w:r w:rsidRPr="00EA59C0">
        <w:rPr>
          <w:color w:val="auto"/>
        </w:rPr>
        <w:t>A</w:t>
      </w:r>
      <w:r w:rsidR="00C026A6" w:rsidRPr="00EA59C0">
        <w:rPr>
          <w:color w:val="auto"/>
        </w:rPr>
        <w:t xml:space="preserve"> </w:t>
      </w:r>
      <w:r w:rsidRPr="00EA59C0">
        <w:rPr>
          <w:color w:val="auto"/>
        </w:rPr>
        <w:t>plan</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selecting</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procuring</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services</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third-party</w:t>
      </w:r>
      <w:r w:rsidR="00C026A6" w:rsidRPr="00EA59C0">
        <w:rPr>
          <w:color w:val="auto"/>
        </w:rPr>
        <w:t xml:space="preserve"> </w:t>
      </w:r>
      <w:r w:rsidRPr="00EA59C0">
        <w:rPr>
          <w:color w:val="auto"/>
        </w:rPr>
        <w:t>evaluator</w:t>
      </w:r>
      <w:r w:rsidR="00C026A6" w:rsidRPr="00EA59C0">
        <w:rPr>
          <w:color w:val="auto"/>
        </w:rPr>
        <w:t xml:space="preserve"> </w:t>
      </w:r>
      <w:r w:rsidRPr="00EA59C0">
        <w:rPr>
          <w:color w:val="auto"/>
        </w:rPr>
        <w:t>prior</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enrolling</w:t>
      </w:r>
      <w:r w:rsidR="00C026A6" w:rsidRPr="00EA59C0">
        <w:rPr>
          <w:color w:val="auto"/>
        </w:rPr>
        <w:t xml:space="preserve"> </w:t>
      </w:r>
      <w:r w:rsidRPr="00EA59C0">
        <w:rPr>
          <w:color w:val="auto"/>
        </w:rPr>
        <w:t>participants</w:t>
      </w:r>
      <w:r w:rsidR="00C026A6" w:rsidRPr="00EA59C0">
        <w:rPr>
          <w:color w:val="auto"/>
        </w:rPr>
        <w:t xml:space="preserve"> </w:t>
      </w:r>
      <w:r w:rsidRPr="00EA59C0">
        <w:rPr>
          <w:color w:val="auto"/>
        </w:rPr>
        <w:t>into</w:t>
      </w:r>
      <w:r w:rsidR="00C026A6" w:rsidRPr="00EA59C0">
        <w:rPr>
          <w:color w:val="auto"/>
        </w:rPr>
        <w:t xml:space="preserve"> </w:t>
      </w:r>
      <w:r w:rsidRPr="00EA59C0">
        <w:rPr>
          <w:color w:val="auto"/>
        </w:rPr>
        <w:t>programs</w:t>
      </w:r>
      <w:r w:rsidR="00C026A6" w:rsidRPr="00EA59C0">
        <w:rPr>
          <w:color w:val="auto"/>
        </w:rPr>
        <w:t xml:space="preserve"> </w:t>
      </w:r>
      <w:r w:rsidRPr="00EA59C0">
        <w:rPr>
          <w:color w:val="auto"/>
        </w:rPr>
        <w:t>funded</w:t>
      </w:r>
      <w:r w:rsidR="00C026A6" w:rsidRPr="00EA59C0">
        <w:rPr>
          <w:color w:val="auto"/>
        </w:rPr>
        <w:t xml:space="preserve"> </w:t>
      </w:r>
      <w:r w:rsidRPr="00EA59C0">
        <w:rPr>
          <w:color w:val="auto"/>
        </w:rPr>
        <w:t>by</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TAACCCT</w:t>
      </w:r>
      <w:r w:rsidR="00C026A6" w:rsidRPr="00EA59C0">
        <w:rPr>
          <w:color w:val="auto"/>
        </w:rPr>
        <w:t xml:space="preserve"> </w:t>
      </w:r>
      <w:r w:rsidRPr="00EA59C0">
        <w:rPr>
          <w:color w:val="auto"/>
        </w:rPr>
        <w:t>grant,</w:t>
      </w:r>
      <w:r w:rsidR="00C026A6" w:rsidRPr="00EA59C0">
        <w:rPr>
          <w:color w:val="auto"/>
        </w:rPr>
        <w:t xml:space="preserve"> </w:t>
      </w:r>
      <w:r w:rsidRPr="00EA59C0">
        <w:rPr>
          <w:color w:val="auto"/>
        </w:rPr>
        <w:t>if</w:t>
      </w:r>
      <w:r w:rsidR="00C026A6" w:rsidRPr="00EA59C0">
        <w:rPr>
          <w:color w:val="auto"/>
        </w:rPr>
        <w:t xml:space="preserve"> </w:t>
      </w:r>
      <w:r w:rsidRPr="00EA59C0">
        <w:rPr>
          <w:color w:val="auto"/>
        </w:rPr>
        <w:t>possible</w:t>
      </w:r>
    </w:p>
    <w:p w:rsidR="00532A29" w:rsidRPr="00EA59C0" w:rsidRDefault="00532A29" w:rsidP="00FA0E98">
      <w:pPr>
        <w:pStyle w:val="Default"/>
        <w:numPr>
          <w:ilvl w:val="2"/>
          <w:numId w:val="10"/>
        </w:numPr>
        <w:rPr>
          <w:color w:val="auto"/>
        </w:rPr>
      </w:pPr>
      <w:r w:rsidRPr="00EA59C0">
        <w:rPr>
          <w:color w:val="auto"/>
        </w:rPr>
        <w:t>The</w:t>
      </w:r>
      <w:r w:rsidR="00C026A6" w:rsidRPr="00EA59C0">
        <w:rPr>
          <w:color w:val="auto"/>
        </w:rPr>
        <w:t xml:space="preserve"> </w:t>
      </w:r>
      <w:r w:rsidRPr="00EA59C0">
        <w:rPr>
          <w:color w:val="auto"/>
        </w:rPr>
        <w:t>levels</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capacity</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expertise</w:t>
      </w:r>
      <w:r w:rsidR="00C026A6" w:rsidRPr="00EA59C0">
        <w:rPr>
          <w:color w:val="auto"/>
        </w:rPr>
        <w:t xml:space="preserve"> </w:t>
      </w:r>
      <w:r w:rsidRPr="00EA59C0">
        <w:rPr>
          <w:color w:val="auto"/>
        </w:rPr>
        <w:t>required</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selected</w:t>
      </w:r>
      <w:r w:rsidR="00C026A6" w:rsidRPr="00EA59C0">
        <w:rPr>
          <w:color w:val="auto"/>
        </w:rPr>
        <w:t xml:space="preserve"> </w:t>
      </w:r>
      <w:r w:rsidRPr="00EA59C0">
        <w:rPr>
          <w:color w:val="auto"/>
        </w:rPr>
        <w:t>organization(s)</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conduct</w:t>
      </w:r>
      <w:r w:rsidR="00C026A6" w:rsidRPr="00EA59C0">
        <w:rPr>
          <w:color w:val="auto"/>
        </w:rPr>
        <w:t xml:space="preserve"> </w:t>
      </w:r>
      <w:r w:rsidRPr="00EA59C0">
        <w:rPr>
          <w:color w:val="auto"/>
        </w:rPr>
        <w:t>rigorous</w:t>
      </w:r>
      <w:r w:rsidR="00C026A6" w:rsidRPr="00EA59C0">
        <w:rPr>
          <w:color w:val="auto"/>
        </w:rPr>
        <w:t xml:space="preserve"> </w:t>
      </w:r>
      <w:r w:rsidRPr="00EA59C0">
        <w:rPr>
          <w:color w:val="auto"/>
        </w:rPr>
        <w:t>evaluations</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proposed</w:t>
      </w:r>
      <w:r w:rsidR="00C026A6" w:rsidRPr="00EA59C0">
        <w:rPr>
          <w:color w:val="auto"/>
        </w:rPr>
        <w:t xml:space="preserve"> </w:t>
      </w:r>
      <w:r w:rsidRPr="00EA59C0">
        <w:rPr>
          <w:color w:val="auto"/>
        </w:rPr>
        <w:t>strategy.</w:t>
      </w:r>
      <w:r w:rsidR="00C026A6" w:rsidRPr="00EA59C0">
        <w:rPr>
          <w:color w:val="auto"/>
        </w:rPr>
        <w:t xml:space="preserve">  </w:t>
      </w:r>
    </w:p>
    <w:p w:rsidR="00532A29" w:rsidRPr="00EA59C0" w:rsidRDefault="00532A29" w:rsidP="00FA0E98">
      <w:pPr>
        <w:pStyle w:val="Default"/>
        <w:numPr>
          <w:ilvl w:val="2"/>
          <w:numId w:val="10"/>
        </w:numPr>
        <w:rPr>
          <w:color w:val="auto"/>
        </w:rPr>
      </w:pPr>
      <w:r w:rsidRPr="00EA59C0">
        <w:rPr>
          <w:color w:val="auto"/>
        </w:rPr>
        <w:t>The</w:t>
      </w:r>
      <w:r w:rsidR="00C026A6" w:rsidRPr="00EA59C0">
        <w:rPr>
          <w:color w:val="auto"/>
        </w:rPr>
        <w:t xml:space="preserve"> </w:t>
      </w:r>
      <w:r w:rsidRPr="00EA59C0">
        <w:rPr>
          <w:color w:val="auto"/>
        </w:rPr>
        <w:t>target</w:t>
      </w:r>
      <w:r w:rsidR="00C026A6" w:rsidRPr="00EA59C0">
        <w:rPr>
          <w:color w:val="auto"/>
        </w:rPr>
        <w:t xml:space="preserve"> </w:t>
      </w:r>
      <w:r w:rsidRPr="00EA59C0">
        <w:rPr>
          <w:color w:val="auto"/>
        </w:rPr>
        <w:t>date</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selection</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team.</w:t>
      </w:r>
      <w:r w:rsidR="00C026A6" w:rsidRPr="00EA59C0">
        <w:rPr>
          <w:color w:val="auto"/>
        </w:rPr>
        <w:t xml:space="preserve">  </w:t>
      </w:r>
    </w:p>
    <w:p w:rsidR="00532A29" w:rsidRPr="00EA59C0" w:rsidRDefault="00532A29" w:rsidP="00FA0E98">
      <w:pPr>
        <w:pStyle w:val="Default"/>
        <w:ind w:left="2160"/>
        <w:rPr>
          <w:color w:val="auto"/>
        </w:rPr>
      </w:pPr>
    </w:p>
    <w:p w:rsidR="00532A29" w:rsidRPr="00EA59C0" w:rsidRDefault="00532A29" w:rsidP="00FA0E98">
      <w:pPr>
        <w:pStyle w:val="Default"/>
        <w:ind w:left="1440"/>
        <w:rPr>
          <w:color w:val="auto"/>
        </w:rPr>
      </w:pPr>
      <w:r w:rsidRPr="00EA59C0">
        <w:rPr>
          <w:color w:val="auto"/>
        </w:rPr>
        <w:t>The</w:t>
      </w:r>
      <w:r w:rsidR="00C026A6" w:rsidRPr="00EA59C0">
        <w:rPr>
          <w:color w:val="auto"/>
        </w:rPr>
        <w:t xml:space="preserve"> </w:t>
      </w:r>
      <w:r w:rsidRPr="00EA59C0">
        <w:rPr>
          <w:color w:val="auto"/>
        </w:rPr>
        <w:t>third-party</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team</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have</w:t>
      </w:r>
      <w:r w:rsidR="00C026A6" w:rsidRPr="00EA59C0">
        <w:rPr>
          <w:color w:val="auto"/>
        </w:rPr>
        <w:t xml:space="preserve"> </w:t>
      </w:r>
      <w:r w:rsidRPr="00EA59C0">
        <w:rPr>
          <w:color w:val="auto"/>
        </w:rPr>
        <w:t>no</w:t>
      </w:r>
      <w:r w:rsidR="00C026A6" w:rsidRPr="00EA59C0">
        <w:rPr>
          <w:color w:val="auto"/>
        </w:rPr>
        <w:t xml:space="preserve"> </w:t>
      </w:r>
      <w:r w:rsidRPr="00EA59C0">
        <w:rPr>
          <w:color w:val="auto"/>
        </w:rPr>
        <w:t>financial</w:t>
      </w:r>
      <w:r w:rsidR="00C026A6" w:rsidRPr="00EA59C0">
        <w:rPr>
          <w:color w:val="auto"/>
        </w:rPr>
        <w:t xml:space="preserve"> </w:t>
      </w:r>
      <w:r w:rsidRPr="00EA59C0">
        <w:rPr>
          <w:color w:val="auto"/>
        </w:rPr>
        <w:t>interest</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outcome</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may</w:t>
      </w:r>
      <w:r w:rsidR="00C026A6" w:rsidRPr="00EA59C0">
        <w:rPr>
          <w:color w:val="auto"/>
        </w:rPr>
        <w:t xml:space="preserve"> </w:t>
      </w:r>
      <w:r w:rsidRPr="00EA59C0">
        <w:rPr>
          <w:color w:val="auto"/>
        </w:rPr>
        <w:t>not</w:t>
      </w:r>
      <w:r w:rsidR="00C026A6" w:rsidRPr="00EA59C0">
        <w:rPr>
          <w:color w:val="auto"/>
        </w:rPr>
        <w:t xml:space="preserve"> </w:t>
      </w:r>
      <w:r w:rsidRPr="00EA59C0">
        <w:rPr>
          <w:color w:val="auto"/>
        </w:rPr>
        <w:t>have</w:t>
      </w:r>
      <w:r w:rsidR="00C026A6" w:rsidRPr="00EA59C0">
        <w:rPr>
          <w:color w:val="auto"/>
        </w:rPr>
        <w:t xml:space="preserve"> </w:t>
      </w:r>
      <w:r w:rsidRPr="00EA59C0">
        <w:rPr>
          <w:color w:val="auto"/>
        </w:rPr>
        <w:t>been</w:t>
      </w:r>
      <w:r w:rsidR="00C026A6" w:rsidRPr="00EA59C0">
        <w:rPr>
          <w:color w:val="auto"/>
        </w:rPr>
        <w:t xml:space="preserve"> </w:t>
      </w:r>
      <w:r w:rsidRPr="00EA59C0">
        <w:rPr>
          <w:color w:val="auto"/>
        </w:rPr>
        <w:t>involved</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development</w:t>
      </w:r>
      <w:r w:rsidR="00C026A6" w:rsidRPr="00EA59C0">
        <w:rPr>
          <w:color w:val="auto"/>
        </w:rPr>
        <w:t xml:space="preserve"> </w:t>
      </w:r>
      <w:r w:rsidRPr="00EA59C0">
        <w:rPr>
          <w:color w:val="auto"/>
        </w:rPr>
        <w:t>or</w:t>
      </w:r>
      <w:r w:rsidR="00C026A6" w:rsidRPr="00EA59C0">
        <w:rPr>
          <w:color w:val="auto"/>
        </w:rPr>
        <w:t xml:space="preserve"> </w:t>
      </w:r>
      <w:r w:rsidR="00AB0BC5" w:rsidRPr="00EA59C0">
        <w:rPr>
          <w:color w:val="auto"/>
        </w:rPr>
        <w:t>delivery</w:t>
      </w:r>
      <w:r w:rsidRPr="00EA59C0">
        <w:rPr>
          <w:color w:val="auto"/>
        </w:rPr>
        <w:t>/distribution</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project,</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have</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demonstrated</w:t>
      </w:r>
      <w:r w:rsidR="00C026A6" w:rsidRPr="00EA59C0">
        <w:rPr>
          <w:color w:val="auto"/>
        </w:rPr>
        <w:t xml:space="preserve"> </w:t>
      </w:r>
      <w:r w:rsidRPr="00EA59C0">
        <w:rPr>
          <w:color w:val="auto"/>
        </w:rPr>
        <w:t>ability</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conduct</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studies.</w:t>
      </w:r>
      <w:r w:rsidR="00C026A6" w:rsidRPr="00EA59C0">
        <w:rPr>
          <w:color w:val="auto"/>
        </w:rPr>
        <w:t xml:space="preserve"> </w:t>
      </w:r>
      <w:r w:rsidR="00E31E70" w:rsidRPr="00EA59C0">
        <w:rPr>
          <w:color w:val="auto"/>
        </w:rPr>
        <w:t xml:space="preserve"> The third-party evaluator contracted by the grantee must have no affiliation with the development of the grant application or the implementation or management of the grant</w:t>
      </w:r>
    </w:p>
    <w:p w:rsidR="00532A29" w:rsidRPr="00EA59C0" w:rsidRDefault="00532A29" w:rsidP="00FA0E98">
      <w:pPr>
        <w:pStyle w:val="Default"/>
        <w:rPr>
          <w:b/>
          <w:bCs/>
          <w:color w:val="auto"/>
        </w:rPr>
      </w:pPr>
    </w:p>
    <w:p w:rsidR="00532A29" w:rsidRPr="00EA59C0" w:rsidRDefault="00532A29" w:rsidP="00080097">
      <w:pPr>
        <w:pStyle w:val="Heading2"/>
        <w:numPr>
          <w:ilvl w:val="2"/>
          <w:numId w:val="17"/>
        </w:numPr>
        <w:rPr>
          <w:rFonts w:ascii="Times New Roman" w:hAnsi="Times New Roman"/>
          <w:b w:val="0"/>
          <w:i w:val="0"/>
        </w:rPr>
      </w:pPr>
      <w:r w:rsidRPr="00EA59C0">
        <w:rPr>
          <w:rFonts w:ascii="Times New Roman" w:hAnsi="Times New Roman"/>
          <w:b w:val="0"/>
          <w:i w:val="0"/>
        </w:rPr>
        <w:t>Program</w:t>
      </w:r>
      <w:r w:rsidR="00C026A6" w:rsidRPr="00EA59C0">
        <w:rPr>
          <w:rFonts w:ascii="Times New Roman" w:hAnsi="Times New Roman"/>
          <w:b w:val="0"/>
          <w:i w:val="0"/>
        </w:rPr>
        <w:t xml:space="preserve"> </w:t>
      </w:r>
      <w:r w:rsidRPr="00EA59C0">
        <w:rPr>
          <w:rFonts w:ascii="Times New Roman" w:hAnsi="Times New Roman"/>
          <w:b w:val="0"/>
          <w:i w:val="0"/>
        </w:rPr>
        <w:t>Evaluation</w:t>
      </w:r>
      <w:r w:rsidR="00C026A6" w:rsidRPr="00EA59C0">
        <w:rPr>
          <w:rFonts w:ascii="Times New Roman" w:hAnsi="Times New Roman"/>
          <w:b w:val="0"/>
          <w:i w:val="0"/>
        </w:rPr>
        <w:t xml:space="preserve"> </w:t>
      </w:r>
      <w:r w:rsidRPr="00EA59C0">
        <w:rPr>
          <w:rFonts w:ascii="Times New Roman" w:hAnsi="Times New Roman"/>
          <w:b w:val="0"/>
          <w:i w:val="0"/>
        </w:rPr>
        <w:t>Budget</w:t>
      </w:r>
      <w:r w:rsidR="00C026A6" w:rsidRPr="00EA59C0">
        <w:rPr>
          <w:rFonts w:ascii="Times New Roman" w:hAnsi="Times New Roman"/>
          <w:b w:val="0"/>
          <w:i w:val="0"/>
        </w:rPr>
        <w:t xml:space="preserve"> </w:t>
      </w:r>
      <w:r w:rsidRPr="00EA59C0">
        <w:rPr>
          <w:rFonts w:ascii="Times New Roman" w:hAnsi="Times New Roman"/>
          <w:b w:val="0"/>
          <w:i w:val="0"/>
        </w:rPr>
        <w:t>Narrative</w:t>
      </w:r>
      <w:r w:rsidR="00C026A6" w:rsidRPr="00EA59C0">
        <w:rPr>
          <w:rFonts w:ascii="Times New Roman" w:hAnsi="Times New Roman"/>
          <w:b w:val="0"/>
          <w:i w:val="0"/>
        </w:rPr>
        <w:t xml:space="preserve"> </w:t>
      </w:r>
    </w:p>
    <w:p w:rsidR="00532A29" w:rsidRPr="00EA59C0" w:rsidRDefault="00532A29" w:rsidP="00080097">
      <w:pPr>
        <w:pStyle w:val="Default"/>
        <w:ind w:left="1080"/>
        <w:rPr>
          <w:color w:val="auto"/>
        </w:rPr>
      </w:pPr>
      <w:r w:rsidRPr="00EA59C0">
        <w:rPr>
          <w:color w:val="auto"/>
        </w:rPr>
        <w:t>The</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Budget</w:t>
      </w:r>
      <w:r w:rsidR="00C026A6" w:rsidRPr="00EA59C0">
        <w:rPr>
          <w:color w:val="auto"/>
        </w:rPr>
        <w:t xml:space="preserve"> </w:t>
      </w:r>
      <w:r w:rsidRPr="00EA59C0">
        <w:rPr>
          <w:color w:val="auto"/>
        </w:rPr>
        <w:t>Narrative</w:t>
      </w:r>
      <w:r w:rsidR="00C026A6" w:rsidRPr="00EA59C0">
        <w:rPr>
          <w:color w:val="auto"/>
        </w:rPr>
        <w:t xml:space="preserve"> </w:t>
      </w:r>
      <w:r w:rsidRPr="00EA59C0">
        <w:rPr>
          <w:color w:val="auto"/>
        </w:rPr>
        <w:t>is</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supplementary</w:t>
      </w:r>
      <w:r w:rsidR="00C026A6" w:rsidRPr="00EA59C0">
        <w:rPr>
          <w:color w:val="auto"/>
        </w:rPr>
        <w:t xml:space="preserve"> </w:t>
      </w:r>
      <w:r w:rsidRPr="00EA59C0">
        <w:rPr>
          <w:color w:val="auto"/>
        </w:rPr>
        <w:t>budget</w:t>
      </w:r>
      <w:r w:rsidR="00C026A6" w:rsidRPr="00EA59C0">
        <w:rPr>
          <w:color w:val="auto"/>
        </w:rPr>
        <w:t xml:space="preserve"> </w:t>
      </w:r>
      <w:r w:rsidRPr="00EA59C0">
        <w:rPr>
          <w:color w:val="auto"/>
        </w:rPr>
        <w:t>narrative,</w:t>
      </w:r>
      <w:r w:rsidR="00C026A6" w:rsidRPr="00EA59C0">
        <w:rPr>
          <w:color w:val="auto"/>
        </w:rPr>
        <w:t xml:space="preserve"> </w:t>
      </w:r>
      <w:r w:rsidRPr="00EA59C0">
        <w:rPr>
          <w:color w:val="auto"/>
        </w:rPr>
        <w:t>which</w:t>
      </w:r>
      <w:r w:rsidR="00C026A6" w:rsidRPr="00EA59C0">
        <w:rPr>
          <w:color w:val="auto"/>
        </w:rPr>
        <w:t xml:space="preserve"> </w:t>
      </w:r>
      <w:r w:rsidRPr="00EA59C0">
        <w:rPr>
          <w:color w:val="auto"/>
        </w:rPr>
        <w:t>is</w:t>
      </w:r>
      <w:r w:rsidR="00C026A6" w:rsidRPr="00EA59C0">
        <w:rPr>
          <w:color w:val="auto"/>
        </w:rPr>
        <w:t xml:space="preserve"> </w:t>
      </w:r>
      <w:r w:rsidRPr="00EA59C0">
        <w:rPr>
          <w:color w:val="auto"/>
        </w:rPr>
        <w:t>separate</w:t>
      </w:r>
      <w:r w:rsidR="00C026A6" w:rsidRPr="00EA59C0">
        <w:rPr>
          <w:color w:val="auto"/>
        </w:rPr>
        <w:t xml:space="preserve"> </w:t>
      </w:r>
      <w:r w:rsidRPr="00EA59C0">
        <w:rPr>
          <w:color w:val="auto"/>
        </w:rPr>
        <w:t>from</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overall</w:t>
      </w:r>
      <w:r w:rsidR="00C026A6" w:rsidRPr="00EA59C0">
        <w:rPr>
          <w:color w:val="auto"/>
        </w:rPr>
        <w:t xml:space="preserve"> </w:t>
      </w:r>
      <w:r w:rsidRPr="00EA59C0">
        <w:rPr>
          <w:color w:val="auto"/>
        </w:rPr>
        <w:t>project</w:t>
      </w:r>
      <w:r w:rsidR="00C026A6" w:rsidRPr="00EA59C0">
        <w:rPr>
          <w:color w:val="auto"/>
        </w:rPr>
        <w:t xml:space="preserve"> </w:t>
      </w:r>
      <w:r w:rsidRPr="00EA59C0">
        <w:rPr>
          <w:color w:val="auto"/>
        </w:rPr>
        <w:t>budget</w:t>
      </w:r>
      <w:r w:rsidR="00C026A6" w:rsidRPr="00EA59C0">
        <w:rPr>
          <w:color w:val="auto"/>
        </w:rPr>
        <w:t xml:space="preserve"> </w:t>
      </w:r>
      <w:r w:rsidRPr="00EA59C0">
        <w:rPr>
          <w:color w:val="auto"/>
        </w:rPr>
        <w:t>narrative</w:t>
      </w:r>
      <w:r w:rsidR="00C026A6" w:rsidRPr="00EA59C0">
        <w:rPr>
          <w:color w:val="auto"/>
        </w:rPr>
        <w:t xml:space="preserve"> </w:t>
      </w:r>
      <w:r w:rsidRPr="00EA59C0">
        <w:rPr>
          <w:color w:val="auto"/>
        </w:rPr>
        <w:t>described</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Section</w:t>
      </w:r>
      <w:r w:rsidR="00C026A6" w:rsidRPr="00EA59C0">
        <w:rPr>
          <w:color w:val="auto"/>
        </w:rPr>
        <w:t xml:space="preserve"> </w:t>
      </w:r>
      <w:r w:rsidRPr="00EA59C0">
        <w:rPr>
          <w:color w:val="auto"/>
        </w:rPr>
        <w:t>IV.B.2.</w:t>
      </w:r>
      <w:r w:rsidR="00C026A6" w:rsidRPr="00EA59C0">
        <w:rPr>
          <w:color w:val="auto"/>
        </w:rPr>
        <w:t xml:space="preserve">  </w:t>
      </w:r>
      <w:r w:rsidRPr="00EA59C0">
        <w:rPr>
          <w:color w:val="auto"/>
        </w:rPr>
        <w:t>The</w:t>
      </w:r>
      <w:r w:rsidR="00C026A6" w:rsidRPr="00EA59C0">
        <w:rPr>
          <w:color w:val="auto"/>
        </w:rPr>
        <w:t xml:space="preserve"> </w:t>
      </w:r>
      <w:r w:rsidR="00C06A26" w:rsidRPr="00EA59C0">
        <w:rPr>
          <w:color w:val="auto"/>
        </w:rPr>
        <w:t>E</w:t>
      </w:r>
      <w:r w:rsidRPr="00EA59C0">
        <w:rPr>
          <w:color w:val="auto"/>
        </w:rPr>
        <w:t>valuation</w:t>
      </w:r>
      <w:r w:rsidR="00C026A6" w:rsidRPr="00EA59C0">
        <w:rPr>
          <w:color w:val="auto"/>
        </w:rPr>
        <w:t xml:space="preserve"> </w:t>
      </w:r>
      <w:r w:rsidR="00C06A26" w:rsidRPr="00EA59C0">
        <w:rPr>
          <w:color w:val="auto"/>
        </w:rPr>
        <w:t>B</w:t>
      </w:r>
      <w:r w:rsidRPr="00EA59C0">
        <w:rPr>
          <w:color w:val="auto"/>
        </w:rPr>
        <w:t>udget</w:t>
      </w:r>
      <w:r w:rsidR="00C026A6" w:rsidRPr="00EA59C0">
        <w:rPr>
          <w:color w:val="auto"/>
        </w:rPr>
        <w:t xml:space="preserve"> </w:t>
      </w:r>
      <w:r w:rsidR="00C06A26" w:rsidRPr="00EA59C0">
        <w:rPr>
          <w:color w:val="auto"/>
        </w:rPr>
        <w:t>N</w:t>
      </w:r>
      <w:r w:rsidRPr="00EA59C0">
        <w:rPr>
          <w:color w:val="auto"/>
        </w:rPr>
        <w:t>arrative</w:t>
      </w:r>
      <w:r w:rsidR="00C026A6" w:rsidRPr="00EA59C0">
        <w:rPr>
          <w:color w:val="auto"/>
        </w:rPr>
        <w:t xml:space="preserve"> </w:t>
      </w:r>
      <w:r w:rsidRPr="00EA59C0">
        <w:rPr>
          <w:color w:val="auto"/>
        </w:rPr>
        <w:t>should</w:t>
      </w:r>
      <w:r w:rsidR="00C026A6" w:rsidRPr="00EA59C0">
        <w:rPr>
          <w:color w:val="auto"/>
        </w:rPr>
        <w:t xml:space="preserve"> </w:t>
      </w:r>
      <w:r w:rsidRPr="00EA59C0">
        <w:rPr>
          <w:color w:val="auto"/>
        </w:rPr>
        <w:t>provide</w:t>
      </w:r>
      <w:r w:rsidR="00C026A6" w:rsidRPr="00EA59C0">
        <w:rPr>
          <w:color w:val="auto"/>
        </w:rPr>
        <w:t xml:space="preserve"> </w:t>
      </w:r>
      <w:r w:rsidRPr="00EA59C0">
        <w:rPr>
          <w:color w:val="auto"/>
        </w:rPr>
        <w:t>a</w:t>
      </w:r>
      <w:r w:rsidR="00C026A6" w:rsidRPr="00EA59C0">
        <w:rPr>
          <w:color w:val="auto"/>
        </w:rPr>
        <w:t xml:space="preserve"> </w:t>
      </w:r>
      <w:r w:rsidRPr="00EA59C0">
        <w:rPr>
          <w:color w:val="auto"/>
        </w:rPr>
        <w:t>description</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costs</w:t>
      </w:r>
      <w:r w:rsidR="00C026A6" w:rsidRPr="00EA59C0">
        <w:rPr>
          <w:color w:val="auto"/>
        </w:rPr>
        <w:t xml:space="preserve"> </w:t>
      </w:r>
      <w:r w:rsidRPr="00EA59C0">
        <w:rPr>
          <w:color w:val="auto"/>
        </w:rPr>
        <w:t>associated</w:t>
      </w:r>
      <w:r w:rsidR="00C026A6" w:rsidRPr="00EA59C0">
        <w:rPr>
          <w:color w:val="auto"/>
        </w:rPr>
        <w:t xml:space="preserve"> </w:t>
      </w:r>
      <w:r w:rsidRPr="00EA59C0">
        <w:rPr>
          <w:color w:val="auto"/>
        </w:rPr>
        <w:t>with</w:t>
      </w:r>
      <w:r w:rsidR="00C026A6" w:rsidRPr="00EA59C0">
        <w:rPr>
          <w:color w:val="auto"/>
        </w:rPr>
        <w:t xml:space="preserve"> </w:t>
      </w:r>
      <w:r w:rsidRPr="00EA59C0">
        <w:rPr>
          <w:color w:val="auto"/>
        </w:rPr>
        <w:t>funding</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proposed</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component.</w:t>
      </w:r>
      <w:r w:rsidR="00C026A6" w:rsidRPr="00EA59C0">
        <w:rPr>
          <w:color w:val="auto"/>
        </w:rPr>
        <w:t xml:space="preserve">  </w:t>
      </w:r>
      <w:r w:rsidRPr="00EA59C0">
        <w:rPr>
          <w:color w:val="auto"/>
        </w:rPr>
        <w:t>Applicants</w:t>
      </w:r>
      <w:r w:rsidR="00C026A6" w:rsidRPr="00EA59C0">
        <w:rPr>
          <w:color w:val="auto"/>
        </w:rPr>
        <w:t xml:space="preserve"> </w:t>
      </w:r>
      <w:r w:rsidRPr="00EA59C0">
        <w:rPr>
          <w:color w:val="auto"/>
        </w:rPr>
        <w:t>should</w:t>
      </w:r>
      <w:r w:rsidR="00C026A6" w:rsidRPr="00EA59C0">
        <w:rPr>
          <w:color w:val="auto"/>
        </w:rPr>
        <w:t xml:space="preserve"> </w:t>
      </w:r>
      <w:r w:rsidRPr="00EA59C0">
        <w:rPr>
          <w:color w:val="auto"/>
        </w:rPr>
        <w:t>include</w:t>
      </w:r>
      <w:r w:rsidR="00C026A6" w:rsidRPr="00EA59C0">
        <w:rPr>
          <w:color w:val="auto"/>
        </w:rPr>
        <w:t xml:space="preserve"> </w:t>
      </w:r>
      <w:r w:rsidRPr="00EA59C0">
        <w:rPr>
          <w:color w:val="auto"/>
        </w:rPr>
        <w:t>travel</w:t>
      </w:r>
      <w:r w:rsidR="00C026A6" w:rsidRPr="00EA59C0">
        <w:rPr>
          <w:color w:val="auto"/>
        </w:rPr>
        <w:t xml:space="preserve"> </w:t>
      </w:r>
      <w:r w:rsidRPr="00EA59C0">
        <w:rPr>
          <w:color w:val="auto"/>
        </w:rPr>
        <w:t>costs</w:t>
      </w:r>
      <w:r w:rsidR="00C026A6" w:rsidRPr="00EA59C0">
        <w:rPr>
          <w:color w:val="auto"/>
        </w:rPr>
        <w:t xml:space="preserve"> </w:t>
      </w:r>
      <w:r w:rsidRPr="00EA59C0">
        <w:rPr>
          <w:color w:val="auto"/>
        </w:rPr>
        <w:t>for</w:t>
      </w:r>
      <w:r w:rsidR="00C026A6" w:rsidRPr="00EA59C0">
        <w:rPr>
          <w:color w:val="auto"/>
        </w:rPr>
        <w:t xml:space="preserve"> </w:t>
      </w:r>
      <w:r w:rsidR="00C8570E" w:rsidRPr="00EA59C0">
        <w:rPr>
          <w:color w:val="auto"/>
        </w:rPr>
        <w:t>the</w:t>
      </w:r>
      <w:r w:rsidR="00C026A6" w:rsidRPr="00EA59C0">
        <w:rPr>
          <w:color w:val="auto"/>
        </w:rPr>
        <w:t xml:space="preserve"> </w:t>
      </w:r>
      <w:r w:rsidRPr="00EA59C0">
        <w:rPr>
          <w:color w:val="auto"/>
        </w:rPr>
        <w:t>third-party</w:t>
      </w:r>
      <w:r w:rsidR="00C026A6" w:rsidRPr="00EA59C0">
        <w:rPr>
          <w:color w:val="auto"/>
        </w:rPr>
        <w:t xml:space="preserve"> </w:t>
      </w:r>
      <w:r w:rsidRPr="00EA59C0">
        <w:rPr>
          <w:color w:val="auto"/>
        </w:rPr>
        <w:t>evaluator</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attend</w:t>
      </w:r>
      <w:r w:rsidR="00C026A6" w:rsidRPr="00EA59C0">
        <w:rPr>
          <w:color w:val="auto"/>
        </w:rPr>
        <w:t xml:space="preserve"> </w:t>
      </w:r>
      <w:r w:rsidRPr="00EA59C0">
        <w:rPr>
          <w:color w:val="auto"/>
        </w:rPr>
        <w:t>at</w:t>
      </w:r>
      <w:r w:rsidR="00C026A6" w:rsidRPr="00EA59C0">
        <w:rPr>
          <w:color w:val="auto"/>
        </w:rPr>
        <w:t xml:space="preserve"> </w:t>
      </w:r>
      <w:r w:rsidRPr="00EA59C0">
        <w:rPr>
          <w:color w:val="auto"/>
        </w:rPr>
        <w:t>least</w:t>
      </w:r>
      <w:r w:rsidR="00C026A6" w:rsidRPr="00EA59C0">
        <w:rPr>
          <w:color w:val="auto"/>
        </w:rPr>
        <w:t xml:space="preserve"> </w:t>
      </w:r>
      <w:r w:rsidRPr="00EA59C0">
        <w:rPr>
          <w:color w:val="auto"/>
        </w:rPr>
        <w:t>one</w:t>
      </w:r>
      <w:r w:rsidR="00C026A6" w:rsidRPr="00EA59C0">
        <w:rPr>
          <w:color w:val="auto"/>
        </w:rPr>
        <w:t xml:space="preserve"> </w:t>
      </w:r>
      <w:r w:rsidRPr="00EA59C0">
        <w:rPr>
          <w:color w:val="auto"/>
        </w:rPr>
        <w:t>in-person</w:t>
      </w:r>
      <w:r w:rsidR="00C026A6" w:rsidRPr="00EA59C0">
        <w:rPr>
          <w:color w:val="auto"/>
        </w:rPr>
        <w:t xml:space="preserve"> </w:t>
      </w:r>
      <w:r w:rsidRPr="00EA59C0">
        <w:rPr>
          <w:color w:val="auto"/>
        </w:rPr>
        <w:t>conference</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Washington,</w:t>
      </w:r>
      <w:r w:rsidR="00C026A6" w:rsidRPr="00EA59C0">
        <w:rPr>
          <w:color w:val="auto"/>
        </w:rPr>
        <w:t xml:space="preserve"> </w:t>
      </w:r>
      <w:r w:rsidRPr="00EA59C0">
        <w:rPr>
          <w:color w:val="auto"/>
        </w:rPr>
        <w:t>DC</w:t>
      </w:r>
      <w:r w:rsidR="00C026A6" w:rsidRPr="00EA59C0">
        <w:rPr>
          <w:color w:val="auto"/>
        </w:rPr>
        <w:t xml:space="preserve"> </w:t>
      </w:r>
      <w:r w:rsidRPr="00EA59C0">
        <w:rPr>
          <w:color w:val="auto"/>
        </w:rPr>
        <w:t>during</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period</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cost</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program</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not</w:t>
      </w:r>
      <w:r w:rsidR="00C026A6" w:rsidRPr="00EA59C0">
        <w:rPr>
          <w:color w:val="auto"/>
        </w:rPr>
        <w:t xml:space="preserve"> </w:t>
      </w:r>
      <w:r w:rsidRPr="00EA59C0">
        <w:rPr>
          <w:color w:val="auto"/>
        </w:rPr>
        <w:t>exceed</w:t>
      </w:r>
      <w:r w:rsidR="00C026A6" w:rsidRPr="00EA59C0">
        <w:rPr>
          <w:color w:val="auto"/>
        </w:rPr>
        <w:t xml:space="preserve"> </w:t>
      </w:r>
      <w:r w:rsidRPr="00EA59C0">
        <w:rPr>
          <w:color w:val="auto"/>
        </w:rPr>
        <w:t>ten</w:t>
      </w:r>
      <w:r w:rsidR="00C026A6" w:rsidRPr="00EA59C0">
        <w:rPr>
          <w:color w:val="auto"/>
        </w:rPr>
        <w:t xml:space="preserve"> </w:t>
      </w:r>
      <w:r w:rsidRPr="00EA59C0">
        <w:rPr>
          <w:color w:val="auto"/>
        </w:rPr>
        <w:t>percent</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total</w:t>
      </w:r>
      <w:r w:rsidR="00C026A6" w:rsidRPr="00EA59C0">
        <w:rPr>
          <w:color w:val="auto"/>
        </w:rPr>
        <w:t xml:space="preserve"> </w:t>
      </w:r>
      <w:r w:rsidRPr="00EA59C0">
        <w:rPr>
          <w:color w:val="auto"/>
        </w:rPr>
        <w:t>proposed</w:t>
      </w:r>
      <w:r w:rsidR="00C026A6" w:rsidRPr="00EA59C0">
        <w:rPr>
          <w:color w:val="auto"/>
        </w:rPr>
        <w:t xml:space="preserve"> </w:t>
      </w:r>
      <w:r w:rsidRPr="00EA59C0">
        <w:rPr>
          <w:color w:val="auto"/>
        </w:rPr>
        <w:t>budget</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grant.</w:t>
      </w:r>
      <w:r w:rsidR="00C026A6" w:rsidRPr="00EA59C0">
        <w:rPr>
          <w:color w:val="auto"/>
        </w:rPr>
        <w:t xml:space="preserve"> </w:t>
      </w:r>
    </w:p>
    <w:p w:rsidR="00A93F2C" w:rsidRPr="00EA59C0" w:rsidRDefault="00A93F2C" w:rsidP="00080097">
      <w:pPr>
        <w:pStyle w:val="Default"/>
        <w:ind w:left="1080"/>
        <w:rPr>
          <w:color w:val="auto"/>
        </w:rPr>
      </w:pPr>
    </w:p>
    <w:p w:rsidR="00532A29" w:rsidRPr="00EA59C0" w:rsidRDefault="00532A29" w:rsidP="00080097">
      <w:pPr>
        <w:pStyle w:val="Default"/>
        <w:ind w:left="1080"/>
        <w:rPr>
          <w:color w:val="auto"/>
        </w:rPr>
      </w:pPr>
      <w:r w:rsidRPr="00EA59C0">
        <w:rPr>
          <w:color w:val="auto"/>
        </w:rPr>
        <w:t>All</w:t>
      </w:r>
      <w:r w:rsidR="00C026A6" w:rsidRPr="00EA59C0">
        <w:rPr>
          <w:color w:val="auto"/>
        </w:rPr>
        <w:t xml:space="preserve"> </w:t>
      </w:r>
      <w:r w:rsidRPr="00EA59C0">
        <w:rPr>
          <w:color w:val="auto"/>
        </w:rPr>
        <w:t>costs</w:t>
      </w:r>
      <w:r w:rsidR="00C026A6" w:rsidRPr="00EA59C0">
        <w:rPr>
          <w:color w:val="auto"/>
        </w:rPr>
        <w:t xml:space="preserve"> </w:t>
      </w:r>
      <w:r w:rsidRPr="00EA59C0">
        <w:rPr>
          <w:color w:val="auto"/>
        </w:rPr>
        <w:t>included</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this</w:t>
      </w:r>
      <w:r w:rsidR="00C026A6" w:rsidRPr="00EA59C0">
        <w:rPr>
          <w:color w:val="auto"/>
        </w:rPr>
        <w:t xml:space="preserve"> </w:t>
      </w:r>
      <w:r w:rsidRPr="00EA59C0">
        <w:rPr>
          <w:color w:val="auto"/>
        </w:rPr>
        <w:t>supplementary</w:t>
      </w:r>
      <w:r w:rsidR="00C026A6" w:rsidRPr="00EA59C0">
        <w:rPr>
          <w:color w:val="auto"/>
        </w:rPr>
        <w:t xml:space="preserve"> </w:t>
      </w:r>
      <w:r w:rsidRPr="00EA59C0">
        <w:rPr>
          <w:color w:val="auto"/>
        </w:rPr>
        <w:t>budget</w:t>
      </w:r>
      <w:r w:rsidR="00C026A6" w:rsidRPr="00EA59C0">
        <w:rPr>
          <w:color w:val="auto"/>
        </w:rPr>
        <w:t xml:space="preserve"> </w:t>
      </w:r>
      <w:r w:rsidRPr="00EA59C0">
        <w:rPr>
          <w:color w:val="auto"/>
        </w:rPr>
        <w:t>narrative</w:t>
      </w:r>
      <w:r w:rsidR="00C026A6" w:rsidRPr="00EA59C0">
        <w:rPr>
          <w:color w:val="auto"/>
        </w:rPr>
        <w:t xml:space="preserve"> </w:t>
      </w:r>
      <w:r w:rsidRPr="00EA59C0">
        <w:rPr>
          <w:color w:val="auto"/>
        </w:rPr>
        <w:t>should</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reasonable</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appropriate</w:t>
      </w:r>
      <w:r w:rsidR="00C026A6" w:rsidRPr="00EA59C0">
        <w:rPr>
          <w:color w:val="auto"/>
        </w:rPr>
        <w:t xml:space="preserve"> </w:t>
      </w:r>
      <w:r w:rsidRPr="00EA59C0">
        <w:rPr>
          <w:color w:val="auto"/>
        </w:rPr>
        <w:t>to</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project</w:t>
      </w:r>
      <w:r w:rsidR="00C026A6" w:rsidRPr="00EA59C0">
        <w:rPr>
          <w:color w:val="auto"/>
        </w:rPr>
        <w:t xml:space="preserve"> </w:t>
      </w:r>
      <w:r w:rsidRPr="00EA59C0">
        <w:rPr>
          <w:color w:val="auto"/>
        </w:rPr>
        <w:t>timeline</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deliverables</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must</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included</w:t>
      </w:r>
      <w:r w:rsidR="00C026A6" w:rsidRPr="00EA59C0">
        <w:rPr>
          <w:color w:val="auto"/>
        </w:rPr>
        <w:t xml:space="preserve"> </w:t>
      </w:r>
      <w:r w:rsidRPr="00EA59C0">
        <w:rPr>
          <w:color w:val="auto"/>
        </w:rPr>
        <w:t>together</w:t>
      </w:r>
      <w:r w:rsidR="00C026A6" w:rsidRPr="00EA59C0">
        <w:rPr>
          <w:color w:val="auto"/>
        </w:rPr>
        <w:t xml:space="preserve"> </w:t>
      </w:r>
      <w:r w:rsidRPr="00EA59C0">
        <w:rPr>
          <w:color w:val="auto"/>
        </w:rPr>
        <w:t>with</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other</w:t>
      </w:r>
      <w:r w:rsidR="00C026A6" w:rsidRPr="00EA59C0">
        <w:rPr>
          <w:color w:val="auto"/>
        </w:rPr>
        <w:t xml:space="preserve"> </w:t>
      </w:r>
      <w:r w:rsidRPr="00EA59C0">
        <w:rPr>
          <w:color w:val="auto"/>
        </w:rPr>
        <w:t>grant</w:t>
      </w:r>
      <w:r w:rsidR="00C026A6" w:rsidRPr="00EA59C0">
        <w:rPr>
          <w:color w:val="auto"/>
        </w:rPr>
        <w:t xml:space="preserve"> </w:t>
      </w:r>
      <w:r w:rsidRPr="00EA59C0">
        <w:rPr>
          <w:color w:val="auto"/>
        </w:rPr>
        <w:t>activities</w:t>
      </w:r>
      <w:r w:rsidR="00C026A6" w:rsidRPr="00EA59C0">
        <w:rPr>
          <w:color w:val="auto"/>
        </w:rPr>
        <w:t xml:space="preserve"> </w:t>
      </w:r>
      <w:r w:rsidRPr="00EA59C0">
        <w:rPr>
          <w:color w:val="auto"/>
        </w:rPr>
        <w:t>on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appropriate</w:t>
      </w:r>
      <w:r w:rsidR="00C026A6" w:rsidRPr="00EA59C0">
        <w:rPr>
          <w:color w:val="auto"/>
        </w:rPr>
        <w:t xml:space="preserve"> </w:t>
      </w:r>
      <w:r w:rsidRPr="00EA59C0">
        <w:rPr>
          <w:color w:val="auto"/>
        </w:rPr>
        <w:t>lines</w:t>
      </w:r>
      <w:r w:rsidR="00C026A6" w:rsidRPr="00EA59C0">
        <w:rPr>
          <w:color w:val="auto"/>
        </w:rPr>
        <w:t xml:space="preserve"> </w:t>
      </w:r>
      <w:r w:rsidRPr="00EA59C0">
        <w:rPr>
          <w:color w:val="auto"/>
        </w:rPr>
        <w:t>of</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SF-424</w:t>
      </w:r>
      <w:r w:rsidR="00C026A6" w:rsidRPr="00EA59C0">
        <w:rPr>
          <w:color w:val="auto"/>
        </w:rPr>
        <w:t xml:space="preserve"> </w:t>
      </w:r>
      <w:r w:rsidRPr="00EA59C0">
        <w:rPr>
          <w:color w:val="auto"/>
        </w:rPr>
        <w:t>and</w:t>
      </w:r>
      <w:r w:rsidR="00C026A6" w:rsidRPr="00EA59C0">
        <w:rPr>
          <w:color w:val="auto"/>
        </w:rPr>
        <w:t xml:space="preserve"> </w:t>
      </w:r>
      <w:r w:rsidRPr="00EA59C0">
        <w:rPr>
          <w:color w:val="auto"/>
        </w:rPr>
        <w:t>SF-424A</w:t>
      </w:r>
      <w:r w:rsidR="00C026A6" w:rsidRPr="00EA59C0">
        <w:rPr>
          <w:color w:val="auto"/>
        </w:rPr>
        <w:t xml:space="preserve"> </w:t>
      </w:r>
      <w:r w:rsidRPr="00EA59C0">
        <w:rPr>
          <w:color w:val="auto"/>
        </w:rPr>
        <w:t>forms.</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consortium</w:t>
      </w:r>
      <w:r w:rsidR="00C026A6" w:rsidRPr="00EA59C0">
        <w:rPr>
          <w:color w:val="auto"/>
        </w:rPr>
        <w:t xml:space="preserve"> </w:t>
      </w:r>
      <w:r w:rsidRPr="00EA59C0">
        <w:rPr>
          <w:color w:val="auto"/>
        </w:rPr>
        <w:t>applicants,</w:t>
      </w:r>
      <w:r w:rsidR="00C026A6" w:rsidRPr="00EA59C0">
        <w:rPr>
          <w:color w:val="auto"/>
        </w:rPr>
        <w:t xml:space="preserve"> </w:t>
      </w:r>
      <w:r w:rsidRPr="00EA59C0">
        <w:rPr>
          <w:color w:val="auto"/>
        </w:rPr>
        <w:t>all</w:t>
      </w:r>
      <w:r w:rsidR="00C026A6" w:rsidRPr="00EA59C0">
        <w:rPr>
          <w:color w:val="auto"/>
        </w:rPr>
        <w:t xml:space="preserve"> </w:t>
      </w:r>
      <w:r w:rsidRPr="00EA59C0">
        <w:rPr>
          <w:color w:val="auto"/>
        </w:rPr>
        <w:t>associated</w:t>
      </w:r>
      <w:r w:rsidR="00C026A6" w:rsidRPr="00EA59C0">
        <w:rPr>
          <w:color w:val="auto"/>
        </w:rPr>
        <w:t xml:space="preserve"> </w:t>
      </w:r>
      <w:r w:rsidRPr="00EA59C0">
        <w:rPr>
          <w:color w:val="auto"/>
        </w:rPr>
        <w:t>evaluation</w:t>
      </w:r>
      <w:r w:rsidR="00C026A6" w:rsidRPr="00EA59C0">
        <w:rPr>
          <w:color w:val="auto"/>
        </w:rPr>
        <w:t xml:space="preserve"> </w:t>
      </w:r>
      <w:r w:rsidRPr="00EA59C0">
        <w:rPr>
          <w:color w:val="auto"/>
        </w:rPr>
        <w:t>costs</w:t>
      </w:r>
      <w:r w:rsidR="00C026A6" w:rsidRPr="00EA59C0">
        <w:rPr>
          <w:color w:val="auto"/>
        </w:rPr>
        <w:t xml:space="preserve"> </w:t>
      </w:r>
      <w:r w:rsidRPr="00EA59C0">
        <w:rPr>
          <w:color w:val="auto"/>
        </w:rPr>
        <w:t>should</w:t>
      </w:r>
      <w:r w:rsidR="00C026A6" w:rsidRPr="00EA59C0">
        <w:rPr>
          <w:color w:val="auto"/>
        </w:rPr>
        <w:t xml:space="preserve"> </w:t>
      </w:r>
      <w:r w:rsidRPr="00EA59C0">
        <w:rPr>
          <w:color w:val="auto"/>
        </w:rPr>
        <w:t>be</w:t>
      </w:r>
      <w:r w:rsidR="00C026A6" w:rsidRPr="00EA59C0">
        <w:rPr>
          <w:color w:val="auto"/>
        </w:rPr>
        <w:t xml:space="preserve"> </w:t>
      </w:r>
      <w:r w:rsidRPr="00EA59C0">
        <w:rPr>
          <w:color w:val="auto"/>
        </w:rPr>
        <w:t>reflected</w:t>
      </w:r>
      <w:r w:rsidR="00C026A6" w:rsidRPr="00EA59C0">
        <w:rPr>
          <w:color w:val="auto"/>
        </w:rPr>
        <w:t xml:space="preserve"> </w:t>
      </w:r>
      <w:r w:rsidRPr="00EA59C0">
        <w:rPr>
          <w:color w:val="auto"/>
        </w:rPr>
        <w:t>in</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budget</w:t>
      </w:r>
      <w:r w:rsidR="00C026A6" w:rsidRPr="00EA59C0">
        <w:rPr>
          <w:color w:val="auto"/>
        </w:rPr>
        <w:t xml:space="preserve"> </w:t>
      </w:r>
      <w:r w:rsidRPr="00EA59C0">
        <w:rPr>
          <w:color w:val="auto"/>
        </w:rPr>
        <w:t>for</w:t>
      </w:r>
      <w:r w:rsidR="00C026A6" w:rsidRPr="00EA59C0">
        <w:rPr>
          <w:color w:val="auto"/>
        </w:rPr>
        <w:t xml:space="preserve"> </w:t>
      </w:r>
      <w:r w:rsidRPr="00EA59C0">
        <w:rPr>
          <w:color w:val="auto"/>
        </w:rPr>
        <w:t>the</w:t>
      </w:r>
      <w:r w:rsidR="00C026A6" w:rsidRPr="00EA59C0">
        <w:rPr>
          <w:color w:val="auto"/>
        </w:rPr>
        <w:t xml:space="preserve"> </w:t>
      </w:r>
      <w:r w:rsidRPr="00EA59C0">
        <w:rPr>
          <w:color w:val="auto"/>
        </w:rPr>
        <w:t>Lead</w:t>
      </w:r>
      <w:r w:rsidR="00C026A6" w:rsidRPr="00EA59C0">
        <w:rPr>
          <w:color w:val="auto"/>
        </w:rPr>
        <w:t xml:space="preserve"> </w:t>
      </w:r>
      <w:r w:rsidRPr="00EA59C0">
        <w:rPr>
          <w:color w:val="auto"/>
        </w:rPr>
        <w:t>Institution.</w:t>
      </w:r>
      <w:r w:rsidR="00C026A6" w:rsidRPr="00EA59C0">
        <w:rPr>
          <w:color w:val="auto"/>
        </w:rPr>
        <w:t xml:space="preserve">  </w:t>
      </w:r>
    </w:p>
    <w:p w:rsidR="003D62DE" w:rsidRPr="00EA59C0" w:rsidRDefault="003D62DE" w:rsidP="00FA0E98">
      <w:pPr>
        <w:pStyle w:val="Default"/>
        <w:ind w:left="360"/>
        <w:rPr>
          <w:color w:val="auto"/>
        </w:rPr>
      </w:pPr>
    </w:p>
    <w:p w:rsidR="00532A29" w:rsidRPr="00EA59C0" w:rsidRDefault="00532A29" w:rsidP="00FA0E98"/>
    <w:p w:rsidR="007470AB" w:rsidRPr="00EA59C0" w:rsidRDefault="00C026A6" w:rsidP="004C3998">
      <w:pPr>
        <w:pStyle w:val="Heading1"/>
        <w:numPr>
          <w:ilvl w:val="0"/>
          <w:numId w:val="17"/>
        </w:numPr>
        <w:rPr>
          <w:rFonts w:ascii="Times New Roman" w:hAnsi="Times New Roman"/>
        </w:rPr>
      </w:pPr>
      <w:bookmarkStart w:id="48" w:name="_Toc207778236"/>
      <w:bookmarkStart w:id="49" w:name="_Toc208654636"/>
      <w:bookmarkStart w:id="50" w:name="_Toc228885526"/>
      <w:bookmarkStart w:id="51" w:name="_Toc229889185"/>
      <w:r w:rsidRPr="00EA59C0">
        <w:rPr>
          <w:rFonts w:ascii="Times New Roman" w:hAnsi="Times New Roman"/>
        </w:rPr>
        <w:t xml:space="preserve"> </w:t>
      </w:r>
      <w:r w:rsidR="007470AB" w:rsidRPr="00EA59C0">
        <w:rPr>
          <w:rFonts w:ascii="Times New Roman" w:hAnsi="Times New Roman"/>
        </w:rPr>
        <w:t>Award</w:t>
      </w:r>
      <w:r w:rsidRPr="00EA59C0">
        <w:rPr>
          <w:rFonts w:ascii="Times New Roman" w:hAnsi="Times New Roman"/>
        </w:rPr>
        <w:t xml:space="preserve"> </w:t>
      </w:r>
      <w:r w:rsidR="007470AB" w:rsidRPr="00EA59C0">
        <w:rPr>
          <w:rFonts w:ascii="Times New Roman" w:hAnsi="Times New Roman"/>
        </w:rPr>
        <w:t>Administration</w:t>
      </w:r>
      <w:r w:rsidRPr="00EA59C0">
        <w:rPr>
          <w:rFonts w:ascii="Times New Roman" w:hAnsi="Times New Roman"/>
        </w:rPr>
        <w:t xml:space="preserve"> </w:t>
      </w:r>
      <w:r w:rsidR="007470AB" w:rsidRPr="00EA59C0">
        <w:rPr>
          <w:rFonts w:ascii="Times New Roman" w:hAnsi="Times New Roman"/>
        </w:rPr>
        <w:t>Information</w:t>
      </w:r>
      <w:bookmarkEnd w:id="48"/>
      <w:bookmarkEnd w:id="49"/>
      <w:bookmarkEnd w:id="50"/>
      <w:bookmarkEnd w:id="51"/>
    </w:p>
    <w:p w:rsidR="007470AB" w:rsidRPr="00EA59C0" w:rsidRDefault="007470AB" w:rsidP="004C3998">
      <w:pPr>
        <w:pStyle w:val="Heading2"/>
        <w:numPr>
          <w:ilvl w:val="1"/>
          <w:numId w:val="17"/>
        </w:numPr>
        <w:rPr>
          <w:rFonts w:ascii="Times New Roman" w:hAnsi="Times New Roman"/>
          <w:b w:val="0"/>
          <w:i w:val="0"/>
        </w:rPr>
      </w:pPr>
      <w:bookmarkStart w:id="52" w:name="_Toc207778237"/>
      <w:bookmarkStart w:id="53" w:name="_Toc208654637"/>
      <w:bookmarkStart w:id="54" w:name="_Toc228885527"/>
      <w:bookmarkStart w:id="55" w:name="_Toc229889186"/>
      <w:r w:rsidRPr="00EA59C0">
        <w:rPr>
          <w:rFonts w:ascii="Times New Roman" w:hAnsi="Times New Roman"/>
          <w:b w:val="0"/>
          <w:i w:val="0"/>
        </w:rPr>
        <w:t>Award</w:t>
      </w:r>
      <w:r w:rsidR="00C026A6" w:rsidRPr="00EA59C0">
        <w:rPr>
          <w:rFonts w:ascii="Times New Roman" w:hAnsi="Times New Roman"/>
          <w:b w:val="0"/>
          <w:i w:val="0"/>
        </w:rPr>
        <w:t xml:space="preserve"> </w:t>
      </w:r>
      <w:r w:rsidRPr="00EA59C0">
        <w:rPr>
          <w:rFonts w:ascii="Times New Roman" w:hAnsi="Times New Roman"/>
          <w:b w:val="0"/>
          <w:i w:val="0"/>
        </w:rPr>
        <w:t>Notices</w:t>
      </w:r>
      <w:bookmarkEnd w:id="52"/>
      <w:bookmarkEnd w:id="53"/>
      <w:bookmarkEnd w:id="54"/>
      <w:bookmarkEnd w:id="55"/>
    </w:p>
    <w:p w:rsidR="00144DF0" w:rsidRPr="00EA59C0" w:rsidRDefault="007470AB" w:rsidP="00FA0E98">
      <w:pPr>
        <w:widowControl w:val="0"/>
        <w:ind w:left="720"/>
      </w:pPr>
      <w:r w:rsidRPr="00EA59C0">
        <w:t>All</w:t>
      </w:r>
      <w:r w:rsidR="00C026A6" w:rsidRPr="00EA59C0">
        <w:t xml:space="preserve"> </w:t>
      </w:r>
      <w:r w:rsidRPr="00EA59C0">
        <w:t>award</w:t>
      </w:r>
      <w:r w:rsidR="00C026A6" w:rsidRPr="00EA59C0">
        <w:t xml:space="preserve"> </w:t>
      </w:r>
      <w:r w:rsidRPr="00EA59C0">
        <w:t>notifications</w:t>
      </w:r>
      <w:r w:rsidR="00C026A6" w:rsidRPr="00EA59C0">
        <w:t xml:space="preserve"> </w:t>
      </w:r>
      <w:r w:rsidRPr="00EA59C0">
        <w:t>will</w:t>
      </w:r>
      <w:r w:rsidR="00C026A6" w:rsidRPr="00EA59C0">
        <w:t xml:space="preserve"> </w:t>
      </w:r>
      <w:r w:rsidRPr="00EA59C0">
        <w:t>be</w:t>
      </w:r>
      <w:r w:rsidR="00C026A6" w:rsidRPr="00EA59C0">
        <w:t xml:space="preserve"> </w:t>
      </w:r>
      <w:r w:rsidRPr="00EA59C0">
        <w:t>posted</w:t>
      </w:r>
      <w:r w:rsidR="00C026A6" w:rsidRPr="00EA59C0">
        <w:t xml:space="preserve"> </w:t>
      </w:r>
      <w:r w:rsidRPr="00EA59C0">
        <w:t>on</w:t>
      </w:r>
      <w:r w:rsidR="00C026A6" w:rsidRPr="00EA59C0">
        <w:t xml:space="preserve"> </w:t>
      </w:r>
      <w:r w:rsidRPr="00EA59C0">
        <w:t>the</w:t>
      </w:r>
      <w:r w:rsidR="00C026A6" w:rsidRPr="00EA59C0">
        <w:t xml:space="preserve"> </w:t>
      </w:r>
      <w:r w:rsidRPr="00EA59C0">
        <w:t>ETA</w:t>
      </w:r>
      <w:r w:rsidR="00C026A6" w:rsidRPr="00EA59C0">
        <w:t xml:space="preserve"> </w:t>
      </w:r>
      <w:r w:rsidRPr="00EA59C0">
        <w:t>Homepage</w:t>
      </w:r>
      <w:r w:rsidR="00C026A6" w:rsidRPr="00EA59C0">
        <w:t xml:space="preserve"> </w:t>
      </w:r>
      <w:r w:rsidRPr="00EA59C0">
        <w:t>(</w:t>
      </w:r>
      <w:hyperlink r:id="rId275" w:history="1">
        <w:r w:rsidRPr="00EA59C0">
          <w:rPr>
            <w:rStyle w:val="Hyperlink"/>
            <w:color w:val="auto"/>
          </w:rPr>
          <w:t>http://www.doleta.gov</w:t>
        </w:r>
      </w:hyperlink>
      <w:r w:rsidRPr="00EA59C0">
        <w:t>).</w:t>
      </w:r>
      <w:r w:rsidR="00C026A6" w:rsidRPr="00EA59C0">
        <w:t xml:space="preserve">  </w:t>
      </w:r>
      <w:r w:rsidRPr="00EA59C0">
        <w:t>Applicants</w:t>
      </w:r>
      <w:r w:rsidR="00C026A6" w:rsidRPr="00EA59C0">
        <w:t xml:space="preserve"> </w:t>
      </w:r>
      <w:r w:rsidRPr="00EA59C0">
        <w:t>selected</w:t>
      </w:r>
      <w:r w:rsidR="00C026A6" w:rsidRPr="00EA59C0">
        <w:t xml:space="preserve"> </w:t>
      </w:r>
      <w:r w:rsidRPr="00EA59C0">
        <w:t>for</w:t>
      </w:r>
      <w:r w:rsidR="00C026A6" w:rsidRPr="00EA59C0">
        <w:t xml:space="preserve"> </w:t>
      </w:r>
      <w:r w:rsidRPr="00EA59C0">
        <w:t>award</w:t>
      </w:r>
      <w:r w:rsidR="00C026A6" w:rsidRPr="00EA59C0">
        <w:t xml:space="preserve"> </w:t>
      </w:r>
      <w:r w:rsidRPr="00EA59C0">
        <w:t>will</w:t>
      </w:r>
      <w:r w:rsidR="00C026A6" w:rsidRPr="00EA59C0">
        <w:t xml:space="preserve"> </w:t>
      </w:r>
      <w:r w:rsidRPr="00EA59C0">
        <w:t>be</w:t>
      </w:r>
      <w:r w:rsidR="00C026A6" w:rsidRPr="00EA59C0">
        <w:t xml:space="preserve"> </w:t>
      </w:r>
      <w:r w:rsidRPr="00EA59C0">
        <w:t>contacted</w:t>
      </w:r>
      <w:r w:rsidR="00C026A6" w:rsidRPr="00EA59C0">
        <w:t xml:space="preserve"> </w:t>
      </w:r>
      <w:r w:rsidRPr="00EA59C0">
        <w:t>directly</w:t>
      </w:r>
      <w:r w:rsidR="00C026A6" w:rsidRPr="00EA59C0">
        <w:t xml:space="preserve"> </w:t>
      </w:r>
      <w:r w:rsidRPr="00EA59C0">
        <w:t>before</w:t>
      </w:r>
      <w:r w:rsidR="00C026A6" w:rsidRPr="00EA59C0">
        <w:t xml:space="preserve"> </w:t>
      </w:r>
      <w:r w:rsidRPr="00EA59C0">
        <w:t>the</w:t>
      </w:r>
      <w:r w:rsidR="00C026A6" w:rsidRPr="00EA59C0">
        <w:t xml:space="preserve"> </w:t>
      </w:r>
      <w:r w:rsidRPr="00EA59C0">
        <w:t>grant’s</w:t>
      </w:r>
      <w:r w:rsidR="00C026A6" w:rsidRPr="00EA59C0">
        <w:t xml:space="preserve"> </w:t>
      </w:r>
      <w:r w:rsidRPr="00EA59C0">
        <w:t>execution.</w:t>
      </w:r>
      <w:r w:rsidR="00C026A6" w:rsidRPr="00EA59C0">
        <w:t xml:space="preserve">   </w:t>
      </w:r>
      <w:r w:rsidRPr="00EA59C0">
        <w:t>Non-selected</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be</w:t>
      </w:r>
      <w:r w:rsidR="00C026A6" w:rsidRPr="00EA59C0">
        <w:t xml:space="preserve"> </w:t>
      </w:r>
      <w:r w:rsidRPr="00EA59C0">
        <w:t>notified</w:t>
      </w:r>
      <w:r w:rsidR="00C026A6" w:rsidRPr="00EA59C0">
        <w:t xml:space="preserve"> </w:t>
      </w:r>
      <w:r w:rsidRPr="00EA59C0">
        <w:t>by</w:t>
      </w:r>
      <w:r w:rsidR="00C026A6" w:rsidRPr="00EA59C0">
        <w:t xml:space="preserve"> </w:t>
      </w:r>
      <w:r w:rsidRPr="00EA59C0">
        <w:t>mail</w:t>
      </w:r>
      <w:r w:rsidR="00C026A6" w:rsidRPr="00EA59C0">
        <w:t xml:space="preserve"> </w:t>
      </w:r>
      <w:r w:rsidRPr="00EA59C0">
        <w:t>or</w:t>
      </w:r>
      <w:r w:rsidR="00C026A6" w:rsidRPr="00EA59C0">
        <w:t xml:space="preserve"> </w:t>
      </w:r>
      <w:r w:rsidRPr="00EA59C0">
        <w:t>email</w:t>
      </w:r>
      <w:r w:rsidR="00C026A6" w:rsidRPr="00EA59C0">
        <w:t xml:space="preserve"> </w:t>
      </w:r>
      <w:r w:rsidRPr="00EA59C0">
        <w:t>and</w:t>
      </w:r>
      <w:r w:rsidR="00C026A6" w:rsidRPr="00EA59C0">
        <w:t xml:space="preserve"> </w:t>
      </w:r>
      <w:r w:rsidRPr="00EA59C0">
        <w:t>may</w:t>
      </w:r>
      <w:r w:rsidR="00C026A6" w:rsidRPr="00EA59C0">
        <w:t xml:space="preserve"> </w:t>
      </w:r>
      <w:r w:rsidRPr="00EA59C0">
        <w:t>request</w:t>
      </w:r>
      <w:r w:rsidR="00C026A6" w:rsidRPr="00EA59C0">
        <w:t xml:space="preserve"> </w:t>
      </w:r>
      <w:r w:rsidRPr="00EA59C0">
        <w:t>a</w:t>
      </w:r>
      <w:r w:rsidR="00C026A6" w:rsidRPr="00EA59C0">
        <w:t xml:space="preserve"> </w:t>
      </w:r>
      <w:r w:rsidRPr="00EA59C0">
        <w:t>written</w:t>
      </w:r>
      <w:r w:rsidR="00C026A6" w:rsidRPr="00EA59C0">
        <w:t xml:space="preserve"> </w:t>
      </w:r>
      <w:r w:rsidRPr="00EA59C0">
        <w:t>debriefing</w:t>
      </w:r>
      <w:r w:rsidR="00C026A6" w:rsidRPr="00EA59C0">
        <w:t xml:space="preserve"> </w:t>
      </w:r>
      <w:r w:rsidRPr="00EA59C0">
        <w:t>on</w:t>
      </w:r>
      <w:r w:rsidR="00C026A6" w:rsidRPr="00EA59C0">
        <w:t xml:space="preserve"> </w:t>
      </w:r>
      <w:r w:rsidRPr="00EA59C0">
        <w:t>the</w:t>
      </w:r>
      <w:r w:rsidR="00C026A6" w:rsidRPr="00EA59C0">
        <w:t xml:space="preserve"> </w:t>
      </w:r>
      <w:r w:rsidRPr="00EA59C0">
        <w:t>significant</w:t>
      </w:r>
      <w:r w:rsidR="00C026A6" w:rsidRPr="00EA59C0">
        <w:t xml:space="preserve"> </w:t>
      </w:r>
      <w:r w:rsidRPr="00EA59C0">
        <w:t>weaknesses</w:t>
      </w:r>
      <w:r w:rsidR="00C026A6" w:rsidRPr="00EA59C0">
        <w:t xml:space="preserve"> </w:t>
      </w:r>
      <w:r w:rsidRPr="00EA59C0">
        <w:t>of</w:t>
      </w:r>
      <w:r w:rsidR="00C026A6" w:rsidRPr="00EA59C0">
        <w:t xml:space="preserve"> </w:t>
      </w:r>
      <w:r w:rsidRPr="00EA59C0">
        <w:t>their</w:t>
      </w:r>
      <w:r w:rsidR="00C026A6" w:rsidRPr="00EA59C0">
        <w:t xml:space="preserve"> </w:t>
      </w:r>
      <w:r w:rsidRPr="00EA59C0">
        <w:t>proposal.</w:t>
      </w:r>
    </w:p>
    <w:p w:rsidR="00144DF0" w:rsidRPr="00EA59C0" w:rsidRDefault="00144DF0" w:rsidP="00FA0E98">
      <w:pPr>
        <w:widowControl w:val="0"/>
        <w:ind w:left="720"/>
      </w:pPr>
    </w:p>
    <w:p w:rsidR="00144DF0" w:rsidRPr="00EA59C0" w:rsidRDefault="007470AB" w:rsidP="00FA0E98">
      <w:pPr>
        <w:widowControl w:val="0"/>
        <w:ind w:left="720"/>
      </w:pPr>
      <w:r w:rsidRPr="00EA59C0">
        <w:t>Selection</w:t>
      </w:r>
      <w:r w:rsidR="00C026A6" w:rsidRPr="00EA59C0">
        <w:t xml:space="preserve"> </w:t>
      </w:r>
      <w:r w:rsidRPr="00EA59C0">
        <w:t>of</w:t>
      </w:r>
      <w:r w:rsidR="00C026A6" w:rsidRPr="00EA59C0">
        <w:t xml:space="preserve"> </w:t>
      </w:r>
      <w:r w:rsidRPr="00EA59C0">
        <w:t>an</w:t>
      </w:r>
      <w:r w:rsidR="00C026A6" w:rsidRPr="00EA59C0">
        <w:t xml:space="preserve"> </w:t>
      </w:r>
      <w:r w:rsidRPr="00EA59C0">
        <w:t>organization</w:t>
      </w:r>
      <w:r w:rsidR="00C026A6" w:rsidRPr="00EA59C0">
        <w:t xml:space="preserve"> </w:t>
      </w:r>
      <w:r w:rsidRPr="00EA59C0">
        <w:t>as</w:t>
      </w:r>
      <w:r w:rsidR="00C026A6" w:rsidRPr="00EA59C0">
        <w:t xml:space="preserve"> </w:t>
      </w:r>
      <w:r w:rsidRPr="00EA59C0">
        <w:t>a</w:t>
      </w:r>
      <w:r w:rsidR="00C026A6" w:rsidRPr="00EA59C0">
        <w:t xml:space="preserve"> </w:t>
      </w:r>
      <w:r w:rsidRPr="00EA59C0">
        <w:t>grantee</w:t>
      </w:r>
      <w:r w:rsidR="00C026A6" w:rsidRPr="00EA59C0">
        <w:t xml:space="preserve"> </w:t>
      </w:r>
      <w:r w:rsidRPr="00EA59C0">
        <w:t>does</w:t>
      </w:r>
      <w:r w:rsidR="00C026A6" w:rsidRPr="00EA59C0">
        <w:t xml:space="preserve"> </w:t>
      </w:r>
      <w:r w:rsidRPr="00EA59C0">
        <w:t>not</w:t>
      </w:r>
      <w:r w:rsidR="00C026A6" w:rsidRPr="00EA59C0">
        <w:t xml:space="preserve"> </w:t>
      </w:r>
      <w:r w:rsidRPr="00EA59C0">
        <w:t>constitute</w:t>
      </w:r>
      <w:r w:rsidR="00C026A6" w:rsidRPr="00EA59C0">
        <w:t xml:space="preserve"> </w:t>
      </w:r>
      <w:r w:rsidRPr="00EA59C0">
        <w:t>approval</w:t>
      </w:r>
      <w:r w:rsidR="00C026A6" w:rsidRPr="00EA59C0">
        <w:t xml:space="preserve"> </w:t>
      </w:r>
      <w:r w:rsidRPr="00EA59C0">
        <w:t>of</w:t>
      </w:r>
      <w:r w:rsidR="00C026A6" w:rsidRPr="00EA59C0">
        <w:t xml:space="preserve"> </w:t>
      </w:r>
      <w:r w:rsidRPr="00EA59C0">
        <w:t>the</w:t>
      </w:r>
      <w:r w:rsidR="00C026A6" w:rsidRPr="00EA59C0">
        <w:t xml:space="preserve"> </w:t>
      </w:r>
      <w:r w:rsidRPr="00EA59C0">
        <w:t>grant</w:t>
      </w:r>
      <w:r w:rsidR="00C026A6" w:rsidRPr="00EA59C0">
        <w:t xml:space="preserve"> </w:t>
      </w:r>
      <w:r w:rsidRPr="00EA59C0">
        <w:t>application</w:t>
      </w:r>
      <w:r w:rsidR="00C026A6" w:rsidRPr="00EA59C0">
        <w:t xml:space="preserve"> </w:t>
      </w:r>
      <w:r w:rsidRPr="00EA59C0">
        <w:t>as</w:t>
      </w:r>
      <w:r w:rsidR="00C026A6" w:rsidRPr="00EA59C0">
        <w:t xml:space="preserve"> </w:t>
      </w:r>
      <w:r w:rsidRPr="00EA59C0">
        <w:t>submitted.</w:t>
      </w:r>
      <w:r w:rsidR="00C026A6" w:rsidRPr="00EA59C0">
        <w:t xml:space="preserve">  </w:t>
      </w:r>
      <w:r w:rsidRPr="00EA59C0">
        <w:t>Before</w:t>
      </w:r>
      <w:r w:rsidR="00C026A6" w:rsidRPr="00EA59C0">
        <w:t xml:space="preserve"> </w:t>
      </w:r>
      <w:r w:rsidRPr="00EA59C0">
        <w:t>the</w:t>
      </w:r>
      <w:r w:rsidR="00C026A6" w:rsidRPr="00EA59C0">
        <w:t xml:space="preserve"> </w:t>
      </w:r>
      <w:r w:rsidRPr="00EA59C0">
        <w:t>actual</w:t>
      </w:r>
      <w:r w:rsidR="00C026A6" w:rsidRPr="00EA59C0">
        <w:t xml:space="preserve"> </w:t>
      </w:r>
      <w:r w:rsidRPr="00EA59C0">
        <w:t>grant</w:t>
      </w:r>
      <w:r w:rsidR="00C026A6" w:rsidRPr="00EA59C0">
        <w:t xml:space="preserve"> </w:t>
      </w:r>
      <w:r w:rsidRPr="00EA59C0">
        <w:t>is</w:t>
      </w:r>
      <w:r w:rsidR="00C026A6" w:rsidRPr="00EA59C0">
        <w:t xml:space="preserve"> </w:t>
      </w:r>
      <w:r w:rsidRPr="00EA59C0">
        <w:t>awarded,</w:t>
      </w:r>
      <w:r w:rsidR="00C026A6" w:rsidRPr="00EA59C0">
        <w:t xml:space="preserve"> </w:t>
      </w:r>
      <w:r w:rsidRPr="00EA59C0">
        <w:t>ETA</w:t>
      </w:r>
      <w:r w:rsidR="00C026A6" w:rsidRPr="00EA59C0">
        <w:t xml:space="preserve"> </w:t>
      </w:r>
      <w:r w:rsidRPr="00EA59C0">
        <w:t>may</w:t>
      </w:r>
      <w:r w:rsidR="00C026A6" w:rsidRPr="00EA59C0">
        <w:t xml:space="preserve"> </w:t>
      </w:r>
      <w:r w:rsidRPr="00EA59C0">
        <w:t>enter</w:t>
      </w:r>
      <w:r w:rsidR="00C026A6" w:rsidRPr="00EA59C0">
        <w:t xml:space="preserve"> </w:t>
      </w:r>
      <w:r w:rsidRPr="00EA59C0">
        <w:t>into</w:t>
      </w:r>
      <w:r w:rsidR="00C026A6" w:rsidRPr="00EA59C0">
        <w:t xml:space="preserve"> </w:t>
      </w:r>
      <w:r w:rsidRPr="00EA59C0">
        <w:t>negotiations</w:t>
      </w:r>
      <w:r w:rsidR="00C026A6" w:rsidRPr="00EA59C0">
        <w:t xml:space="preserve"> </w:t>
      </w:r>
      <w:r w:rsidRPr="00EA59C0">
        <w:t>about</w:t>
      </w:r>
      <w:r w:rsidR="00C026A6" w:rsidRPr="00EA59C0">
        <w:t xml:space="preserve"> </w:t>
      </w:r>
      <w:r w:rsidRPr="00EA59C0">
        <w:t>such</w:t>
      </w:r>
      <w:r w:rsidR="00C026A6" w:rsidRPr="00EA59C0">
        <w:t xml:space="preserve"> </w:t>
      </w:r>
      <w:r w:rsidRPr="00EA59C0">
        <w:t>items</w:t>
      </w:r>
      <w:r w:rsidR="00C026A6" w:rsidRPr="00EA59C0">
        <w:t xml:space="preserve"> </w:t>
      </w:r>
      <w:r w:rsidRPr="00EA59C0">
        <w:t>as</w:t>
      </w:r>
      <w:r w:rsidR="00C026A6" w:rsidRPr="00EA59C0">
        <w:t xml:space="preserve"> </w:t>
      </w:r>
      <w:r w:rsidRPr="00EA59C0">
        <w:t>program</w:t>
      </w:r>
      <w:r w:rsidR="00C026A6" w:rsidRPr="00EA59C0">
        <w:t xml:space="preserve"> </w:t>
      </w:r>
      <w:r w:rsidRPr="00EA59C0">
        <w:t>components,</w:t>
      </w:r>
      <w:r w:rsidR="00C026A6" w:rsidRPr="00EA59C0">
        <w:t xml:space="preserve"> </w:t>
      </w:r>
      <w:r w:rsidRPr="00EA59C0">
        <w:t>staffing</w:t>
      </w:r>
      <w:r w:rsidR="00C026A6" w:rsidRPr="00EA59C0">
        <w:t xml:space="preserve"> </w:t>
      </w:r>
      <w:r w:rsidRPr="00EA59C0">
        <w:t>and</w:t>
      </w:r>
      <w:r w:rsidR="00C026A6" w:rsidRPr="00EA59C0">
        <w:t xml:space="preserve"> </w:t>
      </w:r>
      <w:r w:rsidRPr="00EA59C0">
        <w:t>funding</w:t>
      </w:r>
      <w:r w:rsidR="00C026A6" w:rsidRPr="00EA59C0">
        <w:t xml:space="preserve"> </w:t>
      </w:r>
      <w:r w:rsidRPr="00EA59C0">
        <w:t>levels,</w:t>
      </w:r>
      <w:r w:rsidR="00C026A6" w:rsidRPr="00EA59C0">
        <w:t xml:space="preserve"> </w:t>
      </w:r>
      <w:r w:rsidRPr="00EA59C0">
        <w:t>and</w:t>
      </w:r>
      <w:r w:rsidR="00C026A6" w:rsidRPr="00EA59C0">
        <w:t xml:space="preserve"> </w:t>
      </w:r>
      <w:r w:rsidRPr="00EA59C0">
        <w:t>administrative</w:t>
      </w:r>
      <w:r w:rsidR="00C026A6" w:rsidRPr="00EA59C0">
        <w:t xml:space="preserve"> </w:t>
      </w:r>
      <w:r w:rsidRPr="00EA59C0">
        <w:t>systems</w:t>
      </w:r>
      <w:r w:rsidR="00C026A6" w:rsidRPr="00EA59C0">
        <w:t xml:space="preserve"> </w:t>
      </w:r>
      <w:r w:rsidRPr="00EA59C0">
        <w:t>in</w:t>
      </w:r>
      <w:r w:rsidR="00C026A6" w:rsidRPr="00EA59C0">
        <w:t xml:space="preserve"> </w:t>
      </w:r>
      <w:r w:rsidRPr="00EA59C0">
        <w:t>place</w:t>
      </w:r>
      <w:r w:rsidR="00C026A6" w:rsidRPr="00EA59C0">
        <w:t xml:space="preserve"> </w:t>
      </w:r>
      <w:r w:rsidRPr="00EA59C0">
        <w:t>to</w:t>
      </w:r>
      <w:r w:rsidR="00C026A6" w:rsidRPr="00EA59C0">
        <w:t xml:space="preserve"> </w:t>
      </w:r>
      <w:r w:rsidRPr="00EA59C0">
        <w:t>support</w:t>
      </w:r>
      <w:r w:rsidR="00C026A6" w:rsidRPr="00EA59C0">
        <w:t xml:space="preserve"> </w:t>
      </w:r>
      <w:r w:rsidRPr="00EA59C0">
        <w:t>grant</w:t>
      </w:r>
      <w:r w:rsidR="00C026A6" w:rsidRPr="00EA59C0">
        <w:t xml:space="preserve"> </w:t>
      </w:r>
      <w:r w:rsidRPr="00EA59C0">
        <w:t>implementation.</w:t>
      </w:r>
      <w:r w:rsidR="00C026A6" w:rsidRPr="00EA59C0">
        <w:t xml:space="preserve">  </w:t>
      </w:r>
      <w:r w:rsidRPr="00EA59C0">
        <w:t>If</w:t>
      </w:r>
      <w:r w:rsidR="00C026A6" w:rsidRPr="00EA59C0">
        <w:t xml:space="preserve"> </w:t>
      </w:r>
      <w:r w:rsidRPr="00EA59C0">
        <w:t>the</w:t>
      </w:r>
      <w:r w:rsidR="00C026A6" w:rsidRPr="00EA59C0">
        <w:t xml:space="preserve"> </w:t>
      </w:r>
      <w:r w:rsidRPr="00EA59C0">
        <w:t>negotiations</w:t>
      </w:r>
      <w:r w:rsidR="00C026A6" w:rsidRPr="00EA59C0">
        <w:t xml:space="preserve"> </w:t>
      </w:r>
      <w:r w:rsidRPr="00EA59C0">
        <w:t>do</w:t>
      </w:r>
      <w:r w:rsidR="00C026A6" w:rsidRPr="00EA59C0">
        <w:t xml:space="preserve"> </w:t>
      </w:r>
      <w:r w:rsidRPr="00EA59C0">
        <w:t>not</w:t>
      </w:r>
      <w:r w:rsidR="00C026A6" w:rsidRPr="00EA59C0">
        <w:t xml:space="preserve"> </w:t>
      </w:r>
      <w:r w:rsidRPr="00EA59C0">
        <w:t>result</w:t>
      </w:r>
      <w:r w:rsidR="00C026A6" w:rsidRPr="00EA59C0">
        <w:t xml:space="preserve"> </w:t>
      </w:r>
      <w:r w:rsidRPr="00EA59C0">
        <w:t>in</w:t>
      </w:r>
      <w:r w:rsidR="00C026A6" w:rsidRPr="00EA59C0">
        <w:t xml:space="preserve"> </w:t>
      </w:r>
      <w:r w:rsidRPr="00EA59C0">
        <w:t>a</w:t>
      </w:r>
      <w:r w:rsidR="00C026A6" w:rsidRPr="00EA59C0">
        <w:t xml:space="preserve"> </w:t>
      </w:r>
      <w:r w:rsidRPr="00EA59C0">
        <w:t>mutually</w:t>
      </w:r>
      <w:r w:rsidR="00C026A6" w:rsidRPr="00EA59C0">
        <w:t xml:space="preserve"> </w:t>
      </w:r>
      <w:r w:rsidRPr="00EA59C0">
        <w:t>acceptable</w:t>
      </w:r>
      <w:r w:rsidR="00C026A6" w:rsidRPr="00EA59C0">
        <w:t xml:space="preserve"> </w:t>
      </w:r>
      <w:r w:rsidRPr="00EA59C0">
        <w:t>submission,</w:t>
      </w:r>
      <w:r w:rsidR="00C026A6" w:rsidRPr="00EA59C0">
        <w:t xml:space="preserve"> </w:t>
      </w:r>
      <w:r w:rsidRPr="00EA59C0">
        <w:t>the</w:t>
      </w:r>
      <w:r w:rsidR="00C026A6" w:rsidRPr="00EA59C0">
        <w:t xml:space="preserve"> </w:t>
      </w:r>
      <w:r w:rsidRPr="00EA59C0">
        <w:t>Grant</w:t>
      </w:r>
      <w:r w:rsidR="00C026A6" w:rsidRPr="00EA59C0">
        <w:t xml:space="preserve"> </w:t>
      </w:r>
      <w:r w:rsidRPr="00EA59C0">
        <w:t>Officer</w:t>
      </w:r>
      <w:r w:rsidR="00C026A6" w:rsidRPr="00EA59C0">
        <w:t xml:space="preserve"> </w:t>
      </w:r>
      <w:r w:rsidRPr="00EA59C0">
        <w:t>reserves</w:t>
      </w:r>
      <w:r w:rsidR="00C026A6" w:rsidRPr="00EA59C0">
        <w:t xml:space="preserve"> </w:t>
      </w:r>
      <w:r w:rsidRPr="00EA59C0">
        <w:t>the</w:t>
      </w:r>
      <w:r w:rsidR="00C026A6" w:rsidRPr="00EA59C0">
        <w:t xml:space="preserve"> </w:t>
      </w:r>
      <w:r w:rsidRPr="00EA59C0">
        <w:t>right</w:t>
      </w:r>
      <w:r w:rsidR="00C026A6" w:rsidRPr="00EA59C0">
        <w:t xml:space="preserve"> </w:t>
      </w:r>
      <w:r w:rsidRPr="00EA59C0">
        <w:t>to</w:t>
      </w:r>
      <w:r w:rsidR="00C026A6" w:rsidRPr="00EA59C0">
        <w:t xml:space="preserve"> </w:t>
      </w:r>
      <w:r w:rsidRPr="00EA59C0">
        <w:t>terminate</w:t>
      </w:r>
      <w:r w:rsidR="00C026A6" w:rsidRPr="00EA59C0">
        <w:t xml:space="preserve"> </w:t>
      </w:r>
      <w:r w:rsidRPr="00EA59C0">
        <w:t>the</w:t>
      </w:r>
      <w:r w:rsidR="00C026A6" w:rsidRPr="00EA59C0">
        <w:t xml:space="preserve"> </w:t>
      </w:r>
      <w:r w:rsidRPr="00EA59C0">
        <w:t>negotiations</w:t>
      </w:r>
      <w:r w:rsidR="00C026A6" w:rsidRPr="00EA59C0">
        <w:t xml:space="preserve"> </w:t>
      </w:r>
      <w:r w:rsidRPr="00EA59C0">
        <w:t>and</w:t>
      </w:r>
      <w:r w:rsidR="00C026A6" w:rsidRPr="00EA59C0">
        <w:t xml:space="preserve"> </w:t>
      </w:r>
      <w:r w:rsidRPr="00EA59C0">
        <w:t>decline</w:t>
      </w:r>
      <w:r w:rsidR="00C026A6" w:rsidRPr="00EA59C0">
        <w:t xml:space="preserve"> </w:t>
      </w:r>
      <w:r w:rsidRPr="00EA59C0">
        <w:t>to</w:t>
      </w:r>
      <w:r w:rsidR="00C026A6" w:rsidRPr="00EA59C0">
        <w:t xml:space="preserve"> </w:t>
      </w:r>
      <w:r w:rsidRPr="00EA59C0">
        <w:t>fund</w:t>
      </w:r>
      <w:r w:rsidR="00C026A6" w:rsidRPr="00EA59C0">
        <w:t xml:space="preserve"> </w:t>
      </w:r>
      <w:r w:rsidRPr="00EA59C0">
        <w:t>the</w:t>
      </w:r>
      <w:r w:rsidR="00C026A6" w:rsidRPr="00EA59C0">
        <w:t xml:space="preserve"> </w:t>
      </w:r>
      <w:r w:rsidRPr="00EA59C0">
        <w:t>application.</w:t>
      </w:r>
      <w:r w:rsidR="00C026A6" w:rsidRPr="00EA59C0">
        <w:t xml:space="preserve">  </w:t>
      </w:r>
      <w:r w:rsidRPr="00EA59C0">
        <w:t>DOL</w:t>
      </w:r>
      <w:r w:rsidR="00C026A6" w:rsidRPr="00EA59C0">
        <w:t xml:space="preserve"> </w:t>
      </w:r>
      <w:r w:rsidRPr="00EA59C0">
        <w:t>reserves</w:t>
      </w:r>
      <w:r w:rsidR="00C026A6" w:rsidRPr="00EA59C0">
        <w:t xml:space="preserve"> </w:t>
      </w:r>
      <w:r w:rsidRPr="00EA59C0">
        <w:t>the</w:t>
      </w:r>
      <w:r w:rsidR="00C026A6" w:rsidRPr="00EA59C0">
        <w:t xml:space="preserve"> </w:t>
      </w:r>
      <w:r w:rsidRPr="00EA59C0">
        <w:t>right</w:t>
      </w:r>
      <w:r w:rsidR="00C026A6" w:rsidRPr="00EA59C0">
        <w:t xml:space="preserve"> </w:t>
      </w:r>
      <w:r w:rsidRPr="00EA59C0">
        <w:t>to</w:t>
      </w:r>
      <w:r w:rsidR="00C026A6" w:rsidRPr="00EA59C0">
        <w:t xml:space="preserve"> </w:t>
      </w:r>
      <w:r w:rsidRPr="00EA59C0">
        <w:t>not</w:t>
      </w:r>
      <w:r w:rsidR="00C026A6" w:rsidRPr="00EA59C0">
        <w:t xml:space="preserve"> </w:t>
      </w:r>
      <w:r w:rsidRPr="00EA59C0">
        <w:t>fund</w:t>
      </w:r>
      <w:r w:rsidR="00C026A6" w:rsidRPr="00EA59C0">
        <w:t xml:space="preserve"> </w:t>
      </w:r>
      <w:r w:rsidRPr="00EA59C0">
        <w:t>any</w:t>
      </w:r>
      <w:r w:rsidR="00C026A6" w:rsidRPr="00EA59C0">
        <w:t xml:space="preserve"> </w:t>
      </w:r>
      <w:r w:rsidRPr="00EA59C0">
        <w:t>application</w:t>
      </w:r>
      <w:r w:rsidR="00C026A6" w:rsidRPr="00EA59C0">
        <w:t xml:space="preserve"> </w:t>
      </w:r>
      <w:r w:rsidRPr="00EA59C0">
        <w:t>related</w:t>
      </w:r>
      <w:r w:rsidR="00C026A6" w:rsidRPr="00EA59C0">
        <w:t xml:space="preserve"> </w:t>
      </w:r>
      <w:r w:rsidRPr="00EA59C0">
        <w:t>to</w:t>
      </w:r>
      <w:r w:rsidR="00C026A6" w:rsidRPr="00EA59C0">
        <w:t xml:space="preserve"> </w:t>
      </w:r>
      <w:r w:rsidRPr="00EA59C0">
        <w:t>this</w:t>
      </w:r>
      <w:r w:rsidR="00C026A6" w:rsidRPr="00EA59C0">
        <w:t xml:space="preserve"> </w:t>
      </w:r>
      <w:r w:rsidRPr="00EA59C0">
        <w:t>SGA.</w:t>
      </w:r>
    </w:p>
    <w:p w:rsidR="00080097" w:rsidRPr="00EA59C0" w:rsidRDefault="00080097" w:rsidP="00FA0E98">
      <w:pPr>
        <w:widowControl w:val="0"/>
        <w:ind w:left="720"/>
      </w:pPr>
    </w:p>
    <w:p w:rsidR="007470AB" w:rsidRPr="00EA59C0" w:rsidRDefault="007470AB" w:rsidP="00080097">
      <w:pPr>
        <w:pStyle w:val="Heading2"/>
        <w:numPr>
          <w:ilvl w:val="0"/>
          <w:numId w:val="31"/>
        </w:numPr>
        <w:spacing w:line="240" w:lineRule="auto"/>
        <w:rPr>
          <w:rFonts w:ascii="Times New Roman" w:hAnsi="Times New Roman"/>
          <w:b w:val="0"/>
          <w:i w:val="0"/>
        </w:rPr>
      </w:pPr>
      <w:bookmarkStart w:id="56" w:name="_Toc207778238"/>
      <w:bookmarkStart w:id="57" w:name="_Toc208654638"/>
      <w:bookmarkStart w:id="58" w:name="_Toc228885528"/>
      <w:bookmarkStart w:id="59" w:name="_Toc229889187"/>
      <w:r w:rsidRPr="00EA59C0">
        <w:rPr>
          <w:rFonts w:ascii="Times New Roman" w:hAnsi="Times New Roman"/>
          <w:b w:val="0"/>
          <w:i w:val="0"/>
        </w:rPr>
        <w:t>Administrative</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National</w:t>
      </w:r>
      <w:r w:rsidR="00C026A6" w:rsidRPr="00EA59C0">
        <w:rPr>
          <w:rFonts w:ascii="Times New Roman" w:hAnsi="Times New Roman"/>
          <w:b w:val="0"/>
          <w:i w:val="0"/>
        </w:rPr>
        <w:t xml:space="preserve"> </w:t>
      </w:r>
      <w:r w:rsidRPr="00EA59C0">
        <w:rPr>
          <w:rFonts w:ascii="Times New Roman" w:hAnsi="Times New Roman"/>
          <w:b w:val="0"/>
          <w:i w:val="0"/>
        </w:rPr>
        <w:t>Policy</w:t>
      </w:r>
      <w:r w:rsidR="00C026A6" w:rsidRPr="00EA59C0">
        <w:rPr>
          <w:rFonts w:ascii="Times New Roman" w:hAnsi="Times New Roman"/>
          <w:b w:val="0"/>
          <w:i w:val="0"/>
        </w:rPr>
        <w:t xml:space="preserve"> </w:t>
      </w:r>
      <w:r w:rsidRPr="00EA59C0">
        <w:rPr>
          <w:rFonts w:ascii="Times New Roman" w:hAnsi="Times New Roman"/>
          <w:b w:val="0"/>
          <w:i w:val="0"/>
        </w:rPr>
        <w:t>Requirements</w:t>
      </w:r>
      <w:bookmarkEnd w:id="56"/>
      <w:bookmarkEnd w:id="57"/>
      <w:bookmarkEnd w:id="58"/>
      <w:bookmarkEnd w:id="59"/>
    </w:p>
    <w:p w:rsidR="00144DF0" w:rsidRPr="00EA59C0" w:rsidRDefault="007470AB" w:rsidP="00FC34EA">
      <w:pPr>
        <w:pStyle w:val="Heading2"/>
        <w:numPr>
          <w:ilvl w:val="2"/>
          <w:numId w:val="17"/>
        </w:numPr>
        <w:spacing w:line="240" w:lineRule="auto"/>
        <w:rPr>
          <w:rFonts w:ascii="Times New Roman" w:hAnsi="Times New Roman"/>
          <w:b w:val="0"/>
          <w:i w:val="0"/>
        </w:rPr>
      </w:pPr>
      <w:bookmarkStart w:id="60" w:name="_Toc207778239"/>
      <w:bookmarkStart w:id="61" w:name="_Toc208654639"/>
      <w:bookmarkStart w:id="62" w:name="_Toc228885529"/>
      <w:bookmarkStart w:id="63" w:name="_Toc229889188"/>
      <w:r w:rsidRPr="00EA59C0">
        <w:rPr>
          <w:rFonts w:ascii="Times New Roman" w:hAnsi="Times New Roman"/>
          <w:b w:val="0"/>
          <w:i w:val="0"/>
        </w:rPr>
        <w:t>Administrative</w:t>
      </w:r>
      <w:r w:rsidR="00C026A6" w:rsidRPr="00EA59C0">
        <w:rPr>
          <w:rFonts w:ascii="Times New Roman" w:hAnsi="Times New Roman"/>
          <w:b w:val="0"/>
          <w:i w:val="0"/>
        </w:rPr>
        <w:t xml:space="preserve"> </w:t>
      </w:r>
      <w:r w:rsidRPr="00EA59C0">
        <w:rPr>
          <w:rFonts w:ascii="Times New Roman" w:hAnsi="Times New Roman"/>
          <w:b w:val="0"/>
          <w:i w:val="0"/>
        </w:rPr>
        <w:t>Program</w:t>
      </w:r>
      <w:r w:rsidR="00C026A6" w:rsidRPr="00EA59C0">
        <w:rPr>
          <w:rFonts w:ascii="Times New Roman" w:hAnsi="Times New Roman"/>
          <w:b w:val="0"/>
          <w:i w:val="0"/>
        </w:rPr>
        <w:t xml:space="preserve"> </w:t>
      </w:r>
      <w:r w:rsidRPr="00EA59C0">
        <w:rPr>
          <w:rFonts w:ascii="Times New Roman" w:hAnsi="Times New Roman"/>
          <w:b w:val="0"/>
          <w:i w:val="0"/>
        </w:rPr>
        <w:t>Requirements</w:t>
      </w:r>
    </w:p>
    <w:p w:rsidR="00144DF0" w:rsidRPr="00EA59C0" w:rsidRDefault="007470AB" w:rsidP="00FA0E98">
      <w:pPr>
        <w:ind w:left="1080"/>
      </w:pPr>
      <w:r w:rsidRPr="00EA59C0">
        <w:t>All</w:t>
      </w:r>
      <w:r w:rsidR="00C026A6" w:rsidRPr="00EA59C0">
        <w:t xml:space="preserve"> </w:t>
      </w:r>
      <w:r w:rsidRPr="00EA59C0">
        <w:t>grantees</w:t>
      </w:r>
      <w:r w:rsidR="00C026A6" w:rsidRPr="00EA59C0">
        <w:t xml:space="preserve"> </w:t>
      </w:r>
      <w:r w:rsidRPr="00EA59C0">
        <w:t>will</w:t>
      </w:r>
      <w:r w:rsidR="00C026A6" w:rsidRPr="00EA59C0">
        <w:t xml:space="preserve"> </w:t>
      </w:r>
      <w:r w:rsidRPr="00EA59C0">
        <w:t>be</w:t>
      </w:r>
      <w:r w:rsidR="00C026A6" w:rsidRPr="00EA59C0">
        <w:t xml:space="preserve"> </w:t>
      </w:r>
      <w:r w:rsidRPr="00EA59C0">
        <w:t>subject</w:t>
      </w:r>
      <w:r w:rsidR="00C026A6" w:rsidRPr="00EA59C0">
        <w:t xml:space="preserve"> </w:t>
      </w:r>
      <w:r w:rsidRPr="00EA59C0">
        <w:t>to</w:t>
      </w:r>
      <w:r w:rsidR="00C026A6" w:rsidRPr="00EA59C0">
        <w:t xml:space="preserve"> </w:t>
      </w:r>
      <w:r w:rsidRPr="00EA59C0">
        <w:t>all</w:t>
      </w:r>
      <w:r w:rsidR="00C026A6" w:rsidRPr="00EA59C0">
        <w:t xml:space="preserve"> </w:t>
      </w:r>
      <w:r w:rsidRPr="00EA59C0">
        <w:t>applicable</w:t>
      </w:r>
      <w:r w:rsidR="00C026A6" w:rsidRPr="00EA59C0">
        <w:t xml:space="preserve"> </w:t>
      </w:r>
      <w:r w:rsidRPr="00EA59C0">
        <w:t>Federal</w:t>
      </w:r>
      <w:r w:rsidR="00C026A6" w:rsidRPr="00EA59C0">
        <w:t xml:space="preserve"> </w:t>
      </w:r>
      <w:r w:rsidRPr="00EA59C0">
        <w:t>laws,</w:t>
      </w:r>
      <w:r w:rsidR="00C026A6" w:rsidRPr="00EA59C0">
        <w:t xml:space="preserve"> </w:t>
      </w:r>
      <w:r w:rsidRPr="00EA59C0">
        <w:t>regulations,</w:t>
      </w:r>
      <w:r w:rsidR="00C026A6" w:rsidRPr="00EA59C0">
        <w:t xml:space="preserve"> </w:t>
      </w:r>
      <w:r w:rsidRPr="00EA59C0">
        <w:t>and</w:t>
      </w:r>
      <w:r w:rsidR="00C026A6" w:rsidRPr="00EA59C0">
        <w:t xml:space="preserve"> </w:t>
      </w:r>
      <w:r w:rsidRPr="00EA59C0">
        <w:t>the</w:t>
      </w:r>
      <w:r w:rsidR="00C026A6" w:rsidRPr="00EA59C0">
        <w:t xml:space="preserve"> </w:t>
      </w:r>
      <w:r w:rsidRPr="00EA59C0">
        <w:t>applicable</w:t>
      </w:r>
      <w:r w:rsidR="00C026A6" w:rsidRPr="00EA59C0">
        <w:t xml:space="preserve"> </w:t>
      </w:r>
      <w:r w:rsidRPr="00EA59C0">
        <w:t>OMB</w:t>
      </w:r>
      <w:r w:rsidR="00C026A6" w:rsidRPr="00EA59C0">
        <w:t xml:space="preserve"> </w:t>
      </w:r>
      <w:r w:rsidRPr="00EA59C0">
        <w:t>Circulars.</w:t>
      </w:r>
      <w:r w:rsidR="00C026A6" w:rsidRPr="00EA59C0">
        <w:t xml:space="preserve">  </w:t>
      </w:r>
      <w:r w:rsidRPr="00EA59C0">
        <w:t>The</w:t>
      </w:r>
      <w:r w:rsidR="00C026A6" w:rsidRPr="00EA59C0">
        <w:t xml:space="preserve"> </w:t>
      </w:r>
      <w:r w:rsidRPr="00EA59C0">
        <w:t>grant(s)</w:t>
      </w:r>
      <w:r w:rsidR="00C026A6" w:rsidRPr="00EA59C0">
        <w:t xml:space="preserve"> </w:t>
      </w:r>
      <w:r w:rsidRPr="00EA59C0">
        <w:t>awarded</w:t>
      </w:r>
      <w:r w:rsidR="00C026A6" w:rsidRPr="00EA59C0">
        <w:t xml:space="preserve"> </w:t>
      </w:r>
      <w:r w:rsidRPr="00EA59C0">
        <w:t>under</w:t>
      </w:r>
      <w:r w:rsidR="00C026A6" w:rsidRPr="00EA59C0">
        <w:t xml:space="preserve"> </w:t>
      </w:r>
      <w:r w:rsidRPr="00EA59C0">
        <w:t>this</w:t>
      </w:r>
      <w:r w:rsidR="00C026A6" w:rsidRPr="00EA59C0">
        <w:t xml:space="preserve"> </w:t>
      </w:r>
      <w:r w:rsidRPr="00EA59C0">
        <w:t>SGA</w:t>
      </w:r>
      <w:r w:rsidR="00C026A6" w:rsidRPr="00EA59C0">
        <w:t xml:space="preserve"> </w:t>
      </w:r>
      <w:r w:rsidRPr="00EA59C0">
        <w:t>will</w:t>
      </w:r>
      <w:r w:rsidR="00C026A6" w:rsidRPr="00EA59C0">
        <w:t xml:space="preserve"> </w:t>
      </w:r>
      <w:r w:rsidRPr="00EA59C0">
        <w:t>be</w:t>
      </w:r>
      <w:r w:rsidR="00C026A6" w:rsidRPr="00EA59C0">
        <w:t xml:space="preserve"> </w:t>
      </w:r>
      <w:r w:rsidRPr="00EA59C0">
        <w:t>subject</w:t>
      </w:r>
      <w:r w:rsidR="00C026A6" w:rsidRPr="00EA59C0">
        <w:t xml:space="preserve"> </w:t>
      </w:r>
      <w:r w:rsidRPr="00EA59C0">
        <w:t>to</w:t>
      </w:r>
      <w:r w:rsidR="00C026A6" w:rsidRPr="00EA59C0">
        <w:t xml:space="preserve"> </w:t>
      </w:r>
      <w:r w:rsidRPr="00EA59C0">
        <w:t>the</w:t>
      </w:r>
      <w:r w:rsidR="00C026A6" w:rsidRPr="00EA59C0">
        <w:t xml:space="preserve"> </w:t>
      </w:r>
      <w:r w:rsidRPr="00EA59C0">
        <w:t>following</w:t>
      </w:r>
      <w:r w:rsidR="00C026A6" w:rsidRPr="00EA59C0">
        <w:t xml:space="preserve"> </w:t>
      </w:r>
      <w:r w:rsidRPr="00EA59C0">
        <w:t>administrative</w:t>
      </w:r>
      <w:r w:rsidR="00C026A6" w:rsidRPr="00EA59C0">
        <w:t xml:space="preserve"> </w:t>
      </w:r>
      <w:r w:rsidRPr="00EA59C0">
        <w:t>standards</w:t>
      </w:r>
      <w:r w:rsidR="00C026A6" w:rsidRPr="00EA59C0">
        <w:t xml:space="preserve"> </w:t>
      </w:r>
      <w:r w:rsidRPr="00EA59C0">
        <w:t>and</w:t>
      </w:r>
      <w:r w:rsidR="00C026A6" w:rsidRPr="00EA59C0">
        <w:t xml:space="preserve"> </w:t>
      </w:r>
      <w:r w:rsidRPr="00EA59C0">
        <w:t>provisions:</w:t>
      </w:r>
      <w:r w:rsidR="00C026A6" w:rsidRPr="00EA59C0">
        <w:t xml:space="preserve">  </w:t>
      </w:r>
    </w:p>
    <w:p w:rsidR="00144DF0" w:rsidRPr="00EA59C0" w:rsidRDefault="007470AB" w:rsidP="00501E26">
      <w:pPr>
        <w:pStyle w:val="ListParagraph"/>
        <w:widowControl w:val="0"/>
        <w:numPr>
          <w:ilvl w:val="3"/>
          <w:numId w:val="17"/>
        </w:numPr>
        <w:adjustRightInd w:val="0"/>
        <w:textAlignment w:val="baseline"/>
      </w:pPr>
      <w:r w:rsidRPr="00EA59C0">
        <w:t>Non-Profit</w:t>
      </w:r>
      <w:r w:rsidR="00C026A6" w:rsidRPr="00EA59C0">
        <w:t xml:space="preserve"> </w:t>
      </w:r>
      <w:r w:rsidRPr="00EA59C0">
        <w:t>Organizations</w:t>
      </w:r>
      <w:r w:rsidR="00C026A6" w:rsidRPr="00EA59C0">
        <w:t xml:space="preserve"> </w:t>
      </w:r>
      <w:r w:rsidRPr="00EA59C0">
        <w:t>–</w:t>
      </w:r>
      <w:r w:rsidR="00C026A6" w:rsidRPr="00EA59C0">
        <w:t xml:space="preserve"> </w:t>
      </w:r>
      <w:r w:rsidRPr="00EA59C0">
        <w:t>OMB</w:t>
      </w:r>
      <w:r w:rsidR="00C026A6" w:rsidRPr="00EA59C0">
        <w:t xml:space="preserve"> </w:t>
      </w:r>
      <w:r w:rsidRPr="00EA59C0">
        <w:t>Circular</w:t>
      </w:r>
      <w:r w:rsidR="00C026A6" w:rsidRPr="00EA59C0">
        <w:t xml:space="preserve"> </w:t>
      </w:r>
      <w:r w:rsidRPr="00EA59C0">
        <w:t>A–122</w:t>
      </w:r>
      <w:r w:rsidR="00C026A6" w:rsidRPr="00EA59C0">
        <w:t xml:space="preserve"> </w:t>
      </w:r>
      <w:r w:rsidRPr="00EA59C0">
        <w:t>(Cost</w:t>
      </w:r>
      <w:r w:rsidR="00C026A6" w:rsidRPr="00EA59C0">
        <w:t xml:space="preserve"> </w:t>
      </w:r>
      <w:r w:rsidRPr="00EA59C0">
        <w:t>Principles</w:t>
      </w:r>
      <w:r w:rsidR="00501E26" w:rsidRPr="00EA59C0">
        <w:t xml:space="preserve"> — See </w:t>
      </w:r>
      <w:hyperlink r:id="rId276" w:history="1">
        <w:r w:rsidR="00DA1571" w:rsidRPr="00BB093B">
          <w:rPr>
            <w:rStyle w:val="Hyperlink"/>
          </w:rPr>
          <w:t>http://www.whitehouse.gov/omb/grants_circulars</w:t>
        </w:r>
      </w:hyperlink>
      <w:r w:rsidRPr="00EA59C0">
        <w:t>)</w:t>
      </w:r>
      <w:r w:rsidR="00DA1571">
        <w:t xml:space="preserve"> </w:t>
      </w:r>
      <w:r w:rsidR="00C026A6" w:rsidRPr="00EA59C0">
        <w:t xml:space="preserve"> </w:t>
      </w:r>
      <w:r w:rsidRPr="00EA59C0">
        <w:t>and</w:t>
      </w:r>
      <w:r w:rsidR="00C026A6" w:rsidRPr="00EA59C0">
        <w:t xml:space="preserve"> </w:t>
      </w:r>
      <w:r w:rsidRPr="00EA59C0">
        <w:t>29</w:t>
      </w:r>
      <w:r w:rsidR="00C026A6" w:rsidRPr="00EA59C0">
        <w:t xml:space="preserve"> </w:t>
      </w:r>
      <w:r w:rsidRPr="00EA59C0">
        <w:t>CFR</w:t>
      </w:r>
      <w:r w:rsidR="00C026A6" w:rsidRPr="00EA59C0">
        <w:t xml:space="preserve"> </w:t>
      </w:r>
      <w:r w:rsidRPr="00EA59C0">
        <w:t>Part</w:t>
      </w:r>
      <w:r w:rsidR="00C026A6" w:rsidRPr="00EA59C0">
        <w:t xml:space="preserve"> </w:t>
      </w:r>
      <w:r w:rsidRPr="00EA59C0">
        <w:t>95</w:t>
      </w:r>
      <w:r w:rsidR="00C026A6" w:rsidRPr="00EA59C0">
        <w:t xml:space="preserve"> </w:t>
      </w:r>
      <w:r w:rsidRPr="00EA59C0">
        <w:t>(Administrative</w:t>
      </w:r>
      <w:r w:rsidR="00C026A6" w:rsidRPr="00EA59C0">
        <w:t xml:space="preserve"> </w:t>
      </w:r>
      <w:r w:rsidRPr="00EA59C0">
        <w:t>Requirements)</w:t>
      </w:r>
    </w:p>
    <w:p w:rsidR="00144DF0" w:rsidRPr="00EA59C0" w:rsidRDefault="007470AB" w:rsidP="004C3998">
      <w:pPr>
        <w:pStyle w:val="ListParagraph"/>
        <w:widowControl w:val="0"/>
        <w:numPr>
          <w:ilvl w:val="3"/>
          <w:numId w:val="17"/>
        </w:numPr>
        <w:adjustRightInd w:val="0"/>
        <w:textAlignment w:val="baseline"/>
      </w:pPr>
      <w:r w:rsidRPr="00EA59C0">
        <w:t>Educational</w:t>
      </w:r>
      <w:r w:rsidR="00C026A6" w:rsidRPr="00EA59C0">
        <w:t xml:space="preserve"> </w:t>
      </w:r>
      <w:r w:rsidRPr="00EA59C0">
        <w:t>Institutions</w:t>
      </w:r>
      <w:r w:rsidR="00C026A6" w:rsidRPr="00EA59C0">
        <w:t xml:space="preserve"> </w:t>
      </w:r>
      <w:r w:rsidRPr="00EA59C0">
        <w:t>–</w:t>
      </w:r>
      <w:r w:rsidR="00C026A6" w:rsidRPr="00EA59C0">
        <w:t xml:space="preserve"> </w:t>
      </w:r>
      <w:r w:rsidRPr="00EA59C0">
        <w:t>OMB</w:t>
      </w:r>
      <w:r w:rsidR="00C026A6" w:rsidRPr="00EA59C0">
        <w:t xml:space="preserve"> </w:t>
      </w:r>
      <w:r w:rsidRPr="00EA59C0">
        <w:t>Circular</w:t>
      </w:r>
      <w:r w:rsidR="00C026A6" w:rsidRPr="00EA59C0">
        <w:t xml:space="preserve"> </w:t>
      </w:r>
      <w:r w:rsidRPr="00EA59C0">
        <w:t>A–21</w:t>
      </w:r>
      <w:r w:rsidR="00C026A6" w:rsidRPr="00EA59C0">
        <w:t xml:space="preserve"> </w:t>
      </w:r>
      <w:r w:rsidRPr="00EA59C0">
        <w:t>(Cost</w:t>
      </w:r>
      <w:r w:rsidR="00C026A6" w:rsidRPr="00EA59C0">
        <w:t xml:space="preserve"> </w:t>
      </w:r>
      <w:r w:rsidRPr="00EA59C0">
        <w:t>Principles</w:t>
      </w:r>
      <w:r w:rsidR="00501E26" w:rsidRPr="00EA59C0">
        <w:t xml:space="preserve"> – See </w:t>
      </w:r>
      <w:hyperlink r:id="rId277" w:history="1">
        <w:r w:rsidR="00501E26" w:rsidRPr="00EA59C0">
          <w:rPr>
            <w:rStyle w:val="Hyperlink"/>
            <w:color w:val="auto"/>
          </w:rPr>
          <w:t>http://www.whitehouse.gov/omb/grants_circulars</w:t>
        </w:r>
      </w:hyperlink>
      <w:r w:rsidRPr="00EA59C0">
        <w:t>)</w:t>
      </w:r>
      <w:r w:rsidR="00C026A6" w:rsidRPr="00EA59C0">
        <w:t xml:space="preserve"> </w:t>
      </w:r>
      <w:r w:rsidRPr="00EA59C0">
        <w:t>and</w:t>
      </w:r>
      <w:r w:rsidR="00C026A6" w:rsidRPr="00EA59C0">
        <w:t xml:space="preserve"> </w:t>
      </w:r>
      <w:r w:rsidRPr="00EA59C0">
        <w:t>29</w:t>
      </w:r>
      <w:r w:rsidR="00C026A6" w:rsidRPr="00EA59C0">
        <w:t xml:space="preserve"> </w:t>
      </w:r>
      <w:r w:rsidRPr="00EA59C0">
        <w:t>CFR</w:t>
      </w:r>
      <w:r w:rsidR="00C026A6" w:rsidRPr="00EA59C0">
        <w:t xml:space="preserve"> </w:t>
      </w:r>
      <w:r w:rsidRPr="00EA59C0">
        <w:t>Part</w:t>
      </w:r>
      <w:r w:rsidR="00C026A6" w:rsidRPr="00EA59C0">
        <w:t xml:space="preserve"> </w:t>
      </w:r>
      <w:r w:rsidRPr="00EA59C0">
        <w:t>95</w:t>
      </w:r>
      <w:r w:rsidR="00C026A6" w:rsidRPr="00EA59C0">
        <w:t xml:space="preserve"> </w:t>
      </w:r>
      <w:r w:rsidRPr="00EA59C0">
        <w:t>(Administrative</w:t>
      </w:r>
      <w:r w:rsidR="00C026A6" w:rsidRPr="00EA59C0">
        <w:t xml:space="preserve"> </w:t>
      </w:r>
      <w:r w:rsidRPr="00EA59C0">
        <w:t>Requirements).</w:t>
      </w:r>
    </w:p>
    <w:p w:rsidR="00144DF0" w:rsidRPr="00EA59C0" w:rsidRDefault="007470AB" w:rsidP="004C3998">
      <w:pPr>
        <w:pStyle w:val="ListParagraph"/>
        <w:widowControl w:val="0"/>
        <w:numPr>
          <w:ilvl w:val="3"/>
          <w:numId w:val="17"/>
        </w:numPr>
        <w:adjustRightInd w:val="0"/>
        <w:textAlignment w:val="baseline"/>
      </w:pPr>
      <w:r w:rsidRPr="00EA59C0">
        <w:t>State,</w:t>
      </w:r>
      <w:r w:rsidR="00C026A6" w:rsidRPr="00EA59C0">
        <w:t xml:space="preserve"> </w:t>
      </w:r>
      <w:r w:rsidRPr="00EA59C0">
        <w:t>Local</w:t>
      </w:r>
      <w:r w:rsidR="00C026A6" w:rsidRPr="00EA59C0">
        <w:t xml:space="preserve"> </w:t>
      </w:r>
      <w:r w:rsidRPr="00EA59C0">
        <w:t>and</w:t>
      </w:r>
      <w:r w:rsidR="00C026A6" w:rsidRPr="00EA59C0">
        <w:t xml:space="preserve"> </w:t>
      </w:r>
      <w:r w:rsidRPr="00EA59C0">
        <w:t>Indian</w:t>
      </w:r>
      <w:r w:rsidR="00C026A6" w:rsidRPr="00EA59C0">
        <w:t xml:space="preserve"> </w:t>
      </w:r>
      <w:r w:rsidRPr="00EA59C0">
        <w:t>Tribal</w:t>
      </w:r>
      <w:r w:rsidR="00C026A6" w:rsidRPr="00EA59C0">
        <w:t xml:space="preserve"> </w:t>
      </w:r>
      <w:r w:rsidRPr="00EA59C0">
        <w:t>Governments</w:t>
      </w:r>
      <w:r w:rsidR="00C026A6" w:rsidRPr="00EA59C0">
        <w:t xml:space="preserve"> </w:t>
      </w:r>
      <w:r w:rsidRPr="00EA59C0">
        <w:t>–</w:t>
      </w:r>
      <w:r w:rsidR="00C026A6" w:rsidRPr="00EA59C0">
        <w:t xml:space="preserve"> </w:t>
      </w:r>
      <w:r w:rsidRPr="00EA59C0">
        <w:t>OMB</w:t>
      </w:r>
      <w:r w:rsidR="00C026A6" w:rsidRPr="00EA59C0">
        <w:t xml:space="preserve"> </w:t>
      </w:r>
      <w:r w:rsidRPr="00EA59C0">
        <w:t>Circular</w:t>
      </w:r>
      <w:r w:rsidR="00C026A6" w:rsidRPr="00EA59C0">
        <w:t xml:space="preserve"> </w:t>
      </w:r>
      <w:r w:rsidRPr="00EA59C0">
        <w:t>A–87</w:t>
      </w:r>
      <w:r w:rsidR="00C026A6" w:rsidRPr="00EA59C0">
        <w:t xml:space="preserve"> </w:t>
      </w:r>
      <w:r w:rsidRPr="00EA59C0">
        <w:t>(Cost</w:t>
      </w:r>
      <w:r w:rsidR="00C026A6" w:rsidRPr="00EA59C0">
        <w:t xml:space="preserve"> </w:t>
      </w:r>
      <w:r w:rsidRPr="00EA59C0">
        <w:t>Principles</w:t>
      </w:r>
      <w:r w:rsidR="00501E26" w:rsidRPr="00EA59C0">
        <w:t xml:space="preserve"> – See </w:t>
      </w:r>
      <w:hyperlink r:id="rId278" w:history="1">
        <w:r w:rsidR="00501E26" w:rsidRPr="00EA59C0">
          <w:rPr>
            <w:rStyle w:val="Hyperlink"/>
            <w:color w:val="auto"/>
          </w:rPr>
          <w:t>http://www.whitehouse.gov/omb/grants_circulars</w:t>
        </w:r>
      </w:hyperlink>
      <w:r w:rsidRPr="00EA59C0">
        <w:t>),</w:t>
      </w:r>
      <w:r w:rsidR="00C026A6" w:rsidRPr="00EA59C0">
        <w:t xml:space="preserve"> </w:t>
      </w:r>
      <w:r w:rsidRPr="00EA59C0">
        <w:t>and</w:t>
      </w:r>
      <w:r w:rsidR="00C026A6" w:rsidRPr="00EA59C0">
        <w:t xml:space="preserve"> </w:t>
      </w:r>
      <w:r w:rsidRPr="00EA59C0">
        <w:t>29</w:t>
      </w:r>
      <w:r w:rsidR="00C026A6" w:rsidRPr="00EA59C0">
        <w:t xml:space="preserve"> </w:t>
      </w:r>
      <w:r w:rsidRPr="00EA59C0">
        <w:t>CFR</w:t>
      </w:r>
      <w:r w:rsidR="00C026A6" w:rsidRPr="00EA59C0">
        <w:t xml:space="preserve"> </w:t>
      </w:r>
      <w:r w:rsidRPr="00EA59C0">
        <w:t>Part</w:t>
      </w:r>
      <w:r w:rsidR="00C026A6" w:rsidRPr="00EA59C0">
        <w:t xml:space="preserve"> </w:t>
      </w:r>
      <w:r w:rsidRPr="00EA59C0">
        <w:t>97</w:t>
      </w:r>
      <w:r w:rsidR="00C026A6" w:rsidRPr="00EA59C0">
        <w:t xml:space="preserve"> </w:t>
      </w:r>
      <w:r w:rsidRPr="00EA59C0">
        <w:t>(Administrative</w:t>
      </w:r>
      <w:r w:rsidR="00C026A6" w:rsidRPr="00EA59C0">
        <w:t xml:space="preserve"> </w:t>
      </w:r>
      <w:r w:rsidRPr="00EA59C0">
        <w:t>Requirements).</w:t>
      </w:r>
    </w:p>
    <w:p w:rsidR="00144DF0" w:rsidRPr="00EA59C0" w:rsidRDefault="007470AB" w:rsidP="004C3998">
      <w:pPr>
        <w:pStyle w:val="ListParagraph"/>
        <w:widowControl w:val="0"/>
        <w:numPr>
          <w:ilvl w:val="3"/>
          <w:numId w:val="17"/>
        </w:numPr>
        <w:adjustRightInd w:val="0"/>
        <w:textAlignment w:val="baseline"/>
      </w:pPr>
      <w:r w:rsidRPr="00EA59C0">
        <w:t>Profit</w:t>
      </w:r>
      <w:r w:rsidR="00C026A6" w:rsidRPr="00EA59C0">
        <w:t xml:space="preserve"> </w:t>
      </w:r>
      <w:r w:rsidRPr="00EA59C0">
        <w:t>Making</w:t>
      </w:r>
      <w:r w:rsidR="00C026A6" w:rsidRPr="00EA59C0">
        <w:t xml:space="preserve"> </w:t>
      </w:r>
      <w:r w:rsidRPr="00EA59C0">
        <w:t>Commercial</w:t>
      </w:r>
      <w:r w:rsidR="00C026A6" w:rsidRPr="00EA59C0">
        <w:t xml:space="preserve"> </w:t>
      </w:r>
      <w:r w:rsidRPr="00EA59C0">
        <w:t>Firms</w:t>
      </w:r>
      <w:r w:rsidR="00C026A6" w:rsidRPr="00EA59C0">
        <w:t xml:space="preserve"> </w:t>
      </w:r>
      <w:r w:rsidRPr="00EA59C0">
        <w:t>–</w:t>
      </w:r>
      <w:r w:rsidR="00C026A6" w:rsidRPr="00EA59C0">
        <w:t xml:space="preserve"> </w:t>
      </w:r>
      <w:r w:rsidRPr="00EA59C0">
        <w:t>Federal</w:t>
      </w:r>
      <w:r w:rsidR="00C026A6" w:rsidRPr="00EA59C0">
        <w:t xml:space="preserve"> </w:t>
      </w:r>
      <w:r w:rsidRPr="00EA59C0">
        <w:t>Acquisition</w:t>
      </w:r>
      <w:r w:rsidR="00C026A6" w:rsidRPr="00EA59C0">
        <w:t xml:space="preserve"> </w:t>
      </w:r>
      <w:r w:rsidRPr="00EA59C0">
        <w:t>Regulation</w:t>
      </w:r>
      <w:r w:rsidR="00C026A6" w:rsidRPr="00EA59C0">
        <w:t xml:space="preserve"> </w:t>
      </w:r>
      <w:r w:rsidRPr="00EA59C0">
        <w:t>(FAR)</w:t>
      </w:r>
      <w:r w:rsidR="00C026A6" w:rsidRPr="00EA59C0">
        <w:t xml:space="preserve"> </w:t>
      </w:r>
      <w:r w:rsidRPr="00EA59C0">
        <w:t>–</w:t>
      </w:r>
      <w:r w:rsidR="00C026A6" w:rsidRPr="00EA59C0">
        <w:t xml:space="preserve"> </w:t>
      </w:r>
      <w:r w:rsidRPr="00EA59C0">
        <w:t>48</w:t>
      </w:r>
      <w:r w:rsidR="00C026A6" w:rsidRPr="00EA59C0">
        <w:t xml:space="preserve"> </w:t>
      </w:r>
      <w:r w:rsidRPr="00EA59C0">
        <w:t>CFR</w:t>
      </w:r>
      <w:r w:rsidR="00C026A6" w:rsidRPr="00EA59C0">
        <w:t xml:space="preserve"> </w:t>
      </w:r>
      <w:r w:rsidRPr="00EA59C0">
        <w:t>part</w:t>
      </w:r>
      <w:r w:rsidR="00C026A6" w:rsidRPr="00EA59C0">
        <w:t xml:space="preserve"> </w:t>
      </w:r>
      <w:r w:rsidRPr="00EA59C0">
        <w:t>31</w:t>
      </w:r>
      <w:r w:rsidR="00C026A6" w:rsidRPr="00EA59C0">
        <w:t xml:space="preserve"> </w:t>
      </w:r>
      <w:r w:rsidRPr="00EA59C0">
        <w:t>(Cost</w:t>
      </w:r>
      <w:r w:rsidR="00C026A6" w:rsidRPr="00EA59C0">
        <w:t xml:space="preserve"> </w:t>
      </w:r>
      <w:r w:rsidRPr="00EA59C0">
        <w:t>Principles)</w:t>
      </w:r>
      <w:r w:rsidR="00C026A6" w:rsidRPr="00EA59C0">
        <w:t xml:space="preserve"> </w:t>
      </w:r>
      <w:r w:rsidRPr="00EA59C0">
        <w:t>and</w:t>
      </w:r>
      <w:r w:rsidR="00C026A6" w:rsidRPr="00EA59C0">
        <w:t xml:space="preserve"> </w:t>
      </w:r>
      <w:r w:rsidRPr="00EA59C0">
        <w:t>29</w:t>
      </w:r>
      <w:r w:rsidR="00C026A6" w:rsidRPr="00EA59C0">
        <w:t xml:space="preserve"> </w:t>
      </w:r>
      <w:r w:rsidRPr="00EA59C0">
        <w:t>CFR</w:t>
      </w:r>
      <w:r w:rsidR="00C026A6" w:rsidRPr="00EA59C0">
        <w:t xml:space="preserve"> </w:t>
      </w:r>
      <w:r w:rsidRPr="00EA59C0">
        <w:t>Part</w:t>
      </w:r>
      <w:r w:rsidR="00C026A6" w:rsidRPr="00EA59C0">
        <w:t xml:space="preserve"> </w:t>
      </w:r>
      <w:r w:rsidRPr="00EA59C0">
        <w:t>95</w:t>
      </w:r>
      <w:r w:rsidR="00C026A6" w:rsidRPr="00EA59C0">
        <w:t xml:space="preserve"> </w:t>
      </w:r>
      <w:r w:rsidRPr="00EA59C0">
        <w:t>(Administrative</w:t>
      </w:r>
      <w:r w:rsidR="00C026A6" w:rsidRPr="00EA59C0">
        <w:t xml:space="preserve"> </w:t>
      </w:r>
      <w:r w:rsidRPr="00EA59C0">
        <w:t>Requirements).</w:t>
      </w:r>
      <w:r w:rsidR="00C026A6" w:rsidRPr="00EA59C0">
        <w:t xml:space="preserve"> </w:t>
      </w:r>
    </w:p>
    <w:p w:rsidR="00144DF0" w:rsidRPr="00EA59C0" w:rsidRDefault="007470AB" w:rsidP="004C3998">
      <w:pPr>
        <w:pStyle w:val="ListParagraph"/>
        <w:widowControl w:val="0"/>
        <w:numPr>
          <w:ilvl w:val="3"/>
          <w:numId w:val="17"/>
        </w:numPr>
        <w:adjustRightInd w:val="0"/>
        <w:textAlignment w:val="baseline"/>
      </w:pPr>
      <w:r w:rsidRPr="00EA59C0">
        <w:t>All</w:t>
      </w:r>
      <w:r w:rsidR="00C026A6" w:rsidRPr="00EA59C0">
        <w:t xml:space="preserve"> </w:t>
      </w:r>
      <w:r w:rsidRPr="00EA59C0">
        <w:t>entities</w:t>
      </w:r>
      <w:r w:rsidR="00C026A6" w:rsidRPr="00EA59C0">
        <w:t xml:space="preserve"> </w:t>
      </w:r>
      <w:r w:rsidRPr="00EA59C0">
        <w:t>must</w:t>
      </w:r>
      <w:r w:rsidR="00C026A6" w:rsidRPr="00EA59C0">
        <w:t xml:space="preserve"> </w:t>
      </w:r>
      <w:r w:rsidRPr="00EA59C0">
        <w:t>comply</w:t>
      </w:r>
      <w:r w:rsidR="00C026A6" w:rsidRPr="00EA59C0">
        <w:t xml:space="preserve"> </w:t>
      </w:r>
      <w:r w:rsidRPr="00EA59C0">
        <w:t>with</w:t>
      </w:r>
      <w:r w:rsidR="00C026A6" w:rsidRPr="00EA59C0">
        <w:t xml:space="preserve"> </w:t>
      </w:r>
      <w:r w:rsidRPr="00EA59C0">
        <w:t>29</w:t>
      </w:r>
      <w:r w:rsidR="00C026A6" w:rsidRPr="00EA59C0">
        <w:t xml:space="preserve"> </w:t>
      </w:r>
      <w:r w:rsidRPr="00EA59C0">
        <w:t>CFR</w:t>
      </w:r>
      <w:r w:rsidR="00C026A6" w:rsidRPr="00EA59C0">
        <w:t xml:space="preserve"> </w:t>
      </w:r>
      <w:r w:rsidRPr="00EA59C0">
        <w:t>Part</w:t>
      </w:r>
      <w:r w:rsidR="00C026A6" w:rsidRPr="00EA59C0">
        <w:t xml:space="preserve"> </w:t>
      </w:r>
      <w:r w:rsidRPr="00EA59C0">
        <w:t>93</w:t>
      </w:r>
      <w:r w:rsidR="00C026A6" w:rsidRPr="00EA59C0">
        <w:t xml:space="preserve"> </w:t>
      </w:r>
      <w:r w:rsidRPr="00EA59C0">
        <w:t>(New</w:t>
      </w:r>
      <w:r w:rsidR="00C026A6" w:rsidRPr="00EA59C0">
        <w:t xml:space="preserve"> </w:t>
      </w:r>
      <w:r w:rsidRPr="00EA59C0">
        <w:t>Restrictions</w:t>
      </w:r>
      <w:r w:rsidR="00C026A6" w:rsidRPr="00EA59C0">
        <w:t xml:space="preserve"> </w:t>
      </w:r>
      <w:r w:rsidRPr="00EA59C0">
        <w:t>on</w:t>
      </w:r>
      <w:r w:rsidR="00C026A6" w:rsidRPr="00EA59C0">
        <w:t xml:space="preserve"> </w:t>
      </w:r>
      <w:r w:rsidRPr="00EA59C0">
        <w:t>Lobbying),</w:t>
      </w:r>
      <w:r w:rsidR="00C026A6" w:rsidRPr="00EA59C0">
        <w:t xml:space="preserve"> </w:t>
      </w:r>
      <w:r w:rsidRPr="00EA59C0">
        <w:t>29</w:t>
      </w:r>
      <w:r w:rsidR="00C026A6" w:rsidRPr="00EA59C0">
        <w:t xml:space="preserve"> </w:t>
      </w:r>
      <w:r w:rsidRPr="00EA59C0">
        <w:t>CFR</w:t>
      </w:r>
      <w:r w:rsidR="00C026A6" w:rsidRPr="00EA59C0">
        <w:t xml:space="preserve"> </w:t>
      </w:r>
      <w:r w:rsidRPr="00EA59C0">
        <w:t>Part</w:t>
      </w:r>
      <w:r w:rsidR="00C026A6" w:rsidRPr="00EA59C0">
        <w:t xml:space="preserve"> </w:t>
      </w:r>
      <w:r w:rsidRPr="00EA59C0">
        <w:t>94</w:t>
      </w:r>
      <w:r w:rsidR="00C026A6" w:rsidRPr="00EA59C0">
        <w:t xml:space="preserve"> </w:t>
      </w:r>
      <w:r w:rsidRPr="00EA59C0">
        <w:t>(Government</w:t>
      </w:r>
      <w:r w:rsidR="006A7EE0" w:rsidRPr="00EA59C0">
        <w:t>-</w:t>
      </w:r>
      <w:r w:rsidRPr="00EA59C0">
        <w:t>wide</w:t>
      </w:r>
      <w:r w:rsidR="00C026A6" w:rsidRPr="00EA59C0">
        <w:t xml:space="preserve"> </w:t>
      </w:r>
      <w:r w:rsidRPr="00EA59C0">
        <w:t>Requirements</w:t>
      </w:r>
      <w:r w:rsidR="00C026A6" w:rsidRPr="00EA59C0">
        <w:t xml:space="preserve"> </w:t>
      </w:r>
      <w:r w:rsidRPr="00EA59C0">
        <w:t>for</w:t>
      </w:r>
      <w:r w:rsidR="00C026A6" w:rsidRPr="00EA59C0">
        <w:t xml:space="preserve"> </w:t>
      </w:r>
      <w:r w:rsidRPr="00EA59C0">
        <w:t>Drug-Free</w:t>
      </w:r>
      <w:r w:rsidR="00C026A6" w:rsidRPr="00EA59C0">
        <w:t xml:space="preserve"> </w:t>
      </w:r>
      <w:r w:rsidRPr="00EA59C0">
        <w:t>Workplace</w:t>
      </w:r>
      <w:r w:rsidR="00C026A6" w:rsidRPr="00EA59C0">
        <w:t xml:space="preserve"> </w:t>
      </w:r>
      <w:r w:rsidRPr="00EA59C0">
        <w:t>(Financial</w:t>
      </w:r>
      <w:r w:rsidR="00C026A6" w:rsidRPr="00EA59C0">
        <w:t xml:space="preserve"> </w:t>
      </w:r>
      <w:r w:rsidRPr="00EA59C0">
        <w:t>Assistance)),</w:t>
      </w:r>
      <w:r w:rsidR="00C026A6" w:rsidRPr="00EA59C0">
        <w:t xml:space="preserve"> </w:t>
      </w:r>
      <w:r w:rsidRPr="00EA59C0">
        <w:t>29</w:t>
      </w:r>
      <w:r w:rsidR="00C026A6" w:rsidRPr="00EA59C0">
        <w:t xml:space="preserve"> </w:t>
      </w:r>
      <w:r w:rsidRPr="00EA59C0">
        <w:t>CFR</w:t>
      </w:r>
      <w:r w:rsidR="00C026A6" w:rsidRPr="00EA59C0">
        <w:t xml:space="preserve"> </w:t>
      </w:r>
      <w:r w:rsidRPr="00EA59C0">
        <w:t>95.13</w:t>
      </w:r>
      <w:r w:rsidR="00C026A6" w:rsidRPr="00EA59C0">
        <w:t xml:space="preserve"> </w:t>
      </w:r>
      <w:r w:rsidRPr="00EA59C0">
        <w:t>and</w:t>
      </w:r>
      <w:r w:rsidR="00C026A6" w:rsidRPr="00EA59C0">
        <w:t xml:space="preserve"> </w:t>
      </w:r>
      <w:r w:rsidRPr="00EA59C0">
        <w:t>Part</w:t>
      </w:r>
      <w:r w:rsidR="00C026A6" w:rsidRPr="00EA59C0">
        <w:t xml:space="preserve"> </w:t>
      </w:r>
      <w:r w:rsidRPr="00EA59C0">
        <w:t>98</w:t>
      </w:r>
      <w:r w:rsidR="00C026A6" w:rsidRPr="00EA59C0">
        <w:t xml:space="preserve"> </w:t>
      </w:r>
      <w:r w:rsidRPr="00EA59C0">
        <w:t>(Government</w:t>
      </w:r>
      <w:r w:rsidR="006A7EE0" w:rsidRPr="00EA59C0">
        <w:t>-</w:t>
      </w:r>
      <w:r w:rsidRPr="00EA59C0">
        <w:t>wide</w:t>
      </w:r>
      <w:r w:rsidR="00C026A6" w:rsidRPr="00EA59C0">
        <w:t xml:space="preserve"> </w:t>
      </w:r>
      <w:r w:rsidRPr="00EA59C0">
        <w:t>Debarment</w:t>
      </w:r>
      <w:r w:rsidR="00C026A6" w:rsidRPr="00EA59C0">
        <w:t xml:space="preserve"> </w:t>
      </w:r>
      <w:r w:rsidRPr="00EA59C0">
        <w:t>and</w:t>
      </w:r>
      <w:r w:rsidR="00C026A6" w:rsidRPr="00EA59C0">
        <w:t xml:space="preserve"> </w:t>
      </w:r>
      <w:r w:rsidRPr="00EA59C0">
        <w:t>Suspension,</w:t>
      </w:r>
      <w:r w:rsidR="00C026A6" w:rsidRPr="00EA59C0">
        <w:t xml:space="preserve"> </w:t>
      </w:r>
      <w:r w:rsidRPr="00EA59C0">
        <w:t>and</w:t>
      </w:r>
      <w:r w:rsidR="00C026A6" w:rsidRPr="00EA59C0">
        <w:t xml:space="preserve"> </w:t>
      </w:r>
      <w:r w:rsidRPr="00EA59C0">
        <w:t>drug-free</w:t>
      </w:r>
      <w:r w:rsidR="00C026A6" w:rsidRPr="00EA59C0">
        <w:t xml:space="preserve"> </w:t>
      </w:r>
      <w:r w:rsidRPr="00EA59C0">
        <w:t>workplace</w:t>
      </w:r>
      <w:r w:rsidR="00C026A6" w:rsidRPr="00EA59C0">
        <w:t xml:space="preserve"> </w:t>
      </w:r>
      <w:r w:rsidRPr="00EA59C0">
        <w:t>requirements),</w:t>
      </w:r>
      <w:r w:rsidR="00C026A6" w:rsidRPr="00EA59C0">
        <w:t xml:space="preserve"> </w:t>
      </w:r>
      <w:r w:rsidRPr="00EA59C0">
        <w:t>and,</w:t>
      </w:r>
      <w:r w:rsidR="00C026A6" w:rsidRPr="00EA59C0">
        <w:t xml:space="preserve"> </w:t>
      </w:r>
      <w:r w:rsidRPr="00EA59C0">
        <w:t>where</w:t>
      </w:r>
      <w:r w:rsidR="00C026A6" w:rsidRPr="00EA59C0">
        <w:t xml:space="preserve"> </w:t>
      </w:r>
      <w:r w:rsidRPr="00EA59C0">
        <w:t>applicable,</w:t>
      </w:r>
      <w:r w:rsidR="00C026A6" w:rsidRPr="00EA59C0">
        <w:t xml:space="preserve"> </w:t>
      </w:r>
      <w:r w:rsidRPr="00EA59C0">
        <w:t>29</w:t>
      </w:r>
      <w:r w:rsidR="00C026A6" w:rsidRPr="00EA59C0">
        <w:t xml:space="preserve"> </w:t>
      </w:r>
      <w:r w:rsidRPr="00EA59C0">
        <w:t>CFR</w:t>
      </w:r>
      <w:r w:rsidR="00C026A6" w:rsidRPr="00EA59C0">
        <w:t xml:space="preserve"> </w:t>
      </w:r>
      <w:r w:rsidRPr="00EA59C0">
        <w:t>Part</w:t>
      </w:r>
      <w:r w:rsidR="00C026A6" w:rsidRPr="00EA59C0">
        <w:t xml:space="preserve"> </w:t>
      </w:r>
      <w:r w:rsidRPr="00EA59C0">
        <w:t>96</w:t>
      </w:r>
      <w:r w:rsidR="00C026A6" w:rsidRPr="00EA59C0">
        <w:t xml:space="preserve"> </w:t>
      </w:r>
      <w:r w:rsidRPr="00EA59C0">
        <w:t>(Audit</w:t>
      </w:r>
      <w:r w:rsidR="00C026A6" w:rsidRPr="00EA59C0">
        <w:t xml:space="preserve"> </w:t>
      </w:r>
      <w:r w:rsidRPr="00EA59C0">
        <w:t>Requirements</w:t>
      </w:r>
      <w:r w:rsidR="00C026A6" w:rsidRPr="00EA59C0">
        <w:t xml:space="preserve"> </w:t>
      </w:r>
      <w:r w:rsidRPr="00EA59C0">
        <w:t>for</w:t>
      </w:r>
      <w:r w:rsidR="00C026A6" w:rsidRPr="00EA59C0">
        <w:t xml:space="preserve"> </w:t>
      </w:r>
      <w:r w:rsidRPr="00EA59C0">
        <w:t>Grants,</w:t>
      </w:r>
      <w:r w:rsidR="00C026A6" w:rsidRPr="00EA59C0">
        <w:t xml:space="preserve"> </w:t>
      </w:r>
      <w:r w:rsidRPr="00EA59C0">
        <w:t>Contracts,</w:t>
      </w:r>
      <w:r w:rsidR="00C026A6" w:rsidRPr="00EA59C0">
        <w:t xml:space="preserve"> </w:t>
      </w:r>
      <w:r w:rsidRPr="00EA59C0">
        <w:t>and</w:t>
      </w:r>
      <w:r w:rsidR="00C026A6" w:rsidRPr="00EA59C0">
        <w:t xml:space="preserve"> </w:t>
      </w:r>
      <w:r w:rsidRPr="00EA59C0">
        <w:t>Other</w:t>
      </w:r>
      <w:r w:rsidR="00C026A6" w:rsidRPr="00EA59C0">
        <w:t xml:space="preserve"> </w:t>
      </w:r>
      <w:r w:rsidRPr="00EA59C0">
        <w:t>Agreements)</w:t>
      </w:r>
      <w:r w:rsidR="00C026A6" w:rsidRPr="00EA59C0">
        <w:t xml:space="preserve"> </w:t>
      </w:r>
      <w:r w:rsidRPr="00EA59C0">
        <w:t>and</w:t>
      </w:r>
      <w:r w:rsidR="00C026A6" w:rsidRPr="00EA59C0">
        <w:t xml:space="preserve"> </w:t>
      </w:r>
      <w:r w:rsidRPr="00EA59C0">
        <w:t>29</w:t>
      </w:r>
      <w:r w:rsidR="00C026A6" w:rsidRPr="00EA59C0">
        <w:t xml:space="preserve"> </w:t>
      </w:r>
      <w:r w:rsidRPr="00EA59C0">
        <w:t>CFR</w:t>
      </w:r>
      <w:r w:rsidR="00C026A6" w:rsidRPr="00EA59C0">
        <w:t xml:space="preserve"> </w:t>
      </w:r>
      <w:r w:rsidRPr="00EA59C0">
        <w:t>Part</w:t>
      </w:r>
      <w:r w:rsidR="00C026A6" w:rsidRPr="00EA59C0">
        <w:t xml:space="preserve"> </w:t>
      </w:r>
      <w:r w:rsidRPr="00EA59C0">
        <w:t>99</w:t>
      </w:r>
      <w:r w:rsidR="00C026A6" w:rsidRPr="00EA59C0">
        <w:t xml:space="preserve"> </w:t>
      </w:r>
      <w:r w:rsidRPr="00EA59C0">
        <w:t>(Audits</w:t>
      </w:r>
      <w:r w:rsidR="00C026A6" w:rsidRPr="00EA59C0">
        <w:t xml:space="preserve"> </w:t>
      </w:r>
      <w:r w:rsidRPr="00EA59C0">
        <w:t>of</w:t>
      </w:r>
      <w:r w:rsidR="00C026A6" w:rsidRPr="00EA59C0">
        <w:t xml:space="preserve"> </w:t>
      </w:r>
      <w:r w:rsidRPr="00EA59C0">
        <w:t>States,</w:t>
      </w:r>
      <w:r w:rsidR="00C026A6" w:rsidRPr="00EA59C0">
        <w:t xml:space="preserve"> </w:t>
      </w:r>
      <w:r w:rsidRPr="00EA59C0">
        <w:t>Local</w:t>
      </w:r>
      <w:r w:rsidR="00C026A6" w:rsidRPr="00EA59C0">
        <w:t xml:space="preserve"> </w:t>
      </w:r>
      <w:r w:rsidRPr="00EA59C0">
        <w:t>Governments</w:t>
      </w:r>
      <w:r w:rsidR="00C026A6" w:rsidRPr="00EA59C0">
        <w:t xml:space="preserve"> </w:t>
      </w:r>
      <w:r w:rsidRPr="00EA59C0">
        <w:t>and</w:t>
      </w:r>
      <w:r w:rsidR="00C026A6" w:rsidRPr="00EA59C0">
        <w:t xml:space="preserve"> </w:t>
      </w:r>
      <w:r w:rsidRPr="00EA59C0">
        <w:t>Non-Profit</w:t>
      </w:r>
      <w:r w:rsidR="00C026A6" w:rsidRPr="00EA59C0">
        <w:t xml:space="preserve"> </w:t>
      </w:r>
      <w:r w:rsidRPr="00EA59C0">
        <w:t>Organizations).</w:t>
      </w:r>
      <w:r w:rsidR="00C026A6" w:rsidRPr="00EA59C0">
        <w:t xml:space="preserve"> </w:t>
      </w:r>
    </w:p>
    <w:p w:rsidR="00144DF0" w:rsidRPr="00EA59C0" w:rsidRDefault="007470AB" w:rsidP="004C3998">
      <w:pPr>
        <w:pStyle w:val="ListParagraph"/>
        <w:widowControl w:val="0"/>
        <w:numPr>
          <w:ilvl w:val="3"/>
          <w:numId w:val="17"/>
        </w:numPr>
        <w:adjustRightInd w:val="0"/>
        <w:textAlignment w:val="baseline"/>
      </w:pPr>
      <w:r w:rsidRPr="00EA59C0">
        <w:t>29</w:t>
      </w:r>
      <w:r w:rsidR="00C026A6" w:rsidRPr="00EA59C0">
        <w:t xml:space="preserve"> </w:t>
      </w:r>
      <w:r w:rsidRPr="00EA59C0">
        <w:t>CFR</w:t>
      </w:r>
      <w:r w:rsidR="00C026A6" w:rsidRPr="00EA59C0">
        <w:t xml:space="preserve"> </w:t>
      </w:r>
      <w:r w:rsidRPr="00EA59C0">
        <w:t>Part</w:t>
      </w:r>
      <w:r w:rsidR="00C026A6" w:rsidRPr="00EA59C0">
        <w:t xml:space="preserve"> </w:t>
      </w:r>
      <w:r w:rsidRPr="00EA59C0">
        <w:t>2,</w:t>
      </w:r>
      <w:r w:rsidR="00C026A6" w:rsidRPr="00EA59C0">
        <w:t xml:space="preserve"> </w:t>
      </w:r>
      <w:r w:rsidRPr="00EA59C0">
        <w:t>subpart</w:t>
      </w:r>
      <w:r w:rsidR="00C026A6" w:rsidRPr="00EA59C0">
        <w:t xml:space="preserve"> </w:t>
      </w:r>
      <w:r w:rsidRPr="00EA59C0">
        <w:t>D—Equal</w:t>
      </w:r>
      <w:r w:rsidR="00C026A6" w:rsidRPr="00EA59C0">
        <w:t xml:space="preserve"> </w:t>
      </w:r>
      <w:r w:rsidRPr="00EA59C0">
        <w:t>Treatment</w:t>
      </w:r>
      <w:r w:rsidR="00C026A6" w:rsidRPr="00EA59C0">
        <w:t xml:space="preserve"> </w:t>
      </w:r>
      <w:r w:rsidRPr="00EA59C0">
        <w:t>in</w:t>
      </w:r>
      <w:r w:rsidR="00C026A6" w:rsidRPr="00EA59C0">
        <w:t xml:space="preserve"> </w:t>
      </w:r>
      <w:r w:rsidRPr="00EA59C0">
        <w:t>Department</w:t>
      </w:r>
      <w:r w:rsidR="00C026A6" w:rsidRPr="00EA59C0">
        <w:t xml:space="preserve"> </w:t>
      </w:r>
      <w:r w:rsidRPr="00EA59C0">
        <w:t>of</w:t>
      </w:r>
      <w:r w:rsidR="00C026A6" w:rsidRPr="00EA59C0">
        <w:t xml:space="preserve"> </w:t>
      </w:r>
      <w:r w:rsidRPr="00EA59C0">
        <w:t>Labor</w:t>
      </w:r>
      <w:r w:rsidR="00C026A6" w:rsidRPr="00EA59C0">
        <w:t xml:space="preserve"> </w:t>
      </w:r>
      <w:r w:rsidRPr="00EA59C0">
        <w:t>Programs</w:t>
      </w:r>
      <w:r w:rsidR="00C026A6" w:rsidRPr="00EA59C0">
        <w:t xml:space="preserve"> </w:t>
      </w:r>
      <w:r w:rsidRPr="00EA59C0">
        <w:t>for</w:t>
      </w:r>
      <w:r w:rsidR="00C026A6" w:rsidRPr="00EA59C0">
        <w:t xml:space="preserve"> </w:t>
      </w:r>
      <w:r w:rsidRPr="00EA59C0">
        <w:t>Religious</w:t>
      </w:r>
      <w:r w:rsidR="00C026A6" w:rsidRPr="00EA59C0">
        <w:t xml:space="preserve"> </w:t>
      </w:r>
      <w:r w:rsidRPr="00EA59C0">
        <w:t>Organizations,</w:t>
      </w:r>
      <w:r w:rsidR="00C026A6" w:rsidRPr="00EA59C0">
        <w:t xml:space="preserve"> </w:t>
      </w:r>
      <w:r w:rsidRPr="00EA59C0">
        <w:t>Protection</w:t>
      </w:r>
      <w:r w:rsidR="00C026A6" w:rsidRPr="00EA59C0">
        <w:t xml:space="preserve"> </w:t>
      </w:r>
      <w:r w:rsidRPr="00EA59C0">
        <w:t>of</w:t>
      </w:r>
      <w:r w:rsidR="00C026A6" w:rsidRPr="00EA59C0">
        <w:t xml:space="preserve"> </w:t>
      </w:r>
      <w:r w:rsidRPr="00EA59C0">
        <w:t>Religious</w:t>
      </w:r>
      <w:r w:rsidR="00C026A6" w:rsidRPr="00EA59C0">
        <w:t xml:space="preserve"> </w:t>
      </w:r>
      <w:r w:rsidRPr="00EA59C0">
        <w:t>Liberty</w:t>
      </w:r>
      <w:r w:rsidR="00C026A6" w:rsidRPr="00EA59C0">
        <w:t xml:space="preserve"> </w:t>
      </w:r>
      <w:r w:rsidRPr="00EA59C0">
        <w:t>of</w:t>
      </w:r>
      <w:r w:rsidR="00C026A6" w:rsidRPr="00EA59C0">
        <w:t xml:space="preserve"> </w:t>
      </w:r>
      <w:r w:rsidRPr="00EA59C0">
        <w:t>Department</w:t>
      </w:r>
      <w:r w:rsidR="00C026A6" w:rsidRPr="00EA59C0">
        <w:t xml:space="preserve"> </w:t>
      </w:r>
      <w:r w:rsidRPr="00EA59C0">
        <w:t>of</w:t>
      </w:r>
      <w:r w:rsidR="00C026A6" w:rsidRPr="00EA59C0">
        <w:t xml:space="preserve"> </w:t>
      </w:r>
      <w:r w:rsidRPr="00EA59C0">
        <w:t>Labor</w:t>
      </w:r>
      <w:r w:rsidR="00C026A6" w:rsidRPr="00EA59C0">
        <w:t xml:space="preserve"> </w:t>
      </w:r>
      <w:r w:rsidRPr="00EA59C0">
        <w:t>Social</w:t>
      </w:r>
      <w:r w:rsidR="00C026A6" w:rsidRPr="00EA59C0">
        <w:t xml:space="preserve"> </w:t>
      </w:r>
      <w:r w:rsidRPr="00EA59C0">
        <w:t>Service</w:t>
      </w:r>
      <w:r w:rsidR="00C026A6" w:rsidRPr="00EA59C0">
        <w:t xml:space="preserve"> </w:t>
      </w:r>
      <w:r w:rsidRPr="00EA59C0">
        <w:t>Providers</w:t>
      </w:r>
      <w:r w:rsidR="00C026A6" w:rsidRPr="00EA59C0">
        <w:t xml:space="preserve"> </w:t>
      </w:r>
      <w:r w:rsidRPr="00EA59C0">
        <w:t>and</w:t>
      </w:r>
      <w:r w:rsidR="00C026A6" w:rsidRPr="00EA59C0">
        <w:t xml:space="preserve"> </w:t>
      </w:r>
      <w:r w:rsidRPr="00EA59C0">
        <w:t>Beneficiaries.</w:t>
      </w:r>
    </w:p>
    <w:p w:rsidR="00144DF0" w:rsidRPr="00EA59C0" w:rsidRDefault="007470AB" w:rsidP="004C3998">
      <w:pPr>
        <w:pStyle w:val="ListParagraph"/>
        <w:widowControl w:val="0"/>
        <w:numPr>
          <w:ilvl w:val="3"/>
          <w:numId w:val="17"/>
        </w:numPr>
        <w:adjustRightInd w:val="0"/>
        <w:textAlignment w:val="baseline"/>
      </w:pPr>
      <w:r w:rsidRPr="00EA59C0">
        <w:t>29</w:t>
      </w:r>
      <w:r w:rsidR="00C026A6" w:rsidRPr="00EA59C0">
        <w:t xml:space="preserve"> </w:t>
      </w:r>
      <w:r w:rsidRPr="00EA59C0">
        <w:t>CFR</w:t>
      </w:r>
      <w:r w:rsidR="00C026A6" w:rsidRPr="00EA59C0">
        <w:t xml:space="preserve"> </w:t>
      </w:r>
      <w:r w:rsidRPr="00EA59C0">
        <w:t>Part</w:t>
      </w:r>
      <w:r w:rsidR="00C026A6" w:rsidRPr="00EA59C0">
        <w:t xml:space="preserve"> </w:t>
      </w:r>
      <w:r w:rsidRPr="00EA59C0">
        <w:t>31—Nondiscrimination</w:t>
      </w:r>
      <w:r w:rsidR="00C026A6" w:rsidRPr="00EA59C0">
        <w:t xml:space="preserve"> </w:t>
      </w:r>
      <w:r w:rsidRPr="00EA59C0">
        <w:t>in</w:t>
      </w:r>
      <w:r w:rsidR="00C026A6" w:rsidRPr="00EA59C0">
        <w:t xml:space="preserve"> </w:t>
      </w:r>
      <w:r w:rsidRPr="00EA59C0">
        <w:t>Federally</w:t>
      </w:r>
      <w:r w:rsidR="00C026A6" w:rsidRPr="00EA59C0">
        <w:t xml:space="preserve"> </w:t>
      </w:r>
      <w:r w:rsidRPr="00EA59C0">
        <w:t>Assisted</w:t>
      </w:r>
      <w:r w:rsidR="00C026A6" w:rsidRPr="00EA59C0">
        <w:t xml:space="preserve"> </w:t>
      </w:r>
      <w:r w:rsidRPr="00EA59C0">
        <w:t>Programs</w:t>
      </w:r>
      <w:r w:rsidR="00C026A6" w:rsidRPr="00EA59C0">
        <w:t xml:space="preserve"> </w:t>
      </w:r>
      <w:r w:rsidRPr="00EA59C0">
        <w:t>of</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of</w:t>
      </w:r>
      <w:r w:rsidR="00C026A6" w:rsidRPr="00EA59C0">
        <w:t xml:space="preserve"> </w:t>
      </w:r>
      <w:r w:rsidRPr="00EA59C0">
        <w:t>Labor—Effectuation</w:t>
      </w:r>
      <w:r w:rsidR="00C026A6" w:rsidRPr="00EA59C0">
        <w:t xml:space="preserve"> </w:t>
      </w:r>
      <w:r w:rsidRPr="00EA59C0">
        <w:t>of</w:t>
      </w:r>
      <w:r w:rsidR="00C026A6" w:rsidRPr="00EA59C0">
        <w:t xml:space="preserve"> </w:t>
      </w:r>
      <w:r w:rsidRPr="00EA59C0">
        <w:t>Title</w:t>
      </w:r>
      <w:r w:rsidR="00C026A6" w:rsidRPr="00EA59C0">
        <w:t xml:space="preserve"> </w:t>
      </w:r>
      <w:r w:rsidRPr="00EA59C0">
        <w:t>VI</w:t>
      </w:r>
      <w:r w:rsidR="00C026A6" w:rsidRPr="00EA59C0">
        <w:t xml:space="preserve"> </w:t>
      </w:r>
      <w:r w:rsidRPr="00EA59C0">
        <w:t>of</w:t>
      </w:r>
      <w:r w:rsidR="00C026A6" w:rsidRPr="00EA59C0">
        <w:t xml:space="preserve"> </w:t>
      </w:r>
      <w:r w:rsidRPr="00EA59C0">
        <w:t>the</w:t>
      </w:r>
      <w:r w:rsidR="00C026A6" w:rsidRPr="00EA59C0">
        <w:t xml:space="preserve"> </w:t>
      </w:r>
      <w:r w:rsidRPr="00EA59C0">
        <w:t>Civil</w:t>
      </w:r>
      <w:r w:rsidR="00C026A6" w:rsidRPr="00EA59C0">
        <w:t xml:space="preserve"> </w:t>
      </w:r>
      <w:r w:rsidRPr="00EA59C0">
        <w:t>Rights</w:t>
      </w:r>
      <w:r w:rsidR="00C026A6" w:rsidRPr="00EA59C0">
        <w:t xml:space="preserve"> </w:t>
      </w:r>
      <w:r w:rsidRPr="00EA59C0">
        <w:t>Act</w:t>
      </w:r>
      <w:r w:rsidR="00C026A6" w:rsidRPr="00EA59C0">
        <w:t xml:space="preserve"> </w:t>
      </w:r>
      <w:r w:rsidRPr="00EA59C0">
        <w:t>of</w:t>
      </w:r>
      <w:r w:rsidR="00C026A6" w:rsidRPr="00EA59C0">
        <w:t xml:space="preserve"> </w:t>
      </w:r>
      <w:r w:rsidRPr="00EA59C0">
        <w:t>1964.</w:t>
      </w:r>
      <w:r w:rsidR="00C026A6" w:rsidRPr="00EA59C0">
        <w:t xml:space="preserve"> </w:t>
      </w:r>
    </w:p>
    <w:p w:rsidR="00144DF0" w:rsidRPr="00EA59C0" w:rsidRDefault="007470AB" w:rsidP="004C3998">
      <w:pPr>
        <w:pStyle w:val="ListParagraph"/>
        <w:widowControl w:val="0"/>
        <w:numPr>
          <w:ilvl w:val="3"/>
          <w:numId w:val="17"/>
        </w:numPr>
        <w:adjustRightInd w:val="0"/>
        <w:textAlignment w:val="baseline"/>
      </w:pPr>
      <w:r w:rsidRPr="00EA59C0">
        <w:t>29</w:t>
      </w:r>
      <w:r w:rsidR="00C026A6" w:rsidRPr="00EA59C0">
        <w:t xml:space="preserve"> </w:t>
      </w:r>
      <w:r w:rsidRPr="00EA59C0">
        <w:t>CFR</w:t>
      </w:r>
      <w:r w:rsidR="00C026A6" w:rsidRPr="00EA59C0">
        <w:t xml:space="preserve"> </w:t>
      </w:r>
      <w:r w:rsidRPr="00EA59C0">
        <w:t>Part</w:t>
      </w:r>
      <w:r w:rsidR="00C026A6" w:rsidRPr="00EA59C0">
        <w:t xml:space="preserve"> </w:t>
      </w:r>
      <w:r w:rsidRPr="00EA59C0">
        <w:t>32—Nondiscrimination</w:t>
      </w:r>
      <w:r w:rsidR="00C026A6" w:rsidRPr="00EA59C0">
        <w:t xml:space="preserve"> </w:t>
      </w:r>
      <w:r w:rsidRPr="00EA59C0">
        <w:t>on</w:t>
      </w:r>
      <w:r w:rsidR="00C026A6" w:rsidRPr="00EA59C0">
        <w:t xml:space="preserve"> </w:t>
      </w:r>
      <w:r w:rsidRPr="00EA59C0">
        <w:t>the</w:t>
      </w:r>
      <w:r w:rsidR="00C026A6" w:rsidRPr="00EA59C0">
        <w:t xml:space="preserve"> </w:t>
      </w:r>
      <w:r w:rsidRPr="00EA59C0">
        <w:t>Basis</w:t>
      </w:r>
      <w:r w:rsidR="00C026A6" w:rsidRPr="00EA59C0">
        <w:t xml:space="preserve"> </w:t>
      </w:r>
      <w:r w:rsidRPr="00EA59C0">
        <w:t>of</w:t>
      </w:r>
      <w:r w:rsidR="00C026A6" w:rsidRPr="00EA59C0">
        <w:t xml:space="preserve"> </w:t>
      </w:r>
      <w:r w:rsidRPr="00EA59C0">
        <w:t>Handicap</w:t>
      </w:r>
      <w:r w:rsidR="00C026A6" w:rsidRPr="00EA59C0">
        <w:t xml:space="preserve"> </w:t>
      </w:r>
      <w:r w:rsidRPr="00EA59C0">
        <w:t>in</w:t>
      </w:r>
      <w:r w:rsidR="00C026A6" w:rsidRPr="00EA59C0">
        <w:t xml:space="preserve"> </w:t>
      </w:r>
      <w:r w:rsidRPr="00EA59C0">
        <w:t>Programs</w:t>
      </w:r>
      <w:r w:rsidR="00C026A6" w:rsidRPr="00EA59C0">
        <w:t xml:space="preserve"> </w:t>
      </w:r>
      <w:r w:rsidRPr="00EA59C0">
        <w:t>or</w:t>
      </w:r>
      <w:r w:rsidR="00C026A6" w:rsidRPr="00EA59C0">
        <w:t xml:space="preserve"> </w:t>
      </w:r>
      <w:r w:rsidRPr="00EA59C0">
        <w:t>Activities</w:t>
      </w:r>
      <w:r w:rsidR="00C026A6" w:rsidRPr="00EA59C0">
        <w:t xml:space="preserve"> </w:t>
      </w:r>
      <w:r w:rsidRPr="00EA59C0">
        <w:t>Receiving</w:t>
      </w:r>
      <w:r w:rsidR="00C026A6" w:rsidRPr="00EA59C0">
        <w:t xml:space="preserve"> </w:t>
      </w:r>
      <w:r w:rsidRPr="00EA59C0">
        <w:t>Federal</w:t>
      </w:r>
      <w:r w:rsidR="00C026A6" w:rsidRPr="00EA59C0">
        <w:t xml:space="preserve"> </w:t>
      </w:r>
      <w:r w:rsidRPr="00EA59C0">
        <w:t>Financial</w:t>
      </w:r>
      <w:r w:rsidR="00C026A6" w:rsidRPr="00EA59C0">
        <w:t xml:space="preserve"> </w:t>
      </w:r>
      <w:r w:rsidRPr="00EA59C0">
        <w:t>Assistance.</w:t>
      </w:r>
      <w:r w:rsidR="00C026A6" w:rsidRPr="00EA59C0">
        <w:t xml:space="preserve"> </w:t>
      </w:r>
    </w:p>
    <w:p w:rsidR="00144DF0" w:rsidRPr="00EA59C0" w:rsidRDefault="007470AB" w:rsidP="004C3998">
      <w:pPr>
        <w:pStyle w:val="ListParagraph"/>
        <w:widowControl w:val="0"/>
        <w:numPr>
          <w:ilvl w:val="3"/>
          <w:numId w:val="17"/>
        </w:numPr>
        <w:adjustRightInd w:val="0"/>
        <w:textAlignment w:val="baseline"/>
      </w:pPr>
      <w:r w:rsidRPr="00EA59C0">
        <w:t>29</w:t>
      </w:r>
      <w:r w:rsidR="00C026A6" w:rsidRPr="00EA59C0">
        <w:t xml:space="preserve"> </w:t>
      </w:r>
      <w:r w:rsidRPr="00EA59C0">
        <w:t>CFR</w:t>
      </w:r>
      <w:r w:rsidR="00C026A6" w:rsidRPr="00EA59C0">
        <w:t xml:space="preserve"> </w:t>
      </w:r>
      <w:r w:rsidRPr="00EA59C0">
        <w:t>Part</w:t>
      </w:r>
      <w:r w:rsidR="00C026A6" w:rsidRPr="00EA59C0">
        <w:t xml:space="preserve"> </w:t>
      </w:r>
      <w:r w:rsidRPr="00EA59C0">
        <w:t>35—</w:t>
      </w:r>
      <w:r w:rsidR="00C026A6" w:rsidRPr="00EA59C0">
        <w:t xml:space="preserve"> </w:t>
      </w:r>
      <w:r w:rsidRPr="00EA59C0">
        <w:t>Nondiscrimination</w:t>
      </w:r>
      <w:r w:rsidR="00C026A6" w:rsidRPr="00EA59C0">
        <w:t xml:space="preserve"> </w:t>
      </w:r>
      <w:r w:rsidRPr="00EA59C0">
        <w:t>on</w:t>
      </w:r>
      <w:r w:rsidR="00C026A6" w:rsidRPr="00EA59C0">
        <w:t xml:space="preserve"> </w:t>
      </w:r>
      <w:r w:rsidRPr="00EA59C0">
        <w:t>the</w:t>
      </w:r>
      <w:r w:rsidR="00C026A6" w:rsidRPr="00EA59C0">
        <w:t xml:space="preserve"> </w:t>
      </w:r>
      <w:r w:rsidRPr="00EA59C0">
        <w:t>Basis</w:t>
      </w:r>
      <w:r w:rsidR="00C026A6" w:rsidRPr="00EA59C0">
        <w:t xml:space="preserve"> </w:t>
      </w:r>
      <w:r w:rsidRPr="00EA59C0">
        <w:t>of</w:t>
      </w:r>
      <w:r w:rsidR="00C026A6" w:rsidRPr="00EA59C0">
        <w:t xml:space="preserve"> </w:t>
      </w:r>
      <w:r w:rsidRPr="00EA59C0">
        <w:t>Age</w:t>
      </w:r>
      <w:r w:rsidR="00C026A6" w:rsidRPr="00EA59C0">
        <w:t xml:space="preserve"> </w:t>
      </w:r>
      <w:r w:rsidRPr="00EA59C0">
        <w:t>in</w:t>
      </w:r>
      <w:r w:rsidR="00C026A6" w:rsidRPr="00EA59C0">
        <w:t xml:space="preserve"> </w:t>
      </w:r>
      <w:r w:rsidRPr="00EA59C0">
        <w:t>Programs</w:t>
      </w:r>
      <w:r w:rsidR="00C026A6" w:rsidRPr="00EA59C0">
        <w:t xml:space="preserve"> </w:t>
      </w:r>
      <w:r w:rsidRPr="00EA59C0">
        <w:t>or</w:t>
      </w:r>
      <w:r w:rsidR="00C026A6" w:rsidRPr="00EA59C0">
        <w:t xml:space="preserve"> </w:t>
      </w:r>
      <w:r w:rsidRPr="00EA59C0">
        <w:t>Activities</w:t>
      </w:r>
      <w:r w:rsidR="00C026A6" w:rsidRPr="00EA59C0">
        <w:t xml:space="preserve"> </w:t>
      </w:r>
      <w:r w:rsidRPr="00EA59C0">
        <w:t>Receiving</w:t>
      </w:r>
      <w:r w:rsidR="00C026A6" w:rsidRPr="00EA59C0">
        <w:t xml:space="preserve"> </w:t>
      </w:r>
      <w:r w:rsidRPr="00EA59C0">
        <w:t>Federal</w:t>
      </w:r>
      <w:r w:rsidR="00C026A6" w:rsidRPr="00EA59C0">
        <w:t xml:space="preserve"> </w:t>
      </w:r>
      <w:r w:rsidRPr="00EA59C0">
        <w:t>Financial</w:t>
      </w:r>
      <w:r w:rsidR="00C026A6" w:rsidRPr="00EA59C0">
        <w:t xml:space="preserve"> </w:t>
      </w:r>
      <w:r w:rsidRPr="00EA59C0">
        <w:t>Assistance</w:t>
      </w:r>
      <w:r w:rsidR="00C026A6" w:rsidRPr="00EA59C0">
        <w:t xml:space="preserve"> </w:t>
      </w:r>
      <w:r w:rsidRPr="00EA59C0">
        <w:t>from</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of</w:t>
      </w:r>
      <w:r w:rsidR="00C026A6" w:rsidRPr="00EA59C0">
        <w:t xml:space="preserve"> </w:t>
      </w:r>
      <w:r w:rsidRPr="00EA59C0">
        <w:t>Labor.</w:t>
      </w:r>
    </w:p>
    <w:p w:rsidR="00144DF0" w:rsidRPr="00EA59C0" w:rsidRDefault="007470AB" w:rsidP="004C3998">
      <w:pPr>
        <w:pStyle w:val="ListParagraph"/>
        <w:widowControl w:val="0"/>
        <w:numPr>
          <w:ilvl w:val="3"/>
          <w:numId w:val="17"/>
        </w:numPr>
        <w:adjustRightInd w:val="0"/>
        <w:textAlignment w:val="baseline"/>
      </w:pPr>
      <w:r w:rsidRPr="00EA59C0">
        <w:t>29</w:t>
      </w:r>
      <w:r w:rsidR="00C026A6" w:rsidRPr="00EA59C0">
        <w:t xml:space="preserve"> </w:t>
      </w:r>
      <w:r w:rsidRPr="00EA59C0">
        <w:t>CFR</w:t>
      </w:r>
      <w:r w:rsidR="00C026A6" w:rsidRPr="00EA59C0">
        <w:t xml:space="preserve"> </w:t>
      </w:r>
      <w:r w:rsidRPr="00EA59C0">
        <w:t>Part</w:t>
      </w:r>
      <w:r w:rsidR="00C026A6" w:rsidRPr="00EA59C0">
        <w:t xml:space="preserve"> </w:t>
      </w:r>
      <w:r w:rsidRPr="00EA59C0">
        <w:t>36—Nondiscrimination</w:t>
      </w:r>
      <w:r w:rsidR="00C026A6" w:rsidRPr="00EA59C0">
        <w:t xml:space="preserve"> </w:t>
      </w:r>
      <w:r w:rsidRPr="00EA59C0">
        <w:t>on</w:t>
      </w:r>
      <w:r w:rsidR="00C026A6" w:rsidRPr="00EA59C0">
        <w:t xml:space="preserve"> </w:t>
      </w:r>
      <w:r w:rsidRPr="00EA59C0">
        <w:t>the</w:t>
      </w:r>
      <w:r w:rsidR="00C026A6" w:rsidRPr="00EA59C0">
        <w:t xml:space="preserve"> </w:t>
      </w:r>
      <w:r w:rsidRPr="00EA59C0">
        <w:t>Basis</w:t>
      </w:r>
      <w:r w:rsidR="00C026A6" w:rsidRPr="00EA59C0">
        <w:t xml:space="preserve"> </w:t>
      </w:r>
      <w:r w:rsidRPr="00EA59C0">
        <w:t>of</w:t>
      </w:r>
      <w:r w:rsidR="00C026A6" w:rsidRPr="00EA59C0">
        <w:t xml:space="preserve"> </w:t>
      </w:r>
      <w:r w:rsidRPr="00EA59C0">
        <w:t>Sex</w:t>
      </w:r>
      <w:r w:rsidR="00C026A6" w:rsidRPr="00EA59C0">
        <w:t xml:space="preserve"> </w:t>
      </w:r>
      <w:r w:rsidRPr="00EA59C0">
        <w:t>in</w:t>
      </w:r>
      <w:r w:rsidR="00C026A6" w:rsidRPr="00EA59C0">
        <w:t xml:space="preserve"> </w:t>
      </w:r>
      <w:r w:rsidRPr="00EA59C0">
        <w:t>Education</w:t>
      </w:r>
      <w:r w:rsidR="00C026A6" w:rsidRPr="00EA59C0">
        <w:t xml:space="preserve"> </w:t>
      </w:r>
      <w:r w:rsidRPr="00EA59C0">
        <w:t>Programs</w:t>
      </w:r>
      <w:r w:rsidR="00C026A6" w:rsidRPr="00EA59C0">
        <w:t xml:space="preserve"> </w:t>
      </w:r>
      <w:r w:rsidRPr="00EA59C0">
        <w:t>or</w:t>
      </w:r>
      <w:r w:rsidR="00C026A6" w:rsidRPr="00EA59C0">
        <w:t xml:space="preserve"> </w:t>
      </w:r>
      <w:r w:rsidRPr="00EA59C0">
        <w:t>Activities</w:t>
      </w:r>
      <w:r w:rsidR="00C026A6" w:rsidRPr="00EA59C0">
        <w:t xml:space="preserve"> </w:t>
      </w:r>
      <w:r w:rsidRPr="00EA59C0">
        <w:t>Receiving</w:t>
      </w:r>
      <w:r w:rsidR="00C026A6" w:rsidRPr="00EA59C0">
        <w:t xml:space="preserve"> </w:t>
      </w:r>
      <w:r w:rsidRPr="00EA59C0">
        <w:t>Federal</w:t>
      </w:r>
      <w:r w:rsidR="00C026A6" w:rsidRPr="00EA59C0">
        <w:t xml:space="preserve"> </w:t>
      </w:r>
      <w:r w:rsidRPr="00EA59C0">
        <w:t>Financial</w:t>
      </w:r>
      <w:r w:rsidR="00C026A6" w:rsidRPr="00EA59C0">
        <w:t xml:space="preserve"> </w:t>
      </w:r>
      <w:r w:rsidRPr="00EA59C0">
        <w:t>Assistance.</w:t>
      </w:r>
    </w:p>
    <w:p w:rsidR="00144DF0" w:rsidRPr="00EA59C0" w:rsidRDefault="007470AB" w:rsidP="004C3998">
      <w:pPr>
        <w:pStyle w:val="ListParagraph"/>
        <w:widowControl w:val="0"/>
        <w:numPr>
          <w:ilvl w:val="3"/>
          <w:numId w:val="17"/>
        </w:numPr>
        <w:adjustRightInd w:val="0"/>
        <w:textAlignment w:val="baseline"/>
      </w:pPr>
      <w:r w:rsidRPr="00EA59C0">
        <w:t>29</w:t>
      </w:r>
      <w:r w:rsidR="00C026A6" w:rsidRPr="00EA59C0">
        <w:t xml:space="preserve"> </w:t>
      </w:r>
      <w:r w:rsidRPr="00EA59C0">
        <w:t>CFR</w:t>
      </w:r>
      <w:r w:rsidR="00C026A6" w:rsidRPr="00EA59C0">
        <w:t xml:space="preserve"> </w:t>
      </w:r>
      <w:r w:rsidRPr="00EA59C0">
        <w:t>Part</w:t>
      </w:r>
      <w:r w:rsidR="00C026A6" w:rsidRPr="00EA59C0">
        <w:t xml:space="preserve"> </w:t>
      </w:r>
      <w:r w:rsidRPr="00EA59C0">
        <w:t>37</w:t>
      </w:r>
      <w:r w:rsidR="00C026A6" w:rsidRPr="00EA59C0">
        <w:t xml:space="preserve"> </w:t>
      </w:r>
      <w:r w:rsidRPr="00EA59C0">
        <w:t>–</w:t>
      </w:r>
      <w:r w:rsidR="00C026A6" w:rsidRPr="00EA59C0">
        <w:t xml:space="preserve"> </w:t>
      </w:r>
      <w:r w:rsidRPr="00EA59C0">
        <w:t>Implementation</w:t>
      </w:r>
      <w:r w:rsidR="00C026A6" w:rsidRPr="00EA59C0">
        <w:t xml:space="preserve"> </w:t>
      </w:r>
      <w:r w:rsidRPr="00EA59C0">
        <w:t>of</w:t>
      </w:r>
      <w:r w:rsidR="00C026A6" w:rsidRPr="00EA59C0">
        <w:t xml:space="preserve"> </w:t>
      </w:r>
      <w:r w:rsidRPr="00EA59C0">
        <w:t>the</w:t>
      </w:r>
      <w:r w:rsidR="00C026A6" w:rsidRPr="00EA59C0">
        <w:t xml:space="preserve"> </w:t>
      </w:r>
      <w:r w:rsidRPr="00EA59C0">
        <w:t>Nondiscrimination</w:t>
      </w:r>
      <w:r w:rsidR="00C026A6" w:rsidRPr="00EA59C0">
        <w:t xml:space="preserve"> </w:t>
      </w:r>
      <w:r w:rsidRPr="00EA59C0">
        <w:t>and</w:t>
      </w:r>
      <w:r w:rsidR="00C026A6" w:rsidRPr="00EA59C0">
        <w:t xml:space="preserve"> </w:t>
      </w:r>
      <w:r w:rsidRPr="00EA59C0">
        <w:t>Equal</w:t>
      </w:r>
      <w:r w:rsidR="00C026A6" w:rsidRPr="00EA59C0">
        <w:t xml:space="preserve"> </w:t>
      </w:r>
      <w:r w:rsidRPr="00EA59C0">
        <w:t>Opportunity</w:t>
      </w:r>
      <w:r w:rsidR="00C026A6" w:rsidRPr="00EA59C0">
        <w:t xml:space="preserve"> </w:t>
      </w:r>
      <w:r w:rsidRPr="00EA59C0">
        <w:t>Provisions</w:t>
      </w:r>
      <w:r w:rsidR="00C026A6" w:rsidRPr="00EA59C0">
        <w:t xml:space="preserve"> </w:t>
      </w:r>
      <w:r w:rsidRPr="00EA59C0">
        <w:t>of</w:t>
      </w:r>
      <w:r w:rsidR="00C026A6" w:rsidRPr="00EA59C0">
        <w:t xml:space="preserve"> </w:t>
      </w:r>
      <w:r w:rsidRPr="00EA59C0">
        <w:t>the</w:t>
      </w:r>
      <w:r w:rsidR="00C026A6" w:rsidRPr="00EA59C0">
        <w:t xml:space="preserve"> </w:t>
      </w:r>
      <w:r w:rsidRPr="00EA59C0">
        <w:t>Workforce</w:t>
      </w:r>
      <w:r w:rsidR="00C026A6" w:rsidRPr="00EA59C0">
        <w:t xml:space="preserve"> </w:t>
      </w:r>
      <w:r w:rsidRPr="00EA59C0">
        <w:t>Investment</w:t>
      </w:r>
      <w:r w:rsidR="00C026A6" w:rsidRPr="00EA59C0">
        <w:t xml:space="preserve"> </w:t>
      </w:r>
      <w:r w:rsidRPr="00EA59C0">
        <w:t>Act</w:t>
      </w:r>
      <w:r w:rsidR="00C026A6" w:rsidRPr="00EA59C0">
        <w:t xml:space="preserve"> </w:t>
      </w:r>
      <w:r w:rsidRPr="00EA59C0">
        <w:t>of</w:t>
      </w:r>
      <w:r w:rsidR="00C026A6" w:rsidRPr="00EA59C0">
        <w:t xml:space="preserve"> </w:t>
      </w:r>
      <w:r w:rsidRPr="00EA59C0">
        <w:t>1998.</w:t>
      </w:r>
    </w:p>
    <w:p w:rsidR="00144DF0" w:rsidRPr="00EA59C0" w:rsidRDefault="007470AB" w:rsidP="004C3998">
      <w:pPr>
        <w:pStyle w:val="ListParagraph"/>
        <w:widowControl w:val="0"/>
        <w:numPr>
          <w:ilvl w:val="3"/>
          <w:numId w:val="17"/>
        </w:numPr>
        <w:adjustRightInd w:val="0"/>
        <w:textAlignment w:val="baseline"/>
      </w:pPr>
      <w:r w:rsidRPr="00EA59C0">
        <w:t>29</w:t>
      </w:r>
      <w:r w:rsidR="00C026A6" w:rsidRPr="00EA59C0">
        <w:t xml:space="preserve"> </w:t>
      </w:r>
      <w:r w:rsidRPr="00EA59C0">
        <w:t>CFR</w:t>
      </w:r>
      <w:r w:rsidR="00C026A6" w:rsidRPr="00EA59C0">
        <w:t xml:space="preserve"> </w:t>
      </w:r>
      <w:r w:rsidRPr="00EA59C0">
        <w:t>Parts</w:t>
      </w:r>
      <w:r w:rsidR="00C026A6" w:rsidRPr="00EA59C0">
        <w:t xml:space="preserve"> </w:t>
      </w:r>
      <w:r w:rsidRPr="00EA59C0">
        <w:t>29</w:t>
      </w:r>
      <w:r w:rsidR="00C026A6" w:rsidRPr="00EA59C0">
        <w:t xml:space="preserve"> </w:t>
      </w:r>
      <w:r w:rsidRPr="00EA59C0">
        <w:t>and</w:t>
      </w:r>
      <w:r w:rsidR="00C026A6" w:rsidRPr="00EA59C0">
        <w:t xml:space="preserve"> </w:t>
      </w:r>
      <w:r w:rsidRPr="00EA59C0">
        <w:t>30—Labor</w:t>
      </w:r>
      <w:r w:rsidR="00C026A6" w:rsidRPr="00EA59C0">
        <w:t xml:space="preserve"> </w:t>
      </w:r>
      <w:r w:rsidRPr="00EA59C0">
        <w:t>Standards</w:t>
      </w:r>
      <w:r w:rsidR="00C026A6" w:rsidRPr="00EA59C0">
        <w:t xml:space="preserve"> </w:t>
      </w:r>
      <w:r w:rsidRPr="00EA59C0">
        <w:t>for</w:t>
      </w:r>
      <w:r w:rsidR="00C026A6" w:rsidRPr="00EA59C0">
        <w:t xml:space="preserve"> </w:t>
      </w:r>
      <w:r w:rsidRPr="00EA59C0">
        <w:t>the</w:t>
      </w:r>
      <w:r w:rsidR="00C026A6" w:rsidRPr="00EA59C0">
        <w:t xml:space="preserve"> </w:t>
      </w:r>
      <w:r w:rsidRPr="00EA59C0">
        <w:t>Registration</w:t>
      </w:r>
      <w:r w:rsidR="00C026A6" w:rsidRPr="00EA59C0">
        <w:t xml:space="preserve"> </w:t>
      </w:r>
      <w:r w:rsidRPr="00EA59C0">
        <w:t>of</w:t>
      </w:r>
      <w:r w:rsidR="00C026A6" w:rsidRPr="00EA59C0">
        <w:t xml:space="preserve"> </w:t>
      </w:r>
      <w:r w:rsidRPr="00EA59C0">
        <w:t>Apprenticeship</w:t>
      </w:r>
      <w:r w:rsidR="00C026A6" w:rsidRPr="00EA59C0">
        <w:t xml:space="preserve"> </w:t>
      </w:r>
      <w:r w:rsidRPr="00EA59C0">
        <w:t>Programs,</w:t>
      </w:r>
      <w:r w:rsidR="00C026A6" w:rsidRPr="00EA59C0">
        <w:t xml:space="preserve"> </w:t>
      </w:r>
      <w:r w:rsidRPr="00EA59C0">
        <w:t>and</w:t>
      </w:r>
      <w:r w:rsidR="00C026A6" w:rsidRPr="00EA59C0">
        <w:t xml:space="preserve"> </w:t>
      </w:r>
      <w:r w:rsidRPr="00EA59C0">
        <w:t>Equal</w:t>
      </w:r>
      <w:r w:rsidR="00C026A6" w:rsidRPr="00EA59C0">
        <w:t xml:space="preserve"> </w:t>
      </w:r>
      <w:r w:rsidRPr="00EA59C0">
        <w:t>Employment</w:t>
      </w:r>
      <w:r w:rsidR="00C026A6" w:rsidRPr="00EA59C0">
        <w:t xml:space="preserve"> </w:t>
      </w:r>
      <w:r w:rsidRPr="00EA59C0">
        <w:t>Opportunity</w:t>
      </w:r>
      <w:r w:rsidR="00C026A6" w:rsidRPr="00EA59C0">
        <w:t xml:space="preserve"> </w:t>
      </w:r>
      <w:r w:rsidRPr="00EA59C0">
        <w:t>in</w:t>
      </w:r>
      <w:r w:rsidR="00C026A6" w:rsidRPr="00EA59C0">
        <w:t xml:space="preserve"> </w:t>
      </w:r>
      <w:r w:rsidRPr="00EA59C0">
        <w:t>Apprenticeship</w:t>
      </w:r>
      <w:r w:rsidR="00C026A6" w:rsidRPr="00EA59C0">
        <w:t xml:space="preserve"> </w:t>
      </w:r>
      <w:r w:rsidRPr="00EA59C0">
        <w:t>and</w:t>
      </w:r>
      <w:r w:rsidR="00C026A6" w:rsidRPr="00EA59C0">
        <w:t xml:space="preserve"> </w:t>
      </w:r>
      <w:r w:rsidRPr="00EA59C0">
        <w:t>Training,</w:t>
      </w:r>
      <w:r w:rsidR="00C026A6" w:rsidRPr="00EA59C0">
        <w:t xml:space="preserve"> </w:t>
      </w:r>
      <w:r w:rsidRPr="00EA59C0">
        <w:t>as</w:t>
      </w:r>
      <w:r w:rsidR="00C026A6" w:rsidRPr="00EA59C0">
        <w:t xml:space="preserve"> </w:t>
      </w:r>
      <w:r w:rsidRPr="00EA59C0">
        <w:t>applicable.</w:t>
      </w:r>
    </w:p>
    <w:p w:rsidR="00144DF0" w:rsidRPr="00EA59C0" w:rsidRDefault="00144DF0" w:rsidP="00FA0E98">
      <w:pPr>
        <w:widowControl w:val="0"/>
        <w:autoSpaceDE w:val="0"/>
        <w:autoSpaceDN w:val="0"/>
        <w:adjustRightInd w:val="0"/>
        <w:textAlignment w:val="baseline"/>
      </w:pPr>
    </w:p>
    <w:p w:rsidR="00144DF0" w:rsidRPr="00EA59C0" w:rsidRDefault="007470AB" w:rsidP="00FC34EA">
      <w:pPr>
        <w:pStyle w:val="Heading2"/>
        <w:numPr>
          <w:ilvl w:val="2"/>
          <w:numId w:val="17"/>
        </w:numPr>
        <w:spacing w:line="240" w:lineRule="auto"/>
        <w:rPr>
          <w:rFonts w:ascii="Times New Roman" w:hAnsi="Times New Roman"/>
          <w:b w:val="0"/>
          <w:i w:val="0"/>
        </w:rPr>
      </w:pPr>
      <w:r w:rsidRPr="00EA59C0">
        <w:rPr>
          <w:rFonts w:ascii="Times New Roman" w:hAnsi="Times New Roman"/>
          <w:b w:val="0"/>
          <w:i w:val="0"/>
        </w:rPr>
        <w:t>Other</w:t>
      </w:r>
      <w:r w:rsidR="00C026A6" w:rsidRPr="00EA59C0">
        <w:rPr>
          <w:rFonts w:ascii="Times New Roman" w:hAnsi="Times New Roman"/>
          <w:b w:val="0"/>
          <w:i w:val="0"/>
        </w:rPr>
        <w:t xml:space="preserve"> </w:t>
      </w:r>
      <w:r w:rsidRPr="00EA59C0">
        <w:rPr>
          <w:rFonts w:ascii="Times New Roman" w:hAnsi="Times New Roman"/>
          <w:b w:val="0"/>
          <w:i w:val="0"/>
        </w:rPr>
        <w:t>Legal</w:t>
      </w:r>
      <w:r w:rsidR="00C026A6" w:rsidRPr="00EA59C0">
        <w:rPr>
          <w:rFonts w:ascii="Times New Roman" w:hAnsi="Times New Roman"/>
          <w:b w:val="0"/>
          <w:i w:val="0"/>
        </w:rPr>
        <w:t xml:space="preserve"> </w:t>
      </w:r>
      <w:r w:rsidRPr="00EA59C0">
        <w:rPr>
          <w:rFonts w:ascii="Times New Roman" w:hAnsi="Times New Roman"/>
          <w:b w:val="0"/>
          <w:i w:val="0"/>
        </w:rPr>
        <w:t>Requirements:</w:t>
      </w:r>
    </w:p>
    <w:p w:rsidR="00144DF0" w:rsidRPr="00EA59C0" w:rsidRDefault="007470AB" w:rsidP="00FC34EA">
      <w:pPr>
        <w:pStyle w:val="Heading2"/>
        <w:numPr>
          <w:ilvl w:val="3"/>
          <w:numId w:val="17"/>
        </w:numPr>
        <w:spacing w:line="240" w:lineRule="auto"/>
        <w:rPr>
          <w:rFonts w:ascii="Times New Roman" w:hAnsi="Times New Roman"/>
          <w:b w:val="0"/>
          <w:i w:val="0"/>
        </w:rPr>
      </w:pPr>
      <w:r w:rsidRPr="00EA59C0">
        <w:rPr>
          <w:rFonts w:ascii="Times New Roman" w:hAnsi="Times New Roman"/>
          <w:b w:val="0"/>
          <w:i w:val="0"/>
        </w:rPr>
        <w:t>Religious</w:t>
      </w:r>
      <w:r w:rsidR="00C026A6" w:rsidRPr="00EA59C0">
        <w:rPr>
          <w:rFonts w:ascii="Times New Roman" w:hAnsi="Times New Roman"/>
          <w:b w:val="0"/>
          <w:i w:val="0"/>
        </w:rPr>
        <w:t xml:space="preserve"> </w:t>
      </w:r>
      <w:r w:rsidRPr="00EA59C0">
        <w:rPr>
          <w:rFonts w:ascii="Times New Roman" w:hAnsi="Times New Roman"/>
          <w:b w:val="0"/>
          <w:i w:val="0"/>
        </w:rPr>
        <w:t>Activities</w:t>
      </w:r>
    </w:p>
    <w:p w:rsidR="00144DF0" w:rsidRPr="00EA59C0" w:rsidRDefault="007470AB" w:rsidP="00FA0E98">
      <w:pPr>
        <w:widowControl w:val="0"/>
        <w:autoSpaceDE w:val="0"/>
        <w:autoSpaceDN w:val="0"/>
        <w:adjustRightInd w:val="0"/>
        <w:ind w:left="1440"/>
        <w:textAlignment w:val="baseline"/>
        <w:rPr>
          <w:rStyle w:val="Strong"/>
          <w:b w:val="0"/>
        </w:rPr>
      </w:pPr>
      <w:r w:rsidRPr="00EA59C0">
        <w:rPr>
          <w:rStyle w:val="Strong"/>
          <w:b w:val="0"/>
        </w:rPr>
        <w:t>The</w:t>
      </w:r>
      <w:r w:rsidR="00C026A6" w:rsidRPr="00EA59C0">
        <w:rPr>
          <w:rStyle w:val="Strong"/>
          <w:b w:val="0"/>
        </w:rPr>
        <w:t xml:space="preserve"> </w:t>
      </w:r>
      <w:r w:rsidRPr="00EA59C0">
        <w:rPr>
          <w:rStyle w:val="Strong"/>
          <w:b w:val="0"/>
        </w:rPr>
        <w:t>Department</w:t>
      </w:r>
      <w:r w:rsidR="00C026A6" w:rsidRPr="00EA59C0">
        <w:rPr>
          <w:rStyle w:val="Strong"/>
          <w:b w:val="0"/>
        </w:rPr>
        <w:t xml:space="preserve"> </w:t>
      </w:r>
      <w:r w:rsidRPr="00EA59C0">
        <w:rPr>
          <w:rStyle w:val="Strong"/>
          <w:b w:val="0"/>
        </w:rPr>
        <w:t>notes</w:t>
      </w:r>
      <w:r w:rsidR="00C026A6" w:rsidRPr="00EA59C0">
        <w:rPr>
          <w:rStyle w:val="Strong"/>
          <w:b w:val="0"/>
        </w:rPr>
        <w:t xml:space="preserve"> </w:t>
      </w:r>
      <w:r w:rsidRPr="00EA59C0">
        <w:rPr>
          <w:rStyle w:val="Strong"/>
          <w:b w:val="0"/>
        </w:rPr>
        <w:t>that</w:t>
      </w:r>
      <w:r w:rsidR="00C026A6" w:rsidRPr="00EA59C0">
        <w:rPr>
          <w:rStyle w:val="Strong"/>
          <w:b w:val="0"/>
        </w:rPr>
        <w:t xml:space="preserve"> </w:t>
      </w:r>
      <w:r w:rsidRPr="00EA59C0">
        <w:rPr>
          <w:rStyle w:val="Strong"/>
          <w:b w:val="0"/>
        </w:rPr>
        <w:t>the</w:t>
      </w:r>
      <w:r w:rsidR="00C026A6" w:rsidRPr="00EA59C0">
        <w:rPr>
          <w:rStyle w:val="Strong"/>
          <w:b w:val="0"/>
        </w:rPr>
        <w:t xml:space="preserve"> </w:t>
      </w:r>
      <w:r w:rsidRPr="00EA59C0">
        <w:rPr>
          <w:rStyle w:val="Strong"/>
          <w:b w:val="0"/>
        </w:rPr>
        <w:t>Religious</w:t>
      </w:r>
      <w:r w:rsidR="00C026A6" w:rsidRPr="00EA59C0">
        <w:rPr>
          <w:rStyle w:val="Strong"/>
          <w:b w:val="0"/>
        </w:rPr>
        <w:t xml:space="preserve"> </w:t>
      </w:r>
      <w:r w:rsidRPr="00EA59C0">
        <w:rPr>
          <w:rStyle w:val="Strong"/>
          <w:b w:val="0"/>
        </w:rPr>
        <w:t>Freedom</w:t>
      </w:r>
      <w:r w:rsidR="00C026A6" w:rsidRPr="00EA59C0">
        <w:rPr>
          <w:rStyle w:val="Strong"/>
          <w:b w:val="0"/>
        </w:rPr>
        <w:t xml:space="preserve"> </w:t>
      </w:r>
      <w:r w:rsidRPr="00EA59C0">
        <w:rPr>
          <w:rStyle w:val="Strong"/>
          <w:b w:val="0"/>
        </w:rPr>
        <w:t>Restoration</w:t>
      </w:r>
      <w:r w:rsidR="00C026A6" w:rsidRPr="00EA59C0">
        <w:rPr>
          <w:rStyle w:val="Strong"/>
          <w:b w:val="0"/>
        </w:rPr>
        <w:t xml:space="preserve"> </w:t>
      </w:r>
      <w:r w:rsidRPr="00EA59C0">
        <w:rPr>
          <w:rStyle w:val="Strong"/>
          <w:b w:val="0"/>
        </w:rPr>
        <w:t>Act</w:t>
      </w:r>
      <w:r w:rsidR="00C026A6" w:rsidRPr="00EA59C0">
        <w:rPr>
          <w:rStyle w:val="Strong"/>
          <w:b w:val="0"/>
        </w:rPr>
        <w:t xml:space="preserve"> </w:t>
      </w:r>
      <w:r w:rsidRPr="00EA59C0">
        <w:rPr>
          <w:rStyle w:val="Strong"/>
          <w:b w:val="0"/>
        </w:rPr>
        <w:t>(RFRA),</w:t>
      </w:r>
      <w:r w:rsidR="00C026A6" w:rsidRPr="00EA59C0">
        <w:rPr>
          <w:rStyle w:val="Strong"/>
          <w:b w:val="0"/>
        </w:rPr>
        <w:t xml:space="preserve"> </w:t>
      </w:r>
      <w:r w:rsidRPr="00EA59C0">
        <w:rPr>
          <w:rStyle w:val="Strong"/>
          <w:b w:val="0"/>
        </w:rPr>
        <w:t>42</w:t>
      </w:r>
      <w:r w:rsidR="00C026A6" w:rsidRPr="00EA59C0">
        <w:rPr>
          <w:rStyle w:val="Strong"/>
          <w:b w:val="0"/>
        </w:rPr>
        <w:t xml:space="preserve"> </w:t>
      </w:r>
      <w:r w:rsidRPr="00EA59C0">
        <w:rPr>
          <w:rStyle w:val="Strong"/>
          <w:b w:val="0"/>
        </w:rPr>
        <w:t>U.S.C.</w:t>
      </w:r>
      <w:r w:rsidR="00C026A6" w:rsidRPr="00EA59C0">
        <w:rPr>
          <w:rStyle w:val="Strong"/>
          <w:b w:val="0"/>
        </w:rPr>
        <w:t xml:space="preserve"> </w:t>
      </w:r>
      <w:r w:rsidRPr="00EA59C0">
        <w:rPr>
          <w:rStyle w:val="Strong"/>
          <w:b w:val="0"/>
        </w:rPr>
        <w:t>Section</w:t>
      </w:r>
      <w:r w:rsidR="00C026A6" w:rsidRPr="00EA59C0">
        <w:rPr>
          <w:rStyle w:val="Strong"/>
          <w:b w:val="0"/>
        </w:rPr>
        <w:t xml:space="preserve"> </w:t>
      </w:r>
      <w:r w:rsidRPr="00EA59C0">
        <w:rPr>
          <w:rStyle w:val="Strong"/>
          <w:b w:val="0"/>
        </w:rPr>
        <w:t>2000bb,</w:t>
      </w:r>
      <w:r w:rsidR="00C026A6" w:rsidRPr="00EA59C0">
        <w:rPr>
          <w:rStyle w:val="Strong"/>
          <w:b w:val="0"/>
        </w:rPr>
        <w:t xml:space="preserve"> </w:t>
      </w:r>
      <w:r w:rsidRPr="00EA59C0">
        <w:rPr>
          <w:rStyle w:val="Strong"/>
          <w:b w:val="0"/>
        </w:rPr>
        <w:t>applies</w:t>
      </w:r>
      <w:r w:rsidR="00C026A6" w:rsidRPr="00EA59C0">
        <w:rPr>
          <w:rStyle w:val="Strong"/>
          <w:b w:val="0"/>
        </w:rPr>
        <w:t xml:space="preserve"> </w:t>
      </w:r>
      <w:r w:rsidRPr="00EA59C0">
        <w:rPr>
          <w:rStyle w:val="Strong"/>
          <w:b w:val="0"/>
        </w:rPr>
        <w:t>to</w:t>
      </w:r>
      <w:r w:rsidR="00C026A6" w:rsidRPr="00EA59C0">
        <w:rPr>
          <w:rStyle w:val="Strong"/>
          <w:b w:val="0"/>
        </w:rPr>
        <w:t xml:space="preserve"> </w:t>
      </w:r>
      <w:r w:rsidRPr="00EA59C0">
        <w:rPr>
          <w:rStyle w:val="Strong"/>
          <w:b w:val="0"/>
        </w:rPr>
        <w:t>all</w:t>
      </w:r>
      <w:r w:rsidR="00C026A6" w:rsidRPr="00EA59C0">
        <w:rPr>
          <w:rStyle w:val="Strong"/>
          <w:b w:val="0"/>
        </w:rPr>
        <w:t xml:space="preserve"> </w:t>
      </w:r>
      <w:r w:rsidRPr="00EA59C0">
        <w:rPr>
          <w:rStyle w:val="Strong"/>
          <w:b w:val="0"/>
        </w:rPr>
        <w:t>Federal</w:t>
      </w:r>
      <w:r w:rsidR="00C026A6" w:rsidRPr="00EA59C0">
        <w:rPr>
          <w:rStyle w:val="Strong"/>
          <w:b w:val="0"/>
        </w:rPr>
        <w:t xml:space="preserve"> </w:t>
      </w:r>
      <w:r w:rsidRPr="00EA59C0">
        <w:rPr>
          <w:rStyle w:val="Strong"/>
          <w:b w:val="0"/>
        </w:rPr>
        <w:t>law</w:t>
      </w:r>
      <w:r w:rsidR="00C026A6" w:rsidRPr="00EA59C0">
        <w:rPr>
          <w:rStyle w:val="Strong"/>
          <w:b w:val="0"/>
        </w:rPr>
        <w:t xml:space="preserve"> </w:t>
      </w:r>
      <w:r w:rsidRPr="00EA59C0">
        <w:rPr>
          <w:rStyle w:val="Strong"/>
          <w:b w:val="0"/>
        </w:rPr>
        <w:t>and</w:t>
      </w:r>
      <w:r w:rsidR="00C026A6" w:rsidRPr="00EA59C0">
        <w:rPr>
          <w:rStyle w:val="Strong"/>
          <w:b w:val="0"/>
        </w:rPr>
        <w:t xml:space="preserve"> </w:t>
      </w:r>
      <w:r w:rsidRPr="00EA59C0">
        <w:rPr>
          <w:rStyle w:val="Strong"/>
          <w:b w:val="0"/>
        </w:rPr>
        <w:t>its</w:t>
      </w:r>
      <w:r w:rsidR="00C026A6" w:rsidRPr="00EA59C0">
        <w:rPr>
          <w:rStyle w:val="Strong"/>
          <w:b w:val="0"/>
        </w:rPr>
        <w:t xml:space="preserve"> </w:t>
      </w:r>
      <w:r w:rsidRPr="00EA59C0">
        <w:rPr>
          <w:rStyle w:val="Strong"/>
          <w:b w:val="0"/>
        </w:rPr>
        <w:t>implementation.</w:t>
      </w:r>
      <w:r w:rsidR="00C026A6" w:rsidRPr="00EA59C0">
        <w:rPr>
          <w:rStyle w:val="Strong"/>
          <w:b w:val="0"/>
        </w:rPr>
        <w:t xml:space="preserve">  </w:t>
      </w:r>
      <w:r w:rsidRPr="00EA59C0">
        <w:rPr>
          <w:rStyle w:val="Strong"/>
          <w:b w:val="0"/>
        </w:rPr>
        <w:t>If</w:t>
      </w:r>
      <w:r w:rsidR="00C026A6" w:rsidRPr="00EA59C0">
        <w:rPr>
          <w:rStyle w:val="Strong"/>
          <w:b w:val="0"/>
        </w:rPr>
        <w:t xml:space="preserve"> </w:t>
      </w:r>
      <w:r w:rsidR="007D54D5" w:rsidRPr="00EA59C0">
        <w:rPr>
          <w:rStyle w:val="Strong"/>
          <w:b w:val="0"/>
        </w:rPr>
        <w:t>an</w:t>
      </w:r>
      <w:r w:rsidR="00C026A6" w:rsidRPr="00EA59C0">
        <w:rPr>
          <w:rStyle w:val="Strong"/>
          <w:b w:val="0"/>
        </w:rPr>
        <w:t xml:space="preserve"> </w:t>
      </w:r>
      <w:r w:rsidR="007D54D5" w:rsidRPr="00EA59C0">
        <w:rPr>
          <w:rStyle w:val="Strong"/>
          <w:b w:val="0"/>
        </w:rPr>
        <w:t>applicant</w:t>
      </w:r>
      <w:r w:rsidR="00C026A6" w:rsidRPr="00EA59C0">
        <w:rPr>
          <w:rStyle w:val="Strong"/>
          <w:b w:val="0"/>
        </w:rPr>
        <w:t xml:space="preserve"> </w:t>
      </w:r>
      <w:r w:rsidRPr="00EA59C0">
        <w:rPr>
          <w:rStyle w:val="Strong"/>
          <w:b w:val="0"/>
        </w:rPr>
        <w:t>organization</w:t>
      </w:r>
      <w:r w:rsidR="00C026A6" w:rsidRPr="00EA59C0">
        <w:rPr>
          <w:rStyle w:val="Strong"/>
          <w:b w:val="0"/>
        </w:rPr>
        <w:t xml:space="preserve"> </w:t>
      </w:r>
      <w:r w:rsidRPr="00EA59C0">
        <w:rPr>
          <w:rStyle w:val="Strong"/>
          <w:b w:val="0"/>
        </w:rPr>
        <w:t>is</w:t>
      </w:r>
      <w:r w:rsidR="00C026A6" w:rsidRPr="00EA59C0">
        <w:rPr>
          <w:rStyle w:val="Strong"/>
          <w:b w:val="0"/>
        </w:rPr>
        <w:t xml:space="preserve"> </w:t>
      </w:r>
      <w:r w:rsidRPr="00EA59C0">
        <w:rPr>
          <w:rStyle w:val="Strong"/>
          <w:b w:val="0"/>
        </w:rPr>
        <w:t>a</w:t>
      </w:r>
      <w:r w:rsidR="00C026A6" w:rsidRPr="00EA59C0">
        <w:rPr>
          <w:rStyle w:val="Strong"/>
          <w:b w:val="0"/>
        </w:rPr>
        <w:t xml:space="preserve"> </w:t>
      </w:r>
      <w:r w:rsidRPr="00EA59C0">
        <w:rPr>
          <w:rStyle w:val="Strong"/>
          <w:b w:val="0"/>
        </w:rPr>
        <w:t>faith-based</w:t>
      </w:r>
      <w:r w:rsidR="00C026A6" w:rsidRPr="00EA59C0">
        <w:rPr>
          <w:rStyle w:val="Strong"/>
          <w:b w:val="0"/>
        </w:rPr>
        <w:t xml:space="preserve"> </w:t>
      </w:r>
      <w:r w:rsidRPr="00EA59C0">
        <w:rPr>
          <w:rStyle w:val="Strong"/>
          <w:b w:val="0"/>
        </w:rPr>
        <w:t>organization</w:t>
      </w:r>
      <w:r w:rsidR="00C026A6" w:rsidRPr="00EA59C0">
        <w:rPr>
          <w:rStyle w:val="Strong"/>
          <w:b w:val="0"/>
        </w:rPr>
        <w:t xml:space="preserve"> </w:t>
      </w:r>
      <w:r w:rsidRPr="00EA59C0">
        <w:rPr>
          <w:rStyle w:val="Strong"/>
          <w:b w:val="0"/>
        </w:rPr>
        <w:t>that</w:t>
      </w:r>
      <w:r w:rsidR="00C026A6" w:rsidRPr="00EA59C0">
        <w:rPr>
          <w:rStyle w:val="Strong"/>
          <w:b w:val="0"/>
        </w:rPr>
        <w:t xml:space="preserve"> </w:t>
      </w:r>
      <w:r w:rsidRPr="00EA59C0">
        <w:rPr>
          <w:rStyle w:val="Strong"/>
          <w:b w:val="0"/>
        </w:rPr>
        <w:t>makes</w:t>
      </w:r>
      <w:r w:rsidR="00C026A6" w:rsidRPr="00EA59C0">
        <w:rPr>
          <w:rStyle w:val="Strong"/>
          <w:b w:val="0"/>
        </w:rPr>
        <w:t xml:space="preserve"> </w:t>
      </w:r>
      <w:r w:rsidRPr="00EA59C0">
        <w:rPr>
          <w:rStyle w:val="Strong"/>
          <w:b w:val="0"/>
        </w:rPr>
        <w:t>hiring</w:t>
      </w:r>
      <w:r w:rsidR="00C026A6" w:rsidRPr="00EA59C0">
        <w:rPr>
          <w:rStyle w:val="Strong"/>
          <w:b w:val="0"/>
        </w:rPr>
        <w:t xml:space="preserve"> </w:t>
      </w:r>
      <w:r w:rsidRPr="00EA59C0">
        <w:rPr>
          <w:rStyle w:val="Strong"/>
          <w:b w:val="0"/>
        </w:rPr>
        <w:t>decisions</w:t>
      </w:r>
      <w:r w:rsidR="00C026A6" w:rsidRPr="00EA59C0">
        <w:rPr>
          <w:rStyle w:val="Strong"/>
          <w:b w:val="0"/>
        </w:rPr>
        <w:t xml:space="preserve"> </w:t>
      </w:r>
      <w:r w:rsidRPr="00EA59C0">
        <w:rPr>
          <w:rStyle w:val="Strong"/>
          <w:b w:val="0"/>
        </w:rPr>
        <w:t>on</w:t>
      </w:r>
      <w:r w:rsidR="00C026A6" w:rsidRPr="00EA59C0">
        <w:rPr>
          <w:rStyle w:val="Strong"/>
          <w:b w:val="0"/>
        </w:rPr>
        <w:t xml:space="preserve"> </w:t>
      </w:r>
      <w:r w:rsidRPr="00EA59C0">
        <w:rPr>
          <w:rStyle w:val="Strong"/>
          <w:b w:val="0"/>
        </w:rPr>
        <w:t>the</w:t>
      </w:r>
      <w:r w:rsidR="00C026A6" w:rsidRPr="00EA59C0">
        <w:rPr>
          <w:rStyle w:val="Strong"/>
          <w:b w:val="0"/>
        </w:rPr>
        <w:t xml:space="preserve"> </w:t>
      </w:r>
      <w:r w:rsidRPr="00EA59C0">
        <w:rPr>
          <w:rStyle w:val="Strong"/>
          <w:b w:val="0"/>
        </w:rPr>
        <w:t>basis</w:t>
      </w:r>
      <w:r w:rsidR="00C026A6" w:rsidRPr="00EA59C0">
        <w:rPr>
          <w:rStyle w:val="Strong"/>
          <w:b w:val="0"/>
        </w:rPr>
        <w:t xml:space="preserve"> </w:t>
      </w:r>
      <w:r w:rsidRPr="00EA59C0">
        <w:rPr>
          <w:rStyle w:val="Strong"/>
          <w:b w:val="0"/>
        </w:rPr>
        <w:t>of</w:t>
      </w:r>
      <w:r w:rsidR="00C026A6" w:rsidRPr="00EA59C0">
        <w:rPr>
          <w:rStyle w:val="Strong"/>
          <w:b w:val="0"/>
        </w:rPr>
        <w:t xml:space="preserve"> </w:t>
      </w:r>
      <w:r w:rsidRPr="00EA59C0">
        <w:rPr>
          <w:rStyle w:val="Strong"/>
          <w:b w:val="0"/>
        </w:rPr>
        <w:t>religious</w:t>
      </w:r>
      <w:r w:rsidR="00C026A6" w:rsidRPr="00EA59C0">
        <w:rPr>
          <w:rStyle w:val="Strong"/>
          <w:b w:val="0"/>
        </w:rPr>
        <w:t xml:space="preserve"> </w:t>
      </w:r>
      <w:r w:rsidRPr="00EA59C0">
        <w:rPr>
          <w:rStyle w:val="Strong"/>
          <w:b w:val="0"/>
        </w:rPr>
        <w:t>belief,</w:t>
      </w:r>
      <w:r w:rsidR="00C026A6" w:rsidRPr="00EA59C0">
        <w:rPr>
          <w:rStyle w:val="Strong"/>
          <w:b w:val="0"/>
        </w:rPr>
        <w:t xml:space="preserve"> </w:t>
      </w:r>
      <w:r w:rsidRPr="00EA59C0">
        <w:rPr>
          <w:rStyle w:val="Strong"/>
          <w:b w:val="0"/>
        </w:rPr>
        <w:t>it</w:t>
      </w:r>
      <w:r w:rsidR="00C026A6" w:rsidRPr="00EA59C0">
        <w:rPr>
          <w:rStyle w:val="Strong"/>
          <w:b w:val="0"/>
        </w:rPr>
        <w:t xml:space="preserve"> </w:t>
      </w:r>
      <w:r w:rsidRPr="00EA59C0">
        <w:rPr>
          <w:rStyle w:val="Strong"/>
          <w:b w:val="0"/>
        </w:rPr>
        <w:t>may</w:t>
      </w:r>
      <w:r w:rsidR="00C026A6" w:rsidRPr="00EA59C0">
        <w:rPr>
          <w:rStyle w:val="Strong"/>
          <w:b w:val="0"/>
        </w:rPr>
        <w:t xml:space="preserve"> </w:t>
      </w:r>
      <w:r w:rsidRPr="00EA59C0">
        <w:rPr>
          <w:rStyle w:val="Strong"/>
          <w:b w:val="0"/>
        </w:rPr>
        <w:t>be</w:t>
      </w:r>
      <w:r w:rsidR="00C026A6" w:rsidRPr="00EA59C0">
        <w:rPr>
          <w:rStyle w:val="Strong"/>
          <w:b w:val="0"/>
        </w:rPr>
        <w:t xml:space="preserve"> </w:t>
      </w:r>
      <w:r w:rsidRPr="00EA59C0">
        <w:rPr>
          <w:rStyle w:val="Strong"/>
          <w:b w:val="0"/>
        </w:rPr>
        <w:t>entitled</w:t>
      </w:r>
      <w:r w:rsidR="00C026A6" w:rsidRPr="00EA59C0">
        <w:rPr>
          <w:rStyle w:val="Strong"/>
          <w:b w:val="0"/>
        </w:rPr>
        <w:t xml:space="preserve"> </w:t>
      </w:r>
      <w:r w:rsidRPr="00EA59C0">
        <w:rPr>
          <w:rStyle w:val="Strong"/>
          <w:b w:val="0"/>
        </w:rPr>
        <w:t>to</w:t>
      </w:r>
      <w:r w:rsidR="00C026A6" w:rsidRPr="00EA59C0">
        <w:rPr>
          <w:rStyle w:val="Strong"/>
          <w:b w:val="0"/>
        </w:rPr>
        <w:t xml:space="preserve"> </w:t>
      </w:r>
      <w:r w:rsidRPr="00EA59C0">
        <w:rPr>
          <w:rStyle w:val="Strong"/>
          <w:b w:val="0"/>
        </w:rPr>
        <w:t>receive</w:t>
      </w:r>
      <w:r w:rsidR="00C026A6" w:rsidRPr="00EA59C0">
        <w:rPr>
          <w:rStyle w:val="Strong"/>
          <w:b w:val="0"/>
        </w:rPr>
        <w:t xml:space="preserve"> </w:t>
      </w:r>
      <w:r w:rsidRPr="00EA59C0">
        <w:rPr>
          <w:rStyle w:val="Strong"/>
          <w:b w:val="0"/>
        </w:rPr>
        <w:t>Federal</w:t>
      </w:r>
      <w:r w:rsidR="00C026A6" w:rsidRPr="00EA59C0">
        <w:rPr>
          <w:rStyle w:val="Strong"/>
          <w:b w:val="0"/>
        </w:rPr>
        <w:t xml:space="preserve"> </w:t>
      </w:r>
      <w:r w:rsidRPr="00EA59C0">
        <w:rPr>
          <w:rStyle w:val="Strong"/>
          <w:b w:val="0"/>
        </w:rPr>
        <w:t>financial</w:t>
      </w:r>
      <w:r w:rsidR="00C026A6" w:rsidRPr="00EA59C0">
        <w:rPr>
          <w:rStyle w:val="Strong"/>
          <w:b w:val="0"/>
        </w:rPr>
        <w:t xml:space="preserve"> </w:t>
      </w:r>
      <w:r w:rsidRPr="00EA59C0">
        <w:rPr>
          <w:rStyle w:val="Strong"/>
          <w:b w:val="0"/>
        </w:rPr>
        <w:t>assistance</w:t>
      </w:r>
      <w:r w:rsidR="00C026A6" w:rsidRPr="00EA59C0">
        <w:rPr>
          <w:rStyle w:val="Strong"/>
          <w:b w:val="0"/>
        </w:rPr>
        <w:t xml:space="preserve"> </w:t>
      </w:r>
      <w:r w:rsidRPr="00EA59C0">
        <w:rPr>
          <w:rStyle w:val="Strong"/>
          <w:b w:val="0"/>
        </w:rPr>
        <w:t>under</w:t>
      </w:r>
      <w:r w:rsidR="00C026A6" w:rsidRPr="00EA59C0">
        <w:rPr>
          <w:rStyle w:val="Strong"/>
          <w:b w:val="0"/>
        </w:rPr>
        <w:t xml:space="preserve"> </w:t>
      </w:r>
      <w:r w:rsidRPr="00EA59C0">
        <w:rPr>
          <w:rStyle w:val="Strong"/>
          <w:b w:val="0"/>
        </w:rPr>
        <w:t>Title</w:t>
      </w:r>
      <w:r w:rsidR="00C026A6" w:rsidRPr="00EA59C0">
        <w:rPr>
          <w:rStyle w:val="Strong"/>
          <w:b w:val="0"/>
        </w:rPr>
        <w:t xml:space="preserve"> </w:t>
      </w:r>
      <w:r w:rsidRPr="00EA59C0">
        <w:rPr>
          <w:rStyle w:val="Strong"/>
          <w:b w:val="0"/>
        </w:rPr>
        <w:t>I</w:t>
      </w:r>
      <w:r w:rsidR="00C026A6" w:rsidRPr="00EA59C0">
        <w:rPr>
          <w:rStyle w:val="Strong"/>
          <w:b w:val="0"/>
        </w:rPr>
        <w:t xml:space="preserve"> </w:t>
      </w:r>
      <w:r w:rsidRPr="00EA59C0">
        <w:rPr>
          <w:rStyle w:val="Strong"/>
          <w:b w:val="0"/>
        </w:rPr>
        <w:t>of</w:t>
      </w:r>
      <w:r w:rsidR="00C026A6" w:rsidRPr="00EA59C0">
        <w:rPr>
          <w:rStyle w:val="Strong"/>
          <w:b w:val="0"/>
        </w:rPr>
        <w:t xml:space="preserve"> </w:t>
      </w:r>
      <w:r w:rsidRPr="00EA59C0">
        <w:rPr>
          <w:rStyle w:val="Strong"/>
          <w:b w:val="0"/>
        </w:rPr>
        <w:t>the</w:t>
      </w:r>
      <w:r w:rsidR="00C026A6" w:rsidRPr="00EA59C0">
        <w:rPr>
          <w:rStyle w:val="Strong"/>
          <w:b w:val="0"/>
        </w:rPr>
        <w:t xml:space="preserve"> </w:t>
      </w:r>
      <w:r w:rsidRPr="00EA59C0">
        <w:rPr>
          <w:rStyle w:val="Strong"/>
          <w:b w:val="0"/>
        </w:rPr>
        <w:t>Workforce</w:t>
      </w:r>
      <w:r w:rsidR="00C026A6" w:rsidRPr="00EA59C0">
        <w:rPr>
          <w:rStyle w:val="Strong"/>
          <w:b w:val="0"/>
        </w:rPr>
        <w:t xml:space="preserve"> </w:t>
      </w:r>
      <w:r w:rsidRPr="00EA59C0">
        <w:rPr>
          <w:rStyle w:val="Strong"/>
          <w:b w:val="0"/>
        </w:rPr>
        <w:t>Investment</w:t>
      </w:r>
      <w:r w:rsidR="00C026A6" w:rsidRPr="00EA59C0">
        <w:rPr>
          <w:rStyle w:val="Strong"/>
          <w:b w:val="0"/>
        </w:rPr>
        <w:t xml:space="preserve"> </w:t>
      </w:r>
      <w:r w:rsidRPr="00EA59C0">
        <w:rPr>
          <w:rStyle w:val="Strong"/>
          <w:b w:val="0"/>
        </w:rPr>
        <w:t>Act</w:t>
      </w:r>
      <w:r w:rsidR="00C026A6" w:rsidRPr="00EA59C0">
        <w:rPr>
          <w:rStyle w:val="Strong"/>
          <w:b w:val="0"/>
        </w:rPr>
        <w:t xml:space="preserve"> </w:t>
      </w:r>
      <w:r w:rsidRPr="00EA59C0">
        <w:rPr>
          <w:rStyle w:val="Strong"/>
          <w:b w:val="0"/>
        </w:rPr>
        <w:t>and</w:t>
      </w:r>
      <w:r w:rsidR="00C026A6" w:rsidRPr="00EA59C0">
        <w:rPr>
          <w:rStyle w:val="Strong"/>
          <w:b w:val="0"/>
        </w:rPr>
        <w:t xml:space="preserve"> </w:t>
      </w:r>
      <w:r w:rsidRPr="00EA59C0">
        <w:rPr>
          <w:rStyle w:val="Strong"/>
          <w:b w:val="0"/>
        </w:rPr>
        <w:t>maintain</w:t>
      </w:r>
      <w:r w:rsidR="00C026A6" w:rsidRPr="00EA59C0">
        <w:rPr>
          <w:rStyle w:val="Strong"/>
          <w:b w:val="0"/>
        </w:rPr>
        <w:t xml:space="preserve"> </w:t>
      </w:r>
      <w:r w:rsidRPr="00EA59C0">
        <w:rPr>
          <w:rStyle w:val="Strong"/>
          <w:b w:val="0"/>
        </w:rPr>
        <w:t>that</w:t>
      </w:r>
      <w:r w:rsidR="00C026A6" w:rsidRPr="00EA59C0">
        <w:rPr>
          <w:rStyle w:val="Strong"/>
          <w:b w:val="0"/>
        </w:rPr>
        <w:t xml:space="preserve"> </w:t>
      </w:r>
      <w:r w:rsidRPr="00EA59C0">
        <w:rPr>
          <w:rStyle w:val="Strong"/>
          <w:b w:val="0"/>
        </w:rPr>
        <w:t>hiring</w:t>
      </w:r>
      <w:r w:rsidR="00C026A6" w:rsidRPr="00EA59C0">
        <w:rPr>
          <w:rStyle w:val="Strong"/>
          <w:b w:val="0"/>
        </w:rPr>
        <w:t xml:space="preserve"> </w:t>
      </w:r>
      <w:r w:rsidRPr="00EA59C0">
        <w:rPr>
          <w:rStyle w:val="Strong"/>
          <w:b w:val="0"/>
        </w:rPr>
        <w:t>practice</w:t>
      </w:r>
      <w:r w:rsidR="00C026A6" w:rsidRPr="00EA59C0">
        <w:rPr>
          <w:rStyle w:val="Strong"/>
          <w:b w:val="0"/>
        </w:rPr>
        <w:t xml:space="preserve"> </w:t>
      </w:r>
      <w:r w:rsidRPr="00EA59C0">
        <w:rPr>
          <w:rStyle w:val="Strong"/>
          <w:b w:val="0"/>
        </w:rPr>
        <w:t>even</w:t>
      </w:r>
      <w:r w:rsidR="00C026A6" w:rsidRPr="00EA59C0">
        <w:rPr>
          <w:rStyle w:val="Strong"/>
          <w:b w:val="0"/>
        </w:rPr>
        <w:t xml:space="preserve"> </w:t>
      </w:r>
      <w:r w:rsidRPr="00EA59C0">
        <w:rPr>
          <w:rStyle w:val="Strong"/>
          <w:b w:val="0"/>
        </w:rPr>
        <w:t>though</w:t>
      </w:r>
      <w:r w:rsidR="00C026A6" w:rsidRPr="00EA59C0">
        <w:rPr>
          <w:rStyle w:val="Strong"/>
          <w:b w:val="0"/>
        </w:rPr>
        <w:t xml:space="preserve"> </w:t>
      </w:r>
      <w:r w:rsidRPr="00EA59C0">
        <w:rPr>
          <w:rStyle w:val="Strong"/>
          <w:b w:val="0"/>
        </w:rPr>
        <w:t>Section</w:t>
      </w:r>
      <w:r w:rsidR="00C026A6" w:rsidRPr="00EA59C0">
        <w:rPr>
          <w:rStyle w:val="Strong"/>
          <w:b w:val="0"/>
        </w:rPr>
        <w:t xml:space="preserve"> </w:t>
      </w:r>
      <w:r w:rsidRPr="00EA59C0">
        <w:rPr>
          <w:rStyle w:val="Strong"/>
          <w:b w:val="0"/>
        </w:rPr>
        <w:t>188</w:t>
      </w:r>
      <w:r w:rsidR="00C026A6" w:rsidRPr="00EA59C0">
        <w:rPr>
          <w:rStyle w:val="Strong"/>
          <w:b w:val="0"/>
        </w:rPr>
        <w:t xml:space="preserve"> </w:t>
      </w:r>
      <w:r w:rsidRPr="00EA59C0">
        <w:rPr>
          <w:rStyle w:val="Strong"/>
          <w:b w:val="0"/>
        </w:rPr>
        <w:t>of</w:t>
      </w:r>
      <w:r w:rsidR="00C026A6" w:rsidRPr="00EA59C0">
        <w:rPr>
          <w:rStyle w:val="Strong"/>
          <w:b w:val="0"/>
        </w:rPr>
        <w:t xml:space="preserve"> </w:t>
      </w:r>
      <w:r w:rsidRPr="00EA59C0">
        <w:rPr>
          <w:rStyle w:val="Strong"/>
          <w:b w:val="0"/>
        </w:rPr>
        <w:t>the</w:t>
      </w:r>
      <w:r w:rsidR="00C026A6" w:rsidRPr="00EA59C0">
        <w:rPr>
          <w:rStyle w:val="Strong"/>
          <w:b w:val="0"/>
        </w:rPr>
        <w:t xml:space="preserve"> </w:t>
      </w:r>
      <w:r w:rsidRPr="00EA59C0">
        <w:rPr>
          <w:rStyle w:val="Strong"/>
          <w:b w:val="0"/>
        </w:rPr>
        <w:t>Workforce</w:t>
      </w:r>
      <w:r w:rsidR="00C026A6" w:rsidRPr="00EA59C0">
        <w:rPr>
          <w:rStyle w:val="Strong"/>
          <w:b w:val="0"/>
        </w:rPr>
        <w:t xml:space="preserve"> </w:t>
      </w:r>
      <w:r w:rsidRPr="00EA59C0">
        <w:rPr>
          <w:rStyle w:val="Strong"/>
          <w:b w:val="0"/>
        </w:rPr>
        <w:t>Investment</w:t>
      </w:r>
      <w:r w:rsidR="00C026A6" w:rsidRPr="00EA59C0">
        <w:rPr>
          <w:rStyle w:val="Strong"/>
          <w:b w:val="0"/>
        </w:rPr>
        <w:t xml:space="preserve"> </w:t>
      </w:r>
      <w:r w:rsidRPr="00EA59C0">
        <w:rPr>
          <w:rStyle w:val="Strong"/>
          <w:b w:val="0"/>
        </w:rPr>
        <w:t>Act</w:t>
      </w:r>
      <w:r w:rsidR="00C026A6" w:rsidRPr="00EA59C0">
        <w:rPr>
          <w:rStyle w:val="Strong"/>
          <w:b w:val="0"/>
        </w:rPr>
        <w:t xml:space="preserve"> </w:t>
      </w:r>
      <w:r w:rsidRPr="00EA59C0">
        <w:rPr>
          <w:rStyle w:val="Strong"/>
          <w:b w:val="0"/>
        </w:rPr>
        <w:t>contains</w:t>
      </w:r>
      <w:r w:rsidR="00C026A6" w:rsidRPr="00EA59C0">
        <w:rPr>
          <w:rStyle w:val="Strong"/>
          <w:b w:val="0"/>
        </w:rPr>
        <w:t xml:space="preserve"> </w:t>
      </w:r>
      <w:r w:rsidRPr="00EA59C0">
        <w:rPr>
          <w:rStyle w:val="Strong"/>
          <w:b w:val="0"/>
        </w:rPr>
        <w:t>a</w:t>
      </w:r>
      <w:r w:rsidR="00C026A6" w:rsidRPr="00EA59C0">
        <w:rPr>
          <w:rStyle w:val="Strong"/>
          <w:b w:val="0"/>
        </w:rPr>
        <w:t xml:space="preserve"> </w:t>
      </w:r>
      <w:r w:rsidRPr="00EA59C0">
        <w:rPr>
          <w:rStyle w:val="Strong"/>
          <w:b w:val="0"/>
        </w:rPr>
        <w:t>general</w:t>
      </w:r>
      <w:r w:rsidR="00C026A6" w:rsidRPr="00EA59C0">
        <w:rPr>
          <w:rStyle w:val="Strong"/>
          <w:b w:val="0"/>
        </w:rPr>
        <w:t xml:space="preserve"> </w:t>
      </w:r>
      <w:r w:rsidRPr="00EA59C0">
        <w:rPr>
          <w:rStyle w:val="Strong"/>
          <w:b w:val="0"/>
        </w:rPr>
        <w:t>ban</w:t>
      </w:r>
      <w:r w:rsidR="00C026A6" w:rsidRPr="00EA59C0">
        <w:rPr>
          <w:rStyle w:val="Strong"/>
          <w:b w:val="0"/>
        </w:rPr>
        <w:t xml:space="preserve"> </w:t>
      </w:r>
      <w:r w:rsidRPr="00EA59C0">
        <w:rPr>
          <w:rStyle w:val="Strong"/>
          <w:b w:val="0"/>
        </w:rPr>
        <w:t>on</w:t>
      </w:r>
      <w:r w:rsidR="00C026A6" w:rsidRPr="00EA59C0">
        <w:rPr>
          <w:rStyle w:val="Strong"/>
          <w:b w:val="0"/>
        </w:rPr>
        <w:t xml:space="preserve"> </w:t>
      </w:r>
      <w:r w:rsidRPr="00EA59C0">
        <w:rPr>
          <w:rStyle w:val="Strong"/>
          <w:b w:val="0"/>
        </w:rPr>
        <w:t>religious</w:t>
      </w:r>
      <w:r w:rsidR="00C026A6" w:rsidRPr="00EA59C0">
        <w:rPr>
          <w:rStyle w:val="Strong"/>
          <w:b w:val="0"/>
        </w:rPr>
        <w:t xml:space="preserve"> </w:t>
      </w:r>
      <w:r w:rsidRPr="00EA59C0">
        <w:rPr>
          <w:rStyle w:val="Strong"/>
          <w:b w:val="0"/>
        </w:rPr>
        <w:t>discrimination</w:t>
      </w:r>
      <w:r w:rsidR="00C026A6" w:rsidRPr="00EA59C0">
        <w:rPr>
          <w:rStyle w:val="Strong"/>
          <w:b w:val="0"/>
        </w:rPr>
        <w:t xml:space="preserve"> </w:t>
      </w:r>
      <w:r w:rsidRPr="00EA59C0">
        <w:rPr>
          <w:rStyle w:val="Strong"/>
          <w:b w:val="0"/>
        </w:rPr>
        <w:t>in</w:t>
      </w:r>
      <w:r w:rsidR="00C026A6" w:rsidRPr="00EA59C0">
        <w:rPr>
          <w:rStyle w:val="Strong"/>
          <w:b w:val="0"/>
        </w:rPr>
        <w:t xml:space="preserve"> </w:t>
      </w:r>
      <w:r w:rsidRPr="00EA59C0">
        <w:rPr>
          <w:rStyle w:val="Strong"/>
          <w:b w:val="0"/>
        </w:rPr>
        <w:t>employment.</w:t>
      </w:r>
      <w:r w:rsidR="00C026A6" w:rsidRPr="00EA59C0">
        <w:rPr>
          <w:rStyle w:val="Strong"/>
          <w:b w:val="0"/>
        </w:rPr>
        <w:t xml:space="preserve">  </w:t>
      </w:r>
      <w:r w:rsidRPr="00EA59C0">
        <w:rPr>
          <w:rStyle w:val="Strong"/>
          <w:b w:val="0"/>
        </w:rPr>
        <w:t>If</w:t>
      </w:r>
      <w:r w:rsidR="00C026A6" w:rsidRPr="00EA59C0">
        <w:rPr>
          <w:rStyle w:val="Strong"/>
          <w:b w:val="0"/>
        </w:rPr>
        <w:t xml:space="preserve"> </w:t>
      </w:r>
      <w:r w:rsidR="007D54D5" w:rsidRPr="00EA59C0">
        <w:rPr>
          <w:rStyle w:val="Strong"/>
          <w:b w:val="0"/>
        </w:rPr>
        <w:t>a</w:t>
      </w:r>
      <w:r w:rsidR="00C026A6" w:rsidRPr="00EA59C0">
        <w:rPr>
          <w:rStyle w:val="Strong"/>
          <w:b w:val="0"/>
        </w:rPr>
        <w:t xml:space="preserve"> </w:t>
      </w:r>
      <w:r w:rsidR="007D54D5" w:rsidRPr="00EA59C0">
        <w:rPr>
          <w:rStyle w:val="Strong"/>
          <w:b w:val="0"/>
        </w:rPr>
        <w:t>faith-based</w:t>
      </w:r>
      <w:r w:rsidR="00C026A6" w:rsidRPr="00EA59C0">
        <w:rPr>
          <w:rStyle w:val="Strong"/>
          <w:b w:val="0"/>
        </w:rPr>
        <w:t xml:space="preserve"> </w:t>
      </w:r>
      <w:r w:rsidR="007D54D5" w:rsidRPr="00EA59C0">
        <w:rPr>
          <w:rStyle w:val="Strong"/>
          <w:b w:val="0"/>
        </w:rPr>
        <w:t>organization</w:t>
      </w:r>
      <w:r w:rsidR="00C026A6" w:rsidRPr="00EA59C0">
        <w:rPr>
          <w:rStyle w:val="Strong"/>
          <w:b w:val="0"/>
        </w:rPr>
        <w:t xml:space="preserve"> </w:t>
      </w:r>
      <w:r w:rsidR="007D54D5" w:rsidRPr="00EA59C0">
        <w:rPr>
          <w:rStyle w:val="Strong"/>
          <w:b w:val="0"/>
        </w:rPr>
        <w:t>is</w:t>
      </w:r>
      <w:r w:rsidR="00C026A6" w:rsidRPr="00EA59C0">
        <w:rPr>
          <w:rStyle w:val="Strong"/>
          <w:b w:val="0"/>
        </w:rPr>
        <w:t xml:space="preserve"> </w:t>
      </w:r>
      <w:r w:rsidRPr="00EA59C0">
        <w:rPr>
          <w:rStyle w:val="Strong"/>
          <w:b w:val="0"/>
        </w:rPr>
        <w:t>awarded</w:t>
      </w:r>
      <w:r w:rsidR="00C026A6" w:rsidRPr="00EA59C0">
        <w:rPr>
          <w:rStyle w:val="Strong"/>
          <w:b w:val="0"/>
        </w:rPr>
        <w:t xml:space="preserve"> </w:t>
      </w:r>
      <w:r w:rsidRPr="00EA59C0">
        <w:rPr>
          <w:rStyle w:val="Strong"/>
          <w:b w:val="0"/>
        </w:rPr>
        <w:t>a</w:t>
      </w:r>
      <w:r w:rsidR="00C026A6" w:rsidRPr="00EA59C0">
        <w:rPr>
          <w:rStyle w:val="Strong"/>
          <w:b w:val="0"/>
        </w:rPr>
        <w:t xml:space="preserve"> </w:t>
      </w:r>
      <w:r w:rsidRPr="00EA59C0">
        <w:rPr>
          <w:rStyle w:val="Strong"/>
          <w:b w:val="0"/>
        </w:rPr>
        <w:t>grant,</w:t>
      </w:r>
      <w:r w:rsidR="00C026A6" w:rsidRPr="00EA59C0">
        <w:rPr>
          <w:rStyle w:val="Strong"/>
          <w:b w:val="0"/>
        </w:rPr>
        <w:t xml:space="preserve"> </w:t>
      </w:r>
      <w:r w:rsidR="007D54D5" w:rsidRPr="00EA59C0">
        <w:rPr>
          <w:rStyle w:val="Strong"/>
          <w:b w:val="0"/>
        </w:rPr>
        <w:t>the</w:t>
      </w:r>
      <w:r w:rsidR="00C026A6" w:rsidRPr="00EA59C0">
        <w:rPr>
          <w:rStyle w:val="Strong"/>
          <w:b w:val="0"/>
        </w:rPr>
        <w:t xml:space="preserve"> </w:t>
      </w:r>
      <w:r w:rsidR="007D54D5" w:rsidRPr="00EA59C0">
        <w:rPr>
          <w:rStyle w:val="Strong"/>
          <w:b w:val="0"/>
        </w:rPr>
        <w:t>organization</w:t>
      </w:r>
      <w:r w:rsidR="00C026A6" w:rsidRPr="00EA59C0">
        <w:rPr>
          <w:rStyle w:val="Strong"/>
          <w:b w:val="0"/>
        </w:rPr>
        <w:t xml:space="preserve"> </w:t>
      </w:r>
      <w:r w:rsidRPr="00EA59C0">
        <w:rPr>
          <w:rStyle w:val="Strong"/>
          <w:b w:val="0"/>
        </w:rPr>
        <w:t>will</w:t>
      </w:r>
      <w:r w:rsidR="00C026A6" w:rsidRPr="00EA59C0">
        <w:rPr>
          <w:rStyle w:val="Strong"/>
          <w:b w:val="0"/>
        </w:rPr>
        <w:t xml:space="preserve"> </w:t>
      </w:r>
      <w:r w:rsidRPr="00EA59C0">
        <w:rPr>
          <w:rStyle w:val="Strong"/>
          <w:b w:val="0"/>
        </w:rPr>
        <w:t>be</w:t>
      </w:r>
      <w:r w:rsidR="00C026A6" w:rsidRPr="00EA59C0">
        <w:rPr>
          <w:rStyle w:val="Strong"/>
          <w:b w:val="0"/>
        </w:rPr>
        <w:t xml:space="preserve"> </w:t>
      </w:r>
      <w:r w:rsidRPr="00EA59C0">
        <w:rPr>
          <w:rStyle w:val="Strong"/>
          <w:b w:val="0"/>
        </w:rPr>
        <w:t>provided</w:t>
      </w:r>
      <w:r w:rsidR="00C026A6" w:rsidRPr="00EA59C0">
        <w:rPr>
          <w:rStyle w:val="Strong"/>
          <w:b w:val="0"/>
        </w:rPr>
        <w:t xml:space="preserve"> </w:t>
      </w:r>
      <w:r w:rsidRPr="00EA59C0">
        <w:rPr>
          <w:rStyle w:val="Strong"/>
          <w:b w:val="0"/>
        </w:rPr>
        <w:t>with</w:t>
      </w:r>
      <w:r w:rsidR="00C026A6" w:rsidRPr="00EA59C0">
        <w:rPr>
          <w:rStyle w:val="Strong"/>
          <w:b w:val="0"/>
        </w:rPr>
        <w:t xml:space="preserve"> </w:t>
      </w:r>
      <w:r w:rsidRPr="00EA59C0">
        <w:rPr>
          <w:rStyle w:val="Strong"/>
          <w:b w:val="0"/>
        </w:rPr>
        <w:t>information</w:t>
      </w:r>
      <w:r w:rsidR="00C026A6" w:rsidRPr="00EA59C0">
        <w:rPr>
          <w:rStyle w:val="Strong"/>
          <w:b w:val="0"/>
        </w:rPr>
        <w:t xml:space="preserve"> </w:t>
      </w:r>
      <w:r w:rsidRPr="00EA59C0">
        <w:rPr>
          <w:rStyle w:val="Strong"/>
          <w:b w:val="0"/>
        </w:rPr>
        <w:t>on</w:t>
      </w:r>
      <w:r w:rsidR="00C026A6" w:rsidRPr="00EA59C0">
        <w:rPr>
          <w:rStyle w:val="Strong"/>
          <w:b w:val="0"/>
        </w:rPr>
        <w:t xml:space="preserve"> </w:t>
      </w:r>
      <w:r w:rsidRPr="00EA59C0">
        <w:rPr>
          <w:rStyle w:val="Strong"/>
          <w:b w:val="0"/>
        </w:rPr>
        <w:t>how</w:t>
      </w:r>
      <w:r w:rsidR="00C026A6" w:rsidRPr="00EA59C0">
        <w:rPr>
          <w:rStyle w:val="Strong"/>
          <w:b w:val="0"/>
        </w:rPr>
        <w:t xml:space="preserve"> </w:t>
      </w:r>
      <w:r w:rsidRPr="00EA59C0">
        <w:rPr>
          <w:rStyle w:val="Strong"/>
          <w:b w:val="0"/>
        </w:rPr>
        <w:t>to</w:t>
      </w:r>
      <w:r w:rsidR="00C026A6" w:rsidRPr="00EA59C0">
        <w:rPr>
          <w:rStyle w:val="Strong"/>
          <w:b w:val="0"/>
        </w:rPr>
        <w:t xml:space="preserve"> </w:t>
      </w:r>
      <w:r w:rsidRPr="00EA59C0">
        <w:rPr>
          <w:rStyle w:val="Strong"/>
          <w:b w:val="0"/>
        </w:rPr>
        <w:t>request</w:t>
      </w:r>
      <w:r w:rsidR="00C026A6" w:rsidRPr="00EA59C0">
        <w:rPr>
          <w:rStyle w:val="Strong"/>
          <w:b w:val="0"/>
        </w:rPr>
        <w:t xml:space="preserve"> </w:t>
      </w:r>
      <w:r w:rsidRPr="00EA59C0">
        <w:rPr>
          <w:rStyle w:val="Strong"/>
          <w:b w:val="0"/>
        </w:rPr>
        <w:t>such</w:t>
      </w:r>
      <w:r w:rsidR="00C026A6" w:rsidRPr="00EA59C0">
        <w:rPr>
          <w:rStyle w:val="Strong"/>
          <w:b w:val="0"/>
        </w:rPr>
        <w:t xml:space="preserve"> </w:t>
      </w:r>
      <w:r w:rsidRPr="00EA59C0">
        <w:rPr>
          <w:rStyle w:val="Strong"/>
          <w:b w:val="0"/>
        </w:rPr>
        <w:t>an</w:t>
      </w:r>
      <w:r w:rsidR="00C026A6" w:rsidRPr="00EA59C0">
        <w:rPr>
          <w:rStyle w:val="Strong"/>
          <w:b w:val="0"/>
        </w:rPr>
        <w:t xml:space="preserve"> </w:t>
      </w:r>
      <w:r w:rsidRPr="00EA59C0">
        <w:rPr>
          <w:rStyle w:val="Strong"/>
          <w:b w:val="0"/>
        </w:rPr>
        <w:t>exemption.</w:t>
      </w:r>
    </w:p>
    <w:p w:rsidR="00144DF0" w:rsidRPr="00EA59C0" w:rsidRDefault="00144DF0" w:rsidP="00FA0E98">
      <w:pPr>
        <w:widowControl w:val="0"/>
        <w:autoSpaceDE w:val="0"/>
        <w:autoSpaceDN w:val="0"/>
        <w:adjustRightInd w:val="0"/>
        <w:ind w:left="720"/>
        <w:textAlignment w:val="baseline"/>
      </w:pPr>
    </w:p>
    <w:p w:rsidR="00144DF0" w:rsidRPr="00EA59C0" w:rsidRDefault="007470AB" w:rsidP="00FC34EA">
      <w:pPr>
        <w:pStyle w:val="Heading2"/>
        <w:numPr>
          <w:ilvl w:val="3"/>
          <w:numId w:val="17"/>
        </w:numPr>
        <w:spacing w:line="240" w:lineRule="auto"/>
        <w:rPr>
          <w:rFonts w:ascii="Times New Roman" w:hAnsi="Times New Roman"/>
          <w:b w:val="0"/>
          <w:i w:val="0"/>
        </w:rPr>
      </w:pPr>
      <w:r w:rsidRPr="00EA59C0">
        <w:rPr>
          <w:rFonts w:ascii="Times New Roman" w:hAnsi="Times New Roman"/>
          <w:b w:val="0"/>
          <w:i w:val="0"/>
        </w:rPr>
        <w:t>Lobbying</w:t>
      </w:r>
      <w:r w:rsidR="00C026A6" w:rsidRPr="00EA59C0">
        <w:rPr>
          <w:rFonts w:ascii="Times New Roman" w:hAnsi="Times New Roman"/>
          <w:b w:val="0"/>
          <w:i w:val="0"/>
        </w:rPr>
        <w:t xml:space="preserve"> </w:t>
      </w:r>
      <w:r w:rsidRPr="00EA59C0">
        <w:rPr>
          <w:rFonts w:ascii="Times New Roman" w:hAnsi="Times New Roman"/>
          <w:b w:val="0"/>
          <w:i w:val="0"/>
        </w:rPr>
        <w:t>or</w:t>
      </w:r>
      <w:r w:rsidR="00C026A6" w:rsidRPr="00EA59C0">
        <w:rPr>
          <w:rFonts w:ascii="Times New Roman" w:hAnsi="Times New Roman"/>
          <w:b w:val="0"/>
          <w:i w:val="0"/>
        </w:rPr>
        <w:t xml:space="preserve"> </w:t>
      </w:r>
      <w:r w:rsidRPr="00EA59C0">
        <w:rPr>
          <w:rFonts w:ascii="Times New Roman" w:hAnsi="Times New Roman"/>
          <w:b w:val="0"/>
          <w:i w:val="0"/>
        </w:rPr>
        <w:t>Fundraising</w:t>
      </w:r>
      <w:r w:rsidR="00C026A6" w:rsidRPr="00EA59C0">
        <w:rPr>
          <w:rFonts w:ascii="Times New Roman" w:hAnsi="Times New Roman"/>
          <w:b w:val="0"/>
          <w:i w:val="0"/>
        </w:rPr>
        <w:t xml:space="preserve"> </w:t>
      </w:r>
      <w:r w:rsidRPr="00EA59C0">
        <w:rPr>
          <w:rFonts w:ascii="Times New Roman" w:hAnsi="Times New Roman"/>
          <w:b w:val="0"/>
          <w:i w:val="0"/>
        </w:rPr>
        <w:t>the</w:t>
      </w:r>
      <w:r w:rsidR="00C026A6" w:rsidRPr="00EA59C0">
        <w:rPr>
          <w:rFonts w:ascii="Times New Roman" w:hAnsi="Times New Roman"/>
          <w:b w:val="0"/>
          <w:i w:val="0"/>
        </w:rPr>
        <w:t xml:space="preserve"> </w:t>
      </w:r>
      <w:r w:rsidRPr="00EA59C0">
        <w:rPr>
          <w:rFonts w:ascii="Times New Roman" w:hAnsi="Times New Roman"/>
          <w:b w:val="0"/>
          <w:i w:val="0"/>
        </w:rPr>
        <w:t>U.S.</w:t>
      </w:r>
      <w:r w:rsidR="00C026A6" w:rsidRPr="00EA59C0">
        <w:rPr>
          <w:rFonts w:ascii="Times New Roman" w:hAnsi="Times New Roman"/>
          <w:b w:val="0"/>
          <w:i w:val="0"/>
        </w:rPr>
        <w:t xml:space="preserve"> </w:t>
      </w:r>
      <w:r w:rsidRPr="00EA59C0">
        <w:rPr>
          <w:rFonts w:ascii="Times New Roman" w:hAnsi="Times New Roman"/>
          <w:b w:val="0"/>
          <w:i w:val="0"/>
        </w:rPr>
        <w:t>Government</w:t>
      </w:r>
      <w:r w:rsidR="00C026A6" w:rsidRPr="00EA59C0">
        <w:rPr>
          <w:rFonts w:ascii="Times New Roman" w:hAnsi="Times New Roman"/>
          <w:b w:val="0"/>
          <w:i w:val="0"/>
        </w:rPr>
        <w:t xml:space="preserve"> </w:t>
      </w:r>
      <w:r w:rsidRPr="00EA59C0">
        <w:rPr>
          <w:rFonts w:ascii="Times New Roman" w:hAnsi="Times New Roman"/>
          <w:b w:val="0"/>
          <w:i w:val="0"/>
        </w:rPr>
        <w:t>with</w:t>
      </w:r>
      <w:r w:rsidR="00C026A6" w:rsidRPr="00EA59C0">
        <w:rPr>
          <w:rFonts w:ascii="Times New Roman" w:hAnsi="Times New Roman"/>
          <w:b w:val="0"/>
          <w:i w:val="0"/>
        </w:rPr>
        <w:t xml:space="preserve"> </w:t>
      </w:r>
      <w:r w:rsidRPr="00EA59C0">
        <w:rPr>
          <w:rFonts w:ascii="Times New Roman" w:hAnsi="Times New Roman"/>
          <w:b w:val="0"/>
          <w:i w:val="0"/>
        </w:rPr>
        <w:t>Federal</w:t>
      </w:r>
      <w:r w:rsidR="00C026A6" w:rsidRPr="00EA59C0">
        <w:rPr>
          <w:rFonts w:ascii="Times New Roman" w:hAnsi="Times New Roman"/>
          <w:b w:val="0"/>
          <w:i w:val="0"/>
        </w:rPr>
        <w:t xml:space="preserve"> </w:t>
      </w:r>
      <w:r w:rsidRPr="00EA59C0">
        <w:rPr>
          <w:rFonts w:ascii="Times New Roman" w:hAnsi="Times New Roman"/>
          <w:b w:val="0"/>
          <w:i w:val="0"/>
        </w:rPr>
        <w:t>Funds</w:t>
      </w:r>
    </w:p>
    <w:p w:rsidR="00144DF0" w:rsidRPr="00EA59C0" w:rsidRDefault="007470AB" w:rsidP="00FA0E98">
      <w:pPr>
        <w:pStyle w:val="ListParagraph"/>
        <w:widowControl w:val="0"/>
        <w:autoSpaceDE w:val="0"/>
        <w:autoSpaceDN w:val="0"/>
        <w:adjustRightInd w:val="0"/>
        <w:ind w:left="1440"/>
        <w:textAlignment w:val="baseline"/>
      </w:pPr>
      <w:r w:rsidRPr="00EA59C0">
        <w:t>In</w:t>
      </w:r>
      <w:r w:rsidR="00C026A6" w:rsidRPr="00EA59C0">
        <w:t xml:space="preserve"> </w:t>
      </w:r>
      <w:r w:rsidRPr="00EA59C0">
        <w:t>accordance</w:t>
      </w:r>
      <w:r w:rsidR="00C026A6" w:rsidRPr="00EA59C0">
        <w:t xml:space="preserve"> </w:t>
      </w:r>
      <w:r w:rsidRPr="00EA59C0">
        <w:t>with</w:t>
      </w:r>
      <w:r w:rsidR="00C026A6" w:rsidRPr="00EA59C0">
        <w:t xml:space="preserve"> </w:t>
      </w:r>
      <w:r w:rsidRPr="00EA59C0">
        <w:t>Section</w:t>
      </w:r>
      <w:r w:rsidR="00C026A6" w:rsidRPr="00EA59C0">
        <w:t xml:space="preserve"> </w:t>
      </w:r>
      <w:r w:rsidRPr="00EA59C0">
        <w:t>18</w:t>
      </w:r>
      <w:r w:rsidR="00C026A6" w:rsidRPr="00EA59C0">
        <w:t xml:space="preserve"> </w:t>
      </w:r>
      <w:r w:rsidRPr="00EA59C0">
        <w:t>of</w:t>
      </w:r>
      <w:r w:rsidR="00C026A6" w:rsidRPr="00EA59C0">
        <w:t xml:space="preserve"> </w:t>
      </w:r>
      <w:r w:rsidRPr="00EA59C0">
        <w:t>the</w:t>
      </w:r>
      <w:r w:rsidR="00C026A6" w:rsidRPr="00EA59C0">
        <w:t xml:space="preserve"> </w:t>
      </w:r>
      <w:r w:rsidRPr="00EA59C0">
        <w:t>Lobbying</w:t>
      </w:r>
      <w:r w:rsidR="00C026A6" w:rsidRPr="00EA59C0">
        <w:t xml:space="preserve"> </w:t>
      </w:r>
      <w:r w:rsidRPr="00EA59C0">
        <w:t>Disclosure</w:t>
      </w:r>
      <w:r w:rsidR="00C026A6" w:rsidRPr="00EA59C0">
        <w:t xml:space="preserve"> </w:t>
      </w:r>
      <w:r w:rsidRPr="00EA59C0">
        <w:t>Act</w:t>
      </w:r>
      <w:r w:rsidR="00C026A6" w:rsidRPr="00EA59C0">
        <w:t xml:space="preserve"> </w:t>
      </w:r>
      <w:r w:rsidRPr="00EA59C0">
        <w:t>of</w:t>
      </w:r>
      <w:r w:rsidR="00C026A6" w:rsidRPr="00EA59C0">
        <w:t xml:space="preserve"> </w:t>
      </w:r>
      <w:r w:rsidRPr="00EA59C0">
        <w:t>1995</w:t>
      </w:r>
      <w:r w:rsidR="00C026A6" w:rsidRPr="00EA59C0">
        <w:t xml:space="preserve"> </w:t>
      </w:r>
      <w:r w:rsidRPr="00EA59C0">
        <w:t>(Public</w:t>
      </w:r>
      <w:r w:rsidR="00C026A6" w:rsidRPr="00EA59C0">
        <w:t xml:space="preserve"> </w:t>
      </w:r>
      <w:r w:rsidRPr="00EA59C0">
        <w:t>Law</w:t>
      </w:r>
      <w:r w:rsidR="00C026A6" w:rsidRPr="00EA59C0">
        <w:t xml:space="preserve"> </w:t>
      </w:r>
      <w:r w:rsidRPr="00EA59C0">
        <w:t>104-65)</w:t>
      </w:r>
      <w:r w:rsidR="00C026A6" w:rsidRPr="00EA59C0">
        <w:t xml:space="preserve"> </w:t>
      </w:r>
      <w:r w:rsidRPr="00EA59C0">
        <w:t>(2</w:t>
      </w:r>
      <w:r w:rsidR="00C026A6" w:rsidRPr="00EA59C0">
        <w:t xml:space="preserve"> </w:t>
      </w:r>
      <w:r w:rsidRPr="00EA59C0">
        <w:t>U.S.C.</w:t>
      </w:r>
      <w:r w:rsidR="00C026A6" w:rsidRPr="00EA59C0">
        <w:t xml:space="preserve"> </w:t>
      </w:r>
      <w:r w:rsidRPr="00EA59C0">
        <w:t>1611),</w:t>
      </w:r>
      <w:r w:rsidR="00C026A6" w:rsidRPr="00EA59C0">
        <w:t xml:space="preserve"> </w:t>
      </w:r>
      <w:r w:rsidRPr="00EA59C0">
        <w:t>non-profit</w:t>
      </w:r>
      <w:r w:rsidR="00C026A6" w:rsidRPr="00EA59C0">
        <w:t xml:space="preserve"> </w:t>
      </w:r>
      <w:r w:rsidRPr="00EA59C0">
        <w:t>entities</w:t>
      </w:r>
      <w:r w:rsidR="00C026A6" w:rsidRPr="00EA59C0">
        <w:t xml:space="preserve"> </w:t>
      </w:r>
      <w:r w:rsidRPr="00EA59C0">
        <w:t>incorporated</w:t>
      </w:r>
      <w:r w:rsidR="00C026A6" w:rsidRPr="00EA59C0">
        <w:t xml:space="preserve"> </w:t>
      </w:r>
      <w:r w:rsidRPr="00EA59C0">
        <w:t>under</w:t>
      </w:r>
      <w:r w:rsidR="00C026A6" w:rsidRPr="00EA59C0">
        <w:t xml:space="preserve"> </w:t>
      </w:r>
      <w:r w:rsidRPr="00EA59C0">
        <w:t>Internal</w:t>
      </w:r>
      <w:r w:rsidR="00C026A6" w:rsidRPr="00EA59C0">
        <w:t xml:space="preserve"> </w:t>
      </w:r>
      <w:r w:rsidRPr="00EA59C0">
        <w:t>Revenue</w:t>
      </w:r>
      <w:r w:rsidR="00C026A6" w:rsidRPr="00EA59C0">
        <w:t xml:space="preserve"> </w:t>
      </w:r>
      <w:r w:rsidRPr="00EA59C0">
        <w:t>Service</w:t>
      </w:r>
      <w:r w:rsidR="00C026A6" w:rsidRPr="00EA59C0">
        <w:t xml:space="preserve"> </w:t>
      </w:r>
      <w:r w:rsidRPr="00EA59C0">
        <w:t>Code</w:t>
      </w:r>
      <w:r w:rsidR="00C026A6" w:rsidRPr="00EA59C0">
        <w:t xml:space="preserve"> </w:t>
      </w:r>
      <w:r w:rsidRPr="00EA59C0">
        <w:t>Section</w:t>
      </w:r>
      <w:r w:rsidR="00C026A6" w:rsidRPr="00EA59C0">
        <w:t xml:space="preserve"> </w:t>
      </w:r>
      <w:r w:rsidRPr="00EA59C0">
        <w:t>501(c)</w:t>
      </w:r>
      <w:r w:rsidR="00C026A6" w:rsidRPr="00EA59C0">
        <w:t xml:space="preserve"> </w:t>
      </w:r>
      <w:r w:rsidRPr="00EA59C0">
        <w:t>(4)</w:t>
      </w:r>
      <w:r w:rsidR="00C026A6" w:rsidRPr="00EA59C0">
        <w:t xml:space="preserve"> </w:t>
      </w:r>
      <w:r w:rsidRPr="00EA59C0">
        <w:t>that</w:t>
      </w:r>
      <w:r w:rsidR="00C026A6" w:rsidRPr="00EA59C0">
        <w:t xml:space="preserve"> </w:t>
      </w:r>
      <w:r w:rsidRPr="00EA59C0">
        <w:t>engage</w:t>
      </w:r>
      <w:r w:rsidR="00C026A6" w:rsidRPr="00EA59C0">
        <w:t xml:space="preserve"> </w:t>
      </w:r>
      <w:r w:rsidRPr="00EA59C0">
        <w:t>in</w:t>
      </w:r>
      <w:r w:rsidR="00C026A6" w:rsidRPr="00EA59C0">
        <w:t xml:space="preserve"> </w:t>
      </w:r>
      <w:r w:rsidRPr="00EA59C0">
        <w:t>lobbying</w:t>
      </w:r>
      <w:r w:rsidR="00C026A6" w:rsidRPr="00EA59C0">
        <w:t xml:space="preserve"> </w:t>
      </w:r>
      <w:r w:rsidRPr="00EA59C0">
        <w:t>activities</w:t>
      </w:r>
      <w:r w:rsidR="00C026A6" w:rsidRPr="00EA59C0">
        <w:t xml:space="preserve"> </w:t>
      </w:r>
      <w:r w:rsidRPr="00EA59C0">
        <w:t>are</w:t>
      </w:r>
      <w:r w:rsidR="00C026A6" w:rsidRPr="00EA59C0">
        <w:t xml:space="preserve"> </w:t>
      </w:r>
      <w:r w:rsidRPr="00EA59C0">
        <w:t>not</w:t>
      </w:r>
      <w:r w:rsidR="00C026A6" w:rsidRPr="00EA59C0">
        <w:t xml:space="preserve"> </w:t>
      </w:r>
      <w:r w:rsidRPr="00EA59C0">
        <w:t>eligible</w:t>
      </w:r>
      <w:r w:rsidR="00C026A6" w:rsidRPr="00EA59C0">
        <w:t xml:space="preserve"> </w:t>
      </w:r>
      <w:r w:rsidRPr="00EA59C0">
        <w:t>to</w:t>
      </w:r>
      <w:r w:rsidR="00C026A6" w:rsidRPr="00EA59C0">
        <w:t xml:space="preserve"> </w:t>
      </w:r>
      <w:r w:rsidRPr="00EA59C0">
        <w:t>receive</w:t>
      </w:r>
      <w:r w:rsidR="00C026A6" w:rsidRPr="00EA59C0">
        <w:t xml:space="preserve"> </w:t>
      </w:r>
      <w:r w:rsidRPr="00EA59C0">
        <w:t>Federal</w:t>
      </w:r>
      <w:r w:rsidR="00C026A6" w:rsidRPr="00EA59C0">
        <w:t xml:space="preserve"> </w:t>
      </w:r>
      <w:r w:rsidRPr="00EA59C0">
        <w:t>funds</w:t>
      </w:r>
      <w:r w:rsidR="00C026A6" w:rsidRPr="00EA59C0">
        <w:t xml:space="preserve"> </w:t>
      </w:r>
      <w:r w:rsidRPr="00EA59C0">
        <w:t>and</w:t>
      </w:r>
      <w:r w:rsidR="00C026A6" w:rsidRPr="00EA59C0">
        <w:t xml:space="preserve"> </w:t>
      </w:r>
      <w:r w:rsidRPr="00EA59C0">
        <w:t>grants.</w:t>
      </w:r>
      <w:r w:rsidR="00C026A6" w:rsidRPr="00EA59C0">
        <w:t xml:space="preserve">  </w:t>
      </w:r>
      <w:r w:rsidRPr="00EA59C0">
        <w:t>No</w:t>
      </w:r>
      <w:r w:rsidR="00C026A6" w:rsidRPr="00EA59C0">
        <w:t xml:space="preserve"> </w:t>
      </w:r>
      <w:r w:rsidRPr="00EA59C0">
        <w:t>activity,</w:t>
      </w:r>
      <w:r w:rsidR="00C026A6" w:rsidRPr="00EA59C0">
        <w:t xml:space="preserve"> </w:t>
      </w:r>
      <w:r w:rsidRPr="00EA59C0">
        <w:t>including</w:t>
      </w:r>
      <w:r w:rsidR="00C026A6" w:rsidRPr="00EA59C0">
        <w:t xml:space="preserve"> </w:t>
      </w:r>
      <w:r w:rsidRPr="00EA59C0">
        <w:t>awareness-raising</w:t>
      </w:r>
      <w:r w:rsidR="00C026A6" w:rsidRPr="00EA59C0">
        <w:t xml:space="preserve"> </w:t>
      </w:r>
      <w:r w:rsidRPr="00EA59C0">
        <w:t>and</w:t>
      </w:r>
      <w:r w:rsidR="00C026A6" w:rsidRPr="00EA59C0">
        <w:t xml:space="preserve"> </w:t>
      </w:r>
      <w:r w:rsidRPr="00EA59C0">
        <w:t>advocacy</w:t>
      </w:r>
      <w:r w:rsidR="00C026A6" w:rsidRPr="00EA59C0">
        <w:t xml:space="preserve"> </w:t>
      </w:r>
      <w:r w:rsidRPr="00EA59C0">
        <w:t>activities,</w:t>
      </w:r>
      <w:r w:rsidR="00C026A6" w:rsidRPr="00EA59C0">
        <w:t xml:space="preserve"> </w:t>
      </w:r>
      <w:r w:rsidRPr="00EA59C0">
        <w:t>may</w:t>
      </w:r>
      <w:r w:rsidR="00C026A6" w:rsidRPr="00EA59C0">
        <w:t xml:space="preserve"> </w:t>
      </w:r>
      <w:r w:rsidRPr="00EA59C0">
        <w:t>include</w:t>
      </w:r>
      <w:r w:rsidR="00C026A6" w:rsidRPr="00EA59C0">
        <w:t xml:space="preserve"> </w:t>
      </w:r>
      <w:r w:rsidRPr="00EA59C0">
        <w:t>fundraising</w:t>
      </w:r>
      <w:r w:rsidR="00C026A6" w:rsidRPr="00EA59C0">
        <w:t xml:space="preserve"> </w:t>
      </w:r>
      <w:r w:rsidRPr="00EA59C0">
        <w:t>for,</w:t>
      </w:r>
      <w:r w:rsidR="00C026A6" w:rsidRPr="00EA59C0">
        <w:t xml:space="preserve"> </w:t>
      </w:r>
      <w:r w:rsidRPr="00EA59C0">
        <w:t>or</w:t>
      </w:r>
      <w:r w:rsidR="00C026A6" w:rsidRPr="00EA59C0">
        <w:t xml:space="preserve"> </w:t>
      </w:r>
      <w:r w:rsidRPr="00EA59C0">
        <w:t>lobbying</w:t>
      </w:r>
      <w:r w:rsidR="00C026A6" w:rsidRPr="00EA59C0">
        <w:t xml:space="preserve"> </w:t>
      </w:r>
      <w:r w:rsidRPr="00EA59C0">
        <w:t>of,</w:t>
      </w:r>
      <w:r w:rsidR="00C026A6" w:rsidRPr="00EA59C0">
        <w:t xml:space="preserve"> </w:t>
      </w:r>
      <w:r w:rsidRPr="00EA59C0">
        <w:t>U.S.</w:t>
      </w:r>
      <w:r w:rsidR="00C026A6" w:rsidRPr="00EA59C0">
        <w:t xml:space="preserve"> </w:t>
      </w:r>
      <w:r w:rsidRPr="00EA59C0">
        <w:t>Federal,</w:t>
      </w:r>
      <w:r w:rsidR="00C026A6" w:rsidRPr="00EA59C0">
        <w:t xml:space="preserve"> </w:t>
      </w:r>
      <w:r w:rsidRPr="00EA59C0">
        <w:t>State</w:t>
      </w:r>
      <w:r w:rsidR="00C026A6" w:rsidRPr="00EA59C0">
        <w:t xml:space="preserve"> </w:t>
      </w:r>
      <w:r w:rsidRPr="00EA59C0">
        <w:t>or</w:t>
      </w:r>
      <w:r w:rsidR="00C026A6" w:rsidRPr="00EA59C0">
        <w:t xml:space="preserve"> </w:t>
      </w:r>
      <w:r w:rsidRPr="00EA59C0">
        <w:t>Local</w:t>
      </w:r>
      <w:r w:rsidR="00C026A6" w:rsidRPr="00EA59C0">
        <w:t xml:space="preserve"> </w:t>
      </w:r>
      <w:r w:rsidRPr="00EA59C0">
        <w:t>Governments</w:t>
      </w:r>
      <w:r w:rsidR="00C026A6" w:rsidRPr="00EA59C0">
        <w:t xml:space="preserve"> </w:t>
      </w:r>
      <w:r w:rsidRPr="00EA59C0">
        <w:t>(see</w:t>
      </w:r>
      <w:r w:rsidR="00C026A6" w:rsidRPr="00EA59C0">
        <w:t xml:space="preserve"> </w:t>
      </w:r>
      <w:r w:rsidRPr="00EA59C0">
        <w:t>OMB</w:t>
      </w:r>
      <w:r w:rsidR="00C026A6" w:rsidRPr="00EA59C0">
        <w:t xml:space="preserve"> </w:t>
      </w:r>
      <w:r w:rsidRPr="00EA59C0">
        <w:t>Circular</w:t>
      </w:r>
      <w:r w:rsidR="00C026A6" w:rsidRPr="00EA59C0">
        <w:t xml:space="preserve"> </w:t>
      </w:r>
      <w:r w:rsidRPr="00EA59C0">
        <w:t>A-122).</w:t>
      </w:r>
    </w:p>
    <w:p w:rsidR="00144DF0" w:rsidRPr="00EA59C0" w:rsidRDefault="00144DF0" w:rsidP="00FA0E98">
      <w:pPr>
        <w:pStyle w:val="ListParagraph"/>
        <w:widowControl w:val="0"/>
        <w:autoSpaceDE w:val="0"/>
        <w:autoSpaceDN w:val="0"/>
        <w:adjustRightInd w:val="0"/>
        <w:ind w:left="1440"/>
        <w:textAlignment w:val="baseline"/>
      </w:pPr>
    </w:p>
    <w:p w:rsidR="00144DF0" w:rsidRPr="00EA59C0" w:rsidRDefault="007470AB" w:rsidP="00FC34EA">
      <w:pPr>
        <w:pStyle w:val="Heading2"/>
        <w:numPr>
          <w:ilvl w:val="3"/>
          <w:numId w:val="17"/>
        </w:numPr>
        <w:spacing w:line="240" w:lineRule="auto"/>
        <w:rPr>
          <w:rFonts w:ascii="Times New Roman" w:hAnsi="Times New Roman"/>
          <w:b w:val="0"/>
          <w:i w:val="0"/>
        </w:rPr>
      </w:pPr>
      <w:r w:rsidRPr="00EA59C0">
        <w:rPr>
          <w:rFonts w:ascii="Times New Roman" w:hAnsi="Times New Roman"/>
          <w:b w:val="0"/>
          <w:i w:val="0"/>
        </w:rPr>
        <w:t>Transparency</w:t>
      </w:r>
      <w:r w:rsidR="00C026A6" w:rsidRPr="00EA59C0">
        <w:rPr>
          <w:rFonts w:ascii="Times New Roman" w:hAnsi="Times New Roman"/>
          <w:b w:val="0"/>
          <w:i w:val="0"/>
        </w:rPr>
        <w:t xml:space="preserve"> </w:t>
      </w:r>
      <w:r w:rsidRPr="00EA59C0">
        <w:rPr>
          <w:rFonts w:ascii="Times New Roman" w:hAnsi="Times New Roman"/>
          <w:b w:val="0"/>
          <w:i w:val="0"/>
        </w:rPr>
        <w:t>Act</w:t>
      </w:r>
      <w:r w:rsidR="00C026A6" w:rsidRPr="00EA59C0">
        <w:rPr>
          <w:rFonts w:ascii="Times New Roman" w:hAnsi="Times New Roman"/>
          <w:b w:val="0"/>
          <w:i w:val="0"/>
        </w:rPr>
        <w:t xml:space="preserve"> </w:t>
      </w:r>
      <w:r w:rsidRPr="00EA59C0">
        <w:rPr>
          <w:rFonts w:ascii="Times New Roman" w:hAnsi="Times New Roman"/>
          <w:b w:val="0"/>
          <w:i w:val="0"/>
        </w:rPr>
        <w:t>Requirements</w:t>
      </w:r>
    </w:p>
    <w:p w:rsidR="00144DF0" w:rsidRPr="00EA59C0" w:rsidRDefault="007470AB" w:rsidP="00FA0E98">
      <w:pPr>
        <w:pStyle w:val="ListParagraph"/>
        <w:widowControl w:val="0"/>
        <w:autoSpaceDE w:val="0"/>
        <w:autoSpaceDN w:val="0"/>
        <w:adjustRightInd w:val="0"/>
        <w:ind w:left="1440"/>
        <w:textAlignment w:val="baseline"/>
      </w:pPr>
      <w:r w:rsidRPr="00EA59C0">
        <w:t>Applicants</w:t>
      </w:r>
      <w:r w:rsidR="00C026A6" w:rsidRPr="00EA59C0">
        <w:t xml:space="preserve"> </w:t>
      </w:r>
      <w:r w:rsidRPr="00EA59C0">
        <w:t>must</w:t>
      </w:r>
      <w:r w:rsidR="00C026A6" w:rsidRPr="00EA59C0">
        <w:t xml:space="preserve"> </w:t>
      </w:r>
      <w:r w:rsidRPr="00EA59C0">
        <w:t>ensure</w:t>
      </w:r>
      <w:r w:rsidR="00C026A6" w:rsidRPr="00EA59C0">
        <w:t xml:space="preserve"> </w:t>
      </w:r>
      <w:r w:rsidRPr="00EA59C0">
        <w:t>that</w:t>
      </w:r>
      <w:r w:rsidR="00C026A6" w:rsidRPr="00EA59C0">
        <w:t xml:space="preserve"> </w:t>
      </w:r>
      <w:r w:rsidR="007D54D5" w:rsidRPr="00EA59C0">
        <w:t>they</w:t>
      </w:r>
      <w:r w:rsidR="00C026A6" w:rsidRPr="00EA59C0">
        <w:t xml:space="preserve"> </w:t>
      </w:r>
      <w:r w:rsidRPr="00EA59C0">
        <w:t>ha</w:t>
      </w:r>
      <w:r w:rsidR="007D54D5" w:rsidRPr="00EA59C0">
        <w:t>ve</w:t>
      </w:r>
      <w:r w:rsidR="00C026A6" w:rsidRPr="00EA59C0">
        <w:t xml:space="preserve"> </w:t>
      </w:r>
      <w:r w:rsidRPr="00EA59C0">
        <w:t>the</w:t>
      </w:r>
      <w:r w:rsidR="00C026A6" w:rsidRPr="00EA59C0">
        <w:t xml:space="preserve"> </w:t>
      </w:r>
      <w:r w:rsidRPr="00EA59C0">
        <w:t>necessary</w:t>
      </w:r>
      <w:r w:rsidR="00C026A6" w:rsidRPr="00EA59C0">
        <w:t xml:space="preserve"> </w:t>
      </w:r>
      <w:r w:rsidRPr="00EA59C0">
        <w:t>processes</w:t>
      </w:r>
      <w:r w:rsidR="00C026A6" w:rsidRPr="00EA59C0">
        <w:t xml:space="preserve"> </w:t>
      </w:r>
      <w:r w:rsidRPr="00EA59C0">
        <w:t>and</w:t>
      </w:r>
      <w:r w:rsidR="00C026A6" w:rsidRPr="00EA59C0">
        <w:t xml:space="preserve"> </w:t>
      </w:r>
      <w:r w:rsidRPr="00EA59C0">
        <w:t>systems</w:t>
      </w:r>
      <w:r w:rsidR="00C026A6" w:rsidRPr="00EA59C0">
        <w:t xml:space="preserve"> </w:t>
      </w:r>
      <w:r w:rsidRPr="00EA59C0">
        <w:t>in</w:t>
      </w:r>
      <w:r w:rsidR="00C026A6" w:rsidRPr="00EA59C0">
        <w:t xml:space="preserve"> </w:t>
      </w:r>
      <w:r w:rsidRPr="00EA59C0">
        <w:t>place</w:t>
      </w:r>
      <w:r w:rsidR="00C026A6" w:rsidRPr="00EA59C0">
        <w:t xml:space="preserve"> </w:t>
      </w:r>
      <w:r w:rsidRPr="00EA59C0">
        <w:t>to</w:t>
      </w:r>
      <w:r w:rsidR="00C026A6" w:rsidRPr="00EA59C0">
        <w:t xml:space="preserve"> </w:t>
      </w:r>
      <w:r w:rsidRPr="00EA59C0">
        <w:t>comply</w:t>
      </w:r>
      <w:r w:rsidR="00C026A6" w:rsidRPr="00EA59C0">
        <w:t xml:space="preserve"> </w:t>
      </w:r>
      <w:r w:rsidRPr="00EA59C0">
        <w:t>with</w:t>
      </w:r>
      <w:r w:rsidR="00C026A6" w:rsidRPr="00EA59C0">
        <w:t xml:space="preserve"> </w:t>
      </w:r>
      <w:r w:rsidRPr="00EA59C0">
        <w:t>the</w:t>
      </w:r>
      <w:r w:rsidR="00C026A6" w:rsidRPr="00EA59C0">
        <w:t xml:space="preserve"> </w:t>
      </w:r>
      <w:r w:rsidRPr="00EA59C0">
        <w:t>reporting</w:t>
      </w:r>
      <w:r w:rsidR="00C026A6" w:rsidRPr="00EA59C0">
        <w:t xml:space="preserve"> </w:t>
      </w:r>
      <w:r w:rsidRPr="00EA59C0">
        <w:t>requirements</w:t>
      </w:r>
      <w:r w:rsidR="00C026A6" w:rsidRPr="00EA59C0">
        <w:t xml:space="preserve"> </w:t>
      </w:r>
      <w:r w:rsidRPr="00EA59C0">
        <w:t>of</w:t>
      </w:r>
      <w:r w:rsidR="00C026A6" w:rsidRPr="00EA59C0">
        <w:t xml:space="preserve"> </w:t>
      </w:r>
      <w:r w:rsidRPr="00EA59C0">
        <w:t>the</w:t>
      </w:r>
      <w:r w:rsidR="00C026A6" w:rsidRPr="00EA59C0">
        <w:t xml:space="preserve"> </w:t>
      </w:r>
      <w:r w:rsidRPr="00EA59C0">
        <w:t>Federal</w:t>
      </w:r>
      <w:r w:rsidR="00C026A6" w:rsidRPr="00EA59C0">
        <w:t xml:space="preserve"> </w:t>
      </w:r>
      <w:r w:rsidRPr="00EA59C0">
        <w:t>Funding</w:t>
      </w:r>
      <w:r w:rsidR="00C026A6" w:rsidRPr="00EA59C0">
        <w:t xml:space="preserve"> </w:t>
      </w:r>
      <w:r w:rsidRPr="00EA59C0">
        <w:t>Accountability</w:t>
      </w:r>
      <w:r w:rsidR="00C026A6" w:rsidRPr="00EA59C0">
        <w:t xml:space="preserve"> </w:t>
      </w:r>
      <w:r w:rsidRPr="00EA59C0">
        <w:t>and</w:t>
      </w:r>
      <w:r w:rsidR="00C026A6" w:rsidRPr="00EA59C0">
        <w:t xml:space="preserve"> </w:t>
      </w:r>
      <w:r w:rsidRPr="00EA59C0">
        <w:t>Transparency</w:t>
      </w:r>
      <w:r w:rsidR="00C026A6" w:rsidRPr="00EA59C0">
        <w:t xml:space="preserve"> </w:t>
      </w:r>
      <w:r w:rsidRPr="00EA59C0">
        <w:t>Act</w:t>
      </w:r>
      <w:r w:rsidR="00C026A6" w:rsidRPr="00EA59C0">
        <w:t xml:space="preserve"> </w:t>
      </w:r>
      <w:r w:rsidRPr="00EA59C0">
        <w:t>of</w:t>
      </w:r>
      <w:r w:rsidR="00C026A6" w:rsidRPr="00EA59C0">
        <w:t xml:space="preserve"> </w:t>
      </w:r>
      <w:r w:rsidRPr="00EA59C0">
        <w:t>2006</w:t>
      </w:r>
      <w:r w:rsidR="00C026A6" w:rsidRPr="00EA59C0">
        <w:t xml:space="preserve"> </w:t>
      </w:r>
      <w:r w:rsidRPr="00EA59C0">
        <w:t>(Pub.</w:t>
      </w:r>
      <w:r w:rsidR="00C026A6" w:rsidRPr="00EA59C0">
        <w:t xml:space="preserve"> </w:t>
      </w:r>
      <w:r w:rsidRPr="00EA59C0">
        <w:t>Law</w:t>
      </w:r>
      <w:r w:rsidR="00C026A6" w:rsidRPr="00EA59C0">
        <w:t xml:space="preserve"> </w:t>
      </w:r>
      <w:r w:rsidRPr="00EA59C0">
        <w:t>109-282,</w:t>
      </w:r>
      <w:r w:rsidR="00C026A6" w:rsidRPr="00EA59C0">
        <w:t xml:space="preserve"> </w:t>
      </w:r>
      <w:r w:rsidRPr="00EA59C0">
        <w:t>as</w:t>
      </w:r>
      <w:r w:rsidR="00C026A6" w:rsidRPr="00EA59C0">
        <w:t xml:space="preserve"> </w:t>
      </w:r>
      <w:r w:rsidRPr="00EA59C0">
        <w:t>amended</w:t>
      </w:r>
      <w:r w:rsidR="00C026A6" w:rsidRPr="00EA59C0">
        <w:t xml:space="preserve"> </w:t>
      </w:r>
      <w:r w:rsidRPr="00EA59C0">
        <w:t>by</w:t>
      </w:r>
      <w:r w:rsidR="00C026A6" w:rsidRPr="00EA59C0">
        <w:t xml:space="preserve"> </w:t>
      </w:r>
      <w:r w:rsidRPr="00EA59C0">
        <w:t>section</w:t>
      </w:r>
      <w:r w:rsidR="00C026A6" w:rsidRPr="00EA59C0">
        <w:t xml:space="preserve"> </w:t>
      </w:r>
      <w:r w:rsidRPr="00EA59C0">
        <w:t>6202</w:t>
      </w:r>
      <w:r w:rsidR="00C026A6" w:rsidRPr="00EA59C0">
        <w:t xml:space="preserve"> </w:t>
      </w:r>
      <w:r w:rsidRPr="00EA59C0">
        <w:t>of</w:t>
      </w:r>
      <w:r w:rsidR="00C026A6" w:rsidRPr="00EA59C0">
        <w:t xml:space="preserve"> </w:t>
      </w:r>
      <w:r w:rsidRPr="00EA59C0">
        <w:t>Pub.</w:t>
      </w:r>
      <w:r w:rsidR="00C026A6" w:rsidRPr="00EA59C0">
        <w:t xml:space="preserve"> </w:t>
      </w:r>
      <w:r w:rsidRPr="00EA59C0">
        <w:t>Law</w:t>
      </w:r>
      <w:r w:rsidR="00C026A6" w:rsidRPr="00EA59C0">
        <w:t xml:space="preserve"> </w:t>
      </w:r>
      <w:r w:rsidRPr="00EA59C0">
        <w:t>110-252)</w:t>
      </w:r>
      <w:r w:rsidR="00C026A6" w:rsidRPr="00EA59C0">
        <w:t xml:space="preserve"> </w:t>
      </w:r>
      <w:r w:rsidRPr="00EA59C0">
        <w:t>(Transparency</w:t>
      </w:r>
      <w:r w:rsidR="00C026A6" w:rsidRPr="00EA59C0">
        <w:t xml:space="preserve"> </w:t>
      </w:r>
      <w:r w:rsidRPr="00EA59C0">
        <w:t>Act),</w:t>
      </w:r>
      <w:r w:rsidR="00C026A6" w:rsidRPr="00EA59C0">
        <w:t xml:space="preserve"> </w:t>
      </w:r>
      <w:r w:rsidRPr="00EA59C0">
        <w:t>as</w:t>
      </w:r>
      <w:r w:rsidR="00C026A6" w:rsidRPr="00EA59C0">
        <w:t xml:space="preserve"> </w:t>
      </w:r>
      <w:r w:rsidRPr="00EA59C0">
        <w:t>follows:</w:t>
      </w:r>
    </w:p>
    <w:p w:rsidR="007470AB" w:rsidRPr="00EA59C0" w:rsidRDefault="007470AB" w:rsidP="00080097">
      <w:pPr>
        <w:pStyle w:val="ListParagraph"/>
        <w:numPr>
          <w:ilvl w:val="0"/>
          <w:numId w:val="32"/>
        </w:numPr>
        <w:tabs>
          <w:tab w:val="num" w:pos="1440"/>
        </w:tabs>
      </w:pPr>
      <w:r w:rsidRPr="00EA59C0">
        <w:t>All</w:t>
      </w:r>
      <w:r w:rsidR="00C026A6" w:rsidRPr="00EA59C0">
        <w:t xml:space="preserve"> </w:t>
      </w:r>
      <w:r w:rsidRPr="00EA59C0">
        <w:t>applicants,</w:t>
      </w:r>
      <w:r w:rsidR="00C026A6" w:rsidRPr="00EA59C0">
        <w:t xml:space="preserve"> </w:t>
      </w:r>
      <w:r w:rsidRPr="00EA59C0">
        <w:t>except</w:t>
      </w:r>
      <w:r w:rsidR="00C026A6" w:rsidRPr="00EA59C0">
        <w:t xml:space="preserve"> </w:t>
      </w:r>
      <w:r w:rsidRPr="00EA59C0">
        <w:t>for</w:t>
      </w:r>
      <w:r w:rsidR="00C026A6" w:rsidRPr="00EA59C0">
        <w:t xml:space="preserve"> </w:t>
      </w:r>
      <w:r w:rsidRPr="00EA59C0">
        <w:t>those</w:t>
      </w:r>
      <w:r w:rsidR="00C026A6" w:rsidRPr="00EA59C0">
        <w:t xml:space="preserve"> </w:t>
      </w:r>
      <w:r w:rsidRPr="00EA59C0">
        <w:t>excepted</w:t>
      </w:r>
      <w:r w:rsidR="00C026A6" w:rsidRPr="00EA59C0">
        <w:t xml:space="preserve"> </w:t>
      </w:r>
      <w:r w:rsidRPr="00EA59C0">
        <w:t>from</w:t>
      </w:r>
      <w:r w:rsidR="00C026A6" w:rsidRPr="00EA59C0">
        <w:t xml:space="preserve"> </w:t>
      </w:r>
      <w:r w:rsidRPr="00EA59C0">
        <w:t>the</w:t>
      </w:r>
      <w:r w:rsidR="00C026A6" w:rsidRPr="00EA59C0">
        <w:t xml:space="preserve"> </w:t>
      </w:r>
      <w:r w:rsidRPr="00EA59C0">
        <w:t>Transparency</w:t>
      </w:r>
      <w:r w:rsidR="00C026A6" w:rsidRPr="00EA59C0">
        <w:t xml:space="preserve"> </w:t>
      </w:r>
      <w:r w:rsidRPr="00EA59C0">
        <w:t>Act</w:t>
      </w:r>
      <w:r w:rsidR="00C026A6" w:rsidRPr="00EA59C0">
        <w:t xml:space="preserve"> </w:t>
      </w:r>
      <w:r w:rsidRPr="00EA59C0">
        <w:t>under</w:t>
      </w:r>
      <w:r w:rsidR="00C026A6" w:rsidRPr="00EA59C0">
        <w:t xml:space="preserve"> </w:t>
      </w:r>
      <w:r w:rsidRPr="00EA59C0">
        <w:t>sub-paragraphs</w:t>
      </w:r>
      <w:r w:rsidR="00C026A6" w:rsidRPr="00EA59C0">
        <w:t xml:space="preserve"> </w:t>
      </w:r>
      <w:r w:rsidRPr="00EA59C0">
        <w:t>1,</w:t>
      </w:r>
      <w:r w:rsidR="00C026A6" w:rsidRPr="00EA59C0">
        <w:t xml:space="preserve"> </w:t>
      </w:r>
      <w:r w:rsidRPr="00EA59C0">
        <w:t>2,</w:t>
      </w:r>
      <w:r w:rsidR="00C026A6" w:rsidRPr="00EA59C0">
        <w:t xml:space="preserve"> </w:t>
      </w:r>
      <w:r w:rsidRPr="00EA59C0">
        <w:t>and</w:t>
      </w:r>
      <w:r w:rsidR="00C026A6" w:rsidRPr="00EA59C0">
        <w:t xml:space="preserve"> </w:t>
      </w:r>
      <w:r w:rsidRPr="00EA59C0">
        <w:t>3</w:t>
      </w:r>
      <w:r w:rsidR="00C026A6" w:rsidRPr="00EA59C0">
        <w:t xml:space="preserve"> </w:t>
      </w:r>
      <w:r w:rsidRPr="00EA59C0">
        <w:t>below,</w:t>
      </w:r>
      <w:r w:rsidR="00C026A6" w:rsidRPr="00EA59C0">
        <w:t xml:space="preserve"> </w:t>
      </w:r>
      <w:r w:rsidRPr="00EA59C0">
        <w:t>must</w:t>
      </w:r>
      <w:r w:rsidR="00C026A6" w:rsidRPr="00EA59C0">
        <w:t xml:space="preserve"> </w:t>
      </w:r>
      <w:r w:rsidRPr="00EA59C0">
        <w:t>ensure</w:t>
      </w:r>
      <w:r w:rsidR="00C026A6" w:rsidRPr="00EA59C0">
        <w:t xml:space="preserve"> </w:t>
      </w:r>
      <w:r w:rsidRPr="00EA59C0">
        <w:t>that</w:t>
      </w:r>
      <w:r w:rsidR="00C026A6" w:rsidRPr="00EA59C0">
        <w:t xml:space="preserve"> </w:t>
      </w:r>
      <w:r w:rsidRPr="00EA59C0">
        <w:t>they</w:t>
      </w:r>
      <w:r w:rsidR="00C026A6" w:rsidRPr="00EA59C0">
        <w:t xml:space="preserve"> </w:t>
      </w:r>
      <w:r w:rsidRPr="00EA59C0">
        <w:t>have</w:t>
      </w:r>
      <w:r w:rsidR="00C026A6" w:rsidRPr="00EA59C0">
        <w:t xml:space="preserve"> </w:t>
      </w:r>
      <w:r w:rsidRPr="00EA59C0">
        <w:t>the</w:t>
      </w:r>
      <w:r w:rsidR="00C026A6" w:rsidRPr="00EA59C0">
        <w:t xml:space="preserve"> </w:t>
      </w:r>
      <w:r w:rsidRPr="00EA59C0">
        <w:t>necessary</w:t>
      </w:r>
      <w:r w:rsidR="00C026A6" w:rsidRPr="00EA59C0">
        <w:t xml:space="preserve"> </w:t>
      </w:r>
      <w:r w:rsidRPr="00EA59C0">
        <w:t>processes</w:t>
      </w:r>
      <w:r w:rsidR="00C026A6" w:rsidRPr="00EA59C0">
        <w:t xml:space="preserve"> </w:t>
      </w:r>
      <w:r w:rsidRPr="00EA59C0">
        <w:t>and</w:t>
      </w:r>
      <w:r w:rsidR="00C026A6" w:rsidRPr="00EA59C0">
        <w:t xml:space="preserve"> </w:t>
      </w:r>
      <w:r w:rsidRPr="00EA59C0">
        <w:t>systems</w:t>
      </w:r>
      <w:r w:rsidR="00C026A6" w:rsidRPr="00EA59C0">
        <w:t xml:space="preserve"> </w:t>
      </w:r>
      <w:r w:rsidRPr="00EA59C0">
        <w:t>in</w:t>
      </w:r>
      <w:r w:rsidR="00C026A6" w:rsidRPr="00EA59C0">
        <w:t xml:space="preserve"> </w:t>
      </w:r>
      <w:r w:rsidRPr="00EA59C0">
        <w:t>place</w:t>
      </w:r>
      <w:r w:rsidR="00C026A6" w:rsidRPr="00EA59C0">
        <w:t xml:space="preserve"> </w:t>
      </w:r>
      <w:r w:rsidRPr="00EA59C0">
        <w:t>to</w:t>
      </w:r>
      <w:r w:rsidR="00C026A6" w:rsidRPr="00EA59C0">
        <w:t xml:space="preserve"> </w:t>
      </w:r>
      <w:r w:rsidRPr="00EA59C0">
        <w:t>comply</w:t>
      </w:r>
      <w:r w:rsidR="00C026A6" w:rsidRPr="00EA59C0">
        <w:t xml:space="preserve"> </w:t>
      </w:r>
      <w:r w:rsidRPr="00EA59C0">
        <w:t>with</w:t>
      </w:r>
      <w:r w:rsidR="00C026A6" w:rsidRPr="00EA59C0">
        <w:t xml:space="preserve"> </w:t>
      </w:r>
      <w:r w:rsidRPr="00EA59C0">
        <w:t>the</w:t>
      </w:r>
      <w:r w:rsidR="00C026A6" w:rsidRPr="00EA59C0">
        <w:t xml:space="preserve"> </w:t>
      </w:r>
      <w:r w:rsidRPr="00EA59C0">
        <w:t>subaward</w:t>
      </w:r>
      <w:r w:rsidR="00C026A6" w:rsidRPr="00EA59C0">
        <w:t xml:space="preserve"> </w:t>
      </w:r>
      <w:r w:rsidRPr="00EA59C0">
        <w:t>and</w:t>
      </w:r>
      <w:r w:rsidR="00C026A6" w:rsidRPr="00EA59C0">
        <w:t xml:space="preserve"> </w:t>
      </w:r>
      <w:r w:rsidRPr="00EA59C0">
        <w:t>executive</w:t>
      </w:r>
      <w:r w:rsidR="00C026A6" w:rsidRPr="00EA59C0">
        <w:t xml:space="preserve"> </w:t>
      </w:r>
      <w:r w:rsidRPr="00EA59C0">
        <w:t>total</w:t>
      </w:r>
      <w:r w:rsidR="00C026A6" w:rsidRPr="00EA59C0">
        <w:t xml:space="preserve"> </w:t>
      </w:r>
      <w:r w:rsidRPr="00EA59C0">
        <w:t>compensation</w:t>
      </w:r>
      <w:r w:rsidR="00C026A6" w:rsidRPr="00EA59C0">
        <w:t xml:space="preserve"> </w:t>
      </w:r>
      <w:r w:rsidRPr="00EA59C0">
        <w:t>reporting</w:t>
      </w:r>
      <w:r w:rsidR="00C026A6" w:rsidRPr="00EA59C0">
        <w:t xml:space="preserve"> </w:t>
      </w:r>
      <w:r w:rsidRPr="00EA59C0">
        <w:t>requirements</w:t>
      </w:r>
      <w:r w:rsidR="00C026A6" w:rsidRPr="00EA59C0">
        <w:t xml:space="preserve"> </w:t>
      </w:r>
      <w:r w:rsidRPr="00EA59C0">
        <w:t>of</w:t>
      </w:r>
      <w:r w:rsidR="00C026A6" w:rsidRPr="00EA59C0">
        <w:t xml:space="preserve"> </w:t>
      </w:r>
      <w:r w:rsidRPr="00EA59C0">
        <w:t>the</w:t>
      </w:r>
      <w:r w:rsidR="00C026A6" w:rsidRPr="00EA59C0">
        <w:t xml:space="preserve"> </w:t>
      </w:r>
      <w:r w:rsidRPr="00EA59C0">
        <w:t>Transparency</w:t>
      </w:r>
      <w:r w:rsidR="00C026A6" w:rsidRPr="00EA59C0">
        <w:t xml:space="preserve"> </w:t>
      </w:r>
      <w:r w:rsidRPr="00EA59C0">
        <w:t>Act,</w:t>
      </w:r>
      <w:r w:rsidR="00C026A6" w:rsidRPr="00EA59C0">
        <w:t xml:space="preserve"> </w:t>
      </w:r>
      <w:r w:rsidRPr="00EA59C0">
        <w:t>should</w:t>
      </w:r>
      <w:r w:rsidR="00C026A6" w:rsidRPr="00EA59C0">
        <w:t xml:space="preserve"> </w:t>
      </w:r>
      <w:r w:rsidRPr="00EA59C0">
        <w:t>they</w:t>
      </w:r>
      <w:r w:rsidR="00C026A6" w:rsidRPr="00EA59C0">
        <w:t xml:space="preserve"> </w:t>
      </w:r>
      <w:r w:rsidRPr="00EA59C0">
        <w:t>receive</w:t>
      </w:r>
      <w:r w:rsidR="00C026A6" w:rsidRPr="00EA59C0">
        <w:t xml:space="preserve"> </w:t>
      </w:r>
      <w:r w:rsidRPr="00EA59C0">
        <w:t>funding.</w:t>
      </w:r>
    </w:p>
    <w:p w:rsidR="007470AB" w:rsidRPr="00EA59C0" w:rsidRDefault="007470AB" w:rsidP="00080097">
      <w:pPr>
        <w:pStyle w:val="ListParagraph"/>
        <w:numPr>
          <w:ilvl w:val="0"/>
          <w:numId w:val="32"/>
        </w:numPr>
        <w:tabs>
          <w:tab w:val="num" w:pos="1440"/>
        </w:tabs>
        <w:rPr>
          <w:rStyle w:val="Hyperlink"/>
          <w:color w:val="auto"/>
          <w:u w:val="none"/>
        </w:rPr>
      </w:pPr>
      <w:r w:rsidRPr="00EA59C0">
        <w:t>Upon</w:t>
      </w:r>
      <w:r w:rsidR="00C026A6" w:rsidRPr="00EA59C0">
        <w:t xml:space="preserve"> </w:t>
      </w:r>
      <w:r w:rsidRPr="00EA59C0">
        <w:t>award,</w:t>
      </w:r>
      <w:r w:rsidR="00C026A6" w:rsidRPr="00EA59C0">
        <w:t xml:space="preserve"> </w:t>
      </w:r>
      <w:r w:rsidRPr="00EA59C0">
        <w:t>applicants</w:t>
      </w:r>
      <w:r w:rsidR="00C026A6" w:rsidRPr="00EA59C0">
        <w:t xml:space="preserve"> </w:t>
      </w:r>
      <w:r w:rsidRPr="00EA59C0">
        <w:t>will</w:t>
      </w:r>
      <w:r w:rsidR="00C026A6" w:rsidRPr="00EA59C0">
        <w:t xml:space="preserve"> </w:t>
      </w:r>
      <w:r w:rsidRPr="00EA59C0">
        <w:t>receive</w:t>
      </w:r>
      <w:r w:rsidR="00C026A6" w:rsidRPr="00EA59C0">
        <w:t xml:space="preserve"> </w:t>
      </w:r>
      <w:r w:rsidRPr="00EA59C0">
        <w:t>detailed</w:t>
      </w:r>
      <w:r w:rsidR="00C026A6" w:rsidRPr="00EA59C0">
        <w:t xml:space="preserve"> </w:t>
      </w:r>
      <w:r w:rsidRPr="00EA59C0">
        <w:t>information</w:t>
      </w:r>
      <w:r w:rsidR="00C026A6" w:rsidRPr="00EA59C0">
        <w:t xml:space="preserve"> </w:t>
      </w:r>
      <w:r w:rsidRPr="00EA59C0">
        <w:t>on</w:t>
      </w:r>
      <w:r w:rsidR="00C026A6" w:rsidRPr="00EA59C0">
        <w:t xml:space="preserve"> </w:t>
      </w:r>
      <w:r w:rsidRPr="00EA59C0">
        <w:t>the</w:t>
      </w:r>
      <w:r w:rsidR="00C026A6" w:rsidRPr="00EA59C0">
        <w:t xml:space="preserve"> </w:t>
      </w:r>
      <w:r w:rsidRPr="00EA59C0">
        <w:t>reporting</w:t>
      </w:r>
      <w:r w:rsidR="00C026A6" w:rsidRPr="00EA59C0">
        <w:t xml:space="preserve"> </w:t>
      </w:r>
      <w:r w:rsidRPr="00EA59C0">
        <w:t>requirements</w:t>
      </w:r>
      <w:r w:rsidR="00C026A6" w:rsidRPr="00EA59C0">
        <w:t xml:space="preserve"> </w:t>
      </w:r>
      <w:r w:rsidRPr="00EA59C0">
        <w:t>of</w:t>
      </w:r>
      <w:r w:rsidR="00C026A6" w:rsidRPr="00EA59C0">
        <w:t xml:space="preserve"> </w:t>
      </w:r>
      <w:r w:rsidRPr="00EA59C0">
        <w:t>the</w:t>
      </w:r>
      <w:r w:rsidR="00C026A6" w:rsidRPr="00EA59C0">
        <w:t xml:space="preserve"> </w:t>
      </w:r>
      <w:r w:rsidRPr="00EA59C0">
        <w:t>Transparency</w:t>
      </w:r>
      <w:r w:rsidR="00C026A6" w:rsidRPr="00EA59C0">
        <w:t xml:space="preserve"> </w:t>
      </w:r>
      <w:r w:rsidRPr="00EA59C0">
        <w:t>Act,</w:t>
      </w:r>
      <w:r w:rsidR="00C026A6" w:rsidRPr="00EA59C0">
        <w:t xml:space="preserve"> </w:t>
      </w:r>
      <w:r w:rsidRPr="00EA59C0">
        <w:t>as</w:t>
      </w:r>
      <w:r w:rsidR="00C026A6" w:rsidRPr="00EA59C0">
        <w:t xml:space="preserve"> </w:t>
      </w:r>
      <w:r w:rsidRPr="00EA59C0">
        <w:t>described</w:t>
      </w:r>
      <w:r w:rsidR="00C026A6" w:rsidRPr="00EA59C0">
        <w:t xml:space="preserve"> </w:t>
      </w:r>
      <w:r w:rsidRPr="00EA59C0">
        <w:t>in</w:t>
      </w:r>
      <w:r w:rsidR="00C026A6" w:rsidRPr="00EA59C0">
        <w:t xml:space="preserve"> </w:t>
      </w:r>
      <w:r w:rsidRPr="00EA59C0">
        <w:t>2</w:t>
      </w:r>
      <w:r w:rsidR="00C026A6" w:rsidRPr="00EA59C0">
        <w:t xml:space="preserve"> </w:t>
      </w:r>
      <w:r w:rsidRPr="00EA59C0">
        <w:t>CFR</w:t>
      </w:r>
      <w:r w:rsidR="00C026A6" w:rsidRPr="00EA59C0">
        <w:t xml:space="preserve"> </w:t>
      </w:r>
      <w:r w:rsidRPr="00EA59C0">
        <w:t>Part</w:t>
      </w:r>
      <w:r w:rsidR="00C026A6" w:rsidRPr="00EA59C0">
        <w:t xml:space="preserve"> </w:t>
      </w:r>
      <w:r w:rsidRPr="00EA59C0">
        <w:t>170,</w:t>
      </w:r>
      <w:r w:rsidR="00C026A6" w:rsidRPr="00EA59C0">
        <w:t xml:space="preserve"> </w:t>
      </w:r>
      <w:r w:rsidRPr="00EA59C0">
        <w:t>Appendix</w:t>
      </w:r>
      <w:r w:rsidR="00C026A6" w:rsidRPr="00EA59C0">
        <w:t xml:space="preserve"> </w:t>
      </w:r>
      <w:r w:rsidRPr="00EA59C0">
        <w:t>A,</w:t>
      </w:r>
      <w:r w:rsidR="00C026A6" w:rsidRPr="00EA59C0">
        <w:t xml:space="preserve"> </w:t>
      </w:r>
      <w:r w:rsidRPr="00EA59C0">
        <w:t>which</w:t>
      </w:r>
      <w:r w:rsidR="00C026A6" w:rsidRPr="00EA59C0">
        <w:t xml:space="preserve"> </w:t>
      </w:r>
      <w:r w:rsidRPr="00EA59C0">
        <w:t>can</w:t>
      </w:r>
      <w:r w:rsidR="00C026A6" w:rsidRPr="00EA59C0">
        <w:t xml:space="preserve"> </w:t>
      </w:r>
      <w:r w:rsidRPr="00EA59C0">
        <w:t>be</w:t>
      </w:r>
      <w:r w:rsidR="00C026A6" w:rsidRPr="00EA59C0">
        <w:t xml:space="preserve"> </w:t>
      </w:r>
      <w:r w:rsidRPr="00EA59C0">
        <w:t>found</w:t>
      </w:r>
      <w:r w:rsidR="00C026A6" w:rsidRPr="00EA59C0">
        <w:t xml:space="preserve"> </w:t>
      </w:r>
      <w:r w:rsidRPr="00EA59C0">
        <w:t>at</w:t>
      </w:r>
      <w:r w:rsidR="00C026A6" w:rsidRPr="00EA59C0">
        <w:t xml:space="preserve"> </w:t>
      </w:r>
      <w:r w:rsidRPr="00EA59C0">
        <w:t>the</w:t>
      </w:r>
      <w:r w:rsidR="00C026A6" w:rsidRPr="00EA59C0">
        <w:t xml:space="preserve"> </w:t>
      </w:r>
      <w:r w:rsidRPr="00EA59C0">
        <w:t>following</w:t>
      </w:r>
      <w:r w:rsidR="00C026A6" w:rsidRPr="00EA59C0">
        <w:t xml:space="preserve"> </w:t>
      </w:r>
      <w:r w:rsidRPr="00EA59C0">
        <w:t>website:</w:t>
      </w:r>
      <w:r w:rsidR="00C026A6" w:rsidRPr="00EA59C0">
        <w:t xml:space="preserve">  </w:t>
      </w:r>
      <w:hyperlink r:id="rId279" w:history="1">
        <w:r w:rsidRPr="00EA59C0">
          <w:rPr>
            <w:rStyle w:val="Hyperlink"/>
            <w:color w:val="auto"/>
          </w:rPr>
          <w:t>http://edocket.access.gpo.gov/2010/pdf/2010-22705.pdf</w:t>
        </w:r>
      </w:hyperlink>
    </w:p>
    <w:p w:rsidR="00FA2BDE" w:rsidRPr="00EA59C0" w:rsidRDefault="00FA2BDE" w:rsidP="00FA0E98">
      <w:pPr>
        <w:ind w:left="1800"/>
      </w:pPr>
    </w:p>
    <w:p w:rsidR="00144DF0" w:rsidRPr="00EA59C0" w:rsidRDefault="007470AB" w:rsidP="00FA0E98">
      <w:pPr>
        <w:ind w:left="1440"/>
      </w:pPr>
      <w:r w:rsidRPr="00EA59C0">
        <w:t>The</w:t>
      </w:r>
      <w:r w:rsidR="00C026A6" w:rsidRPr="00EA59C0">
        <w:t xml:space="preserve"> </w:t>
      </w:r>
      <w:r w:rsidRPr="00EA59C0">
        <w:t>following</w:t>
      </w:r>
      <w:r w:rsidR="00C026A6" w:rsidRPr="00EA59C0">
        <w:t xml:space="preserve"> </w:t>
      </w:r>
      <w:r w:rsidRPr="00EA59C0">
        <w:t>types</w:t>
      </w:r>
      <w:r w:rsidR="00C026A6" w:rsidRPr="00EA59C0">
        <w:t xml:space="preserve"> </w:t>
      </w:r>
      <w:r w:rsidRPr="00EA59C0">
        <w:t>of</w:t>
      </w:r>
      <w:r w:rsidR="00C026A6" w:rsidRPr="00EA59C0">
        <w:t xml:space="preserve"> </w:t>
      </w:r>
      <w:r w:rsidRPr="00EA59C0">
        <w:t>awards</w:t>
      </w:r>
      <w:r w:rsidR="00C026A6" w:rsidRPr="00EA59C0">
        <w:t xml:space="preserve"> </w:t>
      </w:r>
      <w:r w:rsidRPr="00EA59C0">
        <w:t>are</w:t>
      </w:r>
      <w:r w:rsidR="00C026A6" w:rsidRPr="00EA59C0">
        <w:t xml:space="preserve"> </w:t>
      </w:r>
      <w:r w:rsidRPr="00EA59C0">
        <w:t>not</w:t>
      </w:r>
      <w:r w:rsidR="00C026A6" w:rsidRPr="00EA59C0">
        <w:t xml:space="preserve"> </w:t>
      </w:r>
      <w:r w:rsidRPr="00EA59C0">
        <w:t>subject</w:t>
      </w:r>
      <w:r w:rsidR="00C026A6" w:rsidRPr="00EA59C0">
        <w:t xml:space="preserve"> </w:t>
      </w:r>
      <w:r w:rsidRPr="00EA59C0">
        <w:t>to</w:t>
      </w:r>
      <w:r w:rsidR="00C026A6" w:rsidRPr="00EA59C0">
        <w:t xml:space="preserve"> </w:t>
      </w:r>
      <w:r w:rsidRPr="00EA59C0">
        <w:t>the</w:t>
      </w:r>
      <w:r w:rsidR="00C026A6" w:rsidRPr="00EA59C0">
        <w:t xml:space="preserve"> </w:t>
      </w:r>
      <w:r w:rsidRPr="00EA59C0">
        <w:t>Federal</w:t>
      </w:r>
      <w:r w:rsidR="00C026A6" w:rsidRPr="00EA59C0">
        <w:t xml:space="preserve"> </w:t>
      </w:r>
      <w:r w:rsidRPr="00EA59C0">
        <w:t>Funding</w:t>
      </w:r>
      <w:r w:rsidR="00C026A6" w:rsidRPr="00EA59C0">
        <w:t xml:space="preserve"> </w:t>
      </w:r>
      <w:r w:rsidRPr="00EA59C0">
        <w:t>Accountability</w:t>
      </w:r>
      <w:r w:rsidR="00C026A6" w:rsidRPr="00EA59C0">
        <w:t xml:space="preserve"> </w:t>
      </w:r>
      <w:r w:rsidRPr="00EA59C0">
        <w:t>and</w:t>
      </w:r>
      <w:r w:rsidR="00C026A6" w:rsidRPr="00EA59C0">
        <w:t xml:space="preserve"> </w:t>
      </w:r>
      <w:r w:rsidRPr="00EA59C0">
        <w:t>Transparency</w:t>
      </w:r>
      <w:r w:rsidR="00C026A6" w:rsidRPr="00EA59C0">
        <w:t xml:space="preserve"> </w:t>
      </w:r>
      <w:r w:rsidRPr="00EA59C0">
        <w:t>Act:</w:t>
      </w:r>
    </w:p>
    <w:p w:rsidR="007470AB" w:rsidRPr="00EA59C0" w:rsidRDefault="007470AB" w:rsidP="00FA0E98">
      <w:pPr>
        <w:numPr>
          <w:ilvl w:val="0"/>
          <w:numId w:val="3"/>
        </w:numPr>
        <w:tabs>
          <w:tab w:val="clear" w:pos="1440"/>
          <w:tab w:val="num" w:pos="1800"/>
        </w:tabs>
        <w:ind w:left="1800"/>
      </w:pPr>
      <w:r w:rsidRPr="00EA59C0">
        <w:t>Federal</w:t>
      </w:r>
      <w:r w:rsidR="00C026A6" w:rsidRPr="00EA59C0">
        <w:t xml:space="preserve"> </w:t>
      </w:r>
      <w:r w:rsidRPr="00EA59C0">
        <w:t>awards</w:t>
      </w:r>
      <w:r w:rsidR="00C026A6" w:rsidRPr="00EA59C0">
        <w:t xml:space="preserve"> </w:t>
      </w:r>
      <w:r w:rsidRPr="00EA59C0">
        <w:t>to</w:t>
      </w:r>
      <w:r w:rsidR="00C026A6" w:rsidRPr="00EA59C0">
        <w:t xml:space="preserve"> </w:t>
      </w:r>
      <w:r w:rsidRPr="00EA59C0">
        <w:t>individuals</w:t>
      </w:r>
      <w:r w:rsidR="00C026A6" w:rsidRPr="00EA59C0">
        <w:t xml:space="preserve"> </w:t>
      </w:r>
      <w:r w:rsidRPr="00EA59C0">
        <w:t>who</w:t>
      </w:r>
      <w:r w:rsidR="00C026A6" w:rsidRPr="00EA59C0">
        <w:t xml:space="preserve"> </w:t>
      </w:r>
      <w:r w:rsidRPr="00EA59C0">
        <w:t>apply</w:t>
      </w:r>
      <w:r w:rsidR="00C026A6" w:rsidRPr="00EA59C0">
        <w:t xml:space="preserve"> </w:t>
      </w:r>
      <w:r w:rsidRPr="00EA59C0">
        <w:t>for</w:t>
      </w:r>
      <w:r w:rsidR="00C026A6" w:rsidRPr="00EA59C0">
        <w:t xml:space="preserve"> </w:t>
      </w:r>
      <w:r w:rsidRPr="00EA59C0">
        <w:t>or</w:t>
      </w:r>
      <w:r w:rsidR="00C026A6" w:rsidRPr="00EA59C0">
        <w:t xml:space="preserve"> </w:t>
      </w:r>
      <w:r w:rsidRPr="00EA59C0">
        <w:t>receive</w:t>
      </w:r>
      <w:r w:rsidR="00C026A6" w:rsidRPr="00EA59C0">
        <w:t xml:space="preserve"> </w:t>
      </w:r>
      <w:r w:rsidRPr="00EA59C0">
        <w:t>Federal</w:t>
      </w:r>
      <w:r w:rsidR="00C026A6" w:rsidRPr="00EA59C0">
        <w:t xml:space="preserve"> </w:t>
      </w:r>
      <w:r w:rsidRPr="00EA59C0">
        <w:t>awards</w:t>
      </w:r>
      <w:r w:rsidR="00C026A6" w:rsidRPr="00EA59C0">
        <w:t xml:space="preserve"> </w:t>
      </w:r>
      <w:r w:rsidRPr="00EA59C0">
        <w:t>as</w:t>
      </w:r>
      <w:r w:rsidR="00C026A6" w:rsidRPr="00EA59C0">
        <w:t xml:space="preserve"> </w:t>
      </w:r>
      <w:r w:rsidRPr="00EA59C0">
        <w:t>natural</w:t>
      </w:r>
      <w:r w:rsidR="00C026A6" w:rsidRPr="00EA59C0">
        <w:t xml:space="preserve"> </w:t>
      </w:r>
      <w:r w:rsidRPr="00EA59C0">
        <w:t>persons</w:t>
      </w:r>
      <w:r w:rsidR="00C026A6" w:rsidRPr="00EA59C0">
        <w:t xml:space="preserve"> </w:t>
      </w:r>
      <w:r w:rsidRPr="00EA59C0">
        <w:t>(i.e.,</w:t>
      </w:r>
      <w:r w:rsidR="00C026A6" w:rsidRPr="00EA59C0">
        <w:t xml:space="preserve"> </w:t>
      </w:r>
      <w:r w:rsidRPr="00EA59C0">
        <w:t>unrelated</w:t>
      </w:r>
      <w:r w:rsidR="00C026A6" w:rsidRPr="00EA59C0">
        <w:t xml:space="preserve"> </w:t>
      </w:r>
      <w:r w:rsidRPr="00EA59C0">
        <w:t>to</w:t>
      </w:r>
      <w:r w:rsidR="00C026A6" w:rsidRPr="00EA59C0">
        <w:t xml:space="preserve"> </w:t>
      </w:r>
      <w:r w:rsidRPr="00EA59C0">
        <w:t>any</w:t>
      </w:r>
      <w:r w:rsidR="00C026A6" w:rsidRPr="00EA59C0">
        <w:t xml:space="preserve"> </w:t>
      </w:r>
      <w:r w:rsidRPr="00EA59C0">
        <w:t>business</w:t>
      </w:r>
      <w:r w:rsidR="00C026A6" w:rsidRPr="00EA59C0">
        <w:t xml:space="preserve"> </w:t>
      </w:r>
      <w:r w:rsidRPr="00EA59C0">
        <w:t>or</w:t>
      </w:r>
      <w:r w:rsidR="00C026A6" w:rsidRPr="00EA59C0">
        <w:t xml:space="preserve"> </w:t>
      </w:r>
      <w:r w:rsidRPr="00EA59C0">
        <w:t>non-profit</w:t>
      </w:r>
      <w:r w:rsidR="00C026A6" w:rsidRPr="00EA59C0">
        <w:t xml:space="preserve"> </w:t>
      </w:r>
      <w:r w:rsidRPr="00EA59C0">
        <w:t>organization</w:t>
      </w:r>
      <w:r w:rsidR="00C026A6" w:rsidRPr="00EA59C0">
        <w:t xml:space="preserve"> </w:t>
      </w:r>
      <w:r w:rsidRPr="00EA59C0">
        <w:t>he</w:t>
      </w:r>
      <w:r w:rsidR="00C026A6" w:rsidRPr="00EA59C0">
        <w:t xml:space="preserve"> </w:t>
      </w:r>
      <w:r w:rsidRPr="00EA59C0">
        <w:t>or</w:t>
      </w:r>
      <w:r w:rsidR="00C026A6" w:rsidRPr="00EA59C0">
        <w:t xml:space="preserve"> </w:t>
      </w:r>
      <w:r w:rsidRPr="00EA59C0">
        <w:t>she</w:t>
      </w:r>
      <w:r w:rsidR="00C026A6" w:rsidRPr="00EA59C0">
        <w:t xml:space="preserve"> </w:t>
      </w:r>
      <w:r w:rsidRPr="00EA59C0">
        <w:t>may</w:t>
      </w:r>
      <w:r w:rsidR="00C026A6" w:rsidRPr="00EA59C0">
        <w:t xml:space="preserve"> </w:t>
      </w:r>
      <w:r w:rsidRPr="00EA59C0">
        <w:t>own</w:t>
      </w:r>
      <w:r w:rsidR="00C026A6" w:rsidRPr="00EA59C0">
        <w:t xml:space="preserve"> </w:t>
      </w:r>
      <w:r w:rsidRPr="00EA59C0">
        <w:t>or</w:t>
      </w:r>
      <w:r w:rsidR="00C026A6" w:rsidRPr="00EA59C0">
        <w:t xml:space="preserve"> </w:t>
      </w:r>
      <w:r w:rsidRPr="00EA59C0">
        <w:t>operate</w:t>
      </w:r>
      <w:r w:rsidR="00C026A6" w:rsidRPr="00EA59C0">
        <w:t xml:space="preserve"> </w:t>
      </w:r>
      <w:r w:rsidRPr="00EA59C0">
        <w:t>in</w:t>
      </w:r>
      <w:r w:rsidR="00C026A6" w:rsidRPr="00EA59C0">
        <w:t xml:space="preserve"> </w:t>
      </w:r>
      <w:r w:rsidRPr="00EA59C0">
        <w:t>his</w:t>
      </w:r>
      <w:r w:rsidR="00C026A6" w:rsidRPr="00EA59C0">
        <w:t xml:space="preserve"> </w:t>
      </w:r>
      <w:r w:rsidRPr="00EA59C0">
        <w:t>or</w:t>
      </w:r>
      <w:r w:rsidR="00C026A6" w:rsidRPr="00EA59C0">
        <w:t xml:space="preserve"> </w:t>
      </w:r>
      <w:r w:rsidRPr="00EA59C0">
        <w:t>her</w:t>
      </w:r>
      <w:r w:rsidR="00C026A6" w:rsidRPr="00EA59C0">
        <w:t xml:space="preserve"> </w:t>
      </w:r>
      <w:r w:rsidRPr="00EA59C0">
        <w:t>name);</w:t>
      </w:r>
    </w:p>
    <w:p w:rsidR="007470AB" w:rsidRPr="00EA59C0" w:rsidRDefault="007470AB" w:rsidP="00FA0E98">
      <w:pPr>
        <w:numPr>
          <w:ilvl w:val="0"/>
          <w:numId w:val="3"/>
        </w:numPr>
        <w:tabs>
          <w:tab w:val="clear" w:pos="1440"/>
          <w:tab w:val="num" w:pos="1800"/>
        </w:tabs>
        <w:ind w:left="1800"/>
      </w:pPr>
      <w:r w:rsidRPr="00EA59C0">
        <w:t>Federal</w:t>
      </w:r>
      <w:r w:rsidR="00C026A6" w:rsidRPr="00EA59C0">
        <w:t xml:space="preserve"> </w:t>
      </w:r>
      <w:r w:rsidRPr="00EA59C0">
        <w:t>awards</w:t>
      </w:r>
      <w:r w:rsidR="00C026A6" w:rsidRPr="00EA59C0">
        <w:t xml:space="preserve"> </w:t>
      </w:r>
      <w:r w:rsidRPr="00EA59C0">
        <w:t>to</w:t>
      </w:r>
      <w:r w:rsidR="00C026A6" w:rsidRPr="00EA59C0">
        <w:t xml:space="preserve"> </w:t>
      </w:r>
      <w:r w:rsidRPr="00EA59C0">
        <w:t>entities</w:t>
      </w:r>
      <w:r w:rsidR="00C026A6" w:rsidRPr="00EA59C0">
        <w:t xml:space="preserve"> </w:t>
      </w:r>
      <w:r w:rsidRPr="00EA59C0">
        <w:t>that</w:t>
      </w:r>
      <w:r w:rsidR="00C026A6" w:rsidRPr="00EA59C0">
        <w:t xml:space="preserve"> </w:t>
      </w:r>
      <w:r w:rsidRPr="00EA59C0">
        <w:t>had</w:t>
      </w:r>
      <w:r w:rsidR="00C026A6" w:rsidRPr="00EA59C0">
        <w:t xml:space="preserve"> </w:t>
      </w:r>
      <w:r w:rsidRPr="00EA59C0">
        <w:t>a</w:t>
      </w:r>
      <w:r w:rsidR="00C026A6" w:rsidRPr="00EA59C0">
        <w:t xml:space="preserve"> </w:t>
      </w:r>
      <w:r w:rsidRPr="00EA59C0">
        <w:t>gross</w:t>
      </w:r>
      <w:r w:rsidR="00C026A6" w:rsidRPr="00EA59C0">
        <w:t xml:space="preserve"> </w:t>
      </w:r>
      <w:r w:rsidRPr="00EA59C0">
        <w:t>income,</w:t>
      </w:r>
      <w:r w:rsidR="00C026A6" w:rsidRPr="00EA59C0">
        <w:t xml:space="preserve"> </w:t>
      </w:r>
      <w:r w:rsidRPr="00EA59C0">
        <w:t>from</w:t>
      </w:r>
      <w:r w:rsidR="00C026A6" w:rsidRPr="00EA59C0">
        <w:t xml:space="preserve"> </w:t>
      </w:r>
      <w:r w:rsidRPr="00EA59C0">
        <w:t>all</w:t>
      </w:r>
      <w:r w:rsidR="00C026A6" w:rsidRPr="00EA59C0">
        <w:t xml:space="preserve"> </w:t>
      </w:r>
      <w:r w:rsidRPr="00EA59C0">
        <w:t>sources,</w:t>
      </w:r>
      <w:r w:rsidR="00C026A6" w:rsidRPr="00EA59C0">
        <w:t xml:space="preserve"> </w:t>
      </w:r>
      <w:r w:rsidRPr="00EA59C0">
        <w:t>of</w:t>
      </w:r>
      <w:r w:rsidR="00C026A6" w:rsidRPr="00EA59C0">
        <w:t xml:space="preserve"> </w:t>
      </w:r>
      <w:r w:rsidRPr="00EA59C0">
        <w:t>less</w:t>
      </w:r>
      <w:r w:rsidR="00C026A6" w:rsidRPr="00EA59C0">
        <w:t xml:space="preserve"> </w:t>
      </w:r>
      <w:r w:rsidRPr="00EA59C0">
        <w:t>than</w:t>
      </w:r>
      <w:r w:rsidR="00C026A6" w:rsidRPr="00EA59C0">
        <w:t xml:space="preserve"> </w:t>
      </w:r>
      <w:r w:rsidRPr="00EA59C0">
        <w:t>$300,000</w:t>
      </w:r>
      <w:r w:rsidR="00C026A6" w:rsidRPr="00EA59C0">
        <w:t xml:space="preserve"> </w:t>
      </w:r>
      <w:r w:rsidRPr="00EA59C0">
        <w:t>in</w:t>
      </w:r>
      <w:r w:rsidR="00C026A6" w:rsidRPr="00EA59C0">
        <w:t xml:space="preserve"> </w:t>
      </w:r>
      <w:r w:rsidRPr="00EA59C0">
        <w:t>the</w:t>
      </w:r>
      <w:r w:rsidR="00C026A6" w:rsidRPr="00EA59C0">
        <w:t xml:space="preserve"> </w:t>
      </w:r>
      <w:r w:rsidRPr="00EA59C0">
        <w:t>entities'</w:t>
      </w:r>
      <w:r w:rsidR="00C026A6" w:rsidRPr="00EA59C0">
        <w:t xml:space="preserve"> </w:t>
      </w:r>
      <w:r w:rsidRPr="00EA59C0">
        <w:t>previous</w:t>
      </w:r>
      <w:r w:rsidR="00C026A6" w:rsidRPr="00EA59C0">
        <w:t xml:space="preserve"> </w:t>
      </w:r>
      <w:r w:rsidRPr="00EA59C0">
        <w:t>tax</w:t>
      </w:r>
      <w:r w:rsidR="00C026A6" w:rsidRPr="00EA59C0">
        <w:t xml:space="preserve"> </w:t>
      </w:r>
      <w:r w:rsidRPr="00EA59C0">
        <w:t>year;</w:t>
      </w:r>
      <w:r w:rsidR="00C026A6" w:rsidRPr="00EA59C0">
        <w:t xml:space="preserve"> </w:t>
      </w:r>
      <w:r w:rsidRPr="00EA59C0">
        <w:t>and</w:t>
      </w:r>
    </w:p>
    <w:p w:rsidR="007470AB" w:rsidRPr="00EA59C0" w:rsidRDefault="007470AB" w:rsidP="00FA0E98">
      <w:pPr>
        <w:numPr>
          <w:ilvl w:val="0"/>
          <w:numId w:val="3"/>
        </w:numPr>
        <w:tabs>
          <w:tab w:val="clear" w:pos="1440"/>
          <w:tab w:val="num" w:pos="1800"/>
        </w:tabs>
        <w:ind w:left="1800"/>
      </w:pPr>
      <w:r w:rsidRPr="00EA59C0">
        <w:t>Federal</w:t>
      </w:r>
      <w:r w:rsidR="00C026A6" w:rsidRPr="00EA59C0">
        <w:t xml:space="preserve"> </w:t>
      </w:r>
      <w:r w:rsidRPr="00EA59C0">
        <w:t>awards,</w:t>
      </w:r>
      <w:r w:rsidR="00C026A6" w:rsidRPr="00EA59C0">
        <w:t xml:space="preserve"> </w:t>
      </w:r>
      <w:r w:rsidRPr="00EA59C0">
        <w:t>if</w:t>
      </w:r>
      <w:r w:rsidR="00C026A6" w:rsidRPr="00EA59C0">
        <w:t xml:space="preserve"> </w:t>
      </w:r>
      <w:r w:rsidRPr="00EA59C0">
        <w:t>the</w:t>
      </w:r>
      <w:r w:rsidR="00C026A6" w:rsidRPr="00EA59C0">
        <w:t xml:space="preserve"> </w:t>
      </w:r>
      <w:r w:rsidRPr="00EA59C0">
        <w:t>required</w:t>
      </w:r>
      <w:r w:rsidR="00C026A6" w:rsidRPr="00EA59C0">
        <w:t xml:space="preserve"> </w:t>
      </w:r>
      <w:r w:rsidRPr="00EA59C0">
        <w:t>reporting</w:t>
      </w:r>
      <w:r w:rsidR="00C026A6" w:rsidRPr="00EA59C0">
        <w:t xml:space="preserve"> </w:t>
      </w:r>
      <w:r w:rsidRPr="00EA59C0">
        <w:t>would</w:t>
      </w:r>
      <w:r w:rsidR="00C026A6" w:rsidRPr="00EA59C0">
        <w:t xml:space="preserve"> </w:t>
      </w:r>
      <w:r w:rsidRPr="00EA59C0">
        <w:t>disclose</w:t>
      </w:r>
      <w:r w:rsidR="00C026A6" w:rsidRPr="00EA59C0">
        <w:t xml:space="preserve"> </w:t>
      </w:r>
      <w:r w:rsidRPr="00EA59C0">
        <w:t>classified</w:t>
      </w:r>
      <w:r w:rsidR="00C026A6" w:rsidRPr="00EA59C0">
        <w:t xml:space="preserve"> </w:t>
      </w:r>
      <w:r w:rsidRPr="00EA59C0">
        <w:t>information.</w:t>
      </w:r>
    </w:p>
    <w:p w:rsidR="008623EA" w:rsidRPr="00EA59C0" w:rsidRDefault="008623EA" w:rsidP="00FA0E98">
      <w:pPr>
        <w:autoSpaceDE w:val="0"/>
        <w:autoSpaceDN w:val="0"/>
        <w:adjustRightInd w:val="0"/>
        <w:ind w:left="720"/>
      </w:pPr>
    </w:p>
    <w:p w:rsidR="007470AB" w:rsidRPr="00EA59C0" w:rsidRDefault="00D81847" w:rsidP="00FC34EA">
      <w:pPr>
        <w:pStyle w:val="Heading2"/>
        <w:numPr>
          <w:ilvl w:val="3"/>
          <w:numId w:val="17"/>
        </w:numPr>
        <w:spacing w:line="240" w:lineRule="auto"/>
        <w:rPr>
          <w:rFonts w:ascii="Times New Roman" w:hAnsi="Times New Roman"/>
          <w:b w:val="0"/>
          <w:i w:val="0"/>
        </w:rPr>
      </w:pPr>
      <w:r w:rsidRPr="00EA59C0">
        <w:rPr>
          <w:rFonts w:ascii="Times New Roman" w:hAnsi="Times New Roman"/>
          <w:b w:val="0"/>
          <w:i w:val="0"/>
        </w:rPr>
        <w:t>Safeguarding</w:t>
      </w:r>
      <w:r w:rsidR="00C026A6" w:rsidRPr="00EA59C0">
        <w:rPr>
          <w:rFonts w:ascii="Times New Roman" w:hAnsi="Times New Roman"/>
          <w:b w:val="0"/>
          <w:i w:val="0"/>
        </w:rPr>
        <w:t xml:space="preserve"> </w:t>
      </w:r>
      <w:r w:rsidRPr="00EA59C0">
        <w:rPr>
          <w:rFonts w:ascii="Times New Roman" w:hAnsi="Times New Roman"/>
          <w:b w:val="0"/>
          <w:i w:val="0"/>
        </w:rPr>
        <w:t>Data</w:t>
      </w:r>
      <w:r w:rsidR="00C026A6" w:rsidRPr="00EA59C0">
        <w:rPr>
          <w:rFonts w:ascii="Times New Roman" w:hAnsi="Times New Roman"/>
          <w:b w:val="0"/>
          <w:i w:val="0"/>
        </w:rPr>
        <w:t xml:space="preserve"> </w:t>
      </w:r>
      <w:r w:rsidRPr="00EA59C0">
        <w:rPr>
          <w:rFonts w:ascii="Times New Roman" w:hAnsi="Times New Roman"/>
          <w:b w:val="0"/>
          <w:i w:val="0"/>
        </w:rPr>
        <w:t>Including</w:t>
      </w:r>
      <w:r w:rsidR="00C026A6" w:rsidRPr="00EA59C0">
        <w:rPr>
          <w:rFonts w:ascii="Times New Roman" w:hAnsi="Times New Roman"/>
          <w:b w:val="0"/>
          <w:i w:val="0"/>
        </w:rPr>
        <w:t xml:space="preserve"> </w:t>
      </w:r>
      <w:r w:rsidRPr="00EA59C0">
        <w:rPr>
          <w:rFonts w:ascii="Times New Roman" w:hAnsi="Times New Roman"/>
          <w:b w:val="0"/>
          <w:i w:val="0"/>
        </w:rPr>
        <w:t>Personally</w:t>
      </w:r>
      <w:r w:rsidR="00C026A6" w:rsidRPr="00EA59C0">
        <w:rPr>
          <w:rFonts w:ascii="Times New Roman" w:hAnsi="Times New Roman"/>
          <w:b w:val="0"/>
          <w:i w:val="0"/>
        </w:rPr>
        <w:t xml:space="preserve"> </w:t>
      </w:r>
      <w:r w:rsidRPr="00EA59C0">
        <w:rPr>
          <w:rFonts w:ascii="Times New Roman" w:hAnsi="Times New Roman"/>
          <w:b w:val="0"/>
          <w:i w:val="0"/>
        </w:rPr>
        <w:t>Identifiable</w:t>
      </w:r>
      <w:r w:rsidR="00C026A6" w:rsidRPr="00EA59C0">
        <w:rPr>
          <w:rFonts w:ascii="Times New Roman" w:hAnsi="Times New Roman"/>
          <w:b w:val="0"/>
          <w:i w:val="0"/>
        </w:rPr>
        <w:t xml:space="preserve"> </w:t>
      </w:r>
      <w:r w:rsidRPr="00EA59C0">
        <w:rPr>
          <w:rFonts w:ascii="Times New Roman" w:hAnsi="Times New Roman"/>
          <w:b w:val="0"/>
          <w:i w:val="0"/>
        </w:rPr>
        <w:t>Information</w:t>
      </w:r>
      <w:r w:rsidR="00C026A6" w:rsidRPr="00EA59C0">
        <w:rPr>
          <w:rFonts w:ascii="Times New Roman" w:hAnsi="Times New Roman"/>
          <w:b w:val="0"/>
          <w:i w:val="0"/>
        </w:rPr>
        <w:t xml:space="preserve"> </w:t>
      </w:r>
      <w:r w:rsidRPr="00EA59C0">
        <w:rPr>
          <w:rFonts w:ascii="Times New Roman" w:hAnsi="Times New Roman"/>
          <w:b w:val="0"/>
          <w:i w:val="0"/>
        </w:rPr>
        <w:t>(PII)</w:t>
      </w:r>
    </w:p>
    <w:p w:rsidR="007470AB" w:rsidRPr="00EA59C0" w:rsidRDefault="007470AB" w:rsidP="00FA0E98">
      <w:pPr>
        <w:autoSpaceDE w:val="0"/>
        <w:autoSpaceDN w:val="0"/>
        <w:adjustRightInd w:val="0"/>
        <w:ind w:left="720"/>
      </w:pPr>
    </w:p>
    <w:p w:rsidR="00144DF0" w:rsidRPr="00EA59C0" w:rsidRDefault="00D81847" w:rsidP="00FA0E98">
      <w:pPr>
        <w:autoSpaceDE w:val="0"/>
        <w:autoSpaceDN w:val="0"/>
        <w:adjustRightInd w:val="0"/>
        <w:ind w:left="1440"/>
      </w:pPr>
      <w:r w:rsidRPr="00EA59C0">
        <w:t>Applicants</w:t>
      </w:r>
      <w:r w:rsidR="00C026A6" w:rsidRPr="00EA59C0">
        <w:t xml:space="preserve"> </w:t>
      </w:r>
      <w:r w:rsidRPr="00EA59C0">
        <w:t>submitting</w:t>
      </w:r>
      <w:r w:rsidR="00C026A6" w:rsidRPr="00EA59C0">
        <w:t xml:space="preserve"> </w:t>
      </w:r>
      <w:r w:rsidRPr="00EA59C0">
        <w:t>proposals</w:t>
      </w:r>
      <w:r w:rsidR="00C026A6" w:rsidRPr="00EA59C0">
        <w:t xml:space="preserve"> </w:t>
      </w:r>
      <w:r w:rsidRPr="00EA59C0">
        <w:t>in</w:t>
      </w:r>
      <w:r w:rsidR="00C026A6" w:rsidRPr="00EA59C0">
        <w:t xml:space="preserve"> </w:t>
      </w:r>
      <w:r w:rsidRPr="00EA59C0">
        <w:t>response</w:t>
      </w:r>
      <w:r w:rsidR="00C026A6" w:rsidRPr="00EA59C0">
        <w:t xml:space="preserve"> </w:t>
      </w:r>
      <w:r w:rsidRPr="00EA59C0">
        <w:t>to</w:t>
      </w:r>
      <w:r w:rsidR="00C026A6" w:rsidRPr="00EA59C0">
        <w:t xml:space="preserve"> </w:t>
      </w:r>
      <w:r w:rsidRPr="00EA59C0">
        <w:t>this</w:t>
      </w:r>
      <w:r w:rsidR="00C026A6" w:rsidRPr="00EA59C0">
        <w:t xml:space="preserve"> </w:t>
      </w:r>
      <w:r w:rsidRPr="00EA59C0">
        <w:t>SGA</w:t>
      </w:r>
      <w:r w:rsidR="00C026A6" w:rsidRPr="00EA59C0">
        <w:t xml:space="preserve"> </w:t>
      </w:r>
      <w:r w:rsidRPr="00EA59C0">
        <w:t>must</w:t>
      </w:r>
      <w:r w:rsidR="00C026A6" w:rsidRPr="00EA59C0">
        <w:t xml:space="preserve"> </w:t>
      </w:r>
      <w:r w:rsidRPr="00EA59C0">
        <w:t>recognize</w:t>
      </w:r>
      <w:r w:rsidR="00C026A6" w:rsidRPr="00EA59C0">
        <w:t xml:space="preserve"> </w:t>
      </w:r>
      <w:r w:rsidRPr="00EA59C0">
        <w:t>that</w:t>
      </w:r>
      <w:r w:rsidR="00C026A6" w:rsidRPr="00EA59C0">
        <w:t xml:space="preserve"> </w:t>
      </w:r>
      <w:r w:rsidRPr="00EA59C0">
        <w:t>confidentiality</w:t>
      </w:r>
      <w:r w:rsidR="00C026A6" w:rsidRPr="00EA59C0">
        <w:t xml:space="preserve"> </w:t>
      </w:r>
      <w:r w:rsidRPr="00EA59C0">
        <w:t>of</w:t>
      </w:r>
      <w:r w:rsidR="00C026A6" w:rsidRPr="00EA59C0">
        <w:t xml:space="preserve"> </w:t>
      </w:r>
      <w:r w:rsidRPr="00EA59C0">
        <w:t>PII</w:t>
      </w:r>
      <w:r w:rsidR="00C026A6" w:rsidRPr="00EA59C0">
        <w:t xml:space="preserve"> </w:t>
      </w:r>
      <w:r w:rsidRPr="00EA59C0">
        <w:t>and</w:t>
      </w:r>
      <w:r w:rsidR="00C026A6" w:rsidRPr="00EA59C0">
        <w:t xml:space="preserve"> </w:t>
      </w:r>
      <w:r w:rsidRPr="00EA59C0">
        <w:t>other</w:t>
      </w:r>
      <w:r w:rsidR="00C026A6" w:rsidRPr="00EA59C0">
        <w:t xml:space="preserve"> </w:t>
      </w:r>
      <w:r w:rsidRPr="00EA59C0">
        <w:t>sensitive</w:t>
      </w:r>
      <w:r w:rsidR="00C026A6" w:rsidRPr="00EA59C0">
        <w:t xml:space="preserve"> </w:t>
      </w:r>
      <w:r w:rsidRPr="00EA59C0">
        <w:t>data</w:t>
      </w:r>
      <w:r w:rsidR="00C026A6" w:rsidRPr="00EA59C0">
        <w:t xml:space="preserve"> </w:t>
      </w:r>
      <w:r w:rsidRPr="00EA59C0">
        <w:t>is</w:t>
      </w:r>
      <w:r w:rsidR="00C026A6" w:rsidRPr="00EA59C0">
        <w:t xml:space="preserve"> </w:t>
      </w:r>
      <w:r w:rsidRPr="00EA59C0">
        <w:t>of</w:t>
      </w:r>
      <w:r w:rsidR="00C026A6" w:rsidRPr="00EA59C0">
        <w:t xml:space="preserve"> </w:t>
      </w:r>
      <w:r w:rsidRPr="00EA59C0">
        <w:t>paramount</w:t>
      </w:r>
      <w:r w:rsidR="00C026A6" w:rsidRPr="00EA59C0">
        <w:t xml:space="preserve"> </w:t>
      </w:r>
      <w:r w:rsidRPr="00EA59C0">
        <w:t>importance</w:t>
      </w:r>
      <w:r w:rsidR="00C026A6" w:rsidRPr="00EA59C0">
        <w:t xml:space="preserve"> </w:t>
      </w:r>
      <w:r w:rsidRPr="00EA59C0">
        <w:t>to</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of</w:t>
      </w:r>
      <w:r w:rsidR="00C026A6" w:rsidRPr="00EA59C0">
        <w:t xml:space="preserve"> </w:t>
      </w:r>
      <w:r w:rsidRPr="00EA59C0">
        <w:t>Labor</w:t>
      </w:r>
      <w:r w:rsidR="00C026A6" w:rsidRPr="00EA59C0">
        <w:t xml:space="preserve"> </w:t>
      </w:r>
      <w:r w:rsidRPr="00EA59C0">
        <w:t>and</w:t>
      </w:r>
      <w:r w:rsidR="00C026A6" w:rsidRPr="00EA59C0">
        <w:t xml:space="preserve"> </w:t>
      </w:r>
      <w:r w:rsidRPr="00EA59C0">
        <w:t>must</w:t>
      </w:r>
      <w:r w:rsidR="00C026A6" w:rsidRPr="00EA59C0">
        <w:t xml:space="preserve"> </w:t>
      </w:r>
      <w:r w:rsidRPr="00EA59C0">
        <w:t>be</w:t>
      </w:r>
      <w:r w:rsidR="00C026A6" w:rsidRPr="00EA59C0">
        <w:t xml:space="preserve"> </w:t>
      </w:r>
      <w:r w:rsidRPr="00EA59C0">
        <w:t>observed</w:t>
      </w:r>
      <w:r w:rsidR="00C026A6" w:rsidRPr="00EA59C0">
        <w:t xml:space="preserve"> </w:t>
      </w:r>
      <w:r w:rsidRPr="00EA59C0">
        <w:t>except</w:t>
      </w:r>
      <w:r w:rsidR="00C026A6" w:rsidRPr="00EA59C0">
        <w:t xml:space="preserve"> </w:t>
      </w:r>
      <w:r w:rsidRPr="00EA59C0">
        <w:t>where</w:t>
      </w:r>
      <w:r w:rsidR="00C026A6" w:rsidRPr="00EA59C0">
        <w:t xml:space="preserve"> </w:t>
      </w:r>
      <w:r w:rsidRPr="00EA59C0">
        <w:t>disclosure</w:t>
      </w:r>
      <w:r w:rsidR="00C026A6" w:rsidRPr="00EA59C0">
        <w:t xml:space="preserve"> </w:t>
      </w:r>
      <w:r w:rsidRPr="00EA59C0">
        <w:t>is</w:t>
      </w:r>
      <w:r w:rsidR="00C026A6" w:rsidRPr="00EA59C0">
        <w:t xml:space="preserve"> </w:t>
      </w:r>
      <w:r w:rsidRPr="00EA59C0">
        <w:t>allowed</w:t>
      </w:r>
      <w:r w:rsidR="00C026A6" w:rsidRPr="00EA59C0">
        <w:t xml:space="preserve"> </w:t>
      </w:r>
      <w:r w:rsidRPr="00EA59C0">
        <w:t>by</w:t>
      </w:r>
      <w:r w:rsidR="00C026A6" w:rsidRPr="00EA59C0">
        <w:t xml:space="preserve"> </w:t>
      </w:r>
      <w:r w:rsidRPr="00EA59C0">
        <w:t>the</w:t>
      </w:r>
      <w:r w:rsidR="00C026A6" w:rsidRPr="00EA59C0">
        <w:t xml:space="preserve"> </w:t>
      </w:r>
      <w:r w:rsidRPr="00EA59C0">
        <w:t>prior</w:t>
      </w:r>
      <w:r w:rsidR="00C026A6" w:rsidRPr="00EA59C0">
        <w:t xml:space="preserve"> </w:t>
      </w:r>
      <w:r w:rsidRPr="00EA59C0">
        <w:t>written</w:t>
      </w:r>
      <w:r w:rsidR="00C026A6" w:rsidRPr="00EA59C0">
        <w:t xml:space="preserve"> </w:t>
      </w:r>
      <w:r w:rsidRPr="00EA59C0">
        <w:t>approval</w:t>
      </w:r>
      <w:r w:rsidR="00C026A6" w:rsidRPr="00EA59C0">
        <w:t xml:space="preserve"> </w:t>
      </w:r>
      <w:r w:rsidRPr="00EA59C0">
        <w:t>of</w:t>
      </w:r>
      <w:r w:rsidR="00C026A6" w:rsidRPr="00EA59C0">
        <w:t xml:space="preserve"> </w:t>
      </w:r>
      <w:r w:rsidRPr="00EA59C0">
        <w:t>the</w:t>
      </w:r>
      <w:r w:rsidR="00C026A6" w:rsidRPr="00EA59C0">
        <w:t xml:space="preserve"> </w:t>
      </w:r>
      <w:r w:rsidRPr="00EA59C0">
        <w:t>Grant</w:t>
      </w:r>
      <w:r w:rsidR="00C026A6" w:rsidRPr="00EA59C0">
        <w:t xml:space="preserve"> </w:t>
      </w:r>
      <w:r w:rsidRPr="00EA59C0">
        <w:t>Officer</w:t>
      </w:r>
      <w:r w:rsidR="00C026A6" w:rsidRPr="00EA59C0">
        <w:t xml:space="preserve"> </w:t>
      </w:r>
      <w:r w:rsidRPr="00EA59C0">
        <w:t>or</w:t>
      </w:r>
      <w:r w:rsidR="00C026A6" w:rsidRPr="00EA59C0">
        <w:t xml:space="preserve"> </w:t>
      </w:r>
      <w:r w:rsidRPr="00EA59C0">
        <w:t>by</w:t>
      </w:r>
      <w:r w:rsidR="00C026A6" w:rsidRPr="00EA59C0">
        <w:t xml:space="preserve"> </w:t>
      </w:r>
      <w:r w:rsidRPr="00EA59C0">
        <w:t>court</w:t>
      </w:r>
      <w:r w:rsidR="00C026A6" w:rsidRPr="00EA59C0">
        <w:t xml:space="preserve"> </w:t>
      </w:r>
      <w:r w:rsidRPr="00EA59C0">
        <w:t>order.</w:t>
      </w:r>
      <w:r w:rsidR="00C026A6" w:rsidRPr="00EA59C0">
        <w:t xml:space="preserve"> </w:t>
      </w:r>
      <w:r w:rsidRPr="00EA59C0">
        <w:t>By</w:t>
      </w:r>
      <w:r w:rsidR="00C026A6" w:rsidRPr="00EA59C0">
        <w:t xml:space="preserve"> </w:t>
      </w:r>
      <w:r w:rsidRPr="00EA59C0">
        <w:t>submitting</w:t>
      </w:r>
      <w:r w:rsidR="00C026A6" w:rsidRPr="00EA59C0">
        <w:t xml:space="preserve"> </w:t>
      </w:r>
      <w:r w:rsidRPr="00EA59C0">
        <w:t>a</w:t>
      </w:r>
      <w:r w:rsidR="00C026A6" w:rsidRPr="00EA59C0">
        <w:t xml:space="preserve"> </w:t>
      </w:r>
      <w:r w:rsidRPr="00EA59C0">
        <w:t>proposal,</w:t>
      </w:r>
      <w:r w:rsidR="00C026A6" w:rsidRPr="00EA59C0">
        <w:t xml:space="preserve"> </w:t>
      </w:r>
      <w:r w:rsidRPr="00EA59C0">
        <w:t>Grantees</w:t>
      </w:r>
      <w:r w:rsidR="00C026A6" w:rsidRPr="00EA59C0">
        <w:t xml:space="preserve"> </w:t>
      </w:r>
      <w:r w:rsidRPr="00EA59C0">
        <w:t>are</w:t>
      </w:r>
      <w:r w:rsidR="00C026A6" w:rsidRPr="00EA59C0">
        <w:t xml:space="preserve"> </w:t>
      </w:r>
      <w:r w:rsidRPr="00EA59C0">
        <w:t>assuring</w:t>
      </w:r>
      <w:r w:rsidR="00C026A6" w:rsidRPr="00EA59C0">
        <w:t xml:space="preserve"> </w:t>
      </w:r>
      <w:r w:rsidRPr="00EA59C0">
        <w:t>that</w:t>
      </w:r>
      <w:r w:rsidR="00C026A6" w:rsidRPr="00EA59C0">
        <w:t xml:space="preserve"> </w:t>
      </w:r>
      <w:r w:rsidRPr="00EA59C0">
        <w:t>all</w:t>
      </w:r>
      <w:r w:rsidR="00C026A6" w:rsidRPr="00EA59C0">
        <w:t xml:space="preserve"> </w:t>
      </w:r>
      <w:r w:rsidRPr="00EA59C0">
        <w:t>data</w:t>
      </w:r>
      <w:r w:rsidR="00C026A6" w:rsidRPr="00EA59C0">
        <w:t xml:space="preserve"> </w:t>
      </w:r>
      <w:r w:rsidRPr="00EA59C0">
        <w:t>exchanges</w:t>
      </w:r>
      <w:r w:rsidR="00C026A6" w:rsidRPr="00EA59C0">
        <w:t xml:space="preserve"> </w:t>
      </w:r>
      <w:r w:rsidRPr="00EA59C0">
        <w:t>conducted</w:t>
      </w:r>
      <w:r w:rsidR="00C026A6" w:rsidRPr="00EA59C0">
        <w:t xml:space="preserve"> </w:t>
      </w:r>
      <w:r w:rsidRPr="00EA59C0">
        <w:t>through</w:t>
      </w:r>
      <w:r w:rsidR="00C026A6" w:rsidRPr="00EA59C0">
        <w:t xml:space="preserve"> </w:t>
      </w:r>
      <w:r w:rsidRPr="00EA59C0">
        <w:t>or</w:t>
      </w:r>
      <w:r w:rsidR="00C026A6" w:rsidRPr="00EA59C0">
        <w:t xml:space="preserve"> </w:t>
      </w:r>
      <w:r w:rsidRPr="00EA59C0">
        <w:t>during</w:t>
      </w:r>
      <w:r w:rsidR="00C026A6" w:rsidRPr="00EA59C0">
        <w:t xml:space="preserve"> </w:t>
      </w:r>
      <w:r w:rsidRPr="00EA59C0">
        <w:t>the</w:t>
      </w:r>
      <w:r w:rsidR="00C026A6" w:rsidRPr="00EA59C0">
        <w:t xml:space="preserve"> </w:t>
      </w:r>
      <w:r w:rsidRPr="00EA59C0">
        <w:t>course</w:t>
      </w:r>
      <w:r w:rsidR="00C026A6" w:rsidRPr="00EA59C0">
        <w:t xml:space="preserve"> </w:t>
      </w:r>
      <w:r w:rsidRPr="00EA59C0">
        <w:t>of</w:t>
      </w:r>
      <w:r w:rsidR="00C026A6" w:rsidRPr="00EA59C0">
        <w:t xml:space="preserve"> </w:t>
      </w:r>
      <w:r w:rsidRPr="00EA59C0">
        <w:t>performance</w:t>
      </w:r>
      <w:r w:rsidR="00C026A6" w:rsidRPr="00EA59C0">
        <w:t xml:space="preserve"> </w:t>
      </w:r>
      <w:r w:rsidRPr="00EA59C0">
        <w:t>of</w:t>
      </w:r>
      <w:r w:rsidR="00C026A6" w:rsidRPr="00EA59C0">
        <w:t xml:space="preserve"> </w:t>
      </w:r>
      <w:r w:rsidRPr="00EA59C0">
        <w:t>this</w:t>
      </w:r>
      <w:r w:rsidR="00C026A6" w:rsidRPr="00EA59C0">
        <w:t xml:space="preserve"> </w:t>
      </w:r>
      <w:r w:rsidRPr="00EA59C0">
        <w:t>grant</w:t>
      </w:r>
      <w:r w:rsidR="00C026A6" w:rsidRPr="00EA59C0">
        <w:t xml:space="preserve"> </w:t>
      </w:r>
      <w:r w:rsidRPr="00EA59C0">
        <w:t>will</w:t>
      </w:r>
      <w:r w:rsidR="00C026A6" w:rsidRPr="00EA59C0">
        <w:t xml:space="preserve"> </w:t>
      </w:r>
      <w:r w:rsidRPr="00EA59C0">
        <w:t>be</w:t>
      </w:r>
      <w:r w:rsidR="00C026A6" w:rsidRPr="00EA59C0">
        <w:t xml:space="preserve"> </w:t>
      </w:r>
      <w:r w:rsidRPr="00EA59C0">
        <w:t>conducted</w:t>
      </w:r>
      <w:r w:rsidR="00C026A6" w:rsidRPr="00EA59C0">
        <w:t xml:space="preserve"> </w:t>
      </w:r>
      <w:r w:rsidRPr="00EA59C0">
        <w:t>in</w:t>
      </w:r>
      <w:r w:rsidR="00C026A6" w:rsidRPr="00EA59C0">
        <w:t xml:space="preserve"> </w:t>
      </w:r>
      <w:r w:rsidRPr="00EA59C0">
        <w:t>a</w:t>
      </w:r>
      <w:r w:rsidR="00C026A6" w:rsidRPr="00EA59C0">
        <w:t xml:space="preserve"> </w:t>
      </w:r>
      <w:r w:rsidRPr="00EA59C0">
        <w:t>manner</w:t>
      </w:r>
      <w:r w:rsidR="00C026A6" w:rsidRPr="00EA59C0">
        <w:t xml:space="preserve"> </w:t>
      </w:r>
      <w:r w:rsidRPr="00EA59C0">
        <w:t>consistent</w:t>
      </w:r>
      <w:r w:rsidR="00C026A6" w:rsidRPr="00EA59C0">
        <w:t xml:space="preserve"> </w:t>
      </w:r>
      <w:r w:rsidRPr="00EA59C0">
        <w:t>with</w:t>
      </w:r>
      <w:r w:rsidR="00C026A6" w:rsidRPr="00EA59C0">
        <w:t xml:space="preserve"> </w:t>
      </w:r>
      <w:r w:rsidRPr="00EA59C0">
        <w:t>applicable</w:t>
      </w:r>
      <w:r w:rsidR="00C026A6" w:rsidRPr="00EA59C0">
        <w:t xml:space="preserve"> </w:t>
      </w:r>
      <w:r w:rsidRPr="00EA59C0">
        <w:t>Federal</w:t>
      </w:r>
      <w:r w:rsidR="00C026A6" w:rsidRPr="00EA59C0">
        <w:t xml:space="preserve"> </w:t>
      </w:r>
      <w:r w:rsidRPr="00EA59C0">
        <w:t>law</w:t>
      </w:r>
      <w:r w:rsidR="00C026A6" w:rsidRPr="00EA59C0">
        <w:t xml:space="preserve"> </w:t>
      </w:r>
      <w:r w:rsidR="004C0252" w:rsidRPr="00EA59C0">
        <w:t>and</w:t>
      </w:r>
      <w:r w:rsidR="00C026A6" w:rsidRPr="00EA59C0">
        <w:t xml:space="preserve"> </w:t>
      </w:r>
      <w:r w:rsidR="004C0252" w:rsidRPr="00EA59C0">
        <w:t>TEGL</w:t>
      </w:r>
      <w:r w:rsidR="00C026A6" w:rsidRPr="00EA59C0">
        <w:t xml:space="preserve"> </w:t>
      </w:r>
      <w:r w:rsidR="004C0252" w:rsidRPr="00EA59C0">
        <w:t>NO.</w:t>
      </w:r>
      <w:r w:rsidR="00C026A6" w:rsidRPr="00EA59C0">
        <w:t xml:space="preserve"> </w:t>
      </w:r>
      <w:r w:rsidR="004C0252" w:rsidRPr="00EA59C0">
        <w:t>39-11</w:t>
      </w:r>
      <w:r w:rsidR="00C026A6" w:rsidRPr="00EA59C0">
        <w:t xml:space="preserve"> </w:t>
      </w:r>
      <w:r w:rsidR="004C0252" w:rsidRPr="00EA59C0">
        <w:t>(issued</w:t>
      </w:r>
      <w:r w:rsidR="00C026A6" w:rsidRPr="00EA59C0">
        <w:t xml:space="preserve"> </w:t>
      </w:r>
      <w:r w:rsidR="004C0252" w:rsidRPr="00EA59C0">
        <w:t>June</w:t>
      </w:r>
      <w:r w:rsidR="00C026A6" w:rsidRPr="00EA59C0">
        <w:t xml:space="preserve"> </w:t>
      </w:r>
      <w:r w:rsidR="004C0252" w:rsidRPr="00EA59C0">
        <w:t>28,</w:t>
      </w:r>
      <w:r w:rsidR="00C026A6" w:rsidRPr="00EA59C0">
        <w:t xml:space="preserve"> </w:t>
      </w:r>
      <w:r w:rsidR="004C0252" w:rsidRPr="00EA59C0">
        <w:t>2012)</w:t>
      </w:r>
      <w:r w:rsidRPr="00EA59C0">
        <w:t>.</w:t>
      </w:r>
      <w:r w:rsidR="00C026A6" w:rsidRPr="00EA59C0">
        <w:t xml:space="preserve"> </w:t>
      </w:r>
      <w:r w:rsidRPr="00EA59C0">
        <w:t>All</w:t>
      </w:r>
      <w:r w:rsidR="00C026A6" w:rsidRPr="00EA59C0">
        <w:t xml:space="preserve"> </w:t>
      </w:r>
      <w:r w:rsidRPr="00EA59C0">
        <w:t>such</w:t>
      </w:r>
      <w:r w:rsidR="00C026A6" w:rsidRPr="00EA59C0">
        <w:t xml:space="preserve"> </w:t>
      </w:r>
      <w:r w:rsidRPr="00EA59C0">
        <w:t>activity</w:t>
      </w:r>
      <w:r w:rsidR="00C026A6" w:rsidRPr="00EA59C0">
        <w:t xml:space="preserve"> </w:t>
      </w:r>
      <w:r w:rsidRPr="00EA59C0">
        <w:t>conducted</w:t>
      </w:r>
      <w:r w:rsidR="00C026A6" w:rsidRPr="00EA59C0">
        <w:t xml:space="preserve"> </w:t>
      </w:r>
      <w:r w:rsidRPr="00EA59C0">
        <w:t>by</w:t>
      </w:r>
      <w:r w:rsidR="00C026A6" w:rsidRPr="00EA59C0">
        <w:t xml:space="preserve"> </w:t>
      </w:r>
      <w:r w:rsidRPr="00EA59C0">
        <w:t>ETA</w:t>
      </w:r>
      <w:r w:rsidR="00C026A6" w:rsidRPr="00EA59C0">
        <w:t xml:space="preserve"> </w:t>
      </w:r>
      <w:r w:rsidRPr="00EA59C0">
        <w:t>and/or</w:t>
      </w:r>
      <w:r w:rsidR="00C026A6" w:rsidRPr="00EA59C0">
        <w:t xml:space="preserve"> </w:t>
      </w:r>
      <w:r w:rsidRPr="00EA59C0">
        <w:t>Grantee/s</w:t>
      </w:r>
      <w:r w:rsidR="00C026A6" w:rsidRPr="00EA59C0">
        <w:t xml:space="preserve"> </w:t>
      </w:r>
      <w:r w:rsidRPr="00EA59C0">
        <w:t>will</w:t>
      </w:r>
      <w:r w:rsidR="00C026A6" w:rsidRPr="00EA59C0">
        <w:t xml:space="preserve"> </w:t>
      </w:r>
      <w:r w:rsidRPr="00EA59C0">
        <w:t>be</w:t>
      </w:r>
      <w:r w:rsidR="00C026A6" w:rsidRPr="00EA59C0">
        <w:t xml:space="preserve"> </w:t>
      </w:r>
      <w:r w:rsidRPr="00EA59C0">
        <w:t>performed</w:t>
      </w:r>
      <w:r w:rsidR="00C026A6" w:rsidRPr="00EA59C0">
        <w:t xml:space="preserve"> </w:t>
      </w:r>
      <w:r w:rsidRPr="00EA59C0">
        <w:t>in</w:t>
      </w:r>
      <w:r w:rsidR="00C026A6" w:rsidRPr="00EA59C0">
        <w:t xml:space="preserve"> </w:t>
      </w:r>
      <w:r w:rsidRPr="00EA59C0">
        <w:t>a</w:t>
      </w:r>
      <w:r w:rsidR="00C026A6" w:rsidRPr="00EA59C0">
        <w:t xml:space="preserve"> </w:t>
      </w:r>
      <w:r w:rsidRPr="00EA59C0">
        <w:t>manner</w:t>
      </w:r>
      <w:r w:rsidR="00C026A6" w:rsidRPr="00EA59C0">
        <w:t xml:space="preserve"> </w:t>
      </w:r>
      <w:r w:rsidRPr="00EA59C0">
        <w:t>consistent</w:t>
      </w:r>
      <w:r w:rsidR="00C026A6" w:rsidRPr="00EA59C0">
        <w:t xml:space="preserve"> </w:t>
      </w:r>
      <w:r w:rsidRPr="00EA59C0">
        <w:t>with</w:t>
      </w:r>
      <w:r w:rsidR="00C026A6" w:rsidRPr="00EA59C0">
        <w:t xml:space="preserve"> </w:t>
      </w:r>
      <w:r w:rsidRPr="00EA59C0">
        <w:t>applicable</w:t>
      </w:r>
      <w:r w:rsidR="00C026A6" w:rsidRPr="00EA59C0">
        <w:t xml:space="preserve"> </w:t>
      </w:r>
      <w:r w:rsidRPr="00EA59C0">
        <w:t>state</w:t>
      </w:r>
      <w:r w:rsidR="00C026A6" w:rsidRPr="00EA59C0">
        <w:t xml:space="preserve"> </w:t>
      </w:r>
      <w:r w:rsidRPr="00EA59C0">
        <w:t>and</w:t>
      </w:r>
      <w:r w:rsidR="00C026A6" w:rsidRPr="00EA59C0">
        <w:t xml:space="preserve"> </w:t>
      </w:r>
      <w:r w:rsidRPr="00EA59C0">
        <w:t>Federal</w:t>
      </w:r>
      <w:r w:rsidR="00C026A6" w:rsidRPr="00EA59C0">
        <w:t xml:space="preserve"> </w:t>
      </w:r>
      <w:r w:rsidRPr="00EA59C0">
        <w:t>laws.</w:t>
      </w:r>
      <w:r w:rsidR="00C026A6" w:rsidRPr="00EA59C0">
        <w:t xml:space="preserve"> </w:t>
      </w:r>
    </w:p>
    <w:p w:rsidR="00FA2BDE" w:rsidRPr="00EA59C0" w:rsidRDefault="00FA2BDE" w:rsidP="00FA0E98">
      <w:pPr>
        <w:autoSpaceDE w:val="0"/>
        <w:autoSpaceDN w:val="0"/>
        <w:adjustRightInd w:val="0"/>
        <w:ind w:left="1440"/>
      </w:pPr>
    </w:p>
    <w:p w:rsidR="007470AB" w:rsidRPr="00EA59C0" w:rsidRDefault="00D81847" w:rsidP="00FA0E98">
      <w:pPr>
        <w:autoSpaceDE w:val="0"/>
        <w:autoSpaceDN w:val="0"/>
        <w:adjustRightInd w:val="0"/>
        <w:ind w:left="1440"/>
      </w:pPr>
      <w:r w:rsidRPr="00EA59C0">
        <w:t>By</w:t>
      </w:r>
      <w:r w:rsidR="00C026A6" w:rsidRPr="00EA59C0">
        <w:t xml:space="preserve"> </w:t>
      </w:r>
      <w:r w:rsidRPr="00EA59C0">
        <w:t>submitting</w:t>
      </w:r>
      <w:r w:rsidR="00C026A6" w:rsidRPr="00EA59C0">
        <w:t xml:space="preserve"> </w:t>
      </w:r>
      <w:r w:rsidRPr="00EA59C0">
        <w:t>a</w:t>
      </w:r>
      <w:r w:rsidR="00C026A6" w:rsidRPr="00EA59C0">
        <w:t xml:space="preserve"> </w:t>
      </w:r>
      <w:r w:rsidRPr="00EA59C0">
        <w:t>grant</w:t>
      </w:r>
      <w:r w:rsidR="00C026A6" w:rsidRPr="00EA59C0">
        <w:t xml:space="preserve"> </w:t>
      </w:r>
      <w:r w:rsidRPr="00EA59C0">
        <w:t>proposal,</w:t>
      </w:r>
      <w:r w:rsidR="00C026A6" w:rsidRPr="00EA59C0">
        <w:t xml:space="preserve"> </w:t>
      </w:r>
      <w:r w:rsidRPr="00EA59C0">
        <w:t>the</w:t>
      </w:r>
      <w:r w:rsidR="00C026A6" w:rsidRPr="00EA59C0">
        <w:t xml:space="preserve"> </w:t>
      </w:r>
      <w:r w:rsidRPr="00EA59C0">
        <w:t>applicant</w:t>
      </w:r>
      <w:r w:rsidR="00C026A6" w:rsidRPr="00EA59C0">
        <w:t xml:space="preserve"> </w:t>
      </w:r>
      <w:r w:rsidRPr="00EA59C0">
        <w:t>agrees</w:t>
      </w:r>
      <w:r w:rsidR="00C026A6" w:rsidRPr="00EA59C0">
        <w:t xml:space="preserve"> </w:t>
      </w:r>
      <w:r w:rsidRPr="00EA59C0">
        <w:t>to</w:t>
      </w:r>
      <w:r w:rsidR="00C026A6" w:rsidRPr="00EA59C0">
        <w:t xml:space="preserve"> </w:t>
      </w:r>
      <w:r w:rsidRPr="00EA59C0">
        <w:t>take</w:t>
      </w:r>
      <w:r w:rsidR="00C026A6" w:rsidRPr="00EA59C0">
        <w:t xml:space="preserve"> </w:t>
      </w:r>
      <w:r w:rsidRPr="00EA59C0">
        <w:t>all</w:t>
      </w:r>
      <w:r w:rsidR="00C026A6" w:rsidRPr="00EA59C0">
        <w:t xml:space="preserve"> </w:t>
      </w:r>
      <w:r w:rsidRPr="00EA59C0">
        <w:t>necessary</w:t>
      </w:r>
      <w:r w:rsidR="00C026A6" w:rsidRPr="00EA59C0">
        <w:t xml:space="preserve"> </w:t>
      </w:r>
      <w:r w:rsidRPr="00EA59C0">
        <w:t>steps</w:t>
      </w:r>
      <w:r w:rsidR="00C026A6" w:rsidRPr="00EA59C0">
        <w:t xml:space="preserve"> </w:t>
      </w:r>
      <w:r w:rsidRPr="00EA59C0">
        <w:t>to</w:t>
      </w:r>
      <w:r w:rsidR="00C026A6" w:rsidRPr="00EA59C0">
        <w:t xml:space="preserve"> </w:t>
      </w:r>
      <w:r w:rsidRPr="00EA59C0">
        <w:t>protect</w:t>
      </w:r>
      <w:r w:rsidR="00C026A6" w:rsidRPr="00EA59C0">
        <w:t xml:space="preserve"> </w:t>
      </w:r>
      <w:r w:rsidRPr="00EA59C0">
        <w:t>such</w:t>
      </w:r>
      <w:r w:rsidR="00C026A6" w:rsidRPr="00EA59C0">
        <w:t xml:space="preserve"> </w:t>
      </w:r>
      <w:r w:rsidRPr="00EA59C0">
        <w:t>confidentiality</w:t>
      </w:r>
      <w:r w:rsidR="00C026A6" w:rsidRPr="00EA59C0">
        <w:t xml:space="preserve"> </w:t>
      </w:r>
      <w:r w:rsidRPr="00EA59C0">
        <w:t>by</w:t>
      </w:r>
      <w:r w:rsidR="00C026A6" w:rsidRPr="00EA59C0">
        <w:t xml:space="preserve"> </w:t>
      </w:r>
      <w:r w:rsidRPr="00EA59C0">
        <w:t>complying</w:t>
      </w:r>
      <w:r w:rsidR="00C026A6" w:rsidRPr="00EA59C0">
        <w:t xml:space="preserve"> </w:t>
      </w:r>
      <w:r w:rsidRPr="00EA59C0">
        <w:t>with</w:t>
      </w:r>
      <w:r w:rsidR="00C026A6" w:rsidRPr="00EA59C0">
        <w:t xml:space="preserve"> </w:t>
      </w:r>
      <w:r w:rsidRPr="00EA59C0">
        <w:t>the</w:t>
      </w:r>
      <w:r w:rsidR="00C026A6" w:rsidRPr="00EA59C0">
        <w:t xml:space="preserve"> </w:t>
      </w:r>
      <w:r w:rsidRPr="00EA59C0">
        <w:t>following</w:t>
      </w:r>
      <w:r w:rsidR="00C026A6" w:rsidRPr="00EA59C0">
        <w:t xml:space="preserve"> </w:t>
      </w:r>
      <w:r w:rsidRPr="00EA59C0">
        <w:t>provisions</w:t>
      </w:r>
      <w:r w:rsidR="00C026A6" w:rsidRPr="00EA59C0">
        <w:t xml:space="preserve"> </w:t>
      </w:r>
      <w:r w:rsidRPr="00EA59C0">
        <w:t>that</w:t>
      </w:r>
      <w:r w:rsidR="00C026A6" w:rsidRPr="00EA59C0">
        <w:t xml:space="preserve"> </w:t>
      </w:r>
      <w:r w:rsidRPr="00EA59C0">
        <w:t>are</w:t>
      </w:r>
      <w:r w:rsidR="00C026A6" w:rsidRPr="00EA59C0">
        <w:t xml:space="preserve"> </w:t>
      </w:r>
      <w:r w:rsidRPr="00EA59C0">
        <w:t>applicable</w:t>
      </w:r>
      <w:r w:rsidR="00C026A6" w:rsidRPr="00EA59C0">
        <w:t xml:space="preserve"> </w:t>
      </w:r>
      <w:r w:rsidRPr="00EA59C0">
        <w:t>in</w:t>
      </w:r>
      <w:r w:rsidR="00C026A6" w:rsidRPr="00EA59C0">
        <w:t xml:space="preserve"> </w:t>
      </w:r>
      <w:r w:rsidRPr="00EA59C0">
        <w:t>governing</w:t>
      </w:r>
      <w:r w:rsidR="00C026A6" w:rsidRPr="00EA59C0">
        <w:t xml:space="preserve"> </w:t>
      </w:r>
      <w:r w:rsidRPr="00EA59C0">
        <w:t>their</w:t>
      </w:r>
      <w:r w:rsidR="00C026A6" w:rsidRPr="00EA59C0">
        <w:t xml:space="preserve"> </w:t>
      </w:r>
      <w:r w:rsidRPr="00EA59C0">
        <w:t>handling</w:t>
      </w:r>
      <w:r w:rsidR="00C026A6" w:rsidRPr="00EA59C0">
        <w:t xml:space="preserve"> </w:t>
      </w:r>
      <w:r w:rsidRPr="00EA59C0">
        <w:t>of</w:t>
      </w:r>
      <w:r w:rsidR="00C026A6" w:rsidRPr="00EA59C0">
        <w:t xml:space="preserve"> </w:t>
      </w:r>
      <w:r w:rsidRPr="00EA59C0">
        <w:t>confidential</w:t>
      </w:r>
      <w:r w:rsidR="00C026A6" w:rsidRPr="00EA59C0">
        <w:t xml:space="preserve"> </w:t>
      </w:r>
      <w:r w:rsidRPr="00EA59C0">
        <w:t>information:</w:t>
      </w:r>
      <w:r w:rsidR="00C026A6" w:rsidRPr="00EA59C0">
        <w:t xml:space="preserve"> </w:t>
      </w:r>
    </w:p>
    <w:p w:rsidR="00144DF0" w:rsidRPr="00EA59C0" w:rsidRDefault="00D81847" w:rsidP="004C3998">
      <w:pPr>
        <w:pStyle w:val="ListParagraph"/>
        <w:numPr>
          <w:ilvl w:val="4"/>
          <w:numId w:val="17"/>
        </w:numPr>
        <w:autoSpaceDE w:val="0"/>
        <w:autoSpaceDN w:val="0"/>
        <w:adjustRightInd w:val="0"/>
        <w:rPr>
          <w:sz w:val="23"/>
          <w:szCs w:val="23"/>
        </w:rPr>
      </w:pPr>
      <w:r w:rsidRPr="00EA59C0">
        <w:rPr>
          <w:sz w:val="23"/>
          <w:szCs w:val="23"/>
        </w:rPr>
        <w:t>To</w:t>
      </w:r>
      <w:r w:rsidR="00C026A6" w:rsidRPr="00EA59C0">
        <w:rPr>
          <w:sz w:val="23"/>
          <w:szCs w:val="23"/>
        </w:rPr>
        <w:t xml:space="preserve"> </w:t>
      </w:r>
      <w:r w:rsidRPr="00EA59C0">
        <w:rPr>
          <w:sz w:val="23"/>
          <w:szCs w:val="23"/>
        </w:rPr>
        <w:t>ensure</w:t>
      </w:r>
      <w:r w:rsidR="00C026A6" w:rsidRPr="00EA59C0">
        <w:rPr>
          <w:sz w:val="23"/>
          <w:szCs w:val="23"/>
        </w:rPr>
        <w:t xml:space="preserve"> </w:t>
      </w:r>
      <w:r w:rsidRPr="00EA59C0">
        <w:rPr>
          <w:sz w:val="23"/>
          <w:szCs w:val="23"/>
        </w:rPr>
        <w:t>that</w:t>
      </w:r>
      <w:r w:rsidR="00C026A6" w:rsidRPr="00EA59C0">
        <w:rPr>
          <w:sz w:val="23"/>
          <w:szCs w:val="23"/>
        </w:rPr>
        <w:t xml:space="preserve"> </w:t>
      </w:r>
      <w:r w:rsidRPr="00EA59C0">
        <w:rPr>
          <w:sz w:val="23"/>
          <w:szCs w:val="23"/>
        </w:rPr>
        <w:t>such</w:t>
      </w:r>
      <w:r w:rsidR="00C026A6" w:rsidRPr="00EA59C0">
        <w:rPr>
          <w:sz w:val="23"/>
          <w:szCs w:val="23"/>
        </w:rPr>
        <w:t xml:space="preserve"> </w:t>
      </w:r>
      <w:r w:rsidRPr="00EA59C0">
        <w:rPr>
          <w:sz w:val="23"/>
          <w:szCs w:val="23"/>
        </w:rPr>
        <w:t>PII</w:t>
      </w:r>
      <w:r w:rsidR="00C026A6" w:rsidRPr="00EA59C0">
        <w:rPr>
          <w:sz w:val="23"/>
          <w:szCs w:val="23"/>
        </w:rPr>
        <w:t xml:space="preserve"> </w:t>
      </w:r>
      <w:r w:rsidRPr="00EA59C0">
        <w:rPr>
          <w:sz w:val="23"/>
          <w:szCs w:val="23"/>
        </w:rPr>
        <w:t>is</w:t>
      </w:r>
      <w:r w:rsidR="00C026A6" w:rsidRPr="00EA59C0">
        <w:rPr>
          <w:sz w:val="23"/>
          <w:szCs w:val="23"/>
        </w:rPr>
        <w:t xml:space="preserve"> </w:t>
      </w:r>
      <w:r w:rsidRPr="00EA59C0">
        <w:rPr>
          <w:sz w:val="23"/>
          <w:szCs w:val="23"/>
        </w:rPr>
        <w:t>not</w:t>
      </w:r>
      <w:r w:rsidR="00C026A6" w:rsidRPr="00EA59C0">
        <w:rPr>
          <w:sz w:val="23"/>
          <w:szCs w:val="23"/>
        </w:rPr>
        <w:t xml:space="preserve"> </w:t>
      </w:r>
      <w:r w:rsidRPr="00EA59C0">
        <w:rPr>
          <w:sz w:val="23"/>
          <w:szCs w:val="23"/>
        </w:rPr>
        <w:t>transmitted</w:t>
      </w:r>
      <w:r w:rsidR="00C026A6" w:rsidRPr="00EA59C0">
        <w:rPr>
          <w:sz w:val="23"/>
          <w:szCs w:val="23"/>
        </w:rPr>
        <w:t xml:space="preserve"> </w:t>
      </w:r>
      <w:r w:rsidRPr="00EA59C0">
        <w:rPr>
          <w:sz w:val="23"/>
          <w:szCs w:val="23"/>
        </w:rPr>
        <w:t>to</w:t>
      </w:r>
      <w:r w:rsidR="00C026A6" w:rsidRPr="00EA59C0">
        <w:rPr>
          <w:sz w:val="23"/>
          <w:szCs w:val="23"/>
        </w:rPr>
        <w:t xml:space="preserve"> </w:t>
      </w:r>
      <w:r w:rsidRPr="00EA59C0">
        <w:rPr>
          <w:sz w:val="23"/>
          <w:szCs w:val="23"/>
        </w:rPr>
        <w:t>unauthorized</w:t>
      </w:r>
      <w:r w:rsidR="00C026A6" w:rsidRPr="00EA59C0">
        <w:rPr>
          <w:sz w:val="23"/>
          <w:szCs w:val="23"/>
        </w:rPr>
        <w:t xml:space="preserve"> </w:t>
      </w:r>
      <w:r w:rsidRPr="00EA59C0">
        <w:rPr>
          <w:sz w:val="23"/>
          <w:szCs w:val="23"/>
        </w:rPr>
        <w:t>users,</w:t>
      </w:r>
      <w:r w:rsidR="00C026A6" w:rsidRPr="00EA59C0">
        <w:rPr>
          <w:sz w:val="23"/>
          <w:szCs w:val="23"/>
        </w:rPr>
        <w:t xml:space="preserve"> </w:t>
      </w:r>
      <w:r w:rsidRPr="00EA59C0">
        <w:rPr>
          <w:sz w:val="23"/>
          <w:szCs w:val="23"/>
        </w:rPr>
        <w:t>all</w:t>
      </w:r>
      <w:r w:rsidR="00C026A6" w:rsidRPr="00EA59C0">
        <w:rPr>
          <w:sz w:val="23"/>
          <w:szCs w:val="23"/>
        </w:rPr>
        <w:t xml:space="preserve"> </w:t>
      </w:r>
      <w:r w:rsidRPr="00EA59C0">
        <w:rPr>
          <w:sz w:val="23"/>
          <w:szCs w:val="23"/>
        </w:rPr>
        <w:t>PII</w:t>
      </w:r>
      <w:r w:rsidR="00C026A6" w:rsidRPr="00EA59C0">
        <w:rPr>
          <w:sz w:val="23"/>
          <w:szCs w:val="23"/>
        </w:rPr>
        <w:t xml:space="preserve"> </w:t>
      </w:r>
      <w:r w:rsidRPr="00EA59C0">
        <w:rPr>
          <w:sz w:val="23"/>
          <w:szCs w:val="23"/>
        </w:rPr>
        <w:t>and</w:t>
      </w:r>
      <w:r w:rsidR="00C026A6" w:rsidRPr="00EA59C0">
        <w:rPr>
          <w:sz w:val="23"/>
          <w:szCs w:val="23"/>
        </w:rPr>
        <w:t xml:space="preserve"> </w:t>
      </w:r>
      <w:r w:rsidRPr="00EA59C0">
        <w:rPr>
          <w:sz w:val="23"/>
          <w:szCs w:val="23"/>
        </w:rPr>
        <w:t>other</w:t>
      </w:r>
      <w:r w:rsidR="00C026A6" w:rsidRPr="00EA59C0">
        <w:rPr>
          <w:sz w:val="23"/>
          <w:szCs w:val="23"/>
        </w:rPr>
        <w:t xml:space="preserve"> </w:t>
      </w:r>
      <w:r w:rsidRPr="00EA59C0">
        <w:rPr>
          <w:sz w:val="23"/>
          <w:szCs w:val="23"/>
        </w:rPr>
        <w:t>sensitive</w:t>
      </w:r>
      <w:r w:rsidR="00C026A6" w:rsidRPr="00EA59C0">
        <w:rPr>
          <w:sz w:val="23"/>
          <w:szCs w:val="23"/>
        </w:rPr>
        <w:t xml:space="preserve"> </w:t>
      </w:r>
      <w:r w:rsidRPr="00EA59C0">
        <w:rPr>
          <w:sz w:val="23"/>
          <w:szCs w:val="23"/>
        </w:rPr>
        <w:t>data</w:t>
      </w:r>
      <w:r w:rsidR="00C026A6" w:rsidRPr="00EA59C0">
        <w:rPr>
          <w:sz w:val="23"/>
          <w:szCs w:val="23"/>
        </w:rPr>
        <w:t xml:space="preserve"> </w:t>
      </w:r>
      <w:r w:rsidRPr="00EA59C0">
        <w:rPr>
          <w:sz w:val="23"/>
          <w:szCs w:val="23"/>
        </w:rPr>
        <w:t>transmitted</w:t>
      </w:r>
      <w:r w:rsidR="00C026A6" w:rsidRPr="00EA59C0">
        <w:rPr>
          <w:sz w:val="23"/>
          <w:szCs w:val="23"/>
        </w:rPr>
        <w:t xml:space="preserve"> </w:t>
      </w:r>
      <w:r w:rsidRPr="00EA59C0">
        <w:rPr>
          <w:sz w:val="23"/>
          <w:szCs w:val="23"/>
        </w:rPr>
        <w:t>via</w:t>
      </w:r>
      <w:r w:rsidR="00C026A6" w:rsidRPr="00EA59C0">
        <w:rPr>
          <w:sz w:val="23"/>
          <w:szCs w:val="23"/>
        </w:rPr>
        <w:t xml:space="preserve"> </w:t>
      </w:r>
      <w:r w:rsidRPr="00EA59C0">
        <w:rPr>
          <w:sz w:val="23"/>
          <w:szCs w:val="23"/>
        </w:rPr>
        <w:t>e-mail</w:t>
      </w:r>
      <w:r w:rsidR="00C026A6" w:rsidRPr="00EA59C0">
        <w:rPr>
          <w:sz w:val="23"/>
          <w:szCs w:val="23"/>
        </w:rPr>
        <w:t xml:space="preserve"> </w:t>
      </w:r>
      <w:r w:rsidRPr="00EA59C0">
        <w:rPr>
          <w:sz w:val="23"/>
          <w:szCs w:val="23"/>
        </w:rPr>
        <w:t>or</w:t>
      </w:r>
      <w:r w:rsidR="00C026A6" w:rsidRPr="00EA59C0">
        <w:rPr>
          <w:sz w:val="23"/>
          <w:szCs w:val="23"/>
        </w:rPr>
        <w:t xml:space="preserve"> </w:t>
      </w:r>
      <w:r w:rsidRPr="00EA59C0">
        <w:rPr>
          <w:sz w:val="23"/>
          <w:szCs w:val="23"/>
        </w:rPr>
        <w:t>stored</w:t>
      </w:r>
      <w:r w:rsidR="00C026A6" w:rsidRPr="00EA59C0">
        <w:rPr>
          <w:sz w:val="23"/>
          <w:szCs w:val="23"/>
        </w:rPr>
        <w:t xml:space="preserve"> </w:t>
      </w:r>
      <w:r w:rsidRPr="00EA59C0">
        <w:rPr>
          <w:sz w:val="23"/>
          <w:szCs w:val="23"/>
        </w:rPr>
        <w:t>on</w:t>
      </w:r>
      <w:r w:rsidR="00C026A6" w:rsidRPr="00EA59C0">
        <w:rPr>
          <w:sz w:val="23"/>
          <w:szCs w:val="23"/>
        </w:rPr>
        <w:t xml:space="preserve"> </w:t>
      </w:r>
      <w:r w:rsidRPr="00EA59C0">
        <w:rPr>
          <w:sz w:val="23"/>
          <w:szCs w:val="23"/>
        </w:rPr>
        <w:t>CDs,</w:t>
      </w:r>
      <w:r w:rsidR="00C026A6" w:rsidRPr="00EA59C0">
        <w:rPr>
          <w:sz w:val="23"/>
          <w:szCs w:val="23"/>
        </w:rPr>
        <w:t xml:space="preserve"> </w:t>
      </w:r>
      <w:r w:rsidRPr="00EA59C0">
        <w:rPr>
          <w:sz w:val="23"/>
          <w:szCs w:val="23"/>
        </w:rPr>
        <w:t>DVDs,</w:t>
      </w:r>
      <w:r w:rsidR="00C026A6" w:rsidRPr="00EA59C0">
        <w:rPr>
          <w:sz w:val="23"/>
          <w:szCs w:val="23"/>
        </w:rPr>
        <w:t xml:space="preserve"> </w:t>
      </w:r>
      <w:r w:rsidRPr="00EA59C0">
        <w:rPr>
          <w:sz w:val="23"/>
          <w:szCs w:val="23"/>
        </w:rPr>
        <w:t>thumb</w:t>
      </w:r>
      <w:r w:rsidR="00C026A6" w:rsidRPr="00EA59C0">
        <w:rPr>
          <w:sz w:val="23"/>
          <w:szCs w:val="23"/>
        </w:rPr>
        <w:t xml:space="preserve"> </w:t>
      </w:r>
      <w:r w:rsidRPr="00EA59C0">
        <w:rPr>
          <w:sz w:val="23"/>
          <w:szCs w:val="23"/>
        </w:rPr>
        <w:t>drives,</w:t>
      </w:r>
      <w:r w:rsidR="00C026A6" w:rsidRPr="00EA59C0">
        <w:rPr>
          <w:sz w:val="23"/>
          <w:szCs w:val="23"/>
        </w:rPr>
        <w:t xml:space="preserve"> </w:t>
      </w:r>
      <w:r w:rsidRPr="00EA59C0">
        <w:rPr>
          <w:sz w:val="23"/>
          <w:szCs w:val="23"/>
        </w:rPr>
        <w:t>etc.,</w:t>
      </w:r>
      <w:r w:rsidR="00C026A6" w:rsidRPr="00EA59C0">
        <w:rPr>
          <w:sz w:val="23"/>
          <w:szCs w:val="23"/>
        </w:rPr>
        <w:t xml:space="preserve"> </w:t>
      </w:r>
      <w:r w:rsidRPr="00EA59C0">
        <w:rPr>
          <w:sz w:val="23"/>
          <w:szCs w:val="23"/>
        </w:rPr>
        <w:t>must</w:t>
      </w:r>
      <w:r w:rsidR="00C026A6" w:rsidRPr="00EA59C0">
        <w:rPr>
          <w:sz w:val="23"/>
          <w:szCs w:val="23"/>
        </w:rPr>
        <w:t xml:space="preserve"> </w:t>
      </w:r>
      <w:r w:rsidRPr="00EA59C0">
        <w:rPr>
          <w:sz w:val="23"/>
          <w:szCs w:val="23"/>
        </w:rPr>
        <w:t>be</w:t>
      </w:r>
      <w:r w:rsidR="00C026A6" w:rsidRPr="00EA59C0">
        <w:rPr>
          <w:sz w:val="23"/>
          <w:szCs w:val="23"/>
        </w:rPr>
        <w:t xml:space="preserve"> </w:t>
      </w:r>
      <w:r w:rsidRPr="00EA59C0">
        <w:rPr>
          <w:sz w:val="23"/>
          <w:szCs w:val="23"/>
        </w:rPr>
        <w:t>encrypted</w:t>
      </w:r>
      <w:r w:rsidR="00C026A6" w:rsidRPr="00EA59C0">
        <w:rPr>
          <w:sz w:val="23"/>
          <w:szCs w:val="23"/>
        </w:rPr>
        <w:t xml:space="preserve"> </w:t>
      </w:r>
      <w:r w:rsidRPr="00EA59C0">
        <w:rPr>
          <w:sz w:val="23"/>
          <w:szCs w:val="23"/>
        </w:rPr>
        <w:t>using</w:t>
      </w:r>
      <w:r w:rsidR="00C026A6" w:rsidRPr="00EA59C0">
        <w:rPr>
          <w:sz w:val="23"/>
          <w:szCs w:val="23"/>
        </w:rPr>
        <w:t xml:space="preserve"> </w:t>
      </w:r>
      <w:r w:rsidRPr="00EA59C0">
        <w:rPr>
          <w:sz w:val="23"/>
          <w:szCs w:val="23"/>
        </w:rPr>
        <w:t>a</w:t>
      </w:r>
      <w:r w:rsidR="00C026A6" w:rsidRPr="00EA59C0">
        <w:rPr>
          <w:sz w:val="23"/>
          <w:szCs w:val="23"/>
        </w:rPr>
        <w:t xml:space="preserve"> </w:t>
      </w:r>
      <w:r w:rsidRPr="00EA59C0">
        <w:rPr>
          <w:sz w:val="23"/>
          <w:szCs w:val="23"/>
        </w:rPr>
        <w:t>Federal</w:t>
      </w:r>
      <w:r w:rsidR="00C026A6" w:rsidRPr="00EA59C0">
        <w:rPr>
          <w:sz w:val="23"/>
          <w:szCs w:val="23"/>
        </w:rPr>
        <w:t xml:space="preserve"> </w:t>
      </w:r>
      <w:r w:rsidRPr="00EA59C0">
        <w:rPr>
          <w:sz w:val="23"/>
          <w:szCs w:val="23"/>
        </w:rPr>
        <w:t>Information</w:t>
      </w:r>
      <w:r w:rsidR="00C026A6" w:rsidRPr="00EA59C0">
        <w:rPr>
          <w:sz w:val="23"/>
          <w:szCs w:val="23"/>
        </w:rPr>
        <w:t xml:space="preserve"> </w:t>
      </w:r>
      <w:r w:rsidRPr="00EA59C0">
        <w:rPr>
          <w:sz w:val="23"/>
          <w:szCs w:val="23"/>
        </w:rPr>
        <w:t>Processing</w:t>
      </w:r>
      <w:r w:rsidR="00C026A6" w:rsidRPr="00EA59C0">
        <w:rPr>
          <w:sz w:val="23"/>
          <w:szCs w:val="23"/>
        </w:rPr>
        <w:t xml:space="preserve"> </w:t>
      </w:r>
      <w:r w:rsidRPr="00EA59C0">
        <w:rPr>
          <w:sz w:val="23"/>
          <w:szCs w:val="23"/>
        </w:rPr>
        <w:t>Standards</w:t>
      </w:r>
      <w:r w:rsidR="00C026A6" w:rsidRPr="00EA59C0">
        <w:rPr>
          <w:sz w:val="23"/>
          <w:szCs w:val="23"/>
        </w:rPr>
        <w:t xml:space="preserve"> </w:t>
      </w:r>
      <w:r w:rsidRPr="00EA59C0">
        <w:rPr>
          <w:sz w:val="23"/>
          <w:szCs w:val="23"/>
        </w:rPr>
        <w:t>(FIPS)</w:t>
      </w:r>
      <w:r w:rsidR="00C026A6" w:rsidRPr="00EA59C0">
        <w:rPr>
          <w:sz w:val="23"/>
          <w:szCs w:val="23"/>
        </w:rPr>
        <w:t xml:space="preserve"> </w:t>
      </w:r>
      <w:r w:rsidRPr="00EA59C0">
        <w:rPr>
          <w:sz w:val="23"/>
          <w:szCs w:val="23"/>
        </w:rPr>
        <w:t>140-2</w:t>
      </w:r>
      <w:r w:rsidR="00C026A6" w:rsidRPr="00EA59C0">
        <w:rPr>
          <w:sz w:val="23"/>
          <w:szCs w:val="23"/>
        </w:rPr>
        <w:t xml:space="preserve"> </w:t>
      </w:r>
      <w:r w:rsidRPr="00EA59C0">
        <w:rPr>
          <w:sz w:val="23"/>
          <w:szCs w:val="23"/>
        </w:rPr>
        <w:t>compliant</w:t>
      </w:r>
      <w:r w:rsidR="00C026A6" w:rsidRPr="00EA59C0">
        <w:rPr>
          <w:sz w:val="23"/>
          <w:szCs w:val="23"/>
        </w:rPr>
        <w:t xml:space="preserve"> </w:t>
      </w:r>
      <w:r w:rsidRPr="00EA59C0">
        <w:rPr>
          <w:sz w:val="23"/>
          <w:szCs w:val="23"/>
        </w:rPr>
        <w:t>and</w:t>
      </w:r>
      <w:r w:rsidR="00C026A6" w:rsidRPr="00EA59C0">
        <w:rPr>
          <w:sz w:val="23"/>
          <w:szCs w:val="23"/>
        </w:rPr>
        <w:t xml:space="preserve"> </w:t>
      </w:r>
      <w:r w:rsidRPr="00EA59C0">
        <w:rPr>
          <w:sz w:val="23"/>
          <w:szCs w:val="23"/>
        </w:rPr>
        <w:t>National</w:t>
      </w:r>
      <w:r w:rsidR="00C026A6" w:rsidRPr="00EA59C0">
        <w:rPr>
          <w:sz w:val="23"/>
          <w:szCs w:val="23"/>
        </w:rPr>
        <w:t xml:space="preserve"> </w:t>
      </w:r>
      <w:r w:rsidRPr="00EA59C0">
        <w:rPr>
          <w:sz w:val="23"/>
          <w:szCs w:val="23"/>
        </w:rPr>
        <w:t>Institute</w:t>
      </w:r>
      <w:r w:rsidR="00C026A6" w:rsidRPr="00EA59C0">
        <w:rPr>
          <w:sz w:val="23"/>
          <w:szCs w:val="23"/>
        </w:rPr>
        <w:t xml:space="preserve"> </w:t>
      </w:r>
      <w:r w:rsidRPr="00EA59C0">
        <w:rPr>
          <w:sz w:val="23"/>
          <w:szCs w:val="23"/>
        </w:rPr>
        <w:t>of</w:t>
      </w:r>
      <w:r w:rsidR="00C026A6" w:rsidRPr="00EA59C0">
        <w:rPr>
          <w:sz w:val="23"/>
          <w:szCs w:val="23"/>
        </w:rPr>
        <w:t xml:space="preserve"> </w:t>
      </w:r>
      <w:r w:rsidRPr="00EA59C0">
        <w:rPr>
          <w:sz w:val="23"/>
          <w:szCs w:val="23"/>
        </w:rPr>
        <w:t>Standards</w:t>
      </w:r>
      <w:r w:rsidR="00C026A6" w:rsidRPr="00EA59C0">
        <w:rPr>
          <w:sz w:val="23"/>
          <w:szCs w:val="23"/>
        </w:rPr>
        <w:t xml:space="preserve"> </w:t>
      </w:r>
      <w:r w:rsidRPr="00EA59C0">
        <w:rPr>
          <w:sz w:val="23"/>
          <w:szCs w:val="23"/>
        </w:rPr>
        <w:t>and</w:t>
      </w:r>
      <w:r w:rsidR="00C026A6" w:rsidRPr="00EA59C0">
        <w:rPr>
          <w:sz w:val="23"/>
          <w:szCs w:val="23"/>
        </w:rPr>
        <w:t xml:space="preserve"> </w:t>
      </w:r>
      <w:r w:rsidRPr="00EA59C0">
        <w:rPr>
          <w:sz w:val="23"/>
          <w:szCs w:val="23"/>
        </w:rPr>
        <w:t>Technology</w:t>
      </w:r>
      <w:r w:rsidR="00C026A6" w:rsidRPr="00EA59C0">
        <w:rPr>
          <w:sz w:val="23"/>
          <w:szCs w:val="23"/>
        </w:rPr>
        <w:t xml:space="preserve"> </w:t>
      </w:r>
      <w:r w:rsidRPr="00EA59C0">
        <w:rPr>
          <w:sz w:val="23"/>
          <w:szCs w:val="23"/>
        </w:rPr>
        <w:t>(NIST)</w:t>
      </w:r>
      <w:r w:rsidR="00C026A6" w:rsidRPr="00EA59C0">
        <w:rPr>
          <w:sz w:val="23"/>
          <w:szCs w:val="23"/>
        </w:rPr>
        <w:t xml:space="preserve"> </w:t>
      </w:r>
      <w:r w:rsidRPr="00EA59C0">
        <w:rPr>
          <w:sz w:val="23"/>
          <w:szCs w:val="23"/>
        </w:rPr>
        <w:t>validated</w:t>
      </w:r>
      <w:r w:rsidR="00C026A6" w:rsidRPr="00EA59C0">
        <w:rPr>
          <w:sz w:val="23"/>
          <w:szCs w:val="23"/>
        </w:rPr>
        <w:t xml:space="preserve"> </w:t>
      </w:r>
      <w:r w:rsidRPr="00EA59C0">
        <w:rPr>
          <w:rFonts w:ascii="TimesNewRomanPSMT" w:hAnsi="TimesNewRomanPSMT" w:cs="TimesNewRomanPSMT"/>
        </w:rPr>
        <w:t>cryptographic</w:t>
      </w:r>
      <w:r w:rsidR="00C026A6" w:rsidRPr="00EA59C0">
        <w:rPr>
          <w:rFonts w:ascii="TimesNewRomanPSMT" w:hAnsi="TimesNewRomanPSMT" w:cs="TimesNewRomanPSMT"/>
        </w:rPr>
        <w:t xml:space="preserve"> </w:t>
      </w:r>
      <w:r w:rsidRPr="00EA59C0">
        <w:rPr>
          <w:rFonts w:ascii="TimesNewRomanPSMT" w:hAnsi="TimesNewRomanPSMT" w:cs="TimesNewRomanPSMT"/>
        </w:rPr>
        <w:t>module.</w:t>
      </w:r>
      <w:r w:rsidR="00C026A6" w:rsidRPr="00EA59C0">
        <w:rPr>
          <w:rFonts w:ascii="TimesNewRomanPSMT" w:hAnsi="TimesNewRomanPSMT" w:cs="TimesNewRomanPSMT"/>
          <w:sz w:val="16"/>
          <w:szCs w:val="16"/>
          <w:vertAlign w:val="superscript"/>
        </w:rPr>
        <w:t xml:space="preserve"> </w:t>
      </w:r>
      <w:r w:rsidRPr="00EA59C0">
        <w:rPr>
          <w:sz w:val="23"/>
          <w:szCs w:val="23"/>
        </w:rPr>
        <w:t>Grantees</w:t>
      </w:r>
      <w:r w:rsidR="00C026A6" w:rsidRPr="00EA59C0">
        <w:rPr>
          <w:sz w:val="23"/>
          <w:szCs w:val="23"/>
        </w:rPr>
        <w:t xml:space="preserve"> </w:t>
      </w:r>
      <w:r w:rsidRPr="00EA59C0">
        <w:rPr>
          <w:sz w:val="23"/>
          <w:szCs w:val="23"/>
        </w:rPr>
        <w:t>must</w:t>
      </w:r>
      <w:r w:rsidR="00C026A6" w:rsidRPr="00EA59C0">
        <w:rPr>
          <w:sz w:val="23"/>
          <w:szCs w:val="23"/>
        </w:rPr>
        <w:t xml:space="preserve"> </w:t>
      </w:r>
      <w:r w:rsidRPr="00EA59C0">
        <w:rPr>
          <w:sz w:val="23"/>
          <w:szCs w:val="23"/>
        </w:rPr>
        <w:t>not</w:t>
      </w:r>
      <w:r w:rsidR="00C026A6" w:rsidRPr="00EA59C0">
        <w:rPr>
          <w:sz w:val="23"/>
          <w:szCs w:val="23"/>
        </w:rPr>
        <w:t xml:space="preserve"> </w:t>
      </w:r>
      <w:r w:rsidRPr="00EA59C0">
        <w:rPr>
          <w:sz w:val="23"/>
          <w:szCs w:val="23"/>
        </w:rPr>
        <w:t>e-mail</w:t>
      </w:r>
      <w:r w:rsidR="00C026A6" w:rsidRPr="00EA59C0">
        <w:rPr>
          <w:sz w:val="23"/>
          <w:szCs w:val="23"/>
        </w:rPr>
        <w:t xml:space="preserve"> </w:t>
      </w:r>
      <w:r w:rsidRPr="00EA59C0">
        <w:rPr>
          <w:sz w:val="23"/>
          <w:szCs w:val="23"/>
        </w:rPr>
        <w:t>unencrypted</w:t>
      </w:r>
      <w:r w:rsidR="00C026A6" w:rsidRPr="00EA59C0">
        <w:rPr>
          <w:sz w:val="23"/>
          <w:szCs w:val="23"/>
        </w:rPr>
        <w:t xml:space="preserve"> </w:t>
      </w:r>
      <w:r w:rsidRPr="00EA59C0">
        <w:rPr>
          <w:sz w:val="23"/>
          <w:szCs w:val="23"/>
        </w:rPr>
        <w:t>sensitive</w:t>
      </w:r>
      <w:r w:rsidR="00C026A6" w:rsidRPr="00EA59C0">
        <w:rPr>
          <w:sz w:val="23"/>
          <w:szCs w:val="23"/>
        </w:rPr>
        <w:t xml:space="preserve"> </w:t>
      </w:r>
      <w:r w:rsidRPr="00EA59C0">
        <w:rPr>
          <w:sz w:val="23"/>
          <w:szCs w:val="23"/>
        </w:rPr>
        <w:t>PII</w:t>
      </w:r>
      <w:r w:rsidR="00C026A6" w:rsidRPr="00EA59C0">
        <w:rPr>
          <w:sz w:val="23"/>
          <w:szCs w:val="23"/>
        </w:rPr>
        <w:t xml:space="preserve"> </w:t>
      </w:r>
      <w:r w:rsidRPr="00EA59C0">
        <w:rPr>
          <w:sz w:val="23"/>
          <w:szCs w:val="23"/>
        </w:rPr>
        <w:t>to</w:t>
      </w:r>
      <w:r w:rsidR="00C026A6" w:rsidRPr="00EA59C0">
        <w:rPr>
          <w:sz w:val="23"/>
          <w:szCs w:val="23"/>
        </w:rPr>
        <w:t xml:space="preserve"> </w:t>
      </w:r>
      <w:r w:rsidRPr="00EA59C0">
        <w:rPr>
          <w:sz w:val="23"/>
          <w:szCs w:val="23"/>
        </w:rPr>
        <w:t>any</w:t>
      </w:r>
      <w:r w:rsidR="00C026A6" w:rsidRPr="00EA59C0">
        <w:rPr>
          <w:sz w:val="23"/>
          <w:szCs w:val="23"/>
        </w:rPr>
        <w:t xml:space="preserve"> </w:t>
      </w:r>
      <w:r w:rsidRPr="00EA59C0">
        <w:rPr>
          <w:sz w:val="23"/>
          <w:szCs w:val="23"/>
        </w:rPr>
        <w:t>entity,</w:t>
      </w:r>
      <w:r w:rsidR="00C026A6" w:rsidRPr="00EA59C0">
        <w:rPr>
          <w:sz w:val="23"/>
          <w:szCs w:val="23"/>
        </w:rPr>
        <w:t xml:space="preserve"> </w:t>
      </w:r>
      <w:r w:rsidRPr="00EA59C0">
        <w:rPr>
          <w:sz w:val="23"/>
          <w:szCs w:val="23"/>
        </w:rPr>
        <w:t>including</w:t>
      </w:r>
      <w:r w:rsidR="00C026A6" w:rsidRPr="00EA59C0">
        <w:rPr>
          <w:sz w:val="23"/>
          <w:szCs w:val="23"/>
        </w:rPr>
        <w:t xml:space="preserve"> </w:t>
      </w:r>
      <w:r w:rsidRPr="00EA59C0">
        <w:rPr>
          <w:sz w:val="23"/>
          <w:szCs w:val="23"/>
        </w:rPr>
        <w:t>ETA</w:t>
      </w:r>
      <w:r w:rsidR="00C026A6" w:rsidRPr="00EA59C0">
        <w:rPr>
          <w:sz w:val="23"/>
          <w:szCs w:val="23"/>
        </w:rPr>
        <w:t xml:space="preserve"> </w:t>
      </w:r>
      <w:r w:rsidRPr="00EA59C0">
        <w:rPr>
          <w:sz w:val="23"/>
          <w:szCs w:val="23"/>
        </w:rPr>
        <w:t>or</w:t>
      </w:r>
      <w:r w:rsidR="00C026A6" w:rsidRPr="00EA59C0">
        <w:rPr>
          <w:sz w:val="23"/>
          <w:szCs w:val="23"/>
        </w:rPr>
        <w:t xml:space="preserve"> </w:t>
      </w:r>
      <w:r w:rsidRPr="00EA59C0">
        <w:rPr>
          <w:sz w:val="23"/>
          <w:szCs w:val="23"/>
        </w:rPr>
        <w:t>contractors.</w:t>
      </w:r>
    </w:p>
    <w:p w:rsidR="00144DF0" w:rsidRPr="00EA59C0" w:rsidRDefault="00D81847" w:rsidP="004C3998">
      <w:pPr>
        <w:pStyle w:val="Default"/>
        <w:numPr>
          <w:ilvl w:val="4"/>
          <w:numId w:val="17"/>
        </w:numPr>
        <w:rPr>
          <w:color w:val="auto"/>
          <w:sz w:val="23"/>
          <w:szCs w:val="23"/>
        </w:rPr>
      </w:pPr>
      <w:r w:rsidRPr="00EA59C0">
        <w:rPr>
          <w:color w:val="auto"/>
          <w:sz w:val="23"/>
          <w:szCs w:val="23"/>
        </w:rPr>
        <w:t>Grantees</w:t>
      </w:r>
      <w:r w:rsidR="00C026A6" w:rsidRPr="00EA59C0">
        <w:rPr>
          <w:color w:val="auto"/>
          <w:sz w:val="23"/>
          <w:szCs w:val="23"/>
        </w:rPr>
        <w:t xml:space="preserve"> </w:t>
      </w:r>
      <w:r w:rsidRPr="00EA59C0">
        <w:rPr>
          <w:color w:val="auto"/>
          <w:sz w:val="23"/>
          <w:szCs w:val="23"/>
        </w:rPr>
        <w:t>must</w:t>
      </w:r>
      <w:r w:rsidR="00C026A6" w:rsidRPr="00EA59C0">
        <w:rPr>
          <w:color w:val="auto"/>
          <w:sz w:val="23"/>
          <w:szCs w:val="23"/>
        </w:rPr>
        <w:t xml:space="preserve"> </w:t>
      </w:r>
      <w:r w:rsidRPr="00EA59C0">
        <w:rPr>
          <w:color w:val="auto"/>
          <w:sz w:val="23"/>
          <w:szCs w:val="23"/>
        </w:rPr>
        <w:t>take</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steps</w:t>
      </w:r>
      <w:r w:rsidR="00C026A6" w:rsidRPr="00EA59C0">
        <w:rPr>
          <w:color w:val="auto"/>
          <w:sz w:val="23"/>
          <w:szCs w:val="23"/>
        </w:rPr>
        <w:t xml:space="preserve"> </w:t>
      </w:r>
      <w:r w:rsidRPr="00EA59C0">
        <w:rPr>
          <w:color w:val="auto"/>
          <w:sz w:val="23"/>
          <w:szCs w:val="23"/>
        </w:rPr>
        <w:t>necessary</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ensure</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privacy</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all</w:t>
      </w:r>
      <w:r w:rsidR="00C026A6" w:rsidRPr="00EA59C0">
        <w:rPr>
          <w:color w:val="auto"/>
          <w:sz w:val="23"/>
          <w:szCs w:val="23"/>
        </w:rPr>
        <w:t xml:space="preserve"> </w:t>
      </w:r>
      <w:r w:rsidRPr="00EA59C0">
        <w:rPr>
          <w:color w:val="auto"/>
          <w:sz w:val="23"/>
          <w:szCs w:val="23"/>
        </w:rPr>
        <w:t>PII</w:t>
      </w:r>
      <w:r w:rsidR="00C026A6" w:rsidRPr="00EA59C0">
        <w:rPr>
          <w:color w:val="auto"/>
          <w:sz w:val="23"/>
          <w:szCs w:val="23"/>
        </w:rPr>
        <w:t xml:space="preserve"> </w:t>
      </w:r>
      <w:r w:rsidRPr="00EA59C0">
        <w:rPr>
          <w:color w:val="auto"/>
          <w:sz w:val="23"/>
          <w:szCs w:val="23"/>
        </w:rPr>
        <w:t>obtained</w:t>
      </w:r>
      <w:r w:rsidR="00C026A6" w:rsidRPr="00EA59C0">
        <w:rPr>
          <w:color w:val="auto"/>
          <w:sz w:val="23"/>
          <w:szCs w:val="23"/>
        </w:rPr>
        <w:t xml:space="preserve"> </w:t>
      </w:r>
      <w:r w:rsidRPr="00EA59C0">
        <w:rPr>
          <w:color w:val="auto"/>
          <w:sz w:val="23"/>
          <w:szCs w:val="23"/>
        </w:rPr>
        <w:t>from</w:t>
      </w:r>
      <w:r w:rsidR="00C026A6" w:rsidRPr="00EA59C0">
        <w:rPr>
          <w:color w:val="auto"/>
          <w:sz w:val="23"/>
          <w:szCs w:val="23"/>
        </w:rPr>
        <w:t xml:space="preserve"> </w:t>
      </w:r>
      <w:r w:rsidRPr="00EA59C0">
        <w:rPr>
          <w:color w:val="auto"/>
          <w:sz w:val="23"/>
          <w:szCs w:val="23"/>
        </w:rPr>
        <w:t>participants</w:t>
      </w:r>
      <w:r w:rsidR="00C026A6" w:rsidRPr="00EA59C0">
        <w:rPr>
          <w:color w:val="auto"/>
          <w:sz w:val="23"/>
          <w:szCs w:val="23"/>
        </w:rPr>
        <w:t xml:space="preserve"> </w:t>
      </w:r>
      <w:r w:rsidRPr="00EA59C0">
        <w:rPr>
          <w:color w:val="auto"/>
          <w:sz w:val="23"/>
          <w:szCs w:val="23"/>
        </w:rPr>
        <w:t>and/or</w:t>
      </w:r>
      <w:r w:rsidR="00C026A6" w:rsidRPr="00EA59C0">
        <w:rPr>
          <w:color w:val="auto"/>
          <w:sz w:val="23"/>
          <w:szCs w:val="23"/>
        </w:rPr>
        <w:t xml:space="preserve"> </w:t>
      </w:r>
      <w:r w:rsidRPr="00EA59C0">
        <w:rPr>
          <w:color w:val="auto"/>
          <w:sz w:val="23"/>
          <w:szCs w:val="23"/>
        </w:rPr>
        <w:t>other</w:t>
      </w:r>
      <w:r w:rsidR="00C026A6" w:rsidRPr="00EA59C0">
        <w:rPr>
          <w:color w:val="auto"/>
          <w:sz w:val="23"/>
          <w:szCs w:val="23"/>
        </w:rPr>
        <w:t xml:space="preserve"> </w:t>
      </w:r>
      <w:r w:rsidRPr="00EA59C0">
        <w:rPr>
          <w:color w:val="auto"/>
          <w:sz w:val="23"/>
          <w:szCs w:val="23"/>
        </w:rPr>
        <w:t>individuals</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protect</w:t>
      </w:r>
      <w:r w:rsidR="00C026A6" w:rsidRPr="00EA59C0">
        <w:rPr>
          <w:color w:val="auto"/>
          <w:sz w:val="23"/>
          <w:szCs w:val="23"/>
        </w:rPr>
        <w:t xml:space="preserve"> </w:t>
      </w:r>
      <w:r w:rsidRPr="00EA59C0">
        <w:rPr>
          <w:color w:val="auto"/>
          <w:sz w:val="23"/>
          <w:szCs w:val="23"/>
        </w:rPr>
        <w:t>such</w:t>
      </w:r>
      <w:r w:rsidR="00C026A6" w:rsidRPr="00EA59C0">
        <w:rPr>
          <w:color w:val="auto"/>
          <w:sz w:val="23"/>
          <w:szCs w:val="23"/>
        </w:rPr>
        <w:t xml:space="preserve"> </w:t>
      </w:r>
      <w:r w:rsidRPr="00EA59C0">
        <w:rPr>
          <w:color w:val="auto"/>
          <w:sz w:val="23"/>
          <w:szCs w:val="23"/>
        </w:rPr>
        <w:t>information</w:t>
      </w:r>
      <w:r w:rsidR="00C026A6" w:rsidRPr="00EA59C0">
        <w:rPr>
          <w:color w:val="auto"/>
          <w:sz w:val="23"/>
          <w:szCs w:val="23"/>
        </w:rPr>
        <w:t xml:space="preserve"> </w:t>
      </w:r>
      <w:r w:rsidRPr="00EA59C0">
        <w:rPr>
          <w:color w:val="auto"/>
          <w:sz w:val="23"/>
          <w:szCs w:val="23"/>
        </w:rPr>
        <w:t>from</w:t>
      </w:r>
      <w:r w:rsidR="00C026A6" w:rsidRPr="00EA59C0">
        <w:rPr>
          <w:color w:val="auto"/>
          <w:sz w:val="23"/>
          <w:szCs w:val="23"/>
        </w:rPr>
        <w:t xml:space="preserve"> </w:t>
      </w:r>
      <w:r w:rsidRPr="00EA59C0">
        <w:rPr>
          <w:color w:val="auto"/>
          <w:sz w:val="23"/>
          <w:szCs w:val="23"/>
        </w:rPr>
        <w:t>unauthorized</w:t>
      </w:r>
      <w:r w:rsidR="00C026A6" w:rsidRPr="00EA59C0">
        <w:rPr>
          <w:color w:val="auto"/>
          <w:sz w:val="23"/>
          <w:szCs w:val="23"/>
        </w:rPr>
        <w:t xml:space="preserve"> </w:t>
      </w:r>
      <w:r w:rsidRPr="00EA59C0">
        <w:rPr>
          <w:color w:val="auto"/>
          <w:sz w:val="23"/>
          <w:szCs w:val="23"/>
        </w:rPr>
        <w:t>disclosure.</w:t>
      </w:r>
      <w:r w:rsidR="00C026A6" w:rsidRPr="00EA59C0">
        <w:rPr>
          <w:color w:val="auto"/>
          <w:sz w:val="23"/>
          <w:szCs w:val="23"/>
        </w:rPr>
        <w:t xml:space="preserve"> </w:t>
      </w:r>
      <w:r w:rsidRPr="00EA59C0">
        <w:rPr>
          <w:color w:val="auto"/>
          <w:sz w:val="23"/>
          <w:szCs w:val="23"/>
        </w:rPr>
        <w:t>Grantees</w:t>
      </w:r>
      <w:r w:rsidR="00C026A6" w:rsidRPr="00EA59C0">
        <w:rPr>
          <w:color w:val="auto"/>
          <w:sz w:val="23"/>
          <w:szCs w:val="23"/>
        </w:rPr>
        <w:t xml:space="preserve"> </w:t>
      </w:r>
      <w:r w:rsidRPr="00EA59C0">
        <w:rPr>
          <w:color w:val="auto"/>
          <w:sz w:val="23"/>
          <w:szCs w:val="23"/>
        </w:rPr>
        <w:t>must</w:t>
      </w:r>
      <w:r w:rsidR="00C026A6" w:rsidRPr="00EA59C0">
        <w:rPr>
          <w:color w:val="auto"/>
          <w:sz w:val="23"/>
          <w:szCs w:val="23"/>
        </w:rPr>
        <w:t xml:space="preserve"> </w:t>
      </w:r>
      <w:r w:rsidRPr="00EA59C0">
        <w:rPr>
          <w:color w:val="auto"/>
          <w:sz w:val="23"/>
          <w:szCs w:val="23"/>
        </w:rPr>
        <w:t>maintain</w:t>
      </w:r>
      <w:r w:rsidR="00C026A6" w:rsidRPr="00EA59C0">
        <w:rPr>
          <w:color w:val="auto"/>
          <w:sz w:val="23"/>
          <w:szCs w:val="23"/>
        </w:rPr>
        <w:t xml:space="preserve"> </w:t>
      </w:r>
      <w:r w:rsidRPr="00EA59C0">
        <w:rPr>
          <w:color w:val="auto"/>
          <w:sz w:val="23"/>
          <w:szCs w:val="23"/>
        </w:rPr>
        <w:t>such</w:t>
      </w:r>
      <w:r w:rsidR="00C026A6" w:rsidRPr="00EA59C0">
        <w:rPr>
          <w:color w:val="auto"/>
          <w:sz w:val="23"/>
          <w:szCs w:val="23"/>
        </w:rPr>
        <w:t xml:space="preserve"> </w:t>
      </w:r>
      <w:r w:rsidRPr="00EA59C0">
        <w:rPr>
          <w:color w:val="auto"/>
          <w:sz w:val="23"/>
          <w:szCs w:val="23"/>
        </w:rPr>
        <w:t>PII</w:t>
      </w:r>
      <w:r w:rsidR="00C026A6" w:rsidRPr="00EA59C0">
        <w:rPr>
          <w:color w:val="auto"/>
          <w:sz w:val="23"/>
          <w:szCs w:val="23"/>
        </w:rPr>
        <w:t xml:space="preserve"> </w:t>
      </w:r>
      <w:r w:rsidRPr="00EA59C0">
        <w:rPr>
          <w:color w:val="auto"/>
          <w:sz w:val="23"/>
          <w:szCs w:val="23"/>
        </w:rPr>
        <w:t>in</w:t>
      </w:r>
      <w:r w:rsidR="00C026A6" w:rsidRPr="00EA59C0">
        <w:rPr>
          <w:color w:val="auto"/>
          <w:sz w:val="23"/>
          <w:szCs w:val="23"/>
        </w:rPr>
        <w:t xml:space="preserve"> </w:t>
      </w:r>
      <w:r w:rsidRPr="00EA59C0">
        <w:rPr>
          <w:color w:val="auto"/>
          <w:sz w:val="23"/>
          <w:szCs w:val="23"/>
        </w:rPr>
        <w:t>accordance</w:t>
      </w:r>
      <w:r w:rsidR="00C026A6" w:rsidRPr="00EA59C0">
        <w:rPr>
          <w:color w:val="auto"/>
          <w:sz w:val="23"/>
          <w:szCs w:val="23"/>
        </w:rPr>
        <w:t xml:space="preserve"> </w:t>
      </w:r>
      <w:r w:rsidRPr="00EA59C0">
        <w:rPr>
          <w:color w:val="auto"/>
          <w:sz w:val="23"/>
          <w:szCs w:val="23"/>
        </w:rPr>
        <w:t>with</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ETA</w:t>
      </w:r>
      <w:r w:rsidR="00C026A6" w:rsidRPr="00EA59C0">
        <w:rPr>
          <w:color w:val="auto"/>
          <w:sz w:val="23"/>
          <w:szCs w:val="23"/>
        </w:rPr>
        <w:t xml:space="preserve"> </w:t>
      </w:r>
      <w:r w:rsidRPr="00EA59C0">
        <w:rPr>
          <w:color w:val="auto"/>
          <w:sz w:val="23"/>
          <w:szCs w:val="23"/>
        </w:rPr>
        <w:t>standards</w:t>
      </w:r>
      <w:r w:rsidR="00C026A6" w:rsidRPr="00EA59C0">
        <w:rPr>
          <w:color w:val="auto"/>
          <w:sz w:val="23"/>
          <w:szCs w:val="23"/>
        </w:rPr>
        <w:t xml:space="preserve"> </w:t>
      </w:r>
      <w:r w:rsidRPr="00EA59C0">
        <w:rPr>
          <w:color w:val="auto"/>
          <w:sz w:val="23"/>
          <w:szCs w:val="23"/>
        </w:rPr>
        <w:t>for</w:t>
      </w:r>
      <w:r w:rsidR="00C026A6" w:rsidRPr="00EA59C0">
        <w:rPr>
          <w:color w:val="auto"/>
          <w:sz w:val="23"/>
          <w:szCs w:val="23"/>
        </w:rPr>
        <w:t xml:space="preserve"> </w:t>
      </w:r>
      <w:r w:rsidRPr="00EA59C0">
        <w:rPr>
          <w:color w:val="auto"/>
          <w:sz w:val="23"/>
          <w:szCs w:val="23"/>
        </w:rPr>
        <w:t>information</w:t>
      </w:r>
      <w:r w:rsidR="00C026A6" w:rsidRPr="00EA59C0">
        <w:rPr>
          <w:color w:val="auto"/>
          <w:sz w:val="23"/>
          <w:szCs w:val="23"/>
        </w:rPr>
        <w:t xml:space="preserve"> </w:t>
      </w:r>
      <w:r w:rsidRPr="00EA59C0">
        <w:rPr>
          <w:color w:val="auto"/>
          <w:sz w:val="23"/>
          <w:szCs w:val="23"/>
        </w:rPr>
        <w:t>security</w:t>
      </w:r>
      <w:r w:rsidR="00C026A6" w:rsidRPr="00EA59C0">
        <w:rPr>
          <w:color w:val="auto"/>
          <w:sz w:val="23"/>
          <w:szCs w:val="23"/>
        </w:rPr>
        <w:t xml:space="preserve"> </w:t>
      </w:r>
      <w:r w:rsidRPr="00EA59C0">
        <w:rPr>
          <w:color w:val="auto"/>
          <w:sz w:val="23"/>
          <w:szCs w:val="23"/>
        </w:rPr>
        <w:t>described</w:t>
      </w:r>
      <w:r w:rsidR="00C026A6" w:rsidRPr="00EA59C0">
        <w:rPr>
          <w:color w:val="auto"/>
          <w:sz w:val="23"/>
          <w:szCs w:val="23"/>
        </w:rPr>
        <w:t xml:space="preserve"> </w:t>
      </w:r>
      <w:r w:rsidRPr="00EA59C0">
        <w:rPr>
          <w:color w:val="auto"/>
          <w:sz w:val="23"/>
          <w:szCs w:val="23"/>
        </w:rPr>
        <w:t>in</w:t>
      </w:r>
      <w:r w:rsidR="00C026A6" w:rsidRPr="00EA59C0">
        <w:rPr>
          <w:color w:val="auto"/>
          <w:sz w:val="23"/>
          <w:szCs w:val="23"/>
        </w:rPr>
        <w:t xml:space="preserve"> </w:t>
      </w:r>
      <w:r w:rsidRPr="00EA59C0">
        <w:rPr>
          <w:color w:val="auto"/>
          <w:sz w:val="23"/>
          <w:szCs w:val="23"/>
        </w:rPr>
        <w:t>this</w:t>
      </w:r>
      <w:r w:rsidR="00C026A6" w:rsidRPr="00EA59C0">
        <w:rPr>
          <w:color w:val="auto"/>
          <w:sz w:val="23"/>
          <w:szCs w:val="23"/>
        </w:rPr>
        <w:t xml:space="preserve"> </w:t>
      </w:r>
      <w:r w:rsidRPr="00EA59C0">
        <w:rPr>
          <w:color w:val="auto"/>
          <w:sz w:val="23"/>
          <w:szCs w:val="23"/>
        </w:rPr>
        <w:t>TEGL</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any</w:t>
      </w:r>
      <w:r w:rsidR="00C026A6" w:rsidRPr="00EA59C0">
        <w:rPr>
          <w:color w:val="auto"/>
          <w:sz w:val="23"/>
          <w:szCs w:val="23"/>
        </w:rPr>
        <w:t xml:space="preserve"> </w:t>
      </w:r>
      <w:r w:rsidRPr="00EA59C0">
        <w:rPr>
          <w:color w:val="auto"/>
          <w:sz w:val="23"/>
          <w:szCs w:val="23"/>
        </w:rPr>
        <w:t>updates</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such</w:t>
      </w:r>
      <w:r w:rsidR="00C026A6" w:rsidRPr="00EA59C0">
        <w:rPr>
          <w:color w:val="auto"/>
          <w:sz w:val="23"/>
          <w:szCs w:val="23"/>
        </w:rPr>
        <w:t xml:space="preserve"> </w:t>
      </w:r>
      <w:r w:rsidRPr="00EA59C0">
        <w:rPr>
          <w:color w:val="auto"/>
          <w:sz w:val="23"/>
          <w:szCs w:val="23"/>
        </w:rPr>
        <w:t>standards</w:t>
      </w:r>
      <w:r w:rsidR="00C026A6" w:rsidRPr="00EA59C0">
        <w:rPr>
          <w:color w:val="auto"/>
          <w:sz w:val="23"/>
          <w:szCs w:val="23"/>
        </w:rPr>
        <w:t xml:space="preserve"> </w:t>
      </w:r>
      <w:r w:rsidRPr="00EA59C0">
        <w:rPr>
          <w:color w:val="auto"/>
          <w:sz w:val="23"/>
          <w:szCs w:val="23"/>
        </w:rPr>
        <w:t>provided</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grantee</w:t>
      </w:r>
      <w:r w:rsidR="00C026A6" w:rsidRPr="00EA59C0">
        <w:rPr>
          <w:color w:val="auto"/>
          <w:sz w:val="23"/>
          <w:szCs w:val="23"/>
        </w:rPr>
        <w:t xml:space="preserve"> </w:t>
      </w:r>
      <w:r w:rsidRPr="00EA59C0">
        <w:rPr>
          <w:color w:val="auto"/>
          <w:sz w:val="23"/>
          <w:szCs w:val="23"/>
        </w:rPr>
        <w:t>by</w:t>
      </w:r>
      <w:r w:rsidR="00C026A6" w:rsidRPr="00EA59C0">
        <w:rPr>
          <w:color w:val="auto"/>
          <w:sz w:val="23"/>
          <w:szCs w:val="23"/>
        </w:rPr>
        <w:t xml:space="preserve"> </w:t>
      </w:r>
      <w:r w:rsidRPr="00EA59C0">
        <w:rPr>
          <w:color w:val="auto"/>
          <w:sz w:val="23"/>
          <w:szCs w:val="23"/>
        </w:rPr>
        <w:t>ETA.</w:t>
      </w:r>
      <w:r w:rsidR="00C026A6" w:rsidRPr="00EA59C0">
        <w:rPr>
          <w:color w:val="auto"/>
          <w:sz w:val="23"/>
          <w:szCs w:val="23"/>
        </w:rPr>
        <w:t xml:space="preserve"> </w:t>
      </w:r>
      <w:r w:rsidRPr="00EA59C0">
        <w:rPr>
          <w:color w:val="auto"/>
          <w:sz w:val="23"/>
          <w:szCs w:val="23"/>
        </w:rPr>
        <w:t>Grantees</w:t>
      </w:r>
      <w:r w:rsidR="00C026A6" w:rsidRPr="00EA59C0">
        <w:rPr>
          <w:color w:val="auto"/>
          <w:sz w:val="23"/>
          <w:szCs w:val="23"/>
        </w:rPr>
        <w:t xml:space="preserve"> </w:t>
      </w:r>
      <w:r w:rsidRPr="00EA59C0">
        <w:rPr>
          <w:color w:val="auto"/>
          <w:sz w:val="23"/>
          <w:szCs w:val="23"/>
        </w:rPr>
        <w:t>who</w:t>
      </w:r>
      <w:r w:rsidR="00C026A6" w:rsidRPr="00EA59C0">
        <w:rPr>
          <w:color w:val="auto"/>
          <w:sz w:val="23"/>
          <w:szCs w:val="23"/>
        </w:rPr>
        <w:t xml:space="preserve"> </w:t>
      </w:r>
      <w:r w:rsidRPr="00EA59C0">
        <w:rPr>
          <w:color w:val="auto"/>
          <w:sz w:val="23"/>
          <w:szCs w:val="23"/>
        </w:rPr>
        <w:t>wish</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obtain</w:t>
      </w:r>
      <w:r w:rsidR="00C026A6" w:rsidRPr="00EA59C0">
        <w:rPr>
          <w:color w:val="auto"/>
          <w:sz w:val="23"/>
          <w:szCs w:val="23"/>
        </w:rPr>
        <w:t xml:space="preserve"> </w:t>
      </w:r>
      <w:r w:rsidRPr="00EA59C0">
        <w:rPr>
          <w:color w:val="auto"/>
          <w:sz w:val="23"/>
          <w:szCs w:val="23"/>
        </w:rPr>
        <w:t>more</w:t>
      </w:r>
      <w:r w:rsidR="00C026A6" w:rsidRPr="00EA59C0">
        <w:rPr>
          <w:color w:val="auto"/>
          <w:sz w:val="23"/>
          <w:szCs w:val="23"/>
        </w:rPr>
        <w:t xml:space="preserve"> </w:t>
      </w:r>
      <w:r w:rsidRPr="00EA59C0">
        <w:rPr>
          <w:color w:val="auto"/>
          <w:sz w:val="23"/>
          <w:szCs w:val="23"/>
        </w:rPr>
        <w:t>information</w:t>
      </w:r>
      <w:r w:rsidR="00C026A6" w:rsidRPr="00EA59C0">
        <w:rPr>
          <w:color w:val="auto"/>
          <w:sz w:val="23"/>
          <w:szCs w:val="23"/>
        </w:rPr>
        <w:t xml:space="preserve"> </w:t>
      </w:r>
      <w:r w:rsidRPr="00EA59C0">
        <w:rPr>
          <w:color w:val="auto"/>
          <w:sz w:val="23"/>
          <w:szCs w:val="23"/>
        </w:rPr>
        <w:t>on</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security</w:t>
      </w:r>
      <w:r w:rsidR="00C026A6" w:rsidRPr="00EA59C0">
        <w:rPr>
          <w:color w:val="auto"/>
          <w:sz w:val="23"/>
          <w:szCs w:val="23"/>
        </w:rPr>
        <w:t xml:space="preserve"> </w:t>
      </w:r>
      <w:r w:rsidRPr="00EA59C0">
        <w:rPr>
          <w:color w:val="auto"/>
          <w:sz w:val="23"/>
          <w:szCs w:val="23"/>
        </w:rPr>
        <w:t>should</w:t>
      </w:r>
      <w:r w:rsidR="00C026A6" w:rsidRPr="00EA59C0">
        <w:rPr>
          <w:color w:val="auto"/>
          <w:sz w:val="23"/>
          <w:szCs w:val="23"/>
        </w:rPr>
        <w:t xml:space="preserve"> </w:t>
      </w:r>
      <w:r w:rsidRPr="00EA59C0">
        <w:rPr>
          <w:color w:val="auto"/>
          <w:sz w:val="23"/>
          <w:szCs w:val="23"/>
        </w:rPr>
        <w:t>contact</w:t>
      </w:r>
      <w:r w:rsidR="00C026A6" w:rsidRPr="00EA59C0">
        <w:rPr>
          <w:color w:val="auto"/>
          <w:sz w:val="23"/>
          <w:szCs w:val="23"/>
        </w:rPr>
        <w:t xml:space="preserve"> </w:t>
      </w:r>
      <w:r w:rsidRPr="00EA59C0">
        <w:rPr>
          <w:color w:val="auto"/>
          <w:sz w:val="23"/>
          <w:szCs w:val="23"/>
        </w:rPr>
        <w:t>their</w:t>
      </w:r>
      <w:r w:rsidR="00C026A6" w:rsidRPr="00EA59C0">
        <w:rPr>
          <w:color w:val="auto"/>
          <w:sz w:val="23"/>
          <w:szCs w:val="23"/>
        </w:rPr>
        <w:t xml:space="preserve"> </w:t>
      </w:r>
      <w:r w:rsidRPr="00EA59C0">
        <w:rPr>
          <w:color w:val="auto"/>
          <w:sz w:val="23"/>
          <w:szCs w:val="23"/>
        </w:rPr>
        <w:t>Federal</w:t>
      </w:r>
      <w:r w:rsidR="00C026A6" w:rsidRPr="00EA59C0">
        <w:rPr>
          <w:color w:val="auto"/>
          <w:sz w:val="23"/>
          <w:szCs w:val="23"/>
        </w:rPr>
        <w:t xml:space="preserve"> </w:t>
      </w:r>
      <w:r w:rsidRPr="00EA59C0">
        <w:rPr>
          <w:color w:val="auto"/>
          <w:sz w:val="23"/>
          <w:szCs w:val="23"/>
        </w:rPr>
        <w:t>Project</w:t>
      </w:r>
      <w:r w:rsidR="00C026A6" w:rsidRPr="00EA59C0">
        <w:rPr>
          <w:color w:val="auto"/>
          <w:sz w:val="23"/>
          <w:szCs w:val="23"/>
        </w:rPr>
        <w:t xml:space="preserve"> </w:t>
      </w:r>
      <w:r w:rsidRPr="00EA59C0">
        <w:rPr>
          <w:color w:val="auto"/>
          <w:sz w:val="23"/>
          <w:szCs w:val="23"/>
        </w:rPr>
        <w:t>Officer.</w:t>
      </w:r>
      <w:r w:rsidR="00C026A6" w:rsidRPr="00EA59C0">
        <w:rPr>
          <w:color w:val="auto"/>
          <w:sz w:val="23"/>
          <w:szCs w:val="23"/>
        </w:rPr>
        <w:t xml:space="preserve"> </w:t>
      </w:r>
    </w:p>
    <w:p w:rsidR="00144DF0" w:rsidRPr="00EA59C0" w:rsidRDefault="00D81847" w:rsidP="004C3998">
      <w:pPr>
        <w:pStyle w:val="Default"/>
        <w:numPr>
          <w:ilvl w:val="4"/>
          <w:numId w:val="17"/>
        </w:numPr>
        <w:rPr>
          <w:color w:val="auto"/>
          <w:sz w:val="23"/>
          <w:szCs w:val="23"/>
        </w:rPr>
      </w:pPr>
      <w:r w:rsidRPr="00EA59C0">
        <w:rPr>
          <w:color w:val="auto"/>
          <w:sz w:val="23"/>
          <w:szCs w:val="23"/>
        </w:rPr>
        <w:t>Grantees</w:t>
      </w:r>
      <w:r w:rsidR="00C026A6" w:rsidRPr="00EA59C0">
        <w:rPr>
          <w:color w:val="auto"/>
          <w:sz w:val="23"/>
          <w:szCs w:val="23"/>
        </w:rPr>
        <w:t xml:space="preserve"> </w:t>
      </w:r>
      <w:r w:rsidRPr="00EA59C0">
        <w:rPr>
          <w:color w:val="auto"/>
          <w:sz w:val="23"/>
          <w:szCs w:val="23"/>
        </w:rPr>
        <w:t>shall</w:t>
      </w:r>
      <w:r w:rsidR="00C026A6" w:rsidRPr="00EA59C0">
        <w:rPr>
          <w:color w:val="auto"/>
          <w:sz w:val="23"/>
          <w:szCs w:val="23"/>
        </w:rPr>
        <w:t xml:space="preserve"> </w:t>
      </w:r>
      <w:r w:rsidRPr="00EA59C0">
        <w:rPr>
          <w:color w:val="auto"/>
          <w:sz w:val="23"/>
          <w:szCs w:val="23"/>
        </w:rPr>
        <w:t>ensure</w:t>
      </w:r>
      <w:r w:rsidR="00C026A6" w:rsidRPr="00EA59C0">
        <w:rPr>
          <w:color w:val="auto"/>
          <w:sz w:val="23"/>
          <w:szCs w:val="23"/>
        </w:rPr>
        <w:t xml:space="preserve"> </w:t>
      </w:r>
      <w:r w:rsidRPr="00EA59C0">
        <w:rPr>
          <w:color w:val="auto"/>
          <w:sz w:val="23"/>
          <w:szCs w:val="23"/>
        </w:rPr>
        <w:t>that</w:t>
      </w:r>
      <w:r w:rsidR="00C026A6" w:rsidRPr="00EA59C0">
        <w:rPr>
          <w:color w:val="auto"/>
          <w:sz w:val="23"/>
          <w:szCs w:val="23"/>
        </w:rPr>
        <w:t xml:space="preserve"> </w:t>
      </w:r>
      <w:r w:rsidRPr="00EA59C0">
        <w:rPr>
          <w:color w:val="auto"/>
          <w:sz w:val="23"/>
          <w:szCs w:val="23"/>
        </w:rPr>
        <w:t>any</w:t>
      </w:r>
      <w:r w:rsidR="00C026A6" w:rsidRPr="00EA59C0">
        <w:rPr>
          <w:color w:val="auto"/>
          <w:sz w:val="23"/>
          <w:szCs w:val="23"/>
        </w:rPr>
        <w:t xml:space="preserve"> </w:t>
      </w:r>
      <w:r w:rsidRPr="00EA59C0">
        <w:rPr>
          <w:color w:val="auto"/>
          <w:sz w:val="23"/>
          <w:szCs w:val="23"/>
        </w:rPr>
        <w:t>PII</w:t>
      </w:r>
      <w:r w:rsidR="00C026A6" w:rsidRPr="00EA59C0">
        <w:rPr>
          <w:color w:val="auto"/>
          <w:sz w:val="23"/>
          <w:szCs w:val="23"/>
        </w:rPr>
        <w:t xml:space="preserve"> </w:t>
      </w:r>
      <w:r w:rsidRPr="00EA59C0">
        <w:rPr>
          <w:color w:val="auto"/>
          <w:sz w:val="23"/>
          <w:szCs w:val="23"/>
        </w:rPr>
        <w:t>used</w:t>
      </w:r>
      <w:r w:rsidR="00C026A6" w:rsidRPr="00EA59C0">
        <w:rPr>
          <w:color w:val="auto"/>
          <w:sz w:val="23"/>
          <w:szCs w:val="23"/>
        </w:rPr>
        <w:t xml:space="preserve"> </w:t>
      </w:r>
      <w:r w:rsidRPr="00EA59C0">
        <w:rPr>
          <w:color w:val="auto"/>
          <w:sz w:val="23"/>
          <w:szCs w:val="23"/>
        </w:rPr>
        <w:t>during</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performance</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their</w:t>
      </w:r>
      <w:r w:rsidR="00C026A6" w:rsidRPr="00EA59C0">
        <w:rPr>
          <w:color w:val="auto"/>
          <w:sz w:val="23"/>
          <w:szCs w:val="23"/>
        </w:rPr>
        <w:t xml:space="preserve"> </w:t>
      </w:r>
      <w:r w:rsidRPr="00EA59C0">
        <w:rPr>
          <w:color w:val="auto"/>
          <w:sz w:val="23"/>
          <w:szCs w:val="23"/>
        </w:rPr>
        <w:t>grant</w:t>
      </w:r>
      <w:r w:rsidR="00C026A6" w:rsidRPr="00EA59C0">
        <w:rPr>
          <w:color w:val="auto"/>
          <w:sz w:val="23"/>
          <w:szCs w:val="23"/>
        </w:rPr>
        <w:t xml:space="preserve"> </w:t>
      </w:r>
      <w:r w:rsidRPr="00EA59C0">
        <w:rPr>
          <w:color w:val="auto"/>
          <w:sz w:val="23"/>
          <w:szCs w:val="23"/>
        </w:rPr>
        <w:t>has</w:t>
      </w:r>
      <w:r w:rsidR="00C026A6" w:rsidRPr="00EA59C0">
        <w:rPr>
          <w:color w:val="auto"/>
          <w:sz w:val="23"/>
          <w:szCs w:val="23"/>
        </w:rPr>
        <w:t xml:space="preserve"> </w:t>
      </w:r>
      <w:r w:rsidRPr="00EA59C0">
        <w:rPr>
          <w:color w:val="auto"/>
          <w:sz w:val="23"/>
          <w:szCs w:val="23"/>
        </w:rPr>
        <w:t>been</w:t>
      </w:r>
      <w:r w:rsidR="00C026A6" w:rsidRPr="00EA59C0">
        <w:rPr>
          <w:color w:val="auto"/>
          <w:sz w:val="23"/>
          <w:szCs w:val="23"/>
        </w:rPr>
        <w:t xml:space="preserve"> </w:t>
      </w:r>
      <w:r w:rsidRPr="00EA59C0">
        <w:rPr>
          <w:color w:val="auto"/>
          <w:sz w:val="23"/>
          <w:szCs w:val="23"/>
        </w:rPr>
        <w:t>obtained</w:t>
      </w:r>
      <w:r w:rsidR="00C026A6" w:rsidRPr="00EA59C0">
        <w:rPr>
          <w:color w:val="auto"/>
          <w:sz w:val="23"/>
          <w:szCs w:val="23"/>
        </w:rPr>
        <w:t xml:space="preserve"> </w:t>
      </w:r>
      <w:r w:rsidRPr="00EA59C0">
        <w:rPr>
          <w:color w:val="auto"/>
          <w:sz w:val="23"/>
          <w:szCs w:val="23"/>
        </w:rPr>
        <w:t>in</w:t>
      </w:r>
      <w:r w:rsidR="00C026A6" w:rsidRPr="00EA59C0">
        <w:rPr>
          <w:color w:val="auto"/>
          <w:sz w:val="23"/>
          <w:szCs w:val="23"/>
        </w:rPr>
        <w:t xml:space="preserve"> </w:t>
      </w:r>
      <w:r w:rsidRPr="00EA59C0">
        <w:rPr>
          <w:color w:val="auto"/>
          <w:sz w:val="23"/>
          <w:szCs w:val="23"/>
        </w:rPr>
        <w:t>conformity</w:t>
      </w:r>
      <w:r w:rsidR="00C026A6" w:rsidRPr="00EA59C0">
        <w:rPr>
          <w:color w:val="auto"/>
          <w:sz w:val="23"/>
          <w:szCs w:val="23"/>
        </w:rPr>
        <w:t xml:space="preserve"> </w:t>
      </w:r>
      <w:r w:rsidRPr="00EA59C0">
        <w:rPr>
          <w:color w:val="auto"/>
          <w:sz w:val="23"/>
          <w:szCs w:val="23"/>
        </w:rPr>
        <w:t>with</w:t>
      </w:r>
      <w:r w:rsidR="00C026A6" w:rsidRPr="00EA59C0">
        <w:rPr>
          <w:color w:val="auto"/>
          <w:sz w:val="23"/>
          <w:szCs w:val="23"/>
        </w:rPr>
        <w:t xml:space="preserve"> </w:t>
      </w:r>
      <w:r w:rsidRPr="00EA59C0">
        <w:rPr>
          <w:color w:val="auto"/>
          <w:sz w:val="23"/>
          <w:szCs w:val="23"/>
        </w:rPr>
        <w:t>applicable</w:t>
      </w:r>
      <w:r w:rsidR="00C026A6" w:rsidRPr="00EA59C0">
        <w:rPr>
          <w:color w:val="auto"/>
          <w:sz w:val="23"/>
          <w:szCs w:val="23"/>
        </w:rPr>
        <w:t xml:space="preserve"> </w:t>
      </w:r>
      <w:r w:rsidRPr="00EA59C0">
        <w:rPr>
          <w:color w:val="auto"/>
          <w:sz w:val="23"/>
          <w:szCs w:val="23"/>
        </w:rPr>
        <w:t>Federal</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state</w:t>
      </w:r>
      <w:r w:rsidR="00C026A6" w:rsidRPr="00EA59C0">
        <w:rPr>
          <w:color w:val="auto"/>
          <w:sz w:val="23"/>
          <w:szCs w:val="23"/>
        </w:rPr>
        <w:t xml:space="preserve"> </w:t>
      </w:r>
      <w:r w:rsidRPr="00EA59C0">
        <w:rPr>
          <w:color w:val="auto"/>
          <w:sz w:val="23"/>
          <w:szCs w:val="23"/>
        </w:rPr>
        <w:t>laws</w:t>
      </w:r>
      <w:r w:rsidR="00C026A6" w:rsidRPr="00EA59C0">
        <w:rPr>
          <w:color w:val="auto"/>
          <w:sz w:val="23"/>
          <w:szCs w:val="23"/>
        </w:rPr>
        <w:t xml:space="preserve"> </w:t>
      </w:r>
      <w:r w:rsidRPr="00EA59C0">
        <w:rPr>
          <w:color w:val="auto"/>
          <w:sz w:val="23"/>
          <w:szCs w:val="23"/>
        </w:rPr>
        <w:t>governing</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confidentiality</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information.</w:t>
      </w:r>
      <w:r w:rsidR="00C026A6" w:rsidRPr="00EA59C0">
        <w:rPr>
          <w:color w:val="auto"/>
          <w:sz w:val="23"/>
          <w:szCs w:val="23"/>
        </w:rPr>
        <w:t xml:space="preserve"> </w:t>
      </w:r>
    </w:p>
    <w:p w:rsidR="00144DF0" w:rsidRPr="00EA59C0" w:rsidRDefault="00D81847" w:rsidP="004C3998">
      <w:pPr>
        <w:pStyle w:val="Default"/>
        <w:numPr>
          <w:ilvl w:val="4"/>
          <w:numId w:val="17"/>
        </w:numPr>
        <w:rPr>
          <w:color w:val="auto"/>
          <w:sz w:val="23"/>
          <w:szCs w:val="23"/>
        </w:rPr>
      </w:pPr>
      <w:r w:rsidRPr="00EA59C0">
        <w:rPr>
          <w:color w:val="auto"/>
          <w:sz w:val="23"/>
          <w:szCs w:val="23"/>
        </w:rPr>
        <w:t>Grantees</w:t>
      </w:r>
      <w:r w:rsidR="00C026A6" w:rsidRPr="00EA59C0">
        <w:rPr>
          <w:color w:val="auto"/>
          <w:sz w:val="23"/>
          <w:szCs w:val="23"/>
        </w:rPr>
        <w:t xml:space="preserve"> </w:t>
      </w:r>
      <w:r w:rsidRPr="00EA59C0">
        <w:rPr>
          <w:color w:val="auto"/>
          <w:sz w:val="23"/>
          <w:szCs w:val="23"/>
        </w:rPr>
        <w:t>further</w:t>
      </w:r>
      <w:r w:rsidR="00C026A6" w:rsidRPr="00EA59C0">
        <w:rPr>
          <w:color w:val="auto"/>
          <w:sz w:val="23"/>
          <w:szCs w:val="23"/>
        </w:rPr>
        <w:t xml:space="preserve"> </w:t>
      </w:r>
      <w:r w:rsidRPr="00EA59C0">
        <w:rPr>
          <w:color w:val="auto"/>
          <w:sz w:val="23"/>
          <w:szCs w:val="23"/>
        </w:rPr>
        <w:t>acknowledge</w:t>
      </w:r>
      <w:r w:rsidR="00C026A6" w:rsidRPr="00EA59C0">
        <w:rPr>
          <w:color w:val="auto"/>
          <w:sz w:val="23"/>
          <w:szCs w:val="23"/>
        </w:rPr>
        <w:t xml:space="preserve"> </w:t>
      </w:r>
      <w:r w:rsidRPr="00EA59C0">
        <w:rPr>
          <w:color w:val="auto"/>
          <w:sz w:val="23"/>
          <w:szCs w:val="23"/>
        </w:rPr>
        <w:t>that</w:t>
      </w:r>
      <w:r w:rsidR="00C026A6" w:rsidRPr="00EA59C0">
        <w:rPr>
          <w:color w:val="auto"/>
          <w:sz w:val="23"/>
          <w:szCs w:val="23"/>
        </w:rPr>
        <w:t xml:space="preserve"> </w:t>
      </w:r>
      <w:r w:rsidRPr="00EA59C0">
        <w:rPr>
          <w:color w:val="auto"/>
          <w:sz w:val="23"/>
          <w:szCs w:val="23"/>
        </w:rPr>
        <w:t>all</w:t>
      </w:r>
      <w:r w:rsidR="00C026A6" w:rsidRPr="00EA59C0">
        <w:rPr>
          <w:color w:val="auto"/>
          <w:sz w:val="23"/>
          <w:szCs w:val="23"/>
        </w:rPr>
        <w:t xml:space="preserve"> </w:t>
      </w:r>
      <w:r w:rsidRPr="00EA59C0">
        <w:rPr>
          <w:color w:val="auto"/>
          <w:sz w:val="23"/>
          <w:szCs w:val="23"/>
        </w:rPr>
        <w:t>PII</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obtained</w:t>
      </w:r>
      <w:r w:rsidR="00C026A6" w:rsidRPr="00EA59C0">
        <w:rPr>
          <w:color w:val="auto"/>
          <w:sz w:val="23"/>
          <w:szCs w:val="23"/>
        </w:rPr>
        <w:t xml:space="preserve"> </w:t>
      </w:r>
      <w:r w:rsidRPr="00EA59C0">
        <w:rPr>
          <w:color w:val="auto"/>
          <w:sz w:val="23"/>
          <w:szCs w:val="23"/>
        </w:rPr>
        <w:t>through</w:t>
      </w:r>
      <w:r w:rsidR="00C026A6" w:rsidRPr="00EA59C0">
        <w:rPr>
          <w:color w:val="auto"/>
          <w:sz w:val="23"/>
          <w:szCs w:val="23"/>
        </w:rPr>
        <w:t xml:space="preserve"> </w:t>
      </w:r>
      <w:r w:rsidRPr="00EA59C0">
        <w:rPr>
          <w:color w:val="auto"/>
          <w:sz w:val="23"/>
          <w:szCs w:val="23"/>
        </w:rPr>
        <w:t>their</w:t>
      </w:r>
      <w:r w:rsidR="00C026A6" w:rsidRPr="00EA59C0">
        <w:rPr>
          <w:color w:val="auto"/>
          <w:sz w:val="23"/>
          <w:szCs w:val="23"/>
        </w:rPr>
        <w:t xml:space="preserve"> </w:t>
      </w:r>
      <w:r w:rsidRPr="00EA59C0">
        <w:rPr>
          <w:color w:val="auto"/>
          <w:sz w:val="23"/>
          <w:szCs w:val="23"/>
        </w:rPr>
        <w:t>ETA</w:t>
      </w:r>
      <w:r w:rsidR="00C026A6" w:rsidRPr="00EA59C0">
        <w:rPr>
          <w:color w:val="auto"/>
          <w:sz w:val="23"/>
          <w:szCs w:val="23"/>
        </w:rPr>
        <w:t xml:space="preserve"> </w:t>
      </w:r>
      <w:r w:rsidRPr="00EA59C0">
        <w:rPr>
          <w:color w:val="auto"/>
          <w:sz w:val="23"/>
          <w:szCs w:val="23"/>
        </w:rPr>
        <w:t>grant</w:t>
      </w:r>
      <w:r w:rsidR="00C026A6" w:rsidRPr="00EA59C0">
        <w:rPr>
          <w:color w:val="auto"/>
          <w:sz w:val="23"/>
          <w:szCs w:val="23"/>
        </w:rPr>
        <w:t xml:space="preserve"> </w:t>
      </w:r>
      <w:r w:rsidRPr="00EA59C0">
        <w:rPr>
          <w:color w:val="auto"/>
          <w:sz w:val="23"/>
          <w:szCs w:val="23"/>
        </w:rPr>
        <w:t>shall</w:t>
      </w:r>
      <w:r w:rsidR="00C026A6" w:rsidRPr="00EA59C0">
        <w:rPr>
          <w:color w:val="auto"/>
          <w:sz w:val="23"/>
          <w:szCs w:val="23"/>
        </w:rPr>
        <w:t xml:space="preserve"> </w:t>
      </w:r>
      <w:r w:rsidRPr="00EA59C0">
        <w:rPr>
          <w:color w:val="auto"/>
          <w:sz w:val="23"/>
          <w:szCs w:val="23"/>
        </w:rPr>
        <w:t>be</w:t>
      </w:r>
      <w:r w:rsidR="00C026A6" w:rsidRPr="00EA59C0">
        <w:rPr>
          <w:color w:val="auto"/>
          <w:sz w:val="23"/>
          <w:szCs w:val="23"/>
        </w:rPr>
        <w:t xml:space="preserve"> </w:t>
      </w:r>
      <w:r w:rsidRPr="00EA59C0">
        <w:rPr>
          <w:color w:val="auto"/>
          <w:sz w:val="23"/>
          <w:szCs w:val="23"/>
        </w:rPr>
        <w:t>stored</w:t>
      </w:r>
      <w:r w:rsidR="00C026A6" w:rsidRPr="00EA59C0">
        <w:rPr>
          <w:color w:val="auto"/>
          <w:sz w:val="23"/>
          <w:szCs w:val="23"/>
        </w:rPr>
        <w:t xml:space="preserve"> </w:t>
      </w:r>
      <w:r w:rsidRPr="00EA59C0">
        <w:rPr>
          <w:color w:val="auto"/>
          <w:sz w:val="23"/>
          <w:szCs w:val="23"/>
        </w:rPr>
        <w:t>in</w:t>
      </w:r>
      <w:r w:rsidR="00C026A6" w:rsidRPr="00EA59C0">
        <w:rPr>
          <w:color w:val="auto"/>
          <w:sz w:val="23"/>
          <w:szCs w:val="23"/>
        </w:rPr>
        <w:t xml:space="preserve"> </w:t>
      </w:r>
      <w:r w:rsidRPr="00EA59C0">
        <w:rPr>
          <w:color w:val="auto"/>
          <w:sz w:val="23"/>
          <w:szCs w:val="23"/>
        </w:rPr>
        <w:t>an</w:t>
      </w:r>
      <w:r w:rsidR="00C026A6" w:rsidRPr="00EA59C0">
        <w:rPr>
          <w:color w:val="auto"/>
          <w:sz w:val="23"/>
          <w:szCs w:val="23"/>
        </w:rPr>
        <w:t xml:space="preserve"> </w:t>
      </w:r>
      <w:r w:rsidRPr="00EA59C0">
        <w:rPr>
          <w:color w:val="auto"/>
          <w:sz w:val="23"/>
          <w:szCs w:val="23"/>
        </w:rPr>
        <w:t>area</w:t>
      </w:r>
      <w:r w:rsidR="00C026A6" w:rsidRPr="00EA59C0">
        <w:rPr>
          <w:color w:val="auto"/>
          <w:sz w:val="23"/>
          <w:szCs w:val="23"/>
        </w:rPr>
        <w:t xml:space="preserve"> </w:t>
      </w:r>
      <w:r w:rsidRPr="00EA59C0">
        <w:rPr>
          <w:color w:val="auto"/>
          <w:sz w:val="23"/>
          <w:szCs w:val="23"/>
        </w:rPr>
        <w:t>that</w:t>
      </w:r>
      <w:r w:rsidR="00C026A6" w:rsidRPr="00EA59C0">
        <w:rPr>
          <w:color w:val="auto"/>
          <w:sz w:val="23"/>
          <w:szCs w:val="23"/>
        </w:rPr>
        <w:t xml:space="preserve"> </w:t>
      </w:r>
      <w:r w:rsidRPr="00EA59C0">
        <w:rPr>
          <w:color w:val="auto"/>
          <w:sz w:val="23"/>
          <w:szCs w:val="23"/>
        </w:rPr>
        <w:t>is</w:t>
      </w:r>
      <w:r w:rsidR="00C026A6" w:rsidRPr="00EA59C0">
        <w:rPr>
          <w:color w:val="auto"/>
          <w:sz w:val="23"/>
          <w:szCs w:val="23"/>
        </w:rPr>
        <w:t xml:space="preserve"> </w:t>
      </w:r>
      <w:r w:rsidRPr="00EA59C0">
        <w:rPr>
          <w:color w:val="auto"/>
          <w:sz w:val="23"/>
          <w:szCs w:val="23"/>
        </w:rPr>
        <w:t>physically</w:t>
      </w:r>
      <w:r w:rsidR="00C026A6" w:rsidRPr="00EA59C0">
        <w:rPr>
          <w:color w:val="auto"/>
          <w:sz w:val="23"/>
          <w:szCs w:val="23"/>
        </w:rPr>
        <w:t xml:space="preserve"> </w:t>
      </w:r>
      <w:r w:rsidRPr="00EA59C0">
        <w:rPr>
          <w:color w:val="auto"/>
          <w:sz w:val="23"/>
          <w:szCs w:val="23"/>
        </w:rPr>
        <w:t>safe</w:t>
      </w:r>
      <w:r w:rsidR="00C026A6" w:rsidRPr="00EA59C0">
        <w:rPr>
          <w:color w:val="auto"/>
          <w:sz w:val="23"/>
          <w:szCs w:val="23"/>
        </w:rPr>
        <w:t xml:space="preserve"> </w:t>
      </w:r>
      <w:r w:rsidRPr="00EA59C0">
        <w:rPr>
          <w:color w:val="auto"/>
          <w:sz w:val="23"/>
          <w:szCs w:val="23"/>
        </w:rPr>
        <w:t>from</w:t>
      </w:r>
      <w:r w:rsidR="00C026A6" w:rsidRPr="00EA59C0">
        <w:rPr>
          <w:color w:val="auto"/>
          <w:sz w:val="23"/>
          <w:szCs w:val="23"/>
        </w:rPr>
        <w:t xml:space="preserve"> </w:t>
      </w:r>
      <w:r w:rsidRPr="00EA59C0">
        <w:rPr>
          <w:color w:val="auto"/>
          <w:sz w:val="23"/>
          <w:szCs w:val="23"/>
        </w:rPr>
        <w:t>access</w:t>
      </w:r>
      <w:r w:rsidR="00C026A6" w:rsidRPr="00EA59C0">
        <w:rPr>
          <w:color w:val="auto"/>
          <w:sz w:val="23"/>
          <w:szCs w:val="23"/>
        </w:rPr>
        <w:t xml:space="preserve"> </w:t>
      </w:r>
      <w:r w:rsidRPr="00EA59C0">
        <w:rPr>
          <w:color w:val="auto"/>
          <w:sz w:val="23"/>
          <w:szCs w:val="23"/>
        </w:rPr>
        <w:t>by</w:t>
      </w:r>
      <w:r w:rsidR="00C026A6" w:rsidRPr="00EA59C0">
        <w:rPr>
          <w:color w:val="auto"/>
          <w:sz w:val="23"/>
          <w:szCs w:val="23"/>
        </w:rPr>
        <w:t xml:space="preserve"> </w:t>
      </w:r>
      <w:r w:rsidRPr="00EA59C0">
        <w:rPr>
          <w:color w:val="auto"/>
          <w:sz w:val="23"/>
          <w:szCs w:val="23"/>
        </w:rPr>
        <w:t>unauthorized</w:t>
      </w:r>
      <w:r w:rsidR="00C026A6" w:rsidRPr="00EA59C0">
        <w:rPr>
          <w:color w:val="auto"/>
          <w:sz w:val="23"/>
          <w:szCs w:val="23"/>
        </w:rPr>
        <w:t xml:space="preserve"> </w:t>
      </w:r>
      <w:r w:rsidRPr="00EA59C0">
        <w:rPr>
          <w:color w:val="auto"/>
          <w:sz w:val="23"/>
          <w:szCs w:val="23"/>
        </w:rPr>
        <w:t>persons</w:t>
      </w:r>
      <w:r w:rsidR="00C026A6" w:rsidRPr="00EA59C0">
        <w:rPr>
          <w:color w:val="auto"/>
          <w:sz w:val="23"/>
          <w:szCs w:val="23"/>
        </w:rPr>
        <w:t xml:space="preserve"> </w:t>
      </w:r>
      <w:r w:rsidRPr="00EA59C0">
        <w:rPr>
          <w:color w:val="auto"/>
          <w:sz w:val="23"/>
          <w:szCs w:val="23"/>
        </w:rPr>
        <w:t>at</w:t>
      </w:r>
      <w:r w:rsidR="00C026A6" w:rsidRPr="00EA59C0">
        <w:rPr>
          <w:color w:val="auto"/>
          <w:sz w:val="23"/>
          <w:szCs w:val="23"/>
        </w:rPr>
        <w:t xml:space="preserve"> </w:t>
      </w:r>
      <w:r w:rsidRPr="00EA59C0">
        <w:rPr>
          <w:color w:val="auto"/>
          <w:sz w:val="23"/>
          <w:szCs w:val="23"/>
        </w:rPr>
        <w:t>all</w:t>
      </w:r>
      <w:r w:rsidR="00C026A6" w:rsidRPr="00EA59C0">
        <w:rPr>
          <w:color w:val="auto"/>
          <w:sz w:val="23"/>
          <w:szCs w:val="23"/>
        </w:rPr>
        <w:t xml:space="preserve"> </w:t>
      </w:r>
      <w:r w:rsidRPr="00EA59C0">
        <w:rPr>
          <w:color w:val="auto"/>
          <w:sz w:val="23"/>
          <w:szCs w:val="23"/>
        </w:rPr>
        <w:t>times</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will</w:t>
      </w:r>
      <w:r w:rsidR="00C026A6" w:rsidRPr="00EA59C0">
        <w:rPr>
          <w:color w:val="auto"/>
          <w:sz w:val="23"/>
          <w:szCs w:val="23"/>
        </w:rPr>
        <w:t xml:space="preserve"> </w:t>
      </w:r>
      <w:r w:rsidRPr="00EA59C0">
        <w:rPr>
          <w:color w:val="auto"/>
          <w:sz w:val="23"/>
          <w:szCs w:val="23"/>
        </w:rPr>
        <w:t>be</w:t>
      </w:r>
      <w:r w:rsidR="00C026A6" w:rsidRPr="00EA59C0">
        <w:rPr>
          <w:color w:val="auto"/>
          <w:sz w:val="23"/>
          <w:szCs w:val="23"/>
        </w:rPr>
        <w:t xml:space="preserve"> </w:t>
      </w:r>
      <w:r w:rsidRPr="00EA59C0">
        <w:rPr>
          <w:color w:val="auto"/>
          <w:sz w:val="23"/>
          <w:szCs w:val="23"/>
        </w:rPr>
        <w:t>processed</w:t>
      </w:r>
      <w:r w:rsidR="00C026A6" w:rsidRPr="00EA59C0">
        <w:rPr>
          <w:color w:val="auto"/>
          <w:sz w:val="23"/>
          <w:szCs w:val="23"/>
        </w:rPr>
        <w:t xml:space="preserve"> </w:t>
      </w:r>
      <w:r w:rsidRPr="00EA59C0">
        <w:rPr>
          <w:color w:val="auto"/>
          <w:sz w:val="23"/>
          <w:szCs w:val="23"/>
        </w:rPr>
        <w:t>using</w:t>
      </w:r>
      <w:r w:rsidR="00C026A6" w:rsidRPr="00EA59C0">
        <w:rPr>
          <w:color w:val="auto"/>
          <w:sz w:val="23"/>
          <w:szCs w:val="23"/>
        </w:rPr>
        <w:t xml:space="preserve"> </w:t>
      </w:r>
      <w:r w:rsidRPr="00EA59C0">
        <w:rPr>
          <w:color w:val="auto"/>
          <w:sz w:val="23"/>
          <w:szCs w:val="23"/>
        </w:rPr>
        <w:t>grantee</w:t>
      </w:r>
      <w:r w:rsidR="00C026A6" w:rsidRPr="00EA59C0">
        <w:rPr>
          <w:color w:val="auto"/>
          <w:sz w:val="23"/>
          <w:szCs w:val="23"/>
        </w:rPr>
        <w:t xml:space="preserve"> </w:t>
      </w:r>
      <w:r w:rsidRPr="00EA59C0">
        <w:rPr>
          <w:color w:val="auto"/>
          <w:sz w:val="23"/>
          <w:szCs w:val="23"/>
        </w:rPr>
        <w:t>issued</w:t>
      </w:r>
      <w:r w:rsidR="00C026A6" w:rsidRPr="00EA59C0">
        <w:rPr>
          <w:color w:val="auto"/>
          <w:sz w:val="23"/>
          <w:szCs w:val="23"/>
        </w:rPr>
        <w:t xml:space="preserve"> </w:t>
      </w:r>
      <w:r w:rsidRPr="00EA59C0">
        <w:rPr>
          <w:color w:val="auto"/>
          <w:sz w:val="23"/>
          <w:szCs w:val="23"/>
        </w:rPr>
        <w:t>equipment,</w:t>
      </w:r>
      <w:r w:rsidR="00C026A6" w:rsidRPr="00EA59C0">
        <w:rPr>
          <w:color w:val="auto"/>
          <w:sz w:val="23"/>
          <w:szCs w:val="23"/>
        </w:rPr>
        <w:t xml:space="preserve"> </w:t>
      </w:r>
      <w:r w:rsidRPr="00EA59C0">
        <w:rPr>
          <w:color w:val="auto"/>
          <w:sz w:val="23"/>
          <w:szCs w:val="23"/>
        </w:rPr>
        <w:t>managed</w:t>
      </w:r>
      <w:r w:rsidR="00C026A6" w:rsidRPr="00EA59C0">
        <w:rPr>
          <w:color w:val="auto"/>
          <w:sz w:val="23"/>
          <w:szCs w:val="23"/>
        </w:rPr>
        <w:t xml:space="preserve"> </w:t>
      </w:r>
      <w:r w:rsidRPr="00EA59C0">
        <w:rPr>
          <w:color w:val="auto"/>
          <w:sz w:val="23"/>
          <w:szCs w:val="23"/>
        </w:rPr>
        <w:t>information</w:t>
      </w:r>
      <w:r w:rsidR="00C026A6" w:rsidRPr="00EA59C0">
        <w:rPr>
          <w:color w:val="auto"/>
          <w:sz w:val="23"/>
          <w:szCs w:val="23"/>
        </w:rPr>
        <w:t xml:space="preserve"> </w:t>
      </w:r>
      <w:r w:rsidRPr="00EA59C0">
        <w:rPr>
          <w:color w:val="auto"/>
          <w:sz w:val="23"/>
          <w:szCs w:val="23"/>
        </w:rPr>
        <w:t>technology</w:t>
      </w:r>
      <w:r w:rsidR="00C026A6" w:rsidRPr="00EA59C0">
        <w:rPr>
          <w:color w:val="auto"/>
          <w:sz w:val="23"/>
          <w:szCs w:val="23"/>
        </w:rPr>
        <w:t xml:space="preserve"> </w:t>
      </w:r>
      <w:r w:rsidRPr="00EA59C0">
        <w:rPr>
          <w:color w:val="auto"/>
          <w:sz w:val="23"/>
          <w:szCs w:val="23"/>
        </w:rPr>
        <w:t>(IT)</w:t>
      </w:r>
      <w:r w:rsidR="00C026A6" w:rsidRPr="00EA59C0">
        <w:rPr>
          <w:color w:val="auto"/>
          <w:sz w:val="23"/>
          <w:szCs w:val="23"/>
        </w:rPr>
        <w:t xml:space="preserve"> </w:t>
      </w:r>
      <w:r w:rsidRPr="00EA59C0">
        <w:rPr>
          <w:color w:val="auto"/>
          <w:sz w:val="23"/>
          <w:szCs w:val="23"/>
        </w:rPr>
        <w:t>services,</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designated</w:t>
      </w:r>
      <w:r w:rsidR="00C026A6" w:rsidRPr="00EA59C0">
        <w:rPr>
          <w:color w:val="auto"/>
          <w:sz w:val="23"/>
          <w:szCs w:val="23"/>
        </w:rPr>
        <w:t xml:space="preserve"> </w:t>
      </w:r>
      <w:r w:rsidRPr="00EA59C0">
        <w:rPr>
          <w:color w:val="auto"/>
          <w:sz w:val="23"/>
          <w:szCs w:val="23"/>
        </w:rPr>
        <w:t>locations</w:t>
      </w:r>
      <w:r w:rsidR="00C026A6" w:rsidRPr="00EA59C0">
        <w:rPr>
          <w:color w:val="auto"/>
          <w:sz w:val="23"/>
          <w:szCs w:val="23"/>
        </w:rPr>
        <w:t xml:space="preserve"> </w:t>
      </w:r>
      <w:r w:rsidRPr="00EA59C0">
        <w:rPr>
          <w:color w:val="auto"/>
          <w:sz w:val="23"/>
          <w:szCs w:val="23"/>
        </w:rPr>
        <w:t>approved</w:t>
      </w:r>
      <w:r w:rsidR="00C026A6" w:rsidRPr="00EA59C0">
        <w:rPr>
          <w:color w:val="auto"/>
          <w:sz w:val="23"/>
          <w:szCs w:val="23"/>
        </w:rPr>
        <w:t xml:space="preserve"> </w:t>
      </w:r>
      <w:r w:rsidRPr="00EA59C0">
        <w:rPr>
          <w:color w:val="auto"/>
          <w:sz w:val="23"/>
          <w:szCs w:val="23"/>
        </w:rPr>
        <w:t>by</w:t>
      </w:r>
      <w:r w:rsidR="00C026A6" w:rsidRPr="00EA59C0">
        <w:rPr>
          <w:color w:val="auto"/>
          <w:sz w:val="23"/>
          <w:szCs w:val="23"/>
        </w:rPr>
        <w:t xml:space="preserve"> </w:t>
      </w:r>
      <w:r w:rsidRPr="00EA59C0">
        <w:rPr>
          <w:color w:val="auto"/>
          <w:sz w:val="23"/>
          <w:szCs w:val="23"/>
        </w:rPr>
        <w:t>ETA.</w:t>
      </w:r>
      <w:r w:rsidR="00C026A6" w:rsidRPr="00EA59C0">
        <w:rPr>
          <w:color w:val="auto"/>
          <w:sz w:val="23"/>
          <w:szCs w:val="23"/>
        </w:rPr>
        <w:t xml:space="preserve"> </w:t>
      </w:r>
      <w:r w:rsidRPr="00EA59C0">
        <w:rPr>
          <w:color w:val="auto"/>
          <w:sz w:val="23"/>
          <w:szCs w:val="23"/>
        </w:rPr>
        <w:t>Accessing,</w:t>
      </w:r>
      <w:r w:rsidR="00C026A6" w:rsidRPr="00EA59C0">
        <w:rPr>
          <w:color w:val="auto"/>
          <w:sz w:val="23"/>
          <w:szCs w:val="23"/>
        </w:rPr>
        <w:t xml:space="preserve"> </w:t>
      </w:r>
      <w:r w:rsidRPr="00EA59C0">
        <w:rPr>
          <w:color w:val="auto"/>
          <w:sz w:val="23"/>
          <w:szCs w:val="23"/>
        </w:rPr>
        <w:t>processing,</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storing</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ETA</w:t>
      </w:r>
      <w:r w:rsidR="00C026A6" w:rsidRPr="00EA59C0">
        <w:rPr>
          <w:color w:val="auto"/>
          <w:sz w:val="23"/>
          <w:szCs w:val="23"/>
        </w:rPr>
        <w:t xml:space="preserve"> </w:t>
      </w:r>
      <w:r w:rsidRPr="00EA59C0">
        <w:rPr>
          <w:color w:val="auto"/>
          <w:sz w:val="23"/>
          <w:szCs w:val="23"/>
        </w:rPr>
        <w:t>grant</w:t>
      </w:r>
      <w:r w:rsidR="00C026A6" w:rsidRPr="00EA59C0">
        <w:rPr>
          <w:color w:val="auto"/>
          <w:sz w:val="23"/>
          <w:szCs w:val="23"/>
        </w:rPr>
        <w:t xml:space="preserve"> </w:t>
      </w:r>
      <w:r w:rsidRPr="00EA59C0">
        <w:rPr>
          <w:color w:val="auto"/>
          <w:sz w:val="23"/>
          <w:szCs w:val="23"/>
        </w:rPr>
        <w:t>PII</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on</w:t>
      </w:r>
      <w:r w:rsidR="00C026A6" w:rsidRPr="00EA59C0">
        <w:rPr>
          <w:color w:val="auto"/>
          <w:sz w:val="23"/>
          <w:szCs w:val="23"/>
        </w:rPr>
        <w:t xml:space="preserve"> </w:t>
      </w:r>
      <w:r w:rsidRPr="00EA59C0">
        <w:rPr>
          <w:color w:val="auto"/>
          <w:sz w:val="23"/>
          <w:szCs w:val="23"/>
        </w:rPr>
        <w:t>personally</w:t>
      </w:r>
      <w:r w:rsidR="00C026A6" w:rsidRPr="00EA59C0">
        <w:rPr>
          <w:color w:val="auto"/>
          <w:sz w:val="23"/>
          <w:szCs w:val="23"/>
        </w:rPr>
        <w:t xml:space="preserve"> </w:t>
      </w:r>
      <w:r w:rsidRPr="00EA59C0">
        <w:rPr>
          <w:color w:val="auto"/>
          <w:sz w:val="23"/>
          <w:szCs w:val="23"/>
        </w:rPr>
        <w:t>owned</w:t>
      </w:r>
      <w:r w:rsidR="00C026A6" w:rsidRPr="00EA59C0">
        <w:rPr>
          <w:color w:val="auto"/>
          <w:sz w:val="23"/>
          <w:szCs w:val="23"/>
        </w:rPr>
        <w:t xml:space="preserve"> </w:t>
      </w:r>
      <w:r w:rsidRPr="00EA59C0">
        <w:rPr>
          <w:color w:val="auto"/>
          <w:sz w:val="23"/>
          <w:szCs w:val="23"/>
        </w:rPr>
        <w:t>equipment,</w:t>
      </w:r>
      <w:r w:rsidR="00C026A6" w:rsidRPr="00EA59C0">
        <w:rPr>
          <w:color w:val="auto"/>
          <w:sz w:val="23"/>
          <w:szCs w:val="23"/>
        </w:rPr>
        <w:t xml:space="preserve"> </w:t>
      </w:r>
      <w:r w:rsidRPr="00EA59C0">
        <w:rPr>
          <w:color w:val="auto"/>
          <w:sz w:val="23"/>
          <w:szCs w:val="23"/>
        </w:rPr>
        <w:t>at</w:t>
      </w:r>
      <w:r w:rsidR="00C026A6" w:rsidRPr="00EA59C0">
        <w:rPr>
          <w:color w:val="auto"/>
          <w:sz w:val="23"/>
          <w:szCs w:val="23"/>
        </w:rPr>
        <w:t xml:space="preserve"> </w:t>
      </w:r>
      <w:r w:rsidRPr="00EA59C0">
        <w:rPr>
          <w:color w:val="auto"/>
          <w:sz w:val="23"/>
          <w:szCs w:val="23"/>
        </w:rPr>
        <w:t>off-site</w:t>
      </w:r>
      <w:r w:rsidR="00C026A6" w:rsidRPr="00EA59C0">
        <w:rPr>
          <w:color w:val="auto"/>
          <w:sz w:val="23"/>
          <w:szCs w:val="23"/>
        </w:rPr>
        <w:t xml:space="preserve"> </w:t>
      </w:r>
      <w:r w:rsidRPr="00EA59C0">
        <w:rPr>
          <w:color w:val="auto"/>
          <w:sz w:val="23"/>
          <w:szCs w:val="23"/>
        </w:rPr>
        <w:t>locations</w:t>
      </w:r>
      <w:r w:rsidR="00C026A6" w:rsidRPr="00EA59C0">
        <w:rPr>
          <w:color w:val="auto"/>
          <w:sz w:val="23"/>
          <w:szCs w:val="23"/>
        </w:rPr>
        <w:t xml:space="preserve"> </w:t>
      </w:r>
      <w:r w:rsidRPr="00EA59C0">
        <w:rPr>
          <w:color w:val="auto"/>
          <w:sz w:val="23"/>
          <w:szCs w:val="23"/>
        </w:rPr>
        <w:t>e.g.,</w:t>
      </w:r>
      <w:r w:rsidR="00C026A6" w:rsidRPr="00EA59C0">
        <w:rPr>
          <w:color w:val="auto"/>
          <w:sz w:val="23"/>
          <w:szCs w:val="23"/>
        </w:rPr>
        <w:t xml:space="preserve"> </w:t>
      </w:r>
      <w:r w:rsidRPr="00EA59C0">
        <w:rPr>
          <w:color w:val="auto"/>
          <w:sz w:val="23"/>
          <w:szCs w:val="23"/>
        </w:rPr>
        <w:t>employee’s</w:t>
      </w:r>
      <w:r w:rsidR="00C026A6" w:rsidRPr="00EA59C0">
        <w:rPr>
          <w:color w:val="auto"/>
          <w:sz w:val="23"/>
          <w:szCs w:val="23"/>
        </w:rPr>
        <w:t xml:space="preserve"> </w:t>
      </w:r>
      <w:r w:rsidRPr="00EA59C0">
        <w:rPr>
          <w:color w:val="auto"/>
          <w:sz w:val="23"/>
          <w:szCs w:val="23"/>
        </w:rPr>
        <w:t>home,</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non-grantee</w:t>
      </w:r>
      <w:r w:rsidR="00C026A6" w:rsidRPr="00EA59C0">
        <w:rPr>
          <w:color w:val="auto"/>
          <w:sz w:val="23"/>
          <w:szCs w:val="23"/>
        </w:rPr>
        <w:t xml:space="preserve"> </w:t>
      </w:r>
      <w:r w:rsidRPr="00EA59C0">
        <w:rPr>
          <w:color w:val="auto"/>
          <w:sz w:val="23"/>
          <w:szCs w:val="23"/>
        </w:rPr>
        <w:t>managed</w:t>
      </w:r>
      <w:r w:rsidR="00C026A6" w:rsidRPr="00EA59C0">
        <w:rPr>
          <w:color w:val="auto"/>
          <w:sz w:val="23"/>
          <w:szCs w:val="23"/>
        </w:rPr>
        <w:t xml:space="preserve"> </w:t>
      </w:r>
      <w:r w:rsidRPr="00EA59C0">
        <w:rPr>
          <w:color w:val="auto"/>
          <w:sz w:val="23"/>
          <w:szCs w:val="23"/>
        </w:rPr>
        <w:t>IT</w:t>
      </w:r>
      <w:r w:rsidR="00C026A6" w:rsidRPr="00EA59C0">
        <w:rPr>
          <w:color w:val="auto"/>
          <w:sz w:val="23"/>
          <w:szCs w:val="23"/>
        </w:rPr>
        <w:t xml:space="preserve"> </w:t>
      </w:r>
      <w:r w:rsidRPr="00EA59C0">
        <w:rPr>
          <w:color w:val="auto"/>
          <w:sz w:val="23"/>
          <w:szCs w:val="23"/>
        </w:rPr>
        <w:t>services,</w:t>
      </w:r>
      <w:r w:rsidR="00C026A6" w:rsidRPr="00EA59C0">
        <w:rPr>
          <w:color w:val="auto"/>
          <w:sz w:val="23"/>
          <w:szCs w:val="23"/>
        </w:rPr>
        <w:t xml:space="preserve"> </w:t>
      </w:r>
      <w:r w:rsidRPr="00EA59C0">
        <w:rPr>
          <w:color w:val="auto"/>
          <w:sz w:val="23"/>
          <w:szCs w:val="23"/>
        </w:rPr>
        <w:t>e.g.,</w:t>
      </w:r>
      <w:r w:rsidR="00C026A6" w:rsidRPr="00EA59C0">
        <w:rPr>
          <w:color w:val="auto"/>
          <w:sz w:val="23"/>
          <w:szCs w:val="23"/>
        </w:rPr>
        <w:t xml:space="preserve"> </w:t>
      </w:r>
      <w:r w:rsidRPr="00EA59C0">
        <w:rPr>
          <w:color w:val="auto"/>
          <w:sz w:val="23"/>
          <w:szCs w:val="23"/>
        </w:rPr>
        <w:t>Yahoo</w:t>
      </w:r>
      <w:r w:rsidR="00C026A6" w:rsidRPr="00EA59C0">
        <w:rPr>
          <w:color w:val="auto"/>
          <w:sz w:val="23"/>
          <w:szCs w:val="23"/>
        </w:rPr>
        <w:t xml:space="preserve"> </w:t>
      </w:r>
      <w:r w:rsidRPr="00EA59C0">
        <w:rPr>
          <w:color w:val="auto"/>
          <w:sz w:val="23"/>
          <w:szCs w:val="23"/>
        </w:rPr>
        <w:t>mail,</w:t>
      </w:r>
      <w:r w:rsidR="00C026A6" w:rsidRPr="00EA59C0">
        <w:rPr>
          <w:color w:val="auto"/>
          <w:sz w:val="23"/>
          <w:szCs w:val="23"/>
        </w:rPr>
        <w:t xml:space="preserve"> </w:t>
      </w:r>
      <w:r w:rsidRPr="00EA59C0">
        <w:rPr>
          <w:color w:val="auto"/>
          <w:sz w:val="23"/>
          <w:szCs w:val="23"/>
        </w:rPr>
        <w:t>is</w:t>
      </w:r>
      <w:r w:rsidR="00C026A6" w:rsidRPr="00EA59C0">
        <w:rPr>
          <w:color w:val="auto"/>
          <w:sz w:val="23"/>
          <w:szCs w:val="23"/>
        </w:rPr>
        <w:t xml:space="preserve"> </w:t>
      </w:r>
      <w:r w:rsidRPr="00EA59C0">
        <w:rPr>
          <w:color w:val="auto"/>
          <w:sz w:val="23"/>
          <w:szCs w:val="23"/>
        </w:rPr>
        <w:t>strictly</w:t>
      </w:r>
      <w:r w:rsidR="00C026A6" w:rsidRPr="00EA59C0">
        <w:rPr>
          <w:color w:val="auto"/>
          <w:sz w:val="23"/>
          <w:szCs w:val="23"/>
        </w:rPr>
        <w:t xml:space="preserve"> </w:t>
      </w:r>
      <w:r w:rsidRPr="00EA59C0">
        <w:rPr>
          <w:color w:val="auto"/>
          <w:sz w:val="23"/>
          <w:szCs w:val="23"/>
        </w:rPr>
        <w:t>prohibited</w:t>
      </w:r>
      <w:r w:rsidR="00C026A6" w:rsidRPr="00EA59C0">
        <w:rPr>
          <w:color w:val="auto"/>
          <w:sz w:val="23"/>
          <w:szCs w:val="23"/>
        </w:rPr>
        <w:t xml:space="preserve"> </w:t>
      </w:r>
      <w:r w:rsidRPr="00EA59C0">
        <w:rPr>
          <w:color w:val="auto"/>
          <w:sz w:val="23"/>
          <w:szCs w:val="23"/>
        </w:rPr>
        <w:t>unless</w:t>
      </w:r>
      <w:r w:rsidR="00C026A6" w:rsidRPr="00EA59C0">
        <w:rPr>
          <w:color w:val="auto"/>
          <w:sz w:val="23"/>
          <w:szCs w:val="23"/>
        </w:rPr>
        <w:t xml:space="preserve"> </w:t>
      </w:r>
      <w:r w:rsidRPr="00EA59C0">
        <w:rPr>
          <w:color w:val="auto"/>
          <w:sz w:val="23"/>
          <w:szCs w:val="23"/>
        </w:rPr>
        <w:t>approved</w:t>
      </w:r>
      <w:r w:rsidR="00C026A6" w:rsidRPr="00EA59C0">
        <w:rPr>
          <w:color w:val="auto"/>
          <w:sz w:val="23"/>
          <w:szCs w:val="23"/>
        </w:rPr>
        <w:t xml:space="preserve"> </w:t>
      </w:r>
      <w:r w:rsidRPr="00EA59C0">
        <w:rPr>
          <w:color w:val="auto"/>
          <w:sz w:val="23"/>
          <w:szCs w:val="23"/>
        </w:rPr>
        <w:t>by</w:t>
      </w:r>
      <w:r w:rsidR="00C026A6" w:rsidRPr="00EA59C0">
        <w:rPr>
          <w:color w:val="auto"/>
          <w:sz w:val="23"/>
          <w:szCs w:val="23"/>
        </w:rPr>
        <w:t xml:space="preserve"> </w:t>
      </w:r>
      <w:r w:rsidRPr="00EA59C0">
        <w:rPr>
          <w:color w:val="auto"/>
          <w:sz w:val="23"/>
          <w:szCs w:val="23"/>
        </w:rPr>
        <w:t>ETA.</w:t>
      </w:r>
      <w:r w:rsidR="00C026A6" w:rsidRPr="00EA59C0">
        <w:rPr>
          <w:color w:val="auto"/>
          <w:sz w:val="23"/>
          <w:szCs w:val="23"/>
        </w:rPr>
        <w:t xml:space="preserve"> </w:t>
      </w:r>
    </w:p>
    <w:p w:rsidR="00144DF0" w:rsidRPr="00EA59C0" w:rsidRDefault="00D81847" w:rsidP="004C3998">
      <w:pPr>
        <w:pStyle w:val="Default"/>
        <w:numPr>
          <w:ilvl w:val="4"/>
          <w:numId w:val="17"/>
        </w:numPr>
        <w:rPr>
          <w:color w:val="auto"/>
          <w:sz w:val="23"/>
          <w:szCs w:val="23"/>
        </w:rPr>
      </w:pPr>
      <w:r w:rsidRPr="00EA59C0">
        <w:rPr>
          <w:color w:val="auto"/>
          <w:sz w:val="23"/>
          <w:szCs w:val="23"/>
        </w:rPr>
        <w:t>Grantee</w:t>
      </w:r>
      <w:r w:rsidR="00C026A6" w:rsidRPr="00EA59C0">
        <w:rPr>
          <w:color w:val="auto"/>
          <w:sz w:val="23"/>
          <w:szCs w:val="23"/>
        </w:rPr>
        <w:t xml:space="preserve"> </w:t>
      </w:r>
      <w:r w:rsidRPr="00EA59C0">
        <w:rPr>
          <w:color w:val="auto"/>
          <w:sz w:val="23"/>
          <w:szCs w:val="23"/>
        </w:rPr>
        <w:t>employees</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other</w:t>
      </w:r>
      <w:r w:rsidR="00C026A6" w:rsidRPr="00EA59C0">
        <w:rPr>
          <w:color w:val="auto"/>
          <w:sz w:val="23"/>
          <w:szCs w:val="23"/>
        </w:rPr>
        <w:t xml:space="preserve"> </w:t>
      </w:r>
      <w:r w:rsidRPr="00EA59C0">
        <w:rPr>
          <w:color w:val="auto"/>
          <w:sz w:val="23"/>
          <w:szCs w:val="23"/>
        </w:rPr>
        <w:t>personnel</w:t>
      </w:r>
      <w:r w:rsidR="00C026A6" w:rsidRPr="00EA59C0">
        <w:rPr>
          <w:color w:val="auto"/>
          <w:sz w:val="23"/>
          <w:szCs w:val="23"/>
        </w:rPr>
        <w:t xml:space="preserve"> </w:t>
      </w:r>
      <w:r w:rsidRPr="00EA59C0">
        <w:rPr>
          <w:color w:val="auto"/>
          <w:sz w:val="23"/>
          <w:szCs w:val="23"/>
        </w:rPr>
        <w:t>who</w:t>
      </w:r>
      <w:r w:rsidR="00C026A6" w:rsidRPr="00EA59C0">
        <w:rPr>
          <w:color w:val="auto"/>
          <w:sz w:val="23"/>
          <w:szCs w:val="23"/>
        </w:rPr>
        <w:t xml:space="preserve"> </w:t>
      </w:r>
      <w:r w:rsidRPr="00EA59C0">
        <w:rPr>
          <w:color w:val="auto"/>
          <w:sz w:val="23"/>
          <w:szCs w:val="23"/>
        </w:rPr>
        <w:t>will</w:t>
      </w:r>
      <w:r w:rsidR="00C026A6" w:rsidRPr="00EA59C0">
        <w:rPr>
          <w:color w:val="auto"/>
          <w:sz w:val="23"/>
          <w:szCs w:val="23"/>
        </w:rPr>
        <w:t xml:space="preserve"> </w:t>
      </w:r>
      <w:r w:rsidRPr="00EA59C0">
        <w:rPr>
          <w:color w:val="auto"/>
          <w:sz w:val="23"/>
          <w:szCs w:val="23"/>
        </w:rPr>
        <w:t>have</w:t>
      </w:r>
      <w:r w:rsidR="00C026A6" w:rsidRPr="00EA59C0">
        <w:rPr>
          <w:color w:val="auto"/>
          <w:sz w:val="23"/>
          <w:szCs w:val="23"/>
        </w:rPr>
        <w:t xml:space="preserve"> </w:t>
      </w:r>
      <w:r w:rsidRPr="00EA59C0">
        <w:rPr>
          <w:color w:val="auto"/>
          <w:sz w:val="23"/>
          <w:szCs w:val="23"/>
        </w:rPr>
        <w:t>access</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sensitive/confidential/proprietary/private</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must</w:t>
      </w:r>
      <w:r w:rsidR="00C026A6" w:rsidRPr="00EA59C0">
        <w:rPr>
          <w:color w:val="auto"/>
          <w:sz w:val="23"/>
          <w:szCs w:val="23"/>
        </w:rPr>
        <w:t xml:space="preserve"> </w:t>
      </w:r>
      <w:r w:rsidRPr="00EA59C0">
        <w:rPr>
          <w:color w:val="auto"/>
          <w:sz w:val="23"/>
          <w:szCs w:val="23"/>
        </w:rPr>
        <w:t>be</w:t>
      </w:r>
      <w:r w:rsidR="00C026A6" w:rsidRPr="00EA59C0">
        <w:rPr>
          <w:color w:val="auto"/>
          <w:sz w:val="23"/>
          <w:szCs w:val="23"/>
        </w:rPr>
        <w:t xml:space="preserve"> </w:t>
      </w:r>
      <w:r w:rsidRPr="00EA59C0">
        <w:rPr>
          <w:color w:val="auto"/>
          <w:sz w:val="23"/>
          <w:szCs w:val="23"/>
        </w:rPr>
        <w:t>advised</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confidential</w:t>
      </w:r>
      <w:r w:rsidR="00C026A6" w:rsidRPr="00EA59C0">
        <w:rPr>
          <w:color w:val="auto"/>
          <w:sz w:val="23"/>
          <w:szCs w:val="23"/>
        </w:rPr>
        <w:t xml:space="preserve"> </w:t>
      </w:r>
      <w:r w:rsidRPr="00EA59C0">
        <w:rPr>
          <w:color w:val="auto"/>
          <w:sz w:val="23"/>
          <w:szCs w:val="23"/>
        </w:rPr>
        <w:t>nature</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information,</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safeguards</w:t>
      </w:r>
      <w:r w:rsidR="00C026A6" w:rsidRPr="00EA59C0">
        <w:rPr>
          <w:color w:val="auto"/>
          <w:sz w:val="23"/>
          <w:szCs w:val="23"/>
        </w:rPr>
        <w:t xml:space="preserve"> </w:t>
      </w:r>
      <w:r w:rsidRPr="00EA59C0">
        <w:rPr>
          <w:color w:val="auto"/>
          <w:sz w:val="23"/>
          <w:szCs w:val="23"/>
        </w:rPr>
        <w:t>required</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protect</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information,</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that</w:t>
      </w:r>
      <w:r w:rsidR="00C026A6" w:rsidRPr="00EA59C0">
        <w:rPr>
          <w:color w:val="auto"/>
          <w:sz w:val="23"/>
          <w:szCs w:val="23"/>
        </w:rPr>
        <w:t xml:space="preserve"> </w:t>
      </w:r>
      <w:r w:rsidRPr="00EA59C0">
        <w:rPr>
          <w:color w:val="auto"/>
          <w:sz w:val="23"/>
          <w:szCs w:val="23"/>
        </w:rPr>
        <w:t>there</w:t>
      </w:r>
      <w:r w:rsidR="00C026A6" w:rsidRPr="00EA59C0">
        <w:rPr>
          <w:color w:val="auto"/>
          <w:sz w:val="23"/>
          <w:szCs w:val="23"/>
        </w:rPr>
        <w:t xml:space="preserve"> </w:t>
      </w:r>
      <w:r w:rsidRPr="00EA59C0">
        <w:rPr>
          <w:color w:val="auto"/>
          <w:sz w:val="23"/>
          <w:szCs w:val="23"/>
        </w:rPr>
        <w:t>are</w:t>
      </w:r>
      <w:r w:rsidR="00C026A6" w:rsidRPr="00EA59C0">
        <w:rPr>
          <w:color w:val="auto"/>
          <w:sz w:val="23"/>
          <w:szCs w:val="23"/>
        </w:rPr>
        <w:t xml:space="preserve"> </w:t>
      </w:r>
      <w:r w:rsidRPr="00EA59C0">
        <w:rPr>
          <w:color w:val="auto"/>
          <w:sz w:val="23"/>
          <w:szCs w:val="23"/>
        </w:rPr>
        <w:t>civil</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criminal</w:t>
      </w:r>
      <w:r w:rsidR="00C026A6" w:rsidRPr="00EA59C0">
        <w:rPr>
          <w:color w:val="auto"/>
          <w:sz w:val="23"/>
          <w:szCs w:val="23"/>
        </w:rPr>
        <w:t xml:space="preserve"> </w:t>
      </w:r>
      <w:r w:rsidRPr="00EA59C0">
        <w:rPr>
          <w:color w:val="auto"/>
          <w:sz w:val="23"/>
          <w:szCs w:val="23"/>
        </w:rPr>
        <w:t>sanctions</w:t>
      </w:r>
      <w:r w:rsidR="00C026A6" w:rsidRPr="00EA59C0">
        <w:rPr>
          <w:color w:val="auto"/>
          <w:sz w:val="23"/>
          <w:szCs w:val="23"/>
        </w:rPr>
        <w:t xml:space="preserve"> </w:t>
      </w:r>
      <w:r w:rsidRPr="00EA59C0">
        <w:rPr>
          <w:color w:val="auto"/>
          <w:sz w:val="23"/>
          <w:szCs w:val="23"/>
        </w:rPr>
        <w:t>for</w:t>
      </w:r>
      <w:r w:rsidR="00C026A6" w:rsidRPr="00EA59C0">
        <w:rPr>
          <w:color w:val="auto"/>
          <w:sz w:val="23"/>
          <w:szCs w:val="23"/>
        </w:rPr>
        <w:t xml:space="preserve"> </w:t>
      </w:r>
      <w:r w:rsidRPr="00EA59C0">
        <w:rPr>
          <w:color w:val="auto"/>
          <w:sz w:val="23"/>
          <w:szCs w:val="23"/>
        </w:rPr>
        <w:t>noncompliance</w:t>
      </w:r>
      <w:r w:rsidR="00C026A6" w:rsidRPr="00EA59C0">
        <w:rPr>
          <w:color w:val="auto"/>
          <w:sz w:val="23"/>
          <w:szCs w:val="23"/>
        </w:rPr>
        <w:t xml:space="preserve"> </w:t>
      </w:r>
      <w:r w:rsidRPr="00EA59C0">
        <w:rPr>
          <w:color w:val="auto"/>
          <w:sz w:val="23"/>
          <w:szCs w:val="23"/>
        </w:rPr>
        <w:t>with</w:t>
      </w:r>
      <w:r w:rsidR="00C026A6" w:rsidRPr="00EA59C0">
        <w:rPr>
          <w:color w:val="auto"/>
          <w:sz w:val="23"/>
          <w:szCs w:val="23"/>
        </w:rPr>
        <w:t xml:space="preserve"> </w:t>
      </w:r>
      <w:r w:rsidRPr="00EA59C0">
        <w:rPr>
          <w:color w:val="auto"/>
          <w:sz w:val="23"/>
          <w:szCs w:val="23"/>
        </w:rPr>
        <w:t>such</w:t>
      </w:r>
      <w:r w:rsidR="00C026A6" w:rsidRPr="00EA59C0">
        <w:rPr>
          <w:color w:val="auto"/>
          <w:sz w:val="23"/>
          <w:szCs w:val="23"/>
        </w:rPr>
        <w:t xml:space="preserve"> </w:t>
      </w:r>
      <w:r w:rsidRPr="00EA59C0">
        <w:rPr>
          <w:color w:val="auto"/>
          <w:sz w:val="23"/>
          <w:szCs w:val="23"/>
        </w:rPr>
        <w:t>safeguards</w:t>
      </w:r>
      <w:r w:rsidR="00C026A6" w:rsidRPr="00EA59C0">
        <w:rPr>
          <w:color w:val="auto"/>
          <w:sz w:val="23"/>
          <w:szCs w:val="23"/>
        </w:rPr>
        <w:t xml:space="preserve"> </w:t>
      </w:r>
      <w:r w:rsidRPr="00EA59C0">
        <w:rPr>
          <w:color w:val="auto"/>
          <w:sz w:val="23"/>
          <w:szCs w:val="23"/>
        </w:rPr>
        <w:t>that</w:t>
      </w:r>
      <w:r w:rsidR="00C026A6" w:rsidRPr="00EA59C0">
        <w:rPr>
          <w:color w:val="auto"/>
          <w:sz w:val="23"/>
          <w:szCs w:val="23"/>
        </w:rPr>
        <w:t xml:space="preserve"> </w:t>
      </w:r>
      <w:r w:rsidRPr="00EA59C0">
        <w:rPr>
          <w:color w:val="auto"/>
          <w:sz w:val="23"/>
          <w:szCs w:val="23"/>
        </w:rPr>
        <w:t>are</w:t>
      </w:r>
      <w:r w:rsidR="00C026A6" w:rsidRPr="00EA59C0">
        <w:rPr>
          <w:color w:val="auto"/>
          <w:sz w:val="23"/>
          <w:szCs w:val="23"/>
        </w:rPr>
        <w:t xml:space="preserve"> </w:t>
      </w:r>
      <w:r w:rsidRPr="00EA59C0">
        <w:rPr>
          <w:color w:val="auto"/>
          <w:sz w:val="23"/>
          <w:szCs w:val="23"/>
        </w:rPr>
        <w:t>contained</w:t>
      </w:r>
      <w:r w:rsidR="00C026A6" w:rsidRPr="00EA59C0">
        <w:rPr>
          <w:color w:val="auto"/>
          <w:sz w:val="23"/>
          <w:szCs w:val="23"/>
        </w:rPr>
        <w:t xml:space="preserve"> </w:t>
      </w:r>
      <w:r w:rsidRPr="00EA59C0">
        <w:rPr>
          <w:color w:val="auto"/>
          <w:sz w:val="23"/>
          <w:szCs w:val="23"/>
        </w:rPr>
        <w:t>in</w:t>
      </w:r>
      <w:r w:rsidR="00C026A6" w:rsidRPr="00EA59C0">
        <w:rPr>
          <w:color w:val="auto"/>
          <w:sz w:val="23"/>
          <w:szCs w:val="23"/>
        </w:rPr>
        <w:t xml:space="preserve"> </w:t>
      </w:r>
      <w:r w:rsidRPr="00EA59C0">
        <w:rPr>
          <w:color w:val="auto"/>
          <w:sz w:val="23"/>
          <w:szCs w:val="23"/>
        </w:rPr>
        <w:t>Federal</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state</w:t>
      </w:r>
      <w:r w:rsidR="00C026A6" w:rsidRPr="00EA59C0">
        <w:rPr>
          <w:color w:val="auto"/>
          <w:sz w:val="23"/>
          <w:szCs w:val="23"/>
        </w:rPr>
        <w:t xml:space="preserve"> </w:t>
      </w:r>
      <w:r w:rsidRPr="00EA59C0">
        <w:rPr>
          <w:color w:val="auto"/>
          <w:sz w:val="23"/>
          <w:szCs w:val="23"/>
        </w:rPr>
        <w:t>laws.</w:t>
      </w:r>
      <w:r w:rsidR="00C026A6" w:rsidRPr="00EA59C0">
        <w:rPr>
          <w:color w:val="auto"/>
          <w:sz w:val="23"/>
          <w:szCs w:val="23"/>
        </w:rPr>
        <w:t xml:space="preserve"> </w:t>
      </w:r>
    </w:p>
    <w:p w:rsidR="00144DF0" w:rsidRPr="00EA59C0" w:rsidRDefault="00D81847" w:rsidP="004C3998">
      <w:pPr>
        <w:pStyle w:val="Default"/>
        <w:numPr>
          <w:ilvl w:val="4"/>
          <w:numId w:val="17"/>
        </w:numPr>
        <w:rPr>
          <w:color w:val="auto"/>
          <w:sz w:val="23"/>
          <w:szCs w:val="23"/>
        </w:rPr>
      </w:pPr>
      <w:r w:rsidRPr="00EA59C0">
        <w:rPr>
          <w:color w:val="auto"/>
          <w:sz w:val="23"/>
          <w:szCs w:val="23"/>
        </w:rPr>
        <w:t>Grantees</w:t>
      </w:r>
      <w:r w:rsidR="00C026A6" w:rsidRPr="00EA59C0">
        <w:rPr>
          <w:color w:val="auto"/>
          <w:sz w:val="23"/>
          <w:szCs w:val="23"/>
        </w:rPr>
        <w:t xml:space="preserve"> </w:t>
      </w:r>
      <w:r w:rsidRPr="00EA59C0">
        <w:rPr>
          <w:color w:val="auto"/>
          <w:sz w:val="23"/>
          <w:szCs w:val="23"/>
        </w:rPr>
        <w:t>must</w:t>
      </w:r>
      <w:r w:rsidR="00C026A6" w:rsidRPr="00EA59C0">
        <w:rPr>
          <w:color w:val="auto"/>
          <w:sz w:val="23"/>
          <w:szCs w:val="23"/>
        </w:rPr>
        <w:t xml:space="preserve"> </w:t>
      </w:r>
      <w:r w:rsidRPr="00EA59C0">
        <w:rPr>
          <w:color w:val="auto"/>
          <w:sz w:val="23"/>
          <w:szCs w:val="23"/>
        </w:rPr>
        <w:t>have</w:t>
      </w:r>
      <w:r w:rsidR="00C026A6" w:rsidRPr="00EA59C0">
        <w:rPr>
          <w:color w:val="auto"/>
          <w:sz w:val="23"/>
          <w:szCs w:val="23"/>
        </w:rPr>
        <w:t xml:space="preserve"> </w:t>
      </w:r>
      <w:r w:rsidRPr="00EA59C0">
        <w:rPr>
          <w:color w:val="auto"/>
          <w:sz w:val="23"/>
          <w:szCs w:val="23"/>
        </w:rPr>
        <w:t>their</w:t>
      </w:r>
      <w:r w:rsidR="00C026A6" w:rsidRPr="00EA59C0">
        <w:rPr>
          <w:color w:val="auto"/>
          <w:sz w:val="23"/>
          <w:szCs w:val="23"/>
        </w:rPr>
        <w:t xml:space="preserve"> </w:t>
      </w:r>
      <w:r w:rsidRPr="00EA59C0">
        <w:rPr>
          <w:color w:val="auto"/>
          <w:sz w:val="23"/>
          <w:szCs w:val="23"/>
        </w:rPr>
        <w:t>policies</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procedures</w:t>
      </w:r>
      <w:r w:rsidR="00C026A6" w:rsidRPr="00EA59C0">
        <w:rPr>
          <w:color w:val="auto"/>
          <w:sz w:val="23"/>
          <w:szCs w:val="23"/>
        </w:rPr>
        <w:t xml:space="preserve"> </w:t>
      </w:r>
      <w:r w:rsidRPr="00EA59C0">
        <w:rPr>
          <w:color w:val="auto"/>
          <w:sz w:val="23"/>
          <w:szCs w:val="23"/>
        </w:rPr>
        <w:t>in</w:t>
      </w:r>
      <w:r w:rsidR="00C026A6" w:rsidRPr="00EA59C0">
        <w:rPr>
          <w:color w:val="auto"/>
          <w:sz w:val="23"/>
          <w:szCs w:val="23"/>
        </w:rPr>
        <w:t xml:space="preserve"> </w:t>
      </w:r>
      <w:r w:rsidRPr="00EA59C0">
        <w:rPr>
          <w:color w:val="auto"/>
          <w:sz w:val="23"/>
          <w:szCs w:val="23"/>
        </w:rPr>
        <w:t>place</w:t>
      </w:r>
      <w:r w:rsidR="00C026A6" w:rsidRPr="00EA59C0">
        <w:rPr>
          <w:color w:val="auto"/>
          <w:sz w:val="23"/>
          <w:szCs w:val="23"/>
        </w:rPr>
        <w:t xml:space="preserve"> </w:t>
      </w:r>
      <w:r w:rsidRPr="00EA59C0">
        <w:rPr>
          <w:color w:val="auto"/>
          <w:sz w:val="23"/>
          <w:szCs w:val="23"/>
        </w:rPr>
        <w:t>under</w:t>
      </w:r>
      <w:r w:rsidR="00C026A6" w:rsidRPr="00EA59C0">
        <w:rPr>
          <w:color w:val="auto"/>
          <w:sz w:val="23"/>
          <w:szCs w:val="23"/>
        </w:rPr>
        <w:t xml:space="preserve"> </w:t>
      </w:r>
      <w:r w:rsidRPr="00EA59C0">
        <w:rPr>
          <w:color w:val="auto"/>
          <w:sz w:val="23"/>
          <w:szCs w:val="23"/>
        </w:rPr>
        <w:t>which</w:t>
      </w:r>
      <w:r w:rsidR="00C026A6" w:rsidRPr="00EA59C0">
        <w:rPr>
          <w:color w:val="auto"/>
          <w:sz w:val="23"/>
          <w:szCs w:val="23"/>
        </w:rPr>
        <w:t xml:space="preserve"> </w:t>
      </w:r>
      <w:r w:rsidRPr="00EA59C0">
        <w:rPr>
          <w:color w:val="auto"/>
          <w:sz w:val="23"/>
          <w:szCs w:val="23"/>
        </w:rPr>
        <w:t>grantee</w:t>
      </w:r>
      <w:r w:rsidR="00C026A6" w:rsidRPr="00EA59C0">
        <w:rPr>
          <w:color w:val="auto"/>
          <w:sz w:val="23"/>
          <w:szCs w:val="23"/>
        </w:rPr>
        <w:t xml:space="preserve"> </w:t>
      </w:r>
      <w:r w:rsidRPr="00EA59C0">
        <w:rPr>
          <w:color w:val="auto"/>
          <w:sz w:val="23"/>
          <w:szCs w:val="23"/>
        </w:rPr>
        <w:t>employees</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other</w:t>
      </w:r>
      <w:r w:rsidR="00C026A6" w:rsidRPr="00EA59C0">
        <w:rPr>
          <w:color w:val="auto"/>
          <w:sz w:val="23"/>
          <w:szCs w:val="23"/>
        </w:rPr>
        <w:t xml:space="preserve"> </w:t>
      </w:r>
      <w:r w:rsidRPr="00EA59C0">
        <w:rPr>
          <w:color w:val="auto"/>
          <w:sz w:val="23"/>
          <w:szCs w:val="23"/>
        </w:rPr>
        <w:t>personnel,</w:t>
      </w:r>
      <w:r w:rsidR="00C026A6" w:rsidRPr="00EA59C0">
        <w:rPr>
          <w:color w:val="auto"/>
          <w:sz w:val="23"/>
          <w:szCs w:val="23"/>
        </w:rPr>
        <w:t xml:space="preserve"> </w:t>
      </w:r>
      <w:r w:rsidRPr="00EA59C0">
        <w:rPr>
          <w:color w:val="auto"/>
          <w:sz w:val="23"/>
          <w:szCs w:val="23"/>
        </w:rPr>
        <w:t>before</w:t>
      </w:r>
      <w:r w:rsidR="00C026A6" w:rsidRPr="00EA59C0">
        <w:rPr>
          <w:color w:val="auto"/>
          <w:sz w:val="23"/>
          <w:szCs w:val="23"/>
        </w:rPr>
        <w:t xml:space="preserve"> </w:t>
      </w:r>
      <w:r w:rsidRPr="00EA59C0">
        <w:rPr>
          <w:color w:val="auto"/>
          <w:sz w:val="23"/>
          <w:szCs w:val="23"/>
        </w:rPr>
        <w:t>being</w:t>
      </w:r>
      <w:r w:rsidR="00C026A6" w:rsidRPr="00EA59C0">
        <w:rPr>
          <w:color w:val="auto"/>
          <w:sz w:val="23"/>
          <w:szCs w:val="23"/>
        </w:rPr>
        <w:t xml:space="preserve"> </w:t>
      </w:r>
      <w:r w:rsidRPr="00EA59C0">
        <w:rPr>
          <w:color w:val="auto"/>
          <w:sz w:val="23"/>
          <w:szCs w:val="23"/>
        </w:rPr>
        <w:t>granted</w:t>
      </w:r>
      <w:r w:rsidR="00C026A6" w:rsidRPr="00EA59C0">
        <w:rPr>
          <w:color w:val="auto"/>
          <w:sz w:val="23"/>
          <w:szCs w:val="23"/>
        </w:rPr>
        <w:t xml:space="preserve"> </w:t>
      </w:r>
      <w:r w:rsidRPr="00EA59C0">
        <w:rPr>
          <w:color w:val="auto"/>
          <w:sz w:val="23"/>
          <w:szCs w:val="23"/>
        </w:rPr>
        <w:t>access</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PII,</w:t>
      </w:r>
      <w:r w:rsidR="00C026A6" w:rsidRPr="00EA59C0">
        <w:rPr>
          <w:color w:val="auto"/>
          <w:sz w:val="23"/>
          <w:szCs w:val="23"/>
        </w:rPr>
        <w:t xml:space="preserve"> </w:t>
      </w:r>
      <w:r w:rsidRPr="00EA59C0">
        <w:rPr>
          <w:color w:val="auto"/>
          <w:sz w:val="23"/>
          <w:szCs w:val="23"/>
        </w:rPr>
        <w:t>acknowledge</w:t>
      </w:r>
      <w:r w:rsidR="00C026A6" w:rsidRPr="00EA59C0">
        <w:rPr>
          <w:color w:val="auto"/>
          <w:sz w:val="23"/>
          <w:szCs w:val="23"/>
        </w:rPr>
        <w:t xml:space="preserve"> </w:t>
      </w:r>
      <w:r w:rsidRPr="00EA59C0">
        <w:rPr>
          <w:color w:val="auto"/>
          <w:sz w:val="23"/>
          <w:szCs w:val="23"/>
        </w:rPr>
        <w:t>their</w:t>
      </w:r>
      <w:r w:rsidR="00C026A6" w:rsidRPr="00EA59C0">
        <w:rPr>
          <w:color w:val="auto"/>
          <w:sz w:val="23"/>
          <w:szCs w:val="23"/>
        </w:rPr>
        <w:t xml:space="preserve"> </w:t>
      </w:r>
      <w:r w:rsidRPr="00EA59C0">
        <w:rPr>
          <w:color w:val="auto"/>
          <w:sz w:val="23"/>
          <w:szCs w:val="23"/>
        </w:rPr>
        <w:t>understanding</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confidential</w:t>
      </w:r>
      <w:r w:rsidR="00C026A6" w:rsidRPr="00EA59C0">
        <w:rPr>
          <w:color w:val="auto"/>
          <w:sz w:val="23"/>
          <w:szCs w:val="23"/>
        </w:rPr>
        <w:t xml:space="preserve"> </w:t>
      </w:r>
      <w:r w:rsidRPr="00EA59C0">
        <w:rPr>
          <w:color w:val="auto"/>
          <w:sz w:val="23"/>
          <w:szCs w:val="23"/>
        </w:rPr>
        <w:t>nature</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safeguards</w:t>
      </w:r>
      <w:r w:rsidR="00C026A6" w:rsidRPr="00EA59C0">
        <w:rPr>
          <w:color w:val="auto"/>
          <w:sz w:val="23"/>
          <w:szCs w:val="23"/>
        </w:rPr>
        <w:t xml:space="preserve"> </w:t>
      </w:r>
      <w:r w:rsidRPr="00EA59C0">
        <w:rPr>
          <w:color w:val="auto"/>
          <w:sz w:val="23"/>
          <w:szCs w:val="23"/>
        </w:rPr>
        <w:t>with</w:t>
      </w:r>
      <w:r w:rsidR="00C026A6" w:rsidRPr="00EA59C0">
        <w:rPr>
          <w:color w:val="auto"/>
          <w:sz w:val="23"/>
          <w:szCs w:val="23"/>
        </w:rPr>
        <w:t xml:space="preserve"> </w:t>
      </w:r>
      <w:r w:rsidRPr="00EA59C0">
        <w:rPr>
          <w:color w:val="auto"/>
          <w:sz w:val="23"/>
          <w:szCs w:val="23"/>
        </w:rPr>
        <w:t>which</w:t>
      </w:r>
      <w:r w:rsidR="00C026A6" w:rsidRPr="00EA59C0">
        <w:rPr>
          <w:color w:val="auto"/>
          <w:sz w:val="23"/>
          <w:szCs w:val="23"/>
        </w:rPr>
        <w:t xml:space="preserve"> </w:t>
      </w:r>
      <w:r w:rsidRPr="00EA59C0">
        <w:rPr>
          <w:color w:val="auto"/>
          <w:sz w:val="23"/>
          <w:szCs w:val="23"/>
        </w:rPr>
        <w:t>they</w:t>
      </w:r>
      <w:r w:rsidR="00C026A6" w:rsidRPr="00EA59C0">
        <w:rPr>
          <w:color w:val="auto"/>
          <w:sz w:val="23"/>
          <w:szCs w:val="23"/>
        </w:rPr>
        <w:t xml:space="preserve"> </w:t>
      </w:r>
      <w:r w:rsidRPr="00EA59C0">
        <w:rPr>
          <w:color w:val="auto"/>
          <w:sz w:val="23"/>
          <w:szCs w:val="23"/>
        </w:rPr>
        <w:t>must</w:t>
      </w:r>
      <w:r w:rsidR="00C026A6" w:rsidRPr="00EA59C0">
        <w:rPr>
          <w:color w:val="auto"/>
          <w:sz w:val="23"/>
          <w:szCs w:val="23"/>
        </w:rPr>
        <w:t xml:space="preserve"> </w:t>
      </w:r>
      <w:r w:rsidRPr="00EA59C0">
        <w:rPr>
          <w:color w:val="auto"/>
          <w:sz w:val="23"/>
          <w:szCs w:val="23"/>
        </w:rPr>
        <w:t>comply</w:t>
      </w:r>
      <w:r w:rsidR="00C026A6" w:rsidRPr="00EA59C0">
        <w:rPr>
          <w:color w:val="auto"/>
          <w:sz w:val="23"/>
          <w:szCs w:val="23"/>
        </w:rPr>
        <w:t xml:space="preserve"> </w:t>
      </w:r>
      <w:r w:rsidRPr="00EA59C0">
        <w:rPr>
          <w:color w:val="auto"/>
          <w:sz w:val="23"/>
          <w:szCs w:val="23"/>
        </w:rPr>
        <w:t>in</w:t>
      </w:r>
      <w:r w:rsidR="00C026A6" w:rsidRPr="00EA59C0">
        <w:rPr>
          <w:color w:val="auto"/>
          <w:sz w:val="23"/>
          <w:szCs w:val="23"/>
        </w:rPr>
        <w:t xml:space="preserve"> </w:t>
      </w:r>
      <w:r w:rsidRPr="00EA59C0">
        <w:rPr>
          <w:color w:val="auto"/>
          <w:sz w:val="23"/>
          <w:szCs w:val="23"/>
        </w:rPr>
        <w:t>their</w:t>
      </w:r>
      <w:r w:rsidR="00C026A6" w:rsidRPr="00EA59C0">
        <w:rPr>
          <w:color w:val="auto"/>
          <w:sz w:val="23"/>
          <w:szCs w:val="23"/>
        </w:rPr>
        <w:t xml:space="preserve"> </w:t>
      </w:r>
      <w:r w:rsidRPr="00EA59C0">
        <w:rPr>
          <w:color w:val="auto"/>
          <w:sz w:val="23"/>
          <w:szCs w:val="23"/>
        </w:rPr>
        <w:t>handling</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such</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as</w:t>
      </w:r>
      <w:r w:rsidR="00C026A6" w:rsidRPr="00EA59C0">
        <w:rPr>
          <w:color w:val="auto"/>
          <w:sz w:val="23"/>
          <w:szCs w:val="23"/>
        </w:rPr>
        <w:t xml:space="preserve"> </w:t>
      </w:r>
      <w:r w:rsidRPr="00EA59C0">
        <w:rPr>
          <w:color w:val="auto"/>
          <w:sz w:val="23"/>
          <w:szCs w:val="23"/>
        </w:rPr>
        <w:t>well</w:t>
      </w:r>
      <w:r w:rsidR="00C026A6" w:rsidRPr="00EA59C0">
        <w:rPr>
          <w:color w:val="auto"/>
          <w:sz w:val="23"/>
          <w:szCs w:val="23"/>
        </w:rPr>
        <w:t xml:space="preserve"> </w:t>
      </w:r>
      <w:r w:rsidRPr="00EA59C0">
        <w:rPr>
          <w:color w:val="auto"/>
          <w:sz w:val="23"/>
          <w:szCs w:val="23"/>
        </w:rPr>
        <w:t>as</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fact</w:t>
      </w:r>
      <w:r w:rsidR="00C026A6" w:rsidRPr="00EA59C0">
        <w:rPr>
          <w:color w:val="auto"/>
          <w:sz w:val="23"/>
          <w:szCs w:val="23"/>
        </w:rPr>
        <w:t xml:space="preserve"> </w:t>
      </w:r>
      <w:r w:rsidRPr="00EA59C0">
        <w:rPr>
          <w:color w:val="auto"/>
          <w:sz w:val="23"/>
          <w:szCs w:val="23"/>
        </w:rPr>
        <w:t>that</w:t>
      </w:r>
      <w:r w:rsidR="00C026A6" w:rsidRPr="00EA59C0">
        <w:rPr>
          <w:color w:val="auto"/>
          <w:sz w:val="23"/>
          <w:szCs w:val="23"/>
        </w:rPr>
        <w:t xml:space="preserve"> </w:t>
      </w:r>
      <w:r w:rsidRPr="00EA59C0">
        <w:rPr>
          <w:color w:val="auto"/>
          <w:sz w:val="23"/>
          <w:szCs w:val="23"/>
        </w:rPr>
        <w:t>they</w:t>
      </w:r>
      <w:r w:rsidR="00C026A6" w:rsidRPr="00EA59C0">
        <w:rPr>
          <w:color w:val="auto"/>
          <w:sz w:val="23"/>
          <w:szCs w:val="23"/>
        </w:rPr>
        <w:t xml:space="preserve"> </w:t>
      </w:r>
      <w:r w:rsidRPr="00EA59C0">
        <w:rPr>
          <w:color w:val="auto"/>
          <w:sz w:val="23"/>
          <w:szCs w:val="23"/>
        </w:rPr>
        <w:t>may</w:t>
      </w:r>
      <w:r w:rsidR="00C026A6" w:rsidRPr="00EA59C0">
        <w:rPr>
          <w:color w:val="auto"/>
          <w:sz w:val="23"/>
          <w:szCs w:val="23"/>
        </w:rPr>
        <w:t xml:space="preserve"> </w:t>
      </w:r>
      <w:r w:rsidRPr="00EA59C0">
        <w:rPr>
          <w:color w:val="auto"/>
          <w:sz w:val="23"/>
          <w:szCs w:val="23"/>
        </w:rPr>
        <w:t>be</w:t>
      </w:r>
      <w:r w:rsidR="00C026A6" w:rsidRPr="00EA59C0">
        <w:rPr>
          <w:color w:val="auto"/>
          <w:sz w:val="23"/>
          <w:szCs w:val="23"/>
        </w:rPr>
        <w:t xml:space="preserve"> </w:t>
      </w:r>
      <w:r w:rsidRPr="00EA59C0">
        <w:rPr>
          <w:color w:val="auto"/>
          <w:sz w:val="23"/>
          <w:szCs w:val="23"/>
        </w:rPr>
        <w:t>liable</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civil</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criminal</w:t>
      </w:r>
      <w:r w:rsidR="00C026A6" w:rsidRPr="00EA59C0">
        <w:rPr>
          <w:color w:val="auto"/>
          <w:sz w:val="23"/>
          <w:szCs w:val="23"/>
        </w:rPr>
        <w:t xml:space="preserve"> </w:t>
      </w:r>
      <w:r w:rsidRPr="00EA59C0">
        <w:rPr>
          <w:color w:val="auto"/>
          <w:sz w:val="23"/>
          <w:szCs w:val="23"/>
        </w:rPr>
        <w:t>sanctions</w:t>
      </w:r>
      <w:r w:rsidR="00C026A6" w:rsidRPr="00EA59C0">
        <w:rPr>
          <w:color w:val="auto"/>
          <w:sz w:val="23"/>
          <w:szCs w:val="23"/>
        </w:rPr>
        <w:t xml:space="preserve"> </w:t>
      </w:r>
      <w:r w:rsidRPr="00EA59C0">
        <w:rPr>
          <w:color w:val="auto"/>
          <w:sz w:val="23"/>
          <w:szCs w:val="23"/>
        </w:rPr>
        <w:t>for</w:t>
      </w:r>
      <w:r w:rsidR="00C026A6" w:rsidRPr="00EA59C0">
        <w:rPr>
          <w:color w:val="auto"/>
          <w:sz w:val="23"/>
          <w:szCs w:val="23"/>
        </w:rPr>
        <w:t xml:space="preserve"> </w:t>
      </w:r>
      <w:r w:rsidRPr="00EA59C0">
        <w:rPr>
          <w:color w:val="auto"/>
          <w:sz w:val="23"/>
          <w:szCs w:val="23"/>
        </w:rPr>
        <w:t>improper</w:t>
      </w:r>
      <w:r w:rsidR="00C026A6" w:rsidRPr="00EA59C0">
        <w:rPr>
          <w:color w:val="auto"/>
          <w:sz w:val="23"/>
          <w:szCs w:val="23"/>
        </w:rPr>
        <w:t xml:space="preserve"> </w:t>
      </w:r>
      <w:r w:rsidRPr="00EA59C0">
        <w:rPr>
          <w:color w:val="auto"/>
          <w:sz w:val="23"/>
          <w:szCs w:val="23"/>
        </w:rPr>
        <w:t>disclosure.</w:t>
      </w:r>
      <w:r w:rsidR="00C026A6" w:rsidRPr="00EA59C0">
        <w:rPr>
          <w:color w:val="auto"/>
          <w:sz w:val="23"/>
          <w:szCs w:val="23"/>
        </w:rPr>
        <w:t xml:space="preserve"> </w:t>
      </w:r>
    </w:p>
    <w:p w:rsidR="00144DF0" w:rsidRPr="00EA59C0" w:rsidRDefault="00D81847" w:rsidP="004C3998">
      <w:pPr>
        <w:pStyle w:val="Default"/>
        <w:numPr>
          <w:ilvl w:val="4"/>
          <w:numId w:val="17"/>
        </w:numPr>
        <w:rPr>
          <w:color w:val="auto"/>
          <w:sz w:val="23"/>
          <w:szCs w:val="23"/>
        </w:rPr>
      </w:pPr>
      <w:r w:rsidRPr="00EA59C0">
        <w:rPr>
          <w:color w:val="auto"/>
          <w:sz w:val="23"/>
          <w:szCs w:val="23"/>
        </w:rPr>
        <w:t>Grantees</w:t>
      </w:r>
      <w:r w:rsidR="00C026A6" w:rsidRPr="00EA59C0">
        <w:rPr>
          <w:color w:val="auto"/>
          <w:sz w:val="23"/>
          <w:szCs w:val="23"/>
        </w:rPr>
        <w:t xml:space="preserve"> </w:t>
      </w:r>
      <w:r w:rsidRPr="00EA59C0">
        <w:rPr>
          <w:color w:val="auto"/>
          <w:sz w:val="23"/>
          <w:szCs w:val="23"/>
        </w:rPr>
        <w:t>must</w:t>
      </w:r>
      <w:r w:rsidR="00C026A6" w:rsidRPr="00EA59C0">
        <w:rPr>
          <w:color w:val="auto"/>
          <w:sz w:val="23"/>
          <w:szCs w:val="23"/>
        </w:rPr>
        <w:t xml:space="preserve"> </w:t>
      </w:r>
      <w:r w:rsidRPr="00EA59C0">
        <w:rPr>
          <w:color w:val="auto"/>
          <w:sz w:val="23"/>
          <w:szCs w:val="23"/>
        </w:rPr>
        <w:t>not</w:t>
      </w:r>
      <w:r w:rsidR="00C026A6" w:rsidRPr="00EA59C0">
        <w:rPr>
          <w:color w:val="auto"/>
          <w:sz w:val="23"/>
          <w:szCs w:val="23"/>
        </w:rPr>
        <w:t xml:space="preserve"> </w:t>
      </w:r>
      <w:r w:rsidRPr="00EA59C0">
        <w:rPr>
          <w:color w:val="auto"/>
          <w:sz w:val="23"/>
          <w:szCs w:val="23"/>
        </w:rPr>
        <w:t>extract</w:t>
      </w:r>
      <w:r w:rsidR="00C026A6" w:rsidRPr="00EA59C0">
        <w:rPr>
          <w:color w:val="auto"/>
          <w:sz w:val="23"/>
          <w:szCs w:val="23"/>
        </w:rPr>
        <w:t xml:space="preserve"> </w:t>
      </w:r>
      <w:r w:rsidRPr="00EA59C0">
        <w:rPr>
          <w:color w:val="auto"/>
          <w:sz w:val="23"/>
          <w:szCs w:val="23"/>
        </w:rPr>
        <w:t>information</w:t>
      </w:r>
      <w:r w:rsidR="00C026A6" w:rsidRPr="00EA59C0">
        <w:rPr>
          <w:color w:val="auto"/>
          <w:sz w:val="23"/>
          <w:szCs w:val="23"/>
        </w:rPr>
        <w:t xml:space="preserve"> </w:t>
      </w:r>
      <w:r w:rsidRPr="00EA59C0">
        <w:rPr>
          <w:color w:val="auto"/>
          <w:sz w:val="23"/>
          <w:szCs w:val="23"/>
        </w:rPr>
        <w:t>from</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supplied</w:t>
      </w:r>
      <w:r w:rsidR="00C026A6" w:rsidRPr="00EA59C0">
        <w:rPr>
          <w:color w:val="auto"/>
          <w:sz w:val="23"/>
          <w:szCs w:val="23"/>
        </w:rPr>
        <w:t xml:space="preserve"> </w:t>
      </w:r>
      <w:r w:rsidRPr="00EA59C0">
        <w:rPr>
          <w:color w:val="auto"/>
          <w:sz w:val="23"/>
          <w:szCs w:val="23"/>
        </w:rPr>
        <w:t>by</w:t>
      </w:r>
      <w:r w:rsidR="00C026A6" w:rsidRPr="00EA59C0">
        <w:rPr>
          <w:color w:val="auto"/>
          <w:sz w:val="23"/>
          <w:szCs w:val="23"/>
        </w:rPr>
        <w:t xml:space="preserve"> </w:t>
      </w:r>
      <w:r w:rsidRPr="00EA59C0">
        <w:rPr>
          <w:color w:val="auto"/>
          <w:sz w:val="23"/>
          <w:szCs w:val="23"/>
        </w:rPr>
        <w:t>ETA</w:t>
      </w:r>
      <w:r w:rsidR="00C026A6" w:rsidRPr="00EA59C0">
        <w:rPr>
          <w:color w:val="auto"/>
          <w:sz w:val="23"/>
          <w:szCs w:val="23"/>
        </w:rPr>
        <w:t xml:space="preserve"> </w:t>
      </w:r>
      <w:r w:rsidRPr="00EA59C0">
        <w:rPr>
          <w:color w:val="auto"/>
          <w:sz w:val="23"/>
          <w:szCs w:val="23"/>
        </w:rPr>
        <w:t>for</w:t>
      </w:r>
      <w:r w:rsidR="00C026A6" w:rsidRPr="00EA59C0">
        <w:rPr>
          <w:color w:val="auto"/>
          <w:sz w:val="23"/>
          <w:szCs w:val="23"/>
        </w:rPr>
        <w:t xml:space="preserve"> </w:t>
      </w:r>
      <w:r w:rsidRPr="00EA59C0">
        <w:rPr>
          <w:color w:val="auto"/>
          <w:sz w:val="23"/>
          <w:szCs w:val="23"/>
        </w:rPr>
        <w:t>any</w:t>
      </w:r>
      <w:r w:rsidR="00C026A6" w:rsidRPr="00EA59C0">
        <w:rPr>
          <w:color w:val="auto"/>
          <w:sz w:val="23"/>
          <w:szCs w:val="23"/>
        </w:rPr>
        <w:t xml:space="preserve"> </w:t>
      </w:r>
      <w:r w:rsidRPr="00EA59C0">
        <w:rPr>
          <w:color w:val="auto"/>
          <w:sz w:val="23"/>
          <w:szCs w:val="23"/>
        </w:rPr>
        <w:t>purpose</w:t>
      </w:r>
      <w:r w:rsidR="00C026A6" w:rsidRPr="00EA59C0">
        <w:rPr>
          <w:color w:val="auto"/>
          <w:sz w:val="23"/>
          <w:szCs w:val="23"/>
        </w:rPr>
        <w:t xml:space="preserve"> </w:t>
      </w:r>
      <w:r w:rsidRPr="00EA59C0">
        <w:rPr>
          <w:color w:val="auto"/>
          <w:sz w:val="23"/>
          <w:szCs w:val="23"/>
        </w:rPr>
        <w:t>not</w:t>
      </w:r>
      <w:r w:rsidR="00C026A6" w:rsidRPr="00EA59C0">
        <w:rPr>
          <w:color w:val="auto"/>
          <w:sz w:val="23"/>
          <w:szCs w:val="23"/>
        </w:rPr>
        <w:t xml:space="preserve"> </w:t>
      </w:r>
      <w:r w:rsidRPr="00EA59C0">
        <w:rPr>
          <w:color w:val="auto"/>
          <w:sz w:val="23"/>
          <w:szCs w:val="23"/>
        </w:rPr>
        <w:t>stated</w:t>
      </w:r>
      <w:r w:rsidR="00C026A6" w:rsidRPr="00EA59C0">
        <w:rPr>
          <w:color w:val="auto"/>
          <w:sz w:val="23"/>
          <w:szCs w:val="23"/>
        </w:rPr>
        <w:t xml:space="preserve"> </w:t>
      </w:r>
      <w:r w:rsidRPr="00EA59C0">
        <w:rPr>
          <w:color w:val="auto"/>
          <w:sz w:val="23"/>
          <w:szCs w:val="23"/>
        </w:rPr>
        <w:t>in</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grant</w:t>
      </w:r>
      <w:r w:rsidR="00C026A6" w:rsidRPr="00EA59C0">
        <w:rPr>
          <w:color w:val="auto"/>
          <w:sz w:val="23"/>
          <w:szCs w:val="23"/>
        </w:rPr>
        <w:t xml:space="preserve"> </w:t>
      </w:r>
      <w:r w:rsidRPr="00EA59C0">
        <w:rPr>
          <w:color w:val="auto"/>
          <w:sz w:val="23"/>
          <w:szCs w:val="23"/>
        </w:rPr>
        <w:t>agreement.</w:t>
      </w:r>
      <w:r w:rsidR="00C026A6" w:rsidRPr="00EA59C0">
        <w:rPr>
          <w:color w:val="auto"/>
          <w:sz w:val="23"/>
          <w:szCs w:val="23"/>
        </w:rPr>
        <w:t xml:space="preserve"> </w:t>
      </w:r>
    </w:p>
    <w:p w:rsidR="00144DF0" w:rsidRPr="00EA59C0" w:rsidRDefault="00D81847" w:rsidP="004C3998">
      <w:pPr>
        <w:pStyle w:val="Default"/>
        <w:numPr>
          <w:ilvl w:val="4"/>
          <w:numId w:val="17"/>
        </w:numPr>
        <w:rPr>
          <w:color w:val="auto"/>
          <w:sz w:val="23"/>
          <w:szCs w:val="23"/>
        </w:rPr>
      </w:pPr>
      <w:r w:rsidRPr="00EA59C0">
        <w:rPr>
          <w:color w:val="auto"/>
          <w:sz w:val="23"/>
          <w:szCs w:val="23"/>
        </w:rPr>
        <w:t>Access</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any</w:t>
      </w:r>
      <w:r w:rsidR="00C026A6" w:rsidRPr="00EA59C0">
        <w:rPr>
          <w:color w:val="auto"/>
          <w:sz w:val="23"/>
          <w:szCs w:val="23"/>
        </w:rPr>
        <w:t xml:space="preserve"> </w:t>
      </w:r>
      <w:r w:rsidRPr="00EA59C0">
        <w:rPr>
          <w:color w:val="auto"/>
          <w:sz w:val="23"/>
          <w:szCs w:val="23"/>
        </w:rPr>
        <w:t>PII</w:t>
      </w:r>
      <w:r w:rsidR="00C026A6" w:rsidRPr="00EA59C0">
        <w:rPr>
          <w:color w:val="auto"/>
          <w:sz w:val="23"/>
          <w:szCs w:val="23"/>
        </w:rPr>
        <w:t xml:space="preserve"> </w:t>
      </w:r>
      <w:r w:rsidRPr="00EA59C0">
        <w:rPr>
          <w:color w:val="auto"/>
          <w:sz w:val="23"/>
          <w:szCs w:val="23"/>
        </w:rPr>
        <w:t>created</w:t>
      </w:r>
      <w:r w:rsidR="00C026A6" w:rsidRPr="00EA59C0">
        <w:rPr>
          <w:color w:val="auto"/>
          <w:sz w:val="23"/>
          <w:szCs w:val="23"/>
        </w:rPr>
        <w:t xml:space="preserve"> </w:t>
      </w:r>
      <w:r w:rsidRPr="00EA59C0">
        <w:rPr>
          <w:color w:val="auto"/>
          <w:sz w:val="23"/>
          <w:szCs w:val="23"/>
        </w:rPr>
        <w:t>by</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ETA</w:t>
      </w:r>
      <w:r w:rsidR="00C026A6" w:rsidRPr="00EA59C0">
        <w:rPr>
          <w:color w:val="auto"/>
          <w:sz w:val="23"/>
          <w:szCs w:val="23"/>
        </w:rPr>
        <w:t xml:space="preserve"> </w:t>
      </w:r>
      <w:r w:rsidRPr="00EA59C0">
        <w:rPr>
          <w:color w:val="auto"/>
          <w:sz w:val="23"/>
          <w:szCs w:val="23"/>
        </w:rPr>
        <w:t>grant</w:t>
      </w:r>
      <w:r w:rsidR="00C026A6" w:rsidRPr="00EA59C0">
        <w:rPr>
          <w:color w:val="auto"/>
          <w:sz w:val="23"/>
          <w:szCs w:val="23"/>
        </w:rPr>
        <w:t xml:space="preserve"> </w:t>
      </w:r>
      <w:r w:rsidRPr="00EA59C0">
        <w:rPr>
          <w:color w:val="auto"/>
          <w:sz w:val="23"/>
          <w:szCs w:val="23"/>
        </w:rPr>
        <w:t>must</w:t>
      </w:r>
      <w:r w:rsidR="00C026A6" w:rsidRPr="00EA59C0">
        <w:rPr>
          <w:color w:val="auto"/>
          <w:sz w:val="23"/>
          <w:szCs w:val="23"/>
        </w:rPr>
        <w:t xml:space="preserve"> </w:t>
      </w:r>
      <w:r w:rsidRPr="00EA59C0">
        <w:rPr>
          <w:color w:val="auto"/>
          <w:sz w:val="23"/>
          <w:szCs w:val="23"/>
        </w:rPr>
        <w:t>be</w:t>
      </w:r>
      <w:r w:rsidR="00C026A6" w:rsidRPr="00EA59C0">
        <w:rPr>
          <w:color w:val="auto"/>
          <w:sz w:val="23"/>
          <w:szCs w:val="23"/>
        </w:rPr>
        <w:t xml:space="preserve"> </w:t>
      </w:r>
      <w:r w:rsidRPr="00EA59C0">
        <w:rPr>
          <w:color w:val="auto"/>
          <w:sz w:val="23"/>
          <w:szCs w:val="23"/>
        </w:rPr>
        <w:t>restricted</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only</w:t>
      </w:r>
      <w:r w:rsidR="00C026A6" w:rsidRPr="00EA59C0">
        <w:rPr>
          <w:color w:val="auto"/>
          <w:sz w:val="23"/>
          <w:szCs w:val="23"/>
        </w:rPr>
        <w:t xml:space="preserve"> </w:t>
      </w:r>
      <w:r w:rsidRPr="00EA59C0">
        <w:rPr>
          <w:color w:val="auto"/>
          <w:sz w:val="23"/>
          <w:szCs w:val="23"/>
        </w:rPr>
        <w:t>those</w:t>
      </w:r>
      <w:r w:rsidR="00C026A6" w:rsidRPr="00EA59C0">
        <w:rPr>
          <w:color w:val="auto"/>
          <w:sz w:val="23"/>
          <w:szCs w:val="23"/>
        </w:rPr>
        <w:t xml:space="preserve"> </w:t>
      </w:r>
      <w:r w:rsidRPr="00EA59C0">
        <w:rPr>
          <w:color w:val="auto"/>
          <w:sz w:val="23"/>
          <w:szCs w:val="23"/>
        </w:rPr>
        <w:t>employees</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grant</w:t>
      </w:r>
      <w:r w:rsidR="00C026A6" w:rsidRPr="00EA59C0">
        <w:rPr>
          <w:color w:val="auto"/>
          <w:sz w:val="23"/>
          <w:szCs w:val="23"/>
        </w:rPr>
        <w:t xml:space="preserve"> </w:t>
      </w:r>
      <w:r w:rsidRPr="00EA59C0">
        <w:rPr>
          <w:color w:val="auto"/>
          <w:sz w:val="23"/>
          <w:szCs w:val="23"/>
        </w:rPr>
        <w:t>recipient</w:t>
      </w:r>
      <w:r w:rsidR="00C026A6" w:rsidRPr="00EA59C0">
        <w:rPr>
          <w:color w:val="auto"/>
          <w:sz w:val="23"/>
          <w:szCs w:val="23"/>
        </w:rPr>
        <w:t xml:space="preserve"> </w:t>
      </w:r>
      <w:r w:rsidRPr="00EA59C0">
        <w:rPr>
          <w:color w:val="auto"/>
          <w:sz w:val="23"/>
          <w:szCs w:val="23"/>
        </w:rPr>
        <w:t>who</w:t>
      </w:r>
      <w:r w:rsidR="00C026A6" w:rsidRPr="00EA59C0">
        <w:rPr>
          <w:color w:val="auto"/>
          <w:sz w:val="23"/>
          <w:szCs w:val="23"/>
        </w:rPr>
        <w:t xml:space="preserve"> </w:t>
      </w:r>
      <w:r w:rsidRPr="00EA59C0">
        <w:rPr>
          <w:color w:val="auto"/>
          <w:sz w:val="23"/>
          <w:szCs w:val="23"/>
        </w:rPr>
        <w:t>need</w:t>
      </w:r>
      <w:r w:rsidR="00C026A6" w:rsidRPr="00EA59C0">
        <w:rPr>
          <w:color w:val="auto"/>
          <w:sz w:val="23"/>
          <w:szCs w:val="23"/>
        </w:rPr>
        <w:t xml:space="preserve"> </w:t>
      </w:r>
      <w:r w:rsidRPr="00EA59C0">
        <w:rPr>
          <w:color w:val="auto"/>
          <w:sz w:val="23"/>
          <w:szCs w:val="23"/>
        </w:rPr>
        <w:t>it</w:t>
      </w:r>
      <w:r w:rsidR="00C026A6" w:rsidRPr="00EA59C0">
        <w:rPr>
          <w:color w:val="auto"/>
          <w:sz w:val="23"/>
          <w:szCs w:val="23"/>
        </w:rPr>
        <w:t xml:space="preserve"> </w:t>
      </w:r>
      <w:r w:rsidRPr="00EA59C0">
        <w:rPr>
          <w:color w:val="auto"/>
          <w:sz w:val="23"/>
          <w:szCs w:val="23"/>
        </w:rPr>
        <w:t>in</w:t>
      </w:r>
      <w:r w:rsidR="00C026A6" w:rsidRPr="00EA59C0">
        <w:rPr>
          <w:color w:val="auto"/>
          <w:sz w:val="23"/>
          <w:szCs w:val="23"/>
        </w:rPr>
        <w:t xml:space="preserve"> </w:t>
      </w:r>
      <w:r w:rsidRPr="00EA59C0">
        <w:rPr>
          <w:color w:val="auto"/>
          <w:sz w:val="23"/>
          <w:szCs w:val="23"/>
        </w:rPr>
        <w:t>their</w:t>
      </w:r>
      <w:r w:rsidR="00C026A6" w:rsidRPr="00EA59C0">
        <w:rPr>
          <w:color w:val="auto"/>
          <w:sz w:val="23"/>
          <w:szCs w:val="23"/>
        </w:rPr>
        <w:t xml:space="preserve"> </w:t>
      </w:r>
      <w:r w:rsidRPr="00EA59C0">
        <w:rPr>
          <w:color w:val="auto"/>
          <w:sz w:val="23"/>
          <w:szCs w:val="23"/>
        </w:rPr>
        <w:t>official</w:t>
      </w:r>
      <w:r w:rsidR="00C026A6" w:rsidRPr="00EA59C0">
        <w:rPr>
          <w:color w:val="auto"/>
          <w:sz w:val="23"/>
          <w:szCs w:val="23"/>
        </w:rPr>
        <w:t xml:space="preserve"> </w:t>
      </w:r>
      <w:r w:rsidRPr="00EA59C0">
        <w:rPr>
          <w:color w:val="auto"/>
          <w:sz w:val="23"/>
          <w:szCs w:val="23"/>
        </w:rPr>
        <w:t>capacity</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perform</w:t>
      </w:r>
      <w:r w:rsidR="00C026A6" w:rsidRPr="00EA59C0">
        <w:rPr>
          <w:color w:val="auto"/>
          <w:sz w:val="23"/>
          <w:szCs w:val="23"/>
        </w:rPr>
        <w:t xml:space="preserve"> </w:t>
      </w:r>
      <w:r w:rsidRPr="00EA59C0">
        <w:rPr>
          <w:color w:val="auto"/>
          <w:sz w:val="23"/>
          <w:szCs w:val="23"/>
        </w:rPr>
        <w:t>duties</w:t>
      </w:r>
      <w:r w:rsidR="00C026A6" w:rsidRPr="00EA59C0">
        <w:rPr>
          <w:color w:val="auto"/>
          <w:sz w:val="23"/>
          <w:szCs w:val="23"/>
        </w:rPr>
        <w:t xml:space="preserve"> </w:t>
      </w:r>
      <w:r w:rsidRPr="00EA59C0">
        <w:rPr>
          <w:color w:val="auto"/>
          <w:sz w:val="23"/>
          <w:szCs w:val="23"/>
        </w:rPr>
        <w:t>in</w:t>
      </w:r>
      <w:r w:rsidR="00C026A6" w:rsidRPr="00EA59C0">
        <w:rPr>
          <w:color w:val="auto"/>
          <w:sz w:val="23"/>
          <w:szCs w:val="23"/>
        </w:rPr>
        <w:t xml:space="preserve"> </w:t>
      </w:r>
      <w:r w:rsidRPr="00EA59C0">
        <w:rPr>
          <w:color w:val="auto"/>
          <w:sz w:val="23"/>
          <w:szCs w:val="23"/>
        </w:rPr>
        <w:t>connection</w:t>
      </w:r>
      <w:r w:rsidR="00C026A6" w:rsidRPr="00EA59C0">
        <w:rPr>
          <w:color w:val="auto"/>
          <w:sz w:val="23"/>
          <w:szCs w:val="23"/>
        </w:rPr>
        <w:t xml:space="preserve"> </w:t>
      </w:r>
      <w:r w:rsidRPr="00EA59C0">
        <w:rPr>
          <w:color w:val="auto"/>
          <w:sz w:val="23"/>
          <w:szCs w:val="23"/>
        </w:rPr>
        <w:t>with</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scope</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work</w:t>
      </w:r>
      <w:r w:rsidR="00C026A6" w:rsidRPr="00EA59C0">
        <w:rPr>
          <w:color w:val="auto"/>
          <w:sz w:val="23"/>
          <w:szCs w:val="23"/>
        </w:rPr>
        <w:t xml:space="preserve"> </w:t>
      </w:r>
      <w:r w:rsidRPr="00EA59C0">
        <w:rPr>
          <w:color w:val="auto"/>
          <w:sz w:val="23"/>
          <w:szCs w:val="23"/>
        </w:rPr>
        <w:t>in</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grant</w:t>
      </w:r>
      <w:r w:rsidR="00C026A6" w:rsidRPr="00EA59C0">
        <w:rPr>
          <w:color w:val="auto"/>
          <w:sz w:val="23"/>
          <w:szCs w:val="23"/>
        </w:rPr>
        <w:t xml:space="preserve"> </w:t>
      </w:r>
      <w:r w:rsidRPr="00EA59C0">
        <w:rPr>
          <w:color w:val="auto"/>
          <w:sz w:val="23"/>
          <w:szCs w:val="23"/>
        </w:rPr>
        <w:t>agreement.</w:t>
      </w:r>
      <w:r w:rsidR="00C026A6" w:rsidRPr="00EA59C0">
        <w:rPr>
          <w:color w:val="auto"/>
          <w:sz w:val="23"/>
          <w:szCs w:val="23"/>
        </w:rPr>
        <w:t xml:space="preserve"> </w:t>
      </w:r>
    </w:p>
    <w:p w:rsidR="00144DF0" w:rsidRPr="00EA59C0" w:rsidRDefault="00D81847" w:rsidP="004C3998">
      <w:pPr>
        <w:pStyle w:val="Default"/>
        <w:numPr>
          <w:ilvl w:val="4"/>
          <w:numId w:val="17"/>
        </w:numPr>
        <w:rPr>
          <w:color w:val="auto"/>
          <w:sz w:val="23"/>
          <w:szCs w:val="23"/>
        </w:rPr>
      </w:pPr>
      <w:r w:rsidRPr="00EA59C0">
        <w:rPr>
          <w:color w:val="auto"/>
          <w:sz w:val="23"/>
          <w:szCs w:val="23"/>
        </w:rPr>
        <w:t>All</w:t>
      </w:r>
      <w:r w:rsidR="00C026A6" w:rsidRPr="00EA59C0">
        <w:rPr>
          <w:color w:val="auto"/>
          <w:sz w:val="23"/>
          <w:szCs w:val="23"/>
        </w:rPr>
        <w:t xml:space="preserve"> </w:t>
      </w:r>
      <w:r w:rsidRPr="00EA59C0">
        <w:rPr>
          <w:color w:val="auto"/>
          <w:sz w:val="23"/>
          <w:szCs w:val="23"/>
        </w:rPr>
        <w:t>PII</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must</w:t>
      </w:r>
      <w:r w:rsidR="00C026A6" w:rsidRPr="00EA59C0">
        <w:rPr>
          <w:color w:val="auto"/>
          <w:sz w:val="23"/>
          <w:szCs w:val="23"/>
        </w:rPr>
        <w:t xml:space="preserve"> </w:t>
      </w:r>
      <w:r w:rsidRPr="00EA59C0">
        <w:rPr>
          <w:color w:val="auto"/>
          <w:sz w:val="23"/>
          <w:szCs w:val="23"/>
        </w:rPr>
        <w:t>be</w:t>
      </w:r>
      <w:r w:rsidR="00C026A6" w:rsidRPr="00EA59C0">
        <w:rPr>
          <w:color w:val="auto"/>
          <w:sz w:val="23"/>
          <w:szCs w:val="23"/>
        </w:rPr>
        <w:t xml:space="preserve"> </w:t>
      </w:r>
      <w:r w:rsidRPr="00EA59C0">
        <w:rPr>
          <w:color w:val="auto"/>
          <w:sz w:val="23"/>
          <w:szCs w:val="23"/>
        </w:rPr>
        <w:t>processed</w:t>
      </w:r>
      <w:r w:rsidR="00C026A6" w:rsidRPr="00EA59C0">
        <w:rPr>
          <w:color w:val="auto"/>
          <w:sz w:val="23"/>
          <w:szCs w:val="23"/>
        </w:rPr>
        <w:t xml:space="preserve"> </w:t>
      </w:r>
      <w:r w:rsidRPr="00EA59C0">
        <w:rPr>
          <w:color w:val="auto"/>
          <w:sz w:val="23"/>
          <w:szCs w:val="23"/>
        </w:rPr>
        <w:t>in</w:t>
      </w:r>
      <w:r w:rsidR="00C026A6" w:rsidRPr="00EA59C0">
        <w:rPr>
          <w:color w:val="auto"/>
          <w:sz w:val="23"/>
          <w:szCs w:val="23"/>
        </w:rPr>
        <w:t xml:space="preserve"> </w:t>
      </w:r>
      <w:r w:rsidRPr="00EA59C0">
        <w:rPr>
          <w:color w:val="auto"/>
          <w:sz w:val="23"/>
          <w:szCs w:val="23"/>
        </w:rPr>
        <w:t>a</w:t>
      </w:r>
      <w:r w:rsidR="00C026A6" w:rsidRPr="00EA59C0">
        <w:rPr>
          <w:color w:val="auto"/>
          <w:sz w:val="23"/>
          <w:szCs w:val="23"/>
        </w:rPr>
        <w:t xml:space="preserve"> </w:t>
      </w:r>
      <w:r w:rsidRPr="00EA59C0">
        <w:rPr>
          <w:color w:val="auto"/>
          <w:sz w:val="23"/>
          <w:szCs w:val="23"/>
        </w:rPr>
        <w:t>manner</w:t>
      </w:r>
      <w:r w:rsidR="00C026A6" w:rsidRPr="00EA59C0">
        <w:rPr>
          <w:color w:val="auto"/>
          <w:sz w:val="23"/>
          <w:szCs w:val="23"/>
        </w:rPr>
        <w:t xml:space="preserve"> </w:t>
      </w:r>
      <w:r w:rsidRPr="00EA59C0">
        <w:rPr>
          <w:color w:val="auto"/>
          <w:sz w:val="23"/>
          <w:szCs w:val="23"/>
        </w:rPr>
        <w:t>that</w:t>
      </w:r>
      <w:r w:rsidR="00C026A6" w:rsidRPr="00EA59C0">
        <w:rPr>
          <w:color w:val="auto"/>
          <w:sz w:val="23"/>
          <w:szCs w:val="23"/>
        </w:rPr>
        <w:t xml:space="preserve"> </w:t>
      </w:r>
      <w:r w:rsidRPr="00EA59C0">
        <w:rPr>
          <w:color w:val="auto"/>
          <w:sz w:val="23"/>
          <w:szCs w:val="23"/>
        </w:rPr>
        <w:t>will</w:t>
      </w:r>
      <w:r w:rsidR="00C026A6" w:rsidRPr="00EA59C0">
        <w:rPr>
          <w:color w:val="auto"/>
          <w:sz w:val="23"/>
          <w:szCs w:val="23"/>
        </w:rPr>
        <w:t xml:space="preserve"> </w:t>
      </w:r>
      <w:r w:rsidRPr="00EA59C0">
        <w:rPr>
          <w:color w:val="auto"/>
          <w:sz w:val="23"/>
          <w:szCs w:val="23"/>
        </w:rPr>
        <w:t>protect</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confidentiality</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records/documents</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is</w:t>
      </w:r>
      <w:r w:rsidR="00C026A6" w:rsidRPr="00EA59C0">
        <w:rPr>
          <w:color w:val="auto"/>
          <w:sz w:val="23"/>
          <w:szCs w:val="23"/>
        </w:rPr>
        <w:t xml:space="preserve"> </w:t>
      </w:r>
      <w:r w:rsidRPr="00EA59C0">
        <w:rPr>
          <w:color w:val="auto"/>
          <w:sz w:val="23"/>
          <w:szCs w:val="23"/>
        </w:rPr>
        <w:t>designed</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prevent</w:t>
      </w:r>
      <w:r w:rsidR="00C026A6" w:rsidRPr="00EA59C0">
        <w:rPr>
          <w:color w:val="auto"/>
          <w:sz w:val="23"/>
          <w:szCs w:val="23"/>
        </w:rPr>
        <w:t xml:space="preserve"> </w:t>
      </w:r>
      <w:r w:rsidRPr="00EA59C0">
        <w:rPr>
          <w:color w:val="auto"/>
          <w:sz w:val="23"/>
          <w:szCs w:val="23"/>
        </w:rPr>
        <w:t>unauthorized</w:t>
      </w:r>
      <w:r w:rsidR="00C026A6" w:rsidRPr="00EA59C0">
        <w:rPr>
          <w:color w:val="auto"/>
          <w:sz w:val="23"/>
          <w:szCs w:val="23"/>
        </w:rPr>
        <w:t xml:space="preserve"> </w:t>
      </w:r>
      <w:r w:rsidRPr="00EA59C0">
        <w:rPr>
          <w:color w:val="auto"/>
          <w:sz w:val="23"/>
          <w:szCs w:val="23"/>
        </w:rPr>
        <w:t>persons</w:t>
      </w:r>
      <w:r w:rsidR="00C026A6" w:rsidRPr="00EA59C0">
        <w:rPr>
          <w:color w:val="auto"/>
          <w:sz w:val="23"/>
          <w:szCs w:val="23"/>
        </w:rPr>
        <w:t xml:space="preserve"> </w:t>
      </w:r>
      <w:r w:rsidRPr="00EA59C0">
        <w:rPr>
          <w:color w:val="auto"/>
          <w:sz w:val="23"/>
          <w:szCs w:val="23"/>
        </w:rPr>
        <w:t>from</w:t>
      </w:r>
      <w:r w:rsidR="00C026A6" w:rsidRPr="00EA59C0">
        <w:rPr>
          <w:color w:val="auto"/>
          <w:sz w:val="23"/>
          <w:szCs w:val="23"/>
        </w:rPr>
        <w:t xml:space="preserve"> </w:t>
      </w:r>
      <w:r w:rsidRPr="00EA59C0">
        <w:rPr>
          <w:color w:val="auto"/>
          <w:sz w:val="23"/>
          <w:szCs w:val="23"/>
        </w:rPr>
        <w:t>retrieving</w:t>
      </w:r>
      <w:r w:rsidR="00C026A6" w:rsidRPr="00EA59C0">
        <w:rPr>
          <w:color w:val="auto"/>
          <w:sz w:val="23"/>
          <w:szCs w:val="23"/>
        </w:rPr>
        <w:t xml:space="preserve"> </w:t>
      </w:r>
      <w:r w:rsidRPr="00EA59C0">
        <w:rPr>
          <w:color w:val="auto"/>
          <w:sz w:val="23"/>
          <w:szCs w:val="23"/>
        </w:rPr>
        <w:t>such</w:t>
      </w:r>
      <w:r w:rsidR="00C026A6" w:rsidRPr="00EA59C0">
        <w:rPr>
          <w:color w:val="auto"/>
          <w:sz w:val="23"/>
          <w:szCs w:val="23"/>
        </w:rPr>
        <w:t xml:space="preserve"> </w:t>
      </w:r>
      <w:r w:rsidRPr="00EA59C0">
        <w:rPr>
          <w:color w:val="auto"/>
          <w:sz w:val="23"/>
          <w:szCs w:val="23"/>
        </w:rPr>
        <w:t>records</w:t>
      </w:r>
      <w:r w:rsidR="00C026A6" w:rsidRPr="00EA59C0">
        <w:rPr>
          <w:color w:val="auto"/>
          <w:sz w:val="23"/>
          <w:szCs w:val="23"/>
        </w:rPr>
        <w:t xml:space="preserve"> </w:t>
      </w:r>
      <w:r w:rsidRPr="00EA59C0">
        <w:rPr>
          <w:color w:val="auto"/>
          <w:sz w:val="23"/>
          <w:szCs w:val="23"/>
        </w:rPr>
        <w:t>by</w:t>
      </w:r>
      <w:r w:rsidR="00C026A6" w:rsidRPr="00EA59C0">
        <w:rPr>
          <w:color w:val="auto"/>
          <w:sz w:val="23"/>
          <w:szCs w:val="23"/>
        </w:rPr>
        <w:t xml:space="preserve"> </w:t>
      </w:r>
      <w:r w:rsidRPr="00EA59C0">
        <w:rPr>
          <w:color w:val="auto"/>
          <w:sz w:val="23"/>
          <w:szCs w:val="23"/>
        </w:rPr>
        <w:t>computer,</w:t>
      </w:r>
      <w:r w:rsidR="00C026A6" w:rsidRPr="00EA59C0">
        <w:rPr>
          <w:color w:val="auto"/>
          <w:sz w:val="23"/>
          <w:szCs w:val="23"/>
        </w:rPr>
        <w:t xml:space="preserve"> </w:t>
      </w:r>
      <w:r w:rsidRPr="00EA59C0">
        <w:rPr>
          <w:color w:val="auto"/>
          <w:sz w:val="23"/>
          <w:szCs w:val="23"/>
        </w:rPr>
        <w:t>remote</w:t>
      </w:r>
      <w:r w:rsidR="00C026A6" w:rsidRPr="00EA59C0">
        <w:rPr>
          <w:color w:val="auto"/>
          <w:sz w:val="23"/>
          <w:szCs w:val="23"/>
        </w:rPr>
        <w:t xml:space="preserve"> </w:t>
      </w:r>
      <w:r w:rsidRPr="00EA59C0">
        <w:rPr>
          <w:color w:val="auto"/>
          <w:sz w:val="23"/>
          <w:szCs w:val="23"/>
        </w:rPr>
        <w:t>terminal</w:t>
      </w:r>
      <w:r w:rsidR="00C026A6" w:rsidRPr="00EA59C0">
        <w:rPr>
          <w:color w:val="auto"/>
          <w:sz w:val="23"/>
          <w:szCs w:val="23"/>
        </w:rPr>
        <w:t xml:space="preserve"> </w:t>
      </w:r>
      <w:r w:rsidRPr="00EA59C0">
        <w:rPr>
          <w:color w:val="auto"/>
          <w:sz w:val="23"/>
          <w:szCs w:val="23"/>
        </w:rPr>
        <w:t>or</w:t>
      </w:r>
      <w:r w:rsidR="00C026A6" w:rsidRPr="00EA59C0">
        <w:rPr>
          <w:color w:val="auto"/>
          <w:sz w:val="23"/>
          <w:szCs w:val="23"/>
        </w:rPr>
        <w:t xml:space="preserve"> </w:t>
      </w:r>
      <w:r w:rsidRPr="00EA59C0">
        <w:rPr>
          <w:color w:val="auto"/>
          <w:sz w:val="23"/>
          <w:szCs w:val="23"/>
        </w:rPr>
        <w:t>any</w:t>
      </w:r>
      <w:r w:rsidR="00C026A6" w:rsidRPr="00EA59C0">
        <w:rPr>
          <w:color w:val="auto"/>
          <w:sz w:val="23"/>
          <w:szCs w:val="23"/>
        </w:rPr>
        <w:t xml:space="preserve"> </w:t>
      </w:r>
      <w:r w:rsidRPr="00EA59C0">
        <w:rPr>
          <w:color w:val="auto"/>
          <w:sz w:val="23"/>
          <w:szCs w:val="23"/>
        </w:rPr>
        <w:t>other</w:t>
      </w:r>
      <w:r w:rsidR="00C026A6" w:rsidRPr="00EA59C0">
        <w:rPr>
          <w:color w:val="auto"/>
          <w:sz w:val="23"/>
          <w:szCs w:val="23"/>
        </w:rPr>
        <w:t xml:space="preserve"> </w:t>
      </w:r>
      <w:r w:rsidRPr="00EA59C0">
        <w:rPr>
          <w:color w:val="auto"/>
          <w:sz w:val="23"/>
          <w:szCs w:val="23"/>
        </w:rPr>
        <w:t>means.</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may</w:t>
      </w:r>
      <w:r w:rsidR="00C026A6" w:rsidRPr="00EA59C0">
        <w:rPr>
          <w:color w:val="auto"/>
          <w:sz w:val="23"/>
          <w:szCs w:val="23"/>
        </w:rPr>
        <w:t xml:space="preserve"> </w:t>
      </w:r>
      <w:r w:rsidRPr="00EA59C0">
        <w:rPr>
          <w:color w:val="auto"/>
          <w:sz w:val="23"/>
          <w:szCs w:val="23"/>
        </w:rPr>
        <w:t>be</w:t>
      </w:r>
      <w:r w:rsidR="00C026A6" w:rsidRPr="00EA59C0">
        <w:rPr>
          <w:color w:val="auto"/>
          <w:sz w:val="23"/>
          <w:szCs w:val="23"/>
        </w:rPr>
        <w:t xml:space="preserve"> </w:t>
      </w:r>
      <w:r w:rsidRPr="00EA59C0">
        <w:rPr>
          <w:color w:val="auto"/>
          <w:sz w:val="23"/>
          <w:szCs w:val="23"/>
        </w:rPr>
        <w:t>downloaded</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or</w:t>
      </w:r>
      <w:r w:rsidR="00C026A6" w:rsidRPr="00EA59C0">
        <w:rPr>
          <w:color w:val="auto"/>
          <w:sz w:val="23"/>
          <w:szCs w:val="23"/>
        </w:rPr>
        <w:t xml:space="preserve"> </w:t>
      </w:r>
      <w:r w:rsidRPr="00EA59C0">
        <w:rPr>
          <w:color w:val="auto"/>
          <w:sz w:val="23"/>
          <w:szCs w:val="23"/>
        </w:rPr>
        <w:t>maintained</w:t>
      </w:r>
      <w:r w:rsidR="00C026A6" w:rsidRPr="00EA59C0">
        <w:rPr>
          <w:color w:val="auto"/>
          <w:sz w:val="23"/>
          <w:szCs w:val="23"/>
        </w:rPr>
        <w:t xml:space="preserve"> </w:t>
      </w:r>
      <w:r w:rsidRPr="00EA59C0">
        <w:rPr>
          <w:color w:val="auto"/>
          <w:sz w:val="23"/>
          <w:szCs w:val="23"/>
        </w:rPr>
        <w:t>on,</w:t>
      </w:r>
      <w:r w:rsidR="00C026A6" w:rsidRPr="00EA59C0">
        <w:rPr>
          <w:color w:val="auto"/>
          <w:sz w:val="23"/>
          <w:szCs w:val="23"/>
        </w:rPr>
        <w:t xml:space="preserve"> </w:t>
      </w:r>
      <w:r w:rsidRPr="00EA59C0">
        <w:rPr>
          <w:color w:val="auto"/>
          <w:sz w:val="23"/>
          <w:szCs w:val="23"/>
        </w:rPr>
        <w:t>mobile</w:t>
      </w:r>
      <w:r w:rsidR="00C026A6" w:rsidRPr="00EA59C0">
        <w:rPr>
          <w:color w:val="auto"/>
          <w:sz w:val="23"/>
          <w:szCs w:val="23"/>
        </w:rPr>
        <w:t xml:space="preserve"> </w:t>
      </w:r>
      <w:r w:rsidRPr="00EA59C0">
        <w:rPr>
          <w:color w:val="auto"/>
          <w:sz w:val="23"/>
          <w:szCs w:val="23"/>
        </w:rPr>
        <w:t>or</w:t>
      </w:r>
      <w:r w:rsidR="00C026A6" w:rsidRPr="00EA59C0">
        <w:rPr>
          <w:color w:val="auto"/>
          <w:sz w:val="23"/>
          <w:szCs w:val="23"/>
        </w:rPr>
        <w:t xml:space="preserve"> </w:t>
      </w:r>
      <w:r w:rsidRPr="00EA59C0">
        <w:rPr>
          <w:color w:val="auto"/>
          <w:sz w:val="23"/>
          <w:szCs w:val="23"/>
        </w:rPr>
        <w:t>portable</w:t>
      </w:r>
      <w:r w:rsidR="00C026A6" w:rsidRPr="00EA59C0">
        <w:rPr>
          <w:color w:val="auto"/>
          <w:sz w:val="23"/>
          <w:szCs w:val="23"/>
        </w:rPr>
        <w:t xml:space="preserve"> </w:t>
      </w:r>
      <w:r w:rsidRPr="00EA59C0">
        <w:rPr>
          <w:color w:val="auto"/>
          <w:sz w:val="23"/>
          <w:szCs w:val="23"/>
        </w:rPr>
        <w:t>devices</w:t>
      </w:r>
      <w:r w:rsidR="00C026A6" w:rsidRPr="00EA59C0">
        <w:rPr>
          <w:color w:val="auto"/>
          <w:sz w:val="23"/>
          <w:szCs w:val="23"/>
        </w:rPr>
        <w:t xml:space="preserve"> </w:t>
      </w:r>
      <w:r w:rsidRPr="00EA59C0">
        <w:rPr>
          <w:color w:val="auto"/>
          <w:sz w:val="23"/>
          <w:szCs w:val="23"/>
        </w:rPr>
        <w:t>only</w:t>
      </w:r>
      <w:r w:rsidR="00C026A6" w:rsidRPr="00EA59C0">
        <w:rPr>
          <w:color w:val="auto"/>
          <w:sz w:val="23"/>
          <w:szCs w:val="23"/>
        </w:rPr>
        <w:t xml:space="preserve"> </w:t>
      </w:r>
      <w:r w:rsidRPr="00EA59C0">
        <w:rPr>
          <w:color w:val="auto"/>
          <w:sz w:val="23"/>
          <w:szCs w:val="23"/>
        </w:rPr>
        <w:t>if</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are</w:t>
      </w:r>
      <w:r w:rsidR="00C026A6" w:rsidRPr="00EA59C0">
        <w:rPr>
          <w:color w:val="auto"/>
          <w:sz w:val="23"/>
          <w:szCs w:val="23"/>
        </w:rPr>
        <w:t xml:space="preserve"> </w:t>
      </w:r>
      <w:r w:rsidRPr="00EA59C0">
        <w:rPr>
          <w:color w:val="auto"/>
          <w:sz w:val="23"/>
          <w:szCs w:val="23"/>
        </w:rPr>
        <w:t>encrypted</w:t>
      </w:r>
      <w:r w:rsidR="00C026A6" w:rsidRPr="00EA59C0">
        <w:rPr>
          <w:color w:val="auto"/>
          <w:sz w:val="23"/>
          <w:szCs w:val="23"/>
        </w:rPr>
        <w:t xml:space="preserve"> </w:t>
      </w:r>
      <w:r w:rsidRPr="00EA59C0">
        <w:rPr>
          <w:color w:val="auto"/>
          <w:sz w:val="23"/>
          <w:szCs w:val="23"/>
        </w:rPr>
        <w:t>using</w:t>
      </w:r>
      <w:r w:rsidR="00C026A6" w:rsidRPr="00EA59C0">
        <w:rPr>
          <w:color w:val="auto"/>
          <w:sz w:val="23"/>
          <w:szCs w:val="23"/>
        </w:rPr>
        <w:t xml:space="preserve"> </w:t>
      </w:r>
      <w:r w:rsidRPr="00EA59C0">
        <w:rPr>
          <w:color w:val="auto"/>
          <w:sz w:val="23"/>
          <w:szCs w:val="23"/>
        </w:rPr>
        <w:t>NIST</w:t>
      </w:r>
      <w:r w:rsidR="00C026A6" w:rsidRPr="00EA59C0">
        <w:rPr>
          <w:color w:val="auto"/>
          <w:sz w:val="23"/>
          <w:szCs w:val="23"/>
        </w:rPr>
        <w:t xml:space="preserve"> </w:t>
      </w:r>
      <w:r w:rsidRPr="00EA59C0">
        <w:rPr>
          <w:color w:val="auto"/>
          <w:sz w:val="23"/>
          <w:szCs w:val="23"/>
        </w:rPr>
        <w:t>validated</w:t>
      </w:r>
      <w:r w:rsidR="00C026A6" w:rsidRPr="00EA59C0">
        <w:rPr>
          <w:color w:val="auto"/>
          <w:sz w:val="23"/>
          <w:szCs w:val="23"/>
        </w:rPr>
        <w:t xml:space="preserve"> </w:t>
      </w:r>
      <w:r w:rsidRPr="00EA59C0">
        <w:rPr>
          <w:color w:val="auto"/>
          <w:sz w:val="23"/>
          <w:szCs w:val="23"/>
        </w:rPr>
        <w:t>software</w:t>
      </w:r>
      <w:r w:rsidR="00C026A6" w:rsidRPr="00EA59C0">
        <w:rPr>
          <w:color w:val="auto"/>
          <w:sz w:val="23"/>
          <w:szCs w:val="23"/>
        </w:rPr>
        <w:t xml:space="preserve"> </w:t>
      </w:r>
      <w:r w:rsidRPr="00EA59C0">
        <w:rPr>
          <w:color w:val="auto"/>
          <w:sz w:val="23"/>
          <w:szCs w:val="23"/>
        </w:rPr>
        <w:t>products</w:t>
      </w:r>
      <w:r w:rsidR="00C026A6" w:rsidRPr="00EA59C0">
        <w:rPr>
          <w:color w:val="auto"/>
          <w:sz w:val="23"/>
          <w:szCs w:val="23"/>
        </w:rPr>
        <w:t xml:space="preserve"> </w:t>
      </w:r>
      <w:r w:rsidRPr="00EA59C0">
        <w:rPr>
          <w:color w:val="auto"/>
          <w:sz w:val="23"/>
          <w:szCs w:val="23"/>
        </w:rPr>
        <w:t>based</w:t>
      </w:r>
      <w:r w:rsidR="00C026A6" w:rsidRPr="00EA59C0">
        <w:rPr>
          <w:color w:val="auto"/>
          <w:sz w:val="23"/>
          <w:szCs w:val="23"/>
        </w:rPr>
        <w:t xml:space="preserve"> </w:t>
      </w:r>
      <w:r w:rsidRPr="00EA59C0">
        <w:rPr>
          <w:color w:val="auto"/>
          <w:sz w:val="23"/>
          <w:szCs w:val="23"/>
        </w:rPr>
        <w:t>on</w:t>
      </w:r>
      <w:r w:rsidR="00C026A6" w:rsidRPr="00EA59C0">
        <w:rPr>
          <w:color w:val="auto"/>
          <w:sz w:val="23"/>
          <w:szCs w:val="23"/>
        </w:rPr>
        <w:t xml:space="preserve"> </w:t>
      </w:r>
      <w:r w:rsidRPr="00EA59C0">
        <w:rPr>
          <w:color w:val="auto"/>
          <w:sz w:val="23"/>
          <w:szCs w:val="23"/>
        </w:rPr>
        <w:t>FIPS</w:t>
      </w:r>
      <w:r w:rsidR="00C026A6" w:rsidRPr="00EA59C0">
        <w:rPr>
          <w:color w:val="auto"/>
          <w:sz w:val="23"/>
          <w:szCs w:val="23"/>
        </w:rPr>
        <w:t xml:space="preserve"> </w:t>
      </w:r>
      <w:r w:rsidRPr="00EA59C0">
        <w:rPr>
          <w:color w:val="auto"/>
          <w:sz w:val="23"/>
          <w:szCs w:val="23"/>
        </w:rPr>
        <w:t>140-2</w:t>
      </w:r>
      <w:r w:rsidR="00C026A6" w:rsidRPr="00EA59C0">
        <w:rPr>
          <w:color w:val="auto"/>
          <w:sz w:val="23"/>
          <w:szCs w:val="23"/>
        </w:rPr>
        <w:t xml:space="preserve"> </w:t>
      </w:r>
      <w:r w:rsidRPr="00EA59C0">
        <w:rPr>
          <w:color w:val="auto"/>
          <w:sz w:val="23"/>
          <w:szCs w:val="23"/>
        </w:rPr>
        <w:t>encryption.</w:t>
      </w:r>
      <w:r w:rsidR="00C026A6" w:rsidRPr="00EA59C0">
        <w:rPr>
          <w:color w:val="auto"/>
          <w:sz w:val="23"/>
          <w:szCs w:val="23"/>
        </w:rPr>
        <w:t xml:space="preserve"> </w:t>
      </w:r>
      <w:r w:rsidRPr="00EA59C0">
        <w:rPr>
          <w:color w:val="auto"/>
          <w:sz w:val="23"/>
          <w:szCs w:val="23"/>
        </w:rPr>
        <w:t>In</w:t>
      </w:r>
      <w:r w:rsidR="00C026A6" w:rsidRPr="00EA59C0">
        <w:rPr>
          <w:color w:val="auto"/>
          <w:sz w:val="23"/>
          <w:szCs w:val="23"/>
        </w:rPr>
        <w:t xml:space="preserve"> </w:t>
      </w:r>
      <w:r w:rsidRPr="00EA59C0">
        <w:rPr>
          <w:color w:val="auto"/>
          <w:sz w:val="23"/>
          <w:szCs w:val="23"/>
        </w:rPr>
        <w:t>addition,</w:t>
      </w:r>
      <w:r w:rsidR="00C026A6" w:rsidRPr="00EA59C0">
        <w:rPr>
          <w:color w:val="auto"/>
          <w:sz w:val="23"/>
          <w:szCs w:val="23"/>
        </w:rPr>
        <w:t xml:space="preserve"> </w:t>
      </w:r>
      <w:r w:rsidRPr="00EA59C0">
        <w:rPr>
          <w:color w:val="auto"/>
          <w:sz w:val="23"/>
          <w:szCs w:val="23"/>
        </w:rPr>
        <w:t>wage</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may</w:t>
      </w:r>
      <w:r w:rsidR="00C026A6" w:rsidRPr="00EA59C0">
        <w:rPr>
          <w:color w:val="auto"/>
          <w:sz w:val="23"/>
          <w:szCs w:val="23"/>
        </w:rPr>
        <w:t xml:space="preserve"> </w:t>
      </w:r>
      <w:r w:rsidRPr="00EA59C0">
        <w:rPr>
          <w:color w:val="auto"/>
          <w:sz w:val="23"/>
          <w:szCs w:val="23"/>
        </w:rPr>
        <w:t>only</w:t>
      </w:r>
      <w:r w:rsidR="00C026A6" w:rsidRPr="00EA59C0">
        <w:rPr>
          <w:color w:val="auto"/>
          <w:sz w:val="23"/>
          <w:szCs w:val="23"/>
        </w:rPr>
        <w:t xml:space="preserve"> </w:t>
      </w:r>
      <w:r w:rsidRPr="00EA59C0">
        <w:rPr>
          <w:color w:val="auto"/>
          <w:sz w:val="23"/>
          <w:szCs w:val="23"/>
        </w:rPr>
        <w:t>be</w:t>
      </w:r>
      <w:r w:rsidR="00C026A6" w:rsidRPr="00EA59C0">
        <w:rPr>
          <w:color w:val="auto"/>
          <w:sz w:val="23"/>
          <w:szCs w:val="23"/>
        </w:rPr>
        <w:t xml:space="preserve"> </w:t>
      </w:r>
      <w:r w:rsidRPr="00EA59C0">
        <w:rPr>
          <w:color w:val="auto"/>
          <w:sz w:val="23"/>
          <w:szCs w:val="23"/>
        </w:rPr>
        <w:t>accessed</w:t>
      </w:r>
      <w:r w:rsidR="00C026A6" w:rsidRPr="00EA59C0">
        <w:rPr>
          <w:color w:val="auto"/>
          <w:sz w:val="23"/>
          <w:szCs w:val="23"/>
        </w:rPr>
        <w:t xml:space="preserve"> </w:t>
      </w:r>
      <w:r w:rsidRPr="00EA59C0">
        <w:rPr>
          <w:color w:val="auto"/>
          <w:sz w:val="23"/>
          <w:szCs w:val="23"/>
        </w:rPr>
        <w:t>from</w:t>
      </w:r>
      <w:r w:rsidR="00C026A6" w:rsidRPr="00EA59C0">
        <w:rPr>
          <w:color w:val="auto"/>
          <w:sz w:val="23"/>
          <w:szCs w:val="23"/>
        </w:rPr>
        <w:t xml:space="preserve"> </w:t>
      </w:r>
      <w:r w:rsidRPr="00EA59C0">
        <w:rPr>
          <w:color w:val="auto"/>
          <w:sz w:val="23"/>
          <w:szCs w:val="23"/>
        </w:rPr>
        <w:t>secure</w:t>
      </w:r>
      <w:r w:rsidR="00C026A6" w:rsidRPr="00EA59C0">
        <w:rPr>
          <w:color w:val="auto"/>
          <w:sz w:val="23"/>
          <w:szCs w:val="23"/>
        </w:rPr>
        <w:t xml:space="preserve"> </w:t>
      </w:r>
      <w:r w:rsidRPr="00EA59C0">
        <w:rPr>
          <w:color w:val="auto"/>
          <w:sz w:val="23"/>
          <w:szCs w:val="23"/>
        </w:rPr>
        <w:t>locations.</w:t>
      </w:r>
      <w:r w:rsidR="00C026A6" w:rsidRPr="00EA59C0">
        <w:rPr>
          <w:color w:val="auto"/>
          <w:sz w:val="23"/>
          <w:szCs w:val="23"/>
        </w:rPr>
        <w:t xml:space="preserve"> </w:t>
      </w:r>
    </w:p>
    <w:p w:rsidR="00144DF0" w:rsidRPr="00EA59C0" w:rsidRDefault="00D81847" w:rsidP="004C3998">
      <w:pPr>
        <w:pStyle w:val="Default"/>
        <w:numPr>
          <w:ilvl w:val="4"/>
          <w:numId w:val="17"/>
        </w:numPr>
        <w:rPr>
          <w:color w:val="auto"/>
          <w:sz w:val="23"/>
          <w:szCs w:val="23"/>
        </w:rPr>
      </w:pPr>
      <w:r w:rsidRPr="00EA59C0">
        <w:rPr>
          <w:color w:val="auto"/>
          <w:sz w:val="23"/>
          <w:szCs w:val="23"/>
        </w:rPr>
        <w:t>PII</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obtained</w:t>
      </w:r>
      <w:r w:rsidR="00C026A6" w:rsidRPr="00EA59C0">
        <w:rPr>
          <w:color w:val="auto"/>
          <w:sz w:val="23"/>
          <w:szCs w:val="23"/>
        </w:rPr>
        <w:t xml:space="preserve"> </w:t>
      </w:r>
      <w:r w:rsidRPr="00EA59C0">
        <w:rPr>
          <w:color w:val="auto"/>
          <w:sz w:val="23"/>
          <w:szCs w:val="23"/>
        </w:rPr>
        <w:t>by</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grantee</w:t>
      </w:r>
      <w:r w:rsidR="00C026A6" w:rsidRPr="00EA59C0">
        <w:rPr>
          <w:color w:val="auto"/>
          <w:sz w:val="23"/>
          <w:szCs w:val="23"/>
        </w:rPr>
        <w:t xml:space="preserve"> </w:t>
      </w:r>
      <w:r w:rsidRPr="00EA59C0">
        <w:rPr>
          <w:color w:val="auto"/>
          <w:sz w:val="23"/>
          <w:szCs w:val="23"/>
        </w:rPr>
        <w:t>through</w:t>
      </w:r>
      <w:r w:rsidR="00C026A6" w:rsidRPr="00EA59C0">
        <w:rPr>
          <w:color w:val="auto"/>
          <w:sz w:val="23"/>
          <w:szCs w:val="23"/>
        </w:rPr>
        <w:t xml:space="preserve"> </w:t>
      </w:r>
      <w:r w:rsidRPr="00EA59C0">
        <w:rPr>
          <w:color w:val="auto"/>
          <w:sz w:val="23"/>
          <w:szCs w:val="23"/>
        </w:rPr>
        <w:t>a</w:t>
      </w:r>
      <w:r w:rsidR="00C026A6" w:rsidRPr="00EA59C0">
        <w:rPr>
          <w:color w:val="auto"/>
          <w:sz w:val="23"/>
          <w:szCs w:val="23"/>
        </w:rPr>
        <w:t xml:space="preserve"> </w:t>
      </w:r>
      <w:r w:rsidRPr="00EA59C0">
        <w:rPr>
          <w:color w:val="auto"/>
          <w:sz w:val="23"/>
          <w:szCs w:val="23"/>
        </w:rPr>
        <w:t>request</w:t>
      </w:r>
      <w:r w:rsidR="00C026A6" w:rsidRPr="00EA59C0">
        <w:rPr>
          <w:color w:val="auto"/>
          <w:sz w:val="23"/>
          <w:szCs w:val="23"/>
        </w:rPr>
        <w:t xml:space="preserve"> </w:t>
      </w:r>
      <w:r w:rsidRPr="00EA59C0">
        <w:rPr>
          <w:color w:val="auto"/>
          <w:sz w:val="23"/>
          <w:szCs w:val="23"/>
        </w:rPr>
        <w:t>from</w:t>
      </w:r>
      <w:r w:rsidR="00C026A6" w:rsidRPr="00EA59C0">
        <w:rPr>
          <w:color w:val="auto"/>
          <w:sz w:val="23"/>
          <w:szCs w:val="23"/>
        </w:rPr>
        <w:t xml:space="preserve"> </w:t>
      </w:r>
      <w:r w:rsidRPr="00EA59C0">
        <w:rPr>
          <w:color w:val="auto"/>
          <w:sz w:val="23"/>
          <w:szCs w:val="23"/>
        </w:rPr>
        <w:t>ETA</w:t>
      </w:r>
      <w:r w:rsidR="00C026A6" w:rsidRPr="00EA59C0">
        <w:rPr>
          <w:color w:val="auto"/>
          <w:sz w:val="23"/>
          <w:szCs w:val="23"/>
        </w:rPr>
        <w:t xml:space="preserve"> </w:t>
      </w:r>
      <w:r w:rsidRPr="00EA59C0">
        <w:rPr>
          <w:color w:val="auto"/>
          <w:sz w:val="23"/>
          <w:szCs w:val="23"/>
        </w:rPr>
        <w:t>must</w:t>
      </w:r>
      <w:r w:rsidR="00C026A6" w:rsidRPr="00EA59C0">
        <w:rPr>
          <w:color w:val="auto"/>
          <w:sz w:val="23"/>
          <w:szCs w:val="23"/>
        </w:rPr>
        <w:t xml:space="preserve"> </w:t>
      </w:r>
      <w:r w:rsidRPr="00EA59C0">
        <w:rPr>
          <w:color w:val="auto"/>
          <w:sz w:val="23"/>
          <w:szCs w:val="23"/>
        </w:rPr>
        <w:t>not</w:t>
      </w:r>
      <w:r w:rsidR="00C026A6" w:rsidRPr="00EA59C0">
        <w:rPr>
          <w:color w:val="auto"/>
          <w:sz w:val="23"/>
          <w:szCs w:val="23"/>
        </w:rPr>
        <w:t xml:space="preserve"> </w:t>
      </w:r>
      <w:r w:rsidRPr="00EA59C0">
        <w:rPr>
          <w:color w:val="auto"/>
          <w:sz w:val="23"/>
          <w:szCs w:val="23"/>
        </w:rPr>
        <w:t>be</w:t>
      </w:r>
      <w:r w:rsidR="00C026A6" w:rsidRPr="00EA59C0">
        <w:rPr>
          <w:color w:val="auto"/>
          <w:sz w:val="23"/>
          <w:szCs w:val="23"/>
        </w:rPr>
        <w:t xml:space="preserve"> </w:t>
      </w:r>
      <w:r w:rsidRPr="00EA59C0">
        <w:rPr>
          <w:color w:val="auto"/>
          <w:sz w:val="23"/>
          <w:szCs w:val="23"/>
        </w:rPr>
        <w:t>disclosed</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anyone</w:t>
      </w:r>
      <w:r w:rsidR="00C026A6" w:rsidRPr="00EA59C0">
        <w:rPr>
          <w:color w:val="auto"/>
          <w:sz w:val="23"/>
          <w:szCs w:val="23"/>
        </w:rPr>
        <w:t xml:space="preserve"> </w:t>
      </w:r>
      <w:r w:rsidRPr="00EA59C0">
        <w:rPr>
          <w:color w:val="auto"/>
          <w:sz w:val="23"/>
          <w:szCs w:val="23"/>
        </w:rPr>
        <w:t>but</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individual</w:t>
      </w:r>
      <w:r w:rsidR="00C026A6" w:rsidRPr="00EA59C0">
        <w:rPr>
          <w:color w:val="auto"/>
          <w:sz w:val="23"/>
          <w:szCs w:val="23"/>
        </w:rPr>
        <w:t xml:space="preserve"> </w:t>
      </w:r>
      <w:r w:rsidRPr="00EA59C0">
        <w:rPr>
          <w:color w:val="auto"/>
          <w:sz w:val="23"/>
          <w:szCs w:val="23"/>
        </w:rPr>
        <w:t>requestor</w:t>
      </w:r>
      <w:r w:rsidR="00C026A6" w:rsidRPr="00EA59C0">
        <w:rPr>
          <w:color w:val="auto"/>
          <w:sz w:val="23"/>
          <w:szCs w:val="23"/>
        </w:rPr>
        <w:t xml:space="preserve"> </w:t>
      </w:r>
      <w:r w:rsidRPr="00EA59C0">
        <w:rPr>
          <w:color w:val="auto"/>
          <w:sz w:val="23"/>
          <w:szCs w:val="23"/>
        </w:rPr>
        <w:t>except</w:t>
      </w:r>
      <w:r w:rsidR="00C026A6" w:rsidRPr="00EA59C0">
        <w:rPr>
          <w:color w:val="auto"/>
          <w:sz w:val="23"/>
          <w:szCs w:val="23"/>
        </w:rPr>
        <w:t xml:space="preserve"> </w:t>
      </w:r>
      <w:r w:rsidRPr="00EA59C0">
        <w:rPr>
          <w:color w:val="auto"/>
          <w:sz w:val="23"/>
          <w:szCs w:val="23"/>
        </w:rPr>
        <w:t>as</w:t>
      </w:r>
      <w:r w:rsidR="00C026A6" w:rsidRPr="00EA59C0">
        <w:rPr>
          <w:color w:val="auto"/>
          <w:sz w:val="23"/>
          <w:szCs w:val="23"/>
        </w:rPr>
        <w:t xml:space="preserve"> </w:t>
      </w:r>
      <w:r w:rsidRPr="00EA59C0">
        <w:rPr>
          <w:color w:val="auto"/>
          <w:sz w:val="23"/>
          <w:szCs w:val="23"/>
        </w:rPr>
        <w:t>permitted</w:t>
      </w:r>
      <w:r w:rsidR="00C026A6" w:rsidRPr="00EA59C0">
        <w:rPr>
          <w:color w:val="auto"/>
          <w:sz w:val="23"/>
          <w:szCs w:val="23"/>
        </w:rPr>
        <w:t xml:space="preserve"> </w:t>
      </w:r>
      <w:r w:rsidRPr="00EA59C0">
        <w:rPr>
          <w:color w:val="auto"/>
          <w:sz w:val="23"/>
          <w:szCs w:val="23"/>
        </w:rPr>
        <w:t>by</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Grant</w:t>
      </w:r>
      <w:r w:rsidR="00C026A6" w:rsidRPr="00EA59C0">
        <w:rPr>
          <w:color w:val="auto"/>
          <w:sz w:val="23"/>
          <w:szCs w:val="23"/>
        </w:rPr>
        <w:t xml:space="preserve"> </w:t>
      </w:r>
      <w:r w:rsidRPr="00EA59C0">
        <w:rPr>
          <w:color w:val="auto"/>
          <w:sz w:val="23"/>
          <w:szCs w:val="23"/>
        </w:rPr>
        <w:t>Officer.</w:t>
      </w:r>
      <w:r w:rsidR="00C026A6" w:rsidRPr="00EA59C0">
        <w:rPr>
          <w:color w:val="auto"/>
          <w:sz w:val="23"/>
          <w:szCs w:val="23"/>
        </w:rPr>
        <w:t xml:space="preserve"> </w:t>
      </w:r>
    </w:p>
    <w:p w:rsidR="00144DF0" w:rsidRPr="00EA59C0" w:rsidRDefault="00D81847" w:rsidP="004C3998">
      <w:pPr>
        <w:pStyle w:val="Default"/>
        <w:numPr>
          <w:ilvl w:val="4"/>
          <w:numId w:val="17"/>
        </w:numPr>
        <w:rPr>
          <w:color w:val="auto"/>
          <w:sz w:val="23"/>
          <w:szCs w:val="23"/>
        </w:rPr>
      </w:pPr>
      <w:r w:rsidRPr="00EA59C0">
        <w:rPr>
          <w:color w:val="auto"/>
          <w:sz w:val="23"/>
          <w:szCs w:val="23"/>
        </w:rPr>
        <w:t>Grantees</w:t>
      </w:r>
      <w:r w:rsidR="00C026A6" w:rsidRPr="00EA59C0">
        <w:rPr>
          <w:color w:val="auto"/>
          <w:sz w:val="23"/>
          <w:szCs w:val="23"/>
        </w:rPr>
        <w:t xml:space="preserve"> </w:t>
      </w:r>
      <w:r w:rsidRPr="00EA59C0">
        <w:rPr>
          <w:color w:val="auto"/>
          <w:sz w:val="23"/>
          <w:szCs w:val="23"/>
        </w:rPr>
        <w:t>must</w:t>
      </w:r>
      <w:r w:rsidR="00C026A6" w:rsidRPr="00EA59C0">
        <w:rPr>
          <w:color w:val="auto"/>
          <w:sz w:val="23"/>
          <w:szCs w:val="23"/>
        </w:rPr>
        <w:t xml:space="preserve"> </w:t>
      </w:r>
      <w:r w:rsidRPr="00EA59C0">
        <w:rPr>
          <w:color w:val="auto"/>
          <w:sz w:val="23"/>
          <w:szCs w:val="23"/>
        </w:rPr>
        <w:t>permit</w:t>
      </w:r>
      <w:r w:rsidR="00C026A6" w:rsidRPr="00EA59C0">
        <w:rPr>
          <w:color w:val="auto"/>
          <w:sz w:val="23"/>
          <w:szCs w:val="23"/>
        </w:rPr>
        <w:t xml:space="preserve"> </w:t>
      </w:r>
      <w:r w:rsidRPr="00EA59C0">
        <w:rPr>
          <w:color w:val="auto"/>
          <w:sz w:val="23"/>
          <w:szCs w:val="23"/>
        </w:rPr>
        <w:t>ETA</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make</w:t>
      </w:r>
      <w:r w:rsidR="00C026A6" w:rsidRPr="00EA59C0">
        <w:rPr>
          <w:color w:val="auto"/>
          <w:sz w:val="23"/>
          <w:szCs w:val="23"/>
        </w:rPr>
        <w:t xml:space="preserve"> </w:t>
      </w:r>
      <w:r w:rsidRPr="00EA59C0">
        <w:rPr>
          <w:color w:val="auto"/>
          <w:sz w:val="23"/>
          <w:szCs w:val="23"/>
        </w:rPr>
        <w:t>onsite</w:t>
      </w:r>
      <w:r w:rsidR="00C026A6" w:rsidRPr="00EA59C0">
        <w:rPr>
          <w:color w:val="auto"/>
          <w:sz w:val="23"/>
          <w:szCs w:val="23"/>
        </w:rPr>
        <w:t xml:space="preserve"> </w:t>
      </w:r>
      <w:r w:rsidRPr="00EA59C0">
        <w:rPr>
          <w:color w:val="auto"/>
          <w:sz w:val="23"/>
          <w:szCs w:val="23"/>
        </w:rPr>
        <w:t>inspections</w:t>
      </w:r>
      <w:r w:rsidR="00C026A6" w:rsidRPr="00EA59C0">
        <w:rPr>
          <w:color w:val="auto"/>
          <w:sz w:val="23"/>
          <w:szCs w:val="23"/>
        </w:rPr>
        <w:t xml:space="preserve"> </w:t>
      </w:r>
      <w:r w:rsidRPr="00EA59C0">
        <w:rPr>
          <w:color w:val="auto"/>
          <w:sz w:val="23"/>
          <w:szCs w:val="23"/>
        </w:rPr>
        <w:t>during</w:t>
      </w:r>
      <w:r w:rsidR="00C026A6" w:rsidRPr="00EA59C0">
        <w:rPr>
          <w:color w:val="auto"/>
          <w:sz w:val="23"/>
          <w:szCs w:val="23"/>
        </w:rPr>
        <w:t xml:space="preserve"> </w:t>
      </w:r>
      <w:r w:rsidRPr="00EA59C0">
        <w:rPr>
          <w:color w:val="auto"/>
          <w:sz w:val="23"/>
          <w:szCs w:val="23"/>
        </w:rPr>
        <w:t>regular</w:t>
      </w:r>
      <w:r w:rsidR="00C026A6" w:rsidRPr="00EA59C0">
        <w:rPr>
          <w:color w:val="auto"/>
          <w:sz w:val="23"/>
          <w:szCs w:val="23"/>
        </w:rPr>
        <w:t xml:space="preserve"> </w:t>
      </w:r>
      <w:r w:rsidRPr="00EA59C0">
        <w:rPr>
          <w:color w:val="auto"/>
          <w:sz w:val="23"/>
          <w:szCs w:val="23"/>
        </w:rPr>
        <w:t>business</w:t>
      </w:r>
      <w:r w:rsidR="00C026A6" w:rsidRPr="00EA59C0">
        <w:rPr>
          <w:color w:val="auto"/>
          <w:sz w:val="23"/>
          <w:szCs w:val="23"/>
        </w:rPr>
        <w:t xml:space="preserve"> </w:t>
      </w:r>
      <w:r w:rsidRPr="00EA59C0">
        <w:rPr>
          <w:color w:val="auto"/>
          <w:sz w:val="23"/>
          <w:szCs w:val="23"/>
        </w:rPr>
        <w:t>hours</w:t>
      </w:r>
      <w:r w:rsidR="00C026A6" w:rsidRPr="00EA59C0">
        <w:rPr>
          <w:color w:val="auto"/>
          <w:sz w:val="23"/>
          <w:szCs w:val="23"/>
        </w:rPr>
        <w:t xml:space="preserve"> </w:t>
      </w:r>
      <w:r w:rsidRPr="00EA59C0">
        <w:rPr>
          <w:color w:val="auto"/>
          <w:sz w:val="23"/>
          <w:szCs w:val="23"/>
        </w:rPr>
        <w:t>for</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purpose</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conducting</w:t>
      </w:r>
      <w:r w:rsidR="00C026A6" w:rsidRPr="00EA59C0">
        <w:rPr>
          <w:color w:val="auto"/>
          <w:sz w:val="23"/>
          <w:szCs w:val="23"/>
        </w:rPr>
        <w:t xml:space="preserve"> </w:t>
      </w:r>
      <w:r w:rsidRPr="00EA59C0">
        <w:rPr>
          <w:color w:val="auto"/>
          <w:sz w:val="23"/>
          <w:szCs w:val="23"/>
        </w:rPr>
        <w:t>audits</w:t>
      </w:r>
      <w:r w:rsidR="00C026A6" w:rsidRPr="00EA59C0">
        <w:rPr>
          <w:color w:val="auto"/>
          <w:sz w:val="23"/>
          <w:szCs w:val="23"/>
        </w:rPr>
        <w:t xml:space="preserve"> </w:t>
      </w:r>
      <w:r w:rsidRPr="00EA59C0">
        <w:rPr>
          <w:color w:val="auto"/>
          <w:sz w:val="23"/>
          <w:szCs w:val="23"/>
        </w:rPr>
        <w:t>and/or</w:t>
      </w:r>
      <w:r w:rsidR="00C026A6" w:rsidRPr="00EA59C0">
        <w:rPr>
          <w:color w:val="auto"/>
          <w:sz w:val="23"/>
          <w:szCs w:val="23"/>
        </w:rPr>
        <w:t xml:space="preserve"> </w:t>
      </w:r>
      <w:r w:rsidRPr="00EA59C0">
        <w:rPr>
          <w:color w:val="auto"/>
          <w:sz w:val="23"/>
          <w:szCs w:val="23"/>
        </w:rPr>
        <w:t>conducting</w:t>
      </w:r>
      <w:r w:rsidR="00C026A6" w:rsidRPr="00EA59C0">
        <w:rPr>
          <w:color w:val="auto"/>
          <w:sz w:val="23"/>
          <w:szCs w:val="23"/>
        </w:rPr>
        <w:t xml:space="preserve"> </w:t>
      </w:r>
      <w:r w:rsidRPr="00EA59C0">
        <w:rPr>
          <w:color w:val="auto"/>
          <w:sz w:val="23"/>
          <w:szCs w:val="23"/>
        </w:rPr>
        <w:t>other</w:t>
      </w:r>
      <w:r w:rsidR="00C026A6" w:rsidRPr="00EA59C0">
        <w:rPr>
          <w:color w:val="auto"/>
          <w:sz w:val="23"/>
          <w:szCs w:val="23"/>
        </w:rPr>
        <w:t xml:space="preserve"> </w:t>
      </w:r>
      <w:r w:rsidRPr="00EA59C0">
        <w:rPr>
          <w:color w:val="auto"/>
          <w:sz w:val="23"/>
          <w:szCs w:val="23"/>
        </w:rPr>
        <w:t>investigations</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assure</w:t>
      </w:r>
      <w:r w:rsidR="00C026A6" w:rsidRPr="00EA59C0">
        <w:rPr>
          <w:color w:val="auto"/>
          <w:sz w:val="23"/>
          <w:szCs w:val="23"/>
        </w:rPr>
        <w:t xml:space="preserve"> </w:t>
      </w:r>
      <w:r w:rsidRPr="00EA59C0">
        <w:rPr>
          <w:color w:val="auto"/>
          <w:sz w:val="23"/>
          <w:szCs w:val="23"/>
        </w:rPr>
        <w:t>that</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grantee</w:t>
      </w:r>
      <w:r w:rsidR="00C026A6" w:rsidRPr="00EA59C0">
        <w:rPr>
          <w:color w:val="auto"/>
          <w:sz w:val="23"/>
          <w:szCs w:val="23"/>
        </w:rPr>
        <w:t xml:space="preserve"> </w:t>
      </w:r>
      <w:r w:rsidRPr="00EA59C0">
        <w:rPr>
          <w:color w:val="auto"/>
          <w:sz w:val="23"/>
          <w:szCs w:val="23"/>
        </w:rPr>
        <w:t>is</w:t>
      </w:r>
      <w:r w:rsidR="00C026A6" w:rsidRPr="00EA59C0">
        <w:rPr>
          <w:color w:val="auto"/>
          <w:sz w:val="23"/>
          <w:szCs w:val="23"/>
        </w:rPr>
        <w:t xml:space="preserve"> </w:t>
      </w:r>
      <w:r w:rsidRPr="00EA59C0">
        <w:rPr>
          <w:color w:val="auto"/>
          <w:sz w:val="23"/>
          <w:szCs w:val="23"/>
        </w:rPr>
        <w:t>complying</w:t>
      </w:r>
      <w:r w:rsidR="00C026A6" w:rsidRPr="00EA59C0">
        <w:rPr>
          <w:color w:val="auto"/>
          <w:sz w:val="23"/>
          <w:szCs w:val="23"/>
        </w:rPr>
        <w:t xml:space="preserve"> </w:t>
      </w:r>
      <w:r w:rsidRPr="00EA59C0">
        <w:rPr>
          <w:color w:val="auto"/>
          <w:sz w:val="23"/>
          <w:szCs w:val="23"/>
        </w:rPr>
        <w:t>with</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confidentiality</w:t>
      </w:r>
      <w:r w:rsidR="00C026A6" w:rsidRPr="00EA59C0">
        <w:rPr>
          <w:color w:val="auto"/>
          <w:sz w:val="23"/>
          <w:szCs w:val="23"/>
        </w:rPr>
        <w:t xml:space="preserve"> </w:t>
      </w:r>
      <w:r w:rsidRPr="00EA59C0">
        <w:rPr>
          <w:color w:val="auto"/>
          <w:sz w:val="23"/>
          <w:szCs w:val="23"/>
        </w:rPr>
        <w:t>requirements</w:t>
      </w:r>
      <w:r w:rsidR="00C026A6" w:rsidRPr="00EA59C0">
        <w:rPr>
          <w:color w:val="auto"/>
          <w:sz w:val="23"/>
          <w:szCs w:val="23"/>
        </w:rPr>
        <w:t xml:space="preserve"> </w:t>
      </w:r>
      <w:r w:rsidRPr="00EA59C0">
        <w:rPr>
          <w:color w:val="auto"/>
          <w:sz w:val="23"/>
          <w:szCs w:val="23"/>
        </w:rPr>
        <w:t>described</w:t>
      </w:r>
      <w:r w:rsidR="00C026A6" w:rsidRPr="00EA59C0">
        <w:rPr>
          <w:color w:val="auto"/>
          <w:sz w:val="23"/>
          <w:szCs w:val="23"/>
        </w:rPr>
        <w:t xml:space="preserve"> </w:t>
      </w:r>
      <w:r w:rsidRPr="00EA59C0">
        <w:rPr>
          <w:color w:val="auto"/>
          <w:sz w:val="23"/>
          <w:szCs w:val="23"/>
        </w:rPr>
        <w:t>above.</w:t>
      </w:r>
      <w:r w:rsidR="00C026A6" w:rsidRPr="00EA59C0">
        <w:rPr>
          <w:color w:val="auto"/>
          <w:sz w:val="23"/>
          <w:szCs w:val="23"/>
        </w:rPr>
        <w:t xml:space="preserve"> </w:t>
      </w:r>
      <w:r w:rsidRPr="00EA59C0">
        <w:rPr>
          <w:color w:val="auto"/>
          <w:sz w:val="23"/>
          <w:szCs w:val="23"/>
        </w:rPr>
        <w:t>In</w:t>
      </w:r>
      <w:r w:rsidR="00C026A6" w:rsidRPr="00EA59C0">
        <w:rPr>
          <w:color w:val="auto"/>
          <w:sz w:val="23"/>
          <w:szCs w:val="23"/>
        </w:rPr>
        <w:t xml:space="preserve"> </w:t>
      </w:r>
      <w:r w:rsidRPr="00EA59C0">
        <w:rPr>
          <w:color w:val="auto"/>
          <w:sz w:val="23"/>
          <w:szCs w:val="23"/>
        </w:rPr>
        <w:t>accordance</w:t>
      </w:r>
      <w:r w:rsidR="00C026A6" w:rsidRPr="00EA59C0">
        <w:rPr>
          <w:color w:val="auto"/>
          <w:sz w:val="23"/>
          <w:szCs w:val="23"/>
        </w:rPr>
        <w:t xml:space="preserve"> </w:t>
      </w:r>
      <w:r w:rsidRPr="00EA59C0">
        <w:rPr>
          <w:color w:val="auto"/>
          <w:sz w:val="23"/>
          <w:szCs w:val="23"/>
        </w:rPr>
        <w:t>with</w:t>
      </w:r>
      <w:r w:rsidR="00C026A6" w:rsidRPr="00EA59C0">
        <w:rPr>
          <w:color w:val="auto"/>
          <w:sz w:val="23"/>
          <w:szCs w:val="23"/>
        </w:rPr>
        <w:t xml:space="preserve"> </w:t>
      </w:r>
      <w:r w:rsidRPr="00EA59C0">
        <w:rPr>
          <w:color w:val="auto"/>
          <w:sz w:val="23"/>
          <w:szCs w:val="23"/>
        </w:rPr>
        <w:t>this</w:t>
      </w:r>
      <w:r w:rsidR="00C026A6" w:rsidRPr="00EA59C0">
        <w:rPr>
          <w:color w:val="auto"/>
          <w:sz w:val="23"/>
          <w:szCs w:val="23"/>
        </w:rPr>
        <w:t xml:space="preserve"> </w:t>
      </w:r>
      <w:r w:rsidRPr="00EA59C0">
        <w:rPr>
          <w:color w:val="auto"/>
          <w:sz w:val="23"/>
          <w:szCs w:val="23"/>
        </w:rPr>
        <w:t>responsibility,</w:t>
      </w:r>
      <w:r w:rsidR="00C026A6" w:rsidRPr="00EA59C0">
        <w:rPr>
          <w:color w:val="auto"/>
          <w:sz w:val="23"/>
          <w:szCs w:val="23"/>
        </w:rPr>
        <w:t xml:space="preserve"> </w:t>
      </w:r>
      <w:r w:rsidRPr="00EA59C0">
        <w:rPr>
          <w:color w:val="auto"/>
          <w:sz w:val="23"/>
          <w:szCs w:val="23"/>
        </w:rPr>
        <w:t>grantees</w:t>
      </w:r>
      <w:r w:rsidR="00C026A6" w:rsidRPr="00EA59C0">
        <w:rPr>
          <w:color w:val="auto"/>
          <w:sz w:val="23"/>
          <w:szCs w:val="23"/>
        </w:rPr>
        <w:t xml:space="preserve"> </w:t>
      </w:r>
      <w:r w:rsidRPr="00EA59C0">
        <w:rPr>
          <w:color w:val="auto"/>
          <w:sz w:val="23"/>
          <w:szCs w:val="23"/>
        </w:rPr>
        <w:t>must</w:t>
      </w:r>
      <w:r w:rsidR="00C026A6" w:rsidRPr="00EA59C0">
        <w:rPr>
          <w:color w:val="auto"/>
          <w:sz w:val="23"/>
          <w:szCs w:val="23"/>
        </w:rPr>
        <w:t xml:space="preserve"> </w:t>
      </w:r>
      <w:r w:rsidRPr="00EA59C0">
        <w:rPr>
          <w:color w:val="auto"/>
          <w:sz w:val="23"/>
          <w:szCs w:val="23"/>
        </w:rPr>
        <w:t>make</w:t>
      </w:r>
      <w:r w:rsidR="00C026A6" w:rsidRPr="00EA59C0">
        <w:rPr>
          <w:color w:val="auto"/>
          <w:sz w:val="23"/>
          <w:szCs w:val="23"/>
        </w:rPr>
        <w:t xml:space="preserve"> </w:t>
      </w:r>
      <w:r w:rsidRPr="00EA59C0">
        <w:rPr>
          <w:color w:val="auto"/>
          <w:sz w:val="23"/>
          <w:szCs w:val="23"/>
        </w:rPr>
        <w:t>records</w:t>
      </w:r>
      <w:r w:rsidR="00C026A6" w:rsidRPr="00EA59C0">
        <w:rPr>
          <w:color w:val="auto"/>
          <w:sz w:val="23"/>
          <w:szCs w:val="23"/>
        </w:rPr>
        <w:t xml:space="preserve"> </w:t>
      </w:r>
      <w:r w:rsidRPr="00EA59C0">
        <w:rPr>
          <w:color w:val="auto"/>
          <w:sz w:val="23"/>
          <w:szCs w:val="23"/>
        </w:rPr>
        <w:t>applicable</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this</w:t>
      </w:r>
      <w:r w:rsidR="00C026A6" w:rsidRPr="00EA59C0">
        <w:rPr>
          <w:color w:val="auto"/>
          <w:sz w:val="23"/>
          <w:szCs w:val="23"/>
        </w:rPr>
        <w:t xml:space="preserve"> </w:t>
      </w:r>
      <w:r w:rsidRPr="00EA59C0">
        <w:rPr>
          <w:color w:val="auto"/>
          <w:sz w:val="23"/>
          <w:szCs w:val="23"/>
        </w:rPr>
        <w:t>Agreement</w:t>
      </w:r>
      <w:r w:rsidR="00C026A6" w:rsidRPr="00EA59C0">
        <w:rPr>
          <w:color w:val="auto"/>
          <w:sz w:val="23"/>
          <w:szCs w:val="23"/>
        </w:rPr>
        <w:t xml:space="preserve"> </w:t>
      </w:r>
      <w:r w:rsidRPr="00EA59C0">
        <w:rPr>
          <w:color w:val="auto"/>
          <w:sz w:val="23"/>
          <w:szCs w:val="23"/>
        </w:rPr>
        <w:t>available</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authorized</w:t>
      </w:r>
      <w:r w:rsidR="00C026A6" w:rsidRPr="00EA59C0">
        <w:rPr>
          <w:color w:val="auto"/>
          <w:sz w:val="23"/>
          <w:szCs w:val="23"/>
        </w:rPr>
        <w:t xml:space="preserve"> </w:t>
      </w:r>
      <w:r w:rsidRPr="00EA59C0">
        <w:rPr>
          <w:color w:val="auto"/>
          <w:sz w:val="23"/>
          <w:szCs w:val="23"/>
        </w:rPr>
        <w:t>persons</w:t>
      </w:r>
      <w:r w:rsidR="00C026A6" w:rsidRPr="00EA59C0">
        <w:rPr>
          <w:color w:val="auto"/>
          <w:sz w:val="23"/>
          <w:szCs w:val="23"/>
        </w:rPr>
        <w:t xml:space="preserve"> </w:t>
      </w:r>
      <w:r w:rsidRPr="00EA59C0">
        <w:rPr>
          <w:color w:val="auto"/>
          <w:sz w:val="23"/>
          <w:szCs w:val="23"/>
        </w:rPr>
        <w:t>for</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purpose</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inspection,</w:t>
      </w:r>
      <w:r w:rsidR="00C026A6" w:rsidRPr="00EA59C0">
        <w:rPr>
          <w:color w:val="auto"/>
          <w:sz w:val="23"/>
          <w:szCs w:val="23"/>
        </w:rPr>
        <w:t xml:space="preserve"> </w:t>
      </w:r>
      <w:r w:rsidRPr="00EA59C0">
        <w:rPr>
          <w:color w:val="auto"/>
          <w:sz w:val="23"/>
          <w:szCs w:val="23"/>
        </w:rPr>
        <w:t>review,</w:t>
      </w:r>
      <w:r w:rsidR="00C026A6" w:rsidRPr="00EA59C0">
        <w:rPr>
          <w:color w:val="auto"/>
          <w:sz w:val="23"/>
          <w:szCs w:val="23"/>
        </w:rPr>
        <w:t xml:space="preserve"> </w:t>
      </w:r>
      <w:r w:rsidRPr="00EA59C0">
        <w:rPr>
          <w:color w:val="auto"/>
          <w:sz w:val="23"/>
          <w:szCs w:val="23"/>
        </w:rPr>
        <w:t>and/or</w:t>
      </w:r>
      <w:r w:rsidR="00C026A6" w:rsidRPr="00EA59C0">
        <w:rPr>
          <w:color w:val="auto"/>
          <w:sz w:val="23"/>
          <w:szCs w:val="23"/>
        </w:rPr>
        <w:t xml:space="preserve"> </w:t>
      </w:r>
      <w:r w:rsidRPr="00EA59C0">
        <w:rPr>
          <w:color w:val="auto"/>
          <w:sz w:val="23"/>
          <w:szCs w:val="23"/>
        </w:rPr>
        <w:t>audit.</w:t>
      </w:r>
      <w:r w:rsidR="00C026A6" w:rsidRPr="00EA59C0">
        <w:rPr>
          <w:color w:val="auto"/>
          <w:sz w:val="23"/>
          <w:szCs w:val="23"/>
        </w:rPr>
        <w:t xml:space="preserve"> </w:t>
      </w:r>
    </w:p>
    <w:p w:rsidR="00144DF0" w:rsidRPr="00EA59C0" w:rsidRDefault="00D81847" w:rsidP="004C3998">
      <w:pPr>
        <w:pStyle w:val="Default"/>
        <w:numPr>
          <w:ilvl w:val="4"/>
          <w:numId w:val="17"/>
        </w:numPr>
        <w:rPr>
          <w:color w:val="auto"/>
          <w:sz w:val="23"/>
          <w:szCs w:val="23"/>
        </w:rPr>
      </w:pPr>
      <w:r w:rsidRPr="00EA59C0">
        <w:rPr>
          <w:color w:val="auto"/>
          <w:sz w:val="23"/>
          <w:szCs w:val="23"/>
        </w:rPr>
        <w:t>Grantees</w:t>
      </w:r>
      <w:r w:rsidR="00C026A6" w:rsidRPr="00EA59C0">
        <w:rPr>
          <w:color w:val="auto"/>
          <w:sz w:val="23"/>
          <w:szCs w:val="23"/>
        </w:rPr>
        <w:t xml:space="preserve"> </w:t>
      </w:r>
      <w:r w:rsidRPr="00EA59C0">
        <w:rPr>
          <w:color w:val="auto"/>
          <w:sz w:val="23"/>
          <w:szCs w:val="23"/>
        </w:rPr>
        <w:t>must</w:t>
      </w:r>
      <w:r w:rsidR="00C026A6" w:rsidRPr="00EA59C0">
        <w:rPr>
          <w:color w:val="auto"/>
          <w:sz w:val="23"/>
          <w:szCs w:val="23"/>
        </w:rPr>
        <w:t xml:space="preserve"> </w:t>
      </w:r>
      <w:r w:rsidRPr="00EA59C0">
        <w:rPr>
          <w:color w:val="auto"/>
          <w:sz w:val="23"/>
          <w:szCs w:val="23"/>
        </w:rPr>
        <w:t>retain</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received</w:t>
      </w:r>
      <w:r w:rsidR="00C026A6" w:rsidRPr="00EA59C0">
        <w:rPr>
          <w:color w:val="auto"/>
          <w:sz w:val="23"/>
          <w:szCs w:val="23"/>
        </w:rPr>
        <w:t xml:space="preserve"> </w:t>
      </w:r>
      <w:r w:rsidRPr="00EA59C0">
        <w:rPr>
          <w:color w:val="auto"/>
          <w:sz w:val="23"/>
          <w:szCs w:val="23"/>
        </w:rPr>
        <w:t>from</w:t>
      </w:r>
      <w:r w:rsidR="00C026A6" w:rsidRPr="00EA59C0">
        <w:rPr>
          <w:color w:val="auto"/>
          <w:sz w:val="23"/>
          <w:szCs w:val="23"/>
        </w:rPr>
        <w:t xml:space="preserve"> </w:t>
      </w:r>
      <w:r w:rsidRPr="00EA59C0">
        <w:rPr>
          <w:color w:val="auto"/>
          <w:sz w:val="23"/>
          <w:szCs w:val="23"/>
        </w:rPr>
        <w:t>ETA</w:t>
      </w:r>
      <w:r w:rsidR="00C026A6" w:rsidRPr="00EA59C0">
        <w:rPr>
          <w:color w:val="auto"/>
          <w:sz w:val="23"/>
          <w:szCs w:val="23"/>
        </w:rPr>
        <w:t xml:space="preserve"> </w:t>
      </w:r>
      <w:r w:rsidRPr="00EA59C0">
        <w:rPr>
          <w:color w:val="auto"/>
          <w:sz w:val="23"/>
          <w:szCs w:val="23"/>
        </w:rPr>
        <w:t>only</w:t>
      </w:r>
      <w:r w:rsidR="00C026A6" w:rsidRPr="00EA59C0">
        <w:rPr>
          <w:color w:val="auto"/>
          <w:sz w:val="23"/>
          <w:szCs w:val="23"/>
        </w:rPr>
        <w:t xml:space="preserve"> </w:t>
      </w:r>
      <w:r w:rsidRPr="00EA59C0">
        <w:rPr>
          <w:color w:val="auto"/>
          <w:sz w:val="23"/>
          <w:szCs w:val="23"/>
        </w:rPr>
        <w:t>for</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period</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time</w:t>
      </w:r>
      <w:r w:rsidR="00C026A6" w:rsidRPr="00EA59C0">
        <w:rPr>
          <w:color w:val="auto"/>
          <w:sz w:val="23"/>
          <w:szCs w:val="23"/>
        </w:rPr>
        <w:t xml:space="preserve"> </w:t>
      </w:r>
      <w:r w:rsidRPr="00EA59C0">
        <w:rPr>
          <w:color w:val="auto"/>
          <w:sz w:val="23"/>
          <w:szCs w:val="23"/>
        </w:rPr>
        <w:t>required</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use</w:t>
      </w:r>
      <w:r w:rsidR="00C026A6" w:rsidRPr="00EA59C0">
        <w:rPr>
          <w:color w:val="auto"/>
          <w:sz w:val="23"/>
          <w:szCs w:val="23"/>
        </w:rPr>
        <w:t xml:space="preserve"> </w:t>
      </w:r>
      <w:r w:rsidRPr="00EA59C0">
        <w:rPr>
          <w:color w:val="auto"/>
          <w:sz w:val="23"/>
          <w:szCs w:val="23"/>
        </w:rPr>
        <w:t>it</w:t>
      </w:r>
      <w:r w:rsidR="00C026A6" w:rsidRPr="00EA59C0">
        <w:rPr>
          <w:color w:val="auto"/>
          <w:sz w:val="23"/>
          <w:szCs w:val="23"/>
        </w:rPr>
        <w:t xml:space="preserve"> </w:t>
      </w:r>
      <w:r w:rsidRPr="00EA59C0">
        <w:rPr>
          <w:color w:val="auto"/>
          <w:sz w:val="23"/>
          <w:szCs w:val="23"/>
        </w:rPr>
        <w:t>for</w:t>
      </w:r>
      <w:r w:rsidR="00C026A6" w:rsidRPr="00EA59C0">
        <w:rPr>
          <w:color w:val="auto"/>
          <w:sz w:val="23"/>
          <w:szCs w:val="23"/>
        </w:rPr>
        <w:t xml:space="preserve"> </w:t>
      </w:r>
      <w:r w:rsidRPr="00EA59C0">
        <w:rPr>
          <w:color w:val="auto"/>
          <w:sz w:val="23"/>
          <w:szCs w:val="23"/>
        </w:rPr>
        <w:t>assessment</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other</w:t>
      </w:r>
      <w:r w:rsidR="00C026A6" w:rsidRPr="00EA59C0">
        <w:rPr>
          <w:color w:val="auto"/>
          <w:sz w:val="23"/>
          <w:szCs w:val="23"/>
        </w:rPr>
        <w:t xml:space="preserve"> </w:t>
      </w:r>
      <w:r w:rsidRPr="00EA59C0">
        <w:rPr>
          <w:color w:val="auto"/>
          <w:sz w:val="23"/>
          <w:szCs w:val="23"/>
        </w:rPr>
        <w:t>purposes,</w:t>
      </w:r>
      <w:r w:rsidR="00C026A6" w:rsidRPr="00EA59C0">
        <w:rPr>
          <w:color w:val="auto"/>
          <w:sz w:val="23"/>
          <w:szCs w:val="23"/>
        </w:rPr>
        <w:t xml:space="preserve"> </w:t>
      </w:r>
      <w:r w:rsidRPr="00EA59C0">
        <w:rPr>
          <w:color w:val="auto"/>
          <w:sz w:val="23"/>
          <w:szCs w:val="23"/>
        </w:rPr>
        <w:t>or</w:t>
      </w:r>
      <w:r w:rsidR="00C026A6" w:rsidRPr="00EA59C0">
        <w:rPr>
          <w:color w:val="auto"/>
          <w:sz w:val="23"/>
          <w:szCs w:val="23"/>
        </w:rPr>
        <w:t xml:space="preserve"> </w:t>
      </w:r>
      <w:r w:rsidRPr="00EA59C0">
        <w:rPr>
          <w:color w:val="auto"/>
          <w:sz w:val="23"/>
          <w:szCs w:val="23"/>
        </w:rPr>
        <w:t>to</w:t>
      </w:r>
      <w:r w:rsidR="00C026A6" w:rsidRPr="00EA59C0">
        <w:rPr>
          <w:color w:val="auto"/>
          <w:sz w:val="23"/>
          <w:szCs w:val="23"/>
        </w:rPr>
        <w:t xml:space="preserve"> </w:t>
      </w:r>
      <w:r w:rsidRPr="00EA59C0">
        <w:rPr>
          <w:color w:val="auto"/>
          <w:sz w:val="23"/>
          <w:szCs w:val="23"/>
        </w:rPr>
        <w:t>satisfy</w:t>
      </w:r>
      <w:r w:rsidR="00C026A6" w:rsidRPr="00EA59C0">
        <w:rPr>
          <w:color w:val="auto"/>
          <w:sz w:val="23"/>
          <w:szCs w:val="23"/>
        </w:rPr>
        <w:t xml:space="preserve"> </w:t>
      </w:r>
      <w:r w:rsidRPr="00EA59C0">
        <w:rPr>
          <w:color w:val="auto"/>
          <w:sz w:val="23"/>
          <w:szCs w:val="23"/>
        </w:rPr>
        <w:t>applicable</w:t>
      </w:r>
      <w:r w:rsidR="00C026A6" w:rsidRPr="00EA59C0">
        <w:rPr>
          <w:color w:val="auto"/>
          <w:sz w:val="23"/>
          <w:szCs w:val="23"/>
        </w:rPr>
        <w:t xml:space="preserve"> </w:t>
      </w:r>
      <w:r w:rsidRPr="00EA59C0">
        <w:rPr>
          <w:color w:val="auto"/>
          <w:sz w:val="23"/>
          <w:szCs w:val="23"/>
        </w:rPr>
        <w:t>Federal</w:t>
      </w:r>
      <w:r w:rsidR="00C026A6" w:rsidRPr="00EA59C0">
        <w:rPr>
          <w:color w:val="auto"/>
          <w:sz w:val="23"/>
          <w:szCs w:val="23"/>
        </w:rPr>
        <w:t xml:space="preserve"> </w:t>
      </w:r>
      <w:r w:rsidRPr="00EA59C0">
        <w:rPr>
          <w:color w:val="auto"/>
          <w:sz w:val="23"/>
          <w:szCs w:val="23"/>
        </w:rPr>
        <w:t>records</w:t>
      </w:r>
      <w:r w:rsidR="00C026A6" w:rsidRPr="00EA59C0">
        <w:rPr>
          <w:color w:val="auto"/>
          <w:sz w:val="23"/>
          <w:szCs w:val="23"/>
        </w:rPr>
        <w:t xml:space="preserve"> </w:t>
      </w:r>
      <w:r w:rsidRPr="00EA59C0">
        <w:rPr>
          <w:color w:val="auto"/>
          <w:sz w:val="23"/>
          <w:szCs w:val="23"/>
        </w:rPr>
        <w:t>retention</w:t>
      </w:r>
      <w:r w:rsidR="00C026A6" w:rsidRPr="00EA59C0">
        <w:rPr>
          <w:color w:val="auto"/>
          <w:sz w:val="23"/>
          <w:szCs w:val="23"/>
        </w:rPr>
        <w:t xml:space="preserve"> </w:t>
      </w:r>
      <w:r w:rsidRPr="00EA59C0">
        <w:rPr>
          <w:color w:val="auto"/>
          <w:sz w:val="23"/>
          <w:szCs w:val="23"/>
        </w:rPr>
        <w:t>requirements,</w:t>
      </w:r>
      <w:r w:rsidR="00C026A6" w:rsidRPr="00EA59C0">
        <w:rPr>
          <w:color w:val="auto"/>
          <w:sz w:val="23"/>
          <w:szCs w:val="23"/>
        </w:rPr>
        <w:t xml:space="preserve"> </w:t>
      </w:r>
      <w:r w:rsidRPr="00EA59C0">
        <w:rPr>
          <w:color w:val="auto"/>
          <w:sz w:val="23"/>
          <w:szCs w:val="23"/>
        </w:rPr>
        <w:t>if</w:t>
      </w:r>
      <w:r w:rsidR="00C026A6" w:rsidRPr="00EA59C0">
        <w:rPr>
          <w:color w:val="auto"/>
          <w:sz w:val="23"/>
          <w:szCs w:val="23"/>
        </w:rPr>
        <w:t xml:space="preserve"> </w:t>
      </w:r>
      <w:r w:rsidRPr="00EA59C0">
        <w:rPr>
          <w:color w:val="auto"/>
          <w:sz w:val="23"/>
          <w:szCs w:val="23"/>
        </w:rPr>
        <w:t>any.</w:t>
      </w:r>
      <w:r w:rsidR="00C026A6" w:rsidRPr="00EA59C0">
        <w:rPr>
          <w:color w:val="auto"/>
          <w:sz w:val="23"/>
          <w:szCs w:val="23"/>
        </w:rPr>
        <w:t xml:space="preserve"> </w:t>
      </w:r>
      <w:r w:rsidRPr="00EA59C0">
        <w:rPr>
          <w:color w:val="auto"/>
          <w:sz w:val="23"/>
          <w:szCs w:val="23"/>
        </w:rPr>
        <w:t>Thereafter,</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grantee</w:t>
      </w:r>
      <w:r w:rsidR="00C026A6" w:rsidRPr="00EA59C0">
        <w:rPr>
          <w:color w:val="auto"/>
          <w:sz w:val="23"/>
          <w:szCs w:val="23"/>
        </w:rPr>
        <w:t xml:space="preserve"> </w:t>
      </w:r>
      <w:r w:rsidRPr="00EA59C0">
        <w:rPr>
          <w:color w:val="auto"/>
          <w:sz w:val="23"/>
          <w:szCs w:val="23"/>
        </w:rPr>
        <w:t>agrees</w:t>
      </w:r>
      <w:r w:rsidR="00C026A6" w:rsidRPr="00EA59C0">
        <w:rPr>
          <w:color w:val="auto"/>
          <w:sz w:val="23"/>
          <w:szCs w:val="23"/>
        </w:rPr>
        <w:t xml:space="preserve"> </w:t>
      </w:r>
      <w:r w:rsidRPr="00EA59C0">
        <w:rPr>
          <w:color w:val="auto"/>
          <w:sz w:val="23"/>
          <w:szCs w:val="23"/>
        </w:rPr>
        <w:t>that</w:t>
      </w:r>
      <w:r w:rsidR="00C026A6" w:rsidRPr="00EA59C0">
        <w:rPr>
          <w:color w:val="auto"/>
          <w:sz w:val="23"/>
          <w:szCs w:val="23"/>
        </w:rPr>
        <w:t xml:space="preserve"> </w:t>
      </w:r>
      <w:r w:rsidRPr="00EA59C0">
        <w:rPr>
          <w:color w:val="auto"/>
          <w:sz w:val="23"/>
          <w:szCs w:val="23"/>
        </w:rPr>
        <w:t>all</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r w:rsidRPr="00EA59C0">
        <w:rPr>
          <w:color w:val="auto"/>
          <w:sz w:val="23"/>
          <w:szCs w:val="23"/>
        </w:rPr>
        <w:t>will</w:t>
      </w:r>
      <w:r w:rsidR="00C026A6" w:rsidRPr="00EA59C0">
        <w:rPr>
          <w:color w:val="auto"/>
          <w:sz w:val="23"/>
          <w:szCs w:val="23"/>
        </w:rPr>
        <w:t xml:space="preserve"> </w:t>
      </w:r>
      <w:r w:rsidRPr="00EA59C0">
        <w:rPr>
          <w:color w:val="auto"/>
          <w:sz w:val="23"/>
          <w:szCs w:val="23"/>
        </w:rPr>
        <w:t>be</w:t>
      </w:r>
      <w:r w:rsidR="00C026A6" w:rsidRPr="00EA59C0">
        <w:rPr>
          <w:color w:val="auto"/>
          <w:sz w:val="23"/>
          <w:szCs w:val="23"/>
        </w:rPr>
        <w:t xml:space="preserve"> </w:t>
      </w:r>
      <w:r w:rsidRPr="00EA59C0">
        <w:rPr>
          <w:color w:val="auto"/>
          <w:sz w:val="23"/>
          <w:szCs w:val="23"/>
        </w:rPr>
        <w:t>destroyed,</w:t>
      </w:r>
      <w:r w:rsidR="00C026A6" w:rsidRPr="00EA59C0">
        <w:rPr>
          <w:color w:val="auto"/>
          <w:sz w:val="23"/>
          <w:szCs w:val="23"/>
        </w:rPr>
        <w:t xml:space="preserve"> </w:t>
      </w:r>
      <w:r w:rsidRPr="00EA59C0">
        <w:rPr>
          <w:color w:val="auto"/>
          <w:sz w:val="23"/>
          <w:szCs w:val="23"/>
        </w:rPr>
        <w:t>including</w:t>
      </w:r>
      <w:r w:rsidR="00C026A6" w:rsidRPr="00EA59C0">
        <w:rPr>
          <w:color w:val="auto"/>
          <w:sz w:val="23"/>
          <w:szCs w:val="23"/>
        </w:rPr>
        <w:t xml:space="preserve"> </w:t>
      </w:r>
      <w:r w:rsidRPr="00EA59C0">
        <w:rPr>
          <w:color w:val="auto"/>
          <w:sz w:val="23"/>
          <w:szCs w:val="23"/>
        </w:rPr>
        <w:t>the</w:t>
      </w:r>
      <w:r w:rsidR="00C026A6" w:rsidRPr="00EA59C0">
        <w:rPr>
          <w:color w:val="auto"/>
          <w:sz w:val="23"/>
          <w:szCs w:val="23"/>
        </w:rPr>
        <w:t xml:space="preserve"> </w:t>
      </w:r>
      <w:r w:rsidRPr="00EA59C0">
        <w:rPr>
          <w:color w:val="auto"/>
          <w:sz w:val="23"/>
          <w:szCs w:val="23"/>
        </w:rPr>
        <w:t>degaussing</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magnetic</w:t>
      </w:r>
      <w:r w:rsidR="00C026A6" w:rsidRPr="00EA59C0">
        <w:rPr>
          <w:color w:val="auto"/>
          <w:sz w:val="23"/>
          <w:szCs w:val="23"/>
        </w:rPr>
        <w:t xml:space="preserve"> </w:t>
      </w:r>
      <w:r w:rsidRPr="00EA59C0">
        <w:rPr>
          <w:color w:val="auto"/>
          <w:sz w:val="23"/>
          <w:szCs w:val="23"/>
        </w:rPr>
        <w:t>tape</w:t>
      </w:r>
      <w:r w:rsidR="00C026A6" w:rsidRPr="00EA59C0">
        <w:rPr>
          <w:color w:val="auto"/>
          <w:sz w:val="23"/>
          <w:szCs w:val="23"/>
        </w:rPr>
        <w:t xml:space="preserve"> </w:t>
      </w:r>
      <w:r w:rsidRPr="00EA59C0">
        <w:rPr>
          <w:color w:val="auto"/>
          <w:sz w:val="23"/>
          <w:szCs w:val="23"/>
        </w:rPr>
        <w:t>files</w:t>
      </w:r>
      <w:r w:rsidR="00C026A6" w:rsidRPr="00EA59C0">
        <w:rPr>
          <w:color w:val="auto"/>
          <w:sz w:val="23"/>
          <w:szCs w:val="23"/>
        </w:rPr>
        <w:t xml:space="preserve"> </w:t>
      </w:r>
      <w:r w:rsidRPr="00EA59C0">
        <w:rPr>
          <w:color w:val="auto"/>
          <w:sz w:val="23"/>
          <w:szCs w:val="23"/>
        </w:rPr>
        <w:t>and</w:t>
      </w:r>
      <w:r w:rsidR="00C026A6" w:rsidRPr="00EA59C0">
        <w:rPr>
          <w:color w:val="auto"/>
          <w:sz w:val="23"/>
          <w:szCs w:val="23"/>
        </w:rPr>
        <w:t xml:space="preserve"> </w:t>
      </w:r>
      <w:r w:rsidRPr="00EA59C0">
        <w:rPr>
          <w:color w:val="auto"/>
          <w:sz w:val="23"/>
          <w:szCs w:val="23"/>
        </w:rPr>
        <w:t>deletion</w:t>
      </w:r>
      <w:r w:rsidR="00C026A6" w:rsidRPr="00EA59C0">
        <w:rPr>
          <w:color w:val="auto"/>
          <w:sz w:val="23"/>
          <w:szCs w:val="23"/>
        </w:rPr>
        <w:t xml:space="preserve"> </w:t>
      </w:r>
      <w:r w:rsidRPr="00EA59C0">
        <w:rPr>
          <w:color w:val="auto"/>
          <w:sz w:val="23"/>
          <w:szCs w:val="23"/>
        </w:rPr>
        <w:t>of</w:t>
      </w:r>
      <w:r w:rsidR="00C026A6" w:rsidRPr="00EA59C0">
        <w:rPr>
          <w:color w:val="auto"/>
          <w:sz w:val="23"/>
          <w:szCs w:val="23"/>
        </w:rPr>
        <w:t xml:space="preserve"> </w:t>
      </w:r>
      <w:r w:rsidRPr="00EA59C0">
        <w:rPr>
          <w:color w:val="auto"/>
          <w:sz w:val="23"/>
          <w:szCs w:val="23"/>
        </w:rPr>
        <w:t>electronic</w:t>
      </w:r>
      <w:r w:rsidR="00C026A6" w:rsidRPr="00EA59C0">
        <w:rPr>
          <w:color w:val="auto"/>
          <w:sz w:val="23"/>
          <w:szCs w:val="23"/>
        </w:rPr>
        <w:t xml:space="preserve"> </w:t>
      </w:r>
      <w:r w:rsidRPr="00EA59C0">
        <w:rPr>
          <w:color w:val="auto"/>
          <w:sz w:val="23"/>
          <w:szCs w:val="23"/>
        </w:rPr>
        <w:t>data.</w:t>
      </w:r>
      <w:r w:rsidR="00C026A6" w:rsidRPr="00EA59C0">
        <w:rPr>
          <w:color w:val="auto"/>
          <w:sz w:val="23"/>
          <w:szCs w:val="23"/>
        </w:rPr>
        <w:t xml:space="preserve"> </w:t>
      </w:r>
    </w:p>
    <w:p w:rsidR="004B3230" w:rsidRPr="00EA59C0" w:rsidRDefault="004B3230" w:rsidP="00FA0E98">
      <w:pPr>
        <w:pStyle w:val="Default"/>
        <w:ind w:left="1440"/>
        <w:rPr>
          <w:color w:val="auto"/>
          <w:sz w:val="23"/>
          <w:szCs w:val="23"/>
        </w:rPr>
      </w:pPr>
    </w:p>
    <w:p w:rsidR="00144DF0" w:rsidRPr="00EA59C0" w:rsidRDefault="00D81847" w:rsidP="00FC34EA">
      <w:pPr>
        <w:pStyle w:val="Heading2"/>
        <w:numPr>
          <w:ilvl w:val="3"/>
          <w:numId w:val="17"/>
        </w:numPr>
        <w:spacing w:line="240" w:lineRule="auto"/>
        <w:rPr>
          <w:rFonts w:ascii="Times New Roman" w:hAnsi="Times New Roman"/>
          <w:b w:val="0"/>
          <w:i w:val="0"/>
        </w:rPr>
      </w:pPr>
      <w:r w:rsidRPr="00EA59C0">
        <w:rPr>
          <w:rFonts w:ascii="Times New Roman" w:hAnsi="Times New Roman"/>
          <w:b w:val="0"/>
          <w:i w:val="0"/>
        </w:rPr>
        <w:t>Record</w:t>
      </w:r>
      <w:r w:rsidR="00C026A6" w:rsidRPr="00EA59C0">
        <w:rPr>
          <w:rFonts w:ascii="Times New Roman" w:hAnsi="Times New Roman"/>
          <w:b w:val="0"/>
          <w:i w:val="0"/>
        </w:rPr>
        <w:t xml:space="preserve"> </w:t>
      </w:r>
      <w:r w:rsidRPr="00EA59C0">
        <w:rPr>
          <w:rFonts w:ascii="Times New Roman" w:hAnsi="Times New Roman"/>
          <w:b w:val="0"/>
          <w:i w:val="0"/>
        </w:rPr>
        <w:t>Retention</w:t>
      </w:r>
    </w:p>
    <w:p w:rsidR="00BA0F4E" w:rsidRPr="00EA59C0" w:rsidRDefault="00BA0F4E" w:rsidP="00FA0E98">
      <w:pPr>
        <w:ind w:left="1440"/>
        <w:rPr>
          <w:b/>
        </w:rPr>
      </w:pPr>
      <w:r w:rsidRPr="00EA59C0">
        <w:rPr>
          <w:rStyle w:val="Emphasis"/>
          <w:i w:val="0"/>
        </w:rPr>
        <w:t>Applicants</w:t>
      </w:r>
      <w:r w:rsidR="00C026A6" w:rsidRPr="00EA59C0">
        <w:rPr>
          <w:rStyle w:val="Emphasis"/>
          <w:i w:val="0"/>
        </w:rPr>
        <w:t xml:space="preserve"> </w:t>
      </w:r>
      <w:r w:rsidRPr="00EA59C0">
        <w:rPr>
          <w:rStyle w:val="Emphasis"/>
          <w:i w:val="0"/>
        </w:rPr>
        <w:t>must</w:t>
      </w:r>
      <w:r w:rsidR="00C026A6" w:rsidRPr="00EA59C0">
        <w:rPr>
          <w:rStyle w:val="Emphasis"/>
          <w:i w:val="0"/>
        </w:rPr>
        <w:t xml:space="preserve"> </w:t>
      </w:r>
      <w:r w:rsidRPr="00EA59C0">
        <w:rPr>
          <w:rStyle w:val="Emphasis"/>
          <w:i w:val="0"/>
        </w:rPr>
        <w:t>be</w:t>
      </w:r>
      <w:r w:rsidR="00C026A6" w:rsidRPr="00EA59C0">
        <w:rPr>
          <w:rStyle w:val="Emphasis"/>
          <w:i w:val="0"/>
        </w:rPr>
        <w:t xml:space="preserve"> </w:t>
      </w:r>
      <w:r w:rsidRPr="00EA59C0">
        <w:rPr>
          <w:rStyle w:val="Emphasis"/>
          <w:i w:val="0"/>
        </w:rPr>
        <w:t>prepared</w:t>
      </w:r>
      <w:r w:rsidR="00C026A6" w:rsidRPr="00EA59C0">
        <w:rPr>
          <w:rStyle w:val="Emphasis"/>
          <w:i w:val="0"/>
        </w:rPr>
        <w:t xml:space="preserve"> </w:t>
      </w:r>
      <w:r w:rsidRPr="00EA59C0">
        <w:rPr>
          <w:rStyle w:val="Emphasis"/>
          <w:i w:val="0"/>
        </w:rPr>
        <w:t>to</w:t>
      </w:r>
      <w:r w:rsidR="00C026A6" w:rsidRPr="00EA59C0">
        <w:rPr>
          <w:rStyle w:val="Emphasis"/>
          <w:i w:val="0"/>
        </w:rPr>
        <w:t xml:space="preserve"> </w:t>
      </w:r>
      <w:r w:rsidRPr="00EA59C0">
        <w:rPr>
          <w:rStyle w:val="Emphasis"/>
          <w:i w:val="0"/>
        </w:rPr>
        <w:t>follow</w:t>
      </w:r>
      <w:r w:rsidR="00C026A6" w:rsidRPr="00EA59C0">
        <w:rPr>
          <w:rStyle w:val="Emphasis"/>
          <w:i w:val="0"/>
        </w:rPr>
        <w:t xml:space="preserve"> </w:t>
      </w:r>
      <w:r w:rsidRPr="00EA59C0">
        <w:rPr>
          <w:rStyle w:val="Emphasis"/>
          <w:i w:val="0"/>
        </w:rPr>
        <w:t>Federal</w:t>
      </w:r>
      <w:r w:rsidR="00C026A6" w:rsidRPr="00EA59C0">
        <w:rPr>
          <w:rStyle w:val="Emphasis"/>
          <w:i w:val="0"/>
        </w:rPr>
        <w:t xml:space="preserve"> </w:t>
      </w:r>
      <w:r w:rsidRPr="00EA59C0">
        <w:rPr>
          <w:rStyle w:val="Emphasis"/>
          <w:i w:val="0"/>
        </w:rPr>
        <w:t>guidelines</w:t>
      </w:r>
      <w:r w:rsidR="00C026A6" w:rsidRPr="00EA59C0">
        <w:rPr>
          <w:rStyle w:val="Emphasis"/>
          <w:i w:val="0"/>
        </w:rPr>
        <w:t xml:space="preserve"> </w:t>
      </w:r>
      <w:r w:rsidRPr="00EA59C0">
        <w:rPr>
          <w:rStyle w:val="Emphasis"/>
          <w:i w:val="0"/>
        </w:rPr>
        <w:t>on</w:t>
      </w:r>
      <w:r w:rsidR="00C026A6" w:rsidRPr="00EA59C0">
        <w:rPr>
          <w:rStyle w:val="Emphasis"/>
          <w:i w:val="0"/>
        </w:rPr>
        <w:t xml:space="preserve"> </w:t>
      </w:r>
      <w:r w:rsidRPr="00EA59C0">
        <w:rPr>
          <w:rStyle w:val="Emphasis"/>
          <w:i w:val="0"/>
        </w:rPr>
        <w:t>record</w:t>
      </w:r>
      <w:r w:rsidR="00C026A6" w:rsidRPr="00EA59C0">
        <w:rPr>
          <w:rStyle w:val="Emphasis"/>
          <w:i w:val="0"/>
        </w:rPr>
        <w:t xml:space="preserve"> </w:t>
      </w:r>
      <w:r w:rsidRPr="00EA59C0">
        <w:rPr>
          <w:rStyle w:val="Emphasis"/>
          <w:i w:val="0"/>
        </w:rPr>
        <w:t>retention,</w:t>
      </w:r>
      <w:r w:rsidR="00C026A6" w:rsidRPr="00EA59C0">
        <w:rPr>
          <w:rStyle w:val="Emphasis"/>
          <w:i w:val="0"/>
        </w:rPr>
        <w:t xml:space="preserve"> </w:t>
      </w:r>
      <w:r w:rsidRPr="00EA59C0">
        <w:rPr>
          <w:rStyle w:val="Emphasis"/>
          <w:i w:val="0"/>
        </w:rPr>
        <w:t>which</w:t>
      </w:r>
      <w:r w:rsidR="00C026A6" w:rsidRPr="00EA59C0">
        <w:rPr>
          <w:rStyle w:val="Emphasis"/>
          <w:i w:val="0"/>
        </w:rPr>
        <w:t xml:space="preserve"> </w:t>
      </w:r>
      <w:r w:rsidRPr="00EA59C0">
        <w:rPr>
          <w:rStyle w:val="Emphasis"/>
          <w:i w:val="0"/>
        </w:rPr>
        <w:t>require</w:t>
      </w:r>
      <w:r w:rsidR="00C026A6" w:rsidRPr="00EA59C0">
        <w:rPr>
          <w:rStyle w:val="Emphasis"/>
          <w:i w:val="0"/>
        </w:rPr>
        <w:t xml:space="preserve"> </w:t>
      </w:r>
      <w:r w:rsidRPr="00EA59C0">
        <w:rPr>
          <w:rStyle w:val="Emphasis"/>
          <w:i w:val="0"/>
        </w:rPr>
        <w:t>grantees</w:t>
      </w:r>
      <w:r w:rsidR="00C026A6" w:rsidRPr="00EA59C0">
        <w:rPr>
          <w:rStyle w:val="Emphasis"/>
          <w:i w:val="0"/>
        </w:rPr>
        <w:t xml:space="preserve"> </w:t>
      </w:r>
      <w:r w:rsidRPr="00EA59C0">
        <w:rPr>
          <w:rStyle w:val="Emphasis"/>
          <w:i w:val="0"/>
        </w:rPr>
        <w:t>to</w:t>
      </w:r>
      <w:r w:rsidR="00C026A6" w:rsidRPr="00EA59C0">
        <w:rPr>
          <w:rStyle w:val="Emphasis"/>
          <w:i w:val="0"/>
        </w:rPr>
        <w:t xml:space="preserve"> </w:t>
      </w:r>
      <w:r w:rsidRPr="00EA59C0">
        <w:rPr>
          <w:rStyle w:val="Emphasis"/>
          <w:i w:val="0"/>
        </w:rPr>
        <w:t>maintain</w:t>
      </w:r>
      <w:r w:rsidR="00C026A6" w:rsidRPr="00EA59C0">
        <w:rPr>
          <w:rStyle w:val="Emphasis"/>
          <w:i w:val="0"/>
        </w:rPr>
        <w:t xml:space="preserve"> </w:t>
      </w:r>
      <w:r w:rsidRPr="00EA59C0">
        <w:rPr>
          <w:rStyle w:val="Emphasis"/>
          <w:i w:val="0"/>
        </w:rPr>
        <w:t>all</w:t>
      </w:r>
      <w:r w:rsidR="00C026A6" w:rsidRPr="00EA59C0">
        <w:rPr>
          <w:rStyle w:val="Emphasis"/>
          <w:i w:val="0"/>
        </w:rPr>
        <w:t xml:space="preserve"> </w:t>
      </w:r>
      <w:r w:rsidRPr="00EA59C0">
        <w:rPr>
          <w:rStyle w:val="Emphasis"/>
          <w:i w:val="0"/>
        </w:rPr>
        <w:t>records</w:t>
      </w:r>
      <w:r w:rsidR="00C026A6" w:rsidRPr="00EA59C0">
        <w:rPr>
          <w:rStyle w:val="Emphasis"/>
          <w:i w:val="0"/>
        </w:rPr>
        <w:t xml:space="preserve"> </w:t>
      </w:r>
      <w:r w:rsidRPr="00EA59C0">
        <w:rPr>
          <w:rStyle w:val="Emphasis"/>
          <w:i w:val="0"/>
        </w:rPr>
        <w:t>pertaining</w:t>
      </w:r>
      <w:r w:rsidR="00C026A6" w:rsidRPr="00EA59C0">
        <w:rPr>
          <w:rStyle w:val="Emphasis"/>
          <w:i w:val="0"/>
        </w:rPr>
        <w:t xml:space="preserve"> </w:t>
      </w:r>
      <w:r w:rsidRPr="00EA59C0">
        <w:rPr>
          <w:rStyle w:val="Emphasis"/>
          <w:i w:val="0"/>
        </w:rPr>
        <w:t>to</w:t>
      </w:r>
      <w:r w:rsidR="00C026A6" w:rsidRPr="00EA59C0">
        <w:rPr>
          <w:rStyle w:val="Emphasis"/>
          <w:i w:val="0"/>
        </w:rPr>
        <w:t xml:space="preserve"> </w:t>
      </w:r>
      <w:r w:rsidRPr="00EA59C0">
        <w:rPr>
          <w:rStyle w:val="Emphasis"/>
          <w:i w:val="0"/>
        </w:rPr>
        <w:t>grant</w:t>
      </w:r>
      <w:r w:rsidR="00C026A6" w:rsidRPr="00EA59C0">
        <w:rPr>
          <w:rStyle w:val="Emphasis"/>
          <w:i w:val="0"/>
        </w:rPr>
        <w:t xml:space="preserve"> </w:t>
      </w:r>
      <w:r w:rsidRPr="00EA59C0">
        <w:rPr>
          <w:rStyle w:val="Emphasis"/>
          <w:i w:val="0"/>
        </w:rPr>
        <w:t>activities</w:t>
      </w:r>
      <w:r w:rsidR="00C026A6" w:rsidRPr="00EA59C0">
        <w:rPr>
          <w:rStyle w:val="Emphasis"/>
          <w:i w:val="0"/>
        </w:rPr>
        <w:t xml:space="preserve"> </w:t>
      </w:r>
      <w:r w:rsidRPr="00EA59C0">
        <w:rPr>
          <w:rStyle w:val="Emphasis"/>
          <w:i w:val="0"/>
        </w:rPr>
        <w:t>for</w:t>
      </w:r>
      <w:r w:rsidR="00C026A6" w:rsidRPr="00EA59C0">
        <w:rPr>
          <w:rStyle w:val="Emphasis"/>
          <w:i w:val="0"/>
        </w:rPr>
        <w:t xml:space="preserve"> </w:t>
      </w:r>
      <w:r w:rsidRPr="00EA59C0">
        <w:rPr>
          <w:rStyle w:val="Emphasis"/>
          <w:i w:val="0"/>
        </w:rPr>
        <w:t>a</w:t>
      </w:r>
      <w:r w:rsidR="00C026A6" w:rsidRPr="00EA59C0">
        <w:rPr>
          <w:rStyle w:val="Emphasis"/>
          <w:i w:val="0"/>
        </w:rPr>
        <w:t xml:space="preserve"> </w:t>
      </w:r>
      <w:r w:rsidRPr="00EA59C0">
        <w:rPr>
          <w:rStyle w:val="Emphasis"/>
          <w:i w:val="0"/>
        </w:rPr>
        <w:t>period</w:t>
      </w:r>
      <w:r w:rsidR="00C026A6" w:rsidRPr="00EA59C0">
        <w:rPr>
          <w:rStyle w:val="Emphasis"/>
          <w:i w:val="0"/>
        </w:rPr>
        <w:t xml:space="preserve"> </w:t>
      </w:r>
      <w:r w:rsidRPr="00EA59C0">
        <w:rPr>
          <w:rStyle w:val="Emphasis"/>
          <w:i w:val="0"/>
        </w:rPr>
        <w:t>of</w:t>
      </w:r>
      <w:r w:rsidR="00C026A6" w:rsidRPr="00EA59C0">
        <w:rPr>
          <w:rStyle w:val="Emphasis"/>
          <w:i w:val="0"/>
        </w:rPr>
        <w:t xml:space="preserve"> </w:t>
      </w:r>
      <w:r w:rsidRPr="00EA59C0">
        <w:rPr>
          <w:rStyle w:val="Emphasis"/>
          <w:i w:val="0"/>
        </w:rPr>
        <w:t>not</w:t>
      </w:r>
      <w:r w:rsidR="00C026A6" w:rsidRPr="00EA59C0">
        <w:rPr>
          <w:rStyle w:val="Emphasis"/>
          <w:i w:val="0"/>
        </w:rPr>
        <w:t xml:space="preserve"> </w:t>
      </w:r>
      <w:r w:rsidRPr="00EA59C0">
        <w:rPr>
          <w:rStyle w:val="Emphasis"/>
          <w:i w:val="0"/>
        </w:rPr>
        <w:t>less</w:t>
      </w:r>
      <w:r w:rsidR="00C026A6" w:rsidRPr="00EA59C0">
        <w:rPr>
          <w:rStyle w:val="Emphasis"/>
          <w:i w:val="0"/>
        </w:rPr>
        <w:t xml:space="preserve"> </w:t>
      </w:r>
      <w:r w:rsidRPr="00EA59C0">
        <w:rPr>
          <w:rStyle w:val="Emphasis"/>
          <w:i w:val="0"/>
        </w:rPr>
        <w:t>than</w:t>
      </w:r>
      <w:r w:rsidR="00C026A6" w:rsidRPr="00EA59C0">
        <w:rPr>
          <w:rStyle w:val="Emphasis"/>
          <w:i w:val="0"/>
        </w:rPr>
        <w:t xml:space="preserve"> </w:t>
      </w:r>
      <w:r w:rsidRPr="00EA59C0">
        <w:rPr>
          <w:rStyle w:val="Emphasis"/>
          <w:i w:val="0"/>
        </w:rPr>
        <w:t>three</w:t>
      </w:r>
      <w:r w:rsidR="00C026A6" w:rsidRPr="00EA59C0">
        <w:rPr>
          <w:rStyle w:val="Emphasis"/>
          <w:i w:val="0"/>
        </w:rPr>
        <w:t xml:space="preserve"> </w:t>
      </w:r>
      <w:r w:rsidRPr="00EA59C0">
        <w:rPr>
          <w:rStyle w:val="Emphasis"/>
          <w:i w:val="0"/>
        </w:rPr>
        <w:t>years</w:t>
      </w:r>
      <w:r w:rsidR="00C026A6" w:rsidRPr="00EA59C0">
        <w:rPr>
          <w:rStyle w:val="Emphasis"/>
          <w:i w:val="0"/>
        </w:rPr>
        <w:t xml:space="preserve"> </w:t>
      </w:r>
      <w:r w:rsidRPr="00EA59C0">
        <w:rPr>
          <w:rStyle w:val="Emphasis"/>
          <w:i w:val="0"/>
        </w:rPr>
        <w:t>from</w:t>
      </w:r>
      <w:r w:rsidR="00C026A6" w:rsidRPr="00EA59C0">
        <w:rPr>
          <w:rStyle w:val="Emphasis"/>
          <w:i w:val="0"/>
        </w:rPr>
        <w:t xml:space="preserve"> </w:t>
      </w:r>
      <w:r w:rsidRPr="00EA59C0">
        <w:rPr>
          <w:rStyle w:val="Emphasis"/>
          <w:i w:val="0"/>
        </w:rPr>
        <w:t>the</w:t>
      </w:r>
      <w:r w:rsidR="00C026A6" w:rsidRPr="00EA59C0">
        <w:rPr>
          <w:rStyle w:val="Emphasis"/>
          <w:i w:val="0"/>
        </w:rPr>
        <w:t xml:space="preserve"> </w:t>
      </w:r>
      <w:r w:rsidRPr="00EA59C0">
        <w:rPr>
          <w:rStyle w:val="Emphasis"/>
          <w:i w:val="0"/>
        </w:rPr>
        <w:t>time</w:t>
      </w:r>
      <w:r w:rsidR="00C026A6" w:rsidRPr="00EA59C0">
        <w:rPr>
          <w:rStyle w:val="Emphasis"/>
          <w:i w:val="0"/>
        </w:rPr>
        <w:t xml:space="preserve"> </w:t>
      </w:r>
      <w:r w:rsidRPr="00EA59C0">
        <w:rPr>
          <w:rStyle w:val="Emphasis"/>
          <w:i w:val="0"/>
        </w:rPr>
        <w:t>of</w:t>
      </w:r>
      <w:r w:rsidR="00C026A6" w:rsidRPr="00EA59C0">
        <w:rPr>
          <w:rStyle w:val="Emphasis"/>
          <w:i w:val="0"/>
        </w:rPr>
        <w:t xml:space="preserve"> </w:t>
      </w:r>
      <w:r w:rsidRPr="00EA59C0">
        <w:rPr>
          <w:rStyle w:val="Emphasis"/>
          <w:i w:val="0"/>
        </w:rPr>
        <w:t>final</w:t>
      </w:r>
      <w:r w:rsidR="00C026A6" w:rsidRPr="00EA59C0">
        <w:rPr>
          <w:rStyle w:val="Emphasis"/>
          <w:i w:val="0"/>
        </w:rPr>
        <w:t xml:space="preserve"> </w:t>
      </w:r>
      <w:r w:rsidRPr="00EA59C0">
        <w:rPr>
          <w:rStyle w:val="Emphasis"/>
          <w:i w:val="0"/>
        </w:rPr>
        <w:t>grant</w:t>
      </w:r>
      <w:r w:rsidR="00C026A6" w:rsidRPr="00EA59C0">
        <w:rPr>
          <w:rStyle w:val="Emphasis"/>
          <w:i w:val="0"/>
        </w:rPr>
        <w:t xml:space="preserve"> </w:t>
      </w:r>
      <w:r w:rsidRPr="00EA59C0">
        <w:rPr>
          <w:rStyle w:val="Emphasis"/>
          <w:i w:val="0"/>
        </w:rPr>
        <w:t>close-out.</w:t>
      </w:r>
    </w:p>
    <w:p w:rsidR="00144DF0" w:rsidRPr="00EA59C0" w:rsidRDefault="00144DF0" w:rsidP="00FA0E98">
      <w:pPr>
        <w:autoSpaceDE w:val="0"/>
        <w:autoSpaceDN w:val="0"/>
        <w:adjustRightInd w:val="0"/>
      </w:pPr>
    </w:p>
    <w:p w:rsidR="007470AB" w:rsidRPr="00EA59C0" w:rsidRDefault="007470AB" w:rsidP="00FC34EA">
      <w:pPr>
        <w:pStyle w:val="Heading2"/>
        <w:numPr>
          <w:ilvl w:val="2"/>
          <w:numId w:val="17"/>
        </w:numPr>
        <w:spacing w:line="240" w:lineRule="auto"/>
        <w:rPr>
          <w:rFonts w:ascii="Times New Roman" w:hAnsi="Times New Roman"/>
          <w:b w:val="0"/>
          <w:i w:val="0"/>
        </w:rPr>
      </w:pPr>
      <w:r w:rsidRPr="00EA59C0">
        <w:rPr>
          <w:rFonts w:ascii="Times New Roman" w:hAnsi="Times New Roman"/>
          <w:b w:val="0"/>
          <w:i w:val="0"/>
        </w:rPr>
        <w:t>Other</w:t>
      </w:r>
      <w:r w:rsidR="00C026A6" w:rsidRPr="00EA59C0">
        <w:rPr>
          <w:rFonts w:ascii="Times New Roman" w:hAnsi="Times New Roman"/>
          <w:b w:val="0"/>
          <w:i w:val="0"/>
        </w:rPr>
        <w:t xml:space="preserve"> </w:t>
      </w:r>
      <w:r w:rsidRPr="00EA59C0">
        <w:rPr>
          <w:rFonts w:ascii="Times New Roman" w:hAnsi="Times New Roman"/>
          <w:b w:val="0"/>
          <w:i w:val="0"/>
        </w:rPr>
        <w:t>Administrative</w:t>
      </w:r>
      <w:r w:rsidR="00C026A6" w:rsidRPr="00EA59C0">
        <w:rPr>
          <w:rFonts w:ascii="Times New Roman" w:hAnsi="Times New Roman"/>
          <w:b w:val="0"/>
          <w:i w:val="0"/>
        </w:rPr>
        <w:t xml:space="preserve"> </w:t>
      </w:r>
      <w:r w:rsidRPr="00EA59C0">
        <w:rPr>
          <w:rFonts w:ascii="Times New Roman" w:hAnsi="Times New Roman"/>
          <w:b w:val="0"/>
          <w:i w:val="0"/>
        </w:rPr>
        <w:t>Standards</w:t>
      </w:r>
      <w:r w:rsidR="00C026A6" w:rsidRPr="00EA59C0">
        <w:rPr>
          <w:rFonts w:ascii="Times New Roman" w:hAnsi="Times New Roman"/>
          <w:b w:val="0"/>
          <w:i w:val="0"/>
        </w:rPr>
        <w:t xml:space="preserve"> </w:t>
      </w:r>
      <w:r w:rsidRPr="00EA59C0">
        <w:rPr>
          <w:rFonts w:ascii="Times New Roman" w:hAnsi="Times New Roman"/>
          <w:b w:val="0"/>
          <w:i w:val="0"/>
        </w:rPr>
        <w:t>and</w:t>
      </w:r>
      <w:r w:rsidR="00C026A6" w:rsidRPr="00EA59C0">
        <w:rPr>
          <w:rFonts w:ascii="Times New Roman" w:hAnsi="Times New Roman"/>
          <w:b w:val="0"/>
          <w:i w:val="0"/>
        </w:rPr>
        <w:t xml:space="preserve"> </w:t>
      </w:r>
      <w:r w:rsidRPr="00EA59C0">
        <w:rPr>
          <w:rFonts w:ascii="Times New Roman" w:hAnsi="Times New Roman"/>
          <w:b w:val="0"/>
          <w:i w:val="0"/>
        </w:rPr>
        <w:t>Provisions</w:t>
      </w:r>
    </w:p>
    <w:p w:rsidR="00144DF0" w:rsidRPr="00EA59C0" w:rsidRDefault="007470AB" w:rsidP="00FA0E98">
      <w:pPr>
        <w:widowControl w:val="0"/>
        <w:ind w:left="1080"/>
      </w:pPr>
      <w:r w:rsidRPr="00EA59C0">
        <w:t>Except</w:t>
      </w:r>
      <w:r w:rsidR="00C026A6" w:rsidRPr="00EA59C0">
        <w:t xml:space="preserve"> </w:t>
      </w:r>
      <w:r w:rsidRPr="00EA59C0">
        <w:t>as</w:t>
      </w:r>
      <w:r w:rsidR="00C026A6" w:rsidRPr="00EA59C0">
        <w:t xml:space="preserve"> </w:t>
      </w:r>
      <w:r w:rsidRPr="00EA59C0">
        <w:t>specifically</w:t>
      </w:r>
      <w:r w:rsidR="00C026A6" w:rsidRPr="00EA59C0">
        <w:t xml:space="preserve"> </w:t>
      </w:r>
      <w:r w:rsidRPr="00EA59C0">
        <w:t>provided</w:t>
      </w:r>
      <w:r w:rsidR="00C026A6" w:rsidRPr="00EA59C0">
        <w:t xml:space="preserve"> </w:t>
      </w:r>
      <w:r w:rsidRPr="00EA59C0">
        <w:t>in</w:t>
      </w:r>
      <w:r w:rsidR="00C026A6" w:rsidRPr="00EA59C0">
        <w:t xml:space="preserve"> </w:t>
      </w:r>
      <w:r w:rsidRPr="00EA59C0">
        <w:t>this</w:t>
      </w:r>
      <w:r w:rsidR="00C026A6" w:rsidRPr="00EA59C0">
        <w:t xml:space="preserve"> </w:t>
      </w:r>
      <w:r w:rsidRPr="00EA59C0">
        <w:t>SGA,</w:t>
      </w:r>
      <w:r w:rsidR="00C026A6" w:rsidRPr="00EA59C0">
        <w:t xml:space="preserve"> </w:t>
      </w:r>
      <w:r w:rsidRPr="00EA59C0">
        <w:t>DOL/ETA’s</w:t>
      </w:r>
      <w:r w:rsidR="00C026A6" w:rsidRPr="00EA59C0">
        <w:t xml:space="preserve"> </w:t>
      </w:r>
      <w:r w:rsidRPr="00EA59C0">
        <w:t>acceptance</w:t>
      </w:r>
      <w:r w:rsidR="00C026A6" w:rsidRPr="00EA59C0">
        <w:t xml:space="preserve"> </w:t>
      </w:r>
      <w:r w:rsidRPr="00EA59C0">
        <w:t>of</w:t>
      </w:r>
      <w:r w:rsidR="00C026A6" w:rsidRPr="00EA59C0">
        <w:t xml:space="preserve"> </w:t>
      </w:r>
      <w:r w:rsidRPr="00EA59C0">
        <w:t>a</w:t>
      </w:r>
      <w:r w:rsidR="00C026A6" w:rsidRPr="00EA59C0">
        <w:t xml:space="preserve"> </w:t>
      </w:r>
      <w:r w:rsidRPr="00EA59C0">
        <w:t>proposal</w:t>
      </w:r>
      <w:r w:rsidR="00C026A6" w:rsidRPr="00EA59C0">
        <w:t xml:space="preserve"> </w:t>
      </w:r>
      <w:r w:rsidRPr="00EA59C0">
        <w:t>and</w:t>
      </w:r>
      <w:r w:rsidR="00C026A6" w:rsidRPr="00EA59C0">
        <w:t xml:space="preserve"> </w:t>
      </w:r>
      <w:r w:rsidRPr="00EA59C0">
        <w:t>an</w:t>
      </w:r>
      <w:r w:rsidR="00C026A6" w:rsidRPr="00EA59C0">
        <w:t xml:space="preserve"> </w:t>
      </w:r>
      <w:r w:rsidRPr="00EA59C0">
        <w:t>award</w:t>
      </w:r>
      <w:r w:rsidR="00C026A6" w:rsidRPr="00EA59C0">
        <w:t xml:space="preserve"> </w:t>
      </w:r>
      <w:r w:rsidRPr="00EA59C0">
        <w:t>of</w:t>
      </w:r>
      <w:r w:rsidR="00C026A6" w:rsidRPr="00EA59C0">
        <w:t xml:space="preserve"> </w:t>
      </w:r>
      <w:r w:rsidRPr="00EA59C0">
        <w:t>Federal</w:t>
      </w:r>
      <w:r w:rsidR="00C026A6" w:rsidRPr="00EA59C0">
        <w:t xml:space="preserve"> </w:t>
      </w:r>
      <w:r w:rsidRPr="00EA59C0">
        <w:t>funds</w:t>
      </w:r>
      <w:r w:rsidR="00C026A6" w:rsidRPr="00EA59C0">
        <w:t xml:space="preserve"> </w:t>
      </w:r>
      <w:r w:rsidRPr="00EA59C0">
        <w:t>to</w:t>
      </w:r>
      <w:r w:rsidR="00C026A6" w:rsidRPr="00EA59C0">
        <w:t xml:space="preserve"> </w:t>
      </w:r>
      <w:r w:rsidRPr="00EA59C0">
        <w:t>sponsor</w:t>
      </w:r>
      <w:r w:rsidR="00C026A6" w:rsidRPr="00EA59C0">
        <w:t xml:space="preserve"> </w:t>
      </w:r>
      <w:r w:rsidRPr="00EA59C0">
        <w:t>any</w:t>
      </w:r>
      <w:r w:rsidR="00C026A6" w:rsidRPr="00EA59C0">
        <w:t xml:space="preserve"> </w:t>
      </w:r>
      <w:r w:rsidRPr="00EA59C0">
        <w:t>programs(s)</w:t>
      </w:r>
      <w:r w:rsidR="00C026A6" w:rsidRPr="00EA59C0">
        <w:t xml:space="preserve"> </w:t>
      </w:r>
      <w:r w:rsidRPr="00EA59C0">
        <w:t>does</w:t>
      </w:r>
      <w:r w:rsidR="00C026A6" w:rsidRPr="00EA59C0">
        <w:t xml:space="preserve"> </w:t>
      </w:r>
      <w:r w:rsidRPr="00EA59C0">
        <w:t>not</w:t>
      </w:r>
      <w:r w:rsidR="00C026A6" w:rsidRPr="00EA59C0">
        <w:t xml:space="preserve"> </w:t>
      </w:r>
      <w:r w:rsidRPr="00EA59C0">
        <w:t>provide</w:t>
      </w:r>
      <w:r w:rsidR="00C026A6" w:rsidRPr="00EA59C0">
        <w:t xml:space="preserve"> </w:t>
      </w:r>
      <w:r w:rsidRPr="00EA59C0">
        <w:t>a</w:t>
      </w:r>
      <w:r w:rsidR="00C026A6" w:rsidRPr="00EA59C0">
        <w:t xml:space="preserve"> </w:t>
      </w:r>
      <w:r w:rsidRPr="00EA59C0">
        <w:t>waiver</w:t>
      </w:r>
      <w:r w:rsidR="00C026A6" w:rsidRPr="00EA59C0">
        <w:t xml:space="preserve"> </w:t>
      </w:r>
      <w:r w:rsidRPr="00EA59C0">
        <w:t>of</w:t>
      </w:r>
      <w:r w:rsidR="00C026A6" w:rsidRPr="00EA59C0">
        <w:t xml:space="preserve"> </w:t>
      </w:r>
      <w:r w:rsidRPr="00EA59C0">
        <w:t>any</w:t>
      </w:r>
      <w:r w:rsidR="00C026A6" w:rsidRPr="00EA59C0">
        <w:t xml:space="preserve"> </w:t>
      </w:r>
      <w:r w:rsidRPr="00EA59C0">
        <w:t>grant</w:t>
      </w:r>
      <w:r w:rsidR="00C026A6" w:rsidRPr="00EA59C0">
        <w:t xml:space="preserve"> </w:t>
      </w:r>
      <w:r w:rsidRPr="00EA59C0">
        <w:t>requirements</w:t>
      </w:r>
      <w:r w:rsidR="00C026A6" w:rsidRPr="00EA59C0">
        <w:t xml:space="preserve"> </w:t>
      </w:r>
      <w:r w:rsidRPr="00EA59C0">
        <w:t>and/or</w:t>
      </w:r>
      <w:r w:rsidR="00C026A6" w:rsidRPr="00EA59C0">
        <w:t xml:space="preserve"> </w:t>
      </w:r>
      <w:r w:rsidRPr="00EA59C0">
        <w:t>procedures.</w:t>
      </w:r>
      <w:r w:rsidR="00C026A6" w:rsidRPr="00EA59C0">
        <w:t xml:space="preserve">  </w:t>
      </w:r>
      <w:r w:rsidRPr="00EA59C0">
        <w:t>For</w:t>
      </w:r>
      <w:r w:rsidR="00C026A6" w:rsidRPr="00EA59C0">
        <w:t xml:space="preserve"> </w:t>
      </w:r>
      <w:r w:rsidRPr="00EA59C0">
        <w:t>example,</w:t>
      </w:r>
      <w:r w:rsidR="00C026A6" w:rsidRPr="00EA59C0">
        <w:t xml:space="preserve"> </w:t>
      </w:r>
      <w:r w:rsidRPr="00EA59C0">
        <w:t>the</w:t>
      </w:r>
      <w:r w:rsidR="00C026A6" w:rsidRPr="00EA59C0">
        <w:t xml:space="preserve"> </w:t>
      </w:r>
      <w:r w:rsidRPr="00EA59C0">
        <w:t>OMB</w:t>
      </w:r>
      <w:r w:rsidR="00C026A6" w:rsidRPr="00EA59C0">
        <w:t xml:space="preserve"> </w:t>
      </w:r>
      <w:r w:rsidRPr="00EA59C0">
        <w:t>Circulars</w:t>
      </w:r>
      <w:r w:rsidR="00C026A6" w:rsidRPr="00EA59C0">
        <w:t xml:space="preserve"> </w:t>
      </w:r>
      <w:r w:rsidRPr="00EA59C0">
        <w:t>require</w:t>
      </w:r>
      <w:r w:rsidR="00C026A6" w:rsidRPr="00EA59C0">
        <w:t xml:space="preserve"> </w:t>
      </w:r>
      <w:r w:rsidRPr="00EA59C0">
        <w:t>that</w:t>
      </w:r>
      <w:r w:rsidR="00C026A6" w:rsidRPr="00EA59C0">
        <w:t xml:space="preserve"> </w:t>
      </w:r>
      <w:r w:rsidRPr="00EA59C0">
        <w:t>an</w:t>
      </w:r>
      <w:r w:rsidR="00C026A6" w:rsidRPr="00EA59C0">
        <w:t xml:space="preserve"> </w:t>
      </w:r>
      <w:r w:rsidRPr="00EA59C0">
        <w:t>entity’s</w:t>
      </w:r>
      <w:r w:rsidR="00C026A6" w:rsidRPr="00EA59C0">
        <w:t xml:space="preserve"> </w:t>
      </w:r>
      <w:r w:rsidRPr="00EA59C0">
        <w:t>procurement</w:t>
      </w:r>
      <w:r w:rsidR="00C026A6" w:rsidRPr="00EA59C0">
        <w:t xml:space="preserve"> </w:t>
      </w:r>
      <w:r w:rsidRPr="00EA59C0">
        <w:t>procedures</w:t>
      </w:r>
      <w:r w:rsidR="00C026A6" w:rsidRPr="00EA59C0">
        <w:t xml:space="preserve"> </w:t>
      </w:r>
      <w:r w:rsidRPr="00EA59C0">
        <w:t>must</w:t>
      </w:r>
      <w:r w:rsidR="00C026A6" w:rsidRPr="00EA59C0">
        <w:t xml:space="preserve"> </w:t>
      </w:r>
      <w:r w:rsidRPr="00EA59C0">
        <w:t>ensure</w:t>
      </w:r>
      <w:r w:rsidR="00C026A6" w:rsidRPr="00EA59C0">
        <w:t xml:space="preserve"> </w:t>
      </w:r>
      <w:r w:rsidRPr="00EA59C0">
        <w:t>that</w:t>
      </w:r>
      <w:r w:rsidR="00C026A6" w:rsidRPr="00EA59C0">
        <w:t xml:space="preserve"> </w:t>
      </w:r>
      <w:r w:rsidRPr="00EA59C0">
        <w:t>all</w:t>
      </w:r>
      <w:r w:rsidR="00C026A6" w:rsidRPr="00EA59C0">
        <w:t xml:space="preserve"> </w:t>
      </w:r>
      <w:r w:rsidRPr="00EA59C0">
        <w:t>procurement</w:t>
      </w:r>
      <w:r w:rsidR="00C026A6" w:rsidRPr="00EA59C0">
        <w:t xml:space="preserve"> </w:t>
      </w:r>
      <w:r w:rsidRPr="00EA59C0">
        <w:t>transactions</w:t>
      </w:r>
      <w:r w:rsidR="00C026A6" w:rsidRPr="00EA59C0">
        <w:t xml:space="preserve"> </w:t>
      </w:r>
      <w:r w:rsidRPr="00EA59C0">
        <w:t>are</w:t>
      </w:r>
      <w:r w:rsidR="00C026A6" w:rsidRPr="00EA59C0">
        <w:t xml:space="preserve"> </w:t>
      </w:r>
      <w:r w:rsidRPr="00EA59C0">
        <w:t>conducted,</w:t>
      </w:r>
      <w:r w:rsidR="00C026A6" w:rsidRPr="00EA59C0">
        <w:t xml:space="preserve"> </w:t>
      </w:r>
      <w:r w:rsidRPr="00EA59C0">
        <w:t>as</w:t>
      </w:r>
      <w:r w:rsidR="00C026A6" w:rsidRPr="00EA59C0">
        <w:t xml:space="preserve"> </w:t>
      </w:r>
      <w:r w:rsidRPr="00EA59C0">
        <w:t>much</w:t>
      </w:r>
      <w:r w:rsidR="00C026A6" w:rsidRPr="00EA59C0">
        <w:t xml:space="preserve"> </w:t>
      </w:r>
      <w:r w:rsidRPr="00EA59C0">
        <w:t>as</w:t>
      </w:r>
      <w:r w:rsidR="00C026A6" w:rsidRPr="00EA59C0">
        <w:t xml:space="preserve"> </w:t>
      </w:r>
      <w:r w:rsidRPr="00EA59C0">
        <w:t>practical,</w:t>
      </w:r>
      <w:r w:rsidR="00C026A6" w:rsidRPr="00EA59C0">
        <w:t xml:space="preserve"> </w:t>
      </w:r>
      <w:r w:rsidRPr="00EA59C0">
        <w:t>to</w:t>
      </w:r>
      <w:r w:rsidR="00C026A6" w:rsidRPr="00EA59C0">
        <w:t xml:space="preserve"> </w:t>
      </w:r>
      <w:r w:rsidRPr="00EA59C0">
        <w:t>provide</w:t>
      </w:r>
      <w:r w:rsidR="00C026A6" w:rsidRPr="00EA59C0">
        <w:t xml:space="preserve"> </w:t>
      </w:r>
      <w:r w:rsidRPr="00EA59C0">
        <w:t>open</w:t>
      </w:r>
      <w:r w:rsidR="00C026A6" w:rsidRPr="00EA59C0">
        <w:t xml:space="preserve"> </w:t>
      </w:r>
      <w:r w:rsidRPr="00EA59C0">
        <w:t>and</w:t>
      </w:r>
      <w:r w:rsidR="00C026A6" w:rsidRPr="00EA59C0">
        <w:t xml:space="preserve"> </w:t>
      </w:r>
      <w:r w:rsidRPr="00EA59C0">
        <w:t>free</w:t>
      </w:r>
      <w:r w:rsidR="00C026A6" w:rsidRPr="00EA59C0">
        <w:t xml:space="preserve"> </w:t>
      </w:r>
      <w:r w:rsidRPr="00EA59C0">
        <w:t>competition.</w:t>
      </w:r>
      <w:r w:rsidR="00C026A6" w:rsidRPr="00EA59C0">
        <w:t xml:space="preserve">  </w:t>
      </w:r>
      <w:r w:rsidRPr="00EA59C0">
        <w:t>If</w:t>
      </w:r>
      <w:r w:rsidR="00C026A6" w:rsidRPr="00EA59C0">
        <w:t xml:space="preserve"> </w:t>
      </w:r>
      <w:r w:rsidRPr="00EA59C0">
        <w:t>a</w:t>
      </w:r>
      <w:r w:rsidR="00C026A6" w:rsidRPr="00EA59C0">
        <w:t xml:space="preserve"> </w:t>
      </w:r>
      <w:r w:rsidRPr="00EA59C0">
        <w:t>proposal</w:t>
      </w:r>
      <w:r w:rsidR="00C026A6" w:rsidRPr="00EA59C0">
        <w:t xml:space="preserve"> </w:t>
      </w:r>
      <w:r w:rsidRPr="00EA59C0">
        <w:t>identifies</w:t>
      </w:r>
      <w:r w:rsidR="00C026A6" w:rsidRPr="00EA59C0">
        <w:t xml:space="preserve"> </w:t>
      </w:r>
      <w:r w:rsidRPr="00EA59C0">
        <w:t>a</w:t>
      </w:r>
      <w:r w:rsidR="00C026A6" w:rsidRPr="00EA59C0">
        <w:t xml:space="preserve"> </w:t>
      </w:r>
      <w:r w:rsidRPr="00EA59C0">
        <w:t>specific</w:t>
      </w:r>
      <w:r w:rsidR="00C026A6" w:rsidRPr="00EA59C0">
        <w:t xml:space="preserve"> </w:t>
      </w:r>
      <w:r w:rsidRPr="00EA59C0">
        <w:t>entity</w:t>
      </w:r>
      <w:r w:rsidR="00C026A6" w:rsidRPr="00EA59C0">
        <w:t xml:space="preserve"> </w:t>
      </w:r>
      <w:r w:rsidRPr="00EA59C0">
        <w:t>to</w:t>
      </w:r>
      <w:r w:rsidR="00C026A6" w:rsidRPr="00EA59C0">
        <w:t xml:space="preserve"> </w:t>
      </w:r>
      <w:r w:rsidRPr="00EA59C0">
        <w:t>provide</w:t>
      </w:r>
      <w:r w:rsidR="00C026A6" w:rsidRPr="00EA59C0">
        <w:t xml:space="preserve"> </w:t>
      </w:r>
      <w:r w:rsidRPr="00EA59C0">
        <w:t>services,</w:t>
      </w:r>
      <w:r w:rsidR="00C026A6" w:rsidRPr="00EA59C0">
        <w:t xml:space="preserve"> </w:t>
      </w:r>
      <w:r w:rsidRPr="00EA59C0">
        <w:t>the</w:t>
      </w:r>
      <w:r w:rsidR="00C026A6" w:rsidRPr="00EA59C0">
        <w:t xml:space="preserve"> </w:t>
      </w:r>
      <w:r w:rsidRPr="00EA59C0">
        <w:t>DOL’s</w:t>
      </w:r>
      <w:r w:rsidR="00C026A6" w:rsidRPr="00EA59C0">
        <w:t xml:space="preserve"> </w:t>
      </w:r>
      <w:r w:rsidRPr="00EA59C0">
        <w:t>award</w:t>
      </w:r>
      <w:r w:rsidR="00C026A6" w:rsidRPr="00EA59C0">
        <w:t xml:space="preserve"> </w:t>
      </w:r>
      <w:r w:rsidRPr="00EA59C0">
        <w:t>does</w:t>
      </w:r>
      <w:r w:rsidR="00C026A6" w:rsidRPr="00EA59C0">
        <w:t xml:space="preserve"> </w:t>
      </w:r>
      <w:r w:rsidRPr="00EA59C0">
        <w:t>not</w:t>
      </w:r>
      <w:r w:rsidR="00C026A6" w:rsidRPr="00EA59C0">
        <w:t xml:space="preserve"> </w:t>
      </w:r>
      <w:r w:rsidRPr="00EA59C0">
        <w:t>provide</w:t>
      </w:r>
      <w:r w:rsidR="00C026A6" w:rsidRPr="00EA59C0">
        <w:t xml:space="preserve"> </w:t>
      </w:r>
      <w:r w:rsidRPr="00EA59C0">
        <w:t>the</w:t>
      </w:r>
      <w:r w:rsidR="00C026A6" w:rsidRPr="00EA59C0">
        <w:t xml:space="preserve"> </w:t>
      </w:r>
      <w:r w:rsidRPr="00EA59C0">
        <w:t>justification</w:t>
      </w:r>
      <w:r w:rsidR="00C026A6" w:rsidRPr="00EA59C0">
        <w:t xml:space="preserve"> </w:t>
      </w:r>
      <w:r w:rsidRPr="00EA59C0">
        <w:t>or</w:t>
      </w:r>
      <w:r w:rsidR="00C026A6" w:rsidRPr="00EA59C0">
        <w:t xml:space="preserve"> </w:t>
      </w:r>
      <w:r w:rsidRPr="00EA59C0">
        <w:t>basis</w:t>
      </w:r>
      <w:r w:rsidR="00C026A6" w:rsidRPr="00EA59C0">
        <w:t xml:space="preserve"> </w:t>
      </w:r>
      <w:r w:rsidRPr="00EA59C0">
        <w:t>to</w:t>
      </w:r>
      <w:r w:rsidR="00C026A6" w:rsidRPr="00EA59C0">
        <w:t xml:space="preserve"> </w:t>
      </w:r>
      <w:r w:rsidRPr="00EA59C0">
        <w:t>sole</w:t>
      </w:r>
      <w:r w:rsidR="00C026A6" w:rsidRPr="00EA59C0">
        <w:t xml:space="preserve"> </w:t>
      </w:r>
      <w:r w:rsidRPr="00EA59C0">
        <w:t>source</w:t>
      </w:r>
      <w:r w:rsidR="00C026A6" w:rsidRPr="00EA59C0">
        <w:t xml:space="preserve"> </w:t>
      </w:r>
      <w:r w:rsidRPr="00EA59C0">
        <w:t>the</w:t>
      </w:r>
      <w:r w:rsidR="00C026A6" w:rsidRPr="00EA59C0">
        <w:t xml:space="preserve"> </w:t>
      </w:r>
      <w:r w:rsidRPr="00EA59C0">
        <w:t>procurement,</w:t>
      </w:r>
      <w:r w:rsidR="00C026A6" w:rsidRPr="00EA59C0">
        <w:t xml:space="preserve"> </w:t>
      </w:r>
      <w:r w:rsidRPr="00EA59C0">
        <w:t>i.e.,</w:t>
      </w:r>
      <w:r w:rsidR="00C026A6" w:rsidRPr="00EA59C0">
        <w:t xml:space="preserve"> </w:t>
      </w:r>
      <w:r w:rsidRPr="00EA59C0">
        <w:t>avoid</w:t>
      </w:r>
      <w:r w:rsidR="00C026A6" w:rsidRPr="00EA59C0">
        <w:t xml:space="preserve"> </w:t>
      </w:r>
      <w:r w:rsidRPr="00EA59C0">
        <w:t>competition.</w:t>
      </w:r>
      <w:bookmarkStart w:id="64" w:name="_Toc207608175"/>
      <w:bookmarkStart w:id="65" w:name="_Toc207778240"/>
      <w:bookmarkStart w:id="66" w:name="_Toc208654640"/>
      <w:bookmarkStart w:id="67" w:name="_Toc228885530"/>
      <w:bookmarkStart w:id="68" w:name="_Toc229889189"/>
      <w:bookmarkEnd w:id="60"/>
      <w:bookmarkEnd w:id="61"/>
      <w:bookmarkEnd w:id="62"/>
      <w:bookmarkEnd w:id="63"/>
      <w:r w:rsidR="00C026A6" w:rsidRPr="00EA59C0">
        <w:t xml:space="preserve"> </w:t>
      </w:r>
    </w:p>
    <w:p w:rsidR="00144DF0" w:rsidRPr="00EA59C0" w:rsidRDefault="00144DF0" w:rsidP="00FA0E98">
      <w:pPr>
        <w:widowControl w:val="0"/>
      </w:pPr>
    </w:p>
    <w:p w:rsidR="00144DF0" w:rsidRPr="00EA59C0" w:rsidRDefault="007470AB" w:rsidP="00FC34EA">
      <w:pPr>
        <w:pStyle w:val="Heading2"/>
        <w:numPr>
          <w:ilvl w:val="2"/>
          <w:numId w:val="17"/>
        </w:numPr>
        <w:spacing w:line="240" w:lineRule="auto"/>
        <w:rPr>
          <w:rFonts w:ascii="Times New Roman" w:hAnsi="Times New Roman"/>
          <w:b w:val="0"/>
          <w:i w:val="0"/>
        </w:rPr>
      </w:pPr>
      <w:r w:rsidRPr="00EA59C0">
        <w:rPr>
          <w:rFonts w:ascii="Times New Roman" w:hAnsi="Times New Roman"/>
          <w:b w:val="0"/>
          <w:i w:val="0"/>
        </w:rPr>
        <w:t>Special</w:t>
      </w:r>
      <w:r w:rsidR="00C026A6" w:rsidRPr="00EA59C0">
        <w:rPr>
          <w:rFonts w:ascii="Times New Roman" w:hAnsi="Times New Roman"/>
          <w:b w:val="0"/>
          <w:i w:val="0"/>
        </w:rPr>
        <w:t xml:space="preserve"> </w:t>
      </w:r>
      <w:r w:rsidRPr="00EA59C0">
        <w:rPr>
          <w:rFonts w:ascii="Times New Roman" w:hAnsi="Times New Roman"/>
          <w:b w:val="0"/>
          <w:i w:val="0"/>
        </w:rPr>
        <w:t>Program</w:t>
      </w:r>
      <w:r w:rsidR="00C026A6" w:rsidRPr="00EA59C0">
        <w:rPr>
          <w:rFonts w:ascii="Times New Roman" w:hAnsi="Times New Roman"/>
          <w:b w:val="0"/>
          <w:i w:val="0"/>
        </w:rPr>
        <w:t xml:space="preserve"> </w:t>
      </w:r>
      <w:r w:rsidRPr="00EA59C0">
        <w:rPr>
          <w:rFonts w:ascii="Times New Roman" w:hAnsi="Times New Roman"/>
          <w:b w:val="0"/>
          <w:i w:val="0"/>
        </w:rPr>
        <w:t>Requirements</w:t>
      </w:r>
    </w:p>
    <w:p w:rsidR="007470AB" w:rsidRPr="00EA59C0" w:rsidRDefault="007470AB" w:rsidP="004C3998">
      <w:pPr>
        <w:pStyle w:val="Heading2"/>
        <w:numPr>
          <w:ilvl w:val="3"/>
          <w:numId w:val="17"/>
        </w:numPr>
        <w:spacing w:line="240" w:lineRule="auto"/>
        <w:rPr>
          <w:rFonts w:ascii="Times New Roman" w:hAnsi="Times New Roman"/>
          <w:b w:val="0"/>
          <w:i w:val="0"/>
        </w:rPr>
      </w:pPr>
      <w:bookmarkStart w:id="69" w:name="_Toc207778241"/>
      <w:bookmarkStart w:id="70" w:name="_Toc208654641"/>
      <w:bookmarkStart w:id="71" w:name="_Toc228885531"/>
      <w:bookmarkStart w:id="72" w:name="_Toc229889190"/>
      <w:bookmarkEnd w:id="64"/>
      <w:bookmarkEnd w:id="65"/>
      <w:bookmarkEnd w:id="66"/>
      <w:bookmarkEnd w:id="67"/>
      <w:bookmarkEnd w:id="68"/>
      <w:r w:rsidRPr="00EA59C0">
        <w:rPr>
          <w:rFonts w:ascii="Times New Roman" w:hAnsi="Times New Roman"/>
          <w:b w:val="0"/>
          <w:i w:val="0"/>
        </w:rPr>
        <w:t>Reporting</w:t>
      </w:r>
      <w:bookmarkEnd w:id="69"/>
      <w:bookmarkEnd w:id="70"/>
      <w:bookmarkEnd w:id="71"/>
      <w:bookmarkEnd w:id="72"/>
    </w:p>
    <w:p w:rsidR="00144DF0" w:rsidRPr="00EA59C0" w:rsidRDefault="007470AB" w:rsidP="00FA0E98">
      <w:pPr>
        <w:keepNext/>
        <w:ind w:left="1440"/>
      </w:pPr>
      <w:bookmarkStart w:id="73" w:name="_Toc207778246"/>
      <w:bookmarkStart w:id="74" w:name="_Toc208654646"/>
      <w:bookmarkStart w:id="75" w:name="_Toc228885536"/>
      <w:bookmarkStart w:id="76" w:name="_Toc229889195"/>
      <w:r w:rsidRPr="00EA59C0">
        <w:t>Grantees</w:t>
      </w:r>
      <w:r w:rsidR="00C026A6" w:rsidRPr="00EA59C0">
        <w:t xml:space="preserve"> </w:t>
      </w:r>
      <w:r w:rsidRPr="00EA59C0">
        <w:t>must</w:t>
      </w:r>
      <w:r w:rsidR="00C026A6" w:rsidRPr="00EA59C0">
        <w:t xml:space="preserve"> </w:t>
      </w:r>
      <w:r w:rsidRPr="00EA59C0">
        <w:t>agree</w:t>
      </w:r>
      <w:r w:rsidR="00C026A6" w:rsidRPr="00EA59C0">
        <w:t xml:space="preserve"> </w:t>
      </w:r>
      <w:r w:rsidRPr="00EA59C0">
        <w:t>to</w:t>
      </w:r>
      <w:r w:rsidR="00C026A6" w:rsidRPr="00EA59C0">
        <w:t xml:space="preserve"> </w:t>
      </w:r>
      <w:r w:rsidRPr="00EA59C0">
        <w:t>meet</w:t>
      </w:r>
      <w:r w:rsidR="00C026A6" w:rsidRPr="00EA59C0">
        <w:t xml:space="preserve"> </w:t>
      </w:r>
      <w:r w:rsidRPr="00EA59C0">
        <w:t>DOL</w:t>
      </w:r>
      <w:r w:rsidR="00C026A6" w:rsidRPr="00EA59C0">
        <w:t xml:space="preserve"> </w:t>
      </w:r>
      <w:r w:rsidRPr="00EA59C0">
        <w:t>reporting</w:t>
      </w:r>
      <w:r w:rsidR="00C026A6" w:rsidRPr="00EA59C0">
        <w:t xml:space="preserve"> </w:t>
      </w:r>
      <w:r w:rsidRPr="00EA59C0">
        <w:t>requirements.</w:t>
      </w:r>
      <w:r w:rsidR="00C026A6" w:rsidRPr="00EA59C0">
        <w:t xml:space="preserve">  </w:t>
      </w:r>
      <w:r w:rsidRPr="00EA59C0">
        <w:t>Quarterly</w:t>
      </w:r>
      <w:r w:rsidR="00C026A6" w:rsidRPr="00EA59C0">
        <w:t xml:space="preserve"> </w:t>
      </w:r>
      <w:r w:rsidRPr="00EA59C0">
        <w:t>financial</w:t>
      </w:r>
      <w:r w:rsidR="00C026A6" w:rsidRPr="00EA59C0">
        <w:t xml:space="preserve"> </w:t>
      </w:r>
      <w:r w:rsidRPr="00EA59C0">
        <w:t>reports,</w:t>
      </w:r>
      <w:r w:rsidR="00C026A6" w:rsidRPr="00EA59C0">
        <w:t xml:space="preserve"> </w:t>
      </w:r>
      <w:r w:rsidRPr="00EA59C0">
        <w:t>quarterly</w:t>
      </w:r>
      <w:r w:rsidR="00C026A6" w:rsidRPr="00EA59C0">
        <w:t xml:space="preserve"> </w:t>
      </w:r>
      <w:r w:rsidRPr="00EA59C0">
        <w:t>progress</w:t>
      </w:r>
      <w:r w:rsidR="00C026A6" w:rsidRPr="00EA59C0">
        <w:t xml:space="preserve"> </w:t>
      </w:r>
      <w:r w:rsidRPr="00EA59C0">
        <w:t>reports,</w:t>
      </w:r>
      <w:r w:rsidR="00C026A6" w:rsidRPr="00EA59C0">
        <w:t xml:space="preserve"> </w:t>
      </w:r>
      <w:r w:rsidRPr="00EA59C0">
        <w:t>and</w:t>
      </w:r>
      <w:r w:rsidR="00C026A6" w:rsidRPr="00EA59C0">
        <w:t xml:space="preserve"> </w:t>
      </w:r>
      <w:r w:rsidRPr="00EA59C0">
        <w:t>MIS</w:t>
      </w:r>
      <w:r w:rsidR="00C026A6" w:rsidRPr="00EA59C0">
        <w:t xml:space="preserve"> </w:t>
      </w:r>
      <w:r w:rsidRPr="00EA59C0">
        <w:t>data</w:t>
      </w:r>
      <w:r w:rsidR="00C026A6" w:rsidRPr="00EA59C0">
        <w:t xml:space="preserve"> </w:t>
      </w:r>
      <w:r w:rsidRPr="00EA59C0">
        <w:t>must</w:t>
      </w:r>
      <w:r w:rsidR="00C026A6" w:rsidRPr="00EA59C0">
        <w:t xml:space="preserve"> </w:t>
      </w:r>
      <w:r w:rsidRPr="00EA59C0">
        <w:t>be</w:t>
      </w:r>
      <w:r w:rsidR="00C026A6" w:rsidRPr="00EA59C0">
        <w:t xml:space="preserve"> </w:t>
      </w:r>
      <w:r w:rsidRPr="00EA59C0">
        <w:t>submitted</w:t>
      </w:r>
      <w:r w:rsidR="00C026A6" w:rsidRPr="00EA59C0">
        <w:t xml:space="preserve"> </w:t>
      </w:r>
      <w:r w:rsidRPr="00EA59C0">
        <w:t>by</w:t>
      </w:r>
      <w:r w:rsidR="00C026A6" w:rsidRPr="00EA59C0">
        <w:t xml:space="preserve"> </w:t>
      </w:r>
      <w:r w:rsidRPr="00EA59C0">
        <w:t>the</w:t>
      </w:r>
      <w:r w:rsidR="00C026A6" w:rsidRPr="00EA59C0">
        <w:t xml:space="preserve"> </w:t>
      </w:r>
      <w:r w:rsidRPr="00EA59C0">
        <w:t>grantee</w:t>
      </w:r>
      <w:r w:rsidR="00C026A6" w:rsidRPr="00EA59C0">
        <w:t xml:space="preserve"> </w:t>
      </w:r>
      <w:r w:rsidRPr="00EA59C0">
        <w:t>electronically.</w:t>
      </w:r>
      <w:r w:rsidR="00C026A6" w:rsidRPr="00EA59C0">
        <w:t xml:space="preserve">  </w:t>
      </w:r>
      <w:r w:rsidRPr="00EA59C0">
        <w:t>The</w:t>
      </w:r>
      <w:r w:rsidR="00C026A6" w:rsidRPr="00EA59C0">
        <w:t xml:space="preserve"> </w:t>
      </w:r>
      <w:r w:rsidRPr="00EA59C0">
        <w:t>grantee</w:t>
      </w:r>
      <w:r w:rsidR="00C026A6" w:rsidRPr="00EA59C0">
        <w:t xml:space="preserve"> </w:t>
      </w:r>
      <w:r w:rsidRPr="00EA59C0">
        <w:t>is</w:t>
      </w:r>
      <w:r w:rsidR="00C026A6" w:rsidRPr="00EA59C0">
        <w:t xml:space="preserve"> </w:t>
      </w:r>
      <w:r w:rsidRPr="00EA59C0">
        <w:t>required</w:t>
      </w:r>
      <w:r w:rsidR="00C026A6" w:rsidRPr="00EA59C0">
        <w:t xml:space="preserve"> </w:t>
      </w:r>
      <w:r w:rsidRPr="00EA59C0">
        <w:t>to</w:t>
      </w:r>
      <w:r w:rsidR="00C026A6" w:rsidRPr="00EA59C0">
        <w:t xml:space="preserve"> </w:t>
      </w:r>
      <w:r w:rsidRPr="00EA59C0">
        <w:t>provide</w:t>
      </w:r>
      <w:r w:rsidR="00C026A6" w:rsidRPr="00EA59C0">
        <w:t xml:space="preserve"> </w:t>
      </w:r>
      <w:r w:rsidRPr="00EA59C0">
        <w:t>the</w:t>
      </w:r>
      <w:r w:rsidR="00C026A6" w:rsidRPr="00EA59C0">
        <w:t xml:space="preserve"> </w:t>
      </w:r>
      <w:r w:rsidRPr="00EA59C0">
        <w:t>reports</w:t>
      </w:r>
      <w:r w:rsidR="00C026A6" w:rsidRPr="00EA59C0">
        <w:t xml:space="preserve"> </w:t>
      </w:r>
      <w:r w:rsidRPr="00EA59C0">
        <w:t>and</w:t>
      </w:r>
      <w:r w:rsidR="00C026A6" w:rsidRPr="00EA59C0">
        <w:t xml:space="preserve"> </w:t>
      </w:r>
      <w:r w:rsidRPr="00EA59C0">
        <w:t>documents</w:t>
      </w:r>
      <w:r w:rsidR="00C026A6" w:rsidRPr="00EA59C0">
        <w:t xml:space="preserve"> </w:t>
      </w:r>
      <w:r w:rsidRPr="00EA59C0">
        <w:t>listed</w:t>
      </w:r>
      <w:r w:rsidR="00C026A6" w:rsidRPr="00EA59C0">
        <w:t xml:space="preserve"> </w:t>
      </w:r>
      <w:r w:rsidRPr="00EA59C0">
        <w:t>below:</w:t>
      </w:r>
      <w:r w:rsidR="00C026A6" w:rsidRPr="00EA59C0">
        <w:t xml:space="preserve"> </w:t>
      </w:r>
    </w:p>
    <w:p w:rsidR="000A6F73" w:rsidRPr="00EA59C0" w:rsidRDefault="000A6F73" w:rsidP="00FA0E98">
      <w:pPr>
        <w:keepNext/>
      </w:pPr>
    </w:p>
    <w:p w:rsidR="00144DF0" w:rsidRPr="00EA59C0" w:rsidRDefault="007470AB" w:rsidP="008D193C">
      <w:pPr>
        <w:pStyle w:val="Heading2"/>
        <w:numPr>
          <w:ilvl w:val="4"/>
          <w:numId w:val="17"/>
        </w:numPr>
        <w:spacing w:line="240" w:lineRule="auto"/>
        <w:rPr>
          <w:rFonts w:ascii="Times New Roman" w:hAnsi="Times New Roman"/>
          <w:b w:val="0"/>
          <w:i w:val="0"/>
        </w:rPr>
      </w:pPr>
      <w:r w:rsidRPr="00EA59C0">
        <w:rPr>
          <w:rFonts w:ascii="Times New Roman" w:hAnsi="Times New Roman"/>
          <w:b w:val="0"/>
          <w:i w:val="0"/>
        </w:rPr>
        <w:t>Quarterly</w:t>
      </w:r>
      <w:r w:rsidR="00C026A6" w:rsidRPr="00EA59C0">
        <w:rPr>
          <w:rFonts w:ascii="Times New Roman" w:hAnsi="Times New Roman"/>
          <w:b w:val="0"/>
          <w:i w:val="0"/>
        </w:rPr>
        <w:t xml:space="preserve"> </w:t>
      </w:r>
      <w:r w:rsidRPr="00EA59C0">
        <w:rPr>
          <w:rFonts w:ascii="Times New Roman" w:hAnsi="Times New Roman"/>
          <w:b w:val="0"/>
          <w:i w:val="0"/>
        </w:rPr>
        <w:t>Financial</w:t>
      </w:r>
      <w:r w:rsidR="00C026A6" w:rsidRPr="00EA59C0">
        <w:rPr>
          <w:rFonts w:ascii="Times New Roman" w:hAnsi="Times New Roman"/>
          <w:b w:val="0"/>
          <w:i w:val="0"/>
        </w:rPr>
        <w:t xml:space="preserve"> </w:t>
      </w:r>
      <w:r w:rsidRPr="00EA59C0">
        <w:rPr>
          <w:rFonts w:ascii="Times New Roman" w:hAnsi="Times New Roman"/>
          <w:b w:val="0"/>
          <w:i w:val="0"/>
        </w:rPr>
        <w:t>Reports</w:t>
      </w:r>
    </w:p>
    <w:p w:rsidR="00144DF0" w:rsidRPr="00EA59C0" w:rsidRDefault="007470AB" w:rsidP="00FA0E98">
      <w:pPr>
        <w:ind w:left="1800"/>
        <w:rPr>
          <w:bCs/>
        </w:rPr>
      </w:pPr>
      <w:r w:rsidRPr="00EA59C0">
        <w:t>A</w:t>
      </w:r>
      <w:r w:rsidR="00C026A6" w:rsidRPr="00EA59C0">
        <w:t xml:space="preserve"> </w:t>
      </w:r>
      <w:r w:rsidRPr="00EA59C0">
        <w:t>Quarterly</w:t>
      </w:r>
      <w:r w:rsidR="00C026A6" w:rsidRPr="00EA59C0">
        <w:t xml:space="preserve"> </w:t>
      </w:r>
      <w:r w:rsidRPr="00EA59C0">
        <w:t>Financial</w:t>
      </w:r>
      <w:r w:rsidR="00C026A6" w:rsidRPr="00EA59C0">
        <w:t xml:space="preserve"> </w:t>
      </w:r>
      <w:r w:rsidRPr="00EA59C0">
        <w:t>Status</w:t>
      </w:r>
      <w:r w:rsidR="00C026A6" w:rsidRPr="00EA59C0">
        <w:t xml:space="preserve"> </w:t>
      </w:r>
      <w:r w:rsidRPr="00EA59C0">
        <w:t>Report</w:t>
      </w:r>
      <w:r w:rsidR="00C026A6" w:rsidRPr="00EA59C0">
        <w:t xml:space="preserve"> </w:t>
      </w:r>
      <w:r w:rsidRPr="00EA59C0">
        <w:t>(ETA</w:t>
      </w:r>
      <w:r w:rsidR="00C026A6" w:rsidRPr="00EA59C0">
        <w:t xml:space="preserve"> </w:t>
      </w:r>
      <w:r w:rsidRPr="00EA59C0">
        <w:t>9130)</w:t>
      </w:r>
      <w:r w:rsidR="00C026A6" w:rsidRPr="00EA59C0">
        <w:t xml:space="preserve"> </w:t>
      </w:r>
      <w:r w:rsidRPr="00EA59C0">
        <w:t>is</w:t>
      </w:r>
      <w:r w:rsidR="00C026A6" w:rsidRPr="00EA59C0">
        <w:t xml:space="preserve"> </w:t>
      </w:r>
      <w:r w:rsidRPr="00EA59C0">
        <w:t>required</w:t>
      </w:r>
      <w:r w:rsidR="00C026A6" w:rsidRPr="00EA59C0">
        <w:t xml:space="preserve"> </w:t>
      </w:r>
      <w:r w:rsidRPr="00EA59C0">
        <w:t>until</w:t>
      </w:r>
      <w:r w:rsidR="00C026A6" w:rsidRPr="00EA59C0">
        <w:t xml:space="preserve"> </w:t>
      </w:r>
      <w:r w:rsidRPr="00EA59C0">
        <w:t>such</w:t>
      </w:r>
      <w:r w:rsidR="00C026A6" w:rsidRPr="00EA59C0">
        <w:t xml:space="preserve"> </w:t>
      </w:r>
      <w:r w:rsidRPr="00EA59C0">
        <w:t>time</w:t>
      </w:r>
      <w:r w:rsidR="00C026A6" w:rsidRPr="00EA59C0">
        <w:t xml:space="preserve"> </w:t>
      </w:r>
      <w:r w:rsidRPr="00EA59C0">
        <w:t>as</w:t>
      </w:r>
      <w:r w:rsidR="00C026A6" w:rsidRPr="00EA59C0">
        <w:t xml:space="preserve"> </w:t>
      </w:r>
      <w:r w:rsidRPr="00EA59C0">
        <w:t>all</w:t>
      </w:r>
      <w:r w:rsidR="00C026A6" w:rsidRPr="00EA59C0">
        <w:t xml:space="preserve"> </w:t>
      </w:r>
      <w:r w:rsidRPr="00EA59C0">
        <w:t>funds</w:t>
      </w:r>
      <w:r w:rsidR="00C026A6" w:rsidRPr="00EA59C0">
        <w:t xml:space="preserve"> </w:t>
      </w:r>
      <w:r w:rsidRPr="00EA59C0">
        <w:t>have</w:t>
      </w:r>
      <w:r w:rsidR="00C026A6" w:rsidRPr="00EA59C0">
        <w:t xml:space="preserve"> </w:t>
      </w:r>
      <w:r w:rsidRPr="00EA59C0">
        <w:t>been</w:t>
      </w:r>
      <w:r w:rsidR="00C026A6" w:rsidRPr="00EA59C0">
        <w:t xml:space="preserve"> </w:t>
      </w:r>
      <w:r w:rsidRPr="00EA59C0">
        <w:t>expended</w:t>
      </w:r>
      <w:r w:rsidR="00C026A6" w:rsidRPr="00EA59C0">
        <w:t xml:space="preserve"> </w:t>
      </w:r>
      <w:r w:rsidRPr="00EA59C0">
        <w:t>or</w:t>
      </w:r>
      <w:r w:rsidR="00C026A6" w:rsidRPr="00EA59C0">
        <w:t xml:space="preserve"> </w:t>
      </w:r>
      <w:r w:rsidRPr="00EA59C0">
        <w:t>the</w:t>
      </w:r>
      <w:r w:rsidR="00C026A6" w:rsidRPr="00EA59C0">
        <w:t xml:space="preserve"> </w:t>
      </w:r>
      <w:r w:rsidRPr="00EA59C0">
        <w:t>grant</w:t>
      </w:r>
      <w:r w:rsidR="00C026A6" w:rsidRPr="00EA59C0">
        <w:t xml:space="preserve"> </w:t>
      </w:r>
      <w:r w:rsidRPr="00EA59C0">
        <w:t>period</w:t>
      </w:r>
      <w:r w:rsidR="00C026A6" w:rsidRPr="00EA59C0">
        <w:t xml:space="preserve"> </w:t>
      </w:r>
      <w:r w:rsidRPr="00EA59C0">
        <w:t>has</w:t>
      </w:r>
      <w:r w:rsidR="00C026A6" w:rsidRPr="00EA59C0">
        <w:t xml:space="preserve"> </w:t>
      </w:r>
      <w:r w:rsidRPr="00EA59C0">
        <w:t>expired.</w:t>
      </w:r>
      <w:r w:rsidR="00C026A6" w:rsidRPr="00EA59C0">
        <w:t xml:space="preserve">  </w:t>
      </w:r>
      <w:r w:rsidRPr="00EA59C0">
        <w:t>Quarterly</w:t>
      </w:r>
      <w:r w:rsidR="00C026A6" w:rsidRPr="00EA59C0">
        <w:t xml:space="preserve"> </w:t>
      </w:r>
      <w:r w:rsidRPr="00EA59C0">
        <w:t>reports</w:t>
      </w:r>
      <w:r w:rsidR="00C026A6" w:rsidRPr="00EA59C0">
        <w:t xml:space="preserve"> </w:t>
      </w:r>
      <w:r w:rsidRPr="00EA59C0">
        <w:t>are</w:t>
      </w:r>
      <w:r w:rsidR="00C026A6" w:rsidRPr="00EA59C0">
        <w:t xml:space="preserve"> </w:t>
      </w:r>
      <w:r w:rsidRPr="00EA59C0">
        <w:t>due</w:t>
      </w:r>
      <w:r w:rsidR="00C026A6" w:rsidRPr="00EA59C0">
        <w:t xml:space="preserve"> </w:t>
      </w:r>
      <w:r w:rsidRPr="00EA59C0">
        <w:t>45</w:t>
      </w:r>
      <w:r w:rsidR="00C026A6" w:rsidRPr="00EA59C0">
        <w:t xml:space="preserve"> </w:t>
      </w:r>
      <w:r w:rsidRPr="00EA59C0">
        <w:t>days</w:t>
      </w:r>
      <w:r w:rsidR="00C026A6" w:rsidRPr="00EA59C0">
        <w:t xml:space="preserve"> </w:t>
      </w:r>
      <w:r w:rsidRPr="00EA59C0">
        <w:t>after</w:t>
      </w:r>
      <w:r w:rsidR="00C026A6" w:rsidRPr="00EA59C0">
        <w:t xml:space="preserve"> </w:t>
      </w:r>
      <w:r w:rsidRPr="00EA59C0">
        <w:t>the</w:t>
      </w:r>
      <w:r w:rsidR="00C026A6" w:rsidRPr="00EA59C0">
        <w:t xml:space="preserve"> </w:t>
      </w:r>
      <w:r w:rsidRPr="00EA59C0">
        <w:t>end</w:t>
      </w:r>
      <w:r w:rsidR="00C026A6" w:rsidRPr="00EA59C0">
        <w:t xml:space="preserve"> </w:t>
      </w:r>
      <w:r w:rsidRPr="00EA59C0">
        <w:t>of</w:t>
      </w:r>
      <w:r w:rsidR="00C026A6" w:rsidRPr="00EA59C0">
        <w:t xml:space="preserve"> </w:t>
      </w:r>
      <w:r w:rsidRPr="00EA59C0">
        <w:t>each</w:t>
      </w:r>
      <w:r w:rsidR="00C026A6" w:rsidRPr="00EA59C0">
        <w:t xml:space="preserve"> </w:t>
      </w:r>
      <w:r w:rsidRPr="00EA59C0">
        <w:t>calendar</w:t>
      </w:r>
      <w:r w:rsidR="00C026A6" w:rsidRPr="00EA59C0">
        <w:t xml:space="preserve"> </w:t>
      </w:r>
      <w:r w:rsidRPr="00EA59C0">
        <w:t>year</w:t>
      </w:r>
      <w:r w:rsidR="00C026A6" w:rsidRPr="00EA59C0">
        <w:t xml:space="preserve"> </w:t>
      </w:r>
      <w:r w:rsidRPr="00EA59C0">
        <w:t>quarter.</w:t>
      </w:r>
      <w:r w:rsidR="00C026A6" w:rsidRPr="00EA59C0">
        <w:t xml:space="preserve">  </w:t>
      </w:r>
      <w:r w:rsidRPr="00EA59C0">
        <w:t>Grantees</w:t>
      </w:r>
      <w:r w:rsidR="00C026A6" w:rsidRPr="00EA59C0">
        <w:t xml:space="preserve"> </w:t>
      </w:r>
      <w:r w:rsidRPr="00EA59C0">
        <w:t>must</w:t>
      </w:r>
      <w:r w:rsidR="00C026A6" w:rsidRPr="00EA59C0">
        <w:t xml:space="preserve"> </w:t>
      </w:r>
      <w:r w:rsidRPr="00EA59C0">
        <w:t>use</w:t>
      </w:r>
      <w:r w:rsidR="00C026A6" w:rsidRPr="00EA59C0">
        <w:t xml:space="preserve"> </w:t>
      </w:r>
      <w:r w:rsidRPr="00EA59C0">
        <w:t>DOL’s</w:t>
      </w:r>
      <w:r w:rsidR="00C026A6" w:rsidRPr="00EA59C0">
        <w:t xml:space="preserve"> </w:t>
      </w:r>
      <w:r w:rsidRPr="00EA59C0">
        <w:t>Online</w:t>
      </w:r>
      <w:r w:rsidR="00C026A6" w:rsidRPr="00EA59C0">
        <w:t xml:space="preserve"> </w:t>
      </w:r>
      <w:r w:rsidRPr="00EA59C0">
        <w:t>Electronic</w:t>
      </w:r>
      <w:r w:rsidR="00C026A6" w:rsidRPr="00EA59C0">
        <w:t xml:space="preserve"> </w:t>
      </w:r>
      <w:r w:rsidRPr="00EA59C0">
        <w:t>Reporting</w:t>
      </w:r>
      <w:r w:rsidR="00C026A6" w:rsidRPr="00EA59C0">
        <w:t xml:space="preserve"> </w:t>
      </w:r>
      <w:r w:rsidRPr="00EA59C0">
        <w:t>System</w:t>
      </w:r>
      <w:r w:rsidR="00C026A6" w:rsidRPr="00EA59C0">
        <w:t xml:space="preserve"> </w:t>
      </w:r>
      <w:r w:rsidRPr="00EA59C0">
        <w:t>and</w:t>
      </w:r>
      <w:r w:rsidR="00C026A6" w:rsidRPr="00EA59C0">
        <w:t xml:space="preserve"> </w:t>
      </w:r>
      <w:r w:rsidRPr="00EA59C0">
        <w:t>information</w:t>
      </w:r>
      <w:r w:rsidR="00C026A6" w:rsidRPr="00EA59C0">
        <w:t xml:space="preserve"> </w:t>
      </w:r>
      <w:r w:rsidRPr="00EA59C0">
        <w:t>and</w:t>
      </w:r>
      <w:r w:rsidR="00C026A6" w:rsidRPr="00EA59C0">
        <w:t xml:space="preserve"> </w:t>
      </w:r>
      <w:r w:rsidRPr="00EA59C0">
        <w:t>instructions</w:t>
      </w:r>
      <w:r w:rsidR="00C026A6" w:rsidRPr="00EA59C0">
        <w:t xml:space="preserve"> </w:t>
      </w:r>
      <w:r w:rsidRPr="00EA59C0">
        <w:t>will</w:t>
      </w:r>
      <w:r w:rsidR="00C026A6" w:rsidRPr="00EA59C0">
        <w:t xml:space="preserve"> </w:t>
      </w:r>
      <w:r w:rsidRPr="00EA59C0">
        <w:t>be</w:t>
      </w:r>
      <w:r w:rsidR="00C026A6" w:rsidRPr="00EA59C0">
        <w:t xml:space="preserve"> </w:t>
      </w:r>
      <w:r w:rsidRPr="00EA59C0">
        <w:t>provided</w:t>
      </w:r>
      <w:r w:rsidR="00C026A6" w:rsidRPr="00EA59C0">
        <w:t xml:space="preserve"> </w:t>
      </w:r>
      <w:r w:rsidRPr="00EA59C0">
        <w:t>to</w:t>
      </w:r>
      <w:r w:rsidR="00C026A6" w:rsidRPr="00EA59C0">
        <w:t xml:space="preserve"> </w:t>
      </w:r>
      <w:r w:rsidRPr="00EA59C0">
        <w:t>grantees.</w:t>
      </w:r>
      <w:r w:rsidR="00C026A6" w:rsidRPr="00EA59C0">
        <w:t xml:space="preserve">  </w:t>
      </w:r>
      <w:r w:rsidR="000A6F73" w:rsidRPr="00EA59C0">
        <w:t>All</w:t>
      </w:r>
      <w:r w:rsidR="00C026A6" w:rsidRPr="00EA59C0">
        <w:t xml:space="preserve"> </w:t>
      </w:r>
      <w:r w:rsidR="000A6F73" w:rsidRPr="00EA59C0">
        <w:t>TAACCCT</w:t>
      </w:r>
      <w:r w:rsidR="00C026A6" w:rsidRPr="00EA59C0">
        <w:t xml:space="preserve"> </w:t>
      </w:r>
      <w:r w:rsidR="000A6F73" w:rsidRPr="00EA59C0">
        <w:t>grantees,</w:t>
      </w:r>
      <w:r w:rsidR="00C026A6" w:rsidRPr="00EA59C0">
        <w:t xml:space="preserve"> </w:t>
      </w:r>
      <w:r w:rsidR="000A6F73" w:rsidRPr="00EA59C0">
        <w:t>including</w:t>
      </w:r>
      <w:r w:rsidR="00C026A6" w:rsidRPr="00EA59C0">
        <w:t xml:space="preserve"> </w:t>
      </w:r>
      <w:r w:rsidR="000A6F73" w:rsidRPr="00EA59C0">
        <w:t>single</w:t>
      </w:r>
      <w:r w:rsidR="00C026A6" w:rsidRPr="00EA59C0">
        <w:t xml:space="preserve"> </w:t>
      </w:r>
      <w:r w:rsidR="000A6F73" w:rsidRPr="00EA59C0">
        <w:t>institutions,</w:t>
      </w:r>
      <w:r w:rsidR="00C026A6" w:rsidRPr="00EA59C0">
        <w:t xml:space="preserve"> </w:t>
      </w:r>
      <w:r w:rsidR="000A6F73" w:rsidRPr="00EA59C0">
        <w:t>consortium</w:t>
      </w:r>
      <w:r w:rsidR="00C026A6" w:rsidRPr="00EA59C0">
        <w:t xml:space="preserve"> </w:t>
      </w:r>
      <w:r w:rsidR="000A6F73" w:rsidRPr="00EA59C0">
        <w:t>lead</w:t>
      </w:r>
      <w:r w:rsidR="00C026A6" w:rsidRPr="00EA59C0">
        <w:t xml:space="preserve"> </w:t>
      </w:r>
      <w:r w:rsidR="000A6F73" w:rsidRPr="00EA59C0">
        <w:t>institutions,</w:t>
      </w:r>
      <w:r w:rsidR="00C026A6" w:rsidRPr="00EA59C0">
        <w:t xml:space="preserve"> </w:t>
      </w:r>
      <w:r w:rsidR="000A6F73" w:rsidRPr="00EA59C0">
        <w:t>and</w:t>
      </w:r>
      <w:r w:rsidR="00C026A6" w:rsidRPr="00EA59C0">
        <w:t xml:space="preserve"> </w:t>
      </w:r>
      <w:r w:rsidR="000A6F73" w:rsidRPr="00EA59C0">
        <w:t>consortium</w:t>
      </w:r>
      <w:r w:rsidR="00C026A6" w:rsidRPr="00EA59C0">
        <w:t xml:space="preserve"> </w:t>
      </w:r>
      <w:r w:rsidR="000A6F73" w:rsidRPr="00EA59C0">
        <w:t>member</w:t>
      </w:r>
      <w:r w:rsidR="00C026A6" w:rsidRPr="00EA59C0">
        <w:t xml:space="preserve"> </w:t>
      </w:r>
      <w:r w:rsidR="000A6F73" w:rsidRPr="00EA59C0">
        <w:t>institutions</w:t>
      </w:r>
      <w:r w:rsidR="00C026A6" w:rsidRPr="00EA59C0">
        <w:t xml:space="preserve"> </w:t>
      </w:r>
      <w:r w:rsidR="000A6F73" w:rsidRPr="00EA59C0">
        <w:t>must</w:t>
      </w:r>
      <w:r w:rsidR="00C026A6" w:rsidRPr="00EA59C0">
        <w:t xml:space="preserve"> </w:t>
      </w:r>
      <w:r w:rsidR="000A6F73" w:rsidRPr="00EA59C0">
        <w:t>submit</w:t>
      </w:r>
      <w:r w:rsidR="00C026A6" w:rsidRPr="00EA59C0">
        <w:t xml:space="preserve"> </w:t>
      </w:r>
      <w:r w:rsidR="000A6F73" w:rsidRPr="00EA59C0">
        <w:t>individual</w:t>
      </w:r>
      <w:r w:rsidR="00C026A6" w:rsidRPr="00EA59C0">
        <w:t xml:space="preserve"> </w:t>
      </w:r>
      <w:r w:rsidR="000A6F73" w:rsidRPr="00EA59C0">
        <w:t>quarterly</w:t>
      </w:r>
      <w:r w:rsidR="00C026A6" w:rsidRPr="00EA59C0">
        <w:t xml:space="preserve"> </w:t>
      </w:r>
      <w:r w:rsidR="000A6F73" w:rsidRPr="00EA59C0">
        <w:t>financial</w:t>
      </w:r>
      <w:r w:rsidR="00C026A6" w:rsidRPr="00EA59C0">
        <w:t xml:space="preserve"> </w:t>
      </w:r>
      <w:r w:rsidR="000A6F73" w:rsidRPr="00EA59C0">
        <w:t>reports.</w:t>
      </w:r>
    </w:p>
    <w:p w:rsidR="001B6CDE" w:rsidRPr="00EA59C0" w:rsidRDefault="001B6CDE" w:rsidP="00FA0E98">
      <w:pPr>
        <w:rPr>
          <w:bCs/>
        </w:rPr>
      </w:pPr>
    </w:p>
    <w:p w:rsidR="00144DF0" w:rsidRPr="00EA59C0" w:rsidRDefault="007470AB" w:rsidP="008D193C">
      <w:pPr>
        <w:pStyle w:val="Heading2"/>
        <w:numPr>
          <w:ilvl w:val="4"/>
          <w:numId w:val="17"/>
        </w:numPr>
        <w:spacing w:line="240" w:lineRule="auto"/>
        <w:rPr>
          <w:rFonts w:ascii="Times New Roman" w:hAnsi="Times New Roman"/>
          <w:b w:val="0"/>
          <w:i w:val="0"/>
        </w:rPr>
      </w:pPr>
      <w:r w:rsidRPr="00EA59C0">
        <w:rPr>
          <w:rFonts w:ascii="Times New Roman" w:hAnsi="Times New Roman"/>
          <w:b w:val="0"/>
          <w:i w:val="0"/>
        </w:rPr>
        <w:t>Quarterly</w:t>
      </w:r>
      <w:r w:rsidR="00C026A6" w:rsidRPr="00EA59C0">
        <w:rPr>
          <w:rFonts w:ascii="Times New Roman" w:hAnsi="Times New Roman"/>
          <w:b w:val="0"/>
          <w:i w:val="0"/>
        </w:rPr>
        <w:t xml:space="preserve"> </w:t>
      </w:r>
      <w:r w:rsidR="00B25A96" w:rsidRPr="00EA59C0">
        <w:rPr>
          <w:rFonts w:ascii="Times New Roman" w:hAnsi="Times New Roman"/>
          <w:b w:val="0"/>
          <w:i w:val="0"/>
        </w:rPr>
        <w:t>Narrative</w:t>
      </w:r>
      <w:r w:rsidR="00C026A6" w:rsidRPr="00EA59C0">
        <w:rPr>
          <w:rFonts w:ascii="Times New Roman" w:hAnsi="Times New Roman"/>
          <w:b w:val="0"/>
          <w:i w:val="0"/>
        </w:rPr>
        <w:t xml:space="preserve"> </w:t>
      </w:r>
      <w:r w:rsidR="00B25A96" w:rsidRPr="00EA59C0">
        <w:rPr>
          <w:rFonts w:ascii="Times New Roman" w:hAnsi="Times New Roman"/>
          <w:b w:val="0"/>
          <w:i w:val="0"/>
        </w:rPr>
        <w:t>Progress</w:t>
      </w:r>
      <w:r w:rsidR="00C026A6" w:rsidRPr="00EA59C0">
        <w:rPr>
          <w:rFonts w:ascii="Times New Roman" w:hAnsi="Times New Roman"/>
          <w:b w:val="0"/>
          <w:i w:val="0"/>
        </w:rPr>
        <w:t xml:space="preserve"> </w:t>
      </w:r>
      <w:r w:rsidRPr="00EA59C0">
        <w:rPr>
          <w:rFonts w:ascii="Times New Roman" w:hAnsi="Times New Roman"/>
          <w:b w:val="0"/>
          <w:i w:val="0"/>
        </w:rPr>
        <w:t>Reports</w:t>
      </w:r>
    </w:p>
    <w:p w:rsidR="000A6F73" w:rsidRPr="00EA59C0" w:rsidRDefault="000A6F73" w:rsidP="00FA0E98">
      <w:pPr>
        <w:ind w:left="1800"/>
        <w:rPr>
          <w:bCs/>
        </w:rPr>
      </w:pPr>
      <w:r w:rsidRPr="00EA59C0">
        <w:rPr>
          <w:bCs/>
        </w:rPr>
        <w:t>The</w:t>
      </w:r>
      <w:r w:rsidR="00C026A6" w:rsidRPr="00EA59C0">
        <w:rPr>
          <w:bCs/>
        </w:rPr>
        <w:t xml:space="preserve"> </w:t>
      </w:r>
      <w:r w:rsidRPr="00EA59C0">
        <w:rPr>
          <w:bCs/>
        </w:rPr>
        <w:t>grantee</w:t>
      </w:r>
      <w:r w:rsidR="00C026A6" w:rsidRPr="00EA59C0">
        <w:rPr>
          <w:bCs/>
        </w:rPr>
        <w:t xml:space="preserve"> </w:t>
      </w:r>
      <w:r w:rsidRPr="00EA59C0">
        <w:rPr>
          <w:bCs/>
        </w:rPr>
        <w:t>must</w:t>
      </w:r>
      <w:r w:rsidR="00C026A6" w:rsidRPr="00EA59C0">
        <w:rPr>
          <w:bCs/>
        </w:rPr>
        <w:t xml:space="preserve"> </w:t>
      </w:r>
      <w:r w:rsidRPr="00EA59C0">
        <w:rPr>
          <w:bCs/>
        </w:rPr>
        <w:t>submit</w:t>
      </w:r>
      <w:r w:rsidR="00C026A6" w:rsidRPr="00EA59C0">
        <w:rPr>
          <w:bCs/>
        </w:rPr>
        <w:t xml:space="preserve"> </w:t>
      </w:r>
      <w:r w:rsidRPr="00EA59C0">
        <w:rPr>
          <w:bCs/>
        </w:rPr>
        <w:t>a</w:t>
      </w:r>
      <w:r w:rsidR="00C026A6" w:rsidRPr="00EA59C0">
        <w:rPr>
          <w:bCs/>
        </w:rPr>
        <w:t xml:space="preserve"> </w:t>
      </w:r>
      <w:r w:rsidRPr="00EA59C0">
        <w:rPr>
          <w:bCs/>
        </w:rPr>
        <w:t>quarterly</w:t>
      </w:r>
      <w:r w:rsidR="00C026A6" w:rsidRPr="00EA59C0">
        <w:rPr>
          <w:bCs/>
        </w:rPr>
        <w:t xml:space="preserve"> </w:t>
      </w:r>
      <w:r w:rsidRPr="00EA59C0">
        <w:rPr>
          <w:bCs/>
        </w:rPr>
        <w:t>progress</w:t>
      </w:r>
      <w:r w:rsidR="00C026A6" w:rsidRPr="00EA59C0">
        <w:rPr>
          <w:bCs/>
        </w:rPr>
        <w:t xml:space="preserve"> </w:t>
      </w:r>
      <w:r w:rsidRPr="00EA59C0">
        <w:rPr>
          <w:bCs/>
        </w:rPr>
        <w:t>report</w:t>
      </w:r>
      <w:r w:rsidR="00C026A6" w:rsidRPr="00EA59C0">
        <w:rPr>
          <w:bCs/>
        </w:rPr>
        <w:t xml:space="preserve"> </w:t>
      </w:r>
      <w:r w:rsidRPr="00EA59C0">
        <w:rPr>
          <w:bCs/>
        </w:rPr>
        <w:t>within</w:t>
      </w:r>
      <w:r w:rsidR="00C026A6" w:rsidRPr="00EA59C0">
        <w:rPr>
          <w:bCs/>
        </w:rPr>
        <w:t xml:space="preserve"> </w:t>
      </w:r>
      <w:r w:rsidRPr="00EA59C0">
        <w:rPr>
          <w:bCs/>
        </w:rPr>
        <w:t>45</w:t>
      </w:r>
      <w:r w:rsidR="00C026A6" w:rsidRPr="00EA59C0">
        <w:rPr>
          <w:bCs/>
        </w:rPr>
        <w:t xml:space="preserve"> </w:t>
      </w:r>
      <w:r w:rsidRPr="00EA59C0">
        <w:rPr>
          <w:bCs/>
        </w:rPr>
        <w:t>days</w:t>
      </w:r>
      <w:r w:rsidR="00C026A6" w:rsidRPr="00EA59C0">
        <w:rPr>
          <w:bCs/>
        </w:rPr>
        <w:t xml:space="preserve"> </w:t>
      </w:r>
      <w:r w:rsidRPr="00EA59C0">
        <w:rPr>
          <w:bCs/>
        </w:rPr>
        <w:t>after</w:t>
      </w:r>
      <w:r w:rsidR="00C026A6" w:rsidRPr="00EA59C0">
        <w:rPr>
          <w:bCs/>
        </w:rPr>
        <w:t xml:space="preserve"> </w:t>
      </w:r>
      <w:r w:rsidRPr="00EA59C0">
        <w:rPr>
          <w:bCs/>
        </w:rPr>
        <w:t>the</w:t>
      </w:r>
      <w:r w:rsidR="00C026A6" w:rsidRPr="00EA59C0">
        <w:rPr>
          <w:bCs/>
        </w:rPr>
        <w:t xml:space="preserve"> </w:t>
      </w:r>
      <w:r w:rsidRPr="00EA59C0">
        <w:rPr>
          <w:bCs/>
        </w:rPr>
        <w:t>end</w:t>
      </w:r>
      <w:r w:rsidR="00C026A6" w:rsidRPr="00EA59C0">
        <w:rPr>
          <w:bCs/>
        </w:rPr>
        <w:t xml:space="preserve"> </w:t>
      </w:r>
      <w:r w:rsidRPr="00EA59C0">
        <w:rPr>
          <w:bCs/>
        </w:rPr>
        <w:t>of</w:t>
      </w:r>
      <w:r w:rsidR="00C026A6" w:rsidRPr="00EA59C0">
        <w:rPr>
          <w:bCs/>
        </w:rPr>
        <w:t xml:space="preserve"> </w:t>
      </w:r>
      <w:r w:rsidRPr="00EA59C0">
        <w:rPr>
          <w:bCs/>
        </w:rPr>
        <w:t>each</w:t>
      </w:r>
      <w:r w:rsidR="00C026A6" w:rsidRPr="00EA59C0">
        <w:rPr>
          <w:bCs/>
        </w:rPr>
        <w:t xml:space="preserve"> </w:t>
      </w:r>
      <w:r w:rsidRPr="00EA59C0">
        <w:rPr>
          <w:bCs/>
        </w:rPr>
        <w:t>calendar</w:t>
      </w:r>
      <w:r w:rsidR="00C026A6" w:rsidRPr="00EA59C0">
        <w:rPr>
          <w:bCs/>
        </w:rPr>
        <w:t xml:space="preserve"> </w:t>
      </w:r>
      <w:r w:rsidRPr="00EA59C0">
        <w:rPr>
          <w:bCs/>
        </w:rPr>
        <w:t>year</w:t>
      </w:r>
      <w:r w:rsidR="00C026A6" w:rsidRPr="00EA59C0">
        <w:rPr>
          <w:bCs/>
        </w:rPr>
        <w:t xml:space="preserve"> </w:t>
      </w:r>
      <w:r w:rsidRPr="00EA59C0">
        <w:rPr>
          <w:bCs/>
        </w:rPr>
        <w:t>quarter.</w:t>
      </w:r>
      <w:r w:rsidR="00C026A6" w:rsidRPr="00EA59C0">
        <w:rPr>
          <w:bCs/>
        </w:rPr>
        <w:t xml:space="preserve">  </w:t>
      </w:r>
      <w:r w:rsidRPr="00EA59C0">
        <w:rPr>
          <w:bCs/>
        </w:rPr>
        <w:t>The</w:t>
      </w:r>
      <w:r w:rsidR="00C026A6" w:rsidRPr="00EA59C0">
        <w:rPr>
          <w:bCs/>
        </w:rPr>
        <w:t xml:space="preserve"> </w:t>
      </w:r>
      <w:r w:rsidRPr="00EA59C0">
        <w:rPr>
          <w:bCs/>
        </w:rPr>
        <w:t>report</w:t>
      </w:r>
      <w:r w:rsidR="00C026A6" w:rsidRPr="00EA59C0">
        <w:rPr>
          <w:bCs/>
        </w:rPr>
        <w:t xml:space="preserve"> </w:t>
      </w:r>
      <w:r w:rsidRPr="00EA59C0">
        <w:rPr>
          <w:bCs/>
        </w:rPr>
        <w:t>must</w:t>
      </w:r>
      <w:r w:rsidR="00C026A6" w:rsidRPr="00EA59C0">
        <w:rPr>
          <w:bCs/>
        </w:rPr>
        <w:t xml:space="preserve"> </w:t>
      </w:r>
      <w:r w:rsidRPr="00EA59C0">
        <w:rPr>
          <w:bCs/>
        </w:rPr>
        <w:t>include</w:t>
      </w:r>
      <w:r w:rsidR="00C026A6" w:rsidRPr="00EA59C0">
        <w:rPr>
          <w:bCs/>
        </w:rPr>
        <w:t xml:space="preserve"> </w:t>
      </w:r>
      <w:r w:rsidRPr="00EA59C0">
        <w:rPr>
          <w:bCs/>
        </w:rPr>
        <w:t>quarterly</w:t>
      </w:r>
      <w:r w:rsidR="00C026A6" w:rsidRPr="00EA59C0">
        <w:rPr>
          <w:bCs/>
        </w:rPr>
        <w:t xml:space="preserve"> </w:t>
      </w:r>
      <w:r w:rsidRPr="00EA59C0">
        <w:rPr>
          <w:bCs/>
        </w:rPr>
        <w:t>information</w:t>
      </w:r>
      <w:r w:rsidR="00C026A6" w:rsidRPr="00EA59C0">
        <w:rPr>
          <w:bCs/>
        </w:rPr>
        <w:t xml:space="preserve"> </w:t>
      </w:r>
      <w:r w:rsidRPr="00EA59C0">
        <w:rPr>
          <w:bCs/>
        </w:rPr>
        <w:t>regarding</w:t>
      </w:r>
      <w:r w:rsidR="00C026A6" w:rsidRPr="00EA59C0">
        <w:rPr>
          <w:bCs/>
        </w:rPr>
        <w:t xml:space="preserve"> </w:t>
      </w:r>
      <w:r w:rsidRPr="00EA59C0">
        <w:rPr>
          <w:bCs/>
        </w:rPr>
        <w:t>grant</w:t>
      </w:r>
      <w:r w:rsidR="00C026A6" w:rsidRPr="00EA59C0">
        <w:rPr>
          <w:bCs/>
        </w:rPr>
        <w:t xml:space="preserve"> </w:t>
      </w:r>
      <w:r w:rsidRPr="00EA59C0">
        <w:rPr>
          <w:bCs/>
        </w:rPr>
        <w:t>activities,</w:t>
      </w:r>
      <w:r w:rsidR="00C026A6" w:rsidRPr="00EA59C0">
        <w:rPr>
          <w:bCs/>
        </w:rPr>
        <w:t xml:space="preserve"> </w:t>
      </w:r>
      <w:r w:rsidRPr="00EA59C0">
        <w:rPr>
          <w:bCs/>
        </w:rPr>
        <w:t>such</w:t>
      </w:r>
      <w:r w:rsidR="00C026A6" w:rsidRPr="00EA59C0">
        <w:rPr>
          <w:bCs/>
        </w:rPr>
        <w:t xml:space="preserve"> </w:t>
      </w:r>
      <w:r w:rsidRPr="00EA59C0">
        <w:rPr>
          <w:bCs/>
        </w:rPr>
        <w:t>as</w:t>
      </w:r>
      <w:r w:rsidR="00C026A6" w:rsidRPr="00EA59C0">
        <w:rPr>
          <w:bCs/>
        </w:rPr>
        <w:t xml:space="preserve"> </w:t>
      </w:r>
      <w:r w:rsidRPr="00EA59C0">
        <w:rPr>
          <w:bCs/>
        </w:rPr>
        <w:t>capacity</w:t>
      </w:r>
      <w:r w:rsidR="00C026A6" w:rsidRPr="00EA59C0">
        <w:rPr>
          <w:bCs/>
        </w:rPr>
        <w:t xml:space="preserve"> </w:t>
      </w:r>
      <w:r w:rsidRPr="00EA59C0">
        <w:rPr>
          <w:bCs/>
        </w:rPr>
        <w:t>building,</w:t>
      </w:r>
      <w:r w:rsidR="00C026A6" w:rsidRPr="00EA59C0">
        <w:rPr>
          <w:bCs/>
        </w:rPr>
        <w:t xml:space="preserve"> </w:t>
      </w:r>
      <w:r w:rsidRPr="00EA59C0">
        <w:rPr>
          <w:bCs/>
        </w:rPr>
        <w:t>best</w:t>
      </w:r>
      <w:r w:rsidR="00C026A6" w:rsidRPr="00EA59C0">
        <w:rPr>
          <w:bCs/>
        </w:rPr>
        <w:t xml:space="preserve"> </w:t>
      </w:r>
      <w:r w:rsidRPr="00EA59C0">
        <w:rPr>
          <w:bCs/>
        </w:rPr>
        <w:t>practices,</w:t>
      </w:r>
      <w:r w:rsidR="00C026A6" w:rsidRPr="00EA59C0">
        <w:rPr>
          <w:bCs/>
        </w:rPr>
        <w:t xml:space="preserve"> </w:t>
      </w:r>
      <w:r w:rsidRPr="00EA59C0">
        <w:rPr>
          <w:bCs/>
        </w:rPr>
        <w:t>and</w:t>
      </w:r>
      <w:r w:rsidR="00C026A6" w:rsidRPr="00EA59C0">
        <w:rPr>
          <w:bCs/>
        </w:rPr>
        <w:t xml:space="preserve"> </w:t>
      </w:r>
      <w:r w:rsidRPr="00EA59C0">
        <w:rPr>
          <w:bCs/>
        </w:rPr>
        <w:t>key</w:t>
      </w:r>
      <w:r w:rsidR="00C026A6" w:rsidRPr="00EA59C0">
        <w:rPr>
          <w:bCs/>
        </w:rPr>
        <w:t xml:space="preserve"> </w:t>
      </w:r>
      <w:r w:rsidRPr="00EA59C0">
        <w:rPr>
          <w:bCs/>
        </w:rPr>
        <w:t>challenges</w:t>
      </w:r>
      <w:r w:rsidR="00C026A6" w:rsidRPr="00EA59C0">
        <w:rPr>
          <w:bCs/>
        </w:rPr>
        <w:t xml:space="preserve"> </w:t>
      </w:r>
      <w:r w:rsidRPr="00EA59C0">
        <w:rPr>
          <w:bCs/>
        </w:rPr>
        <w:t>and</w:t>
      </w:r>
      <w:r w:rsidR="00C026A6" w:rsidRPr="00EA59C0">
        <w:rPr>
          <w:bCs/>
        </w:rPr>
        <w:t xml:space="preserve"> </w:t>
      </w:r>
      <w:r w:rsidRPr="00EA59C0">
        <w:rPr>
          <w:bCs/>
        </w:rPr>
        <w:t>issues.</w:t>
      </w:r>
      <w:r w:rsidR="00C026A6" w:rsidRPr="00EA59C0">
        <w:rPr>
          <w:bCs/>
        </w:rPr>
        <w:t xml:space="preserve">  </w:t>
      </w:r>
      <w:r w:rsidRPr="00EA59C0">
        <w:rPr>
          <w:bCs/>
        </w:rPr>
        <w:t>The</w:t>
      </w:r>
      <w:r w:rsidR="00C026A6" w:rsidRPr="00EA59C0">
        <w:rPr>
          <w:bCs/>
        </w:rPr>
        <w:t xml:space="preserve"> </w:t>
      </w:r>
      <w:r w:rsidRPr="00EA59C0">
        <w:rPr>
          <w:bCs/>
        </w:rPr>
        <w:t>quarterly</w:t>
      </w:r>
      <w:r w:rsidR="00C026A6" w:rsidRPr="00EA59C0">
        <w:rPr>
          <w:bCs/>
        </w:rPr>
        <w:t xml:space="preserve"> </w:t>
      </w:r>
      <w:r w:rsidRPr="00EA59C0">
        <w:rPr>
          <w:bCs/>
        </w:rPr>
        <w:t>report</w:t>
      </w:r>
      <w:r w:rsidR="00C026A6" w:rsidRPr="00EA59C0">
        <w:rPr>
          <w:bCs/>
        </w:rPr>
        <w:t xml:space="preserve"> </w:t>
      </w:r>
      <w:r w:rsidRPr="00EA59C0">
        <w:rPr>
          <w:bCs/>
        </w:rPr>
        <w:t>will</w:t>
      </w:r>
      <w:r w:rsidR="00C026A6" w:rsidRPr="00EA59C0">
        <w:rPr>
          <w:bCs/>
        </w:rPr>
        <w:t xml:space="preserve"> </w:t>
      </w:r>
      <w:r w:rsidRPr="00EA59C0">
        <w:rPr>
          <w:bCs/>
        </w:rPr>
        <w:t>follow</w:t>
      </w:r>
      <w:r w:rsidR="00C026A6" w:rsidRPr="00EA59C0">
        <w:rPr>
          <w:bCs/>
        </w:rPr>
        <w:t xml:space="preserve"> </w:t>
      </w:r>
      <w:r w:rsidRPr="00EA59C0">
        <w:rPr>
          <w:bCs/>
        </w:rPr>
        <w:t>the</w:t>
      </w:r>
      <w:r w:rsidR="00C026A6" w:rsidRPr="00EA59C0">
        <w:rPr>
          <w:bCs/>
        </w:rPr>
        <w:t xml:space="preserve"> </w:t>
      </w:r>
      <w:r w:rsidRPr="00EA59C0">
        <w:rPr>
          <w:bCs/>
        </w:rPr>
        <w:t>format</w:t>
      </w:r>
      <w:r w:rsidR="00C026A6" w:rsidRPr="00EA59C0">
        <w:rPr>
          <w:bCs/>
        </w:rPr>
        <w:t xml:space="preserve"> </w:t>
      </w:r>
      <w:r w:rsidRPr="00EA59C0">
        <w:rPr>
          <w:bCs/>
        </w:rPr>
        <w:t>for</w:t>
      </w:r>
      <w:r w:rsidR="00C026A6" w:rsidRPr="00EA59C0">
        <w:rPr>
          <w:bCs/>
        </w:rPr>
        <w:t xml:space="preserve"> </w:t>
      </w:r>
      <w:r w:rsidRPr="00EA59C0">
        <w:rPr>
          <w:bCs/>
        </w:rPr>
        <w:t>grantees</w:t>
      </w:r>
      <w:r w:rsidR="00C026A6" w:rsidRPr="00EA59C0">
        <w:rPr>
          <w:bCs/>
        </w:rPr>
        <w:t xml:space="preserve"> </w:t>
      </w:r>
      <w:r w:rsidRPr="00EA59C0">
        <w:rPr>
          <w:bCs/>
        </w:rPr>
        <w:t>under</w:t>
      </w:r>
      <w:r w:rsidR="00C026A6" w:rsidRPr="00EA59C0">
        <w:rPr>
          <w:bCs/>
        </w:rPr>
        <w:t xml:space="preserve"> </w:t>
      </w:r>
      <w:r w:rsidRPr="00EA59C0">
        <w:rPr>
          <w:bCs/>
        </w:rPr>
        <w:t>the</w:t>
      </w:r>
      <w:r w:rsidR="00C026A6" w:rsidRPr="00EA59C0">
        <w:rPr>
          <w:bCs/>
        </w:rPr>
        <w:t xml:space="preserve"> </w:t>
      </w:r>
      <w:r w:rsidRPr="00EA59C0">
        <w:rPr>
          <w:bCs/>
        </w:rPr>
        <w:t>TAACCCT</w:t>
      </w:r>
      <w:r w:rsidR="00C026A6" w:rsidRPr="00EA59C0">
        <w:rPr>
          <w:bCs/>
        </w:rPr>
        <w:t xml:space="preserve"> </w:t>
      </w:r>
      <w:r w:rsidRPr="00EA59C0">
        <w:rPr>
          <w:bCs/>
        </w:rPr>
        <w:t>Grant</w:t>
      </w:r>
      <w:r w:rsidR="00C026A6" w:rsidRPr="00EA59C0">
        <w:rPr>
          <w:bCs/>
        </w:rPr>
        <w:t xml:space="preserve"> </w:t>
      </w:r>
      <w:r w:rsidRPr="00EA59C0">
        <w:rPr>
          <w:bCs/>
        </w:rPr>
        <w:t>Program,</w:t>
      </w:r>
      <w:r w:rsidR="00C026A6" w:rsidRPr="00EA59C0">
        <w:rPr>
          <w:bCs/>
        </w:rPr>
        <w:t xml:space="preserve"> </w:t>
      </w:r>
      <w:r w:rsidRPr="00EA59C0">
        <w:rPr>
          <w:bCs/>
        </w:rPr>
        <w:t>“Annual</w:t>
      </w:r>
      <w:r w:rsidR="00C026A6" w:rsidRPr="00EA59C0">
        <w:rPr>
          <w:bCs/>
        </w:rPr>
        <w:t xml:space="preserve"> </w:t>
      </w:r>
      <w:r w:rsidRPr="00EA59C0">
        <w:rPr>
          <w:bCs/>
        </w:rPr>
        <w:t>and</w:t>
      </w:r>
      <w:r w:rsidR="00C026A6" w:rsidRPr="00EA59C0">
        <w:rPr>
          <w:bCs/>
        </w:rPr>
        <w:t xml:space="preserve"> </w:t>
      </w:r>
      <w:r w:rsidRPr="00EA59C0">
        <w:rPr>
          <w:bCs/>
        </w:rPr>
        <w:t>Quarterly</w:t>
      </w:r>
      <w:r w:rsidR="00C026A6" w:rsidRPr="00EA59C0">
        <w:rPr>
          <w:bCs/>
        </w:rPr>
        <w:t xml:space="preserve"> </w:t>
      </w:r>
      <w:r w:rsidRPr="00EA59C0">
        <w:rPr>
          <w:bCs/>
        </w:rPr>
        <w:t>Program</w:t>
      </w:r>
      <w:r w:rsidR="00C026A6" w:rsidRPr="00EA59C0">
        <w:rPr>
          <w:bCs/>
        </w:rPr>
        <w:t xml:space="preserve"> </w:t>
      </w:r>
      <w:r w:rsidRPr="00EA59C0">
        <w:rPr>
          <w:bCs/>
        </w:rPr>
        <w:t>Reporting</w:t>
      </w:r>
      <w:r w:rsidR="00C026A6" w:rsidRPr="00EA59C0">
        <w:rPr>
          <w:bCs/>
        </w:rPr>
        <w:t xml:space="preserve"> </w:t>
      </w:r>
      <w:r w:rsidRPr="00EA59C0">
        <w:rPr>
          <w:bCs/>
        </w:rPr>
        <w:t>Forms</w:t>
      </w:r>
      <w:r w:rsidR="00C026A6" w:rsidRPr="00EA59C0">
        <w:rPr>
          <w:bCs/>
        </w:rPr>
        <w:t xml:space="preserve"> </w:t>
      </w:r>
      <w:r w:rsidRPr="00EA59C0">
        <w:rPr>
          <w:bCs/>
        </w:rPr>
        <w:t>&amp;</w:t>
      </w:r>
      <w:r w:rsidR="00C026A6" w:rsidRPr="00EA59C0">
        <w:rPr>
          <w:bCs/>
        </w:rPr>
        <w:t xml:space="preserve"> </w:t>
      </w:r>
      <w:r w:rsidRPr="00EA59C0">
        <w:rPr>
          <w:bCs/>
        </w:rPr>
        <w:t>Instructions,”</w:t>
      </w:r>
      <w:r w:rsidR="00C026A6" w:rsidRPr="00EA59C0">
        <w:rPr>
          <w:bCs/>
        </w:rPr>
        <w:t xml:space="preserve"> </w:t>
      </w:r>
      <w:r w:rsidRPr="00EA59C0">
        <w:rPr>
          <w:bCs/>
        </w:rPr>
        <w:t>OMB</w:t>
      </w:r>
      <w:r w:rsidR="00C026A6" w:rsidRPr="00EA59C0">
        <w:rPr>
          <w:bCs/>
        </w:rPr>
        <w:t xml:space="preserve"> </w:t>
      </w:r>
      <w:r w:rsidRPr="00EA59C0">
        <w:rPr>
          <w:bCs/>
        </w:rPr>
        <w:t>Control</w:t>
      </w:r>
      <w:r w:rsidR="00C026A6" w:rsidRPr="00EA59C0">
        <w:rPr>
          <w:bCs/>
        </w:rPr>
        <w:t xml:space="preserve"> </w:t>
      </w:r>
      <w:r w:rsidRPr="00EA59C0">
        <w:rPr>
          <w:bCs/>
        </w:rPr>
        <w:t>Number</w:t>
      </w:r>
      <w:r w:rsidR="00C026A6" w:rsidRPr="00EA59C0">
        <w:rPr>
          <w:bCs/>
        </w:rPr>
        <w:t xml:space="preserve"> </w:t>
      </w:r>
      <w:r w:rsidRPr="00EA59C0">
        <w:rPr>
          <w:bCs/>
        </w:rPr>
        <w:t>1205-0489,</w:t>
      </w:r>
      <w:r w:rsidR="00C026A6" w:rsidRPr="00EA59C0">
        <w:rPr>
          <w:bCs/>
        </w:rPr>
        <w:t xml:space="preserve"> </w:t>
      </w:r>
      <w:r w:rsidRPr="00EA59C0">
        <w:rPr>
          <w:bCs/>
        </w:rPr>
        <w:t>Expiration:</w:t>
      </w:r>
      <w:r w:rsidR="00C026A6" w:rsidRPr="00EA59C0">
        <w:rPr>
          <w:bCs/>
        </w:rPr>
        <w:t xml:space="preserve"> </w:t>
      </w:r>
      <w:r w:rsidRPr="00EA59C0">
        <w:rPr>
          <w:bCs/>
        </w:rPr>
        <w:t>03/31/2015</w:t>
      </w:r>
      <w:r w:rsidR="00C026A6" w:rsidRPr="00EA59C0">
        <w:rPr>
          <w:bCs/>
        </w:rPr>
        <w:t xml:space="preserve"> </w:t>
      </w:r>
      <w:r w:rsidR="00B01279" w:rsidRPr="00EA59C0">
        <w:rPr>
          <w:bCs/>
        </w:rPr>
        <w:t>(or</w:t>
      </w:r>
      <w:r w:rsidR="00C026A6" w:rsidRPr="00EA59C0">
        <w:rPr>
          <w:bCs/>
        </w:rPr>
        <w:t xml:space="preserve"> </w:t>
      </w:r>
      <w:r w:rsidR="00B01279" w:rsidRPr="00EA59C0">
        <w:rPr>
          <w:bCs/>
        </w:rPr>
        <w:t>a</w:t>
      </w:r>
      <w:r w:rsidR="00C026A6" w:rsidRPr="00EA59C0">
        <w:rPr>
          <w:bCs/>
        </w:rPr>
        <w:t xml:space="preserve"> </w:t>
      </w:r>
      <w:r w:rsidR="00B01279" w:rsidRPr="00EA59C0">
        <w:rPr>
          <w:bCs/>
        </w:rPr>
        <w:t>successor</w:t>
      </w:r>
      <w:r w:rsidR="00C026A6" w:rsidRPr="00EA59C0">
        <w:rPr>
          <w:bCs/>
        </w:rPr>
        <w:t xml:space="preserve"> </w:t>
      </w:r>
      <w:r w:rsidR="00B01279" w:rsidRPr="00EA59C0">
        <w:rPr>
          <w:bCs/>
        </w:rPr>
        <w:t>form)</w:t>
      </w:r>
      <w:r w:rsidRPr="00EA59C0">
        <w:rPr>
          <w:bCs/>
        </w:rPr>
        <w:t>.</w:t>
      </w:r>
      <w:r w:rsidR="00C026A6" w:rsidRPr="00EA59C0">
        <w:rPr>
          <w:bCs/>
        </w:rPr>
        <w:t xml:space="preserve">  </w:t>
      </w:r>
    </w:p>
    <w:p w:rsidR="000A6F73" w:rsidRPr="00EA59C0" w:rsidRDefault="000A6F73" w:rsidP="00FA0E98">
      <w:pPr>
        <w:ind w:left="1800"/>
        <w:rPr>
          <w:bCs/>
        </w:rPr>
      </w:pPr>
    </w:p>
    <w:p w:rsidR="008D193C" w:rsidRPr="00EA59C0" w:rsidRDefault="000A6F73" w:rsidP="00FA0E98">
      <w:pPr>
        <w:ind w:left="1800"/>
        <w:rPr>
          <w:bCs/>
        </w:rPr>
      </w:pPr>
      <w:r w:rsidRPr="00EA59C0">
        <w:rPr>
          <w:bCs/>
        </w:rPr>
        <w:t>For</w:t>
      </w:r>
      <w:r w:rsidR="00C026A6" w:rsidRPr="00EA59C0">
        <w:rPr>
          <w:bCs/>
        </w:rPr>
        <w:t xml:space="preserve"> </w:t>
      </w:r>
      <w:r w:rsidRPr="00EA59C0">
        <w:rPr>
          <w:bCs/>
        </w:rPr>
        <w:t>consortium</w:t>
      </w:r>
      <w:r w:rsidR="00C026A6" w:rsidRPr="00EA59C0">
        <w:rPr>
          <w:bCs/>
        </w:rPr>
        <w:t xml:space="preserve"> </w:t>
      </w:r>
      <w:r w:rsidRPr="00EA59C0">
        <w:rPr>
          <w:bCs/>
        </w:rPr>
        <w:t>grants,</w:t>
      </w:r>
      <w:r w:rsidR="00C026A6" w:rsidRPr="00EA59C0">
        <w:rPr>
          <w:bCs/>
        </w:rPr>
        <w:t xml:space="preserve"> </w:t>
      </w:r>
      <w:r w:rsidRPr="00EA59C0">
        <w:rPr>
          <w:bCs/>
        </w:rPr>
        <w:t>the</w:t>
      </w:r>
      <w:r w:rsidR="00C026A6" w:rsidRPr="00EA59C0">
        <w:rPr>
          <w:bCs/>
        </w:rPr>
        <w:t xml:space="preserve"> </w:t>
      </w:r>
      <w:r w:rsidRPr="00EA59C0">
        <w:rPr>
          <w:bCs/>
        </w:rPr>
        <w:t>Lead</w:t>
      </w:r>
      <w:r w:rsidR="00C026A6" w:rsidRPr="00EA59C0">
        <w:rPr>
          <w:bCs/>
        </w:rPr>
        <w:t xml:space="preserve"> </w:t>
      </w:r>
      <w:r w:rsidRPr="00EA59C0">
        <w:rPr>
          <w:bCs/>
        </w:rPr>
        <w:t>Institution</w:t>
      </w:r>
      <w:r w:rsidR="00C026A6" w:rsidRPr="00EA59C0">
        <w:rPr>
          <w:bCs/>
        </w:rPr>
        <w:t xml:space="preserve"> </w:t>
      </w:r>
      <w:r w:rsidRPr="00EA59C0">
        <w:rPr>
          <w:bCs/>
        </w:rPr>
        <w:t>will</w:t>
      </w:r>
      <w:r w:rsidR="00C026A6" w:rsidRPr="00EA59C0">
        <w:rPr>
          <w:bCs/>
        </w:rPr>
        <w:t xml:space="preserve"> </w:t>
      </w:r>
      <w:r w:rsidRPr="00EA59C0">
        <w:rPr>
          <w:bCs/>
        </w:rPr>
        <w:t>compile</w:t>
      </w:r>
      <w:r w:rsidR="00C026A6" w:rsidRPr="00EA59C0">
        <w:rPr>
          <w:bCs/>
        </w:rPr>
        <w:t xml:space="preserve"> </w:t>
      </w:r>
      <w:r w:rsidRPr="00EA59C0">
        <w:rPr>
          <w:bCs/>
        </w:rPr>
        <w:t>submissions</w:t>
      </w:r>
      <w:r w:rsidR="00C026A6" w:rsidRPr="00EA59C0">
        <w:rPr>
          <w:bCs/>
        </w:rPr>
        <w:t xml:space="preserve"> </w:t>
      </w:r>
      <w:r w:rsidRPr="00EA59C0">
        <w:rPr>
          <w:bCs/>
        </w:rPr>
        <w:t>from</w:t>
      </w:r>
      <w:r w:rsidR="00C026A6" w:rsidRPr="00EA59C0">
        <w:rPr>
          <w:bCs/>
        </w:rPr>
        <w:t xml:space="preserve"> </w:t>
      </w:r>
      <w:r w:rsidRPr="00EA59C0">
        <w:rPr>
          <w:bCs/>
        </w:rPr>
        <w:t>each</w:t>
      </w:r>
      <w:r w:rsidR="00C026A6" w:rsidRPr="00EA59C0">
        <w:rPr>
          <w:bCs/>
        </w:rPr>
        <w:t xml:space="preserve"> </w:t>
      </w:r>
      <w:r w:rsidRPr="00EA59C0">
        <w:rPr>
          <w:bCs/>
        </w:rPr>
        <w:t>Member</w:t>
      </w:r>
      <w:r w:rsidR="00C026A6" w:rsidRPr="00EA59C0">
        <w:rPr>
          <w:bCs/>
        </w:rPr>
        <w:t xml:space="preserve"> </w:t>
      </w:r>
      <w:r w:rsidRPr="00EA59C0">
        <w:rPr>
          <w:bCs/>
        </w:rPr>
        <w:t>Institution</w:t>
      </w:r>
      <w:r w:rsidR="00C026A6" w:rsidRPr="00EA59C0">
        <w:rPr>
          <w:bCs/>
        </w:rPr>
        <w:t xml:space="preserve"> </w:t>
      </w:r>
      <w:r w:rsidRPr="00EA59C0">
        <w:rPr>
          <w:bCs/>
        </w:rPr>
        <w:t>and</w:t>
      </w:r>
      <w:r w:rsidR="00C026A6" w:rsidRPr="00EA59C0">
        <w:rPr>
          <w:bCs/>
        </w:rPr>
        <w:t xml:space="preserve"> </w:t>
      </w:r>
      <w:r w:rsidRPr="00EA59C0">
        <w:rPr>
          <w:bCs/>
        </w:rPr>
        <w:t>submit</w:t>
      </w:r>
      <w:r w:rsidR="00C026A6" w:rsidRPr="00EA59C0">
        <w:rPr>
          <w:bCs/>
        </w:rPr>
        <w:t xml:space="preserve"> </w:t>
      </w:r>
      <w:r w:rsidRPr="00EA59C0">
        <w:rPr>
          <w:bCs/>
        </w:rPr>
        <w:t>the</w:t>
      </w:r>
      <w:r w:rsidR="00C026A6" w:rsidRPr="00EA59C0">
        <w:rPr>
          <w:bCs/>
        </w:rPr>
        <w:t xml:space="preserve"> </w:t>
      </w:r>
      <w:r w:rsidRPr="00EA59C0">
        <w:rPr>
          <w:bCs/>
        </w:rPr>
        <w:t>quarterly</w:t>
      </w:r>
      <w:r w:rsidR="00C026A6" w:rsidRPr="00EA59C0">
        <w:rPr>
          <w:bCs/>
        </w:rPr>
        <w:t xml:space="preserve"> </w:t>
      </w:r>
      <w:r w:rsidRPr="00EA59C0">
        <w:rPr>
          <w:bCs/>
        </w:rPr>
        <w:t>report</w:t>
      </w:r>
      <w:r w:rsidR="00C026A6" w:rsidRPr="00EA59C0">
        <w:rPr>
          <w:bCs/>
        </w:rPr>
        <w:t xml:space="preserve"> </w:t>
      </w:r>
      <w:r w:rsidRPr="00EA59C0">
        <w:rPr>
          <w:bCs/>
        </w:rPr>
        <w:t>on</w:t>
      </w:r>
      <w:r w:rsidR="00C026A6" w:rsidRPr="00EA59C0">
        <w:rPr>
          <w:bCs/>
        </w:rPr>
        <w:t xml:space="preserve"> </w:t>
      </w:r>
      <w:r w:rsidRPr="00EA59C0">
        <w:rPr>
          <w:bCs/>
        </w:rPr>
        <w:t>behalf</w:t>
      </w:r>
      <w:r w:rsidR="00C026A6" w:rsidRPr="00EA59C0">
        <w:rPr>
          <w:bCs/>
        </w:rPr>
        <w:t xml:space="preserve"> </w:t>
      </w:r>
      <w:r w:rsidRPr="00EA59C0">
        <w:rPr>
          <w:bCs/>
        </w:rPr>
        <w:t>of</w:t>
      </w:r>
      <w:r w:rsidR="00C026A6" w:rsidRPr="00EA59C0">
        <w:rPr>
          <w:bCs/>
        </w:rPr>
        <w:t xml:space="preserve"> </w:t>
      </w:r>
      <w:r w:rsidRPr="00EA59C0">
        <w:rPr>
          <w:bCs/>
        </w:rPr>
        <w:t>the</w:t>
      </w:r>
      <w:r w:rsidR="00C026A6" w:rsidRPr="00EA59C0">
        <w:rPr>
          <w:bCs/>
        </w:rPr>
        <w:t xml:space="preserve"> </w:t>
      </w:r>
      <w:r w:rsidRPr="00EA59C0">
        <w:rPr>
          <w:bCs/>
        </w:rPr>
        <w:t>consortium.</w:t>
      </w:r>
      <w:r w:rsidR="00C026A6" w:rsidRPr="00EA59C0">
        <w:rPr>
          <w:bCs/>
        </w:rPr>
        <w:t xml:space="preserve">  </w:t>
      </w:r>
    </w:p>
    <w:p w:rsidR="000A6F73" w:rsidRPr="00EA59C0" w:rsidRDefault="000A6F73" w:rsidP="00FA0E98">
      <w:pPr>
        <w:ind w:left="1800"/>
        <w:rPr>
          <w:bCs/>
        </w:rPr>
      </w:pPr>
      <w:r w:rsidRPr="00EA59C0">
        <w:rPr>
          <w:bCs/>
        </w:rPr>
        <w:t>Every</w:t>
      </w:r>
      <w:r w:rsidR="00C026A6" w:rsidRPr="00EA59C0">
        <w:rPr>
          <w:bCs/>
        </w:rPr>
        <w:t xml:space="preserve"> </w:t>
      </w:r>
      <w:r w:rsidRPr="00EA59C0">
        <w:rPr>
          <w:bCs/>
        </w:rPr>
        <w:t>fourth</w:t>
      </w:r>
      <w:r w:rsidR="00C026A6" w:rsidRPr="00EA59C0">
        <w:rPr>
          <w:bCs/>
        </w:rPr>
        <w:t xml:space="preserve"> </w:t>
      </w:r>
      <w:r w:rsidRPr="00EA59C0">
        <w:rPr>
          <w:bCs/>
        </w:rPr>
        <w:t>quarterly</w:t>
      </w:r>
      <w:r w:rsidR="00C026A6" w:rsidRPr="00EA59C0">
        <w:rPr>
          <w:bCs/>
        </w:rPr>
        <w:t xml:space="preserve"> </w:t>
      </w:r>
      <w:r w:rsidRPr="00EA59C0">
        <w:rPr>
          <w:bCs/>
        </w:rPr>
        <w:t>progress</w:t>
      </w:r>
      <w:r w:rsidR="00C026A6" w:rsidRPr="00EA59C0">
        <w:rPr>
          <w:bCs/>
        </w:rPr>
        <w:t xml:space="preserve"> </w:t>
      </w:r>
      <w:r w:rsidRPr="00EA59C0">
        <w:rPr>
          <w:bCs/>
        </w:rPr>
        <w:t>report</w:t>
      </w:r>
      <w:r w:rsidR="00C026A6" w:rsidRPr="00EA59C0">
        <w:rPr>
          <w:bCs/>
        </w:rPr>
        <w:t xml:space="preserve"> </w:t>
      </w:r>
      <w:r w:rsidRPr="00EA59C0">
        <w:rPr>
          <w:bCs/>
        </w:rPr>
        <w:t>will</w:t>
      </w:r>
      <w:r w:rsidR="00C026A6" w:rsidRPr="00EA59C0">
        <w:rPr>
          <w:bCs/>
        </w:rPr>
        <w:t xml:space="preserve"> </w:t>
      </w:r>
      <w:r w:rsidRPr="00EA59C0">
        <w:rPr>
          <w:bCs/>
        </w:rPr>
        <w:t>also</w:t>
      </w:r>
      <w:r w:rsidR="00C026A6" w:rsidRPr="00EA59C0">
        <w:rPr>
          <w:bCs/>
        </w:rPr>
        <w:t xml:space="preserve"> </w:t>
      </w:r>
      <w:r w:rsidRPr="00EA59C0">
        <w:rPr>
          <w:bCs/>
        </w:rPr>
        <w:t>serve</w:t>
      </w:r>
      <w:r w:rsidR="00C026A6" w:rsidRPr="00EA59C0">
        <w:rPr>
          <w:bCs/>
        </w:rPr>
        <w:t xml:space="preserve"> </w:t>
      </w:r>
      <w:r w:rsidRPr="00EA59C0">
        <w:rPr>
          <w:bCs/>
        </w:rPr>
        <w:t>as</w:t>
      </w:r>
      <w:r w:rsidR="00C026A6" w:rsidRPr="00EA59C0">
        <w:rPr>
          <w:bCs/>
        </w:rPr>
        <w:t xml:space="preserve"> </w:t>
      </w:r>
      <w:r w:rsidRPr="00EA59C0">
        <w:rPr>
          <w:bCs/>
        </w:rPr>
        <w:t>an</w:t>
      </w:r>
      <w:r w:rsidR="00C026A6" w:rsidRPr="00EA59C0">
        <w:rPr>
          <w:bCs/>
        </w:rPr>
        <w:t xml:space="preserve"> </w:t>
      </w:r>
      <w:r w:rsidRPr="00EA59C0">
        <w:rPr>
          <w:bCs/>
        </w:rPr>
        <w:t>annual</w:t>
      </w:r>
      <w:r w:rsidR="00C026A6" w:rsidRPr="00EA59C0">
        <w:rPr>
          <w:bCs/>
        </w:rPr>
        <w:t xml:space="preserve"> </w:t>
      </w:r>
      <w:r w:rsidRPr="00EA59C0">
        <w:rPr>
          <w:bCs/>
        </w:rPr>
        <w:t>narrative</w:t>
      </w:r>
      <w:r w:rsidR="00C026A6" w:rsidRPr="00EA59C0">
        <w:rPr>
          <w:bCs/>
        </w:rPr>
        <w:t xml:space="preserve"> </w:t>
      </w:r>
      <w:r w:rsidRPr="00EA59C0">
        <w:rPr>
          <w:bCs/>
        </w:rPr>
        <w:t>summary.</w:t>
      </w:r>
      <w:r w:rsidR="00C026A6" w:rsidRPr="00EA59C0">
        <w:rPr>
          <w:bCs/>
        </w:rPr>
        <w:t xml:space="preserve">  </w:t>
      </w:r>
      <w:r w:rsidRPr="00EA59C0">
        <w:rPr>
          <w:bCs/>
        </w:rPr>
        <w:t>To</w:t>
      </w:r>
      <w:r w:rsidR="00C026A6" w:rsidRPr="00EA59C0">
        <w:rPr>
          <w:bCs/>
        </w:rPr>
        <w:t xml:space="preserve"> </w:t>
      </w:r>
      <w:r w:rsidRPr="00EA59C0">
        <w:rPr>
          <w:bCs/>
        </w:rPr>
        <w:t>meet</w:t>
      </w:r>
      <w:r w:rsidR="00C026A6" w:rsidRPr="00EA59C0">
        <w:rPr>
          <w:bCs/>
        </w:rPr>
        <w:t xml:space="preserve"> </w:t>
      </w:r>
      <w:r w:rsidRPr="00EA59C0">
        <w:rPr>
          <w:bCs/>
        </w:rPr>
        <w:t>the</w:t>
      </w:r>
      <w:r w:rsidR="00C026A6" w:rsidRPr="00EA59C0">
        <w:rPr>
          <w:bCs/>
        </w:rPr>
        <w:t xml:space="preserve"> </w:t>
      </w:r>
      <w:r w:rsidRPr="00EA59C0">
        <w:rPr>
          <w:bCs/>
        </w:rPr>
        <w:t>reporting</w:t>
      </w:r>
      <w:r w:rsidR="00C026A6" w:rsidRPr="00EA59C0">
        <w:rPr>
          <w:bCs/>
        </w:rPr>
        <w:t xml:space="preserve"> </w:t>
      </w:r>
      <w:r w:rsidRPr="00EA59C0">
        <w:rPr>
          <w:bCs/>
        </w:rPr>
        <w:t>requirements</w:t>
      </w:r>
      <w:r w:rsidR="00C026A6" w:rsidRPr="00EA59C0">
        <w:rPr>
          <w:bCs/>
        </w:rPr>
        <w:t xml:space="preserve"> </w:t>
      </w:r>
      <w:r w:rsidRPr="00EA59C0">
        <w:rPr>
          <w:bCs/>
        </w:rPr>
        <w:t>in</w:t>
      </w:r>
      <w:r w:rsidR="00C026A6" w:rsidRPr="00EA59C0">
        <w:rPr>
          <w:bCs/>
        </w:rPr>
        <w:t xml:space="preserve"> </w:t>
      </w:r>
      <w:r w:rsidRPr="00EA59C0">
        <w:rPr>
          <w:bCs/>
        </w:rPr>
        <w:t>29</w:t>
      </w:r>
      <w:r w:rsidR="00C026A6" w:rsidRPr="00EA59C0">
        <w:rPr>
          <w:bCs/>
        </w:rPr>
        <w:t xml:space="preserve"> </w:t>
      </w:r>
      <w:r w:rsidRPr="00EA59C0">
        <w:rPr>
          <w:bCs/>
        </w:rPr>
        <w:t>CFR</w:t>
      </w:r>
      <w:r w:rsidR="00C026A6" w:rsidRPr="00EA59C0">
        <w:rPr>
          <w:bCs/>
        </w:rPr>
        <w:t xml:space="preserve"> </w:t>
      </w:r>
      <w:r w:rsidRPr="00EA59C0">
        <w:rPr>
          <w:bCs/>
        </w:rPr>
        <w:t>95.51,</w:t>
      </w:r>
      <w:r w:rsidR="00C026A6" w:rsidRPr="00EA59C0">
        <w:rPr>
          <w:bCs/>
        </w:rPr>
        <w:t xml:space="preserve"> </w:t>
      </w:r>
      <w:r w:rsidRPr="00EA59C0">
        <w:rPr>
          <w:bCs/>
        </w:rPr>
        <w:t>in</w:t>
      </w:r>
      <w:r w:rsidR="00C026A6" w:rsidRPr="00EA59C0">
        <w:rPr>
          <w:bCs/>
        </w:rPr>
        <w:t xml:space="preserve"> </w:t>
      </w:r>
      <w:r w:rsidRPr="00EA59C0">
        <w:rPr>
          <w:bCs/>
        </w:rPr>
        <w:t>consortium</w:t>
      </w:r>
      <w:r w:rsidR="00C026A6" w:rsidRPr="00EA59C0">
        <w:rPr>
          <w:bCs/>
        </w:rPr>
        <w:t xml:space="preserve"> </w:t>
      </w:r>
      <w:r w:rsidRPr="00EA59C0">
        <w:rPr>
          <w:bCs/>
        </w:rPr>
        <w:t>grants,</w:t>
      </w:r>
      <w:r w:rsidR="00C026A6" w:rsidRPr="00EA59C0">
        <w:rPr>
          <w:bCs/>
        </w:rPr>
        <w:t xml:space="preserve"> </w:t>
      </w:r>
      <w:r w:rsidRPr="00EA59C0">
        <w:rPr>
          <w:bCs/>
        </w:rPr>
        <w:t>for</w:t>
      </w:r>
      <w:r w:rsidR="00C026A6" w:rsidRPr="00EA59C0">
        <w:rPr>
          <w:bCs/>
        </w:rPr>
        <w:t xml:space="preserve"> </w:t>
      </w:r>
      <w:r w:rsidRPr="00EA59C0">
        <w:rPr>
          <w:bCs/>
        </w:rPr>
        <w:t>the</w:t>
      </w:r>
      <w:r w:rsidR="00C026A6" w:rsidRPr="00EA59C0">
        <w:rPr>
          <w:bCs/>
        </w:rPr>
        <w:t xml:space="preserve"> </w:t>
      </w:r>
      <w:r w:rsidRPr="00EA59C0">
        <w:rPr>
          <w:bCs/>
        </w:rPr>
        <w:t>fourth</w:t>
      </w:r>
      <w:r w:rsidR="00C026A6" w:rsidRPr="00EA59C0">
        <w:rPr>
          <w:bCs/>
        </w:rPr>
        <w:t xml:space="preserve"> </w:t>
      </w:r>
      <w:r w:rsidRPr="00EA59C0">
        <w:rPr>
          <w:bCs/>
        </w:rPr>
        <w:t>quarterly</w:t>
      </w:r>
      <w:r w:rsidR="00C026A6" w:rsidRPr="00EA59C0">
        <w:rPr>
          <w:bCs/>
        </w:rPr>
        <w:t xml:space="preserve"> </w:t>
      </w:r>
      <w:r w:rsidRPr="00EA59C0">
        <w:rPr>
          <w:bCs/>
        </w:rPr>
        <w:t>progress</w:t>
      </w:r>
      <w:r w:rsidR="00C026A6" w:rsidRPr="00EA59C0">
        <w:rPr>
          <w:bCs/>
        </w:rPr>
        <w:t xml:space="preserve"> </w:t>
      </w:r>
      <w:r w:rsidRPr="00EA59C0">
        <w:rPr>
          <w:bCs/>
        </w:rPr>
        <w:t>report/annual</w:t>
      </w:r>
      <w:r w:rsidR="00C026A6" w:rsidRPr="00EA59C0">
        <w:rPr>
          <w:bCs/>
        </w:rPr>
        <w:t xml:space="preserve"> </w:t>
      </w:r>
      <w:r w:rsidRPr="00EA59C0">
        <w:rPr>
          <w:bCs/>
        </w:rPr>
        <w:t>narrative</w:t>
      </w:r>
      <w:r w:rsidR="00C026A6" w:rsidRPr="00EA59C0">
        <w:rPr>
          <w:bCs/>
        </w:rPr>
        <w:t xml:space="preserve"> </w:t>
      </w:r>
      <w:r w:rsidRPr="00EA59C0">
        <w:rPr>
          <w:bCs/>
        </w:rPr>
        <w:t>summary,</w:t>
      </w:r>
      <w:r w:rsidR="00C026A6" w:rsidRPr="00EA59C0">
        <w:rPr>
          <w:bCs/>
        </w:rPr>
        <w:t xml:space="preserve"> </w:t>
      </w:r>
      <w:r w:rsidRPr="00EA59C0">
        <w:rPr>
          <w:bCs/>
        </w:rPr>
        <w:t>Member</w:t>
      </w:r>
      <w:r w:rsidR="00C026A6" w:rsidRPr="00EA59C0">
        <w:rPr>
          <w:bCs/>
        </w:rPr>
        <w:t xml:space="preserve"> </w:t>
      </w:r>
      <w:r w:rsidRPr="00EA59C0">
        <w:rPr>
          <w:bCs/>
        </w:rPr>
        <w:t>Institutions</w:t>
      </w:r>
      <w:r w:rsidR="00C026A6" w:rsidRPr="00EA59C0">
        <w:rPr>
          <w:bCs/>
        </w:rPr>
        <w:t xml:space="preserve"> </w:t>
      </w:r>
      <w:r w:rsidRPr="00EA59C0">
        <w:rPr>
          <w:bCs/>
        </w:rPr>
        <w:t>will</w:t>
      </w:r>
      <w:r w:rsidR="00C026A6" w:rsidRPr="00EA59C0">
        <w:rPr>
          <w:bCs/>
        </w:rPr>
        <w:t xml:space="preserve"> </w:t>
      </w:r>
      <w:r w:rsidRPr="00EA59C0">
        <w:rPr>
          <w:bCs/>
        </w:rPr>
        <w:t>submit</w:t>
      </w:r>
      <w:r w:rsidR="00C026A6" w:rsidRPr="00EA59C0">
        <w:rPr>
          <w:bCs/>
        </w:rPr>
        <w:t xml:space="preserve"> </w:t>
      </w:r>
      <w:r w:rsidRPr="00EA59C0">
        <w:rPr>
          <w:bCs/>
        </w:rPr>
        <w:t>their</w:t>
      </w:r>
      <w:r w:rsidR="00C026A6" w:rsidRPr="00EA59C0">
        <w:rPr>
          <w:bCs/>
        </w:rPr>
        <w:t xml:space="preserve"> </w:t>
      </w:r>
      <w:r w:rsidRPr="00EA59C0">
        <w:rPr>
          <w:bCs/>
        </w:rPr>
        <w:t>individual</w:t>
      </w:r>
      <w:r w:rsidR="00C026A6" w:rsidRPr="00EA59C0">
        <w:rPr>
          <w:bCs/>
        </w:rPr>
        <w:t xml:space="preserve"> </w:t>
      </w:r>
      <w:r w:rsidRPr="00EA59C0">
        <w:rPr>
          <w:bCs/>
        </w:rPr>
        <w:t>narrative</w:t>
      </w:r>
      <w:r w:rsidR="00C026A6" w:rsidRPr="00EA59C0">
        <w:rPr>
          <w:bCs/>
        </w:rPr>
        <w:t xml:space="preserve"> </w:t>
      </w:r>
      <w:r w:rsidRPr="00EA59C0">
        <w:rPr>
          <w:bCs/>
        </w:rPr>
        <w:t>summary</w:t>
      </w:r>
      <w:r w:rsidR="00C026A6" w:rsidRPr="00EA59C0">
        <w:rPr>
          <w:bCs/>
        </w:rPr>
        <w:t xml:space="preserve"> </w:t>
      </w:r>
      <w:r w:rsidRPr="00EA59C0">
        <w:rPr>
          <w:bCs/>
        </w:rPr>
        <w:t>report</w:t>
      </w:r>
      <w:r w:rsidR="00C026A6" w:rsidRPr="00EA59C0">
        <w:rPr>
          <w:bCs/>
        </w:rPr>
        <w:t xml:space="preserve"> </w:t>
      </w:r>
      <w:r w:rsidRPr="00EA59C0">
        <w:rPr>
          <w:bCs/>
        </w:rPr>
        <w:t>to</w:t>
      </w:r>
      <w:r w:rsidR="00C026A6" w:rsidRPr="00EA59C0">
        <w:rPr>
          <w:bCs/>
        </w:rPr>
        <w:t xml:space="preserve"> </w:t>
      </w:r>
      <w:r w:rsidRPr="00EA59C0">
        <w:rPr>
          <w:bCs/>
        </w:rPr>
        <w:t>the</w:t>
      </w:r>
      <w:r w:rsidR="00C026A6" w:rsidRPr="00EA59C0">
        <w:rPr>
          <w:bCs/>
        </w:rPr>
        <w:t xml:space="preserve"> </w:t>
      </w:r>
      <w:r w:rsidRPr="00EA59C0">
        <w:rPr>
          <w:bCs/>
        </w:rPr>
        <w:t>Lead</w:t>
      </w:r>
      <w:r w:rsidR="00C026A6" w:rsidRPr="00EA59C0">
        <w:rPr>
          <w:bCs/>
        </w:rPr>
        <w:t xml:space="preserve"> </w:t>
      </w:r>
      <w:r w:rsidRPr="00EA59C0">
        <w:rPr>
          <w:bCs/>
        </w:rPr>
        <w:t>for</w:t>
      </w:r>
      <w:r w:rsidR="00C026A6" w:rsidRPr="00EA59C0">
        <w:rPr>
          <w:bCs/>
        </w:rPr>
        <w:t xml:space="preserve"> </w:t>
      </w:r>
      <w:r w:rsidRPr="00EA59C0">
        <w:rPr>
          <w:bCs/>
        </w:rPr>
        <w:t>compilation</w:t>
      </w:r>
      <w:r w:rsidR="00C026A6" w:rsidRPr="00EA59C0">
        <w:rPr>
          <w:bCs/>
        </w:rPr>
        <w:t xml:space="preserve"> </w:t>
      </w:r>
      <w:r w:rsidRPr="00EA59C0">
        <w:rPr>
          <w:bCs/>
        </w:rPr>
        <w:t>as</w:t>
      </w:r>
      <w:r w:rsidR="00C026A6" w:rsidRPr="00EA59C0">
        <w:rPr>
          <w:bCs/>
        </w:rPr>
        <w:t xml:space="preserve"> </w:t>
      </w:r>
      <w:r w:rsidRPr="00EA59C0">
        <w:rPr>
          <w:bCs/>
        </w:rPr>
        <w:t>well</w:t>
      </w:r>
      <w:r w:rsidR="00C026A6" w:rsidRPr="00EA59C0">
        <w:rPr>
          <w:bCs/>
        </w:rPr>
        <w:t xml:space="preserve"> </w:t>
      </w:r>
      <w:r w:rsidRPr="00EA59C0">
        <w:rPr>
          <w:bCs/>
        </w:rPr>
        <w:t>as</w:t>
      </w:r>
      <w:r w:rsidR="00C026A6" w:rsidRPr="00EA59C0">
        <w:rPr>
          <w:bCs/>
        </w:rPr>
        <w:t xml:space="preserve"> </w:t>
      </w:r>
      <w:r w:rsidRPr="00EA59C0">
        <w:rPr>
          <w:bCs/>
        </w:rPr>
        <w:t>to</w:t>
      </w:r>
      <w:r w:rsidR="00C026A6" w:rsidRPr="00EA59C0">
        <w:rPr>
          <w:bCs/>
        </w:rPr>
        <w:t xml:space="preserve"> </w:t>
      </w:r>
      <w:r w:rsidRPr="00EA59C0">
        <w:rPr>
          <w:bCs/>
        </w:rPr>
        <w:t>their</w:t>
      </w:r>
      <w:r w:rsidR="00C026A6" w:rsidRPr="00EA59C0">
        <w:rPr>
          <w:bCs/>
        </w:rPr>
        <w:t xml:space="preserve"> </w:t>
      </w:r>
      <w:r w:rsidRPr="00EA59C0">
        <w:rPr>
          <w:bCs/>
        </w:rPr>
        <w:t>Federal</w:t>
      </w:r>
      <w:r w:rsidR="00C026A6" w:rsidRPr="00EA59C0">
        <w:rPr>
          <w:bCs/>
        </w:rPr>
        <w:t xml:space="preserve"> </w:t>
      </w:r>
      <w:r w:rsidRPr="00EA59C0">
        <w:rPr>
          <w:bCs/>
        </w:rPr>
        <w:t>Project</w:t>
      </w:r>
      <w:r w:rsidR="00C026A6" w:rsidRPr="00EA59C0">
        <w:rPr>
          <w:bCs/>
        </w:rPr>
        <w:t xml:space="preserve"> </w:t>
      </w:r>
      <w:r w:rsidRPr="00EA59C0">
        <w:rPr>
          <w:bCs/>
        </w:rPr>
        <w:t>Officer.</w:t>
      </w:r>
      <w:r w:rsidR="00C026A6" w:rsidRPr="00EA59C0">
        <w:rPr>
          <w:bCs/>
        </w:rPr>
        <w:t xml:space="preserve">  </w:t>
      </w:r>
      <w:r w:rsidRPr="00EA59C0">
        <w:rPr>
          <w:bCs/>
        </w:rPr>
        <w:t>The</w:t>
      </w:r>
      <w:r w:rsidR="00C026A6" w:rsidRPr="00EA59C0">
        <w:rPr>
          <w:bCs/>
        </w:rPr>
        <w:t xml:space="preserve"> </w:t>
      </w:r>
      <w:r w:rsidRPr="00EA59C0">
        <w:rPr>
          <w:bCs/>
        </w:rPr>
        <w:t>last</w:t>
      </w:r>
      <w:r w:rsidR="00C026A6" w:rsidRPr="00EA59C0">
        <w:rPr>
          <w:bCs/>
        </w:rPr>
        <w:t xml:space="preserve"> </w:t>
      </w:r>
      <w:r w:rsidRPr="00EA59C0">
        <w:rPr>
          <w:bCs/>
        </w:rPr>
        <w:t>quarterly</w:t>
      </w:r>
      <w:r w:rsidR="00C026A6" w:rsidRPr="00EA59C0">
        <w:rPr>
          <w:bCs/>
        </w:rPr>
        <w:t xml:space="preserve"> </w:t>
      </w:r>
      <w:r w:rsidRPr="00EA59C0">
        <w:rPr>
          <w:bCs/>
        </w:rPr>
        <w:t>progress</w:t>
      </w:r>
      <w:r w:rsidR="00C026A6" w:rsidRPr="00EA59C0">
        <w:rPr>
          <w:bCs/>
        </w:rPr>
        <w:t xml:space="preserve"> </w:t>
      </w:r>
      <w:r w:rsidRPr="00EA59C0">
        <w:rPr>
          <w:bCs/>
        </w:rPr>
        <w:t>report</w:t>
      </w:r>
      <w:r w:rsidR="00C026A6" w:rsidRPr="00EA59C0">
        <w:rPr>
          <w:bCs/>
        </w:rPr>
        <w:t xml:space="preserve"> </w:t>
      </w:r>
      <w:r w:rsidRPr="00EA59C0">
        <w:rPr>
          <w:bCs/>
        </w:rPr>
        <w:t>that</w:t>
      </w:r>
      <w:r w:rsidR="00C026A6" w:rsidRPr="00EA59C0">
        <w:rPr>
          <w:bCs/>
        </w:rPr>
        <w:t xml:space="preserve"> </w:t>
      </w:r>
      <w:r w:rsidRPr="00EA59C0">
        <w:rPr>
          <w:bCs/>
        </w:rPr>
        <w:t>grantees</w:t>
      </w:r>
      <w:r w:rsidR="00C026A6" w:rsidRPr="00EA59C0">
        <w:rPr>
          <w:bCs/>
        </w:rPr>
        <w:t xml:space="preserve"> </w:t>
      </w:r>
      <w:r w:rsidRPr="00EA59C0">
        <w:rPr>
          <w:bCs/>
        </w:rPr>
        <w:t>submit</w:t>
      </w:r>
      <w:r w:rsidR="00C026A6" w:rsidRPr="00EA59C0">
        <w:rPr>
          <w:bCs/>
        </w:rPr>
        <w:t xml:space="preserve"> </w:t>
      </w:r>
      <w:r w:rsidRPr="00EA59C0">
        <w:rPr>
          <w:bCs/>
        </w:rPr>
        <w:t>will</w:t>
      </w:r>
      <w:r w:rsidR="00C026A6" w:rsidRPr="00EA59C0">
        <w:rPr>
          <w:bCs/>
        </w:rPr>
        <w:t xml:space="preserve"> </w:t>
      </w:r>
      <w:r w:rsidRPr="00EA59C0">
        <w:rPr>
          <w:bCs/>
        </w:rPr>
        <w:t>serve</w:t>
      </w:r>
      <w:r w:rsidR="00C026A6" w:rsidRPr="00EA59C0">
        <w:rPr>
          <w:bCs/>
        </w:rPr>
        <w:t xml:space="preserve"> </w:t>
      </w:r>
      <w:r w:rsidRPr="00EA59C0">
        <w:rPr>
          <w:bCs/>
        </w:rPr>
        <w:t>as</w:t>
      </w:r>
      <w:r w:rsidR="00C026A6" w:rsidRPr="00EA59C0">
        <w:rPr>
          <w:bCs/>
        </w:rPr>
        <w:t xml:space="preserve"> </w:t>
      </w:r>
      <w:r w:rsidRPr="00EA59C0">
        <w:rPr>
          <w:bCs/>
        </w:rPr>
        <w:t>the</w:t>
      </w:r>
      <w:r w:rsidR="00C026A6" w:rsidRPr="00EA59C0">
        <w:rPr>
          <w:bCs/>
        </w:rPr>
        <w:t xml:space="preserve"> </w:t>
      </w:r>
      <w:r w:rsidRPr="00EA59C0">
        <w:rPr>
          <w:bCs/>
        </w:rPr>
        <w:t>grant’s</w:t>
      </w:r>
      <w:r w:rsidR="00C026A6" w:rsidRPr="00EA59C0">
        <w:rPr>
          <w:bCs/>
        </w:rPr>
        <w:t xml:space="preserve"> </w:t>
      </w:r>
      <w:r w:rsidRPr="00EA59C0">
        <w:rPr>
          <w:bCs/>
        </w:rPr>
        <w:t>Final</w:t>
      </w:r>
      <w:r w:rsidR="00C026A6" w:rsidRPr="00EA59C0">
        <w:rPr>
          <w:bCs/>
        </w:rPr>
        <w:t xml:space="preserve"> </w:t>
      </w:r>
      <w:r w:rsidRPr="00EA59C0">
        <w:rPr>
          <w:bCs/>
        </w:rPr>
        <w:t>Performance</w:t>
      </w:r>
      <w:r w:rsidR="00C026A6" w:rsidRPr="00EA59C0">
        <w:rPr>
          <w:bCs/>
        </w:rPr>
        <w:t xml:space="preserve"> </w:t>
      </w:r>
      <w:r w:rsidRPr="00EA59C0">
        <w:rPr>
          <w:bCs/>
        </w:rPr>
        <w:t>Report.</w:t>
      </w:r>
      <w:r w:rsidR="00C026A6" w:rsidRPr="00EA59C0">
        <w:rPr>
          <w:bCs/>
        </w:rPr>
        <w:t xml:space="preserve">  </w:t>
      </w:r>
      <w:r w:rsidRPr="00EA59C0">
        <w:rPr>
          <w:bCs/>
        </w:rPr>
        <w:t>This</w:t>
      </w:r>
      <w:r w:rsidR="00C026A6" w:rsidRPr="00EA59C0">
        <w:rPr>
          <w:bCs/>
        </w:rPr>
        <w:t xml:space="preserve"> </w:t>
      </w:r>
      <w:r w:rsidRPr="00EA59C0">
        <w:rPr>
          <w:bCs/>
        </w:rPr>
        <w:t>report</w:t>
      </w:r>
      <w:r w:rsidR="00C026A6" w:rsidRPr="00EA59C0">
        <w:rPr>
          <w:bCs/>
        </w:rPr>
        <w:t xml:space="preserve"> </w:t>
      </w:r>
      <w:r w:rsidRPr="00EA59C0">
        <w:rPr>
          <w:bCs/>
        </w:rPr>
        <w:t>must</w:t>
      </w:r>
      <w:r w:rsidR="00C026A6" w:rsidRPr="00EA59C0">
        <w:rPr>
          <w:bCs/>
        </w:rPr>
        <w:t xml:space="preserve"> </w:t>
      </w:r>
      <w:r w:rsidRPr="00EA59C0">
        <w:rPr>
          <w:bCs/>
        </w:rPr>
        <w:t>provide</w:t>
      </w:r>
      <w:r w:rsidR="00C026A6" w:rsidRPr="00EA59C0">
        <w:rPr>
          <w:bCs/>
        </w:rPr>
        <w:t xml:space="preserve"> </w:t>
      </w:r>
      <w:r w:rsidRPr="00EA59C0">
        <w:rPr>
          <w:bCs/>
        </w:rPr>
        <w:t>both</w:t>
      </w:r>
      <w:r w:rsidR="00C026A6" w:rsidRPr="00EA59C0">
        <w:rPr>
          <w:bCs/>
        </w:rPr>
        <w:t xml:space="preserve"> </w:t>
      </w:r>
      <w:r w:rsidRPr="00EA59C0">
        <w:rPr>
          <w:bCs/>
        </w:rPr>
        <w:t>quarterly</w:t>
      </w:r>
      <w:r w:rsidR="00C026A6" w:rsidRPr="00EA59C0">
        <w:rPr>
          <w:bCs/>
        </w:rPr>
        <w:t xml:space="preserve"> </w:t>
      </w:r>
      <w:r w:rsidRPr="00EA59C0">
        <w:rPr>
          <w:bCs/>
        </w:rPr>
        <w:t>and</w:t>
      </w:r>
      <w:r w:rsidR="00C026A6" w:rsidRPr="00EA59C0">
        <w:rPr>
          <w:bCs/>
        </w:rPr>
        <w:t xml:space="preserve"> </w:t>
      </w:r>
      <w:r w:rsidRPr="00EA59C0">
        <w:rPr>
          <w:bCs/>
        </w:rPr>
        <w:t>cumulative</w:t>
      </w:r>
      <w:r w:rsidR="00C026A6" w:rsidRPr="00EA59C0">
        <w:rPr>
          <w:bCs/>
        </w:rPr>
        <w:t xml:space="preserve"> </w:t>
      </w:r>
      <w:r w:rsidRPr="00EA59C0">
        <w:rPr>
          <w:bCs/>
        </w:rPr>
        <w:t>information</w:t>
      </w:r>
      <w:r w:rsidR="00C026A6" w:rsidRPr="00EA59C0">
        <w:rPr>
          <w:bCs/>
        </w:rPr>
        <w:t xml:space="preserve"> </w:t>
      </w:r>
      <w:r w:rsidRPr="00EA59C0">
        <w:rPr>
          <w:bCs/>
        </w:rPr>
        <w:t>on</w:t>
      </w:r>
      <w:r w:rsidR="00C026A6" w:rsidRPr="00EA59C0">
        <w:rPr>
          <w:bCs/>
        </w:rPr>
        <w:t xml:space="preserve"> </w:t>
      </w:r>
      <w:r w:rsidRPr="00EA59C0">
        <w:rPr>
          <w:bCs/>
        </w:rPr>
        <w:t>the</w:t>
      </w:r>
      <w:r w:rsidR="00C026A6" w:rsidRPr="00EA59C0">
        <w:rPr>
          <w:bCs/>
        </w:rPr>
        <w:t xml:space="preserve"> </w:t>
      </w:r>
      <w:r w:rsidRPr="00EA59C0">
        <w:rPr>
          <w:bCs/>
        </w:rPr>
        <w:t>grant</w:t>
      </w:r>
      <w:r w:rsidR="00C026A6" w:rsidRPr="00EA59C0">
        <w:rPr>
          <w:bCs/>
        </w:rPr>
        <w:t xml:space="preserve"> </w:t>
      </w:r>
      <w:r w:rsidRPr="00EA59C0">
        <w:rPr>
          <w:bCs/>
        </w:rPr>
        <w:t>activities.</w:t>
      </w:r>
      <w:r w:rsidR="00C026A6" w:rsidRPr="00EA59C0">
        <w:rPr>
          <w:bCs/>
        </w:rPr>
        <w:t xml:space="preserve">  </w:t>
      </w:r>
      <w:r w:rsidRPr="00EA59C0">
        <w:rPr>
          <w:bCs/>
        </w:rPr>
        <w:t>It</w:t>
      </w:r>
      <w:r w:rsidR="00C026A6" w:rsidRPr="00EA59C0">
        <w:rPr>
          <w:bCs/>
        </w:rPr>
        <w:t xml:space="preserve"> </w:t>
      </w:r>
      <w:r w:rsidRPr="00EA59C0">
        <w:rPr>
          <w:bCs/>
        </w:rPr>
        <w:t>must</w:t>
      </w:r>
      <w:r w:rsidR="00C026A6" w:rsidRPr="00EA59C0">
        <w:rPr>
          <w:bCs/>
        </w:rPr>
        <w:t xml:space="preserve"> </w:t>
      </w:r>
      <w:r w:rsidRPr="00EA59C0">
        <w:rPr>
          <w:bCs/>
        </w:rPr>
        <w:t>summarize</w:t>
      </w:r>
      <w:r w:rsidR="00C026A6" w:rsidRPr="00EA59C0">
        <w:rPr>
          <w:bCs/>
        </w:rPr>
        <w:t xml:space="preserve"> </w:t>
      </w:r>
      <w:r w:rsidRPr="00EA59C0">
        <w:rPr>
          <w:bCs/>
        </w:rPr>
        <w:t>project</w:t>
      </w:r>
      <w:r w:rsidR="00C026A6" w:rsidRPr="00EA59C0">
        <w:rPr>
          <w:bCs/>
        </w:rPr>
        <w:t xml:space="preserve"> </w:t>
      </w:r>
      <w:r w:rsidRPr="00EA59C0">
        <w:rPr>
          <w:bCs/>
        </w:rPr>
        <w:t>activities,</w:t>
      </w:r>
      <w:r w:rsidR="00C026A6" w:rsidRPr="00EA59C0">
        <w:rPr>
          <w:bCs/>
        </w:rPr>
        <w:t xml:space="preserve"> </w:t>
      </w:r>
      <w:r w:rsidRPr="00EA59C0">
        <w:rPr>
          <w:bCs/>
        </w:rPr>
        <w:t>employment</w:t>
      </w:r>
      <w:r w:rsidR="00C026A6" w:rsidRPr="00EA59C0">
        <w:rPr>
          <w:bCs/>
        </w:rPr>
        <w:t xml:space="preserve"> </w:t>
      </w:r>
      <w:r w:rsidRPr="00EA59C0">
        <w:rPr>
          <w:bCs/>
        </w:rPr>
        <w:t>outcomes</w:t>
      </w:r>
      <w:r w:rsidR="00C026A6" w:rsidRPr="00EA59C0">
        <w:rPr>
          <w:bCs/>
        </w:rPr>
        <w:t xml:space="preserve"> </w:t>
      </w:r>
      <w:r w:rsidRPr="00EA59C0">
        <w:rPr>
          <w:bCs/>
        </w:rPr>
        <w:t>and</w:t>
      </w:r>
      <w:r w:rsidR="00C026A6" w:rsidRPr="00EA59C0">
        <w:rPr>
          <w:bCs/>
        </w:rPr>
        <w:t xml:space="preserve"> </w:t>
      </w:r>
      <w:r w:rsidRPr="00EA59C0">
        <w:rPr>
          <w:bCs/>
        </w:rPr>
        <w:t>other</w:t>
      </w:r>
      <w:r w:rsidR="00C026A6" w:rsidRPr="00EA59C0">
        <w:rPr>
          <w:bCs/>
        </w:rPr>
        <w:t xml:space="preserve"> </w:t>
      </w:r>
      <w:r w:rsidRPr="00EA59C0">
        <w:rPr>
          <w:bCs/>
        </w:rPr>
        <w:t>deliverables,</w:t>
      </w:r>
      <w:r w:rsidR="00C026A6" w:rsidRPr="00EA59C0">
        <w:rPr>
          <w:bCs/>
        </w:rPr>
        <w:t xml:space="preserve"> </w:t>
      </w:r>
      <w:r w:rsidRPr="00EA59C0">
        <w:rPr>
          <w:bCs/>
        </w:rPr>
        <w:t>and</w:t>
      </w:r>
      <w:r w:rsidR="00C026A6" w:rsidRPr="00EA59C0">
        <w:rPr>
          <w:bCs/>
        </w:rPr>
        <w:t xml:space="preserve"> </w:t>
      </w:r>
      <w:r w:rsidRPr="00EA59C0">
        <w:rPr>
          <w:bCs/>
        </w:rPr>
        <w:t>related</w:t>
      </w:r>
      <w:r w:rsidR="00C026A6" w:rsidRPr="00EA59C0">
        <w:rPr>
          <w:bCs/>
        </w:rPr>
        <w:t xml:space="preserve"> </w:t>
      </w:r>
      <w:r w:rsidRPr="00EA59C0">
        <w:rPr>
          <w:bCs/>
        </w:rPr>
        <w:t>results</w:t>
      </w:r>
      <w:r w:rsidR="00C026A6" w:rsidRPr="00EA59C0">
        <w:rPr>
          <w:bCs/>
        </w:rPr>
        <w:t xml:space="preserve"> </w:t>
      </w:r>
      <w:r w:rsidRPr="00EA59C0">
        <w:rPr>
          <w:bCs/>
        </w:rPr>
        <w:t>of</w:t>
      </w:r>
      <w:r w:rsidR="00C026A6" w:rsidRPr="00EA59C0">
        <w:rPr>
          <w:bCs/>
        </w:rPr>
        <w:t xml:space="preserve"> </w:t>
      </w:r>
      <w:r w:rsidRPr="00EA59C0">
        <w:rPr>
          <w:bCs/>
        </w:rPr>
        <w:t>the</w:t>
      </w:r>
      <w:r w:rsidR="00C026A6" w:rsidRPr="00EA59C0">
        <w:rPr>
          <w:bCs/>
        </w:rPr>
        <w:t xml:space="preserve"> </w:t>
      </w:r>
      <w:r w:rsidRPr="00EA59C0">
        <w:rPr>
          <w:bCs/>
        </w:rPr>
        <w:t>project,</w:t>
      </w:r>
      <w:r w:rsidR="00C026A6" w:rsidRPr="00EA59C0">
        <w:rPr>
          <w:bCs/>
        </w:rPr>
        <w:t xml:space="preserve"> </w:t>
      </w:r>
      <w:r w:rsidRPr="00EA59C0">
        <w:rPr>
          <w:bCs/>
        </w:rPr>
        <w:t>and</w:t>
      </w:r>
      <w:r w:rsidR="00C026A6" w:rsidRPr="00EA59C0">
        <w:rPr>
          <w:bCs/>
        </w:rPr>
        <w:t xml:space="preserve"> </w:t>
      </w:r>
      <w:r w:rsidRPr="00EA59C0">
        <w:rPr>
          <w:bCs/>
        </w:rPr>
        <w:t>must</w:t>
      </w:r>
      <w:r w:rsidR="00C026A6" w:rsidRPr="00EA59C0">
        <w:rPr>
          <w:bCs/>
        </w:rPr>
        <w:t xml:space="preserve"> </w:t>
      </w:r>
      <w:r w:rsidRPr="00EA59C0">
        <w:rPr>
          <w:bCs/>
        </w:rPr>
        <w:t>thoroughly</w:t>
      </w:r>
      <w:r w:rsidR="00C026A6" w:rsidRPr="00EA59C0">
        <w:rPr>
          <w:bCs/>
        </w:rPr>
        <w:t xml:space="preserve"> </w:t>
      </w:r>
      <w:r w:rsidRPr="00EA59C0">
        <w:rPr>
          <w:bCs/>
        </w:rPr>
        <w:t>document</w:t>
      </w:r>
      <w:r w:rsidR="00C026A6" w:rsidRPr="00EA59C0">
        <w:rPr>
          <w:bCs/>
        </w:rPr>
        <w:t xml:space="preserve"> </w:t>
      </w:r>
      <w:r w:rsidRPr="00EA59C0">
        <w:rPr>
          <w:bCs/>
        </w:rPr>
        <w:t>the</w:t>
      </w:r>
      <w:r w:rsidR="00C026A6" w:rsidRPr="00EA59C0">
        <w:rPr>
          <w:bCs/>
        </w:rPr>
        <w:t xml:space="preserve"> </w:t>
      </w:r>
      <w:r w:rsidRPr="00EA59C0">
        <w:rPr>
          <w:bCs/>
        </w:rPr>
        <w:t>training</w:t>
      </w:r>
      <w:r w:rsidR="00C026A6" w:rsidRPr="00EA59C0">
        <w:rPr>
          <w:bCs/>
        </w:rPr>
        <w:t xml:space="preserve"> </w:t>
      </w:r>
      <w:r w:rsidRPr="00EA59C0">
        <w:rPr>
          <w:bCs/>
        </w:rPr>
        <w:t>or</w:t>
      </w:r>
      <w:r w:rsidR="00C026A6" w:rsidRPr="00EA59C0">
        <w:rPr>
          <w:bCs/>
        </w:rPr>
        <w:t xml:space="preserve"> </w:t>
      </w:r>
      <w:r w:rsidRPr="00EA59C0">
        <w:rPr>
          <w:bCs/>
        </w:rPr>
        <w:t>labor</w:t>
      </w:r>
      <w:r w:rsidR="00C026A6" w:rsidRPr="00EA59C0">
        <w:rPr>
          <w:bCs/>
        </w:rPr>
        <w:t xml:space="preserve"> </w:t>
      </w:r>
      <w:r w:rsidRPr="00EA59C0">
        <w:rPr>
          <w:bCs/>
        </w:rPr>
        <w:t>market</w:t>
      </w:r>
      <w:r w:rsidR="00C026A6" w:rsidRPr="00EA59C0">
        <w:rPr>
          <w:bCs/>
        </w:rPr>
        <w:t xml:space="preserve"> </w:t>
      </w:r>
      <w:r w:rsidRPr="00EA59C0">
        <w:rPr>
          <w:bCs/>
        </w:rPr>
        <w:t>information</w:t>
      </w:r>
      <w:r w:rsidR="00C026A6" w:rsidRPr="00EA59C0">
        <w:rPr>
          <w:bCs/>
        </w:rPr>
        <w:t xml:space="preserve"> </w:t>
      </w:r>
      <w:r w:rsidRPr="00EA59C0">
        <w:rPr>
          <w:bCs/>
        </w:rPr>
        <w:t>approaches</w:t>
      </w:r>
      <w:r w:rsidR="00C026A6" w:rsidRPr="00EA59C0">
        <w:rPr>
          <w:bCs/>
        </w:rPr>
        <w:t xml:space="preserve"> </w:t>
      </w:r>
      <w:r w:rsidRPr="00EA59C0">
        <w:rPr>
          <w:bCs/>
        </w:rPr>
        <w:t>used</w:t>
      </w:r>
      <w:r w:rsidR="00C026A6" w:rsidRPr="00EA59C0">
        <w:rPr>
          <w:bCs/>
        </w:rPr>
        <w:t xml:space="preserve"> </w:t>
      </w:r>
      <w:r w:rsidRPr="00EA59C0">
        <w:rPr>
          <w:bCs/>
        </w:rPr>
        <w:t>by</w:t>
      </w:r>
      <w:r w:rsidR="00C026A6" w:rsidRPr="00EA59C0">
        <w:rPr>
          <w:bCs/>
        </w:rPr>
        <w:t xml:space="preserve"> </w:t>
      </w:r>
      <w:r w:rsidRPr="00EA59C0">
        <w:rPr>
          <w:bCs/>
        </w:rPr>
        <w:t>the</w:t>
      </w:r>
      <w:r w:rsidR="00C026A6" w:rsidRPr="00EA59C0">
        <w:rPr>
          <w:bCs/>
        </w:rPr>
        <w:t xml:space="preserve"> </w:t>
      </w:r>
      <w:r w:rsidRPr="00EA59C0">
        <w:rPr>
          <w:bCs/>
        </w:rPr>
        <w:t>grantee.</w:t>
      </w:r>
      <w:r w:rsidR="00C026A6" w:rsidRPr="00EA59C0">
        <w:rPr>
          <w:bCs/>
        </w:rPr>
        <w:t xml:space="preserve">  </w:t>
      </w:r>
      <w:r w:rsidRPr="00EA59C0">
        <w:rPr>
          <w:bCs/>
        </w:rPr>
        <w:t>DOL</w:t>
      </w:r>
      <w:r w:rsidR="00C026A6" w:rsidRPr="00EA59C0">
        <w:rPr>
          <w:bCs/>
        </w:rPr>
        <w:t xml:space="preserve"> </w:t>
      </w:r>
      <w:r w:rsidRPr="00EA59C0">
        <w:rPr>
          <w:bCs/>
        </w:rPr>
        <w:t>will</w:t>
      </w:r>
      <w:r w:rsidR="00C026A6" w:rsidRPr="00EA59C0">
        <w:rPr>
          <w:bCs/>
        </w:rPr>
        <w:t xml:space="preserve"> </w:t>
      </w:r>
      <w:r w:rsidRPr="00EA59C0">
        <w:rPr>
          <w:bCs/>
        </w:rPr>
        <w:t>provide</w:t>
      </w:r>
      <w:r w:rsidR="00C026A6" w:rsidRPr="00EA59C0">
        <w:rPr>
          <w:bCs/>
        </w:rPr>
        <w:t xml:space="preserve"> </w:t>
      </w:r>
      <w:r w:rsidRPr="00EA59C0">
        <w:rPr>
          <w:bCs/>
        </w:rPr>
        <w:t>grantees</w:t>
      </w:r>
      <w:r w:rsidR="00C026A6" w:rsidRPr="00EA59C0">
        <w:rPr>
          <w:bCs/>
        </w:rPr>
        <w:t xml:space="preserve"> </w:t>
      </w:r>
      <w:r w:rsidRPr="00EA59C0">
        <w:rPr>
          <w:bCs/>
        </w:rPr>
        <w:t>with</w:t>
      </w:r>
      <w:r w:rsidR="00C026A6" w:rsidRPr="00EA59C0">
        <w:rPr>
          <w:bCs/>
        </w:rPr>
        <w:t xml:space="preserve"> </w:t>
      </w:r>
      <w:r w:rsidRPr="00EA59C0">
        <w:rPr>
          <w:bCs/>
        </w:rPr>
        <w:t>formal</w:t>
      </w:r>
      <w:r w:rsidR="00C026A6" w:rsidRPr="00EA59C0">
        <w:rPr>
          <w:bCs/>
        </w:rPr>
        <w:t xml:space="preserve"> </w:t>
      </w:r>
      <w:r w:rsidRPr="00EA59C0">
        <w:rPr>
          <w:bCs/>
        </w:rPr>
        <w:t>guidance</w:t>
      </w:r>
      <w:r w:rsidR="00C026A6" w:rsidRPr="00EA59C0">
        <w:rPr>
          <w:bCs/>
        </w:rPr>
        <w:t xml:space="preserve"> </w:t>
      </w:r>
      <w:r w:rsidRPr="00EA59C0">
        <w:rPr>
          <w:bCs/>
        </w:rPr>
        <w:t>about</w:t>
      </w:r>
      <w:r w:rsidR="00C026A6" w:rsidRPr="00EA59C0">
        <w:rPr>
          <w:bCs/>
        </w:rPr>
        <w:t xml:space="preserve"> </w:t>
      </w:r>
      <w:r w:rsidRPr="00EA59C0">
        <w:rPr>
          <w:bCs/>
        </w:rPr>
        <w:t>the</w:t>
      </w:r>
      <w:r w:rsidR="00C026A6" w:rsidRPr="00EA59C0">
        <w:rPr>
          <w:bCs/>
        </w:rPr>
        <w:t xml:space="preserve"> </w:t>
      </w:r>
      <w:r w:rsidRPr="00EA59C0">
        <w:rPr>
          <w:bCs/>
        </w:rPr>
        <w:t>data</w:t>
      </w:r>
      <w:r w:rsidR="00C026A6" w:rsidRPr="00EA59C0">
        <w:rPr>
          <w:bCs/>
        </w:rPr>
        <w:t xml:space="preserve"> </w:t>
      </w:r>
      <w:r w:rsidRPr="00EA59C0">
        <w:rPr>
          <w:bCs/>
        </w:rPr>
        <w:t>and</w:t>
      </w:r>
      <w:r w:rsidR="00C026A6" w:rsidRPr="00EA59C0">
        <w:rPr>
          <w:bCs/>
        </w:rPr>
        <w:t xml:space="preserve"> </w:t>
      </w:r>
      <w:r w:rsidRPr="00EA59C0">
        <w:rPr>
          <w:bCs/>
        </w:rPr>
        <w:t>other</w:t>
      </w:r>
      <w:r w:rsidR="00C026A6" w:rsidRPr="00EA59C0">
        <w:rPr>
          <w:bCs/>
        </w:rPr>
        <w:t xml:space="preserve"> </w:t>
      </w:r>
      <w:r w:rsidRPr="00EA59C0">
        <w:rPr>
          <w:bCs/>
        </w:rPr>
        <w:t>information</w:t>
      </w:r>
      <w:r w:rsidR="00C026A6" w:rsidRPr="00EA59C0">
        <w:rPr>
          <w:bCs/>
        </w:rPr>
        <w:t xml:space="preserve"> </w:t>
      </w:r>
      <w:r w:rsidRPr="00EA59C0">
        <w:rPr>
          <w:bCs/>
        </w:rPr>
        <w:t>that</w:t>
      </w:r>
      <w:r w:rsidR="00C026A6" w:rsidRPr="00EA59C0">
        <w:rPr>
          <w:bCs/>
        </w:rPr>
        <w:t xml:space="preserve"> </w:t>
      </w:r>
      <w:r w:rsidRPr="00EA59C0">
        <w:rPr>
          <w:bCs/>
        </w:rPr>
        <w:t>is</w:t>
      </w:r>
      <w:r w:rsidR="00C026A6" w:rsidRPr="00EA59C0">
        <w:rPr>
          <w:bCs/>
        </w:rPr>
        <w:t xml:space="preserve"> </w:t>
      </w:r>
      <w:r w:rsidRPr="00EA59C0">
        <w:rPr>
          <w:bCs/>
        </w:rPr>
        <w:t>required</w:t>
      </w:r>
      <w:r w:rsidR="00C026A6" w:rsidRPr="00EA59C0">
        <w:rPr>
          <w:bCs/>
        </w:rPr>
        <w:t xml:space="preserve"> </w:t>
      </w:r>
      <w:r w:rsidRPr="00EA59C0">
        <w:rPr>
          <w:bCs/>
        </w:rPr>
        <w:t>to</w:t>
      </w:r>
      <w:r w:rsidR="00C026A6" w:rsidRPr="00EA59C0">
        <w:rPr>
          <w:bCs/>
        </w:rPr>
        <w:t xml:space="preserve"> </w:t>
      </w:r>
      <w:r w:rsidRPr="00EA59C0">
        <w:rPr>
          <w:bCs/>
        </w:rPr>
        <w:t>be</w:t>
      </w:r>
      <w:r w:rsidR="00C026A6" w:rsidRPr="00EA59C0">
        <w:rPr>
          <w:bCs/>
        </w:rPr>
        <w:t xml:space="preserve"> </w:t>
      </w:r>
      <w:r w:rsidRPr="00EA59C0">
        <w:rPr>
          <w:bCs/>
        </w:rPr>
        <w:t>collected</w:t>
      </w:r>
      <w:r w:rsidR="00C026A6" w:rsidRPr="00EA59C0">
        <w:rPr>
          <w:bCs/>
        </w:rPr>
        <w:t xml:space="preserve"> </w:t>
      </w:r>
      <w:r w:rsidRPr="00EA59C0">
        <w:rPr>
          <w:bCs/>
        </w:rPr>
        <w:t>and</w:t>
      </w:r>
      <w:r w:rsidR="00C026A6" w:rsidRPr="00EA59C0">
        <w:rPr>
          <w:bCs/>
        </w:rPr>
        <w:t xml:space="preserve"> </w:t>
      </w:r>
      <w:r w:rsidRPr="00EA59C0">
        <w:rPr>
          <w:bCs/>
        </w:rPr>
        <w:t>reported</w:t>
      </w:r>
      <w:r w:rsidR="00C026A6" w:rsidRPr="00EA59C0">
        <w:rPr>
          <w:bCs/>
        </w:rPr>
        <w:t xml:space="preserve"> </w:t>
      </w:r>
      <w:r w:rsidRPr="00EA59C0">
        <w:rPr>
          <w:bCs/>
        </w:rPr>
        <w:t>on</w:t>
      </w:r>
      <w:r w:rsidR="00C026A6" w:rsidRPr="00EA59C0">
        <w:rPr>
          <w:bCs/>
        </w:rPr>
        <w:t xml:space="preserve"> </w:t>
      </w:r>
      <w:r w:rsidRPr="00EA59C0">
        <w:rPr>
          <w:bCs/>
        </w:rPr>
        <w:t>either</w:t>
      </w:r>
      <w:r w:rsidR="00C026A6" w:rsidRPr="00EA59C0">
        <w:rPr>
          <w:bCs/>
        </w:rPr>
        <w:t xml:space="preserve"> </w:t>
      </w:r>
      <w:r w:rsidRPr="00EA59C0">
        <w:rPr>
          <w:bCs/>
        </w:rPr>
        <w:t>a</w:t>
      </w:r>
      <w:r w:rsidR="00C026A6" w:rsidRPr="00EA59C0">
        <w:rPr>
          <w:bCs/>
        </w:rPr>
        <w:t xml:space="preserve"> </w:t>
      </w:r>
      <w:r w:rsidRPr="00EA59C0">
        <w:rPr>
          <w:bCs/>
        </w:rPr>
        <w:t>regular</w:t>
      </w:r>
      <w:r w:rsidR="00C026A6" w:rsidRPr="00EA59C0">
        <w:rPr>
          <w:bCs/>
        </w:rPr>
        <w:t xml:space="preserve"> </w:t>
      </w:r>
      <w:r w:rsidRPr="00EA59C0">
        <w:rPr>
          <w:bCs/>
        </w:rPr>
        <w:t>basis</w:t>
      </w:r>
      <w:r w:rsidR="00C026A6" w:rsidRPr="00EA59C0">
        <w:rPr>
          <w:bCs/>
        </w:rPr>
        <w:t xml:space="preserve"> </w:t>
      </w:r>
      <w:r w:rsidRPr="00EA59C0">
        <w:rPr>
          <w:bCs/>
        </w:rPr>
        <w:t>or</w:t>
      </w:r>
      <w:r w:rsidR="00C026A6" w:rsidRPr="00EA59C0">
        <w:rPr>
          <w:bCs/>
        </w:rPr>
        <w:t xml:space="preserve"> </w:t>
      </w:r>
      <w:r w:rsidRPr="00EA59C0">
        <w:rPr>
          <w:bCs/>
        </w:rPr>
        <w:t>special</w:t>
      </w:r>
      <w:r w:rsidR="00C026A6" w:rsidRPr="00EA59C0">
        <w:rPr>
          <w:bCs/>
        </w:rPr>
        <w:t xml:space="preserve"> </w:t>
      </w:r>
      <w:r w:rsidRPr="00EA59C0">
        <w:rPr>
          <w:bCs/>
        </w:rPr>
        <w:t>request</w:t>
      </w:r>
      <w:r w:rsidR="00C026A6" w:rsidRPr="00EA59C0">
        <w:rPr>
          <w:bCs/>
        </w:rPr>
        <w:t xml:space="preserve"> </w:t>
      </w:r>
      <w:r w:rsidRPr="00EA59C0">
        <w:rPr>
          <w:bCs/>
        </w:rPr>
        <w:t>basis.</w:t>
      </w:r>
      <w:r w:rsidR="00C026A6" w:rsidRPr="00EA59C0">
        <w:rPr>
          <w:bCs/>
        </w:rPr>
        <w:t xml:space="preserve">  </w:t>
      </w:r>
      <w:r w:rsidRPr="00EA59C0">
        <w:rPr>
          <w:bCs/>
        </w:rPr>
        <w:t>Additionally,</w:t>
      </w:r>
      <w:r w:rsidR="00C026A6" w:rsidRPr="00EA59C0">
        <w:rPr>
          <w:bCs/>
        </w:rPr>
        <w:t xml:space="preserve"> </w:t>
      </w:r>
      <w:r w:rsidRPr="00EA59C0">
        <w:rPr>
          <w:bCs/>
        </w:rPr>
        <w:t>DOL</w:t>
      </w:r>
      <w:r w:rsidR="00C026A6" w:rsidRPr="00EA59C0">
        <w:rPr>
          <w:bCs/>
        </w:rPr>
        <w:t xml:space="preserve"> </w:t>
      </w:r>
      <w:r w:rsidRPr="00EA59C0">
        <w:rPr>
          <w:bCs/>
        </w:rPr>
        <w:t>will</w:t>
      </w:r>
      <w:r w:rsidR="00C026A6" w:rsidRPr="00EA59C0">
        <w:rPr>
          <w:bCs/>
        </w:rPr>
        <w:t xml:space="preserve"> </w:t>
      </w:r>
      <w:r w:rsidRPr="00EA59C0">
        <w:rPr>
          <w:bCs/>
        </w:rPr>
        <w:t>conduct</w:t>
      </w:r>
      <w:r w:rsidR="00C026A6" w:rsidRPr="00EA59C0">
        <w:rPr>
          <w:bCs/>
        </w:rPr>
        <w:t xml:space="preserve"> </w:t>
      </w:r>
      <w:r w:rsidRPr="00EA59C0">
        <w:rPr>
          <w:bCs/>
        </w:rPr>
        <w:t>training</w:t>
      </w:r>
      <w:r w:rsidR="00C026A6" w:rsidRPr="00EA59C0">
        <w:rPr>
          <w:bCs/>
        </w:rPr>
        <w:t xml:space="preserve"> </w:t>
      </w:r>
      <w:r w:rsidRPr="00EA59C0">
        <w:rPr>
          <w:bCs/>
        </w:rPr>
        <w:t>related</w:t>
      </w:r>
      <w:r w:rsidR="00C026A6" w:rsidRPr="00EA59C0">
        <w:rPr>
          <w:bCs/>
        </w:rPr>
        <w:t xml:space="preserve"> </w:t>
      </w:r>
      <w:r w:rsidRPr="00EA59C0">
        <w:rPr>
          <w:bCs/>
        </w:rPr>
        <w:t>to</w:t>
      </w:r>
      <w:r w:rsidR="00C026A6" w:rsidRPr="00EA59C0">
        <w:rPr>
          <w:bCs/>
        </w:rPr>
        <w:t xml:space="preserve"> </w:t>
      </w:r>
      <w:r w:rsidRPr="00EA59C0">
        <w:rPr>
          <w:bCs/>
        </w:rPr>
        <w:t>these</w:t>
      </w:r>
      <w:r w:rsidR="00C026A6" w:rsidRPr="00EA59C0">
        <w:rPr>
          <w:bCs/>
        </w:rPr>
        <w:t xml:space="preserve"> </w:t>
      </w:r>
      <w:r w:rsidRPr="00EA59C0">
        <w:rPr>
          <w:bCs/>
        </w:rPr>
        <w:t>reporting</w:t>
      </w:r>
      <w:r w:rsidR="00C026A6" w:rsidRPr="00EA59C0">
        <w:rPr>
          <w:bCs/>
        </w:rPr>
        <w:t xml:space="preserve"> </w:t>
      </w:r>
      <w:r w:rsidRPr="00EA59C0">
        <w:rPr>
          <w:bCs/>
        </w:rPr>
        <w:t>requirements.</w:t>
      </w:r>
    </w:p>
    <w:p w:rsidR="000A6F73" w:rsidRPr="00EA59C0" w:rsidRDefault="000A6F73" w:rsidP="00FA0E98">
      <w:pPr>
        <w:rPr>
          <w:b/>
        </w:rPr>
      </w:pPr>
    </w:p>
    <w:p w:rsidR="00B25A96" w:rsidRPr="00EA59C0" w:rsidRDefault="00B25A96" w:rsidP="008D193C">
      <w:pPr>
        <w:pStyle w:val="Heading2"/>
        <w:numPr>
          <w:ilvl w:val="4"/>
          <w:numId w:val="17"/>
        </w:numPr>
        <w:spacing w:line="240" w:lineRule="auto"/>
        <w:rPr>
          <w:rFonts w:ascii="Times New Roman" w:hAnsi="Times New Roman"/>
          <w:b w:val="0"/>
          <w:i w:val="0"/>
        </w:rPr>
      </w:pPr>
      <w:r w:rsidRPr="00EA59C0">
        <w:rPr>
          <w:rFonts w:ascii="Times New Roman" w:hAnsi="Times New Roman"/>
          <w:b w:val="0"/>
          <w:i w:val="0"/>
        </w:rPr>
        <w:t>Annual</w:t>
      </w:r>
      <w:r w:rsidR="00C026A6" w:rsidRPr="00EA59C0">
        <w:rPr>
          <w:rFonts w:ascii="Times New Roman" w:hAnsi="Times New Roman"/>
          <w:b w:val="0"/>
          <w:i w:val="0"/>
        </w:rPr>
        <w:t xml:space="preserve"> </w:t>
      </w:r>
      <w:r w:rsidRPr="00EA59C0">
        <w:rPr>
          <w:rFonts w:ascii="Times New Roman" w:hAnsi="Times New Roman"/>
          <w:b w:val="0"/>
          <w:i w:val="0"/>
        </w:rPr>
        <w:t>Performance</w:t>
      </w:r>
      <w:r w:rsidR="00C026A6" w:rsidRPr="00EA59C0">
        <w:rPr>
          <w:rFonts w:ascii="Times New Roman" w:hAnsi="Times New Roman"/>
          <w:b w:val="0"/>
          <w:i w:val="0"/>
        </w:rPr>
        <w:t xml:space="preserve"> </w:t>
      </w:r>
      <w:r w:rsidRPr="00EA59C0">
        <w:rPr>
          <w:rFonts w:ascii="Times New Roman" w:hAnsi="Times New Roman"/>
          <w:b w:val="0"/>
          <w:i w:val="0"/>
        </w:rPr>
        <w:t>Reports</w:t>
      </w:r>
    </w:p>
    <w:p w:rsidR="005A1CA5" w:rsidRPr="00EA59C0" w:rsidRDefault="005A1CA5" w:rsidP="008D193C">
      <w:pPr>
        <w:ind w:left="1800"/>
        <w:rPr>
          <w:bCs/>
        </w:rPr>
      </w:pPr>
      <w:r w:rsidRPr="00EA59C0">
        <w:rPr>
          <w:bCs/>
        </w:rPr>
        <w:t>Every</w:t>
      </w:r>
      <w:r w:rsidR="00C026A6" w:rsidRPr="00EA59C0">
        <w:rPr>
          <w:bCs/>
        </w:rPr>
        <w:t xml:space="preserve"> </w:t>
      </w:r>
      <w:r w:rsidRPr="00EA59C0">
        <w:rPr>
          <w:bCs/>
        </w:rPr>
        <w:t>fourth</w:t>
      </w:r>
      <w:r w:rsidR="00C026A6" w:rsidRPr="00EA59C0">
        <w:rPr>
          <w:bCs/>
        </w:rPr>
        <w:t xml:space="preserve"> </w:t>
      </w:r>
      <w:r w:rsidRPr="00EA59C0">
        <w:rPr>
          <w:bCs/>
        </w:rPr>
        <w:t>quarter</w:t>
      </w:r>
      <w:r w:rsidR="00C026A6" w:rsidRPr="00EA59C0">
        <w:rPr>
          <w:bCs/>
        </w:rPr>
        <w:t xml:space="preserve"> </w:t>
      </w:r>
      <w:r w:rsidRPr="00EA59C0">
        <w:rPr>
          <w:bCs/>
        </w:rPr>
        <w:t>during</w:t>
      </w:r>
      <w:r w:rsidR="00C026A6" w:rsidRPr="00EA59C0">
        <w:rPr>
          <w:bCs/>
        </w:rPr>
        <w:t xml:space="preserve"> </w:t>
      </w:r>
      <w:r w:rsidRPr="00EA59C0">
        <w:rPr>
          <w:bCs/>
        </w:rPr>
        <w:t>the</w:t>
      </w:r>
      <w:r w:rsidR="00C026A6" w:rsidRPr="00EA59C0">
        <w:rPr>
          <w:bCs/>
        </w:rPr>
        <w:t xml:space="preserve"> </w:t>
      </w:r>
      <w:r w:rsidRPr="00EA59C0">
        <w:rPr>
          <w:bCs/>
        </w:rPr>
        <w:t>period</w:t>
      </w:r>
      <w:r w:rsidR="00C026A6" w:rsidRPr="00EA59C0">
        <w:rPr>
          <w:bCs/>
        </w:rPr>
        <w:t xml:space="preserve"> </w:t>
      </w:r>
      <w:r w:rsidRPr="00EA59C0">
        <w:rPr>
          <w:bCs/>
        </w:rPr>
        <w:t>of</w:t>
      </w:r>
      <w:r w:rsidR="00C026A6" w:rsidRPr="00EA59C0">
        <w:rPr>
          <w:bCs/>
        </w:rPr>
        <w:t xml:space="preserve"> </w:t>
      </w:r>
      <w:r w:rsidRPr="00EA59C0">
        <w:rPr>
          <w:bCs/>
        </w:rPr>
        <w:t>performance,</w:t>
      </w:r>
      <w:r w:rsidR="00C026A6" w:rsidRPr="00EA59C0">
        <w:rPr>
          <w:bCs/>
        </w:rPr>
        <w:t xml:space="preserve"> </w:t>
      </w:r>
      <w:r w:rsidRPr="00EA59C0">
        <w:rPr>
          <w:bCs/>
        </w:rPr>
        <w:t>within</w:t>
      </w:r>
      <w:r w:rsidR="00C026A6" w:rsidRPr="00EA59C0">
        <w:rPr>
          <w:bCs/>
        </w:rPr>
        <w:t xml:space="preserve"> </w:t>
      </w:r>
      <w:r w:rsidRPr="00EA59C0">
        <w:rPr>
          <w:bCs/>
        </w:rPr>
        <w:t>45</w:t>
      </w:r>
      <w:r w:rsidR="00C026A6" w:rsidRPr="00EA59C0">
        <w:rPr>
          <w:bCs/>
        </w:rPr>
        <w:t xml:space="preserve"> </w:t>
      </w:r>
      <w:r w:rsidRPr="00EA59C0">
        <w:rPr>
          <w:bCs/>
        </w:rPr>
        <w:t>days</w:t>
      </w:r>
      <w:r w:rsidR="00C026A6" w:rsidRPr="00EA59C0">
        <w:rPr>
          <w:bCs/>
        </w:rPr>
        <w:t xml:space="preserve"> </w:t>
      </w:r>
      <w:r w:rsidRPr="00EA59C0">
        <w:rPr>
          <w:bCs/>
        </w:rPr>
        <w:t>after</w:t>
      </w:r>
      <w:r w:rsidR="00C026A6" w:rsidRPr="00EA59C0">
        <w:rPr>
          <w:bCs/>
        </w:rPr>
        <w:t xml:space="preserve"> </w:t>
      </w:r>
      <w:r w:rsidRPr="00EA59C0">
        <w:rPr>
          <w:bCs/>
        </w:rPr>
        <w:t>the</w:t>
      </w:r>
      <w:r w:rsidR="00C026A6" w:rsidRPr="00EA59C0">
        <w:rPr>
          <w:bCs/>
        </w:rPr>
        <w:t xml:space="preserve"> </w:t>
      </w:r>
      <w:r w:rsidRPr="00EA59C0">
        <w:rPr>
          <w:bCs/>
        </w:rPr>
        <w:t>end</w:t>
      </w:r>
      <w:r w:rsidR="00C026A6" w:rsidRPr="00EA59C0">
        <w:rPr>
          <w:bCs/>
        </w:rPr>
        <w:t xml:space="preserve"> </w:t>
      </w:r>
      <w:r w:rsidRPr="00EA59C0">
        <w:rPr>
          <w:bCs/>
        </w:rPr>
        <w:t>of</w:t>
      </w:r>
      <w:r w:rsidR="00C026A6" w:rsidRPr="00EA59C0">
        <w:rPr>
          <w:bCs/>
        </w:rPr>
        <w:t xml:space="preserve"> </w:t>
      </w:r>
      <w:r w:rsidRPr="00EA59C0">
        <w:rPr>
          <w:bCs/>
        </w:rPr>
        <w:t>that</w:t>
      </w:r>
      <w:r w:rsidR="00C026A6" w:rsidRPr="00EA59C0">
        <w:rPr>
          <w:bCs/>
        </w:rPr>
        <w:t xml:space="preserve"> </w:t>
      </w:r>
      <w:r w:rsidRPr="00EA59C0">
        <w:rPr>
          <w:bCs/>
        </w:rPr>
        <w:t>calendar</w:t>
      </w:r>
      <w:r w:rsidR="00C026A6" w:rsidRPr="00EA59C0">
        <w:rPr>
          <w:bCs/>
        </w:rPr>
        <w:t xml:space="preserve"> </w:t>
      </w:r>
      <w:r w:rsidRPr="00EA59C0">
        <w:rPr>
          <w:bCs/>
        </w:rPr>
        <w:t>quarter,</w:t>
      </w:r>
      <w:r w:rsidR="00C026A6" w:rsidRPr="00EA59C0">
        <w:rPr>
          <w:bCs/>
        </w:rPr>
        <w:t xml:space="preserve"> </w:t>
      </w:r>
      <w:r w:rsidRPr="00EA59C0">
        <w:rPr>
          <w:bCs/>
        </w:rPr>
        <w:t>grantees</w:t>
      </w:r>
      <w:r w:rsidR="00C026A6" w:rsidRPr="00EA59C0">
        <w:rPr>
          <w:bCs/>
        </w:rPr>
        <w:t xml:space="preserve"> </w:t>
      </w:r>
      <w:r w:rsidRPr="00EA59C0">
        <w:rPr>
          <w:bCs/>
        </w:rPr>
        <w:t>must</w:t>
      </w:r>
      <w:r w:rsidR="00C026A6" w:rsidRPr="00EA59C0">
        <w:rPr>
          <w:bCs/>
        </w:rPr>
        <w:t xml:space="preserve"> </w:t>
      </w:r>
      <w:r w:rsidRPr="00EA59C0">
        <w:rPr>
          <w:bCs/>
        </w:rPr>
        <w:t>submit</w:t>
      </w:r>
      <w:r w:rsidR="00C026A6" w:rsidRPr="00EA59C0">
        <w:rPr>
          <w:bCs/>
        </w:rPr>
        <w:t xml:space="preserve"> </w:t>
      </w:r>
      <w:r w:rsidRPr="00EA59C0">
        <w:rPr>
          <w:bCs/>
        </w:rPr>
        <w:t>an</w:t>
      </w:r>
      <w:r w:rsidR="00C026A6" w:rsidRPr="00EA59C0">
        <w:rPr>
          <w:bCs/>
        </w:rPr>
        <w:t xml:space="preserve"> </w:t>
      </w:r>
      <w:r w:rsidRPr="00EA59C0">
        <w:rPr>
          <w:bCs/>
        </w:rPr>
        <w:t>annual</w:t>
      </w:r>
      <w:r w:rsidR="00C026A6" w:rsidRPr="00EA59C0">
        <w:rPr>
          <w:bCs/>
        </w:rPr>
        <w:t xml:space="preserve"> </w:t>
      </w:r>
      <w:r w:rsidRPr="00EA59C0">
        <w:rPr>
          <w:bCs/>
        </w:rPr>
        <w:t>performance</w:t>
      </w:r>
      <w:r w:rsidR="00C026A6" w:rsidRPr="00EA59C0">
        <w:rPr>
          <w:bCs/>
        </w:rPr>
        <w:t xml:space="preserve"> </w:t>
      </w:r>
      <w:r w:rsidRPr="00EA59C0">
        <w:rPr>
          <w:bCs/>
        </w:rPr>
        <w:t>report.</w:t>
      </w:r>
      <w:r w:rsidR="00C026A6" w:rsidRPr="00EA59C0">
        <w:rPr>
          <w:bCs/>
        </w:rPr>
        <w:t xml:space="preserve">  </w:t>
      </w:r>
      <w:r w:rsidRPr="00EA59C0">
        <w:rPr>
          <w:bCs/>
        </w:rPr>
        <w:t>The</w:t>
      </w:r>
      <w:r w:rsidR="00C026A6" w:rsidRPr="00EA59C0">
        <w:rPr>
          <w:bCs/>
        </w:rPr>
        <w:t xml:space="preserve"> </w:t>
      </w:r>
      <w:r w:rsidRPr="00EA59C0">
        <w:rPr>
          <w:bCs/>
        </w:rPr>
        <w:t>grantee</w:t>
      </w:r>
      <w:r w:rsidR="00C026A6" w:rsidRPr="00EA59C0">
        <w:rPr>
          <w:bCs/>
        </w:rPr>
        <w:t xml:space="preserve"> </w:t>
      </w:r>
      <w:r w:rsidRPr="00EA59C0">
        <w:rPr>
          <w:bCs/>
        </w:rPr>
        <w:t>must</w:t>
      </w:r>
      <w:r w:rsidR="00C026A6" w:rsidRPr="00EA59C0">
        <w:rPr>
          <w:bCs/>
        </w:rPr>
        <w:t xml:space="preserve"> </w:t>
      </w:r>
      <w:r w:rsidRPr="00EA59C0">
        <w:rPr>
          <w:bCs/>
        </w:rPr>
        <w:t>submit</w:t>
      </w:r>
      <w:r w:rsidR="00C026A6" w:rsidRPr="00EA59C0">
        <w:rPr>
          <w:bCs/>
        </w:rPr>
        <w:t xml:space="preserve"> </w:t>
      </w:r>
      <w:r w:rsidRPr="00EA59C0">
        <w:rPr>
          <w:bCs/>
        </w:rPr>
        <w:t>a</w:t>
      </w:r>
      <w:r w:rsidR="00C026A6" w:rsidRPr="00EA59C0">
        <w:rPr>
          <w:bCs/>
        </w:rPr>
        <w:t xml:space="preserve"> </w:t>
      </w:r>
      <w:r w:rsidRPr="00EA59C0">
        <w:rPr>
          <w:bCs/>
        </w:rPr>
        <w:t>quarterly</w:t>
      </w:r>
      <w:r w:rsidR="00C026A6" w:rsidRPr="00EA59C0">
        <w:rPr>
          <w:bCs/>
        </w:rPr>
        <w:t xml:space="preserve"> </w:t>
      </w:r>
      <w:r w:rsidRPr="00EA59C0">
        <w:rPr>
          <w:bCs/>
        </w:rPr>
        <w:t>progress</w:t>
      </w:r>
      <w:r w:rsidR="00C026A6" w:rsidRPr="00EA59C0">
        <w:rPr>
          <w:bCs/>
        </w:rPr>
        <w:t xml:space="preserve"> </w:t>
      </w:r>
      <w:r w:rsidRPr="00EA59C0">
        <w:rPr>
          <w:bCs/>
        </w:rPr>
        <w:t>report</w:t>
      </w:r>
      <w:r w:rsidR="00C026A6" w:rsidRPr="00EA59C0">
        <w:rPr>
          <w:bCs/>
        </w:rPr>
        <w:t xml:space="preserve"> </w:t>
      </w:r>
      <w:r w:rsidRPr="00EA59C0">
        <w:rPr>
          <w:bCs/>
        </w:rPr>
        <w:t>within</w:t>
      </w:r>
      <w:r w:rsidR="00C026A6" w:rsidRPr="00EA59C0">
        <w:rPr>
          <w:bCs/>
        </w:rPr>
        <w:t xml:space="preserve"> </w:t>
      </w:r>
      <w:r w:rsidRPr="00EA59C0">
        <w:rPr>
          <w:bCs/>
        </w:rPr>
        <w:t>45</w:t>
      </w:r>
      <w:r w:rsidR="00C026A6" w:rsidRPr="00EA59C0">
        <w:rPr>
          <w:bCs/>
        </w:rPr>
        <w:t xml:space="preserve"> </w:t>
      </w:r>
      <w:r w:rsidRPr="00EA59C0">
        <w:rPr>
          <w:bCs/>
        </w:rPr>
        <w:t>days</w:t>
      </w:r>
      <w:r w:rsidR="00C026A6" w:rsidRPr="00EA59C0">
        <w:rPr>
          <w:bCs/>
        </w:rPr>
        <w:t xml:space="preserve"> </w:t>
      </w:r>
      <w:r w:rsidRPr="00EA59C0">
        <w:rPr>
          <w:bCs/>
        </w:rPr>
        <w:t>after</w:t>
      </w:r>
      <w:r w:rsidR="00C026A6" w:rsidRPr="00EA59C0">
        <w:rPr>
          <w:bCs/>
        </w:rPr>
        <w:t xml:space="preserve"> </w:t>
      </w:r>
      <w:r w:rsidRPr="00EA59C0">
        <w:rPr>
          <w:bCs/>
        </w:rPr>
        <w:t>the</w:t>
      </w:r>
      <w:r w:rsidR="00C026A6" w:rsidRPr="00EA59C0">
        <w:rPr>
          <w:bCs/>
        </w:rPr>
        <w:t xml:space="preserve"> </w:t>
      </w:r>
      <w:r w:rsidRPr="00EA59C0">
        <w:rPr>
          <w:bCs/>
        </w:rPr>
        <w:t>end</w:t>
      </w:r>
      <w:r w:rsidR="00C026A6" w:rsidRPr="00EA59C0">
        <w:rPr>
          <w:bCs/>
        </w:rPr>
        <w:t xml:space="preserve"> </w:t>
      </w:r>
      <w:r w:rsidRPr="00EA59C0">
        <w:rPr>
          <w:bCs/>
        </w:rPr>
        <w:t>of</w:t>
      </w:r>
      <w:r w:rsidR="00C026A6" w:rsidRPr="00EA59C0">
        <w:rPr>
          <w:bCs/>
        </w:rPr>
        <w:t xml:space="preserve"> </w:t>
      </w:r>
      <w:r w:rsidRPr="00EA59C0">
        <w:rPr>
          <w:bCs/>
        </w:rPr>
        <w:t>each</w:t>
      </w:r>
      <w:r w:rsidR="00C026A6" w:rsidRPr="00EA59C0">
        <w:rPr>
          <w:bCs/>
        </w:rPr>
        <w:t xml:space="preserve"> </w:t>
      </w:r>
      <w:r w:rsidRPr="00EA59C0">
        <w:rPr>
          <w:bCs/>
        </w:rPr>
        <w:t>calendar</w:t>
      </w:r>
      <w:r w:rsidR="00C026A6" w:rsidRPr="00EA59C0">
        <w:rPr>
          <w:bCs/>
        </w:rPr>
        <w:t xml:space="preserve"> </w:t>
      </w:r>
      <w:r w:rsidRPr="00EA59C0">
        <w:rPr>
          <w:bCs/>
        </w:rPr>
        <w:t>year</w:t>
      </w:r>
      <w:r w:rsidR="00C026A6" w:rsidRPr="00EA59C0">
        <w:rPr>
          <w:bCs/>
        </w:rPr>
        <w:t xml:space="preserve"> </w:t>
      </w:r>
      <w:r w:rsidRPr="00EA59C0">
        <w:rPr>
          <w:bCs/>
        </w:rPr>
        <w:t>quarter.</w:t>
      </w:r>
      <w:r w:rsidR="00C026A6" w:rsidRPr="00EA59C0">
        <w:rPr>
          <w:bCs/>
        </w:rPr>
        <w:t xml:space="preserve">  </w:t>
      </w:r>
      <w:r w:rsidRPr="00EA59C0">
        <w:rPr>
          <w:bCs/>
        </w:rPr>
        <w:t>The</w:t>
      </w:r>
      <w:r w:rsidR="00C026A6" w:rsidRPr="00EA59C0">
        <w:rPr>
          <w:bCs/>
        </w:rPr>
        <w:t xml:space="preserve"> </w:t>
      </w:r>
      <w:r w:rsidRPr="00EA59C0">
        <w:rPr>
          <w:bCs/>
        </w:rPr>
        <w:t>report</w:t>
      </w:r>
      <w:r w:rsidR="00C026A6" w:rsidRPr="00EA59C0">
        <w:rPr>
          <w:bCs/>
        </w:rPr>
        <w:t xml:space="preserve"> </w:t>
      </w:r>
      <w:r w:rsidRPr="00EA59C0">
        <w:rPr>
          <w:bCs/>
        </w:rPr>
        <w:t>must</w:t>
      </w:r>
      <w:r w:rsidR="00C026A6" w:rsidRPr="00EA59C0">
        <w:rPr>
          <w:bCs/>
        </w:rPr>
        <w:t xml:space="preserve"> </w:t>
      </w:r>
      <w:r w:rsidRPr="00EA59C0">
        <w:rPr>
          <w:bCs/>
        </w:rPr>
        <w:t>include</w:t>
      </w:r>
      <w:r w:rsidR="00C026A6" w:rsidRPr="00EA59C0">
        <w:rPr>
          <w:bCs/>
        </w:rPr>
        <w:t xml:space="preserve"> </w:t>
      </w:r>
      <w:r w:rsidRPr="00EA59C0">
        <w:rPr>
          <w:bCs/>
        </w:rPr>
        <w:t>annual</w:t>
      </w:r>
      <w:r w:rsidR="00C026A6" w:rsidRPr="00EA59C0">
        <w:rPr>
          <w:bCs/>
        </w:rPr>
        <w:t xml:space="preserve"> </w:t>
      </w:r>
      <w:r w:rsidRPr="00EA59C0">
        <w:rPr>
          <w:bCs/>
        </w:rPr>
        <w:t>aggregate</w:t>
      </w:r>
      <w:r w:rsidR="00C026A6" w:rsidRPr="00EA59C0">
        <w:rPr>
          <w:bCs/>
        </w:rPr>
        <w:t xml:space="preserve"> </w:t>
      </w:r>
      <w:r w:rsidRPr="00EA59C0">
        <w:rPr>
          <w:bCs/>
        </w:rPr>
        <w:t>data</w:t>
      </w:r>
      <w:r w:rsidR="00C026A6" w:rsidRPr="00EA59C0">
        <w:rPr>
          <w:bCs/>
        </w:rPr>
        <w:t xml:space="preserve"> </w:t>
      </w:r>
      <w:r w:rsidRPr="00EA59C0">
        <w:rPr>
          <w:bCs/>
        </w:rPr>
        <w:t>regarding</w:t>
      </w:r>
      <w:r w:rsidR="00C026A6" w:rsidRPr="00EA59C0">
        <w:rPr>
          <w:bCs/>
        </w:rPr>
        <w:t xml:space="preserve"> </w:t>
      </w:r>
      <w:r w:rsidRPr="00EA59C0">
        <w:rPr>
          <w:bCs/>
        </w:rPr>
        <w:t>program</w:t>
      </w:r>
      <w:r w:rsidR="00C026A6" w:rsidRPr="00EA59C0">
        <w:rPr>
          <w:bCs/>
        </w:rPr>
        <w:t xml:space="preserve"> </w:t>
      </w:r>
      <w:r w:rsidRPr="00EA59C0">
        <w:rPr>
          <w:bCs/>
        </w:rPr>
        <w:t>participants.</w:t>
      </w:r>
      <w:r w:rsidR="00C026A6" w:rsidRPr="00EA59C0">
        <w:rPr>
          <w:bCs/>
        </w:rPr>
        <w:t xml:space="preserve">  </w:t>
      </w:r>
      <w:r w:rsidRPr="00EA59C0">
        <w:rPr>
          <w:bCs/>
        </w:rPr>
        <w:t>In</w:t>
      </w:r>
      <w:r w:rsidR="00C026A6" w:rsidRPr="00EA59C0">
        <w:rPr>
          <w:bCs/>
        </w:rPr>
        <w:t xml:space="preserve"> </w:t>
      </w:r>
      <w:r w:rsidRPr="00EA59C0">
        <w:rPr>
          <w:bCs/>
        </w:rPr>
        <w:t>addition,</w:t>
      </w:r>
      <w:r w:rsidR="00C026A6" w:rsidRPr="00EA59C0">
        <w:rPr>
          <w:bCs/>
        </w:rPr>
        <w:t xml:space="preserve"> </w:t>
      </w:r>
      <w:r w:rsidRPr="00EA59C0">
        <w:rPr>
          <w:bCs/>
        </w:rPr>
        <w:t>grantees</w:t>
      </w:r>
      <w:r w:rsidR="00C026A6" w:rsidRPr="00EA59C0">
        <w:rPr>
          <w:bCs/>
        </w:rPr>
        <w:t xml:space="preserve"> </w:t>
      </w:r>
      <w:r w:rsidRPr="00EA59C0">
        <w:rPr>
          <w:bCs/>
        </w:rPr>
        <w:t>must</w:t>
      </w:r>
      <w:r w:rsidR="00C026A6" w:rsidRPr="00EA59C0">
        <w:rPr>
          <w:bCs/>
        </w:rPr>
        <w:t xml:space="preserve"> </w:t>
      </w:r>
      <w:r w:rsidRPr="00EA59C0">
        <w:rPr>
          <w:bCs/>
        </w:rPr>
        <w:t>provide</w:t>
      </w:r>
      <w:r w:rsidR="00C026A6" w:rsidRPr="00EA59C0">
        <w:rPr>
          <w:bCs/>
        </w:rPr>
        <w:t xml:space="preserve"> </w:t>
      </w:r>
      <w:r w:rsidRPr="00EA59C0">
        <w:rPr>
          <w:bCs/>
        </w:rPr>
        <w:t>narrative</w:t>
      </w:r>
      <w:r w:rsidR="00C026A6" w:rsidRPr="00EA59C0">
        <w:rPr>
          <w:bCs/>
        </w:rPr>
        <w:t xml:space="preserve"> </w:t>
      </w:r>
      <w:r w:rsidRPr="00EA59C0">
        <w:rPr>
          <w:bCs/>
        </w:rPr>
        <w:t>information</w:t>
      </w:r>
      <w:r w:rsidR="00C026A6" w:rsidRPr="00EA59C0">
        <w:rPr>
          <w:bCs/>
        </w:rPr>
        <w:t xml:space="preserve"> </w:t>
      </w:r>
      <w:r w:rsidRPr="00EA59C0">
        <w:rPr>
          <w:bCs/>
        </w:rPr>
        <w:t>about</w:t>
      </w:r>
      <w:r w:rsidR="00C026A6" w:rsidRPr="00EA59C0">
        <w:rPr>
          <w:bCs/>
        </w:rPr>
        <w:t xml:space="preserve"> </w:t>
      </w:r>
      <w:r w:rsidRPr="00EA59C0">
        <w:rPr>
          <w:bCs/>
        </w:rPr>
        <w:t>the</w:t>
      </w:r>
      <w:r w:rsidR="00C026A6" w:rsidRPr="00EA59C0">
        <w:rPr>
          <w:bCs/>
        </w:rPr>
        <w:t xml:space="preserve"> </w:t>
      </w:r>
      <w:r w:rsidRPr="00EA59C0">
        <w:rPr>
          <w:bCs/>
        </w:rPr>
        <w:t>innovative</w:t>
      </w:r>
      <w:r w:rsidR="00C026A6" w:rsidRPr="00EA59C0">
        <w:rPr>
          <w:bCs/>
        </w:rPr>
        <w:t xml:space="preserve"> </w:t>
      </w:r>
      <w:r w:rsidRPr="00EA59C0">
        <w:rPr>
          <w:bCs/>
        </w:rPr>
        <w:t>achievements</w:t>
      </w:r>
      <w:r w:rsidR="00C026A6" w:rsidRPr="00EA59C0">
        <w:rPr>
          <w:bCs/>
        </w:rPr>
        <w:t xml:space="preserve"> </w:t>
      </w:r>
      <w:r w:rsidRPr="00EA59C0">
        <w:rPr>
          <w:bCs/>
        </w:rPr>
        <w:t>of</w:t>
      </w:r>
      <w:r w:rsidR="00C026A6" w:rsidRPr="00EA59C0">
        <w:rPr>
          <w:bCs/>
        </w:rPr>
        <w:t xml:space="preserve"> </w:t>
      </w:r>
      <w:r w:rsidRPr="00EA59C0">
        <w:rPr>
          <w:bCs/>
        </w:rPr>
        <w:t>their</w:t>
      </w:r>
      <w:r w:rsidR="00C026A6" w:rsidRPr="00EA59C0">
        <w:rPr>
          <w:bCs/>
        </w:rPr>
        <w:t xml:space="preserve"> </w:t>
      </w:r>
      <w:r w:rsidRPr="00EA59C0">
        <w:rPr>
          <w:bCs/>
        </w:rPr>
        <w:t>grant</w:t>
      </w:r>
      <w:r w:rsidR="00C026A6" w:rsidRPr="00EA59C0">
        <w:rPr>
          <w:bCs/>
        </w:rPr>
        <w:t xml:space="preserve"> </w:t>
      </w:r>
      <w:r w:rsidRPr="00EA59C0">
        <w:rPr>
          <w:bCs/>
        </w:rPr>
        <w:t>to</w:t>
      </w:r>
      <w:r w:rsidR="00C026A6" w:rsidRPr="00EA59C0">
        <w:rPr>
          <w:bCs/>
        </w:rPr>
        <w:t xml:space="preserve"> </w:t>
      </w:r>
      <w:r w:rsidRPr="00EA59C0">
        <w:rPr>
          <w:bCs/>
        </w:rPr>
        <w:t>date</w:t>
      </w:r>
      <w:r w:rsidR="00C026A6" w:rsidRPr="00EA59C0">
        <w:rPr>
          <w:bCs/>
        </w:rPr>
        <w:t xml:space="preserve"> </w:t>
      </w:r>
      <w:r w:rsidRPr="00EA59C0">
        <w:rPr>
          <w:bCs/>
        </w:rPr>
        <w:t>and</w:t>
      </w:r>
      <w:r w:rsidR="00C026A6" w:rsidRPr="00EA59C0">
        <w:rPr>
          <w:bCs/>
        </w:rPr>
        <w:t xml:space="preserve"> </w:t>
      </w:r>
      <w:r w:rsidRPr="00EA59C0">
        <w:rPr>
          <w:bCs/>
        </w:rPr>
        <w:t>services</w:t>
      </w:r>
      <w:r w:rsidR="00C026A6" w:rsidRPr="00EA59C0">
        <w:rPr>
          <w:bCs/>
        </w:rPr>
        <w:t xml:space="preserve"> </w:t>
      </w:r>
      <w:r w:rsidRPr="00EA59C0">
        <w:rPr>
          <w:bCs/>
        </w:rPr>
        <w:t>provided</w:t>
      </w:r>
      <w:r w:rsidR="00C026A6" w:rsidRPr="00EA59C0">
        <w:rPr>
          <w:bCs/>
        </w:rPr>
        <w:t xml:space="preserve"> </w:t>
      </w:r>
      <w:r w:rsidRPr="00EA59C0">
        <w:rPr>
          <w:bCs/>
        </w:rPr>
        <w:t>to</w:t>
      </w:r>
      <w:r w:rsidR="00C026A6" w:rsidRPr="00EA59C0">
        <w:rPr>
          <w:bCs/>
        </w:rPr>
        <w:t xml:space="preserve"> </w:t>
      </w:r>
      <w:r w:rsidRPr="00EA59C0">
        <w:rPr>
          <w:bCs/>
        </w:rPr>
        <w:t>TAA-eligible</w:t>
      </w:r>
      <w:r w:rsidR="00C026A6" w:rsidRPr="00EA59C0">
        <w:rPr>
          <w:bCs/>
        </w:rPr>
        <w:t xml:space="preserve"> </w:t>
      </w:r>
      <w:r w:rsidRPr="00EA59C0">
        <w:rPr>
          <w:bCs/>
        </w:rPr>
        <w:t>individuals.</w:t>
      </w:r>
      <w:r w:rsidR="00C026A6" w:rsidRPr="00EA59C0">
        <w:rPr>
          <w:bCs/>
        </w:rPr>
        <w:t xml:space="preserve">  </w:t>
      </w:r>
    </w:p>
    <w:p w:rsidR="005A1CA5" w:rsidRPr="00EA59C0" w:rsidRDefault="005A1CA5" w:rsidP="00FA0E98">
      <w:pPr>
        <w:ind w:left="1800"/>
      </w:pPr>
    </w:p>
    <w:p w:rsidR="005A1CA5" w:rsidRPr="00EA59C0" w:rsidRDefault="005A1CA5" w:rsidP="008D193C">
      <w:pPr>
        <w:ind w:left="1800"/>
        <w:rPr>
          <w:bCs/>
        </w:rPr>
      </w:pPr>
      <w:r w:rsidRPr="00EA59C0">
        <w:rPr>
          <w:bCs/>
        </w:rPr>
        <w:t>The</w:t>
      </w:r>
      <w:r w:rsidR="00C026A6" w:rsidRPr="00EA59C0">
        <w:rPr>
          <w:bCs/>
        </w:rPr>
        <w:t xml:space="preserve"> </w:t>
      </w:r>
      <w:r w:rsidRPr="00EA59C0">
        <w:rPr>
          <w:bCs/>
        </w:rPr>
        <w:t>annual</w:t>
      </w:r>
      <w:r w:rsidR="00C026A6" w:rsidRPr="00EA59C0">
        <w:rPr>
          <w:bCs/>
        </w:rPr>
        <w:t xml:space="preserve"> </w:t>
      </w:r>
      <w:r w:rsidRPr="00EA59C0">
        <w:rPr>
          <w:bCs/>
        </w:rPr>
        <w:t>report</w:t>
      </w:r>
      <w:r w:rsidR="00C026A6" w:rsidRPr="00EA59C0">
        <w:rPr>
          <w:bCs/>
        </w:rPr>
        <w:t xml:space="preserve"> </w:t>
      </w:r>
      <w:r w:rsidRPr="00EA59C0">
        <w:rPr>
          <w:bCs/>
        </w:rPr>
        <w:t>will</w:t>
      </w:r>
      <w:r w:rsidR="00C026A6" w:rsidRPr="00EA59C0">
        <w:rPr>
          <w:bCs/>
        </w:rPr>
        <w:t xml:space="preserve"> </w:t>
      </w:r>
      <w:r w:rsidRPr="00EA59C0">
        <w:rPr>
          <w:bCs/>
        </w:rPr>
        <w:t>follow</w:t>
      </w:r>
      <w:r w:rsidR="00C026A6" w:rsidRPr="00EA59C0">
        <w:rPr>
          <w:bCs/>
        </w:rPr>
        <w:t xml:space="preserve"> </w:t>
      </w:r>
      <w:r w:rsidRPr="00EA59C0">
        <w:rPr>
          <w:bCs/>
        </w:rPr>
        <w:t>the</w:t>
      </w:r>
      <w:r w:rsidR="00C026A6" w:rsidRPr="00EA59C0">
        <w:rPr>
          <w:bCs/>
        </w:rPr>
        <w:t xml:space="preserve"> </w:t>
      </w:r>
      <w:r w:rsidRPr="00EA59C0">
        <w:rPr>
          <w:bCs/>
        </w:rPr>
        <w:t>format</w:t>
      </w:r>
      <w:r w:rsidR="00C026A6" w:rsidRPr="00EA59C0">
        <w:rPr>
          <w:bCs/>
        </w:rPr>
        <w:t xml:space="preserve"> </w:t>
      </w:r>
      <w:r w:rsidRPr="00EA59C0">
        <w:rPr>
          <w:bCs/>
        </w:rPr>
        <w:t>for</w:t>
      </w:r>
      <w:r w:rsidR="00C026A6" w:rsidRPr="00EA59C0">
        <w:rPr>
          <w:bCs/>
        </w:rPr>
        <w:t xml:space="preserve"> </w:t>
      </w:r>
      <w:r w:rsidRPr="00EA59C0">
        <w:rPr>
          <w:bCs/>
        </w:rPr>
        <w:t>grantees</w:t>
      </w:r>
      <w:r w:rsidR="00C026A6" w:rsidRPr="00EA59C0">
        <w:rPr>
          <w:bCs/>
        </w:rPr>
        <w:t xml:space="preserve"> </w:t>
      </w:r>
      <w:r w:rsidRPr="00EA59C0">
        <w:rPr>
          <w:bCs/>
        </w:rPr>
        <w:t>under</w:t>
      </w:r>
      <w:r w:rsidR="00C026A6" w:rsidRPr="00EA59C0">
        <w:rPr>
          <w:bCs/>
        </w:rPr>
        <w:t xml:space="preserve"> </w:t>
      </w:r>
      <w:r w:rsidRPr="00EA59C0">
        <w:rPr>
          <w:bCs/>
        </w:rPr>
        <w:t>the</w:t>
      </w:r>
      <w:r w:rsidR="00C026A6" w:rsidRPr="00EA59C0">
        <w:rPr>
          <w:bCs/>
        </w:rPr>
        <w:t xml:space="preserve"> </w:t>
      </w:r>
      <w:r w:rsidRPr="00EA59C0">
        <w:rPr>
          <w:bCs/>
        </w:rPr>
        <w:t>TAACCCT</w:t>
      </w:r>
      <w:r w:rsidR="00C026A6" w:rsidRPr="00EA59C0">
        <w:rPr>
          <w:bCs/>
        </w:rPr>
        <w:t xml:space="preserve"> </w:t>
      </w:r>
      <w:r w:rsidRPr="00EA59C0">
        <w:rPr>
          <w:bCs/>
        </w:rPr>
        <w:t>Grant</w:t>
      </w:r>
      <w:r w:rsidR="00C026A6" w:rsidRPr="00EA59C0">
        <w:rPr>
          <w:bCs/>
        </w:rPr>
        <w:t xml:space="preserve"> </w:t>
      </w:r>
      <w:r w:rsidRPr="00EA59C0">
        <w:rPr>
          <w:bCs/>
        </w:rPr>
        <w:t>Program,</w:t>
      </w:r>
      <w:r w:rsidR="00C026A6" w:rsidRPr="00EA59C0">
        <w:rPr>
          <w:bCs/>
        </w:rPr>
        <w:t xml:space="preserve"> </w:t>
      </w:r>
      <w:r w:rsidRPr="00EA59C0">
        <w:rPr>
          <w:bCs/>
        </w:rPr>
        <w:t>“Annual</w:t>
      </w:r>
      <w:r w:rsidR="00C026A6" w:rsidRPr="00EA59C0">
        <w:rPr>
          <w:bCs/>
        </w:rPr>
        <w:t xml:space="preserve"> </w:t>
      </w:r>
      <w:r w:rsidRPr="00EA59C0">
        <w:rPr>
          <w:bCs/>
        </w:rPr>
        <w:t>and</w:t>
      </w:r>
      <w:r w:rsidR="00C026A6" w:rsidRPr="00EA59C0">
        <w:rPr>
          <w:bCs/>
        </w:rPr>
        <w:t xml:space="preserve"> </w:t>
      </w:r>
      <w:r w:rsidRPr="00EA59C0">
        <w:rPr>
          <w:bCs/>
        </w:rPr>
        <w:t>Quarterly</w:t>
      </w:r>
      <w:r w:rsidR="00C026A6" w:rsidRPr="00EA59C0">
        <w:rPr>
          <w:bCs/>
        </w:rPr>
        <w:t xml:space="preserve"> </w:t>
      </w:r>
      <w:r w:rsidRPr="00EA59C0">
        <w:rPr>
          <w:bCs/>
        </w:rPr>
        <w:t>Program</w:t>
      </w:r>
      <w:r w:rsidR="00C026A6" w:rsidRPr="00EA59C0">
        <w:rPr>
          <w:bCs/>
        </w:rPr>
        <w:t xml:space="preserve"> </w:t>
      </w:r>
      <w:r w:rsidRPr="00EA59C0">
        <w:rPr>
          <w:bCs/>
        </w:rPr>
        <w:t>Reporting</w:t>
      </w:r>
      <w:r w:rsidR="00C026A6" w:rsidRPr="00EA59C0">
        <w:rPr>
          <w:bCs/>
        </w:rPr>
        <w:t xml:space="preserve"> </w:t>
      </w:r>
      <w:r w:rsidRPr="00EA59C0">
        <w:rPr>
          <w:bCs/>
        </w:rPr>
        <w:t>Forms</w:t>
      </w:r>
      <w:r w:rsidR="00C026A6" w:rsidRPr="00EA59C0">
        <w:rPr>
          <w:bCs/>
        </w:rPr>
        <w:t xml:space="preserve"> </w:t>
      </w:r>
      <w:r w:rsidRPr="00EA59C0">
        <w:rPr>
          <w:bCs/>
        </w:rPr>
        <w:t>&amp;</w:t>
      </w:r>
      <w:r w:rsidR="00C026A6" w:rsidRPr="00EA59C0">
        <w:rPr>
          <w:bCs/>
        </w:rPr>
        <w:t xml:space="preserve"> </w:t>
      </w:r>
      <w:r w:rsidRPr="00EA59C0">
        <w:rPr>
          <w:bCs/>
        </w:rPr>
        <w:t>Instructions,”</w:t>
      </w:r>
      <w:r w:rsidR="00C026A6" w:rsidRPr="00EA59C0">
        <w:rPr>
          <w:bCs/>
        </w:rPr>
        <w:t xml:space="preserve"> </w:t>
      </w:r>
      <w:r w:rsidRPr="00EA59C0">
        <w:rPr>
          <w:bCs/>
        </w:rPr>
        <w:t>OMB</w:t>
      </w:r>
      <w:r w:rsidR="00C026A6" w:rsidRPr="00EA59C0">
        <w:rPr>
          <w:bCs/>
        </w:rPr>
        <w:t xml:space="preserve"> </w:t>
      </w:r>
      <w:r w:rsidRPr="00EA59C0">
        <w:rPr>
          <w:bCs/>
        </w:rPr>
        <w:t>Control</w:t>
      </w:r>
      <w:r w:rsidR="00C026A6" w:rsidRPr="00EA59C0">
        <w:rPr>
          <w:bCs/>
        </w:rPr>
        <w:t xml:space="preserve"> </w:t>
      </w:r>
      <w:r w:rsidRPr="00EA59C0">
        <w:rPr>
          <w:bCs/>
        </w:rPr>
        <w:t>Number</w:t>
      </w:r>
      <w:r w:rsidR="00C026A6" w:rsidRPr="00EA59C0">
        <w:rPr>
          <w:bCs/>
        </w:rPr>
        <w:t xml:space="preserve"> </w:t>
      </w:r>
      <w:r w:rsidRPr="00EA59C0">
        <w:rPr>
          <w:bCs/>
        </w:rPr>
        <w:t>1205-0489,</w:t>
      </w:r>
      <w:r w:rsidR="00C026A6" w:rsidRPr="00EA59C0">
        <w:rPr>
          <w:bCs/>
        </w:rPr>
        <w:t xml:space="preserve"> </w:t>
      </w:r>
      <w:r w:rsidRPr="00EA59C0">
        <w:rPr>
          <w:bCs/>
        </w:rPr>
        <w:t>Expiration:</w:t>
      </w:r>
      <w:r w:rsidR="00C026A6" w:rsidRPr="00EA59C0">
        <w:rPr>
          <w:bCs/>
        </w:rPr>
        <w:t xml:space="preserve">  </w:t>
      </w:r>
      <w:r w:rsidRPr="00EA59C0">
        <w:rPr>
          <w:bCs/>
        </w:rPr>
        <w:t>03/31/2015</w:t>
      </w:r>
      <w:r w:rsidR="00C026A6" w:rsidRPr="00EA59C0">
        <w:rPr>
          <w:bCs/>
        </w:rPr>
        <w:t xml:space="preserve"> </w:t>
      </w:r>
      <w:r w:rsidR="00594D16" w:rsidRPr="00EA59C0">
        <w:rPr>
          <w:bCs/>
        </w:rPr>
        <w:t>(or</w:t>
      </w:r>
      <w:r w:rsidR="00C026A6" w:rsidRPr="00EA59C0">
        <w:rPr>
          <w:bCs/>
        </w:rPr>
        <w:t xml:space="preserve"> </w:t>
      </w:r>
      <w:r w:rsidR="00594D16" w:rsidRPr="00EA59C0">
        <w:rPr>
          <w:bCs/>
        </w:rPr>
        <w:t>a</w:t>
      </w:r>
      <w:r w:rsidR="00C026A6" w:rsidRPr="00EA59C0">
        <w:rPr>
          <w:bCs/>
        </w:rPr>
        <w:t xml:space="preserve"> </w:t>
      </w:r>
      <w:r w:rsidR="00594D16" w:rsidRPr="00EA59C0">
        <w:rPr>
          <w:bCs/>
        </w:rPr>
        <w:t>successor</w:t>
      </w:r>
      <w:r w:rsidR="00C026A6" w:rsidRPr="00EA59C0">
        <w:rPr>
          <w:bCs/>
        </w:rPr>
        <w:t xml:space="preserve"> </w:t>
      </w:r>
      <w:r w:rsidR="00594D16" w:rsidRPr="00EA59C0">
        <w:rPr>
          <w:bCs/>
        </w:rPr>
        <w:t>form)</w:t>
      </w:r>
      <w:r w:rsidRPr="00EA59C0">
        <w:rPr>
          <w:bCs/>
        </w:rPr>
        <w:t>.</w:t>
      </w:r>
      <w:r w:rsidR="00C026A6" w:rsidRPr="00EA59C0">
        <w:rPr>
          <w:bCs/>
        </w:rPr>
        <w:t xml:space="preserve">  </w:t>
      </w:r>
    </w:p>
    <w:p w:rsidR="005A1CA5" w:rsidRPr="00EA59C0" w:rsidRDefault="005A1CA5" w:rsidP="00FA0E98">
      <w:pPr>
        <w:ind w:left="1800"/>
        <w:rPr>
          <w:bCs/>
        </w:rPr>
      </w:pPr>
    </w:p>
    <w:p w:rsidR="005A1CA5" w:rsidRPr="00EA59C0" w:rsidRDefault="005A1CA5" w:rsidP="008D193C">
      <w:pPr>
        <w:ind w:left="1800"/>
        <w:rPr>
          <w:bCs/>
        </w:rPr>
      </w:pPr>
      <w:r w:rsidRPr="00EA59C0">
        <w:rPr>
          <w:bCs/>
        </w:rPr>
        <w:t>For</w:t>
      </w:r>
      <w:r w:rsidR="00C026A6" w:rsidRPr="00EA59C0">
        <w:rPr>
          <w:bCs/>
        </w:rPr>
        <w:t xml:space="preserve"> </w:t>
      </w:r>
      <w:r w:rsidRPr="00EA59C0">
        <w:rPr>
          <w:bCs/>
        </w:rPr>
        <w:t>consortium</w:t>
      </w:r>
      <w:r w:rsidR="00C026A6" w:rsidRPr="00EA59C0">
        <w:rPr>
          <w:bCs/>
        </w:rPr>
        <w:t xml:space="preserve"> </w:t>
      </w:r>
      <w:r w:rsidRPr="00EA59C0">
        <w:rPr>
          <w:bCs/>
        </w:rPr>
        <w:t>grants,</w:t>
      </w:r>
      <w:r w:rsidR="00C026A6" w:rsidRPr="00EA59C0">
        <w:rPr>
          <w:bCs/>
        </w:rPr>
        <w:t xml:space="preserve"> </w:t>
      </w:r>
      <w:r w:rsidRPr="00EA59C0">
        <w:rPr>
          <w:bCs/>
        </w:rPr>
        <w:t>the</w:t>
      </w:r>
      <w:r w:rsidR="00C026A6" w:rsidRPr="00EA59C0">
        <w:rPr>
          <w:bCs/>
        </w:rPr>
        <w:t xml:space="preserve"> </w:t>
      </w:r>
      <w:r w:rsidRPr="00EA59C0">
        <w:rPr>
          <w:bCs/>
        </w:rPr>
        <w:t>Lead</w:t>
      </w:r>
      <w:r w:rsidR="00C026A6" w:rsidRPr="00EA59C0">
        <w:rPr>
          <w:bCs/>
        </w:rPr>
        <w:t xml:space="preserve"> </w:t>
      </w:r>
      <w:r w:rsidRPr="00EA59C0">
        <w:rPr>
          <w:bCs/>
        </w:rPr>
        <w:t>Institution</w:t>
      </w:r>
      <w:r w:rsidR="00C026A6" w:rsidRPr="00EA59C0">
        <w:rPr>
          <w:bCs/>
        </w:rPr>
        <w:t xml:space="preserve"> </w:t>
      </w:r>
      <w:r w:rsidRPr="00EA59C0">
        <w:rPr>
          <w:bCs/>
        </w:rPr>
        <w:t>will</w:t>
      </w:r>
      <w:r w:rsidR="00C026A6" w:rsidRPr="00EA59C0">
        <w:rPr>
          <w:bCs/>
        </w:rPr>
        <w:t xml:space="preserve"> </w:t>
      </w:r>
      <w:r w:rsidRPr="00EA59C0">
        <w:rPr>
          <w:bCs/>
        </w:rPr>
        <w:t>compile</w:t>
      </w:r>
      <w:r w:rsidR="00C026A6" w:rsidRPr="00EA59C0">
        <w:rPr>
          <w:bCs/>
        </w:rPr>
        <w:t xml:space="preserve"> </w:t>
      </w:r>
      <w:r w:rsidRPr="00EA59C0">
        <w:rPr>
          <w:bCs/>
        </w:rPr>
        <w:t>submissions</w:t>
      </w:r>
      <w:r w:rsidR="00C026A6" w:rsidRPr="00EA59C0">
        <w:rPr>
          <w:bCs/>
        </w:rPr>
        <w:t xml:space="preserve"> </w:t>
      </w:r>
      <w:r w:rsidRPr="00EA59C0">
        <w:rPr>
          <w:bCs/>
        </w:rPr>
        <w:t>from</w:t>
      </w:r>
      <w:r w:rsidR="00C026A6" w:rsidRPr="00EA59C0">
        <w:rPr>
          <w:bCs/>
        </w:rPr>
        <w:t xml:space="preserve"> </w:t>
      </w:r>
      <w:r w:rsidRPr="00EA59C0">
        <w:rPr>
          <w:bCs/>
        </w:rPr>
        <w:t>each</w:t>
      </w:r>
      <w:r w:rsidR="00C026A6" w:rsidRPr="00EA59C0">
        <w:rPr>
          <w:bCs/>
        </w:rPr>
        <w:t xml:space="preserve"> </w:t>
      </w:r>
      <w:r w:rsidRPr="00EA59C0">
        <w:rPr>
          <w:bCs/>
        </w:rPr>
        <w:t>Member</w:t>
      </w:r>
      <w:r w:rsidR="00C026A6" w:rsidRPr="00EA59C0">
        <w:rPr>
          <w:bCs/>
        </w:rPr>
        <w:t xml:space="preserve"> </w:t>
      </w:r>
      <w:r w:rsidRPr="00EA59C0">
        <w:rPr>
          <w:bCs/>
        </w:rPr>
        <w:t>Institution</w:t>
      </w:r>
      <w:r w:rsidR="00C026A6" w:rsidRPr="00EA59C0">
        <w:rPr>
          <w:bCs/>
        </w:rPr>
        <w:t xml:space="preserve"> </w:t>
      </w:r>
      <w:r w:rsidRPr="00EA59C0">
        <w:rPr>
          <w:bCs/>
        </w:rPr>
        <w:t>and</w:t>
      </w:r>
      <w:r w:rsidR="00C026A6" w:rsidRPr="00EA59C0">
        <w:rPr>
          <w:bCs/>
        </w:rPr>
        <w:t xml:space="preserve"> </w:t>
      </w:r>
      <w:r w:rsidRPr="00EA59C0">
        <w:rPr>
          <w:bCs/>
        </w:rPr>
        <w:t>submit</w:t>
      </w:r>
      <w:r w:rsidR="00C026A6" w:rsidRPr="00EA59C0">
        <w:rPr>
          <w:bCs/>
        </w:rPr>
        <w:t xml:space="preserve"> </w:t>
      </w:r>
      <w:r w:rsidRPr="00EA59C0">
        <w:rPr>
          <w:bCs/>
        </w:rPr>
        <w:t>the</w:t>
      </w:r>
      <w:r w:rsidR="00C026A6" w:rsidRPr="00EA59C0">
        <w:rPr>
          <w:bCs/>
        </w:rPr>
        <w:t xml:space="preserve"> </w:t>
      </w:r>
      <w:r w:rsidRPr="00EA59C0">
        <w:rPr>
          <w:bCs/>
        </w:rPr>
        <w:t>annual</w:t>
      </w:r>
      <w:r w:rsidR="00C026A6" w:rsidRPr="00EA59C0">
        <w:rPr>
          <w:bCs/>
        </w:rPr>
        <w:t xml:space="preserve"> </w:t>
      </w:r>
      <w:r w:rsidRPr="00EA59C0">
        <w:rPr>
          <w:bCs/>
        </w:rPr>
        <w:t>report</w:t>
      </w:r>
      <w:r w:rsidR="00C026A6" w:rsidRPr="00EA59C0">
        <w:rPr>
          <w:bCs/>
        </w:rPr>
        <w:t xml:space="preserve"> </w:t>
      </w:r>
      <w:r w:rsidRPr="00EA59C0">
        <w:rPr>
          <w:bCs/>
        </w:rPr>
        <w:t>on</w:t>
      </w:r>
      <w:r w:rsidR="00C026A6" w:rsidRPr="00EA59C0">
        <w:rPr>
          <w:bCs/>
        </w:rPr>
        <w:t xml:space="preserve"> </w:t>
      </w:r>
      <w:r w:rsidRPr="00EA59C0">
        <w:rPr>
          <w:bCs/>
        </w:rPr>
        <w:t>behalf</w:t>
      </w:r>
      <w:r w:rsidR="00C026A6" w:rsidRPr="00EA59C0">
        <w:rPr>
          <w:bCs/>
        </w:rPr>
        <w:t xml:space="preserve"> </w:t>
      </w:r>
      <w:r w:rsidRPr="00EA59C0">
        <w:rPr>
          <w:bCs/>
        </w:rPr>
        <w:t>of</w:t>
      </w:r>
      <w:r w:rsidR="00C026A6" w:rsidRPr="00EA59C0">
        <w:rPr>
          <w:bCs/>
        </w:rPr>
        <w:t xml:space="preserve"> </w:t>
      </w:r>
      <w:r w:rsidRPr="00EA59C0">
        <w:rPr>
          <w:bCs/>
        </w:rPr>
        <w:t>the</w:t>
      </w:r>
      <w:r w:rsidR="00C026A6" w:rsidRPr="00EA59C0">
        <w:rPr>
          <w:bCs/>
        </w:rPr>
        <w:t xml:space="preserve"> </w:t>
      </w:r>
      <w:r w:rsidRPr="00EA59C0">
        <w:rPr>
          <w:bCs/>
        </w:rPr>
        <w:t>consortium.</w:t>
      </w:r>
      <w:r w:rsidR="00C026A6" w:rsidRPr="00EA59C0">
        <w:rPr>
          <w:bCs/>
        </w:rPr>
        <w:t xml:space="preserve">  </w:t>
      </w:r>
    </w:p>
    <w:p w:rsidR="005A1CA5" w:rsidRPr="00EA59C0" w:rsidRDefault="005A1CA5" w:rsidP="00FA0E98">
      <w:pPr>
        <w:ind w:left="1800"/>
        <w:rPr>
          <w:bCs/>
        </w:rPr>
      </w:pPr>
    </w:p>
    <w:p w:rsidR="005A1CA5" w:rsidRPr="00EA59C0" w:rsidRDefault="005A1CA5" w:rsidP="008D193C">
      <w:pPr>
        <w:ind w:left="1800"/>
        <w:rPr>
          <w:bCs/>
        </w:rPr>
      </w:pPr>
      <w:r w:rsidRPr="00EA59C0">
        <w:rPr>
          <w:bCs/>
        </w:rPr>
        <w:t>The</w:t>
      </w:r>
      <w:r w:rsidR="00C026A6" w:rsidRPr="00EA59C0">
        <w:rPr>
          <w:bCs/>
        </w:rPr>
        <w:t xml:space="preserve"> </w:t>
      </w:r>
      <w:r w:rsidRPr="00EA59C0">
        <w:rPr>
          <w:bCs/>
        </w:rPr>
        <w:t>last</w:t>
      </w:r>
      <w:r w:rsidR="00C026A6" w:rsidRPr="00EA59C0">
        <w:rPr>
          <w:bCs/>
        </w:rPr>
        <w:t xml:space="preserve"> </w:t>
      </w:r>
      <w:r w:rsidRPr="00EA59C0">
        <w:rPr>
          <w:bCs/>
        </w:rPr>
        <w:t>Annual</w:t>
      </w:r>
      <w:r w:rsidR="00C026A6" w:rsidRPr="00EA59C0">
        <w:rPr>
          <w:bCs/>
        </w:rPr>
        <w:t xml:space="preserve"> </w:t>
      </w:r>
      <w:r w:rsidRPr="00EA59C0">
        <w:rPr>
          <w:bCs/>
        </w:rPr>
        <w:t>Performance</w:t>
      </w:r>
      <w:r w:rsidR="00C026A6" w:rsidRPr="00EA59C0">
        <w:rPr>
          <w:bCs/>
        </w:rPr>
        <w:t xml:space="preserve"> </w:t>
      </w:r>
      <w:r w:rsidRPr="00EA59C0">
        <w:rPr>
          <w:bCs/>
        </w:rPr>
        <w:t>Report</w:t>
      </w:r>
      <w:r w:rsidR="00C026A6" w:rsidRPr="00EA59C0">
        <w:rPr>
          <w:bCs/>
        </w:rPr>
        <w:t xml:space="preserve"> </w:t>
      </w:r>
      <w:r w:rsidRPr="00EA59C0">
        <w:rPr>
          <w:bCs/>
        </w:rPr>
        <w:t>that</w:t>
      </w:r>
      <w:r w:rsidR="00C026A6" w:rsidRPr="00EA59C0">
        <w:rPr>
          <w:bCs/>
        </w:rPr>
        <w:t xml:space="preserve"> </w:t>
      </w:r>
      <w:r w:rsidRPr="00EA59C0">
        <w:rPr>
          <w:bCs/>
        </w:rPr>
        <w:t>grantees</w:t>
      </w:r>
      <w:r w:rsidR="00C026A6" w:rsidRPr="00EA59C0">
        <w:rPr>
          <w:bCs/>
        </w:rPr>
        <w:t xml:space="preserve"> </w:t>
      </w:r>
      <w:r w:rsidRPr="00EA59C0">
        <w:rPr>
          <w:bCs/>
        </w:rPr>
        <w:t>submit</w:t>
      </w:r>
      <w:r w:rsidR="00C026A6" w:rsidRPr="00EA59C0">
        <w:rPr>
          <w:bCs/>
        </w:rPr>
        <w:t xml:space="preserve"> </w:t>
      </w:r>
      <w:r w:rsidRPr="00EA59C0">
        <w:rPr>
          <w:bCs/>
        </w:rPr>
        <w:t>will</w:t>
      </w:r>
      <w:r w:rsidR="00C026A6" w:rsidRPr="00EA59C0">
        <w:rPr>
          <w:bCs/>
        </w:rPr>
        <w:t xml:space="preserve"> </w:t>
      </w:r>
      <w:r w:rsidRPr="00EA59C0">
        <w:rPr>
          <w:bCs/>
        </w:rPr>
        <w:t>serve</w:t>
      </w:r>
      <w:r w:rsidR="00C026A6" w:rsidRPr="00EA59C0">
        <w:rPr>
          <w:bCs/>
        </w:rPr>
        <w:t xml:space="preserve"> </w:t>
      </w:r>
      <w:r w:rsidRPr="00EA59C0">
        <w:rPr>
          <w:bCs/>
        </w:rPr>
        <w:t>as</w:t>
      </w:r>
      <w:r w:rsidR="00C026A6" w:rsidRPr="00EA59C0">
        <w:rPr>
          <w:bCs/>
        </w:rPr>
        <w:t xml:space="preserve"> </w:t>
      </w:r>
      <w:r w:rsidRPr="00EA59C0">
        <w:rPr>
          <w:bCs/>
        </w:rPr>
        <w:t>the</w:t>
      </w:r>
      <w:r w:rsidR="00C026A6" w:rsidRPr="00EA59C0">
        <w:rPr>
          <w:bCs/>
        </w:rPr>
        <w:t xml:space="preserve"> </w:t>
      </w:r>
      <w:r w:rsidRPr="00EA59C0">
        <w:rPr>
          <w:bCs/>
        </w:rPr>
        <w:t>grant’s</w:t>
      </w:r>
      <w:r w:rsidR="00C026A6" w:rsidRPr="00EA59C0">
        <w:rPr>
          <w:bCs/>
        </w:rPr>
        <w:t xml:space="preserve"> </w:t>
      </w:r>
      <w:r w:rsidRPr="00EA59C0">
        <w:rPr>
          <w:bCs/>
        </w:rPr>
        <w:t>Final</w:t>
      </w:r>
      <w:r w:rsidR="00C026A6" w:rsidRPr="00EA59C0">
        <w:rPr>
          <w:bCs/>
        </w:rPr>
        <w:t xml:space="preserve"> </w:t>
      </w:r>
      <w:r w:rsidRPr="00EA59C0">
        <w:rPr>
          <w:bCs/>
        </w:rPr>
        <w:t>Performance</w:t>
      </w:r>
      <w:r w:rsidR="00C026A6" w:rsidRPr="00EA59C0">
        <w:rPr>
          <w:bCs/>
        </w:rPr>
        <w:t xml:space="preserve"> </w:t>
      </w:r>
      <w:r w:rsidRPr="00EA59C0">
        <w:rPr>
          <w:bCs/>
        </w:rPr>
        <w:t>Report.</w:t>
      </w:r>
      <w:r w:rsidR="00C026A6" w:rsidRPr="00EA59C0">
        <w:rPr>
          <w:bCs/>
        </w:rPr>
        <w:t xml:space="preserve">  </w:t>
      </w:r>
      <w:r w:rsidRPr="00EA59C0">
        <w:rPr>
          <w:bCs/>
        </w:rPr>
        <w:t>This</w:t>
      </w:r>
      <w:r w:rsidR="00C026A6" w:rsidRPr="00EA59C0">
        <w:rPr>
          <w:bCs/>
        </w:rPr>
        <w:t xml:space="preserve"> </w:t>
      </w:r>
      <w:r w:rsidRPr="00EA59C0">
        <w:rPr>
          <w:bCs/>
        </w:rPr>
        <w:t>report</w:t>
      </w:r>
      <w:r w:rsidR="00C026A6" w:rsidRPr="00EA59C0">
        <w:rPr>
          <w:bCs/>
        </w:rPr>
        <w:t xml:space="preserve"> </w:t>
      </w:r>
      <w:r w:rsidRPr="00EA59C0">
        <w:rPr>
          <w:bCs/>
        </w:rPr>
        <w:t>should</w:t>
      </w:r>
      <w:r w:rsidR="00C026A6" w:rsidRPr="00EA59C0">
        <w:rPr>
          <w:bCs/>
        </w:rPr>
        <w:t xml:space="preserve"> </w:t>
      </w:r>
      <w:r w:rsidRPr="00EA59C0">
        <w:rPr>
          <w:bCs/>
        </w:rPr>
        <w:t>provide</w:t>
      </w:r>
      <w:r w:rsidR="00C026A6" w:rsidRPr="00EA59C0">
        <w:rPr>
          <w:bCs/>
        </w:rPr>
        <w:t xml:space="preserve"> </w:t>
      </w:r>
      <w:r w:rsidRPr="00EA59C0">
        <w:rPr>
          <w:bCs/>
        </w:rPr>
        <w:t>both</w:t>
      </w:r>
      <w:r w:rsidR="00C026A6" w:rsidRPr="00EA59C0">
        <w:rPr>
          <w:bCs/>
        </w:rPr>
        <w:t xml:space="preserve"> </w:t>
      </w:r>
      <w:r w:rsidRPr="00EA59C0">
        <w:rPr>
          <w:bCs/>
        </w:rPr>
        <w:t>annual</w:t>
      </w:r>
      <w:r w:rsidR="00C026A6" w:rsidRPr="00EA59C0">
        <w:rPr>
          <w:bCs/>
        </w:rPr>
        <w:t xml:space="preserve"> </w:t>
      </w:r>
      <w:r w:rsidRPr="00EA59C0">
        <w:rPr>
          <w:bCs/>
        </w:rPr>
        <w:t>and</w:t>
      </w:r>
      <w:r w:rsidR="00C026A6" w:rsidRPr="00EA59C0">
        <w:rPr>
          <w:bCs/>
        </w:rPr>
        <w:t xml:space="preserve"> </w:t>
      </w:r>
      <w:r w:rsidRPr="00EA59C0">
        <w:rPr>
          <w:bCs/>
        </w:rPr>
        <w:t>cumulative</w:t>
      </w:r>
      <w:r w:rsidR="00C026A6" w:rsidRPr="00EA59C0">
        <w:rPr>
          <w:bCs/>
        </w:rPr>
        <w:t xml:space="preserve"> </w:t>
      </w:r>
      <w:r w:rsidRPr="00EA59C0">
        <w:rPr>
          <w:bCs/>
        </w:rPr>
        <w:t>information</w:t>
      </w:r>
      <w:r w:rsidR="00C026A6" w:rsidRPr="00EA59C0">
        <w:rPr>
          <w:bCs/>
        </w:rPr>
        <w:t xml:space="preserve"> </w:t>
      </w:r>
      <w:r w:rsidRPr="00EA59C0">
        <w:rPr>
          <w:bCs/>
        </w:rPr>
        <w:t>on</w:t>
      </w:r>
      <w:r w:rsidR="00C026A6" w:rsidRPr="00EA59C0">
        <w:rPr>
          <w:bCs/>
        </w:rPr>
        <w:t xml:space="preserve"> </w:t>
      </w:r>
      <w:r w:rsidRPr="00EA59C0">
        <w:rPr>
          <w:bCs/>
        </w:rPr>
        <w:t>the</w:t>
      </w:r>
      <w:r w:rsidR="00C026A6" w:rsidRPr="00EA59C0">
        <w:rPr>
          <w:bCs/>
        </w:rPr>
        <w:t xml:space="preserve"> </w:t>
      </w:r>
      <w:r w:rsidRPr="00EA59C0">
        <w:rPr>
          <w:bCs/>
        </w:rPr>
        <w:t>grant’s</w:t>
      </w:r>
      <w:r w:rsidR="00C026A6" w:rsidRPr="00EA59C0">
        <w:rPr>
          <w:bCs/>
        </w:rPr>
        <w:t xml:space="preserve"> </w:t>
      </w:r>
      <w:r w:rsidRPr="00EA59C0">
        <w:rPr>
          <w:bCs/>
        </w:rPr>
        <w:t>activities.</w:t>
      </w:r>
    </w:p>
    <w:p w:rsidR="005A1CA5" w:rsidRPr="00EA59C0" w:rsidRDefault="005A1CA5" w:rsidP="00FA0E98">
      <w:pPr>
        <w:ind w:left="1800"/>
        <w:rPr>
          <w:bCs/>
        </w:rPr>
      </w:pPr>
    </w:p>
    <w:p w:rsidR="00FB4DCC" w:rsidRPr="00EA59C0" w:rsidRDefault="005A1CA5" w:rsidP="008D193C">
      <w:pPr>
        <w:ind w:left="1800"/>
        <w:rPr>
          <w:bCs/>
        </w:rPr>
      </w:pPr>
      <w:r w:rsidRPr="00EA59C0">
        <w:rPr>
          <w:bCs/>
        </w:rPr>
        <w:t>Failure</w:t>
      </w:r>
      <w:r w:rsidR="00C026A6" w:rsidRPr="00EA59C0">
        <w:rPr>
          <w:bCs/>
        </w:rPr>
        <w:t xml:space="preserve"> </w:t>
      </w:r>
      <w:r w:rsidRPr="00EA59C0">
        <w:rPr>
          <w:bCs/>
        </w:rPr>
        <w:t>to</w:t>
      </w:r>
      <w:r w:rsidR="00C026A6" w:rsidRPr="00EA59C0">
        <w:rPr>
          <w:bCs/>
        </w:rPr>
        <w:t xml:space="preserve"> </w:t>
      </w:r>
      <w:r w:rsidRPr="00EA59C0">
        <w:rPr>
          <w:bCs/>
        </w:rPr>
        <w:t>report</w:t>
      </w:r>
      <w:r w:rsidR="00C026A6" w:rsidRPr="00EA59C0">
        <w:rPr>
          <w:bCs/>
        </w:rPr>
        <w:t xml:space="preserve"> </w:t>
      </w:r>
      <w:r w:rsidRPr="00EA59C0">
        <w:rPr>
          <w:bCs/>
        </w:rPr>
        <w:t>in</w:t>
      </w:r>
      <w:r w:rsidR="00C026A6" w:rsidRPr="00EA59C0">
        <w:rPr>
          <w:bCs/>
        </w:rPr>
        <w:t xml:space="preserve"> </w:t>
      </w:r>
      <w:r w:rsidRPr="00EA59C0">
        <w:rPr>
          <w:bCs/>
        </w:rPr>
        <w:t>a</w:t>
      </w:r>
      <w:r w:rsidR="00C026A6" w:rsidRPr="00EA59C0">
        <w:rPr>
          <w:bCs/>
        </w:rPr>
        <w:t xml:space="preserve"> </w:t>
      </w:r>
      <w:r w:rsidRPr="00EA59C0">
        <w:rPr>
          <w:bCs/>
        </w:rPr>
        <w:t>timely</w:t>
      </w:r>
      <w:r w:rsidR="00C026A6" w:rsidRPr="00EA59C0">
        <w:rPr>
          <w:bCs/>
        </w:rPr>
        <w:t xml:space="preserve"> </w:t>
      </w:r>
      <w:r w:rsidRPr="00EA59C0">
        <w:rPr>
          <w:bCs/>
        </w:rPr>
        <w:t>and</w:t>
      </w:r>
      <w:r w:rsidR="00C026A6" w:rsidRPr="00EA59C0">
        <w:rPr>
          <w:bCs/>
        </w:rPr>
        <w:t xml:space="preserve"> </w:t>
      </w:r>
      <w:r w:rsidRPr="00EA59C0">
        <w:rPr>
          <w:bCs/>
        </w:rPr>
        <w:t>accurate</w:t>
      </w:r>
      <w:r w:rsidR="00C026A6" w:rsidRPr="00EA59C0">
        <w:rPr>
          <w:bCs/>
        </w:rPr>
        <w:t xml:space="preserve"> </w:t>
      </w:r>
      <w:r w:rsidRPr="00EA59C0">
        <w:rPr>
          <w:bCs/>
        </w:rPr>
        <w:t>manner</w:t>
      </w:r>
      <w:r w:rsidR="00C026A6" w:rsidRPr="00EA59C0">
        <w:rPr>
          <w:bCs/>
        </w:rPr>
        <w:t xml:space="preserve"> </w:t>
      </w:r>
      <w:r w:rsidRPr="00EA59C0">
        <w:rPr>
          <w:bCs/>
        </w:rPr>
        <w:t>during</w:t>
      </w:r>
      <w:r w:rsidR="00C026A6" w:rsidRPr="00EA59C0">
        <w:rPr>
          <w:bCs/>
        </w:rPr>
        <w:t xml:space="preserve"> </w:t>
      </w:r>
      <w:r w:rsidRPr="00EA59C0">
        <w:rPr>
          <w:bCs/>
        </w:rPr>
        <w:t>the</w:t>
      </w:r>
      <w:r w:rsidR="00C026A6" w:rsidRPr="00EA59C0">
        <w:rPr>
          <w:bCs/>
        </w:rPr>
        <w:t xml:space="preserve"> </w:t>
      </w:r>
      <w:r w:rsidRPr="00EA59C0">
        <w:rPr>
          <w:bCs/>
        </w:rPr>
        <w:t>implementation</w:t>
      </w:r>
      <w:r w:rsidR="00C026A6" w:rsidRPr="00EA59C0">
        <w:rPr>
          <w:bCs/>
        </w:rPr>
        <w:t xml:space="preserve"> </w:t>
      </w:r>
      <w:r w:rsidRPr="00EA59C0">
        <w:rPr>
          <w:bCs/>
        </w:rPr>
        <w:t>period</w:t>
      </w:r>
      <w:r w:rsidR="00C026A6" w:rsidRPr="00EA59C0">
        <w:rPr>
          <w:bCs/>
        </w:rPr>
        <w:t xml:space="preserve"> </w:t>
      </w:r>
      <w:r w:rsidRPr="00EA59C0">
        <w:rPr>
          <w:bCs/>
        </w:rPr>
        <w:t>of</w:t>
      </w:r>
      <w:r w:rsidR="00C026A6" w:rsidRPr="00EA59C0">
        <w:rPr>
          <w:bCs/>
        </w:rPr>
        <w:t xml:space="preserve"> </w:t>
      </w:r>
      <w:r w:rsidRPr="00EA59C0">
        <w:rPr>
          <w:bCs/>
        </w:rPr>
        <w:t>any</w:t>
      </w:r>
      <w:r w:rsidR="00C026A6" w:rsidRPr="00EA59C0">
        <w:rPr>
          <w:bCs/>
        </w:rPr>
        <w:t xml:space="preserve"> </w:t>
      </w:r>
      <w:r w:rsidRPr="00EA59C0">
        <w:rPr>
          <w:bCs/>
        </w:rPr>
        <w:t>grant</w:t>
      </w:r>
      <w:r w:rsidR="00C026A6" w:rsidRPr="00EA59C0">
        <w:rPr>
          <w:bCs/>
        </w:rPr>
        <w:t xml:space="preserve"> </w:t>
      </w:r>
      <w:r w:rsidRPr="00EA59C0">
        <w:rPr>
          <w:bCs/>
        </w:rPr>
        <w:t>awarded</w:t>
      </w:r>
      <w:r w:rsidR="00C026A6" w:rsidRPr="00EA59C0">
        <w:rPr>
          <w:bCs/>
        </w:rPr>
        <w:t xml:space="preserve"> </w:t>
      </w:r>
      <w:r w:rsidRPr="00EA59C0">
        <w:rPr>
          <w:bCs/>
        </w:rPr>
        <w:t>may</w:t>
      </w:r>
      <w:r w:rsidR="00C026A6" w:rsidRPr="00EA59C0">
        <w:rPr>
          <w:bCs/>
        </w:rPr>
        <w:t xml:space="preserve"> </w:t>
      </w:r>
      <w:r w:rsidRPr="00EA59C0">
        <w:rPr>
          <w:bCs/>
        </w:rPr>
        <w:t>impact</w:t>
      </w:r>
      <w:r w:rsidR="00C026A6" w:rsidRPr="00EA59C0">
        <w:rPr>
          <w:bCs/>
        </w:rPr>
        <w:t xml:space="preserve"> </w:t>
      </w:r>
      <w:r w:rsidRPr="00EA59C0">
        <w:rPr>
          <w:bCs/>
        </w:rPr>
        <w:t>the</w:t>
      </w:r>
      <w:r w:rsidR="00C026A6" w:rsidRPr="00EA59C0">
        <w:rPr>
          <w:bCs/>
        </w:rPr>
        <w:t xml:space="preserve"> </w:t>
      </w:r>
      <w:r w:rsidRPr="00EA59C0">
        <w:rPr>
          <w:bCs/>
        </w:rPr>
        <w:t>decision</w:t>
      </w:r>
      <w:r w:rsidR="00C026A6" w:rsidRPr="00EA59C0">
        <w:rPr>
          <w:bCs/>
        </w:rPr>
        <w:t xml:space="preserve"> </w:t>
      </w:r>
      <w:r w:rsidRPr="00EA59C0">
        <w:rPr>
          <w:bCs/>
        </w:rPr>
        <w:t>by</w:t>
      </w:r>
      <w:r w:rsidR="00C026A6" w:rsidRPr="00EA59C0">
        <w:rPr>
          <w:bCs/>
        </w:rPr>
        <w:t xml:space="preserve"> </w:t>
      </w:r>
      <w:r w:rsidRPr="00EA59C0">
        <w:rPr>
          <w:bCs/>
        </w:rPr>
        <w:t>DOL/ETA</w:t>
      </w:r>
      <w:r w:rsidR="00C026A6" w:rsidRPr="00EA59C0">
        <w:rPr>
          <w:bCs/>
        </w:rPr>
        <w:t xml:space="preserve"> </w:t>
      </w:r>
      <w:r w:rsidRPr="00EA59C0">
        <w:rPr>
          <w:bCs/>
        </w:rPr>
        <w:t>to</w:t>
      </w:r>
      <w:r w:rsidR="00C026A6" w:rsidRPr="00EA59C0">
        <w:rPr>
          <w:bCs/>
        </w:rPr>
        <w:t xml:space="preserve"> </w:t>
      </w:r>
      <w:r w:rsidRPr="00EA59C0">
        <w:rPr>
          <w:bCs/>
        </w:rPr>
        <w:t>award</w:t>
      </w:r>
      <w:r w:rsidR="00C026A6" w:rsidRPr="00EA59C0">
        <w:rPr>
          <w:bCs/>
        </w:rPr>
        <w:t xml:space="preserve"> </w:t>
      </w:r>
      <w:r w:rsidRPr="00EA59C0">
        <w:rPr>
          <w:bCs/>
        </w:rPr>
        <w:t>any</w:t>
      </w:r>
      <w:r w:rsidR="00C026A6" w:rsidRPr="00EA59C0">
        <w:rPr>
          <w:bCs/>
        </w:rPr>
        <w:t xml:space="preserve"> </w:t>
      </w:r>
      <w:r w:rsidRPr="00EA59C0">
        <w:rPr>
          <w:bCs/>
        </w:rPr>
        <w:t>future</w:t>
      </w:r>
      <w:r w:rsidR="00C026A6" w:rsidRPr="00EA59C0">
        <w:rPr>
          <w:bCs/>
        </w:rPr>
        <w:t xml:space="preserve"> </w:t>
      </w:r>
      <w:r w:rsidRPr="00EA59C0">
        <w:rPr>
          <w:bCs/>
        </w:rPr>
        <w:t>grants</w:t>
      </w:r>
      <w:r w:rsidR="00C026A6" w:rsidRPr="00EA59C0">
        <w:rPr>
          <w:bCs/>
        </w:rPr>
        <w:t xml:space="preserve"> </w:t>
      </w:r>
      <w:r w:rsidRPr="00EA59C0">
        <w:rPr>
          <w:bCs/>
        </w:rPr>
        <w:t>to</w:t>
      </w:r>
      <w:r w:rsidR="00C026A6" w:rsidRPr="00EA59C0">
        <w:rPr>
          <w:bCs/>
        </w:rPr>
        <w:t xml:space="preserve"> </w:t>
      </w:r>
      <w:r w:rsidRPr="00EA59C0">
        <w:rPr>
          <w:bCs/>
        </w:rPr>
        <w:t>the</w:t>
      </w:r>
      <w:r w:rsidR="00C026A6" w:rsidRPr="00EA59C0">
        <w:rPr>
          <w:bCs/>
        </w:rPr>
        <w:t xml:space="preserve"> </w:t>
      </w:r>
      <w:r w:rsidRPr="00EA59C0">
        <w:rPr>
          <w:bCs/>
        </w:rPr>
        <w:t>grantee.</w:t>
      </w:r>
    </w:p>
    <w:p w:rsidR="005A1CA5" w:rsidRPr="00EA59C0" w:rsidRDefault="005A1CA5" w:rsidP="00FA0E98"/>
    <w:bookmarkEnd w:id="73"/>
    <w:bookmarkEnd w:id="74"/>
    <w:bookmarkEnd w:id="75"/>
    <w:bookmarkEnd w:id="76"/>
    <w:p w:rsidR="004B3230" w:rsidRPr="00EA59C0" w:rsidRDefault="004B3230" w:rsidP="006A00B3">
      <w:pPr>
        <w:pStyle w:val="Heading1"/>
        <w:numPr>
          <w:ilvl w:val="0"/>
          <w:numId w:val="17"/>
        </w:numPr>
        <w:rPr>
          <w:rFonts w:ascii="Times New Roman" w:hAnsi="Times New Roman"/>
        </w:rPr>
      </w:pPr>
      <w:r w:rsidRPr="00EA59C0">
        <w:rPr>
          <w:rFonts w:ascii="Times New Roman" w:hAnsi="Times New Roman"/>
        </w:rPr>
        <w:t>Agency</w:t>
      </w:r>
      <w:r w:rsidR="00C026A6" w:rsidRPr="00EA59C0">
        <w:rPr>
          <w:rFonts w:ascii="Times New Roman" w:hAnsi="Times New Roman"/>
        </w:rPr>
        <w:t xml:space="preserve"> </w:t>
      </w:r>
      <w:r w:rsidRPr="00EA59C0">
        <w:rPr>
          <w:rFonts w:ascii="Times New Roman" w:hAnsi="Times New Roman"/>
        </w:rPr>
        <w:t>Contacts</w:t>
      </w:r>
    </w:p>
    <w:p w:rsidR="004B3230" w:rsidRPr="00EA59C0" w:rsidRDefault="004B3230" w:rsidP="00FA0E98">
      <w:pPr>
        <w:pStyle w:val="HTMLPreformatted"/>
        <w:ind w:left="720"/>
        <w:rPr>
          <w:rFonts w:ascii="Times New Roman" w:hAnsi="Times New Roman" w:cs="Times New Roman"/>
          <w:bCs/>
          <w:sz w:val="24"/>
          <w:szCs w:val="24"/>
        </w:rPr>
      </w:pPr>
      <w:r w:rsidRPr="00EA59C0">
        <w:rPr>
          <w:rFonts w:ascii="Times New Roman" w:hAnsi="Times New Roman" w:cs="Times New Roman"/>
          <w:bCs/>
          <w:sz w:val="24"/>
          <w:szCs w:val="24"/>
        </w:rPr>
        <w:t>For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further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about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SGA,</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please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contact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Melissa</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Abdullah,</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Grants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Management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Specialist,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Office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Grants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Management,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(202)</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693-3346.</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Applicants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should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e-mail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technical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questions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to</w:t>
      </w:r>
      <w:r w:rsidR="00C026A6" w:rsidRPr="00EA59C0">
        <w:rPr>
          <w:rFonts w:ascii="Times New Roman" w:hAnsi="Times New Roman" w:cs="Times New Roman"/>
          <w:bCs/>
          <w:sz w:val="24"/>
          <w:szCs w:val="24"/>
        </w:rPr>
        <w:t xml:space="preserve"> </w:t>
      </w:r>
      <w:hyperlink r:id="rId280" w:history="1">
        <w:r w:rsidRPr="00EA59C0">
          <w:rPr>
            <w:rStyle w:val="Hyperlink"/>
            <w:rFonts w:ascii="Times New Roman" w:hAnsi="Times New Roman"/>
            <w:bCs/>
            <w:color w:val="auto"/>
            <w:sz w:val="24"/>
            <w:szCs w:val="24"/>
          </w:rPr>
          <w:t>abdullah.melissa@dol.gov</w:t>
        </w:r>
      </w:hyperlink>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must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specifically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reference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SGA/DFA</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PY</w:t>
      </w:r>
      <w:r w:rsidR="00C026A6" w:rsidRPr="00EA59C0">
        <w:rPr>
          <w:rFonts w:ascii="Times New Roman" w:hAnsi="Times New Roman" w:cs="Times New Roman"/>
          <w:bCs/>
          <w:sz w:val="24"/>
          <w:szCs w:val="24"/>
        </w:rPr>
        <w:t xml:space="preserve"> </w:t>
      </w:r>
      <w:r w:rsidR="003813BB" w:rsidRPr="00EA59C0">
        <w:rPr>
          <w:rFonts w:ascii="Times New Roman" w:hAnsi="Times New Roman" w:cs="Times New Roman"/>
          <w:bCs/>
          <w:sz w:val="24"/>
          <w:szCs w:val="24"/>
        </w:rPr>
        <w:t>13</w:t>
      </w:r>
      <w:r w:rsidRPr="00EA59C0">
        <w:rPr>
          <w:rFonts w:ascii="Times New Roman" w:hAnsi="Times New Roman" w:cs="Times New Roman"/>
          <w:bCs/>
          <w:sz w:val="24"/>
          <w:szCs w:val="24"/>
        </w:rPr>
        <w:t>-</w:t>
      </w:r>
      <w:r w:rsidR="003813BB" w:rsidRPr="00EA59C0">
        <w:rPr>
          <w:rFonts w:ascii="Times New Roman" w:hAnsi="Times New Roman" w:cs="Times New Roman"/>
          <w:bCs/>
          <w:sz w:val="24"/>
          <w:szCs w:val="24"/>
        </w:rPr>
        <w:t>10</w:t>
      </w:r>
      <w:r w:rsidRPr="00EA59C0">
        <w:rPr>
          <w:rFonts w:ascii="Times New Roman" w:hAnsi="Times New Roman" w:cs="Times New Roman"/>
          <w:bCs/>
          <w:sz w:val="24"/>
          <w:szCs w:val="24"/>
        </w:rPr>
        <w: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along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with</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question(s),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include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contact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name,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fax</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phone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number.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announcement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being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made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available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ETA</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Web</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site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at</w:t>
      </w:r>
      <w:r w:rsidR="00C026A6" w:rsidRPr="00EA59C0">
        <w:rPr>
          <w:rFonts w:ascii="Times New Roman" w:hAnsi="Times New Roman" w:cs="Times New Roman"/>
          <w:bCs/>
          <w:sz w:val="24"/>
          <w:szCs w:val="24"/>
        </w:rPr>
        <w:t xml:space="preserve"> </w:t>
      </w:r>
      <w:hyperlink r:id="rId281" w:history="1">
        <w:r w:rsidRPr="00EA59C0">
          <w:rPr>
            <w:rStyle w:val="Hyperlink"/>
            <w:rFonts w:ascii="Times New Roman" w:hAnsi="Times New Roman"/>
            <w:bCs/>
            <w:color w:val="auto"/>
            <w:sz w:val="24"/>
            <w:szCs w:val="24"/>
          </w:rPr>
          <w:t>http://www.doleta.gov/grants</w:t>
        </w:r>
      </w:hyperlink>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at</w:t>
      </w:r>
      <w:r w:rsidR="00C026A6" w:rsidRPr="00EA59C0">
        <w:rPr>
          <w:rFonts w:ascii="Times New Roman" w:hAnsi="Times New Roman" w:cs="Times New Roman"/>
          <w:bCs/>
          <w:sz w:val="24"/>
          <w:szCs w:val="24"/>
        </w:rPr>
        <w:t xml:space="preserve"> </w:t>
      </w:r>
      <w:hyperlink r:id="rId282" w:history="1">
        <w:r w:rsidRPr="00EA59C0">
          <w:rPr>
            <w:rStyle w:val="Hyperlink"/>
            <w:rFonts w:ascii="Times New Roman" w:hAnsi="Times New Roman"/>
            <w:bCs/>
            <w:color w:val="auto"/>
            <w:sz w:val="24"/>
            <w:szCs w:val="24"/>
          </w:rPr>
          <w:t>http://www.grants.gov</w:t>
        </w:r>
      </w:hyperlink>
      <w:r w:rsidRPr="00EA59C0">
        <w:rPr>
          <w:rFonts w:ascii="Times New Roman" w:hAnsi="Times New Roman" w:cs="Times New Roman"/>
          <w:bCs/>
          <w:sz w:val="24"/>
          <w:szCs w:val="24"/>
        </w:rPr>
        <w:t>.</w:t>
      </w:r>
    </w:p>
    <w:p w:rsidR="00171E06" w:rsidRPr="00EA59C0" w:rsidRDefault="00171E06" w:rsidP="00FA0E98">
      <w:pPr>
        <w:pStyle w:val="HTMLPreformatted"/>
        <w:ind w:left="360"/>
        <w:rPr>
          <w:rFonts w:ascii="Times New Roman" w:hAnsi="Times New Roman" w:cs="Times New Roman"/>
          <w:bCs/>
          <w:sz w:val="24"/>
          <w:szCs w:val="24"/>
        </w:rPr>
      </w:pPr>
    </w:p>
    <w:p w:rsidR="004B3230" w:rsidRPr="00EA59C0" w:rsidRDefault="004B3230" w:rsidP="006A00B3">
      <w:pPr>
        <w:pStyle w:val="Heading1"/>
        <w:numPr>
          <w:ilvl w:val="0"/>
          <w:numId w:val="17"/>
        </w:numPr>
        <w:rPr>
          <w:rFonts w:ascii="Times New Roman" w:hAnsi="Times New Roman"/>
        </w:rPr>
      </w:pPr>
      <w:r w:rsidRPr="00EA59C0">
        <w:rPr>
          <w:rFonts w:ascii="Times New Roman" w:hAnsi="Times New Roman"/>
        </w:rPr>
        <w:t>Other</w:t>
      </w:r>
      <w:r w:rsidR="00C026A6" w:rsidRPr="00EA59C0">
        <w:rPr>
          <w:rFonts w:ascii="Times New Roman" w:hAnsi="Times New Roman"/>
        </w:rPr>
        <w:t xml:space="preserve"> </w:t>
      </w:r>
      <w:r w:rsidRPr="00EA59C0">
        <w:rPr>
          <w:rFonts w:ascii="Times New Roman" w:hAnsi="Times New Roman"/>
        </w:rPr>
        <w:t>Information</w:t>
      </w:r>
      <w:r w:rsidR="00C026A6" w:rsidRPr="00EA59C0">
        <w:rPr>
          <w:rFonts w:ascii="Times New Roman" w:hAnsi="Times New Roman"/>
        </w:rPr>
        <w:t xml:space="preserve"> </w:t>
      </w:r>
    </w:p>
    <w:p w:rsidR="004B3230" w:rsidRPr="00EA59C0" w:rsidRDefault="004B3230" w:rsidP="00FA0E98">
      <w:pPr>
        <w:pStyle w:val="HTMLPreformatted"/>
        <w:ind w:left="360"/>
        <w:rPr>
          <w:rFonts w:ascii="Times New Roman" w:hAnsi="Times New Roman" w:cs="Times New Roman"/>
          <w:bCs/>
          <w:sz w:val="24"/>
          <w:szCs w:val="24"/>
        </w:rPr>
      </w:pPr>
    </w:p>
    <w:p w:rsidR="004B3230" w:rsidRPr="00EA59C0" w:rsidRDefault="004B3230" w:rsidP="004C3998">
      <w:pPr>
        <w:pStyle w:val="HTMLPreformatted"/>
        <w:numPr>
          <w:ilvl w:val="1"/>
          <w:numId w:val="17"/>
        </w:numPr>
        <w:rPr>
          <w:rFonts w:ascii="Times New Roman" w:hAnsi="Times New Roman" w:cs="Times New Roman"/>
          <w:bCs/>
          <w:sz w:val="24"/>
          <w:szCs w:val="24"/>
        </w:rPr>
      </w:pPr>
      <w:r w:rsidRPr="00EA59C0">
        <w:rPr>
          <w:rFonts w:ascii="Times New Roman" w:hAnsi="Times New Roman" w:cs="Times New Roman"/>
          <w:bCs/>
          <w:sz w:val="24"/>
          <w:szCs w:val="24"/>
        </w:rPr>
        <w:t>Transparency</w:t>
      </w:r>
    </w:p>
    <w:p w:rsidR="004B3230" w:rsidRPr="00EA59C0" w:rsidRDefault="004B3230" w:rsidP="00FA0E98">
      <w:pPr>
        <w:pStyle w:val="HTMLPreformatted"/>
        <w:ind w:left="720"/>
        <w:rPr>
          <w:rFonts w:ascii="Times New Roman" w:hAnsi="Times New Roman" w:cs="Times New Roman"/>
          <w:bCs/>
          <w:sz w:val="24"/>
          <w:szCs w:val="24"/>
        </w:rPr>
      </w:pPr>
      <w:r w:rsidRPr="00EA59C0">
        <w:rPr>
          <w:rFonts w:ascii="Times New Roman" w:hAnsi="Times New Roman" w:cs="Times New Roman"/>
          <w:bCs/>
          <w:sz w:val="24"/>
          <w:szCs w:val="24"/>
        </w:rPr>
        <w:t>DOL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committed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conducting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transparent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grant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award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process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publicizing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about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program</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outcomes.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Posting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grant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applications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public</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websites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means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promoting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sharing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innovative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ideas.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applications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grant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competition,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will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publish</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Abstracts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required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Section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IV.B.4.,</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selected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from</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SF-424</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applications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Department’s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public</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website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similar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publicly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accessible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location.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Additionally,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will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publish</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version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Project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Narrative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required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Section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IV.B.3</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those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applications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that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are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awarded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grants,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Department’s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website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similar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location.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other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attachments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will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published.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Project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Narratives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Abstracts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will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not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published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until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after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grants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are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announced.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addition,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about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grant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progress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results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may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also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made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publicly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available.</w:t>
      </w:r>
    </w:p>
    <w:p w:rsidR="004B3230" w:rsidRPr="00EA59C0" w:rsidRDefault="004B3230" w:rsidP="00FA0E98">
      <w:pPr>
        <w:pStyle w:val="HTMLPreformatted"/>
        <w:ind w:left="720"/>
        <w:rPr>
          <w:rFonts w:ascii="Times New Roman" w:hAnsi="Times New Roman" w:cs="Times New Roman"/>
          <w:bCs/>
          <w:sz w:val="24"/>
          <w:szCs w:val="24"/>
        </w:rPr>
      </w:pPr>
    </w:p>
    <w:p w:rsidR="004B3230" w:rsidRPr="00EA59C0" w:rsidRDefault="004B3230" w:rsidP="00FA0E98">
      <w:pPr>
        <w:pStyle w:val="HTMLPreformatted"/>
        <w:ind w:left="720"/>
        <w:rPr>
          <w:rFonts w:ascii="Times New Roman" w:hAnsi="Times New Roman" w:cs="Times New Roman"/>
          <w:bCs/>
          <w:sz w:val="24"/>
          <w:szCs w:val="24"/>
        </w:rPr>
      </w:pPr>
      <w:r w:rsidRPr="00EA59C0">
        <w:rPr>
          <w:rFonts w:ascii="Times New Roman" w:hAnsi="Times New Roman" w:cs="Times New Roman"/>
          <w:bCs/>
          <w:sz w:val="24"/>
          <w:szCs w:val="24"/>
        </w:rPr>
        <w:t>DOL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recognizes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that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grant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applications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sometimes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contain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that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may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consider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proprietary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business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confidential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may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contain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personally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identifiable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(PII).</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Proprietary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business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confidential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that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not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usually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disclosed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outside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your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organization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disclosing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likely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cause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you</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substantial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competitive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harm.</w:t>
      </w:r>
    </w:p>
    <w:p w:rsidR="004B3230" w:rsidRPr="00EA59C0" w:rsidRDefault="004B3230" w:rsidP="00FA0E98">
      <w:pPr>
        <w:pStyle w:val="HTMLPreformatted"/>
        <w:ind w:left="720"/>
        <w:rPr>
          <w:rFonts w:ascii="Times New Roman" w:hAnsi="Times New Roman" w:cs="Times New Roman"/>
          <w:bCs/>
          <w:sz w:val="24"/>
          <w:szCs w:val="24"/>
        </w:rPr>
      </w:pPr>
    </w:p>
    <w:p w:rsidR="004B3230" w:rsidRPr="00EA59C0" w:rsidRDefault="004B3230" w:rsidP="00FA0E98">
      <w:pPr>
        <w:pStyle w:val="HTMLPreformatted"/>
        <w:ind w:left="720"/>
        <w:rPr>
          <w:rFonts w:ascii="Times New Roman" w:hAnsi="Times New Roman" w:cs="Times New Roman"/>
          <w:bCs/>
          <w:sz w:val="24"/>
          <w:szCs w:val="24"/>
        </w:rPr>
      </w:pPr>
      <w:r w:rsidRPr="00EA59C0">
        <w:rPr>
          <w:rFonts w:ascii="Times New Roman" w:hAnsi="Times New Roman" w:cs="Times New Roman"/>
          <w:bCs/>
          <w:sz w:val="24"/>
          <w:szCs w:val="24"/>
        </w:rPr>
        <w:t>PII</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that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can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used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distinguish</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trace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individual’s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identity,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such</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name,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social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security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number,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date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place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birth,</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mother’s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maiden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name,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biometric</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records,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other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that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linked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linkable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individual,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such</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medical,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educational,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financial,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employment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p>
    <w:p w:rsidR="004B3230" w:rsidRPr="00EA59C0" w:rsidRDefault="004B3230" w:rsidP="00FA0E98">
      <w:pPr>
        <w:pStyle w:val="HTMLPreformatted"/>
        <w:ind w:left="720"/>
        <w:rPr>
          <w:rFonts w:ascii="Times New Roman" w:hAnsi="Times New Roman" w:cs="Times New Roman"/>
          <w:bCs/>
          <w:sz w:val="24"/>
          <w:szCs w:val="24"/>
        </w:rPr>
      </w:pPr>
    </w:p>
    <w:p w:rsidR="004B3230" w:rsidRPr="00EA59C0" w:rsidRDefault="004B3230" w:rsidP="00FA0E98">
      <w:pPr>
        <w:pStyle w:val="HTMLPreformatted"/>
        <w:ind w:left="720"/>
        <w:rPr>
          <w:rFonts w:ascii="Times New Roman" w:hAnsi="Times New Roman" w:cs="Times New Roman"/>
          <w:bCs/>
          <w:sz w:val="24"/>
          <w:szCs w:val="24"/>
        </w:rPr>
      </w:pPr>
      <w:r w:rsidRPr="00EA59C0">
        <w:rPr>
          <w:rFonts w:ascii="Times New Roman" w:hAnsi="Times New Roman" w:cs="Times New Roman"/>
          <w:bCs/>
          <w:sz w:val="24"/>
          <w:szCs w:val="24"/>
        </w:rPr>
        <w:t>Abstracts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will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published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form</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originally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submitted,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without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redactions.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Applicants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should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not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include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proprietary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confidential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business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PII</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summary.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event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that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submits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proprietary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confidential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business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PII,</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DOL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not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liable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posting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contained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Abstract.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submission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grant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constitutes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waiver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applicant’s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objection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posting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proprietary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confidential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business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contained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Abstract.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Additionally,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responsible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obtaining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authorizations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from</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relevant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parties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publishing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PII</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contained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within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Abstract.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event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Abstract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contains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proprietary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confidential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business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PII,</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presumed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have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obtained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necessary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authorizations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provide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may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liable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improper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release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p>
    <w:p w:rsidR="004B3230" w:rsidRPr="00EA59C0" w:rsidRDefault="004B3230" w:rsidP="00FA0E98">
      <w:pPr>
        <w:pStyle w:val="HTMLPreformatted"/>
        <w:ind w:left="720"/>
        <w:rPr>
          <w:rFonts w:ascii="Times New Roman" w:hAnsi="Times New Roman" w:cs="Times New Roman"/>
          <w:bCs/>
          <w:sz w:val="24"/>
          <w:szCs w:val="24"/>
        </w:rPr>
      </w:pPr>
    </w:p>
    <w:p w:rsidR="004B3230" w:rsidRPr="00EA59C0" w:rsidRDefault="004B3230" w:rsidP="00FA0E98">
      <w:pPr>
        <w:pStyle w:val="HTMLPreformatted"/>
        <w:ind w:left="720"/>
        <w:rPr>
          <w:rFonts w:ascii="Times New Roman" w:hAnsi="Times New Roman" w:cs="Times New Roman"/>
          <w:bCs/>
          <w:sz w:val="24"/>
          <w:szCs w:val="24"/>
        </w:rPr>
      </w:pPr>
      <w:r w:rsidRPr="00EA59C0">
        <w:rPr>
          <w:rFonts w:ascii="Times New Roman" w:hAnsi="Times New Roman" w:cs="Times New Roman"/>
          <w:bCs/>
          <w:sz w:val="24"/>
          <w:szCs w:val="24"/>
        </w:rPr>
        <w:t>By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submission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grant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agrees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indemnify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hold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harmless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United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States,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U.S.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Department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Labor,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officers,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employees,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agents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against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liability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loss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damages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arising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from</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such</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submission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grant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further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acknowledges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having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authority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execute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release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liability.</w:t>
      </w:r>
      <w:r w:rsidR="00C026A6" w:rsidRPr="00EA59C0">
        <w:rPr>
          <w:rFonts w:ascii="Times New Roman" w:hAnsi="Times New Roman" w:cs="Times New Roman"/>
          <w:bCs/>
          <w:sz w:val="24"/>
          <w:szCs w:val="24"/>
        </w:rPr>
        <w:t xml:space="preserve"> </w:t>
      </w:r>
    </w:p>
    <w:p w:rsidR="004B3230" w:rsidRPr="00EA59C0" w:rsidRDefault="004B3230" w:rsidP="00FA0E98">
      <w:pPr>
        <w:pStyle w:val="HTMLPreformatted"/>
        <w:ind w:left="720"/>
        <w:rPr>
          <w:rFonts w:ascii="Times New Roman" w:hAnsi="Times New Roman" w:cs="Times New Roman"/>
          <w:bCs/>
          <w:sz w:val="24"/>
          <w:szCs w:val="24"/>
        </w:rPr>
      </w:pPr>
    </w:p>
    <w:p w:rsidR="004B3230" w:rsidRPr="00EA59C0" w:rsidRDefault="004B3230" w:rsidP="00FA0E98">
      <w:pPr>
        <w:pStyle w:val="HTMLPreformatted"/>
        <w:ind w:left="720"/>
        <w:rPr>
          <w:rFonts w:ascii="Times New Roman" w:hAnsi="Times New Roman" w:cs="Times New Roman"/>
          <w:bCs/>
          <w:sz w:val="24"/>
          <w:szCs w:val="24"/>
        </w:rPr>
      </w:pPr>
      <w:r w:rsidRPr="00EA59C0">
        <w:rPr>
          <w:rFonts w:ascii="Times New Roman" w:hAnsi="Times New Roman" w:cs="Times New Roman"/>
          <w:bCs/>
          <w:sz w:val="24"/>
          <w:szCs w:val="24"/>
        </w:rPr>
        <w:t>In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order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ensure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that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proprietary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confidential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business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PII</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properly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protected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from</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disclosure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when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DOL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posts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winning</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Project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Narratives,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applicants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whose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Project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Narratives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will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posted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will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asked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submit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second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redacted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version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their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Project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Narrative,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with</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proprietary,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confidential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commercial/business,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PII</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redacted.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non-public</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information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about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applicant’s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consortium</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members’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staff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(if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applicable)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should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removed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well.</w:t>
      </w:r>
    </w:p>
    <w:p w:rsidR="004B3230" w:rsidRPr="00EA59C0" w:rsidRDefault="004B3230" w:rsidP="00FA0E98">
      <w:pPr>
        <w:pStyle w:val="HTMLPreformatted"/>
        <w:ind w:left="720"/>
        <w:rPr>
          <w:rFonts w:ascii="Times New Roman" w:hAnsi="Times New Roman" w:cs="Times New Roman"/>
          <w:bCs/>
          <w:sz w:val="24"/>
          <w:szCs w:val="24"/>
        </w:rPr>
      </w:pPr>
    </w:p>
    <w:p w:rsidR="004B3230" w:rsidRPr="00EA59C0" w:rsidRDefault="004B3230" w:rsidP="00FA0E98">
      <w:pPr>
        <w:pStyle w:val="HTMLPreformatted"/>
        <w:ind w:left="720"/>
        <w:rPr>
          <w:rFonts w:ascii="Times New Roman" w:hAnsi="Times New Roman" w:cs="Times New Roman"/>
          <w:bCs/>
          <w:sz w:val="24"/>
          <w:szCs w:val="24"/>
        </w:rPr>
      </w:pP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Department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will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contact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applicants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whose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Project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Narratives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will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published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by</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letter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email,</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provide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further</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directions</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about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how</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and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when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to</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submit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redacted</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version</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of</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the</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Project</w:t>
      </w:r>
      <w:r w:rsidR="00C026A6" w:rsidRPr="00EA59C0">
        <w:rPr>
          <w:rFonts w:ascii="Times New Roman" w:hAnsi="Times New Roman" w:cs="Times New Roman"/>
          <w:bCs/>
          <w:sz w:val="24"/>
          <w:szCs w:val="24"/>
        </w:rPr>
        <w:t xml:space="preserve"> </w:t>
      </w:r>
      <w:r w:rsidRPr="00EA59C0">
        <w:rPr>
          <w:rFonts w:ascii="Times New Roman" w:hAnsi="Times New Roman" w:cs="Times New Roman"/>
          <w:bCs/>
          <w:sz w:val="24"/>
          <w:szCs w:val="24"/>
        </w:rPr>
        <w:t>Narrative.</w:t>
      </w:r>
    </w:p>
    <w:p w:rsidR="00C463E1" w:rsidRPr="00EA59C0" w:rsidRDefault="00C463E1" w:rsidP="00FA0E98">
      <w:pPr>
        <w:pStyle w:val="HTMLPreformatted"/>
        <w:ind w:left="720"/>
        <w:rPr>
          <w:rFonts w:ascii="Times New Roman" w:hAnsi="Times New Roman" w:cs="Times New Roman"/>
          <w:sz w:val="24"/>
          <w:szCs w:val="24"/>
        </w:rPr>
      </w:pPr>
    </w:p>
    <w:p w:rsidR="00C463E1" w:rsidRPr="00EA59C0" w:rsidRDefault="00C463E1" w:rsidP="00FA0E98">
      <w:pPr>
        <w:pStyle w:val="HTMLPreformatted"/>
        <w:ind w:left="720"/>
        <w:rPr>
          <w:rFonts w:ascii="Times New Roman" w:hAnsi="Times New Roman" w:cs="Times New Roman"/>
          <w:sz w:val="24"/>
          <w:szCs w:val="24"/>
        </w:rPr>
      </w:pPr>
      <w:r w:rsidRPr="00EA59C0">
        <w:rPr>
          <w:rFonts w:ascii="Times New Roman" w:hAnsi="Times New Roman" w:cs="Times New Roman"/>
          <w:sz w:val="24"/>
          <w:szCs w:val="24"/>
        </w:rPr>
        <w:t>Submission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redacted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version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00910A8E" w:rsidRPr="00EA59C0">
        <w:rPr>
          <w:rFonts w:ascii="Times New Roman" w:hAnsi="Times New Roman" w:cs="Times New Roman"/>
          <w:sz w:val="24"/>
          <w:szCs w:val="24"/>
        </w:rPr>
        <w:t>Project</w:t>
      </w:r>
      <w:r w:rsidR="00C026A6" w:rsidRPr="00EA59C0">
        <w:rPr>
          <w:rFonts w:ascii="Times New Roman" w:hAnsi="Times New Roman" w:cs="Times New Roman"/>
          <w:sz w:val="24"/>
          <w:szCs w:val="24"/>
        </w:rPr>
        <w:t xml:space="preserve"> </w:t>
      </w:r>
      <w:r w:rsidR="00910A8E" w:rsidRPr="00EA59C0">
        <w:rPr>
          <w:rFonts w:ascii="Times New Roman" w:hAnsi="Times New Roman" w:cs="Times New Roman"/>
          <w:sz w:val="24"/>
          <w:szCs w:val="24"/>
        </w:rPr>
        <w:t>Narrative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will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constitute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permission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by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applicant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for</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DOL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to</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make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redacted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version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publicly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available.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will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also</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assume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that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by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submitting</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redacted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version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00910A8E" w:rsidRPr="00EA59C0">
        <w:rPr>
          <w:rFonts w:ascii="Times New Roman" w:hAnsi="Times New Roman" w:cs="Times New Roman"/>
          <w:sz w:val="24"/>
          <w:szCs w:val="24"/>
        </w:rPr>
        <w:t>Project</w:t>
      </w:r>
      <w:r w:rsidR="00C026A6" w:rsidRPr="00EA59C0">
        <w:rPr>
          <w:rFonts w:ascii="Times New Roman" w:hAnsi="Times New Roman" w:cs="Times New Roman"/>
          <w:sz w:val="24"/>
          <w:szCs w:val="24"/>
        </w:rPr>
        <w:t xml:space="preserve"> </w:t>
      </w:r>
      <w:r w:rsidR="00910A8E" w:rsidRPr="00EA59C0">
        <w:rPr>
          <w:rFonts w:ascii="Times New Roman" w:hAnsi="Times New Roman" w:cs="Times New Roman"/>
          <w:sz w:val="24"/>
          <w:szCs w:val="24"/>
        </w:rPr>
        <w:t>Narrative</w:t>
      </w:r>
      <w:r w:rsidRPr="00EA59C0">
        <w:rPr>
          <w:rFonts w:ascii="Times New Roman" w:hAnsi="Times New Roman" w:cs="Times New Roman"/>
          <w:sz w:val="24"/>
          <w:szCs w:val="24"/>
        </w:rPr>
        <w: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applicant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has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obtained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agreement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to</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applicant’s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decision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about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what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material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to</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redact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all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persons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and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entities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whose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proprietary,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confidential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business</w:t>
      </w:r>
      <w:r w:rsidR="00C026A6" w:rsidRPr="00EA59C0">
        <w:rPr>
          <w:rFonts w:ascii="Times New Roman" w:hAnsi="Times New Roman" w:cs="Times New Roman"/>
          <w:sz w:val="24"/>
          <w:szCs w:val="24"/>
        </w:rPr>
        <w:t xml:space="preserve"> </w:t>
      </w:r>
      <w:r w:rsidR="000E7945" w:rsidRPr="00EA59C0">
        <w:rPr>
          <w:rFonts w:ascii="Times New Roman" w:hAnsi="Times New Roman" w:cs="Times New Roman"/>
          <w:sz w:val="24"/>
          <w:szCs w:val="24"/>
        </w:rPr>
        <w:t>information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or</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PII</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contained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00910A8E" w:rsidRPr="00EA59C0">
        <w:rPr>
          <w:rFonts w:ascii="Times New Roman" w:hAnsi="Times New Roman" w:cs="Times New Roman"/>
          <w:sz w:val="24"/>
          <w:szCs w:val="24"/>
        </w:rPr>
        <w:t>Project</w:t>
      </w:r>
      <w:r w:rsidR="00C026A6" w:rsidRPr="00EA59C0">
        <w:rPr>
          <w:rFonts w:ascii="Times New Roman" w:hAnsi="Times New Roman" w:cs="Times New Roman"/>
          <w:sz w:val="24"/>
          <w:szCs w:val="24"/>
        </w:rPr>
        <w:t xml:space="preserve"> </w:t>
      </w:r>
      <w:r w:rsidR="00910A8E" w:rsidRPr="00EA59C0">
        <w:rPr>
          <w:rFonts w:ascii="Times New Roman" w:hAnsi="Times New Roman" w:cs="Times New Roman"/>
          <w:sz w:val="24"/>
          <w:szCs w:val="24"/>
        </w:rPr>
        <w:t>Narrative</w:t>
      </w:r>
      <w:r w:rsidRPr="00EA59C0">
        <w:rPr>
          <w:rFonts w:ascii="Times New Roman" w:hAnsi="Times New Roman" w:cs="Times New Roman"/>
          <w:sz w:val="24"/>
          <w:szCs w:val="24"/>
        </w:rPr>
        <w: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applicant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fails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to</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provide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redacted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version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00910A8E" w:rsidRPr="00EA59C0">
        <w:rPr>
          <w:rFonts w:ascii="Times New Roman" w:hAnsi="Times New Roman" w:cs="Times New Roman"/>
          <w:sz w:val="24"/>
          <w:szCs w:val="24"/>
        </w:rPr>
        <w:t>Project</w:t>
      </w:r>
      <w:r w:rsidR="00C026A6" w:rsidRPr="00EA59C0">
        <w:rPr>
          <w:rFonts w:ascii="Times New Roman" w:hAnsi="Times New Roman" w:cs="Times New Roman"/>
          <w:sz w:val="24"/>
          <w:szCs w:val="24"/>
        </w:rPr>
        <w:t xml:space="preserve"> </w:t>
      </w:r>
      <w:r w:rsidR="00910A8E" w:rsidRPr="00EA59C0">
        <w:rPr>
          <w:rFonts w:ascii="Times New Roman" w:hAnsi="Times New Roman" w:cs="Times New Roman"/>
          <w:sz w:val="24"/>
          <w:szCs w:val="24"/>
        </w:rPr>
        <w:t>Narrative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within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45</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days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DOL’s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request,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DOL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will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publish</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original</w:t>
      </w:r>
      <w:r w:rsidR="00C026A6" w:rsidRPr="00EA59C0">
        <w:rPr>
          <w:rFonts w:ascii="Times New Roman" w:hAnsi="Times New Roman" w:cs="Times New Roman"/>
          <w:sz w:val="24"/>
          <w:szCs w:val="24"/>
        </w:rPr>
        <w:t xml:space="preserve"> </w:t>
      </w:r>
      <w:r w:rsidR="00910A8E" w:rsidRPr="00EA59C0">
        <w:rPr>
          <w:rFonts w:ascii="Times New Roman" w:hAnsi="Times New Roman" w:cs="Times New Roman"/>
          <w:sz w:val="24"/>
          <w:szCs w:val="24"/>
        </w:rPr>
        <w:t>Project</w:t>
      </w:r>
      <w:r w:rsidR="00C026A6" w:rsidRPr="00EA59C0">
        <w:rPr>
          <w:rFonts w:ascii="Times New Roman" w:hAnsi="Times New Roman" w:cs="Times New Roman"/>
          <w:sz w:val="24"/>
          <w:szCs w:val="24"/>
        </w:rPr>
        <w:t xml:space="preserve"> </w:t>
      </w:r>
      <w:r w:rsidR="00910A8E" w:rsidRPr="00EA59C0">
        <w:rPr>
          <w:rFonts w:ascii="Times New Roman" w:hAnsi="Times New Roman" w:cs="Times New Roman"/>
          <w:sz w:val="24"/>
          <w:szCs w:val="24"/>
        </w:rPr>
        <w:t>Narrative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full,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after</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redacting</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u w:val="single"/>
        </w:rPr>
        <w:t>only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PII.</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(Note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that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original,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unredacted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version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00910A8E" w:rsidRPr="00EA59C0">
        <w:rPr>
          <w:rFonts w:ascii="Times New Roman" w:hAnsi="Times New Roman" w:cs="Times New Roman"/>
          <w:sz w:val="24"/>
          <w:szCs w:val="24"/>
        </w:rPr>
        <w:t>Project</w:t>
      </w:r>
      <w:r w:rsidR="00C026A6" w:rsidRPr="00EA59C0">
        <w:rPr>
          <w:rFonts w:ascii="Times New Roman" w:hAnsi="Times New Roman" w:cs="Times New Roman"/>
          <w:sz w:val="24"/>
          <w:szCs w:val="24"/>
        </w:rPr>
        <w:t xml:space="preserve"> </w:t>
      </w:r>
      <w:r w:rsidR="00910A8E" w:rsidRPr="00EA59C0">
        <w:rPr>
          <w:rFonts w:ascii="Times New Roman" w:hAnsi="Times New Roman" w:cs="Times New Roman"/>
          <w:sz w:val="24"/>
          <w:szCs w:val="24"/>
        </w:rPr>
        <w:t>Narrative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will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remain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part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complete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application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package,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including</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applicant’s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proprietary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and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confidential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business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information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and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any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PII.)</w:t>
      </w:r>
      <w:r w:rsidR="00C026A6" w:rsidRPr="00EA59C0">
        <w:rPr>
          <w:rFonts w:ascii="Times New Roman" w:hAnsi="Times New Roman" w:cs="Times New Roman"/>
          <w:sz w:val="24"/>
          <w:szCs w:val="24"/>
        </w:rPr>
        <w:t xml:space="preserve"> </w:t>
      </w:r>
    </w:p>
    <w:p w:rsidR="00C463E1" w:rsidRPr="00EA59C0" w:rsidRDefault="00C463E1" w:rsidP="00FA0E98">
      <w:pPr>
        <w:pStyle w:val="HTMLPreformatted"/>
        <w:ind w:left="720"/>
        <w:rPr>
          <w:rFonts w:ascii="Arial" w:hAnsi="Arial" w:cs="Arial"/>
          <w:sz w:val="24"/>
          <w:szCs w:val="24"/>
        </w:rPr>
      </w:pPr>
    </w:p>
    <w:p w:rsidR="00C463E1" w:rsidRPr="00EA59C0" w:rsidRDefault="00C463E1" w:rsidP="00FA0E98">
      <w:pPr>
        <w:pStyle w:val="HTMLPreformatted"/>
        <w:ind w:left="720"/>
        <w:rPr>
          <w:rFonts w:ascii="Times New Roman" w:hAnsi="Times New Roman" w:cs="Times New Roman"/>
          <w:sz w:val="24"/>
          <w:szCs w:val="24"/>
        </w:rPr>
      </w:pPr>
      <w:r w:rsidRPr="00EA59C0">
        <w:rPr>
          <w:rFonts w:ascii="Times New Roman" w:hAnsi="Times New Roman" w:cs="Times New Roman"/>
          <w:sz w:val="24"/>
          <w:szCs w:val="24"/>
        </w:rPr>
        <w:t>Applicants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are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encouraged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to</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maximize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grant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application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information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that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will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be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publicly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disclosed,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and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to</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exercise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restraint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and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redact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only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information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that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clearly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proprietary,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confidential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commercial/business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information,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or</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PII.</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redaction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entire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pages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or</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sections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00910A8E" w:rsidRPr="00EA59C0">
        <w:rPr>
          <w:rFonts w:ascii="Times New Roman" w:hAnsi="Times New Roman" w:cs="Times New Roman"/>
          <w:sz w:val="24"/>
          <w:szCs w:val="24"/>
        </w:rPr>
        <w:t>Project</w:t>
      </w:r>
      <w:r w:rsidR="00C026A6" w:rsidRPr="00EA59C0">
        <w:rPr>
          <w:rFonts w:ascii="Times New Roman" w:hAnsi="Times New Roman" w:cs="Times New Roman"/>
          <w:sz w:val="24"/>
          <w:szCs w:val="24"/>
        </w:rPr>
        <w:t xml:space="preserve"> </w:t>
      </w:r>
      <w:r w:rsidR="00910A8E" w:rsidRPr="00EA59C0">
        <w:rPr>
          <w:rFonts w:ascii="Times New Roman" w:hAnsi="Times New Roman" w:cs="Times New Roman"/>
          <w:sz w:val="24"/>
          <w:szCs w:val="24"/>
        </w:rPr>
        <w:t>Narrative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not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appropriate,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and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will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not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be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allowed,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unless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entire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portion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merits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such</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protection.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Should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dispute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arise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about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whether</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redactions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are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appropriate,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DOL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will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follow</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procedures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outlined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Department’s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Freedom</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Information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Act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(FOIA)</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regulations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(29</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CFR</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Part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70).</w:t>
      </w:r>
      <w:r w:rsidR="00C026A6" w:rsidRPr="00EA59C0">
        <w:rPr>
          <w:rFonts w:ascii="Times New Roman" w:hAnsi="Times New Roman" w:cs="Times New Roman"/>
          <w:sz w:val="24"/>
          <w:szCs w:val="24"/>
        </w:rPr>
        <w:t xml:space="preserve">  </w:t>
      </w:r>
    </w:p>
    <w:p w:rsidR="00C463E1" w:rsidRPr="00EA59C0" w:rsidRDefault="00C463E1" w:rsidP="00FA0E98">
      <w:pPr>
        <w:pStyle w:val="HTMLPreformatted"/>
        <w:ind w:left="720"/>
        <w:rPr>
          <w:rFonts w:ascii="Times New Roman" w:hAnsi="Times New Roman" w:cs="Times New Roman"/>
          <w:sz w:val="24"/>
          <w:szCs w:val="24"/>
        </w:rPr>
      </w:pPr>
    </w:p>
    <w:p w:rsidR="00C463E1" w:rsidRPr="00EA59C0" w:rsidRDefault="00C463E1" w:rsidP="00FA0E98">
      <w:pPr>
        <w:pStyle w:val="HTMLPreformatted"/>
        <w:ind w:left="720"/>
        <w:rPr>
          <w:rFonts w:ascii="Times New Roman" w:hAnsi="Times New Roman" w:cs="Times New Roman"/>
          <w:sz w:val="24"/>
          <w:szCs w:val="24"/>
        </w:rPr>
      </w:pPr>
      <w:r w:rsidRPr="00EA59C0">
        <w:rPr>
          <w:rFonts w:ascii="Times New Roman" w:hAnsi="Times New Roman" w:cs="Times New Roman"/>
          <w:sz w:val="24"/>
          <w:szCs w:val="24"/>
        </w:rPr>
        <w:t>Redacted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information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grant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applications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will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be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protected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by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DOL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from</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public</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disclosure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accordance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with</w:t>
      </w:r>
      <w:r w:rsidR="00C026A6" w:rsidRPr="00EA59C0">
        <w:rPr>
          <w:rFonts w:ascii="Times New Roman" w:hAnsi="Times New Roman" w:cs="Times New Roman"/>
          <w:sz w:val="24"/>
          <w:szCs w:val="24"/>
        </w:rPr>
        <w:t xml:space="preserve"> </w:t>
      </w:r>
      <w:r w:rsidR="00585049" w:rsidRPr="00EA59C0">
        <w:rPr>
          <w:rFonts w:ascii="Times New Roman" w:hAnsi="Times New Roman" w:cs="Times New Roman"/>
          <w:sz w:val="24"/>
          <w:szCs w:val="24"/>
        </w:rPr>
        <w:t>F</w:t>
      </w:r>
      <w:r w:rsidRPr="00EA59C0">
        <w:rPr>
          <w:rFonts w:ascii="Times New Roman" w:hAnsi="Times New Roman" w:cs="Times New Roman"/>
          <w:sz w:val="24"/>
          <w:szCs w:val="24"/>
        </w:rPr>
        <w:t>ederal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law,</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including</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Trade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Secrets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Act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(18</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U.S.C.</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1905),</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FOIA,</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and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Privacy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Act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(5</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U.S.C.</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552a).</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DOL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receives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FOIA</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request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for</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your</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application,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procedures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DOL’s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FOIA</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regulations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for</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responding</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to</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requests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for</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commercial/business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information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submitted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to</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government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will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be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followed,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well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all</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FOIA</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exemptions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and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procedures.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See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29</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CFR</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70.26.</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Consequently,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possible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that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application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FOIA</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rules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may</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result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release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of</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information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response</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to</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FOIA</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request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that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applicant</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redacted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in</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its</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“redacted</w:t>
      </w:r>
      <w:r w:rsidR="00C026A6" w:rsidRPr="00EA59C0">
        <w:rPr>
          <w:rFonts w:ascii="Times New Roman" w:hAnsi="Times New Roman" w:cs="Times New Roman"/>
          <w:sz w:val="24"/>
          <w:szCs w:val="24"/>
        </w:rPr>
        <w:t xml:space="preserve"> </w:t>
      </w:r>
      <w:r w:rsidRPr="00EA59C0">
        <w:rPr>
          <w:rFonts w:ascii="Times New Roman" w:hAnsi="Times New Roman" w:cs="Times New Roman"/>
          <w:sz w:val="24"/>
          <w:szCs w:val="24"/>
        </w:rPr>
        <w:t>copy.”</w:t>
      </w:r>
    </w:p>
    <w:p w:rsidR="00C463E1" w:rsidRPr="00EA59C0" w:rsidRDefault="00C463E1" w:rsidP="00FA0E98">
      <w:pPr>
        <w:widowControl w:val="0"/>
      </w:pPr>
    </w:p>
    <w:p w:rsidR="00144DF0" w:rsidRPr="00EA59C0" w:rsidRDefault="007470AB" w:rsidP="004C3998">
      <w:pPr>
        <w:pStyle w:val="ListParagraph"/>
        <w:widowControl w:val="0"/>
        <w:numPr>
          <w:ilvl w:val="1"/>
          <w:numId w:val="17"/>
        </w:numPr>
      </w:pPr>
      <w:r w:rsidRPr="00EA59C0">
        <w:t>Web-Based</w:t>
      </w:r>
      <w:r w:rsidR="00C026A6" w:rsidRPr="00EA59C0">
        <w:t xml:space="preserve"> </w:t>
      </w:r>
      <w:r w:rsidRPr="00EA59C0">
        <w:t>Resources</w:t>
      </w:r>
    </w:p>
    <w:p w:rsidR="00144DF0" w:rsidRPr="00EA59C0" w:rsidRDefault="007470AB" w:rsidP="00FA0E98">
      <w:pPr>
        <w:widowControl w:val="0"/>
        <w:ind w:left="720"/>
      </w:pPr>
      <w:r w:rsidRPr="00EA59C0">
        <w:t>DOL</w:t>
      </w:r>
      <w:r w:rsidR="00C026A6" w:rsidRPr="00EA59C0">
        <w:t xml:space="preserve"> </w:t>
      </w:r>
      <w:r w:rsidRPr="00EA59C0">
        <w:t>maintains</w:t>
      </w:r>
      <w:r w:rsidR="00C026A6" w:rsidRPr="00EA59C0">
        <w:t xml:space="preserve"> </w:t>
      </w:r>
      <w:r w:rsidRPr="00EA59C0">
        <w:t>a</w:t>
      </w:r>
      <w:r w:rsidR="00C026A6" w:rsidRPr="00EA59C0">
        <w:t xml:space="preserve"> </w:t>
      </w:r>
      <w:r w:rsidRPr="00EA59C0">
        <w:t>number</w:t>
      </w:r>
      <w:r w:rsidR="00C026A6" w:rsidRPr="00EA59C0">
        <w:t xml:space="preserve"> </w:t>
      </w:r>
      <w:r w:rsidRPr="00EA59C0">
        <w:t>of</w:t>
      </w:r>
      <w:r w:rsidR="00C026A6" w:rsidRPr="00EA59C0">
        <w:t xml:space="preserve"> </w:t>
      </w:r>
      <w:r w:rsidRPr="00EA59C0">
        <w:t>web-based</w:t>
      </w:r>
      <w:r w:rsidR="00C026A6" w:rsidRPr="00EA59C0">
        <w:t xml:space="preserve"> </w:t>
      </w:r>
      <w:r w:rsidRPr="00EA59C0">
        <w:t>resources</w:t>
      </w:r>
      <w:r w:rsidR="00C026A6" w:rsidRPr="00EA59C0">
        <w:t xml:space="preserve"> </w:t>
      </w:r>
      <w:r w:rsidRPr="00EA59C0">
        <w:t>that</w:t>
      </w:r>
      <w:r w:rsidR="00C026A6" w:rsidRPr="00EA59C0">
        <w:t xml:space="preserve"> </w:t>
      </w:r>
      <w:r w:rsidRPr="00EA59C0">
        <w:t>may</w:t>
      </w:r>
      <w:r w:rsidR="00C026A6" w:rsidRPr="00EA59C0">
        <w:t xml:space="preserve"> </w:t>
      </w:r>
      <w:r w:rsidRPr="00EA59C0">
        <w:t>be</w:t>
      </w:r>
      <w:r w:rsidR="00C026A6" w:rsidRPr="00EA59C0">
        <w:t xml:space="preserve"> </w:t>
      </w:r>
      <w:r w:rsidRPr="00EA59C0">
        <w:t>of</w:t>
      </w:r>
      <w:r w:rsidR="00C026A6" w:rsidRPr="00EA59C0">
        <w:t xml:space="preserve"> </w:t>
      </w:r>
      <w:r w:rsidRPr="00EA59C0">
        <w:t>assistance</w:t>
      </w:r>
      <w:r w:rsidR="00C026A6" w:rsidRPr="00EA59C0">
        <w:t xml:space="preserve"> </w:t>
      </w:r>
      <w:r w:rsidRPr="00EA59C0">
        <w:t>to</w:t>
      </w:r>
      <w:r w:rsidR="00C026A6" w:rsidRPr="00EA59C0">
        <w:t xml:space="preserve"> </w:t>
      </w:r>
      <w:r w:rsidRPr="00EA59C0">
        <w:t>applicants.</w:t>
      </w:r>
      <w:r w:rsidR="00C026A6" w:rsidRPr="00EA59C0">
        <w:t xml:space="preserve">  </w:t>
      </w:r>
      <w:r w:rsidRPr="00EA59C0">
        <w:t>For</w:t>
      </w:r>
      <w:r w:rsidR="00C026A6" w:rsidRPr="00EA59C0">
        <w:t xml:space="preserve"> </w:t>
      </w:r>
      <w:r w:rsidRPr="00EA59C0">
        <w:t>example,</w:t>
      </w:r>
      <w:r w:rsidR="00C026A6" w:rsidRPr="00EA59C0">
        <w:t xml:space="preserve"> </w:t>
      </w:r>
      <w:r w:rsidRPr="00EA59C0">
        <w:t>the</w:t>
      </w:r>
      <w:r w:rsidR="00C026A6" w:rsidRPr="00EA59C0">
        <w:t xml:space="preserve"> </w:t>
      </w:r>
      <w:r w:rsidRPr="00EA59C0">
        <w:t>CareerOneStop</w:t>
      </w:r>
      <w:r w:rsidR="00C026A6" w:rsidRPr="00EA59C0">
        <w:t xml:space="preserve"> </w:t>
      </w:r>
      <w:r w:rsidRPr="00EA59C0">
        <w:t>portal</w:t>
      </w:r>
      <w:r w:rsidR="00C026A6" w:rsidRPr="00EA59C0">
        <w:t xml:space="preserve"> </w:t>
      </w:r>
      <w:r w:rsidRPr="00EA59C0">
        <w:t>(</w:t>
      </w:r>
      <w:hyperlink r:id="rId283" w:history="1">
        <w:r w:rsidRPr="00EA59C0">
          <w:rPr>
            <w:rStyle w:val="Hyperlink"/>
            <w:color w:val="auto"/>
          </w:rPr>
          <w:t>http://www.careeronestop.org</w:t>
        </w:r>
      </w:hyperlink>
      <w:r w:rsidRPr="00EA59C0">
        <w:t>),</w:t>
      </w:r>
      <w:r w:rsidR="00C026A6" w:rsidRPr="00EA59C0">
        <w:t xml:space="preserve"> </w:t>
      </w:r>
      <w:r w:rsidRPr="00EA59C0">
        <w:t>which</w:t>
      </w:r>
      <w:r w:rsidR="00C026A6" w:rsidRPr="00EA59C0">
        <w:t xml:space="preserve"> </w:t>
      </w:r>
      <w:r w:rsidRPr="00EA59C0">
        <w:t>provides</w:t>
      </w:r>
      <w:r w:rsidR="00C026A6" w:rsidRPr="00EA59C0">
        <w:t xml:space="preserve"> </w:t>
      </w:r>
      <w:r w:rsidRPr="00EA59C0">
        <w:t>national</w:t>
      </w:r>
      <w:r w:rsidR="00C026A6" w:rsidRPr="00EA59C0">
        <w:t xml:space="preserve"> </w:t>
      </w:r>
      <w:r w:rsidRPr="00EA59C0">
        <w:t>and</w:t>
      </w:r>
      <w:r w:rsidR="00C026A6" w:rsidRPr="00EA59C0">
        <w:t xml:space="preserve"> </w:t>
      </w:r>
      <w:r w:rsidRPr="00EA59C0">
        <w:t>state</w:t>
      </w:r>
      <w:r w:rsidR="00C026A6" w:rsidRPr="00EA59C0">
        <w:t xml:space="preserve"> </w:t>
      </w:r>
      <w:r w:rsidRPr="00EA59C0">
        <w:t>career</w:t>
      </w:r>
      <w:r w:rsidR="00C026A6" w:rsidRPr="00EA59C0">
        <w:t xml:space="preserve"> </w:t>
      </w:r>
      <w:r w:rsidRPr="00EA59C0">
        <w:t>information</w:t>
      </w:r>
      <w:r w:rsidR="00C026A6" w:rsidRPr="00EA59C0">
        <w:t xml:space="preserve"> </w:t>
      </w:r>
      <w:r w:rsidRPr="00EA59C0">
        <w:t>on</w:t>
      </w:r>
      <w:r w:rsidR="00C026A6" w:rsidRPr="00EA59C0">
        <w:t xml:space="preserve"> </w:t>
      </w:r>
      <w:r w:rsidRPr="00EA59C0">
        <w:t>occupations;</w:t>
      </w:r>
      <w:r w:rsidR="00C026A6" w:rsidRPr="00EA59C0">
        <w:t xml:space="preserve"> </w:t>
      </w:r>
      <w:r w:rsidRPr="00EA59C0">
        <w:t>the</w:t>
      </w:r>
      <w:r w:rsidR="00C026A6" w:rsidRPr="00EA59C0">
        <w:t xml:space="preserve"> </w:t>
      </w:r>
      <w:r w:rsidRPr="00EA59C0">
        <w:t>Occupational</w:t>
      </w:r>
      <w:r w:rsidR="00C026A6" w:rsidRPr="00EA59C0">
        <w:t xml:space="preserve"> </w:t>
      </w:r>
      <w:r w:rsidRPr="00EA59C0">
        <w:t>Information</w:t>
      </w:r>
      <w:r w:rsidR="00C026A6" w:rsidRPr="00EA59C0">
        <w:t xml:space="preserve"> </w:t>
      </w:r>
      <w:r w:rsidRPr="00EA59C0">
        <w:t>Network</w:t>
      </w:r>
      <w:r w:rsidR="00C026A6" w:rsidRPr="00EA59C0">
        <w:t xml:space="preserve"> </w:t>
      </w:r>
      <w:r w:rsidRPr="00EA59C0">
        <w:t>(O*NET)</w:t>
      </w:r>
      <w:r w:rsidR="00C026A6" w:rsidRPr="00EA59C0">
        <w:t xml:space="preserve"> </w:t>
      </w:r>
      <w:r w:rsidRPr="00EA59C0">
        <w:t>Online</w:t>
      </w:r>
      <w:r w:rsidR="00C026A6" w:rsidRPr="00EA59C0">
        <w:t xml:space="preserve"> </w:t>
      </w:r>
      <w:r w:rsidRPr="00EA59C0">
        <w:t>(</w:t>
      </w:r>
      <w:hyperlink r:id="rId284" w:history="1">
        <w:r w:rsidRPr="00EA59C0">
          <w:rPr>
            <w:rStyle w:val="Hyperlink"/>
            <w:color w:val="auto"/>
          </w:rPr>
          <w:t>http://online.onetcenter.org</w:t>
        </w:r>
      </w:hyperlink>
      <w:r w:rsidRPr="00EA59C0">
        <w:t>)</w:t>
      </w:r>
      <w:r w:rsidR="00C026A6" w:rsidRPr="00EA59C0">
        <w:t xml:space="preserve"> </w:t>
      </w:r>
      <w:r w:rsidRPr="00EA59C0">
        <w:t>which</w:t>
      </w:r>
      <w:r w:rsidR="00C026A6" w:rsidRPr="00EA59C0">
        <w:t xml:space="preserve"> </w:t>
      </w:r>
      <w:r w:rsidRPr="00EA59C0">
        <w:t>provides</w:t>
      </w:r>
      <w:r w:rsidR="00C026A6" w:rsidRPr="00EA59C0">
        <w:t xml:space="preserve"> </w:t>
      </w:r>
      <w:r w:rsidRPr="00EA59C0">
        <w:t>occupational</w:t>
      </w:r>
      <w:r w:rsidR="00C026A6" w:rsidRPr="00EA59C0">
        <w:t xml:space="preserve"> </w:t>
      </w:r>
      <w:r w:rsidRPr="00EA59C0">
        <w:t>competency</w:t>
      </w:r>
      <w:r w:rsidR="00C026A6" w:rsidRPr="00EA59C0">
        <w:t xml:space="preserve"> </w:t>
      </w:r>
      <w:r w:rsidRPr="00EA59C0">
        <w:t>profiles;</w:t>
      </w:r>
      <w:r w:rsidR="00C026A6" w:rsidRPr="00EA59C0">
        <w:t xml:space="preserve"> </w:t>
      </w:r>
      <w:r w:rsidRPr="00EA59C0">
        <w:t>and</w:t>
      </w:r>
      <w:r w:rsidR="00C026A6" w:rsidRPr="00EA59C0">
        <w:t xml:space="preserve"> </w:t>
      </w:r>
      <w:r w:rsidRPr="00EA59C0">
        <w:t>America's</w:t>
      </w:r>
      <w:r w:rsidR="00C026A6" w:rsidRPr="00EA59C0">
        <w:t xml:space="preserve"> </w:t>
      </w:r>
      <w:r w:rsidRPr="00EA59C0">
        <w:t>Service</w:t>
      </w:r>
      <w:r w:rsidR="00C026A6" w:rsidRPr="00EA59C0">
        <w:t xml:space="preserve"> </w:t>
      </w:r>
      <w:r w:rsidRPr="00EA59C0">
        <w:t>Locator</w:t>
      </w:r>
      <w:r w:rsidR="00C026A6" w:rsidRPr="00EA59C0">
        <w:t xml:space="preserve"> </w:t>
      </w:r>
      <w:r w:rsidRPr="00EA59C0">
        <w:t>(</w:t>
      </w:r>
      <w:hyperlink r:id="rId285" w:history="1">
        <w:r w:rsidRPr="00EA59C0">
          <w:rPr>
            <w:rStyle w:val="Hyperlink"/>
            <w:color w:val="auto"/>
          </w:rPr>
          <w:t>http://www.servicelocator.org</w:t>
        </w:r>
      </w:hyperlink>
      <w:r w:rsidRPr="00EA59C0">
        <w:t>),</w:t>
      </w:r>
      <w:r w:rsidR="00C026A6" w:rsidRPr="00EA59C0">
        <w:t xml:space="preserve"> </w:t>
      </w:r>
      <w:r w:rsidRPr="00EA59C0">
        <w:t>which</w:t>
      </w:r>
      <w:r w:rsidR="00C026A6" w:rsidRPr="00EA59C0">
        <w:t xml:space="preserve"> </w:t>
      </w:r>
      <w:r w:rsidRPr="00EA59C0">
        <w:t>provides</w:t>
      </w:r>
      <w:r w:rsidR="00C026A6" w:rsidRPr="00EA59C0">
        <w:t xml:space="preserve"> </w:t>
      </w:r>
      <w:r w:rsidRPr="00EA59C0">
        <w:t>a</w:t>
      </w:r>
      <w:r w:rsidR="00C026A6" w:rsidRPr="00EA59C0">
        <w:t xml:space="preserve"> </w:t>
      </w:r>
      <w:r w:rsidRPr="00EA59C0">
        <w:t>directory</w:t>
      </w:r>
      <w:r w:rsidR="00C026A6" w:rsidRPr="00EA59C0">
        <w:t xml:space="preserve"> </w:t>
      </w:r>
      <w:r w:rsidRPr="00EA59C0">
        <w:t>of</w:t>
      </w:r>
      <w:r w:rsidR="00C026A6" w:rsidRPr="00EA59C0">
        <w:t xml:space="preserve"> </w:t>
      </w:r>
      <w:r w:rsidRPr="00EA59C0">
        <w:t>our</w:t>
      </w:r>
      <w:r w:rsidR="00C026A6" w:rsidRPr="00EA59C0">
        <w:t xml:space="preserve"> </w:t>
      </w:r>
      <w:r w:rsidRPr="00EA59C0">
        <w:t>nation's</w:t>
      </w:r>
      <w:r w:rsidR="00C026A6" w:rsidRPr="00EA59C0">
        <w:t xml:space="preserve"> </w:t>
      </w:r>
      <w:r w:rsidR="007B6E2E" w:rsidRPr="00EA59C0">
        <w:t>AJC</w:t>
      </w:r>
      <w:r w:rsidRPr="00EA59C0">
        <w:t>s.</w:t>
      </w:r>
    </w:p>
    <w:p w:rsidR="007470AB" w:rsidRPr="00EA59C0" w:rsidRDefault="007470AB" w:rsidP="00FA0E98"/>
    <w:p w:rsidR="007470AB" w:rsidRPr="00EA59C0" w:rsidRDefault="007470AB" w:rsidP="004C3998">
      <w:pPr>
        <w:pStyle w:val="ListParagraph"/>
        <w:numPr>
          <w:ilvl w:val="1"/>
          <w:numId w:val="17"/>
        </w:numPr>
      </w:pPr>
      <w:r w:rsidRPr="00EA59C0">
        <w:t>Industry</w:t>
      </w:r>
      <w:r w:rsidR="00C026A6" w:rsidRPr="00EA59C0">
        <w:t xml:space="preserve"> </w:t>
      </w:r>
      <w:r w:rsidRPr="00EA59C0">
        <w:t>Competency</w:t>
      </w:r>
      <w:r w:rsidR="00C026A6" w:rsidRPr="00EA59C0">
        <w:t xml:space="preserve"> </w:t>
      </w:r>
      <w:r w:rsidRPr="00EA59C0">
        <w:t>Models</w:t>
      </w:r>
      <w:r w:rsidR="00C026A6" w:rsidRPr="00EA59C0">
        <w:t xml:space="preserve"> </w:t>
      </w:r>
      <w:r w:rsidRPr="00EA59C0">
        <w:t>and</w:t>
      </w:r>
      <w:r w:rsidR="00C026A6" w:rsidRPr="00EA59C0">
        <w:t xml:space="preserve"> </w:t>
      </w:r>
      <w:r w:rsidRPr="00EA59C0">
        <w:t>Career</w:t>
      </w:r>
      <w:r w:rsidR="00C026A6" w:rsidRPr="00EA59C0">
        <w:t xml:space="preserve"> </w:t>
      </w:r>
      <w:r w:rsidRPr="00EA59C0">
        <w:t>Clusters</w:t>
      </w:r>
    </w:p>
    <w:p w:rsidR="00144DF0" w:rsidRPr="00EA59C0" w:rsidRDefault="007470AB" w:rsidP="00FA0E98">
      <w:pPr>
        <w:ind w:left="720"/>
      </w:pPr>
      <w:r w:rsidRPr="00EA59C0">
        <w:t>ETA</w:t>
      </w:r>
      <w:r w:rsidR="00C026A6" w:rsidRPr="00EA59C0">
        <w:t xml:space="preserve"> </w:t>
      </w:r>
      <w:r w:rsidRPr="00EA59C0">
        <w:t>supports</w:t>
      </w:r>
      <w:r w:rsidR="00C026A6" w:rsidRPr="00EA59C0">
        <w:t xml:space="preserve"> </w:t>
      </w:r>
      <w:r w:rsidRPr="00EA59C0">
        <w:t>an</w:t>
      </w:r>
      <w:r w:rsidR="00C026A6" w:rsidRPr="00EA59C0">
        <w:t xml:space="preserve"> </w:t>
      </w:r>
      <w:r w:rsidRPr="00EA59C0">
        <w:t>Industry</w:t>
      </w:r>
      <w:r w:rsidR="00C026A6" w:rsidRPr="00EA59C0">
        <w:t xml:space="preserve"> </w:t>
      </w:r>
      <w:r w:rsidRPr="00EA59C0">
        <w:t>Competency</w:t>
      </w:r>
      <w:r w:rsidR="00C026A6" w:rsidRPr="00EA59C0">
        <w:t xml:space="preserve"> </w:t>
      </w:r>
      <w:r w:rsidRPr="00EA59C0">
        <w:t>Model</w:t>
      </w:r>
      <w:r w:rsidR="00C026A6" w:rsidRPr="00EA59C0">
        <w:t xml:space="preserve"> </w:t>
      </w:r>
      <w:r w:rsidRPr="00EA59C0">
        <w:t>Initiative</w:t>
      </w:r>
      <w:r w:rsidR="00C026A6" w:rsidRPr="00EA59C0">
        <w:t xml:space="preserve"> </w:t>
      </w:r>
      <w:r w:rsidRPr="00EA59C0">
        <w:t>to</w:t>
      </w:r>
      <w:r w:rsidR="00C026A6" w:rsidRPr="00EA59C0">
        <w:t xml:space="preserve"> </w:t>
      </w:r>
      <w:r w:rsidRPr="00EA59C0">
        <w:t>promote</w:t>
      </w:r>
      <w:r w:rsidR="00C026A6" w:rsidRPr="00EA59C0">
        <w:t xml:space="preserve"> </w:t>
      </w:r>
      <w:r w:rsidRPr="00EA59C0">
        <w:t>an</w:t>
      </w:r>
      <w:r w:rsidR="00C026A6" w:rsidRPr="00EA59C0">
        <w:t xml:space="preserve"> </w:t>
      </w:r>
      <w:r w:rsidRPr="00EA59C0">
        <w:t>understanding</w:t>
      </w:r>
      <w:r w:rsidR="00C026A6" w:rsidRPr="00EA59C0">
        <w:t xml:space="preserve"> </w:t>
      </w:r>
      <w:r w:rsidRPr="00EA59C0">
        <w:t>of</w:t>
      </w:r>
      <w:r w:rsidR="00C026A6" w:rsidRPr="00EA59C0">
        <w:t xml:space="preserve"> </w:t>
      </w:r>
      <w:r w:rsidRPr="00EA59C0">
        <w:t>the</w:t>
      </w:r>
      <w:r w:rsidR="00C026A6" w:rsidRPr="00EA59C0">
        <w:t xml:space="preserve"> </w:t>
      </w:r>
      <w:r w:rsidRPr="00EA59C0">
        <w:t>skill</w:t>
      </w:r>
      <w:r w:rsidR="00C026A6" w:rsidRPr="00EA59C0">
        <w:t xml:space="preserve"> </w:t>
      </w:r>
      <w:r w:rsidRPr="00EA59C0">
        <w:t>sets</w:t>
      </w:r>
      <w:r w:rsidR="00C026A6" w:rsidRPr="00EA59C0">
        <w:t xml:space="preserve"> </w:t>
      </w:r>
      <w:r w:rsidRPr="00EA59C0">
        <w:t>and</w:t>
      </w:r>
      <w:r w:rsidR="00C026A6" w:rsidRPr="00EA59C0">
        <w:t xml:space="preserve"> </w:t>
      </w:r>
      <w:r w:rsidRPr="00EA59C0">
        <w:t>competencies</w:t>
      </w:r>
      <w:r w:rsidR="00C026A6" w:rsidRPr="00EA59C0">
        <w:t xml:space="preserve"> </w:t>
      </w:r>
      <w:r w:rsidRPr="00EA59C0">
        <w:t>that</w:t>
      </w:r>
      <w:r w:rsidR="00C026A6" w:rsidRPr="00EA59C0">
        <w:t xml:space="preserve"> </w:t>
      </w:r>
      <w:r w:rsidRPr="00EA59C0">
        <w:t>are</w:t>
      </w:r>
      <w:r w:rsidR="00C026A6" w:rsidRPr="00EA59C0">
        <w:t xml:space="preserve"> </w:t>
      </w:r>
      <w:r w:rsidRPr="00EA59C0">
        <w:t>essential</w:t>
      </w:r>
      <w:r w:rsidR="00C026A6" w:rsidRPr="00EA59C0">
        <w:t xml:space="preserve"> </w:t>
      </w:r>
      <w:r w:rsidRPr="00EA59C0">
        <w:t>to</w:t>
      </w:r>
      <w:r w:rsidR="00C026A6" w:rsidRPr="00EA59C0">
        <w:t xml:space="preserve"> </w:t>
      </w:r>
      <w:r w:rsidRPr="00EA59C0">
        <w:t>an</w:t>
      </w:r>
      <w:r w:rsidR="00C026A6" w:rsidRPr="00EA59C0">
        <w:t xml:space="preserve"> </w:t>
      </w:r>
      <w:r w:rsidRPr="00EA59C0">
        <w:t>educated</w:t>
      </w:r>
      <w:r w:rsidR="00C026A6" w:rsidRPr="00EA59C0">
        <w:t xml:space="preserve"> </w:t>
      </w:r>
      <w:r w:rsidRPr="00EA59C0">
        <w:t>and</w:t>
      </w:r>
      <w:r w:rsidR="00C026A6" w:rsidRPr="00EA59C0">
        <w:t xml:space="preserve"> </w:t>
      </w:r>
      <w:r w:rsidRPr="00EA59C0">
        <w:t>skilled</w:t>
      </w:r>
      <w:r w:rsidR="00C026A6" w:rsidRPr="00EA59C0">
        <w:t xml:space="preserve"> </w:t>
      </w:r>
      <w:r w:rsidRPr="00EA59C0">
        <w:t>workforce.</w:t>
      </w:r>
      <w:r w:rsidR="00C026A6" w:rsidRPr="00EA59C0">
        <w:t xml:space="preserve">  </w:t>
      </w:r>
      <w:r w:rsidRPr="00EA59C0">
        <w:t>A</w:t>
      </w:r>
      <w:r w:rsidR="00C026A6" w:rsidRPr="00EA59C0">
        <w:t xml:space="preserve"> </w:t>
      </w:r>
      <w:r w:rsidRPr="00EA59C0">
        <w:t>competency</w:t>
      </w:r>
      <w:r w:rsidR="00C026A6" w:rsidRPr="00EA59C0">
        <w:t xml:space="preserve"> </w:t>
      </w:r>
      <w:r w:rsidRPr="00EA59C0">
        <w:t>model</w:t>
      </w:r>
      <w:r w:rsidR="00C026A6" w:rsidRPr="00EA59C0">
        <w:t xml:space="preserve"> </w:t>
      </w:r>
      <w:r w:rsidRPr="00EA59C0">
        <w:t>is</w:t>
      </w:r>
      <w:r w:rsidR="00C026A6" w:rsidRPr="00EA59C0">
        <w:t xml:space="preserve"> </w:t>
      </w:r>
      <w:r w:rsidRPr="00EA59C0">
        <w:t>a</w:t>
      </w:r>
      <w:r w:rsidR="00C026A6" w:rsidRPr="00EA59C0">
        <w:t xml:space="preserve"> </w:t>
      </w:r>
      <w:r w:rsidRPr="00EA59C0">
        <w:t>collection</w:t>
      </w:r>
      <w:r w:rsidR="00C026A6" w:rsidRPr="00EA59C0">
        <w:t xml:space="preserve"> </w:t>
      </w:r>
      <w:r w:rsidRPr="00EA59C0">
        <w:t>of</w:t>
      </w:r>
      <w:r w:rsidR="00C026A6" w:rsidRPr="00EA59C0">
        <w:t xml:space="preserve"> </w:t>
      </w:r>
      <w:r w:rsidRPr="00EA59C0">
        <w:t>competencies</w:t>
      </w:r>
      <w:r w:rsidR="00C026A6" w:rsidRPr="00EA59C0">
        <w:t xml:space="preserve"> </w:t>
      </w:r>
      <w:r w:rsidRPr="00EA59C0">
        <w:t>that,</w:t>
      </w:r>
      <w:r w:rsidR="00C026A6" w:rsidRPr="00EA59C0">
        <w:t xml:space="preserve"> </w:t>
      </w:r>
      <w:r w:rsidRPr="00EA59C0">
        <w:t>taken</w:t>
      </w:r>
      <w:r w:rsidR="00C026A6" w:rsidRPr="00EA59C0">
        <w:t xml:space="preserve"> </w:t>
      </w:r>
      <w:r w:rsidRPr="00EA59C0">
        <w:t>together,</w:t>
      </w:r>
      <w:r w:rsidR="00C026A6" w:rsidRPr="00EA59C0">
        <w:t xml:space="preserve"> </w:t>
      </w:r>
      <w:r w:rsidRPr="00EA59C0">
        <w:t>define</w:t>
      </w:r>
      <w:r w:rsidR="00C026A6" w:rsidRPr="00EA59C0">
        <w:t xml:space="preserve"> </w:t>
      </w:r>
      <w:r w:rsidRPr="00EA59C0">
        <w:t>successful</w:t>
      </w:r>
      <w:r w:rsidR="00C026A6" w:rsidRPr="00EA59C0">
        <w:t xml:space="preserve"> </w:t>
      </w:r>
      <w:r w:rsidRPr="00EA59C0">
        <w:t>performance</w:t>
      </w:r>
      <w:r w:rsidR="00C026A6" w:rsidRPr="00EA59C0">
        <w:t xml:space="preserve"> </w:t>
      </w:r>
      <w:r w:rsidRPr="00EA59C0">
        <w:t>in</w:t>
      </w:r>
      <w:r w:rsidR="00C026A6" w:rsidRPr="00EA59C0">
        <w:t xml:space="preserve"> </w:t>
      </w:r>
      <w:r w:rsidRPr="00EA59C0">
        <w:t>a</w:t>
      </w:r>
      <w:r w:rsidR="00C026A6" w:rsidRPr="00EA59C0">
        <w:t xml:space="preserve"> </w:t>
      </w:r>
      <w:r w:rsidRPr="00EA59C0">
        <w:t>particular</w:t>
      </w:r>
      <w:r w:rsidR="00C026A6" w:rsidRPr="00EA59C0">
        <w:t xml:space="preserve"> </w:t>
      </w:r>
      <w:r w:rsidRPr="00EA59C0">
        <w:t>work</w:t>
      </w:r>
      <w:r w:rsidR="00C026A6" w:rsidRPr="00EA59C0">
        <w:t xml:space="preserve"> </w:t>
      </w:r>
      <w:r w:rsidRPr="00EA59C0">
        <w:t>setting.</w:t>
      </w:r>
      <w:r w:rsidR="00C026A6" w:rsidRPr="00EA59C0">
        <w:t xml:space="preserve">  </w:t>
      </w:r>
      <w:r w:rsidRPr="00EA59C0">
        <w:t>Competency</w:t>
      </w:r>
      <w:r w:rsidR="00C026A6" w:rsidRPr="00EA59C0">
        <w:t xml:space="preserve"> </w:t>
      </w:r>
      <w:r w:rsidRPr="00EA59C0">
        <w:t>models</w:t>
      </w:r>
      <w:r w:rsidR="00C026A6" w:rsidRPr="00EA59C0">
        <w:t xml:space="preserve"> </w:t>
      </w:r>
      <w:r w:rsidRPr="00EA59C0">
        <w:t>serve</w:t>
      </w:r>
      <w:r w:rsidR="00C026A6" w:rsidRPr="00EA59C0">
        <w:t xml:space="preserve"> </w:t>
      </w:r>
      <w:r w:rsidRPr="00EA59C0">
        <w:t>as</w:t>
      </w:r>
      <w:r w:rsidR="00C026A6" w:rsidRPr="00EA59C0">
        <w:t xml:space="preserve"> </w:t>
      </w:r>
      <w:r w:rsidRPr="00EA59C0">
        <w:t>a</w:t>
      </w:r>
      <w:r w:rsidR="00C026A6" w:rsidRPr="00EA59C0">
        <w:t xml:space="preserve"> </w:t>
      </w:r>
      <w:r w:rsidRPr="00EA59C0">
        <w:t>starting</w:t>
      </w:r>
      <w:r w:rsidR="00C026A6" w:rsidRPr="00EA59C0">
        <w:t xml:space="preserve"> </w:t>
      </w:r>
      <w:r w:rsidRPr="00EA59C0">
        <w:t>point</w:t>
      </w:r>
      <w:r w:rsidR="00C026A6" w:rsidRPr="00EA59C0">
        <w:t xml:space="preserve"> </w:t>
      </w:r>
      <w:r w:rsidRPr="00EA59C0">
        <w:t>for</w:t>
      </w:r>
      <w:r w:rsidR="00C026A6" w:rsidRPr="00EA59C0">
        <w:t xml:space="preserve"> </w:t>
      </w:r>
      <w:r w:rsidRPr="00EA59C0">
        <w:t>the</w:t>
      </w:r>
      <w:r w:rsidR="00C026A6" w:rsidRPr="00EA59C0">
        <w:t xml:space="preserve"> </w:t>
      </w:r>
      <w:r w:rsidRPr="00EA59C0">
        <w:t>design</w:t>
      </w:r>
      <w:r w:rsidR="00C026A6" w:rsidRPr="00EA59C0">
        <w:t xml:space="preserve"> </w:t>
      </w:r>
      <w:r w:rsidRPr="00EA59C0">
        <w:t>and</w:t>
      </w:r>
      <w:r w:rsidR="00C026A6" w:rsidRPr="00EA59C0">
        <w:t xml:space="preserve"> </w:t>
      </w:r>
      <w:r w:rsidRPr="00EA59C0">
        <w:t>implementation</w:t>
      </w:r>
      <w:r w:rsidR="00C026A6" w:rsidRPr="00EA59C0">
        <w:t xml:space="preserve"> </w:t>
      </w:r>
      <w:r w:rsidRPr="00EA59C0">
        <w:t>of</w:t>
      </w:r>
      <w:r w:rsidR="00C026A6" w:rsidRPr="00EA59C0">
        <w:t xml:space="preserve"> </w:t>
      </w:r>
      <w:r w:rsidRPr="00EA59C0">
        <w:t>workforce</w:t>
      </w:r>
      <w:r w:rsidR="00C026A6" w:rsidRPr="00EA59C0">
        <w:t xml:space="preserve"> </w:t>
      </w:r>
      <w:r w:rsidRPr="00EA59C0">
        <w:t>and</w:t>
      </w:r>
      <w:r w:rsidR="00C026A6" w:rsidRPr="00EA59C0">
        <w:t xml:space="preserve"> </w:t>
      </w:r>
      <w:r w:rsidRPr="00EA59C0">
        <w:t>talent</w:t>
      </w:r>
      <w:r w:rsidR="00C026A6" w:rsidRPr="00EA59C0">
        <w:t xml:space="preserve"> </w:t>
      </w:r>
      <w:r w:rsidRPr="00EA59C0">
        <w:t>development</w:t>
      </w:r>
      <w:r w:rsidR="00C026A6" w:rsidRPr="00EA59C0">
        <w:t xml:space="preserve"> </w:t>
      </w:r>
      <w:r w:rsidRPr="00EA59C0">
        <w:t>programs.</w:t>
      </w:r>
      <w:r w:rsidR="00C026A6" w:rsidRPr="00EA59C0">
        <w:t xml:space="preserve">  </w:t>
      </w:r>
      <w:r w:rsidRPr="00EA59C0">
        <w:t>To</w:t>
      </w:r>
      <w:r w:rsidR="00C026A6" w:rsidRPr="00EA59C0">
        <w:t xml:space="preserve"> </w:t>
      </w:r>
      <w:r w:rsidRPr="00EA59C0">
        <w:t>learn</w:t>
      </w:r>
      <w:r w:rsidR="00C026A6" w:rsidRPr="00EA59C0">
        <w:t xml:space="preserve"> </w:t>
      </w:r>
      <w:r w:rsidRPr="00EA59C0">
        <w:t>about</w:t>
      </w:r>
      <w:r w:rsidR="00C026A6" w:rsidRPr="00EA59C0">
        <w:t xml:space="preserve"> </w:t>
      </w:r>
      <w:r w:rsidRPr="00EA59C0">
        <w:t>the</w:t>
      </w:r>
      <w:r w:rsidR="00C026A6" w:rsidRPr="00EA59C0">
        <w:t xml:space="preserve"> </w:t>
      </w:r>
      <w:r w:rsidRPr="00EA59C0">
        <w:t>industry-validated</w:t>
      </w:r>
      <w:r w:rsidR="00C026A6" w:rsidRPr="00EA59C0">
        <w:t xml:space="preserve"> </w:t>
      </w:r>
      <w:r w:rsidRPr="00EA59C0">
        <w:t>models</w:t>
      </w:r>
      <w:r w:rsidR="00C026A6" w:rsidRPr="00EA59C0">
        <w:t xml:space="preserve"> </w:t>
      </w:r>
      <w:r w:rsidRPr="00EA59C0">
        <w:t>visit</w:t>
      </w:r>
      <w:r w:rsidR="00C026A6" w:rsidRPr="00EA59C0">
        <w:t xml:space="preserve"> </w:t>
      </w:r>
      <w:r w:rsidRPr="00EA59C0">
        <w:t>the</w:t>
      </w:r>
      <w:r w:rsidR="00C026A6" w:rsidRPr="00EA59C0">
        <w:t xml:space="preserve"> </w:t>
      </w:r>
      <w:r w:rsidRPr="00EA59C0">
        <w:t>Competency</w:t>
      </w:r>
      <w:r w:rsidR="00C026A6" w:rsidRPr="00EA59C0">
        <w:t xml:space="preserve"> </w:t>
      </w:r>
      <w:r w:rsidRPr="00EA59C0">
        <w:t>Model</w:t>
      </w:r>
      <w:r w:rsidR="00C026A6" w:rsidRPr="00EA59C0">
        <w:t xml:space="preserve"> </w:t>
      </w:r>
      <w:r w:rsidRPr="00EA59C0">
        <w:t>Clearinghouse</w:t>
      </w:r>
      <w:r w:rsidR="00C026A6" w:rsidRPr="00EA59C0">
        <w:t xml:space="preserve"> </w:t>
      </w:r>
      <w:r w:rsidRPr="00EA59C0">
        <w:t>(CMC)</w:t>
      </w:r>
      <w:r w:rsidR="00C026A6" w:rsidRPr="00EA59C0">
        <w:t xml:space="preserve"> </w:t>
      </w:r>
      <w:r w:rsidRPr="00EA59C0">
        <w:t>at</w:t>
      </w:r>
      <w:r w:rsidR="00C026A6" w:rsidRPr="00EA59C0">
        <w:t xml:space="preserve"> </w:t>
      </w:r>
      <w:hyperlink r:id="rId286" w:history="1">
        <w:r w:rsidRPr="00EA59C0">
          <w:rPr>
            <w:rStyle w:val="Hyperlink"/>
            <w:color w:val="auto"/>
          </w:rPr>
          <w:t>http://www.careeronestop.org/CompetencyModel</w:t>
        </w:r>
      </w:hyperlink>
      <w:r w:rsidRPr="00EA59C0">
        <w:t>.</w:t>
      </w:r>
      <w:r w:rsidR="00C026A6" w:rsidRPr="00EA59C0">
        <w:t xml:space="preserve">  </w:t>
      </w:r>
      <w:r w:rsidRPr="00EA59C0">
        <w:t>The</w:t>
      </w:r>
      <w:r w:rsidR="00C026A6" w:rsidRPr="00EA59C0">
        <w:t xml:space="preserve"> </w:t>
      </w:r>
      <w:r w:rsidRPr="00EA59C0">
        <w:t>CMC</w:t>
      </w:r>
      <w:r w:rsidR="00C026A6" w:rsidRPr="00EA59C0">
        <w:t xml:space="preserve"> </w:t>
      </w:r>
      <w:r w:rsidRPr="00EA59C0">
        <w:t>site</w:t>
      </w:r>
      <w:r w:rsidR="00C026A6" w:rsidRPr="00EA59C0">
        <w:t xml:space="preserve"> </w:t>
      </w:r>
      <w:r w:rsidRPr="00EA59C0">
        <w:t>also</w:t>
      </w:r>
      <w:r w:rsidR="00C026A6" w:rsidRPr="00EA59C0">
        <w:t xml:space="preserve"> </w:t>
      </w:r>
      <w:r w:rsidRPr="00EA59C0">
        <w:t>provides</w:t>
      </w:r>
      <w:r w:rsidR="00C026A6" w:rsidRPr="00EA59C0">
        <w:t xml:space="preserve"> </w:t>
      </w:r>
      <w:r w:rsidRPr="00EA59C0">
        <w:t>tools</w:t>
      </w:r>
      <w:r w:rsidR="00C026A6" w:rsidRPr="00EA59C0">
        <w:t xml:space="preserve"> </w:t>
      </w:r>
      <w:r w:rsidRPr="00EA59C0">
        <w:t>to</w:t>
      </w:r>
      <w:r w:rsidR="00C026A6" w:rsidRPr="00EA59C0">
        <w:t xml:space="preserve"> </w:t>
      </w:r>
      <w:r w:rsidRPr="00EA59C0">
        <w:t>build</w:t>
      </w:r>
      <w:r w:rsidR="00C026A6" w:rsidRPr="00EA59C0">
        <w:t xml:space="preserve"> </w:t>
      </w:r>
      <w:r w:rsidRPr="00EA59C0">
        <w:t>or</w:t>
      </w:r>
      <w:r w:rsidR="00C026A6" w:rsidRPr="00EA59C0">
        <w:t xml:space="preserve"> </w:t>
      </w:r>
      <w:r w:rsidRPr="00EA59C0">
        <w:t>customize</w:t>
      </w:r>
      <w:r w:rsidR="00C026A6" w:rsidRPr="00EA59C0">
        <w:t xml:space="preserve"> </w:t>
      </w:r>
      <w:r w:rsidRPr="00EA59C0">
        <w:t>industry</w:t>
      </w:r>
      <w:r w:rsidR="00C026A6" w:rsidRPr="00EA59C0">
        <w:t xml:space="preserve"> </w:t>
      </w:r>
      <w:r w:rsidRPr="00EA59C0">
        <w:t>models,</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tools</w:t>
      </w:r>
      <w:r w:rsidR="00C026A6" w:rsidRPr="00EA59C0">
        <w:t xml:space="preserve"> </w:t>
      </w:r>
      <w:r w:rsidRPr="00EA59C0">
        <w:t>to</w:t>
      </w:r>
      <w:r w:rsidR="00C026A6" w:rsidRPr="00EA59C0">
        <w:t xml:space="preserve"> </w:t>
      </w:r>
      <w:r w:rsidRPr="00EA59C0">
        <w:t>build</w:t>
      </w:r>
      <w:r w:rsidR="00C026A6" w:rsidRPr="00EA59C0">
        <w:t xml:space="preserve"> </w:t>
      </w:r>
      <w:r w:rsidRPr="00EA59C0">
        <w:t>career</w:t>
      </w:r>
      <w:r w:rsidR="00C026A6" w:rsidRPr="00EA59C0">
        <w:t xml:space="preserve"> </w:t>
      </w:r>
      <w:r w:rsidRPr="00EA59C0">
        <w:t>ladders</w:t>
      </w:r>
      <w:r w:rsidR="00C026A6" w:rsidRPr="00EA59C0">
        <w:t xml:space="preserve"> </w:t>
      </w:r>
      <w:r w:rsidRPr="00EA59C0">
        <w:t>and</w:t>
      </w:r>
      <w:r w:rsidR="00C026A6" w:rsidRPr="00EA59C0">
        <w:t xml:space="preserve"> </w:t>
      </w:r>
      <w:r w:rsidRPr="00EA59C0">
        <w:t>career</w:t>
      </w:r>
      <w:r w:rsidR="00C026A6" w:rsidRPr="00EA59C0">
        <w:t xml:space="preserve"> </w:t>
      </w:r>
      <w:r w:rsidRPr="00EA59C0">
        <w:t>lattices</w:t>
      </w:r>
      <w:r w:rsidR="00C026A6" w:rsidRPr="00EA59C0">
        <w:t xml:space="preserve"> </w:t>
      </w:r>
      <w:r w:rsidRPr="00EA59C0">
        <w:t>for</w:t>
      </w:r>
      <w:r w:rsidR="00C026A6" w:rsidRPr="00EA59C0">
        <w:t xml:space="preserve"> </w:t>
      </w:r>
      <w:r w:rsidRPr="00EA59C0">
        <w:t>specific</w:t>
      </w:r>
      <w:r w:rsidR="00C026A6" w:rsidRPr="00EA59C0">
        <w:t xml:space="preserve"> </w:t>
      </w:r>
      <w:r w:rsidRPr="00EA59C0">
        <w:t>regional</w:t>
      </w:r>
      <w:r w:rsidR="00C026A6" w:rsidRPr="00EA59C0">
        <w:t xml:space="preserve"> </w:t>
      </w:r>
      <w:r w:rsidRPr="00EA59C0">
        <w:t>economies.</w:t>
      </w:r>
      <w:r w:rsidR="00C026A6" w:rsidRPr="00EA59C0">
        <w:t xml:space="preserve"> </w:t>
      </w:r>
    </w:p>
    <w:p w:rsidR="00144DF0" w:rsidRPr="00EA59C0" w:rsidRDefault="00144DF0" w:rsidP="00FA0E98">
      <w:pPr>
        <w:ind w:left="720"/>
      </w:pPr>
    </w:p>
    <w:p w:rsidR="00144DF0" w:rsidRPr="00EA59C0" w:rsidRDefault="007470AB" w:rsidP="00FA0E98">
      <w:pPr>
        <w:ind w:left="720"/>
      </w:pPr>
      <w:r w:rsidRPr="00EA59C0">
        <w:t>Career</w:t>
      </w:r>
      <w:r w:rsidR="00C026A6" w:rsidRPr="00EA59C0">
        <w:t xml:space="preserve"> </w:t>
      </w:r>
      <w:r w:rsidRPr="00EA59C0">
        <w:t>Clusters</w:t>
      </w:r>
      <w:r w:rsidR="00C026A6" w:rsidRPr="00EA59C0">
        <w:t xml:space="preserve"> </w:t>
      </w:r>
      <w:r w:rsidRPr="00EA59C0">
        <w:t>and</w:t>
      </w:r>
      <w:r w:rsidR="00C026A6" w:rsidRPr="00EA59C0">
        <w:t xml:space="preserve"> </w:t>
      </w:r>
      <w:r w:rsidRPr="00EA59C0">
        <w:t>Industry</w:t>
      </w:r>
      <w:r w:rsidR="00C026A6" w:rsidRPr="00EA59C0">
        <w:t xml:space="preserve"> </w:t>
      </w:r>
      <w:r w:rsidRPr="00EA59C0">
        <w:t>Competency</w:t>
      </w:r>
      <w:r w:rsidR="00C026A6" w:rsidRPr="00EA59C0">
        <w:t xml:space="preserve"> </w:t>
      </w:r>
      <w:r w:rsidRPr="00EA59C0">
        <w:t>Models</w:t>
      </w:r>
      <w:r w:rsidR="00C026A6" w:rsidRPr="00EA59C0">
        <w:t xml:space="preserve"> </w:t>
      </w:r>
      <w:r w:rsidRPr="00EA59C0">
        <w:t>both</w:t>
      </w:r>
      <w:r w:rsidR="00C026A6" w:rsidRPr="00EA59C0">
        <w:t xml:space="preserve"> </w:t>
      </w:r>
      <w:r w:rsidRPr="00EA59C0">
        <w:t>identify</w:t>
      </w:r>
      <w:r w:rsidR="00C026A6" w:rsidRPr="00EA59C0">
        <w:t xml:space="preserve"> </w:t>
      </w:r>
      <w:r w:rsidRPr="00EA59C0">
        <w:t>foundational</w:t>
      </w:r>
      <w:r w:rsidR="00C026A6" w:rsidRPr="00EA59C0">
        <w:t xml:space="preserve"> </w:t>
      </w:r>
      <w:r w:rsidRPr="00EA59C0">
        <w:t>and</w:t>
      </w:r>
      <w:r w:rsidR="00C026A6" w:rsidRPr="00EA59C0">
        <w:t xml:space="preserve"> </w:t>
      </w:r>
      <w:r w:rsidRPr="00EA59C0">
        <w:t>technical</w:t>
      </w:r>
      <w:r w:rsidR="00C026A6" w:rsidRPr="00EA59C0">
        <w:t xml:space="preserve"> </w:t>
      </w:r>
      <w:r w:rsidRPr="00EA59C0">
        <w:t>competencies,</w:t>
      </w:r>
      <w:r w:rsidR="00C026A6" w:rsidRPr="00EA59C0">
        <w:t xml:space="preserve"> </w:t>
      </w:r>
      <w:r w:rsidRPr="00EA59C0">
        <w:t>but</w:t>
      </w:r>
      <w:r w:rsidR="00C026A6" w:rsidRPr="00EA59C0">
        <w:t xml:space="preserve"> </w:t>
      </w:r>
      <w:r w:rsidRPr="00EA59C0">
        <w:t>their</w:t>
      </w:r>
      <w:r w:rsidR="00C026A6" w:rsidRPr="00EA59C0">
        <w:t xml:space="preserve"> </w:t>
      </w:r>
      <w:r w:rsidRPr="00EA59C0">
        <w:t>efforts</w:t>
      </w:r>
      <w:r w:rsidR="00C026A6" w:rsidRPr="00EA59C0">
        <w:t xml:space="preserve"> </w:t>
      </w:r>
      <w:r w:rsidRPr="00EA59C0">
        <w:t>are</w:t>
      </w:r>
      <w:r w:rsidR="00C026A6" w:rsidRPr="00EA59C0">
        <w:t xml:space="preserve"> </w:t>
      </w:r>
      <w:r w:rsidRPr="00EA59C0">
        <w:t>not</w:t>
      </w:r>
      <w:r w:rsidR="00C026A6" w:rsidRPr="00EA59C0">
        <w:t xml:space="preserve"> </w:t>
      </w:r>
      <w:r w:rsidRPr="00EA59C0">
        <w:t>duplicative.</w:t>
      </w:r>
      <w:r w:rsidR="00C026A6" w:rsidRPr="00EA59C0">
        <w:t xml:space="preserve">  </w:t>
      </w:r>
      <w:r w:rsidRPr="00EA59C0">
        <w:t>The</w:t>
      </w:r>
      <w:r w:rsidR="00C026A6" w:rsidRPr="00EA59C0">
        <w:t xml:space="preserve"> </w:t>
      </w:r>
      <w:r w:rsidRPr="00EA59C0">
        <w:t>Career</w:t>
      </w:r>
      <w:r w:rsidR="00C026A6" w:rsidRPr="00EA59C0">
        <w:t xml:space="preserve"> </w:t>
      </w:r>
      <w:r w:rsidRPr="00EA59C0">
        <w:t>Clusters</w:t>
      </w:r>
      <w:r w:rsidR="00C026A6" w:rsidRPr="00EA59C0">
        <w:t xml:space="preserve"> </w:t>
      </w:r>
      <w:r w:rsidRPr="00EA59C0">
        <w:t>link</w:t>
      </w:r>
      <w:r w:rsidR="00C026A6" w:rsidRPr="00EA59C0">
        <w:t xml:space="preserve"> </w:t>
      </w:r>
      <w:r w:rsidRPr="00EA59C0">
        <w:t>to</w:t>
      </w:r>
      <w:r w:rsidR="00C026A6" w:rsidRPr="00EA59C0">
        <w:t xml:space="preserve"> </w:t>
      </w:r>
      <w:r w:rsidRPr="00EA59C0">
        <w:t>specific</w:t>
      </w:r>
      <w:r w:rsidR="00C026A6" w:rsidRPr="00EA59C0">
        <w:t xml:space="preserve"> </w:t>
      </w:r>
      <w:r w:rsidRPr="00EA59C0">
        <w:t>career</w:t>
      </w:r>
      <w:r w:rsidR="00C026A6" w:rsidRPr="00EA59C0">
        <w:t xml:space="preserve"> </w:t>
      </w:r>
      <w:r w:rsidRPr="00EA59C0">
        <w:t>pathways</w:t>
      </w:r>
      <w:r w:rsidR="00C026A6" w:rsidRPr="00EA59C0">
        <w:t xml:space="preserve"> </w:t>
      </w:r>
      <w:r w:rsidRPr="00EA59C0">
        <w:t>in</w:t>
      </w:r>
      <w:r w:rsidR="00C026A6" w:rsidRPr="00EA59C0">
        <w:t xml:space="preserve"> </w:t>
      </w:r>
      <w:r w:rsidRPr="00EA59C0">
        <w:t>sixteen</w:t>
      </w:r>
      <w:r w:rsidR="00C026A6" w:rsidRPr="00EA59C0">
        <w:t xml:space="preserve"> </w:t>
      </w:r>
      <w:r w:rsidRPr="00EA59C0">
        <w:t>career</w:t>
      </w:r>
      <w:r w:rsidR="00C026A6" w:rsidRPr="00EA59C0">
        <w:t xml:space="preserve"> </w:t>
      </w:r>
      <w:r w:rsidRPr="00EA59C0">
        <w:t>cluster</w:t>
      </w:r>
      <w:r w:rsidR="00C026A6" w:rsidRPr="00EA59C0">
        <w:t xml:space="preserve"> </w:t>
      </w:r>
      <w:r w:rsidRPr="00EA59C0">
        <w:t>areas</w:t>
      </w:r>
      <w:r w:rsidR="00C026A6" w:rsidRPr="00EA59C0">
        <w:t xml:space="preserve"> </w:t>
      </w:r>
      <w:r w:rsidRPr="00EA59C0">
        <w:t>and</w:t>
      </w:r>
      <w:r w:rsidR="00C026A6" w:rsidRPr="00EA59C0">
        <w:t xml:space="preserve"> </w:t>
      </w:r>
      <w:r w:rsidRPr="00EA59C0">
        <w:t>place</w:t>
      </w:r>
      <w:r w:rsidR="00C026A6" w:rsidRPr="00EA59C0">
        <w:t xml:space="preserve"> </w:t>
      </w:r>
      <w:r w:rsidRPr="00EA59C0">
        <w:t>greater</w:t>
      </w:r>
      <w:r w:rsidR="00C026A6" w:rsidRPr="00EA59C0">
        <w:t xml:space="preserve"> </w:t>
      </w:r>
      <w:r w:rsidRPr="00EA59C0">
        <w:t>emphasis</w:t>
      </w:r>
      <w:r w:rsidR="00C026A6" w:rsidRPr="00EA59C0">
        <w:t xml:space="preserve"> </w:t>
      </w:r>
      <w:r w:rsidRPr="00EA59C0">
        <w:t>on</w:t>
      </w:r>
      <w:r w:rsidR="00C026A6" w:rsidRPr="00EA59C0">
        <w:t xml:space="preserve"> </w:t>
      </w:r>
      <w:r w:rsidRPr="00EA59C0">
        <w:t>elements</w:t>
      </w:r>
      <w:r w:rsidR="00C026A6" w:rsidRPr="00EA59C0">
        <w:t xml:space="preserve"> </w:t>
      </w:r>
      <w:r w:rsidRPr="00EA59C0">
        <w:t>needed</w:t>
      </w:r>
      <w:r w:rsidR="00C026A6" w:rsidRPr="00EA59C0">
        <w:t xml:space="preserve"> </w:t>
      </w:r>
      <w:r w:rsidRPr="00EA59C0">
        <w:t>for</w:t>
      </w:r>
      <w:r w:rsidR="00C026A6" w:rsidRPr="00EA59C0">
        <w:t xml:space="preserve"> </w:t>
      </w:r>
      <w:r w:rsidRPr="00EA59C0">
        <w:t>curriculum</w:t>
      </w:r>
      <w:r w:rsidR="00C026A6" w:rsidRPr="00EA59C0">
        <w:t xml:space="preserve"> </w:t>
      </w:r>
      <w:r w:rsidRPr="00EA59C0">
        <w:t>performance</w:t>
      </w:r>
      <w:r w:rsidR="00C026A6" w:rsidRPr="00EA59C0">
        <w:t xml:space="preserve"> </w:t>
      </w:r>
      <w:r w:rsidRPr="00EA59C0">
        <w:t>objectives;</w:t>
      </w:r>
      <w:r w:rsidR="00C026A6" w:rsidRPr="00EA59C0">
        <w:t xml:space="preserve"> </w:t>
      </w:r>
      <w:r w:rsidRPr="00EA59C0">
        <w:t>measurement</w:t>
      </w:r>
      <w:r w:rsidR="00C026A6" w:rsidRPr="00EA59C0">
        <w:t xml:space="preserve"> </w:t>
      </w:r>
      <w:r w:rsidRPr="00EA59C0">
        <w:t>criteria;</w:t>
      </w:r>
      <w:r w:rsidR="00C026A6" w:rsidRPr="00EA59C0">
        <w:t xml:space="preserve"> </w:t>
      </w:r>
      <w:r w:rsidRPr="00EA59C0">
        <w:t>scope</w:t>
      </w:r>
      <w:r w:rsidR="00C026A6" w:rsidRPr="00EA59C0">
        <w:t xml:space="preserve"> </w:t>
      </w:r>
      <w:r w:rsidRPr="00EA59C0">
        <w:t>and</w:t>
      </w:r>
      <w:r w:rsidR="00C026A6" w:rsidRPr="00EA59C0">
        <w:t xml:space="preserve"> </w:t>
      </w:r>
      <w:r w:rsidRPr="00EA59C0">
        <w:t>sequence</w:t>
      </w:r>
      <w:r w:rsidR="00C026A6" w:rsidRPr="00EA59C0">
        <w:t xml:space="preserve"> </w:t>
      </w:r>
      <w:r w:rsidRPr="00EA59C0">
        <w:t>of</w:t>
      </w:r>
      <w:r w:rsidR="00C026A6" w:rsidRPr="00EA59C0">
        <w:t xml:space="preserve"> </w:t>
      </w:r>
      <w:r w:rsidRPr="00EA59C0">
        <w:t>courses</w:t>
      </w:r>
      <w:r w:rsidR="00C026A6" w:rsidRPr="00EA59C0">
        <w:t xml:space="preserve"> </w:t>
      </w:r>
      <w:r w:rsidRPr="00EA59C0">
        <w:t>in</w:t>
      </w:r>
      <w:r w:rsidR="00C026A6" w:rsidRPr="00EA59C0">
        <w:t xml:space="preserve"> </w:t>
      </w:r>
      <w:r w:rsidRPr="00EA59C0">
        <w:t>a</w:t>
      </w:r>
      <w:r w:rsidR="00C026A6" w:rsidRPr="00EA59C0">
        <w:t xml:space="preserve"> </w:t>
      </w:r>
      <w:r w:rsidRPr="00EA59C0">
        <w:t>program</w:t>
      </w:r>
      <w:r w:rsidR="00C026A6" w:rsidRPr="00EA59C0">
        <w:t xml:space="preserve"> </w:t>
      </w:r>
      <w:r w:rsidRPr="00EA59C0">
        <w:t>of</w:t>
      </w:r>
      <w:r w:rsidR="00C026A6" w:rsidRPr="00EA59C0">
        <w:t xml:space="preserve"> </w:t>
      </w:r>
      <w:r w:rsidRPr="00EA59C0">
        <w:t>study;</w:t>
      </w:r>
      <w:r w:rsidR="00C026A6" w:rsidRPr="00EA59C0">
        <w:t xml:space="preserve"> </w:t>
      </w:r>
      <w:r w:rsidRPr="00EA59C0">
        <w:t>and</w:t>
      </w:r>
      <w:r w:rsidR="00C026A6" w:rsidRPr="00EA59C0">
        <w:t xml:space="preserve"> </w:t>
      </w:r>
      <w:r w:rsidRPr="00EA59C0">
        <w:t>development</w:t>
      </w:r>
      <w:r w:rsidR="00C026A6" w:rsidRPr="00EA59C0">
        <w:t xml:space="preserve"> </w:t>
      </w:r>
      <w:r w:rsidRPr="00EA59C0">
        <w:t>of</w:t>
      </w:r>
      <w:r w:rsidR="00C026A6" w:rsidRPr="00EA59C0">
        <w:t xml:space="preserve"> </w:t>
      </w:r>
      <w:r w:rsidRPr="00EA59C0">
        <w:t>assessments.</w:t>
      </w:r>
      <w:r w:rsidR="00C026A6" w:rsidRPr="00EA59C0">
        <w:t xml:space="preserve">  </w:t>
      </w:r>
      <w:r w:rsidRPr="00EA59C0">
        <w:t>Information</w:t>
      </w:r>
      <w:r w:rsidR="00C026A6" w:rsidRPr="00EA59C0">
        <w:t xml:space="preserve"> </w:t>
      </w:r>
      <w:r w:rsidRPr="00EA59C0">
        <w:t>about</w:t>
      </w:r>
      <w:r w:rsidR="00C026A6" w:rsidRPr="00EA59C0">
        <w:t xml:space="preserve"> </w:t>
      </w:r>
      <w:r w:rsidRPr="00EA59C0">
        <w:t>the</w:t>
      </w:r>
      <w:r w:rsidR="00C026A6" w:rsidRPr="00EA59C0">
        <w:t xml:space="preserve"> </w:t>
      </w:r>
      <w:r w:rsidRPr="00EA59C0">
        <w:t>sixteen</w:t>
      </w:r>
      <w:r w:rsidR="00C026A6" w:rsidRPr="00EA59C0">
        <w:t xml:space="preserve"> </w:t>
      </w:r>
      <w:r w:rsidRPr="00EA59C0">
        <w:t>career</w:t>
      </w:r>
      <w:r w:rsidR="00C026A6" w:rsidRPr="00EA59C0">
        <w:t xml:space="preserve"> </w:t>
      </w:r>
      <w:r w:rsidRPr="00EA59C0">
        <w:t>cluster</w:t>
      </w:r>
      <w:r w:rsidR="00C026A6" w:rsidRPr="00EA59C0">
        <w:t xml:space="preserve"> </w:t>
      </w:r>
      <w:r w:rsidRPr="00EA59C0">
        <w:t>areas</w:t>
      </w:r>
      <w:r w:rsidR="00C026A6" w:rsidRPr="00EA59C0">
        <w:t xml:space="preserve"> </w:t>
      </w:r>
      <w:r w:rsidRPr="00EA59C0">
        <w:t>can</w:t>
      </w:r>
      <w:r w:rsidR="00C026A6" w:rsidRPr="00EA59C0">
        <w:t xml:space="preserve"> </w:t>
      </w:r>
      <w:r w:rsidRPr="00EA59C0">
        <w:t>be</w:t>
      </w:r>
      <w:r w:rsidR="00C026A6" w:rsidRPr="00EA59C0">
        <w:t xml:space="preserve"> </w:t>
      </w:r>
      <w:r w:rsidRPr="00EA59C0">
        <w:t>found</w:t>
      </w:r>
      <w:r w:rsidR="00C026A6" w:rsidRPr="00EA59C0">
        <w:t xml:space="preserve"> </w:t>
      </w:r>
      <w:r w:rsidRPr="00EA59C0">
        <w:t>by</w:t>
      </w:r>
      <w:r w:rsidR="00C026A6" w:rsidRPr="00EA59C0">
        <w:t xml:space="preserve"> </w:t>
      </w:r>
      <w:r w:rsidRPr="00EA59C0">
        <w:t>accessing:</w:t>
      </w:r>
      <w:r w:rsidR="00C026A6" w:rsidRPr="00EA59C0">
        <w:t xml:space="preserve"> </w:t>
      </w:r>
      <w:r w:rsidR="00FE325E" w:rsidRPr="00EA59C0">
        <w:t>http://</w:t>
      </w:r>
      <w:hyperlink r:id="rId287" w:history="1">
        <w:r w:rsidR="00D81847" w:rsidRPr="00EA59C0">
          <w:rPr>
            <w:rStyle w:val="Hyperlink"/>
            <w:color w:val="auto"/>
          </w:rPr>
          <w:t>www.careerclusters.org</w:t>
        </w:r>
      </w:hyperlink>
      <w:r w:rsidRPr="00EA59C0">
        <w:t>.</w:t>
      </w:r>
      <w:r w:rsidR="00C026A6" w:rsidRPr="00EA59C0">
        <w:t xml:space="preserve"> </w:t>
      </w:r>
    </w:p>
    <w:p w:rsidR="00171E06" w:rsidRPr="00EA59C0" w:rsidRDefault="00171E06" w:rsidP="004073E6">
      <w:pPr>
        <w:tabs>
          <w:tab w:val="left" w:pos="1080"/>
        </w:tabs>
        <w:spacing w:line="480" w:lineRule="auto"/>
      </w:pPr>
    </w:p>
    <w:p w:rsidR="007470AB" w:rsidRPr="00EA59C0" w:rsidRDefault="00D81847" w:rsidP="004C3998">
      <w:pPr>
        <w:pStyle w:val="ListParagraph"/>
        <w:numPr>
          <w:ilvl w:val="1"/>
          <w:numId w:val="17"/>
        </w:numPr>
        <w:tabs>
          <w:tab w:val="left" w:pos="1080"/>
        </w:tabs>
        <w:spacing w:line="480" w:lineRule="auto"/>
      </w:pPr>
      <w:r w:rsidRPr="00EA59C0">
        <w:t>Workforce3One</w:t>
      </w:r>
      <w:r w:rsidR="00C026A6" w:rsidRPr="00EA59C0">
        <w:t xml:space="preserve"> </w:t>
      </w:r>
      <w:r w:rsidR="007470AB" w:rsidRPr="00EA59C0">
        <w:t>Resources</w:t>
      </w:r>
    </w:p>
    <w:p w:rsidR="007470AB" w:rsidRPr="00EA59C0" w:rsidRDefault="007470AB" w:rsidP="004C3998">
      <w:pPr>
        <w:pStyle w:val="ListParagraph"/>
        <w:numPr>
          <w:ilvl w:val="2"/>
          <w:numId w:val="17"/>
        </w:numPr>
      </w:pPr>
      <w:r w:rsidRPr="00EA59C0">
        <w:t>ETA</w:t>
      </w:r>
      <w:r w:rsidR="00C026A6" w:rsidRPr="00EA59C0">
        <w:t xml:space="preserve"> </w:t>
      </w:r>
      <w:r w:rsidRPr="00EA59C0">
        <w:t>encourages</w:t>
      </w:r>
      <w:r w:rsidR="00C026A6" w:rsidRPr="00EA59C0">
        <w:t xml:space="preserve"> </w:t>
      </w:r>
      <w:r w:rsidRPr="00EA59C0">
        <w:t>applicants</w:t>
      </w:r>
      <w:r w:rsidR="00C026A6" w:rsidRPr="00EA59C0">
        <w:t xml:space="preserve"> </w:t>
      </w:r>
      <w:r w:rsidRPr="00EA59C0">
        <w:t>to</w:t>
      </w:r>
      <w:r w:rsidR="00C026A6" w:rsidRPr="00EA59C0">
        <w:t xml:space="preserve"> </w:t>
      </w:r>
      <w:r w:rsidRPr="00EA59C0">
        <w:t>view</w:t>
      </w:r>
      <w:r w:rsidR="00C026A6" w:rsidRPr="00EA59C0">
        <w:t xml:space="preserve"> </w:t>
      </w:r>
      <w:r w:rsidRPr="00EA59C0">
        <w:t>the</w:t>
      </w:r>
      <w:r w:rsidR="00C026A6" w:rsidRPr="00EA59C0">
        <w:t xml:space="preserve"> </w:t>
      </w:r>
      <w:r w:rsidRPr="00EA59C0">
        <w:t>information</w:t>
      </w:r>
      <w:r w:rsidR="00C026A6" w:rsidRPr="00EA59C0">
        <w:t xml:space="preserve"> </w:t>
      </w:r>
      <w:r w:rsidRPr="00EA59C0">
        <w:t>gathered</w:t>
      </w:r>
      <w:r w:rsidR="00C026A6" w:rsidRPr="00EA59C0">
        <w:t xml:space="preserve"> </w:t>
      </w:r>
      <w:r w:rsidRPr="00EA59C0">
        <w:t>through</w:t>
      </w:r>
      <w:r w:rsidR="00C026A6" w:rsidRPr="00EA59C0">
        <w:t xml:space="preserve"> </w:t>
      </w:r>
      <w:r w:rsidRPr="00EA59C0">
        <w:t>the</w:t>
      </w:r>
      <w:r w:rsidR="00C026A6" w:rsidRPr="00EA59C0">
        <w:t xml:space="preserve"> </w:t>
      </w:r>
      <w:r w:rsidRPr="00EA59C0">
        <w:t>conference</w:t>
      </w:r>
      <w:r w:rsidR="00C026A6" w:rsidRPr="00EA59C0">
        <w:t xml:space="preserve"> </w:t>
      </w:r>
      <w:r w:rsidRPr="00EA59C0">
        <w:t>calls</w:t>
      </w:r>
      <w:r w:rsidR="00C026A6" w:rsidRPr="00EA59C0">
        <w:t xml:space="preserve"> </w:t>
      </w:r>
      <w:r w:rsidRPr="00EA59C0">
        <w:t>with</w:t>
      </w:r>
      <w:r w:rsidR="00C026A6" w:rsidRPr="00EA59C0">
        <w:t xml:space="preserve"> </w:t>
      </w:r>
      <w:r w:rsidRPr="00EA59C0">
        <w:t>Federal</w:t>
      </w:r>
      <w:r w:rsidR="00C026A6" w:rsidRPr="00EA59C0">
        <w:t xml:space="preserve"> </w:t>
      </w:r>
      <w:r w:rsidRPr="00EA59C0">
        <w:t>agency</w:t>
      </w:r>
      <w:r w:rsidR="00C026A6" w:rsidRPr="00EA59C0">
        <w:t xml:space="preserve"> </w:t>
      </w:r>
      <w:r w:rsidRPr="00EA59C0">
        <w:t>partners,</w:t>
      </w:r>
      <w:r w:rsidR="00C026A6" w:rsidRPr="00EA59C0">
        <w:t xml:space="preserve"> </w:t>
      </w:r>
      <w:r w:rsidRPr="00EA59C0">
        <w:t>industry</w:t>
      </w:r>
      <w:r w:rsidR="00C026A6" w:rsidRPr="00EA59C0">
        <w:t xml:space="preserve"> </w:t>
      </w:r>
      <w:r w:rsidRPr="00EA59C0">
        <w:t>stakeholders,</w:t>
      </w:r>
      <w:r w:rsidR="00C026A6" w:rsidRPr="00EA59C0">
        <w:t xml:space="preserve"> </w:t>
      </w:r>
      <w:r w:rsidRPr="00EA59C0">
        <w:t>educators,</w:t>
      </w:r>
      <w:r w:rsidR="00C026A6" w:rsidRPr="00EA59C0">
        <w:t xml:space="preserve"> </w:t>
      </w:r>
      <w:r w:rsidRPr="00EA59C0">
        <w:t>and</w:t>
      </w:r>
      <w:r w:rsidR="00C026A6" w:rsidRPr="00EA59C0">
        <w:t xml:space="preserve"> </w:t>
      </w:r>
      <w:r w:rsidRPr="00EA59C0">
        <w:t>local</w:t>
      </w:r>
      <w:r w:rsidR="00C026A6" w:rsidRPr="00EA59C0">
        <w:t xml:space="preserve"> </w:t>
      </w:r>
      <w:r w:rsidRPr="00EA59C0">
        <w:t>practitioners.</w:t>
      </w:r>
      <w:r w:rsidR="00C026A6" w:rsidRPr="00EA59C0">
        <w:t xml:space="preserve"> </w:t>
      </w:r>
      <w:r w:rsidRPr="00EA59C0">
        <w:t>The</w:t>
      </w:r>
      <w:r w:rsidR="00C026A6" w:rsidRPr="00EA59C0">
        <w:t xml:space="preserve"> </w:t>
      </w:r>
      <w:r w:rsidRPr="00EA59C0">
        <w:t>information</w:t>
      </w:r>
      <w:r w:rsidR="00C026A6" w:rsidRPr="00EA59C0">
        <w:t xml:space="preserve"> </w:t>
      </w:r>
      <w:r w:rsidRPr="00EA59C0">
        <w:t>on</w:t>
      </w:r>
      <w:r w:rsidR="00C026A6" w:rsidRPr="00EA59C0">
        <w:t xml:space="preserve"> </w:t>
      </w:r>
      <w:r w:rsidRPr="00EA59C0">
        <w:t>resources</w:t>
      </w:r>
      <w:r w:rsidR="00C026A6" w:rsidRPr="00EA59C0">
        <w:t xml:space="preserve"> </w:t>
      </w:r>
      <w:r w:rsidRPr="00EA59C0">
        <w:t>identified</w:t>
      </w:r>
      <w:r w:rsidR="00C026A6" w:rsidRPr="00EA59C0">
        <w:t xml:space="preserve"> </w:t>
      </w:r>
      <w:r w:rsidRPr="00EA59C0">
        <w:t>can</w:t>
      </w:r>
      <w:r w:rsidR="00C026A6" w:rsidRPr="00EA59C0">
        <w:t xml:space="preserve"> </w:t>
      </w:r>
      <w:r w:rsidRPr="00EA59C0">
        <w:t>be</w:t>
      </w:r>
      <w:r w:rsidR="00C026A6" w:rsidRPr="00EA59C0">
        <w:t xml:space="preserve"> </w:t>
      </w:r>
      <w:r w:rsidRPr="00EA59C0">
        <w:t>found</w:t>
      </w:r>
      <w:r w:rsidR="00C026A6" w:rsidRPr="00EA59C0">
        <w:t xml:space="preserve"> </w:t>
      </w:r>
      <w:r w:rsidRPr="00EA59C0">
        <w:t>on</w:t>
      </w:r>
      <w:r w:rsidR="00C026A6" w:rsidRPr="00EA59C0">
        <w:t xml:space="preserve"> </w:t>
      </w:r>
      <w:r w:rsidRPr="00EA59C0">
        <w:t>Workforce3One.org</w:t>
      </w:r>
      <w:r w:rsidR="00C026A6" w:rsidRPr="00EA59C0">
        <w:t xml:space="preserve"> </w:t>
      </w:r>
      <w:r w:rsidRPr="00EA59C0">
        <w:t>at:</w:t>
      </w:r>
      <w:r w:rsidR="00C026A6" w:rsidRPr="00EA59C0">
        <w:t xml:space="preserve"> </w:t>
      </w:r>
      <w:hyperlink r:id="rId288" w:history="1">
        <w:r w:rsidRPr="00EA59C0">
          <w:rPr>
            <w:rStyle w:val="Hyperlink"/>
            <w:color w:val="auto"/>
          </w:rPr>
          <w:t>http://www.workforce3one.org/view/2001008333909172195/info</w:t>
        </w:r>
      </w:hyperlink>
      <w:r w:rsidRPr="00EA59C0">
        <w:t>.</w:t>
      </w:r>
    </w:p>
    <w:p w:rsidR="005A1CA5" w:rsidRPr="00EA59C0" w:rsidRDefault="005A1CA5" w:rsidP="00FA0E98">
      <w:pPr>
        <w:ind w:left="360"/>
      </w:pPr>
    </w:p>
    <w:p w:rsidR="00144DF0" w:rsidRPr="00EA59C0" w:rsidRDefault="007470AB" w:rsidP="004C3998">
      <w:pPr>
        <w:pStyle w:val="ListParagraph"/>
        <w:numPr>
          <w:ilvl w:val="2"/>
          <w:numId w:val="17"/>
        </w:numPr>
      </w:pPr>
      <w:r w:rsidRPr="00EA59C0">
        <w:t>ETA</w:t>
      </w:r>
      <w:r w:rsidR="00C026A6" w:rsidRPr="00EA59C0">
        <w:t xml:space="preserve"> </w:t>
      </w:r>
      <w:r w:rsidRPr="00EA59C0">
        <w:t>encourages</w:t>
      </w:r>
      <w:r w:rsidR="00C026A6" w:rsidRPr="00EA59C0">
        <w:t xml:space="preserve"> </w:t>
      </w:r>
      <w:r w:rsidRPr="00EA59C0">
        <w:t>applicants</w:t>
      </w:r>
      <w:r w:rsidR="00C026A6" w:rsidRPr="00EA59C0">
        <w:t xml:space="preserve"> </w:t>
      </w:r>
      <w:r w:rsidRPr="00EA59C0">
        <w:t>to</w:t>
      </w:r>
      <w:r w:rsidR="00C026A6" w:rsidRPr="00EA59C0">
        <w:t xml:space="preserve"> </w:t>
      </w:r>
      <w:r w:rsidRPr="00EA59C0">
        <w:t>view</w:t>
      </w:r>
      <w:r w:rsidR="00C026A6" w:rsidRPr="00EA59C0">
        <w:t xml:space="preserve"> </w:t>
      </w:r>
      <w:r w:rsidRPr="00EA59C0">
        <w:t>the</w:t>
      </w:r>
      <w:r w:rsidR="00C026A6" w:rsidRPr="00EA59C0">
        <w:t xml:space="preserve"> </w:t>
      </w:r>
      <w:r w:rsidRPr="00EA59C0">
        <w:t>online</w:t>
      </w:r>
      <w:r w:rsidR="00C026A6" w:rsidRPr="00EA59C0">
        <w:t xml:space="preserve"> </w:t>
      </w:r>
      <w:r w:rsidRPr="00EA59C0">
        <w:t>tutorial,</w:t>
      </w:r>
      <w:r w:rsidR="00C026A6" w:rsidRPr="00EA59C0">
        <w:t xml:space="preserve"> </w:t>
      </w:r>
      <w:r w:rsidRPr="00EA59C0">
        <w:t>“Grant</w:t>
      </w:r>
      <w:r w:rsidR="00C026A6" w:rsidRPr="00EA59C0">
        <w:t xml:space="preserve"> </w:t>
      </w:r>
      <w:r w:rsidRPr="00EA59C0">
        <w:t>Applications</w:t>
      </w:r>
      <w:r w:rsidR="00C026A6" w:rsidRPr="00EA59C0">
        <w:t xml:space="preserve"> </w:t>
      </w:r>
      <w:r w:rsidRPr="00EA59C0">
        <w:t>101:</w:t>
      </w:r>
      <w:r w:rsidR="00C026A6" w:rsidRPr="00EA59C0">
        <w:t xml:space="preserve">  </w:t>
      </w:r>
      <w:r w:rsidRPr="00EA59C0">
        <w:t>A</w:t>
      </w:r>
      <w:r w:rsidR="00C026A6" w:rsidRPr="00EA59C0">
        <w:t xml:space="preserve"> </w:t>
      </w:r>
      <w:r w:rsidRPr="00EA59C0">
        <w:t>Plain</w:t>
      </w:r>
      <w:r w:rsidR="00C026A6" w:rsidRPr="00EA59C0">
        <w:t xml:space="preserve"> </w:t>
      </w:r>
      <w:r w:rsidRPr="00EA59C0">
        <w:t>English</w:t>
      </w:r>
      <w:r w:rsidR="00C026A6" w:rsidRPr="00EA59C0">
        <w:t xml:space="preserve"> </w:t>
      </w:r>
      <w:r w:rsidRPr="00EA59C0">
        <w:t>Guide</w:t>
      </w:r>
      <w:r w:rsidR="00C026A6" w:rsidRPr="00EA59C0">
        <w:t xml:space="preserve"> </w:t>
      </w:r>
      <w:r w:rsidRPr="00EA59C0">
        <w:t>to</w:t>
      </w:r>
      <w:r w:rsidR="00C026A6" w:rsidRPr="00EA59C0">
        <w:t xml:space="preserve"> </w:t>
      </w:r>
      <w:r w:rsidRPr="00EA59C0">
        <w:t>ETA</w:t>
      </w:r>
      <w:r w:rsidR="00C026A6" w:rsidRPr="00EA59C0">
        <w:t xml:space="preserve"> </w:t>
      </w:r>
      <w:r w:rsidRPr="00EA59C0">
        <w:t>Competitive</w:t>
      </w:r>
      <w:r w:rsidR="00C026A6" w:rsidRPr="00EA59C0">
        <w:t xml:space="preserve"> </w:t>
      </w:r>
      <w:r w:rsidRPr="00EA59C0">
        <w:t>Grants,”</w:t>
      </w:r>
      <w:r w:rsidR="00C026A6" w:rsidRPr="00EA59C0">
        <w:t xml:space="preserve"> </w:t>
      </w:r>
      <w:r w:rsidRPr="00EA59C0">
        <w:t>available</w:t>
      </w:r>
      <w:r w:rsidR="00C026A6" w:rsidRPr="00EA59C0">
        <w:t xml:space="preserve"> </w:t>
      </w:r>
      <w:r w:rsidRPr="00EA59C0">
        <w:t>through</w:t>
      </w:r>
      <w:r w:rsidR="00C026A6" w:rsidRPr="00EA59C0">
        <w:t xml:space="preserve"> </w:t>
      </w:r>
      <w:r w:rsidRPr="00EA59C0">
        <w:t>Workforce3One</w:t>
      </w:r>
      <w:r w:rsidR="00C026A6" w:rsidRPr="00EA59C0">
        <w:t xml:space="preserve"> </w:t>
      </w:r>
      <w:r w:rsidRPr="00EA59C0">
        <w:t>at:</w:t>
      </w:r>
      <w:r w:rsidR="00C026A6" w:rsidRPr="00EA59C0">
        <w:t xml:space="preserve">  </w:t>
      </w:r>
      <w:hyperlink r:id="rId289" w:history="1">
        <w:r w:rsidR="004F3020" w:rsidRPr="00EA59C0">
          <w:t>http://www.workforce3one.org/page/grants_toolkit</w:t>
        </w:r>
      </w:hyperlink>
      <w:r w:rsidR="004F3020" w:rsidRPr="00EA59C0">
        <w:t>.</w:t>
      </w:r>
      <w:r w:rsidR="00DA1571">
        <w:t xml:space="preserve"> </w:t>
      </w:r>
    </w:p>
    <w:p w:rsidR="00901235" w:rsidRPr="00EA59C0" w:rsidRDefault="00901235" w:rsidP="00FA0E98">
      <w:pPr>
        <w:pStyle w:val="ListParagraph"/>
        <w:ind w:left="1080"/>
      </w:pPr>
    </w:p>
    <w:p w:rsidR="00901235" w:rsidRPr="00EA59C0" w:rsidRDefault="00901235" w:rsidP="004C3998">
      <w:pPr>
        <w:pStyle w:val="ListParagraph"/>
        <w:numPr>
          <w:ilvl w:val="2"/>
          <w:numId w:val="17"/>
        </w:numPr>
      </w:pPr>
      <w:r w:rsidRPr="00EA59C0">
        <w:t>ETA</w:t>
      </w:r>
      <w:r w:rsidR="00C026A6" w:rsidRPr="00EA59C0">
        <w:t xml:space="preserve"> </w:t>
      </w:r>
      <w:r w:rsidRPr="00EA59C0">
        <w:t>has</w:t>
      </w:r>
      <w:r w:rsidR="00C026A6" w:rsidRPr="00EA59C0">
        <w:t xml:space="preserve"> </w:t>
      </w:r>
      <w:r w:rsidRPr="00EA59C0">
        <w:t>created</w:t>
      </w:r>
      <w:r w:rsidR="00C026A6" w:rsidRPr="00EA59C0">
        <w:t xml:space="preserve"> </w:t>
      </w:r>
      <w:r w:rsidRPr="00EA59C0">
        <w:t>Workforce</w:t>
      </w:r>
      <w:r w:rsidR="00C026A6" w:rsidRPr="00EA59C0">
        <w:t xml:space="preserve"> </w:t>
      </w:r>
      <w:r w:rsidRPr="00EA59C0">
        <w:t>System</w:t>
      </w:r>
      <w:r w:rsidR="00C026A6" w:rsidRPr="00EA59C0">
        <w:t xml:space="preserve"> </w:t>
      </w:r>
      <w:r w:rsidRPr="00EA59C0">
        <w:t>Strategies</w:t>
      </w:r>
      <w:r w:rsidR="00C026A6" w:rsidRPr="00EA59C0">
        <w:t xml:space="preserve"> </w:t>
      </w:r>
      <w:r w:rsidRPr="00EA59C0">
        <w:t>to</w:t>
      </w:r>
      <w:r w:rsidR="00C026A6" w:rsidRPr="00EA59C0">
        <w:t xml:space="preserve"> </w:t>
      </w:r>
      <w:r w:rsidRPr="00EA59C0">
        <w:t>make</w:t>
      </w:r>
      <w:r w:rsidR="00C026A6" w:rsidRPr="00EA59C0">
        <w:t xml:space="preserve"> </w:t>
      </w:r>
      <w:r w:rsidRPr="00EA59C0">
        <w:t>it</w:t>
      </w:r>
      <w:r w:rsidR="00C026A6" w:rsidRPr="00EA59C0">
        <w:t xml:space="preserve"> </w:t>
      </w:r>
      <w:r w:rsidRPr="00EA59C0">
        <w:t>easier</w:t>
      </w:r>
      <w:r w:rsidR="00C026A6" w:rsidRPr="00EA59C0">
        <w:t xml:space="preserve"> </w:t>
      </w:r>
      <w:r w:rsidRPr="00EA59C0">
        <w:t>for</w:t>
      </w:r>
      <w:r w:rsidR="00C026A6" w:rsidRPr="00EA59C0">
        <w:t xml:space="preserve"> </w:t>
      </w:r>
      <w:r w:rsidRPr="00EA59C0">
        <w:t>the</w:t>
      </w:r>
      <w:r w:rsidR="00C026A6" w:rsidRPr="00EA59C0">
        <w:t xml:space="preserve"> </w:t>
      </w:r>
      <w:r w:rsidRPr="00EA59C0">
        <w:t>public</w:t>
      </w:r>
      <w:r w:rsidR="00C026A6" w:rsidRPr="00EA59C0">
        <w:t xml:space="preserve"> </w:t>
      </w:r>
      <w:r w:rsidRPr="00EA59C0">
        <w:t>workforce</w:t>
      </w:r>
      <w:r w:rsidR="00C026A6" w:rsidRPr="00EA59C0">
        <w:t xml:space="preserve"> </w:t>
      </w:r>
      <w:r w:rsidRPr="00EA59C0">
        <w:t>system</w:t>
      </w:r>
      <w:r w:rsidR="00C026A6" w:rsidRPr="00EA59C0">
        <w:t xml:space="preserve"> </w:t>
      </w:r>
      <w:r w:rsidRPr="00EA59C0">
        <w:t>and</w:t>
      </w:r>
      <w:r w:rsidR="00C026A6" w:rsidRPr="00EA59C0">
        <w:t xml:space="preserve"> </w:t>
      </w:r>
      <w:r w:rsidRPr="00EA59C0">
        <w:t>its</w:t>
      </w:r>
      <w:r w:rsidR="00C026A6" w:rsidRPr="00EA59C0">
        <w:t xml:space="preserve"> </w:t>
      </w:r>
      <w:r w:rsidRPr="00EA59C0">
        <w:t>partners</w:t>
      </w:r>
      <w:r w:rsidR="00C026A6" w:rsidRPr="00EA59C0">
        <w:t xml:space="preserve"> </w:t>
      </w:r>
      <w:r w:rsidRPr="00EA59C0">
        <w:t>to</w:t>
      </w:r>
      <w:r w:rsidR="00C026A6" w:rsidRPr="00EA59C0">
        <w:t xml:space="preserve"> </w:t>
      </w:r>
      <w:r w:rsidRPr="00EA59C0">
        <w:t>identify</w:t>
      </w:r>
      <w:r w:rsidR="00C026A6" w:rsidRPr="00EA59C0">
        <w:t xml:space="preserve"> </w:t>
      </w:r>
      <w:r w:rsidRPr="00EA59C0">
        <w:t>effective</w:t>
      </w:r>
      <w:r w:rsidR="00C026A6" w:rsidRPr="00EA59C0">
        <w:t xml:space="preserve"> </w:t>
      </w:r>
      <w:r w:rsidRPr="00EA59C0">
        <w:t>strategies</w:t>
      </w:r>
      <w:r w:rsidR="00C026A6" w:rsidRPr="00EA59C0">
        <w:t xml:space="preserve"> </w:t>
      </w:r>
      <w:r w:rsidRPr="00EA59C0">
        <w:t>and</w:t>
      </w:r>
      <w:r w:rsidR="00C026A6" w:rsidRPr="00EA59C0">
        <w:t xml:space="preserve"> </w:t>
      </w:r>
      <w:r w:rsidRPr="00EA59C0">
        <w:t>support</w:t>
      </w:r>
      <w:r w:rsidR="00C026A6" w:rsidRPr="00EA59C0">
        <w:t xml:space="preserve"> </w:t>
      </w:r>
      <w:r w:rsidRPr="00EA59C0">
        <w:t>improved</w:t>
      </w:r>
      <w:r w:rsidR="00C026A6" w:rsidRPr="00EA59C0">
        <w:t xml:space="preserve"> </w:t>
      </w:r>
      <w:r w:rsidRPr="00EA59C0">
        <w:t>customer</w:t>
      </w:r>
      <w:r w:rsidR="00C026A6" w:rsidRPr="00EA59C0">
        <w:t xml:space="preserve"> </w:t>
      </w:r>
      <w:r w:rsidRPr="00EA59C0">
        <w:t>outcomes.</w:t>
      </w:r>
      <w:r w:rsidR="00C026A6" w:rsidRPr="00EA59C0">
        <w:t xml:space="preserve">  </w:t>
      </w:r>
      <w:r w:rsidRPr="00EA59C0">
        <w:t>The</w:t>
      </w:r>
      <w:r w:rsidR="00C026A6" w:rsidRPr="00EA59C0">
        <w:t xml:space="preserve"> </w:t>
      </w:r>
      <w:r w:rsidRPr="00EA59C0">
        <w:t>collection</w:t>
      </w:r>
      <w:r w:rsidR="00C026A6" w:rsidRPr="00EA59C0">
        <w:t xml:space="preserve"> </w:t>
      </w:r>
      <w:r w:rsidRPr="00EA59C0">
        <w:t>highlights</w:t>
      </w:r>
      <w:r w:rsidR="00C026A6" w:rsidRPr="00EA59C0">
        <w:t xml:space="preserve"> </w:t>
      </w:r>
      <w:r w:rsidRPr="00EA59C0">
        <w:t>strategies</w:t>
      </w:r>
      <w:r w:rsidR="00C026A6" w:rsidRPr="00EA59C0">
        <w:t xml:space="preserve"> </w:t>
      </w:r>
      <w:r w:rsidRPr="00EA59C0">
        <w:t>informed</w:t>
      </w:r>
      <w:r w:rsidR="00C026A6" w:rsidRPr="00EA59C0">
        <w:t xml:space="preserve"> </w:t>
      </w:r>
      <w:r w:rsidRPr="00EA59C0">
        <w:t>by</w:t>
      </w:r>
      <w:r w:rsidR="00C026A6" w:rsidRPr="00EA59C0">
        <w:t xml:space="preserve"> </w:t>
      </w:r>
      <w:r w:rsidRPr="00EA59C0">
        <w:t>a</w:t>
      </w:r>
      <w:r w:rsidR="00C026A6" w:rsidRPr="00EA59C0">
        <w:t xml:space="preserve"> </w:t>
      </w:r>
      <w:r w:rsidRPr="00EA59C0">
        <w:t>wide</w:t>
      </w:r>
      <w:r w:rsidR="00C026A6" w:rsidRPr="00EA59C0">
        <w:t xml:space="preserve"> </w:t>
      </w:r>
      <w:r w:rsidRPr="00EA59C0">
        <w:t>range</w:t>
      </w:r>
      <w:r w:rsidR="00C026A6" w:rsidRPr="00EA59C0">
        <w:t xml:space="preserve"> </w:t>
      </w:r>
      <w:r w:rsidRPr="00EA59C0">
        <w:t>of</w:t>
      </w:r>
      <w:r w:rsidR="00C026A6" w:rsidRPr="00EA59C0">
        <w:t xml:space="preserve"> </w:t>
      </w:r>
      <w:r w:rsidRPr="00EA59C0">
        <w:t>evidence</w:t>
      </w:r>
      <w:r w:rsidR="00C026A6" w:rsidRPr="00EA59C0">
        <w:t xml:space="preserve"> </w:t>
      </w:r>
      <w:r w:rsidRPr="00EA59C0">
        <w:t>such</w:t>
      </w:r>
      <w:r w:rsidR="00C026A6" w:rsidRPr="00EA59C0">
        <w:t xml:space="preserve"> </w:t>
      </w:r>
      <w:r w:rsidRPr="00EA59C0">
        <w:t>as</w:t>
      </w:r>
      <w:r w:rsidR="00C026A6" w:rsidRPr="00EA59C0">
        <w:t xml:space="preserve"> </w:t>
      </w:r>
      <w:r w:rsidRPr="00EA59C0">
        <w:t>experimental</w:t>
      </w:r>
      <w:r w:rsidR="00C026A6" w:rsidRPr="00EA59C0">
        <w:t xml:space="preserve"> </w:t>
      </w:r>
      <w:r w:rsidRPr="00EA59C0">
        <w:t>studies</w:t>
      </w:r>
      <w:r w:rsidR="00C026A6" w:rsidRPr="00EA59C0">
        <w:t xml:space="preserve"> </w:t>
      </w:r>
      <w:r w:rsidRPr="00EA59C0">
        <w:t>and</w:t>
      </w:r>
      <w:r w:rsidR="00C026A6" w:rsidRPr="00EA59C0">
        <w:t xml:space="preserve"> </w:t>
      </w:r>
      <w:r w:rsidRPr="00EA59C0">
        <w:t>implementation</w:t>
      </w:r>
      <w:r w:rsidR="00C026A6" w:rsidRPr="00EA59C0">
        <w:t xml:space="preserve"> </w:t>
      </w:r>
      <w:r w:rsidRPr="00EA59C0">
        <w:t>evaluations,</w:t>
      </w:r>
      <w:r w:rsidR="00C026A6" w:rsidRPr="00EA59C0">
        <w:t xml:space="preserve"> </w:t>
      </w:r>
      <w:r w:rsidRPr="00EA59C0">
        <w:t>as</w:t>
      </w:r>
      <w:r w:rsidR="00C026A6" w:rsidRPr="00EA59C0">
        <w:t xml:space="preserve"> </w:t>
      </w:r>
      <w:r w:rsidRPr="00EA59C0">
        <w:t>well</w:t>
      </w:r>
      <w:r w:rsidR="00C026A6" w:rsidRPr="00EA59C0">
        <w:t xml:space="preserve"> </w:t>
      </w:r>
      <w:r w:rsidRPr="00EA59C0">
        <w:t>as</w:t>
      </w:r>
      <w:r w:rsidR="00C026A6" w:rsidRPr="00EA59C0">
        <w:t xml:space="preserve"> </w:t>
      </w:r>
      <w:r w:rsidRPr="00EA59C0">
        <w:t>supporting</w:t>
      </w:r>
      <w:r w:rsidR="00C026A6" w:rsidRPr="00EA59C0">
        <w:t xml:space="preserve"> </w:t>
      </w:r>
      <w:r w:rsidRPr="00EA59C0">
        <w:t>resources</w:t>
      </w:r>
      <w:r w:rsidR="00C026A6" w:rsidRPr="00EA59C0">
        <w:t xml:space="preserve"> </w:t>
      </w:r>
      <w:r w:rsidRPr="00EA59C0">
        <w:t>such</w:t>
      </w:r>
      <w:r w:rsidR="00C026A6" w:rsidRPr="00EA59C0">
        <w:t xml:space="preserve"> </w:t>
      </w:r>
      <w:r w:rsidRPr="00EA59C0">
        <w:t>as</w:t>
      </w:r>
      <w:r w:rsidR="00C026A6" w:rsidRPr="00EA59C0">
        <w:t xml:space="preserve"> </w:t>
      </w:r>
      <w:r w:rsidRPr="00EA59C0">
        <w:t>toolkits.</w:t>
      </w:r>
      <w:r w:rsidR="00C026A6" w:rsidRPr="00EA59C0">
        <w:t xml:space="preserve">  </w:t>
      </w:r>
      <w:r w:rsidRPr="00EA59C0">
        <w:t>ETA</w:t>
      </w:r>
      <w:r w:rsidR="00C026A6" w:rsidRPr="00EA59C0">
        <w:t xml:space="preserve"> </w:t>
      </w:r>
      <w:r w:rsidRPr="00EA59C0">
        <w:t>encourages</w:t>
      </w:r>
      <w:r w:rsidR="00C026A6" w:rsidRPr="00EA59C0">
        <w:t xml:space="preserve"> </w:t>
      </w:r>
      <w:r w:rsidRPr="00EA59C0">
        <w:t>applicants</w:t>
      </w:r>
      <w:r w:rsidR="00C026A6" w:rsidRPr="00EA59C0">
        <w:t xml:space="preserve"> </w:t>
      </w:r>
      <w:r w:rsidRPr="00EA59C0">
        <w:t>to</w:t>
      </w:r>
      <w:r w:rsidR="00C026A6" w:rsidRPr="00EA59C0">
        <w:t xml:space="preserve"> </w:t>
      </w:r>
      <w:r w:rsidRPr="00EA59C0">
        <w:t>review</w:t>
      </w:r>
      <w:r w:rsidR="00C026A6" w:rsidRPr="00EA59C0">
        <w:t xml:space="preserve"> </w:t>
      </w:r>
      <w:r w:rsidRPr="00EA59C0">
        <w:t>these</w:t>
      </w:r>
      <w:r w:rsidR="00C026A6" w:rsidRPr="00EA59C0">
        <w:t xml:space="preserve"> </w:t>
      </w:r>
      <w:r w:rsidRPr="00EA59C0">
        <w:t>resources</w:t>
      </w:r>
      <w:r w:rsidR="00C026A6" w:rsidRPr="00EA59C0">
        <w:t xml:space="preserve"> </w:t>
      </w:r>
      <w:r w:rsidRPr="00EA59C0">
        <w:t>by</w:t>
      </w:r>
      <w:r w:rsidR="00C026A6" w:rsidRPr="00EA59C0">
        <w:t xml:space="preserve"> </w:t>
      </w:r>
      <w:r w:rsidRPr="00EA59C0">
        <w:t>visiting</w:t>
      </w:r>
      <w:r w:rsidR="00C026A6" w:rsidRPr="00EA59C0">
        <w:t xml:space="preserve"> </w:t>
      </w:r>
      <w:hyperlink r:id="rId290" w:history="1">
        <w:r w:rsidRPr="00EA59C0">
          <w:rPr>
            <w:rStyle w:val="Hyperlink"/>
            <w:color w:val="auto"/>
          </w:rPr>
          <w:t>http://strategies.workforce3one.org/</w:t>
        </w:r>
      </w:hyperlink>
      <w:r w:rsidRPr="00EA59C0">
        <w:t>.</w:t>
      </w:r>
      <w:r w:rsidR="00C026A6" w:rsidRPr="00EA59C0">
        <w:t xml:space="preserve"> </w:t>
      </w:r>
    </w:p>
    <w:p w:rsidR="00144DF0" w:rsidRPr="00EA59C0" w:rsidRDefault="00144DF0" w:rsidP="00FA0E98">
      <w:pPr>
        <w:pStyle w:val="ListParagraph"/>
        <w:ind w:left="1080"/>
      </w:pPr>
    </w:p>
    <w:p w:rsidR="005A1CA5" w:rsidRPr="00EA59C0" w:rsidRDefault="004B5652" w:rsidP="004C3998">
      <w:pPr>
        <w:pStyle w:val="ListParagraph"/>
        <w:numPr>
          <w:ilvl w:val="2"/>
          <w:numId w:val="17"/>
        </w:numPr>
      </w:pPr>
      <w:r w:rsidRPr="00EA59C0">
        <w:t>E</w:t>
      </w:r>
      <w:r w:rsidR="005A1CA5" w:rsidRPr="00EA59C0">
        <w:t>TA</w:t>
      </w:r>
      <w:r w:rsidR="00C026A6" w:rsidRPr="00EA59C0">
        <w:t xml:space="preserve"> </w:t>
      </w:r>
      <w:r w:rsidR="005A1CA5" w:rsidRPr="00EA59C0">
        <w:t>has</w:t>
      </w:r>
      <w:r w:rsidR="00C026A6" w:rsidRPr="00EA59C0">
        <w:t xml:space="preserve"> </w:t>
      </w:r>
      <w:r w:rsidR="005A1CA5" w:rsidRPr="00EA59C0">
        <w:t>created</w:t>
      </w:r>
      <w:r w:rsidR="00C026A6" w:rsidRPr="00EA59C0">
        <w:t xml:space="preserve"> </w:t>
      </w:r>
      <w:r w:rsidR="005A1CA5" w:rsidRPr="00EA59C0">
        <w:t>a</w:t>
      </w:r>
      <w:r w:rsidR="00C026A6" w:rsidRPr="00EA59C0">
        <w:t xml:space="preserve"> </w:t>
      </w:r>
      <w:r w:rsidR="005A1CA5" w:rsidRPr="00EA59C0">
        <w:t>technical</w:t>
      </w:r>
      <w:r w:rsidR="00C026A6" w:rsidRPr="00EA59C0">
        <w:t xml:space="preserve"> </w:t>
      </w:r>
      <w:r w:rsidR="005A1CA5" w:rsidRPr="00EA59C0">
        <w:t>assistance</w:t>
      </w:r>
      <w:r w:rsidR="00C026A6" w:rsidRPr="00EA59C0">
        <w:t xml:space="preserve"> </w:t>
      </w:r>
      <w:r w:rsidR="005A1CA5" w:rsidRPr="00EA59C0">
        <w:t>portal</w:t>
      </w:r>
      <w:r w:rsidR="00C026A6" w:rsidRPr="00EA59C0">
        <w:t xml:space="preserve"> </w:t>
      </w:r>
      <w:r w:rsidR="005A1CA5" w:rsidRPr="00EA59C0">
        <w:t>at</w:t>
      </w:r>
      <w:r w:rsidR="00C026A6" w:rsidRPr="00EA59C0">
        <w:t xml:space="preserve"> </w:t>
      </w:r>
      <w:hyperlink r:id="rId291" w:history="1">
        <w:r w:rsidR="00F847E4" w:rsidRPr="00EA59C0">
          <w:rPr>
            <w:rStyle w:val="Hyperlink"/>
            <w:color w:val="auto"/>
          </w:rPr>
          <w:t>https://etareporting.workforce3one.org/page/financial</w:t>
        </w:r>
      </w:hyperlink>
      <w:r w:rsidR="00C026A6" w:rsidRPr="00EA59C0">
        <w:t xml:space="preserve"> </w:t>
      </w:r>
      <w:r w:rsidR="005A1CA5" w:rsidRPr="00EA59C0">
        <w:t>that</w:t>
      </w:r>
      <w:r w:rsidR="00C026A6" w:rsidRPr="00EA59C0">
        <w:t xml:space="preserve"> </w:t>
      </w:r>
      <w:r w:rsidR="005A1CA5" w:rsidRPr="00EA59C0">
        <w:t>contains</w:t>
      </w:r>
      <w:r w:rsidR="00C026A6" w:rsidRPr="00EA59C0">
        <w:t xml:space="preserve"> </w:t>
      </w:r>
      <w:r w:rsidR="005A1CA5" w:rsidRPr="00EA59C0">
        <w:t>online</w:t>
      </w:r>
      <w:r w:rsidR="00C026A6" w:rsidRPr="00EA59C0">
        <w:t xml:space="preserve"> </w:t>
      </w:r>
      <w:r w:rsidR="005A1CA5" w:rsidRPr="00EA59C0">
        <w:t>training</w:t>
      </w:r>
      <w:r w:rsidR="00C026A6" w:rsidRPr="00EA59C0">
        <w:t xml:space="preserve"> </w:t>
      </w:r>
      <w:r w:rsidR="005A1CA5" w:rsidRPr="00EA59C0">
        <w:t>and</w:t>
      </w:r>
      <w:r w:rsidR="00C026A6" w:rsidRPr="00EA59C0">
        <w:t xml:space="preserve"> </w:t>
      </w:r>
      <w:r w:rsidR="005A1CA5" w:rsidRPr="00EA59C0">
        <w:t>resources</w:t>
      </w:r>
      <w:r w:rsidR="00C026A6" w:rsidRPr="00EA59C0">
        <w:t xml:space="preserve"> </w:t>
      </w:r>
      <w:r w:rsidR="005A1CA5" w:rsidRPr="00EA59C0">
        <w:t>for</w:t>
      </w:r>
      <w:r w:rsidR="00C026A6" w:rsidRPr="00EA59C0">
        <w:t xml:space="preserve"> </w:t>
      </w:r>
      <w:r w:rsidR="005A1CA5" w:rsidRPr="00EA59C0">
        <w:t>fiscal</w:t>
      </w:r>
      <w:r w:rsidR="00C026A6" w:rsidRPr="00EA59C0">
        <w:t xml:space="preserve"> </w:t>
      </w:r>
      <w:r w:rsidR="005A1CA5" w:rsidRPr="00EA59C0">
        <w:t>and</w:t>
      </w:r>
      <w:r w:rsidR="00C026A6" w:rsidRPr="00EA59C0">
        <w:t xml:space="preserve"> </w:t>
      </w:r>
      <w:r w:rsidR="005A1CA5" w:rsidRPr="00EA59C0">
        <w:t>administrative</w:t>
      </w:r>
      <w:r w:rsidR="00C026A6" w:rsidRPr="00EA59C0">
        <w:t xml:space="preserve"> </w:t>
      </w:r>
      <w:r w:rsidR="005A1CA5" w:rsidRPr="00EA59C0">
        <w:t>issues.</w:t>
      </w:r>
      <w:r w:rsidR="00C026A6" w:rsidRPr="00EA59C0">
        <w:t xml:space="preserve">  </w:t>
      </w:r>
      <w:r w:rsidR="005A1CA5" w:rsidRPr="00EA59C0">
        <w:t>Online</w:t>
      </w:r>
      <w:r w:rsidR="00C026A6" w:rsidRPr="00EA59C0">
        <w:t xml:space="preserve"> </w:t>
      </w:r>
      <w:r w:rsidR="005A1CA5" w:rsidRPr="00EA59C0">
        <w:t>trainings</w:t>
      </w:r>
      <w:r w:rsidR="00C026A6" w:rsidRPr="00EA59C0">
        <w:t xml:space="preserve"> </w:t>
      </w:r>
      <w:r w:rsidR="005A1CA5" w:rsidRPr="00EA59C0">
        <w:t>available</w:t>
      </w:r>
      <w:r w:rsidR="00C026A6" w:rsidRPr="00EA59C0">
        <w:t xml:space="preserve"> </w:t>
      </w:r>
      <w:r w:rsidR="005A1CA5" w:rsidRPr="00EA59C0">
        <w:t>include</w:t>
      </w:r>
      <w:r w:rsidR="00C026A6" w:rsidRPr="00EA59C0">
        <w:t xml:space="preserve"> </w:t>
      </w:r>
      <w:r w:rsidR="005A1CA5" w:rsidRPr="00EA59C0">
        <w:t>but</w:t>
      </w:r>
      <w:r w:rsidR="00C026A6" w:rsidRPr="00EA59C0">
        <w:t xml:space="preserve"> </w:t>
      </w:r>
      <w:r w:rsidR="005A1CA5" w:rsidRPr="00EA59C0">
        <w:t>are</w:t>
      </w:r>
      <w:r w:rsidR="00C026A6" w:rsidRPr="00EA59C0">
        <w:t xml:space="preserve"> </w:t>
      </w:r>
      <w:r w:rsidR="005A1CA5" w:rsidRPr="00EA59C0">
        <w:t>not</w:t>
      </w:r>
      <w:r w:rsidR="00C026A6" w:rsidRPr="00EA59C0">
        <w:t xml:space="preserve"> </w:t>
      </w:r>
      <w:r w:rsidR="005A1CA5" w:rsidRPr="00EA59C0">
        <w:t>limited</w:t>
      </w:r>
      <w:r w:rsidR="00C026A6" w:rsidRPr="00EA59C0">
        <w:t xml:space="preserve"> </w:t>
      </w:r>
      <w:r w:rsidR="005A1CA5" w:rsidRPr="00EA59C0">
        <w:t>to</w:t>
      </w:r>
      <w:r w:rsidR="00C026A6" w:rsidRPr="00EA59C0">
        <w:t xml:space="preserve"> </w:t>
      </w:r>
      <w:r w:rsidR="005A1CA5" w:rsidRPr="00EA59C0">
        <w:t>Introduction</w:t>
      </w:r>
      <w:r w:rsidR="00C026A6" w:rsidRPr="00EA59C0">
        <w:t xml:space="preserve"> </w:t>
      </w:r>
      <w:r w:rsidR="005A1CA5" w:rsidRPr="00EA59C0">
        <w:t>to</w:t>
      </w:r>
      <w:r w:rsidR="00C026A6" w:rsidRPr="00EA59C0">
        <w:t xml:space="preserve"> </w:t>
      </w:r>
      <w:r w:rsidR="005A1CA5" w:rsidRPr="00EA59C0">
        <w:t>Grant</w:t>
      </w:r>
      <w:r w:rsidR="00C026A6" w:rsidRPr="00EA59C0">
        <w:t xml:space="preserve"> </w:t>
      </w:r>
      <w:r w:rsidR="005A1CA5" w:rsidRPr="00EA59C0">
        <w:t>Applications</w:t>
      </w:r>
      <w:r w:rsidR="00C026A6" w:rsidRPr="00EA59C0">
        <w:t xml:space="preserve"> </w:t>
      </w:r>
      <w:r w:rsidR="005A1CA5" w:rsidRPr="00EA59C0">
        <w:t>and</w:t>
      </w:r>
      <w:r w:rsidR="00C026A6" w:rsidRPr="00EA59C0">
        <w:t xml:space="preserve"> </w:t>
      </w:r>
      <w:r w:rsidR="005A1CA5" w:rsidRPr="00EA59C0">
        <w:t>Forms,</w:t>
      </w:r>
      <w:r w:rsidR="00C026A6" w:rsidRPr="00EA59C0">
        <w:t xml:space="preserve"> </w:t>
      </w:r>
      <w:r w:rsidR="005A1CA5" w:rsidRPr="00EA59C0">
        <w:t>indirect</w:t>
      </w:r>
      <w:r w:rsidR="00C026A6" w:rsidRPr="00EA59C0">
        <w:t xml:space="preserve"> </w:t>
      </w:r>
      <w:r w:rsidR="005A1CA5" w:rsidRPr="00EA59C0">
        <w:t>Costs,</w:t>
      </w:r>
      <w:r w:rsidR="00C026A6" w:rsidRPr="00EA59C0">
        <w:t xml:space="preserve"> </w:t>
      </w:r>
      <w:r w:rsidR="005A1CA5" w:rsidRPr="00EA59C0">
        <w:t>Federal</w:t>
      </w:r>
      <w:r w:rsidR="00C026A6" w:rsidRPr="00EA59C0">
        <w:t xml:space="preserve"> </w:t>
      </w:r>
      <w:r w:rsidR="005A1CA5" w:rsidRPr="00EA59C0">
        <w:t>Cost</w:t>
      </w:r>
      <w:r w:rsidR="00C026A6" w:rsidRPr="00EA59C0">
        <w:t xml:space="preserve"> </w:t>
      </w:r>
      <w:r w:rsidR="005A1CA5" w:rsidRPr="00EA59C0">
        <w:t>Principles,</w:t>
      </w:r>
      <w:r w:rsidR="00C026A6" w:rsidRPr="00EA59C0">
        <w:t xml:space="preserve"> </w:t>
      </w:r>
      <w:r w:rsidR="005A1CA5" w:rsidRPr="00EA59C0">
        <w:t>and</w:t>
      </w:r>
      <w:r w:rsidR="00C026A6" w:rsidRPr="00EA59C0">
        <w:t xml:space="preserve"> </w:t>
      </w:r>
      <w:r w:rsidR="005A1CA5" w:rsidRPr="00EA59C0">
        <w:t>accrual</w:t>
      </w:r>
      <w:r w:rsidR="00C026A6" w:rsidRPr="00EA59C0">
        <w:t xml:space="preserve"> </w:t>
      </w:r>
      <w:r w:rsidR="005A1CA5" w:rsidRPr="00EA59C0">
        <w:t>accounting.</w:t>
      </w:r>
      <w:r w:rsidR="00C026A6" w:rsidRPr="00EA59C0">
        <w:t xml:space="preserve">  </w:t>
      </w:r>
    </w:p>
    <w:p w:rsidR="005A1CA5" w:rsidRPr="00EA59C0" w:rsidRDefault="005A1CA5" w:rsidP="00FA0E98"/>
    <w:p w:rsidR="005A1CA5" w:rsidRPr="00EA59C0" w:rsidRDefault="005A1CA5" w:rsidP="004C3998">
      <w:pPr>
        <w:pStyle w:val="ListParagraph"/>
        <w:numPr>
          <w:ilvl w:val="1"/>
          <w:numId w:val="17"/>
        </w:numPr>
      </w:pPr>
      <w:r w:rsidRPr="00EA59C0">
        <w:t>Regional</w:t>
      </w:r>
      <w:r w:rsidR="00C026A6" w:rsidRPr="00EA59C0">
        <w:t xml:space="preserve"> </w:t>
      </w:r>
      <w:r w:rsidRPr="00EA59C0">
        <w:t>Educational</w:t>
      </w:r>
      <w:r w:rsidR="00C026A6" w:rsidRPr="00EA59C0">
        <w:t xml:space="preserve"> </w:t>
      </w:r>
      <w:r w:rsidRPr="00EA59C0">
        <w:t>Laboratories</w:t>
      </w:r>
    </w:p>
    <w:p w:rsidR="005A1CA5" w:rsidRPr="00EA59C0" w:rsidRDefault="005A1CA5" w:rsidP="00FA0E98">
      <w:pPr>
        <w:ind w:left="720"/>
      </w:pPr>
      <w:r w:rsidRPr="00EA59C0">
        <w:t>Applicants</w:t>
      </w:r>
      <w:r w:rsidR="00C026A6" w:rsidRPr="00EA59C0">
        <w:t xml:space="preserve"> </w:t>
      </w:r>
      <w:r w:rsidRPr="00EA59C0">
        <w:t>are</w:t>
      </w:r>
      <w:r w:rsidR="00C026A6" w:rsidRPr="00EA59C0">
        <w:t xml:space="preserve"> </w:t>
      </w:r>
      <w:r w:rsidRPr="00EA59C0">
        <w:t>encouraged</w:t>
      </w:r>
      <w:r w:rsidR="00C026A6" w:rsidRPr="00EA59C0">
        <w:t xml:space="preserve"> </w:t>
      </w:r>
      <w:r w:rsidRPr="00EA59C0">
        <w:t>to</w:t>
      </w:r>
      <w:r w:rsidR="00C026A6" w:rsidRPr="00EA59C0">
        <w:t xml:space="preserve"> </w:t>
      </w:r>
      <w:r w:rsidRPr="00EA59C0">
        <w:t>contact</w:t>
      </w:r>
      <w:r w:rsidR="00C026A6" w:rsidRPr="00EA59C0">
        <w:t xml:space="preserve"> </w:t>
      </w:r>
      <w:r w:rsidRPr="00EA59C0">
        <w:t>the</w:t>
      </w:r>
      <w:r w:rsidR="00C026A6" w:rsidRPr="00EA59C0">
        <w:t xml:space="preserve"> </w:t>
      </w:r>
      <w:r w:rsidRPr="00EA59C0">
        <w:t>Regional</w:t>
      </w:r>
      <w:r w:rsidR="00C026A6" w:rsidRPr="00EA59C0">
        <w:t xml:space="preserve"> </w:t>
      </w:r>
      <w:r w:rsidRPr="00EA59C0">
        <w:t>Educational</w:t>
      </w:r>
      <w:r w:rsidR="00C026A6" w:rsidRPr="00EA59C0">
        <w:t xml:space="preserve"> </w:t>
      </w:r>
      <w:r w:rsidRPr="00EA59C0">
        <w:t>Laboratory</w:t>
      </w:r>
      <w:r w:rsidR="00C026A6" w:rsidRPr="00EA59C0">
        <w:t xml:space="preserve"> </w:t>
      </w:r>
      <w:r w:rsidRPr="00EA59C0">
        <w:t>(REL)</w:t>
      </w:r>
      <w:r w:rsidR="00C026A6" w:rsidRPr="00EA59C0">
        <w:t xml:space="preserve"> </w:t>
      </w:r>
      <w:r w:rsidRPr="00EA59C0">
        <w:t>in</w:t>
      </w:r>
      <w:r w:rsidR="00C026A6" w:rsidRPr="00EA59C0">
        <w:t xml:space="preserve"> </w:t>
      </w:r>
      <w:r w:rsidRPr="00EA59C0">
        <w:t>their</w:t>
      </w:r>
      <w:r w:rsidR="00C026A6" w:rsidRPr="00EA59C0">
        <w:t xml:space="preserve"> </w:t>
      </w:r>
      <w:r w:rsidRPr="00EA59C0">
        <w:t>respective</w:t>
      </w:r>
      <w:r w:rsidR="00C026A6" w:rsidRPr="00EA59C0">
        <w:t xml:space="preserve"> </w:t>
      </w:r>
      <w:r w:rsidRPr="00EA59C0">
        <w:t>states</w:t>
      </w:r>
      <w:r w:rsidR="00C026A6" w:rsidRPr="00EA59C0">
        <w:t xml:space="preserve"> </w:t>
      </w:r>
      <w:r w:rsidRPr="00EA59C0">
        <w:t>to</w:t>
      </w:r>
      <w:r w:rsidR="00C026A6" w:rsidRPr="00EA59C0">
        <w:t xml:space="preserve"> </w:t>
      </w:r>
      <w:r w:rsidRPr="00EA59C0">
        <w:t>discuss</w:t>
      </w:r>
      <w:r w:rsidR="00C026A6" w:rsidRPr="00EA59C0">
        <w:t xml:space="preserve"> </w:t>
      </w:r>
      <w:r w:rsidRPr="00EA59C0">
        <w:t>needs</w:t>
      </w:r>
      <w:r w:rsidR="00C026A6" w:rsidRPr="00EA59C0">
        <w:t xml:space="preserve"> </w:t>
      </w:r>
      <w:r w:rsidRPr="00EA59C0">
        <w:t>related</w:t>
      </w:r>
      <w:r w:rsidR="00C026A6" w:rsidRPr="00EA59C0">
        <w:t xml:space="preserve"> </w:t>
      </w:r>
      <w:r w:rsidRPr="00EA59C0">
        <w:t>to</w:t>
      </w:r>
      <w:r w:rsidR="00C026A6" w:rsidRPr="00EA59C0">
        <w:t xml:space="preserve"> </w:t>
      </w:r>
      <w:r w:rsidRPr="00EA59C0">
        <w:t>research</w:t>
      </w:r>
      <w:r w:rsidR="00C026A6" w:rsidRPr="00EA59C0">
        <w:t xml:space="preserve"> </w:t>
      </w:r>
      <w:r w:rsidRPr="00EA59C0">
        <w:t>and</w:t>
      </w:r>
      <w:r w:rsidR="00C026A6" w:rsidRPr="00EA59C0">
        <w:t xml:space="preserve"> </w:t>
      </w:r>
      <w:r w:rsidRPr="00EA59C0">
        <w:t>evidence.</w:t>
      </w:r>
      <w:r w:rsidR="00C026A6" w:rsidRPr="00EA59C0">
        <w:t xml:space="preserve">  </w:t>
      </w:r>
      <w:r w:rsidRPr="00EA59C0">
        <w:t>The</w:t>
      </w:r>
      <w:r w:rsidR="00C026A6" w:rsidRPr="00EA59C0">
        <w:t xml:space="preserve"> </w:t>
      </w:r>
      <w:r w:rsidRPr="00EA59C0">
        <w:t>RELs</w:t>
      </w:r>
      <w:r w:rsidR="00C026A6" w:rsidRPr="00EA59C0">
        <w:t xml:space="preserve"> </w:t>
      </w:r>
      <w:r w:rsidRPr="00EA59C0">
        <w:t>may</w:t>
      </w:r>
      <w:r w:rsidR="00C026A6" w:rsidRPr="00EA59C0">
        <w:t xml:space="preserve"> </w:t>
      </w:r>
      <w:r w:rsidRPr="00EA59C0">
        <w:t>be</w:t>
      </w:r>
      <w:r w:rsidR="00C026A6" w:rsidRPr="00EA59C0">
        <w:t xml:space="preserve"> </w:t>
      </w:r>
      <w:r w:rsidRPr="00EA59C0">
        <w:t>able</w:t>
      </w:r>
      <w:r w:rsidR="00C026A6" w:rsidRPr="00EA59C0">
        <w:t xml:space="preserve"> </w:t>
      </w:r>
      <w:r w:rsidRPr="00EA59C0">
        <w:t>to</w:t>
      </w:r>
      <w:r w:rsidR="00C026A6" w:rsidRPr="00EA59C0">
        <w:t xml:space="preserve"> </w:t>
      </w:r>
      <w:r w:rsidRPr="00EA59C0">
        <w:t>assist</w:t>
      </w:r>
      <w:r w:rsidR="00C026A6" w:rsidRPr="00EA59C0">
        <w:t xml:space="preserve"> </w:t>
      </w:r>
      <w:r w:rsidRPr="00EA59C0">
        <w:t>with</w:t>
      </w:r>
      <w:r w:rsidR="00C026A6" w:rsidRPr="00EA59C0">
        <w:t xml:space="preserve"> </w:t>
      </w:r>
      <w:r w:rsidRPr="00EA59C0">
        <w:t>issues</w:t>
      </w:r>
      <w:r w:rsidR="00C026A6" w:rsidRPr="00EA59C0">
        <w:t xml:space="preserve"> </w:t>
      </w:r>
      <w:r w:rsidRPr="00EA59C0">
        <w:t>related</w:t>
      </w:r>
      <w:r w:rsidR="00C026A6" w:rsidRPr="00EA59C0">
        <w:t xml:space="preserve"> </w:t>
      </w:r>
      <w:r w:rsidRPr="00EA59C0">
        <w:t>to</w:t>
      </w:r>
      <w:r w:rsidR="00C026A6" w:rsidRPr="00EA59C0">
        <w:t xml:space="preserve"> </w:t>
      </w:r>
      <w:r w:rsidRPr="00EA59C0">
        <w:t>data</w:t>
      </w:r>
      <w:r w:rsidR="00C026A6" w:rsidRPr="00EA59C0">
        <w:t xml:space="preserve"> </w:t>
      </w:r>
      <w:r w:rsidRPr="00EA59C0">
        <w:t>analysis</w:t>
      </w:r>
      <w:r w:rsidR="00C026A6" w:rsidRPr="00EA59C0">
        <w:t xml:space="preserve"> </w:t>
      </w:r>
      <w:r w:rsidRPr="00EA59C0">
        <w:t>and</w:t>
      </w:r>
      <w:r w:rsidR="00C026A6" w:rsidRPr="00EA59C0">
        <w:t xml:space="preserve"> </w:t>
      </w:r>
      <w:r w:rsidRPr="00EA59C0">
        <w:t>research.</w:t>
      </w:r>
      <w:r w:rsidR="00C026A6" w:rsidRPr="00EA59C0">
        <w:t xml:space="preserve">  </w:t>
      </w:r>
      <w:r w:rsidRPr="00EA59C0">
        <w:t>RELs</w:t>
      </w:r>
      <w:r w:rsidR="00C026A6" w:rsidRPr="00EA59C0">
        <w:t xml:space="preserve"> </w:t>
      </w:r>
      <w:r w:rsidRPr="00EA59C0">
        <w:t>work</w:t>
      </w:r>
      <w:r w:rsidR="00C026A6" w:rsidRPr="00EA59C0">
        <w:t xml:space="preserve"> </w:t>
      </w:r>
      <w:r w:rsidRPr="00EA59C0">
        <w:t>largely</w:t>
      </w:r>
      <w:r w:rsidR="00C026A6" w:rsidRPr="00EA59C0">
        <w:t xml:space="preserve"> </w:t>
      </w:r>
      <w:r w:rsidRPr="00EA59C0">
        <w:t>in</w:t>
      </w:r>
      <w:r w:rsidR="00C026A6" w:rsidRPr="00EA59C0">
        <w:t xml:space="preserve"> </w:t>
      </w:r>
      <w:r w:rsidRPr="00EA59C0">
        <w:t>partnership</w:t>
      </w:r>
      <w:r w:rsidR="00C026A6" w:rsidRPr="00EA59C0">
        <w:t xml:space="preserve"> </w:t>
      </w:r>
      <w:r w:rsidRPr="00EA59C0">
        <w:t>with</w:t>
      </w:r>
      <w:r w:rsidR="00C026A6" w:rsidRPr="00EA59C0">
        <w:t xml:space="preserve"> </w:t>
      </w:r>
      <w:r w:rsidRPr="00EA59C0">
        <w:t>groups</w:t>
      </w:r>
      <w:r w:rsidR="00C026A6" w:rsidRPr="00EA59C0">
        <w:t xml:space="preserve"> </w:t>
      </w:r>
      <w:r w:rsidRPr="00EA59C0">
        <w:t>of</w:t>
      </w:r>
      <w:r w:rsidR="00C026A6" w:rsidRPr="00EA59C0">
        <w:t xml:space="preserve"> </w:t>
      </w:r>
      <w:r w:rsidRPr="00EA59C0">
        <w:t>stakeholders</w:t>
      </w:r>
      <w:r w:rsidR="00C026A6" w:rsidRPr="00EA59C0">
        <w:t xml:space="preserve"> </w:t>
      </w:r>
      <w:r w:rsidRPr="00EA59C0">
        <w:t>who</w:t>
      </w:r>
      <w:r w:rsidR="00C026A6" w:rsidRPr="00EA59C0">
        <w:t xml:space="preserve"> </w:t>
      </w:r>
      <w:r w:rsidRPr="00EA59C0">
        <w:t>share</w:t>
      </w:r>
      <w:r w:rsidR="00C026A6" w:rsidRPr="00EA59C0">
        <w:t xml:space="preserve"> </w:t>
      </w:r>
      <w:r w:rsidRPr="00EA59C0">
        <w:t>a</w:t>
      </w:r>
      <w:r w:rsidR="00C026A6" w:rsidRPr="00EA59C0">
        <w:t xml:space="preserve"> </w:t>
      </w:r>
      <w:r w:rsidRPr="00EA59C0">
        <w:t>common</w:t>
      </w:r>
      <w:r w:rsidR="00C026A6" w:rsidRPr="00EA59C0">
        <w:t xml:space="preserve"> </w:t>
      </w:r>
      <w:r w:rsidRPr="00EA59C0">
        <w:t>interest</w:t>
      </w:r>
      <w:r w:rsidR="00C026A6" w:rsidRPr="00EA59C0">
        <w:t xml:space="preserve"> </w:t>
      </w:r>
      <w:r w:rsidRPr="00EA59C0">
        <w:t>or</w:t>
      </w:r>
      <w:r w:rsidR="00C026A6" w:rsidRPr="00EA59C0">
        <w:t xml:space="preserve"> </w:t>
      </w:r>
      <w:r w:rsidRPr="00EA59C0">
        <w:t>concern.</w:t>
      </w:r>
      <w:r w:rsidR="00C026A6" w:rsidRPr="00EA59C0">
        <w:t xml:space="preserve">  </w:t>
      </w:r>
      <w:r w:rsidRPr="00EA59C0">
        <w:t>These</w:t>
      </w:r>
      <w:r w:rsidR="00C026A6" w:rsidRPr="00EA59C0">
        <w:t xml:space="preserve"> </w:t>
      </w:r>
      <w:r w:rsidRPr="00EA59C0">
        <w:t>groups</w:t>
      </w:r>
      <w:r w:rsidR="00C026A6" w:rsidRPr="00EA59C0">
        <w:t xml:space="preserve"> </w:t>
      </w:r>
      <w:r w:rsidRPr="00EA59C0">
        <w:t>are</w:t>
      </w:r>
      <w:r w:rsidR="00C026A6" w:rsidRPr="00EA59C0">
        <w:t xml:space="preserve"> </w:t>
      </w:r>
      <w:r w:rsidRPr="00EA59C0">
        <w:t>known</w:t>
      </w:r>
      <w:r w:rsidR="00C026A6" w:rsidRPr="00EA59C0">
        <w:t xml:space="preserve"> </w:t>
      </w:r>
      <w:r w:rsidRPr="00EA59C0">
        <w:t>as</w:t>
      </w:r>
      <w:r w:rsidR="00C026A6" w:rsidRPr="00EA59C0">
        <w:t xml:space="preserve"> </w:t>
      </w:r>
      <w:r w:rsidRPr="00EA59C0">
        <w:t>research</w:t>
      </w:r>
      <w:r w:rsidR="00C026A6" w:rsidRPr="00EA59C0">
        <w:t xml:space="preserve"> </w:t>
      </w:r>
      <w:r w:rsidRPr="00EA59C0">
        <w:t>alliances</w:t>
      </w:r>
      <w:r w:rsidR="00C026A6" w:rsidRPr="00EA59C0">
        <w:t xml:space="preserve"> </w:t>
      </w:r>
      <w:r w:rsidRPr="00EA59C0">
        <w:t>and</w:t>
      </w:r>
      <w:r w:rsidR="00C026A6" w:rsidRPr="00EA59C0">
        <w:t xml:space="preserve"> </w:t>
      </w:r>
      <w:r w:rsidRPr="00EA59C0">
        <w:t>RELs</w:t>
      </w:r>
      <w:r w:rsidR="00C026A6" w:rsidRPr="00EA59C0">
        <w:t xml:space="preserve"> </w:t>
      </w:r>
      <w:r w:rsidRPr="00EA59C0">
        <w:t>work</w:t>
      </w:r>
      <w:r w:rsidR="00C026A6" w:rsidRPr="00EA59C0">
        <w:t xml:space="preserve"> </w:t>
      </w:r>
      <w:r w:rsidRPr="00EA59C0">
        <w:t>with</w:t>
      </w:r>
      <w:r w:rsidR="00C026A6" w:rsidRPr="00EA59C0">
        <w:t xml:space="preserve"> </w:t>
      </w:r>
      <w:r w:rsidRPr="00EA59C0">
        <w:t>their</w:t>
      </w:r>
      <w:r w:rsidR="00C026A6" w:rsidRPr="00EA59C0">
        <w:t xml:space="preserve"> </w:t>
      </w:r>
      <w:r w:rsidRPr="00EA59C0">
        <w:t>alliances</w:t>
      </w:r>
      <w:r w:rsidR="00C026A6" w:rsidRPr="00EA59C0">
        <w:t xml:space="preserve"> </w:t>
      </w:r>
      <w:r w:rsidRPr="00EA59C0">
        <w:t>to</w:t>
      </w:r>
      <w:r w:rsidR="00C026A6" w:rsidRPr="00EA59C0">
        <w:t xml:space="preserve"> </w:t>
      </w:r>
      <w:r w:rsidRPr="00EA59C0">
        <w:t>provide</w:t>
      </w:r>
      <w:r w:rsidR="00C026A6" w:rsidRPr="00EA59C0">
        <w:t xml:space="preserve"> </w:t>
      </w:r>
      <w:r w:rsidRPr="00EA59C0">
        <w:t>assistance</w:t>
      </w:r>
      <w:r w:rsidR="00C026A6" w:rsidRPr="00EA59C0">
        <w:t xml:space="preserve"> </w:t>
      </w:r>
      <w:r w:rsidRPr="00EA59C0">
        <w:t>with</w:t>
      </w:r>
      <w:r w:rsidR="00C026A6" w:rsidRPr="00EA59C0">
        <w:t xml:space="preserve"> </w:t>
      </w:r>
      <w:r w:rsidRPr="00EA59C0">
        <w:t>data</w:t>
      </w:r>
      <w:r w:rsidR="00C026A6" w:rsidRPr="00EA59C0">
        <w:t xml:space="preserve"> </w:t>
      </w:r>
      <w:r w:rsidRPr="00EA59C0">
        <w:t>analysis,</w:t>
      </w:r>
      <w:r w:rsidR="00C026A6" w:rsidRPr="00EA59C0">
        <w:t xml:space="preserve"> </w:t>
      </w:r>
      <w:r w:rsidRPr="00EA59C0">
        <w:t>to</w:t>
      </w:r>
      <w:r w:rsidR="00C026A6" w:rsidRPr="00EA59C0">
        <w:t xml:space="preserve"> </w:t>
      </w:r>
      <w:r w:rsidRPr="00EA59C0">
        <w:t>plan</w:t>
      </w:r>
      <w:r w:rsidR="00C026A6" w:rsidRPr="00EA59C0">
        <w:t xml:space="preserve"> </w:t>
      </w:r>
      <w:r w:rsidRPr="00EA59C0">
        <w:t>research</w:t>
      </w:r>
      <w:r w:rsidR="00C026A6" w:rsidRPr="00EA59C0">
        <w:t xml:space="preserve"> </w:t>
      </w:r>
      <w:r w:rsidRPr="00EA59C0">
        <w:t>agendas,</w:t>
      </w:r>
      <w:r w:rsidR="00C026A6" w:rsidRPr="00EA59C0">
        <w:t xml:space="preserve"> </w:t>
      </w:r>
      <w:r w:rsidRPr="00EA59C0">
        <w:t>and</w:t>
      </w:r>
      <w:r w:rsidR="00C026A6" w:rsidRPr="00EA59C0">
        <w:t xml:space="preserve"> </w:t>
      </w:r>
      <w:r w:rsidRPr="00EA59C0">
        <w:t>to</w:t>
      </w:r>
      <w:r w:rsidR="00C026A6" w:rsidRPr="00EA59C0">
        <w:t xml:space="preserve"> </w:t>
      </w:r>
      <w:r w:rsidRPr="00EA59C0">
        <w:t>develop</w:t>
      </w:r>
      <w:r w:rsidR="00C026A6" w:rsidRPr="00EA59C0">
        <w:t xml:space="preserve"> </w:t>
      </w:r>
      <w:r w:rsidRPr="00EA59C0">
        <w:t>research</w:t>
      </w:r>
      <w:r w:rsidR="00C026A6" w:rsidRPr="00EA59C0">
        <w:t xml:space="preserve"> </w:t>
      </w:r>
      <w:r w:rsidRPr="00EA59C0">
        <w:t>projects.</w:t>
      </w:r>
      <w:r w:rsidR="00C026A6" w:rsidRPr="00EA59C0">
        <w:t xml:space="preserve">  </w:t>
      </w:r>
      <w:r w:rsidRPr="00EA59C0">
        <w:t>Interested</w:t>
      </w:r>
      <w:r w:rsidR="00C026A6" w:rsidRPr="00EA59C0">
        <w:t xml:space="preserve"> </w:t>
      </w:r>
      <w:r w:rsidRPr="00EA59C0">
        <w:t>applicants</w:t>
      </w:r>
      <w:r w:rsidR="00C026A6" w:rsidRPr="00EA59C0">
        <w:t xml:space="preserve"> </w:t>
      </w:r>
      <w:r w:rsidRPr="00EA59C0">
        <w:t>should</w:t>
      </w:r>
      <w:r w:rsidR="00C026A6" w:rsidRPr="00EA59C0">
        <w:t xml:space="preserve"> </w:t>
      </w:r>
      <w:r w:rsidRPr="00EA59C0">
        <w:t>talk</w:t>
      </w:r>
      <w:r w:rsidR="00C026A6" w:rsidRPr="00EA59C0">
        <w:t xml:space="preserve"> </w:t>
      </w:r>
      <w:r w:rsidRPr="00EA59C0">
        <w:t>with</w:t>
      </w:r>
      <w:r w:rsidR="00C026A6" w:rsidRPr="00EA59C0">
        <w:t xml:space="preserve"> </w:t>
      </w:r>
      <w:r w:rsidRPr="00EA59C0">
        <w:t>their</w:t>
      </w:r>
      <w:r w:rsidR="00C026A6" w:rsidRPr="00EA59C0">
        <w:t xml:space="preserve"> </w:t>
      </w:r>
      <w:r w:rsidRPr="00EA59C0">
        <w:t>REL</w:t>
      </w:r>
      <w:r w:rsidR="00C026A6" w:rsidRPr="00EA59C0">
        <w:t xml:space="preserve"> </w:t>
      </w:r>
      <w:r w:rsidRPr="00EA59C0">
        <w:t>about</w:t>
      </w:r>
      <w:r w:rsidR="00C026A6" w:rsidRPr="00EA59C0">
        <w:t xml:space="preserve"> </w:t>
      </w:r>
      <w:r w:rsidRPr="00EA59C0">
        <w:t>the</w:t>
      </w:r>
      <w:r w:rsidR="00C026A6" w:rsidRPr="00EA59C0">
        <w:t xml:space="preserve"> </w:t>
      </w:r>
      <w:r w:rsidRPr="00EA59C0">
        <w:t>possibility</w:t>
      </w:r>
      <w:r w:rsidR="00C026A6" w:rsidRPr="00EA59C0">
        <w:t xml:space="preserve"> </w:t>
      </w:r>
      <w:r w:rsidRPr="00EA59C0">
        <w:t>of</w:t>
      </w:r>
      <w:r w:rsidR="00C026A6" w:rsidRPr="00EA59C0">
        <w:t xml:space="preserve"> </w:t>
      </w:r>
      <w:r w:rsidRPr="00EA59C0">
        <w:t>forming</w:t>
      </w:r>
      <w:r w:rsidR="00C026A6" w:rsidRPr="00EA59C0">
        <w:t xml:space="preserve"> </w:t>
      </w:r>
      <w:r w:rsidRPr="00EA59C0">
        <w:t>a</w:t>
      </w:r>
      <w:r w:rsidR="00C026A6" w:rsidRPr="00EA59C0">
        <w:t xml:space="preserve"> </w:t>
      </w:r>
      <w:r w:rsidRPr="00EA59C0">
        <w:t>research</w:t>
      </w:r>
      <w:r w:rsidR="00C026A6" w:rsidRPr="00EA59C0">
        <w:t xml:space="preserve"> </w:t>
      </w:r>
      <w:r w:rsidRPr="00EA59C0">
        <w:t>alliance</w:t>
      </w:r>
      <w:r w:rsidR="00C026A6" w:rsidRPr="00EA59C0">
        <w:t xml:space="preserve"> </w:t>
      </w:r>
      <w:r w:rsidRPr="00EA59C0">
        <w:t>that</w:t>
      </w:r>
      <w:r w:rsidR="00C026A6" w:rsidRPr="00EA59C0">
        <w:t xml:space="preserve"> </w:t>
      </w:r>
      <w:r w:rsidRPr="00EA59C0">
        <w:t>could</w:t>
      </w:r>
      <w:r w:rsidR="00C026A6" w:rsidRPr="00EA59C0">
        <w:t xml:space="preserve"> </w:t>
      </w:r>
      <w:r w:rsidRPr="00EA59C0">
        <w:t>serve</w:t>
      </w:r>
      <w:r w:rsidR="00C026A6" w:rsidRPr="00EA59C0">
        <w:t xml:space="preserve"> </w:t>
      </w:r>
      <w:r w:rsidRPr="00EA59C0">
        <w:t>the</w:t>
      </w:r>
      <w:r w:rsidR="00C026A6" w:rsidRPr="00EA59C0">
        <w:t xml:space="preserve"> </w:t>
      </w:r>
      <w:r w:rsidRPr="00EA59C0">
        <w:t>needs</w:t>
      </w:r>
      <w:r w:rsidR="00C026A6" w:rsidRPr="00EA59C0">
        <w:t xml:space="preserve"> </w:t>
      </w:r>
      <w:r w:rsidRPr="00EA59C0">
        <w:t>of</w:t>
      </w:r>
      <w:r w:rsidR="00C026A6" w:rsidRPr="00EA59C0">
        <w:t xml:space="preserve"> </w:t>
      </w:r>
      <w:r w:rsidRPr="00EA59C0">
        <w:t>multiple</w:t>
      </w:r>
      <w:r w:rsidR="00C026A6" w:rsidRPr="00EA59C0">
        <w:t xml:space="preserve"> </w:t>
      </w:r>
      <w:r w:rsidRPr="00EA59C0">
        <w:t>institutions</w:t>
      </w:r>
      <w:r w:rsidR="00C026A6" w:rsidRPr="00EA59C0">
        <w:t xml:space="preserve"> </w:t>
      </w:r>
      <w:r w:rsidRPr="00EA59C0">
        <w:t>while</w:t>
      </w:r>
      <w:r w:rsidR="00C026A6" w:rsidRPr="00EA59C0">
        <w:t xml:space="preserve"> </w:t>
      </w:r>
      <w:r w:rsidRPr="00EA59C0">
        <w:t>building</w:t>
      </w:r>
      <w:r w:rsidR="00C026A6" w:rsidRPr="00EA59C0">
        <w:t xml:space="preserve"> </w:t>
      </w:r>
      <w:r w:rsidRPr="00EA59C0">
        <w:t>knowledge</w:t>
      </w:r>
      <w:r w:rsidR="00C026A6" w:rsidRPr="00EA59C0">
        <w:t xml:space="preserve"> </w:t>
      </w:r>
      <w:r w:rsidRPr="00EA59C0">
        <w:t>of</w:t>
      </w:r>
      <w:r w:rsidR="00C026A6" w:rsidRPr="00EA59C0">
        <w:t xml:space="preserve"> </w:t>
      </w:r>
      <w:r w:rsidRPr="00EA59C0">
        <w:t>use</w:t>
      </w:r>
      <w:r w:rsidR="00C026A6" w:rsidRPr="00EA59C0">
        <w:t xml:space="preserve"> </w:t>
      </w:r>
      <w:r w:rsidRPr="00EA59C0">
        <w:t>to</w:t>
      </w:r>
      <w:r w:rsidR="00C026A6" w:rsidRPr="00EA59C0">
        <w:t xml:space="preserve"> </w:t>
      </w:r>
      <w:r w:rsidRPr="00EA59C0">
        <w:t>the</w:t>
      </w:r>
      <w:r w:rsidR="00C026A6" w:rsidRPr="00EA59C0">
        <w:t xml:space="preserve"> </w:t>
      </w:r>
      <w:r w:rsidRPr="00EA59C0">
        <w:t>broader</w:t>
      </w:r>
      <w:r w:rsidR="00C026A6" w:rsidRPr="00EA59C0">
        <w:t xml:space="preserve"> </w:t>
      </w:r>
      <w:r w:rsidRPr="00EA59C0">
        <w:t>community.</w:t>
      </w:r>
      <w:r w:rsidR="00C026A6" w:rsidRPr="00EA59C0">
        <w:t xml:space="preserve">  </w:t>
      </w:r>
      <w:r w:rsidRPr="00EA59C0">
        <w:t>More</w:t>
      </w:r>
      <w:r w:rsidR="00C026A6" w:rsidRPr="00EA59C0">
        <w:t xml:space="preserve"> </w:t>
      </w:r>
      <w:r w:rsidRPr="00EA59C0">
        <w:t>information</w:t>
      </w:r>
      <w:r w:rsidR="00C026A6" w:rsidRPr="00EA59C0">
        <w:t xml:space="preserve"> </w:t>
      </w:r>
      <w:r w:rsidRPr="00EA59C0">
        <w:t>about</w:t>
      </w:r>
      <w:r w:rsidR="00C026A6" w:rsidRPr="00EA59C0">
        <w:t xml:space="preserve"> </w:t>
      </w:r>
      <w:r w:rsidRPr="00EA59C0">
        <w:t>the</w:t>
      </w:r>
      <w:r w:rsidR="00C026A6" w:rsidRPr="00EA59C0">
        <w:t xml:space="preserve"> </w:t>
      </w:r>
      <w:r w:rsidRPr="00EA59C0">
        <w:t>RELs</w:t>
      </w:r>
      <w:r w:rsidR="00C026A6" w:rsidRPr="00EA59C0">
        <w:t xml:space="preserve"> </w:t>
      </w:r>
      <w:r w:rsidRPr="00EA59C0">
        <w:t>can</w:t>
      </w:r>
      <w:r w:rsidR="00C026A6" w:rsidRPr="00EA59C0">
        <w:t xml:space="preserve"> </w:t>
      </w:r>
      <w:r w:rsidRPr="00EA59C0">
        <w:t>be</w:t>
      </w:r>
      <w:r w:rsidR="00C026A6" w:rsidRPr="00EA59C0">
        <w:t xml:space="preserve"> </w:t>
      </w:r>
      <w:r w:rsidRPr="00EA59C0">
        <w:t>found</w:t>
      </w:r>
      <w:r w:rsidR="00C026A6" w:rsidRPr="00EA59C0">
        <w:t xml:space="preserve"> </w:t>
      </w:r>
      <w:r w:rsidRPr="00EA59C0">
        <w:t>at:</w:t>
      </w:r>
      <w:r w:rsidR="00C026A6" w:rsidRPr="00EA59C0">
        <w:t xml:space="preserve">  </w:t>
      </w:r>
      <w:hyperlink r:id="rId292" w:history="1">
        <w:r w:rsidR="00216A31" w:rsidRPr="00EA59C0">
          <w:rPr>
            <w:rStyle w:val="Hyperlink"/>
            <w:color w:val="auto"/>
          </w:rPr>
          <w:t>http://ies.ed.gov/ncee/edlabs/</w:t>
        </w:r>
      </w:hyperlink>
      <w:r w:rsidRPr="00EA59C0">
        <w:t>.</w:t>
      </w:r>
      <w:r w:rsidR="00C026A6" w:rsidRPr="00EA59C0">
        <w:t xml:space="preserve"> </w:t>
      </w:r>
    </w:p>
    <w:p w:rsidR="005A1CA5" w:rsidRPr="00EA59C0" w:rsidRDefault="005A1CA5" w:rsidP="00FA0E98"/>
    <w:p w:rsidR="00216A31" w:rsidRPr="00EA59C0" w:rsidRDefault="00216A31" w:rsidP="00FA0E98"/>
    <w:p w:rsidR="004A4399" w:rsidRPr="00EA59C0" w:rsidRDefault="000E7945" w:rsidP="006A00B3">
      <w:pPr>
        <w:pStyle w:val="Heading1"/>
        <w:numPr>
          <w:ilvl w:val="0"/>
          <w:numId w:val="17"/>
        </w:numPr>
        <w:rPr>
          <w:rFonts w:ascii="Times New Roman" w:hAnsi="Times New Roman"/>
        </w:rPr>
      </w:pPr>
      <w:r w:rsidRPr="00EA59C0">
        <w:rPr>
          <w:rFonts w:ascii="Times New Roman" w:hAnsi="Times New Roman"/>
        </w:rPr>
        <w:t>OMB</w:t>
      </w:r>
      <w:r w:rsidR="00C026A6" w:rsidRPr="00EA59C0">
        <w:rPr>
          <w:rFonts w:ascii="Times New Roman" w:hAnsi="Times New Roman"/>
        </w:rPr>
        <w:t xml:space="preserve"> </w:t>
      </w:r>
      <w:r w:rsidR="004A4399" w:rsidRPr="00EA59C0">
        <w:rPr>
          <w:rFonts w:ascii="Times New Roman" w:hAnsi="Times New Roman"/>
        </w:rPr>
        <w:t>Information</w:t>
      </w:r>
      <w:r w:rsidR="00C026A6" w:rsidRPr="00EA59C0">
        <w:rPr>
          <w:rFonts w:ascii="Times New Roman" w:hAnsi="Times New Roman"/>
        </w:rPr>
        <w:t xml:space="preserve"> </w:t>
      </w:r>
      <w:r w:rsidR="004A4399" w:rsidRPr="00EA59C0">
        <w:rPr>
          <w:rFonts w:ascii="Times New Roman" w:hAnsi="Times New Roman"/>
        </w:rPr>
        <w:t>Collection</w:t>
      </w:r>
    </w:p>
    <w:p w:rsidR="007470AB" w:rsidRPr="00EA59C0" w:rsidRDefault="007470AB" w:rsidP="00FA0E98">
      <w:pPr>
        <w:pStyle w:val="PlainText"/>
        <w:spacing w:after="0" w:afterAutospacing="0"/>
        <w:ind w:left="360"/>
      </w:pPr>
      <w:r w:rsidRPr="00EA59C0">
        <w:rPr>
          <w:u w:val="single"/>
        </w:rPr>
        <w:t>OMB</w:t>
      </w:r>
      <w:r w:rsidR="00C026A6" w:rsidRPr="00EA59C0">
        <w:rPr>
          <w:u w:val="single"/>
        </w:rPr>
        <w:t xml:space="preserve"> </w:t>
      </w:r>
      <w:r w:rsidRPr="00EA59C0">
        <w:rPr>
          <w:u w:val="single"/>
        </w:rPr>
        <w:t>Information</w:t>
      </w:r>
      <w:r w:rsidR="00C026A6" w:rsidRPr="00EA59C0">
        <w:rPr>
          <w:u w:val="single"/>
        </w:rPr>
        <w:t xml:space="preserve"> </w:t>
      </w:r>
      <w:r w:rsidRPr="00EA59C0">
        <w:rPr>
          <w:u w:val="single"/>
        </w:rPr>
        <w:t>Collection</w:t>
      </w:r>
      <w:r w:rsidR="00C026A6" w:rsidRPr="00EA59C0">
        <w:rPr>
          <w:u w:val="single"/>
        </w:rPr>
        <w:t xml:space="preserve"> </w:t>
      </w:r>
      <w:r w:rsidRPr="00EA59C0">
        <w:rPr>
          <w:u w:val="single"/>
        </w:rPr>
        <w:t>No</w:t>
      </w:r>
      <w:r w:rsidR="00C026A6" w:rsidRPr="00EA59C0">
        <w:rPr>
          <w:u w:val="single"/>
        </w:rPr>
        <w:t xml:space="preserve"> </w:t>
      </w:r>
      <w:r w:rsidRPr="00EA59C0">
        <w:rPr>
          <w:u w:val="single"/>
        </w:rPr>
        <w:t>1225-0086,</w:t>
      </w:r>
      <w:r w:rsidR="00C026A6" w:rsidRPr="00EA59C0">
        <w:rPr>
          <w:u w:val="single"/>
        </w:rPr>
        <w:t xml:space="preserve"> </w:t>
      </w:r>
      <w:r w:rsidRPr="00EA59C0">
        <w:rPr>
          <w:u w:val="single"/>
        </w:rPr>
        <w:t>Expires</w:t>
      </w:r>
      <w:r w:rsidR="00C026A6" w:rsidRPr="00EA59C0">
        <w:rPr>
          <w:u w:val="single"/>
        </w:rPr>
        <w:t xml:space="preserve"> </w:t>
      </w:r>
      <w:r w:rsidR="00313B26" w:rsidRPr="00EA59C0">
        <w:rPr>
          <w:u w:val="single"/>
        </w:rPr>
        <w:t>January</w:t>
      </w:r>
      <w:r w:rsidR="00C026A6" w:rsidRPr="00EA59C0">
        <w:rPr>
          <w:u w:val="single"/>
        </w:rPr>
        <w:t xml:space="preserve"> </w:t>
      </w:r>
      <w:r w:rsidRPr="00EA59C0">
        <w:rPr>
          <w:u w:val="single"/>
        </w:rPr>
        <w:t>3</w:t>
      </w:r>
      <w:r w:rsidR="00313B26" w:rsidRPr="00EA59C0">
        <w:rPr>
          <w:u w:val="single"/>
        </w:rPr>
        <w:t>1</w:t>
      </w:r>
      <w:r w:rsidRPr="00EA59C0">
        <w:rPr>
          <w:u w:val="single"/>
        </w:rPr>
        <w:t>,</w:t>
      </w:r>
      <w:r w:rsidR="00C026A6" w:rsidRPr="00EA59C0">
        <w:rPr>
          <w:u w:val="single"/>
        </w:rPr>
        <w:t xml:space="preserve"> </w:t>
      </w:r>
      <w:r w:rsidRPr="00EA59C0">
        <w:rPr>
          <w:u w:val="single"/>
        </w:rPr>
        <w:t>201</w:t>
      </w:r>
      <w:r w:rsidR="00313B26" w:rsidRPr="00EA59C0">
        <w:rPr>
          <w:u w:val="single"/>
        </w:rPr>
        <w:t>6</w:t>
      </w:r>
      <w:r w:rsidRPr="00EA59C0">
        <w:rPr>
          <w:u w:val="single"/>
        </w:rPr>
        <w:t>.</w:t>
      </w:r>
    </w:p>
    <w:p w:rsidR="00144DF0" w:rsidRPr="00EA59C0" w:rsidRDefault="007470AB" w:rsidP="00FA0E98">
      <w:pPr>
        <w:pStyle w:val="PlainText"/>
        <w:spacing w:after="0" w:afterAutospacing="0"/>
        <w:ind w:left="360"/>
      </w:pPr>
      <w:r w:rsidRPr="00EA59C0" w:rsidDel="001C5F62">
        <w:t>According</w:t>
      </w:r>
      <w:r w:rsidR="00C026A6" w:rsidRPr="00EA59C0">
        <w:t xml:space="preserve"> </w:t>
      </w:r>
      <w:r w:rsidRPr="00EA59C0" w:rsidDel="001C5F62">
        <w:t>to</w:t>
      </w:r>
      <w:r w:rsidR="00C026A6" w:rsidRPr="00EA59C0">
        <w:t xml:space="preserve"> </w:t>
      </w:r>
      <w:r w:rsidRPr="00EA59C0">
        <w:t>the</w:t>
      </w:r>
      <w:r w:rsidR="00C026A6" w:rsidRPr="00EA59C0">
        <w:t xml:space="preserve"> </w:t>
      </w:r>
      <w:r w:rsidRPr="00EA59C0">
        <w:t>Paperwork</w:t>
      </w:r>
      <w:r w:rsidR="00C026A6" w:rsidRPr="00EA59C0">
        <w:t xml:space="preserve"> </w:t>
      </w:r>
      <w:r w:rsidRPr="00EA59C0">
        <w:t>Reduction</w:t>
      </w:r>
      <w:r w:rsidR="00C026A6" w:rsidRPr="00EA59C0">
        <w:t xml:space="preserve"> </w:t>
      </w:r>
      <w:r w:rsidRPr="00EA59C0">
        <w:t>Act</w:t>
      </w:r>
      <w:r w:rsidR="00C026A6" w:rsidRPr="00EA59C0">
        <w:t xml:space="preserve"> </w:t>
      </w:r>
      <w:r w:rsidRPr="00EA59C0">
        <w:t>of</w:t>
      </w:r>
      <w:r w:rsidR="00C026A6" w:rsidRPr="00EA59C0">
        <w:t xml:space="preserve"> </w:t>
      </w:r>
      <w:r w:rsidRPr="00EA59C0">
        <w:t>1995,</w:t>
      </w:r>
      <w:r w:rsidR="00C026A6" w:rsidRPr="00EA59C0">
        <w:t xml:space="preserve"> </w:t>
      </w:r>
      <w:r w:rsidRPr="00EA59C0">
        <w:t>no</w:t>
      </w:r>
      <w:r w:rsidR="00C026A6" w:rsidRPr="00EA59C0">
        <w:t xml:space="preserve"> </w:t>
      </w:r>
      <w:r w:rsidRPr="00EA59C0">
        <w:t>persons</w:t>
      </w:r>
      <w:r w:rsidR="00C026A6" w:rsidRPr="00EA59C0">
        <w:t xml:space="preserve"> </w:t>
      </w:r>
      <w:r w:rsidRPr="00EA59C0">
        <w:t>are</w:t>
      </w:r>
      <w:r w:rsidR="00C026A6" w:rsidRPr="00EA59C0">
        <w:t xml:space="preserve"> </w:t>
      </w:r>
      <w:r w:rsidRPr="00EA59C0">
        <w:t>required</w:t>
      </w:r>
      <w:r w:rsidR="00C026A6" w:rsidRPr="00EA59C0">
        <w:t xml:space="preserve"> </w:t>
      </w:r>
      <w:r w:rsidRPr="00EA59C0">
        <w:t>to</w:t>
      </w:r>
      <w:r w:rsidR="00C026A6" w:rsidRPr="00EA59C0">
        <w:t xml:space="preserve"> </w:t>
      </w:r>
      <w:r w:rsidRPr="00EA59C0">
        <w:t>respond</w:t>
      </w:r>
      <w:r w:rsidR="00C026A6" w:rsidRPr="00EA59C0">
        <w:t xml:space="preserve"> </w:t>
      </w:r>
      <w:r w:rsidRPr="00EA59C0">
        <w:t>to</w:t>
      </w:r>
      <w:r w:rsidR="00C026A6" w:rsidRPr="00EA59C0">
        <w:t xml:space="preserve"> </w:t>
      </w:r>
      <w:r w:rsidRPr="00EA59C0">
        <w:t>a</w:t>
      </w:r>
      <w:r w:rsidR="00C026A6" w:rsidRPr="00EA59C0">
        <w:t xml:space="preserve"> </w:t>
      </w:r>
      <w:r w:rsidRPr="00EA59C0">
        <w:t>collection</w:t>
      </w:r>
      <w:r w:rsidR="00C026A6" w:rsidRPr="00EA59C0">
        <w:t xml:space="preserve"> </w:t>
      </w:r>
      <w:r w:rsidRPr="00EA59C0">
        <w:t>of</w:t>
      </w:r>
      <w:r w:rsidR="00C026A6" w:rsidRPr="00EA59C0">
        <w:t xml:space="preserve"> </w:t>
      </w:r>
      <w:r w:rsidRPr="00EA59C0">
        <w:t>information</w:t>
      </w:r>
      <w:r w:rsidR="00C026A6" w:rsidRPr="00EA59C0">
        <w:t xml:space="preserve"> </w:t>
      </w:r>
      <w:r w:rsidRPr="00EA59C0">
        <w:t>unless</w:t>
      </w:r>
      <w:r w:rsidR="00C026A6" w:rsidRPr="00EA59C0">
        <w:t xml:space="preserve"> </w:t>
      </w:r>
      <w:r w:rsidRPr="00EA59C0">
        <w:t>such</w:t>
      </w:r>
      <w:r w:rsidR="00C026A6" w:rsidRPr="00EA59C0">
        <w:t xml:space="preserve"> </w:t>
      </w:r>
      <w:r w:rsidRPr="00EA59C0">
        <w:t>collection</w:t>
      </w:r>
      <w:r w:rsidR="00C026A6" w:rsidRPr="00EA59C0">
        <w:t xml:space="preserve"> </w:t>
      </w:r>
      <w:r w:rsidRPr="00EA59C0">
        <w:t>displays</w:t>
      </w:r>
      <w:r w:rsidR="00C026A6" w:rsidRPr="00EA59C0">
        <w:t xml:space="preserve"> </w:t>
      </w:r>
      <w:r w:rsidRPr="00EA59C0">
        <w:t>a</w:t>
      </w:r>
      <w:r w:rsidR="00C026A6" w:rsidRPr="00EA59C0">
        <w:t xml:space="preserve"> </w:t>
      </w:r>
      <w:r w:rsidRPr="00EA59C0">
        <w:t>valid</w:t>
      </w:r>
      <w:r w:rsidR="00C026A6" w:rsidRPr="00EA59C0">
        <w:t xml:space="preserve"> </w:t>
      </w:r>
      <w:r w:rsidRPr="00EA59C0">
        <w:t>OMB</w:t>
      </w:r>
      <w:r w:rsidR="00C026A6" w:rsidRPr="00EA59C0">
        <w:t xml:space="preserve"> </w:t>
      </w:r>
      <w:r w:rsidRPr="00EA59C0">
        <w:t>control</w:t>
      </w:r>
      <w:r w:rsidR="00C026A6" w:rsidRPr="00EA59C0">
        <w:t xml:space="preserve"> </w:t>
      </w:r>
      <w:r w:rsidRPr="00EA59C0">
        <w:t>number.</w:t>
      </w:r>
      <w:r w:rsidR="00C026A6" w:rsidRPr="00EA59C0">
        <w:t xml:space="preserve">  </w:t>
      </w:r>
      <w:r w:rsidRPr="00EA59C0">
        <w:t>Public</w:t>
      </w:r>
      <w:r w:rsidR="00C026A6" w:rsidRPr="00EA59C0">
        <w:t xml:space="preserve"> </w:t>
      </w:r>
      <w:r w:rsidRPr="00EA59C0">
        <w:t>reporting</w:t>
      </w:r>
      <w:r w:rsidR="00C026A6" w:rsidRPr="00EA59C0">
        <w:t xml:space="preserve"> </w:t>
      </w:r>
      <w:r w:rsidRPr="00EA59C0">
        <w:t>burden</w:t>
      </w:r>
      <w:r w:rsidR="00C026A6" w:rsidRPr="00EA59C0">
        <w:t xml:space="preserve"> </w:t>
      </w:r>
      <w:r w:rsidRPr="00EA59C0">
        <w:t>for</w:t>
      </w:r>
      <w:r w:rsidR="00C026A6" w:rsidRPr="00EA59C0">
        <w:t xml:space="preserve"> </w:t>
      </w:r>
      <w:r w:rsidRPr="00EA59C0">
        <w:t>this</w:t>
      </w:r>
      <w:r w:rsidR="00C026A6" w:rsidRPr="00EA59C0">
        <w:t xml:space="preserve"> </w:t>
      </w:r>
      <w:r w:rsidRPr="00EA59C0">
        <w:t>collection</w:t>
      </w:r>
      <w:r w:rsidR="00C026A6" w:rsidRPr="00EA59C0">
        <w:t xml:space="preserve"> </w:t>
      </w:r>
      <w:r w:rsidRPr="00EA59C0">
        <w:t>of</w:t>
      </w:r>
      <w:r w:rsidR="00C026A6" w:rsidRPr="00EA59C0">
        <w:t xml:space="preserve"> </w:t>
      </w:r>
      <w:r w:rsidRPr="00EA59C0">
        <w:t>information</w:t>
      </w:r>
      <w:r w:rsidR="00C026A6" w:rsidRPr="00EA59C0">
        <w:t xml:space="preserve"> </w:t>
      </w:r>
      <w:r w:rsidRPr="00EA59C0">
        <w:t>is</w:t>
      </w:r>
      <w:r w:rsidR="00C026A6" w:rsidRPr="00EA59C0">
        <w:t xml:space="preserve"> </w:t>
      </w:r>
      <w:r w:rsidRPr="00EA59C0">
        <w:t>estimated</w:t>
      </w:r>
      <w:r w:rsidR="00C026A6" w:rsidRPr="00EA59C0">
        <w:t xml:space="preserve"> </w:t>
      </w:r>
      <w:r w:rsidRPr="00EA59C0">
        <w:t>to</w:t>
      </w:r>
      <w:r w:rsidR="00C026A6" w:rsidRPr="00EA59C0">
        <w:t xml:space="preserve"> </w:t>
      </w:r>
      <w:r w:rsidRPr="00EA59C0">
        <w:t>average</w:t>
      </w:r>
      <w:r w:rsidR="00C026A6" w:rsidRPr="00EA59C0">
        <w:t xml:space="preserve"> </w:t>
      </w:r>
      <w:r w:rsidRPr="00EA59C0">
        <w:t>20</w:t>
      </w:r>
      <w:r w:rsidR="00C026A6" w:rsidRPr="00EA59C0">
        <w:t xml:space="preserve"> </w:t>
      </w:r>
      <w:r w:rsidRPr="00EA59C0">
        <w:t>hours</w:t>
      </w:r>
      <w:r w:rsidR="00C026A6" w:rsidRPr="00EA59C0">
        <w:t xml:space="preserve"> </w:t>
      </w:r>
      <w:r w:rsidRPr="00EA59C0">
        <w:t>per</w:t>
      </w:r>
      <w:r w:rsidR="00C026A6" w:rsidRPr="00EA59C0">
        <w:t xml:space="preserve"> </w:t>
      </w:r>
      <w:r w:rsidRPr="00EA59C0">
        <w:t>response,</w:t>
      </w:r>
      <w:r w:rsidR="00C026A6" w:rsidRPr="00EA59C0">
        <w:t xml:space="preserve"> </w:t>
      </w:r>
      <w:r w:rsidRPr="00EA59C0">
        <w:t>including</w:t>
      </w:r>
      <w:r w:rsidR="00C026A6" w:rsidRPr="00EA59C0">
        <w:t xml:space="preserve"> </w:t>
      </w:r>
      <w:r w:rsidRPr="00EA59C0">
        <w:t>time</w:t>
      </w:r>
      <w:r w:rsidR="00C026A6" w:rsidRPr="00EA59C0">
        <w:t xml:space="preserve"> </w:t>
      </w:r>
      <w:r w:rsidRPr="00EA59C0">
        <w:t>for</w:t>
      </w:r>
      <w:r w:rsidR="00C026A6" w:rsidRPr="00EA59C0">
        <w:t xml:space="preserve"> </w:t>
      </w:r>
      <w:r w:rsidRPr="00EA59C0">
        <w:t>reviewing</w:t>
      </w:r>
      <w:r w:rsidR="00C026A6" w:rsidRPr="00EA59C0">
        <w:t xml:space="preserve"> </w:t>
      </w:r>
      <w:r w:rsidRPr="00EA59C0">
        <w:t>instructions,</w:t>
      </w:r>
      <w:r w:rsidR="00C026A6" w:rsidRPr="00EA59C0">
        <w:t xml:space="preserve"> </w:t>
      </w:r>
      <w:r w:rsidRPr="00EA59C0">
        <w:t>searching</w:t>
      </w:r>
      <w:r w:rsidR="00C026A6" w:rsidRPr="00EA59C0">
        <w:t xml:space="preserve"> </w:t>
      </w:r>
      <w:r w:rsidRPr="00EA59C0">
        <w:t>existing</w:t>
      </w:r>
      <w:r w:rsidR="00C026A6" w:rsidRPr="00EA59C0">
        <w:t xml:space="preserve"> </w:t>
      </w:r>
      <w:r w:rsidRPr="00EA59C0">
        <w:t>data</w:t>
      </w:r>
      <w:r w:rsidR="00C026A6" w:rsidRPr="00EA59C0">
        <w:t xml:space="preserve"> </w:t>
      </w:r>
      <w:r w:rsidRPr="00EA59C0">
        <w:t>sources,</w:t>
      </w:r>
      <w:r w:rsidR="00C026A6" w:rsidRPr="00EA59C0">
        <w:t xml:space="preserve"> </w:t>
      </w:r>
      <w:r w:rsidRPr="00EA59C0">
        <w:t>gathering</w:t>
      </w:r>
      <w:r w:rsidR="00C026A6" w:rsidRPr="00EA59C0">
        <w:t xml:space="preserve"> </w:t>
      </w:r>
      <w:r w:rsidRPr="00EA59C0">
        <w:t>and</w:t>
      </w:r>
      <w:r w:rsidR="00C026A6" w:rsidRPr="00EA59C0">
        <w:t xml:space="preserve"> </w:t>
      </w:r>
      <w:r w:rsidRPr="00EA59C0">
        <w:t>maintaining</w:t>
      </w:r>
      <w:r w:rsidR="00C026A6" w:rsidRPr="00EA59C0">
        <w:t xml:space="preserve"> </w:t>
      </w:r>
      <w:r w:rsidRPr="00EA59C0">
        <w:t>the</w:t>
      </w:r>
      <w:r w:rsidR="00C026A6" w:rsidRPr="00EA59C0">
        <w:t xml:space="preserve"> </w:t>
      </w:r>
      <w:r w:rsidRPr="00EA59C0">
        <w:t>data</w:t>
      </w:r>
      <w:r w:rsidR="00C026A6" w:rsidRPr="00EA59C0">
        <w:t xml:space="preserve"> </w:t>
      </w:r>
      <w:r w:rsidRPr="00EA59C0">
        <w:t>needed,</w:t>
      </w:r>
      <w:r w:rsidR="00C026A6" w:rsidRPr="00EA59C0">
        <w:t xml:space="preserve"> </w:t>
      </w:r>
      <w:r w:rsidRPr="00EA59C0">
        <w:t>and</w:t>
      </w:r>
      <w:r w:rsidR="00C026A6" w:rsidRPr="00EA59C0">
        <w:t xml:space="preserve"> </w:t>
      </w:r>
      <w:r w:rsidRPr="00EA59C0">
        <w:t>completing</w:t>
      </w:r>
      <w:r w:rsidR="00C026A6" w:rsidRPr="00EA59C0">
        <w:t xml:space="preserve"> </w:t>
      </w:r>
      <w:r w:rsidRPr="00EA59C0">
        <w:t>and</w:t>
      </w:r>
      <w:r w:rsidR="00C026A6" w:rsidRPr="00EA59C0">
        <w:t xml:space="preserve"> </w:t>
      </w:r>
      <w:r w:rsidRPr="00EA59C0">
        <w:t>reviewing</w:t>
      </w:r>
      <w:r w:rsidR="00C026A6" w:rsidRPr="00EA59C0">
        <w:t xml:space="preserve"> </w:t>
      </w:r>
      <w:r w:rsidRPr="00EA59C0">
        <w:t>the</w:t>
      </w:r>
      <w:r w:rsidR="00C026A6" w:rsidRPr="00EA59C0">
        <w:t xml:space="preserve"> </w:t>
      </w:r>
      <w:r w:rsidRPr="00EA59C0">
        <w:t>collection</w:t>
      </w:r>
      <w:r w:rsidR="00C026A6" w:rsidRPr="00EA59C0">
        <w:t xml:space="preserve"> </w:t>
      </w:r>
      <w:r w:rsidRPr="00EA59C0">
        <w:t>of</w:t>
      </w:r>
      <w:r w:rsidR="00C026A6" w:rsidRPr="00EA59C0">
        <w:t xml:space="preserve"> </w:t>
      </w:r>
      <w:r w:rsidRPr="00EA59C0">
        <w:t>information.</w:t>
      </w:r>
      <w:r w:rsidR="00C026A6" w:rsidRPr="00EA59C0">
        <w:t xml:space="preserve">  </w:t>
      </w:r>
      <w:r w:rsidRPr="00EA59C0">
        <w:t>Send</w:t>
      </w:r>
      <w:r w:rsidR="00C026A6" w:rsidRPr="00EA59C0">
        <w:t xml:space="preserve"> </w:t>
      </w:r>
      <w:r w:rsidRPr="00EA59C0">
        <w:t>comments</w:t>
      </w:r>
      <w:r w:rsidR="00C026A6" w:rsidRPr="00EA59C0">
        <w:t xml:space="preserve"> </w:t>
      </w:r>
      <w:r w:rsidRPr="00EA59C0">
        <w:t>about</w:t>
      </w:r>
      <w:r w:rsidR="00C026A6" w:rsidRPr="00EA59C0">
        <w:t xml:space="preserve"> </w:t>
      </w:r>
      <w:r w:rsidRPr="00EA59C0">
        <w:t>the</w:t>
      </w:r>
      <w:r w:rsidR="00C026A6" w:rsidRPr="00EA59C0">
        <w:t xml:space="preserve"> </w:t>
      </w:r>
      <w:r w:rsidRPr="00EA59C0">
        <w:t>burden</w:t>
      </w:r>
      <w:r w:rsidR="00C026A6" w:rsidRPr="00EA59C0">
        <w:t xml:space="preserve"> </w:t>
      </w:r>
      <w:r w:rsidRPr="00EA59C0">
        <w:t>estimated</w:t>
      </w:r>
      <w:r w:rsidR="00C026A6" w:rsidRPr="00EA59C0">
        <w:t xml:space="preserve"> </w:t>
      </w:r>
      <w:r w:rsidRPr="00EA59C0">
        <w:t>or</w:t>
      </w:r>
      <w:r w:rsidR="00C026A6" w:rsidRPr="00EA59C0">
        <w:t xml:space="preserve"> </w:t>
      </w:r>
      <w:r w:rsidRPr="00EA59C0">
        <w:t>any</w:t>
      </w:r>
      <w:r w:rsidR="00C026A6" w:rsidRPr="00EA59C0">
        <w:t xml:space="preserve"> </w:t>
      </w:r>
      <w:r w:rsidRPr="00EA59C0">
        <w:t>other</w:t>
      </w:r>
      <w:r w:rsidR="00C026A6" w:rsidRPr="00EA59C0">
        <w:t xml:space="preserve"> </w:t>
      </w:r>
      <w:r w:rsidRPr="00EA59C0">
        <w:t>aspect</w:t>
      </w:r>
      <w:r w:rsidR="00C026A6" w:rsidRPr="00EA59C0">
        <w:t xml:space="preserve"> </w:t>
      </w:r>
      <w:r w:rsidRPr="00EA59C0">
        <w:t>of</w:t>
      </w:r>
      <w:r w:rsidR="00C026A6" w:rsidRPr="00EA59C0">
        <w:t xml:space="preserve"> </w:t>
      </w:r>
      <w:r w:rsidRPr="00EA59C0">
        <w:t>this</w:t>
      </w:r>
      <w:r w:rsidR="00C026A6" w:rsidRPr="00EA59C0">
        <w:t xml:space="preserve"> </w:t>
      </w:r>
      <w:r w:rsidRPr="00EA59C0">
        <w:t>collection</w:t>
      </w:r>
      <w:r w:rsidR="00C026A6" w:rsidRPr="00EA59C0">
        <w:t xml:space="preserve"> </w:t>
      </w:r>
      <w:r w:rsidRPr="00EA59C0">
        <w:t>of</w:t>
      </w:r>
      <w:r w:rsidR="00C026A6" w:rsidRPr="00EA59C0">
        <w:t xml:space="preserve"> </w:t>
      </w:r>
      <w:r w:rsidRPr="00EA59C0">
        <w:t>information,</w:t>
      </w:r>
      <w:r w:rsidR="00C026A6" w:rsidRPr="00EA59C0">
        <w:t xml:space="preserve"> </w:t>
      </w:r>
      <w:r w:rsidRPr="00EA59C0">
        <w:t>including</w:t>
      </w:r>
      <w:r w:rsidR="00C026A6" w:rsidRPr="00EA59C0">
        <w:t xml:space="preserve"> </w:t>
      </w:r>
      <w:r w:rsidRPr="00EA59C0">
        <w:t>suggestions</w:t>
      </w:r>
      <w:r w:rsidR="00C026A6" w:rsidRPr="00EA59C0">
        <w:t xml:space="preserve"> </w:t>
      </w:r>
      <w:r w:rsidRPr="00EA59C0">
        <w:t>for</w:t>
      </w:r>
      <w:r w:rsidR="00C026A6" w:rsidRPr="00EA59C0">
        <w:t xml:space="preserve"> </w:t>
      </w:r>
      <w:r w:rsidRPr="00EA59C0">
        <w:t>reducing</w:t>
      </w:r>
      <w:r w:rsidR="00C026A6" w:rsidRPr="00EA59C0">
        <w:t xml:space="preserve"> </w:t>
      </w:r>
      <w:r w:rsidRPr="00EA59C0">
        <w:t>this</w:t>
      </w:r>
      <w:r w:rsidR="00C026A6" w:rsidRPr="00EA59C0">
        <w:t xml:space="preserve"> </w:t>
      </w:r>
      <w:r w:rsidRPr="00EA59C0">
        <w:t>burden,</w:t>
      </w:r>
      <w:r w:rsidR="00C026A6" w:rsidRPr="00EA59C0">
        <w:t xml:space="preserve"> </w:t>
      </w:r>
      <w:r w:rsidRPr="00EA59C0">
        <w:t>to</w:t>
      </w:r>
      <w:r w:rsidR="00C026A6" w:rsidRPr="00EA59C0">
        <w:t xml:space="preserve"> </w:t>
      </w:r>
      <w:r w:rsidRPr="00EA59C0">
        <w:t>the</w:t>
      </w:r>
      <w:r w:rsidR="00C026A6" w:rsidRPr="00EA59C0">
        <w:t xml:space="preserve"> </w:t>
      </w:r>
      <w:r w:rsidRPr="00EA59C0">
        <w:t>U.S.</w:t>
      </w:r>
      <w:r w:rsidR="00C026A6" w:rsidRPr="00EA59C0">
        <w:t xml:space="preserve"> </w:t>
      </w:r>
      <w:r w:rsidRPr="00EA59C0">
        <w:t>Department</w:t>
      </w:r>
      <w:r w:rsidR="00C026A6" w:rsidRPr="00EA59C0">
        <w:t xml:space="preserve"> </w:t>
      </w:r>
      <w:r w:rsidRPr="00EA59C0">
        <w:t>of</w:t>
      </w:r>
      <w:r w:rsidR="00C026A6" w:rsidRPr="00EA59C0">
        <w:t xml:space="preserve"> </w:t>
      </w:r>
      <w:r w:rsidRPr="00EA59C0">
        <w:t>Labor,</w:t>
      </w:r>
      <w:r w:rsidR="00C026A6" w:rsidRPr="00EA59C0">
        <w:t xml:space="preserve"> </w:t>
      </w:r>
      <w:r w:rsidRPr="00EA59C0">
        <w:t>to</w:t>
      </w:r>
      <w:r w:rsidR="00C026A6" w:rsidRPr="00EA59C0">
        <w:t xml:space="preserve"> </w:t>
      </w:r>
      <w:r w:rsidRPr="00EA59C0">
        <w:t>the</w:t>
      </w:r>
      <w:r w:rsidR="00C026A6" w:rsidRPr="00EA59C0">
        <w:t xml:space="preserve"> </w:t>
      </w:r>
      <w:r w:rsidRPr="00EA59C0">
        <w:t>attention</w:t>
      </w:r>
      <w:r w:rsidR="00C026A6" w:rsidRPr="00EA59C0">
        <w:t xml:space="preserve"> </w:t>
      </w:r>
      <w:r w:rsidRPr="00EA59C0">
        <w:t>of</w:t>
      </w:r>
      <w:r w:rsidR="00C026A6" w:rsidRPr="00EA59C0">
        <w:t xml:space="preserve"> </w:t>
      </w:r>
      <w:r w:rsidRPr="00EA59C0">
        <w:t>the</w:t>
      </w:r>
      <w:r w:rsidR="00C026A6" w:rsidRPr="00EA59C0">
        <w:t xml:space="preserve"> </w:t>
      </w:r>
      <w:r w:rsidRPr="00EA59C0">
        <w:t>Departmental</w:t>
      </w:r>
      <w:r w:rsidR="00C026A6" w:rsidRPr="00EA59C0">
        <w:t xml:space="preserve"> </w:t>
      </w:r>
      <w:r w:rsidRPr="00EA59C0">
        <w:t>Clearance</w:t>
      </w:r>
      <w:r w:rsidR="00C026A6" w:rsidRPr="00EA59C0">
        <w:t xml:space="preserve"> </w:t>
      </w:r>
      <w:r w:rsidRPr="00EA59C0">
        <w:t>Officer,</w:t>
      </w:r>
      <w:r w:rsidR="00C026A6" w:rsidRPr="00EA59C0">
        <w:t xml:space="preserve"> </w:t>
      </w:r>
      <w:r w:rsidRPr="00EA59C0">
        <w:t>200</w:t>
      </w:r>
      <w:r w:rsidR="00C026A6" w:rsidRPr="00EA59C0">
        <w:t xml:space="preserve"> </w:t>
      </w:r>
      <w:r w:rsidRPr="00EA59C0">
        <w:t>Constitution</w:t>
      </w:r>
      <w:r w:rsidR="00C026A6" w:rsidRPr="00EA59C0">
        <w:t xml:space="preserve"> </w:t>
      </w:r>
      <w:r w:rsidRPr="00EA59C0">
        <w:t>Avenue</w:t>
      </w:r>
      <w:r w:rsidR="00C026A6" w:rsidRPr="00EA59C0">
        <w:t xml:space="preserve"> </w:t>
      </w:r>
      <w:r w:rsidRPr="00EA59C0">
        <w:t>NW,</w:t>
      </w:r>
      <w:r w:rsidR="00C026A6" w:rsidRPr="00EA59C0">
        <w:t xml:space="preserve"> </w:t>
      </w:r>
      <w:r w:rsidRPr="00EA59C0">
        <w:t>Room</w:t>
      </w:r>
      <w:r w:rsidR="00C026A6" w:rsidRPr="00EA59C0">
        <w:t xml:space="preserve"> </w:t>
      </w:r>
      <w:r w:rsidRPr="00EA59C0">
        <w:t>N1301,</w:t>
      </w:r>
      <w:r w:rsidR="00C026A6" w:rsidRPr="00EA59C0">
        <w:t xml:space="preserve"> </w:t>
      </w:r>
      <w:r w:rsidRPr="00EA59C0">
        <w:t>Washington,</w:t>
      </w:r>
      <w:r w:rsidR="00C026A6" w:rsidRPr="00EA59C0">
        <w:t xml:space="preserve"> </w:t>
      </w:r>
      <w:r w:rsidRPr="00EA59C0">
        <w:t>DC</w:t>
      </w:r>
      <w:r w:rsidR="00C026A6" w:rsidRPr="00EA59C0">
        <w:t xml:space="preserve"> </w:t>
      </w:r>
      <w:r w:rsidRPr="00EA59C0">
        <w:t>20210.</w:t>
      </w:r>
      <w:r w:rsidR="00C026A6" w:rsidRPr="00EA59C0">
        <w:t xml:space="preserve"> </w:t>
      </w:r>
      <w:r w:rsidRPr="00EA59C0">
        <w:t>Comments</w:t>
      </w:r>
      <w:r w:rsidR="00C026A6" w:rsidRPr="00EA59C0">
        <w:t xml:space="preserve"> </w:t>
      </w:r>
      <w:r w:rsidRPr="00EA59C0">
        <w:t>may</w:t>
      </w:r>
      <w:r w:rsidR="00C026A6" w:rsidRPr="00EA59C0">
        <w:t xml:space="preserve"> </w:t>
      </w:r>
      <w:r w:rsidRPr="00EA59C0">
        <w:t>also</w:t>
      </w:r>
      <w:r w:rsidR="00C026A6" w:rsidRPr="00EA59C0">
        <w:t xml:space="preserve"> </w:t>
      </w:r>
      <w:r w:rsidRPr="00EA59C0">
        <w:t>be</w:t>
      </w:r>
      <w:r w:rsidR="00C026A6" w:rsidRPr="00EA59C0">
        <w:t xml:space="preserve"> </w:t>
      </w:r>
      <w:r w:rsidRPr="00EA59C0">
        <w:t>emailed</w:t>
      </w:r>
      <w:r w:rsidR="00C026A6" w:rsidRPr="00EA59C0">
        <w:t xml:space="preserve"> </w:t>
      </w:r>
      <w:r w:rsidRPr="00EA59C0">
        <w:t>to</w:t>
      </w:r>
      <w:r w:rsidR="00C026A6" w:rsidRPr="00EA59C0">
        <w:t xml:space="preserve"> </w:t>
      </w:r>
      <w:hyperlink r:id="rId293" w:history="1">
        <w:r w:rsidRPr="00EA59C0">
          <w:rPr>
            <w:rStyle w:val="Hyperlink"/>
            <w:color w:val="auto"/>
          </w:rPr>
          <w:t>DOL_PRA_PUBLIC@dol.gov</w:t>
        </w:r>
      </w:hyperlink>
      <w:r w:rsidRPr="00EA59C0">
        <w:t>.</w:t>
      </w:r>
      <w:r w:rsidR="00C026A6" w:rsidRPr="00EA59C0">
        <w:t xml:space="preserve">  </w:t>
      </w:r>
      <w:r w:rsidRPr="00EA59C0">
        <w:t>PLEASE</w:t>
      </w:r>
      <w:r w:rsidR="00C026A6" w:rsidRPr="00EA59C0">
        <w:t xml:space="preserve"> </w:t>
      </w:r>
      <w:r w:rsidRPr="00EA59C0">
        <w:t>DO</w:t>
      </w:r>
      <w:r w:rsidR="00C026A6" w:rsidRPr="00EA59C0">
        <w:t xml:space="preserve"> </w:t>
      </w:r>
      <w:r w:rsidRPr="00EA59C0">
        <w:t>NOT</w:t>
      </w:r>
      <w:r w:rsidR="00C026A6" w:rsidRPr="00EA59C0">
        <w:t xml:space="preserve"> </w:t>
      </w:r>
      <w:r w:rsidRPr="00EA59C0">
        <w:t>RETURN</w:t>
      </w:r>
      <w:r w:rsidR="00C026A6" w:rsidRPr="00EA59C0">
        <w:t xml:space="preserve"> </w:t>
      </w:r>
      <w:r w:rsidRPr="00EA59C0">
        <w:t>THE</w:t>
      </w:r>
      <w:r w:rsidR="00C026A6" w:rsidRPr="00EA59C0">
        <w:t xml:space="preserve"> </w:t>
      </w:r>
      <w:r w:rsidRPr="00EA59C0">
        <w:t>COMPLETED</w:t>
      </w:r>
      <w:r w:rsidR="00C026A6" w:rsidRPr="00EA59C0">
        <w:t xml:space="preserve"> </w:t>
      </w:r>
      <w:r w:rsidRPr="00EA59C0">
        <w:t>APPLICATION</w:t>
      </w:r>
      <w:r w:rsidR="00C026A6" w:rsidRPr="00EA59C0">
        <w:t xml:space="preserve"> </w:t>
      </w:r>
      <w:r w:rsidRPr="00EA59C0">
        <w:t>TO</w:t>
      </w:r>
      <w:r w:rsidR="00C026A6" w:rsidRPr="00EA59C0">
        <w:t xml:space="preserve"> </w:t>
      </w:r>
      <w:r w:rsidRPr="00EA59C0">
        <w:t>THIS</w:t>
      </w:r>
      <w:r w:rsidR="00C026A6" w:rsidRPr="00EA59C0">
        <w:t xml:space="preserve"> </w:t>
      </w:r>
      <w:r w:rsidRPr="00EA59C0">
        <w:t>ADDRESS.</w:t>
      </w:r>
      <w:r w:rsidR="00C026A6" w:rsidRPr="00EA59C0">
        <w:t xml:space="preserve">  </w:t>
      </w:r>
      <w:r w:rsidRPr="00EA59C0">
        <w:t>SEND</w:t>
      </w:r>
      <w:r w:rsidR="00C026A6" w:rsidRPr="00EA59C0">
        <w:t xml:space="preserve"> </w:t>
      </w:r>
      <w:r w:rsidRPr="00EA59C0">
        <w:t>IT</w:t>
      </w:r>
      <w:r w:rsidR="00C026A6" w:rsidRPr="00EA59C0">
        <w:t xml:space="preserve"> </w:t>
      </w:r>
      <w:r w:rsidRPr="00EA59C0">
        <w:t>TO</w:t>
      </w:r>
      <w:r w:rsidR="00C026A6" w:rsidRPr="00EA59C0">
        <w:t xml:space="preserve"> </w:t>
      </w:r>
      <w:r w:rsidRPr="00EA59C0">
        <w:t>THE</w:t>
      </w:r>
      <w:r w:rsidR="00C026A6" w:rsidRPr="00EA59C0">
        <w:t xml:space="preserve"> </w:t>
      </w:r>
      <w:r w:rsidRPr="00EA59C0">
        <w:t>SPONSORING</w:t>
      </w:r>
      <w:r w:rsidR="00C026A6" w:rsidRPr="00EA59C0">
        <w:t xml:space="preserve"> </w:t>
      </w:r>
      <w:r w:rsidRPr="00EA59C0">
        <w:t>AGENCY</w:t>
      </w:r>
      <w:r w:rsidR="00C026A6" w:rsidRPr="00EA59C0">
        <w:t xml:space="preserve"> </w:t>
      </w:r>
      <w:r w:rsidRPr="00EA59C0">
        <w:t>AS</w:t>
      </w:r>
      <w:r w:rsidR="00C026A6" w:rsidRPr="00EA59C0">
        <w:t xml:space="preserve"> </w:t>
      </w:r>
      <w:r w:rsidRPr="00EA59C0">
        <w:t>SPECIFIED</w:t>
      </w:r>
      <w:r w:rsidR="00C026A6" w:rsidRPr="00EA59C0">
        <w:t xml:space="preserve"> </w:t>
      </w:r>
      <w:r w:rsidRPr="00EA59C0">
        <w:t>IN</w:t>
      </w:r>
      <w:r w:rsidR="00C026A6" w:rsidRPr="00EA59C0">
        <w:t xml:space="preserve"> </w:t>
      </w:r>
      <w:r w:rsidRPr="00EA59C0">
        <w:t>THIS</w:t>
      </w:r>
      <w:r w:rsidR="00C026A6" w:rsidRPr="00EA59C0">
        <w:t xml:space="preserve"> </w:t>
      </w:r>
      <w:r w:rsidRPr="00EA59C0">
        <w:t>SOLICITATION.</w:t>
      </w:r>
    </w:p>
    <w:p w:rsidR="00144DF0" w:rsidRPr="00EA59C0" w:rsidRDefault="00144DF0" w:rsidP="00FA0E98">
      <w:pPr>
        <w:pStyle w:val="PlainText"/>
        <w:spacing w:before="0" w:beforeAutospacing="0" w:after="0" w:afterAutospacing="0"/>
        <w:ind w:left="360"/>
      </w:pPr>
    </w:p>
    <w:p w:rsidR="00144DF0" w:rsidRPr="00EA59C0" w:rsidRDefault="007470AB" w:rsidP="00FA0E98">
      <w:pPr>
        <w:pStyle w:val="PlainText"/>
        <w:spacing w:before="0" w:beforeAutospacing="0" w:after="0" w:afterAutospacing="0"/>
        <w:ind w:left="360"/>
      </w:pPr>
      <w:r w:rsidRPr="00EA59C0">
        <w:t>This</w:t>
      </w:r>
      <w:r w:rsidR="00C026A6" w:rsidRPr="00EA59C0">
        <w:t xml:space="preserve"> </w:t>
      </w:r>
      <w:r w:rsidRPr="00EA59C0">
        <w:t>information</w:t>
      </w:r>
      <w:r w:rsidR="00C026A6" w:rsidRPr="00EA59C0">
        <w:t xml:space="preserve"> </w:t>
      </w:r>
      <w:r w:rsidRPr="00EA59C0">
        <w:t>is</w:t>
      </w:r>
      <w:r w:rsidR="00C026A6" w:rsidRPr="00EA59C0">
        <w:t xml:space="preserve"> </w:t>
      </w:r>
      <w:r w:rsidRPr="00EA59C0">
        <w:t>being</w:t>
      </w:r>
      <w:r w:rsidR="00C026A6" w:rsidRPr="00EA59C0">
        <w:t xml:space="preserve"> </w:t>
      </w:r>
      <w:r w:rsidRPr="00EA59C0">
        <w:t>collected</w:t>
      </w:r>
      <w:r w:rsidR="00C026A6" w:rsidRPr="00EA59C0">
        <w:t xml:space="preserve"> </w:t>
      </w:r>
      <w:r w:rsidRPr="00EA59C0">
        <w:t>for</w:t>
      </w:r>
      <w:r w:rsidR="00C026A6" w:rsidRPr="00EA59C0">
        <w:t xml:space="preserve"> </w:t>
      </w:r>
      <w:r w:rsidRPr="00EA59C0">
        <w:t>the</w:t>
      </w:r>
      <w:r w:rsidR="00C026A6" w:rsidRPr="00EA59C0">
        <w:t xml:space="preserve"> </w:t>
      </w:r>
      <w:r w:rsidRPr="00EA59C0">
        <w:t>purpose</w:t>
      </w:r>
      <w:r w:rsidR="00C026A6" w:rsidRPr="00EA59C0">
        <w:t xml:space="preserve"> </w:t>
      </w:r>
      <w:r w:rsidRPr="00EA59C0">
        <w:t>of</w:t>
      </w:r>
      <w:r w:rsidR="00C026A6" w:rsidRPr="00EA59C0">
        <w:t xml:space="preserve"> </w:t>
      </w:r>
      <w:r w:rsidRPr="00EA59C0">
        <w:t>awarding</w:t>
      </w:r>
      <w:r w:rsidR="00C026A6" w:rsidRPr="00EA59C0">
        <w:t xml:space="preserve"> </w:t>
      </w:r>
      <w:r w:rsidRPr="00EA59C0">
        <w:t>a</w:t>
      </w:r>
      <w:r w:rsidR="00C026A6" w:rsidRPr="00EA59C0">
        <w:t xml:space="preserve"> </w:t>
      </w:r>
      <w:r w:rsidRPr="00EA59C0">
        <w:t>grant.</w:t>
      </w:r>
      <w:r w:rsidR="00C026A6" w:rsidRPr="00EA59C0">
        <w:t xml:space="preserve">  </w:t>
      </w:r>
      <w:r w:rsidRPr="00EA59C0">
        <w:t>The</w:t>
      </w:r>
      <w:r w:rsidR="00C026A6" w:rsidRPr="00EA59C0">
        <w:t xml:space="preserve"> </w:t>
      </w:r>
      <w:r w:rsidRPr="00EA59C0">
        <w:t>information</w:t>
      </w:r>
      <w:r w:rsidR="00C026A6" w:rsidRPr="00EA59C0">
        <w:t xml:space="preserve"> </w:t>
      </w:r>
      <w:r w:rsidRPr="00EA59C0">
        <w:t>collected</w:t>
      </w:r>
      <w:r w:rsidR="00C026A6" w:rsidRPr="00EA59C0">
        <w:t xml:space="preserve"> </w:t>
      </w:r>
      <w:r w:rsidRPr="00EA59C0">
        <w:t>through</w:t>
      </w:r>
      <w:r w:rsidR="00C026A6" w:rsidRPr="00EA59C0">
        <w:t xml:space="preserve"> </w:t>
      </w:r>
      <w:r w:rsidRPr="00EA59C0">
        <w:t>this</w:t>
      </w:r>
      <w:r w:rsidR="00C026A6" w:rsidRPr="00EA59C0">
        <w:t xml:space="preserve"> </w:t>
      </w:r>
      <w:r w:rsidRPr="00EA59C0">
        <w:t>“Solicitation</w:t>
      </w:r>
      <w:r w:rsidR="00C026A6" w:rsidRPr="00EA59C0">
        <w:t xml:space="preserve"> </w:t>
      </w:r>
      <w:r w:rsidRPr="00EA59C0">
        <w:t>for</w:t>
      </w:r>
      <w:r w:rsidR="00C026A6" w:rsidRPr="00EA59C0">
        <w:t xml:space="preserve"> </w:t>
      </w:r>
      <w:r w:rsidRPr="00EA59C0">
        <w:t>Grant</w:t>
      </w:r>
      <w:r w:rsidR="00C026A6" w:rsidRPr="00EA59C0">
        <w:t xml:space="preserve"> </w:t>
      </w:r>
      <w:r w:rsidRPr="00EA59C0">
        <w:t>Applications”</w:t>
      </w:r>
      <w:r w:rsidR="00C026A6" w:rsidRPr="00EA59C0">
        <w:t xml:space="preserve"> </w:t>
      </w:r>
      <w:r w:rsidRPr="00EA59C0">
        <w:t>will</w:t>
      </w:r>
      <w:r w:rsidR="00C026A6" w:rsidRPr="00EA59C0">
        <w:t xml:space="preserve"> </w:t>
      </w:r>
      <w:r w:rsidRPr="00EA59C0">
        <w:t>be</w:t>
      </w:r>
      <w:r w:rsidR="00C026A6" w:rsidRPr="00EA59C0">
        <w:t xml:space="preserve"> </w:t>
      </w:r>
      <w:r w:rsidRPr="00EA59C0">
        <w:t>used</w:t>
      </w:r>
      <w:r w:rsidR="00C026A6" w:rsidRPr="00EA59C0">
        <w:t xml:space="preserve"> </w:t>
      </w:r>
      <w:r w:rsidRPr="00EA59C0">
        <w:t>by</w:t>
      </w:r>
      <w:r w:rsidR="00C026A6" w:rsidRPr="00EA59C0">
        <w:t xml:space="preserve"> </w:t>
      </w:r>
      <w:r w:rsidRPr="00EA59C0">
        <w:t>the</w:t>
      </w:r>
      <w:r w:rsidR="00C026A6" w:rsidRPr="00EA59C0">
        <w:t xml:space="preserve"> </w:t>
      </w:r>
      <w:r w:rsidRPr="00EA59C0">
        <w:t>Department</w:t>
      </w:r>
      <w:r w:rsidR="00C026A6" w:rsidRPr="00EA59C0">
        <w:t xml:space="preserve"> </w:t>
      </w:r>
      <w:r w:rsidRPr="00EA59C0">
        <w:t>of</w:t>
      </w:r>
      <w:r w:rsidR="00C026A6" w:rsidRPr="00EA59C0">
        <w:t xml:space="preserve"> </w:t>
      </w:r>
      <w:r w:rsidRPr="00EA59C0">
        <w:t>Labor</w:t>
      </w:r>
      <w:r w:rsidR="00C026A6" w:rsidRPr="00EA59C0">
        <w:t xml:space="preserve"> </w:t>
      </w:r>
      <w:r w:rsidRPr="00EA59C0">
        <w:t>to</w:t>
      </w:r>
      <w:r w:rsidR="00C026A6" w:rsidRPr="00EA59C0">
        <w:t xml:space="preserve"> </w:t>
      </w:r>
      <w:r w:rsidRPr="00EA59C0">
        <w:t>ensure</w:t>
      </w:r>
      <w:r w:rsidR="00C026A6" w:rsidRPr="00EA59C0">
        <w:t xml:space="preserve"> </w:t>
      </w:r>
      <w:r w:rsidRPr="00EA59C0">
        <w:t>that</w:t>
      </w:r>
      <w:r w:rsidR="00C026A6" w:rsidRPr="00EA59C0">
        <w:t xml:space="preserve"> </w:t>
      </w:r>
      <w:r w:rsidRPr="00EA59C0">
        <w:t>grants</w:t>
      </w:r>
      <w:r w:rsidR="00C026A6" w:rsidRPr="00EA59C0">
        <w:t xml:space="preserve"> </w:t>
      </w:r>
      <w:r w:rsidRPr="00EA59C0">
        <w:t>are</w:t>
      </w:r>
      <w:r w:rsidR="00C026A6" w:rsidRPr="00EA59C0">
        <w:t xml:space="preserve"> </w:t>
      </w:r>
      <w:r w:rsidRPr="00EA59C0">
        <w:t>awarded</w:t>
      </w:r>
      <w:r w:rsidR="00C026A6" w:rsidRPr="00EA59C0">
        <w:t xml:space="preserve"> </w:t>
      </w:r>
      <w:r w:rsidRPr="00EA59C0">
        <w:t>to</w:t>
      </w:r>
      <w:r w:rsidR="00C026A6" w:rsidRPr="00EA59C0">
        <w:t xml:space="preserve"> </w:t>
      </w:r>
      <w:r w:rsidRPr="00EA59C0">
        <w:t>the</w:t>
      </w:r>
      <w:r w:rsidR="00C026A6" w:rsidRPr="00EA59C0">
        <w:t xml:space="preserve"> </w:t>
      </w:r>
      <w:r w:rsidRPr="00EA59C0">
        <w:t>applicant</w:t>
      </w:r>
      <w:r w:rsidR="00F67CDA" w:rsidRPr="00EA59C0">
        <w:t>s</w:t>
      </w:r>
      <w:r w:rsidR="00C026A6" w:rsidRPr="00EA59C0">
        <w:t xml:space="preserve"> </w:t>
      </w:r>
      <w:r w:rsidRPr="00EA59C0">
        <w:t>best</w:t>
      </w:r>
      <w:r w:rsidR="00C026A6" w:rsidRPr="00EA59C0">
        <w:t xml:space="preserve"> </w:t>
      </w:r>
      <w:r w:rsidRPr="00EA59C0">
        <w:t>suited</w:t>
      </w:r>
      <w:r w:rsidR="00C026A6" w:rsidRPr="00EA59C0">
        <w:t xml:space="preserve"> </w:t>
      </w:r>
      <w:r w:rsidRPr="00EA59C0">
        <w:t>to</w:t>
      </w:r>
      <w:r w:rsidR="00C026A6" w:rsidRPr="00EA59C0">
        <w:t xml:space="preserve"> </w:t>
      </w:r>
      <w:r w:rsidRPr="00EA59C0">
        <w:t>perform</w:t>
      </w:r>
      <w:r w:rsidR="00C026A6" w:rsidRPr="00EA59C0">
        <w:t xml:space="preserve"> </w:t>
      </w:r>
      <w:r w:rsidRPr="00EA59C0">
        <w:t>the</w:t>
      </w:r>
      <w:r w:rsidR="00C026A6" w:rsidRPr="00EA59C0">
        <w:t xml:space="preserve"> </w:t>
      </w:r>
      <w:r w:rsidRPr="00EA59C0">
        <w:t>functions</w:t>
      </w:r>
      <w:r w:rsidR="00C026A6" w:rsidRPr="00EA59C0">
        <w:t xml:space="preserve"> </w:t>
      </w:r>
      <w:r w:rsidRPr="00EA59C0">
        <w:t>of</w:t>
      </w:r>
      <w:r w:rsidR="00C026A6" w:rsidRPr="00EA59C0">
        <w:t xml:space="preserve"> </w:t>
      </w:r>
      <w:r w:rsidRPr="00EA59C0">
        <w:t>the</w:t>
      </w:r>
      <w:r w:rsidR="00C026A6" w:rsidRPr="00EA59C0">
        <w:t xml:space="preserve"> </w:t>
      </w:r>
      <w:r w:rsidRPr="00EA59C0">
        <w:t>grant.</w:t>
      </w:r>
      <w:r w:rsidR="00C026A6" w:rsidRPr="00EA59C0">
        <w:t xml:space="preserve">  </w:t>
      </w:r>
      <w:r w:rsidRPr="00EA59C0">
        <w:t>Submission</w:t>
      </w:r>
      <w:r w:rsidR="00C026A6" w:rsidRPr="00EA59C0">
        <w:t xml:space="preserve"> </w:t>
      </w:r>
      <w:r w:rsidRPr="00EA59C0">
        <w:t>of</w:t>
      </w:r>
      <w:r w:rsidR="00C026A6" w:rsidRPr="00EA59C0">
        <w:t xml:space="preserve"> </w:t>
      </w:r>
      <w:r w:rsidRPr="00EA59C0">
        <w:t>this</w:t>
      </w:r>
      <w:r w:rsidR="00C026A6" w:rsidRPr="00EA59C0">
        <w:t xml:space="preserve"> </w:t>
      </w:r>
      <w:r w:rsidRPr="00EA59C0">
        <w:t>information</w:t>
      </w:r>
      <w:r w:rsidR="00C026A6" w:rsidRPr="00EA59C0">
        <w:t xml:space="preserve"> </w:t>
      </w:r>
      <w:r w:rsidRPr="00EA59C0">
        <w:t>is</w:t>
      </w:r>
      <w:r w:rsidR="00C026A6" w:rsidRPr="00EA59C0">
        <w:t xml:space="preserve"> </w:t>
      </w:r>
      <w:r w:rsidRPr="00EA59C0">
        <w:t>required</w:t>
      </w:r>
      <w:r w:rsidR="00C026A6" w:rsidRPr="00EA59C0">
        <w:t xml:space="preserve"> </w:t>
      </w:r>
      <w:r w:rsidRPr="00EA59C0">
        <w:t>in</w:t>
      </w:r>
      <w:r w:rsidR="00C026A6" w:rsidRPr="00EA59C0">
        <w:t xml:space="preserve"> </w:t>
      </w:r>
      <w:r w:rsidRPr="00EA59C0">
        <w:t>order</w:t>
      </w:r>
      <w:r w:rsidR="00C026A6" w:rsidRPr="00EA59C0">
        <w:t xml:space="preserve"> </w:t>
      </w:r>
      <w:r w:rsidRPr="00EA59C0">
        <w:t>for</w:t>
      </w:r>
      <w:r w:rsidR="00C026A6" w:rsidRPr="00EA59C0">
        <w:t xml:space="preserve"> </w:t>
      </w:r>
      <w:r w:rsidRPr="00EA59C0">
        <w:t>the</w:t>
      </w:r>
      <w:r w:rsidR="00C026A6" w:rsidRPr="00EA59C0">
        <w:t xml:space="preserve"> </w:t>
      </w:r>
      <w:r w:rsidRPr="00EA59C0">
        <w:t>applicant</w:t>
      </w:r>
      <w:r w:rsidR="00C026A6" w:rsidRPr="00EA59C0">
        <w:t xml:space="preserve"> </w:t>
      </w:r>
      <w:r w:rsidRPr="00EA59C0">
        <w:t>to</w:t>
      </w:r>
      <w:r w:rsidR="00C026A6" w:rsidRPr="00EA59C0">
        <w:t xml:space="preserve"> </w:t>
      </w:r>
      <w:r w:rsidRPr="00EA59C0">
        <w:t>be</w:t>
      </w:r>
      <w:r w:rsidR="00C026A6" w:rsidRPr="00EA59C0">
        <w:t xml:space="preserve"> </w:t>
      </w:r>
      <w:r w:rsidRPr="00EA59C0">
        <w:t>considered</w:t>
      </w:r>
      <w:r w:rsidR="00C026A6" w:rsidRPr="00EA59C0">
        <w:t xml:space="preserve"> </w:t>
      </w:r>
      <w:r w:rsidRPr="00EA59C0">
        <w:t>for</w:t>
      </w:r>
      <w:r w:rsidR="00C026A6" w:rsidRPr="00EA59C0">
        <w:t xml:space="preserve"> </w:t>
      </w:r>
      <w:r w:rsidRPr="00EA59C0">
        <w:t>award</w:t>
      </w:r>
      <w:r w:rsidR="00C026A6" w:rsidRPr="00EA59C0">
        <w:t xml:space="preserve"> </w:t>
      </w:r>
      <w:r w:rsidRPr="00EA59C0">
        <w:t>of</w:t>
      </w:r>
      <w:r w:rsidR="00C026A6" w:rsidRPr="00EA59C0">
        <w:t xml:space="preserve"> </w:t>
      </w:r>
      <w:r w:rsidR="00F67CDA" w:rsidRPr="00EA59C0">
        <w:t>a</w:t>
      </w:r>
      <w:r w:rsidR="00C026A6" w:rsidRPr="00EA59C0">
        <w:t xml:space="preserve"> </w:t>
      </w:r>
      <w:r w:rsidRPr="00EA59C0">
        <w:t>grant.</w:t>
      </w:r>
    </w:p>
    <w:p w:rsidR="007470AB" w:rsidRPr="00EA59C0" w:rsidRDefault="007470AB" w:rsidP="00FA0E98">
      <w:pPr>
        <w:pStyle w:val="PlainText"/>
        <w:spacing w:before="0" w:beforeAutospacing="0" w:after="0" w:afterAutospacing="0"/>
      </w:pPr>
    </w:p>
    <w:p w:rsidR="00307EBF" w:rsidRPr="00EA59C0" w:rsidRDefault="00307EBF" w:rsidP="00FA0E98">
      <w:pPr>
        <w:pStyle w:val="PlainText"/>
        <w:spacing w:before="0" w:beforeAutospacing="0" w:after="0" w:afterAutospacing="0"/>
      </w:pPr>
    </w:p>
    <w:p w:rsidR="007470AB" w:rsidRPr="00EA59C0" w:rsidRDefault="007470AB" w:rsidP="00FA0E98">
      <w:pPr>
        <w:pStyle w:val="PlainText"/>
        <w:spacing w:before="0" w:beforeAutospacing="0" w:after="0" w:afterAutospacing="0"/>
      </w:pPr>
      <w:r w:rsidRPr="00EA59C0">
        <w:t>Signed</w:t>
      </w:r>
      <w:r w:rsidR="00C026A6" w:rsidRPr="00EA59C0">
        <w:t xml:space="preserve"> </w:t>
      </w:r>
      <w:r w:rsidRPr="00EA59C0">
        <w:t>XXXXX,</w:t>
      </w:r>
      <w:r w:rsidR="00C026A6" w:rsidRPr="00EA59C0">
        <w:t xml:space="preserve"> </w:t>
      </w:r>
      <w:r w:rsidRPr="00EA59C0">
        <w:t>in</w:t>
      </w:r>
      <w:r w:rsidR="00C026A6" w:rsidRPr="00EA59C0">
        <w:t xml:space="preserve"> </w:t>
      </w:r>
      <w:r w:rsidRPr="00EA59C0">
        <w:t>Washington,</w:t>
      </w:r>
      <w:r w:rsidR="00C026A6" w:rsidRPr="00EA59C0">
        <w:t xml:space="preserve"> </w:t>
      </w:r>
      <w:r w:rsidRPr="00EA59C0">
        <w:t>D.C.</w:t>
      </w:r>
      <w:r w:rsidR="00C026A6" w:rsidRPr="00EA59C0">
        <w:t xml:space="preserve"> </w:t>
      </w:r>
      <w:r w:rsidRPr="00EA59C0">
        <w:t>by:</w:t>
      </w:r>
    </w:p>
    <w:p w:rsidR="007470AB" w:rsidRPr="00EA59C0" w:rsidRDefault="00C06A26" w:rsidP="00FA0E98">
      <w:pPr>
        <w:pStyle w:val="Level2"/>
        <w:autoSpaceDE/>
        <w:autoSpaceDN/>
        <w:adjustRightInd/>
        <w:rPr>
          <w:rFonts w:ascii="Times New Roman" w:hAnsi="Times New Roman"/>
        </w:rPr>
      </w:pPr>
      <w:r w:rsidRPr="00EA59C0">
        <w:rPr>
          <w:rFonts w:ascii="Times New Roman" w:hAnsi="Times New Roman"/>
        </w:rPr>
        <w:t>Steven</w:t>
      </w:r>
      <w:r w:rsidR="00C026A6" w:rsidRPr="00EA59C0">
        <w:rPr>
          <w:rFonts w:ascii="Times New Roman" w:hAnsi="Times New Roman"/>
        </w:rPr>
        <w:t xml:space="preserve"> </w:t>
      </w:r>
      <w:r w:rsidRPr="00EA59C0">
        <w:rPr>
          <w:rFonts w:ascii="Times New Roman" w:hAnsi="Times New Roman"/>
        </w:rPr>
        <w:t>A.</w:t>
      </w:r>
      <w:r w:rsidR="00C026A6" w:rsidRPr="00EA59C0">
        <w:rPr>
          <w:rFonts w:ascii="Times New Roman" w:hAnsi="Times New Roman"/>
        </w:rPr>
        <w:t xml:space="preserve"> </w:t>
      </w:r>
      <w:r w:rsidRPr="00EA59C0">
        <w:rPr>
          <w:rFonts w:ascii="Times New Roman" w:hAnsi="Times New Roman"/>
        </w:rPr>
        <w:t>Rietzke</w:t>
      </w:r>
    </w:p>
    <w:p w:rsidR="007470AB" w:rsidRPr="00EA59C0" w:rsidRDefault="007470AB" w:rsidP="00FA0E98">
      <w:pPr>
        <w:pStyle w:val="Level2"/>
        <w:autoSpaceDE/>
        <w:autoSpaceDN/>
        <w:adjustRightInd/>
        <w:rPr>
          <w:rFonts w:ascii="Times New Roman" w:hAnsi="Times New Roman"/>
        </w:rPr>
      </w:pPr>
      <w:r w:rsidRPr="00EA59C0">
        <w:rPr>
          <w:rFonts w:ascii="Times New Roman" w:hAnsi="Times New Roman"/>
        </w:rPr>
        <w:t>Grant</w:t>
      </w:r>
      <w:r w:rsidR="00C026A6" w:rsidRPr="00EA59C0">
        <w:rPr>
          <w:rFonts w:ascii="Times New Roman" w:hAnsi="Times New Roman"/>
        </w:rPr>
        <w:t xml:space="preserve"> </w:t>
      </w:r>
      <w:r w:rsidRPr="00EA59C0">
        <w:rPr>
          <w:rFonts w:ascii="Times New Roman" w:hAnsi="Times New Roman"/>
        </w:rPr>
        <w:t>Officer,</w:t>
      </w:r>
      <w:r w:rsidR="00C026A6" w:rsidRPr="00EA59C0">
        <w:rPr>
          <w:rFonts w:ascii="Times New Roman" w:hAnsi="Times New Roman"/>
        </w:rPr>
        <w:t xml:space="preserve"> </w:t>
      </w:r>
      <w:r w:rsidRPr="00EA59C0">
        <w:rPr>
          <w:rFonts w:ascii="Times New Roman" w:hAnsi="Times New Roman"/>
        </w:rPr>
        <w:t>Employment</w:t>
      </w:r>
      <w:r w:rsidR="00C026A6" w:rsidRPr="00EA59C0">
        <w:rPr>
          <w:rFonts w:ascii="Times New Roman" w:hAnsi="Times New Roman"/>
        </w:rPr>
        <w:t xml:space="preserve"> </w:t>
      </w:r>
      <w:r w:rsidRPr="00EA59C0">
        <w:rPr>
          <w:rFonts w:ascii="Times New Roman" w:hAnsi="Times New Roman"/>
        </w:rPr>
        <w:t>and</w:t>
      </w:r>
      <w:r w:rsidR="00C026A6" w:rsidRPr="00EA59C0">
        <w:rPr>
          <w:rFonts w:ascii="Times New Roman" w:hAnsi="Times New Roman"/>
        </w:rPr>
        <w:t xml:space="preserve"> </w:t>
      </w:r>
      <w:r w:rsidRPr="00EA59C0">
        <w:rPr>
          <w:rFonts w:ascii="Times New Roman" w:hAnsi="Times New Roman"/>
        </w:rPr>
        <w:t>Training</w:t>
      </w:r>
      <w:r w:rsidR="00C026A6" w:rsidRPr="00EA59C0">
        <w:rPr>
          <w:rFonts w:ascii="Times New Roman" w:hAnsi="Times New Roman"/>
        </w:rPr>
        <w:t xml:space="preserve"> </w:t>
      </w:r>
      <w:r w:rsidRPr="00EA59C0">
        <w:rPr>
          <w:rFonts w:ascii="Times New Roman" w:hAnsi="Times New Roman"/>
        </w:rPr>
        <w:t>Administration</w:t>
      </w:r>
    </w:p>
    <w:p w:rsidR="008826BE" w:rsidRPr="00EA59C0" w:rsidRDefault="008826BE" w:rsidP="00FA0E98">
      <w:r w:rsidRPr="00EA59C0">
        <w:br w:type="page"/>
      </w:r>
    </w:p>
    <w:p w:rsidR="008826BE" w:rsidRPr="00EA59C0" w:rsidRDefault="008826BE" w:rsidP="008826BE">
      <w:pPr>
        <w:spacing w:line="480" w:lineRule="auto"/>
        <w:ind w:right="-180"/>
        <w:rPr>
          <w:rFonts w:ascii="Arial" w:hAnsi="Arial" w:cs="Arial"/>
          <w:b/>
          <w:bCs/>
          <w:sz w:val="22"/>
          <w:szCs w:val="22"/>
        </w:rPr>
      </w:pPr>
      <w:r w:rsidRPr="00EA59C0">
        <w:rPr>
          <w:rFonts w:ascii="Arial" w:hAnsi="Arial" w:cs="Arial"/>
          <w:b/>
          <w:sz w:val="22"/>
          <w:szCs w:val="22"/>
        </w:rPr>
        <w:t>Appendix</w:t>
      </w:r>
      <w:r w:rsidR="00C026A6" w:rsidRPr="00EA59C0">
        <w:rPr>
          <w:rFonts w:ascii="Arial" w:hAnsi="Arial" w:cs="Arial"/>
          <w:b/>
          <w:sz w:val="22"/>
          <w:szCs w:val="22"/>
        </w:rPr>
        <w:t xml:space="preserve"> </w:t>
      </w:r>
      <w:r w:rsidRPr="00EA59C0">
        <w:rPr>
          <w:rFonts w:ascii="Arial" w:hAnsi="Arial" w:cs="Arial"/>
          <w:b/>
          <w:sz w:val="22"/>
          <w:szCs w:val="22"/>
        </w:rPr>
        <w:t>A:</w:t>
      </w:r>
      <w:r w:rsidR="00C026A6" w:rsidRPr="00EA59C0">
        <w:rPr>
          <w:rFonts w:ascii="Arial" w:hAnsi="Arial" w:cs="Arial"/>
          <w:b/>
          <w:sz w:val="22"/>
          <w:szCs w:val="22"/>
        </w:rPr>
        <w:t xml:space="preserve">  </w:t>
      </w:r>
      <w:r w:rsidRPr="00EA59C0">
        <w:rPr>
          <w:rFonts w:ascii="Arial" w:hAnsi="Arial" w:cs="Arial"/>
          <w:b/>
          <w:sz w:val="22"/>
          <w:szCs w:val="22"/>
        </w:rPr>
        <w:t>Resources</w:t>
      </w:r>
      <w:r w:rsidR="00C026A6" w:rsidRPr="00EA59C0">
        <w:rPr>
          <w:rFonts w:ascii="Arial" w:hAnsi="Arial" w:cs="Arial"/>
          <w:b/>
          <w:sz w:val="22"/>
          <w:szCs w:val="22"/>
        </w:rPr>
        <w:t xml:space="preserve"> </w:t>
      </w:r>
      <w:r w:rsidRPr="00EA59C0">
        <w:rPr>
          <w:rFonts w:ascii="Arial" w:hAnsi="Arial" w:cs="Arial"/>
          <w:b/>
          <w:sz w:val="22"/>
          <w:szCs w:val="22"/>
        </w:rPr>
        <w:t>on</w:t>
      </w:r>
      <w:r w:rsidR="00C026A6" w:rsidRPr="00EA59C0">
        <w:rPr>
          <w:rFonts w:ascii="Arial" w:hAnsi="Arial" w:cs="Arial"/>
          <w:b/>
          <w:sz w:val="22"/>
          <w:szCs w:val="22"/>
        </w:rPr>
        <w:t xml:space="preserve"> </w:t>
      </w:r>
      <w:r w:rsidRPr="00EA59C0">
        <w:rPr>
          <w:rFonts w:ascii="Arial" w:hAnsi="Arial" w:cs="Arial"/>
          <w:b/>
          <w:sz w:val="22"/>
          <w:szCs w:val="22"/>
        </w:rPr>
        <w:t>Sector</w:t>
      </w:r>
      <w:r w:rsidR="00C026A6" w:rsidRPr="00EA59C0">
        <w:rPr>
          <w:rFonts w:ascii="Arial" w:hAnsi="Arial" w:cs="Arial"/>
          <w:b/>
          <w:sz w:val="22"/>
          <w:szCs w:val="22"/>
        </w:rPr>
        <w:t xml:space="preserve"> </w:t>
      </w:r>
      <w:r w:rsidRPr="00EA59C0">
        <w:rPr>
          <w:rFonts w:ascii="Arial" w:hAnsi="Arial" w:cs="Arial"/>
          <w:b/>
          <w:sz w:val="22"/>
          <w:szCs w:val="22"/>
        </w:rPr>
        <w:t>Strategies</w:t>
      </w:r>
    </w:p>
    <w:p w:rsidR="004073E6" w:rsidRPr="00EA59C0" w:rsidRDefault="004073E6" w:rsidP="00947328">
      <w:pPr>
        <w:pStyle w:val="Default"/>
        <w:rPr>
          <w:rFonts w:ascii="Arial" w:hAnsi="Arial"/>
          <w:b/>
          <w:color w:val="auto"/>
          <w:sz w:val="20"/>
        </w:rPr>
        <w:sectPr w:rsidR="004073E6" w:rsidRPr="00EA59C0" w:rsidSect="00421FB0">
          <w:footerReference w:type="even" r:id="rId294"/>
          <w:footerReference w:type="default" r:id="rId295"/>
          <w:pgSz w:w="12240" w:h="15840"/>
          <w:pgMar w:top="1440" w:right="1440" w:bottom="1440" w:left="1440" w:header="720" w:footer="720" w:gutter="0"/>
          <w:cols w:space="720"/>
          <w:docGrid w:linePitch="360"/>
        </w:sectPr>
      </w:pPr>
    </w:p>
    <w:p w:rsidR="008826BE" w:rsidRPr="00EA59C0" w:rsidRDefault="008826BE" w:rsidP="00947328">
      <w:pPr>
        <w:pStyle w:val="Default"/>
        <w:rPr>
          <w:rFonts w:ascii="Arial" w:hAnsi="Arial"/>
          <w:color w:val="auto"/>
          <w:sz w:val="20"/>
        </w:rPr>
      </w:pPr>
      <w:r w:rsidRPr="00EA59C0">
        <w:rPr>
          <w:rFonts w:ascii="Arial" w:hAnsi="Arial"/>
          <w:b/>
          <w:color w:val="auto"/>
          <w:sz w:val="20"/>
        </w:rPr>
        <w:t>Introduction</w:t>
      </w:r>
      <w:r w:rsidR="00C026A6" w:rsidRPr="00EA59C0">
        <w:rPr>
          <w:rFonts w:ascii="Arial" w:hAnsi="Arial"/>
          <w:b/>
          <w:color w:val="auto"/>
          <w:sz w:val="20"/>
        </w:rPr>
        <w:t xml:space="preserve"> </w:t>
      </w:r>
      <w:r w:rsidRPr="00EA59C0">
        <w:rPr>
          <w:rFonts w:ascii="Arial" w:hAnsi="Arial"/>
          <w:b/>
          <w:color w:val="auto"/>
          <w:sz w:val="20"/>
        </w:rPr>
        <w:t>to</w:t>
      </w:r>
      <w:r w:rsidR="00C026A6" w:rsidRPr="00EA59C0">
        <w:rPr>
          <w:rFonts w:ascii="Arial" w:hAnsi="Arial"/>
          <w:b/>
          <w:color w:val="auto"/>
          <w:sz w:val="20"/>
        </w:rPr>
        <w:t xml:space="preserve"> </w:t>
      </w:r>
      <w:r w:rsidRPr="00EA59C0">
        <w:rPr>
          <w:rFonts w:ascii="Arial" w:hAnsi="Arial"/>
          <w:b/>
          <w:color w:val="auto"/>
          <w:sz w:val="20"/>
        </w:rPr>
        <w:t>the</w:t>
      </w:r>
      <w:r w:rsidR="00C026A6" w:rsidRPr="00EA59C0">
        <w:rPr>
          <w:rFonts w:ascii="Arial" w:hAnsi="Arial"/>
          <w:b/>
          <w:color w:val="auto"/>
          <w:sz w:val="20"/>
        </w:rPr>
        <w:t xml:space="preserve"> </w:t>
      </w:r>
      <w:r w:rsidRPr="00EA59C0">
        <w:rPr>
          <w:rFonts w:ascii="Arial" w:hAnsi="Arial"/>
          <w:b/>
          <w:color w:val="auto"/>
          <w:sz w:val="20"/>
        </w:rPr>
        <w:t>Health</w:t>
      </w:r>
      <w:r w:rsidR="00C026A6" w:rsidRPr="00EA59C0">
        <w:rPr>
          <w:rFonts w:ascii="Arial" w:hAnsi="Arial"/>
          <w:b/>
          <w:color w:val="auto"/>
          <w:sz w:val="20"/>
        </w:rPr>
        <w:t xml:space="preserve"> </w:t>
      </w:r>
      <w:r w:rsidRPr="00EA59C0">
        <w:rPr>
          <w:rFonts w:ascii="Arial" w:hAnsi="Arial"/>
          <w:b/>
          <w:color w:val="auto"/>
          <w:sz w:val="20"/>
        </w:rPr>
        <w:t>Profession</w:t>
      </w:r>
      <w:r w:rsidR="00C026A6" w:rsidRPr="00EA59C0">
        <w:rPr>
          <w:rFonts w:ascii="Arial" w:hAnsi="Arial"/>
          <w:b/>
          <w:color w:val="auto"/>
          <w:sz w:val="20"/>
        </w:rPr>
        <w:t xml:space="preserve"> </w:t>
      </w:r>
      <w:r w:rsidRPr="00EA59C0">
        <w:rPr>
          <w:rFonts w:ascii="Arial" w:hAnsi="Arial"/>
          <w:b/>
          <w:color w:val="auto"/>
          <w:sz w:val="20"/>
        </w:rPr>
        <w:t>Opportunity</w:t>
      </w:r>
      <w:r w:rsidR="00C026A6" w:rsidRPr="00EA59C0">
        <w:rPr>
          <w:rFonts w:ascii="Arial" w:hAnsi="Arial"/>
          <w:b/>
          <w:color w:val="auto"/>
          <w:sz w:val="20"/>
        </w:rPr>
        <w:t xml:space="preserve"> </w:t>
      </w:r>
      <w:r w:rsidRPr="00EA59C0">
        <w:rPr>
          <w:rFonts w:ascii="Arial" w:hAnsi="Arial"/>
          <w:b/>
          <w:color w:val="auto"/>
          <w:sz w:val="20"/>
        </w:rPr>
        <w:t>Grants</w:t>
      </w:r>
      <w:r w:rsidR="00C026A6" w:rsidRPr="00EA59C0">
        <w:rPr>
          <w:rFonts w:ascii="Arial" w:hAnsi="Arial"/>
          <w:b/>
          <w:color w:val="auto"/>
          <w:sz w:val="20"/>
        </w:rPr>
        <w:t xml:space="preserve"> </w:t>
      </w:r>
      <w:r w:rsidRPr="00EA59C0">
        <w:rPr>
          <w:rFonts w:ascii="Arial" w:hAnsi="Arial"/>
          <w:b/>
          <w:color w:val="auto"/>
          <w:sz w:val="20"/>
        </w:rPr>
        <w:t>(HPOG)</w:t>
      </w:r>
      <w:r w:rsidR="00C026A6" w:rsidRPr="00EA59C0">
        <w:rPr>
          <w:rFonts w:ascii="Arial" w:hAnsi="Arial"/>
          <w:b/>
          <w:color w:val="auto"/>
          <w:sz w:val="20"/>
        </w:rPr>
        <w:t xml:space="preserve"> </w:t>
      </w:r>
      <w:r w:rsidRPr="00EA59C0">
        <w:rPr>
          <w:rFonts w:ascii="Arial" w:hAnsi="Arial"/>
          <w:b/>
          <w:color w:val="auto"/>
          <w:sz w:val="20"/>
        </w:rPr>
        <w:t>Program</w:t>
      </w:r>
      <w:r w:rsidR="00C026A6" w:rsidRPr="00EA59C0">
        <w:rPr>
          <w:rFonts w:ascii="Arial" w:hAnsi="Arial"/>
          <w:b/>
          <w:color w:val="auto"/>
          <w:sz w:val="20"/>
        </w:rPr>
        <w:t xml:space="preserve"> </w:t>
      </w:r>
      <w:r w:rsidRPr="00EA59C0">
        <w:rPr>
          <w:rFonts w:ascii="Arial" w:hAnsi="Arial"/>
          <w:b/>
          <w:color w:val="auto"/>
          <w:sz w:val="20"/>
        </w:rPr>
        <w:t>and</w:t>
      </w:r>
      <w:r w:rsidR="00C026A6" w:rsidRPr="00EA59C0">
        <w:rPr>
          <w:rFonts w:ascii="Arial" w:hAnsi="Arial"/>
          <w:b/>
          <w:color w:val="auto"/>
          <w:sz w:val="20"/>
        </w:rPr>
        <w:t xml:space="preserve"> </w:t>
      </w:r>
      <w:r w:rsidRPr="00EA59C0">
        <w:rPr>
          <w:rFonts w:ascii="Arial" w:hAnsi="Arial"/>
          <w:b/>
          <w:color w:val="auto"/>
          <w:sz w:val="20"/>
        </w:rPr>
        <w:t>First</w:t>
      </w:r>
      <w:r w:rsidR="00C026A6" w:rsidRPr="00EA59C0">
        <w:rPr>
          <w:rFonts w:ascii="Arial" w:hAnsi="Arial"/>
          <w:b/>
          <w:color w:val="auto"/>
          <w:sz w:val="20"/>
        </w:rPr>
        <w:t xml:space="preserve"> </w:t>
      </w:r>
      <w:r w:rsidRPr="00EA59C0">
        <w:rPr>
          <w:rFonts w:ascii="Arial" w:hAnsi="Arial"/>
          <w:b/>
          <w:color w:val="auto"/>
          <w:sz w:val="20"/>
        </w:rPr>
        <w:t>Year</w:t>
      </w:r>
      <w:r w:rsidR="00C026A6" w:rsidRPr="00EA59C0">
        <w:rPr>
          <w:rFonts w:ascii="Arial" w:hAnsi="Arial"/>
          <w:b/>
          <w:color w:val="auto"/>
          <w:sz w:val="20"/>
        </w:rPr>
        <w:t xml:space="preserve"> </w:t>
      </w:r>
      <w:r w:rsidRPr="00EA59C0">
        <w:rPr>
          <w:rFonts w:ascii="Arial" w:hAnsi="Arial"/>
          <w:b/>
          <w:color w:val="auto"/>
          <w:sz w:val="20"/>
        </w:rPr>
        <w:t>Implementation</w:t>
      </w:r>
      <w:r w:rsidR="00C026A6" w:rsidRPr="00EA59C0">
        <w:rPr>
          <w:rFonts w:ascii="Arial" w:hAnsi="Arial"/>
          <w:b/>
          <w:color w:val="auto"/>
          <w:sz w:val="20"/>
        </w:rPr>
        <w:t xml:space="preserve"> </w:t>
      </w:r>
      <w:r w:rsidRPr="00EA59C0">
        <w:rPr>
          <w:rFonts w:ascii="Arial" w:hAnsi="Arial"/>
          <w:b/>
          <w:color w:val="auto"/>
          <w:sz w:val="20"/>
        </w:rPr>
        <w:t>and</w:t>
      </w:r>
      <w:r w:rsidR="00C026A6" w:rsidRPr="00EA59C0">
        <w:rPr>
          <w:rFonts w:ascii="Arial" w:hAnsi="Arial"/>
          <w:b/>
          <w:color w:val="auto"/>
          <w:sz w:val="20"/>
        </w:rPr>
        <w:t xml:space="preserve"> </w:t>
      </w:r>
      <w:r w:rsidRPr="00EA59C0">
        <w:rPr>
          <w:rFonts w:ascii="Arial" w:hAnsi="Arial"/>
          <w:b/>
          <w:color w:val="auto"/>
          <w:sz w:val="20"/>
        </w:rPr>
        <w:t>Outcomes</w:t>
      </w:r>
      <w:r w:rsidR="00C026A6" w:rsidRPr="00EA59C0">
        <w:rPr>
          <w:rFonts w:ascii="Arial" w:hAnsi="Arial"/>
          <w:b/>
          <w:color w:val="auto"/>
          <w:sz w:val="20"/>
        </w:rPr>
        <w:t xml:space="preserve"> </w:t>
      </w:r>
      <w:r w:rsidRPr="00EA59C0">
        <w:rPr>
          <w:rFonts w:ascii="Arial" w:hAnsi="Arial"/>
          <w:i/>
          <w:color w:val="auto"/>
          <w:sz w:val="20"/>
        </w:rPr>
        <w:t>Practice</w:t>
      </w:r>
      <w:r w:rsidR="00C026A6" w:rsidRPr="00EA59C0">
        <w:rPr>
          <w:rFonts w:ascii="Arial" w:hAnsi="Arial"/>
          <w:i/>
          <w:color w:val="auto"/>
          <w:sz w:val="20"/>
        </w:rPr>
        <w:t xml:space="preserve"> </w:t>
      </w:r>
      <w:r w:rsidRPr="00EA59C0">
        <w:rPr>
          <w:rFonts w:ascii="Arial" w:hAnsi="Arial"/>
          <w:i/>
          <w:color w:val="auto"/>
          <w:sz w:val="20"/>
        </w:rPr>
        <w:t>Brief</w:t>
      </w:r>
      <w:r w:rsidR="00C026A6" w:rsidRPr="00EA59C0">
        <w:rPr>
          <w:rFonts w:ascii="Arial" w:hAnsi="Arial"/>
          <w:i/>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Theresa</w:t>
      </w:r>
      <w:r w:rsidR="00C026A6" w:rsidRPr="00EA59C0">
        <w:rPr>
          <w:rFonts w:ascii="Arial" w:hAnsi="Arial"/>
          <w:color w:val="auto"/>
          <w:sz w:val="20"/>
        </w:rPr>
        <w:t xml:space="preserve"> </w:t>
      </w:r>
      <w:r w:rsidRPr="00EA59C0">
        <w:rPr>
          <w:rFonts w:ascii="Arial" w:hAnsi="Arial"/>
          <w:color w:val="auto"/>
          <w:sz w:val="20"/>
        </w:rPr>
        <w:t>Anderson,</w:t>
      </w:r>
      <w:r w:rsidR="00C026A6" w:rsidRPr="00EA59C0">
        <w:rPr>
          <w:rFonts w:ascii="Arial" w:hAnsi="Arial"/>
          <w:color w:val="auto"/>
          <w:sz w:val="20"/>
        </w:rPr>
        <w:t xml:space="preserve"> </w:t>
      </w:r>
      <w:r w:rsidRPr="00EA59C0">
        <w:rPr>
          <w:rFonts w:ascii="Arial" w:hAnsi="Arial"/>
          <w:color w:val="auto"/>
          <w:sz w:val="20"/>
        </w:rPr>
        <w:t>Jamie</w:t>
      </w:r>
      <w:r w:rsidR="00C026A6" w:rsidRPr="00EA59C0">
        <w:rPr>
          <w:rFonts w:ascii="Arial" w:hAnsi="Arial"/>
          <w:color w:val="auto"/>
          <w:sz w:val="20"/>
        </w:rPr>
        <w:t xml:space="preserve"> </w:t>
      </w:r>
      <w:r w:rsidRPr="00EA59C0">
        <w:rPr>
          <w:rFonts w:ascii="Arial" w:hAnsi="Arial"/>
          <w:color w:val="auto"/>
          <w:sz w:val="20"/>
        </w:rPr>
        <w:t>Hall,</w:t>
      </w:r>
      <w:r w:rsidR="00C026A6" w:rsidRPr="00EA59C0">
        <w:rPr>
          <w:rFonts w:ascii="Arial" w:hAnsi="Arial"/>
          <w:color w:val="auto"/>
          <w:sz w:val="20"/>
        </w:rPr>
        <w:t xml:space="preserve"> </w:t>
      </w:r>
      <w:r w:rsidRPr="00EA59C0">
        <w:rPr>
          <w:rFonts w:ascii="Arial" w:hAnsi="Arial"/>
          <w:color w:val="auto"/>
          <w:sz w:val="20"/>
        </w:rPr>
        <w:t>and</w:t>
      </w:r>
      <w:r w:rsidR="00C026A6" w:rsidRPr="00EA59C0">
        <w:rPr>
          <w:rFonts w:ascii="Arial" w:hAnsi="Arial"/>
          <w:color w:val="auto"/>
          <w:sz w:val="20"/>
        </w:rPr>
        <w:t xml:space="preserve"> </w:t>
      </w:r>
      <w:r w:rsidRPr="00EA59C0">
        <w:rPr>
          <w:rFonts w:ascii="Arial" w:hAnsi="Arial"/>
          <w:color w:val="auto"/>
          <w:sz w:val="20"/>
        </w:rPr>
        <w:t>Teresa</w:t>
      </w:r>
      <w:r w:rsidR="00C026A6" w:rsidRPr="00EA59C0">
        <w:rPr>
          <w:rFonts w:ascii="Arial" w:hAnsi="Arial"/>
          <w:color w:val="auto"/>
          <w:sz w:val="20"/>
        </w:rPr>
        <w:t xml:space="preserve"> </w:t>
      </w:r>
      <w:r w:rsidRPr="00EA59C0">
        <w:rPr>
          <w:rFonts w:ascii="Arial" w:hAnsi="Arial"/>
          <w:color w:val="auto"/>
          <w:sz w:val="20"/>
        </w:rPr>
        <w:t>Derrick-Mills</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The</w:t>
      </w:r>
      <w:r w:rsidR="00C026A6" w:rsidRPr="00EA59C0">
        <w:rPr>
          <w:rFonts w:ascii="Arial" w:hAnsi="Arial"/>
          <w:color w:val="auto"/>
          <w:sz w:val="20"/>
        </w:rPr>
        <w:t xml:space="preserve"> </w:t>
      </w:r>
      <w:r w:rsidRPr="00EA59C0">
        <w:rPr>
          <w:rFonts w:ascii="Arial" w:hAnsi="Arial"/>
          <w:color w:val="auto"/>
          <w:sz w:val="20"/>
        </w:rPr>
        <w:t>Urban</w:t>
      </w:r>
      <w:r w:rsidR="00C026A6" w:rsidRPr="00EA59C0">
        <w:rPr>
          <w:rFonts w:ascii="Arial" w:hAnsi="Arial"/>
          <w:color w:val="auto"/>
          <w:sz w:val="20"/>
        </w:rPr>
        <w:t xml:space="preserve"> </w:t>
      </w:r>
      <w:r w:rsidRPr="00EA59C0">
        <w:rPr>
          <w:rFonts w:ascii="Arial" w:hAnsi="Arial"/>
          <w:color w:val="auto"/>
          <w:sz w:val="20"/>
        </w:rPr>
        <w:t>Institute</w:t>
      </w:r>
      <w:r w:rsidR="00C026A6" w:rsidRPr="00EA59C0">
        <w:rPr>
          <w:rFonts w:ascii="Arial" w:hAnsi="Arial"/>
          <w:color w:val="auto"/>
          <w:sz w:val="20"/>
        </w:rPr>
        <w:t xml:space="preserve"> </w:t>
      </w:r>
      <w:r w:rsidRPr="00EA59C0">
        <w:rPr>
          <w:rFonts w:ascii="Arial" w:hAnsi="Arial"/>
          <w:color w:val="auto"/>
          <w:sz w:val="20"/>
        </w:rPr>
        <w:t>and</w:t>
      </w:r>
      <w:r w:rsidR="00C026A6" w:rsidRPr="00EA59C0">
        <w:rPr>
          <w:rFonts w:ascii="Arial" w:hAnsi="Arial"/>
          <w:color w:val="auto"/>
          <w:sz w:val="20"/>
        </w:rPr>
        <w:t xml:space="preserve"> </w:t>
      </w:r>
      <w:r w:rsidRPr="00EA59C0">
        <w:rPr>
          <w:rFonts w:ascii="Arial" w:hAnsi="Arial"/>
          <w:color w:val="auto"/>
          <w:sz w:val="20"/>
        </w:rPr>
        <w:t>Abt</w:t>
      </w:r>
      <w:r w:rsidR="00C026A6" w:rsidRPr="00EA59C0">
        <w:rPr>
          <w:rFonts w:ascii="Arial" w:hAnsi="Arial"/>
          <w:color w:val="auto"/>
          <w:sz w:val="20"/>
        </w:rPr>
        <w:t xml:space="preserve"> </w:t>
      </w:r>
      <w:r w:rsidRPr="00EA59C0">
        <w:rPr>
          <w:rFonts w:ascii="Arial" w:hAnsi="Arial"/>
          <w:color w:val="auto"/>
          <w:sz w:val="20"/>
        </w:rPr>
        <w:t>Associates</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2013</w:t>
      </w:r>
      <w:r w:rsidR="00C026A6" w:rsidRPr="00EA59C0">
        <w:rPr>
          <w:rFonts w:ascii="Arial" w:hAnsi="Arial"/>
          <w:color w:val="auto"/>
          <w:sz w:val="20"/>
        </w:rPr>
        <w:t xml:space="preserve"> </w:t>
      </w:r>
    </w:p>
    <w:p w:rsidR="008826BE" w:rsidRPr="00EA59C0" w:rsidRDefault="00DF2916" w:rsidP="00947328">
      <w:pPr>
        <w:pStyle w:val="Default"/>
        <w:rPr>
          <w:rFonts w:ascii="Arial" w:hAnsi="Arial"/>
          <w:color w:val="auto"/>
          <w:sz w:val="20"/>
        </w:rPr>
      </w:pPr>
      <w:hyperlink r:id="rId296" w:history="1">
        <w:r w:rsidR="008826BE" w:rsidRPr="00EA59C0">
          <w:rPr>
            <w:rStyle w:val="Hyperlink"/>
            <w:rFonts w:ascii="Arial" w:hAnsi="Arial" w:cs="Arial"/>
            <w:color w:val="auto"/>
            <w:sz w:val="20"/>
          </w:rPr>
          <w:t>http://www.acf.hhs.gov/sites/default/files/opre/opre_report.pdf</w:t>
        </w:r>
      </w:hyperlink>
      <w:r w:rsidR="00C026A6" w:rsidRPr="00EA59C0">
        <w:rPr>
          <w:rFonts w:ascii="Arial" w:hAnsi="Arial" w:cs="Arial"/>
          <w:color w:val="auto"/>
          <w:sz w:val="20"/>
        </w:rPr>
        <w:t xml:space="preserve"> </w:t>
      </w:r>
    </w:p>
    <w:p w:rsidR="008826BE" w:rsidRPr="00EA59C0" w:rsidRDefault="008826BE" w:rsidP="00947328">
      <w:pPr>
        <w:pStyle w:val="Default"/>
        <w:rPr>
          <w:rFonts w:ascii="Arial" w:hAnsi="Arial"/>
          <w:color w:val="auto"/>
          <w:sz w:val="20"/>
        </w:rPr>
      </w:pPr>
    </w:p>
    <w:p w:rsidR="00E45ADC" w:rsidRPr="00EA59C0" w:rsidRDefault="00612122" w:rsidP="00947328">
      <w:pPr>
        <w:pStyle w:val="Default"/>
        <w:rPr>
          <w:rFonts w:ascii="Arial" w:hAnsi="Arial" w:cs="Arial"/>
          <w:color w:val="auto"/>
          <w:sz w:val="20"/>
          <w:szCs w:val="20"/>
        </w:rPr>
      </w:pPr>
      <w:r w:rsidRPr="00EA59C0">
        <w:rPr>
          <w:rStyle w:val="Emphasis"/>
          <w:rFonts w:ascii="Arial" w:hAnsi="Arial" w:cs="Arial"/>
          <w:b/>
          <w:i w:val="0"/>
          <w:color w:val="auto"/>
          <w:sz w:val="20"/>
          <w:szCs w:val="20"/>
        </w:rPr>
        <w:t>State Sector Strategies Coming of Age: Implications for State Workforce Policymakers</w:t>
      </w:r>
      <w:r w:rsidR="002C56D0" w:rsidRPr="00EA59C0">
        <w:rPr>
          <w:rFonts w:ascii="Arial" w:hAnsi="Arial" w:cs="Arial"/>
          <w:color w:val="auto"/>
          <w:sz w:val="20"/>
          <w:szCs w:val="20"/>
        </w:rPr>
        <w:t xml:space="preserve"> </w:t>
      </w:r>
    </w:p>
    <w:p w:rsidR="00612122" w:rsidRPr="00EA59C0" w:rsidRDefault="002C56D0" w:rsidP="00947328">
      <w:pPr>
        <w:pStyle w:val="Default"/>
        <w:rPr>
          <w:rFonts w:ascii="Arial" w:hAnsi="Arial" w:cs="Arial"/>
          <w:b/>
          <w:color w:val="auto"/>
          <w:sz w:val="20"/>
          <w:szCs w:val="20"/>
        </w:rPr>
      </w:pPr>
      <w:r w:rsidRPr="00EA59C0">
        <w:rPr>
          <w:rFonts w:ascii="Arial" w:hAnsi="Arial" w:cs="Arial"/>
          <w:color w:val="auto"/>
          <w:sz w:val="20"/>
          <w:szCs w:val="20"/>
        </w:rPr>
        <w:t xml:space="preserve">Lindsey Woolsey, </w:t>
      </w:r>
      <w:r w:rsidR="00612122" w:rsidRPr="00EA59C0">
        <w:rPr>
          <w:rFonts w:ascii="Arial" w:hAnsi="Arial" w:cs="Arial"/>
          <w:color w:val="auto"/>
          <w:sz w:val="20"/>
          <w:szCs w:val="20"/>
        </w:rPr>
        <w:t>Garrett Groves</w:t>
      </w:r>
      <w:r w:rsidRPr="00EA59C0">
        <w:rPr>
          <w:rFonts w:ascii="Arial" w:hAnsi="Arial" w:cs="Arial"/>
          <w:color w:val="auto"/>
          <w:sz w:val="20"/>
          <w:szCs w:val="20"/>
        </w:rPr>
        <w:t>, Larry Good, and Eric Seleznow</w:t>
      </w:r>
    </w:p>
    <w:p w:rsidR="00612122" w:rsidRPr="00EA59C0" w:rsidRDefault="002C56D0" w:rsidP="00947328">
      <w:pPr>
        <w:pStyle w:val="Default"/>
        <w:rPr>
          <w:rFonts w:ascii="Arial" w:hAnsi="Arial" w:cs="Arial"/>
          <w:b/>
          <w:color w:val="auto"/>
          <w:sz w:val="20"/>
          <w:szCs w:val="20"/>
        </w:rPr>
      </w:pPr>
      <w:r w:rsidRPr="00EA59C0">
        <w:rPr>
          <w:rFonts w:ascii="Arial" w:hAnsi="Arial" w:cs="Arial"/>
          <w:color w:val="auto"/>
          <w:sz w:val="20"/>
          <w:szCs w:val="20"/>
        </w:rPr>
        <w:t>The Woolsey Group, National Governors Association, Corporation for a Skilled Workforce, National Skills Coalition</w:t>
      </w:r>
    </w:p>
    <w:p w:rsidR="002C56D0" w:rsidRPr="00EA59C0" w:rsidRDefault="002C56D0" w:rsidP="00947328">
      <w:pPr>
        <w:pStyle w:val="Default"/>
        <w:rPr>
          <w:rFonts w:ascii="Arial" w:hAnsi="Arial" w:cs="Arial"/>
          <w:color w:val="auto"/>
          <w:sz w:val="20"/>
          <w:szCs w:val="20"/>
        </w:rPr>
      </w:pPr>
      <w:r w:rsidRPr="00EA59C0">
        <w:rPr>
          <w:rFonts w:ascii="Arial" w:hAnsi="Arial" w:cs="Arial"/>
          <w:color w:val="auto"/>
          <w:sz w:val="20"/>
          <w:szCs w:val="20"/>
        </w:rPr>
        <w:t>2013</w:t>
      </w:r>
    </w:p>
    <w:p w:rsidR="002C56D0" w:rsidRPr="00EA59C0" w:rsidRDefault="00DF2916" w:rsidP="00947328">
      <w:pPr>
        <w:pStyle w:val="Default"/>
        <w:rPr>
          <w:rFonts w:ascii="Arial" w:hAnsi="Arial" w:cs="Arial"/>
          <w:b/>
          <w:color w:val="auto"/>
          <w:sz w:val="20"/>
          <w:szCs w:val="20"/>
        </w:rPr>
      </w:pPr>
      <w:hyperlink r:id="rId297" w:history="1">
        <w:r w:rsidR="002C56D0" w:rsidRPr="00EA59C0">
          <w:rPr>
            <w:rStyle w:val="Hyperlink"/>
            <w:rFonts w:ascii="Arial" w:hAnsi="Arial" w:cs="Arial"/>
            <w:color w:val="auto"/>
            <w:sz w:val="20"/>
            <w:szCs w:val="20"/>
          </w:rPr>
          <w:t>http://www.nga.org/files/live/sites/NGA/files/pdf/2013/1301NGASSSReport.pdf</w:t>
        </w:r>
      </w:hyperlink>
    </w:p>
    <w:p w:rsidR="002C56D0" w:rsidRPr="00EA59C0" w:rsidRDefault="002C56D0" w:rsidP="00947328">
      <w:pPr>
        <w:pStyle w:val="Default"/>
        <w:rPr>
          <w:rFonts w:ascii="Arial" w:hAnsi="Arial"/>
          <w:b/>
          <w:color w:val="auto"/>
          <w:sz w:val="20"/>
        </w:rPr>
      </w:pPr>
    </w:p>
    <w:p w:rsidR="008826BE" w:rsidRPr="00EA59C0" w:rsidRDefault="008826BE" w:rsidP="00947328">
      <w:pPr>
        <w:pStyle w:val="Default"/>
        <w:rPr>
          <w:rFonts w:ascii="Arial" w:hAnsi="Arial"/>
          <w:color w:val="auto"/>
          <w:sz w:val="20"/>
        </w:rPr>
      </w:pPr>
      <w:r w:rsidRPr="00EA59C0">
        <w:rPr>
          <w:rFonts w:ascii="Arial" w:hAnsi="Arial"/>
          <w:b/>
          <w:color w:val="auto"/>
          <w:sz w:val="20"/>
        </w:rPr>
        <w:t>Sectoral</w:t>
      </w:r>
      <w:r w:rsidR="00C026A6" w:rsidRPr="00EA59C0">
        <w:rPr>
          <w:rFonts w:ascii="Arial" w:hAnsi="Arial"/>
          <w:b/>
          <w:color w:val="auto"/>
          <w:sz w:val="20"/>
        </w:rPr>
        <w:t xml:space="preserve"> </w:t>
      </w:r>
      <w:r w:rsidRPr="00EA59C0">
        <w:rPr>
          <w:rFonts w:ascii="Arial" w:hAnsi="Arial"/>
          <w:b/>
          <w:color w:val="auto"/>
          <w:sz w:val="20"/>
        </w:rPr>
        <w:t>Strategies</w:t>
      </w:r>
      <w:r w:rsidR="00C026A6" w:rsidRPr="00EA59C0">
        <w:rPr>
          <w:rFonts w:ascii="Arial" w:hAnsi="Arial"/>
          <w:b/>
          <w:color w:val="auto"/>
          <w:sz w:val="20"/>
        </w:rPr>
        <w:t xml:space="preserve"> </w:t>
      </w:r>
      <w:r w:rsidRPr="00EA59C0">
        <w:rPr>
          <w:rFonts w:ascii="Arial" w:hAnsi="Arial"/>
          <w:b/>
          <w:color w:val="auto"/>
          <w:sz w:val="20"/>
        </w:rPr>
        <w:t>for</w:t>
      </w:r>
      <w:r w:rsidR="00C026A6" w:rsidRPr="00EA59C0">
        <w:rPr>
          <w:rFonts w:ascii="Arial" w:hAnsi="Arial"/>
          <w:b/>
          <w:color w:val="auto"/>
          <w:sz w:val="20"/>
        </w:rPr>
        <w:t xml:space="preserve"> </w:t>
      </w:r>
      <w:r w:rsidRPr="00EA59C0">
        <w:rPr>
          <w:rFonts w:ascii="Arial" w:hAnsi="Arial"/>
          <w:b/>
          <w:color w:val="auto"/>
          <w:sz w:val="20"/>
        </w:rPr>
        <w:t>Low-Income</w:t>
      </w:r>
      <w:r w:rsidR="00C026A6" w:rsidRPr="00EA59C0">
        <w:rPr>
          <w:rFonts w:ascii="Arial" w:hAnsi="Arial"/>
          <w:b/>
          <w:color w:val="auto"/>
          <w:sz w:val="20"/>
        </w:rPr>
        <w:t xml:space="preserve"> </w:t>
      </w:r>
      <w:r w:rsidRPr="00EA59C0">
        <w:rPr>
          <w:rFonts w:ascii="Arial" w:hAnsi="Arial"/>
          <w:b/>
          <w:color w:val="auto"/>
          <w:sz w:val="20"/>
        </w:rPr>
        <w:t>Workers:</w:t>
      </w:r>
      <w:r w:rsidR="00C026A6" w:rsidRPr="00EA59C0">
        <w:rPr>
          <w:rFonts w:ascii="Arial" w:hAnsi="Arial"/>
          <w:b/>
          <w:color w:val="auto"/>
          <w:sz w:val="20"/>
        </w:rPr>
        <w:t xml:space="preserve"> </w:t>
      </w:r>
      <w:r w:rsidRPr="00EA59C0">
        <w:rPr>
          <w:rFonts w:ascii="Arial" w:hAnsi="Arial"/>
          <w:b/>
          <w:color w:val="auto"/>
          <w:sz w:val="20"/>
        </w:rPr>
        <w:t>Lessons</w:t>
      </w:r>
      <w:r w:rsidR="00C026A6" w:rsidRPr="00EA59C0">
        <w:rPr>
          <w:rFonts w:ascii="Arial" w:hAnsi="Arial"/>
          <w:b/>
          <w:color w:val="auto"/>
          <w:sz w:val="20"/>
        </w:rPr>
        <w:t xml:space="preserve"> </w:t>
      </w:r>
      <w:r w:rsidRPr="00EA59C0">
        <w:rPr>
          <w:rFonts w:ascii="Arial" w:hAnsi="Arial"/>
          <w:b/>
          <w:color w:val="auto"/>
          <w:sz w:val="20"/>
        </w:rPr>
        <w:t>from</w:t>
      </w:r>
      <w:r w:rsidR="00C026A6" w:rsidRPr="00EA59C0">
        <w:rPr>
          <w:rFonts w:ascii="Arial" w:hAnsi="Arial"/>
          <w:b/>
          <w:color w:val="auto"/>
          <w:sz w:val="20"/>
        </w:rPr>
        <w:t xml:space="preserve"> </w:t>
      </w:r>
      <w:r w:rsidRPr="00EA59C0">
        <w:rPr>
          <w:rFonts w:ascii="Arial" w:hAnsi="Arial"/>
          <w:b/>
          <w:color w:val="auto"/>
          <w:sz w:val="20"/>
        </w:rPr>
        <w:t>the</w:t>
      </w:r>
      <w:r w:rsidR="00C026A6" w:rsidRPr="00EA59C0">
        <w:rPr>
          <w:rFonts w:ascii="Arial" w:hAnsi="Arial"/>
          <w:b/>
          <w:color w:val="auto"/>
          <w:sz w:val="20"/>
        </w:rPr>
        <w:t xml:space="preserve"> </w:t>
      </w:r>
      <w:r w:rsidRPr="00EA59C0">
        <w:rPr>
          <w:rFonts w:ascii="Arial" w:hAnsi="Arial"/>
          <w:b/>
          <w:color w:val="auto"/>
          <w:sz w:val="20"/>
        </w:rPr>
        <w:t>Field</w:t>
      </w:r>
      <w:r w:rsidR="00C026A6" w:rsidRPr="00EA59C0">
        <w:rPr>
          <w:rFonts w:ascii="Arial" w:hAnsi="Arial"/>
          <w:b/>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Maureen</w:t>
      </w:r>
      <w:r w:rsidR="00C026A6" w:rsidRPr="00EA59C0">
        <w:rPr>
          <w:rFonts w:ascii="Arial" w:hAnsi="Arial"/>
          <w:color w:val="auto"/>
          <w:sz w:val="20"/>
        </w:rPr>
        <w:t xml:space="preserve"> </w:t>
      </w:r>
      <w:r w:rsidRPr="00EA59C0">
        <w:rPr>
          <w:rFonts w:ascii="Arial" w:hAnsi="Arial"/>
          <w:color w:val="auto"/>
          <w:sz w:val="20"/>
        </w:rPr>
        <w:t>Conway,</w:t>
      </w:r>
      <w:r w:rsidR="00C026A6" w:rsidRPr="00EA59C0">
        <w:rPr>
          <w:rFonts w:ascii="Arial" w:hAnsi="Arial"/>
          <w:color w:val="auto"/>
          <w:sz w:val="20"/>
        </w:rPr>
        <w:t xml:space="preserve"> </w:t>
      </w:r>
      <w:r w:rsidRPr="00EA59C0">
        <w:rPr>
          <w:rFonts w:ascii="Arial" w:hAnsi="Arial"/>
          <w:color w:val="auto"/>
          <w:sz w:val="20"/>
        </w:rPr>
        <w:t>Amy</w:t>
      </w:r>
      <w:r w:rsidR="00C026A6" w:rsidRPr="00EA59C0">
        <w:rPr>
          <w:rFonts w:ascii="Arial" w:hAnsi="Arial"/>
          <w:color w:val="auto"/>
          <w:sz w:val="20"/>
        </w:rPr>
        <w:t xml:space="preserve"> </w:t>
      </w:r>
      <w:r w:rsidRPr="00EA59C0">
        <w:rPr>
          <w:rFonts w:ascii="Arial" w:hAnsi="Arial"/>
          <w:color w:val="auto"/>
          <w:sz w:val="20"/>
        </w:rPr>
        <w:t>Blair,</w:t>
      </w:r>
      <w:r w:rsidR="00C026A6" w:rsidRPr="00EA59C0">
        <w:rPr>
          <w:rFonts w:ascii="Arial" w:hAnsi="Arial"/>
          <w:color w:val="auto"/>
          <w:sz w:val="20"/>
        </w:rPr>
        <w:t xml:space="preserve"> </w:t>
      </w:r>
      <w:r w:rsidRPr="00EA59C0">
        <w:rPr>
          <w:rFonts w:ascii="Arial" w:hAnsi="Arial"/>
          <w:color w:val="auto"/>
          <w:sz w:val="20"/>
        </w:rPr>
        <w:t>Steve</w:t>
      </w:r>
      <w:r w:rsidR="00C026A6" w:rsidRPr="00EA59C0">
        <w:rPr>
          <w:rFonts w:ascii="Arial" w:hAnsi="Arial"/>
          <w:color w:val="auto"/>
          <w:sz w:val="20"/>
        </w:rPr>
        <w:t xml:space="preserve"> </w:t>
      </w:r>
      <w:r w:rsidRPr="00EA59C0">
        <w:rPr>
          <w:rFonts w:ascii="Arial" w:hAnsi="Arial"/>
          <w:color w:val="auto"/>
          <w:sz w:val="20"/>
        </w:rPr>
        <w:t>L.</w:t>
      </w:r>
      <w:r w:rsidR="00C026A6" w:rsidRPr="00EA59C0">
        <w:rPr>
          <w:rFonts w:ascii="Arial" w:hAnsi="Arial"/>
          <w:color w:val="auto"/>
          <w:sz w:val="20"/>
        </w:rPr>
        <w:t xml:space="preserve"> </w:t>
      </w:r>
      <w:r w:rsidRPr="00EA59C0">
        <w:rPr>
          <w:rFonts w:ascii="Arial" w:hAnsi="Arial"/>
          <w:color w:val="auto"/>
          <w:sz w:val="20"/>
        </w:rPr>
        <w:t>Dawson</w:t>
      </w:r>
      <w:r w:rsidR="00C026A6" w:rsidRPr="00EA59C0">
        <w:rPr>
          <w:rFonts w:ascii="Arial" w:hAnsi="Arial"/>
          <w:color w:val="auto"/>
          <w:sz w:val="20"/>
        </w:rPr>
        <w:t xml:space="preserve"> </w:t>
      </w:r>
      <w:r w:rsidRPr="00EA59C0">
        <w:rPr>
          <w:rFonts w:ascii="Arial" w:hAnsi="Arial"/>
          <w:color w:val="auto"/>
          <w:sz w:val="20"/>
        </w:rPr>
        <w:t>and</w:t>
      </w:r>
      <w:r w:rsidR="00C026A6" w:rsidRPr="00EA59C0">
        <w:rPr>
          <w:rFonts w:ascii="Arial" w:hAnsi="Arial"/>
          <w:color w:val="auto"/>
          <w:sz w:val="20"/>
        </w:rPr>
        <w:t xml:space="preserve"> </w:t>
      </w:r>
      <w:r w:rsidRPr="00EA59C0">
        <w:rPr>
          <w:rFonts w:ascii="Arial" w:hAnsi="Arial"/>
          <w:color w:val="auto"/>
          <w:sz w:val="20"/>
        </w:rPr>
        <w:t>Linda</w:t>
      </w:r>
      <w:r w:rsidR="00C026A6" w:rsidRPr="00EA59C0">
        <w:rPr>
          <w:rFonts w:ascii="Arial" w:hAnsi="Arial"/>
          <w:color w:val="auto"/>
          <w:sz w:val="20"/>
        </w:rPr>
        <w:t xml:space="preserve"> </w:t>
      </w:r>
      <w:r w:rsidRPr="00EA59C0">
        <w:rPr>
          <w:rFonts w:ascii="Arial" w:hAnsi="Arial"/>
          <w:color w:val="auto"/>
          <w:sz w:val="20"/>
        </w:rPr>
        <w:t>Dworak-Muñoz</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Workforce</w:t>
      </w:r>
      <w:r w:rsidR="00C026A6" w:rsidRPr="00EA59C0">
        <w:rPr>
          <w:rFonts w:ascii="Arial" w:hAnsi="Arial"/>
          <w:color w:val="auto"/>
          <w:sz w:val="20"/>
        </w:rPr>
        <w:t xml:space="preserve"> </w:t>
      </w:r>
      <w:r w:rsidRPr="00EA59C0">
        <w:rPr>
          <w:rFonts w:ascii="Arial" w:hAnsi="Arial"/>
          <w:color w:val="auto"/>
          <w:sz w:val="20"/>
        </w:rPr>
        <w:t>Strategies</w:t>
      </w:r>
      <w:r w:rsidR="00C026A6" w:rsidRPr="00EA59C0">
        <w:rPr>
          <w:rFonts w:ascii="Arial" w:hAnsi="Arial"/>
          <w:color w:val="auto"/>
          <w:sz w:val="20"/>
        </w:rPr>
        <w:t xml:space="preserve"> </w:t>
      </w:r>
      <w:r w:rsidRPr="00EA59C0">
        <w:rPr>
          <w:rFonts w:ascii="Arial" w:hAnsi="Arial"/>
          <w:color w:val="auto"/>
          <w:sz w:val="20"/>
        </w:rPr>
        <w:t>Initiative:</w:t>
      </w:r>
      <w:r w:rsidR="00C026A6" w:rsidRPr="00EA59C0">
        <w:rPr>
          <w:rFonts w:ascii="Arial" w:hAnsi="Arial"/>
          <w:color w:val="auto"/>
          <w:sz w:val="20"/>
        </w:rPr>
        <w:t xml:space="preserve"> </w:t>
      </w:r>
      <w:r w:rsidRPr="00EA59C0">
        <w:rPr>
          <w:rFonts w:ascii="Arial" w:hAnsi="Arial"/>
          <w:color w:val="auto"/>
          <w:sz w:val="20"/>
        </w:rPr>
        <w:t>The</w:t>
      </w:r>
      <w:r w:rsidR="00C026A6" w:rsidRPr="00EA59C0">
        <w:rPr>
          <w:rFonts w:ascii="Arial" w:hAnsi="Arial"/>
          <w:color w:val="auto"/>
          <w:sz w:val="20"/>
        </w:rPr>
        <w:t xml:space="preserve"> </w:t>
      </w:r>
      <w:r w:rsidRPr="00EA59C0">
        <w:rPr>
          <w:rFonts w:ascii="Arial" w:hAnsi="Arial"/>
          <w:color w:val="auto"/>
          <w:sz w:val="20"/>
        </w:rPr>
        <w:t>Aspen</w:t>
      </w:r>
      <w:r w:rsidR="00C026A6" w:rsidRPr="00EA59C0">
        <w:rPr>
          <w:rFonts w:ascii="Arial" w:hAnsi="Arial"/>
          <w:color w:val="auto"/>
          <w:sz w:val="20"/>
        </w:rPr>
        <w:t xml:space="preserve"> </w:t>
      </w:r>
      <w:r w:rsidRPr="00EA59C0">
        <w:rPr>
          <w:rFonts w:ascii="Arial" w:hAnsi="Arial"/>
          <w:color w:val="auto"/>
          <w:sz w:val="20"/>
        </w:rPr>
        <w:t>Institute</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2007</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p>
    <w:p w:rsidR="008826BE" w:rsidRPr="00EA59C0" w:rsidRDefault="008826BE" w:rsidP="00947328">
      <w:pPr>
        <w:pStyle w:val="Default"/>
        <w:rPr>
          <w:rFonts w:ascii="Arial" w:hAnsi="Arial"/>
          <w:color w:val="auto"/>
          <w:sz w:val="20"/>
        </w:rPr>
      </w:pPr>
      <w:r w:rsidRPr="00EA59C0">
        <w:rPr>
          <w:rFonts w:ascii="Arial" w:hAnsi="Arial"/>
          <w:b/>
          <w:color w:val="auto"/>
          <w:sz w:val="20"/>
        </w:rPr>
        <w:t>Training</w:t>
      </w:r>
      <w:r w:rsidR="00C026A6" w:rsidRPr="00EA59C0">
        <w:rPr>
          <w:rFonts w:ascii="Arial" w:hAnsi="Arial"/>
          <w:b/>
          <w:color w:val="auto"/>
          <w:sz w:val="20"/>
        </w:rPr>
        <w:t xml:space="preserve"> </w:t>
      </w:r>
      <w:r w:rsidRPr="00EA59C0">
        <w:rPr>
          <w:rFonts w:ascii="Arial" w:hAnsi="Arial"/>
          <w:b/>
          <w:color w:val="auto"/>
          <w:sz w:val="20"/>
        </w:rPr>
        <w:t>Policy</w:t>
      </w:r>
      <w:r w:rsidR="00C026A6" w:rsidRPr="00EA59C0">
        <w:rPr>
          <w:rFonts w:ascii="Arial" w:hAnsi="Arial"/>
          <w:b/>
          <w:color w:val="auto"/>
          <w:sz w:val="20"/>
        </w:rPr>
        <w:t xml:space="preserve"> </w:t>
      </w:r>
      <w:r w:rsidRPr="00EA59C0">
        <w:rPr>
          <w:rFonts w:ascii="Arial" w:hAnsi="Arial"/>
          <w:b/>
          <w:color w:val="auto"/>
          <w:sz w:val="20"/>
        </w:rPr>
        <w:t>in</w:t>
      </w:r>
      <w:r w:rsidR="00C026A6" w:rsidRPr="00EA59C0">
        <w:rPr>
          <w:rFonts w:ascii="Arial" w:hAnsi="Arial"/>
          <w:b/>
          <w:color w:val="auto"/>
          <w:sz w:val="20"/>
        </w:rPr>
        <w:t xml:space="preserve"> </w:t>
      </w:r>
      <w:r w:rsidRPr="00EA59C0">
        <w:rPr>
          <w:rFonts w:ascii="Arial" w:hAnsi="Arial"/>
          <w:b/>
          <w:color w:val="auto"/>
          <w:sz w:val="20"/>
        </w:rPr>
        <w:t>Brief:</w:t>
      </w:r>
      <w:r w:rsidR="00C026A6" w:rsidRPr="00EA59C0">
        <w:rPr>
          <w:rFonts w:ascii="Arial" w:hAnsi="Arial"/>
          <w:b/>
          <w:color w:val="auto"/>
          <w:sz w:val="20"/>
        </w:rPr>
        <w:t xml:space="preserve"> </w:t>
      </w:r>
      <w:r w:rsidRPr="00EA59C0">
        <w:rPr>
          <w:rFonts w:ascii="Arial" w:hAnsi="Arial"/>
          <w:b/>
          <w:color w:val="auto"/>
          <w:sz w:val="20"/>
        </w:rPr>
        <w:t>An</w:t>
      </w:r>
      <w:r w:rsidR="00C026A6" w:rsidRPr="00EA59C0">
        <w:rPr>
          <w:rFonts w:ascii="Arial" w:hAnsi="Arial"/>
          <w:b/>
          <w:color w:val="auto"/>
          <w:sz w:val="20"/>
        </w:rPr>
        <w:t xml:space="preserve"> </w:t>
      </w:r>
      <w:r w:rsidRPr="00EA59C0">
        <w:rPr>
          <w:rFonts w:ascii="Arial" w:hAnsi="Arial"/>
          <w:b/>
          <w:color w:val="auto"/>
          <w:sz w:val="20"/>
        </w:rPr>
        <w:t>Overview</w:t>
      </w:r>
      <w:r w:rsidR="00C026A6" w:rsidRPr="00EA59C0">
        <w:rPr>
          <w:rFonts w:ascii="Arial" w:hAnsi="Arial"/>
          <w:b/>
          <w:color w:val="auto"/>
          <w:sz w:val="20"/>
        </w:rPr>
        <w:t xml:space="preserve"> </w:t>
      </w:r>
      <w:r w:rsidRPr="00EA59C0">
        <w:rPr>
          <w:rFonts w:ascii="Arial" w:hAnsi="Arial"/>
          <w:b/>
          <w:color w:val="auto"/>
          <w:sz w:val="20"/>
        </w:rPr>
        <w:t>of</w:t>
      </w:r>
      <w:r w:rsidR="00C026A6" w:rsidRPr="00EA59C0">
        <w:rPr>
          <w:rFonts w:ascii="Arial" w:hAnsi="Arial"/>
          <w:b/>
          <w:color w:val="auto"/>
          <w:sz w:val="20"/>
        </w:rPr>
        <w:t xml:space="preserve"> </w:t>
      </w:r>
      <w:r w:rsidRPr="00EA59C0">
        <w:rPr>
          <w:rFonts w:ascii="Arial" w:hAnsi="Arial"/>
          <w:b/>
          <w:color w:val="auto"/>
          <w:sz w:val="20"/>
        </w:rPr>
        <w:t>Federal</w:t>
      </w:r>
      <w:r w:rsidR="00C026A6" w:rsidRPr="00EA59C0">
        <w:rPr>
          <w:rFonts w:ascii="Arial" w:hAnsi="Arial"/>
          <w:b/>
          <w:color w:val="auto"/>
          <w:sz w:val="20"/>
        </w:rPr>
        <w:t xml:space="preserve"> </w:t>
      </w:r>
      <w:r w:rsidRPr="00EA59C0">
        <w:rPr>
          <w:rFonts w:ascii="Arial" w:hAnsi="Arial"/>
          <w:b/>
          <w:color w:val="auto"/>
          <w:sz w:val="20"/>
        </w:rPr>
        <w:t>Workplace</w:t>
      </w:r>
      <w:r w:rsidR="00C026A6" w:rsidRPr="00EA59C0">
        <w:rPr>
          <w:rFonts w:ascii="Arial" w:hAnsi="Arial"/>
          <w:b/>
          <w:color w:val="auto"/>
          <w:sz w:val="20"/>
        </w:rPr>
        <w:t xml:space="preserve"> </w:t>
      </w:r>
      <w:r w:rsidRPr="00EA59C0">
        <w:rPr>
          <w:rFonts w:ascii="Arial" w:hAnsi="Arial"/>
          <w:b/>
          <w:color w:val="auto"/>
          <w:sz w:val="20"/>
        </w:rPr>
        <w:t>Development</w:t>
      </w:r>
      <w:r w:rsidR="00C026A6" w:rsidRPr="00EA59C0">
        <w:rPr>
          <w:rFonts w:ascii="Arial" w:hAnsi="Arial"/>
          <w:b/>
          <w:color w:val="auto"/>
          <w:sz w:val="20"/>
        </w:rPr>
        <w:t xml:space="preserve"> </w:t>
      </w:r>
      <w:r w:rsidRPr="00EA59C0">
        <w:rPr>
          <w:rFonts w:ascii="Arial" w:hAnsi="Arial"/>
          <w:b/>
          <w:color w:val="auto"/>
          <w:sz w:val="20"/>
        </w:rPr>
        <w:t>Policies</w:t>
      </w:r>
      <w:r w:rsidR="00C026A6" w:rsidRPr="00EA59C0">
        <w:rPr>
          <w:rFonts w:ascii="Arial" w:hAnsi="Arial"/>
          <w:b/>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Kermit</w:t>
      </w:r>
      <w:r w:rsidR="00C026A6" w:rsidRPr="00EA59C0">
        <w:rPr>
          <w:rFonts w:ascii="Arial" w:hAnsi="Arial"/>
          <w:color w:val="auto"/>
          <w:sz w:val="20"/>
        </w:rPr>
        <w:t xml:space="preserve"> </w:t>
      </w:r>
      <w:r w:rsidRPr="00EA59C0">
        <w:rPr>
          <w:rFonts w:ascii="Arial" w:hAnsi="Arial"/>
          <w:color w:val="auto"/>
          <w:sz w:val="20"/>
        </w:rPr>
        <w:t>Kaleba</w:t>
      </w:r>
      <w:r w:rsidR="00C026A6" w:rsidRPr="00EA59C0">
        <w:rPr>
          <w:rFonts w:ascii="Arial" w:hAnsi="Arial"/>
          <w:color w:val="auto"/>
          <w:sz w:val="20"/>
        </w:rPr>
        <w:t xml:space="preserve"> </w:t>
      </w:r>
      <w:r w:rsidRPr="00EA59C0">
        <w:rPr>
          <w:rFonts w:ascii="Arial" w:hAnsi="Arial"/>
          <w:color w:val="auto"/>
          <w:sz w:val="20"/>
        </w:rPr>
        <w:t>and</w:t>
      </w:r>
      <w:r w:rsidR="00C026A6" w:rsidRPr="00EA59C0">
        <w:rPr>
          <w:rFonts w:ascii="Arial" w:hAnsi="Arial"/>
          <w:color w:val="auto"/>
          <w:sz w:val="20"/>
        </w:rPr>
        <w:t xml:space="preserve"> </w:t>
      </w:r>
      <w:r w:rsidRPr="00EA59C0">
        <w:rPr>
          <w:rFonts w:ascii="Arial" w:hAnsi="Arial"/>
          <w:color w:val="auto"/>
          <w:sz w:val="20"/>
        </w:rPr>
        <w:t>Rachel</w:t>
      </w:r>
      <w:r w:rsidR="00C026A6" w:rsidRPr="00EA59C0">
        <w:rPr>
          <w:rFonts w:ascii="Arial" w:hAnsi="Arial"/>
          <w:color w:val="auto"/>
          <w:sz w:val="20"/>
        </w:rPr>
        <w:t xml:space="preserve"> </w:t>
      </w:r>
      <w:r w:rsidRPr="00EA59C0">
        <w:rPr>
          <w:rFonts w:ascii="Arial" w:hAnsi="Arial"/>
          <w:color w:val="auto"/>
          <w:sz w:val="20"/>
        </w:rPr>
        <w:t>Gragg</w:t>
      </w:r>
      <w:r w:rsidR="00C026A6" w:rsidRPr="00EA59C0">
        <w:rPr>
          <w:rFonts w:ascii="Arial" w:hAnsi="Arial"/>
          <w:color w:val="auto"/>
          <w:sz w:val="20"/>
        </w:rPr>
        <w:t xml:space="preserve"> </w:t>
      </w:r>
    </w:p>
    <w:p w:rsidR="002C56D0" w:rsidRPr="00EA59C0" w:rsidRDefault="008826BE" w:rsidP="00947328">
      <w:pPr>
        <w:pStyle w:val="Default"/>
        <w:rPr>
          <w:rFonts w:ascii="Arial" w:hAnsi="Arial"/>
          <w:color w:val="auto"/>
          <w:sz w:val="20"/>
        </w:rPr>
      </w:pPr>
      <w:r w:rsidRPr="00EA59C0">
        <w:rPr>
          <w:rFonts w:ascii="Arial" w:hAnsi="Arial"/>
          <w:color w:val="auto"/>
          <w:sz w:val="20"/>
        </w:rPr>
        <w:t>National</w:t>
      </w:r>
      <w:r w:rsidR="00C026A6" w:rsidRPr="00EA59C0">
        <w:rPr>
          <w:rFonts w:ascii="Arial" w:hAnsi="Arial"/>
          <w:color w:val="auto"/>
          <w:sz w:val="20"/>
        </w:rPr>
        <w:t xml:space="preserve"> </w:t>
      </w:r>
      <w:r w:rsidRPr="00EA59C0">
        <w:rPr>
          <w:rFonts w:ascii="Arial" w:hAnsi="Arial"/>
          <w:color w:val="auto"/>
          <w:sz w:val="20"/>
        </w:rPr>
        <w:t>Skills</w:t>
      </w:r>
      <w:r w:rsidR="00C026A6" w:rsidRPr="00EA59C0">
        <w:rPr>
          <w:rFonts w:ascii="Arial" w:hAnsi="Arial"/>
          <w:color w:val="auto"/>
          <w:sz w:val="20"/>
        </w:rPr>
        <w:t xml:space="preserve"> </w:t>
      </w:r>
      <w:r w:rsidRPr="00EA59C0">
        <w:rPr>
          <w:rFonts w:ascii="Arial" w:hAnsi="Arial"/>
          <w:color w:val="auto"/>
          <w:sz w:val="20"/>
        </w:rPr>
        <w:t>Coalition</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2011</w:t>
      </w:r>
      <w:r w:rsidR="00C026A6" w:rsidRPr="00EA59C0">
        <w:rPr>
          <w:rFonts w:ascii="Arial" w:hAnsi="Arial"/>
          <w:color w:val="auto"/>
          <w:sz w:val="20"/>
        </w:rPr>
        <w:t xml:space="preserve"> </w:t>
      </w:r>
    </w:p>
    <w:p w:rsidR="008826BE" w:rsidRPr="00EA59C0" w:rsidRDefault="00DF2916" w:rsidP="00947328">
      <w:pPr>
        <w:pStyle w:val="Default"/>
        <w:rPr>
          <w:rFonts w:ascii="Arial" w:hAnsi="Arial"/>
          <w:color w:val="auto"/>
          <w:sz w:val="20"/>
        </w:rPr>
      </w:pPr>
      <w:hyperlink r:id="rId298" w:history="1">
        <w:r w:rsidR="008826BE" w:rsidRPr="00EA59C0">
          <w:rPr>
            <w:rStyle w:val="Hyperlink"/>
            <w:rFonts w:ascii="Arial" w:hAnsi="Arial"/>
            <w:color w:val="auto"/>
            <w:sz w:val="20"/>
          </w:rPr>
          <w:t>http://www.nationalskillscoalition.org/assets/reports-/tpib_2011.pdf</w:t>
        </w:r>
      </w:hyperlink>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p>
    <w:p w:rsidR="008826BE" w:rsidRPr="00EA59C0" w:rsidRDefault="008826BE" w:rsidP="00947328">
      <w:pPr>
        <w:pStyle w:val="Default"/>
        <w:rPr>
          <w:rFonts w:ascii="Arial" w:hAnsi="Arial"/>
          <w:color w:val="auto"/>
          <w:sz w:val="20"/>
        </w:rPr>
      </w:pPr>
      <w:r w:rsidRPr="00EA59C0">
        <w:rPr>
          <w:rFonts w:ascii="Arial" w:hAnsi="Arial"/>
          <w:b/>
          <w:color w:val="auto"/>
          <w:sz w:val="20"/>
        </w:rPr>
        <w:t>Training</w:t>
      </w:r>
      <w:r w:rsidR="00C026A6" w:rsidRPr="00EA59C0">
        <w:rPr>
          <w:rFonts w:ascii="Arial" w:hAnsi="Arial"/>
          <w:b/>
          <w:color w:val="auto"/>
          <w:sz w:val="20"/>
        </w:rPr>
        <w:t xml:space="preserve"> </w:t>
      </w:r>
      <w:r w:rsidRPr="00EA59C0">
        <w:rPr>
          <w:rFonts w:ascii="Arial" w:hAnsi="Arial"/>
          <w:b/>
          <w:color w:val="auto"/>
          <w:sz w:val="20"/>
        </w:rPr>
        <w:t>Tomorrow’s</w:t>
      </w:r>
      <w:r w:rsidR="00C026A6" w:rsidRPr="00EA59C0">
        <w:rPr>
          <w:rFonts w:ascii="Arial" w:hAnsi="Arial"/>
          <w:b/>
          <w:color w:val="auto"/>
          <w:sz w:val="20"/>
        </w:rPr>
        <w:t xml:space="preserve"> </w:t>
      </w:r>
      <w:r w:rsidRPr="00EA59C0">
        <w:rPr>
          <w:rFonts w:ascii="Arial" w:hAnsi="Arial"/>
          <w:b/>
          <w:color w:val="auto"/>
          <w:sz w:val="20"/>
        </w:rPr>
        <w:t>Workforce:</w:t>
      </w:r>
      <w:r w:rsidR="00C026A6" w:rsidRPr="00EA59C0">
        <w:rPr>
          <w:rFonts w:ascii="Arial" w:hAnsi="Arial"/>
          <w:b/>
          <w:color w:val="auto"/>
          <w:sz w:val="20"/>
        </w:rPr>
        <w:t xml:space="preserve"> </w:t>
      </w:r>
      <w:r w:rsidRPr="00EA59C0">
        <w:rPr>
          <w:rFonts w:ascii="Arial" w:hAnsi="Arial"/>
          <w:b/>
          <w:color w:val="auto"/>
          <w:sz w:val="20"/>
        </w:rPr>
        <w:t>Community</w:t>
      </w:r>
      <w:r w:rsidR="00C026A6" w:rsidRPr="00EA59C0">
        <w:rPr>
          <w:rFonts w:ascii="Arial" w:hAnsi="Arial"/>
          <w:b/>
          <w:color w:val="auto"/>
          <w:sz w:val="20"/>
        </w:rPr>
        <w:t xml:space="preserve"> </w:t>
      </w:r>
      <w:r w:rsidRPr="00EA59C0">
        <w:rPr>
          <w:rFonts w:ascii="Arial" w:hAnsi="Arial"/>
          <w:b/>
          <w:color w:val="auto"/>
          <w:sz w:val="20"/>
        </w:rPr>
        <w:t>College</w:t>
      </w:r>
      <w:r w:rsidR="00C026A6" w:rsidRPr="00EA59C0">
        <w:rPr>
          <w:rFonts w:ascii="Arial" w:hAnsi="Arial"/>
          <w:b/>
          <w:color w:val="auto"/>
          <w:sz w:val="20"/>
        </w:rPr>
        <w:t xml:space="preserve"> </w:t>
      </w:r>
      <w:r w:rsidRPr="00EA59C0">
        <w:rPr>
          <w:rFonts w:ascii="Arial" w:hAnsi="Arial"/>
          <w:b/>
          <w:color w:val="auto"/>
          <w:sz w:val="20"/>
        </w:rPr>
        <w:t>and</w:t>
      </w:r>
      <w:r w:rsidR="00C026A6" w:rsidRPr="00EA59C0">
        <w:rPr>
          <w:rFonts w:ascii="Arial" w:hAnsi="Arial"/>
          <w:b/>
          <w:color w:val="auto"/>
          <w:sz w:val="20"/>
        </w:rPr>
        <w:t xml:space="preserve"> </w:t>
      </w:r>
      <w:r w:rsidRPr="00EA59C0">
        <w:rPr>
          <w:rFonts w:ascii="Arial" w:hAnsi="Arial"/>
          <w:b/>
          <w:color w:val="auto"/>
          <w:sz w:val="20"/>
        </w:rPr>
        <w:t>Apprenticeship</w:t>
      </w:r>
      <w:r w:rsidR="00C026A6" w:rsidRPr="00EA59C0">
        <w:rPr>
          <w:rFonts w:ascii="Arial" w:hAnsi="Arial"/>
          <w:b/>
          <w:color w:val="auto"/>
          <w:sz w:val="20"/>
        </w:rPr>
        <w:t xml:space="preserve"> </w:t>
      </w:r>
      <w:r w:rsidRPr="00EA59C0">
        <w:rPr>
          <w:rFonts w:ascii="Arial" w:hAnsi="Arial"/>
          <w:b/>
          <w:color w:val="auto"/>
          <w:sz w:val="20"/>
        </w:rPr>
        <w:t>as</w:t>
      </w:r>
      <w:r w:rsidR="00C026A6" w:rsidRPr="00EA59C0">
        <w:rPr>
          <w:rFonts w:ascii="Arial" w:hAnsi="Arial"/>
          <w:b/>
          <w:color w:val="auto"/>
          <w:sz w:val="20"/>
        </w:rPr>
        <w:t xml:space="preserve"> </w:t>
      </w:r>
      <w:r w:rsidRPr="00EA59C0">
        <w:rPr>
          <w:rFonts w:ascii="Arial" w:hAnsi="Arial"/>
          <w:b/>
          <w:color w:val="auto"/>
          <w:sz w:val="20"/>
        </w:rPr>
        <w:t>Collaborative</w:t>
      </w:r>
      <w:r w:rsidR="00C026A6" w:rsidRPr="00EA59C0">
        <w:rPr>
          <w:rFonts w:ascii="Arial" w:hAnsi="Arial"/>
          <w:b/>
          <w:color w:val="auto"/>
          <w:sz w:val="20"/>
        </w:rPr>
        <w:t xml:space="preserve"> </w:t>
      </w:r>
      <w:r w:rsidRPr="00EA59C0">
        <w:rPr>
          <w:rFonts w:ascii="Arial" w:hAnsi="Arial"/>
          <w:b/>
          <w:color w:val="auto"/>
          <w:sz w:val="20"/>
        </w:rPr>
        <w:t>Routes</w:t>
      </w:r>
      <w:r w:rsidR="00C026A6" w:rsidRPr="00EA59C0">
        <w:rPr>
          <w:rFonts w:ascii="Arial" w:hAnsi="Arial"/>
          <w:b/>
          <w:color w:val="auto"/>
          <w:sz w:val="20"/>
        </w:rPr>
        <w:t xml:space="preserve"> </w:t>
      </w:r>
      <w:r w:rsidRPr="00EA59C0">
        <w:rPr>
          <w:rFonts w:ascii="Arial" w:hAnsi="Arial"/>
          <w:b/>
          <w:color w:val="auto"/>
          <w:sz w:val="20"/>
        </w:rPr>
        <w:t>to</w:t>
      </w:r>
      <w:r w:rsidR="00C026A6" w:rsidRPr="00EA59C0">
        <w:rPr>
          <w:rFonts w:ascii="Arial" w:hAnsi="Arial"/>
          <w:b/>
          <w:color w:val="auto"/>
          <w:sz w:val="20"/>
        </w:rPr>
        <w:t xml:space="preserve"> </w:t>
      </w:r>
      <w:r w:rsidRPr="00EA59C0">
        <w:rPr>
          <w:rFonts w:ascii="Arial" w:hAnsi="Arial"/>
          <w:b/>
          <w:color w:val="auto"/>
          <w:sz w:val="20"/>
        </w:rPr>
        <w:t>Rewarding</w:t>
      </w:r>
      <w:r w:rsidR="00C026A6" w:rsidRPr="00EA59C0">
        <w:rPr>
          <w:rFonts w:ascii="Arial" w:hAnsi="Arial"/>
          <w:b/>
          <w:color w:val="auto"/>
          <w:sz w:val="20"/>
        </w:rPr>
        <w:t xml:space="preserve"> </w:t>
      </w:r>
      <w:r w:rsidRPr="00EA59C0">
        <w:rPr>
          <w:rFonts w:ascii="Arial" w:hAnsi="Arial"/>
          <w:b/>
          <w:color w:val="auto"/>
          <w:sz w:val="20"/>
        </w:rPr>
        <w:t>Careers</w:t>
      </w:r>
      <w:r w:rsidR="00C026A6" w:rsidRPr="00EA59C0">
        <w:rPr>
          <w:rFonts w:ascii="Arial" w:hAnsi="Arial"/>
          <w:b/>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Robert</w:t>
      </w:r>
      <w:r w:rsidR="00C026A6" w:rsidRPr="00EA59C0">
        <w:rPr>
          <w:rFonts w:ascii="Arial" w:hAnsi="Arial"/>
          <w:color w:val="auto"/>
          <w:sz w:val="20"/>
        </w:rPr>
        <w:t xml:space="preserve"> </w:t>
      </w:r>
      <w:r w:rsidRPr="00EA59C0">
        <w:rPr>
          <w:rFonts w:ascii="Arial" w:hAnsi="Arial"/>
          <w:color w:val="auto"/>
          <w:sz w:val="20"/>
        </w:rPr>
        <w:t>Lerman</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Center</w:t>
      </w:r>
      <w:r w:rsidR="00C026A6" w:rsidRPr="00EA59C0">
        <w:rPr>
          <w:rFonts w:ascii="Arial" w:hAnsi="Arial"/>
          <w:color w:val="auto"/>
          <w:sz w:val="20"/>
        </w:rPr>
        <w:t xml:space="preserve"> </w:t>
      </w:r>
      <w:r w:rsidRPr="00EA59C0">
        <w:rPr>
          <w:rFonts w:ascii="Arial" w:hAnsi="Arial"/>
          <w:color w:val="auto"/>
          <w:sz w:val="20"/>
        </w:rPr>
        <w:t>for</w:t>
      </w:r>
      <w:r w:rsidR="00C026A6" w:rsidRPr="00EA59C0">
        <w:rPr>
          <w:rFonts w:ascii="Arial" w:hAnsi="Arial"/>
          <w:color w:val="auto"/>
          <w:sz w:val="20"/>
        </w:rPr>
        <w:t xml:space="preserve"> </w:t>
      </w:r>
      <w:r w:rsidRPr="00EA59C0">
        <w:rPr>
          <w:rFonts w:ascii="Arial" w:hAnsi="Arial"/>
          <w:color w:val="auto"/>
          <w:sz w:val="20"/>
        </w:rPr>
        <w:t>American</w:t>
      </w:r>
      <w:r w:rsidR="00C026A6" w:rsidRPr="00EA59C0">
        <w:rPr>
          <w:rFonts w:ascii="Arial" w:hAnsi="Arial"/>
          <w:color w:val="auto"/>
          <w:sz w:val="20"/>
        </w:rPr>
        <w:t xml:space="preserve"> </w:t>
      </w:r>
      <w:r w:rsidRPr="00EA59C0">
        <w:rPr>
          <w:rFonts w:ascii="Arial" w:hAnsi="Arial"/>
          <w:color w:val="auto"/>
          <w:sz w:val="20"/>
        </w:rPr>
        <w:t>Progress</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2009</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p>
    <w:p w:rsidR="008826BE" w:rsidRPr="00EA59C0" w:rsidRDefault="008826BE" w:rsidP="00947328">
      <w:pPr>
        <w:pStyle w:val="Default"/>
        <w:rPr>
          <w:rFonts w:ascii="Arial" w:hAnsi="Arial"/>
          <w:color w:val="auto"/>
          <w:sz w:val="20"/>
        </w:rPr>
      </w:pPr>
      <w:r w:rsidRPr="00EA59C0">
        <w:rPr>
          <w:rFonts w:ascii="Arial" w:hAnsi="Arial"/>
          <w:b/>
          <w:color w:val="auto"/>
          <w:sz w:val="20"/>
        </w:rPr>
        <w:t>Tuning</w:t>
      </w:r>
      <w:r w:rsidR="00C026A6" w:rsidRPr="00EA59C0">
        <w:rPr>
          <w:rFonts w:ascii="Arial" w:hAnsi="Arial"/>
          <w:b/>
          <w:color w:val="auto"/>
          <w:sz w:val="20"/>
        </w:rPr>
        <w:t xml:space="preserve"> </w:t>
      </w:r>
      <w:r w:rsidRPr="00EA59C0">
        <w:rPr>
          <w:rFonts w:ascii="Arial" w:hAnsi="Arial"/>
          <w:b/>
          <w:color w:val="auto"/>
          <w:sz w:val="20"/>
        </w:rPr>
        <w:t>into</w:t>
      </w:r>
      <w:r w:rsidR="00C026A6" w:rsidRPr="00EA59C0">
        <w:rPr>
          <w:rFonts w:ascii="Arial" w:hAnsi="Arial"/>
          <w:b/>
          <w:color w:val="auto"/>
          <w:sz w:val="20"/>
        </w:rPr>
        <w:t xml:space="preserve"> </w:t>
      </w:r>
      <w:r w:rsidRPr="00EA59C0">
        <w:rPr>
          <w:rFonts w:ascii="Arial" w:hAnsi="Arial"/>
          <w:b/>
          <w:color w:val="auto"/>
          <w:sz w:val="20"/>
        </w:rPr>
        <w:t>Local</w:t>
      </w:r>
      <w:r w:rsidR="00C026A6" w:rsidRPr="00EA59C0">
        <w:rPr>
          <w:rFonts w:ascii="Arial" w:hAnsi="Arial"/>
          <w:b/>
          <w:color w:val="auto"/>
          <w:sz w:val="20"/>
        </w:rPr>
        <w:t xml:space="preserve"> </w:t>
      </w:r>
      <w:r w:rsidRPr="00EA59C0">
        <w:rPr>
          <w:rFonts w:ascii="Arial" w:hAnsi="Arial"/>
          <w:b/>
          <w:color w:val="auto"/>
          <w:sz w:val="20"/>
        </w:rPr>
        <w:t>Labor</w:t>
      </w:r>
      <w:r w:rsidR="00C026A6" w:rsidRPr="00EA59C0">
        <w:rPr>
          <w:rFonts w:ascii="Arial" w:hAnsi="Arial"/>
          <w:b/>
          <w:color w:val="auto"/>
          <w:sz w:val="20"/>
        </w:rPr>
        <w:t xml:space="preserve"> </w:t>
      </w:r>
      <w:r w:rsidRPr="00EA59C0">
        <w:rPr>
          <w:rFonts w:ascii="Arial" w:hAnsi="Arial"/>
          <w:b/>
          <w:color w:val="auto"/>
          <w:sz w:val="20"/>
        </w:rPr>
        <w:t>Markets:</w:t>
      </w:r>
      <w:r w:rsidR="00C026A6" w:rsidRPr="00EA59C0">
        <w:rPr>
          <w:rFonts w:ascii="Arial" w:hAnsi="Arial"/>
          <w:b/>
          <w:color w:val="auto"/>
          <w:sz w:val="20"/>
        </w:rPr>
        <w:t xml:space="preserve"> </w:t>
      </w:r>
      <w:r w:rsidRPr="00EA59C0">
        <w:rPr>
          <w:rFonts w:ascii="Arial" w:hAnsi="Arial"/>
          <w:b/>
          <w:color w:val="auto"/>
          <w:sz w:val="20"/>
        </w:rPr>
        <w:t>Findings</w:t>
      </w:r>
      <w:r w:rsidR="00C026A6" w:rsidRPr="00EA59C0">
        <w:rPr>
          <w:rFonts w:ascii="Arial" w:hAnsi="Arial"/>
          <w:b/>
          <w:color w:val="auto"/>
          <w:sz w:val="20"/>
        </w:rPr>
        <w:t xml:space="preserve"> </w:t>
      </w:r>
      <w:r w:rsidRPr="00EA59C0">
        <w:rPr>
          <w:rFonts w:ascii="Arial" w:hAnsi="Arial"/>
          <w:b/>
          <w:color w:val="auto"/>
          <w:sz w:val="20"/>
        </w:rPr>
        <w:t>from</w:t>
      </w:r>
      <w:r w:rsidR="00C026A6" w:rsidRPr="00EA59C0">
        <w:rPr>
          <w:rFonts w:ascii="Arial" w:hAnsi="Arial"/>
          <w:b/>
          <w:color w:val="auto"/>
          <w:sz w:val="20"/>
        </w:rPr>
        <w:t xml:space="preserve"> </w:t>
      </w:r>
      <w:r w:rsidRPr="00EA59C0">
        <w:rPr>
          <w:rFonts w:ascii="Arial" w:hAnsi="Arial"/>
          <w:b/>
          <w:color w:val="auto"/>
          <w:sz w:val="20"/>
        </w:rPr>
        <w:t>the</w:t>
      </w:r>
      <w:r w:rsidR="00C026A6" w:rsidRPr="00EA59C0">
        <w:rPr>
          <w:rFonts w:ascii="Arial" w:hAnsi="Arial"/>
          <w:b/>
          <w:color w:val="auto"/>
          <w:sz w:val="20"/>
        </w:rPr>
        <w:t xml:space="preserve"> </w:t>
      </w:r>
      <w:r w:rsidRPr="00EA59C0">
        <w:rPr>
          <w:rFonts w:ascii="Arial" w:hAnsi="Arial"/>
          <w:b/>
          <w:color w:val="auto"/>
          <w:sz w:val="20"/>
        </w:rPr>
        <w:t>Sectoral</w:t>
      </w:r>
      <w:r w:rsidR="00C026A6" w:rsidRPr="00EA59C0">
        <w:rPr>
          <w:rFonts w:ascii="Arial" w:hAnsi="Arial"/>
          <w:b/>
          <w:color w:val="auto"/>
          <w:sz w:val="20"/>
        </w:rPr>
        <w:t xml:space="preserve"> </w:t>
      </w:r>
      <w:r w:rsidRPr="00EA59C0">
        <w:rPr>
          <w:rFonts w:ascii="Arial" w:hAnsi="Arial"/>
          <w:b/>
          <w:color w:val="auto"/>
          <w:sz w:val="20"/>
        </w:rPr>
        <w:t>Employment</w:t>
      </w:r>
      <w:r w:rsidR="00C026A6" w:rsidRPr="00EA59C0">
        <w:rPr>
          <w:rFonts w:ascii="Arial" w:hAnsi="Arial"/>
          <w:b/>
          <w:color w:val="auto"/>
          <w:sz w:val="20"/>
        </w:rPr>
        <w:t xml:space="preserve"> </w:t>
      </w:r>
      <w:r w:rsidRPr="00EA59C0">
        <w:rPr>
          <w:rFonts w:ascii="Arial" w:hAnsi="Arial"/>
          <w:b/>
          <w:color w:val="auto"/>
          <w:sz w:val="20"/>
        </w:rPr>
        <w:t>Impact</w:t>
      </w:r>
      <w:r w:rsidR="00C026A6" w:rsidRPr="00EA59C0">
        <w:rPr>
          <w:rFonts w:ascii="Arial" w:hAnsi="Arial"/>
          <w:b/>
          <w:color w:val="auto"/>
          <w:sz w:val="20"/>
        </w:rPr>
        <w:t xml:space="preserve"> </w:t>
      </w:r>
      <w:r w:rsidRPr="00EA59C0">
        <w:rPr>
          <w:rFonts w:ascii="Arial" w:hAnsi="Arial"/>
          <w:b/>
          <w:color w:val="auto"/>
          <w:sz w:val="20"/>
        </w:rPr>
        <w:t>Study</w:t>
      </w:r>
      <w:r w:rsidR="00C026A6" w:rsidRPr="00EA59C0">
        <w:rPr>
          <w:rFonts w:ascii="Arial" w:hAnsi="Arial"/>
          <w:b/>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Sheila</w:t>
      </w:r>
      <w:r w:rsidR="00C026A6" w:rsidRPr="00EA59C0">
        <w:rPr>
          <w:rFonts w:ascii="Arial" w:hAnsi="Arial"/>
          <w:color w:val="auto"/>
          <w:sz w:val="20"/>
        </w:rPr>
        <w:t xml:space="preserve"> </w:t>
      </w:r>
      <w:r w:rsidRPr="00EA59C0">
        <w:rPr>
          <w:rFonts w:ascii="Arial" w:hAnsi="Arial"/>
          <w:color w:val="auto"/>
          <w:sz w:val="20"/>
        </w:rPr>
        <w:t>Maguire,</w:t>
      </w:r>
      <w:r w:rsidR="00C026A6" w:rsidRPr="00EA59C0">
        <w:rPr>
          <w:rFonts w:ascii="Arial" w:hAnsi="Arial"/>
          <w:color w:val="auto"/>
          <w:sz w:val="20"/>
        </w:rPr>
        <w:t xml:space="preserve"> </w:t>
      </w:r>
      <w:r w:rsidRPr="00EA59C0">
        <w:rPr>
          <w:rFonts w:ascii="Arial" w:hAnsi="Arial"/>
          <w:color w:val="auto"/>
          <w:sz w:val="20"/>
        </w:rPr>
        <w:t>Joshua</w:t>
      </w:r>
      <w:r w:rsidR="00C026A6" w:rsidRPr="00EA59C0">
        <w:rPr>
          <w:rFonts w:ascii="Arial" w:hAnsi="Arial"/>
          <w:color w:val="auto"/>
          <w:sz w:val="20"/>
        </w:rPr>
        <w:t xml:space="preserve"> </w:t>
      </w:r>
      <w:r w:rsidRPr="00EA59C0">
        <w:rPr>
          <w:rFonts w:ascii="Arial" w:hAnsi="Arial"/>
          <w:color w:val="auto"/>
          <w:sz w:val="20"/>
        </w:rPr>
        <w:t>Freely,</w:t>
      </w:r>
      <w:r w:rsidR="00C026A6" w:rsidRPr="00EA59C0">
        <w:rPr>
          <w:rFonts w:ascii="Arial" w:hAnsi="Arial"/>
          <w:color w:val="auto"/>
          <w:sz w:val="20"/>
        </w:rPr>
        <w:t xml:space="preserve"> </w:t>
      </w:r>
      <w:r w:rsidRPr="00EA59C0">
        <w:rPr>
          <w:rFonts w:ascii="Arial" w:hAnsi="Arial"/>
          <w:color w:val="auto"/>
          <w:sz w:val="20"/>
        </w:rPr>
        <w:t>Carol</w:t>
      </w:r>
      <w:r w:rsidR="00C026A6" w:rsidRPr="00EA59C0">
        <w:rPr>
          <w:rFonts w:ascii="Arial" w:hAnsi="Arial"/>
          <w:color w:val="auto"/>
          <w:sz w:val="20"/>
        </w:rPr>
        <w:t xml:space="preserve"> </w:t>
      </w:r>
      <w:r w:rsidRPr="00EA59C0">
        <w:rPr>
          <w:rFonts w:ascii="Arial" w:hAnsi="Arial"/>
          <w:color w:val="auto"/>
          <w:sz w:val="20"/>
        </w:rPr>
        <w:t>Clymer,</w:t>
      </w:r>
      <w:r w:rsidR="00C026A6" w:rsidRPr="00EA59C0">
        <w:rPr>
          <w:rFonts w:ascii="Arial" w:hAnsi="Arial"/>
          <w:color w:val="auto"/>
          <w:sz w:val="20"/>
        </w:rPr>
        <w:t xml:space="preserve"> </w:t>
      </w:r>
      <w:r w:rsidRPr="00EA59C0">
        <w:rPr>
          <w:rFonts w:ascii="Arial" w:hAnsi="Arial"/>
          <w:color w:val="auto"/>
          <w:sz w:val="20"/>
        </w:rPr>
        <w:t>Maureen</w:t>
      </w:r>
      <w:r w:rsidR="00C026A6" w:rsidRPr="00EA59C0">
        <w:rPr>
          <w:rFonts w:ascii="Arial" w:hAnsi="Arial"/>
          <w:color w:val="auto"/>
          <w:sz w:val="20"/>
        </w:rPr>
        <w:t xml:space="preserve"> </w:t>
      </w:r>
      <w:r w:rsidRPr="00EA59C0">
        <w:rPr>
          <w:rFonts w:ascii="Arial" w:hAnsi="Arial"/>
          <w:color w:val="auto"/>
          <w:sz w:val="20"/>
        </w:rPr>
        <w:t>Conway,</w:t>
      </w:r>
      <w:r w:rsidR="00C026A6" w:rsidRPr="00EA59C0">
        <w:rPr>
          <w:rFonts w:ascii="Arial" w:hAnsi="Arial"/>
          <w:color w:val="auto"/>
          <w:sz w:val="20"/>
        </w:rPr>
        <w:t xml:space="preserve"> </w:t>
      </w:r>
      <w:r w:rsidRPr="00EA59C0">
        <w:rPr>
          <w:rFonts w:ascii="Arial" w:hAnsi="Arial"/>
          <w:color w:val="auto"/>
          <w:sz w:val="20"/>
        </w:rPr>
        <w:t>and</w:t>
      </w:r>
      <w:r w:rsidR="00C026A6" w:rsidRPr="00EA59C0">
        <w:rPr>
          <w:rFonts w:ascii="Arial" w:hAnsi="Arial"/>
          <w:color w:val="auto"/>
          <w:sz w:val="20"/>
        </w:rPr>
        <w:t xml:space="preserve"> </w:t>
      </w:r>
      <w:r w:rsidRPr="00EA59C0">
        <w:rPr>
          <w:rFonts w:ascii="Arial" w:hAnsi="Arial"/>
          <w:color w:val="auto"/>
          <w:sz w:val="20"/>
        </w:rPr>
        <w:t>Deena</w:t>
      </w:r>
      <w:r w:rsidR="00C026A6" w:rsidRPr="00EA59C0">
        <w:rPr>
          <w:rFonts w:ascii="Arial" w:hAnsi="Arial"/>
          <w:color w:val="auto"/>
          <w:sz w:val="20"/>
        </w:rPr>
        <w:t xml:space="preserve"> </w:t>
      </w:r>
      <w:r w:rsidRPr="00EA59C0">
        <w:rPr>
          <w:rFonts w:ascii="Arial" w:hAnsi="Arial"/>
          <w:color w:val="auto"/>
          <w:sz w:val="20"/>
        </w:rPr>
        <w:t>Schwartz</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Public/Private</w:t>
      </w:r>
      <w:r w:rsidR="00C026A6" w:rsidRPr="00EA59C0">
        <w:rPr>
          <w:rFonts w:ascii="Arial" w:hAnsi="Arial"/>
          <w:color w:val="auto"/>
          <w:sz w:val="20"/>
        </w:rPr>
        <w:t xml:space="preserve"> </w:t>
      </w:r>
      <w:r w:rsidRPr="00EA59C0">
        <w:rPr>
          <w:rFonts w:ascii="Arial" w:hAnsi="Arial"/>
          <w:color w:val="auto"/>
          <w:sz w:val="20"/>
        </w:rPr>
        <w:t>Ventures</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2010</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p>
    <w:p w:rsidR="008826BE" w:rsidRPr="00EA59C0" w:rsidRDefault="008826BE" w:rsidP="00947328">
      <w:pPr>
        <w:pStyle w:val="Default"/>
        <w:rPr>
          <w:rFonts w:ascii="Arial" w:hAnsi="Arial"/>
          <w:color w:val="auto"/>
          <w:sz w:val="20"/>
        </w:rPr>
      </w:pPr>
      <w:r w:rsidRPr="00EA59C0">
        <w:rPr>
          <w:rFonts w:ascii="Arial" w:hAnsi="Arial"/>
          <w:b/>
          <w:color w:val="auto"/>
          <w:sz w:val="20"/>
        </w:rPr>
        <w:t>The</w:t>
      </w:r>
      <w:r w:rsidR="00C026A6" w:rsidRPr="00EA59C0">
        <w:rPr>
          <w:rFonts w:ascii="Arial" w:hAnsi="Arial"/>
          <w:b/>
          <w:color w:val="auto"/>
          <w:sz w:val="20"/>
        </w:rPr>
        <w:t xml:space="preserve"> </w:t>
      </w:r>
      <w:r w:rsidRPr="00EA59C0">
        <w:rPr>
          <w:rFonts w:ascii="Arial" w:hAnsi="Arial"/>
          <w:b/>
          <w:color w:val="auto"/>
          <w:sz w:val="20"/>
        </w:rPr>
        <w:t>Challenge</w:t>
      </w:r>
      <w:r w:rsidR="00C026A6" w:rsidRPr="00EA59C0">
        <w:rPr>
          <w:rFonts w:ascii="Arial" w:hAnsi="Arial"/>
          <w:b/>
          <w:color w:val="auto"/>
          <w:sz w:val="20"/>
        </w:rPr>
        <w:t xml:space="preserve"> </w:t>
      </w:r>
      <w:r w:rsidRPr="00EA59C0">
        <w:rPr>
          <w:rFonts w:ascii="Arial" w:hAnsi="Arial"/>
          <w:b/>
          <w:color w:val="auto"/>
          <w:sz w:val="20"/>
        </w:rPr>
        <w:t>of</w:t>
      </w:r>
      <w:r w:rsidR="00C026A6" w:rsidRPr="00EA59C0">
        <w:rPr>
          <w:rFonts w:ascii="Arial" w:hAnsi="Arial"/>
          <w:b/>
          <w:color w:val="auto"/>
          <w:sz w:val="20"/>
        </w:rPr>
        <w:t xml:space="preserve"> </w:t>
      </w:r>
      <w:r w:rsidRPr="00EA59C0">
        <w:rPr>
          <w:rFonts w:ascii="Arial" w:hAnsi="Arial"/>
          <w:b/>
          <w:color w:val="auto"/>
          <w:sz w:val="20"/>
        </w:rPr>
        <w:t>Repeating</w:t>
      </w:r>
      <w:r w:rsidR="00C026A6" w:rsidRPr="00EA59C0">
        <w:rPr>
          <w:rFonts w:ascii="Arial" w:hAnsi="Arial"/>
          <w:b/>
          <w:color w:val="auto"/>
          <w:sz w:val="20"/>
        </w:rPr>
        <w:t xml:space="preserve"> </w:t>
      </w:r>
      <w:r w:rsidRPr="00EA59C0">
        <w:rPr>
          <w:rFonts w:ascii="Arial" w:hAnsi="Arial"/>
          <w:b/>
          <w:color w:val="auto"/>
          <w:sz w:val="20"/>
        </w:rPr>
        <w:t>Success</w:t>
      </w:r>
      <w:r w:rsidR="00C026A6" w:rsidRPr="00EA59C0">
        <w:rPr>
          <w:rFonts w:ascii="Arial" w:hAnsi="Arial"/>
          <w:b/>
          <w:color w:val="auto"/>
          <w:sz w:val="20"/>
        </w:rPr>
        <w:t xml:space="preserve"> </w:t>
      </w:r>
      <w:r w:rsidRPr="00EA59C0">
        <w:rPr>
          <w:rFonts w:ascii="Arial" w:hAnsi="Arial"/>
          <w:b/>
          <w:color w:val="auto"/>
          <w:sz w:val="20"/>
        </w:rPr>
        <w:t>in</w:t>
      </w:r>
      <w:r w:rsidR="00C026A6" w:rsidRPr="00EA59C0">
        <w:rPr>
          <w:rFonts w:ascii="Arial" w:hAnsi="Arial"/>
          <w:b/>
          <w:color w:val="auto"/>
          <w:sz w:val="20"/>
        </w:rPr>
        <w:t xml:space="preserve"> </w:t>
      </w:r>
      <w:r w:rsidRPr="00EA59C0">
        <w:rPr>
          <w:rFonts w:ascii="Arial" w:hAnsi="Arial"/>
          <w:b/>
          <w:color w:val="auto"/>
          <w:sz w:val="20"/>
        </w:rPr>
        <w:t>a</w:t>
      </w:r>
      <w:r w:rsidR="00C026A6" w:rsidRPr="00EA59C0">
        <w:rPr>
          <w:rFonts w:ascii="Arial" w:hAnsi="Arial"/>
          <w:b/>
          <w:color w:val="auto"/>
          <w:sz w:val="20"/>
        </w:rPr>
        <w:t xml:space="preserve"> </w:t>
      </w:r>
      <w:r w:rsidRPr="00EA59C0">
        <w:rPr>
          <w:rFonts w:ascii="Arial" w:hAnsi="Arial"/>
          <w:b/>
          <w:color w:val="auto"/>
          <w:sz w:val="20"/>
        </w:rPr>
        <w:t>Changing</w:t>
      </w:r>
      <w:r w:rsidR="00C026A6" w:rsidRPr="00EA59C0">
        <w:rPr>
          <w:rFonts w:ascii="Arial" w:hAnsi="Arial"/>
          <w:b/>
          <w:color w:val="auto"/>
          <w:sz w:val="20"/>
        </w:rPr>
        <w:t xml:space="preserve"> </w:t>
      </w:r>
      <w:r w:rsidRPr="00EA59C0">
        <w:rPr>
          <w:rFonts w:ascii="Arial" w:hAnsi="Arial"/>
          <w:b/>
          <w:color w:val="auto"/>
          <w:sz w:val="20"/>
        </w:rPr>
        <w:t>World:</w:t>
      </w:r>
      <w:r w:rsidR="00C026A6" w:rsidRPr="00EA59C0">
        <w:rPr>
          <w:rFonts w:ascii="Arial" w:hAnsi="Arial"/>
          <w:b/>
          <w:color w:val="auto"/>
          <w:sz w:val="20"/>
        </w:rPr>
        <w:t xml:space="preserve"> </w:t>
      </w:r>
      <w:r w:rsidRPr="00EA59C0">
        <w:rPr>
          <w:rFonts w:ascii="Arial" w:hAnsi="Arial"/>
          <w:b/>
          <w:color w:val="auto"/>
          <w:sz w:val="20"/>
        </w:rPr>
        <w:t>Final</w:t>
      </w:r>
      <w:r w:rsidR="00C026A6" w:rsidRPr="00EA59C0">
        <w:rPr>
          <w:rFonts w:ascii="Arial" w:hAnsi="Arial"/>
          <w:b/>
          <w:color w:val="auto"/>
          <w:sz w:val="20"/>
        </w:rPr>
        <w:t xml:space="preserve"> </w:t>
      </w:r>
      <w:r w:rsidRPr="00EA59C0">
        <w:rPr>
          <w:rFonts w:ascii="Arial" w:hAnsi="Arial"/>
          <w:b/>
          <w:color w:val="auto"/>
          <w:sz w:val="20"/>
        </w:rPr>
        <w:t>Report</w:t>
      </w:r>
      <w:r w:rsidR="00C026A6" w:rsidRPr="00EA59C0">
        <w:rPr>
          <w:rFonts w:ascii="Arial" w:hAnsi="Arial"/>
          <w:b/>
          <w:color w:val="auto"/>
          <w:sz w:val="20"/>
        </w:rPr>
        <w:t xml:space="preserve"> </w:t>
      </w:r>
      <w:r w:rsidRPr="00EA59C0">
        <w:rPr>
          <w:rFonts w:ascii="Arial" w:hAnsi="Arial"/>
          <w:b/>
          <w:color w:val="auto"/>
          <w:sz w:val="20"/>
        </w:rPr>
        <w:t>on</w:t>
      </w:r>
      <w:r w:rsidR="00C026A6" w:rsidRPr="00EA59C0">
        <w:rPr>
          <w:rFonts w:ascii="Arial" w:hAnsi="Arial"/>
          <w:b/>
          <w:color w:val="auto"/>
          <w:sz w:val="20"/>
        </w:rPr>
        <w:t xml:space="preserve"> </w:t>
      </w:r>
      <w:r w:rsidRPr="00EA59C0">
        <w:rPr>
          <w:rFonts w:ascii="Arial" w:hAnsi="Arial"/>
          <w:b/>
          <w:color w:val="auto"/>
          <w:sz w:val="20"/>
        </w:rPr>
        <w:t>the</w:t>
      </w:r>
      <w:r w:rsidR="00C026A6" w:rsidRPr="00EA59C0">
        <w:rPr>
          <w:rFonts w:ascii="Arial" w:hAnsi="Arial"/>
          <w:b/>
          <w:color w:val="auto"/>
          <w:sz w:val="20"/>
        </w:rPr>
        <w:t xml:space="preserve"> </w:t>
      </w:r>
      <w:r w:rsidRPr="00EA59C0">
        <w:rPr>
          <w:rFonts w:ascii="Arial" w:hAnsi="Arial"/>
          <w:b/>
          <w:color w:val="auto"/>
          <w:sz w:val="20"/>
        </w:rPr>
        <w:t>Center</w:t>
      </w:r>
      <w:r w:rsidR="00C026A6" w:rsidRPr="00EA59C0">
        <w:rPr>
          <w:rFonts w:ascii="Arial" w:hAnsi="Arial"/>
          <w:b/>
          <w:color w:val="auto"/>
          <w:sz w:val="20"/>
        </w:rPr>
        <w:t xml:space="preserve"> </w:t>
      </w:r>
      <w:r w:rsidRPr="00EA59C0">
        <w:rPr>
          <w:rFonts w:ascii="Arial" w:hAnsi="Arial"/>
          <w:b/>
          <w:color w:val="auto"/>
          <w:sz w:val="20"/>
        </w:rPr>
        <w:t>for</w:t>
      </w:r>
      <w:r w:rsidR="00C026A6" w:rsidRPr="00EA59C0">
        <w:rPr>
          <w:rFonts w:ascii="Arial" w:hAnsi="Arial"/>
          <w:b/>
          <w:color w:val="auto"/>
          <w:sz w:val="20"/>
        </w:rPr>
        <w:t xml:space="preserve"> </w:t>
      </w:r>
      <w:r w:rsidRPr="00EA59C0">
        <w:rPr>
          <w:rFonts w:ascii="Arial" w:hAnsi="Arial"/>
          <w:b/>
          <w:color w:val="auto"/>
          <w:sz w:val="20"/>
        </w:rPr>
        <w:t>Employment</w:t>
      </w:r>
      <w:r w:rsidR="00C026A6" w:rsidRPr="00EA59C0">
        <w:rPr>
          <w:rFonts w:ascii="Arial" w:hAnsi="Arial"/>
          <w:b/>
          <w:color w:val="auto"/>
          <w:sz w:val="20"/>
        </w:rPr>
        <w:t xml:space="preserve"> </w:t>
      </w:r>
      <w:r w:rsidRPr="00EA59C0">
        <w:rPr>
          <w:rFonts w:ascii="Arial" w:hAnsi="Arial"/>
          <w:b/>
          <w:color w:val="auto"/>
          <w:sz w:val="20"/>
        </w:rPr>
        <w:t>Training</w:t>
      </w:r>
      <w:r w:rsidR="00C026A6" w:rsidRPr="00EA59C0">
        <w:rPr>
          <w:rFonts w:ascii="Arial" w:hAnsi="Arial"/>
          <w:b/>
          <w:color w:val="auto"/>
          <w:sz w:val="20"/>
        </w:rPr>
        <w:t xml:space="preserve"> </w:t>
      </w:r>
      <w:r w:rsidRPr="00EA59C0">
        <w:rPr>
          <w:rFonts w:ascii="Arial" w:hAnsi="Arial"/>
          <w:b/>
          <w:color w:val="auto"/>
          <w:sz w:val="20"/>
        </w:rPr>
        <w:t>Replication</w:t>
      </w:r>
      <w:r w:rsidR="00C026A6" w:rsidRPr="00EA59C0">
        <w:rPr>
          <w:rFonts w:ascii="Arial" w:hAnsi="Arial"/>
          <w:b/>
          <w:color w:val="auto"/>
          <w:sz w:val="20"/>
        </w:rPr>
        <w:t xml:space="preserve"> </w:t>
      </w:r>
      <w:r w:rsidRPr="00EA59C0">
        <w:rPr>
          <w:rFonts w:ascii="Arial" w:hAnsi="Arial"/>
          <w:b/>
          <w:color w:val="auto"/>
          <w:sz w:val="20"/>
        </w:rPr>
        <w:t>Sites</w:t>
      </w:r>
      <w:r w:rsidR="00C026A6" w:rsidRPr="00EA59C0">
        <w:rPr>
          <w:rFonts w:ascii="Arial" w:hAnsi="Arial"/>
          <w:b/>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Cynthia</w:t>
      </w:r>
      <w:r w:rsidR="00C026A6" w:rsidRPr="00EA59C0">
        <w:rPr>
          <w:rFonts w:ascii="Arial" w:hAnsi="Arial"/>
          <w:color w:val="auto"/>
          <w:sz w:val="20"/>
        </w:rPr>
        <w:t xml:space="preserve"> </w:t>
      </w:r>
      <w:r w:rsidRPr="00EA59C0">
        <w:rPr>
          <w:rFonts w:ascii="Arial" w:hAnsi="Arial"/>
          <w:color w:val="auto"/>
          <w:sz w:val="20"/>
        </w:rPr>
        <w:t>Miller,</w:t>
      </w:r>
      <w:r w:rsidR="00C026A6" w:rsidRPr="00EA59C0">
        <w:rPr>
          <w:rFonts w:ascii="Arial" w:hAnsi="Arial"/>
          <w:color w:val="auto"/>
          <w:sz w:val="20"/>
        </w:rPr>
        <w:t xml:space="preserve"> </w:t>
      </w:r>
      <w:r w:rsidRPr="00EA59C0">
        <w:rPr>
          <w:rFonts w:ascii="Arial" w:hAnsi="Arial"/>
          <w:color w:val="auto"/>
          <w:sz w:val="20"/>
        </w:rPr>
        <w:t>Johannes</w:t>
      </w:r>
      <w:r w:rsidR="00C026A6" w:rsidRPr="00EA59C0">
        <w:rPr>
          <w:rFonts w:ascii="Arial" w:hAnsi="Arial"/>
          <w:color w:val="auto"/>
          <w:sz w:val="20"/>
        </w:rPr>
        <w:t xml:space="preserve"> </w:t>
      </w:r>
      <w:r w:rsidRPr="00EA59C0">
        <w:rPr>
          <w:rFonts w:ascii="Arial" w:hAnsi="Arial"/>
          <w:color w:val="auto"/>
          <w:sz w:val="20"/>
        </w:rPr>
        <w:t>M</w:t>
      </w:r>
      <w:r w:rsidR="00C026A6" w:rsidRPr="00EA59C0">
        <w:rPr>
          <w:rFonts w:ascii="Arial" w:hAnsi="Arial"/>
          <w:color w:val="auto"/>
          <w:sz w:val="20"/>
        </w:rPr>
        <w:t xml:space="preserve"> </w:t>
      </w:r>
      <w:r w:rsidRPr="00EA59C0">
        <w:rPr>
          <w:rFonts w:ascii="Arial" w:hAnsi="Arial"/>
          <w:color w:val="auto"/>
          <w:sz w:val="20"/>
        </w:rPr>
        <w:t>Bos,</w:t>
      </w:r>
      <w:r w:rsidR="00C026A6" w:rsidRPr="00EA59C0">
        <w:rPr>
          <w:rFonts w:ascii="Arial" w:hAnsi="Arial"/>
          <w:color w:val="auto"/>
          <w:sz w:val="20"/>
        </w:rPr>
        <w:t xml:space="preserve"> </w:t>
      </w:r>
      <w:r w:rsidRPr="00EA59C0">
        <w:rPr>
          <w:rFonts w:ascii="Arial" w:hAnsi="Arial"/>
          <w:color w:val="auto"/>
          <w:sz w:val="20"/>
        </w:rPr>
        <w:t>Kristin</w:t>
      </w:r>
      <w:r w:rsidR="00C026A6" w:rsidRPr="00EA59C0">
        <w:rPr>
          <w:rFonts w:ascii="Arial" w:hAnsi="Arial"/>
          <w:color w:val="auto"/>
          <w:sz w:val="20"/>
        </w:rPr>
        <w:t xml:space="preserve"> </w:t>
      </w:r>
      <w:r w:rsidRPr="00EA59C0">
        <w:rPr>
          <w:rFonts w:ascii="Arial" w:hAnsi="Arial"/>
          <w:color w:val="auto"/>
          <w:sz w:val="20"/>
        </w:rPr>
        <w:t>E.</w:t>
      </w:r>
      <w:r w:rsidR="00C026A6" w:rsidRPr="00EA59C0">
        <w:rPr>
          <w:rFonts w:ascii="Arial" w:hAnsi="Arial"/>
          <w:color w:val="auto"/>
          <w:sz w:val="20"/>
        </w:rPr>
        <w:t xml:space="preserve"> </w:t>
      </w:r>
      <w:r w:rsidRPr="00EA59C0">
        <w:rPr>
          <w:rFonts w:ascii="Arial" w:hAnsi="Arial"/>
          <w:color w:val="auto"/>
          <w:sz w:val="20"/>
        </w:rPr>
        <w:t>Porter,</w:t>
      </w:r>
      <w:r w:rsidR="00C026A6" w:rsidRPr="00EA59C0">
        <w:rPr>
          <w:rFonts w:ascii="Arial" w:hAnsi="Arial"/>
          <w:color w:val="auto"/>
          <w:sz w:val="20"/>
        </w:rPr>
        <w:t xml:space="preserve"> </w:t>
      </w:r>
      <w:r w:rsidRPr="00EA59C0">
        <w:rPr>
          <w:rFonts w:ascii="Arial" w:hAnsi="Arial"/>
          <w:color w:val="auto"/>
          <w:sz w:val="20"/>
        </w:rPr>
        <w:t>Fannie</w:t>
      </w:r>
      <w:r w:rsidR="00C026A6" w:rsidRPr="00EA59C0">
        <w:rPr>
          <w:rFonts w:ascii="Arial" w:hAnsi="Arial"/>
          <w:color w:val="auto"/>
          <w:sz w:val="20"/>
        </w:rPr>
        <w:t xml:space="preserve"> </w:t>
      </w:r>
      <w:r w:rsidRPr="00EA59C0">
        <w:rPr>
          <w:rFonts w:ascii="Arial" w:hAnsi="Arial"/>
          <w:color w:val="auto"/>
          <w:sz w:val="20"/>
        </w:rPr>
        <w:t>M.</w:t>
      </w:r>
      <w:r w:rsidR="00C026A6" w:rsidRPr="00EA59C0">
        <w:rPr>
          <w:rFonts w:ascii="Arial" w:hAnsi="Arial"/>
          <w:color w:val="auto"/>
          <w:sz w:val="20"/>
        </w:rPr>
        <w:t xml:space="preserve"> </w:t>
      </w:r>
      <w:r w:rsidRPr="00EA59C0">
        <w:rPr>
          <w:rFonts w:ascii="Arial" w:hAnsi="Arial"/>
          <w:color w:val="auto"/>
          <w:sz w:val="20"/>
        </w:rPr>
        <w:t>Tseng,</w:t>
      </w:r>
      <w:r w:rsidR="00C026A6" w:rsidRPr="00EA59C0">
        <w:rPr>
          <w:rFonts w:ascii="Arial" w:hAnsi="Arial"/>
          <w:color w:val="auto"/>
          <w:sz w:val="20"/>
        </w:rPr>
        <w:t xml:space="preserve"> </w:t>
      </w:r>
      <w:r w:rsidRPr="00EA59C0">
        <w:rPr>
          <w:rFonts w:ascii="Arial" w:hAnsi="Arial"/>
          <w:color w:val="auto"/>
          <w:sz w:val="20"/>
        </w:rPr>
        <w:t>and</w:t>
      </w:r>
      <w:r w:rsidR="00C026A6" w:rsidRPr="00EA59C0">
        <w:rPr>
          <w:rFonts w:ascii="Arial" w:hAnsi="Arial"/>
          <w:color w:val="auto"/>
          <w:sz w:val="20"/>
        </w:rPr>
        <w:t xml:space="preserve"> </w:t>
      </w:r>
      <w:r w:rsidRPr="00EA59C0">
        <w:rPr>
          <w:rFonts w:ascii="Arial" w:hAnsi="Arial"/>
          <w:color w:val="auto"/>
          <w:sz w:val="20"/>
        </w:rPr>
        <w:t>Yasuyo</w:t>
      </w:r>
      <w:r w:rsidR="00C026A6" w:rsidRPr="00EA59C0">
        <w:rPr>
          <w:rFonts w:ascii="Arial" w:hAnsi="Arial"/>
          <w:color w:val="auto"/>
          <w:sz w:val="20"/>
        </w:rPr>
        <w:t xml:space="preserve"> </w:t>
      </w:r>
      <w:r w:rsidRPr="00EA59C0">
        <w:rPr>
          <w:rFonts w:ascii="Arial" w:hAnsi="Arial"/>
          <w:color w:val="auto"/>
          <w:sz w:val="20"/>
        </w:rPr>
        <w:t>Abe</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MDRC</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2005</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p>
    <w:p w:rsidR="008826BE" w:rsidRPr="00EA59C0" w:rsidRDefault="008826BE" w:rsidP="00947328">
      <w:pPr>
        <w:pStyle w:val="Default"/>
        <w:rPr>
          <w:rFonts w:ascii="Arial" w:hAnsi="Arial"/>
          <w:color w:val="auto"/>
          <w:sz w:val="20"/>
        </w:rPr>
      </w:pPr>
      <w:r w:rsidRPr="00EA59C0">
        <w:rPr>
          <w:rFonts w:ascii="Arial" w:hAnsi="Arial"/>
          <w:b/>
          <w:color w:val="auto"/>
          <w:sz w:val="20"/>
        </w:rPr>
        <w:t>Evaluation</w:t>
      </w:r>
      <w:r w:rsidR="00C026A6" w:rsidRPr="00EA59C0">
        <w:rPr>
          <w:rFonts w:ascii="Arial" w:hAnsi="Arial"/>
          <w:b/>
          <w:color w:val="auto"/>
          <w:sz w:val="20"/>
        </w:rPr>
        <w:t xml:space="preserve"> </w:t>
      </w:r>
      <w:r w:rsidRPr="00EA59C0">
        <w:rPr>
          <w:rFonts w:ascii="Arial" w:hAnsi="Arial"/>
          <w:b/>
          <w:color w:val="auto"/>
          <w:sz w:val="20"/>
        </w:rPr>
        <w:t>of</w:t>
      </w:r>
      <w:r w:rsidR="00C026A6" w:rsidRPr="00EA59C0">
        <w:rPr>
          <w:rFonts w:ascii="Arial" w:hAnsi="Arial"/>
          <w:b/>
          <w:color w:val="auto"/>
          <w:sz w:val="20"/>
        </w:rPr>
        <w:t xml:space="preserve"> </w:t>
      </w:r>
      <w:r w:rsidRPr="00EA59C0">
        <w:rPr>
          <w:rFonts w:ascii="Arial" w:hAnsi="Arial"/>
          <w:b/>
          <w:color w:val="auto"/>
          <w:sz w:val="20"/>
        </w:rPr>
        <w:t>the</w:t>
      </w:r>
      <w:r w:rsidR="00C026A6" w:rsidRPr="00EA59C0">
        <w:rPr>
          <w:rFonts w:ascii="Arial" w:hAnsi="Arial"/>
          <w:b/>
          <w:color w:val="auto"/>
          <w:sz w:val="20"/>
        </w:rPr>
        <w:t xml:space="preserve"> </w:t>
      </w:r>
      <w:r w:rsidRPr="00EA59C0">
        <w:rPr>
          <w:rFonts w:ascii="Arial" w:hAnsi="Arial"/>
          <w:b/>
          <w:color w:val="auto"/>
          <w:sz w:val="20"/>
        </w:rPr>
        <w:t>Sectoral</w:t>
      </w:r>
      <w:r w:rsidR="00C026A6" w:rsidRPr="00EA59C0">
        <w:rPr>
          <w:rFonts w:ascii="Arial" w:hAnsi="Arial"/>
          <w:b/>
          <w:color w:val="auto"/>
          <w:sz w:val="20"/>
        </w:rPr>
        <w:t xml:space="preserve"> </w:t>
      </w:r>
      <w:r w:rsidRPr="00EA59C0">
        <w:rPr>
          <w:rFonts w:ascii="Arial" w:hAnsi="Arial"/>
          <w:b/>
          <w:color w:val="auto"/>
          <w:sz w:val="20"/>
        </w:rPr>
        <w:t>Employment</w:t>
      </w:r>
      <w:r w:rsidR="00C026A6" w:rsidRPr="00EA59C0">
        <w:rPr>
          <w:rFonts w:ascii="Arial" w:hAnsi="Arial"/>
          <w:b/>
          <w:color w:val="auto"/>
          <w:sz w:val="20"/>
        </w:rPr>
        <w:t xml:space="preserve"> </w:t>
      </w:r>
      <w:r w:rsidRPr="00EA59C0">
        <w:rPr>
          <w:rFonts w:ascii="Arial" w:hAnsi="Arial"/>
          <w:b/>
          <w:color w:val="auto"/>
          <w:sz w:val="20"/>
        </w:rPr>
        <w:t>Demonstration</w:t>
      </w:r>
      <w:r w:rsidR="00C026A6" w:rsidRPr="00EA59C0">
        <w:rPr>
          <w:rFonts w:ascii="Arial" w:hAnsi="Arial"/>
          <w:b/>
          <w:color w:val="auto"/>
          <w:sz w:val="20"/>
        </w:rPr>
        <w:t xml:space="preserve"> </w:t>
      </w:r>
      <w:r w:rsidRPr="00EA59C0">
        <w:rPr>
          <w:rFonts w:ascii="Arial" w:hAnsi="Arial"/>
          <w:b/>
          <w:color w:val="auto"/>
          <w:sz w:val="20"/>
        </w:rPr>
        <w:t>Program</w:t>
      </w:r>
      <w:r w:rsidR="00C026A6" w:rsidRPr="00EA59C0">
        <w:rPr>
          <w:rFonts w:ascii="Arial" w:hAnsi="Arial"/>
          <w:b/>
          <w:color w:val="auto"/>
          <w:sz w:val="20"/>
        </w:rPr>
        <w:t xml:space="preserve"> </w:t>
      </w:r>
    </w:p>
    <w:p w:rsidR="00947328" w:rsidRPr="00EA59C0" w:rsidRDefault="008826BE" w:rsidP="00947328">
      <w:pPr>
        <w:pStyle w:val="Default"/>
        <w:rPr>
          <w:rFonts w:ascii="Arial" w:hAnsi="Arial" w:cs="Arial"/>
          <w:color w:val="auto"/>
          <w:sz w:val="20"/>
        </w:rPr>
      </w:pPr>
      <w:r w:rsidRPr="00EA59C0">
        <w:rPr>
          <w:rFonts w:ascii="Arial" w:hAnsi="Arial"/>
          <w:color w:val="auto"/>
          <w:sz w:val="20"/>
        </w:rPr>
        <w:t>Nancy</w:t>
      </w:r>
      <w:r w:rsidR="00C026A6" w:rsidRPr="00EA59C0">
        <w:rPr>
          <w:rFonts w:ascii="Arial" w:hAnsi="Arial"/>
          <w:color w:val="auto"/>
          <w:sz w:val="20"/>
        </w:rPr>
        <w:t xml:space="preserve"> </w:t>
      </w:r>
      <w:r w:rsidRPr="00EA59C0">
        <w:rPr>
          <w:rFonts w:ascii="Arial" w:hAnsi="Arial"/>
          <w:color w:val="auto"/>
          <w:sz w:val="20"/>
        </w:rPr>
        <w:t>M</w:t>
      </w:r>
      <w:r w:rsidR="00C026A6" w:rsidRPr="00EA59C0">
        <w:rPr>
          <w:rFonts w:ascii="Arial" w:hAnsi="Arial"/>
          <w:color w:val="auto"/>
          <w:sz w:val="20"/>
        </w:rPr>
        <w:t xml:space="preserve"> </w:t>
      </w:r>
      <w:r w:rsidRPr="00EA59C0">
        <w:rPr>
          <w:rFonts w:ascii="Arial" w:hAnsi="Arial"/>
          <w:color w:val="auto"/>
          <w:sz w:val="20"/>
        </w:rPr>
        <w:t>Pindus,</w:t>
      </w:r>
      <w:r w:rsidR="00C026A6" w:rsidRPr="00EA59C0">
        <w:rPr>
          <w:rFonts w:ascii="Arial" w:hAnsi="Arial"/>
          <w:color w:val="auto"/>
          <w:sz w:val="20"/>
        </w:rPr>
        <w:t xml:space="preserve"> </w:t>
      </w:r>
      <w:r w:rsidRPr="00EA59C0">
        <w:rPr>
          <w:rFonts w:ascii="Arial" w:hAnsi="Arial"/>
          <w:color w:val="auto"/>
          <w:sz w:val="20"/>
        </w:rPr>
        <w:t>Carolyn</w:t>
      </w:r>
      <w:r w:rsidR="00C026A6" w:rsidRPr="00EA59C0">
        <w:rPr>
          <w:rFonts w:ascii="Arial" w:hAnsi="Arial"/>
          <w:color w:val="auto"/>
          <w:sz w:val="20"/>
        </w:rPr>
        <w:t xml:space="preserve"> </w:t>
      </w:r>
      <w:r w:rsidRPr="00EA59C0">
        <w:rPr>
          <w:rFonts w:ascii="Arial" w:hAnsi="Arial"/>
          <w:color w:val="auto"/>
          <w:sz w:val="20"/>
        </w:rPr>
        <w:t>O’Brien,</w:t>
      </w:r>
      <w:r w:rsidR="00C026A6" w:rsidRPr="00EA59C0">
        <w:rPr>
          <w:rFonts w:ascii="Arial" w:hAnsi="Arial"/>
          <w:color w:val="auto"/>
          <w:sz w:val="20"/>
        </w:rPr>
        <w:t xml:space="preserve"> </w:t>
      </w:r>
      <w:r w:rsidRPr="00EA59C0">
        <w:rPr>
          <w:rFonts w:ascii="Arial" w:hAnsi="Arial"/>
          <w:color w:val="auto"/>
          <w:sz w:val="20"/>
        </w:rPr>
        <w:t>Maureen</w:t>
      </w:r>
      <w:r w:rsidR="00C026A6" w:rsidRPr="00EA59C0">
        <w:rPr>
          <w:rFonts w:ascii="Arial" w:hAnsi="Arial"/>
          <w:color w:val="auto"/>
          <w:sz w:val="20"/>
        </w:rPr>
        <w:t xml:space="preserve"> </w:t>
      </w:r>
      <w:r w:rsidRPr="00EA59C0">
        <w:rPr>
          <w:rFonts w:ascii="Arial" w:hAnsi="Arial"/>
          <w:color w:val="auto"/>
          <w:sz w:val="20"/>
        </w:rPr>
        <w:t>Conway,</w:t>
      </w:r>
      <w:r w:rsidR="00C026A6" w:rsidRPr="00EA59C0">
        <w:rPr>
          <w:rFonts w:ascii="Arial" w:hAnsi="Arial"/>
          <w:color w:val="auto"/>
          <w:sz w:val="20"/>
        </w:rPr>
        <w:t xml:space="preserve"> </w:t>
      </w:r>
      <w:r w:rsidRPr="00EA59C0">
        <w:rPr>
          <w:rFonts w:ascii="Arial" w:hAnsi="Arial"/>
          <w:color w:val="auto"/>
          <w:sz w:val="20"/>
        </w:rPr>
        <w:t>Conaway</w:t>
      </w:r>
      <w:r w:rsidR="00C026A6" w:rsidRPr="00EA59C0">
        <w:rPr>
          <w:rFonts w:ascii="Arial" w:hAnsi="Arial"/>
          <w:color w:val="auto"/>
          <w:sz w:val="20"/>
        </w:rPr>
        <w:t xml:space="preserve"> </w:t>
      </w:r>
      <w:r w:rsidRPr="00EA59C0">
        <w:rPr>
          <w:rFonts w:ascii="Arial" w:hAnsi="Arial"/>
          <w:color w:val="auto"/>
          <w:sz w:val="20"/>
        </w:rPr>
        <w:t>Haskins,</w:t>
      </w:r>
      <w:r w:rsidR="00C026A6" w:rsidRPr="00EA59C0">
        <w:rPr>
          <w:rFonts w:ascii="Arial" w:hAnsi="Arial"/>
          <w:color w:val="auto"/>
          <w:sz w:val="20"/>
        </w:rPr>
        <w:t xml:space="preserve"> </w:t>
      </w:r>
      <w:r w:rsidRPr="00EA59C0">
        <w:rPr>
          <w:rFonts w:ascii="Arial" w:hAnsi="Arial"/>
          <w:color w:val="auto"/>
          <w:sz w:val="20"/>
        </w:rPr>
        <w:t>and</w:t>
      </w:r>
      <w:r w:rsidR="00C026A6" w:rsidRPr="00EA59C0">
        <w:rPr>
          <w:rFonts w:ascii="Arial" w:hAnsi="Arial"/>
          <w:color w:val="auto"/>
          <w:sz w:val="20"/>
        </w:rPr>
        <w:t xml:space="preserve"> </w:t>
      </w:r>
      <w:r w:rsidRPr="00EA59C0">
        <w:rPr>
          <w:rFonts w:ascii="Arial" w:hAnsi="Arial"/>
          <w:color w:val="auto"/>
          <w:sz w:val="20"/>
        </w:rPr>
        <w:t>Ida</w:t>
      </w:r>
      <w:r w:rsidR="00C026A6" w:rsidRPr="00EA59C0">
        <w:rPr>
          <w:rFonts w:ascii="Arial" w:hAnsi="Arial"/>
          <w:color w:val="auto"/>
          <w:sz w:val="20"/>
        </w:rPr>
        <w:t xml:space="preserve"> </w:t>
      </w:r>
      <w:r w:rsidRPr="00EA59C0">
        <w:rPr>
          <w:rFonts w:ascii="Arial" w:hAnsi="Arial"/>
          <w:color w:val="auto"/>
          <w:sz w:val="20"/>
        </w:rPr>
        <w:t>Rademacher</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The</w:t>
      </w:r>
      <w:r w:rsidR="00C026A6" w:rsidRPr="00EA59C0">
        <w:rPr>
          <w:rFonts w:ascii="Arial" w:hAnsi="Arial"/>
          <w:color w:val="auto"/>
          <w:sz w:val="20"/>
        </w:rPr>
        <w:t xml:space="preserve"> </w:t>
      </w:r>
      <w:r w:rsidRPr="00EA59C0">
        <w:rPr>
          <w:rFonts w:ascii="Arial" w:hAnsi="Arial"/>
          <w:color w:val="auto"/>
          <w:sz w:val="20"/>
        </w:rPr>
        <w:t>Urban</w:t>
      </w:r>
      <w:r w:rsidR="00C026A6" w:rsidRPr="00EA59C0">
        <w:rPr>
          <w:rFonts w:ascii="Arial" w:hAnsi="Arial"/>
          <w:color w:val="auto"/>
          <w:sz w:val="20"/>
        </w:rPr>
        <w:t xml:space="preserve"> </w:t>
      </w:r>
      <w:r w:rsidRPr="00EA59C0">
        <w:rPr>
          <w:rFonts w:ascii="Arial" w:hAnsi="Arial"/>
          <w:color w:val="auto"/>
          <w:sz w:val="20"/>
        </w:rPr>
        <w:t>Institute</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r w:rsidRPr="00EA59C0">
        <w:rPr>
          <w:rFonts w:ascii="Arial" w:hAnsi="Arial"/>
          <w:color w:val="auto"/>
          <w:sz w:val="20"/>
        </w:rPr>
        <w:t>2004</w:t>
      </w:r>
      <w:r w:rsidR="00C026A6" w:rsidRPr="00EA59C0">
        <w:rPr>
          <w:rFonts w:ascii="Arial" w:hAnsi="Arial"/>
          <w:color w:val="auto"/>
          <w:sz w:val="20"/>
        </w:rPr>
        <w:t xml:space="preserve"> </w:t>
      </w:r>
    </w:p>
    <w:p w:rsidR="008826BE" w:rsidRPr="00EA59C0" w:rsidRDefault="008826BE" w:rsidP="00947328">
      <w:pPr>
        <w:pStyle w:val="Default"/>
        <w:rPr>
          <w:rFonts w:ascii="Arial" w:hAnsi="Arial"/>
          <w:color w:val="auto"/>
          <w:sz w:val="20"/>
        </w:rPr>
      </w:pPr>
    </w:p>
    <w:p w:rsidR="008826BE" w:rsidRPr="00EA59C0" w:rsidRDefault="008826BE" w:rsidP="00947328">
      <w:pPr>
        <w:pStyle w:val="Default"/>
        <w:rPr>
          <w:rFonts w:ascii="Arial" w:hAnsi="Arial"/>
          <w:color w:val="auto"/>
          <w:sz w:val="20"/>
        </w:rPr>
      </w:pPr>
      <w:r w:rsidRPr="00EA59C0">
        <w:rPr>
          <w:rFonts w:ascii="Arial" w:hAnsi="Arial"/>
          <w:b/>
          <w:color w:val="auto"/>
          <w:sz w:val="20"/>
        </w:rPr>
        <w:t>An</w:t>
      </w:r>
      <w:r w:rsidR="00C026A6" w:rsidRPr="00EA59C0">
        <w:rPr>
          <w:rFonts w:ascii="Arial" w:hAnsi="Arial"/>
          <w:b/>
          <w:color w:val="auto"/>
          <w:sz w:val="20"/>
        </w:rPr>
        <w:t xml:space="preserve"> </w:t>
      </w:r>
      <w:r w:rsidRPr="00EA59C0">
        <w:rPr>
          <w:rFonts w:ascii="Arial" w:hAnsi="Arial"/>
          <w:b/>
          <w:color w:val="auto"/>
          <w:sz w:val="20"/>
        </w:rPr>
        <w:t>Effective</w:t>
      </w:r>
      <w:r w:rsidR="00C026A6" w:rsidRPr="00EA59C0">
        <w:rPr>
          <w:rFonts w:ascii="Arial" w:hAnsi="Arial"/>
          <w:b/>
          <w:color w:val="auto"/>
          <w:sz w:val="20"/>
        </w:rPr>
        <w:t xml:space="preserve"> </w:t>
      </w:r>
      <w:r w:rsidRPr="00EA59C0">
        <w:rPr>
          <w:rFonts w:ascii="Arial" w:hAnsi="Arial"/>
          <w:b/>
          <w:color w:val="auto"/>
          <w:sz w:val="20"/>
        </w:rPr>
        <w:t>Assessment</w:t>
      </w:r>
      <w:r w:rsidR="00C026A6" w:rsidRPr="00EA59C0">
        <w:rPr>
          <w:rFonts w:ascii="Arial" w:hAnsi="Arial"/>
          <w:b/>
          <w:color w:val="auto"/>
          <w:sz w:val="20"/>
        </w:rPr>
        <w:t xml:space="preserve"> </w:t>
      </w:r>
      <w:r w:rsidRPr="00EA59C0">
        <w:rPr>
          <w:rFonts w:ascii="Arial" w:hAnsi="Arial"/>
          <w:b/>
          <w:color w:val="auto"/>
          <w:sz w:val="20"/>
        </w:rPr>
        <w:t>and</w:t>
      </w:r>
      <w:r w:rsidR="00C026A6" w:rsidRPr="00EA59C0">
        <w:rPr>
          <w:rFonts w:ascii="Arial" w:hAnsi="Arial"/>
          <w:b/>
          <w:color w:val="auto"/>
          <w:sz w:val="20"/>
        </w:rPr>
        <w:t xml:space="preserve"> </w:t>
      </w:r>
      <w:r w:rsidRPr="00EA59C0">
        <w:rPr>
          <w:rFonts w:ascii="Arial" w:hAnsi="Arial"/>
          <w:b/>
          <w:color w:val="auto"/>
          <w:sz w:val="20"/>
        </w:rPr>
        <w:t>Cost-Benefit</w:t>
      </w:r>
      <w:r w:rsidR="00C026A6" w:rsidRPr="00EA59C0">
        <w:rPr>
          <w:rFonts w:ascii="Arial" w:hAnsi="Arial"/>
          <w:b/>
          <w:color w:val="auto"/>
          <w:sz w:val="20"/>
        </w:rPr>
        <w:t xml:space="preserve"> </w:t>
      </w:r>
      <w:r w:rsidRPr="00EA59C0">
        <w:rPr>
          <w:rFonts w:ascii="Arial" w:hAnsi="Arial"/>
          <w:b/>
          <w:color w:val="auto"/>
          <w:sz w:val="20"/>
        </w:rPr>
        <w:t>Analysis</w:t>
      </w:r>
      <w:r w:rsidR="00C026A6" w:rsidRPr="00EA59C0">
        <w:rPr>
          <w:rFonts w:ascii="Arial" w:hAnsi="Arial"/>
          <w:b/>
          <w:color w:val="auto"/>
          <w:sz w:val="20"/>
        </w:rPr>
        <w:t xml:space="preserve"> </w:t>
      </w:r>
      <w:r w:rsidRPr="00EA59C0">
        <w:rPr>
          <w:rFonts w:ascii="Arial" w:hAnsi="Arial"/>
          <w:b/>
          <w:color w:val="auto"/>
          <w:sz w:val="20"/>
        </w:rPr>
        <w:t>of</w:t>
      </w:r>
      <w:r w:rsidR="00C026A6" w:rsidRPr="00EA59C0">
        <w:rPr>
          <w:rFonts w:ascii="Arial" w:hAnsi="Arial"/>
          <w:b/>
          <w:color w:val="auto"/>
          <w:sz w:val="20"/>
        </w:rPr>
        <w:t xml:space="preserve"> </w:t>
      </w:r>
      <w:r w:rsidRPr="00EA59C0">
        <w:rPr>
          <w:rFonts w:ascii="Arial" w:hAnsi="Arial"/>
          <w:b/>
          <w:color w:val="auto"/>
          <w:sz w:val="20"/>
        </w:rPr>
        <w:t>Registered</w:t>
      </w:r>
      <w:r w:rsidR="00C026A6" w:rsidRPr="00EA59C0">
        <w:rPr>
          <w:rFonts w:ascii="Arial" w:hAnsi="Arial"/>
          <w:b/>
          <w:color w:val="auto"/>
          <w:sz w:val="20"/>
        </w:rPr>
        <w:t xml:space="preserve"> </w:t>
      </w:r>
      <w:r w:rsidRPr="00EA59C0">
        <w:rPr>
          <w:rFonts w:ascii="Arial" w:hAnsi="Arial"/>
          <w:b/>
          <w:color w:val="auto"/>
          <w:sz w:val="20"/>
        </w:rPr>
        <w:t>Apprenticeship</w:t>
      </w:r>
      <w:r w:rsidR="00C026A6" w:rsidRPr="00EA59C0">
        <w:rPr>
          <w:rFonts w:ascii="Arial" w:hAnsi="Arial"/>
          <w:b/>
          <w:color w:val="auto"/>
          <w:sz w:val="20"/>
        </w:rPr>
        <w:t xml:space="preserve"> </w:t>
      </w:r>
      <w:r w:rsidRPr="00EA59C0">
        <w:rPr>
          <w:rFonts w:ascii="Arial" w:hAnsi="Arial"/>
          <w:b/>
          <w:color w:val="auto"/>
          <w:sz w:val="20"/>
        </w:rPr>
        <w:t>in</w:t>
      </w:r>
      <w:r w:rsidR="00C026A6" w:rsidRPr="00EA59C0">
        <w:rPr>
          <w:rFonts w:ascii="Arial" w:hAnsi="Arial"/>
          <w:b/>
          <w:color w:val="auto"/>
          <w:sz w:val="20"/>
        </w:rPr>
        <w:t xml:space="preserve"> </w:t>
      </w:r>
      <w:r w:rsidRPr="00EA59C0">
        <w:rPr>
          <w:rFonts w:ascii="Arial" w:hAnsi="Arial"/>
          <w:b/>
          <w:color w:val="auto"/>
          <w:sz w:val="20"/>
        </w:rPr>
        <w:t>10</w:t>
      </w:r>
      <w:r w:rsidR="00C026A6" w:rsidRPr="00EA59C0">
        <w:rPr>
          <w:rFonts w:ascii="Arial" w:hAnsi="Arial"/>
          <w:b/>
          <w:color w:val="auto"/>
          <w:sz w:val="20"/>
        </w:rPr>
        <w:t xml:space="preserve"> </w:t>
      </w:r>
      <w:r w:rsidRPr="00EA59C0">
        <w:rPr>
          <w:rFonts w:ascii="Arial" w:hAnsi="Arial"/>
          <w:b/>
          <w:color w:val="auto"/>
          <w:sz w:val="20"/>
        </w:rPr>
        <w:t>States</w:t>
      </w:r>
      <w:r w:rsidR="00C026A6" w:rsidRPr="00EA59C0">
        <w:rPr>
          <w:rFonts w:ascii="Arial" w:hAnsi="Arial"/>
          <w:b/>
          <w:color w:val="auto"/>
          <w:sz w:val="20"/>
        </w:rPr>
        <w:t xml:space="preserve"> </w:t>
      </w:r>
    </w:p>
    <w:p w:rsidR="008826BE" w:rsidRPr="00EA59C0" w:rsidRDefault="008826BE" w:rsidP="00947328">
      <w:pPr>
        <w:pStyle w:val="Default"/>
        <w:rPr>
          <w:color w:val="auto"/>
        </w:rPr>
      </w:pPr>
      <w:r w:rsidRPr="00EA59C0">
        <w:rPr>
          <w:rFonts w:ascii="Arial" w:hAnsi="Arial"/>
          <w:color w:val="auto"/>
          <w:sz w:val="20"/>
        </w:rPr>
        <w:t>Debbie</w:t>
      </w:r>
      <w:r w:rsidR="00C026A6" w:rsidRPr="00EA59C0">
        <w:rPr>
          <w:rFonts w:ascii="Arial" w:hAnsi="Arial"/>
          <w:color w:val="auto"/>
          <w:sz w:val="20"/>
        </w:rPr>
        <w:t xml:space="preserve"> </w:t>
      </w:r>
      <w:r w:rsidRPr="00EA59C0">
        <w:rPr>
          <w:rFonts w:ascii="Arial" w:hAnsi="Arial"/>
          <w:color w:val="auto"/>
          <w:sz w:val="20"/>
        </w:rPr>
        <w:t>Reed,</w:t>
      </w:r>
      <w:r w:rsidR="00C026A6" w:rsidRPr="00EA59C0">
        <w:rPr>
          <w:rFonts w:ascii="Arial" w:hAnsi="Arial"/>
          <w:color w:val="auto"/>
          <w:sz w:val="20"/>
        </w:rPr>
        <w:t xml:space="preserve"> </w:t>
      </w:r>
      <w:r w:rsidRPr="00EA59C0">
        <w:rPr>
          <w:rFonts w:ascii="Arial" w:hAnsi="Arial"/>
          <w:color w:val="auto"/>
          <w:sz w:val="20"/>
        </w:rPr>
        <w:t>Albert</w:t>
      </w:r>
      <w:r w:rsidR="00C026A6" w:rsidRPr="00EA59C0">
        <w:rPr>
          <w:rFonts w:ascii="Arial" w:hAnsi="Arial"/>
          <w:color w:val="auto"/>
          <w:sz w:val="20"/>
        </w:rPr>
        <w:t xml:space="preserve"> </w:t>
      </w:r>
      <w:r w:rsidRPr="00EA59C0">
        <w:rPr>
          <w:rFonts w:ascii="Arial" w:hAnsi="Arial"/>
          <w:color w:val="auto"/>
          <w:sz w:val="20"/>
        </w:rPr>
        <w:t>Yung-Hsu</w:t>
      </w:r>
      <w:r w:rsidR="00C026A6" w:rsidRPr="00EA59C0">
        <w:rPr>
          <w:rFonts w:ascii="Arial" w:hAnsi="Arial"/>
          <w:color w:val="auto"/>
          <w:sz w:val="20"/>
        </w:rPr>
        <w:t xml:space="preserve"> </w:t>
      </w:r>
      <w:r w:rsidRPr="00EA59C0">
        <w:rPr>
          <w:rFonts w:ascii="Arial" w:hAnsi="Arial"/>
          <w:color w:val="auto"/>
          <w:sz w:val="20"/>
        </w:rPr>
        <w:t>Liu,</w:t>
      </w:r>
      <w:r w:rsidR="00C026A6" w:rsidRPr="00EA59C0">
        <w:rPr>
          <w:rFonts w:ascii="Arial" w:hAnsi="Arial"/>
          <w:color w:val="auto"/>
          <w:sz w:val="20"/>
        </w:rPr>
        <w:t xml:space="preserve"> </w:t>
      </w:r>
      <w:r w:rsidRPr="00EA59C0">
        <w:rPr>
          <w:rFonts w:ascii="Arial" w:hAnsi="Arial"/>
          <w:color w:val="auto"/>
          <w:sz w:val="20"/>
        </w:rPr>
        <w:t>Rebecca</w:t>
      </w:r>
      <w:r w:rsidR="00C026A6" w:rsidRPr="00EA59C0">
        <w:rPr>
          <w:rFonts w:ascii="Arial" w:hAnsi="Arial"/>
          <w:color w:val="auto"/>
          <w:sz w:val="20"/>
        </w:rPr>
        <w:t xml:space="preserve"> </w:t>
      </w:r>
      <w:r w:rsidRPr="00EA59C0">
        <w:rPr>
          <w:rFonts w:ascii="Arial" w:hAnsi="Arial"/>
          <w:color w:val="auto"/>
          <w:sz w:val="20"/>
        </w:rPr>
        <w:t>Kleinman,</w:t>
      </w:r>
      <w:r w:rsidR="00C026A6" w:rsidRPr="00EA59C0">
        <w:rPr>
          <w:rFonts w:ascii="Arial" w:hAnsi="Arial"/>
          <w:color w:val="auto"/>
          <w:sz w:val="20"/>
        </w:rPr>
        <w:t xml:space="preserve"> </w:t>
      </w:r>
      <w:r w:rsidRPr="00EA59C0">
        <w:rPr>
          <w:rFonts w:ascii="Arial" w:hAnsi="Arial"/>
          <w:color w:val="auto"/>
          <w:sz w:val="20"/>
        </w:rPr>
        <w:t>Annalisa</w:t>
      </w:r>
      <w:r w:rsidR="00C026A6" w:rsidRPr="00EA59C0">
        <w:rPr>
          <w:rFonts w:ascii="Arial" w:hAnsi="Arial"/>
          <w:color w:val="auto"/>
          <w:sz w:val="20"/>
        </w:rPr>
        <w:t xml:space="preserve"> </w:t>
      </w:r>
      <w:r w:rsidRPr="00EA59C0">
        <w:rPr>
          <w:rFonts w:ascii="Arial" w:hAnsi="Arial"/>
          <w:color w:val="auto"/>
          <w:sz w:val="20"/>
        </w:rPr>
        <w:t>Mastri,</w:t>
      </w:r>
      <w:r w:rsidR="00C026A6" w:rsidRPr="00EA59C0">
        <w:rPr>
          <w:rFonts w:ascii="Arial" w:hAnsi="Arial"/>
          <w:color w:val="auto"/>
          <w:sz w:val="20"/>
        </w:rPr>
        <w:t xml:space="preserve"> </w:t>
      </w:r>
      <w:r w:rsidRPr="00EA59C0">
        <w:rPr>
          <w:rFonts w:ascii="Arial" w:hAnsi="Arial"/>
          <w:color w:val="auto"/>
          <w:sz w:val="20"/>
        </w:rPr>
        <w:t>Davin</w:t>
      </w:r>
      <w:r w:rsidR="00C026A6" w:rsidRPr="00EA59C0">
        <w:rPr>
          <w:rFonts w:ascii="Arial" w:hAnsi="Arial"/>
          <w:color w:val="auto"/>
          <w:sz w:val="20"/>
        </w:rPr>
        <w:t xml:space="preserve"> </w:t>
      </w:r>
      <w:r w:rsidRPr="00EA59C0">
        <w:rPr>
          <w:rFonts w:ascii="Arial" w:hAnsi="Arial"/>
          <w:color w:val="auto"/>
          <w:sz w:val="20"/>
        </w:rPr>
        <w:t>Reed,</w:t>
      </w:r>
      <w:r w:rsidR="00C026A6" w:rsidRPr="00EA59C0">
        <w:rPr>
          <w:rFonts w:ascii="Arial" w:hAnsi="Arial"/>
          <w:color w:val="auto"/>
          <w:sz w:val="20"/>
        </w:rPr>
        <w:t xml:space="preserve"> </w:t>
      </w:r>
      <w:r w:rsidRPr="00EA59C0">
        <w:rPr>
          <w:rFonts w:ascii="Arial" w:hAnsi="Arial"/>
          <w:color w:val="auto"/>
          <w:sz w:val="20"/>
        </w:rPr>
        <w:t>Samina</w:t>
      </w:r>
      <w:r w:rsidR="00C026A6" w:rsidRPr="00EA59C0">
        <w:rPr>
          <w:rFonts w:ascii="Arial" w:hAnsi="Arial"/>
          <w:color w:val="auto"/>
          <w:sz w:val="20"/>
        </w:rPr>
        <w:t xml:space="preserve"> </w:t>
      </w:r>
      <w:r w:rsidRPr="00EA59C0">
        <w:rPr>
          <w:rFonts w:ascii="Arial" w:hAnsi="Arial"/>
          <w:color w:val="auto"/>
          <w:sz w:val="20"/>
        </w:rPr>
        <w:t>Sattar,</w:t>
      </w:r>
      <w:r w:rsidR="00C026A6" w:rsidRPr="00EA59C0">
        <w:rPr>
          <w:rFonts w:ascii="Arial" w:hAnsi="Arial"/>
          <w:color w:val="auto"/>
          <w:sz w:val="20"/>
        </w:rPr>
        <w:t xml:space="preserve"> </w:t>
      </w:r>
      <w:r w:rsidRPr="00EA59C0">
        <w:rPr>
          <w:rFonts w:ascii="Arial" w:hAnsi="Arial"/>
          <w:color w:val="auto"/>
          <w:sz w:val="20"/>
        </w:rPr>
        <w:t>and</w:t>
      </w:r>
      <w:r w:rsidR="00C026A6" w:rsidRPr="00EA59C0">
        <w:rPr>
          <w:rFonts w:ascii="Arial" w:hAnsi="Arial"/>
          <w:color w:val="auto"/>
          <w:sz w:val="20"/>
        </w:rPr>
        <w:t xml:space="preserve"> </w:t>
      </w:r>
      <w:r w:rsidRPr="00EA59C0">
        <w:rPr>
          <w:rFonts w:ascii="Arial" w:hAnsi="Arial"/>
          <w:color w:val="auto"/>
          <w:sz w:val="20"/>
        </w:rPr>
        <w:t>Jessica</w:t>
      </w:r>
      <w:r w:rsidR="00C026A6" w:rsidRPr="00EA59C0">
        <w:rPr>
          <w:rFonts w:ascii="Arial" w:hAnsi="Arial"/>
          <w:color w:val="auto"/>
          <w:sz w:val="20"/>
        </w:rPr>
        <w:t xml:space="preserve"> </w:t>
      </w:r>
      <w:r w:rsidRPr="00EA59C0">
        <w:rPr>
          <w:rFonts w:ascii="Arial" w:hAnsi="Arial"/>
          <w:color w:val="auto"/>
          <w:sz w:val="20"/>
        </w:rPr>
        <w:t>Ziegler</w:t>
      </w:r>
      <w:r w:rsidR="00C026A6" w:rsidRPr="00EA59C0">
        <w:rPr>
          <w:rFonts w:ascii="Arial" w:hAnsi="Arial"/>
          <w:color w:val="auto"/>
          <w:sz w:val="20"/>
        </w:rPr>
        <w:t xml:space="preserve"> </w:t>
      </w:r>
      <w:r w:rsidRPr="00EA59C0">
        <w:rPr>
          <w:rFonts w:ascii="Arial" w:hAnsi="Arial"/>
          <w:color w:val="auto"/>
          <w:sz w:val="20"/>
        </w:rPr>
        <w:t>87</w:t>
      </w:r>
      <w:r w:rsidR="00C026A6" w:rsidRPr="00EA59C0">
        <w:rPr>
          <w:rFonts w:ascii="Arial" w:hAnsi="Arial"/>
          <w:color w:val="auto"/>
          <w:sz w:val="20"/>
        </w:rPr>
        <w:t xml:space="preserve"> </w:t>
      </w:r>
    </w:p>
    <w:p w:rsidR="00947328" w:rsidRPr="00EA59C0" w:rsidRDefault="00947328" w:rsidP="00CE2FFB">
      <w:pPr>
        <w:pStyle w:val="Default"/>
        <w:rPr>
          <w:rFonts w:ascii="Arial" w:hAnsi="Arial"/>
          <w:color w:val="auto"/>
          <w:sz w:val="20"/>
        </w:rPr>
      </w:pPr>
      <w:r w:rsidRPr="00EA59C0">
        <w:rPr>
          <w:rFonts w:ascii="Arial" w:hAnsi="Arial"/>
          <w:color w:val="auto"/>
          <w:sz w:val="20"/>
        </w:rPr>
        <w:t>Mathematica</w:t>
      </w:r>
      <w:r w:rsidR="00C026A6" w:rsidRPr="00EA59C0">
        <w:rPr>
          <w:rFonts w:ascii="Arial" w:hAnsi="Arial"/>
          <w:color w:val="auto"/>
          <w:sz w:val="20"/>
        </w:rPr>
        <w:t xml:space="preserve"> </w:t>
      </w:r>
      <w:r w:rsidRPr="00EA59C0">
        <w:rPr>
          <w:rFonts w:ascii="Arial" w:hAnsi="Arial"/>
          <w:color w:val="auto"/>
          <w:sz w:val="20"/>
        </w:rPr>
        <w:t>Policy</w:t>
      </w:r>
      <w:r w:rsidR="00C026A6" w:rsidRPr="00EA59C0">
        <w:rPr>
          <w:rFonts w:ascii="Arial" w:hAnsi="Arial"/>
          <w:color w:val="auto"/>
          <w:sz w:val="20"/>
        </w:rPr>
        <w:t xml:space="preserve"> </w:t>
      </w:r>
      <w:r w:rsidRPr="00EA59C0">
        <w:rPr>
          <w:rFonts w:ascii="Arial" w:hAnsi="Arial"/>
          <w:color w:val="auto"/>
          <w:sz w:val="20"/>
        </w:rPr>
        <w:t>Research</w:t>
      </w:r>
      <w:r w:rsidR="00C026A6" w:rsidRPr="00EA59C0">
        <w:rPr>
          <w:rFonts w:ascii="Arial" w:hAnsi="Arial"/>
          <w:color w:val="auto"/>
          <w:sz w:val="20"/>
        </w:rPr>
        <w:t xml:space="preserve"> </w:t>
      </w:r>
    </w:p>
    <w:p w:rsidR="00947328" w:rsidRPr="00EA59C0" w:rsidRDefault="00947328" w:rsidP="00947328">
      <w:pPr>
        <w:pStyle w:val="Default"/>
        <w:rPr>
          <w:rFonts w:ascii="Arial" w:hAnsi="Arial"/>
          <w:color w:val="auto"/>
          <w:sz w:val="20"/>
        </w:rPr>
      </w:pPr>
      <w:r w:rsidRPr="00EA59C0">
        <w:rPr>
          <w:rFonts w:ascii="Arial" w:hAnsi="Arial"/>
          <w:color w:val="auto"/>
          <w:sz w:val="20"/>
        </w:rPr>
        <w:t>2012</w:t>
      </w:r>
      <w:r w:rsidR="00C026A6" w:rsidRPr="00EA59C0">
        <w:rPr>
          <w:rFonts w:ascii="Arial" w:hAnsi="Arial"/>
          <w:color w:val="auto"/>
          <w:sz w:val="20"/>
        </w:rPr>
        <w:t xml:space="preserve"> </w:t>
      </w:r>
    </w:p>
    <w:p w:rsidR="00947328" w:rsidRPr="00EA59C0" w:rsidRDefault="00DF2916" w:rsidP="00947328">
      <w:pPr>
        <w:pStyle w:val="Default"/>
        <w:rPr>
          <w:rFonts w:ascii="Arial" w:hAnsi="Arial"/>
          <w:color w:val="auto"/>
          <w:sz w:val="20"/>
        </w:rPr>
      </w:pPr>
      <w:hyperlink r:id="rId299" w:history="1">
        <w:r w:rsidR="00947328" w:rsidRPr="00EA59C0">
          <w:rPr>
            <w:rStyle w:val="Hyperlink"/>
            <w:rFonts w:ascii="Arial" w:hAnsi="Arial"/>
            <w:color w:val="auto"/>
            <w:sz w:val="20"/>
          </w:rPr>
          <w:t>http://wdr.doleta.gov/research/FullText_Documents/ETAOP_2012_10.pdf</w:t>
        </w:r>
      </w:hyperlink>
    </w:p>
    <w:p w:rsidR="00947328" w:rsidRPr="00EA59C0" w:rsidRDefault="00947328" w:rsidP="00947328">
      <w:pPr>
        <w:pStyle w:val="Default"/>
        <w:rPr>
          <w:rFonts w:ascii="Arial" w:hAnsi="Arial"/>
          <w:color w:val="auto"/>
          <w:sz w:val="20"/>
        </w:rPr>
      </w:pPr>
    </w:p>
    <w:p w:rsidR="00947328" w:rsidRPr="00EA59C0" w:rsidRDefault="00947328" w:rsidP="00947328">
      <w:pPr>
        <w:pStyle w:val="Default"/>
        <w:rPr>
          <w:rFonts w:ascii="Arial" w:hAnsi="Arial"/>
          <w:color w:val="auto"/>
          <w:sz w:val="20"/>
        </w:rPr>
      </w:pPr>
      <w:r w:rsidRPr="00EA59C0">
        <w:rPr>
          <w:rFonts w:ascii="Arial" w:hAnsi="Arial"/>
          <w:b/>
          <w:color w:val="auto"/>
          <w:sz w:val="20"/>
        </w:rPr>
        <w:t>Benefits</w:t>
      </w:r>
      <w:r w:rsidR="00C026A6" w:rsidRPr="00EA59C0">
        <w:rPr>
          <w:rFonts w:ascii="Arial" w:hAnsi="Arial"/>
          <w:b/>
          <w:color w:val="auto"/>
          <w:sz w:val="20"/>
        </w:rPr>
        <w:t xml:space="preserve"> </w:t>
      </w:r>
      <w:r w:rsidRPr="00EA59C0">
        <w:rPr>
          <w:rFonts w:ascii="Arial" w:hAnsi="Arial"/>
          <w:b/>
          <w:color w:val="auto"/>
          <w:sz w:val="20"/>
        </w:rPr>
        <w:t>of</w:t>
      </w:r>
      <w:r w:rsidR="00C026A6" w:rsidRPr="00EA59C0">
        <w:rPr>
          <w:rFonts w:ascii="Arial" w:hAnsi="Arial"/>
          <w:b/>
          <w:color w:val="auto"/>
          <w:sz w:val="20"/>
        </w:rPr>
        <w:t xml:space="preserve"> </w:t>
      </w:r>
      <w:r w:rsidRPr="00EA59C0">
        <w:rPr>
          <w:rFonts w:ascii="Arial" w:hAnsi="Arial"/>
          <w:b/>
          <w:color w:val="auto"/>
          <w:sz w:val="20"/>
        </w:rPr>
        <w:t>a</w:t>
      </w:r>
      <w:r w:rsidR="00C026A6" w:rsidRPr="00EA59C0">
        <w:rPr>
          <w:rFonts w:ascii="Arial" w:hAnsi="Arial"/>
          <w:b/>
          <w:color w:val="auto"/>
          <w:sz w:val="20"/>
        </w:rPr>
        <w:t xml:space="preserve"> </w:t>
      </w:r>
      <w:r w:rsidRPr="00EA59C0">
        <w:rPr>
          <w:rFonts w:ascii="Arial" w:hAnsi="Arial"/>
          <w:b/>
          <w:color w:val="auto"/>
          <w:sz w:val="20"/>
        </w:rPr>
        <w:t>Sector-Based</w:t>
      </w:r>
      <w:r w:rsidR="00C026A6" w:rsidRPr="00EA59C0">
        <w:rPr>
          <w:rFonts w:ascii="Arial" w:hAnsi="Arial"/>
          <w:b/>
          <w:color w:val="auto"/>
          <w:sz w:val="20"/>
        </w:rPr>
        <w:t xml:space="preserve"> </w:t>
      </w:r>
      <w:r w:rsidRPr="00EA59C0">
        <w:rPr>
          <w:rFonts w:ascii="Arial" w:hAnsi="Arial"/>
          <w:b/>
          <w:color w:val="auto"/>
          <w:sz w:val="20"/>
        </w:rPr>
        <w:t>Approach</w:t>
      </w:r>
      <w:r w:rsidR="00C026A6" w:rsidRPr="00EA59C0">
        <w:rPr>
          <w:rFonts w:ascii="Arial" w:hAnsi="Arial"/>
          <w:b/>
          <w:color w:val="auto"/>
          <w:sz w:val="20"/>
        </w:rPr>
        <w:t xml:space="preserve"> </w:t>
      </w:r>
    </w:p>
    <w:p w:rsidR="00947328" w:rsidRPr="00EA59C0" w:rsidRDefault="00947328" w:rsidP="00947328">
      <w:pPr>
        <w:pStyle w:val="Default"/>
        <w:rPr>
          <w:rFonts w:ascii="Arial" w:hAnsi="Arial"/>
          <w:color w:val="auto"/>
          <w:sz w:val="20"/>
        </w:rPr>
      </w:pPr>
      <w:r w:rsidRPr="00EA59C0">
        <w:rPr>
          <w:rFonts w:ascii="Arial" w:hAnsi="Arial"/>
          <w:color w:val="auto"/>
          <w:sz w:val="20"/>
        </w:rPr>
        <w:t>Sunny</w:t>
      </w:r>
      <w:r w:rsidR="00C026A6" w:rsidRPr="00EA59C0">
        <w:rPr>
          <w:rFonts w:ascii="Arial" w:hAnsi="Arial"/>
          <w:color w:val="auto"/>
          <w:sz w:val="20"/>
        </w:rPr>
        <w:t xml:space="preserve"> </w:t>
      </w:r>
      <w:r w:rsidRPr="00EA59C0">
        <w:rPr>
          <w:rFonts w:ascii="Arial" w:hAnsi="Arial"/>
          <w:color w:val="auto"/>
          <w:sz w:val="20"/>
        </w:rPr>
        <w:t>Schwartz</w:t>
      </w:r>
      <w:r w:rsidR="00C026A6" w:rsidRPr="00EA59C0">
        <w:rPr>
          <w:rFonts w:ascii="Arial" w:hAnsi="Arial"/>
          <w:color w:val="auto"/>
          <w:sz w:val="20"/>
        </w:rPr>
        <w:t xml:space="preserve"> </w:t>
      </w:r>
      <w:r w:rsidRPr="00EA59C0">
        <w:rPr>
          <w:rFonts w:ascii="Arial" w:hAnsi="Arial"/>
          <w:color w:val="auto"/>
          <w:sz w:val="20"/>
        </w:rPr>
        <w:t>and</w:t>
      </w:r>
      <w:r w:rsidR="00C026A6" w:rsidRPr="00EA59C0">
        <w:rPr>
          <w:rFonts w:ascii="Arial" w:hAnsi="Arial"/>
          <w:color w:val="auto"/>
          <w:sz w:val="20"/>
        </w:rPr>
        <w:t xml:space="preserve"> </w:t>
      </w:r>
      <w:r w:rsidRPr="00EA59C0">
        <w:rPr>
          <w:rFonts w:ascii="Arial" w:hAnsi="Arial"/>
          <w:color w:val="auto"/>
          <w:sz w:val="20"/>
        </w:rPr>
        <w:t>Johan</w:t>
      </w:r>
      <w:r w:rsidR="00C026A6" w:rsidRPr="00EA59C0">
        <w:rPr>
          <w:rFonts w:ascii="Arial" w:hAnsi="Arial"/>
          <w:color w:val="auto"/>
          <w:sz w:val="20"/>
        </w:rPr>
        <w:t xml:space="preserve"> </w:t>
      </w:r>
      <w:r w:rsidRPr="00EA59C0">
        <w:rPr>
          <w:rFonts w:ascii="Arial" w:hAnsi="Arial"/>
          <w:color w:val="auto"/>
          <w:sz w:val="20"/>
        </w:rPr>
        <w:t>Uvin</w:t>
      </w:r>
      <w:r w:rsidR="00C026A6" w:rsidRPr="00EA59C0">
        <w:rPr>
          <w:rFonts w:ascii="Arial" w:hAnsi="Arial"/>
          <w:color w:val="auto"/>
          <w:sz w:val="20"/>
        </w:rPr>
        <w:t xml:space="preserve"> </w:t>
      </w:r>
    </w:p>
    <w:p w:rsidR="00947328" w:rsidRPr="00EA59C0" w:rsidRDefault="00947328" w:rsidP="00947328">
      <w:pPr>
        <w:pStyle w:val="Default"/>
        <w:rPr>
          <w:rFonts w:ascii="Arial" w:hAnsi="Arial"/>
          <w:color w:val="auto"/>
          <w:sz w:val="20"/>
        </w:rPr>
      </w:pPr>
      <w:r w:rsidRPr="00EA59C0">
        <w:rPr>
          <w:rFonts w:ascii="Arial" w:hAnsi="Arial"/>
          <w:color w:val="auto"/>
          <w:sz w:val="20"/>
        </w:rPr>
        <w:t>Research</w:t>
      </w:r>
      <w:r w:rsidR="00C026A6" w:rsidRPr="00EA59C0">
        <w:rPr>
          <w:rFonts w:ascii="Arial" w:hAnsi="Arial"/>
          <w:color w:val="auto"/>
          <w:sz w:val="20"/>
        </w:rPr>
        <w:t xml:space="preserve"> </w:t>
      </w:r>
      <w:r w:rsidRPr="00EA59C0">
        <w:rPr>
          <w:rFonts w:ascii="Arial" w:hAnsi="Arial"/>
          <w:color w:val="auto"/>
          <w:sz w:val="20"/>
        </w:rPr>
        <w:t>and</w:t>
      </w:r>
      <w:r w:rsidR="00C026A6" w:rsidRPr="00EA59C0">
        <w:rPr>
          <w:rFonts w:ascii="Arial" w:hAnsi="Arial"/>
          <w:color w:val="auto"/>
          <w:sz w:val="20"/>
        </w:rPr>
        <w:t xml:space="preserve"> </w:t>
      </w:r>
      <w:r w:rsidRPr="00EA59C0">
        <w:rPr>
          <w:rFonts w:ascii="Arial" w:hAnsi="Arial"/>
          <w:color w:val="auto"/>
          <w:sz w:val="20"/>
        </w:rPr>
        <w:t>Evaluation</w:t>
      </w:r>
      <w:r w:rsidR="00C026A6" w:rsidRPr="00EA59C0">
        <w:rPr>
          <w:rFonts w:ascii="Arial" w:hAnsi="Arial"/>
          <w:color w:val="auto"/>
          <w:sz w:val="20"/>
        </w:rPr>
        <w:t xml:space="preserve"> </w:t>
      </w:r>
      <w:r w:rsidRPr="00EA59C0">
        <w:rPr>
          <w:rFonts w:ascii="Arial" w:hAnsi="Arial"/>
          <w:color w:val="auto"/>
          <w:sz w:val="20"/>
        </w:rPr>
        <w:t>Brief</w:t>
      </w:r>
      <w:r w:rsidR="00C026A6" w:rsidRPr="00EA59C0">
        <w:rPr>
          <w:rFonts w:ascii="Arial" w:hAnsi="Arial"/>
          <w:color w:val="auto"/>
          <w:sz w:val="20"/>
        </w:rPr>
        <w:t xml:space="preserve"> </w:t>
      </w:r>
      <w:r w:rsidRPr="00EA59C0">
        <w:rPr>
          <w:rFonts w:ascii="Arial" w:hAnsi="Arial"/>
          <w:color w:val="auto"/>
          <w:sz w:val="20"/>
        </w:rPr>
        <w:t>2,</w:t>
      </w:r>
      <w:r w:rsidR="00C026A6" w:rsidRPr="00EA59C0">
        <w:rPr>
          <w:rFonts w:ascii="Arial" w:hAnsi="Arial"/>
          <w:color w:val="auto"/>
          <w:sz w:val="20"/>
        </w:rPr>
        <w:t xml:space="preserve"> </w:t>
      </w:r>
      <w:r w:rsidRPr="00EA59C0">
        <w:rPr>
          <w:rFonts w:ascii="Arial" w:hAnsi="Arial"/>
          <w:color w:val="auto"/>
          <w:sz w:val="20"/>
        </w:rPr>
        <w:t>3:</w:t>
      </w:r>
      <w:r w:rsidR="00C026A6" w:rsidRPr="00EA59C0">
        <w:rPr>
          <w:rFonts w:ascii="Arial" w:hAnsi="Arial"/>
          <w:color w:val="auto"/>
          <w:sz w:val="20"/>
        </w:rPr>
        <w:t xml:space="preserve"> </w:t>
      </w:r>
      <w:r w:rsidRPr="00EA59C0">
        <w:rPr>
          <w:rFonts w:ascii="Arial" w:hAnsi="Arial"/>
          <w:color w:val="auto"/>
          <w:sz w:val="20"/>
        </w:rPr>
        <w:t>1-4</w:t>
      </w:r>
      <w:r w:rsidR="00C026A6" w:rsidRPr="00EA59C0">
        <w:rPr>
          <w:rFonts w:ascii="Arial" w:hAnsi="Arial"/>
          <w:color w:val="auto"/>
          <w:sz w:val="20"/>
        </w:rPr>
        <w:t xml:space="preserve"> </w:t>
      </w:r>
    </w:p>
    <w:p w:rsidR="00947328" w:rsidRPr="00EA59C0" w:rsidRDefault="00947328" w:rsidP="00CE2FFB">
      <w:pPr>
        <w:ind w:right="-180"/>
        <w:rPr>
          <w:rFonts w:ascii="Arial" w:hAnsi="Arial"/>
          <w:b/>
          <w:sz w:val="20"/>
        </w:rPr>
      </w:pPr>
      <w:r w:rsidRPr="00EA59C0">
        <w:rPr>
          <w:rFonts w:ascii="Arial" w:hAnsi="Arial"/>
          <w:sz w:val="20"/>
        </w:rPr>
        <w:t>2004</w:t>
      </w:r>
    </w:p>
    <w:p w:rsidR="004073E6" w:rsidRPr="00EA59C0" w:rsidRDefault="004073E6" w:rsidP="00947328">
      <w:pPr>
        <w:pStyle w:val="Default"/>
        <w:rPr>
          <w:rFonts w:ascii="Arial" w:hAnsi="Arial" w:cs="Arial"/>
          <w:color w:val="auto"/>
          <w:sz w:val="20"/>
        </w:rPr>
        <w:sectPr w:rsidR="004073E6" w:rsidRPr="00EA59C0" w:rsidSect="004073E6">
          <w:type w:val="continuous"/>
          <w:pgSz w:w="12240" w:h="15840"/>
          <w:pgMar w:top="1440" w:right="1440" w:bottom="1440" w:left="1440" w:header="720" w:footer="720" w:gutter="0"/>
          <w:cols w:num="2" w:space="720"/>
          <w:docGrid w:linePitch="360"/>
        </w:sectPr>
      </w:pPr>
    </w:p>
    <w:p w:rsidR="00947328" w:rsidRPr="00EA59C0" w:rsidRDefault="00947328" w:rsidP="00947328">
      <w:pPr>
        <w:pStyle w:val="Default"/>
        <w:rPr>
          <w:rFonts w:ascii="Arial" w:hAnsi="Arial" w:cs="Arial"/>
          <w:color w:val="auto"/>
          <w:sz w:val="20"/>
        </w:rPr>
      </w:pPr>
    </w:p>
    <w:p w:rsidR="008826BE" w:rsidRPr="00EA59C0" w:rsidRDefault="008826BE" w:rsidP="00DB00BB">
      <w:pPr>
        <w:spacing w:after="120"/>
        <w:rPr>
          <w:rFonts w:ascii="Arial" w:hAnsi="Arial" w:cs="Arial"/>
          <w:b/>
          <w:sz w:val="22"/>
          <w:szCs w:val="22"/>
        </w:rPr>
      </w:pPr>
      <w:r w:rsidRPr="00EA59C0">
        <w:rPr>
          <w:rFonts w:ascii="Arial" w:hAnsi="Arial" w:cs="Arial"/>
          <w:b/>
          <w:sz w:val="22"/>
          <w:szCs w:val="22"/>
        </w:rPr>
        <w:br w:type="page"/>
      </w:r>
    </w:p>
    <w:p w:rsidR="008826BE" w:rsidRPr="00EA59C0" w:rsidRDefault="008826BE" w:rsidP="008826BE">
      <w:pPr>
        <w:spacing w:line="480" w:lineRule="auto"/>
        <w:ind w:right="-180"/>
        <w:rPr>
          <w:rFonts w:ascii="Arial" w:hAnsi="Arial"/>
          <w:b/>
          <w:sz w:val="20"/>
        </w:rPr>
      </w:pPr>
      <w:r w:rsidRPr="00EA59C0">
        <w:rPr>
          <w:rFonts w:ascii="Arial" w:hAnsi="Arial"/>
          <w:b/>
          <w:sz w:val="20"/>
        </w:rPr>
        <w:t>Appendix</w:t>
      </w:r>
      <w:r w:rsidR="00C026A6" w:rsidRPr="00EA59C0">
        <w:rPr>
          <w:rFonts w:ascii="Arial" w:hAnsi="Arial"/>
          <w:b/>
          <w:sz w:val="20"/>
        </w:rPr>
        <w:t xml:space="preserve"> </w:t>
      </w:r>
      <w:r w:rsidRPr="00EA59C0">
        <w:rPr>
          <w:rFonts w:ascii="Arial" w:hAnsi="Arial"/>
          <w:b/>
          <w:sz w:val="20"/>
        </w:rPr>
        <w:t>B:</w:t>
      </w:r>
      <w:r w:rsidR="00C026A6" w:rsidRPr="00EA59C0">
        <w:rPr>
          <w:rFonts w:ascii="Arial" w:hAnsi="Arial"/>
          <w:b/>
          <w:sz w:val="20"/>
        </w:rPr>
        <w:t xml:space="preserve">  </w:t>
      </w:r>
      <w:r w:rsidRPr="00EA59C0">
        <w:rPr>
          <w:rFonts w:ascii="Arial" w:hAnsi="Arial"/>
          <w:b/>
          <w:sz w:val="20"/>
        </w:rPr>
        <w:t>Strength</w:t>
      </w:r>
      <w:r w:rsidR="00C026A6" w:rsidRPr="00EA59C0">
        <w:rPr>
          <w:rFonts w:ascii="Arial" w:hAnsi="Arial"/>
          <w:b/>
          <w:sz w:val="20"/>
        </w:rPr>
        <w:t xml:space="preserve"> </w:t>
      </w:r>
      <w:r w:rsidRPr="00EA59C0">
        <w:rPr>
          <w:rFonts w:ascii="Arial" w:hAnsi="Arial"/>
          <w:b/>
          <w:sz w:val="20"/>
        </w:rPr>
        <w:t>of</w:t>
      </w:r>
      <w:r w:rsidR="00C026A6" w:rsidRPr="00EA59C0">
        <w:rPr>
          <w:rFonts w:ascii="Arial" w:hAnsi="Arial"/>
          <w:b/>
          <w:sz w:val="20"/>
        </w:rPr>
        <w:t xml:space="preserve"> </w:t>
      </w:r>
      <w:r w:rsidRPr="00EA59C0">
        <w:rPr>
          <w:rFonts w:ascii="Arial" w:hAnsi="Arial"/>
          <w:b/>
          <w:sz w:val="20"/>
        </w:rPr>
        <w:t>Evidence</w:t>
      </w:r>
      <w:r w:rsidR="00C026A6" w:rsidRPr="00EA59C0">
        <w:rPr>
          <w:rFonts w:ascii="Arial" w:hAnsi="Arial"/>
          <w:b/>
          <w:sz w:val="20"/>
        </w:rPr>
        <w:t xml:space="preserve"> </w:t>
      </w:r>
      <w:r w:rsidRPr="00EA59C0">
        <w:rPr>
          <w:rFonts w:ascii="Arial" w:hAnsi="Arial"/>
          <w:b/>
          <w:sz w:val="20"/>
        </w:rPr>
        <w:t>Definitions</w:t>
      </w:r>
    </w:p>
    <w:p w:rsidR="008826BE" w:rsidRPr="00EA59C0" w:rsidRDefault="008826BE" w:rsidP="00DB00BB">
      <w:pPr>
        <w:rPr>
          <w:rFonts w:ascii="Arial" w:hAnsi="Arial"/>
          <w:sz w:val="20"/>
        </w:rPr>
      </w:pPr>
      <w:r w:rsidRPr="00EA59C0">
        <w:rPr>
          <w:rFonts w:ascii="Arial" w:hAnsi="Arial"/>
          <w:sz w:val="20"/>
        </w:rPr>
        <w:t>All</w:t>
      </w:r>
      <w:r w:rsidR="00C026A6" w:rsidRPr="00EA59C0">
        <w:rPr>
          <w:rFonts w:ascii="Arial" w:hAnsi="Arial"/>
          <w:sz w:val="20"/>
        </w:rPr>
        <w:t xml:space="preserve"> </w:t>
      </w:r>
      <w:r w:rsidRPr="00EA59C0">
        <w:rPr>
          <w:rFonts w:ascii="Arial" w:hAnsi="Arial"/>
          <w:sz w:val="20"/>
        </w:rPr>
        <w:t>applicants</w:t>
      </w:r>
      <w:r w:rsidR="00C026A6" w:rsidRPr="00EA59C0">
        <w:rPr>
          <w:rFonts w:ascii="Arial" w:hAnsi="Arial"/>
          <w:sz w:val="20"/>
        </w:rPr>
        <w:t xml:space="preserve"> </w:t>
      </w:r>
      <w:r w:rsidRPr="00EA59C0">
        <w:rPr>
          <w:rFonts w:ascii="Arial" w:hAnsi="Arial"/>
          <w:sz w:val="20"/>
        </w:rPr>
        <w:t>must</w:t>
      </w:r>
      <w:r w:rsidR="00C026A6" w:rsidRPr="00EA59C0">
        <w:rPr>
          <w:rFonts w:ascii="Arial" w:hAnsi="Arial"/>
          <w:sz w:val="20"/>
        </w:rPr>
        <w:t xml:space="preserve"> </w:t>
      </w:r>
      <w:r w:rsidRPr="00EA59C0">
        <w:rPr>
          <w:rFonts w:ascii="Arial" w:hAnsi="Arial"/>
          <w:sz w:val="20"/>
        </w:rPr>
        <w:t>base</w:t>
      </w:r>
      <w:r w:rsidR="00C026A6" w:rsidRPr="00EA59C0">
        <w:rPr>
          <w:rFonts w:ascii="Arial" w:hAnsi="Arial"/>
          <w:sz w:val="20"/>
        </w:rPr>
        <w:t xml:space="preserve"> </w:t>
      </w:r>
      <w:r w:rsidRPr="00EA59C0">
        <w:rPr>
          <w:rFonts w:ascii="Arial" w:hAnsi="Arial"/>
          <w:sz w:val="20"/>
        </w:rPr>
        <w:t>their</w:t>
      </w:r>
      <w:r w:rsidR="00C026A6" w:rsidRPr="00EA59C0">
        <w:rPr>
          <w:rFonts w:ascii="Arial" w:hAnsi="Arial"/>
          <w:sz w:val="20"/>
        </w:rPr>
        <w:t xml:space="preserve"> </w:t>
      </w:r>
      <w:r w:rsidRPr="00EA59C0">
        <w:rPr>
          <w:rFonts w:ascii="Arial" w:hAnsi="Arial"/>
          <w:sz w:val="20"/>
        </w:rPr>
        <w:t>project</w:t>
      </w:r>
      <w:r w:rsidR="00C026A6" w:rsidRPr="00EA59C0">
        <w:rPr>
          <w:rFonts w:ascii="Arial" w:hAnsi="Arial"/>
          <w:sz w:val="20"/>
        </w:rPr>
        <w:t xml:space="preserve"> </w:t>
      </w:r>
      <w:r w:rsidRPr="00EA59C0">
        <w:rPr>
          <w:rFonts w:ascii="Arial" w:hAnsi="Arial"/>
          <w:sz w:val="20"/>
        </w:rPr>
        <w:t>design</w:t>
      </w:r>
      <w:r w:rsidR="00C026A6" w:rsidRPr="00EA59C0">
        <w:rPr>
          <w:rFonts w:ascii="Arial" w:hAnsi="Arial"/>
          <w:sz w:val="20"/>
        </w:rPr>
        <w:t xml:space="preserve"> </w:t>
      </w:r>
      <w:r w:rsidRPr="00EA59C0">
        <w:rPr>
          <w:rFonts w:ascii="Arial" w:hAnsi="Arial"/>
          <w:sz w:val="20"/>
        </w:rPr>
        <w:t>on</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level</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evidence</w:t>
      </w:r>
      <w:r w:rsidR="00C026A6" w:rsidRPr="00EA59C0">
        <w:rPr>
          <w:rFonts w:ascii="Arial" w:hAnsi="Arial"/>
          <w:sz w:val="20"/>
        </w:rPr>
        <w:t xml:space="preserve"> </w:t>
      </w:r>
      <w:r w:rsidRPr="00EA59C0">
        <w:rPr>
          <w:rFonts w:ascii="Arial" w:hAnsi="Arial"/>
          <w:sz w:val="20"/>
        </w:rPr>
        <w:t>that</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appropriate</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project</w:t>
      </w:r>
      <w:r w:rsidR="00C026A6" w:rsidRPr="00EA59C0">
        <w:rPr>
          <w:rFonts w:ascii="Arial" w:hAnsi="Arial"/>
          <w:sz w:val="20"/>
        </w:rPr>
        <w:t xml:space="preserve"> </w:t>
      </w:r>
      <w:r w:rsidRPr="00EA59C0">
        <w:rPr>
          <w:rFonts w:ascii="Arial" w:hAnsi="Arial"/>
          <w:sz w:val="20"/>
        </w:rPr>
        <w:t>proposed.</w:t>
      </w:r>
      <w:r w:rsidR="00C026A6" w:rsidRPr="00EA59C0">
        <w:rPr>
          <w:rFonts w:ascii="Arial" w:hAnsi="Arial"/>
          <w:sz w:val="20"/>
        </w:rPr>
        <w:t xml:space="preserve"> </w:t>
      </w:r>
      <w:r w:rsidR="00C026A6" w:rsidRPr="00EA59C0">
        <w:rPr>
          <w:rFonts w:ascii="Arial" w:hAnsi="Arial" w:cs="Arial"/>
          <w:sz w:val="20"/>
          <w:szCs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following</w:t>
      </w:r>
      <w:r w:rsidR="00C026A6" w:rsidRPr="00EA59C0">
        <w:rPr>
          <w:rFonts w:ascii="Arial" w:hAnsi="Arial"/>
          <w:sz w:val="20"/>
        </w:rPr>
        <w:t xml:space="preserve"> </w:t>
      </w:r>
      <w:r w:rsidRPr="00EA59C0">
        <w:rPr>
          <w:rFonts w:ascii="Arial" w:hAnsi="Arial"/>
          <w:sz w:val="20"/>
        </w:rPr>
        <w:t>strength</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evidence</w:t>
      </w:r>
      <w:r w:rsidR="00C026A6" w:rsidRPr="00EA59C0">
        <w:rPr>
          <w:rFonts w:ascii="Arial" w:hAnsi="Arial"/>
          <w:sz w:val="20"/>
        </w:rPr>
        <w:t xml:space="preserve"> </w:t>
      </w:r>
      <w:r w:rsidRPr="00EA59C0">
        <w:rPr>
          <w:rFonts w:ascii="Arial" w:hAnsi="Arial"/>
          <w:sz w:val="20"/>
        </w:rPr>
        <w:t>definitions</w:t>
      </w:r>
      <w:r w:rsidR="00C026A6" w:rsidRPr="00EA59C0">
        <w:rPr>
          <w:rFonts w:ascii="Arial" w:hAnsi="Arial"/>
          <w:sz w:val="20"/>
        </w:rPr>
        <w:t xml:space="preserve"> </w:t>
      </w:r>
      <w:r w:rsidRPr="00EA59C0">
        <w:rPr>
          <w:rFonts w:ascii="Arial" w:hAnsi="Arial"/>
          <w:sz w:val="20"/>
        </w:rPr>
        <w:t>should</w:t>
      </w:r>
      <w:r w:rsidR="00C026A6" w:rsidRPr="00EA59C0">
        <w:rPr>
          <w:rFonts w:ascii="Arial" w:hAnsi="Arial"/>
          <w:sz w:val="20"/>
        </w:rPr>
        <w:t xml:space="preserve"> </w:t>
      </w:r>
      <w:r w:rsidRPr="00EA59C0">
        <w:rPr>
          <w:rFonts w:ascii="Arial" w:hAnsi="Arial"/>
          <w:sz w:val="20"/>
        </w:rPr>
        <w:t>be</w:t>
      </w:r>
      <w:r w:rsidR="00C026A6" w:rsidRPr="00EA59C0">
        <w:rPr>
          <w:rFonts w:ascii="Arial" w:hAnsi="Arial"/>
          <w:sz w:val="20"/>
        </w:rPr>
        <w:t xml:space="preserve"> </w:t>
      </w:r>
      <w:r w:rsidRPr="00EA59C0">
        <w:rPr>
          <w:rFonts w:ascii="Arial" w:hAnsi="Arial"/>
          <w:sz w:val="20"/>
        </w:rPr>
        <w:t>used</w:t>
      </w:r>
      <w:r w:rsidR="00C026A6" w:rsidRPr="00EA59C0">
        <w:rPr>
          <w:rFonts w:ascii="Arial" w:hAnsi="Arial"/>
          <w:sz w:val="20"/>
        </w:rPr>
        <w:t xml:space="preserve"> </w:t>
      </w:r>
      <w:r w:rsidRPr="00EA59C0">
        <w:rPr>
          <w:rFonts w:ascii="Arial" w:hAnsi="Arial"/>
          <w:sz w:val="20"/>
        </w:rPr>
        <w:t>when</w:t>
      </w:r>
      <w:r w:rsidR="00C026A6" w:rsidRPr="00EA59C0">
        <w:rPr>
          <w:rFonts w:ascii="Arial" w:hAnsi="Arial"/>
          <w:sz w:val="20"/>
        </w:rPr>
        <w:t xml:space="preserve"> </w:t>
      </w:r>
      <w:r w:rsidRPr="00EA59C0">
        <w:rPr>
          <w:rFonts w:ascii="Arial" w:hAnsi="Arial"/>
          <w:sz w:val="20"/>
        </w:rPr>
        <w:t>justifying</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proposal:</w:t>
      </w:r>
    </w:p>
    <w:p w:rsidR="008826BE" w:rsidRPr="00EA59C0" w:rsidRDefault="008826BE" w:rsidP="00DB00BB">
      <w:pPr>
        <w:rPr>
          <w:rFonts w:ascii="Arial" w:hAnsi="Arial"/>
          <w:sz w:val="20"/>
        </w:rPr>
      </w:pPr>
    </w:p>
    <w:p w:rsidR="008826BE" w:rsidRPr="00EA59C0" w:rsidRDefault="008826BE" w:rsidP="00DB00BB">
      <w:pPr>
        <w:rPr>
          <w:rFonts w:ascii="Arial" w:eastAsia="Calibri" w:hAnsi="Arial"/>
          <w:sz w:val="20"/>
        </w:rPr>
      </w:pPr>
      <w:r w:rsidRPr="00EA59C0">
        <w:rPr>
          <w:rFonts w:ascii="Arial" w:eastAsia="Calibri" w:hAnsi="Arial"/>
          <w:b/>
          <w:i/>
          <w:sz w:val="20"/>
          <w:u w:val="single"/>
        </w:rPr>
        <w:t>Strong</w:t>
      </w:r>
      <w:r w:rsidR="00C026A6" w:rsidRPr="00EA59C0">
        <w:rPr>
          <w:rFonts w:ascii="Arial" w:eastAsia="Calibri" w:hAnsi="Arial"/>
          <w:b/>
          <w:i/>
          <w:sz w:val="20"/>
          <w:u w:val="single"/>
        </w:rPr>
        <w:t xml:space="preserve"> </w:t>
      </w:r>
      <w:r w:rsidRPr="00EA59C0">
        <w:rPr>
          <w:rFonts w:ascii="Arial" w:eastAsia="Calibri" w:hAnsi="Arial"/>
          <w:b/>
          <w:i/>
          <w:sz w:val="20"/>
          <w:u w:val="single"/>
        </w:rPr>
        <w:t>evidence</w:t>
      </w:r>
      <w:r w:rsidR="00C026A6" w:rsidRPr="00EA59C0">
        <w:rPr>
          <w:rFonts w:ascii="Arial" w:eastAsia="Calibri" w:hAnsi="Arial"/>
          <w:b/>
          <w:i/>
          <w:sz w:val="20"/>
          <w:u w:val="single"/>
        </w:rPr>
        <w:t xml:space="preserve"> </w:t>
      </w:r>
      <w:r w:rsidRPr="00EA59C0">
        <w:rPr>
          <w:rFonts w:ascii="Arial" w:eastAsia="Calibri" w:hAnsi="Arial"/>
          <w:b/>
          <w:i/>
          <w:sz w:val="20"/>
          <w:u w:val="single"/>
        </w:rPr>
        <w:t>of</w:t>
      </w:r>
      <w:r w:rsidR="00C026A6" w:rsidRPr="00EA59C0">
        <w:rPr>
          <w:rFonts w:ascii="Arial" w:eastAsia="Calibri" w:hAnsi="Arial"/>
          <w:b/>
          <w:i/>
          <w:sz w:val="20"/>
          <w:u w:val="single"/>
        </w:rPr>
        <w:t xml:space="preserve"> </w:t>
      </w:r>
      <w:r w:rsidRPr="00EA59C0">
        <w:rPr>
          <w:rFonts w:ascii="Arial" w:eastAsia="Calibri" w:hAnsi="Arial"/>
          <w:b/>
          <w:i/>
          <w:sz w:val="20"/>
          <w:u w:val="single"/>
        </w:rPr>
        <w:t>effectiveness</w:t>
      </w:r>
      <w:r w:rsidR="00C026A6" w:rsidRPr="00EA59C0">
        <w:rPr>
          <w:rFonts w:ascii="Arial" w:eastAsia="Calibri" w:hAnsi="Arial"/>
          <w:sz w:val="20"/>
        </w:rPr>
        <w:t xml:space="preserve"> </w:t>
      </w:r>
      <w:r w:rsidRPr="00EA59C0">
        <w:rPr>
          <w:rFonts w:ascii="Arial" w:eastAsia="Calibri" w:hAnsi="Arial"/>
          <w:sz w:val="20"/>
        </w:rPr>
        <w:t>means</w:t>
      </w:r>
      <w:r w:rsidR="00C026A6" w:rsidRPr="00EA59C0">
        <w:rPr>
          <w:rFonts w:ascii="Arial" w:eastAsia="Calibri" w:hAnsi="Arial"/>
          <w:sz w:val="20"/>
        </w:rPr>
        <w:t xml:space="preserve"> </w:t>
      </w:r>
      <w:r w:rsidRPr="00EA59C0">
        <w:rPr>
          <w:rFonts w:ascii="Arial" w:eastAsia="Calibri" w:hAnsi="Arial"/>
          <w:sz w:val="20"/>
        </w:rPr>
        <w:t>one</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following</w:t>
      </w:r>
      <w:r w:rsidR="00C026A6" w:rsidRPr="00EA59C0">
        <w:rPr>
          <w:rFonts w:ascii="Arial" w:eastAsia="Calibri" w:hAnsi="Arial"/>
          <w:sz w:val="20"/>
        </w:rPr>
        <w:t xml:space="preserve"> </w:t>
      </w:r>
      <w:r w:rsidRPr="00EA59C0">
        <w:rPr>
          <w:rFonts w:ascii="Arial" w:eastAsia="Calibri" w:hAnsi="Arial"/>
          <w:sz w:val="20"/>
        </w:rPr>
        <w:t>conditions</w:t>
      </w:r>
      <w:r w:rsidR="00C026A6" w:rsidRPr="00EA59C0">
        <w:rPr>
          <w:rFonts w:ascii="Arial" w:eastAsia="Calibri" w:hAnsi="Arial"/>
          <w:sz w:val="20"/>
        </w:rPr>
        <w:t xml:space="preserve"> </w:t>
      </w:r>
      <w:r w:rsidRPr="00EA59C0">
        <w:rPr>
          <w:rFonts w:ascii="Arial" w:eastAsia="Calibri" w:hAnsi="Arial"/>
          <w:sz w:val="20"/>
        </w:rPr>
        <w:t>is</w:t>
      </w:r>
      <w:r w:rsidR="00C026A6" w:rsidRPr="00EA59C0">
        <w:rPr>
          <w:rFonts w:ascii="Arial" w:eastAsia="Calibri" w:hAnsi="Arial"/>
          <w:sz w:val="20"/>
        </w:rPr>
        <w:t xml:space="preserve"> </w:t>
      </w:r>
      <w:r w:rsidRPr="00EA59C0">
        <w:rPr>
          <w:rFonts w:ascii="Arial" w:eastAsia="Calibri" w:hAnsi="Arial"/>
          <w:sz w:val="20"/>
        </w:rPr>
        <w:t>met:</w:t>
      </w:r>
      <w:r w:rsidR="00C026A6" w:rsidRPr="00EA59C0">
        <w:rPr>
          <w:rFonts w:ascii="Arial" w:eastAsia="Calibri" w:hAnsi="Arial"/>
          <w:sz w:val="20"/>
        </w:rPr>
        <w:t xml:space="preserve"> </w:t>
      </w:r>
    </w:p>
    <w:p w:rsidR="008826BE" w:rsidRPr="00EA59C0" w:rsidRDefault="008826BE" w:rsidP="00DB00BB">
      <w:pPr>
        <w:rPr>
          <w:rFonts w:ascii="Arial" w:eastAsia="Calibri" w:hAnsi="Arial"/>
          <w:sz w:val="20"/>
        </w:rPr>
      </w:pPr>
    </w:p>
    <w:p w:rsidR="008826BE" w:rsidRPr="00EA59C0" w:rsidRDefault="008826BE" w:rsidP="00080097">
      <w:pPr>
        <w:pStyle w:val="ListParagraph"/>
        <w:numPr>
          <w:ilvl w:val="0"/>
          <w:numId w:val="48"/>
        </w:numPr>
        <w:rPr>
          <w:rFonts w:ascii="Arial" w:eastAsia="Calibri" w:hAnsi="Arial"/>
          <w:sz w:val="20"/>
        </w:rPr>
      </w:pPr>
      <w:r w:rsidRPr="00EA59C0">
        <w:rPr>
          <w:rFonts w:ascii="Arial" w:eastAsia="Calibri" w:hAnsi="Arial"/>
          <w:sz w:val="20"/>
        </w:rPr>
        <w:t>There</w:t>
      </w:r>
      <w:r w:rsidR="00C026A6" w:rsidRPr="00EA59C0">
        <w:rPr>
          <w:rFonts w:ascii="Arial" w:eastAsia="Calibri" w:hAnsi="Arial"/>
          <w:sz w:val="20"/>
        </w:rPr>
        <w:t xml:space="preserve"> </w:t>
      </w:r>
      <w:r w:rsidRPr="00EA59C0">
        <w:rPr>
          <w:rFonts w:ascii="Arial" w:eastAsia="Calibri" w:hAnsi="Arial"/>
          <w:sz w:val="20"/>
        </w:rPr>
        <w:t>is</w:t>
      </w:r>
      <w:r w:rsidR="00C026A6" w:rsidRPr="00EA59C0">
        <w:rPr>
          <w:rFonts w:ascii="Arial" w:eastAsia="Calibri" w:hAnsi="Arial"/>
          <w:sz w:val="20"/>
        </w:rPr>
        <w:t xml:space="preserve"> </w:t>
      </w:r>
      <w:r w:rsidRPr="00EA59C0">
        <w:rPr>
          <w:rFonts w:ascii="Arial" w:eastAsia="Calibri" w:hAnsi="Arial"/>
          <w:sz w:val="20"/>
        </w:rPr>
        <w:t>at</w:t>
      </w:r>
      <w:r w:rsidR="00C026A6" w:rsidRPr="00EA59C0">
        <w:rPr>
          <w:rFonts w:ascii="Arial" w:eastAsia="Calibri" w:hAnsi="Arial"/>
          <w:sz w:val="20"/>
        </w:rPr>
        <w:t xml:space="preserve"> </w:t>
      </w:r>
      <w:r w:rsidRPr="00EA59C0">
        <w:rPr>
          <w:rFonts w:ascii="Arial" w:eastAsia="Calibri" w:hAnsi="Arial"/>
          <w:sz w:val="20"/>
        </w:rPr>
        <w:t>least</w:t>
      </w:r>
      <w:r w:rsidR="00C026A6" w:rsidRPr="00EA59C0">
        <w:rPr>
          <w:rFonts w:ascii="Arial" w:eastAsia="Calibri" w:hAnsi="Arial"/>
          <w:sz w:val="20"/>
        </w:rPr>
        <w:t xml:space="preserve"> </w:t>
      </w:r>
      <w:r w:rsidRPr="00EA59C0">
        <w:rPr>
          <w:rFonts w:ascii="Arial" w:eastAsia="Calibri" w:hAnsi="Arial"/>
          <w:sz w:val="20"/>
        </w:rPr>
        <w:t>one</w:t>
      </w:r>
      <w:r w:rsidR="00C026A6" w:rsidRPr="00EA59C0">
        <w:rPr>
          <w:rFonts w:ascii="Arial" w:eastAsia="Calibri" w:hAnsi="Arial"/>
          <w:sz w:val="20"/>
        </w:rPr>
        <w:t xml:space="preserve"> </w:t>
      </w:r>
      <w:r w:rsidRPr="00EA59C0">
        <w:rPr>
          <w:rFonts w:ascii="Arial" w:eastAsia="Calibri" w:hAnsi="Arial"/>
          <w:sz w:val="20"/>
        </w:rPr>
        <w:t>study</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effectiveness</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process,</w:t>
      </w:r>
      <w:r w:rsidR="00C026A6" w:rsidRPr="00EA59C0">
        <w:rPr>
          <w:rFonts w:ascii="Arial" w:eastAsia="Calibri" w:hAnsi="Arial"/>
          <w:sz w:val="20"/>
        </w:rPr>
        <w:t xml:space="preserve"> </w:t>
      </w:r>
      <w:r w:rsidRPr="00EA59C0">
        <w:rPr>
          <w:rFonts w:ascii="Arial" w:eastAsia="Calibri" w:hAnsi="Arial"/>
          <w:sz w:val="20"/>
        </w:rPr>
        <w:t>product,</w:t>
      </w:r>
      <w:r w:rsidR="00C026A6" w:rsidRPr="00EA59C0">
        <w:rPr>
          <w:rFonts w:ascii="Arial" w:eastAsia="Calibri" w:hAnsi="Arial"/>
          <w:sz w:val="20"/>
        </w:rPr>
        <w:t xml:space="preserve"> </w:t>
      </w:r>
      <w:r w:rsidRPr="00EA59C0">
        <w:rPr>
          <w:rFonts w:ascii="Arial" w:eastAsia="Calibri" w:hAnsi="Arial"/>
          <w:sz w:val="20"/>
        </w:rPr>
        <w:t>strategy,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practice</w:t>
      </w:r>
      <w:r w:rsidR="00C026A6" w:rsidRPr="00EA59C0">
        <w:rPr>
          <w:rFonts w:ascii="Arial" w:eastAsia="Calibri" w:hAnsi="Arial"/>
          <w:sz w:val="20"/>
        </w:rPr>
        <w:t xml:space="preserve"> </w:t>
      </w:r>
      <w:r w:rsidRPr="00EA59C0">
        <w:rPr>
          <w:rFonts w:ascii="Arial" w:eastAsia="Calibri" w:hAnsi="Arial"/>
          <w:sz w:val="20"/>
        </w:rPr>
        <w:t>being</w:t>
      </w:r>
      <w:r w:rsidR="00C026A6" w:rsidRPr="00EA59C0">
        <w:rPr>
          <w:rFonts w:ascii="Arial" w:eastAsia="Calibri" w:hAnsi="Arial"/>
          <w:sz w:val="20"/>
        </w:rPr>
        <w:t xml:space="preserve"> </w:t>
      </w:r>
      <w:r w:rsidRPr="00EA59C0">
        <w:rPr>
          <w:rFonts w:ascii="Arial" w:eastAsia="Calibri" w:hAnsi="Arial"/>
          <w:sz w:val="20"/>
        </w:rPr>
        <w:t>proposed</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meets</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What</w:t>
      </w:r>
      <w:r w:rsidR="00C026A6" w:rsidRPr="00EA59C0">
        <w:rPr>
          <w:rFonts w:ascii="Arial" w:eastAsia="Calibri" w:hAnsi="Arial"/>
          <w:sz w:val="20"/>
        </w:rPr>
        <w:t xml:space="preserve"> </w:t>
      </w:r>
      <w:r w:rsidRPr="00EA59C0">
        <w:rPr>
          <w:rFonts w:ascii="Arial" w:eastAsia="Calibri" w:hAnsi="Arial"/>
          <w:sz w:val="20"/>
        </w:rPr>
        <w:t>Works</w:t>
      </w:r>
      <w:r w:rsidR="00C026A6" w:rsidRPr="00EA59C0">
        <w:rPr>
          <w:rFonts w:ascii="Arial" w:eastAsia="Calibri" w:hAnsi="Arial"/>
          <w:sz w:val="20"/>
        </w:rPr>
        <w:t xml:space="preserve"> </w:t>
      </w:r>
      <w:r w:rsidRPr="00EA59C0">
        <w:rPr>
          <w:rFonts w:ascii="Arial" w:eastAsia="Calibri" w:hAnsi="Arial"/>
          <w:sz w:val="20"/>
        </w:rPr>
        <w:t>Clearinghouse</w:t>
      </w:r>
      <w:r w:rsidR="00C026A6" w:rsidRPr="00EA59C0">
        <w:rPr>
          <w:rFonts w:ascii="Arial" w:eastAsia="Calibri" w:hAnsi="Arial"/>
          <w:sz w:val="20"/>
        </w:rPr>
        <w:t xml:space="preserve"> </w:t>
      </w:r>
      <w:r w:rsidRPr="00EA59C0">
        <w:rPr>
          <w:rFonts w:ascii="Arial" w:eastAsia="Calibri" w:hAnsi="Arial"/>
          <w:sz w:val="20"/>
        </w:rPr>
        <w:t>Evidence</w:t>
      </w:r>
      <w:r w:rsidR="00C026A6" w:rsidRPr="00EA59C0">
        <w:rPr>
          <w:rFonts w:ascii="Arial" w:eastAsia="Calibri" w:hAnsi="Arial"/>
          <w:sz w:val="20"/>
        </w:rPr>
        <w:t xml:space="preserve"> </w:t>
      </w:r>
      <w:r w:rsidRPr="00EA59C0">
        <w:rPr>
          <w:rFonts w:ascii="Arial" w:eastAsia="Calibri" w:hAnsi="Arial"/>
          <w:sz w:val="20"/>
        </w:rPr>
        <w:t>Standards</w:t>
      </w:r>
      <w:r w:rsidR="00C026A6" w:rsidRPr="00EA59C0">
        <w:rPr>
          <w:rFonts w:ascii="Arial" w:eastAsia="Calibri" w:hAnsi="Arial"/>
          <w:sz w:val="20"/>
        </w:rPr>
        <w:t xml:space="preserve"> </w:t>
      </w:r>
      <w:r w:rsidRPr="00EA59C0">
        <w:rPr>
          <w:rFonts w:ascii="Arial" w:eastAsia="Calibri" w:hAnsi="Arial"/>
          <w:sz w:val="20"/>
        </w:rPr>
        <w:t>without</w:t>
      </w:r>
      <w:r w:rsidR="00C026A6" w:rsidRPr="00EA59C0">
        <w:rPr>
          <w:rFonts w:ascii="Arial" w:eastAsia="Calibri" w:hAnsi="Arial"/>
          <w:sz w:val="20"/>
        </w:rPr>
        <w:t xml:space="preserve"> </w:t>
      </w:r>
      <w:r w:rsidRPr="00EA59C0">
        <w:rPr>
          <w:rFonts w:ascii="Arial" w:eastAsia="Calibri" w:hAnsi="Arial"/>
          <w:sz w:val="20"/>
        </w:rPr>
        <w:t>reservations,</w:t>
      </w:r>
      <w:r w:rsidRPr="00EA59C0">
        <w:rPr>
          <w:rFonts w:ascii="Arial" w:eastAsia="Calibri" w:hAnsi="Arial"/>
          <w:sz w:val="20"/>
          <w:vertAlign w:val="superscript"/>
        </w:rPr>
        <w:footnoteReference w:customMarkFollows="1" w:id="4"/>
        <w:t>[1]</w:t>
      </w:r>
      <w:r w:rsidR="00C026A6" w:rsidRPr="00EA59C0">
        <w:rPr>
          <w:rFonts w:ascii="Arial" w:eastAsia="Calibri" w:hAnsi="Arial"/>
          <w:sz w:val="20"/>
        </w:rPr>
        <w:t xml:space="preserve"> </w:t>
      </w:r>
      <w:r w:rsidRPr="00EA59C0">
        <w:rPr>
          <w:rFonts w:ascii="Arial" w:eastAsia="Calibri" w:hAnsi="Arial"/>
          <w:sz w:val="20"/>
        </w:rPr>
        <w:t>found</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statistically</w:t>
      </w:r>
      <w:r w:rsidR="00C026A6" w:rsidRPr="00EA59C0">
        <w:rPr>
          <w:rFonts w:ascii="Arial" w:eastAsia="Calibri" w:hAnsi="Arial"/>
          <w:sz w:val="20"/>
        </w:rPr>
        <w:t xml:space="preserve"> </w:t>
      </w:r>
      <w:r w:rsidRPr="00EA59C0">
        <w:rPr>
          <w:rFonts w:ascii="Arial" w:eastAsia="Calibri" w:hAnsi="Arial"/>
          <w:sz w:val="20"/>
        </w:rPr>
        <w:t>significant</w:t>
      </w:r>
      <w:r w:rsidR="00C026A6" w:rsidRPr="00EA59C0">
        <w:rPr>
          <w:rFonts w:ascii="Arial" w:eastAsia="Calibri" w:hAnsi="Arial"/>
          <w:sz w:val="20"/>
        </w:rPr>
        <w:t xml:space="preserve"> </w:t>
      </w:r>
      <w:r w:rsidRPr="00EA59C0">
        <w:rPr>
          <w:rFonts w:ascii="Arial" w:eastAsia="Calibri" w:hAnsi="Arial"/>
          <w:sz w:val="20"/>
        </w:rPr>
        <w:t>favorable</w:t>
      </w:r>
      <w:r w:rsidR="00C026A6" w:rsidRPr="00EA59C0">
        <w:rPr>
          <w:rFonts w:ascii="Arial" w:eastAsia="Calibri" w:hAnsi="Arial"/>
          <w:sz w:val="20"/>
        </w:rPr>
        <w:t xml:space="preserve"> </w:t>
      </w:r>
      <w:r w:rsidRPr="00EA59C0">
        <w:rPr>
          <w:rFonts w:ascii="Arial" w:eastAsia="Calibri" w:hAnsi="Arial"/>
          <w:sz w:val="20"/>
        </w:rPr>
        <w:t>impact</w:t>
      </w:r>
      <w:r w:rsidR="00C026A6" w:rsidRPr="00EA59C0">
        <w:rPr>
          <w:rFonts w:ascii="Arial" w:eastAsia="Calibri" w:hAnsi="Arial"/>
          <w:sz w:val="20"/>
        </w:rPr>
        <w:t xml:space="preserve"> </w:t>
      </w:r>
      <w:r w:rsidRPr="00EA59C0">
        <w:rPr>
          <w:rFonts w:ascii="Arial" w:eastAsia="Calibri" w:hAnsi="Arial"/>
          <w:sz w:val="20"/>
        </w:rPr>
        <w:t>on</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relevant</w:t>
      </w:r>
      <w:r w:rsidR="00C026A6" w:rsidRPr="00EA59C0">
        <w:rPr>
          <w:rFonts w:ascii="Arial" w:eastAsia="Calibri" w:hAnsi="Arial"/>
          <w:sz w:val="20"/>
        </w:rPr>
        <w:t xml:space="preserve"> </w:t>
      </w:r>
      <w:r w:rsidRPr="00EA59C0">
        <w:rPr>
          <w:rFonts w:ascii="Arial" w:eastAsia="Calibri" w:hAnsi="Arial"/>
          <w:sz w:val="20"/>
        </w:rPr>
        <w:t>outcome</w:t>
      </w:r>
      <w:r w:rsidR="00C026A6" w:rsidRPr="00EA59C0">
        <w:rPr>
          <w:rFonts w:ascii="Arial" w:eastAsia="Calibri" w:hAnsi="Arial"/>
          <w:sz w:val="20"/>
        </w:rPr>
        <w:t xml:space="preserve"> </w:t>
      </w:r>
      <w:r w:rsidRPr="00EA59C0">
        <w:rPr>
          <w:rFonts w:ascii="Arial" w:eastAsia="Calibri" w:hAnsi="Arial"/>
          <w:sz w:val="20"/>
        </w:rPr>
        <w:t>(with</w:t>
      </w:r>
      <w:r w:rsidR="00C026A6" w:rsidRPr="00EA59C0">
        <w:rPr>
          <w:rFonts w:ascii="Arial" w:eastAsia="Calibri" w:hAnsi="Arial"/>
          <w:sz w:val="20"/>
        </w:rPr>
        <w:t xml:space="preserve"> </w:t>
      </w:r>
      <w:r w:rsidRPr="00EA59C0">
        <w:rPr>
          <w:rFonts w:ascii="Arial" w:eastAsia="Calibri" w:hAnsi="Arial"/>
          <w:sz w:val="20"/>
        </w:rPr>
        <w:t>no</w:t>
      </w:r>
      <w:r w:rsidR="00C026A6" w:rsidRPr="00EA59C0">
        <w:rPr>
          <w:rFonts w:ascii="Arial" w:eastAsia="Calibri" w:hAnsi="Arial"/>
          <w:sz w:val="20"/>
        </w:rPr>
        <w:t xml:space="preserve"> </w:t>
      </w:r>
      <w:r w:rsidRPr="00EA59C0">
        <w:rPr>
          <w:rFonts w:ascii="Arial" w:eastAsia="Calibri" w:hAnsi="Arial"/>
          <w:sz w:val="20"/>
        </w:rPr>
        <w:t>statistically</w:t>
      </w:r>
      <w:r w:rsidR="00C026A6" w:rsidRPr="00EA59C0">
        <w:rPr>
          <w:rFonts w:ascii="Arial" w:eastAsia="Calibri" w:hAnsi="Arial"/>
          <w:sz w:val="20"/>
        </w:rPr>
        <w:t xml:space="preserve"> </w:t>
      </w:r>
      <w:r w:rsidRPr="00EA59C0">
        <w:rPr>
          <w:rFonts w:ascii="Arial" w:eastAsia="Calibri" w:hAnsi="Arial"/>
          <w:sz w:val="20"/>
        </w:rPr>
        <w:t>significant</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overriding</w:t>
      </w:r>
      <w:r w:rsidR="00C026A6" w:rsidRPr="00EA59C0">
        <w:rPr>
          <w:rFonts w:ascii="Arial" w:eastAsia="Calibri" w:hAnsi="Arial"/>
          <w:sz w:val="20"/>
        </w:rPr>
        <w:t xml:space="preserve"> </w:t>
      </w:r>
      <w:r w:rsidRPr="00EA59C0">
        <w:rPr>
          <w:rFonts w:ascii="Arial" w:eastAsia="Calibri" w:hAnsi="Arial"/>
          <w:sz w:val="20"/>
        </w:rPr>
        <w:t>unfavorable</w:t>
      </w:r>
      <w:r w:rsidR="00C026A6" w:rsidRPr="00EA59C0">
        <w:rPr>
          <w:rFonts w:ascii="Arial" w:eastAsia="Calibri" w:hAnsi="Arial"/>
          <w:sz w:val="20"/>
        </w:rPr>
        <w:t xml:space="preserve"> </w:t>
      </w:r>
      <w:r w:rsidRPr="00EA59C0">
        <w:rPr>
          <w:rFonts w:ascii="Arial" w:eastAsia="Calibri" w:hAnsi="Arial"/>
          <w:sz w:val="20"/>
        </w:rPr>
        <w:t>impacts</w:t>
      </w:r>
      <w:r w:rsidR="00C026A6" w:rsidRPr="00EA59C0">
        <w:rPr>
          <w:rFonts w:ascii="Arial" w:eastAsia="Calibri" w:hAnsi="Arial"/>
          <w:sz w:val="20"/>
        </w:rPr>
        <w:t xml:space="preserve"> </w:t>
      </w:r>
      <w:r w:rsidRPr="00EA59C0">
        <w:rPr>
          <w:rFonts w:ascii="Arial" w:eastAsia="Calibri" w:hAnsi="Arial"/>
          <w:sz w:val="20"/>
        </w:rPr>
        <w:t>on</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outcome</w:t>
      </w:r>
      <w:r w:rsidR="00C026A6" w:rsidRPr="00EA59C0">
        <w:rPr>
          <w:rFonts w:ascii="Arial" w:eastAsia="Calibri" w:hAnsi="Arial"/>
          <w:sz w:val="20"/>
        </w:rPr>
        <w:t xml:space="preserve"> </w:t>
      </w:r>
      <w:r w:rsidRPr="00EA59C0">
        <w:rPr>
          <w:rFonts w:ascii="Arial" w:eastAsia="Calibri" w:hAnsi="Arial"/>
          <w:sz w:val="20"/>
        </w:rPr>
        <w:t>for</w:t>
      </w:r>
      <w:r w:rsidR="00C026A6" w:rsidRPr="00EA59C0">
        <w:rPr>
          <w:rFonts w:ascii="Arial" w:eastAsia="Calibri" w:hAnsi="Arial"/>
          <w:sz w:val="20"/>
        </w:rPr>
        <w:t xml:space="preserve"> </w:t>
      </w:r>
      <w:r w:rsidRPr="00EA59C0">
        <w:rPr>
          <w:rFonts w:ascii="Arial" w:eastAsia="Calibri" w:hAnsi="Arial"/>
          <w:sz w:val="20"/>
        </w:rPr>
        <w:t>relevant</w:t>
      </w:r>
      <w:r w:rsidR="00C026A6" w:rsidRPr="00EA59C0">
        <w:rPr>
          <w:rFonts w:ascii="Arial" w:eastAsia="Calibri" w:hAnsi="Arial"/>
          <w:sz w:val="20"/>
        </w:rPr>
        <w:t xml:space="preserve"> </w:t>
      </w:r>
      <w:r w:rsidRPr="00EA59C0">
        <w:rPr>
          <w:rFonts w:ascii="Arial" w:eastAsia="Calibri" w:hAnsi="Arial"/>
          <w:sz w:val="20"/>
        </w:rPr>
        <w:t>populations</w:t>
      </w:r>
      <w:r w:rsidR="00C026A6" w:rsidRPr="00EA59C0">
        <w:rPr>
          <w:rFonts w:ascii="Arial" w:eastAsia="Calibri" w:hAnsi="Arial"/>
          <w:sz w:val="20"/>
        </w:rPr>
        <w:t xml:space="preserve"> </w:t>
      </w:r>
      <w:r w:rsidRPr="00EA59C0">
        <w:rPr>
          <w:rFonts w:ascii="Arial" w:eastAsia="Calibri" w:hAnsi="Arial"/>
          <w:sz w:val="20"/>
        </w:rPr>
        <w:t>in</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study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in</w:t>
      </w:r>
      <w:r w:rsidR="00C026A6" w:rsidRPr="00EA59C0">
        <w:rPr>
          <w:rFonts w:ascii="Arial" w:eastAsia="Calibri" w:hAnsi="Arial"/>
          <w:sz w:val="20"/>
        </w:rPr>
        <w:t xml:space="preserve"> </w:t>
      </w:r>
      <w:r w:rsidRPr="00EA59C0">
        <w:rPr>
          <w:rFonts w:ascii="Arial" w:eastAsia="Calibri" w:hAnsi="Arial"/>
          <w:sz w:val="20"/>
        </w:rPr>
        <w:t>other</w:t>
      </w:r>
      <w:r w:rsidR="00C026A6" w:rsidRPr="00EA59C0">
        <w:rPr>
          <w:rFonts w:ascii="Arial" w:eastAsia="Calibri" w:hAnsi="Arial"/>
          <w:sz w:val="20"/>
        </w:rPr>
        <w:t xml:space="preserve"> </w:t>
      </w:r>
      <w:r w:rsidRPr="00EA59C0">
        <w:rPr>
          <w:rFonts w:ascii="Arial" w:eastAsia="Calibri" w:hAnsi="Arial"/>
          <w:sz w:val="20"/>
        </w:rPr>
        <w:t>studies</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intervention</w:t>
      </w:r>
      <w:r w:rsidR="00C026A6" w:rsidRPr="00EA59C0">
        <w:rPr>
          <w:rFonts w:ascii="Arial" w:eastAsia="Calibri" w:hAnsi="Arial"/>
          <w:sz w:val="20"/>
        </w:rPr>
        <w:t xml:space="preserve"> </w:t>
      </w:r>
      <w:r w:rsidRPr="00EA59C0">
        <w:rPr>
          <w:rFonts w:ascii="Arial" w:eastAsia="Calibri" w:hAnsi="Arial"/>
          <w:sz w:val="20"/>
        </w:rPr>
        <w:t>reviewed</w:t>
      </w:r>
      <w:r w:rsidR="00C026A6" w:rsidRPr="00EA59C0">
        <w:rPr>
          <w:rFonts w:ascii="Arial" w:eastAsia="Calibri" w:hAnsi="Arial"/>
          <w:sz w:val="20"/>
        </w:rPr>
        <w:t xml:space="preserve"> </w:t>
      </w:r>
      <w:r w:rsidRPr="00EA59C0">
        <w:rPr>
          <w:rFonts w:ascii="Arial" w:eastAsia="Calibri" w:hAnsi="Arial"/>
          <w:sz w:val="20"/>
        </w:rPr>
        <w:t>by</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reported</w:t>
      </w:r>
      <w:r w:rsidR="00C026A6" w:rsidRPr="00EA59C0">
        <w:rPr>
          <w:rFonts w:ascii="Arial" w:eastAsia="Calibri" w:hAnsi="Arial"/>
          <w:sz w:val="20"/>
        </w:rPr>
        <w:t xml:space="preserve"> </w:t>
      </w:r>
      <w:r w:rsidRPr="00EA59C0">
        <w:rPr>
          <w:rFonts w:ascii="Arial" w:eastAsia="Calibri" w:hAnsi="Arial"/>
          <w:sz w:val="20"/>
        </w:rPr>
        <w:t>on</w:t>
      </w:r>
      <w:r w:rsidR="00C026A6" w:rsidRPr="00EA59C0">
        <w:rPr>
          <w:rFonts w:ascii="Arial" w:eastAsia="Calibri" w:hAnsi="Arial"/>
          <w:sz w:val="20"/>
        </w:rPr>
        <w:t xml:space="preserve"> </w:t>
      </w:r>
      <w:r w:rsidRPr="00EA59C0">
        <w:rPr>
          <w:rFonts w:ascii="Arial" w:eastAsia="Calibri" w:hAnsi="Arial"/>
          <w:sz w:val="20"/>
        </w:rPr>
        <w:t>by</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What</w:t>
      </w:r>
      <w:r w:rsidR="00C026A6" w:rsidRPr="00EA59C0">
        <w:rPr>
          <w:rFonts w:ascii="Arial" w:eastAsia="Calibri" w:hAnsi="Arial"/>
          <w:sz w:val="20"/>
        </w:rPr>
        <w:t xml:space="preserve"> </w:t>
      </w:r>
      <w:r w:rsidRPr="00EA59C0">
        <w:rPr>
          <w:rFonts w:ascii="Arial" w:eastAsia="Calibri" w:hAnsi="Arial"/>
          <w:sz w:val="20"/>
        </w:rPr>
        <w:t>Works</w:t>
      </w:r>
      <w:r w:rsidR="00C026A6" w:rsidRPr="00EA59C0">
        <w:rPr>
          <w:rFonts w:ascii="Arial" w:eastAsia="Calibri" w:hAnsi="Arial"/>
          <w:sz w:val="20"/>
        </w:rPr>
        <w:t xml:space="preserve"> </w:t>
      </w:r>
      <w:r w:rsidRPr="00EA59C0">
        <w:rPr>
          <w:rFonts w:ascii="Arial" w:eastAsia="Calibri" w:hAnsi="Arial"/>
          <w:sz w:val="20"/>
        </w:rPr>
        <w:t>Clearinghouse),</w:t>
      </w:r>
      <w:r w:rsidR="00C026A6" w:rsidRPr="00EA59C0">
        <w:rPr>
          <w:rFonts w:ascii="Arial" w:eastAsia="Calibri" w:hAnsi="Arial"/>
          <w:sz w:val="20"/>
        </w:rPr>
        <w:t xml:space="preserve"> </w:t>
      </w:r>
      <w:r w:rsidRPr="00EA59C0">
        <w:rPr>
          <w:rFonts w:ascii="Arial" w:eastAsia="Calibri" w:hAnsi="Arial"/>
          <w:sz w:val="20"/>
        </w:rPr>
        <w:t>includes</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sample</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overlaps</w:t>
      </w:r>
      <w:r w:rsidR="00C026A6" w:rsidRPr="00EA59C0">
        <w:rPr>
          <w:rFonts w:ascii="Arial" w:eastAsia="Calibri" w:hAnsi="Arial"/>
          <w:sz w:val="20"/>
        </w:rPr>
        <w:t xml:space="preserve"> </w:t>
      </w:r>
      <w:r w:rsidRPr="00EA59C0">
        <w:rPr>
          <w:rFonts w:ascii="Arial" w:eastAsia="Calibri" w:hAnsi="Arial"/>
          <w:sz w:val="20"/>
        </w:rPr>
        <w:t>with</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populations</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settings</w:t>
      </w:r>
      <w:r w:rsidR="00C026A6" w:rsidRPr="00EA59C0">
        <w:rPr>
          <w:rFonts w:ascii="Arial" w:eastAsia="Calibri" w:hAnsi="Arial"/>
          <w:sz w:val="20"/>
        </w:rPr>
        <w:t xml:space="preserve"> </w:t>
      </w:r>
      <w:r w:rsidRPr="00EA59C0">
        <w:rPr>
          <w:rFonts w:ascii="Arial" w:eastAsia="Calibri" w:hAnsi="Arial"/>
          <w:sz w:val="20"/>
        </w:rPr>
        <w:t>proposed</w:t>
      </w:r>
      <w:r w:rsidR="00C026A6" w:rsidRPr="00EA59C0">
        <w:rPr>
          <w:rFonts w:ascii="Arial" w:eastAsia="Calibri" w:hAnsi="Arial"/>
          <w:sz w:val="20"/>
        </w:rPr>
        <w:t xml:space="preserve"> </w:t>
      </w:r>
      <w:r w:rsidRPr="00EA59C0">
        <w:rPr>
          <w:rFonts w:ascii="Arial" w:eastAsia="Calibri" w:hAnsi="Arial"/>
          <w:sz w:val="20"/>
        </w:rPr>
        <w:t>to</w:t>
      </w:r>
      <w:r w:rsidR="00C026A6" w:rsidRPr="00EA59C0">
        <w:rPr>
          <w:rFonts w:ascii="Arial" w:eastAsia="Calibri" w:hAnsi="Arial"/>
          <w:sz w:val="20"/>
        </w:rPr>
        <w:t xml:space="preserve"> </w:t>
      </w:r>
      <w:r w:rsidRPr="00EA59C0">
        <w:rPr>
          <w:rFonts w:ascii="Arial" w:eastAsia="Calibri" w:hAnsi="Arial"/>
          <w:sz w:val="20"/>
        </w:rPr>
        <w:t>receive</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process,</w:t>
      </w:r>
      <w:r w:rsidR="00C026A6" w:rsidRPr="00EA59C0">
        <w:rPr>
          <w:rFonts w:ascii="Arial" w:eastAsia="Calibri" w:hAnsi="Arial"/>
          <w:sz w:val="20"/>
        </w:rPr>
        <w:t xml:space="preserve"> </w:t>
      </w:r>
      <w:r w:rsidRPr="00EA59C0">
        <w:rPr>
          <w:rFonts w:ascii="Arial" w:eastAsia="Calibri" w:hAnsi="Arial"/>
          <w:sz w:val="20"/>
        </w:rPr>
        <w:t>product,</w:t>
      </w:r>
      <w:r w:rsidR="00C026A6" w:rsidRPr="00EA59C0">
        <w:rPr>
          <w:rFonts w:ascii="Arial" w:eastAsia="Calibri" w:hAnsi="Arial"/>
          <w:sz w:val="20"/>
        </w:rPr>
        <w:t xml:space="preserve"> </w:t>
      </w:r>
      <w:r w:rsidRPr="00EA59C0">
        <w:rPr>
          <w:rFonts w:ascii="Arial" w:eastAsia="Calibri" w:hAnsi="Arial"/>
          <w:sz w:val="20"/>
        </w:rPr>
        <w:t>strategy,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practice,</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includes</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large</w:t>
      </w:r>
      <w:r w:rsidR="00C026A6" w:rsidRPr="00EA59C0">
        <w:rPr>
          <w:rFonts w:ascii="Arial" w:eastAsia="Calibri" w:hAnsi="Arial"/>
          <w:sz w:val="20"/>
        </w:rPr>
        <w:t xml:space="preserve"> </w:t>
      </w:r>
      <w:r w:rsidRPr="00EA59C0">
        <w:rPr>
          <w:rFonts w:ascii="Arial" w:eastAsia="Calibri" w:hAnsi="Arial"/>
          <w:sz w:val="20"/>
        </w:rPr>
        <w:t>sample</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multi-site</w:t>
      </w:r>
      <w:r w:rsidR="00C026A6" w:rsidRPr="00EA59C0">
        <w:rPr>
          <w:rFonts w:ascii="Arial" w:eastAsia="Calibri" w:hAnsi="Arial"/>
          <w:sz w:val="20"/>
        </w:rPr>
        <w:t xml:space="preserve"> </w:t>
      </w:r>
      <w:r w:rsidRPr="00EA59C0">
        <w:rPr>
          <w:rFonts w:ascii="Arial" w:eastAsia="Calibri" w:hAnsi="Arial"/>
          <w:sz w:val="20"/>
        </w:rPr>
        <w:t>sample</w:t>
      </w:r>
      <w:r w:rsidR="00C026A6" w:rsidRPr="00EA59C0">
        <w:rPr>
          <w:rFonts w:ascii="Arial" w:eastAsia="Calibri" w:hAnsi="Arial"/>
          <w:sz w:val="20"/>
        </w:rPr>
        <w:t xml:space="preserve"> </w:t>
      </w:r>
      <w:r w:rsidRPr="00EA59C0">
        <w:rPr>
          <w:rFonts w:ascii="Arial" w:eastAsia="Calibri" w:hAnsi="Arial"/>
          <w:sz w:val="20"/>
        </w:rPr>
        <w:t>(Note:</w:t>
      </w:r>
      <w:r w:rsidR="00C026A6" w:rsidRPr="00EA59C0">
        <w:rPr>
          <w:rFonts w:ascii="Arial" w:eastAsia="Calibri" w:hAnsi="Arial"/>
          <w:sz w:val="20"/>
        </w:rPr>
        <w:t xml:space="preserve">  </w:t>
      </w:r>
      <w:r w:rsidRPr="00EA59C0">
        <w:rPr>
          <w:rFonts w:ascii="Arial" w:eastAsia="Calibri" w:hAnsi="Arial"/>
          <w:sz w:val="20"/>
        </w:rPr>
        <w:t>multiple</w:t>
      </w:r>
      <w:r w:rsidR="00C026A6" w:rsidRPr="00EA59C0">
        <w:rPr>
          <w:rFonts w:ascii="Arial" w:eastAsia="Calibri" w:hAnsi="Arial"/>
          <w:sz w:val="20"/>
        </w:rPr>
        <w:t xml:space="preserve"> </w:t>
      </w:r>
      <w:r w:rsidRPr="00EA59C0">
        <w:rPr>
          <w:rFonts w:ascii="Arial" w:eastAsia="Calibri" w:hAnsi="Arial"/>
          <w:sz w:val="20"/>
        </w:rPr>
        <w:t>studies</w:t>
      </w:r>
      <w:r w:rsidR="00C026A6" w:rsidRPr="00EA59C0">
        <w:rPr>
          <w:rFonts w:ascii="Arial" w:eastAsia="Calibri" w:hAnsi="Arial"/>
          <w:sz w:val="20"/>
        </w:rPr>
        <w:t xml:space="preserve"> </w:t>
      </w:r>
      <w:r w:rsidRPr="00EA59C0">
        <w:rPr>
          <w:rFonts w:ascii="Arial" w:eastAsia="Calibri" w:hAnsi="Arial"/>
          <w:sz w:val="20"/>
        </w:rPr>
        <w:t>can</w:t>
      </w:r>
      <w:r w:rsidR="00C026A6" w:rsidRPr="00EA59C0">
        <w:rPr>
          <w:rFonts w:ascii="Arial" w:eastAsia="Calibri" w:hAnsi="Arial"/>
          <w:sz w:val="20"/>
        </w:rPr>
        <w:t xml:space="preserve"> </w:t>
      </w:r>
      <w:r w:rsidRPr="00EA59C0">
        <w:rPr>
          <w:rFonts w:ascii="Arial" w:eastAsia="Calibri" w:hAnsi="Arial"/>
          <w:sz w:val="20"/>
        </w:rPr>
        <w:t>cumulatively</w:t>
      </w:r>
      <w:r w:rsidR="00C026A6" w:rsidRPr="00EA59C0">
        <w:rPr>
          <w:rFonts w:ascii="Arial" w:eastAsia="Calibri" w:hAnsi="Arial"/>
          <w:sz w:val="20"/>
        </w:rPr>
        <w:t xml:space="preserve"> </w:t>
      </w:r>
      <w:r w:rsidRPr="00EA59C0">
        <w:rPr>
          <w:rFonts w:ascii="Arial" w:eastAsia="Calibri" w:hAnsi="Arial"/>
          <w:sz w:val="20"/>
        </w:rPr>
        <w:t>meet</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large</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multi-site</w:t>
      </w:r>
      <w:r w:rsidR="00C026A6" w:rsidRPr="00EA59C0">
        <w:rPr>
          <w:rFonts w:ascii="Arial" w:eastAsia="Calibri" w:hAnsi="Arial"/>
          <w:sz w:val="20"/>
        </w:rPr>
        <w:t xml:space="preserve"> </w:t>
      </w:r>
      <w:r w:rsidRPr="00EA59C0">
        <w:rPr>
          <w:rFonts w:ascii="Arial" w:eastAsia="Calibri" w:hAnsi="Arial"/>
          <w:sz w:val="20"/>
        </w:rPr>
        <w:t>sample</w:t>
      </w:r>
      <w:r w:rsidR="00C026A6" w:rsidRPr="00EA59C0">
        <w:rPr>
          <w:rFonts w:ascii="Arial" w:eastAsia="Calibri" w:hAnsi="Arial"/>
          <w:sz w:val="20"/>
        </w:rPr>
        <w:t xml:space="preserve"> </w:t>
      </w:r>
      <w:r w:rsidRPr="00EA59C0">
        <w:rPr>
          <w:rFonts w:ascii="Arial" w:eastAsia="Calibri" w:hAnsi="Arial"/>
          <w:sz w:val="20"/>
        </w:rPr>
        <w:t>requirements</w:t>
      </w:r>
      <w:r w:rsidR="00C026A6" w:rsidRPr="00EA59C0">
        <w:rPr>
          <w:rFonts w:ascii="Arial" w:eastAsia="Calibri" w:hAnsi="Arial"/>
          <w:sz w:val="20"/>
        </w:rPr>
        <w:t xml:space="preserve"> </w:t>
      </w:r>
      <w:r w:rsidRPr="00EA59C0">
        <w:rPr>
          <w:rFonts w:ascii="Arial" w:eastAsia="Calibri" w:hAnsi="Arial"/>
          <w:sz w:val="20"/>
        </w:rPr>
        <w:t>as</w:t>
      </w:r>
      <w:r w:rsidR="00C026A6" w:rsidRPr="00EA59C0">
        <w:rPr>
          <w:rFonts w:ascii="Arial" w:eastAsia="Calibri" w:hAnsi="Arial"/>
          <w:sz w:val="20"/>
        </w:rPr>
        <w:t xml:space="preserve"> </w:t>
      </w:r>
      <w:r w:rsidRPr="00EA59C0">
        <w:rPr>
          <w:rFonts w:ascii="Arial" w:eastAsia="Calibri" w:hAnsi="Arial"/>
          <w:sz w:val="20"/>
        </w:rPr>
        <w:t>long</w:t>
      </w:r>
      <w:r w:rsidR="00C026A6" w:rsidRPr="00EA59C0">
        <w:rPr>
          <w:rFonts w:ascii="Arial" w:eastAsia="Calibri" w:hAnsi="Arial"/>
          <w:sz w:val="20"/>
        </w:rPr>
        <w:t xml:space="preserve"> </w:t>
      </w:r>
      <w:r w:rsidRPr="00EA59C0">
        <w:rPr>
          <w:rFonts w:ascii="Arial" w:eastAsia="Calibri" w:hAnsi="Arial"/>
          <w:sz w:val="20"/>
        </w:rPr>
        <w:t>as</w:t>
      </w:r>
      <w:r w:rsidR="00C026A6" w:rsidRPr="00EA59C0">
        <w:rPr>
          <w:rFonts w:ascii="Arial" w:eastAsia="Calibri" w:hAnsi="Arial"/>
          <w:sz w:val="20"/>
        </w:rPr>
        <w:t xml:space="preserve"> </w:t>
      </w:r>
      <w:r w:rsidRPr="00EA59C0">
        <w:rPr>
          <w:rFonts w:ascii="Arial" w:eastAsia="Calibri" w:hAnsi="Arial"/>
          <w:sz w:val="20"/>
        </w:rPr>
        <w:t>each</w:t>
      </w:r>
      <w:r w:rsidR="00C026A6" w:rsidRPr="00EA59C0">
        <w:rPr>
          <w:rFonts w:ascii="Arial" w:eastAsia="Calibri" w:hAnsi="Arial"/>
          <w:sz w:val="20"/>
        </w:rPr>
        <w:t xml:space="preserve"> </w:t>
      </w:r>
      <w:r w:rsidRPr="00EA59C0">
        <w:rPr>
          <w:rFonts w:ascii="Arial" w:eastAsia="Calibri" w:hAnsi="Arial"/>
          <w:sz w:val="20"/>
        </w:rPr>
        <w:t>study</w:t>
      </w:r>
      <w:r w:rsidR="00C026A6" w:rsidRPr="00EA59C0">
        <w:rPr>
          <w:rFonts w:ascii="Arial" w:eastAsia="Calibri" w:hAnsi="Arial"/>
          <w:sz w:val="20"/>
        </w:rPr>
        <w:t xml:space="preserve"> </w:t>
      </w:r>
      <w:r w:rsidRPr="00EA59C0">
        <w:rPr>
          <w:rFonts w:ascii="Arial" w:eastAsia="Calibri" w:hAnsi="Arial"/>
          <w:sz w:val="20"/>
        </w:rPr>
        <w:t>meets</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other</w:t>
      </w:r>
      <w:r w:rsidR="00C026A6" w:rsidRPr="00EA59C0">
        <w:rPr>
          <w:rFonts w:ascii="Arial" w:eastAsia="Calibri" w:hAnsi="Arial"/>
          <w:sz w:val="20"/>
        </w:rPr>
        <w:t xml:space="preserve"> </w:t>
      </w:r>
      <w:r w:rsidRPr="00EA59C0">
        <w:rPr>
          <w:rFonts w:ascii="Arial" w:eastAsia="Calibri" w:hAnsi="Arial"/>
          <w:sz w:val="20"/>
        </w:rPr>
        <w:t>requirements</w:t>
      </w:r>
      <w:r w:rsidR="00C026A6" w:rsidRPr="00EA59C0">
        <w:rPr>
          <w:rFonts w:ascii="Arial" w:eastAsia="Calibri" w:hAnsi="Arial"/>
          <w:sz w:val="20"/>
        </w:rPr>
        <w:t xml:space="preserve"> </w:t>
      </w:r>
      <w:r w:rsidRPr="00EA59C0">
        <w:rPr>
          <w:rFonts w:ascii="Arial" w:eastAsia="Calibri" w:hAnsi="Arial"/>
          <w:sz w:val="20"/>
        </w:rPr>
        <w:t>in</w:t>
      </w:r>
      <w:r w:rsidR="00C026A6" w:rsidRPr="00EA59C0">
        <w:rPr>
          <w:rFonts w:ascii="Arial" w:eastAsia="Calibri" w:hAnsi="Arial"/>
          <w:sz w:val="20"/>
        </w:rPr>
        <w:t xml:space="preserve"> </w:t>
      </w:r>
      <w:r w:rsidRPr="00EA59C0">
        <w:rPr>
          <w:rFonts w:ascii="Arial" w:eastAsia="Calibri" w:hAnsi="Arial"/>
          <w:sz w:val="20"/>
        </w:rPr>
        <w:t>this</w:t>
      </w:r>
      <w:r w:rsidR="00C026A6" w:rsidRPr="00EA59C0">
        <w:rPr>
          <w:rFonts w:ascii="Arial" w:eastAsia="Calibri" w:hAnsi="Arial"/>
          <w:sz w:val="20"/>
        </w:rPr>
        <w:t xml:space="preserve"> </w:t>
      </w:r>
      <w:r w:rsidRPr="00EA59C0">
        <w:rPr>
          <w:rFonts w:ascii="Arial" w:eastAsia="Calibri" w:hAnsi="Arial"/>
          <w:sz w:val="20"/>
        </w:rPr>
        <w:t>paragraph).</w:t>
      </w:r>
    </w:p>
    <w:p w:rsidR="008826BE" w:rsidRPr="00EA59C0" w:rsidRDefault="008826BE" w:rsidP="00DB00BB">
      <w:pPr>
        <w:rPr>
          <w:rFonts w:ascii="Arial" w:eastAsia="Calibri" w:hAnsi="Arial"/>
          <w:sz w:val="20"/>
        </w:rPr>
      </w:pPr>
    </w:p>
    <w:p w:rsidR="008826BE" w:rsidRPr="00EA59C0" w:rsidRDefault="008826BE" w:rsidP="00080097">
      <w:pPr>
        <w:pStyle w:val="ListParagraph"/>
        <w:numPr>
          <w:ilvl w:val="0"/>
          <w:numId w:val="48"/>
        </w:numPr>
        <w:rPr>
          <w:rFonts w:ascii="Arial" w:eastAsia="Calibri" w:hAnsi="Arial"/>
          <w:sz w:val="20"/>
        </w:rPr>
      </w:pPr>
      <w:r w:rsidRPr="00EA59C0">
        <w:rPr>
          <w:rFonts w:ascii="Arial" w:eastAsia="Calibri" w:hAnsi="Arial"/>
          <w:sz w:val="20"/>
        </w:rPr>
        <w:t>There</w:t>
      </w:r>
      <w:r w:rsidR="00C026A6" w:rsidRPr="00EA59C0">
        <w:rPr>
          <w:rFonts w:ascii="Arial" w:eastAsia="Calibri" w:hAnsi="Arial"/>
          <w:sz w:val="20"/>
        </w:rPr>
        <w:t xml:space="preserve"> </w:t>
      </w:r>
      <w:r w:rsidRPr="00EA59C0">
        <w:rPr>
          <w:rFonts w:ascii="Arial" w:eastAsia="Calibri" w:hAnsi="Arial"/>
          <w:sz w:val="20"/>
        </w:rPr>
        <w:t>are</w:t>
      </w:r>
      <w:r w:rsidR="00C026A6" w:rsidRPr="00EA59C0">
        <w:rPr>
          <w:rFonts w:ascii="Arial" w:eastAsia="Calibri" w:hAnsi="Arial"/>
          <w:sz w:val="20"/>
        </w:rPr>
        <w:t xml:space="preserve"> </w:t>
      </w:r>
      <w:r w:rsidRPr="00EA59C0">
        <w:rPr>
          <w:rFonts w:ascii="Arial" w:eastAsia="Calibri" w:hAnsi="Arial"/>
          <w:sz w:val="20"/>
        </w:rPr>
        <w:t>at</w:t>
      </w:r>
      <w:r w:rsidR="00C026A6" w:rsidRPr="00EA59C0">
        <w:rPr>
          <w:rFonts w:ascii="Arial" w:eastAsia="Calibri" w:hAnsi="Arial"/>
          <w:sz w:val="20"/>
        </w:rPr>
        <w:t xml:space="preserve"> </w:t>
      </w:r>
      <w:r w:rsidRPr="00EA59C0">
        <w:rPr>
          <w:rFonts w:ascii="Arial" w:eastAsia="Calibri" w:hAnsi="Arial"/>
          <w:sz w:val="20"/>
        </w:rPr>
        <w:t>least</w:t>
      </w:r>
      <w:r w:rsidR="00C026A6" w:rsidRPr="00EA59C0">
        <w:rPr>
          <w:rFonts w:ascii="Arial" w:eastAsia="Calibri" w:hAnsi="Arial"/>
          <w:sz w:val="20"/>
        </w:rPr>
        <w:t xml:space="preserve"> </w:t>
      </w:r>
      <w:r w:rsidRPr="00EA59C0">
        <w:rPr>
          <w:rFonts w:ascii="Arial" w:eastAsia="Calibri" w:hAnsi="Arial"/>
          <w:sz w:val="20"/>
        </w:rPr>
        <w:t>two</w:t>
      </w:r>
      <w:r w:rsidR="00C026A6" w:rsidRPr="00EA59C0">
        <w:rPr>
          <w:rFonts w:ascii="Arial" w:eastAsia="Calibri" w:hAnsi="Arial"/>
          <w:sz w:val="20"/>
        </w:rPr>
        <w:t xml:space="preserve"> </w:t>
      </w:r>
      <w:r w:rsidRPr="00EA59C0">
        <w:rPr>
          <w:rFonts w:ascii="Arial" w:eastAsia="Calibri" w:hAnsi="Arial"/>
          <w:sz w:val="20"/>
        </w:rPr>
        <w:t>studies</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effectiveness</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process,</w:t>
      </w:r>
      <w:r w:rsidR="00C026A6" w:rsidRPr="00EA59C0">
        <w:rPr>
          <w:rFonts w:ascii="Arial" w:eastAsia="Calibri" w:hAnsi="Arial"/>
          <w:sz w:val="20"/>
        </w:rPr>
        <w:t xml:space="preserve"> </w:t>
      </w:r>
      <w:r w:rsidRPr="00EA59C0">
        <w:rPr>
          <w:rFonts w:ascii="Arial" w:eastAsia="Calibri" w:hAnsi="Arial"/>
          <w:sz w:val="20"/>
        </w:rPr>
        <w:t>product,</w:t>
      </w:r>
      <w:r w:rsidR="00C026A6" w:rsidRPr="00EA59C0">
        <w:rPr>
          <w:rFonts w:ascii="Arial" w:eastAsia="Calibri" w:hAnsi="Arial"/>
          <w:sz w:val="20"/>
        </w:rPr>
        <w:t xml:space="preserve"> </w:t>
      </w:r>
      <w:r w:rsidRPr="00EA59C0">
        <w:rPr>
          <w:rFonts w:ascii="Arial" w:eastAsia="Calibri" w:hAnsi="Arial"/>
          <w:sz w:val="20"/>
        </w:rPr>
        <w:t>strategy,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practice</w:t>
      </w:r>
      <w:r w:rsidR="00C026A6" w:rsidRPr="00EA59C0">
        <w:rPr>
          <w:rFonts w:ascii="Arial" w:eastAsia="Calibri" w:hAnsi="Arial"/>
          <w:sz w:val="20"/>
        </w:rPr>
        <w:t xml:space="preserve"> </w:t>
      </w:r>
      <w:r w:rsidRPr="00EA59C0">
        <w:rPr>
          <w:rFonts w:ascii="Arial" w:eastAsia="Calibri" w:hAnsi="Arial"/>
          <w:sz w:val="20"/>
        </w:rPr>
        <w:t>being</w:t>
      </w:r>
      <w:r w:rsidR="00C026A6" w:rsidRPr="00EA59C0">
        <w:rPr>
          <w:rFonts w:ascii="Arial" w:eastAsia="Calibri" w:hAnsi="Arial"/>
          <w:sz w:val="20"/>
        </w:rPr>
        <w:t xml:space="preserve"> </w:t>
      </w:r>
      <w:r w:rsidRPr="00EA59C0">
        <w:rPr>
          <w:rFonts w:ascii="Arial" w:eastAsia="Calibri" w:hAnsi="Arial"/>
          <w:sz w:val="20"/>
        </w:rPr>
        <w:t>proposed,</w:t>
      </w:r>
      <w:r w:rsidR="00C026A6" w:rsidRPr="00EA59C0">
        <w:rPr>
          <w:rFonts w:ascii="Arial" w:eastAsia="Calibri" w:hAnsi="Arial"/>
          <w:sz w:val="20"/>
        </w:rPr>
        <w:t xml:space="preserve"> </w:t>
      </w:r>
      <w:r w:rsidRPr="00EA59C0">
        <w:rPr>
          <w:rFonts w:ascii="Arial" w:eastAsia="Calibri" w:hAnsi="Arial"/>
          <w:sz w:val="20"/>
        </w:rPr>
        <w:t>each</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which:</w:t>
      </w:r>
      <w:r w:rsidR="00C026A6" w:rsidRPr="00EA59C0">
        <w:rPr>
          <w:rFonts w:ascii="Arial" w:eastAsia="Calibri" w:hAnsi="Arial"/>
          <w:sz w:val="20"/>
        </w:rPr>
        <w:t xml:space="preserve">  </w:t>
      </w:r>
      <w:r w:rsidRPr="00EA59C0">
        <w:rPr>
          <w:rFonts w:ascii="Arial" w:eastAsia="Calibri" w:hAnsi="Arial"/>
          <w:sz w:val="20"/>
        </w:rPr>
        <w:t>meets</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What</w:t>
      </w:r>
      <w:r w:rsidR="00C026A6" w:rsidRPr="00EA59C0">
        <w:rPr>
          <w:rFonts w:ascii="Arial" w:eastAsia="Calibri" w:hAnsi="Arial"/>
          <w:sz w:val="20"/>
        </w:rPr>
        <w:t xml:space="preserve"> </w:t>
      </w:r>
      <w:r w:rsidRPr="00EA59C0">
        <w:rPr>
          <w:rFonts w:ascii="Arial" w:eastAsia="Calibri" w:hAnsi="Arial"/>
          <w:sz w:val="20"/>
        </w:rPr>
        <w:t>Works</w:t>
      </w:r>
      <w:r w:rsidR="00C026A6" w:rsidRPr="00EA59C0">
        <w:rPr>
          <w:rFonts w:ascii="Arial" w:eastAsia="Calibri" w:hAnsi="Arial"/>
          <w:sz w:val="20"/>
        </w:rPr>
        <w:t xml:space="preserve"> </w:t>
      </w:r>
      <w:r w:rsidRPr="00EA59C0">
        <w:rPr>
          <w:rFonts w:ascii="Arial" w:eastAsia="Calibri" w:hAnsi="Arial"/>
          <w:sz w:val="20"/>
        </w:rPr>
        <w:t>Clearinghouse</w:t>
      </w:r>
      <w:r w:rsidR="00C026A6" w:rsidRPr="00EA59C0">
        <w:rPr>
          <w:rFonts w:ascii="Arial" w:eastAsia="Calibri" w:hAnsi="Arial"/>
          <w:sz w:val="20"/>
        </w:rPr>
        <w:t xml:space="preserve"> </w:t>
      </w:r>
      <w:r w:rsidRPr="00EA59C0">
        <w:rPr>
          <w:rFonts w:ascii="Arial" w:eastAsia="Calibri" w:hAnsi="Arial"/>
          <w:sz w:val="20"/>
        </w:rPr>
        <w:t>Evidence</w:t>
      </w:r>
      <w:r w:rsidR="00C026A6" w:rsidRPr="00EA59C0">
        <w:rPr>
          <w:rFonts w:ascii="Arial" w:eastAsia="Calibri" w:hAnsi="Arial"/>
          <w:sz w:val="20"/>
        </w:rPr>
        <w:t xml:space="preserve"> </w:t>
      </w:r>
      <w:r w:rsidRPr="00EA59C0">
        <w:rPr>
          <w:rFonts w:ascii="Arial" w:eastAsia="Calibri" w:hAnsi="Arial"/>
          <w:sz w:val="20"/>
        </w:rPr>
        <w:t>Standards</w:t>
      </w:r>
      <w:r w:rsidR="00C026A6" w:rsidRPr="00EA59C0">
        <w:rPr>
          <w:rFonts w:ascii="Arial" w:eastAsia="Calibri" w:hAnsi="Arial"/>
          <w:sz w:val="20"/>
        </w:rPr>
        <w:t xml:space="preserve"> </w:t>
      </w:r>
      <w:r w:rsidRPr="00EA59C0">
        <w:rPr>
          <w:rFonts w:ascii="Arial" w:eastAsia="Calibri" w:hAnsi="Arial"/>
          <w:sz w:val="20"/>
        </w:rPr>
        <w:t>with</w:t>
      </w:r>
      <w:r w:rsidR="00C026A6" w:rsidRPr="00EA59C0">
        <w:rPr>
          <w:rFonts w:ascii="Arial" w:eastAsia="Calibri" w:hAnsi="Arial"/>
          <w:sz w:val="20"/>
        </w:rPr>
        <w:t xml:space="preserve"> </w:t>
      </w:r>
      <w:r w:rsidRPr="00EA59C0">
        <w:rPr>
          <w:rFonts w:ascii="Arial" w:eastAsia="Calibri" w:hAnsi="Arial"/>
          <w:sz w:val="20"/>
        </w:rPr>
        <w:t>reservations,</w:t>
      </w:r>
      <w:r w:rsidRPr="00EA59C0">
        <w:rPr>
          <w:rFonts w:ascii="Arial" w:eastAsia="Calibri" w:hAnsi="Arial"/>
          <w:sz w:val="20"/>
          <w:vertAlign w:val="superscript"/>
        </w:rPr>
        <w:footnoteReference w:customMarkFollows="1" w:id="5"/>
        <w:t>[2]</w:t>
      </w:r>
      <w:r w:rsidR="00C026A6" w:rsidRPr="00EA59C0">
        <w:rPr>
          <w:rFonts w:ascii="Arial" w:eastAsia="Calibri" w:hAnsi="Arial"/>
          <w:sz w:val="20"/>
        </w:rPr>
        <w:t xml:space="preserve"> </w:t>
      </w:r>
      <w:r w:rsidRPr="00EA59C0">
        <w:rPr>
          <w:rFonts w:ascii="Arial" w:eastAsia="Calibri" w:hAnsi="Arial"/>
          <w:sz w:val="20"/>
        </w:rPr>
        <w:t>found</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statistically</w:t>
      </w:r>
      <w:r w:rsidR="00C026A6" w:rsidRPr="00EA59C0">
        <w:rPr>
          <w:rFonts w:ascii="Arial" w:eastAsia="Calibri" w:hAnsi="Arial"/>
          <w:sz w:val="20"/>
        </w:rPr>
        <w:t xml:space="preserve"> </w:t>
      </w:r>
      <w:r w:rsidRPr="00EA59C0">
        <w:rPr>
          <w:rFonts w:ascii="Arial" w:eastAsia="Calibri" w:hAnsi="Arial"/>
          <w:sz w:val="20"/>
        </w:rPr>
        <w:t>significant</w:t>
      </w:r>
      <w:r w:rsidR="00C026A6" w:rsidRPr="00EA59C0">
        <w:rPr>
          <w:rFonts w:ascii="Arial" w:eastAsia="Calibri" w:hAnsi="Arial"/>
          <w:sz w:val="20"/>
        </w:rPr>
        <w:t xml:space="preserve"> </w:t>
      </w:r>
      <w:r w:rsidRPr="00EA59C0">
        <w:rPr>
          <w:rFonts w:ascii="Arial" w:eastAsia="Calibri" w:hAnsi="Arial"/>
          <w:sz w:val="20"/>
        </w:rPr>
        <w:t>favorable</w:t>
      </w:r>
      <w:r w:rsidR="00C026A6" w:rsidRPr="00EA59C0">
        <w:rPr>
          <w:rFonts w:ascii="Arial" w:eastAsia="Calibri" w:hAnsi="Arial"/>
          <w:sz w:val="20"/>
        </w:rPr>
        <w:t xml:space="preserve"> </w:t>
      </w:r>
      <w:r w:rsidRPr="00EA59C0">
        <w:rPr>
          <w:rFonts w:ascii="Arial" w:eastAsia="Calibri" w:hAnsi="Arial"/>
          <w:sz w:val="20"/>
        </w:rPr>
        <w:t>impact</w:t>
      </w:r>
      <w:r w:rsidR="00C026A6" w:rsidRPr="00EA59C0">
        <w:rPr>
          <w:rFonts w:ascii="Arial" w:eastAsia="Calibri" w:hAnsi="Arial"/>
          <w:sz w:val="20"/>
        </w:rPr>
        <w:t xml:space="preserve"> </w:t>
      </w:r>
      <w:r w:rsidRPr="00EA59C0">
        <w:rPr>
          <w:rFonts w:ascii="Arial" w:eastAsia="Calibri" w:hAnsi="Arial"/>
          <w:sz w:val="20"/>
        </w:rPr>
        <w:t>on</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relevant</w:t>
      </w:r>
      <w:r w:rsidR="00C026A6" w:rsidRPr="00EA59C0">
        <w:rPr>
          <w:rFonts w:ascii="Arial" w:eastAsia="Calibri" w:hAnsi="Arial"/>
          <w:sz w:val="20"/>
        </w:rPr>
        <w:t xml:space="preserve"> </w:t>
      </w:r>
      <w:r w:rsidRPr="00EA59C0">
        <w:rPr>
          <w:rFonts w:ascii="Arial" w:eastAsia="Calibri" w:hAnsi="Arial"/>
          <w:sz w:val="20"/>
        </w:rPr>
        <w:t>outcome</w:t>
      </w:r>
      <w:r w:rsidR="00C026A6" w:rsidRPr="00EA59C0">
        <w:rPr>
          <w:rFonts w:ascii="Arial" w:eastAsia="Calibri" w:hAnsi="Arial"/>
          <w:sz w:val="20"/>
        </w:rPr>
        <w:t xml:space="preserve"> </w:t>
      </w:r>
      <w:r w:rsidRPr="00EA59C0">
        <w:rPr>
          <w:rFonts w:ascii="Arial" w:eastAsia="Calibri" w:hAnsi="Arial"/>
          <w:sz w:val="20"/>
        </w:rPr>
        <w:t>(with</w:t>
      </w:r>
      <w:r w:rsidR="00C026A6" w:rsidRPr="00EA59C0">
        <w:rPr>
          <w:rFonts w:ascii="Arial" w:eastAsia="Calibri" w:hAnsi="Arial"/>
          <w:sz w:val="20"/>
        </w:rPr>
        <w:t xml:space="preserve"> </w:t>
      </w:r>
      <w:r w:rsidRPr="00EA59C0">
        <w:rPr>
          <w:rFonts w:ascii="Arial" w:eastAsia="Calibri" w:hAnsi="Arial"/>
          <w:sz w:val="20"/>
        </w:rPr>
        <w:t>no</w:t>
      </w:r>
      <w:r w:rsidR="00C026A6" w:rsidRPr="00EA59C0">
        <w:rPr>
          <w:rFonts w:ascii="Arial" w:eastAsia="Calibri" w:hAnsi="Arial"/>
          <w:sz w:val="20"/>
        </w:rPr>
        <w:t xml:space="preserve"> </w:t>
      </w:r>
      <w:r w:rsidRPr="00EA59C0">
        <w:rPr>
          <w:rFonts w:ascii="Arial" w:eastAsia="Calibri" w:hAnsi="Arial"/>
          <w:sz w:val="20"/>
        </w:rPr>
        <w:t>statistically</w:t>
      </w:r>
      <w:r w:rsidR="00C026A6" w:rsidRPr="00EA59C0">
        <w:rPr>
          <w:rFonts w:ascii="Arial" w:eastAsia="Calibri" w:hAnsi="Arial"/>
          <w:sz w:val="20"/>
        </w:rPr>
        <w:t xml:space="preserve"> </w:t>
      </w:r>
      <w:r w:rsidRPr="00EA59C0">
        <w:rPr>
          <w:rFonts w:ascii="Arial" w:eastAsia="Calibri" w:hAnsi="Arial"/>
          <w:sz w:val="20"/>
        </w:rPr>
        <w:t>significant</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overriding</w:t>
      </w:r>
      <w:r w:rsidR="00C026A6" w:rsidRPr="00EA59C0">
        <w:rPr>
          <w:rFonts w:ascii="Arial" w:eastAsia="Calibri" w:hAnsi="Arial"/>
          <w:sz w:val="20"/>
        </w:rPr>
        <w:t xml:space="preserve"> </w:t>
      </w:r>
      <w:r w:rsidRPr="00EA59C0">
        <w:rPr>
          <w:rFonts w:ascii="Arial" w:eastAsia="Calibri" w:hAnsi="Arial"/>
          <w:sz w:val="20"/>
        </w:rPr>
        <w:t>unfavorable</w:t>
      </w:r>
      <w:r w:rsidR="00C026A6" w:rsidRPr="00EA59C0">
        <w:rPr>
          <w:rFonts w:ascii="Arial" w:eastAsia="Calibri" w:hAnsi="Arial"/>
          <w:sz w:val="20"/>
        </w:rPr>
        <w:t xml:space="preserve"> </w:t>
      </w:r>
      <w:r w:rsidRPr="00EA59C0">
        <w:rPr>
          <w:rFonts w:ascii="Arial" w:eastAsia="Calibri" w:hAnsi="Arial"/>
          <w:sz w:val="20"/>
        </w:rPr>
        <w:t>impacts</w:t>
      </w:r>
      <w:r w:rsidR="00C026A6" w:rsidRPr="00EA59C0">
        <w:rPr>
          <w:rFonts w:ascii="Arial" w:eastAsia="Calibri" w:hAnsi="Arial"/>
          <w:sz w:val="20"/>
        </w:rPr>
        <w:t xml:space="preserve"> </w:t>
      </w:r>
      <w:r w:rsidRPr="00EA59C0">
        <w:rPr>
          <w:rFonts w:ascii="Arial" w:eastAsia="Calibri" w:hAnsi="Arial"/>
          <w:sz w:val="20"/>
        </w:rPr>
        <w:t>on</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outcome</w:t>
      </w:r>
      <w:r w:rsidR="00C026A6" w:rsidRPr="00EA59C0">
        <w:rPr>
          <w:rFonts w:ascii="Arial" w:eastAsia="Calibri" w:hAnsi="Arial"/>
          <w:sz w:val="20"/>
        </w:rPr>
        <w:t xml:space="preserve"> </w:t>
      </w:r>
      <w:r w:rsidRPr="00EA59C0">
        <w:rPr>
          <w:rFonts w:ascii="Arial" w:eastAsia="Calibri" w:hAnsi="Arial"/>
          <w:sz w:val="20"/>
        </w:rPr>
        <w:t>for</w:t>
      </w:r>
      <w:r w:rsidR="00C026A6" w:rsidRPr="00EA59C0">
        <w:rPr>
          <w:rFonts w:ascii="Arial" w:eastAsia="Calibri" w:hAnsi="Arial"/>
          <w:sz w:val="20"/>
        </w:rPr>
        <w:t xml:space="preserve"> </w:t>
      </w:r>
      <w:r w:rsidRPr="00EA59C0">
        <w:rPr>
          <w:rFonts w:ascii="Arial" w:eastAsia="Calibri" w:hAnsi="Arial"/>
          <w:sz w:val="20"/>
        </w:rPr>
        <w:t>relevant</w:t>
      </w:r>
      <w:r w:rsidR="00C026A6" w:rsidRPr="00EA59C0">
        <w:rPr>
          <w:rFonts w:ascii="Arial" w:eastAsia="Calibri" w:hAnsi="Arial"/>
          <w:sz w:val="20"/>
        </w:rPr>
        <w:t xml:space="preserve"> </w:t>
      </w:r>
      <w:r w:rsidRPr="00EA59C0">
        <w:rPr>
          <w:rFonts w:ascii="Arial" w:eastAsia="Calibri" w:hAnsi="Arial"/>
          <w:sz w:val="20"/>
        </w:rPr>
        <w:t>populations</w:t>
      </w:r>
      <w:r w:rsidR="00C026A6" w:rsidRPr="00EA59C0">
        <w:rPr>
          <w:rFonts w:ascii="Arial" w:eastAsia="Calibri" w:hAnsi="Arial"/>
          <w:sz w:val="20"/>
        </w:rPr>
        <w:t xml:space="preserve"> </w:t>
      </w:r>
      <w:r w:rsidRPr="00EA59C0">
        <w:rPr>
          <w:rFonts w:ascii="Arial" w:eastAsia="Calibri" w:hAnsi="Arial"/>
          <w:sz w:val="20"/>
        </w:rPr>
        <w:t>in</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studies</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in</w:t>
      </w:r>
      <w:r w:rsidR="00C026A6" w:rsidRPr="00EA59C0">
        <w:rPr>
          <w:rFonts w:ascii="Arial" w:eastAsia="Calibri" w:hAnsi="Arial"/>
          <w:sz w:val="20"/>
        </w:rPr>
        <w:t xml:space="preserve"> </w:t>
      </w:r>
      <w:r w:rsidRPr="00EA59C0">
        <w:rPr>
          <w:rFonts w:ascii="Arial" w:eastAsia="Calibri" w:hAnsi="Arial"/>
          <w:sz w:val="20"/>
        </w:rPr>
        <w:t>other</w:t>
      </w:r>
      <w:r w:rsidR="00C026A6" w:rsidRPr="00EA59C0">
        <w:rPr>
          <w:rFonts w:ascii="Arial" w:eastAsia="Calibri" w:hAnsi="Arial"/>
          <w:sz w:val="20"/>
        </w:rPr>
        <w:t xml:space="preserve"> </w:t>
      </w:r>
      <w:r w:rsidRPr="00EA59C0">
        <w:rPr>
          <w:rFonts w:ascii="Arial" w:eastAsia="Calibri" w:hAnsi="Arial"/>
          <w:sz w:val="20"/>
        </w:rPr>
        <w:t>studies</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intervention</w:t>
      </w:r>
      <w:r w:rsidR="00C026A6" w:rsidRPr="00EA59C0">
        <w:rPr>
          <w:rFonts w:ascii="Arial" w:eastAsia="Calibri" w:hAnsi="Arial"/>
          <w:sz w:val="20"/>
        </w:rPr>
        <w:t xml:space="preserve"> </w:t>
      </w:r>
      <w:r w:rsidRPr="00EA59C0">
        <w:rPr>
          <w:rFonts w:ascii="Arial" w:eastAsia="Calibri" w:hAnsi="Arial"/>
          <w:sz w:val="20"/>
        </w:rPr>
        <w:t>reviewed</w:t>
      </w:r>
      <w:r w:rsidR="00C026A6" w:rsidRPr="00EA59C0">
        <w:rPr>
          <w:rFonts w:ascii="Arial" w:eastAsia="Calibri" w:hAnsi="Arial"/>
          <w:sz w:val="20"/>
        </w:rPr>
        <w:t xml:space="preserve"> </w:t>
      </w:r>
      <w:r w:rsidRPr="00EA59C0">
        <w:rPr>
          <w:rFonts w:ascii="Arial" w:eastAsia="Calibri" w:hAnsi="Arial"/>
          <w:sz w:val="20"/>
        </w:rPr>
        <w:t>by</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reported</w:t>
      </w:r>
      <w:r w:rsidR="00C026A6" w:rsidRPr="00EA59C0">
        <w:rPr>
          <w:rFonts w:ascii="Arial" w:eastAsia="Calibri" w:hAnsi="Arial"/>
          <w:sz w:val="20"/>
        </w:rPr>
        <w:t xml:space="preserve"> </w:t>
      </w:r>
      <w:r w:rsidRPr="00EA59C0">
        <w:rPr>
          <w:rFonts w:ascii="Arial" w:eastAsia="Calibri" w:hAnsi="Arial"/>
          <w:sz w:val="20"/>
        </w:rPr>
        <w:t>on</w:t>
      </w:r>
      <w:r w:rsidR="00C026A6" w:rsidRPr="00EA59C0">
        <w:rPr>
          <w:rFonts w:ascii="Arial" w:eastAsia="Calibri" w:hAnsi="Arial"/>
          <w:sz w:val="20"/>
        </w:rPr>
        <w:t xml:space="preserve"> </w:t>
      </w:r>
      <w:r w:rsidRPr="00EA59C0">
        <w:rPr>
          <w:rFonts w:ascii="Arial" w:eastAsia="Calibri" w:hAnsi="Arial"/>
          <w:sz w:val="20"/>
        </w:rPr>
        <w:t>by</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What</w:t>
      </w:r>
      <w:r w:rsidR="00C026A6" w:rsidRPr="00EA59C0">
        <w:rPr>
          <w:rFonts w:ascii="Arial" w:eastAsia="Calibri" w:hAnsi="Arial"/>
          <w:sz w:val="20"/>
        </w:rPr>
        <w:t xml:space="preserve"> </w:t>
      </w:r>
      <w:r w:rsidRPr="00EA59C0">
        <w:rPr>
          <w:rFonts w:ascii="Arial" w:eastAsia="Calibri" w:hAnsi="Arial"/>
          <w:sz w:val="20"/>
        </w:rPr>
        <w:t>Works</w:t>
      </w:r>
      <w:r w:rsidR="00C026A6" w:rsidRPr="00EA59C0">
        <w:rPr>
          <w:rFonts w:ascii="Arial" w:eastAsia="Calibri" w:hAnsi="Arial"/>
          <w:sz w:val="20"/>
        </w:rPr>
        <w:t xml:space="preserve"> </w:t>
      </w:r>
      <w:r w:rsidRPr="00EA59C0">
        <w:rPr>
          <w:rFonts w:ascii="Arial" w:eastAsia="Calibri" w:hAnsi="Arial"/>
          <w:sz w:val="20"/>
        </w:rPr>
        <w:t>Clearinghouse),</w:t>
      </w:r>
      <w:r w:rsidR="00C026A6" w:rsidRPr="00EA59C0">
        <w:rPr>
          <w:rFonts w:ascii="Arial" w:eastAsia="Calibri" w:hAnsi="Arial"/>
          <w:sz w:val="20"/>
        </w:rPr>
        <w:t xml:space="preserve"> </w:t>
      </w:r>
      <w:r w:rsidRPr="00EA59C0">
        <w:rPr>
          <w:rFonts w:ascii="Arial" w:eastAsia="Calibri" w:hAnsi="Arial"/>
          <w:sz w:val="20"/>
        </w:rPr>
        <w:t>includes</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sample</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overlaps</w:t>
      </w:r>
      <w:r w:rsidR="00C026A6" w:rsidRPr="00EA59C0">
        <w:rPr>
          <w:rFonts w:ascii="Arial" w:eastAsia="Calibri" w:hAnsi="Arial"/>
          <w:sz w:val="20"/>
        </w:rPr>
        <w:t xml:space="preserve"> </w:t>
      </w:r>
      <w:r w:rsidRPr="00EA59C0">
        <w:rPr>
          <w:rFonts w:ascii="Arial" w:eastAsia="Calibri" w:hAnsi="Arial"/>
          <w:sz w:val="20"/>
        </w:rPr>
        <w:t>with</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populations</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settings</w:t>
      </w:r>
      <w:r w:rsidR="00C026A6" w:rsidRPr="00EA59C0">
        <w:rPr>
          <w:rFonts w:ascii="Arial" w:eastAsia="Calibri" w:hAnsi="Arial"/>
          <w:sz w:val="20"/>
        </w:rPr>
        <w:t xml:space="preserve"> </w:t>
      </w:r>
      <w:r w:rsidRPr="00EA59C0">
        <w:rPr>
          <w:rFonts w:ascii="Arial" w:eastAsia="Calibri" w:hAnsi="Arial"/>
          <w:sz w:val="20"/>
        </w:rPr>
        <w:t>proposed</w:t>
      </w:r>
      <w:r w:rsidR="00C026A6" w:rsidRPr="00EA59C0">
        <w:rPr>
          <w:rFonts w:ascii="Arial" w:eastAsia="Calibri" w:hAnsi="Arial"/>
          <w:sz w:val="20"/>
        </w:rPr>
        <w:t xml:space="preserve"> </w:t>
      </w:r>
      <w:r w:rsidRPr="00EA59C0">
        <w:rPr>
          <w:rFonts w:ascii="Arial" w:eastAsia="Calibri" w:hAnsi="Arial"/>
          <w:sz w:val="20"/>
        </w:rPr>
        <w:t>to</w:t>
      </w:r>
      <w:r w:rsidR="00C026A6" w:rsidRPr="00EA59C0">
        <w:rPr>
          <w:rFonts w:ascii="Arial" w:eastAsia="Calibri" w:hAnsi="Arial"/>
          <w:sz w:val="20"/>
        </w:rPr>
        <w:t xml:space="preserve"> </w:t>
      </w:r>
      <w:r w:rsidRPr="00EA59C0">
        <w:rPr>
          <w:rFonts w:ascii="Arial" w:eastAsia="Calibri" w:hAnsi="Arial"/>
          <w:sz w:val="20"/>
        </w:rPr>
        <w:t>receive</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process,</w:t>
      </w:r>
      <w:r w:rsidR="00C026A6" w:rsidRPr="00EA59C0">
        <w:rPr>
          <w:rFonts w:ascii="Arial" w:eastAsia="Calibri" w:hAnsi="Arial"/>
          <w:sz w:val="20"/>
        </w:rPr>
        <w:t xml:space="preserve"> </w:t>
      </w:r>
      <w:r w:rsidRPr="00EA59C0">
        <w:rPr>
          <w:rFonts w:ascii="Arial" w:eastAsia="Calibri" w:hAnsi="Arial"/>
          <w:sz w:val="20"/>
        </w:rPr>
        <w:t>product,</w:t>
      </w:r>
      <w:r w:rsidR="00C026A6" w:rsidRPr="00EA59C0">
        <w:rPr>
          <w:rFonts w:ascii="Arial" w:eastAsia="Calibri" w:hAnsi="Arial"/>
          <w:sz w:val="20"/>
        </w:rPr>
        <w:t xml:space="preserve"> </w:t>
      </w:r>
      <w:r w:rsidRPr="00EA59C0">
        <w:rPr>
          <w:rFonts w:ascii="Arial" w:eastAsia="Calibri" w:hAnsi="Arial"/>
          <w:sz w:val="20"/>
        </w:rPr>
        <w:t>strategy,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practice,</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includes</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large</w:t>
      </w:r>
      <w:r w:rsidR="00C026A6" w:rsidRPr="00EA59C0">
        <w:rPr>
          <w:rFonts w:ascii="Arial" w:eastAsia="Calibri" w:hAnsi="Arial"/>
          <w:sz w:val="20"/>
        </w:rPr>
        <w:t xml:space="preserve"> </w:t>
      </w:r>
      <w:r w:rsidRPr="00EA59C0">
        <w:rPr>
          <w:rFonts w:ascii="Arial" w:eastAsia="Calibri" w:hAnsi="Arial"/>
          <w:sz w:val="20"/>
        </w:rPr>
        <w:t>sample</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multi-site</w:t>
      </w:r>
      <w:r w:rsidR="00C026A6" w:rsidRPr="00EA59C0">
        <w:rPr>
          <w:rFonts w:ascii="Arial" w:eastAsia="Calibri" w:hAnsi="Arial"/>
          <w:sz w:val="20"/>
        </w:rPr>
        <w:t xml:space="preserve"> </w:t>
      </w:r>
      <w:r w:rsidRPr="00EA59C0">
        <w:rPr>
          <w:rFonts w:ascii="Arial" w:eastAsia="Calibri" w:hAnsi="Arial"/>
          <w:sz w:val="20"/>
        </w:rPr>
        <w:t>sample.</w:t>
      </w:r>
      <w:r w:rsidR="00C026A6" w:rsidRPr="00EA59C0">
        <w:rPr>
          <w:rFonts w:ascii="Arial" w:eastAsia="Calibri" w:hAnsi="Arial"/>
          <w:sz w:val="20"/>
        </w:rPr>
        <w:t xml:space="preserve">  </w:t>
      </w:r>
    </w:p>
    <w:p w:rsidR="008826BE" w:rsidRPr="00EA59C0" w:rsidRDefault="008826BE" w:rsidP="00DB00BB">
      <w:pPr>
        <w:rPr>
          <w:rFonts w:ascii="Arial" w:eastAsia="Calibri" w:hAnsi="Arial"/>
          <w:sz w:val="20"/>
        </w:rPr>
      </w:pPr>
    </w:p>
    <w:p w:rsidR="008826BE" w:rsidRPr="00EA59C0" w:rsidRDefault="008826BE" w:rsidP="00DB00BB">
      <w:pPr>
        <w:rPr>
          <w:rFonts w:ascii="Arial" w:eastAsia="Calibri" w:hAnsi="Arial"/>
          <w:sz w:val="20"/>
        </w:rPr>
      </w:pPr>
      <w:r w:rsidRPr="00EA59C0">
        <w:rPr>
          <w:rFonts w:ascii="Arial" w:eastAsia="Calibri" w:hAnsi="Arial"/>
          <w:b/>
          <w:i/>
          <w:sz w:val="20"/>
          <w:u w:val="single"/>
        </w:rPr>
        <w:t>Moderate</w:t>
      </w:r>
      <w:r w:rsidR="00C026A6" w:rsidRPr="00EA59C0">
        <w:rPr>
          <w:rFonts w:ascii="Arial" w:eastAsia="Calibri" w:hAnsi="Arial"/>
          <w:b/>
          <w:i/>
          <w:sz w:val="20"/>
          <w:u w:val="single"/>
        </w:rPr>
        <w:t xml:space="preserve"> </w:t>
      </w:r>
      <w:r w:rsidRPr="00EA59C0">
        <w:rPr>
          <w:rFonts w:ascii="Arial" w:eastAsia="Calibri" w:hAnsi="Arial"/>
          <w:b/>
          <w:i/>
          <w:sz w:val="20"/>
          <w:u w:val="single"/>
        </w:rPr>
        <w:t>evidence</w:t>
      </w:r>
      <w:r w:rsidR="00C026A6" w:rsidRPr="00EA59C0">
        <w:rPr>
          <w:rFonts w:ascii="Arial" w:eastAsia="Calibri" w:hAnsi="Arial"/>
          <w:b/>
          <w:i/>
          <w:sz w:val="20"/>
          <w:u w:val="single"/>
        </w:rPr>
        <w:t xml:space="preserve"> </w:t>
      </w:r>
      <w:r w:rsidRPr="00EA59C0">
        <w:rPr>
          <w:rFonts w:ascii="Arial" w:eastAsia="Calibri" w:hAnsi="Arial"/>
          <w:b/>
          <w:i/>
          <w:sz w:val="20"/>
          <w:u w:val="single"/>
        </w:rPr>
        <w:t>of</w:t>
      </w:r>
      <w:r w:rsidR="00C026A6" w:rsidRPr="00EA59C0">
        <w:rPr>
          <w:rFonts w:ascii="Arial" w:eastAsia="Calibri" w:hAnsi="Arial"/>
          <w:b/>
          <w:i/>
          <w:sz w:val="20"/>
          <w:u w:val="single"/>
        </w:rPr>
        <w:t xml:space="preserve"> </w:t>
      </w:r>
      <w:r w:rsidRPr="00EA59C0">
        <w:rPr>
          <w:rFonts w:ascii="Arial" w:eastAsia="Calibri" w:hAnsi="Arial"/>
          <w:b/>
          <w:i/>
          <w:sz w:val="20"/>
          <w:u w:val="single"/>
        </w:rPr>
        <w:t>effectiveness</w:t>
      </w:r>
      <w:r w:rsidR="00C026A6" w:rsidRPr="00EA59C0">
        <w:rPr>
          <w:rFonts w:ascii="Arial" w:eastAsia="Calibri" w:hAnsi="Arial"/>
          <w:sz w:val="20"/>
        </w:rPr>
        <w:t xml:space="preserve"> </w:t>
      </w:r>
      <w:r w:rsidRPr="00EA59C0">
        <w:rPr>
          <w:rFonts w:ascii="Arial" w:eastAsia="Calibri" w:hAnsi="Arial"/>
          <w:sz w:val="20"/>
        </w:rPr>
        <w:t>means</w:t>
      </w:r>
      <w:r w:rsidR="00C026A6" w:rsidRPr="00EA59C0">
        <w:rPr>
          <w:rFonts w:ascii="Arial" w:eastAsia="Calibri" w:hAnsi="Arial"/>
          <w:sz w:val="20"/>
        </w:rPr>
        <w:t xml:space="preserve"> </w:t>
      </w:r>
      <w:r w:rsidRPr="00EA59C0">
        <w:rPr>
          <w:rFonts w:ascii="Arial" w:eastAsia="Calibri" w:hAnsi="Arial"/>
          <w:sz w:val="20"/>
        </w:rPr>
        <w:t>one</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following</w:t>
      </w:r>
      <w:r w:rsidR="00C026A6" w:rsidRPr="00EA59C0">
        <w:rPr>
          <w:rFonts w:ascii="Arial" w:eastAsia="Calibri" w:hAnsi="Arial"/>
          <w:sz w:val="20"/>
        </w:rPr>
        <w:t xml:space="preserve"> </w:t>
      </w:r>
      <w:r w:rsidRPr="00EA59C0">
        <w:rPr>
          <w:rFonts w:ascii="Arial" w:eastAsia="Calibri" w:hAnsi="Arial"/>
          <w:sz w:val="20"/>
        </w:rPr>
        <w:t>conditions</w:t>
      </w:r>
      <w:r w:rsidR="00C026A6" w:rsidRPr="00EA59C0">
        <w:rPr>
          <w:rFonts w:ascii="Arial" w:eastAsia="Calibri" w:hAnsi="Arial"/>
          <w:sz w:val="20"/>
        </w:rPr>
        <w:t xml:space="preserve"> </w:t>
      </w:r>
      <w:r w:rsidRPr="00EA59C0">
        <w:rPr>
          <w:rFonts w:ascii="Arial" w:eastAsia="Calibri" w:hAnsi="Arial"/>
          <w:sz w:val="20"/>
        </w:rPr>
        <w:t>is</w:t>
      </w:r>
      <w:r w:rsidR="00C026A6" w:rsidRPr="00EA59C0">
        <w:rPr>
          <w:rFonts w:ascii="Arial" w:eastAsia="Calibri" w:hAnsi="Arial"/>
          <w:sz w:val="20"/>
        </w:rPr>
        <w:t xml:space="preserve"> </w:t>
      </w:r>
      <w:r w:rsidRPr="00EA59C0">
        <w:rPr>
          <w:rFonts w:ascii="Arial" w:eastAsia="Calibri" w:hAnsi="Arial"/>
          <w:sz w:val="20"/>
        </w:rPr>
        <w:t>met:</w:t>
      </w:r>
    </w:p>
    <w:p w:rsidR="008826BE" w:rsidRPr="00EA59C0" w:rsidRDefault="00C026A6" w:rsidP="00DB00BB">
      <w:pPr>
        <w:rPr>
          <w:rFonts w:ascii="Arial" w:eastAsia="Calibri" w:hAnsi="Arial"/>
          <w:sz w:val="20"/>
        </w:rPr>
      </w:pPr>
      <w:r w:rsidRPr="00EA59C0">
        <w:rPr>
          <w:rFonts w:ascii="Arial" w:eastAsia="Calibri" w:hAnsi="Arial"/>
          <w:sz w:val="20"/>
        </w:rPr>
        <w:t xml:space="preserve">  </w:t>
      </w:r>
    </w:p>
    <w:p w:rsidR="008826BE" w:rsidRPr="00EA59C0" w:rsidRDefault="008826BE" w:rsidP="00080097">
      <w:pPr>
        <w:pStyle w:val="ListParagraph"/>
        <w:numPr>
          <w:ilvl w:val="1"/>
          <w:numId w:val="49"/>
        </w:numPr>
        <w:tabs>
          <w:tab w:val="left" w:pos="720"/>
        </w:tabs>
        <w:ind w:left="720"/>
        <w:rPr>
          <w:rFonts w:ascii="Arial" w:eastAsia="Calibri" w:hAnsi="Arial"/>
          <w:sz w:val="20"/>
        </w:rPr>
      </w:pPr>
      <w:r w:rsidRPr="00EA59C0">
        <w:rPr>
          <w:rFonts w:ascii="Arial" w:eastAsia="Calibri" w:hAnsi="Arial"/>
          <w:sz w:val="20"/>
        </w:rPr>
        <w:t>There</w:t>
      </w:r>
      <w:r w:rsidR="00C026A6" w:rsidRPr="00EA59C0">
        <w:rPr>
          <w:rFonts w:ascii="Arial" w:eastAsia="Calibri" w:hAnsi="Arial"/>
          <w:sz w:val="20"/>
        </w:rPr>
        <w:t xml:space="preserve"> </w:t>
      </w:r>
      <w:r w:rsidRPr="00EA59C0">
        <w:rPr>
          <w:rFonts w:ascii="Arial" w:eastAsia="Calibri" w:hAnsi="Arial"/>
          <w:sz w:val="20"/>
        </w:rPr>
        <w:t>is</w:t>
      </w:r>
      <w:r w:rsidR="00C026A6" w:rsidRPr="00EA59C0">
        <w:rPr>
          <w:rFonts w:ascii="Arial" w:eastAsia="Calibri" w:hAnsi="Arial"/>
          <w:sz w:val="20"/>
        </w:rPr>
        <w:t xml:space="preserve"> </w:t>
      </w:r>
      <w:r w:rsidRPr="00EA59C0">
        <w:rPr>
          <w:rFonts w:ascii="Arial" w:eastAsia="Calibri" w:hAnsi="Arial"/>
          <w:sz w:val="20"/>
        </w:rPr>
        <w:t>at</w:t>
      </w:r>
      <w:r w:rsidR="00C026A6" w:rsidRPr="00EA59C0">
        <w:rPr>
          <w:rFonts w:ascii="Arial" w:eastAsia="Calibri" w:hAnsi="Arial"/>
          <w:sz w:val="20"/>
        </w:rPr>
        <w:t xml:space="preserve"> </w:t>
      </w:r>
      <w:r w:rsidRPr="00EA59C0">
        <w:rPr>
          <w:rFonts w:ascii="Arial" w:eastAsia="Calibri" w:hAnsi="Arial"/>
          <w:sz w:val="20"/>
        </w:rPr>
        <w:t>least</w:t>
      </w:r>
      <w:r w:rsidR="00C026A6" w:rsidRPr="00EA59C0">
        <w:rPr>
          <w:rFonts w:ascii="Arial" w:eastAsia="Calibri" w:hAnsi="Arial"/>
          <w:sz w:val="20"/>
        </w:rPr>
        <w:t xml:space="preserve"> </w:t>
      </w:r>
      <w:r w:rsidRPr="00EA59C0">
        <w:rPr>
          <w:rFonts w:ascii="Arial" w:eastAsia="Calibri" w:hAnsi="Arial"/>
          <w:sz w:val="20"/>
        </w:rPr>
        <w:t>one</w:t>
      </w:r>
      <w:r w:rsidR="00C026A6" w:rsidRPr="00EA59C0">
        <w:rPr>
          <w:rFonts w:ascii="Arial" w:eastAsia="Calibri" w:hAnsi="Arial"/>
          <w:sz w:val="20"/>
        </w:rPr>
        <w:t xml:space="preserve"> </w:t>
      </w:r>
      <w:r w:rsidRPr="00EA59C0">
        <w:rPr>
          <w:rFonts w:ascii="Arial" w:eastAsia="Calibri" w:hAnsi="Arial"/>
          <w:sz w:val="20"/>
        </w:rPr>
        <w:t>study</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effectiveness</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process,</w:t>
      </w:r>
      <w:r w:rsidR="00C026A6" w:rsidRPr="00EA59C0">
        <w:rPr>
          <w:rFonts w:ascii="Arial" w:eastAsia="Calibri" w:hAnsi="Arial"/>
          <w:sz w:val="20"/>
        </w:rPr>
        <w:t xml:space="preserve"> </w:t>
      </w:r>
      <w:r w:rsidRPr="00EA59C0">
        <w:rPr>
          <w:rFonts w:ascii="Arial" w:eastAsia="Calibri" w:hAnsi="Arial"/>
          <w:sz w:val="20"/>
        </w:rPr>
        <w:t>product,</w:t>
      </w:r>
      <w:r w:rsidR="00C026A6" w:rsidRPr="00EA59C0">
        <w:rPr>
          <w:rFonts w:ascii="Arial" w:eastAsia="Calibri" w:hAnsi="Arial"/>
          <w:sz w:val="20"/>
        </w:rPr>
        <w:t xml:space="preserve"> </w:t>
      </w:r>
      <w:r w:rsidRPr="00EA59C0">
        <w:rPr>
          <w:rFonts w:ascii="Arial" w:eastAsia="Calibri" w:hAnsi="Arial"/>
          <w:sz w:val="20"/>
        </w:rPr>
        <w:t>strategy,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practice</w:t>
      </w:r>
      <w:r w:rsidR="00C026A6" w:rsidRPr="00EA59C0">
        <w:rPr>
          <w:rFonts w:ascii="Arial" w:eastAsia="Calibri" w:hAnsi="Arial"/>
          <w:sz w:val="20"/>
        </w:rPr>
        <w:t xml:space="preserve"> </w:t>
      </w:r>
      <w:r w:rsidRPr="00EA59C0">
        <w:rPr>
          <w:rFonts w:ascii="Arial" w:eastAsia="Calibri" w:hAnsi="Arial"/>
          <w:sz w:val="20"/>
        </w:rPr>
        <w:t>being</w:t>
      </w:r>
      <w:r w:rsidR="00C026A6" w:rsidRPr="00EA59C0">
        <w:rPr>
          <w:rFonts w:ascii="Arial" w:eastAsia="Calibri" w:hAnsi="Arial"/>
          <w:sz w:val="20"/>
        </w:rPr>
        <w:t xml:space="preserve"> </w:t>
      </w:r>
      <w:r w:rsidRPr="00EA59C0">
        <w:rPr>
          <w:rFonts w:ascii="Arial" w:eastAsia="Calibri" w:hAnsi="Arial"/>
          <w:sz w:val="20"/>
        </w:rPr>
        <w:t>proposed</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meets</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What</w:t>
      </w:r>
      <w:r w:rsidR="00C026A6" w:rsidRPr="00EA59C0">
        <w:rPr>
          <w:rFonts w:ascii="Arial" w:eastAsia="Calibri" w:hAnsi="Arial"/>
          <w:sz w:val="20"/>
        </w:rPr>
        <w:t xml:space="preserve"> </w:t>
      </w:r>
      <w:r w:rsidRPr="00EA59C0">
        <w:rPr>
          <w:rFonts w:ascii="Arial" w:eastAsia="Calibri" w:hAnsi="Arial"/>
          <w:sz w:val="20"/>
        </w:rPr>
        <w:t>Works</w:t>
      </w:r>
      <w:r w:rsidR="00C026A6" w:rsidRPr="00EA59C0">
        <w:rPr>
          <w:rFonts w:ascii="Arial" w:eastAsia="Calibri" w:hAnsi="Arial"/>
          <w:sz w:val="20"/>
        </w:rPr>
        <w:t xml:space="preserve"> </w:t>
      </w:r>
      <w:r w:rsidRPr="00EA59C0">
        <w:rPr>
          <w:rFonts w:ascii="Arial" w:eastAsia="Calibri" w:hAnsi="Arial"/>
          <w:sz w:val="20"/>
        </w:rPr>
        <w:t>Clearinghouse</w:t>
      </w:r>
      <w:r w:rsidR="00C026A6" w:rsidRPr="00EA59C0">
        <w:rPr>
          <w:rFonts w:ascii="Arial" w:eastAsia="Calibri" w:hAnsi="Arial"/>
          <w:sz w:val="20"/>
        </w:rPr>
        <w:t xml:space="preserve"> </w:t>
      </w:r>
      <w:r w:rsidRPr="00EA59C0">
        <w:rPr>
          <w:rFonts w:ascii="Arial" w:eastAsia="Calibri" w:hAnsi="Arial"/>
          <w:sz w:val="20"/>
        </w:rPr>
        <w:t>Evidence</w:t>
      </w:r>
      <w:r w:rsidR="00C026A6" w:rsidRPr="00EA59C0">
        <w:rPr>
          <w:rFonts w:ascii="Arial" w:eastAsia="Calibri" w:hAnsi="Arial"/>
          <w:sz w:val="20"/>
        </w:rPr>
        <w:t xml:space="preserve"> </w:t>
      </w:r>
      <w:r w:rsidRPr="00EA59C0">
        <w:rPr>
          <w:rFonts w:ascii="Arial" w:eastAsia="Calibri" w:hAnsi="Arial"/>
          <w:sz w:val="20"/>
        </w:rPr>
        <w:t>Standards</w:t>
      </w:r>
      <w:r w:rsidR="00C026A6" w:rsidRPr="00EA59C0">
        <w:rPr>
          <w:rFonts w:ascii="Arial" w:eastAsia="Calibri" w:hAnsi="Arial"/>
          <w:sz w:val="20"/>
        </w:rPr>
        <w:t xml:space="preserve"> </w:t>
      </w:r>
      <w:r w:rsidRPr="00EA59C0">
        <w:rPr>
          <w:rFonts w:ascii="Arial" w:eastAsia="Calibri" w:hAnsi="Arial"/>
          <w:sz w:val="20"/>
        </w:rPr>
        <w:t>without</w:t>
      </w:r>
      <w:r w:rsidR="00C026A6" w:rsidRPr="00EA59C0">
        <w:rPr>
          <w:rFonts w:ascii="Arial" w:eastAsia="Calibri" w:hAnsi="Arial"/>
          <w:sz w:val="20"/>
        </w:rPr>
        <w:t xml:space="preserve"> </w:t>
      </w:r>
      <w:r w:rsidRPr="00EA59C0">
        <w:rPr>
          <w:rFonts w:ascii="Arial" w:eastAsia="Calibri" w:hAnsi="Arial"/>
          <w:sz w:val="20"/>
        </w:rPr>
        <w:t>reservations,</w:t>
      </w:r>
      <w:r w:rsidRPr="00EA59C0">
        <w:rPr>
          <w:rFonts w:ascii="Arial" w:eastAsia="Calibri" w:hAnsi="Arial"/>
          <w:sz w:val="20"/>
          <w:vertAlign w:val="superscript"/>
        </w:rPr>
        <w:footnoteReference w:customMarkFollows="1" w:id="6"/>
        <w:t>[3]</w:t>
      </w:r>
      <w:r w:rsidR="00C026A6" w:rsidRPr="00EA59C0">
        <w:rPr>
          <w:rFonts w:ascii="Arial" w:eastAsia="Calibri" w:hAnsi="Arial"/>
          <w:sz w:val="20"/>
        </w:rPr>
        <w:t xml:space="preserve"> </w:t>
      </w:r>
      <w:r w:rsidRPr="00EA59C0">
        <w:rPr>
          <w:rFonts w:ascii="Arial" w:eastAsia="Calibri" w:hAnsi="Arial"/>
          <w:sz w:val="20"/>
        </w:rPr>
        <w:t>found</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statistically</w:t>
      </w:r>
      <w:r w:rsidR="00C026A6" w:rsidRPr="00EA59C0">
        <w:rPr>
          <w:rFonts w:ascii="Arial" w:eastAsia="Calibri" w:hAnsi="Arial"/>
          <w:sz w:val="20"/>
        </w:rPr>
        <w:t xml:space="preserve"> </w:t>
      </w:r>
      <w:r w:rsidRPr="00EA59C0">
        <w:rPr>
          <w:rFonts w:ascii="Arial" w:eastAsia="Calibri" w:hAnsi="Arial"/>
          <w:sz w:val="20"/>
        </w:rPr>
        <w:t>significant</w:t>
      </w:r>
      <w:r w:rsidR="00C026A6" w:rsidRPr="00EA59C0">
        <w:rPr>
          <w:rFonts w:ascii="Arial" w:eastAsia="Calibri" w:hAnsi="Arial"/>
          <w:sz w:val="20"/>
        </w:rPr>
        <w:t xml:space="preserve"> </w:t>
      </w:r>
      <w:r w:rsidRPr="00EA59C0">
        <w:rPr>
          <w:rFonts w:ascii="Arial" w:eastAsia="Calibri" w:hAnsi="Arial"/>
          <w:sz w:val="20"/>
        </w:rPr>
        <w:t>favorable</w:t>
      </w:r>
      <w:r w:rsidR="00C026A6" w:rsidRPr="00EA59C0">
        <w:rPr>
          <w:rFonts w:ascii="Arial" w:eastAsia="Calibri" w:hAnsi="Arial"/>
          <w:sz w:val="20"/>
        </w:rPr>
        <w:t xml:space="preserve"> </w:t>
      </w:r>
      <w:r w:rsidRPr="00EA59C0">
        <w:rPr>
          <w:rFonts w:ascii="Arial" w:eastAsia="Calibri" w:hAnsi="Arial"/>
          <w:sz w:val="20"/>
        </w:rPr>
        <w:t>impact</w:t>
      </w:r>
      <w:r w:rsidR="00C026A6" w:rsidRPr="00EA59C0">
        <w:rPr>
          <w:rFonts w:ascii="Arial" w:eastAsia="Calibri" w:hAnsi="Arial"/>
          <w:sz w:val="20"/>
        </w:rPr>
        <w:t xml:space="preserve"> </w:t>
      </w:r>
      <w:r w:rsidRPr="00EA59C0">
        <w:rPr>
          <w:rFonts w:ascii="Arial" w:eastAsia="Calibri" w:hAnsi="Arial"/>
          <w:sz w:val="20"/>
        </w:rPr>
        <w:t>on</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relevant</w:t>
      </w:r>
      <w:r w:rsidR="00C026A6" w:rsidRPr="00EA59C0">
        <w:rPr>
          <w:rFonts w:ascii="Arial" w:eastAsia="Calibri" w:hAnsi="Arial"/>
          <w:sz w:val="20"/>
        </w:rPr>
        <w:t xml:space="preserve"> </w:t>
      </w:r>
      <w:r w:rsidRPr="00EA59C0">
        <w:rPr>
          <w:rFonts w:ascii="Arial" w:eastAsia="Calibri" w:hAnsi="Arial"/>
          <w:sz w:val="20"/>
        </w:rPr>
        <w:t>outcome</w:t>
      </w:r>
      <w:r w:rsidR="00C026A6" w:rsidRPr="00EA59C0">
        <w:rPr>
          <w:rFonts w:ascii="Arial" w:eastAsia="Calibri" w:hAnsi="Arial"/>
          <w:sz w:val="20"/>
        </w:rPr>
        <w:t xml:space="preserve"> </w:t>
      </w:r>
      <w:r w:rsidRPr="00EA59C0">
        <w:rPr>
          <w:rFonts w:ascii="Arial" w:eastAsia="Calibri" w:hAnsi="Arial"/>
          <w:sz w:val="20"/>
        </w:rPr>
        <w:t>(with</w:t>
      </w:r>
      <w:r w:rsidR="00C026A6" w:rsidRPr="00EA59C0">
        <w:rPr>
          <w:rFonts w:ascii="Arial" w:eastAsia="Calibri" w:hAnsi="Arial"/>
          <w:sz w:val="20"/>
        </w:rPr>
        <w:t xml:space="preserve"> </w:t>
      </w:r>
      <w:r w:rsidRPr="00EA59C0">
        <w:rPr>
          <w:rFonts w:ascii="Arial" w:eastAsia="Calibri" w:hAnsi="Arial"/>
          <w:sz w:val="20"/>
        </w:rPr>
        <w:t>no</w:t>
      </w:r>
      <w:r w:rsidR="00C026A6" w:rsidRPr="00EA59C0">
        <w:rPr>
          <w:rFonts w:ascii="Arial" w:eastAsia="Calibri" w:hAnsi="Arial"/>
          <w:sz w:val="20"/>
        </w:rPr>
        <w:t xml:space="preserve"> </w:t>
      </w:r>
      <w:r w:rsidRPr="00EA59C0">
        <w:rPr>
          <w:rFonts w:ascii="Arial" w:eastAsia="Calibri" w:hAnsi="Arial"/>
          <w:sz w:val="20"/>
        </w:rPr>
        <w:t>statistically</w:t>
      </w:r>
      <w:r w:rsidR="00C026A6" w:rsidRPr="00EA59C0">
        <w:rPr>
          <w:rFonts w:ascii="Arial" w:eastAsia="Calibri" w:hAnsi="Arial"/>
          <w:sz w:val="20"/>
        </w:rPr>
        <w:t xml:space="preserve"> </w:t>
      </w:r>
      <w:r w:rsidRPr="00EA59C0">
        <w:rPr>
          <w:rFonts w:ascii="Arial" w:eastAsia="Calibri" w:hAnsi="Arial"/>
          <w:sz w:val="20"/>
        </w:rPr>
        <w:t>significant</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overriding</w:t>
      </w:r>
      <w:r w:rsidR="00C026A6" w:rsidRPr="00EA59C0">
        <w:rPr>
          <w:rFonts w:ascii="Arial" w:eastAsia="Calibri" w:hAnsi="Arial"/>
          <w:sz w:val="20"/>
        </w:rPr>
        <w:t xml:space="preserve"> </w:t>
      </w:r>
      <w:r w:rsidRPr="00EA59C0">
        <w:rPr>
          <w:rFonts w:ascii="Arial" w:eastAsia="Calibri" w:hAnsi="Arial"/>
          <w:sz w:val="20"/>
        </w:rPr>
        <w:t>unfavorable</w:t>
      </w:r>
      <w:r w:rsidR="00C026A6" w:rsidRPr="00EA59C0">
        <w:rPr>
          <w:rFonts w:ascii="Arial" w:eastAsia="Calibri" w:hAnsi="Arial"/>
          <w:sz w:val="20"/>
        </w:rPr>
        <w:t xml:space="preserve"> </w:t>
      </w:r>
      <w:r w:rsidRPr="00EA59C0">
        <w:rPr>
          <w:rFonts w:ascii="Arial" w:eastAsia="Calibri" w:hAnsi="Arial"/>
          <w:sz w:val="20"/>
        </w:rPr>
        <w:t>impacts</w:t>
      </w:r>
      <w:r w:rsidR="00C026A6" w:rsidRPr="00EA59C0">
        <w:rPr>
          <w:rFonts w:ascii="Arial" w:eastAsia="Calibri" w:hAnsi="Arial"/>
          <w:sz w:val="20"/>
        </w:rPr>
        <w:t xml:space="preserve"> </w:t>
      </w:r>
      <w:r w:rsidRPr="00EA59C0">
        <w:rPr>
          <w:rFonts w:ascii="Arial" w:eastAsia="Calibri" w:hAnsi="Arial"/>
          <w:sz w:val="20"/>
        </w:rPr>
        <w:t>on</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outcome</w:t>
      </w:r>
      <w:r w:rsidR="00C026A6" w:rsidRPr="00EA59C0">
        <w:rPr>
          <w:rFonts w:ascii="Arial" w:eastAsia="Calibri" w:hAnsi="Arial"/>
          <w:sz w:val="20"/>
        </w:rPr>
        <w:t xml:space="preserve"> </w:t>
      </w:r>
      <w:r w:rsidRPr="00EA59C0">
        <w:rPr>
          <w:rFonts w:ascii="Arial" w:eastAsia="Calibri" w:hAnsi="Arial"/>
          <w:sz w:val="20"/>
        </w:rPr>
        <w:t>for</w:t>
      </w:r>
      <w:r w:rsidR="00C026A6" w:rsidRPr="00EA59C0">
        <w:rPr>
          <w:rFonts w:ascii="Arial" w:eastAsia="Calibri" w:hAnsi="Arial"/>
          <w:sz w:val="20"/>
        </w:rPr>
        <w:t xml:space="preserve"> </w:t>
      </w:r>
      <w:r w:rsidRPr="00EA59C0">
        <w:rPr>
          <w:rFonts w:ascii="Arial" w:eastAsia="Calibri" w:hAnsi="Arial"/>
          <w:sz w:val="20"/>
        </w:rPr>
        <w:t>relevant</w:t>
      </w:r>
      <w:r w:rsidR="00C026A6" w:rsidRPr="00EA59C0">
        <w:rPr>
          <w:rFonts w:ascii="Arial" w:eastAsia="Calibri" w:hAnsi="Arial"/>
          <w:sz w:val="20"/>
        </w:rPr>
        <w:t xml:space="preserve"> </w:t>
      </w:r>
      <w:r w:rsidRPr="00EA59C0">
        <w:rPr>
          <w:rFonts w:ascii="Arial" w:eastAsia="Calibri" w:hAnsi="Arial"/>
          <w:sz w:val="20"/>
        </w:rPr>
        <w:t>populations</w:t>
      </w:r>
      <w:r w:rsidR="00C026A6" w:rsidRPr="00EA59C0">
        <w:rPr>
          <w:rFonts w:ascii="Arial" w:eastAsia="Calibri" w:hAnsi="Arial"/>
          <w:sz w:val="20"/>
        </w:rPr>
        <w:t xml:space="preserve"> </w:t>
      </w:r>
      <w:r w:rsidRPr="00EA59C0">
        <w:rPr>
          <w:rFonts w:ascii="Arial" w:eastAsia="Calibri" w:hAnsi="Arial"/>
          <w:sz w:val="20"/>
        </w:rPr>
        <w:t>in</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study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in</w:t>
      </w:r>
      <w:r w:rsidR="00C026A6" w:rsidRPr="00EA59C0">
        <w:rPr>
          <w:rFonts w:ascii="Arial" w:eastAsia="Calibri" w:hAnsi="Arial"/>
          <w:sz w:val="20"/>
        </w:rPr>
        <w:t xml:space="preserve"> </w:t>
      </w:r>
      <w:r w:rsidRPr="00EA59C0">
        <w:rPr>
          <w:rFonts w:ascii="Arial" w:eastAsia="Calibri" w:hAnsi="Arial"/>
          <w:sz w:val="20"/>
        </w:rPr>
        <w:t>other</w:t>
      </w:r>
      <w:r w:rsidR="00C026A6" w:rsidRPr="00EA59C0">
        <w:rPr>
          <w:rFonts w:ascii="Arial" w:eastAsia="Calibri" w:hAnsi="Arial"/>
          <w:sz w:val="20"/>
        </w:rPr>
        <w:t xml:space="preserve"> </w:t>
      </w:r>
      <w:r w:rsidRPr="00EA59C0">
        <w:rPr>
          <w:rFonts w:ascii="Arial" w:eastAsia="Calibri" w:hAnsi="Arial"/>
          <w:sz w:val="20"/>
        </w:rPr>
        <w:t>studies</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intervention</w:t>
      </w:r>
      <w:r w:rsidR="00C026A6" w:rsidRPr="00EA59C0">
        <w:rPr>
          <w:rFonts w:ascii="Arial" w:eastAsia="Calibri" w:hAnsi="Arial"/>
          <w:sz w:val="20"/>
        </w:rPr>
        <w:t xml:space="preserve"> </w:t>
      </w:r>
      <w:r w:rsidRPr="00EA59C0">
        <w:rPr>
          <w:rFonts w:ascii="Arial" w:eastAsia="Calibri" w:hAnsi="Arial"/>
          <w:sz w:val="20"/>
        </w:rPr>
        <w:t>reviewed</w:t>
      </w:r>
      <w:r w:rsidR="00C026A6" w:rsidRPr="00EA59C0">
        <w:rPr>
          <w:rFonts w:ascii="Arial" w:eastAsia="Calibri" w:hAnsi="Arial"/>
          <w:sz w:val="20"/>
        </w:rPr>
        <w:t xml:space="preserve"> </w:t>
      </w:r>
      <w:r w:rsidRPr="00EA59C0">
        <w:rPr>
          <w:rFonts w:ascii="Arial" w:eastAsia="Calibri" w:hAnsi="Arial"/>
          <w:sz w:val="20"/>
        </w:rPr>
        <w:t>by</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reported</w:t>
      </w:r>
      <w:r w:rsidR="00C026A6" w:rsidRPr="00EA59C0">
        <w:rPr>
          <w:rFonts w:ascii="Arial" w:eastAsia="Calibri" w:hAnsi="Arial"/>
          <w:sz w:val="20"/>
        </w:rPr>
        <w:t xml:space="preserve"> </w:t>
      </w:r>
      <w:r w:rsidRPr="00EA59C0">
        <w:rPr>
          <w:rFonts w:ascii="Arial" w:eastAsia="Calibri" w:hAnsi="Arial"/>
          <w:sz w:val="20"/>
        </w:rPr>
        <w:t>on</w:t>
      </w:r>
      <w:r w:rsidR="00C026A6" w:rsidRPr="00EA59C0">
        <w:rPr>
          <w:rFonts w:ascii="Arial" w:eastAsia="Calibri" w:hAnsi="Arial"/>
          <w:sz w:val="20"/>
        </w:rPr>
        <w:t xml:space="preserve"> </w:t>
      </w:r>
      <w:r w:rsidRPr="00EA59C0">
        <w:rPr>
          <w:rFonts w:ascii="Arial" w:eastAsia="Calibri" w:hAnsi="Arial"/>
          <w:sz w:val="20"/>
        </w:rPr>
        <w:t>by</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What</w:t>
      </w:r>
      <w:r w:rsidR="00C026A6" w:rsidRPr="00EA59C0">
        <w:rPr>
          <w:rFonts w:ascii="Arial" w:eastAsia="Calibri" w:hAnsi="Arial"/>
          <w:sz w:val="20"/>
        </w:rPr>
        <w:t xml:space="preserve"> </w:t>
      </w:r>
      <w:r w:rsidRPr="00EA59C0">
        <w:rPr>
          <w:rFonts w:ascii="Arial" w:eastAsia="Calibri" w:hAnsi="Arial"/>
          <w:sz w:val="20"/>
        </w:rPr>
        <w:t>Works</w:t>
      </w:r>
      <w:r w:rsidR="00C026A6" w:rsidRPr="00EA59C0">
        <w:rPr>
          <w:rFonts w:ascii="Arial" w:eastAsia="Calibri" w:hAnsi="Arial"/>
          <w:sz w:val="20"/>
        </w:rPr>
        <w:t xml:space="preserve"> </w:t>
      </w:r>
      <w:r w:rsidRPr="00EA59C0">
        <w:rPr>
          <w:rFonts w:ascii="Arial" w:eastAsia="Calibri" w:hAnsi="Arial"/>
          <w:sz w:val="20"/>
        </w:rPr>
        <w:t>Clearinghouse),</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includes</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sample</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overlaps</w:t>
      </w:r>
      <w:r w:rsidR="00C026A6" w:rsidRPr="00EA59C0">
        <w:rPr>
          <w:rFonts w:ascii="Arial" w:eastAsia="Calibri" w:hAnsi="Arial"/>
          <w:sz w:val="20"/>
        </w:rPr>
        <w:t xml:space="preserve"> </w:t>
      </w:r>
      <w:r w:rsidRPr="00EA59C0">
        <w:rPr>
          <w:rFonts w:ascii="Arial" w:eastAsia="Calibri" w:hAnsi="Arial"/>
          <w:sz w:val="20"/>
        </w:rPr>
        <w:t>with</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populations</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settings</w:t>
      </w:r>
      <w:r w:rsidR="00C026A6" w:rsidRPr="00EA59C0">
        <w:rPr>
          <w:rFonts w:ascii="Arial" w:eastAsia="Calibri" w:hAnsi="Arial"/>
          <w:sz w:val="20"/>
        </w:rPr>
        <w:t xml:space="preserve"> </w:t>
      </w:r>
      <w:r w:rsidRPr="00EA59C0">
        <w:rPr>
          <w:rFonts w:ascii="Arial" w:eastAsia="Calibri" w:hAnsi="Arial"/>
          <w:sz w:val="20"/>
        </w:rPr>
        <w:t>proposed</w:t>
      </w:r>
      <w:r w:rsidR="00C026A6" w:rsidRPr="00EA59C0">
        <w:rPr>
          <w:rFonts w:ascii="Arial" w:eastAsia="Calibri" w:hAnsi="Arial"/>
          <w:sz w:val="20"/>
        </w:rPr>
        <w:t xml:space="preserve"> </w:t>
      </w:r>
      <w:r w:rsidRPr="00EA59C0">
        <w:rPr>
          <w:rFonts w:ascii="Arial" w:eastAsia="Calibri" w:hAnsi="Arial"/>
          <w:sz w:val="20"/>
        </w:rPr>
        <w:t>to</w:t>
      </w:r>
      <w:r w:rsidR="00C026A6" w:rsidRPr="00EA59C0">
        <w:rPr>
          <w:rFonts w:ascii="Arial" w:eastAsia="Calibri" w:hAnsi="Arial"/>
          <w:sz w:val="20"/>
        </w:rPr>
        <w:t xml:space="preserve"> </w:t>
      </w:r>
      <w:r w:rsidRPr="00EA59C0">
        <w:rPr>
          <w:rFonts w:ascii="Arial" w:eastAsia="Calibri" w:hAnsi="Arial"/>
          <w:sz w:val="20"/>
        </w:rPr>
        <w:t>receive</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process,</w:t>
      </w:r>
      <w:r w:rsidR="00C026A6" w:rsidRPr="00EA59C0">
        <w:rPr>
          <w:rFonts w:ascii="Arial" w:eastAsia="Calibri" w:hAnsi="Arial"/>
          <w:sz w:val="20"/>
        </w:rPr>
        <w:t xml:space="preserve"> </w:t>
      </w:r>
      <w:r w:rsidRPr="00EA59C0">
        <w:rPr>
          <w:rFonts w:ascii="Arial" w:eastAsia="Calibri" w:hAnsi="Arial"/>
          <w:sz w:val="20"/>
        </w:rPr>
        <w:t>product,</w:t>
      </w:r>
      <w:r w:rsidR="00C026A6" w:rsidRPr="00EA59C0">
        <w:rPr>
          <w:rFonts w:ascii="Arial" w:eastAsia="Calibri" w:hAnsi="Arial"/>
          <w:sz w:val="20"/>
        </w:rPr>
        <w:t xml:space="preserve"> </w:t>
      </w:r>
      <w:r w:rsidRPr="00EA59C0">
        <w:rPr>
          <w:rFonts w:ascii="Arial" w:eastAsia="Calibri" w:hAnsi="Arial"/>
          <w:sz w:val="20"/>
        </w:rPr>
        <w:t>strategy,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practice.</w:t>
      </w:r>
    </w:p>
    <w:p w:rsidR="008826BE" w:rsidRPr="00EA59C0" w:rsidRDefault="008826BE" w:rsidP="00DB00BB">
      <w:pPr>
        <w:tabs>
          <w:tab w:val="left" w:pos="720"/>
        </w:tabs>
        <w:ind w:left="720" w:hanging="360"/>
        <w:rPr>
          <w:rFonts w:ascii="Arial" w:eastAsia="Calibri" w:hAnsi="Arial"/>
          <w:sz w:val="20"/>
        </w:rPr>
      </w:pPr>
    </w:p>
    <w:p w:rsidR="008826BE" w:rsidRPr="00EA59C0" w:rsidRDefault="008826BE" w:rsidP="00080097">
      <w:pPr>
        <w:pStyle w:val="ListParagraph"/>
        <w:numPr>
          <w:ilvl w:val="1"/>
          <w:numId w:val="49"/>
        </w:numPr>
        <w:tabs>
          <w:tab w:val="left" w:pos="720"/>
        </w:tabs>
        <w:ind w:left="720"/>
        <w:rPr>
          <w:rFonts w:ascii="Arial" w:eastAsia="Calibri" w:hAnsi="Arial"/>
          <w:sz w:val="20"/>
        </w:rPr>
      </w:pPr>
      <w:r w:rsidRPr="00EA59C0">
        <w:rPr>
          <w:rFonts w:ascii="Arial" w:eastAsia="Calibri" w:hAnsi="Arial"/>
          <w:sz w:val="20"/>
        </w:rPr>
        <w:t>There</w:t>
      </w:r>
      <w:r w:rsidR="00C026A6" w:rsidRPr="00EA59C0">
        <w:rPr>
          <w:rFonts w:ascii="Arial" w:eastAsia="Calibri" w:hAnsi="Arial"/>
          <w:sz w:val="20"/>
        </w:rPr>
        <w:t xml:space="preserve"> </w:t>
      </w:r>
      <w:r w:rsidRPr="00EA59C0">
        <w:rPr>
          <w:rFonts w:ascii="Arial" w:eastAsia="Calibri" w:hAnsi="Arial"/>
          <w:sz w:val="20"/>
        </w:rPr>
        <w:t>is</w:t>
      </w:r>
      <w:r w:rsidR="00C026A6" w:rsidRPr="00EA59C0">
        <w:rPr>
          <w:rFonts w:ascii="Arial" w:eastAsia="Calibri" w:hAnsi="Arial"/>
          <w:sz w:val="20"/>
        </w:rPr>
        <w:t xml:space="preserve"> </w:t>
      </w:r>
      <w:r w:rsidRPr="00EA59C0">
        <w:rPr>
          <w:rFonts w:ascii="Arial" w:eastAsia="Calibri" w:hAnsi="Arial"/>
          <w:sz w:val="20"/>
        </w:rPr>
        <w:t>at</w:t>
      </w:r>
      <w:r w:rsidR="00C026A6" w:rsidRPr="00EA59C0">
        <w:rPr>
          <w:rFonts w:ascii="Arial" w:eastAsia="Calibri" w:hAnsi="Arial"/>
          <w:sz w:val="20"/>
        </w:rPr>
        <w:t xml:space="preserve"> </w:t>
      </w:r>
      <w:r w:rsidRPr="00EA59C0">
        <w:rPr>
          <w:rFonts w:ascii="Arial" w:eastAsia="Calibri" w:hAnsi="Arial"/>
          <w:sz w:val="20"/>
        </w:rPr>
        <w:t>least</w:t>
      </w:r>
      <w:r w:rsidR="00C026A6" w:rsidRPr="00EA59C0">
        <w:rPr>
          <w:rFonts w:ascii="Arial" w:eastAsia="Calibri" w:hAnsi="Arial"/>
          <w:sz w:val="20"/>
        </w:rPr>
        <w:t xml:space="preserve"> </w:t>
      </w:r>
      <w:r w:rsidRPr="00EA59C0">
        <w:rPr>
          <w:rFonts w:ascii="Arial" w:eastAsia="Calibri" w:hAnsi="Arial"/>
          <w:sz w:val="20"/>
        </w:rPr>
        <w:t>one</w:t>
      </w:r>
      <w:r w:rsidR="00C026A6" w:rsidRPr="00EA59C0">
        <w:rPr>
          <w:rFonts w:ascii="Arial" w:eastAsia="Calibri" w:hAnsi="Arial"/>
          <w:sz w:val="20"/>
        </w:rPr>
        <w:t xml:space="preserve"> </w:t>
      </w:r>
      <w:r w:rsidRPr="00EA59C0">
        <w:rPr>
          <w:rFonts w:ascii="Arial" w:eastAsia="Calibri" w:hAnsi="Arial"/>
          <w:sz w:val="20"/>
        </w:rPr>
        <w:t>study</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effectiveness</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process,</w:t>
      </w:r>
      <w:r w:rsidR="00C026A6" w:rsidRPr="00EA59C0">
        <w:rPr>
          <w:rFonts w:ascii="Arial" w:eastAsia="Calibri" w:hAnsi="Arial"/>
          <w:sz w:val="20"/>
        </w:rPr>
        <w:t xml:space="preserve"> </w:t>
      </w:r>
      <w:r w:rsidRPr="00EA59C0">
        <w:rPr>
          <w:rFonts w:ascii="Arial" w:eastAsia="Calibri" w:hAnsi="Arial"/>
          <w:sz w:val="20"/>
        </w:rPr>
        <w:t>product,</w:t>
      </w:r>
      <w:r w:rsidR="00C026A6" w:rsidRPr="00EA59C0">
        <w:rPr>
          <w:rFonts w:ascii="Arial" w:eastAsia="Calibri" w:hAnsi="Arial"/>
          <w:sz w:val="20"/>
        </w:rPr>
        <w:t xml:space="preserve"> </w:t>
      </w:r>
      <w:r w:rsidRPr="00EA59C0">
        <w:rPr>
          <w:rFonts w:ascii="Arial" w:eastAsia="Calibri" w:hAnsi="Arial"/>
          <w:sz w:val="20"/>
        </w:rPr>
        <w:t>strategy,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practice</w:t>
      </w:r>
      <w:r w:rsidR="00C026A6" w:rsidRPr="00EA59C0">
        <w:rPr>
          <w:rFonts w:ascii="Arial" w:eastAsia="Calibri" w:hAnsi="Arial"/>
          <w:sz w:val="20"/>
        </w:rPr>
        <w:t xml:space="preserve"> </w:t>
      </w:r>
      <w:r w:rsidRPr="00EA59C0">
        <w:rPr>
          <w:rFonts w:ascii="Arial" w:eastAsia="Calibri" w:hAnsi="Arial"/>
          <w:sz w:val="20"/>
        </w:rPr>
        <w:t>being</w:t>
      </w:r>
      <w:r w:rsidR="00C026A6" w:rsidRPr="00EA59C0">
        <w:rPr>
          <w:rFonts w:ascii="Arial" w:eastAsia="Calibri" w:hAnsi="Arial"/>
          <w:sz w:val="20"/>
        </w:rPr>
        <w:t xml:space="preserve"> </w:t>
      </w:r>
      <w:r w:rsidRPr="00EA59C0">
        <w:rPr>
          <w:rFonts w:ascii="Arial" w:eastAsia="Calibri" w:hAnsi="Arial"/>
          <w:sz w:val="20"/>
        </w:rPr>
        <w:t>proposed</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meets</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What</w:t>
      </w:r>
      <w:r w:rsidR="00C026A6" w:rsidRPr="00EA59C0">
        <w:rPr>
          <w:rFonts w:ascii="Arial" w:eastAsia="Calibri" w:hAnsi="Arial"/>
          <w:sz w:val="20"/>
        </w:rPr>
        <w:t xml:space="preserve"> </w:t>
      </w:r>
      <w:r w:rsidRPr="00EA59C0">
        <w:rPr>
          <w:rFonts w:ascii="Arial" w:eastAsia="Calibri" w:hAnsi="Arial"/>
          <w:sz w:val="20"/>
        </w:rPr>
        <w:t>Works</w:t>
      </w:r>
      <w:r w:rsidR="00C026A6" w:rsidRPr="00EA59C0">
        <w:rPr>
          <w:rFonts w:ascii="Arial" w:eastAsia="Calibri" w:hAnsi="Arial"/>
          <w:sz w:val="20"/>
        </w:rPr>
        <w:t xml:space="preserve"> </w:t>
      </w:r>
      <w:r w:rsidRPr="00EA59C0">
        <w:rPr>
          <w:rFonts w:ascii="Arial" w:eastAsia="Calibri" w:hAnsi="Arial"/>
          <w:sz w:val="20"/>
        </w:rPr>
        <w:t>Clearinghouse</w:t>
      </w:r>
      <w:r w:rsidR="00C026A6" w:rsidRPr="00EA59C0">
        <w:rPr>
          <w:rFonts w:ascii="Arial" w:eastAsia="Calibri" w:hAnsi="Arial"/>
          <w:sz w:val="20"/>
        </w:rPr>
        <w:t xml:space="preserve"> </w:t>
      </w:r>
      <w:r w:rsidRPr="00EA59C0">
        <w:rPr>
          <w:rFonts w:ascii="Arial" w:eastAsia="Calibri" w:hAnsi="Arial"/>
          <w:sz w:val="20"/>
        </w:rPr>
        <w:t>Evidence</w:t>
      </w:r>
      <w:r w:rsidR="00C026A6" w:rsidRPr="00EA59C0">
        <w:rPr>
          <w:rFonts w:ascii="Arial" w:eastAsia="Calibri" w:hAnsi="Arial"/>
          <w:sz w:val="20"/>
        </w:rPr>
        <w:t xml:space="preserve"> </w:t>
      </w:r>
      <w:r w:rsidRPr="00EA59C0">
        <w:rPr>
          <w:rFonts w:ascii="Arial" w:eastAsia="Calibri" w:hAnsi="Arial"/>
          <w:sz w:val="20"/>
        </w:rPr>
        <w:t>Standards</w:t>
      </w:r>
      <w:r w:rsidR="00C026A6" w:rsidRPr="00EA59C0">
        <w:rPr>
          <w:rFonts w:ascii="Arial" w:eastAsia="Calibri" w:hAnsi="Arial"/>
          <w:sz w:val="20"/>
        </w:rPr>
        <w:t xml:space="preserve"> </w:t>
      </w:r>
      <w:r w:rsidRPr="00EA59C0">
        <w:rPr>
          <w:rFonts w:ascii="Arial" w:eastAsia="Calibri" w:hAnsi="Arial"/>
          <w:sz w:val="20"/>
        </w:rPr>
        <w:t>with</w:t>
      </w:r>
      <w:r w:rsidR="00C026A6" w:rsidRPr="00EA59C0">
        <w:rPr>
          <w:rFonts w:ascii="Arial" w:eastAsia="Calibri" w:hAnsi="Arial"/>
          <w:sz w:val="20"/>
        </w:rPr>
        <w:t xml:space="preserve"> </w:t>
      </w:r>
      <w:r w:rsidRPr="00EA59C0">
        <w:rPr>
          <w:rFonts w:ascii="Arial" w:eastAsia="Calibri" w:hAnsi="Arial"/>
          <w:sz w:val="20"/>
        </w:rPr>
        <w:t>reservations,</w:t>
      </w:r>
      <w:r w:rsidRPr="00EA59C0">
        <w:rPr>
          <w:rFonts w:ascii="Arial" w:eastAsia="Calibri" w:hAnsi="Arial"/>
          <w:sz w:val="20"/>
          <w:vertAlign w:val="superscript"/>
        </w:rPr>
        <w:footnoteReference w:customMarkFollows="1" w:id="7"/>
        <w:t>[4]</w:t>
      </w:r>
      <w:r w:rsidR="00C026A6" w:rsidRPr="00EA59C0">
        <w:rPr>
          <w:rFonts w:ascii="Arial" w:eastAsia="Calibri" w:hAnsi="Arial"/>
          <w:sz w:val="20"/>
        </w:rPr>
        <w:t xml:space="preserve"> </w:t>
      </w:r>
      <w:r w:rsidRPr="00EA59C0">
        <w:rPr>
          <w:rFonts w:ascii="Arial" w:eastAsia="Calibri" w:hAnsi="Arial"/>
          <w:sz w:val="20"/>
        </w:rPr>
        <w:t>found</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statistically</w:t>
      </w:r>
      <w:r w:rsidR="00C026A6" w:rsidRPr="00EA59C0">
        <w:rPr>
          <w:rFonts w:ascii="Arial" w:eastAsia="Calibri" w:hAnsi="Arial"/>
          <w:sz w:val="20"/>
        </w:rPr>
        <w:t xml:space="preserve"> </w:t>
      </w:r>
      <w:r w:rsidRPr="00EA59C0">
        <w:rPr>
          <w:rFonts w:ascii="Arial" w:eastAsia="Calibri" w:hAnsi="Arial"/>
          <w:sz w:val="20"/>
        </w:rPr>
        <w:t>significant</w:t>
      </w:r>
      <w:r w:rsidR="00C026A6" w:rsidRPr="00EA59C0">
        <w:rPr>
          <w:rFonts w:ascii="Arial" w:eastAsia="Calibri" w:hAnsi="Arial"/>
          <w:sz w:val="20"/>
        </w:rPr>
        <w:t xml:space="preserve"> </w:t>
      </w:r>
      <w:r w:rsidRPr="00EA59C0">
        <w:rPr>
          <w:rFonts w:ascii="Arial" w:eastAsia="Calibri" w:hAnsi="Arial"/>
          <w:sz w:val="20"/>
        </w:rPr>
        <w:t>favorable</w:t>
      </w:r>
      <w:r w:rsidR="00C026A6" w:rsidRPr="00EA59C0">
        <w:rPr>
          <w:rFonts w:ascii="Arial" w:eastAsia="Calibri" w:hAnsi="Arial"/>
          <w:sz w:val="20"/>
        </w:rPr>
        <w:t xml:space="preserve"> </w:t>
      </w:r>
      <w:r w:rsidRPr="00EA59C0">
        <w:rPr>
          <w:rFonts w:ascii="Arial" w:eastAsia="Calibri" w:hAnsi="Arial"/>
          <w:sz w:val="20"/>
        </w:rPr>
        <w:t>impact</w:t>
      </w:r>
      <w:r w:rsidR="00C026A6" w:rsidRPr="00EA59C0">
        <w:rPr>
          <w:rFonts w:ascii="Arial" w:eastAsia="Calibri" w:hAnsi="Arial"/>
          <w:sz w:val="20"/>
        </w:rPr>
        <w:t xml:space="preserve"> </w:t>
      </w:r>
      <w:r w:rsidRPr="00EA59C0">
        <w:rPr>
          <w:rFonts w:ascii="Arial" w:eastAsia="Calibri" w:hAnsi="Arial"/>
          <w:sz w:val="20"/>
        </w:rPr>
        <w:t>on</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relevant</w:t>
      </w:r>
      <w:r w:rsidR="00C026A6" w:rsidRPr="00EA59C0">
        <w:rPr>
          <w:rFonts w:ascii="Arial" w:eastAsia="Calibri" w:hAnsi="Arial"/>
          <w:sz w:val="20"/>
        </w:rPr>
        <w:t xml:space="preserve"> </w:t>
      </w:r>
      <w:r w:rsidRPr="00EA59C0">
        <w:rPr>
          <w:rFonts w:ascii="Arial" w:eastAsia="Calibri" w:hAnsi="Arial"/>
          <w:sz w:val="20"/>
        </w:rPr>
        <w:t>outcome</w:t>
      </w:r>
      <w:r w:rsidR="00C026A6" w:rsidRPr="00EA59C0">
        <w:rPr>
          <w:rFonts w:ascii="Arial" w:eastAsia="Calibri" w:hAnsi="Arial"/>
          <w:sz w:val="20"/>
        </w:rPr>
        <w:t xml:space="preserve"> </w:t>
      </w:r>
      <w:r w:rsidRPr="00EA59C0">
        <w:rPr>
          <w:rFonts w:ascii="Arial" w:eastAsia="Calibri" w:hAnsi="Arial"/>
          <w:sz w:val="20"/>
        </w:rPr>
        <w:t>(with</w:t>
      </w:r>
      <w:r w:rsidR="00C026A6" w:rsidRPr="00EA59C0">
        <w:rPr>
          <w:rFonts w:ascii="Arial" w:eastAsia="Calibri" w:hAnsi="Arial"/>
          <w:sz w:val="20"/>
        </w:rPr>
        <w:t xml:space="preserve"> </w:t>
      </w:r>
      <w:r w:rsidRPr="00EA59C0">
        <w:rPr>
          <w:rFonts w:ascii="Arial" w:eastAsia="Calibri" w:hAnsi="Arial"/>
          <w:sz w:val="20"/>
        </w:rPr>
        <w:t>no</w:t>
      </w:r>
      <w:r w:rsidR="00C026A6" w:rsidRPr="00EA59C0">
        <w:rPr>
          <w:rFonts w:ascii="Arial" w:eastAsia="Calibri" w:hAnsi="Arial"/>
          <w:sz w:val="20"/>
        </w:rPr>
        <w:t xml:space="preserve"> </w:t>
      </w:r>
      <w:r w:rsidRPr="00EA59C0">
        <w:rPr>
          <w:rFonts w:ascii="Arial" w:eastAsia="Calibri" w:hAnsi="Arial"/>
          <w:sz w:val="20"/>
        </w:rPr>
        <w:t>statistically</w:t>
      </w:r>
      <w:r w:rsidR="00C026A6" w:rsidRPr="00EA59C0">
        <w:rPr>
          <w:rFonts w:ascii="Arial" w:eastAsia="Calibri" w:hAnsi="Arial"/>
          <w:sz w:val="20"/>
        </w:rPr>
        <w:t xml:space="preserve"> </w:t>
      </w:r>
      <w:r w:rsidRPr="00EA59C0">
        <w:rPr>
          <w:rFonts w:ascii="Arial" w:eastAsia="Calibri" w:hAnsi="Arial"/>
          <w:sz w:val="20"/>
        </w:rPr>
        <w:t>significant</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overriding</w:t>
      </w:r>
      <w:r w:rsidR="00C026A6" w:rsidRPr="00EA59C0">
        <w:rPr>
          <w:rFonts w:ascii="Arial" w:eastAsia="Calibri" w:hAnsi="Arial"/>
          <w:sz w:val="20"/>
        </w:rPr>
        <w:t xml:space="preserve"> </w:t>
      </w:r>
      <w:r w:rsidRPr="00EA59C0">
        <w:rPr>
          <w:rFonts w:ascii="Arial" w:eastAsia="Calibri" w:hAnsi="Arial"/>
          <w:sz w:val="20"/>
        </w:rPr>
        <w:t>unfavorable</w:t>
      </w:r>
      <w:r w:rsidR="00C026A6" w:rsidRPr="00EA59C0">
        <w:rPr>
          <w:rFonts w:ascii="Arial" w:eastAsia="Calibri" w:hAnsi="Arial"/>
          <w:sz w:val="20"/>
        </w:rPr>
        <w:t xml:space="preserve"> </w:t>
      </w:r>
      <w:r w:rsidRPr="00EA59C0">
        <w:rPr>
          <w:rFonts w:ascii="Arial" w:eastAsia="Calibri" w:hAnsi="Arial"/>
          <w:sz w:val="20"/>
        </w:rPr>
        <w:t>impacts</w:t>
      </w:r>
      <w:r w:rsidR="00C026A6" w:rsidRPr="00EA59C0">
        <w:rPr>
          <w:rFonts w:ascii="Arial" w:eastAsia="Calibri" w:hAnsi="Arial"/>
          <w:sz w:val="20"/>
        </w:rPr>
        <w:t xml:space="preserve"> </w:t>
      </w:r>
      <w:r w:rsidRPr="00EA59C0">
        <w:rPr>
          <w:rFonts w:ascii="Arial" w:eastAsia="Calibri" w:hAnsi="Arial"/>
          <w:sz w:val="20"/>
        </w:rPr>
        <w:t>on</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outcome</w:t>
      </w:r>
      <w:r w:rsidR="00C026A6" w:rsidRPr="00EA59C0">
        <w:rPr>
          <w:rFonts w:ascii="Arial" w:eastAsia="Calibri" w:hAnsi="Arial"/>
          <w:sz w:val="20"/>
        </w:rPr>
        <w:t xml:space="preserve"> </w:t>
      </w:r>
      <w:r w:rsidRPr="00EA59C0">
        <w:rPr>
          <w:rFonts w:ascii="Arial" w:eastAsia="Calibri" w:hAnsi="Arial"/>
          <w:sz w:val="20"/>
        </w:rPr>
        <w:t>for</w:t>
      </w:r>
      <w:r w:rsidR="00C026A6" w:rsidRPr="00EA59C0">
        <w:rPr>
          <w:rFonts w:ascii="Arial" w:eastAsia="Calibri" w:hAnsi="Arial"/>
          <w:sz w:val="20"/>
        </w:rPr>
        <w:t xml:space="preserve"> </w:t>
      </w:r>
      <w:r w:rsidRPr="00EA59C0">
        <w:rPr>
          <w:rFonts w:ascii="Arial" w:eastAsia="Calibri" w:hAnsi="Arial"/>
          <w:sz w:val="20"/>
        </w:rPr>
        <w:t>relevant</w:t>
      </w:r>
      <w:r w:rsidR="00C026A6" w:rsidRPr="00EA59C0">
        <w:rPr>
          <w:rFonts w:ascii="Arial" w:eastAsia="Calibri" w:hAnsi="Arial"/>
          <w:sz w:val="20"/>
        </w:rPr>
        <w:t xml:space="preserve"> </w:t>
      </w:r>
      <w:r w:rsidRPr="00EA59C0">
        <w:rPr>
          <w:rFonts w:ascii="Arial" w:eastAsia="Calibri" w:hAnsi="Arial"/>
          <w:sz w:val="20"/>
        </w:rPr>
        <w:t>populations</w:t>
      </w:r>
      <w:r w:rsidR="00C026A6" w:rsidRPr="00EA59C0">
        <w:rPr>
          <w:rFonts w:ascii="Arial" w:eastAsia="Calibri" w:hAnsi="Arial"/>
          <w:sz w:val="20"/>
        </w:rPr>
        <w:t xml:space="preserve"> </w:t>
      </w:r>
      <w:r w:rsidRPr="00EA59C0">
        <w:rPr>
          <w:rFonts w:ascii="Arial" w:eastAsia="Calibri" w:hAnsi="Arial"/>
          <w:sz w:val="20"/>
        </w:rPr>
        <w:t>in</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study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in</w:t>
      </w:r>
      <w:r w:rsidR="00C026A6" w:rsidRPr="00EA59C0">
        <w:rPr>
          <w:rFonts w:ascii="Arial" w:eastAsia="Calibri" w:hAnsi="Arial"/>
          <w:sz w:val="20"/>
        </w:rPr>
        <w:t xml:space="preserve"> </w:t>
      </w:r>
      <w:r w:rsidRPr="00EA59C0">
        <w:rPr>
          <w:rFonts w:ascii="Arial" w:eastAsia="Calibri" w:hAnsi="Arial"/>
          <w:sz w:val="20"/>
        </w:rPr>
        <w:t>other</w:t>
      </w:r>
      <w:r w:rsidR="00C026A6" w:rsidRPr="00EA59C0">
        <w:rPr>
          <w:rFonts w:ascii="Arial" w:eastAsia="Calibri" w:hAnsi="Arial"/>
          <w:sz w:val="20"/>
        </w:rPr>
        <w:t xml:space="preserve"> </w:t>
      </w:r>
      <w:r w:rsidRPr="00EA59C0">
        <w:rPr>
          <w:rFonts w:ascii="Arial" w:eastAsia="Calibri" w:hAnsi="Arial"/>
          <w:sz w:val="20"/>
        </w:rPr>
        <w:t>studies</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intervention</w:t>
      </w:r>
      <w:r w:rsidR="00C026A6" w:rsidRPr="00EA59C0">
        <w:rPr>
          <w:rFonts w:ascii="Arial" w:eastAsia="Calibri" w:hAnsi="Arial"/>
          <w:sz w:val="20"/>
        </w:rPr>
        <w:t xml:space="preserve"> </w:t>
      </w:r>
      <w:r w:rsidRPr="00EA59C0">
        <w:rPr>
          <w:rFonts w:ascii="Arial" w:eastAsia="Calibri" w:hAnsi="Arial"/>
          <w:sz w:val="20"/>
        </w:rPr>
        <w:t>reviewed</w:t>
      </w:r>
      <w:r w:rsidR="00C026A6" w:rsidRPr="00EA59C0">
        <w:rPr>
          <w:rFonts w:ascii="Arial" w:eastAsia="Calibri" w:hAnsi="Arial"/>
          <w:sz w:val="20"/>
        </w:rPr>
        <w:t xml:space="preserve"> </w:t>
      </w:r>
      <w:r w:rsidRPr="00EA59C0">
        <w:rPr>
          <w:rFonts w:ascii="Arial" w:eastAsia="Calibri" w:hAnsi="Arial"/>
          <w:sz w:val="20"/>
        </w:rPr>
        <w:t>by</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reported</w:t>
      </w:r>
      <w:r w:rsidR="00C026A6" w:rsidRPr="00EA59C0">
        <w:rPr>
          <w:rFonts w:ascii="Arial" w:eastAsia="Calibri" w:hAnsi="Arial"/>
          <w:sz w:val="20"/>
        </w:rPr>
        <w:t xml:space="preserve"> </w:t>
      </w:r>
      <w:r w:rsidRPr="00EA59C0">
        <w:rPr>
          <w:rFonts w:ascii="Arial" w:eastAsia="Calibri" w:hAnsi="Arial"/>
          <w:sz w:val="20"/>
        </w:rPr>
        <w:t>on</w:t>
      </w:r>
      <w:r w:rsidR="00C026A6" w:rsidRPr="00EA59C0">
        <w:rPr>
          <w:rFonts w:ascii="Arial" w:eastAsia="Calibri" w:hAnsi="Arial"/>
          <w:sz w:val="20"/>
        </w:rPr>
        <w:t xml:space="preserve"> </w:t>
      </w:r>
      <w:r w:rsidRPr="00EA59C0">
        <w:rPr>
          <w:rFonts w:ascii="Arial" w:eastAsia="Calibri" w:hAnsi="Arial"/>
          <w:sz w:val="20"/>
        </w:rPr>
        <w:t>by</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What</w:t>
      </w:r>
      <w:r w:rsidR="00C026A6" w:rsidRPr="00EA59C0">
        <w:rPr>
          <w:rFonts w:ascii="Arial" w:eastAsia="Calibri" w:hAnsi="Arial"/>
          <w:sz w:val="20"/>
        </w:rPr>
        <w:t xml:space="preserve"> </w:t>
      </w:r>
      <w:r w:rsidRPr="00EA59C0">
        <w:rPr>
          <w:rFonts w:ascii="Arial" w:eastAsia="Calibri" w:hAnsi="Arial"/>
          <w:sz w:val="20"/>
        </w:rPr>
        <w:t>Works</w:t>
      </w:r>
      <w:r w:rsidR="00C026A6" w:rsidRPr="00EA59C0">
        <w:rPr>
          <w:rFonts w:ascii="Arial" w:eastAsia="Calibri" w:hAnsi="Arial"/>
          <w:sz w:val="20"/>
        </w:rPr>
        <w:t xml:space="preserve"> </w:t>
      </w:r>
      <w:r w:rsidRPr="00EA59C0">
        <w:rPr>
          <w:rFonts w:ascii="Arial" w:eastAsia="Calibri" w:hAnsi="Arial"/>
          <w:sz w:val="20"/>
        </w:rPr>
        <w:t>Clearinghouse),</w:t>
      </w:r>
      <w:r w:rsidR="00C026A6" w:rsidRPr="00EA59C0">
        <w:rPr>
          <w:rFonts w:ascii="Arial" w:eastAsia="Calibri" w:hAnsi="Arial"/>
          <w:sz w:val="20"/>
        </w:rPr>
        <w:t xml:space="preserve"> </w:t>
      </w:r>
      <w:r w:rsidRPr="00EA59C0">
        <w:rPr>
          <w:rFonts w:ascii="Arial" w:eastAsia="Calibri" w:hAnsi="Arial"/>
          <w:sz w:val="20"/>
        </w:rPr>
        <w:t>includes</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sample</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overlaps</w:t>
      </w:r>
      <w:r w:rsidR="00C026A6" w:rsidRPr="00EA59C0">
        <w:rPr>
          <w:rFonts w:ascii="Arial" w:eastAsia="Calibri" w:hAnsi="Arial"/>
          <w:sz w:val="20"/>
        </w:rPr>
        <w:t xml:space="preserve"> </w:t>
      </w:r>
      <w:r w:rsidRPr="00EA59C0">
        <w:rPr>
          <w:rFonts w:ascii="Arial" w:eastAsia="Calibri" w:hAnsi="Arial"/>
          <w:sz w:val="20"/>
        </w:rPr>
        <w:t>with</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populations</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settings</w:t>
      </w:r>
      <w:r w:rsidR="00C026A6" w:rsidRPr="00EA59C0">
        <w:rPr>
          <w:rFonts w:ascii="Arial" w:eastAsia="Calibri" w:hAnsi="Arial"/>
          <w:sz w:val="20"/>
        </w:rPr>
        <w:t xml:space="preserve"> </w:t>
      </w:r>
      <w:r w:rsidRPr="00EA59C0">
        <w:rPr>
          <w:rFonts w:ascii="Arial" w:eastAsia="Calibri" w:hAnsi="Arial"/>
          <w:sz w:val="20"/>
        </w:rPr>
        <w:t>proposed</w:t>
      </w:r>
      <w:r w:rsidR="00C026A6" w:rsidRPr="00EA59C0">
        <w:rPr>
          <w:rFonts w:ascii="Arial" w:eastAsia="Calibri" w:hAnsi="Arial"/>
          <w:sz w:val="20"/>
        </w:rPr>
        <w:t xml:space="preserve"> </w:t>
      </w:r>
      <w:r w:rsidRPr="00EA59C0">
        <w:rPr>
          <w:rFonts w:ascii="Arial" w:eastAsia="Calibri" w:hAnsi="Arial"/>
          <w:sz w:val="20"/>
        </w:rPr>
        <w:t>to</w:t>
      </w:r>
      <w:r w:rsidR="00C026A6" w:rsidRPr="00EA59C0">
        <w:rPr>
          <w:rFonts w:ascii="Arial" w:eastAsia="Calibri" w:hAnsi="Arial"/>
          <w:sz w:val="20"/>
        </w:rPr>
        <w:t xml:space="preserve"> </w:t>
      </w:r>
      <w:r w:rsidRPr="00EA59C0">
        <w:rPr>
          <w:rFonts w:ascii="Arial" w:eastAsia="Calibri" w:hAnsi="Arial"/>
          <w:sz w:val="20"/>
        </w:rPr>
        <w:t>receive</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process,</w:t>
      </w:r>
      <w:r w:rsidR="00C026A6" w:rsidRPr="00EA59C0">
        <w:rPr>
          <w:rFonts w:ascii="Arial" w:eastAsia="Calibri" w:hAnsi="Arial"/>
          <w:sz w:val="20"/>
        </w:rPr>
        <w:t xml:space="preserve"> </w:t>
      </w:r>
      <w:r w:rsidRPr="00EA59C0">
        <w:rPr>
          <w:rFonts w:ascii="Arial" w:eastAsia="Calibri" w:hAnsi="Arial"/>
          <w:sz w:val="20"/>
        </w:rPr>
        <w:t>product,</w:t>
      </w:r>
      <w:r w:rsidR="00C026A6" w:rsidRPr="00EA59C0">
        <w:rPr>
          <w:rFonts w:ascii="Arial" w:eastAsia="Calibri" w:hAnsi="Arial"/>
          <w:sz w:val="20"/>
        </w:rPr>
        <w:t xml:space="preserve"> </w:t>
      </w:r>
      <w:r w:rsidRPr="00EA59C0">
        <w:rPr>
          <w:rFonts w:ascii="Arial" w:eastAsia="Calibri" w:hAnsi="Arial"/>
          <w:sz w:val="20"/>
        </w:rPr>
        <w:t>strategy,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practice,</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includes</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large</w:t>
      </w:r>
      <w:r w:rsidR="00C026A6" w:rsidRPr="00EA59C0">
        <w:rPr>
          <w:rFonts w:ascii="Arial" w:eastAsia="Calibri" w:hAnsi="Arial"/>
          <w:sz w:val="20"/>
        </w:rPr>
        <w:t xml:space="preserve"> </w:t>
      </w:r>
      <w:r w:rsidRPr="00EA59C0">
        <w:rPr>
          <w:rFonts w:ascii="Arial" w:eastAsia="Calibri" w:hAnsi="Arial"/>
          <w:sz w:val="20"/>
        </w:rPr>
        <w:t>sample</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multi-site</w:t>
      </w:r>
      <w:r w:rsidR="00C026A6" w:rsidRPr="00EA59C0">
        <w:rPr>
          <w:rFonts w:ascii="Arial" w:eastAsia="Calibri" w:hAnsi="Arial"/>
          <w:sz w:val="20"/>
        </w:rPr>
        <w:t xml:space="preserve"> </w:t>
      </w:r>
      <w:r w:rsidRPr="00EA59C0">
        <w:rPr>
          <w:rFonts w:ascii="Arial" w:eastAsia="Calibri" w:hAnsi="Arial"/>
          <w:sz w:val="20"/>
        </w:rPr>
        <w:t>sample</w:t>
      </w:r>
      <w:r w:rsidR="00C026A6" w:rsidRPr="00EA59C0">
        <w:rPr>
          <w:rFonts w:ascii="Arial" w:eastAsia="Calibri" w:hAnsi="Arial"/>
          <w:sz w:val="20"/>
        </w:rPr>
        <w:t xml:space="preserve"> </w:t>
      </w:r>
      <w:r w:rsidRPr="00EA59C0">
        <w:rPr>
          <w:rFonts w:ascii="Arial" w:eastAsia="Calibri" w:hAnsi="Arial"/>
          <w:sz w:val="20"/>
        </w:rPr>
        <w:t>(Note:</w:t>
      </w:r>
      <w:r w:rsidR="00C026A6" w:rsidRPr="00EA59C0">
        <w:rPr>
          <w:rFonts w:ascii="Arial" w:eastAsia="Calibri" w:hAnsi="Arial"/>
          <w:sz w:val="20"/>
        </w:rPr>
        <w:t xml:space="preserve">  </w:t>
      </w:r>
      <w:r w:rsidRPr="00EA59C0">
        <w:rPr>
          <w:rFonts w:ascii="Arial" w:eastAsia="Calibri" w:hAnsi="Arial"/>
          <w:sz w:val="20"/>
        </w:rPr>
        <w:t>multiple</w:t>
      </w:r>
      <w:r w:rsidR="00C026A6" w:rsidRPr="00EA59C0">
        <w:rPr>
          <w:rFonts w:ascii="Arial" w:eastAsia="Calibri" w:hAnsi="Arial"/>
          <w:sz w:val="20"/>
        </w:rPr>
        <w:t xml:space="preserve"> </w:t>
      </w:r>
      <w:r w:rsidRPr="00EA59C0">
        <w:rPr>
          <w:rFonts w:ascii="Arial" w:eastAsia="Calibri" w:hAnsi="Arial"/>
          <w:sz w:val="20"/>
        </w:rPr>
        <w:t>studies</w:t>
      </w:r>
      <w:r w:rsidR="00C026A6" w:rsidRPr="00EA59C0">
        <w:rPr>
          <w:rFonts w:ascii="Arial" w:eastAsia="Calibri" w:hAnsi="Arial"/>
          <w:sz w:val="20"/>
        </w:rPr>
        <w:t xml:space="preserve"> </w:t>
      </w:r>
      <w:r w:rsidRPr="00EA59C0">
        <w:rPr>
          <w:rFonts w:ascii="Arial" w:eastAsia="Calibri" w:hAnsi="Arial"/>
          <w:sz w:val="20"/>
        </w:rPr>
        <w:t>can</w:t>
      </w:r>
      <w:r w:rsidR="00C026A6" w:rsidRPr="00EA59C0">
        <w:rPr>
          <w:rFonts w:ascii="Arial" w:eastAsia="Calibri" w:hAnsi="Arial"/>
          <w:sz w:val="20"/>
        </w:rPr>
        <w:t xml:space="preserve"> </w:t>
      </w:r>
      <w:r w:rsidRPr="00EA59C0">
        <w:rPr>
          <w:rFonts w:ascii="Arial" w:eastAsia="Calibri" w:hAnsi="Arial"/>
          <w:sz w:val="20"/>
        </w:rPr>
        <w:t>cumulatively</w:t>
      </w:r>
      <w:r w:rsidR="00C026A6" w:rsidRPr="00EA59C0">
        <w:rPr>
          <w:rFonts w:ascii="Arial" w:eastAsia="Calibri" w:hAnsi="Arial"/>
          <w:sz w:val="20"/>
        </w:rPr>
        <w:t xml:space="preserve"> </w:t>
      </w:r>
      <w:r w:rsidRPr="00EA59C0">
        <w:rPr>
          <w:rFonts w:ascii="Arial" w:eastAsia="Calibri" w:hAnsi="Arial"/>
          <w:sz w:val="20"/>
        </w:rPr>
        <w:t>meet</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large</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multi-site</w:t>
      </w:r>
      <w:r w:rsidR="00C026A6" w:rsidRPr="00EA59C0">
        <w:rPr>
          <w:rFonts w:ascii="Arial" w:eastAsia="Calibri" w:hAnsi="Arial"/>
          <w:sz w:val="20"/>
        </w:rPr>
        <w:t xml:space="preserve"> </w:t>
      </w:r>
      <w:r w:rsidRPr="00EA59C0">
        <w:rPr>
          <w:rFonts w:ascii="Arial" w:eastAsia="Calibri" w:hAnsi="Arial"/>
          <w:sz w:val="20"/>
        </w:rPr>
        <w:t>sample</w:t>
      </w:r>
      <w:r w:rsidR="00C026A6" w:rsidRPr="00EA59C0">
        <w:rPr>
          <w:rFonts w:ascii="Arial" w:eastAsia="Calibri" w:hAnsi="Arial"/>
          <w:sz w:val="20"/>
        </w:rPr>
        <w:t xml:space="preserve"> </w:t>
      </w:r>
      <w:r w:rsidRPr="00EA59C0">
        <w:rPr>
          <w:rFonts w:ascii="Arial" w:eastAsia="Calibri" w:hAnsi="Arial"/>
          <w:sz w:val="20"/>
        </w:rPr>
        <w:t>requirements</w:t>
      </w:r>
      <w:r w:rsidR="00C026A6" w:rsidRPr="00EA59C0">
        <w:rPr>
          <w:rFonts w:ascii="Arial" w:eastAsia="Calibri" w:hAnsi="Arial"/>
          <w:sz w:val="20"/>
        </w:rPr>
        <w:t xml:space="preserve"> </w:t>
      </w:r>
      <w:r w:rsidRPr="00EA59C0">
        <w:rPr>
          <w:rFonts w:ascii="Arial" w:eastAsia="Calibri" w:hAnsi="Arial"/>
          <w:sz w:val="20"/>
        </w:rPr>
        <w:t>as</w:t>
      </w:r>
      <w:r w:rsidR="00C026A6" w:rsidRPr="00EA59C0">
        <w:rPr>
          <w:rFonts w:ascii="Arial" w:eastAsia="Calibri" w:hAnsi="Arial"/>
          <w:sz w:val="20"/>
        </w:rPr>
        <w:t xml:space="preserve"> </w:t>
      </w:r>
      <w:r w:rsidRPr="00EA59C0">
        <w:rPr>
          <w:rFonts w:ascii="Arial" w:eastAsia="Calibri" w:hAnsi="Arial"/>
          <w:sz w:val="20"/>
        </w:rPr>
        <w:t>long</w:t>
      </w:r>
      <w:r w:rsidR="00C026A6" w:rsidRPr="00EA59C0">
        <w:rPr>
          <w:rFonts w:ascii="Arial" w:eastAsia="Calibri" w:hAnsi="Arial"/>
          <w:sz w:val="20"/>
        </w:rPr>
        <w:t xml:space="preserve"> </w:t>
      </w:r>
      <w:r w:rsidRPr="00EA59C0">
        <w:rPr>
          <w:rFonts w:ascii="Arial" w:eastAsia="Calibri" w:hAnsi="Arial"/>
          <w:sz w:val="20"/>
        </w:rPr>
        <w:t>as</w:t>
      </w:r>
      <w:r w:rsidR="00C026A6" w:rsidRPr="00EA59C0">
        <w:rPr>
          <w:rFonts w:ascii="Arial" w:eastAsia="Calibri" w:hAnsi="Arial"/>
          <w:sz w:val="20"/>
        </w:rPr>
        <w:t xml:space="preserve"> </w:t>
      </w:r>
      <w:r w:rsidRPr="00EA59C0">
        <w:rPr>
          <w:rFonts w:ascii="Arial" w:eastAsia="Calibri" w:hAnsi="Arial"/>
          <w:sz w:val="20"/>
        </w:rPr>
        <w:t>each</w:t>
      </w:r>
      <w:r w:rsidR="00C026A6" w:rsidRPr="00EA59C0">
        <w:rPr>
          <w:rFonts w:ascii="Arial" w:eastAsia="Calibri" w:hAnsi="Arial"/>
          <w:sz w:val="20"/>
        </w:rPr>
        <w:t xml:space="preserve"> </w:t>
      </w:r>
      <w:r w:rsidRPr="00EA59C0">
        <w:rPr>
          <w:rFonts w:ascii="Arial" w:eastAsia="Calibri" w:hAnsi="Arial"/>
          <w:sz w:val="20"/>
        </w:rPr>
        <w:t>study</w:t>
      </w:r>
      <w:r w:rsidR="00C026A6" w:rsidRPr="00EA59C0">
        <w:rPr>
          <w:rFonts w:ascii="Arial" w:eastAsia="Calibri" w:hAnsi="Arial"/>
          <w:sz w:val="20"/>
        </w:rPr>
        <w:t xml:space="preserve"> </w:t>
      </w:r>
      <w:r w:rsidRPr="00EA59C0">
        <w:rPr>
          <w:rFonts w:ascii="Arial" w:eastAsia="Calibri" w:hAnsi="Arial"/>
          <w:sz w:val="20"/>
        </w:rPr>
        <w:t>meets</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other</w:t>
      </w:r>
      <w:r w:rsidR="00C026A6" w:rsidRPr="00EA59C0">
        <w:rPr>
          <w:rFonts w:ascii="Arial" w:eastAsia="Calibri" w:hAnsi="Arial"/>
          <w:sz w:val="20"/>
        </w:rPr>
        <w:t xml:space="preserve"> </w:t>
      </w:r>
      <w:r w:rsidRPr="00EA59C0">
        <w:rPr>
          <w:rFonts w:ascii="Arial" w:eastAsia="Calibri" w:hAnsi="Arial"/>
          <w:sz w:val="20"/>
        </w:rPr>
        <w:t>requirements</w:t>
      </w:r>
      <w:r w:rsidR="00C026A6" w:rsidRPr="00EA59C0">
        <w:rPr>
          <w:rFonts w:ascii="Arial" w:eastAsia="Calibri" w:hAnsi="Arial"/>
          <w:sz w:val="20"/>
        </w:rPr>
        <w:t xml:space="preserve"> </w:t>
      </w:r>
      <w:r w:rsidRPr="00EA59C0">
        <w:rPr>
          <w:rFonts w:ascii="Arial" w:eastAsia="Calibri" w:hAnsi="Arial"/>
          <w:sz w:val="20"/>
        </w:rPr>
        <w:t>in</w:t>
      </w:r>
      <w:r w:rsidR="00C026A6" w:rsidRPr="00EA59C0">
        <w:rPr>
          <w:rFonts w:ascii="Arial" w:eastAsia="Calibri" w:hAnsi="Arial"/>
          <w:sz w:val="20"/>
        </w:rPr>
        <w:t xml:space="preserve"> </w:t>
      </w:r>
      <w:r w:rsidRPr="00EA59C0">
        <w:rPr>
          <w:rFonts w:ascii="Arial" w:eastAsia="Calibri" w:hAnsi="Arial"/>
          <w:sz w:val="20"/>
        </w:rPr>
        <w:t>this</w:t>
      </w:r>
      <w:r w:rsidR="00C026A6" w:rsidRPr="00EA59C0">
        <w:rPr>
          <w:rFonts w:ascii="Arial" w:eastAsia="Calibri" w:hAnsi="Arial"/>
          <w:sz w:val="20"/>
        </w:rPr>
        <w:t xml:space="preserve"> </w:t>
      </w:r>
      <w:r w:rsidRPr="00EA59C0">
        <w:rPr>
          <w:rFonts w:ascii="Arial" w:eastAsia="Calibri" w:hAnsi="Arial"/>
          <w:sz w:val="20"/>
        </w:rPr>
        <w:t>paragraph).</w:t>
      </w:r>
      <w:r w:rsidR="00C026A6" w:rsidRPr="00EA59C0">
        <w:rPr>
          <w:rFonts w:ascii="Arial" w:eastAsia="Calibri" w:hAnsi="Arial"/>
          <w:sz w:val="20"/>
        </w:rPr>
        <w:t xml:space="preserve"> </w:t>
      </w:r>
    </w:p>
    <w:p w:rsidR="008826BE" w:rsidRPr="00EA59C0" w:rsidRDefault="008826BE" w:rsidP="00DB00BB">
      <w:pPr>
        <w:tabs>
          <w:tab w:val="left" w:pos="720"/>
        </w:tabs>
        <w:rPr>
          <w:rFonts w:ascii="Arial" w:eastAsia="Calibri" w:hAnsi="Arial"/>
          <w:sz w:val="20"/>
        </w:rPr>
      </w:pPr>
    </w:p>
    <w:p w:rsidR="008826BE" w:rsidRPr="00EA59C0" w:rsidRDefault="008826BE" w:rsidP="00DB00BB">
      <w:pPr>
        <w:rPr>
          <w:rFonts w:ascii="Arial" w:eastAsia="Calibri" w:hAnsi="Arial"/>
          <w:sz w:val="20"/>
        </w:rPr>
      </w:pPr>
      <w:r w:rsidRPr="00EA59C0">
        <w:rPr>
          <w:rFonts w:ascii="Arial" w:eastAsia="Calibri" w:hAnsi="Arial"/>
          <w:b/>
          <w:i/>
          <w:sz w:val="20"/>
          <w:u w:val="single"/>
        </w:rPr>
        <w:t>Evidence</w:t>
      </w:r>
      <w:r w:rsidR="00C026A6" w:rsidRPr="00EA59C0">
        <w:rPr>
          <w:rFonts w:ascii="Arial" w:eastAsia="Calibri" w:hAnsi="Arial"/>
          <w:b/>
          <w:i/>
          <w:sz w:val="20"/>
          <w:u w:val="single"/>
        </w:rPr>
        <w:t xml:space="preserve"> </w:t>
      </w:r>
      <w:r w:rsidRPr="00EA59C0">
        <w:rPr>
          <w:rFonts w:ascii="Arial" w:eastAsia="Calibri" w:hAnsi="Arial"/>
          <w:b/>
          <w:i/>
          <w:sz w:val="20"/>
          <w:u w:val="single"/>
        </w:rPr>
        <w:t>of</w:t>
      </w:r>
      <w:r w:rsidR="00C026A6" w:rsidRPr="00EA59C0">
        <w:rPr>
          <w:rFonts w:ascii="Arial" w:eastAsia="Calibri" w:hAnsi="Arial"/>
          <w:b/>
          <w:i/>
          <w:sz w:val="20"/>
          <w:u w:val="single"/>
        </w:rPr>
        <w:t xml:space="preserve"> </w:t>
      </w:r>
      <w:r w:rsidRPr="00EA59C0">
        <w:rPr>
          <w:rFonts w:ascii="Arial" w:eastAsia="Calibri" w:hAnsi="Arial"/>
          <w:b/>
          <w:i/>
          <w:sz w:val="20"/>
          <w:u w:val="single"/>
        </w:rPr>
        <w:t>promise</w:t>
      </w:r>
      <w:r w:rsidR="00C026A6" w:rsidRPr="00EA59C0">
        <w:rPr>
          <w:rFonts w:ascii="Arial" w:eastAsia="Calibri" w:hAnsi="Arial"/>
          <w:i/>
          <w:sz w:val="20"/>
        </w:rPr>
        <w:t xml:space="preserve"> </w:t>
      </w:r>
      <w:r w:rsidRPr="00EA59C0">
        <w:rPr>
          <w:rFonts w:ascii="Arial" w:eastAsia="Calibri" w:hAnsi="Arial"/>
          <w:sz w:val="20"/>
        </w:rPr>
        <w:t>means</w:t>
      </w:r>
      <w:r w:rsidR="00C026A6" w:rsidRPr="00EA59C0">
        <w:rPr>
          <w:rFonts w:ascii="Arial" w:eastAsia="Calibri" w:hAnsi="Arial"/>
          <w:sz w:val="20"/>
        </w:rPr>
        <w:t xml:space="preserve"> </w:t>
      </w:r>
      <w:r w:rsidRPr="00EA59C0">
        <w:rPr>
          <w:rFonts w:ascii="Arial" w:eastAsia="Calibri" w:hAnsi="Arial"/>
          <w:sz w:val="20"/>
        </w:rPr>
        <w:t>there</w:t>
      </w:r>
      <w:r w:rsidR="00C026A6" w:rsidRPr="00EA59C0">
        <w:rPr>
          <w:rFonts w:ascii="Arial" w:eastAsia="Calibri" w:hAnsi="Arial"/>
          <w:sz w:val="20"/>
        </w:rPr>
        <w:t xml:space="preserve"> </w:t>
      </w:r>
      <w:r w:rsidRPr="00EA59C0">
        <w:rPr>
          <w:rFonts w:ascii="Arial" w:eastAsia="Calibri" w:hAnsi="Arial"/>
          <w:sz w:val="20"/>
        </w:rPr>
        <w:t>is</w:t>
      </w:r>
      <w:r w:rsidR="00C026A6" w:rsidRPr="00EA59C0">
        <w:rPr>
          <w:rFonts w:ascii="Arial" w:eastAsia="Calibri" w:hAnsi="Arial"/>
          <w:sz w:val="20"/>
        </w:rPr>
        <w:t xml:space="preserve"> </w:t>
      </w:r>
      <w:r w:rsidRPr="00EA59C0">
        <w:rPr>
          <w:rFonts w:ascii="Arial" w:eastAsia="Calibri" w:hAnsi="Arial"/>
          <w:sz w:val="20"/>
        </w:rPr>
        <w:t>empirical</w:t>
      </w:r>
      <w:r w:rsidR="00C026A6" w:rsidRPr="00EA59C0">
        <w:rPr>
          <w:rFonts w:ascii="Arial" w:eastAsia="Calibri" w:hAnsi="Arial"/>
          <w:sz w:val="20"/>
        </w:rPr>
        <w:t xml:space="preserve"> </w:t>
      </w:r>
      <w:r w:rsidRPr="00EA59C0">
        <w:rPr>
          <w:rFonts w:ascii="Arial" w:eastAsia="Calibri" w:hAnsi="Arial"/>
          <w:sz w:val="20"/>
        </w:rPr>
        <w:t>evidence</w:t>
      </w:r>
      <w:r w:rsidR="00C026A6" w:rsidRPr="00EA59C0">
        <w:rPr>
          <w:rFonts w:ascii="Arial" w:eastAsia="Calibri" w:hAnsi="Arial"/>
          <w:sz w:val="20"/>
        </w:rPr>
        <w:t xml:space="preserve"> </w:t>
      </w:r>
      <w:r w:rsidRPr="00EA59C0">
        <w:rPr>
          <w:rFonts w:ascii="Arial" w:eastAsia="Calibri" w:hAnsi="Arial"/>
          <w:sz w:val="20"/>
        </w:rPr>
        <w:t>to</w:t>
      </w:r>
      <w:r w:rsidR="00C026A6" w:rsidRPr="00EA59C0">
        <w:rPr>
          <w:rFonts w:ascii="Arial" w:eastAsia="Calibri" w:hAnsi="Arial"/>
          <w:sz w:val="20"/>
        </w:rPr>
        <w:t xml:space="preserve"> </w:t>
      </w:r>
      <w:r w:rsidRPr="00EA59C0">
        <w:rPr>
          <w:rFonts w:ascii="Arial" w:eastAsia="Calibri" w:hAnsi="Arial"/>
          <w:sz w:val="20"/>
        </w:rPr>
        <w:t>support</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theoretical</w:t>
      </w:r>
      <w:r w:rsidR="00C026A6" w:rsidRPr="00EA59C0">
        <w:rPr>
          <w:rFonts w:ascii="Arial" w:eastAsia="Calibri" w:hAnsi="Arial"/>
          <w:sz w:val="20"/>
        </w:rPr>
        <w:t xml:space="preserve"> </w:t>
      </w:r>
      <w:r w:rsidRPr="00EA59C0">
        <w:rPr>
          <w:rFonts w:ascii="Arial" w:eastAsia="Calibri" w:hAnsi="Arial"/>
          <w:sz w:val="20"/>
        </w:rPr>
        <w:t>linkage(s)</w:t>
      </w:r>
      <w:r w:rsidR="00C026A6" w:rsidRPr="00EA59C0">
        <w:rPr>
          <w:rFonts w:ascii="Arial" w:eastAsia="Calibri" w:hAnsi="Arial"/>
          <w:sz w:val="20"/>
        </w:rPr>
        <w:t xml:space="preserve"> </w:t>
      </w:r>
      <w:r w:rsidRPr="00EA59C0">
        <w:rPr>
          <w:rFonts w:ascii="Arial" w:eastAsia="Calibri" w:hAnsi="Arial"/>
          <w:sz w:val="20"/>
        </w:rPr>
        <w:t>between</w:t>
      </w:r>
      <w:r w:rsidR="00C026A6" w:rsidRPr="00EA59C0">
        <w:rPr>
          <w:rFonts w:ascii="Arial" w:eastAsia="Calibri" w:hAnsi="Arial"/>
          <w:sz w:val="20"/>
        </w:rPr>
        <w:t xml:space="preserve"> </w:t>
      </w:r>
      <w:r w:rsidRPr="00EA59C0">
        <w:rPr>
          <w:rFonts w:ascii="Arial" w:eastAsia="Calibri" w:hAnsi="Arial"/>
          <w:sz w:val="20"/>
        </w:rPr>
        <w:t>at</w:t>
      </w:r>
      <w:r w:rsidR="00C026A6" w:rsidRPr="00EA59C0">
        <w:rPr>
          <w:rFonts w:ascii="Arial" w:eastAsia="Calibri" w:hAnsi="Arial"/>
          <w:sz w:val="20"/>
        </w:rPr>
        <w:t xml:space="preserve"> </w:t>
      </w:r>
      <w:r w:rsidRPr="00EA59C0">
        <w:rPr>
          <w:rFonts w:ascii="Arial" w:eastAsia="Calibri" w:hAnsi="Arial"/>
          <w:sz w:val="20"/>
        </w:rPr>
        <w:t>least</w:t>
      </w:r>
      <w:r w:rsidR="00C026A6" w:rsidRPr="00EA59C0">
        <w:rPr>
          <w:rFonts w:ascii="Arial" w:eastAsia="Calibri" w:hAnsi="Arial"/>
          <w:sz w:val="20"/>
        </w:rPr>
        <w:t xml:space="preserve"> </w:t>
      </w:r>
      <w:r w:rsidRPr="00EA59C0">
        <w:rPr>
          <w:rFonts w:ascii="Arial" w:eastAsia="Calibri" w:hAnsi="Arial"/>
          <w:sz w:val="20"/>
        </w:rPr>
        <w:t>one</w:t>
      </w:r>
      <w:r w:rsidR="00C026A6" w:rsidRPr="00EA59C0">
        <w:rPr>
          <w:rFonts w:ascii="Arial" w:eastAsia="Calibri" w:hAnsi="Arial"/>
          <w:sz w:val="20"/>
        </w:rPr>
        <w:t xml:space="preserve"> </w:t>
      </w:r>
      <w:r w:rsidRPr="00EA59C0">
        <w:rPr>
          <w:rFonts w:ascii="Arial" w:eastAsia="Calibri" w:hAnsi="Arial"/>
          <w:sz w:val="20"/>
        </w:rPr>
        <w:t>critical</w:t>
      </w:r>
      <w:r w:rsidR="00C026A6" w:rsidRPr="00EA59C0">
        <w:rPr>
          <w:rFonts w:ascii="Arial" w:eastAsia="Calibri" w:hAnsi="Arial"/>
          <w:sz w:val="20"/>
        </w:rPr>
        <w:t xml:space="preserve"> </w:t>
      </w:r>
      <w:r w:rsidRPr="00EA59C0">
        <w:rPr>
          <w:rFonts w:ascii="Arial" w:eastAsia="Calibri" w:hAnsi="Arial"/>
          <w:sz w:val="20"/>
        </w:rPr>
        <w:t>component</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at</w:t>
      </w:r>
      <w:r w:rsidR="00C026A6" w:rsidRPr="00EA59C0">
        <w:rPr>
          <w:rFonts w:ascii="Arial" w:eastAsia="Calibri" w:hAnsi="Arial"/>
          <w:sz w:val="20"/>
        </w:rPr>
        <w:t xml:space="preserve"> </w:t>
      </w:r>
      <w:r w:rsidRPr="00EA59C0">
        <w:rPr>
          <w:rFonts w:ascii="Arial" w:eastAsia="Calibri" w:hAnsi="Arial"/>
          <w:sz w:val="20"/>
        </w:rPr>
        <w:t>least</w:t>
      </w:r>
      <w:r w:rsidR="00C026A6" w:rsidRPr="00EA59C0">
        <w:rPr>
          <w:rFonts w:ascii="Arial" w:eastAsia="Calibri" w:hAnsi="Arial"/>
          <w:sz w:val="20"/>
        </w:rPr>
        <w:t xml:space="preserve"> </w:t>
      </w:r>
      <w:r w:rsidRPr="00EA59C0">
        <w:rPr>
          <w:rFonts w:ascii="Arial" w:eastAsia="Calibri" w:hAnsi="Arial"/>
          <w:sz w:val="20"/>
        </w:rPr>
        <w:t>one</w:t>
      </w:r>
      <w:r w:rsidR="00C026A6" w:rsidRPr="00EA59C0">
        <w:rPr>
          <w:rFonts w:ascii="Arial" w:eastAsia="Calibri" w:hAnsi="Arial"/>
          <w:sz w:val="20"/>
        </w:rPr>
        <w:t xml:space="preserve"> </w:t>
      </w:r>
      <w:r w:rsidRPr="00EA59C0">
        <w:rPr>
          <w:rFonts w:ascii="Arial" w:eastAsia="Calibri" w:hAnsi="Arial"/>
          <w:sz w:val="20"/>
        </w:rPr>
        <w:t>relevant</w:t>
      </w:r>
      <w:r w:rsidR="00C026A6" w:rsidRPr="00EA59C0">
        <w:rPr>
          <w:rFonts w:ascii="Arial" w:eastAsia="Calibri" w:hAnsi="Arial"/>
          <w:sz w:val="20"/>
        </w:rPr>
        <w:t xml:space="preserve"> </w:t>
      </w:r>
      <w:r w:rsidRPr="00EA59C0">
        <w:rPr>
          <w:rFonts w:ascii="Arial" w:eastAsia="Calibri" w:hAnsi="Arial"/>
          <w:sz w:val="20"/>
        </w:rPr>
        <w:t>outcome</w:t>
      </w:r>
      <w:r w:rsidR="00C026A6" w:rsidRPr="00EA59C0">
        <w:rPr>
          <w:rFonts w:ascii="Arial" w:eastAsia="Calibri" w:hAnsi="Arial"/>
          <w:sz w:val="20"/>
        </w:rPr>
        <w:t xml:space="preserve"> </w:t>
      </w:r>
      <w:r w:rsidRPr="00EA59C0">
        <w:rPr>
          <w:rFonts w:ascii="Arial" w:eastAsia="Calibri" w:hAnsi="Arial"/>
          <w:sz w:val="20"/>
        </w:rPr>
        <w:t>presented</w:t>
      </w:r>
      <w:r w:rsidR="00C026A6" w:rsidRPr="00EA59C0">
        <w:rPr>
          <w:rFonts w:ascii="Arial" w:eastAsia="Calibri" w:hAnsi="Arial"/>
          <w:sz w:val="20"/>
        </w:rPr>
        <w:t xml:space="preserve"> </w:t>
      </w:r>
      <w:r w:rsidRPr="00EA59C0">
        <w:rPr>
          <w:rFonts w:ascii="Arial" w:eastAsia="Calibri" w:hAnsi="Arial"/>
          <w:sz w:val="20"/>
        </w:rPr>
        <w:t>in</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logic</w:t>
      </w:r>
      <w:r w:rsidR="00C026A6" w:rsidRPr="00EA59C0">
        <w:rPr>
          <w:rFonts w:ascii="Arial" w:eastAsia="Calibri" w:hAnsi="Arial"/>
          <w:sz w:val="20"/>
        </w:rPr>
        <w:t xml:space="preserve"> </w:t>
      </w:r>
      <w:r w:rsidRPr="00EA59C0">
        <w:rPr>
          <w:rFonts w:ascii="Arial" w:eastAsia="Calibri" w:hAnsi="Arial"/>
          <w:sz w:val="20"/>
        </w:rPr>
        <w:t>model</w:t>
      </w:r>
      <w:r w:rsidR="00C026A6" w:rsidRPr="00EA59C0">
        <w:rPr>
          <w:rFonts w:ascii="Arial" w:eastAsia="Calibri" w:hAnsi="Arial"/>
          <w:sz w:val="20"/>
        </w:rPr>
        <w:t xml:space="preserve"> </w:t>
      </w:r>
      <w:r w:rsidRPr="00EA59C0">
        <w:rPr>
          <w:rFonts w:ascii="Arial" w:eastAsia="Calibri" w:hAnsi="Arial"/>
          <w:sz w:val="20"/>
        </w:rPr>
        <w:t>for</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proposed</w:t>
      </w:r>
      <w:r w:rsidR="00C026A6" w:rsidRPr="00EA59C0">
        <w:rPr>
          <w:rFonts w:ascii="Arial" w:eastAsia="Calibri" w:hAnsi="Arial"/>
          <w:sz w:val="20"/>
        </w:rPr>
        <w:t xml:space="preserve"> </w:t>
      </w:r>
      <w:r w:rsidRPr="00EA59C0">
        <w:rPr>
          <w:rFonts w:ascii="Arial" w:eastAsia="Calibri" w:hAnsi="Arial"/>
          <w:sz w:val="20"/>
        </w:rPr>
        <w:t>process,</w:t>
      </w:r>
      <w:r w:rsidR="00C026A6" w:rsidRPr="00EA59C0">
        <w:rPr>
          <w:rFonts w:ascii="Arial" w:eastAsia="Calibri" w:hAnsi="Arial"/>
          <w:sz w:val="20"/>
        </w:rPr>
        <w:t xml:space="preserve"> </w:t>
      </w:r>
      <w:r w:rsidRPr="00EA59C0">
        <w:rPr>
          <w:rFonts w:ascii="Arial" w:eastAsia="Calibri" w:hAnsi="Arial"/>
          <w:sz w:val="20"/>
        </w:rPr>
        <w:t>product,</w:t>
      </w:r>
      <w:r w:rsidR="00C026A6" w:rsidRPr="00EA59C0">
        <w:rPr>
          <w:rFonts w:ascii="Arial" w:eastAsia="Calibri" w:hAnsi="Arial"/>
          <w:sz w:val="20"/>
        </w:rPr>
        <w:t xml:space="preserve"> </w:t>
      </w:r>
      <w:r w:rsidRPr="00EA59C0">
        <w:rPr>
          <w:rFonts w:ascii="Arial" w:eastAsia="Calibri" w:hAnsi="Arial"/>
          <w:sz w:val="20"/>
        </w:rPr>
        <w:t>strategy,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practice.</w:t>
      </w:r>
      <w:r w:rsidR="00C026A6" w:rsidRPr="00EA59C0">
        <w:rPr>
          <w:rFonts w:ascii="Arial" w:eastAsia="Calibri" w:hAnsi="Arial"/>
          <w:sz w:val="20"/>
        </w:rPr>
        <w:t xml:space="preserve">  </w:t>
      </w:r>
      <w:r w:rsidRPr="00EA59C0">
        <w:rPr>
          <w:rFonts w:ascii="Arial" w:eastAsia="Calibri" w:hAnsi="Arial"/>
          <w:sz w:val="20"/>
        </w:rPr>
        <w:t>Specifically,</w:t>
      </w:r>
      <w:r w:rsidR="00C026A6" w:rsidRPr="00EA59C0">
        <w:rPr>
          <w:rFonts w:ascii="Arial" w:eastAsia="Calibri" w:hAnsi="Arial"/>
          <w:sz w:val="20"/>
        </w:rPr>
        <w:t xml:space="preserve"> </w:t>
      </w:r>
      <w:r w:rsidRPr="00EA59C0">
        <w:rPr>
          <w:rFonts w:ascii="Arial" w:eastAsia="Calibri" w:hAnsi="Arial"/>
          <w:sz w:val="20"/>
        </w:rPr>
        <w:t>evidence</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promise</w:t>
      </w:r>
      <w:r w:rsidR="00C026A6" w:rsidRPr="00EA59C0">
        <w:rPr>
          <w:rFonts w:ascii="Arial" w:eastAsia="Calibri" w:hAnsi="Arial"/>
          <w:sz w:val="20"/>
        </w:rPr>
        <w:t xml:space="preserve"> </w:t>
      </w:r>
      <w:r w:rsidRPr="00EA59C0">
        <w:rPr>
          <w:rFonts w:ascii="Arial" w:eastAsia="Calibri" w:hAnsi="Arial"/>
          <w:sz w:val="20"/>
        </w:rPr>
        <w:t>means</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conditions</w:t>
      </w:r>
      <w:r w:rsidR="00C026A6" w:rsidRPr="00EA59C0">
        <w:rPr>
          <w:rFonts w:ascii="Arial" w:eastAsia="Calibri" w:hAnsi="Arial"/>
          <w:sz w:val="20"/>
        </w:rPr>
        <w:t xml:space="preserve"> </w:t>
      </w:r>
      <w:r w:rsidRPr="00EA59C0">
        <w:rPr>
          <w:rFonts w:ascii="Arial" w:eastAsia="Calibri" w:hAnsi="Arial"/>
          <w:sz w:val="20"/>
        </w:rPr>
        <w:t>in</w:t>
      </w:r>
      <w:r w:rsidR="00C026A6" w:rsidRPr="00EA59C0">
        <w:rPr>
          <w:rFonts w:ascii="Arial" w:eastAsia="Calibri" w:hAnsi="Arial"/>
          <w:sz w:val="20"/>
        </w:rPr>
        <w:t xml:space="preserve"> </w:t>
      </w:r>
      <w:r w:rsidRPr="00EA59C0">
        <w:rPr>
          <w:rFonts w:ascii="Arial" w:eastAsia="Calibri" w:hAnsi="Arial"/>
          <w:sz w:val="20"/>
        </w:rPr>
        <w:t>paragraphs</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(b)</w:t>
      </w:r>
      <w:r w:rsidR="00C026A6" w:rsidRPr="00EA59C0">
        <w:rPr>
          <w:rFonts w:ascii="Arial" w:eastAsia="Calibri" w:hAnsi="Arial"/>
          <w:sz w:val="20"/>
        </w:rPr>
        <w:t xml:space="preserve"> </w:t>
      </w:r>
      <w:r w:rsidRPr="00EA59C0">
        <w:rPr>
          <w:rFonts w:ascii="Arial" w:eastAsia="Calibri" w:hAnsi="Arial"/>
          <w:sz w:val="20"/>
        </w:rPr>
        <w:t>are</w:t>
      </w:r>
      <w:r w:rsidR="00C026A6" w:rsidRPr="00EA59C0">
        <w:rPr>
          <w:rFonts w:ascii="Arial" w:eastAsia="Calibri" w:hAnsi="Arial"/>
          <w:sz w:val="20"/>
        </w:rPr>
        <w:t xml:space="preserve"> </w:t>
      </w:r>
      <w:r w:rsidRPr="00EA59C0">
        <w:rPr>
          <w:rFonts w:ascii="Arial" w:eastAsia="Calibri" w:hAnsi="Arial"/>
          <w:sz w:val="20"/>
        </w:rPr>
        <w:t>met:</w:t>
      </w:r>
      <w:r w:rsidR="00C026A6" w:rsidRPr="00EA59C0">
        <w:rPr>
          <w:rFonts w:ascii="Arial" w:eastAsia="Calibri" w:hAnsi="Arial"/>
          <w:sz w:val="20"/>
        </w:rPr>
        <w:t xml:space="preserve"> </w:t>
      </w:r>
    </w:p>
    <w:p w:rsidR="008826BE" w:rsidRPr="00EA59C0" w:rsidRDefault="008826BE" w:rsidP="00DB00BB">
      <w:pPr>
        <w:rPr>
          <w:rFonts w:ascii="Arial" w:eastAsia="Calibri" w:hAnsi="Arial"/>
          <w:sz w:val="20"/>
        </w:rPr>
      </w:pPr>
    </w:p>
    <w:p w:rsidR="008826BE" w:rsidRPr="00EA59C0" w:rsidRDefault="008826BE" w:rsidP="00080097">
      <w:pPr>
        <w:pStyle w:val="ListParagraph"/>
        <w:numPr>
          <w:ilvl w:val="1"/>
          <w:numId w:val="50"/>
        </w:numPr>
        <w:spacing w:line="360" w:lineRule="auto"/>
        <w:ind w:left="720"/>
        <w:rPr>
          <w:rFonts w:ascii="Arial" w:eastAsia="Calibri" w:hAnsi="Arial"/>
          <w:sz w:val="20"/>
        </w:rPr>
      </w:pPr>
      <w:r w:rsidRPr="00EA59C0">
        <w:rPr>
          <w:rFonts w:ascii="Arial" w:eastAsia="Calibri" w:hAnsi="Arial"/>
          <w:sz w:val="20"/>
        </w:rPr>
        <w:t>There</w:t>
      </w:r>
      <w:r w:rsidR="00C026A6" w:rsidRPr="00EA59C0">
        <w:rPr>
          <w:rFonts w:ascii="Arial" w:eastAsia="Calibri" w:hAnsi="Arial"/>
          <w:sz w:val="20"/>
        </w:rPr>
        <w:t xml:space="preserve"> </w:t>
      </w:r>
      <w:r w:rsidRPr="00EA59C0">
        <w:rPr>
          <w:rFonts w:ascii="Arial" w:eastAsia="Calibri" w:hAnsi="Arial"/>
          <w:sz w:val="20"/>
        </w:rPr>
        <w:t>is</w:t>
      </w:r>
      <w:r w:rsidR="00C026A6" w:rsidRPr="00EA59C0">
        <w:rPr>
          <w:rFonts w:ascii="Arial" w:eastAsia="Calibri" w:hAnsi="Arial"/>
          <w:sz w:val="20"/>
        </w:rPr>
        <w:t xml:space="preserve"> </w:t>
      </w:r>
      <w:r w:rsidRPr="00EA59C0">
        <w:rPr>
          <w:rFonts w:ascii="Arial" w:eastAsia="Calibri" w:hAnsi="Arial"/>
          <w:sz w:val="20"/>
        </w:rPr>
        <w:t>at</w:t>
      </w:r>
      <w:r w:rsidR="00C026A6" w:rsidRPr="00EA59C0">
        <w:rPr>
          <w:rFonts w:ascii="Arial" w:eastAsia="Calibri" w:hAnsi="Arial"/>
          <w:sz w:val="20"/>
        </w:rPr>
        <w:t xml:space="preserve"> </w:t>
      </w:r>
      <w:r w:rsidRPr="00EA59C0">
        <w:rPr>
          <w:rFonts w:ascii="Arial" w:eastAsia="Calibri" w:hAnsi="Arial"/>
          <w:sz w:val="20"/>
        </w:rPr>
        <w:t>least</w:t>
      </w:r>
      <w:r w:rsidR="00C026A6" w:rsidRPr="00EA59C0">
        <w:rPr>
          <w:rFonts w:ascii="Arial" w:eastAsia="Calibri" w:hAnsi="Arial"/>
          <w:sz w:val="20"/>
        </w:rPr>
        <w:t xml:space="preserve"> </w:t>
      </w:r>
      <w:r w:rsidRPr="00EA59C0">
        <w:rPr>
          <w:rFonts w:ascii="Arial" w:eastAsia="Calibri" w:hAnsi="Arial"/>
          <w:sz w:val="20"/>
        </w:rPr>
        <w:t>one</w:t>
      </w:r>
      <w:r w:rsidR="00C026A6" w:rsidRPr="00EA59C0">
        <w:rPr>
          <w:rFonts w:ascii="Arial" w:eastAsia="Calibri" w:hAnsi="Arial"/>
          <w:sz w:val="20"/>
        </w:rPr>
        <w:t xml:space="preserve"> </w:t>
      </w:r>
      <w:r w:rsidRPr="00EA59C0">
        <w:rPr>
          <w:rFonts w:ascii="Arial" w:eastAsia="Calibri" w:hAnsi="Arial"/>
          <w:sz w:val="20"/>
        </w:rPr>
        <w:t>study</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is</w:t>
      </w:r>
      <w:r w:rsidR="00C026A6" w:rsidRPr="00EA59C0">
        <w:rPr>
          <w:rFonts w:ascii="Arial" w:eastAsia="Calibri" w:hAnsi="Arial"/>
          <w:sz w:val="20"/>
        </w:rPr>
        <w:t xml:space="preserve"> </w:t>
      </w:r>
      <w:r w:rsidRPr="00EA59C0">
        <w:rPr>
          <w:rFonts w:ascii="Arial" w:eastAsia="Calibri" w:hAnsi="Arial"/>
          <w:sz w:val="20"/>
        </w:rPr>
        <w:t>a--</w:t>
      </w:r>
    </w:p>
    <w:p w:rsidR="008826BE" w:rsidRPr="00EA59C0" w:rsidRDefault="008826BE" w:rsidP="00080097">
      <w:pPr>
        <w:pStyle w:val="ListParagraph"/>
        <w:numPr>
          <w:ilvl w:val="2"/>
          <w:numId w:val="51"/>
        </w:numPr>
        <w:ind w:left="1440" w:hanging="360"/>
        <w:rPr>
          <w:rFonts w:ascii="Arial" w:eastAsia="Calibri" w:hAnsi="Arial"/>
          <w:sz w:val="20"/>
        </w:rPr>
      </w:pPr>
      <w:r w:rsidRPr="00EA59C0">
        <w:rPr>
          <w:rFonts w:ascii="Arial" w:eastAsia="Calibri" w:hAnsi="Arial"/>
          <w:sz w:val="20"/>
        </w:rPr>
        <w:t>Correlational</w:t>
      </w:r>
      <w:r w:rsidR="00C026A6" w:rsidRPr="00EA59C0">
        <w:rPr>
          <w:rFonts w:ascii="Arial" w:eastAsia="Calibri" w:hAnsi="Arial"/>
          <w:sz w:val="20"/>
        </w:rPr>
        <w:t xml:space="preserve"> </w:t>
      </w:r>
      <w:r w:rsidRPr="00EA59C0">
        <w:rPr>
          <w:rFonts w:ascii="Arial" w:eastAsia="Calibri" w:hAnsi="Arial"/>
          <w:sz w:val="20"/>
        </w:rPr>
        <w:t>study</w:t>
      </w:r>
      <w:r w:rsidR="00C026A6" w:rsidRPr="00EA59C0">
        <w:rPr>
          <w:rFonts w:ascii="Arial" w:eastAsia="Calibri" w:hAnsi="Arial"/>
          <w:sz w:val="20"/>
        </w:rPr>
        <w:t xml:space="preserve"> </w:t>
      </w:r>
      <w:r w:rsidRPr="00EA59C0">
        <w:rPr>
          <w:rFonts w:ascii="Arial" w:eastAsia="Calibri" w:hAnsi="Arial"/>
          <w:sz w:val="20"/>
        </w:rPr>
        <w:t>with</w:t>
      </w:r>
      <w:r w:rsidR="00C026A6" w:rsidRPr="00EA59C0">
        <w:rPr>
          <w:rFonts w:ascii="Arial" w:eastAsia="Calibri" w:hAnsi="Arial"/>
          <w:sz w:val="20"/>
        </w:rPr>
        <w:t xml:space="preserve"> </w:t>
      </w:r>
      <w:r w:rsidRPr="00EA59C0">
        <w:rPr>
          <w:rFonts w:ascii="Arial" w:eastAsia="Calibri" w:hAnsi="Arial"/>
          <w:sz w:val="20"/>
        </w:rPr>
        <w:t>statistical</w:t>
      </w:r>
      <w:r w:rsidR="00C026A6" w:rsidRPr="00EA59C0">
        <w:rPr>
          <w:rFonts w:ascii="Arial" w:eastAsia="Calibri" w:hAnsi="Arial"/>
          <w:sz w:val="20"/>
        </w:rPr>
        <w:t xml:space="preserve"> </w:t>
      </w:r>
      <w:r w:rsidRPr="00EA59C0">
        <w:rPr>
          <w:rFonts w:ascii="Arial" w:eastAsia="Calibri" w:hAnsi="Arial"/>
          <w:sz w:val="20"/>
        </w:rPr>
        <w:t>controls</w:t>
      </w:r>
      <w:r w:rsidR="00C026A6" w:rsidRPr="00EA59C0">
        <w:rPr>
          <w:rFonts w:ascii="Arial" w:eastAsia="Calibri" w:hAnsi="Arial"/>
          <w:sz w:val="20"/>
        </w:rPr>
        <w:t xml:space="preserve"> </w:t>
      </w:r>
      <w:r w:rsidRPr="00EA59C0">
        <w:rPr>
          <w:rFonts w:ascii="Arial" w:eastAsia="Calibri" w:hAnsi="Arial"/>
          <w:sz w:val="20"/>
        </w:rPr>
        <w:t>for</w:t>
      </w:r>
      <w:r w:rsidR="00C026A6" w:rsidRPr="00EA59C0">
        <w:rPr>
          <w:rFonts w:ascii="Arial" w:eastAsia="Calibri" w:hAnsi="Arial"/>
          <w:sz w:val="20"/>
        </w:rPr>
        <w:t xml:space="preserve"> </w:t>
      </w:r>
      <w:r w:rsidRPr="00EA59C0">
        <w:rPr>
          <w:rFonts w:ascii="Arial" w:eastAsia="Calibri" w:hAnsi="Arial"/>
          <w:sz w:val="20"/>
        </w:rPr>
        <w:t>selection</w:t>
      </w:r>
      <w:r w:rsidR="00C026A6" w:rsidRPr="00EA59C0">
        <w:rPr>
          <w:rFonts w:ascii="Arial" w:eastAsia="Calibri" w:hAnsi="Arial"/>
          <w:sz w:val="20"/>
        </w:rPr>
        <w:t xml:space="preserve"> </w:t>
      </w:r>
      <w:r w:rsidRPr="00EA59C0">
        <w:rPr>
          <w:rFonts w:ascii="Arial" w:eastAsia="Calibri" w:hAnsi="Arial"/>
          <w:sz w:val="20"/>
        </w:rPr>
        <w:t>bias;</w:t>
      </w:r>
      <w:r w:rsidR="00C026A6" w:rsidRPr="00EA59C0">
        <w:rPr>
          <w:rFonts w:ascii="Arial" w:eastAsia="Calibri" w:hAnsi="Arial"/>
          <w:sz w:val="20"/>
        </w:rPr>
        <w:t xml:space="preserve"> </w:t>
      </w:r>
    </w:p>
    <w:p w:rsidR="008826BE" w:rsidRPr="00EA59C0" w:rsidRDefault="008826BE" w:rsidP="00080097">
      <w:pPr>
        <w:pStyle w:val="ListParagraph"/>
        <w:numPr>
          <w:ilvl w:val="2"/>
          <w:numId w:val="51"/>
        </w:numPr>
        <w:ind w:left="1440" w:hanging="360"/>
        <w:rPr>
          <w:rFonts w:ascii="Arial" w:eastAsia="Calibri" w:hAnsi="Arial"/>
          <w:sz w:val="20"/>
        </w:rPr>
      </w:pPr>
      <w:r w:rsidRPr="00EA59C0">
        <w:rPr>
          <w:rFonts w:ascii="Arial" w:eastAsia="Calibri" w:hAnsi="Arial"/>
          <w:sz w:val="20"/>
        </w:rPr>
        <w:t>Quasi-experimental</w:t>
      </w:r>
      <w:r w:rsidR="00C026A6" w:rsidRPr="00EA59C0">
        <w:rPr>
          <w:rFonts w:ascii="Arial" w:eastAsia="Calibri" w:hAnsi="Arial"/>
          <w:sz w:val="20"/>
        </w:rPr>
        <w:t xml:space="preserve"> </w:t>
      </w:r>
      <w:r w:rsidRPr="00EA59C0">
        <w:rPr>
          <w:rFonts w:ascii="Arial" w:eastAsia="Calibri" w:hAnsi="Arial"/>
          <w:sz w:val="20"/>
        </w:rPr>
        <w:t>study</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meets</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What</w:t>
      </w:r>
      <w:r w:rsidR="00C026A6" w:rsidRPr="00EA59C0">
        <w:rPr>
          <w:rFonts w:ascii="Arial" w:eastAsia="Calibri" w:hAnsi="Arial"/>
          <w:sz w:val="20"/>
        </w:rPr>
        <w:t xml:space="preserve"> </w:t>
      </w:r>
      <w:r w:rsidRPr="00EA59C0">
        <w:rPr>
          <w:rFonts w:ascii="Arial" w:eastAsia="Calibri" w:hAnsi="Arial"/>
          <w:sz w:val="20"/>
        </w:rPr>
        <w:t>Works</w:t>
      </w:r>
      <w:r w:rsidR="00C026A6" w:rsidRPr="00EA59C0">
        <w:rPr>
          <w:rFonts w:ascii="Arial" w:eastAsia="Calibri" w:hAnsi="Arial"/>
          <w:sz w:val="20"/>
        </w:rPr>
        <w:t xml:space="preserve"> </w:t>
      </w:r>
      <w:r w:rsidRPr="00EA59C0">
        <w:rPr>
          <w:rFonts w:ascii="Arial" w:eastAsia="Calibri" w:hAnsi="Arial"/>
          <w:sz w:val="20"/>
        </w:rPr>
        <w:t>Clearinghouse</w:t>
      </w:r>
      <w:r w:rsidR="00C026A6" w:rsidRPr="00EA59C0">
        <w:rPr>
          <w:rFonts w:ascii="Arial" w:eastAsia="Calibri" w:hAnsi="Arial"/>
          <w:sz w:val="20"/>
        </w:rPr>
        <w:t xml:space="preserve"> </w:t>
      </w:r>
      <w:r w:rsidRPr="00EA59C0">
        <w:rPr>
          <w:rFonts w:ascii="Arial" w:eastAsia="Calibri" w:hAnsi="Arial"/>
          <w:sz w:val="20"/>
        </w:rPr>
        <w:t>Evidence</w:t>
      </w:r>
      <w:r w:rsidR="00C026A6" w:rsidRPr="00EA59C0">
        <w:rPr>
          <w:rFonts w:ascii="Arial" w:eastAsia="Calibri" w:hAnsi="Arial"/>
          <w:sz w:val="20"/>
        </w:rPr>
        <w:t xml:space="preserve"> </w:t>
      </w:r>
      <w:r w:rsidRPr="00EA59C0">
        <w:rPr>
          <w:rFonts w:ascii="Arial" w:eastAsia="Calibri" w:hAnsi="Arial"/>
          <w:sz w:val="20"/>
        </w:rPr>
        <w:t>Standards</w:t>
      </w:r>
      <w:r w:rsidR="00C026A6" w:rsidRPr="00EA59C0">
        <w:rPr>
          <w:rFonts w:ascii="Arial" w:eastAsia="Calibri" w:hAnsi="Arial"/>
          <w:sz w:val="20"/>
        </w:rPr>
        <w:t xml:space="preserve"> </w:t>
      </w:r>
      <w:r w:rsidRPr="00EA59C0">
        <w:rPr>
          <w:rFonts w:ascii="Arial" w:eastAsia="Calibri" w:hAnsi="Arial"/>
          <w:sz w:val="20"/>
        </w:rPr>
        <w:t>with</w:t>
      </w:r>
      <w:r w:rsidR="00C026A6" w:rsidRPr="00EA59C0">
        <w:rPr>
          <w:rFonts w:ascii="Arial" w:eastAsia="Calibri" w:hAnsi="Arial"/>
          <w:sz w:val="20"/>
        </w:rPr>
        <w:t xml:space="preserve"> </w:t>
      </w:r>
      <w:r w:rsidRPr="00EA59C0">
        <w:rPr>
          <w:rFonts w:ascii="Arial" w:eastAsia="Calibri" w:hAnsi="Arial"/>
          <w:sz w:val="20"/>
        </w:rPr>
        <w:t>reservations</w:t>
      </w:r>
      <w:r w:rsidRPr="00EA59C0">
        <w:rPr>
          <w:rFonts w:ascii="Arial" w:eastAsia="Calibri" w:hAnsi="Arial"/>
          <w:sz w:val="20"/>
          <w:vertAlign w:val="superscript"/>
        </w:rPr>
        <w:footnoteReference w:customMarkFollows="1" w:id="8"/>
        <w:t>[5]</w:t>
      </w:r>
      <w:r w:rsidRPr="00EA59C0">
        <w:rPr>
          <w:rFonts w:ascii="Arial" w:eastAsia="Calibri" w:hAnsi="Arial"/>
          <w:sz w:val="20"/>
        </w:rPr>
        <w:t>;</w:t>
      </w:r>
      <w:r w:rsidR="00C026A6" w:rsidRPr="00EA59C0">
        <w:rPr>
          <w:rFonts w:ascii="Arial" w:eastAsia="Calibri" w:hAnsi="Arial"/>
          <w:sz w:val="20"/>
        </w:rPr>
        <w:t xml:space="preserve"> </w:t>
      </w:r>
      <w:r w:rsidRPr="00EA59C0">
        <w:rPr>
          <w:rFonts w:ascii="Arial" w:eastAsia="Calibri" w:hAnsi="Arial"/>
          <w:sz w:val="20"/>
        </w:rPr>
        <w:t>or</w:t>
      </w:r>
    </w:p>
    <w:p w:rsidR="008826BE" w:rsidRPr="00EA59C0" w:rsidRDefault="008826BE" w:rsidP="00080097">
      <w:pPr>
        <w:pStyle w:val="ListParagraph"/>
        <w:numPr>
          <w:ilvl w:val="2"/>
          <w:numId w:val="51"/>
        </w:numPr>
        <w:ind w:left="1440" w:hanging="360"/>
        <w:rPr>
          <w:rFonts w:ascii="Arial" w:eastAsia="Calibri" w:hAnsi="Arial"/>
          <w:sz w:val="20"/>
        </w:rPr>
      </w:pPr>
      <w:r w:rsidRPr="00EA59C0">
        <w:rPr>
          <w:rFonts w:ascii="Arial" w:eastAsia="Calibri" w:hAnsi="Arial"/>
          <w:sz w:val="20"/>
        </w:rPr>
        <w:t>Randomized</w:t>
      </w:r>
      <w:r w:rsidR="00C026A6" w:rsidRPr="00EA59C0">
        <w:rPr>
          <w:rFonts w:ascii="Arial" w:eastAsia="Calibri" w:hAnsi="Arial"/>
          <w:sz w:val="20"/>
        </w:rPr>
        <w:t xml:space="preserve"> </w:t>
      </w:r>
      <w:r w:rsidRPr="00EA59C0">
        <w:rPr>
          <w:rFonts w:ascii="Arial" w:eastAsia="Calibri" w:hAnsi="Arial"/>
          <w:sz w:val="20"/>
        </w:rPr>
        <w:t>controlled</w:t>
      </w:r>
      <w:r w:rsidR="00C026A6" w:rsidRPr="00EA59C0">
        <w:rPr>
          <w:rFonts w:ascii="Arial" w:eastAsia="Calibri" w:hAnsi="Arial"/>
          <w:sz w:val="20"/>
        </w:rPr>
        <w:t xml:space="preserve"> </w:t>
      </w:r>
      <w:r w:rsidRPr="00EA59C0">
        <w:rPr>
          <w:rFonts w:ascii="Arial" w:eastAsia="Calibri" w:hAnsi="Arial"/>
          <w:sz w:val="20"/>
        </w:rPr>
        <w:t>trial</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meets</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What</w:t>
      </w:r>
      <w:r w:rsidR="00C026A6" w:rsidRPr="00EA59C0">
        <w:rPr>
          <w:rFonts w:ascii="Arial" w:eastAsia="Calibri" w:hAnsi="Arial"/>
          <w:sz w:val="20"/>
        </w:rPr>
        <w:t xml:space="preserve"> </w:t>
      </w:r>
      <w:r w:rsidRPr="00EA59C0">
        <w:rPr>
          <w:rFonts w:ascii="Arial" w:eastAsia="Calibri" w:hAnsi="Arial"/>
          <w:sz w:val="20"/>
        </w:rPr>
        <w:t>Works</w:t>
      </w:r>
      <w:r w:rsidR="00C026A6" w:rsidRPr="00EA59C0">
        <w:rPr>
          <w:rFonts w:ascii="Arial" w:eastAsia="Calibri" w:hAnsi="Arial"/>
          <w:sz w:val="20"/>
        </w:rPr>
        <w:t xml:space="preserve"> </w:t>
      </w:r>
      <w:r w:rsidRPr="00EA59C0">
        <w:rPr>
          <w:rFonts w:ascii="Arial" w:eastAsia="Calibri" w:hAnsi="Arial"/>
          <w:sz w:val="20"/>
        </w:rPr>
        <w:t>Clearinghouse</w:t>
      </w:r>
      <w:r w:rsidR="00C026A6" w:rsidRPr="00EA59C0">
        <w:rPr>
          <w:rFonts w:ascii="Arial" w:eastAsia="Calibri" w:hAnsi="Arial"/>
          <w:sz w:val="20"/>
        </w:rPr>
        <w:t xml:space="preserve"> </w:t>
      </w:r>
      <w:r w:rsidRPr="00EA59C0">
        <w:rPr>
          <w:rFonts w:ascii="Arial" w:eastAsia="Calibri" w:hAnsi="Arial"/>
          <w:sz w:val="20"/>
        </w:rPr>
        <w:t>Evidence</w:t>
      </w:r>
      <w:r w:rsidR="00C026A6" w:rsidRPr="00EA59C0">
        <w:rPr>
          <w:rFonts w:ascii="Arial" w:eastAsia="Calibri" w:hAnsi="Arial"/>
          <w:sz w:val="20"/>
        </w:rPr>
        <w:t xml:space="preserve"> </w:t>
      </w:r>
      <w:r w:rsidRPr="00EA59C0">
        <w:rPr>
          <w:rFonts w:ascii="Arial" w:eastAsia="Calibri" w:hAnsi="Arial"/>
          <w:sz w:val="20"/>
        </w:rPr>
        <w:t>Standards</w:t>
      </w:r>
      <w:r w:rsidR="00C026A6" w:rsidRPr="00EA59C0">
        <w:rPr>
          <w:rFonts w:ascii="Arial" w:eastAsia="Calibri" w:hAnsi="Arial"/>
          <w:sz w:val="20"/>
        </w:rPr>
        <w:t xml:space="preserve"> </w:t>
      </w:r>
      <w:r w:rsidRPr="00EA59C0">
        <w:rPr>
          <w:rFonts w:ascii="Arial" w:eastAsia="Calibri" w:hAnsi="Arial"/>
          <w:sz w:val="20"/>
        </w:rPr>
        <w:t>with</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without</w:t>
      </w:r>
      <w:r w:rsidR="00C026A6" w:rsidRPr="00EA59C0">
        <w:rPr>
          <w:rFonts w:ascii="Arial" w:eastAsia="Calibri" w:hAnsi="Arial"/>
          <w:sz w:val="20"/>
        </w:rPr>
        <w:t xml:space="preserve"> </w:t>
      </w:r>
      <w:r w:rsidRPr="00EA59C0">
        <w:rPr>
          <w:rFonts w:ascii="Arial" w:eastAsia="Calibri" w:hAnsi="Arial"/>
          <w:sz w:val="20"/>
        </w:rPr>
        <w:t>reservations</w:t>
      </w:r>
      <w:r w:rsidRPr="00EA59C0">
        <w:rPr>
          <w:rFonts w:ascii="Arial" w:eastAsia="Calibri" w:hAnsi="Arial"/>
          <w:sz w:val="20"/>
          <w:vertAlign w:val="superscript"/>
        </w:rPr>
        <w:footnoteReference w:customMarkFollows="1" w:id="9"/>
        <w:t>[6]</w:t>
      </w:r>
      <w:r w:rsidRPr="00EA59C0">
        <w:rPr>
          <w:rFonts w:ascii="Arial" w:eastAsia="Calibri" w:hAnsi="Arial"/>
          <w:sz w:val="20"/>
        </w:rPr>
        <w:t>.</w:t>
      </w:r>
      <w:r w:rsidR="00C026A6" w:rsidRPr="00EA59C0">
        <w:rPr>
          <w:rFonts w:ascii="Arial" w:eastAsia="Calibri" w:hAnsi="Arial"/>
          <w:sz w:val="20"/>
        </w:rPr>
        <w:t xml:space="preserve"> </w:t>
      </w:r>
    </w:p>
    <w:p w:rsidR="008826BE" w:rsidRPr="00EA59C0" w:rsidRDefault="008826BE" w:rsidP="00DB00BB">
      <w:pPr>
        <w:rPr>
          <w:rFonts w:ascii="Arial" w:eastAsia="Calibri" w:hAnsi="Arial"/>
          <w:sz w:val="20"/>
        </w:rPr>
      </w:pPr>
    </w:p>
    <w:p w:rsidR="008826BE" w:rsidRPr="00EA59C0" w:rsidRDefault="008826BE" w:rsidP="00080097">
      <w:pPr>
        <w:pStyle w:val="ListParagraph"/>
        <w:numPr>
          <w:ilvl w:val="1"/>
          <w:numId w:val="50"/>
        </w:numPr>
        <w:ind w:left="720"/>
        <w:rPr>
          <w:rFonts w:ascii="Arial" w:eastAsia="Calibri" w:hAnsi="Arial"/>
          <w:sz w:val="20"/>
        </w:rPr>
      </w:pP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study</w:t>
      </w:r>
      <w:r w:rsidR="00C026A6" w:rsidRPr="00EA59C0">
        <w:rPr>
          <w:rFonts w:ascii="Arial" w:eastAsia="Calibri" w:hAnsi="Arial"/>
          <w:sz w:val="20"/>
        </w:rPr>
        <w:t xml:space="preserve"> </w:t>
      </w:r>
      <w:r w:rsidRPr="00EA59C0">
        <w:rPr>
          <w:rFonts w:ascii="Arial" w:eastAsia="Calibri" w:hAnsi="Arial"/>
          <w:sz w:val="20"/>
        </w:rPr>
        <w:t>referenced</w:t>
      </w:r>
      <w:r w:rsidR="00C026A6" w:rsidRPr="00EA59C0">
        <w:rPr>
          <w:rFonts w:ascii="Arial" w:eastAsia="Calibri" w:hAnsi="Arial"/>
          <w:sz w:val="20"/>
        </w:rPr>
        <w:t xml:space="preserve"> </w:t>
      </w:r>
      <w:r w:rsidRPr="00EA59C0">
        <w:rPr>
          <w:rFonts w:ascii="Arial" w:eastAsia="Calibri" w:hAnsi="Arial"/>
          <w:sz w:val="20"/>
        </w:rPr>
        <w:t>in</w:t>
      </w:r>
      <w:r w:rsidR="00C026A6" w:rsidRPr="00EA59C0">
        <w:rPr>
          <w:rFonts w:ascii="Arial" w:eastAsia="Calibri" w:hAnsi="Arial"/>
          <w:sz w:val="20"/>
        </w:rPr>
        <w:t xml:space="preserve"> </w:t>
      </w:r>
      <w:r w:rsidRPr="00EA59C0">
        <w:rPr>
          <w:rFonts w:ascii="Arial" w:eastAsia="Calibri" w:hAnsi="Arial"/>
          <w:sz w:val="20"/>
        </w:rPr>
        <w:t>paragraph</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found</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statistically</w:t>
      </w:r>
      <w:r w:rsidR="00C026A6" w:rsidRPr="00EA59C0">
        <w:rPr>
          <w:rFonts w:ascii="Arial" w:eastAsia="Calibri" w:hAnsi="Arial"/>
          <w:sz w:val="20"/>
        </w:rPr>
        <w:t xml:space="preserve"> </w:t>
      </w:r>
      <w:r w:rsidRPr="00EA59C0">
        <w:rPr>
          <w:rFonts w:ascii="Arial" w:eastAsia="Calibri" w:hAnsi="Arial"/>
          <w:sz w:val="20"/>
        </w:rPr>
        <w:t>significant</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substantively</w:t>
      </w:r>
      <w:r w:rsidR="00C026A6" w:rsidRPr="00EA59C0">
        <w:rPr>
          <w:rFonts w:ascii="Arial" w:eastAsia="Calibri" w:hAnsi="Arial"/>
          <w:sz w:val="20"/>
        </w:rPr>
        <w:t xml:space="preserve"> </w:t>
      </w:r>
      <w:r w:rsidRPr="00EA59C0">
        <w:rPr>
          <w:rFonts w:ascii="Arial" w:eastAsia="Calibri" w:hAnsi="Arial"/>
          <w:sz w:val="20"/>
        </w:rPr>
        <w:t>important</w:t>
      </w:r>
      <w:r w:rsidR="00C026A6" w:rsidRPr="00EA59C0">
        <w:rPr>
          <w:rFonts w:ascii="Arial" w:eastAsia="Calibri" w:hAnsi="Arial"/>
          <w:sz w:val="20"/>
        </w:rPr>
        <w:t xml:space="preserve"> </w:t>
      </w:r>
      <w:r w:rsidRPr="00EA59C0">
        <w:rPr>
          <w:rFonts w:ascii="Arial" w:eastAsia="Calibri" w:hAnsi="Arial"/>
          <w:sz w:val="20"/>
        </w:rPr>
        <w:t>(defined</w:t>
      </w:r>
      <w:r w:rsidR="00C026A6" w:rsidRPr="00EA59C0">
        <w:rPr>
          <w:rFonts w:ascii="Arial" w:eastAsia="Calibri" w:hAnsi="Arial"/>
          <w:sz w:val="20"/>
        </w:rPr>
        <w:t xml:space="preserve"> </w:t>
      </w:r>
      <w:r w:rsidRPr="00EA59C0">
        <w:rPr>
          <w:rFonts w:ascii="Arial" w:eastAsia="Calibri" w:hAnsi="Arial"/>
          <w:sz w:val="20"/>
        </w:rPr>
        <w:t>as</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difference</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0.25</w:t>
      </w:r>
      <w:r w:rsidR="00C026A6" w:rsidRPr="00EA59C0">
        <w:rPr>
          <w:rFonts w:ascii="Arial" w:eastAsia="Calibri" w:hAnsi="Arial"/>
          <w:sz w:val="20"/>
        </w:rPr>
        <w:t xml:space="preserve"> </w:t>
      </w:r>
      <w:r w:rsidRPr="00EA59C0">
        <w:rPr>
          <w:rFonts w:ascii="Arial" w:eastAsia="Calibri" w:hAnsi="Arial"/>
          <w:sz w:val="20"/>
        </w:rPr>
        <w:t>standard</w:t>
      </w:r>
      <w:r w:rsidR="00C026A6" w:rsidRPr="00EA59C0">
        <w:rPr>
          <w:rFonts w:ascii="Arial" w:eastAsia="Calibri" w:hAnsi="Arial"/>
          <w:sz w:val="20"/>
        </w:rPr>
        <w:t xml:space="preserve"> </w:t>
      </w:r>
      <w:r w:rsidRPr="00EA59C0">
        <w:rPr>
          <w:rFonts w:ascii="Arial" w:eastAsia="Calibri" w:hAnsi="Arial"/>
          <w:sz w:val="20"/>
        </w:rPr>
        <w:t>deviations</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larger),</w:t>
      </w:r>
      <w:r w:rsidR="00C026A6" w:rsidRPr="00EA59C0">
        <w:rPr>
          <w:rFonts w:ascii="Arial" w:eastAsia="Calibri" w:hAnsi="Arial"/>
          <w:sz w:val="20"/>
        </w:rPr>
        <w:t xml:space="preserve"> </w:t>
      </w:r>
      <w:r w:rsidRPr="00EA59C0">
        <w:rPr>
          <w:rFonts w:ascii="Arial" w:eastAsia="Calibri" w:hAnsi="Arial"/>
          <w:sz w:val="20"/>
        </w:rPr>
        <w:t>favorable</w:t>
      </w:r>
      <w:r w:rsidR="00C026A6" w:rsidRPr="00EA59C0">
        <w:rPr>
          <w:rFonts w:ascii="Arial" w:eastAsia="Calibri" w:hAnsi="Arial"/>
          <w:sz w:val="20"/>
        </w:rPr>
        <w:t xml:space="preserve"> </w:t>
      </w:r>
      <w:r w:rsidRPr="00EA59C0">
        <w:rPr>
          <w:rFonts w:ascii="Arial" w:eastAsia="Calibri" w:hAnsi="Arial"/>
          <w:sz w:val="20"/>
        </w:rPr>
        <w:t>association</w:t>
      </w:r>
      <w:r w:rsidR="00C026A6" w:rsidRPr="00EA59C0">
        <w:rPr>
          <w:rFonts w:ascii="Arial" w:eastAsia="Calibri" w:hAnsi="Arial"/>
          <w:sz w:val="20"/>
        </w:rPr>
        <w:t xml:space="preserve"> </w:t>
      </w:r>
      <w:r w:rsidRPr="00EA59C0">
        <w:rPr>
          <w:rFonts w:ascii="Arial" w:eastAsia="Calibri" w:hAnsi="Arial"/>
          <w:sz w:val="20"/>
        </w:rPr>
        <w:t>between</w:t>
      </w:r>
      <w:r w:rsidR="00C026A6" w:rsidRPr="00EA59C0">
        <w:rPr>
          <w:rFonts w:ascii="Arial" w:eastAsia="Calibri" w:hAnsi="Arial"/>
          <w:sz w:val="20"/>
        </w:rPr>
        <w:t xml:space="preserve"> </w:t>
      </w:r>
      <w:r w:rsidRPr="00EA59C0">
        <w:rPr>
          <w:rFonts w:ascii="Arial" w:eastAsia="Calibri" w:hAnsi="Arial"/>
          <w:sz w:val="20"/>
        </w:rPr>
        <w:t>at</w:t>
      </w:r>
      <w:r w:rsidR="00C026A6" w:rsidRPr="00EA59C0">
        <w:rPr>
          <w:rFonts w:ascii="Arial" w:eastAsia="Calibri" w:hAnsi="Arial"/>
          <w:sz w:val="20"/>
        </w:rPr>
        <w:t xml:space="preserve"> </w:t>
      </w:r>
      <w:r w:rsidRPr="00EA59C0">
        <w:rPr>
          <w:rFonts w:ascii="Arial" w:eastAsia="Calibri" w:hAnsi="Arial"/>
          <w:sz w:val="20"/>
        </w:rPr>
        <w:t>least</w:t>
      </w:r>
      <w:r w:rsidR="00C026A6" w:rsidRPr="00EA59C0">
        <w:rPr>
          <w:rFonts w:ascii="Arial" w:eastAsia="Calibri" w:hAnsi="Arial"/>
          <w:sz w:val="20"/>
        </w:rPr>
        <w:t xml:space="preserve"> </w:t>
      </w:r>
      <w:r w:rsidRPr="00EA59C0">
        <w:rPr>
          <w:rFonts w:ascii="Arial" w:eastAsia="Calibri" w:hAnsi="Arial"/>
          <w:sz w:val="20"/>
        </w:rPr>
        <w:t>one</w:t>
      </w:r>
      <w:r w:rsidR="00C026A6" w:rsidRPr="00EA59C0">
        <w:rPr>
          <w:rFonts w:ascii="Arial" w:eastAsia="Calibri" w:hAnsi="Arial"/>
          <w:sz w:val="20"/>
        </w:rPr>
        <w:t xml:space="preserve"> </w:t>
      </w:r>
      <w:r w:rsidRPr="00EA59C0">
        <w:rPr>
          <w:rFonts w:ascii="Arial" w:eastAsia="Calibri" w:hAnsi="Arial"/>
          <w:sz w:val="20"/>
        </w:rPr>
        <w:t>critical</w:t>
      </w:r>
      <w:r w:rsidR="00C026A6" w:rsidRPr="00EA59C0">
        <w:rPr>
          <w:rFonts w:ascii="Arial" w:eastAsia="Calibri" w:hAnsi="Arial"/>
          <w:sz w:val="20"/>
        </w:rPr>
        <w:t xml:space="preserve"> </w:t>
      </w:r>
      <w:r w:rsidRPr="00EA59C0">
        <w:rPr>
          <w:rFonts w:ascii="Arial" w:eastAsia="Calibri" w:hAnsi="Arial"/>
          <w:sz w:val="20"/>
        </w:rPr>
        <w:t>component</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one</w:t>
      </w:r>
      <w:r w:rsidR="00C026A6" w:rsidRPr="00EA59C0">
        <w:rPr>
          <w:rFonts w:ascii="Arial" w:eastAsia="Calibri" w:hAnsi="Arial"/>
          <w:sz w:val="20"/>
        </w:rPr>
        <w:t xml:space="preserve"> </w:t>
      </w:r>
      <w:r w:rsidRPr="00EA59C0">
        <w:rPr>
          <w:rFonts w:ascii="Arial" w:eastAsia="Calibri" w:hAnsi="Arial"/>
          <w:sz w:val="20"/>
        </w:rPr>
        <w:t>relevant</w:t>
      </w:r>
      <w:r w:rsidR="00C026A6" w:rsidRPr="00EA59C0">
        <w:rPr>
          <w:rFonts w:ascii="Arial" w:eastAsia="Calibri" w:hAnsi="Arial"/>
          <w:sz w:val="20"/>
        </w:rPr>
        <w:t xml:space="preserve"> </w:t>
      </w:r>
      <w:r w:rsidRPr="00EA59C0">
        <w:rPr>
          <w:rFonts w:ascii="Arial" w:eastAsia="Calibri" w:hAnsi="Arial"/>
          <w:sz w:val="20"/>
        </w:rPr>
        <w:t>outcome</w:t>
      </w:r>
      <w:r w:rsidR="00C026A6" w:rsidRPr="00EA59C0">
        <w:rPr>
          <w:rFonts w:ascii="Arial" w:eastAsia="Calibri" w:hAnsi="Arial"/>
          <w:sz w:val="20"/>
        </w:rPr>
        <w:t xml:space="preserve"> </w:t>
      </w:r>
      <w:r w:rsidRPr="00EA59C0">
        <w:rPr>
          <w:rFonts w:ascii="Arial" w:eastAsia="Calibri" w:hAnsi="Arial"/>
          <w:sz w:val="20"/>
        </w:rPr>
        <w:t>presented</w:t>
      </w:r>
      <w:r w:rsidR="00C026A6" w:rsidRPr="00EA59C0">
        <w:rPr>
          <w:rFonts w:ascii="Arial" w:eastAsia="Calibri" w:hAnsi="Arial"/>
          <w:sz w:val="20"/>
        </w:rPr>
        <w:t xml:space="preserve"> </w:t>
      </w:r>
      <w:r w:rsidRPr="00EA59C0">
        <w:rPr>
          <w:rFonts w:ascii="Arial" w:eastAsia="Calibri" w:hAnsi="Arial"/>
          <w:sz w:val="20"/>
        </w:rPr>
        <w:t>in</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logic</w:t>
      </w:r>
      <w:r w:rsidR="00C026A6" w:rsidRPr="00EA59C0">
        <w:rPr>
          <w:rFonts w:ascii="Arial" w:eastAsia="Calibri" w:hAnsi="Arial"/>
          <w:sz w:val="20"/>
        </w:rPr>
        <w:t xml:space="preserve"> </w:t>
      </w:r>
      <w:r w:rsidRPr="00EA59C0">
        <w:rPr>
          <w:rFonts w:ascii="Arial" w:eastAsia="Calibri" w:hAnsi="Arial"/>
          <w:sz w:val="20"/>
        </w:rPr>
        <w:t>model</w:t>
      </w:r>
      <w:r w:rsidR="00C026A6" w:rsidRPr="00EA59C0">
        <w:rPr>
          <w:rFonts w:ascii="Arial" w:eastAsia="Calibri" w:hAnsi="Arial"/>
          <w:sz w:val="20"/>
        </w:rPr>
        <w:t xml:space="preserve"> </w:t>
      </w:r>
      <w:r w:rsidRPr="00EA59C0">
        <w:rPr>
          <w:rFonts w:ascii="Arial" w:eastAsia="Calibri" w:hAnsi="Arial"/>
          <w:sz w:val="20"/>
        </w:rPr>
        <w:t>for</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proposed</w:t>
      </w:r>
      <w:r w:rsidR="00C026A6" w:rsidRPr="00EA59C0">
        <w:rPr>
          <w:rFonts w:ascii="Arial" w:eastAsia="Calibri" w:hAnsi="Arial"/>
          <w:sz w:val="20"/>
        </w:rPr>
        <w:t xml:space="preserve"> </w:t>
      </w:r>
      <w:r w:rsidRPr="00EA59C0">
        <w:rPr>
          <w:rFonts w:ascii="Arial" w:eastAsia="Calibri" w:hAnsi="Arial"/>
          <w:sz w:val="20"/>
        </w:rPr>
        <w:t>process,</w:t>
      </w:r>
      <w:r w:rsidR="00C026A6" w:rsidRPr="00EA59C0">
        <w:rPr>
          <w:rFonts w:ascii="Arial" w:eastAsia="Calibri" w:hAnsi="Arial"/>
          <w:sz w:val="20"/>
        </w:rPr>
        <w:t xml:space="preserve"> </w:t>
      </w:r>
      <w:r w:rsidRPr="00EA59C0">
        <w:rPr>
          <w:rFonts w:ascii="Arial" w:eastAsia="Calibri" w:hAnsi="Arial"/>
          <w:sz w:val="20"/>
        </w:rPr>
        <w:t>product,</w:t>
      </w:r>
      <w:r w:rsidR="00C026A6" w:rsidRPr="00EA59C0">
        <w:rPr>
          <w:rFonts w:ascii="Arial" w:eastAsia="Calibri" w:hAnsi="Arial"/>
          <w:sz w:val="20"/>
        </w:rPr>
        <w:t xml:space="preserve"> </w:t>
      </w:r>
      <w:r w:rsidRPr="00EA59C0">
        <w:rPr>
          <w:rFonts w:ascii="Arial" w:eastAsia="Calibri" w:hAnsi="Arial"/>
          <w:sz w:val="20"/>
        </w:rPr>
        <w:t>strategy,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practice.</w:t>
      </w:r>
      <w:r w:rsidR="00C026A6" w:rsidRPr="00EA59C0">
        <w:rPr>
          <w:rFonts w:ascii="Arial" w:eastAsia="Calibri" w:hAnsi="Arial"/>
          <w:sz w:val="20"/>
        </w:rPr>
        <w:t xml:space="preserve"> </w:t>
      </w:r>
    </w:p>
    <w:p w:rsidR="008826BE" w:rsidRPr="00EA59C0" w:rsidRDefault="008826BE" w:rsidP="00DB00BB">
      <w:pPr>
        <w:rPr>
          <w:rFonts w:ascii="Arial" w:eastAsia="Calibri" w:hAnsi="Arial"/>
          <w:sz w:val="20"/>
        </w:rPr>
      </w:pPr>
    </w:p>
    <w:p w:rsidR="008826BE" w:rsidRPr="00EA59C0" w:rsidRDefault="008826BE" w:rsidP="00DB00BB">
      <w:pPr>
        <w:rPr>
          <w:rFonts w:ascii="Arial" w:hAnsi="Arial"/>
          <w:sz w:val="20"/>
        </w:rPr>
      </w:pPr>
      <w:r w:rsidRPr="00EA59C0">
        <w:rPr>
          <w:rFonts w:ascii="Arial" w:hAnsi="Arial"/>
          <w:b/>
          <w:i/>
          <w:sz w:val="20"/>
          <w:u w:val="single"/>
        </w:rPr>
        <w:t>Strong</w:t>
      </w:r>
      <w:r w:rsidR="00C026A6" w:rsidRPr="00EA59C0">
        <w:rPr>
          <w:rFonts w:ascii="Arial" w:hAnsi="Arial"/>
          <w:b/>
          <w:i/>
          <w:sz w:val="20"/>
          <w:u w:val="single"/>
        </w:rPr>
        <w:t xml:space="preserve"> </w:t>
      </w:r>
      <w:r w:rsidRPr="00EA59C0">
        <w:rPr>
          <w:rFonts w:ascii="Arial" w:hAnsi="Arial"/>
          <w:b/>
          <w:i/>
          <w:sz w:val="20"/>
          <w:u w:val="single"/>
        </w:rPr>
        <w:t>theory</w:t>
      </w:r>
      <w:r w:rsidR="00C026A6" w:rsidRPr="00EA59C0">
        <w:rPr>
          <w:rFonts w:ascii="Arial" w:hAnsi="Arial"/>
          <w:sz w:val="20"/>
        </w:rPr>
        <w:t xml:space="preserve"> </w:t>
      </w:r>
      <w:r w:rsidRPr="00EA59C0">
        <w:rPr>
          <w:rFonts w:ascii="Arial" w:hAnsi="Arial"/>
          <w:sz w:val="20"/>
        </w:rPr>
        <w:t>means</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rationale</w:t>
      </w:r>
      <w:r w:rsidR="00C026A6" w:rsidRPr="00EA59C0">
        <w:rPr>
          <w:rFonts w:ascii="Arial" w:hAnsi="Arial"/>
          <w:sz w:val="20"/>
        </w:rPr>
        <w:t xml:space="preserve"> </w:t>
      </w:r>
      <w:r w:rsidRPr="00EA59C0">
        <w:rPr>
          <w:rFonts w:ascii="Arial" w:hAnsi="Arial"/>
          <w:sz w:val="20"/>
        </w:rPr>
        <w:t>for</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proposed</w:t>
      </w:r>
      <w:r w:rsidR="00C026A6" w:rsidRPr="00EA59C0">
        <w:rPr>
          <w:rFonts w:ascii="Arial" w:hAnsi="Arial"/>
          <w:sz w:val="20"/>
        </w:rPr>
        <w:t xml:space="preserve"> </w:t>
      </w:r>
      <w:r w:rsidRPr="00EA59C0">
        <w:rPr>
          <w:rFonts w:ascii="Arial" w:hAnsi="Arial"/>
          <w:sz w:val="20"/>
        </w:rPr>
        <w:t>process,</w:t>
      </w:r>
      <w:r w:rsidR="00C026A6" w:rsidRPr="00EA59C0">
        <w:rPr>
          <w:rFonts w:ascii="Arial" w:hAnsi="Arial"/>
          <w:sz w:val="20"/>
        </w:rPr>
        <w:t xml:space="preserve"> </w:t>
      </w:r>
      <w:r w:rsidRPr="00EA59C0">
        <w:rPr>
          <w:rFonts w:ascii="Arial" w:hAnsi="Arial"/>
          <w:sz w:val="20"/>
        </w:rPr>
        <w:t>product,</w:t>
      </w:r>
      <w:r w:rsidR="00C026A6" w:rsidRPr="00EA59C0">
        <w:rPr>
          <w:rFonts w:ascii="Arial" w:hAnsi="Arial"/>
          <w:sz w:val="20"/>
        </w:rPr>
        <w:t xml:space="preserve"> </w:t>
      </w:r>
      <w:r w:rsidRPr="00EA59C0">
        <w:rPr>
          <w:rFonts w:ascii="Arial" w:hAnsi="Arial"/>
          <w:sz w:val="20"/>
        </w:rPr>
        <w:t>strategy,</w:t>
      </w:r>
      <w:r w:rsidR="00C026A6" w:rsidRPr="00EA59C0">
        <w:rPr>
          <w:rFonts w:ascii="Arial" w:hAnsi="Arial"/>
          <w:sz w:val="20"/>
        </w:rPr>
        <w:t xml:space="preserve"> </w:t>
      </w:r>
      <w:r w:rsidRPr="00EA59C0">
        <w:rPr>
          <w:rFonts w:ascii="Arial" w:hAnsi="Arial"/>
          <w:sz w:val="20"/>
        </w:rPr>
        <w:t>or</w:t>
      </w:r>
      <w:r w:rsidR="00C026A6" w:rsidRPr="00EA59C0">
        <w:rPr>
          <w:rFonts w:ascii="Arial" w:hAnsi="Arial"/>
          <w:sz w:val="20"/>
        </w:rPr>
        <w:t xml:space="preserve"> </w:t>
      </w:r>
      <w:r w:rsidRPr="00EA59C0">
        <w:rPr>
          <w:rFonts w:ascii="Arial" w:hAnsi="Arial"/>
          <w:sz w:val="20"/>
        </w:rPr>
        <w:t>practice</w:t>
      </w:r>
      <w:r w:rsidR="00C026A6" w:rsidRPr="00EA59C0">
        <w:rPr>
          <w:rFonts w:ascii="Arial" w:hAnsi="Arial"/>
          <w:sz w:val="20"/>
        </w:rPr>
        <w:t xml:space="preserve"> </w:t>
      </w:r>
      <w:r w:rsidRPr="00EA59C0">
        <w:rPr>
          <w:rFonts w:ascii="Arial" w:hAnsi="Arial"/>
          <w:sz w:val="20"/>
        </w:rPr>
        <w:t>that</w:t>
      </w:r>
      <w:r w:rsidR="00C026A6" w:rsidRPr="00EA59C0">
        <w:rPr>
          <w:rFonts w:ascii="Arial" w:hAnsi="Arial"/>
          <w:sz w:val="20"/>
        </w:rPr>
        <w:t xml:space="preserve"> </w:t>
      </w:r>
      <w:r w:rsidRPr="00EA59C0">
        <w:rPr>
          <w:rFonts w:ascii="Arial" w:hAnsi="Arial"/>
          <w:sz w:val="20"/>
        </w:rPr>
        <w:t>includes</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logic</w:t>
      </w:r>
      <w:r w:rsidR="00C026A6" w:rsidRPr="00EA59C0">
        <w:rPr>
          <w:rFonts w:ascii="Arial" w:hAnsi="Arial"/>
          <w:sz w:val="20"/>
        </w:rPr>
        <w:t xml:space="preserve"> </w:t>
      </w:r>
      <w:r w:rsidRPr="00EA59C0">
        <w:rPr>
          <w:rFonts w:ascii="Arial" w:hAnsi="Arial"/>
          <w:sz w:val="20"/>
        </w:rPr>
        <w:t>model.</w:t>
      </w:r>
    </w:p>
    <w:p w:rsidR="008826BE" w:rsidRPr="00EA59C0" w:rsidRDefault="008826BE" w:rsidP="00DB00BB">
      <w:pPr>
        <w:rPr>
          <w:rFonts w:ascii="Arial" w:hAnsi="Arial"/>
          <w:sz w:val="20"/>
        </w:rPr>
      </w:pPr>
    </w:p>
    <w:p w:rsidR="008826BE" w:rsidRPr="00EA59C0" w:rsidRDefault="008826BE" w:rsidP="00DB00BB">
      <w:pPr>
        <w:rPr>
          <w:rFonts w:ascii="Arial" w:hAnsi="Arial"/>
          <w:sz w:val="18"/>
        </w:rPr>
      </w:pPr>
    </w:p>
    <w:p w:rsidR="00A43BF2" w:rsidRPr="00EA59C0" w:rsidRDefault="00A43BF2" w:rsidP="00DB00BB">
      <w:pPr>
        <w:rPr>
          <w:rFonts w:ascii="Arial" w:hAnsi="Arial" w:cs="Arial"/>
          <w:sz w:val="18"/>
          <w:szCs w:val="20"/>
        </w:rPr>
      </w:pPr>
    </w:p>
    <w:p w:rsidR="008826BE" w:rsidRPr="00EA59C0" w:rsidRDefault="008826BE" w:rsidP="00DB00BB">
      <w:pPr>
        <w:rPr>
          <w:rFonts w:ascii="Arial" w:eastAsia="Calibri" w:hAnsi="Arial"/>
          <w:b/>
          <w:sz w:val="22"/>
        </w:rPr>
      </w:pPr>
      <w:r w:rsidRPr="00EA59C0">
        <w:rPr>
          <w:rFonts w:ascii="Arial" w:eastAsia="Calibri" w:hAnsi="Arial"/>
          <w:b/>
          <w:sz w:val="22"/>
        </w:rPr>
        <w:t>Additional</w:t>
      </w:r>
      <w:r w:rsidR="00C026A6" w:rsidRPr="00EA59C0">
        <w:rPr>
          <w:rFonts w:ascii="Arial" w:eastAsia="Calibri" w:hAnsi="Arial"/>
          <w:b/>
          <w:sz w:val="22"/>
        </w:rPr>
        <w:t xml:space="preserve"> </w:t>
      </w:r>
      <w:r w:rsidRPr="00EA59C0">
        <w:rPr>
          <w:rFonts w:ascii="Arial" w:eastAsia="Calibri" w:hAnsi="Arial"/>
          <w:b/>
          <w:sz w:val="22"/>
        </w:rPr>
        <w:t>Evidence-Related</w:t>
      </w:r>
      <w:r w:rsidR="00C026A6" w:rsidRPr="00EA59C0">
        <w:rPr>
          <w:rFonts w:ascii="Arial" w:eastAsia="Calibri" w:hAnsi="Arial"/>
          <w:b/>
          <w:sz w:val="22"/>
        </w:rPr>
        <w:t xml:space="preserve"> </w:t>
      </w:r>
      <w:r w:rsidRPr="00EA59C0">
        <w:rPr>
          <w:rFonts w:ascii="Arial" w:eastAsia="Calibri" w:hAnsi="Arial"/>
          <w:b/>
          <w:sz w:val="22"/>
        </w:rPr>
        <w:t>Definitions</w:t>
      </w:r>
    </w:p>
    <w:p w:rsidR="008826BE" w:rsidRPr="00EA59C0" w:rsidRDefault="008826BE" w:rsidP="00DB00BB">
      <w:pPr>
        <w:rPr>
          <w:rFonts w:ascii="Arial" w:eastAsia="Calibri" w:hAnsi="Arial"/>
          <w:b/>
          <w:sz w:val="20"/>
        </w:rPr>
      </w:pPr>
    </w:p>
    <w:p w:rsidR="008826BE" w:rsidRPr="00EA59C0" w:rsidRDefault="008826BE" w:rsidP="00DB00BB">
      <w:pPr>
        <w:rPr>
          <w:rFonts w:ascii="Arial" w:eastAsia="Calibri" w:hAnsi="Arial"/>
          <w:sz w:val="20"/>
        </w:rPr>
      </w:pPr>
      <w:r w:rsidRPr="00EA59C0">
        <w:rPr>
          <w:rFonts w:ascii="Arial" w:eastAsia="Calibri" w:hAnsi="Arial"/>
          <w:b/>
          <w:i/>
          <w:sz w:val="20"/>
          <w:u w:val="single"/>
        </w:rPr>
        <w:t>Large</w:t>
      </w:r>
      <w:r w:rsidR="00C026A6" w:rsidRPr="00EA59C0">
        <w:rPr>
          <w:rFonts w:ascii="Arial" w:eastAsia="Calibri" w:hAnsi="Arial"/>
          <w:b/>
          <w:i/>
          <w:sz w:val="20"/>
          <w:u w:val="single"/>
        </w:rPr>
        <w:t xml:space="preserve"> </w:t>
      </w:r>
      <w:r w:rsidRPr="00EA59C0">
        <w:rPr>
          <w:rFonts w:ascii="Arial" w:eastAsia="Calibri" w:hAnsi="Arial"/>
          <w:b/>
          <w:i/>
          <w:sz w:val="20"/>
          <w:u w:val="single"/>
        </w:rPr>
        <w:t>sample</w:t>
      </w:r>
      <w:r w:rsidR="00C026A6" w:rsidRPr="00EA59C0">
        <w:rPr>
          <w:rFonts w:ascii="Arial" w:eastAsia="Calibri" w:hAnsi="Arial"/>
          <w:sz w:val="20"/>
        </w:rPr>
        <w:t xml:space="preserve"> </w:t>
      </w:r>
      <w:r w:rsidRPr="00EA59C0">
        <w:rPr>
          <w:rFonts w:ascii="Arial" w:eastAsia="Calibri" w:hAnsi="Arial"/>
          <w:sz w:val="20"/>
        </w:rPr>
        <w:t>means</w:t>
      </w:r>
      <w:r w:rsidR="00C026A6" w:rsidRPr="00EA59C0">
        <w:rPr>
          <w:rFonts w:ascii="Arial" w:eastAsia="Calibri" w:hAnsi="Arial"/>
          <w:sz w:val="20"/>
        </w:rPr>
        <w:t xml:space="preserve"> </w:t>
      </w:r>
      <w:r w:rsidRPr="00EA59C0">
        <w:rPr>
          <w:rFonts w:ascii="Arial" w:eastAsia="Calibri" w:hAnsi="Arial"/>
          <w:sz w:val="20"/>
        </w:rPr>
        <w:t>an</w:t>
      </w:r>
      <w:r w:rsidR="00C026A6" w:rsidRPr="00EA59C0">
        <w:rPr>
          <w:rFonts w:ascii="Arial" w:eastAsia="Calibri" w:hAnsi="Arial"/>
          <w:sz w:val="20"/>
        </w:rPr>
        <w:t xml:space="preserve"> </w:t>
      </w:r>
      <w:r w:rsidRPr="00EA59C0">
        <w:rPr>
          <w:rFonts w:ascii="Arial" w:eastAsia="Calibri" w:hAnsi="Arial"/>
          <w:sz w:val="20"/>
        </w:rPr>
        <w:t>analytic</w:t>
      </w:r>
      <w:r w:rsidR="00C026A6" w:rsidRPr="00EA59C0">
        <w:rPr>
          <w:rFonts w:ascii="Arial" w:eastAsia="Calibri" w:hAnsi="Arial"/>
          <w:sz w:val="20"/>
        </w:rPr>
        <w:t xml:space="preserve"> </w:t>
      </w:r>
      <w:r w:rsidRPr="00EA59C0">
        <w:rPr>
          <w:rFonts w:ascii="Arial" w:eastAsia="Calibri" w:hAnsi="Arial"/>
          <w:sz w:val="20"/>
        </w:rPr>
        <w:t>sample</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350</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more</w:t>
      </w:r>
      <w:r w:rsidR="00C026A6" w:rsidRPr="00EA59C0">
        <w:rPr>
          <w:rFonts w:ascii="Arial" w:eastAsia="Calibri" w:hAnsi="Arial"/>
          <w:sz w:val="20"/>
        </w:rPr>
        <w:t xml:space="preserve"> </w:t>
      </w:r>
      <w:r w:rsidRPr="00EA59C0">
        <w:rPr>
          <w:rFonts w:ascii="Arial" w:eastAsia="Calibri" w:hAnsi="Arial"/>
          <w:sz w:val="20"/>
        </w:rPr>
        <w:t>students</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other</w:t>
      </w:r>
      <w:r w:rsidR="00C026A6" w:rsidRPr="00EA59C0">
        <w:rPr>
          <w:rFonts w:ascii="Arial" w:eastAsia="Calibri" w:hAnsi="Arial"/>
          <w:sz w:val="20"/>
        </w:rPr>
        <w:t xml:space="preserve"> </w:t>
      </w:r>
      <w:r w:rsidRPr="00EA59C0">
        <w:rPr>
          <w:rFonts w:ascii="Arial" w:eastAsia="Calibri" w:hAnsi="Arial"/>
          <w:sz w:val="20"/>
        </w:rPr>
        <w:t>single</w:t>
      </w:r>
      <w:r w:rsidR="00C026A6" w:rsidRPr="00EA59C0">
        <w:rPr>
          <w:rFonts w:ascii="Arial" w:eastAsia="Calibri" w:hAnsi="Arial"/>
          <w:sz w:val="20"/>
        </w:rPr>
        <w:t xml:space="preserve"> </w:t>
      </w:r>
      <w:r w:rsidRPr="00EA59C0">
        <w:rPr>
          <w:rFonts w:ascii="Arial" w:eastAsia="Calibri" w:hAnsi="Arial"/>
          <w:sz w:val="20"/>
        </w:rPr>
        <w:t>analysis</w:t>
      </w:r>
      <w:r w:rsidR="00C026A6" w:rsidRPr="00EA59C0">
        <w:rPr>
          <w:rFonts w:ascii="Arial" w:eastAsia="Calibri" w:hAnsi="Arial"/>
          <w:sz w:val="20"/>
        </w:rPr>
        <w:t xml:space="preserve"> </w:t>
      </w:r>
      <w:r w:rsidRPr="00EA59C0">
        <w:rPr>
          <w:rFonts w:ascii="Arial" w:eastAsia="Calibri" w:hAnsi="Arial"/>
          <w:sz w:val="20"/>
        </w:rPr>
        <w:t>units)</w:t>
      </w:r>
      <w:r w:rsidR="00C026A6" w:rsidRPr="00EA59C0">
        <w:rPr>
          <w:rFonts w:ascii="Arial" w:eastAsia="Calibri" w:hAnsi="Arial"/>
          <w:sz w:val="20"/>
        </w:rPr>
        <w:t xml:space="preserve"> </w:t>
      </w:r>
      <w:r w:rsidRPr="00EA59C0">
        <w:rPr>
          <w:rFonts w:ascii="Arial" w:eastAsia="Calibri" w:hAnsi="Arial"/>
          <w:sz w:val="20"/>
        </w:rPr>
        <w:t>who</w:t>
      </w:r>
      <w:r w:rsidR="00C026A6" w:rsidRPr="00EA59C0">
        <w:rPr>
          <w:rFonts w:ascii="Arial" w:eastAsia="Calibri" w:hAnsi="Arial"/>
          <w:sz w:val="20"/>
        </w:rPr>
        <w:t xml:space="preserve"> </w:t>
      </w:r>
      <w:r w:rsidRPr="00EA59C0">
        <w:rPr>
          <w:rFonts w:ascii="Arial" w:eastAsia="Calibri" w:hAnsi="Arial"/>
          <w:sz w:val="20"/>
        </w:rPr>
        <w:t>were</w:t>
      </w:r>
      <w:r w:rsidR="00C026A6" w:rsidRPr="00EA59C0">
        <w:rPr>
          <w:rFonts w:ascii="Arial" w:eastAsia="Calibri" w:hAnsi="Arial"/>
          <w:sz w:val="20"/>
        </w:rPr>
        <w:t xml:space="preserve"> </w:t>
      </w:r>
      <w:r w:rsidRPr="00EA59C0">
        <w:rPr>
          <w:rFonts w:ascii="Arial" w:eastAsia="Calibri" w:hAnsi="Arial"/>
          <w:sz w:val="20"/>
        </w:rPr>
        <w:t>randomly</w:t>
      </w:r>
      <w:r w:rsidR="00C026A6" w:rsidRPr="00EA59C0">
        <w:rPr>
          <w:rFonts w:ascii="Arial" w:eastAsia="Calibri" w:hAnsi="Arial"/>
          <w:sz w:val="20"/>
        </w:rPr>
        <w:t xml:space="preserve"> </w:t>
      </w:r>
      <w:r w:rsidRPr="00EA59C0">
        <w:rPr>
          <w:rFonts w:ascii="Arial" w:eastAsia="Calibri" w:hAnsi="Arial"/>
          <w:sz w:val="20"/>
        </w:rPr>
        <w:t>assigned</w:t>
      </w:r>
      <w:r w:rsidR="00C026A6" w:rsidRPr="00EA59C0">
        <w:rPr>
          <w:rFonts w:ascii="Arial" w:eastAsia="Calibri" w:hAnsi="Arial"/>
          <w:sz w:val="20"/>
        </w:rPr>
        <w:t xml:space="preserve"> </w:t>
      </w:r>
      <w:r w:rsidRPr="00EA59C0">
        <w:rPr>
          <w:rFonts w:ascii="Arial" w:eastAsia="Calibri" w:hAnsi="Arial"/>
          <w:sz w:val="20"/>
        </w:rPr>
        <w:t>to</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treatment</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control</w:t>
      </w:r>
      <w:r w:rsidR="00C026A6" w:rsidRPr="00EA59C0">
        <w:rPr>
          <w:rFonts w:ascii="Arial" w:eastAsia="Calibri" w:hAnsi="Arial"/>
          <w:sz w:val="20"/>
        </w:rPr>
        <w:t xml:space="preserve"> </w:t>
      </w:r>
      <w:r w:rsidRPr="00EA59C0">
        <w:rPr>
          <w:rFonts w:ascii="Arial" w:eastAsia="Calibri" w:hAnsi="Arial"/>
          <w:sz w:val="20"/>
        </w:rPr>
        <w:t>group</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50</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more</w:t>
      </w:r>
      <w:r w:rsidR="00C026A6" w:rsidRPr="00EA59C0">
        <w:rPr>
          <w:rFonts w:ascii="Arial" w:eastAsia="Calibri" w:hAnsi="Arial"/>
          <w:sz w:val="20"/>
        </w:rPr>
        <w:t xml:space="preserve"> </w:t>
      </w:r>
      <w:r w:rsidRPr="00EA59C0">
        <w:rPr>
          <w:rFonts w:ascii="Arial" w:eastAsia="Calibri" w:hAnsi="Arial"/>
          <w:sz w:val="20"/>
        </w:rPr>
        <w:t>groups</w:t>
      </w:r>
      <w:r w:rsidR="00C026A6" w:rsidRPr="00EA59C0">
        <w:rPr>
          <w:rFonts w:ascii="Arial" w:eastAsia="Calibri" w:hAnsi="Arial"/>
          <w:sz w:val="20"/>
        </w:rPr>
        <w:t xml:space="preserve"> </w:t>
      </w:r>
      <w:r w:rsidRPr="00EA59C0">
        <w:rPr>
          <w:rFonts w:ascii="Arial" w:eastAsia="Calibri" w:hAnsi="Arial"/>
          <w:sz w:val="20"/>
        </w:rPr>
        <w:t>(such</w:t>
      </w:r>
      <w:r w:rsidR="00C026A6" w:rsidRPr="00EA59C0">
        <w:rPr>
          <w:rFonts w:ascii="Arial" w:eastAsia="Calibri" w:hAnsi="Arial"/>
          <w:sz w:val="20"/>
        </w:rPr>
        <w:t xml:space="preserve"> </w:t>
      </w:r>
      <w:r w:rsidRPr="00EA59C0">
        <w:rPr>
          <w:rFonts w:ascii="Arial" w:eastAsia="Calibri" w:hAnsi="Arial"/>
          <w:sz w:val="20"/>
        </w:rPr>
        <w:t>as</w:t>
      </w:r>
      <w:r w:rsidR="00C026A6" w:rsidRPr="00EA59C0">
        <w:rPr>
          <w:rFonts w:ascii="Arial" w:eastAsia="Calibri" w:hAnsi="Arial"/>
          <w:sz w:val="20"/>
        </w:rPr>
        <w:t xml:space="preserve"> </w:t>
      </w:r>
      <w:r w:rsidRPr="00EA59C0">
        <w:rPr>
          <w:rFonts w:ascii="Arial" w:eastAsia="Calibri" w:hAnsi="Arial"/>
          <w:sz w:val="20"/>
        </w:rPr>
        <w:t>classrooms</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schools)</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contain</w:t>
      </w:r>
      <w:r w:rsidR="00C026A6" w:rsidRPr="00EA59C0">
        <w:rPr>
          <w:rFonts w:ascii="Arial" w:eastAsia="Calibri" w:hAnsi="Arial"/>
          <w:sz w:val="20"/>
        </w:rPr>
        <w:t xml:space="preserve"> </w:t>
      </w:r>
      <w:r w:rsidRPr="00EA59C0">
        <w:rPr>
          <w:rFonts w:ascii="Arial" w:eastAsia="Calibri" w:hAnsi="Arial"/>
          <w:sz w:val="20"/>
        </w:rPr>
        <w:t>10</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more</w:t>
      </w:r>
      <w:r w:rsidR="00C026A6" w:rsidRPr="00EA59C0">
        <w:rPr>
          <w:rFonts w:ascii="Arial" w:eastAsia="Calibri" w:hAnsi="Arial"/>
          <w:sz w:val="20"/>
        </w:rPr>
        <w:t xml:space="preserve"> </w:t>
      </w:r>
      <w:r w:rsidRPr="00EA59C0">
        <w:rPr>
          <w:rFonts w:ascii="Arial" w:eastAsia="Calibri" w:hAnsi="Arial"/>
          <w:sz w:val="20"/>
        </w:rPr>
        <w:t>students</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other</w:t>
      </w:r>
      <w:r w:rsidR="00C026A6" w:rsidRPr="00EA59C0">
        <w:rPr>
          <w:rFonts w:ascii="Arial" w:eastAsia="Calibri" w:hAnsi="Arial"/>
          <w:sz w:val="20"/>
        </w:rPr>
        <w:t xml:space="preserve"> </w:t>
      </w:r>
      <w:r w:rsidRPr="00EA59C0">
        <w:rPr>
          <w:rFonts w:ascii="Arial" w:eastAsia="Calibri" w:hAnsi="Arial"/>
          <w:sz w:val="20"/>
        </w:rPr>
        <w:t>single</w:t>
      </w:r>
      <w:r w:rsidR="00C026A6" w:rsidRPr="00EA59C0">
        <w:rPr>
          <w:rFonts w:ascii="Arial" w:eastAsia="Calibri" w:hAnsi="Arial"/>
          <w:sz w:val="20"/>
        </w:rPr>
        <w:t xml:space="preserve"> </w:t>
      </w:r>
      <w:r w:rsidRPr="00EA59C0">
        <w:rPr>
          <w:rFonts w:ascii="Arial" w:eastAsia="Calibri" w:hAnsi="Arial"/>
          <w:sz w:val="20"/>
        </w:rPr>
        <w:t>analysis</w:t>
      </w:r>
      <w:r w:rsidR="00C026A6" w:rsidRPr="00EA59C0">
        <w:rPr>
          <w:rFonts w:ascii="Arial" w:eastAsia="Calibri" w:hAnsi="Arial"/>
          <w:sz w:val="20"/>
        </w:rPr>
        <w:t xml:space="preserve"> </w:t>
      </w:r>
      <w:r w:rsidRPr="00EA59C0">
        <w:rPr>
          <w:rFonts w:ascii="Arial" w:eastAsia="Calibri" w:hAnsi="Arial"/>
          <w:sz w:val="20"/>
        </w:rPr>
        <w:t>units)</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were</w:t>
      </w:r>
      <w:r w:rsidR="00C026A6" w:rsidRPr="00EA59C0">
        <w:rPr>
          <w:rFonts w:ascii="Arial" w:eastAsia="Calibri" w:hAnsi="Arial"/>
          <w:sz w:val="20"/>
        </w:rPr>
        <w:t xml:space="preserve"> </w:t>
      </w:r>
      <w:r w:rsidRPr="00EA59C0">
        <w:rPr>
          <w:rFonts w:ascii="Arial" w:eastAsia="Calibri" w:hAnsi="Arial"/>
          <w:sz w:val="20"/>
        </w:rPr>
        <w:t>randomly</w:t>
      </w:r>
      <w:r w:rsidR="00C026A6" w:rsidRPr="00EA59C0">
        <w:rPr>
          <w:rFonts w:ascii="Arial" w:eastAsia="Calibri" w:hAnsi="Arial"/>
          <w:sz w:val="20"/>
        </w:rPr>
        <w:t xml:space="preserve"> </w:t>
      </w:r>
      <w:r w:rsidRPr="00EA59C0">
        <w:rPr>
          <w:rFonts w:ascii="Arial" w:eastAsia="Calibri" w:hAnsi="Arial"/>
          <w:sz w:val="20"/>
        </w:rPr>
        <w:t>assigned</w:t>
      </w:r>
      <w:r w:rsidR="00C026A6" w:rsidRPr="00EA59C0">
        <w:rPr>
          <w:rFonts w:ascii="Arial" w:eastAsia="Calibri" w:hAnsi="Arial"/>
          <w:sz w:val="20"/>
        </w:rPr>
        <w:t xml:space="preserve"> </w:t>
      </w:r>
      <w:r w:rsidRPr="00EA59C0">
        <w:rPr>
          <w:rFonts w:ascii="Arial" w:eastAsia="Calibri" w:hAnsi="Arial"/>
          <w:sz w:val="20"/>
        </w:rPr>
        <w:t>to</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treatment</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control</w:t>
      </w:r>
      <w:r w:rsidR="00C026A6" w:rsidRPr="00EA59C0">
        <w:rPr>
          <w:rFonts w:ascii="Arial" w:eastAsia="Calibri" w:hAnsi="Arial"/>
          <w:sz w:val="20"/>
        </w:rPr>
        <w:t xml:space="preserve"> </w:t>
      </w:r>
      <w:r w:rsidRPr="00EA59C0">
        <w:rPr>
          <w:rFonts w:ascii="Arial" w:eastAsia="Calibri" w:hAnsi="Arial"/>
          <w:sz w:val="20"/>
        </w:rPr>
        <w:t>group.</w:t>
      </w:r>
      <w:r w:rsidR="00C026A6" w:rsidRPr="00EA59C0">
        <w:rPr>
          <w:rFonts w:ascii="Arial" w:eastAsia="Calibri" w:hAnsi="Arial"/>
          <w:sz w:val="20"/>
        </w:rPr>
        <w:t xml:space="preserve"> </w:t>
      </w:r>
    </w:p>
    <w:p w:rsidR="008826BE" w:rsidRPr="00EA59C0" w:rsidRDefault="008826BE" w:rsidP="00DB00BB">
      <w:pPr>
        <w:rPr>
          <w:rFonts w:ascii="Arial" w:eastAsia="Calibri" w:hAnsi="Arial"/>
          <w:sz w:val="20"/>
        </w:rPr>
      </w:pPr>
    </w:p>
    <w:p w:rsidR="008826BE" w:rsidRPr="00EA59C0" w:rsidRDefault="008826BE" w:rsidP="00DB00BB">
      <w:pPr>
        <w:rPr>
          <w:rFonts w:ascii="Arial" w:eastAsia="Calibri" w:hAnsi="Arial"/>
          <w:sz w:val="20"/>
        </w:rPr>
      </w:pPr>
      <w:r w:rsidRPr="00EA59C0">
        <w:rPr>
          <w:rFonts w:ascii="Arial" w:eastAsia="Calibri" w:hAnsi="Arial"/>
          <w:b/>
          <w:i/>
          <w:sz w:val="20"/>
          <w:u w:val="single"/>
        </w:rPr>
        <w:t>Logic</w:t>
      </w:r>
      <w:r w:rsidR="00C026A6" w:rsidRPr="00EA59C0">
        <w:rPr>
          <w:rFonts w:ascii="Arial" w:eastAsia="Calibri" w:hAnsi="Arial"/>
          <w:b/>
          <w:i/>
          <w:sz w:val="20"/>
          <w:u w:val="single"/>
        </w:rPr>
        <w:t xml:space="preserve"> </w:t>
      </w:r>
      <w:r w:rsidRPr="00EA59C0">
        <w:rPr>
          <w:rFonts w:ascii="Arial" w:eastAsia="Calibri" w:hAnsi="Arial"/>
          <w:b/>
          <w:i/>
          <w:sz w:val="20"/>
          <w:u w:val="single"/>
        </w:rPr>
        <w:t>model</w:t>
      </w:r>
      <w:r w:rsidR="00C026A6" w:rsidRPr="00EA59C0">
        <w:rPr>
          <w:rFonts w:ascii="Arial" w:eastAsia="Calibri" w:hAnsi="Arial"/>
          <w:sz w:val="20"/>
        </w:rPr>
        <w:t xml:space="preserve"> </w:t>
      </w:r>
      <w:r w:rsidRPr="00EA59C0">
        <w:rPr>
          <w:rFonts w:ascii="Arial" w:eastAsia="Calibri" w:hAnsi="Arial"/>
          <w:sz w:val="20"/>
        </w:rPr>
        <w:t>(also</w:t>
      </w:r>
      <w:r w:rsidR="00C026A6" w:rsidRPr="00EA59C0">
        <w:rPr>
          <w:rFonts w:ascii="Arial" w:eastAsia="Calibri" w:hAnsi="Arial"/>
          <w:sz w:val="20"/>
        </w:rPr>
        <w:t xml:space="preserve"> </w:t>
      </w:r>
      <w:r w:rsidRPr="00EA59C0">
        <w:rPr>
          <w:rFonts w:ascii="Arial" w:eastAsia="Calibri" w:hAnsi="Arial"/>
          <w:sz w:val="20"/>
        </w:rPr>
        <w:t>referred</w:t>
      </w:r>
      <w:r w:rsidR="00C026A6" w:rsidRPr="00EA59C0">
        <w:rPr>
          <w:rFonts w:ascii="Arial" w:eastAsia="Calibri" w:hAnsi="Arial"/>
          <w:sz w:val="20"/>
        </w:rPr>
        <w:t xml:space="preserve"> </w:t>
      </w:r>
      <w:r w:rsidRPr="00EA59C0">
        <w:rPr>
          <w:rFonts w:ascii="Arial" w:eastAsia="Calibri" w:hAnsi="Arial"/>
          <w:sz w:val="20"/>
        </w:rPr>
        <w:t>to</w:t>
      </w:r>
      <w:r w:rsidR="00C026A6" w:rsidRPr="00EA59C0">
        <w:rPr>
          <w:rFonts w:ascii="Arial" w:eastAsia="Calibri" w:hAnsi="Arial"/>
          <w:sz w:val="20"/>
        </w:rPr>
        <w:t xml:space="preserve"> </w:t>
      </w:r>
      <w:r w:rsidRPr="00EA59C0">
        <w:rPr>
          <w:rFonts w:ascii="Arial" w:eastAsia="Calibri" w:hAnsi="Arial"/>
          <w:sz w:val="20"/>
        </w:rPr>
        <w:t>as</w:t>
      </w:r>
      <w:r w:rsidR="00C026A6" w:rsidRPr="00EA59C0">
        <w:rPr>
          <w:rFonts w:ascii="Arial" w:eastAsia="Calibri" w:hAnsi="Arial"/>
          <w:sz w:val="20"/>
        </w:rPr>
        <w:t xml:space="preserve"> </w:t>
      </w:r>
      <w:r w:rsidRPr="00EA59C0">
        <w:rPr>
          <w:rFonts w:ascii="Arial" w:eastAsia="Calibri" w:hAnsi="Arial"/>
          <w:sz w:val="20"/>
        </w:rPr>
        <w:t>theory</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action)</w:t>
      </w:r>
      <w:r w:rsidR="00C026A6" w:rsidRPr="00EA59C0">
        <w:rPr>
          <w:rFonts w:ascii="Arial" w:eastAsia="Calibri" w:hAnsi="Arial"/>
          <w:sz w:val="20"/>
        </w:rPr>
        <w:t xml:space="preserve"> </w:t>
      </w:r>
      <w:r w:rsidRPr="00EA59C0">
        <w:rPr>
          <w:rFonts w:ascii="Arial" w:eastAsia="Calibri" w:hAnsi="Arial"/>
          <w:sz w:val="20"/>
        </w:rPr>
        <w:t>means</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well-specified</w:t>
      </w:r>
      <w:r w:rsidR="00C026A6" w:rsidRPr="00EA59C0">
        <w:rPr>
          <w:rFonts w:ascii="Arial" w:eastAsia="Calibri" w:hAnsi="Arial"/>
          <w:sz w:val="20"/>
        </w:rPr>
        <w:t xml:space="preserve"> </w:t>
      </w:r>
      <w:r w:rsidRPr="00EA59C0">
        <w:rPr>
          <w:rFonts w:ascii="Arial" w:eastAsia="Calibri" w:hAnsi="Arial"/>
          <w:sz w:val="20"/>
        </w:rPr>
        <w:t>conceptual</w:t>
      </w:r>
      <w:r w:rsidR="00C026A6" w:rsidRPr="00EA59C0">
        <w:rPr>
          <w:rFonts w:ascii="Arial" w:eastAsia="Calibri" w:hAnsi="Arial"/>
          <w:sz w:val="20"/>
        </w:rPr>
        <w:t xml:space="preserve"> </w:t>
      </w:r>
      <w:r w:rsidRPr="00EA59C0">
        <w:rPr>
          <w:rFonts w:ascii="Arial" w:eastAsia="Calibri" w:hAnsi="Arial"/>
          <w:sz w:val="20"/>
        </w:rPr>
        <w:t>framework</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identifies</w:t>
      </w:r>
      <w:r w:rsidR="00C026A6" w:rsidRPr="00EA59C0">
        <w:rPr>
          <w:rFonts w:ascii="Arial" w:eastAsia="Calibri" w:hAnsi="Arial"/>
          <w:sz w:val="20"/>
        </w:rPr>
        <w:t xml:space="preserve"> </w:t>
      </w:r>
      <w:r w:rsidRPr="00EA59C0">
        <w:rPr>
          <w:rFonts w:ascii="Arial" w:eastAsia="Calibri" w:hAnsi="Arial"/>
          <w:sz w:val="20"/>
        </w:rPr>
        <w:t>key</w:t>
      </w:r>
      <w:r w:rsidR="00C026A6" w:rsidRPr="00EA59C0">
        <w:rPr>
          <w:rFonts w:ascii="Arial" w:eastAsia="Calibri" w:hAnsi="Arial"/>
          <w:sz w:val="20"/>
        </w:rPr>
        <w:t xml:space="preserve"> </w:t>
      </w:r>
      <w:r w:rsidRPr="00EA59C0">
        <w:rPr>
          <w:rFonts w:ascii="Arial" w:eastAsia="Calibri" w:hAnsi="Arial"/>
          <w:sz w:val="20"/>
        </w:rPr>
        <w:t>components</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proposed</w:t>
      </w:r>
      <w:r w:rsidR="00C026A6" w:rsidRPr="00EA59C0">
        <w:rPr>
          <w:rFonts w:ascii="Arial" w:eastAsia="Calibri" w:hAnsi="Arial"/>
          <w:sz w:val="20"/>
        </w:rPr>
        <w:t xml:space="preserve"> </w:t>
      </w:r>
      <w:r w:rsidRPr="00EA59C0">
        <w:rPr>
          <w:rFonts w:ascii="Arial" w:eastAsia="Calibri" w:hAnsi="Arial"/>
          <w:sz w:val="20"/>
        </w:rPr>
        <w:t>process,</w:t>
      </w:r>
      <w:r w:rsidR="00C026A6" w:rsidRPr="00EA59C0">
        <w:rPr>
          <w:rFonts w:ascii="Arial" w:eastAsia="Calibri" w:hAnsi="Arial"/>
          <w:sz w:val="20"/>
        </w:rPr>
        <w:t xml:space="preserve"> </w:t>
      </w:r>
      <w:r w:rsidRPr="00EA59C0">
        <w:rPr>
          <w:rFonts w:ascii="Arial" w:eastAsia="Calibri" w:hAnsi="Arial"/>
          <w:sz w:val="20"/>
        </w:rPr>
        <w:t>product,</w:t>
      </w:r>
      <w:r w:rsidR="00C026A6" w:rsidRPr="00EA59C0">
        <w:rPr>
          <w:rFonts w:ascii="Arial" w:eastAsia="Calibri" w:hAnsi="Arial"/>
          <w:sz w:val="20"/>
        </w:rPr>
        <w:t xml:space="preserve"> </w:t>
      </w:r>
      <w:r w:rsidRPr="00EA59C0">
        <w:rPr>
          <w:rFonts w:ascii="Arial" w:eastAsia="Calibri" w:hAnsi="Arial"/>
          <w:sz w:val="20"/>
        </w:rPr>
        <w:t>strategy,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practice</w:t>
      </w:r>
      <w:r w:rsidR="00C026A6" w:rsidRPr="00EA59C0">
        <w:rPr>
          <w:rFonts w:ascii="Arial" w:eastAsia="Calibri" w:hAnsi="Arial"/>
          <w:sz w:val="20"/>
        </w:rPr>
        <w:t xml:space="preserve"> </w:t>
      </w:r>
      <w:r w:rsidRPr="00EA59C0">
        <w:rPr>
          <w:rFonts w:ascii="Arial" w:eastAsia="Calibri" w:hAnsi="Arial"/>
          <w:sz w:val="20"/>
        </w:rPr>
        <w:t>(i.e.,</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active</w:t>
      </w:r>
      <w:r w:rsidR="00C026A6" w:rsidRPr="00EA59C0">
        <w:rPr>
          <w:rFonts w:ascii="Arial" w:eastAsia="Calibri" w:hAnsi="Arial"/>
          <w:sz w:val="20"/>
        </w:rPr>
        <w:t xml:space="preserve"> </w:t>
      </w:r>
      <w:r w:rsidRPr="00EA59C0">
        <w:rPr>
          <w:rFonts w:ascii="Arial" w:eastAsia="Calibri" w:hAnsi="Arial"/>
          <w:sz w:val="20"/>
        </w:rPr>
        <w:t>“ingredients”</w:t>
      </w:r>
      <w:r w:rsidR="00C026A6" w:rsidRPr="00EA59C0">
        <w:rPr>
          <w:rFonts w:ascii="Arial" w:eastAsia="Calibri" w:hAnsi="Arial"/>
          <w:sz w:val="20"/>
        </w:rPr>
        <w:t xml:space="preserve"> </w:t>
      </w:r>
      <w:r w:rsidRPr="00EA59C0">
        <w:rPr>
          <w:rFonts w:ascii="Arial" w:eastAsia="Calibri" w:hAnsi="Arial"/>
          <w:sz w:val="20"/>
        </w:rPr>
        <w:t>that</w:t>
      </w:r>
      <w:r w:rsidR="00C026A6" w:rsidRPr="00EA59C0">
        <w:rPr>
          <w:rFonts w:ascii="Arial" w:eastAsia="Calibri" w:hAnsi="Arial"/>
          <w:sz w:val="20"/>
        </w:rPr>
        <w:t xml:space="preserve"> </w:t>
      </w:r>
      <w:r w:rsidRPr="00EA59C0">
        <w:rPr>
          <w:rFonts w:ascii="Arial" w:eastAsia="Calibri" w:hAnsi="Arial"/>
          <w:sz w:val="20"/>
        </w:rPr>
        <w:t>are</w:t>
      </w:r>
      <w:r w:rsidR="00C026A6" w:rsidRPr="00EA59C0">
        <w:rPr>
          <w:rFonts w:ascii="Arial" w:eastAsia="Calibri" w:hAnsi="Arial"/>
          <w:sz w:val="20"/>
        </w:rPr>
        <w:t xml:space="preserve"> </w:t>
      </w:r>
      <w:r w:rsidRPr="00EA59C0">
        <w:rPr>
          <w:rFonts w:ascii="Arial" w:eastAsia="Calibri" w:hAnsi="Arial"/>
          <w:sz w:val="20"/>
        </w:rPr>
        <w:t>hypothesized</w:t>
      </w:r>
      <w:r w:rsidR="00C026A6" w:rsidRPr="00EA59C0">
        <w:rPr>
          <w:rFonts w:ascii="Arial" w:eastAsia="Calibri" w:hAnsi="Arial"/>
          <w:sz w:val="20"/>
        </w:rPr>
        <w:t xml:space="preserve"> </w:t>
      </w:r>
      <w:r w:rsidRPr="00EA59C0">
        <w:rPr>
          <w:rFonts w:ascii="Arial" w:eastAsia="Calibri" w:hAnsi="Arial"/>
          <w:sz w:val="20"/>
        </w:rPr>
        <w:t>to</w:t>
      </w:r>
      <w:r w:rsidR="00C026A6" w:rsidRPr="00EA59C0">
        <w:rPr>
          <w:rFonts w:ascii="Arial" w:eastAsia="Calibri" w:hAnsi="Arial"/>
          <w:sz w:val="20"/>
        </w:rPr>
        <w:t xml:space="preserve"> </w:t>
      </w:r>
      <w:r w:rsidRPr="00EA59C0">
        <w:rPr>
          <w:rFonts w:ascii="Arial" w:eastAsia="Calibri" w:hAnsi="Arial"/>
          <w:sz w:val="20"/>
        </w:rPr>
        <w:t>be</w:t>
      </w:r>
      <w:r w:rsidR="00C026A6" w:rsidRPr="00EA59C0">
        <w:rPr>
          <w:rFonts w:ascii="Arial" w:eastAsia="Calibri" w:hAnsi="Arial"/>
          <w:sz w:val="20"/>
        </w:rPr>
        <w:t xml:space="preserve"> </w:t>
      </w:r>
      <w:r w:rsidRPr="00EA59C0">
        <w:rPr>
          <w:rFonts w:ascii="Arial" w:eastAsia="Calibri" w:hAnsi="Arial"/>
          <w:sz w:val="20"/>
        </w:rPr>
        <w:t>critical</w:t>
      </w:r>
      <w:r w:rsidR="00C026A6" w:rsidRPr="00EA59C0">
        <w:rPr>
          <w:rFonts w:ascii="Arial" w:eastAsia="Calibri" w:hAnsi="Arial"/>
          <w:sz w:val="20"/>
        </w:rPr>
        <w:t xml:space="preserve"> </w:t>
      </w:r>
      <w:r w:rsidRPr="00EA59C0">
        <w:rPr>
          <w:rFonts w:ascii="Arial" w:eastAsia="Calibri" w:hAnsi="Arial"/>
          <w:sz w:val="20"/>
        </w:rPr>
        <w:t>to</w:t>
      </w:r>
      <w:r w:rsidR="00C026A6" w:rsidRPr="00EA59C0">
        <w:rPr>
          <w:rFonts w:ascii="Arial" w:eastAsia="Calibri" w:hAnsi="Arial"/>
          <w:sz w:val="20"/>
        </w:rPr>
        <w:t xml:space="preserve"> </w:t>
      </w:r>
      <w:r w:rsidRPr="00EA59C0">
        <w:rPr>
          <w:rFonts w:ascii="Arial" w:eastAsia="Calibri" w:hAnsi="Arial"/>
          <w:sz w:val="20"/>
        </w:rPr>
        <w:t>achieving</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relevant</w:t>
      </w:r>
      <w:r w:rsidR="00C026A6" w:rsidRPr="00EA59C0">
        <w:rPr>
          <w:rFonts w:ascii="Arial" w:eastAsia="Calibri" w:hAnsi="Arial"/>
          <w:sz w:val="20"/>
        </w:rPr>
        <w:t xml:space="preserve"> </w:t>
      </w:r>
      <w:r w:rsidRPr="00EA59C0">
        <w:rPr>
          <w:rFonts w:ascii="Arial" w:eastAsia="Calibri" w:hAnsi="Arial"/>
          <w:sz w:val="20"/>
        </w:rPr>
        <w:t>outcomes)</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describes</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relationships</w:t>
      </w:r>
      <w:r w:rsidR="00C026A6" w:rsidRPr="00EA59C0">
        <w:rPr>
          <w:rFonts w:ascii="Arial" w:eastAsia="Calibri" w:hAnsi="Arial"/>
          <w:sz w:val="20"/>
        </w:rPr>
        <w:t xml:space="preserve"> </w:t>
      </w:r>
      <w:r w:rsidRPr="00EA59C0">
        <w:rPr>
          <w:rFonts w:ascii="Arial" w:eastAsia="Calibri" w:hAnsi="Arial"/>
          <w:sz w:val="20"/>
        </w:rPr>
        <w:t>among</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key</w:t>
      </w:r>
      <w:r w:rsidR="00C026A6" w:rsidRPr="00EA59C0">
        <w:rPr>
          <w:rFonts w:ascii="Arial" w:eastAsia="Calibri" w:hAnsi="Arial"/>
          <w:sz w:val="20"/>
        </w:rPr>
        <w:t xml:space="preserve"> </w:t>
      </w:r>
      <w:r w:rsidRPr="00EA59C0">
        <w:rPr>
          <w:rFonts w:ascii="Arial" w:eastAsia="Calibri" w:hAnsi="Arial"/>
          <w:sz w:val="20"/>
        </w:rPr>
        <w:t>components</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outcomes,</w:t>
      </w:r>
      <w:r w:rsidR="00C026A6" w:rsidRPr="00EA59C0">
        <w:rPr>
          <w:rFonts w:ascii="Arial" w:eastAsia="Calibri" w:hAnsi="Arial"/>
          <w:sz w:val="20"/>
        </w:rPr>
        <w:t xml:space="preserve"> </w:t>
      </w:r>
      <w:r w:rsidRPr="00EA59C0">
        <w:rPr>
          <w:rFonts w:ascii="Arial" w:eastAsia="Calibri" w:hAnsi="Arial"/>
          <w:sz w:val="20"/>
        </w:rPr>
        <w:t>theoretically</w:t>
      </w:r>
      <w:r w:rsidR="00C026A6" w:rsidRPr="00EA59C0">
        <w:rPr>
          <w:rFonts w:ascii="Arial" w:eastAsia="Calibri" w:hAnsi="Arial"/>
          <w:sz w:val="20"/>
        </w:rPr>
        <w:t xml:space="preserve"> </w:t>
      </w:r>
      <w:r w:rsidRPr="00EA59C0">
        <w:rPr>
          <w:rFonts w:ascii="Arial" w:eastAsia="Calibri" w:hAnsi="Arial"/>
          <w:sz w:val="20"/>
        </w:rPr>
        <w:t>and</w:t>
      </w:r>
      <w:r w:rsidR="00C026A6" w:rsidRPr="00EA59C0">
        <w:rPr>
          <w:rFonts w:ascii="Arial" w:eastAsia="Calibri" w:hAnsi="Arial"/>
          <w:sz w:val="20"/>
        </w:rPr>
        <w:t xml:space="preserve"> </w:t>
      </w:r>
      <w:r w:rsidRPr="00EA59C0">
        <w:rPr>
          <w:rFonts w:ascii="Arial" w:eastAsia="Calibri" w:hAnsi="Arial"/>
          <w:sz w:val="20"/>
        </w:rPr>
        <w:t>operationally.</w:t>
      </w:r>
    </w:p>
    <w:p w:rsidR="008826BE" w:rsidRPr="00EA59C0" w:rsidRDefault="008826BE" w:rsidP="00DB00BB">
      <w:pPr>
        <w:autoSpaceDE w:val="0"/>
        <w:autoSpaceDN w:val="0"/>
        <w:rPr>
          <w:rFonts w:ascii="Arial" w:eastAsia="Calibri" w:hAnsi="Arial"/>
          <w:sz w:val="20"/>
        </w:rPr>
      </w:pPr>
    </w:p>
    <w:p w:rsidR="008826BE" w:rsidRPr="00EA59C0" w:rsidRDefault="008826BE" w:rsidP="00DB00BB">
      <w:pPr>
        <w:autoSpaceDE w:val="0"/>
        <w:autoSpaceDN w:val="0"/>
        <w:rPr>
          <w:rFonts w:ascii="Arial" w:eastAsia="Calibri" w:hAnsi="Arial"/>
          <w:sz w:val="20"/>
        </w:rPr>
      </w:pPr>
      <w:r w:rsidRPr="00EA59C0">
        <w:rPr>
          <w:rFonts w:ascii="Arial" w:eastAsia="Calibri" w:hAnsi="Arial"/>
          <w:b/>
          <w:i/>
          <w:sz w:val="20"/>
          <w:u w:val="single"/>
        </w:rPr>
        <w:t>Multi-site</w:t>
      </w:r>
      <w:r w:rsidR="00C026A6" w:rsidRPr="00EA59C0">
        <w:rPr>
          <w:rFonts w:ascii="Arial" w:eastAsia="Calibri" w:hAnsi="Arial"/>
          <w:b/>
          <w:i/>
          <w:sz w:val="20"/>
          <w:u w:val="single"/>
        </w:rPr>
        <w:t xml:space="preserve"> </w:t>
      </w:r>
      <w:r w:rsidRPr="00EA59C0">
        <w:rPr>
          <w:rFonts w:ascii="Arial" w:eastAsia="Calibri" w:hAnsi="Arial"/>
          <w:b/>
          <w:i/>
          <w:sz w:val="20"/>
          <w:u w:val="single"/>
        </w:rPr>
        <w:t>sample</w:t>
      </w:r>
      <w:r w:rsidR="00C026A6" w:rsidRPr="00EA59C0">
        <w:rPr>
          <w:rFonts w:ascii="Arial" w:eastAsia="Calibri" w:hAnsi="Arial"/>
          <w:sz w:val="20"/>
        </w:rPr>
        <w:t xml:space="preserve"> </w:t>
      </w:r>
      <w:r w:rsidRPr="00EA59C0">
        <w:rPr>
          <w:rFonts w:ascii="Arial" w:eastAsia="Calibri" w:hAnsi="Arial"/>
          <w:sz w:val="20"/>
        </w:rPr>
        <w:t>means</w:t>
      </w:r>
      <w:r w:rsidR="00C026A6" w:rsidRPr="00EA59C0">
        <w:rPr>
          <w:rFonts w:ascii="Arial" w:eastAsia="Calibri" w:hAnsi="Arial"/>
          <w:sz w:val="20"/>
        </w:rPr>
        <w:t xml:space="preserve"> </w:t>
      </w:r>
      <w:r w:rsidRPr="00EA59C0">
        <w:rPr>
          <w:rFonts w:ascii="Arial" w:eastAsia="Calibri" w:hAnsi="Arial"/>
          <w:sz w:val="20"/>
        </w:rPr>
        <w:t>more</w:t>
      </w:r>
      <w:r w:rsidR="00C026A6" w:rsidRPr="00EA59C0">
        <w:rPr>
          <w:rFonts w:ascii="Arial" w:eastAsia="Calibri" w:hAnsi="Arial"/>
          <w:sz w:val="20"/>
        </w:rPr>
        <w:t xml:space="preserve"> </w:t>
      </w:r>
      <w:r w:rsidRPr="00EA59C0">
        <w:rPr>
          <w:rFonts w:ascii="Arial" w:eastAsia="Calibri" w:hAnsi="Arial"/>
          <w:sz w:val="20"/>
        </w:rPr>
        <w:t>than</w:t>
      </w:r>
      <w:r w:rsidR="00C026A6" w:rsidRPr="00EA59C0">
        <w:rPr>
          <w:rFonts w:ascii="Arial" w:eastAsia="Calibri" w:hAnsi="Arial"/>
          <w:sz w:val="20"/>
        </w:rPr>
        <w:t xml:space="preserve"> </w:t>
      </w:r>
      <w:r w:rsidRPr="00EA59C0">
        <w:rPr>
          <w:rFonts w:ascii="Arial" w:eastAsia="Calibri" w:hAnsi="Arial"/>
          <w:sz w:val="20"/>
        </w:rPr>
        <w:t>one</w:t>
      </w:r>
      <w:r w:rsidR="00C026A6" w:rsidRPr="00EA59C0">
        <w:rPr>
          <w:rFonts w:ascii="Arial" w:eastAsia="Calibri" w:hAnsi="Arial"/>
          <w:sz w:val="20"/>
        </w:rPr>
        <w:t xml:space="preserve"> </w:t>
      </w:r>
      <w:r w:rsidRPr="00EA59C0">
        <w:rPr>
          <w:rFonts w:ascii="Arial" w:eastAsia="Calibri" w:hAnsi="Arial"/>
          <w:sz w:val="20"/>
        </w:rPr>
        <w:t>site,</w:t>
      </w:r>
      <w:r w:rsidR="00C026A6" w:rsidRPr="00EA59C0">
        <w:rPr>
          <w:rFonts w:ascii="Arial" w:eastAsia="Calibri" w:hAnsi="Arial"/>
          <w:sz w:val="20"/>
        </w:rPr>
        <w:t xml:space="preserve"> </w:t>
      </w:r>
      <w:r w:rsidRPr="00EA59C0">
        <w:rPr>
          <w:rFonts w:ascii="Arial" w:eastAsia="Calibri" w:hAnsi="Arial"/>
          <w:sz w:val="20"/>
        </w:rPr>
        <w:t>where</w:t>
      </w:r>
      <w:r w:rsidR="00C026A6" w:rsidRPr="00EA59C0">
        <w:rPr>
          <w:rFonts w:ascii="Arial" w:eastAsia="Calibri" w:hAnsi="Arial"/>
          <w:sz w:val="20"/>
        </w:rPr>
        <w:t xml:space="preserve"> </w:t>
      </w:r>
      <w:r w:rsidRPr="00EA59C0">
        <w:rPr>
          <w:rFonts w:ascii="Arial" w:eastAsia="Calibri" w:hAnsi="Arial"/>
          <w:sz w:val="20"/>
        </w:rPr>
        <w:t>site</w:t>
      </w:r>
      <w:r w:rsidR="00C026A6" w:rsidRPr="00EA59C0">
        <w:rPr>
          <w:rFonts w:ascii="Arial" w:eastAsia="Calibri" w:hAnsi="Arial"/>
          <w:sz w:val="20"/>
        </w:rPr>
        <w:t xml:space="preserve"> </w:t>
      </w:r>
      <w:r w:rsidRPr="00EA59C0">
        <w:rPr>
          <w:rFonts w:ascii="Arial" w:eastAsia="Calibri" w:hAnsi="Arial"/>
          <w:sz w:val="20"/>
        </w:rPr>
        <w:t>can</w:t>
      </w:r>
      <w:r w:rsidR="00C026A6" w:rsidRPr="00EA59C0">
        <w:rPr>
          <w:rFonts w:ascii="Arial" w:eastAsia="Calibri" w:hAnsi="Arial"/>
          <w:sz w:val="20"/>
        </w:rPr>
        <w:t xml:space="preserve"> </w:t>
      </w:r>
      <w:r w:rsidRPr="00EA59C0">
        <w:rPr>
          <w:rFonts w:ascii="Arial" w:eastAsia="Calibri" w:hAnsi="Arial"/>
          <w:sz w:val="20"/>
        </w:rPr>
        <w:t>be</w:t>
      </w:r>
      <w:r w:rsidR="00C026A6" w:rsidRPr="00EA59C0">
        <w:rPr>
          <w:rFonts w:ascii="Arial" w:eastAsia="Calibri" w:hAnsi="Arial"/>
          <w:sz w:val="20"/>
        </w:rPr>
        <w:t xml:space="preserve"> </w:t>
      </w:r>
      <w:r w:rsidRPr="00EA59C0">
        <w:rPr>
          <w:rFonts w:ascii="Arial" w:eastAsia="Calibri" w:hAnsi="Arial"/>
          <w:sz w:val="20"/>
        </w:rPr>
        <w:t>defined</w:t>
      </w:r>
      <w:r w:rsidR="00C026A6" w:rsidRPr="00EA59C0">
        <w:rPr>
          <w:rFonts w:ascii="Arial" w:eastAsia="Calibri" w:hAnsi="Arial"/>
          <w:sz w:val="20"/>
        </w:rPr>
        <w:t xml:space="preserve"> </w:t>
      </w:r>
      <w:r w:rsidRPr="00EA59C0">
        <w:rPr>
          <w:rFonts w:ascii="Arial" w:eastAsia="Calibri" w:hAnsi="Arial"/>
          <w:sz w:val="20"/>
        </w:rPr>
        <w:t>as</w:t>
      </w:r>
      <w:r w:rsidR="00C026A6" w:rsidRPr="00EA59C0">
        <w:rPr>
          <w:rFonts w:ascii="Arial" w:eastAsia="Calibri" w:hAnsi="Arial"/>
          <w:sz w:val="20"/>
        </w:rPr>
        <w:t xml:space="preserve"> </w:t>
      </w:r>
      <w:r w:rsidRPr="00EA59C0">
        <w:rPr>
          <w:rFonts w:ascii="Arial" w:eastAsia="Calibri" w:hAnsi="Arial"/>
          <w:sz w:val="20"/>
        </w:rPr>
        <w:t>an</w:t>
      </w:r>
      <w:r w:rsidR="00C026A6" w:rsidRPr="00EA59C0">
        <w:rPr>
          <w:rFonts w:ascii="Arial" w:eastAsia="Calibri" w:hAnsi="Arial"/>
          <w:sz w:val="20"/>
        </w:rPr>
        <w:t xml:space="preserve"> </w:t>
      </w:r>
      <w:r w:rsidRPr="00EA59C0">
        <w:rPr>
          <w:rFonts w:ascii="Arial" w:eastAsia="Calibri" w:hAnsi="Arial"/>
          <w:sz w:val="20"/>
        </w:rPr>
        <w:t>LEA,</w:t>
      </w:r>
      <w:r w:rsidR="00C026A6" w:rsidRPr="00EA59C0">
        <w:rPr>
          <w:rFonts w:ascii="Arial" w:eastAsia="Calibri" w:hAnsi="Arial"/>
          <w:sz w:val="20"/>
        </w:rPr>
        <w:t xml:space="preserve"> </w:t>
      </w:r>
      <w:r w:rsidRPr="00EA59C0">
        <w:rPr>
          <w:rFonts w:ascii="Arial" w:eastAsia="Calibri" w:hAnsi="Arial"/>
          <w:sz w:val="20"/>
        </w:rPr>
        <w:t>locality,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State.</w:t>
      </w:r>
    </w:p>
    <w:p w:rsidR="008826BE" w:rsidRPr="00EA59C0" w:rsidRDefault="008826BE" w:rsidP="00DB00BB">
      <w:pPr>
        <w:rPr>
          <w:rFonts w:ascii="Arial" w:eastAsia="Calibri" w:hAnsi="Arial"/>
          <w:sz w:val="20"/>
        </w:rPr>
      </w:pPr>
    </w:p>
    <w:p w:rsidR="008826BE" w:rsidRPr="00EA59C0" w:rsidRDefault="008826BE" w:rsidP="00DB00BB">
      <w:pPr>
        <w:rPr>
          <w:rFonts w:ascii="Arial" w:eastAsia="Calibri" w:hAnsi="Arial"/>
          <w:sz w:val="20"/>
        </w:rPr>
      </w:pPr>
      <w:r w:rsidRPr="00EA59C0">
        <w:rPr>
          <w:rFonts w:ascii="Arial" w:eastAsia="Calibri" w:hAnsi="Arial"/>
          <w:b/>
          <w:i/>
          <w:sz w:val="20"/>
          <w:u w:val="single"/>
        </w:rPr>
        <w:t>Relevant</w:t>
      </w:r>
      <w:r w:rsidR="00C026A6" w:rsidRPr="00EA59C0">
        <w:rPr>
          <w:rFonts w:ascii="Arial" w:eastAsia="Calibri" w:hAnsi="Arial"/>
          <w:b/>
          <w:i/>
          <w:sz w:val="20"/>
          <w:u w:val="single"/>
        </w:rPr>
        <w:t xml:space="preserve"> </w:t>
      </w:r>
      <w:r w:rsidRPr="00EA59C0">
        <w:rPr>
          <w:rFonts w:ascii="Arial" w:eastAsia="Calibri" w:hAnsi="Arial"/>
          <w:b/>
          <w:i/>
          <w:sz w:val="20"/>
          <w:u w:val="single"/>
        </w:rPr>
        <w:t>outcome</w:t>
      </w:r>
      <w:r w:rsidR="00C026A6" w:rsidRPr="00EA59C0">
        <w:rPr>
          <w:rFonts w:ascii="Arial" w:eastAsia="Calibri" w:hAnsi="Arial"/>
          <w:sz w:val="20"/>
        </w:rPr>
        <w:t xml:space="preserve"> </w:t>
      </w:r>
      <w:r w:rsidRPr="00EA59C0">
        <w:rPr>
          <w:rFonts w:ascii="Arial" w:eastAsia="Calibri" w:hAnsi="Arial"/>
          <w:sz w:val="20"/>
        </w:rPr>
        <w:t>means</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student</w:t>
      </w:r>
      <w:r w:rsidR="00C026A6" w:rsidRPr="00EA59C0">
        <w:rPr>
          <w:rFonts w:ascii="Arial" w:eastAsia="Calibri" w:hAnsi="Arial"/>
          <w:sz w:val="20"/>
        </w:rPr>
        <w:t xml:space="preserve"> </w:t>
      </w:r>
      <w:r w:rsidRPr="00EA59C0">
        <w:rPr>
          <w:rFonts w:ascii="Arial" w:eastAsia="Calibri" w:hAnsi="Arial"/>
          <w:sz w:val="20"/>
        </w:rPr>
        <w:t>outcome(s)</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ultimate</w:t>
      </w:r>
      <w:r w:rsidR="00C026A6" w:rsidRPr="00EA59C0">
        <w:rPr>
          <w:rFonts w:ascii="Arial" w:eastAsia="Calibri" w:hAnsi="Arial"/>
          <w:sz w:val="20"/>
        </w:rPr>
        <w:t xml:space="preserve"> </w:t>
      </w:r>
      <w:r w:rsidRPr="00EA59C0">
        <w:rPr>
          <w:rFonts w:ascii="Arial" w:eastAsia="Calibri" w:hAnsi="Arial"/>
          <w:sz w:val="20"/>
        </w:rPr>
        <w:t>outcome</w:t>
      </w:r>
      <w:r w:rsidR="00C026A6" w:rsidRPr="00EA59C0">
        <w:rPr>
          <w:rFonts w:ascii="Arial" w:eastAsia="Calibri" w:hAnsi="Arial"/>
          <w:sz w:val="20"/>
        </w:rPr>
        <w:t xml:space="preserve"> </w:t>
      </w:r>
      <w:r w:rsidRPr="00EA59C0">
        <w:rPr>
          <w:rFonts w:ascii="Arial" w:eastAsia="Calibri" w:hAnsi="Arial"/>
          <w:sz w:val="20"/>
        </w:rPr>
        <w:t>if</w:t>
      </w:r>
      <w:r w:rsidR="00C026A6" w:rsidRPr="00EA59C0">
        <w:rPr>
          <w:rFonts w:ascii="Arial" w:eastAsia="Calibri" w:hAnsi="Arial"/>
          <w:sz w:val="20"/>
        </w:rPr>
        <w:t xml:space="preserve"> </w:t>
      </w:r>
      <w:r w:rsidRPr="00EA59C0">
        <w:rPr>
          <w:rFonts w:ascii="Arial" w:eastAsia="Calibri" w:hAnsi="Arial"/>
          <w:sz w:val="20"/>
        </w:rPr>
        <w:t>not</w:t>
      </w:r>
      <w:r w:rsidR="00C026A6" w:rsidRPr="00EA59C0">
        <w:rPr>
          <w:rFonts w:ascii="Arial" w:eastAsia="Calibri" w:hAnsi="Arial"/>
          <w:sz w:val="20"/>
        </w:rPr>
        <w:t xml:space="preserve"> </w:t>
      </w:r>
      <w:r w:rsidRPr="00EA59C0">
        <w:rPr>
          <w:rFonts w:ascii="Arial" w:eastAsia="Calibri" w:hAnsi="Arial"/>
          <w:sz w:val="20"/>
        </w:rPr>
        <w:t>related</w:t>
      </w:r>
      <w:r w:rsidR="00C026A6" w:rsidRPr="00EA59C0">
        <w:rPr>
          <w:rFonts w:ascii="Arial" w:eastAsia="Calibri" w:hAnsi="Arial"/>
          <w:sz w:val="20"/>
        </w:rPr>
        <w:t xml:space="preserve"> </w:t>
      </w:r>
      <w:r w:rsidRPr="00EA59C0">
        <w:rPr>
          <w:rFonts w:ascii="Arial" w:eastAsia="Calibri" w:hAnsi="Arial"/>
          <w:sz w:val="20"/>
        </w:rPr>
        <w:t>to</w:t>
      </w:r>
      <w:r w:rsidR="00C026A6" w:rsidRPr="00EA59C0">
        <w:rPr>
          <w:rFonts w:ascii="Arial" w:eastAsia="Calibri" w:hAnsi="Arial"/>
          <w:sz w:val="20"/>
        </w:rPr>
        <w:t xml:space="preserve"> </w:t>
      </w:r>
      <w:r w:rsidRPr="00EA59C0">
        <w:rPr>
          <w:rFonts w:ascii="Arial" w:eastAsia="Calibri" w:hAnsi="Arial"/>
          <w:sz w:val="20"/>
        </w:rPr>
        <w:t>students)</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proposed</w:t>
      </w:r>
      <w:r w:rsidR="00C026A6" w:rsidRPr="00EA59C0">
        <w:rPr>
          <w:rFonts w:ascii="Arial" w:eastAsia="Calibri" w:hAnsi="Arial"/>
          <w:sz w:val="20"/>
        </w:rPr>
        <w:t xml:space="preserve"> </w:t>
      </w:r>
      <w:r w:rsidRPr="00EA59C0">
        <w:rPr>
          <w:rFonts w:ascii="Arial" w:eastAsia="Calibri" w:hAnsi="Arial"/>
          <w:sz w:val="20"/>
        </w:rPr>
        <w:t>process,</w:t>
      </w:r>
      <w:r w:rsidR="00C026A6" w:rsidRPr="00EA59C0">
        <w:rPr>
          <w:rFonts w:ascii="Arial" w:eastAsia="Calibri" w:hAnsi="Arial"/>
          <w:sz w:val="20"/>
        </w:rPr>
        <w:t xml:space="preserve"> </w:t>
      </w:r>
      <w:r w:rsidRPr="00EA59C0">
        <w:rPr>
          <w:rFonts w:ascii="Arial" w:eastAsia="Calibri" w:hAnsi="Arial"/>
          <w:sz w:val="20"/>
        </w:rPr>
        <w:t>product,</w:t>
      </w:r>
      <w:r w:rsidR="00C026A6" w:rsidRPr="00EA59C0">
        <w:rPr>
          <w:rFonts w:ascii="Arial" w:eastAsia="Calibri" w:hAnsi="Arial"/>
          <w:sz w:val="20"/>
        </w:rPr>
        <w:t xml:space="preserve"> </w:t>
      </w:r>
      <w:r w:rsidRPr="00EA59C0">
        <w:rPr>
          <w:rFonts w:ascii="Arial" w:eastAsia="Calibri" w:hAnsi="Arial"/>
          <w:sz w:val="20"/>
        </w:rPr>
        <w:t>strategy,</w:t>
      </w:r>
      <w:r w:rsidR="00C026A6" w:rsidRPr="00EA59C0">
        <w:rPr>
          <w:rFonts w:ascii="Arial" w:eastAsia="Calibri" w:hAnsi="Arial"/>
          <w:sz w:val="20"/>
        </w:rPr>
        <w:t xml:space="preserve"> </w:t>
      </w:r>
      <w:r w:rsidRPr="00EA59C0">
        <w:rPr>
          <w:rFonts w:ascii="Arial" w:eastAsia="Calibri" w:hAnsi="Arial"/>
          <w:sz w:val="20"/>
        </w:rPr>
        <w:t>or</w:t>
      </w:r>
      <w:r w:rsidR="00C026A6" w:rsidRPr="00EA59C0">
        <w:rPr>
          <w:rFonts w:ascii="Arial" w:eastAsia="Calibri" w:hAnsi="Arial"/>
          <w:sz w:val="20"/>
        </w:rPr>
        <w:t xml:space="preserve"> </w:t>
      </w:r>
      <w:r w:rsidRPr="00EA59C0">
        <w:rPr>
          <w:rFonts w:ascii="Arial" w:eastAsia="Calibri" w:hAnsi="Arial"/>
          <w:sz w:val="20"/>
        </w:rPr>
        <w:t>practice</w:t>
      </w:r>
      <w:r w:rsidR="00C026A6" w:rsidRPr="00EA59C0">
        <w:rPr>
          <w:rFonts w:ascii="Arial" w:eastAsia="Calibri" w:hAnsi="Arial"/>
          <w:sz w:val="20"/>
        </w:rPr>
        <w:t xml:space="preserve"> </w:t>
      </w:r>
      <w:r w:rsidRPr="00EA59C0">
        <w:rPr>
          <w:rFonts w:ascii="Arial" w:eastAsia="Calibri" w:hAnsi="Arial"/>
          <w:sz w:val="20"/>
        </w:rPr>
        <w:t>is</w:t>
      </w:r>
      <w:r w:rsidR="00C026A6" w:rsidRPr="00EA59C0">
        <w:rPr>
          <w:rFonts w:ascii="Arial" w:eastAsia="Calibri" w:hAnsi="Arial"/>
          <w:sz w:val="20"/>
        </w:rPr>
        <w:t xml:space="preserve"> </w:t>
      </w:r>
      <w:r w:rsidRPr="00EA59C0">
        <w:rPr>
          <w:rFonts w:ascii="Arial" w:eastAsia="Calibri" w:hAnsi="Arial"/>
          <w:sz w:val="20"/>
        </w:rPr>
        <w:t>designed</w:t>
      </w:r>
      <w:r w:rsidR="00C026A6" w:rsidRPr="00EA59C0">
        <w:rPr>
          <w:rFonts w:ascii="Arial" w:eastAsia="Calibri" w:hAnsi="Arial"/>
          <w:sz w:val="20"/>
        </w:rPr>
        <w:t xml:space="preserve"> </w:t>
      </w:r>
      <w:r w:rsidRPr="00EA59C0">
        <w:rPr>
          <w:rFonts w:ascii="Arial" w:eastAsia="Calibri" w:hAnsi="Arial"/>
          <w:sz w:val="20"/>
        </w:rPr>
        <w:t>to</w:t>
      </w:r>
      <w:r w:rsidR="00C026A6" w:rsidRPr="00EA59C0">
        <w:rPr>
          <w:rFonts w:ascii="Arial" w:eastAsia="Calibri" w:hAnsi="Arial"/>
          <w:sz w:val="20"/>
        </w:rPr>
        <w:t xml:space="preserve"> </w:t>
      </w:r>
      <w:r w:rsidRPr="00EA59C0">
        <w:rPr>
          <w:rFonts w:ascii="Arial" w:eastAsia="Calibri" w:hAnsi="Arial"/>
          <w:sz w:val="20"/>
        </w:rPr>
        <w:t>improve;</w:t>
      </w:r>
      <w:r w:rsidR="00C026A6" w:rsidRPr="00EA59C0">
        <w:rPr>
          <w:rFonts w:ascii="Arial" w:eastAsia="Calibri" w:hAnsi="Arial"/>
          <w:sz w:val="20"/>
        </w:rPr>
        <w:t xml:space="preserve"> </w:t>
      </w:r>
      <w:r w:rsidRPr="00EA59C0">
        <w:rPr>
          <w:rFonts w:ascii="Arial" w:eastAsia="Calibri" w:hAnsi="Arial"/>
          <w:sz w:val="20"/>
        </w:rPr>
        <w:t>consistent</w:t>
      </w:r>
      <w:r w:rsidR="00C026A6" w:rsidRPr="00EA59C0">
        <w:rPr>
          <w:rFonts w:ascii="Arial" w:eastAsia="Calibri" w:hAnsi="Arial"/>
          <w:sz w:val="20"/>
        </w:rPr>
        <w:t xml:space="preserve"> </w:t>
      </w:r>
      <w:r w:rsidRPr="00EA59C0">
        <w:rPr>
          <w:rFonts w:ascii="Arial" w:eastAsia="Calibri" w:hAnsi="Arial"/>
          <w:sz w:val="20"/>
        </w:rPr>
        <w:t>with</w:t>
      </w:r>
      <w:r w:rsidR="00C026A6" w:rsidRPr="00EA59C0">
        <w:rPr>
          <w:rFonts w:ascii="Arial" w:eastAsia="Calibri" w:hAnsi="Arial"/>
          <w:sz w:val="20"/>
        </w:rPr>
        <w:t xml:space="preserve"> </w:t>
      </w:r>
      <w:r w:rsidRPr="00EA59C0">
        <w:rPr>
          <w:rFonts w:ascii="Arial" w:eastAsia="Calibri" w:hAnsi="Arial"/>
          <w:sz w:val="20"/>
        </w:rPr>
        <w:t>the</w:t>
      </w:r>
      <w:r w:rsidR="00C026A6" w:rsidRPr="00EA59C0">
        <w:rPr>
          <w:rFonts w:ascii="Arial" w:eastAsia="Calibri" w:hAnsi="Arial"/>
          <w:sz w:val="20"/>
        </w:rPr>
        <w:t xml:space="preserve"> </w:t>
      </w:r>
      <w:r w:rsidRPr="00EA59C0">
        <w:rPr>
          <w:rFonts w:ascii="Arial" w:eastAsia="Calibri" w:hAnsi="Arial"/>
          <w:sz w:val="20"/>
        </w:rPr>
        <w:t>specific</w:t>
      </w:r>
      <w:r w:rsidR="00C026A6" w:rsidRPr="00EA59C0">
        <w:rPr>
          <w:rFonts w:ascii="Arial" w:eastAsia="Calibri" w:hAnsi="Arial"/>
          <w:sz w:val="20"/>
        </w:rPr>
        <w:t xml:space="preserve"> </w:t>
      </w:r>
      <w:r w:rsidRPr="00EA59C0">
        <w:rPr>
          <w:rFonts w:ascii="Arial" w:eastAsia="Calibri" w:hAnsi="Arial"/>
          <w:sz w:val="20"/>
        </w:rPr>
        <w:t>goals</w:t>
      </w:r>
      <w:r w:rsidR="00C026A6" w:rsidRPr="00EA59C0">
        <w:rPr>
          <w:rFonts w:ascii="Arial" w:eastAsia="Calibri" w:hAnsi="Arial"/>
          <w:sz w:val="20"/>
        </w:rPr>
        <w:t xml:space="preserve"> </w:t>
      </w:r>
      <w:r w:rsidRPr="00EA59C0">
        <w:rPr>
          <w:rFonts w:ascii="Arial" w:eastAsia="Calibri" w:hAnsi="Arial"/>
          <w:sz w:val="20"/>
        </w:rPr>
        <w:t>of</w:t>
      </w:r>
      <w:r w:rsidR="00C026A6" w:rsidRPr="00EA59C0">
        <w:rPr>
          <w:rFonts w:ascii="Arial" w:eastAsia="Calibri" w:hAnsi="Arial"/>
          <w:sz w:val="20"/>
        </w:rPr>
        <w:t xml:space="preserve"> </w:t>
      </w:r>
      <w:r w:rsidRPr="00EA59C0">
        <w:rPr>
          <w:rFonts w:ascii="Arial" w:eastAsia="Calibri" w:hAnsi="Arial"/>
          <w:sz w:val="20"/>
        </w:rPr>
        <w:t>a</w:t>
      </w:r>
      <w:r w:rsidR="00C026A6" w:rsidRPr="00EA59C0">
        <w:rPr>
          <w:rFonts w:ascii="Arial" w:eastAsia="Calibri" w:hAnsi="Arial"/>
          <w:sz w:val="20"/>
        </w:rPr>
        <w:t xml:space="preserve"> </w:t>
      </w:r>
      <w:r w:rsidRPr="00EA59C0">
        <w:rPr>
          <w:rFonts w:ascii="Arial" w:eastAsia="Calibri" w:hAnsi="Arial"/>
          <w:sz w:val="20"/>
        </w:rPr>
        <w:t>program</w:t>
      </w:r>
    </w:p>
    <w:p w:rsidR="008826BE" w:rsidRPr="00EA59C0" w:rsidRDefault="008826BE" w:rsidP="00DB00BB">
      <w:pPr>
        <w:spacing w:after="120"/>
        <w:rPr>
          <w:rFonts w:ascii="Arial" w:eastAsia="Calibri" w:hAnsi="Arial"/>
          <w:sz w:val="20"/>
        </w:rPr>
      </w:pPr>
      <w:r w:rsidRPr="00EA59C0">
        <w:rPr>
          <w:rFonts w:ascii="Arial" w:eastAsia="Calibri" w:hAnsi="Arial"/>
          <w:sz w:val="20"/>
        </w:rPr>
        <w:br w:type="page"/>
      </w:r>
    </w:p>
    <w:p w:rsidR="008826BE" w:rsidRPr="00EA59C0" w:rsidRDefault="008826BE" w:rsidP="008826BE">
      <w:pPr>
        <w:spacing w:line="480" w:lineRule="auto"/>
        <w:ind w:right="-180"/>
        <w:rPr>
          <w:rFonts w:ascii="Arial" w:hAnsi="Arial" w:cs="Arial"/>
          <w:b/>
          <w:sz w:val="22"/>
        </w:rPr>
      </w:pPr>
      <w:r w:rsidRPr="00EA59C0">
        <w:rPr>
          <w:rFonts w:ascii="Arial" w:hAnsi="Arial" w:cs="Arial"/>
          <w:b/>
          <w:sz w:val="22"/>
        </w:rPr>
        <w:t>Appendix</w:t>
      </w:r>
      <w:r w:rsidR="00C026A6" w:rsidRPr="00EA59C0">
        <w:rPr>
          <w:rFonts w:ascii="Arial" w:hAnsi="Arial" w:cs="Arial"/>
          <w:b/>
          <w:sz w:val="22"/>
        </w:rPr>
        <w:t xml:space="preserve"> </w:t>
      </w:r>
      <w:r w:rsidRPr="00EA59C0">
        <w:rPr>
          <w:rFonts w:ascii="Arial" w:hAnsi="Arial" w:cs="Arial"/>
          <w:b/>
          <w:sz w:val="22"/>
        </w:rPr>
        <w:t>C:</w:t>
      </w:r>
      <w:r w:rsidR="00C026A6" w:rsidRPr="00EA59C0">
        <w:rPr>
          <w:rFonts w:ascii="Arial" w:hAnsi="Arial" w:cs="Arial"/>
          <w:b/>
          <w:sz w:val="22"/>
        </w:rPr>
        <w:t xml:space="preserve">  </w:t>
      </w:r>
      <w:r w:rsidRPr="00EA59C0">
        <w:rPr>
          <w:rFonts w:ascii="Arial" w:hAnsi="Arial" w:cs="Arial"/>
          <w:b/>
          <w:sz w:val="22"/>
        </w:rPr>
        <w:t>Resources</w:t>
      </w:r>
      <w:r w:rsidR="00C026A6" w:rsidRPr="00EA59C0">
        <w:rPr>
          <w:rFonts w:ascii="Arial" w:hAnsi="Arial" w:cs="Arial"/>
          <w:b/>
          <w:sz w:val="22"/>
        </w:rPr>
        <w:t xml:space="preserve"> </w:t>
      </w:r>
      <w:r w:rsidRPr="00EA59C0">
        <w:rPr>
          <w:rFonts w:ascii="Arial" w:hAnsi="Arial" w:cs="Arial"/>
          <w:b/>
          <w:sz w:val="22"/>
        </w:rPr>
        <w:t>for</w:t>
      </w:r>
      <w:r w:rsidR="00C026A6" w:rsidRPr="00EA59C0">
        <w:rPr>
          <w:rFonts w:ascii="Arial" w:hAnsi="Arial" w:cs="Arial"/>
          <w:b/>
          <w:sz w:val="22"/>
        </w:rPr>
        <w:t xml:space="preserve"> </w:t>
      </w:r>
      <w:r w:rsidRPr="00EA59C0">
        <w:rPr>
          <w:rFonts w:ascii="Arial" w:hAnsi="Arial" w:cs="Arial"/>
          <w:b/>
          <w:sz w:val="22"/>
        </w:rPr>
        <w:t>Care</w:t>
      </w:r>
      <w:r w:rsidR="0063220B" w:rsidRPr="00EA59C0">
        <w:rPr>
          <w:rFonts w:ascii="Arial" w:hAnsi="Arial" w:cs="Arial"/>
          <w:b/>
          <w:sz w:val="22"/>
        </w:rPr>
        <w:t>er</w:t>
      </w:r>
      <w:r w:rsidR="00C026A6" w:rsidRPr="00EA59C0">
        <w:rPr>
          <w:rFonts w:ascii="Arial" w:hAnsi="Arial" w:cs="Arial"/>
          <w:b/>
          <w:sz w:val="22"/>
        </w:rPr>
        <w:t xml:space="preserve"> </w:t>
      </w:r>
      <w:r w:rsidR="0063220B" w:rsidRPr="00EA59C0">
        <w:rPr>
          <w:rFonts w:ascii="Arial" w:hAnsi="Arial" w:cs="Arial"/>
          <w:b/>
          <w:sz w:val="22"/>
        </w:rPr>
        <w:t>Pathways</w:t>
      </w:r>
      <w:r w:rsidR="00C026A6" w:rsidRPr="00EA59C0">
        <w:rPr>
          <w:rFonts w:ascii="Arial" w:hAnsi="Arial" w:cs="Arial"/>
          <w:b/>
          <w:sz w:val="22"/>
        </w:rPr>
        <w:t xml:space="preserve"> </w:t>
      </w:r>
      <w:r w:rsidR="00B752E6" w:rsidRPr="00EA59C0">
        <w:rPr>
          <w:rFonts w:ascii="Arial" w:hAnsi="Arial" w:cs="Arial"/>
          <w:b/>
          <w:sz w:val="22"/>
        </w:rPr>
        <w:t>Strategies</w:t>
      </w:r>
    </w:p>
    <w:p w:rsidR="008826BE" w:rsidRPr="00EA59C0" w:rsidRDefault="005C416A" w:rsidP="00DB00BB">
      <w:pPr>
        <w:pStyle w:val="Default"/>
        <w:rPr>
          <w:rFonts w:ascii="Arial" w:hAnsi="Arial" w:cs="Arial"/>
          <w:color w:val="auto"/>
          <w:sz w:val="20"/>
        </w:rPr>
      </w:pPr>
      <w:r w:rsidRPr="00EA59C0">
        <w:rPr>
          <w:rFonts w:ascii="Arial" w:hAnsi="Arial" w:cs="Arial"/>
          <w:b/>
          <w:color w:val="auto"/>
          <w:sz w:val="20"/>
        </w:rPr>
        <w:t>TEN</w:t>
      </w:r>
      <w:r w:rsidR="00C026A6" w:rsidRPr="00EA59C0">
        <w:rPr>
          <w:rFonts w:ascii="Arial" w:hAnsi="Arial" w:cs="Arial"/>
          <w:b/>
          <w:color w:val="auto"/>
          <w:sz w:val="20"/>
        </w:rPr>
        <w:t xml:space="preserve"> </w:t>
      </w:r>
      <w:r w:rsidR="008826BE" w:rsidRPr="00EA59C0">
        <w:rPr>
          <w:rFonts w:ascii="Arial" w:hAnsi="Arial" w:cs="Arial"/>
          <w:b/>
          <w:color w:val="auto"/>
          <w:sz w:val="20"/>
        </w:rPr>
        <w:t>36-11</w:t>
      </w:r>
      <w:r w:rsidR="00C026A6" w:rsidRPr="00EA59C0">
        <w:rPr>
          <w:rFonts w:ascii="Arial" w:hAnsi="Arial" w:cs="Arial"/>
          <w:b/>
          <w:color w:val="auto"/>
          <w:sz w:val="20"/>
        </w:rPr>
        <w:t xml:space="preserve"> </w:t>
      </w:r>
      <w:r w:rsidR="008826BE" w:rsidRPr="00EA59C0">
        <w:rPr>
          <w:rFonts w:ascii="Arial" w:hAnsi="Arial" w:cs="Arial"/>
          <w:b/>
          <w:color w:val="auto"/>
          <w:sz w:val="20"/>
        </w:rPr>
        <w:t>-</w:t>
      </w:r>
      <w:r w:rsidR="00C026A6" w:rsidRPr="00EA59C0">
        <w:rPr>
          <w:rFonts w:ascii="Arial" w:hAnsi="Arial" w:cs="Arial"/>
          <w:b/>
          <w:color w:val="auto"/>
          <w:sz w:val="20"/>
        </w:rPr>
        <w:t xml:space="preserve"> </w:t>
      </w:r>
      <w:r w:rsidR="008826BE" w:rsidRPr="00EA59C0">
        <w:rPr>
          <w:rFonts w:ascii="Arial" w:hAnsi="Arial" w:cs="Arial"/>
          <w:color w:val="auto"/>
          <w:sz w:val="20"/>
        </w:rPr>
        <w:t>Joint</w:t>
      </w:r>
      <w:r w:rsidR="00C026A6" w:rsidRPr="00EA59C0">
        <w:rPr>
          <w:rFonts w:ascii="Arial" w:hAnsi="Arial" w:cs="Arial"/>
          <w:color w:val="auto"/>
          <w:sz w:val="20"/>
        </w:rPr>
        <w:t xml:space="preserve"> </w:t>
      </w:r>
      <w:r w:rsidR="008826BE" w:rsidRPr="00EA59C0">
        <w:rPr>
          <w:rFonts w:ascii="Arial" w:hAnsi="Arial" w:cs="Arial"/>
          <w:color w:val="auto"/>
          <w:sz w:val="20"/>
        </w:rPr>
        <w:t>Letter</w:t>
      </w:r>
      <w:r w:rsidR="00C026A6" w:rsidRPr="00EA59C0">
        <w:rPr>
          <w:rFonts w:ascii="Arial" w:hAnsi="Arial" w:cs="Arial"/>
          <w:color w:val="auto"/>
          <w:sz w:val="20"/>
        </w:rPr>
        <w:t xml:space="preserve"> </w:t>
      </w:r>
      <w:r w:rsidR="008826BE" w:rsidRPr="00EA59C0">
        <w:rPr>
          <w:rFonts w:ascii="Arial" w:hAnsi="Arial" w:cs="Arial"/>
          <w:color w:val="auto"/>
          <w:sz w:val="20"/>
        </w:rPr>
        <w:t>on</w:t>
      </w:r>
      <w:r w:rsidR="00C026A6" w:rsidRPr="00EA59C0">
        <w:rPr>
          <w:rFonts w:ascii="Arial" w:hAnsi="Arial" w:cs="Arial"/>
          <w:color w:val="auto"/>
          <w:sz w:val="20"/>
        </w:rPr>
        <w:t xml:space="preserve"> </w:t>
      </w:r>
      <w:r w:rsidR="008826BE" w:rsidRPr="00EA59C0">
        <w:rPr>
          <w:rFonts w:ascii="Arial" w:hAnsi="Arial" w:cs="Arial"/>
          <w:color w:val="auto"/>
          <w:sz w:val="20"/>
        </w:rPr>
        <w:t>Career</w:t>
      </w:r>
      <w:r w:rsidR="00C026A6" w:rsidRPr="00EA59C0">
        <w:rPr>
          <w:rFonts w:ascii="Arial" w:hAnsi="Arial" w:cs="Arial"/>
          <w:color w:val="auto"/>
          <w:sz w:val="20"/>
        </w:rPr>
        <w:t xml:space="preserve"> </w:t>
      </w:r>
      <w:r w:rsidR="008826BE" w:rsidRPr="00EA59C0">
        <w:rPr>
          <w:rFonts w:ascii="Arial" w:hAnsi="Arial" w:cs="Arial"/>
          <w:color w:val="auto"/>
          <w:sz w:val="20"/>
        </w:rPr>
        <w:t>Pathways</w:t>
      </w:r>
      <w:r w:rsidR="00C026A6" w:rsidRPr="00EA59C0">
        <w:rPr>
          <w:rFonts w:ascii="Arial" w:hAnsi="Arial" w:cs="Arial"/>
          <w:color w:val="auto"/>
          <w:sz w:val="20"/>
        </w:rPr>
        <w:t xml:space="preserve"> </w:t>
      </w:r>
      <w:r w:rsidR="008826BE" w:rsidRPr="00EA59C0">
        <w:rPr>
          <w:rFonts w:ascii="Arial" w:hAnsi="Arial" w:cs="Arial"/>
          <w:color w:val="auto"/>
          <w:sz w:val="20"/>
        </w:rPr>
        <w:t>from</w:t>
      </w:r>
      <w:r w:rsidR="00C026A6" w:rsidRPr="00EA59C0">
        <w:rPr>
          <w:rFonts w:ascii="Arial" w:hAnsi="Arial" w:cs="Arial"/>
          <w:color w:val="auto"/>
          <w:sz w:val="20"/>
        </w:rPr>
        <w:t xml:space="preserve"> </w:t>
      </w:r>
      <w:r w:rsidR="008826BE" w:rsidRPr="00EA59C0">
        <w:rPr>
          <w:rFonts w:ascii="Arial" w:hAnsi="Arial" w:cs="Arial"/>
          <w:color w:val="auto"/>
          <w:sz w:val="20"/>
        </w:rPr>
        <w:t>the</w:t>
      </w:r>
      <w:r w:rsidR="00C026A6" w:rsidRPr="00EA59C0">
        <w:rPr>
          <w:rFonts w:ascii="Arial" w:hAnsi="Arial" w:cs="Arial"/>
          <w:color w:val="auto"/>
          <w:sz w:val="20"/>
        </w:rPr>
        <w:t xml:space="preserve"> </w:t>
      </w:r>
      <w:r w:rsidR="008826BE" w:rsidRPr="00EA59C0">
        <w:rPr>
          <w:rFonts w:ascii="Arial" w:hAnsi="Arial" w:cs="Arial"/>
          <w:color w:val="auto"/>
          <w:sz w:val="20"/>
        </w:rPr>
        <w:t>U.S.</w:t>
      </w:r>
      <w:r w:rsidR="00C026A6" w:rsidRPr="00EA59C0">
        <w:rPr>
          <w:rFonts w:ascii="Arial" w:hAnsi="Arial" w:cs="Arial"/>
          <w:color w:val="auto"/>
          <w:sz w:val="20"/>
        </w:rPr>
        <w:t xml:space="preserve"> </w:t>
      </w:r>
      <w:r w:rsidR="008826BE" w:rsidRPr="00EA59C0">
        <w:rPr>
          <w:rFonts w:ascii="Arial" w:hAnsi="Arial" w:cs="Arial"/>
          <w:color w:val="auto"/>
          <w:sz w:val="20"/>
        </w:rPr>
        <w:t>Department</w:t>
      </w:r>
      <w:r w:rsidR="00C026A6" w:rsidRPr="00EA59C0">
        <w:rPr>
          <w:rFonts w:ascii="Arial" w:hAnsi="Arial" w:cs="Arial"/>
          <w:color w:val="auto"/>
          <w:sz w:val="20"/>
        </w:rPr>
        <w:t xml:space="preserve"> </w:t>
      </w:r>
      <w:r w:rsidR="008826BE" w:rsidRPr="00EA59C0">
        <w:rPr>
          <w:rFonts w:ascii="Arial" w:hAnsi="Arial" w:cs="Arial"/>
          <w:color w:val="auto"/>
          <w:sz w:val="20"/>
        </w:rPr>
        <w:t>of</w:t>
      </w:r>
      <w:r w:rsidR="00C026A6" w:rsidRPr="00EA59C0">
        <w:rPr>
          <w:rFonts w:ascii="Arial" w:hAnsi="Arial" w:cs="Arial"/>
          <w:color w:val="auto"/>
          <w:sz w:val="20"/>
        </w:rPr>
        <w:t xml:space="preserve"> </w:t>
      </w:r>
      <w:r w:rsidR="008826BE" w:rsidRPr="00EA59C0">
        <w:rPr>
          <w:rFonts w:ascii="Arial" w:hAnsi="Arial" w:cs="Arial"/>
          <w:color w:val="auto"/>
          <w:sz w:val="20"/>
        </w:rPr>
        <w:t>Labor’s</w:t>
      </w:r>
      <w:r w:rsidR="00C026A6" w:rsidRPr="00EA59C0">
        <w:rPr>
          <w:rFonts w:ascii="Arial" w:hAnsi="Arial" w:cs="Arial"/>
          <w:color w:val="auto"/>
          <w:sz w:val="20"/>
        </w:rPr>
        <w:t xml:space="preserve"> </w:t>
      </w:r>
      <w:r w:rsidR="008826BE" w:rsidRPr="00EA59C0">
        <w:rPr>
          <w:rFonts w:ascii="Arial" w:hAnsi="Arial" w:cs="Arial"/>
          <w:color w:val="auto"/>
          <w:sz w:val="20"/>
        </w:rPr>
        <w:t>Employment</w:t>
      </w:r>
      <w:r w:rsidR="00C026A6" w:rsidRPr="00EA59C0">
        <w:rPr>
          <w:rFonts w:ascii="Arial" w:hAnsi="Arial" w:cs="Arial"/>
          <w:color w:val="auto"/>
          <w:sz w:val="20"/>
        </w:rPr>
        <w:t xml:space="preserve"> </w:t>
      </w:r>
      <w:r w:rsidR="008826BE" w:rsidRPr="00EA59C0">
        <w:rPr>
          <w:rFonts w:ascii="Arial" w:hAnsi="Arial" w:cs="Arial"/>
          <w:color w:val="auto"/>
          <w:sz w:val="20"/>
        </w:rPr>
        <w:t>and</w:t>
      </w:r>
      <w:r w:rsidR="00C026A6" w:rsidRPr="00EA59C0">
        <w:rPr>
          <w:rFonts w:ascii="Arial" w:hAnsi="Arial" w:cs="Arial"/>
          <w:color w:val="auto"/>
          <w:sz w:val="20"/>
        </w:rPr>
        <w:t xml:space="preserve"> </w:t>
      </w:r>
      <w:r w:rsidR="008826BE" w:rsidRPr="00EA59C0">
        <w:rPr>
          <w:rFonts w:ascii="Arial" w:hAnsi="Arial" w:cs="Arial"/>
          <w:color w:val="auto"/>
          <w:sz w:val="20"/>
        </w:rPr>
        <w:t>Training</w:t>
      </w:r>
      <w:r w:rsidR="00C026A6" w:rsidRPr="00EA59C0">
        <w:rPr>
          <w:rFonts w:ascii="Arial" w:hAnsi="Arial" w:cs="Arial"/>
          <w:color w:val="auto"/>
          <w:sz w:val="20"/>
        </w:rPr>
        <w:t xml:space="preserve"> </w:t>
      </w:r>
      <w:r w:rsidR="008826BE" w:rsidRPr="00EA59C0">
        <w:rPr>
          <w:rFonts w:ascii="Arial" w:hAnsi="Arial" w:cs="Arial"/>
          <w:color w:val="auto"/>
          <w:sz w:val="20"/>
        </w:rPr>
        <w:t>Administration,</w:t>
      </w:r>
      <w:r w:rsidR="00C026A6" w:rsidRPr="00EA59C0">
        <w:rPr>
          <w:rFonts w:ascii="Arial" w:hAnsi="Arial" w:cs="Arial"/>
          <w:color w:val="auto"/>
          <w:sz w:val="20"/>
        </w:rPr>
        <w:t xml:space="preserve"> </w:t>
      </w:r>
      <w:r w:rsidR="008826BE" w:rsidRPr="00EA59C0">
        <w:rPr>
          <w:rFonts w:ascii="Arial" w:hAnsi="Arial" w:cs="Arial"/>
          <w:color w:val="auto"/>
          <w:sz w:val="20"/>
        </w:rPr>
        <w:t>the</w:t>
      </w:r>
      <w:r w:rsidR="00C026A6" w:rsidRPr="00EA59C0">
        <w:rPr>
          <w:rFonts w:ascii="Arial" w:hAnsi="Arial" w:cs="Arial"/>
          <w:color w:val="auto"/>
          <w:sz w:val="20"/>
        </w:rPr>
        <w:t xml:space="preserve"> </w:t>
      </w:r>
      <w:r w:rsidR="008826BE" w:rsidRPr="00EA59C0">
        <w:rPr>
          <w:rFonts w:ascii="Arial" w:hAnsi="Arial" w:cs="Arial"/>
          <w:color w:val="auto"/>
          <w:sz w:val="20"/>
        </w:rPr>
        <w:t>U.S.</w:t>
      </w:r>
      <w:r w:rsidR="00C026A6" w:rsidRPr="00EA59C0">
        <w:rPr>
          <w:rFonts w:ascii="Arial" w:hAnsi="Arial" w:cs="Arial"/>
          <w:color w:val="auto"/>
          <w:sz w:val="20"/>
        </w:rPr>
        <w:t xml:space="preserve"> </w:t>
      </w:r>
      <w:r w:rsidR="008826BE" w:rsidRPr="00EA59C0">
        <w:rPr>
          <w:rFonts w:ascii="Arial" w:hAnsi="Arial" w:cs="Arial"/>
          <w:color w:val="auto"/>
          <w:sz w:val="20"/>
        </w:rPr>
        <w:t>Department</w:t>
      </w:r>
      <w:r w:rsidR="00C026A6" w:rsidRPr="00EA59C0">
        <w:rPr>
          <w:rFonts w:ascii="Arial" w:hAnsi="Arial" w:cs="Arial"/>
          <w:color w:val="auto"/>
          <w:sz w:val="20"/>
        </w:rPr>
        <w:t xml:space="preserve"> </w:t>
      </w:r>
      <w:r w:rsidR="008826BE" w:rsidRPr="00EA59C0">
        <w:rPr>
          <w:rFonts w:ascii="Arial" w:hAnsi="Arial" w:cs="Arial"/>
          <w:color w:val="auto"/>
          <w:sz w:val="20"/>
        </w:rPr>
        <w:t>of</w:t>
      </w:r>
      <w:r w:rsidR="00C026A6" w:rsidRPr="00EA59C0">
        <w:rPr>
          <w:rFonts w:ascii="Arial" w:hAnsi="Arial" w:cs="Arial"/>
          <w:color w:val="auto"/>
          <w:sz w:val="20"/>
        </w:rPr>
        <w:t xml:space="preserve"> </w:t>
      </w:r>
      <w:r w:rsidR="008826BE" w:rsidRPr="00EA59C0">
        <w:rPr>
          <w:rFonts w:ascii="Arial" w:hAnsi="Arial" w:cs="Arial"/>
          <w:color w:val="auto"/>
          <w:sz w:val="20"/>
        </w:rPr>
        <w:t>Education’s</w:t>
      </w:r>
      <w:r w:rsidR="00C026A6" w:rsidRPr="00EA59C0">
        <w:rPr>
          <w:rFonts w:ascii="Arial" w:hAnsi="Arial" w:cs="Arial"/>
          <w:color w:val="auto"/>
          <w:sz w:val="20"/>
        </w:rPr>
        <w:t xml:space="preserve"> </w:t>
      </w:r>
      <w:r w:rsidR="008826BE" w:rsidRPr="00EA59C0">
        <w:rPr>
          <w:rFonts w:ascii="Arial" w:hAnsi="Arial" w:cs="Arial"/>
          <w:color w:val="auto"/>
          <w:sz w:val="20"/>
        </w:rPr>
        <w:t>Office</w:t>
      </w:r>
      <w:r w:rsidR="00C026A6" w:rsidRPr="00EA59C0">
        <w:rPr>
          <w:rFonts w:ascii="Arial" w:hAnsi="Arial" w:cs="Arial"/>
          <w:color w:val="auto"/>
          <w:sz w:val="20"/>
        </w:rPr>
        <w:t xml:space="preserve"> </w:t>
      </w:r>
      <w:r w:rsidR="008826BE" w:rsidRPr="00EA59C0">
        <w:rPr>
          <w:rFonts w:ascii="Arial" w:hAnsi="Arial" w:cs="Arial"/>
          <w:color w:val="auto"/>
          <w:sz w:val="20"/>
        </w:rPr>
        <w:t>of</w:t>
      </w:r>
      <w:r w:rsidR="00C026A6" w:rsidRPr="00EA59C0">
        <w:rPr>
          <w:rFonts w:ascii="Arial" w:hAnsi="Arial" w:cs="Arial"/>
          <w:color w:val="auto"/>
          <w:sz w:val="20"/>
        </w:rPr>
        <w:t xml:space="preserve"> </w:t>
      </w:r>
      <w:r w:rsidR="008826BE" w:rsidRPr="00EA59C0">
        <w:rPr>
          <w:rFonts w:ascii="Arial" w:hAnsi="Arial" w:cs="Arial"/>
          <w:color w:val="auto"/>
          <w:sz w:val="20"/>
        </w:rPr>
        <w:t>Vocational</w:t>
      </w:r>
      <w:r w:rsidR="00C026A6" w:rsidRPr="00EA59C0">
        <w:rPr>
          <w:rFonts w:ascii="Arial" w:hAnsi="Arial" w:cs="Arial"/>
          <w:color w:val="auto"/>
          <w:sz w:val="20"/>
        </w:rPr>
        <w:t xml:space="preserve"> </w:t>
      </w:r>
      <w:r w:rsidR="008826BE" w:rsidRPr="00EA59C0">
        <w:rPr>
          <w:rFonts w:ascii="Arial" w:hAnsi="Arial" w:cs="Arial"/>
          <w:color w:val="auto"/>
          <w:sz w:val="20"/>
        </w:rPr>
        <w:t>and</w:t>
      </w:r>
      <w:r w:rsidR="00C026A6" w:rsidRPr="00EA59C0">
        <w:rPr>
          <w:rFonts w:ascii="Arial" w:hAnsi="Arial" w:cs="Arial"/>
          <w:color w:val="auto"/>
          <w:sz w:val="20"/>
        </w:rPr>
        <w:t xml:space="preserve"> </w:t>
      </w:r>
      <w:r w:rsidR="008826BE" w:rsidRPr="00EA59C0">
        <w:rPr>
          <w:rFonts w:ascii="Arial" w:hAnsi="Arial" w:cs="Arial"/>
          <w:color w:val="auto"/>
          <w:sz w:val="20"/>
        </w:rPr>
        <w:t>Adult</w:t>
      </w:r>
      <w:r w:rsidR="00C026A6" w:rsidRPr="00EA59C0">
        <w:rPr>
          <w:rFonts w:ascii="Arial" w:hAnsi="Arial" w:cs="Arial"/>
          <w:color w:val="auto"/>
          <w:sz w:val="20"/>
        </w:rPr>
        <w:t xml:space="preserve"> </w:t>
      </w:r>
      <w:r w:rsidR="008826BE" w:rsidRPr="00EA59C0">
        <w:rPr>
          <w:rFonts w:ascii="Arial" w:hAnsi="Arial" w:cs="Arial"/>
          <w:color w:val="auto"/>
          <w:sz w:val="20"/>
        </w:rPr>
        <w:t>Education,</w:t>
      </w:r>
      <w:r w:rsidR="00C026A6" w:rsidRPr="00EA59C0">
        <w:rPr>
          <w:rFonts w:ascii="Arial" w:hAnsi="Arial" w:cs="Arial"/>
          <w:color w:val="auto"/>
          <w:sz w:val="20"/>
        </w:rPr>
        <w:t xml:space="preserve"> </w:t>
      </w:r>
      <w:r w:rsidR="008826BE" w:rsidRPr="00EA59C0">
        <w:rPr>
          <w:rFonts w:ascii="Arial" w:hAnsi="Arial" w:cs="Arial"/>
          <w:color w:val="auto"/>
          <w:sz w:val="20"/>
        </w:rPr>
        <w:t>and</w:t>
      </w:r>
      <w:r w:rsidR="00C026A6" w:rsidRPr="00EA59C0">
        <w:rPr>
          <w:rFonts w:ascii="Arial" w:hAnsi="Arial" w:cs="Arial"/>
          <w:color w:val="auto"/>
          <w:sz w:val="20"/>
        </w:rPr>
        <w:t xml:space="preserve"> </w:t>
      </w:r>
      <w:r w:rsidR="008826BE" w:rsidRPr="00EA59C0">
        <w:rPr>
          <w:rFonts w:ascii="Arial" w:hAnsi="Arial" w:cs="Arial"/>
          <w:color w:val="auto"/>
          <w:sz w:val="20"/>
        </w:rPr>
        <w:t>the</w:t>
      </w:r>
      <w:r w:rsidR="00C026A6" w:rsidRPr="00EA59C0">
        <w:rPr>
          <w:rFonts w:ascii="Arial" w:hAnsi="Arial" w:cs="Arial"/>
          <w:color w:val="auto"/>
          <w:sz w:val="20"/>
        </w:rPr>
        <w:t xml:space="preserve"> </w:t>
      </w:r>
      <w:r w:rsidR="008826BE" w:rsidRPr="00EA59C0">
        <w:rPr>
          <w:rFonts w:ascii="Arial" w:hAnsi="Arial" w:cs="Arial"/>
          <w:color w:val="auto"/>
          <w:sz w:val="20"/>
        </w:rPr>
        <w:t>U.S.</w:t>
      </w:r>
      <w:r w:rsidR="00C026A6" w:rsidRPr="00EA59C0">
        <w:rPr>
          <w:rFonts w:ascii="Arial" w:hAnsi="Arial" w:cs="Arial"/>
          <w:color w:val="auto"/>
          <w:sz w:val="20"/>
        </w:rPr>
        <w:t xml:space="preserve"> </w:t>
      </w:r>
      <w:r w:rsidR="008826BE" w:rsidRPr="00EA59C0">
        <w:rPr>
          <w:rFonts w:ascii="Arial" w:hAnsi="Arial" w:cs="Arial"/>
          <w:color w:val="auto"/>
          <w:sz w:val="20"/>
        </w:rPr>
        <w:t>Department</w:t>
      </w:r>
      <w:r w:rsidR="00C026A6" w:rsidRPr="00EA59C0">
        <w:rPr>
          <w:rFonts w:ascii="Arial" w:hAnsi="Arial" w:cs="Arial"/>
          <w:color w:val="auto"/>
          <w:sz w:val="20"/>
        </w:rPr>
        <w:t xml:space="preserve"> </w:t>
      </w:r>
      <w:r w:rsidR="008826BE" w:rsidRPr="00EA59C0">
        <w:rPr>
          <w:rFonts w:ascii="Arial" w:hAnsi="Arial" w:cs="Arial"/>
          <w:color w:val="auto"/>
          <w:sz w:val="20"/>
        </w:rPr>
        <w:t>of</w:t>
      </w:r>
      <w:r w:rsidR="00C026A6" w:rsidRPr="00EA59C0">
        <w:rPr>
          <w:rFonts w:ascii="Arial" w:hAnsi="Arial" w:cs="Arial"/>
          <w:color w:val="auto"/>
          <w:sz w:val="20"/>
        </w:rPr>
        <w:t xml:space="preserve"> </w:t>
      </w:r>
      <w:r w:rsidR="008826BE" w:rsidRPr="00EA59C0">
        <w:rPr>
          <w:rFonts w:ascii="Arial" w:hAnsi="Arial" w:cs="Arial"/>
          <w:color w:val="auto"/>
          <w:sz w:val="20"/>
        </w:rPr>
        <w:t>Health</w:t>
      </w:r>
      <w:r w:rsidR="00C026A6" w:rsidRPr="00EA59C0">
        <w:rPr>
          <w:rFonts w:ascii="Arial" w:hAnsi="Arial" w:cs="Arial"/>
          <w:color w:val="auto"/>
          <w:sz w:val="20"/>
        </w:rPr>
        <w:t xml:space="preserve"> </w:t>
      </w:r>
      <w:r w:rsidR="008826BE" w:rsidRPr="00EA59C0">
        <w:rPr>
          <w:rFonts w:ascii="Arial" w:hAnsi="Arial" w:cs="Arial"/>
          <w:color w:val="auto"/>
          <w:sz w:val="20"/>
        </w:rPr>
        <w:t>and</w:t>
      </w:r>
      <w:r w:rsidR="00C026A6" w:rsidRPr="00EA59C0">
        <w:rPr>
          <w:rFonts w:ascii="Arial" w:hAnsi="Arial" w:cs="Arial"/>
          <w:color w:val="auto"/>
          <w:sz w:val="20"/>
        </w:rPr>
        <w:t xml:space="preserve"> </w:t>
      </w:r>
      <w:r w:rsidR="008826BE" w:rsidRPr="00EA59C0">
        <w:rPr>
          <w:rFonts w:ascii="Arial" w:hAnsi="Arial" w:cs="Arial"/>
          <w:color w:val="auto"/>
          <w:sz w:val="20"/>
        </w:rPr>
        <w:t>Human</w:t>
      </w:r>
      <w:r w:rsidR="00C026A6" w:rsidRPr="00EA59C0">
        <w:rPr>
          <w:rFonts w:ascii="Arial" w:hAnsi="Arial" w:cs="Arial"/>
          <w:color w:val="auto"/>
          <w:sz w:val="20"/>
        </w:rPr>
        <w:t xml:space="preserve"> </w:t>
      </w:r>
      <w:r w:rsidR="008826BE" w:rsidRPr="00EA59C0">
        <w:rPr>
          <w:rFonts w:ascii="Arial" w:hAnsi="Arial" w:cs="Arial"/>
          <w:color w:val="auto"/>
          <w:sz w:val="20"/>
        </w:rPr>
        <w:t>Services’</w:t>
      </w:r>
      <w:r w:rsidR="00C026A6" w:rsidRPr="00EA59C0">
        <w:rPr>
          <w:rFonts w:ascii="Arial" w:hAnsi="Arial" w:cs="Arial"/>
          <w:color w:val="auto"/>
          <w:sz w:val="20"/>
        </w:rPr>
        <w:t xml:space="preserve"> </w:t>
      </w:r>
      <w:r w:rsidR="008826BE" w:rsidRPr="00EA59C0">
        <w:rPr>
          <w:rFonts w:ascii="Arial" w:hAnsi="Arial" w:cs="Arial"/>
          <w:color w:val="auto"/>
          <w:sz w:val="20"/>
        </w:rPr>
        <w:t>Administration</w:t>
      </w:r>
      <w:r w:rsidR="00C026A6" w:rsidRPr="00EA59C0">
        <w:rPr>
          <w:rFonts w:ascii="Arial" w:hAnsi="Arial" w:cs="Arial"/>
          <w:color w:val="auto"/>
          <w:sz w:val="20"/>
        </w:rPr>
        <w:t xml:space="preserve"> </w:t>
      </w:r>
      <w:r w:rsidR="008826BE" w:rsidRPr="00EA59C0">
        <w:rPr>
          <w:rFonts w:ascii="Arial" w:hAnsi="Arial" w:cs="Arial"/>
          <w:color w:val="auto"/>
          <w:sz w:val="20"/>
        </w:rPr>
        <w:t>for</w:t>
      </w:r>
      <w:r w:rsidR="00C026A6" w:rsidRPr="00EA59C0">
        <w:rPr>
          <w:rFonts w:ascii="Arial" w:hAnsi="Arial" w:cs="Arial"/>
          <w:color w:val="auto"/>
          <w:sz w:val="20"/>
        </w:rPr>
        <w:t xml:space="preserve"> </w:t>
      </w:r>
      <w:r w:rsidR="008826BE" w:rsidRPr="00EA59C0">
        <w:rPr>
          <w:rFonts w:ascii="Arial" w:hAnsi="Arial" w:cs="Arial"/>
          <w:color w:val="auto"/>
          <w:sz w:val="20"/>
        </w:rPr>
        <w:t>Children</w:t>
      </w:r>
      <w:r w:rsidR="00C026A6" w:rsidRPr="00EA59C0">
        <w:rPr>
          <w:rFonts w:ascii="Arial" w:hAnsi="Arial" w:cs="Arial"/>
          <w:color w:val="auto"/>
          <w:sz w:val="20"/>
        </w:rPr>
        <w:t xml:space="preserve"> </w:t>
      </w:r>
      <w:r w:rsidR="008826BE" w:rsidRPr="00EA59C0">
        <w:rPr>
          <w:rFonts w:ascii="Arial" w:hAnsi="Arial" w:cs="Arial"/>
          <w:color w:val="auto"/>
          <w:sz w:val="20"/>
        </w:rPr>
        <w:t>and</w:t>
      </w:r>
      <w:r w:rsidR="00C026A6" w:rsidRPr="00EA59C0">
        <w:rPr>
          <w:rFonts w:ascii="Arial" w:hAnsi="Arial" w:cs="Arial"/>
          <w:color w:val="auto"/>
          <w:sz w:val="20"/>
        </w:rPr>
        <w:t xml:space="preserve"> </w:t>
      </w:r>
      <w:r w:rsidR="008826BE" w:rsidRPr="00EA59C0">
        <w:rPr>
          <w:rFonts w:ascii="Arial" w:hAnsi="Arial" w:cs="Arial"/>
          <w:color w:val="auto"/>
          <w:sz w:val="20"/>
        </w:rPr>
        <w:t>Families</w:t>
      </w:r>
      <w:r w:rsidR="00C026A6" w:rsidRPr="00EA59C0">
        <w:rPr>
          <w:rFonts w:ascii="Arial" w:hAnsi="Arial" w:cs="Arial"/>
          <w:color w:val="auto"/>
          <w:sz w:val="20"/>
        </w:rPr>
        <w:t xml:space="preserve"> </w:t>
      </w:r>
      <w:hyperlink r:id="rId300" w:history="1">
        <w:r w:rsidR="008826BE" w:rsidRPr="00EA59C0">
          <w:rPr>
            <w:rStyle w:val="Hyperlink"/>
            <w:rFonts w:ascii="Arial" w:hAnsi="Arial" w:cs="Arial"/>
            <w:color w:val="auto"/>
            <w:sz w:val="20"/>
          </w:rPr>
          <w:t>http://wdr.doleta.gov/directives/attach/TEN/ten_36_11_acc.pdf</w:t>
        </w:r>
      </w:hyperlink>
    </w:p>
    <w:p w:rsidR="008826BE" w:rsidRPr="00EA59C0" w:rsidRDefault="008826BE" w:rsidP="00DB00BB">
      <w:pPr>
        <w:pStyle w:val="Default"/>
        <w:rPr>
          <w:rFonts w:ascii="Arial" w:hAnsi="Arial" w:cs="Arial"/>
          <w:color w:val="auto"/>
          <w:sz w:val="20"/>
        </w:rPr>
      </w:pPr>
    </w:p>
    <w:p w:rsidR="008826BE" w:rsidRPr="00EA59C0" w:rsidRDefault="008826BE" w:rsidP="00DB00BB">
      <w:pPr>
        <w:pStyle w:val="Default"/>
        <w:rPr>
          <w:rFonts w:ascii="Arial" w:hAnsi="Arial" w:cs="Arial"/>
          <w:color w:val="auto"/>
          <w:sz w:val="20"/>
        </w:rPr>
      </w:pPr>
      <w:r w:rsidRPr="00EA59C0">
        <w:rPr>
          <w:rFonts w:ascii="Arial" w:hAnsi="Arial" w:cs="Arial"/>
          <w:b/>
          <w:color w:val="auto"/>
          <w:sz w:val="20"/>
        </w:rPr>
        <w:t>TEN</w:t>
      </w:r>
      <w:r w:rsidR="00C026A6" w:rsidRPr="00EA59C0">
        <w:rPr>
          <w:rFonts w:ascii="Arial" w:hAnsi="Arial" w:cs="Arial"/>
          <w:b/>
          <w:color w:val="auto"/>
          <w:sz w:val="20"/>
        </w:rPr>
        <w:t xml:space="preserve"> </w:t>
      </w:r>
      <w:r w:rsidRPr="00EA59C0">
        <w:rPr>
          <w:rFonts w:ascii="Arial" w:hAnsi="Arial" w:cs="Arial"/>
          <w:b/>
          <w:color w:val="auto"/>
          <w:sz w:val="20"/>
        </w:rPr>
        <w:t>39</w:t>
      </w:r>
      <w:r w:rsidR="00C026A6" w:rsidRPr="00EA59C0">
        <w:rPr>
          <w:rFonts w:ascii="Arial" w:hAnsi="Arial" w:cs="Arial"/>
          <w:b/>
          <w:color w:val="auto"/>
          <w:sz w:val="20"/>
        </w:rPr>
        <w:t xml:space="preserve"> </w:t>
      </w:r>
      <w:r w:rsidRPr="00EA59C0">
        <w:rPr>
          <w:rFonts w:ascii="Arial" w:hAnsi="Arial" w:cs="Arial"/>
          <w:b/>
          <w:color w:val="auto"/>
          <w:sz w:val="20"/>
        </w:rPr>
        <w:t>–</w:t>
      </w:r>
      <w:r w:rsidR="00C026A6" w:rsidRPr="00EA59C0">
        <w:rPr>
          <w:rFonts w:ascii="Arial" w:hAnsi="Arial" w:cs="Arial"/>
          <w:b/>
          <w:color w:val="auto"/>
          <w:sz w:val="20"/>
        </w:rPr>
        <w:t xml:space="preserve"> </w:t>
      </w:r>
      <w:r w:rsidRPr="00EA59C0">
        <w:rPr>
          <w:rFonts w:ascii="Arial" w:hAnsi="Arial" w:cs="Arial"/>
          <w:b/>
          <w:color w:val="auto"/>
          <w:sz w:val="20"/>
        </w:rPr>
        <w:t>11</w:t>
      </w:r>
      <w:r w:rsidR="00C026A6" w:rsidRPr="00EA59C0">
        <w:rPr>
          <w:rFonts w:ascii="Arial" w:hAnsi="Arial" w:cs="Arial"/>
          <w:color w:val="auto"/>
          <w:sz w:val="20"/>
        </w:rPr>
        <w:t xml:space="preserve"> </w:t>
      </w:r>
      <w:r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Release</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Availability</w:t>
      </w:r>
      <w:r w:rsidR="00C026A6" w:rsidRPr="00EA59C0">
        <w:rPr>
          <w:rFonts w:ascii="Arial" w:hAnsi="Arial" w:cs="Arial"/>
          <w:color w:val="auto"/>
          <w:sz w:val="20"/>
        </w:rPr>
        <w:t xml:space="preserve"> </w:t>
      </w:r>
      <w:r w:rsidRPr="00EA59C0">
        <w:rPr>
          <w:rFonts w:ascii="Arial" w:hAnsi="Arial" w:cs="Arial"/>
          <w:color w:val="auto"/>
          <w:sz w:val="20"/>
        </w:rPr>
        <w:t>of</w:t>
      </w:r>
      <w:r w:rsidR="00C026A6" w:rsidRPr="00EA59C0">
        <w:rPr>
          <w:rFonts w:ascii="Arial" w:hAnsi="Arial" w:cs="Arial"/>
          <w:color w:val="auto"/>
          <w:sz w:val="20"/>
        </w:rPr>
        <w:t xml:space="preserve"> </w:t>
      </w:r>
      <w:r w:rsidRPr="00EA59C0">
        <w:rPr>
          <w:rFonts w:ascii="Arial" w:hAnsi="Arial" w:cs="Arial"/>
          <w:color w:val="auto"/>
          <w:sz w:val="20"/>
        </w:rPr>
        <w:t>Career</w:t>
      </w:r>
      <w:r w:rsidR="00C026A6" w:rsidRPr="00EA59C0">
        <w:rPr>
          <w:rFonts w:ascii="Arial" w:hAnsi="Arial" w:cs="Arial"/>
          <w:color w:val="auto"/>
          <w:sz w:val="20"/>
        </w:rPr>
        <w:t xml:space="preserve"> </w:t>
      </w:r>
      <w:r w:rsidRPr="00EA59C0">
        <w:rPr>
          <w:rFonts w:ascii="Arial" w:hAnsi="Arial" w:cs="Arial"/>
          <w:color w:val="auto"/>
          <w:sz w:val="20"/>
        </w:rPr>
        <w:t>Pathways</w:t>
      </w:r>
      <w:r w:rsidR="00C026A6" w:rsidRPr="00EA59C0">
        <w:rPr>
          <w:rFonts w:ascii="Arial" w:hAnsi="Arial" w:cs="Arial"/>
          <w:color w:val="auto"/>
          <w:sz w:val="20"/>
        </w:rPr>
        <w:t xml:space="preserve"> </w:t>
      </w:r>
      <w:r w:rsidRPr="00EA59C0">
        <w:rPr>
          <w:rFonts w:ascii="Arial" w:hAnsi="Arial" w:cs="Arial"/>
          <w:color w:val="auto"/>
          <w:sz w:val="20"/>
        </w:rPr>
        <w:t>Technical</w:t>
      </w:r>
      <w:r w:rsidR="00C026A6" w:rsidRPr="00EA59C0">
        <w:rPr>
          <w:rFonts w:ascii="Arial" w:hAnsi="Arial" w:cs="Arial"/>
          <w:color w:val="auto"/>
          <w:sz w:val="20"/>
        </w:rPr>
        <w:t xml:space="preserve"> </w:t>
      </w:r>
      <w:r w:rsidRPr="00EA59C0">
        <w:rPr>
          <w:rFonts w:ascii="Arial" w:hAnsi="Arial" w:cs="Arial"/>
          <w:color w:val="auto"/>
          <w:sz w:val="20"/>
        </w:rPr>
        <w:t>Assistance</w:t>
      </w:r>
      <w:r w:rsidR="00C026A6" w:rsidRPr="00EA59C0">
        <w:rPr>
          <w:rFonts w:ascii="Arial" w:hAnsi="Arial" w:cs="Arial"/>
          <w:color w:val="auto"/>
          <w:sz w:val="20"/>
        </w:rPr>
        <w:t xml:space="preserve"> </w:t>
      </w:r>
      <w:r w:rsidRPr="00EA59C0">
        <w:rPr>
          <w:rFonts w:ascii="Arial" w:hAnsi="Arial" w:cs="Arial"/>
          <w:color w:val="auto"/>
          <w:sz w:val="20"/>
        </w:rPr>
        <w:t>Resources</w:t>
      </w:r>
      <w:r w:rsidR="00C026A6" w:rsidRPr="00EA59C0">
        <w:rPr>
          <w:rFonts w:ascii="Arial" w:hAnsi="Arial" w:cs="Arial"/>
          <w:color w:val="auto"/>
          <w:sz w:val="20"/>
        </w:rPr>
        <w:t xml:space="preserve"> </w:t>
      </w:r>
      <w:hyperlink r:id="rId301" w:history="1">
        <w:r w:rsidRPr="00EA59C0">
          <w:rPr>
            <w:rStyle w:val="Hyperlink"/>
            <w:rFonts w:ascii="Arial" w:hAnsi="Arial" w:cs="Arial"/>
            <w:color w:val="auto"/>
            <w:sz w:val="20"/>
          </w:rPr>
          <w:t>http://wdr.doleta.gov/directives/attach/TEN/ten2011/ten39-11.pdf</w:t>
        </w:r>
      </w:hyperlink>
    </w:p>
    <w:p w:rsidR="008826BE" w:rsidRPr="00EA59C0" w:rsidRDefault="008826BE" w:rsidP="00DB00BB">
      <w:pPr>
        <w:pStyle w:val="Default"/>
        <w:rPr>
          <w:rFonts w:ascii="Arial" w:hAnsi="Arial" w:cs="Arial"/>
          <w:color w:val="auto"/>
          <w:sz w:val="20"/>
        </w:rPr>
      </w:pPr>
    </w:p>
    <w:p w:rsidR="00B752E6" w:rsidRPr="00EA59C0" w:rsidRDefault="008826BE" w:rsidP="00DB00BB">
      <w:pPr>
        <w:pStyle w:val="Default"/>
        <w:rPr>
          <w:rFonts w:ascii="Arial" w:hAnsi="Arial" w:cs="Arial"/>
          <w:color w:val="auto"/>
          <w:sz w:val="20"/>
        </w:rPr>
      </w:pPr>
      <w:r w:rsidRPr="00EA59C0">
        <w:rPr>
          <w:rFonts w:ascii="Arial" w:hAnsi="Arial" w:cs="Arial"/>
          <w:b/>
          <w:color w:val="auto"/>
          <w:sz w:val="20"/>
        </w:rPr>
        <w:t>ETA</w:t>
      </w:r>
      <w:r w:rsidR="00C026A6" w:rsidRPr="00EA59C0">
        <w:rPr>
          <w:rFonts w:ascii="Arial" w:hAnsi="Arial" w:cs="Arial"/>
          <w:b/>
          <w:color w:val="auto"/>
          <w:sz w:val="20"/>
        </w:rPr>
        <w:t xml:space="preserve"> </w:t>
      </w:r>
      <w:r w:rsidRPr="00EA59C0">
        <w:rPr>
          <w:rFonts w:ascii="Arial" w:hAnsi="Arial" w:cs="Arial"/>
          <w:b/>
          <w:color w:val="auto"/>
          <w:sz w:val="20"/>
        </w:rPr>
        <w:t>Career</w:t>
      </w:r>
      <w:r w:rsidR="00C026A6" w:rsidRPr="00EA59C0">
        <w:rPr>
          <w:rFonts w:ascii="Arial" w:hAnsi="Arial" w:cs="Arial"/>
          <w:b/>
          <w:color w:val="auto"/>
          <w:sz w:val="20"/>
        </w:rPr>
        <w:t xml:space="preserve"> </w:t>
      </w:r>
      <w:r w:rsidRPr="00EA59C0">
        <w:rPr>
          <w:rFonts w:ascii="Arial" w:hAnsi="Arial" w:cs="Arial"/>
          <w:b/>
          <w:color w:val="auto"/>
          <w:sz w:val="20"/>
        </w:rPr>
        <w:t>Pathways</w:t>
      </w:r>
      <w:r w:rsidR="00C026A6" w:rsidRPr="00EA59C0">
        <w:rPr>
          <w:rFonts w:ascii="Arial" w:hAnsi="Arial" w:cs="Arial"/>
          <w:b/>
          <w:color w:val="auto"/>
          <w:sz w:val="20"/>
        </w:rPr>
        <w:t xml:space="preserve"> </w:t>
      </w:r>
      <w:r w:rsidRPr="00EA59C0">
        <w:rPr>
          <w:rFonts w:ascii="Arial" w:hAnsi="Arial" w:cs="Arial"/>
          <w:b/>
          <w:color w:val="auto"/>
          <w:sz w:val="20"/>
        </w:rPr>
        <w:t>Community</w:t>
      </w:r>
      <w:r w:rsidR="00C026A6" w:rsidRPr="00EA59C0">
        <w:rPr>
          <w:rFonts w:ascii="Arial" w:hAnsi="Arial" w:cs="Arial"/>
          <w:b/>
          <w:color w:val="auto"/>
          <w:sz w:val="20"/>
        </w:rPr>
        <w:t xml:space="preserve"> </w:t>
      </w:r>
      <w:r w:rsidRPr="00EA59C0">
        <w:rPr>
          <w:rFonts w:ascii="Arial" w:hAnsi="Arial" w:cs="Arial"/>
          <w:b/>
          <w:color w:val="auto"/>
          <w:sz w:val="20"/>
        </w:rPr>
        <w:t>of</w:t>
      </w:r>
      <w:r w:rsidR="00C026A6" w:rsidRPr="00EA59C0">
        <w:rPr>
          <w:rFonts w:ascii="Arial" w:hAnsi="Arial" w:cs="Arial"/>
          <w:b/>
          <w:color w:val="auto"/>
          <w:sz w:val="20"/>
        </w:rPr>
        <w:t xml:space="preserve"> </w:t>
      </w:r>
      <w:r w:rsidRPr="00EA59C0">
        <w:rPr>
          <w:rFonts w:ascii="Arial" w:hAnsi="Arial" w:cs="Arial"/>
          <w:b/>
          <w:color w:val="auto"/>
          <w:sz w:val="20"/>
        </w:rPr>
        <w:t>Practice</w:t>
      </w:r>
      <w:r w:rsidR="00C026A6" w:rsidRPr="00EA59C0">
        <w:rPr>
          <w:rFonts w:ascii="Arial" w:hAnsi="Arial" w:cs="Arial"/>
          <w:color w:val="auto"/>
          <w:sz w:val="20"/>
        </w:rPr>
        <w:t xml:space="preserve"> </w:t>
      </w:r>
      <w:r w:rsidRPr="00EA59C0">
        <w:rPr>
          <w:rFonts w:ascii="Arial" w:hAnsi="Arial" w:cs="Arial"/>
          <w:color w:val="auto"/>
          <w:sz w:val="20"/>
        </w:rPr>
        <w:t>(which</w:t>
      </w:r>
      <w:r w:rsidR="00C026A6" w:rsidRPr="00EA59C0">
        <w:rPr>
          <w:rFonts w:ascii="Arial" w:hAnsi="Arial" w:cs="Arial"/>
          <w:color w:val="auto"/>
          <w:sz w:val="20"/>
        </w:rPr>
        <w:t xml:space="preserve"> </w:t>
      </w:r>
      <w:r w:rsidRPr="00EA59C0">
        <w:rPr>
          <w:rFonts w:ascii="Arial" w:hAnsi="Arial" w:cs="Arial"/>
          <w:color w:val="auto"/>
          <w:sz w:val="20"/>
        </w:rPr>
        <w:t>houses</w:t>
      </w:r>
      <w:r w:rsidR="00C026A6" w:rsidRPr="00EA59C0">
        <w:rPr>
          <w:rFonts w:ascii="Arial" w:hAnsi="Arial" w:cs="Arial"/>
          <w:color w:val="auto"/>
          <w:sz w:val="20"/>
        </w:rPr>
        <w:t xml:space="preserve"> </w:t>
      </w:r>
      <w:r w:rsidRPr="00EA59C0">
        <w:rPr>
          <w:rFonts w:ascii="Arial" w:hAnsi="Arial" w:cs="Arial"/>
          <w:color w:val="auto"/>
          <w:sz w:val="20"/>
        </w:rPr>
        <w:t>all</w:t>
      </w:r>
      <w:r w:rsidR="00C026A6" w:rsidRPr="00EA59C0">
        <w:rPr>
          <w:rFonts w:ascii="Arial" w:hAnsi="Arial" w:cs="Arial"/>
          <w:color w:val="auto"/>
          <w:sz w:val="20"/>
        </w:rPr>
        <w:t xml:space="preserve"> </w:t>
      </w:r>
      <w:r w:rsidRPr="00EA59C0">
        <w:rPr>
          <w:rFonts w:ascii="Arial" w:hAnsi="Arial" w:cs="Arial"/>
          <w:color w:val="auto"/>
          <w:sz w:val="20"/>
        </w:rPr>
        <w:t>of</w:t>
      </w:r>
      <w:r w:rsidR="00C026A6" w:rsidRPr="00EA59C0">
        <w:rPr>
          <w:rFonts w:ascii="Arial" w:hAnsi="Arial" w:cs="Arial"/>
          <w:color w:val="auto"/>
          <w:sz w:val="20"/>
        </w:rPr>
        <w:t xml:space="preserve"> </w:t>
      </w:r>
      <w:r w:rsidRPr="00EA59C0">
        <w:rPr>
          <w:rFonts w:ascii="Arial" w:hAnsi="Arial" w:cs="Arial"/>
          <w:color w:val="auto"/>
          <w:sz w:val="20"/>
        </w:rPr>
        <w:t>ETA’s</w:t>
      </w:r>
      <w:r w:rsidR="00C026A6" w:rsidRPr="00EA59C0">
        <w:rPr>
          <w:rFonts w:ascii="Arial" w:hAnsi="Arial" w:cs="Arial"/>
          <w:color w:val="auto"/>
          <w:sz w:val="20"/>
        </w:rPr>
        <w:t xml:space="preserve"> </w:t>
      </w:r>
      <w:r w:rsidRPr="00EA59C0">
        <w:rPr>
          <w:rFonts w:ascii="Arial" w:hAnsi="Arial" w:cs="Arial"/>
          <w:color w:val="auto"/>
          <w:sz w:val="20"/>
        </w:rPr>
        <w:t>Career</w:t>
      </w:r>
      <w:r w:rsidR="00C026A6" w:rsidRPr="00EA59C0">
        <w:rPr>
          <w:rFonts w:ascii="Arial" w:hAnsi="Arial" w:cs="Arial"/>
          <w:color w:val="auto"/>
          <w:sz w:val="20"/>
        </w:rPr>
        <w:t xml:space="preserve"> </w:t>
      </w:r>
      <w:r w:rsidRPr="00EA59C0">
        <w:rPr>
          <w:rFonts w:ascii="Arial" w:hAnsi="Arial" w:cs="Arial"/>
          <w:color w:val="auto"/>
          <w:sz w:val="20"/>
        </w:rPr>
        <w:t>Pathways</w:t>
      </w:r>
      <w:r w:rsidR="00C026A6" w:rsidRPr="00EA59C0">
        <w:rPr>
          <w:rFonts w:ascii="Arial" w:hAnsi="Arial" w:cs="Arial"/>
          <w:color w:val="auto"/>
          <w:sz w:val="20"/>
        </w:rPr>
        <w:t xml:space="preserve"> </w:t>
      </w:r>
      <w:r w:rsidRPr="00EA59C0">
        <w:rPr>
          <w:rFonts w:ascii="Arial" w:hAnsi="Arial" w:cs="Arial"/>
          <w:color w:val="auto"/>
          <w:sz w:val="20"/>
        </w:rPr>
        <w:t>Resources</w:t>
      </w:r>
      <w:r w:rsidR="00C026A6" w:rsidRPr="00EA59C0">
        <w:rPr>
          <w:rFonts w:ascii="Arial" w:hAnsi="Arial" w:cs="Arial"/>
          <w:color w:val="auto"/>
          <w:sz w:val="20"/>
        </w:rPr>
        <w:t xml:space="preserve"> </w:t>
      </w:r>
      <w:r w:rsidRPr="00EA59C0">
        <w:rPr>
          <w:rFonts w:ascii="Arial" w:hAnsi="Arial" w:cs="Arial"/>
          <w:color w:val="auto"/>
          <w:sz w:val="20"/>
        </w:rPr>
        <w:t>noted</w:t>
      </w:r>
      <w:r w:rsidR="00C026A6" w:rsidRPr="00EA59C0">
        <w:rPr>
          <w:rFonts w:ascii="Arial" w:hAnsi="Arial" w:cs="Arial"/>
          <w:color w:val="auto"/>
          <w:sz w:val="20"/>
        </w:rPr>
        <w:t xml:space="preserve"> </w:t>
      </w:r>
      <w:r w:rsidRPr="00EA59C0">
        <w:rPr>
          <w:rFonts w:ascii="Arial" w:hAnsi="Arial" w:cs="Arial"/>
          <w:color w:val="auto"/>
          <w:sz w:val="20"/>
        </w:rPr>
        <w:t>in</w:t>
      </w:r>
      <w:r w:rsidR="00C026A6" w:rsidRPr="00EA59C0">
        <w:rPr>
          <w:rFonts w:ascii="Arial" w:hAnsi="Arial" w:cs="Arial"/>
          <w:color w:val="auto"/>
          <w:sz w:val="20"/>
        </w:rPr>
        <w:t xml:space="preserve"> </w:t>
      </w:r>
      <w:r w:rsidRPr="00EA59C0">
        <w:rPr>
          <w:rFonts w:ascii="Arial" w:hAnsi="Arial" w:cs="Arial"/>
          <w:color w:val="auto"/>
          <w:sz w:val="20"/>
        </w:rPr>
        <w:t>TEN</w:t>
      </w:r>
      <w:r w:rsidR="00C026A6" w:rsidRPr="00EA59C0">
        <w:rPr>
          <w:rFonts w:ascii="Arial" w:hAnsi="Arial" w:cs="Arial"/>
          <w:color w:val="auto"/>
          <w:sz w:val="20"/>
        </w:rPr>
        <w:t xml:space="preserve"> </w:t>
      </w:r>
      <w:r w:rsidRPr="00EA59C0">
        <w:rPr>
          <w:rFonts w:ascii="Arial" w:hAnsi="Arial" w:cs="Arial"/>
          <w:color w:val="auto"/>
          <w:sz w:val="20"/>
        </w:rPr>
        <w:t>39</w:t>
      </w:r>
      <w:r w:rsidR="00C026A6" w:rsidRPr="00EA59C0">
        <w:rPr>
          <w:rFonts w:ascii="Arial" w:hAnsi="Arial" w:cs="Arial"/>
          <w:color w:val="auto"/>
          <w:sz w:val="20"/>
        </w:rPr>
        <w:t xml:space="preserve"> </w:t>
      </w:r>
      <w:r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11)</w:t>
      </w:r>
      <w:r w:rsidR="00C026A6" w:rsidRPr="00EA59C0">
        <w:rPr>
          <w:rFonts w:ascii="Arial" w:hAnsi="Arial" w:cs="Arial"/>
          <w:color w:val="auto"/>
          <w:sz w:val="20"/>
        </w:rPr>
        <w:t xml:space="preserve"> </w:t>
      </w:r>
    </w:p>
    <w:p w:rsidR="008826BE" w:rsidRPr="00EA59C0" w:rsidRDefault="00DF2916" w:rsidP="00DB00BB">
      <w:pPr>
        <w:pStyle w:val="Default"/>
        <w:rPr>
          <w:rFonts w:ascii="Arial" w:hAnsi="Arial" w:cs="Arial"/>
          <w:color w:val="auto"/>
          <w:sz w:val="20"/>
        </w:rPr>
      </w:pPr>
      <w:hyperlink r:id="rId302" w:history="1">
        <w:r w:rsidR="008826BE" w:rsidRPr="00EA59C0">
          <w:rPr>
            <w:rStyle w:val="Hyperlink"/>
            <w:rFonts w:ascii="Arial" w:hAnsi="Arial" w:cs="Arial"/>
            <w:color w:val="auto"/>
            <w:sz w:val="20"/>
          </w:rPr>
          <w:t>https://www.learnwork.workforce3one.org</w:t>
        </w:r>
      </w:hyperlink>
    </w:p>
    <w:p w:rsidR="008826BE" w:rsidRPr="00EA59C0" w:rsidRDefault="008826BE" w:rsidP="00DB00BB">
      <w:pPr>
        <w:pStyle w:val="Default"/>
        <w:rPr>
          <w:rFonts w:ascii="Arial" w:hAnsi="Arial" w:cs="Arial"/>
          <w:color w:val="auto"/>
          <w:sz w:val="20"/>
        </w:rPr>
      </w:pPr>
    </w:p>
    <w:p w:rsidR="008826BE" w:rsidRPr="00EA59C0" w:rsidRDefault="008826BE" w:rsidP="00DB00BB">
      <w:pPr>
        <w:pStyle w:val="Default"/>
        <w:rPr>
          <w:rFonts w:ascii="Arial" w:hAnsi="Arial" w:cs="Arial"/>
          <w:color w:val="auto"/>
          <w:sz w:val="20"/>
        </w:rPr>
      </w:pPr>
      <w:r w:rsidRPr="00EA59C0">
        <w:rPr>
          <w:rFonts w:ascii="Arial" w:hAnsi="Arial" w:cs="Arial"/>
          <w:b/>
          <w:color w:val="auto"/>
          <w:sz w:val="20"/>
        </w:rPr>
        <w:t>ETA-commissioned</w:t>
      </w:r>
      <w:r w:rsidR="00C026A6" w:rsidRPr="00EA59C0">
        <w:rPr>
          <w:rFonts w:ascii="Arial" w:hAnsi="Arial" w:cs="Arial"/>
          <w:b/>
          <w:color w:val="auto"/>
          <w:sz w:val="20"/>
        </w:rPr>
        <w:t xml:space="preserve"> </w:t>
      </w:r>
      <w:r w:rsidRPr="00EA59C0">
        <w:rPr>
          <w:rFonts w:ascii="Arial" w:hAnsi="Arial" w:cs="Arial"/>
          <w:b/>
          <w:color w:val="auto"/>
          <w:sz w:val="20"/>
        </w:rPr>
        <w:t>paper</w:t>
      </w:r>
      <w:r w:rsidR="00C026A6" w:rsidRPr="00EA59C0">
        <w:rPr>
          <w:rFonts w:ascii="Arial" w:hAnsi="Arial" w:cs="Arial"/>
          <w:b/>
          <w:color w:val="auto"/>
          <w:sz w:val="20"/>
        </w:rPr>
        <w:t xml:space="preserve"> </w:t>
      </w:r>
      <w:r w:rsidRPr="00EA59C0">
        <w:rPr>
          <w:rFonts w:ascii="Arial" w:hAnsi="Arial" w:cs="Arial"/>
          <w:b/>
          <w:color w:val="auto"/>
          <w:sz w:val="20"/>
        </w:rPr>
        <w:t>on</w:t>
      </w:r>
      <w:r w:rsidR="00C026A6" w:rsidRPr="00EA59C0">
        <w:rPr>
          <w:rFonts w:ascii="Arial" w:hAnsi="Arial" w:cs="Arial"/>
          <w:b/>
          <w:color w:val="auto"/>
          <w:sz w:val="20"/>
        </w:rPr>
        <w:t xml:space="preserve"> </w:t>
      </w:r>
      <w:r w:rsidRPr="00EA59C0">
        <w:rPr>
          <w:rFonts w:ascii="Arial" w:hAnsi="Arial" w:cs="Arial"/>
          <w:b/>
          <w:color w:val="auto"/>
          <w:sz w:val="20"/>
        </w:rPr>
        <w:t>Career</w:t>
      </w:r>
      <w:r w:rsidR="00C026A6" w:rsidRPr="00EA59C0">
        <w:rPr>
          <w:rFonts w:ascii="Arial" w:hAnsi="Arial" w:cs="Arial"/>
          <w:b/>
          <w:color w:val="auto"/>
          <w:sz w:val="20"/>
        </w:rPr>
        <w:t xml:space="preserve"> </w:t>
      </w:r>
      <w:r w:rsidRPr="00EA59C0">
        <w:rPr>
          <w:rFonts w:ascii="Arial" w:hAnsi="Arial" w:cs="Arial"/>
          <w:b/>
          <w:color w:val="auto"/>
          <w:sz w:val="20"/>
        </w:rPr>
        <w:t>Pathways</w:t>
      </w:r>
      <w:r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Promise</w:t>
      </w:r>
      <w:r w:rsidR="00C026A6" w:rsidRPr="00EA59C0">
        <w:rPr>
          <w:rFonts w:ascii="Arial" w:hAnsi="Arial" w:cs="Arial"/>
          <w:color w:val="auto"/>
          <w:sz w:val="20"/>
        </w:rPr>
        <w:t xml:space="preserve"> </w:t>
      </w:r>
      <w:r w:rsidRPr="00EA59C0">
        <w:rPr>
          <w:rFonts w:ascii="Arial" w:hAnsi="Arial" w:cs="Arial"/>
          <w:color w:val="auto"/>
          <w:sz w:val="20"/>
        </w:rPr>
        <w:t>of</w:t>
      </w:r>
      <w:r w:rsidR="00C026A6" w:rsidRPr="00EA59C0">
        <w:rPr>
          <w:rFonts w:ascii="Arial" w:hAnsi="Arial" w:cs="Arial"/>
          <w:color w:val="auto"/>
          <w:sz w:val="20"/>
        </w:rPr>
        <w:t xml:space="preserve"> </w:t>
      </w:r>
      <w:r w:rsidRPr="00EA59C0">
        <w:rPr>
          <w:rFonts w:ascii="Arial" w:hAnsi="Arial" w:cs="Arial"/>
          <w:color w:val="auto"/>
          <w:sz w:val="20"/>
        </w:rPr>
        <w:t>Career</w:t>
      </w:r>
      <w:r w:rsidR="00C026A6" w:rsidRPr="00EA59C0">
        <w:rPr>
          <w:rFonts w:ascii="Arial" w:hAnsi="Arial" w:cs="Arial"/>
          <w:color w:val="auto"/>
          <w:sz w:val="20"/>
        </w:rPr>
        <w:t xml:space="preserve"> </w:t>
      </w:r>
      <w:r w:rsidRPr="00EA59C0">
        <w:rPr>
          <w:rFonts w:ascii="Arial" w:hAnsi="Arial" w:cs="Arial"/>
          <w:color w:val="auto"/>
          <w:sz w:val="20"/>
        </w:rPr>
        <w:t>Pathways</w:t>
      </w:r>
      <w:r w:rsidR="00C026A6" w:rsidRPr="00EA59C0">
        <w:rPr>
          <w:rFonts w:ascii="Arial" w:hAnsi="Arial" w:cs="Arial"/>
          <w:color w:val="auto"/>
          <w:sz w:val="20"/>
        </w:rPr>
        <w:t xml:space="preserve"> </w:t>
      </w:r>
      <w:r w:rsidRPr="00EA59C0">
        <w:rPr>
          <w:rFonts w:ascii="Arial" w:hAnsi="Arial" w:cs="Arial"/>
          <w:color w:val="auto"/>
          <w:sz w:val="20"/>
        </w:rPr>
        <w:t>Systems</w:t>
      </w:r>
      <w:r w:rsidR="00C026A6" w:rsidRPr="00EA59C0">
        <w:rPr>
          <w:rFonts w:ascii="Arial" w:hAnsi="Arial" w:cs="Arial"/>
          <w:color w:val="auto"/>
          <w:sz w:val="20"/>
        </w:rPr>
        <w:t xml:space="preserve"> </w:t>
      </w:r>
      <w:r w:rsidRPr="00EA59C0">
        <w:rPr>
          <w:rFonts w:ascii="Arial" w:hAnsi="Arial" w:cs="Arial"/>
          <w:color w:val="auto"/>
          <w:sz w:val="20"/>
        </w:rPr>
        <w:t>Change</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Initiatives,”</w:t>
      </w:r>
      <w:r w:rsidR="00C026A6" w:rsidRPr="00EA59C0">
        <w:rPr>
          <w:rFonts w:ascii="Arial" w:hAnsi="Arial" w:cs="Arial"/>
          <w:color w:val="auto"/>
          <w:sz w:val="20"/>
        </w:rPr>
        <w:t xml:space="preserve"> </w:t>
      </w:r>
      <w:r w:rsidRPr="00EA59C0">
        <w:rPr>
          <w:rFonts w:ascii="Arial" w:hAnsi="Arial" w:cs="Arial"/>
          <w:color w:val="auto"/>
          <w:sz w:val="20"/>
        </w:rPr>
        <w:t>written</w:t>
      </w:r>
      <w:r w:rsidR="00C026A6" w:rsidRPr="00EA59C0">
        <w:rPr>
          <w:rFonts w:ascii="Arial" w:hAnsi="Arial" w:cs="Arial"/>
          <w:color w:val="auto"/>
          <w:sz w:val="20"/>
        </w:rPr>
        <w:t xml:space="preserve"> </w:t>
      </w:r>
      <w:r w:rsidRPr="00EA59C0">
        <w:rPr>
          <w:rFonts w:ascii="Arial" w:hAnsi="Arial" w:cs="Arial"/>
          <w:color w:val="auto"/>
          <w:sz w:val="20"/>
        </w:rPr>
        <w:t>by</w:t>
      </w:r>
      <w:r w:rsidR="00C026A6" w:rsidRPr="00EA59C0">
        <w:rPr>
          <w:rFonts w:ascii="Arial" w:hAnsi="Arial" w:cs="Arial"/>
          <w:color w:val="auto"/>
          <w:sz w:val="20"/>
        </w:rPr>
        <w:t xml:space="preserve"> </w:t>
      </w:r>
      <w:r w:rsidRPr="00EA59C0">
        <w:rPr>
          <w:rFonts w:ascii="Arial" w:hAnsi="Arial" w:cs="Arial"/>
          <w:color w:val="auto"/>
          <w:sz w:val="20"/>
        </w:rPr>
        <w:t>Jobs</w:t>
      </w:r>
      <w:r w:rsidR="00C026A6" w:rsidRPr="00EA59C0">
        <w:rPr>
          <w:rFonts w:ascii="Arial" w:hAnsi="Arial" w:cs="Arial"/>
          <w:color w:val="auto"/>
          <w:sz w:val="20"/>
        </w:rPr>
        <w:t xml:space="preserve"> </w:t>
      </w:r>
      <w:r w:rsidRPr="00EA59C0">
        <w:rPr>
          <w:rFonts w:ascii="Arial" w:hAnsi="Arial" w:cs="Arial"/>
          <w:color w:val="auto"/>
          <w:sz w:val="20"/>
        </w:rPr>
        <w:t>for</w:t>
      </w:r>
      <w:r w:rsidR="00C026A6" w:rsidRPr="00EA59C0">
        <w:rPr>
          <w:rFonts w:ascii="Arial" w:hAnsi="Arial" w:cs="Arial"/>
          <w:color w:val="auto"/>
          <w:sz w:val="20"/>
        </w:rPr>
        <w:t xml:space="preserve"> </w:t>
      </w: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Future</w:t>
      </w:r>
      <w:r w:rsidR="00C026A6" w:rsidRPr="00EA59C0">
        <w:rPr>
          <w:rFonts w:ascii="Arial" w:hAnsi="Arial" w:cs="Arial"/>
          <w:color w:val="auto"/>
          <w:sz w:val="20"/>
        </w:rPr>
        <w:t xml:space="preserve"> </w:t>
      </w:r>
      <w:hyperlink r:id="rId303" w:history="1">
        <w:r w:rsidRPr="00EA59C0">
          <w:rPr>
            <w:rStyle w:val="Hyperlink"/>
            <w:rFonts w:ascii="Arial" w:hAnsi="Arial" w:cs="Arial"/>
            <w:color w:val="auto"/>
            <w:sz w:val="20"/>
          </w:rPr>
          <w:t>https://learnwork.workforce3one.org/view/2001211552377142756/info</w:t>
        </w:r>
      </w:hyperlink>
      <w:r w:rsidR="00C026A6" w:rsidRPr="00EA59C0">
        <w:rPr>
          <w:rFonts w:ascii="Arial" w:hAnsi="Arial" w:cs="Arial"/>
          <w:color w:val="auto"/>
          <w:sz w:val="20"/>
        </w:rPr>
        <w:t xml:space="preserve"> </w:t>
      </w:r>
      <w:r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available</w:t>
      </w:r>
      <w:r w:rsidR="00C026A6" w:rsidRPr="00EA59C0">
        <w:rPr>
          <w:rFonts w:ascii="Arial" w:hAnsi="Arial" w:cs="Arial"/>
          <w:color w:val="auto"/>
          <w:sz w:val="20"/>
        </w:rPr>
        <w:t xml:space="preserve"> </w:t>
      </w:r>
      <w:r w:rsidRPr="00EA59C0">
        <w:rPr>
          <w:rFonts w:ascii="Arial" w:hAnsi="Arial" w:cs="Arial"/>
          <w:color w:val="auto"/>
          <w:sz w:val="20"/>
        </w:rPr>
        <w:t>for</w:t>
      </w:r>
      <w:r w:rsidR="00C026A6" w:rsidRPr="00EA59C0">
        <w:rPr>
          <w:rFonts w:ascii="Arial" w:hAnsi="Arial" w:cs="Arial"/>
          <w:color w:val="auto"/>
          <w:sz w:val="20"/>
        </w:rPr>
        <w:t xml:space="preserve"> </w:t>
      </w:r>
      <w:r w:rsidRPr="00EA59C0">
        <w:rPr>
          <w:rFonts w:ascii="Arial" w:hAnsi="Arial" w:cs="Arial"/>
          <w:color w:val="auto"/>
          <w:sz w:val="20"/>
        </w:rPr>
        <w:t>download</w:t>
      </w:r>
    </w:p>
    <w:p w:rsidR="008826BE" w:rsidRPr="00EA59C0" w:rsidRDefault="008826BE" w:rsidP="00DB00BB">
      <w:pPr>
        <w:pStyle w:val="Default"/>
        <w:rPr>
          <w:rFonts w:ascii="Arial" w:hAnsi="Arial" w:cs="Arial"/>
          <w:color w:val="auto"/>
          <w:sz w:val="20"/>
        </w:rPr>
      </w:pPr>
    </w:p>
    <w:p w:rsidR="00B752E6" w:rsidRPr="00EA59C0" w:rsidRDefault="008826BE" w:rsidP="00B752E6">
      <w:pPr>
        <w:rPr>
          <w:rFonts w:ascii="Arial" w:hAnsi="Arial" w:cs="Arial"/>
          <w:sz w:val="20"/>
        </w:rPr>
      </w:pPr>
      <w:r w:rsidRPr="00EA59C0">
        <w:rPr>
          <w:rFonts w:ascii="Arial" w:hAnsi="Arial" w:cs="Arial"/>
          <w:b/>
          <w:sz w:val="20"/>
        </w:rPr>
        <w:t>ETA</w:t>
      </w:r>
      <w:r w:rsidR="00C026A6" w:rsidRPr="00EA59C0">
        <w:rPr>
          <w:rFonts w:ascii="Arial" w:hAnsi="Arial" w:cs="Arial"/>
          <w:b/>
          <w:sz w:val="20"/>
        </w:rPr>
        <w:t xml:space="preserve"> </w:t>
      </w:r>
      <w:r w:rsidRPr="00EA59C0">
        <w:rPr>
          <w:rFonts w:ascii="Arial" w:hAnsi="Arial" w:cs="Arial"/>
          <w:b/>
          <w:sz w:val="20"/>
        </w:rPr>
        <w:t>Career</w:t>
      </w:r>
      <w:r w:rsidR="00C026A6" w:rsidRPr="00EA59C0">
        <w:rPr>
          <w:rFonts w:ascii="Arial" w:hAnsi="Arial" w:cs="Arial"/>
          <w:b/>
          <w:sz w:val="20"/>
        </w:rPr>
        <w:t xml:space="preserve"> </w:t>
      </w:r>
      <w:r w:rsidRPr="00EA59C0">
        <w:rPr>
          <w:rFonts w:ascii="Arial" w:hAnsi="Arial" w:cs="Arial"/>
          <w:b/>
          <w:sz w:val="20"/>
        </w:rPr>
        <w:t>Pathways</w:t>
      </w:r>
      <w:r w:rsidR="00C026A6" w:rsidRPr="00EA59C0">
        <w:rPr>
          <w:rFonts w:ascii="Arial" w:hAnsi="Arial" w:cs="Arial"/>
          <w:b/>
          <w:sz w:val="20"/>
        </w:rPr>
        <w:t xml:space="preserve"> </w:t>
      </w:r>
      <w:r w:rsidRPr="00EA59C0">
        <w:rPr>
          <w:rFonts w:ascii="Arial" w:hAnsi="Arial" w:cs="Arial"/>
          <w:b/>
          <w:sz w:val="20"/>
        </w:rPr>
        <w:t>Toolkit</w:t>
      </w:r>
      <w:r w:rsidR="00C026A6" w:rsidRPr="00EA59C0">
        <w:rPr>
          <w:rFonts w:ascii="Arial" w:hAnsi="Arial" w:cs="Arial"/>
          <w:b/>
          <w:sz w:val="20"/>
        </w:rPr>
        <w:t xml:space="preserve"> </w:t>
      </w:r>
      <w:r w:rsidR="00B752E6" w:rsidRPr="00EA59C0">
        <w:rPr>
          <w:rFonts w:ascii="Arial" w:hAnsi="Arial" w:cs="Arial"/>
          <w:b/>
          <w:sz w:val="20"/>
        </w:rPr>
        <w:t>–</w:t>
      </w:r>
      <w:r w:rsidR="00C026A6" w:rsidRPr="00EA59C0">
        <w:rPr>
          <w:rFonts w:ascii="Arial" w:hAnsi="Arial" w:cs="Arial"/>
          <w:sz w:val="20"/>
        </w:rPr>
        <w:t xml:space="preserve"> </w:t>
      </w:r>
      <w:r w:rsidR="00B752E6" w:rsidRPr="00EA59C0">
        <w:rPr>
          <w:rFonts w:ascii="Arial" w:hAnsi="Arial" w:cs="Arial"/>
          <w:sz w:val="20"/>
        </w:rPr>
        <w:t>This</w:t>
      </w:r>
      <w:r w:rsidR="00C026A6" w:rsidRPr="00EA59C0">
        <w:rPr>
          <w:rFonts w:ascii="Arial" w:hAnsi="Arial" w:cs="Arial"/>
          <w:sz w:val="20"/>
        </w:rPr>
        <w:t xml:space="preserve"> </w:t>
      </w:r>
      <w:r w:rsidR="00B752E6" w:rsidRPr="00EA59C0">
        <w:rPr>
          <w:rFonts w:ascii="Arial" w:hAnsi="Arial" w:cs="Arial"/>
          <w:sz w:val="20"/>
        </w:rPr>
        <w:t>Toolkit</w:t>
      </w:r>
      <w:r w:rsidR="00C026A6" w:rsidRPr="00EA59C0">
        <w:rPr>
          <w:rFonts w:ascii="Arial" w:hAnsi="Arial" w:cs="Arial"/>
          <w:sz w:val="20"/>
        </w:rPr>
        <w:t xml:space="preserve"> </w:t>
      </w:r>
      <w:r w:rsidR="00B752E6" w:rsidRPr="00EA59C0">
        <w:rPr>
          <w:rFonts w:ascii="Arial" w:hAnsi="Arial" w:cs="Arial"/>
          <w:sz w:val="20"/>
        </w:rPr>
        <w:t>offers</w:t>
      </w:r>
      <w:r w:rsidR="00C026A6" w:rsidRPr="00EA59C0">
        <w:rPr>
          <w:rFonts w:ascii="Arial" w:hAnsi="Arial" w:cs="Arial"/>
          <w:sz w:val="20"/>
        </w:rPr>
        <w:t xml:space="preserve"> </w:t>
      </w:r>
      <w:r w:rsidR="00B752E6" w:rsidRPr="00EA59C0">
        <w:rPr>
          <w:rFonts w:ascii="Arial" w:hAnsi="Arial" w:cs="Arial"/>
          <w:sz w:val="20"/>
        </w:rPr>
        <w:t>a</w:t>
      </w:r>
      <w:r w:rsidR="00C026A6" w:rsidRPr="00EA59C0">
        <w:rPr>
          <w:rFonts w:ascii="Arial" w:hAnsi="Arial" w:cs="Arial"/>
          <w:sz w:val="20"/>
        </w:rPr>
        <w:t xml:space="preserve"> </w:t>
      </w:r>
      <w:r w:rsidR="00B752E6" w:rsidRPr="00EA59C0">
        <w:rPr>
          <w:rFonts w:ascii="Arial" w:hAnsi="Arial" w:cs="Arial"/>
          <w:sz w:val="20"/>
        </w:rPr>
        <w:t>clear</w:t>
      </w:r>
      <w:r w:rsidR="00C026A6" w:rsidRPr="00EA59C0">
        <w:rPr>
          <w:rFonts w:ascii="Arial" w:hAnsi="Arial" w:cs="Arial"/>
          <w:sz w:val="20"/>
        </w:rPr>
        <w:t xml:space="preserve"> </w:t>
      </w:r>
      <w:r w:rsidR="00B752E6" w:rsidRPr="00EA59C0">
        <w:rPr>
          <w:rFonts w:ascii="Arial" w:hAnsi="Arial" w:cs="Arial"/>
          <w:sz w:val="20"/>
        </w:rPr>
        <w:t>and</w:t>
      </w:r>
      <w:r w:rsidR="00C026A6" w:rsidRPr="00EA59C0">
        <w:rPr>
          <w:rFonts w:ascii="Arial" w:hAnsi="Arial" w:cs="Arial"/>
          <w:sz w:val="20"/>
        </w:rPr>
        <w:t xml:space="preserve"> </w:t>
      </w:r>
      <w:r w:rsidR="00B752E6" w:rsidRPr="00EA59C0">
        <w:rPr>
          <w:rFonts w:ascii="Arial" w:hAnsi="Arial" w:cs="Arial"/>
          <w:sz w:val="20"/>
        </w:rPr>
        <w:t>user-friendly</w:t>
      </w:r>
      <w:r w:rsidR="00C026A6" w:rsidRPr="00EA59C0">
        <w:rPr>
          <w:rFonts w:ascii="Arial" w:hAnsi="Arial" w:cs="Arial"/>
          <w:sz w:val="20"/>
        </w:rPr>
        <w:t xml:space="preserve"> </w:t>
      </w:r>
      <w:r w:rsidR="00B752E6" w:rsidRPr="00EA59C0">
        <w:rPr>
          <w:rFonts w:ascii="Arial" w:hAnsi="Arial" w:cs="Arial"/>
          <w:sz w:val="20"/>
        </w:rPr>
        <w:t>road</w:t>
      </w:r>
      <w:r w:rsidR="00C026A6" w:rsidRPr="00EA59C0">
        <w:rPr>
          <w:rFonts w:ascii="Arial" w:hAnsi="Arial" w:cs="Arial"/>
          <w:sz w:val="20"/>
        </w:rPr>
        <w:t xml:space="preserve"> </w:t>
      </w:r>
      <w:r w:rsidR="00B752E6" w:rsidRPr="00EA59C0">
        <w:rPr>
          <w:rFonts w:ascii="Arial" w:hAnsi="Arial" w:cs="Arial"/>
          <w:sz w:val="20"/>
        </w:rPr>
        <w:t>map</w:t>
      </w:r>
      <w:r w:rsidR="00C026A6" w:rsidRPr="00EA59C0">
        <w:rPr>
          <w:rFonts w:ascii="Arial" w:hAnsi="Arial" w:cs="Arial"/>
          <w:sz w:val="20"/>
        </w:rPr>
        <w:t xml:space="preserve"> </w:t>
      </w:r>
      <w:r w:rsidR="00B752E6" w:rsidRPr="00EA59C0">
        <w:rPr>
          <w:rFonts w:ascii="Arial" w:hAnsi="Arial" w:cs="Arial"/>
          <w:sz w:val="20"/>
        </w:rPr>
        <w:t>for</w:t>
      </w:r>
      <w:r w:rsidR="00C026A6" w:rsidRPr="00EA59C0">
        <w:rPr>
          <w:rFonts w:ascii="Arial" w:hAnsi="Arial" w:cs="Arial"/>
          <w:sz w:val="20"/>
        </w:rPr>
        <w:t xml:space="preserve"> </w:t>
      </w:r>
      <w:r w:rsidR="00B752E6" w:rsidRPr="00EA59C0">
        <w:rPr>
          <w:rFonts w:ascii="Arial" w:hAnsi="Arial" w:cs="Arial"/>
          <w:sz w:val="20"/>
        </w:rPr>
        <w:t>administrators,</w:t>
      </w:r>
      <w:r w:rsidR="00C026A6" w:rsidRPr="00EA59C0">
        <w:rPr>
          <w:rFonts w:ascii="Arial" w:hAnsi="Arial" w:cs="Arial"/>
          <w:sz w:val="20"/>
        </w:rPr>
        <w:t xml:space="preserve"> </w:t>
      </w:r>
      <w:r w:rsidR="00B752E6" w:rsidRPr="00EA59C0">
        <w:rPr>
          <w:rFonts w:ascii="Arial" w:hAnsi="Arial" w:cs="Arial"/>
          <w:sz w:val="20"/>
        </w:rPr>
        <w:t>practitioners,</w:t>
      </w:r>
      <w:r w:rsidR="00C026A6" w:rsidRPr="00EA59C0">
        <w:rPr>
          <w:rFonts w:ascii="Arial" w:hAnsi="Arial" w:cs="Arial"/>
          <w:sz w:val="20"/>
        </w:rPr>
        <w:t xml:space="preserve"> </w:t>
      </w:r>
      <w:r w:rsidR="00B752E6" w:rsidRPr="00EA59C0">
        <w:rPr>
          <w:rFonts w:ascii="Arial" w:hAnsi="Arial" w:cs="Arial"/>
          <w:sz w:val="20"/>
        </w:rPr>
        <w:t>and</w:t>
      </w:r>
      <w:r w:rsidR="00C026A6" w:rsidRPr="00EA59C0">
        <w:rPr>
          <w:rFonts w:ascii="Arial" w:hAnsi="Arial" w:cs="Arial"/>
          <w:sz w:val="20"/>
        </w:rPr>
        <w:t xml:space="preserve"> </w:t>
      </w:r>
      <w:r w:rsidR="00B752E6" w:rsidRPr="00EA59C0">
        <w:rPr>
          <w:rFonts w:ascii="Arial" w:hAnsi="Arial" w:cs="Arial"/>
          <w:sz w:val="20"/>
        </w:rPr>
        <w:t>policymakers</w:t>
      </w:r>
      <w:r w:rsidR="00C026A6" w:rsidRPr="00EA59C0">
        <w:rPr>
          <w:rFonts w:ascii="Arial" w:hAnsi="Arial" w:cs="Arial"/>
          <w:sz w:val="20"/>
        </w:rPr>
        <w:t xml:space="preserve"> </w:t>
      </w:r>
      <w:r w:rsidR="00B752E6" w:rsidRPr="00EA59C0">
        <w:rPr>
          <w:rFonts w:ascii="Arial" w:hAnsi="Arial" w:cs="Arial"/>
          <w:sz w:val="20"/>
        </w:rPr>
        <w:t>developing</w:t>
      </w:r>
      <w:r w:rsidR="00C026A6" w:rsidRPr="00EA59C0">
        <w:rPr>
          <w:rFonts w:ascii="Arial" w:hAnsi="Arial" w:cs="Arial"/>
          <w:sz w:val="20"/>
        </w:rPr>
        <w:t xml:space="preserve"> </w:t>
      </w:r>
      <w:r w:rsidR="00B752E6" w:rsidRPr="00EA59C0">
        <w:rPr>
          <w:rFonts w:ascii="Arial" w:hAnsi="Arial" w:cs="Arial"/>
          <w:sz w:val="20"/>
        </w:rPr>
        <w:t>career</w:t>
      </w:r>
      <w:r w:rsidR="00C026A6" w:rsidRPr="00EA59C0">
        <w:rPr>
          <w:rFonts w:ascii="Arial" w:hAnsi="Arial" w:cs="Arial"/>
          <w:sz w:val="20"/>
        </w:rPr>
        <w:t xml:space="preserve"> </w:t>
      </w:r>
      <w:r w:rsidR="00B752E6" w:rsidRPr="00EA59C0">
        <w:rPr>
          <w:rFonts w:ascii="Arial" w:hAnsi="Arial" w:cs="Arial"/>
          <w:sz w:val="20"/>
        </w:rPr>
        <w:t>pathways</w:t>
      </w:r>
      <w:r w:rsidR="00C026A6" w:rsidRPr="00EA59C0">
        <w:rPr>
          <w:rFonts w:ascii="Arial" w:hAnsi="Arial" w:cs="Arial"/>
          <w:sz w:val="20"/>
        </w:rPr>
        <w:t xml:space="preserve"> </w:t>
      </w:r>
      <w:r w:rsidR="00B752E6" w:rsidRPr="00EA59C0">
        <w:rPr>
          <w:rFonts w:ascii="Arial" w:hAnsi="Arial" w:cs="Arial"/>
          <w:sz w:val="20"/>
        </w:rPr>
        <w:t>systems</w:t>
      </w:r>
      <w:r w:rsidR="00C026A6" w:rsidRPr="00EA59C0">
        <w:rPr>
          <w:rFonts w:ascii="Arial" w:hAnsi="Arial" w:cs="Arial"/>
          <w:sz w:val="20"/>
        </w:rPr>
        <w:t xml:space="preserve"> </w:t>
      </w:r>
      <w:r w:rsidR="00B752E6" w:rsidRPr="00EA59C0">
        <w:rPr>
          <w:rFonts w:ascii="Arial" w:hAnsi="Arial" w:cs="Arial"/>
          <w:sz w:val="20"/>
        </w:rPr>
        <w:t>at</w:t>
      </w:r>
      <w:r w:rsidR="00C026A6" w:rsidRPr="00EA59C0">
        <w:rPr>
          <w:rFonts w:ascii="Arial" w:hAnsi="Arial" w:cs="Arial"/>
          <w:sz w:val="20"/>
        </w:rPr>
        <w:t xml:space="preserve"> </w:t>
      </w:r>
      <w:r w:rsidR="00B752E6" w:rsidRPr="00EA59C0">
        <w:rPr>
          <w:rFonts w:ascii="Arial" w:hAnsi="Arial" w:cs="Arial"/>
          <w:sz w:val="20"/>
        </w:rPr>
        <w:t>state,</w:t>
      </w:r>
      <w:r w:rsidR="00C026A6" w:rsidRPr="00EA59C0">
        <w:rPr>
          <w:rFonts w:ascii="Arial" w:hAnsi="Arial" w:cs="Arial"/>
          <w:sz w:val="20"/>
        </w:rPr>
        <w:t xml:space="preserve"> </w:t>
      </w:r>
      <w:r w:rsidR="00B752E6" w:rsidRPr="00EA59C0">
        <w:rPr>
          <w:rFonts w:ascii="Arial" w:hAnsi="Arial" w:cs="Arial"/>
          <w:sz w:val="20"/>
        </w:rPr>
        <w:t>regional,</w:t>
      </w:r>
      <w:r w:rsidR="00C026A6" w:rsidRPr="00EA59C0">
        <w:rPr>
          <w:rFonts w:ascii="Arial" w:hAnsi="Arial" w:cs="Arial"/>
          <w:sz w:val="20"/>
        </w:rPr>
        <w:t xml:space="preserve"> </w:t>
      </w:r>
      <w:r w:rsidR="00B752E6" w:rsidRPr="00EA59C0">
        <w:rPr>
          <w:rFonts w:ascii="Arial" w:hAnsi="Arial" w:cs="Arial"/>
          <w:sz w:val="20"/>
        </w:rPr>
        <w:t>or</w:t>
      </w:r>
      <w:r w:rsidR="00C026A6" w:rsidRPr="00EA59C0">
        <w:rPr>
          <w:rFonts w:ascii="Arial" w:hAnsi="Arial" w:cs="Arial"/>
          <w:sz w:val="20"/>
        </w:rPr>
        <w:t xml:space="preserve"> </w:t>
      </w:r>
      <w:r w:rsidR="00B752E6" w:rsidRPr="00EA59C0">
        <w:rPr>
          <w:rFonts w:ascii="Arial" w:hAnsi="Arial" w:cs="Arial"/>
          <w:sz w:val="20"/>
        </w:rPr>
        <w:t>local</w:t>
      </w:r>
      <w:r w:rsidR="00C026A6" w:rsidRPr="00EA59C0">
        <w:rPr>
          <w:rFonts w:ascii="Arial" w:hAnsi="Arial" w:cs="Arial"/>
          <w:sz w:val="20"/>
        </w:rPr>
        <w:t xml:space="preserve"> </w:t>
      </w:r>
      <w:r w:rsidR="00B752E6" w:rsidRPr="00EA59C0">
        <w:rPr>
          <w:rFonts w:ascii="Arial" w:hAnsi="Arial" w:cs="Arial"/>
          <w:sz w:val="20"/>
        </w:rPr>
        <w:t>levels.</w:t>
      </w:r>
      <w:r w:rsidR="00C026A6" w:rsidRPr="00EA59C0">
        <w:rPr>
          <w:rFonts w:ascii="Arial" w:hAnsi="Arial" w:cs="Arial"/>
          <w:sz w:val="20"/>
        </w:rPr>
        <w:t xml:space="preserve"> </w:t>
      </w:r>
      <w:r w:rsidR="00B752E6" w:rsidRPr="00EA59C0">
        <w:rPr>
          <w:rFonts w:ascii="Arial" w:hAnsi="Arial" w:cs="Arial"/>
          <w:sz w:val="20"/>
        </w:rPr>
        <w:t>It</w:t>
      </w:r>
      <w:r w:rsidR="00C026A6" w:rsidRPr="00EA59C0">
        <w:rPr>
          <w:rFonts w:ascii="Arial" w:hAnsi="Arial" w:cs="Arial"/>
          <w:sz w:val="20"/>
        </w:rPr>
        <w:t xml:space="preserve"> </w:t>
      </w:r>
      <w:r w:rsidR="00B752E6" w:rsidRPr="00EA59C0">
        <w:rPr>
          <w:rFonts w:ascii="Arial" w:hAnsi="Arial" w:cs="Arial"/>
          <w:sz w:val="20"/>
        </w:rPr>
        <w:t>outlines</w:t>
      </w:r>
      <w:r w:rsidR="00C026A6" w:rsidRPr="00EA59C0">
        <w:rPr>
          <w:rFonts w:ascii="Arial" w:hAnsi="Arial" w:cs="Arial"/>
          <w:sz w:val="20"/>
        </w:rPr>
        <w:t xml:space="preserve"> </w:t>
      </w:r>
      <w:r w:rsidR="00B752E6" w:rsidRPr="00EA59C0">
        <w:rPr>
          <w:rFonts w:ascii="Arial" w:hAnsi="Arial" w:cs="Arial"/>
          <w:sz w:val="20"/>
        </w:rPr>
        <w:t>the</w:t>
      </w:r>
      <w:r w:rsidR="00C026A6" w:rsidRPr="00EA59C0">
        <w:rPr>
          <w:rFonts w:ascii="Arial" w:hAnsi="Arial" w:cs="Arial"/>
          <w:sz w:val="20"/>
        </w:rPr>
        <w:t xml:space="preserve"> </w:t>
      </w:r>
      <w:r w:rsidR="00B752E6" w:rsidRPr="00EA59C0">
        <w:rPr>
          <w:rFonts w:ascii="Arial" w:hAnsi="Arial" w:cs="Arial"/>
          <w:sz w:val="20"/>
        </w:rPr>
        <w:t>Six</w:t>
      </w:r>
      <w:r w:rsidR="00C026A6" w:rsidRPr="00EA59C0">
        <w:rPr>
          <w:rFonts w:ascii="Arial" w:hAnsi="Arial" w:cs="Arial"/>
          <w:sz w:val="20"/>
        </w:rPr>
        <w:t xml:space="preserve"> </w:t>
      </w:r>
      <w:r w:rsidR="00B752E6" w:rsidRPr="00EA59C0">
        <w:rPr>
          <w:rFonts w:ascii="Arial" w:hAnsi="Arial" w:cs="Arial"/>
          <w:sz w:val="20"/>
        </w:rPr>
        <w:t>Key</w:t>
      </w:r>
      <w:r w:rsidR="00C026A6" w:rsidRPr="00EA59C0">
        <w:rPr>
          <w:rFonts w:ascii="Arial" w:hAnsi="Arial" w:cs="Arial"/>
          <w:sz w:val="20"/>
        </w:rPr>
        <w:t xml:space="preserve"> </w:t>
      </w:r>
      <w:r w:rsidR="00B752E6" w:rsidRPr="00EA59C0">
        <w:rPr>
          <w:rFonts w:ascii="Arial" w:hAnsi="Arial" w:cs="Arial"/>
          <w:sz w:val="20"/>
        </w:rPr>
        <w:t>Elements</w:t>
      </w:r>
      <w:r w:rsidR="00C026A6" w:rsidRPr="00EA59C0">
        <w:rPr>
          <w:rFonts w:ascii="Arial" w:hAnsi="Arial" w:cs="Arial"/>
          <w:sz w:val="20"/>
        </w:rPr>
        <w:t xml:space="preserve"> </w:t>
      </w:r>
      <w:r w:rsidR="00B752E6" w:rsidRPr="00EA59C0">
        <w:rPr>
          <w:rFonts w:ascii="Arial" w:hAnsi="Arial" w:cs="Arial"/>
          <w:sz w:val="20"/>
        </w:rPr>
        <w:t>Framework,</w:t>
      </w:r>
      <w:r w:rsidR="00C026A6" w:rsidRPr="00EA59C0">
        <w:rPr>
          <w:rFonts w:ascii="Arial" w:hAnsi="Arial" w:cs="Arial"/>
          <w:sz w:val="20"/>
        </w:rPr>
        <w:t xml:space="preserve"> </w:t>
      </w:r>
      <w:r w:rsidR="00B752E6" w:rsidRPr="00EA59C0">
        <w:rPr>
          <w:rFonts w:ascii="Arial" w:hAnsi="Arial" w:cs="Arial"/>
          <w:sz w:val="20"/>
        </w:rPr>
        <w:t>highlights</w:t>
      </w:r>
      <w:r w:rsidR="00C026A6" w:rsidRPr="00EA59C0">
        <w:rPr>
          <w:rFonts w:ascii="Arial" w:hAnsi="Arial" w:cs="Arial"/>
          <w:sz w:val="20"/>
        </w:rPr>
        <w:t xml:space="preserve"> </w:t>
      </w:r>
      <w:r w:rsidR="00B752E6" w:rsidRPr="00EA59C0">
        <w:rPr>
          <w:rFonts w:ascii="Arial" w:hAnsi="Arial" w:cs="Arial"/>
          <w:sz w:val="20"/>
        </w:rPr>
        <w:t>promising</w:t>
      </w:r>
      <w:r w:rsidR="00C026A6" w:rsidRPr="00EA59C0">
        <w:rPr>
          <w:rFonts w:ascii="Arial" w:hAnsi="Arial" w:cs="Arial"/>
          <w:sz w:val="20"/>
        </w:rPr>
        <w:t xml:space="preserve"> </w:t>
      </w:r>
      <w:r w:rsidR="00B752E6" w:rsidRPr="00EA59C0">
        <w:rPr>
          <w:rFonts w:ascii="Arial" w:hAnsi="Arial" w:cs="Arial"/>
          <w:sz w:val="20"/>
        </w:rPr>
        <w:t>practices</w:t>
      </w:r>
      <w:r w:rsidR="00C026A6" w:rsidRPr="00EA59C0">
        <w:rPr>
          <w:rFonts w:ascii="Arial" w:hAnsi="Arial" w:cs="Arial"/>
          <w:sz w:val="20"/>
        </w:rPr>
        <w:t xml:space="preserve"> </w:t>
      </w:r>
      <w:r w:rsidR="00B752E6" w:rsidRPr="00EA59C0">
        <w:rPr>
          <w:rFonts w:ascii="Arial" w:hAnsi="Arial" w:cs="Arial"/>
          <w:sz w:val="20"/>
        </w:rPr>
        <w:t>and</w:t>
      </w:r>
      <w:r w:rsidR="00C026A6" w:rsidRPr="00EA59C0">
        <w:rPr>
          <w:rFonts w:ascii="Arial" w:hAnsi="Arial" w:cs="Arial"/>
          <w:sz w:val="20"/>
        </w:rPr>
        <w:t xml:space="preserve"> </w:t>
      </w:r>
      <w:r w:rsidR="00B752E6" w:rsidRPr="00EA59C0">
        <w:rPr>
          <w:rFonts w:ascii="Arial" w:hAnsi="Arial" w:cs="Arial"/>
          <w:sz w:val="20"/>
        </w:rPr>
        <w:t>provides</w:t>
      </w:r>
      <w:r w:rsidR="00C026A6" w:rsidRPr="00EA59C0">
        <w:rPr>
          <w:rFonts w:ascii="Arial" w:hAnsi="Arial" w:cs="Arial"/>
          <w:sz w:val="20"/>
        </w:rPr>
        <w:t xml:space="preserve"> </w:t>
      </w:r>
      <w:r w:rsidR="00B752E6" w:rsidRPr="00EA59C0">
        <w:rPr>
          <w:rFonts w:ascii="Arial" w:hAnsi="Arial" w:cs="Arial"/>
          <w:sz w:val="20"/>
        </w:rPr>
        <w:t>tools</w:t>
      </w:r>
      <w:r w:rsidR="00C026A6" w:rsidRPr="00EA59C0">
        <w:rPr>
          <w:rFonts w:ascii="Arial" w:hAnsi="Arial" w:cs="Arial"/>
          <w:sz w:val="20"/>
        </w:rPr>
        <w:t xml:space="preserve"> </w:t>
      </w:r>
      <w:r w:rsidR="00B752E6" w:rsidRPr="00EA59C0">
        <w:rPr>
          <w:rFonts w:ascii="Arial" w:hAnsi="Arial" w:cs="Arial"/>
          <w:sz w:val="20"/>
        </w:rPr>
        <w:t>designed</w:t>
      </w:r>
      <w:r w:rsidR="00C026A6" w:rsidRPr="00EA59C0">
        <w:rPr>
          <w:rFonts w:ascii="Arial" w:hAnsi="Arial" w:cs="Arial"/>
          <w:sz w:val="20"/>
        </w:rPr>
        <w:t xml:space="preserve"> </w:t>
      </w:r>
      <w:r w:rsidR="00B752E6" w:rsidRPr="00EA59C0">
        <w:rPr>
          <w:rFonts w:ascii="Arial" w:hAnsi="Arial" w:cs="Arial"/>
          <w:sz w:val="20"/>
        </w:rPr>
        <w:t>to</w:t>
      </w:r>
      <w:r w:rsidR="00C026A6" w:rsidRPr="00EA59C0">
        <w:rPr>
          <w:rFonts w:ascii="Arial" w:hAnsi="Arial" w:cs="Arial"/>
          <w:sz w:val="20"/>
        </w:rPr>
        <w:t xml:space="preserve"> </w:t>
      </w:r>
      <w:r w:rsidR="00B752E6" w:rsidRPr="00EA59C0">
        <w:rPr>
          <w:rFonts w:ascii="Arial" w:hAnsi="Arial" w:cs="Arial"/>
          <w:sz w:val="20"/>
        </w:rPr>
        <w:t>support</w:t>
      </w:r>
      <w:r w:rsidR="00C026A6" w:rsidRPr="00EA59C0">
        <w:rPr>
          <w:rFonts w:ascii="Arial" w:hAnsi="Arial" w:cs="Arial"/>
          <w:sz w:val="20"/>
        </w:rPr>
        <w:t xml:space="preserve"> </w:t>
      </w:r>
      <w:r w:rsidR="00B752E6" w:rsidRPr="00EA59C0">
        <w:rPr>
          <w:rFonts w:ascii="Arial" w:hAnsi="Arial" w:cs="Arial"/>
          <w:sz w:val="20"/>
        </w:rPr>
        <w:t>visioning</w:t>
      </w:r>
      <w:r w:rsidR="00C026A6" w:rsidRPr="00EA59C0">
        <w:rPr>
          <w:rFonts w:ascii="Arial" w:hAnsi="Arial" w:cs="Arial"/>
          <w:sz w:val="20"/>
        </w:rPr>
        <w:t xml:space="preserve"> </w:t>
      </w:r>
      <w:r w:rsidR="00B752E6" w:rsidRPr="00EA59C0">
        <w:rPr>
          <w:rFonts w:ascii="Arial" w:hAnsi="Arial" w:cs="Arial"/>
          <w:sz w:val="20"/>
        </w:rPr>
        <w:t>and</w:t>
      </w:r>
      <w:r w:rsidR="00C026A6" w:rsidRPr="00EA59C0">
        <w:rPr>
          <w:rFonts w:ascii="Arial" w:hAnsi="Arial" w:cs="Arial"/>
          <w:sz w:val="20"/>
        </w:rPr>
        <w:t xml:space="preserve"> </w:t>
      </w:r>
      <w:r w:rsidR="00B752E6" w:rsidRPr="00EA59C0">
        <w:rPr>
          <w:rFonts w:ascii="Arial" w:hAnsi="Arial" w:cs="Arial"/>
          <w:sz w:val="20"/>
        </w:rPr>
        <w:t>strategic</w:t>
      </w:r>
      <w:r w:rsidR="00C026A6" w:rsidRPr="00EA59C0">
        <w:rPr>
          <w:rFonts w:ascii="Arial" w:hAnsi="Arial" w:cs="Arial"/>
          <w:sz w:val="20"/>
        </w:rPr>
        <w:t xml:space="preserve"> </w:t>
      </w:r>
      <w:r w:rsidR="00B752E6" w:rsidRPr="00EA59C0">
        <w:rPr>
          <w:rFonts w:ascii="Arial" w:hAnsi="Arial" w:cs="Arial"/>
          <w:sz w:val="20"/>
        </w:rPr>
        <w:t>planning.</w:t>
      </w:r>
    </w:p>
    <w:p w:rsidR="008826BE" w:rsidRPr="00EA59C0" w:rsidRDefault="00DF2916" w:rsidP="00DB00BB">
      <w:pPr>
        <w:rPr>
          <w:rFonts w:ascii="Arial" w:hAnsi="Arial" w:cs="Arial"/>
          <w:sz w:val="20"/>
        </w:rPr>
      </w:pPr>
      <w:hyperlink r:id="rId304" w:history="1">
        <w:r w:rsidR="008826BE" w:rsidRPr="00EA59C0">
          <w:rPr>
            <w:rStyle w:val="Hyperlink"/>
            <w:rFonts w:ascii="Arial" w:hAnsi="Arial" w:cs="Arial"/>
            <w:color w:val="auto"/>
            <w:sz w:val="20"/>
          </w:rPr>
          <w:t>https://learnwork.workforce3one.org/view/2001135442016073646/info</w:t>
        </w:r>
      </w:hyperlink>
      <w:r w:rsidR="00C026A6" w:rsidRPr="00EA59C0">
        <w:rPr>
          <w:rFonts w:ascii="Arial" w:hAnsi="Arial" w:cs="Arial"/>
          <w:sz w:val="20"/>
        </w:rPr>
        <w:t xml:space="preserve"> </w:t>
      </w:r>
      <w:r w:rsidR="008826BE" w:rsidRPr="00EA59C0">
        <w:rPr>
          <w:rFonts w:ascii="Arial" w:hAnsi="Arial" w:cs="Arial"/>
          <w:sz w:val="20"/>
        </w:rPr>
        <w:t>-</w:t>
      </w:r>
      <w:r w:rsidR="00C026A6" w:rsidRPr="00EA59C0">
        <w:rPr>
          <w:rFonts w:ascii="Arial" w:hAnsi="Arial" w:cs="Arial"/>
          <w:sz w:val="20"/>
        </w:rPr>
        <w:t xml:space="preserve"> </w:t>
      </w:r>
      <w:r w:rsidR="008826BE" w:rsidRPr="00EA59C0">
        <w:rPr>
          <w:rFonts w:ascii="Arial" w:hAnsi="Arial" w:cs="Arial"/>
          <w:sz w:val="20"/>
        </w:rPr>
        <w:t>available</w:t>
      </w:r>
      <w:r w:rsidR="00C026A6" w:rsidRPr="00EA59C0">
        <w:rPr>
          <w:rFonts w:ascii="Arial" w:hAnsi="Arial" w:cs="Arial"/>
          <w:sz w:val="20"/>
        </w:rPr>
        <w:t xml:space="preserve"> </w:t>
      </w:r>
      <w:r w:rsidR="008826BE" w:rsidRPr="00EA59C0">
        <w:rPr>
          <w:rFonts w:ascii="Arial" w:hAnsi="Arial" w:cs="Arial"/>
          <w:sz w:val="20"/>
        </w:rPr>
        <w:t>for</w:t>
      </w:r>
      <w:r w:rsidR="00C026A6" w:rsidRPr="00EA59C0">
        <w:rPr>
          <w:rFonts w:ascii="Arial" w:hAnsi="Arial" w:cs="Arial"/>
          <w:sz w:val="20"/>
        </w:rPr>
        <w:t xml:space="preserve"> </w:t>
      </w:r>
      <w:r w:rsidR="008826BE" w:rsidRPr="00EA59C0">
        <w:rPr>
          <w:rFonts w:ascii="Arial" w:hAnsi="Arial" w:cs="Arial"/>
          <w:sz w:val="20"/>
        </w:rPr>
        <w:t>download</w:t>
      </w:r>
    </w:p>
    <w:p w:rsidR="008826BE" w:rsidRPr="00EA59C0" w:rsidRDefault="008826BE" w:rsidP="00DB00BB">
      <w:pPr>
        <w:pStyle w:val="Default"/>
        <w:rPr>
          <w:rFonts w:ascii="Arial" w:hAnsi="Arial" w:cs="Arial"/>
          <w:color w:val="auto"/>
          <w:sz w:val="20"/>
        </w:rPr>
      </w:pPr>
    </w:p>
    <w:p w:rsidR="008826BE" w:rsidRPr="00EA59C0" w:rsidRDefault="008826BE" w:rsidP="00DB00BB">
      <w:pPr>
        <w:pStyle w:val="Default"/>
        <w:rPr>
          <w:rStyle w:val="Hyperlink"/>
          <w:rFonts w:ascii="Arial" w:hAnsi="Arial" w:cs="Arial"/>
          <w:color w:val="auto"/>
          <w:sz w:val="20"/>
        </w:rPr>
      </w:pPr>
      <w:r w:rsidRPr="00EA59C0">
        <w:rPr>
          <w:rFonts w:ascii="Arial" w:hAnsi="Arial" w:cs="Arial"/>
          <w:b/>
          <w:color w:val="auto"/>
          <w:sz w:val="20"/>
        </w:rPr>
        <w:t>Career</w:t>
      </w:r>
      <w:r w:rsidR="00C026A6" w:rsidRPr="00EA59C0">
        <w:rPr>
          <w:rFonts w:ascii="Arial" w:hAnsi="Arial" w:cs="Arial"/>
          <w:b/>
          <w:color w:val="auto"/>
          <w:sz w:val="20"/>
        </w:rPr>
        <w:t xml:space="preserve"> </w:t>
      </w:r>
      <w:r w:rsidRPr="00EA59C0">
        <w:rPr>
          <w:rFonts w:ascii="Arial" w:hAnsi="Arial" w:cs="Arial"/>
          <w:b/>
          <w:color w:val="auto"/>
          <w:sz w:val="20"/>
        </w:rPr>
        <w:t>Pathways</w:t>
      </w:r>
      <w:r w:rsidR="00C026A6" w:rsidRPr="00EA59C0">
        <w:rPr>
          <w:rFonts w:ascii="Arial" w:hAnsi="Arial" w:cs="Arial"/>
          <w:b/>
          <w:color w:val="auto"/>
          <w:sz w:val="20"/>
        </w:rPr>
        <w:t xml:space="preserve"> </w:t>
      </w:r>
      <w:r w:rsidRPr="00EA59C0">
        <w:rPr>
          <w:rFonts w:ascii="Arial" w:hAnsi="Arial" w:cs="Arial"/>
          <w:b/>
          <w:color w:val="auto"/>
          <w:sz w:val="20"/>
        </w:rPr>
        <w:t>Six</w:t>
      </w:r>
      <w:r w:rsidR="00C026A6" w:rsidRPr="00EA59C0">
        <w:rPr>
          <w:rFonts w:ascii="Arial" w:hAnsi="Arial" w:cs="Arial"/>
          <w:b/>
          <w:color w:val="auto"/>
          <w:sz w:val="20"/>
        </w:rPr>
        <w:t xml:space="preserve"> </w:t>
      </w:r>
      <w:r w:rsidRPr="00EA59C0">
        <w:rPr>
          <w:rFonts w:ascii="Arial" w:hAnsi="Arial" w:cs="Arial"/>
          <w:b/>
          <w:color w:val="auto"/>
          <w:sz w:val="20"/>
        </w:rPr>
        <w:t>Key</w:t>
      </w:r>
      <w:r w:rsidR="00C026A6" w:rsidRPr="00EA59C0">
        <w:rPr>
          <w:rFonts w:ascii="Arial" w:hAnsi="Arial" w:cs="Arial"/>
          <w:b/>
          <w:color w:val="auto"/>
          <w:sz w:val="20"/>
        </w:rPr>
        <w:t xml:space="preserve"> </w:t>
      </w:r>
      <w:r w:rsidRPr="00EA59C0">
        <w:rPr>
          <w:rFonts w:ascii="Arial" w:hAnsi="Arial" w:cs="Arial"/>
          <w:b/>
          <w:color w:val="auto"/>
          <w:sz w:val="20"/>
        </w:rPr>
        <w:t>Elements</w:t>
      </w:r>
      <w:r w:rsidR="00C026A6" w:rsidRPr="00EA59C0">
        <w:rPr>
          <w:rFonts w:ascii="Arial" w:hAnsi="Arial" w:cs="Arial"/>
          <w:color w:val="auto"/>
          <w:sz w:val="20"/>
        </w:rPr>
        <w:t xml:space="preserve"> </w:t>
      </w:r>
      <w:r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A</w:t>
      </w:r>
      <w:r w:rsidR="00C026A6" w:rsidRPr="00EA59C0">
        <w:rPr>
          <w:rFonts w:ascii="Arial" w:hAnsi="Arial" w:cs="Arial"/>
          <w:color w:val="auto"/>
          <w:sz w:val="20"/>
        </w:rPr>
        <w:t xml:space="preserve"> </w:t>
      </w:r>
      <w:r w:rsidRPr="00EA59C0">
        <w:rPr>
          <w:rFonts w:ascii="Arial" w:hAnsi="Arial" w:cs="Arial"/>
          <w:color w:val="auto"/>
          <w:sz w:val="20"/>
        </w:rPr>
        <w:t>graphic</w:t>
      </w:r>
      <w:r w:rsidR="00C026A6" w:rsidRPr="00EA59C0">
        <w:rPr>
          <w:rFonts w:ascii="Arial" w:hAnsi="Arial" w:cs="Arial"/>
          <w:color w:val="auto"/>
          <w:sz w:val="20"/>
        </w:rPr>
        <w:t xml:space="preserve"> </w:t>
      </w:r>
      <w:r w:rsidRPr="00EA59C0">
        <w:rPr>
          <w:rFonts w:ascii="Arial" w:hAnsi="Arial" w:cs="Arial"/>
          <w:color w:val="auto"/>
          <w:sz w:val="20"/>
        </w:rPr>
        <w:t>organizer</w:t>
      </w:r>
      <w:r w:rsidR="00C026A6" w:rsidRPr="00EA59C0">
        <w:rPr>
          <w:rFonts w:ascii="Arial" w:hAnsi="Arial" w:cs="Arial"/>
          <w:color w:val="auto"/>
          <w:sz w:val="20"/>
        </w:rPr>
        <w:t xml:space="preserve"> </w:t>
      </w:r>
      <w:r w:rsidRPr="00EA59C0">
        <w:rPr>
          <w:rFonts w:ascii="Arial" w:hAnsi="Arial" w:cs="Arial"/>
          <w:color w:val="auto"/>
          <w:sz w:val="20"/>
        </w:rPr>
        <w:t>of</w:t>
      </w:r>
      <w:r w:rsidR="00C026A6" w:rsidRPr="00EA59C0">
        <w:rPr>
          <w:rFonts w:ascii="Arial" w:hAnsi="Arial" w:cs="Arial"/>
          <w:color w:val="auto"/>
          <w:sz w:val="20"/>
        </w:rPr>
        <w:t xml:space="preserve"> </w:t>
      </w: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six</w:t>
      </w:r>
      <w:r w:rsidR="00C026A6" w:rsidRPr="00EA59C0">
        <w:rPr>
          <w:rFonts w:ascii="Arial" w:hAnsi="Arial" w:cs="Arial"/>
          <w:color w:val="auto"/>
          <w:sz w:val="20"/>
        </w:rPr>
        <w:t xml:space="preserve"> </w:t>
      </w:r>
      <w:r w:rsidRPr="00EA59C0">
        <w:rPr>
          <w:rFonts w:ascii="Arial" w:hAnsi="Arial" w:cs="Arial"/>
          <w:color w:val="auto"/>
          <w:sz w:val="20"/>
        </w:rPr>
        <w:t>key</w:t>
      </w:r>
      <w:r w:rsidR="00C026A6" w:rsidRPr="00EA59C0">
        <w:rPr>
          <w:rFonts w:ascii="Arial" w:hAnsi="Arial" w:cs="Arial"/>
          <w:color w:val="auto"/>
          <w:sz w:val="20"/>
        </w:rPr>
        <w:t xml:space="preserve"> </w:t>
      </w:r>
      <w:r w:rsidRPr="00EA59C0">
        <w:rPr>
          <w:rFonts w:ascii="Arial" w:hAnsi="Arial" w:cs="Arial"/>
          <w:color w:val="auto"/>
          <w:sz w:val="20"/>
        </w:rPr>
        <w:t>steps</w:t>
      </w:r>
      <w:r w:rsidR="00C026A6" w:rsidRPr="00EA59C0">
        <w:rPr>
          <w:rFonts w:ascii="Arial" w:hAnsi="Arial" w:cs="Arial"/>
          <w:color w:val="auto"/>
          <w:sz w:val="20"/>
        </w:rPr>
        <w:t xml:space="preserve"> </w:t>
      </w:r>
      <w:r w:rsidRPr="00EA59C0">
        <w:rPr>
          <w:rFonts w:ascii="Arial" w:hAnsi="Arial" w:cs="Arial"/>
          <w:color w:val="auto"/>
          <w:sz w:val="20"/>
        </w:rPr>
        <w:t>needed</w:t>
      </w:r>
      <w:r w:rsidR="00C026A6" w:rsidRPr="00EA59C0">
        <w:rPr>
          <w:rFonts w:ascii="Arial" w:hAnsi="Arial" w:cs="Arial"/>
          <w:color w:val="auto"/>
          <w:sz w:val="20"/>
        </w:rPr>
        <w:t xml:space="preserve"> </w:t>
      </w:r>
      <w:r w:rsidRPr="00EA59C0">
        <w:rPr>
          <w:rFonts w:ascii="Arial" w:hAnsi="Arial" w:cs="Arial"/>
          <w:color w:val="auto"/>
          <w:sz w:val="20"/>
        </w:rPr>
        <w:t>to</w:t>
      </w:r>
      <w:r w:rsidR="00C026A6" w:rsidRPr="00EA59C0">
        <w:rPr>
          <w:rFonts w:ascii="Arial" w:hAnsi="Arial" w:cs="Arial"/>
          <w:color w:val="auto"/>
          <w:sz w:val="20"/>
        </w:rPr>
        <w:t xml:space="preserve"> </w:t>
      </w:r>
      <w:r w:rsidRPr="00EA59C0">
        <w:rPr>
          <w:rFonts w:ascii="Arial" w:hAnsi="Arial" w:cs="Arial"/>
          <w:color w:val="auto"/>
          <w:sz w:val="20"/>
        </w:rPr>
        <w:t>develop</w:t>
      </w:r>
      <w:r w:rsidR="00C026A6" w:rsidRPr="00EA59C0">
        <w:rPr>
          <w:rFonts w:ascii="Arial" w:hAnsi="Arial" w:cs="Arial"/>
          <w:color w:val="auto"/>
          <w:sz w:val="20"/>
        </w:rPr>
        <w:t xml:space="preserve"> </w:t>
      </w:r>
      <w:r w:rsidRPr="00EA59C0">
        <w:rPr>
          <w:rFonts w:ascii="Arial" w:hAnsi="Arial" w:cs="Arial"/>
          <w:color w:val="auto"/>
          <w:sz w:val="20"/>
        </w:rPr>
        <w:t>effective</w:t>
      </w:r>
      <w:r w:rsidR="00C026A6" w:rsidRPr="00EA59C0">
        <w:rPr>
          <w:rFonts w:ascii="Arial" w:hAnsi="Arial" w:cs="Arial"/>
          <w:color w:val="auto"/>
          <w:sz w:val="20"/>
        </w:rPr>
        <w:t xml:space="preserve"> </w:t>
      </w:r>
      <w:r w:rsidRPr="00EA59C0">
        <w:rPr>
          <w:rFonts w:ascii="Arial" w:hAnsi="Arial" w:cs="Arial"/>
          <w:color w:val="auto"/>
          <w:sz w:val="20"/>
        </w:rPr>
        <w:t>career</w:t>
      </w:r>
      <w:r w:rsidR="00C026A6" w:rsidRPr="00EA59C0">
        <w:rPr>
          <w:rFonts w:ascii="Arial" w:hAnsi="Arial" w:cs="Arial"/>
          <w:color w:val="auto"/>
          <w:sz w:val="20"/>
        </w:rPr>
        <w:t xml:space="preserve"> </w:t>
      </w:r>
      <w:r w:rsidRPr="00EA59C0">
        <w:rPr>
          <w:rFonts w:ascii="Arial" w:hAnsi="Arial" w:cs="Arial"/>
          <w:color w:val="auto"/>
          <w:sz w:val="20"/>
        </w:rPr>
        <w:t>pathways</w:t>
      </w:r>
      <w:r w:rsidR="00C026A6" w:rsidRPr="00EA59C0">
        <w:rPr>
          <w:rFonts w:ascii="Arial" w:hAnsi="Arial" w:cs="Arial"/>
          <w:color w:val="auto"/>
          <w:sz w:val="20"/>
        </w:rPr>
        <w:t xml:space="preserve"> </w:t>
      </w:r>
      <w:r w:rsidRPr="00EA59C0">
        <w:rPr>
          <w:rFonts w:ascii="Arial" w:hAnsi="Arial" w:cs="Arial"/>
          <w:color w:val="auto"/>
          <w:sz w:val="20"/>
        </w:rPr>
        <w:t>systems/programs.</w:t>
      </w:r>
      <w:r w:rsidR="00C026A6" w:rsidRPr="00EA59C0">
        <w:rPr>
          <w:rFonts w:ascii="Arial" w:hAnsi="Arial" w:cs="Arial"/>
          <w:color w:val="auto"/>
          <w:sz w:val="20"/>
        </w:rPr>
        <w:t xml:space="preserve"> </w:t>
      </w:r>
      <w:hyperlink r:id="rId305" w:history="1">
        <w:r w:rsidRPr="00EA59C0">
          <w:rPr>
            <w:rStyle w:val="Hyperlink"/>
            <w:rFonts w:ascii="Arial" w:hAnsi="Arial" w:cs="Arial"/>
            <w:color w:val="auto"/>
            <w:sz w:val="20"/>
          </w:rPr>
          <w:t>https://learnwork.workforce3one.org/view/2001134059875592620/info</w:t>
        </w:r>
      </w:hyperlink>
    </w:p>
    <w:p w:rsidR="00B752E6" w:rsidRPr="00EA59C0" w:rsidRDefault="00B752E6" w:rsidP="00DB00BB">
      <w:pPr>
        <w:pStyle w:val="Default"/>
        <w:rPr>
          <w:rStyle w:val="Hyperlink"/>
          <w:rFonts w:ascii="Arial" w:hAnsi="Arial" w:cs="Arial"/>
          <w:color w:val="auto"/>
          <w:sz w:val="20"/>
        </w:rPr>
      </w:pPr>
    </w:p>
    <w:p w:rsidR="00B752E6" w:rsidRPr="00EA59C0" w:rsidRDefault="00B752E6" w:rsidP="00DB00BB">
      <w:pPr>
        <w:pStyle w:val="Default"/>
        <w:rPr>
          <w:rFonts w:ascii="Arial" w:hAnsi="Arial" w:cs="Arial"/>
          <w:color w:val="auto"/>
          <w:sz w:val="20"/>
        </w:rPr>
      </w:pPr>
    </w:p>
    <w:p w:rsidR="00B752E6" w:rsidRPr="00EA59C0" w:rsidRDefault="00B752E6" w:rsidP="00334C31">
      <w:pPr>
        <w:pStyle w:val="Default"/>
        <w:rPr>
          <w:rFonts w:ascii="Arial" w:hAnsi="Arial" w:cs="Arial"/>
          <w:b/>
          <w:color w:val="auto"/>
          <w:sz w:val="20"/>
          <w:u w:val="single"/>
        </w:rPr>
      </w:pPr>
      <w:r w:rsidRPr="00EA59C0">
        <w:rPr>
          <w:rFonts w:ascii="Arial" w:hAnsi="Arial" w:cs="Arial"/>
          <w:b/>
          <w:color w:val="auto"/>
          <w:sz w:val="20"/>
          <w:u w:val="single"/>
        </w:rPr>
        <w:t>Acceleration</w:t>
      </w:r>
      <w:r w:rsidR="00C026A6" w:rsidRPr="00EA59C0">
        <w:rPr>
          <w:rFonts w:ascii="Arial" w:hAnsi="Arial" w:cs="Arial"/>
          <w:b/>
          <w:color w:val="auto"/>
          <w:sz w:val="20"/>
          <w:u w:val="single"/>
        </w:rPr>
        <w:t xml:space="preserve"> </w:t>
      </w:r>
      <w:r w:rsidRPr="00EA59C0">
        <w:rPr>
          <w:rFonts w:ascii="Arial" w:hAnsi="Arial" w:cs="Arial"/>
          <w:b/>
          <w:color w:val="auto"/>
          <w:sz w:val="20"/>
          <w:u w:val="single"/>
        </w:rPr>
        <w:t>and</w:t>
      </w:r>
      <w:r w:rsidR="00C026A6" w:rsidRPr="00EA59C0">
        <w:rPr>
          <w:rFonts w:ascii="Arial" w:hAnsi="Arial" w:cs="Arial"/>
          <w:b/>
          <w:color w:val="auto"/>
          <w:sz w:val="20"/>
          <w:u w:val="single"/>
        </w:rPr>
        <w:t xml:space="preserve"> </w:t>
      </w:r>
      <w:r w:rsidRPr="00EA59C0">
        <w:rPr>
          <w:rFonts w:ascii="Arial" w:hAnsi="Arial" w:cs="Arial"/>
          <w:b/>
          <w:color w:val="auto"/>
          <w:sz w:val="20"/>
          <w:u w:val="single"/>
        </w:rPr>
        <w:t>Contextualization</w:t>
      </w:r>
      <w:r w:rsidR="0053007C" w:rsidRPr="00EA59C0">
        <w:rPr>
          <w:rFonts w:ascii="Arial" w:hAnsi="Arial" w:cs="Arial"/>
          <w:b/>
          <w:color w:val="auto"/>
          <w:sz w:val="20"/>
          <w:u w:val="single"/>
        </w:rPr>
        <w:t>,</w:t>
      </w:r>
      <w:r w:rsidR="00C026A6" w:rsidRPr="00EA59C0">
        <w:rPr>
          <w:rFonts w:ascii="Arial" w:hAnsi="Arial" w:cs="Arial"/>
          <w:b/>
          <w:color w:val="auto"/>
          <w:sz w:val="20"/>
          <w:u w:val="single"/>
        </w:rPr>
        <w:t xml:space="preserve"> </w:t>
      </w:r>
      <w:r w:rsidR="0053007C" w:rsidRPr="00EA59C0">
        <w:rPr>
          <w:rFonts w:ascii="Arial" w:hAnsi="Arial" w:cs="Arial"/>
          <w:b/>
          <w:color w:val="auto"/>
          <w:sz w:val="20"/>
          <w:u w:val="single"/>
        </w:rPr>
        <w:t>Including</w:t>
      </w:r>
      <w:r w:rsidR="00C026A6" w:rsidRPr="00EA59C0">
        <w:rPr>
          <w:rFonts w:ascii="Arial" w:hAnsi="Arial" w:cs="Arial"/>
          <w:b/>
          <w:color w:val="auto"/>
          <w:sz w:val="20"/>
          <w:u w:val="single"/>
        </w:rPr>
        <w:t xml:space="preserve"> </w:t>
      </w:r>
      <w:r w:rsidR="0053007C" w:rsidRPr="00EA59C0">
        <w:rPr>
          <w:rFonts w:ascii="Arial" w:hAnsi="Arial" w:cs="Arial"/>
          <w:b/>
          <w:color w:val="auto"/>
          <w:sz w:val="20"/>
          <w:u w:val="single"/>
        </w:rPr>
        <w:t>Remedial</w:t>
      </w:r>
      <w:r w:rsidR="00C026A6" w:rsidRPr="00EA59C0">
        <w:rPr>
          <w:rFonts w:ascii="Arial" w:hAnsi="Arial" w:cs="Arial"/>
          <w:b/>
          <w:color w:val="auto"/>
          <w:sz w:val="20"/>
          <w:u w:val="single"/>
        </w:rPr>
        <w:t xml:space="preserve"> </w:t>
      </w:r>
      <w:r w:rsidR="0053007C" w:rsidRPr="00EA59C0">
        <w:rPr>
          <w:rFonts w:ascii="Arial" w:hAnsi="Arial" w:cs="Arial"/>
          <w:b/>
          <w:color w:val="auto"/>
          <w:sz w:val="20"/>
          <w:u w:val="single"/>
        </w:rPr>
        <w:t>Education</w:t>
      </w:r>
      <w:r w:rsidR="00C026A6" w:rsidRPr="00EA59C0">
        <w:rPr>
          <w:rFonts w:ascii="Arial" w:hAnsi="Arial" w:cs="Arial"/>
          <w:b/>
          <w:color w:val="auto"/>
          <w:sz w:val="20"/>
          <w:u w:val="single"/>
        </w:rPr>
        <w:t xml:space="preserve"> </w:t>
      </w:r>
      <w:r w:rsidR="0053007C" w:rsidRPr="00EA59C0">
        <w:rPr>
          <w:rFonts w:ascii="Arial" w:hAnsi="Arial" w:cs="Arial"/>
          <w:b/>
          <w:color w:val="auto"/>
          <w:sz w:val="20"/>
          <w:u w:val="single"/>
        </w:rPr>
        <w:t>Redesign</w:t>
      </w:r>
    </w:p>
    <w:p w:rsidR="00B752E6" w:rsidRPr="00EA59C0" w:rsidRDefault="00B752E6" w:rsidP="00B752E6">
      <w:pPr>
        <w:pStyle w:val="Default"/>
        <w:rPr>
          <w:rFonts w:ascii="Arial" w:hAnsi="Arial" w:cs="Arial"/>
          <w:color w:val="auto"/>
          <w:sz w:val="20"/>
        </w:rPr>
      </w:pPr>
      <w:r w:rsidRPr="00EA59C0">
        <w:rPr>
          <w:rFonts w:ascii="Arial" w:hAnsi="Arial" w:cs="Arial"/>
          <w:i/>
          <w:color w:val="auto"/>
          <w:sz w:val="20"/>
        </w:rPr>
        <w:t>Enhancing</w:t>
      </w:r>
      <w:r w:rsidR="00C026A6" w:rsidRPr="00EA59C0">
        <w:rPr>
          <w:rFonts w:ascii="Arial" w:hAnsi="Arial" w:cs="Arial"/>
          <w:i/>
          <w:color w:val="auto"/>
          <w:sz w:val="20"/>
        </w:rPr>
        <w:t xml:space="preserve"> </w:t>
      </w:r>
      <w:r w:rsidRPr="00EA59C0">
        <w:rPr>
          <w:rFonts w:ascii="Arial" w:hAnsi="Arial" w:cs="Arial"/>
          <w:i/>
          <w:color w:val="auto"/>
          <w:sz w:val="20"/>
        </w:rPr>
        <w:t>GED</w:t>
      </w:r>
      <w:r w:rsidR="00C026A6" w:rsidRPr="00EA59C0">
        <w:rPr>
          <w:rFonts w:ascii="Arial" w:hAnsi="Arial" w:cs="Arial"/>
          <w:i/>
          <w:color w:val="auto"/>
          <w:sz w:val="20"/>
        </w:rPr>
        <w:t xml:space="preserve"> </w:t>
      </w:r>
      <w:r w:rsidRPr="00EA59C0">
        <w:rPr>
          <w:rFonts w:ascii="Arial" w:hAnsi="Arial" w:cs="Arial"/>
          <w:i/>
          <w:color w:val="auto"/>
          <w:sz w:val="20"/>
        </w:rPr>
        <w:t>Instruction</w:t>
      </w:r>
      <w:r w:rsidR="00C026A6" w:rsidRPr="00EA59C0">
        <w:rPr>
          <w:rFonts w:ascii="Arial" w:hAnsi="Arial" w:cs="Arial"/>
          <w:i/>
          <w:color w:val="auto"/>
          <w:sz w:val="20"/>
        </w:rPr>
        <w:t xml:space="preserve"> </w:t>
      </w:r>
      <w:r w:rsidRPr="00EA59C0">
        <w:rPr>
          <w:rFonts w:ascii="Arial" w:hAnsi="Arial" w:cs="Arial"/>
          <w:i/>
          <w:color w:val="auto"/>
          <w:sz w:val="20"/>
        </w:rPr>
        <w:t>to</w:t>
      </w:r>
      <w:r w:rsidR="00C026A6" w:rsidRPr="00EA59C0">
        <w:rPr>
          <w:rFonts w:ascii="Arial" w:hAnsi="Arial" w:cs="Arial"/>
          <w:i/>
          <w:color w:val="auto"/>
          <w:sz w:val="20"/>
        </w:rPr>
        <w:t xml:space="preserve"> </w:t>
      </w:r>
      <w:r w:rsidRPr="00EA59C0">
        <w:rPr>
          <w:rFonts w:ascii="Arial" w:hAnsi="Arial" w:cs="Arial"/>
          <w:i/>
          <w:color w:val="auto"/>
          <w:sz w:val="20"/>
        </w:rPr>
        <w:t>Prepare</w:t>
      </w:r>
      <w:r w:rsidR="00C026A6" w:rsidRPr="00EA59C0">
        <w:rPr>
          <w:rFonts w:ascii="Arial" w:hAnsi="Arial" w:cs="Arial"/>
          <w:i/>
          <w:color w:val="auto"/>
          <w:sz w:val="20"/>
        </w:rPr>
        <w:t xml:space="preserve"> </w:t>
      </w:r>
      <w:r w:rsidRPr="00EA59C0">
        <w:rPr>
          <w:rFonts w:ascii="Arial" w:hAnsi="Arial" w:cs="Arial"/>
          <w:i/>
          <w:color w:val="auto"/>
          <w:sz w:val="20"/>
        </w:rPr>
        <w:t>Students</w:t>
      </w:r>
      <w:r w:rsidR="00C026A6" w:rsidRPr="00EA59C0">
        <w:rPr>
          <w:rFonts w:ascii="Arial" w:hAnsi="Arial" w:cs="Arial"/>
          <w:i/>
          <w:color w:val="auto"/>
          <w:sz w:val="20"/>
        </w:rPr>
        <w:t xml:space="preserve"> </w:t>
      </w:r>
      <w:r w:rsidR="00334C31" w:rsidRPr="00EA59C0">
        <w:rPr>
          <w:rFonts w:ascii="Arial" w:hAnsi="Arial" w:cs="Arial"/>
          <w:i/>
          <w:color w:val="auto"/>
          <w:sz w:val="20"/>
        </w:rPr>
        <w:t>for</w:t>
      </w:r>
      <w:r w:rsidR="00C026A6" w:rsidRPr="00EA59C0">
        <w:rPr>
          <w:rFonts w:ascii="Arial" w:hAnsi="Arial" w:cs="Arial"/>
          <w:i/>
          <w:color w:val="auto"/>
          <w:sz w:val="20"/>
        </w:rPr>
        <w:t xml:space="preserve"> </w:t>
      </w:r>
      <w:r w:rsidR="00334C31" w:rsidRPr="00EA59C0">
        <w:rPr>
          <w:rFonts w:ascii="Arial" w:hAnsi="Arial" w:cs="Arial"/>
          <w:i/>
          <w:color w:val="auto"/>
          <w:sz w:val="20"/>
        </w:rPr>
        <w:t>College</w:t>
      </w:r>
      <w:r w:rsidR="00C026A6" w:rsidRPr="00EA59C0">
        <w:rPr>
          <w:rFonts w:ascii="Arial" w:hAnsi="Arial" w:cs="Arial"/>
          <w:i/>
          <w:color w:val="auto"/>
          <w:sz w:val="20"/>
        </w:rPr>
        <w:t xml:space="preserve"> </w:t>
      </w:r>
      <w:r w:rsidR="00334C31" w:rsidRPr="00EA59C0">
        <w:rPr>
          <w:rFonts w:ascii="Arial" w:hAnsi="Arial" w:cs="Arial"/>
          <w:i/>
          <w:color w:val="auto"/>
          <w:sz w:val="20"/>
        </w:rPr>
        <w:t>and</w:t>
      </w:r>
      <w:r w:rsidR="00C026A6" w:rsidRPr="00EA59C0">
        <w:rPr>
          <w:rFonts w:ascii="Arial" w:hAnsi="Arial" w:cs="Arial"/>
          <w:i/>
          <w:color w:val="auto"/>
          <w:sz w:val="20"/>
        </w:rPr>
        <w:t xml:space="preserve"> </w:t>
      </w:r>
      <w:r w:rsidRPr="00EA59C0">
        <w:rPr>
          <w:rFonts w:ascii="Arial" w:hAnsi="Arial" w:cs="Arial"/>
          <w:i/>
          <w:color w:val="auto"/>
          <w:sz w:val="20"/>
        </w:rPr>
        <w:t>Careers:</w:t>
      </w:r>
      <w:r w:rsidR="00C026A6" w:rsidRPr="00EA59C0">
        <w:rPr>
          <w:rFonts w:ascii="Arial" w:hAnsi="Arial" w:cs="Arial"/>
          <w:i/>
          <w:color w:val="auto"/>
          <w:sz w:val="20"/>
        </w:rPr>
        <w:t xml:space="preserve"> </w:t>
      </w:r>
      <w:r w:rsidRPr="00EA59C0">
        <w:rPr>
          <w:rFonts w:ascii="Arial" w:hAnsi="Arial" w:cs="Arial"/>
          <w:i/>
          <w:color w:val="auto"/>
          <w:sz w:val="20"/>
        </w:rPr>
        <w:t>Early</w:t>
      </w:r>
      <w:r w:rsidR="00C026A6" w:rsidRPr="00EA59C0">
        <w:rPr>
          <w:rFonts w:ascii="Arial" w:hAnsi="Arial" w:cs="Arial"/>
          <w:i/>
          <w:color w:val="auto"/>
          <w:sz w:val="20"/>
        </w:rPr>
        <w:t xml:space="preserve"> </w:t>
      </w:r>
      <w:r w:rsidRPr="00EA59C0">
        <w:rPr>
          <w:rFonts w:ascii="Arial" w:hAnsi="Arial" w:cs="Arial"/>
          <w:i/>
          <w:color w:val="auto"/>
          <w:sz w:val="20"/>
        </w:rPr>
        <w:t>Success</w:t>
      </w:r>
      <w:r w:rsidR="00C026A6" w:rsidRPr="00EA59C0">
        <w:rPr>
          <w:rFonts w:ascii="Arial" w:hAnsi="Arial" w:cs="Arial"/>
          <w:i/>
          <w:color w:val="auto"/>
          <w:sz w:val="20"/>
        </w:rPr>
        <w:t xml:space="preserve"> </w:t>
      </w:r>
      <w:r w:rsidR="0053007C" w:rsidRPr="00EA59C0">
        <w:rPr>
          <w:rFonts w:ascii="Arial" w:hAnsi="Arial" w:cs="Arial"/>
          <w:i/>
          <w:color w:val="auto"/>
          <w:sz w:val="20"/>
        </w:rPr>
        <w:t>in</w:t>
      </w:r>
      <w:r w:rsidR="00C026A6" w:rsidRPr="00EA59C0">
        <w:rPr>
          <w:rFonts w:ascii="Arial" w:hAnsi="Arial" w:cs="Arial"/>
          <w:i/>
          <w:color w:val="auto"/>
          <w:sz w:val="20"/>
        </w:rPr>
        <w:t xml:space="preserve"> </w:t>
      </w:r>
      <w:r w:rsidRPr="00EA59C0">
        <w:rPr>
          <w:rFonts w:ascii="Arial" w:hAnsi="Arial" w:cs="Arial"/>
          <w:i/>
          <w:color w:val="auto"/>
          <w:sz w:val="20"/>
        </w:rPr>
        <w:t>Laguardia</w:t>
      </w:r>
      <w:r w:rsidR="00C026A6" w:rsidRPr="00EA59C0">
        <w:rPr>
          <w:rFonts w:ascii="Arial" w:hAnsi="Arial" w:cs="Arial"/>
          <w:color w:val="auto"/>
          <w:sz w:val="20"/>
        </w:rPr>
        <w:t xml:space="preserve"> </w:t>
      </w:r>
      <w:r w:rsidRPr="00EA59C0">
        <w:rPr>
          <w:rFonts w:ascii="Arial" w:hAnsi="Arial" w:cs="Arial"/>
          <w:color w:val="auto"/>
          <w:sz w:val="20"/>
        </w:rPr>
        <w:t>Community</w:t>
      </w:r>
      <w:r w:rsidR="00C026A6" w:rsidRPr="00EA59C0">
        <w:rPr>
          <w:rFonts w:ascii="Arial" w:hAnsi="Arial" w:cs="Arial"/>
          <w:color w:val="auto"/>
          <w:sz w:val="20"/>
        </w:rPr>
        <w:t xml:space="preserve"> </w:t>
      </w:r>
      <w:r w:rsidRPr="00EA59C0">
        <w:rPr>
          <w:rFonts w:ascii="Arial" w:hAnsi="Arial" w:cs="Arial"/>
          <w:color w:val="auto"/>
          <w:sz w:val="20"/>
        </w:rPr>
        <w:t>College’s</w:t>
      </w:r>
      <w:r w:rsidR="00C026A6" w:rsidRPr="00EA59C0">
        <w:rPr>
          <w:rFonts w:ascii="Arial" w:hAnsi="Arial" w:cs="Arial"/>
          <w:color w:val="auto"/>
          <w:sz w:val="20"/>
        </w:rPr>
        <w:t xml:space="preserve"> </w:t>
      </w:r>
      <w:r w:rsidRPr="00EA59C0">
        <w:rPr>
          <w:rFonts w:ascii="Arial" w:hAnsi="Arial" w:cs="Arial"/>
          <w:color w:val="auto"/>
          <w:sz w:val="20"/>
        </w:rPr>
        <w:t>Bridge</w:t>
      </w:r>
      <w:r w:rsidR="00C026A6" w:rsidRPr="00EA59C0">
        <w:rPr>
          <w:rFonts w:ascii="Arial" w:hAnsi="Arial" w:cs="Arial"/>
          <w:color w:val="auto"/>
          <w:sz w:val="20"/>
        </w:rPr>
        <w:t xml:space="preserve"> </w:t>
      </w:r>
      <w:r w:rsidR="0053007C" w:rsidRPr="00EA59C0">
        <w:rPr>
          <w:rFonts w:ascii="Arial" w:hAnsi="Arial" w:cs="Arial"/>
          <w:color w:val="auto"/>
          <w:sz w:val="20"/>
        </w:rPr>
        <w:t>to</w:t>
      </w:r>
      <w:r w:rsidR="00C026A6" w:rsidRPr="00EA59C0">
        <w:rPr>
          <w:rFonts w:ascii="Arial" w:hAnsi="Arial" w:cs="Arial"/>
          <w:color w:val="auto"/>
          <w:sz w:val="20"/>
        </w:rPr>
        <w:t xml:space="preserve"> </w:t>
      </w:r>
      <w:r w:rsidR="0053007C" w:rsidRPr="00EA59C0">
        <w:rPr>
          <w:rFonts w:ascii="Arial" w:hAnsi="Arial" w:cs="Arial"/>
          <w:color w:val="auto"/>
          <w:sz w:val="20"/>
        </w:rPr>
        <w:t>Health</w:t>
      </w:r>
      <w:r w:rsidR="00C026A6" w:rsidRPr="00EA59C0">
        <w:rPr>
          <w:rFonts w:ascii="Arial" w:hAnsi="Arial" w:cs="Arial"/>
          <w:color w:val="auto"/>
          <w:sz w:val="20"/>
        </w:rPr>
        <w:t xml:space="preserve"> </w:t>
      </w:r>
      <w:r w:rsidR="0053007C"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Business</w:t>
      </w:r>
      <w:r w:rsidR="00C026A6" w:rsidRPr="00EA59C0">
        <w:rPr>
          <w:rFonts w:ascii="Arial" w:hAnsi="Arial" w:cs="Arial"/>
          <w:color w:val="auto"/>
          <w:sz w:val="20"/>
        </w:rPr>
        <w:t xml:space="preserve"> </w:t>
      </w:r>
      <w:r w:rsidRPr="00EA59C0">
        <w:rPr>
          <w:rFonts w:ascii="Arial" w:hAnsi="Arial" w:cs="Arial"/>
          <w:color w:val="auto"/>
          <w:sz w:val="20"/>
        </w:rPr>
        <w:t>Program</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Vanessa</w:t>
      </w:r>
      <w:r w:rsidR="00C026A6" w:rsidRPr="00EA59C0">
        <w:rPr>
          <w:rFonts w:ascii="Arial" w:hAnsi="Arial" w:cs="Arial"/>
          <w:color w:val="auto"/>
          <w:sz w:val="20"/>
        </w:rPr>
        <w:t xml:space="preserve"> </w:t>
      </w:r>
      <w:r w:rsidRPr="00EA59C0">
        <w:rPr>
          <w:rFonts w:ascii="Arial" w:hAnsi="Arial" w:cs="Arial"/>
          <w:color w:val="auto"/>
          <w:sz w:val="20"/>
        </w:rPr>
        <w:t>Martin</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Joseph</w:t>
      </w:r>
      <w:r w:rsidR="00C026A6" w:rsidRPr="00EA59C0">
        <w:rPr>
          <w:rFonts w:ascii="Arial" w:hAnsi="Arial" w:cs="Arial"/>
          <w:color w:val="auto"/>
          <w:sz w:val="20"/>
        </w:rPr>
        <w:t xml:space="preserve"> </w:t>
      </w:r>
      <w:r w:rsidRPr="00EA59C0">
        <w:rPr>
          <w:rFonts w:ascii="Arial" w:hAnsi="Arial" w:cs="Arial"/>
          <w:color w:val="auto"/>
          <w:sz w:val="20"/>
        </w:rPr>
        <w:t>Broadus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MDRC</w:t>
      </w:r>
      <w:r w:rsidR="00334C31"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May</w:t>
      </w:r>
      <w:r w:rsidR="00C026A6" w:rsidRPr="00EA59C0">
        <w:rPr>
          <w:rFonts w:ascii="Arial" w:hAnsi="Arial" w:cs="Arial"/>
          <w:color w:val="auto"/>
          <w:sz w:val="20"/>
        </w:rPr>
        <w:t xml:space="preserve"> </w:t>
      </w:r>
      <w:r w:rsidRPr="00EA59C0">
        <w:rPr>
          <w:rFonts w:ascii="Arial" w:hAnsi="Arial" w:cs="Arial"/>
          <w:color w:val="auto"/>
          <w:sz w:val="20"/>
        </w:rPr>
        <w:t>2013</w:t>
      </w:r>
    </w:p>
    <w:p w:rsidR="00B752E6" w:rsidRPr="00EA59C0" w:rsidRDefault="00DF2916" w:rsidP="00B752E6">
      <w:pPr>
        <w:pStyle w:val="Default"/>
        <w:rPr>
          <w:rFonts w:ascii="Arial" w:hAnsi="Arial" w:cs="Arial"/>
          <w:color w:val="auto"/>
          <w:sz w:val="20"/>
        </w:rPr>
      </w:pPr>
      <w:hyperlink r:id="rId306" w:history="1">
        <w:r w:rsidR="00334C31" w:rsidRPr="00EA59C0">
          <w:rPr>
            <w:rStyle w:val="Hyperlink"/>
            <w:rFonts w:ascii="Arial" w:hAnsi="Arial" w:cs="Arial"/>
            <w:color w:val="auto"/>
            <w:sz w:val="20"/>
          </w:rPr>
          <w:t>http://www.mdrc.org/sites/default/files/Enhancing_GED_Instruction_brief.pdf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Bringing</w:t>
      </w:r>
      <w:r w:rsidR="00C026A6" w:rsidRPr="00EA59C0">
        <w:rPr>
          <w:rFonts w:ascii="Arial" w:hAnsi="Arial" w:cs="Arial"/>
          <w:i/>
          <w:color w:val="auto"/>
          <w:sz w:val="20"/>
        </w:rPr>
        <w:t xml:space="preserve"> </w:t>
      </w:r>
      <w:r w:rsidRPr="00EA59C0">
        <w:rPr>
          <w:rFonts w:ascii="Arial" w:hAnsi="Arial" w:cs="Arial"/>
          <w:i/>
          <w:color w:val="auto"/>
          <w:sz w:val="20"/>
        </w:rPr>
        <w:t>Developmental</w:t>
      </w:r>
      <w:r w:rsidR="00C026A6" w:rsidRPr="00EA59C0">
        <w:rPr>
          <w:rFonts w:ascii="Arial" w:hAnsi="Arial" w:cs="Arial"/>
          <w:i/>
          <w:color w:val="auto"/>
          <w:sz w:val="20"/>
        </w:rPr>
        <w:t xml:space="preserve"> </w:t>
      </w:r>
      <w:r w:rsidRPr="00EA59C0">
        <w:rPr>
          <w:rFonts w:ascii="Arial" w:hAnsi="Arial" w:cs="Arial"/>
          <w:i/>
          <w:color w:val="auto"/>
          <w:sz w:val="20"/>
        </w:rPr>
        <w:t>Education</w:t>
      </w:r>
      <w:r w:rsidR="00C026A6" w:rsidRPr="00EA59C0">
        <w:rPr>
          <w:rFonts w:ascii="Arial" w:hAnsi="Arial" w:cs="Arial"/>
          <w:i/>
          <w:color w:val="auto"/>
          <w:sz w:val="20"/>
        </w:rPr>
        <w:t xml:space="preserve"> </w:t>
      </w:r>
      <w:r w:rsidRPr="00EA59C0">
        <w:rPr>
          <w:rFonts w:ascii="Arial" w:hAnsi="Arial" w:cs="Arial"/>
          <w:i/>
          <w:color w:val="auto"/>
          <w:sz w:val="20"/>
        </w:rPr>
        <w:t>to</w:t>
      </w:r>
      <w:r w:rsidR="00C026A6" w:rsidRPr="00EA59C0">
        <w:rPr>
          <w:rFonts w:ascii="Arial" w:hAnsi="Arial" w:cs="Arial"/>
          <w:i/>
          <w:color w:val="auto"/>
          <w:sz w:val="20"/>
        </w:rPr>
        <w:t xml:space="preserve"> </w:t>
      </w:r>
      <w:r w:rsidRPr="00EA59C0">
        <w:rPr>
          <w:rFonts w:ascii="Arial" w:hAnsi="Arial" w:cs="Arial"/>
          <w:i/>
          <w:color w:val="auto"/>
          <w:sz w:val="20"/>
        </w:rPr>
        <w:t>Scale:</w:t>
      </w:r>
      <w:r w:rsidR="00C026A6" w:rsidRPr="00EA59C0">
        <w:rPr>
          <w:rFonts w:ascii="Arial" w:hAnsi="Arial" w:cs="Arial"/>
          <w:i/>
          <w:color w:val="auto"/>
          <w:sz w:val="20"/>
        </w:rPr>
        <w:t xml:space="preserve"> </w:t>
      </w:r>
      <w:r w:rsidRPr="00EA59C0">
        <w:rPr>
          <w:rFonts w:ascii="Arial" w:hAnsi="Arial" w:cs="Arial"/>
          <w:i/>
          <w:color w:val="auto"/>
          <w:sz w:val="20"/>
        </w:rPr>
        <w:t>Lessons</w:t>
      </w:r>
      <w:r w:rsidR="00C026A6" w:rsidRPr="00EA59C0">
        <w:rPr>
          <w:rFonts w:ascii="Arial" w:hAnsi="Arial" w:cs="Arial"/>
          <w:i/>
          <w:color w:val="auto"/>
          <w:sz w:val="20"/>
        </w:rPr>
        <w:t xml:space="preserve"> </w:t>
      </w:r>
      <w:r w:rsidRPr="00EA59C0">
        <w:rPr>
          <w:rFonts w:ascii="Arial" w:hAnsi="Arial" w:cs="Arial"/>
          <w:i/>
          <w:color w:val="auto"/>
          <w:sz w:val="20"/>
        </w:rPr>
        <w:t>from</w:t>
      </w:r>
      <w:r w:rsidR="00C026A6" w:rsidRPr="00EA59C0">
        <w:rPr>
          <w:rFonts w:ascii="Arial" w:hAnsi="Arial" w:cs="Arial"/>
          <w:i/>
          <w:color w:val="auto"/>
          <w:sz w:val="20"/>
        </w:rPr>
        <w:t xml:space="preserve"> </w:t>
      </w:r>
      <w:r w:rsidRPr="00EA59C0">
        <w:rPr>
          <w:rFonts w:ascii="Arial" w:hAnsi="Arial" w:cs="Arial"/>
          <w:i/>
          <w:color w:val="auto"/>
          <w:sz w:val="20"/>
        </w:rPr>
        <w:t>the</w:t>
      </w:r>
      <w:r w:rsidR="00C026A6" w:rsidRPr="00EA59C0">
        <w:rPr>
          <w:rFonts w:ascii="Arial" w:hAnsi="Arial" w:cs="Arial"/>
          <w:i/>
          <w:color w:val="auto"/>
          <w:sz w:val="20"/>
        </w:rPr>
        <w:t xml:space="preserve"> </w:t>
      </w:r>
      <w:r w:rsidRPr="00EA59C0">
        <w:rPr>
          <w:rFonts w:ascii="Arial" w:hAnsi="Arial" w:cs="Arial"/>
          <w:i/>
          <w:color w:val="auto"/>
          <w:sz w:val="20"/>
        </w:rPr>
        <w:t>Developmental</w:t>
      </w:r>
      <w:r w:rsidR="00C026A6" w:rsidRPr="00EA59C0">
        <w:rPr>
          <w:rFonts w:ascii="Arial" w:hAnsi="Arial" w:cs="Arial"/>
          <w:i/>
          <w:color w:val="auto"/>
          <w:sz w:val="20"/>
        </w:rPr>
        <w:t xml:space="preserve"> </w:t>
      </w:r>
      <w:r w:rsidRPr="00EA59C0">
        <w:rPr>
          <w:rFonts w:ascii="Arial" w:hAnsi="Arial" w:cs="Arial"/>
          <w:i/>
          <w:color w:val="auto"/>
          <w:sz w:val="20"/>
        </w:rPr>
        <w:t>Education</w:t>
      </w:r>
      <w:r w:rsidR="00C026A6" w:rsidRPr="00EA59C0">
        <w:rPr>
          <w:rFonts w:ascii="Arial" w:hAnsi="Arial" w:cs="Arial"/>
          <w:i/>
          <w:color w:val="auto"/>
          <w:sz w:val="20"/>
        </w:rPr>
        <w:t xml:space="preserve"> </w:t>
      </w:r>
      <w:r w:rsidRPr="00EA59C0">
        <w:rPr>
          <w:rFonts w:ascii="Arial" w:hAnsi="Arial" w:cs="Arial"/>
          <w:i/>
          <w:color w:val="auto"/>
          <w:sz w:val="20"/>
        </w:rPr>
        <w:t>Initiative</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Janet</w:t>
      </w:r>
      <w:r w:rsidR="00C026A6" w:rsidRPr="00EA59C0">
        <w:rPr>
          <w:rFonts w:ascii="Arial" w:hAnsi="Arial" w:cs="Arial"/>
          <w:color w:val="auto"/>
          <w:sz w:val="20"/>
        </w:rPr>
        <w:t xml:space="preserve"> </w:t>
      </w:r>
      <w:r w:rsidRPr="00EA59C0">
        <w:rPr>
          <w:rFonts w:ascii="Arial" w:hAnsi="Arial" w:cs="Arial"/>
          <w:color w:val="auto"/>
          <w:sz w:val="20"/>
        </w:rPr>
        <w:t>C.</w:t>
      </w:r>
      <w:r w:rsidR="00C026A6" w:rsidRPr="00EA59C0">
        <w:rPr>
          <w:rFonts w:ascii="Arial" w:hAnsi="Arial" w:cs="Arial"/>
          <w:color w:val="auto"/>
          <w:sz w:val="20"/>
        </w:rPr>
        <w:t xml:space="preserve"> </w:t>
      </w:r>
      <w:r w:rsidRPr="00EA59C0">
        <w:rPr>
          <w:rFonts w:ascii="Arial" w:hAnsi="Arial" w:cs="Arial"/>
          <w:color w:val="auto"/>
          <w:sz w:val="20"/>
        </w:rPr>
        <w:t>Quint,</w:t>
      </w:r>
      <w:r w:rsidR="00C026A6" w:rsidRPr="00EA59C0">
        <w:rPr>
          <w:rFonts w:ascii="Arial" w:hAnsi="Arial" w:cs="Arial"/>
          <w:color w:val="auto"/>
          <w:sz w:val="20"/>
        </w:rPr>
        <w:t xml:space="preserve"> </w:t>
      </w:r>
      <w:r w:rsidRPr="00EA59C0">
        <w:rPr>
          <w:rFonts w:ascii="Arial" w:hAnsi="Arial" w:cs="Arial"/>
          <w:color w:val="auto"/>
          <w:sz w:val="20"/>
        </w:rPr>
        <w:t>Shanna</w:t>
      </w:r>
      <w:r w:rsidR="00C026A6" w:rsidRPr="00EA59C0">
        <w:rPr>
          <w:rFonts w:ascii="Arial" w:hAnsi="Arial" w:cs="Arial"/>
          <w:color w:val="auto"/>
          <w:sz w:val="20"/>
        </w:rPr>
        <w:t xml:space="preserve"> </w:t>
      </w:r>
      <w:r w:rsidRPr="00EA59C0">
        <w:rPr>
          <w:rFonts w:ascii="Arial" w:hAnsi="Arial" w:cs="Arial"/>
          <w:color w:val="auto"/>
          <w:sz w:val="20"/>
        </w:rPr>
        <w:t>S.</w:t>
      </w:r>
      <w:r w:rsidR="00C026A6" w:rsidRPr="00EA59C0">
        <w:rPr>
          <w:rFonts w:ascii="Arial" w:hAnsi="Arial" w:cs="Arial"/>
          <w:color w:val="auto"/>
          <w:sz w:val="20"/>
        </w:rPr>
        <w:t xml:space="preserve"> </w:t>
      </w:r>
      <w:r w:rsidRPr="00EA59C0">
        <w:rPr>
          <w:rFonts w:ascii="Arial" w:hAnsi="Arial" w:cs="Arial"/>
          <w:color w:val="auto"/>
          <w:sz w:val="20"/>
        </w:rPr>
        <w:t>Jaggars,</w:t>
      </w:r>
      <w:r w:rsidR="00C026A6" w:rsidRPr="00EA59C0">
        <w:rPr>
          <w:rFonts w:ascii="Arial" w:hAnsi="Arial" w:cs="Arial"/>
          <w:color w:val="auto"/>
          <w:sz w:val="20"/>
        </w:rPr>
        <w:t xml:space="preserve"> </w:t>
      </w:r>
      <w:r w:rsidRPr="00EA59C0">
        <w:rPr>
          <w:rFonts w:ascii="Arial" w:hAnsi="Arial" w:cs="Arial"/>
          <w:color w:val="auto"/>
          <w:sz w:val="20"/>
        </w:rPr>
        <w:t>D.</w:t>
      </w:r>
      <w:r w:rsidR="00C026A6" w:rsidRPr="00EA59C0">
        <w:rPr>
          <w:rFonts w:ascii="Arial" w:hAnsi="Arial" w:cs="Arial"/>
          <w:color w:val="auto"/>
          <w:sz w:val="20"/>
        </w:rPr>
        <w:t xml:space="preserve"> </w:t>
      </w:r>
      <w:r w:rsidRPr="00EA59C0">
        <w:rPr>
          <w:rFonts w:ascii="Arial" w:hAnsi="Arial" w:cs="Arial"/>
          <w:color w:val="auto"/>
          <w:sz w:val="20"/>
        </w:rPr>
        <w:t>Crystal</w:t>
      </w:r>
      <w:r w:rsidR="00C026A6" w:rsidRPr="00EA59C0">
        <w:rPr>
          <w:rFonts w:ascii="Arial" w:hAnsi="Arial" w:cs="Arial"/>
          <w:color w:val="auto"/>
          <w:sz w:val="20"/>
        </w:rPr>
        <w:t xml:space="preserve"> </w:t>
      </w:r>
      <w:r w:rsidRPr="00EA59C0">
        <w:rPr>
          <w:rFonts w:ascii="Arial" w:hAnsi="Arial" w:cs="Arial"/>
          <w:color w:val="auto"/>
          <w:sz w:val="20"/>
        </w:rPr>
        <w:t>Byndloss,</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Asya</w:t>
      </w:r>
      <w:r w:rsidR="00C026A6" w:rsidRPr="00EA59C0">
        <w:rPr>
          <w:rFonts w:ascii="Arial" w:hAnsi="Arial" w:cs="Arial"/>
          <w:color w:val="auto"/>
          <w:sz w:val="20"/>
        </w:rPr>
        <w:t xml:space="preserve"> </w:t>
      </w:r>
      <w:r w:rsidRPr="00EA59C0">
        <w:rPr>
          <w:rFonts w:ascii="Arial" w:hAnsi="Arial" w:cs="Arial"/>
          <w:color w:val="auto"/>
          <w:sz w:val="20"/>
        </w:rPr>
        <w:t>Magazinnik</w:t>
      </w:r>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MDRC</w:t>
      </w:r>
      <w:r w:rsidR="00334C31"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January</w:t>
      </w:r>
      <w:r w:rsidR="00C026A6" w:rsidRPr="00EA59C0">
        <w:rPr>
          <w:rFonts w:ascii="Arial" w:hAnsi="Arial" w:cs="Arial"/>
          <w:color w:val="auto"/>
          <w:sz w:val="20"/>
        </w:rPr>
        <w:t xml:space="preserve"> </w:t>
      </w:r>
      <w:r w:rsidRPr="00EA59C0">
        <w:rPr>
          <w:rFonts w:ascii="Arial" w:hAnsi="Arial" w:cs="Arial"/>
          <w:color w:val="auto"/>
          <w:sz w:val="20"/>
        </w:rPr>
        <w:t>2013</w:t>
      </w:r>
    </w:p>
    <w:p w:rsidR="00B752E6" w:rsidRPr="00EA59C0" w:rsidRDefault="00DF2916" w:rsidP="00B752E6">
      <w:pPr>
        <w:pStyle w:val="Default"/>
        <w:rPr>
          <w:rFonts w:ascii="Arial" w:hAnsi="Arial" w:cs="Arial"/>
          <w:color w:val="auto"/>
          <w:sz w:val="20"/>
        </w:rPr>
      </w:pPr>
      <w:hyperlink r:id="rId307" w:history="1">
        <w:r w:rsidR="00334C31" w:rsidRPr="00EA59C0">
          <w:rPr>
            <w:rStyle w:val="Hyperlink"/>
            <w:rFonts w:ascii="Arial" w:hAnsi="Arial" w:cs="Arial"/>
            <w:color w:val="auto"/>
            <w:sz w:val="20"/>
          </w:rPr>
          <w:t>http://www.mdrc.org/sites/default/files/Bringing%20Developmental%20Education%20to%20Scale%20FR.pdf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Ahead</w:t>
      </w:r>
      <w:r w:rsidR="00C026A6" w:rsidRPr="00EA59C0">
        <w:rPr>
          <w:rFonts w:ascii="Arial" w:hAnsi="Arial" w:cs="Arial"/>
          <w:i/>
          <w:color w:val="auto"/>
          <w:sz w:val="20"/>
        </w:rPr>
        <w:t xml:space="preserve"> </w:t>
      </w:r>
      <w:r w:rsidR="0053007C" w:rsidRPr="00EA59C0">
        <w:rPr>
          <w:rFonts w:ascii="Arial" w:hAnsi="Arial" w:cs="Arial"/>
          <w:i/>
          <w:color w:val="auto"/>
          <w:sz w:val="20"/>
        </w:rPr>
        <w:t>o</w:t>
      </w:r>
      <w:r w:rsidRPr="00EA59C0">
        <w:rPr>
          <w:rFonts w:ascii="Arial" w:hAnsi="Arial" w:cs="Arial"/>
          <w:i/>
          <w:color w:val="auto"/>
          <w:sz w:val="20"/>
        </w:rPr>
        <w:t>f</w:t>
      </w:r>
      <w:r w:rsidR="00C026A6" w:rsidRPr="00EA59C0">
        <w:rPr>
          <w:rFonts w:ascii="Arial" w:hAnsi="Arial" w:cs="Arial"/>
          <w:i/>
          <w:color w:val="auto"/>
          <w:sz w:val="20"/>
        </w:rPr>
        <w:t xml:space="preserve"> </w:t>
      </w:r>
      <w:r w:rsidR="0053007C" w:rsidRPr="00EA59C0">
        <w:rPr>
          <w:rFonts w:ascii="Arial" w:hAnsi="Arial" w:cs="Arial"/>
          <w:i/>
          <w:color w:val="auto"/>
          <w:sz w:val="20"/>
        </w:rPr>
        <w:t>the</w:t>
      </w:r>
      <w:r w:rsidR="00C026A6" w:rsidRPr="00EA59C0">
        <w:rPr>
          <w:rFonts w:ascii="Arial" w:hAnsi="Arial" w:cs="Arial"/>
          <w:i/>
          <w:color w:val="auto"/>
          <w:sz w:val="20"/>
        </w:rPr>
        <w:t xml:space="preserve"> </w:t>
      </w:r>
      <w:r w:rsidRPr="00EA59C0">
        <w:rPr>
          <w:rFonts w:ascii="Arial" w:hAnsi="Arial" w:cs="Arial"/>
          <w:i/>
          <w:color w:val="auto"/>
          <w:sz w:val="20"/>
        </w:rPr>
        <w:t>Curve:</w:t>
      </w:r>
      <w:r w:rsidR="00C026A6" w:rsidRPr="00EA59C0">
        <w:rPr>
          <w:rFonts w:ascii="Arial" w:hAnsi="Arial" w:cs="Arial"/>
          <w:i/>
          <w:color w:val="auto"/>
          <w:sz w:val="20"/>
        </w:rPr>
        <w:t xml:space="preserve"> </w:t>
      </w:r>
      <w:r w:rsidRPr="00EA59C0">
        <w:rPr>
          <w:rFonts w:ascii="Arial" w:hAnsi="Arial" w:cs="Arial"/>
          <w:i/>
          <w:color w:val="auto"/>
          <w:sz w:val="20"/>
        </w:rPr>
        <w:t>State</w:t>
      </w:r>
      <w:r w:rsidR="00C026A6" w:rsidRPr="00EA59C0">
        <w:rPr>
          <w:rFonts w:ascii="Arial" w:hAnsi="Arial" w:cs="Arial"/>
          <w:i/>
          <w:color w:val="auto"/>
          <w:sz w:val="20"/>
        </w:rPr>
        <w:t xml:space="preserve"> </w:t>
      </w:r>
      <w:r w:rsidRPr="00EA59C0">
        <w:rPr>
          <w:rFonts w:ascii="Arial" w:hAnsi="Arial" w:cs="Arial"/>
          <w:i/>
          <w:color w:val="auto"/>
          <w:sz w:val="20"/>
        </w:rPr>
        <w:t>Success</w:t>
      </w:r>
      <w:r w:rsidR="00C026A6" w:rsidRPr="00EA59C0">
        <w:rPr>
          <w:rFonts w:ascii="Arial" w:hAnsi="Arial" w:cs="Arial"/>
          <w:i/>
          <w:color w:val="auto"/>
          <w:sz w:val="20"/>
        </w:rPr>
        <w:t xml:space="preserve"> </w:t>
      </w:r>
      <w:r w:rsidRPr="00EA59C0">
        <w:rPr>
          <w:rFonts w:ascii="Arial" w:hAnsi="Arial" w:cs="Arial"/>
          <w:i/>
          <w:color w:val="auto"/>
          <w:sz w:val="20"/>
        </w:rPr>
        <w:t>In</w:t>
      </w:r>
      <w:r w:rsidR="00C026A6" w:rsidRPr="00EA59C0">
        <w:rPr>
          <w:rFonts w:ascii="Arial" w:hAnsi="Arial" w:cs="Arial"/>
          <w:i/>
          <w:color w:val="auto"/>
          <w:sz w:val="20"/>
        </w:rPr>
        <w:t xml:space="preserve"> </w:t>
      </w:r>
      <w:r w:rsidRPr="00EA59C0">
        <w:rPr>
          <w:rFonts w:ascii="Arial" w:hAnsi="Arial" w:cs="Arial"/>
          <w:i/>
          <w:color w:val="auto"/>
          <w:sz w:val="20"/>
        </w:rPr>
        <w:t>The</w:t>
      </w:r>
      <w:r w:rsidR="00C026A6" w:rsidRPr="00EA59C0">
        <w:rPr>
          <w:rFonts w:ascii="Arial" w:hAnsi="Arial" w:cs="Arial"/>
          <w:i/>
          <w:color w:val="auto"/>
          <w:sz w:val="20"/>
        </w:rPr>
        <w:t xml:space="preserve"> </w:t>
      </w:r>
      <w:r w:rsidRPr="00EA59C0">
        <w:rPr>
          <w:rFonts w:ascii="Arial" w:hAnsi="Arial" w:cs="Arial"/>
          <w:i/>
          <w:color w:val="auto"/>
          <w:sz w:val="20"/>
        </w:rPr>
        <w:t>Developmental</w:t>
      </w:r>
      <w:r w:rsidR="00C026A6" w:rsidRPr="00EA59C0">
        <w:rPr>
          <w:rFonts w:ascii="Arial" w:hAnsi="Arial" w:cs="Arial"/>
          <w:i/>
          <w:color w:val="auto"/>
          <w:sz w:val="20"/>
        </w:rPr>
        <w:t xml:space="preserve"> </w:t>
      </w:r>
      <w:r w:rsidRPr="00EA59C0">
        <w:rPr>
          <w:rFonts w:ascii="Arial" w:hAnsi="Arial" w:cs="Arial"/>
          <w:i/>
          <w:color w:val="auto"/>
          <w:sz w:val="20"/>
        </w:rPr>
        <w:t>Education</w:t>
      </w:r>
      <w:r w:rsidR="00C026A6" w:rsidRPr="00EA59C0">
        <w:rPr>
          <w:rFonts w:ascii="Arial" w:hAnsi="Arial" w:cs="Arial"/>
          <w:i/>
          <w:color w:val="auto"/>
          <w:sz w:val="20"/>
        </w:rPr>
        <w:t xml:space="preserve"> </w:t>
      </w:r>
      <w:r w:rsidRPr="00EA59C0">
        <w:rPr>
          <w:rFonts w:ascii="Arial" w:hAnsi="Arial" w:cs="Arial"/>
          <w:i/>
          <w:color w:val="auto"/>
          <w:sz w:val="20"/>
        </w:rPr>
        <w:t>Initiative</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Dave</w:t>
      </w:r>
      <w:r w:rsidR="00C026A6" w:rsidRPr="00EA59C0">
        <w:rPr>
          <w:rFonts w:ascii="Arial" w:hAnsi="Arial" w:cs="Arial"/>
          <w:color w:val="auto"/>
          <w:sz w:val="20"/>
        </w:rPr>
        <w:t xml:space="preserve"> </w:t>
      </w:r>
      <w:r w:rsidRPr="00EA59C0">
        <w:rPr>
          <w:rFonts w:ascii="Arial" w:hAnsi="Arial" w:cs="Arial"/>
          <w:color w:val="auto"/>
          <w:sz w:val="20"/>
        </w:rPr>
        <w:t>Altstadt</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Jobs</w:t>
      </w:r>
      <w:r w:rsidR="00C026A6" w:rsidRPr="00EA59C0">
        <w:rPr>
          <w:rFonts w:ascii="Arial" w:hAnsi="Arial" w:cs="Arial"/>
          <w:color w:val="auto"/>
          <w:sz w:val="20"/>
        </w:rPr>
        <w:t xml:space="preserve"> </w:t>
      </w:r>
      <w:r w:rsidRPr="00EA59C0">
        <w:rPr>
          <w:rFonts w:ascii="Arial" w:hAnsi="Arial" w:cs="Arial"/>
          <w:color w:val="auto"/>
          <w:sz w:val="20"/>
        </w:rPr>
        <w:t>for</w:t>
      </w:r>
      <w:r w:rsidR="00C026A6" w:rsidRPr="00EA59C0">
        <w:rPr>
          <w:rFonts w:ascii="Arial" w:hAnsi="Arial" w:cs="Arial"/>
          <w:color w:val="auto"/>
          <w:sz w:val="20"/>
        </w:rPr>
        <w:t xml:space="preserve"> </w:t>
      </w: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Future</w:t>
      </w:r>
      <w:r w:rsidR="00334C31"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December</w:t>
      </w:r>
      <w:r w:rsidR="00C026A6" w:rsidRPr="00EA59C0">
        <w:rPr>
          <w:rFonts w:ascii="Arial" w:hAnsi="Arial" w:cs="Arial"/>
          <w:color w:val="auto"/>
          <w:sz w:val="20"/>
        </w:rPr>
        <w:t xml:space="preserve"> </w:t>
      </w:r>
      <w:r w:rsidRPr="00EA59C0">
        <w:rPr>
          <w:rFonts w:ascii="Arial" w:hAnsi="Arial" w:cs="Arial"/>
          <w:color w:val="auto"/>
          <w:sz w:val="20"/>
        </w:rPr>
        <w:t>2012</w:t>
      </w:r>
    </w:p>
    <w:p w:rsidR="00B752E6" w:rsidRPr="00EA59C0" w:rsidRDefault="00DF2916" w:rsidP="00B752E6">
      <w:pPr>
        <w:pStyle w:val="Default"/>
        <w:rPr>
          <w:rFonts w:ascii="Arial" w:hAnsi="Arial" w:cs="Arial"/>
          <w:color w:val="auto"/>
          <w:sz w:val="20"/>
        </w:rPr>
      </w:pPr>
      <w:hyperlink r:id="rId308" w:history="1">
        <w:r w:rsidR="00334C31" w:rsidRPr="00EA59C0">
          <w:rPr>
            <w:rStyle w:val="Hyperlink"/>
            <w:rFonts w:ascii="Arial" w:hAnsi="Arial" w:cs="Arial"/>
            <w:color w:val="auto"/>
            <w:sz w:val="20"/>
          </w:rPr>
          <w:t>http://www.jff.org/sites/default/files/publications/AheadOfTheCurve_120312.pdf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Core</w:t>
      </w:r>
      <w:r w:rsidR="00C026A6" w:rsidRPr="00EA59C0">
        <w:rPr>
          <w:rFonts w:ascii="Arial" w:hAnsi="Arial" w:cs="Arial"/>
          <w:i/>
          <w:color w:val="auto"/>
          <w:sz w:val="20"/>
        </w:rPr>
        <w:t xml:space="preserve"> </w:t>
      </w:r>
      <w:r w:rsidRPr="00EA59C0">
        <w:rPr>
          <w:rFonts w:ascii="Arial" w:hAnsi="Arial" w:cs="Arial"/>
          <w:i/>
          <w:color w:val="auto"/>
          <w:sz w:val="20"/>
        </w:rPr>
        <w:t>Principles</w:t>
      </w:r>
      <w:r w:rsidR="00C026A6" w:rsidRPr="00EA59C0">
        <w:rPr>
          <w:rFonts w:ascii="Arial" w:hAnsi="Arial" w:cs="Arial"/>
          <w:i/>
          <w:color w:val="auto"/>
          <w:sz w:val="20"/>
        </w:rPr>
        <w:t xml:space="preserve"> </w:t>
      </w:r>
      <w:r w:rsidRPr="00EA59C0">
        <w:rPr>
          <w:rFonts w:ascii="Arial" w:hAnsi="Arial" w:cs="Arial"/>
          <w:i/>
          <w:color w:val="auto"/>
          <w:sz w:val="20"/>
        </w:rPr>
        <w:t>for</w:t>
      </w:r>
      <w:r w:rsidR="00C026A6" w:rsidRPr="00EA59C0">
        <w:rPr>
          <w:rFonts w:ascii="Arial" w:hAnsi="Arial" w:cs="Arial"/>
          <w:i/>
          <w:color w:val="auto"/>
          <w:sz w:val="20"/>
        </w:rPr>
        <w:t xml:space="preserve"> </w:t>
      </w:r>
      <w:r w:rsidRPr="00EA59C0">
        <w:rPr>
          <w:rFonts w:ascii="Arial" w:hAnsi="Arial" w:cs="Arial"/>
          <w:i/>
          <w:color w:val="auto"/>
          <w:sz w:val="20"/>
        </w:rPr>
        <w:t>Transforming</w:t>
      </w:r>
      <w:r w:rsidR="00C026A6" w:rsidRPr="00EA59C0">
        <w:rPr>
          <w:rFonts w:ascii="Arial" w:hAnsi="Arial" w:cs="Arial"/>
          <w:i/>
          <w:color w:val="auto"/>
          <w:sz w:val="20"/>
        </w:rPr>
        <w:t xml:space="preserve"> </w:t>
      </w:r>
      <w:r w:rsidRPr="00EA59C0">
        <w:rPr>
          <w:rFonts w:ascii="Arial" w:hAnsi="Arial" w:cs="Arial"/>
          <w:i/>
          <w:color w:val="auto"/>
          <w:sz w:val="20"/>
        </w:rPr>
        <w:t>Remedial</w:t>
      </w:r>
      <w:r w:rsidR="00C026A6" w:rsidRPr="00EA59C0">
        <w:rPr>
          <w:rFonts w:ascii="Arial" w:hAnsi="Arial" w:cs="Arial"/>
          <w:i/>
          <w:color w:val="auto"/>
          <w:sz w:val="20"/>
        </w:rPr>
        <w:t xml:space="preserve"> </w:t>
      </w:r>
      <w:r w:rsidRPr="00EA59C0">
        <w:rPr>
          <w:rFonts w:ascii="Arial" w:hAnsi="Arial" w:cs="Arial"/>
          <w:i/>
          <w:color w:val="auto"/>
          <w:sz w:val="20"/>
        </w:rPr>
        <w:t>Education:</w:t>
      </w:r>
      <w:r w:rsidR="00C026A6" w:rsidRPr="00EA59C0">
        <w:rPr>
          <w:rFonts w:ascii="Arial" w:hAnsi="Arial" w:cs="Arial"/>
          <w:i/>
          <w:color w:val="auto"/>
          <w:sz w:val="20"/>
        </w:rPr>
        <w:t xml:space="preserve"> </w:t>
      </w:r>
      <w:r w:rsidRPr="00EA59C0">
        <w:rPr>
          <w:rFonts w:ascii="Arial" w:hAnsi="Arial" w:cs="Arial"/>
          <w:i/>
          <w:color w:val="auto"/>
          <w:sz w:val="20"/>
        </w:rPr>
        <w:t>A</w:t>
      </w:r>
      <w:r w:rsidR="00C026A6" w:rsidRPr="00EA59C0">
        <w:rPr>
          <w:rFonts w:ascii="Arial" w:hAnsi="Arial" w:cs="Arial"/>
          <w:i/>
          <w:color w:val="auto"/>
          <w:sz w:val="20"/>
        </w:rPr>
        <w:t xml:space="preserve"> </w:t>
      </w:r>
      <w:r w:rsidRPr="00EA59C0">
        <w:rPr>
          <w:rFonts w:ascii="Arial" w:hAnsi="Arial" w:cs="Arial"/>
          <w:i/>
          <w:color w:val="auto"/>
          <w:sz w:val="20"/>
        </w:rPr>
        <w:t>Joint</w:t>
      </w:r>
      <w:r w:rsidR="00C026A6" w:rsidRPr="00EA59C0">
        <w:rPr>
          <w:rFonts w:ascii="Arial" w:hAnsi="Arial" w:cs="Arial"/>
          <w:i/>
          <w:color w:val="auto"/>
          <w:sz w:val="20"/>
        </w:rPr>
        <w:t xml:space="preserve"> </w:t>
      </w:r>
      <w:r w:rsidRPr="00EA59C0">
        <w:rPr>
          <w:rFonts w:ascii="Arial" w:hAnsi="Arial" w:cs="Arial"/>
          <w:i/>
          <w:color w:val="auto"/>
          <w:sz w:val="20"/>
        </w:rPr>
        <w:t>Statement</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Charles</w:t>
      </w:r>
      <w:r w:rsidR="00C026A6" w:rsidRPr="00EA59C0">
        <w:rPr>
          <w:rFonts w:ascii="Arial" w:hAnsi="Arial" w:cs="Arial"/>
          <w:color w:val="auto"/>
          <w:sz w:val="20"/>
        </w:rPr>
        <w:t xml:space="preserve"> </w:t>
      </w:r>
      <w:r w:rsidRPr="00EA59C0">
        <w:rPr>
          <w:rFonts w:ascii="Arial" w:hAnsi="Arial" w:cs="Arial"/>
          <w:color w:val="auto"/>
          <w:sz w:val="20"/>
        </w:rPr>
        <w:t>A.</w:t>
      </w:r>
      <w:r w:rsidR="00C026A6" w:rsidRPr="00EA59C0">
        <w:rPr>
          <w:rFonts w:ascii="Arial" w:hAnsi="Arial" w:cs="Arial"/>
          <w:color w:val="auto"/>
          <w:sz w:val="20"/>
        </w:rPr>
        <w:t xml:space="preserve"> </w:t>
      </w:r>
      <w:r w:rsidRPr="00EA59C0">
        <w:rPr>
          <w:rFonts w:ascii="Arial" w:hAnsi="Arial" w:cs="Arial"/>
          <w:color w:val="auto"/>
          <w:sz w:val="20"/>
        </w:rPr>
        <w:t>Dana</w:t>
      </w:r>
      <w:r w:rsidR="00C026A6" w:rsidRPr="00EA59C0">
        <w:rPr>
          <w:rFonts w:ascii="Arial" w:hAnsi="Arial" w:cs="Arial"/>
          <w:color w:val="auto"/>
          <w:sz w:val="20"/>
        </w:rPr>
        <w:t xml:space="preserve"> </w:t>
      </w:r>
      <w:r w:rsidRPr="00EA59C0">
        <w:rPr>
          <w:rFonts w:ascii="Arial" w:hAnsi="Arial" w:cs="Arial"/>
          <w:color w:val="auto"/>
          <w:sz w:val="20"/>
        </w:rPr>
        <w:t>Center,</w:t>
      </w:r>
      <w:r w:rsidR="00C026A6" w:rsidRPr="00EA59C0">
        <w:rPr>
          <w:rFonts w:ascii="Arial" w:hAnsi="Arial" w:cs="Arial"/>
          <w:color w:val="auto"/>
          <w:sz w:val="20"/>
        </w:rPr>
        <w:t xml:space="preserve"> </w:t>
      </w:r>
      <w:r w:rsidRPr="00EA59C0">
        <w:rPr>
          <w:rFonts w:ascii="Arial" w:hAnsi="Arial" w:cs="Arial"/>
          <w:color w:val="auto"/>
          <w:sz w:val="20"/>
        </w:rPr>
        <w:t>Complete</w:t>
      </w:r>
      <w:r w:rsidR="00C026A6" w:rsidRPr="00EA59C0">
        <w:rPr>
          <w:rFonts w:ascii="Arial" w:hAnsi="Arial" w:cs="Arial"/>
          <w:color w:val="auto"/>
          <w:sz w:val="20"/>
        </w:rPr>
        <w:t xml:space="preserve"> </w:t>
      </w:r>
      <w:r w:rsidRPr="00EA59C0">
        <w:rPr>
          <w:rFonts w:ascii="Arial" w:hAnsi="Arial" w:cs="Arial"/>
          <w:color w:val="auto"/>
          <w:sz w:val="20"/>
        </w:rPr>
        <w:t>College</w:t>
      </w:r>
      <w:r w:rsidR="00C026A6" w:rsidRPr="00EA59C0">
        <w:rPr>
          <w:rFonts w:ascii="Arial" w:hAnsi="Arial" w:cs="Arial"/>
          <w:color w:val="auto"/>
          <w:sz w:val="20"/>
        </w:rPr>
        <w:t xml:space="preserve"> </w:t>
      </w:r>
      <w:r w:rsidRPr="00EA59C0">
        <w:rPr>
          <w:rFonts w:ascii="Arial" w:hAnsi="Arial" w:cs="Arial"/>
          <w:color w:val="auto"/>
          <w:sz w:val="20"/>
        </w:rPr>
        <w:t>America,</w:t>
      </w:r>
      <w:r w:rsidR="00C026A6" w:rsidRPr="00EA59C0">
        <w:rPr>
          <w:rFonts w:ascii="Arial" w:hAnsi="Arial" w:cs="Arial"/>
          <w:color w:val="auto"/>
          <w:sz w:val="20"/>
        </w:rPr>
        <w:t xml:space="preserve"> </w:t>
      </w:r>
      <w:r w:rsidRPr="00EA59C0">
        <w:rPr>
          <w:rFonts w:ascii="Arial" w:hAnsi="Arial" w:cs="Arial"/>
          <w:color w:val="auto"/>
          <w:sz w:val="20"/>
        </w:rPr>
        <w:t>Education</w:t>
      </w:r>
      <w:r w:rsidR="00C026A6" w:rsidRPr="00EA59C0">
        <w:rPr>
          <w:rFonts w:ascii="Arial" w:hAnsi="Arial" w:cs="Arial"/>
          <w:color w:val="auto"/>
          <w:sz w:val="20"/>
        </w:rPr>
        <w:t xml:space="preserve"> </w:t>
      </w:r>
      <w:r w:rsidRPr="00EA59C0">
        <w:rPr>
          <w:rFonts w:ascii="Arial" w:hAnsi="Arial" w:cs="Arial"/>
          <w:color w:val="auto"/>
          <w:sz w:val="20"/>
        </w:rPr>
        <w:t>Commission</w:t>
      </w:r>
      <w:r w:rsidR="00C026A6" w:rsidRPr="00EA59C0">
        <w:rPr>
          <w:rFonts w:ascii="Arial" w:hAnsi="Arial" w:cs="Arial"/>
          <w:color w:val="auto"/>
          <w:sz w:val="20"/>
        </w:rPr>
        <w:t xml:space="preserve"> </w:t>
      </w:r>
      <w:r w:rsidRPr="00EA59C0">
        <w:rPr>
          <w:rFonts w:ascii="Arial" w:hAnsi="Arial" w:cs="Arial"/>
          <w:color w:val="auto"/>
          <w:sz w:val="20"/>
        </w:rPr>
        <w:t>of</w:t>
      </w:r>
      <w:r w:rsidR="00C026A6" w:rsidRPr="00EA59C0">
        <w:rPr>
          <w:rFonts w:ascii="Arial" w:hAnsi="Arial" w:cs="Arial"/>
          <w:color w:val="auto"/>
          <w:sz w:val="20"/>
        </w:rPr>
        <w:t xml:space="preserve"> </w:t>
      </w: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States,</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Jobs</w:t>
      </w:r>
      <w:r w:rsidR="00C026A6" w:rsidRPr="00EA59C0">
        <w:rPr>
          <w:rFonts w:ascii="Arial" w:hAnsi="Arial" w:cs="Arial"/>
          <w:color w:val="auto"/>
          <w:sz w:val="20"/>
        </w:rPr>
        <w:t xml:space="preserve"> </w:t>
      </w:r>
      <w:r w:rsidRPr="00EA59C0">
        <w:rPr>
          <w:rFonts w:ascii="Arial" w:hAnsi="Arial" w:cs="Arial"/>
          <w:color w:val="auto"/>
          <w:sz w:val="20"/>
        </w:rPr>
        <w:t>for</w:t>
      </w:r>
      <w:r w:rsidR="00C026A6" w:rsidRPr="00EA59C0">
        <w:rPr>
          <w:rFonts w:ascii="Arial" w:hAnsi="Arial" w:cs="Arial"/>
          <w:color w:val="auto"/>
          <w:sz w:val="20"/>
        </w:rPr>
        <w:t xml:space="preserve"> </w:t>
      </w: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Future</w:t>
      </w:r>
      <w:r w:rsidR="00334C31"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December</w:t>
      </w:r>
      <w:r w:rsidR="00C026A6" w:rsidRPr="00EA59C0">
        <w:rPr>
          <w:rFonts w:ascii="Arial" w:hAnsi="Arial" w:cs="Arial"/>
          <w:color w:val="auto"/>
          <w:sz w:val="20"/>
        </w:rPr>
        <w:t xml:space="preserve"> </w:t>
      </w:r>
      <w:r w:rsidRPr="00EA59C0">
        <w:rPr>
          <w:rFonts w:ascii="Arial" w:hAnsi="Arial" w:cs="Arial"/>
          <w:color w:val="auto"/>
          <w:sz w:val="20"/>
        </w:rPr>
        <w:t>2012</w:t>
      </w:r>
    </w:p>
    <w:p w:rsidR="00B752E6" w:rsidRPr="00EA59C0" w:rsidRDefault="00DF2916" w:rsidP="00B752E6">
      <w:pPr>
        <w:pStyle w:val="Default"/>
        <w:rPr>
          <w:rFonts w:ascii="Arial" w:hAnsi="Arial" w:cs="Arial"/>
          <w:color w:val="auto"/>
          <w:sz w:val="20"/>
        </w:rPr>
      </w:pPr>
      <w:hyperlink r:id="rId309" w:history="1">
        <w:r w:rsidR="00F6476B" w:rsidRPr="00BB093B">
          <w:rPr>
            <w:rStyle w:val="Hyperlink"/>
            <w:rFonts w:ascii="Arial" w:hAnsi="Arial" w:cs="Arial"/>
            <w:sz w:val="20"/>
          </w:rPr>
          <w:t>http://www.jff.org/sites/default/files/publications/RemediationJointStatement-121312update.pdf</w:t>
        </w:r>
      </w:hyperlink>
      <w:r w:rsidR="00F6476B">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Developmental</w:t>
      </w:r>
      <w:r w:rsidR="00C026A6" w:rsidRPr="00EA59C0">
        <w:rPr>
          <w:rFonts w:ascii="Arial" w:hAnsi="Arial" w:cs="Arial"/>
          <w:color w:val="auto"/>
          <w:sz w:val="20"/>
        </w:rPr>
        <w:t xml:space="preserve"> </w:t>
      </w:r>
      <w:r w:rsidRPr="00EA59C0">
        <w:rPr>
          <w:rFonts w:ascii="Arial" w:hAnsi="Arial" w:cs="Arial"/>
          <w:color w:val="auto"/>
          <w:sz w:val="20"/>
        </w:rPr>
        <w:t>Education</w:t>
      </w:r>
      <w:r w:rsidR="00C026A6" w:rsidRPr="00EA59C0">
        <w:rPr>
          <w:rFonts w:ascii="Arial" w:hAnsi="Arial" w:cs="Arial"/>
          <w:color w:val="auto"/>
          <w:sz w:val="20"/>
        </w:rPr>
        <w:t xml:space="preserve"> </w:t>
      </w:r>
      <w:r w:rsidRPr="00EA59C0">
        <w:rPr>
          <w:rFonts w:ascii="Arial" w:hAnsi="Arial" w:cs="Arial"/>
          <w:color w:val="auto"/>
          <w:sz w:val="20"/>
        </w:rPr>
        <w:t>Initiative:</w:t>
      </w:r>
      <w:r w:rsidR="00C026A6" w:rsidRPr="00EA59C0">
        <w:rPr>
          <w:rFonts w:ascii="Arial" w:hAnsi="Arial" w:cs="Arial"/>
          <w:color w:val="auto"/>
          <w:sz w:val="20"/>
        </w:rPr>
        <w:t xml:space="preserve"> </w:t>
      </w:r>
      <w:r w:rsidRPr="00EA59C0">
        <w:rPr>
          <w:rFonts w:ascii="Arial" w:hAnsi="Arial" w:cs="Arial"/>
          <w:color w:val="auto"/>
          <w:sz w:val="20"/>
        </w:rPr>
        <w:t>State</w:t>
      </w:r>
      <w:r w:rsidR="00C026A6" w:rsidRPr="00EA59C0">
        <w:rPr>
          <w:rFonts w:ascii="Arial" w:hAnsi="Arial" w:cs="Arial"/>
          <w:color w:val="auto"/>
          <w:sz w:val="20"/>
        </w:rPr>
        <w:t xml:space="preserve"> </w:t>
      </w:r>
      <w:r w:rsidRPr="00EA59C0">
        <w:rPr>
          <w:rFonts w:ascii="Arial" w:hAnsi="Arial" w:cs="Arial"/>
          <w:color w:val="auto"/>
          <w:sz w:val="20"/>
        </w:rPr>
        <w:t>Policy</w:t>
      </w:r>
      <w:r w:rsidR="00C026A6" w:rsidRPr="00EA59C0">
        <w:rPr>
          <w:rFonts w:ascii="Arial" w:hAnsi="Arial" w:cs="Arial"/>
          <w:color w:val="auto"/>
          <w:sz w:val="20"/>
        </w:rPr>
        <w:t xml:space="preserve"> </w:t>
      </w:r>
      <w:r w:rsidRPr="00EA59C0">
        <w:rPr>
          <w:rFonts w:ascii="Arial" w:hAnsi="Arial" w:cs="Arial"/>
          <w:color w:val="auto"/>
          <w:sz w:val="20"/>
        </w:rPr>
        <w:t>Framework</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Strategy</w:t>
      </w:r>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Jobs</w:t>
      </w:r>
      <w:r w:rsidR="00C026A6" w:rsidRPr="00EA59C0">
        <w:rPr>
          <w:rFonts w:ascii="Arial" w:hAnsi="Arial" w:cs="Arial"/>
          <w:color w:val="auto"/>
          <w:sz w:val="20"/>
        </w:rPr>
        <w:t xml:space="preserve"> </w:t>
      </w:r>
      <w:r w:rsidRPr="00EA59C0">
        <w:rPr>
          <w:rFonts w:ascii="Arial" w:hAnsi="Arial" w:cs="Arial"/>
          <w:color w:val="auto"/>
          <w:sz w:val="20"/>
        </w:rPr>
        <w:t>for</w:t>
      </w:r>
      <w:r w:rsidR="00C026A6" w:rsidRPr="00EA59C0">
        <w:rPr>
          <w:rFonts w:ascii="Arial" w:hAnsi="Arial" w:cs="Arial"/>
          <w:color w:val="auto"/>
          <w:sz w:val="20"/>
        </w:rPr>
        <w:t xml:space="preserve"> </w:t>
      </w: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Future</w:t>
      </w:r>
      <w:r w:rsidR="00334C31"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December</w:t>
      </w:r>
      <w:r w:rsidR="00C026A6" w:rsidRPr="00EA59C0">
        <w:rPr>
          <w:rFonts w:ascii="Arial" w:hAnsi="Arial" w:cs="Arial"/>
          <w:color w:val="auto"/>
          <w:sz w:val="20"/>
        </w:rPr>
        <w:t xml:space="preserve"> </w:t>
      </w:r>
      <w:r w:rsidRPr="00EA59C0">
        <w:rPr>
          <w:rFonts w:ascii="Arial" w:hAnsi="Arial" w:cs="Arial"/>
          <w:color w:val="auto"/>
          <w:sz w:val="20"/>
        </w:rPr>
        <w:t>2012</w:t>
      </w:r>
    </w:p>
    <w:p w:rsidR="00B752E6" w:rsidRDefault="00DF2916" w:rsidP="00B752E6">
      <w:pPr>
        <w:pStyle w:val="Default"/>
        <w:rPr>
          <w:rFonts w:ascii="Arial" w:hAnsi="Arial" w:cs="Arial"/>
          <w:color w:val="auto"/>
          <w:sz w:val="20"/>
        </w:rPr>
      </w:pPr>
      <w:hyperlink r:id="rId310" w:history="1">
        <w:r w:rsidR="002A56B8" w:rsidRPr="006B5691">
          <w:rPr>
            <w:rStyle w:val="Hyperlink"/>
            <w:rFonts w:ascii="Arial" w:hAnsi="Arial" w:cs="Arial"/>
            <w:sz w:val="20"/>
          </w:rPr>
          <w:t>http://www.jff.org/sites/default/files/publications/DEI_State_Policy_Framework.pdf</w:t>
        </w:r>
      </w:hyperlink>
    </w:p>
    <w:p w:rsidR="002A56B8" w:rsidRPr="00EA59C0" w:rsidRDefault="002A56B8" w:rsidP="00B752E6">
      <w:pPr>
        <w:pStyle w:val="Default"/>
        <w:rPr>
          <w:rFonts w:ascii="Arial" w:hAnsi="Arial" w:cs="Arial"/>
          <w:color w:val="auto"/>
          <w:sz w:val="20"/>
        </w:rPr>
      </w:pP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Models</w:t>
      </w:r>
      <w:r w:rsidR="00C026A6" w:rsidRPr="00EA59C0">
        <w:rPr>
          <w:rFonts w:ascii="Arial" w:hAnsi="Arial" w:cs="Arial"/>
          <w:color w:val="auto"/>
          <w:sz w:val="20"/>
        </w:rPr>
        <w:t xml:space="preserve"> </w:t>
      </w:r>
      <w:r w:rsidRPr="00EA59C0">
        <w:rPr>
          <w:rFonts w:ascii="Arial" w:hAnsi="Arial" w:cs="Arial"/>
          <w:color w:val="auto"/>
          <w:sz w:val="20"/>
        </w:rPr>
        <w:t>of</w:t>
      </w:r>
      <w:r w:rsidR="00C026A6" w:rsidRPr="00EA59C0">
        <w:rPr>
          <w:rFonts w:ascii="Arial" w:hAnsi="Arial" w:cs="Arial"/>
          <w:color w:val="auto"/>
          <w:sz w:val="20"/>
        </w:rPr>
        <w:t xml:space="preserve"> </w:t>
      </w:r>
      <w:r w:rsidRPr="00EA59C0">
        <w:rPr>
          <w:rFonts w:ascii="Arial" w:hAnsi="Arial" w:cs="Arial"/>
          <w:color w:val="auto"/>
          <w:sz w:val="20"/>
        </w:rPr>
        <w:t>Contextualization</w:t>
      </w:r>
      <w:r w:rsidR="00C026A6" w:rsidRPr="00EA59C0">
        <w:rPr>
          <w:rFonts w:ascii="Arial" w:hAnsi="Arial" w:cs="Arial"/>
          <w:color w:val="auto"/>
          <w:sz w:val="20"/>
        </w:rPr>
        <w:t xml:space="preserve"> </w:t>
      </w:r>
      <w:r w:rsidRPr="00EA59C0">
        <w:rPr>
          <w:rFonts w:ascii="Arial" w:hAnsi="Arial" w:cs="Arial"/>
          <w:color w:val="auto"/>
          <w:sz w:val="20"/>
        </w:rPr>
        <w:t>in</w:t>
      </w:r>
      <w:r w:rsidR="00C026A6" w:rsidRPr="00EA59C0">
        <w:rPr>
          <w:rFonts w:ascii="Arial" w:hAnsi="Arial" w:cs="Arial"/>
          <w:color w:val="auto"/>
          <w:sz w:val="20"/>
        </w:rPr>
        <w:t xml:space="preserve"> </w:t>
      </w:r>
      <w:r w:rsidRPr="00EA59C0">
        <w:rPr>
          <w:rFonts w:ascii="Arial" w:hAnsi="Arial" w:cs="Arial"/>
          <w:color w:val="auto"/>
          <w:sz w:val="20"/>
        </w:rPr>
        <w:t>Developmental</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Adult</w:t>
      </w:r>
      <w:r w:rsidR="00C026A6" w:rsidRPr="00EA59C0">
        <w:rPr>
          <w:rFonts w:ascii="Arial" w:hAnsi="Arial" w:cs="Arial"/>
          <w:color w:val="auto"/>
          <w:sz w:val="20"/>
        </w:rPr>
        <w:t xml:space="preserve"> </w:t>
      </w:r>
      <w:r w:rsidRPr="00EA59C0">
        <w:rPr>
          <w:rFonts w:ascii="Arial" w:hAnsi="Arial" w:cs="Arial"/>
          <w:color w:val="auto"/>
          <w:sz w:val="20"/>
        </w:rPr>
        <w:t>Basic</w:t>
      </w:r>
      <w:r w:rsidR="00C026A6" w:rsidRPr="00EA59C0">
        <w:rPr>
          <w:rFonts w:ascii="Arial" w:hAnsi="Arial" w:cs="Arial"/>
          <w:color w:val="auto"/>
          <w:sz w:val="20"/>
        </w:rPr>
        <w:t xml:space="preserve"> </w:t>
      </w:r>
      <w:r w:rsidRPr="00EA59C0">
        <w:rPr>
          <w:rFonts w:ascii="Arial" w:hAnsi="Arial" w:cs="Arial"/>
          <w:color w:val="auto"/>
          <w:sz w:val="20"/>
        </w:rPr>
        <w:t>Education</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Education</w:t>
      </w:r>
      <w:r w:rsidR="00C026A6" w:rsidRPr="00EA59C0">
        <w:rPr>
          <w:rFonts w:ascii="Arial" w:hAnsi="Arial" w:cs="Arial"/>
          <w:color w:val="auto"/>
          <w:sz w:val="20"/>
        </w:rPr>
        <w:t xml:space="preserve"> </w:t>
      </w:r>
      <w:r w:rsidRPr="00EA59C0">
        <w:rPr>
          <w:rFonts w:ascii="Arial" w:hAnsi="Arial" w:cs="Arial"/>
          <w:color w:val="auto"/>
          <w:sz w:val="20"/>
        </w:rPr>
        <w:t>Development</w:t>
      </w:r>
      <w:r w:rsidR="00C026A6" w:rsidRPr="00EA59C0">
        <w:rPr>
          <w:rFonts w:ascii="Arial" w:hAnsi="Arial" w:cs="Arial"/>
          <w:color w:val="auto"/>
          <w:sz w:val="20"/>
        </w:rPr>
        <w:t xml:space="preserve"> </w:t>
      </w:r>
      <w:r w:rsidRPr="00EA59C0">
        <w:rPr>
          <w:rFonts w:ascii="Arial" w:hAnsi="Arial" w:cs="Arial"/>
          <w:color w:val="auto"/>
          <w:sz w:val="20"/>
        </w:rPr>
        <w:t>Center</w:t>
      </w:r>
      <w:r w:rsidR="00334C31"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July</w:t>
      </w:r>
      <w:r w:rsidR="00C026A6" w:rsidRPr="00EA59C0">
        <w:rPr>
          <w:rFonts w:ascii="Arial" w:hAnsi="Arial" w:cs="Arial"/>
          <w:color w:val="auto"/>
          <w:sz w:val="20"/>
        </w:rPr>
        <w:t xml:space="preserve"> </w:t>
      </w:r>
      <w:r w:rsidRPr="00EA59C0">
        <w:rPr>
          <w:rFonts w:ascii="Arial" w:hAnsi="Arial" w:cs="Arial"/>
          <w:color w:val="auto"/>
          <w:sz w:val="20"/>
        </w:rPr>
        <w:t>2012</w:t>
      </w:r>
    </w:p>
    <w:p w:rsidR="00B752E6" w:rsidRPr="00EA59C0" w:rsidRDefault="00DF2916" w:rsidP="00B752E6">
      <w:pPr>
        <w:pStyle w:val="Default"/>
        <w:rPr>
          <w:rFonts w:ascii="Arial" w:hAnsi="Arial" w:cs="Arial"/>
          <w:color w:val="auto"/>
          <w:sz w:val="20"/>
        </w:rPr>
      </w:pPr>
      <w:hyperlink r:id="rId311" w:history="1">
        <w:r w:rsidR="00334C31" w:rsidRPr="00EA59C0">
          <w:rPr>
            <w:rStyle w:val="Hyperlink"/>
            <w:rFonts w:ascii="Arial" w:hAnsi="Arial" w:cs="Arial"/>
            <w:color w:val="auto"/>
            <w:sz w:val="20"/>
          </w:rPr>
          <w:t>http://edtechleaders.org/sites/etlo.org/files/highlight-files/Models%20of%20Contextualization%20in%20Developmental%20and%20Adult%20Basic%20Education.pdf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Facilitating</w:t>
      </w:r>
      <w:r w:rsidR="00C026A6" w:rsidRPr="00EA59C0">
        <w:rPr>
          <w:rFonts w:ascii="Arial" w:hAnsi="Arial" w:cs="Arial"/>
          <w:color w:val="auto"/>
          <w:sz w:val="20"/>
        </w:rPr>
        <w:t xml:space="preserve"> </w:t>
      </w:r>
      <w:r w:rsidRPr="00EA59C0">
        <w:rPr>
          <w:rFonts w:ascii="Arial" w:hAnsi="Arial" w:cs="Arial"/>
          <w:color w:val="auto"/>
          <w:sz w:val="20"/>
        </w:rPr>
        <w:t>Student</w:t>
      </w:r>
      <w:r w:rsidR="00C026A6" w:rsidRPr="00EA59C0">
        <w:rPr>
          <w:rFonts w:ascii="Arial" w:hAnsi="Arial" w:cs="Arial"/>
          <w:color w:val="auto"/>
          <w:sz w:val="20"/>
        </w:rPr>
        <w:t xml:space="preserve"> </w:t>
      </w:r>
      <w:r w:rsidRPr="00EA59C0">
        <w:rPr>
          <w:rFonts w:ascii="Arial" w:hAnsi="Arial" w:cs="Arial"/>
          <w:color w:val="auto"/>
          <w:sz w:val="20"/>
        </w:rPr>
        <w:t>Learning</w:t>
      </w:r>
      <w:r w:rsidR="00C026A6" w:rsidRPr="00EA59C0">
        <w:rPr>
          <w:rFonts w:ascii="Arial" w:hAnsi="Arial" w:cs="Arial"/>
          <w:color w:val="auto"/>
          <w:sz w:val="20"/>
        </w:rPr>
        <w:t xml:space="preserve"> </w:t>
      </w:r>
      <w:r w:rsidRPr="00EA59C0">
        <w:rPr>
          <w:rFonts w:ascii="Arial" w:hAnsi="Arial" w:cs="Arial"/>
          <w:color w:val="auto"/>
          <w:sz w:val="20"/>
        </w:rPr>
        <w:t>Through</w:t>
      </w:r>
      <w:r w:rsidR="00C026A6" w:rsidRPr="00EA59C0">
        <w:rPr>
          <w:rFonts w:ascii="Arial" w:hAnsi="Arial" w:cs="Arial"/>
          <w:color w:val="auto"/>
          <w:sz w:val="20"/>
        </w:rPr>
        <w:t xml:space="preserve"> </w:t>
      </w:r>
      <w:r w:rsidRPr="00EA59C0">
        <w:rPr>
          <w:rFonts w:ascii="Arial" w:hAnsi="Arial" w:cs="Arial"/>
          <w:color w:val="auto"/>
          <w:sz w:val="20"/>
        </w:rPr>
        <w:t>Contextualization</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Dolores</w:t>
      </w:r>
      <w:r w:rsidR="00C026A6" w:rsidRPr="00EA59C0">
        <w:rPr>
          <w:rFonts w:ascii="Arial" w:hAnsi="Arial" w:cs="Arial"/>
          <w:color w:val="auto"/>
          <w:sz w:val="20"/>
        </w:rPr>
        <w:t xml:space="preserve"> </w:t>
      </w:r>
      <w:r w:rsidRPr="00EA59C0">
        <w:rPr>
          <w:rFonts w:ascii="Arial" w:hAnsi="Arial" w:cs="Arial"/>
          <w:color w:val="auto"/>
          <w:sz w:val="20"/>
        </w:rPr>
        <w:t>Perin</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Community</w:t>
      </w:r>
      <w:r w:rsidR="00C026A6" w:rsidRPr="00EA59C0">
        <w:rPr>
          <w:rFonts w:ascii="Arial" w:hAnsi="Arial" w:cs="Arial"/>
          <w:color w:val="auto"/>
          <w:sz w:val="20"/>
        </w:rPr>
        <w:t xml:space="preserve"> </w:t>
      </w:r>
      <w:r w:rsidRPr="00EA59C0">
        <w:rPr>
          <w:rFonts w:ascii="Arial" w:hAnsi="Arial" w:cs="Arial"/>
          <w:color w:val="auto"/>
          <w:sz w:val="20"/>
        </w:rPr>
        <w:t>College</w:t>
      </w:r>
      <w:r w:rsidR="00C026A6" w:rsidRPr="00EA59C0">
        <w:rPr>
          <w:rFonts w:ascii="Arial" w:hAnsi="Arial" w:cs="Arial"/>
          <w:color w:val="auto"/>
          <w:sz w:val="20"/>
        </w:rPr>
        <w:t xml:space="preserve"> </w:t>
      </w:r>
      <w:r w:rsidRPr="00EA59C0">
        <w:rPr>
          <w:rFonts w:ascii="Arial" w:hAnsi="Arial" w:cs="Arial"/>
          <w:color w:val="auto"/>
          <w:sz w:val="20"/>
        </w:rPr>
        <w:t>Research</w:t>
      </w:r>
      <w:r w:rsidR="00C026A6" w:rsidRPr="00EA59C0">
        <w:rPr>
          <w:rFonts w:ascii="Arial" w:hAnsi="Arial" w:cs="Arial"/>
          <w:color w:val="auto"/>
          <w:sz w:val="20"/>
        </w:rPr>
        <w:t xml:space="preserve"> </w:t>
      </w:r>
      <w:r w:rsidRPr="00EA59C0">
        <w:rPr>
          <w:rFonts w:ascii="Arial" w:hAnsi="Arial" w:cs="Arial"/>
          <w:color w:val="auto"/>
          <w:sz w:val="20"/>
        </w:rPr>
        <w:t>Center</w:t>
      </w:r>
      <w:r w:rsidR="00334C31"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July</w:t>
      </w:r>
      <w:r w:rsidR="00C026A6" w:rsidRPr="00EA59C0">
        <w:rPr>
          <w:rFonts w:ascii="Arial" w:hAnsi="Arial" w:cs="Arial"/>
          <w:color w:val="auto"/>
          <w:sz w:val="20"/>
        </w:rPr>
        <w:t xml:space="preserve"> </w:t>
      </w:r>
      <w:r w:rsidRPr="00EA59C0">
        <w:rPr>
          <w:rFonts w:ascii="Arial" w:hAnsi="Arial" w:cs="Arial"/>
          <w:color w:val="auto"/>
          <w:sz w:val="20"/>
        </w:rPr>
        <w:t>2011</w:t>
      </w:r>
    </w:p>
    <w:p w:rsidR="00B752E6" w:rsidRPr="00EA59C0" w:rsidRDefault="00DF2916" w:rsidP="00B752E6">
      <w:pPr>
        <w:pStyle w:val="Default"/>
        <w:rPr>
          <w:rFonts w:ascii="Arial" w:hAnsi="Arial" w:cs="Arial"/>
          <w:color w:val="auto"/>
          <w:sz w:val="20"/>
        </w:rPr>
      </w:pPr>
      <w:hyperlink r:id="rId312" w:history="1">
        <w:r w:rsidR="00334C31" w:rsidRPr="00EA59C0">
          <w:rPr>
            <w:rStyle w:val="Hyperlink"/>
            <w:rFonts w:ascii="Arial" w:hAnsi="Arial" w:cs="Arial"/>
            <w:color w:val="auto"/>
            <w:sz w:val="20"/>
          </w:rPr>
          <w:t>http://ccrc.tc.columbia.edu/publications/facilitating-student-learning-contextualization.html?UID=882</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Unlocking</w:t>
      </w:r>
      <w:r w:rsidR="00C026A6" w:rsidRPr="00EA59C0">
        <w:rPr>
          <w:rFonts w:ascii="Arial" w:hAnsi="Arial" w:cs="Arial"/>
          <w:color w:val="auto"/>
          <w:sz w:val="20"/>
        </w:rPr>
        <w:t xml:space="preserve"> </w:t>
      </w: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Gate:</w:t>
      </w:r>
      <w:r w:rsidR="00C026A6" w:rsidRPr="00EA59C0">
        <w:rPr>
          <w:rFonts w:ascii="Arial" w:hAnsi="Arial" w:cs="Arial"/>
          <w:color w:val="auto"/>
          <w:sz w:val="20"/>
        </w:rPr>
        <w:t xml:space="preserve"> </w:t>
      </w:r>
      <w:r w:rsidRPr="00EA59C0">
        <w:rPr>
          <w:rFonts w:ascii="Arial" w:hAnsi="Arial" w:cs="Arial"/>
          <w:color w:val="auto"/>
          <w:sz w:val="20"/>
        </w:rPr>
        <w:t>What</w:t>
      </w:r>
      <w:r w:rsidR="00C026A6" w:rsidRPr="00EA59C0">
        <w:rPr>
          <w:rFonts w:ascii="Arial" w:hAnsi="Arial" w:cs="Arial"/>
          <w:color w:val="auto"/>
          <w:sz w:val="20"/>
        </w:rPr>
        <w:t xml:space="preserve"> </w:t>
      </w:r>
      <w:r w:rsidRPr="00EA59C0">
        <w:rPr>
          <w:rFonts w:ascii="Arial" w:hAnsi="Arial" w:cs="Arial"/>
          <w:color w:val="auto"/>
          <w:sz w:val="20"/>
        </w:rPr>
        <w:t>We</w:t>
      </w:r>
      <w:r w:rsidR="00C026A6" w:rsidRPr="00EA59C0">
        <w:rPr>
          <w:rFonts w:ascii="Arial" w:hAnsi="Arial" w:cs="Arial"/>
          <w:color w:val="auto"/>
          <w:sz w:val="20"/>
        </w:rPr>
        <w:t xml:space="preserve"> </w:t>
      </w:r>
      <w:r w:rsidRPr="00EA59C0">
        <w:rPr>
          <w:rFonts w:ascii="Arial" w:hAnsi="Arial" w:cs="Arial"/>
          <w:color w:val="auto"/>
          <w:sz w:val="20"/>
        </w:rPr>
        <w:t>Know</w:t>
      </w:r>
      <w:r w:rsidR="00C026A6" w:rsidRPr="00EA59C0">
        <w:rPr>
          <w:rFonts w:ascii="Arial" w:hAnsi="Arial" w:cs="Arial"/>
          <w:color w:val="auto"/>
          <w:sz w:val="20"/>
        </w:rPr>
        <w:t xml:space="preserve"> </w:t>
      </w:r>
      <w:r w:rsidRPr="00EA59C0">
        <w:rPr>
          <w:rFonts w:ascii="Arial" w:hAnsi="Arial" w:cs="Arial"/>
          <w:color w:val="auto"/>
          <w:sz w:val="20"/>
        </w:rPr>
        <w:t>About</w:t>
      </w:r>
      <w:r w:rsidR="00C026A6" w:rsidRPr="00EA59C0">
        <w:rPr>
          <w:rFonts w:ascii="Arial" w:hAnsi="Arial" w:cs="Arial"/>
          <w:color w:val="auto"/>
          <w:sz w:val="20"/>
        </w:rPr>
        <w:t xml:space="preserve"> </w:t>
      </w:r>
      <w:r w:rsidRPr="00EA59C0">
        <w:rPr>
          <w:rFonts w:ascii="Arial" w:hAnsi="Arial" w:cs="Arial"/>
          <w:color w:val="auto"/>
          <w:sz w:val="20"/>
        </w:rPr>
        <w:t>Improving</w:t>
      </w:r>
      <w:r w:rsidR="00C026A6" w:rsidRPr="00EA59C0">
        <w:rPr>
          <w:rFonts w:ascii="Arial" w:hAnsi="Arial" w:cs="Arial"/>
          <w:color w:val="auto"/>
          <w:sz w:val="20"/>
        </w:rPr>
        <w:t xml:space="preserve"> </w:t>
      </w:r>
      <w:r w:rsidRPr="00EA59C0">
        <w:rPr>
          <w:rFonts w:ascii="Arial" w:hAnsi="Arial" w:cs="Arial"/>
          <w:color w:val="auto"/>
          <w:sz w:val="20"/>
        </w:rPr>
        <w:t>Developmental</w:t>
      </w:r>
      <w:r w:rsidR="00C026A6" w:rsidRPr="00EA59C0">
        <w:rPr>
          <w:rFonts w:ascii="Arial" w:hAnsi="Arial" w:cs="Arial"/>
          <w:color w:val="auto"/>
          <w:sz w:val="20"/>
        </w:rPr>
        <w:t xml:space="preserve"> </w:t>
      </w:r>
      <w:r w:rsidRPr="00EA59C0">
        <w:rPr>
          <w:rFonts w:ascii="Arial" w:hAnsi="Arial" w:cs="Arial"/>
          <w:color w:val="auto"/>
          <w:sz w:val="20"/>
        </w:rPr>
        <w:t>Education</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Elizabeth</w:t>
      </w:r>
      <w:r w:rsidR="00C026A6" w:rsidRPr="00EA59C0">
        <w:rPr>
          <w:rFonts w:ascii="Arial" w:hAnsi="Arial" w:cs="Arial"/>
          <w:color w:val="auto"/>
          <w:sz w:val="20"/>
        </w:rPr>
        <w:t xml:space="preserve"> </w:t>
      </w:r>
      <w:r w:rsidRPr="00EA59C0">
        <w:rPr>
          <w:rFonts w:ascii="Arial" w:hAnsi="Arial" w:cs="Arial"/>
          <w:color w:val="auto"/>
          <w:sz w:val="20"/>
        </w:rPr>
        <w:t>Zachry</w:t>
      </w:r>
      <w:r w:rsidR="00C026A6" w:rsidRPr="00EA59C0">
        <w:rPr>
          <w:rFonts w:ascii="Arial" w:hAnsi="Arial" w:cs="Arial"/>
          <w:color w:val="auto"/>
          <w:sz w:val="20"/>
        </w:rPr>
        <w:t xml:space="preserve"> </w:t>
      </w:r>
      <w:r w:rsidRPr="00EA59C0">
        <w:rPr>
          <w:rFonts w:ascii="Arial" w:hAnsi="Arial" w:cs="Arial"/>
          <w:color w:val="auto"/>
          <w:sz w:val="20"/>
        </w:rPr>
        <w:t>Rutschow,</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Emily</w:t>
      </w:r>
      <w:r w:rsidR="00C026A6" w:rsidRPr="00EA59C0">
        <w:rPr>
          <w:rFonts w:ascii="Arial" w:hAnsi="Arial" w:cs="Arial"/>
          <w:color w:val="auto"/>
          <w:sz w:val="20"/>
        </w:rPr>
        <w:t xml:space="preserve"> </w:t>
      </w:r>
      <w:r w:rsidRPr="00EA59C0">
        <w:rPr>
          <w:rFonts w:ascii="Arial" w:hAnsi="Arial" w:cs="Arial"/>
          <w:color w:val="auto"/>
          <w:sz w:val="20"/>
        </w:rPr>
        <w:t>Schneider</w:t>
      </w:r>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MDRC</w:t>
      </w:r>
      <w:r w:rsidR="00334C31"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June</w:t>
      </w:r>
      <w:r w:rsidR="00C026A6" w:rsidRPr="00EA59C0">
        <w:rPr>
          <w:rFonts w:ascii="Arial" w:hAnsi="Arial" w:cs="Arial"/>
          <w:color w:val="auto"/>
          <w:sz w:val="20"/>
        </w:rPr>
        <w:t xml:space="preserve"> </w:t>
      </w:r>
      <w:r w:rsidRPr="00EA59C0">
        <w:rPr>
          <w:rFonts w:ascii="Arial" w:hAnsi="Arial" w:cs="Arial"/>
          <w:color w:val="auto"/>
          <w:sz w:val="20"/>
        </w:rPr>
        <w:t>2011</w:t>
      </w:r>
    </w:p>
    <w:p w:rsidR="00B752E6" w:rsidRPr="00EA59C0" w:rsidRDefault="00DF2916" w:rsidP="00B752E6">
      <w:pPr>
        <w:pStyle w:val="Default"/>
        <w:rPr>
          <w:rFonts w:ascii="Arial" w:hAnsi="Arial" w:cs="Arial"/>
          <w:color w:val="auto"/>
          <w:sz w:val="20"/>
        </w:rPr>
      </w:pPr>
      <w:hyperlink r:id="rId313" w:history="1">
        <w:r w:rsidR="00334C31" w:rsidRPr="00EA59C0">
          <w:rPr>
            <w:rStyle w:val="Hyperlink"/>
            <w:rFonts w:ascii="Arial" w:hAnsi="Arial" w:cs="Arial"/>
            <w:color w:val="auto"/>
            <w:sz w:val="20"/>
          </w:rPr>
          <w:t>http://www.mdrc.org/sites/default/files/full_595.pdf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5A6094" w:rsidRPr="00EA59C0" w:rsidRDefault="005A6094" w:rsidP="00B752E6">
      <w:pPr>
        <w:pStyle w:val="Default"/>
        <w:rPr>
          <w:rFonts w:ascii="Arial" w:hAnsi="Arial" w:cs="Arial"/>
          <w:color w:val="auto"/>
          <w:sz w:val="20"/>
        </w:rPr>
      </w:pPr>
    </w:p>
    <w:p w:rsidR="00B752E6" w:rsidRPr="00EA59C0" w:rsidRDefault="00B752E6" w:rsidP="00B752E6">
      <w:pPr>
        <w:pStyle w:val="Default"/>
        <w:rPr>
          <w:rFonts w:ascii="Arial" w:hAnsi="Arial" w:cs="Arial"/>
          <w:b/>
          <w:color w:val="auto"/>
          <w:sz w:val="20"/>
          <w:u w:val="single"/>
        </w:rPr>
      </w:pPr>
      <w:r w:rsidRPr="00EA59C0">
        <w:rPr>
          <w:rFonts w:ascii="Arial" w:hAnsi="Arial" w:cs="Arial"/>
          <w:b/>
          <w:color w:val="auto"/>
          <w:sz w:val="20"/>
          <w:u w:val="single"/>
        </w:rPr>
        <w:t>Personalized</w:t>
      </w:r>
      <w:r w:rsidR="00C026A6" w:rsidRPr="00EA59C0">
        <w:rPr>
          <w:rFonts w:ascii="Arial" w:hAnsi="Arial" w:cs="Arial"/>
          <w:b/>
          <w:color w:val="auto"/>
          <w:sz w:val="20"/>
          <w:u w:val="single"/>
        </w:rPr>
        <w:t xml:space="preserve"> </w:t>
      </w:r>
      <w:r w:rsidRPr="00EA59C0">
        <w:rPr>
          <w:rFonts w:ascii="Arial" w:hAnsi="Arial" w:cs="Arial"/>
          <w:b/>
          <w:color w:val="auto"/>
          <w:sz w:val="20"/>
          <w:u w:val="single"/>
        </w:rPr>
        <w:t>Student</w:t>
      </w:r>
      <w:r w:rsidR="00C026A6" w:rsidRPr="00EA59C0">
        <w:rPr>
          <w:rFonts w:ascii="Arial" w:hAnsi="Arial" w:cs="Arial"/>
          <w:b/>
          <w:color w:val="auto"/>
          <w:sz w:val="20"/>
          <w:u w:val="single"/>
        </w:rPr>
        <w:t xml:space="preserve"> </w:t>
      </w:r>
      <w:r w:rsidRPr="00EA59C0">
        <w:rPr>
          <w:rFonts w:ascii="Arial" w:hAnsi="Arial" w:cs="Arial"/>
          <w:b/>
          <w:color w:val="auto"/>
          <w:sz w:val="20"/>
          <w:u w:val="single"/>
        </w:rPr>
        <w:t>Support</w:t>
      </w:r>
      <w:r w:rsidR="00C026A6" w:rsidRPr="00EA59C0">
        <w:rPr>
          <w:rFonts w:ascii="Arial" w:hAnsi="Arial" w:cs="Arial"/>
          <w:b/>
          <w:color w:val="auto"/>
          <w:sz w:val="20"/>
          <w:u w:val="single"/>
        </w:rPr>
        <w:t xml:space="preserve"> </w:t>
      </w:r>
      <w:r w:rsidRPr="00EA59C0">
        <w:rPr>
          <w:rFonts w:ascii="Arial" w:hAnsi="Arial" w:cs="Arial"/>
          <w:b/>
          <w:color w:val="auto"/>
          <w:sz w:val="20"/>
          <w:u w:val="single"/>
        </w:rPr>
        <w:t>Services</w:t>
      </w:r>
      <w:r w:rsidR="00C026A6" w:rsidRPr="00EA59C0">
        <w:rPr>
          <w:rFonts w:ascii="Arial" w:hAnsi="Arial" w:cs="Arial"/>
          <w:b/>
          <w:color w:val="auto"/>
          <w:sz w:val="20"/>
          <w:u w:val="single"/>
        </w:rPr>
        <w:t xml:space="preserve"> </w:t>
      </w:r>
      <w:r w:rsidRPr="00EA59C0">
        <w:rPr>
          <w:rFonts w:ascii="Arial" w:hAnsi="Arial" w:cs="Arial"/>
          <w:b/>
          <w:color w:val="auto"/>
          <w:sz w:val="20"/>
          <w:u w:val="single"/>
        </w:rPr>
        <w:t>and</w:t>
      </w:r>
      <w:r w:rsidR="00C026A6" w:rsidRPr="00EA59C0">
        <w:rPr>
          <w:rFonts w:ascii="Arial" w:hAnsi="Arial" w:cs="Arial"/>
          <w:b/>
          <w:color w:val="auto"/>
          <w:sz w:val="20"/>
          <w:u w:val="single"/>
        </w:rPr>
        <w:t xml:space="preserve"> </w:t>
      </w:r>
      <w:r w:rsidRPr="00EA59C0">
        <w:rPr>
          <w:rFonts w:ascii="Arial" w:hAnsi="Arial" w:cs="Arial"/>
          <w:b/>
          <w:color w:val="auto"/>
          <w:sz w:val="20"/>
          <w:u w:val="single"/>
        </w:rPr>
        <w:t>Career</w:t>
      </w:r>
      <w:r w:rsidR="00C026A6" w:rsidRPr="00EA59C0">
        <w:rPr>
          <w:rFonts w:ascii="Arial" w:hAnsi="Arial" w:cs="Arial"/>
          <w:b/>
          <w:color w:val="auto"/>
          <w:sz w:val="20"/>
          <w:u w:val="single"/>
        </w:rPr>
        <w:t xml:space="preserve"> </w:t>
      </w:r>
      <w:r w:rsidRPr="00EA59C0">
        <w:rPr>
          <w:rFonts w:ascii="Arial" w:hAnsi="Arial" w:cs="Arial"/>
          <w:b/>
          <w:color w:val="auto"/>
          <w:sz w:val="20"/>
          <w:u w:val="single"/>
        </w:rPr>
        <w:t>Guidance</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What</w:t>
      </w:r>
      <w:r w:rsidR="00C026A6" w:rsidRPr="00EA59C0">
        <w:rPr>
          <w:rFonts w:ascii="Arial" w:hAnsi="Arial" w:cs="Arial"/>
          <w:i/>
          <w:color w:val="auto"/>
          <w:sz w:val="20"/>
        </w:rPr>
        <w:t xml:space="preserve"> </w:t>
      </w:r>
      <w:r w:rsidRPr="00EA59C0">
        <w:rPr>
          <w:rFonts w:ascii="Arial" w:hAnsi="Arial" w:cs="Arial"/>
          <w:i/>
          <w:color w:val="auto"/>
          <w:sz w:val="20"/>
        </w:rPr>
        <w:t>We</w:t>
      </w:r>
      <w:r w:rsidR="00C026A6" w:rsidRPr="00EA59C0">
        <w:rPr>
          <w:rFonts w:ascii="Arial" w:hAnsi="Arial" w:cs="Arial"/>
          <w:i/>
          <w:color w:val="auto"/>
          <w:sz w:val="20"/>
        </w:rPr>
        <w:t xml:space="preserve"> </w:t>
      </w:r>
      <w:r w:rsidRPr="00EA59C0">
        <w:rPr>
          <w:rFonts w:ascii="Arial" w:hAnsi="Arial" w:cs="Arial"/>
          <w:i/>
          <w:color w:val="auto"/>
          <w:sz w:val="20"/>
        </w:rPr>
        <w:t>Know</w:t>
      </w:r>
      <w:r w:rsidR="00C026A6" w:rsidRPr="00EA59C0">
        <w:rPr>
          <w:rFonts w:ascii="Arial" w:hAnsi="Arial" w:cs="Arial"/>
          <w:i/>
          <w:color w:val="auto"/>
          <w:sz w:val="20"/>
        </w:rPr>
        <w:t xml:space="preserve"> </w:t>
      </w:r>
      <w:r w:rsidRPr="00EA59C0">
        <w:rPr>
          <w:rFonts w:ascii="Arial" w:hAnsi="Arial" w:cs="Arial"/>
          <w:i/>
          <w:color w:val="auto"/>
          <w:sz w:val="20"/>
        </w:rPr>
        <w:t>About</w:t>
      </w:r>
      <w:r w:rsidR="00C026A6" w:rsidRPr="00EA59C0">
        <w:rPr>
          <w:rFonts w:ascii="Arial" w:hAnsi="Arial" w:cs="Arial"/>
          <w:i/>
          <w:color w:val="auto"/>
          <w:sz w:val="20"/>
        </w:rPr>
        <w:t xml:space="preserve"> </w:t>
      </w:r>
      <w:r w:rsidRPr="00EA59C0">
        <w:rPr>
          <w:rFonts w:ascii="Arial" w:hAnsi="Arial" w:cs="Arial"/>
          <w:i/>
          <w:color w:val="auto"/>
          <w:sz w:val="20"/>
        </w:rPr>
        <w:t>Nonacademic</w:t>
      </w:r>
      <w:r w:rsidR="00C026A6" w:rsidRPr="00EA59C0">
        <w:rPr>
          <w:rFonts w:ascii="Arial" w:hAnsi="Arial" w:cs="Arial"/>
          <w:i/>
          <w:color w:val="auto"/>
          <w:sz w:val="20"/>
        </w:rPr>
        <w:t xml:space="preserve"> </w:t>
      </w:r>
      <w:r w:rsidRPr="00EA59C0">
        <w:rPr>
          <w:rFonts w:ascii="Arial" w:hAnsi="Arial" w:cs="Arial"/>
          <w:i/>
          <w:color w:val="auto"/>
          <w:sz w:val="20"/>
        </w:rPr>
        <w:t>Student</w:t>
      </w:r>
      <w:r w:rsidR="00C026A6" w:rsidRPr="00EA59C0">
        <w:rPr>
          <w:rFonts w:ascii="Arial" w:hAnsi="Arial" w:cs="Arial"/>
          <w:i/>
          <w:color w:val="auto"/>
          <w:sz w:val="20"/>
        </w:rPr>
        <w:t xml:space="preserve"> </w:t>
      </w:r>
      <w:r w:rsidRPr="00EA59C0">
        <w:rPr>
          <w:rFonts w:ascii="Arial" w:hAnsi="Arial" w:cs="Arial"/>
          <w:i/>
          <w:color w:val="auto"/>
          <w:sz w:val="20"/>
        </w:rPr>
        <w:t>Supports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Community</w:t>
      </w:r>
      <w:r w:rsidR="00C026A6" w:rsidRPr="00EA59C0">
        <w:rPr>
          <w:rFonts w:ascii="Arial" w:hAnsi="Arial" w:cs="Arial"/>
          <w:color w:val="auto"/>
          <w:sz w:val="20"/>
        </w:rPr>
        <w:t xml:space="preserve"> </w:t>
      </w:r>
      <w:r w:rsidRPr="00EA59C0">
        <w:rPr>
          <w:rFonts w:ascii="Arial" w:hAnsi="Arial" w:cs="Arial"/>
          <w:color w:val="auto"/>
          <w:sz w:val="20"/>
        </w:rPr>
        <w:t>College</w:t>
      </w:r>
      <w:r w:rsidR="00C026A6" w:rsidRPr="00EA59C0">
        <w:rPr>
          <w:rFonts w:ascii="Arial" w:hAnsi="Arial" w:cs="Arial"/>
          <w:color w:val="auto"/>
          <w:sz w:val="20"/>
        </w:rPr>
        <w:t xml:space="preserve"> </w:t>
      </w:r>
      <w:r w:rsidRPr="00EA59C0">
        <w:rPr>
          <w:rFonts w:ascii="Arial" w:hAnsi="Arial" w:cs="Arial"/>
          <w:color w:val="auto"/>
          <w:sz w:val="20"/>
        </w:rPr>
        <w:t>Research</w:t>
      </w:r>
      <w:r w:rsidR="00C026A6" w:rsidRPr="00EA59C0">
        <w:rPr>
          <w:rFonts w:ascii="Arial" w:hAnsi="Arial" w:cs="Arial"/>
          <w:color w:val="auto"/>
          <w:sz w:val="20"/>
        </w:rPr>
        <w:t xml:space="preserve"> </w:t>
      </w:r>
      <w:r w:rsidRPr="00EA59C0">
        <w:rPr>
          <w:rFonts w:ascii="Arial" w:hAnsi="Arial" w:cs="Arial"/>
          <w:color w:val="auto"/>
          <w:sz w:val="20"/>
        </w:rPr>
        <w:t>Center</w:t>
      </w:r>
      <w:r w:rsidR="005A6094"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September</w:t>
      </w:r>
      <w:r w:rsidR="00C026A6" w:rsidRPr="00EA59C0">
        <w:rPr>
          <w:rFonts w:ascii="Arial" w:hAnsi="Arial" w:cs="Arial"/>
          <w:color w:val="auto"/>
          <w:sz w:val="20"/>
        </w:rPr>
        <w:t xml:space="preserve"> </w:t>
      </w:r>
      <w:r w:rsidRPr="00EA59C0">
        <w:rPr>
          <w:rFonts w:ascii="Arial" w:hAnsi="Arial" w:cs="Arial"/>
          <w:color w:val="auto"/>
          <w:sz w:val="20"/>
        </w:rPr>
        <w:t>2013</w:t>
      </w:r>
    </w:p>
    <w:p w:rsidR="00B752E6" w:rsidRPr="00EA59C0" w:rsidRDefault="00DF2916" w:rsidP="00B752E6">
      <w:pPr>
        <w:pStyle w:val="Default"/>
        <w:rPr>
          <w:rFonts w:ascii="Arial" w:hAnsi="Arial" w:cs="Arial"/>
          <w:color w:val="auto"/>
          <w:sz w:val="20"/>
        </w:rPr>
      </w:pPr>
      <w:hyperlink r:id="rId314" w:history="1">
        <w:r w:rsidR="005A6094" w:rsidRPr="00EA59C0">
          <w:rPr>
            <w:rStyle w:val="Hyperlink"/>
            <w:rFonts w:ascii="Arial" w:hAnsi="Arial" w:cs="Arial"/>
            <w:color w:val="auto"/>
            <w:sz w:val="20"/>
          </w:rPr>
          <w:t>http://ccrc.tc.columbia.edu/media/k2/attachments/what-we-know-about-nonacademic-student-supports.pdf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Entering</w:t>
      </w:r>
      <w:r w:rsidR="00C026A6" w:rsidRPr="00EA59C0">
        <w:rPr>
          <w:rFonts w:ascii="Arial" w:hAnsi="Arial" w:cs="Arial"/>
          <w:i/>
          <w:color w:val="auto"/>
          <w:sz w:val="20"/>
        </w:rPr>
        <w:t xml:space="preserve"> </w:t>
      </w:r>
      <w:r w:rsidRPr="00EA59C0">
        <w:rPr>
          <w:rFonts w:ascii="Arial" w:hAnsi="Arial" w:cs="Arial"/>
          <w:i/>
          <w:color w:val="auto"/>
          <w:sz w:val="20"/>
        </w:rPr>
        <w:t>a</w:t>
      </w:r>
      <w:r w:rsidR="00C026A6" w:rsidRPr="00EA59C0">
        <w:rPr>
          <w:rFonts w:ascii="Arial" w:hAnsi="Arial" w:cs="Arial"/>
          <w:i/>
          <w:color w:val="auto"/>
          <w:sz w:val="20"/>
        </w:rPr>
        <w:t xml:space="preserve"> </w:t>
      </w:r>
      <w:r w:rsidRPr="00EA59C0">
        <w:rPr>
          <w:rFonts w:ascii="Arial" w:hAnsi="Arial" w:cs="Arial"/>
          <w:i/>
          <w:color w:val="auto"/>
          <w:sz w:val="20"/>
        </w:rPr>
        <w:t>Program:</w:t>
      </w:r>
      <w:r w:rsidR="00C026A6" w:rsidRPr="00EA59C0">
        <w:rPr>
          <w:rFonts w:ascii="Arial" w:hAnsi="Arial" w:cs="Arial"/>
          <w:i/>
          <w:color w:val="auto"/>
          <w:sz w:val="20"/>
        </w:rPr>
        <w:t xml:space="preserve"> </w:t>
      </w:r>
      <w:r w:rsidRPr="00EA59C0">
        <w:rPr>
          <w:rFonts w:ascii="Arial" w:hAnsi="Arial" w:cs="Arial"/>
          <w:i/>
          <w:color w:val="auto"/>
          <w:sz w:val="20"/>
        </w:rPr>
        <w:t>Helping</w:t>
      </w:r>
      <w:r w:rsidR="00C026A6" w:rsidRPr="00EA59C0">
        <w:rPr>
          <w:rFonts w:ascii="Arial" w:hAnsi="Arial" w:cs="Arial"/>
          <w:i/>
          <w:color w:val="auto"/>
          <w:sz w:val="20"/>
        </w:rPr>
        <w:t xml:space="preserve"> </w:t>
      </w:r>
      <w:r w:rsidRPr="00EA59C0">
        <w:rPr>
          <w:rFonts w:ascii="Arial" w:hAnsi="Arial" w:cs="Arial"/>
          <w:i/>
          <w:color w:val="auto"/>
          <w:sz w:val="20"/>
        </w:rPr>
        <w:t>Students</w:t>
      </w:r>
      <w:r w:rsidR="00C026A6" w:rsidRPr="00EA59C0">
        <w:rPr>
          <w:rFonts w:ascii="Arial" w:hAnsi="Arial" w:cs="Arial"/>
          <w:i/>
          <w:color w:val="auto"/>
          <w:sz w:val="20"/>
        </w:rPr>
        <w:t xml:space="preserve"> </w:t>
      </w:r>
      <w:r w:rsidRPr="00EA59C0">
        <w:rPr>
          <w:rFonts w:ascii="Arial" w:hAnsi="Arial" w:cs="Arial"/>
          <w:i/>
          <w:color w:val="auto"/>
          <w:sz w:val="20"/>
        </w:rPr>
        <w:t>Make</w:t>
      </w:r>
      <w:r w:rsidR="00C026A6" w:rsidRPr="00EA59C0">
        <w:rPr>
          <w:rFonts w:ascii="Arial" w:hAnsi="Arial" w:cs="Arial"/>
          <w:i/>
          <w:color w:val="auto"/>
          <w:sz w:val="20"/>
        </w:rPr>
        <w:t xml:space="preserve"> </w:t>
      </w:r>
      <w:r w:rsidRPr="00EA59C0">
        <w:rPr>
          <w:rFonts w:ascii="Arial" w:hAnsi="Arial" w:cs="Arial"/>
          <w:i/>
          <w:color w:val="auto"/>
          <w:sz w:val="20"/>
        </w:rPr>
        <w:t>Academic</w:t>
      </w:r>
      <w:r w:rsidR="00C026A6" w:rsidRPr="00EA59C0">
        <w:rPr>
          <w:rFonts w:ascii="Arial" w:hAnsi="Arial" w:cs="Arial"/>
          <w:i/>
          <w:color w:val="auto"/>
          <w:sz w:val="20"/>
        </w:rPr>
        <w:t xml:space="preserve"> </w:t>
      </w:r>
      <w:r w:rsidRPr="00EA59C0">
        <w:rPr>
          <w:rFonts w:ascii="Arial" w:hAnsi="Arial" w:cs="Arial"/>
          <w:i/>
          <w:color w:val="auto"/>
          <w:sz w:val="20"/>
        </w:rPr>
        <w:t>and</w:t>
      </w:r>
      <w:r w:rsidR="00C026A6" w:rsidRPr="00EA59C0">
        <w:rPr>
          <w:rFonts w:ascii="Arial" w:hAnsi="Arial" w:cs="Arial"/>
          <w:i/>
          <w:color w:val="auto"/>
          <w:sz w:val="20"/>
        </w:rPr>
        <w:t xml:space="preserve"> </w:t>
      </w:r>
      <w:r w:rsidRPr="00EA59C0">
        <w:rPr>
          <w:rFonts w:ascii="Arial" w:hAnsi="Arial" w:cs="Arial"/>
          <w:i/>
          <w:color w:val="auto"/>
          <w:sz w:val="20"/>
        </w:rPr>
        <w:t>Career</w:t>
      </w:r>
      <w:r w:rsidR="00C026A6" w:rsidRPr="00EA59C0">
        <w:rPr>
          <w:rFonts w:ascii="Arial" w:hAnsi="Arial" w:cs="Arial"/>
          <w:i/>
          <w:color w:val="auto"/>
          <w:sz w:val="20"/>
        </w:rPr>
        <w:t xml:space="preserve"> </w:t>
      </w:r>
      <w:r w:rsidRPr="00EA59C0">
        <w:rPr>
          <w:rFonts w:ascii="Arial" w:hAnsi="Arial" w:cs="Arial"/>
          <w:i/>
          <w:color w:val="auto"/>
          <w:sz w:val="20"/>
        </w:rPr>
        <w:t>Decisions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Melinda</w:t>
      </w:r>
      <w:r w:rsidR="00C026A6" w:rsidRPr="00EA59C0">
        <w:rPr>
          <w:rFonts w:ascii="Arial" w:hAnsi="Arial" w:cs="Arial"/>
          <w:color w:val="auto"/>
          <w:sz w:val="20"/>
        </w:rPr>
        <w:t xml:space="preserve"> </w:t>
      </w:r>
      <w:r w:rsidRPr="00EA59C0">
        <w:rPr>
          <w:rFonts w:ascii="Arial" w:hAnsi="Arial" w:cs="Arial"/>
          <w:color w:val="auto"/>
          <w:sz w:val="20"/>
        </w:rPr>
        <w:t>Mechur</w:t>
      </w:r>
      <w:r w:rsidR="00C026A6" w:rsidRPr="00EA59C0">
        <w:rPr>
          <w:rFonts w:ascii="Arial" w:hAnsi="Arial" w:cs="Arial"/>
          <w:color w:val="auto"/>
          <w:sz w:val="20"/>
        </w:rPr>
        <w:t xml:space="preserve"> </w:t>
      </w:r>
      <w:r w:rsidRPr="00EA59C0">
        <w:rPr>
          <w:rFonts w:ascii="Arial" w:hAnsi="Arial" w:cs="Arial"/>
          <w:color w:val="auto"/>
          <w:sz w:val="20"/>
        </w:rPr>
        <w:t>Karp</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Community</w:t>
      </w:r>
      <w:r w:rsidR="00C026A6" w:rsidRPr="00EA59C0">
        <w:rPr>
          <w:rFonts w:ascii="Arial" w:hAnsi="Arial" w:cs="Arial"/>
          <w:color w:val="auto"/>
          <w:sz w:val="20"/>
        </w:rPr>
        <w:t xml:space="preserve"> </w:t>
      </w:r>
      <w:r w:rsidRPr="00EA59C0">
        <w:rPr>
          <w:rFonts w:ascii="Arial" w:hAnsi="Arial" w:cs="Arial"/>
          <w:color w:val="auto"/>
          <w:sz w:val="20"/>
        </w:rPr>
        <w:t>College</w:t>
      </w:r>
      <w:r w:rsidR="00C026A6" w:rsidRPr="00EA59C0">
        <w:rPr>
          <w:rFonts w:ascii="Arial" w:hAnsi="Arial" w:cs="Arial"/>
          <w:color w:val="auto"/>
          <w:sz w:val="20"/>
        </w:rPr>
        <w:t xml:space="preserve"> </w:t>
      </w:r>
      <w:r w:rsidRPr="00EA59C0">
        <w:rPr>
          <w:rFonts w:ascii="Arial" w:hAnsi="Arial" w:cs="Arial"/>
          <w:color w:val="auto"/>
          <w:sz w:val="20"/>
        </w:rPr>
        <w:t>Research</w:t>
      </w:r>
      <w:r w:rsidR="00C026A6" w:rsidRPr="00EA59C0">
        <w:rPr>
          <w:rFonts w:ascii="Arial" w:hAnsi="Arial" w:cs="Arial"/>
          <w:color w:val="auto"/>
          <w:sz w:val="20"/>
        </w:rPr>
        <w:t xml:space="preserve"> </w:t>
      </w:r>
      <w:r w:rsidRPr="00EA59C0">
        <w:rPr>
          <w:rFonts w:ascii="Arial" w:hAnsi="Arial" w:cs="Arial"/>
          <w:color w:val="auto"/>
          <w:sz w:val="20"/>
        </w:rPr>
        <w:t>Center</w:t>
      </w:r>
      <w:r w:rsidR="005A6094"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May</w:t>
      </w:r>
      <w:r w:rsidR="00C026A6" w:rsidRPr="00EA59C0">
        <w:rPr>
          <w:rFonts w:ascii="Arial" w:hAnsi="Arial" w:cs="Arial"/>
          <w:color w:val="auto"/>
          <w:sz w:val="20"/>
        </w:rPr>
        <w:t xml:space="preserve"> </w:t>
      </w:r>
      <w:r w:rsidRPr="00EA59C0">
        <w:rPr>
          <w:rFonts w:ascii="Arial" w:hAnsi="Arial" w:cs="Arial"/>
          <w:color w:val="auto"/>
          <w:sz w:val="20"/>
        </w:rPr>
        <w:t>2013</w:t>
      </w:r>
    </w:p>
    <w:p w:rsidR="00B752E6" w:rsidRPr="00EA59C0" w:rsidRDefault="00DF2916" w:rsidP="00B752E6">
      <w:pPr>
        <w:pStyle w:val="Default"/>
        <w:rPr>
          <w:rFonts w:ascii="Arial" w:hAnsi="Arial" w:cs="Arial"/>
          <w:color w:val="auto"/>
          <w:sz w:val="20"/>
        </w:rPr>
      </w:pPr>
      <w:hyperlink r:id="rId315" w:history="1">
        <w:r w:rsidR="005A6094" w:rsidRPr="00EA59C0">
          <w:rPr>
            <w:rStyle w:val="Hyperlink"/>
            <w:rFonts w:ascii="Arial" w:hAnsi="Arial" w:cs="Arial"/>
            <w:color w:val="auto"/>
            <w:sz w:val="20"/>
          </w:rPr>
          <w:t>http://ccrc.tc.columbia.edu/media/k2/attachments/entering-a-program.pdf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Helping</w:t>
      </w:r>
      <w:r w:rsidR="00C026A6" w:rsidRPr="00EA59C0">
        <w:rPr>
          <w:rFonts w:ascii="Arial" w:hAnsi="Arial" w:cs="Arial"/>
          <w:i/>
          <w:color w:val="auto"/>
          <w:sz w:val="20"/>
        </w:rPr>
        <w:t xml:space="preserve"> </w:t>
      </w:r>
      <w:r w:rsidRPr="00EA59C0">
        <w:rPr>
          <w:rFonts w:ascii="Arial" w:hAnsi="Arial" w:cs="Arial"/>
          <w:i/>
          <w:color w:val="auto"/>
          <w:sz w:val="20"/>
        </w:rPr>
        <w:t>Adult</w:t>
      </w:r>
      <w:r w:rsidR="00C026A6" w:rsidRPr="00EA59C0">
        <w:rPr>
          <w:rFonts w:ascii="Arial" w:hAnsi="Arial" w:cs="Arial"/>
          <w:i/>
          <w:color w:val="auto"/>
          <w:sz w:val="20"/>
        </w:rPr>
        <w:t xml:space="preserve"> </w:t>
      </w:r>
      <w:r w:rsidRPr="00EA59C0">
        <w:rPr>
          <w:rFonts w:ascii="Arial" w:hAnsi="Arial" w:cs="Arial"/>
          <w:i/>
          <w:color w:val="auto"/>
          <w:sz w:val="20"/>
        </w:rPr>
        <w:t>Learners</w:t>
      </w:r>
      <w:r w:rsidR="00C026A6" w:rsidRPr="00EA59C0">
        <w:rPr>
          <w:rFonts w:ascii="Arial" w:hAnsi="Arial" w:cs="Arial"/>
          <w:i/>
          <w:color w:val="auto"/>
          <w:sz w:val="20"/>
        </w:rPr>
        <w:t xml:space="preserve"> </w:t>
      </w:r>
      <w:r w:rsidRPr="00EA59C0">
        <w:rPr>
          <w:rFonts w:ascii="Arial" w:hAnsi="Arial" w:cs="Arial"/>
          <w:i/>
          <w:color w:val="auto"/>
          <w:sz w:val="20"/>
        </w:rPr>
        <w:t>Navigate</w:t>
      </w:r>
      <w:r w:rsidR="00C026A6" w:rsidRPr="00EA59C0">
        <w:rPr>
          <w:rFonts w:ascii="Arial" w:hAnsi="Arial" w:cs="Arial"/>
          <w:i/>
          <w:color w:val="auto"/>
          <w:sz w:val="20"/>
        </w:rPr>
        <w:t xml:space="preserve"> </w:t>
      </w:r>
      <w:r w:rsidRPr="00EA59C0">
        <w:rPr>
          <w:rFonts w:ascii="Arial" w:hAnsi="Arial" w:cs="Arial"/>
          <w:i/>
          <w:color w:val="auto"/>
          <w:sz w:val="20"/>
        </w:rPr>
        <w:t>Community</w:t>
      </w:r>
      <w:r w:rsidR="00C026A6" w:rsidRPr="00EA59C0">
        <w:rPr>
          <w:rFonts w:ascii="Arial" w:hAnsi="Arial" w:cs="Arial"/>
          <w:i/>
          <w:color w:val="auto"/>
          <w:sz w:val="20"/>
        </w:rPr>
        <w:t xml:space="preserve"> </w:t>
      </w:r>
      <w:r w:rsidRPr="00EA59C0">
        <w:rPr>
          <w:rFonts w:ascii="Arial" w:hAnsi="Arial" w:cs="Arial"/>
          <w:i/>
          <w:color w:val="auto"/>
          <w:sz w:val="20"/>
        </w:rPr>
        <w:t>College</w:t>
      </w:r>
      <w:r w:rsidR="00C026A6" w:rsidRPr="00EA59C0">
        <w:rPr>
          <w:rFonts w:ascii="Arial" w:hAnsi="Arial" w:cs="Arial"/>
          <w:i/>
          <w:color w:val="auto"/>
          <w:sz w:val="20"/>
        </w:rPr>
        <w:t xml:space="preserve"> </w:t>
      </w:r>
      <w:r w:rsidRPr="00EA59C0">
        <w:rPr>
          <w:rFonts w:ascii="Arial" w:hAnsi="Arial" w:cs="Arial"/>
          <w:i/>
          <w:color w:val="auto"/>
          <w:sz w:val="20"/>
        </w:rPr>
        <w:t>and</w:t>
      </w:r>
      <w:r w:rsidR="00C026A6" w:rsidRPr="00EA59C0">
        <w:rPr>
          <w:rFonts w:ascii="Arial" w:hAnsi="Arial" w:cs="Arial"/>
          <w:i/>
          <w:color w:val="auto"/>
          <w:sz w:val="20"/>
        </w:rPr>
        <w:t xml:space="preserve"> </w:t>
      </w:r>
      <w:r w:rsidRPr="00EA59C0">
        <w:rPr>
          <w:rFonts w:ascii="Arial" w:hAnsi="Arial" w:cs="Arial"/>
          <w:i/>
          <w:color w:val="auto"/>
          <w:sz w:val="20"/>
        </w:rPr>
        <w:t>the</w:t>
      </w:r>
      <w:r w:rsidR="00C026A6" w:rsidRPr="00EA59C0">
        <w:rPr>
          <w:rFonts w:ascii="Arial" w:hAnsi="Arial" w:cs="Arial"/>
          <w:i/>
          <w:color w:val="auto"/>
          <w:sz w:val="20"/>
        </w:rPr>
        <w:t xml:space="preserve"> </w:t>
      </w:r>
      <w:r w:rsidRPr="00EA59C0">
        <w:rPr>
          <w:rFonts w:ascii="Arial" w:hAnsi="Arial" w:cs="Arial"/>
          <w:i/>
          <w:color w:val="auto"/>
          <w:sz w:val="20"/>
        </w:rPr>
        <w:t>Labor</w:t>
      </w:r>
      <w:r w:rsidR="00C026A6" w:rsidRPr="00EA59C0">
        <w:rPr>
          <w:rFonts w:ascii="Arial" w:hAnsi="Arial" w:cs="Arial"/>
          <w:i/>
          <w:color w:val="auto"/>
          <w:sz w:val="20"/>
        </w:rPr>
        <w:t xml:space="preserve"> </w:t>
      </w:r>
      <w:r w:rsidRPr="00EA59C0">
        <w:rPr>
          <w:rFonts w:ascii="Arial" w:hAnsi="Arial" w:cs="Arial"/>
          <w:i/>
          <w:color w:val="auto"/>
          <w:sz w:val="20"/>
        </w:rPr>
        <w:t>Market</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Workforce</w:t>
      </w:r>
      <w:r w:rsidR="00C026A6" w:rsidRPr="00EA59C0">
        <w:rPr>
          <w:rFonts w:ascii="Arial" w:hAnsi="Arial" w:cs="Arial"/>
          <w:color w:val="auto"/>
          <w:sz w:val="20"/>
        </w:rPr>
        <w:t xml:space="preserve"> </w:t>
      </w:r>
      <w:r w:rsidRPr="00EA59C0">
        <w:rPr>
          <w:rFonts w:ascii="Arial" w:hAnsi="Arial" w:cs="Arial"/>
          <w:color w:val="auto"/>
          <w:sz w:val="20"/>
        </w:rPr>
        <w:t>Strategies</w:t>
      </w:r>
      <w:r w:rsidR="00C026A6" w:rsidRPr="00EA59C0">
        <w:rPr>
          <w:rFonts w:ascii="Arial" w:hAnsi="Arial" w:cs="Arial"/>
          <w:color w:val="auto"/>
          <w:sz w:val="20"/>
        </w:rPr>
        <w:t xml:space="preserve"> </w:t>
      </w:r>
      <w:r w:rsidRPr="00EA59C0">
        <w:rPr>
          <w:rFonts w:ascii="Arial" w:hAnsi="Arial" w:cs="Arial"/>
          <w:color w:val="auto"/>
          <w:sz w:val="20"/>
        </w:rPr>
        <w:t>Initiative</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Aspen</w:t>
      </w:r>
      <w:r w:rsidR="00C026A6" w:rsidRPr="00EA59C0">
        <w:rPr>
          <w:rFonts w:ascii="Arial" w:hAnsi="Arial" w:cs="Arial"/>
          <w:color w:val="auto"/>
          <w:sz w:val="20"/>
        </w:rPr>
        <w:t xml:space="preserve"> </w:t>
      </w:r>
      <w:r w:rsidRPr="00EA59C0">
        <w:rPr>
          <w:rFonts w:ascii="Arial" w:hAnsi="Arial" w:cs="Arial"/>
          <w:color w:val="auto"/>
          <w:sz w:val="20"/>
        </w:rPr>
        <w:t>Institute</w:t>
      </w:r>
      <w:r w:rsidR="005A6094"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February</w:t>
      </w:r>
      <w:r w:rsidR="00C026A6" w:rsidRPr="00EA59C0">
        <w:rPr>
          <w:rFonts w:ascii="Arial" w:hAnsi="Arial" w:cs="Arial"/>
          <w:color w:val="auto"/>
          <w:sz w:val="20"/>
        </w:rPr>
        <w:t xml:space="preserve"> </w:t>
      </w:r>
      <w:r w:rsidRPr="00EA59C0">
        <w:rPr>
          <w:rFonts w:ascii="Arial" w:hAnsi="Arial" w:cs="Arial"/>
          <w:color w:val="auto"/>
          <w:sz w:val="20"/>
        </w:rPr>
        <w:t>2013</w:t>
      </w:r>
    </w:p>
    <w:p w:rsidR="00B752E6" w:rsidRPr="00EA59C0" w:rsidRDefault="00DF2916" w:rsidP="00B752E6">
      <w:pPr>
        <w:pStyle w:val="Default"/>
        <w:rPr>
          <w:rFonts w:ascii="Arial" w:hAnsi="Arial" w:cs="Arial"/>
          <w:color w:val="auto"/>
          <w:sz w:val="20"/>
        </w:rPr>
      </w:pPr>
      <w:hyperlink r:id="rId316" w:history="1">
        <w:r w:rsidR="005A6094" w:rsidRPr="00EA59C0">
          <w:rPr>
            <w:rStyle w:val="Hyperlink"/>
            <w:rFonts w:ascii="Arial" w:hAnsi="Arial" w:cs="Arial"/>
            <w:color w:val="auto"/>
            <w:sz w:val="20"/>
          </w:rPr>
          <w:t>http://www.aspenwsi.org/wordpress/wp-content/uploads/update_cte_march2013.pdf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Student</w:t>
      </w:r>
      <w:r w:rsidR="00C026A6" w:rsidRPr="00EA59C0">
        <w:rPr>
          <w:rFonts w:ascii="Arial" w:hAnsi="Arial" w:cs="Arial"/>
          <w:i/>
          <w:color w:val="auto"/>
          <w:sz w:val="20"/>
        </w:rPr>
        <w:t xml:space="preserve"> </w:t>
      </w:r>
      <w:r w:rsidRPr="00EA59C0">
        <w:rPr>
          <w:rFonts w:ascii="Arial" w:hAnsi="Arial" w:cs="Arial"/>
          <w:i/>
          <w:color w:val="auto"/>
          <w:sz w:val="20"/>
        </w:rPr>
        <w:t>Support</w:t>
      </w:r>
      <w:r w:rsidR="00C026A6" w:rsidRPr="00EA59C0">
        <w:rPr>
          <w:rFonts w:ascii="Arial" w:hAnsi="Arial" w:cs="Arial"/>
          <w:i/>
          <w:color w:val="auto"/>
          <w:sz w:val="20"/>
        </w:rPr>
        <w:t xml:space="preserve"> </w:t>
      </w:r>
      <w:r w:rsidRPr="00EA59C0">
        <w:rPr>
          <w:rFonts w:ascii="Arial" w:hAnsi="Arial" w:cs="Arial"/>
          <w:i/>
          <w:color w:val="auto"/>
          <w:sz w:val="20"/>
        </w:rPr>
        <w:t>Services</w:t>
      </w:r>
      <w:r w:rsidR="00C026A6" w:rsidRPr="00EA59C0">
        <w:rPr>
          <w:rFonts w:ascii="Arial" w:hAnsi="Arial" w:cs="Arial"/>
          <w:i/>
          <w:color w:val="auto"/>
          <w:sz w:val="20"/>
        </w:rPr>
        <w:t xml:space="preserve"> </w:t>
      </w:r>
      <w:r w:rsidRPr="00EA59C0">
        <w:rPr>
          <w:rFonts w:ascii="Arial" w:hAnsi="Arial" w:cs="Arial"/>
          <w:i/>
          <w:color w:val="auto"/>
          <w:sz w:val="20"/>
        </w:rPr>
        <w:t>at</w:t>
      </w:r>
      <w:r w:rsidR="00C026A6" w:rsidRPr="00EA59C0">
        <w:rPr>
          <w:rFonts w:ascii="Arial" w:hAnsi="Arial" w:cs="Arial"/>
          <w:i/>
          <w:color w:val="auto"/>
          <w:sz w:val="20"/>
        </w:rPr>
        <w:t xml:space="preserve"> </w:t>
      </w:r>
      <w:r w:rsidRPr="00EA59C0">
        <w:rPr>
          <w:rFonts w:ascii="Arial" w:hAnsi="Arial" w:cs="Arial"/>
          <w:i/>
          <w:color w:val="auto"/>
          <w:sz w:val="20"/>
        </w:rPr>
        <w:t>Community</w:t>
      </w:r>
      <w:r w:rsidR="00C026A6" w:rsidRPr="00EA59C0">
        <w:rPr>
          <w:rFonts w:ascii="Arial" w:hAnsi="Arial" w:cs="Arial"/>
          <w:i/>
          <w:color w:val="auto"/>
          <w:sz w:val="20"/>
        </w:rPr>
        <w:t xml:space="preserve"> </w:t>
      </w:r>
      <w:r w:rsidRPr="00EA59C0">
        <w:rPr>
          <w:rFonts w:ascii="Arial" w:hAnsi="Arial" w:cs="Arial"/>
          <w:i/>
          <w:color w:val="auto"/>
          <w:sz w:val="20"/>
        </w:rPr>
        <w:t>Colleges:</w:t>
      </w:r>
      <w:r w:rsidR="00C026A6" w:rsidRPr="00EA59C0">
        <w:rPr>
          <w:rFonts w:ascii="Arial" w:hAnsi="Arial" w:cs="Arial"/>
          <w:i/>
          <w:color w:val="auto"/>
          <w:sz w:val="20"/>
        </w:rPr>
        <w:t xml:space="preserve"> </w:t>
      </w:r>
      <w:r w:rsidRPr="00EA59C0">
        <w:rPr>
          <w:rFonts w:ascii="Arial" w:hAnsi="Arial" w:cs="Arial"/>
          <w:i/>
          <w:color w:val="auto"/>
          <w:sz w:val="20"/>
        </w:rPr>
        <w:t>A</w:t>
      </w:r>
      <w:r w:rsidR="00C026A6" w:rsidRPr="00EA59C0">
        <w:rPr>
          <w:rFonts w:ascii="Arial" w:hAnsi="Arial" w:cs="Arial"/>
          <w:i/>
          <w:color w:val="auto"/>
          <w:sz w:val="20"/>
        </w:rPr>
        <w:t xml:space="preserve"> </w:t>
      </w:r>
      <w:r w:rsidRPr="00EA59C0">
        <w:rPr>
          <w:rFonts w:ascii="Arial" w:hAnsi="Arial" w:cs="Arial"/>
          <w:i/>
          <w:color w:val="auto"/>
          <w:sz w:val="20"/>
        </w:rPr>
        <w:t>Strategy</w:t>
      </w:r>
      <w:r w:rsidR="00C026A6" w:rsidRPr="00EA59C0">
        <w:rPr>
          <w:rFonts w:ascii="Arial" w:hAnsi="Arial" w:cs="Arial"/>
          <w:i/>
          <w:color w:val="auto"/>
          <w:sz w:val="20"/>
        </w:rPr>
        <w:t xml:space="preserve"> </w:t>
      </w:r>
      <w:r w:rsidRPr="00EA59C0">
        <w:rPr>
          <w:rFonts w:ascii="Arial" w:hAnsi="Arial" w:cs="Arial"/>
          <w:i/>
          <w:color w:val="auto"/>
          <w:sz w:val="20"/>
        </w:rPr>
        <w:t>for</w:t>
      </w:r>
      <w:r w:rsidR="00C026A6" w:rsidRPr="00EA59C0">
        <w:rPr>
          <w:rFonts w:ascii="Arial" w:hAnsi="Arial" w:cs="Arial"/>
          <w:i/>
          <w:color w:val="auto"/>
          <w:sz w:val="20"/>
        </w:rPr>
        <w:t xml:space="preserve"> </w:t>
      </w:r>
      <w:r w:rsidRPr="00EA59C0">
        <w:rPr>
          <w:rFonts w:ascii="Arial" w:hAnsi="Arial" w:cs="Arial"/>
          <w:i/>
          <w:color w:val="auto"/>
          <w:sz w:val="20"/>
        </w:rPr>
        <w:t>Increasing</w:t>
      </w:r>
      <w:r w:rsidR="00C026A6" w:rsidRPr="00EA59C0">
        <w:rPr>
          <w:rFonts w:ascii="Arial" w:hAnsi="Arial" w:cs="Arial"/>
          <w:i/>
          <w:color w:val="auto"/>
          <w:sz w:val="20"/>
        </w:rPr>
        <w:t xml:space="preserve"> </w:t>
      </w:r>
      <w:r w:rsidRPr="00EA59C0">
        <w:rPr>
          <w:rFonts w:ascii="Arial" w:hAnsi="Arial" w:cs="Arial"/>
          <w:i/>
          <w:color w:val="auto"/>
          <w:sz w:val="20"/>
        </w:rPr>
        <w:t>Student</w:t>
      </w:r>
      <w:r w:rsidR="00C026A6" w:rsidRPr="00EA59C0">
        <w:rPr>
          <w:rFonts w:ascii="Arial" w:hAnsi="Arial" w:cs="Arial"/>
          <w:i/>
          <w:color w:val="auto"/>
          <w:sz w:val="20"/>
        </w:rPr>
        <w:t xml:space="preserve"> </w:t>
      </w:r>
      <w:r w:rsidRPr="00EA59C0">
        <w:rPr>
          <w:rFonts w:ascii="Arial" w:hAnsi="Arial" w:cs="Arial"/>
          <w:i/>
          <w:color w:val="auto"/>
          <w:sz w:val="20"/>
        </w:rPr>
        <w:t>Persistence</w:t>
      </w:r>
      <w:r w:rsidR="00C026A6" w:rsidRPr="00EA59C0">
        <w:rPr>
          <w:rFonts w:ascii="Arial" w:hAnsi="Arial" w:cs="Arial"/>
          <w:i/>
          <w:color w:val="auto"/>
          <w:sz w:val="20"/>
        </w:rPr>
        <w:t xml:space="preserve"> </w:t>
      </w:r>
      <w:r w:rsidRPr="00EA59C0">
        <w:rPr>
          <w:rFonts w:ascii="Arial" w:hAnsi="Arial" w:cs="Arial"/>
          <w:i/>
          <w:color w:val="auto"/>
          <w:sz w:val="20"/>
        </w:rPr>
        <w:t>and</w:t>
      </w:r>
      <w:r w:rsidR="00C026A6" w:rsidRPr="00EA59C0">
        <w:rPr>
          <w:rFonts w:ascii="Arial" w:hAnsi="Arial" w:cs="Arial"/>
          <w:i/>
          <w:color w:val="auto"/>
          <w:sz w:val="20"/>
        </w:rPr>
        <w:t xml:space="preserve"> </w:t>
      </w:r>
      <w:r w:rsidRPr="00EA59C0">
        <w:rPr>
          <w:rFonts w:ascii="Arial" w:hAnsi="Arial" w:cs="Arial"/>
          <w:i/>
          <w:color w:val="auto"/>
          <w:sz w:val="20"/>
        </w:rPr>
        <w:t>Attainment</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Michelle</w:t>
      </w:r>
      <w:r w:rsidR="00C026A6" w:rsidRPr="00EA59C0">
        <w:rPr>
          <w:rFonts w:ascii="Arial" w:hAnsi="Arial" w:cs="Arial"/>
          <w:color w:val="auto"/>
          <w:sz w:val="20"/>
        </w:rPr>
        <w:t xml:space="preserve"> </w:t>
      </w:r>
      <w:r w:rsidRPr="00EA59C0">
        <w:rPr>
          <w:rFonts w:ascii="Arial" w:hAnsi="Arial" w:cs="Arial"/>
          <w:color w:val="auto"/>
          <w:sz w:val="20"/>
        </w:rPr>
        <w:t>Cooper</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Institute</w:t>
      </w:r>
      <w:r w:rsidR="00C026A6" w:rsidRPr="00EA59C0">
        <w:rPr>
          <w:rFonts w:ascii="Arial" w:hAnsi="Arial" w:cs="Arial"/>
          <w:color w:val="auto"/>
          <w:sz w:val="20"/>
        </w:rPr>
        <w:t xml:space="preserve"> </w:t>
      </w:r>
      <w:r w:rsidRPr="00EA59C0">
        <w:rPr>
          <w:rFonts w:ascii="Arial" w:hAnsi="Arial" w:cs="Arial"/>
          <w:color w:val="auto"/>
          <w:sz w:val="20"/>
        </w:rPr>
        <w:t>of</w:t>
      </w:r>
      <w:r w:rsidR="00C026A6" w:rsidRPr="00EA59C0">
        <w:rPr>
          <w:rFonts w:ascii="Arial" w:hAnsi="Arial" w:cs="Arial"/>
          <w:color w:val="auto"/>
          <w:sz w:val="20"/>
        </w:rPr>
        <w:t xml:space="preserve"> </w:t>
      </w:r>
      <w:r w:rsidRPr="00EA59C0">
        <w:rPr>
          <w:rFonts w:ascii="Arial" w:hAnsi="Arial" w:cs="Arial"/>
          <w:color w:val="auto"/>
          <w:sz w:val="20"/>
        </w:rPr>
        <w:t>Higher</w:t>
      </w:r>
      <w:r w:rsidR="00C026A6" w:rsidRPr="00EA59C0">
        <w:rPr>
          <w:rFonts w:ascii="Arial" w:hAnsi="Arial" w:cs="Arial"/>
          <w:color w:val="auto"/>
          <w:sz w:val="20"/>
        </w:rPr>
        <w:t xml:space="preserve"> </w:t>
      </w:r>
      <w:r w:rsidRPr="00EA59C0">
        <w:rPr>
          <w:rFonts w:ascii="Arial" w:hAnsi="Arial" w:cs="Arial"/>
          <w:color w:val="auto"/>
          <w:sz w:val="20"/>
        </w:rPr>
        <w:t>Education</w:t>
      </w:r>
      <w:r w:rsidR="00C026A6" w:rsidRPr="00EA59C0">
        <w:rPr>
          <w:rFonts w:ascii="Arial" w:hAnsi="Arial" w:cs="Arial"/>
          <w:color w:val="auto"/>
          <w:sz w:val="20"/>
        </w:rPr>
        <w:t xml:space="preserve"> </w:t>
      </w:r>
      <w:r w:rsidRPr="00EA59C0">
        <w:rPr>
          <w:rFonts w:ascii="Arial" w:hAnsi="Arial" w:cs="Arial"/>
          <w:color w:val="auto"/>
          <w:sz w:val="20"/>
        </w:rPr>
        <w:t>Policy</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White</w:t>
      </w:r>
      <w:r w:rsidR="00C026A6" w:rsidRPr="00EA59C0">
        <w:rPr>
          <w:rFonts w:ascii="Arial" w:hAnsi="Arial" w:cs="Arial"/>
          <w:color w:val="auto"/>
          <w:sz w:val="20"/>
        </w:rPr>
        <w:t xml:space="preserve"> </w:t>
      </w:r>
      <w:r w:rsidRPr="00EA59C0">
        <w:rPr>
          <w:rFonts w:ascii="Arial" w:hAnsi="Arial" w:cs="Arial"/>
          <w:color w:val="auto"/>
          <w:sz w:val="20"/>
        </w:rPr>
        <w:t>House</w:t>
      </w:r>
      <w:r w:rsidR="00C026A6" w:rsidRPr="00EA59C0">
        <w:rPr>
          <w:rFonts w:ascii="Arial" w:hAnsi="Arial" w:cs="Arial"/>
          <w:color w:val="auto"/>
          <w:sz w:val="20"/>
        </w:rPr>
        <w:t xml:space="preserve"> </w:t>
      </w:r>
      <w:r w:rsidRPr="00EA59C0">
        <w:rPr>
          <w:rFonts w:ascii="Arial" w:hAnsi="Arial" w:cs="Arial"/>
          <w:color w:val="auto"/>
          <w:sz w:val="20"/>
        </w:rPr>
        <w:t>Summit</w:t>
      </w:r>
      <w:r w:rsidR="00C026A6" w:rsidRPr="00EA59C0">
        <w:rPr>
          <w:rFonts w:ascii="Arial" w:hAnsi="Arial" w:cs="Arial"/>
          <w:color w:val="auto"/>
          <w:sz w:val="20"/>
        </w:rPr>
        <w:t xml:space="preserve"> </w:t>
      </w:r>
      <w:r w:rsidRPr="00EA59C0">
        <w:rPr>
          <w:rFonts w:ascii="Arial" w:hAnsi="Arial" w:cs="Arial"/>
          <w:color w:val="auto"/>
          <w:sz w:val="20"/>
        </w:rPr>
        <w:t>on</w:t>
      </w:r>
      <w:r w:rsidR="00C026A6" w:rsidRPr="00EA59C0">
        <w:rPr>
          <w:rFonts w:ascii="Arial" w:hAnsi="Arial" w:cs="Arial"/>
          <w:color w:val="auto"/>
          <w:sz w:val="20"/>
        </w:rPr>
        <w:t xml:space="preserve"> </w:t>
      </w:r>
      <w:r w:rsidRPr="00EA59C0">
        <w:rPr>
          <w:rFonts w:ascii="Arial" w:hAnsi="Arial" w:cs="Arial"/>
          <w:color w:val="auto"/>
          <w:sz w:val="20"/>
        </w:rPr>
        <w:t>Community</w:t>
      </w:r>
      <w:r w:rsidR="00C026A6" w:rsidRPr="00EA59C0">
        <w:rPr>
          <w:rFonts w:ascii="Arial" w:hAnsi="Arial" w:cs="Arial"/>
          <w:color w:val="auto"/>
          <w:sz w:val="20"/>
        </w:rPr>
        <w:t xml:space="preserve"> </w:t>
      </w:r>
      <w:r w:rsidRPr="00EA59C0">
        <w:rPr>
          <w:rFonts w:ascii="Arial" w:hAnsi="Arial" w:cs="Arial"/>
          <w:color w:val="auto"/>
          <w:sz w:val="20"/>
        </w:rPr>
        <w:t>Colleges</w:t>
      </w:r>
      <w:r w:rsidR="005A6094"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October</w:t>
      </w:r>
      <w:r w:rsidR="00C026A6" w:rsidRPr="00EA59C0">
        <w:rPr>
          <w:rFonts w:ascii="Arial" w:hAnsi="Arial" w:cs="Arial"/>
          <w:color w:val="auto"/>
          <w:sz w:val="20"/>
        </w:rPr>
        <w:t xml:space="preserve"> </w:t>
      </w:r>
      <w:r w:rsidRPr="00EA59C0">
        <w:rPr>
          <w:rFonts w:ascii="Arial" w:hAnsi="Arial" w:cs="Arial"/>
          <w:color w:val="auto"/>
          <w:sz w:val="20"/>
        </w:rPr>
        <w:t>2010</w:t>
      </w:r>
    </w:p>
    <w:p w:rsidR="00B752E6" w:rsidRPr="00EA59C0" w:rsidRDefault="00DF2916" w:rsidP="00B752E6">
      <w:pPr>
        <w:pStyle w:val="Default"/>
        <w:rPr>
          <w:rFonts w:ascii="Arial" w:hAnsi="Arial" w:cs="Arial"/>
          <w:color w:val="auto"/>
          <w:sz w:val="20"/>
        </w:rPr>
      </w:pPr>
      <w:hyperlink r:id="rId317" w:history="1">
        <w:r w:rsidR="005A6094" w:rsidRPr="00EA59C0">
          <w:rPr>
            <w:rStyle w:val="Hyperlink"/>
            <w:rFonts w:ascii="Arial" w:hAnsi="Arial" w:cs="Arial"/>
            <w:color w:val="auto"/>
            <w:sz w:val="20"/>
          </w:rPr>
          <w:t>http://www2.ed.gov/PDFDocs/college-completion/04-student-support-services-at-community-colleges.pdf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b/>
          <w:color w:val="auto"/>
          <w:sz w:val="20"/>
          <w:u w:val="single"/>
        </w:rPr>
      </w:pPr>
      <w:r w:rsidRPr="00EA59C0">
        <w:rPr>
          <w:rFonts w:ascii="Arial" w:hAnsi="Arial" w:cs="Arial"/>
          <w:b/>
          <w:color w:val="auto"/>
          <w:sz w:val="20"/>
          <w:u w:val="single"/>
        </w:rPr>
        <w:t>Prior</w:t>
      </w:r>
      <w:r w:rsidR="00C026A6" w:rsidRPr="00EA59C0">
        <w:rPr>
          <w:rFonts w:ascii="Arial" w:hAnsi="Arial" w:cs="Arial"/>
          <w:b/>
          <w:color w:val="auto"/>
          <w:sz w:val="20"/>
          <w:u w:val="single"/>
        </w:rPr>
        <w:t xml:space="preserve"> </w:t>
      </w:r>
      <w:r w:rsidRPr="00EA59C0">
        <w:rPr>
          <w:rFonts w:ascii="Arial" w:hAnsi="Arial" w:cs="Arial"/>
          <w:b/>
          <w:color w:val="auto"/>
          <w:sz w:val="20"/>
          <w:u w:val="single"/>
        </w:rPr>
        <w:t>Learning</w:t>
      </w:r>
      <w:r w:rsidR="00C026A6" w:rsidRPr="00EA59C0">
        <w:rPr>
          <w:rFonts w:ascii="Arial" w:hAnsi="Arial" w:cs="Arial"/>
          <w:b/>
          <w:color w:val="auto"/>
          <w:sz w:val="20"/>
          <w:u w:val="single"/>
        </w:rPr>
        <w:t xml:space="preserve"> </w:t>
      </w:r>
      <w:r w:rsidRPr="00EA59C0">
        <w:rPr>
          <w:rFonts w:ascii="Arial" w:hAnsi="Arial" w:cs="Arial"/>
          <w:b/>
          <w:color w:val="auto"/>
          <w:sz w:val="20"/>
          <w:u w:val="single"/>
        </w:rPr>
        <w:t>Assessments</w:t>
      </w:r>
    </w:p>
    <w:p w:rsidR="005A6094" w:rsidRPr="00EA59C0" w:rsidRDefault="005A6094"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State</w:t>
      </w:r>
      <w:r w:rsidR="00C026A6" w:rsidRPr="00EA59C0">
        <w:rPr>
          <w:rFonts w:ascii="Arial" w:hAnsi="Arial" w:cs="Arial"/>
          <w:i/>
          <w:color w:val="auto"/>
          <w:sz w:val="20"/>
        </w:rPr>
        <w:t xml:space="preserve"> </w:t>
      </w:r>
      <w:r w:rsidRPr="00EA59C0">
        <w:rPr>
          <w:rFonts w:ascii="Arial" w:hAnsi="Arial" w:cs="Arial"/>
          <w:i/>
          <w:color w:val="auto"/>
          <w:sz w:val="20"/>
        </w:rPr>
        <w:t>Policy</w:t>
      </w:r>
      <w:r w:rsidR="00C026A6" w:rsidRPr="00EA59C0">
        <w:rPr>
          <w:rFonts w:ascii="Arial" w:hAnsi="Arial" w:cs="Arial"/>
          <w:i/>
          <w:color w:val="auto"/>
          <w:sz w:val="20"/>
        </w:rPr>
        <w:t xml:space="preserve"> </w:t>
      </w:r>
      <w:r w:rsidRPr="00EA59C0">
        <w:rPr>
          <w:rFonts w:ascii="Arial" w:hAnsi="Arial" w:cs="Arial"/>
          <w:i/>
          <w:color w:val="auto"/>
          <w:sz w:val="20"/>
        </w:rPr>
        <w:t>Approaches</w:t>
      </w:r>
      <w:r w:rsidR="00C026A6" w:rsidRPr="00EA59C0">
        <w:rPr>
          <w:rFonts w:ascii="Arial" w:hAnsi="Arial" w:cs="Arial"/>
          <w:i/>
          <w:color w:val="auto"/>
          <w:sz w:val="20"/>
        </w:rPr>
        <w:t xml:space="preserve"> </w:t>
      </w:r>
      <w:r w:rsidRPr="00EA59C0">
        <w:rPr>
          <w:rFonts w:ascii="Arial" w:hAnsi="Arial" w:cs="Arial"/>
          <w:i/>
          <w:color w:val="auto"/>
          <w:sz w:val="20"/>
        </w:rPr>
        <w:t>to</w:t>
      </w:r>
      <w:r w:rsidR="00C026A6" w:rsidRPr="00EA59C0">
        <w:rPr>
          <w:rFonts w:ascii="Arial" w:hAnsi="Arial" w:cs="Arial"/>
          <w:i/>
          <w:color w:val="auto"/>
          <w:sz w:val="20"/>
        </w:rPr>
        <w:t xml:space="preserve"> </w:t>
      </w:r>
      <w:r w:rsidRPr="00EA59C0">
        <w:rPr>
          <w:rFonts w:ascii="Arial" w:hAnsi="Arial" w:cs="Arial"/>
          <w:i/>
          <w:color w:val="auto"/>
          <w:sz w:val="20"/>
        </w:rPr>
        <w:t>Support</w:t>
      </w:r>
      <w:r w:rsidR="00C026A6" w:rsidRPr="00EA59C0">
        <w:rPr>
          <w:rFonts w:ascii="Arial" w:hAnsi="Arial" w:cs="Arial"/>
          <w:i/>
          <w:color w:val="auto"/>
          <w:sz w:val="20"/>
        </w:rPr>
        <w:t xml:space="preserve"> </w:t>
      </w:r>
      <w:r w:rsidRPr="00EA59C0">
        <w:rPr>
          <w:rFonts w:ascii="Arial" w:hAnsi="Arial" w:cs="Arial"/>
          <w:i/>
          <w:color w:val="auto"/>
          <w:sz w:val="20"/>
        </w:rPr>
        <w:t>Prior</w:t>
      </w:r>
      <w:r w:rsidR="00C026A6" w:rsidRPr="00EA59C0">
        <w:rPr>
          <w:rFonts w:ascii="Arial" w:hAnsi="Arial" w:cs="Arial"/>
          <w:i/>
          <w:color w:val="auto"/>
          <w:sz w:val="20"/>
        </w:rPr>
        <w:t xml:space="preserve"> </w:t>
      </w:r>
      <w:r w:rsidRPr="00EA59C0">
        <w:rPr>
          <w:rFonts w:ascii="Arial" w:hAnsi="Arial" w:cs="Arial"/>
          <w:i/>
          <w:color w:val="auto"/>
          <w:sz w:val="20"/>
        </w:rPr>
        <w:t>Learning</w:t>
      </w:r>
      <w:r w:rsidR="00C026A6" w:rsidRPr="00EA59C0">
        <w:rPr>
          <w:rFonts w:ascii="Arial" w:hAnsi="Arial" w:cs="Arial"/>
          <w:i/>
          <w:color w:val="auto"/>
          <w:sz w:val="20"/>
        </w:rPr>
        <w:t xml:space="preserve"> </w:t>
      </w:r>
      <w:r w:rsidRPr="00EA59C0">
        <w:rPr>
          <w:rFonts w:ascii="Arial" w:hAnsi="Arial" w:cs="Arial"/>
          <w:i/>
          <w:color w:val="auto"/>
          <w:sz w:val="20"/>
        </w:rPr>
        <w:t>Assessment</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Council</w:t>
      </w:r>
      <w:r w:rsidR="00C026A6" w:rsidRPr="00EA59C0">
        <w:rPr>
          <w:rFonts w:ascii="Arial" w:hAnsi="Arial" w:cs="Arial"/>
          <w:color w:val="auto"/>
          <w:sz w:val="20"/>
        </w:rPr>
        <w:t xml:space="preserve"> </w:t>
      </w:r>
      <w:r w:rsidRPr="00EA59C0">
        <w:rPr>
          <w:rFonts w:ascii="Arial" w:hAnsi="Arial" w:cs="Arial"/>
          <w:color w:val="auto"/>
          <w:sz w:val="20"/>
        </w:rPr>
        <w:t>for</w:t>
      </w:r>
      <w:r w:rsidR="00C026A6" w:rsidRPr="00EA59C0">
        <w:rPr>
          <w:rFonts w:ascii="Arial" w:hAnsi="Arial" w:cs="Arial"/>
          <w:color w:val="auto"/>
          <w:sz w:val="20"/>
        </w:rPr>
        <w:t xml:space="preserve"> </w:t>
      </w:r>
      <w:r w:rsidRPr="00EA59C0">
        <w:rPr>
          <w:rFonts w:ascii="Arial" w:hAnsi="Arial" w:cs="Arial"/>
          <w:color w:val="auto"/>
          <w:sz w:val="20"/>
        </w:rPr>
        <w:t>Adult</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Experiential</w:t>
      </w:r>
      <w:r w:rsidR="00C026A6" w:rsidRPr="00EA59C0">
        <w:rPr>
          <w:rFonts w:ascii="Arial" w:hAnsi="Arial" w:cs="Arial"/>
          <w:color w:val="auto"/>
          <w:sz w:val="20"/>
        </w:rPr>
        <w:t xml:space="preserve"> </w:t>
      </w:r>
      <w:r w:rsidRPr="00EA59C0">
        <w:rPr>
          <w:rFonts w:ascii="Arial" w:hAnsi="Arial" w:cs="Arial"/>
          <w:color w:val="auto"/>
          <w:sz w:val="20"/>
        </w:rPr>
        <w:t>Learning</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2012</w:t>
      </w:r>
    </w:p>
    <w:p w:rsidR="00B752E6" w:rsidRPr="00EA59C0" w:rsidRDefault="00DF2916" w:rsidP="00B752E6">
      <w:pPr>
        <w:pStyle w:val="Default"/>
        <w:rPr>
          <w:rFonts w:ascii="Arial" w:hAnsi="Arial" w:cs="Arial"/>
          <w:color w:val="auto"/>
          <w:sz w:val="20"/>
        </w:rPr>
      </w:pPr>
      <w:hyperlink r:id="rId318" w:history="1">
        <w:r w:rsidR="005A6094" w:rsidRPr="00EA59C0">
          <w:rPr>
            <w:rStyle w:val="Hyperlink"/>
            <w:rFonts w:ascii="Arial" w:hAnsi="Arial" w:cs="Arial"/>
            <w:color w:val="auto"/>
            <w:sz w:val="20"/>
          </w:rPr>
          <w:t>http://www.cael.org/pdfs/College-Productivity-Resource-Guide2012</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Fueling</w:t>
      </w:r>
      <w:r w:rsidR="00C026A6" w:rsidRPr="00EA59C0">
        <w:rPr>
          <w:rFonts w:ascii="Arial" w:hAnsi="Arial" w:cs="Arial"/>
          <w:i/>
          <w:color w:val="auto"/>
          <w:sz w:val="20"/>
        </w:rPr>
        <w:t xml:space="preserve"> </w:t>
      </w:r>
      <w:r w:rsidRPr="00EA59C0">
        <w:rPr>
          <w:rFonts w:ascii="Arial" w:hAnsi="Arial" w:cs="Arial"/>
          <w:i/>
          <w:color w:val="auto"/>
          <w:sz w:val="20"/>
        </w:rPr>
        <w:t>the</w:t>
      </w:r>
      <w:r w:rsidR="00C026A6" w:rsidRPr="00EA59C0">
        <w:rPr>
          <w:rFonts w:ascii="Arial" w:hAnsi="Arial" w:cs="Arial"/>
          <w:i/>
          <w:color w:val="auto"/>
          <w:sz w:val="20"/>
        </w:rPr>
        <w:t xml:space="preserve"> </w:t>
      </w:r>
      <w:r w:rsidRPr="00EA59C0">
        <w:rPr>
          <w:rFonts w:ascii="Arial" w:hAnsi="Arial" w:cs="Arial"/>
          <w:i/>
          <w:color w:val="auto"/>
          <w:sz w:val="20"/>
        </w:rPr>
        <w:t>Race</w:t>
      </w:r>
      <w:r w:rsidR="00C026A6" w:rsidRPr="00EA59C0">
        <w:rPr>
          <w:rFonts w:ascii="Arial" w:hAnsi="Arial" w:cs="Arial"/>
          <w:i/>
          <w:color w:val="auto"/>
          <w:sz w:val="20"/>
        </w:rPr>
        <w:t xml:space="preserve"> </w:t>
      </w:r>
      <w:r w:rsidRPr="00EA59C0">
        <w:rPr>
          <w:rFonts w:ascii="Arial" w:hAnsi="Arial" w:cs="Arial"/>
          <w:i/>
          <w:color w:val="auto"/>
          <w:sz w:val="20"/>
        </w:rPr>
        <w:t>to</w:t>
      </w:r>
      <w:r w:rsidR="00C026A6" w:rsidRPr="00EA59C0">
        <w:rPr>
          <w:rFonts w:ascii="Arial" w:hAnsi="Arial" w:cs="Arial"/>
          <w:i/>
          <w:color w:val="auto"/>
          <w:sz w:val="20"/>
        </w:rPr>
        <w:t xml:space="preserve"> </w:t>
      </w:r>
      <w:r w:rsidRPr="00EA59C0">
        <w:rPr>
          <w:rFonts w:ascii="Arial" w:hAnsi="Arial" w:cs="Arial"/>
          <w:i/>
          <w:color w:val="auto"/>
          <w:sz w:val="20"/>
        </w:rPr>
        <w:t>Postsecondary</w:t>
      </w:r>
      <w:r w:rsidR="00C026A6" w:rsidRPr="00EA59C0">
        <w:rPr>
          <w:rFonts w:ascii="Arial" w:hAnsi="Arial" w:cs="Arial"/>
          <w:i/>
          <w:color w:val="auto"/>
          <w:sz w:val="20"/>
        </w:rPr>
        <w:t xml:space="preserve"> </w:t>
      </w:r>
      <w:r w:rsidRPr="00EA59C0">
        <w:rPr>
          <w:rFonts w:ascii="Arial" w:hAnsi="Arial" w:cs="Arial"/>
          <w:i/>
          <w:color w:val="auto"/>
          <w:sz w:val="20"/>
        </w:rPr>
        <w:t>Success:</w:t>
      </w:r>
      <w:r w:rsidR="00C026A6" w:rsidRPr="00EA59C0">
        <w:rPr>
          <w:rFonts w:ascii="Arial" w:hAnsi="Arial" w:cs="Arial"/>
          <w:i/>
          <w:color w:val="auto"/>
          <w:sz w:val="20"/>
        </w:rPr>
        <w:t xml:space="preserve"> </w:t>
      </w:r>
      <w:r w:rsidRPr="00EA59C0">
        <w:rPr>
          <w:rFonts w:ascii="Arial" w:hAnsi="Arial" w:cs="Arial"/>
          <w:i/>
          <w:color w:val="auto"/>
          <w:sz w:val="20"/>
        </w:rPr>
        <w:t>A</w:t>
      </w:r>
      <w:r w:rsidR="00C026A6" w:rsidRPr="00EA59C0">
        <w:rPr>
          <w:rFonts w:ascii="Arial" w:hAnsi="Arial" w:cs="Arial"/>
          <w:i/>
          <w:color w:val="auto"/>
          <w:sz w:val="20"/>
        </w:rPr>
        <w:t xml:space="preserve"> </w:t>
      </w:r>
      <w:r w:rsidRPr="00EA59C0">
        <w:rPr>
          <w:rFonts w:ascii="Arial" w:hAnsi="Arial" w:cs="Arial"/>
          <w:i/>
          <w:color w:val="auto"/>
          <w:sz w:val="20"/>
        </w:rPr>
        <w:t>48-Institution</w:t>
      </w:r>
      <w:r w:rsidR="00C026A6" w:rsidRPr="00EA59C0">
        <w:rPr>
          <w:rFonts w:ascii="Arial" w:hAnsi="Arial" w:cs="Arial"/>
          <w:i/>
          <w:color w:val="auto"/>
          <w:sz w:val="20"/>
        </w:rPr>
        <w:t xml:space="preserve"> </w:t>
      </w:r>
      <w:r w:rsidRPr="00EA59C0">
        <w:rPr>
          <w:rFonts w:ascii="Arial" w:hAnsi="Arial" w:cs="Arial"/>
          <w:i/>
          <w:color w:val="auto"/>
          <w:sz w:val="20"/>
        </w:rPr>
        <w:t>Study</w:t>
      </w:r>
      <w:r w:rsidR="00C026A6" w:rsidRPr="00EA59C0">
        <w:rPr>
          <w:rFonts w:ascii="Arial" w:hAnsi="Arial" w:cs="Arial"/>
          <w:i/>
          <w:color w:val="auto"/>
          <w:sz w:val="20"/>
        </w:rPr>
        <w:t xml:space="preserve"> </w:t>
      </w:r>
      <w:r w:rsidRPr="00EA59C0">
        <w:rPr>
          <w:rFonts w:ascii="Arial" w:hAnsi="Arial" w:cs="Arial"/>
          <w:i/>
          <w:color w:val="auto"/>
          <w:sz w:val="20"/>
        </w:rPr>
        <w:t>of</w:t>
      </w:r>
      <w:r w:rsidR="00C026A6" w:rsidRPr="00EA59C0">
        <w:rPr>
          <w:rFonts w:ascii="Arial" w:hAnsi="Arial" w:cs="Arial"/>
          <w:i/>
          <w:color w:val="auto"/>
          <w:sz w:val="20"/>
        </w:rPr>
        <w:t xml:space="preserve"> </w:t>
      </w:r>
      <w:r w:rsidRPr="00EA59C0">
        <w:rPr>
          <w:rFonts w:ascii="Arial" w:hAnsi="Arial" w:cs="Arial"/>
          <w:i/>
          <w:color w:val="auto"/>
          <w:sz w:val="20"/>
        </w:rPr>
        <w:t>Prior</w:t>
      </w:r>
      <w:r w:rsidR="00C026A6" w:rsidRPr="00EA59C0">
        <w:rPr>
          <w:rFonts w:ascii="Arial" w:hAnsi="Arial" w:cs="Arial"/>
          <w:i/>
          <w:color w:val="auto"/>
          <w:sz w:val="20"/>
        </w:rPr>
        <w:t xml:space="preserve"> </w:t>
      </w:r>
      <w:r w:rsidRPr="00EA59C0">
        <w:rPr>
          <w:rFonts w:ascii="Arial" w:hAnsi="Arial" w:cs="Arial"/>
          <w:i/>
          <w:color w:val="auto"/>
          <w:sz w:val="20"/>
        </w:rPr>
        <w:t>Learning</w:t>
      </w:r>
      <w:r w:rsidR="00C026A6" w:rsidRPr="00EA59C0">
        <w:rPr>
          <w:rFonts w:ascii="Arial" w:hAnsi="Arial" w:cs="Arial"/>
          <w:i/>
          <w:color w:val="auto"/>
          <w:sz w:val="20"/>
        </w:rPr>
        <w:t xml:space="preserve"> </w:t>
      </w:r>
      <w:r w:rsidRPr="00EA59C0">
        <w:rPr>
          <w:rFonts w:ascii="Arial" w:hAnsi="Arial" w:cs="Arial"/>
          <w:i/>
          <w:color w:val="auto"/>
          <w:sz w:val="20"/>
        </w:rPr>
        <w:t>Assessment</w:t>
      </w:r>
      <w:r w:rsidR="00C026A6" w:rsidRPr="00EA59C0">
        <w:rPr>
          <w:rFonts w:ascii="Arial" w:hAnsi="Arial" w:cs="Arial"/>
          <w:i/>
          <w:color w:val="auto"/>
          <w:sz w:val="20"/>
        </w:rPr>
        <w:t xml:space="preserve"> </w:t>
      </w:r>
      <w:r w:rsidRPr="00EA59C0">
        <w:rPr>
          <w:rFonts w:ascii="Arial" w:hAnsi="Arial" w:cs="Arial"/>
          <w:i/>
          <w:color w:val="auto"/>
          <w:sz w:val="20"/>
        </w:rPr>
        <w:t>and</w:t>
      </w:r>
      <w:r w:rsidR="00C026A6" w:rsidRPr="00EA59C0">
        <w:rPr>
          <w:rFonts w:ascii="Arial" w:hAnsi="Arial" w:cs="Arial"/>
          <w:i/>
          <w:color w:val="auto"/>
          <w:sz w:val="20"/>
        </w:rPr>
        <w:t xml:space="preserve"> </w:t>
      </w:r>
      <w:r w:rsidRPr="00EA59C0">
        <w:rPr>
          <w:rFonts w:ascii="Arial" w:hAnsi="Arial" w:cs="Arial"/>
          <w:i/>
          <w:color w:val="auto"/>
          <w:sz w:val="20"/>
        </w:rPr>
        <w:t>Adult</w:t>
      </w:r>
      <w:r w:rsidR="00C026A6" w:rsidRPr="00EA59C0">
        <w:rPr>
          <w:rFonts w:ascii="Arial" w:hAnsi="Arial" w:cs="Arial"/>
          <w:i/>
          <w:color w:val="auto"/>
          <w:sz w:val="20"/>
        </w:rPr>
        <w:t xml:space="preserve"> </w:t>
      </w:r>
      <w:r w:rsidRPr="00EA59C0">
        <w:rPr>
          <w:rFonts w:ascii="Arial" w:hAnsi="Arial" w:cs="Arial"/>
          <w:i/>
          <w:color w:val="auto"/>
          <w:sz w:val="20"/>
        </w:rPr>
        <w:t>Student</w:t>
      </w:r>
      <w:r w:rsidR="00C026A6" w:rsidRPr="00EA59C0">
        <w:rPr>
          <w:rFonts w:ascii="Arial" w:hAnsi="Arial" w:cs="Arial"/>
          <w:i/>
          <w:color w:val="auto"/>
          <w:sz w:val="20"/>
        </w:rPr>
        <w:t xml:space="preserve"> </w:t>
      </w:r>
      <w:r w:rsidRPr="00EA59C0">
        <w:rPr>
          <w:rFonts w:ascii="Arial" w:hAnsi="Arial" w:cs="Arial"/>
          <w:i/>
          <w:color w:val="auto"/>
          <w:sz w:val="20"/>
        </w:rPr>
        <w:t>Outcomes</w:t>
      </w:r>
      <w:r w:rsidR="00C026A6" w:rsidRPr="00EA59C0">
        <w:rPr>
          <w:rFonts w:ascii="Arial" w:hAnsi="Arial" w:cs="Arial"/>
          <w:i/>
          <w:color w:val="auto"/>
          <w:sz w:val="20"/>
        </w:rPr>
        <w:t xml:space="preserve"> </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Council</w:t>
      </w:r>
      <w:r w:rsidR="00C026A6" w:rsidRPr="00EA59C0">
        <w:rPr>
          <w:rFonts w:ascii="Arial" w:hAnsi="Arial" w:cs="Arial"/>
          <w:color w:val="auto"/>
          <w:sz w:val="20"/>
        </w:rPr>
        <w:t xml:space="preserve"> </w:t>
      </w:r>
      <w:r w:rsidRPr="00EA59C0">
        <w:rPr>
          <w:rFonts w:ascii="Arial" w:hAnsi="Arial" w:cs="Arial"/>
          <w:color w:val="auto"/>
          <w:sz w:val="20"/>
        </w:rPr>
        <w:t>for</w:t>
      </w:r>
      <w:r w:rsidR="00C026A6" w:rsidRPr="00EA59C0">
        <w:rPr>
          <w:rFonts w:ascii="Arial" w:hAnsi="Arial" w:cs="Arial"/>
          <w:color w:val="auto"/>
          <w:sz w:val="20"/>
        </w:rPr>
        <w:t xml:space="preserve"> </w:t>
      </w:r>
      <w:r w:rsidRPr="00EA59C0">
        <w:rPr>
          <w:rFonts w:ascii="Arial" w:hAnsi="Arial" w:cs="Arial"/>
          <w:color w:val="auto"/>
          <w:sz w:val="20"/>
        </w:rPr>
        <w:t>Adult</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Experiential</w:t>
      </w:r>
      <w:r w:rsidR="00C026A6" w:rsidRPr="00EA59C0">
        <w:rPr>
          <w:rFonts w:ascii="Arial" w:hAnsi="Arial" w:cs="Arial"/>
          <w:color w:val="auto"/>
          <w:sz w:val="20"/>
        </w:rPr>
        <w:t xml:space="preserve"> </w:t>
      </w:r>
      <w:r w:rsidRPr="00EA59C0">
        <w:rPr>
          <w:rFonts w:ascii="Arial" w:hAnsi="Arial" w:cs="Arial"/>
          <w:color w:val="auto"/>
          <w:sz w:val="20"/>
        </w:rPr>
        <w:t>Learning</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March</w:t>
      </w:r>
      <w:r w:rsidR="00C026A6" w:rsidRPr="00EA59C0">
        <w:rPr>
          <w:rFonts w:ascii="Arial" w:hAnsi="Arial" w:cs="Arial"/>
          <w:color w:val="auto"/>
          <w:sz w:val="20"/>
        </w:rPr>
        <w:t xml:space="preserve"> </w:t>
      </w:r>
      <w:r w:rsidRPr="00EA59C0">
        <w:rPr>
          <w:rFonts w:ascii="Arial" w:hAnsi="Arial" w:cs="Arial"/>
          <w:color w:val="auto"/>
          <w:sz w:val="20"/>
        </w:rPr>
        <w:t>2010</w:t>
      </w:r>
      <w:r w:rsidR="00C026A6" w:rsidRPr="00EA59C0">
        <w:rPr>
          <w:rFonts w:ascii="Arial" w:hAnsi="Arial" w:cs="Arial"/>
          <w:color w:val="auto"/>
          <w:sz w:val="20"/>
        </w:rPr>
        <w:t xml:space="preserve"> </w:t>
      </w:r>
    </w:p>
    <w:p w:rsidR="00B752E6" w:rsidRPr="00EA59C0" w:rsidRDefault="00DF2916" w:rsidP="00B752E6">
      <w:pPr>
        <w:pStyle w:val="Default"/>
        <w:rPr>
          <w:rFonts w:ascii="Arial" w:hAnsi="Arial" w:cs="Arial"/>
          <w:color w:val="auto"/>
          <w:sz w:val="20"/>
        </w:rPr>
      </w:pPr>
      <w:hyperlink r:id="rId319" w:history="1">
        <w:r w:rsidR="005A6094" w:rsidRPr="00EA59C0">
          <w:rPr>
            <w:rStyle w:val="Hyperlink"/>
            <w:rFonts w:ascii="Arial" w:hAnsi="Arial" w:cs="Arial"/>
            <w:color w:val="auto"/>
            <w:sz w:val="20"/>
          </w:rPr>
          <w:t>http://www.cael.org/pdfs/PLA_Fueling-the-Race.pdf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5A6094" w:rsidRPr="00EA59C0" w:rsidRDefault="005A6094" w:rsidP="00B752E6">
      <w:pPr>
        <w:pStyle w:val="Default"/>
        <w:rPr>
          <w:rFonts w:ascii="Arial" w:hAnsi="Arial" w:cs="Arial"/>
          <w:color w:val="auto"/>
          <w:sz w:val="20"/>
        </w:rPr>
      </w:pPr>
    </w:p>
    <w:p w:rsidR="00B752E6" w:rsidRPr="00EA59C0" w:rsidRDefault="00B752E6" w:rsidP="00B752E6">
      <w:pPr>
        <w:pStyle w:val="Default"/>
        <w:rPr>
          <w:rFonts w:ascii="Arial" w:hAnsi="Arial" w:cs="Arial"/>
          <w:b/>
          <w:color w:val="auto"/>
          <w:sz w:val="20"/>
          <w:u w:val="single"/>
        </w:rPr>
      </w:pPr>
      <w:r w:rsidRPr="00EA59C0">
        <w:rPr>
          <w:rFonts w:ascii="Arial" w:hAnsi="Arial" w:cs="Arial"/>
          <w:b/>
          <w:color w:val="auto"/>
          <w:sz w:val="20"/>
          <w:u w:val="single"/>
        </w:rPr>
        <w:t>Competency-Based</w:t>
      </w:r>
      <w:r w:rsidR="00C026A6" w:rsidRPr="00EA59C0">
        <w:rPr>
          <w:rFonts w:ascii="Arial" w:hAnsi="Arial" w:cs="Arial"/>
          <w:b/>
          <w:color w:val="auto"/>
          <w:sz w:val="20"/>
          <w:u w:val="single"/>
        </w:rPr>
        <w:t xml:space="preserve"> </w:t>
      </w:r>
      <w:r w:rsidRPr="00EA59C0">
        <w:rPr>
          <w:rFonts w:ascii="Arial" w:hAnsi="Arial" w:cs="Arial"/>
          <w:b/>
          <w:color w:val="auto"/>
          <w:sz w:val="20"/>
          <w:u w:val="single"/>
        </w:rPr>
        <w:t>Education</w:t>
      </w:r>
      <w:r w:rsidR="00C026A6" w:rsidRPr="00EA59C0">
        <w:rPr>
          <w:rFonts w:ascii="Arial" w:hAnsi="Arial" w:cs="Arial"/>
          <w:b/>
          <w:color w:val="auto"/>
          <w:sz w:val="20"/>
          <w:u w:val="single"/>
        </w:rPr>
        <w:t xml:space="preserve"> </w:t>
      </w:r>
      <w:r w:rsidRPr="00EA59C0">
        <w:rPr>
          <w:rFonts w:ascii="Arial" w:hAnsi="Arial" w:cs="Arial"/>
          <w:b/>
          <w:color w:val="auto"/>
          <w:sz w:val="20"/>
          <w:u w:val="single"/>
        </w:rPr>
        <w:t>and</w:t>
      </w:r>
      <w:r w:rsidR="00C026A6" w:rsidRPr="00EA59C0">
        <w:rPr>
          <w:rFonts w:ascii="Arial" w:hAnsi="Arial" w:cs="Arial"/>
          <w:b/>
          <w:color w:val="auto"/>
          <w:sz w:val="20"/>
          <w:u w:val="single"/>
        </w:rPr>
        <w:t xml:space="preserve"> </w:t>
      </w:r>
      <w:r w:rsidRPr="00EA59C0">
        <w:rPr>
          <w:rFonts w:ascii="Arial" w:hAnsi="Arial" w:cs="Arial"/>
          <w:b/>
          <w:color w:val="auto"/>
          <w:sz w:val="20"/>
          <w:u w:val="single"/>
        </w:rPr>
        <w:t>Cognitive</w:t>
      </w:r>
      <w:r w:rsidR="00C026A6" w:rsidRPr="00EA59C0">
        <w:rPr>
          <w:rFonts w:ascii="Arial" w:hAnsi="Arial" w:cs="Arial"/>
          <w:b/>
          <w:color w:val="auto"/>
          <w:sz w:val="20"/>
          <w:u w:val="single"/>
        </w:rPr>
        <w:t xml:space="preserve"> </w:t>
      </w:r>
      <w:r w:rsidRPr="00EA59C0">
        <w:rPr>
          <w:rFonts w:ascii="Arial" w:hAnsi="Arial" w:cs="Arial"/>
          <w:b/>
          <w:color w:val="auto"/>
          <w:sz w:val="20"/>
          <w:u w:val="single"/>
        </w:rPr>
        <w:t>Task</w:t>
      </w:r>
      <w:r w:rsidR="00C026A6" w:rsidRPr="00EA59C0">
        <w:rPr>
          <w:rFonts w:ascii="Arial" w:hAnsi="Arial" w:cs="Arial"/>
          <w:b/>
          <w:color w:val="auto"/>
          <w:sz w:val="20"/>
          <w:u w:val="single"/>
        </w:rPr>
        <w:t xml:space="preserve"> </w:t>
      </w:r>
      <w:r w:rsidRPr="00EA59C0">
        <w:rPr>
          <w:rFonts w:ascii="Arial" w:hAnsi="Arial" w:cs="Arial"/>
          <w:b/>
          <w:color w:val="auto"/>
          <w:sz w:val="20"/>
          <w:u w:val="single"/>
        </w:rPr>
        <w:t>Analysis</w:t>
      </w: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Industry</w:t>
      </w:r>
      <w:r w:rsidR="00C026A6" w:rsidRPr="00EA59C0">
        <w:rPr>
          <w:rFonts w:ascii="Arial" w:hAnsi="Arial" w:cs="Arial"/>
          <w:i/>
          <w:color w:val="auto"/>
          <w:sz w:val="20"/>
        </w:rPr>
        <w:t xml:space="preserve"> </w:t>
      </w:r>
      <w:r w:rsidRPr="00EA59C0">
        <w:rPr>
          <w:rFonts w:ascii="Arial" w:hAnsi="Arial" w:cs="Arial"/>
          <w:i/>
          <w:color w:val="auto"/>
          <w:sz w:val="20"/>
        </w:rPr>
        <w:t>Competency</w:t>
      </w:r>
      <w:r w:rsidR="00C026A6" w:rsidRPr="00EA59C0">
        <w:rPr>
          <w:rFonts w:ascii="Arial" w:hAnsi="Arial" w:cs="Arial"/>
          <w:i/>
          <w:color w:val="auto"/>
          <w:sz w:val="20"/>
        </w:rPr>
        <w:t xml:space="preserve"> </w:t>
      </w:r>
      <w:r w:rsidRPr="00EA59C0">
        <w:rPr>
          <w:rFonts w:ascii="Arial" w:hAnsi="Arial" w:cs="Arial"/>
          <w:i/>
          <w:color w:val="auto"/>
          <w:sz w:val="20"/>
        </w:rPr>
        <w:t>Models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Employm</w:t>
      </w:r>
      <w:r w:rsidR="005A6094" w:rsidRPr="00EA59C0">
        <w:rPr>
          <w:rFonts w:ascii="Arial" w:hAnsi="Arial" w:cs="Arial"/>
          <w:color w:val="auto"/>
          <w:sz w:val="20"/>
        </w:rPr>
        <w:t>ent</w:t>
      </w:r>
      <w:r w:rsidR="00C026A6" w:rsidRPr="00EA59C0">
        <w:rPr>
          <w:rFonts w:ascii="Arial" w:hAnsi="Arial" w:cs="Arial"/>
          <w:color w:val="auto"/>
          <w:sz w:val="20"/>
        </w:rPr>
        <w:t xml:space="preserve"> </w:t>
      </w:r>
      <w:r w:rsidR="005A6094" w:rsidRPr="00EA59C0">
        <w:rPr>
          <w:rFonts w:ascii="Arial" w:hAnsi="Arial" w:cs="Arial"/>
          <w:color w:val="auto"/>
          <w:sz w:val="20"/>
        </w:rPr>
        <w:t>and</w:t>
      </w:r>
      <w:r w:rsidR="00C026A6" w:rsidRPr="00EA59C0">
        <w:rPr>
          <w:rFonts w:ascii="Arial" w:hAnsi="Arial" w:cs="Arial"/>
          <w:color w:val="auto"/>
          <w:sz w:val="20"/>
        </w:rPr>
        <w:t xml:space="preserve"> </w:t>
      </w:r>
      <w:r w:rsidR="005A6094" w:rsidRPr="00EA59C0">
        <w:rPr>
          <w:rFonts w:ascii="Arial" w:hAnsi="Arial" w:cs="Arial"/>
          <w:color w:val="auto"/>
          <w:sz w:val="20"/>
        </w:rPr>
        <w:t>Training</w:t>
      </w:r>
      <w:r w:rsidR="00C026A6" w:rsidRPr="00EA59C0">
        <w:rPr>
          <w:rFonts w:ascii="Arial" w:hAnsi="Arial" w:cs="Arial"/>
          <w:color w:val="auto"/>
          <w:sz w:val="20"/>
        </w:rPr>
        <w:t xml:space="preserve"> </w:t>
      </w:r>
      <w:r w:rsidR="005A6094" w:rsidRPr="00EA59C0">
        <w:rPr>
          <w:rFonts w:ascii="Arial" w:hAnsi="Arial" w:cs="Arial"/>
          <w:color w:val="auto"/>
          <w:sz w:val="20"/>
        </w:rPr>
        <w:t>Administration</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U.S.</w:t>
      </w:r>
      <w:r w:rsidR="00C026A6" w:rsidRPr="00EA59C0">
        <w:rPr>
          <w:rFonts w:ascii="Arial" w:hAnsi="Arial" w:cs="Arial"/>
          <w:color w:val="auto"/>
          <w:sz w:val="20"/>
        </w:rPr>
        <w:t xml:space="preserve"> </w:t>
      </w:r>
      <w:r w:rsidRPr="00EA59C0">
        <w:rPr>
          <w:rFonts w:ascii="Arial" w:hAnsi="Arial" w:cs="Arial"/>
          <w:color w:val="auto"/>
          <w:sz w:val="20"/>
        </w:rPr>
        <w:t>Department</w:t>
      </w:r>
      <w:r w:rsidR="00C026A6" w:rsidRPr="00EA59C0">
        <w:rPr>
          <w:rFonts w:ascii="Arial" w:hAnsi="Arial" w:cs="Arial"/>
          <w:color w:val="auto"/>
          <w:sz w:val="20"/>
        </w:rPr>
        <w:t xml:space="preserve"> </w:t>
      </w:r>
      <w:r w:rsidRPr="00EA59C0">
        <w:rPr>
          <w:rFonts w:ascii="Arial" w:hAnsi="Arial" w:cs="Arial"/>
          <w:color w:val="auto"/>
          <w:sz w:val="20"/>
        </w:rPr>
        <w:t>of</w:t>
      </w:r>
      <w:r w:rsidR="00C026A6" w:rsidRPr="00EA59C0">
        <w:rPr>
          <w:rFonts w:ascii="Arial" w:hAnsi="Arial" w:cs="Arial"/>
          <w:color w:val="auto"/>
          <w:sz w:val="20"/>
        </w:rPr>
        <w:t xml:space="preserve"> </w:t>
      </w:r>
      <w:r w:rsidRPr="00EA59C0">
        <w:rPr>
          <w:rFonts w:ascii="Arial" w:hAnsi="Arial" w:cs="Arial"/>
          <w:color w:val="auto"/>
          <w:sz w:val="20"/>
        </w:rPr>
        <w:t>Education</w:t>
      </w:r>
    </w:p>
    <w:p w:rsidR="00B752E6" w:rsidRPr="00EA59C0" w:rsidRDefault="00DF2916" w:rsidP="00B752E6">
      <w:pPr>
        <w:pStyle w:val="Default"/>
        <w:rPr>
          <w:rFonts w:ascii="Arial" w:hAnsi="Arial" w:cs="Arial"/>
          <w:color w:val="auto"/>
          <w:sz w:val="20"/>
        </w:rPr>
      </w:pPr>
      <w:hyperlink r:id="rId320" w:history="1">
        <w:r w:rsidR="005A6094" w:rsidRPr="00EA59C0">
          <w:rPr>
            <w:rStyle w:val="Hyperlink"/>
            <w:rFonts w:ascii="Arial" w:hAnsi="Arial" w:cs="Arial"/>
            <w:color w:val="auto"/>
            <w:sz w:val="20"/>
          </w:rPr>
          <w:t>https://www.careeronestop.org/competencymodel/pyramid.aspx</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Cracking</w:t>
      </w:r>
      <w:r w:rsidR="00C026A6" w:rsidRPr="00EA59C0">
        <w:rPr>
          <w:rFonts w:ascii="Arial" w:hAnsi="Arial" w:cs="Arial"/>
          <w:i/>
          <w:color w:val="auto"/>
          <w:sz w:val="20"/>
        </w:rPr>
        <w:t xml:space="preserve"> </w:t>
      </w:r>
      <w:r w:rsidRPr="00EA59C0">
        <w:rPr>
          <w:rFonts w:ascii="Arial" w:hAnsi="Arial" w:cs="Arial"/>
          <w:i/>
          <w:color w:val="auto"/>
          <w:sz w:val="20"/>
        </w:rPr>
        <w:t>the</w:t>
      </w:r>
      <w:r w:rsidR="00C026A6" w:rsidRPr="00EA59C0">
        <w:rPr>
          <w:rFonts w:ascii="Arial" w:hAnsi="Arial" w:cs="Arial"/>
          <w:i/>
          <w:color w:val="auto"/>
          <w:sz w:val="20"/>
        </w:rPr>
        <w:t xml:space="preserve"> </w:t>
      </w:r>
      <w:r w:rsidRPr="00EA59C0">
        <w:rPr>
          <w:rFonts w:ascii="Arial" w:hAnsi="Arial" w:cs="Arial"/>
          <w:i/>
          <w:color w:val="auto"/>
          <w:sz w:val="20"/>
        </w:rPr>
        <w:t>Credit</w:t>
      </w:r>
      <w:r w:rsidR="00C026A6" w:rsidRPr="00EA59C0">
        <w:rPr>
          <w:rFonts w:ascii="Arial" w:hAnsi="Arial" w:cs="Arial"/>
          <w:i/>
          <w:color w:val="auto"/>
          <w:sz w:val="20"/>
        </w:rPr>
        <w:t xml:space="preserve"> </w:t>
      </w:r>
      <w:r w:rsidRPr="00EA59C0">
        <w:rPr>
          <w:rFonts w:ascii="Arial" w:hAnsi="Arial" w:cs="Arial"/>
          <w:i/>
          <w:color w:val="auto"/>
          <w:sz w:val="20"/>
        </w:rPr>
        <w:t>Hour</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Amy</w:t>
      </w:r>
      <w:r w:rsidR="00C026A6" w:rsidRPr="00EA59C0">
        <w:rPr>
          <w:rFonts w:ascii="Arial" w:hAnsi="Arial" w:cs="Arial"/>
          <w:color w:val="auto"/>
          <w:sz w:val="20"/>
        </w:rPr>
        <w:t xml:space="preserve"> </w:t>
      </w:r>
      <w:r w:rsidRPr="00EA59C0">
        <w:rPr>
          <w:rFonts w:ascii="Arial" w:hAnsi="Arial" w:cs="Arial"/>
          <w:color w:val="auto"/>
          <w:sz w:val="20"/>
        </w:rPr>
        <w:t>Laitinen</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New</w:t>
      </w:r>
      <w:r w:rsidR="00C026A6" w:rsidRPr="00EA59C0">
        <w:rPr>
          <w:rFonts w:ascii="Arial" w:hAnsi="Arial" w:cs="Arial"/>
          <w:color w:val="auto"/>
          <w:sz w:val="20"/>
        </w:rPr>
        <w:t xml:space="preserve"> </w:t>
      </w:r>
      <w:r w:rsidRPr="00EA59C0">
        <w:rPr>
          <w:rFonts w:ascii="Arial" w:hAnsi="Arial" w:cs="Arial"/>
          <w:color w:val="auto"/>
          <w:sz w:val="20"/>
        </w:rPr>
        <w:t>America</w:t>
      </w:r>
      <w:r w:rsidR="00C026A6" w:rsidRPr="00EA59C0">
        <w:rPr>
          <w:rFonts w:ascii="Arial" w:hAnsi="Arial" w:cs="Arial"/>
          <w:color w:val="auto"/>
          <w:sz w:val="20"/>
        </w:rPr>
        <w:t xml:space="preserve"> </w:t>
      </w:r>
      <w:r w:rsidRPr="00EA59C0">
        <w:rPr>
          <w:rFonts w:ascii="Arial" w:hAnsi="Arial" w:cs="Arial"/>
          <w:color w:val="auto"/>
          <w:sz w:val="20"/>
        </w:rPr>
        <w:t>Foundation</w:t>
      </w:r>
      <w:r w:rsidR="00E55603"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September</w:t>
      </w:r>
      <w:r w:rsidR="00C026A6" w:rsidRPr="00EA59C0">
        <w:rPr>
          <w:rFonts w:ascii="Arial" w:hAnsi="Arial" w:cs="Arial"/>
          <w:color w:val="auto"/>
          <w:sz w:val="20"/>
        </w:rPr>
        <w:t xml:space="preserve"> </w:t>
      </w:r>
      <w:r w:rsidRPr="00EA59C0">
        <w:rPr>
          <w:rFonts w:ascii="Arial" w:hAnsi="Arial" w:cs="Arial"/>
          <w:color w:val="auto"/>
          <w:sz w:val="20"/>
        </w:rPr>
        <w:t>2012</w:t>
      </w:r>
    </w:p>
    <w:p w:rsidR="00B752E6" w:rsidRPr="00EA59C0" w:rsidRDefault="00DF2916" w:rsidP="00B752E6">
      <w:pPr>
        <w:pStyle w:val="Default"/>
        <w:rPr>
          <w:rFonts w:ascii="Arial" w:hAnsi="Arial" w:cs="Arial"/>
          <w:color w:val="auto"/>
          <w:sz w:val="20"/>
        </w:rPr>
      </w:pPr>
      <w:hyperlink r:id="rId321" w:history="1">
        <w:r w:rsidR="00E55603" w:rsidRPr="00EA59C0">
          <w:rPr>
            <w:rStyle w:val="Hyperlink"/>
            <w:rFonts w:ascii="Arial" w:hAnsi="Arial" w:cs="Arial"/>
            <w:color w:val="auto"/>
            <w:sz w:val="20"/>
          </w:rPr>
          <w:t>http://higheredwatch.newamerica.net/sites/newamerica.net/files/policydocs/Cracking_the_Credit_Hour_Sept5_0.pdf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Competency-Based</w:t>
      </w:r>
      <w:r w:rsidR="00C026A6" w:rsidRPr="00EA59C0">
        <w:rPr>
          <w:rFonts w:ascii="Arial" w:hAnsi="Arial" w:cs="Arial"/>
          <w:i/>
          <w:color w:val="auto"/>
          <w:sz w:val="20"/>
        </w:rPr>
        <w:t xml:space="preserve"> </w:t>
      </w:r>
      <w:r w:rsidRPr="00EA59C0">
        <w:rPr>
          <w:rFonts w:ascii="Arial" w:hAnsi="Arial" w:cs="Arial"/>
          <w:i/>
          <w:color w:val="auto"/>
          <w:sz w:val="20"/>
        </w:rPr>
        <w:t>Degree</w:t>
      </w:r>
      <w:r w:rsidR="00C026A6" w:rsidRPr="00EA59C0">
        <w:rPr>
          <w:rFonts w:ascii="Arial" w:hAnsi="Arial" w:cs="Arial"/>
          <w:i/>
          <w:color w:val="auto"/>
          <w:sz w:val="20"/>
        </w:rPr>
        <w:t xml:space="preserve"> </w:t>
      </w:r>
      <w:r w:rsidRPr="00EA59C0">
        <w:rPr>
          <w:rFonts w:ascii="Arial" w:hAnsi="Arial" w:cs="Arial"/>
          <w:i/>
          <w:color w:val="auto"/>
          <w:sz w:val="20"/>
        </w:rPr>
        <w:t>Programs</w:t>
      </w:r>
      <w:r w:rsidR="00C026A6" w:rsidRPr="00EA59C0">
        <w:rPr>
          <w:rFonts w:ascii="Arial" w:hAnsi="Arial" w:cs="Arial"/>
          <w:i/>
          <w:color w:val="auto"/>
          <w:sz w:val="20"/>
        </w:rPr>
        <w:t xml:space="preserve"> </w:t>
      </w:r>
      <w:r w:rsidRPr="00EA59C0">
        <w:rPr>
          <w:rFonts w:ascii="Arial" w:hAnsi="Arial" w:cs="Arial"/>
          <w:i/>
          <w:color w:val="auto"/>
          <w:sz w:val="20"/>
        </w:rPr>
        <w:t>in</w:t>
      </w:r>
      <w:r w:rsidR="00C026A6" w:rsidRPr="00EA59C0">
        <w:rPr>
          <w:rFonts w:ascii="Arial" w:hAnsi="Arial" w:cs="Arial"/>
          <w:i/>
          <w:color w:val="auto"/>
          <w:sz w:val="20"/>
        </w:rPr>
        <w:t xml:space="preserve"> </w:t>
      </w:r>
      <w:r w:rsidRPr="00EA59C0">
        <w:rPr>
          <w:rFonts w:ascii="Arial" w:hAnsi="Arial" w:cs="Arial"/>
          <w:i/>
          <w:color w:val="auto"/>
          <w:sz w:val="20"/>
        </w:rPr>
        <w:t>the</w:t>
      </w:r>
      <w:r w:rsidR="00C026A6" w:rsidRPr="00EA59C0">
        <w:rPr>
          <w:rFonts w:ascii="Arial" w:hAnsi="Arial" w:cs="Arial"/>
          <w:i/>
          <w:color w:val="auto"/>
          <w:sz w:val="20"/>
        </w:rPr>
        <w:t xml:space="preserve"> </w:t>
      </w:r>
      <w:r w:rsidRPr="00EA59C0">
        <w:rPr>
          <w:rFonts w:ascii="Arial" w:hAnsi="Arial" w:cs="Arial"/>
          <w:i/>
          <w:color w:val="auto"/>
          <w:sz w:val="20"/>
        </w:rPr>
        <w:t>U.S.:</w:t>
      </w:r>
      <w:r w:rsidR="00C026A6" w:rsidRPr="00EA59C0">
        <w:rPr>
          <w:rFonts w:ascii="Arial" w:hAnsi="Arial" w:cs="Arial"/>
          <w:i/>
          <w:color w:val="auto"/>
          <w:sz w:val="20"/>
        </w:rPr>
        <w:t xml:space="preserve"> </w:t>
      </w:r>
      <w:r w:rsidRPr="00EA59C0">
        <w:rPr>
          <w:rFonts w:ascii="Arial" w:hAnsi="Arial" w:cs="Arial"/>
          <w:i/>
          <w:color w:val="auto"/>
          <w:sz w:val="20"/>
        </w:rPr>
        <w:t>Postsecondary</w:t>
      </w:r>
      <w:r w:rsidR="00C026A6" w:rsidRPr="00EA59C0">
        <w:rPr>
          <w:rFonts w:ascii="Arial" w:hAnsi="Arial" w:cs="Arial"/>
          <w:i/>
          <w:color w:val="auto"/>
          <w:sz w:val="20"/>
        </w:rPr>
        <w:t xml:space="preserve"> </w:t>
      </w:r>
      <w:r w:rsidRPr="00EA59C0">
        <w:rPr>
          <w:rFonts w:ascii="Arial" w:hAnsi="Arial" w:cs="Arial"/>
          <w:i/>
          <w:color w:val="auto"/>
          <w:sz w:val="20"/>
        </w:rPr>
        <w:t>Credentials</w:t>
      </w:r>
      <w:r w:rsidR="00C026A6" w:rsidRPr="00EA59C0">
        <w:rPr>
          <w:rFonts w:ascii="Arial" w:hAnsi="Arial" w:cs="Arial"/>
          <w:i/>
          <w:color w:val="auto"/>
          <w:sz w:val="20"/>
        </w:rPr>
        <w:t xml:space="preserve"> </w:t>
      </w:r>
      <w:r w:rsidRPr="00EA59C0">
        <w:rPr>
          <w:rFonts w:ascii="Arial" w:hAnsi="Arial" w:cs="Arial"/>
          <w:i/>
          <w:color w:val="auto"/>
          <w:sz w:val="20"/>
        </w:rPr>
        <w:t>for</w:t>
      </w:r>
      <w:r w:rsidR="00C026A6" w:rsidRPr="00EA59C0">
        <w:rPr>
          <w:rFonts w:ascii="Arial" w:hAnsi="Arial" w:cs="Arial"/>
          <w:i/>
          <w:color w:val="auto"/>
          <w:sz w:val="20"/>
        </w:rPr>
        <w:t xml:space="preserve"> </w:t>
      </w:r>
      <w:r w:rsidRPr="00EA59C0">
        <w:rPr>
          <w:rFonts w:ascii="Arial" w:hAnsi="Arial" w:cs="Arial"/>
          <w:i/>
          <w:color w:val="auto"/>
          <w:sz w:val="20"/>
        </w:rPr>
        <w:t>Measurable</w:t>
      </w:r>
      <w:r w:rsidR="00C026A6" w:rsidRPr="00EA59C0">
        <w:rPr>
          <w:rFonts w:ascii="Arial" w:hAnsi="Arial" w:cs="Arial"/>
          <w:i/>
          <w:color w:val="auto"/>
          <w:sz w:val="20"/>
        </w:rPr>
        <w:t xml:space="preserve"> </w:t>
      </w:r>
      <w:r w:rsidRPr="00EA59C0">
        <w:rPr>
          <w:rFonts w:ascii="Arial" w:hAnsi="Arial" w:cs="Arial"/>
          <w:i/>
          <w:color w:val="auto"/>
          <w:sz w:val="20"/>
        </w:rPr>
        <w:t>Student</w:t>
      </w:r>
      <w:r w:rsidR="00C026A6" w:rsidRPr="00EA59C0">
        <w:rPr>
          <w:rFonts w:ascii="Arial" w:hAnsi="Arial" w:cs="Arial"/>
          <w:i/>
          <w:color w:val="auto"/>
          <w:sz w:val="20"/>
        </w:rPr>
        <w:t xml:space="preserve"> </w:t>
      </w:r>
      <w:r w:rsidRPr="00EA59C0">
        <w:rPr>
          <w:rFonts w:ascii="Arial" w:hAnsi="Arial" w:cs="Arial"/>
          <w:i/>
          <w:color w:val="auto"/>
          <w:sz w:val="20"/>
        </w:rPr>
        <w:t>Learning</w:t>
      </w:r>
      <w:r w:rsidR="00C026A6" w:rsidRPr="00EA59C0">
        <w:rPr>
          <w:rFonts w:ascii="Arial" w:hAnsi="Arial" w:cs="Arial"/>
          <w:i/>
          <w:color w:val="auto"/>
          <w:sz w:val="20"/>
        </w:rPr>
        <w:t xml:space="preserve"> </w:t>
      </w:r>
      <w:r w:rsidRPr="00EA59C0">
        <w:rPr>
          <w:rFonts w:ascii="Arial" w:hAnsi="Arial" w:cs="Arial"/>
          <w:i/>
          <w:color w:val="auto"/>
          <w:sz w:val="20"/>
        </w:rPr>
        <w:t>and</w:t>
      </w:r>
      <w:r w:rsidR="00C026A6" w:rsidRPr="00EA59C0">
        <w:rPr>
          <w:rFonts w:ascii="Arial" w:hAnsi="Arial" w:cs="Arial"/>
          <w:i/>
          <w:color w:val="auto"/>
          <w:sz w:val="20"/>
        </w:rPr>
        <w:t xml:space="preserve"> </w:t>
      </w:r>
      <w:r w:rsidRPr="00EA59C0">
        <w:rPr>
          <w:rFonts w:ascii="Arial" w:hAnsi="Arial" w:cs="Arial"/>
          <w:i/>
          <w:color w:val="auto"/>
          <w:sz w:val="20"/>
        </w:rPr>
        <w:t>Performance</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Rebecca</w:t>
      </w:r>
      <w:r w:rsidR="00C026A6" w:rsidRPr="00EA59C0">
        <w:rPr>
          <w:rFonts w:ascii="Arial" w:hAnsi="Arial" w:cs="Arial"/>
          <w:color w:val="auto"/>
          <w:sz w:val="20"/>
        </w:rPr>
        <w:t xml:space="preserve"> </w:t>
      </w:r>
      <w:r w:rsidRPr="00EA59C0">
        <w:rPr>
          <w:rFonts w:ascii="Arial" w:hAnsi="Arial" w:cs="Arial"/>
          <w:color w:val="auto"/>
          <w:sz w:val="20"/>
        </w:rPr>
        <w:t>Klein-Collins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Council</w:t>
      </w:r>
      <w:r w:rsidR="00C026A6" w:rsidRPr="00EA59C0">
        <w:rPr>
          <w:rFonts w:ascii="Arial" w:hAnsi="Arial" w:cs="Arial"/>
          <w:color w:val="auto"/>
          <w:sz w:val="20"/>
        </w:rPr>
        <w:t xml:space="preserve"> </w:t>
      </w:r>
      <w:r w:rsidRPr="00EA59C0">
        <w:rPr>
          <w:rFonts w:ascii="Arial" w:hAnsi="Arial" w:cs="Arial"/>
          <w:color w:val="auto"/>
          <w:sz w:val="20"/>
        </w:rPr>
        <w:t>for</w:t>
      </w:r>
      <w:r w:rsidR="00C026A6" w:rsidRPr="00EA59C0">
        <w:rPr>
          <w:rFonts w:ascii="Arial" w:hAnsi="Arial" w:cs="Arial"/>
          <w:color w:val="auto"/>
          <w:sz w:val="20"/>
        </w:rPr>
        <w:t xml:space="preserve"> </w:t>
      </w:r>
      <w:r w:rsidRPr="00EA59C0">
        <w:rPr>
          <w:rFonts w:ascii="Arial" w:hAnsi="Arial" w:cs="Arial"/>
          <w:color w:val="auto"/>
          <w:sz w:val="20"/>
        </w:rPr>
        <w:t>Adult</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Experiential</w:t>
      </w:r>
      <w:r w:rsidR="00C026A6" w:rsidRPr="00EA59C0">
        <w:rPr>
          <w:rFonts w:ascii="Arial" w:hAnsi="Arial" w:cs="Arial"/>
          <w:color w:val="auto"/>
          <w:sz w:val="20"/>
        </w:rPr>
        <w:t xml:space="preserve"> </w:t>
      </w:r>
      <w:r w:rsidRPr="00EA59C0">
        <w:rPr>
          <w:rFonts w:ascii="Arial" w:hAnsi="Arial" w:cs="Arial"/>
          <w:color w:val="auto"/>
          <w:sz w:val="20"/>
        </w:rPr>
        <w:t>Learning</w:t>
      </w:r>
      <w:r w:rsidR="00E55603"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2012</w:t>
      </w:r>
    </w:p>
    <w:p w:rsidR="00B752E6" w:rsidRPr="00EA59C0" w:rsidRDefault="00DF2916" w:rsidP="00B752E6">
      <w:pPr>
        <w:pStyle w:val="Default"/>
        <w:rPr>
          <w:rFonts w:ascii="Arial" w:hAnsi="Arial" w:cs="Arial"/>
          <w:color w:val="auto"/>
          <w:sz w:val="20"/>
        </w:rPr>
      </w:pPr>
      <w:hyperlink r:id="rId322" w:history="1">
        <w:r w:rsidR="00E55603" w:rsidRPr="00EA59C0">
          <w:rPr>
            <w:rStyle w:val="Hyperlink"/>
            <w:rFonts w:ascii="Arial" w:hAnsi="Arial" w:cs="Arial"/>
            <w:color w:val="auto"/>
            <w:sz w:val="20"/>
          </w:rPr>
          <w:t>http://www.cael.org/pdfs/2012_CompetencyBasedPrograms</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9A4FDF" w:rsidRPr="00EA59C0" w:rsidRDefault="009A4FDF" w:rsidP="00B752E6">
      <w:pPr>
        <w:pStyle w:val="Default"/>
        <w:rPr>
          <w:rFonts w:ascii="Arial" w:hAnsi="Arial" w:cs="Arial"/>
          <w:color w:val="auto"/>
          <w:sz w:val="20"/>
        </w:rPr>
      </w:pPr>
    </w:p>
    <w:p w:rsidR="00B752E6" w:rsidRPr="00EA59C0" w:rsidRDefault="00B752E6" w:rsidP="00B752E6">
      <w:pPr>
        <w:pStyle w:val="Default"/>
        <w:rPr>
          <w:rFonts w:ascii="Arial" w:hAnsi="Arial" w:cs="Arial"/>
          <w:b/>
          <w:color w:val="auto"/>
          <w:sz w:val="20"/>
          <w:u w:val="single"/>
        </w:rPr>
      </w:pPr>
      <w:r w:rsidRPr="00EA59C0">
        <w:rPr>
          <w:rFonts w:ascii="Arial" w:hAnsi="Arial" w:cs="Arial"/>
          <w:b/>
          <w:color w:val="auto"/>
          <w:sz w:val="20"/>
          <w:u w:val="single"/>
        </w:rPr>
        <w:t>Stacked</w:t>
      </w:r>
      <w:r w:rsidR="00C026A6" w:rsidRPr="00EA59C0">
        <w:rPr>
          <w:rFonts w:ascii="Arial" w:hAnsi="Arial" w:cs="Arial"/>
          <w:b/>
          <w:color w:val="auto"/>
          <w:sz w:val="20"/>
          <w:u w:val="single"/>
        </w:rPr>
        <w:t xml:space="preserve"> </w:t>
      </w:r>
      <w:r w:rsidRPr="00EA59C0">
        <w:rPr>
          <w:rFonts w:ascii="Arial" w:hAnsi="Arial" w:cs="Arial"/>
          <w:b/>
          <w:color w:val="auto"/>
          <w:sz w:val="20"/>
          <w:u w:val="single"/>
        </w:rPr>
        <w:t>and</w:t>
      </w:r>
      <w:r w:rsidR="00C026A6" w:rsidRPr="00EA59C0">
        <w:rPr>
          <w:rFonts w:ascii="Arial" w:hAnsi="Arial" w:cs="Arial"/>
          <w:b/>
          <w:color w:val="auto"/>
          <w:sz w:val="20"/>
          <w:u w:val="single"/>
        </w:rPr>
        <w:t xml:space="preserve"> </w:t>
      </w:r>
      <w:r w:rsidRPr="00EA59C0">
        <w:rPr>
          <w:rFonts w:ascii="Arial" w:hAnsi="Arial" w:cs="Arial"/>
          <w:b/>
          <w:color w:val="auto"/>
          <w:sz w:val="20"/>
          <w:u w:val="single"/>
        </w:rPr>
        <w:t>Latticed</w:t>
      </w:r>
      <w:r w:rsidR="00C026A6" w:rsidRPr="00EA59C0">
        <w:rPr>
          <w:rFonts w:ascii="Arial" w:hAnsi="Arial" w:cs="Arial"/>
          <w:b/>
          <w:color w:val="auto"/>
          <w:sz w:val="20"/>
          <w:u w:val="single"/>
        </w:rPr>
        <w:t xml:space="preserve"> </w:t>
      </w:r>
      <w:r w:rsidRPr="00EA59C0">
        <w:rPr>
          <w:rFonts w:ascii="Arial" w:hAnsi="Arial" w:cs="Arial"/>
          <w:b/>
          <w:color w:val="auto"/>
          <w:sz w:val="20"/>
          <w:u w:val="single"/>
        </w:rPr>
        <w:t>Credentials</w:t>
      </w:r>
    </w:p>
    <w:p w:rsidR="009A4FDF" w:rsidRPr="00EA59C0" w:rsidRDefault="009A4FDF"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Ohio</w:t>
      </w:r>
      <w:r w:rsidR="00C026A6" w:rsidRPr="00EA59C0">
        <w:rPr>
          <w:rFonts w:ascii="Arial" w:hAnsi="Arial" w:cs="Arial"/>
          <w:i/>
          <w:color w:val="auto"/>
          <w:sz w:val="20"/>
        </w:rPr>
        <w:t xml:space="preserve"> </w:t>
      </w:r>
      <w:r w:rsidRPr="00EA59C0">
        <w:rPr>
          <w:rFonts w:ascii="Arial" w:hAnsi="Arial" w:cs="Arial"/>
          <w:i/>
          <w:color w:val="auto"/>
          <w:sz w:val="20"/>
        </w:rPr>
        <w:t>Stackable</w:t>
      </w:r>
      <w:r w:rsidR="00C026A6" w:rsidRPr="00EA59C0">
        <w:rPr>
          <w:rFonts w:ascii="Arial" w:hAnsi="Arial" w:cs="Arial"/>
          <w:i/>
          <w:color w:val="auto"/>
          <w:sz w:val="20"/>
        </w:rPr>
        <w:t xml:space="preserve"> </w:t>
      </w:r>
      <w:r w:rsidRPr="00EA59C0">
        <w:rPr>
          <w:rFonts w:ascii="Arial" w:hAnsi="Arial" w:cs="Arial"/>
          <w:i/>
          <w:color w:val="auto"/>
          <w:sz w:val="20"/>
        </w:rPr>
        <w:t>Certificates:</w:t>
      </w:r>
      <w:r w:rsidR="00C026A6" w:rsidRPr="00EA59C0">
        <w:rPr>
          <w:rFonts w:ascii="Arial" w:hAnsi="Arial" w:cs="Arial"/>
          <w:i/>
          <w:color w:val="auto"/>
          <w:sz w:val="20"/>
        </w:rPr>
        <w:t xml:space="preserve"> </w:t>
      </w:r>
      <w:r w:rsidRPr="00EA59C0">
        <w:rPr>
          <w:rFonts w:ascii="Arial" w:hAnsi="Arial" w:cs="Arial"/>
          <w:i/>
          <w:color w:val="auto"/>
          <w:sz w:val="20"/>
        </w:rPr>
        <w:t>Models</w:t>
      </w:r>
      <w:r w:rsidR="00C026A6" w:rsidRPr="00EA59C0">
        <w:rPr>
          <w:rFonts w:ascii="Arial" w:hAnsi="Arial" w:cs="Arial"/>
          <w:i/>
          <w:color w:val="auto"/>
          <w:sz w:val="20"/>
        </w:rPr>
        <w:t xml:space="preserve"> </w:t>
      </w:r>
      <w:r w:rsidRPr="00EA59C0">
        <w:rPr>
          <w:rFonts w:ascii="Arial" w:hAnsi="Arial" w:cs="Arial"/>
          <w:i/>
          <w:color w:val="auto"/>
          <w:sz w:val="20"/>
        </w:rPr>
        <w:t>for</w:t>
      </w:r>
      <w:r w:rsidR="00C026A6" w:rsidRPr="00EA59C0">
        <w:rPr>
          <w:rFonts w:ascii="Arial" w:hAnsi="Arial" w:cs="Arial"/>
          <w:i/>
          <w:color w:val="auto"/>
          <w:sz w:val="20"/>
        </w:rPr>
        <w:t xml:space="preserve"> </w:t>
      </w:r>
      <w:r w:rsidRPr="00EA59C0">
        <w:rPr>
          <w:rFonts w:ascii="Arial" w:hAnsi="Arial" w:cs="Arial"/>
          <w:i/>
          <w:color w:val="auto"/>
          <w:sz w:val="20"/>
        </w:rPr>
        <w:t>Success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Community</w:t>
      </w:r>
      <w:r w:rsidR="00C026A6" w:rsidRPr="00EA59C0">
        <w:rPr>
          <w:rFonts w:ascii="Arial" w:hAnsi="Arial" w:cs="Arial"/>
          <w:color w:val="auto"/>
          <w:sz w:val="20"/>
        </w:rPr>
        <w:t xml:space="preserve"> </w:t>
      </w:r>
      <w:r w:rsidRPr="00EA59C0">
        <w:rPr>
          <w:rFonts w:ascii="Arial" w:hAnsi="Arial" w:cs="Arial"/>
          <w:color w:val="auto"/>
          <w:sz w:val="20"/>
        </w:rPr>
        <w:t>Research</w:t>
      </w:r>
      <w:r w:rsidR="00C026A6" w:rsidRPr="00EA59C0">
        <w:rPr>
          <w:rFonts w:ascii="Arial" w:hAnsi="Arial" w:cs="Arial"/>
          <w:color w:val="auto"/>
          <w:sz w:val="20"/>
        </w:rPr>
        <w:t xml:space="preserve"> </w:t>
      </w:r>
      <w:r w:rsidRPr="00EA59C0">
        <w:rPr>
          <w:rFonts w:ascii="Arial" w:hAnsi="Arial" w:cs="Arial"/>
          <w:color w:val="auto"/>
          <w:sz w:val="20"/>
        </w:rPr>
        <w:t>Partners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February</w:t>
      </w:r>
      <w:r w:rsidR="00C026A6" w:rsidRPr="00EA59C0">
        <w:rPr>
          <w:rFonts w:ascii="Arial" w:hAnsi="Arial" w:cs="Arial"/>
          <w:color w:val="auto"/>
          <w:sz w:val="20"/>
        </w:rPr>
        <w:t xml:space="preserve"> </w:t>
      </w:r>
      <w:r w:rsidRPr="00EA59C0">
        <w:rPr>
          <w:rFonts w:ascii="Arial" w:hAnsi="Arial" w:cs="Arial"/>
          <w:color w:val="auto"/>
          <w:sz w:val="20"/>
        </w:rPr>
        <w:t>2008</w:t>
      </w:r>
    </w:p>
    <w:p w:rsidR="00B752E6" w:rsidRPr="00EA59C0" w:rsidRDefault="00DF2916" w:rsidP="00B752E6">
      <w:pPr>
        <w:pStyle w:val="Default"/>
        <w:rPr>
          <w:rFonts w:ascii="Arial" w:hAnsi="Arial" w:cs="Arial"/>
          <w:color w:val="auto"/>
          <w:sz w:val="20"/>
        </w:rPr>
      </w:pPr>
      <w:hyperlink r:id="rId323" w:history="1">
        <w:r w:rsidR="00F6476B" w:rsidRPr="00BB093B">
          <w:rPr>
            <w:rStyle w:val="Hyperlink"/>
            <w:rFonts w:ascii="Arial" w:hAnsi="Arial" w:cs="Arial"/>
            <w:sz w:val="20"/>
          </w:rPr>
          <w:t>http://www.communityresearchpartners.org/uploads/publications/Ohio_Stackable_Certificates_Models_for_Success.pdf</w:t>
        </w:r>
      </w:hyperlink>
      <w:r w:rsidR="00F6476B">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9A4FDF" w:rsidRPr="00EA59C0" w:rsidRDefault="009A4FDF" w:rsidP="00B752E6">
      <w:pPr>
        <w:pStyle w:val="Default"/>
        <w:rPr>
          <w:rFonts w:ascii="Arial" w:hAnsi="Arial" w:cs="Arial"/>
          <w:color w:val="auto"/>
          <w:sz w:val="20"/>
        </w:rPr>
      </w:pPr>
    </w:p>
    <w:p w:rsidR="00B752E6" w:rsidRPr="00EA59C0" w:rsidRDefault="00B752E6" w:rsidP="00B752E6">
      <w:pPr>
        <w:pStyle w:val="Default"/>
        <w:rPr>
          <w:rFonts w:ascii="Arial" w:hAnsi="Arial" w:cs="Arial"/>
          <w:b/>
          <w:color w:val="auto"/>
          <w:sz w:val="20"/>
          <w:u w:val="single"/>
        </w:rPr>
      </w:pPr>
      <w:r w:rsidRPr="00EA59C0">
        <w:rPr>
          <w:rFonts w:ascii="Arial" w:hAnsi="Arial" w:cs="Arial"/>
          <w:b/>
          <w:color w:val="auto"/>
          <w:sz w:val="20"/>
          <w:u w:val="single"/>
        </w:rPr>
        <w:t>Online</w:t>
      </w:r>
      <w:r w:rsidR="00C026A6" w:rsidRPr="00EA59C0">
        <w:rPr>
          <w:rFonts w:ascii="Arial" w:hAnsi="Arial" w:cs="Arial"/>
          <w:b/>
          <w:color w:val="auto"/>
          <w:sz w:val="20"/>
          <w:u w:val="single"/>
        </w:rPr>
        <w:t xml:space="preserve"> </w:t>
      </w:r>
      <w:r w:rsidRPr="00EA59C0">
        <w:rPr>
          <w:rFonts w:ascii="Arial" w:hAnsi="Arial" w:cs="Arial"/>
          <w:b/>
          <w:color w:val="auto"/>
          <w:sz w:val="20"/>
          <w:u w:val="single"/>
        </w:rPr>
        <w:t>and</w:t>
      </w:r>
      <w:r w:rsidR="00C026A6" w:rsidRPr="00EA59C0">
        <w:rPr>
          <w:rFonts w:ascii="Arial" w:hAnsi="Arial" w:cs="Arial"/>
          <w:b/>
          <w:color w:val="auto"/>
          <w:sz w:val="20"/>
          <w:u w:val="single"/>
        </w:rPr>
        <w:t xml:space="preserve"> </w:t>
      </w:r>
      <w:r w:rsidRPr="00EA59C0">
        <w:rPr>
          <w:rFonts w:ascii="Arial" w:hAnsi="Arial" w:cs="Arial"/>
          <w:b/>
          <w:color w:val="auto"/>
          <w:sz w:val="20"/>
          <w:u w:val="single"/>
        </w:rPr>
        <w:t>Technology-Based</w:t>
      </w:r>
      <w:r w:rsidR="00C026A6" w:rsidRPr="00EA59C0">
        <w:rPr>
          <w:rFonts w:ascii="Arial" w:hAnsi="Arial" w:cs="Arial"/>
          <w:b/>
          <w:color w:val="auto"/>
          <w:sz w:val="20"/>
          <w:u w:val="single"/>
        </w:rPr>
        <w:t xml:space="preserve"> </w:t>
      </w:r>
      <w:r w:rsidRPr="00EA59C0">
        <w:rPr>
          <w:rFonts w:ascii="Arial" w:hAnsi="Arial" w:cs="Arial"/>
          <w:b/>
          <w:color w:val="auto"/>
          <w:sz w:val="20"/>
          <w:u w:val="single"/>
        </w:rPr>
        <w:t>Learning</w:t>
      </w:r>
    </w:p>
    <w:p w:rsidR="009A4FDF" w:rsidRPr="00EA59C0" w:rsidRDefault="009A4FDF" w:rsidP="00B752E6">
      <w:pPr>
        <w:pStyle w:val="Default"/>
        <w:rPr>
          <w:rFonts w:ascii="Arial" w:hAnsi="Arial" w:cs="Arial"/>
          <w:b/>
          <w:color w:val="auto"/>
          <w:sz w:val="20"/>
          <w:u w:val="single"/>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NMC</w:t>
      </w:r>
      <w:r w:rsidR="00C026A6" w:rsidRPr="00EA59C0">
        <w:rPr>
          <w:rFonts w:ascii="Arial" w:hAnsi="Arial" w:cs="Arial"/>
          <w:i/>
          <w:color w:val="auto"/>
          <w:sz w:val="20"/>
        </w:rPr>
        <w:t xml:space="preserve"> </w:t>
      </w:r>
      <w:r w:rsidRPr="00EA59C0">
        <w:rPr>
          <w:rFonts w:ascii="Arial" w:hAnsi="Arial" w:cs="Arial"/>
          <w:i/>
          <w:color w:val="auto"/>
          <w:sz w:val="20"/>
        </w:rPr>
        <w:t>Horizon</w:t>
      </w:r>
      <w:r w:rsidR="00C026A6" w:rsidRPr="00EA59C0">
        <w:rPr>
          <w:rFonts w:ascii="Arial" w:hAnsi="Arial" w:cs="Arial"/>
          <w:i/>
          <w:color w:val="auto"/>
          <w:sz w:val="20"/>
        </w:rPr>
        <w:t xml:space="preserve"> </w:t>
      </w:r>
      <w:r w:rsidRPr="00EA59C0">
        <w:rPr>
          <w:rFonts w:ascii="Arial" w:hAnsi="Arial" w:cs="Arial"/>
          <w:i/>
          <w:color w:val="auto"/>
          <w:sz w:val="20"/>
        </w:rPr>
        <w:t>Report:</w:t>
      </w:r>
      <w:r w:rsidR="00C026A6" w:rsidRPr="00EA59C0">
        <w:rPr>
          <w:rFonts w:ascii="Arial" w:hAnsi="Arial" w:cs="Arial"/>
          <w:i/>
          <w:color w:val="auto"/>
          <w:sz w:val="20"/>
        </w:rPr>
        <w:t xml:space="preserve"> </w:t>
      </w:r>
      <w:r w:rsidRPr="00EA59C0">
        <w:rPr>
          <w:rFonts w:ascii="Arial" w:hAnsi="Arial" w:cs="Arial"/>
          <w:i/>
          <w:color w:val="auto"/>
          <w:sz w:val="20"/>
        </w:rPr>
        <w:t>2014</w:t>
      </w:r>
      <w:r w:rsidR="00C026A6" w:rsidRPr="00EA59C0">
        <w:rPr>
          <w:rFonts w:ascii="Arial" w:hAnsi="Arial" w:cs="Arial"/>
          <w:i/>
          <w:color w:val="auto"/>
          <w:sz w:val="20"/>
        </w:rPr>
        <w:t xml:space="preserve"> </w:t>
      </w:r>
      <w:r w:rsidRPr="00EA59C0">
        <w:rPr>
          <w:rFonts w:ascii="Arial" w:hAnsi="Arial" w:cs="Arial"/>
          <w:i/>
          <w:color w:val="auto"/>
          <w:sz w:val="20"/>
        </w:rPr>
        <w:t>Higher</w:t>
      </w:r>
      <w:r w:rsidR="00C026A6" w:rsidRPr="00EA59C0">
        <w:rPr>
          <w:rFonts w:ascii="Arial" w:hAnsi="Arial" w:cs="Arial"/>
          <w:i/>
          <w:color w:val="auto"/>
          <w:sz w:val="20"/>
        </w:rPr>
        <w:t xml:space="preserve"> </w:t>
      </w:r>
      <w:r w:rsidRPr="00EA59C0">
        <w:rPr>
          <w:rFonts w:ascii="Arial" w:hAnsi="Arial" w:cs="Arial"/>
          <w:i/>
          <w:color w:val="auto"/>
          <w:sz w:val="20"/>
        </w:rPr>
        <w:t>Education</w:t>
      </w:r>
      <w:r w:rsidR="00C026A6" w:rsidRPr="00EA59C0">
        <w:rPr>
          <w:rFonts w:ascii="Arial" w:hAnsi="Arial" w:cs="Arial"/>
          <w:i/>
          <w:color w:val="auto"/>
          <w:sz w:val="20"/>
        </w:rPr>
        <w:t xml:space="preserve"> </w:t>
      </w:r>
      <w:r w:rsidRPr="00EA59C0">
        <w:rPr>
          <w:rFonts w:ascii="Arial" w:hAnsi="Arial" w:cs="Arial"/>
          <w:i/>
          <w:color w:val="auto"/>
          <w:sz w:val="20"/>
        </w:rPr>
        <w:t>Preview</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NMC</w:t>
      </w:r>
      <w:r w:rsidR="00C026A6" w:rsidRPr="00EA59C0">
        <w:rPr>
          <w:rFonts w:ascii="Arial" w:hAnsi="Arial" w:cs="Arial"/>
          <w:color w:val="auto"/>
          <w:sz w:val="20"/>
        </w:rPr>
        <w:t xml:space="preserve"> </w:t>
      </w:r>
      <w:r w:rsidRPr="00EA59C0">
        <w:rPr>
          <w:rFonts w:ascii="Arial" w:hAnsi="Arial" w:cs="Arial"/>
          <w:color w:val="auto"/>
          <w:sz w:val="20"/>
        </w:rPr>
        <w:t>Horizon</w:t>
      </w:r>
      <w:r w:rsidR="00C026A6" w:rsidRPr="00EA59C0">
        <w:rPr>
          <w:rFonts w:ascii="Arial" w:hAnsi="Arial" w:cs="Arial"/>
          <w:color w:val="auto"/>
          <w:sz w:val="20"/>
        </w:rPr>
        <w:t xml:space="preserve"> </w:t>
      </w:r>
      <w:r w:rsidRPr="00EA59C0">
        <w:rPr>
          <w:rFonts w:ascii="Arial" w:hAnsi="Arial" w:cs="Arial"/>
          <w:color w:val="auto"/>
          <w:sz w:val="20"/>
        </w:rPr>
        <w:t>Project</w:t>
      </w:r>
      <w:r w:rsidR="009A4FDF"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February</w:t>
      </w:r>
      <w:r w:rsidR="00C026A6" w:rsidRPr="00EA59C0">
        <w:rPr>
          <w:rFonts w:ascii="Arial" w:hAnsi="Arial" w:cs="Arial"/>
          <w:color w:val="auto"/>
          <w:sz w:val="20"/>
        </w:rPr>
        <w:t xml:space="preserve"> </w:t>
      </w:r>
      <w:r w:rsidRPr="00EA59C0">
        <w:rPr>
          <w:rFonts w:ascii="Arial" w:hAnsi="Arial" w:cs="Arial"/>
          <w:color w:val="auto"/>
          <w:sz w:val="20"/>
        </w:rPr>
        <w:t>2014</w:t>
      </w:r>
    </w:p>
    <w:p w:rsidR="00B752E6" w:rsidRPr="00EA59C0" w:rsidRDefault="00DF2916" w:rsidP="00B752E6">
      <w:pPr>
        <w:pStyle w:val="Default"/>
        <w:rPr>
          <w:rFonts w:ascii="Arial" w:hAnsi="Arial" w:cs="Arial"/>
          <w:color w:val="auto"/>
          <w:sz w:val="20"/>
        </w:rPr>
      </w:pPr>
      <w:hyperlink r:id="rId324" w:history="1">
        <w:r w:rsidR="009A4FDF" w:rsidRPr="00EA59C0">
          <w:rPr>
            <w:rStyle w:val="Hyperlink"/>
            <w:rFonts w:ascii="Arial" w:hAnsi="Arial" w:cs="Arial"/>
            <w:color w:val="auto"/>
            <w:sz w:val="20"/>
          </w:rPr>
          <w:t>http://www.nmc.org/pdf/2014-horizon-he-preview.pdf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Ruminations</w:t>
      </w:r>
      <w:r w:rsidR="00C026A6" w:rsidRPr="00EA59C0">
        <w:rPr>
          <w:rFonts w:ascii="Arial" w:hAnsi="Arial" w:cs="Arial"/>
          <w:i/>
          <w:color w:val="auto"/>
          <w:sz w:val="20"/>
        </w:rPr>
        <w:t xml:space="preserve"> </w:t>
      </w:r>
      <w:r w:rsidRPr="00EA59C0">
        <w:rPr>
          <w:rFonts w:ascii="Arial" w:hAnsi="Arial" w:cs="Arial"/>
          <w:i/>
          <w:color w:val="auto"/>
          <w:sz w:val="20"/>
        </w:rPr>
        <w:t>on</w:t>
      </w:r>
      <w:r w:rsidR="00C026A6" w:rsidRPr="00EA59C0">
        <w:rPr>
          <w:rFonts w:ascii="Arial" w:hAnsi="Arial" w:cs="Arial"/>
          <w:i/>
          <w:color w:val="auto"/>
          <w:sz w:val="20"/>
        </w:rPr>
        <w:t xml:space="preserve"> </w:t>
      </w:r>
      <w:r w:rsidRPr="00EA59C0">
        <w:rPr>
          <w:rFonts w:ascii="Arial" w:hAnsi="Arial" w:cs="Arial"/>
          <w:i/>
          <w:color w:val="auto"/>
          <w:sz w:val="20"/>
        </w:rPr>
        <w:t>Research</w:t>
      </w:r>
      <w:r w:rsidR="00C026A6" w:rsidRPr="00EA59C0">
        <w:rPr>
          <w:rFonts w:ascii="Arial" w:hAnsi="Arial" w:cs="Arial"/>
          <w:i/>
          <w:color w:val="auto"/>
          <w:sz w:val="20"/>
        </w:rPr>
        <w:t xml:space="preserve"> </w:t>
      </w:r>
      <w:r w:rsidRPr="00EA59C0">
        <w:rPr>
          <w:rFonts w:ascii="Arial" w:hAnsi="Arial" w:cs="Arial"/>
          <w:i/>
          <w:color w:val="auto"/>
          <w:sz w:val="20"/>
        </w:rPr>
        <w:t>on</w:t>
      </w:r>
      <w:r w:rsidR="00C026A6" w:rsidRPr="00EA59C0">
        <w:rPr>
          <w:rFonts w:ascii="Arial" w:hAnsi="Arial" w:cs="Arial"/>
          <w:i/>
          <w:color w:val="auto"/>
          <w:sz w:val="20"/>
        </w:rPr>
        <w:t xml:space="preserve"> </w:t>
      </w:r>
      <w:r w:rsidRPr="00EA59C0">
        <w:rPr>
          <w:rFonts w:ascii="Arial" w:hAnsi="Arial" w:cs="Arial"/>
          <w:i/>
          <w:color w:val="auto"/>
          <w:sz w:val="20"/>
        </w:rPr>
        <w:t>Open</w:t>
      </w:r>
      <w:r w:rsidR="00C026A6" w:rsidRPr="00EA59C0">
        <w:rPr>
          <w:rFonts w:ascii="Arial" w:hAnsi="Arial" w:cs="Arial"/>
          <w:i/>
          <w:color w:val="auto"/>
          <w:sz w:val="20"/>
        </w:rPr>
        <w:t xml:space="preserve"> </w:t>
      </w:r>
      <w:r w:rsidRPr="00EA59C0">
        <w:rPr>
          <w:rFonts w:ascii="Arial" w:hAnsi="Arial" w:cs="Arial"/>
          <w:i/>
          <w:color w:val="auto"/>
          <w:sz w:val="20"/>
        </w:rPr>
        <w:t>Educational</w:t>
      </w:r>
      <w:r w:rsidR="00C026A6" w:rsidRPr="00EA59C0">
        <w:rPr>
          <w:rFonts w:ascii="Arial" w:hAnsi="Arial" w:cs="Arial"/>
          <w:i/>
          <w:color w:val="auto"/>
          <w:sz w:val="20"/>
        </w:rPr>
        <w:t xml:space="preserve"> </w:t>
      </w:r>
      <w:r w:rsidRPr="00EA59C0">
        <w:rPr>
          <w:rFonts w:ascii="Arial" w:hAnsi="Arial" w:cs="Arial"/>
          <w:i/>
          <w:color w:val="auto"/>
          <w:sz w:val="20"/>
        </w:rPr>
        <w:t>Resources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Marshall</w:t>
      </w:r>
      <w:r w:rsidR="00C026A6" w:rsidRPr="00EA59C0">
        <w:rPr>
          <w:rFonts w:ascii="Arial" w:hAnsi="Arial" w:cs="Arial"/>
          <w:color w:val="auto"/>
          <w:sz w:val="20"/>
        </w:rPr>
        <w:t xml:space="preserve"> </w:t>
      </w:r>
      <w:r w:rsidRPr="00EA59C0">
        <w:rPr>
          <w:rFonts w:ascii="Arial" w:hAnsi="Arial" w:cs="Arial"/>
          <w:color w:val="auto"/>
          <w:sz w:val="20"/>
        </w:rPr>
        <w:t>S.</w:t>
      </w:r>
      <w:r w:rsidR="00C026A6" w:rsidRPr="00EA59C0">
        <w:rPr>
          <w:rFonts w:ascii="Arial" w:hAnsi="Arial" w:cs="Arial"/>
          <w:color w:val="auto"/>
          <w:sz w:val="20"/>
        </w:rPr>
        <w:t xml:space="preserve"> </w:t>
      </w:r>
      <w:r w:rsidRPr="00EA59C0">
        <w:rPr>
          <w:rFonts w:ascii="Arial" w:hAnsi="Arial" w:cs="Arial"/>
          <w:color w:val="auto"/>
          <w:sz w:val="20"/>
        </w:rPr>
        <w:t>Smith</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Carnegie</w:t>
      </w:r>
      <w:r w:rsidR="00C026A6" w:rsidRPr="00EA59C0">
        <w:rPr>
          <w:rFonts w:ascii="Arial" w:hAnsi="Arial" w:cs="Arial"/>
          <w:color w:val="auto"/>
          <w:sz w:val="20"/>
        </w:rPr>
        <w:t xml:space="preserve"> </w:t>
      </w:r>
      <w:r w:rsidRPr="00EA59C0">
        <w:rPr>
          <w:rFonts w:ascii="Arial" w:hAnsi="Arial" w:cs="Arial"/>
          <w:color w:val="auto"/>
          <w:sz w:val="20"/>
        </w:rPr>
        <w:t>Foundation</w:t>
      </w:r>
      <w:r w:rsidR="00C026A6" w:rsidRPr="00EA59C0">
        <w:rPr>
          <w:rFonts w:ascii="Arial" w:hAnsi="Arial" w:cs="Arial"/>
          <w:color w:val="auto"/>
          <w:sz w:val="20"/>
        </w:rPr>
        <w:t xml:space="preserve"> </w:t>
      </w:r>
      <w:r w:rsidRPr="00EA59C0">
        <w:rPr>
          <w:rFonts w:ascii="Arial" w:hAnsi="Arial" w:cs="Arial"/>
          <w:color w:val="auto"/>
          <w:sz w:val="20"/>
        </w:rPr>
        <w:t>for</w:t>
      </w:r>
      <w:r w:rsidR="00C026A6" w:rsidRPr="00EA59C0">
        <w:rPr>
          <w:rFonts w:ascii="Arial" w:hAnsi="Arial" w:cs="Arial"/>
          <w:color w:val="auto"/>
          <w:sz w:val="20"/>
        </w:rPr>
        <w:t xml:space="preserve"> </w:t>
      </w: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Advancement</w:t>
      </w:r>
      <w:r w:rsidR="00C026A6" w:rsidRPr="00EA59C0">
        <w:rPr>
          <w:rFonts w:ascii="Arial" w:hAnsi="Arial" w:cs="Arial"/>
          <w:color w:val="auto"/>
          <w:sz w:val="20"/>
        </w:rPr>
        <w:t xml:space="preserve"> </w:t>
      </w:r>
      <w:r w:rsidRPr="00EA59C0">
        <w:rPr>
          <w:rFonts w:ascii="Arial" w:hAnsi="Arial" w:cs="Arial"/>
          <w:color w:val="auto"/>
          <w:sz w:val="20"/>
        </w:rPr>
        <w:t>of</w:t>
      </w:r>
      <w:r w:rsidR="00C026A6" w:rsidRPr="00EA59C0">
        <w:rPr>
          <w:rFonts w:ascii="Arial" w:hAnsi="Arial" w:cs="Arial"/>
          <w:color w:val="auto"/>
          <w:sz w:val="20"/>
        </w:rPr>
        <w:t xml:space="preserve"> </w:t>
      </w:r>
      <w:r w:rsidRPr="00EA59C0">
        <w:rPr>
          <w:rFonts w:ascii="Arial" w:hAnsi="Arial" w:cs="Arial"/>
          <w:color w:val="auto"/>
          <w:sz w:val="20"/>
        </w:rPr>
        <w:t>Teaching.</w:t>
      </w:r>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December</w:t>
      </w:r>
      <w:r w:rsidR="00C026A6" w:rsidRPr="00EA59C0">
        <w:rPr>
          <w:rFonts w:ascii="Arial" w:hAnsi="Arial" w:cs="Arial"/>
          <w:color w:val="auto"/>
          <w:sz w:val="20"/>
        </w:rPr>
        <w:t xml:space="preserve"> </w:t>
      </w:r>
      <w:r w:rsidRPr="00EA59C0">
        <w:rPr>
          <w:rFonts w:ascii="Arial" w:hAnsi="Arial" w:cs="Arial"/>
          <w:color w:val="auto"/>
          <w:sz w:val="20"/>
        </w:rPr>
        <w:t>2013</w:t>
      </w:r>
    </w:p>
    <w:p w:rsidR="00B752E6" w:rsidRPr="00EA59C0" w:rsidRDefault="00DF2916" w:rsidP="00B752E6">
      <w:pPr>
        <w:pStyle w:val="Default"/>
        <w:rPr>
          <w:rFonts w:ascii="Arial" w:hAnsi="Arial" w:cs="Arial"/>
          <w:color w:val="auto"/>
          <w:sz w:val="20"/>
        </w:rPr>
      </w:pPr>
      <w:hyperlink r:id="rId325" w:history="1">
        <w:r w:rsidR="00F6476B" w:rsidRPr="00BB093B">
          <w:rPr>
            <w:rStyle w:val="Hyperlink"/>
            <w:rFonts w:ascii="Arial" w:hAnsi="Arial" w:cs="Arial"/>
            <w:sz w:val="20"/>
          </w:rPr>
          <w:t>http://www.hewlett.org/sites/default/files/OER%20Research%20paper%20December%2015%202013%20Marshall%20Smith_1.pdf</w:t>
        </w:r>
      </w:hyperlink>
      <w:r w:rsidR="00F6476B">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The</w:t>
      </w:r>
      <w:r w:rsidR="00C026A6" w:rsidRPr="00EA59C0">
        <w:rPr>
          <w:rFonts w:ascii="Arial" w:hAnsi="Arial" w:cs="Arial"/>
          <w:i/>
          <w:color w:val="auto"/>
          <w:sz w:val="20"/>
        </w:rPr>
        <w:t xml:space="preserve"> </w:t>
      </w:r>
      <w:r w:rsidRPr="00EA59C0">
        <w:rPr>
          <w:rFonts w:ascii="Arial" w:hAnsi="Arial" w:cs="Arial"/>
          <w:i/>
          <w:color w:val="auto"/>
          <w:sz w:val="20"/>
        </w:rPr>
        <w:t>Potential</w:t>
      </w:r>
      <w:r w:rsidR="00C026A6" w:rsidRPr="00EA59C0">
        <w:rPr>
          <w:rFonts w:ascii="Arial" w:hAnsi="Arial" w:cs="Arial"/>
          <w:i/>
          <w:color w:val="auto"/>
          <w:sz w:val="20"/>
        </w:rPr>
        <w:t xml:space="preserve"> </w:t>
      </w:r>
      <w:r w:rsidRPr="00EA59C0">
        <w:rPr>
          <w:rFonts w:ascii="Arial" w:hAnsi="Arial" w:cs="Arial"/>
          <w:i/>
          <w:color w:val="auto"/>
          <w:sz w:val="20"/>
        </w:rPr>
        <w:t>for</w:t>
      </w:r>
      <w:r w:rsidR="00C026A6" w:rsidRPr="00EA59C0">
        <w:rPr>
          <w:rFonts w:ascii="Arial" w:hAnsi="Arial" w:cs="Arial"/>
          <w:i/>
          <w:color w:val="auto"/>
          <w:sz w:val="20"/>
        </w:rPr>
        <w:t xml:space="preserve"> </w:t>
      </w:r>
      <w:r w:rsidRPr="00EA59C0">
        <w:rPr>
          <w:rFonts w:ascii="Arial" w:hAnsi="Arial" w:cs="Arial"/>
          <w:i/>
          <w:color w:val="auto"/>
          <w:sz w:val="20"/>
        </w:rPr>
        <w:t>Online</w:t>
      </w:r>
      <w:r w:rsidR="00C026A6" w:rsidRPr="00EA59C0">
        <w:rPr>
          <w:rFonts w:ascii="Arial" w:hAnsi="Arial" w:cs="Arial"/>
          <w:i/>
          <w:color w:val="auto"/>
          <w:sz w:val="20"/>
        </w:rPr>
        <w:t xml:space="preserve"> </w:t>
      </w:r>
      <w:r w:rsidRPr="00EA59C0">
        <w:rPr>
          <w:rFonts w:ascii="Arial" w:hAnsi="Arial" w:cs="Arial"/>
          <w:i/>
          <w:color w:val="auto"/>
          <w:sz w:val="20"/>
        </w:rPr>
        <w:t>Learning:</w:t>
      </w:r>
      <w:r w:rsidR="00C026A6" w:rsidRPr="00EA59C0">
        <w:rPr>
          <w:rFonts w:ascii="Arial" w:hAnsi="Arial" w:cs="Arial"/>
          <w:i/>
          <w:color w:val="auto"/>
          <w:sz w:val="20"/>
        </w:rPr>
        <w:t xml:space="preserve"> </w:t>
      </w:r>
      <w:r w:rsidRPr="00EA59C0">
        <w:rPr>
          <w:rFonts w:ascii="Arial" w:hAnsi="Arial" w:cs="Arial"/>
          <w:i/>
          <w:color w:val="auto"/>
          <w:sz w:val="20"/>
        </w:rPr>
        <w:t>Promises</w:t>
      </w:r>
      <w:r w:rsidR="00C026A6" w:rsidRPr="00EA59C0">
        <w:rPr>
          <w:rFonts w:ascii="Arial" w:hAnsi="Arial" w:cs="Arial"/>
          <w:i/>
          <w:color w:val="auto"/>
          <w:sz w:val="20"/>
        </w:rPr>
        <w:t xml:space="preserve"> </w:t>
      </w:r>
      <w:r w:rsidRPr="00EA59C0">
        <w:rPr>
          <w:rFonts w:ascii="Arial" w:hAnsi="Arial" w:cs="Arial"/>
          <w:i/>
          <w:color w:val="auto"/>
          <w:sz w:val="20"/>
        </w:rPr>
        <w:t>and</w:t>
      </w:r>
      <w:r w:rsidR="00C026A6" w:rsidRPr="00EA59C0">
        <w:rPr>
          <w:rFonts w:ascii="Arial" w:hAnsi="Arial" w:cs="Arial"/>
          <w:i/>
          <w:color w:val="auto"/>
          <w:sz w:val="20"/>
        </w:rPr>
        <w:t xml:space="preserve"> </w:t>
      </w:r>
      <w:r w:rsidRPr="00EA59C0">
        <w:rPr>
          <w:rFonts w:ascii="Arial" w:hAnsi="Arial" w:cs="Arial"/>
          <w:i/>
          <w:color w:val="auto"/>
          <w:sz w:val="20"/>
        </w:rPr>
        <w:t>Pitfalls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William</w:t>
      </w:r>
      <w:r w:rsidR="00C026A6" w:rsidRPr="00EA59C0">
        <w:rPr>
          <w:rFonts w:ascii="Arial" w:hAnsi="Arial" w:cs="Arial"/>
          <w:color w:val="auto"/>
          <w:sz w:val="20"/>
        </w:rPr>
        <w:t xml:space="preserve"> </w:t>
      </w:r>
      <w:r w:rsidRPr="00EA59C0">
        <w:rPr>
          <w:rFonts w:ascii="Arial" w:hAnsi="Arial" w:cs="Arial"/>
          <w:color w:val="auto"/>
          <w:sz w:val="20"/>
        </w:rPr>
        <w:t>G.</w:t>
      </w:r>
      <w:r w:rsidR="00C026A6" w:rsidRPr="00EA59C0">
        <w:rPr>
          <w:rFonts w:ascii="Arial" w:hAnsi="Arial" w:cs="Arial"/>
          <w:color w:val="auto"/>
          <w:sz w:val="20"/>
        </w:rPr>
        <w:t xml:space="preserve"> </w:t>
      </w:r>
      <w:r w:rsidRPr="00EA59C0">
        <w:rPr>
          <w:rFonts w:ascii="Arial" w:hAnsi="Arial" w:cs="Arial"/>
          <w:color w:val="auto"/>
          <w:sz w:val="20"/>
        </w:rPr>
        <w:t>Bowen</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EDUCASE</w:t>
      </w:r>
      <w:r w:rsidR="00C026A6" w:rsidRPr="00EA59C0">
        <w:rPr>
          <w:rFonts w:ascii="Arial" w:hAnsi="Arial" w:cs="Arial"/>
          <w:color w:val="auto"/>
          <w:sz w:val="20"/>
        </w:rPr>
        <w:t xml:space="preserve"> </w:t>
      </w:r>
      <w:r w:rsidRPr="00EA59C0">
        <w:rPr>
          <w:rFonts w:ascii="Arial" w:hAnsi="Arial" w:cs="Arial"/>
          <w:color w:val="auto"/>
          <w:sz w:val="20"/>
        </w:rPr>
        <w:t>Review</w:t>
      </w:r>
      <w:r w:rsidR="009A4FDF"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October</w:t>
      </w:r>
      <w:r w:rsidR="00C026A6" w:rsidRPr="00EA59C0">
        <w:rPr>
          <w:rFonts w:ascii="Arial" w:hAnsi="Arial" w:cs="Arial"/>
          <w:color w:val="auto"/>
          <w:sz w:val="20"/>
        </w:rPr>
        <w:t xml:space="preserve"> </w:t>
      </w:r>
      <w:r w:rsidRPr="00EA59C0">
        <w:rPr>
          <w:rFonts w:ascii="Arial" w:hAnsi="Arial" w:cs="Arial"/>
          <w:color w:val="auto"/>
          <w:sz w:val="20"/>
        </w:rPr>
        <w:t>2013</w:t>
      </w:r>
    </w:p>
    <w:p w:rsidR="00B752E6" w:rsidRPr="00EA59C0" w:rsidRDefault="00DF2916" w:rsidP="00B752E6">
      <w:pPr>
        <w:pStyle w:val="Default"/>
        <w:rPr>
          <w:rFonts w:ascii="Arial" w:hAnsi="Arial" w:cs="Arial"/>
          <w:color w:val="auto"/>
          <w:sz w:val="20"/>
        </w:rPr>
      </w:pPr>
      <w:hyperlink r:id="rId326" w:history="1">
        <w:r w:rsidR="009A4FDF" w:rsidRPr="00EA59C0">
          <w:rPr>
            <w:rStyle w:val="Hyperlink"/>
            <w:rFonts w:ascii="Arial" w:hAnsi="Arial" w:cs="Arial"/>
            <w:color w:val="auto"/>
            <w:sz w:val="20"/>
          </w:rPr>
          <w:t>https://net.educause.edu/ir/library/pdf/ERM1351.pdf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Next</w:t>
      </w:r>
      <w:r w:rsidR="00C026A6" w:rsidRPr="00EA59C0">
        <w:rPr>
          <w:rFonts w:ascii="Arial" w:hAnsi="Arial" w:cs="Arial"/>
          <w:i/>
          <w:color w:val="auto"/>
          <w:sz w:val="20"/>
        </w:rPr>
        <w:t xml:space="preserve"> </w:t>
      </w:r>
      <w:r w:rsidRPr="00EA59C0">
        <w:rPr>
          <w:rFonts w:ascii="Arial" w:hAnsi="Arial" w:cs="Arial"/>
          <w:i/>
          <w:color w:val="auto"/>
          <w:sz w:val="20"/>
        </w:rPr>
        <w:t>Generation</w:t>
      </w:r>
      <w:r w:rsidR="00C026A6" w:rsidRPr="00EA59C0">
        <w:rPr>
          <w:rFonts w:ascii="Arial" w:hAnsi="Arial" w:cs="Arial"/>
          <w:i/>
          <w:color w:val="auto"/>
          <w:sz w:val="20"/>
        </w:rPr>
        <w:t xml:space="preserve"> </w:t>
      </w:r>
      <w:r w:rsidRPr="00EA59C0">
        <w:rPr>
          <w:rFonts w:ascii="Arial" w:hAnsi="Arial" w:cs="Arial"/>
          <w:i/>
          <w:color w:val="auto"/>
          <w:sz w:val="20"/>
        </w:rPr>
        <w:t>Learning:</w:t>
      </w:r>
      <w:r w:rsidR="00C026A6" w:rsidRPr="00EA59C0">
        <w:rPr>
          <w:rFonts w:ascii="Arial" w:hAnsi="Arial" w:cs="Arial"/>
          <w:i/>
          <w:color w:val="auto"/>
          <w:sz w:val="20"/>
        </w:rPr>
        <w:t xml:space="preserve"> </w:t>
      </w:r>
      <w:r w:rsidRPr="00EA59C0">
        <w:rPr>
          <w:rFonts w:ascii="Arial" w:hAnsi="Arial" w:cs="Arial"/>
          <w:i/>
          <w:color w:val="auto"/>
          <w:sz w:val="20"/>
        </w:rPr>
        <w:t>The</w:t>
      </w:r>
      <w:r w:rsidR="00C026A6" w:rsidRPr="00EA59C0">
        <w:rPr>
          <w:rFonts w:ascii="Arial" w:hAnsi="Arial" w:cs="Arial"/>
          <w:i/>
          <w:color w:val="auto"/>
          <w:sz w:val="20"/>
        </w:rPr>
        <w:t xml:space="preserve"> </w:t>
      </w:r>
      <w:r w:rsidRPr="00EA59C0">
        <w:rPr>
          <w:rFonts w:ascii="Arial" w:hAnsi="Arial" w:cs="Arial"/>
          <w:i/>
          <w:color w:val="auto"/>
          <w:sz w:val="20"/>
        </w:rPr>
        <w:t>Pathway</w:t>
      </w:r>
      <w:r w:rsidR="00C026A6" w:rsidRPr="00EA59C0">
        <w:rPr>
          <w:rFonts w:ascii="Arial" w:hAnsi="Arial" w:cs="Arial"/>
          <w:i/>
          <w:color w:val="auto"/>
          <w:sz w:val="20"/>
        </w:rPr>
        <w:t xml:space="preserve"> </w:t>
      </w:r>
      <w:r w:rsidRPr="00EA59C0">
        <w:rPr>
          <w:rFonts w:ascii="Arial" w:hAnsi="Arial" w:cs="Arial"/>
          <w:i/>
          <w:color w:val="auto"/>
          <w:sz w:val="20"/>
        </w:rPr>
        <w:t>to</w:t>
      </w:r>
      <w:r w:rsidR="00C026A6" w:rsidRPr="00EA59C0">
        <w:rPr>
          <w:rFonts w:ascii="Arial" w:hAnsi="Arial" w:cs="Arial"/>
          <w:i/>
          <w:color w:val="auto"/>
          <w:sz w:val="20"/>
        </w:rPr>
        <w:t xml:space="preserve"> </w:t>
      </w:r>
      <w:r w:rsidRPr="00EA59C0">
        <w:rPr>
          <w:rFonts w:ascii="Arial" w:hAnsi="Arial" w:cs="Arial"/>
          <w:i/>
          <w:color w:val="auto"/>
          <w:sz w:val="20"/>
        </w:rPr>
        <w:t>Possibility</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Andrew</w:t>
      </w:r>
      <w:r w:rsidR="00C026A6" w:rsidRPr="00EA59C0">
        <w:rPr>
          <w:rFonts w:ascii="Arial" w:hAnsi="Arial" w:cs="Arial"/>
          <w:color w:val="auto"/>
          <w:sz w:val="20"/>
        </w:rPr>
        <w:t xml:space="preserve"> </w:t>
      </w:r>
      <w:r w:rsidRPr="00EA59C0">
        <w:rPr>
          <w:rFonts w:ascii="Arial" w:hAnsi="Arial" w:cs="Arial"/>
          <w:color w:val="auto"/>
          <w:sz w:val="20"/>
        </w:rPr>
        <w:t>Calkins</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Kristen</w:t>
      </w:r>
      <w:r w:rsidR="00C026A6" w:rsidRPr="00EA59C0">
        <w:rPr>
          <w:rFonts w:ascii="Arial" w:hAnsi="Arial" w:cs="Arial"/>
          <w:color w:val="auto"/>
          <w:sz w:val="20"/>
        </w:rPr>
        <w:t xml:space="preserve"> </w:t>
      </w:r>
      <w:r w:rsidRPr="00EA59C0">
        <w:rPr>
          <w:rFonts w:ascii="Arial" w:hAnsi="Arial" w:cs="Arial"/>
          <w:color w:val="auto"/>
          <w:sz w:val="20"/>
        </w:rPr>
        <w:t>Vogt</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Next</w:t>
      </w:r>
      <w:r w:rsidR="00C026A6" w:rsidRPr="00EA59C0">
        <w:rPr>
          <w:rFonts w:ascii="Arial" w:hAnsi="Arial" w:cs="Arial"/>
          <w:color w:val="auto"/>
          <w:sz w:val="20"/>
        </w:rPr>
        <w:t xml:space="preserve"> </w:t>
      </w:r>
      <w:r w:rsidRPr="00EA59C0">
        <w:rPr>
          <w:rFonts w:ascii="Arial" w:hAnsi="Arial" w:cs="Arial"/>
          <w:color w:val="auto"/>
          <w:sz w:val="20"/>
        </w:rPr>
        <w:t>Generation</w:t>
      </w:r>
      <w:r w:rsidR="00C026A6" w:rsidRPr="00EA59C0">
        <w:rPr>
          <w:rFonts w:ascii="Arial" w:hAnsi="Arial" w:cs="Arial"/>
          <w:color w:val="auto"/>
          <w:sz w:val="20"/>
        </w:rPr>
        <w:t xml:space="preserve"> </w:t>
      </w:r>
      <w:r w:rsidRPr="00EA59C0">
        <w:rPr>
          <w:rFonts w:ascii="Arial" w:hAnsi="Arial" w:cs="Arial"/>
          <w:color w:val="auto"/>
          <w:sz w:val="20"/>
        </w:rPr>
        <w:t>Learning</w:t>
      </w:r>
      <w:r w:rsidR="00C026A6" w:rsidRPr="00EA59C0">
        <w:rPr>
          <w:rFonts w:ascii="Arial" w:hAnsi="Arial" w:cs="Arial"/>
          <w:color w:val="auto"/>
          <w:sz w:val="20"/>
        </w:rPr>
        <w:t xml:space="preserve"> </w:t>
      </w:r>
      <w:r w:rsidRPr="00EA59C0">
        <w:rPr>
          <w:rFonts w:ascii="Arial" w:hAnsi="Arial" w:cs="Arial"/>
          <w:color w:val="auto"/>
          <w:sz w:val="20"/>
        </w:rPr>
        <w:t>Challenges</w:t>
      </w:r>
      <w:r w:rsidR="009A4FDF"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April</w:t>
      </w:r>
      <w:r w:rsidR="00C026A6" w:rsidRPr="00EA59C0">
        <w:rPr>
          <w:rFonts w:ascii="Arial" w:hAnsi="Arial" w:cs="Arial"/>
          <w:color w:val="auto"/>
          <w:sz w:val="20"/>
        </w:rPr>
        <w:t xml:space="preserve"> </w:t>
      </w:r>
      <w:r w:rsidRPr="00EA59C0">
        <w:rPr>
          <w:rFonts w:ascii="Arial" w:hAnsi="Arial" w:cs="Arial"/>
          <w:color w:val="auto"/>
          <w:sz w:val="20"/>
        </w:rPr>
        <w:t>2013</w:t>
      </w:r>
    </w:p>
    <w:p w:rsidR="00B752E6" w:rsidRPr="00EA59C0" w:rsidRDefault="00DF2916" w:rsidP="00B752E6">
      <w:pPr>
        <w:pStyle w:val="Default"/>
        <w:rPr>
          <w:rFonts w:ascii="Arial" w:hAnsi="Arial" w:cs="Arial"/>
          <w:color w:val="auto"/>
          <w:sz w:val="20"/>
        </w:rPr>
      </w:pPr>
      <w:hyperlink r:id="rId327" w:history="1">
        <w:r w:rsidR="009A4FDF" w:rsidRPr="00EA59C0">
          <w:rPr>
            <w:rStyle w:val="Hyperlink"/>
            <w:rFonts w:ascii="Arial" w:hAnsi="Arial" w:cs="Arial"/>
            <w:color w:val="auto"/>
            <w:sz w:val="20"/>
          </w:rPr>
          <w:t>http://net.educause.edu/ir/library/pdf/NGW1301.pdf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Current</w:t>
      </w:r>
      <w:r w:rsidR="00C026A6" w:rsidRPr="00EA59C0">
        <w:rPr>
          <w:rFonts w:ascii="Arial" w:hAnsi="Arial" w:cs="Arial"/>
          <w:i/>
          <w:color w:val="auto"/>
          <w:sz w:val="20"/>
        </w:rPr>
        <w:t xml:space="preserve"> </w:t>
      </w:r>
      <w:r w:rsidRPr="00EA59C0">
        <w:rPr>
          <w:rFonts w:ascii="Arial" w:hAnsi="Arial" w:cs="Arial"/>
          <w:i/>
          <w:color w:val="auto"/>
          <w:sz w:val="20"/>
        </w:rPr>
        <w:t>Status</w:t>
      </w:r>
      <w:r w:rsidR="00C026A6" w:rsidRPr="00EA59C0">
        <w:rPr>
          <w:rFonts w:ascii="Arial" w:hAnsi="Arial" w:cs="Arial"/>
          <w:i/>
          <w:color w:val="auto"/>
          <w:sz w:val="20"/>
        </w:rPr>
        <w:t xml:space="preserve"> </w:t>
      </w:r>
      <w:r w:rsidRPr="00EA59C0">
        <w:rPr>
          <w:rFonts w:ascii="Arial" w:hAnsi="Arial" w:cs="Arial"/>
          <w:i/>
          <w:color w:val="auto"/>
          <w:sz w:val="20"/>
        </w:rPr>
        <w:t>of</w:t>
      </w:r>
      <w:r w:rsidR="00C026A6" w:rsidRPr="00EA59C0">
        <w:rPr>
          <w:rFonts w:ascii="Arial" w:hAnsi="Arial" w:cs="Arial"/>
          <w:i/>
          <w:color w:val="auto"/>
          <w:sz w:val="20"/>
        </w:rPr>
        <w:t xml:space="preserve"> </w:t>
      </w:r>
      <w:r w:rsidRPr="00EA59C0">
        <w:rPr>
          <w:rFonts w:ascii="Arial" w:hAnsi="Arial" w:cs="Arial"/>
          <w:i/>
          <w:color w:val="auto"/>
          <w:sz w:val="20"/>
        </w:rPr>
        <w:t>Research</w:t>
      </w:r>
      <w:r w:rsidR="00C026A6" w:rsidRPr="00EA59C0">
        <w:rPr>
          <w:rFonts w:ascii="Arial" w:hAnsi="Arial" w:cs="Arial"/>
          <w:i/>
          <w:color w:val="auto"/>
          <w:sz w:val="20"/>
        </w:rPr>
        <w:t xml:space="preserve"> </w:t>
      </w:r>
      <w:r w:rsidRPr="00EA59C0">
        <w:rPr>
          <w:rFonts w:ascii="Arial" w:hAnsi="Arial" w:cs="Arial"/>
          <w:i/>
          <w:color w:val="auto"/>
          <w:sz w:val="20"/>
        </w:rPr>
        <w:t>on</w:t>
      </w:r>
      <w:r w:rsidR="00C026A6" w:rsidRPr="00EA59C0">
        <w:rPr>
          <w:rFonts w:ascii="Arial" w:hAnsi="Arial" w:cs="Arial"/>
          <w:i/>
          <w:color w:val="auto"/>
          <w:sz w:val="20"/>
        </w:rPr>
        <w:t xml:space="preserve"> </w:t>
      </w:r>
      <w:r w:rsidRPr="00EA59C0">
        <w:rPr>
          <w:rFonts w:ascii="Arial" w:hAnsi="Arial" w:cs="Arial"/>
          <w:i/>
          <w:color w:val="auto"/>
          <w:sz w:val="20"/>
        </w:rPr>
        <w:t>Online</w:t>
      </w:r>
      <w:r w:rsidR="00C026A6" w:rsidRPr="00EA59C0">
        <w:rPr>
          <w:rFonts w:ascii="Arial" w:hAnsi="Arial" w:cs="Arial"/>
          <w:i/>
          <w:color w:val="auto"/>
          <w:sz w:val="20"/>
        </w:rPr>
        <w:t xml:space="preserve"> </w:t>
      </w:r>
      <w:r w:rsidRPr="00EA59C0">
        <w:rPr>
          <w:rFonts w:ascii="Arial" w:hAnsi="Arial" w:cs="Arial"/>
          <w:i/>
          <w:color w:val="auto"/>
          <w:sz w:val="20"/>
        </w:rPr>
        <w:t>Learning</w:t>
      </w:r>
      <w:r w:rsidR="00C026A6" w:rsidRPr="00EA59C0">
        <w:rPr>
          <w:rFonts w:ascii="Arial" w:hAnsi="Arial" w:cs="Arial"/>
          <w:i/>
          <w:color w:val="auto"/>
          <w:sz w:val="20"/>
        </w:rPr>
        <w:t xml:space="preserve"> </w:t>
      </w:r>
      <w:r w:rsidRPr="00EA59C0">
        <w:rPr>
          <w:rFonts w:ascii="Arial" w:hAnsi="Arial" w:cs="Arial"/>
          <w:i/>
          <w:color w:val="auto"/>
          <w:sz w:val="20"/>
        </w:rPr>
        <w:t>in</w:t>
      </w:r>
      <w:r w:rsidR="00C026A6" w:rsidRPr="00EA59C0">
        <w:rPr>
          <w:rFonts w:ascii="Arial" w:hAnsi="Arial" w:cs="Arial"/>
          <w:i/>
          <w:color w:val="auto"/>
          <w:sz w:val="20"/>
        </w:rPr>
        <w:t xml:space="preserve"> </w:t>
      </w:r>
      <w:r w:rsidRPr="00EA59C0">
        <w:rPr>
          <w:rFonts w:ascii="Arial" w:hAnsi="Arial" w:cs="Arial"/>
          <w:i/>
          <w:color w:val="auto"/>
          <w:sz w:val="20"/>
        </w:rPr>
        <w:t>Postsecondary</w:t>
      </w:r>
      <w:r w:rsidR="00C026A6" w:rsidRPr="00EA59C0">
        <w:rPr>
          <w:rFonts w:ascii="Arial" w:hAnsi="Arial" w:cs="Arial"/>
          <w:i/>
          <w:color w:val="auto"/>
          <w:sz w:val="20"/>
        </w:rPr>
        <w:t xml:space="preserve"> </w:t>
      </w:r>
      <w:r w:rsidRPr="00EA59C0">
        <w:rPr>
          <w:rFonts w:ascii="Arial" w:hAnsi="Arial" w:cs="Arial"/>
          <w:i/>
          <w:color w:val="auto"/>
          <w:sz w:val="20"/>
        </w:rPr>
        <w:t>Education</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Kelly</w:t>
      </w:r>
      <w:r w:rsidR="00C026A6" w:rsidRPr="00EA59C0">
        <w:rPr>
          <w:rFonts w:ascii="Arial" w:hAnsi="Arial" w:cs="Arial"/>
          <w:color w:val="auto"/>
          <w:sz w:val="20"/>
        </w:rPr>
        <w:t xml:space="preserve"> </w:t>
      </w:r>
      <w:r w:rsidRPr="00EA59C0">
        <w:rPr>
          <w:rFonts w:ascii="Arial" w:hAnsi="Arial" w:cs="Arial"/>
          <w:color w:val="auto"/>
          <w:sz w:val="20"/>
        </w:rPr>
        <w:t>A.</w:t>
      </w:r>
      <w:r w:rsidR="00C026A6" w:rsidRPr="00EA59C0">
        <w:rPr>
          <w:rFonts w:ascii="Arial" w:hAnsi="Arial" w:cs="Arial"/>
          <w:color w:val="auto"/>
          <w:sz w:val="20"/>
        </w:rPr>
        <w:t xml:space="preserve"> </w:t>
      </w:r>
      <w:r w:rsidRPr="00EA59C0">
        <w:rPr>
          <w:rFonts w:ascii="Arial" w:hAnsi="Arial" w:cs="Arial"/>
          <w:color w:val="auto"/>
          <w:sz w:val="20"/>
        </w:rPr>
        <w:t>Lack</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Ithaka</w:t>
      </w:r>
      <w:r w:rsidR="00C026A6" w:rsidRPr="00EA59C0">
        <w:rPr>
          <w:rFonts w:ascii="Arial" w:hAnsi="Arial" w:cs="Arial"/>
          <w:color w:val="auto"/>
          <w:sz w:val="20"/>
        </w:rPr>
        <w:t xml:space="preserve"> </w:t>
      </w:r>
      <w:r w:rsidRPr="00EA59C0">
        <w:rPr>
          <w:rFonts w:ascii="Arial" w:hAnsi="Arial" w:cs="Arial"/>
          <w:color w:val="auto"/>
          <w:sz w:val="20"/>
        </w:rPr>
        <w:t>S+R</w:t>
      </w:r>
      <w:r w:rsidR="009A4FDF"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March</w:t>
      </w:r>
      <w:r w:rsidR="00C026A6" w:rsidRPr="00EA59C0">
        <w:rPr>
          <w:rFonts w:ascii="Arial" w:hAnsi="Arial" w:cs="Arial"/>
          <w:color w:val="auto"/>
          <w:sz w:val="20"/>
        </w:rPr>
        <w:t xml:space="preserve"> </w:t>
      </w:r>
      <w:r w:rsidRPr="00EA59C0">
        <w:rPr>
          <w:rFonts w:ascii="Arial" w:hAnsi="Arial" w:cs="Arial"/>
          <w:color w:val="auto"/>
          <w:sz w:val="20"/>
        </w:rPr>
        <w:t>2013</w:t>
      </w:r>
    </w:p>
    <w:p w:rsidR="00B752E6" w:rsidRPr="00EA59C0" w:rsidRDefault="00DF2916" w:rsidP="00B752E6">
      <w:pPr>
        <w:pStyle w:val="Default"/>
        <w:rPr>
          <w:rFonts w:ascii="Arial" w:hAnsi="Arial" w:cs="Arial"/>
          <w:color w:val="auto"/>
          <w:sz w:val="20"/>
        </w:rPr>
      </w:pPr>
      <w:hyperlink r:id="rId328" w:history="1">
        <w:r w:rsidR="009A4FDF" w:rsidRPr="00EA59C0">
          <w:rPr>
            <w:rStyle w:val="Hyperlink"/>
            <w:rFonts w:ascii="Arial" w:hAnsi="Arial" w:cs="Arial"/>
            <w:color w:val="auto"/>
            <w:sz w:val="20"/>
          </w:rPr>
          <w:t>http://www.sr.ithaka.org/sites/default/files/reports/ithaka-sr-online-learning-postsecondary-education-may2012.pdf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Interactive</w:t>
      </w:r>
      <w:r w:rsidR="00C026A6" w:rsidRPr="00EA59C0">
        <w:rPr>
          <w:rFonts w:ascii="Arial" w:hAnsi="Arial" w:cs="Arial"/>
          <w:i/>
          <w:color w:val="auto"/>
          <w:sz w:val="20"/>
        </w:rPr>
        <w:t xml:space="preserve"> </w:t>
      </w:r>
      <w:r w:rsidRPr="00EA59C0">
        <w:rPr>
          <w:rFonts w:ascii="Arial" w:hAnsi="Arial" w:cs="Arial"/>
          <w:i/>
          <w:color w:val="auto"/>
          <w:sz w:val="20"/>
        </w:rPr>
        <w:t>Learning</w:t>
      </w:r>
      <w:r w:rsidR="00C026A6" w:rsidRPr="00EA59C0">
        <w:rPr>
          <w:rFonts w:ascii="Arial" w:hAnsi="Arial" w:cs="Arial"/>
          <w:i/>
          <w:color w:val="auto"/>
          <w:sz w:val="20"/>
        </w:rPr>
        <w:t xml:space="preserve"> </w:t>
      </w:r>
      <w:r w:rsidRPr="00EA59C0">
        <w:rPr>
          <w:rFonts w:ascii="Arial" w:hAnsi="Arial" w:cs="Arial"/>
          <w:i/>
          <w:color w:val="auto"/>
          <w:sz w:val="20"/>
        </w:rPr>
        <w:t>Online</w:t>
      </w:r>
      <w:r w:rsidR="00C026A6" w:rsidRPr="00EA59C0">
        <w:rPr>
          <w:rFonts w:ascii="Arial" w:hAnsi="Arial" w:cs="Arial"/>
          <w:i/>
          <w:color w:val="auto"/>
          <w:sz w:val="20"/>
        </w:rPr>
        <w:t xml:space="preserve"> </w:t>
      </w:r>
      <w:r w:rsidRPr="00EA59C0">
        <w:rPr>
          <w:rFonts w:ascii="Arial" w:hAnsi="Arial" w:cs="Arial"/>
          <w:i/>
          <w:color w:val="auto"/>
          <w:sz w:val="20"/>
        </w:rPr>
        <w:t>at</w:t>
      </w:r>
      <w:r w:rsidR="00C026A6" w:rsidRPr="00EA59C0">
        <w:rPr>
          <w:rFonts w:ascii="Arial" w:hAnsi="Arial" w:cs="Arial"/>
          <w:i/>
          <w:color w:val="auto"/>
          <w:sz w:val="20"/>
        </w:rPr>
        <w:t xml:space="preserve"> </w:t>
      </w:r>
      <w:r w:rsidRPr="00EA59C0">
        <w:rPr>
          <w:rFonts w:ascii="Arial" w:hAnsi="Arial" w:cs="Arial"/>
          <w:i/>
          <w:color w:val="auto"/>
          <w:sz w:val="20"/>
        </w:rPr>
        <w:t>Public</w:t>
      </w:r>
      <w:r w:rsidR="00C026A6" w:rsidRPr="00EA59C0">
        <w:rPr>
          <w:rFonts w:ascii="Arial" w:hAnsi="Arial" w:cs="Arial"/>
          <w:i/>
          <w:color w:val="auto"/>
          <w:sz w:val="20"/>
        </w:rPr>
        <w:t xml:space="preserve"> </w:t>
      </w:r>
      <w:r w:rsidRPr="00EA59C0">
        <w:rPr>
          <w:rFonts w:ascii="Arial" w:hAnsi="Arial" w:cs="Arial"/>
          <w:i/>
          <w:color w:val="auto"/>
          <w:sz w:val="20"/>
        </w:rPr>
        <w:t>Universities:</w:t>
      </w:r>
      <w:r w:rsidR="00C026A6" w:rsidRPr="00EA59C0">
        <w:rPr>
          <w:rFonts w:ascii="Arial" w:hAnsi="Arial" w:cs="Arial"/>
          <w:i/>
          <w:color w:val="auto"/>
          <w:sz w:val="20"/>
        </w:rPr>
        <w:t xml:space="preserve"> </w:t>
      </w:r>
      <w:r w:rsidRPr="00EA59C0">
        <w:rPr>
          <w:rFonts w:ascii="Arial" w:hAnsi="Arial" w:cs="Arial"/>
          <w:i/>
          <w:color w:val="auto"/>
          <w:sz w:val="20"/>
        </w:rPr>
        <w:t>Evidence</w:t>
      </w:r>
      <w:r w:rsidR="00C026A6" w:rsidRPr="00EA59C0">
        <w:rPr>
          <w:rFonts w:ascii="Arial" w:hAnsi="Arial" w:cs="Arial"/>
          <w:i/>
          <w:color w:val="auto"/>
          <w:sz w:val="20"/>
        </w:rPr>
        <w:t xml:space="preserve"> </w:t>
      </w:r>
      <w:r w:rsidRPr="00EA59C0">
        <w:rPr>
          <w:rFonts w:ascii="Arial" w:hAnsi="Arial" w:cs="Arial"/>
          <w:i/>
          <w:color w:val="auto"/>
          <w:sz w:val="20"/>
        </w:rPr>
        <w:t>from</w:t>
      </w:r>
      <w:r w:rsidR="00C026A6" w:rsidRPr="00EA59C0">
        <w:rPr>
          <w:rFonts w:ascii="Arial" w:hAnsi="Arial" w:cs="Arial"/>
          <w:i/>
          <w:color w:val="auto"/>
          <w:sz w:val="20"/>
        </w:rPr>
        <w:t xml:space="preserve"> </w:t>
      </w:r>
      <w:r w:rsidRPr="00EA59C0">
        <w:rPr>
          <w:rFonts w:ascii="Arial" w:hAnsi="Arial" w:cs="Arial"/>
          <w:i/>
          <w:color w:val="auto"/>
          <w:sz w:val="20"/>
        </w:rPr>
        <w:t>Randomized</w:t>
      </w:r>
      <w:r w:rsidR="00C026A6" w:rsidRPr="00EA59C0">
        <w:rPr>
          <w:rFonts w:ascii="Arial" w:hAnsi="Arial" w:cs="Arial"/>
          <w:i/>
          <w:color w:val="auto"/>
          <w:sz w:val="20"/>
        </w:rPr>
        <w:t xml:space="preserve"> </w:t>
      </w:r>
      <w:r w:rsidRPr="00EA59C0">
        <w:rPr>
          <w:rFonts w:ascii="Arial" w:hAnsi="Arial" w:cs="Arial"/>
          <w:i/>
          <w:color w:val="auto"/>
          <w:sz w:val="20"/>
        </w:rPr>
        <w:t>Trials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William</w:t>
      </w:r>
      <w:r w:rsidR="00C026A6" w:rsidRPr="00EA59C0">
        <w:rPr>
          <w:rFonts w:ascii="Arial" w:hAnsi="Arial" w:cs="Arial"/>
          <w:color w:val="auto"/>
          <w:sz w:val="20"/>
        </w:rPr>
        <w:t xml:space="preserve"> </w:t>
      </w:r>
      <w:r w:rsidRPr="00EA59C0">
        <w:rPr>
          <w:rFonts w:ascii="Arial" w:hAnsi="Arial" w:cs="Arial"/>
          <w:color w:val="auto"/>
          <w:sz w:val="20"/>
        </w:rPr>
        <w:t>G.</w:t>
      </w:r>
      <w:r w:rsidR="00C026A6" w:rsidRPr="00EA59C0">
        <w:rPr>
          <w:rFonts w:ascii="Arial" w:hAnsi="Arial" w:cs="Arial"/>
          <w:color w:val="auto"/>
          <w:sz w:val="20"/>
        </w:rPr>
        <w:t xml:space="preserve"> </w:t>
      </w:r>
      <w:r w:rsidRPr="00EA59C0">
        <w:rPr>
          <w:rFonts w:ascii="Arial" w:hAnsi="Arial" w:cs="Arial"/>
          <w:color w:val="auto"/>
          <w:sz w:val="20"/>
        </w:rPr>
        <w:t>Bowen,</w:t>
      </w:r>
      <w:r w:rsidR="00C026A6" w:rsidRPr="00EA59C0">
        <w:rPr>
          <w:rFonts w:ascii="Arial" w:hAnsi="Arial" w:cs="Arial"/>
          <w:color w:val="auto"/>
          <w:sz w:val="20"/>
        </w:rPr>
        <w:t xml:space="preserve"> </w:t>
      </w:r>
      <w:r w:rsidRPr="00EA59C0">
        <w:rPr>
          <w:rFonts w:ascii="Arial" w:hAnsi="Arial" w:cs="Arial"/>
          <w:color w:val="auto"/>
          <w:sz w:val="20"/>
        </w:rPr>
        <w:t>Matthew</w:t>
      </w:r>
      <w:r w:rsidR="00C026A6" w:rsidRPr="00EA59C0">
        <w:rPr>
          <w:rFonts w:ascii="Arial" w:hAnsi="Arial" w:cs="Arial"/>
          <w:color w:val="auto"/>
          <w:sz w:val="20"/>
        </w:rPr>
        <w:t xml:space="preserve"> </w:t>
      </w:r>
      <w:r w:rsidRPr="00EA59C0">
        <w:rPr>
          <w:rFonts w:ascii="Arial" w:hAnsi="Arial" w:cs="Arial"/>
          <w:color w:val="auto"/>
          <w:sz w:val="20"/>
        </w:rPr>
        <w:t>M.</w:t>
      </w:r>
      <w:r w:rsidR="00C026A6" w:rsidRPr="00EA59C0">
        <w:rPr>
          <w:rFonts w:ascii="Arial" w:hAnsi="Arial" w:cs="Arial"/>
          <w:color w:val="auto"/>
          <w:sz w:val="20"/>
        </w:rPr>
        <w:t xml:space="preserve"> </w:t>
      </w:r>
      <w:r w:rsidRPr="00EA59C0">
        <w:rPr>
          <w:rFonts w:ascii="Arial" w:hAnsi="Arial" w:cs="Arial"/>
          <w:color w:val="auto"/>
          <w:sz w:val="20"/>
        </w:rPr>
        <w:t>Chingos,</w:t>
      </w:r>
      <w:r w:rsidR="00C026A6" w:rsidRPr="00EA59C0">
        <w:rPr>
          <w:rFonts w:ascii="Arial" w:hAnsi="Arial" w:cs="Arial"/>
          <w:color w:val="auto"/>
          <w:sz w:val="20"/>
        </w:rPr>
        <w:t xml:space="preserve"> </w:t>
      </w:r>
      <w:r w:rsidRPr="00EA59C0">
        <w:rPr>
          <w:rFonts w:ascii="Arial" w:hAnsi="Arial" w:cs="Arial"/>
          <w:color w:val="auto"/>
          <w:sz w:val="20"/>
        </w:rPr>
        <w:t>Kelly</w:t>
      </w:r>
      <w:r w:rsidR="00C026A6" w:rsidRPr="00EA59C0">
        <w:rPr>
          <w:rFonts w:ascii="Arial" w:hAnsi="Arial" w:cs="Arial"/>
          <w:color w:val="auto"/>
          <w:sz w:val="20"/>
        </w:rPr>
        <w:t xml:space="preserve"> </w:t>
      </w:r>
      <w:r w:rsidRPr="00EA59C0">
        <w:rPr>
          <w:rFonts w:ascii="Arial" w:hAnsi="Arial" w:cs="Arial"/>
          <w:color w:val="auto"/>
          <w:sz w:val="20"/>
        </w:rPr>
        <w:t>A.</w:t>
      </w:r>
      <w:r w:rsidR="00C026A6" w:rsidRPr="00EA59C0">
        <w:rPr>
          <w:rFonts w:ascii="Arial" w:hAnsi="Arial" w:cs="Arial"/>
          <w:color w:val="auto"/>
          <w:sz w:val="20"/>
        </w:rPr>
        <w:t xml:space="preserve"> </w:t>
      </w:r>
      <w:r w:rsidRPr="00EA59C0">
        <w:rPr>
          <w:rFonts w:ascii="Arial" w:hAnsi="Arial" w:cs="Arial"/>
          <w:color w:val="auto"/>
          <w:sz w:val="20"/>
        </w:rPr>
        <w:t>Lack,</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Thomas</w:t>
      </w:r>
      <w:r w:rsidR="00C026A6" w:rsidRPr="00EA59C0">
        <w:rPr>
          <w:rFonts w:ascii="Arial" w:hAnsi="Arial" w:cs="Arial"/>
          <w:color w:val="auto"/>
          <w:sz w:val="20"/>
        </w:rPr>
        <w:t xml:space="preserve"> </w:t>
      </w:r>
      <w:r w:rsidRPr="00EA59C0">
        <w:rPr>
          <w:rFonts w:ascii="Arial" w:hAnsi="Arial" w:cs="Arial"/>
          <w:color w:val="auto"/>
          <w:sz w:val="20"/>
        </w:rPr>
        <w:t>I.</w:t>
      </w:r>
      <w:r w:rsidR="00C026A6" w:rsidRPr="00EA59C0">
        <w:rPr>
          <w:rFonts w:ascii="Arial" w:hAnsi="Arial" w:cs="Arial"/>
          <w:color w:val="auto"/>
          <w:sz w:val="20"/>
        </w:rPr>
        <w:t xml:space="preserve"> </w:t>
      </w:r>
      <w:r w:rsidRPr="00EA59C0">
        <w:rPr>
          <w:rFonts w:ascii="Arial" w:hAnsi="Arial" w:cs="Arial"/>
          <w:color w:val="auto"/>
          <w:sz w:val="20"/>
        </w:rPr>
        <w:t>Nygren</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Ithaka</w:t>
      </w:r>
      <w:r w:rsidR="00C026A6" w:rsidRPr="00EA59C0">
        <w:rPr>
          <w:rFonts w:ascii="Arial" w:hAnsi="Arial" w:cs="Arial"/>
          <w:color w:val="auto"/>
          <w:sz w:val="20"/>
        </w:rPr>
        <w:t xml:space="preserve"> </w:t>
      </w:r>
      <w:r w:rsidRPr="00EA59C0">
        <w:rPr>
          <w:rFonts w:ascii="Arial" w:hAnsi="Arial" w:cs="Arial"/>
          <w:color w:val="auto"/>
          <w:sz w:val="20"/>
        </w:rPr>
        <w:t>S+R</w:t>
      </w:r>
      <w:r w:rsidR="009A4FDF"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May</w:t>
      </w:r>
      <w:r w:rsidR="00C026A6" w:rsidRPr="00EA59C0">
        <w:rPr>
          <w:rFonts w:ascii="Arial" w:hAnsi="Arial" w:cs="Arial"/>
          <w:color w:val="auto"/>
          <w:sz w:val="20"/>
        </w:rPr>
        <w:t xml:space="preserve"> </w:t>
      </w:r>
      <w:r w:rsidRPr="00EA59C0">
        <w:rPr>
          <w:rFonts w:ascii="Arial" w:hAnsi="Arial" w:cs="Arial"/>
          <w:color w:val="auto"/>
          <w:sz w:val="20"/>
        </w:rPr>
        <w:t>2012</w:t>
      </w:r>
    </w:p>
    <w:p w:rsidR="00B752E6" w:rsidRPr="00EA59C0" w:rsidRDefault="00DF2916" w:rsidP="00B752E6">
      <w:pPr>
        <w:pStyle w:val="Default"/>
        <w:rPr>
          <w:rFonts w:ascii="Arial" w:hAnsi="Arial" w:cs="Arial"/>
          <w:color w:val="auto"/>
          <w:sz w:val="20"/>
        </w:rPr>
      </w:pPr>
      <w:hyperlink r:id="rId329" w:history="1">
        <w:r w:rsidR="009A4FDF" w:rsidRPr="00EA59C0">
          <w:rPr>
            <w:rStyle w:val="Hyperlink"/>
            <w:rFonts w:ascii="Arial" w:hAnsi="Arial" w:cs="Arial"/>
            <w:color w:val="auto"/>
            <w:sz w:val="20"/>
          </w:rPr>
          <w:t>http://www.sr.ithaka.org/research-publications/interactive-learning-online-public-universities-evidence-randomized-trials</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Why</w:t>
      </w:r>
      <w:r w:rsidR="00C026A6" w:rsidRPr="00EA59C0">
        <w:rPr>
          <w:rFonts w:ascii="Arial" w:hAnsi="Arial" w:cs="Arial"/>
          <w:i/>
          <w:color w:val="auto"/>
          <w:sz w:val="20"/>
        </w:rPr>
        <w:t xml:space="preserve"> </w:t>
      </w:r>
      <w:r w:rsidRPr="00EA59C0">
        <w:rPr>
          <w:rFonts w:ascii="Arial" w:hAnsi="Arial" w:cs="Arial"/>
          <w:i/>
          <w:color w:val="auto"/>
          <w:sz w:val="20"/>
        </w:rPr>
        <w:t>Openness</w:t>
      </w:r>
      <w:r w:rsidR="00C026A6" w:rsidRPr="00EA59C0">
        <w:rPr>
          <w:rFonts w:ascii="Arial" w:hAnsi="Arial" w:cs="Arial"/>
          <w:i/>
          <w:color w:val="auto"/>
          <w:sz w:val="20"/>
        </w:rPr>
        <w:t xml:space="preserve"> </w:t>
      </w:r>
      <w:r w:rsidRPr="00EA59C0">
        <w:rPr>
          <w:rFonts w:ascii="Arial" w:hAnsi="Arial" w:cs="Arial"/>
          <w:i/>
          <w:color w:val="auto"/>
          <w:sz w:val="20"/>
        </w:rPr>
        <w:t>in</w:t>
      </w:r>
      <w:r w:rsidR="00C026A6" w:rsidRPr="00EA59C0">
        <w:rPr>
          <w:rFonts w:ascii="Arial" w:hAnsi="Arial" w:cs="Arial"/>
          <w:i/>
          <w:color w:val="auto"/>
          <w:sz w:val="20"/>
        </w:rPr>
        <w:t xml:space="preserve"> </w:t>
      </w:r>
      <w:r w:rsidRPr="00EA59C0">
        <w:rPr>
          <w:rFonts w:ascii="Arial" w:hAnsi="Arial" w:cs="Arial"/>
          <w:i/>
          <w:color w:val="auto"/>
          <w:sz w:val="20"/>
        </w:rPr>
        <w:t>Education?</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David</w:t>
      </w:r>
      <w:r w:rsidR="00C026A6" w:rsidRPr="00EA59C0">
        <w:rPr>
          <w:rFonts w:ascii="Arial" w:hAnsi="Arial" w:cs="Arial"/>
          <w:color w:val="auto"/>
          <w:sz w:val="20"/>
        </w:rPr>
        <w:t xml:space="preserve"> </w:t>
      </w:r>
      <w:r w:rsidRPr="00EA59C0">
        <w:rPr>
          <w:rFonts w:ascii="Arial" w:hAnsi="Arial" w:cs="Arial"/>
          <w:color w:val="auto"/>
          <w:sz w:val="20"/>
        </w:rPr>
        <w:t>Wiley</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Cable</w:t>
      </w:r>
      <w:r w:rsidR="00C026A6" w:rsidRPr="00EA59C0">
        <w:rPr>
          <w:rFonts w:ascii="Arial" w:hAnsi="Arial" w:cs="Arial"/>
          <w:color w:val="auto"/>
          <w:sz w:val="20"/>
        </w:rPr>
        <w:t xml:space="preserve"> </w:t>
      </w:r>
      <w:r w:rsidRPr="00EA59C0">
        <w:rPr>
          <w:rFonts w:ascii="Arial" w:hAnsi="Arial" w:cs="Arial"/>
          <w:color w:val="auto"/>
          <w:sz w:val="20"/>
        </w:rPr>
        <w:t>Green</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Chapter</w:t>
      </w:r>
      <w:r w:rsidR="00C026A6" w:rsidRPr="00EA59C0">
        <w:rPr>
          <w:rFonts w:ascii="Arial" w:hAnsi="Arial" w:cs="Arial"/>
          <w:color w:val="auto"/>
          <w:sz w:val="20"/>
        </w:rPr>
        <w:t xml:space="preserve"> </w:t>
      </w:r>
      <w:r w:rsidRPr="00EA59C0">
        <w:rPr>
          <w:rFonts w:ascii="Arial" w:hAnsi="Arial" w:cs="Arial"/>
          <w:color w:val="auto"/>
          <w:sz w:val="20"/>
        </w:rPr>
        <w:t>6</w:t>
      </w:r>
      <w:r w:rsidR="00C026A6" w:rsidRPr="00EA59C0">
        <w:rPr>
          <w:rFonts w:ascii="Arial" w:hAnsi="Arial" w:cs="Arial"/>
          <w:color w:val="auto"/>
          <w:sz w:val="20"/>
        </w:rPr>
        <w:t xml:space="preserve"> </w:t>
      </w:r>
      <w:r w:rsidRPr="00EA59C0">
        <w:rPr>
          <w:rFonts w:ascii="Arial" w:hAnsi="Arial" w:cs="Arial"/>
          <w:color w:val="auto"/>
          <w:sz w:val="20"/>
        </w:rPr>
        <w:t>in:</w:t>
      </w:r>
      <w:r w:rsidR="00C026A6" w:rsidRPr="00EA59C0">
        <w:rPr>
          <w:rFonts w:ascii="Arial" w:hAnsi="Arial" w:cs="Arial"/>
          <w:color w:val="auto"/>
          <w:sz w:val="20"/>
        </w:rPr>
        <w:t xml:space="preserve"> </w:t>
      </w:r>
      <w:r w:rsidRPr="00EA59C0">
        <w:rPr>
          <w:rFonts w:ascii="Arial" w:hAnsi="Arial" w:cs="Arial"/>
          <w:color w:val="auto"/>
          <w:sz w:val="20"/>
        </w:rPr>
        <w:t>Game</w:t>
      </w:r>
      <w:r w:rsidR="00C026A6" w:rsidRPr="00EA59C0">
        <w:rPr>
          <w:rFonts w:ascii="Arial" w:hAnsi="Arial" w:cs="Arial"/>
          <w:color w:val="auto"/>
          <w:sz w:val="20"/>
        </w:rPr>
        <w:t xml:space="preserve"> </w:t>
      </w:r>
      <w:r w:rsidRPr="00EA59C0">
        <w:rPr>
          <w:rFonts w:ascii="Arial" w:hAnsi="Arial" w:cs="Arial"/>
          <w:color w:val="auto"/>
          <w:sz w:val="20"/>
        </w:rPr>
        <w:t>Changers:</w:t>
      </w:r>
      <w:r w:rsidR="00C026A6" w:rsidRPr="00EA59C0">
        <w:rPr>
          <w:rFonts w:ascii="Arial" w:hAnsi="Arial" w:cs="Arial"/>
          <w:color w:val="auto"/>
          <w:sz w:val="20"/>
        </w:rPr>
        <w:t xml:space="preserve"> </w:t>
      </w:r>
      <w:r w:rsidRPr="00EA59C0">
        <w:rPr>
          <w:rFonts w:ascii="Arial" w:hAnsi="Arial" w:cs="Arial"/>
          <w:color w:val="auto"/>
          <w:sz w:val="20"/>
        </w:rPr>
        <w:t>Education</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Information</w:t>
      </w:r>
      <w:r w:rsidR="00C026A6" w:rsidRPr="00EA59C0">
        <w:rPr>
          <w:rFonts w:ascii="Arial" w:hAnsi="Arial" w:cs="Arial"/>
          <w:color w:val="auto"/>
          <w:sz w:val="20"/>
        </w:rPr>
        <w:t xml:space="preserve"> </w:t>
      </w:r>
      <w:r w:rsidRPr="00EA59C0">
        <w:rPr>
          <w:rFonts w:ascii="Arial" w:hAnsi="Arial" w:cs="Arial"/>
          <w:color w:val="auto"/>
          <w:sz w:val="20"/>
        </w:rPr>
        <w:t>Technologies,</w:t>
      </w:r>
      <w:r w:rsidR="00C026A6" w:rsidRPr="00EA59C0">
        <w:rPr>
          <w:rFonts w:ascii="Arial" w:hAnsi="Arial" w:cs="Arial"/>
          <w:color w:val="auto"/>
          <w:sz w:val="20"/>
        </w:rPr>
        <w:t xml:space="preserve"> </w:t>
      </w:r>
      <w:r w:rsidRPr="00EA59C0">
        <w:rPr>
          <w:rFonts w:ascii="Arial" w:hAnsi="Arial" w:cs="Arial"/>
          <w:color w:val="auto"/>
          <w:sz w:val="20"/>
        </w:rPr>
        <w:t>Edited</w:t>
      </w:r>
      <w:r w:rsidR="00C026A6" w:rsidRPr="00EA59C0">
        <w:rPr>
          <w:rFonts w:ascii="Arial" w:hAnsi="Arial" w:cs="Arial"/>
          <w:color w:val="auto"/>
          <w:sz w:val="20"/>
        </w:rPr>
        <w:t xml:space="preserve"> </w:t>
      </w:r>
      <w:r w:rsidRPr="00EA59C0">
        <w:rPr>
          <w:rFonts w:ascii="Arial" w:hAnsi="Arial" w:cs="Arial"/>
          <w:color w:val="auto"/>
          <w:sz w:val="20"/>
        </w:rPr>
        <w:t>by</w:t>
      </w:r>
      <w:r w:rsidR="00C026A6" w:rsidRPr="00EA59C0">
        <w:rPr>
          <w:rFonts w:ascii="Arial" w:hAnsi="Arial" w:cs="Arial"/>
          <w:color w:val="auto"/>
          <w:sz w:val="20"/>
        </w:rPr>
        <w:t xml:space="preserve"> </w:t>
      </w:r>
      <w:r w:rsidRPr="00EA59C0">
        <w:rPr>
          <w:rFonts w:ascii="Arial" w:hAnsi="Arial" w:cs="Arial"/>
          <w:color w:val="auto"/>
          <w:sz w:val="20"/>
        </w:rPr>
        <w:t>Diana</w:t>
      </w:r>
      <w:r w:rsidR="00C026A6" w:rsidRPr="00EA59C0">
        <w:rPr>
          <w:rFonts w:ascii="Arial" w:hAnsi="Arial" w:cs="Arial"/>
          <w:color w:val="auto"/>
          <w:sz w:val="20"/>
        </w:rPr>
        <w:t xml:space="preserve"> </w:t>
      </w:r>
      <w:r w:rsidRPr="00EA59C0">
        <w:rPr>
          <w:rFonts w:ascii="Arial" w:hAnsi="Arial" w:cs="Arial"/>
          <w:color w:val="auto"/>
          <w:sz w:val="20"/>
        </w:rPr>
        <w:t>G.</w:t>
      </w:r>
      <w:r w:rsidR="00C026A6" w:rsidRPr="00EA59C0">
        <w:rPr>
          <w:rFonts w:ascii="Arial" w:hAnsi="Arial" w:cs="Arial"/>
          <w:color w:val="auto"/>
          <w:sz w:val="20"/>
        </w:rPr>
        <w:t xml:space="preserve"> </w:t>
      </w:r>
      <w:r w:rsidRPr="00EA59C0">
        <w:rPr>
          <w:rFonts w:ascii="Arial" w:hAnsi="Arial" w:cs="Arial"/>
          <w:color w:val="auto"/>
          <w:sz w:val="20"/>
        </w:rPr>
        <w:t>Oblinger,</w:t>
      </w:r>
      <w:r w:rsidR="00C026A6" w:rsidRPr="00EA59C0">
        <w:rPr>
          <w:rFonts w:ascii="Arial" w:hAnsi="Arial" w:cs="Arial"/>
          <w:color w:val="auto"/>
          <w:sz w:val="20"/>
        </w:rPr>
        <w:t xml:space="preserve"> </w:t>
      </w:r>
      <w:r w:rsidRPr="00EA59C0">
        <w:rPr>
          <w:rFonts w:ascii="Arial" w:hAnsi="Arial" w:cs="Arial"/>
          <w:color w:val="auto"/>
          <w:sz w:val="20"/>
        </w:rPr>
        <w:t>Educause</w:t>
      </w:r>
      <w:r w:rsidR="009A4FDF"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April</w:t>
      </w:r>
      <w:r w:rsidR="00C026A6" w:rsidRPr="00EA59C0">
        <w:rPr>
          <w:rFonts w:ascii="Arial" w:hAnsi="Arial" w:cs="Arial"/>
          <w:color w:val="auto"/>
          <w:sz w:val="20"/>
        </w:rPr>
        <w:t xml:space="preserve"> </w:t>
      </w:r>
      <w:r w:rsidRPr="00EA59C0">
        <w:rPr>
          <w:rFonts w:ascii="Arial" w:hAnsi="Arial" w:cs="Arial"/>
          <w:color w:val="auto"/>
          <w:sz w:val="20"/>
        </w:rPr>
        <w:t>2012</w:t>
      </w:r>
    </w:p>
    <w:p w:rsidR="00B752E6" w:rsidRPr="00EA59C0" w:rsidRDefault="00DF2916" w:rsidP="00B752E6">
      <w:pPr>
        <w:pStyle w:val="Default"/>
        <w:rPr>
          <w:rFonts w:ascii="Arial" w:hAnsi="Arial" w:cs="Arial"/>
          <w:color w:val="auto"/>
          <w:sz w:val="20"/>
        </w:rPr>
      </w:pPr>
      <w:hyperlink r:id="rId330" w:history="1">
        <w:r w:rsidR="009A4FDF" w:rsidRPr="00EA59C0">
          <w:rPr>
            <w:rStyle w:val="Hyperlink"/>
            <w:rFonts w:ascii="Arial" w:hAnsi="Arial" w:cs="Arial"/>
            <w:color w:val="auto"/>
            <w:sz w:val="20"/>
          </w:rPr>
          <w:t>http://www.educause.edu/research-publications/books/game-changers-education-and-information-technologies</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Knowledge</w:t>
      </w:r>
      <w:r w:rsidR="00C026A6" w:rsidRPr="00EA59C0">
        <w:rPr>
          <w:rFonts w:ascii="Arial" w:hAnsi="Arial" w:cs="Arial"/>
          <w:i/>
          <w:color w:val="auto"/>
          <w:sz w:val="20"/>
        </w:rPr>
        <w:t xml:space="preserve"> </w:t>
      </w:r>
      <w:r w:rsidRPr="00EA59C0">
        <w:rPr>
          <w:rFonts w:ascii="Arial" w:hAnsi="Arial" w:cs="Arial"/>
          <w:i/>
          <w:color w:val="auto"/>
          <w:sz w:val="20"/>
        </w:rPr>
        <w:t>Sharing</w:t>
      </w:r>
      <w:r w:rsidR="00C026A6" w:rsidRPr="00EA59C0">
        <w:rPr>
          <w:rFonts w:ascii="Arial" w:hAnsi="Arial" w:cs="Arial"/>
          <w:i/>
          <w:color w:val="auto"/>
          <w:sz w:val="20"/>
        </w:rPr>
        <w:t xml:space="preserve"> </w:t>
      </w:r>
      <w:r w:rsidRPr="00EA59C0">
        <w:rPr>
          <w:rFonts w:ascii="Arial" w:hAnsi="Arial" w:cs="Arial"/>
          <w:i/>
          <w:color w:val="auto"/>
          <w:sz w:val="20"/>
        </w:rPr>
        <w:t>and</w:t>
      </w:r>
      <w:r w:rsidR="00C026A6" w:rsidRPr="00EA59C0">
        <w:rPr>
          <w:rFonts w:ascii="Arial" w:hAnsi="Arial" w:cs="Arial"/>
          <w:i/>
          <w:color w:val="auto"/>
          <w:sz w:val="20"/>
        </w:rPr>
        <w:t xml:space="preserve"> </w:t>
      </w:r>
      <w:r w:rsidRPr="00EA59C0">
        <w:rPr>
          <w:rFonts w:ascii="Arial" w:hAnsi="Arial" w:cs="Arial"/>
          <w:i/>
          <w:color w:val="auto"/>
          <w:sz w:val="20"/>
        </w:rPr>
        <w:t>Collaboration</w:t>
      </w:r>
      <w:r w:rsidR="00C026A6" w:rsidRPr="00EA59C0">
        <w:rPr>
          <w:rFonts w:ascii="Arial" w:hAnsi="Arial" w:cs="Arial"/>
          <w:i/>
          <w:color w:val="auto"/>
          <w:sz w:val="20"/>
        </w:rPr>
        <w:t xml:space="preserve"> </w:t>
      </w:r>
      <w:r w:rsidRPr="00EA59C0">
        <w:rPr>
          <w:rFonts w:ascii="Arial" w:hAnsi="Arial" w:cs="Arial"/>
          <w:i/>
          <w:color w:val="auto"/>
          <w:sz w:val="20"/>
        </w:rPr>
        <w:t>as</w:t>
      </w:r>
      <w:r w:rsidR="00C026A6" w:rsidRPr="00EA59C0">
        <w:rPr>
          <w:rFonts w:ascii="Arial" w:hAnsi="Arial" w:cs="Arial"/>
          <w:i/>
          <w:color w:val="auto"/>
          <w:sz w:val="20"/>
        </w:rPr>
        <w:t xml:space="preserve"> </w:t>
      </w:r>
      <w:r w:rsidRPr="00EA59C0">
        <w:rPr>
          <w:rFonts w:ascii="Arial" w:hAnsi="Arial" w:cs="Arial"/>
          <w:i/>
          <w:color w:val="auto"/>
          <w:sz w:val="20"/>
        </w:rPr>
        <w:t>Indicators</w:t>
      </w:r>
      <w:r w:rsidR="00C026A6" w:rsidRPr="00EA59C0">
        <w:rPr>
          <w:rFonts w:ascii="Arial" w:hAnsi="Arial" w:cs="Arial"/>
          <w:i/>
          <w:color w:val="auto"/>
          <w:sz w:val="20"/>
        </w:rPr>
        <w:t xml:space="preserve"> </w:t>
      </w:r>
      <w:r w:rsidRPr="00EA59C0">
        <w:rPr>
          <w:rFonts w:ascii="Arial" w:hAnsi="Arial" w:cs="Arial"/>
          <w:i/>
          <w:color w:val="auto"/>
          <w:sz w:val="20"/>
        </w:rPr>
        <w:t>of</w:t>
      </w:r>
      <w:r w:rsidR="00C026A6" w:rsidRPr="00EA59C0">
        <w:rPr>
          <w:rFonts w:ascii="Arial" w:hAnsi="Arial" w:cs="Arial"/>
          <w:i/>
          <w:color w:val="auto"/>
          <w:sz w:val="20"/>
        </w:rPr>
        <w:t xml:space="preserve"> </w:t>
      </w:r>
      <w:r w:rsidRPr="00EA59C0">
        <w:rPr>
          <w:rFonts w:ascii="Arial" w:hAnsi="Arial" w:cs="Arial"/>
          <w:i/>
          <w:color w:val="auto"/>
          <w:sz w:val="20"/>
        </w:rPr>
        <w:t>Learning</w:t>
      </w:r>
      <w:r w:rsidR="00C026A6" w:rsidRPr="00EA59C0">
        <w:rPr>
          <w:rFonts w:ascii="Arial" w:hAnsi="Arial" w:cs="Arial"/>
          <w:i/>
          <w:color w:val="auto"/>
          <w:sz w:val="20"/>
        </w:rPr>
        <w:t xml:space="preserve"> </w:t>
      </w:r>
      <w:r w:rsidRPr="00EA59C0">
        <w:rPr>
          <w:rFonts w:ascii="Arial" w:hAnsi="Arial" w:cs="Arial"/>
          <w:i/>
          <w:color w:val="auto"/>
          <w:sz w:val="20"/>
        </w:rPr>
        <w:t>in</w:t>
      </w:r>
      <w:r w:rsidR="00C026A6" w:rsidRPr="00EA59C0">
        <w:rPr>
          <w:rFonts w:ascii="Arial" w:hAnsi="Arial" w:cs="Arial"/>
          <w:i/>
          <w:color w:val="auto"/>
          <w:sz w:val="20"/>
        </w:rPr>
        <w:t xml:space="preserve"> </w:t>
      </w:r>
      <w:r w:rsidRPr="00EA59C0">
        <w:rPr>
          <w:rFonts w:ascii="Arial" w:hAnsi="Arial" w:cs="Arial"/>
          <w:i/>
          <w:color w:val="auto"/>
          <w:sz w:val="20"/>
        </w:rPr>
        <w:t>OER</w:t>
      </w:r>
      <w:r w:rsidR="00C026A6" w:rsidRPr="00EA59C0">
        <w:rPr>
          <w:rFonts w:ascii="Arial" w:hAnsi="Arial" w:cs="Arial"/>
          <w:i/>
          <w:color w:val="auto"/>
          <w:sz w:val="20"/>
        </w:rPr>
        <w:t xml:space="preserve"> </w:t>
      </w:r>
      <w:r w:rsidRPr="00EA59C0">
        <w:rPr>
          <w:rFonts w:ascii="Arial" w:hAnsi="Arial" w:cs="Arial"/>
          <w:i/>
          <w:color w:val="auto"/>
          <w:sz w:val="20"/>
        </w:rPr>
        <w:t>Communities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Lisa</w:t>
      </w:r>
      <w:r w:rsidR="00C026A6" w:rsidRPr="00EA59C0">
        <w:rPr>
          <w:rFonts w:ascii="Arial" w:hAnsi="Arial" w:cs="Arial"/>
          <w:color w:val="auto"/>
          <w:sz w:val="20"/>
        </w:rPr>
        <w:t xml:space="preserve"> </w:t>
      </w:r>
      <w:r w:rsidRPr="00EA59C0">
        <w:rPr>
          <w:rFonts w:ascii="Arial" w:hAnsi="Arial" w:cs="Arial"/>
          <w:color w:val="auto"/>
          <w:sz w:val="20"/>
        </w:rPr>
        <w:t>Petrides,</w:t>
      </w:r>
      <w:r w:rsidR="00C026A6" w:rsidRPr="00EA59C0">
        <w:rPr>
          <w:rFonts w:ascii="Arial" w:hAnsi="Arial" w:cs="Arial"/>
          <w:color w:val="auto"/>
          <w:sz w:val="20"/>
        </w:rPr>
        <w:t xml:space="preserve"> </w:t>
      </w:r>
      <w:r w:rsidRPr="00EA59C0">
        <w:rPr>
          <w:rFonts w:ascii="Arial" w:hAnsi="Arial" w:cs="Arial"/>
          <w:color w:val="auto"/>
          <w:sz w:val="20"/>
        </w:rPr>
        <w:t>Cynthia</w:t>
      </w:r>
      <w:r w:rsidR="00C026A6" w:rsidRPr="00EA59C0">
        <w:rPr>
          <w:rFonts w:ascii="Arial" w:hAnsi="Arial" w:cs="Arial"/>
          <w:color w:val="auto"/>
          <w:sz w:val="20"/>
        </w:rPr>
        <w:t xml:space="preserve"> </w:t>
      </w:r>
      <w:r w:rsidRPr="00EA59C0">
        <w:rPr>
          <w:rFonts w:ascii="Arial" w:hAnsi="Arial" w:cs="Arial"/>
          <w:color w:val="auto"/>
          <w:sz w:val="20"/>
        </w:rPr>
        <w:t>Jimes,</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Carol</w:t>
      </w:r>
      <w:r w:rsidR="00C026A6" w:rsidRPr="00EA59C0">
        <w:rPr>
          <w:rFonts w:ascii="Arial" w:hAnsi="Arial" w:cs="Arial"/>
          <w:color w:val="auto"/>
          <w:sz w:val="20"/>
        </w:rPr>
        <w:t xml:space="preserve"> </w:t>
      </w:r>
      <w:r w:rsidRPr="00EA59C0">
        <w:rPr>
          <w:rFonts w:ascii="Arial" w:hAnsi="Arial" w:cs="Arial"/>
          <w:color w:val="auto"/>
          <w:sz w:val="20"/>
        </w:rPr>
        <w:t>Hedgspeth</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Chapter</w:t>
      </w:r>
      <w:r w:rsidR="00C026A6" w:rsidRPr="00EA59C0">
        <w:rPr>
          <w:rFonts w:ascii="Arial" w:hAnsi="Arial" w:cs="Arial"/>
          <w:color w:val="auto"/>
          <w:sz w:val="20"/>
        </w:rPr>
        <w:t xml:space="preserve"> </w:t>
      </w:r>
      <w:r w:rsidRPr="00EA59C0">
        <w:rPr>
          <w:rFonts w:ascii="Arial" w:hAnsi="Arial" w:cs="Arial"/>
          <w:color w:val="auto"/>
          <w:sz w:val="20"/>
        </w:rPr>
        <w:t>3</w:t>
      </w:r>
      <w:r w:rsidR="00C026A6" w:rsidRPr="00EA59C0">
        <w:rPr>
          <w:rFonts w:ascii="Arial" w:hAnsi="Arial" w:cs="Arial"/>
          <w:color w:val="auto"/>
          <w:sz w:val="20"/>
        </w:rPr>
        <w:t xml:space="preserve"> </w:t>
      </w:r>
      <w:r w:rsidRPr="00EA59C0">
        <w:rPr>
          <w:rFonts w:ascii="Arial" w:hAnsi="Arial" w:cs="Arial"/>
          <w:color w:val="auto"/>
          <w:sz w:val="20"/>
        </w:rPr>
        <w:t>in:</w:t>
      </w:r>
      <w:r w:rsidR="00C026A6" w:rsidRPr="00EA59C0">
        <w:rPr>
          <w:rFonts w:ascii="Arial" w:hAnsi="Arial" w:cs="Arial"/>
          <w:color w:val="auto"/>
          <w:sz w:val="20"/>
        </w:rPr>
        <w:t xml:space="preserve"> </w:t>
      </w:r>
      <w:r w:rsidRPr="00EA59C0">
        <w:rPr>
          <w:rFonts w:ascii="Arial" w:hAnsi="Arial" w:cs="Arial"/>
          <w:color w:val="auto"/>
          <w:sz w:val="20"/>
        </w:rPr>
        <w:t>Collaborative</w:t>
      </w:r>
      <w:r w:rsidR="00C026A6" w:rsidRPr="00EA59C0">
        <w:rPr>
          <w:rFonts w:ascii="Arial" w:hAnsi="Arial" w:cs="Arial"/>
          <w:color w:val="auto"/>
          <w:sz w:val="20"/>
        </w:rPr>
        <w:t xml:space="preserve"> </w:t>
      </w:r>
      <w:r w:rsidRPr="00EA59C0">
        <w:rPr>
          <w:rFonts w:ascii="Arial" w:hAnsi="Arial" w:cs="Arial"/>
          <w:color w:val="auto"/>
          <w:sz w:val="20"/>
        </w:rPr>
        <w:t>Learning</w:t>
      </w:r>
      <w:r w:rsidR="00C026A6" w:rsidRPr="00EA59C0">
        <w:rPr>
          <w:rFonts w:ascii="Arial" w:hAnsi="Arial" w:cs="Arial"/>
          <w:color w:val="auto"/>
          <w:sz w:val="20"/>
        </w:rPr>
        <w:t xml:space="preserve"> </w:t>
      </w:r>
      <w:r w:rsidRPr="00EA59C0">
        <w:rPr>
          <w:rFonts w:ascii="Arial" w:hAnsi="Arial" w:cs="Arial"/>
          <w:color w:val="auto"/>
          <w:sz w:val="20"/>
        </w:rPr>
        <w:t>2.0:</w:t>
      </w:r>
      <w:r w:rsidR="00C026A6" w:rsidRPr="00EA59C0">
        <w:rPr>
          <w:rFonts w:ascii="Arial" w:hAnsi="Arial" w:cs="Arial"/>
          <w:color w:val="auto"/>
          <w:sz w:val="20"/>
        </w:rPr>
        <w:t xml:space="preserve"> </w:t>
      </w:r>
      <w:r w:rsidRPr="00EA59C0">
        <w:rPr>
          <w:rFonts w:ascii="Arial" w:hAnsi="Arial" w:cs="Arial"/>
          <w:color w:val="auto"/>
          <w:sz w:val="20"/>
        </w:rPr>
        <w:t>Open</w:t>
      </w:r>
      <w:r w:rsidR="00C026A6" w:rsidRPr="00EA59C0">
        <w:rPr>
          <w:rFonts w:ascii="Arial" w:hAnsi="Arial" w:cs="Arial"/>
          <w:color w:val="auto"/>
          <w:sz w:val="20"/>
        </w:rPr>
        <w:t xml:space="preserve"> </w:t>
      </w:r>
      <w:r w:rsidRPr="00EA59C0">
        <w:rPr>
          <w:rFonts w:ascii="Arial" w:hAnsi="Arial" w:cs="Arial"/>
          <w:color w:val="auto"/>
          <w:sz w:val="20"/>
        </w:rPr>
        <w:t>Educational</w:t>
      </w:r>
      <w:r w:rsidR="00C026A6" w:rsidRPr="00EA59C0">
        <w:rPr>
          <w:rFonts w:ascii="Arial" w:hAnsi="Arial" w:cs="Arial"/>
          <w:color w:val="auto"/>
          <w:sz w:val="20"/>
        </w:rPr>
        <w:t xml:space="preserve"> </w:t>
      </w:r>
      <w:r w:rsidRPr="00EA59C0">
        <w:rPr>
          <w:rFonts w:ascii="Arial" w:hAnsi="Arial" w:cs="Arial"/>
          <w:color w:val="auto"/>
          <w:sz w:val="20"/>
        </w:rPr>
        <w:t>Resources.</w:t>
      </w:r>
      <w:r w:rsidR="00C026A6" w:rsidRPr="00EA59C0">
        <w:rPr>
          <w:rFonts w:ascii="Arial" w:hAnsi="Arial" w:cs="Arial"/>
          <w:color w:val="auto"/>
          <w:sz w:val="20"/>
        </w:rPr>
        <w:t xml:space="preserve"> </w:t>
      </w:r>
      <w:r w:rsidRPr="00EA59C0">
        <w:rPr>
          <w:rFonts w:ascii="Arial" w:hAnsi="Arial" w:cs="Arial"/>
          <w:color w:val="auto"/>
          <w:sz w:val="20"/>
        </w:rPr>
        <w:t>Milton</w:t>
      </w:r>
      <w:r w:rsidR="00C026A6" w:rsidRPr="00EA59C0">
        <w:rPr>
          <w:rFonts w:ascii="Arial" w:hAnsi="Arial" w:cs="Arial"/>
          <w:color w:val="auto"/>
          <w:sz w:val="20"/>
        </w:rPr>
        <w:t xml:space="preserve"> </w:t>
      </w:r>
      <w:r w:rsidRPr="00EA59C0">
        <w:rPr>
          <w:rFonts w:ascii="Arial" w:hAnsi="Arial" w:cs="Arial"/>
          <w:color w:val="auto"/>
          <w:sz w:val="20"/>
        </w:rPr>
        <w:t>Keynes:</w:t>
      </w:r>
      <w:r w:rsidR="00C026A6" w:rsidRPr="00EA59C0">
        <w:rPr>
          <w:rFonts w:ascii="Arial" w:hAnsi="Arial" w:cs="Arial"/>
          <w:color w:val="auto"/>
          <w:sz w:val="20"/>
        </w:rPr>
        <w:t xml:space="preserve"> </w:t>
      </w:r>
      <w:r w:rsidRPr="00EA59C0">
        <w:rPr>
          <w:rFonts w:ascii="Arial" w:hAnsi="Arial" w:cs="Arial"/>
          <w:color w:val="auto"/>
          <w:sz w:val="20"/>
        </w:rPr>
        <w:t>Knowledge</w:t>
      </w:r>
      <w:r w:rsidR="00C026A6" w:rsidRPr="00EA59C0">
        <w:rPr>
          <w:rFonts w:ascii="Arial" w:hAnsi="Arial" w:cs="Arial"/>
          <w:color w:val="auto"/>
          <w:sz w:val="20"/>
        </w:rPr>
        <w:t xml:space="preserve"> </w:t>
      </w:r>
      <w:r w:rsidRPr="00EA59C0">
        <w:rPr>
          <w:rFonts w:ascii="Arial" w:hAnsi="Arial" w:cs="Arial"/>
          <w:color w:val="auto"/>
          <w:sz w:val="20"/>
        </w:rPr>
        <w:t>Media</w:t>
      </w:r>
      <w:r w:rsidR="00C026A6" w:rsidRPr="00EA59C0">
        <w:rPr>
          <w:rFonts w:ascii="Arial" w:hAnsi="Arial" w:cs="Arial"/>
          <w:color w:val="auto"/>
          <w:sz w:val="20"/>
        </w:rPr>
        <w:t xml:space="preserve"> </w:t>
      </w:r>
      <w:r w:rsidRPr="00EA59C0">
        <w:rPr>
          <w:rFonts w:ascii="Arial" w:hAnsi="Arial" w:cs="Arial"/>
          <w:color w:val="auto"/>
          <w:sz w:val="20"/>
        </w:rPr>
        <w:t>Institute,</w:t>
      </w:r>
      <w:r w:rsidR="00C026A6" w:rsidRPr="00EA59C0">
        <w:rPr>
          <w:rFonts w:ascii="Arial" w:hAnsi="Arial" w:cs="Arial"/>
          <w:color w:val="auto"/>
          <w:sz w:val="20"/>
        </w:rPr>
        <w:t xml:space="preserve"> </w:t>
      </w: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Open</w:t>
      </w:r>
      <w:r w:rsidR="00C026A6" w:rsidRPr="00EA59C0">
        <w:rPr>
          <w:rFonts w:ascii="Arial" w:hAnsi="Arial" w:cs="Arial"/>
          <w:color w:val="auto"/>
          <w:sz w:val="20"/>
        </w:rPr>
        <w:t xml:space="preserve"> </w:t>
      </w:r>
      <w:r w:rsidRPr="00EA59C0">
        <w:rPr>
          <w:rFonts w:ascii="Arial" w:hAnsi="Arial" w:cs="Arial"/>
          <w:color w:val="auto"/>
          <w:sz w:val="20"/>
        </w:rPr>
        <w:t>University</w:t>
      </w:r>
      <w:r w:rsidR="00C026A6" w:rsidRPr="00EA59C0">
        <w:rPr>
          <w:rFonts w:ascii="Arial" w:hAnsi="Arial" w:cs="Arial"/>
          <w:color w:val="auto"/>
          <w:sz w:val="20"/>
        </w:rPr>
        <w:t xml:space="preserve"> </w:t>
      </w:r>
      <w:r w:rsidRPr="00EA59C0">
        <w:rPr>
          <w:rFonts w:ascii="Arial" w:hAnsi="Arial" w:cs="Arial"/>
          <w:color w:val="auto"/>
          <w:sz w:val="20"/>
        </w:rPr>
        <w:t>UK</w:t>
      </w:r>
      <w:r w:rsidR="009A4FDF" w:rsidRPr="00EA59C0">
        <w:rPr>
          <w:rFonts w:ascii="Arial" w:hAnsi="Arial" w:cs="Arial"/>
          <w:color w:val="auto"/>
          <w:sz w:val="20"/>
        </w:rPr>
        <w:t>,</w:t>
      </w:r>
      <w:r w:rsidR="00C026A6" w:rsidRPr="00EA59C0">
        <w:rPr>
          <w:rFonts w:ascii="Arial" w:hAnsi="Arial" w:cs="Arial"/>
          <w:color w:val="auto"/>
          <w:sz w:val="20"/>
        </w:rPr>
        <w:t xml:space="preserve"> </w:t>
      </w:r>
      <w:r w:rsidR="009A4FDF" w:rsidRPr="00EA59C0">
        <w:rPr>
          <w:rFonts w:ascii="Arial" w:hAnsi="Arial" w:cs="Arial"/>
          <w:color w:val="auto"/>
          <w:sz w:val="20"/>
        </w:rPr>
        <w:t>M</w:t>
      </w:r>
      <w:r w:rsidRPr="00EA59C0">
        <w:rPr>
          <w:rFonts w:ascii="Arial" w:hAnsi="Arial" w:cs="Arial"/>
          <w:color w:val="auto"/>
          <w:sz w:val="20"/>
        </w:rPr>
        <w:t>arch</w:t>
      </w:r>
      <w:r w:rsidR="00C026A6" w:rsidRPr="00EA59C0">
        <w:rPr>
          <w:rFonts w:ascii="Arial" w:hAnsi="Arial" w:cs="Arial"/>
          <w:color w:val="auto"/>
          <w:sz w:val="20"/>
        </w:rPr>
        <w:t xml:space="preserve"> </w:t>
      </w:r>
      <w:r w:rsidRPr="00EA59C0">
        <w:rPr>
          <w:rFonts w:ascii="Arial" w:hAnsi="Arial" w:cs="Arial"/>
          <w:color w:val="auto"/>
          <w:sz w:val="20"/>
        </w:rPr>
        <w:t>2012</w:t>
      </w:r>
      <w:r w:rsidR="00C026A6" w:rsidRPr="00EA59C0">
        <w:rPr>
          <w:rFonts w:ascii="Arial" w:hAnsi="Arial" w:cs="Arial"/>
          <w:color w:val="auto"/>
          <w:sz w:val="20"/>
        </w:rPr>
        <w:t xml:space="preserve"> </w:t>
      </w:r>
    </w:p>
    <w:p w:rsidR="00B752E6" w:rsidRPr="00EA59C0" w:rsidRDefault="00DF2916" w:rsidP="00B752E6">
      <w:pPr>
        <w:pStyle w:val="Default"/>
        <w:rPr>
          <w:rFonts w:ascii="Arial" w:hAnsi="Arial" w:cs="Arial"/>
          <w:color w:val="auto"/>
          <w:sz w:val="20"/>
        </w:rPr>
      </w:pPr>
      <w:hyperlink r:id="rId331" w:history="1">
        <w:r w:rsidR="009A4FDF" w:rsidRPr="00EA59C0">
          <w:rPr>
            <w:rStyle w:val="Hyperlink"/>
            <w:rFonts w:ascii="Arial" w:hAnsi="Arial" w:cs="Arial"/>
            <w:color w:val="auto"/>
            <w:sz w:val="20"/>
          </w:rPr>
          <w:t>https://oerknowledgecloud.org/?q=content/knowledge-sharing-and-collaboration-indicators-learning-oer-communities</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Open</w:t>
      </w:r>
      <w:r w:rsidR="00C026A6" w:rsidRPr="00EA59C0">
        <w:rPr>
          <w:rFonts w:ascii="Arial" w:hAnsi="Arial" w:cs="Arial"/>
          <w:i/>
          <w:color w:val="auto"/>
          <w:sz w:val="20"/>
        </w:rPr>
        <w:t xml:space="preserve"> </w:t>
      </w:r>
      <w:r w:rsidRPr="00EA59C0">
        <w:rPr>
          <w:rFonts w:ascii="Arial" w:hAnsi="Arial" w:cs="Arial"/>
          <w:i/>
          <w:color w:val="auto"/>
          <w:sz w:val="20"/>
        </w:rPr>
        <w:t>Textbook</w:t>
      </w:r>
      <w:r w:rsidR="00C026A6" w:rsidRPr="00EA59C0">
        <w:rPr>
          <w:rFonts w:ascii="Arial" w:hAnsi="Arial" w:cs="Arial"/>
          <w:i/>
          <w:color w:val="auto"/>
          <w:sz w:val="20"/>
        </w:rPr>
        <w:t xml:space="preserve"> </w:t>
      </w:r>
      <w:r w:rsidRPr="00EA59C0">
        <w:rPr>
          <w:rFonts w:ascii="Arial" w:hAnsi="Arial" w:cs="Arial"/>
          <w:i/>
          <w:color w:val="auto"/>
          <w:sz w:val="20"/>
        </w:rPr>
        <w:t>Adoption</w:t>
      </w:r>
      <w:r w:rsidR="00C026A6" w:rsidRPr="00EA59C0">
        <w:rPr>
          <w:rFonts w:ascii="Arial" w:hAnsi="Arial" w:cs="Arial"/>
          <w:i/>
          <w:color w:val="auto"/>
          <w:sz w:val="20"/>
        </w:rPr>
        <w:t xml:space="preserve"> </w:t>
      </w:r>
      <w:r w:rsidRPr="00EA59C0">
        <w:rPr>
          <w:rFonts w:ascii="Arial" w:hAnsi="Arial" w:cs="Arial"/>
          <w:i/>
          <w:color w:val="auto"/>
          <w:sz w:val="20"/>
        </w:rPr>
        <w:t>and</w:t>
      </w:r>
      <w:r w:rsidR="00C026A6" w:rsidRPr="00EA59C0">
        <w:rPr>
          <w:rFonts w:ascii="Arial" w:hAnsi="Arial" w:cs="Arial"/>
          <w:i/>
          <w:color w:val="auto"/>
          <w:sz w:val="20"/>
        </w:rPr>
        <w:t xml:space="preserve"> </w:t>
      </w:r>
      <w:r w:rsidRPr="00EA59C0">
        <w:rPr>
          <w:rFonts w:ascii="Arial" w:hAnsi="Arial" w:cs="Arial"/>
          <w:i/>
          <w:color w:val="auto"/>
          <w:sz w:val="20"/>
        </w:rPr>
        <w:t>Use:</w:t>
      </w:r>
      <w:r w:rsidR="00C026A6" w:rsidRPr="00EA59C0">
        <w:rPr>
          <w:rFonts w:ascii="Arial" w:hAnsi="Arial" w:cs="Arial"/>
          <w:i/>
          <w:color w:val="auto"/>
          <w:sz w:val="20"/>
        </w:rPr>
        <w:t xml:space="preserve"> </w:t>
      </w:r>
      <w:r w:rsidRPr="00EA59C0">
        <w:rPr>
          <w:rFonts w:ascii="Arial" w:hAnsi="Arial" w:cs="Arial"/>
          <w:i/>
          <w:color w:val="auto"/>
          <w:sz w:val="20"/>
        </w:rPr>
        <w:t>Implications</w:t>
      </w:r>
      <w:r w:rsidR="00C026A6" w:rsidRPr="00EA59C0">
        <w:rPr>
          <w:rFonts w:ascii="Arial" w:hAnsi="Arial" w:cs="Arial"/>
          <w:i/>
          <w:color w:val="auto"/>
          <w:sz w:val="20"/>
        </w:rPr>
        <w:t xml:space="preserve"> </w:t>
      </w:r>
      <w:r w:rsidRPr="00EA59C0">
        <w:rPr>
          <w:rFonts w:ascii="Arial" w:hAnsi="Arial" w:cs="Arial"/>
          <w:i/>
          <w:color w:val="auto"/>
          <w:sz w:val="20"/>
        </w:rPr>
        <w:t>for</w:t>
      </w:r>
      <w:r w:rsidR="00C026A6" w:rsidRPr="00EA59C0">
        <w:rPr>
          <w:rFonts w:ascii="Arial" w:hAnsi="Arial" w:cs="Arial"/>
          <w:i/>
          <w:color w:val="auto"/>
          <w:sz w:val="20"/>
        </w:rPr>
        <w:t xml:space="preserve"> </w:t>
      </w:r>
      <w:r w:rsidRPr="00EA59C0">
        <w:rPr>
          <w:rFonts w:ascii="Arial" w:hAnsi="Arial" w:cs="Arial"/>
          <w:i/>
          <w:color w:val="auto"/>
          <w:sz w:val="20"/>
        </w:rPr>
        <w:t>Teachers</w:t>
      </w:r>
      <w:r w:rsidR="00C026A6" w:rsidRPr="00EA59C0">
        <w:rPr>
          <w:rFonts w:ascii="Arial" w:hAnsi="Arial" w:cs="Arial"/>
          <w:i/>
          <w:color w:val="auto"/>
          <w:sz w:val="20"/>
        </w:rPr>
        <w:t xml:space="preserve"> </w:t>
      </w:r>
      <w:r w:rsidRPr="00EA59C0">
        <w:rPr>
          <w:rFonts w:ascii="Arial" w:hAnsi="Arial" w:cs="Arial"/>
          <w:i/>
          <w:color w:val="auto"/>
          <w:sz w:val="20"/>
        </w:rPr>
        <w:t>and</w:t>
      </w:r>
      <w:r w:rsidR="00C026A6" w:rsidRPr="00EA59C0">
        <w:rPr>
          <w:rFonts w:ascii="Arial" w:hAnsi="Arial" w:cs="Arial"/>
          <w:i/>
          <w:color w:val="auto"/>
          <w:sz w:val="20"/>
        </w:rPr>
        <w:t xml:space="preserve"> </w:t>
      </w:r>
      <w:r w:rsidRPr="00EA59C0">
        <w:rPr>
          <w:rFonts w:ascii="Arial" w:hAnsi="Arial" w:cs="Arial"/>
          <w:i/>
          <w:color w:val="auto"/>
          <w:sz w:val="20"/>
        </w:rPr>
        <w:t>Learners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Lisa</w:t>
      </w:r>
      <w:r w:rsidR="00C026A6" w:rsidRPr="00EA59C0">
        <w:rPr>
          <w:rFonts w:ascii="Arial" w:hAnsi="Arial" w:cs="Arial"/>
          <w:color w:val="auto"/>
          <w:sz w:val="20"/>
        </w:rPr>
        <w:t xml:space="preserve"> </w:t>
      </w:r>
      <w:r w:rsidRPr="00EA59C0">
        <w:rPr>
          <w:rFonts w:ascii="Arial" w:hAnsi="Arial" w:cs="Arial"/>
          <w:color w:val="auto"/>
          <w:sz w:val="20"/>
        </w:rPr>
        <w:t>Petrides,</w:t>
      </w:r>
      <w:r w:rsidR="00C026A6" w:rsidRPr="00EA59C0">
        <w:rPr>
          <w:rFonts w:ascii="Arial" w:hAnsi="Arial" w:cs="Arial"/>
          <w:color w:val="auto"/>
          <w:sz w:val="20"/>
        </w:rPr>
        <w:t xml:space="preserve"> </w:t>
      </w:r>
      <w:r w:rsidRPr="00EA59C0">
        <w:rPr>
          <w:rFonts w:ascii="Arial" w:hAnsi="Arial" w:cs="Arial"/>
          <w:color w:val="auto"/>
          <w:sz w:val="20"/>
        </w:rPr>
        <w:t>Cynthia</w:t>
      </w:r>
      <w:r w:rsidR="00C026A6" w:rsidRPr="00EA59C0">
        <w:rPr>
          <w:rFonts w:ascii="Arial" w:hAnsi="Arial" w:cs="Arial"/>
          <w:color w:val="auto"/>
          <w:sz w:val="20"/>
        </w:rPr>
        <w:t xml:space="preserve"> </w:t>
      </w:r>
      <w:r w:rsidRPr="00EA59C0">
        <w:rPr>
          <w:rFonts w:ascii="Arial" w:hAnsi="Arial" w:cs="Arial"/>
          <w:color w:val="auto"/>
          <w:sz w:val="20"/>
        </w:rPr>
        <w:t>Jimes,</w:t>
      </w:r>
      <w:r w:rsidR="00C026A6" w:rsidRPr="00EA59C0">
        <w:rPr>
          <w:rFonts w:ascii="Arial" w:hAnsi="Arial" w:cs="Arial"/>
          <w:color w:val="auto"/>
          <w:sz w:val="20"/>
        </w:rPr>
        <w:t xml:space="preserve"> </w:t>
      </w:r>
      <w:r w:rsidRPr="00EA59C0">
        <w:rPr>
          <w:rFonts w:ascii="Arial" w:hAnsi="Arial" w:cs="Arial"/>
          <w:color w:val="auto"/>
          <w:sz w:val="20"/>
        </w:rPr>
        <w:t>Clare</w:t>
      </w:r>
      <w:r w:rsidR="00C026A6" w:rsidRPr="00EA59C0">
        <w:rPr>
          <w:rFonts w:ascii="Arial" w:hAnsi="Arial" w:cs="Arial"/>
          <w:color w:val="auto"/>
          <w:sz w:val="20"/>
        </w:rPr>
        <w:t xml:space="preserve"> </w:t>
      </w:r>
      <w:r w:rsidRPr="00EA59C0">
        <w:rPr>
          <w:rFonts w:ascii="Arial" w:hAnsi="Arial" w:cs="Arial"/>
          <w:color w:val="auto"/>
          <w:sz w:val="20"/>
        </w:rPr>
        <w:t>Middleton-Detzner,</w:t>
      </w:r>
      <w:r w:rsidR="00C026A6" w:rsidRPr="00EA59C0">
        <w:rPr>
          <w:rFonts w:ascii="Arial" w:hAnsi="Arial" w:cs="Arial"/>
          <w:color w:val="auto"/>
          <w:sz w:val="20"/>
        </w:rPr>
        <w:t xml:space="preserve"> </w:t>
      </w:r>
      <w:r w:rsidRPr="00EA59C0">
        <w:rPr>
          <w:rFonts w:ascii="Arial" w:hAnsi="Arial" w:cs="Arial"/>
          <w:color w:val="auto"/>
          <w:sz w:val="20"/>
        </w:rPr>
        <w:t>Julie</w:t>
      </w:r>
      <w:r w:rsidR="00C026A6" w:rsidRPr="00EA59C0">
        <w:rPr>
          <w:rFonts w:ascii="Arial" w:hAnsi="Arial" w:cs="Arial"/>
          <w:color w:val="auto"/>
          <w:sz w:val="20"/>
        </w:rPr>
        <w:t xml:space="preserve"> </w:t>
      </w:r>
      <w:r w:rsidRPr="00EA59C0">
        <w:rPr>
          <w:rFonts w:ascii="Arial" w:hAnsi="Arial" w:cs="Arial"/>
          <w:color w:val="auto"/>
          <w:sz w:val="20"/>
        </w:rPr>
        <w:t>Walling,</w:t>
      </w:r>
      <w:r w:rsidR="00C026A6" w:rsidRPr="00EA59C0">
        <w:rPr>
          <w:rFonts w:ascii="Arial" w:hAnsi="Arial" w:cs="Arial"/>
          <w:color w:val="auto"/>
          <w:sz w:val="20"/>
        </w:rPr>
        <w:t xml:space="preserve"> </w:t>
      </w:r>
      <w:r w:rsidRPr="00EA59C0">
        <w:rPr>
          <w:rFonts w:ascii="Arial" w:hAnsi="Arial" w:cs="Arial"/>
          <w:color w:val="auto"/>
          <w:sz w:val="20"/>
        </w:rPr>
        <w:t>J.</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Shenandoah</w:t>
      </w:r>
      <w:r w:rsidR="00C026A6" w:rsidRPr="00EA59C0">
        <w:rPr>
          <w:rFonts w:ascii="Arial" w:hAnsi="Arial" w:cs="Arial"/>
          <w:color w:val="auto"/>
          <w:sz w:val="20"/>
        </w:rPr>
        <w:t xml:space="preserve"> </w:t>
      </w:r>
      <w:r w:rsidRPr="00EA59C0">
        <w:rPr>
          <w:rFonts w:ascii="Arial" w:hAnsi="Arial" w:cs="Arial"/>
          <w:color w:val="auto"/>
          <w:sz w:val="20"/>
        </w:rPr>
        <w:t>Weiss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Open</w:t>
      </w:r>
      <w:r w:rsidR="00C026A6" w:rsidRPr="00EA59C0">
        <w:rPr>
          <w:rFonts w:ascii="Arial" w:hAnsi="Arial" w:cs="Arial"/>
          <w:color w:val="auto"/>
          <w:sz w:val="20"/>
        </w:rPr>
        <w:t xml:space="preserve"> </w:t>
      </w:r>
      <w:r w:rsidRPr="00EA59C0">
        <w:rPr>
          <w:rFonts w:ascii="Arial" w:hAnsi="Arial" w:cs="Arial"/>
          <w:color w:val="auto"/>
          <w:sz w:val="20"/>
        </w:rPr>
        <w:t>Learning:</w:t>
      </w:r>
      <w:r w:rsidR="00C026A6" w:rsidRPr="00EA59C0">
        <w:rPr>
          <w:rFonts w:ascii="Arial" w:hAnsi="Arial" w:cs="Arial"/>
          <w:color w:val="auto"/>
          <w:sz w:val="20"/>
        </w:rPr>
        <w:t xml:space="preserve"> </w:t>
      </w:r>
      <w:r w:rsidRPr="00EA59C0">
        <w:rPr>
          <w:rFonts w:ascii="Arial" w:hAnsi="Arial" w:cs="Arial"/>
          <w:color w:val="auto"/>
          <w:sz w:val="20"/>
        </w:rPr>
        <w:t>The</w:t>
      </w:r>
      <w:r w:rsidR="00C026A6" w:rsidRPr="00EA59C0">
        <w:rPr>
          <w:rFonts w:ascii="Arial" w:hAnsi="Arial" w:cs="Arial"/>
          <w:color w:val="auto"/>
          <w:sz w:val="20"/>
        </w:rPr>
        <w:t xml:space="preserve"> </w:t>
      </w:r>
      <w:r w:rsidRPr="00EA59C0">
        <w:rPr>
          <w:rFonts w:ascii="Arial" w:hAnsi="Arial" w:cs="Arial"/>
          <w:color w:val="auto"/>
          <w:sz w:val="20"/>
        </w:rPr>
        <w:t>Journal</w:t>
      </w:r>
      <w:r w:rsidR="00C026A6" w:rsidRPr="00EA59C0">
        <w:rPr>
          <w:rFonts w:ascii="Arial" w:hAnsi="Arial" w:cs="Arial"/>
          <w:color w:val="auto"/>
          <w:sz w:val="20"/>
        </w:rPr>
        <w:t xml:space="preserve"> </w:t>
      </w:r>
      <w:r w:rsidRPr="00EA59C0">
        <w:rPr>
          <w:rFonts w:ascii="Arial" w:hAnsi="Arial" w:cs="Arial"/>
          <w:color w:val="auto"/>
          <w:sz w:val="20"/>
        </w:rPr>
        <w:t>of</w:t>
      </w:r>
      <w:r w:rsidR="00C026A6" w:rsidRPr="00EA59C0">
        <w:rPr>
          <w:rFonts w:ascii="Arial" w:hAnsi="Arial" w:cs="Arial"/>
          <w:color w:val="auto"/>
          <w:sz w:val="20"/>
        </w:rPr>
        <w:t xml:space="preserve"> </w:t>
      </w:r>
      <w:r w:rsidRPr="00EA59C0">
        <w:rPr>
          <w:rFonts w:ascii="Arial" w:hAnsi="Arial" w:cs="Arial"/>
          <w:color w:val="auto"/>
          <w:sz w:val="20"/>
        </w:rPr>
        <w:t>Open,</w:t>
      </w:r>
      <w:r w:rsidR="00C026A6" w:rsidRPr="00EA59C0">
        <w:rPr>
          <w:rFonts w:ascii="Arial" w:hAnsi="Arial" w:cs="Arial"/>
          <w:color w:val="auto"/>
          <w:sz w:val="20"/>
        </w:rPr>
        <w:t xml:space="preserve"> </w:t>
      </w:r>
      <w:r w:rsidRPr="00EA59C0">
        <w:rPr>
          <w:rFonts w:ascii="Arial" w:hAnsi="Arial" w:cs="Arial"/>
          <w:color w:val="auto"/>
          <w:sz w:val="20"/>
        </w:rPr>
        <w:t>Distance</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E-Learning</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January</w:t>
      </w:r>
      <w:r w:rsidR="00C026A6" w:rsidRPr="00EA59C0">
        <w:rPr>
          <w:rFonts w:ascii="Arial" w:hAnsi="Arial" w:cs="Arial"/>
          <w:color w:val="auto"/>
          <w:sz w:val="20"/>
        </w:rPr>
        <w:t xml:space="preserve"> </w:t>
      </w:r>
      <w:r w:rsidRPr="00EA59C0">
        <w:rPr>
          <w:rFonts w:ascii="Arial" w:hAnsi="Arial" w:cs="Arial"/>
          <w:color w:val="auto"/>
          <w:sz w:val="20"/>
        </w:rPr>
        <w:t>2011</w:t>
      </w:r>
      <w:r w:rsidR="00C026A6" w:rsidRPr="00EA59C0">
        <w:rPr>
          <w:rFonts w:ascii="Arial" w:hAnsi="Arial" w:cs="Arial"/>
          <w:color w:val="auto"/>
          <w:sz w:val="20"/>
        </w:rPr>
        <w:t xml:space="preserve"> </w:t>
      </w:r>
    </w:p>
    <w:p w:rsidR="00B752E6" w:rsidRPr="00EA59C0" w:rsidRDefault="00DF2916" w:rsidP="00B752E6">
      <w:pPr>
        <w:pStyle w:val="Default"/>
        <w:rPr>
          <w:rFonts w:ascii="Arial" w:hAnsi="Arial" w:cs="Arial"/>
          <w:color w:val="auto"/>
          <w:sz w:val="20"/>
        </w:rPr>
      </w:pPr>
      <w:hyperlink r:id="rId332" w:anchor=".Uw-EyeNdV-U" w:history="1">
        <w:r w:rsidR="00F6476B" w:rsidRPr="00BB093B">
          <w:rPr>
            <w:rStyle w:val="Hyperlink"/>
            <w:rFonts w:ascii="Arial" w:hAnsi="Arial" w:cs="Arial"/>
            <w:sz w:val="20"/>
          </w:rPr>
          <w:t>http://www.tandfonline.com/doi/abs/10.1080/02680513.2011.538563#.Uw-EyeNdV-U</w:t>
        </w:r>
      </w:hyperlink>
      <w:r w:rsidR="00F6476B">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Evaluation</w:t>
      </w:r>
      <w:r w:rsidR="00C026A6" w:rsidRPr="00EA59C0">
        <w:rPr>
          <w:rFonts w:ascii="Arial" w:hAnsi="Arial" w:cs="Arial"/>
          <w:i/>
          <w:color w:val="auto"/>
          <w:sz w:val="20"/>
        </w:rPr>
        <w:t xml:space="preserve"> </w:t>
      </w:r>
      <w:r w:rsidRPr="00EA59C0">
        <w:rPr>
          <w:rFonts w:ascii="Arial" w:hAnsi="Arial" w:cs="Arial"/>
          <w:i/>
          <w:color w:val="auto"/>
          <w:sz w:val="20"/>
        </w:rPr>
        <w:t>of</w:t>
      </w:r>
      <w:r w:rsidR="00C026A6" w:rsidRPr="00EA59C0">
        <w:rPr>
          <w:rFonts w:ascii="Arial" w:hAnsi="Arial" w:cs="Arial"/>
          <w:i/>
          <w:color w:val="auto"/>
          <w:sz w:val="20"/>
        </w:rPr>
        <w:t xml:space="preserve"> </w:t>
      </w:r>
      <w:r w:rsidRPr="00EA59C0">
        <w:rPr>
          <w:rFonts w:ascii="Arial" w:hAnsi="Arial" w:cs="Arial"/>
          <w:i/>
          <w:color w:val="auto"/>
          <w:sz w:val="20"/>
        </w:rPr>
        <w:t>Evidence-Based</w:t>
      </w:r>
      <w:r w:rsidR="00C026A6" w:rsidRPr="00EA59C0">
        <w:rPr>
          <w:rFonts w:ascii="Arial" w:hAnsi="Arial" w:cs="Arial"/>
          <w:i/>
          <w:color w:val="auto"/>
          <w:sz w:val="20"/>
        </w:rPr>
        <w:t xml:space="preserve"> </w:t>
      </w:r>
      <w:r w:rsidRPr="00EA59C0">
        <w:rPr>
          <w:rFonts w:ascii="Arial" w:hAnsi="Arial" w:cs="Arial"/>
          <w:i/>
          <w:color w:val="auto"/>
          <w:sz w:val="20"/>
        </w:rPr>
        <w:t>Practices</w:t>
      </w:r>
      <w:r w:rsidR="00C026A6" w:rsidRPr="00EA59C0">
        <w:rPr>
          <w:rFonts w:ascii="Arial" w:hAnsi="Arial" w:cs="Arial"/>
          <w:i/>
          <w:color w:val="auto"/>
          <w:sz w:val="20"/>
        </w:rPr>
        <w:t xml:space="preserve"> </w:t>
      </w:r>
      <w:r w:rsidRPr="00EA59C0">
        <w:rPr>
          <w:rFonts w:ascii="Arial" w:hAnsi="Arial" w:cs="Arial"/>
          <w:i/>
          <w:color w:val="auto"/>
          <w:sz w:val="20"/>
        </w:rPr>
        <w:t>in</w:t>
      </w:r>
      <w:r w:rsidR="00C026A6" w:rsidRPr="00EA59C0">
        <w:rPr>
          <w:rFonts w:ascii="Arial" w:hAnsi="Arial" w:cs="Arial"/>
          <w:i/>
          <w:color w:val="auto"/>
          <w:sz w:val="20"/>
        </w:rPr>
        <w:t xml:space="preserve"> </w:t>
      </w:r>
      <w:r w:rsidRPr="00EA59C0">
        <w:rPr>
          <w:rFonts w:ascii="Arial" w:hAnsi="Arial" w:cs="Arial"/>
          <w:i/>
          <w:color w:val="auto"/>
          <w:sz w:val="20"/>
        </w:rPr>
        <w:t>Online</w:t>
      </w:r>
      <w:r w:rsidR="00C026A6" w:rsidRPr="00EA59C0">
        <w:rPr>
          <w:rFonts w:ascii="Arial" w:hAnsi="Arial" w:cs="Arial"/>
          <w:i/>
          <w:color w:val="auto"/>
          <w:sz w:val="20"/>
        </w:rPr>
        <w:t xml:space="preserve"> </w:t>
      </w:r>
      <w:r w:rsidRPr="00EA59C0">
        <w:rPr>
          <w:rFonts w:ascii="Arial" w:hAnsi="Arial" w:cs="Arial"/>
          <w:i/>
          <w:color w:val="auto"/>
          <w:sz w:val="20"/>
        </w:rPr>
        <w:t>Learning:</w:t>
      </w:r>
      <w:r w:rsidR="00C026A6" w:rsidRPr="00EA59C0">
        <w:rPr>
          <w:rFonts w:ascii="Arial" w:hAnsi="Arial" w:cs="Arial"/>
          <w:i/>
          <w:color w:val="auto"/>
          <w:sz w:val="20"/>
        </w:rPr>
        <w:t xml:space="preserve"> </w:t>
      </w:r>
      <w:r w:rsidRPr="00EA59C0">
        <w:rPr>
          <w:rFonts w:ascii="Arial" w:hAnsi="Arial" w:cs="Arial"/>
          <w:i/>
          <w:color w:val="auto"/>
          <w:sz w:val="20"/>
        </w:rPr>
        <w:t>A</w:t>
      </w:r>
      <w:r w:rsidR="00C026A6" w:rsidRPr="00EA59C0">
        <w:rPr>
          <w:rFonts w:ascii="Arial" w:hAnsi="Arial" w:cs="Arial"/>
          <w:i/>
          <w:color w:val="auto"/>
          <w:sz w:val="20"/>
        </w:rPr>
        <w:t xml:space="preserve"> </w:t>
      </w:r>
      <w:r w:rsidRPr="00EA59C0">
        <w:rPr>
          <w:rFonts w:ascii="Arial" w:hAnsi="Arial" w:cs="Arial"/>
          <w:i/>
          <w:color w:val="auto"/>
          <w:sz w:val="20"/>
        </w:rPr>
        <w:t>Meta-Analysis</w:t>
      </w:r>
      <w:r w:rsidR="00C026A6" w:rsidRPr="00EA59C0">
        <w:rPr>
          <w:rFonts w:ascii="Arial" w:hAnsi="Arial" w:cs="Arial"/>
          <w:i/>
          <w:color w:val="auto"/>
          <w:sz w:val="20"/>
        </w:rPr>
        <w:t xml:space="preserve"> </w:t>
      </w:r>
      <w:r w:rsidRPr="00EA59C0">
        <w:rPr>
          <w:rFonts w:ascii="Arial" w:hAnsi="Arial" w:cs="Arial"/>
          <w:i/>
          <w:color w:val="auto"/>
          <w:sz w:val="20"/>
        </w:rPr>
        <w:t>and</w:t>
      </w:r>
      <w:r w:rsidR="00C026A6" w:rsidRPr="00EA59C0">
        <w:rPr>
          <w:rFonts w:ascii="Arial" w:hAnsi="Arial" w:cs="Arial"/>
          <w:i/>
          <w:color w:val="auto"/>
          <w:sz w:val="20"/>
        </w:rPr>
        <w:t xml:space="preserve"> </w:t>
      </w:r>
      <w:r w:rsidRPr="00EA59C0">
        <w:rPr>
          <w:rFonts w:ascii="Arial" w:hAnsi="Arial" w:cs="Arial"/>
          <w:i/>
          <w:color w:val="auto"/>
          <w:sz w:val="20"/>
        </w:rPr>
        <w:t>Review</w:t>
      </w:r>
      <w:r w:rsidR="00C026A6" w:rsidRPr="00EA59C0">
        <w:rPr>
          <w:rFonts w:ascii="Arial" w:hAnsi="Arial" w:cs="Arial"/>
          <w:i/>
          <w:color w:val="auto"/>
          <w:sz w:val="20"/>
        </w:rPr>
        <w:t xml:space="preserve"> </w:t>
      </w:r>
      <w:r w:rsidRPr="00EA59C0">
        <w:rPr>
          <w:rFonts w:ascii="Arial" w:hAnsi="Arial" w:cs="Arial"/>
          <w:i/>
          <w:color w:val="auto"/>
          <w:sz w:val="20"/>
        </w:rPr>
        <w:t>of</w:t>
      </w:r>
      <w:r w:rsidR="00C026A6" w:rsidRPr="00EA59C0">
        <w:rPr>
          <w:rFonts w:ascii="Arial" w:hAnsi="Arial" w:cs="Arial"/>
          <w:i/>
          <w:color w:val="auto"/>
          <w:sz w:val="20"/>
        </w:rPr>
        <w:t xml:space="preserve"> </w:t>
      </w:r>
      <w:r w:rsidRPr="00EA59C0">
        <w:rPr>
          <w:rFonts w:ascii="Arial" w:hAnsi="Arial" w:cs="Arial"/>
          <w:i/>
          <w:color w:val="auto"/>
          <w:sz w:val="20"/>
        </w:rPr>
        <w:t>Online</w:t>
      </w:r>
      <w:r w:rsidR="00C026A6" w:rsidRPr="00EA59C0">
        <w:rPr>
          <w:rFonts w:ascii="Arial" w:hAnsi="Arial" w:cs="Arial"/>
          <w:i/>
          <w:color w:val="auto"/>
          <w:sz w:val="20"/>
        </w:rPr>
        <w:t xml:space="preserve"> </w:t>
      </w:r>
      <w:r w:rsidRPr="00EA59C0">
        <w:rPr>
          <w:rFonts w:ascii="Arial" w:hAnsi="Arial" w:cs="Arial"/>
          <w:i/>
          <w:color w:val="auto"/>
          <w:sz w:val="20"/>
        </w:rPr>
        <w:t>Learning</w:t>
      </w:r>
      <w:r w:rsidR="00C026A6" w:rsidRPr="00EA59C0">
        <w:rPr>
          <w:rFonts w:ascii="Arial" w:hAnsi="Arial" w:cs="Arial"/>
          <w:i/>
          <w:color w:val="auto"/>
          <w:sz w:val="20"/>
        </w:rPr>
        <w:t xml:space="preserve"> </w:t>
      </w:r>
      <w:r w:rsidRPr="00EA59C0">
        <w:rPr>
          <w:rFonts w:ascii="Arial" w:hAnsi="Arial" w:cs="Arial"/>
          <w:i/>
          <w:color w:val="auto"/>
          <w:sz w:val="20"/>
        </w:rPr>
        <w:t>Studies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U.S.</w:t>
      </w:r>
      <w:r w:rsidR="00C026A6" w:rsidRPr="00EA59C0">
        <w:rPr>
          <w:rFonts w:ascii="Arial" w:hAnsi="Arial" w:cs="Arial"/>
          <w:color w:val="auto"/>
          <w:sz w:val="20"/>
        </w:rPr>
        <w:t xml:space="preserve"> </w:t>
      </w:r>
      <w:r w:rsidRPr="00EA59C0">
        <w:rPr>
          <w:rFonts w:ascii="Arial" w:hAnsi="Arial" w:cs="Arial"/>
          <w:color w:val="auto"/>
          <w:sz w:val="20"/>
        </w:rPr>
        <w:t>Department</w:t>
      </w:r>
      <w:r w:rsidR="00C026A6" w:rsidRPr="00EA59C0">
        <w:rPr>
          <w:rFonts w:ascii="Arial" w:hAnsi="Arial" w:cs="Arial"/>
          <w:color w:val="auto"/>
          <w:sz w:val="20"/>
        </w:rPr>
        <w:t xml:space="preserve"> </w:t>
      </w:r>
      <w:r w:rsidRPr="00EA59C0">
        <w:rPr>
          <w:rFonts w:ascii="Arial" w:hAnsi="Arial" w:cs="Arial"/>
          <w:color w:val="auto"/>
          <w:sz w:val="20"/>
        </w:rPr>
        <w:t>of</w:t>
      </w:r>
      <w:r w:rsidR="00C026A6" w:rsidRPr="00EA59C0">
        <w:rPr>
          <w:rFonts w:ascii="Arial" w:hAnsi="Arial" w:cs="Arial"/>
          <w:color w:val="auto"/>
          <w:sz w:val="20"/>
        </w:rPr>
        <w:t xml:space="preserve"> </w:t>
      </w:r>
      <w:r w:rsidRPr="00EA59C0">
        <w:rPr>
          <w:rFonts w:ascii="Arial" w:hAnsi="Arial" w:cs="Arial"/>
          <w:color w:val="auto"/>
          <w:sz w:val="20"/>
        </w:rPr>
        <w:t>Education</w:t>
      </w:r>
      <w:r w:rsidR="006F4A88"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September</w:t>
      </w:r>
      <w:r w:rsidR="00C026A6" w:rsidRPr="00EA59C0">
        <w:rPr>
          <w:rFonts w:ascii="Arial" w:hAnsi="Arial" w:cs="Arial"/>
          <w:color w:val="auto"/>
          <w:sz w:val="20"/>
        </w:rPr>
        <w:t xml:space="preserve"> </w:t>
      </w:r>
      <w:r w:rsidRPr="00EA59C0">
        <w:rPr>
          <w:rFonts w:ascii="Arial" w:hAnsi="Arial" w:cs="Arial"/>
          <w:color w:val="auto"/>
          <w:sz w:val="20"/>
        </w:rPr>
        <w:t>2010</w:t>
      </w:r>
    </w:p>
    <w:p w:rsidR="00B752E6" w:rsidRPr="00EA59C0" w:rsidRDefault="00DF2916" w:rsidP="00B752E6">
      <w:pPr>
        <w:pStyle w:val="Default"/>
        <w:rPr>
          <w:rFonts w:ascii="Arial" w:hAnsi="Arial" w:cs="Arial"/>
          <w:color w:val="auto"/>
          <w:sz w:val="20"/>
        </w:rPr>
      </w:pPr>
      <w:hyperlink r:id="rId333" w:history="1">
        <w:r w:rsidR="006F4A88" w:rsidRPr="00EA59C0">
          <w:rPr>
            <w:rStyle w:val="Hyperlink"/>
            <w:rFonts w:ascii="Arial" w:hAnsi="Arial" w:cs="Arial"/>
            <w:color w:val="auto"/>
            <w:sz w:val="20"/>
          </w:rPr>
          <w:t>http://www2.ed.gov/rschstat/eval/tech/evidence-based-practices/finalreport.pdf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The</w:t>
      </w:r>
      <w:r w:rsidR="00C026A6" w:rsidRPr="00EA59C0">
        <w:rPr>
          <w:rFonts w:ascii="Arial" w:hAnsi="Arial" w:cs="Arial"/>
          <w:i/>
          <w:color w:val="auto"/>
          <w:sz w:val="20"/>
        </w:rPr>
        <w:t xml:space="preserve"> </w:t>
      </w:r>
      <w:r w:rsidRPr="00EA59C0">
        <w:rPr>
          <w:rFonts w:ascii="Arial" w:hAnsi="Arial" w:cs="Arial"/>
          <w:i/>
          <w:color w:val="auto"/>
          <w:sz w:val="20"/>
        </w:rPr>
        <w:t>Open</w:t>
      </w:r>
      <w:r w:rsidR="00C026A6" w:rsidRPr="00EA59C0">
        <w:rPr>
          <w:rFonts w:ascii="Arial" w:hAnsi="Arial" w:cs="Arial"/>
          <w:i/>
          <w:color w:val="auto"/>
          <w:sz w:val="20"/>
        </w:rPr>
        <w:t xml:space="preserve"> </w:t>
      </w:r>
      <w:r w:rsidRPr="00EA59C0">
        <w:rPr>
          <w:rFonts w:ascii="Arial" w:hAnsi="Arial" w:cs="Arial"/>
          <w:i/>
          <w:color w:val="auto"/>
          <w:sz w:val="20"/>
        </w:rPr>
        <w:t>Learning</w:t>
      </w:r>
      <w:r w:rsidR="00C026A6" w:rsidRPr="00EA59C0">
        <w:rPr>
          <w:rFonts w:ascii="Arial" w:hAnsi="Arial" w:cs="Arial"/>
          <w:i/>
          <w:color w:val="auto"/>
          <w:sz w:val="20"/>
        </w:rPr>
        <w:t xml:space="preserve"> </w:t>
      </w:r>
      <w:r w:rsidRPr="00EA59C0">
        <w:rPr>
          <w:rFonts w:ascii="Arial" w:hAnsi="Arial" w:cs="Arial"/>
          <w:i/>
          <w:color w:val="auto"/>
          <w:sz w:val="20"/>
        </w:rPr>
        <w:t>Initiative:</w:t>
      </w:r>
      <w:r w:rsidR="00C026A6" w:rsidRPr="00EA59C0">
        <w:rPr>
          <w:rFonts w:ascii="Arial" w:hAnsi="Arial" w:cs="Arial"/>
          <w:i/>
          <w:color w:val="auto"/>
          <w:sz w:val="20"/>
        </w:rPr>
        <w:t xml:space="preserve"> </w:t>
      </w:r>
      <w:r w:rsidRPr="00EA59C0">
        <w:rPr>
          <w:rFonts w:ascii="Arial" w:hAnsi="Arial" w:cs="Arial"/>
          <w:i/>
          <w:color w:val="auto"/>
          <w:sz w:val="20"/>
        </w:rPr>
        <w:t>Measuring</w:t>
      </w:r>
      <w:r w:rsidR="00C026A6" w:rsidRPr="00EA59C0">
        <w:rPr>
          <w:rFonts w:ascii="Arial" w:hAnsi="Arial" w:cs="Arial"/>
          <w:i/>
          <w:color w:val="auto"/>
          <w:sz w:val="20"/>
        </w:rPr>
        <w:t xml:space="preserve"> </w:t>
      </w:r>
      <w:r w:rsidRPr="00EA59C0">
        <w:rPr>
          <w:rFonts w:ascii="Arial" w:hAnsi="Arial" w:cs="Arial"/>
          <w:i/>
          <w:color w:val="auto"/>
          <w:sz w:val="20"/>
        </w:rPr>
        <w:t>the</w:t>
      </w:r>
      <w:r w:rsidR="00C026A6" w:rsidRPr="00EA59C0">
        <w:rPr>
          <w:rFonts w:ascii="Arial" w:hAnsi="Arial" w:cs="Arial"/>
          <w:i/>
          <w:color w:val="auto"/>
          <w:sz w:val="20"/>
        </w:rPr>
        <w:t xml:space="preserve"> </w:t>
      </w:r>
      <w:r w:rsidRPr="00EA59C0">
        <w:rPr>
          <w:rFonts w:ascii="Arial" w:hAnsi="Arial" w:cs="Arial"/>
          <w:i/>
          <w:color w:val="auto"/>
          <w:sz w:val="20"/>
        </w:rPr>
        <w:t>Effectiveness</w:t>
      </w:r>
      <w:r w:rsidR="00C026A6" w:rsidRPr="00EA59C0">
        <w:rPr>
          <w:rFonts w:ascii="Arial" w:hAnsi="Arial" w:cs="Arial"/>
          <w:i/>
          <w:color w:val="auto"/>
          <w:sz w:val="20"/>
        </w:rPr>
        <w:t xml:space="preserve"> </w:t>
      </w:r>
      <w:r w:rsidRPr="00EA59C0">
        <w:rPr>
          <w:rFonts w:ascii="Arial" w:hAnsi="Arial" w:cs="Arial"/>
          <w:i/>
          <w:color w:val="auto"/>
          <w:sz w:val="20"/>
        </w:rPr>
        <w:t>of</w:t>
      </w:r>
      <w:r w:rsidR="00C026A6" w:rsidRPr="00EA59C0">
        <w:rPr>
          <w:rFonts w:ascii="Arial" w:hAnsi="Arial" w:cs="Arial"/>
          <w:i/>
          <w:color w:val="auto"/>
          <w:sz w:val="20"/>
        </w:rPr>
        <w:t xml:space="preserve"> </w:t>
      </w:r>
      <w:r w:rsidRPr="00EA59C0">
        <w:rPr>
          <w:rFonts w:ascii="Arial" w:hAnsi="Arial" w:cs="Arial"/>
          <w:i/>
          <w:color w:val="auto"/>
          <w:sz w:val="20"/>
        </w:rPr>
        <w:t>the</w:t>
      </w:r>
      <w:r w:rsidR="00C026A6" w:rsidRPr="00EA59C0">
        <w:rPr>
          <w:rFonts w:ascii="Arial" w:hAnsi="Arial" w:cs="Arial"/>
          <w:i/>
          <w:color w:val="auto"/>
          <w:sz w:val="20"/>
        </w:rPr>
        <w:t xml:space="preserve"> </w:t>
      </w:r>
      <w:r w:rsidRPr="00EA59C0">
        <w:rPr>
          <w:rFonts w:ascii="Arial" w:hAnsi="Arial" w:cs="Arial"/>
          <w:i/>
          <w:color w:val="auto"/>
          <w:sz w:val="20"/>
        </w:rPr>
        <w:t>OLI</w:t>
      </w:r>
      <w:r w:rsidR="00C026A6" w:rsidRPr="00EA59C0">
        <w:rPr>
          <w:rFonts w:ascii="Arial" w:hAnsi="Arial" w:cs="Arial"/>
          <w:i/>
          <w:color w:val="auto"/>
          <w:sz w:val="20"/>
        </w:rPr>
        <w:t xml:space="preserve"> </w:t>
      </w:r>
      <w:r w:rsidRPr="00EA59C0">
        <w:rPr>
          <w:rFonts w:ascii="Arial" w:hAnsi="Arial" w:cs="Arial"/>
          <w:i/>
          <w:color w:val="auto"/>
          <w:sz w:val="20"/>
        </w:rPr>
        <w:t>Statistics</w:t>
      </w:r>
      <w:r w:rsidR="00C026A6" w:rsidRPr="00EA59C0">
        <w:rPr>
          <w:rFonts w:ascii="Arial" w:hAnsi="Arial" w:cs="Arial"/>
          <w:i/>
          <w:color w:val="auto"/>
          <w:sz w:val="20"/>
        </w:rPr>
        <w:t xml:space="preserve"> </w:t>
      </w:r>
      <w:r w:rsidRPr="00EA59C0">
        <w:rPr>
          <w:rFonts w:ascii="Arial" w:hAnsi="Arial" w:cs="Arial"/>
          <w:i/>
          <w:color w:val="auto"/>
          <w:sz w:val="20"/>
        </w:rPr>
        <w:t>Course</w:t>
      </w:r>
      <w:r w:rsidR="00C026A6" w:rsidRPr="00EA59C0">
        <w:rPr>
          <w:rFonts w:ascii="Arial" w:hAnsi="Arial" w:cs="Arial"/>
          <w:i/>
          <w:color w:val="auto"/>
          <w:sz w:val="20"/>
        </w:rPr>
        <w:t xml:space="preserve"> </w:t>
      </w:r>
      <w:r w:rsidRPr="00EA59C0">
        <w:rPr>
          <w:rFonts w:ascii="Arial" w:hAnsi="Arial" w:cs="Arial"/>
          <w:i/>
          <w:color w:val="auto"/>
          <w:sz w:val="20"/>
        </w:rPr>
        <w:t>in</w:t>
      </w:r>
      <w:r w:rsidR="00C026A6" w:rsidRPr="00EA59C0">
        <w:rPr>
          <w:rFonts w:ascii="Arial" w:hAnsi="Arial" w:cs="Arial"/>
          <w:i/>
          <w:color w:val="auto"/>
          <w:sz w:val="20"/>
        </w:rPr>
        <w:t xml:space="preserve"> </w:t>
      </w:r>
      <w:r w:rsidRPr="00EA59C0">
        <w:rPr>
          <w:rFonts w:ascii="Arial" w:hAnsi="Arial" w:cs="Arial"/>
          <w:i/>
          <w:color w:val="auto"/>
          <w:sz w:val="20"/>
        </w:rPr>
        <w:t>Accelerating</w:t>
      </w:r>
      <w:r w:rsidR="00C026A6" w:rsidRPr="00EA59C0">
        <w:rPr>
          <w:rFonts w:ascii="Arial" w:hAnsi="Arial" w:cs="Arial"/>
          <w:i/>
          <w:color w:val="auto"/>
          <w:sz w:val="20"/>
        </w:rPr>
        <w:t xml:space="preserve"> </w:t>
      </w:r>
      <w:r w:rsidRPr="00EA59C0">
        <w:rPr>
          <w:rFonts w:ascii="Arial" w:hAnsi="Arial" w:cs="Arial"/>
          <w:i/>
          <w:color w:val="auto"/>
          <w:sz w:val="20"/>
        </w:rPr>
        <w:t>Student</w:t>
      </w:r>
      <w:r w:rsidR="00C026A6" w:rsidRPr="00EA59C0">
        <w:rPr>
          <w:rFonts w:ascii="Arial" w:hAnsi="Arial" w:cs="Arial"/>
          <w:i/>
          <w:color w:val="auto"/>
          <w:sz w:val="20"/>
        </w:rPr>
        <w:t xml:space="preserve"> </w:t>
      </w:r>
      <w:r w:rsidRPr="00EA59C0">
        <w:rPr>
          <w:rFonts w:ascii="Arial" w:hAnsi="Arial" w:cs="Arial"/>
          <w:i/>
          <w:color w:val="auto"/>
          <w:sz w:val="20"/>
        </w:rPr>
        <w:t>Learning</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Marsha</w:t>
      </w:r>
      <w:r w:rsidR="00C026A6" w:rsidRPr="00EA59C0">
        <w:rPr>
          <w:rFonts w:ascii="Arial" w:hAnsi="Arial" w:cs="Arial"/>
          <w:color w:val="auto"/>
          <w:sz w:val="20"/>
        </w:rPr>
        <w:t xml:space="preserve"> </w:t>
      </w:r>
      <w:r w:rsidRPr="00EA59C0">
        <w:rPr>
          <w:rFonts w:ascii="Arial" w:hAnsi="Arial" w:cs="Arial"/>
          <w:color w:val="auto"/>
          <w:sz w:val="20"/>
        </w:rPr>
        <w:t>Lovett,</w:t>
      </w:r>
      <w:r w:rsidR="00C026A6" w:rsidRPr="00EA59C0">
        <w:rPr>
          <w:rFonts w:ascii="Arial" w:hAnsi="Arial" w:cs="Arial"/>
          <w:color w:val="auto"/>
          <w:sz w:val="20"/>
        </w:rPr>
        <w:t xml:space="preserve"> </w:t>
      </w:r>
      <w:r w:rsidRPr="00EA59C0">
        <w:rPr>
          <w:rFonts w:ascii="Arial" w:hAnsi="Arial" w:cs="Arial"/>
          <w:color w:val="auto"/>
          <w:sz w:val="20"/>
        </w:rPr>
        <w:t>Oded</w:t>
      </w:r>
      <w:r w:rsidR="00C026A6" w:rsidRPr="00EA59C0">
        <w:rPr>
          <w:rFonts w:ascii="Arial" w:hAnsi="Arial" w:cs="Arial"/>
          <w:color w:val="auto"/>
          <w:sz w:val="20"/>
        </w:rPr>
        <w:t xml:space="preserve"> </w:t>
      </w:r>
      <w:r w:rsidRPr="00EA59C0">
        <w:rPr>
          <w:rFonts w:ascii="Arial" w:hAnsi="Arial" w:cs="Arial"/>
          <w:color w:val="auto"/>
          <w:sz w:val="20"/>
        </w:rPr>
        <w:t>Meyer</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Candace</w:t>
      </w:r>
      <w:r w:rsidR="00C026A6" w:rsidRPr="00EA59C0">
        <w:rPr>
          <w:rFonts w:ascii="Arial" w:hAnsi="Arial" w:cs="Arial"/>
          <w:color w:val="auto"/>
          <w:sz w:val="20"/>
        </w:rPr>
        <w:t xml:space="preserve"> </w:t>
      </w:r>
      <w:r w:rsidRPr="00EA59C0">
        <w:rPr>
          <w:rFonts w:ascii="Arial" w:hAnsi="Arial" w:cs="Arial"/>
          <w:color w:val="auto"/>
          <w:sz w:val="20"/>
        </w:rPr>
        <w:t>Thille</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Journal</w:t>
      </w:r>
      <w:r w:rsidR="00C026A6" w:rsidRPr="00EA59C0">
        <w:rPr>
          <w:rFonts w:ascii="Arial" w:hAnsi="Arial" w:cs="Arial"/>
          <w:color w:val="auto"/>
          <w:sz w:val="20"/>
        </w:rPr>
        <w:t xml:space="preserve"> </w:t>
      </w:r>
      <w:r w:rsidRPr="00EA59C0">
        <w:rPr>
          <w:rFonts w:ascii="Arial" w:hAnsi="Arial" w:cs="Arial"/>
          <w:color w:val="auto"/>
          <w:sz w:val="20"/>
        </w:rPr>
        <w:t>of</w:t>
      </w:r>
      <w:r w:rsidR="00C026A6" w:rsidRPr="00EA59C0">
        <w:rPr>
          <w:rFonts w:ascii="Arial" w:hAnsi="Arial" w:cs="Arial"/>
          <w:color w:val="auto"/>
          <w:sz w:val="20"/>
        </w:rPr>
        <w:t xml:space="preserve"> </w:t>
      </w:r>
      <w:r w:rsidRPr="00EA59C0">
        <w:rPr>
          <w:rFonts w:ascii="Arial" w:hAnsi="Arial" w:cs="Arial"/>
          <w:color w:val="auto"/>
          <w:sz w:val="20"/>
        </w:rPr>
        <w:t>Interactive</w:t>
      </w:r>
      <w:r w:rsidR="00C026A6" w:rsidRPr="00EA59C0">
        <w:rPr>
          <w:rFonts w:ascii="Arial" w:hAnsi="Arial" w:cs="Arial"/>
          <w:color w:val="auto"/>
          <w:sz w:val="20"/>
        </w:rPr>
        <w:t xml:space="preserve"> </w:t>
      </w:r>
      <w:r w:rsidRPr="00EA59C0">
        <w:rPr>
          <w:rFonts w:ascii="Arial" w:hAnsi="Arial" w:cs="Arial"/>
          <w:color w:val="auto"/>
          <w:sz w:val="20"/>
        </w:rPr>
        <w:t>Media</w:t>
      </w:r>
      <w:r w:rsidR="00C026A6" w:rsidRPr="00EA59C0">
        <w:rPr>
          <w:rFonts w:ascii="Arial" w:hAnsi="Arial" w:cs="Arial"/>
          <w:color w:val="auto"/>
          <w:sz w:val="20"/>
        </w:rPr>
        <w:t xml:space="preserve"> </w:t>
      </w:r>
      <w:r w:rsidRPr="00EA59C0">
        <w:rPr>
          <w:rFonts w:ascii="Arial" w:hAnsi="Arial" w:cs="Arial"/>
          <w:color w:val="auto"/>
          <w:sz w:val="20"/>
        </w:rPr>
        <w:t>in</w:t>
      </w:r>
      <w:r w:rsidR="00C026A6" w:rsidRPr="00EA59C0">
        <w:rPr>
          <w:rFonts w:ascii="Arial" w:hAnsi="Arial" w:cs="Arial"/>
          <w:color w:val="auto"/>
          <w:sz w:val="20"/>
        </w:rPr>
        <w:t xml:space="preserve"> </w:t>
      </w:r>
      <w:r w:rsidRPr="00EA59C0">
        <w:rPr>
          <w:rFonts w:ascii="Arial" w:hAnsi="Arial" w:cs="Arial"/>
          <w:color w:val="auto"/>
          <w:sz w:val="20"/>
        </w:rPr>
        <w:t>Education</w:t>
      </w:r>
      <w:r w:rsidR="006F4A88"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May</w:t>
      </w:r>
      <w:r w:rsidR="00C026A6" w:rsidRPr="00EA59C0">
        <w:rPr>
          <w:rFonts w:ascii="Arial" w:hAnsi="Arial" w:cs="Arial"/>
          <w:color w:val="auto"/>
          <w:sz w:val="20"/>
        </w:rPr>
        <w:t xml:space="preserve"> </w:t>
      </w:r>
      <w:r w:rsidRPr="00EA59C0">
        <w:rPr>
          <w:rFonts w:ascii="Arial" w:hAnsi="Arial" w:cs="Arial"/>
          <w:color w:val="auto"/>
          <w:sz w:val="20"/>
        </w:rPr>
        <w:t>2008</w:t>
      </w:r>
    </w:p>
    <w:p w:rsidR="00B752E6" w:rsidRPr="00EA59C0" w:rsidRDefault="00DF2916" w:rsidP="00B752E6">
      <w:pPr>
        <w:pStyle w:val="Default"/>
        <w:rPr>
          <w:rFonts w:ascii="Arial" w:hAnsi="Arial" w:cs="Arial"/>
          <w:color w:val="auto"/>
          <w:sz w:val="20"/>
        </w:rPr>
      </w:pPr>
      <w:hyperlink r:id="rId334" w:history="1">
        <w:r w:rsidR="006F4A88" w:rsidRPr="00EA59C0">
          <w:rPr>
            <w:rStyle w:val="Hyperlink"/>
            <w:rFonts w:ascii="Arial" w:hAnsi="Arial" w:cs="Arial"/>
            <w:color w:val="auto"/>
            <w:sz w:val="20"/>
          </w:rPr>
          <w:t>http://oli.cmu.edu/wp-oli/wp-content/uploads/2012/05/Lovett_2008_Statistics_Accelerated_Learning_Study.pdf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6F4A88" w:rsidRPr="00EA59C0" w:rsidRDefault="006F4A88" w:rsidP="00B752E6">
      <w:pPr>
        <w:pStyle w:val="Default"/>
        <w:rPr>
          <w:rFonts w:ascii="Arial" w:hAnsi="Arial" w:cs="Arial"/>
          <w:color w:val="auto"/>
          <w:sz w:val="20"/>
        </w:rPr>
      </w:pPr>
    </w:p>
    <w:p w:rsidR="00B752E6" w:rsidRPr="00EA59C0" w:rsidRDefault="00B752E6" w:rsidP="00B752E6">
      <w:pPr>
        <w:pStyle w:val="Default"/>
        <w:rPr>
          <w:rFonts w:ascii="Arial" w:hAnsi="Arial" w:cs="Arial"/>
          <w:b/>
          <w:color w:val="auto"/>
          <w:sz w:val="20"/>
          <w:u w:val="single"/>
        </w:rPr>
      </w:pPr>
      <w:r w:rsidRPr="00EA59C0">
        <w:rPr>
          <w:rFonts w:ascii="Arial" w:hAnsi="Arial" w:cs="Arial"/>
          <w:b/>
          <w:color w:val="auto"/>
          <w:sz w:val="20"/>
          <w:u w:val="single"/>
        </w:rPr>
        <w:t>Additional</w:t>
      </w:r>
      <w:r w:rsidR="00C026A6" w:rsidRPr="00EA59C0">
        <w:rPr>
          <w:rFonts w:ascii="Arial" w:hAnsi="Arial" w:cs="Arial"/>
          <w:b/>
          <w:color w:val="auto"/>
          <w:sz w:val="20"/>
          <w:u w:val="single"/>
        </w:rPr>
        <w:t xml:space="preserve"> </w:t>
      </w:r>
      <w:r w:rsidRPr="00EA59C0">
        <w:rPr>
          <w:rFonts w:ascii="Arial" w:hAnsi="Arial" w:cs="Arial"/>
          <w:b/>
          <w:color w:val="auto"/>
          <w:sz w:val="20"/>
          <w:u w:val="single"/>
        </w:rPr>
        <w:t>Career</w:t>
      </w:r>
      <w:r w:rsidR="00C026A6" w:rsidRPr="00EA59C0">
        <w:rPr>
          <w:rFonts w:ascii="Arial" w:hAnsi="Arial" w:cs="Arial"/>
          <w:b/>
          <w:color w:val="auto"/>
          <w:sz w:val="20"/>
          <w:u w:val="single"/>
        </w:rPr>
        <w:t xml:space="preserve"> </w:t>
      </w:r>
      <w:r w:rsidRPr="00EA59C0">
        <w:rPr>
          <w:rFonts w:ascii="Arial" w:hAnsi="Arial" w:cs="Arial"/>
          <w:b/>
          <w:color w:val="auto"/>
          <w:sz w:val="20"/>
          <w:u w:val="single"/>
        </w:rPr>
        <w:t>Pathways</w:t>
      </w:r>
      <w:r w:rsidR="00C026A6" w:rsidRPr="00EA59C0">
        <w:rPr>
          <w:rFonts w:ascii="Arial" w:hAnsi="Arial" w:cs="Arial"/>
          <w:b/>
          <w:color w:val="auto"/>
          <w:sz w:val="20"/>
          <w:u w:val="single"/>
        </w:rPr>
        <w:t xml:space="preserve"> </w:t>
      </w:r>
      <w:r w:rsidRPr="00EA59C0">
        <w:rPr>
          <w:rFonts w:ascii="Arial" w:hAnsi="Arial" w:cs="Arial"/>
          <w:b/>
          <w:color w:val="auto"/>
          <w:sz w:val="20"/>
          <w:u w:val="single"/>
        </w:rPr>
        <w:t>Resources</w:t>
      </w:r>
    </w:p>
    <w:p w:rsidR="006F4A88" w:rsidRPr="00EA59C0" w:rsidRDefault="006F4A88"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Alliance</w:t>
      </w:r>
      <w:r w:rsidR="00C026A6" w:rsidRPr="00EA59C0">
        <w:rPr>
          <w:rFonts w:ascii="Arial" w:hAnsi="Arial" w:cs="Arial"/>
          <w:i/>
          <w:color w:val="auto"/>
          <w:sz w:val="20"/>
        </w:rPr>
        <w:t xml:space="preserve"> </w:t>
      </w:r>
      <w:r w:rsidRPr="00EA59C0">
        <w:rPr>
          <w:rFonts w:ascii="Arial" w:hAnsi="Arial" w:cs="Arial"/>
          <w:i/>
          <w:color w:val="auto"/>
          <w:sz w:val="20"/>
        </w:rPr>
        <w:t>for</w:t>
      </w:r>
      <w:r w:rsidR="00C026A6" w:rsidRPr="00EA59C0">
        <w:rPr>
          <w:rFonts w:ascii="Arial" w:hAnsi="Arial" w:cs="Arial"/>
          <w:i/>
          <w:color w:val="auto"/>
          <w:sz w:val="20"/>
        </w:rPr>
        <w:t xml:space="preserve"> </w:t>
      </w:r>
      <w:r w:rsidRPr="00EA59C0">
        <w:rPr>
          <w:rFonts w:ascii="Arial" w:hAnsi="Arial" w:cs="Arial"/>
          <w:i/>
          <w:color w:val="auto"/>
          <w:sz w:val="20"/>
        </w:rPr>
        <w:t>Quality</w:t>
      </w:r>
      <w:r w:rsidR="00C026A6" w:rsidRPr="00EA59C0">
        <w:rPr>
          <w:rFonts w:ascii="Arial" w:hAnsi="Arial" w:cs="Arial"/>
          <w:i/>
          <w:color w:val="auto"/>
          <w:sz w:val="20"/>
        </w:rPr>
        <w:t xml:space="preserve"> </w:t>
      </w:r>
      <w:r w:rsidRPr="00EA59C0">
        <w:rPr>
          <w:rFonts w:ascii="Arial" w:hAnsi="Arial" w:cs="Arial"/>
          <w:i/>
          <w:color w:val="auto"/>
          <w:sz w:val="20"/>
        </w:rPr>
        <w:t>Career</w:t>
      </w:r>
      <w:r w:rsidR="00C026A6" w:rsidRPr="00EA59C0">
        <w:rPr>
          <w:rFonts w:ascii="Arial" w:hAnsi="Arial" w:cs="Arial"/>
          <w:i/>
          <w:color w:val="auto"/>
          <w:sz w:val="20"/>
        </w:rPr>
        <w:t xml:space="preserve"> </w:t>
      </w:r>
      <w:r w:rsidRPr="00EA59C0">
        <w:rPr>
          <w:rFonts w:ascii="Arial" w:hAnsi="Arial" w:cs="Arial"/>
          <w:i/>
          <w:color w:val="auto"/>
          <w:sz w:val="20"/>
        </w:rPr>
        <w:t>Pathways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Center</w:t>
      </w:r>
      <w:r w:rsidR="00C026A6" w:rsidRPr="00EA59C0">
        <w:rPr>
          <w:rFonts w:ascii="Arial" w:hAnsi="Arial" w:cs="Arial"/>
          <w:color w:val="auto"/>
          <w:sz w:val="20"/>
        </w:rPr>
        <w:t xml:space="preserve"> </w:t>
      </w:r>
      <w:r w:rsidRPr="00EA59C0">
        <w:rPr>
          <w:rFonts w:ascii="Arial" w:hAnsi="Arial" w:cs="Arial"/>
          <w:color w:val="auto"/>
          <w:sz w:val="20"/>
        </w:rPr>
        <w:t>for</w:t>
      </w:r>
      <w:r w:rsidR="00C026A6" w:rsidRPr="00EA59C0">
        <w:rPr>
          <w:rFonts w:ascii="Arial" w:hAnsi="Arial" w:cs="Arial"/>
          <w:color w:val="auto"/>
          <w:sz w:val="20"/>
        </w:rPr>
        <w:t xml:space="preserve"> </w:t>
      </w:r>
      <w:r w:rsidRPr="00EA59C0">
        <w:rPr>
          <w:rFonts w:ascii="Arial" w:hAnsi="Arial" w:cs="Arial"/>
          <w:color w:val="auto"/>
          <w:sz w:val="20"/>
        </w:rPr>
        <w:t>Law</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Social</w:t>
      </w:r>
      <w:r w:rsidR="00C026A6" w:rsidRPr="00EA59C0">
        <w:rPr>
          <w:rFonts w:ascii="Arial" w:hAnsi="Arial" w:cs="Arial"/>
          <w:color w:val="auto"/>
          <w:sz w:val="20"/>
        </w:rPr>
        <w:t xml:space="preserve"> </w:t>
      </w:r>
      <w:r w:rsidRPr="00EA59C0">
        <w:rPr>
          <w:rFonts w:ascii="Arial" w:hAnsi="Arial" w:cs="Arial"/>
          <w:color w:val="auto"/>
          <w:sz w:val="20"/>
        </w:rPr>
        <w:t>Policy</w:t>
      </w:r>
    </w:p>
    <w:p w:rsidR="00B752E6" w:rsidRPr="00EA59C0" w:rsidRDefault="00DF2916" w:rsidP="00B752E6">
      <w:pPr>
        <w:pStyle w:val="Default"/>
        <w:rPr>
          <w:rFonts w:ascii="Arial" w:hAnsi="Arial" w:cs="Arial"/>
          <w:color w:val="auto"/>
          <w:sz w:val="20"/>
        </w:rPr>
      </w:pPr>
      <w:hyperlink r:id="rId335" w:history="1">
        <w:r w:rsidR="006F4A88" w:rsidRPr="00EA59C0">
          <w:rPr>
            <w:rStyle w:val="Hyperlink"/>
            <w:rFonts w:ascii="Arial" w:hAnsi="Arial" w:cs="Arial"/>
            <w:color w:val="auto"/>
            <w:sz w:val="20"/>
          </w:rPr>
          <w:t>http://www.clasp.org/issues/postsecondary/pages/alliance-for-quality-career-pathways</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Health</w:t>
      </w:r>
      <w:r w:rsidR="00C026A6" w:rsidRPr="00EA59C0">
        <w:rPr>
          <w:rFonts w:ascii="Arial" w:hAnsi="Arial" w:cs="Arial"/>
          <w:i/>
          <w:color w:val="auto"/>
          <w:sz w:val="20"/>
        </w:rPr>
        <w:t xml:space="preserve"> </w:t>
      </w:r>
      <w:r w:rsidRPr="00EA59C0">
        <w:rPr>
          <w:rFonts w:ascii="Arial" w:hAnsi="Arial" w:cs="Arial"/>
          <w:i/>
          <w:color w:val="auto"/>
          <w:sz w:val="20"/>
        </w:rPr>
        <w:t>Profession</w:t>
      </w:r>
      <w:r w:rsidR="00C026A6" w:rsidRPr="00EA59C0">
        <w:rPr>
          <w:rFonts w:ascii="Arial" w:hAnsi="Arial" w:cs="Arial"/>
          <w:i/>
          <w:color w:val="auto"/>
          <w:sz w:val="20"/>
        </w:rPr>
        <w:t xml:space="preserve"> </w:t>
      </w:r>
      <w:r w:rsidRPr="00EA59C0">
        <w:rPr>
          <w:rFonts w:ascii="Arial" w:hAnsi="Arial" w:cs="Arial"/>
          <w:i/>
          <w:color w:val="auto"/>
          <w:sz w:val="20"/>
        </w:rPr>
        <w:t>Opportunity</w:t>
      </w:r>
      <w:r w:rsidR="00C026A6" w:rsidRPr="00EA59C0">
        <w:rPr>
          <w:rFonts w:ascii="Arial" w:hAnsi="Arial" w:cs="Arial"/>
          <w:i/>
          <w:color w:val="auto"/>
          <w:sz w:val="20"/>
        </w:rPr>
        <w:t xml:space="preserve"> </w:t>
      </w:r>
      <w:r w:rsidRPr="00EA59C0">
        <w:rPr>
          <w:rFonts w:ascii="Arial" w:hAnsi="Arial" w:cs="Arial"/>
          <w:i/>
          <w:color w:val="auto"/>
          <w:sz w:val="20"/>
        </w:rPr>
        <w:t>Grants:</w:t>
      </w:r>
      <w:r w:rsidR="00C026A6" w:rsidRPr="00EA59C0">
        <w:rPr>
          <w:rFonts w:ascii="Arial" w:hAnsi="Arial" w:cs="Arial"/>
          <w:i/>
          <w:color w:val="auto"/>
          <w:sz w:val="20"/>
        </w:rPr>
        <w:t xml:space="preserve"> </w:t>
      </w:r>
      <w:r w:rsidRPr="00EA59C0">
        <w:rPr>
          <w:rFonts w:ascii="Arial" w:hAnsi="Arial" w:cs="Arial"/>
          <w:i/>
          <w:color w:val="auto"/>
          <w:sz w:val="20"/>
        </w:rPr>
        <w:t>Year</w:t>
      </w:r>
      <w:r w:rsidR="00C026A6" w:rsidRPr="00EA59C0">
        <w:rPr>
          <w:rFonts w:ascii="Arial" w:hAnsi="Arial" w:cs="Arial"/>
          <w:i/>
          <w:color w:val="auto"/>
          <w:sz w:val="20"/>
        </w:rPr>
        <w:t xml:space="preserve"> </w:t>
      </w:r>
      <w:r w:rsidRPr="00EA59C0">
        <w:rPr>
          <w:rFonts w:ascii="Arial" w:hAnsi="Arial" w:cs="Arial"/>
          <w:i/>
          <w:color w:val="auto"/>
          <w:sz w:val="20"/>
        </w:rPr>
        <w:t>Two</w:t>
      </w:r>
      <w:r w:rsidR="00C026A6" w:rsidRPr="00EA59C0">
        <w:rPr>
          <w:rFonts w:ascii="Arial" w:hAnsi="Arial" w:cs="Arial"/>
          <w:i/>
          <w:color w:val="auto"/>
          <w:sz w:val="20"/>
        </w:rPr>
        <w:t xml:space="preserve"> </w:t>
      </w:r>
      <w:r w:rsidRPr="00EA59C0">
        <w:rPr>
          <w:rFonts w:ascii="Arial" w:hAnsi="Arial" w:cs="Arial"/>
          <w:i/>
          <w:color w:val="auto"/>
          <w:sz w:val="20"/>
        </w:rPr>
        <w:t>Annual</w:t>
      </w:r>
      <w:r w:rsidR="00C026A6" w:rsidRPr="00EA59C0">
        <w:rPr>
          <w:rFonts w:ascii="Arial" w:hAnsi="Arial" w:cs="Arial"/>
          <w:i/>
          <w:color w:val="auto"/>
          <w:sz w:val="20"/>
        </w:rPr>
        <w:t xml:space="preserve"> </w:t>
      </w:r>
      <w:r w:rsidRPr="00EA59C0">
        <w:rPr>
          <w:rFonts w:ascii="Arial" w:hAnsi="Arial" w:cs="Arial"/>
          <w:i/>
          <w:color w:val="auto"/>
          <w:sz w:val="20"/>
        </w:rPr>
        <w:t>Report</w:t>
      </w:r>
      <w:r w:rsidR="00C026A6" w:rsidRPr="00EA59C0">
        <w:rPr>
          <w:rFonts w:ascii="Arial" w:hAnsi="Arial" w:cs="Arial"/>
          <w:i/>
          <w:color w:val="auto"/>
          <w:sz w:val="20"/>
        </w:rPr>
        <w:t xml:space="preserve"> </w:t>
      </w:r>
      <w:r w:rsidRPr="00EA59C0">
        <w:rPr>
          <w:rFonts w:ascii="Arial" w:hAnsi="Arial" w:cs="Arial"/>
          <w:i/>
          <w:color w:val="auto"/>
          <w:sz w:val="20"/>
        </w:rPr>
        <w:t>(2011-2012)</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Theresa</w:t>
      </w:r>
      <w:r w:rsidR="00C026A6" w:rsidRPr="00EA59C0">
        <w:rPr>
          <w:rFonts w:ascii="Arial" w:hAnsi="Arial" w:cs="Arial"/>
          <w:color w:val="auto"/>
          <w:sz w:val="20"/>
        </w:rPr>
        <w:t xml:space="preserve"> </w:t>
      </w:r>
      <w:r w:rsidRPr="00EA59C0">
        <w:rPr>
          <w:rFonts w:ascii="Arial" w:hAnsi="Arial" w:cs="Arial"/>
          <w:color w:val="auto"/>
          <w:sz w:val="20"/>
        </w:rPr>
        <w:t>Anderson,</w:t>
      </w:r>
      <w:r w:rsidR="00C026A6" w:rsidRPr="00EA59C0">
        <w:rPr>
          <w:rFonts w:ascii="Arial" w:hAnsi="Arial" w:cs="Arial"/>
          <w:color w:val="auto"/>
          <w:sz w:val="20"/>
        </w:rPr>
        <w:t xml:space="preserve"> </w:t>
      </w:r>
      <w:r w:rsidRPr="00EA59C0">
        <w:rPr>
          <w:rFonts w:ascii="Arial" w:hAnsi="Arial" w:cs="Arial"/>
          <w:color w:val="auto"/>
          <w:sz w:val="20"/>
        </w:rPr>
        <w:t>Pamela</w:t>
      </w:r>
      <w:r w:rsidR="00C026A6" w:rsidRPr="00EA59C0">
        <w:rPr>
          <w:rFonts w:ascii="Arial" w:hAnsi="Arial" w:cs="Arial"/>
          <w:color w:val="auto"/>
          <w:sz w:val="20"/>
        </w:rPr>
        <w:t xml:space="preserve"> </w:t>
      </w:r>
      <w:r w:rsidRPr="00EA59C0">
        <w:rPr>
          <w:rFonts w:ascii="Arial" w:hAnsi="Arial" w:cs="Arial"/>
          <w:color w:val="auto"/>
          <w:sz w:val="20"/>
        </w:rPr>
        <w:t>J.</w:t>
      </w:r>
      <w:r w:rsidR="00C026A6" w:rsidRPr="00EA59C0">
        <w:rPr>
          <w:rFonts w:ascii="Arial" w:hAnsi="Arial" w:cs="Arial"/>
          <w:color w:val="auto"/>
          <w:sz w:val="20"/>
        </w:rPr>
        <w:t xml:space="preserve"> </w:t>
      </w:r>
      <w:r w:rsidRPr="00EA59C0">
        <w:rPr>
          <w:rFonts w:ascii="Arial" w:hAnsi="Arial" w:cs="Arial"/>
          <w:color w:val="auto"/>
          <w:sz w:val="20"/>
        </w:rPr>
        <w:t>Loprest,</w:t>
      </w:r>
      <w:r w:rsidR="00C026A6" w:rsidRPr="00EA59C0">
        <w:rPr>
          <w:rFonts w:ascii="Arial" w:hAnsi="Arial" w:cs="Arial"/>
          <w:color w:val="auto"/>
          <w:sz w:val="20"/>
        </w:rPr>
        <w:t xml:space="preserve"> </w:t>
      </w:r>
      <w:r w:rsidRPr="00EA59C0">
        <w:rPr>
          <w:rFonts w:ascii="Arial" w:hAnsi="Arial" w:cs="Arial"/>
          <w:color w:val="auto"/>
          <w:sz w:val="20"/>
        </w:rPr>
        <w:t>Teresa</w:t>
      </w:r>
      <w:r w:rsidR="00C026A6" w:rsidRPr="00EA59C0">
        <w:rPr>
          <w:rFonts w:ascii="Arial" w:hAnsi="Arial" w:cs="Arial"/>
          <w:color w:val="auto"/>
          <w:sz w:val="20"/>
        </w:rPr>
        <w:t xml:space="preserve"> </w:t>
      </w:r>
      <w:r w:rsidRPr="00EA59C0">
        <w:rPr>
          <w:rFonts w:ascii="Arial" w:hAnsi="Arial" w:cs="Arial"/>
          <w:color w:val="auto"/>
          <w:sz w:val="20"/>
        </w:rPr>
        <w:t>Derrick-Mills,</w:t>
      </w:r>
      <w:r w:rsidR="00C026A6" w:rsidRPr="00EA59C0">
        <w:rPr>
          <w:rFonts w:ascii="Arial" w:hAnsi="Arial" w:cs="Arial"/>
          <w:color w:val="auto"/>
          <w:sz w:val="20"/>
        </w:rPr>
        <w:t xml:space="preserve"> </w:t>
      </w:r>
      <w:r w:rsidRPr="00EA59C0">
        <w:rPr>
          <w:rFonts w:ascii="Arial" w:hAnsi="Arial" w:cs="Arial"/>
          <w:color w:val="auto"/>
          <w:sz w:val="20"/>
        </w:rPr>
        <w:t>Lauren</w:t>
      </w:r>
      <w:r w:rsidR="00C026A6" w:rsidRPr="00EA59C0">
        <w:rPr>
          <w:rFonts w:ascii="Arial" w:hAnsi="Arial" w:cs="Arial"/>
          <w:color w:val="auto"/>
          <w:sz w:val="20"/>
        </w:rPr>
        <w:t xml:space="preserve"> </w:t>
      </w:r>
      <w:r w:rsidRPr="00EA59C0">
        <w:rPr>
          <w:rFonts w:ascii="Arial" w:hAnsi="Arial" w:cs="Arial"/>
          <w:color w:val="auto"/>
          <w:sz w:val="20"/>
        </w:rPr>
        <w:t>Eyster,</w:t>
      </w:r>
      <w:r w:rsidR="00C026A6" w:rsidRPr="00EA59C0">
        <w:rPr>
          <w:rFonts w:ascii="Arial" w:hAnsi="Arial" w:cs="Arial"/>
          <w:color w:val="auto"/>
          <w:sz w:val="20"/>
        </w:rPr>
        <w:t xml:space="preserve"> </w:t>
      </w:r>
      <w:r w:rsidRPr="00EA59C0">
        <w:rPr>
          <w:rFonts w:ascii="Arial" w:hAnsi="Arial" w:cs="Arial"/>
          <w:color w:val="auto"/>
          <w:sz w:val="20"/>
        </w:rPr>
        <w:t>Elaine</w:t>
      </w:r>
      <w:r w:rsidR="00C026A6" w:rsidRPr="00EA59C0">
        <w:rPr>
          <w:rFonts w:ascii="Arial" w:hAnsi="Arial" w:cs="Arial"/>
          <w:color w:val="auto"/>
          <w:sz w:val="20"/>
        </w:rPr>
        <w:t xml:space="preserve"> </w:t>
      </w:r>
      <w:r w:rsidRPr="00EA59C0">
        <w:rPr>
          <w:rFonts w:ascii="Arial" w:hAnsi="Arial" w:cs="Arial"/>
          <w:color w:val="auto"/>
          <w:sz w:val="20"/>
        </w:rPr>
        <w:t>Morley,</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Alan</w:t>
      </w:r>
      <w:r w:rsidR="00C026A6" w:rsidRPr="00EA59C0">
        <w:rPr>
          <w:rFonts w:ascii="Arial" w:hAnsi="Arial" w:cs="Arial"/>
          <w:color w:val="auto"/>
          <w:sz w:val="20"/>
        </w:rPr>
        <w:t xml:space="preserve"> </w:t>
      </w:r>
      <w:r w:rsidRPr="00EA59C0">
        <w:rPr>
          <w:rFonts w:ascii="Arial" w:hAnsi="Arial" w:cs="Arial"/>
          <w:color w:val="auto"/>
          <w:sz w:val="20"/>
        </w:rPr>
        <w:t>Werner</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Urban</w:t>
      </w:r>
      <w:r w:rsidR="00C026A6" w:rsidRPr="00EA59C0">
        <w:rPr>
          <w:rFonts w:ascii="Arial" w:hAnsi="Arial" w:cs="Arial"/>
          <w:color w:val="auto"/>
          <w:sz w:val="20"/>
        </w:rPr>
        <w:t xml:space="preserve"> </w:t>
      </w:r>
      <w:r w:rsidRPr="00EA59C0">
        <w:rPr>
          <w:rFonts w:ascii="Arial" w:hAnsi="Arial" w:cs="Arial"/>
          <w:color w:val="auto"/>
          <w:sz w:val="20"/>
        </w:rPr>
        <w:t>Institute</w:t>
      </w:r>
      <w:r w:rsidR="006F4A88"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February</w:t>
      </w:r>
      <w:r w:rsidR="00C026A6" w:rsidRPr="00EA59C0">
        <w:rPr>
          <w:rFonts w:ascii="Arial" w:hAnsi="Arial" w:cs="Arial"/>
          <w:color w:val="auto"/>
          <w:sz w:val="20"/>
        </w:rPr>
        <w:t xml:space="preserve"> </w:t>
      </w:r>
      <w:r w:rsidRPr="00EA59C0">
        <w:rPr>
          <w:rFonts w:ascii="Arial" w:hAnsi="Arial" w:cs="Arial"/>
          <w:color w:val="auto"/>
          <w:sz w:val="20"/>
        </w:rPr>
        <w:t>2014</w:t>
      </w:r>
      <w:r w:rsidR="00C026A6" w:rsidRPr="00EA59C0">
        <w:rPr>
          <w:rFonts w:ascii="Arial" w:hAnsi="Arial" w:cs="Arial"/>
          <w:color w:val="auto"/>
          <w:sz w:val="20"/>
        </w:rPr>
        <w:t xml:space="preserve"> </w:t>
      </w:r>
    </w:p>
    <w:p w:rsidR="00B752E6" w:rsidRPr="00EA59C0" w:rsidRDefault="00DF2916" w:rsidP="00B752E6">
      <w:pPr>
        <w:pStyle w:val="Default"/>
        <w:rPr>
          <w:rFonts w:ascii="Arial" w:hAnsi="Arial" w:cs="Arial"/>
          <w:color w:val="auto"/>
          <w:sz w:val="20"/>
        </w:rPr>
      </w:pPr>
      <w:hyperlink r:id="rId336" w:history="1">
        <w:r w:rsidR="006F4A88" w:rsidRPr="00EA59C0">
          <w:rPr>
            <w:rStyle w:val="Hyperlink"/>
            <w:rFonts w:ascii="Arial" w:hAnsi="Arial" w:cs="Arial"/>
            <w:color w:val="auto"/>
            <w:sz w:val="20"/>
          </w:rPr>
          <w:t>http://www.urban.org/publications/1001714.html</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Working</w:t>
      </w:r>
      <w:r w:rsidR="00C026A6" w:rsidRPr="00EA59C0">
        <w:rPr>
          <w:rFonts w:ascii="Arial" w:hAnsi="Arial" w:cs="Arial"/>
          <w:i/>
          <w:color w:val="auto"/>
          <w:sz w:val="20"/>
        </w:rPr>
        <w:t xml:space="preserve"> </w:t>
      </w:r>
      <w:r w:rsidRPr="00EA59C0">
        <w:rPr>
          <w:rFonts w:ascii="Arial" w:hAnsi="Arial" w:cs="Arial"/>
          <w:i/>
          <w:color w:val="auto"/>
          <w:sz w:val="20"/>
        </w:rPr>
        <w:t>for</w:t>
      </w:r>
      <w:r w:rsidR="00C026A6" w:rsidRPr="00EA59C0">
        <w:rPr>
          <w:rFonts w:ascii="Arial" w:hAnsi="Arial" w:cs="Arial"/>
          <w:i/>
          <w:color w:val="auto"/>
          <w:sz w:val="20"/>
        </w:rPr>
        <w:t xml:space="preserve"> </w:t>
      </w:r>
      <w:r w:rsidRPr="00EA59C0">
        <w:rPr>
          <w:rFonts w:ascii="Arial" w:hAnsi="Arial" w:cs="Arial"/>
          <w:i/>
          <w:color w:val="auto"/>
          <w:sz w:val="20"/>
        </w:rPr>
        <w:t>Adults:</w:t>
      </w:r>
      <w:r w:rsidR="00C026A6" w:rsidRPr="00EA59C0">
        <w:rPr>
          <w:rFonts w:ascii="Arial" w:hAnsi="Arial" w:cs="Arial"/>
          <w:i/>
          <w:color w:val="auto"/>
          <w:sz w:val="20"/>
        </w:rPr>
        <w:t xml:space="preserve"> </w:t>
      </w:r>
      <w:r w:rsidRPr="00EA59C0">
        <w:rPr>
          <w:rFonts w:ascii="Arial" w:hAnsi="Arial" w:cs="Arial"/>
          <w:i/>
          <w:color w:val="auto"/>
          <w:sz w:val="20"/>
        </w:rPr>
        <w:t>State</w:t>
      </w:r>
      <w:r w:rsidR="00C026A6" w:rsidRPr="00EA59C0">
        <w:rPr>
          <w:rFonts w:ascii="Arial" w:hAnsi="Arial" w:cs="Arial"/>
          <w:i/>
          <w:color w:val="auto"/>
          <w:sz w:val="20"/>
        </w:rPr>
        <w:t xml:space="preserve"> </w:t>
      </w:r>
      <w:r w:rsidRPr="00EA59C0">
        <w:rPr>
          <w:rFonts w:ascii="Arial" w:hAnsi="Arial" w:cs="Arial"/>
          <w:i/>
          <w:color w:val="auto"/>
          <w:sz w:val="20"/>
        </w:rPr>
        <w:t>Policies</w:t>
      </w:r>
      <w:r w:rsidR="00C026A6" w:rsidRPr="00EA59C0">
        <w:rPr>
          <w:rFonts w:ascii="Arial" w:hAnsi="Arial" w:cs="Arial"/>
          <w:i/>
          <w:color w:val="auto"/>
          <w:sz w:val="20"/>
        </w:rPr>
        <w:t xml:space="preserve"> </w:t>
      </w:r>
      <w:r w:rsidRPr="00EA59C0">
        <w:rPr>
          <w:rFonts w:ascii="Arial" w:hAnsi="Arial" w:cs="Arial"/>
          <w:i/>
          <w:color w:val="auto"/>
          <w:sz w:val="20"/>
        </w:rPr>
        <w:t>and</w:t>
      </w:r>
      <w:r w:rsidR="00C026A6" w:rsidRPr="00EA59C0">
        <w:rPr>
          <w:rFonts w:ascii="Arial" w:hAnsi="Arial" w:cs="Arial"/>
          <w:i/>
          <w:color w:val="auto"/>
          <w:sz w:val="20"/>
        </w:rPr>
        <w:t xml:space="preserve"> </w:t>
      </w:r>
      <w:r w:rsidRPr="00EA59C0">
        <w:rPr>
          <w:rFonts w:ascii="Arial" w:hAnsi="Arial" w:cs="Arial"/>
          <w:i/>
          <w:color w:val="auto"/>
          <w:sz w:val="20"/>
        </w:rPr>
        <w:t>Community</w:t>
      </w:r>
      <w:r w:rsidR="00C026A6" w:rsidRPr="00EA59C0">
        <w:rPr>
          <w:rFonts w:ascii="Arial" w:hAnsi="Arial" w:cs="Arial"/>
          <w:i/>
          <w:color w:val="auto"/>
          <w:sz w:val="20"/>
        </w:rPr>
        <w:t xml:space="preserve"> </w:t>
      </w:r>
      <w:r w:rsidRPr="00EA59C0">
        <w:rPr>
          <w:rFonts w:ascii="Arial" w:hAnsi="Arial" w:cs="Arial"/>
          <w:i/>
          <w:color w:val="auto"/>
          <w:sz w:val="20"/>
        </w:rPr>
        <w:t>College</w:t>
      </w:r>
      <w:r w:rsidR="00C026A6" w:rsidRPr="00EA59C0">
        <w:rPr>
          <w:rFonts w:ascii="Arial" w:hAnsi="Arial" w:cs="Arial"/>
          <w:i/>
          <w:color w:val="auto"/>
          <w:sz w:val="20"/>
        </w:rPr>
        <w:t xml:space="preserve"> </w:t>
      </w:r>
      <w:r w:rsidRPr="00EA59C0">
        <w:rPr>
          <w:rFonts w:ascii="Arial" w:hAnsi="Arial" w:cs="Arial"/>
          <w:i/>
          <w:color w:val="auto"/>
          <w:sz w:val="20"/>
        </w:rPr>
        <w:t>Practices</w:t>
      </w:r>
      <w:r w:rsidR="00C026A6" w:rsidRPr="00EA59C0">
        <w:rPr>
          <w:rFonts w:ascii="Arial" w:hAnsi="Arial" w:cs="Arial"/>
          <w:i/>
          <w:color w:val="auto"/>
          <w:sz w:val="20"/>
        </w:rPr>
        <w:t xml:space="preserve"> </w:t>
      </w:r>
      <w:r w:rsidRPr="00EA59C0">
        <w:rPr>
          <w:rFonts w:ascii="Arial" w:hAnsi="Arial" w:cs="Arial"/>
          <w:i/>
          <w:color w:val="auto"/>
          <w:sz w:val="20"/>
        </w:rPr>
        <w:t>to</w:t>
      </w:r>
      <w:r w:rsidR="00C026A6" w:rsidRPr="00EA59C0">
        <w:rPr>
          <w:rFonts w:ascii="Arial" w:hAnsi="Arial" w:cs="Arial"/>
          <w:i/>
          <w:color w:val="auto"/>
          <w:sz w:val="20"/>
        </w:rPr>
        <w:t xml:space="preserve"> </w:t>
      </w:r>
      <w:r w:rsidRPr="00EA59C0">
        <w:rPr>
          <w:rFonts w:ascii="Arial" w:hAnsi="Arial" w:cs="Arial"/>
          <w:i/>
          <w:color w:val="auto"/>
          <w:sz w:val="20"/>
        </w:rPr>
        <w:t>Better</w:t>
      </w:r>
      <w:r w:rsidR="00C026A6" w:rsidRPr="00EA59C0">
        <w:rPr>
          <w:rFonts w:ascii="Arial" w:hAnsi="Arial" w:cs="Arial"/>
          <w:i/>
          <w:color w:val="auto"/>
          <w:sz w:val="20"/>
        </w:rPr>
        <w:t xml:space="preserve"> </w:t>
      </w:r>
      <w:r w:rsidRPr="00EA59C0">
        <w:rPr>
          <w:rFonts w:ascii="Arial" w:hAnsi="Arial" w:cs="Arial"/>
          <w:i/>
          <w:color w:val="auto"/>
          <w:sz w:val="20"/>
        </w:rPr>
        <w:t>Serve</w:t>
      </w:r>
      <w:r w:rsidR="00C026A6" w:rsidRPr="00EA59C0">
        <w:rPr>
          <w:rFonts w:ascii="Arial" w:hAnsi="Arial" w:cs="Arial"/>
          <w:i/>
          <w:color w:val="auto"/>
          <w:sz w:val="20"/>
        </w:rPr>
        <w:t xml:space="preserve"> </w:t>
      </w:r>
      <w:r w:rsidRPr="00EA59C0">
        <w:rPr>
          <w:rFonts w:ascii="Arial" w:hAnsi="Arial" w:cs="Arial"/>
          <w:i/>
          <w:color w:val="auto"/>
          <w:sz w:val="20"/>
        </w:rPr>
        <w:t>Adult</w:t>
      </w:r>
      <w:r w:rsidR="00C026A6" w:rsidRPr="00EA59C0">
        <w:rPr>
          <w:rFonts w:ascii="Arial" w:hAnsi="Arial" w:cs="Arial"/>
          <w:i/>
          <w:color w:val="auto"/>
          <w:sz w:val="20"/>
        </w:rPr>
        <w:t xml:space="preserve"> </w:t>
      </w:r>
      <w:r w:rsidRPr="00EA59C0">
        <w:rPr>
          <w:rFonts w:ascii="Arial" w:hAnsi="Arial" w:cs="Arial"/>
          <w:i/>
          <w:color w:val="auto"/>
          <w:sz w:val="20"/>
        </w:rPr>
        <w:t>Learners</w:t>
      </w:r>
      <w:r w:rsidR="00C026A6" w:rsidRPr="00EA59C0">
        <w:rPr>
          <w:rFonts w:ascii="Arial" w:hAnsi="Arial" w:cs="Arial"/>
          <w:i/>
          <w:color w:val="auto"/>
          <w:sz w:val="20"/>
        </w:rPr>
        <w:t xml:space="preserve"> </w:t>
      </w:r>
      <w:r w:rsidRPr="00EA59C0">
        <w:rPr>
          <w:rFonts w:ascii="Arial" w:hAnsi="Arial" w:cs="Arial"/>
          <w:i/>
          <w:color w:val="auto"/>
          <w:sz w:val="20"/>
        </w:rPr>
        <w:t>at</w:t>
      </w:r>
      <w:r w:rsidR="00C026A6" w:rsidRPr="00EA59C0">
        <w:rPr>
          <w:rFonts w:ascii="Arial" w:hAnsi="Arial" w:cs="Arial"/>
          <w:i/>
          <w:color w:val="auto"/>
          <w:sz w:val="20"/>
        </w:rPr>
        <w:t xml:space="preserve"> </w:t>
      </w:r>
      <w:r w:rsidRPr="00EA59C0">
        <w:rPr>
          <w:rFonts w:ascii="Arial" w:hAnsi="Arial" w:cs="Arial"/>
          <w:i/>
          <w:color w:val="auto"/>
          <w:sz w:val="20"/>
        </w:rPr>
        <w:t>Community</w:t>
      </w:r>
      <w:r w:rsidR="00C026A6" w:rsidRPr="00EA59C0">
        <w:rPr>
          <w:rFonts w:ascii="Arial" w:hAnsi="Arial" w:cs="Arial"/>
          <w:i/>
          <w:color w:val="auto"/>
          <w:sz w:val="20"/>
        </w:rPr>
        <w:t xml:space="preserve"> </w:t>
      </w:r>
      <w:r w:rsidRPr="00EA59C0">
        <w:rPr>
          <w:rFonts w:ascii="Arial" w:hAnsi="Arial" w:cs="Arial"/>
          <w:i/>
          <w:color w:val="auto"/>
          <w:sz w:val="20"/>
        </w:rPr>
        <w:t>Colleges</w:t>
      </w:r>
      <w:r w:rsidR="00C026A6" w:rsidRPr="00EA59C0">
        <w:rPr>
          <w:rFonts w:ascii="Arial" w:hAnsi="Arial" w:cs="Arial"/>
          <w:i/>
          <w:color w:val="auto"/>
          <w:sz w:val="20"/>
        </w:rPr>
        <w:t xml:space="preserve"> </w:t>
      </w:r>
      <w:r w:rsidRPr="00EA59C0">
        <w:rPr>
          <w:rFonts w:ascii="Arial" w:hAnsi="Arial" w:cs="Arial"/>
          <w:i/>
          <w:color w:val="auto"/>
          <w:sz w:val="20"/>
        </w:rPr>
        <w:t>During</w:t>
      </w:r>
      <w:r w:rsidR="00C026A6" w:rsidRPr="00EA59C0">
        <w:rPr>
          <w:rFonts w:ascii="Arial" w:hAnsi="Arial" w:cs="Arial"/>
          <w:i/>
          <w:color w:val="auto"/>
          <w:sz w:val="20"/>
        </w:rPr>
        <w:t xml:space="preserve"> </w:t>
      </w:r>
      <w:r w:rsidRPr="00EA59C0">
        <w:rPr>
          <w:rFonts w:ascii="Arial" w:hAnsi="Arial" w:cs="Arial"/>
          <w:i/>
          <w:color w:val="auto"/>
          <w:sz w:val="20"/>
        </w:rPr>
        <w:t>the</w:t>
      </w:r>
      <w:r w:rsidR="00C026A6" w:rsidRPr="00EA59C0">
        <w:rPr>
          <w:rFonts w:ascii="Arial" w:hAnsi="Arial" w:cs="Arial"/>
          <w:i/>
          <w:color w:val="auto"/>
          <w:sz w:val="20"/>
        </w:rPr>
        <w:t xml:space="preserve"> </w:t>
      </w:r>
      <w:r w:rsidRPr="00EA59C0">
        <w:rPr>
          <w:rFonts w:ascii="Arial" w:hAnsi="Arial" w:cs="Arial"/>
          <w:i/>
          <w:color w:val="auto"/>
          <w:sz w:val="20"/>
        </w:rPr>
        <w:t>Great</w:t>
      </w:r>
      <w:r w:rsidR="00C026A6" w:rsidRPr="00EA59C0">
        <w:rPr>
          <w:rFonts w:ascii="Arial" w:hAnsi="Arial" w:cs="Arial"/>
          <w:i/>
          <w:color w:val="auto"/>
          <w:sz w:val="20"/>
        </w:rPr>
        <w:t xml:space="preserve"> </w:t>
      </w:r>
      <w:r w:rsidRPr="00EA59C0">
        <w:rPr>
          <w:rFonts w:ascii="Arial" w:hAnsi="Arial" w:cs="Arial"/>
          <w:i/>
          <w:color w:val="auto"/>
          <w:sz w:val="20"/>
        </w:rPr>
        <w:t>Recession</w:t>
      </w:r>
      <w:r w:rsidR="00C026A6" w:rsidRPr="00EA59C0">
        <w:rPr>
          <w:rFonts w:ascii="Arial" w:hAnsi="Arial" w:cs="Arial"/>
          <w:i/>
          <w:color w:val="auto"/>
          <w:sz w:val="20"/>
        </w:rPr>
        <w:t xml:space="preserve"> </w:t>
      </w:r>
      <w:r w:rsidRPr="00EA59C0">
        <w:rPr>
          <w:rFonts w:ascii="Arial" w:hAnsi="Arial" w:cs="Arial"/>
          <w:i/>
          <w:color w:val="auto"/>
          <w:sz w:val="20"/>
        </w:rPr>
        <w:t>and</w:t>
      </w:r>
      <w:r w:rsidR="00C026A6" w:rsidRPr="00EA59C0">
        <w:rPr>
          <w:rFonts w:ascii="Arial" w:hAnsi="Arial" w:cs="Arial"/>
          <w:i/>
          <w:color w:val="auto"/>
          <w:sz w:val="20"/>
        </w:rPr>
        <w:t xml:space="preserve"> </w:t>
      </w:r>
      <w:r w:rsidRPr="00EA59C0">
        <w:rPr>
          <w:rFonts w:ascii="Arial" w:hAnsi="Arial" w:cs="Arial"/>
          <w:i/>
          <w:color w:val="auto"/>
          <w:sz w:val="20"/>
        </w:rPr>
        <w:t>Beyond</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Michelle</w:t>
      </w:r>
      <w:r w:rsidR="00C026A6" w:rsidRPr="00EA59C0">
        <w:rPr>
          <w:rFonts w:ascii="Arial" w:hAnsi="Arial" w:cs="Arial"/>
          <w:color w:val="auto"/>
          <w:sz w:val="20"/>
        </w:rPr>
        <w:t xml:space="preserve"> </w:t>
      </w:r>
      <w:r w:rsidRPr="00EA59C0">
        <w:rPr>
          <w:rFonts w:ascii="Arial" w:hAnsi="Arial" w:cs="Arial"/>
          <w:color w:val="auto"/>
          <w:sz w:val="20"/>
        </w:rPr>
        <w:t>Van</w:t>
      </w:r>
      <w:r w:rsidR="00C026A6" w:rsidRPr="00EA59C0">
        <w:rPr>
          <w:rFonts w:ascii="Arial" w:hAnsi="Arial" w:cs="Arial"/>
          <w:color w:val="auto"/>
          <w:sz w:val="20"/>
        </w:rPr>
        <w:t xml:space="preserve"> </w:t>
      </w:r>
      <w:r w:rsidRPr="00EA59C0">
        <w:rPr>
          <w:rFonts w:ascii="Arial" w:hAnsi="Arial" w:cs="Arial"/>
          <w:color w:val="auto"/>
          <w:sz w:val="20"/>
        </w:rPr>
        <w:t>Noy</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Maria</w:t>
      </w:r>
      <w:r w:rsidR="00C026A6" w:rsidRPr="00EA59C0">
        <w:rPr>
          <w:rFonts w:ascii="Arial" w:hAnsi="Arial" w:cs="Arial"/>
          <w:color w:val="auto"/>
          <w:sz w:val="20"/>
        </w:rPr>
        <w:t xml:space="preserve"> </w:t>
      </w:r>
      <w:r w:rsidRPr="00EA59C0">
        <w:rPr>
          <w:rFonts w:ascii="Arial" w:hAnsi="Arial" w:cs="Arial"/>
          <w:color w:val="auto"/>
          <w:sz w:val="20"/>
        </w:rPr>
        <w:t>Heidkamp</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NTAR</w:t>
      </w:r>
      <w:r w:rsidR="00C026A6" w:rsidRPr="00EA59C0">
        <w:rPr>
          <w:rFonts w:ascii="Arial" w:hAnsi="Arial" w:cs="Arial"/>
          <w:color w:val="auto"/>
          <w:sz w:val="20"/>
        </w:rPr>
        <w:t xml:space="preserve"> </w:t>
      </w:r>
      <w:r w:rsidRPr="00EA59C0">
        <w:rPr>
          <w:rFonts w:ascii="Arial" w:hAnsi="Arial" w:cs="Arial"/>
          <w:color w:val="auto"/>
          <w:sz w:val="20"/>
        </w:rPr>
        <w:t>Leadership</w:t>
      </w:r>
      <w:r w:rsidR="00C026A6" w:rsidRPr="00EA59C0">
        <w:rPr>
          <w:rFonts w:ascii="Arial" w:hAnsi="Arial" w:cs="Arial"/>
          <w:color w:val="auto"/>
          <w:sz w:val="20"/>
        </w:rPr>
        <w:t xml:space="preserve"> </w:t>
      </w:r>
      <w:r w:rsidRPr="00EA59C0">
        <w:rPr>
          <w:rFonts w:ascii="Arial" w:hAnsi="Arial" w:cs="Arial"/>
          <w:color w:val="auto"/>
          <w:sz w:val="20"/>
        </w:rPr>
        <w:t>Center</w:t>
      </w:r>
      <w:r w:rsidR="006F4A88"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June</w:t>
      </w:r>
      <w:r w:rsidR="00C026A6" w:rsidRPr="00EA59C0">
        <w:rPr>
          <w:rFonts w:ascii="Arial" w:hAnsi="Arial" w:cs="Arial"/>
          <w:color w:val="auto"/>
          <w:sz w:val="20"/>
        </w:rPr>
        <w:t xml:space="preserve"> </w:t>
      </w:r>
      <w:r w:rsidRPr="00EA59C0">
        <w:rPr>
          <w:rFonts w:ascii="Arial" w:hAnsi="Arial" w:cs="Arial"/>
          <w:color w:val="auto"/>
          <w:sz w:val="20"/>
        </w:rPr>
        <w:t>2013</w:t>
      </w:r>
    </w:p>
    <w:p w:rsidR="00B752E6" w:rsidRPr="00EA59C0" w:rsidRDefault="00DF2916" w:rsidP="00B752E6">
      <w:pPr>
        <w:pStyle w:val="Default"/>
        <w:rPr>
          <w:rFonts w:ascii="Arial" w:hAnsi="Arial" w:cs="Arial"/>
          <w:color w:val="auto"/>
          <w:sz w:val="20"/>
        </w:rPr>
      </w:pPr>
      <w:hyperlink r:id="rId337" w:history="1">
        <w:r w:rsidR="006F4A88" w:rsidRPr="00EA59C0">
          <w:rPr>
            <w:rStyle w:val="Hyperlink"/>
            <w:rFonts w:ascii="Arial" w:hAnsi="Arial" w:cs="Arial"/>
            <w:color w:val="auto"/>
            <w:sz w:val="20"/>
          </w:rPr>
          <w:t>http://www.dol.gov/odep/pdf/WorkingForAdults.pdf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Adult</w:t>
      </w:r>
      <w:r w:rsidR="00C026A6" w:rsidRPr="00EA59C0">
        <w:rPr>
          <w:rFonts w:ascii="Arial" w:hAnsi="Arial" w:cs="Arial"/>
          <w:i/>
          <w:color w:val="auto"/>
          <w:sz w:val="20"/>
        </w:rPr>
        <w:t xml:space="preserve"> </w:t>
      </w:r>
      <w:r w:rsidRPr="00EA59C0">
        <w:rPr>
          <w:rFonts w:ascii="Arial" w:hAnsi="Arial" w:cs="Arial"/>
          <w:i/>
          <w:color w:val="auto"/>
          <w:sz w:val="20"/>
        </w:rPr>
        <w:t>College</w:t>
      </w:r>
      <w:r w:rsidR="00C026A6" w:rsidRPr="00EA59C0">
        <w:rPr>
          <w:rFonts w:ascii="Arial" w:hAnsi="Arial" w:cs="Arial"/>
          <w:i/>
          <w:color w:val="auto"/>
          <w:sz w:val="20"/>
        </w:rPr>
        <w:t xml:space="preserve"> </w:t>
      </w:r>
      <w:r w:rsidRPr="00EA59C0">
        <w:rPr>
          <w:rFonts w:ascii="Arial" w:hAnsi="Arial" w:cs="Arial"/>
          <w:i/>
          <w:color w:val="auto"/>
          <w:sz w:val="20"/>
        </w:rPr>
        <w:t>Completion</w:t>
      </w:r>
      <w:r w:rsidR="00C026A6" w:rsidRPr="00EA59C0">
        <w:rPr>
          <w:rFonts w:ascii="Arial" w:hAnsi="Arial" w:cs="Arial"/>
          <w:i/>
          <w:color w:val="auto"/>
          <w:sz w:val="20"/>
        </w:rPr>
        <w:t xml:space="preserve"> </w:t>
      </w:r>
      <w:r w:rsidRPr="00EA59C0">
        <w:rPr>
          <w:rFonts w:ascii="Arial" w:hAnsi="Arial" w:cs="Arial"/>
          <w:i/>
          <w:color w:val="auto"/>
          <w:sz w:val="20"/>
        </w:rPr>
        <w:t>Tool</w:t>
      </w:r>
      <w:r w:rsidR="00C026A6" w:rsidRPr="00EA59C0">
        <w:rPr>
          <w:rFonts w:ascii="Arial" w:hAnsi="Arial" w:cs="Arial"/>
          <w:i/>
          <w:color w:val="auto"/>
          <w:sz w:val="20"/>
        </w:rPr>
        <w:t xml:space="preserve"> </w:t>
      </w:r>
      <w:r w:rsidRPr="00EA59C0">
        <w:rPr>
          <w:rFonts w:ascii="Arial" w:hAnsi="Arial" w:cs="Arial"/>
          <w:i/>
          <w:color w:val="auto"/>
          <w:sz w:val="20"/>
        </w:rPr>
        <w:t>Kit</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U.S.</w:t>
      </w:r>
      <w:r w:rsidR="00C026A6" w:rsidRPr="00EA59C0">
        <w:rPr>
          <w:rFonts w:ascii="Arial" w:hAnsi="Arial" w:cs="Arial"/>
          <w:color w:val="auto"/>
          <w:sz w:val="20"/>
        </w:rPr>
        <w:t xml:space="preserve"> </w:t>
      </w:r>
      <w:r w:rsidRPr="00EA59C0">
        <w:rPr>
          <w:rFonts w:ascii="Arial" w:hAnsi="Arial" w:cs="Arial"/>
          <w:color w:val="auto"/>
          <w:sz w:val="20"/>
        </w:rPr>
        <w:t>Department</w:t>
      </w:r>
      <w:r w:rsidR="00C026A6" w:rsidRPr="00EA59C0">
        <w:rPr>
          <w:rFonts w:ascii="Arial" w:hAnsi="Arial" w:cs="Arial"/>
          <w:color w:val="auto"/>
          <w:sz w:val="20"/>
        </w:rPr>
        <w:t xml:space="preserve"> </w:t>
      </w:r>
      <w:r w:rsidRPr="00EA59C0">
        <w:rPr>
          <w:rFonts w:ascii="Arial" w:hAnsi="Arial" w:cs="Arial"/>
          <w:color w:val="auto"/>
          <w:sz w:val="20"/>
        </w:rPr>
        <w:t>of</w:t>
      </w:r>
      <w:r w:rsidR="00C026A6" w:rsidRPr="00EA59C0">
        <w:rPr>
          <w:rFonts w:ascii="Arial" w:hAnsi="Arial" w:cs="Arial"/>
          <w:color w:val="auto"/>
          <w:sz w:val="20"/>
        </w:rPr>
        <w:t xml:space="preserve"> </w:t>
      </w:r>
      <w:r w:rsidRPr="00EA59C0">
        <w:rPr>
          <w:rFonts w:ascii="Arial" w:hAnsi="Arial" w:cs="Arial"/>
          <w:color w:val="auto"/>
          <w:sz w:val="20"/>
        </w:rPr>
        <w:t>Education</w:t>
      </w:r>
      <w:r w:rsidR="006F4A88"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August</w:t>
      </w:r>
      <w:r w:rsidR="00C026A6" w:rsidRPr="00EA59C0">
        <w:rPr>
          <w:rFonts w:ascii="Arial" w:hAnsi="Arial" w:cs="Arial"/>
          <w:color w:val="auto"/>
          <w:sz w:val="20"/>
        </w:rPr>
        <w:t xml:space="preserve"> </w:t>
      </w:r>
      <w:r w:rsidRPr="00EA59C0">
        <w:rPr>
          <w:rFonts w:ascii="Arial" w:hAnsi="Arial" w:cs="Arial"/>
          <w:color w:val="auto"/>
          <w:sz w:val="20"/>
        </w:rPr>
        <w:t>2012</w:t>
      </w:r>
    </w:p>
    <w:p w:rsidR="00B752E6" w:rsidRPr="00EA59C0" w:rsidRDefault="00DF2916" w:rsidP="00B752E6">
      <w:pPr>
        <w:pStyle w:val="Default"/>
        <w:rPr>
          <w:rFonts w:ascii="Arial" w:hAnsi="Arial" w:cs="Arial"/>
          <w:color w:val="auto"/>
          <w:sz w:val="20"/>
        </w:rPr>
      </w:pPr>
      <w:hyperlink r:id="rId338" w:history="1">
        <w:r w:rsidR="006F4A88" w:rsidRPr="00EA59C0">
          <w:rPr>
            <w:rStyle w:val="Hyperlink"/>
            <w:rFonts w:ascii="Arial" w:hAnsi="Arial" w:cs="Arial"/>
            <w:color w:val="auto"/>
            <w:sz w:val="20"/>
          </w:rPr>
          <w:t>http://www2.ed.gov/about/offices/list/ovae/resource/adult-college-completion-tool-kit.pdf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Changing</w:t>
      </w:r>
      <w:r w:rsidR="00C026A6" w:rsidRPr="00EA59C0">
        <w:rPr>
          <w:rFonts w:ascii="Arial" w:hAnsi="Arial" w:cs="Arial"/>
          <w:i/>
          <w:color w:val="auto"/>
          <w:sz w:val="20"/>
        </w:rPr>
        <w:t xml:space="preserve"> </w:t>
      </w:r>
      <w:r w:rsidRPr="00EA59C0">
        <w:rPr>
          <w:rFonts w:ascii="Arial" w:hAnsi="Arial" w:cs="Arial"/>
          <w:i/>
          <w:color w:val="auto"/>
          <w:sz w:val="20"/>
        </w:rPr>
        <w:t>Course:</w:t>
      </w:r>
      <w:r w:rsidR="00C026A6" w:rsidRPr="00EA59C0">
        <w:rPr>
          <w:rFonts w:ascii="Arial" w:hAnsi="Arial" w:cs="Arial"/>
          <w:i/>
          <w:color w:val="auto"/>
          <w:sz w:val="20"/>
        </w:rPr>
        <w:t xml:space="preserve"> </w:t>
      </w:r>
      <w:r w:rsidRPr="00EA59C0">
        <w:rPr>
          <w:rFonts w:ascii="Arial" w:hAnsi="Arial" w:cs="Arial"/>
          <w:i/>
          <w:color w:val="auto"/>
          <w:sz w:val="20"/>
        </w:rPr>
        <w:t>A</w:t>
      </w:r>
      <w:r w:rsidR="00C026A6" w:rsidRPr="00EA59C0">
        <w:rPr>
          <w:rFonts w:ascii="Arial" w:hAnsi="Arial" w:cs="Arial"/>
          <w:i/>
          <w:color w:val="auto"/>
          <w:sz w:val="20"/>
        </w:rPr>
        <w:t xml:space="preserve"> </w:t>
      </w:r>
      <w:r w:rsidRPr="00EA59C0">
        <w:rPr>
          <w:rFonts w:ascii="Arial" w:hAnsi="Arial" w:cs="Arial"/>
          <w:i/>
          <w:color w:val="auto"/>
          <w:sz w:val="20"/>
        </w:rPr>
        <w:t>Guide</w:t>
      </w:r>
      <w:r w:rsidR="00C026A6" w:rsidRPr="00EA59C0">
        <w:rPr>
          <w:rFonts w:ascii="Arial" w:hAnsi="Arial" w:cs="Arial"/>
          <w:i/>
          <w:color w:val="auto"/>
          <w:sz w:val="20"/>
        </w:rPr>
        <w:t xml:space="preserve"> </w:t>
      </w:r>
      <w:r w:rsidRPr="00EA59C0">
        <w:rPr>
          <w:rFonts w:ascii="Arial" w:hAnsi="Arial" w:cs="Arial"/>
          <w:i/>
          <w:color w:val="auto"/>
          <w:sz w:val="20"/>
        </w:rPr>
        <w:t>to</w:t>
      </w:r>
      <w:r w:rsidR="00C026A6" w:rsidRPr="00EA59C0">
        <w:rPr>
          <w:rFonts w:ascii="Arial" w:hAnsi="Arial" w:cs="Arial"/>
          <w:i/>
          <w:color w:val="auto"/>
          <w:sz w:val="20"/>
        </w:rPr>
        <w:t xml:space="preserve"> </w:t>
      </w:r>
      <w:r w:rsidRPr="00EA59C0">
        <w:rPr>
          <w:rFonts w:ascii="Arial" w:hAnsi="Arial" w:cs="Arial"/>
          <w:i/>
          <w:color w:val="auto"/>
          <w:sz w:val="20"/>
        </w:rPr>
        <w:t>Increasing</w:t>
      </w:r>
      <w:r w:rsidR="00C026A6" w:rsidRPr="00EA59C0">
        <w:rPr>
          <w:rFonts w:ascii="Arial" w:hAnsi="Arial" w:cs="Arial"/>
          <w:i/>
          <w:color w:val="auto"/>
          <w:sz w:val="20"/>
        </w:rPr>
        <w:t xml:space="preserve"> </w:t>
      </w:r>
      <w:r w:rsidRPr="00EA59C0">
        <w:rPr>
          <w:rFonts w:ascii="Arial" w:hAnsi="Arial" w:cs="Arial"/>
          <w:i/>
          <w:color w:val="auto"/>
          <w:sz w:val="20"/>
        </w:rPr>
        <w:t>Student</w:t>
      </w:r>
      <w:r w:rsidR="00C026A6" w:rsidRPr="00EA59C0">
        <w:rPr>
          <w:rFonts w:ascii="Arial" w:hAnsi="Arial" w:cs="Arial"/>
          <w:i/>
          <w:color w:val="auto"/>
          <w:sz w:val="20"/>
        </w:rPr>
        <w:t xml:space="preserve"> </w:t>
      </w:r>
      <w:r w:rsidRPr="00EA59C0">
        <w:rPr>
          <w:rFonts w:ascii="Arial" w:hAnsi="Arial" w:cs="Arial"/>
          <w:i/>
          <w:color w:val="auto"/>
          <w:sz w:val="20"/>
        </w:rPr>
        <w:t>Completion</w:t>
      </w:r>
      <w:r w:rsidR="00C026A6" w:rsidRPr="00EA59C0">
        <w:rPr>
          <w:rFonts w:ascii="Arial" w:hAnsi="Arial" w:cs="Arial"/>
          <w:i/>
          <w:color w:val="auto"/>
          <w:sz w:val="20"/>
        </w:rPr>
        <w:t xml:space="preserve"> </w:t>
      </w:r>
      <w:r w:rsidRPr="00EA59C0">
        <w:rPr>
          <w:rFonts w:ascii="Arial" w:hAnsi="Arial" w:cs="Arial"/>
          <w:i/>
          <w:color w:val="auto"/>
          <w:sz w:val="20"/>
        </w:rPr>
        <w:t>in</w:t>
      </w:r>
      <w:r w:rsidR="00C026A6" w:rsidRPr="00EA59C0">
        <w:rPr>
          <w:rFonts w:ascii="Arial" w:hAnsi="Arial" w:cs="Arial"/>
          <w:i/>
          <w:color w:val="auto"/>
          <w:sz w:val="20"/>
        </w:rPr>
        <w:t xml:space="preserve"> </w:t>
      </w:r>
      <w:r w:rsidRPr="00EA59C0">
        <w:rPr>
          <w:rFonts w:ascii="Arial" w:hAnsi="Arial" w:cs="Arial"/>
          <w:i/>
          <w:color w:val="auto"/>
          <w:sz w:val="20"/>
        </w:rPr>
        <w:t>Community</w:t>
      </w:r>
      <w:r w:rsidR="00C026A6" w:rsidRPr="00EA59C0">
        <w:rPr>
          <w:rFonts w:ascii="Arial" w:hAnsi="Arial" w:cs="Arial"/>
          <w:i/>
          <w:color w:val="auto"/>
          <w:sz w:val="20"/>
        </w:rPr>
        <w:t xml:space="preserve"> </w:t>
      </w:r>
      <w:r w:rsidRPr="00EA59C0">
        <w:rPr>
          <w:rFonts w:ascii="Arial" w:hAnsi="Arial" w:cs="Arial"/>
          <w:i/>
          <w:color w:val="auto"/>
          <w:sz w:val="20"/>
        </w:rPr>
        <w:t>Colleges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Thad</w:t>
      </w:r>
      <w:r w:rsidR="00C026A6" w:rsidRPr="00EA59C0">
        <w:rPr>
          <w:rFonts w:ascii="Arial" w:hAnsi="Arial" w:cs="Arial"/>
          <w:color w:val="auto"/>
          <w:sz w:val="20"/>
        </w:rPr>
        <w:t xml:space="preserve"> </w:t>
      </w:r>
      <w:r w:rsidRPr="00EA59C0">
        <w:rPr>
          <w:rFonts w:ascii="Arial" w:hAnsi="Arial" w:cs="Arial"/>
          <w:color w:val="auto"/>
          <w:sz w:val="20"/>
        </w:rPr>
        <w:t>Nodine,</w:t>
      </w:r>
      <w:r w:rsidR="00C026A6" w:rsidRPr="00EA59C0">
        <w:rPr>
          <w:rFonts w:ascii="Arial" w:hAnsi="Arial" w:cs="Arial"/>
          <w:color w:val="auto"/>
          <w:sz w:val="20"/>
        </w:rPr>
        <w:t xml:space="preserve"> </w:t>
      </w:r>
      <w:r w:rsidRPr="00EA59C0">
        <w:rPr>
          <w:rFonts w:ascii="Arial" w:hAnsi="Arial" w:cs="Arial"/>
          <w:color w:val="auto"/>
          <w:sz w:val="20"/>
        </w:rPr>
        <w:t>Andrea</w:t>
      </w:r>
      <w:r w:rsidR="00C026A6" w:rsidRPr="00EA59C0">
        <w:rPr>
          <w:rFonts w:ascii="Arial" w:hAnsi="Arial" w:cs="Arial"/>
          <w:color w:val="auto"/>
          <w:sz w:val="20"/>
        </w:rPr>
        <w:t xml:space="preserve"> </w:t>
      </w:r>
      <w:r w:rsidRPr="00EA59C0">
        <w:rPr>
          <w:rFonts w:ascii="Arial" w:hAnsi="Arial" w:cs="Arial"/>
          <w:color w:val="auto"/>
          <w:sz w:val="20"/>
        </w:rPr>
        <w:t>Venezia</w:t>
      </w:r>
      <w:r w:rsidR="00C026A6" w:rsidRPr="00EA59C0">
        <w:rPr>
          <w:rFonts w:ascii="Arial" w:hAnsi="Arial" w:cs="Arial"/>
          <w:color w:val="auto"/>
          <w:sz w:val="20"/>
        </w:rPr>
        <w:t xml:space="preserve"> </w:t>
      </w:r>
      <w:r w:rsidRPr="00EA59C0">
        <w:rPr>
          <w:rFonts w:ascii="Arial" w:hAnsi="Arial" w:cs="Arial"/>
          <w:color w:val="auto"/>
          <w:sz w:val="20"/>
        </w:rPr>
        <w:t>and</w:t>
      </w:r>
      <w:r w:rsidR="00C026A6" w:rsidRPr="00EA59C0">
        <w:rPr>
          <w:rFonts w:ascii="Arial" w:hAnsi="Arial" w:cs="Arial"/>
          <w:color w:val="auto"/>
          <w:sz w:val="20"/>
        </w:rPr>
        <w:t xml:space="preserve"> </w:t>
      </w:r>
      <w:r w:rsidRPr="00EA59C0">
        <w:rPr>
          <w:rFonts w:ascii="Arial" w:hAnsi="Arial" w:cs="Arial"/>
          <w:color w:val="auto"/>
          <w:sz w:val="20"/>
        </w:rPr>
        <w:t>Kathy</w:t>
      </w:r>
      <w:r w:rsidR="00C026A6" w:rsidRPr="00EA59C0">
        <w:rPr>
          <w:rFonts w:ascii="Arial" w:hAnsi="Arial" w:cs="Arial"/>
          <w:color w:val="auto"/>
          <w:sz w:val="20"/>
        </w:rPr>
        <w:t xml:space="preserve"> </w:t>
      </w:r>
      <w:r w:rsidRPr="00EA59C0">
        <w:rPr>
          <w:rFonts w:ascii="Arial" w:hAnsi="Arial" w:cs="Arial"/>
          <w:color w:val="auto"/>
          <w:sz w:val="20"/>
        </w:rPr>
        <w:t>Bracco</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WestED</w:t>
      </w:r>
      <w:r w:rsidR="006F4A88"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October</w:t>
      </w:r>
      <w:r w:rsidR="00C026A6" w:rsidRPr="00EA59C0">
        <w:rPr>
          <w:rFonts w:ascii="Arial" w:hAnsi="Arial" w:cs="Arial"/>
          <w:color w:val="auto"/>
          <w:sz w:val="20"/>
        </w:rPr>
        <w:t xml:space="preserve"> </w:t>
      </w:r>
      <w:r w:rsidRPr="00EA59C0">
        <w:rPr>
          <w:rFonts w:ascii="Arial" w:hAnsi="Arial" w:cs="Arial"/>
          <w:color w:val="auto"/>
          <w:sz w:val="20"/>
        </w:rPr>
        <w:t>2011</w:t>
      </w:r>
    </w:p>
    <w:p w:rsidR="00B752E6" w:rsidRPr="00EA59C0" w:rsidRDefault="00DF2916" w:rsidP="00B752E6">
      <w:pPr>
        <w:pStyle w:val="Default"/>
        <w:rPr>
          <w:rFonts w:ascii="Arial" w:hAnsi="Arial" w:cs="Arial"/>
          <w:color w:val="auto"/>
          <w:sz w:val="20"/>
        </w:rPr>
      </w:pPr>
      <w:hyperlink r:id="rId339" w:history="1">
        <w:r w:rsidR="006F4A88" w:rsidRPr="00EA59C0">
          <w:rPr>
            <w:rStyle w:val="Hyperlink"/>
            <w:rFonts w:ascii="Arial" w:hAnsi="Arial" w:cs="Arial"/>
            <w:color w:val="auto"/>
            <w:sz w:val="20"/>
          </w:rPr>
          <w:t>http://knowledgecenter.completionbydesign.org/sites/default/files/changing_course_V1_fb_10032011.pdf</w:t>
        </w:r>
      </w:hyperlink>
      <w:r w:rsidR="00C026A6" w:rsidRPr="00EA59C0">
        <w:rPr>
          <w:rFonts w:ascii="Arial" w:hAnsi="Arial" w:cs="Arial"/>
          <w:color w:val="auto"/>
          <w:sz w:val="20"/>
        </w:rPr>
        <w:t xml:space="preserve"> </w:t>
      </w:r>
    </w:p>
    <w:p w:rsidR="00B752E6" w:rsidRPr="00EA59C0" w:rsidRDefault="00B752E6" w:rsidP="00B752E6">
      <w:pPr>
        <w:pStyle w:val="Default"/>
        <w:rPr>
          <w:rFonts w:ascii="Arial" w:hAnsi="Arial" w:cs="Arial"/>
          <w:color w:val="auto"/>
          <w:sz w:val="20"/>
        </w:rPr>
      </w:pPr>
    </w:p>
    <w:p w:rsidR="00B752E6" w:rsidRPr="00EA59C0" w:rsidRDefault="00B752E6" w:rsidP="00B752E6">
      <w:pPr>
        <w:pStyle w:val="Default"/>
        <w:rPr>
          <w:rFonts w:ascii="Arial" w:hAnsi="Arial" w:cs="Arial"/>
          <w:i/>
          <w:color w:val="auto"/>
          <w:sz w:val="20"/>
        </w:rPr>
      </w:pPr>
      <w:r w:rsidRPr="00EA59C0">
        <w:rPr>
          <w:rFonts w:ascii="Arial" w:hAnsi="Arial" w:cs="Arial"/>
          <w:i/>
          <w:color w:val="auto"/>
          <w:sz w:val="20"/>
        </w:rPr>
        <w:t>Career</w:t>
      </w:r>
      <w:r w:rsidR="00C026A6" w:rsidRPr="00EA59C0">
        <w:rPr>
          <w:rFonts w:ascii="Arial" w:hAnsi="Arial" w:cs="Arial"/>
          <w:i/>
          <w:color w:val="auto"/>
          <w:sz w:val="20"/>
        </w:rPr>
        <w:t xml:space="preserve"> </w:t>
      </w:r>
      <w:r w:rsidRPr="00EA59C0">
        <w:rPr>
          <w:rFonts w:ascii="Arial" w:hAnsi="Arial" w:cs="Arial"/>
          <w:i/>
          <w:color w:val="auto"/>
          <w:sz w:val="20"/>
        </w:rPr>
        <w:t>Pathways</w:t>
      </w:r>
      <w:r w:rsidR="00C026A6" w:rsidRPr="00EA59C0">
        <w:rPr>
          <w:rFonts w:ascii="Arial" w:hAnsi="Arial" w:cs="Arial"/>
          <w:i/>
          <w:color w:val="auto"/>
          <w:sz w:val="20"/>
        </w:rPr>
        <w:t xml:space="preserve"> </w:t>
      </w:r>
      <w:r w:rsidRPr="00EA59C0">
        <w:rPr>
          <w:rFonts w:ascii="Arial" w:hAnsi="Arial" w:cs="Arial"/>
          <w:i/>
          <w:color w:val="auto"/>
          <w:sz w:val="20"/>
        </w:rPr>
        <w:t>Toolkit:</w:t>
      </w:r>
      <w:r w:rsidR="00C026A6" w:rsidRPr="00EA59C0">
        <w:rPr>
          <w:rFonts w:ascii="Arial" w:hAnsi="Arial" w:cs="Arial"/>
          <w:i/>
          <w:color w:val="auto"/>
          <w:sz w:val="20"/>
        </w:rPr>
        <w:t xml:space="preserve"> </w:t>
      </w:r>
      <w:r w:rsidRPr="00EA59C0">
        <w:rPr>
          <w:rFonts w:ascii="Arial" w:hAnsi="Arial" w:cs="Arial"/>
          <w:i/>
          <w:color w:val="auto"/>
          <w:sz w:val="20"/>
        </w:rPr>
        <w:t>Six</w:t>
      </w:r>
      <w:r w:rsidR="00C026A6" w:rsidRPr="00EA59C0">
        <w:rPr>
          <w:rFonts w:ascii="Arial" w:hAnsi="Arial" w:cs="Arial"/>
          <w:i/>
          <w:color w:val="auto"/>
          <w:sz w:val="20"/>
        </w:rPr>
        <w:t xml:space="preserve"> </w:t>
      </w:r>
      <w:r w:rsidRPr="00EA59C0">
        <w:rPr>
          <w:rFonts w:ascii="Arial" w:hAnsi="Arial" w:cs="Arial"/>
          <w:i/>
          <w:color w:val="auto"/>
          <w:sz w:val="20"/>
        </w:rPr>
        <w:t>Key</w:t>
      </w:r>
      <w:r w:rsidR="00C026A6" w:rsidRPr="00EA59C0">
        <w:rPr>
          <w:rFonts w:ascii="Arial" w:hAnsi="Arial" w:cs="Arial"/>
          <w:i/>
          <w:color w:val="auto"/>
          <w:sz w:val="20"/>
        </w:rPr>
        <w:t xml:space="preserve"> </w:t>
      </w:r>
      <w:r w:rsidRPr="00EA59C0">
        <w:rPr>
          <w:rFonts w:ascii="Arial" w:hAnsi="Arial" w:cs="Arial"/>
          <w:i/>
          <w:color w:val="auto"/>
          <w:sz w:val="20"/>
        </w:rPr>
        <w:t>Elements</w:t>
      </w:r>
      <w:r w:rsidR="00C026A6" w:rsidRPr="00EA59C0">
        <w:rPr>
          <w:rFonts w:ascii="Arial" w:hAnsi="Arial" w:cs="Arial"/>
          <w:i/>
          <w:color w:val="auto"/>
          <w:sz w:val="20"/>
        </w:rPr>
        <w:t xml:space="preserve"> </w:t>
      </w:r>
      <w:r w:rsidRPr="00EA59C0">
        <w:rPr>
          <w:rFonts w:ascii="Arial" w:hAnsi="Arial" w:cs="Arial"/>
          <w:i/>
          <w:color w:val="auto"/>
          <w:sz w:val="20"/>
        </w:rPr>
        <w:t>for</w:t>
      </w:r>
      <w:r w:rsidR="00C026A6" w:rsidRPr="00EA59C0">
        <w:rPr>
          <w:rFonts w:ascii="Arial" w:hAnsi="Arial" w:cs="Arial"/>
          <w:i/>
          <w:color w:val="auto"/>
          <w:sz w:val="20"/>
        </w:rPr>
        <w:t xml:space="preserve"> </w:t>
      </w:r>
      <w:r w:rsidRPr="00EA59C0">
        <w:rPr>
          <w:rFonts w:ascii="Arial" w:hAnsi="Arial" w:cs="Arial"/>
          <w:i/>
          <w:color w:val="auto"/>
          <w:sz w:val="20"/>
        </w:rPr>
        <w:t>Success</w:t>
      </w:r>
    </w:p>
    <w:p w:rsidR="00B752E6" w:rsidRPr="00EA59C0" w:rsidRDefault="00B752E6" w:rsidP="00B752E6">
      <w:pPr>
        <w:pStyle w:val="Default"/>
        <w:rPr>
          <w:rFonts w:ascii="Arial" w:hAnsi="Arial" w:cs="Arial"/>
          <w:color w:val="auto"/>
          <w:sz w:val="20"/>
        </w:rPr>
      </w:pPr>
      <w:r w:rsidRPr="00EA59C0">
        <w:rPr>
          <w:rFonts w:ascii="Arial" w:hAnsi="Arial" w:cs="Arial"/>
          <w:color w:val="auto"/>
          <w:sz w:val="20"/>
        </w:rPr>
        <w:t>U.S.</w:t>
      </w:r>
      <w:r w:rsidR="00C026A6" w:rsidRPr="00EA59C0">
        <w:rPr>
          <w:rFonts w:ascii="Arial" w:hAnsi="Arial" w:cs="Arial"/>
          <w:color w:val="auto"/>
          <w:sz w:val="20"/>
        </w:rPr>
        <w:t xml:space="preserve"> </w:t>
      </w:r>
      <w:r w:rsidRPr="00EA59C0">
        <w:rPr>
          <w:rFonts w:ascii="Arial" w:hAnsi="Arial" w:cs="Arial"/>
          <w:color w:val="auto"/>
          <w:sz w:val="20"/>
        </w:rPr>
        <w:t>Department</w:t>
      </w:r>
      <w:r w:rsidR="00C026A6" w:rsidRPr="00EA59C0">
        <w:rPr>
          <w:rFonts w:ascii="Arial" w:hAnsi="Arial" w:cs="Arial"/>
          <w:color w:val="auto"/>
          <w:sz w:val="20"/>
        </w:rPr>
        <w:t xml:space="preserve"> </w:t>
      </w:r>
      <w:r w:rsidRPr="00EA59C0">
        <w:rPr>
          <w:rFonts w:ascii="Arial" w:hAnsi="Arial" w:cs="Arial"/>
          <w:color w:val="auto"/>
          <w:sz w:val="20"/>
        </w:rPr>
        <w:t>of</w:t>
      </w:r>
      <w:r w:rsidR="00C026A6" w:rsidRPr="00EA59C0">
        <w:rPr>
          <w:rFonts w:ascii="Arial" w:hAnsi="Arial" w:cs="Arial"/>
          <w:color w:val="auto"/>
          <w:sz w:val="20"/>
        </w:rPr>
        <w:t xml:space="preserve"> </w:t>
      </w:r>
      <w:r w:rsidRPr="00EA59C0">
        <w:rPr>
          <w:rFonts w:ascii="Arial" w:hAnsi="Arial" w:cs="Arial"/>
          <w:color w:val="auto"/>
          <w:sz w:val="20"/>
        </w:rPr>
        <w:t>Labor</w:t>
      </w:r>
      <w:r w:rsidR="006F4A88" w:rsidRPr="00EA59C0">
        <w:rPr>
          <w:rFonts w:ascii="Arial" w:hAnsi="Arial" w:cs="Arial"/>
          <w:color w:val="auto"/>
          <w:sz w:val="20"/>
        </w:rPr>
        <w:t>,</w:t>
      </w:r>
      <w:r w:rsidR="00C026A6" w:rsidRPr="00EA59C0">
        <w:rPr>
          <w:rFonts w:ascii="Arial" w:hAnsi="Arial" w:cs="Arial"/>
          <w:color w:val="auto"/>
          <w:sz w:val="20"/>
        </w:rPr>
        <w:t xml:space="preserve"> </w:t>
      </w:r>
      <w:r w:rsidRPr="00EA59C0">
        <w:rPr>
          <w:rFonts w:ascii="Arial" w:hAnsi="Arial" w:cs="Arial"/>
          <w:color w:val="auto"/>
          <w:sz w:val="20"/>
        </w:rPr>
        <w:t>September</w:t>
      </w:r>
      <w:r w:rsidR="00C026A6" w:rsidRPr="00EA59C0">
        <w:rPr>
          <w:rFonts w:ascii="Arial" w:hAnsi="Arial" w:cs="Arial"/>
          <w:color w:val="auto"/>
          <w:sz w:val="20"/>
        </w:rPr>
        <w:t xml:space="preserve"> </w:t>
      </w:r>
      <w:r w:rsidRPr="00EA59C0">
        <w:rPr>
          <w:rFonts w:ascii="Arial" w:hAnsi="Arial" w:cs="Arial"/>
          <w:color w:val="auto"/>
          <w:sz w:val="20"/>
        </w:rPr>
        <w:t>2011</w:t>
      </w:r>
    </w:p>
    <w:p w:rsidR="00B752E6" w:rsidRPr="00EA59C0" w:rsidRDefault="00DF2916" w:rsidP="00B752E6">
      <w:pPr>
        <w:pStyle w:val="Default"/>
        <w:rPr>
          <w:rFonts w:ascii="Arial" w:hAnsi="Arial" w:cs="Arial"/>
          <w:color w:val="auto"/>
          <w:sz w:val="20"/>
        </w:rPr>
      </w:pPr>
      <w:hyperlink r:id="rId340" w:history="1">
        <w:r w:rsidR="006F4A88" w:rsidRPr="00EA59C0">
          <w:rPr>
            <w:rStyle w:val="Hyperlink"/>
            <w:rFonts w:ascii="Arial" w:hAnsi="Arial" w:cs="Arial"/>
            <w:color w:val="auto"/>
            <w:sz w:val="20"/>
          </w:rPr>
          <w:t>http://www.workforceinfodb.org/PDF/CareerPathwaysToolkit2011.pdf</w:t>
        </w:r>
      </w:hyperlink>
      <w:r w:rsidR="00C026A6" w:rsidRPr="00EA59C0">
        <w:rPr>
          <w:rFonts w:ascii="Arial" w:hAnsi="Arial" w:cs="Arial"/>
          <w:color w:val="auto"/>
          <w:sz w:val="20"/>
        </w:rPr>
        <w:t xml:space="preserve"> </w:t>
      </w:r>
    </w:p>
    <w:p w:rsidR="00B752E6" w:rsidRPr="00EA59C0" w:rsidRDefault="00B752E6" w:rsidP="00DB00BB">
      <w:pPr>
        <w:pStyle w:val="Default"/>
        <w:rPr>
          <w:rFonts w:ascii="Arial" w:hAnsi="Arial" w:cs="Arial"/>
          <w:color w:val="auto"/>
          <w:sz w:val="20"/>
        </w:rPr>
      </w:pPr>
    </w:p>
    <w:p w:rsidR="008826BE" w:rsidRPr="00EA59C0" w:rsidRDefault="008826BE" w:rsidP="00DB00BB">
      <w:pPr>
        <w:spacing w:after="120"/>
        <w:rPr>
          <w:rFonts w:ascii="Arial" w:hAnsi="Arial" w:cs="Arial"/>
          <w:b/>
          <w:sz w:val="18"/>
          <w:szCs w:val="22"/>
        </w:rPr>
      </w:pPr>
      <w:r w:rsidRPr="00EA59C0">
        <w:rPr>
          <w:rFonts w:ascii="Arial" w:hAnsi="Arial" w:cs="Arial"/>
          <w:b/>
          <w:sz w:val="18"/>
          <w:szCs w:val="22"/>
        </w:rPr>
        <w:br w:type="page"/>
      </w:r>
    </w:p>
    <w:p w:rsidR="008826BE" w:rsidRPr="00EA59C0" w:rsidRDefault="008826BE" w:rsidP="00DB00BB">
      <w:pPr>
        <w:pStyle w:val="NoSpacing"/>
        <w:rPr>
          <w:rFonts w:ascii="Arial" w:hAnsi="Arial" w:cs="Arial"/>
          <w:b/>
        </w:rPr>
      </w:pPr>
      <w:r w:rsidRPr="00EA59C0">
        <w:rPr>
          <w:rFonts w:ascii="Arial" w:hAnsi="Arial" w:cs="Arial"/>
          <w:b/>
        </w:rPr>
        <w:t>Appendix</w:t>
      </w:r>
      <w:r w:rsidR="00C026A6" w:rsidRPr="00EA59C0">
        <w:rPr>
          <w:rFonts w:ascii="Arial" w:hAnsi="Arial" w:cs="Arial"/>
          <w:b/>
        </w:rPr>
        <w:t xml:space="preserve"> </w:t>
      </w:r>
      <w:r w:rsidRPr="00EA59C0">
        <w:rPr>
          <w:rFonts w:ascii="Arial" w:hAnsi="Arial" w:cs="Arial"/>
          <w:b/>
        </w:rPr>
        <w:t>D:</w:t>
      </w:r>
      <w:r w:rsidR="00C026A6" w:rsidRPr="00EA59C0">
        <w:rPr>
          <w:rFonts w:ascii="Arial" w:hAnsi="Arial" w:cs="Arial"/>
          <w:b/>
        </w:rPr>
        <w:t xml:space="preserve"> </w:t>
      </w:r>
      <w:r w:rsidRPr="00EA59C0">
        <w:rPr>
          <w:rFonts w:ascii="Arial" w:hAnsi="Arial" w:cs="Arial"/>
          <w:b/>
        </w:rPr>
        <w:t>Resources</w:t>
      </w:r>
      <w:r w:rsidR="00C026A6" w:rsidRPr="00EA59C0">
        <w:rPr>
          <w:rFonts w:ascii="Arial" w:hAnsi="Arial" w:cs="Arial"/>
          <w:b/>
        </w:rPr>
        <w:t xml:space="preserve"> </w:t>
      </w:r>
      <w:r w:rsidRPr="00EA59C0">
        <w:rPr>
          <w:rFonts w:ascii="Arial" w:hAnsi="Arial" w:cs="Arial"/>
          <w:b/>
        </w:rPr>
        <w:t>for</w:t>
      </w:r>
      <w:r w:rsidR="00C026A6" w:rsidRPr="00EA59C0">
        <w:rPr>
          <w:rFonts w:ascii="Arial" w:hAnsi="Arial" w:cs="Arial"/>
          <w:b/>
        </w:rPr>
        <w:t xml:space="preserve"> </w:t>
      </w:r>
      <w:r w:rsidRPr="00EA59C0">
        <w:rPr>
          <w:rFonts w:ascii="Arial" w:hAnsi="Arial" w:cs="Arial"/>
          <w:b/>
        </w:rPr>
        <w:t>Open-Source</w:t>
      </w:r>
      <w:r w:rsidR="00C026A6" w:rsidRPr="00EA59C0">
        <w:rPr>
          <w:rFonts w:ascii="Arial" w:hAnsi="Arial" w:cs="Arial"/>
          <w:b/>
        </w:rPr>
        <w:t xml:space="preserve"> </w:t>
      </w:r>
      <w:r w:rsidRPr="00EA59C0">
        <w:rPr>
          <w:rFonts w:ascii="Arial" w:hAnsi="Arial" w:cs="Arial"/>
          <w:b/>
        </w:rPr>
        <w:t>Learning</w:t>
      </w:r>
      <w:r w:rsidR="00C026A6" w:rsidRPr="00EA59C0">
        <w:rPr>
          <w:rFonts w:ascii="Arial" w:hAnsi="Arial" w:cs="Arial"/>
          <w:b/>
        </w:rPr>
        <w:t xml:space="preserve"> </w:t>
      </w:r>
      <w:r w:rsidRPr="00EA59C0">
        <w:rPr>
          <w:rFonts w:ascii="Arial" w:hAnsi="Arial" w:cs="Arial"/>
          <w:b/>
        </w:rPr>
        <w:t>Platforms</w:t>
      </w:r>
      <w:r w:rsidR="00C026A6" w:rsidRPr="00EA59C0">
        <w:rPr>
          <w:rFonts w:ascii="Arial" w:hAnsi="Arial" w:cs="Arial"/>
          <w:b/>
        </w:rPr>
        <w:t xml:space="preserve"> </w:t>
      </w:r>
      <w:r w:rsidRPr="00EA59C0">
        <w:rPr>
          <w:rFonts w:ascii="Arial" w:hAnsi="Arial" w:cs="Arial"/>
          <w:b/>
        </w:rPr>
        <w:t>and</w:t>
      </w:r>
      <w:r w:rsidR="00C026A6" w:rsidRPr="00EA59C0">
        <w:rPr>
          <w:rFonts w:ascii="Arial" w:hAnsi="Arial" w:cs="Arial"/>
          <w:b/>
        </w:rPr>
        <w:t xml:space="preserve"> </w:t>
      </w:r>
      <w:r w:rsidRPr="00EA59C0">
        <w:rPr>
          <w:rFonts w:ascii="Arial" w:hAnsi="Arial" w:cs="Arial"/>
          <w:b/>
        </w:rPr>
        <w:t>Tools</w:t>
      </w:r>
    </w:p>
    <w:p w:rsidR="008826BE" w:rsidRPr="00EA59C0" w:rsidRDefault="008826BE" w:rsidP="00DB00BB">
      <w:pPr>
        <w:pStyle w:val="NoSpacing"/>
        <w:rPr>
          <w:rFonts w:ascii="Arial" w:hAnsi="Arial" w:cs="Arial"/>
          <w:b/>
        </w:rPr>
      </w:pPr>
    </w:p>
    <w:p w:rsidR="0053007C" w:rsidRPr="00EA59C0" w:rsidRDefault="0053007C" w:rsidP="0053007C">
      <w:pPr>
        <w:pStyle w:val="NoSpacing"/>
        <w:rPr>
          <w:rFonts w:ascii="Arial" w:hAnsi="Arial" w:cs="Arial"/>
          <w:i/>
          <w:sz w:val="20"/>
          <w:szCs w:val="20"/>
        </w:rPr>
      </w:pPr>
    </w:p>
    <w:p w:rsidR="0053007C" w:rsidRPr="00EA59C0" w:rsidRDefault="0053007C" w:rsidP="00080097">
      <w:pPr>
        <w:pStyle w:val="NoSpacing"/>
        <w:numPr>
          <w:ilvl w:val="2"/>
          <w:numId w:val="49"/>
        </w:numPr>
        <w:ind w:left="360" w:hanging="360"/>
        <w:rPr>
          <w:rFonts w:ascii="Arial" w:hAnsi="Arial" w:cs="Arial"/>
          <w:b/>
          <w:sz w:val="20"/>
          <w:szCs w:val="20"/>
        </w:rPr>
      </w:pPr>
      <w:r w:rsidRPr="00EA59C0">
        <w:rPr>
          <w:rFonts w:ascii="Arial" w:hAnsi="Arial" w:cs="Arial"/>
          <w:b/>
          <w:sz w:val="20"/>
          <w:szCs w:val="20"/>
        </w:rPr>
        <w:t>Online</w:t>
      </w:r>
      <w:r w:rsidR="00C026A6" w:rsidRPr="00EA59C0">
        <w:rPr>
          <w:rFonts w:ascii="Arial" w:hAnsi="Arial" w:cs="Arial"/>
          <w:b/>
          <w:sz w:val="20"/>
          <w:szCs w:val="20"/>
        </w:rPr>
        <w:t xml:space="preserve"> </w:t>
      </w:r>
      <w:r w:rsidRPr="00EA59C0">
        <w:rPr>
          <w:rFonts w:ascii="Arial" w:hAnsi="Arial" w:cs="Arial"/>
          <w:b/>
          <w:sz w:val="20"/>
          <w:szCs w:val="20"/>
        </w:rPr>
        <w:t>and</w:t>
      </w:r>
      <w:r w:rsidR="00C026A6" w:rsidRPr="00EA59C0">
        <w:rPr>
          <w:rFonts w:ascii="Arial" w:hAnsi="Arial" w:cs="Arial"/>
          <w:b/>
          <w:sz w:val="20"/>
          <w:szCs w:val="20"/>
        </w:rPr>
        <w:t xml:space="preserve"> </w:t>
      </w:r>
      <w:r w:rsidRPr="00EA59C0">
        <w:rPr>
          <w:rFonts w:ascii="Arial" w:hAnsi="Arial" w:cs="Arial"/>
          <w:b/>
          <w:sz w:val="20"/>
          <w:szCs w:val="20"/>
        </w:rPr>
        <w:t>Technology-Enabled</w:t>
      </w:r>
      <w:r w:rsidR="00C026A6" w:rsidRPr="00EA59C0">
        <w:rPr>
          <w:rFonts w:ascii="Arial" w:hAnsi="Arial" w:cs="Arial"/>
          <w:b/>
          <w:sz w:val="20"/>
          <w:szCs w:val="20"/>
        </w:rPr>
        <w:t xml:space="preserve"> </w:t>
      </w:r>
      <w:r w:rsidRPr="00EA59C0">
        <w:rPr>
          <w:rFonts w:ascii="Arial" w:hAnsi="Arial" w:cs="Arial"/>
          <w:b/>
          <w:sz w:val="20"/>
          <w:szCs w:val="20"/>
        </w:rPr>
        <w:t>Learning</w:t>
      </w:r>
      <w:r w:rsidR="00C026A6" w:rsidRPr="00EA59C0">
        <w:rPr>
          <w:rFonts w:ascii="Arial" w:hAnsi="Arial" w:cs="Arial"/>
          <w:b/>
          <w:sz w:val="20"/>
          <w:szCs w:val="20"/>
        </w:rPr>
        <w:t xml:space="preserve"> </w:t>
      </w:r>
      <w:r w:rsidRPr="00EA59C0">
        <w:rPr>
          <w:rFonts w:ascii="Arial" w:hAnsi="Arial" w:cs="Arial"/>
          <w:b/>
          <w:sz w:val="20"/>
          <w:szCs w:val="20"/>
        </w:rPr>
        <w:t>Resources</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NMC</w:t>
      </w:r>
      <w:r w:rsidR="00C026A6" w:rsidRPr="00EA59C0">
        <w:rPr>
          <w:rFonts w:ascii="Arial" w:hAnsi="Arial" w:cs="Arial"/>
          <w:sz w:val="20"/>
          <w:szCs w:val="20"/>
        </w:rPr>
        <w:t xml:space="preserve"> </w:t>
      </w:r>
      <w:r w:rsidRPr="00EA59C0">
        <w:rPr>
          <w:rFonts w:ascii="Arial" w:hAnsi="Arial" w:cs="Arial"/>
          <w:sz w:val="20"/>
          <w:szCs w:val="20"/>
        </w:rPr>
        <w:t>Horizon</w:t>
      </w:r>
      <w:r w:rsidR="00C026A6" w:rsidRPr="00EA59C0">
        <w:rPr>
          <w:rFonts w:ascii="Arial" w:hAnsi="Arial" w:cs="Arial"/>
          <w:sz w:val="20"/>
          <w:szCs w:val="20"/>
        </w:rPr>
        <w:t xml:space="preserve"> </w:t>
      </w:r>
      <w:r w:rsidRPr="00EA59C0">
        <w:rPr>
          <w:rFonts w:ascii="Arial" w:hAnsi="Arial" w:cs="Arial"/>
          <w:sz w:val="20"/>
          <w:szCs w:val="20"/>
        </w:rPr>
        <w:t>Report:</w:t>
      </w:r>
      <w:r w:rsidR="00C026A6" w:rsidRPr="00EA59C0">
        <w:rPr>
          <w:rFonts w:ascii="Arial" w:hAnsi="Arial" w:cs="Arial"/>
          <w:sz w:val="20"/>
          <w:szCs w:val="20"/>
        </w:rPr>
        <w:t xml:space="preserve"> </w:t>
      </w:r>
      <w:r w:rsidRPr="00EA59C0">
        <w:rPr>
          <w:rFonts w:ascii="Arial" w:hAnsi="Arial" w:cs="Arial"/>
          <w:sz w:val="20"/>
          <w:szCs w:val="20"/>
        </w:rPr>
        <w:t>2014</w:t>
      </w:r>
      <w:r w:rsidR="00C026A6" w:rsidRPr="00EA59C0">
        <w:rPr>
          <w:rFonts w:ascii="Arial" w:hAnsi="Arial" w:cs="Arial"/>
          <w:sz w:val="20"/>
          <w:szCs w:val="20"/>
        </w:rPr>
        <w:t xml:space="preserve"> </w:t>
      </w:r>
      <w:r w:rsidRPr="00EA59C0">
        <w:rPr>
          <w:rFonts w:ascii="Arial" w:hAnsi="Arial" w:cs="Arial"/>
          <w:sz w:val="20"/>
          <w:szCs w:val="20"/>
        </w:rPr>
        <w:t>Higher</w:t>
      </w:r>
      <w:r w:rsidR="00C026A6" w:rsidRPr="00EA59C0">
        <w:rPr>
          <w:rFonts w:ascii="Arial" w:hAnsi="Arial" w:cs="Arial"/>
          <w:sz w:val="20"/>
          <w:szCs w:val="20"/>
        </w:rPr>
        <w:t xml:space="preserve"> </w:t>
      </w:r>
      <w:r w:rsidRPr="00EA59C0">
        <w:rPr>
          <w:rFonts w:ascii="Arial" w:hAnsi="Arial" w:cs="Arial"/>
          <w:sz w:val="20"/>
          <w:szCs w:val="20"/>
        </w:rPr>
        <w:t>Education</w:t>
      </w:r>
      <w:r w:rsidR="00C026A6" w:rsidRPr="00EA59C0">
        <w:rPr>
          <w:rFonts w:ascii="Arial" w:hAnsi="Arial" w:cs="Arial"/>
          <w:sz w:val="20"/>
          <w:szCs w:val="20"/>
        </w:rPr>
        <w:t xml:space="preserve"> </w:t>
      </w:r>
      <w:r w:rsidRPr="00EA59C0">
        <w:rPr>
          <w:rFonts w:ascii="Arial" w:hAnsi="Arial" w:cs="Arial"/>
          <w:sz w:val="20"/>
          <w:szCs w:val="20"/>
        </w:rPr>
        <w:t>Preview</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NMC</w:t>
      </w:r>
      <w:r w:rsidR="00C026A6" w:rsidRPr="00EA59C0">
        <w:rPr>
          <w:rFonts w:ascii="Arial" w:hAnsi="Arial" w:cs="Arial"/>
          <w:sz w:val="20"/>
          <w:szCs w:val="20"/>
        </w:rPr>
        <w:t xml:space="preserve"> </w:t>
      </w:r>
      <w:r w:rsidRPr="00EA59C0">
        <w:rPr>
          <w:rFonts w:ascii="Arial" w:hAnsi="Arial" w:cs="Arial"/>
          <w:sz w:val="20"/>
          <w:szCs w:val="20"/>
        </w:rPr>
        <w:t>Horizon</w:t>
      </w:r>
      <w:r w:rsidR="00C026A6" w:rsidRPr="00EA59C0">
        <w:rPr>
          <w:rFonts w:ascii="Arial" w:hAnsi="Arial" w:cs="Arial"/>
          <w:sz w:val="20"/>
          <w:szCs w:val="20"/>
        </w:rPr>
        <w:t xml:space="preserve"> </w:t>
      </w:r>
      <w:r w:rsidRPr="00EA59C0">
        <w:rPr>
          <w:rFonts w:ascii="Arial" w:hAnsi="Arial" w:cs="Arial"/>
          <w:sz w:val="20"/>
          <w:szCs w:val="20"/>
        </w:rPr>
        <w:t>Project,</w:t>
      </w:r>
      <w:r w:rsidR="00C026A6" w:rsidRPr="00EA59C0">
        <w:rPr>
          <w:rFonts w:ascii="Arial" w:hAnsi="Arial" w:cs="Arial"/>
          <w:sz w:val="20"/>
          <w:szCs w:val="20"/>
        </w:rPr>
        <w:t xml:space="preserve"> </w:t>
      </w:r>
      <w:r w:rsidRPr="00EA59C0">
        <w:rPr>
          <w:rFonts w:ascii="Arial" w:hAnsi="Arial" w:cs="Arial"/>
          <w:sz w:val="20"/>
          <w:szCs w:val="20"/>
        </w:rPr>
        <w:t>February</w:t>
      </w:r>
      <w:r w:rsidR="00C026A6" w:rsidRPr="00EA59C0">
        <w:rPr>
          <w:rFonts w:ascii="Arial" w:hAnsi="Arial" w:cs="Arial"/>
          <w:sz w:val="20"/>
          <w:szCs w:val="20"/>
        </w:rPr>
        <w:t xml:space="preserve"> </w:t>
      </w:r>
      <w:r w:rsidRPr="00EA59C0">
        <w:rPr>
          <w:rFonts w:ascii="Arial" w:hAnsi="Arial" w:cs="Arial"/>
          <w:sz w:val="20"/>
          <w:szCs w:val="20"/>
        </w:rPr>
        <w:t>2014</w:t>
      </w:r>
    </w:p>
    <w:p w:rsidR="0053007C" w:rsidRPr="00EA59C0" w:rsidRDefault="00DF2916" w:rsidP="0053007C">
      <w:pPr>
        <w:pStyle w:val="NoSpacing"/>
        <w:rPr>
          <w:rFonts w:ascii="Arial" w:hAnsi="Arial" w:cs="Arial"/>
          <w:sz w:val="20"/>
          <w:szCs w:val="20"/>
        </w:rPr>
      </w:pPr>
      <w:hyperlink r:id="rId341" w:history="1">
        <w:r w:rsidR="0053007C" w:rsidRPr="00EA59C0">
          <w:rPr>
            <w:rStyle w:val="Hyperlink"/>
            <w:rFonts w:ascii="Arial" w:hAnsi="Arial" w:cs="Arial"/>
            <w:color w:val="auto"/>
            <w:sz w:val="20"/>
            <w:szCs w:val="20"/>
          </w:rPr>
          <w:t>http://www.nmc.org/pdf/2014-horizon-he-preview.pdf</w:t>
        </w:r>
      </w:hyperlink>
      <w:r w:rsidR="00C026A6" w:rsidRPr="00EA59C0">
        <w:rPr>
          <w:rFonts w:ascii="Arial" w:hAnsi="Arial" w:cs="Arial"/>
          <w:sz w:val="20"/>
          <w:szCs w:val="20"/>
        </w:rPr>
        <w:t xml:space="preserve"> </w:t>
      </w:r>
    </w:p>
    <w:p w:rsidR="0053007C" w:rsidRPr="00EA59C0" w:rsidRDefault="0053007C" w:rsidP="0053007C">
      <w:pPr>
        <w:pStyle w:val="NoSpacing"/>
        <w:rPr>
          <w:rFonts w:ascii="Arial" w:hAnsi="Arial" w:cs="Arial"/>
          <w:sz w:val="20"/>
          <w:szCs w:val="20"/>
        </w:rPr>
      </w:pP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Ruminations</w:t>
      </w:r>
      <w:r w:rsidR="00C026A6" w:rsidRPr="00EA59C0">
        <w:rPr>
          <w:rFonts w:ascii="Arial" w:hAnsi="Arial" w:cs="Arial"/>
          <w:sz w:val="20"/>
          <w:szCs w:val="20"/>
        </w:rPr>
        <w:t xml:space="preserve"> </w:t>
      </w:r>
      <w:r w:rsidRPr="00EA59C0">
        <w:rPr>
          <w:rFonts w:ascii="Arial" w:hAnsi="Arial" w:cs="Arial"/>
          <w:sz w:val="20"/>
          <w:szCs w:val="20"/>
        </w:rPr>
        <w:t>on</w:t>
      </w:r>
      <w:r w:rsidR="00C026A6" w:rsidRPr="00EA59C0">
        <w:rPr>
          <w:rFonts w:ascii="Arial" w:hAnsi="Arial" w:cs="Arial"/>
          <w:sz w:val="20"/>
          <w:szCs w:val="20"/>
        </w:rPr>
        <w:t xml:space="preserve"> </w:t>
      </w:r>
      <w:r w:rsidRPr="00EA59C0">
        <w:rPr>
          <w:rFonts w:ascii="Arial" w:hAnsi="Arial" w:cs="Arial"/>
          <w:sz w:val="20"/>
          <w:szCs w:val="20"/>
        </w:rPr>
        <w:t>Research</w:t>
      </w:r>
      <w:r w:rsidR="00C026A6" w:rsidRPr="00EA59C0">
        <w:rPr>
          <w:rFonts w:ascii="Arial" w:hAnsi="Arial" w:cs="Arial"/>
          <w:sz w:val="20"/>
          <w:szCs w:val="20"/>
        </w:rPr>
        <w:t xml:space="preserve"> </w:t>
      </w:r>
      <w:r w:rsidRPr="00EA59C0">
        <w:rPr>
          <w:rFonts w:ascii="Arial" w:hAnsi="Arial" w:cs="Arial"/>
          <w:sz w:val="20"/>
          <w:szCs w:val="20"/>
        </w:rPr>
        <w:t>on</w:t>
      </w:r>
      <w:r w:rsidR="00C026A6" w:rsidRPr="00EA59C0">
        <w:rPr>
          <w:rFonts w:ascii="Arial" w:hAnsi="Arial" w:cs="Arial"/>
          <w:sz w:val="20"/>
          <w:szCs w:val="20"/>
        </w:rPr>
        <w:t xml:space="preserve"> </w:t>
      </w:r>
      <w:r w:rsidRPr="00EA59C0">
        <w:rPr>
          <w:rFonts w:ascii="Arial" w:hAnsi="Arial" w:cs="Arial"/>
          <w:sz w:val="20"/>
          <w:szCs w:val="20"/>
        </w:rPr>
        <w:t>Open</w:t>
      </w:r>
      <w:r w:rsidR="00C026A6" w:rsidRPr="00EA59C0">
        <w:rPr>
          <w:rFonts w:ascii="Arial" w:hAnsi="Arial" w:cs="Arial"/>
          <w:sz w:val="20"/>
          <w:szCs w:val="20"/>
        </w:rPr>
        <w:t xml:space="preserve"> </w:t>
      </w:r>
      <w:r w:rsidRPr="00EA59C0">
        <w:rPr>
          <w:rFonts w:ascii="Arial" w:hAnsi="Arial" w:cs="Arial"/>
          <w:sz w:val="20"/>
          <w:szCs w:val="20"/>
        </w:rPr>
        <w:t>Educational</w:t>
      </w:r>
      <w:r w:rsidR="00C026A6" w:rsidRPr="00EA59C0">
        <w:rPr>
          <w:rFonts w:ascii="Arial" w:hAnsi="Arial" w:cs="Arial"/>
          <w:sz w:val="20"/>
          <w:szCs w:val="20"/>
        </w:rPr>
        <w:t xml:space="preserve"> </w:t>
      </w:r>
      <w:r w:rsidRPr="00EA59C0">
        <w:rPr>
          <w:rFonts w:ascii="Arial" w:hAnsi="Arial" w:cs="Arial"/>
          <w:sz w:val="20"/>
          <w:szCs w:val="20"/>
        </w:rPr>
        <w:t>Resources</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Marshall</w:t>
      </w:r>
      <w:r w:rsidR="00C026A6" w:rsidRPr="00EA59C0">
        <w:rPr>
          <w:rFonts w:ascii="Arial" w:hAnsi="Arial" w:cs="Arial"/>
          <w:sz w:val="20"/>
          <w:szCs w:val="20"/>
        </w:rPr>
        <w:t xml:space="preserve"> </w:t>
      </w:r>
      <w:r w:rsidRPr="00EA59C0">
        <w:rPr>
          <w:rFonts w:ascii="Arial" w:hAnsi="Arial" w:cs="Arial"/>
          <w:sz w:val="20"/>
          <w:szCs w:val="20"/>
        </w:rPr>
        <w:t>S.</w:t>
      </w:r>
      <w:r w:rsidR="00C026A6" w:rsidRPr="00EA59C0">
        <w:rPr>
          <w:rFonts w:ascii="Arial" w:hAnsi="Arial" w:cs="Arial"/>
          <w:sz w:val="20"/>
          <w:szCs w:val="20"/>
        </w:rPr>
        <w:t xml:space="preserve"> </w:t>
      </w:r>
      <w:r w:rsidRPr="00EA59C0">
        <w:rPr>
          <w:rFonts w:ascii="Arial" w:hAnsi="Arial" w:cs="Arial"/>
          <w:sz w:val="20"/>
          <w:szCs w:val="20"/>
        </w:rPr>
        <w:t>Smith</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Carnegie</w:t>
      </w:r>
      <w:r w:rsidR="00C026A6" w:rsidRPr="00EA59C0">
        <w:rPr>
          <w:rFonts w:ascii="Arial" w:hAnsi="Arial" w:cs="Arial"/>
          <w:sz w:val="20"/>
          <w:szCs w:val="20"/>
        </w:rPr>
        <w:t xml:space="preserve"> </w:t>
      </w:r>
      <w:r w:rsidRPr="00EA59C0">
        <w:rPr>
          <w:rFonts w:ascii="Arial" w:hAnsi="Arial" w:cs="Arial"/>
          <w:sz w:val="20"/>
          <w:szCs w:val="20"/>
        </w:rPr>
        <w:t>Foundation</w:t>
      </w:r>
      <w:r w:rsidR="00C026A6" w:rsidRPr="00EA59C0">
        <w:rPr>
          <w:rFonts w:ascii="Arial" w:hAnsi="Arial" w:cs="Arial"/>
          <w:sz w:val="20"/>
          <w:szCs w:val="20"/>
        </w:rPr>
        <w:t xml:space="preserve"> </w:t>
      </w:r>
      <w:r w:rsidRPr="00EA59C0">
        <w:rPr>
          <w:rFonts w:ascii="Arial" w:hAnsi="Arial" w:cs="Arial"/>
          <w:sz w:val="20"/>
          <w:szCs w:val="20"/>
        </w:rPr>
        <w:t>for</w:t>
      </w:r>
      <w:r w:rsidR="00C026A6" w:rsidRPr="00EA59C0">
        <w:rPr>
          <w:rFonts w:ascii="Arial" w:hAnsi="Arial" w:cs="Arial"/>
          <w:sz w:val="20"/>
          <w:szCs w:val="20"/>
        </w:rPr>
        <w:t xml:space="preserve"> </w:t>
      </w:r>
      <w:r w:rsidRPr="00EA59C0">
        <w:rPr>
          <w:rFonts w:ascii="Arial" w:hAnsi="Arial" w:cs="Arial"/>
          <w:sz w:val="20"/>
          <w:szCs w:val="20"/>
        </w:rPr>
        <w:t>the</w:t>
      </w:r>
      <w:r w:rsidR="00C026A6" w:rsidRPr="00EA59C0">
        <w:rPr>
          <w:rFonts w:ascii="Arial" w:hAnsi="Arial" w:cs="Arial"/>
          <w:sz w:val="20"/>
          <w:szCs w:val="20"/>
        </w:rPr>
        <w:t xml:space="preserve"> </w:t>
      </w:r>
      <w:r w:rsidRPr="00EA59C0">
        <w:rPr>
          <w:rFonts w:ascii="Arial" w:hAnsi="Arial" w:cs="Arial"/>
          <w:sz w:val="20"/>
          <w:szCs w:val="20"/>
        </w:rPr>
        <w:t>Advancement</w:t>
      </w:r>
      <w:r w:rsidR="00C026A6" w:rsidRPr="00EA59C0">
        <w:rPr>
          <w:rFonts w:ascii="Arial" w:hAnsi="Arial" w:cs="Arial"/>
          <w:sz w:val="20"/>
          <w:szCs w:val="20"/>
        </w:rPr>
        <w:t xml:space="preserve"> </w:t>
      </w:r>
      <w:r w:rsidRPr="00EA59C0">
        <w:rPr>
          <w:rFonts w:ascii="Arial" w:hAnsi="Arial" w:cs="Arial"/>
          <w:sz w:val="20"/>
          <w:szCs w:val="20"/>
        </w:rPr>
        <w:t>of</w:t>
      </w:r>
      <w:r w:rsidR="00C026A6" w:rsidRPr="00EA59C0">
        <w:rPr>
          <w:rFonts w:ascii="Arial" w:hAnsi="Arial" w:cs="Arial"/>
          <w:sz w:val="20"/>
          <w:szCs w:val="20"/>
        </w:rPr>
        <w:t xml:space="preserve"> </w:t>
      </w:r>
      <w:r w:rsidRPr="00EA59C0">
        <w:rPr>
          <w:rFonts w:ascii="Arial" w:hAnsi="Arial" w:cs="Arial"/>
          <w:sz w:val="20"/>
          <w:szCs w:val="20"/>
        </w:rPr>
        <w:t>Teaching,</w:t>
      </w:r>
      <w:r w:rsidR="00C026A6" w:rsidRPr="00EA59C0">
        <w:rPr>
          <w:rFonts w:ascii="Arial" w:hAnsi="Arial" w:cs="Arial"/>
          <w:sz w:val="20"/>
          <w:szCs w:val="20"/>
        </w:rPr>
        <w:t xml:space="preserve"> </w:t>
      </w:r>
      <w:r w:rsidRPr="00EA59C0">
        <w:rPr>
          <w:rFonts w:ascii="Arial" w:hAnsi="Arial" w:cs="Arial"/>
          <w:sz w:val="20"/>
          <w:szCs w:val="20"/>
        </w:rPr>
        <w:t>December</w:t>
      </w:r>
      <w:r w:rsidR="00C026A6" w:rsidRPr="00EA59C0">
        <w:rPr>
          <w:rFonts w:ascii="Arial" w:hAnsi="Arial" w:cs="Arial"/>
          <w:sz w:val="20"/>
          <w:szCs w:val="20"/>
        </w:rPr>
        <w:t xml:space="preserve"> </w:t>
      </w:r>
      <w:r w:rsidRPr="00EA59C0">
        <w:rPr>
          <w:rFonts w:ascii="Arial" w:hAnsi="Arial" w:cs="Arial"/>
          <w:sz w:val="20"/>
          <w:szCs w:val="20"/>
        </w:rPr>
        <w:t>2013</w:t>
      </w:r>
    </w:p>
    <w:p w:rsidR="0053007C" w:rsidRPr="00EA59C0" w:rsidRDefault="00DF2916" w:rsidP="0053007C">
      <w:pPr>
        <w:pStyle w:val="NoSpacing"/>
        <w:rPr>
          <w:rFonts w:ascii="Arial" w:hAnsi="Arial" w:cs="Arial"/>
          <w:sz w:val="20"/>
          <w:szCs w:val="20"/>
        </w:rPr>
      </w:pPr>
      <w:hyperlink r:id="rId342" w:history="1">
        <w:r w:rsidR="0053007C" w:rsidRPr="00EA59C0">
          <w:rPr>
            <w:rStyle w:val="Hyperlink"/>
            <w:rFonts w:ascii="Arial" w:hAnsi="Arial" w:cs="Arial"/>
            <w:color w:val="auto"/>
            <w:sz w:val="20"/>
            <w:szCs w:val="20"/>
          </w:rPr>
          <w:t>http://www.hewlett.org/sites/default/files/OER%20Research%20paper%20December%2015%202013%20Marshall%20Smith_1.pdf</w:t>
        </w:r>
      </w:hyperlink>
      <w:r w:rsidR="00C026A6" w:rsidRPr="00EA59C0">
        <w:rPr>
          <w:rFonts w:ascii="Arial" w:hAnsi="Arial" w:cs="Arial"/>
          <w:sz w:val="20"/>
          <w:szCs w:val="20"/>
        </w:rPr>
        <w:t xml:space="preserve"> </w:t>
      </w:r>
    </w:p>
    <w:p w:rsidR="0053007C" w:rsidRPr="00EA59C0" w:rsidRDefault="0053007C" w:rsidP="0053007C">
      <w:pPr>
        <w:pStyle w:val="NoSpacing"/>
        <w:rPr>
          <w:rFonts w:ascii="Arial" w:hAnsi="Arial" w:cs="Arial"/>
          <w:sz w:val="20"/>
          <w:szCs w:val="20"/>
        </w:rPr>
      </w:pP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The</w:t>
      </w:r>
      <w:r w:rsidR="00C026A6" w:rsidRPr="00EA59C0">
        <w:rPr>
          <w:rFonts w:ascii="Arial" w:hAnsi="Arial" w:cs="Arial"/>
          <w:sz w:val="20"/>
          <w:szCs w:val="20"/>
        </w:rPr>
        <w:t xml:space="preserve"> </w:t>
      </w:r>
      <w:r w:rsidRPr="00EA59C0">
        <w:rPr>
          <w:rFonts w:ascii="Arial" w:hAnsi="Arial" w:cs="Arial"/>
          <w:sz w:val="20"/>
          <w:szCs w:val="20"/>
        </w:rPr>
        <w:t>Potential</w:t>
      </w:r>
      <w:r w:rsidR="00C026A6" w:rsidRPr="00EA59C0">
        <w:rPr>
          <w:rFonts w:ascii="Arial" w:hAnsi="Arial" w:cs="Arial"/>
          <w:sz w:val="20"/>
          <w:szCs w:val="20"/>
        </w:rPr>
        <w:t xml:space="preserve"> </w:t>
      </w:r>
      <w:r w:rsidRPr="00EA59C0">
        <w:rPr>
          <w:rFonts w:ascii="Arial" w:hAnsi="Arial" w:cs="Arial"/>
          <w:sz w:val="20"/>
          <w:szCs w:val="20"/>
        </w:rPr>
        <w:t>for</w:t>
      </w:r>
      <w:r w:rsidR="00C026A6" w:rsidRPr="00EA59C0">
        <w:rPr>
          <w:rFonts w:ascii="Arial" w:hAnsi="Arial" w:cs="Arial"/>
          <w:sz w:val="20"/>
          <w:szCs w:val="20"/>
        </w:rPr>
        <w:t xml:space="preserve"> </w:t>
      </w:r>
      <w:r w:rsidRPr="00EA59C0">
        <w:rPr>
          <w:rFonts w:ascii="Arial" w:hAnsi="Arial" w:cs="Arial"/>
          <w:sz w:val="20"/>
          <w:szCs w:val="20"/>
        </w:rPr>
        <w:t>Online</w:t>
      </w:r>
      <w:r w:rsidR="00C026A6" w:rsidRPr="00EA59C0">
        <w:rPr>
          <w:rFonts w:ascii="Arial" w:hAnsi="Arial" w:cs="Arial"/>
          <w:sz w:val="20"/>
          <w:szCs w:val="20"/>
        </w:rPr>
        <w:t xml:space="preserve"> </w:t>
      </w:r>
      <w:r w:rsidRPr="00EA59C0">
        <w:rPr>
          <w:rFonts w:ascii="Arial" w:hAnsi="Arial" w:cs="Arial"/>
          <w:sz w:val="20"/>
          <w:szCs w:val="20"/>
        </w:rPr>
        <w:t>Learning:</w:t>
      </w:r>
      <w:r w:rsidR="00C026A6" w:rsidRPr="00EA59C0">
        <w:rPr>
          <w:rFonts w:ascii="Arial" w:hAnsi="Arial" w:cs="Arial"/>
          <w:sz w:val="20"/>
          <w:szCs w:val="20"/>
        </w:rPr>
        <w:t xml:space="preserve"> </w:t>
      </w:r>
      <w:r w:rsidRPr="00EA59C0">
        <w:rPr>
          <w:rFonts w:ascii="Arial" w:hAnsi="Arial" w:cs="Arial"/>
          <w:sz w:val="20"/>
          <w:szCs w:val="20"/>
        </w:rPr>
        <w:t>Promises</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Pitfalls</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William</w:t>
      </w:r>
      <w:r w:rsidR="00C026A6" w:rsidRPr="00EA59C0">
        <w:rPr>
          <w:rFonts w:ascii="Arial" w:hAnsi="Arial" w:cs="Arial"/>
          <w:sz w:val="20"/>
          <w:szCs w:val="20"/>
        </w:rPr>
        <w:t xml:space="preserve"> </w:t>
      </w:r>
      <w:r w:rsidRPr="00EA59C0">
        <w:rPr>
          <w:rFonts w:ascii="Arial" w:hAnsi="Arial" w:cs="Arial"/>
          <w:sz w:val="20"/>
          <w:szCs w:val="20"/>
        </w:rPr>
        <w:t>G.</w:t>
      </w:r>
      <w:r w:rsidR="00C026A6" w:rsidRPr="00EA59C0">
        <w:rPr>
          <w:rFonts w:ascii="Arial" w:hAnsi="Arial" w:cs="Arial"/>
          <w:sz w:val="20"/>
          <w:szCs w:val="20"/>
        </w:rPr>
        <w:t xml:space="preserve"> </w:t>
      </w:r>
      <w:r w:rsidRPr="00EA59C0">
        <w:rPr>
          <w:rFonts w:ascii="Arial" w:hAnsi="Arial" w:cs="Arial"/>
          <w:sz w:val="20"/>
          <w:szCs w:val="20"/>
        </w:rPr>
        <w:t>Bowen</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EDUCASE</w:t>
      </w:r>
      <w:r w:rsidR="00C026A6" w:rsidRPr="00EA59C0">
        <w:rPr>
          <w:rFonts w:ascii="Arial" w:hAnsi="Arial" w:cs="Arial"/>
          <w:sz w:val="20"/>
          <w:szCs w:val="20"/>
        </w:rPr>
        <w:t xml:space="preserve"> </w:t>
      </w:r>
      <w:r w:rsidRPr="00EA59C0">
        <w:rPr>
          <w:rFonts w:ascii="Arial" w:hAnsi="Arial" w:cs="Arial"/>
          <w:sz w:val="20"/>
          <w:szCs w:val="20"/>
        </w:rPr>
        <w:t>Review,</w:t>
      </w:r>
      <w:r w:rsidR="00C026A6" w:rsidRPr="00EA59C0">
        <w:rPr>
          <w:rFonts w:ascii="Arial" w:hAnsi="Arial" w:cs="Arial"/>
          <w:sz w:val="20"/>
          <w:szCs w:val="20"/>
        </w:rPr>
        <w:t xml:space="preserve"> </w:t>
      </w:r>
      <w:r w:rsidRPr="00EA59C0">
        <w:rPr>
          <w:rFonts w:ascii="Arial" w:hAnsi="Arial" w:cs="Arial"/>
          <w:sz w:val="20"/>
          <w:szCs w:val="20"/>
        </w:rPr>
        <w:t>October</w:t>
      </w:r>
      <w:r w:rsidR="00C026A6" w:rsidRPr="00EA59C0">
        <w:rPr>
          <w:rFonts w:ascii="Arial" w:hAnsi="Arial" w:cs="Arial"/>
          <w:sz w:val="20"/>
          <w:szCs w:val="20"/>
        </w:rPr>
        <w:t xml:space="preserve"> </w:t>
      </w:r>
      <w:r w:rsidRPr="00EA59C0">
        <w:rPr>
          <w:rFonts w:ascii="Arial" w:hAnsi="Arial" w:cs="Arial"/>
          <w:sz w:val="20"/>
          <w:szCs w:val="20"/>
        </w:rPr>
        <w:t>2013</w:t>
      </w:r>
    </w:p>
    <w:p w:rsidR="0053007C" w:rsidRPr="00EA59C0" w:rsidRDefault="00DF2916" w:rsidP="0053007C">
      <w:pPr>
        <w:pStyle w:val="NoSpacing"/>
        <w:rPr>
          <w:rFonts w:ascii="Arial" w:hAnsi="Arial" w:cs="Arial"/>
          <w:sz w:val="20"/>
          <w:szCs w:val="20"/>
        </w:rPr>
      </w:pPr>
      <w:hyperlink r:id="rId343" w:history="1">
        <w:r w:rsidR="0053007C" w:rsidRPr="00EA59C0">
          <w:rPr>
            <w:rStyle w:val="Hyperlink"/>
            <w:rFonts w:ascii="Arial" w:hAnsi="Arial" w:cs="Arial"/>
            <w:color w:val="auto"/>
            <w:sz w:val="20"/>
            <w:szCs w:val="20"/>
          </w:rPr>
          <w:t>https://net.educause.edu/ir/library/pdf/ERM1351.pdf</w:t>
        </w:r>
      </w:hyperlink>
      <w:r w:rsidR="00C026A6" w:rsidRPr="00EA59C0">
        <w:rPr>
          <w:rFonts w:ascii="Arial" w:hAnsi="Arial" w:cs="Arial"/>
          <w:sz w:val="20"/>
          <w:szCs w:val="20"/>
        </w:rPr>
        <w:t xml:space="preserve"> </w:t>
      </w:r>
    </w:p>
    <w:p w:rsidR="0053007C" w:rsidRPr="00EA59C0" w:rsidRDefault="0053007C" w:rsidP="0053007C">
      <w:pPr>
        <w:pStyle w:val="NoSpacing"/>
        <w:rPr>
          <w:rFonts w:ascii="Arial" w:hAnsi="Arial" w:cs="Arial"/>
          <w:sz w:val="20"/>
          <w:szCs w:val="20"/>
        </w:rPr>
      </w:pP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Next</w:t>
      </w:r>
      <w:r w:rsidR="00C026A6" w:rsidRPr="00EA59C0">
        <w:rPr>
          <w:rFonts w:ascii="Arial" w:hAnsi="Arial" w:cs="Arial"/>
          <w:sz w:val="20"/>
          <w:szCs w:val="20"/>
        </w:rPr>
        <w:t xml:space="preserve"> </w:t>
      </w:r>
      <w:r w:rsidRPr="00EA59C0">
        <w:rPr>
          <w:rFonts w:ascii="Arial" w:hAnsi="Arial" w:cs="Arial"/>
          <w:sz w:val="20"/>
          <w:szCs w:val="20"/>
        </w:rPr>
        <w:t>Generation</w:t>
      </w:r>
      <w:r w:rsidR="00C026A6" w:rsidRPr="00EA59C0">
        <w:rPr>
          <w:rFonts w:ascii="Arial" w:hAnsi="Arial" w:cs="Arial"/>
          <w:sz w:val="20"/>
          <w:szCs w:val="20"/>
        </w:rPr>
        <w:t xml:space="preserve"> </w:t>
      </w:r>
      <w:r w:rsidRPr="00EA59C0">
        <w:rPr>
          <w:rFonts w:ascii="Arial" w:hAnsi="Arial" w:cs="Arial"/>
          <w:sz w:val="20"/>
          <w:szCs w:val="20"/>
        </w:rPr>
        <w:t>Learning:</w:t>
      </w:r>
      <w:r w:rsidR="00C026A6" w:rsidRPr="00EA59C0">
        <w:rPr>
          <w:rFonts w:ascii="Arial" w:hAnsi="Arial" w:cs="Arial"/>
          <w:sz w:val="20"/>
          <w:szCs w:val="20"/>
        </w:rPr>
        <w:t xml:space="preserve"> </w:t>
      </w:r>
      <w:r w:rsidRPr="00EA59C0">
        <w:rPr>
          <w:rFonts w:ascii="Arial" w:hAnsi="Arial" w:cs="Arial"/>
          <w:sz w:val="20"/>
          <w:szCs w:val="20"/>
        </w:rPr>
        <w:t>The</w:t>
      </w:r>
      <w:r w:rsidR="00C026A6" w:rsidRPr="00EA59C0">
        <w:rPr>
          <w:rFonts w:ascii="Arial" w:hAnsi="Arial" w:cs="Arial"/>
          <w:sz w:val="20"/>
          <w:szCs w:val="20"/>
        </w:rPr>
        <w:t xml:space="preserve"> </w:t>
      </w:r>
      <w:r w:rsidRPr="00EA59C0">
        <w:rPr>
          <w:rFonts w:ascii="Arial" w:hAnsi="Arial" w:cs="Arial"/>
          <w:sz w:val="20"/>
          <w:szCs w:val="20"/>
        </w:rPr>
        <w:t>Pathway</w:t>
      </w:r>
      <w:r w:rsidR="00C026A6" w:rsidRPr="00EA59C0">
        <w:rPr>
          <w:rFonts w:ascii="Arial" w:hAnsi="Arial" w:cs="Arial"/>
          <w:sz w:val="20"/>
          <w:szCs w:val="20"/>
        </w:rPr>
        <w:t xml:space="preserve"> </w:t>
      </w:r>
      <w:r w:rsidRPr="00EA59C0">
        <w:rPr>
          <w:rFonts w:ascii="Arial" w:hAnsi="Arial" w:cs="Arial"/>
          <w:sz w:val="20"/>
          <w:szCs w:val="20"/>
        </w:rPr>
        <w:t>to</w:t>
      </w:r>
      <w:r w:rsidR="00C026A6" w:rsidRPr="00EA59C0">
        <w:rPr>
          <w:rFonts w:ascii="Arial" w:hAnsi="Arial" w:cs="Arial"/>
          <w:sz w:val="20"/>
          <w:szCs w:val="20"/>
        </w:rPr>
        <w:t xml:space="preserve"> </w:t>
      </w:r>
      <w:r w:rsidRPr="00EA59C0">
        <w:rPr>
          <w:rFonts w:ascii="Arial" w:hAnsi="Arial" w:cs="Arial"/>
          <w:sz w:val="20"/>
          <w:szCs w:val="20"/>
        </w:rPr>
        <w:t>Possibility</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Andrew</w:t>
      </w:r>
      <w:r w:rsidR="00C026A6" w:rsidRPr="00EA59C0">
        <w:rPr>
          <w:rFonts w:ascii="Arial" w:hAnsi="Arial" w:cs="Arial"/>
          <w:sz w:val="20"/>
          <w:szCs w:val="20"/>
        </w:rPr>
        <w:t xml:space="preserve"> </w:t>
      </w:r>
      <w:r w:rsidRPr="00EA59C0">
        <w:rPr>
          <w:rFonts w:ascii="Arial" w:hAnsi="Arial" w:cs="Arial"/>
          <w:sz w:val="20"/>
          <w:szCs w:val="20"/>
        </w:rPr>
        <w:t>Calkins</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Kristen</w:t>
      </w:r>
      <w:r w:rsidR="00C026A6" w:rsidRPr="00EA59C0">
        <w:rPr>
          <w:rFonts w:ascii="Arial" w:hAnsi="Arial" w:cs="Arial"/>
          <w:sz w:val="20"/>
          <w:szCs w:val="20"/>
        </w:rPr>
        <w:t xml:space="preserve"> </w:t>
      </w:r>
      <w:r w:rsidRPr="00EA59C0">
        <w:rPr>
          <w:rFonts w:ascii="Arial" w:hAnsi="Arial" w:cs="Arial"/>
          <w:sz w:val="20"/>
          <w:szCs w:val="20"/>
        </w:rPr>
        <w:t>Vogt</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Next</w:t>
      </w:r>
      <w:r w:rsidR="00C026A6" w:rsidRPr="00EA59C0">
        <w:rPr>
          <w:rFonts w:ascii="Arial" w:hAnsi="Arial" w:cs="Arial"/>
          <w:sz w:val="20"/>
          <w:szCs w:val="20"/>
        </w:rPr>
        <w:t xml:space="preserve"> </w:t>
      </w:r>
      <w:r w:rsidRPr="00EA59C0">
        <w:rPr>
          <w:rFonts w:ascii="Arial" w:hAnsi="Arial" w:cs="Arial"/>
          <w:sz w:val="20"/>
          <w:szCs w:val="20"/>
        </w:rPr>
        <w:t>Generation</w:t>
      </w:r>
      <w:r w:rsidR="00C026A6" w:rsidRPr="00EA59C0">
        <w:rPr>
          <w:rFonts w:ascii="Arial" w:hAnsi="Arial" w:cs="Arial"/>
          <w:sz w:val="20"/>
          <w:szCs w:val="20"/>
        </w:rPr>
        <w:t xml:space="preserve"> </w:t>
      </w:r>
      <w:r w:rsidRPr="00EA59C0">
        <w:rPr>
          <w:rFonts w:ascii="Arial" w:hAnsi="Arial" w:cs="Arial"/>
          <w:sz w:val="20"/>
          <w:szCs w:val="20"/>
        </w:rPr>
        <w:t>Learning</w:t>
      </w:r>
      <w:r w:rsidR="00C026A6" w:rsidRPr="00EA59C0">
        <w:rPr>
          <w:rFonts w:ascii="Arial" w:hAnsi="Arial" w:cs="Arial"/>
          <w:sz w:val="20"/>
          <w:szCs w:val="20"/>
        </w:rPr>
        <w:t xml:space="preserve"> </w:t>
      </w:r>
      <w:r w:rsidRPr="00EA59C0">
        <w:rPr>
          <w:rFonts w:ascii="Arial" w:hAnsi="Arial" w:cs="Arial"/>
          <w:sz w:val="20"/>
          <w:szCs w:val="20"/>
        </w:rPr>
        <w:t>Challenges,</w:t>
      </w:r>
      <w:r w:rsidR="00C026A6" w:rsidRPr="00EA59C0">
        <w:rPr>
          <w:rFonts w:ascii="Arial" w:hAnsi="Arial" w:cs="Arial"/>
          <w:sz w:val="20"/>
          <w:szCs w:val="20"/>
        </w:rPr>
        <w:t xml:space="preserve"> </w:t>
      </w:r>
      <w:r w:rsidRPr="00EA59C0">
        <w:rPr>
          <w:rFonts w:ascii="Arial" w:hAnsi="Arial" w:cs="Arial"/>
          <w:sz w:val="20"/>
          <w:szCs w:val="20"/>
        </w:rPr>
        <w:t>April</w:t>
      </w:r>
      <w:r w:rsidR="00C026A6" w:rsidRPr="00EA59C0">
        <w:rPr>
          <w:rFonts w:ascii="Arial" w:hAnsi="Arial" w:cs="Arial"/>
          <w:sz w:val="20"/>
          <w:szCs w:val="20"/>
        </w:rPr>
        <w:t xml:space="preserve"> </w:t>
      </w:r>
      <w:r w:rsidRPr="00EA59C0">
        <w:rPr>
          <w:rFonts w:ascii="Arial" w:hAnsi="Arial" w:cs="Arial"/>
          <w:sz w:val="20"/>
          <w:szCs w:val="20"/>
        </w:rPr>
        <w:t>2013</w:t>
      </w:r>
    </w:p>
    <w:p w:rsidR="0053007C" w:rsidRPr="00EA59C0" w:rsidRDefault="00DF2916" w:rsidP="0053007C">
      <w:pPr>
        <w:pStyle w:val="NoSpacing"/>
        <w:rPr>
          <w:rFonts w:ascii="Arial" w:hAnsi="Arial" w:cs="Arial"/>
          <w:sz w:val="20"/>
          <w:szCs w:val="20"/>
        </w:rPr>
      </w:pPr>
      <w:hyperlink r:id="rId344" w:history="1">
        <w:r w:rsidR="0053007C" w:rsidRPr="00EA59C0">
          <w:rPr>
            <w:rStyle w:val="Hyperlink"/>
            <w:rFonts w:ascii="Arial" w:hAnsi="Arial" w:cs="Arial"/>
            <w:color w:val="auto"/>
            <w:sz w:val="20"/>
            <w:szCs w:val="20"/>
          </w:rPr>
          <w:t>http://net.educause.edu/ir/library/pdf/NGW1301.pdf</w:t>
        </w:r>
      </w:hyperlink>
      <w:r w:rsidR="00C026A6" w:rsidRPr="00EA59C0">
        <w:rPr>
          <w:rFonts w:ascii="Arial" w:hAnsi="Arial" w:cs="Arial"/>
          <w:sz w:val="20"/>
          <w:szCs w:val="20"/>
        </w:rPr>
        <w:t xml:space="preserve"> </w:t>
      </w:r>
    </w:p>
    <w:p w:rsidR="0053007C" w:rsidRPr="00EA59C0" w:rsidRDefault="0053007C" w:rsidP="0053007C">
      <w:pPr>
        <w:pStyle w:val="NoSpacing"/>
        <w:rPr>
          <w:rFonts w:ascii="Arial" w:hAnsi="Arial" w:cs="Arial"/>
          <w:sz w:val="20"/>
          <w:szCs w:val="20"/>
        </w:rPr>
      </w:pP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Current</w:t>
      </w:r>
      <w:r w:rsidR="00C026A6" w:rsidRPr="00EA59C0">
        <w:rPr>
          <w:rFonts w:ascii="Arial" w:hAnsi="Arial" w:cs="Arial"/>
          <w:sz w:val="20"/>
          <w:szCs w:val="20"/>
        </w:rPr>
        <w:t xml:space="preserve"> </w:t>
      </w:r>
      <w:r w:rsidRPr="00EA59C0">
        <w:rPr>
          <w:rFonts w:ascii="Arial" w:hAnsi="Arial" w:cs="Arial"/>
          <w:sz w:val="20"/>
          <w:szCs w:val="20"/>
        </w:rPr>
        <w:t>Status</w:t>
      </w:r>
      <w:r w:rsidR="00C026A6" w:rsidRPr="00EA59C0">
        <w:rPr>
          <w:rFonts w:ascii="Arial" w:hAnsi="Arial" w:cs="Arial"/>
          <w:sz w:val="20"/>
          <w:szCs w:val="20"/>
        </w:rPr>
        <w:t xml:space="preserve"> </w:t>
      </w:r>
      <w:r w:rsidRPr="00EA59C0">
        <w:rPr>
          <w:rFonts w:ascii="Arial" w:hAnsi="Arial" w:cs="Arial"/>
          <w:sz w:val="20"/>
          <w:szCs w:val="20"/>
        </w:rPr>
        <w:t>of</w:t>
      </w:r>
      <w:r w:rsidR="00C026A6" w:rsidRPr="00EA59C0">
        <w:rPr>
          <w:rFonts w:ascii="Arial" w:hAnsi="Arial" w:cs="Arial"/>
          <w:sz w:val="20"/>
          <w:szCs w:val="20"/>
        </w:rPr>
        <w:t xml:space="preserve"> </w:t>
      </w:r>
      <w:r w:rsidRPr="00EA59C0">
        <w:rPr>
          <w:rFonts w:ascii="Arial" w:hAnsi="Arial" w:cs="Arial"/>
          <w:sz w:val="20"/>
          <w:szCs w:val="20"/>
        </w:rPr>
        <w:t>Research</w:t>
      </w:r>
      <w:r w:rsidR="00C026A6" w:rsidRPr="00EA59C0">
        <w:rPr>
          <w:rFonts w:ascii="Arial" w:hAnsi="Arial" w:cs="Arial"/>
          <w:sz w:val="20"/>
          <w:szCs w:val="20"/>
        </w:rPr>
        <w:t xml:space="preserve"> </w:t>
      </w:r>
      <w:r w:rsidRPr="00EA59C0">
        <w:rPr>
          <w:rFonts w:ascii="Arial" w:hAnsi="Arial" w:cs="Arial"/>
          <w:sz w:val="20"/>
          <w:szCs w:val="20"/>
        </w:rPr>
        <w:t>on</w:t>
      </w:r>
      <w:r w:rsidR="00C026A6" w:rsidRPr="00EA59C0">
        <w:rPr>
          <w:rFonts w:ascii="Arial" w:hAnsi="Arial" w:cs="Arial"/>
          <w:sz w:val="20"/>
          <w:szCs w:val="20"/>
        </w:rPr>
        <w:t xml:space="preserve"> </w:t>
      </w:r>
      <w:r w:rsidRPr="00EA59C0">
        <w:rPr>
          <w:rFonts w:ascii="Arial" w:hAnsi="Arial" w:cs="Arial"/>
          <w:sz w:val="20"/>
          <w:szCs w:val="20"/>
        </w:rPr>
        <w:t>Online</w:t>
      </w:r>
      <w:r w:rsidR="00C026A6" w:rsidRPr="00EA59C0">
        <w:rPr>
          <w:rFonts w:ascii="Arial" w:hAnsi="Arial" w:cs="Arial"/>
          <w:sz w:val="20"/>
          <w:szCs w:val="20"/>
        </w:rPr>
        <w:t xml:space="preserve"> </w:t>
      </w:r>
      <w:r w:rsidRPr="00EA59C0">
        <w:rPr>
          <w:rFonts w:ascii="Arial" w:hAnsi="Arial" w:cs="Arial"/>
          <w:sz w:val="20"/>
          <w:szCs w:val="20"/>
        </w:rPr>
        <w:t>Learning</w:t>
      </w:r>
      <w:r w:rsidR="00C026A6" w:rsidRPr="00EA59C0">
        <w:rPr>
          <w:rFonts w:ascii="Arial" w:hAnsi="Arial" w:cs="Arial"/>
          <w:sz w:val="20"/>
          <w:szCs w:val="20"/>
        </w:rPr>
        <w:t xml:space="preserve"> </w:t>
      </w:r>
      <w:r w:rsidRPr="00EA59C0">
        <w:rPr>
          <w:rFonts w:ascii="Arial" w:hAnsi="Arial" w:cs="Arial"/>
          <w:sz w:val="20"/>
          <w:szCs w:val="20"/>
        </w:rPr>
        <w:t>in</w:t>
      </w:r>
      <w:r w:rsidR="00C026A6" w:rsidRPr="00EA59C0">
        <w:rPr>
          <w:rFonts w:ascii="Arial" w:hAnsi="Arial" w:cs="Arial"/>
          <w:sz w:val="20"/>
          <w:szCs w:val="20"/>
        </w:rPr>
        <w:t xml:space="preserve"> </w:t>
      </w:r>
      <w:r w:rsidRPr="00EA59C0">
        <w:rPr>
          <w:rFonts w:ascii="Arial" w:hAnsi="Arial" w:cs="Arial"/>
          <w:sz w:val="20"/>
          <w:szCs w:val="20"/>
        </w:rPr>
        <w:t>Postsecondary</w:t>
      </w:r>
      <w:r w:rsidR="00C026A6" w:rsidRPr="00EA59C0">
        <w:rPr>
          <w:rFonts w:ascii="Arial" w:hAnsi="Arial" w:cs="Arial"/>
          <w:sz w:val="20"/>
          <w:szCs w:val="20"/>
        </w:rPr>
        <w:t xml:space="preserve"> </w:t>
      </w:r>
      <w:r w:rsidRPr="00EA59C0">
        <w:rPr>
          <w:rFonts w:ascii="Arial" w:hAnsi="Arial" w:cs="Arial"/>
          <w:sz w:val="20"/>
          <w:szCs w:val="20"/>
        </w:rPr>
        <w:t>Education</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Kelly</w:t>
      </w:r>
      <w:r w:rsidR="00C026A6" w:rsidRPr="00EA59C0">
        <w:rPr>
          <w:rFonts w:ascii="Arial" w:hAnsi="Arial" w:cs="Arial"/>
          <w:sz w:val="20"/>
          <w:szCs w:val="20"/>
        </w:rPr>
        <w:t xml:space="preserve"> </w:t>
      </w:r>
      <w:r w:rsidRPr="00EA59C0">
        <w:rPr>
          <w:rFonts w:ascii="Arial" w:hAnsi="Arial" w:cs="Arial"/>
          <w:sz w:val="20"/>
          <w:szCs w:val="20"/>
        </w:rPr>
        <w:t>A.</w:t>
      </w:r>
      <w:r w:rsidR="00C026A6" w:rsidRPr="00EA59C0">
        <w:rPr>
          <w:rFonts w:ascii="Arial" w:hAnsi="Arial" w:cs="Arial"/>
          <w:sz w:val="20"/>
          <w:szCs w:val="20"/>
        </w:rPr>
        <w:t xml:space="preserve"> </w:t>
      </w:r>
      <w:r w:rsidRPr="00EA59C0">
        <w:rPr>
          <w:rFonts w:ascii="Arial" w:hAnsi="Arial" w:cs="Arial"/>
          <w:sz w:val="20"/>
          <w:szCs w:val="20"/>
        </w:rPr>
        <w:t>Lack</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Ithaka</w:t>
      </w:r>
      <w:r w:rsidR="00C026A6" w:rsidRPr="00EA59C0">
        <w:rPr>
          <w:rFonts w:ascii="Arial" w:hAnsi="Arial" w:cs="Arial"/>
          <w:sz w:val="20"/>
          <w:szCs w:val="20"/>
        </w:rPr>
        <w:t xml:space="preserve"> </w:t>
      </w:r>
      <w:r w:rsidRPr="00EA59C0">
        <w:rPr>
          <w:rFonts w:ascii="Arial" w:hAnsi="Arial" w:cs="Arial"/>
          <w:sz w:val="20"/>
          <w:szCs w:val="20"/>
        </w:rPr>
        <w:t>S+R,</w:t>
      </w:r>
      <w:r w:rsidR="00C026A6" w:rsidRPr="00EA59C0">
        <w:rPr>
          <w:rFonts w:ascii="Arial" w:hAnsi="Arial" w:cs="Arial"/>
          <w:sz w:val="20"/>
          <w:szCs w:val="20"/>
        </w:rPr>
        <w:t xml:space="preserve"> </w:t>
      </w:r>
      <w:r w:rsidRPr="00EA59C0">
        <w:rPr>
          <w:rFonts w:ascii="Arial" w:hAnsi="Arial" w:cs="Arial"/>
          <w:sz w:val="20"/>
          <w:szCs w:val="20"/>
        </w:rPr>
        <w:t>March</w:t>
      </w:r>
      <w:r w:rsidR="00C026A6" w:rsidRPr="00EA59C0">
        <w:rPr>
          <w:rFonts w:ascii="Arial" w:hAnsi="Arial" w:cs="Arial"/>
          <w:sz w:val="20"/>
          <w:szCs w:val="20"/>
        </w:rPr>
        <w:t xml:space="preserve"> </w:t>
      </w:r>
      <w:r w:rsidRPr="00EA59C0">
        <w:rPr>
          <w:rFonts w:ascii="Arial" w:hAnsi="Arial" w:cs="Arial"/>
          <w:sz w:val="20"/>
          <w:szCs w:val="20"/>
        </w:rPr>
        <w:t>2013</w:t>
      </w:r>
    </w:p>
    <w:p w:rsidR="0053007C" w:rsidRPr="00EA59C0" w:rsidRDefault="00DF2916" w:rsidP="0053007C">
      <w:pPr>
        <w:pStyle w:val="NoSpacing"/>
        <w:rPr>
          <w:rFonts w:ascii="Arial" w:hAnsi="Arial" w:cs="Arial"/>
          <w:sz w:val="20"/>
          <w:szCs w:val="20"/>
        </w:rPr>
      </w:pPr>
      <w:hyperlink r:id="rId345" w:history="1">
        <w:r w:rsidR="0053007C" w:rsidRPr="00EA59C0">
          <w:rPr>
            <w:rStyle w:val="Hyperlink"/>
            <w:rFonts w:ascii="Arial" w:hAnsi="Arial" w:cs="Arial"/>
            <w:color w:val="auto"/>
            <w:sz w:val="20"/>
            <w:szCs w:val="20"/>
          </w:rPr>
          <w:t>http://www.sr.ithaka.org/sites/default/files/reports/ithaka-sr-online-learning-postsecondary-education-may2012.pdf</w:t>
        </w:r>
      </w:hyperlink>
      <w:r w:rsidR="00C026A6" w:rsidRPr="00EA59C0">
        <w:rPr>
          <w:rFonts w:ascii="Arial" w:hAnsi="Arial" w:cs="Arial"/>
          <w:sz w:val="20"/>
          <w:szCs w:val="20"/>
        </w:rPr>
        <w:t xml:space="preserve">  </w:t>
      </w:r>
    </w:p>
    <w:p w:rsidR="0053007C" w:rsidRPr="00EA59C0" w:rsidRDefault="0053007C" w:rsidP="0053007C">
      <w:pPr>
        <w:pStyle w:val="NoSpacing"/>
        <w:rPr>
          <w:rFonts w:ascii="Arial" w:hAnsi="Arial" w:cs="Arial"/>
          <w:sz w:val="20"/>
          <w:szCs w:val="20"/>
        </w:rPr>
      </w:pP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Interactive</w:t>
      </w:r>
      <w:r w:rsidR="00C026A6" w:rsidRPr="00EA59C0">
        <w:rPr>
          <w:rFonts w:ascii="Arial" w:hAnsi="Arial" w:cs="Arial"/>
          <w:sz w:val="20"/>
          <w:szCs w:val="20"/>
        </w:rPr>
        <w:t xml:space="preserve"> </w:t>
      </w:r>
      <w:r w:rsidRPr="00EA59C0">
        <w:rPr>
          <w:rFonts w:ascii="Arial" w:hAnsi="Arial" w:cs="Arial"/>
          <w:sz w:val="20"/>
          <w:szCs w:val="20"/>
        </w:rPr>
        <w:t>Learning</w:t>
      </w:r>
      <w:r w:rsidR="00C026A6" w:rsidRPr="00EA59C0">
        <w:rPr>
          <w:rFonts w:ascii="Arial" w:hAnsi="Arial" w:cs="Arial"/>
          <w:sz w:val="20"/>
          <w:szCs w:val="20"/>
        </w:rPr>
        <w:t xml:space="preserve"> </w:t>
      </w:r>
      <w:r w:rsidRPr="00EA59C0">
        <w:rPr>
          <w:rFonts w:ascii="Arial" w:hAnsi="Arial" w:cs="Arial"/>
          <w:sz w:val="20"/>
          <w:szCs w:val="20"/>
        </w:rPr>
        <w:t>Online</w:t>
      </w:r>
      <w:r w:rsidR="00C026A6" w:rsidRPr="00EA59C0">
        <w:rPr>
          <w:rFonts w:ascii="Arial" w:hAnsi="Arial" w:cs="Arial"/>
          <w:sz w:val="20"/>
          <w:szCs w:val="20"/>
        </w:rPr>
        <w:t xml:space="preserve"> </w:t>
      </w:r>
      <w:r w:rsidRPr="00EA59C0">
        <w:rPr>
          <w:rFonts w:ascii="Arial" w:hAnsi="Arial" w:cs="Arial"/>
          <w:sz w:val="20"/>
          <w:szCs w:val="20"/>
        </w:rPr>
        <w:t>at</w:t>
      </w:r>
      <w:r w:rsidR="00C026A6" w:rsidRPr="00EA59C0">
        <w:rPr>
          <w:rFonts w:ascii="Arial" w:hAnsi="Arial" w:cs="Arial"/>
          <w:sz w:val="20"/>
          <w:szCs w:val="20"/>
        </w:rPr>
        <w:t xml:space="preserve"> </w:t>
      </w:r>
      <w:r w:rsidRPr="00EA59C0">
        <w:rPr>
          <w:rFonts w:ascii="Arial" w:hAnsi="Arial" w:cs="Arial"/>
          <w:sz w:val="20"/>
          <w:szCs w:val="20"/>
        </w:rPr>
        <w:t>Public</w:t>
      </w:r>
      <w:r w:rsidR="00C026A6" w:rsidRPr="00EA59C0">
        <w:rPr>
          <w:rFonts w:ascii="Arial" w:hAnsi="Arial" w:cs="Arial"/>
          <w:sz w:val="20"/>
          <w:szCs w:val="20"/>
        </w:rPr>
        <w:t xml:space="preserve"> </w:t>
      </w:r>
      <w:r w:rsidRPr="00EA59C0">
        <w:rPr>
          <w:rFonts w:ascii="Arial" w:hAnsi="Arial" w:cs="Arial"/>
          <w:sz w:val="20"/>
          <w:szCs w:val="20"/>
        </w:rPr>
        <w:t>Universities:</w:t>
      </w:r>
      <w:r w:rsidR="00C026A6" w:rsidRPr="00EA59C0">
        <w:rPr>
          <w:rFonts w:ascii="Arial" w:hAnsi="Arial" w:cs="Arial"/>
          <w:sz w:val="20"/>
          <w:szCs w:val="20"/>
        </w:rPr>
        <w:t xml:space="preserve"> </w:t>
      </w:r>
      <w:r w:rsidRPr="00EA59C0">
        <w:rPr>
          <w:rFonts w:ascii="Arial" w:hAnsi="Arial" w:cs="Arial"/>
          <w:sz w:val="20"/>
          <w:szCs w:val="20"/>
        </w:rPr>
        <w:t>Evidence</w:t>
      </w:r>
      <w:r w:rsidR="00C026A6" w:rsidRPr="00EA59C0">
        <w:rPr>
          <w:rFonts w:ascii="Arial" w:hAnsi="Arial" w:cs="Arial"/>
          <w:sz w:val="20"/>
          <w:szCs w:val="20"/>
        </w:rPr>
        <w:t xml:space="preserve"> </w:t>
      </w:r>
      <w:r w:rsidRPr="00EA59C0">
        <w:rPr>
          <w:rFonts w:ascii="Arial" w:hAnsi="Arial" w:cs="Arial"/>
          <w:sz w:val="20"/>
          <w:szCs w:val="20"/>
        </w:rPr>
        <w:t>from</w:t>
      </w:r>
      <w:r w:rsidR="00C026A6" w:rsidRPr="00EA59C0">
        <w:rPr>
          <w:rFonts w:ascii="Arial" w:hAnsi="Arial" w:cs="Arial"/>
          <w:sz w:val="20"/>
          <w:szCs w:val="20"/>
        </w:rPr>
        <w:t xml:space="preserve"> </w:t>
      </w:r>
      <w:r w:rsidRPr="00EA59C0">
        <w:rPr>
          <w:rFonts w:ascii="Arial" w:hAnsi="Arial" w:cs="Arial"/>
          <w:sz w:val="20"/>
          <w:szCs w:val="20"/>
        </w:rPr>
        <w:t>Randomized</w:t>
      </w:r>
      <w:r w:rsidR="00C026A6" w:rsidRPr="00EA59C0">
        <w:rPr>
          <w:rFonts w:ascii="Arial" w:hAnsi="Arial" w:cs="Arial"/>
          <w:sz w:val="20"/>
          <w:szCs w:val="20"/>
        </w:rPr>
        <w:t xml:space="preserve"> </w:t>
      </w:r>
      <w:r w:rsidRPr="00EA59C0">
        <w:rPr>
          <w:rFonts w:ascii="Arial" w:hAnsi="Arial" w:cs="Arial"/>
          <w:sz w:val="20"/>
          <w:szCs w:val="20"/>
        </w:rPr>
        <w:t>Trials</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William</w:t>
      </w:r>
      <w:r w:rsidR="00C026A6" w:rsidRPr="00EA59C0">
        <w:rPr>
          <w:rFonts w:ascii="Arial" w:hAnsi="Arial" w:cs="Arial"/>
          <w:sz w:val="20"/>
          <w:szCs w:val="20"/>
        </w:rPr>
        <w:t xml:space="preserve"> </w:t>
      </w:r>
      <w:r w:rsidRPr="00EA59C0">
        <w:rPr>
          <w:rFonts w:ascii="Arial" w:hAnsi="Arial" w:cs="Arial"/>
          <w:sz w:val="20"/>
          <w:szCs w:val="20"/>
        </w:rPr>
        <w:t>G.</w:t>
      </w:r>
      <w:r w:rsidR="00C026A6" w:rsidRPr="00EA59C0">
        <w:rPr>
          <w:rFonts w:ascii="Arial" w:hAnsi="Arial" w:cs="Arial"/>
          <w:sz w:val="20"/>
          <w:szCs w:val="20"/>
        </w:rPr>
        <w:t xml:space="preserve"> </w:t>
      </w:r>
      <w:r w:rsidRPr="00EA59C0">
        <w:rPr>
          <w:rFonts w:ascii="Arial" w:hAnsi="Arial" w:cs="Arial"/>
          <w:sz w:val="20"/>
          <w:szCs w:val="20"/>
        </w:rPr>
        <w:t>Bowen,</w:t>
      </w:r>
      <w:r w:rsidR="00C026A6" w:rsidRPr="00EA59C0">
        <w:rPr>
          <w:rFonts w:ascii="Arial" w:hAnsi="Arial" w:cs="Arial"/>
          <w:sz w:val="20"/>
          <w:szCs w:val="20"/>
        </w:rPr>
        <w:t xml:space="preserve"> </w:t>
      </w:r>
      <w:r w:rsidRPr="00EA59C0">
        <w:rPr>
          <w:rFonts w:ascii="Arial" w:hAnsi="Arial" w:cs="Arial"/>
          <w:sz w:val="20"/>
          <w:szCs w:val="20"/>
        </w:rPr>
        <w:t>Matthew</w:t>
      </w:r>
      <w:r w:rsidR="00C026A6" w:rsidRPr="00EA59C0">
        <w:rPr>
          <w:rFonts w:ascii="Arial" w:hAnsi="Arial" w:cs="Arial"/>
          <w:sz w:val="20"/>
          <w:szCs w:val="20"/>
        </w:rPr>
        <w:t xml:space="preserve"> </w:t>
      </w:r>
      <w:r w:rsidRPr="00EA59C0">
        <w:rPr>
          <w:rFonts w:ascii="Arial" w:hAnsi="Arial" w:cs="Arial"/>
          <w:sz w:val="20"/>
          <w:szCs w:val="20"/>
        </w:rPr>
        <w:t>M.</w:t>
      </w:r>
      <w:r w:rsidR="00C026A6" w:rsidRPr="00EA59C0">
        <w:rPr>
          <w:rFonts w:ascii="Arial" w:hAnsi="Arial" w:cs="Arial"/>
          <w:sz w:val="20"/>
          <w:szCs w:val="20"/>
        </w:rPr>
        <w:t xml:space="preserve"> </w:t>
      </w:r>
      <w:r w:rsidRPr="00EA59C0">
        <w:rPr>
          <w:rFonts w:ascii="Arial" w:hAnsi="Arial" w:cs="Arial"/>
          <w:sz w:val="20"/>
          <w:szCs w:val="20"/>
        </w:rPr>
        <w:t>Chingos,</w:t>
      </w:r>
      <w:r w:rsidR="00C026A6" w:rsidRPr="00EA59C0">
        <w:rPr>
          <w:rFonts w:ascii="Arial" w:hAnsi="Arial" w:cs="Arial"/>
          <w:sz w:val="20"/>
          <w:szCs w:val="20"/>
        </w:rPr>
        <w:t xml:space="preserve"> </w:t>
      </w:r>
      <w:r w:rsidRPr="00EA59C0">
        <w:rPr>
          <w:rFonts w:ascii="Arial" w:hAnsi="Arial" w:cs="Arial"/>
          <w:sz w:val="20"/>
          <w:szCs w:val="20"/>
        </w:rPr>
        <w:t>Kelly</w:t>
      </w:r>
      <w:r w:rsidR="00C026A6" w:rsidRPr="00EA59C0">
        <w:rPr>
          <w:rFonts w:ascii="Arial" w:hAnsi="Arial" w:cs="Arial"/>
          <w:sz w:val="20"/>
          <w:szCs w:val="20"/>
        </w:rPr>
        <w:t xml:space="preserve"> </w:t>
      </w:r>
      <w:r w:rsidRPr="00EA59C0">
        <w:rPr>
          <w:rFonts w:ascii="Arial" w:hAnsi="Arial" w:cs="Arial"/>
          <w:sz w:val="20"/>
          <w:szCs w:val="20"/>
        </w:rPr>
        <w:t>A.</w:t>
      </w:r>
      <w:r w:rsidR="00C026A6" w:rsidRPr="00EA59C0">
        <w:rPr>
          <w:rFonts w:ascii="Arial" w:hAnsi="Arial" w:cs="Arial"/>
          <w:sz w:val="20"/>
          <w:szCs w:val="20"/>
        </w:rPr>
        <w:t xml:space="preserve"> </w:t>
      </w:r>
      <w:r w:rsidRPr="00EA59C0">
        <w:rPr>
          <w:rFonts w:ascii="Arial" w:hAnsi="Arial" w:cs="Arial"/>
          <w:sz w:val="20"/>
          <w:szCs w:val="20"/>
        </w:rPr>
        <w:t>Lack,</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Thomas</w:t>
      </w:r>
      <w:r w:rsidR="00C026A6" w:rsidRPr="00EA59C0">
        <w:rPr>
          <w:rFonts w:ascii="Arial" w:hAnsi="Arial" w:cs="Arial"/>
          <w:sz w:val="20"/>
          <w:szCs w:val="20"/>
        </w:rPr>
        <w:t xml:space="preserve"> </w:t>
      </w:r>
      <w:r w:rsidRPr="00EA59C0">
        <w:rPr>
          <w:rFonts w:ascii="Arial" w:hAnsi="Arial" w:cs="Arial"/>
          <w:sz w:val="20"/>
          <w:szCs w:val="20"/>
        </w:rPr>
        <w:t>I.</w:t>
      </w:r>
      <w:r w:rsidR="00C026A6" w:rsidRPr="00EA59C0">
        <w:rPr>
          <w:rFonts w:ascii="Arial" w:hAnsi="Arial" w:cs="Arial"/>
          <w:sz w:val="20"/>
          <w:szCs w:val="20"/>
        </w:rPr>
        <w:t xml:space="preserve"> </w:t>
      </w:r>
      <w:r w:rsidRPr="00EA59C0">
        <w:rPr>
          <w:rFonts w:ascii="Arial" w:hAnsi="Arial" w:cs="Arial"/>
          <w:sz w:val="20"/>
          <w:szCs w:val="20"/>
        </w:rPr>
        <w:t>Nygren</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Ithaka</w:t>
      </w:r>
      <w:r w:rsidR="00C026A6" w:rsidRPr="00EA59C0">
        <w:rPr>
          <w:rFonts w:ascii="Arial" w:hAnsi="Arial" w:cs="Arial"/>
          <w:sz w:val="20"/>
          <w:szCs w:val="20"/>
        </w:rPr>
        <w:t xml:space="preserve"> </w:t>
      </w:r>
      <w:r w:rsidRPr="00EA59C0">
        <w:rPr>
          <w:rFonts w:ascii="Arial" w:hAnsi="Arial" w:cs="Arial"/>
          <w:sz w:val="20"/>
          <w:szCs w:val="20"/>
        </w:rPr>
        <w:t>S+R,</w:t>
      </w:r>
      <w:r w:rsidR="00C026A6" w:rsidRPr="00EA59C0">
        <w:rPr>
          <w:rFonts w:ascii="Arial" w:hAnsi="Arial" w:cs="Arial"/>
          <w:sz w:val="20"/>
          <w:szCs w:val="20"/>
        </w:rPr>
        <w:t xml:space="preserve"> </w:t>
      </w:r>
      <w:r w:rsidRPr="00EA59C0">
        <w:rPr>
          <w:rFonts w:ascii="Arial" w:hAnsi="Arial" w:cs="Arial"/>
          <w:sz w:val="20"/>
          <w:szCs w:val="20"/>
        </w:rPr>
        <w:t>May</w:t>
      </w:r>
      <w:r w:rsidR="00C026A6" w:rsidRPr="00EA59C0">
        <w:rPr>
          <w:rFonts w:ascii="Arial" w:hAnsi="Arial" w:cs="Arial"/>
          <w:sz w:val="20"/>
          <w:szCs w:val="20"/>
        </w:rPr>
        <w:t xml:space="preserve"> </w:t>
      </w:r>
      <w:r w:rsidRPr="00EA59C0">
        <w:rPr>
          <w:rFonts w:ascii="Arial" w:hAnsi="Arial" w:cs="Arial"/>
          <w:sz w:val="20"/>
          <w:szCs w:val="20"/>
        </w:rPr>
        <w:t>2012</w:t>
      </w:r>
    </w:p>
    <w:p w:rsidR="0053007C" w:rsidRPr="00EA59C0" w:rsidRDefault="00DF2916" w:rsidP="0053007C">
      <w:pPr>
        <w:pStyle w:val="NoSpacing"/>
        <w:rPr>
          <w:rFonts w:ascii="Arial" w:hAnsi="Arial" w:cs="Arial"/>
          <w:sz w:val="20"/>
          <w:szCs w:val="20"/>
        </w:rPr>
      </w:pPr>
      <w:hyperlink r:id="rId346" w:history="1">
        <w:r w:rsidR="0053007C" w:rsidRPr="00EA59C0">
          <w:rPr>
            <w:rStyle w:val="Hyperlink"/>
            <w:rFonts w:ascii="Arial" w:hAnsi="Arial" w:cs="Arial"/>
            <w:color w:val="auto"/>
            <w:sz w:val="20"/>
            <w:szCs w:val="20"/>
          </w:rPr>
          <w:t>http://www.sr.ithaka.org/research-publications/interactive-learning-online-public-universities-evidence-randomized-trials</w:t>
        </w:r>
      </w:hyperlink>
      <w:r w:rsidR="00C026A6" w:rsidRPr="00EA59C0">
        <w:rPr>
          <w:rFonts w:ascii="Arial" w:hAnsi="Arial" w:cs="Arial"/>
          <w:sz w:val="20"/>
          <w:szCs w:val="20"/>
        </w:rPr>
        <w:t xml:space="preserve"> </w:t>
      </w:r>
    </w:p>
    <w:p w:rsidR="0053007C" w:rsidRPr="00EA59C0" w:rsidRDefault="0053007C" w:rsidP="0053007C">
      <w:pPr>
        <w:pStyle w:val="NoSpacing"/>
        <w:rPr>
          <w:rFonts w:ascii="Arial" w:hAnsi="Arial" w:cs="Arial"/>
          <w:sz w:val="20"/>
          <w:szCs w:val="20"/>
        </w:rPr>
      </w:pP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Why</w:t>
      </w:r>
      <w:r w:rsidR="00C026A6" w:rsidRPr="00EA59C0">
        <w:rPr>
          <w:rFonts w:ascii="Arial" w:hAnsi="Arial" w:cs="Arial"/>
          <w:sz w:val="20"/>
          <w:szCs w:val="20"/>
        </w:rPr>
        <w:t xml:space="preserve"> </w:t>
      </w:r>
      <w:r w:rsidRPr="00EA59C0">
        <w:rPr>
          <w:rFonts w:ascii="Arial" w:hAnsi="Arial" w:cs="Arial"/>
          <w:sz w:val="20"/>
          <w:szCs w:val="20"/>
        </w:rPr>
        <w:t>Openness</w:t>
      </w:r>
      <w:r w:rsidR="00C026A6" w:rsidRPr="00EA59C0">
        <w:rPr>
          <w:rFonts w:ascii="Arial" w:hAnsi="Arial" w:cs="Arial"/>
          <w:sz w:val="20"/>
          <w:szCs w:val="20"/>
        </w:rPr>
        <w:t xml:space="preserve"> </w:t>
      </w:r>
      <w:r w:rsidRPr="00EA59C0">
        <w:rPr>
          <w:rFonts w:ascii="Arial" w:hAnsi="Arial" w:cs="Arial"/>
          <w:sz w:val="20"/>
          <w:szCs w:val="20"/>
        </w:rPr>
        <w:t>in</w:t>
      </w:r>
      <w:r w:rsidR="00C026A6" w:rsidRPr="00EA59C0">
        <w:rPr>
          <w:rFonts w:ascii="Arial" w:hAnsi="Arial" w:cs="Arial"/>
          <w:sz w:val="20"/>
          <w:szCs w:val="20"/>
        </w:rPr>
        <w:t xml:space="preserve"> </w:t>
      </w:r>
      <w:r w:rsidRPr="00EA59C0">
        <w:rPr>
          <w:rFonts w:ascii="Arial" w:hAnsi="Arial" w:cs="Arial"/>
          <w:sz w:val="20"/>
          <w:szCs w:val="20"/>
        </w:rPr>
        <w:t>Education?</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David</w:t>
      </w:r>
      <w:r w:rsidR="00C026A6" w:rsidRPr="00EA59C0">
        <w:rPr>
          <w:rFonts w:ascii="Arial" w:hAnsi="Arial" w:cs="Arial"/>
          <w:sz w:val="20"/>
          <w:szCs w:val="20"/>
        </w:rPr>
        <w:t xml:space="preserve"> </w:t>
      </w:r>
      <w:r w:rsidRPr="00EA59C0">
        <w:rPr>
          <w:rFonts w:ascii="Arial" w:hAnsi="Arial" w:cs="Arial"/>
          <w:sz w:val="20"/>
          <w:szCs w:val="20"/>
        </w:rPr>
        <w:t>Wiley</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Cable</w:t>
      </w:r>
      <w:r w:rsidR="00C026A6" w:rsidRPr="00EA59C0">
        <w:rPr>
          <w:rFonts w:ascii="Arial" w:hAnsi="Arial" w:cs="Arial"/>
          <w:sz w:val="20"/>
          <w:szCs w:val="20"/>
        </w:rPr>
        <w:t xml:space="preserve"> </w:t>
      </w:r>
      <w:r w:rsidRPr="00EA59C0">
        <w:rPr>
          <w:rFonts w:ascii="Arial" w:hAnsi="Arial" w:cs="Arial"/>
          <w:sz w:val="20"/>
          <w:szCs w:val="20"/>
        </w:rPr>
        <w:t>Green</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Chapter</w:t>
      </w:r>
      <w:r w:rsidR="00C026A6" w:rsidRPr="00EA59C0">
        <w:rPr>
          <w:rFonts w:ascii="Arial" w:hAnsi="Arial" w:cs="Arial"/>
          <w:sz w:val="20"/>
          <w:szCs w:val="20"/>
        </w:rPr>
        <w:t xml:space="preserve"> </w:t>
      </w:r>
      <w:r w:rsidRPr="00EA59C0">
        <w:rPr>
          <w:rFonts w:ascii="Arial" w:hAnsi="Arial" w:cs="Arial"/>
          <w:sz w:val="20"/>
          <w:szCs w:val="20"/>
        </w:rPr>
        <w:t>6</w:t>
      </w:r>
      <w:r w:rsidR="00C026A6" w:rsidRPr="00EA59C0">
        <w:rPr>
          <w:rFonts w:ascii="Arial" w:hAnsi="Arial" w:cs="Arial"/>
          <w:sz w:val="20"/>
          <w:szCs w:val="20"/>
        </w:rPr>
        <w:t xml:space="preserve"> </w:t>
      </w:r>
      <w:r w:rsidRPr="00EA59C0">
        <w:rPr>
          <w:rFonts w:ascii="Arial" w:hAnsi="Arial" w:cs="Arial"/>
          <w:sz w:val="20"/>
          <w:szCs w:val="20"/>
        </w:rPr>
        <w:t>in:</w:t>
      </w:r>
      <w:r w:rsidR="00C026A6" w:rsidRPr="00EA59C0">
        <w:rPr>
          <w:rFonts w:ascii="Arial" w:hAnsi="Arial" w:cs="Arial"/>
          <w:sz w:val="20"/>
          <w:szCs w:val="20"/>
        </w:rPr>
        <w:t xml:space="preserve"> </w:t>
      </w:r>
      <w:r w:rsidRPr="00EA59C0">
        <w:rPr>
          <w:rFonts w:ascii="Arial" w:hAnsi="Arial" w:cs="Arial"/>
          <w:sz w:val="20"/>
          <w:szCs w:val="20"/>
        </w:rPr>
        <w:t>Game</w:t>
      </w:r>
      <w:r w:rsidR="00C026A6" w:rsidRPr="00EA59C0">
        <w:rPr>
          <w:rFonts w:ascii="Arial" w:hAnsi="Arial" w:cs="Arial"/>
          <w:sz w:val="20"/>
          <w:szCs w:val="20"/>
        </w:rPr>
        <w:t xml:space="preserve"> </w:t>
      </w:r>
      <w:r w:rsidRPr="00EA59C0">
        <w:rPr>
          <w:rFonts w:ascii="Arial" w:hAnsi="Arial" w:cs="Arial"/>
          <w:sz w:val="20"/>
          <w:szCs w:val="20"/>
        </w:rPr>
        <w:t>Changers:</w:t>
      </w:r>
      <w:r w:rsidR="00C026A6" w:rsidRPr="00EA59C0">
        <w:rPr>
          <w:rFonts w:ascii="Arial" w:hAnsi="Arial" w:cs="Arial"/>
          <w:sz w:val="20"/>
          <w:szCs w:val="20"/>
        </w:rPr>
        <w:t xml:space="preserve"> </w:t>
      </w:r>
      <w:r w:rsidRPr="00EA59C0">
        <w:rPr>
          <w:rFonts w:ascii="Arial" w:hAnsi="Arial" w:cs="Arial"/>
          <w:sz w:val="20"/>
          <w:szCs w:val="20"/>
        </w:rPr>
        <w:t>Education</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Information</w:t>
      </w:r>
      <w:r w:rsidR="00C026A6" w:rsidRPr="00EA59C0">
        <w:rPr>
          <w:rFonts w:ascii="Arial" w:hAnsi="Arial" w:cs="Arial"/>
          <w:sz w:val="20"/>
          <w:szCs w:val="20"/>
        </w:rPr>
        <w:t xml:space="preserve"> </w:t>
      </w:r>
      <w:r w:rsidRPr="00EA59C0">
        <w:rPr>
          <w:rFonts w:ascii="Arial" w:hAnsi="Arial" w:cs="Arial"/>
          <w:sz w:val="20"/>
          <w:szCs w:val="20"/>
        </w:rPr>
        <w:t>Technologies,</w:t>
      </w:r>
      <w:r w:rsidR="00C026A6" w:rsidRPr="00EA59C0">
        <w:rPr>
          <w:rFonts w:ascii="Arial" w:hAnsi="Arial" w:cs="Arial"/>
          <w:sz w:val="20"/>
          <w:szCs w:val="20"/>
        </w:rPr>
        <w:t xml:space="preserve"> </w:t>
      </w:r>
      <w:r w:rsidRPr="00EA59C0">
        <w:rPr>
          <w:rFonts w:ascii="Arial" w:hAnsi="Arial" w:cs="Arial"/>
          <w:sz w:val="20"/>
          <w:szCs w:val="20"/>
        </w:rPr>
        <w:t>Edited</w:t>
      </w:r>
      <w:r w:rsidR="00C026A6" w:rsidRPr="00EA59C0">
        <w:rPr>
          <w:rFonts w:ascii="Arial" w:hAnsi="Arial" w:cs="Arial"/>
          <w:sz w:val="20"/>
          <w:szCs w:val="20"/>
        </w:rPr>
        <w:t xml:space="preserve"> </w:t>
      </w:r>
      <w:r w:rsidRPr="00EA59C0">
        <w:rPr>
          <w:rFonts w:ascii="Arial" w:hAnsi="Arial" w:cs="Arial"/>
          <w:sz w:val="20"/>
          <w:szCs w:val="20"/>
        </w:rPr>
        <w:t>by</w:t>
      </w:r>
      <w:r w:rsidR="00C026A6" w:rsidRPr="00EA59C0">
        <w:rPr>
          <w:rFonts w:ascii="Arial" w:hAnsi="Arial" w:cs="Arial"/>
          <w:sz w:val="20"/>
          <w:szCs w:val="20"/>
        </w:rPr>
        <w:t xml:space="preserve"> </w:t>
      </w:r>
      <w:r w:rsidRPr="00EA59C0">
        <w:rPr>
          <w:rFonts w:ascii="Arial" w:hAnsi="Arial" w:cs="Arial"/>
          <w:sz w:val="20"/>
          <w:szCs w:val="20"/>
        </w:rPr>
        <w:t>Diana</w:t>
      </w:r>
      <w:r w:rsidR="00C026A6" w:rsidRPr="00EA59C0">
        <w:rPr>
          <w:rFonts w:ascii="Arial" w:hAnsi="Arial" w:cs="Arial"/>
          <w:sz w:val="20"/>
          <w:szCs w:val="20"/>
        </w:rPr>
        <w:t xml:space="preserve"> </w:t>
      </w:r>
      <w:r w:rsidRPr="00EA59C0">
        <w:rPr>
          <w:rFonts w:ascii="Arial" w:hAnsi="Arial" w:cs="Arial"/>
          <w:sz w:val="20"/>
          <w:szCs w:val="20"/>
        </w:rPr>
        <w:t>G.</w:t>
      </w:r>
      <w:r w:rsidR="00C026A6" w:rsidRPr="00EA59C0">
        <w:rPr>
          <w:rFonts w:ascii="Arial" w:hAnsi="Arial" w:cs="Arial"/>
          <w:sz w:val="20"/>
          <w:szCs w:val="20"/>
        </w:rPr>
        <w:t xml:space="preserve"> </w:t>
      </w:r>
      <w:r w:rsidRPr="00EA59C0">
        <w:rPr>
          <w:rFonts w:ascii="Arial" w:hAnsi="Arial" w:cs="Arial"/>
          <w:sz w:val="20"/>
          <w:szCs w:val="20"/>
        </w:rPr>
        <w:t>Oblinger,</w:t>
      </w:r>
      <w:r w:rsidR="00C026A6" w:rsidRPr="00EA59C0">
        <w:rPr>
          <w:rFonts w:ascii="Arial" w:hAnsi="Arial" w:cs="Arial"/>
          <w:sz w:val="20"/>
          <w:szCs w:val="20"/>
        </w:rPr>
        <w:t xml:space="preserve"> </w:t>
      </w:r>
      <w:r w:rsidRPr="00EA59C0">
        <w:rPr>
          <w:rFonts w:ascii="Arial" w:hAnsi="Arial" w:cs="Arial"/>
          <w:sz w:val="20"/>
          <w:szCs w:val="20"/>
        </w:rPr>
        <w:t>Educause,</w:t>
      </w:r>
      <w:r w:rsidR="00C026A6" w:rsidRPr="00EA59C0">
        <w:rPr>
          <w:rFonts w:ascii="Arial" w:hAnsi="Arial" w:cs="Arial"/>
          <w:sz w:val="20"/>
          <w:szCs w:val="20"/>
        </w:rPr>
        <w:t xml:space="preserve"> </w:t>
      </w:r>
      <w:r w:rsidRPr="00EA59C0">
        <w:rPr>
          <w:rFonts w:ascii="Arial" w:hAnsi="Arial" w:cs="Arial"/>
          <w:sz w:val="20"/>
          <w:szCs w:val="20"/>
        </w:rPr>
        <w:t>April</w:t>
      </w:r>
      <w:r w:rsidR="00C026A6" w:rsidRPr="00EA59C0">
        <w:rPr>
          <w:rFonts w:ascii="Arial" w:hAnsi="Arial" w:cs="Arial"/>
          <w:sz w:val="20"/>
          <w:szCs w:val="20"/>
        </w:rPr>
        <w:t xml:space="preserve"> </w:t>
      </w:r>
      <w:r w:rsidRPr="00EA59C0">
        <w:rPr>
          <w:rFonts w:ascii="Arial" w:hAnsi="Arial" w:cs="Arial"/>
          <w:sz w:val="20"/>
          <w:szCs w:val="20"/>
        </w:rPr>
        <w:t>2012</w:t>
      </w:r>
    </w:p>
    <w:p w:rsidR="0053007C" w:rsidRPr="00EA59C0" w:rsidRDefault="00DF2916" w:rsidP="0053007C">
      <w:pPr>
        <w:pStyle w:val="NoSpacing"/>
        <w:rPr>
          <w:rFonts w:ascii="Arial" w:hAnsi="Arial" w:cs="Arial"/>
          <w:sz w:val="20"/>
          <w:szCs w:val="20"/>
        </w:rPr>
      </w:pPr>
      <w:hyperlink r:id="rId347" w:history="1">
        <w:r w:rsidR="0053007C" w:rsidRPr="00EA59C0">
          <w:rPr>
            <w:rStyle w:val="Hyperlink"/>
            <w:rFonts w:ascii="Arial" w:hAnsi="Arial" w:cs="Arial"/>
            <w:color w:val="auto"/>
            <w:sz w:val="20"/>
            <w:szCs w:val="20"/>
          </w:rPr>
          <w:t>http://www.educause.edu/research-publications/books/game-changers-education-and-information-technologies</w:t>
        </w:r>
      </w:hyperlink>
      <w:r w:rsidR="00C026A6" w:rsidRPr="00EA59C0">
        <w:rPr>
          <w:rFonts w:ascii="Arial" w:hAnsi="Arial" w:cs="Arial"/>
          <w:sz w:val="20"/>
          <w:szCs w:val="20"/>
        </w:rPr>
        <w:t xml:space="preserve"> </w:t>
      </w:r>
    </w:p>
    <w:p w:rsidR="0053007C" w:rsidRPr="00EA59C0" w:rsidRDefault="0053007C" w:rsidP="0053007C">
      <w:pPr>
        <w:pStyle w:val="NoSpacing"/>
        <w:rPr>
          <w:rFonts w:ascii="Arial" w:hAnsi="Arial" w:cs="Arial"/>
          <w:sz w:val="20"/>
          <w:szCs w:val="20"/>
        </w:rPr>
      </w:pP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Knowledge</w:t>
      </w:r>
      <w:r w:rsidR="00C026A6" w:rsidRPr="00EA59C0">
        <w:rPr>
          <w:rFonts w:ascii="Arial" w:hAnsi="Arial" w:cs="Arial"/>
          <w:sz w:val="20"/>
          <w:szCs w:val="20"/>
        </w:rPr>
        <w:t xml:space="preserve"> </w:t>
      </w:r>
      <w:r w:rsidRPr="00EA59C0">
        <w:rPr>
          <w:rFonts w:ascii="Arial" w:hAnsi="Arial" w:cs="Arial"/>
          <w:sz w:val="20"/>
          <w:szCs w:val="20"/>
        </w:rPr>
        <w:t>Sharing</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Collaboration</w:t>
      </w:r>
      <w:r w:rsidR="00C026A6" w:rsidRPr="00EA59C0">
        <w:rPr>
          <w:rFonts w:ascii="Arial" w:hAnsi="Arial" w:cs="Arial"/>
          <w:sz w:val="20"/>
          <w:szCs w:val="20"/>
        </w:rPr>
        <w:t xml:space="preserve"> </w:t>
      </w:r>
      <w:r w:rsidRPr="00EA59C0">
        <w:rPr>
          <w:rFonts w:ascii="Arial" w:hAnsi="Arial" w:cs="Arial"/>
          <w:sz w:val="20"/>
          <w:szCs w:val="20"/>
        </w:rPr>
        <w:t>as</w:t>
      </w:r>
      <w:r w:rsidR="00C026A6" w:rsidRPr="00EA59C0">
        <w:rPr>
          <w:rFonts w:ascii="Arial" w:hAnsi="Arial" w:cs="Arial"/>
          <w:sz w:val="20"/>
          <w:szCs w:val="20"/>
        </w:rPr>
        <w:t xml:space="preserve"> </w:t>
      </w:r>
      <w:r w:rsidRPr="00EA59C0">
        <w:rPr>
          <w:rFonts w:ascii="Arial" w:hAnsi="Arial" w:cs="Arial"/>
          <w:sz w:val="20"/>
          <w:szCs w:val="20"/>
        </w:rPr>
        <w:t>Indicators</w:t>
      </w:r>
      <w:r w:rsidR="00C026A6" w:rsidRPr="00EA59C0">
        <w:rPr>
          <w:rFonts w:ascii="Arial" w:hAnsi="Arial" w:cs="Arial"/>
          <w:sz w:val="20"/>
          <w:szCs w:val="20"/>
        </w:rPr>
        <w:t xml:space="preserve"> </w:t>
      </w:r>
      <w:r w:rsidRPr="00EA59C0">
        <w:rPr>
          <w:rFonts w:ascii="Arial" w:hAnsi="Arial" w:cs="Arial"/>
          <w:sz w:val="20"/>
          <w:szCs w:val="20"/>
        </w:rPr>
        <w:t>of</w:t>
      </w:r>
      <w:r w:rsidR="00C026A6" w:rsidRPr="00EA59C0">
        <w:rPr>
          <w:rFonts w:ascii="Arial" w:hAnsi="Arial" w:cs="Arial"/>
          <w:sz w:val="20"/>
          <w:szCs w:val="20"/>
        </w:rPr>
        <w:t xml:space="preserve"> </w:t>
      </w:r>
      <w:r w:rsidRPr="00EA59C0">
        <w:rPr>
          <w:rFonts w:ascii="Arial" w:hAnsi="Arial" w:cs="Arial"/>
          <w:sz w:val="20"/>
          <w:szCs w:val="20"/>
        </w:rPr>
        <w:t>Learning</w:t>
      </w:r>
      <w:r w:rsidR="00C026A6" w:rsidRPr="00EA59C0">
        <w:rPr>
          <w:rFonts w:ascii="Arial" w:hAnsi="Arial" w:cs="Arial"/>
          <w:sz w:val="20"/>
          <w:szCs w:val="20"/>
        </w:rPr>
        <w:t xml:space="preserve"> </w:t>
      </w:r>
      <w:r w:rsidRPr="00EA59C0">
        <w:rPr>
          <w:rFonts w:ascii="Arial" w:hAnsi="Arial" w:cs="Arial"/>
          <w:sz w:val="20"/>
          <w:szCs w:val="20"/>
        </w:rPr>
        <w:t>in</w:t>
      </w:r>
      <w:r w:rsidR="00C026A6" w:rsidRPr="00EA59C0">
        <w:rPr>
          <w:rFonts w:ascii="Arial" w:hAnsi="Arial" w:cs="Arial"/>
          <w:sz w:val="20"/>
          <w:szCs w:val="20"/>
        </w:rPr>
        <w:t xml:space="preserve"> </w:t>
      </w:r>
      <w:r w:rsidRPr="00EA59C0">
        <w:rPr>
          <w:rFonts w:ascii="Arial" w:hAnsi="Arial" w:cs="Arial"/>
          <w:sz w:val="20"/>
          <w:szCs w:val="20"/>
        </w:rPr>
        <w:t>OER</w:t>
      </w:r>
      <w:r w:rsidR="00C026A6" w:rsidRPr="00EA59C0">
        <w:rPr>
          <w:rFonts w:ascii="Arial" w:hAnsi="Arial" w:cs="Arial"/>
          <w:sz w:val="20"/>
          <w:szCs w:val="20"/>
        </w:rPr>
        <w:t xml:space="preserve"> </w:t>
      </w:r>
      <w:r w:rsidRPr="00EA59C0">
        <w:rPr>
          <w:rFonts w:ascii="Arial" w:hAnsi="Arial" w:cs="Arial"/>
          <w:sz w:val="20"/>
          <w:szCs w:val="20"/>
        </w:rPr>
        <w:t>Communities</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Lisa</w:t>
      </w:r>
      <w:r w:rsidR="00C026A6" w:rsidRPr="00EA59C0">
        <w:rPr>
          <w:rFonts w:ascii="Arial" w:hAnsi="Arial" w:cs="Arial"/>
          <w:sz w:val="20"/>
          <w:szCs w:val="20"/>
        </w:rPr>
        <w:t xml:space="preserve"> </w:t>
      </w:r>
      <w:r w:rsidRPr="00EA59C0">
        <w:rPr>
          <w:rFonts w:ascii="Arial" w:hAnsi="Arial" w:cs="Arial"/>
          <w:sz w:val="20"/>
          <w:szCs w:val="20"/>
        </w:rPr>
        <w:t>Petrides,</w:t>
      </w:r>
      <w:r w:rsidR="00C026A6" w:rsidRPr="00EA59C0">
        <w:rPr>
          <w:rFonts w:ascii="Arial" w:hAnsi="Arial" w:cs="Arial"/>
          <w:sz w:val="20"/>
          <w:szCs w:val="20"/>
        </w:rPr>
        <w:t xml:space="preserve"> </w:t>
      </w:r>
      <w:r w:rsidRPr="00EA59C0">
        <w:rPr>
          <w:rFonts w:ascii="Arial" w:hAnsi="Arial" w:cs="Arial"/>
          <w:sz w:val="20"/>
          <w:szCs w:val="20"/>
        </w:rPr>
        <w:t>Cynthia</w:t>
      </w:r>
      <w:r w:rsidR="00C026A6" w:rsidRPr="00EA59C0">
        <w:rPr>
          <w:rFonts w:ascii="Arial" w:hAnsi="Arial" w:cs="Arial"/>
          <w:sz w:val="20"/>
          <w:szCs w:val="20"/>
        </w:rPr>
        <w:t xml:space="preserve"> </w:t>
      </w:r>
      <w:r w:rsidRPr="00EA59C0">
        <w:rPr>
          <w:rFonts w:ascii="Arial" w:hAnsi="Arial" w:cs="Arial"/>
          <w:sz w:val="20"/>
          <w:szCs w:val="20"/>
        </w:rPr>
        <w:t>Jimes,</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Carol</w:t>
      </w:r>
      <w:r w:rsidR="00C026A6" w:rsidRPr="00EA59C0">
        <w:rPr>
          <w:rFonts w:ascii="Arial" w:hAnsi="Arial" w:cs="Arial"/>
          <w:sz w:val="20"/>
          <w:szCs w:val="20"/>
        </w:rPr>
        <w:t xml:space="preserve"> </w:t>
      </w:r>
      <w:r w:rsidRPr="00EA59C0">
        <w:rPr>
          <w:rFonts w:ascii="Arial" w:hAnsi="Arial" w:cs="Arial"/>
          <w:sz w:val="20"/>
          <w:szCs w:val="20"/>
        </w:rPr>
        <w:t>Hedgspeth</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Chapter</w:t>
      </w:r>
      <w:r w:rsidR="00C026A6" w:rsidRPr="00EA59C0">
        <w:rPr>
          <w:rFonts w:ascii="Arial" w:hAnsi="Arial" w:cs="Arial"/>
          <w:sz w:val="20"/>
          <w:szCs w:val="20"/>
        </w:rPr>
        <w:t xml:space="preserve"> </w:t>
      </w:r>
      <w:r w:rsidRPr="00EA59C0">
        <w:rPr>
          <w:rFonts w:ascii="Arial" w:hAnsi="Arial" w:cs="Arial"/>
          <w:sz w:val="20"/>
          <w:szCs w:val="20"/>
        </w:rPr>
        <w:t>3</w:t>
      </w:r>
      <w:r w:rsidR="00C026A6" w:rsidRPr="00EA59C0">
        <w:rPr>
          <w:rFonts w:ascii="Arial" w:hAnsi="Arial" w:cs="Arial"/>
          <w:sz w:val="20"/>
          <w:szCs w:val="20"/>
        </w:rPr>
        <w:t xml:space="preserve"> </w:t>
      </w:r>
      <w:r w:rsidRPr="00EA59C0">
        <w:rPr>
          <w:rFonts w:ascii="Arial" w:hAnsi="Arial" w:cs="Arial"/>
          <w:sz w:val="20"/>
          <w:szCs w:val="20"/>
        </w:rPr>
        <w:t>in:</w:t>
      </w:r>
      <w:r w:rsidR="00C026A6" w:rsidRPr="00EA59C0">
        <w:rPr>
          <w:rFonts w:ascii="Arial" w:hAnsi="Arial" w:cs="Arial"/>
          <w:sz w:val="20"/>
          <w:szCs w:val="20"/>
        </w:rPr>
        <w:t xml:space="preserve"> </w:t>
      </w:r>
      <w:r w:rsidRPr="00EA59C0">
        <w:rPr>
          <w:rFonts w:ascii="Arial" w:hAnsi="Arial" w:cs="Arial"/>
          <w:sz w:val="20"/>
          <w:szCs w:val="20"/>
        </w:rPr>
        <w:t>Collaborative</w:t>
      </w:r>
      <w:r w:rsidR="00C026A6" w:rsidRPr="00EA59C0">
        <w:rPr>
          <w:rFonts w:ascii="Arial" w:hAnsi="Arial" w:cs="Arial"/>
          <w:sz w:val="20"/>
          <w:szCs w:val="20"/>
        </w:rPr>
        <w:t xml:space="preserve"> </w:t>
      </w:r>
      <w:r w:rsidRPr="00EA59C0">
        <w:rPr>
          <w:rFonts w:ascii="Arial" w:hAnsi="Arial" w:cs="Arial"/>
          <w:sz w:val="20"/>
          <w:szCs w:val="20"/>
        </w:rPr>
        <w:t>Learning</w:t>
      </w:r>
      <w:r w:rsidR="00C026A6" w:rsidRPr="00EA59C0">
        <w:rPr>
          <w:rFonts w:ascii="Arial" w:hAnsi="Arial" w:cs="Arial"/>
          <w:sz w:val="20"/>
          <w:szCs w:val="20"/>
        </w:rPr>
        <w:t xml:space="preserve"> </w:t>
      </w:r>
      <w:r w:rsidRPr="00EA59C0">
        <w:rPr>
          <w:rFonts w:ascii="Arial" w:hAnsi="Arial" w:cs="Arial"/>
          <w:sz w:val="20"/>
          <w:szCs w:val="20"/>
        </w:rPr>
        <w:t>2.0:</w:t>
      </w:r>
      <w:r w:rsidR="00C026A6" w:rsidRPr="00EA59C0">
        <w:rPr>
          <w:rFonts w:ascii="Arial" w:hAnsi="Arial" w:cs="Arial"/>
          <w:sz w:val="20"/>
          <w:szCs w:val="20"/>
        </w:rPr>
        <w:t xml:space="preserve"> </w:t>
      </w:r>
      <w:r w:rsidRPr="00EA59C0">
        <w:rPr>
          <w:rFonts w:ascii="Arial" w:hAnsi="Arial" w:cs="Arial"/>
          <w:sz w:val="20"/>
          <w:szCs w:val="20"/>
        </w:rPr>
        <w:t>Open</w:t>
      </w:r>
      <w:r w:rsidR="00C026A6" w:rsidRPr="00EA59C0">
        <w:rPr>
          <w:rFonts w:ascii="Arial" w:hAnsi="Arial" w:cs="Arial"/>
          <w:sz w:val="20"/>
          <w:szCs w:val="20"/>
        </w:rPr>
        <w:t xml:space="preserve"> </w:t>
      </w:r>
      <w:r w:rsidRPr="00EA59C0">
        <w:rPr>
          <w:rFonts w:ascii="Arial" w:hAnsi="Arial" w:cs="Arial"/>
          <w:sz w:val="20"/>
          <w:szCs w:val="20"/>
        </w:rPr>
        <w:t>Educational</w:t>
      </w:r>
      <w:r w:rsidR="00C026A6" w:rsidRPr="00EA59C0">
        <w:rPr>
          <w:rFonts w:ascii="Arial" w:hAnsi="Arial" w:cs="Arial"/>
          <w:sz w:val="20"/>
          <w:szCs w:val="20"/>
        </w:rPr>
        <w:t xml:space="preserve"> </w:t>
      </w:r>
      <w:r w:rsidRPr="00EA59C0">
        <w:rPr>
          <w:rFonts w:ascii="Arial" w:hAnsi="Arial" w:cs="Arial"/>
          <w:sz w:val="20"/>
          <w:szCs w:val="20"/>
        </w:rPr>
        <w:t>Resources.</w:t>
      </w:r>
      <w:r w:rsidR="00C026A6" w:rsidRPr="00EA59C0">
        <w:rPr>
          <w:rFonts w:ascii="Arial" w:hAnsi="Arial" w:cs="Arial"/>
          <w:sz w:val="20"/>
          <w:szCs w:val="20"/>
        </w:rPr>
        <w:t xml:space="preserve"> </w:t>
      </w:r>
      <w:r w:rsidRPr="00EA59C0">
        <w:rPr>
          <w:rFonts w:ascii="Arial" w:hAnsi="Arial" w:cs="Arial"/>
          <w:sz w:val="20"/>
          <w:szCs w:val="20"/>
        </w:rPr>
        <w:t>Milton</w:t>
      </w:r>
      <w:r w:rsidR="00C026A6" w:rsidRPr="00EA59C0">
        <w:rPr>
          <w:rFonts w:ascii="Arial" w:hAnsi="Arial" w:cs="Arial"/>
          <w:sz w:val="20"/>
          <w:szCs w:val="20"/>
        </w:rPr>
        <w:t xml:space="preserve"> </w:t>
      </w:r>
      <w:r w:rsidRPr="00EA59C0">
        <w:rPr>
          <w:rFonts w:ascii="Arial" w:hAnsi="Arial" w:cs="Arial"/>
          <w:sz w:val="20"/>
          <w:szCs w:val="20"/>
        </w:rPr>
        <w:t>Keynes:</w:t>
      </w:r>
      <w:r w:rsidR="00C026A6" w:rsidRPr="00EA59C0">
        <w:rPr>
          <w:rFonts w:ascii="Arial" w:hAnsi="Arial" w:cs="Arial"/>
          <w:sz w:val="20"/>
          <w:szCs w:val="20"/>
        </w:rPr>
        <w:t xml:space="preserve"> </w:t>
      </w:r>
      <w:r w:rsidRPr="00EA59C0">
        <w:rPr>
          <w:rFonts w:ascii="Arial" w:hAnsi="Arial" w:cs="Arial"/>
          <w:sz w:val="20"/>
          <w:szCs w:val="20"/>
        </w:rPr>
        <w:t>Knowledge</w:t>
      </w:r>
      <w:r w:rsidR="00C026A6" w:rsidRPr="00EA59C0">
        <w:rPr>
          <w:rFonts w:ascii="Arial" w:hAnsi="Arial" w:cs="Arial"/>
          <w:sz w:val="20"/>
          <w:szCs w:val="20"/>
        </w:rPr>
        <w:t xml:space="preserve"> </w:t>
      </w:r>
      <w:r w:rsidRPr="00EA59C0">
        <w:rPr>
          <w:rFonts w:ascii="Arial" w:hAnsi="Arial" w:cs="Arial"/>
          <w:sz w:val="20"/>
          <w:szCs w:val="20"/>
        </w:rPr>
        <w:t>Media</w:t>
      </w:r>
      <w:r w:rsidR="00C026A6" w:rsidRPr="00EA59C0">
        <w:rPr>
          <w:rFonts w:ascii="Arial" w:hAnsi="Arial" w:cs="Arial"/>
          <w:sz w:val="20"/>
          <w:szCs w:val="20"/>
        </w:rPr>
        <w:t xml:space="preserve"> </w:t>
      </w:r>
      <w:r w:rsidRPr="00EA59C0">
        <w:rPr>
          <w:rFonts w:ascii="Arial" w:hAnsi="Arial" w:cs="Arial"/>
          <w:sz w:val="20"/>
          <w:szCs w:val="20"/>
        </w:rPr>
        <w:t>Institute,</w:t>
      </w:r>
      <w:r w:rsidR="00C026A6" w:rsidRPr="00EA59C0">
        <w:rPr>
          <w:rFonts w:ascii="Arial" w:hAnsi="Arial" w:cs="Arial"/>
          <w:sz w:val="20"/>
          <w:szCs w:val="20"/>
        </w:rPr>
        <w:t xml:space="preserve"> </w:t>
      </w:r>
      <w:r w:rsidRPr="00EA59C0">
        <w:rPr>
          <w:rFonts w:ascii="Arial" w:hAnsi="Arial" w:cs="Arial"/>
          <w:sz w:val="20"/>
          <w:szCs w:val="20"/>
        </w:rPr>
        <w:t>The</w:t>
      </w:r>
      <w:r w:rsidR="00C026A6" w:rsidRPr="00EA59C0">
        <w:rPr>
          <w:rFonts w:ascii="Arial" w:hAnsi="Arial" w:cs="Arial"/>
          <w:sz w:val="20"/>
          <w:szCs w:val="20"/>
        </w:rPr>
        <w:t xml:space="preserve"> </w:t>
      </w:r>
      <w:r w:rsidRPr="00EA59C0">
        <w:rPr>
          <w:rFonts w:ascii="Arial" w:hAnsi="Arial" w:cs="Arial"/>
          <w:sz w:val="20"/>
          <w:szCs w:val="20"/>
        </w:rPr>
        <w:t>Open</w:t>
      </w:r>
      <w:r w:rsidR="00C026A6" w:rsidRPr="00EA59C0">
        <w:rPr>
          <w:rFonts w:ascii="Arial" w:hAnsi="Arial" w:cs="Arial"/>
          <w:sz w:val="20"/>
          <w:szCs w:val="20"/>
        </w:rPr>
        <w:t xml:space="preserve"> </w:t>
      </w:r>
      <w:r w:rsidRPr="00EA59C0">
        <w:rPr>
          <w:rFonts w:ascii="Arial" w:hAnsi="Arial" w:cs="Arial"/>
          <w:sz w:val="20"/>
          <w:szCs w:val="20"/>
        </w:rPr>
        <w:t>University</w:t>
      </w:r>
      <w:r w:rsidR="00C026A6" w:rsidRPr="00EA59C0">
        <w:rPr>
          <w:rFonts w:ascii="Arial" w:hAnsi="Arial" w:cs="Arial"/>
          <w:sz w:val="20"/>
          <w:szCs w:val="20"/>
        </w:rPr>
        <w:t xml:space="preserve"> </w:t>
      </w:r>
      <w:r w:rsidRPr="00EA59C0">
        <w:rPr>
          <w:rFonts w:ascii="Arial" w:hAnsi="Arial" w:cs="Arial"/>
          <w:sz w:val="20"/>
          <w:szCs w:val="20"/>
        </w:rPr>
        <w:t>UK,</w:t>
      </w:r>
      <w:r w:rsidR="00C026A6" w:rsidRPr="00EA59C0">
        <w:rPr>
          <w:rFonts w:ascii="Arial" w:hAnsi="Arial" w:cs="Arial"/>
          <w:sz w:val="20"/>
          <w:szCs w:val="20"/>
        </w:rPr>
        <w:t xml:space="preserve"> </w:t>
      </w:r>
      <w:r w:rsidRPr="00EA59C0">
        <w:rPr>
          <w:rFonts w:ascii="Arial" w:hAnsi="Arial" w:cs="Arial"/>
          <w:sz w:val="20"/>
          <w:szCs w:val="20"/>
        </w:rPr>
        <w:t>March</w:t>
      </w:r>
      <w:r w:rsidR="00C026A6" w:rsidRPr="00EA59C0">
        <w:rPr>
          <w:rFonts w:ascii="Arial" w:hAnsi="Arial" w:cs="Arial"/>
          <w:sz w:val="20"/>
          <w:szCs w:val="20"/>
        </w:rPr>
        <w:t xml:space="preserve"> </w:t>
      </w:r>
      <w:r w:rsidRPr="00EA59C0">
        <w:rPr>
          <w:rFonts w:ascii="Arial" w:hAnsi="Arial" w:cs="Arial"/>
          <w:sz w:val="20"/>
          <w:szCs w:val="20"/>
        </w:rPr>
        <w:t>2012</w:t>
      </w:r>
      <w:r w:rsidR="00C026A6" w:rsidRPr="00EA59C0">
        <w:rPr>
          <w:rFonts w:ascii="Arial" w:hAnsi="Arial" w:cs="Arial"/>
          <w:sz w:val="20"/>
          <w:szCs w:val="20"/>
        </w:rPr>
        <w:t xml:space="preserve"> </w:t>
      </w:r>
    </w:p>
    <w:p w:rsidR="0053007C" w:rsidRPr="00EA59C0" w:rsidRDefault="00DF2916" w:rsidP="0053007C">
      <w:pPr>
        <w:pStyle w:val="NoSpacing"/>
        <w:rPr>
          <w:rFonts w:ascii="Arial" w:hAnsi="Arial" w:cs="Arial"/>
          <w:sz w:val="20"/>
          <w:szCs w:val="20"/>
        </w:rPr>
      </w:pPr>
      <w:hyperlink r:id="rId348" w:history="1">
        <w:r w:rsidR="0053007C" w:rsidRPr="00EA59C0">
          <w:rPr>
            <w:rStyle w:val="Hyperlink"/>
            <w:rFonts w:ascii="Arial" w:hAnsi="Arial" w:cs="Arial"/>
            <w:color w:val="auto"/>
            <w:sz w:val="20"/>
            <w:szCs w:val="20"/>
          </w:rPr>
          <w:t>https://oerknowledgecloud.org/?q=content/knowledge-sharing-and-collaboration-indicators-learning-oer-communities</w:t>
        </w:r>
      </w:hyperlink>
      <w:r w:rsidR="00C026A6" w:rsidRPr="00EA59C0">
        <w:rPr>
          <w:rFonts w:ascii="Arial" w:hAnsi="Arial" w:cs="Arial"/>
          <w:sz w:val="20"/>
          <w:szCs w:val="20"/>
        </w:rPr>
        <w:t xml:space="preserve"> </w:t>
      </w:r>
    </w:p>
    <w:p w:rsidR="0053007C" w:rsidRPr="00EA59C0" w:rsidRDefault="0053007C" w:rsidP="0053007C">
      <w:pPr>
        <w:pStyle w:val="NoSpacing"/>
        <w:rPr>
          <w:rFonts w:ascii="Arial" w:hAnsi="Arial" w:cs="Arial"/>
          <w:sz w:val="20"/>
          <w:szCs w:val="20"/>
        </w:rPr>
      </w:pP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Open</w:t>
      </w:r>
      <w:r w:rsidR="00C026A6" w:rsidRPr="00EA59C0">
        <w:rPr>
          <w:rFonts w:ascii="Arial" w:hAnsi="Arial" w:cs="Arial"/>
          <w:sz w:val="20"/>
          <w:szCs w:val="20"/>
        </w:rPr>
        <w:t xml:space="preserve"> </w:t>
      </w:r>
      <w:r w:rsidRPr="00EA59C0">
        <w:rPr>
          <w:rFonts w:ascii="Arial" w:hAnsi="Arial" w:cs="Arial"/>
          <w:sz w:val="20"/>
          <w:szCs w:val="20"/>
        </w:rPr>
        <w:t>Textbook</w:t>
      </w:r>
      <w:r w:rsidR="00C026A6" w:rsidRPr="00EA59C0">
        <w:rPr>
          <w:rFonts w:ascii="Arial" w:hAnsi="Arial" w:cs="Arial"/>
          <w:sz w:val="20"/>
          <w:szCs w:val="20"/>
        </w:rPr>
        <w:t xml:space="preserve"> </w:t>
      </w:r>
      <w:r w:rsidRPr="00EA59C0">
        <w:rPr>
          <w:rFonts w:ascii="Arial" w:hAnsi="Arial" w:cs="Arial"/>
          <w:sz w:val="20"/>
          <w:szCs w:val="20"/>
        </w:rPr>
        <w:t>Adoption</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Use:</w:t>
      </w:r>
      <w:r w:rsidR="00C026A6" w:rsidRPr="00EA59C0">
        <w:rPr>
          <w:rFonts w:ascii="Arial" w:hAnsi="Arial" w:cs="Arial"/>
          <w:sz w:val="20"/>
          <w:szCs w:val="20"/>
        </w:rPr>
        <w:t xml:space="preserve"> </w:t>
      </w:r>
      <w:r w:rsidRPr="00EA59C0">
        <w:rPr>
          <w:rFonts w:ascii="Arial" w:hAnsi="Arial" w:cs="Arial"/>
          <w:sz w:val="20"/>
          <w:szCs w:val="20"/>
        </w:rPr>
        <w:t>Implications</w:t>
      </w:r>
      <w:r w:rsidR="00C026A6" w:rsidRPr="00EA59C0">
        <w:rPr>
          <w:rFonts w:ascii="Arial" w:hAnsi="Arial" w:cs="Arial"/>
          <w:sz w:val="20"/>
          <w:szCs w:val="20"/>
        </w:rPr>
        <w:t xml:space="preserve"> </w:t>
      </w:r>
      <w:r w:rsidRPr="00EA59C0">
        <w:rPr>
          <w:rFonts w:ascii="Arial" w:hAnsi="Arial" w:cs="Arial"/>
          <w:sz w:val="20"/>
          <w:szCs w:val="20"/>
        </w:rPr>
        <w:t>for</w:t>
      </w:r>
      <w:r w:rsidR="00C026A6" w:rsidRPr="00EA59C0">
        <w:rPr>
          <w:rFonts w:ascii="Arial" w:hAnsi="Arial" w:cs="Arial"/>
          <w:sz w:val="20"/>
          <w:szCs w:val="20"/>
        </w:rPr>
        <w:t xml:space="preserve"> </w:t>
      </w:r>
      <w:r w:rsidRPr="00EA59C0">
        <w:rPr>
          <w:rFonts w:ascii="Arial" w:hAnsi="Arial" w:cs="Arial"/>
          <w:sz w:val="20"/>
          <w:szCs w:val="20"/>
        </w:rPr>
        <w:t>Teachers</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Learners</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Lisa</w:t>
      </w:r>
      <w:r w:rsidR="00C026A6" w:rsidRPr="00EA59C0">
        <w:rPr>
          <w:rFonts w:ascii="Arial" w:hAnsi="Arial" w:cs="Arial"/>
          <w:sz w:val="20"/>
          <w:szCs w:val="20"/>
        </w:rPr>
        <w:t xml:space="preserve"> </w:t>
      </w:r>
      <w:r w:rsidRPr="00EA59C0">
        <w:rPr>
          <w:rFonts w:ascii="Arial" w:hAnsi="Arial" w:cs="Arial"/>
          <w:sz w:val="20"/>
          <w:szCs w:val="20"/>
        </w:rPr>
        <w:t>Petrides,</w:t>
      </w:r>
      <w:r w:rsidR="00C026A6" w:rsidRPr="00EA59C0">
        <w:rPr>
          <w:rFonts w:ascii="Arial" w:hAnsi="Arial" w:cs="Arial"/>
          <w:sz w:val="20"/>
          <w:szCs w:val="20"/>
        </w:rPr>
        <w:t xml:space="preserve"> </w:t>
      </w:r>
      <w:r w:rsidRPr="00EA59C0">
        <w:rPr>
          <w:rFonts w:ascii="Arial" w:hAnsi="Arial" w:cs="Arial"/>
          <w:sz w:val="20"/>
          <w:szCs w:val="20"/>
        </w:rPr>
        <w:t>Cynthia</w:t>
      </w:r>
      <w:r w:rsidR="00C026A6" w:rsidRPr="00EA59C0">
        <w:rPr>
          <w:rFonts w:ascii="Arial" w:hAnsi="Arial" w:cs="Arial"/>
          <w:sz w:val="20"/>
          <w:szCs w:val="20"/>
        </w:rPr>
        <w:t xml:space="preserve"> </w:t>
      </w:r>
      <w:r w:rsidRPr="00EA59C0">
        <w:rPr>
          <w:rFonts w:ascii="Arial" w:hAnsi="Arial" w:cs="Arial"/>
          <w:sz w:val="20"/>
          <w:szCs w:val="20"/>
        </w:rPr>
        <w:t>Jimes,</w:t>
      </w:r>
      <w:r w:rsidR="00C026A6" w:rsidRPr="00EA59C0">
        <w:rPr>
          <w:rFonts w:ascii="Arial" w:hAnsi="Arial" w:cs="Arial"/>
          <w:sz w:val="20"/>
          <w:szCs w:val="20"/>
        </w:rPr>
        <w:t xml:space="preserve"> </w:t>
      </w:r>
      <w:r w:rsidRPr="00EA59C0">
        <w:rPr>
          <w:rFonts w:ascii="Arial" w:hAnsi="Arial" w:cs="Arial"/>
          <w:sz w:val="20"/>
          <w:szCs w:val="20"/>
        </w:rPr>
        <w:t>Clare</w:t>
      </w:r>
      <w:r w:rsidR="00C026A6" w:rsidRPr="00EA59C0">
        <w:rPr>
          <w:rFonts w:ascii="Arial" w:hAnsi="Arial" w:cs="Arial"/>
          <w:sz w:val="20"/>
          <w:szCs w:val="20"/>
        </w:rPr>
        <w:t xml:space="preserve"> </w:t>
      </w:r>
      <w:r w:rsidRPr="00EA59C0">
        <w:rPr>
          <w:rFonts w:ascii="Arial" w:hAnsi="Arial" w:cs="Arial"/>
          <w:sz w:val="20"/>
          <w:szCs w:val="20"/>
        </w:rPr>
        <w:t>Middleton-Detzner,</w:t>
      </w:r>
      <w:r w:rsidR="00C026A6" w:rsidRPr="00EA59C0">
        <w:rPr>
          <w:rFonts w:ascii="Arial" w:hAnsi="Arial" w:cs="Arial"/>
          <w:sz w:val="20"/>
          <w:szCs w:val="20"/>
        </w:rPr>
        <w:t xml:space="preserve"> </w:t>
      </w:r>
      <w:r w:rsidRPr="00EA59C0">
        <w:rPr>
          <w:rFonts w:ascii="Arial" w:hAnsi="Arial" w:cs="Arial"/>
          <w:sz w:val="20"/>
          <w:szCs w:val="20"/>
        </w:rPr>
        <w:t>Julie</w:t>
      </w:r>
      <w:r w:rsidR="00C026A6" w:rsidRPr="00EA59C0">
        <w:rPr>
          <w:rFonts w:ascii="Arial" w:hAnsi="Arial" w:cs="Arial"/>
          <w:sz w:val="20"/>
          <w:szCs w:val="20"/>
        </w:rPr>
        <w:t xml:space="preserve"> </w:t>
      </w:r>
      <w:r w:rsidRPr="00EA59C0">
        <w:rPr>
          <w:rFonts w:ascii="Arial" w:hAnsi="Arial" w:cs="Arial"/>
          <w:sz w:val="20"/>
          <w:szCs w:val="20"/>
        </w:rPr>
        <w:t>Walling,</w:t>
      </w:r>
      <w:r w:rsidR="00C026A6" w:rsidRPr="00EA59C0">
        <w:rPr>
          <w:rFonts w:ascii="Arial" w:hAnsi="Arial" w:cs="Arial"/>
          <w:sz w:val="20"/>
          <w:szCs w:val="20"/>
        </w:rPr>
        <w:t xml:space="preserve"> </w:t>
      </w:r>
      <w:r w:rsidRPr="00EA59C0">
        <w:rPr>
          <w:rFonts w:ascii="Arial" w:hAnsi="Arial" w:cs="Arial"/>
          <w:sz w:val="20"/>
          <w:szCs w:val="20"/>
        </w:rPr>
        <w:t>J.</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Shenandoah</w:t>
      </w:r>
      <w:r w:rsidR="00C026A6" w:rsidRPr="00EA59C0">
        <w:rPr>
          <w:rFonts w:ascii="Arial" w:hAnsi="Arial" w:cs="Arial"/>
          <w:sz w:val="20"/>
          <w:szCs w:val="20"/>
        </w:rPr>
        <w:t xml:space="preserve"> </w:t>
      </w:r>
      <w:r w:rsidRPr="00EA59C0">
        <w:rPr>
          <w:rFonts w:ascii="Arial" w:hAnsi="Arial" w:cs="Arial"/>
          <w:sz w:val="20"/>
          <w:szCs w:val="20"/>
        </w:rPr>
        <w:t>Weiss</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Open</w:t>
      </w:r>
      <w:r w:rsidR="00C026A6" w:rsidRPr="00EA59C0">
        <w:rPr>
          <w:rFonts w:ascii="Arial" w:hAnsi="Arial" w:cs="Arial"/>
          <w:sz w:val="20"/>
          <w:szCs w:val="20"/>
        </w:rPr>
        <w:t xml:space="preserve"> </w:t>
      </w:r>
      <w:r w:rsidRPr="00EA59C0">
        <w:rPr>
          <w:rFonts w:ascii="Arial" w:hAnsi="Arial" w:cs="Arial"/>
          <w:sz w:val="20"/>
          <w:szCs w:val="20"/>
        </w:rPr>
        <w:t>Learning:</w:t>
      </w:r>
      <w:r w:rsidR="00C026A6" w:rsidRPr="00EA59C0">
        <w:rPr>
          <w:rFonts w:ascii="Arial" w:hAnsi="Arial" w:cs="Arial"/>
          <w:sz w:val="20"/>
          <w:szCs w:val="20"/>
        </w:rPr>
        <w:t xml:space="preserve"> </w:t>
      </w:r>
      <w:r w:rsidRPr="00EA59C0">
        <w:rPr>
          <w:rFonts w:ascii="Arial" w:hAnsi="Arial" w:cs="Arial"/>
          <w:sz w:val="20"/>
          <w:szCs w:val="20"/>
        </w:rPr>
        <w:t>The</w:t>
      </w:r>
      <w:r w:rsidR="00C026A6" w:rsidRPr="00EA59C0">
        <w:rPr>
          <w:rFonts w:ascii="Arial" w:hAnsi="Arial" w:cs="Arial"/>
          <w:sz w:val="20"/>
          <w:szCs w:val="20"/>
        </w:rPr>
        <w:t xml:space="preserve"> </w:t>
      </w:r>
      <w:r w:rsidRPr="00EA59C0">
        <w:rPr>
          <w:rFonts w:ascii="Arial" w:hAnsi="Arial" w:cs="Arial"/>
          <w:sz w:val="20"/>
          <w:szCs w:val="20"/>
        </w:rPr>
        <w:t>Journal</w:t>
      </w:r>
      <w:r w:rsidR="00C026A6" w:rsidRPr="00EA59C0">
        <w:rPr>
          <w:rFonts w:ascii="Arial" w:hAnsi="Arial" w:cs="Arial"/>
          <w:sz w:val="20"/>
          <w:szCs w:val="20"/>
        </w:rPr>
        <w:t xml:space="preserve"> </w:t>
      </w:r>
      <w:r w:rsidRPr="00EA59C0">
        <w:rPr>
          <w:rFonts w:ascii="Arial" w:hAnsi="Arial" w:cs="Arial"/>
          <w:sz w:val="20"/>
          <w:szCs w:val="20"/>
        </w:rPr>
        <w:t>of</w:t>
      </w:r>
      <w:r w:rsidR="00C026A6" w:rsidRPr="00EA59C0">
        <w:rPr>
          <w:rFonts w:ascii="Arial" w:hAnsi="Arial" w:cs="Arial"/>
          <w:sz w:val="20"/>
          <w:szCs w:val="20"/>
        </w:rPr>
        <w:t xml:space="preserve"> </w:t>
      </w:r>
      <w:r w:rsidRPr="00EA59C0">
        <w:rPr>
          <w:rFonts w:ascii="Arial" w:hAnsi="Arial" w:cs="Arial"/>
          <w:sz w:val="20"/>
          <w:szCs w:val="20"/>
        </w:rPr>
        <w:t>Open,</w:t>
      </w:r>
      <w:r w:rsidR="00C026A6" w:rsidRPr="00EA59C0">
        <w:rPr>
          <w:rFonts w:ascii="Arial" w:hAnsi="Arial" w:cs="Arial"/>
          <w:sz w:val="20"/>
          <w:szCs w:val="20"/>
        </w:rPr>
        <w:t xml:space="preserve"> </w:t>
      </w:r>
      <w:r w:rsidRPr="00EA59C0">
        <w:rPr>
          <w:rFonts w:ascii="Arial" w:hAnsi="Arial" w:cs="Arial"/>
          <w:sz w:val="20"/>
          <w:szCs w:val="20"/>
        </w:rPr>
        <w:t>Distance</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E-Learning,</w:t>
      </w:r>
      <w:r w:rsidR="00C026A6" w:rsidRPr="00EA59C0">
        <w:rPr>
          <w:rFonts w:ascii="Arial" w:hAnsi="Arial" w:cs="Arial"/>
          <w:sz w:val="20"/>
          <w:szCs w:val="20"/>
        </w:rPr>
        <w:t xml:space="preserve"> </w:t>
      </w:r>
      <w:r w:rsidRPr="00EA59C0">
        <w:rPr>
          <w:rFonts w:ascii="Arial" w:hAnsi="Arial" w:cs="Arial"/>
          <w:sz w:val="20"/>
          <w:szCs w:val="20"/>
        </w:rPr>
        <w:t>January</w:t>
      </w:r>
      <w:r w:rsidR="00C026A6" w:rsidRPr="00EA59C0">
        <w:rPr>
          <w:rFonts w:ascii="Arial" w:hAnsi="Arial" w:cs="Arial"/>
          <w:sz w:val="20"/>
          <w:szCs w:val="20"/>
        </w:rPr>
        <w:t xml:space="preserve"> </w:t>
      </w:r>
      <w:r w:rsidRPr="00EA59C0">
        <w:rPr>
          <w:rFonts w:ascii="Arial" w:hAnsi="Arial" w:cs="Arial"/>
          <w:sz w:val="20"/>
          <w:szCs w:val="20"/>
        </w:rPr>
        <w:t>2011</w:t>
      </w:r>
      <w:r w:rsidR="00C026A6" w:rsidRPr="00EA59C0">
        <w:rPr>
          <w:rFonts w:ascii="Arial" w:hAnsi="Arial" w:cs="Arial"/>
          <w:sz w:val="20"/>
          <w:szCs w:val="20"/>
        </w:rPr>
        <w:t xml:space="preserve"> </w:t>
      </w:r>
    </w:p>
    <w:p w:rsidR="00E71184" w:rsidRDefault="00DF2916" w:rsidP="0053007C">
      <w:pPr>
        <w:pStyle w:val="NoSpacing"/>
        <w:rPr>
          <w:rFonts w:ascii="Arial" w:hAnsi="Arial" w:cs="Arial"/>
          <w:sz w:val="20"/>
          <w:szCs w:val="20"/>
        </w:rPr>
      </w:pPr>
      <w:hyperlink r:id="rId349" w:anchor=".Uw-EyeNdV-U" w:history="1">
        <w:r w:rsidR="00E71184" w:rsidRPr="006B5691">
          <w:rPr>
            <w:rStyle w:val="Hyperlink"/>
            <w:rFonts w:ascii="Arial" w:hAnsi="Arial" w:cs="Arial"/>
            <w:sz w:val="20"/>
            <w:szCs w:val="20"/>
          </w:rPr>
          <w:t>http://www.tandfonline.com/doi/abs/10.1080/02680513.2011.538563#.Uw-EyeNdV-U</w:t>
        </w:r>
      </w:hyperlink>
      <w:r w:rsidR="00E71184">
        <w:rPr>
          <w:rFonts w:ascii="Arial" w:hAnsi="Arial" w:cs="Arial"/>
          <w:sz w:val="20"/>
          <w:szCs w:val="20"/>
        </w:rPr>
        <w:t xml:space="preserve"> </w:t>
      </w:r>
    </w:p>
    <w:p w:rsidR="00E71184" w:rsidRPr="00EA59C0" w:rsidRDefault="00E71184" w:rsidP="0053007C">
      <w:pPr>
        <w:pStyle w:val="NoSpacing"/>
        <w:rPr>
          <w:rFonts w:ascii="Arial" w:hAnsi="Arial" w:cs="Arial"/>
          <w:sz w:val="20"/>
          <w:szCs w:val="20"/>
        </w:rPr>
      </w:pP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Evaluation</w:t>
      </w:r>
      <w:r w:rsidR="00C026A6" w:rsidRPr="00EA59C0">
        <w:rPr>
          <w:rFonts w:ascii="Arial" w:hAnsi="Arial" w:cs="Arial"/>
          <w:sz w:val="20"/>
          <w:szCs w:val="20"/>
        </w:rPr>
        <w:t xml:space="preserve"> </w:t>
      </w:r>
      <w:r w:rsidRPr="00EA59C0">
        <w:rPr>
          <w:rFonts w:ascii="Arial" w:hAnsi="Arial" w:cs="Arial"/>
          <w:sz w:val="20"/>
          <w:szCs w:val="20"/>
        </w:rPr>
        <w:t>of</w:t>
      </w:r>
      <w:r w:rsidR="00C026A6" w:rsidRPr="00EA59C0">
        <w:rPr>
          <w:rFonts w:ascii="Arial" w:hAnsi="Arial" w:cs="Arial"/>
          <w:sz w:val="20"/>
          <w:szCs w:val="20"/>
        </w:rPr>
        <w:t xml:space="preserve"> </w:t>
      </w:r>
      <w:r w:rsidRPr="00EA59C0">
        <w:rPr>
          <w:rFonts w:ascii="Arial" w:hAnsi="Arial" w:cs="Arial"/>
          <w:sz w:val="20"/>
          <w:szCs w:val="20"/>
        </w:rPr>
        <w:t>Evidence-Based</w:t>
      </w:r>
      <w:r w:rsidR="00C026A6" w:rsidRPr="00EA59C0">
        <w:rPr>
          <w:rFonts w:ascii="Arial" w:hAnsi="Arial" w:cs="Arial"/>
          <w:sz w:val="20"/>
          <w:szCs w:val="20"/>
        </w:rPr>
        <w:t xml:space="preserve"> </w:t>
      </w:r>
      <w:r w:rsidRPr="00EA59C0">
        <w:rPr>
          <w:rFonts w:ascii="Arial" w:hAnsi="Arial" w:cs="Arial"/>
          <w:sz w:val="20"/>
          <w:szCs w:val="20"/>
        </w:rPr>
        <w:t>Practices</w:t>
      </w:r>
      <w:r w:rsidR="00C026A6" w:rsidRPr="00EA59C0">
        <w:rPr>
          <w:rFonts w:ascii="Arial" w:hAnsi="Arial" w:cs="Arial"/>
          <w:sz w:val="20"/>
          <w:szCs w:val="20"/>
        </w:rPr>
        <w:t xml:space="preserve"> </w:t>
      </w:r>
      <w:r w:rsidRPr="00EA59C0">
        <w:rPr>
          <w:rFonts w:ascii="Arial" w:hAnsi="Arial" w:cs="Arial"/>
          <w:sz w:val="20"/>
          <w:szCs w:val="20"/>
        </w:rPr>
        <w:t>in</w:t>
      </w:r>
      <w:r w:rsidR="00C026A6" w:rsidRPr="00EA59C0">
        <w:rPr>
          <w:rFonts w:ascii="Arial" w:hAnsi="Arial" w:cs="Arial"/>
          <w:sz w:val="20"/>
          <w:szCs w:val="20"/>
        </w:rPr>
        <w:t xml:space="preserve"> </w:t>
      </w:r>
      <w:r w:rsidRPr="00EA59C0">
        <w:rPr>
          <w:rFonts w:ascii="Arial" w:hAnsi="Arial" w:cs="Arial"/>
          <w:sz w:val="20"/>
          <w:szCs w:val="20"/>
        </w:rPr>
        <w:t>Online</w:t>
      </w:r>
      <w:r w:rsidR="00C026A6" w:rsidRPr="00EA59C0">
        <w:rPr>
          <w:rFonts w:ascii="Arial" w:hAnsi="Arial" w:cs="Arial"/>
          <w:sz w:val="20"/>
          <w:szCs w:val="20"/>
        </w:rPr>
        <w:t xml:space="preserve"> </w:t>
      </w:r>
      <w:r w:rsidRPr="00EA59C0">
        <w:rPr>
          <w:rFonts w:ascii="Arial" w:hAnsi="Arial" w:cs="Arial"/>
          <w:sz w:val="20"/>
          <w:szCs w:val="20"/>
        </w:rPr>
        <w:t>Learning:</w:t>
      </w:r>
      <w:r w:rsidR="00C026A6" w:rsidRPr="00EA59C0">
        <w:rPr>
          <w:rFonts w:ascii="Arial" w:hAnsi="Arial" w:cs="Arial"/>
          <w:sz w:val="20"/>
          <w:szCs w:val="20"/>
        </w:rPr>
        <w:t xml:space="preserve"> </w:t>
      </w:r>
      <w:r w:rsidRPr="00EA59C0">
        <w:rPr>
          <w:rFonts w:ascii="Arial" w:hAnsi="Arial" w:cs="Arial"/>
          <w:sz w:val="20"/>
          <w:szCs w:val="20"/>
        </w:rPr>
        <w:t>A</w:t>
      </w:r>
      <w:r w:rsidR="00C026A6" w:rsidRPr="00EA59C0">
        <w:rPr>
          <w:rFonts w:ascii="Arial" w:hAnsi="Arial" w:cs="Arial"/>
          <w:sz w:val="20"/>
          <w:szCs w:val="20"/>
        </w:rPr>
        <w:t xml:space="preserve"> </w:t>
      </w:r>
      <w:r w:rsidRPr="00EA59C0">
        <w:rPr>
          <w:rFonts w:ascii="Arial" w:hAnsi="Arial" w:cs="Arial"/>
          <w:sz w:val="20"/>
          <w:szCs w:val="20"/>
        </w:rPr>
        <w:t>Meta-Analysis</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Review</w:t>
      </w:r>
      <w:r w:rsidR="00C026A6" w:rsidRPr="00EA59C0">
        <w:rPr>
          <w:rFonts w:ascii="Arial" w:hAnsi="Arial" w:cs="Arial"/>
          <w:sz w:val="20"/>
          <w:szCs w:val="20"/>
        </w:rPr>
        <w:t xml:space="preserve"> </w:t>
      </w:r>
      <w:r w:rsidRPr="00EA59C0">
        <w:rPr>
          <w:rFonts w:ascii="Arial" w:hAnsi="Arial" w:cs="Arial"/>
          <w:sz w:val="20"/>
          <w:szCs w:val="20"/>
        </w:rPr>
        <w:t>of</w:t>
      </w:r>
      <w:r w:rsidR="00C026A6" w:rsidRPr="00EA59C0">
        <w:rPr>
          <w:rFonts w:ascii="Arial" w:hAnsi="Arial" w:cs="Arial"/>
          <w:sz w:val="20"/>
          <w:szCs w:val="20"/>
        </w:rPr>
        <w:t xml:space="preserve"> </w:t>
      </w:r>
      <w:r w:rsidRPr="00EA59C0">
        <w:rPr>
          <w:rFonts w:ascii="Arial" w:hAnsi="Arial" w:cs="Arial"/>
          <w:sz w:val="20"/>
          <w:szCs w:val="20"/>
        </w:rPr>
        <w:t>Online</w:t>
      </w:r>
      <w:r w:rsidR="00C026A6" w:rsidRPr="00EA59C0">
        <w:rPr>
          <w:rFonts w:ascii="Arial" w:hAnsi="Arial" w:cs="Arial"/>
          <w:sz w:val="20"/>
          <w:szCs w:val="20"/>
        </w:rPr>
        <w:t xml:space="preserve"> </w:t>
      </w:r>
      <w:r w:rsidRPr="00EA59C0">
        <w:rPr>
          <w:rFonts w:ascii="Arial" w:hAnsi="Arial" w:cs="Arial"/>
          <w:sz w:val="20"/>
          <w:szCs w:val="20"/>
        </w:rPr>
        <w:t>Learning</w:t>
      </w:r>
      <w:r w:rsidR="00C026A6" w:rsidRPr="00EA59C0">
        <w:rPr>
          <w:rFonts w:ascii="Arial" w:hAnsi="Arial" w:cs="Arial"/>
          <w:sz w:val="20"/>
          <w:szCs w:val="20"/>
        </w:rPr>
        <w:t xml:space="preserve"> </w:t>
      </w:r>
      <w:r w:rsidRPr="00EA59C0">
        <w:rPr>
          <w:rFonts w:ascii="Arial" w:hAnsi="Arial" w:cs="Arial"/>
          <w:sz w:val="20"/>
          <w:szCs w:val="20"/>
        </w:rPr>
        <w:t>Studies</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U.S.</w:t>
      </w:r>
      <w:r w:rsidR="00C026A6" w:rsidRPr="00EA59C0">
        <w:rPr>
          <w:rFonts w:ascii="Arial" w:hAnsi="Arial" w:cs="Arial"/>
          <w:sz w:val="20"/>
          <w:szCs w:val="20"/>
        </w:rPr>
        <w:t xml:space="preserve"> </w:t>
      </w:r>
      <w:r w:rsidRPr="00EA59C0">
        <w:rPr>
          <w:rFonts w:ascii="Arial" w:hAnsi="Arial" w:cs="Arial"/>
          <w:sz w:val="20"/>
          <w:szCs w:val="20"/>
        </w:rPr>
        <w:t>Department</w:t>
      </w:r>
      <w:r w:rsidR="00C026A6" w:rsidRPr="00EA59C0">
        <w:rPr>
          <w:rFonts w:ascii="Arial" w:hAnsi="Arial" w:cs="Arial"/>
          <w:sz w:val="20"/>
          <w:szCs w:val="20"/>
        </w:rPr>
        <w:t xml:space="preserve"> </w:t>
      </w:r>
      <w:r w:rsidRPr="00EA59C0">
        <w:rPr>
          <w:rFonts w:ascii="Arial" w:hAnsi="Arial" w:cs="Arial"/>
          <w:sz w:val="20"/>
          <w:szCs w:val="20"/>
        </w:rPr>
        <w:t>of</w:t>
      </w:r>
      <w:r w:rsidR="00C026A6" w:rsidRPr="00EA59C0">
        <w:rPr>
          <w:rFonts w:ascii="Arial" w:hAnsi="Arial" w:cs="Arial"/>
          <w:sz w:val="20"/>
          <w:szCs w:val="20"/>
        </w:rPr>
        <w:t xml:space="preserve"> </w:t>
      </w:r>
      <w:r w:rsidRPr="00EA59C0">
        <w:rPr>
          <w:rFonts w:ascii="Arial" w:hAnsi="Arial" w:cs="Arial"/>
          <w:sz w:val="20"/>
          <w:szCs w:val="20"/>
        </w:rPr>
        <w:t>Education,</w:t>
      </w:r>
      <w:r w:rsidR="00C026A6" w:rsidRPr="00EA59C0">
        <w:rPr>
          <w:rFonts w:ascii="Arial" w:hAnsi="Arial" w:cs="Arial"/>
          <w:sz w:val="20"/>
          <w:szCs w:val="20"/>
        </w:rPr>
        <w:t xml:space="preserve"> </w:t>
      </w:r>
      <w:r w:rsidRPr="00EA59C0">
        <w:rPr>
          <w:rFonts w:ascii="Arial" w:hAnsi="Arial" w:cs="Arial"/>
          <w:sz w:val="20"/>
          <w:szCs w:val="20"/>
        </w:rPr>
        <w:t>September</w:t>
      </w:r>
      <w:r w:rsidR="00C026A6" w:rsidRPr="00EA59C0">
        <w:rPr>
          <w:rFonts w:ascii="Arial" w:hAnsi="Arial" w:cs="Arial"/>
          <w:sz w:val="20"/>
          <w:szCs w:val="20"/>
        </w:rPr>
        <w:t xml:space="preserve"> </w:t>
      </w:r>
      <w:r w:rsidRPr="00EA59C0">
        <w:rPr>
          <w:rFonts w:ascii="Arial" w:hAnsi="Arial" w:cs="Arial"/>
          <w:sz w:val="20"/>
          <w:szCs w:val="20"/>
        </w:rPr>
        <w:t>2010</w:t>
      </w:r>
    </w:p>
    <w:p w:rsidR="0053007C" w:rsidRPr="00EA59C0" w:rsidRDefault="00DF2916" w:rsidP="0053007C">
      <w:pPr>
        <w:pStyle w:val="NoSpacing"/>
        <w:rPr>
          <w:rFonts w:ascii="Arial" w:hAnsi="Arial" w:cs="Arial"/>
          <w:sz w:val="20"/>
          <w:szCs w:val="20"/>
        </w:rPr>
      </w:pPr>
      <w:hyperlink r:id="rId350" w:history="1">
        <w:r w:rsidR="0053007C" w:rsidRPr="00EA59C0">
          <w:rPr>
            <w:rStyle w:val="Hyperlink"/>
            <w:rFonts w:ascii="Arial" w:hAnsi="Arial" w:cs="Arial"/>
            <w:color w:val="auto"/>
            <w:sz w:val="20"/>
            <w:szCs w:val="20"/>
          </w:rPr>
          <w:t>http://www2.ed.gov/rschstat/eval/tech/evidence-based-practices/finalreport.pdf</w:t>
        </w:r>
      </w:hyperlink>
      <w:r w:rsidR="00C026A6" w:rsidRPr="00EA59C0">
        <w:rPr>
          <w:rFonts w:ascii="Arial" w:hAnsi="Arial" w:cs="Arial"/>
          <w:sz w:val="20"/>
          <w:szCs w:val="20"/>
        </w:rPr>
        <w:t xml:space="preserve"> </w:t>
      </w:r>
    </w:p>
    <w:p w:rsidR="0053007C" w:rsidRPr="00EA59C0" w:rsidRDefault="0053007C" w:rsidP="0053007C">
      <w:pPr>
        <w:pStyle w:val="NoSpacing"/>
        <w:rPr>
          <w:rFonts w:ascii="Arial" w:hAnsi="Arial" w:cs="Arial"/>
          <w:sz w:val="20"/>
          <w:szCs w:val="20"/>
        </w:rPr>
      </w:pP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The</w:t>
      </w:r>
      <w:r w:rsidR="00C026A6" w:rsidRPr="00EA59C0">
        <w:rPr>
          <w:rFonts w:ascii="Arial" w:hAnsi="Arial" w:cs="Arial"/>
          <w:sz w:val="20"/>
          <w:szCs w:val="20"/>
        </w:rPr>
        <w:t xml:space="preserve"> </w:t>
      </w:r>
      <w:r w:rsidRPr="00EA59C0">
        <w:rPr>
          <w:rFonts w:ascii="Arial" w:hAnsi="Arial" w:cs="Arial"/>
          <w:sz w:val="20"/>
          <w:szCs w:val="20"/>
        </w:rPr>
        <w:t>Open</w:t>
      </w:r>
      <w:r w:rsidR="00C026A6" w:rsidRPr="00EA59C0">
        <w:rPr>
          <w:rFonts w:ascii="Arial" w:hAnsi="Arial" w:cs="Arial"/>
          <w:sz w:val="20"/>
          <w:szCs w:val="20"/>
        </w:rPr>
        <w:t xml:space="preserve"> </w:t>
      </w:r>
      <w:r w:rsidRPr="00EA59C0">
        <w:rPr>
          <w:rFonts w:ascii="Arial" w:hAnsi="Arial" w:cs="Arial"/>
          <w:sz w:val="20"/>
          <w:szCs w:val="20"/>
        </w:rPr>
        <w:t>Learning</w:t>
      </w:r>
      <w:r w:rsidR="00C026A6" w:rsidRPr="00EA59C0">
        <w:rPr>
          <w:rFonts w:ascii="Arial" w:hAnsi="Arial" w:cs="Arial"/>
          <w:sz w:val="20"/>
          <w:szCs w:val="20"/>
        </w:rPr>
        <w:t xml:space="preserve"> </w:t>
      </w:r>
      <w:r w:rsidRPr="00EA59C0">
        <w:rPr>
          <w:rFonts w:ascii="Arial" w:hAnsi="Arial" w:cs="Arial"/>
          <w:sz w:val="20"/>
          <w:szCs w:val="20"/>
        </w:rPr>
        <w:t>Initiative:</w:t>
      </w:r>
      <w:r w:rsidR="00C026A6" w:rsidRPr="00EA59C0">
        <w:rPr>
          <w:rFonts w:ascii="Arial" w:hAnsi="Arial" w:cs="Arial"/>
          <w:sz w:val="20"/>
          <w:szCs w:val="20"/>
        </w:rPr>
        <w:t xml:space="preserve"> </w:t>
      </w:r>
      <w:r w:rsidRPr="00EA59C0">
        <w:rPr>
          <w:rFonts w:ascii="Arial" w:hAnsi="Arial" w:cs="Arial"/>
          <w:sz w:val="20"/>
          <w:szCs w:val="20"/>
        </w:rPr>
        <w:t>Measuring</w:t>
      </w:r>
      <w:r w:rsidR="00C026A6" w:rsidRPr="00EA59C0">
        <w:rPr>
          <w:rFonts w:ascii="Arial" w:hAnsi="Arial" w:cs="Arial"/>
          <w:sz w:val="20"/>
          <w:szCs w:val="20"/>
        </w:rPr>
        <w:t xml:space="preserve"> </w:t>
      </w:r>
      <w:r w:rsidRPr="00EA59C0">
        <w:rPr>
          <w:rFonts w:ascii="Arial" w:hAnsi="Arial" w:cs="Arial"/>
          <w:sz w:val="20"/>
          <w:szCs w:val="20"/>
        </w:rPr>
        <w:t>the</w:t>
      </w:r>
      <w:r w:rsidR="00C026A6" w:rsidRPr="00EA59C0">
        <w:rPr>
          <w:rFonts w:ascii="Arial" w:hAnsi="Arial" w:cs="Arial"/>
          <w:sz w:val="20"/>
          <w:szCs w:val="20"/>
        </w:rPr>
        <w:t xml:space="preserve"> </w:t>
      </w:r>
      <w:r w:rsidRPr="00EA59C0">
        <w:rPr>
          <w:rFonts w:ascii="Arial" w:hAnsi="Arial" w:cs="Arial"/>
          <w:sz w:val="20"/>
          <w:szCs w:val="20"/>
        </w:rPr>
        <w:t>Effectiveness</w:t>
      </w:r>
      <w:r w:rsidR="00C026A6" w:rsidRPr="00EA59C0">
        <w:rPr>
          <w:rFonts w:ascii="Arial" w:hAnsi="Arial" w:cs="Arial"/>
          <w:sz w:val="20"/>
          <w:szCs w:val="20"/>
        </w:rPr>
        <w:t xml:space="preserve"> </w:t>
      </w:r>
      <w:r w:rsidRPr="00EA59C0">
        <w:rPr>
          <w:rFonts w:ascii="Arial" w:hAnsi="Arial" w:cs="Arial"/>
          <w:sz w:val="20"/>
          <w:szCs w:val="20"/>
        </w:rPr>
        <w:t>of</w:t>
      </w:r>
      <w:r w:rsidR="00C026A6" w:rsidRPr="00EA59C0">
        <w:rPr>
          <w:rFonts w:ascii="Arial" w:hAnsi="Arial" w:cs="Arial"/>
          <w:sz w:val="20"/>
          <w:szCs w:val="20"/>
        </w:rPr>
        <w:t xml:space="preserve"> </w:t>
      </w:r>
      <w:r w:rsidRPr="00EA59C0">
        <w:rPr>
          <w:rFonts w:ascii="Arial" w:hAnsi="Arial" w:cs="Arial"/>
          <w:sz w:val="20"/>
          <w:szCs w:val="20"/>
        </w:rPr>
        <w:t>the</w:t>
      </w:r>
      <w:r w:rsidR="00C026A6" w:rsidRPr="00EA59C0">
        <w:rPr>
          <w:rFonts w:ascii="Arial" w:hAnsi="Arial" w:cs="Arial"/>
          <w:sz w:val="20"/>
          <w:szCs w:val="20"/>
        </w:rPr>
        <w:t xml:space="preserve"> </w:t>
      </w:r>
      <w:r w:rsidRPr="00EA59C0">
        <w:rPr>
          <w:rFonts w:ascii="Arial" w:hAnsi="Arial" w:cs="Arial"/>
          <w:sz w:val="20"/>
          <w:szCs w:val="20"/>
        </w:rPr>
        <w:t>OLI</w:t>
      </w:r>
      <w:r w:rsidR="00C026A6" w:rsidRPr="00EA59C0">
        <w:rPr>
          <w:rFonts w:ascii="Arial" w:hAnsi="Arial" w:cs="Arial"/>
          <w:sz w:val="20"/>
          <w:szCs w:val="20"/>
        </w:rPr>
        <w:t xml:space="preserve"> </w:t>
      </w:r>
      <w:r w:rsidRPr="00EA59C0">
        <w:rPr>
          <w:rFonts w:ascii="Arial" w:hAnsi="Arial" w:cs="Arial"/>
          <w:sz w:val="20"/>
          <w:szCs w:val="20"/>
        </w:rPr>
        <w:t>Statistics</w:t>
      </w:r>
      <w:r w:rsidR="00C026A6" w:rsidRPr="00EA59C0">
        <w:rPr>
          <w:rFonts w:ascii="Arial" w:hAnsi="Arial" w:cs="Arial"/>
          <w:sz w:val="20"/>
          <w:szCs w:val="20"/>
        </w:rPr>
        <w:t xml:space="preserve"> </w:t>
      </w:r>
      <w:r w:rsidRPr="00EA59C0">
        <w:rPr>
          <w:rFonts w:ascii="Arial" w:hAnsi="Arial" w:cs="Arial"/>
          <w:sz w:val="20"/>
          <w:szCs w:val="20"/>
        </w:rPr>
        <w:t>Course</w:t>
      </w:r>
      <w:r w:rsidR="00C026A6" w:rsidRPr="00EA59C0">
        <w:rPr>
          <w:rFonts w:ascii="Arial" w:hAnsi="Arial" w:cs="Arial"/>
          <w:sz w:val="20"/>
          <w:szCs w:val="20"/>
        </w:rPr>
        <w:t xml:space="preserve"> </w:t>
      </w:r>
      <w:r w:rsidRPr="00EA59C0">
        <w:rPr>
          <w:rFonts w:ascii="Arial" w:hAnsi="Arial" w:cs="Arial"/>
          <w:sz w:val="20"/>
          <w:szCs w:val="20"/>
        </w:rPr>
        <w:t>in</w:t>
      </w:r>
      <w:r w:rsidR="00C026A6" w:rsidRPr="00EA59C0">
        <w:rPr>
          <w:rFonts w:ascii="Arial" w:hAnsi="Arial" w:cs="Arial"/>
          <w:sz w:val="20"/>
          <w:szCs w:val="20"/>
        </w:rPr>
        <w:t xml:space="preserve"> </w:t>
      </w:r>
      <w:r w:rsidRPr="00EA59C0">
        <w:rPr>
          <w:rFonts w:ascii="Arial" w:hAnsi="Arial" w:cs="Arial"/>
          <w:sz w:val="20"/>
          <w:szCs w:val="20"/>
        </w:rPr>
        <w:t>Accelerating</w:t>
      </w:r>
      <w:r w:rsidR="00C026A6" w:rsidRPr="00EA59C0">
        <w:rPr>
          <w:rFonts w:ascii="Arial" w:hAnsi="Arial" w:cs="Arial"/>
          <w:sz w:val="20"/>
          <w:szCs w:val="20"/>
        </w:rPr>
        <w:t xml:space="preserve"> </w:t>
      </w:r>
      <w:r w:rsidRPr="00EA59C0">
        <w:rPr>
          <w:rFonts w:ascii="Arial" w:hAnsi="Arial" w:cs="Arial"/>
          <w:sz w:val="20"/>
          <w:szCs w:val="20"/>
        </w:rPr>
        <w:t>Student</w:t>
      </w:r>
      <w:r w:rsidR="00C026A6" w:rsidRPr="00EA59C0">
        <w:rPr>
          <w:rFonts w:ascii="Arial" w:hAnsi="Arial" w:cs="Arial"/>
          <w:sz w:val="20"/>
          <w:szCs w:val="20"/>
        </w:rPr>
        <w:t xml:space="preserve"> </w:t>
      </w:r>
      <w:r w:rsidRPr="00EA59C0">
        <w:rPr>
          <w:rFonts w:ascii="Arial" w:hAnsi="Arial" w:cs="Arial"/>
          <w:sz w:val="20"/>
          <w:szCs w:val="20"/>
        </w:rPr>
        <w:t>Learning</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Marsha</w:t>
      </w:r>
      <w:r w:rsidR="00C026A6" w:rsidRPr="00EA59C0">
        <w:rPr>
          <w:rFonts w:ascii="Arial" w:hAnsi="Arial" w:cs="Arial"/>
          <w:sz w:val="20"/>
          <w:szCs w:val="20"/>
        </w:rPr>
        <w:t xml:space="preserve"> </w:t>
      </w:r>
      <w:r w:rsidRPr="00EA59C0">
        <w:rPr>
          <w:rFonts w:ascii="Arial" w:hAnsi="Arial" w:cs="Arial"/>
          <w:sz w:val="20"/>
          <w:szCs w:val="20"/>
        </w:rPr>
        <w:t>Lovett,</w:t>
      </w:r>
      <w:r w:rsidR="00C026A6" w:rsidRPr="00EA59C0">
        <w:rPr>
          <w:rFonts w:ascii="Arial" w:hAnsi="Arial" w:cs="Arial"/>
          <w:sz w:val="20"/>
          <w:szCs w:val="20"/>
        </w:rPr>
        <w:t xml:space="preserve"> </w:t>
      </w:r>
      <w:r w:rsidRPr="00EA59C0">
        <w:rPr>
          <w:rFonts w:ascii="Arial" w:hAnsi="Arial" w:cs="Arial"/>
          <w:sz w:val="20"/>
          <w:szCs w:val="20"/>
        </w:rPr>
        <w:t>Oded</w:t>
      </w:r>
      <w:r w:rsidR="00C026A6" w:rsidRPr="00EA59C0">
        <w:rPr>
          <w:rFonts w:ascii="Arial" w:hAnsi="Arial" w:cs="Arial"/>
          <w:sz w:val="20"/>
          <w:szCs w:val="20"/>
        </w:rPr>
        <w:t xml:space="preserve"> </w:t>
      </w:r>
      <w:r w:rsidRPr="00EA59C0">
        <w:rPr>
          <w:rFonts w:ascii="Arial" w:hAnsi="Arial" w:cs="Arial"/>
          <w:sz w:val="20"/>
          <w:szCs w:val="20"/>
        </w:rPr>
        <w:t>Meyer</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Candace</w:t>
      </w:r>
      <w:r w:rsidR="00C026A6" w:rsidRPr="00EA59C0">
        <w:rPr>
          <w:rFonts w:ascii="Arial" w:hAnsi="Arial" w:cs="Arial"/>
          <w:sz w:val="20"/>
          <w:szCs w:val="20"/>
        </w:rPr>
        <w:t xml:space="preserve"> </w:t>
      </w:r>
      <w:r w:rsidRPr="00EA59C0">
        <w:rPr>
          <w:rFonts w:ascii="Arial" w:hAnsi="Arial" w:cs="Arial"/>
          <w:sz w:val="20"/>
          <w:szCs w:val="20"/>
        </w:rPr>
        <w:t>Thille</w:t>
      </w:r>
    </w:p>
    <w:p w:rsidR="0053007C" w:rsidRPr="00EA59C0" w:rsidRDefault="0053007C" w:rsidP="0053007C">
      <w:pPr>
        <w:pStyle w:val="NoSpacing"/>
        <w:rPr>
          <w:rFonts w:ascii="Arial" w:hAnsi="Arial" w:cs="Arial"/>
          <w:sz w:val="20"/>
          <w:szCs w:val="20"/>
        </w:rPr>
      </w:pPr>
      <w:r w:rsidRPr="00EA59C0">
        <w:rPr>
          <w:rFonts w:ascii="Arial" w:hAnsi="Arial" w:cs="Arial"/>
          <w:sz w:val="20"/>
          <w:szCs w:val="20"/>
        </w:rPr>
        <w:t>Journal</w:t>
      </w:r>
      <w:r w:rsidR="00C026A6" w:rsidRPr="00EA59C0">
        <w:rPr>
          <w:rFonts w:ascii="Arial" w:hAnsi="Arial" w:cs="Arial"/>
          <w:sz w:val="20"/>
          <w:szCs w:val="20"/>
        </w:rPr>
        <w:t xml:space="preserve"> </w:t>
      </w:r>
      <w:r w:rsidRPr="00EA59C0">
        <w:rPr>
          <w:rFonts w:ascii="Arial" w:hAnsi="Arial" w:cs="Arial"/>
          <w:sz w:val="20"/>
          <w:szCs w:val="20"/>
        </w:rPr>
        <w:t>of</w:t>
      </w:r>
      <w:r w:rsidR="00C026A6" w:rsidRPr="00EA59C0">
        <w:rPr>
          <w:rFonts w:ascii="Arial" w:hAnsi="Arial" w:cs="Arial"/>
          <w:sz w:val="20"/>
          <w:szCs w:val="20"/>
        </w:rPr>
        <w:t xml:space="preserve"> </w:t>
      </w:r>
      <w:r w:rsidRPr="00EA59C0">
        <w:rPr>
          <w:rFonts w:ascii="Arial" w:hAnsi="Arial" w:cs="Arial"/>
          <w:sz w:val="20"/>
          <w:szCs w:val="20"/>
        </w:rPr>
        <w:t>Interactive</w:t>
      </w:r>
      <w:r w:rsidR="00C026A6" w:rsidRPr="00EA59C0">
        <w:rPr>
          <w:rFonts w:ascii="Arial" w:hAnsi="Arial" w:cs="Arial"/>
          <w:sz w:val="20"/>
          <w:szCs w:val="20"/>
        </w:rPr>
        <w:t xml:space="preserve"> </w:t>
      </w:r>
      <w:r w:rsidRPr="00EA59C0">
        <w:rPr>
          <w:rFonts w:ascii="Arial" w:hAnsi="Arial" w:cs="Arial"/>
          <w:sz w:val="20"/>
          <w:szCs w:val="20"/>
        </w:rPr>
        <w:t>Media</w:t>
      </w:r>
      <w:r w:rsidR="00C026A6" w:rsidRPr="00EA59C0">
        <w:rPr>
          <w:rFonts w:ascii="Arial" w:hAnsi="Arial" w:cs="Arial"/>
          <w:sz w:val="20"/>
          <w:szCs w:val="20"/>
        </w:rPr>
        <w:t xml:space="preserve"> </w:t>
      </w:r>
      <w:r w:rsidRPr="00EA59C0">
        <w:rPr>
          <w:rFonts w:ascii="Arial" w:hAnsi="Arial" w:cs="Arial"/>
          <w:sz w:val="20"/>
          <w:szCs w:val="20"/>
        </w:rPr>
        <w:t>in</w:t>
      </w:r>
      <w:r w:rsidR="00C026A6" w:rsidRPr="00EA59C0">
        <w:rPr>
          <w:rFonts w:ascii="Arial" w:hAnsi="Arial" w:cs="Arial"/>
          <w:sz w:val="20"/>
          <w:szCs w:val="20"/>
        </w:rPr>
        <w:t xml:space="preserve"> </w:t>
      </w:r>
      <w:r w:rsidRPr="00EA59C0">
        <w:rPr>
          <w:rFonts w:ascii="Arial" w:hAnsi="Arial" w:cs="Arial"/>
          <w:sz w:val="20"/>
          <w:szCs w:val="20"/>
        </w:rPr>
        <w:t>Education,</w:t>
      </w:r>
      <w:r w:rsidR="00C026A6" w:rsidRPr="00EA59C0">
        <w:rPr>
          <w:rFonts w:ascii="Arial" w:hAnsi="Arial" w:cs="Arial"/>
          <w:sz w:val="20"/>
          <w:szCs w:val="20"/>
        </w:rPr>
        <w:t xml:space="preserve"> </w:t>
      </w:r>
      <w:r w:rsidRPr="00EA59C0">
        <w:rPr>
          <w:rFonts w:ascii="Arial" w:hAnsi="Arial" w:cs="Arial"/>
          <w:sz w:val="20"/>
          <w:szCs w:val="20"/>
        </w:rPr>
        <w:t>May</w:t>
      </w:r>
      <w:r w:rsidR="00C026A6" w:rsidRPr="00EA59C0">
        <w:rPr>
          <w:rFonts w:ascii="Arial" w:hAnsi="Arial" w:cs="Arial"/>
          <w:sz w:val="20"/>
          <w:szCs w:val="20"/>
        </w:rPr>
        <w:t xml:space="preserve"> </w:t>
      </w:r>
      <w:r w:rsidRPr="00EA59C0">
        <w:rPr>
          <w:rFonts w:ascii="Arial" w:hAnsi="Arial" w:cs="Arial"/>
          <w:sz w:val="20"/>
          <w:szCs w:val="20"/>
        </w:rPr>
        <w:t>2008</w:t>
      </w:r>
    </w:p>
    <w:p w:rsidR="0053007C" w:rsidRPr="00EA59C0" w:rsidRDefault="00DF2916" w:rsidP="0053007C">
      <w:pPr>
        <w:pStyle w:val="NoSpacing"/>
        <w:rPr>
          <w:rFonts w:ascii="Arial" w:hAnsi="Arial" w:cs="Arial"/>
          <w:sz w:val="20"/>
          <w:szCs w:val="20"/>
        </w:rPr>
      </w:pPr>
      <w:hyperlink r:id="rId351" w:history="1">
        <w:r w:rsidR="0053007C" w:rsidRPr="00EA59C0">
          <w:rPr>
            <w:rStyle w:val="Hyperlink"/>
            <w:rFonts w:ascii="Arial" w:hAnsi="Arial" w:cs="Arial"/>
            <w:color w:val="auto"/>
            <w:sz w:val="20"/>
            <w:szCs w:val="20"/>
          </w:rPr>
          <w:t>http://oli.cmu.edu/wp-oli/wp-content/uploads/2012/05/Lovett_2008_Statistics_Accelerated_Learning_Study.pdf</w:t>
        </w:r>
      </w:hyperlink>
      <w:r w:rsidR="00C026A6" w:rsidRPr="00EA59C0">
        <w:rPr>
          <w:rFonts w:ascii="Arial" w:hAnsi="Arial" w:cs="Arial"/>
          <w:sz w:val="20"/>
          <w:szCs w:val="20"/>
        </w:rPr>
        <w:t xml:space="preserve"> </w:t>
      </w:r>
    </w:p>
    <w:p w:rsidR="0053007C" w:rsidRPr="00EA59C0" w:rsidRDefault="0053007C" w:rsidP="00DB00BB">
      <w:pPr>
        <w:pStyle w:val="NoSpacing"/>
        <w:rPr>
          <w:rFonts w:ascii="Arial" w:hAnsi="Arial" w:cs="Arial"/>
          <w:i/>
          <w:sz w:val="20"/>
          <w:szCs w:val="20"/>
        </w:rPr>
      </w:pPr>
    </w:p>
    <w:p w:rsidR="0053007C" w:rsidRPr="00EA59C0" w:rsidRDefault="0053007C" w:rsidP="00DB00BB">
      <w:pPr>
        <w:pStyle w:val="NoSpacing"/>
        <w:rPr>
          <w:rFonts w:ascii="Arial" w:hAnsi="Arial" w:cs="Arial"/>
          <w:b/>
        </w:rPr>
      </w:pPr>
    </w:p>
    <w:p w:rsidR="008826BE" w:rsidRPr="00EA59C0" w:rsidRDefault="008826BE" w:rsidP="00080097">
      <w:pPr>
        <w:pStyle w:val="NoSpacing"/>
        <w:numPr>
          <w:ilvl w:val="2"/>
          <w:numId w:val="49"/>
        </w:numPr>
        <w:ind w:left="360" w:hanging="360"/>
        <w:rPr>
          <w:rFonts w:ascii="Arial" w:hAnsi="Arial" w:cs="Arial"/>
          <w:b/>
          <w:sz w:val="20"/>
          <w:szCs w:val="20"/>
        </w:rPr>
      </w:pPr>
      <w:r w:rsidRPr="00EA59C0">
        <w:rPr>
          <w:rFonts w:ascii="Arial" w:hAnsi="Arial" w:cs="Arial"/>
          <w:b/>
          <w:sz w:val="20"/>
          <w:szCs w:val="20"/>
        </w:rPr>
        <w:t>The</w:t>
      </w:r>
      <w:r w:rsidR="00C026A6" w:rsidRPr="00EA59C0">
        <w:rPr>
          <w:rFonts w:ascii="Arial" w:hAnsi="Arial" w:cs="Arial"/>
          <w:b/>
          <w:sz w:val="20"/>
          <w:szCs w:val="20"/>
        </w:rPr>
        <w:t xml:space="preserve"> </w:t>
      </w:r>
      <w:r w:rsidRPr="00EA59C0">
        <w:rPr>
          <w:rFonts w:ascii="Arial" w:hAnsi="Arial" w:cs="Arial"/>
          <w:b/>
          <w:sz w:val="20"/>
          <w:szCs w:val="20"/>
        </w:rPr>
        <w:t>National</w:t>
      </w:r>
      <w:r w:rsidR="00C026A6" w:rsidRPr="00EA59C0">
        <w:rPr>
          <w:rFonts w:ascii="Arial" w:hAnsi="Arial" w:cs="Arial"/>
          <w:b/>
          <w:sz w:val="20"/>
          <w:szCs w:val="20"/>
        </w:rPr>
        <w:t xml:space="preserve"> </w:t>
      </w:r>
      <w:r w:rsidRPr="00EA59C0">
        <w:rPr>
          <w:rFonts w:ascii="Arial" w:hAnsi="Arial" w:cs="Arial"/>
          <w:b/>
          <w:sz w:val="20"/>
          <w:szCs w:val="20"/>
        </w:rPr>
        <w:t>Training</w:t>
      </w:r>
      <w:r w:rsidR="00C026A6" w:rsidRPr="00EA59C0">
        <w:rPr>
          <w:rFonts w:ascii="Arial" w:hAnsi="Arial" w:cs="Arial"/>
          <w:b/>
          <w:sz w:val="20"/>
          <w:szCs w:val="20"/>
        </w:rPr>
        <w:t xml:space="preserve"> </w:t>
      </w:r>
      <w:r w:rsidRPr="00EA59C0">
        <w:rPr>
          <w:rFonts w:ascii="Arial" w:hAnsi="Arial" w:cs="Arial"/>
          <w:b/>
          <w:sz w:val="20"/>
          <w:szCs w:val="20"/>
        </w:rPr>
        <w:t>&amp;</w:t>
      </w:r>
      <w:r w:rsidR="00C026A6" w:rsidRPr="00EA59C0">
        <w:rPr>
          <w:rFonts w:ascii="Arial" w:hAnsi="Arial" w:cs="Arial"/>
          <w:b/>
          <w:sz w:val="20"/>
          <w:szCs w:val="20"/>
        </w:rPr>
        <w:t xml:space="preserve"> </w:t>
      </w:r>
      <w:r w:rsidRPr="00EA59C0">
        <w:rPr>
          <w:rFonts w:ascii="Arial" w:hAnsi="Arial" w:cs="Arial"/>
          <w:b/>
          <w:sz w:val="20"/>
          <w:szCs w:val="20"/>
        </w:rPr>
        <w:t>Education</w:t>
      </w:r>
      <w:r w:rsidR="00C026A6" w:rsidRPr="00EA59C0">
        <w:rPr>
          <w:rFonts w:ascii="Arial" w:hAnsi="Arial" w:cs="Arial"/>
          <w:b/>
          <w:sz w:val="20"/>
          <w:szCs w:val="20"/>
        </w:rPr>
        <w:t xml:space="preserve"> </w:t>
      </w:r>
      <w:r w:rsidRPr="00EA59C0">
        <w:rPr>
          <w:rFonts w:ascii="Arial" w:hAnsi="Arial" w:cs="Arial"/>
          <w:b/>
          <w:sz w:val="20"/>
          <w:szCs w:val="20"/>
        </w:rPr>
        <w:t>Resource</w:t>
      </w:r>
      <w:r w:rsidR="00C026A6" w:rsidRPr="00EA59C0">
        <w:rPr>
          <w:rFonts w:ascii="Arial" w:hAnsi="Arial" w:cs="Arial"/>
          <w:b/>
          <w:sz w:val="20"/>
          <w:szCs w:val="20"/>
        </w:rPr>
        <w:t xml:space="preserve"> </w:t>
      </w:r>
      <w:r w:rsidRPr="00EA59C0">
        <w:rPr>
          <w:rFonts w:ascii="Arial" w:hAnsi="Arial" w:cs="Arial"/>
          <w:b/>
          <w:sz w:val="20"/>
          <w:szCs w:val="20"/>
        </w:rPr>
        <w:t>(NTER)</w:t>
      </w:r>
    </w:p>
    <w:p w:rsidR="008826BE" w:rsidRPr="00EA59C0" w:rsidRDefault="008826BE" w:rsidP="00DB00BB">
      <w:pPr>
        <w:pStyle w:val="NoSpacing"/>
        <w:rPr>
          <w:rFonts w:ascii="Arial" w:hAnsi="Arial"/>
          <w:sz w:val="20"/>
        </w:rPr>
      </w:pPr>
      <w:r w:rsidRPr="00EA59C0">
        <w:rPr>
          <w:rFonts w:ascii="Arial" w:hAnsi="Arial"/>
          <w:sz w:val="20"/>
        </w:rPr>
        <w:t>NTER</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an</w:t>
      </w:r>
      <w:r w:rsidR="00C026A6" w:rsidRPr="00EA59C0">
        <w:rPr>
          <w:rFonts w:ascii="Arial" w:hAnsi="Arial"/>
          <w:sz w:val="20"/>
        </w:rPr>
        <w:t xml:space="preserve"> </w:t>
      </w:r>
      <w:r w:rsidRPr="00EA59C0">
        <w:rPr>
          <w:rFonts w:ascii="Arial" w:hAnsi="Arial"/>
          <w:sz w:val="20"/>
        </w:rPr>
        <w:t>open</w:t>
      </w:r>
      <w:r w:rsidR="00C026A6" w:rsidRPr="00EA59C0">
        <w:rPr>
          <w:rFonts w:ascii="Arial" w:hAnsi="Arial"/>
          <w:sz w:val="20"/>
        </w:rPr>
        <w:t xml:space="preserve"> </w:t>
      </w:r>
      <w:r w:rsidRPr="00EA59C0">
        <w:rPr>
          <w:rFonts w:ascii="Arial" w:hAnsi="Arial"/>
          <w:sz w:val="20"/>
        </w:rPr>
        <w:t>source</w:t>
      </w:r>
      <w:r w:rsidR="00C026A6" w:rsidRPr="00EA59C0">
        <w:rPr>
          <w:rFonts w:ascii="Arial" w:hAnsi="Arial"/>
          <w:sz w:val="20"/>
        </w:rPr>
        <w:t xml:space="preserve"> </w:t>
      </w:r>
      <w:r w:rsidRPr="00EA59C0">
        <w:rPr>
          <w:rFonts w:ascii="Arial" w:hAnsi="Arial"/>
          <w:sz w:val="20"/>
        </w:rPr>
        <w:t>suite</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browser-based</w:t>
      </w:r>
      <w:r w:rsidR="00C026A6" w:rsidRPr="00EA59C0">
        <w:rPr>
          <w:rFonts w:ascii="Arial" w:hAnsi="Arial"/>
          <w:sz w:val="20"/>
        </w:rPr>
        <w:t xml:space="preserve"> </w:t>
      </w:r>
      <w:r w:rsidRPr="00EA59C0">
        <w:rPr>
          <w:rFonts w:ascii="Arial" w:hAnsi="Arial"/>
          <w:sz w:val="20"/>
        </w:rPr>
        <w:t>software</w:t>
      </w:r>
      <w:r w:rsidR="00C026A6" w:rsidRPr="00EA59C0">
        <w:rPr>
          <w:rFonts w:ascii="Arial" w:hAnsi="Arial"/>
          <w:sz w:val="20"/>
        </w:rPr>
        <w:t xml:space="preserve"> </w:t>
      </w:r>
      <w:r w:rsidRPr="00EA59C0">
        <w:rPr>
          <w:rFonts w:ascii="Arial" w:hAnsi="Arial"/>
          <w:sz w:val="20"/>
        </w:rPr>
        <w:t>solutions</w:t>
      </w:r>
      <w:r w:rsidR="00C026A6" w:rsidRPr="00EA59C0">
        <w:rPr>
          <w:rFonts w:ascii="Arial" w:hAnsi="Arial"/>
          <w:sz w:val="20"/>
        </w:rPr>
        <w:t xml:space="preserve"> </w:t>
      </w:r>
      <w:r w:rsidRPr="00EA59C0">
        <w:rPr>
          <w:rFonts w:ascii="Arial" w:hAnsi="Arial"/>
          <w:sz w:val="20"/>
        </w:rPr>
        <w:t>built</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help</w:t>
      </w:r>
      <w:r w:rsidR="00C026A6" w:rsidRPr="00EA59C0">
        <w:rPr>
          <w:rFonts w:ascii="Arial" w:hAnsi="Arial"/>
          <w:sz w:val="20"/>
        </w:rPr>
        <w:t xml:space="preserve"> </w:t>
      </w:r>
      <w:r w:rsidRPr="00EA59C0">
        <w:rPr>
          <w:rFonts w:ascii="Arial" w:hAnsi="Arial"/>
          <w:sz w:val="20"/>
        </w:rPr>
        <w:t>institutions</w:t>
      </w:r>
      <w:r w:rsidR="00C026A6" w:rsidRPr="00EA59C0">
        <w:rPr>
          <w:rFonts w:ascii="Arial" w:hAnsi="Arial"/>
          <w:sz w:val="20"/>
        </w:rPr>
        <w:t xml:space="preserve"> </w:t>
      </w:r>
      <w:r w:rsidRPr="00EA59C0">
        <w:rPr>
          <w:rFonts w:ascii="Arial" w:hAnsi="Arial"/>
          <w:sz w:val="20"/>
        </w:rPr>
        <w:t>develop,</w:t>
      </w:r>
      <w:r w:rsidR="00C026A6" w:rsidRPr="00EA59C0">
        <w:rPr>
          <w:rFonts w:ascii="Arial" w:hAnsi="Arial"/>
          <w:sz w:val="20"/>
        </w:rPr>
        <w:t xml:space="preserve"> </w:t>
      </w:r>
      <w:r w:rsidRPr="00EA59C0">
        <w:rPr>
          <w:rFonts w:ascii="Arial" w:hAnsi="Arial"/>
          <w:sz w:val="20"/>
        </w:rPr>
        <w:t>deploy</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manage</w:t>
      </w:r>
      <w:r w:rsidR="00C026A6" w:rsidRPr="00EA59C0">
        <w:rPr>
          <w:rFonts w:ascii="Arial" w:hAnsi="Arial"/>
          <w:sz w:val="20"/>
        </w:rPr>
        <w:t xml:space="preserve"> </w:t>
      </w:r>
      <w:r w:rsidRPr="00EA59C0">
        <w:rPr>
          <w:rFonts w:ascii="Arial" w:hAnsi="Arial"/>
          <w:sz w:val="20"/>
        </w:rPr>
        <w:t>educational</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training</w:t>
      </w:r>
      <w:r w:rsidR="00C026A6" w:rsidRPr="00EA59C0">
        <w:rPr>
          <w:rFonts w:ascii="Arial" w:hAnsi="Arial"/>
          <w:sz w:val="20"/>
        </w:rPr>
        <w:t xml:space="preserve"> </w:t>
      </w:r>
      <w:r w:rsidRPr="00EA59C0">
        <w:rPr>
          <w:rFonts w:ascii="Arial" w:hAnsi="Arial"/>
          <w:sz w:val="20"/>
        </w:rPr>
        <w:t>courses</w:t>
      </w:r>
      <w:r w:rsidR="00C026A6" w:rsidRPr="00EA59C0">
        <w:rPr>
          <w:rFonts w:ascii="Arial" w:hAnsi="Arial"/>
          <w:sz w:val="20"/>
        </w:rPr>
        <w:t xml:space="preserve"> </w:t>
      </w:r>
      <w:r w:rsidRPr="00EA59C0">
        <w:rPr>
          <w:rFonts w:ascii="Arial" w:hAnsi="Arial"/>
          <w:sz w:val="20"/>
        </w:rPr>
        <w:t>for</w:t>
      </w:r>
      <w:r w:rsidR="00C026A6" w:rsidRPr="00EA59C0">
        <w:rPr>
          <w:rFonts w:ascii="Arial" w:hAnsi="Arial"/>
          <w:sz w:val="20"/>
        </w:rPr>
        <w:t xml:space="preserve"> </w:t>
      </w:r>
      <w:r w:rsidRPr="00EA59C0">
        <w:rPr>
          <w:rFonts w:ascii="Arial" w:hAnsi="Arial"/>
          <w:sz w:val="20"/>
        </w:rPr>
        <w:t>audiences</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any</w:t>
      </w:r>
      <w:r w:rsidR="00C026A6" w:rsidRPr="00EA59C0">
        <w:rPr>
          <w:rFonts w:ascii="Arial" w:hAnsi="Arial"/>
          <w:sz w:val="20"/>
        </w:rPr>
        <w:t xml:space="preserve"> </w:t>
      </w:r>
      <w:r w:rsidRPr="00EA59C0">
        <w:rPr>
          <w:rFonts w:ascii="Arial" w:hAnsi="Arial"/>
          <w:sz w:val="20"/>
        </w:rPr>
        <w:t>type.</w:t>
      </w:r>
      <w:r w:rsidR="00C026A6" w:rsidRPr="00EA59C0">
        <w:rPr>
          <w:rFonts w:ascii="Arial" w:hAnsi="Arial"/>
          <w:sz w:val="20"/>
        </w:rPr>
        <w:t xml:space="preserve"> </w:t>
      </w:r>
      <w:r w:rsidRPr="00EA59C0">
        <w:rPr>
          <w:rFonts w:ascii="Arial" w:hAnsi="Arial"/>
          <w:sz w:val="20"/>
        </w:rPr>
        <w:t>This</w:t>
      </w:r>
      <w:r w:rsidR="00C026A6" w:rsidRPr="00EA59C0">
        <w:rPr>
          <w:rFonts w:ascii="Arial" w:hAnsi="Arial"/>
          <w:sz w:val="20"/>
        </w:rPr>
        <w:t xml:space="preserve"> </w:t>
      </w:r>
      <w:r w:rsidRPr="00EA59C0">
        <w:rPr>
          <w:rFonts w:ascii="Arial" w:hAnsi="Arial"/>
          <w:sz w:val="20"/>
        </w:rPr>
        <w:t>system</w:t>
      </w:r>
      <w:r w:rsidR="00C026A6" w:rsidRPr="00EA59C0">
        <w:rPr>
          <w:rFonts w:ascii="Arial" w:hAnsi="Arial"/>
          <w:sz w:val="20"/>
        </w:rPr>
        <w:t xml:space="preserve"> </w:t>
      </w:r>
      <w:r w:rsidRPr="00EA59C0">
        <w:rPr>
          <w:rFonts w:ascii="Arial" w:hAnsi="Arial"/>
          <w:sz w:val="20"/>
        </w:rPr>
        <w:t>was</w:t>
      </w:r>
      <w:r w:rsidR="00C026A6" w:rsidRPr="00EA59C0">
        <w:rPr>
          <w:rFonts w:ascii="Arial" w:hAnsi="Arial"/>
          <w:sz w:val="20"/>
        </w:rPr>
        <w:t xml:space="preserve"> </w:t>
      </w:r>
      <w:r w:rsidRPr="00EA59C0">
        <w:rPr>
          <w:rFonts w:ascii="Arial" w:hAnsi="Arial"/>
          <w:sz w:val="20"/>
        </w:rPr>
        <w:t>built</w:t>
      </w:r>
      <w:r w:rsidR="00C026A6" w:rsidRPr="00EA59C0">
        <w:rPr>
          <w:rFonts w:ascii="Arial" w:hAnsi="Arial"/>
          <w:sz w:val="20"/>
        </w:rPr>
        <w:t xml:space="preserve"> </w:t>
      </w:r>
      <w:r w:rsidRPr="00EA59C0">
        <w:rPr>
          <w:rFonts w:ascii="Arial" w:hAnsi="Arial"/>
          <w:sz w:val="20"/>
        </w:rPr>
        <w:t>with</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capability</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securely</w:t>
      </w:r>
      <w:r w:rsidR="00C026A6" w:rsidRPr="00EA59C0">
        <w:rPr>
          <w:rFonts w:ascii="Arial" w:hAnsi="Arial"/>
          <w:sz w:val="20"/>
        </w:rPr>
        <w:t xml:space="preserve"> </w:t>
      </w:r>
      <w:r w:rsidRPr="00EA59C0">
        <w:rPr>
          <w:rFonts w:ascii="Arial" w:hAnsi="Arial"/>
          <w:sz w:val="20"/>
        </w:rPr>
        <w:t>share</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across</w:t>
      </w:r>
      <w:r w:rsidR="00C026A6" w:rsidRPr="00EA59C0">
        <w:rPr>
          <w:rFonts w:ascii="Arial" w:hAnsi="Arial"/>
          <w:sz w:val="20"/>
        </w:rPr>
        <w:t xml:space="preserve"> </w:t>
      </w:r>
      <w:r w:rsidRPr="00EA59C0">
        <w:rPr>
          <w:rFonts w:ascii="Arial" w:hAnsi="Arial"/>
          <w:sz w:val="20"/>
        </w:rPr>
        <w:t>all</w:t>
      </w:r>
      <w:r w:rsidR="00C026A6" w:rsidRPr="00EA59C0">
        <w:rPr>
          <w:rFonts w:ascii="Arial" w:hAnsi="Arial"/>
          <w:sz w:val="20"/>
        </w:rPr>
        <w:t xml:space="preserve"> </w:t>
      </w:r>
      <w:r w:rsidRPr="00EA59C0">
        <w:rPr>
          <w:rFonts w:ascii="Arial" w:hAnsi="Arial"/>
          <w:sz w:val="20"/>
        </w:rPr>
        <w:t>institutions</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with</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public.</w:t>
      </w:r>
      <w:r w:rsidR="00C026A6" w:rsidRPr="00EA59C0">
        <w:rPr>
          <w:rFonts w:ascii="Arial" w:hAnsi="Arial"/>
          <w:sz w:val="20"/>
        </w:rPr>
        <w:t xml:space="preserve"> </w:t>
      </w:r>
      <w:r w:rsidRPr="00EA59C0">
        <w:rPr>
          <w:rFonts w:ascii="Arial" w:hAnsi="Arial"/>
          <w:sz w:val="20"/>
        </w:rPr>
        <w:t>As</w:t>
      </w:r>
      <w:r w:rsidR="00C026A6" w:rsidRPr="00EA59C0">
        <w:rPr>
          <w:rFonts w:ascii="Arial" w:hAnsi="Arial"/>
          <w:sz w:val="20"/>
        </w:rPr>
        <w:t xml:space="preserve"> </w:t>
      </w:r>
      <w:r w:rsidRPr="00EA59C0">
        <w:rPr>
          <w:rFonts w:ascii="Arial" w:hAnsi="Arial"/>
          <w:sz w:val="20"/>
        </w:rPr>
        <w:t>an</w:t>
      </w:r>
      <w:r w:rsidR="00C026A6" w:rsidRPr="00EA59C0">
        <w:rPr>
          <w:rFonts w:ascii="Arial" w:hAnsi="Arial"/>
          <w:sz w:val="20"/>
        </w:rPr>
        <w:t xml:space="preserve"> </w:t>
      </w:r>
      <w:r w:rsidRPr="00EA59C0">
        <w:rPr>
          <w:rFonts w:ascii="Arial" w:hAnsi="Arial"/>
          <w:sz w:val="20"/>
        </w:rPr>
        <w:t>open</w:t>
      </w:r>
      <w:r w:rsidR="00C026A6" w:rsidRPr="00EA59C0">
        <w:rPr>
          <w:rFonts w:ascii="Arial" w:hAnsi="Arial"/>
          <w:sz w:val="20"/>
        </w:rPr>
        <w:t xml:space="preserve"> </w:t>
      </w:r>
      <w:r w:rsidRPr="00EA59C0">
        <w:rPr>
          <w:rFonts w:ascii="Arial" w:hAnsi="Arial"/>
          <w:sz w:val="20"/>
        </w:rPr>
        <w:t>source</w:t>
      </w:r>
      <w:r w:rsidR="00C026A6" w:rsidRPr="00EA59C0">
        <w:rPr>
          <w:rFonts w:ascii="Arial" w:hAnsi="Arial"/>
          <w:sz w:val="20"/>
        </w:rPr>
        <w:t xml:space="preserve"> </w:t>
      </w:r>
      <w:r w:rsidRPr="00EA59C0">
        <w:rPr>
          <w:rFonts w:ascii="Arial" w:hAnsi="Arial"/>
          <w:sz w:val="20"/>
        </w:rPr>
        <w:t>project,</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NTER</w:t>
      </w:r>
      <w:r w:rsidR="00C026A6" w:rsidRPr="00EA59C0">
        <w:rPr>
          <w:rFonts w:ascii="Arial" w:hAnsi="Arial"/>
          <w:sz w:val="20"/>
        </w:rPr>
        <w:t xml:space="preserve"> </w:t>
      </w:r>
      <w:r w:rsidRPr="00EA59C0">
        <w:rPr>
          <w:rFonts w:ascii="Arial" w:hAnsi="Arial"/>
          <w:sz w:val="20"/>
        </w:rPr>
        <w:t>platform</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free</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has</w:t>
      </w:r>
      <w:r w:rsidR="00C026A6" w:rsidRPr="00EA59C0">
        <w:rPr>
          <w:rFonts w:ascii="Arial" w:hAnsi="Arial"/>
          <w:sz w:val="20"/>
        </w:rPr>
        <w:t xml:space="preserve"> </w:t>
      </w:r>
      <w:r w:rsidRPr="00EA59C0">
        <w:rPr>
          <w:rFonts w:ascii="Arial" w:hAnsi="Arial"/>
          <w:sz w:val="20"/>
        </w:rPr>
        <w:t>no</w:t>
      </w:r>
      <w:r w:rsidR="00C026A6" w:rsidRPr="00EA59C0">
        <w:rPr>
          <w:rFonts w:ascii="Arial" w:hAnsi="Arial"/>
          <w:sz w:val="20"/>
        </w:rPr>
        <w:t xml:space="preserve"> </w:t>
      </w:r>
      <w:r w:rsidRPr="00EA59C0">
        <w:rPr>
          <w:rFonts w:ascii="Arial" w:hAnsi="Arial"/>
          <w:sz w:val="20"/>
        </w:rPr>
        <w:t>licensing</w:t>
      </w:r>
      <w:r w:rsidR="00C026A6" w:rsidRPr="00EA59C0">
        <w:rPr>
          <w:rFonts w:ascii="Arial" w:hAnsi="Arial"/>
          <w:sz w:val="20"/>
        </w:rPr>
        <w:t xml:space="preserve"> </w:t>
      </w:r>
      <w:r w:rsidRPr="00EA59C0">
        <w:rPr>
          <w:rFonts w:ascii="Arial" w:hAnsi="Arial"/>
          <w:sz w:val="20"/>
        </w:rPr>
        <w:t>fees,</w:t>
      </w:r>
      <w:r w:rsidR="00C026A6" w:rsidRPr="00EA59C0">
        <w:rPr>
          <w:rFonts w:ascii="Arial" w:hAnsi="Arial"/>
          <w:sz w:val="20"/>
        </w:rPr>
        <w:t xml:space="preserve"> </w:t>
      </w:r>
      <w:r w:rsidRPr="00EA59C0">
        <w:rPr>
          <w:rFonts w:ascii="Arial" w:hAnsi="Arial"/>
          <w:sz w:val="20"/>
        </w:rPr>
        <w:t>allowing</w:t>
      </w:r>
      <w:r w:rsidR="00C026A6" w:rsidRPr="00EA59C0">
        <w:rPr>
          <w:rFonts w:ascii="Arial" w:hAnsi="Arial"/>
          <w:sz w:val="20"/>
        </w:rPr>
        <w:t xml:space="preserve"> </w:t>
      </w:r>
      <w:r w:rsidRPr="00EA59C0">
        <w:rPr>
          <w:rFonts w:ascii="Arial" w:hAnsi="Arial"/>
          <w:sz w:val="20"/>
        </w:rPr>
        <w:t>end</w:t>
      </w:r>
      <w:r w:rsidR="00C026A6" w:rsidRPr="00EA59C0">
        <w:rPr>
          <w:rFonts w:ascii="Arial" w:hAnsi="Arial"/>
          <w:sz w:val="20"/>
        </w:rPr>
        <w:t xml:space="preserve"> </w:t>
      </w:r>
      <w:r w:rsidRPr="00EA59C0">
        <w:rPr>
          <w:rFonts w:ascii="Arial" w:hAnsi="Arial"/>
          <w:sz w:val="20"/>
        </w:rPr>
        <w:t>users</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free</w:t>
      </w:r>
      <w:r w:rsidR="00C026A6" w:rsidRPr="00EA59C0">
        <w:rPr>
          <w:rFonts w:ascii="Arial" w:hAnsi="Arial"/>
          <w:sz w:val="20"/>
        </w:rPr>
        <w:t xml:space="preserve"> </w:t>
      </w:r>
      <w:r w:rsidRPr="00EA59C0">
        <w:rPr>
          <w:rFonts w:ascii="Arial" w:hAnsi="Arial"/>
          <w:sz w:val="20"/>
        </w:rPr>
        <w:t>up</w:t>
      </w:r>
      <w:r w:rsidR="00C026A6" w:rsidRPr="00EA59C0">
        <w:rPr>
          <w:rFonts w:ascii="Arial" w:hAnsi="Arial"/>
          <w:sz w:val="20"/>
        </w:rPr>
        <w:t xml:space="preserve"> </w:t>
      </w:r>
      <w:r w:rsidRPr="00EA59C0">
        <w:rPr>
          <w:rFonts w:ascii="Arial" w:hAnsi="Arial"/>
          <w:sz w:val="20"/>
        </w:rPr>
        <w:t>resources</w:t>
      </w:r>
      <w:r w:rsidR="00C026A6" w:rsidRPr="00EA59C0">
        <w:rPr>
          <w:rFonts w:ascii="Arial" w:hAnsi="Arial"/>
          <w:sz w:val="20"/>
        </w:rPr>
        <w:t xml:space="preserve"> </w:t>
      </w:r>
      <w:r w:rsidRPr="00EA59C0">
        <w:rPr>
          <w:rFonts w:ascii="Arial" w:hAnsi="Arial"/>
          <w:sz w:val="20"/>
        </w:rPr>
        <w:t>for</w:t>
      </w:r>
      <w:r w:rsidR="00C026A6" w:rsidRPr="00EA59C0">
        <w:rPr>
          <w:rFonts w:ascii="Arial" w:hAnsi="Arial"/>
          <w:sz w:val="20"/>
        </w:rPr>
        <w:t xml:space="preserve"> </w:t>
      </w:r>
      <w:r w:rsidRPr="00EA59C0">
        <w:rPr>
          <w:rFonts w:ascii="Arial" w:hAnsi="Arial"/>
          <w:sz w:val="20"/>
        </w:rPr>
        <w:t>improved</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development</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customizations.</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costs</w:t>
      </w:r>
      <w:r w:rsidR="00C026A6" w:rsidRPr="00EA59C0">
        <w:rPr>
          <w:rFonts w:ascii="Arial" w:hAnsi="Arial"/>
          <w:sz w:val="20"/>
        </w:rPr>
        <w:t xml:space="preserve"> </w:t>
      </w:r>
      <w:r w:rsidRPr="00EA59C0">
        <w:rPr>
          <w:rFonts w:ascii="Arial" w:hAnsi="Arial"/>
          <w:sz w:val="20"/>
        </w:rPr>
        <w:t>associated</w:t>
      </w:r>
      <w:r w:rsidR="00C026A6" w:rsidRPr="00EA59C0">
        <w:rPr>
          <w:rFonts w:ascii="Arial" w:hAnsi="Arial"/>
          <w:sz w:val="20"/>
        </w:rPr>
        <w:t xml:space="preserve"> </w:t>
      </w:r>
      <w:r w:rsidRPr="00EA59C0">
        <w:rPr>
          <w:rFonts w:ascii="Arial" w:hAnsi="Arial"/>
          <w:sz w:val="20"/>
        </w:rPr>
        <w:t>with</w:t>
      </w:r>
      <w:r w:rsidR="00C026A6" w:rsidRPr="00EA59C0">
        <w:rPr>
          <w:rFonts w:ascii="Arial" w:hAnsi="Arial"/>
          <w:sz w:val="20"/>
        </w:rPr>
        <w:t xml:space="preserve"> </w:t>
      </w:r>
      <w:r w:rsidRPr="00EA59C0">
        <w:rPr>
          <w:rFonts w:ascii="Arial" w:hAnsi="Arial"/>
          <w:sz w:val="20"/>
        </w:rPr>
        <w:t>running</w:t>
      </w:r>
      <w:r w:rsidR="00C026A6" w:rsidRPr="00EA59C0">
        <w:rPr>
          <w:rFonts w:ascii="Arial" w:hAnsi="Arial"/>
          <w:sz w:val="20"/>
        </w:rPr>
        <w:t xml:space="preserve"> </w:t>
      </w:r>
      <w:r w:rsidRPr="00EA59C0">
        <w:rPr>
          <w:rFonts w:ascii="Arial" w:hAnsi="Arial"/>
          <w:sz w:val="20"/>
        </w:rPr>
        <w:t>your</w:t>
      </w:r>
      <w:r w:rsidR="00C026A6" w:rsidRPr="00EA59C0">
        <w:rPr>
          <w:rFonts w:ascii="Arial" w:hAnsi="Arial"/>
          <w:sz w:val="20"/>
        </w:rPr>
        <w:t xml:space="preserve"> </w:t>
      </w:r>
      <w:r w:rsidRPr="00EA59C0">
        <w:rPr>
          <w:rFonts w:ascii="Arial" w:hAnsi="Arial"/>
          <w:sz w:val="20"/>
        </w:rPr>
        <w:t>own</w:t>
      </w:r>
      <w:r w:rsidR="00C026A6" w:rsidRPr="00EA59C0">
        <w:rPr>
          <w:rFonts w:ascii="Arial" w:hAnsi="Arial"/>
          <w:sz w:val="20"/>
        </w:rPr>
        <w:t xml:space="preserve"> </w:t>
      </w:r>
      <w:r w:rsidRPr="00EA59C0">
        <w:rPr>
          <w:rFonts w:ascii="Arial" w:hAnsi="Arial"/>
          <w:sz w:val="20"/>
        </w:rPr>
        <w:t>NTER</w:t>
      </w:r>
      <w:r w:rsidR="00C026A6" w:rsidRPr="00EA59C0">
        <w:rPr>
          <w:rFonts w:ascii="Arial" w:hAnsi="Arial"/>
          <w:sz w:val="20"/>
        </w:rPr>
        <w:t xml:space="preserve"> </w:t>
      </w:r>
      <w:r w:rsidRPr="00EA59C0">
        <w:rPr>
          <w:rFonts w:ascii="Arial" w:hAnsi="Arial"/>
          <w:sz w:val="20"/>
        </w:rPr>
        <w:t>node</w:t>
      </w:r>
      <w:r w:rsidR="00C026A6" w:rsidRPr="00EA59C0">
        <w:rPr>
          <w:rFonts w:ascii="Arial" w:hAnsi="Arial"/>
          <w:sz w:val="20"/>
        </w:rPr>
        <w:t xml:space="preserve"> </w:t>
      </w:r>
      <w:r w:rsidRPr="00EA59C0">
        <w:rPr>
          <w:rFonts w:ascii="Arial" w:hAnsi="Arial"/>
          <w:sz w:val="20"/>
        </w:rPr>
        <w:t>are</w:t>
      </w:r>
      <w:r w:rsidR="00C026A6" w:rsidRPr="00EA59C0">
        <w:rPr>
          <w:rFonts w:ascii="Arial" w:hAnsi="Arial"/>
          <w:sz w:val="20"/>
        </w:rPr>
        <w:t xml:space="preserve"> </w:t>
      </w:r>
      <w:r w:rsidRPr="00EA59C0">
        <w:rPr>
          <w:rFonts w:ascii="Arial" w:hAnsi="Arial"/>
          <w:sz w:val="20"/>
        </w:rPr>
        <w:t>largely</w:t>
      </w:r>
      <w:r w:rsidR="00C026A6" w:rsidRPr="00EA59C0">
        <w:rPr>
          <w:rFonts w:ascii="Arial" w:hAnsi="Arial"/>
          <w:sz w:val="20"/>
        </w:rPr>
        <w:t xml:space="preserve"> </w:t>
      </w:r>
      <w:r w:rsidRPr="00EA59C0">
        <w:rPr>
          <w:rFonts w:ascii="Arial" w:hAnsi="Arial"/>
          <w:sz w:val="20"/>
        </w:rPr>
        <w:t>dependent</w:t>
      </w:r>
      <w:r w:rsidR="00C026A6" w:rsidRPr="00EA59C0">
        <w:rPr>
          <w:rFonts w:ascii="Arial" w:hAnsi="Arial"/>
          <w:sz w:val="20"/>
        </w:rPr>
        <w:t xml:space="preserve"> </w:t>
      </w:r>
      <w:r w:rsidRPr="00EA59C0">
        <w:rPr>
          <w:rFonts w:ascii="Arial" w:hAnsi="Arial"/>
          <w:sz w:val="20"/>
        </w:rPr>
        <w:t>on</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number</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users,</w:t>
      </w:r>
      <w:r w:rsidR="00C026A6" w:rsidRPr="00EA59C0">
        <w:rPr>
          <w:rFonts w:ascii="Arial" w:hAnsi="Arial"/>
          <w:sz w:val="20"/>
        </w:rPr>
        <w:t xml:space="preserve"> </w:t>
      </w:r>
      <w:r w:rsidRPr="00EA59C0">
        <w:rPr>
          <w:rFonts w:ascii="Arial" w:hAnsi="Arial"/>
          <w:sz w:val="20"/>
        </w:rPr>
        <w:t>number</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courses</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institutional</w:t>
      </w:r>
      <w:r w:rsidR="00C026A6" w:rsidRPr="00EA59C0">
        <w:rPr>
          <w:rFonts w:ascii="Arial" w:hAnsi="Arial"/>
          <w:sz w:val="20"/>
        </w:rPr>
        <w:t xml:space="preserve"> </w:t>
      </w:r>
      <w:r w:rsidRPr="00EA59C0">
        <w:rPr>
          <w:rFonts w:ascii="Arial" w:hAnsi="Arial"/>
          <w:sz w:val="20"/>
        </w:rPr>
        <w:t>IT</w:t>
      </w:r>
      <w:r w:rsidR="00C026A6" w:rsidRPr="00EA59C0">
        <w:rPr>
          <w:rFonts w:ascii="Arial" w:hAnsi="Arial"/>
          <w:sz w:val="20"/>
        </w:rPr>
        <w:t xml:space="preserve"> </w:t>
      </w:r>
      <w:r w:rsidRPr="00EA59C0">
        <w:rPr>
          <w:rFonts w:ascii="Arial" w:hAnsi="Arial"/>
          <w:sz w:val="20"/>
        </w:rPr>
        <w:t>experience</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provide</w:t>
      </w:r>
      <w:r w:rsidR="00C026A6" w:rsidRPr="00EA59C0">
        <w:rPr>
          <w:rFonts w:ascii="Arial" w:hAnsi="Arial"/>
          <w:sz w:val="20"/>
        </w:rPr>
        <w:t xml:space="preserve"> </w:t>
      </w:r>
      <w:r w:rsidRPr="00EA59C0">
        <w:rPr>
          <w:rFonts w:ascii="Arial" w:hAnsi="Arial"/>
          <w:sz w:val="20"/>
        </w:rPr>
        <w:t>installation</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maintenance</w:t>
      </w:r>
      <w:r w:rsidR="00C026A6" w:rsidRPr="00EA59C0">
        <w:rPr>
          <w:rFonts w:ascii="Arial" w:hAnsi="Arial"/>
          <w:sz w:val="20"/>
        </w:rPr>
        <w:t xml:space="preserve"> </w:t>
      </w:r>
      <w:r w:rsidRPr="00EA59C0">
        <w:rPr>
          <w:rFonts w:ascii="Arial" w:hAnsi="Arial"/>
          <w:sz w:val="20"/>
        </w:rPr>
        <w:t>support.</w:t>
      </w:r>
    </w:p>
    <w:p w:rsidR="008826BE" w:rsidRPr="00EA59C0" w:rsidRDefault="008826BE" w:rsidP="00DB00BB">
      <w:pPr>
        <w:pStyle w:val="NoSpacing"/>
        <w:rPr>
          <w:rFonts w:ascii="Arial" w:hAnsi="Arial"/>
          <w:sz w:val="20"/>
        </w:rPr>
      </w:pPr>
    </w:p>
    <w:p w:rsidR="008826BE" w:rsidRPr="00EA59C0" w:rsidRDefault="008826BE" w:rsidP="00DB00BB">
      <w:pPr>
        <w:pStyle w:val="NoSpacing"/>
        <w:rPr>
          <w:rFonts w:ascii="Arial" w:hAnsi="Arial"/>
          <w:b/>
          <w:sz w:val="20"/>
        </w:rPr>
      </w:pPr>
      <w:r w:rsidRPr="00EA59C0">
        <w:rPr>
          <w:rFonts w:ascii="Arial" w:hAnsi="Arial"/>
          <w:b/>
          <w:sz w:val="20"/>
        </w:rPr>
        <w:t>How</w:t>
      </w:r>
      <w:r w:rsidR="00C026A6" w:rsidRPr="00EA59C0">
        <w:rPr>
          <w:rFonts w:ascii="Arial" w:hAnsi="Arial"/>
          <w:b/>
          <w:sz w:val="20"/>
        </w:rPr>
        <w:t xml:space="preserve"> </w:t>
      </w:r>
      <w:r w:rsidRPr="00EA59C0">
        <w:rPr>
          <w:rFonts w:ascii="Arial" w:hAnsi="Arial"/>
          <w:b/>
          <w:sz w:val="20"/>
        </w:rPr>
        <w:t>do</w:t>
      </w:r>
      <w:r w:rsidR="00C026A6" w:rsidRPr="00EA59C0">
        <w:rPr>
          <w:rFonts w:ascii="Arial" w:hAnsi="Arial"/>
          <w:b/>
          <w:sz w:val="20"/>
        </w:rPr>
        <w:t xml:space="preserve"> </w:t>
      </w:r>
      <w:r w:rsidRPr="00EA59C0">
        <w:rPr>
          <w:rFonts w:ascii="Arial" w:hAnsi="Arial"/>
          <w:b/>
          <w:sz w:val="20"/>
        </w:rPr>
        <w:t>I</w:t>
      </w:r>
      <w:r w:rsidR="00C026A6" w:rsidRPr="00EA59C0">
        <w:rPr>
          <w:rFonts w:ascii="Arial" w:hAnsi="Arial"/>
          <w:b/>
          <w:sz w:val="20"/>
        </w:rPr>
        <w:t xml:space="preserve"> </w:t>
      </w:r>
      <w:r w:rsidRPr="00EA59C0">
        <w:rPr>
          <w:rFonts w:ascii="Arial" w:hAnsi="Arial"/>
          <w:b/>
          <w:sz w:val="20"/>
        </w:rPr>
        <w:t>get</w:t>
      </w:r>
      <w:r w:rsidR="00C026A6" w:rsidRPr="00EA59C0">
        <w:rPr>
          <w:rFonts w:ascii="Arial" w:hAnsi="Arial"/>
          <w:b/>
          <w:sz w:val="20"/>
        </w:rPr>
        <w:t xml:space="preserve"> </w:t>
      </w:r>
      <w:r w:rsidRPr="00EA59C0">
        <w:rPr>
          <w:rFonts w:ascii="Arial" w:hAnsi="Arial"/>
          <w:b/>
          <w:sz w:val="20"/>
        </w:rPr>
        <w:t>NTER?</w:t>
      </w:r>
    </w:p>
    <w:p w:rsidR="008826BE" w:rsidRPr="00EA59C0" w:rsidRDefault="008826BE" w:rsidP="00DB00BB">
      <w:pPr>
        <w:pStyle w:val="NoSpacing"/>
        <w:rPr>
          <w:rFonts w:ascii="Arial" w:hAnsi="Arial"/>
          <w:sz w:val="20"/>
        </w:rPr>
      </w:pPr>
      <w:r w:rsidRPr="00EA59C0">
        <w:rPr>
          <w:rFonts w:ascii="Arial" w:hAnsi="Arial"/>
          <w:sz w:val="20"/>
        </w:rPr>
        <w:t>Email</w:t>
      </w:r>
      <w:r w:rsidR="00C026A6" w:rsidRPr="00EA59C0">
        <w:rPr>
          <w:rFonts w:ascii="Arial" w:hAnsi="Arial"/>
          <w:sz w:val="20"/>
        </w:rPr>
        <w:t xml:space="preserve"> </w:t>
      </w:r>
      <w:hyperlink r:id="rId352" w:history="1">
        <w:r w:rsidRPr="00EA59C0">
          <w:rPr>
            <w:rStyle w:val="Hyperlink"/>
            <w:rFonts w:ascii="Arial" w:hAnsi="Arial"/>
            <w:color w:val="auto"/>
            <w:sz w:val="20"/>
          </w:rPr>
          <w:t>support@nterlearning.org</w:t>
        </w:r>
      </w:hyperlink>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visit</w:t>
      </w:r>
      <w:r w:rsidR="00C026A6" w:rsidRPr="00EA59C0">
        <w:rPr>
          <w:rFonts w:ascii="Arial" w:hAnsi="Arial"/>
          <w:sz w:val="20"/>
        </w:rPr>
        <w:t xml:space="preserve"> </w:t>
      </w:r>
      <w:hyperlink r:id="rId353" w:history="1">
        <w:r w:rsidR="005C416A" w:rsidRPr="00EA59C0">
          <w:rPr>
            <w:rStyle w:val="Hyperlink"/>
            <w:rFonts w:ascii="Arial" w:hAnsi="Arial" w:cs="Arial"/>
            <w:color w:val="auto"/>
            <w:sz w:val="20"/>
            <w:szCs w:val="20"/>
          </w:rPr>
          <w:t>www.NTERlearning.org</w:t>
        </w:r>
      </w:hyperlink>
      <w:r w:rsidR="00C026A6" w:rsidRPr="00EA59C0">
        <w:rPr>
          <w:rFonts w:ascii="Arial" w:hAnsi="Arial"/>
          <w:sz w:val="20"/>
        </w:rPr>
        <w:t xml:space="preserve"> </w:t>
      </w:r>
      <w:r w:rsidRPr="00EA59C0">
        <w:rPr>
          <w:rFonts w:ascii="Arial" w:hAnsi="Arial"/>
          <w:sz w:val="20"/>
        </w:rPr>
        <w:t>so</w:t>
      </w:r>
      <w:r w:rsidR="00C026A6" w:rsidRPr="00EA59C0">
        <w:rPr>
          <w:rFonts w:ascii="Arial" w:hAnsi="Arial"/>
          <w:sz w:val="20"/>
        </w:rPr>
        <w:t xml:space="preserve"> </w:t>
      </w:r>
      <w:r w:rsidRPr="00EA59C0">
        <w:rPr>
          <w:rFonts w:ascii="Arial" w:hAnsi="Arial"/>
          <w:sz w:val="20"/>
        </w:rPr>
        <w:t>you</w:t>
      </w:r>
      <w:r w:rsidR="00C026A6" w:rsidRPr="00EA59C0">
        <w:rPr>
          <w:rFonts w:ascii="Arial" w:hAnsi="Arial"/>
          <w:sz w:val="20"/>
        </w:rPr>
        <w:t xml:space="preserve"> </w:t>
      </w:r>
      <w:r w:rsidRPr="00EA59C0">
        <w:rPr>
          <w:rFonts w:ascii="Arial" w:hAnsi="Arial"/>
          <w:sz w:val="20"/>
        </w:rPr>
        <w:t>can</w:t>
      </w:r>
      <w:r w:rsidR="00C026A6" w:rsidRPr="00EA59C0">
        <w:rPr>
          <w:rFonts w:ascii="Arial" w:hAnsi="Arial"/>
          <w:sz w:val="20"/>
        </w:rPr>
        <w:t xml:space="preserve"> </w:t>
      </w:r>
      <w:r w:rsidRPr="00EA59C0">
        <w:rPr>
          <w:rFonts w:ascii="Arial" w:hAnsi="Arial"/>
          <w:sz w:val="20"/>
        </w:rPr>
        <w:t>get</w:t>
      </w:r>
      <w:r w:rsidR="00C026A6" w:rsidRPr="00EA59C0">
        <w:rPr>
          <w:rFonts w:ascii="Arial" w:hAnsi="Arial"/>
          <w:sz w:val="20"/>
        </w:rPr>
        <w:t xml:space="preserve"> </w:t>
      </w:r>
      <w:r w:rsidRPr="00EA59C0">
        <w:rPr>
          <w:rFonts w:ascii="Arial" w:hAnsi="Arial"/>
          <w:sz w:val="20"/>
        </w:rPr>
        <w:t>started</w:t>
      </w:r>
      <w:r w:rsidR="00C026A6" w:rsidRPr="00EA59C0">
        <w:rPr>
          <w:rFonts w:ascii="Arial" w:hAnsi="Arial"/>
          <w:sz w:val="20"/>
        </w:rPr>
        <w:t xml:space="preserve"> </w:t>
      </w:r>
      <w:r w:rsidRPr="00EA59C0">
        <w:rPr>
          <w:rFonts w:ascii="Arial" w:hAnsi="Arial"/>
          <w:sz w:val="20"/>
        </w:rPr>
        <w:t>with</w:t>
      </w:r>
      <w:r w:rsidR="00C026A6" w:rsidRPr="00EA59C0">
        <w:rPr>
          <w:rFonts w:ascii="Arial" w:hAnsi="Arial"/>
          <w:sz w:val="20"/>
        </w:rPr>
        <w:t xml:space="preserve"> </w:t>
      </w:r>
      <w:r w:rsidRPr="00EA59C0">
        <w:rPr>
          <w:rFonts w:ascii="Arial" w:hAnsi="Arial"/>
          <w:sz w:val="20"/>
        </w:rPr>
        <w:t>installing</w:t>
      </w:r>
      <w:r w:rsidR="00C026A6" w:rsidRPr="00EA59C0">
        <w:rPr>
          <w:rFonts w:ascii="Arial" w:hAnsi="Arial"/>
          <w:sz w:val="20"/>
        </w:rPr>
        <w:t xml:space="preserve"> </w:t>
      </w:r>
      <w:r w:rsidRPr="00EA59C0">
        <w:rPr>
          <w:rFonts w:ascii="Arial" w:hAnsi="Arial"/>
          <w:sz w:val="20"/>
        </w:rPr>
        <w:t>your</w:t>
      </w:r>
      <w:r w:rsidR="00C026A6" w:rsidRPr="00EA59C0">
        <w:rPr>
          <w:rFonts w:ascii="Arial" w:hAnsi="Arial"/>
          <w:sz w:val="20"/>
        </w:rPr>
        <w:t xml:space="preserve"> </w:t>
      </w:r>
      <w:r w:rsidRPr="00EA59C0">
        <w:rPr>
          <w:rFonts w:ascii="Arial" w:hAnsi="Arial"/>
          <w:sz w:val="20"/>
        </w:rPr>
        <w:t>node</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creating</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There</w:t>
      </w:r>
      <w:r w:rsidR="00C026A6" w:rsidRPr="00EA59C0">
        <w:rPr>
          <w:rFonts w:ascii="Arial" w:hAnsi="Arial"/>
          <w:sz w:val="20"/>
        </w:rPr>
        <w:t xml:space="preserve"> </w:t>
      </w:r>
      <w:r w:rsidRPr="00EA59C0">
        <w:rPr>
          <w:rFonts w:ascii="Arial" w:hAnsi="Arial"/>
          <w:sz w:val="20"/>
        </w:rPr>
        <w:t>are</w:t>
      </w:r>
      <w:r w:rsidR="00C026A6" w:rsidRPr="00EA59C0">
        <w:rPr>
          <w:rFonts w:ascii="Arial" w:hAnsi="Arial"/>
          <w:sz w:val="20"/>
        </w:rPr>
        <w:t xml:space="preserve"> </w:t>
      </w:r>
      <w:r w:rsidRPr="00EA59C0">
        <w:rPr>
          <w:rFonts w:ascii="Arial" w:hAnsi="Arial"/>
          <w:sz w:val="20"/>
        </w:rPr>
        <w:t>three</w:t>
      </w:r>
      <w:r w:rsidR="00C026A6" w:rsidRPr="00EA59C0">
        <w:rPr>
          <w:rFonts w:ascii="Arial" w:hAnsi="Arial"/>
          <w:sz w:val="20"/>
        </w:rPr>
        <w:t xml:space="preserve"> </w:t>
      </w:r>
      <w:r w:rsidRPr="00EA59C0">
        <w:rPr>
          <w:rFonts w:ascii="Arial" w:hAnsi="Arial"/>
          <w:sz w:val="20"/>
        </w:rPr>
        <w:t>main</w:t>
      </w:r>
      <w:r w:rsidR="00C026A6" w:rsidRPr="00EA59C0">
        <w:rPr>
          <w:rFonts w:ascii="Arial" w:hAnsi="Arial"/>
          <w:sz w:val="20"/>
        </w:rPr>
        <w:t xml:space="preserve"> </w:t>
      </w:r>
      <w:r w:rsidRPr="00EA59C0">
        <w:rPr>
          <w:rFonts w:ascii="Arial" w:hAnsi="Arial"/>
          <w:sz w:val="20"/>
        </w:rPr>
        <w:t>parts</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NTER</w:t>
      </w:r>
      <w:r w:rsidR="00C026A6" w:rsidRPr="00EA59C0">
        <w:rPr>
          <w:rFonts w:ascii="Arial" w:hAnsi="Arial"/>
          <w:sz w:val="20"/>
        </w:rPr>
        <w:t xml:space="preserve"> </w:t>
      </w:r>
      <w:r w:rsidRPr="00EA59C0">
        <w:rPr>
          <w:rFonts w:ascii="Arial" w:hAnsi="Arial"/>
          <w:sz w:val="20"/>
        </w:rPr>
        <w:t>platform:</w:t>
      </w:r>
      <w:r w:rsidR="00C026A6" w:rsidRPr="00EA59C0">
        <w:rPr>
          <w:rFonts w:ascii="Arial" w:hAnsi="Arial"/>
          <w:sz w:val="20"/>
        </w:rPr>
        <w:t xml:space="preserve"> </w:t>
      </w:r>
    </w:p>
    <w:p w:rsidR="008826BE" w:rsidRPr="00EA59C0" w:rsidRDefault="008826BE" w:rsidP="00080097">
      <w:pPr>
        <w:pStyle w:val="NoSpacing"/>
        <w:numPr>
          <w:ilvl w:val="0"/>
          <w:numId w:val="52"/>
        </w:numPr>
        <w:rPr>
          <w:rFonts w:ascii="Arial" w:hAnsi="Arial"/>
          <w:sz w:val="20"/>
        </w:rPr>
      </w:pPr>
      <w:r w:rsidRPr="00EA59C0">
        <w:rPr>
          <w:rFonts w:ascii="Arial" w:hAnsi="Arial"/>
          <w:sz w:val="20"/>
        </w:rPr>
        <w:t>The</w:t>
      </w:r>
      <w:r w:rsidR="00C026A6" w:rsidRPr="00EA59C0">
        <w:rPr>
          <w:rFonts w:ascii="Arial" w:hAnsi="Arial"/>
          <w:sz w:val="20"/>
        </w:rPr>
        <w:t xml:space="preserve"> </w:t>
      </w:r>
      <w:r w:rsidRPr="00EA59C0">
        <w:rPr>
          <w:rFonts w:ascii="Arial" w:hAnsi="Arial"/>
          <w:sz w:val="20"/>
        </w:rPr>
        <w:t>open</w:t>
      </w:r>
      <w:r w:rsidR="00C026A6" w:rsidRPr="00EA59C0">
        <w:rPr>
          <w:rFonts w:ascii="Arial" w:hAnsi="Arial"/>
          <w:sz w:val="20"/>
        </w:rPr>
        <w:t xml:space="preserve"> </w:t>
      </w:r>
      <w:r w:rsidRPr="00EA59C0">
        <w:rPr>
          <w:rFonts w:ascii="Arial" w:hAnsi="Arial"/>
          <w:sz w:val="20"/>
        </w:rPr>
        <w:t>source</w:t>
      </w:r>
      <w:r w:rsidR="00C026A6" w:rsidRPr="00EA59C0">
        <w:rPr>
          <w:rFonts w:ascii="Arial" w:hAnsi="Arial"/>
          <w:sz w:val="20"/>
        </w:rPr>
        <w:t xml:space="preserve"> </w:t>
      </w:r>
      <w:r w:rsidRPr="00EA59C0">
        <w:rPr>
          <w:rFonts w:ascii="Arial" w:hAnsi="Arial"/>
          <w:sz w:val="20"/>
        </w:rPr>
        <w:t>learning</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management</w:t>
      </w:r>
      <w:r w:rsidR="00C026A6" w:rsidRPr="00EA59C0">
        <w:rPr>
          <w:rFonts w:ascii="Arial" w:hAnsi="Arial"/>
          <w:sz w:val="20"/>
        </w:rPr>
        <w:t xml:space="preserve"> </w:t>
      </w:r>
      <w:r w:rsidRPr="00EA59C0">
        <w:rPr>
          <w:rFonts w:ascii="Arial" w:hAnsi="Arial"/>
          <w:sz w:val="20"/>
        </w:rPr>
        <w:t>system</w:t>
      </w:r>
      <w:r w:rsidR="00C026A6" w:rsidRPr="00EA59C0">
        <w:rPr>
          <w:rFonts w:ascii="Arial" w:hAnsi="Arial"/>
          <w:sz w:val="20"/>
        </w:rPr>
        <w:t xml:space="preserve"> </w:t>
      </w:r>
      <w:r w:rsidRPr="00EA59C0">
        <w:rPr>
          <w:rFonts w:ascii="Arial" w:hAnsi="Arial"/>
          <w:sz w:val="20"/>
        </w:rPr>
        <w:t>for</w:t>
      </w:r>
      <w:r w:rsidR="00C026A6" w:rsidRPr="00EA59C0">
        <w:rPr>
          <w:rFonts w:ascii="Arial" w:hAnsi="Arial"/>
          <w:sz w:val="20"/>
        </w:rPr>
        <w:t xml:space="preserve"> </w:t>
      </w:r>
      <w:r w:rsidRPr="00EA59C0">
        <w:rPr>
          <w:rFonts w:ascii="Arial" w:hAnsi="Arial"/>
          <w:sz w:val="20"/>
        </w:rPr>
        <w:t>deploying</w:t>
      </w:r>
      <w:r w:rsidR="00C026A6" w:rsidRPr="00EA59C0">
        <w:rPr>
          <w:rFonts w:ascii="Arial" w:hAnsi="Arial"/>
          <w:sz w:val="20"/>
        </w:rPr>
        <w:t xml:space="preserve"> </w:t>
      </w:r>
      <w:r w:rsidRPr="00EA59C0">
        <w:rPr>
          <w:rFonts w:ascii="Arial" w:hAnsi="Arial"/>
          <w:sz w:val="20"/>
        </w:rPr>
        <w:t>courses.</w:t>
      </w:r>
    </w:p>
    <w:p w:rsidR="008826BE" w:rsidRPr="00EA59C0" w:rsidRDefault="008826BE" w:rsidP="00080097">
      <w:pPr>
        <w:pStyle w:val="NoSpacing"/>
        <w:numPr>
          <w:ilvl w:val="0"/>
          <w:numId w:val="52"/>
        </w:numPr>
        <w:rPr>
          <w:rFonts w:ascii="Arial" w:hAnsi="Arial"/>
          <w:sz w:val="20"/>
        </w:rPr>
      </w:pPr>
      <w:r w:rsidRPr="00EA59C0">
        <w:rPr>
          <w:rFonts w:ascii="Arial" w:hAnsi="Arial"/>
          <w:sz w:val="20"/>
        </w:rPr>
        <w:t>The</w:t>
      </w:r>
      <w:r w:rsidR="00C026A6" w:rsidRPr="00EA59C0">
        <w:rPr>
          <w:rFonts w:ascii="Arial" w:hAnsi="Arial"/>
          <w:sz w:val="20"/>
        </w:rPr>
        <w:t xml:space="preserve"> </w:t>
      </w:r>
      <w:r w:rsidRPr="00EA59C0">
        <w:rPr>
          <w:rFonts w:ascii="Arial" w:hAnsi="Arial"/>
          <w:sz w:val="20"/>
        </w:rPr>
        <w:t>course</w:t>
      </w:r>
      <w:r w:rsidR="00C026A6" w:rsidRPr="00EA59C0">
        <w:rPr>
          <w:rFonts w:ascii="Arial" w:hAnsi="Arial"/>
          <w:sz w:val="20"/>
        </w:rPr>
        <w:t xml:space="preserve"> </w:t>
      </w:r>
      <w:r w:rsidRPr="00EA59C0">
        <w:rPr>
          <w:rFonts w:ascii="Arial" w:hAnsi="Arial"/>
          <w:sz w:val="20"/>
        </w:rPr>
        <w:t>catalogue</w:t>
      </w:r>
      <w:r w:rsidR="00C026A6" w:rsidRPr="00EA59C0">
        <w:rPr>
          <w:rFonts w:ascii="Arial" w:hAnsi="Arial"/>
          <w:sz w:val="20"/>
        </w:rPr>
        <w:t xml:space="preserve"> </w:t>
      </w:r>
      <w:r w:rsidRPr="00EA59C0">
        <w:rPr>
          <w:rFonts w:ascii="Arial" w:hAnsi="Arial"/>
          <w:sz w:val="20"/>
        </w:rPr>
        <w:t>that</w:t>
      </w:r>
      <w:r w:rsidR="00C026A6" w:rsidRPr="00EA59C0">
        <w:rPr>
          <w:rFonts w:ascii="Arial" w:hAnsi="Arial"/>
          <w:sz w:val="20"/>
        </w:rPr>
        <w:t xml:space="preserve"> </w:t>
      </w:r>
      <w:r w:rsidRPr="00EA59C0">
        <w:rPr>
          <w:rFonts w:ascii="Arial" w:hAnsi="Arial"/>
          <w:sz w:val="20"/>
        </w:rPr>
        <w:t>allows</w:t>
      </w:r>
      <w:r w:rsidR="00C026A6" w:rsidRPr="00EA59C0">
        <w:rPr>
          <w:rFonts w:ascii="Arial" w:hAnsi="Arial"/>
          <w:sz w:val="20"/>
        </w:rPr>
        <w:t xml:space="preserve"> </w:t>
      </w:r>
      <w:r w:rsidRPr="00EA59C0">
        <w:rPr>
          <w:rFonts w:ascii="Arial" w:hAnsi="Arial"/>
          <w:sz w:val="20"/>
        </w:rPr>
        <w:t>users</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search</w:t>
      </w:r>
      <w:r w:rsidR="00C026A6" w:rsidRPr="00EA59C0">
        <w:rPr>
          <w:rFonts w:ascii="Arial" w:hAnsi="Arial"/>
          <w:sz w:val="20"/>
        </w:rPr>
        <w:t xml:space="preserve"> </w:t>
      </w:r>
      <w:r w:rsidRPr="00EA59C0">
        <w:rPr>
          <w:rFonts w:ascii="Arial" w:hAnsi="Arial"/>
          <w:sz w:val="20"/>
        </w:rPr>
        <w:t>within</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outside</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institutions</w:t>
      </w:r>
      <w:r w:rsidR="00C026A6" w:rsidRPr="00EA59C0">
        <w:rPr>
          <w:rFonts w:ascii="Arial" w:hAnsi="Arial"/>
          <w:sz w:val="20"/>
        </w:rPr>
        <w:t xml:space="preserve"> </w:t>
      </w:r>
      <w:r w:rsidRPr="00EA59C0">
        <w:rPr>
          <w:rFonts w:ascii="Arial" w:hAnsi="Arial"/>
          <w:sz w:val="20"/>
        </w:rPr>
        <w:t>for</w:t>
      </w:r>
      <w:r w:rsidR="00C026A6" w:rsidRPr="00EA59C0">
        <w:rPr>
          <w:rFonts w:ascii="Arial" w:hAnsi="Arial"/>
          <w:sz w:val="20"/>
        </w:rPr>
        <w:t xml:space="preserve"> </w:t>
      </w:r>
      <w:r w:rsidRPr="00EA59C0">
        <w:rPr>
          <w:rFonts w:ascii="Arial" w:hAnsi="Arial"/>
          <w:sz w:val="20"/>
        </w:rPr>
        <w:t>courses</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p>
    <w:p w:rsidR="008826BE" w:rsidRPr="00EA59C0" w:rsidRDefault="008826BE" w:rsidP="00080097">
      <w:pPr>
        <w:pStyle w:val="NoSpacing"/>
        <w:numPr>
          <w:ilvl w:val="0"/>
          <w:numId w:val="52"/>
        </w:numPr>
        <w:rPr>
          <w:rFonts w:ascii="Arial" w:hAnsi="Arial"/>
          <w:sz w:val="20"/>
        </w:rPr>
      </w:pPr>
      <w:r w:rsidRPr="00EA59C0">
        <w:rPr>
          <w:rFonts w:ascii="Arial" w:hAnsi="Arial"/>
          <w:sz w:val="20"/>
        </w:rPr>
        <w:t>The</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development</w:t>
      </w:r>
      <w:r w:rsidR="00C026A6" w:rsidRPr="00EA59C0">
        <w:rPr>
          <w:rFonts w:ascii="Arial" w:hAnsi="Arial"/>
          <w:sz w:val="20"/>
        </w:rPr>
        <w:t xml:space="preserve"> </w:t>
      </w:r>
      <w:r w:rsidRPr="00EA59C0">
        <w:rPr>
          <w:rFonts w:ascii="Arial" w:hAnsi="Arial"/>
          <w:sz w:val="20"/>
        </w:rPr>
        <w:t>system</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tools.</w:t>
      </w:r>
      <w:r w:rsidR="00C026A6" w:rsidRPr="00EA59C0">
        <w:rPr>
          <w:rFonts w:ascii="Arial" w:hAnsi="Arial"/>
          <w:sz w:val="20"/>
        </w:rPr>
        <w:t xml:space="preserve">  </w:t>
      </w:r>
      <w:r w:rsidRPr="00EA59C0">
        <w:rPr>
          <w:rFonts w:ascii="Arial" w:hAnsi="Arial"/>
          <w:sz w:val="20"/>
        </w:rPr>
        <w:br/>
      </w:r>
    </w:p>
    <w:p w:rsidR="008826BE" w:rsidRPr="00EA59C0" w:rsidRDefault="008826BE" w:rsidP="00DB00BB">
      <w:pPr>
        <w:pStyle w:val="NoSpacing"/>
        <w:rPr>
          <w:rFonts w:ascii="Arial" w:hAnsi="Arial"/>
          <w:sz w:val="20"/>
        </w:rPr>
      </w:pPr>
      <w:r w:rsidRPr="00EA59C0">
        <w:rPr>
          <w:rFonts w:ascii="Arial" w:hAnsi="Arial"/>
          <w:sz w:val="20"/>
        </w:rPr>
        <w:t>The</w:t>
      </w:r>
      <w:r w:rsidR="00C026A6" w:rsidRPr="00EA59C0">
        <w:rPr>
          <w:rFonts w:ascii="Arial" w:hAnsi="Arial"/>
          <w:sz w:val="20"/>
        </w:rPr>
        <w:t xml:space="preserve"> </w:t>
      </w:r>
      <w:r w:rsidRPr="00EA59C0">
        <w:rPr>
          <w:rFonts w:ascii="Arial" w:hAnsi="Arial"/>
          <w:sz w:val="20"/>
        </w:rPr>
        <w:t>three</w:t>
      </w:r>
      <w:r w:rsidR="00C026A6" w:rsidRPr="00EA59C0">
        <w:rPr>
          <w:rFonts w:ascii="Arial" w:hAnsi="Arial"/>
          <w:sz w:val="20"/>
        </w:rPr>
        <w:t xml:space="preserve"> </w:t>
      </w:r>
      <w:r w:rsidRPr="00EA59C0">
        <w:rPr>
          <w:rFonts w:ascii="Arial" w:hAnsi="Arial"/>
          <w:sz w:val="20"/>
        </w:rPr>
        <w:t>are</w:t>
      </w:r>
      <w:r w:rsidR="00C026A6" w:rsidRPr="00EA59C0">
        <w:rPr>
          <w:rFonts w:ascii="Arial" w:hAnsi="Arial"/>
          <w:sz w:val="20"/>
        </w:rPr>
        <w:t xml:space="preserve"> </w:t>
      </w:r>
      <w:r w:rsidRPr="00EA59C0">
        <w:rPr>
          <w:rFonts w:ascii="Arial" w:hAnsi="Arial"/>
          <w:sz w:val="20"/>
        </w:rPr>
        <w:t>designed</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be</w:t>
      </w:r>
      <w:r w:rsidR="00C026A6" w:rsidRPr="00EA59C0">
        <w:rPr>
          <w:rFonts w:ascii="Arial" w:hAnsi="Arial"/>
          <w:sz w:val="20"/>
        </w:rPr>
        <w:t xml:space="preserve"> </w:t>
      </w:r>
      <w:r w:rsidRPr="00EA59C0">
        <w:rPr>
          <w:rFonts w:ascii="Arial" w:hAnsi="Arial"/>
          <w:sz w:val="20"/>
        </w:rPr>
        <w:t>used</w:t>
      </w:r>
      <w:r w:rsidR="00C026A6" w:rsidRPr="00EA59C0">
        <w:rPr>
          <w:rFonts w:ascii="Arial" w:hAnsi="Arial"/>
          <w:sz w:val="20"/>
        </w:rPr>
        <w:t xml:space="preserve"> </w:t>
      </w:r>
      <w:r w:rsidRPr="00EA59C0">
        <w:rPr>
          <w:rFonts w:ascii="Arial" w:hAnsi="Arial"/>
          <w:sz w:val="20"/>
        </w:rPr>
        <w:t>together</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maximize</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platform’s</w:t>
      </w:r>
      <w:r w:rsidR="00C026A6" w:rsidRPr="00EA59C0">
        <w:rPr>
          <w:rFonts w:ascii="Arial" w:hAnsi="Arial"/>
          <w:sz w:val="20"/>
        </w:rPr>
        <w:t xml:space="preserve"> </w:t>
      </w:r>
      <w:r w:rsidRPr="00EA59C0">
        <w:rPr>
          <w:rFonts w:ascii="Arial" w:hAnsi="Arial"/>
          <w:sz w:val="20"/>
        </w:rPr>
        <w:t>effectiveness</w:t>
      </w:r>
      <w:r w:rsidR="00C026A6" w:rsidRPr="00EA59C0">
        <w:rPr>
          <w:rFonts w:ascii="Arial" w:hAnsi="Arial"/>
          <w:sz w:val="20"/>
        </w:rPr>
        <w:t xml:space="preserve"> </w:t>
      </w:r>
      <w:r w:rsidRPr="00EA59C0">
        <w:rPr>
          <w:rFonts w:ascii="Arial" w:hAnsi="Arial"/>
          <w:sz w:val="20"/>
        </w:rPr>
        <w:t>for</w:t>
      </w:r>
      <w:r w:rsidR="00C026A6" w:rsidRPr="00EA59C0">
        <w:rPr>
          <w:rFonts w:ascii="Arial" w:hAnsi="Arial"/>
          <w:sz w:val="20"/>
        </w:rPr>
        <w:t xml:space="preserve"> </w:t>
      </w:r>
      <w:r w:rsidRPr="00EA59C0">
        <w:rPr>
          <w:rFonts w:ascii="Arial" w:hAnsi="Arial"/>
          <w:sz w:val="20"/>
        </w:rPr>
        <w:t>sharing</w:t>
      </w:r>
      <w:r w:rsidR="00C026A6" w:rsidRPr="00EA59C0">
        <w:rPr>
          <w:rFonts w:ascii="Arial" w:hAnsi="Arial"/>
          <w:sz w:val="20"/>
        </w:rPr>
        <w:t xml:space="preserve"> </w:t>
      </w:r>
      <w:r w:rsidRPr="00EA59C0">
        <w:rPr>
          <w:rFonts w:ascii="Arial" w:hAnsi="Arial"/>
          <w:sz w:val="20"/>
        </w:rPr>
        <w:t>innovative</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across</w:t>
      </w:r>
      <w:r w:rsidR="00C026A6" w:rsidRPr="00EA59C0">
        <w:rPr>
          <w:rFonts w:ascii="Arial" w:hAnsi="Arial"/>
          <w:sz w:val="20"/>
        </w:rPr>
        <w:t xml:space="preserve"> </w:t>
      </w:r>
      <w:r w:rsidRPr="00EA59C0">
        <w:rPr>
          <w:rFonts w:ascii="Arial" w:hAnsi="Arial"/>
          <w:sz w:val="20"/>
        </w:rPr>
        <w:t>organizations.</w:t>
      </w:r>
      <w:r w:rsidR="00C026A6" w:rsidRPr="00EA59C0">
        <w:rPr>
          <w:rFonts w:ascii="Arial" w:hAnsi="Arial"/>
          <w:sz w:val="20"/>
        </w:rPr>
        <w:t xml:space="preserve"> </w:t>
      </w:r>
      <w:r w:rsidRPr="00EA59C0">
        <w:rPr>
          <w:rFonts w:ascii="Arial" w:hAnsi="Arial"/>
          <w:sz w:val="20"/>
        </w:rPr>
        <w:t>Upon</w:t>
      </w:r>
      <w:r w:rsidR="00C026A6" w:rsidRPr="00EA59C0">
        <w:rPr>
          <w:rFonts w:ascii="Arial" w:hAnsi="Arial"/>
          <w:sz w:val="20"/>
        </w:rPr>
        <w:t xml:space="preserve"> </w:t>
      </w:r>
      <w:r w:rsidRPr="00EA59C0">
        <w:rPr>
          <w:rFonts w:ascii="Arial" w:hAnsi="Arial"/>
          <w:sz w:val="20"/>
        </w:rPr>
        <w:t>installing</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NTER</w:t>
      </w:r>
      <w:r w:rsidR="00C026A6" w:rsidRPr="00EA59C0">
        <w:rPr>
          <w:rFonts w:ascii="Arial" w:hAnsi="Arial"/>
          <w:sz w:val="20"/>
        </w:rPr>
        <w:t xml:space="preserve"> </w:t>
      </w:r>
      <w:r w:rsidRPr="00EA59C0">
        <w:rPr>
          <w:rFonts w:ascii="Arial" w:hAnsi="Arial"/>
          <w:sz w:val="20"/>
        </w:rPr>
        <w:t>platform,</w:t>
      </w:r>
      <w:r w:rsidR="00C026A6" w:rsidRPr="00EA59C0">
        <w:rPr>
          <w:rFonts w:ascii="Arial" w:hAnsi="Arial"/>
          <w:sz w:val="20"/>
        </w:rPr>
        <w:t xml:space="preserve"> </w:t>
      </w:r>
      <w:r w:rsidRPr="00EA59C0">
        <w:rPr>
          <w:rFonts w:ascii="Arial" w:hAnsi="Arial"/>
          <w:sz w:val="20"/>
        </w:rPr>
        <w:t>each</w:t>
      </w:r>
      <w:r w:rsidR="00C026A6" w:rsidRPr="00EA59C0">
        <w:rPr>
          <w:rFonts w:ascii="Arial" w:hAnsi="Arial"/>
          <w:sz w:val="20"/>
        </w:rPr>
        <w:t xml:space="preserve"> </w:t>
      </w:r>
      <w:r w:rsidRPr="00EA59C0">
        <w:rPr>
          <w:rFonts w:ascii="Arial" w:hAnsi="Arial"/>
          <w:sz w:val="20"/>
        </w:rPr>
        <w:t>institution</w:t>
      </w:r>
      <w:r w:rsidR="00C026A6" w:rsidRPr="00EA59C0">
        <w:rPr>
          <w:rFonts w:ascii="Arial" w:hAnsi="Arial"/>
          <w:sz w:val="20"/>
        </w:rPr>
        <w:t xml:space="preserve"> </w:t>
      </w:r>
      <w:r w:rsidRPr="00EA59C0">
        <w:rPr>
          <w:rFonts w:ascii="Arial" w:hAnsi="Arial"/>
          <w:sz w:val="20"/>
        </w:rPr>
        <w:t>or</w:t>
      </w:r>
      <w:r w:rsidR="00C026A6" w:rsidRPr="00EA59C0">
        <w:rPr>
          <w:rFonts w:ascii="Arial" w:hAnsi="Arial"/>
          <w:sz w:val="20"/>
        </w:rPr>
        <w:t xml:space="preserve"> </w:t>
      </w:r>
      <w:r w:rsidRPr="00EA59C0">
        <w:rPr>
          <w:rFonts w:ascii="Arial" w:hAnsi="Arial"/>
          <w:sz w:val="20"/>
        </w:rPr>
        <w:t>end</w:t>
      </w:r>
      <w:r w:rsidR="00C026A6" w:rsidRPr="00EA59C0">
        <w:rPr>
          <w:rFonts w:ascii="Arial" w:hAnsi="Arial"/>
          <w:sz w:val="20"/>
        </w:rPr>
        <w:t xml:space="preserve"> </w:t>
      </w:r>
      <w:r w:rsidRPr="00EA59C0">
        <w:rPr>
          <w:rFonts w:ascii="Arial" w:hAnsi="Arial"/>
          <w:sz w:val="20"/>
        </w:rPr>
        <w:t>user</w:t>
      </w:r>
      <w:r w:rsidR="00C026A6" w:rsidRPr="00EA59C0">
        <w:rPr>
          <w:rFonts w:ascii="Arial" w:hAnsi="Arial"/>
          <w:sz w:val="20"/>
        </w:rPr>
        <w:t xml:space="preserve"> </w:t>
      </w:r>
      <w:r w:rsidRPr="00EA59C0">
        <w:rPr>
          <w:rFonts w:ascii="Arial" w:hAnsi="Arial"/>
          <w:sz w:val="20"/>
        </w:rPr>
        <w:t>can</w:t>
      </w:r>
      <w:r w:rsidR="00C026A6" w:rsidRPr="00EA59C0">
        <w:rPr>
          <w:rFonts w:ascii="Arial" w:hAnsi="Arial"/>
          <w:sz w:val="20"/>
        </w:rPr>
        <w:t xml:space="preserve"> </w:t>
      </w:r>
      <w:r w:rsidRPr="00EA59C0">
        <w:rPr>
          <w:rFonts w:ascii="Arial" w:hAnsi="Arial"/>
          <w:sz w:val="20"/>
        </w:rPr>
        <w:t>modify</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brand</w:t>
      </w:r>
      <w:r w:rsidR="00C026A6" w:rsidRPr="00EA59C0">
        <w:rPr>
          <w:rFonts w:ascii="Arial" w:hAnsi="Arial"/>
          <w:sz w:val="20"/>
        </w:rPr>
        <w:t xml:space="preserve"> </w:t>
      </w:r>
      <w:r w:rsidRPr="00EA59C0">
        <w:rPr>
          <w:rFonts w:ascii="Arial" w:hAnsi="Arial"/>
          <w:sz w:val="20"/>
        </w:rPr>
        <w:t>its</w:t>
      </w:r>
      <w:r w:rsidR="00C026A6" w:rsidRPr="00EA59C0">
        <w:rPr>
          <w:rFonts w:ascii="Arial" w:hAnsi="Arial"/>
          <w:sz w:val="20"/>
        </w:rPr>
        <w:t xml:space="preserve"> </w:t>
      </w:r>
      <w:r w:rsidRPr="00EA59C0">
        <w:rPr>
          <w:rFonts w:ascii="Arial" w:hAnsi="Arial"/>
          <w:sz w:val="20"/>
        </w:rPr>
        <w:t>node</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reflect</w:t>
      </w:r>
      <w:r w:rsidR="00C026A6" w:rsidRPr="00EA59C0">
        <w:rPr>
          <w:rFonts w:ascii="Arial" w:hAnsi="Arial"/>
          <w:sz w:val="20"/>
        </w:rPr>
        <w:t xml:space="preserve"> </w:t>
      </w:r>
      <w:r w:rsidRPr="00EA59C0">
        <w:rPr>
          <w:rFonts w:ascii="Arial" w:hAnsi="Arial"/>
          <w:sz w:val="20"/>
        </w:rPr>
        <w:t>its</w:t>
      </w:r>
      <w:r w:rsidR="00C026A6" w:rsidRPr="00EA59C0">
        <w:rPr>
          <w:rFonts w:ascii="Arial" w:hAnsi="Arial"/>
          <w:sz w:val="20"/>
        </w:rPr>
        <w:t xml:space="preserve"> </w:t>
      </w:r>
      <w:r w:rsidRPr="00EA59C0">
        <w:rPr>
          <w:rFonts w:ascii="Arial" w:hAnsi="Arial"/>
          <w:sz w:val="20"/>
        </w:rPr>
        <w:t>institution’s</w:t>
      </w:r>
      <w:r w:rsidR="00C026A6" w:rsidRPr="00EA59C0">
        <w:rPr>
          <w:rFonts w:ascii="Arial" w:hAnsi="Arial"/>
          <w:sz w:val="20"/>
        </w:rPr>
        <w:t xml:space="preserve"> </w:t>
      </w:r>
      <w:r w:rsidRPr="00EA59C0">
        <w:rPr>
          <w:rFonts w:ascii="Arial" w:hAnsi="Arial"/>
          <w:sz w:val="20"/>
        </w:rPr>
        <w:t>needs</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services.</w:t>
      </w:r>
      <w:r w:rsidR="00C026A6" w:rsidRPr="00EA59C0">
        <w:rPr>
          <w:rFonts w:ascii="Arial" w:hAnsi="Arial"/>
          <w:sz w:val="20"/>
        </w:rPr>
        <w:t xml:space="preserve"> </w:t>
      </w:r>
      <w:r w:rsidRPr="00EA59C0">
        <w:rPr>
          <w:rFonts w:ascii="Arial" w:hAnsi="Arial"/>
          <w:sz w:val="20"/>
        </w:rPr>
        <w:t>For</w:t>
      </w:r>
      <w:r w:rsidR="00C026A6" w:rsidRPr="00EA59C0">
        <w:rPr>
          <w:rFonts w:ascii="Arial" w:hAnsi="Arial"/>
          <w:sz w:val="20"/>
        </w:rPr>
        <w:t xml:space="preserve"> </w:t>
      </w:r>
      <w:r w:rsidRPr="00EA59C0">
        <w:rPr>
          <w:rFonts w:ascii="Arial" w:hAnsi="Arial"/>
          <w:sz w:val="20"/>
        </w:rPr>
        <w:t>example,</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node</w:t>
      </w:r>
      <w:r w:rsidR="00C026A6" w:rsidRPr="00EA59C0">
        <w:rPr>
          <w:rFonts w:ascii="Arial" w:hAnsi="Arial"/>
          <w:sz w:val="20"/>
        </w:rPr>
        <w:t xml:space="preserve"> </w:t>
      </w:r>
      <w:r w:rsidRPr="00EA59C0">
        <w:rPr>
          <w:rFonts w:ascii="Arial" w:hAnsi="Arial"/>
          <w:sz w:val="20"/>
        </w:rPr>
        <w:t>at</w:t>
      </w:r>
      <w:r w:rsidR="00C026A6" w:rsidRPr="00EA59C0">
        <w:rPr>
          <w:rFonts w:ascii="Arial" w:hAnsi="Arial"/>
          <w:sz w:val="20"/>
        </w:rPr>
        <w:t xml:space="preserve"> </w:t>
      </w:r>
      <w:hyperlink r:id="rId354" w:history="1">
        <w:r w:rsidRPr="00EA59C0">
          <w:rPr>
            <w:rStyle w:val="Hyperlink"/>
            <w:rFonts w:ascii="Arial" w:hAnsi="Arial"/>
            <w:color w:val="auto"/>
            <w:sz w:val="20"/>
          </w:rPr>
          <w:t>www.NTERlearning.org</w:t>
        </w:r>
      </w:hyperlink>
      <w:r w:rsidR="00C026A6" w:rsidRPr="00EA59C0">
        <w:rPr>
          <w:rFonts w:ascii="Arial" w:hAnsi="Arial"/>
          <w:sz w:val="20"/>
        </w:rPr>
        <w:t xml:space="preserve"> </w:t>
      </w:r>
      <w:r w:rsidRPr="00EA59C0">
        <w:rPr>
          <w:rFonts w:ascii="Arial" w:hAnsi="Arial"/>
          <w:sz w:val="20"/>
        </w:rPr>
        <w:t>was</w:t>
      </w:r>
      <w:r w:rsidR="00C026A6" w:rsidRPr="00EA59C0">
        <w:rPr>
          <w:rFonts w:ascii="Arial" w:hAnsi="Arial"/>
          <w:sz w:val="20"/>
        </w:rPr>
        <w:t xml:space="preserve"> </w:t>
      </w:r>
      <w:r w:rsidRPr="00EA59C0">
        <w:rPr>
          <w:rFonts w:ascii="Arial" w:hAnsi="Arial"/>
          <w:sz w:val="20"/>
        </w:rPr>
        <w:t>first</w:t>
      </w:r>
      <w:r w:rsidR="00C026A6" w:rsidRPr="00EA59C0">
        <w:rPr>
          <w:rFonts w:ascii="Arial" w:hAnsi="Arial"/>
          <w:sz w:val="20"/>
        </w:rPr>
        <w:t xml:space="preserve"> </w:t>
      </w:r>
      <w:r w:rsidRPr="00EA59C0">
        <w:rPr>
          <w:rFonts w:ascii="Arial" w:hAnsi="Arial"/>
          <w:sz w:val="20"/>
        </w:rPr>
        <w:t>designed</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deliver</w:t>
      </w:r>
      <w:r w:rsidR="00C026A6" w:rsidRPr="00EA59C0">
        <w:rPr>
          <w:rFonts w:ascii="Arial" w:hAnsi="Arial"/>
          <w:sz w:val="20"/>
        </w:rPr>
        <w:t xml:space="preserve"> </w:t>
      </w:r>
      <w:r w:rsidRPr="00EA59C0">
        <w:rPr>
          <w:rFonts w:ascii="Arial" w:hAnsi="Arial"/>
          <w:sz w:val="20"/>
        </w:rPr>
        <w:t>workforce</w:t>
      </w:r>
      <w:r w:rsidR="00C026A6" w:rsidRPr="00EA59C0">
        <w:rPr>
          <w:rFonts w:ascii="Arial" w:hAnsi="Arial"/>
          <w:sz w:val="20"/>
        </w:rPr>
        <w:t xml:space="preserve"> </w:t>
      </w:r>
      <w:r w:rsidRPr="00EA59C0">
        <w:rPr>
          <w:rFonts w:ascii="Arial" w:hAnsi="Arial"/>
          <w:sz w:val="20"/>
        </w:rPr>
        <w:t>training</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courses</w:t>
      </w:r>
      <w:r w:rsidR="00C026A6" w:rsidRPr="00EA59C0">
        <w:rPr>
          <w:rFonts w:ascii="Arial" w:hAnsi="Arial"/>
          <w:sz w:val="20"/>
        </w:rPr>
        <w:t xml:space="preserve"> </w:t>
      </w:r>
      <w:r w:rsidRPr="00EA59C0">
        <w:rPr>
          <w:rFonts w:ascii="Arial" w:hAnsi="Arial"/>
          <w:sz w:val="20"/>
        </w:rPr>
        <w:t>in</w:t>
      </w:r>
      <w:r w:rsidR="00C026A6" w:rsidRPr="00EA59C0">
        <w:rPr>
          <w:rFonts w:ascii="Arial" w:hAnsi="Arial"/>
          <w:sz w:val="20"/>
        </w:rPr>
        <w:t xml:space="preserve"> </w:t>
      </w:r>
      <w:r w:rsidRPr="00EA59C0">
        <w:rPr>
          <w:rFonts w:ascii="Arial" w:hAnsi="Arial"/>
          <w:sz w:val="20"/>
        </w:rPr>
        <w:t>weatherization</w:t>
      </w:r>
      <w:r w:rsidR="00C026A6" w:rsidRPr="00EA59C0">
        <w:rPr>
          <w:rFonts w:ascii="Arial" w:hAnsi="Arial"/>
          <w:sz w:val="20"/>
        </w:rPr>
        <w:t xml:space="preserve"> </w:t>
      </w:r>
      <w:r w:rsidRPr="00EA59C0">
        <w:rPr>
          <w:rFonts w:ascii="Arial" w:hAnsi="Arial"/>
          <w:sz w:val="20"/>
        </w:rPr>
        <w:t>training,</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now</w:t>
      </w:r>
      <w:r w:rsidR="00C026A6" w:rsidRPr="00EA59C0">
        <w:rPr>
          <w:rFonts w:ascii="Arial" w:hAnsi="Arial"/>
          <w:sz w:val="20"/>
        </w:rPr>
        <w:t xml:space="preserve"> </w:t>
      </w:r>
      <w:r w:rsidRPr="00EA59C0">
        <w:rPr>
          <w:rFonts w:ascii="Arial" w:hAnsi="Arial"/>
          <w:sz w:val="20"/>
        </w:rPr>
        <w:t>delivers</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number</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courses</w:t>
      </w:r>
      <w:r w:rsidR="00C026A6" w:rsidRPr="00EA59C0">
        <w:rPr>
          <w:rFonts w:ascii="Arial" w:hAnsi="Arial"/>
          <w:sz w:val="20"/>
        </w:rPr>
        <w:t xml:space="preserve"> </w:t>
      </w:r>
      <w:r w:rsidRPr="00EA59C0">
        <w:rPr>
          <w:rFonts w:ascii="Arial" w:hAnsi="Arial"/>
          <w:sz w:val="20"/>
        </w:rPr>
        <w:t>dealing</w:t>
      </w:r>
      <w:r w:rsidR="00C026A6" w:rsidRPr="00EA59C0">
        <w:rPr>
          <w:rFonts w:ascii="Arial" w:hAnsi="Arial"/>
          <w:sz w:val="20"/>
        </w:rPr>
        <w:t xml:space="preserve"> </w:t>
      </w:r>
      <w:r w:rsidRPr="00EA59C0">
        <w:rPr>
          <w:rFonts w:ascii="Arial" w:hAnsi="Arial"/>
          <w:sz w:val="20"/>
        </w:rPr>
        <w:t>with</w:t>
      </w:r>
      <w:r w:rsidR="00C026A6" w:rsidRPr="00EA59C0">
        <w:rPr>
          <w:rFonts w:ascii="Arial" w:hAnsi="Arial"/>
          <w:sz w:val="20"/>
        </w:rPr>
        <w:t xml:space="preserve"> </w:t>
      </w:r>
      <w:r w:rsidRPr="00EA59C0">
        <w:rPr>
          <w:rFonts w:ascii="Arial" w:hAnsi="Arial"/>
          <w:sz w:val="20"/>
        </w:rPr>
        <w:t>predominantly</w:t>
      </w:r>
      <w:r w:rsidR="00C026A6" w:rsidRPr="00EA59C0">
        <w:rPr>
          <w:rFonts w:ascii="Arial" w:hAnsi="Arial"/>
          <w:sz w:val="20"/>
        </w:rPr>
        <w:t xml:space="preserve"> </w:t>
      </w:r>
      <w:r w:rsidRPr="00EA59C0">
        <w:rPr>
          <w:rFonts w:ascii="Arial" w:hAnsi="Arial"/>
          <w:sz w:val="20"/>
        </w:rPr>
        <w:t>energy</w:t>
      </w:r>
      <w:r w:rsidR="00C026A6" w:rsidRPr="00EA59C0">
        <w:rPr>
          <w:rFonts w:ascii="Arial" w:hAnsi="Arial"/>
          <w:sz w:val="20"/>
        </w:rPr>
        <w:t xml:space="preserve"> </w:t>
      </w:r>
      <w:r w:rsidRPr="00EA59C0">
        <w:rPr>
          <w:rFonts w:ascii="Arial" w:hAnsi="Arial"/>
          <w:sz w:val="20"/>
        </w:rPr>
        <w:t>sector</w:t>
      </w:r>
      <w:r w:rsidR="00C026A6" w:rsidRPr="00EA59C0">
        <w:rPr>
          <w:rFonts w:ascii="Arial" w:hAnsi="Arial"/>
          <w:sz w:val="20"/>
        </w:rPr>
        <w:t xml:space="preserve"> </w:t>
      </w:r>
      <w:r w:rsidRPr="00EA59C0">
        <w:rPr>
          <w:rFonts w:ascii="Arial" w:hAnsi="Arial"/>
          <w:sz w:val="20"/>
        </w:rPr>
        <w:t>workforce</w:t>
      </w:r>
      <w:r w:rsidR="00C026A6" w:rsidRPr="00EA59C0">
        <w:rPr>
          <w:rFonts w:ascii="Arial" w:hAnsi="Arial"/>
          <w:sz w:val="20"/>
        </w:rPr>
        <w:t xml:space="preserve"> </w:t>
      </w:r>
      <w:r w:rsidRPr="00EA59C0">
        <w:rPr>
          <w:rFonts w:ascii="Arial" w:hAnsi="Arial"/>
          <w:sz w:val="20"/>
        </w:rPr>
        <w:t>training.</w:t>
      </w:r>
      <w:r w:rsidR="00C026A6" w:rsidRPr="00EA59C0">
        <w:rPr>
          <w:rFonts w:ascii="Arial" w:hAnsi="Arial"/>
          <w:sz w:val="20"/>
        </w:rPr>
        <w:t xml:space="preserve"> </w:t>
      </w:r>
    </w:p>
    <w:p w:rsidR="008826BE" w:rsidRPr="00EA59C0" w:rsidRDefault="008826BE" w:rsidP="00DB00BB">
      <w:pPr>
        <w:pStyle w:val="NoSpacing"/>
        <w:rPr>
          <w:rFonts w:ascii="Arial" w:hAnsi="Arial"/>
          <w:sz w:val="20"/>
        </w:rPr>
      </w:pPr>
    </w:p>
    <w:p w:rsidR="008826BE" w:rsidRPr="00EA59C0" w:rsidRDefault="008826BE" w:rsidP="00DB00BB">
      <w:pPr>
        <w:pStyle w:val="NoSpacing"/>
        <w:rPr>
          <w:rFonts w:ascii="Arial" w:hAnsi="Arial"/>
          <w:b/>
          <w:sz w:val="20"/>
        </w:rPr>
      </w:pPr>
      <w:r w:rsidRPr="00EA59C0">
        <w:rPr>
          <w:rFonts w:ascii="Arial" w:hAnsi="Arial"/>
          <w:b/>
          <w:sz w:val="20"/>
        </w:rPr>
        <w:t>NTER</w:t>
      </w:r>
      <w:r w:rsidR="00C026A6" w:rsidRPr="00EA59C0">
        <w:rPr>
          <w:rFonts w:ascii="Arial" w:hAnsi="Arial"/>
          <w:b/>
          <w:sz w:val="20"/>
        </w:rPr>
        <w:t xml:space="preserve"> </w:t>
      </w:r>
      <w:r w:rsidRPr="00EA59C0">
        <w:rPr>
          <w:rFonts w:ascii="Arial" w:hAnsi="Arial"/>
          <w:b/>
          <w:sz w:val="20"/>
        </w:rPr>
        <w:t>is</w:t>
      </w:r>
      <w:r w:rsidR="00C026A6" w:rsidRPr="00EA59C0">
        <w:rPr>
          <w:rFonts w:ascii="Arial" w:hAnsi="Arial"/>
          <w:b/>
          <w:sz w:val="20"/>
        </w:rPr>
        <w:t xml:space="preserve"> </w:t>
      </w:r>
      <w:r w:rsidRPr="00EA59C0">
        <w:rPr>
          <w:rFonts w:ascii="Arial" w:hAnsi="Arial"/>
          <w:b/>
          <w:sz w:val="20"/>
        </w:rPr>
        <w:t>an</w:t>
      </w:r>
      <w:r w:rsidR="00C026A6" w:rsidRPr="00EA59C0">
        <w:rPr>
          <w:rFonts w:ascii="Arial" w:hAnsi="Arial"/>
          <w:b/>
          <w:sz w:val="20"/>
        </w:rPr>
        <w:t xml:space="preserve"> </w:t>
      </w:r>
      <w:r w:rsidRPr="00EA59C0">
        <w:rPr>
          <w:rFonts w:ascii="Arial" w:hAnsi="Arial"/>
          <w:b/>
          <w:sz w:val="20"/>
        </w:rPr>
        <w:t>open</w:t>
      </w:r>
      <w:r w:rsidR="00C026A6" w:rsidRPr="00EA59C0">
        <w:rPr>
          <w:rFonts w:ascii="Arial" w:hAnsi="Arial"/>
          <w:b/>
          <w:sz w:val="20"/>
        </w:rPr>
        <w:t xml:space="preserve"> </w:t>
      </w:r>
      <w:r w:rsidRPr="00EA59C0">
        <w:rPr>
          <w:rFonts w:ascii="Arial" w:hAnsi="Arial"/>
          <w:b/>
          <w:sz w:val="20"/>
        </w:rPr>
        <w:t>source</w:t>
      </w:r>
      <w:r w:rsidR="00C026A6" w:rsidRPr="00EA59C0">
        <w:rPr>
          <w:rFonts w:ascii="Arial" w:hAnsi="Arial"/>
          <w:b/>
          <w:sz w:val="20"/>
        </w:rPr>
        <w:t xml:space="preserve"> </w:t>
      </w:r>
      <w:r w:rsidRPr="00EA59C0">
        <w:rPr>
          <w:rFonts w:ascii="Arial" w:hAnsi="Arial"/>
          <w:b/>
          <w:sz w:val="20"/>
        </w:rPr>
        <w:t>learning</w:t>
      </w:r>
      <w:r w:rsidR="00C026A6" w:rsidRPr="00EA59C0">
        <w:rPr>
          <w:rFonts w:ascii="Arial" w:hAnsi="Arial"/>
          <w:b/>
          <w:sz w:val="20"/>
        </w:rPr>
        <w:t xml:space="preserve"> </w:t>
      </w:r>
      <w:r w:rsidRPr="00EA59C0">
        <w:rPr>
          <w:rFonts w:ascii="Arial" w:hAnsi="Arial"/>
          <w:b/>
          <w:sz w:val="20"/>
        </w:rPr>
        <w:t>and</w:t>
      </w:r>
      <w:r w:rsidR="00C026A6" w:rsidRPr="00EA59C0">
        <w:rPr>
          <w:rFonts w:ascii="Arial" w:hAnsi="Arial"/>
          <w:b/>
          <w:sz w:val="20"/>
        </w:rPr>
        <w:t xml:space="preserve"> </w:t>
      </w:r>
      <w:r w:rsidRPr="00EA59C0">
        <w:rPr>
          <w:rFonts w:ascii="Arial" w:hAnsi="Arial"/>
          <w:b/>
          <w:sz w:val="20"/>
        </w:rPr>
        <w:t>content</w:t>
      </w:r>
      <w:r w:rsidR="00C026A6" w:rsidRPr="00EA59C0">
        <w:rPr>
          <w:rFonts w:ascii="Arial" w:hAnsi="Arial"/>
          <w:b/>
          <w:sz w:val="20"/>
        </w:rPr>
        <w:t xml:space="preserve"> </w:t>
      </w:r>
      <w:r w:rsidRPr="00EA59C0">
        <w:rPr>
          <w:rFonts w:ascii="Arial" w:hAnsi="Arial"/>
          <w:b/>
          <w:sz w:val="20"/>
        </w:rPr>
        <w:t>management</w:t>
      </w:r>
      <w:r w:rsidR="00C026A6" w:rsidRPr="00EA59C0">
        <w:rPr>
          <w:rFonts w:ascii="Arial" w:hAnsi="Arial"/>
          <w:b/>
          <w:sz w:val="20"/>
        </w:rPr>
        <w:t xml:space="preserve"> </w:t>
      </w:r>
      <w:r w:rsidRPr="00EA59C0">
        <w:rPr>
          <w:rFonts w:ascii="Arial" w:hAnsi="Arial"/>
          <w:b/>
          <w:sz w:val="20"/>
        </w:rPr>
        <w:t>system</w:t>
      </w:r>
      <w:r w:rsidR="00C026A6" w:rsidRPr="00EA59C0">
        <w:rPr>
          <w:rFonts w:ascii="Arial" w:hAnsi="Arial"/>
          <w:b/>
          <w:sz w:val="20"/>
        </w:rPr>
        <w:t xml:space="preserve"> </w:t>
      </w:r>
    </w:p>
    <w:p w:rsidR="008826BE" w:rsidRPr="00EA59C0" w:rsidRDefault="008826BE" w:rsidP="00DB00BB">
      <w:pPr>
        <w:pStyle w:val="NoSpacing"/>
        <w:rPr>
          <w:rFonts w:ascii="Arial" w:hAnsi="Arial"/>
          <w:sz w:val="20"/>
        </w:rPr>
      </w:pPr>
      <w:r w:rsidRPr="00EA59C0">
        <w:rPr>
          <w:rFonts w:ascii="Arial" w:hAnsi="Arial"/>
          <w:sz w:val="20"/>
        </w:rPr>
        <w:t>At</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heart</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NTER</w:t>
      </w:r>
      <w:r w:rsidR="00C026A6" w:rsidRPr="00EA59C0">
        <w:rPr>
          <w:rFonts w:ascii="Arial" w:hAnsi="Arial"/>
          <w:sz w:val="20"/>
        </w:rPr>
        <w:t xml:space="preserve"> </w:t>
      </w:r>
      <w:r w:rsidRPr="00EA59C0">
        <w:rPr>
          <w:rFonts w:ascii="Arial" w:hAnsi="Arial"/>
          <w:sz w:val="20"/>
        </w:rPr>
        <w:t>platform</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onboard</w:t>
      </w:r>
      <w:r w:rsidR="00C026A6" w:rsidRPr="00EA59C0">
        <w:rPr>
          <w:rFonts w:ascii="Arial" w:hAnsi="Arial"/>
          <w:sz w:val="20"/>
        </w:rPr>
        <w:t xml:space="preserve"> </w:t>
      </w:r>
      <w:r w:rsidRPr="00EA59C0">
        <w:rPr>
          <w:rFonts w:ascii="Arial" w:hAnsi="Arial"/>
          <w:sz w:val="20"/>
        </w:rPr>
        <w:t>e-learning</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management</w:t>
      </w:r>
      <w:r w:rsidR="00C026A6" w:rsidRPr="00EA59C0">
        <w:rPr>
          <w:rFonts w:ascii="Arial" w:hAnsi="Arial"/>
          <w:sz w:val="20"/>
        </w:rPr>
        <w:t xml:space="preserve"> </w:t>
      </w:r>
      <w:r w:rsidRPr="00EA59C0">
        <w:rPr>
          <w:rFonts w:ascii="Arial" w:hAnsi="Arial"/>
          <w:sz w:val="20"/>
        </w:rPr>
        <w:t>system,</w:t>
      </w:r>
      <w:r w:rsidR="00C026A6" w:rsidRPr="00EA59C0">
        <w:rPr>
          <w:rFonts w:ascii="Arial" w:hAnsi="Arial"/>
          <w:sz w:val="20"/>
        </w:rPr>
        <w:t xml:space="preserve"> </w:t>
      </w:r>
      <w:r w:rsidRPr="00EA59C0">
        <w:rPr>
          <w:rFonts w:ascii="Arial" w:hAnsi="Arial"/>
          <w:sz w:val="20"/>
        </w:rPr>
        <w:t>built</w:t>
      </w:r>
      <w:r w:rsidR="00C026A6" w:rsidRPr="00EA59C0">
        <w:rPr>
          <w:rFonts w:ascii="Arial" w:hAnsi="Arial"/>
          <w:sz w:val="20"/>
        </w:rPr>
        <w:t xml:space="preserve"> </w:t>
      </w:r>
      <w:r w:rsidRPr="00EA59C0">
        <w:rPr>
          <w:rFonts w:ascii="Arial" w:hAnsi="Arial"/>
          <w:sz w:val="20"/>
        </w:rPr>
        <w:t>upon</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open</w:t>
      </w:r>
      <w:r w:rsidR="00C026A6" w:rsidRPr="00EA59C0">
        <w:rPr>
          <w:rFonts w:ascii="Arial" w:hAnsi="Arial"/>
          <w:sz w:val="20"/>
        </w:rPr>
        <w:t xml:space="preserve"> </w:t>
      </w:r>
      <w:r w:rsidRPr="00EA59C0">
        <w:rPr>
          <w:rFonts w:ascii="Arial" w:hAnsi="Arial"/>
          <w:sz w:val="20"/>
        </w:rPr>
        <w:t>source</w:t>
      </w:r>
      <w:r w:rsidR="00C026A6" w:rsidRPr="00EA59C0">
        <w:rPr>
          <w:rFonts w:ascii="Arial" w:hAnsi="Arial"/>
          <w:sz w:val="20"/>
        </w:rPr>
        <w:t xml:space="preserve"> </w:t>
      </w:r>
      <w:r w:rsidRPr="00EA59C0">
        <w:rPr>
          <w:rFonts w:ascii="Arial" w:hAnsi="Arial"/>
          <w:sz w:val="20"/>
        </w:rPr>
        <w:t>web-based</w:t>
      </w:r>
      <w:r w:rsidR="00C026A6" w:rsidRPr="00EA59C0">
        <w:rPr>
          <w:rFonts w:ascii="Arial" w:hAnsi="Arial"/>
          <w:sz w:val="20"/>
        </w:rPr>
        <w:t xml:space="preserve"> </w:t>
      </w:r>
      <w:r w:rsidRPr="00EA59C0">
        <w:rPr>
          <w:rFonts w:ascii="Arial" w:hAnsi="Arial"/>
          <w:sz w:val="20"/>
        </w:rPr>
        <w:t>learning</w:t>
      </w:r>
      <w:r w:rsidR="00C026A6" w:rsidRPr="00EA59C0">
        <w:rPr>
          <w:rFonts w:ascii="Arial" w:hAnsi="Arial"/>
          <w:sz w:val="20"/>
        </w:rPr>
        <w:t xml:space="preserve"> </w:t>
      </w:r>
      <w:r w:rsidRPr="00EA59C0">
        <w:rPr>
          <w:rFonts w:ascii="Arial" w:hAnsi="Arial"/>
          <w:sz w:val="20"/>
        </w:rPr>
        <w:t>management</w:t>
      </w:r>
      <w:r w:rsidR="00C026A6" w:rsidRPr="00EA59C0">
        <w:rPr>
          <w:rFonts w:ascii="Arial" w:hAnsi="Arial"/>
          <w:sz w:val="20"/>
        </w:rPr>
        <w:t xml:space="preserve"> </w:t>
      </w:r>
      <w:r w:rsidRPr="00EA59C0">
        <w:rPr>
          <w:rFonts w:ascii="Arial" w:hAnsi="Arial"/>
          <w:sz w:val="20"/>
        </w:rPr>
        <w:t>system,</w:t>
      </w:r>
      <w:r w:rsidR="00C026A6" w:rsidRPr="00EA59C0">
        <w:rPr>
          <w:rFonts w:ascii="Arial" w:hAnsi="Arial"/>
          <w:sz w:val="20"/>
        </w:rPr>
        <w:t xml:space="preserve"> </w:t>
      </w:r>
      <w:r w:rsidRPr="00EA59C0">
        <w:rPr>
          <w:rFonts w:ascii="Arial" w:hAnsi="Arial"/>
          <w:sz w:val="20"/>
        </w:rPr>
        <w:t>ILIAS.</w:t>
      </w:r>
      <w:r w:rsidR="00C026A6" w:rsidRPr="00EA59C0">
        <w:rPr>
          <w:rFonts w:ascii="Arial" w:hAnsi="Arial"/>
          <w:sz w:val="20"/>
        </w:rPr>
        <w:t xml:space="preserve"> </w:t>
      </w:r>
      <w:r w:rsidRPr="00EA59C0">
        <w:rPr>
          <w:rFonts w:ascii="Arial" w:hAnsi="Arial"/>
          <w:sz w:val="20"/>
        </w:rPr>
        <w:t>This</w:t>
      </w:r>
      <w:r w:rsidR="00C026A6" w:rsidRPr="00EA59C0">
        <w:rPr>
          <w:rFonts w:ascii="Arial" w:hAnsi="Arial"/>
          <w:sz w:val="20"/>
        </w:rPr>
        <w:t xml:space="preserve"> </w:t>
      </w:r>
      <w:r w:rsidRPr="00EA59C0">
        <w:rPr>
          <w:rFonts w:ascii="Arial" w:hAnsi="Arial"/>
          <w:sz w:val="20"/>
        </w:rPr>
        <w:t>allows</w:t>
      </w:r>
      <w:r w:rsidR="00C026A6" w:rsidRPr="00EA59C0">
        <w:rPr>
          <w:rFonts w:ascii="Arial" w:hAnsi="Arial"/>
          <w:sz w:val="20"/>
        </w:rPr>
        <w:t xml:space="preserve"> </w:t>
      </w:r>
      <w:r w:rsidRPr="00EA59C0">
        <w:rPr>
          <w:rFonts w:ascii="Arial" w:hAnsi="Arial"/>
          <w:sz w:val="20"/>
        </w:rPr>
        <w:t>instructors</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create</w:t>
      </w:r>
      <w:r w:rsidR="00C026A6" w:rsidRPr="00EA59C0">
        <w:rPr>
          <w:rFonts w:ascii="Arial" w:hAnsi="Arial"/>
          <w:sz w:val="20"/>
        </w:rPr>
        <w:t xml:space="preserve"> </w:t>
      </w:r>
      <w:r w:rsidRPr="00EA59C0">
        <w:rPr>
          <w:rFonts w:ascii="Arial" w:hAnsi="Arial"/>
          <w:sz w:val="20"/>
        </w:rPr>
        <w:t>online</w:t>
      </w:r>
      <w:r w:rsidR="00C026A6" w:rsidRPr="00EA59C0">
        <w:rPr>
          <w:rFonts w:ascii="Arial" w:hAnsi="Arial"/>
          <w:sz w:val="20"/>
        </w:rPr>
        <w:t xml:space="preserve"> </w:t>
      </w:r>
      <w:r w:rsidRPr="00EA59C0">
        <w:rPr>
          <w:rFonts w:ascii="Arial" w:hAnsi="Arial"/>
          <w:sz w:val="20"/>
        </w:rPr>
        <w:t>courses</w:t>
      </w:r>
      <w:r w:rsidR="00C026A6" w:rsidRPr="00EA59C0">
        <w:rPr>
          <w:rFonts w:ascii="Arial" w:hAnsi="Arial"/>
          <w:sz w:val="20"/>
        </w:rPr>
        <w:t xml:space="preserve"> </w:t>
      </w:r>
      <w:r w:rsidRPr="00EA59C0">
        <w:rPr>
          <w:rFonts w:ascii="Arial" w:hAnsi="Arial"/>
          <w:sz w:val="20"/>
        </w:rPr>
        <w:t>using:</w:t>
      </w:r>
      <w:r w:rsidR="00C026A6" w:rsidRPr="00EA59C0">
        <w:rPr>
          <w:rFonts w:ascii="Arial" w:hAnsi="Arial"/>
          <w:sz w:val="20"/>
        </w:rPr>
        <w:t xml:space="preserve"> </w:t>
      </w:r>
    </w:p>
    <w:p w:rsidR="008826BE" w:rsidRPr="00EA59C0" w:rsidRDefault="008826BE" w:rsidP="00080097">
      <w:pPr>
        <w:pStyle w:val="NoSpacing"/>
        <w:numPr>
          <w:ilvl w:val="0"/>
          <w:numId w:val="53"/>
        </w:numPr>
        <w:rPr>
          <w:rFonts w:ascii="Arial" w:hAnsi="Arial"/>
          <w:sz w:val="20"/>
        </w:rPr>
      </w:pPr>
      <w:r w:rsidRPr="00EA59C0">
        <w:rPr>
          <w:rFonts w:ascii="Arial" w:hAnsi="Arial"/>
          <w:sz w:val="20"/>
        </w:rPr>
        <w:t>PowerPoint</w:t>
      </w:r>
      <w:r w:rsidR="00C026A6" w:rsidRPr="00EA59C0">
        <w:rPr>
          <w:rFonts w:ascii="Arial" w:hAnsi="Arial"/>
          <w:sz w:val="20"/>
        </w:rPr>
        <w:t xml:space="preserve"> </w:t>
      </w:r>
      <w:r w:rsidRPr="00EA59C0">
        <w:rPr>
          <w:rFonts w:ascii="Arial" w:hAnsi="Arial"/>
          <w:sz w:val="20"/>
        </w:rPr>
        <w:t>files</w:t>
      </w:r>
    </w:p>
    <w:p w:rsidR="008826BE" w:rsidRPr="00EA59C0" w:rsidRDefault="008826BE" w:rsidP="00080097">
      <w:pPr>
        <w:pStyle w:val="NoSpacing"/>
        <w:numPr>
          <w:ilvl w:val="0"/>
          <w:numId w:val="53"/>
        </w:numPr>
        <w:rPr>
          <w:rFonts w:ascii="Arial" w:hAnsi="Arial"/>
          <w:sz w:val="20"/>
        </w:rPr>
      </w:pPr>
      <w:r w:rsidRPr="00EA59C0">
        <w:rPr>
          <w:rFonts w:ascii="Arial" w:hAnsi="Arial"/>
          <w:sz w:val="20"/>
        </w:rPr>
        <w:t>Movies</w:t>
      </w:r>
      <w:r w:rsidR="00C026A6" w:rsidRPr="00EA59C0">
        <w:rPr>
          <w:rFonts w:ascii="Arial" w:hAnsi="Arial"/>
          <w:sz w:val="20"/>
        </w:rPr>
        <w:t xml:space="preserve"> </w:t>
      </w:r>
      <w:r w:rsidRPr="00EA59C0">
        <w:rPr>
          <w:rFonts w:ascii="Arial" w:hAnsi="Arial"/>
          <w:sz w:val="20"/>
        </w:rPr>
        <w:t>or</w:t>
      </w:r>
      <w:r w:rsidR="00C026A6" w:rsidRPr="00EA59C0">
        <w:rPr>
          <w:rFonts w:ascii="Arial" w:hAnsi="Arial"/>
          <w:sz w:val="20"/>
        </w:rPr>
        <w:t xml:space="preserve"> </w:t>
      </w:r>
      <w:r w:rsidRPr="00EA59C0">
        <w:rPr>
          <w:rFonts w:ascii="Arial" w:hAnsi="Arial"/>
          <w:sz w:val="20"/>
        </w:rPr>
        <w:t>videos</w:t>
      </w:r>
    </w:p>
    <w:p w:rsidR="008826BE" w:rsidRPr="00EA59C0" w:rsidRDefault="008826BE" w:rsidP="00080097">
      <w:pPr>
        <w:pStyle w:val="NoSpacing"/>
        <w:numPr>
          <w:ilvl w:val="0"/>
          <w:numId w:val="53"/>
        </w:numPr>
        <w:rPr>
          <w:rFonts w:ascii="Arial" w:hAnsi="Arial"/>
          <w:sz w:val="20"/>
        </w:rPr>
      </w:pPr>
      <w:r w:rsidRPr="00EA59C0">
        <w:rPr>
          <w:rFonts w:ascii="Arial" w:hAnsi="Arial"/>
          <w:sz w:val="20"/>
        </w:rPr>
        <w:t>Pictures</w:t>
      </w:r>
    </w:p>
    <w:p w:rsidR="008826BE" w:rsidRPr="00EA59C0" w:rsidRDefault="008826BE" w:rsidP="00080097">
      <w:pPr>
        <w:pStyle w:val="NoSpacing"/>
        <w:numPr>
          <w:ilvl w:val="0"/>
          <w:numId w:val="53"/>
        </w:numPr>
        <w:rPr>
          <w:rFonts w:ascii="Arial" w:hAnsi="Arial"/>
          <w:sz w:val="20"/>
        </w:rPr>
      </w:pPr>
      <w:r w:rsidRPr="00EA59C0">
        <w:rPr>
          <w:rFonts w:ascii="Arial" w:hAnsi="Arial"/>
          <w:sz w:val="20"/>
        </w:rPr>
        <w:t>Tests/Quizzes</w:t>
      </w:r>
    </w:p>
    <w:p w:rsidR="008826BE" w:rsidRPr="00EA59C0" w:rsidRDefault="008826BE" w:rsidP="00080097">
      <w:pPr>
        <w:pStyle w:val="NoSpacing"/>
        <w:numPr>
          <w:ilvl w:val="0"/>
          <w:numId w:val="53"/>
        </w:numPr>
        <w:rPr>
          <w:rFonts w:ascii="Arial" w:hAnsi="Arial"/>
          <w:sz w:val="20"/>
        </w:rPr>
      </w:pPr>
      <w:r w:rsidRPr="00EA59C0">
        <w:rPr>
          <w:rFonts w:ascii="Arial" w:hAnsi="Arial"/>
          <w:sz w:val="20"/>
        </w:rPr>
        <w:t>Knowledge</w:t>
      </w:r>
      <w:r w:rsidR="00C026A6" w:rsidRPr="00EA59C0">
        <w:rPr>
          <w:rFonts w:ascii="Arial" w:hAnsi="Arial"/>
          <w:sz w:val="20"/>
        </w:rPr>
        <w:t xml:space="preserve"> </w:t>
      </w:r>
      <w:r w:rsidRPr="00EA59C0">
        <w:rPr>
          <w:rFonts w:ascii="Arial" w:hAnsi="Arial"/>
          <w:sz w:val="20"/>
        </w:rPr>
        <w:t>Checks</w:t>
      </w:r>
    </w:p>
    <w:p w:rsidR="008826BE" w:rsidRPr="00EA59C0" w:rsidRDefault="008826BE" w:rsidP="00080097">
      <w:pPr>
        <w:pStyle w:val="NoSpacing"/>
        <w:numPr>
          <w:ilvl w:val="0"/>
          <w:numId w:val="53"/>
        </w:numPr>
        <w:rPr>
          <w:rFonts w:ascii="Arial" w:hAnsi="Arial"/>
          <w:sz w:val="20"/>
        </w:rPr>
      </w:pPr>
      <w:r w:rsidRPr="00EA59C0">
        <w:rPr>
          <w:rFonts w:ascii="Arial" w:hAnsi="Arial"/>
          <w:sz w:val="20"/>
        </w:rPr>
        <w:t>3D</w:t>
      </w:r>
      <w:r w:rsidR="00C026A6" w:rsidRPr="00EA59C0">
        <w:rPr>
          <w:rFonts w:ascii="Arial" w:hAnsi="Arial"/>
          <w:sz w:val="20"/>
        </w:rPr>
        <w:t xml:space="preserve"> </w:t>
      </w:r>
      <w:r w:rsidRPr="00EA59C0">
        <w:rPr>
          <w:rFonts w:ascii="Arial" w:hAnsi="Arial"/>
          <w:sz w:val="20"/>
        </w:rPr>
        <w:t>Multimedia</w:t>
      </w:r>
    </w:p>
    <w:p w:rsidR="008826BE" w:rsidRPr="00EA59C0" w:rsidRDefault="008826BE" w:rsidP="00DB00BB">
      <w:pPr>
        <w:pStyle w:val="NoSpacing"/>
        <w:rPr>
          <w:rFonts w:ascii="Arial" w:hAnsi="Arial"/>
          <w:sz w:val="20"/>
        </w:rPr>
      </w:pPr>
      <w:r w:rsidRPr="00EA59C0">
        <w:rPr>
          <w:rFonts w:ascii="Arial" w:hAnsi="Arial"/>
          <w:sz w:val="20"/>
        </w:rPr>
        <w:t>Course</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packaged</w:t>
      </w:r>
      <w:r w:rsidR="00C026A6" w:rsidRPr="00EA59C0">
        <w:rPr>
          <w:rFonts w:ascii="Arial" w:hAnsi="Arial"/>
          <w:sz w:val="20"/>
        </w:rPr>
        <w:t xml:space="preserve"> </w:t>
      </w:r>
      <w:r w:rsidRPr="00EA59C0">
        <w:rPr>
          <w:rFonts w:ascii="Arial" w:hAnsi="Arial"/>
          <w:sz w:val="20"/>
        </w:rPr>
        <w:t>as</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Sharable</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Object</w:t>
      </w:r>
      <w:r w:rsidR="00C026A6" w:rsidRPr="00EA59C0">
        <w:rPr>
          <w:rFonts w:ascii="Arial" w:hAnsi="Arial"/>
          <w:sz w:val="20"/>
        </w:rPr>
        <w:t xml:space="preserve"> </w:t>
      </w:r>
      <w:r w:rsidRPr="00EA59C0">
        <w:rPr>
          <w:rFonts w:ascii="Arial" w:hAnsi="Arial"/>
          <w:sz w:val="20"/>
        </w:rPr>
        <w:t>Reference</w:t>
      </w:r>
      <w:r w:rsidR="00C026A6" w:rsidRPr="00EA59C0">
        <w:rPr>
          <w:rFonts w:ascii="Arial" w:hAnsi="Arial"/>
          <w:sz w:val="20"/>
        </w:rPr>
        <w:t xml:space="preserve"> </w:t>
      </w:r>
      <w:r w:rsidRPr="00EA59C0">
        <w:rPr>
          <w:rFonts w:ascii="Arial" w:hAnsi="Arial"/>
          <w:sz w:val="20"/>
        </w:rPr>
        <w:t>Model</w:t>
      </w:r>
      <w:r w:rsidR="00C026A6" w:rsidRPr="00EA59C0">
        <w:rPr>
          <w:rFonts w:ascii="Arial" w:hAnsi="Arial"/>
          <w:sz w:val="20"/>
        </w:rPr>
        <w:t xml:space="preserve"> </w:t>
      </w:r>
      <w:r w:rsidRPr="00EA59C0">
        <w:rPr>
          <w:rFonts w:ascii="Arial" w:hAnsi="Arial"/>
          <w:sz w:val="20"/>
        </w:rPr>
        <w:t>(SCORM)</w:t>
      </w:r>
      <w:r w:rsidR="00C026A6" w:rsidRPr="00EA59C0">
        <w:rPr>
          <w:rFonts w:ascii="Arial" w:hAnsi="Arial"/>
          <w:sz w:val="20"/>
        </w:rPr>
        <w:t xml:space="preserve"> </w:t>
      </w:r>
      <w:r w:rsidRPr="00EA59C0">
        <w:rPr>
          <w:rFonts w:ascii="Arial" w:hAnsi="Arial"/>
          <w:sz w:val="20"/>
        </w:rPr>
        <w:t>file.</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NTER</w:t>
      </w:r>
      <w:r w:rsidR="00C026A6" w:rsidRPr="00EA59C0">
        <w:rPr>
          <w:rFonts w:ascii="Arial" w:hAnsi="Arial"/>
          <w:sz w:val="20"/>
        </w:rPr>
        <w:t xml:space="preserve"> </w:t>
      </w:r>
      <w:r w:rsidRPr="00EA59C0">
        <w:rPr>
          <w:rFonts w:ascii="Arial" w:hAnsi="Arial"/>
          <w:sz w:val="20"/>
        </w:rPr>
        <w:t>learning</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management</w:t>
      </w:r>
      <w:r w:rsidR="00C026A6" w:rsidRPr="00EA59C0">
        <w:rPr>
          <w:rFonts w:ascii="Arial" w:hAnsi="Arial"/>
          <w:sz w:val="20"/>
        </w:rPr>
        <w:t xml:space="preserve"> </w:t>
      </w:r>
      <w:r w:rsidRPr="00EA59C0">
        <w:rPr>
          <w:rFonts w:ascii="Arial" w:hAnsi="Arial"/>
          <w:sz w:val="20"/>
        </w:rPr>
        <w:t>system</w:t>
      </w:r>
      <w:r w:rsidR="00C026A6" w:rsidRPr="00EA59C0">
        <w:rPr>
          <w:rFonts w:ascii="Arial" w:hAnsi="Arial"/>
          <w:sz w:val="20"/>
        </w:rPr>
        <w:t xml:space="preserve"> </w:t>
      </w:r>
      <w:r w:rsidRPr="00EA59C0">
        <w:rPr>
          <w:rFonts w:ascii="Arial" w:hAnsi="Arial"/>
          <w:sz w:val="20"/>
        </w:rPr>
        <w:t>was</w:t>
      </w:r>
      <w:r w:rsidR="00C026A6" w:rsidRPr="00EA59C0">
        <w:rPr>
          <w:rFonts w:ascii="Arial" w:hAnsi="Arial"/>
          <w:sz w:val="20"/>
        </w:rPr>
        <w:t xml:space="preserve"> </w:t>
      </w:r>
      <w:r w:rsidRPr="00EA59C0">
        <w:rPr>
          <w:rFonts w:ascii="Arial" w:hAnsi="Arial"/>
          <w:sz w:val="20"/>
        </w:rPr>
        <w:t>built</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enable</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utilization</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number</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web-based</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including</w:t>
      </w:r>
      <w:r w:rsidR="00C026A6" w:rsidRPr="00EA59C0">
        <w:rPr>
          <w:rFonts w:ascii="Arial" w:hAnsi="Arial"/>
          <w:sz w:val="20"/>
        </w:rPr>
        <w:t xml:space="preserve"> </w:t>
      </w:r>
      <w:r w:rsidRPr="00EA59C0">
        <w:rPr>
          <w:rFonts w:ascii="Arial" w:hAnsi="Arial"/>
          <w:sz w:val="20"/>
        </w:rPr>
        <w:t>2D</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3D</w:t>
      </w:r>
      <w:r w:rsidR="00C026A6" w:rsidRPr="00EA59C0">
        <w:rPr>
          <w:rFonts w:ascii="Arial" w:hAnsi="Arial"/>
          <w:sz w:val="20"/>
        </w:rPr>
        <w:t xml:space="preserve"> </w:t>
      </w:r>
      <w:r w:rsidRPr="00EA59C0">
        <w:rPr>
          <w:rFonts w:ascii="Arial" w:hAnsi="Arial"/>
          <w:sz w:val="20"/>
        </w:rPr>
        <w:t>simulations.</w:t>
      </w:r>
      <w:r w:rsidR="00C026A6" w:rsidRPr="00EA59C0">
        <w:rPr>
          <w:rFonts w:ascii="Arial" w:hAnsi="Arial"/>
          <w:sz w:val="20"/>
        </w:rPr>
        <w:t xml:space="preserve"> </w:t>
      </w:r>
      <w:r w:rsidRPr="00EA59C0">
        <w:rPr>
          <w:rFonts w:ascii="Arial" w:hAnsi="Arial"/>
          <w:sz w:val="20"/>
        </w:rPr>
        <w:t>Since</w:t>
      </w:r>
      <w:r w:rsidR="00C026A6" w:rsidRPr="00EA59C0">
        <w:rPr>
          <w:rFonts w:ascii="Arial" w:hAnsi="Arial"/>
          <w:sz w:val="20"/>
        </w:rPr>
        <w:t xml:space="preserve"> </w:t>
      </w:r>
      <w:r w:rsidRPr="00EA59C0">
        <w:rPr>
          <w:rFonts w:ascii="Arial" w:hAnsi="Arial"/>
          <w:sz w:val="20"/>
        </w:rPr>
        <w:t>all</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this</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web-based,</w:t>
      </w:r>
      <w:r w:rsidR="00C026A6" w:rsidRPr="00EA59C0">
        <w:rPr>
          <w:rFonts w:ascii="Arial" w:hAnsi="Arial"/>
          <w:sz w:val="20"/>
        </w:rPr>
        <w:t xml:space="preserve"> </w:t>
      </w:r>
      <w:r w:rsidRPr="00EA59C0">
        <w:rPr>
          <w:rFonts w:ascii="Arial" w:hAnsi="Arial"/>
          <w:sz w:val="20"/>
        </w:rPr>
        <w:t>NTER</w:t>
      </w:r>
      <w:r w:rsidR="00C026A6" w:rsidRPr="00EA59C0">
        <w:rPr>
          <w:rFonts w:ascii="Arial" w:hAnsi="Arial"/>
          <w:sz w:val="20"/>
        </w:rPr>
        <w:t xml:space="preserve"> </w:t>
      </w:r>
      <w:r w:rsidRPr="00EA59C0">
        <w:rPr>
          <w:rFonts w:ascii="Arial" w:hAnsi="Arial"/>
          <w:sz w:val="20"/>
        </w:rPr>
        <w:t>courses</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are</w:t>
      </w:r>
      <w:r w:rsidR="00C026A6" w:rsidRPr="00EA59C0">
        <w:rPr>
          <w:rFonts w:ascii="Arial" w:hAnsi="Arial"/>
          <w:sz w:val="20"/>
        </w:rPr>
        <w:t xml:space="preserve"> </w:t>
      </w:r>
      <w:r w:rsidRPr="00EA59C0">
        <w:rPr>
          <w:rFonts w:ascii="Arial" w:hAnsi="Arial"/>
          <w:sz w:val="20"/>
        </w:rPr>
        <w:t>editable</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playable</w:t>
      </w:r>
      <w:r w:rsidR="00C026A6" w:rsidRPr="00EA59C0">
        <w:rPr>
          <w:rFonts w:ascii="Arial" w:hAnsi="Arial"/>
          <w:sz w:val="20"/>
        </w:rPr>
        <w:t xml:space="preserve"> </w:t>
      </w:r>
      <w:r w:rsidRPr="00EA59C0">
        <w:rPr>
          <w:rFonts w:ascii="Arial" w:hAnsi="Arial"/>
          <w:sz w:val="20"/>
        </w:rPr>
        <w:t>wherever</w:t>
      </w:r>
      <w:r w:rsidR="00C026A6" w:rsidRPr="00EA59C0">
        <w:rPr>
          <w:rFonts w:ascii="Arial" w:hAnsi="Arial"/>
          <w:sz w:val="20"/>
        </w:rPr>
        <w:t xml:space="preserve"> </w:t>
      </w:r>
      <w:r w:rsidRPr="00EA59C0">
        <w:rPr>
          <w:rFonts w:ascii="Arial" w:hAnsi="Arial"/>
          <w:sz w:val="20"/>
        </w:rPr>
        <w:t>there</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access</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web</w:t>
      </w:r>
      <w:r w:rsidR="00C026A6" w:rsidRPr="00EA59C0">
        <w:rPr>
          <w:rFonts w:ascii="Arial" w:hAnsi="Arial"/>
          <w:sz w:val="20"/>
        </w:rPr>
        <w:t xml:space="preserve"> </w:t>
      </w:r>
      <w:r w:rsidRPr="00EA59C0">
        <w:rPr>
          <w:rFonts w:ascii="Arial" w:hAnsi="Arial"/>
          <w:sz w:val="20"/>
        </w:rPr>
        <w:t>browser.</w:t>
      </w:r>
      <w:r w:rsidR="00C026A6" w:rsidRPr="00EA59C0">
        <w:rPr>
          <w:rFonts w:ascii="Arial" w:hAnsi="Arial"/>
          <w:sz w:val="20"/>
        </w:rPr>
        <w:t xml:space="preserve"> </w:t>
      </w:r>
    </w:p>
    <w:p w:rsidR="008826BE" w:rsidRPr="00EA59C0" w:rsidRDefault="008826BE" w:rsidP="00DB00BB">
      <w:pPr>
        <w:pStyle w:val="NoSpacing"/>
        <w:rPr>
          <w:rFonts w:ascii="Arial" w:hAnsi="Arial"/>
          <w:sz w:val="20"/>
        </w:rPr>
      </w:pPr>
    </w:p>
    <w:p w:rsidR="008826BE" w:rsidRPr="00EA59C0" w:rsidRDefault="008826BE" w:rsidP="00DB00BB">
      <w:pPr>
        <w:pStyle w:val="NoSpacing"/>
        <w:rPr>
          <w:rFonts w:ascii="Arial" w:hAnsi="Arial"/>
          <w:b/>
          <w:sz w:val="20"/>
        </w:rPr>
      </w:pPr>
      <w:r w:rsidRPr="00EA59C0">
        <w:rPr>
          <w:rFonts w:ascii="Arial" w:hAnsi="Arial"/>
          <w:b/>
          <w:sz w:val="20"/>
        </w:rPr>
        <w:t>NTER</w:t>
      </w:r>
      <w:r w:rsidR="00C026A6" w:rsidRPr="00EA59C0">
        <w:rPr>
          <w:rFonts w:ascii="Arial" w:hAnsi="Arial"/>
          <w:b/>
          <w:sz w:val="20"/>
        </w:rPr>
        <w:t xml:space="preserve"> </w:t>
      </w:r>
      <w:r w:rsidRPr="00EA59C0">
        <w:rPr>
          <w:rFonts w:ascii="Arial" w:hAnsi="Arial"/>
          <w:b/>
          <w:sz w:val="20"/>
        </w:rPr>
        <w:t>can</w:t>
      </w:r>
      <w:r w:rsidR="00C026A6" w:rsidRPr="00EA59C0">
        <w:rPr>
          <w:rFonts w:ascii="Arial" w:hAnsi="Arial"/>
          <w:b/>
          <w:sz w:val="20"/>
        </w:rPr>
        <w:t xml:space="preserve"> </w:t>
      </w:r>
      <w:r w:rsidRPr="00EA59C0">
        <w:rPr>
          <w:rFonts w:ascii="Arial" w:hAnsi="Arial"/>
          <w:b/>
          <w:sz w:val="20"/>
        </w:rPr>
        <w:t>be</w:t>
      </w:r>
      <w:r w:rsidR="00C026A6" w:rsidRPr="00EA59C0">
        <w:rPr>
          <w:rFonts w:ascii="Arial" w:hAnsi="Arial"/>
          <w:b/>
          <w:sz w:val="20"/>
        </w:rPr>
        <w:t xml:space="preserve"> </w:t>
      </w:r>
      <w:r w:rsidRPr="00EA59C0">
        <w:rPr>
          <w:rFonts w:ascii="Arial" w:hAnsi="Arial"/>
          <w:b/>
          <w:sz w:val="20"/>
        </w:rPr>
        <w:t>used</w:t>
      </w:r>
      <w:r w:rsidR="00C026A6" w:rsidRPr="00EA59C0">
        <w:rPr>
          <w:rFonts w:ascii="Arial" w:hAnsi="Arial"/>
          <w:b/>
          <w:sz w:val="20"/>
        </w:rPr>
        <w:t xml:space="preserve"> </w:t>
      </w:r>
      <w:r w:rsidRPr="00EA59C0">
        <w:rPr>
          <w:rFonts w:ascii="Arial" w:hAnsi="Arial"/>
          <w:b/>
          <w:sz w:val="20"/>
        </w:rPr>
        <w:t>to</w:t>
      </w:r>
      <w:r w:rsidR="00C026A6" w:rsidRPr="00EA59C0">
        <w:rPr>
          <w:rFonts w:ascii="Arial" w:hAnsi="Arial"/>
          <w:b/>
          <w:sz w:val="20"/>
        </w:rPr>
        <w:t xml:space="preserve"> </w:t>
      </w:r>
      <w:r w:rsidRPr="00EA59C0">
        <w:rPr>
          <w:rFonts w:ascii="Arial" w:hAnsi="Arial"/>
          <w:b/>
          <w:sz w:val="20"/>
        </w:rPr>
        <w:t>deliver</w:t>
      </w:r>
      <w:r w:rsidR="00C026A6" w:rsidRPr="00EA59C0">
        <w:rPr>
          <w:rFonts w:ascii="Arial" w:hAnsi="Arial"/>
          <w:b/>
          <w:sz w:val="20"/>
        </w:rPr>
        <w:t xml:space="preserve"> </w:t>
      </w:r>
      <w:r w:rsidRPr="00EA59C0">
        <w:rPr>
          <w:rFonts w:ascii="Arial" w:hAnsi="Arial"/>
          <w:b/>
          <w:sz w:val="20"/>
        </w:rPr>
        <w:t>content</w:t>
      </w:r>
      <w:r w:rsidR="00C026A6" w:rsidRPr="00EA59C0">
        <w:rPr>
          <w:rFonts w:ascii="Arial" w:hAnsi="Arial"/>
          <w:b/>
          <w:sz w:val="20"/>
        </w:rPr>
        <w:t xml:space="preserve"> </w:t>
      </w:r>
      <w:r w:rsidRPr="00EA59C0">
        <w:rPr>
          <w:rFonts w:ascii="Arial" w:hAnsi="Arial"/>
          <w:b/>
          <w:sz w:val="20"/>
        </w:rPr>
        <w:t>within,</w:t>
      </w:r>
      <w:r w:rsidR="00C026A6" w:rsidRPr="00EA59C0">
        <w:rPr>
          <w:rFonts w:ascii="Arial" w:hAnsi="Arial"/>
          <w:b/>
          <w:sz w:val="20"/>
        </w:rPr>
        <w:t xml:space="preserve"> </w:t>
      </w:r>
      <w:r w:rsidRPr="00EA59C0">
        <w:rPr>
          <w:rFonts w:ascii="Arial" w:hAnsi="Arial"/>
          <w:b/>
          <w:sz w:val="20"/>
        </w:rPr>
        <w:t>across,</w:t>
      </w:r>
      <w:r w:rsidR="00C026A6" w:rsidRPr="00EA59C0">
        <w:rPr>
          <w:rFonts w:ascii="Arial" w:hAnsi="Arial"/>
          <w:b/>
          <w:sz w:val="20"/>
        </w:rPr>
        <w:t xml:space="preserve"> </w:t>
      </w:r>
      <w:r w:rsidRPr="00EA59C0">
        <w:rPr>
          <w:rFonts w:ascii="Arial" w:hAnsi="Arial"/>
          <w:b/>
          <w:sz w:val="20"/>
        </w:rPr>
        <w:t>and</w:t>
      </w:r>
      <w:r w:rsidR="00C026A6" w:rsidRPr="00EA59C0">
        <w:rPr>
          <w:rFonts w:ascii="Arial" w:hAnsi="Arial"/>
          <w:b/>
          <w:sz w:val="20"/>
        </w:rPr>
        <w:t xml:space="preserve"> </w:t>
      </w:r>
      <w:r w:rsidRPr="00EA59C0">
        <w:rPr>
          <w:rFonts w:ascii="Arial" w:hAnsi="Arial"/>
          <w:b/>
          <w:sz w:val="20"/>
        </w:rPr>
        <w:t>outside</w:t>
      </w:r>
      <w:r w:rsidR="00C026A6" w:rsidRPr="00EA59C0">
        <w:rPr>
          <w:rFonts w:ascii="Arial" w:hAnsi="Arial"/>
          <w:b/>
          <w:sz w:val="20"/>
        </w:rPr>
        <w:t xml:space="preserve"> </w:t>
      </w:r>
      <w:r w:rsidRPr="00EA59C0">
        <w:rPr>
          <w:rFonts w:ascii="Arial" w:hAnsi="Arial"/>
          <w:b/>
          <w:sz w:val="20"/>
        </w:rPr>
        <w:t>of</w:t>
      </w:r>
      <w:r w:rsidR="00C026A6" w:rsidRPr="00EA59C0">
        <w:rPr>
          <w:rFonts w:ascii="Arial" w:hAnsi="Arial"/>
          <w:b/>
          <w:sz w:val="20"/>
        </w:rPr>
        <w:t xml:space="preserve"> </w:t>
      </w:r>
      <w:r w:rsidRPr="00EA59C0">
        <w:rPr>
          <w:rFonts w:ascii="Arial" w:hAnsi="Arial"/>
          <w:b/>
          <w:sz w:val="20"/>
        </w:rPr>
        <w:t>your</w:t>
      </w:r>
      <w:r w:rsidR="00C026A6" w:rsidRPr="00EA59C0">
        <w:rPr>
          <w:rFonts w:ascii="Arial" w:hAnsi="Arial"/>
          <w:b/>
          <w:sz w:val="20"/>
        </w:rPr>
        <w:t xml:space="preserve"> </w:t>
      </w:r>
      <w:r w:rsidRPr="00EA59C0">
        <w:rPr>
          <w:rFonts w:ascii="Arial" w:hAnsi="Arial"/>
          <w:b/>
          <w:sz w:val="20"/>
        </w:rPr>
        <w:t>institution</w:t>
      </w:r>
    </w:p>
    <w:p w:rsidR="008826BE" w:rsidRPr="00EA59C0" w:rsidRDefault="008826BE" w:rsidP="00DB00BB">
      <w:pPr>
        <w:pStyle w:val="NoSpacing"/>
        <w:rPr>
          <w:rFonts w:ascii="Arial" w:hAnsi="Arial"/>
          <w:sz w:val="20"/>
        </w:rPr>
      </w:pPr>
      <w:r w:rsidRPr="00EA59C0">
        <w:rPr>
          <w:rFonts w:ascii="Arial" w:hAnsi="Arial"/>
          <w:sz w:val="20"/>
        </w:rPr>
        <w:t>The</w:t>
      </w:r>
      <w:r w:rsidR="00C026A6" w:rsidRPr="00EA59C0">
        <w:rPr>
          <w:rFonts w:ascii="Arial" w:hAnsi="Arial"/>
          <w:sz w:val="20"/>
        </w:rPr>
        <w:t xml:space="preserve"> </w:t>
      </w:r>
      <w:r w:rsidRPr="00EA59C0">
        <w:rPr>
          <w:rFonts w:ascii="Arial" w:hAnsi="Arial"/>
          <w:sz w:val="20"/>
        </w:rPr>
        <w:t>key</w:t>
      </w:r>
      <w:r w:rsidR="00C026A6" w:rsidRPr="00EA59C0">
        <w:rPr>
          <w:rFonts w:ascii="Arial" w:hAnsi="Arial"/>
          <w:sz w:val="20"/>
        </w:rPr>
        <w:t xml:space="preserve"> </w:t>
      </w:r>
      <w:r w:rsidRPr="00EA59C0">
        <w:rPr>
          <w:rFonts w:ascii="Arial" w:hAnsi="Arial"/>
          <w:sz w:val="20"/>
        </w:rPr>
        <w:t>component</w:t>
      </w:r>
      <w:r w:rsidR="00C026A6" w:rsidRPr="00EA59C0">
        <w:rPr>
          <w:rFonts w:ascii="Arial" w:hAnsi="Arial"/>
          <w:sz w:val="20"/>
        </w:rPr>
        <w:t xml:space="preserve"> </w:t>
      </w:r>
      <w:r w:rsidRPr="00EA59C0">
        <w:rPr>
          <w:rFonts w:ascii="Arial" w:hAnsi="Arial"/>
          <w:sz w:val="20"/>
        </w:rPr>
        <w:t>built</w:t>
      </w:r>
      <w:r w:rsidR="00C026A6" w:rsidRPr="00EA59C0">
        <w:rPr>
          <w:rFonts w:ascii="Arial" w:hAnsi="Arial"/>
          <w:sz w:val="20"/>
        </w:rPr>
        <w:t xml:space="preserve"> </w:t>
      </w:r>
      <w:r w:rsidRPr="00EA59C0">
        <w:rPr>
          <w:rFonts w:ascii="Arial" w:hAnsi="Arial"/>
          <w:sz w:val="20"/>
        </w:rPr>
        <w:t>into</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NTER</w:t>
      </w:r>
      <w:r w:rsidR="00C026A6" w:rsidRPr="00EA59C0">
        <w:rPr>
          <w:rFonts w:ascii="Arial" w:hAnsi="Arial"/>
          <w:sz w:val="20"/>
        </w:rPr>
        <w:t xml:space="preserve"> </w:t>
      </w:r>
      <w:r w:rsidRPr="00EA59C0">
        <w:rPr>
          <w:rFonts w:ascii="Arial" w:hAnsi="Arial"/>
          <w:sz w:val="20"/>
        </w:rPr>
        <w:t>platform</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course</w:t>
      </w:r>
      <w:r w:rsidR="00C026A6" w:rsidRPr="00EA59C0">
        <w:rPr>
          <w:rFonts w:ascii="Arial" w:hAnsi="Arial"/>
          <w:sz w:val="20"/>
        </w:rPr>
        <w:t xml:space="preserve"> </w:t>
      </w:r>
      <w:r w:rsidRPr="00EA59C0">
        <w:rPr>
          <w:rFonts w:ascii="Arial" w:hAnsi="Arial"/>
          <w:sz w:val="20"/>
        </w:rPr>
        <w:t>catalogue</w:t>
      </w:r>
      <w:r w:rsidR="00C026A6" w:rsidRPr="00EA59C0">
        <w:rPr>
          <w:rFonts w:ascii="Arial" w:hAnsi="Arial"/>
          <w:sz w:val="20"/>
        </w:rPr>
        <w:t xml:space="preserve"> </w:t>
      </w:r>
      <w:r w:rsidRPr="00EA59C0">
        <w:rPr>
          <w:rFonts w:ascii="Arial" w:hAnsi="Arial"/>
          <w:sz w:val="20"/>
        </w:rPr>
        <w:t>feature</w:t>
      </w:r>
      <w:r w:rsidR="00C026A6" w:rsidRPr="00EA59C0">
        <w:rPr>
          <w:rFonts w:ascii="Arial" w:hAnsi="Arial"/>
          <w:sz w:val="20"/>
        </w:rPr>
        <w:t xml:space="preserve"> </w:t>
      </w:r>
      <w:r w:rsidRPr="00EA59C0">
        <w:rPr>
          <w:rFonts w:ascii="Arial" w:hAnsi="Arial"/>
          <w:sz w:val="20"/>
        </w:rPr>
        <w:t>that</w:t>
      </w:r>
      <w:r w:rsidR="00C026A6" w:rsidRPr="00EA59C0">
        <w:rPr>
          <w:rFonts w:ascii="Arial" w:hAnsi="Arial"/>
          <w:sz w:val="20"/>
        </w:rPr>
        <w:t xml:space="preserve"> </w:t>
      </w:r>
      <w:r w:rsidRPr="00EA59C0">
        <w:rPr>
          <w:rFonts w:ascii="Arial" w:hAnsi="Arial"/>
          <w:sz w:val="20"/>
        </w:rPr>
        <w:t>allows</w:t>
      </w:r>
      <w:r w:rsidR="00C026A6" w:rsidRPr="00EA59C0">
        <w:rPr>
          <w:rFonts w:ascii="Arial" w:hAnsi="Arial"/>
          <w:sz w:val="20"/>
        </w:rPr>
        <w:t xml:space="preserve"> </w:t>
      </w:r>
      <w:r w:rsidRPr="00EA59C0">
        <w:rPr>
          <w:rFonts w:ascii="Arial" w:hAnsi="Arial"/>
          <w:sz w:val="20"/>
        </w:rPr>
        <w:t>for</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sharing</w:t>
      </w:r>
      <w:r w:rsidR="00C026A6" w:rsidRPr="00EA59C0">
        <w:rPr>
          <w:rFonts w:ascii="Arial" w:hAnsi="Arial"/>
          <w:sz w:val="20"/>
        </w:rPr>
        <w:t xml:space="preserve"> </w:t>
      </w:r>
      <w:r w:rsidRPr="00EA59C0">
        <w:rPr>
          <w:rFonts w:ascii="Arial" w:hAnsi="Arial"/>
          <w:sz w:val="20"/>
        </w:rPr>
        <w:t>across</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outside</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institutions</w:t>
      </w:r>
      <w:r w:rsidR="00C026A6" w:rsidRPr="00EA59C0">
        <w:rPr>
          <w:rFonts w:ascii="Arial" w:hAnsi="Arial"/>
          <w:sz w:val="20"/>
        </w:rPr>
        <w:t xml:space="preserve"> </w:t>
      </w:r>
      <w:r w:rsidRPr="00EA59C0">
        <w:rPr>
          <w:rFonts w:ascii="Arial" w:hAnsi="Arial"/>
          <w:sz w:val="20"/>
        </w:rPr>
        <w:t>through</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integrated</w:t>
      </w:r>
      <w:r w:rsidR="00C026A6" w:rsidRPr="00EA59C0">
        <w:rPr>
          <w:rFonts w:ascii="Arial" w:hAnsi="Arial"/>
          <w:sz w:val="20"/>
        </w:rPr>
        <w:t xml:space="preserve"> </w:t>
      </w:r>
      <w:r w:rsidRPr="00EA59C0">
        <w:rPr>
          <w:rFonts w:ascii="Arial" w:hAnsi="Arial"/>
          <w:sz w:val="20"/>
        </w:rPr>
        <w:t>open</w:t>
      </w:r>
      <w:r w:rsidR="00C026A6" w:rsidRPr="00EA59C0">
        <w:rPr>
          <w:rFonts w:ascii="Arial" w:hAnsi="Arial"/>
          <w:sz w:val="20"/>
        </w:rPr>
        <w:t xml:space="preserve"> </w:t>
      </w:r>
      <w:r w:rsidRPr="00EA59C0">
        <w:rPr>
          <w:rFonts w:ascii="Arial" w:hAnsi="Arial"/>
          <w:sz w:val="20"/>
        </w:rPr>
        <w:t>source</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management</w:t>
      </w:r>
      <w:r w:rsidR="00C026A6" w:rsidRPr="00EA59C0">
        <w:rPr>
          <w:rFonts w:ascii="Arial" w:hAnsi="Arial"/>
          <w:sz w:val="20"/>
        </w:rPr>
        <w:t xml:space="preserve"> </w:t>
      </w:r>
      <w:r w:rsidRPr="00EA59C0">
        <w:rPr>
          <w:rFonts w:ascii="Arial" w:hAnsi="Arial"/>
          <w:sz w:val="20"/>
        </w:rPr>
        <w:t>web</w:t>
      </w:r>
      <w:r w:rsidR="00C026A6" w:rsidRPr="00EA59C0">
        <w:rPr>
          <w:rFonts w:ascii="Arial" w:hAnsi="Arial"/>
          <w:sz w:val="20"/>
        </w:rPr>
        <w:t xml:space="preserve"> </w:t>
      </w:r>
      <w:r w:rsidRPr="00EA59C0">
        <w:rPr>
          <w:rFonts w:ascii="Arial" w:hAnsi="Arial"/>
          <w:sz w:val="20"/>
        </w:rPr>
        <w:t>portal.</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web</w:t>
      </w:r>
      <w:r w:rsidR="00C026A6" w:rsidRPr="00EA59C0">
        <w:rPr>
          <w:rFonts w:ascii="Arial" w:hAnsi="Arial"/>
          <w:sz w:val="20"/>
        </w:rPr>
        <w:t xml:space="preserve"> </w:t>
      </w:r>
      <w:r w:rsidRPr="00EA59C0">
        <w:rPr>
          <w:rFonts w:ascii="Arial" w:hAnsi="Arial"/>
          <w:sz w:val="20"/>
        </w:rPr>
        <w:t>portal</w:t>
      </w:r>
      <w:r w:rsidR="00C026A6" w:rsidRPr="00EA59C0">
        <w:rPr>
          <w:rFonts w:ascii="Arial" w:hAnsi="Arial"/>
          <w:sz w:val="20"/>
        </w:rPr>
        <w:t xml:space="preserve"> </w:t>
      </w:r>
      <w:r w:rsidRPr="00EA59C0">
        <w:rPr>
          <w:rFonts w:ascii="Arial" w:hAnsi="Arial"/>
          <w:sz w:val="20"/>
        </w:rPr>
        <w:t>also</w:t>
      </w:r>
      <w:r w:rsidR="00C026A6" w:rsidRPr="00EA59C0">
        <w:rPr>
          <w:rFonts w:ascii="Arial" w:hAnsi="Arial"/>
          <w:sz w:val="20"/>
        </w:rPr>
        <w:t xml:space="preserve"> </w:t>
      </w:r>
      <w:r w:rsidRPr="00EA59C0">
        <w:rPr>
          <w:rFonts w:ascii="Arial" w:hAnsi="Arial"/>
          <w:sz w:val="20"/>
        </w:rPr>
        <w:t>allows</w:t>
      </w:r>
      <w:r w:rsidR="00C026A6" w:rsidRPr="00EA59C0">
        <w:rPr>
          <w:rFonts w:ascii="Arial" w:hAnsi="Arial"/>
          <w:sz w:val="20"/>
        </w:rPr>
        <w:t xml:space="preserve"> </w:t>
      </w:r>
      <w:r w:rsidRPr="00EA59C0">
        <w:rPr>
          <w:rFonts w:ascii="Arial" w:hAnsi="Arial"/>
          <w:sz w:val="20"/>
        </w:rPr>
        <w:t>for</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customizable</w:t>
      </w:r>
      <w:r w:rsidR="00C026A6" w:rsidRPr="00EA59C0">
        <w:rPr>
          <w:rFonts w:ascii="Arial" w:hAnsi="Arial"/>
          <w:sz w:val="20"/>
        </w:rPr>
        <w:t xml:space="preserve"> </w:t>
      </w:r>
      <w:r w:rsidRPr="00EA59C0">
        <w:rPr>
          <w:rFonts w:ascii="Arial" w:hAnsi="Arial"/>
          <w:sz w:val="20"/>
        </w:rPr>
        <w:t>web</w:t>
      </w:r>
      <w:r w:rsidR="00C026A6" w:rsidRPr="00EA59C0">
        <w:rPr>
          <w:rFonts w:ascii="Arial" w:hAnsi="Arial"/>
          <w:sz w:val="20"/>
        </w:rPr>
        <w:t xml:space="preserve"> </w:t>
      </w:r>
      <w:r w:rsidRPr="00EA59C0">
        <w:rPr>
          <w:rFonts w:ascii="Arial" w:hAnsi="Arial"/>
          <w:sz w:val="20"/>
        </w:rPr>
        <w:t>presence</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branding</w:t>
      </w:r>
      <w:r w:rsidR="00C026A6" w:rsidRPr="00EA59C0">
        <w:rPr>
          <w:rFonts w:ascii="Arial" w:hAnsi="Arial"/>
          <w:sz w:val="20"/>
        </w:rPr>
        <w:t xml:space="preserve"> </w:t>
      </w:r>
      <w:r w:rsidRPr="00EA59C0">
        <w:rPr>
          <w:rFonts w:ascii="Arial" w:hAnsi="Arial"/>
          <w:sz w:val="20"/>
        </w:rPr>
        <w:t>by</w:t>
      </w:r>
      <w:r w:rsidR="00C026A6" w:rsidRPr="00EA59C0">
        <w:rPr>
          <w:rFonts w:ascii="Arial" w:hAnsi="Arial"/>
          <w:sz w:val="20"/>
        </w:rPr>
        <w:t xml:space="preserve"> </w:t>
      </w:r>
      <w:r w:rsidRPr="00EA59C0">
        <w:rPr>
          <w:rFonts w:ascii="Arial" w:hAnsi="Arial"/>
          <w:sz w:val="20"/>
        </w:rPr>
        <w:t>institutions.</w:t>
      </w:r>
      <w:r w:rsidR="00C026A6" w:rsidRPr="00EA59C0">
        <w:rPr>
          <w:rFonts w:ascii="Arial" w:hAnsi="Arial"/>
          <w:sz w:val="20"/>
        </w:rPr>
        <w:t xml:space="preserve"> </w:t>
      </w:r>
      <w:r w:rsidRPr="00EA59C0">
        <w:rPr>
          <w:rFonts w:ascii="Arial" w:hAnsi="Arial"/>
          <w:sz w:val="20"/>
        </w:rPr>
        <w:t>Designed</w:t>
      </w:r>
      <w:r w:rsidR="00C026A6" w:rsidRPr="00EA59C0">
        <w:rPr>
          <w:rFonts w:ascii="Arial" w:hAnsi="Arial"/>
          <w:sz w:val="20"/>
        </w:rPr>
        <w:t xml:space="preserve"> </w:t>
      </w:r>
      <w:r w:rsidRPr="00EA59C0">
        <w:rPr>
          <w:rFonts w:ascii="Arial" w:hAnsi="Arial"/>
          <w:sz w:val="20"/>
        </w:rPr>
        <w:t>with</w:t>
      </w:r>
      <w:r w:rsidR="00C026A6" w:rsidRPr="00EA59C0">
        <w:rPr>
          <w:rFonts w:ascii="Arial" w:hAnsi="Arial"/>
          <w:sz w:val="20"/>
        </w:rPr>
        <w:t xml:space="preserve"> </w:t>
      </w:r>
      <w:r w:rsidRPr="00EA59C0">
        <w:rPr>
          <w:rFonts w:ascii="Arial" w:hAnsi="Arial"/>
          <w:sz w:val="20"/>
        </w:rPr>
        <w:t>connectivity</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sharing</w:t>
      </w:r>
      <w:r w:rsidR="00C026A6" w:rsidRPr="00EA59C0">
        <w:rPr>
          <w:rFonts w:ascii="Arial" w:hAnsi="Arial"/>
          <w:sz w:val="20"/>
        </w:rPr>
        <w:t xml:space="preserve"> </w:t>
      </w:r>
      <w:r w:rsidRPr="00EA59C0">
        <w:rPr>
          <w:rFonts w:ascii="Arial" w:hAnsi="Arial"/>
          <w:sz w:val="20"/>
        </w:rPr>
        <w:t>in</w:t>
      </w:r>
      <w:r w:rsidR="00C026A6" w:rsidRPr="00EA59C0">
        <w:rPr>
          <w:rFonts w:ascii="Arial" w:hAnsi="Arial"/>
          <w:sz w:val="20"/>
        </w:rPr>
        <w:t xml:space="preserve"> </w:t>
      </w:r>
      <w:r w:rsidRPr="00EA59C0">
        <w:rPr>
          <w:rFonts w:ascii="Arial" w:hAnsi="Arial"/>
          <w:sz w:val="20"/>
        </w:rPr>
        <w:t>mind,</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portal</w:t>
      </w:r>
      <w:r w:rsidR="00C026A6" w:rsidRPr="00EA59C0">
        <w:rPr>
          <w:rFonts w:ascii="Arial" w:hAnsi="Arial"/>
          <w:sz w:val="20"/>
        </w:rPr>
        <w:t xml:space="preserve"> </w:t>
      </w:r>
      <w:r w:rsidRPr="00EA59C0">
        <w:rPr>
          <w:rFonts w:ascii="Arial" w:hAnsi="Arial"/>
          <w:sz w:val="20"/>
        </w:rPr>
        <w:t>creates</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secure</w:t>
      </w:r>
      <w:r w:rsidR="00C026A6" w:rsidRPr="00EA59C0">
        <w:rPr>
          <w:rFonts w:ascii="Arial" w:hAnsi="Arial"/>
          <w:sz w:val="20"/>
        </w:rPr>
        <w:t xml:space="preserve"> </w:t>
      </w:r>
      <w:r w:rsidRPr="00EA59C0">
        <w:rPr>
          <w:rFonts w:ascii="Arial" w:hAnsi="Arial"/>
          <w:sz w:val="20"/>
        </w:rPr>
        <w:t>network</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institutions</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courses</w:t>
      </w:r>
      <w:r w:rsidR="00C026A6" w:rsidRPr="00EA59C0">
        <w:rPr>
          <w:rFonts w:ascii="Arial" w:hAnsi="Arial"/>
          <w:sz w:val="20"/>
        </w:rPr>
        <w:t xml:space="preserve"> </w:t>
      </w:r>
      <w:r w:rsidRPr="00EA59C0">
        <w:rPr>
          <w:rFonts w:ascii="Arial" w:hAnsi="Arial"/>
          <w:sz w:val="20"/>
        </w:rPr>
        <w:t>that</w:t>
      </w:r>
      <w:r w:rsidR="00C026A6" w:rsidRPr="00EA59C0">
        <w:rPr>
          <w:rFonts w:ascii="Arial" w:hAnsi="Arial"/>
          <w:sz w:val="20"/>
        </w:rPr>
        <w:t xml:space="preserve"> </w:t>
      </w:r>
      <w:r w:rsidRPr="00EA59C0">
        <w:rPr>
          <w:rFonts w:ascii="Arial" w:hAnsi="Arial"/>
          <w:sz w:val="20"/>
        </w:rPr>
        <w:t>are</w:t>
      </w:r>
      <w:r w:rsidR="00C026A6" w:rsidRPr="00EA59C0">
        <w:rPr>
          <w:rFonts w:ascii="Arial" w:hAnsi="Arial"/>
          <w:sz w:val="20"/>
        </w:rPr>
        <w:t xml:space="preserve"> </w:t>
      </w:r>
      <w:r w:rsidRPr="00EA59C0">
        <w:rPr>
          <w:rFonts w:ascii="Arial" w:hAnsi="Arial"/>
          <w:sz w:val="20"/>
        </w:rPr>
        <w:t>searchable,</w:t>
      </w:r>
      <w:r w:rsidR="00C026A6" w:rsidRPr="00EA59C0">
        <w:rPr>
          <w:rFonts w:ascii="Arial" w:hAnsi="Arial"/>
          <w:sz w:val="20"/>
        </w:rPr>
        <w:t xml:space="preserve"> </w:t>
      </w:r>
      <w:r w:rsidRPr="00EA59C0">
        <w:rPr>
          <w:rFonts w:ascii="Arial" w:hAnsi="Arial"/>
          <w:sz w:val="20"/>
        </w:rPr>
        <w:t>dramatically</w:t>
      </w:r>
      <w:r w:rsidR="00C026A6" w:rsidRPr="00EA59C0">
        <w:rPr>
          <w:rFonts w:ascii="Arial" w:hAnsi="Arial"/>
          <w:sz w:val="20"/>
        </w:rPr>
        <w:t xml:space="preserve"> </w:t>
      </w:r>
      <w:r w:rsidRPr="00EA59C0">
        <w:rPr>
          <w:rFonts w:ascii="Arial" w:hAnsi="Arial"/>
          <w:sz w:val="20"/>
        </w:rPr>
        <w:t>increasing</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visibility</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NTER</w:t>
      </w:r>
      <w:r w:rsidR="00C026A6" w:rsidRPr="00EA59C0">
        <w:rPr>
          <w:rFonts w:ascii="Arial" w:hAnsi="Arial"/>
          <w:sz w:val="20"/>
        </w:rPr>
        <w:t xml:space="preserve"> </w:t>
      </w:r>
      <w:r w:rsidRPr="00EA59C0">
        <w:rPr>
          <w:rFonts w:ascii="Arial" w:hAnsi="Arial"/>
          <w:sz w:val="20"/>
        </w:rPr>
        <w:t>also</w:t>
      </w:r>
      <w:r w:rsidR="00C026A6" w:rsidRPr="00EA59C0">
        <w:rPr>
          <w:rFonts w:ascii="Arial" w:hAnsi="Arial"/>
          <w:sz w:val="20"/>
        </w:rPr>
        <w:t xml:space="preserve"> </w:t>
      </w:r>
      <w:r w:rsidRPr="00EA59C0">
        <w:rPr>
          <w:rFonts w:ascii="Arial" w:hAnsi="Arial"/>
          <w:sz w:val="20"/>
        </w:rPr>
        <w:t>encourages</w:t>
      </w:r>
      <w:r w:rsidR="00C026A6" w:rsidRPr="00EA59C0">
        <w:rPr>
          <w:rFonts w:ascii="Arial" w:hAnsi="Arial"/>
          <w:sz w:val="20"/>
        </w:rPr>
        <w:t xml:space="preserve"> </w:t>
      </w:r>
      <w:r w:rsidRPr="00EA59C0">
        <w:rPr>
          <w:rFonts w:ascii="Arial" w:hAnsi="Arial"/>
          <w:sz w:val="20"/>
        </w:rPr>
        <w:t>instructors</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build</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using</w:t>
      </w:r>
      <w:r w:rsidR="00C026A6" w:rsidRPr="00EA59C0">
        <w:rPr>
          <w:rFonts w:ascii="Arial" w:hAnsi="Arial"/>
          <w:sz w:val="20"/>
        </w:rPr>
        <w:t xml:space="preserve"> </w:t>
      </w:r>
      <w:r w:rsidRPr="00EA59C0">
        <w:rPr>
          <w:rFonts w:ascii="Arial" w:hAnsi="Arial"/>
          <w:sz w:val="20"/>
        </w:rPr>
        <w:t>Creative</w:t>
      </w:r>
      <w:r w:rsidR="00C026A6" w:rsidRPr="00EA59C0">
        <w:rPr>
          <w:rFonts w:ascii="Arial" w:hAnsi="Arial"/>
          <w:sz w:val="20"/>
        </w:rPr>
        <w:t xml:space="preserve"> </w:t>
      </w:r>
      <w:r w:rsidRPr="00EA59C0">
        <w:rPr>
          <w:rFonts w:ascii="Arial" w:hAnsi="Arial"/>
          <w:sz w:val="20"/>
        </w:rPr>
        <w:t>Commons,</w:t>
      </w:r>
      <w:r w:rsidR="00C026A6" w:rsidRPr="00EA59C0">
        <w:rPr>
          <w:rFonts w:ascii="Arial" w:hAnsi="Arial"/>
          <w:sz w:val="20"/>
        </w:rPr>
        <w:t xml:space="preserve"> </w:t>
      </w:r>
      <w:r w:rsidRPr="00EA59C0">
        <w:rPr>
          <w:rFonts w:ascii="Arial" w:hAnsi="Arial"/>
          <w:sz w:val="20"/>
        </w:rPr>
        <w:t>so</w:t>
      </w:r>
      <w:r w:rsidR="00C026A6" w:rsidRPr="00EA59C0">
        <w:rPr>
          <w:rFonts w:ascii="Arial" w:hAnsi="Arial"/>
          <w:sz w:val="20"/>
        </w:rPr>
        <w:t xml:space="preserve"> </w:t>
      </w:r>
      <w:r w:rsidRPr="00EA59C0">
        <w:rPr>
          <w:rFonts w:ascii="Arial" w:hAnsi="Arial"/>
          <w:sz w:val="20"/>
        </w:rPr>
        <w:t>that</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can</w:t>
      </w:r>
      <w:r w:rsidR="00C026A6" w:rsidRPr="00EA59C0">
        <w:rPr>
          <w:rFonts w:ascii="Arial" w:hAnsi="Arial"/>
          <w:sz w:val="20"/>
        </w:rPr>
        <w:t xml:space="preserve"> </w:t>
      </w:r>
      <w:r w:rsidRPr="00EA59C0">
        <w:rPr>
          <w:rFonts w:ascii="Arial" w:hAnsi="Arial"/>
          <w:sz w:val="20"/>
        </w:rPr>
        <w:t>be</w:t>
      </w:r>
      <w:r w:rsidR="00C026A6" w:rsidRPr="00EA59C0">
        <w:rPr>
          <w:rFonts w:ascii="Arial" w:hAnsi="Arial"/>
          <w:sz w:val="20"/>
        </w:rPr>
        <w:t xml:space="preserve"> </w:t>
      </w:r>
      <w:r w:rsidRPr="00EA59C0">
        <w:rPr>
          <w:rFonts w:ascii="Arial" w:hAnsi="Arial"/>
          <w:sz w:val="20"/>
        </w:rPr>
        <w:t>re-used</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shared</w:t>
      </w:r>
      <w:r w:rsidR="00C026A6" w:rsidRPr="00EA59C0">
        <w:rPr>
          <w:rFonts w:ascii="Arial" w:hAnsi="Arial"/>
          <w:sz w:val="20"/>
        </w:rPr>
        <w:t xml:space="preserve"> </w:t>
      </w:r>
      <w:r w:rsidRPr="00EA59C0">
        <w:rPr>
          <w:rFonts w:ascii="Arial" w:hAnsi="Arial"/>
          <w:sz w:val="20"/>
        </w:rPr>
        <w:t>openly.</w:t>
      </w:r>
      <w:r w:rsidR="00C026A6" w:rsidRPr="00EA59C0">
        <w:rPr>
          <w:rFonts w:ascii="Arial" w:hAnsi="Arial"/>
          <w:sz w:val="20"/>
        </w:rPr>
        <w:t xml:space="preserve"> </w:t>
      </w:r>
      <w:r w:rsidRPr="00EA59C0">
        <w:rPr>
          <w:rFonts w:ascii="Arial" w:hAnsi="Arial"/>
          <w:sz w:val="20"/>
        </w:rPr>
        <w:t>This</w:t>
      </w:r>
      <w:r w:rsidR="00C026A6" w:rsidRPr="00EA59C0">
        <w:rPr>
          <w:rFonts w:ascii="Arial" w:hAnsi="Arial"/>
          <w:sz w:val="20"/>
        </w:rPr>
        <w:t xml:space="preserve"> </w:t>
      </w:r>
      <w:r w:rsidRPr="00EA59C0">
        <w:rPr>
          <w:rFonts w:ascii="Arial" w:hAnsi="Arial"/>
          <w:sz w:val="20"/>
        </w:rPr>
        <w:t>can</w:t>
      </w:r>
      <w:r w:rsidR="00C026A6" w:rsidRPr="00EA59C0">
        <w:rPr>
          <w:rFonts w:ascii="Arial" w:hAnsi="Arial"/>
          <w:sz w:val="20"/>
        </w:rPr>
        <w:t xml:space="preserve"> </w:t>
      </w:r>
      <w:r w:rsidRPr="00EA59C0">
        <w:rPr>
          <w:rFonts w:ascii="Arial" w:hAnsi="Arial"/>
          <w:sz w:val="20"/>
        </w:rPr>
        <w:t>reduce</w:t>
      </w:r>
      <w:r w:rsidR="00C026A6" w:rsidRPr="00EA59C0">
        <w:rPr>
          <w:rFonts w:ascii="Arial" w:hAnsi="Arial"/>
          <w:sz w:val="20"/>
        </w:rPr>
        <w:t xml:space="preserve"> </w:t>
      </w:r>
      <w:r w:rsidRPr="00EA59C0">
        <w:rPr>
          <w:rFonts w:ascii="Arial" w:hAnsi="Arial"/>
          <w:sz w:val="20"/>
        </w:rPr>
        <w:t>costs</w:t>
      </w:r>
      <w:r w:rsidR="00C026A6" w:rsidRPr="00EA59C0">
        <w:rPr>
          <w:rFonts w:ascii="Arial" w:hAnsi="Arial"/>
          <w:sz w:val="20"/>
        </w:rPr>
        <w:t xml:space="preserve"> </w:t>
      </w:r>
      <w:r w:rsidRPr="00EA59C0">
        <w:rPr>
          <w:rFonts w:ascii="Arial" w:hAnsi="Arial"/>
          <w:sz w:val="20"/>
        </w:rPr>
        <w:t>for</w:t>
      </w:r>
      <w:r w:rsidR="00C026A6" w:rsidRPr="00EA59C0">
        <w:rPr>
          <w:rFonts w:ascii="Arial" w:hAnsi="Arial"/>
          <w:sz w:val="20"/>
        </w:rPr>
        <w:t xml:space="preserve"> </w:t>
      </w:r>
      <w:r w:rsidRPr="00EA59C0">
        <w:rPr>
          <w:rFonts w:ascii="Arial" w:hAnsi="Arial"/>
          <w:sz w:val="20"/>
        </w:rPr>
        <w:t>course</w:t>
      </w:r>
      <w:r w:rsidR="00C026A6" w:rsidRPr="00EA59C0">
        <w:rPr>
          <w:rFonts w:ascii="Arial" w:hAnsi="Arial"/>
          <w:sz w:val="20"/>
        </w:rPr>
        <w:t xml:space="preserve"> </w:t>
      </w:r>
      <w:r w:rsidRPr="00EA59C0">
        <w:rPr>
          <w:rFonts w:ascii="Arial" w:hAnsi="Arial"/>
          <w:sz w:val="20"/>
        </w:rPr>
        <w:t>development</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increase</w:t>
      </w:r>
      <w:r w:rsidR="00C026A6" w:rsidRPr="00EA59C0">
        <w:rPr>
          <w:rFonts w:ascii="Arial" w:hAnsi="Arial"/>
          <w:sz w:val="20"/>
        </w:rPr>
        <w:t xml:space="preserve"> </w:t>
      </w:r>
      <w:r w:rsidRPr="00EA59C0">
        <w:rPr>
          <w:rFonts w:ascii="Arial" w:hAnsi="Arial"/>
          <w:sz w:val="20"/>
        </w:rPr>
        <w:t>availability</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courses</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substantially</w:t>
      </w:r>
      <w:r w:rsidR="00C026A6" w:rsidRPr="00EA59C0">
        <w:rPr>
          <w:rFonts w:ascii="Arial" w:hAnsi="Arial"/>
          <w:sz w:val="20"/>
        </w:rPr>
        <w:t xml:space="preserve"> </w:t>
      </w:r>
      <w:r w:rsidRPr="00EA59C0">
        <w:rPr>
          <w:rFonts w:ascii="Arial" w:hAnsi="Arial"/>
          <w:sz w:val="20"/>
        </w:rPr>
        <w:t>larger</w:t>
      </w:r>
      <w:r w:rsidR="00C026A6" w:rsidRPr="00EA59C0">
        <w:rPr>
          <w:rFonts w:ascii="Arial" w:hAnsi="Arial"/>
          <w:sz w:val="20"/>
        </w:rPr>
        <w:t xml:space="preserve"> </w:t>
      </w:r>
      <w:r w:rsidRPr="00EA59C0">
        <w:rPr>
          <w:rFonts w:ascii="Arial" w:hAnsi="Arial"/>
          <w:sz w:val="20"/>
        </w:rPr>
        <w:t>audiences.</w:t>
      </w:r>
      <w:r w:rsidR="00C026A6" w:rsidRPr="00EA59C0">
        <w:rPr>
          <w:rFonts w:ascii="Arial" w:hAnsi="Arial"/>
          <w:sz w:val="20"/>
        </w:rPr>
        <w:t xml:space="preserve"> </w:t>
      </w:r>
    </w:p>
    <w:p w:rsidR="008826BE" w:rsidRPr="00EA59C0" w:rsidRDefault="008826BE" w:rsidP="00DB00BB">
      <w:pPr>
        <w:pStyle w:val="NoSpacing"/>
        <w:rPr>
          <w:rFonts w:ascii="Arial" w:hAnsi="Arial"/>
          <w:sz w:val="20"/>
        </w:rPr>
      </w:pPr>
    </w:p>
    <w:p w:rsidR="008826BE" w:rsidRPr="00EA59C0" w:rsidRDefault="008826BE" w:rsidP="00DB00BB">
      <w:pPr>
        <w:pStyle w:val="NoSpacing"/>
        <w:rPr>
          <w:rFonts w:ascii="Arial" w:hAnsi="Arial"/>
          <w:b/>
          <w:sz w:val="20"/>
        </w:rPr>
      </w:pPr>
      <w:r w:rsidRPr="00EA59C0">
        <w:rPr>
          <w:rFonts w:ascii="Arial" w:hAnsi="Arial"/>
          <w:b/>
          <w:sz w:val="20"/>
        </w:rPr>
        <w:t>NTER</w:t>
      </w:r>
      <w:r w:rsidR="00C026A6" w:rsidRPr="00EA59C0">
        <w:rPr>
          <w:rFonts w:ascii="Arial" w:hAnsi="Arial"/>
          <w:b/>
          <w:sz w:val="20"/>
        </w:rPr>
        <w:t xml:space="preserve"> </w:t>
      </w:r>
      <w:r w:rsidRPr="00EA59C0">
        <w:rPr>
          <w:rFonts w:ascii="Arial" w:hAnsi="Arial"/>
          <w:b/>
          <w:sz w:val="20"/>
        </w:rPr>
        <w:t>Open</w:t>
      </w:r>
      <w:r w:rsidR="00C026A6" w:rsidRPr="00EA59C0">
        <w:rPr>
          <w:rFonts w:ascii="Arial" w:hAnsi="Arial"/>
          <w:b/>
          <w:sz w:val="20"/>
        </w:rPr>
        <w:t xml:space="preserve"> </w:t>
      </w:r>
      <w:r w:rsidRPr="00EA59C0">
        <w:rPr>
          <w:rFonts w:ascii="Arial" w:hAnsi="Arial"/>
          <w:b/>
          <w:sz w:val="20"/>
        </w:rPr>
        <w:t>Source</w:t>
      </w:r>
      <w:r w:rsidR="00C026A6" w:rsidRPr="00EA59C0">
        <w:rPr>
          <w:rFonts w:ascii="Arial" w:hAnsi="Arial"/>
          <w:b/>
          <w:sz w:val="20"/>
        </w:rPr>
        <w:t xml:space="preserve"> </w:t>
      </w:r>
      <w:r w:rsidRPr="00EA59C0">
        <w:rPr>
          <w:rFonts w:ascii="Arial" w:hAnsi="Arial"/>
          <w:b/>
          <w:sz w:val="20"/>
        </w:rPr>
        <w:t>License</w:t>
      </w:r>
      <w:r w:rsidR="00C026A6" w:rsidRPr="00EA59C0">
        <w:rPr>
          <w:rFonts w:ascii="Arial" w:hAnsi="Arial"/>
          <w:b/>
          <w:sz w:val="20"/>
        </w:rPr>
        <w:t xml:space="preserve"> </w:t>
      </w:r>
      <w:r w:rsidRPr="00EA59C0">
        <w:rPr>
          <w:rFonts w:ascii="Arial" w:hAnsi="Arial"/>
          <w:b/>
          <w:sz w:val="20"/>
        </w:rPr>
        <w:t>and</w:t>
      </w:r>
      <w:r w:rsidR="00C026A6" w:rsidRPr="00EA59C0">
        <w:rPr>
          <w:rFonts w:ascii="Arial" w:hAnsi="Arial"/>
          <w:b/>
          <w:sz w:val="20"/>
        </w:rPr>
        <w:t xml:space="preserve"> </w:t>
      </w:r>
      <w:r w:rsidRPr="00EA59C0">
        <w:rPr>
          <w:rFonts w:ascii="Arial" w:hAnsi="Arial"/>
          <w:b/>
          <w:sz w:val="20"/>
        </w:rPr>
        <w:t>Creative</w:t>
      </w:r>
      <w:r w:rsidR="00C026A6" w:rsidRPr="00EA59C0">
        <w:rPr>
          <w:rFonts w:ascii="Arial" w:hAnsi="Arial"/>
          <w:b/>
          <w:sz w:val="20"/>
        </w:rPr>
        <w:t xml:space="preserve"> </w:t>
      </w:r>
      <w:r w:rsidRPr="00EA59C0">
        <w:rPr>
          <w:rFonts w:ascii="Arial" w:hAnsi="Arial"/>
          <w:b/>
          <w:sz w:val="20"/>
        </w:rPr>
        <w:t>Commons</w:t>
      </w:r>
    </w:p>
    <w:p w:rsidR="008826BE" w:rsidRPr="00EA59C0" w:rsidRDefault="008826BE" w:rsidP="00DB00BB">
      <w:pPr>
        <w:pStyle w:val="NoSpacing"/>
        <w:rPr>
          <w:rFonts w:ascii="Arial" w:hAnsi="Arial"/>
          <w:sz w:val="20"/>
        </w:rPr>
      </w:pPr>
      <w:r w:rsidRPr="00EA59C0">
        <w:rPr>
          <w:rFonts w:ascii="Arial" w:hAnsi="Arial"/>
          <w:sz w:val="20"/>
        </w:rPr>
        <w:t>NTER</w:t>
      </w:r>
      <w:r w:rsidR="00C026A6" w:rsidRPr="00EA59C0">
        <w:rPr>
          <w:rFonts w:ascii="Arial" w:hAnsi="Arial"/>
          <w:sz w:val="20"/>
        </w:rPr>
        <w:t xml:space="preserve"> </w:t>
      </w:r>
      <w:r w:rsidRPr="00EA59C0">
        <w:rPr>
          <w:rFonts w:ascii="Arial" w:hAnsi="Arial"/>
          <w:sz w:val="20"/>
        </w:rPr>
        <w:t>was</w:t>
      </w:r>
      <w:r w:rsidR="00C026A6" w:rsidRPr="00EA59C0">
        <w:rPr>
          <w:rFonts w:ascii="Arial" w:hAnsi="Arial"/>
          <w:sz w:val="20"/>
        </w:rPr>
        <w:t xml:space="preserve"> </w:t>
      </w:r>
      <w:r w:rsidRPr="00EA59C0">
        <w:rPr>
          <w:rFonts w:ascii="Arial" w:hAnsi="Arial"/>
          <w:sz w:val="20"/>
        </w:rPr>
        <w:t>designed</w:t>
      </w:r>
      <w:r w:rsidR="00C026A6" w:rsidRPr="00EA59C0">
        <w:rPr>
          <w:rFonts w:ascii="Arial" w:hAnsi="Arial"/>
          <w:sz w:val="20"/>
        </w:rPr>
        <w:t xml:space="preserve"> </w:t>
      </w:r>
      <w:r w:rsidRPr="00EA59C0">
        <w:rPr>
          <w:rFonts w:ascii="Arial" w:hAnsi="Arial"/>
          <w:sz w:val="20"/>
        </w:rPr>
        <w:t>as</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secure,</w:t>
      </w:r>
      <w:r w:rsidR="00C026A6" w:rsidRPr="00EA59C0">
        <w:rPr>
          <w:rFonts w:ascii="Arial" w:hAnsi="Arial"/>
          <w:sz w:val="20"/>
        </w:rPr>
        <w:t xml:space="preserve"> </w:t>
      </w:r>
      <w:r w:rsidRPr="00EA59C0">
        <w:rPr>
          <w:rFonts w:ascii="Arial" w:hAnsi="Arial"/>
          <w:sz w:val="20"/>
        </w:rPr>
        <w:t>open</w:t>
      </w:r>
      <w:r w:rsidR="00C026A6" w:rsidRPr="00EA59C0">
        <w:rPr>
          <w:rFonts w:ascii="Arial" w:hAnsi="Arial"/>
          <w:sz w:val="20"/>
        </w:rPr>
        <w:t xml:space="preserve"> </w:t>
      </w:r>
      <w:r w:rsidRPr="00EA59C0">
        <w:rPr>
          <w:rFonts w:ascii="Arial" w:hAnsi="Arial"/>
          <w:sz w:val="20"/>
        </w:rPr>
        <w:t>source</w:t>
      </w:r>
      <w:r w:rsidR="00C026A6" w:rsidRPr="00EA59C0">
        <w:rPr>
          <w:rFonts w:ascii="Arial" w:hAnsi="Arial"/>
          <w:sz w:val="20"/>
        </w:rPr>
        <w:t xml:space="preserve"> </w:t>
      </w:r>
      <w:r w:rsidRPr="00EA59C0">
        <w:rPr>
          <w:rFonts w:ascii="Arial" w:hAnsi="Arial"/>
          <w:sz w:val="20"/>
        </w:rPr>
        <w:t>software</w:t>
      </w:r>
      <w:r w:rsidR="00C026A6" w:rsidRPr="00EA59C0">
        <w:rPr>
          <w:rFonts w:ascii="Arial" w:hAnsi="Arial"/>
          <w:sz w:val="20"/>
        </w:rPr>
        <w:t xml:space="preserve"> </w:t>
      </w:r>
      <w:r w:rsidRPr="00EA59C0">
        <w:rPr>
          <w:rFonts w:ascii="Arial" w:hAnsi="Arial"/>
          <w:sz w:val="20"/>
        </w:rPr>
        <w:t>project</w:t>
      </w:r>
      <w:r w:rsidR="00C026A6" w:rsidRPr="00EA59C0">
        <w:rPr>
          <w:rFonts w:ascii="Arial" w:hAnsi="Arial"/>
          <w:sz w:val="20"/>
        </w:rPr>
        <w:t xml:space="preserve"> </w:t>
      </w:r>
      <w:r w:rsidRPr="00EA59C0">
        <w:rPr>
          <w:rFonts w:ascii="Arial" w:hAnsi="Arial"/>
          <w:sz w:val="20"/>
        </w:rPr>
        <w:t>built</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Department</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Energy</w:t>
      </w:r>
      <w:r w:rsidR="00C026A6" w:rsidRPr="00EA59C0">
        <w:rPr>
          <w:rFonts w:ascii="Arial" w:hAnsi="Arial"/>
          <w:sz w:val="20"/>
        </w:rPr>
        <w:t xml:space="preserve"> </w:t>
      </w:r>
      <w:r w:rsidRPr="00EA59C0">
        <w:rPr>
          <w:rFonts w:ascii="Arial" w:hAnsi="Arial"/>
          <w:sz w:val="20"/>
        </w:rPr>
        <w:t>security</w:t>
      </w:r>
      <w:r w:rsidR="00C026A6" w:rsidRPr="00EA59C0">
        <w:rPr>
          <w:rFonts w:ascii="Arial" w:hAnsi="Arial"/>
          <w:sz w:val="20"/>
        </w:rPr>
        <w:t xml:space="preserve"> </w:t>
      </w:r>
      <w:r w:rsidRPr="00EA59C0">
        <w:rPr>
          <w:rFonts w:ascii="Arial" w:hAnsi="Arial"/>
          <w:sz w:val="20"/>
        </w:rPr>
        <w:t>standards.</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platform</w:t>
      </w:r>
      <w:r w:rsidR="00C026A6" w:rsidRPr="00EA59C0">
        <w:rPr>
          <w:rFonts w:ascii="Arial" w:hAnsi="Arial"/>
          <w:sz w:val="20"/>
        </w:rPr>
        <w:t xml:space="preserve"> </w:t>
      </w:r>
      <w:r w:rsidRPr="00EA59C0">
        <w:rPr>
          <w:rFonts w:ascii="Arial" w:hAnsi="Arial"/>
          <w:sz w:val="20"/>
        </w:rPr>
        <w:t>(code)</w:t>
      </w:r>
      <w:r w:rsidR="00C026A6" w:rsidRPr="00EA59C0">
        <w:rPr>
          <w:rFonts w:ascii="Arial" w:hAnsi="Arial"/>
          <w:sz w:val="20"/>
        </w:rPr>
        <w:t xml:space="preserve"> </w:t>
      </w:r>
      <w:r w:rsidRPr="00EA59C0">
        <w:rPr>
          <w:rFonts w:ascii="Arial" w:hAnsi="Arial"/>
          <w:sz w:val="20"/>
        </w:rPr>
        <w:t>itself</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licensed</w:t>
      </w:r>
      <w:r w:rsidR="00C026A6" w:rsidRPr="00EA59C0">
        <w:rPr>
          <w:rFonts w:ascii="Arial" w:hAnsi="Arial"/>
          <w:sz w:val="20"/>
        </w:rPr>
        <w:t xml:space="preserve"> </w:t>
      </w:r>
      <w:r w:rsidRPr="00EA59C0">
        <w:rPr>
          <w:rFonts w:ascii="Arial" w:hAnsi="Arial"/>
          <w:sz w:val="20"/>
        </w:rPr>
        <w:t>under</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General</w:t>
      </w:r>
      <w:r w:rsidR="00C026A6" w:rsidRPr="00EA59C0">
        <w:rPr>
          <w:rFonts w:ascii="Arial" w:hAnsi="Arial"/>
          <w:sz w:val="20"/>
        </w:rPr>
        <w:t xml:space="preserve"> </w:t>
      </w:r>
      <w:r w:rsidRPr="00EA59C0">
        <w:rPr>
          <w:rFonts w:ascii="Arial" w:hAnsi="Arial"/>
          <w:sz w:val="20"/>
        </w:rPr>
        <w:t>Pubic</w:t>
      </w:r>
      <w:r w:rsidR="00C026A6" w:rsidRPr="00EA59C0">
        <w:rPr>
          <w:rFonts w:ascii="Arial" w:hAnsi="Arial"/>
          <w:sz w:val="20"/>
        </w:rPr>
        <w:t xml:space="preserve"> </w:t>
      </w:r>
      <w:r w:rsidRPr="00EA59C0">
        <w:rPr>
          <w:rFonts w:ascii="Arial" w:hAnsi="Arial"/>
          <w:sz w:val="20"/>
        </w:rPr>
        <w:t>License,</w:t>
      </w:r>
      <w:r w:rsidR="00C026A6" w:rsidRPr="00EA59C0">
        <w:rPr>
          <w:rFonts w:ascii="Arial" w:hAnsi="Arial"/>
          <w:sz w:val="20"/>
        </w:rPr>
        <w:t xml:space="preserve"> </w:t>
      </w:r>
      <w:r w:rsidRPr="00EA59C0">
        <w:rPr>
          <w:rFonts w:ascii="Arial" w:hAnsi="Arial"/>
          <w:sz w:val="20"/>
        </w:rPr>
        <w:t>version</w:t>
      </w:r>
      <w:r w:rsidR="00C026A6" w:rsidRPr="00EA59C0">
        <w:rPr>
          <w:rFonts w:ascii="Arial" w:hAnsi="Arial"/>
          <w:sz w:val="20"/>
        </w:rPr>
        <w:t xml:space="preserve"> </w:t>
      </w:r>
      <w:r w:rsidRPr="00EA59C0">
        <w:rPr>
          <w:rFonts w:ascii="Arial" w:hAnsi="Arial"/>
          <w:sz w:val="20"/>
        </w:rPr>
        <w:t>2</w:t>
      </w:r>
      <w:r w:rsidR="00C026A6" w:rsidRPr="00EA59C0">
        <w:rPr>
          <w:rFonts w:ascii="Arial" w:hAnsi="Arial"/>
          <w:sz w:val="20"/>
        </w:rPr>
        <w:t xml:space="preserve"> </w:t>
      </w:r>
      <w:r w:rsidRPr="00EA59C0">
        <w:rPr>
          <w:rFonts w:ascii="Arial" w:hAnsi="Arial"/>
          <w:sz w:val="20"/>
        </w:rPr>
        <w:t>(GPL-v2.0),</w:t>
      </w:r>
      <w:r w:rsidR="00C026A6" w:rsidRPr="00EA59C0">
        <w:rPr>
          <w:rFonts w:ascii="Arial" w:hAnsi="Arial"/>
          <w:sz w:val="20"/>
        </w:rPr>
        <w:t xml:space="preserve"> </w:t>
      </w:r>
      <w:r w:rsidRPr="00EA59C0">
        <w:rPr>
          <w:rFonts w:ascii="Arial" w:hAnsi="Arial"/>
          <w:sz w:val="20"/>
        </w:rPr>
        <w:t>enabling</w:t>
      </w:r>
      <w:r w:rsidR="00C026A6" w:rsidRPr="00EA59C0">
        <w:rPr>
          <w:rFonts w:ascii="Arial" w:hAnsi="Arial"/>
          <w:sz w:val="20"/>
        </w:rPr>
        <w:t xml:space="preserve"> </w:t>
      </w:r>
      <w:r w:rsidRPr="00EA59C0">
        <w:rPr>
          <w:rFonts w:ascii="Arial" w:hAnsi="Arial"/>
          <w:sz w:val="20"/>
        </w:rPr>
        <w:t>end-users</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further</w:t>
      </w:r>
      <w:r w:rsidR="00C026A6" w:rsidRPr="00EA59C0">
        <w:rPr>
          <w:rFonts w:ascii="Arial" w:hAnsi="Arial"/>
          <w:sz w:val="20"/>
        </w:rPr>
        <w:t xml:space="preserve"> </w:t>
      </w:r>
      <w:r w:rsidRPr="00EA59C0">
        <w:rPr>
          <w:rFonts w:ascii="Arial" w:hAnsi="Arial"/>
          <w:sz w:val="20"/>
        </w:rPr>
        <w:t>develop,</w:t>
      </w:r>
      <w:r w:rsidR="00C026A6" w:rsidRPr="00EA59C0">
        <w:rPr>
          <w:rFonts w:ascii="Arial" w:hAnsi="Arial"/>
          <w:sz w:val="20"/>
        </w:rPr>
        <w:t xml:space="preserve"> </w:t>
      </w:r>
      <w:r w:rsidRPr="00EA59C0">
        <w:rPr>
          <w:rFonts w:ascii="Arial" w:hAnsi="Arial"/>
          <w:sz w:val="20"/>
        </w:rPr>
        <w:t>modify</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distribute</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software.</w:t>
      </w:r>
      <w:r w:rsidR="00C026A6" w:rsidRPr="00EA59C0">
        <w:rPr>
          <w:rFonts w:ascii="Arial" w:hAnsi="Arial"/>
          <w:sz w:val="20"/>
        </w:rPr>
        <w:t xml:space="preserve"> </w:t>
      </w:r>
      <w:r w:rsidRPr="00EA59C0">
        <w:rPr>
          <w:rFonts w:ascii="Arial" w:hAnsi="Arial"/>
          <w:sz w:val="20"/>
        </w:rPr>
        <w:t>This</w:t>
      </w:r>
      <w:r w:rsidR="00C026A6" w:rsidRPr="00EA59C0">
        <w:rPr>
          <w:rFonts w:ascii="Arial" w:hAnsi="Arial"/>
          <w:sz w:val="20"/>
        </w:rPr>
        <w:t xml:space="preserve"> </w:t>
      </w:r>
      <w:r w:rsidRPr="00EA59C0">
        <w:rPr>
          <w:rFonts w:ascii="Arial" w:hAnsi="Arial"/>
          <w:sz w:val="20"/>
        </w:rPr>
        <w:t>open</w:t>
      </w:r>
      <w:r w:rsidR="00C026A6" w:rsidRPr="00EA59C0">
        <w:rPr>
          <w:rFonts w:ascii="Arial" w:hAnsi="Arial"/>
          <w:sz w:val="20"/>
        </w:rPr>
        <w:t xml:space="preserve"> </w:t>
      </w:r>
      <w:r w:rsidRPr="00EA59C0">
        <w:rPr>
          <w:rFonts w:ascii="Arial" w:hAnsi="Arial"/>
          <w:sz w:val="20"/>
        </w:rPr>
        <w:t>source</w:t>
      </w:r>
      <w:r w:rsidR="00C026A6" w:rsidRPr="00EA59C0">
        <w:rPr>
          <w:rFonts w:ascii="Arial" w:hAnsi="Arial"/>
          <w:sz w:val="20"/>
        </w:rPr>
        <w:t xml:space="preserve"> </w:t>
      </w:r>
      <w:r w:rsidRPr="00EA59C0">
        <w:rPr>
          <w:rFonts w:ascii="Arial" w:hAnsi="Arial"/>
          <w:sz w:val="20"/>
        </w:rPr>
        <w:t>licensing</w:t>
      </w:r>
      <w:r w:rsidR="00C026A6" w:rsidRPr="00EA59C0">
        <w:rPr>
          <w:rFonts w:ascii="Arial" w:hAnsi="Arial"/>
          <w:sz w:val="20"/>
        </w:rPr>
        <w:t xml:space="preserve"> </w:t>
      </w:r>
      <w:r w:rsidRPr="00EA59C0">
        <w:rPr>
          <w:rFonts w:ascii="Arial" w:hAnsi="Arial"/>
          <w:sz w:val="20"/>
        </w:rPr>
        <w:t>also</w:t>
      </w:r>
      <w:r w:rsidR="00C026A6" w:rsidRPr="00EA59C0">
        <w:rPr>
          <w:rFonts w:ascii="Arial" w:hAnsi="Arial"/>
          <w:sz w:val="20"/>
        </w:rPr>
        <w:t xml:space="preserve"> </w:t>
      </w:r>
      <w:r w:rsidRPr="00EA59C0">
        <w:rPr>
          <w:rFonts w:ascii="Arial" w:hAnsi="Arial"/>
          <w:sz w:val="20"/>
        </w:rPr>
        <w:t>assures</w:t>
      </w:r>
      <w:r w:rsidR="00C026A6" w:rsidRPr="00EA59C0">
        <w:rPr>
          <w:rFonts w:ascii="Arial" w:hAnsi="Arial"/>
          <w:sz w:val="20"/>
        </w:rPr>
        <w:t xml:space="preserve"> </w:t>
      </w:r>
      <w:r w:rsidRPr="00EA59C0">
        <w:rPr>
          <w:rFonts w:ascii="Arial" w:hAnsi="Arial"/>
          <w:sz w:val="20"/>
        </w:rPr>
        <w:t>that</w:t>
      </w:r>
      <w:r w:rsidR="00C026A6" w:rsidRPr="00EA59C0">
        <w:rPr>
          <w:rFonts w:ascii="Arial" w:hAnsi="Arial"/>
          <w:sz w:val="20"/>
        </w:rPr>
        <w:t xml:space="preserve"> </w:t>
      </w:r>
      <w:r w:rsidRPr="00EA59C0">
        <w:rPr>
          <w:rFonts w:ascii="Arial" w:hAnsi="Arial"/>
          <w:sz w:val="20"/>
        </w:rPr>
        <w:t>there</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never</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licensing</w:t>
      </w:r>
      <w:r w:rsidR="00C026A6" w:rsidRPr="00EA59C0">
        <w:rPr>
          <w:rFonts w:ascii="Arial" w:hAnsi="Arial"/>
          <w:sz w:val="20"/>
        </w:rPr>
        <w:t xml:space="preserve"> </w:t>
      </w:r>
      <w:r w:rsidRPr="00EA59C0">
        <w:rPr>
          <w:rFonts w:ascii="Arial" w:hAnsi="Arial"/>
          <w:sz w:val="20"/>
        </w:rPr>
        <w:t>fee</w:t>
      </w:r>
      <w:r w:rsidR="00C026A6" w:rsidRPr="00EA59C0">
        <w:rPr>
          <w:rFonts w:ascii="Arial" w:hAnsi="Arial"/>
          <w:sz w:val="20"/>
        </w:rPr>
        <w:t xml:space="preserve"> </w:t>
      </w:r>
      <w:r w:rsidRPr="00EA59C0">
        <w:rPr>
          <w:rFonts w:ascii="Arial" w:hAnsi="Arial"/>
          <w:sz w:val="20"/>
        </w:rPr>
        <w:t>associated</w:t>
      </w:r>
      <w:r w:rsidR="00C026A6" w:rsidRPr="00EA59C0">
        <w:rPr>
          <w:rFonts w:ascii="Arial" w:hAnsi="Arial"/>
          <w:sz w:val="20"/>
        </w:rPr>
        <w:t xml:space="preserve"> </w:t>
      </w:r>
      <w:r w:rsidRPr="00EA59C0">
        <w:rPr>
          <w:rFonts w:ascii="Arial" w:hAnsi="Arial"/>
          <w:sz w:val="20"/>
        </w:rPr>
        <w:t>with</w:t>
      </w:r>
      <w:r w:rsidR="00C026A6" w:rsidRPr="00EA59C0">
        <w:rPr>
          <w:rFonts w:ascii="Arial" w:hAnsi="Arial"/>
          <w:sz w:val="20"/>
        </w:rPr>
        <w:t xml:space="preserve"> </w:t>
      </w:r>
      <w:r w:rsidRPr="00EA59C0">
        <w:rPr>
          <w:rFonts w:ascii="Arial" w:hAnsi="Arial"/>
          <w:sz w:val="20"/>
        </w:rPr>
        <w:t>NTER’s</w:t>
      </w:r>
      <w:r w:rsidR="00C026A6" w:rsidRPr="00EA59C0">
        <w:rPr>
          <w:rFonts w:ascii="Arial" w:hAnsi="Arial"/>
          <w:sz w:val="20"/>
        </w:rPr>
        <w:t xml:space="preserve"> </w:t>
      </w:r>
      <w:r w:rsidRPr="00EA59C0">
        <w:rPr>
          <w:rFonts w:ascii="Arial" w:hAnsi="Arial"/>
          <w:sz w:val="20"/>
        </w:rPr>
        <w:t>use.</w:t>
      </w:r>
      <w:r w:rsidR="00C026A6" w:rsidRPr="00EA59C0">
        <w:rPr>
          <w:rFonts w:ascii="Arial" w:hAnsi="Arial"/>
          <w:sz w:val="20"/>
        </w:rPr>
        <w:t xml:space="preserve"> </w:t>
      </w:r>
      <w:r w:rsidRPr="00EA59C0">
        <w:rPr>
          <w:rFonts w:ascii="Arial" w:hAnsi="Arial"/>
          <w:sz w:val="20"/>
        </w:rPr>
        <w:t>NTER’s</w:t>
      </w:r>
      <w:r w:rsidR="00C026A6" w:rsidRPr="00EA59C0">
        <w:rPr>
          <w:rFonts w:ascii="Arial" w:hAnsi="Arial"/>
          <w:sz w:val="20"/>
        </w:rPr>
        <w:t xml:space="preserve"> </w:t>
      </w:r>
      <w:r w:rsidRPr="00EA59C0">
        <w:rPr>
          <w:rFonts w:ascii="Arial" w:hAnsi="Arial"/>
          <w:sz w:val="20"/>
        </w:rPr>
        <w:t>software</w:t>
      </w:r>
      <w:r w:rsidR="00C026A6" w:rsidRPr="00EA59C0">
        <w:rPr>
          <w:rFonts w:ascii="Arial" w:hAnsi="Arial"/>
          <w:sz w:val="20"/>
        </w:rPr>
        <w:t xml:space="preserve"> </w:t>
      </w:r>
      <w:r w:rsidRPr="00EA59C0">
        <w:rPr>
          <w:rFonts w:ascii="Arial" w:hAnsi="Arial"/>
          <w:sz w:val="20"/>
        </w:rPr>
        <w:t>source</w:t>
      </w:r>
      <w:r w:rsidR="00C026A6" w:rsidRPr="00EA59C0">
        <w:rPr>
          <w:rFonts w:ascii="Arial" w:hAnsi="Arial"/>
          <w:sz w:val="20"/>
        </w:rPr>
        <w:t xml:space="preserve"> </w:t>
      </w:r>
      <w:r w:rsidRPr="00EA59C0">
        <w:rPr>
          <w:rFonts w:ascii="Arial" w:hAnsi="Arial"/>
          <w:sz w:val="20"/>
        </w:rPr>
        <w:t>code</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available</w:t>
      </w:r>
      <w:r w:rsidR="00C026A6" w:rsidRPr="00EA59C0">
        <w:rPr>
          <w:rFonts w:ascii="Arial" w:hAnsi="Arial"/>
          <w:sz w:val="20"/>
        </w:rPr>
        <w:t xml:space="preserve"> </w:t>
      </w:r>
      <w:r w:rsidRPr="00EA59C0">
        <w:rPr>
          <w:rFonts w:ascii="Arial" w:hAnsi="Arial"/>
          <w:sz w:val="20"/>
        </w:rPr>
        <w:t>on</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google</w:t>
      </w:r>
      <w:r w:rsidR="00C026A6" w:rsidRPr="00EA59C0">
        <w:rPr>
          <w:rFonts w:ascii="Arial" w:hAnsi="Arial"/>
          <w:sz w:val="20"/>
        </w:rPr>
        <w:t xml:space="preserve"> </w:t>
      </w:r>
      <w:r w:rsidRPr="00EA59C0">
        <w:rPr>
          <w:rFonts w:ascii="Arial" w:hAnsi="Arial"/>
          <w:sz w:val="20"/>
        </w:rPr>
        <w:t>code</w:t>
      </w:r>
      <w:r w:rsidR="00C026A6" w:rsidRPr="00EA59C0">
        <w:rPr>
          <w:rFonts w:ascii="Arial" w:hAnsi="Arial"/>
          <w:sz w:val="20"/>
        </w:rPr>
        <w:t xml:space="preserve"> </w:t>
      </w:r>
      <w:r w:rsidRPr="00EA59C0">
        <w:rPr>
          <w:rFonts w:ascii="Arial" w:hAnsi="Arial"/>
          <w:sz w:val="20"/>
        </w:rPr>
        <w:t>project</w:t>
      </w:r>
      <w:r w:rsidR="00C026A6" w:rsidRPr="00EA59C0">
        <w:rPr>
          <w:rFonts w:ascii="Arial" w:hAnsi="Arial"/>
          <w:sz w:val="20"/>
        </w:rPr>
        <w:t xml:space="preserve"> </w:t>
      </w:r>
      <w:r w:rsidRPr="00EA59C0">
        <w:rPr>
          <w:rFonts w:ascii="Arial" w:hAnsi="Arial"/>
          <w:sz w:val="20"/>
        </w:rPr>
        <w:t>page</w:t>
      </w:r>
      <w:r w:rsidR="00C026A6" w:rsidRPr="00EA59C0">
        <w:rPr>
          <w:rFonts w:ascii="Arial" w:hAnsi="Arial"/>
          <w:sz w:val="20"/>
        </w:rPr>
        <w:t xml:space="preserve"> </w:t>
      </w:r>
      <w:r w:rsidRPr="00EA59C0">
        <w:rPr>
          <w:rFonts w:ascii="Arial" w:hAnsi="Arial"/>
          <w:sz w:val="20"/>
        </w:rPr>
        <w:t>(</w:t>
      </w:r>
      <w:hyperlink r:id="rId355" w:history="1">
        <w:r w:rsidRPr="00EA59C0">
          <w:rPr>
            <w:rStyle w:val="Hyperlink"/>
            <w:rFonts w:ascii="Arial" w:hAnsi="Arial"/>
            <w:color w:val="auto"/>
            <w:sz w:val="20"/>
          </w:rPr>
          <w:t>https://code.google.com/p/nter/</w:t>
        </w:r>
      </w:hyperlink>
      <w:r w:rsidRPr="00EA59C0">
        <w:rPr>
          <w:rFonts w:ascii="Arial" w:hAnsi="Arial"/>
          <w:sz w:val="20"/>
        </w:rPr>
        <w:t>)</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supporting</w:t>
      </w:r>
      <w:r w:rsidR="00C026A6" w:rsidRPr="00EA59C0">
        <w:rPr>
          <w:rFonts w:ascii="Arial" w:hAnsi="Arial"/>
          <w:sz w:val="20"/>
        </w:rPr>
        <w:t xml:space="preserve"> </w:t>
      </w:r>
      <w:r w:rsidRPr="00EA59C0">
        <w:rPr>
          <w:rFonts w:ascii="Arial" w:hAnsi="Arial"/>
          <w:sz w:val="20"/>
        </w:rPr>
        <w:t>technical</w:t>
      </w:r>
      <w:r w:rsidR="00C026A6" w:rsidRPr="00EA59C0">
        <w:rPr>
          <w:rFonts w:ascii="Arial" w:hAnsi="Arial"/>
          <w:sz w:val="20"/>
        </w:rPr>
        <w:t xml:space="preserve"> </w:t>
      </w:r>
      <w:r w:rsidRPr="00EA59C0">
        <w:rPr>
          <w:rFonts w:ascii="Arial" w:hAnsi="Arial"/>
          <w:sz w:val="20"/>
        </w:rPr>
        <w:t>documentation</w:t>
      </w:r>
      <w:r w:rsidR="00C026A6" w:rsidRPr="00EA59C0">
        <w:rPr>
          <w:rFonts w:ascii="Arial" w:hAnsi="Arial"/>
          <w:sz w:val="20"/>
        </w:rPr>
        <w:t xml:space="preserve"> </w:t>
      </w:r>
      <w:r w:rsidRPr="00EA59C0">
        <w:rPr>
          <w:rFonts w:ascii="Arial" w:hAnsi="Arial"/>
          <w:sz w:val="20"/>
        </w:rPr>
        <w:t>on</w:t>
      </w:r>
      <w:r w:rsidR="00C026A6" w:rsidRPr="00EA59C0">
        <w:rPr>
          <w:rFonts w:ascii="Arial" w:hAnsi="Arial"/>
          <w:sz w:val="20"/>
        </w:rPr>
        <w:t xml:space="preserve"> </w:t>
      </w:r>
      <w:r w:rsidRPr="00EA59C0">
        <w:rPr>
          <w:rFonts w:ascii="Arial" w:hAnsi="Arial"/>
          <w:sz w:val="20"/>
        </w:rPr>
        <w:t>NTER’s</w:t>
      </w:r>
      <w:r w:rsidR="00C026A6" w:rsidRPr="00EA59C0">
        <w:rPr>
          <w:rFonts w:ascii="Arial" w:hAnsi="Arial"/>
          <w:sz w:val="20"/>
        </w:rPr>
        <w:t xml:space="preserve"> </w:t>
      </w:r>
      <w:r w:rsidRPr="00EA59C0">
        <w:rPr>
          <w:rFonts w:ascii="Arial" w:hAnsi="Arial"/>
          <w:sz w:val="20"/>
        </w:rPr>
        <w:t>Sourceforge</w:t>
      </w:r>
      <w:r w:rsidR="00C026A6" w:rsidRPr="00EA59C0">
        <w:rPr>
          <w:rFonts w:ascii="Arial" w:hAnsi="Arial"/>
          <w:sz w:val="20"/>
        </w:rPr>
        <w:t xml:space="preserve"> </w:t>
      </w:r>
      <w:r w:rsidRPr="00EA59C0">
        <w:rPr>
          <w:rFonts w:ascii="Arial" w:hAnsi="Arial"/>
          <w:sz w:val="20"/>
        </w:rPr>
        <w:t>site</w:t>
      </w:r>
      <w:r w:rsidR="00C026A6" w:rsidRPr="00EA59C0">
        <w:rPr>
          <w:rFonts w:ascii="Arial" w:hAnsi="Arial"/>
          <w:sz w:val="20"/>
        </w:rPr>
        <w:t xml:space="preserve"> </w:t>
      </w:r>
      <w:r w:rsidRPr="00EA59C0">
        <w:rPr>
          <w:rFonts w:ascii="Arial" w:hAnsi="Arial"/>
          <w:sz w:val="20"/>
        </w:rPr>
        <w:t>(</w:t>
      </w:r>
      <w:hyperlink r:id="rId356" w:tgtFrame="_blank" w:history="1">
        <w:r w:rsidRPr="00EA59C0">
          <w:rPr>
            <w:rStyle w:val="Hyperlink"/>
            <w:rFonts w:ascii="Arial" w:hAnsi="Arial"/>
            <w:color w:val="auto"/>
            <w:sz w:val="20"/>
          </w:rPr>
          <w:t>https://sourceforge.net/projects/nter/</w:t>
        </w:r>
      </w:hyperlink>
      <w:r w:rsidRPr="00EA59C0">
        <w:rPr>
          <w:rFonts w:ascii="Arial" w:hAnsi="Arial" w:cs="Arial"/>
          <w:sz w:val="20"/>
          <w:szCs w:val="20"/>
        </w:rPr>
        <w:t>)</w:t>
      </w:r>
      <w:r w:rsidR="00A43BF2" w:rsidRPr="00EA59C0">
        <w:rPr>
          <w:rFonts w:ascii="Arial" w:hAnsi="Arial" w:cs="Arial"/>
          <w:sz w:val="20"/>
          <w:szCs w:val="20"/>
        </w:rPr>
        <w:t>.</w:t>
      </w:r>
      <w:r w:rsidR="00C026A6" w:rsidRPr="00EA59C0">
        <w:rPr>
          <w:rFonts w:ascii="Arial" w:hAnsi="Arial" w:cs="Arial"/>
          <w:sz w:val="20"/>
          <w:szCs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NTER</w:t>
      </w:r>
      <w:r w:rsidR="00C026A6" w:rsidRPr="00EA59C0">
        <w:rPr>
          <w:rFonts w:ascii="Arial" w:hAnsi="Arial"/>
          <w:sz w:val="20"/>
        </w:rPr>
        <w:t xml:space="preserve"> </w:t>
      </w:r>
      <w:r w:rsidRPr="00EA59C0">
        <w:rPr>
          <w:rFonts w:ascii="Arial" w:hAnsi="Arial"/>
          <w:sz w:val="20"/>
        </w:rPr>
        <w:t>learning</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management</w:t>
      </w:r>
      <w:r w:rsidR="00C026A6" w:rsidRPr="00EA59C0">
        <w:rPr>
          <w:rFonts w:ascii="Arial" w:hAnsi="Arial"/>
          <w:sz w:val="20"/>
        </w:rPr>
        <w:t xml:space="preserve"> </w:t>
      </w:r>
      <w:r w:rsidRPr="00EA59C0">
        <w:rPr>
          <w:rFonts w:ascii="Arial" w:hAnsi="Arial"/>
          <w:sz w:val="20"/>
        </w:rPr>
        <w:t>system</w:t>
      </w:r>
      <w:r w:rsidR="00C026A6" w:rsidRPr="00EA59C0">
        <w:rPr>
          <w:rFonts w:ascii="Arial" w:hAnsi="Arial"/>
          <w:sz w:val="20"/>
        </w:rPr>
        <w:t xml:space="preserve"> </w:t>
      </w:r>
      <w:r w:rsidRPr="00EA59C0">
        <w:rPr>
          <w:rFonts w:ascii="Arial" w:hAnsi="Arial"/>
          <w:sz w:val="20"/>
        </w:rPr>
        <w:t>was</w:t>
      </w:r>
      <w:r w:rsidR="00C026A6" w:rsidRPr="00EA59C0">
        <w:rPr>
          <w:rFonts w:ascii="Arial" w:hAnsi="Arial"/>
          <w:sz w:val="20"/>
        </w:rPr>
        <w:t xml:space="preserve"> </w:t>
      </w:r>
      <w:r w:rsidRPr="00EA59C0">
        <w:rPr>
          <w:rFonts w:ascii="Arial" w:hAnsi="Arial"/>
          <w:sz w:val="20"/>
        </w:rPr>
        <w:t>built</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share</w:t>
      </w:r>
      <w:r w:rsidR="00C026A6" w:rsidRPr="00EA59C0">
        <w:rPr>
          <w:rFonts w:ascii="Arial" w:hAnsi="Arial"/>
          <w:sz w:val="20"/>
        </w:rPr>
        <w:t xml:space="preserve"> </w:t>
      </w:r>
      <w:r w:rsidRPr="00EA59C0">
        <w:rPr>
          <w:rFonts w:ascii="Arial" w:hAnsi="Arial"/>
          <w:sz w:val="20"/>
        </w:rPr>
        <w:t>creative</w:t>
      </w:r>
      <w:r w:rsidR="00C026A6" w:rsidRPr="00EA59C0">
        <w:rPr>
          <w:rFonts w:ascii="Arial" w:hAnsi="Arial"/>
          <w:sz w:val="20"/>
        </w:rPr>
        <w:t xml:space="preserve"> </w:t>
      </w:r>
      <w:r w:rsidRPr="00EA59C0">
        <w:rPr>
          <w:rFonts w:ascii="Arial" w:hAnsi="Arial"/>
          <w:sz w:val="20"/>
        </w:rPr>
        <w:t>commons</w:t>
      </w:r>
      <w:r w:rsidR="00C026A6" w:rsidRPr="00EA59C0">
        <w:rPr>
          <w:rFonts w:ascii="Arial" w:hAnsi="Arial"/>
          <w:sz w:val="20"/>
        </w:rPr>
        <w:t xml:space="preserve"> </w:t>
      </w:r>
      <w:r w:rsidRPr="00EA59C0">
        <w:rPr>
          <w:rFonts w:ascii="Arial" w:hAnsi="Arial"/>
          <w:sz w:val="20"/>
        </w:rPr>
        <w:t>licensed</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courses</w:t>
      </w:r>
      <w:r w:rsidR="00C026A6" w:rsidRPr="00EA59C0">
        <w:rPr>
          <w:rFonts w:ascii="Arial" w:hAnsi="Arial"/>
          <w:sz w:val="20"/>
        </w:rPr>
        <w:t xml:space="preserve"> </w:t>
      </w:r>
      <w:r w:rsidRPr="00EA59C0">
        <w:rPr>
          <w:rFonts w:ascii="Arial" w:hAnsi="Arial"/>
          <w:sz w:val="20"/>
        </w:rPr>
        <w:t>easily</w:t>
      </w:r>
      <w:r w:rsidR="00C026A6" w:rsidRPr="00EA59C0">
        <w:rPr>
          <w:rFonts w:ascii="Arial" w:hAnsi="Arial"/>
          <w:sz w:val="20"/>
        </w:rPr>
        <w:t xml:space="preserve"> </w:t>
      </w:r>
      <w:r w:rsidRPr="00EA59C0">
        <w:rPr>
          <w:rFonts w:ascii="Arial" w:hAnsi="Arial"/>
          <w:sz w:val="20"/>
        </w:rPr>
        <w:t>through</w:t>
      </w:r>
      <w:r w:rsidR="00C026A6" w:rsidRPr="00EA59C0">
        <w:rPr>
          <w:rFonts w:ascii="Arial" w:hAnsi="Arial"/>
          <w:sz w:val="20"/>
        </w:rPr>
        <w:t xml:space="preserve"> </w:t>
      </w:r>
      <w:r w:rsidRPr="00EA59C0">
        <w:rPr>
          <w:rFonts w:ascii="Arial" w:hAnsi="Arial"/>
          <w:sz w:val="20"/>
        </w:rPr>
        <w:t>both</w:t>
      </w:r>
      <w:r w:rsidR="00C026A6" w:rsidRPr="00EA59C0">
        <w:rPr>
          <w:rFonts w:ascii="Arial" w:hAnsi="Arial"/>
          <w:sz w:val="20"/>
        </w:rPr>
        <w:t xml:space="preserve"> </w:t>
      </w:r>
      <w:r w:rsidRPr="00EA59C0">
        <w:rPr>
          <w:rFonts w:ascii="Arial" w:hAnsi="Arial"/>
          <w:sz w:val="20"/>
        </w:rPr>
        <w:t>backend</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frontend</w:t>
      </w:r>
      <w:r w:rsidR="00C026A6" w:rsidRPr="00EA59C0">
        <w:rPr>
          <w:rFonts w:ascii="Arial" w:hAnsi="Arial"/>
          <w:sz w:val="20"/>
        </w:rPr>
        <w:t xml:space="preserve"> </w:t>
      </w:r>
      <w:r w:rsidRPr="00EA59C0">
        <w:rPr>
          <w:rFonts w:ascii="Arial" w:hAnsi="Arial"/>
          <w:sz w:val="20"/>
        </w:rPr>
        <w:t>features.</w:t>
      </w:r>
      <w:r w:rsidR="00C026A6" w:rsidRPr="00EA59C0">
        <w:rPr>
          <w:rFonts w:ascii="Arial" w:hAnsi="Arial"/>
          <w:sz w:val="20"/>
        </w:rPr>
        <w:t xml:space="preserve"> </w:t>
      </w:r>
      <w:r w:rsidRPr="00EA59C0">
        <w:rPr>
          <w:rFonts w:ascii="Arial" w:hAnsi="Arial"/>
          <w:sz w:val="20"/>
        </w:rPr>
        <w:t>Creative</w:t>
      </w:r>
      <w:r w:rsidR="00C026A6" w:rsidRPr="00EA59C0">
        <w:rPr>
          <w:rFonts w:ascii="Arial" w:hAnsi="Arial"/>
          <w:sz w:val="20"/>
        </w:rPr>
        <w:t xml:space="preserve"> </w:t>
      </w:r>
      <w:r w:rsidRPr="00EA59C0">
        <w:rPr>
          <w:rFonts w:ascii="Arial" w:hAnsi="Arial"/>
          <w:sz w:val="20"/>
        </w:rPr>
        <w:t>commons</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easy</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create</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use</w:t>
      </w:r>
      <w:r w:rsidR="00C026A6" w:rsidRPr="00EA59C0">
        <w:rPr>
          <w:rFonts w:ascii="Arial" w:hAnsi="Arial"/>
          <w:sz w:val="20"/>
        </w:rPr>
        <w:t xml:space="preserve"> </w:t>
      </w:r>
      <w:r w:rsidRPr="00EA59C0">
        <w:rPr>
          <w:rFonts w:ascii="Arial" w:hAnsi="Arial"/>
          <w:sz w:val="20"/>
        </w:rPr>
        <w:t>on</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NTER</w:t>
      </w:r>
      <w:r w:rsidR="00C026A6" w:rsidRPr="00EA59C0">
        <w:rPr>
          <w:rFonts w:ascii="Arial" w:hAnsi="Arial"/>
          <w:sz w:val="20"/>
        </w:rPr>
        <w:t xml:space="preserve"> </w:t>
      </w:r>
      <w:r w:rsidRPr="00EA59C0">
        <w:rPr>
          <w:rFonts w:ascii="Arial" w:hAnsi="Arial"/>
          <w:sz w:val="20"/>
        </w:rPr>
        <w:t>platform.</w:t>
      </w:r>
      <w:r w:rsidR="00C026A6" w:rsidRPr="00EA59C0">
        <w:rPr>
          <w:rFonts w:ascii="Arial" w:hAnsi="Arial"/>
          <w:sz w:val="20"/>
        </w:rPr>
        <w:t xml:space="preserve"> </w:t>
      </w:r>
      <w:r w:rsidRPr="00EA59C0">
        <w:rPr>
          <w:rFonts w:ascii="Arial" w:hAnsi="Arial"/>
          <w:sz w:val="20"/>
        </w:rPr>
        <w:t>For</w:t>
      </w:r>
      <w:r w:rsidR="00C026A6" w:rsidRPr="00EA59C0">
        <w:rPr>
          <w:rFonts w:ascii="Arial" w:hAnsi="Arial"/>
          <w:sz w:val="20"/>
        </w:rPr>
        <w:t xml:space="preserve"> </w:t>
      </w:r>
      <w:r w:rsidRPr="00EA59C0">
        <w:rPr>
          <w:rFonts w:ascii="Arial" w:hAnsi="Arial"/>
          <w:sz w:val="20"/>
        </w:rPr>
        <w:t>example,</w:t>
      </w:r>
      <w:r w:rsidR="00C026A6" w:rsidRPr="00EA59C0">
        <w:rPr>
          <w:rFonts w:ascii="Arial" w:hAnsi="Arial"/>
          <w:sz w:val="20"/>
        </w:rPr>
        <w:t xml:space="preserve"> </w:t>
      </w:r>
      <w:r w:rsidRPr="00EA59C0">
        <w:rPr>
          <w:rFonts w:ascii="Arial" w:hAnsi="Arial"/>
          <w:sz w:val="20"/>
        </w:rPr>
        <w:t>unless</w:t>
      </w:r>
      <w:r w:rsidR="00C026A6" w:rsidRPr="00EA59C0">
        <w:rPr>
          <w:rFonts w:ascii="Arial" w:hAnsi="Arial"/>
          <w:sz w:val="20"/>
        </w:rPr>
        <w:t xml:space="preserve"> </w:t>
      </w:r>
      <w:r w:rsidRPr="00EA59C0">
        <w:rPr>
          <w:rFonts w:ascii="Arial" w:hAnsi="Arial"/>
          <w:sz w:val="20"/>
        </w:rPr>
        <w:t>otherwise</w:t>
      </w:r>
      <w:r w:rsidR="00C026A6" w:rsidRPr="00EA59C0">
        <w:rPr>
          <w:rFonts w:ascii="Arial" w:hAnsi="Arial"/>
          <w:sz w:val="20"/>
        </w:rPr>
        <w:t xml:space="preserve"> </w:t>
      </w:r>
      <w:r w:rsidRPr="00EA59C0">
        <w:rPr>
          <w:rFonts w:ascii="Arial" w:hAnsi="Arial"/>
          <w:sz w:val="20"/>
        </w:rPr>
        <w:t>noted,</w:t>
      </w:r>
      <w:r w:rsidR="00C026A6" w:rsidRPr="00EA59C0">
        <w:rPr>
          <w:rFonts w:ascii="Arial" w:hAnsi="Arial"/>
          <w:sz w:val="20"/>
        </w:rPr>
        <w:t xml:space="preserve"> </w:t>
      </w:r>
      <w:r w:rsidRPr="00EA59C0">
        <w:rPr>
          <w:rFonts w:ascii="Arial" w:hAnsi="Arial"/>
          <w:sz w:val="20"/>
        </w:rPr>
        <w:t>all</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on</w:t>
      </w:r>
      <w:r w:rsidR="00C026A6" w:rsidRPr="00EA59C0">
        <w:rPr>
          <w:rFonts w:ascii="Arial" w:hAnsi="Arial"/>
          <w:sz w:val="20"/>
        </w:rPr>
        <w:t xml:space="preserve"> </w:t>
      </w:r>
      <w:hyperlink r:id="rId357" w:history="1">
        <w:r w:rsidRPr="00EA59C0">
          <w:rPr>
            <w:rStyle w:val="Hyperlink"/>
            <w:rFonts w:ascii="Arial" w:hAnsi="Arial"/>
            <w:color w:val="auto"/>
            <w:sz w:val="20"/>
          </w:rPr>
          <w:t>www.NTERlearning.org</w:t>
        </w:r>
      </w:hyperlink>
      <w:r w:rsidR="00C026A6" w:rsidRPr="00EA59C0">
        <w:rPr>
          <w:rFonts w:ascii="Arial" w:hAnsi="Arial"/>
          <w:sz w:val="20"/>
        </w:rPr>
        <w:t xml:space="preserve"> </w:t>
      </w:r>
      <w:r w:rsidR="00A43BF2" w:rsidRPr="00EA59C0">
        <w:rPr>
          <w:rFonts w:ascii="Arial" w:hAnsi="Arial"/>
          <w:sz w:val="20"/>
        </w:rPr>
        <w:t>is</w:t>
      </w:r>
      <w:r w:rsidR="00C026A6" w:rsidRPr="00EA59C0">
        <w:rPr>
          <w:rFonts w:ascii="Arial" w:hAnsi="Arial"/>
          <w:sz w:val="20"/>
        </w:rPr>
        <w:t xml:space="preserve"> </w:t>
      </w:r>
      <w:r w:rsidRPr="00EA59C0">
        <w:rPr>
          <w:rFonts w:ascii="Arial" w:hAnsi="Arial"/>
          <w:sz w:val="20"/>
        </w:rPr>
        <w:t>licensed</w:t>
      </w:r>
      <w:r w:rsidR="00C026A6" w:rsidRPr="00EA59C0">
        <w:rPr>
          <w:rFonts w:ascii="Arial" w:hAnsi="Arial"/>
          <w:sz w:val="20"/>
        </w:rPr>
        <w:t xml:space="preserve"> </w:t>
      </w:r>
      <w:r w:rsidRPr="00EA59C0">
        <w:rPr>
          <w:rFonts w:ascii="Arial" w:hAnsi="Arial"/>
          <w:sz w:val="20"/>
        </w:rPr>
        <w:t>under</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creative</w:t>
      </w:r>
      <w:r w:rsidR="00C026A6" w:rsidRPr="00EA59C0">
        <w:rPr>
          <w:rFonts w:ascii="Arial" w:hAnsi="Arial"/>
          <w:sz w:val="20"/>
        </w:rPr>
        <w:t xml:space="preserve"> </w:t>
      </w:r>
      <w:r w:rsidRPr="00EA59C0">
        <w:rPr>
          <w:rFonts w:ascii="Arial" w:hAnsi="Arial"/>
          <w:sz w:val="20"/>
        </w:rPr>
        <w:t>commons</w:t>
      </w:r>
      <w:r w:rsidR="00C026A6" w:rsidRPr="00EA59C0">
        <w:rPr>
          <w:rFonts w:ascii="Arial" w:hAnsi="Arial"/>
          <w:sz w:val="20"/>
        </w:rPr>
        <w:t xml:space="preserve"> </w:t>
      </w:r>
      <w:r w:rsidRPr="00EA59C0">
        <w:rPr>
          <w:rFonts w:ascii="Arial" w:hAnsi="Arial"/>
          <w:sz w:val="20"/>
        </w:rPr>
        <w:t>by</w:t>
      </w:r>
      <w:r w:rsidR="00C026A6" w:rsidRPr="00EA59C0">
        <w:rPr>
          <w:rFonts w:ascii="Arial" w:hAnsi="Arial"/>
          <w:sz w:val="20"/>
        </w:rPr>
        <w:t xml:space="preserve"> </w:t>
      </w:r>
      <w:r w:rsidRPr="00EA59C0">
        <w:rPr>
          <w:rFonts w:ascii="Arial" w:hAnsi="Arial"/>
          <w:sz w:val="20"/>
        </w:rPr>
        <w:t>attribution</w:t>
      </w:r>
      <w:r w:rsidR="00C026A6" w:rsidRPr="00EA59C0">
        <w:rPr>
          <w:rFonts w:ascii="Arial" w:hAnsi="Arial"/>
          <w:sz w:val="20"/>
        </w:rPr>
        <w:t xml:space="preserve"> </w:t>
      </w:r>
      <w:r w:rsidRPr="00EA59C0">
        <w:rPr>
          <w:rFonts w:ascii="Arial" w:hAnsi="Arial"/>
          <w:sz w:val="20"/>
        </w:rPr>
        <w:t>3.0</w:t>
      </w:r>
      <w:r w:rsidR="00C026A6" w:rsidRPr="00EA59C0">
        <w:rPr>
          <w:rFonts w:ascii="Arial" w:hAnsi="Arial"/>
          <w:sz w:val="20"/>
        </w:rPr>
        <w:t xml:space="preserve"> </w:t>
      </w:r>
      <w:r w:rsidRPr="00EA59C0">
        <w:rPr>
          <w:rFonts w:ascii="Arial" w:hAnsi="Arial"/>
          <w:sz w:val="20"/>
        </w:rPr>
        <w:t>license</w:t>
      </w:r>
      <w:r w:rsidR="00C026A6" w:rsidRPr="00EA59C0">
        <w:rPr>
          <w:rFonts w:ascii="Arial" w:hAnsi="Arial"/>
          <w:sz w:val="20"/>
        </w:rPr>
        <w:t xml:space="preserve"> </w:t>
      </w:r>
      <w:r w:rsidRPr="00EA59C0">
        <w:rPr>
          <w:rFonts w:ascii="Arial" w:hAnsi="Arial"/>
          <w:sz w:val="20"/>
        </w:rPr>
        <w:t>(CCBY</w:t>
      </w:r>
      <w:r w:rsidR="00C026A6" w:rsidRPr="00EA59C0">
        <w:rPr>
          <w:rFonts w:ascii="Arial" w:hAnsi="Arial"/>
          <w:sz w:val="20"/>
        </w:rPr>
        <w:t xml:space="preserve"> </w:t>
      </w:r>
      <w:r w:rsidRPr="00EA59C0">
        <w:rPr>
          <w:rFonts w:ascii="Arial" w:hAnsi="Arial"/>
          <w:sz w:val="20"/>
        </w:rPr>
        <w:t>3.0)</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as</w:t>
      </w:r>
      <w:r w:rsidR="00C026A6" w:rsidRPr="00EA59C0">
        <w:rPr>
          <w:rFonts w:ascii="Arial" w:hAnsi="Arial"/>
          <w:sz w:val="20"/>
        </w:rPr>
        <w:t xml:space="preserve"> </w:t>
      </w:r>
      <w:r w:rsidRPr="00EA59C0">
        <w:rPr>
          <w:rFonts w:ascii="Arial" w:hAnsi="Arial"/>
          <w:sz w:val="20"/>
        </w:rPr>
        <w:t>such</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free</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share</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modify</w:t>
      </w:r>
      <w:r w:rsidR="00C026A6" w:rsidRPr="00EA59C0">
        <w:rPr>
          <w:rFonts w:ascii="Arial" w:hAnsi="Arial"/>
          <w:sz w:val="20"/>
        </w:rPr>
        <w:t xml:space="preserve"> </w:t>
      </w:r>
      <w:r w:rsidRPr="00EA59C0">
        <w:rPr>
          <w:rFonts w:ascii="Arial" w:hAnsi="Arial"/>
          <w:sz w:val="20"/>
        </w:rPr>
        <w:t>with</w:t>
      </w:r>
      <w:r w:rsidR="00C026A6" w:rsidRPr="00EA59C0">
        <w:rPr>
          <w:rFonts w:ascii="Arial" w:hAnsi="Arial"/>
          <w:sz w:val="20"/>
        </w:rPr>
        <w:t xml:space="preserve"> </w:t>
      </w:r>
      <w:r w:rsidRPr="00EA59C0">
        <w:rPr>
          <w:rFonts w:ascii="Arial" w:hAnsi="Arial"/>
          <w:sz w:val="20"/>
        </w:rPr>
        <w:t>attribution.</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course,</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option</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use</w:t>
      </w:r>
      <w:r w:rsidR="00C026A6" w:rsidRPr="00EA59C0">
        <w:rPr>
          <w:rFonts w:ascii="Arial" w:hAnsi="Arial"/>
          <w:sz w:val="20"/>
        </w:rPr>
        <w:t xml:space="preserve"> </w:t>
      </w:r>
      <w:r w:rsidRPr="00EA59C0">
        <w:rPr>
          <w:rFonts w:ascii="Arial" w:hAnsi="Arial"/>
          <w:sz w:val="20"/>
        </w:rPr>
        <w:t>whatever</w:t>
      </w:r>
      <w:r w:rsidR="00C026A6" w:rsidRPr="00EA59C0">
        <w:rPr>
          <w:rFonts w:ascii="Arial" w:hAnsi="Arial"/>
          <w:sz w:val="20"/>
        </w:rPr>
        <w:t xml:space="preserve"> </w:t>
      </w:r>
      <w:r w:rsidRPr="00EA59C0">
        <w:rPr>
          <w:rFonts w:ascii="Arial" w:hAnsi="Arial"/>
          <w:sz w:val="20"/>
        </w:rPr>
        <w:t>creative</w:t>
      </w:r>
      <w:r w:rsidR="00C026A6" w:rsidRPr="00EA59C0">
        <w:rPr>
          <w:rFonts w:ascii="Arial" w:hAnsi="Arial"/>
          <w:sz w:val="20"/>
        </w:rPr>
        <w:t xml:space="preserve"> </w:t>
      </w:r>
      <w:r w:rsidRPr="00EA59C0">
        <w:rPr>
          <w:rFonts w:ascii="Arial" w:hAnsi="Arial"/>
          <w:sz w:val="20"/>
        </w:rPr>
        <w:t>commons</w:t>
      </w:r>
      <w:r w:rsidR="00C026A6" w:rsidRPr="00EA59C0">
        <w:rPr>
          <w:rFonts w:ascii="Arial" w:hAnsi="Arial"/>
          <w:sz w:val="20"/>
        </w:rPr>
        <w:t xml:space="preserve"> </w:t>
      </w:r>
      <w:r w:rsidRPr="00EA59C0">
        <w:rPr>
          <w:rFonts w:ascii="Arial" w:hAnsi="Arial"/>
          <w:sz w:val="20"/>
        </w:rPr>
        <w:t>licensing</w:t>
      </w:r>
      <w:r w:rsidR="00C026A6" w:rsidRPr="00EA59C0">
        <w:rPr>
          <w:rFonts w:ascii="Arial" w:hAnsi="Arial"/>
          <w:sz w:val="20"/>
        </w:rPr>
        <w:t xml:space="preserve"> </w:t>
      </w:r>
      <w:r w:rsidRPr="00EA59C0">
        <w:rPr>
          <w:rFonts w:ascii="Arial" w:hAnsi="Arial"/>
          <w:sz w:val="20"/>
        </w:rPr>
        <w:t>or</w:t>
      </w:r>
      <w:r w:rsidR="00C026A6" w:rsidRPr="00EA59C0">
        <w:rPr>
          <w:rFonts w:ascii="Arial" w:hAnsi="Arial"/>
          <w:sz w:val="20"/>
        </w:rPr>
        <w:t xml:space="preserve"> </w:t>
      </w:r>
      <w:r w:rsidRPr="00EA59C0">
        <w:rPr>
          <w:rFonts w:ascii="Arial" w:hAnsi="Arial"/>
          <w:sz w:val="20"/>
        </w:rPr>
        <w:t>non-open</w:t>
      </w:r>
      <w:r w:rsidR="00C026A6" w:rsidRPr="00EA59C0">
        <w:rPr>
          <w:rFonts w:ascii="Arial" w:hAnsi="Arial"/>
          <w:sz w:val="20"/>
        </w:rPr>
        <w:t xml:space="preserve"> </w:t>
      </w:r>
      <w:r w:rsidRPr="00EA59C0">
        <w:rPr>
          <w:rFonts w:ascii="Arial" w:hAnsi="Arial"/>
          <w:sz w:val="20"/>
        </w:rPr>
        <w:t>licensing</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dependent</w:t>
      </w:r>
      <w:r w:rsidR="00C026A6" w:rsidRPr="00EA59C0">
        <w:rPr>
          <w:rFonts w:ascii="Arial" w:hAnsi="Arial"/>
          <w:sz w:val="20"/>
        </w:rPr>
        <w:t xml:space="preserve"> </w:t>
      </w:r>
      <w:r w:rsidRPr="00EA59C0">
        <w:rPr>
          <w:rFonts w:ascii="Arial" w:hAnsi="Arial"/>
          <w:sz w:val="20"/>
        </w:rPr>
        <w:t>on</w:t>
      </w:r>
      <w:r w:rsidR="00C026A6" w:rsidRPr="00EA59C0">
        <w:rPr>
          <w:rFonts w:ascii="Arial" w:hAnsi="Arial"/>
          <w:sz w:val="20"/>
        </w:rPr>
        <w:t xml:space="preserve"> </w:t>
      </w:r>
      <w:r w:rsidRPr="00EA59C0">
        <w:rPr>
          <w:rFonts w:ascii="Arial" w:hAnsi="Arial"/>
          <w:sz w:val="20"/>
        </w:rPr>
        <w:t>each</w:t>
      </w:r>
      <w:r w:rsidR="00C026A6" w:rsidRPr="00EA59C0">
        <w:rPr>
          <w:rFonts w:ascii="Arial" w:hAnsi="Arial"/>
          <w:sz w:val="20"/>
        </w:rPr>
        <w:t xml:space="preserve"> </w:t>
      </w:r>
      <w:r w:rsidRPr="00EA59C0">
        <w:rPr>
          <w:rFonts w:ascii="Arial" w:hAnsi="Arial"/>
          <w:sz w:val="20"/>
        </w:rPr>
        <w:t>institution’s</w:t>
      </w:r>
      <w:r w:rsidR="00C026A6" w:rsidRPr="00EA59C0">
        <w:rPr>
          <w:rFonts w:ascii="Arial" w:hAnsi="Arial"/>
          <w:sz w:val="20"/>
        </w:rPr>
        <w:t xml:space="preserve">  </w:t>
      </w:r>
      <w:r w:rsidRPr="00EA59C0">
        <w:rPr>
          <w:rFonts w:ascii="Arial" w:hAnsi="Arial"/>
          <w:sz w:val="20"/>
        </w:rPr>
        <w:t>needs,</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NTER</w:t>
      </w:r>
      <w:r w:rsidR="00C026A6" w:rsidRPr="00EA59C0">
        <w:rPr>
          <w:rFonts w:ascii="Arial" w:hAnsi="Arial"/>
          <w:sz w:val="20"/>
        </w:rPr>
        <w:t xml:space="preserve"> </w:t>
      </w:r>
      <w:r w:rsidRPr="00EA59C0">
        <w:rPr>
          <w:rFonts w:ascii="Arial" w:hAnsi="Arial"/>
          <w:sz w:val="20"/>
        </w:rPr>
        <w:t>platform</w:t>
      </w:r>
      <w:r w:rsidR="00C026A6" w:rsidRPr="00EA59C0">
        <w:rPr>
          <w:rFonts w:ascii="Arial" w:hAnsi="Arial"/>
          <w:sz w:val="20"/>
        </w:rPr>
        <w:t xml:space="preserve"> </w:t>
      </w:r>
      <w:r w:rsidRPr="00EA59C0">
        <w:rPr>
          <w:rFonts w:ascii="Arial" w:hAnsi="Arial"/>
          <w:sz w:val="20"/>
        </w:rPr>
        <w:t>has</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capacity</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choose</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multitude</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different</w:t>
      </w:r>
      <w:r w:rsidR="00C026A6" w:rsidRPr="00EA59C0">
        <w:rPr>
          <w:rFonts w:ascii="Arial" w:hAnsi="Arial"/>
          <w:sz w:val="20"/>
        </w:rPr>
        <w:t xml:space="preserve"> </w:t>
      </w:r>
      <w:r w:rsidRPr="00EA59C0">
        <w:rPr>
          <w:rFonts w:ascii="Arial" w:hAnsi="Arial"/>
          <w:sz w:val="20"/>
        </w:rPr>
        <w:t>options,</w:t>
      </w:r>
      <w:r w:rsidR="00C026A6" w:rsidRPr="00EA59C0">
        <w:rPr>
          <w:rFonts w:ascii="Arial" w:hAnsi="Arial"/>
          <w:sz w:val="20"/>
        </w:rPr>
        <w:t xml:space="preserve"> </w:t>
      </w:r>
      <w:r w:rsidRPr="00EA59C0">
        <w:rPr>
          <w:rFonts w:ascii="Arial" w:hAnsi="Arial"/>
          <w:sz w:val="20"/>
        </w:rPr>
        <w:t>including</w:t>
      </w:r>
      <w:r w:rsidR="00C026A6" w:rsidRPr="00EA59C0">
        <w:rPr>
          <w:rFonts w:ascii="Arial" w:hAnsi="Arial"/>
          <w:sz w:val="20"/>
        </w:rPr>
        <w:t xml:space="preserve"> </w:t>
      </w:r>
      <w:r w:rsidRPr="00EA59C0">
        <w:rPr>
          <w:rFonts w:ascii="Arial" w:hAnsi="Arial"/>
          <w:sz w:val="20"/>
        </w:rPr>
        <w:t>an</w:t>
      </w:r>
      <w:r w:rsidR="00C026A6" w:rsidRPr="00EA59C0">
        <w:rPr>
          <w:rFonts w:ascii="Arial" w:hAnsi="Arial"/>
          <w:sz w:val="20"/>
        </w:rPr>
        <w:t xml:space="preserve"> </w:t>
      </w:r>
      <w:r w:rsidRPr="00EA59C0">
        <w:rPr>
          <w:rFonts w:ascii="Arial" w:hAnsi="Arial"/>
          <w:sz w:val="20"/>
        </w:rPr>
        <w:t>embedded</w:t>
      </w:r>
      <w:r w:rsidR="00C026A6" w:rsidRPr="00EA59C0">
        <w:rPr>
          <w:rFonts w:ascii="Arial" w:hAnsi="Arial"/>
          <w:sz w:val="20"/>
        </w:rPr>
        <w:t xml:space="preserve"> </w:t>
      </w:r>
      <w:r w:rsidRPr="00EA59C0">
        <w:rPr>
          <w:rFonts w:ascii="Arial" w:hAnsi="Arial"/>
          <w:sz w:val="20"/>
        </w:rPr>
        <w:t>marketplace</w:t>
      </w:r>
      <w:r w:rsidR="00C026A6" w:rsidRPr="00EA59C0">
        <w:rPr>
          <w:rFonts w:ascii="Arial" w:hAnsi="Arial"/>
          <w:sz w:val="20"/>
        </w:rPr>
        <w:t xml:space="preserve"> </w:t>
      </w:r>
      <w:r w:rsidRPr="00EA59C0">
        <w:rPr>
          <w:rFonts w:ascii="Arial" w:hAnsi="Arial"/>
          <w:sz w:val="20"/>
        </w:rPr>
        <w:t>feature</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sell</w:t>
      </w:r>
      <w:r w:rsidR="00C026A6" w:rsidRPr="00EA59C0">
        <w:rPr>
          <w:rFonts w:ascii="Arial" w:hAnsi="Arial"/>
          <w:sz w:val="20"/>
        </w:rPr>
        <w:t xml:space="preserve"> </w:t>
      </w:r>
      <w:r w:rsidRPr="00EA59C0">
        <w:rPr>
          <w:rFonts w:ascii="Arial" w:hAnsi="Arial"/>
          <w:sz w:val="20"/>
        </w:rPr>
        <w:t>courses</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contents.</w:t>
      </w:r>
      <w:r w:rsidR="00C026A6" w:rsidRPr="00EA59C0">
        <w:rPr>
          <w:rFonts w:ascii="Arial" w:hAnsi="Arial"/>
          <w:sz w:val="20"/>
        </w:rPr>
        <w:t xml:space="preserve"> </w:t>
      </w:r>
      <w:r w:rsidRPr="00EA59C0">
        <w:rPr>
          <w:rFonts w:ascii="Arial" w:hAnsi="Arial"/>
          <w:sz w:val="20"/>
        </w:rPr>
        <w:t>Like</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number</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open</w:t>
      </w:r>
      <w:r w:rsidR="00C026A6" w:rsidRPr="00EA59C0">
        <w:rPr>
          <w:rFonts w:ascii="Arial" w:hAnsi="Arial"/>
          <w:sz w:val="20"/>
        </w:rPr>
        <w:t xml:space="preserve"> </w:t>
      </w:r>
      <w:r w:rsidRPr="00EA59C0">
        <w:rPr>
          <w:rFonts w:ascii="Arial" w:hAnsi="Arial"/>
          <w:sz w:val="20"/>
        </w:rPr>
        <w:t>source</w:t>
      </w:r>
      <w:r w:rsidR="00C026A6" w:rsidRPr="00EA59C0">
        <w:rPr>
          <w:rFonts w:ascii="Arial" w:hAnsi="Arial"/>
          <w:sz w:val="20"/>
        </w:rPr>
        <w:t xml:space="preserve"> </w:t>
      </w:r>
      <w:r w:rsidRPr="00EA59C0">
        <w:rPr>
          <w:rFonts w:ascii="Arial" w:hAnsi="Arial"/>
          <w:sz w:val="20"/>
        </w:rPr>
        <w:t>projects,</w:t>
      </w:r>
      <w:r w:rsidR="00C026A6" w:rsidRPr="00EA59C0">
        <w:rPr>
          <w:rFonts w:ascii="Arial" w:hAnsi="Arial"/>
          <w:sz w:val="20"/>
        </w:rPr>
        <w:t xml:space="preserve"> </w:t>
      </w:r>
      <w:r w:rsidRPr="00EA59C0">
        <w:rPr>
          <w:rFonts w:ascii="Arial" w:hAnsi="Arial"/>
          <w:sz w:val="20"/>
        </w:rPr>
        <w:t>an</w:t>
      </w:r>
      <w:r w:rsidR="00C026A6" w:rsidRPr="00EA59C0">
        <w:rPr>
          <w:rFonts w:ascii="Arial" w:hAnsi="Arial"/>
          <w:sz w:val="20"/>
        </w:rPr>
        <w:t xml:space="preserve"> </w:t>
      </w:r>
      <w:r w:rsidRPr="00EA59C0">
        <w:rPr>
          <w:rFonts w:ascii="Arial" w:hAnsi="Arial"/>
          <w:sz w:val="20"/>
        </w:rPr>
        <w:t>open</w:t>
      </w:r>
      <w:r w:rsidR="00C026A6" w:rsidRPr="00EA59C0">
        <w:rPr>
          <w:rFonts w:ascii="Arial" w:hAnsi="Arial"/>
          <w:sz w:val="20"/>
        </w:rPr>
        <w:t xml:space="preserve"> </w:t>
      </w:r>
      <w:r w:rsidRPr="00EA59C0">
        <w:rPr>
          <w:rFonts w:ascii="Arial" w:hAnsi="Arial"/>
          <w:sz w:val="20"/>
        </w:rPr>
        <w:t>source</w:t>
      </w:r>
      <w:r w:rsidR="00C026A6" w:rsidRPr="00EA59C0">
        <w:rPr>
          <w:rFonts w:ascii="Arial" w:hAnsi="Arial"/>
          <w:sz w:val="20"/>
        </w:rPr>
        <w:t xml:space="preserve"> </w:t>
      </w:r>
      <w:r w:rsidRPr="00EA59C0">
        <w:rPr>
          <w:rFonts w:ascii="Arial" w:hAnsi="Arial"/>
          <w:sz w:val="20"/>
        </w:rPr>
        <w:t>support</w:t>
      </w:r>
      <w:r w:rsidR="00C026A6" w:rsidRPr="00EA59C0">
        <w:rPr>
          <w:rFonts w:ascii="Arial" w:hAnsi="Arial"/>
          <w:sz w:val="20"/>
        </w:rPr>
        <w:t xml:space="preserve"> </w:t>
      </w:r>
      <w:r w:rsidRPr="00EA59C0">
        <w:rPr>
          <w:rFonts w:ascii="Arial" w:hAnsi="Arial"/>
          <w:sz w:val="20"/>
        </w:rPr>
        <w:t>community</w:t>
      </w:r>
      <w:r w:rsidR="00C026A6" w:rsidRPr="00EA59C0">
        <w:rPr>
          <w:rFonts w:ascii="Arial" w:hAnsi="Arial"/>
          <w:sz w:val="20"/>
        </w:rPr>
        <w:t xml:space="preserve"> </w:t>
      </w:r>
      <w:r w:rsidRPr="00EA59C0">
        <w:rPr>
          <w:rFonts w:ascii="Arial" w:hAnsi="Arial"/>
          <w:sz w:val="20"/>
        </w:rPr>
        <w:t>has</w:t>
      </w:r>
      <w:r w:rsidR="00C026A6" w:rsidRPr="00EA59C0">
        <w:rPr>
          <w:rFonts w:ascii="Arial" w:hAnsi="Arial"/>
          <w:sz w:val="20"/>
        </w:rPr>
        <w:t xml:space="preserve"> </w:t>
      </w:r>
      <w:r w:rsidRPr="00EA59C0">
        <w:rPr>
          <w:rFonts w:ascii="Arial" w:hAnsi="Arial"/>
          <w:sz w:val="20"/>
        </w:rPr>
        <w:t>formed</w:t>
      </w:r>
      <w:r w:rsidR="00C026A6" w:rsidRPr="00EA59C0">
        <w:rPr>
          <w:rFonts w:ascii="Arial" w:hAnsi="Arial"/>
          <w:sz w:val="20"/>
        </w:rPr>
        <w:t xml:space="preserve"> </w:t>
      </w:r>
      <w:r w:rsidRPr="00EA59C0">
        <w:rPr>
          <w:rFonts w:ascii="Arial" w:hAnsi="Arial"/>
          <w:sz w:val="20"/>
        </w:rPr>
        <w:t>around</w:t>
      </w:r>
      <w:r w:rsidR="00C026A6" w:rsidRPr="00EA59C0">
        <w:rPr>
          <w:rFonts w:ascii="Arial" w:hAnsi="Arial"/>
          <w:sz w:val="20"/>
        </w:rPr>
        <w:t xml:space="preserve"> </w:t>
      </w:r>
      <w:r w:rsidRPr="00EA59C0">
        <w:rPr>
          <w:rFonts w:ascii="Arial" w:hAnsi="Arial"/>
          <w:sz w:val="20"/>
        </w:rPr>
        <w:t>NTER,</w:t>
      </w:r>
      <w:r w:rsidR="00C026A6" w:rsidRPr="00EA59C0">
        <w:rPr>
          <w:rFonts w:ascii="Arial" w:hAnsi="Arial"/>
          <w:sz w:val="20"/>
        </w:rPr>
        <w:t xml:space="preserve"> </w:t>
      </w:r>
      <w:hyperlink r:id="rId358" w:history="1">
        <w:r w:rsidRPr="00EA59C0">
          <w:rPr>
            <w:rStyle w:val="Hyperlink"/>
            <w:rFonts w:ascii="Arial" w:hAnsi="Arial"/>
            <w:color w:val="auto"/>
            <w:sz w:val="20"/>
          </w:rPr>
          <w:t>www.Ntercom.org</w:t>
        </w:r>
      </w:hyperlink>
      <w:r w:rsidRPr="00EA59C0">
        <w:rPr>
          <w:rFonts w:ascii="Arial" w:hAnsi="Arial"/>
          <w:sz w:val="20"/>
        </w:rPr>
        <w:t>.</w:t>
      </w:r>
      <w:r w:rsidR="00C026A6" w:rsidRPr="00EA59C0">
        <w:rPr>
          <w:rFonts w:ascii="Arial" w:hAnsi="Arial"/>
          <w:sz w:val="20"/>
        </w:rPr>
        <w:t xml:space="preserve"> </w:t>
      </w:r>
      <w:r w:rsidRPr="00EA59C0">
        <w:rPr>
          <w:rFonts w:ascii="Arial" w:hAnsi="Arial"/>
          <w:sz w:val="20"/>
        </w:rPr>
        <w:t>At</w:t>
      </w:r>
      <w:r w:rsidR="00C026A6" w:rsidRPr="00EA59C0">
        <w:rPr>
          <w:rFonts w:ascii="Arial" w:hAnsi="Arial"/>
          <w:sz w:val="20"/>
        </w:rPr>
        <w:t xml:space="preserve"> </w:t>
      </w:r>
      <w:r w:rsidRPr="00EA59C0">
        <w:rPr>
          <w:rFonts w:ascii="Arial" w:hAnsi="Arial"/>
          <w:sz w:val="20"/>
        </w:rPr>
        <w:t>NTERcom</w:t>
      </w:r>
      <w:r w:rsidR="00C026A6" w:rsidRPr="00EA59C0">
        <w:rPr>
          <w:rFonts w:ascii="Arial" w:hAnsi="Arial"/>
          <w:sz w:val="20"/>
        </w:rPr>
        <w:t xml:space="preserve"> </w:t>
      </w:r>
      <w:r w:rsidRPr="00EA59C0">
        <w:rPr>
          <w:rFonts w:ascii="Arial" w:hAnsi="Arial"/>
          <w:sz w:val="20"/>
        </w:rPr>
        <w:t>are</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number</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useful</w:t>
      </w:r>
      <w:r w:rsidR="00C026A6" w:rsidRPr="00EA59C0">
        <w:rPr>
          <w:rFonts w:ascii="Arial" w:hAnsi="Arial"/>
          <w:sz w:val="20"/>
        </w:rPr>
        <w:t xml:space="preserve"> </w:t>
      </w:r>
      <w:r w:rsidRPr="00EA59C0">
        <w:rPr>
          <w:rFonts w:ascii="Arial" w:hAnsi="Arial"/>
          <w:sz w:val="20"/>
        </w:rPr>
        <w:t>resources</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FAQs</w:t>
      </w:r>
      <w:r w:rsidR="00C026A6" w:rsidRPr="00EA59C0">
        <w:rPr>
          <w:rFonts w:ascii="Arial" w:hAnsi="Arial"/>
          <w:sz w:val="20"/>
        </w:rPr>
        <w:t xml:space="preserve"> </w:t>
      </w:r>
      <w:r w:rsidRPr="00EA59C0">
        <w:rPr>
          <w:rFonts w:ascii="Arial" w:hAnsi="Arial"/>
          <w:sz w:val="20"/>
        </w:rPr>
        <w:t>for</w:t>
      </w:r>
      <w:r w:rsidR="00C026A6" w:rsidRPr="00EA59C0">
        <w:rPr>
          <w:rFonts w:ascii="Arial" w:hAnsi="Arial"/>
          <w:sz w:val="20"/>
        </w:rPr>
        <w:t xml:space="preserve"> </w:t>
      </w:r>
      <w:r w:rsidRPr="00EA59C0">
        <w:rPr>
          <w:rFonts w:ascii="Arial" w:hAnsi="Arial"/>
          <w:sz w:val="20"/>
        </w:rPr>
        <w:t>those</w:t>
      </w:r>
      <w:r w:rsidR="00C026A6" w:rsidRPr="00EA59C0">
        <w:rPr>
          <w:rFonts w:ascii="Arial" w:hAnsi="Arial"/>
          <w:sz w:val="20"/>
        </w:rPr>
        <w:t xml:space="preserve"> </w:t>
      </w:r>
      <w:r w:rsidRPr="00EA59C0">
        <w:rPr>
          <w:rFonts w:ascii="Arial" w:hAnsi="Arial"/>
          <w:sz w:val="20"/>
        </w:rPr>
        <w:t>interested</w:t>
      </w:r>
      <w:r w:rsidR="00C026A6" w:rsidRPr="00EA59C0">
        <w:rPr>
          <w:rFonts w:ascii="Arial" w:hAnsi="Arial"/>
          <w:sz w:val="20"/>
        </w:rPr>
        <w:t xml:space="preserve"> </w:t>
      </w:r>
      <w:r w:rsidRPr="00EA59C0">
        <w:rPr>
          <w:rFonts w:ascii="Arial" w:hAnsi="Arial"/>
          <w:sz w:val="20"/>
        </w:rPr>
        <w:t>in</w:t>
      </w:r>
      <w:r w:rsidR="00C026A6" w:rsidRPr="00EA59C0">
        <w:rPr>
          <w:rFonts w:ascii="Arial" w:hAnsi="Arial"/>
          <w:sz w:val="20"/>
        </w:rPr>
        <w:t xml:space="preserve"> </w:t>
      </w:r>
      <w:r w:rsidRPr="00EA59C0">
        <w:rPr>
          <w:rFonts w:ascii="Arial" w:hAnsi="Arial"/>
          <w:sz w:val="20"/>
        </w:rPr>
        <w:t>learning</w:t>
      </w:r>
      <w:r w:rsidR="00C026A6" w:rsidRPr="00EA59C0">
        <w:rPr>
          <w:rFonts w:ascii="Arial" w:hAnsi="Arial"/>
          <w:sz w:val="20"/>
        </w:rPr>
        <w:t xml:space="preserve"> </w:t>
      </w:r>
      <w:r w:rsidRPr="00EA59C0">
        <w:rPr>
          <w:rFonts w:ascii="Arial" w:hAnsi="Arial"/>
          <w:sz w:val="20"/>
        </w:rPr>
        <w:t>more</w:t>
      </w:r>
      <w:r w:rsidR="00C026A6" w:rsidRPr="00EA59C0">
        <w:rPr>
          <w:rFonts w:ascii="Arial" w:hAnsi="Arial"/>
          <w:sz w:val="20"/>
        </w:rPr>
        <w:t xml:space="preserve"> </w:t>
      </w:r>
      <w:r w:rsidRPr="00EA59C0">
        <w:rPr>
          <w:rFonts w:ascii="Arial" w:hAnsi="Arial"/>
          <w:sz w:val="20"/>
        </w:rPr>
        <w:t>about</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NTER</w:t>
      </w:r>
      <w:r w:rsidR="00C026A6" w:rsidRPr="00EA59C0">
        <w:rPr>
          <w:rFonts w:ascii="Arial" w:hAnsi="Arial"/>
          <w:sz w:val="20"/>
        </w:rPr>
        <w:t xml:space="preserve"> </w:t>
      </w:r>
      <w:r w:rsidRPr="00EA59C0">
        <w:rPr>
          <w:rFonts w:ascii="Arial" w:hAnsi="Arial"/>
          <w:sz w:val="20"/>
        </w:rPr>
        <w:t>platform.</w:t>
      </w:r>
      <w:r w:rsidR="00C026A6" w:rsidRPr="00EA59C0">
        <w:rPr>
          <w:rFonts w:ascii="Arial" w:hAnsi="Arial"/>
          <w:sz w:val="20"/>
        </w:rPr>
        <w:t xml:space="preserve"> </w:t>
      </w:r>
    </w:p>
    <w:p w:rsidR="008826BE" w:rsidRPr="00EA59C0" w:rsidRDefault="008826BE" w:rsidP="00DB00BB">
      <w:pPr>
        <w:pStyle w:val="NoSpacing"/>
        <w:rPr>
          <w:rFonts w:ascii="Arial" w:hAnsi="Arial"/>
          <w:sz w:val="20"/>
        </w:rPr>
      </w:pPr>
    </w:p>
    <w:p w:rsidR="008826BE" w:rsidRPr="00EA59C0" w:rsidRDefault="008826BE" w:rsidP="00DB00BB">
      <w:pPr>
        <w:pStyle w:val="NoSpacing"/>
        <w:rPr>
          <w:rFonts w:ascii="Arial" w:hAnsi="Arial"/>
          <w:b/>
          <w:sz w:val="20"/>
        </w:rPr>
      </w:pPr>
      <w:r w:rsidRPr="00EA59C0">
        <w:rPr>
          <w:rFonts w:ascii="Arial" w:hAnsi="Arial"/>
          <w:b/>
          <w:sz w:val="20"/>
        </w:rPr>
        <w:t>What</w:t>
      </w:r>
      <w:r w:rsidR="00C026A6" w:rsidRPr="00EA59C0">
        <w:rPr>
          <w:rFonts w:ascii="Arial" w:hAnsi="Arial"/>
          <w:b/>
          <w:sz w:val="20"/>
        </w:rPr>
        <w:t xml:space="preserve"> </w:t>
      </w:r>
      <w:r w:rsidRPr="00EA59C0">
        <w:rPr>
          <w:rFonts w:ascii="Arial" w:hAnsi="Arial"/>
          <w:b/>
          <w:sz w:val="20"/>
        </w:rPr>
        <w:t>are</w:t>
      </w:r>
      <w:r w:rsidR="00C026A6" w:rsidRPr="00EA59C0">
        <w:rPr>
          <w:rFonts w:ascii="Arial" w:hAnsi="Arial"/>
          <w:b/>
          <w:sz w:val="20"/>
        </w:rPr>
        <w:t xml:space="preserve"> </w:t>
      </w:r>
      <w:r w:rsidRPr="00EA59C0">
        <w:rPr>
          <w:rFonts w:ascii="Arial" w:hAnsi="Arial"/>
          <w:b/>
          <w:sz w:val="20"/>
        </w:rPr>
        <w:t>the</w:t>
      </w:r>
      <w:r w:rsidR="00C026A6" w:rsidRPr="00EA59C0">
        <w:rPr>
          <w:rFonts w:ascii="Arial" w:hAnsi="Arial"/>
          <w:b/>
          <w:sz w:val="20"/>
        </w:rPr>
        <w:t xml:space="preserve"> </w:t>
      </w:r>
      <w:r w:rsidRPr="00EA59C0">
        <w:rPr>
          <w:rFonts w:ascii="Arial" w:hAnsi="Arial"/>
          <w:b/>
          <w:sz w:val="20"/>
        </w:rPr>
        <w:t>technical</w:t>
      </w:r>
      <w:r w:rsidR="00C026A6" w:rsidRPr="00EA59C0">
        <w:rPr>
          <w:rFonts w:ascii="Arial" w:hAnsi="Arial"/>
          <w:b/>
          <w:sz w:val="20"/>
        </w:rPr>
        <w:t xml:space="preserve"> </w:t>
      </w:r>
      <w:r w:rsidRPr="00EA59C0">
        <w:rPr>
          <w:rFonts w:ascii="Arial" w:hAnsi="Arial"/>
          <w:b/>
          <w:sz w:val="20"/>
        </w:rPr>
        <w:t>requirements</w:t>
      </w:r>
      <w:r w:rsidR="00C026A6" w:rsidRPr="00EA59C0">
        <w:rPr>
          <w:rFonts w:ascii="Arial" w:hAnsi="Arial"/>
          <w:b/>
          <w:sz w:val="20"/>
        </w:rPr>
        <w:t xml:space="preserve"> </w:t>
      </w:r>
      <w:r w:rsidRPr="00EA59C0">
        <w:rPr>
          <w:rFonts w:ascii="Arial" w:hAnsi="Arial"/>
          <w:b/>
          <w:sz w:val="20"/>
        </w:rPr>
        <w:t>for</w:t>
      </w:r>
      <w:r w:rsidR="00C026A6" w:rsidRPr="00EA59C0">
        <w:rPr>
          <w:rFonts w:ascii="Arial" w:hAnsi="Arial"/>
          <w:b/>
          <w:sz w:val="20"/>
        </w:rPr>
        <w:t xml:space="preserve"> </w:t>
      </w:r>
      <w:r w:rsidRPr="00EA59C0">
        <w:rPr>
          <w:rFonts w:ascii="Arial" w:hAnsi="Arial"/>
          <w:b/>
          <w:sz w:val="20"/>
        </w:rPr>
        <w:t>NTER?</w:t>
      </w:r>
    </w:p>
    <w:p w:rsidR="008826BE" w:rsidRPr="00EA59C0" w:rsidRDefault="008826BE" w:rsidP="00DB00BB">
      <w:pPr>
        <w:pStyle w:val="NoSpacing"/>
        <w:rPr>
          <w:rFonts w:ascii="Arial" w:hAnsi="Arial"/>
          <w:sz w:val="20"/>
        </w:rPr>
      </w:pPr>
      <w:r w:rsidRPr="00EA59C0">
        <w:rPr>
          <w:rFonts w:ascii="Arial" w:hAnsi="Arial"/>
          <w:sz w:val="20"/>
        </w:rPr>
        <w:t>NTER</w:t>
      </w:r>
      <w:r w:rsidR="00C026A6" w:rsidRPr="00EA59C0">
        <w:rPr>
          <w:rFonts w:ascii="Arial" w:hAnsi="Arial"/>
          <w:sz w:val="20"/>
        </w:rPr>
        <w:t xml:space="preserve"> </w:t>
      </w:r>
      <w:r w:rsidRPr="00EA59C0">
        <w:rPr>
          <w:rFonts w:ascii="Arial" w:hAnsi="Arial"/>
          <w:sz w:val="20"/>
        </w:rPr>
        <w:t>is</w:t>
      </w:r>
      <w:r w:rsidR="00C026A6" w:rsidRPr="00EA59C0">
        <w:rPr>
          <w:rFonts w:ascii="Arial" w:hAnsi="Arial"/>
          <w:sz w:val="20"/>
        </w:rPr>
        <w:t xml:space="preserve"> </w:t>
      </w:r>
      <w:r w:rsidRPr="00EA59C0">
        <w:rPr>
          <w:rFonts w:ascii="Arial" w:hAnsi="Arial"/>
          <w:sz w:val="20"/>
        </w:rPr>
        <w:t>designed</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work</w:t>
      </w:r>
      <w:r w:rsidR="00C026A6" w:rsidRPr="00EA59C0">
        <w:rPr>
          <w:rFonts w:ascii="Arial" w:hAnsi="Arial"/>
          <w:sz w:val="20"/>
        </w:rPr>
        <w:t xml:space="preserve"> </w:t>
      </w:r>
      <w:r w:rsidRPr="00EA59C0">
        <w:rPr>
          <w:rFonts w:ascii="Arial" w:hAnsi="Arial"/>
          <w:sz w:val="20"/>
        </w:rPr>
        <w:t>with</w:t>
      </w:r>
      <w:r w:rsidR="00C026A6" w:rsidRPr="00EA59C0">
        <w:rPr>
          <w:rFonts w:ascii="Arial" w:hAnsi="Arial"/>
          <w:sz w:val="20"/>
        </w:rPr>
        <w:t xml:space="preserve"> </w:t>
      </w:r>
      <w:r w:rsidRPr="00EA59C0">
        <w:rPr>
          <w:rFonts w:ascii="Arial" w:hAnsi="Arial"/>
          <w:sz w:val="20"/>
        </w:rPr>
        <w:t>Internet</w:t>
      </w:r>
      <w:r w:rsidR="00C026A6" w:rsidRPr="00EA59C0">
        <w:rPr>
          <w:rFonts w:ascii="Arial" w:hAnsi="Arial"/>
          <w:sz w:val="20"/>
        </w:rPr>
        <w:t xml:space="preserve"> </w:t>
      </w:r>
      <w:r w:rsidRPr="00EA59C0">
        <w:rPr>
          <w:rFonts w:ascii="Arial" w:hAnsi="Arial"/>
          <w:sz w:val="20"/>
        </w:rPr>
        <w:t>Explorer</w:t>
      </w:r>
      <w:r w:rsidR="00C026A6" w:rsidRPr="00EA59C0">
        <w:rPr>
          <w:rFonts w:ascii="Arial" w:hAnsi="Arial"/>
          <w:sz w:val="20"/>
        </w:rPr>
        <w:t xml:space="preserve"> </w:t>
      </w:r>
      <w:r w:rsidRPr="00EA59C0">
        <w:rPr>
          <w:rFonts w:ascii="Arial" w:hAnsi="Arial"/>
          <w:sz w:val="20"/>
        </w:rPr>
        <w:t>8+,</w:t>
      </w:r>
      <w:r w:rsidR="00C026A6" w:rsidRPr="00EA59C0">
        <w:rPr>
          <w:rFonts w:ascii="Arial" w:hAnsi="Arial"/>
          <w:sz w:val="20"/>
        </w:rPr>
        <w:t xml:space="preserve"> </w:t>
      </w:r>
      <w:r w:rsidRPr="00EA59C0">
        <w:rPr>
          <w:rFonts w:ascii="Arial" w:hAnsi="Arial"/>
          <w:sz w:val="20"/>
        </w:rPr>
        <w:t>Firefox</w:t>
      </w:r>
      <w:r w:rsidR="00C026A6" w:rsidRPr="00EA59C0">
        <w:rPr>
          <w:rFonts w:ascii="Arial" w:hAnsi="Arial"/>
          <w:sz w:val="20"/>
        </w:rPr>
        <w:t xml:space="preserve"> </w:t>
      </w:r>
      <w:r w:rsidRPr="00EA59C0">
        <w:rPr>
          <w:rFonts w:ascii="Arial" w:hAnsi="Arial"/>
          <w:sz w:val="20"/>
        </w:rPr>
        <w:t>3.5+,</w:t>
      </w:r>
      <w:r w:rsidR="00C026A6" w:rsidRPr="00EA59C0">
        <w:rPr>
          <w:rFonts w:ascii="Arial" w:hAnsi="Arial"/>
          <w:sz w:val="20"/>
        </w:rPr>
        <w:t xml:space="preserve"> </w:t>
      </w:r>
      <w:r w:rsidRPr="00EA59C0">
        <w:rPr>
          <w:rFonts w:ascii="Arial" w:hAnsi="Arial"/>
          <w:sz w:val="20"/>
        </w:rPr>
        <w:t>Safari,</w:t>
      </w:r>
      <w:r w:rsidR="00C026A6" w:rsidRPr="00EA59C0">
        <w:rPr>
          <w:rFonts w:ascii="Arial" w:hAnsi="Arial"/>
          <w:sz w:val="20"/>
        </w:rPr>
        <w:t xml:space="preserve"> </w:t>
      </w:r>
      <w:r w:rsidRPr="00EA59C0">
        <w:rPr>
          <w:rFonts w:ascii="Arial" w:hAnsi="Arial"/>
          <w:sz w:val="20"/>
        </w:rPr>
        <w:t>and</w:t>
      </w:r>
      <w:r w:rsidR="00C026A6" w:rsidRPr="00EA59C0">
        <w:rPr>
          <w:rFonts w:ascii="Arial" w:hAnsi="Arial"/>
          <w:sz w:val="20"/>
        </w:rPr>
        <w:t xml:space="preserve"> </w:t>
      </w:r>
      <w:r w:rsidRPr="00EA59C0">
        <w:rPr>
          <w:rFonts w:ascii="Arial" w:hAnsi="Arial"/>
          <w:sz w:val="20"/>
        </w:rPr>
        <w:t>Chrome.</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3D</w:t>
      </w:r>
      <w:r w:rsidR="00C026A6" w:rsidRPr="00EA59C0">
        <w:rPr>
          <w:rFonts w:ascii="Arial" w:hAnsi="Arial"/>
          <w:sz w:val="20"/>
        </w:rPr>
        <w:t xml:space="preserve"> </w:t>
      </w:r>
      <w:r w:rsidRPr="00EA59C0">
        <w:rPr>
          <w:rFonts w:ascii="Arial" w:hAnsi="Arial"/>
          <w:sz w:val="20"/>
        </w:rPr>
        <w:t>worlds</w:t>
      </w:r>
      <w:r w:rsidR="00C026A6" w:rsidRPr="00EA59C0">
        <w:rPr>
          <w:rFonts w:ascii="Arial" w:hAnsi="Arial"/>
          <w:sz w:val="20"/>
        </w:rPr>
        <w:t xml:space="preserve"> </w:t>
      </w:r>
      <w:r w:rsidRPr="00EA59C0">
        <w:rPr>
          <w:rFonts w:ascii="Arial" w:hAnsi="Arial"/>
          <w:sz w:val="20"/>
        </w:rPr>
        <w:t>will</w:t>
      </w:r>
      <w:r w:rsidR="00C026A6" w:rsidRPr="00EA59C0">
        <w:rPr>
          <w:rFonts w:ascii="Arial" w:hAnsi="Arial"/>
          <w:sz w:val="20"/>
        </w:rPr>
        <w:t xml:space="preserve"> </w:t>
      </w:r>
      <w:r w:rsidRPr="00EA59C0">
        <w:rPr>
          <w:rFonts w:ascii="Arial" w:hAnsi="Arial"/>
          <w:sz w:val="20"/>
        </w:rPr>
        <w:t>require</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O3D</w:t>
      </w:r>
      <w:r w:rsidR="00C026A6" w:rsidRPr="00EA59C0">
        <w:rPr>
          <w:rFonts w:ascii="Arial" w:hAnsi="Arial"/>
          <w:sz w:val="20"/>
        </w:rPr>
        <w:t xml:space="preserve"> </w:t>
      </w:r>
      <w:r w:rsidRPr="00EA59C0">
        <w:rPr>
          <w:rFonts w:ascii="Arial" w:hAnsi="Arial"/>
          <w:sz w:val="20"/>
        </w:rPr>
        <w:t>plug-in</w:t>
      </w:r>
      <w:r w:rsidR="00C026A6" w:rsidRPr="00EA59C0">
        <w:rPr>
          <w:rFonts w:ascii="Arial" w:hAnsi="Arial"/>
          <w:sz w:val="20"/>
        </w:rPr>
        <w:t xml:space="preserve"> </w:t>
      </w:r>
      <w:r w:rsidRPr="00EA59C0">
        <w:rPr>
          <w:rFonts w:ascii="Arial" w:hAnsi="Arial"/>
          <w:sz w:val="20"/>
        </w:rPr>
        <w:t>or</w:t>
      </w:r>
      <w:r w:rsidR="00C026A6" w:rsidRPr="00EA59C0">
        <w:rPr>
          <w:rFonts w:ascii="Arial" w:hAnsi="Arial"/>
          <w:sz w:val="20"/>
        </w:rPr>
        <w:t xml:space="preserve"> </w:t>
      </w:r>
      <w:r w:rsidRPr="00EA59C0">
        <w:rPr>
          <w:rFonts w:ascii="Arial" w:hAnsi="Arial"/>
          <w:sz w:val="20"/>
        </w:rPr>
        <w:t>a</w:t>
      </w:r>
      <w:r w:rsidR="00C026A6" w:rsidRPr="00EA59C0">
        <w:rPr>
          <w:rFonts w:ascii="Arial" w:hAnsi="Arial"/>
          <w:sz w:val="20"/>
        </w:rPr>
        <w:t xml:space="preserve"> </w:t>
      </w:r>
      <w:r w:rsidRPr="00EA59C0">
        <w:rPr>
          <w:rFonts w:ascii="Arial" w:hAnsi="Arial"/>
          <w:sz w:val="20"/>
        </w:rPr>
        <w:t>WebGL</w:t>
      </w:r>
      <w:r w:rsidR="00C026A6" w:rsidRPr="00EA59C0">
        <w:rPr>
          <w:rFonts w:ascii="Arial" w:hAnsi="Arial"/>
          <w:sz w:val="20"/>
        </w:rPr>
        <w:t xml:space="preserve"> </w:t>
      </w:r>
      <w:r w:rsidRPr="00EA59C0">
        <w:rPr>
          <w:rFonts w:ascii="Arial" w:hAnsi="Arial"/>
          <w:sz w:val="20"/>
        </w:rPr>
        <w:t>compatible</w:t>
      </w:r>
      <w:r w:rsidR="00C026A6" w:rsidRPr="00EA59C0">
        <w:rPr>
          <w:rFonts w:ascii="Arial" w:hAnsi="Arial"/>
          <w:sz w:val="20"/>
        </w:rPr>
        <w:t xml:space="preserve"> </w:t>
      </w:r>
      <w:r w:rsidRPr="00EA59C0">
        <w:rPr>
          <w:rFonts w:ascii="Arial" w:hAnsi="Arial"/>
          <w:sz w:val="20"/>
        </w:rPr>
        <w:t>browser.</w:t>
      </w:r>
      <w:r w:rsidR="00C026A6" w:rsidRPr="00EA59C0">
        <w:rPr>
          <w:rFonts w:ascii="Arial" w:hAnsi="Arial"/>
          <w:sz w:val="20"/>
        </w:rPr>
        <w:t xml:space="preserve"> </w:t>
      </w:r>
      <w:r w:rsidRPr="00EA59C0">
        <w:rPr>
          <w:rFonts w:ascii="Arial" w:hAnsi="Arial"/>
          <w:sz w:val="20"/>
        </w:rPr>
        <w:t>Some</w:t>
      </w:r>
      <w:r w:rsidR="00C026A6" w:rsidRPr="00EA59C0">
        <w:rPr>
          <w:rFonts w:ascii="Arial" w:hAnsi="Arial"/>
          <w:sz w:val="20"/>
        </w:rPr>
        <w:t xml:space="preserve"> </w:t>
      </w:r>
      <w:r w:rsidRPr="00EA59C0">
        <w:rPr>
          <w:rFonts w:ascii="Arial" w:hAnsi="Arial"/>
          <w:sz w:val="20"/>
        </w:rPr>
        <w:t>content</w:t>
      </w:r>
      <w:r w:rsidR="00C026A6" w:rsidRPr="00EA59C0">
        <w:rPr>
          <w:rFonts w:ascii="Arial" w:hAnsi="Arial"/>
          <w:sz w:val="20"/>
        </w:rPr>
        <w:t xml:space="preserve"> </w:t>
      </w:r>
      <w:r w:rsidRPr="00EA59C0">
        <w:rPr>
          <w:rFonts w:ascii="Arial" w:hAnsi="Arial"/>
          <w:sz w:val="20"/>
        </w:rPr>
        <w:t>may</w:t>
      </w:r>
      <w:r w:rsidR="00C026A6" w:rsidRPr="00EA59C0">
        <w:rPr>
          <w:rFonts w:ascii="Arial" w:hAnsi="Arial"/>
          <w:sz w:val="20"/>
        </w:rPr>
        <w:t xml:space="preserve"> </w:t>
      </w:r>
      <w:r w:rsidRPr="00EA59C0">
        <w:rPr>
          <w:rFonts w:ascii="Arial" w:hAnsi="Arial"/>
          <w:sz w:val="20"/>
        </w:rPr>
        <w:t>require</w:t>
      </w:r>
      <w:r w:rsidR="00C026A6" w:rsidRPr="00EA59C0">
        <w:rPr>
          <w:rFonts w:ascii="Arial" w:hAnsi="Arial"/>
          <w:sz w:val="20"/>
        </w:rPr>
        <w:t xml:space="preserve"> </w:t>
      </w:r>
      <w:r w:rsidRPr="00EA59C0">
        <w:rPr>
          <w:rFonts w:ascii="Arial" w:hAnsi="Arial"/>
          <w:sz w:val="20"/>
        </w:rPr>
        <w:t>Flash</w:t>
      </w:r>
      <w:r w:rsidR="00C026A6" w:rsidRPr="00EA59C0">
        <w:rPr>
          <w:rFonts w:ascii="Arial" w:hAnsi="Arial"/>
          <w:sz w:val="20"/>
        </w:rPr>
        <w:t xml:space="preserve"> </w:t>
      </w:r>
      <w:r w:rsidRPr="00EA59C0">
        <w:rPr>
          <w:rFonts w:ascii="Arial" w:hAnsi="Arial"/>
          <w:sz w:val="20"/>
        </w:rPr>
        <w:t>for</w:t>
      </w:r>
      <w:r w:rsidR="00C026A6" w:rsidRPr="00EA59C0">
        <w:rPr>
          <w:rFonts w:ascii="Arial" w:hAnsi="Arial"/>
          <w:sz w:val="20"/>
        </w:rPr>
        <w:t xml:space="preserve"> </w:t>
      </w:r>
      <w:r w:rsidRPr="00EA59C0">
        <w:rPr>
          <w:rFonts w:ascii="Arial" w:hAnsi="Arial"/>
          <w:sz w:val="20"/>
        </w:rPr>
        <w:t>viewing.</w:t>
      </w:r>
      <w:r w:rsidR="00C026A6" w:rsidRPr="00EA59C0">
        <w:rPr>
          <w:rFonts w:ascii="Arial" w:hAnsi="Arial"/>
          <w:sz w:val="20"/>
        </w:rPr>
        <w:t xml:space="preserve"> </w:t>
      </w:r>
    </w:p>
    <w:p w:rsidR="008826BE" w:rsidRPr="00EA59C0" w:rsidRDefault="008826BE" w:rsidP="00DB00BB">
      <w:pPr>
        <w:pStyle w:val="NoSpacing"/>
        <w:rPr>
          <w:rFonts w:ascii="Arial" w:hAnsi="Arial"/>
          <w:b/>
          <w:sz w:val="20"/>
        </w:rPr>
      </w:pPr>
    </w:p>
    <w:p w:rsidR="008826BE" w:rsidRPr="00EA59C0" w:rsidRDefault="008826BE" w:rsidP="00DB00BB">
      <w:pPr>
        <w:pStyle w:val="NoSpacing"/>
        <w:rPr>
          <w:rFonts w:ascii="Arial" w:hAnsi="Arial"/>
          <w:b/>
          <w:sz w:val="20"/>
        </w:rPr>
      </w:pPr>
      <w:r w:rsidRPr="00EA59C0">
        <w:rPr>
          <w:rFonts w:ascii="Arial" w:hAnsi="Arial"/>
          <w:b/>
          <w:sz w:val="20"/>
        </w:rPr>
        <w:t>Contact</w:t>
      </w:r>
      <w:r w:rsidR="00C026A6" w:rsidRPr="00EA59C0">
        <w:rPr>
          <w:rFonts w:ascii="Arial" w:hAnsi="Arial"/>
          <w:b/>
          <w:sz w:val="20"/>
        </w:rPr>
        <w:t xml:space="preserve"> </w:t>
      </w:r>
      <w:r w:rsidRPr="00EA59C0">
        <w:rPr>
          <w:rFonts w:ascii="Arial" w:hAnsi="Arial"/>
          <w:b/>
          <w:sz w:val="20"/>
        </w:rPr>
        <w:t>Information</w:t>
      </w:r>
    </w:p>
    <w:p w:rsidR="008826BE" w:rsidRPr="00EA59C0" w:rsidRDefault="008826BE" w:rsidP="00DB00BB">
      <w:pPr>
        <w:pStyle w:val="NoSpacing"/>
        <w:rPr>
          <w:rFonts w:ascii="Arial" w:hAnsi="Arial"/>
          <w:sz w:val="20"/>
        </w:rPr>
      </w:pPr>
      <w:r w:rsidRPr="00EA59C0">
        <w:rPr>
          <w:rFonts w:ascii="Arial" w:hAnsi="Arial"/>
          <w:sz w:val="20"/>
        </w:rPr>
        <w:t>For</w:t>
      </w:r>
      <w:r w:rsidR="00C026A6" w:rsidRPr="00EA59C0">
        <w:rPr>
          <w:rFonts w:ascii="Arial" w:hAnsi="Arial"/>
          <w:sz w:val="20"/>
        </w:rPr>
        <w:t xml:space="preserve"> </w:t>
      </w:r>
      <w:r w:rsidRPr="00EA59C0">
        <w:rPr>
          <w:rFonts w:ascii="Arial" w:hAnsi="Arial"/>
          <w:sz w:val="20"/>
        </w:rPr>
        <w:t>more</w:t>
      </w:r>
      <w:r w:rsidR="00C026A6" w:rsidRPr="00EA59C0">
        <w:rPr>
          <w:rFonts w:ascii="Arial" w:hAnsi="Arial"/>
          <w:sz w:val="20"/>
        </w:rPr>
        <w:t xml:space="preserve"> </w:t>
      </w:r>
      <w:r w:rsidRPr="00EA59C0">
        <w:rPr>
          <w:rFonts w:ascii="Arial" w:hAnsi="Arial"/>
          <w:sz w:val="20"/>
        </w:rPr>
        <w:t>information</w:t>
      </w:r>
      <w:r w:rsidR="00C026A6" w:rsidRPr="00EA59C0">
        <w:rPr>
          <w:rFonts w:ascii="Arial" w:hAnsi="Arial"/>
          <w:sz w:val="20"/>
        </w:rPr>
        <w:t xml:space="preserve"> </w:t>
      </w:r>
      <w:r w:rsidRPr="00EA59C0">
        <w:rPr>
          <w:rFonts w:ascii="Arial" w:hAnsi="Arial"/>
          <w:sz w:val="20"/>
        </w:rPr>
        <w:t>on</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system</w:t>
      </w:r>
      <w:r w:rsidR="00C026A6" w:rsidRPr="00EA59C0">
        <w:rPr>
          <w:rFonts w:ascii="Arial" w:hAnsi="Arial"/>
          <w:sz w:val="20"/>
        </w:rPr>
        <w:t xml:space="preserve"> </w:t>
      </w:r>
      <w:r w:rsidRPr="00EA59C0">
        <w:rPr>
          <w:rFonts w:ascii="Arial" w:hAnsi="Arial"/>
          <w:sz w:val="20"/>
        </w:rPr>
        <w:t>or</w:t>
      </w:r>
      <w:r w:rsidR="00C026A6" w:rsidRPr="00EA59C0">
        <w:rPr>
          <w:rFonts w:ascii="Arial" w:hAnsi="Arial"/>
          <w:sz w:val="20"/>
        </w:rPr>
        <w:t xml:space="preserve"> </w:t>
      </w:r>
      <w:r w:rsidRPr="00EA59C0">
        <w:rPr>
          <w:rFonts w:ascii="Arial" w:hAnsi="Arial"/>
          <w:sz w:val="20"/>
        </w:rPr>
        <w:t>to</w:t>
      </w:r>
      <w:r w:rsidR="00C026A6" w:rsidRPr="00EA59C0">
        <w:rPr>
          <w:rFonts w:ascii="Arial" w:hAnsi="Arial"/>
          <w:sz w:val="20"/>
        </w:rPr>
        <w:t xml:space="preserve"> </w:t>
      </w:r>
      <w:r w:rsidRPr="00EA59C0">
        <w:rPr>
          <w:rFonts w:ascii="Arial" w:hAnsi="Arial"/>
          <w:sz w:val="20"/>
        </w:rPr>
        <w:t>learn</w:t>
      </w:r>
      <w:r w:rsidR="00C026A6" w:rsidRPr="00EA59C0">
        <w:rPr>
          <w:rFonts w:ascii="Arial" w:hAnsi="Arial"/>
          <w:sz w:val="20"/>
        </w:rPr>
        <w:t xml:space="preserve"> </w:t>
      </w:r>
      <w:r w:rsidRPr="00EA59C0">
        <w:rPr>
          <w:rFonts w:ascii="Arial" w:hAnsi="Arial"/>
          <w:sz w:val="20"/>
        </w:rPr>
        <w:t>more</w:t>
      </w:r>
      <w:r w:rsidR="00C026A6" w:rsidRPr="00EA59C0">
        <w:rPr>
          <w:rFonts w:ascii="Arial" w:hAnsi="Arial"/>
          <w:sz w:val="20"/>
        </w:rPr>
        <w:t xml:space="preserve"> </w:t>
      </w:r>
      <w:r w:rsidRPr="00EA59C0">
        <w:rPr>
          <w:rFonts w:ascii="Arial" w:hAnsi="Arial"/>
          <w:sz w:val="20"/>
        </w:rPr>
        <w:t>about</w:t>
      </w:r>
      <w:r w:rsidR="00C026A6" w:rsidRPr="00EA59C0">
        <w:rPr>
          <w:rFonts w:ascii="Arial" w:hAnsi="Arial"/>
          <w:sz w:val="20"/>
        </w:rPr>
        <w:t xml:space="preserve"> </w:t>
      </w:r>
      <w:r w:rsidRPr="00EA59C0">
        <w:rPr>
          <w:rFonts w:ascii="Arial" w:hAnsi="Arial"/>
          <w:sz w:val="20"/>
        </w:rPr>
        <w:t>collaborating</w:t>
      </w:r>
      <w:r w:rsidR="00C026A6" w:rsidRPr="00EA59C0">
        <w:rPr>
          <w:rFonts w:ascii="Arial" w:hAnsi="Arial"/>
          <w:sz w:val="20"/>
        </w:rPr>
        <w:t xml:space="preserve"> </w:t>
      </w:r>
      <w:r w:rsidRPr="00EA59C0">
        <w:rPr>
          <w:rFonts w:ascii="Arial" w:hAnsi="Arial"/>
          <w:sz w:val="20"/>
        </w:rPr>
        <w:t>with</w:t>
      </w:r>
      <w:r w:rsidR="00C026A6" w:rsidRPr="00EA59C0">
        <w:rPr>
          <w:rFonts w:ascii="Arial" w:hAnsi="Arial"/>
          <w:sz w:val="20"/>
        </w:rPr>
        <w:t xml:space="preserve"> </w:t>
      </w:r>
      <w:r w:rsidRPr="00EA59C0">
        <w:rPr>
          <w:rFonts w:ascii="Arial" w:hAnsi="Arial"/>
          <w:sz w:val="20"/>
        </w:rPr>
        <w:t>the</w:t>
      </w:r>
      <w:r w:rsidR="00C026A6" w:rsidRPr="00EA59C0">
        <w:rPr>
          <w:rFonts w:ascii="Arial" w:hAnsi="Arial"/>
          <w:sz w:val="20"/>
        </w:rPr>
        <w:t xml:space="preserve"> </w:t>
      </w:r>
      <w:r w:rsidRPr="00EA59C0">
        <w:rPr>
          <w:rFonts w:ascii="Arial" w:hAnsi="Arial"/>
          <w:sz w:val="20"/>
        </w:rPr>
        <w:t>U.S.</w:t>
      </w:r>
      <w:r w:rsidR="00C026A6" w:rsidRPr="00EA59C0">
        <w:rPr>
          <w:rFonts w:ascii="Arial" w:hAnsi="Arial"/>
          <w:sz w:val="20"/>
        </w:rPr>
        <w:t xml:space="preserve"> </w:t>
      </w:r>
      <w:r w:rsidRPr="00EA59C0">
        <w:rPr>
          <w:rFonts w:ascii="Arial" w:hAnsi="Arial"/>
          <w:sz w:val="20"/>
        </w:rPr>
        <w:t>Department</w:t>
      </w:r>
      <w:r w:rsidR="00C026A6" w:rsidRPr="00EA59C0">
        <w:rPr>
          <w:rFonts w:ascii="Arial" w:hAnsi="Arial"/>
          <w:sz w:val="20"/>
        </w:rPr>
        <w:t xml:space="preserve"> </w:t>
      </w:r>
      <w:r w:rsidRPr="00EA59C0">
        <w:rPr>
          <w:rFonts w:ascii="Arial" w:hAnsi="Arial"/>
          <w:sz w:val="20"/>
        </w:rPr>
        <w:t>of</w:t>
      </w:r>
      <w:r w:rsidR="00C026A6" w:rsidRPr="00EA59C0">
        <w:rPr>
          <w:rFonts w:ascii="Arial" w:hAnsi="Arial"/>
          <w:sz w:val="20"/>
        </w:rPr>
        <w:t xml:space="preserve"> </w:t>
      </w:r>
      <w:r w:rsidRPr="00EA59C0">
        <w:rPr>
          <w:rFonts w:ascii="Arial" w:hAnsi="Arial"/>
          <w:sz w:val="20"/>
        </w:rPr>
        <w:t>Energy</w:t>
      </w:r>
      <w:r w:rsidR="00C026A6" w:rsidRPr="00EA59C0">
        <w:rPr>
          <w:rFonts w:ascii="Arial" w:hAnsi="Arial"/>
          <w:sz w:val="20"/>
        </w:rPr>
        <w:t xml:space="preserve"> </w:t>
      </w:r>
      <w:r w:rsidRPr="00EA59C0">
        <w:rPr>
          <w:rFonts w:ascii="Arial" w:hAnsi="Arial"/>
          <w:sz w:val="20"/>
        </w:rPr>
        <w:t>through</w:t>
      </w:r>
      <w:r w:rsidR="00C026A6" w:rsidRPr="00EA59C0">
        <w:rPr>
          <w:rFonts w:ascii="Arial" w:hAnsi="Arial"/>
          <w:sz w:val="20"/>
        </w:rPr>
        <w:t xml:space="preserve"> </w:t>
      </w:r>
      <w:r w:rsidRPr="00EA59C0">
        <w:rPr>
          <w:rFonts w:ascii="Arial" w:hAnsi="Arial"/>
          <w:sz w:val="20"/>
        </w:rPr>
        <w:t>open</w:t>
      </w:r>
      <w:r w:rsidR="00C026A6" w:rsidRPr="00EA59C0">
        <w:rPr>
          <w:rFonts w:ascii="Arial" w:hAnsi="Arial"/>
          <w:sz w:val="20"/>
        </w:rPr>
        <w:t xml:space="preserve"> </w:t>
      </w:r>
      <w:r w:rsidRPr="00EA59C0">
        <w:rPr>
          <w:rFonts w:ascii="Arial" w:hAnsi="Arial"/>
          <w:sz w:val="20"/>
        </w:rPr>
        <w:t>source,</w:t>
      </w:r>
      <w:r w:rsidR="00C026A6" w:rsidRPr="00EA59C0">
        <w:rPr>
          <w:rFonts w:ascii="Arial" w:hAnsi="Arial"/>
          <w:sz w:val="20"/>
        </w:rPr>
        <w:t xml:space="preserve"> </w:t>
      </w:r>
      <w:r w:rsidRPr="00EA59C0">
        <w:rPr>
          <w:rFonts w:ascii="Arial" w:hAnsi="Arial"/>
          <w:sz w:val="20"/>
        </w:rPr>
        <w:t>please</w:t>
      </w:r>
      <w:r w:rsidR="00C026A6" w:rsidRPr="00EA59C0">
        <w:rPr>
          <w:rFonts w:ascii="Arial" w:hAnsi="Arial"/>
          <w:sz w:val="20"/>
        </w:rPr>
        <w:t xml:space="preserve"> </w:t>
      </w:r>
      <w:r w:rsidRPr="00EA59C0">
        <w:rPr>
          <w:rFonts w:ascii="Arial" w:hAnsi="Arial"/>
          <w:sz w:val="20"/>
        </w:rPr>
        <w:t>contact:</w:t>
      </w:r>
      <w:r w:rsidR="00C026A6" w:rsidRPr="00EA59C0">
        <w:rPr>
          <w:rFonts w:ascii="Arial" w:hAnsi="Arial"/>
          <w:sz w:val="20"/>
        </w:rPr>
        <w:t xml:space="preserve"> </w:t>
      </w:r>
      <w:r w:rsidR="00C026A6" w:rsidRPr="00EA59C0">
        <w:rPr>
          <w:rFonts w:ascii="Arial" w:hAnsi="Arial" w:cs="Arial"/>
          <w:sz w:val="20"/>
          <w:szCs w:val="20"/>
        </w:rPr>
        <w:t xml:space="preserve"> </w:t>
      </w:r>
      <w:hyperlink r:id="rId359" w:history="1">
        <w:r w:rsidRPr="00EA59C0">
          <w:rPr>
            <w:rStyle w:val="Hyperlink"/>
            <w:rFonts w:ascii="Arial" w:hAnsi="Arial" w:cs="Arial"/>
            <w:color w:val="auto"/>
            <w:sz w:val="20"/>
            <w:szCs w:val="20"/>
          </w:rPr>
          <w:t>support@nterlearning.org</w:t>
        </w:r>
      </w:hyperlink>
    </w:p>
    <w:p w:rsidR="008826BE" w:rsidRPr="00EA59C0" w:rsidRDefault="008826BE" w:rsidP="00DB00BB">
      <w:pPr>
        <w:rPr>
          <w:rFonts w:ascii="Arial" w:hAnsi="Arial"/>
          <w:b/>
          <w:sz w:val="20"/>
        </w:rPr>
      </w:pPr>
    </w:p>
    <w:p w:rsidR="008826BE" w:rsidRPr="00EA59C0" w:rsidRDefault="008826BE" w:rsidP="00DB00BB">
      <w:pPr>
        <w:rPr>
          <w:rFonts w:ascii="Arial" w:hAnsi="Arial" w:cs="Arial"/>
          <w:b/>
          <w:sz w:val="22"/>
          <w:szCs w:val="22"/>
        </w:rPr>
      </w:pPr>
    </w:p>
    <w:p w:rsidR="008826BE" w:rsidRPr="00EA59C0" w:rsidRDefault="008826BE" w:rsidP="00DB00BB">
      <w:pPr>
        <w:spacing w:after="120"/>
        <w:rPr>
          <w:rFonts w:ascii="Arial" w:hAnsi="Arial" w:cs="Arial"/>
          <w:b/>
          <w:sz w:val="22"/>
          <w:szCs w:val="22"/>
        </w:rPr>
      </w:pPr>
      <w:r w:rsidRPr="00EA59C0">
        <w:rPr>
          <w:rFonts w:ascii="Arial" w:hAnsi="Arial" w:cs="Arial"/>
          <w:b/>
          <w:sz w:val="22"/>
          <w:szCs w:val="22"/>
        </w:rPr>
        <w:br w:type="page"/>
      </w:r>
    </w:p>
    <w:p w:rsidR="008826BE" w:rsidRPr="00EA59C0" w:rsidRDefault="008826BE" w:rsidP="00DB00BB">
      <w:pPr>
        <w:rPr>
          <w:rFonts w:ascii="Arial" w:hAnsi="Arial" w:cs="Arial"/>
          <w:b/>
          <w:sz w:val="22"/>
          <w:szCs w:val="22"/>
        </w:rPr>
      </w:pPr>
      <w:r w:rsidRPr="00EA59C0">
        <w:rPr>
          <w:rFonts w:ascii="Arial" w:hAnsi="Arial" w:cs="Arial"/>
          <w:b/>
          <w:sz w:val="22"/>
          <w:szCs w:val="22"/>
        </w:rPr>
        <w:t>Appendix</w:t>
      </w:r>
      <w:r w:rsidR="00C026A6" w:rsidRPr="00EA59C0">
        <w:rPr>
          <w:rFonts w:ascii="Arial" w:hAnsi="Arial" w:cs="Arial"/>
          <w:b/>
          <w:sz w:val="22"/>
          <w:szCs w:val="22"/>
        </w:rPr>
        <w:t xml:space="preserve"> </w:t>
      </w:r>
      <w:r w:rsidR="003C60FE" w:rsidRPr="00EA59C0">
        <w:rPr>
          <w:rFonts w:ascii="Arial" w:hAnsi="Arial" w:cs="Arial"/>
          <w:b/>
          <w:sz w:val="22"/>
          <w:szCs w:val="22"/>
        </w:rPr>
        <w:t>E</w:t>
      </w:r>
      <w:r w:rsidRPr="00EA59C0">
        <w:rPr>
          <w:rFonts w:ascii="Arial" w:hAnsi="Arial" w:cs="Arial"/>
          <w:b/>
          <w:sz w:val="22"/>
          <w:szCs w:val="22"/>
        </w:rPr>
        <w:t>:</w:t>
      </w:r>
      <w:r w:rsidR="00C026A6" w:rsidRPr="00EA59C0">
        <w:rPr>
          <w:rFonts w:ascii="Arial" w:hAnsi="Arial" w:cs="Arial"/>
          <w:b/>
          <w:sz w:val="22"/>
          <w:szCs w:val="22"/>
        </w:rPr>
        <w:t xml:space="preserve"> </w:t>
      </w:r>
      <w:r w:rsidRPr="00EA59C0">
        <w:rPr>
          <w:rFonts w:ascii="Arial" w:hAnsi="Arial" w:cs="Arial"/>
          <w:b/>
          <w:sz w:val="22"/>
          <w:szCs w:val="22"/>
        </w:rPr>
        <w:t>Resources</w:t>
      </w:r>
      <w:r w:rsidR="00C026A6" w:rsidRPr="00EA59C0">
        <w:rPr>
          <w:rFonts w:ascii="Arial" w:hAnsi="Arial" w:cs="Arial"/>
          <w:b/>
          <w:sz w:val="22"/>
          <w:szCs w:val="22"/>
        </w:rPr>
        <w:t xml:space="preserve"> </w:t>
      </w:r>
      <w:r w:rsidRPr="00EA59C0">
        <w:rPr>
          <w:rFonts w:ascii="Arial" w:hAnsi="Arial" w:cs="Arial"/>
          <w:b/>
          <w:sz w:val="22"/>
          <w:szCs w:val="22"/>
        </w:rPr>
        <w:t>for</w:t>
      </w:r>
      <w:r w:rsidR="00C026A6" w:rsidRPr="00EA59C0">
        <w:rPr>
          <w:rFonts w:ascii="Arial" w:hAnsi="Arial" w:cs="Arial"/>
          <w:b/>
          <w:sz w:val="22"/>
          <w:szCs w:val="22"/>
        </w:rPr>
        <w:t xml:space="preserve"> </w:t>
      </w:r>
      <w:r w:rsidRPr="00EA59C0">
        <w:rPr>
          <w:rFonts w:ascii="Arial" w:hAnsi="Arial" w:cs="Arial"/>
          <w:b/>
          <w:sz w:val="22"/>
          <w:szCs w:val="22"/>
        </w:rPr>
        <w:t>Cognitive</w:t>
      </w:r>
      <w:r w:rsidR="00C026A6" w:rsidRPr="00EA59C0">
        <w:rPr>
          <w:rFonts w:ascii="Arial" w:hAnsi="Arial" w:cs="Arial"/>
          <w:b/>
          <w:sz w:val="22"/>
          <w:szCs w:val="22"/>
        </w:rPr>
        <w:t xml:space="preserve"> </w:t>
      </w:r>
      <w:r w:rsidRPr="00EA59C0">
        <w:rPr>
          <w:rFonts w:ascii="Arial" w:hAnsi="Arial" w:cs="Arial"/>
          <w:b/>
          <w:sz w:val="22"/>
          <w:szCs w:val="22"/>
        </w:rPr>
        <w:t>Task</w:t>
      </w:r>
      <w:r w:rsidR="00C026A6" w:rsidRPr="00EA59C0">
        <w:rPr>
          <w:rFonts w:ascii="Arial" w:hAnsi="Arial" w:cs="Arial"/>
          <w:b/>
          <w:sz w:val="22"/>
          <w:szCs w:val="22"/>
        </w:rPr>
        <w:t xml:space="preserve"> </w:t>
      </w:r>
      <w:r w:rsidRPr="00EA59C0">
        <w:rPr>
          <w:rFonts w:ascii="Arial" w:hAnsi="Arial" w:cs="Arial"/>
          <w:b/>
          <w:sz w:val="22"/>
          <w:szCs w:val="22"/>
        </w:rPr>
        <w:t>Analysis</w:t>
      </w:r>
      <w:r w:rsidR="00C026A6" w:rsidRPr="00EA59C0">
        <w:rPr>
          <w:rFonts w:ascii="Arial" w:hAnsi="Arial" w:cs="Arial"/>
          <w:b/>
          <w:sz w:val="22"/>
          <w:szCs w:val="22"/>
        </w:rPr>
        <w:t xml:space="preserve"> </w:t>
      </w:r>
      <w:r w:rsidRPr="00EA59C0">
        <w:rPr>
          <w:rFonts w:ascii="Arial" w:hAnsi="Arial" w:cs="Arial"/>
          <w:b/>
          <w:sz w:val="22"/>
          <w:szCs w:val="22"/>
        </w:rPr>
        <w:t>(CTA)</w:t>
      </w:r>
    </w:p>
    <w:p w:rsidR="008826BE" w:rsidRPr="00EA59C0" w:rsidRDefault="008826BE" w:rsidP="00DB00BB">
      <w:pPr>
        <w:rPr>
          <w:rFonts w:ascii="Arial" w:hAnsi="Arial" w:cs="Arial"/>
          <w:b/>
          <w:sz w:val="22"/>
          <w:szCs w:val="22"/>
        </w:rPr>
      </w:pPr>
    </w:p>
    <w:p w:rsidR="008826BE" w:rsidRPr="00EA59C0" w:rsidRDefault="008826BE" w:rsidP="00DB00BB">
      <w:pPr>
        <w:rPr>
          <w:rFonts w:ascii="Arial" w:hAnsi="Arial" w:cs="Arial"/>
          <w:b/>
          <w:bCs/>
          <w:sz w:val="20"/>
          <w:szCs w:val="20"/>
        </w:rPr>
      </w:pPr>
    </w:p>
    <w:p w:rsidR="008826BE" w:rsidRPr="00EA59C0" w:rsidRDefault="008826BE" w:rsidP="00DB00BB">
      <w:pPr>
        <w:rPr>
          <w:rFonts w:ascii="Arial" w:hAnsi="Arial" w:cs="Arial"/>
          <w:b/>
          <w:bCs/>
          <w:sz w:val="20"/>
          <w:szCs w:val="20"/>
        </w:rPr>
      </w:pPr>
      <w:r w:rsidRPr="00EA59C0">
        <w:rPr>
          <w:rFonts w:ascii="Arial" w:hAnsi="Arial" w:cs="Arial"/>
          <w:b/>
          <w:bCs/>
          <w:sz w:val="20"/>
          <w:szCs w:val="20"/>
        </w:rPr>
        <w:t>Working</w:t>
      </w:r>
      <w:r w:rsidR="00C026A6" w:rsidRPr="00EA59C0">
        <w:rPr>
          <w:rFonts w:ascii="Arial" w:hAnsi="Arial" w:cs="Arial"/>
          <w:b/>
          <w:bCs/>
          <w:sz w:val="20"/>
          <w:szCs w:val="20"/>
        </w:rPr>
        <w:t xml:space="preserve"> </w:t>
      </w:r>
      <w:r w:rsidRPr="00EA59C0">
        <w:rPr>
          <w:rFonts w:ascii="Arial" w:hAnsi="Arial" w:cs="Arial"/>
          <w:b/>
          <w:bCs/>
          <w:sz w:val="20"/>
          <w:szCs w:val="20"/>
        </w:rPr>
        <w:t>Minds:</w:t>
      </w:r>
      <w:r w:rsidR="00C026A6" w:rsidRPr="00EA59C0">
        <w:rPr>
          <w:rFonts w:ascii="Arial" w:hAnsi="Arial" w:cs="Arial"/>
          <w:b/>
          <w:bCs/>
          <w:sz w:val="20"/>
          <w:szCs w:val="20"/>
        </w:rPr>
        <w:t xml:space="preserve">  </w:t>
      </w:r>
      <w:r w:rsidRPr="00EA59C0">
        <w:rPr>
          <w:rFonts w:ascii="Arial" w:hAnsi="Arial" w:cs="Arial"/>
          <w:b/>
          <w:bCs/>
          <w:sz w:val="20"/>
          <w:szCs w:val="20"/>
        </w:rPr>
        <w:t>A</w:t>
      </w:r>
      <w:r w:rsidR="00C026A6" w:rsidRPr="00EA59C0">
        <w:rPr>
          <w:rFonts w:ascii="Arial" w:hAnsi="Arial" w:cs="Arial"/>
          <w:b/>
          <w:bCs/>
          <w:sz w:val="20"/>
          <w:szCs w:val="20"/>
        </w:rPr>
        <w:t xml:space="preserve"> </w:t>
      </w:r>
      <w:r w:rsidRPr="00EA59C0">
        <w:rPr>
          <w:rFonts w:ascii="Arial" w:hAnsi="Arial" w:cs="Arial"/>
          <w:b/>
          <w:bCs/>
          <w:sz w:val="20"/>
          <w:szCs w:val="20"/>
        </w:rPr>
        <w:t>Practitioner’s</w:t>
      </w:r>
      <w:r w:rsidR="00C026A6" w:rsidRPr="00EA59C0">
        <w:rPr>
          <w:rFonts w:ascii="Arial" w:hAnsi="Arial" w:cs="Arial"/>
          <w:b/>
          <w:bCs/>
          <w:sz w:val="20"/>
          <w:szCs w:val="20"/>
        </w:rPr>
        <w:t xml:space="preserve"> </w:t>
      </w:r>
      <w:r w:rsidRPr="00EA59C0">
        <w:rPr>
          <w:rFonts w:ascii="Arial" w:hAnsi="Arial" w:cs="Arial"/>
          <w:b/>
          <w:bCs/>
          <w:sz w:val="20"/>
          <w:szCs w:val="20"/>
        </w:rPr>
        <w:t>Guide</w:t>
      </w:r>
      <w:r w:rsidR="00C026A6" w:rsidRPr="00EA59C0">
        <w:rPr>
          <w:rFonts w:ascii="Arial" w:hAnsi="Arial" w:cs="Arial"/>
          <w:b/>
          <w:bCs/>
          <w:sz w:val="20"/>
          <w:szCs w:val="20"/>
        </w:rPr>
        <w:t xml:space="preserve"> </w:t>
      </w:r>
      <w:r w:rsidRPr="00EA59C0">
        <w:rPr>
          <w:rFonts w:ascii="Arial" w:hAnsi="Arial" w:cs="Arial"/>
          <w:b/>
          <w:bCs/>
          <w:sz w:val="20"/>
          <w:szCs w:val="20"/>
        </w:rPr>
        <w:t>to</w:t>
      </w:r>
      <w:r w:rsidR="00C026A6" w:rsidRPr="00EA59C0">
        <w:rPr>
          <w:rFonts w:ascii="Arial" w:hAnsi="Arial" w:cs="Arial"/>
          <w:b/>
          <w:bCs/>
          <w:sz w:val="20"/>
          <w:szCs w:val="20"/>
        </w:rPr>
        <w:t xml:space="preserve"> </w:t>
      </w:r>
      <w:r w:rsidRPr="00EA59C0">
        <w:rPr>
          <w:rFonts w:ascii="Arial" w:hAnsi="Arial" w:cs="Arial"/>
          <w:b/>
          <w:bCs/>
          <w:sz w:val="20"/>
          <w:szCs w:val="20"/>
        </w:rPr>
        <w:t>Cognitive</w:t>
      </w:r>
      <w:r w:rsidR="00C026A6" w:rsidRPr="00EA59C0">
        <w:rPr>
          <w:rFonts w:ascii="Arial" w:hAnsi="Arial" w:cs="Arial"/>
          <w:b/>
          <w:bCs/>
          <w:sz w:val="20"/>
          <w:szCs w:val="20"/>
        </w:rPr>
        <w:t xml:space="preserve"> </w:t>
      </w:r>
      <w:r w:rsidRPr="00EA59C0">
        <w:rPr>
          <w:rFonts w:ascii="Arial" w:hAnsi="Arial" w:cs="Arial"/>
          <w:b/>
          <w:bCs/>
          <w:sz w:val="20"/>
          <w:szCs w:val="20"/>
        </w:rPr>
        <w:t>Task</w:t>
      </w:r>
      <w:r w:rsidR="00C026A6" w:rsidRPr="00EA59C0">
        <w:rPr>
          <w:rFonts w:ascii="Arial" w:hAnsi="Arial" w:cs="Arial"/>
          <w:b/>
          <w:bCs/>
          <w:sz w:val="20"/>
          <w:szCs w:val="20"/>
        </w:rPr>
        <w:t xml:space="preserve"> </w:t>
      </w:r>
      <w:r w:rsidRPr="00EA59C0">
        <w:rPr>
          <w:rFonts w:ascii="Arial" w:hAnsi="Arial" w:cs="Arial"/>
          <w:b/>
          <w:bCs/>
          <w:sz w:val="20"/>
          <w:szCs w:val="20"/>
        </w:rPr>
        <w:t>Analysis</w:t>
      </w:r>
    </w:p>
    <w:p w:rsidR="008826BE" w:rsidRPr="00EA59C0" w:rsidRDefault="008826BE" w:rsidP="00DB00BB">
      <w:pPr>
        <w:rPr>
          <w:rFonts w:ascii="Arial" w:hAnsi="Arial" w:cs="Arial"/>
          <w:sz w:val="20"/>
          <w:szCs w:val="20"/>
        </w:rPr>
      </w:pPr>
      <w:r w:rsidRPr="00EA59C0">
        <w:rPr>
          <w:rFonts w:ascii="Arial" w:hAnsi="Arial" w:cs="Arial"/>
          <w:sz w:val="20"/>
          <w:szCs w:val="20"/>
        </w:rPr>
        <w:t>Crandall,</w:t>
      </w:r>
      <w:r w:rsidR="00C026A6" w:rsidRPr="00EA59C0">
        <w:rPr>
          <w:rFonts w:ascii="Arial" w:hAnsi="Arial" w:cs="Arial"/>
          <w:sz w:val="20"/>
          <w:szCs w:val="20"/>
        </w:rPr>
        <w:t xml:space="preserve"> </w:t>
      </w:r>
      <w:r w:rsidRPr="00EA59C0">
        <w:rPr>
          <w:rFonts w:ascii="Arial" w:hAnsi="Arial" w:cs="Arial"/>
          <w:sz w:val="20"/>
          <w:szCs w:val="20"/>
        </w:rPr>
        <w:t>Klein,</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Hoffman</w:t>
      </w:r>
    </w:p>
    <w:p w:rsidR="008826BE" w:rsidRPr="00EA59C0" w:rsidRDefault="008826BE" w:rsidP="00DB00BB">
      <w:pPr>
        <w:rPr>
          <w:rFonts w:ascii="Arial" w:hAnsi="Arial" w:cs="Arial"/>
          <w:sz w:val="20"/>
          <w:szCs w:val="20"/>
        </w:rPr>
      </w:pPr>
      <w:r w:rsidRPr="00EA59C0">
        <w:rPr>
          <w:rFonts w:ascii="Arial" w:hAnsi="Arial" w:cs="Arial"/>
          <w:sz w:val="20"/>
          <w:szCs w:val="20"/>
        </w:rPr>
        <w:t>Bradford</w:t>
      </w:r>
      <w:r w:rsidR="00C026A6" w:rsidRPr="00EA59C0">
        <w:rPr>
          <w:rFonts w:ascii="Arial" w:hAnsi="Arial" w:cs="Arial"/>
          <w:sz w:val="20"/>
          <w:szCs w:val="20"/>
        </w:rPr>
        <w:t xml:space="preserve"> </w:t>
      </w:r>
      <w:r w:rsidRPr="00EA59C0">
        <w:rPr>
          <w:rFonts w:ascii="Arial" w:hAnsi="Arial" w:cs="Arial"/>
          <w:sz w:val="20"/>
          <w:szCs w:val="20"/>
        </w:rPr>
        <w:t>Books</w:t>
      </w:r>
      <w:r w:rsidR="00C04130" w:rsidRPr="00EA59C0">
        <w:rPr>
          <w:rFonts w:ascii="Arial" w:hAnsi="Arial" w:cs="Arial"/>
          <w:sz w:val="20"/>
          <w:szCs w:val="20"/>
        </w:rPr>
        <w:t>,</w:t>
      </w:r>
      <w:r w:rsidR="00C026A6" w:rsidRPr="00EA59C0">
        <w:rPr>
          <w:rFonts w:ascii="Arial" w:hAnsi="Arial" w:cs="Arial"/>
          <w:sz w:val="20"/>
          <w:szCs w:val="20"/>
        </w:rPr>
        <w:t xml:space="preserve"> </w:t>
      </w:r>
      <w:r w:rsidRPr="00EA59C0">
        <w:rPr>
          <w:rFonts w:ascii="Arial" w:hAnsi="Arial" w:cs="Arial"/>
          <w:sz w:val="20"/>
          <w:szCs w:val="20"/>
        </w:rPr>
        <w:t>2006</w:t>
      </w:r>
    </w:p>
    <w:p w:rsidR="008826BE" w:rsidRPr="00EA59C0" w:rsidRDefault="008826BE" w:rsidP="00DB00BB">
      <w:pPr>
        <w:autoSpaceDE w:val="0"/>
        <w:autoSpaceDN w:val="0"/>
        <w:rPr>
          <w:rFonts w:ascii="Arial" w:hAnsi="Arial" w:cs="Arial"/>
          <w:b/>
          <w:bCs/>
          <w:sz w:val="20"/>
          <w:szCs w:val="20"/>
        </w:rPr>
      </w:pPr>
    </w:p>
    <w:p w:rsidR="008826BE" w:rsidRPr="00EA59C0" w:rsidRDefault="008826BE" w:rsidP="00DB00BB">
      <w:pPr>
        <w:autoSpaceDE w:val="0"/>
        <w:autoSpaceDN w:val="0"/>
        <w:rPr>
          <w:rFonts w:ascii="Arial" w:hAnsi="Arial" w:cs="Arial"/>
          <w:b/>
          <w:bCs/>
          <w:sz w:val="20"/>
          <w:szCs w:val="20"/>
        </w:rPr>
      </w:pPr>
      <w:r w:rsidRPr="00EA59C0">
        <w:rPr>
          <w:rFonts w:ascii="Arial" w:hAnsi="Arial" w:cs="Arial"/>
          <w:b/>
          <w:bCs/>
          <w:sz w:val="20"/>
          <w:szCs w:val="20"/>
        </w:rPr>
        <w:t>Cognitive</w:t>
      </w:r>
      <w:r w:rsidR="00C026A6" w:rsidRPr="00EA59C0">
        <w:rPr>
          <w:rFonts w:ascii="Arial" w:hAnsi="Arial" w:cs="Arial"/>
          <w:b/>
          <w:bCs/>
          <w:sz w:val="20"/>
          <w:szCs w:val="20"/>
        </w:rPr>
        <w:t xml:space="preserve"> </w:t>
      </w:r>
      <w:r w:rsidRPr="00EA59C0">
        <w:rPr>
          <w:rFonts w:ascii="Arial" w:hAnsi="Arial" w:cs="Arial"/>
          <w:b/>
          <w:bCs/>
          <w:sz w:val="20"/>
          <w:szCs w:val="20"/>
        </w:rPr>
        <w:t>Task</w:t>
      </w:r>
      <w:r w:rsidR="00C026A6" w:rsidRPr="00EA59C0">
        <w:rPr>
          <w:rFonts w:ascii="Arial" w:hAnsi="Arial" w:cs="Arial"/>
          <w:b/>
          <w:bCs/>
          <w:sz w:val="20"/>
          <w:szCs w:val="20"/>
        </w:rPr>
        <w:t xml:space="preserve"> </w:t>
      </w:r>
      <w:r w:rsidRPr="00EA59C0">
        <w:rPr>
          <w:rFonts w:ascii="Arial" w:hAnsi="Arial" w:cs="Arial"/>
          <w:b/>
          <w:bCs/>
          <w:sz w:val="20"/>
          <w:szCs w:val="20"/>
        </w:rPr>
        <w:t>Analysis</w:t>
      </w:r>
    </w:p>
    <w:p w:rsidR="008826BE" w:rsidRPr="00EA59C0" w:rsidRDefault="008826BE" w:rsidP="00DB00BB">
      <w:pPr>
        <w:autoSpaceDE w:val="0"/>
        <w:autoSpaceDN w:val="0"/>
        <w:rPr>
          <w:rFonts w:ascii="Arial" w:hAnsi="Arial" w:cs="Arial"/>
          <w:sz w:val="20"/>
          <w:szCs w:val="20"/>
        </w:rPr>
      </w:pPr>
      <w:r w:rsidRPr="00EA59C0">
        <w:rPr>
          <w:rFonts w:ascii="Arial" w:hAnsi="Arial" w:cs="Arial"/>
          <w:sz w:val="20"/>
          <w:szCs w:val="20"/>
        </w:rPr>
        <w:t>Richard</w:t>
      </w:r>
      <w:r w:rsidR="00C026A6" w:rsidRPr="00EA59C0">
        <w:rPr>
          <w:rFonts w:ascii="Arial" w:hAnsi="Arial" w:cs="Arial"/>
          <w:sz w:val="20"/>
          <w:szCs w:val="20"/>
        </w:rPr>
        <w:t xml:space="preserve"> </w:t>
      </w:r>
      <w:r w:rsidRPr="00EA59C0">
        <w:rPr>
          <w:rFonts w:ascii="Arial" w:hAnsi="Arial" w:cs="Arial"/>
          <w:sz w:val="20"/>
          <w:szCs w:val="20"/>
        </w:rPr>
        <w:t>E.Clark,</w:t>
      </w:r>
      <w:r w:rsidR="00C026A6" w:rsidRPr="00EA59C0">
        <w:rPr>
          <w:rFonts w:ascii="Arial" w:hAnsi="Arial" w:cs="Arial"/>
          <w:sz w:val="20"/>
          <w:szCs w:val="20"/>
        </w:rPr>
        <w:t xml:space="preserve"> </w:t>
      </w:r>
      <w:r w:rsidRPr="00EA59C0">
        <w:rPr>
          <w:rFonts w:ascii="Arial" w:hAnsi="Arial" w:cs="Arial"/>
          <w:sz w:val="20"/>
          <w:szCs w:val="20"/>
        </w:rPr>
        <w:t>David</w:t>
      </w:r>
      <w:r w:rsidR="00C026A6" w:rsidRPr="00EA59C0">
        <w:rPr>
          <w:rFonts w:ascii="Arial" w:hAnsi="Arial" w:cs="Arial"/>
          <w:sz w:val="20"/>
          <w:szCs w:val="20"/>
        </w:rPr>
        <w:t xml:space="preserve"> </w:t>
      </w:r>
      <w:r w:rsidRPr="00EA59C0">
        <w:rPr>
          <w:rFonts w:ascii="Arial" w:hAnsi="Arial" w:cs="Arial"/>
          <w:sz w:val="20"/>
          <w:szCs w:val="20"/>
        </w:rPr>
        <w:t>F.</w:t>
      </w:r>
      <w:r w:rsidR="00C026A6" w:rsidRPr="00EA59C0">
        <w:rPr>
          <w:rFonts w:ascii="Arial" w:hAnsi="Arial" w:cs="Arial"/>
          <w:sz w:val="20"/>
          <w:szCs w:val="20"/>
        </w:rPr>
        <w:t xml:space="preserve"> </w:t>
      </w:r>
      <w:r w:rsidRPr="00EA59C0">
        <w:rPr>
          <w:rFonts w:ascii="Arial" w:hAnsi="Arial" w:cs="Arial"/>
          <w:sz w:val="20"/>
          <w:szCs w:val="20"/>
        </w:rPr>
        <w:t>Feldon,</w:t>
      </w:r>
      <w:r w:rsidR="00C026A6" w:rsidRPr="00EA59C0">
        <w:rPr>
          <w:rFonts w:ascii="Arial" w:hAnsi="Arial" w:cs="Arial"/>
          <w:sz w:val="20"/>
          <w:szCs w:val="20"/>
        </w:rPr>
        <w:t xml:space="preserve"> </w:t>
      </w:r>
      <w:r w:rsidRPr="00EA59C0">
        <w:rPr>
          <w:rFonts w:ascii="Arial" w:hAnsi="Arial" w:cs="Arial"/>
          <w:sz w:val="20"/>
          <w:szCs w:val="20"/>
        </w:rPr>
        <w:t>Jeroen</w:t>
      </w:r>
      <w:r w:rsidR="00C026A6" w:rsidRPr="00EA59C0">
        <w:rPr>
          <w:rFonts w:ascii="Arial" w:hAnsi="Arial" w:cs="Arial"/>
          <w:sz w:val="20"/>
          <w:szCs w:val="20"/>
        </w:rPr>
        <w:t xml:space="preserve"> </w:t>
      </w:r>
      <w:r w:rsidRPr="00EA59C0">
        <w:rPr>
          <w:rFonts w:ascii="Arial" w:hAnsi="Arial" w:cs="Arial"/>
          <w:sz w:val="20"/>
          <w:szCs w:val="20"/>
        </w:rPr>
        <w:t>J.</w:t>
      </w:r>
      <w:r w:rsidR="00C026A6" w:rsidRPr="00EA59C0">
        <w:rPr>
          <w:rFonts w:ascii="Arial" w:hAnsi="Arial" w:cs="Arial"/>
          <w:sz w:val="20"/>
          <w:szCs w:val="20"/>
        </w:rPr>
        <w:t xml:space="preserve"> </w:t>
      </w:r>
      <w:r w:rsidRPr="00EA59C0">
        <w:rPr>
          <w:rFonts w:ascii="Arial" w:hAnsi="Arial" w:cs="Arial"/>
          <w:sz w:val="20"/>
          <w:szCs w:val="20"/>
        </w:rPr>
        <w:t>G.</w:t>
      </w:r>
      <w:r w:rsidR="00C026A6" w:rsidRPr="00EA59C0">
        <w:rPr>
          <w:rFonts w:ascii="Arial" w:hAnsi="Arial" w:cs="Arial"/>
          <w:sz w:val="20"/>
          <w:szCs w:val="20"/>
        </w:rPr>
        <w:t xml:space="preserve"> </w:t>
      </w:r>
      <w:r w:rsidRPr="00EA59C0">
        <w:rPr>
          <w:rFonts w:ascii="Arial" w:hAnsi="Arial" w:cs="Arial"/>
          <w:sz w:val="20"/>
          <w:szCs w:val="20"/>
        </w:rPr>
        <w:t>van</w:t>
      </w:r>
      <w:r w:rsidR="00C026A6" w:rsidRPr="00EA59C0">
        <w:rPr>
          <w:rFonts w:ascii="Arial" w:hAnsi="Arial" w:cs="Arial"/>
          <w:sz w:val="20"/>
          <w:szCs w:val="20"/>
        </w:rPr>
        <w:t xml:space="preserve"> </w:t>
      </w:r>
      <w:r w:rsidRPr="00EA59C0">
        <w:rPr>
          <w:rFonts w:ascii="Arial" w:hAnsi="Arial" w:cs="Arial"/>
          <w:sz w:val="20"/>
          <w:szCs w:val="20"/>
        </w:rPr>
        <w:t>Merriënboer,</w:t>
      </w:r>
      <w:r w:rsidR="00C026A6" w:rsidRPr="00EA59C0">
        <w:rPr>
          <w:rFonts w:ascii="Arial" w:hAnsi="Arial" w:cs="Arial"/>
          <w:sz w:val="20"/>
          <w:szCs w:val="20"/>
        </w:rPr>
        <w:t xml:space="preserve"> </w:t>
      </w:r>
      <w:r w:rsidRPr="00EA59C0">
        <w:rPr>
          <w:rFonts w:ascii="Arial" w:hAnsi="Arial" w:cs="Arial"/>
          <w:sz w:val="20"/>
          <w:szCs w:val="20"/>
        </w:rPr>
        <w:t>Kenneth</w:t>
      </w:r>
      <w:r w:rsidR="00C026A6" w:rsidRPr="00EA59C0">
        <w:rPr>
          <w:rFonts w:ascii="Arial" w:hAnsi="Arial" w:cs="Arial"/>
          <w:sz w:val="20"/>
          <w:szCs w:val="20"/>
        </w:rPr>
        <w:t xml:space="preserve"> </w:t>
      </w:r>
      <w:r w:rsidRPr="00EA59C0">
        <w:rPr>
          <w:rFonts w:ascii="Arial" w:hAnsi="Arial" w:cs="Arial"/>
          <w:sz w:val="20"/>
          <w:szCs w:val="20"/>
        </w:rPr>
        <w:t>Yates</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Sean</w:t>
      </w:r>
      <w:r w:rsidR="00C026A6" w:rsidRPr="00EA59C0">
        <w:rPr>
          <w:rFonts w:ascii="Arial" w:hAnsi="Arial" w:cs="Arial"/>
          <w:sz w:val="20"/>
          <w:szCs w:val="20"/>
        </w:rPr>
        <w:t xml:space="preserve"> </w:t>
      </w:r>
      <w:r w:rsidRPr="00EA59C0">
        <w:rPr>
          <w:rFonts w:ascii="Arial" w:hAnsi="Arial" w:cs="Arial"/>
          <w:sz w:val="20"/>
          <w:szCs w:val="20"/>
        </w:rPr>
        <w:t>Early</w:t>
      </w:r>
    </w:p>
    <w:p w:rsidR="008826BE" w:rsidRPr="00EA59C0" w:rsidRDefault="008826BE" w:rsidP="00DB00BB">
      <w:pPr>
        <w:rPr>
          <w:rFonts w:ascii="Arial" w:hAnsi="Arial" w:cs="Arial"/>
          <w:sz w:val="20"/>
          <w:szCs w:val="20"/>
        </w:rPr>
      </w:pPr>
      <w:r w:rsidRPr="00EA59C0">
        <w:rPr>
          <w:rFonts w:ascii="Arial" w:hAnsi="Arial" w:cs="Arial"/>
          <w:sz w:val="20"/>
          <w:szCs w:val="20"/>
        </w:rPr>
        <w:t>October</w:t>
      </w:r>
      <w:r w:rsidR="00C026A6" w:rsidRPr="00EA59C0">
        <w:rPr>
          <w:rFonts w:ascii="Arial" w:hAnsi="Arial" w:cs="Arial"/>
          <w:sz w:val="20"/>
          <w:szCs w:val="20"/>
        </w:rPr>
        <w:t xml:space="preserve"> </w:t>
      </w:r>
      <w:r w:rsidRPr="00EA59C0">
        <w:rPr>
          <w:rFonts w:ascii="Arial" w:hAnsi="Arial" w:cs="Arial"/>
          <w:sz w:val="20"/>
          <w:szCs w:val="20"/>
        </w:rPr>
        <w:t>14,</w:t>
      </w:r>
      <w:r w:rsidR="00C026A6" w:rsidRPr="00EA59C0">
        <w:rPr>
          <w:rFonts w:ascii="Arial" w:hAnsi="Arial" w:cs="Arial"/>
          <w:sz w:val="20"/>
          <w:szCs w:val="20"/>
        </w:rPr>
        <w:t xml:space="preserve"> </w:t>
      </w:r>
      <w:r w:rsidRPr="00EA59C0">
        <w:rPr>
          <w:rFonts w:ascii="Arial" w:hAnsi="Arial" w:cs="Arial"/>
          <w:sz w:val="20"/>
          <w:szCs w:val="20"/>
        </w:rPr>
        <w:t>2006</w:t>
      </w:r>
    </w:p>
    <w:p w:rsidR="008826BE" w:rsidRPr="00EA59C0" w:rsidRDefault="00DF2916" w:rsidP="00DB00BB">
      <w:pPr>
        <w:rPr>
          <w:rFonts w:ascii="Arial" w:hAnsi="Arial" w:cs="Arial"/>
          <w:sz w:val="20"/>
          <w:szCs w:val="20"/>
        </w:rPr>
      </w:pPr>
      <w:hyperlink r:id="rId360" w:history="1">
        <w:r w:rsidR="008826BE" w:rsidRPr="00EA59C0">
          <w:rPr>
            <w:rStyle w:val="Hyperlink"/>
            <w:rFonts w:ascii="Arial" w:hAnsi="Arial" w:cs="Arial"/>
            <w:color w:val="auto"/>
            <w:sz w:val="20"/>
            <w:szCs w:val="20"/>
          </w:rPr>
          <w:t>http://www.cogtech.usc.edu/publications/clark_etal_cognitive_task_analysis_chapter.pdf</w:t>
        </w:r>
      </w:hyperlink>
    </w:p>
    <w:p w:rsidR="008826BE" w:rsidRPr="00EA59C0" w:rsidRDefault="008826BE" w:rsidP="00DB00BB">
      <w:pPr>
        <w:rPr>
          <w:rFonts w:ascii="Arial" w:hAnsi="Arial" w:cs="Arial"/>
          <w:sz w:val="20"/>
          <w:szCs w:val="20"/>
        </w:rPr>
      </w:pPr>
    </w:p>
    <w:p w:rsidR="008826BE" w:rsidRPr="00EA59C0" w:rsidRDefault="008826BE" w:rsidP="00DB00BB">
      <w:pPr>
        <w:autoSpaceDE w:val="0"/>
        <w:autoSpaceDN w:val="0"/>
        <w:rPr>
          <w:rFonts w:ascii="Arial" w:hAnsi="Arial" w:cs="Arial"/>
          <w:b/>
          <w:bCs/>
          <w:sz w:val="20"/>
          <w:szCs w:val="20"/>
        </w:rPr>
      </w:pPr>
      <w:r w:rsidRPr="00EA59C0">
        <w:rPr>
          <w:rFonts w:ascii="Arial" w:hAnsi="Arial" w:cs="Arial"/>
          <w:b/>
          <w:bCs/>
          <w:sz w:val="20"/>
          <w:szCs w:val="20"/>
        </w:rPr>
        <w:t>Applied</w:t>
      </w:r>
      <w:r w:rsidR="00C026A6" w:rsidRPr="00EA59C0">
        <w:rPr>
          <w:rFonts w:ascii="Arial" w:hAnsi="Arial" w:cs="Arial"/>
          <w:b/>
          <w:bCs/>
          <w:sz w:val="20"/>
          <w:szCs w:val="20"/>
        </w:rPr>
        <w:t xml:space="preserve"> </w:t>
      </w:r>
      <w:r w:rsidRPr="00EA59C0">
        <w:rPr>
          <w:rFonts w:ascii="Arial" w:hAnsi="Arial" w:cs="Arial"/>
          <w:b/>
          <w:bCs/>
          <w:sz w:val="20"/>
          <w:szCs w:val="20"/>
        </w:rPr>
        <w:t>Cognitive</w:t>
      </w:r>
      <w:r w:rsidR="00C026A6" w:rsidRPr="00EA59C0">
        <w:rPr>
          <w:rFonts w:ascii="Arial" w:hAnsi="Arial" w:cs="Arial"/>
          <w:b/>
          <w:bCs/>
          <w:sz w:val="20"/>
          <w:szCs w:val="20"/>
        </w:rPr>
        <w:t xml:space="preserve"> </w:t>
      </w:r>
      <w:r w:rsidRPr="00EA59C0">
        <w:rPr>
          <w:rFonts w:ascii="Arial" w:hAnsi="Arial" w:cs="Arial"/>
          <w:b/>
          <w:bCs/>
          <w:sz w:val="20"/>
          <w:szCs w:val="20"/>
        </w:rPr>
        <w:t>Task</w:t>
      </w:r>
      <w:r w:rsidR="00C026A6" w:rsidRPr="00EA59C0">
        <w:rPr>
          <w:rFonts w:ascii="Arial" w:hAnsi="Arial" w:cs="Arial"/>
          <w:b/>
          <w:bCs/>
          <w:sz w:val="20"/>
          <w:szCs w:val="20"/>
        </w:rPr>
        <w:t xml:space="preserve"> </w:t>
      </w:r>
      <w:r w:rsidRPr="00EA59C0">
        <w:rPr>
          <w:rFonts w:ascii="Arial" w:hAnsi="Arial" w:cs="Arial"/>
          <w:b/>
          <w:bCs/>
          <w:sz w:val="20"/>
          <w:szCs w:val="20"/>
        </w:rPr>
        <w:t>Analysis</w:t>
      </w:r>
      <w:r w:rsidR="00C026A6" w:rsidRPr="00EA59C0">
        <w:rPr>
          <w:rFonts w:ascii="Arial" w:hAnsi="Arial" w:cs="Arial"/>
          <w:b/>
          <w:bCs/>
          <w:sz w:val="20"/>
          <w:szCs w:val="20"/>
        </w:rPr>
        <w:t xml:space="preserve"> </w:t>
      </w:r>
      <w:r w:rsidRPr="00EA59C0">
        <w:rPr>
          <w:rFonts w:ascii="Arial" w:hAnsi="Arial" w:cs="Arial"/>
          <w:b/>
          <w:bCs/>
          <w:sz w:val="20"/>
          <w:szCs w:val="20"/>
        </w:rPr>
        <w:t>(Acta):</w:t>
      </w:r>
      <w:r w:rsidR="00C026A6" w:rsidRPr="00EA59C0">
        <w:rPr>
          <w:rFonts w:ascii="Arial" w:hAnsi="Arial" w:cs="Arial"/>
          <w:b/>
          <w:bCs/>
          <w:sz w:val="20"/>
          <w:szCs w:val="20"/>
        </w:rPr>
        <w:t xml:space="preserve"> </w:t>
      </w:r>
      <w:r w:rsidRPr="00EA59C0">
        <w:rPr>
          <w:rFonts w:ascii="Arial" w:hAnsi="Arial" w:cs="Arial"/>
          <w:b/>
          <w:bCs/>
          <w:sz w:val="20"/>
          <w:szCs w:val="20"/>
        </w:rPr>
        <w:t>A</w:t>
      </w:r>
      <w:r w:rsidR="00C026A6" w:rsidRPr="00EA59C0">
        <w:rPr>
          <w:rFonts w:ascii="Arial" w:hAnsi="Arial" w:cs="Arial"/>
          <w:b/>
          <w:bCs/>
          <w:sz w:val="20"/>
          <w:szCs w:val="20"/>
        </w:rPr>
        <w:t xml:space="preserve"> </w:t>
      </w:r>
      <w:r w:rsidRPr="00EA59C0">
        <w:rPr>
          <w:rFonts w:ascii="Arial" w:hAnsi="Arial" w:cs="Arial"/>
          <w:b/>
          <w:bCs/>
          <w:sz w:val="20"/>
          <w:szCs w:val="20"/>
        </w:rPr>
        <w:t>Practitioner’s</w:t>
      </w:r>
      <w:r w:rsidR="00C026A6" w:rsidRPr="00EA59C0">
        <w:rPr>
          <w:rFonts w:ascii="Arial" w:hAnsi="Arial" w:cs="Arial"/>
          <w:b/>
          <w:bCs/>
          <w:sz w:val="20"/>
          <w:szCs w:val="20"/>
        </w:rPr>
        <w:t xml:space="preserve"> </w:t>
      </w:r>
      <w:r w:rsidRPr="00EA59C0">
        <w:rPr>
          <w:rFonts w:ascii="Arial" w:hAnsi="Arial" w:cs="Arial"/>
          <w:b/>
          <w:bCs/>
          <w:sz w:val="20"/>
          <w:szCs w:val="20"/>
        </w:rPr>
        <w:t>Toolkit</w:t>
      </w:r>
      <w:r w:rsidR="00C026A6" w:rsidRPr="00EA59C0">
        <w:rPr>
          <w:rFonts w:ascii="Arial" w:hAnsi="Arial" w:cs="Arial"/>
          <w:b/>
          <w:bCs/>
          <w:sz w:val="20"/>
          <w:szCs w:val="20"/>
        </w:rPr>
        <w:t xml:space="preserve"> </w:t>
      </w:r>
      <w:r w:rsidRPr="00EA59C0">
        <w:rPr>
          <w:rFonts w:ascii="Arial" w:hAnsi="Arial" w:cs="Arial"/>
          <w:b/>
          <w:bCs/>
          <w:sz w:val="20"/>
          <w:szCs w:val="20"/>
        </w:rPr>
        <w:t>For</w:t>
      </w:r>
      <w:r w:rsidR="00C026A6" w:rsidRPr="00EA59C0">
        <w:rPr>
          <w:rFonts w:ascii="Arial" w:hAnsi="Arial" w:cs="Arial"/>
          <w:b/>
          <w:bCs/>
          <w:sz w:val="20"/>
          <w:szCs w:val="20"/>
        </w:rPr>
        <w:t xml:space="preserve"> </w:t>
      </w:r>
      <w:r w:rsidRPr="00EA59C0">
        <w:rPr>
          <w:rFonts w:ascii="Arial" w:hAnsi="Arial" w:cs="Arial"/>
          <w:b/>
          <w:bCs/>
          <w:sz w:val="20"/>
          <w:szCs w:val="20"/>
        </w:rPr>
        <w:t>Understanding</w:t>
      </w:r>
      <w:r w:rsidR="00C026A6" w:rsidRPr="00EA59C0">
        <w:rPr>
          <w:rFonts w:ascii="Arial" w:hAnsi="Arial" w:cs="Arial"/>
          <w:b/>
          <w:bCs/>
          <w:sz w:val="20"/>
          <w:szCs w:val="20"/>
        </w:rPr>
        <w:t xml:space="preserve"> </w:t>
      </w:r>
      <w:r w:rsidRPr="00EA59C0">
        <w:rPr>
          <w:rFonts w:ascii="Arial" w:hAnsi="Arial" w:cs="Arial"/>
          <w:b/>
          <w:bCs/>
          <w:sz w:val="20"/>
          <w:szCs w:val="20"/>
        </w:rPr>
        <w:t>Cognitive</w:t>
      </w:r>
      <w:r w:rsidR="00C026A6" w:rsidRPr="00EA59C0">
        <w:rPr>
          <w:rFonts w:ascii="Arial" w:hAnsi="Arial" w:cs="Arial"/>
          <w:b/>
          <w:bCs/>
          <w:sz w:val="20"/>
          <w:szCs w:val="20"/>
        </w:rPr>
        <w:t xml:space="preserve"> </w:t>
      </w:r>
      <w:r w:rsidRPr="00EA59C0">
        <w:rPr>
          <w:rFonts w:ascii="Arial" w:hAnsi="Arial" w:cs="Arial"/>
          <w:b/>
          <w:bCs/>
          <w:sz w:val="20"/>
          <w:szCs w:val="20"/>
        </w:rPr>
        <w:t>Task</w:t>
      </w:r>
      <w:r w:rsidR="00C026A6" w:rsidRPr="00EA59C0">
        <w:rPr>
          <w:rFonts w:ascii="Arial" w:hAnsi="Arial" w:cs="Arial"/>
          <w:b/>
          <w:bCs/>
          <w:sz w:val="20"/>
          <w:szCs w:val="20"/>
        </w:rPr>
        <w:t xml:space="preserve"> </w:t>
      </w:r>
      <w:r w:rsidRPr="00EA59C0">
        <w:rPr>
          <w:rFonts w:ascii="Arial" w:hAnsi="Arial" w:cs="Arial"/>
          <w:b/>
          <w:bCs/>
          <w:sz w:val="20"/>
          <w:szCs w:val="20"/>
        </w:rPr>
        <w:t>Demands</w:t>
      </w:r>
    </w:p>
    <w:p w:rsidR="008826BE" w:rsidRPr="00EA59C0" w:rsidRDefault="00C04130" w:rsidP="00DB00BB">
      <w:pPr>
        <w:rPr>
          <w:rFonts w:ascii="Arial" w:hAnsi="Arial" w:cs="Arial"/>
          <w:sz w:val="20"/>
          <w:szCs w:val="20"/>
        </w:rPr>
      </w:pPr>
      <w:r w:rsidRPr="00EA59C0">
        <w:rPr>
          <w:rFonts w:ascii="Arial" w:hAnsi="Arial" w:cs="Arial"/>
          <w:sz w:val="20"/>
          <w:szCs w:val="20"/>
        </w:rPr>
        <w:t>Laura</w:t>
      </w:r>
      <w:r w:rsidR="00C026A6" w:rsidRPr="00EA59C0">
        <w:rPr>
          <w:rFonts w:ascii="Arial" w:hAnsi="Arial" w:cs="Arial"/>
          <w:sz w:val="20"/>
          <w:szCs w:val="20"/>
        </w:rPr>
        <w:t xml:space="preserve"> </w:t>
      </w:r>
      <w:r w:rsidRPr="00EA59C0">
        <w:rPr>
          <w:rFonts w:ascii="Arial" w:hAnsi="Arial" w:cs="Arial"/>
          <w:sz w:val="20"/>
          <w:szCs w:val="20"/>
        </w:rPr>
        <w:t>G.</w:t>
      </w:r>
      <w:r w:rsidR="00C026A6" w:rsidRPr="00EA59C0">
        <w:rPr>
          <w:rFonts w:ascii="Arial" w:hAnsi="Arial" w:cs="Arial"/>
          <w:sz w:val="20"/>
          <w:szCs w:val="20"/>
        </w:rPr>
        <w:t xml:space="preserve"> </w:t>
      </w:r>
      <w:r w:rsidRPr="00EA59C0">
        <w:rPr>
          <w:rFonts w:ascii="Arial" w:hAnsi="Arial" w:cs="Arial"/>
          <w:sz w:val="20"/>
          <w:szCs w:val="20"/>
        </w:rPr>
        <w:t>Militello</w:t>
      </w:r>
      <w:r w:rsidR="00C026A6" w:rsidRPr="00EA59C0">
        <w:rPr>
          <w:rFonts w:ascii="Arial" w:hAnsi="Arial" w:cs="Arial"/>
          <w:sz w:val="20"/>
          <w:szCs w:val="20"/>
        </w:rPr>
        <w:t xml:space="preserve"> </w:t>
      </w:r>
      <w:r w:rsidRPr="00EA59C0">
        <w:rPr>
          <w:rFonts w:ascii="Arial" w:hAnsi="Arial" w:cs="Arial"/>
          <w:sz w:val="20"/>
          <w:szCs w:val="20"/>
        </w:rPr>
        <w:t>and</w:t>
      </w:r>
      <w:r w:rsidR="00C026A6" w:rsidRPr="00EA59C0">
        <w:rPr>
          <w:rFonts w:ascii="Arial" w:hAnsi="Arial" w:cs="Arial"/>
          <w:sz w:val="20"/>
          <w:szCs w:val="20"/>
        </w:rPr>
        <w:t xml:space="preserve"> </w:t>
      </w:r>
      <w:r w:rsidRPr="00EA59C0">
        <w:rPr>
          <w:rFonts w:ascii="Arial" w:hAnsi="Arial" w:cs="Arial"/>
          <w:sz w:val="20"/>
          <w:szCs w:val="20"/>
        </w:rPr>
        <w:t>Robert</w:t>
      </w:r>
      <w:r w:rsidR="00C026A6" w:rsidRPr="00EA59C0">
        <w:rPr>
          <w:rFonts w:ascii="Arial" w:hAnsi="Arial" w:cs="Arial"/>
          <w:sz w:val="20"/>
          <w:szCs w:val="20"/>
        </w:rPr>
        <w:t xml:space="preserve"> </w:t>
      </w:r>
      <w:r w:rsidRPr="00EA59C0">
        <w:rPr>
          <w:rFonts w:ascii="Arial" w:hAnsi="Arial" w:cs="Arial"/>
          <w:sz w:val="20"/>
          <w:szCs w:val="20"/>
        </w:rPr>
        <w:t>J.</w:t>
      </w:r>
      <w:r w:rsidR="00C026A6" w:rsidRPr="00EA59C0">
        <w:rPr>
          <w:rFonts w:ascii="Arial" w:hAnsi="Arial" w:cs="Arial"/>
          <w:sz w:val="20"/>
          <w:szCs w:val="20"/>
        </w:rPr>
        <w:t xml:space="preserve"> </w:t>
      </w:r>
      <w:r w:rsidRPr="00EA59C0">
        <w:rPr>
          <w:rFonts w:ascii="Arial" w:hAnsi="Arial" w:cs="Arial"/>
          <w:sz w:val="20"/>
          <w:szCs w:val="20"/>
        </w:rPr>
        <w:t>B.</w:t>
      </w:r>
      <w:r w:rsidR="00C026A6" w:rsidRPr="00EA59C0">
        <w:rPr>
          <w:rFonts w:ascii="Arial" w:hAnsi="Arial" w:cs="Arial"/>
          <w:sz w:val="20"/>
          <w:szCs w:val="20"/>
        </w:rPr>
        <w:t xml:space="preserve"> </w:t>
      </w:r>
      <w:r w:rsidRPr="00EA59C0">
        <w:rPr>
          <w:rFonts w:ascii="Arial" w:hAnsi="Arial" w:cs="Arial"/>
          <w:sz w:val="20"/>
          <w:szCs w:val="20"/>
        </w:rPr>
        <w:t>Hutton,</w:t>
      </w:r>
      <w:r w:rsidR="00C026A6" w:rsidRPr="00EA59C0">
        <w:rPr>
          <w:rFonts w:ascii="Arial" w:hAnsi="Arial" w:cs="Arial"/>
          <w:sz w:val="20"/>
          <w:szCs w:val="20"/>
        </w:rPr>
        <w:t xml:space="preserve"> </w:t>
      </w:r>
      <w:r w:rsidRPr="00EA59C0">
        <w:rPr>
          <w:rFonts w:ascii="Arial" w:hAnsi="Arial" w:cs="Arial"/>
          <w:sz w:val="20"/>
          <w:szCs w:val="20"/>
        </w:rPr>
        <w:t>1998</w:t>
      </w:r>
    </w:p>
    <w:p w:rsidR="008826BE" w:rsidRPr="00EA59C0" w:rsidRDefault="00DF2916" w:rsidP="00DB00BB">
      <w:pPr>
        <w:rPr>
          <w:rFonts w:ascii="Arial" w:hAnsi="Arial" w:cs="Arial"/>
          <w:sz w:val="20"/>
          <w:szCs w:val="20"/>
        </w:rPr>
      </w:pPr>
      <w:hyperlink r:id="rId361" w:history="1">
        <w:r w:rsidR="008826BE" w:rsidRPr="00EA59C0">
          <w:rPr>
            <w:rStyle w:val="Hyperlink"/>
            <w:rFonts w:ascii="Arial" w:hAnsi="Arial" w:cs="Arial"/>
            <w:color w:val="auto"/>
            <w:sz w:val="20"/>
            <w:szCs w:val="20"/>
          </w:rPr>
          <w:t>http://www.google.com/url?sa=t&amp;rct=j&amp;q=&amp;esrc=s&amp;source=web&amp;cd=5&amp;ved=0CF0QFjAE&amp;url=http%3A%2F%2Fciteseerx.ist.psu.edu%2Fviewdoc%2Fdownload%3Fdoi%3D10.1.1.89.4503%26rep%3Drep1%26type%3Dpdf&amp;ei=xLkSUaTUOYTW2gWupYHgDg&amp;usg=AFQjCNGJm2eE6bvpQOfUagJ9efvMZeyEXA&amp;bvm=bv.41934586,d.b2I</w:t>
        </w:r>
      </w:hyperlink>
    </w:p>
    <w:p w:rsidR="008826BE" w:rsidRPr="00EA59C0" w:rsidRDefault="008826BE" w:rsidP="00DB00BB">
      <w:pPr>
        <w:rPr>
          <w:rFonts w:ascii="Arial" w:hAnsi="Arial" w:cs="Arial"/>
          <w:sz w:val="20"/>
          <w:szCs w:val="20"/>
        </w:rPr>
      </w:pPr>
    </w:p>
    <w:p w:rsidR="008826BE" w:rsidRPr="00EA59C0" w:rsidRDefault="008826BE" w:rsidP="00DB00BB">
      <w:pPr>
        <w:rPr>
          <w:rFonts w:ascii="Arial" w:hAnsi="Arial" w:cs="Arial"/>
          <w:b/>
          <w:bCs/>
          <w:sz w:val="20"/>
          <w:szCs w:val="20"/>
        </w:rPr>
      </w:pPr>
      <w:r w:rsidRPr="00EA59C0">
        <w:rPr>
          <w:rFonts w:ascii="Arial" w:hAnsi="Arial" w:cs="Arial"/>
          <w:b/>
          <w:bCs/>
          <w:sz w:val="20"/>
          <w:szCs w:val="20"/>
        </w:rPr>
        <w:t>Cognitive</w:t>
      </w:r>
      <w:r w:rsidR="00C026A6" w:rsidRPr="00EA59C0">
        <w:rPr>
          <w:rFonts w:ascii="Arial" w:hAnsi="Arial" w:cs="Arial"/>
          <w:b/>
          <w:bCs/>
          <w:sz w:val="20"/>
          <w:szCs w:val="20"/>
        </w:rPr>
        <w:t xml:space="preserve"> </w:t>
      </w:r>
      <w:r w:rsidRPr="00EA59C0">
        <w:rPr>
          <w:rFonts w:ascii="Arial" w:hAnsi="Arial" w:cs="Arial"/>
          <w:b/>
          <w:bCs/>
          <w:sz w:val="20"/>
          <w:szCs w:val="20"/>
        </w:rPr>
        <w:t>Task</w:t>
      </w:r>
      <w:r w:rsidR="00C026A6" w:rsidRPr="00EA59C0">
        <w:rPr>
          <w:rFonts w:ascii="Arial" w:hAnsi="Arial" w:cs="Arial"/>
          <w:b/>
          <w:bCs/>
          <w:sz w:val="20"/>
          <w:szCs w:val="20"/>
        </w:rPr>
        <w:t xml:space="preserve"> </w:t>
      </w:r>
      <w:r w:rsidRPr="00EA59C0">
        <w:rPr>
          <w:rFonts w:ascii="Arial" w:hAnsi="Arial" w:cs="Arial"/>
          <w:b/>
          <w:bCs/>
          <w:sz w:val="20"/>
          <w:szCs w:val="20"/>
        </w:rPr>
        <w:t>Analysis</w:t>
      </w:r>
    </w:p>
    <w:p w:rsidR="008826BE" w:rsidRPr="00EA59C0" w:rsidRDefault="008826BE" w:rsidP="00DB00BB">
      <w:pPr>
        <w:rPr>
          <w:rFonts w:ascii="Arial" w:hAnsi="Arial" w:cs="Arial"/>
          <w:sz w:val="20"/>
          <w:szCs w:val="20"/>
        </w:rPr>
      </w:pPr>
      <w:r w:rsidRPr="00EA59C0">
        <w:rPr>
          <w:rFonts w:ascii="Arial" w:hAnsi="Arial" w:cs="Arial"/>
          <w:sz w:val="20"/>
          <w:szCs w:val="20"/>
        </w:rPr>
        <w:t>WBI</w:t>
      </w:r>
      <w:r w:rsidR="00C026A6" w:rsidRPr="00EA59C0">
        <w:rPr>
          <w:rFonts w:ascii="Arial" w:hAnsi="Arial" w:cs="Arial"/>
          <w:sz w:val="20"/>
          <w:szCs w:val="20"/>
        </w:rPr>
        <w:t xml:space="preserve"> </w:t>
      </w:r>
      <w:r w:rsidRPr="00EA59C0">
        <w:rPr>
          <w:rFonts w:ascii="Arial" w:hAnsi="Arial" w:cs="Arial"/>
          <w:sz w:val="20"/>
          <w:szCs w:val="20"/>
        </w:rPr>
        <w:t>Evaluation</w:t>
      </w:r>
      <w:r w:rsidR="00C026A6" w:rsidRPr="00EA59C0">
        <w:rPr>
          <w:rFonts w:ascii="Arial" w:hAnsi="Arial" w:cs="Arial"/>
          <w:sz w:val="20"/>
          <w:szCs w:val="20"/>
        </w:rPr>
        <w:t xml:space="preserve"> </w:t>
      </w:r>
      <w:r w:rsidRPr="00EA59C0">
        <w:rPr>
          <w:rFonts w:ascii="Arial" w:hAnsi="Arial" w:cs="Arial"/>
          <w:sz w:val="20"/>
          <w:szCs w:val="20"/>
        </w:rPr>
        <w:t>Group,</w:t>
      </w:r>
      <w:r w:rsidR="00C026A6" w:rsidRPr="00EA59C0">
        <w:rPr>
          <w:rFonts w:ascii="Arial" w:hAnsi="Arial" w:cs="Arial"/>
          <w:sz w:val="20"/>
          <w:szCs w:val="20"/>
        </w:rPr>
        <w:t xml:space="preserve"> </w:t>
      </w:r>
      <w:r w:rsidRPr="00EA59C0">
        <w:rPr>
          <w:rFonts w:ascii="Arial" w:hAnsi="Arial" w:cs="Arial"/>
          <w:sz w:val="20"/>
          <w:szCs w:val="20"/>
        </w:rPr>
        <w:t>2007</w:t>
      </w:r>
    </w:p>
    <w:p w:rsidR="008826BE" w:rsidRPr="00EA59C0" w:rsidRDefault="00DF2916" w:rsidP="00DB00BB">
      <w:pPr>
        <w:rPr>
          <w:rFonts w:ascii="Arial" w:hAnsi="Arial" w:cs="Arial"/>
          <w:sz w:val="20"/>
          <w:szCs w:val="20"/>
        </w:rPr>
      </w:pPr>
      <w:hyperlink r:id="rId362" w:history="1">
        <w:r w:rsidR="008826BE" w:rsidRPr="00EA59C0">
          <w:rPr>
            <w:rStyle w:val="Hyperlink"/>
            <w:rFonts w:ascii="Arial" w:hAnsi="Arial" w:cs="Arial"/>
            <w:color w:val="auto"/>
            <w:sz w:val="20"/>
            <w:szCs w:val="20"/>
          </w:rPr>
          <w:t>http://siteresources.worldbank.org/WBI/Resources/213798-1194538727144/3Final-Cog_Task_Analysis.pdf</w:t>
        </w:r>
      </w:hyperlink>
    </w:p>
    <w:p w:rsidR="008826BE" w:rsidRPr="00EA59C0" w:rsidRDefault="008826BE" w:rsidP="00DB00BB">
      <w:pPr>
        <w:rPr>
          <w:rFonts w:ascii="Arial" w:hAnsi="Arial" w:cs="Arial"/>
          <w:sz w:val="22"/>
          <w:szCs w:val="22"/>
        </w:rPr>
      </w:pPr>
    </w:p>
    <w:p w:rsidR="008826BE" w:rsidRPr="00EA59C0" w:rsidRDefault="008826BE" w:rsidP="00DB00BB">
      <w:pPr>
        <w:rPr>
          <w:rFonts w:ascii="Arial" w:hAnsi="Arial" w:cs="Arial"/>
          <w:b/>
          <w:sz w:val="22"/>
          <w:szCs w:val="22"/>
        </w:rPr>
      </w:pPr>
      <w:r w:rsidRPr="00EA59C0">
        <w:rPr>
          <w:rFonts w:asciiTheme="minorHAnsi" w:hAnsiTheme="minorHAnsi" w:cs="Arial"/>
          <w:sz w:val="22"/>
          <w:szCs w:val="22"/>
        </w:rPr>
        <w:br w:type="page"/>
      </w:r>
    </w:p>
    <w:p w:rsidR="00C04130" w:rsidRPr="00EA59C0" w:rsidRDefault="00C04130">
      <w:pPr>
        <w:rPr>
          <w:rFonts w:ascii="Arial" w:hAnsi="Arial" w:cs="Arial"/>
          <w:b/>
          <w:sz w:val="22"/>
          <w:szCs w:val="22"/>
        </w:rPr>
      </w:pPr>
      <w:r w:rsidRPr="00EA59C0">
        <w:rPr>
          <w:rFonts w:ascii="Arial" w:hAnsi="Arial" w:cs="Arial"/>
          <w:b/>
          <w:sz w:val="22"/>
          <w:szCs w:val="22"/>
        </w:rPr>
        <w:t>Appendix</w:t>
      </w:r>
      <w:r w:rsidR="00C026A6" w:rsidRPr="00EA59C0">
        <w:rPr>
          <w:rFonts w:ascii="Arial" w:hAnsi="Arial" w:cs="Arial"/>
          <w:b/>
          <w:sz w:val="22"/>
          <w:szCs w:val="22"/>
        </w:rPr>
        <w:t xml:space="preserve"> </w:t>
      </w:r>
      <w:r w:rsidRPr="00EA59C0">
        <w:rPr>
          <w:rFonts w:ascii="Arial" w:hAnsi="Arial" w:cs="Arial"/>
          <w:b/>
          <w:sz w:val="22"/>
          <w:szCs w:val="22"/>
        </w:rPr>
        <w:t>F:</w:t>
      </w:r>
      <w:r w:rsidR="00C026A6" w:rsidRPr="00EA59C0">
        <w:rPr>
          <w:rFonts w:ascii="Arial" w:hAnsi="Arial" w:cs="Arial"/>
          <w:b/>
          <w:sz w:val="22"/>
          <w:szCs w:val="22"/>
        </w:rPr>
        <w:t xml:space="preserve">  </w:t>
      </w:r>
      <w:r w:rsidRPr="00EA59C0">
        <w:rPr>
          <w:rFonts w:ascii="Arial" w:hAnsi="Arial" w:cs="Arial"/>
          <w:b/>
          <w:sz w:val="22"/>
          <w:szCs w:val="22"/>
        </w:rPr>
        <w:t>Non-Grant</w:t>
      </w:r>
      <w:r w:rsidR="00C026A6" w:rsidRPr="00EA59C0">
        <w:rPr>
          <w:rFonts w:ascii="Arial" w:hAnsi="Arial" w:cs="Arial"/>
          <w:b/>
          <w:sz w:val="22"/>
          <w:szCs w:val="22"/>
        </w:rPr>
        <w:t xml:space="preserve"> </w:t>
      </w:r>
      <w:r w:rsidRPr="00EA59C0">
        <w:rPr>
          <w:rFonts w:ascii="Arial" w:hAnsi="Arial" w:cs="Arial"/>
          <w:b/>
          <w:sz w:val="22"/>
          <w:szCs w:val="22"/>
        </w:rPr>
        <w:t>Funded</w:t>
      </w:r>
      <w:r w:rsidR="00C026A6" w:rsidRPr="00EA59C0">
        <w:rPr>
          <w:rFonts w:ascii="Arial" w:hAnsi="Arial" w:cs="Arial"/>
          <w:b/>
          <w:sz w:val="22"/>
          <w:szCs w:val="22"/>
        </w:rPr>
        <w:t xml:space="preserve"> </w:t>
      </w:r>
      <w:r w:rsidRPr="00EA59C0">
        <w:rPr>
          <w:rFonts w:ascii="Arial" w:hAnsi="Arial" w:cs="Arial"/>
          <w:b/>
          <w:sz w:val="22"/>
          <w:szCs w:val="22"/>
        </w:rPr>
        <w:t>Incentive</w:t>
      </w:r>
      <w:r w:rsidR="00C026A6" w:rsidRPr="00EA59C0">
        <w:rPr>
          <w:rFonts w:ascii="Arial" w:hAnsi="Arial" w:cs="Arial"/>
          <w:b/>
          <w:sz w:val="22"/>
          <w:szCs w:val="22"/>
        </w:rPr>
        <w:t xml:space="preserve"> </w:t>
      </w:r>
      <w:r w:rsidRPr="00EA59C0">
        <w:rPr>
          <w:rFonts w:ascii="Arial" w:hAnsi="Arial" w:cs="Arial"/>
          <w:b/>
          <w:sz w:val="22"/>
          <w:szCs w:val="22"/>
        </w:rPr>
        <w:t>Prize</w:t>
      </w:r>
      <w:r w:rsidR="00C026A6" w:rsidRPr="00EA59C0">
        <w:rPr>
          <w:rFonts w:ascii="Arial" w:hAnsi="Arial" w:cs="Arial"/>
          <w:b/>
          <w:sz w:val="22"/>
          <w:szCs w:val="22"/>
        </w:rPr>
        <w:t xml:space="preserve"> </w:t>
      </w:r>
      <w:r w:rsidRPr="00EA59C0">
        <w:rPr>
          <w:rFonts w:ascii="Arial" w:hAnsi="Arial" w:cs="Arial"/>
          <w:b/>
          <w:sz w:val="22"/>
          <w:szCs w:val="22"/>
        </w:rPr>
        <w:t>Competitions</w:t>
      </w:r>
      <w:r w:rsidR="00C026A6" w:rsidRPr="00EA59C0">
        <w:rPr>
          <w:rFonts w:ascii="Arial" w:hAnsi="Arial" w:cs="Arial"/>
          <w:b/>
          <w:sz w:val="22"/>
          <w:szCs w:val="22"/>
        </w:rPr>
        <w:t xml:space="preserve"> </w:t>
      </w:r>
    </w:p>
    <w:p w:rsidR="00C04130" w:rsidRPr="00EA59C0" w:rsidRDefault="00C04130">
      <w:pPr>
        <w:rPr>
          <w:rFonts w:ascii="Arial" w:hAnsi="Arial" w:cs="Arial"/>
          <w:b/>
          <w:sz w:val="22"/>
          <w:szCs w:val="22"/>
        </w:rPr>
      </w:pPr>
    </w:p>
    <w:p w:rsidR="00C04130" w:rsidRPr="00EA59C0" w:rsidRDefault="00C04130">
      <w:pPr>
        <w:rPr>
          <w:rFonts w:ascii="Arial" w:hAnsi="Arial" w:cs="Arial"/>
          <w:sz w:val="22"/>
          <w:szCs w:val="22"/>
        </w:rPr>
      </w:pPr>
      <w:r w:rsidRPr="00EA59C0">
        <w:rPr>
          <w:rFonts w:ascii="Arial" w:hAnsi="Arial" w:cs="Arial"/>
          <w:sz w:val="22"/>
          <w:szCs w:val="22"/>
        </w:rPr>
        <w:t>Applicants</w:t>
      </w:r>
      <w:r w:rsidR="00C026A6" w:rsidRPr="00EA59C0">
        <w:rPr>
          <w:rFonts w:ascii="Arial" w:hAnsi="Arial" w:cs="Arial"/>
          <w:sz w:val="22"/>
          <w:szCs w:val="22"/>
        </w:rPr>
        <w:t xml:space="preserve"> </w:t>
      </w:r>
      <w:r w:rsidRPr="00EA59C0">
        <w:rPr>
          <w:rFonts w:ascii="Arial" w:hAnsi="Arial" w:cs="Arial"/>
          <w:sz w:val="22"/>
          <w:szCs w:val="22"/>
        </w:rPr>
        <w:t>may</w:t>
      </w:r>
      <w:r w:rsidR="00C026A6" w:rsidRPr="00EA59C0">
        <w:rPr>
          <w:rFonts w:ascii="Arial" w:hAnsi="Arial" w:cs="Arial"/>
          <w:sz w:val="22"/>
          <w:szCs w:val="22"/>
        </w:rPr>
        <w:t xml:space="preserve"> </w:t>
      </w:r>
      <w:r w:rsidRPr="00EA59C0">
        <w:rPr>
          <w:rFonts w:ascii="Arial" w:hAnsi="Arial" w:cs="Arial"/>
          <w:sz w:val="22"/>
          <w:szCs w:val="22"/>
        </w:rPr>
        <w:t>consider</w:t>
      </w:r>
      <w:r w:rsidR="00C026A6" w:rsidRPr="00EA59C0">
        <w:rPr>
          <w:rFonts w:ascii="Arial" w:hAnsi="Arial" w:cs="Arial"/>
          <w:sz w:val="22"/>
          <w:szCs w:val="22"/>
        </w:rPr>
        <w:t xml:space="preserve"> </w:t>
      </w:r>
      <w:r w:rsidRPr="00EA59C0">
        <w:rPr>
          <w:rFonts w:ascii="Arial" w:hAnsi="Arial" w:cs="Arial"/>
          <w:sz w:val="22"/>
          <w:szCs w:val="22"/>
        </w:rPr>
        <w:t>engaging</w:t>
      </w:r>
      <w:r w:rsidR="00C026A6" w:rsidRPr="00EA59C0">
        <w:rPr>
          <w:rFonts w:ascii="Arial" w:hAnsi="Arial" w:cs="Arial"/>
          <w:sz w:val="22"/>
          <w:szCs w:val="22"/>
        </w:rPr>
        <w:t xml:space="preserve"> </w:t>
      </w:r>
      <w:r w:rsidRPr="00EA59C0">
        <w:rPr>
          <w:rFonts w:ascii="Arial" w:hAnsi="Arial" w:cs="Arial"/>
          <w:sz w:val="22"/>
          <w:szCs w:val="22"/>
        </w:rPr>
        <w:t>private</w:t>
      </w:r>
      <w:r w:rsidR="00C026A6" w:rsidRPr="00EA59C0">
        <w:rPr>
          <w:rFonts w:ascii="Arial" w:hAnsi="Arial" w:cs="Arial"/>
          <w:sz w:val="22"/>
          <w:szCs w:val="22"/>
        </w:rPr>
        <w:t xml:space="preserve"> </w:t>
      </w:r>
      <w:r w:rsidRPr="00EA59C0">
        <w:rPr>
          <w:rFonts w:ascii="Arial" w:hAnsi="Arial" w:cs="Arial"/>
          <w:sz w:val="22"/>
          <w:szCs w:val="22"/>
        </w:rPr>
        <w:t>sector</w:t>
      </w:r>
      <w:r w:rsidR="00C026A6" w:rsidRPr="00EA59C0">
        <w:rPr>
          <w:rFonts w:ascii="Arial" w:hAnsi="Arial" w:cs="Arial"/>
          <w:sz w:val="22"/>
          <w:szCs w:val="22"/>
        </w:rPr>
        <w:t xml:space="preserve"> </w:t>
      </w:r>
      <w:r w:rsidRPr="00EA59C0">
        <w:rPr>
          <w:rFonts w:ascii="Arial" w:hAnsi="Arial" w:cs="Arial"/>
          <w:sz w:val="22"/>
          <w:szCs w:val="22"/>
        </w:rPr>
        <w:t>partners</w:t>
      </w:r>
      <w:r w:rsidR="00C026A6" w:rsidRPr="00EA59C0">
        <w:rPr>
          <w:rFonts w:ascii="Arial" w:hAnsi="Arial" w:cs="Arial"/>
          <w:sz w:val="22"/>
          <w:szCs w:val="22"/>
        </w:rPr>
        <w:t xml:space="preserve"> </w:t>
      </w:r>
      <w:r w:rsidRPr="00EA59C0">
        <w:rPr>
          <w:rFonts w:ascii="Arial" w:hAnsi="Arial" w:cs="Arial"/>
          <w:sz w:val="22"/>
          <w:szCs w:val="22"/>
        </w:rPr>
        <w:t>or</w:t>
      </w:r>
      <w:r w:rsidR="00C026A6" w:rsidRPr="00EA59C0">
        <w:rPr>
          <w:rFonts w:ascii="Arial" w:hAnsi="Arial" w:cs="Arial"/>
          <w:sz w:val="22"/>
          <w:szCs w:val="22"/>
        </w:rPr>
        <w:t xml:space="preserve"> </w:t>
      </w:r>
      <w:r w:rsidRPr="00EA59C0">
        <w:rPr>
          <w:rFonts w:ascii="Arial" w:hAnsi="Arial" w:cs="Arial"/>
          <w:sz w:val="22"/>
          <w:szCs w:val="22"/>
        </w:rPr>
        <w:t>employers</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use</w:t>
      </w:r>
      <w:r w:rsidR="00C026A6" w:rsidRPr="00EA59C0">
        <w:rPr>
          <w:rFonts w:ascii="Arial" w:hAnsi="Arial" w:cs="Arial"/>
          <w:sz w:val="22"/>
          <w:szCs w:val="22"/>
        </w:rPr>
        <w:t xml:space="preserve"> </w:t>
      </w:r>
      <w:r w:rsidRPr="00EA59C0">
        <w:rPr>
          <w:rFonts w:ascii="Arial" w:hAnsi="Arial" w:cs="Arial"/>
          <w:sz w:val="22"/>
          <w:szCs w:val="22"/>
        </w:rPr>
        <w:t>non-grant</w:t>
      </w:r>
      <w:r w:rsidR="00C026A6" w:rsidRPr="00EA59C0">
        <w:rPr>
          <w:rFonts w:ascii="Arial" w:hAnsi="Arial" w:cs="Arial"/>
          <w:sz w:val="22"/>
          <w:szCs w:val="22"/>
        </w:rPr>
        <w:t xml:space="preserve"> </w:t>
      </w:r>
      <w:r w:rsidRPr="00EA59C0">
        <w:rPr>
          <w:rFonts w:ascii="Arial" w:hAnsi="Arial" w:cs="Arial"/>
          <w:sz w:val="22"/>
          <w:szCs w:val="22"/>
        </w:rPr>
        <w:t>funds</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run</w:t>
      </w:r>
      <w:r w:rsidR="00C026A6" w:rsidRPr="00EA59C0">
        <w:rPr>
          <w:rFonts w:ascii="Arial" w:hAnsi="Arial" w:cs="Arial"/>
          <w:sz w:val="22"/>
          <w:szCs w:val="22"/>
        </w:rPr>
        <w:t xml:space="preserve"> </w:t>
      </w:r>
      <w:r w:rsidRPr="00EA59C0">
        <w:rPr>
          <w:rFonts w:ascii="Arial" w:hAnsi="Arial" w:cs="Arial"/>
          <w:sz w:val="22"/>
          <w:szCs w:val="22"/>
        </w:rPr>
        <w:t>incentive</w:t>
      </w:r>
      <w:r w:rsidR="00C026A6" w:rsidRPr="00EA59C0">
        <w:rPr>
          <w:rFonts w:ascii="Arial" w:hAnsi="Arial" w:cs="Arial"/>
          <w:sz w:val="22"/>
          <w:szCs w:val="22"/>
        </w:rPr>
        <w:t xml:space="preserve"> </w:t>
      </w:r>
      <w:r w:rsidRPr="00EA59C0">
        <w:rPr>
          <w:rFonts w:ascii="Arial" w:hAnsi="Arial" w:cs="Arial"/>
          <w:sz w:val="22"/>
          <w:szCs w:val="22"/>
        </w:rPr>
        <w:t>prize</w:t>
      </w:r>
      <w:r w:rsidR="00C026A6" w:rsidRPr="00EA59C0">
        <w:rPr>
          <w:rFonts w:ascii="Arial" w:hAnsi="Arial" w:cs="Arial"/>
          <w:sz w:val="22"/>
          <w:szCs w:val="22"/>
        </w:rPr>
        <w:t xml:space="preserve"> </w:t>
      </w:r>
      <w:r w:rsidRPr="00EA59C0">
        <w:rPr>
          <w:rFonts w:ascii="Arial" w:hAnsi="Arial" w:cs="Arial"/>
          <w:sz w:val="22"/>
          <w:szCs w:val="22"/>
        </w:rPr>
        <w:t>competitions</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develop</w:t>
      </w:r>
      <w:r w:rsidR="00C026A6" w:rsidRPr="00EA59C0">
        <w:rPr>
          <w:rFonts w:ascii="Arial" w:hAnsi="Arial" w:cs="Arial"/>
          <w:sz w:val="22"/>
          <w:szCs w:val="22"/>
        </w:rPr>
        <w:t xml:space="preserve"> </w:t>
      </w:r>
      <w:r w:rsidRPr="00EA59C0">
        <w:rPr>
          <w:rFonts w:ascii="Arial" w:hAnsi="Arial" w:cs="Arial"/>
          <w:sz w:val="22"/>
          <w:szCs w:val="22"/>
        </w:rPr>
        <w:t>education</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training</w:t>
      </w:r>
      <w:r w:rsidR="00C026A6" w:rsidRPr="00EA59C0">
        <w:rPr>
          <w:rFonts w:ascii="Arial" w:hAnsi="Arial" w:cs="Arial"/>
          <w:sz w:val="22"/>
          <w:szCs w:val="22"/>
        </w:rPr>
        <w:t xml:space="preserve"> </w:t>
      </w:r>
      <w:r w:rsidRPr="00EA59C0">
        <w:rPr>
          <w:rFonts w:ascii="Arial" w:hAnsi="Arial" w:cs="Arial"/>
          <w:sz w:val="22"/>
          <w:szCs w:val="22"/>
        </w:rPr>
        <w:t>tools,</w:t>
      </w:r>
      <w:r w:rsidR="00C026A6" w:rsidRPr="00EA59C0">
        <w:rPr>
          <w:rFonts w:ascii="Arial" w:hAnsi="Arial" w:cs="Arial"/>
          <w:sz w:val="22"/>
          <w:szCs w:val="22"/>
        </w:rPr>
        <w:t xml:space="preserve"> </w:t>
      </w:r>
      <w:r w:rsidRPr="00EA59C0">
        <w:rPr>
          <w:rFonts w:ascii="Arial" w:hAnsi="Arial" w:cs="Arial"/>
          <w:sz w:val="22"/>
          <w:szCs w:val="22"/>
        </w:rPr>
        <w:t>strategies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technologies.</w:t>
      </w:r>
      <w:r w:rsidR="00C026A6" w:rsidRPr="00EA59C0">
        <w:rPr>
          <w:rFonts w:ascii="Arial" w:hAnsi="Arial" w:cs="Arial"/>
          <w:sz w:val="22"/>
          <w:szCs w:val="22"/>
        </w:rPr>
        <w:t xml:space="preserve">  </w:t>
      </w: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incentive</w:t>
      </w:r>
      <w:r w:rsidR="00C026A6" w:rsidRPr="00EA59C0">
        <w:rPr>
          <w:rFonts w:ascii="Arial" w:hAnsi="Arial" w:cs="Arial"/>
          <w:sz w:val="22"/>
          <w:szCs w:val="22"/>
        </w:rPr>
        <w:t xml:space="preserve"> </w:t>
      </w:r>
      <w:r w:rsidRPr="00EA59C0">
        <w:rPr>
          <w:rFonts w:ascii="Arial" w:hAnsi="Arial" w:cs="Arial"/>
          <w:sz w:val="22"/>
          <w:szCs w:val="22"/>
        </w:rPr>
        <w:t>prize</w:t>
      </w:r>
      <w:r w:rsidR="00C026A6" w:rsidRPr="00EA59C0">
        <w:rPr>
          <w:rFonts w:ascii="Arial" w:hAnsi="Arial" w:cs="Arial"/>
          <w:sz w:val="22"/>
          <w:szCs w:val="22"/>
        </w:rPr>
        <w:t xml:space="preserve"> </w:t>
      </w:r>
      <w:r w:rsidRPr="00EA59C0">
        <w:rPr>
          <w:rFonts w:ascii="Arial" w:hAnsi="Arial" w:cs="Arial"/>
          <w:sz w:val="22"/>
          <w:szCs w:val="22"/>
        </w:rPr>
        <w:t>competitions,</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prize</w:t>
      </w:r>
      <w:r w:rsidR="00C026A6" w:rsidRPr="00EA59C0">
        <w:rPr>
          <w:rFonts w:ascii="Arial" w:hAnsi="Arial" w:cs="Arial"/>
          <w:sz w:val="22"/>
          <w:szCs w:val="22"/>
        </w:rPr>
        <w:t xml:space="preserve"> </w:t>
      </w:r>
      <w:r w:rsidRPr="00EA59C0">
        <w:rPr>
          <w:rFonts w:ascii="Arial" w:hAnsi="Arial" w:cs="Arial"/>
          <w:sz w:val="22"/>
          <w:szCs w:val="22"/>
        </w:rPr>
        <w:t>purse</w:t>
      </w:r>
      <w:r w:rsidR="00C026A6" w:rsidRPr="00EA59C0">
        <w:rPr>
          <w:rFonts w:ascii="Arial" w:hAnsi="Arial" w:cs="Arial"/>
          <w:sz w:val="22"/>
          <w:szCs w:val="22"/>
        </w:rPr>
        <w:t xml:space="preserve"> </w:t>
      </w:r>
      <w:r w:rsidRPr="00EA59C0">
        <w:rPr>
          <w:rFonts w:ascii="Arial" w:hAnsi="Arial" w:cs="Arial"/>
          <w:sz w:val="22"/>
          <w:szCs w:val="22"/>
        </w:rPr>
        <w:t>is</w:t>
      </w:r>
      <w:r w:rsidR="00C026A6" w:rsidRPr="00EA59C0">
        <w:rPr>
          <w:rFonts w:ascii="Arial" w:hAnsi="Arial" w:cs="Arial"/>
          <w:sz w:val="22"/>
          <w:szCs w:val="22"/>
        </w:rPr>
        <w:t xml:space="preserve"> </w:t>
      </w:r>
      <w:r w:rsidRPr="00EA59C0">
        <w:rPr>
          <w:rFonts w:ascii="Arial" w:hAnsi="Arial" w:cs="Arial"/>
          <w:sz w:val="22"/>
          <w:szCs w:val="22"/>
        </w:rPr>
        <w:t>only</w:t>
      </w:r>
      <w:r w:rsidR="00C026A6" w:rsidRPr="00EA59C0">
        <w:rPr>
          <w:rFonts w:ascii="Arial" w:hAnsi="Arial" w:cs="Arial"/>
          <w:sz w:val="22"/>
          <w:szCs w:val="22"/>
        </w:rPr>
        <w:t xml:space="preserve"> </w:t>
      </w:r>
      <w:r w:rsidRPr="00EA59C0">
        <w:rPr>
          <w:rFonts w:ascii="Arial" w:hAnsi="Arial" w:cs="Arial"/>
          <w:sz w:val="22"/>
          <w:szCs w:val="22"/>
        </w:rPr>
        <w:t>paid</w:t>
      </w:r>
      <w:r w:rsidR="00C026A6" w:rsidRPr="00EA59C0">
        <w:rPr>
          <w:rFonts w:ascii="Arial" w:hAnsi="Arial" w:cs="Arial"/>
          <w:sz w:val="22"/>
          <w:szCs w:val="22"/>
        </w:rPr>
        <w:t xml:space="preserve"> </w:t>
      </w:r>
      <w:r w:rsidRPr="00EA59C0">
        <w:rPr>
          <w:rFonts w:ascii="Arial" w:hAnsi="Arial" w:cs="Arial"/>
          <w:sz w:val="22"/>
          <w:szCs w:val="22"/>
        </w:rPr>
        <w:t>by</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prize</w:t>
      </w:r>
      <w:r w:rsidR="00C026A6" w:rsidRPr="00EA59C0">
        <w:rPr>
          <w:rFonts w:ascii="Arial" w:hAnsi="Arial" w:cs="Arial"/>
          <w:sz w:val="22"/>
          <w:szCs w:val="22"/>
        </w:rPr>
        <w:t xml:space="preserve"> </w:t>
      </w:r>
      <w:r w:rsidRPr="00EA59C0">
        <w:rPr>
          <w:rFonts w:ascii="Arial" w:hAnsi="Arial" w:cs="Arial"/>
          <w:sz w:val="22"/>
          <w:szCs w:val="22"/>
        </w:rPr>
        <w:t>administrator</w:t>
      </w:r>
      <w:r w:rsidR="00C026A6" w:rsidRPr="00EA59C0">
        <w:rPr>
          <w:rFonts w:ascii="Arial" w:hAnsi="Arial" w:cs="Arial"/>
          <w:sz w:val="22"/>
          <w:szCs w:val="22"/>
        </w:rPr>
        <w:t xml:space="preserve"> </w:t>
      </w:r>
      <w:r w:rsidRPr="00EA59C0">
        <w:rPr>
          <w:rFonts w:ascii="Arial" w:hAnsi="Arial" w:cs="Arial"/>
          <w:sz w:val="22"/>
          <w:szCs w:val="22"/>
        </w:rPr>
        <w:t>upon</w:t>
      </w:r>
      <w:r w:rsidR="00C026A6" w:rsidRPr="00EA59C0">
        <w:rPr>
          <w:rFonts w:ascii="Arial" w:hAnsi="Arial" w:cs="Arial"/>
          <w:sz w:val="22"/>
          <w:szCs w:val="22"/>
        </w:rPr>
        <w:t xml:space="preserve"> </w:t>
      </w:r>
      <w:r w:rsidRPr="00EA59C0">
        <w:rPr>
          <w:rFonts w:ascii="Arial" w:hAnsi="Arial" w:cs="Arial"/>
          <w:sz w:val="22"/>
          <w:szCs w:val="22"/>
        </w:rPr>
        <w:t>proof</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improved</w:t>
      </w:r>
      <w:r w:rsidR="00C026A6" w:rsidRPr="00EA59C0">
        <w:rPr>
          <w:rFonts w:ascii="Arial" w:hAnsi="Arial" w:cs="Arial"/>
          <w:sz w:val="22"/>
          <w:szCs w:val="22"/>
        </w:rPr>
        <w:t xml:space="preserve"> </w:t>
      </w:r>
      <w:r w:rsidRPr="00EA59C0">
        <w:rPr>
          <w:rFonts w:ascii="Arial" w:hAnsi="Arial" w:cs="Arial"/>
          <w:sz w:val="22"/>
          <w:szCs w:val="22"/>
        </w:rPr>
        <w:t>learning</w:t>
      </w:r>
      <w:r w:rsidR="00C026A6" w:rsidRPr="00EA59C0">
        <w:rPr>
          <w:rFonts w:ascii="Arial" w:hAnsi="Arial" w:cs="Arial"/>
          <w:sz w:val="22"/>
          <w:szCs w:val="22"/>
        </w:rPr>
        <w:t xml:space="preserve"> </w:t>
      </w:r>
      <w:r w:rsidRPr="00EA59C0">
        <w:rPr>
          <w:rFonts w:ascii="Arial" w:hAnsi="Arial" w:cs="Arial"/>
          <w:sz w:val="22"/>
          <w:szCs w:val="22"/>
        </w:rPr>
        <w:t>outcomes.</w:t>
      </w:r>
      <w:r w:rsidR="00C026A6" w:rsidRPr="00EA59C0">
        <w:rPr>
          <w:rFonts w:ascii="Arial" w:hAnsi="Arial" w:cs="Arial"/>
          <w:sz w:val="22"/>
          <w:szCs w:val="22"/>
        </w:rPr>
        <w:t xml:space="preserve">  </w:t>
      </w:r>
      <w:r w:rsidRPr="00EA59C0">
        <w:rPr>
          <w:rFonts w:ascii="Arial" w:hAnsi="Arial" w:cs="Arial"/>
          <w:sz w:val="22"/>
          <w:szCs w:val="22"/>
        </w:rPr>
        <w:t>Well-designed</w:t>
      </w:r>
      <w:r w:rsidR="00C026A6" w:rsidRPr="00EA59C0">
        <w:rPr>
          <w:rFonts w:ascii="Arial" w:hAnsi="Arial" w:cs="Arial"/>
          <w:sz w:val="22"/>
          <w:szCs w:val="22"/>
        </w:rPr>
        <w:t xml:space="preserve"> </w:t>
      </w:r>
      <w:r w:rsidRPr="00EA59C0">
        <w:rPr>
          <w:rFonts w:ascii="Arial" w:hAnsi="Arial" w:cs="Arial"/>
          <w:sz w:val="22"/>
          <w:szCs w:val="22"/>
        </w:rPr>
        <w:t>incentive</w:t>
      </w:r>
      <w:r w:rsidR="00C026A6" w:rsidRPr="00EA59C0">
        <w:rPr>
          <w:rFonts w:ascii="Arial" w:hAnsi="Arial" w:cs="Arial"/>
          <w:sz w:val="22"/>
          <w:szCs w:val="22"/>
        </w:rPr>
        <w:t xml:space="preserve"> </w:t>
      </w:r>
      <w:r w:rsidRPr="00EA59C0">
        <w:rPr>
          <w:rFonts w:ascii="Arial" w:hAnsi="Arial" w:cs="Arial"/>
          <w:sz w:val="22"/>
          <w:szCs w:val="22"/>
        </w:rPr>
        <w:t>prize</w:t>
      </w:r>
      <w:r w:rsidR="00C026A6" w:rsidRPr="00EA59C0">
        <w:rPr>
          <w:rFonts w:ascii="Arial" w:hAnsi="Arial" w:cs="Arial"/>
          <w:sz w:val="22"/>
          <w:szCs w:val="22"/>
        </w:rPr>
        <w:t xml:space="preserve"> </w:t>
      </w:r>
      <w:r w:rsidRPr="00EA59C0">
        <w:rPr>
          <w:rFonts w:ascii="Arial" w:hAnsi="Arial" w:cs="Arial"/>
          <w:sz w:val="22"/>
          <w:szCs w:val="22"/>
        </w:rPr>
        <w:t>competition</w:t>
      </w:r>
      <w:r w:rsidR="00C026A6" w:rsidRPr="00EA59C0">
        <w:rPr>
          <w:rFonts w:ascii="Arial" w:hAnsi="Arial" w:cs="Arial"/>
          <w:sz w:val="22"/>
          <w:szCs w:val="22"/>
        </w:rPr>
        <w:t xml:space="preserve"> </w:t>
      </w:r>
      <w:r w:rsidRPr="00EA59C0">
        <w:rPr>
          <w:rFonts w:ascii="Arial" w:hAnsi="Arial" w:cs="Arial"/>
          <w:sz w:val="22"/>
          <w:szCs w:val="22"/>
        </w:rPr>
        <w:t>can</w:t>
      </w:r>
      <w:r w:rsidR="00C026A6" w:rsidRPr="00EA59C0">
        <w:rPr>
          <w:rFonts w:ascii="Arial" w:hAnsi="Arial" w:cs="Arial"/>
          <w:sz w:val="22"/>
          <w:szCs w:val="22"/>
        </w:rPr>
        <w:t xml:space="preserve"> </w:t>
      </w:r>
      <w:r w:rsidRPr="00EA59C0">
        <w:rPr>
          <w:rFonts w:ascii="Arial" w:hAnsi="Arial" w:cs="Arial"/>
          <w:sz w:val="22"/>
          <w:szCs w:val="22"/>
        </w:rPr>
        <w:t>yield</w:t>
      </w:r>
      <w:r w:rsidR="00C026A6" w:rsidRPr="00EA59C0">
        <w:rPr>
          <w:rFonts w:ascii="Arial" w:hAnsi="Arial" w:cs="Arial"/>
          <w:sz w:val="22"/>
          <w:szCs w:val="22"/>
        </w:rPr>
        <w:t xml:space="preserve"> </w:t>
      </w:r>
      <w:r w:rsidRPr="00EA59C0">
        <w:rPr>
          <w:rFonts w:ascii="Arial" w:hAnsi="Arial" w:cs="Arial"/>
          <w:sz w:val="22"/>
          <w:szCs w:val="22"/>
        </w:rPr>
        <w:t>a</w:t>
      </w:r>
      <w:r w:rsidR="00C026A6" w:rsidRPr="00EA59C0">
        <w:rPr>
          <w:rFonts w:ascii="Arial" w:hAnsi="Arial" w:cs="Arial"/>
          <w:sz w:val="22"/>
          <w:szCs w:val="22"/>
        </w:rPr>
        <w:t xml:space="preserve"> </w:t>
      </w:r>
      <w:r w:rsidRPr="00EA59C0">
        <w:rPr>
          <w:rFonts w:ascii="Arial" w:hAnsi="Arial" w:cs="Arial"/>
          <w:sz w:val="22"/>
          <w:szCs w:val="22"/>
        </w:rPr>
        <w:t>high</w:t>
      </w:r>
      <w:r w:rsidR="00C026A6" w:rsidRPr="00EA59C0">
        <w:rPr>
          <w:rFonts w:ascii="Arial" w:hAnsi="Arial" w:cs="Arial"/>
          <w:sz w:val="22"/>
          <w:szCs w:val="22"/>
        </w:rPr>
        <w:t xml:space="preserve"> </w:t>
      </w:r>
      <w:r w:rsidRPr="00EA59C0">
        <w:rPr>
          <w:rFonts w:ascii="Arial" w:hAnsi="Arial" w:cs="Arial"/>
          <w:sz w:val="22"/>
          <w:szCs w:val="22"/>
        </w:rPr>
        <w:t>return</w:t>
      </w:r>
      <w:r w:rsidR="00C026A6" w:rsidRPr="00EA59C0">
        <w:rPr>
          <w:rFonts w:ascii="Arial" w:hAnsi="Arial" w:cs="Arial"/>
          <w:sz w:val="22"/>
          <w:szCs w:val="22"/>
        </w:rPr>
        <w:t xml:space="preserve"> </w:t>
      </w:r>
      <w:r w:rsidRPr="00EA59C0">
        <w:rPr>
          <w:rFonts w:ascii="Arial" w:hAnsi="Arial" w:cs="Arial"/>
          <w:sz w:val="22"/>
          <w:szCs w:val="22"/>
        </w:rPr>
        <w:t>on</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dollar</w:t>
      </w:r>
      <w:r w:rsidR="00C026A6" w:rsidRPr="00EA59C0">
        <w:rPr>
          <w:rFonts w:ascii="Arial" w:hAnsi="Arial" w:cs="Arial"/>
          <w:sz w:val="22"/>
          <w:szCs w:val="22"/>
        </w:rPr>
        <w:t xml:space="preserve"> </w:t>
      </w:r>
      <w:r w:rsidRPr="00EA59C0">
        <w:rPr>
          <w:rFonts w:ascii="Arial" w:hAnsi="Arial" w:cs="Arial"/>
          <w:sz w:val="22"/>
          <w:szCs w:val="22"/>
        </w:rPr>
        <w:t>by</w:t>
      </w:r>
      <w:r w:rsidR="00C026A6" w:rsidRPr="00EA59C0">
        <w:rPr>
          <w:rFonts w:ascii="Arial" w:hAnsi="Arial" w:cs="Arial"/>
          <w:sz w:val="22"/>
          <w:szCs w:val="22"/>
        </w:rPr>
        <w:t xml:space="preserve"> </w:t>
      </w:r>
      <w:r w:rsidRPr="00EA59C0">
        <w:rPr>
          <w:rFonts w:ascii="Arial" w:hAnsi="Arial" w:cs="Arial"/>
          <w:sz w:val="22"/>
          <w:szCs w:val="22"/>
        </w:rPr>
        <w:t>increasing</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opportunities</w:t>
      </w:r>
      <w:r w:rsidR="00C026A6" w:rsidRPr="00EA59C0">
        <w:rPr>
          <w:rFonts w:ascii="Arial" w:hAnsi="Arial" w:cs="Arial"/>
          <w:sz w:val="22"/>
          <w:szCs w:val="22"/>
        </w:rPr>
        <w:t xml:space="preserve"> </w:t>
      </w:r>
      <w:r w:rsidRPr="00EA59C0">
        <w:rPr>
          <w:rFonts w:ascii="Arial" w:hAnsi="Arial" w:cs="Arial"/>
          <w:sz w:val="22"/>
          <w:szCs w:val="22"/>
        </w:rPr>
        <w:t>for</w:t>
      </w:r>
      <w:r w:rsidR="00C026A6" w:rsidRPr="00EA59C0">
        <w:rPr>
          <w:rFonts w:ascii="Arial" w:hAnsi="Arial" w:cs="Arial"/>
          <w:sz w:val="22"/>
          <w:szCs w:val="22"/>
        </w:rPr>
        <w:t xml:space="preserve"> </w:t>
      </w:r>
      <w:r w:rsidRPr="00EA59C0">
        <w:rPr>
          <w:rFonts w:ascii="Arial" w:hAnsi="Arial" w:cs="Arial"/>
          <w:sz w:val="22"/>
          <w:szCs w:val="22"/>
        </w:rPr>
        <w:t>innovation</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expanding</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number</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people</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organizations</w:t>
      </w:r>
      <w:r w:rsidR="00C026A6" w:rsidRPr="00EA59C0">
        <w:rPr>
          <w:rFonts w:ascii="Arial" w:hAnsi="Arial" w:cs="Arial"/>
          <w:sz w:val="22"/>
          <w:szCs w:val="22"/>
        </w:rPr>
        <w:t xml:space="preserve"> </w:t>
      </w:r>
      <w:r w:rsidRPr="00EA59C0">
        <w:rPr>
          <w:rFonts w:ascii="Arial" w:hAnsi="Arial" w:cs="Arial"/>
          <w:sz w:val="22"/>
          <w:szCs w:val="22"/>
        </w:rPr>
        <w:t>devoted</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developing</w:t>
      </w:r>
      <w:r w:rsidR="00C026A6" w:rsidRPr="00EA59C0">
        <w:rPr>
          <w:rFonts w:ascii="Arial" w:hAnsi="Arial" w:cs="Arial"/>
          <w:sz w:val="22"/>
          <w:szCs w:val="22"/>
        </w:rPr>
        <w:t xml:space="preserve"> </w:t>
      </w:r>
      <w:r w:rsidRPr="00EA59C0">
        <w:rPr>
          <w:rFonts w:ascii="Arial" w:hAnsi="Arial" w:cs="Arial"/>
          <w:sz w:val="22"/>
          <w:szCs w:val="22"/>
        </w:rPr>
        <w:t>solutions</w:t>
      </w:r>
      <w:r w:rsidR="00C026A6" w:rsidRPr="00EA59C0">
        <w:rPr>
          <w:rFonts w:ascii="Arial" w:hAnsi="Arial" w:cs="Arial"/>
          <w:sz w:val="22"/>
          <w:szCs w:val="22"/>
        </w:rPr>
        <w:t xml:space="preserve"> </w:t>
      </w:r>
      <w:r w:rsidRPr="00EA59C0">
        <w:rPr>
          <w:rFonts w:ascii="Arial" w:hAnsi="Arial" w:cs="Arial"/>
          <w:sz w:val="22"/>
          <w:szCs w:val="22"/>
        </w:rPr>
        <w:t>for</w:t>
      </w:r>
      <w:r w:rsidR="00C026A6" w:rsidRPr="00EA59C0">
        <w:rPr>
          <w:rFonts w:ascii="Arial" w:hAnsi="Arial" w:cs="Arial"/>
          <w:sz w:val="22"/>
          <w:szCs w:val="22"/>
        </w:rPr>
        <w:t xml:space="preserve"> </w:t>
      </w:r>
      <w:r w:rsidRPr="00EA59C0">
        <w:rPr>
          <w:rFonts w:ascii="Arial" w:hAnsi="Arial" w:cs="Arial"/>
          <w:sz w:val="22"/>
          <w:szCs w:val="22"/>
        </w:rPr>
        <w:t>key</w:t>
      </w:r>
      <w:r w:rsidR="00C026A6" w:rsidRPr="00EA59C0">
        <w:rPr>
          <w:rFonts w:ascii="Arial" w:hAnsi="Arial" w:cs="Arial"/>
          <w:sz w:val="22"/>
          <w:szCs w:val="22"/>
        </w:rPr>
        <w:t xml:space="preserve"> </w:t>
      </w:r>
      <w:r w:rsidRPr="00EA59C0">
        <w:rPr>
          <w:rFonts w:ascii="Arial" w:hAnsi="Arial" w:cs="Arial"/>
          <w:sz w:val="22"/>
          <w:szCs w:val="22"/>
        </w:rPr>
        <w:t>issues.</w:t>
      </w:r>
      <w:r w:rsidR="00C026A6" w:rsidRPr="00EA59C0">
        <w:rPr>
          <w:rFonts w:ascii="Arial" w:hAnsi="Arial" w:cs="Arial"/>
          <w:sz w:val="22"/>
          <w:szCs w:val="22"/>
        </w:rPr>
        <w:t xml:space="preserve">  </w:t>
      </w:r>
    </w:p>
    <w:p w:rsidR="00C04130" w:rsidRPr="00EA59C0" w:rsidRDefault="00C04130">
      <w:pPr>
        <w:rPr>
          <w:rFonts w:ascii="Arial" w:hAnsi="Arial" w:cs="Arial"/>
          <w:sz w:val="22"/>
          <w:szCs w:val="22"/>
        </w:rPr>
      </w:pPr>
    </w:p>
    <w:p w:rsidR="00C04130" w:rsidRPr="00EA59C0" w:rsidRDefault="00C04130">
      <w:pPr>
        <w:rPr>
          <w:rFonts w:ascii="Arial" w:hAnsi="Arial" w:cs="Arial"/>
          <w:sz w:val="22"/>
          <w:szCs w:val="22"/>
        </w:rPr>
      </w:pPr>
      <w:r w:rsidRPr="00EA59C0">
        <w:rPr>
          <w:rFonts w:ascii="Arial" w:hAnsi="Arial" w:cs="Arial"/>
          <w:sz w:val="22"/>
          <w:szCs w:val="22"/>
        </w:rPr>
        <w:t>For</w:t>
      </w:r>
      <w:r w:rsidR="00C026A6" w:rsidRPr="00EA59C0">
        <w:rPr>
          <w:rFonts w:ascii="Arial" w:hAnsi="Arial" w:cs="Arial"/>
          <w:sz w:val="22"/>
          <w:szCs w:val="22"/>
        </w:rPr>
        <w:t xml:space="preserve"> </w:t>
      </w:r>
      <w:r w:rsidRPr="00EA59C0">
        <w:rPr>
          <w:rFonts w:ascii="Arial" w:hAnsi="Arial" w:cs="Arial"/>
          <w:sz w:val="22"/>
          <w:szCs w:val="22"/>
        </w:rPr>
        <w:t>more</w:t>
      </w:r>
      <w:r w:rsidR="00C026A6" w:rsidRPr="00EA59C0">
        <w:rPr>
          <w:rFonts w:ascii="Arial" w:hAnsi="Arial" w:cs="Arial"/>
          <w:sz w:val="22"/>
          <w:szCs w:val="22"/>
        </w:rPr>
        <w:t xml:space="preserve"> </w:t>
      </w:r>
      <w:r w:rsidRPr="00EA59C0">
        <w:rPr>
          <w:rFonts w:ascii="Arial" w:hAnsi="Arial" w:cs="Arial"/>
          <w:sz w:val="22"/>
          <w:szCs w:val="22"/>
        </w:rPr>
        <w:t>information</w:t>
      </w:r>
      <w:r w:rsidR="00C026A6" w:rsidRPr="00EA59C0">
        <w:rPr>
          <w:rFonts w:ascii="Arial" w:hAnsi="Arial" w:cs="Arial"/>
          <w:sz w:val="22"/>
          <w:szCs w:val="22"/>
        </w:rPr>
        <w:t xml:space="preserve"> </w:t>
      </w:r>
      <w:r w:rsidRPr="00EA59C0">
        <w:rPr>
          <w:rFonts w:ascii="Arial" w:hAnsi="Arial" w:cs="Arial"/>
          <w:sz w:val="22"/>
          <w:szCs w:val="22"/>
        </w:rPr>
        <w:t>on</w:t>
      </w:r>
      <w:r w:rsidR="00C026A6" w:rsidRPr="00EA59C0">
        <w:rPr>
          <w:rFonts w:ascii="Arial" w:hAnsi="Arial" w:cs="Arial"/>
          <w:sz w:val="22"/>
          <w:szCs w:val="22"/>
        </w:rPr>
        <w:t xml:space="preserve"> </w:t>
      </w:r>
      <w:r w:rsidRPr="00EA59C0">
        <w:rPr>
          <w:rFonts w:ascii="Arial" w:hAnsi="Arial" w:cs="Arial"/>
          <w:sz w:val="22"/>
          <w:szCs w:val="22"/>
        </w:rPr>
        <w:t>incentive</w:t>
      </w:r>
      <w:r w:rsidR="00C026A6" w:rsidRPr="00EA59C0">
        <w:rPr>
          <w:rFonts w:ascii="Arial" w:hAnsi="Arial" w:cs="Arial"/>
          <w:sz w:val="22"/>
          <w:szCs w:val="22"/>
        </w:rPr>
        <w:t xml:space="preserve"> </w:t>
      </w:r>
      <w:r w:rsidRPr="00EA59C0">
        <w:rPr>
          <w:rFonts w:ascii="Arial" w:hAnsi="Arial" w:cs="Arial"/>
          <w:sz w:val="22"/>
          <w:szCs w:val="22"/>
        </w:rPr>
        <w:t>prizes,</w:t>
      </w:r>
      <w:r w:rsidR="00C026A6" w:rsidRPr="00EA59C0">
        <w:rPr>
          <w:rFonts w:ascii="Arial" w:hAnsi="Arial" w:cs="Arial"/>
          <w:sz w:val="22"/>
          <w:szCs w:val="22"/>
        </w:rPr>
        <w:t xml:space="preserve"> </w:t>
      </w:r>
      <w:r w:rsidRPr="00EA59C0">
        <w:rPr>
          <w:rFonts w:ascii="Arial" w:hAnsi="Arial" w:cs="Arial"/>
          <w:sz w:val="22"/>
          <w:szCs w:val="22"/>
        </w:rPr>
        <w:t>see</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winner</w:t>
      </w:r>
      <w:r w:rsidR="00C026A6" w:rsidRPr="00EA59C0">
        <w:rPr>
          <w:rFonts w:ascii="Arial" w:hAnsi="Arial" w:cs="Arial"/>
          <w:sz w:val="22"/>
          <w:szCs w:val="22"/>
        </w:rPr>
        <w:t xml:space="preserve"> </w:t>
      </w:r>
      <w:r w:rsidRPr="00EA59C0">
        <w:rPr>
          <w:rFonts w:ascii="Arial" w:hAnsi="Arial" w:cs="Arial"/>
          <w:sz w:val="22"/>
          <w:szCs w:val="22"/>
        </w:rPr>
        <w:t>is…”,</w:t>
      </w:r>
      <w:r w:rsidR="00C026A6" w:rsidRPr="00EA59C0">
        <w:rPr>
          <w:rFonts w:ascii="Arial" w:hAnsi="Arial" w:cs="Arial"/>
          <w:sz w:val="22"/>
          <w:szCs w:val="22"/>
        </w:rPr>
        <w:t xml:space="preserve"> </w:t>
      </w:r>
      <w:r w:rsidRPr="00EA59C0">
        <w:rPr>
          <w:rFonts w:ascii="Arial" w:hAnsi="Arial" w:cs="Arial"/>
          <w:sz w:val="22"/>
          <w:szCs w:val="22"/>
        </w:rPr>
        <w:t>McKinsey</w:t>
      </w:r>
      <w:r w:rsidR="00C026A6" w:rsidRPr="00EA59C0">
        <w:rPr>
          <w:rFonts w:ascii="Arial" w:hAnsi="Arial" w:cs="Arial"/>
          <w:sz w:val="22"/>
          <w:szCs w:val="22"/>
        </w:rPr>
        <w:t xml:space="preserve"> </w:t>
      </w:r>
      <w:r w:rsidRPr="00EA59C0">
        <w:rPr>
          <w:rFonts w:ascii="Arial" w:hAnsi="Arial" w:cs="Arial"/>
          <w:sz w:val="22"/>
          <w:szCs w:val="22"/>
        </w:rPr>
        <w:t>&amp;</w:t>
      </w:r>
      <w:r w:rsidR="00C026A6" w:rsidRPr="00EA59C0">
        <w:rPr>
          <w:rFonts w:ascii="Arial" w:hAnsi="Arial" w:cs="Arial"/>
          <w:sz w:val="22"/>
          <w:szCs w:val="22"/>
        </w:rPr>
        <w:t xml:space="preserve"> </w:t>
      </w:r>
      <w:r w:rsidRPr="00EA59C0">
        <w:rPr>
          <w:rFonts w:ascii="Arial" w:hAnsi="Arial" w:cs="Arial"/>
          <w:sz w:val="22"/>
          <w:szCs w:val="22"/>
        </w:rPr>
        <w:t>Co.</w:t>
      </w:r>
      <w:r w:rsidR="00C026A6" w:rsidRPr="00EA59C0">
        <w:rPr>
          <w:rFonts w:ascii="Arial" w:hAnsi="Arial" w:cs="Arial"/>
          <w:sz w:val="22"/>
          <w:szCs w:val="22"/>
        </w:rPr>
        <w:t xml:space="preserve">  </w:t>
      </w:r>
      <w:r w:rsidRPr="00EA59C0">
        <w:rPr>
          <w:rFonts w:ascii="Arial" w:hAnsi="Arial" w:cs="Arial"/>
          <w:sz w:val="22"/>
          <w:szCs w:val="22"/>
        </w:rPr>
        <w:t>For</w:t>
      </w:r>
      <w:r w:rsidR="00C026A6" w:rsidRPr="00EA59C0">
        <w:rPr>
          <w:rFonts w:ascii="Arial" w:hAnsi="Arial" w:cs="Arial"/>
          <w:sz w:val="22"/>
          <w:szCs w:val="22"/>
        </w:rPr>
        <w:t xml:space="preserve"> </w:t>
      </w:r>
      <w:r w:rsidRPr="00EA59C0">
        <w:rPr>
          <w:rFonts w:ascii="Arial" w:hAnsi="Arial" w:cs="Arial"/>
          <w:sz w:val="22"/>
          <w:szCs w:val="22"/>
        </w:rPr>
        <w:t>examples</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incentive</w:t>
      </w:r>
      <w:r w:rsidR="00C026A6" w:rsidRPr="00EA59C0">
        <w:rPr>
          <w:rFonts w:ascii="Arial" w:hAnsi="Arial" w:cs="Arial"/>
          <w:sz w:val="22"/>
          <w:szCs w:val="22"/>
        </w:rPr>
        <w:t xml:space="preserve"> </w:t>
      </w:r>
      <w:r w:rsidRPr="00EA59C0">
        <w:rPr>
          <w:rFonts w:ascii="Arial" w:hAnsi="Arial" w:cs="Arial"/>
          <w:sz w:val="22"/>
          <w:szCs w:val="22"/>
        </w:rPr>
        <w:t>prizes</w:t>
      </w:r>
      <w:r w:rsidR="00C026A6" w:rsidRPr="00EA59C0">
        <w:rPr>
          <w:rFonts w:ascii="Arial" w:hAnsi="Arial" w:cs="Arial"/>
          <w:sz w:val="22"/>
          <w:szCs w:val="22"/>
        </w:rPr>
        <w:t xml:space="preserve"> </w:t>
      </w:r>
      <w:r w:rsidRPr="00EA59C0">
        <w:rPr>
          <w:rFonts w:ascii="Arial" w:hAnsi="Arial" w:cs="Arial"/>
          <w:sz w:val="22"/>
          <w:szCs w:val="22"/>
        </w:rPr>
        <w:t>created</w:t>
      </w:r>
      <w:r w:rsidR="00C026A6" w:rsidRPr="00EA59C0">
        <w:rPr>
          <w:rFonts w:ascii="Arial" w:hAnsi="Arial" w:cs="Arial"/>
          <w:sz w:val="22"/>
          <w:szCs w:val="22"/>
        </w:rPr>
        <w:t xml:space="preserve"> </w:t>
      </w:r>
      <w:r w:rsidRPr="00EA59C0">
        <w:rPr>
          <w:rFonts w:ascii="Arial" w:hAnsi="Arial" w:cs="Arial"/>
          <w:sz w:val="22"/>
          <w:szCs w:val="22"/>
        </w:rPr>
        <w:t>by</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Federal</w:t>
      </w:r>
      <w:r w:rsidR="00C026A6" w:rsidRPr="00EA59C0">
        <w:rPr>
          <w:rFonts w:ascii="Arial" w:hAnsi="Arial" w:cs="Arial"/>
          <w:sz w:val="22"/>
          <w:szCs w:val="22"/>
        </w:rPr>
        <w:t xml:space="preserve"> </w:t>
      </w:r>
      <w:r w:rsidRPr="00EA59C0">
        <w:rPr>
          <w:rFonts w:ascii="Arial" w:hAnsi="Arial" w:cs="Arial"/>
          <w:sz w:val="22"/>
          <w:szCs w:val="22"/>
        </w:rPr>
        <w:t>government,</w:t>
      </w:r>
      <w:r w:rsidR="00C026A6" w:rsidRPr="00EA59C0">
        <w:rPr>
          <w:rFonts w:ascii="Arial" w:hAnsi="Arial" w:cs="Arial"/>
          <w:sz w:val="22"/>
          <w:szCs w:val="22"/>
        </w:rPr>
        <w:t xml:space="preserve"> </w:t>
      </w:r>
      <w:r w:rsidRPr="00EA59C0">
        <w:rPr>
          <w:rFonts w:ascii="Arial" w:hAnsi="Arial" w:cs="Arial"/>
          <w:sz w:val="22"/>
          <w:szCs w:val="22"/>
        </w:rPr>
        <w:t>see</w:t>
      </w:r>
      <w:r w:rsidR="00C026A6" w:rsidRPr="00EA59C0">
        <w:rPr>
          <w:rFonts w:ascii="Arial" w:hAnsi="Arial" w:cs="Arial"/>
          <w:sz w:val="22"/>
          <w:szCs w:val="22"/>
        </w:rPr>
        <w:t xml:space="preserve"> </w:t>
      </w:r>
      <w:r w:rsidRPr="00EA59C0">
        <w:rPr>
          <w:rFonts w:ascii="Arial" w:hAnsi="Arial" w:cs="Arial"/>
          <w:sz w:val="22"/>
          <w:szCs w:val="22"/>
        </w:rPr>
        <w:t>this</w:t>
      </w:r>
      <w:r w:rsidR="00C026A6" w:rsidRPr="00EA59C0">
        <w:rPr>
          <w:rFonts w:ascii="Arial" w:hAnsi="Arial" w:cs="Arial"/>
          <w:sz w:val="22"/>
          <w:szCs w:val="22"/>
        </w:rPr>
        <w:t xml:space="preserve"> </w:t>
      </w:r>
      <w:r w:rsidRPr="00EA59C0">
        <w:rPr>
          <w:rFonts w:ascii="Arial" w:hAnsi="Arial" w:cs="Arial"/>
          <w:sz w:val="22"/>
          <w:szCs w:val="22"/>
        </w:rPr>
        <w:t>report</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Congress</w:t>
      </w:r>
      <w:r w:rsidR="00C026A6" w:rsidRPr="00EA59C0">
        <w:rPr>
          <w:rFonts w:ascii="Arial" w:hAnsi="Arial" w:cs="Arial"/>
          <w:sz w:val="22"/>
          <w:szCs w:val="22"/>
        </w:rPr>
        <w:t xml:space="preserve"> </w:t>
      </w:r>
      <w:r w:rsidRPr="00EA59C0">
        <w:rPr>
          <w:rFonts w:ascii="Arial" w:hAnsi="Arial" w:cs="Arial"/>
          <w:sz w:val="22"/>
          <w:szCs w:val="22"/>
        </w:rPr>
        <w:t>from</w:t>
      </w:r>
      <w:r w:rsidR="00C026A6" w:rsidRPr="00EA59C0">
        <w:rPr>
          <w:rFonts w:ascii="Arial" w:hAnsi="Arial" w:cs="Arial"/>
          <w:sz w:val="22"/>
          <w:szCs w:val="22"/>
        </w:rPr>
        <w:t xml:space="preserve"> </w:t>
      </w:r>
      <w:r w:rsidRPr="00EA59C0">
        <w:rPr>
          <w:rFonts w:ascii="Arial" w:hAnsi="Arial" w:cs="Arial"/>
          <w:sz w:val="22"/>
          <w:szCs w:val="22"/>
        </w:rPr>
        <w:t>December</w:t>
      </w:r>
      <w:r w:rsidR="00C026A6" w:rsidRPr="00EA59C0">
        <w:rPr>
          <w:rFonts w:ascii="Arial" w:hAnsi="Arial" w:cs="Arial"/>
          <w:sz w:val="22"/>
          <w:szCs w:val="22"/>
        </w:rPr>
        <w:t xml:space="preserve"> </w:t>
      </w:r>
      <w:r w:rsidRPr="00EA59C0">
        <w:rPr>
          <w:rFonts w:ascii="Arial" w:hAnsi="Arial" w:cs="Arial"/>
          <w:sz w:val="22"/>
          <w:szCs w:val="22"/>
        </w:rPr>
        <w:t>2013:</w:t>
      </w:r>
      <w:r w:rsidR="00C026A6" w:rsidRPr="00EA59C0">
        <w:rPr>
          <w:rFonts w:ascii="Arial" w:hAnsi="Arial" w:cs="Arial"/>
          <w:sz w:val="22"/>
          <w:szCs w:val="22"/>
        </w:rPr>
        <w:t xml:space="preserve">  </w:t>
      </w:r>
      <w:r w:rsidRPr="00EA59C0">
        <w:rPr>
          <w:rFonts w:ascii="Arial" w:hAnsi="Arial" w:cs="Arial"/>
          <w:sz w:val="22"/>
          <w:szCs w:val="22"/>
        </w:rPr>
        <w:t>Implementation</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Federal</w:t>
      </w:r>
      <w:r w:rsidR="00C026A6" w:rsidRPr="00EA59C0">
        <w:rPr>
          <w:rFonts w:ascii="Arial" w:hAnsi="Arial" w:cs="Arial"/>
          <w:sz w:val="22"/>
          <w:szCs w:val="22"/>
        </w:rPr>
        <w:t xml:space="preserve"> </w:t>
      </w:r>
      <w:r w:rsidRPr="00EA59C0">
        <w:rPr>
          <w:rFonts w:ascii="Arial" w:hAnsi="Arial" w:cs="Arial"/>
          <w:sz w:val="22"/>
          <w:szCs w:val="22"/>
        </w:rPr>
        <w:t>Prize</w:t>
      </w:r>
      <w:r w:rsidR="00C026A6" w:rsidRPr="00EA59C0">
        <w:rPr>
          <w:rFonts w:ascii="Arial" w:hAnsi="Arial" w:cs="Arial"/>
          <w:sz w:val="22"/>
          <w:szCs w:val="22"/>
        </w:rPr>
        <w:t xml:space="preserve"> </w:t>
      </w:r>
      <w:r w:rsidRPr="00EA59C0">
        <w:rPr>
          <w:rFonts w:ascii="Arial" w:hAnsi="Arial" w:cs="Arial"/>
          <w:sz w:val="22"/>
          <w:szCs w:val="22"/>
        </w:rPr>
        <w:t>Authority.</w:t>
      </w:r>
      <w:r w:rsidR="00C026A6" w:rsidRPr="00EA59C0">
        <w:rPr>
          <w:rFonts w:ascii="Arial" w:hAnsi="Arial" w:cs="Arial"/>
          <w:sz w:val="22"/>
          <w:szCs w:val="22"/>
        </w:rPr>
        <w:t xml:space="preserve"> </w:t>
      </w: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addition</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incentive</w:t>
      </w:r>
      <w:r w:rsidR="00C026A6" w:rsidRPr="00EA59C0">
        <w:rPr>
          <w:rFonts w:ascii="Arial" w:hAnsi="Arial" w:cs="Arial"/>
          <w:sz w:val="22"/>
          <w:szCs w:val="22"/>
        </w:rPr>
        <w:t xml:space="preserve"> </w:t>
      </w:r>
      <w:r w:rsidRPr="00EA59C0">
        <w:rPr>
          <w:rFonts w:ascii="Arial" w:hAnsi="Arial" w:cs="Arial"/>
          <w:sz w:val="22"/>
          <w:szCs w:val="22"/>
        </w:rPr>
        <w:t>prizes,</w:t>
      </w:r>
      <w:r w:rsidR="00C026A6" w:rsidRPr="00EA59C0">
        <w:rPr>
          <w:rFonts w:ascii="Arial" w:hAnsi="Arial" w:cs="Arial"/>
          <w:sz w:val="22"/>
          <w:szCs w:val="22"/>
        </w:rPr>
        <w:t xml:space="preserve"> </w:t>
      </w:r>
      <w:r w:rsidRPr="00EA59C0">
        <w:rPr>
          <w:rFonts w:ascii="Arial" w:hAnsi="Arial" w:cs="Arial"/>
          <w:sz w:val="22"/>
          <w:szCs w:val="22"/>
        </w:rPr>
        <w:t>a</w:t>
      </w:r>
      <w:r w:rsidR="00C026A6" w:rsidRPr="00EA59C0">
        <w:rPr>
          <w:rFonts w:ascii="Arial" w:hAnsi="Arial" w:cs="Arial"/>
          <w:sz w:val="22"/>
          <w:szCs w:val="22"/>
        </w:rPr>
        <w:t xml:space="preserve"> </w:t>
      </w:r>
      <w:r w:rsidRPr="00EA59C0">
        <w:rPr>
          <w:rFonts w:ascii="Arial" w:hAnsi="Arial" w:cs="Arial"/>
          <w:sz w:val="22"/>
          <w:szCs w:val="22"/>
        </w:rPr>
        <w:t>broader</w:t>
      </w:r>
      <w:r w:rsidR="00C026A6" w:rsidRPr="00EA59C0">
        <w:rPr>
          <w:rFonts w:ascii="Arial" w:hAnsi="Arial" w:cs="Arial"/>
          <w:sz w:val="22"/>
          <w:szCs w:val="22"/>
        </w:rPr>
        <w:t xml:space="preserve"> </w:t>
      </w:r>
      <w:r w:rsidRPr="00EA59C0">
        <w:rPr>
          <w:rFonts w:ascii="Arial" w:hAnsi="Arial" w:cs="Arial"/>
          <w:sz w:val="22"/>
          <w:szCs w:val="22"/>
        </w:rPr>
        <w:t>list</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“pay</w:t>
      </w:r>
      <w:r w:rsidR="00C026A6" w:rsidRPr="00EA59C0">
        <w:rPr>
          <w:rFonts w:ascii="Arial" w:hAnsi="Arial" w:cs="Arial"/>
          <w:sz w:val="22"/>
          <w:szCs w:val="22"/>
        </w:rPr>
        <w:t xml:space="preserve"> </w:t>
      </w:r>
      <w:r w:rsidRPr="00EA59C0">
        <w:rPr>
          <w:rFonts w:ascii="Arial" w:hAnsi="Arial" w:cs="Arial"/>
          <w:sz w:val="22"/>
          <w:szCs w:val="22"/>
        </w:rPr>
        <w:t>for</w:t>
      </w:r>
      <w:r w:rsidR="00C026A6" w:rsidRPr="00EA59C0">
        <w:rPr>
          <w:rFonts w:ascii="Arial" w:hAnsi="Arial" w:cs="Arial"/>
          <w:sz w:val="22"/>
          <w:szCs w:val="22"/>
        </w:rPr>
        <w:t xml:space="preserve"> </w:t>
      </w:r>
      <w:r w:rsidRPr="00EA59C0">
        <w:rPr>
          <w:rFonts w:ascii="Arial" w:hAnsi="Arial" w:cs="Arial"/>
          <w:sz w:val="22"/>
          <w:szCs w:val="22"/>
        </w:rPr>
        <w:t>success”</w:t>
      </w:r>
      <w:r w:rsidR="00C026A6" w:rsidRPr="00EA59C0">
        <w:rPr>
          <w:rFonts w:ascii="Arial" w:hAnsi="Arial" w:cs="Arial"/>
          <w:sz w:val="22"/>
          <w:szCs w:val="22"/>
        </w:rPr>
        <w:t xml:space="preserve"> </w:t>
      </w:r>
      <w:r w:rsidRPr="00EA59C0">
        <w:rPr>
          <w:rFonts w:ascii="Arial" w:hAnsi="Arial" w:cs="Arial"/>
          <w:sz w:val="22"/>
          <w:szCs w:val="22"/>
        </w:rPr>
        <w:t>approaches</w:t>
      </w:r>
      <w:r w:rsidR="00C026A6" w:rsidRPr="00EA59C0">
        <w:rPr>
          <w:rFonts w:ascii="Arial" w:hAnsi="Arial" w:cs="Arial"/>
          <w:sz w:val="22"/>
          <w:szCs w:val="22"/>
        </w:rPr>
        <w:t xml:space="preserve"> </w:t>
      </w:r>
      <w:r w:rsidRPr="00EA59C0">
        <w:rPr>
          <w:rFonts w:ascii="Arial" w:hAnsi="Arial" w:cs="Arial"/>
          <w:sz w:val="22"/>
          <w:szCs w:val="22"/>
        </w:rPr>
        <w:t>is</w:t>
      </w:r>
      <w:r w:rsidR="00C026A6" w:rsidRPr="00EA59C0">
        <w:rPr>
          <w:rFonts w:ascii="Arial" w:hAnsi="Arial" w:cs="Arial"/>
          <w:sz w:val="22"/>
          <w:szCs w:val="22"/>
        </w:rPr>
        <w:t xml:space="preserve"> </w:t>
      </w:r>
      <w:r w:rsidRPr="00EA59C0">
        <w:rPr>
          <w:rFonts w:ascii="Arial" w:hAnsi="Arial" w:cs="Arial"/>
          <w:sz w:val="22"/>
          <w:szCs w:val="22"/>
        </w:rPr>
        <w:t>available</w:t>
      </w:r>
      <w:r w:rsidR="00C026A6" w:rsidRPr="00EA59C0">
        <w:rPr>
          <w:rFonts w:ascii="Arial" w:hAnsi="Arial" w:cs="Arial"/>
          <w:sz w:val="22"/>
          <w:szCs w:val="22"/>
        </w:rPr>
        <w:t xml:space="preserve"> </w:t>
      </w: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this</w:t>
      </w:r>
      <w:r w:rsidR="00C026A6" w:rsidRPr="00EA59C0">
        <w:rPr>
          <w:rFonts w:ascii="Arial" w:hAnsi="Arial" w:cs="Arial"/>
          <w:sz w:val="22"/>
          <w:szCs w:val="22"/>
        </w:rPr>
        <w:t xml:space="preserve"> </w:t>
      </w:r>
      <w:r w:rsidRPr="00EA59C0">
        <w:rPr>
          <w:rFonts w:ascii="Arial" w:hAnsi="Arial" w:cs="Arial"/>
          <w:sz w:val="22"/>
          <w:szCs w:val="22"/>
        </w:rPr>
        <w:t>2012</w:t>
      </w:r>
      <w:r w:rsidR="00C026A6" w:rsidRPr="00EA59C0">
        <w:rPr>
          <w:rFonts w:ascii="Arial" w:hAnsi="Arial" w:cs="Arial"/>
          <w:sz w:val="22"/>
          <w:szCs w:val="22"/>
        </w:rPr>
        <w:t xml:space="preserve"> </w:t>
      </w:r>
      <w:r w:rsidRPr="00EA59C0">
        <w:rPr>
          <w:rFonts w:ascii="Arial" w:hAnsi="Arial" w:cs="Arial"/>
          <w:sz w:val="22"/>
          <w:szCs w:val="22"/>
        </w:rPr>
        <w:t>OMB</w:t>
      </w:r>
      <w:r w:rsidR="00C026A6" w:rsidRPr="00EA59C0">
        <w:rPr>
          <w:rFonts w:ascii="Arial" w:hAnsi="Arial" w:cs="Arial"/>
          <w:sz w:val="22"/>
          <w:szCs w:val="22"/>
        </w:rPr>
        <w:t xml:space="preserve"> </w:t>
      </w:r>
      <w:r w:rsidRPr="00EA59C0">
        <w:rPr>
          <w:rFonts w:ascii="Arial" w:hAnsi="Arial" w:cs="Arial"/>
          <w:sz w:val="22"/>
          <w:szCs w:val="22"/>
        </w:rPr>
        <w:t>Memorandum</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this</w:t>
      </w:r>
      <w:r w:rsidR="00C026A6" w:rsidRPr="00EA59C0">
        <w:rPr>
          <w:rFonts w:ascii="Arial" w:hAnsi="Arial" w:cs="Arial"/>
          <w:sz w:val="22"/>
          <w:szCs w:val="22"/>
        </w:rPr>
        <w:t xml:space="preserve"> </w:t>
      </w:r>
      <w:r w:rsidRPr="00EA59C0">
        <w:rPr>
          <w:rFonts w:ascii="Arial" w:hAnsi="Arial" w:cs="Arial"/>
          <w:sz w:val="22"/>
          <w:szCs w:val="22"/>
        </w:rPr>
        <w:t>Request</w:t>
      </w:r>
      <w:r w:rsidR="00C026A6" w:rsidRPr="00EA59C0">
        <w:rPr>
          <w:rFonts w:ascii="Arial" w:hAnsi="Arial" w:cs="Arial"/>
          <w:sz w:val="22"/>
          <w:szCs w:val="22"/>
        </w:rPr>
        <w:t xml:space="preserve"> </w:t>
      </w:r>
      <w:r w:rsidRPr="00EA59C0">
        <w:rPr>
          <w:rFonts w:ascii="Arial" w:hAnsi="Arial" w:cs="Arial"/>
          <w:sz w:val="22"/>
          <w:szCs w:val="22"/>
        </w:rPr>
        <w:t>for</w:t>
      </w:r>
      <w:r w:rsidR="00C026A6" w:rsidRPr="00EA59C0">
        <w:rPr>
          <w:rFonts w:ascii="Arial" w:hAnsi="Arial" w:cs="Arial"/>
          <w:sz w:val="22"/>
          <w:szCs w:val="22"/>
        </w:rPr>
        <w:t xml:space="preserve"> </w:t>
      </w:r>
      <w:r w:rsidRPr="00EA59C0">
        <w:rPr>
          <w:rFonts w:ascii="Arial" w:hAnsi="Arial" w:cs="Arial"/>
          <w:sz w:val="22"/>
          <w:szCs w:val="22"/>
        </w:rPr>
        <w:t>Information</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related</w:t>
      </w:r>
      <w:r w:rsidR="00C026A6" w:rsidRPr="00EA59C0">
        <w:rPr>
          <w:rFonts w:ascii="Arial" w:hAnsi="Arial" w:cs="Arial"/>
          <w:sz w:val="22"/>
          <w:szCs w:val="22"/>
        </w:rPr>
        <w:t xml:space="preserve"> </w:t>
      </w:r>
      <w:r w:rsidRPr="00EA59C0">
        <w:rPr>
          <w:rFonts w:ascii="Arial" w:hAnsi="Arial" w:cs="Arial"/>
          <w:sz w:val="22"/>
          <w:szCs w:val="22"/>
        </w:rPr>
        <w:t>Summary</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Pull</w:t>
      </w:r>
      <w:r w:rsidR="00C026A6" w:rsidRPr="00EA59C0">
        <w:rPr>
          <w:rFonts w:ascii="Arial" w:hAnsi="Arial" w:cs="Arial"/>
          <w:sz w:val="22"/>
          <w:szCs w:val="22"/>
        </w:rPr>
        <w:t xml:space="preserve"> </w:t>
      </w:r>
      <w:r w:rsidRPr="00EA59C0">
        <w:rPr>
          <w:rFonts w:ascii="Arial" w:hAnsi="Arial" w:cs="Arial"/>
          <w:sz w:val="22"/>
          <w:szCs w:val="22"/>
        </w:rPr>
        <w:t>Mechanisms.</w:t>
      </w:r>
    </w:p>
    <w:p w:rsidR="00C04130" w:rsidRPr="00EA59C0" w:rsidRDefault="00C04130">
      <w:pPr>
        <w:rPr>
          <w:rFonts w:ascii="Arial" w:hAnsi="Arial" w:cs="Arial"/>
          <w:sz w:val="22"/>
          <w:szCs w:val="22"/>
        </w:rPr>
      </w:pPr>
    </w:p>
    <w:p w:rsidR="00C04130" w:rsidRPr="00EA59C0" w:rsidRDefault="00C04130">
      <w:pPr>
        <w:rPr>
          <w:rFonts w:ascii="Arial" w:hAnsi="Arial" w:cs="Arial"/>
          <w:sz w:val="22"/>
          <w:szCs w:val="22"/>
        </w:rPr>
      </w:pPr>
      <w:r w:rsidRPr="00EA59C0">
        <w:rPr>
          <w:rFonts w:ascii="Arial" w:hAnsi="Arial" w:cs="Arial"/>
          <w:sz w:val="22"/>
          <w:szCs w:val="22"/>
        </w:rPr>
        <w:t>Applicants</w:t>
      </w:r>
      <w:r w:rsidR="00C026A6" w:rsidRPr="00EA59C0">
        <w:rPr>
          <w:rFonts w:ascii="Arial" w:hAnsi="Arial" w:cs="Arial"/>
          <w:sz w:val="22"/>
          <w:szCs w:val="22"/>
        </w:rPr>
        <w:t xml:space="preserve"> </w:t>
      </w:r>
      <w:r w:rsidRPr="00EA59C0">
        <w:rPr>
          <w:rFonts w:ascii="Arial" w:hAnsi="Arial" w:cs="Arial"/>
          <w:sz w:val="22"/>
          <w:szCs w:val="22"/>
        </w:rPr>
        <w:t>may</w:t>
      </w:r>
      <w:r w:rsidR="00C026A6" w:rsidRPr="00EA59C0">
        <w:rPr>
          <w:rFonts w:ascii="Arial" w:hAnsi="Arial" w:cs="Arial"/>
          <w:sz w:val="22"/>
          <w:szCs w:val="22"/>
        </w:rPr>
        <w:t xml:space="preserve"> </w:t>
      </w:r>
      <w:r w:rsidRPr="00EA59C0">
        <w:rPr>
          <w:rFonts w:ascii="Arial" w:hAnsi="Arial" w:cs="Arial"/>
          <w:sz w:val="22"/>
          <w:szCs w:val="22"/>
        </w:rPr>
        <w:t>also</w:t>
      </w:r>
      <w:r w:rsidR="00C026A6" w:rsidRPr="00EA59C0">
        <w:rPr>
          <w:rFonts w:ascii="Arial" w:hAnsi="Arial" w:cs="Arial"/>
          <w:sz w:val="22"/>
          <w:szCs w:val="22"/>
        </w:rPr>
        <w:t xml:space="preserve"> </w:t>
      </w:r>
      <w:r w:rsidRPr="00EA59C0">
        <w:rPr>
          <w:rFonts w:ascii="Arial" w:hAnsi="Arial" w:cs="Arial"/>
          <w:sz w:val="22"/>
          <w:szCs w:val="22"/>
        </w:rPr>
        <w:t>consider</w:t>
      </w:r>
      <w:r w:rsidR="00C026A6" w:rsidRPr="00EA59C0">
        <w:rPr>
          <w:rFonts w:ascii="Arial" w:hAnsi="Arial" w:cs="Arial"/>
          <w:sz w:val="22"/>
          <w:szCs w:val="22"/>
        </w:rPr>
        <w:t xml:space="preserve"> </w:t>
      </w:r>
      <w:r w:rsidRPr="00EA59C0">
        <w:rPr>
          <w:rFonts w:ascii="Arial" w:hAnsi="Arial" w:cs="Arial"/>
          <w:sz w:val="22"/>
          <w:szCs w:val="22"/>
        </w:rPr>
        <w:t>engaging</w:t>
      </w:r>
      <w:r w:rsidR="00C026A6" w:rsidRPr="00EA59C0">
        <w:rPr>
          <w:rFonts w:ascii="Arial" w:hAnsi="Arial" w:cs="Arial"/>
          <w:sz w:val="22"/>
          <w:szCs w:val="22"/>
        </w:rPr>
        <w:t xml:space="preserve"> </w:t>
      </w:r>
      <w:r w:rsidRPr="00EA59C0">
        <w:rPr>
          <w:rFonts w:ascii="Arial" w:hAnsi="Arial" w:cs="Arial"/>
          <w:sz w:val="22"/>
          <w:szCs w:val="22"/>
        </w:rPr>
        <w:t>philanthropists,</w:t>
      </w:r>
      <w:r w:rsidR="00C026A6" w:rsidRPr="00EA59C0">
        <w:rPr>
          <w:rFonts w:ascii="Arial" w:hAnsi="Arial" w:cs="Arial"/>
          <w:sz w:val="22"/>
          <w:szCs w:val="22"/>
        </w:rPr>
        <w:t xml:space="preserve"> </w:t>
      </w:r>
      <w:r w:rsidRPr="00EA59C0">
        <w:rPr>
          <w:rFonts w:ascii="Arial" w:hAnsi="Arial" w:cs="Arial"/>
          <w:sz w:val="22"/>
          <w:szCs w:val="22"/>
        </w:rPr>
        <w:t>private-sector</w:t>
      </w:r>
      <w:r w:rsidR="00C026A6" w:rsidRPr="00EA59C0">
        <w:rPr>
          <w:rFonts w:ascii="Arial" w:hAnsi="Arial" w:cs="Arial"/>
          <w:sz w:val="22"/>
          <w:szCs w:val="22"/>
        </w:rPr>
        <w:t xml:space="preserve"> </w:t>
      </w:r>
      <w:r w:rsidRPr="00EA59C0">
        <w:rPr>
          <w:rFonts w:ascii="Arial" w:hAnsi="Arial" w:cs="Arial"/>
          <w:sz w:val="22"/>
          <w:szCs w:val="22"/>
        </w:rPr>
        <w:t>partners,</w:t>
      </w:r>
      <w:r w:rsidR="00C026A6" w:rsidRPr="00EA59C0">
        <w:rPr>
          <w:rFonts w:ascii="Arial" w:hAnsi="Arial" w:cs="Arial"/>
          <w:sz w:val="22"/>
          <w:szCs w:val="22"/>
        </w:rPr>
        <w:t xml:space="preserve"> </w:t>
      </w:r>
      <w:r w:rsidRPr="00EA59C0">
        <w:rPr>
          <w:rFonts w:ascii="Arial" w:hAnsi="Arial" w:cs="Arial"/>
          <w:sz w:val="22"/>
          <w:szCs w:val="22"/>
        </w:rPr>
        <w:t>or</w:t>
      </w:r>
      <w:r w:rsidR="00C026A6" w:rsidRPr="00EA59C0">
        <w:rPr>
          <w:rFonts w:ascii="Arial" w:hAnsi="Arial" w:cs="Arial"/>
          <w:sz w:val="22"/>
          <w:szCs w:val="22"/>
        </w:rPr>
        <w:t xml:space="preserve"> </w:t>
      </w:r>
      <w:r w:rsidRPr="00EA59C0">
        <w:rPr>
          <w:rFonts w:ascii="Arial" w:hAnsi="Arial" w:cs="Arial"/>
          <w:sz w:val="22"/>
          <w:szCs w:val="22"/>
        </w:rPr>
        <w:t>employers</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use</w:t>
      </w:r>
      <w:r w:rsidR="00C026A6" w:rsidRPr="00EA59C0">
        <w:rPr>
          <w:rFonts w:ascii="Arial" w:hAnsi="Arial" w:cs="Arial"/>
          <w:sz w:val="22"/>
          <w:szCs w:val="22"/>
        </w:rPr>
        <w:t xml:space="preserve"> </w:t>
      </w:r>
      <w:r w:rsidRPr="00EA59C0">
        <w:rPr>
          <w:rFonts w:ascii="Arial" w:hAnsi="Arial" w:cs="Arial"/>
          <w:sz w:val="22"/>
          <w:szCs w:val="22"/>
        </w:rPr>
        <w:t>non-grant</w:t>
      </w:r>
      <w:r w:rsidR="00C026A6" w:rsidRPr="00EA59C0">
        <w:rPr>
          <w:rFonts w:ascii="Arial" w:hAnsi="Arial" w:cs="Arial"/>
          <w:sz w:val="22"/>
          <w:szCs w:val="22"/>
        </w:rPr>
        <w:t xml:space="preserve"> </w:t>
      </w:r>
      <w:r w:rsidRPr="00EA59C0">
        <w:rPr>
          <w:rFonts w:ascii="Arial" w:hAnsi="Arial" w:cs="Arial"/>
          <w:sz w:val="22"/>
          <w:szCs w:val="22"/>
        </w:rPr>
        <w:t>funds</w:t>
      </w:r>
      <w:r w:rsidR="00C026A6" w:rsidRPr="00EA59C0">
        <w:rPr>
          <w:rFonts w:ascii="Arial" w:hAnsi="Arial" w:cs="Arial"/>
          <w:sz w:val="22"/>
          <w:szCs w:val="22"/>
        </w:rPr>
        <w:t xml:space="preserve"> </w:t>
      </w:r>
      <w:r w:rsidRPr="00EA59C0">
        <w:rPr>
          <w:rFonts w:ascii="Arial" w:hAnsi="Arial" w:cs="Arial"/>
          <w:sz w:val="22"/>
          <w:szCs w:val="22"/>
        </w:rPr>
        <w:t>for</w:t>
      </w:r>
      <w:r w:rsidR="00C026A6" w:rsidRPr="00EA59C0">
        <w:rPr>
          <w:rFonts w:ascii="Arial" w:hAnsi="Arial" w:cs="Arial"/>
          <w:sz w:val="22"/>
          <w:szCs w:val="22"/>
        </w:rPr>
        <w:t xml:space="preserve"> </w:t>
      </w:r>
      <w:r w:rsidRPr="00EA59C0">
        <w:rPr>
          <w:rFonts w:ascii="Arial" w:hAnsi="Arial" w:cs="Arial"/>
          <w:sz w:val="22"/>
          <w:szCs w:val="22"/>
        </w:rPr>
        <w:t>funding</w:t>
      </w:r>
      <w:r w:rsidR="00C026A6" w:rsidRPr="00EA59C0">
        <w:rPr>
          <w:rFonts w:ascii="Arial" w:hAnsi="Arial" w:cs="Arial"/>
          <w:sz w:val="22"/>
          <w:szCs w:val="22"/>
        </w:rPr>
        <w:t xml:space="preserve"> </w:t>
      </w:r>
      <w:r w:rsidRPr="00EA59C0">
        <w:rPr>
          <w:rFonts w:ascii="Arial" w:hAnsi="Arial" w:cs="Arial"/>
          <w:sz w:val="22"/>
          <w:szCs w:val="22"/>
        </w:rPr>
        <w:t>incentive</w:t>
      </w:r>
      <w:r w:rsidR="00C026A6" w:rsidRPr="00EA59C0">
        <w:rPr>
          <w:rFonts w:ascii="Arial" w:hAnsi="Arial" w:cs="Arial"/>
          <w:sz w:val="22"/>
          <w:szCs w:val="22"/>
        </w:rPr>
        <w:t xml:space="preserve"> </w:t>
      </w:r>
      <w:r w:rsidRPr="00EA59C0">
        <w:rPr>
          <w:rFonts w:ascii="Arial" w:hAnsi="Arial" w:cs="Arial"/>
          <w:sz w:val="22"/>
          <w:szCs w:val="22"/>
        </w:rPr>
        <w:t>prize</w:t>
      </w:r>
      <w:r w:rsidR="00C026A6" w:rsidRPr="00EA59C0">
        <w:rPr>
          <w:rFonts w:ascii="Arial" w:hAnsi="Arial" w:cs="Arial"/>
          <w:sz w:val="22"/>
          <w:szCs w:val="22"/>
        </w:rPr>
        <w:t xml:space="preserve"> </w:t>
      </w:r>
      <w:r w:rsidRPr="00EA59C0">
        <w:rPr>
          <w:rFonts w:ascii="Arial" w:hAnsi="Arial" w:cs="Arial"/>
          <w:sz w:val="22"/>
          <w:szCs w:val="22"/>
        </w:rPr>
        <w:t>purses</w:t>
      </w:r>
      <w:r w:rsidR="00C026A6" w:rsidRPr="00EA59C0">
        <w:rPr>
          <w:rFonts w:ascii="Arial" w:hAnsi="Arial" w:cs="Arial"/>
          <w:sz w:val="22"/>
          <w:szCs w:val="22"/>
        </w:rPr>
        <w:t xml:space="preserve"> </w:t>
      </w:r>
      <w:r w:rsidRPr="00EA59C0">
        <w:rPr>
          <w:rFonts w:ascii="Arial" w:hAnsi="Arial" w:cs="Arial"/>
          <w:sz w:val="22"/>
          <w:szCs w:val="22"/>
        </w:rPr>
        <w:t>or</w:t>
      </w:r>
      <w:r w:rsidR="00C026A6" w:rsidRPr="00EA59C0">
        <w:rPr>
          <w:rFonts w:ascii="Arial" w:hAnsi="Arial" w:cs="Arial"/>
          <w:sz w:val="22"/>
          <w:szCs w:val="22"/>
        </w:rPr>
        <w:t xml:space="preserve"> </w:t>
      </w:r>
      <w:r w:rsidRPr="00EA59C0">
        <w:rPr>
          <w:rFonts w:ascii="Arial" w:hAnsi="Arial" w:cs="Arial"/>
          <w:sz w:val="22"/>
          <w:szCs w:val="22"/>
        </w:rPr>
        <w:t>administrative</w:t>
      </w:r>
      <w:r w:rsidR="00C026A6" w:rsidRPr="00EA59C0">
        <w:rPr>
          <w:rFonts w:ascii="Arial" w:hAnsi="Arial" w:cs="Arial"/>
          <w:sz w:val="22"/>
          <w:szCs w:val="22"/>
        </w:rPr>
        <w:t xml:space="preserve"> </w:t>
      </w:r>
      <w:r w:rsidRPr="00EA59C0">
        <w:rPr>
          <w:rFonts w:ascii="Arial" w:hAnsi="Arial" w:cs="Arial"/>
          <w:sz w:val="22"/>
          <w:szCs w:val="22"/>
        </w:rPr>
        <w:t>activities.</w:t>
      </w:r>
      <w:r w:rsidR="00C026A6" w:rsidRPr="00EA59C0">
        <w:rPr>
          <w:rFonts w:ascii="Arial" w:hAnsi="Arial" w:cs="Arial"/>
          <w:sz w:val="22"/>
          <w:szCs w:val="22"/>
        </w:rPr>
        <w:t xml:space="preserve">  </w:t>
      </w:r>
      <w:r w:rsidRPr="00EA59C0">
        <w:rPr>
          <w:rFonts w:ascii="Arial" w:hAnsi="Arial" w:cs="Arial"/>
          <w:sz w:val="22"/>
          <w:szCs w:val="22"/>
        </w:rPr>
        <w:t>Grant</w:t>
      </w:r>
      <w:r w:rsidR="00C026A6" w:rsidRPr="00EA59C0">
        <w:rPr>
          <w:rFonts w:ascii="Arial" w:hAnsi="Arial" w:cs="Arial"/>
          <w:sz w:val="22"/>
          <w:szCs w:val="22"/>
        </w:rPr>
        <w:t xml:space="preserve"> </w:t>
      </w:r>
      <w:r w:rsidRPr="00EA59C0">
        <w:rPr>
          <w:rFonts w:ascii="Arial" w:hAnsi="Arial" w:cs="Arial"/>
          <w:sz w:val="22"/>
          <w:szCs w:val="22"/>
        </w:rPr>
        <w:t>funds</w:t>
      </w:r>
      <w:r w:rsidR="00C026A6" w:rsidRPr="00EA59C0">
        <w:rPr>
          <w:rFonts w:ascii="Arial" w:hAnsi="Arial" w:cs="Arial"/>
          <w:sz w:val="22"/>
          <w:szCs w:val="22"/>
        </w:rPr>
        <w:t xml:space="preserve"> </w:t>
      </w:r>
      <w:r w:rsidRPr="00EA59C0">
        <w:rPr>
          <w:rFonts w:ascii="Arial" w:hAnsi="Arial" w:cs="Arial"/>
          <w:sz w:val="22"/>
          <w:szCs w:val="22"/>
        </w:rPr>
        <w:t>may</w:t>
      </w:r>
      <w:r w:rsidR="00C026A6" w:rsidRPr="00EA59C0">
        <w:rPr>
          <w:rFonts w:ascii="Arial" w:hAnsi="Arial" w:cs="Arial"/>
          <w:sz w:val="22"/>
          <w:szCs w:val="22"/>
        </w:rPr>
        <w:t xml:space="preserve"> </w:t>
      </w:r>
      <w:r w:rsidRPr="00EA59C0">
        <w:rPr>
          <w:rFonts w:ascii="Arial" w:hAnsi="Arial" w:cs="Arial"/>
          <w:sz w:val="22"/>
          <w:szCs w:val="22"/>
        </w:rPr>
        <w:t>not</w:t>
      </w:r>
      <w:r w:rsidR="00C026A6" w:rsidRPr="00EA59C0">
        <w:rPr>
          <w:rFonts w:ascii="Arial" w:hAnsi="Arial" w:cs="Arial"/>
          <w:sz w:val="22"/>
          <w:szCs w:val="22"/>
        </w:rPr>
        <w:t xml:space="preserve"> </w:t>
      </w:r>
      <w:r w:rsidRPr="00EA59C0">
        <w:rPr>
          <w:rFonts w:ascii="Arial" w:hAnsi="Arial" w:cs="Arial"/>
          <w:sz w:val="22"/>
          <w:szCs w:val="22"/>
        </w:rPr>
        <w:t>be</w:t>
      </w:r>
      <w:r w:rsidR="00C026A6" w:rsidRPr="00EA59C0">
        <w:rPr>
          <w:rFonts w:ascii="Arial" w:hAnsi="Arial" w:cs="Arial"/>
          <w:sz w:val="22"/>
          <w:szCs w:val="22"/>
        </w:rPr>
        <w:t xml:space="preserve"> </w:t>
      </w:r>
      <w:r w:rsidRPr="00EA59C0">
        <w:rPr>
          <w:rFonts w:ascii="Arial" w:hAnsi="Arial" w:cs="Arial"/>
          <w:sz w:val="22"/>
          <w:szCs w:val="22"/>
        </w:rPr>
        <w:t>used</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administer</w:t>
      </w:r>
      <w:r w:rsidR="00C026A6" w:rsidRPr="00EA59C0">
        <w:rPr>
          <w:rFonts w:ascii="Arial" w:hAnsi="Arial" w:cs="Arial"/>
          <w:sz w:val="22"/>
          <w:szCs w:val="22"/>
        </w:rPr>
        <w:t xml:space="preserve"> </w:t>
      </w:r>
      <w:r w:rsidRPr="00EA59C0">
        <w:rPr>
          <w:rFonts w:ascii="Arial" w:hAnsi="Arial" w:cs="Arial"/>
          <w:sz w:val="22"/>
          <w:szCs w:val="22"/>
        </w:rPr>
        <w:t>or</w:t>
      </w:r>
      <w:r w:rsidR="00C026A6" w:rsidRPr="00EA59C0">
        <w:rPr>
          <w:rFonts w:ascii="Arial" w:hAnsi="Arial" w:cs="Arial"/>
          <w:sz w:val="22"/>
          <w:szCs w:val="22"/>
        </w:rPr>
        <w:t xml:space="preserve"> </w:t>
      </w:r>
      <w:r w:rsidRPr="00EA59C0">
        <w:rPr>
          <w:rFonts w:ascii="Arial" w:hAnsi="Arial" w:cs="Arial"/>
          <w:sz w:val="22"/>
          <w:szCs w:val="22"/>
        </w:rPr>
        <w:t>award</w:t>
      </w:r>
      <w:r w:rsidR="00C026A6" w:rsidRPr="00EA59C0">
        <w:rPr>
          <w:rFonts w:ascii="Arial" w:hAnsi="Arial" w:cs="Arial"/>
          <w:sz w:val="22"/>
          <w:szCs w:val="22"/>
        </w:rPr>
        <w:t xml:space="preserve"> </w:t>
      </w:r>
      <w:r w:rsidRPr="00EA59C0">
        <w:rPr>
          <w:rFonts w:ascii="Arial" w:hAnsi="Arial" w:cs="Arial"/>
          <w:sz w:val="22"/>
          <w:szCs w:val="22"/>
        </w:rPr>
        <w:t>prizes.</w:t>
      </w:r>
    </w:p>
    <w:p w:rsidR="00C04130" w:rsidRPr="00EA59C0" w:rsidRDefault="00C04130">
      <w:pPr>
        <w:rPr>
          <w:rFonts w:ascii="Arial" w:hAnsi="Arial" w:cs="Arial"/>
          <w:b/>
          <w:sz w:val="22"/>
          <w:szCs w:val="22"/>
        </w:rPr>
      </w:pPr>
      <w:r w:rsidRPr="00EA59C0">
        <w:rPr>
          <w:rFonts w:ascii="Arial" w:hAnsi="Arial" w:cs="Arial"/>
          <w:b/>
          <w:sz w:val="22"/>
          <w:szCs w:val="22"/>
        </w:rPr>
        <w:br w:type="page"/>
      </w:r>
    </w:p>
    <w:p w:rsidR="008826BE" w:rsidRPr="00EA59C0" w:rsidRDefault="008826BE" w:rsidP="00DB00BB">
      <w:pPr>
        <w:rPr>
          <w:rFonts w:ascii="Arial" w:hAnsi="Arial" w:cs="Arial"/>
          <w:b/>
          <w:sz w:val="22"/>
          <w:szCs w:val="22"/>
        </w:rPr>
      </w:pPr>
      <w:r w:rsidRPr="00EA59C0">
        <w:rPr>
          <w:rFonts w:ascii="Arial" w:hAnsi="Arial" w:cs="Arial"/>
          <w:b/>
          <w:sz w:val="22"/>
          <w:szCs w:val="22"/>
        </w:rPr>
        <w:t>Appendix</w:t>
      </w:r>
      <w:r w:rsidR="00C026A6" w:rsidRPr="00EA59C0">
        <w:rPr>
          <w:rFonts w:ascii="Arial" w:hAnsi="Arial" w:cs="Arial"/>
          <w:b/>
          <w:sz w:val="22"/>
          <w:szCs w:val="22"/>
        </w:rPr>
        <w:t xml:space="preserve"> </w:t>
      </w:r>
      <w:r w:rsidR="00C04130" w:rsidRPr="00EA59C0">
        <w:rPr>
          <w:rFonts w:ascii="Arial" w:hAnsi="Arial" w:cs="Arial"/>
          <w:b/>
          <w:sz w:val="22"/>
          <w:szCs w:val="22"/>
        </w:rPr>
        <w:t>G</w:t>
      </w:r>
      <w:r w:rsidRPr="00EA59C0">
        <w:rPr>
          <w:rFonts w:ascii="Arial" w:hAnsi="Arial" w:cs="Arial"/>
          <w:b/>
          <w:sz w:val="22"/>
          <w:szCs w:val="22"/>
        </w:rPr>
        <w:t>:</w:t>
      </w:r>
      <w:r w:rsidR="00C026A6" w:rsidRPr="00EA59C0">
        <w:rPr>
          <w:rFonts w:ascii="Arial" w:hAnsi="Arial" w:cs="Arial"/>
          <w:b/>
          <w:sz w:val="22"/>
          <w:szCs w:val="22"/>
        </w:rPr>
        <w:t xml:space="preserve">  </w:t>
      </w:r>
      <w:r w:rsidRPr="00EA59C0">
        <w:rPr>
          <w:rFonts w:ascii="Arial" w:hAnsi="Arial" w:cs="Arial"/>
          <w:b/>
          <w:sz w:val="22"/>
          <w:szCs w:val="22"/>
        </w:rPr>
        <w:t>Recommended</w:t>
      </w:r>
      <w:r w:rsidR="00C026A6" w:rsidRPr="00EA59C0">
        <w:rPr>
          <w:rFonts w:ascii="Arial" w:hAnsi="Arial" w:cs="Arial"/>
          <w:b/>
          <w:sz w:val="22"/>
          <w:szCs w:val="22"/>
        </w:rPr>
        <w:t xml:space="preserve"> </w:t>
      </w:r>
      <w:r w:rsidRPr="00EA59C0">
        <w:rPr>
          <w:rFonts w:ascii="Arial" w:hAnsi="Arial" w:cs="Arial"/>
          <w:b/>
          <w:sz w:val="22"/>
          <w:szCs w:val="22"/>
        </w:rPr>
        <w:t>Formats</w:t>
      </w:r>
      <w:r w:rsidR="00C026A6" w:rsidRPr="00EA59C0">
        <w:rPr>
          <w:rFonts w:ascii="Arial" w:hAnsi="Arial" w:cs="Arial"/>
          <w:b/>
          <w:sz w:val="22"/>
          <w:szCs w:val="22"/>
        </w:rPr>
        <w:t xml:space="preserve"> </w:t>
      </w:r>
      <w:r w:rsidRPr="00EA59C0">
        <w:rPr>
          <w:rFonts w:ascii="Arial" w:hAnsi="Arial" w:cs="Arial"/>
          <w:b/>
          <w:sz w:val="22"/>
          <w:szCs w:val="22"/>
        </w:rPr>
        <w:t>for</w:t>
      </w:r>
      <w:r w:rsidR="00C026A6" w:rsidRPr="00EA59C0">
        <w:rPr>
          <w:rFonts w:ascii="Arial" w:hAnsi="Arial" w:cs="Arial"/>
          <w:b/>
          <w:sz w:val="22"/>
          <w:szCs w:val="22"/>
        </w:rPr>
        <w:t xml:space="preserve"> </w:t>
      </w:r>
      <w:r w:rsidRPr="00EA59C0">
        <w:rPr>
          <w:rFonts w:ascii="Arial" w:hAnsi="Arial" w:cs="Arial"/>
          <w:b/>
          <w:sz w:val="22"/>
          <w:szCs w:val="22"/>
        </w:rPr>
        <w:t>Digital</w:t>
      </w:r>
      <w:r w:rsidR="00C026A6" w:rsidRPr="00EA59C0">
        <w:rPr>
          <w:rFonts w:ascii="Arial" w:hAnsi="Arial" w:cs="Arial"/>
          <w:b/>
          <w:sz w:val="22"/>
          <w:szCs w:val="22"/>
        </w:rPr>
        <w:t xml:space="preserve"> </w:t>
      </w:r>
      <w:r w:rsidRPr="00EA59C0">
        <w:rPr>
          <w:rFonts w:ascii="Arial" w:hAnsi="Arial" w:cs="Arial"/>
          <w:b/>
          <w:sz w:val="22"/>
          <w:szCs w:val="22"/>
        </w:rPr>
        <w:t>Assets</w:t>
      </w:r>
    </w:p>
    <w:p w:rsidR="008826BE" w:rsidRPr="00EA59C0" w:rsidRDefault="008826BE" w:rsidP="00DB00BB">
      <w:pPr>
        <w:ind w:left="90"/>
        <w:rPr>
          <w:rFonts w:ascii="Arial" w:hAnsi="Arial" w:cs="Arial"/>
          <w:sz w:val="22"/>
          <w:szCs w:val="22"/>
        </w:rPr>
      </w:pPr>
    </w:p>
    <w:p w:rsidR="008826BE" w:rsidRPr="00EA59C0" w:rsidRDefault="008826BE" w:rsidP="00DB00BB">
      <w:pPr>
        <w:ind w:left="90"/>
        <w:rPr>
          <w:rFonts w:ascii="Arial" w:hAnsi="Arial" w:cs="Arial"/>
          <w:sz w:val="22"/>
          <w:szCs w:val="22"/>
        </w:rPr>
      </w:pPr>
      <w:r w:rsidRPr="00EA59C0">
        <w:rPr>
          <w:rFonts w:ascii="Arial" w:hAnsi="Arial" w:cs="Arial"/>
          <w:sz w:val="22"/>
          <w:szCs w:val="22"/>
        </w:rPr>
        <w:br/>
      </w:r>
      <w:r w:rsidRPr="00EA59C0">
        <w:rPr>
          <w:rFonts w:ascii="Arial" w:hAnsi="Arial" w:cs="Arial"/>
          <w:b/>
          <w:bCs/>
          <w:sz w:val="22"/>
          <w:szCs w:val="22"/>
        </w:rPr>
        <w:t>Digital</w:t>
      </w:r>
      <w:r w:rsidR="00C026A6" w:rsidRPr="00EA59C0">
        <w:rPr>
          <w:rFonts w:ascii="Arial" w:hAnsi="Arial" w:cs="Arial"/>
          <w:b/>
          <w:bCs/>
          <w:sz w:val="22"/>
          <w:szCs w:val="22"/>
        </w:rPr>
        <w:t xml:space="preserve"> </w:t>
      </w:r>
      <w:r w:rsidRPr="00EA59C0">
        <w:rPr>
          <w:rFonts w:ascii="Arial" w:hAnsi="Arial" w:cs="Arial"/>
          <w:b/>
          <w:bCs/>
          <w:sz w:val="22"/>
          <w:szCs w:val="22"/>
        </w:rPr>
        <w:t>file</w:t>
      </w:r>
      <w:r w:rsidR="00C026A6" w:rsidRPr="00EA59C0">
        <w:rPr>
          <w:rFonts w:ascii="Arial" w:hAnsi="Arial" w:cs="Arial"/>
          <w:b/>
          <w:bCs/>
          <w:sz w:val="22"/>
          <w:szCs w:val="22"/>
        </w:rPr>
        <w:t xml:space="preserve"> </w:t>
      </w:r>
      <w:r w:rsidRPr="00EA59C0">
        <w:rPr>
          <w:rFonts w:ascii="Arial" w:hAnsi="Arial" w:cs="Arial"/>
          <w:b/>
          <w:bCs/>
          <w:sz w:val="22"/>
          <w:szCs w:val="22"/>
        </w:rPr>
        <w:t>formats</w:t>
      </w:r>
      <w:r w:rsidR="00C026A6" w:rsidRPr="00EA59C0">
        <w:rPr>
          <w:rFonts w:ascii="Arial" w:hAnsi="Arial" w:cs="Arial"/>
          <w:b/>
          <w:bCs/>
          <w:sz w:val="22"/>
          <w:szCs w:val="22"/>
        </w:rPr>
        <w:t xml:space="preserve"> </w:t>
      </w:r>
    </w:p>
    <w:p w:rsidR="008826BE" w:rsidRPr="00EA59C0" w:rsidRDefault="008826BE" w:rsidP="00DB00BB">
      <w:pPr>
        <w:ind w:left="90"/>
        <w:rPr>
          <w:rFonts w:ascii="Arial" w:hAnsi="Arial" w:cs="Arial"/>
          <w:sz w:val="22"/>
          <w:szCs w:val="22"/>
        </w:rPr>
      </w:pP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enable</w:t>
      </w:r>
      <w:r w:rsidR="00C026A6" w:rsidRPr="00EA59C0">
        <w:rPr>
          <w:rFonts w:ascii="Arial" w:hAnsi="Arial" w:cs="Arial"/>
          <w:sz w:val="22"/>
          <w:szCs w:val="22"/>
        </w:rPr>
        <w:t xml:space="preserve"> </w:t>
      </w:r>
      <w:r w:rsidRPr="00EA59C0">
        <w:rPr>
          <w:rFonts w:ascii="Arial" w:hAnsi="Arial" w:cs="Arial"/>
          <w:sz w:val="22"/>
          <w:szCs w:val="22"/>
        </w:rPr>
        <w:t>others</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easily</w:t>
      </w:r>
      <w:r w:rsidR="00C026A6" w:rsidRPr="00EA59C0">
        <w:rPr>
          <w:rFonts w:ascii="Arial" w:hAnsi="Arial" w:cs="Arial"/>
          <w:sz w:val="22"/>
          <w:szCs w:val="22"/>
        </w:rPr>
        <w:t xml:space="preserve"> </w:t>
      </w:r>
      <w:r w:rsidRPr="00EA59C0">
        <w:rPr>
          <w:rFonts w:ascii="Arial" w:hAnsi="Arial" w:cs="Arial"/>
          <w:sz w:val="22"/>
          <w:szCs w:val="22"/>
        </w:rPr>
        <w:t>access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work</w:t>
      </w:r>
      <w:r w:rsidR="00C026A6" w:rsidRPr="00EA59C0">
        <w:rPr>
          <w:rFonts w:ascii="Arial" w:hAnsi="Arial" w:cs="Arial"/>
          <w:sz w:val="22"/>
          <w:szCs w:val="22"/>
        </w:rPr>
        <w:t xml:space="preserve"> </w:t>
      </w:r>
      <w:r w:rsidRPr="00EA59C0">
        <w:rPr>
          <w:rFonts w:ascii="Arial" w:hAnsi="Arial" w:cs="Arial"/>
          <w:sz w:val="22"/>
          <w:szCs w:val="22"/>
        </w:rPr>
        <w:t>with</w:t>
      </w:r>
      <w:r w:rsidR="00C026A6" w:rsidRPr="00EA59C0">
        <w:rPr>
          <w:rFonts w:ascii="Arial" w:hAnsi="Arial" w:cs="Arial"/>
          <w:sz w:val="22"/>
          <w:szCs w:val="22"/>
        </w:rPr>
        <w:t xml:space="preserve"> </w:t>
      </w:r>
      <w:r w:rsidRPr="00EA59C0">
        <w:rPr>
          <w:rFonts w:ascii="Arial" w:hAnsi="Arial" w:cs="Arial"/>
          <w:sz w:val="22"/>
          <w:szCs w:val="22"/>
        </w:rPr>
        <w:t>all</w:t>
      </w:r>
      <w:r w:rsidR="00C026A6" w:rsidRPr="00EA59C0">
        <w:rPr>
          <w:rFonts w:ascii="Arial" w:hAnsi="Arial" w:cs="Arial"/>
          <w:sz w:val="22"/>
          <w:szCs w:val="22"/>
        </w:rPr>
        <w:t xml:space="preserve"> </w:t>
      </w:r>
      <w:r w:rsidRPr="00EA59C0">
        <w:rPr>
          <w:rFonts w:ascii="Arial" w:hAnsi="Arial" w:cs="Arial"/>
          <w:sz w:val="22"/>
          <w:szCs w:val="22"/>
        </w:rPr>
        <w:t>TAACCCT-funded,</w:t>
      </w:r>
      <w:r w:rsidR="00C026A6" w:rsidRPr="00EA59C0">
        <w:rPr>
          <w:rFonts w:ascii="Arial" w:hAnsi="Arial" w:cs="Arial"/>
          <w:sz w:val="22"/>
          <w:szCs w:val="22"/>
        </w:rPr>
        <w:t xml:space="preserve"> </w:t>
      </w:r>
      <w:r w:rsidRPr="00EA59C0">
        <w:rPr>
          <w:rFonts w:ascii="Arial" w:hAnsi="Arial" w:cs="Arial"/>
          <w:sz w:val="22"/>
          <w:szCs w:val="22"/>
        </w:rPr>
        <w:t>CCBY-licensed</w:t>
      </w:r>
      <w:r w:rsidR="00C026A6" w:rsidRPr="00EA59C0">
        <w:rPr>
          <w:rFonts w:ascii="Arial" w:hAnsi="Arial" w:cs="Arial"/>
          <w:sz w:val="22"/>
          <w:szCs w:val="22"/>
        </w:rPr>
        <w:t xml:space="preserve"> </w:t>
      </w:r>
      <w:r w:rsidRPr="00EA59C0">
        <w:rPr>
          <w:rFonts w:ascii="Arial" w:hAnsi="Arial" w:cs="Arial"/>
          <w:sz w:val="22"/>
          <w:szCs w:val="22"/>
        </w:rPr>
        <w:t>content,</w:t>
      </w:r>
      <w:r w:rsidR="00C026A6" w:rsidRPr="00EA59C0">
        <w:rPr>
          <w:rFonts w:ascii="Arial" w:hAnsi="Arial" w:cs="Arial"/>
          <w:sz w:val="22"/>
          <w:szCs w:val="22"/>
        </w:rPr>
        <w:t xml:space="preserve"> </w:t>
      </w:r>
      <w:r w:rsidRPr="00EA59C0">
        <w:rPr>
          <w:rFonts w:ascii="Arial" w:hAnsi="Arial" w:cs="Arial"/>
          <w:sz w:val="22"/>
          <w:szCs w:val="22"/>
        </w:rPr>
        <w:t>content</w:t>
      </w:r>
      <w:r w:rsidR="00C026A6" w:rsidRPr="00EA59C0">
        <w:rPr>
          <w:rFonts w:ascii="Arial" w:hAnsi="Arial" w:cs="Arial"/>
          <w:sz w:val="22"/>
          <w:szCs w:val="22"/>
        </w:rPr>
        <w:t xml:space="preserve"> </w:t>
      </w:r>
      <w:r w:rsidRPr="00EA59C0">
        <w:rPr>
          <w:rFonts w:ascii="Arial" w:hAnsi="Arial" w:cs="Arial"/>
          <w:sz w:val="22"/>
          <w:szCs w:val="22"/>
        </w:rPr>
        <w:t>should</w:t>
      </w:r>
      <w:r w:rsidR="00C026A6" w:rsidRPr="00EA59C0">
        <w:rPr>
          <w:rFonts w:ascii="Arial" w:hAnsi="Arial" w:cs="Arial"/>
          <w:sz w:val="22"/>
          <w:szCs w:val="22"/>
        </w:rPr>
        <w:t xml:space="preserve"> </w:t>
      </w:r>
      <w:r w:rsidRPr="00EA59C0">
        <w:rPr>
          <w:rFonts w:ascii="Arial" w:hAnsi="Arial" w:cs="Arial"/>
          <w:sz w:val="22"/>
          <w:szCs w:val="22"/>
        </w:rPr>
        <w:t>be</w:t>
      </w:r>
      <w:r w:rsidR="00C026A6" w:rsidRPr="00EA59C0">
        <w:rPr>
          <w:rFonts w:ascii="Arial" w:hAnsi="Arial" w:cs="Arial"/>
          <w:sz w:val="22"/>
          <w:szCs w:val="22"/>
        </w:rPr>
        <w:t xml:space="preserve"> </w:t>
      </w:r>
      <w:r w:rsidRPr="00EA59C0">
        <w:rPr>
          <w:rFonts w:ascii="Arial" w:hAnsi="Arial" w:cs="Arial"/>
          <w:sz w:val="22"/>
          <w:szCs w:val="22"/>
        </w:rPr>
        <w:t>made</w:t>
      </w:r>
      <w:r w:rsidR="00C026A6" w:rsidRPr="00EA59C0">
        <w:rPr>
          <w:rFonts w:ascii="Arial" w:hAnsi="Arial" w:cs="Arial"/>
          <w:sz w:val="22"/>
          <w:szCs w:val="22"/>
        </w:rPr>
        <w:t xml:space="preserve"> </w:t>
      </w:r>
      <w:r w:rsidRPr="00EA59C0">
        <w:rPr>
          <w:rFonts w:ascii="Arial" w:hAnsi="Arial" w:cs="Arial"/>
          <w:sz w:val="22"/>
          <w:szCs w:val="22"/>
        </w:rPr>
        <w:t>available</w:t>
      </w:r>
      <w:r w:rsidR="00C026A6" w:rsidRPr="00EA59C0">
        <w:rPr>
          <w:rFonts w:ascii="Arial" w:hAnsi="Arial" w:cs="Arial"/>
          <w:sz w:val="22"/>
          <w:szCs w:val="22"/>
        </w:rPr>
        <w:t xml:space="preserve"> </w:t>
      </w: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a</w:t>
      </w:r>
      <w:r w:rsidR="00C026A6" w:rsidRPr="00EA59C0">
        <w:rPr>
          <w:rFonts w:ascii="Arial" w:hAnsi="Arial" w:cs="Arial"/>
          <w:sz w:val="22"/>
          <w:szCs w:val="22"/>
        </w:rPr>
        <w:t xml:space="preserve"> </w:t>
      </w:r>
      <w:r w:rsidRPr="00EA59C0">
        <w:rPr>
          <w:rFonts w:ascii="Arial" w:hAnsi="Arial" w:cs="Arial"/>
          <w:sz w:val="22"/>
          <w:szCs w:val="22"/>
        </w:rPr>
        <w:t>file</w:t>
      </w:r>
      <w:r w:rsidR="00C026A6" w:rsidRPr="00EA59C0">
        <w:rPr>
          <w:rFonts w:ascii="Arial" w:hAnsi="Arial" w:cs="Arial"/>
          <w:sz w:val="22"/>
          <w:szCs w:val="22"/>
        </w:rPr>
        <w:t xml:space="preserve"> </w:t>
      </w:r>
      <w:r w:rsidRPr="00EA59C0">
        <w:rPr>
          <w:rFonts w:ascii="Arial" w:hAnsi="Arial" w:cs="Arial"/>
          <w:sz w:val="22"/>
          <w:szCs w:val="22"/>
        </w:rPr>
        <w:t>format</w:t>
      </w:r>
      <w:r w:rsidR="00C026A6" w:rsidRPr="00EA59C0">
        <w:rPr>
          <w:rFonts w:ascii="Arial" w:hAnsi="Arial" w:cs="Arial"/>
          <w:sz w:val="22"/>
          <w:szCs w:val="22"/>
        </w:rPr>
        <w:t xml:space="preserve"> </w:t>
      </w:r>
      <w:r w:rsidRPr="00EA59C0">
        <w:rPr>
          <w:rFonts w:ascii="Arial" w:hAnsi="Arial" w:cs="Arial"/>
          <w:sz w:val="22"/>
          <w:szCs w:val="22"/>
        </w:rPr>
        <w:t>that</w:t>
      </w:r>
      <w:r w:rsidR="00C026A6" w:rsidRPr="00EA59C0">
        <w:rPr>
          <w:rFonts w:ascii="Arial" w:hAnsi="Arial" w:cs="Arial"/>
          <w:sz w:val="22"/>
          <w:szCs w:val="22"/>
        </w:rPr>
        <w:t xml:space="preserve"> </w:t>
      </w:r>
      <w:r w:rsidRPr="00EA59C0">
        <w:rPr>
          <w:rFonts w:ascii="Arial" w:hAnsi="Arial" w:cs="Arial"/>
          <w:sz w:val="22"/>
          <w:szCs w:val="22"/>
        </w:rPr>
        <w:t>allows</w:t>
      </w:r>
      <w:r w:rsidR="00C026A6" w:rsidRPr="00EA59C0">
        <w:rPr>
          <w:rFonts w:ascii="Arial" w:hAnsi="Arial" w:cs="Arial"/>
          <w:sz w:val="22"/>
          <w:szCs w:val="22"/>
        </w:rPr>
        <w:t xml:space="preserve"> </w:t>
      </w:r>
      <w:r w:rsidRPr="00EA59C0">
        <w:rPr>
          <w:rFonts w:ascii="Arial" w:hAnsi="Arial" w:cs="Arial"/>
          <w:sz w:val="22"/>
          <w:szCs w:val="22"/>
        </w:rPr>
        <w:t>anyone</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natively</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directly</w:t>
      </w:r>
      <w:r w:rsidR="00C026A6" w:rsidRPr="00EA59C0">
        <w:rPr>
          <w:rFonts w:ascii="Arial" w:hAnsi="Arial" w:cs="Arial"/>
          <w:sz w:val="22"/>
          <w:szCs w:val="22"/>
        </w:rPr>
        <w:t xml:space="preserve"> </w:t>
      </w:r>
      <w:r w:rsidRPr="00EA59C0">
        <w:rPr>
          <w:rFonts w:ascii="Arial" w:hAnsi="Arial" w:cs="Arial"/>
          <w:sz w:val="22"/>
          <w:szCs w:val="22"/>
        </w:rPr>
        <w:t>edit</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content.</w:t>
      </w:r>
      <w:r w:rsidR="00C026A6" w:rsidRPr="00EA59C0">
        <w:rPr>
          <w:rFonts w:ascii="Arial" w:hAnsi="Arial" w:cs="Arial"/>
          <w:sz w:val="22"/>
          <w:szCs w:val="22"/>
        </w:rPr>
        <w:t xml:space="preserve">  </w:t>
      </w:r>
      <w:r w:rsidRPr="00EA59C0">
        <w:rPr>
          <w:rFonts w:ascii="Arial" w:hAnsi="Arial" w:cs="Arial"/>
          <w:sz w:val="22"/>
          <w:szCs w:val="22"/>
        </w:rPr>
        <w:t>Content</w:t>
      </w:r>
      <w:r w:rsidR="00C026A6" w:rsidRPr="00EA59C0">
        <w:rPr>
          <w:rFonts w:ascii="Arial" w:hAnsi="Arial" w:cs="Arial"/>
          <w:sz w:val="22"/>
          <w:szCs w:val="22"/>
        </w:rPr>
        <w:t xml:space="preserve"> </w:t>
      </w:r>
      <w:r w:rsidRPr="00EA59C0">
        <w:rPr>
          <w:rFonts w:ascii="Arial" w:hAnsi="Arial" w:cs="Arial"/>
          <w:sz w:val="22"/>
          <w:szCs w:val="22"/>
        </w:rPr>
        <w:t>may</w:t>
      </w:r>
      <w:r w:rsidR="00C026A6" w:rsidRPr="00EA59C0">
        <w:rPr>
          <w:rFonts w:ascii="Arial" w:hAnsi="Arial" w:cs="Arial"/>
          <w:sz w:val="22"/>
          <w:szCs w:val="22"/>
        </w:rPr>
        <w:t xml:space="preserve"> </w:t>
      </w:r>
      <w:r w:rsidRPr="00EA59C0">
        <w:rPr>
          <w:rFonts w:ascii="Arial" w:hAnsi="Arial" w:cs="Arial"/>
          <w:sz w:val="22"/>
          <w:szCs w:val="22"/>
        </w:rPr>
        <w:t>be</w:t>
      </w:r>
      <w:r w:rsidR="00C026A6" w:rsidRPr="00EA59C0">
        <w:rPr>
          <w:rFonts w:ascii="Arial" w:hAnsi="Arial" w:cs="Arial"/>
          <w:sz w:val="22"/>
          <w:szCs w:val="22"/>
        </w:rPr>
        <w:t xml:space="preserve"> </w:t>
      </w:r>
      <w:r w:rsidRPr="00EA59C0">
        <w:rPr>
          <w:rFonts w:ascii="Arial" w:hAnsi="Arial" w:cs="Arial"/>
          <w:sz w:val="22"/>
          <w:szCs w:val="22"/>
        </w:rPr>
        <w:t>made</w:t>
      </w:r>
      <w:r w:rsidR="00C026A6" w:rsidRPr="00EA59C0">
        <w:rPr>
          <w:rFonts w:ascii="Arial" w:hAnsi="Arial" w:cs="Arial"/>
          <w:sz w:val="22"/>
          <w:szCs w:val="22"/>
        </w:rPr>
        <w:t xml:space="preserve"> </w:t>
      </w:r>
      <w:r w:rsidRPr="00EA59C0">
        <w:rPr>
          <w:rFonts w:ascii="Arial" w:hAnsi="Arial" w:cs="Arial"/>
          <w:sz w:val="22"/>
          <w:szCs w:val="22"/>
        </w:rPr>
        <w:t>available</w:t>
      </w:r>
      <w:r w:rsidR="00C026A6" w:rsidRPr="00EA59C0">
        <w:rPr>
          <w:rFonts w:ascii="Arial" w:hAnsi="Arial" w:cs="Arial"/>
          <w:sz w:val="22"/>
          <w:szCs w:val="22"/>
        </w:rPr>
        <w:t xml:space="preserve"> </w:t>
      </w: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multiple</w:t>
      </w:r>
      <w:r w:rsidR="00C026A6" w:rsidRPr="00EA59C0">
        <w:rPr>
          <w:rFonts w:ascii="Arial" w:hAnsi="Arial" w:cs="Arial"/>
          <w:sz w:val="22"/>
          <w:szCs w:val="22"/>
        </w:rPr>
        <w:t xml:space="preserve"> </w:t>
      </w:r>
      <w:r w:rsidRPr="00EA59C0">
        <w:rPr>
          <w:rFonts w:ascii="Arial" w:hAnsi="Arial" w:cs="Arial"/>
          <w:sz w:val="22"/>
          <w:szCs w:val="22"/>
        </w:rPr>
        <w:t>formats,</w:t>
      </w:r>
      <w:r w:rsidR="00C026A6" w:rsidRPr="00EA59C0">
        <w:rPr>
          <w:rFonts w:ascii="Arial" w:hAnsi="Arial" w:cs="Arial"/>
          <w:sz w:val="22"/>
          <w:szCs w:val="22"/>
        </w:rPr>
        <w:t xml:space="preserve"> </w:t>
      </w:r>
      <w:r w:rsidRPr="00EA59C0">
        <w:rPr>
          <w:rFonts w:ascii="Arial" w:hAnsi="Arial" w:cs="Arial"/>
          <w:sz w:val="22"/>
          <w:szCs w:val="22"/>
        </w:rPr>
        <w:t>but</w:t>
      </w:r>
      <w:r w:rsidR="00C026A6" w:rsidRPr="00EA59C0">
        <w:rPr>
          <w:rFonts w:ascii="Arial" w:hAnsi="Arial" w:cs="Arial"/>
          <w:sz w:val="22"/>
          <w:szCs w:val="22"/>
        </w:rPr>
        <w:t xml:space="preserve"> </w:t>
      </w:r>
      <w:r w:rsidRPr="00EA59C0">
        <w:rPr>
          <w:rFonts w:ascii="Arial" w:hAnsi="Arial" w:cs="Arial"/>
          <w:sz w:val="22"/>
          <w:szCs w:val="22"/>
        </w:rPr>
        <w:t>at</w:t>
      </w:r>
      <w:r w:rsidR="00C026A6" w:rsidRPr="00EA59C0">
        <w:rPr>
          <w:rFonts w:ascii="Arial" w:hAnsi="Arial" w:cs="Arial"/>
          <w:sz w:val="22"/>
          <w:szCs w:val="22"/>
        </w:rPr>
        <w:t xml:space="preserve"> </w:t>
      </w:r>
      <w:r w:rsidRPr="00EA59C0">
        <w:rPr>
          <w:rFonts w:ascii="Arial" w:hAnsi="Arial" w:cs="Arial"/>
          <w:sz w:val="22"/>
          <w:szCs w:val="22"/>
        </w:rPr>
        <w:t>least</w:t>
      </w:r>
      <w:r w:rsidR="00C026A6" w:rsidRPr="00EA59C0">
        <w:rPr>
          <w:rFonts w:ascii="Arial" w:hAnsi="Arial" w:cs="Arial"/>
          <w:sz w:val="22"/>
          <w:szCs w:val="22"/>
        </w:rPr>
        <w:t xml:space="preserve"> </w:t>
      </w:r>
      <w:r w:rsidRPr="00EA59C0">
        <w:rPr>
          <w:rFonts w:ascii="Arial" w:hAnsi="Arial" w:cs="Arial"/>
          <w:sz w:val="22"/>
          <w:szCs w:val="22"/>
        </w:rPr>
        <w:t>one</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these</w:t>
      </w:r>
      <w:r w:rsidR="00C026A6" w:rsidRPr="00EA59C0">
        <w:rPr>
          <w:rFonts w:ascii="Arial" w:hAnsi="Arial" w:cs="Arial"/>
          <w:sz w:val="22"/>
          <w:szCs w:val="22"/>
        </w:rPr>
        <w:t xml:space="preserve"> </w:t>
      </w:r>
      <w:r w:rsidRPr="00EA59C0">
        <w:rPr>
          <w:rFonts w:ascii="Arial" w:hAnsi="Arial" w:cs="Arial"/>
          <w:sz w:val="22"/>
          <w:szCs w:val="22"/>
        </w:rPr>
        <w:t>formats</w:t>
      </w:r>
      <w:r w:rsidR="00C026A6" w:rsidRPr="00EA59C0">
        <w:rPr>
          <w:rFonts w:ascii="Arial" w:hAnsi="Arial" w:cs="Arial"/>
          <w:sz w:val="22"/>
          <w:szCs w:val="22"/>
        </w:rPr>
        <w:t xml:space="preserve"> </w:t>
      </w:r>
      <w:r w:rsidRPr="00EA59C0">
        <w:rPr>
          <w:rFonts w:ascii="Arial" w:hAnsi="Arial" w:cs="Arial"/>
          <w:sz w:val="22"/>
          <w:szCs w:val="22"/>
        </w:rPr>
        <w:t>must</w:t>
      </w:r>
      <w:r w:rsidR="00C026A6" w:rsidRPr="00EA59C0">
        <w:rPr>
          <w:rFonts w:ascii="Arial" w:hAnsi="Arial" w:cs="Arial"/>
          <w:sz w:val="22"/>
          <w:szCs w:val="22"/>
        </w:rPr>
        <w:t xml:space="preserve"> </w:t>
      </w:r>
      <w:r w:rsidRPr="00EA59C0">
        <w:rPr>
          <w:rFonts w:ascii="Arial" w:hAnsi="Arial" w:cs="Arial"/>
          <w:sz w:val="22"/>
          <w:szCs w:val="22"/>
        </w:rPr>
        <w:t>be</w:t>
      </w:r>
      <w:r w:rsidR="00C026A6" w:rsidRPr="00EA59C0">
        <w:rPr>
          <w:rFonts w:ascii="Arial" w:hAnsi="Arial" w:cs="Arial"/>
          <w:sz w:val="22"/>
          <w:szCs w:val="22"/>
        </w:rPr>
        <w:t xml:space="preserve"> </w:t>
      </w:r>
      <w:r w:rsidRPr="00EA59C0">
        <w:rPr>
          <w:rFonts w:ascii="Arial" w:hAnsi="Arial" w:cs="Arial"/>
          <w:sz w:val="22"/>
          <w:szCs w:val="22"/>
        </w:rPr>
        <w:t>openly</w:t>
      </w:r>
      <w:r w:rsidR="00C026A6" w:rsidRPr="00EA59C0">
        <w:rPr>
          <w:rFonts w:ascii="Arial" w:hAnsi="Arial" w:cs="Arial"/>
          <w:sz w:val="22"/>
          <w:szCs w:val="22"/>
        </w:rPr>
        <w:t xml:space="preserve"> </w:t>
      </w:r>
      <w:r w:rsidRPr="00EA59C0">
        <w:rPr>
          <w:rFonts w:ascii="Arial" w:hAnsi="Arial" w:cs="Arial"/>
          <w:sz w:val="22"/>
          <w:szCs w:val="22"/>
        </w:rPr>
        <w:t>editable</w:t>
      </w:r>
      <w:r w:rsidR="00C026A6" w:rsidRPr="00EA59C0">
        <w:rPr>
          <w:rFonts w:ascii="Arial" w:hAnsi="Arial" w:cs="Arial"/>
          <w:sz w:val="22"/>
          <w:szCs w:val="22"/>
        </w:rPr>
        <w:t xml:space="preserve"> </w:t>
      </w:r>
      <w:r w:rsidRPr="00EA59C0">
        <w:rPr>
          <w:rFonts w:ascii="Arial" w:hAnsi="Arial" w:cs="Arial"/>
          <w:sz w:val="22"/>
          <w:szCs w:val="22"/>
        </w:rPr>
        <w:t>by</w:t>
      </w:r>
      <w:r w:rsidR="00C026A6" w:rsidRPr="00EA59C0">
        <w:rPr>
          <w:rFonts w:ascii="Arial" w:hAnsi="Arial" w:cs="Arial"/>
          <w:sz w:val="22"/>
          <w:szCs w:val="22"/>
        </w:rPr>
        <w:t xml:space="preserve"> </w:t>
      </w:r>
      <w:r w:rsidRPr="00EA59C0">
        <w:rPr>
          <w:rFonts w:ascii="Arial" w:hAnsi="Arial" w:cs="Arial"/>
          <w:sz w:val="22"/>
          <w:szCs w:val="22"/>
        </w:rPr>
        <w:t>providing</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original</w:t>
      </w:r>
      <w:r w:rsidR="00C026A6" w:rsidRPr="00EA59C0">
        <w:rPr>
          <w:rFonts w:ascii="Arial" w:hAnsi="Arial" w:cs="Arial"/>
          <w:sz w:val="22"/>
          <w:szCs w:val="22"/>
        </w:rPr>
        <w:t xml:space="preserve"> </w:t>
      </w:r>
      <w:r w:rsidRPr="00EA59C0">
        <w:rPr>
          <w:rFonts w:ascii="Arial" w:hAnsi="Arial" w:cs="Arial"/>
          <w:sz w:val="22"/>
          <w:szCs w:val="22"/>
        </w:rPr>
        <w:t>file</w:t>
      </w:r>
      <w:r w:rsidR="00C026A6" w:rsidRPr="00EA59C0">
        <w:rPr>
          <w:rFonts w:ascii="Arial" w:hAnsi="Arial" w:cs="Arial"/>
          <w:sz w:val="22"/>
          <w:szCs w:val="22"/>
        </w:rPr>
        <w:t xml:space="preserve"> </w:t>
      </w:r>
      <w:r w:rsidRPr="00EA59C0">
        <w:rPr>
          <w:rFonts w:ascii="Arial" w:hAnsi="Arial" w:cs="Arial"/>
          <w:sz w:val="22"/>
          <w:szCs w:val="22"/>
        </w:rPr>
        <w:t>format</w:t>
      </w:r>
      <w:r w:rsidR="00C026A6" w:rsidRPr="00EA59C0">
        <w:rPr>
          <w:rFonts w:ascii="Arial" w:hAnsi="Arial" w:cs="Arial"/>
          <w:sz w:val="22"/>
          <w:szCs w:val="22"/>
        </w:rPr>
        <w:t xml:space="preserve"> </w:t>
      </w:r>
      <w:r w:rsidRPr="00EA59C0">
        <w:rPr>
          <w:rFonts w:ascii="Arial" w:hAnsi="Arial" w:cs="Arial"/>
          <w:sz w:val="22"/>
          <w:szCs w:val="22"/>
        </w:rPr>
        <w:t>used</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create</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content.</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type</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file</w:t>
      </w:r>
      <w:r w:rsidR="00C026A6" w:rsidRPr="00EA59C0">
        <w:rPr>
          <w:rFonts w:ascii="Arial" w:hAnsi="Arial" w:cs="Arial"/>
          <w:sz w:val="22"/>
          <w:szCs w:val="22"/>
        </w:rPr>
        <w:t xml:space="preserve"> </w:t>
      </w:r>
      <w:r w:rsidRPr="00EA59C0">
        <w:rPr>
          <w:rFonts w:ascii="Arial" w:hAnsi="Arial" w:cs="Arial"/>
          <w:sz w:val="22"/>
          <w:szCs w:val="22"/>
        </w:rPr>
        <w:t>format</w:t>
      </w:r>
      <w:r w:rsidR="00C026A6" w:rsidRPr="00EA59C0">
        <w:rPr>
          <w:rFonts w:ascii="Arial" w:hAnsi="Arial" w:cs="Arial"/>
          <w:sz w:val="22"/>
          <w:szCs w:val="22"/>
        </w:rPr>
        <w:t xml:space="preserve"> </w:t>
      </w:r>
      <w:r w:rsidRPr="00EA59C0">
        <w:rPr>
          <w:rFonts w:ascii="Arial" w:hAnsi="Arial" w:cs="Arial"/>
          <w:sz w:val="22"/>
          <w:szCs w:val="22"/>
        </w:rPr>
        <w:t>varies</w:t>
      </w:r>
      <w:r w:rsidR="00C026A6" w:rsidRPr="00EA59C0">
        <w:rPr>
          <w:rFonts w:ascii="Arial" w:hAnsi="Arial" w:cs="Arial"/>
          <w:sz w:val="22"/>
          <w:szCs w:val="22"/>
        </w:rPr>
        <w:t xml:space="preserve"> </w:t>
      </w:r>
      <w:r w:rsidRPr="00EA59C0">
        <w:rPr>
          <w:rFonts w:ascii="Arial" w:hAnsi="Arial" w:cs="Arial"/>
          <w:sz w:val="22"/>
          <w:szCs w:val="22"/>
        </w:rPr>
        <w:t>by</w:t>
      </w:r>
      <w:r w:rsidR="00C026A6" w:rsidRPr="00EA59C0">
        <w:rPr>
          <w:rFonts w:ascii="Arial" w:hAnsi="Arial" w:cs="Arial"/>
          <w:sz w:val="22"/>
          <w:szCs w:val="22"/>
        </w:rPr>
        <w:t xml:space="preserve"> </w:t>
      </w:r>
      <w:r w:rsidRPr="00EA59C0">
        <w:rPr>
          <w:rFonts w:ascii="Arial" w:hAnsi="Arial" w:cs="Arial"/>
          <w:sz w:val="22"/>
          <w:szCs w:val="22"/>
        </w:rPr>
        <w:t>type</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media:</w:t>
      </w:r>
    </w:p>
    <w:p w:rsidR="008826BE" w:rsidRPr="00EA59C0" w:rsidRDefault="008826BE" w:rsidP="00DB00BB">
      <w:pPr>
        <w:ind w:left="90"/>
        <w:rPr>
          <w:rFonts w:ascii="Arial" w:hAnsi="Arial" w:cs="Arial"/>
          <w:sz w:val="22"/>
          <w:szCs w:val="22"/>
        </w:rPr>
      </w:pPr>
    </w:p>
    <w:p w:rsidR="008826BE" w:rsidRPr="00EA59C0" w:rsidRDefault="008826BE" w:rsidP="00080097">
      <w:pPr>
        <w:numPr>
          <w:ilvl w:val="0"/>
          <w:numId w:val="36"/>
        </w:numPr>
        <w:tabs>
          <w:tab w:val="num" w:pos="450"/>
        </w:tabs>
        <w:ind w:left="810"/>
        <w:rPr>
          <w:rFonts w:ascii="Arial" w:hAnsi="Arial" w:cs="Arial"/>
          <w:sz w:val="22"/>
          <w:szCs w:val="22"/>
        </w:rPr>
      </w:pPr>
      <w:r w:rsidRPr="00EA59C0">
        <w:rPr>
          <w:rFonts w:ascii="Arial" w:hAnsi="Arial" w:cs="Arial"/>
          <w:b/>
          <w:sz w:val="22"/>
          <w:szCs w:val="22"/>
        </w:rPr>
        <w:t>For</w:t>
      </w:r>
      <w:r w:rsidR="00C026A6" w:rsidRPr="00EA59C0">
        <w:rPr>
          <w:rFonts w:ascii="Arial" w:hAnsi="Arial" w:cs="Arial"/>
          <w:b/>
          <w:sz w:val="22"/>
          <w:szCs w:val="22"/>
        </w:rPr>
        <w:t xml:space="preserve"> </w:t>
      </w:r>
      <w:r w:rsidRPr="00EA59C0">
        <w:rPr>
          <w:rFonts w:ascii="Arial" w:hAnsi="Arial" w:cs="Arial"/>
          <w:b/>
          <w:sz w:val="22"/>
          <w:szCs w:val="22"/>
        </w:rPr>
        <w:t>documents</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Openly</w:t>
      </w:r>
      <w:r w:rsidR="00C026A6" w:rsidRPr="00EA59C0">
        <w:rPr>
          <w:rFonts w:ascii="Arial" w:hAnsi="Arial" w:cs="Arial"/>
          <w:sz w:val="22"/>
          <w:szCs w:val="22"/>
        </w:rPr>
        <w:t xml:space="preserve"> </w:t>
      </w:r>
      <w:r w:rsidRPr="00EA59C0">
        <w:rPr>
          <w:rFonts w:ascii="Arial" w:hAnsi="Arial" w:cs="Arial"/>
          <w:sz w:val="22"/>
          <w:szCs w:val="22"/>
        </w:rPr>
        <w:t>editable</w:t>
      </w:r>
      <w:r w:rsidR="00C026A6" w:rsidRPr="00EA59C0">
        <w:rPr>
          <w:rFonts w:ascii="Arial" w:hAnsi="Arial" w:cs="Arial"/>
          <w:sz w:val="22"/>
          <w:szCs w:val="22"/>
        </w:rPr>
        <w:t xml:space="preserve"> </w:t>
      </w:r>
      <w:r w:rsidRPr="00EA59C0">
        <w:rPr>
          <w:rFonts w:ascii="Arial" w:hAnsi="Arial" w:cs="Arial"/>
          <w:sz w:val="22"/>
          <w:szCs w:val="22"/>
        </w:rPr>
        <w:t>formats</w:t>
      </w:r>
      <w:r w:rsidR="00C026A6" w:rsidRPr="00EA59C0">
        <w:rPr>
          <w:rFonts w:ascii="Arial" w:hAnsi="Arial" w:cs="Arial"/>
          <w:sz w:val="22"/>
          <w:szCs w:val="22"/>
        </w:rPr>
        <w:t xml:space="preserve"> </w:t>
      </w:r>
      <w:r w:rsidRPr="00EA59C0">
        <w:rPr>
          <w:rFonts w:ascii="Arial" w:hAnsi="Arial" w:cs="Arial"/>
          <w:sz w:val="22"/>
          <w:szCs w:val="22"/>
        </w:rPr>
        <w:t>include</w:t>
      </w:r>
      <w:r w:rsidR="00C026A6" w:rsidRPr="00EA59C0">
        <w:rPr>
          <w:rFonts w:ascii="Arial" w:hAnsi="Arial" w:cs="Arial"/>
          <w:sz w:val="22"/>
          <w:szCs w:val="22"/>
        </w:rPr>
        <w:t xml:space="preserve"> </w:t>
      </w:r>
      <w:r w:rsidRPr="00EA59C0">
        <w:rPr>
          <w:rFonts w:ascii="Arial" w:hAnsi="Arial" w:cs="Arial"/>
          <w:sz w:val="22"/>
          <w:szCs w:val="22"/>
        </w:rPr>
        <w:t>original</w:t>
      </w:r>
      <w:r w:rsidR="00C026A6" w:rsidRPr="00EA59C0">
        <w:rPr>
          <w:rFonts w:ascii="Arial" w:hAnsi="Arial" w:cs="Arial"/>
          <w:sz w:val="22"/>
          <w:szCs w:val="22"/>
        </w:rPr>
        <w:t xml:space="preserve"> </w:t>
      </w:r>
      <w:r w:rsidRPr="00EA59C0">
        <w:rPr>
          <w:rFonts w:ascii="Arial" w:hAnsi="Arial" w:cs="Arial"/>
          <w:sz w:val="22"/>
          <w:szCs w:val="22"/>
        </w:rPr>
        <w:t>Microsoft</w:t>
      </w:r>
      <w:r w:rsidR="00C026A6" w:rsidRPr="00EA59C0">
        <w:rPr>
          <w:rFonts w:ascii="Arial" w:hAnsi="Arial" w:cs="Arial"/>
          <w:sz w:val="22"/>
          <w:szCs w:val="22"/>
        </w:rPr>
        <w:t xml:space="preserve"> </w:t>
      </w:r>
      <w:r w:rsidRPr="00EA59C0">
        <w:rPr>
          <w:rFonts w:ascii="Arial" w:hAnsi="Arial" w:cs="Arial"/>
          <w:sz w:val="22"/>
          <w:szCs w:val="22"/>
        </w:rPr>
        <w:t>Office</w:t>
      </w:r>
      <w:r w:rsidR="00C026A6" w:rsidRPr="00EA59C0">
        <w:rPr>
          <w:rFonts w:ascii="Arial" w:hAnsi="Arial" w:cs="Arial"/>
          <w:sz w:val="22"/>
          <w:szCs w:val="22"/>
        </w:rPr>
        <w:t xml:space="preserve"> </w:t>
      </w:r>
      <w:r w:rsidRPr="00EA59C0">
        <w:rPr>
          <w:rFonts w:ascii="Arial" w:hAnsi="Arial" w:cs="Arial"/>
          <w:sz w:val="22"/>
          <w:szCs w:val="22"/>
        </w:rPr>
        <w:t>files</w:t>
      </w:r>
      <w:r w:rsidR="00C026A6" w:rsidRPr="00EA59C0">
        <w:rPr>
          <w:rFonts w:ascii="Arial" w:hAnsi="Arial" w:cs="Arial"/>
          <w:sz w:val="22"/>
          <w:szCs w:val="22"/>
        </w:rPr>
        <w:t xml:space="preserve"> </w:t>
      </w:r>
      <w:r w:rsidRPr="00EA59C0">
        <w:rPr>
          <w:rFonts w:ascii="Arial" w:hAnsi="Arial" w:cs="Arial"/>
          <w:sz w:val="22"/>
          <w:szCs w:val="22"/>
        </w:rPr>
        <w:t>(e.g.,</w:t>
      </w:r>
      <w:r w:rsidR="00C026A6" w:rsidRPr="00EA59C0">
        <w:rPr>
          <w:rFonts w:ascii="Arial" w:hAnsi="Arial" w:cs="Arial"/>
          <w:sz w:val="22"/>
          <w:szCs w:val="22"/>
        </w:rPr>
        <w:t xml:space="preserve"> </w:t>
      </w:r>
      <w:r w:rsidRPr="00EA59C0">
        <w:rPr>
          <w:rFonts w:ascii="Arial" w:hAnsi="Arial" w:cs="Arial"/>
          <w:sz w:val="22"/>
          <w:szCs w:val="22"/>
        </w:rPr>
        <w:t>doc,</w:t>
      </w:r>
      <w:r w:rsidR="00C026A6" w:rsidRPr="00EA59C0">
        <w:rPr>
          <w:rFonts w:ascii="Arial" w:hAnsi="Arial" w:cs="Arial"/>
          <w:sz w:val="22"/>
          <w:szCs w:val="22"/>
        </w:rPr>
        <w:t xml:space="preserve"> </w:t>
      </w:r>
      <w:r w:rsidRPr="00EA59C0">
        <w:rPr>
          <w:rFonts w:ascii="Arial" w:hAnsi="Arial" w:cs="Arial"/>
          <w:sz w:val="22"/>
          <w:szCs w:val="22"/>
        </w:rPr>
        <w:t>.docx.,</w:t>
      </w:r>
      <w:r w:rsidR="00C026A6" w:rsidRPr="00EA59C0">
        <w:rPr>
          <w:rFonts w:ascii="Arial" w:hAnsi="Arial" w:cs="Arial"/>
          <w:sz w:val="22"/>
          <w:szCs w:val="22"/>
        </w:rPr>
        <w:t xml:space="preserve"> </w:t>
      </w:r>
      <w:r w:rsidRPr="00EA59C0">
        <w:rPr>
          <w:rFonts w:ascii="Arial" w:hAnsi="Arial" w:cs="Arial"/>
          <w:sz w:val="22"/>
          <w:szCs w:val="22"/>
        </w:rPr>
        <w:t>.ppt,</w:t>
      </w:r>
      <w:r w:rsidR="00C026A6" w:rsidRPr="00EA59C0">
        <w:rPr>
          <w:rFonts w:ascii="Arial" w:hAnsi="Arial" w:cs="Arial"/>
          <w:sz w:val="22"/>
          <w:szCs w:val="22"/>
        </w:rPr>
        <w:t xml:space="preserve"> </w:t>
      </w:r>
      <w:r w:rsidRPr="00EA59C0">
        <w:rPr>
          <w:rFonts w:ascii="Arial" w:hAnsi="Arial" w:cs="Arial"/>
          <w:sz w:val="22"/>
          <w:szCs w:val="22"/>
        </w:rPr>
        <w:t>etc)</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other</w:t>
      </w:r>
      <w:r w:rsidR="00C026A6" w:rsidRPr="00EA59C0">
        <w:rPr>
          <w:rFonts w:ascii="Arial" w:hAnsi="Arial" w:cs="Arial"/>
          <w:sz w:val="22"/>
          <w:szCs w:val="22"/>
        </w:rPr>
        <w:t xml:space="preserve"> </w:t>
      </w:r>
      <w:r w:rsidRPr="00EA59C0">
        <w:rPr>
          <w:rFonts w:ascii="Arial" w:hAnsi="Arial" w:cs="Arial"/>
          <w:sz w:val="22"/>
          <w:szCs w:val="22"/>
        </w:rPr>
        <w:t>editable</w:t>
      </w:r>
      <w:r w:rsidR="00C026A6" w:rsidRPr="00EA59C0">
        <w:rPr>
          <w:rFonts w:ascii="Arial" w:hAnsi="Arial" w:cs="Arial"/>
          <w:sz w:val="22"/>
          <w:szCs w:val="22"/>
        </w:rPr>
        <w:t xml:space="preserve"> </w:t>
      </w:r>
      <w:r w:rsidRPr="00EA59C0">
        <w:rPr>
          <w:rFonts w:ascii="Arial" w:hAnsi="Arial" w:cs="Arial"/>
          <w:sz w:val="22"/>
          <w:szCs w:val="22"/>
        </w:rPr>
        <w:t>document</w:t>
      </w:r>
      <w:r w:rsidR="00C026A6" w:rsidRPr="00EA59C0">
        <w:rPr>
          <w:rFonts w:ascii="Arial" w:hAnsi="Arial" w:cs="Arial"/>
          <w:sz w:val="22"/>
          <w:szCs w:val="22"/>
        </w:rPr>
        <w:t xml:space="preserve"> </w:t>
      </w:r>
      <w:r w:rsidRPr="00EA59C0">
        <w:rPr>
          <w:rFonts w:ascii="Arial" w:hAnsi="Arial" w:cs="Arial"/>
          <w:sz w:val="22"/>
          <w:szCs w:val="22"/>
        </w:rPr>
        <w:t>files.</w:t>
      </w:r>
      <w:r w:rsidR="00C026A6" w:rsidRPr="00EA59C0">
        <w:rPr>
          <w:rFonts w:ascii="Arial" w:hAnsi="Arial" w:cs="Arial"/>
          <w:sz w:val="22"/>
          <w:szCs w:val="22"/>
        </w:rPr>
        <w:t xml:space="preserve">  </w:t>
      </w:r>
      <w:r w:rsidRPr="00EA59C0">
        <w:rPr>
          <w:rFonts w:ascii="Arial" w:hAnsi="Arial" w:cs="Arial"/>
          <w:sz w:val="22"/>
          <w:szCs w:val="22"/>
        </w:rPr>
        <w:t>An</w:t>
      </w:r>
      <w:r w:rsidR="00C026A6" w:rsidRPr="00EA59C0">
        <w:rPr>
          <w:rFonts w:ascii="Arial" w:hAnsi="Arial" w:cs="Arial"/>
          <w:sz w:val="22"/>
          <w:szCs w:val="22"/>
        </w:rPr>
        <w:t xml:space="preserve"> </w:t>
      </w:r>
      <w:r w:rsidRPr="00EA59C0">
        <w:rPr>
          <w:rFonts w:ascii="Arial" w:hAnsi="Arial" w:cs="Arial"/>
          <w:sz w:val="22"/>
          <w:szCs w:val="22"/>
        </w:rPr>
        <w:t>example</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a</w:t>
      </w:r>
      <w:r w:rsidR="00C026A6" w:rsidRPr="00EA59C0">
        <w:rPr>
          <w:rFonts w:ascii="Arial" w:hAnsi="Arial" w:cs="Arial"/>
          <w:sz w:val="22"/>
          <w:szCs w:val="22"/>
        </w:rPr>
        <w:t xml:space="preserve"> </w:t>
      </w:r>
      <w:r w:rsidRPr="00EA59C0">
        <w:rPr>
          <w:rFonts w:ascii="Arial" w:hAnsi="Arial" w:cs="Arial"/>
          <w:sz w:val="22"/>
          <w:szCs w:val="22"/>
        </w:rPr>
        <w:t>closed</w:t>
      </w:r>
      <w:r w:rsidR="00C026A6" w:rsidRPr="00EA59C0">
        <w:rPr>
          <w:rFonts w:ascii="Arial" w:hAnsi="Arial" w:cs="Arial"/>
          <w:sz w:val="22"/>
          <w:szCs w:val="22"/>
        </w:rPr>
        <w:t xml:space="preserve"> </w:t>
      </w:r>
      <w:r w:rsidRPr="00EA59C0">
        <w:rPr>
          <w:rFonts w:ascii="Arial" w:hAnsi="Arial" w:cs="Arial"/>
          <w:sz w:val="22"/>
          <w:szCs w:val="22"/>
        </w:rPr>
        <w:t>document</w:t>
      </w:r>
      <w:r w:rsidR="00C026A6" w:rsidRPr="00EA59C0">
        <w:rPr>
          <w:rFonts w:ascii="Arial" w:hAnsi="Arial" w:cs="Arial"/>
          <w:sz w:val="22"/>
          <w:szCs w:val="22"/>
        </w:rPr>
        <w:t xml:space="preserve"> </w:t>
      </w:r>
      <w:r w:rsidRPr="00EA59C0">
        <w:rPr>
          <w:rFonts w:ascii="Arial" w:hAnsi="Arial" w:cs="Arial"/>
          <w:sz w:val="22"/>
          <w:szCs w:val="22"/>
        </w:rPr>
        <w:t>format</w:t>
      </w:r>
      <w:r w:rsidR="00C026A6" w:rsidRPr="00EA59C0">
        <w:rPr>
          <w:rFonts w:ascii="Arial" w:hAnsi="Arial" w:cs="Arial"/>
          <w:sz w:val="22"/>
          <w:szCs w:val="22"/>
        </w:rPr>
        <w:t xml:space="preserve"> </w:t>
      </w:r>
      <w:r w:rsidRPr="00EA59C0">
        <w:rPr>
          <w:rFonts w:ascii="Arial" w:hAnsi="Arial" w:cs="Arial"/>
          <w:sz w:val="22"/>
          <w:szCs w:val="22"/>
        </w:rPr>
        <w:t>is</w:t>
      </w:r>
      <w:r w:rsidR="00C026A6" w:rsidRPr="00EA59C0">
        <w:rPr>
          <w:rFonts w:ascii="Arial" w:hAnsi="Arial" w:cs="Arial"/>
          <w:sz w:val="22"/>
          <w:szCs w:val="22"/>
        </w:rPr>
        <w:t xml:space="preserve"> </w:t>
      </w:r>
      <w:r w:rsidRPr="00EA59C0">
        <w:rPr>
          <w:rFonts w:ascii="Arial" w:hAnsi="Arial" w:cs="Arial"/>
          <w:sz w:val="22"/>
          <w:szCs w:val="22"/>
        </w:rPr>
        <w:t>a</w:t>
      </w:r>
      <w:r w:rsidR="00C026A6" w:rsidRPr="00EA59C0">
        <w:rPr>
          <w:rFonts w:ascii="Arial" w:hAnsi="Arial" w:cs="Arial"/>
          <w:sz w:val="22"/>
          <w:szCs w:val="22"/>
        </w:rPr>
        <w:t xml:space="preserve"> </w:t>
      </w:r>
      <w:r w:rsidRPr="00EA59C0">
        <w:rPr>
          <w:rFonts w:ascii="Arial" w:hAnsi="Arial" w:cs="Arial"/>
          <w:sz w:val="22"/>
          <w:szCs w:val="22"/>
        </w:rPr>
        <w:t>PDF,</w:t>
      </w:r>
      <w:r w:rsidR="00C026A6" w:rsidRPr="00EA59C0">
        <w:rPr>
          <w:rFonts w:ascii="Arial" w:hAnsi="Arial" w:cs="Arial"/>
          <w:sz w:val="22"/>
          <w:szCs w:val="22"/>
        </w:rPr>
        <w:t xml:space="preserve"> </w:t>
      </w:r>
      <w:r w:rsidRPr="00EA59C0">
        <w:rPr>
          <w:rFonts w:ascii="Arial" w:hAnsi="Arial" w:cs="Arial"/>
          <w:sz w:val="22"/>
          <w:szCs w:val="22"/>
        </w:rPr>
        <w:t>since</w:t>
      </w:r>
      <w:r w:rsidR="00C026A6" w:rsidRPr="00EA59C0">
        <w:rPr>
          <w:rFonts w:ascii="Arial" w:hAnsi="Arial" w:cs="Arial"/>
          <w:sz w:val="22"/>
          <w:szCs w:val="22"/>
        </w:rPr>
        <w:t xml:space="preserve"> </w:t>
      </w:r>
      <w:r w:rsidRPr="00EA59C0">
        <w:rPr>
          <w:rFonts w:ascii="Arial" w:hAnsi="Arial" w:cs="Arial"/>
          <w:sz w:val="22"/>
          <w:szCs w:val="22"/>
        </w:rPr>
        <w:t>files</w:t>
      </w:r>
      <w:r w:rsidR="00C026A6" w:rsidRPr="00EA59C0">
        <w:rPr>
          <w:rFonts w:ascii="Arial" w:hAnsi="Arial" w:cs="Arial"/>
          <w:sz w:val="22"/>
          <w:szCs w:val="22"/>
        </w:rPr>
        <w:t xml:space="preserve"> </w:t>
      </w:r>
      <w:r w:rsidRPr="00EA59C0">
        <w:rPr>
          <w:rFonts w:ascii="Arial" w:hAnsi="Arial" w:cs="Arial"/>
          <w:sz w:val="22"/>
          <w:szCs w:val="22"/>
        </w:rPr>
        <w:t>with</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.pdf</w:t>
      </w:r>
      <w:r w:rsidR="00C026A6" w:rsidRPr="00EA59C0">
        <w:rPr>
          <w:rFonts w:ascii="Arial" w:hAnsi="Arial" w:cs="Arial"/>
          <w:sz w:val="22"/>
          <w:szCs w:val="22"/>
        </w:rPr>
        <w:t xml:space="preserve"> </w:t>
      </w:r>
      <w:r w:rsidRPr="00EA59C0">
        <w:rPr>
          <w:rFonts w:ascii="Arial" w:hAnsi="Arial" w:cs="Arial"/>
          <w:sz w:val="22"/>
          <w:szCs w:val="22"/>
        </w:rPr>
        <w:t>extension</w:t>
      </w:r>
      <w:r w:rsidR="00C026A6" w:rsidRPr="00EA59C0">
        <w:rPr>
          <w:rFonts w:ascii="Arial" w:hAnsi="Arial" w:cs="Arial"/>
          <w:sz w:val="22"/>
          <w:szCs w:val="22"/>
        </w:rPr>
        <w:t xml:space="preserve"> </w:t>
      </w:r>
      <w:r w:rsidRPr="00EA59C0">
        <w:rPr>
          <w:rFonts w:ascii="Arial" w:hAnsi="Arial" w:cs="Arial"/>
          <w:sz w:val="22"/>
          <w:szCs w:val="22"/>
        </w:rPr>
        <w:t>do</w:t>
      </w:r>
      <w:r w:rsidR="00C026A6" w:rsidRPr="00EA59C0">
        <w:rPr>
          <w:rFonts w:ascii="Arial" w:hAnsi="Arial" w:cs="Arial"/>
          <w:sz w:val="22"/>
          <w:szCs w:val="22"/>
        </w:rPr>
        <w:t xml:space="preserve"> </w:t>
      </w:r>
      <w:r w:rsidRPr="00EA59C0">
        <w:rPr>
          <w:rFonts w:ascii="Arial" w:hAnsi="Arial" w:cs="Arial"/>
          <w:sz w:val="22"/>
          <w:szCs w:val="22"/>
        </w:rPr>
        <w:t>not</w:t>
      </w:r>
      <w:r w:rsidR="00C026A6" w:rsidRPr="00EA59C0">
        <w:rPr>
          <w:rFonts w:ascii="Arial" w:hAnsi="Arial" w:cs="Arial"/>
          <w:sz w:val="22"/>
          <w:szCs w:val="22"/>
        </w:rPr>
        <w:t xml:space="preserve"> </w:t>
      </w:r>
      <w:r w:rsidRPr="00EA59C0">
        <w:rPr>
          <w:rFonts w:ascii="Arial" w:hAnsi="Arial" w:cs="Arial"/>
          <w:sz w:val="22"/>
          <w:szCs w:val="22"/>
        </w:rPr>
        <w:t>allow</w:t>
      </w:r>
      <w:r w:rsidR="00C026A6" w:rsidRPr="00EA59C0">
        <w:rPr>
          <w:rFonts w:ascii="Arial" w:hAnsi="Arial" w:cs="Arial"/>
          <w:sz w:val="22"/>
          <w:szCs w:val="22"/>
        </w:rPr>
        <w:t xml:space="preserve"> </w:t>
      </w:r>
      <w:r w:rsidRPr="00EA59C0">
        <w:rPr>
          <w:rFonts w:ascii="Arial" w:hAnsi="Arial" w:cs="Arial"/>
          <w:sz w:val="22"/>
          <w:szCs w:val="22"/>
        </w:rPr>
        <w:t>edits.</w:t>
      </w:r>
      <w:r w:rsidR="00C026A6" w:rsidRPr="00EA59C0">
        <w:rPr>
          <w:rFonts w:ascii="Arial" w:hAnsi="Arial" w:cs="Arial"/>
          <w:sz w:val="22"/>
          <w:szCs w:val="22"/>
        </w:rPr>
        <w:t xml:space="preserve"> </w:t>
      </w:r>
    </w:p>
    <w:p w:rsidR="008826BE" w:rsidRPr="00EA59C0" w:rsidRDefault="008826BE" w:rsidP="00DB00BB">
      <w:pPr>
        <w:ind w:left="810"/>
        <w:rPr>
          <w:rFonts w:ascii="Arial" w:hAnsi="Arial" w:cs="Arial"/>
          <w:sz w:val="22"/>
          <w:szCs w:val="22"/>
        </w:rPr>
      </w:pPr>
    </w:p>
    <w:p w:rsidR="008826BE" w:rsidRPr="00EA59C0" w:rsidRDefault="008826BE" w:rsidP="00080097">
      <w:pPr>
        <w:numPr>
          <w:ilvl w:val="0"/>
          <w:numId w:val="36"/>
        </w:numPr>
        <w:tabs>
          <w:tab w:val="num" w:pos="450"/>
        </w:tabs>
        <w:ind w:left="810"/>
        <w:rPr>
          <w:rFonts w:ascii="Arial" w:hAnsi="Arial" w:cs="Arial"/>
          <w:sz w:val="22"/>
          <w:szCs w:val="22"/>
        </w:rPr>
      </w:pPr>
      <w:r w:rsidRPr="00EA59C0">
        <w:rPr>
          <w:rFonts w:ascii="Arial" w:hAnsi="Arial" w:cs="Arial"/>
          <w:b/>
          <w:sz w:val="22"/>
          <w:szCs w:val="22"/>
        </w:rPr>
        <w:t>For</w:t>
      </w:r>
      <w:r w:rsidR="00C026A6" w:rsidRPr="00EA59C0">
        <w:rPr>
          <w:rFonts w:ascii="Arial" w:hAnsi="Arial" w:cs="Arial"/>
          <w:b/>
          <w:sz w:val="22"/>
          <w:szCs w:val="22"/>
        </w:rPr>
        <w:t xml:space="preserve"> </w:t>
      </w:r>
      <w:r w:rsidRPr="00EA59C0">
        <w:rPr>
          <w:rFonts w:ascii="Arial" w:hAnsi="Arial" w:cs="Arial"/>
          <w:b/>
          <w:sz w:val="22"/>
          <w:szCs w:val="22"/>
        </w:rPr>
        <w:t>images</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Source</w:t>
      </w:r>
      <w:r w:rsidR="00C026A6" w:rsidRPr="00EA59C0">
        <w:rPr>
          <w:rFonts w:ascii="Arial" w:hAnsi="Arial" w:cs="Arial"/>
          <w:sz w:val="22"/>
          <w:szCs w:val="22"/>
        </w:rPr>
        <w:t xml:space="preserve"> </w:t>
      </w:r>
      <w:r w:rsidRPr="00EA59C0">
        <w:rPr>
          <w:rFonts w:ascii="Arial" w:hAnsi="Arial" w:cs="Arial"/>
          <w:sz w:val="22"/>
          <w:szCs w:val="22"/>
        </w:rPr>
        <w:t>files</w:t>
      </w:r>
      <w:r w:rsidR="00C026A6" w:rsidRPr="00EA59C0">
        <w:rPr>
          <w:rFonts w:ascii="Arial" w:hAnsi="Arial" w:cs="Arial"/>
          <w:sz w:val="22"/>
          <w:szCs w:val="22"/>
        </w:rPr>
        <w:t xml:space="preserve"> </w:t>
      </w:r>
      <w:r w:rsidRPr="00EA59C0">
        <w:rPr>
          <w:rFonts w:ascii="Arial" w:hAnsi="Arial" w:cs="Arial"/>
          <w:sz w:val="22"/>
          <w:szCs w:val="22"/>
        </w:rPr>
        <w:t>should</w:t>
      </w:r>
      <w:r w:rsidR="00C026A6" w:rsidRPr="00EA59C0">
        <w:rPr>
          <w:rFonts w:ascii="Arial" w:hAnsi="Arial" w:cs="Arial"/>
          <w:sz w:val="22"/>
          <w:szCs w:val="22"/>
        </w:rPr>
        <w:t xml:space="preserve"> </w:t>
      </w:r>
      <w:r w:rsidRPr="00EA59C0">
        <w:rPr>
          <w:rFonts w:ascii="Arial" w:hAnsi="Arial" w:cs="Arial"/>
          <w:sz w:val="22"/>
          <w:szCs w:val="22"/>
        </w:rPr>
        <w:t>be</w:t>
      </w:r>
      <w:r w:rsidR="00C026A6" w:rsidRPr="00EA59C0">
        <w:rPr>
          <w:rFonts w:ascii="Arial" w:hAnsi="Arial" w:cs="Arial"/>
          <w:sz w:val="22"/>
          <w:szCs w:val="22"/>
        </w:rPr>
        <w:t xml:space="preserve"> </w:t>
      </w:r>
      <w:r w:rsidRPr="00EA59C0">
        <w:rPr>
          <w:rFonts w:ascii="Arial" w:hAnsi="Arial" w:cs="Arial"/>
          <w:sz w:val="22"/>
          <w:szCs w:val="22"/>
        </w:rPr>
        <w:t>shared</w:t>
      </w:r>
      <w:r w:rsidR="00C026A6" w:rsidRPr="00EA59C0">
        <w:rPr>
          <w:rFonts w:ascii="Arial" w:hAnsi="Arial" w:cs="Arial"/>
          <w:sz w:val="22"/>
          <w:szCs w:val="22"/>
        </w:rPr>
        <w:t xml:space="preserve"> </w:t>
      </w:r>
      <w:r w:rsidRPr="00EA59C0">
        <w:rPr>
          <w:rFonts w:ascii="Arial" w:hAnsi="Arial" w:cs="Arial"/>
          <w:sz w:val="22"/>
          <w:szCs w:val="22"/>
        </w:rPr>
        <w:t>for</w:t>
      </w:r>
      <w:r w:rsidR="00C026A6" w:rsidRPr="00EA59C0">
        <w:rPr>
          <w:rFonts w:ascii="Arial" w:hAnsi="Arial" w:cs="Arial"/>
          <w:sz w:val="22"/>
          <w:szCs w:val="22"/>
        </w:rPr>
        <w:t xml:space="preserve"> </w:t>
      </w:r>
      <w:r w:rsidRPr="00EA59C0">
        <w:rPr>
          <w:rFonts w:ascii="Arial" w:hAnsi="Arial" w:cs="Arial"/>
          <w:sz w:val="22"/>
          <w:szCs w:val="22"/>
        </w:rPr>
        <w:t>images</w:t>
      </w:r>
      <w:r w:rsidR="00C026A6" w:rsidRPr="00EA59C0">
        <w:rPr>
          <w:rFonts w:ascii="Arial" w:hAnsi="Arial" w:cs="Arial"/>
          <w:sz w:val="22"/>
          <w:szCs w:val="22"/>
        </w:rPr>
        <w:t xml:space="preserve"> </w:t>
      </w:r>
      <w:r w:rsidRPr="00EA59C0">
        <w:rPr>
          <w:rFonts w:ascii="Arial" w:hAnsi="Arial" w:cs="Arial"/>
          <w:sz w:val="22"/>
          <w:szCs w:val="22"/>
        </w:rPr>
        <w:t>(e.g.</w:t>
      </w:r>
      <w:r w:rsidR="00C026A6" w:rsidRPr="00EA59C0">
        <w:rPr>
          <w:rFonts w:ascii="Arial" w:hAnsi="Arial" w:cs="Arial"/>
          <w:sz w:val="22"/>
          <w:szCs w:val="22"/>
        </w:rPr>
        <w:t xml:space="preserve"> </w:t>
      </w:r>
      <w:r w:rsidRPr="00EA59C0">
        <w:rPr>
          <w:rFonts w:ascii="Arial" w:hAnsi="Arial" w:cs="Arial"/>
          <w:sz w:val="22"/>
          <w:szCs w:val="22"/>
        </w:rPr>
        <w:t>Adobe</w:t>
      </w:r>
      <w:r w:rsidR="00C026A6" w:rsidRPr="00EA59C0">
        <w:rPr>
          <w:rFonts w:ascii="Arial" w:hAnsi="Arial" w:cs="Arial"/>
          <w:sz w:val="22"/>
          <w:szCs w:val="22"/>
        </w:rPr>
        <w:t xml:space="preserve"> </w:t>
      </w:r>
      <w:r w:rsidRPr="00EA59C0">
        <w:rPr>
          <w:rFonts w:ascii="Arial" w:hAnsi="Arial" w:cs="Arial"/>
          <w:sz w:val="22"/>
          <w:szCs w:val="22"/>
        </w:rPr>
        <w:t>Photoshop),</w:t>
      </w:r>
      <w:r w:rsidR="00C026A6" w:rsidRPr="00EA59C0">
        <w:rPr>
          <w:rFonts w:ascii="Arial" w:hAnsi="Arial" w:cs="Arial"/>
          <w:sz w:val="22"/>
          <w:szCs w:val="22"/>
        </w:rPr>
        <w:t xml:space="preserve"> </w:t>
      </w:r>
      <w:r w:rsidRPr="00EA59C0">
        <w:rPr>
          <w:rFonts w:ascii="Arial" w:hAnsi="Arial" w:cs="Arial"/>
          <w:sz w:val="22"/>
          <w:szCs w:val="22"/>
        </w:rPr>
        <w:t>video</w:t>
      </w:r>
      <w:r w:rsidR="00C026A6" w:rsidRPr="00EA59C0">
        <w:rPr>
          <w:rFonts w:ascii="Arial" w:hAnsi="Arial" w:cs="Arial"/>
          <w:sz w:val="22"/>
          <w:szCs w:val="22"/>
        </w:rPr>
        <w:t xml:space="preserve"> </w:t>
      </w:r>
      <w:r w:rsidRPr="00EA59C0">
        <w:rPr>
          <w:rFonts w:ascii="Arial" w:hAnsi="Arial" w:cs="Arial"/>
          <w:sz w:val="22"/>
          <w:szCs w:val="22"/>
        </w:rPr>
        <w:t>clips,</w:t>
      </w:r>
      <w:r w:rsidR="00C026A6" w:rsidRPr="00EA59C0">
        <w:rPr>
          <w:rFonts w:ascii="Arial" w:hAnsi="Arial" w:cs="Arial"/>
          <w:sz w:val="22"/>
          <w:szCs w:val="22"/>
        </w:rPr>
        <w:t xml:space="preserve"> </w:t>
      </w:r>
      <w:r w:rsidRPr="00EA59C0">
        <w:rPr>
          <w:rFonts w:ascii="Arial" w:hAnsi="Arial" w:cs="Arial"/>
          <w:sz w:val="22"/>
          <w:szCs w:val="22"/>
        </w:rPr>
        <w:t>or</w:t>
      </w:r>
      <w:r w:rsidR="00C026A6" w:rsidRPr="00EA59C0">
        <w:rPr>
          <w:rFonts w:ascii="Arial" w:hAnsi="Arial" w:cs="Arial"/>
          <w:sz w:val="22"/>
          <w:szCs w:val="22"/>
        </w:rPr>
        <w:t xml:space="preserve"> </w:t>
      </w:r>
      <w:r w:rsidRPr="00EA59C0">
        <w:rPr>
          <w:rFonts w:ascii="Arial" w:hAnsi="Arial" w:cs="Arial"/>
          <w:sz w:val="22"/>
          <w:szCs w:val="22"/>
        </w:rPr>
        <w:t>Flash</w:t>
      </w:r>
      <w:r w:rsidR="00C026A6" w:rsidRPr="00EA59C0">
        <w:rPr>
          <w:rFonts w:ascii="Arial" w:hAnsi="Arial" w:cs="Arial"/>
          <w:sz w:val="22"/>
          <w:szCs w:val="22"/>
        </w:rPr>
        <w:t xml:space="preserve"> </w:t>
      </w:r>
      <w:r w:rsidRPr="00EA59C0">
        <w:rPr>
          <w:rFonts w:ascii="Arial" w:hAnsi="Arial" w:cs="Arial"/>
          <w:sz w:val="22"/>
          <w:szCs w:val="22"/>
        </w:rPr>
        <w:t>(such</w:t>
      </w:r>
      <w:r w:rsidR="00C026A6" w:rsidRPr="00EA59C0">
        <w:rPr>
          <w:rFonts w:ascii="Arial" w:hAnsi="Arial" w:cs="Arial"/>
          <w:sz w:val="22"/>
          <w:szCs w:val="22"/>
        </w:rPr>
        <w:t xml:space="preserve"> </w:t>
      </w:r>
      <w:r w:rsidRPr="00EA59C0">
        <w:rPr>
          <w:rFonts w:ascii="Arial" w:hAnsi="Arial" w:cs="Arial"/>
          <w:sz w:val="22"/>
          <w:szCs w:val="22"/>
        </w:rPr>
        <w:t>as</w:t>
      </w:r>
      <w:r w:rsidR="00C026A6" w:rsidRPr="00EA59C0">
        <w:rPr>
          <w:rFonts w:ascii="Arial" w:hAnsi="Arial" w:cs="Arial"/>
          <w:sz w:val="22"/>
          <w:szCs w:val="22"/>
        </w:rPr>
        <w:t xml:space="preserve"> </w:t>
      </w:r>
      <w:r w:rsidRPr="00EA59C0">
        <w:rPr>
          <w:rFonts w:ascii="Arial" w:hAnsi="Arial" w:cs="Arial"/>
          <w:sz w:val="22"/>
          <w:szCs w:val="22"/>
        </w:rPr>
        <w:t>FLA).</w:t>
      </w:r>
    </w:p>
    <w:p w:rsidR="008826BE" w:rsidRPr="00EA59C0" w:rsidRDefault="008826BE" w:rsidP="00DB00BB">
      <w:pPr>
        <w:rPr>
          <w:rFonts w:ascii="Arial" w:hAnsi="Arial" w:cs="Arial"/>
          <w:sz w:val="22"/>
          <w:szCs w:val="22"/>
        </w:rPr>
      </w:pPr>
    </w:p>
    <w:p w:rsidR="008826BE" w:rsidRPr="00EA59C0" w:rsidRDefault="008826BE" w:rsidP="00080097">
      <w:pPr>
        <w:numPr>
          <w:ilvl w:val="0"/>
          <w:numId w:val="36"/>
        </w:numPr>
        <w:tabs>
          <w:tab w:val="num" w:pos="450"/>
        </w:tabs>
        <w:ind w:left="810"/>
        <w:rPr>
          <w:rFonts w:ascii="Arial" w:hAnsi="Arial" w:cs="Arial"/>
          <w:sz w:val="22"/>
          <w:szCs w:val="22"/>
        </w:rPr>
      </w:pPr>
      <w:r w:rsidRPr="00EA59C0">
        <w:rPr>
          <w:rFonts w:ascii="Arial" w:hAnsi="Arial" w:cs="Arial"/>
          <w:b/>
          <w:sz w:val="22"/>
          <w:szCs w:val="22"/>
        </w:rPr>
        <w:t>For</w:t>
      </w:r>
      <w:r w:rsidR="00C026A6" w:rsidRPr="00EA59C0">
        <w:rPr>
          <w:rFonts w:ascii="Arial" w:hAnsi="Arial" w:cs="Arial"/>
          <w:b/>
          <w:sz w:val="22"/>
          <w:szCs w:val="22"/>
        </w:rPr>
        <w:t xml:space="preserve"> </w:t>
      </w:r>
      <w:r w:rsidRPr="00EA59C0">
        <w:rPr>
          <w:rFonts w:ascii="Arial" w:hAnsi="Arial" w:cs="Arial"/>
          <w:b/>
          <w:sz w:val="22"/>
          <w:szCs w:val="22"/>
        </w:rPr>
        <w:t>video</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Common</w:t>
      </w:r>
      <w:r w:rsidR="00C026A6" w:rsidRPr="00EA59C0">
        <w:rPr>
          <w:rFonts w:ascii="Arial" w:hAnsi="Arial" w:cs="Arial"/>
          <w:sz w:val="22"/>
          <w:szCs w:val="22"/>
        </w:rPr>
        <w:t xml:space="preserve"> </w:t>
      </w:r>
      <w:r w:rsidRPr="00EA59C0">
        <w:rPr>
          <w:rFonts w:ascii="Arial" w:hAnsi="Arial" w:cs="Arial"/>
          <w:sz w:val="22"/>
          <w:szCs w:val="22"/>
        </w:rPr>
        <w:t>video</w:t>
      </w:r>
      <w:r w:rsidR="00C026A6" w:rsidRPr="00EA59C0">
        <w:rPr>
          <w:rFonts w:ascii="Arial" w:hAnsi="Arial" w:cs="Arial"/>
          <w:sz w:val="22"/>
          <w:szCs w:val="22"/>
        </w:rPr>
        <w:t xml:space="preserve"> </w:t>
      </w:r>
      <w:r w:rsidRPr="00EA59C0">
        <w:rPr>
          <w:rFonts w:ascii="Arial" w:hAnsi="Arial" w:cs="Arial"/>
          <w:sz w:val="22"/>
          <w:szCs w:val="22"/>
        </w:rPr>
        <w:t>formats</w:t>
      </w:r>
      <w:r w:rsidR="00C026A6" w:rsidRPr="00EA59C0">
        <w:rPr>
          <w:rFonts w:ascii="Arial" w:hAnsi="Arial" w:cs="Arial"/>
          <w:sz w:val="22"/>
          <w:szCs w:val="22"/>
        </w:rPr>
        <w:t xml:space="preserve"> </w:t>
      </w:r>
      <w:r w:rsidRPr="00EA59C0">
        <w:rPr>
          <w:rFonts w:ascii="Arial" w:hAnsi="Arial" w:cs="Arial"/>
          <w:sz w:val="22"/>
          <w:szCs w:val="22"/>
        </w:rPr>
        <w:t>include</w:t>
      </w:r>
      <w:r w:rsidR="00C026A6" w:rsidRPr="00EA59C0">
        <w:rPr>
          <w:rFonts w:ascii="Arial" w:hAnsi="Arial" w:cs="Arial"/>
          <w:sz w:val="22"/>
          <w:szCs w:val="22"/>
        </w:rPr>
        <w:t xml:space="preserve"> </w:t>
      </w:r>
      <w:r w:rsidRPr="00EA59C0">
        <w:rPr>
          <w:rFonts w:ascii="Arial" w:hAnsi="Arial" w:cs="Arial"/>
          <w:sz w:val="22"/>
          <w:szCs w:val="22"/>
        </w:rPr>
        <w:t>MP4</w:t>
      </w:r>
      <w:r w:rsidR="00C026A6" w:rsidRPr="00EA59C0">
        <w:rPr>
          <w:rFonts w:ascii="Arial" w:hAnsi="Arial" w:cs="Arial"/>
          <w:sz w:val="22"/>
          <w:szCs w:val="22"/>
        </w:rPr>
        <w:t xml:space="preserve"> </w:t>
      </w:r>
      <w:r w:rsidRPr="00EA59C0">
        <w:rPr>
          <w:rFonts w:ascii="Arial" w:hAnsi="Arial" w:cs="Arial"/>
          <w:sz w:val="22"/>
          <w:szCs w:val="22"/>
        </w:rPr>
        <w:t>(H.264),</w:t>
      </w:r>
      <w:r w:rsidR="00C026A6" w:rsidRPr="00EA59C0">
        <w:rPr>
          <w:rFonts w:ascii="Arial" w:hAnsi="Arial" w:cs="Arial"/>
          <w:sz w:val="22"/>
          <w:szCs w:val="22"/>
        </w:rPr>
        <w:t xml:space="preserve"> </w:t>
      </w:r>
      <w:r w:rsidRPr="00EA59C0">
        <w:rPr>
          <w:rFonts w:ascii="Arial" w:hAnsi="Arial" w:cs="Arial"/>
          <w:sz w:val="22"/>
          <w:szCs w:val="22"/>
        </w:rPr>
        <w:t>MOV,</w:t>
      </w:r>
      <w:r w:rsidR="00C026A6" w:rsidRPr="00EA59C0">
        <w:rPr>
          <w:rFonts w:ascii="Arial" w:hAnsi="Arial" w:cs="Arial"/>
          <w:sz w:val="22"/>
          <w:szCs w:val="22"/>
        </w:rPr>
        <w:t xml:space="preserve"> </w:t>
      </w:r>
      <w:r w:rsidRPr="00EA59C0">
        <w:rPr>
          <w:rFonts w:ascii="Arial" w:hAnsi="Arial" w:cs="Arial"/>
          <w:sz w:val="22"/>
          <w:szCs w:val="22"/>
        </w:rPr>
        <w:t>OGM,</w:t>
      </w:r>
      <w:r w:rsidR="00C026A6" w:rsidRPr="00EA59C0">
        <w:rPr>
          <w:rFonts w:ascii="Arial" w:hAnsi="Arial" w:cs="Arial"/>
          <w:sz w:val="22"/>
          <w:szCs w:val="22"/>
        </w:rPr>
        <w:t xml:space="preserve"> </w:t>
      </w:r>
      <w:r w:rsidRPr="00EA59C0">
        <w:rPr>
          <w:rFonts w:ascii="Arial" w:hAnsi="Arial" w:cs="Arial"/>
          <w:sz w:val="22"/>
          <w:szCs w:val="22"/>
        </w:rPr>
        <w:t>WEBM,</w:t>
      </w:r>
      <w:r w:rsidR="00C026A6" w:rsidRPr="00EA59C0">
        <w:rPr>
          <w:rFonts w:ascii="Arial" w:hAnsi="Arial" w:cs="Arial"/>
          <w:sz w:val="22"/>
          <w:szCs w:val="22"/>
        </w:rPr>
        <w:t xml:space="preserve"> </w:t>
      </w:r>
      <w:r w:rsidRPr="00EA59C0">
        <w:rPr>
          <w:rFonts w:ascii="Arial" w:hAnsi="Arial" w:cs="Arial"/>
          <w:sz w:val="22"/>
          <w:szCs w:val="22"/>
        </w:rPr>
        <w:t>FLV,</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AVI</w:t>
      </w:r>
    </w:p>
    <w:p w:rsidR="008826BE" w:rsidRPr="00EA59C0" w:rsidRDefault="008826BE" w:rsidP="00DB00BB">
      <w:pPr>
        <w:rPr>
          <w:rFonts w:ascii="Arial" w:hAnsi="Arial" w:cs="Arial"/>
          <w:sz w:val="22"/>
          <w:szCs w:val="22"/>
        </w:rPr>
      </w:pPr>
    </w:p>
    <w:p w:rsidR="008826BE" w:rsidRPr="00EA59C0" w:rsidRDefault="008826BE" w:rsidP="00080097">
      <w:pPr>
        <w:numPr>
          <w:ilvl w:val="0"/>
          <w:numId w:val="36"/>
        </w:numPr>
        <w:tabs>
          <w:tab w:val="num" w:pos="450"/>
        </w:tabs>
        <w:ind w:left="810"/>
        <w:rPr>
          <w:rFonts w:ascii="Arial" w:hAnsi="Arial" w:cs="Arial"/>
          <w:sz w:val="22"/>
          <w:szCs w:val="22"/>
        </w:rPr>
      </w:pPr>
      <w:r w:rsidRPr="00EA59C0">
        <w:rPr>
          <w:rFonts w:ascii="Arial" w:hAnsi="Arial" w:cs="Arial"/>
          <w:b/>
          <w:sz w:val="22"/>
          <w:szCs w:val="22"/>
        </w:rPr>
        <w:t>For</w:t>
      </w:r>
      <w:r w:rsidR="00C026A6" w:rsidRPr="00EA59C0">
        <w:rPr>
          <w:rFonts w:ascii="Arial" w:hAnsi="Arial" w:cs="Arial"/>
          <w:b/>
          <w:sz w:val="22"/>
          <w:szCs w:val="22"/>
        </w:rPr>
        <w:t xml:space="preserve"> </w:t>
      </w:r>
      <w:r w:rsidRPr="00EA59C0">
        <w:rPr>
          <w:rFonts w:ascii="Arial" w:hAnsi="Arial" w:cs="Arial"/>
          <w:b/>
          <w:sz w:val="22"/>
          <w:szCs w:val="22"/>
        </w:rPr>
        <w:t>audio</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Common</w:t>
      </w:r>
      <w:r w:rsidR="00C026A6" w:rsidRPr="00EA59C0">
        <w:rPr>
          <w:rFonts w:ascii="Arial" w:hAnsi="Arial" w:cs="Arial"/>
          <w:sz w:val="22"/>
          <w:szCs w:val="22"/>
        </w:rPr>
        <w:t xml:space="preserve"> </w:t>
      </w:r>
      <w:r w:rsidRPr="00EA59C0">
        <w:rPr>
          <w:rFonts w:ascii="Arial" w:hAnsi="Arial" w:cs="Arial"/>
          <w:sz w:val="22"/>
          <w:szCs w:val="22"/>
        </w:rPr>
        <w:t>audio</w:t>
      </w:r>
      <w:r w:rsidR="00C026A6" w:rsidRPr="00EA59C0">
        <w:rPr>
          <w:rFonts w:ascii="Arial" w:hAnsi="Arial" w:cs="Arial"/>
          <w:sz w:val="22"/>
          <w:szCs w:val="22"/>
        </w:rPr>
        <w:t xml:space="preserve"> </w:t>
      </w:r>
      <w:r w:rsidRPr="00EA59C0">
        <w:rPr>
          <w:rFonts w:ascii="Arial" w:hAnsi="Arial" w:cs="Arial"/>
          <w:sz w:val="22"/>
          <w:szCs w:val="22"/>
        </w:rPr>
        <w:t>formats</w:t>
      </w:r>
      <w:r w:rsidR="00C026A6" w:rsidRPr="00EA59C0">
        <w:rPr>
          <w:rFonts w:ascii="Arial" w:hAnsi="Arial" w:cs="Arial"/>
          <w:sz w:val="22"/>
          <w:szCs w:val="22"/>
        </w:rPr>
        <w:t xml:space="preserve"> </w:t>
      </w:r>
      <w:r w:rsidRPr="00EA59C0">
        <w:rPr>
          <w:rFonts w:ascii="Arial" w:hAnsi="Arial" w:cs="Arial"/>
          <w:sz w:val="22"/>
          <w:szCs w:val="22"/>
        </w:rPr>
        <w:t>include</w:t>
      </w:r>
      <w:r w:rsidR="00C026A6" w:rsidRPr="00EA59C0">
        <w:rPr>
          <w:rFonts w:ascii="Arial" w:hAnsi="Arial" w:cs="Arial"/>
          <w:sz w:val="22"/>
          <w:szCs w:val="22"/>
        </w:rPr>
        <w:t xml:space="preserve"> </w:t>
      </w:r>
      <w:r w:rsidRPr="00EA59C0">
        <w:rPr>
          <w:rFonts w:ascii="Arial" w:hAnsi="Arial" w:cs="Arial"/>
          <w:sz w:val="22"/>
          <w:szCs w:val="22"/>
        </w:rPr>
        <w:t>MP3,</w:t>
      </w:r>
      <w:r w:rsidR="00C026A6" w:rsidRPr="00EA59C0">
        <w:rPr>
          <w:rFonts w:ascii="Arial" w:hAnsi="Arial" w:cs="Arial"/>
          <w:sz w:val="22"/>
          <w:szCs w:val="22"/>
        </w:rPr>
        <w:t xml:space="preserve"> </w:t>
      </w:r>
      <w:r w:rsidRPr="00EA59C0">
        <w:rPr>
          <w:rFonts w:ascii="Arial" w:hAnsi="Arial" w:cs="Arial"/>
          <w:sz w:val="22"/>
          <w:szCs w:val="22"/>
        </w:rPr>
        <w:t>OGG,</w:t>
      </w:r>
      <w:r w:rsidR="00C026A6" w:rsidRPr="00EA59C0">
        <w:rPr>
          <w:rFonts w:ascii="Arial" w:hAnsi="Arial" w:cs="Arial"/>
          <w:sz w:val="22"/>
          <w:szCs w:val="22"/>
        </w:rPr>
        <w:t xml:space="preserve"> </w:t>
      </w:r>
      <w:r w:rsidRPr="00EA59C0">
        <w:rPr>
          <w:rFonts w:ascii="Arial" w:hAnsi="Arial" w:cs="Arial"/>
          <w:sz w:val="22"/>
          <w:szCs w:val="22"/>
        </w:rPr>
        <w:t>FLAC,</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WAV,</w:t>
      </w:r>
      <w:r w:rsidR="00C026A6" w:rsidRPr="00EA59C0">
        <w:rPr>
          <w:rFonts w:ascii="Arial" w:hAnsi="Arial" w:cs="Arial"/>
          <w:sz w:val="22"/>
          <w:szCs w:val="22"/>
        </w:rPr>
        <w:t xml:space="preserve"> </w:t>
      </w:r>
      <w:r w:rsidRPr="00EA59C0">
        <w:rPr>
          <w:rFonts w:ascii="Arial" w:hAnsi="Arial" w:cs="Arial"/>
          <w:sz w:val="22"/>
          <w:szCs w:val="22"/>
        </w:rPr>
        <w:t>Theora</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MP4.</w:t>
      </w:r>
      <w:r w:rsidR="00C026A6" w:rsidRPr="00EA59C0">
        <w:rPr>
          <w:rFonts w:ascii="Arial" w:hAnsi="Arial" w:cs="Arial"/>
          <w:sz w:val="22"/>
          <w:szCs w:val="22"/>
        </w:rPr>
        <w:t xml:space="preserve"> </w:t>
      </w:r>
      <w:r w:rsidRPr="00EA59C0">
        <w:rPr>
          <w:rFonts w:ascii="Arial" w:hAnsi="Arial" w:cs="Arial"/>
          <w:sz w:val="22"/>
          <w:szCs w:val="22"/>
        </w:rPr>
        <w:t>For</w:t>
      </w:r>
      <w:r w:rsidR="00C026A6" w:rsidRPr="00EA59C0">
        <w:rPr>
          <w:rFonts w:ascii="Arial" w:hAnsi="Arial" w:cs="Arial"/>
          <w:sz w:val="22"/>
          <w:szCs w:val="22"/>
        </w:rPr>
        <w:t xml:space="preserve"> </w:t>
      </w:r>
      <w:r w:rsidRPr="00EA59C0">
        <w:rPr>
          <w:rFonts w:ascii="Arial" w:hAnsi="Arial" w:cs="Arial"/>
          <w:sz w:val="22"/>
          <w:szCs w:val="22"/>
        </w:rPr>
        <w:t>audio-only</w:t>
      </w:r>
      <w:r w:rsidR="00C026A6" w:rsidRPr="00EA59C0">
        <w:rPr>
          <w:rFonts w:ascii="Arial" w:hAnsi="Arial" w:cs="Arial"/>
          <w:sz w:val="22"/>
          <w:szCs w:val="22"/>
        </w:rPr>
        <w:t xml:space="preserve"> </w:t>
      </w:r>
      <w:r w:rsidRPr="00EA59C0">
        <w:rPr>
          <w:rFonts w:ascii="Arial" w:hAnsi="Arial" w:cs="Arial"/>
          <w:sz w:val="22"/>
          <w:szCs w:val="22"/>
        </w:rPr>
        <w:t>files,</w:t>
      </w:r>
      <w:r w:rsidR="00C026A6" w:rsidRPr="00EA59C0">
        <w:rPr>
          <w:rFonts w:ascii="Arial" w:hAnsi="Arial" w:cs="Arial"/>
          <w:sz w:val="22"/>
          <w:szCs w:val="22"/>
        </w:rPr>
        <w:t xml:space="preserve"> </w:t>
      </w:r>
      <w:r w:rsidRPr="00EA59C0">
        <w:rPr>
          <w:rFonts w:ascii="Arial" w:hAnsi="Arial" w:cs="Arial"/>
          <w:sz w:val="22"/>
          <w:szCs w:val="22"/>
        </w:rPr>
        <w:t>exporting</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OGG</w:t>
      </w:r>
      <w:r w:rsidR="00C026A6" w:rsidRPr="00EA59C0">
        <w:rPr>
          <w:rFonts w:ascii="Arial" w:hAnsi="Arial" w:cs="Arial"/>
          <w:sz w:val="22"/>
          <w:szCs w:val="22"/>
        </w:rPr>
        <w:t xml:space="preserve"> </w:t>
      </w:r>
      <w:r w:rsidRPr="00EA59C0">
        <w:rPr>
          <w:rFonts w:ascii="Arial" w:hAnsi="Arial" w:cs="Arial"/>
          <w:sz w:val="22"/>
          <w:szCs w:val="22"/>
        </w:rPr>
        <w:t>Vorbis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MP3</w:t>
      </w:r>
      <w:r w:rsidR="00C026A6" w:rsidRPr="00EA59C0">
        <w:rPr>
          <w:rFonts w:ascii="Arial" w:hAnsi="Arial" w:cs="Arial"/>
          <w:sz w:val="22"/>
          <w:szCs w:val="22"/>
        </w:rPr>
        <w:t xml:space="preserve"> </w:t>
      </w:r>
      <w:r w:rsidRPr="00EA59C0">
        <w:rPr>
          <w:rFonts w:ascii="Arial" w:hAnsi="Arial" w:cs="Arial"/>
          <w:sz w:val="22"/>
          <w:szCs w:val="22"/>
        </w:rPr>
        <w:t>is</w:t>
      </w:r>
      <w:r w:rsidR="00C026A6" w:rsidRPr="00EA59C0">
        <w:rPr>
          <w:rFonts w:ascii="Arial" w:hAnsi="Arial" w:cs="Arial"/>
          <w:sz w:val="22"/>
          <w:szCs w:val="22"/>
        </w:rPr>
        <w:t xml:space="preserve"> </w:t>
      </w:r>
      <w:r w:rsidRPr="00EA59C0">
        <w:rPr>
          <w:rFonts w:ascii="Arial" w:hAnsi="Arial" w:cs="Arial"/>
          <w:sz w:val="22"/>
          <w:szCs w:val="22"/>
        </w:rPr>
        <w:t>recommended.</w:t>
      </w:r>
      <w:r w:rsidR="00C026A6" w:rsidRPr="00EA59C0">
        <w:rPr>
          <w:rFonts w:ascii="Arial" w:hAnsi="Arial" w:cs="Arial"/>
          <w:sz w:val="22"/>
          <w:szCs w:val="22"/>
        </w:rPr>
        <w:t xml:space="preserve"> </w:t>
      </w:r>
      <w:r w:rsidRPr="00EA59C0">
        <w:rPr>
          <w:rFonts w:ascii="Arial" w:hAnsi="Arial" w:cs="Arial"/>
          <w:sz w:val="22"/>
          <w:szCs w:val="22"/>
        </w:rPr>
        <w:t>Include</w:t>
      </w:r>
      <w:r w:rsidR="00C026A6" w:rsidRPr="00EA59C0">
        <w:rPr>
          <w:rFonts w:ascii="Arial" w:hAnsi="Arial" w:cs="Arial"/>
          <w:sz w:val="22"/>
          <w:szCs w:val="22"/>
        </w:rPr>
        <w:t xml:space="preserve"> </w:t>
      </w:r>
      <w:r w:rsidRPr="00EA59C0">
        <w:rPr>
          <w:rFonts w:ascii="Arial" w:hAnsi="Arial" w:cs="Arial"/>
          <w:sz w:val="22"/>
          <w:szCs w:val="22"/>
        </w:rPr>
        <w:t>high-resolution</w:t>
      </w:r>
      <w:r w:rsidR="00C026A6" w:rsidRPr="00EA59C0">
        <w:rPr>
          <w:rFonts w:ascii="Arial" w:hAnsi="Arial" w:cs="Arial"/>
          <w:sz w:val="22"/>
          <w:szCs w:val="22"/>
        </w:rPr>
        <w:t xml:space="preserve"> </w:t>
      </w:r>
      <w:r w:rsidRPr="00EA59C0">
        <w:rPr>
          <w:rFonts w:ascii="Arial" w:hAnsi="Arial" w:cs="Arial"/>
          <w:sz w:val="22"/>
          <w:szCs w:val="22"/>
        </w:rPr>
        <w:t>versions</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videos</w:t>
      </w:r>
      <w:r w:rsidR="00C026A6" w:rsidRPr="00EA59C0">
        <w:rPr>
          <w:rFonts w:ascii="Arial" w:hAnsi="Arial" w:cs="Arial"/>
          <w:sz w:val="22"/>
          <w:szCs w:val="22"/>
        </w:rPr>
        <w:t xml:space="preserve"> </w:t>
      </w:r>
      <w:r w:rsidRPr="00EA59C0">
        <w:rPr>
          <w:rFonts w:ascii="Arial" w:hAnsi="Arial" w:cs="Arial"/>
          <w:sz w:val="22"/>
          <w:szCs w:val="22"/>
        </w:rPr>
        <w:t>where</w:t>
      </w:r>
      <w:r w:rsidR="00C026A6" w:rsidRPr="00EA59C0">
        <w:rPr>
          <w:rFonts w:ascii="Arial" w:hAnsi="Arial" w:cs="Arial"/>
          <w:sz w:val="22"/>
          <w:szCs w:val="22"/>
        </w:rPr>
        <w:t xml:space="preserve"> </w:t>
      </w:r>
      <w:r w:rsidRPr="00EA59C0">
        <w:rPr>
          <w:rFonts w:ascii="Arial" w:hAnsi="Arial" w:cs="Arial"/>
          <w:sz w:val="22"/>
          <w:szCs w:val="22"/>
        </w:rPr>
        <w:t>possible.</w:t>
      </w:r>
    </w:p>
    <w:p w:rsidR="008826BE" w:rsidRPr="00EA59C0" w:rsidRDefault="008826BE" w:rsidP="00DB00BB">
      <w:pPr>
        <w:ind w:left="1440"/>
        <w:rPr>
          <w:rFonts w:ascii="Arial" w:hAnsi="Arial" w:cs="Arial"/>
          <w:sz w:val="22"/>
          <w:szCs w:val="22"/>
        </w:rPr>
      </w:pPr>
    </w:p>
    <w:p w:rsidR="008826BE" w:rsidRPr="00EA59C0" w:rsidRDefault="008826BE" w:rsidP="00DB00BB">
      <w:pPr>
        <w:ind w:left="1440"/>
        <w:rPr>
          <w:rFonts w:ascii="Arial" w:hAnsi="Arial" w:cs="Arial"/>
          <w:sz w:val="22"/>
          <w:szCs w:val="22"/>
        </w:rPr>
      </w:pPr>
    </w:p>
    <w:p w:rsidR="008826BE" w:rsidRPr="00EA59C0" w:rsidRDefault="008826BE" w:rsidP="00DB00BB">
      <w:pPr>
        <w:rPr>
          <w:rFonts w:ascii="Arial" w:hAnsi="Arial" w:cs="Arial"/>
          <w:b/>
          <w:bCs/>
          <w:sz w:val="22"/>
          <w:szCs w:val="22"/>
        </w:rPr>
      </w:pPr>
      <w:r w:rsidRPr="00EA59C0">
        <w:rPr>
          <w:rFonts w:ascii="Arial" w:hAnsi="Arial" w:cs="Arial"/>
          <w:b/>
          <w:bCs/>
          <w:sz w:val="22"/>
          <w:szCs w:val="22"/>
        </w:rPr>
        <w:t>Packaging</w:t>
      </w:r>
      <w:r w:rsidR="00C026A6" w:rsidRPr="00EA59C0">
        <w:rPr>
          <w:rFonts w:ascii="Arial" w:hAnsi="Arial" w:cs="Arial"/>
          <w:b/>
          <w:bCs/>
          <w:sz w:val="22"/>
          <w:szCs w:val="22"/>
        </w:rPr>
        <w:t xml:space="preserve"> </w:t>
      </w:r>
      <w:r w:rsidRPr="00EA59C0">
        <w:rPr>
          <w:rFonts w:ascii="Arial" w:hAnsi="Arial" w:cs="Arial"/>
          <w:b/>
          <w:bCs/>
          <w:sz w:val="22"/>
          <w:szCs w:val="22"/>
        </w:rPr>
        <w:t>formats</w:t>
      </w:r>
      <w:r w:rsidR="00C026A6" w:rsidRPr="00EA59C0">
        <w:rPr>
          <w:rFonts w:ascii="Arial" w:hAnsi="Arial" w:cs="Arial"/>
          <w:b/>
          <w:bCs/>
          <w:sz w:val="22"/>
          <w:szCs w:val="22"/>
        </w:rPr>
        <w:t xml:space="preserve"> </w:t>
      </w:r>
      <w:r w:rsidRPr="00EA59C0">
        <w:rPr>
          <w:rFonts w:ascii="Arial" w:hAnsi="Arial" w:cs="Arial"/>
          <w:b/>
          <w:bCs/>
          <w:sz w:val="22"/>
          <w:szCs w:val="22"/>
        </w:rPr>
        <w:t>for</w:t>
      </w:r>
      <w:r w:rsidR="00C026A6" w:rsidRPr="00EA59C0">
        <w:rPr>
          <w:rFonts w:ascii="Arial" w:hAnsi="Arial" w:cs="Arial"/>
          <w:b/>
          <w:bCs/>
          <w:sz w:val="22"/>
          <w:szCs w:val="22"/>
        </w:rPr>
        <w:t xml:space="preserve"> </w:t>
      </w:r>
      <w:r w:rsidRPr="00EA59C0">
        <w:rPr>
          <w:rFonts w:ascii="Arial" w:hAnsi="Arial" w:cs="Arial"/>
          <w:b/>
          <w:bCs/>
          <w:sz w:val="22"/>
          <w:szCs w:val="22"/>
        </w:rPr>
        <w:t>course</w:t>
      </w:r>
      <w:r w:rsidR="00C026A6" w:rsidRPr="00EA59C0">
        <w:rPr>
          <w:rFonts w:ascii="Arial" w:hAnsi="Arial" w:cs="Arial"/>
          <w:b/>
          <w:bCs/>
          <w:sz w:val="22"/>
          <w:szCs w:val="22"/>
        </w:rPr>
        <w:t xml:space="preserve"> </w:t>
      </w:r>
      <w:r w:rsidRPr="00EA59C0">
        <w:rPr>
          <w:rFonts w:ascii="Arial" w:hAnsi="Arial" w:cs="Arial"/>
          <w:b/>
          <w:bCs/>
          <w:sz w:val="22"/>
          <w:szCs w:val="22"/>
        </w:rPr>
        <w:t>level</w:t>
      </w:r>
      <w:r w:rsidR="00C026A6" w:rsidRPr="00EA59C0">
        <w:rPr>
          <w:rFonts w:ascii="Arial" w:hAnsi="Arial" w:cs="Arial"/>
          <w:b/>
          <w:bCs/>
          <w:sz w:val="22"/>
          <w:szCs w:val="22"/>
        </w:rPr>
        <w:t xml:space="preserve"> </w:t>
      </w:r>
      <w:r w:rsidRPr="00EA59C0">
        <w:rPr>
          <w:rFonts w:ascii="Arial" w:hAnsi="Arial" w:cs="Arial"/>
          <w:b/>
          <w:bCs/>
          <w:sz w:val="22"/>
          <w:szCs w:val="22"/>
        </w:rPr>
        <w:t>resources</w:t>
      </w:r>
    </w:p>
    <w:p w:rsidR="008826BE" w:rsidRPr="00EA59C0" w:rsidRDefault="008826BE" w:rsidP="00DB00BB">
      <w:pPr>
        <w:rPr>
          <w:rFonts w:ascii="Arial" w:hAnsi="Arial" w:cs="Arial"/>
          <w:sz w:val="22"/>
          <w:szCs w:val="22"/>
        </w:rPr>
      </w:pPr>
      <w:r w:rsidRPr="00EA59C0">
        <w:rPr>
          <w:rFonts w:ascii="Arial" w:hAnsi="Arial" w:cs="Arial"/>
          <w:sz w:val="22"/>
          <w:szCs w:val="22"/>
        </w:rPr>
        <w:t>Many</w:t>
      </w:r>
      <w:r w:rsidR="00C026A6" w:rsidRPr="00EA59C0">
        <w:rPr>
          <w:rFonts w:ascii="Arial" w:hAnsi="Arial" w:cs="Arial"/>
          <w:sz w:val="22"/>
          <w:szCs w:val="22"/>
        </w:rPr>
        <w:t xml:space="preserve"> </w:t>
      </w:r>
      <w:r w:rsidRPr="00EA59C0">
        <w:rPr>
          <w:rFonts w:ascii="Arial" w:hAnsi="Arial" w:cs="Arial"/>
          <w:sz w:val="22"/>
          <w:szCs w:val="22"/>
        </w:rPr>
        <w:t>TAACCCT</w:t>
      </w:r>
      <w:r w:rsidR="00C026A6" w:rsidRPr="00EA59C0">
        <w:rPr>
          <w:rFonts w:ascii="Arial" w:hAnsi="Arial" w:cs="Arial"/>
          <w:sz w:val="22"/>
          <w:szCs w:val="22"/>
        </w:rPr>
        <w:t xml:space="preserve"> </w:t>
      </w:r>
      <w:r w:rsidRPr="00EA59C0">
        <w:rPr>
          <w:rFonts w:ascii="Arial" w:hAnsi="Arial" w:cs="Arial"/>
          <w:sz w:val="22"/>
          <w:szCs w:val="22"/>
        </w:rPr>
        <w:t>grantees</w:t>
      </w:r>
      <w:r w:rsidR="00C026A6" w:rsidRPr="00EA59C0">
        <w:rPr>
          <w:rFonts w:ascii="Arial" w:hAnsi="Arial" w:cs="Arial"/>
          <w:sz w:val="22"/>
          <w:szCs w:val="22"/>
        </w:rPr>
        <w:t xml:space="preserve"> </w:t>
      </w:r>
      <w:r w:rsidRPr="00EA59C0">
        <w:rPr>
          <w:rFonts w:ascii="Arial" w:hAnsi="Arial" w:cs="Arial"/>
          <w:sz w:val="22"/>
          <w:szCs w:val="22"/>
        </w:rPr>
        <w:t>will</w:t>
      </w:r>
      <w:r w:rsidR="00C026A6" w:rsidRPr="00EA59C0">
        <w:rPr>
          <w:rFonts w:ascii="Arial" w:hAnsi="Arial" w:cs="Arial"/>
          <w:sz w:val="22"/>
          <w:szCs w:val="22"/>
        </w:rPr>
        <w:t xml:space="preserve"> </w:t>
      </w:r>
      <w:r w:rsidRPr="00EA59C0">
        <w:rPr>
          <w:rFonts w:ascii="Arial" w:hAnsi="Arial" w:cs="Arial"/>
          <w:sz w:val="22"/>
          <w:szCs w:val="22"/>
        </w:rPr>
        <w:t>deploy</w:t>
      </w:r>
      <w:r w:rsidR="00C026A6" w:rsidRPr="00EA59C0">
        <w:rPr>
          <w:rFonts w:ascii="Arial" w:hAnsi="Arial" w:cs="Arial"/>
          <w:sz w:val="22"/>
          <w:szCs w:val="22"/>
        </w:rPr>
        <w:t xml:space="preserve"> </w:t>
      </w:r>
      <w:r w:rsidRPr="00EA59C0">
        <w:rPr>
          <w:rFonts w:ascii="Arial" w:hAnsi="Arial" w:cs="Arial"/>
          <w:sz w:val="22"/>
          <w:szCs w:val="22"/>
        </w:rPr>
        <w:t>courses</w:t>
      </w:r>
      <w:r w:rsidR="00C026A6" w:rsidRPr="00EA59C0">
        <w:rPr>
          <w:rFonts w:ascii="Arial" w:hAnsi="Arial" w:cs="Arial"/>
          <w:sz w:val="22"/>
          <w:szCs w:val="22"/>
        </w:rPr>
        <w:t xml:space="preserve"> </w:t>
      </w:r>
      <w:r w:rsidRPr="00EA59C0">
        <w:rPr>
          <w:rFonts w:ascii="Arial" w:hAnsi="Arial" w:cs="Arial"/>
          <w:sz w:val="22"/>
          <w:szCs w:val="22"/>
        </w:rPr>
        <w:t>through</w:t>
      </w:r>
      <w:r w:rsidR="00C026A6" w:rsidRPr="00EA59C0">
        <w:rPr>
          <w:rFonts w:ascii="Arial" w:hAnsi="Arial" w:cs="Arial"/>
          <w:sz w:val="22"/>
          <w:szCs w:val="22"/>
        </w:rPr>
        <w:t xml:space="preserve"> </w:t>
      </w:r>
      <w:r w:rsidRPr="00EA59C0">
        <w:rPr>
          <w:rFonts w:ascii="Arial" w:hAnsi="Arial" w:cs="Arial"/>
          <w:sz w:val="22"/>
          <w:szCs w:val="22"/>
        </w:rPr>
        <w:t>a</w:t>
      </w:r>
      <w:r w:rsidR="00C026A6" w:rsidRPr="00EA59C0">
        <w:rPr>
          <w:rFonts w:ascii="Arial" w:hAnsi="Arial" w:cs="Arial"/>
          <w:sz w:val="22"/>
          <w:szCs w:val="22"/>
        </w:rPr>
        <w:t xml:space="preserve"> </w:t>
      </w:r>
      <w:r w:rsidRPr="00EA59C0">
        <w:rPr>
          <w:rFonts w:ascii="Arial" w:hAnsi="Arial" w:cs="Arial"/>
          <w:sz w:val="22"/>
          <w:szCs w:val="22"/>
        </w:rPr>
        <w:t>Learning</w:t>
      </w:r>
      <w:r w:rsidR="00C026A6" w:rsidRPr="00EA59C0">
        <w:rPr>
          <w:rFonts w:ascii="Arial" w:hAnsi="Arial" w:cs="Arial"/>
          <w:sz w:val="22"/>
          <w:szCs w:val="22"/>
        </w:rPr>
        <w:t xml:space="preserve"> </w:t>
      </w:r>
      <w:r w:rsidRPr="00EA59C0">
        <w:rPr>
          <w:rFonts w:ascii="Arial" w:hAnsi="Arial" w:cs="Arial"/>
          <w:sz w:val="22"/>
          <w:szCs w:val="22"/>
        </w:rPr>
        <w:t>Management</w:t>
      </w:r>
      <w:r w:rsidR="00C026A6" w:rsidRPr="00EA59C0">
        <w:rPr>
          <w:rFonts w:ascii="Arial" w:hAnsi="Arial" w:cs="Arial"/>
          <w:sz w:val="22"/>
          <w:szCs w:val="22"/>
        </w:rPr>
        <w:t xml:space="preserve"> </w:t>
      </w:r>
      <w:r w:rsidRPr="00EA59C0">
        <w:rPr>
          <w:rFonts w:ascii="Arial" w:hAnsi="Arial" w:cs="Arial"/>
          <w:sz w:val="22"/>
          <w:szCs w:val="22"/>
        </w:rPr>
        <w:t>System.</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maximize</w:t>
      </w:r>
      <w:r w:rsidR="00C026A6" w:rsidRPr="00EA59C0">
        <w:rPr>
          <w:rFonts w:ascii="Arial" w:hAnsi="Arial" w:cs="Arial"/>
          <w:sz w:val="22"/>
          <w:szCs w:val="22"/>
        </w:rPr>
        <w:t xml:space="preserve"> </w:t>
      </w:r>
      <w:r w:rsidRPr="00EA59C0">
        <w:rPr>
          <w:rFonts w:ascii="Arial" w:hAnsi="Arial" w:cs="Arial"/>
          <w:sz w:val="22"/>
          <w:szCs w:val="22"/>
        </w:rPr>
        <w:t>interoperability</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courses</w:t>
      </w:r>
      <w:r w:rsidR="00C026A6" w:rsidRPr="00EA59C0">
        <w:rPr>
          <w:rFonts w:ascii="Arial" w:hAnsi="Arial" w:cs="Arial"/>
          <w:sz w:val="22"/>
          <w:szCs w:val="22"/>
        </w:rPr>
        <w:t xml:space="preserve"> </w:t>
      </w:r>
      <w:r w:rsidRPr="00EA59C0">
        <w:rPr>
          <w:rFonts w:ascii="Arial" w:hAnsi="Arial" w:cs="Arial"/>
          <w:sz w:val="22"/>
          <w:szCs w:val="22"/>
        </w:rPr>
        <w:t>between</w:t>
      </w:r>
      <w:r w:rsidR="00C026A6" w:rsidRPr="00EA59C0">
        <w:rPr>
          <w:rFonts w:ascii="Arial" w:hAnsi="Arial" w:cs="Arial"/>
          <w:sz w:val="22"/>
          <w:szCs w:val="22"/>
        </w:rPr>
        <w:t xml:space="preserve"> </w:t>
      </w:r>
      <w:r w:rsidRPr="00EA59C0">
        <w:rPr>
          <w:rFonts w:ascii="Arial" w:hAnsi="Arial" w:cs="Arial"/>
          <w:sz w:val="22"/>
          <w:szCs w:val="22"/>
        </w:rPr>
        <w:t>different</w:t>
      </w:r>
      <w:r w:rsidR="00C026A6" w:rsidRPr="00EA59C0">
        <w:rPr>
          <w:rFonts w:ascii="Arial" w:hAnsi="Arial" w:cs="Arial"/>
          <w:sz w:val="22"/>
          <w:szCs w:val="22"/>
        </w:rPr>
        <w:t xml:space="preserve"> </w:t>
      </w:r>
      <w:r w:rsidRPr="00EA59C0">
        <w:rPr>
          <w:rFonts w:ascii="Arial" w:hAnsi="Arial" w:cs="Arial"/>
          <w:sz w:val="22"/>
          <w:szCs w:val="22"/>
        </w:rPr>
        <w:t>learning</w:t>
      </w:r>
      <w:r w:rsidR="00C026A6" w:rsidRPr="00EA59C0">
        <w:rPr>
          <w:rFonts w:ascii="Arial" w:hAnsi="Arial" w:cs="Arial"/>
          <w:sz w:val="22"/>
          <w:szCs w:val="22"/>
        </w:rPr>
        <w:t xml:space="preserve"> </w:t>
      </w:r>
      <w:r w:rsidRPr="00EA59C0">
        <w:rPr>
          <w:rFonts w:ascii="Arial" w:hAnsi="Arial" w:cs="Arial"/>
          <w:sz w:val="22"/>
          <w:szCs w:val="22"/>
        </w:rPr>
        <w:t>systems,</w:t>
      </w:r>
      <w:r w:rsidR="00C026A6" w:rsidRPr="00EA59C0">
        <w:rPr>
          <w:rFonts w:ascii="Arial" w:hAnsi="Arial" w:cs="Arial"/>
          <w:sz w:val="22"/>
          <w:szCs w:val="22"/>
        </w:rPr>
        <w:t xml:space="preserve"> </w:t>
      </w:r>
      <w:r w:rsidRPr="00EA59C0">
        <w:rPr>
          <w:rFonts w:ascii="Arial" w:hAnsi="Arial" w:cs="Arial"/>
          <w:sz w:val="22"/>
          <w:szCs w:val="22"/>
        </w:rPr>
        <w:t>grantees</w:t>
      </w:r>
      <w:r w:rsidR="00C026A6" w:rsidRPr="00EA59C0">
        <w:rPr>
          <w:rFonts w:ascii="Arial" w:hAnsi="Arial" w:cs="Arial"/>
          <w:sz w:val="22"/>
          <w:szCs w:val="22"/>
        </w:rPr>
        <w:t xml:space="preserve"> </w:t>
      </w:r>
      <w:r w:rsidRPr="00EA59C0">
        <w:rPr>
          <w:rFonts w:ascii="Arial" w:hAnsi="Arial" w:cs="Arial"/>
          <w:sz w:val="22"/>
          <w:szCs w:val="22"/>
        </w:rPr>
        <w:t>should</w:t>
      </w:r>
      <w:r w:rsidR="00C026A6" w:rsidRPr="00EA59C0">
        <w:rPr>
          <w:rFonts w:ascii="Arial" w:hAnsi="Arial" w:cs="Arial"/>
          <w:sz w:val="22"/>
          <w:szCs w:val="22"/>
        </w:rPr>
        <w:t xml:space="preserve"> </w:t>
      </w:r>
      <w:r w:rsidRPr="00EA59C0">
        <w:rPr>
          <w:rFonts w:ascii="Arial" w:hAnsi="Arial" w:cs="Arial"/>
          <w:sz w:val="22"/>
          <w:szCs w:val="22"/>
        </w:rPr>
        <w:t>submit</w:t>
      </w:r>
      <w:r w:rsidR="00C026A6" w:rsidRPr="00EA59C0">
        <w:rPr>
          <w:rFonts w:ascii="Arial" w:hAnsi="Arial" w:cs="Arial"/>
          <w:sz w:val="22"/>
          <w:szCs w:val="22"/>
        </w:rPr>
        <w:t xml:space="preserve"> </w:t>
      </w:r>
      <w:r w:rsidRPr="00EA59C0">
        <w:rPr>
          <w:rFonts w:ascii="Arial" w:hAnsi="Arial" w:cs="Arial"/>
          <w:sz w:val="22"/>
          <w:szCs w:val="22"/>
        </w:rPr>
        <w:t>course</w:t>
      </w:r>
      <w:r w:rsidR="00C026A6" w:rsidRPr="00EA59C0">
        <w:rPr>
          <w:rFonts w:ascii="Arial" w:hAnsi="Arial" w:cs="Arial"/>
          <w:sz w:val="22"/>
          <w:szCs w:val="22"/>
        </w:rPr>
        <w:t xml:space="preserve"> </w:t>
      </w:r>
      <w:r w:rsidRPr="00EA59C0">
        <w:rPr>
          <w:rFonts w:ascii="Arial" w:hAnsi="Arial" w:cs="Arial"/>
          <w:sz w:val="22"/>
          <w:szCs w:val="22"/>
        </w:rPr>
        <w:t>package</w:t>
      </w:r>
      <w:r w:rsidR="00C026A6" w:rsidRPr="00EA59C0">
        <w:rPr>
          <w:rFonts w:ascii="Arial" w:hAnsi="Arial" w:cs="Arial"/>
          <w:sz w:val="22"/>
          <w:szCs w:val="22"/>
        </w:rPr>
        <w:t xml:space="preserve"> </w:t>
      </w:r>
      <w:r w:rsidRPr="00EA59C0">
        <w:rPr>
          <w:rFonts w:ascii="Arial" w:hAnsi="Arial" w:cs="Arial"/>
          <w:sz w:val="22"/>
          <w:szCs w:val="22"/>
        </w:rPr>
        <w:t>files</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Department</w:t>
      </w:r>
      <w:r w:rsidR="00C026A6" w:rsidRPr="00EA59C0">
        <w:rPr>
          <w:rFonts w:ascii="Arial" w:hAnsi="Arial" w:cs="Arial"/>
          <w:sz w:val="22"/>
          <w:szCs w:val="22"/>
        </w:rPr>
        <w:t xml:space="preserve"> </w:t>
      </w:r>
      <w:r w:rsidRPr="00EA59C0">
        <w:rPr>
          <w:rFonts w:ascii="Arial" w:hAnsi="Arial" w:cs="Arial"/>
          <w:sz w:val="22"/>
          <w:szCs w:val="22"/>
        </w:rPr>
        <w:t>(including</w:t>
      </w:r>
      <w:r w:rsidR="00C026A6" w:rsidRPr="00EA59C0">
        <w:rPr>
          <w:rFonts w:ascii="Arial" w:hAnsi="Arial" w:cs="Arial"/>
          <w:sz w:val="22"/>
          <w:szCs w:val="22"/>
        </w:rPr>
        <w:t xml:space="preserve"> </w:t>
      </w:r>
      <w:r w:rsidRPr="00EA59C0">
        <w:rPr>
          <w:rFonts w:ascii="Arial" w:hAnsi="Arial" w:cs="Arial"/>
          <w:sz w:val="22"/>
          <w:szCs w:val="22"/>
        </w:rPr>
        <w:t>all</w:t>
      </w:r>
      <w:r w:rsidR="00C026A6" w:rsidRPr="00EA59C0">
        <w:rPr>
          <w:rFonts w:ascii="Arial" w:hAnsi="Arial" w:cs="Arial"/>
          <w:sz w:val="22"/>
          <w:szCs w:val="22"/>
        </w:rPr>
        <w:t xml:space="preserve"> </w:t>
      </w:r>
      <w:r w:rsidRPr="00EA59C0">
        <w:rPr>
          <w:rFonts w:ascii="Arial" w:hAnsi="Arial" w:cs="Arial"/>
          <w:sz w:val="22"/>
          <w:szCs w:val="22"/>
        </w:rPr>
        <w:t>assessments</w:t>
      </w:r>
      <w:r w:rsidR="00C026A6" w:rsidRPr="00EA59C0">
        <w:rPr>
          <w:rFonts w:ascii="Arial" w:hAnsi="Arial" w:cs="Arial"/>
          <w:sz w:val="22"/>
          <w:szCs w:val="22"/>
        </w:rPr>
        <w:t xml:space="preserve"> </w:t>
      </w:r>
      <w:r w:rsidRPr="00EA59C0">
        <w:rPr>
          <w:rFonts w:ascii="Arial" w:hAnsi="Arial" w:cs="Arial"/>
          <w:sz w:val="22"/>
          <w:szCs w:val="22"/>
        </w:rPr>
        <w:t>and/or</w:t>
      </w:r>
      <w:r w:rsidR="00C026A6" w:rsidRPr="00EA59C0">
        <w:rPr>
          <w:rFonts w:ascii="Arial" w:hAnsi="Arial" w:cs="Arial"/>
          <w:sz w:val="22"/>
          <w:szCs w:val="22"/>
        </w:rPr>
        <w:t xml:space="preserve"> </w:t>
      </w:r>
      <w:r w:rsidRPr="00EA59C0">
        <w:rPr>
          <w:rFonts w:ascii="Arial" w:hAnsi="Arial" w:cs="Arial"/>
          <w:sz w:val="22"/>
          <w:szCs w:val="22"/>
        </w:rPr>
        <w:t>other</w:t>
      </w:r>
      <w:r w:rsidR="00C026A6" w:rsidRPr="00EA59C0">
        <w:rPr>
          <w:rFonts w:ascii="Arial" w:hAnsi="Arial" w:cs="Arial"/>
          <w:sz w:val="22"/>
          <w:szCs w:val="22"/>
        </w:rPr>
        <w:t xml:space="preserve"> </w:t>
      </w:r>
      <w:r w:rsidRPr="00EA59C0">
        <w:rPr>
          <w:rFonts w:ascii="Arial" w:hAnsi="Arial" w:cs="Arial"/>
          <w:sz w:val="22"/>
          <w:szCs w:val="22"/>
        </w:rPr>
        <w:t>content</w:t>
      </w:r>
      <w:r w:rsidR="00C026A6" w:rsidRPr="00EA59C0">
        <w:rPr>
          <w:rFonts w:ascii="Arial" w:hAnsi="Arial" w:cs="Arial"/>
          <w:sz w:val="22"/>
          <w:szCs w:val="22"/>
        </w:rPr>
        <w:t xml:space="preserve"> </w:t>
      </w:r>
      <w:r w:rsidRPr="00EA59C0">
        <w:rPr>
          <w:rFonts w:ascii="Arial" w:hAnsi="Arial" w:cs="Arial"/>
          <w:sz w:val="22"/>
          <w:szCs w:val="22"/>
        </w:rPr>
        <w:t>that</w:t>
      </w:r>
      <w:r w:rsidR="00C026A6" w:rsidRPr="00EA59C0">
        <w:rPr>
          <w:rFonts w:ascii="Arial" w:hAnsi="Arial" w:cs="Arial"/>
          <w:sz w:val="22"/>
          <w:szCs w:val="22"/>
        </w:rPr>
        <w:t xml:space="preserve"> </w:t>
      </w:r>
      <w:r w:rsidRPr="00EA59C0">
        <w:rPr>
          <w:rFonts w:ascii="Arial" w:hAnsi="Arial" w:cs="Arial"/>
          <w:sz w:val="22"/>
          <w:szCs w:val="22"/>
        </w:rPr>
        <w:t>result</w:t>
      </w:r>
      <w:r w:rsidR="00C026A6" w:rsidRPr="00EA59C0">
        <w:rPr>
          <w:rFonts w:ascii="Arial" w:hAnsi="Arial" w:cs="Arial"/>
          <w:sz w:val="22"/>
          <w:szCs w:val="22"/>
        </w:rPr>
        <w:t xml:space="preserve"> </w:t>
      </w: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a</w:t>
      </w:r>
      <w:r w:rsidR="00C026A6" w:rsidRPr="00EA59C0">
        <w:rPr>
          <w:rFonts w:ascii="Arial" w:hAnsi="Arial" w:cs="Arial"/>
          <w:sz w:val="22"/>
          <w:szCs w:val="22"/>
        </w:rPr>
        <w:t xml:space="preserve"> </w:t>
      </w:r>
      <w:r w:rsidRPr="00EA59C0">
        <w:rPr>
          <w:rFonts w:ascii="Arial" w:hAnsi="Arial" w:cs="Arial"/>
          <w:sz w:val="22"/>
          <w:szCs w:val="22"/>
        </w:rPr>
        <w:t>student</w:t>
      </w:r>
      <w:r w:rsidR="00C026A6" w:rsidRPr="00EA59C0">
        <w:rPr>
          <w:rFonts w:ascii="Arial" w:hAnsi="Arial" w:cs="Arial"/>
          <w:sz w:val="22"/>
          <w:szCs w:val="22"/>
        </w:rPr>
        <w:t xml:space="preserve"> </w:t>
      </w:r>
      <w:r w:rsidRPr="00EA59C0">
        <w:rPr>
          <w:rFonts w:ascii="Arial" w:hAnsi="Arial" w:cs="Arial"/>
          <w:sz w:val="22"/>
          <w:szCs w:val="22"/>
        </w:rPr>
        <w:t>score</w:t>
      </w:r>
      <w:r w:rsidR="00C026A6" w:rsidRPr="00EA59C0">
        <w:rPr>
          <w:rFonts w:ascii="Arial" w:hAnsi="Arial" w:cs="Arial"/>
          <w:sz w:val="22"/>
          <w:szCs w:val="22"/>
        </w:rPr>
        <w:t xml:space="preserve"> </w:t>
      </w:r>
      <w:r w:rsidRPr="00EA59C0">
        <w:rPr>
          <w:rFonts w:ascii="Arial" w:hAnsi="Arial" w:cs="Arial"/>
          <w:sz w:val="22"/>
          <w:szCs w:val="22"/>
        </w:rPr>
        <w:t>or</w:t>
      </w:r>
      <w:r w:rsidR="00C026A6" w:rsidRPr="00EA59C0">
        <w:rPr>
          <w:rFonts w:ascii="Arial" w:hAnsi="Arial" w:cs="Arial"/>
          <w:sz w:val="22"/>
          <w:szCs w:val="22"/>
        </w:rPr>
        <w:t xml:space="preserve"> </w:t>
      </w:r>
      <w:r w:rsidRPr="00EA59C0">
        <w:rPr>
          <w:rFonts w:ascii="Arial" w:hAnsi="Arial" w:cs="Arial"/>
          <w:sz w:val="22"/>
          <w:szCs w:val="22"/>
        </w:rPr>
        <w:t>grade)</w:t>
      </w:r>
      <w:r w:rsidR="00C026A6" w:rsidRPr="00EA59C0">
        <w:rPr>
          <w:rFonts w:ascii="Arial" w:hAnsi="Arial" w:cs="Arial"/>
          <w:sz w:val="22"/>
          <w:szCs w:val="22"/>
        </w:rPr>
        <w:t xml:space="preserve"> </w:t>
      </w: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conformity</w:t>
      </w:r>
      <w:r w:rsidR="00C026A6" w:rsidRPr="00EA59C0">
        <w:rPr>
          <w:rFonts w:ascii="Arial" w:hAnsi="Arial" w:cs="Arial"/>
          <w:sz w:val="22"/>
          <w:szCs w:val="22"/>
        </w:rPr>
        <w:t xml:space="preserve"> </w:t>
      </w:r>
      <w:r w:rsidRPr="00EA59C0">
        <w:rPr>
          <w:rFonts w:ascii="Arial" w:hAnsi="Arial" w:cs="Arial"/>
          <w:sz w:val="22"/>
          <w:szCs w:val="22"/>
        </w:rPr>
        <w:t>with</w:t>
      </w:r>
      <w:r w:rsidR="00C026A6" w:rsidRPr="00EA59C0">
        <w:rPr>
          <w:rFonts w:ascii="Arial" w:hAnsi="Arial" w:cs="Arial"/>
          <w:sz w:val="22"/>
          <w:szCs w:val="22"/>
        </w:rPr>
        <w:t xml:space="preserve"> </w:t>
      </w:r>
      <w:r w:rsidRPr="00EA59C0">
        <w:rPr>
          <w:rFonts w:ascii="Arial" w:hAnsi="Arial" w:cs="Arial"/>
          <w:sz w:val="22"/>
          <w:szCs w:val="22"/>
        </w:rPr>
        <w:t>industry-leading</w:t>
      </w:r>
      <w:r w:rsidR="00C026A6" w:rsidRPr="00EA59C0">
        <w:rPr>
          <w:rFonts w:ascii="Arial" w:hAnsi="Arial" w:cs="Arial"/>
          <w:sz w:val="22"/>
          <w:szCs w:val="22"/>
        </w:rPr>
        <w:t xml:space="preserve"> </w:t>
      </w:r>
      <w:r w:rsidRPr="00EA59C0">
        <w:rPr>
          <w:rFonts w:ascii="Arial" w:hAnsi="Arial" w:cs="Arial"/>
          <w:sz w:val="22"/>
          <w:szCs w:val="22"/>
        </w:rPr>
        <w:t>e-learning</w:t>
      </w:r>
      <w:r w:rsidR="00C026A6" w:rsidRPr="00EA59C0">
        <w:rPr>
          <w:rFonts w:ascii="Arial" w:hAnsi="Arial" w:cs="Arial"/>
          <w:sz w:val="22"/>
          <w:szCs w:val="22"/>
        </w:rPr>
        <w:t xml:space="preserve"> </w:t>
      </w:r>
      <w:r w:rsidRPr="00EA59C0">
        <w:rPr>
          <w:rFonts w:ascii="Arial" w:hAnsi="Arial" w:cs="Arial"/>
          <w:sz w:val="22"/>
          <w:szCs w:val="22"/>
        </w:rPr>
        <w:t>open</w:t>
      </w:r>
      <w:r w:rsidR="00C026A6" w:rsidRPr="00EA59C0">
        <w:rPr>
          <w:rFonts w:ascii="Arial" w:hAnsi="Arial" w:cs="Arial"/>
          <w:sz w:val="22"/>
          <w:szCs w:val="22"/>
        </w:rPr>
        <w:t xml:space="preserve"> </w:t>
      </w:r>
      <w:r w:rsidRPr="00EA59C0">
        <w:rPr>
          <w:rFonts w:ascii="Arial" w:hAnsi="Arial" w:cs="Arial"/>
          <w:sz w:val="22"/>
          <w:szCs w:val="22"/>
        </w:rPr>
        <w:t>standards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specifications</w:t>
      </w:r>
      <w:r w:rsidR="00C026A6" w:rsidRPr="00EA59C0">
        <w:rPr>
          <w:rFonts w:ascii="Arial" w:hAnsi="Arial" w:cs="Arial"/>
          <w:sz w:val="22"/>
          <w:szCs w:val="22"/>
        </w:rPr>
        <w:t xml:space="preserve"> </w:t>
      </w:r>
      <w:r w:rsidRPr="00EA59C0">
        <w:rPr>
          <w:rFonts w:ascii="Arial" w:hAnsi="Arial" w:cs="Arial"/>
          <w:sz w:val="22"/>
          <w:szCs w:val="22"/>
        </w:rPr>
        <w:t>(for</w:t>
      </w:r>
      <w:r w:rsidR="00C026A6" w:rsidRPr="00EA59C0">
        <w:rPr>
          <w:rFonts w:ascii="Arial" w:hAnsi="Arial" w:cs="Arial"/>
          <w:sz w:val="22"/>
          <w:szCs w:val="22"/>
        </w:rPr>
        <w:t xml:space="preserve"> </w:t>
      </w:r>
      <w:r w:rsidRPr="00EA59C0">
        <w:rPr>
          <w:rFonts w:ascii="Arial" w:hAnsi="Arial" w:cs="Arial"/>
          <w:sz w:val="22"/>
          <w:szCs w:val="22"/>
        </w:rPr>
        <w:t>example,</w:t>
      </w:r>
      <w:r w:rsidR="00C026A6" w:rsidRPr="00EA59C0">
        <w:rPr>
          <w:rFonts w:ascii="Arial" w:hAnsi="Arial" w:cs="Arial"/>
          <w:sz w:val="22"/>
          <w:szCs w:val="22"/>
        </w:rPr>
        <w:t xml:space="preserve"> </w:t>
      </w:r>
      <w:r w:rsidRPr="00EA59C0">
        <w:rPr>
          <w:rFonts w:ascii="Arial" w:hAnsi="Arial" w:cs="Arial"/>
          <w:sz w:val="22"/>
          <w:szCs w:val="22"/>
        </w:rPr>
        <w:t>LR</w:t>
      </w:r>
      <w:r w:rsidR="00C026A6" w:rsidRPr="00EA59C0">
        <w:rPr>
          <w:rFonts w:ascii="Arial" w:hAnsi="Arial" w:cs="Arial"/>
          <w:sz w:val="22"/>
          <w:szCs w:val="22"/>
        </w:rPr>
        <w:t xml:space="preserve"> </w:t>
      </w:r>
      <w:r w:rsidRPr="00EA59C0">
        <w:rPr>
          <w:rFonts w:ascii="Arial" w:hAnsi="Arial" w:cs="Arial"/>
          <w:sz w:val="22"/>
          <w:szCs w:val="22"/>
        </w:rPr>
        <w:t>[Learning</w:t>
      </w:r>
      <w:r w:rsidR="00C026A6" w:rsidRPr="00EA59C0">
        <w:rPr>
          <w:rFonts w:ascii="Arial" w:hAnsi="Arial" w:cs="Arial"/>
          <w:sz w:val="22"/>
          <w:szCs w:val="22"/>
        </w:rPr>
        <w:t xml:space="preserve"> </w:t>
      </w:r>
      <w:r w:rsidRPr="00EA59C0">
        <w:rPr>
          <w:rFonts w:ascii="Arial" w:hAnsi="Arial" w:cs="Arial"/>
          <w:sz w:val="22"/>
          <w:szCs w:val="22"/>
        </w:rPr>
        <w:t>Registry],</w:t>
      </w:r>
      <w:r w:rsidR="00C026A6" w:rsidRPr="00EA59C0">
        <w:rPr>
          <w:rFonts w:ascii="Arial" w:hAnsi="Arial" w:cs="Arial"/>
          <w:sz w:val="22"/>
          <w:szCs w:val="22"/>
        </w:rPr>
        <w:t xml:space="preserve"> </w:t>
      </w:r>
      <w:r w:rsidRPr="00EA59C0">
        <w:rPr>
          <w:rFonts w:ascii="Arial" w:hAnsi="Arial" w:cs="Arial"/>
          <w:sz w:val="22"/>
          <w:szCs w:val="22"/>
        </w:rPr>
        <w:t>AICC</w:t>
      </w:r>
      <w:r w:rsidR="00C026A6" w:rsidRPr="00EA59C0">
        <w:rPr>
          <w:rFonts w:ascii="Arial" w:hAnsi="Arial" w:cs="Arial"/>
          <w:sz w:val="22"/>
          <w:szCs w:val="22"/>
        </w:rPr>
        <w:t xml:space="preserve"> </w:t>
      </w:r>
      <w:r w:rsidRPr="00EA59C0">
        <w:rPr>
          <w:rStyle w:val="apple-converted-space"/>
          <w:rFonts w:ascii="Arial" w:hAnsi="Arial" w:cs="Arial"/>
          <w:sz w:val="22"/>
          <w:szCs w:val="22"/>
        </w:rPr>
        <w:t>[A</w:t>
      </w:r>
      <w:r w:rsidRPr="00EA59C0">
        <w:rPr>
          <w:rStyle w:val="apple-style-span"/>
          <w:rFonts w:ascii="Arial" w:hAnsi="Arial" w:cs="Arial"/>
          <w:sz w:val="22"/>
          <w:szCs w:val="22"/>
        </w:rPr>
        <w:t>viation</w:t>
      </w:r>
      <w:r w:rsidR="00C026A6" w:rsidRPr="00EA59C0">
        <w:rPr>
          <w:rStyle w:val="apple-style-span"/>
          <w:rFonts w:ascii="Arial" w:hAnsi="Arial" w:cs="Arial"/>
          <w:sz w:val="22"/>
          <w:szCs w:val="22"/>
        </w:rPr>
        <w:t xml:space="preserve"> </w:t>
      </w:r>
      <w:r w:rsidRPr="00EA59C0">
        <w:rPr>
          <w:rStyle w:val="apple-style-span"/>
          <w:rFonts w:ascii="Arial" w:hAnsi="Arial" w:cs="Arial"/>
          <w:sz w:val="22"/>
          <w:szCs w:val="22"/>
        </w:rPr>
        <w:t>Industry</w:t>
      </w:r>
      <w:r w:rsidR="00C026A6" w:rsidRPr="00EA59C0">
        <w:rPr>
          <w:rStyle w:val="apple-style-span"/>
          <w:rFonts w:ascii="Arial" w:hAnsi="Arial" w:cs="Arial"/>
          <w:sz w:val="22"/>
          <w:szCs w:val="22"/>
        </w:rPr>
        <w:t xml:space="preserve"> </w:t>
      </w:r>
      <w:r w:rsidRPr="00EA59C0">
        <w:rPr>
          <w:rStyle w:val="apple-style-span"/>
          <w:rFonts w:ascii="Arial" w:hAnsi="Arial" w:cs="Arial"/>
          <w:sz w:val="22"/>
          <w:szCs w:val="22"/>
        </w:rPr>
        <w:t>Computer-Based</w:t>
      </w:r>
      <w:r w:rsidR="00C026A6" w:rsidRPr="00EA59C0">
        <w:rPr>
          <w:rStyle w:val="apple-style-span"/>
          <w:rFonts w:ascii="Arial" w:hAnsi="Arial" w:cs="Arial"/>
          <w:sz w:val="22"/>
          <w:szCs w:val="22"/>
        </w:rPr>
        <w:t xml:space="preserve"> </w:t>
      </w:r>
      <w:r w:rsidRPr="00EA59C0">
        <w:rPr>
          <w:rStyle w:val="apple-style-span"/>
          <w:rFonts w:ascii="Arial" w:hAnsi="Arial" w:cs="Arial"/>
          <w:sz w:val="22"/>
          <w:szCs w:val="22"/>
        </w:rPr>
        <w:t>Training</w:t>
      </w:r>
      <w:r w:rsidR="00C026A6" w:rsidRPr="00EA59C0">
        <w:rPr>
          <w:rStyle w:val="apple-style-span"/>
          <w:rFonts w:ascii="Arial" w:hAnsi="Arial" w:cs="Arial"/>
          <w:sz w:val="22"/>
          <w:szCs w:val="22"/>
        </w:rPr>
        <w:t xml:space="preserve"> </w:t>
      </w:r>
      <w:r w:rsidRPr="00EA59C0">
        <w:rPr>
          <w:rStyle w:val="apple-style-span"/>
          <w:rFonts w:ascii="Arial" w:hAnsi="Arial" w:cs="Arial"/>
          <w:sz w:val="22"/>
          <w:szCs w:val="22"/>
        </w:rPr>
        <w:t>Committee]</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LRMI</w:t>
      </w:r>
      <w:r w:rsidR="00C026A6" w:rsidRPr="00EA59C0">
        <w:rPr>
          <w:rFonts w:ascii="Arial" w:hAnsi="Arial" w:cs="Arial"/>
          <w:sz w:val="22"/>
          <w:szCs w:val="22"/>
        </w:rPr>
        <w:t xml:space="preserve"> </w:t>
      </w:r>
      <w:r w:rsidRPr="00EA59C0">
        <w:rPr>
          <w:rFonts w:ascii="Arial" w:hAnsi="Arial" w:cs="Arial"/>
          <w:sz w:val="22"/>
          <w:szCs w:val="22"/>
        </w:rPr>
        <w:t>[Learning</w:t>
      </w:r>
      <w:r w:rsidR="00C026A6" w:rsidRPr="00EA59C0">
        <w:rPr>
          <w:rFonts w:ascii="Arial" w:hAnsi="Arial" w:cs="Arial"/>
          <w:sz w:val="22"/>
          <w:szCs w:val="22"/>
        </w:rPr>
        <w:t xml:space="preserve"> </w:t>
      </w:r>
      <w:r w:rsidRPr="00EA59C0">
        <w:rPr>
          <w:rFonts w:ascii="Arial" w:hAnsi="Arial" w:cs="Arial"/>
          <w:sz w:val="22"/>
          <w:szCs w:val="22"/>
        </w:rPr>
        <w:t>Resource</w:t>
      </w:r>
      <w:r w:rsidR="00C026A6" w:rsidRPr="00EA59C0">
        <w:rPr>
          <w:rFonts w:ascii="Arial" w:hAnsi="Arial" w:cs="Arial"/>
          <w:sz w:val="22"/>
          <w:szCs w:val="22"/>
        </w:rPr>
        <w:t xml:space="preserve"> </w:t>
      </w:r>
      <w:r w:rsidRPr="00EA59C0">
        <w:rPr>
          <w:rFonts w:ascii="Arial" w:hAnsi="Arial" w:cs="Arial"/>
          <w:sz w:val="22"/>
          <w:szCs w:val="22"/>
        </w:rPr>
        <w:t>Metadata</w:t>
      </w:r>
      <w:r w:rsidR="00C026A6" w:rsidRPr="00EA59C0">
        <w:rPr>
          <w:rFonts w:ascii="Arial" w:hAnsi="Arial" w:cs="Arial"/>
          <w:sz w:val="22"/>
          <w:szCs w:val="22"/>
        </w:rPr>
        <w:t xml:space="preserve"> </w:t>
      </w:r>
      <w:r w:rsidRPr="00EA59C0">
        <w:rPr>
          <w:rFonts w:ascii="Arial" w:hAnsi="Arial" w:cs="Arial"/>
          <w:sz w:val="22"/>
          <w:szCs w:val="22"/>
        </w:rPr>
        <w:t>Initiative],</w:t>
      </w:r>
      <w:r w:rsidR="00C026A6" w:rsidRPr="00EA59C0">
        <w:rPr>
          <w:rFonts w:ascii="Arial" w:hAnsi="Arial" w:cs="Arial"/>
          <w:sz w:val="22"/>
          <w:szCs w:val="22"/>
        </w:rPr>
        <w:t xml:space="preserve"> </w:t>
      </w:r>
      <w:r w:rsidRPr="00EA59C0">
        <w:rPr>
          <w:rFonts w:ascii="Arial" w:hAnsi="Arial" w:cs="Arial"/>
          <w:sz w:val="22"/>
          <w:szCs w:val="22"/>
        </w:rPr>
        <w:t>IMS</w:t>
      </w:r>
      <w:r w:rsidR="00C026A6" w:rsidRPr="00EA59C0">
        <w:rPr>
          <w:rFonts w:ascii="Arial" w:hAnsi="Arial" w:cs="Arial"/>
          <w:sz w:val="22"/>
          <w:szCs w:val="22"/>
        </w:rPr>
        <w:t xml:space="preserve"> </w:t>
      </w:r>
      <w:r w:rsidRPr="00EA59C0">
        <w:rPr>
          <w:rStyle w:val="apple-style-span"/>
          <w:rFonts w:ascii="Arial" w:hAnsi="Arial" w:cs="Arial"/>
          <w:sz w:val="22"/>
          <w:szCs w:val="22"/>
        </w:rPr>
        <w:t>[Information</w:t>
      </w:r>
      <w:r w:rsidR="00C026A6" w:rsidRPr="00EA59C0">
        <w:rPr>
          <w:rStyle w:val="apple-style-span"/>
          <w:rFonts w:ascii="Arial" w:hAnsi="Arial" w:cs="Arial"/>
          <w:sz w:val="22"/>
          <w:szCs w:val="22"/>
        </w:rPr>
        <w:t xml:space="preserve"> </w:t>
      </w:r>
      <w:r w:rsidRPr="00EA59C0">
        <w:rPr>
          <w:rStyle w:val="apple-style-span"/>
          <w:rFonts w:ascii="Arial" w:hAnsi="Arial" w:cs="Arial"/>
          <w:sz w:val="22"/>
          <w:szCs w:val="22"/>
        </w:rPr>
        <w:t>Management</w:t>
      </w:r>
      <w:r w:rsidR="00C026A6" w:rsidRPr="00EA59C0">
        <w:rPr>
          <w:rStyle w:val="apple-style-span"/>
          <w:rFonts w:ascii="Arial" w:hAnsi="Arial" w:cs="Arial"/>
          <w:sz w:val="22"/>
          <w:szCs w:val="22"/>
        </w:rPr>
        <w:t xml:space="preserve"> </w:t>
      </w:r>
      <w:r w:rsidRPr="00EA59C0">
        <w:rPr>
          <w:rStyle w:val="apple-style-span"/>
          <w:rFonts w:ascii="Arial" w:hAnsi="Arial" w:cs="Arial"/>
          <w:sz w:val="22"/>
          <w:szCs w:val="22"/>
        </w:rPr>
        <w:t>Standard]</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PESC</w:t>
      </w:r>
      <w:r w:rsidR="00C026A6" w:rsidRPr="00EA59C0">
        <w:rPr>
          <w:rFonts w:ascii="Arial" w:hAnsi="Arial" w:cs="Arial"/>
          <w:sz w:val="22"/>
          <w:szCs w:val="22"/>
        </w:rPr>
        <w:t xml:space="preserve"> </w:t>
      </w:r>
      <w:r w:rsidRPr="00EA59C0">
        <w:rPr>
          <w:rStyle w:val="apple-style-span"/>
          <w:rFonts w:ascii="Arial" w:hAnsi="Arial" w:cs="Arial"/>
          <w:sz w:val="22"/>
          <w:szCs w:val="22"/>
        </w:rPr>
        <w:t>[Postsecondary</w:t>
      </w:r>
      <w:r w:rsidR="00C026A6" w:rsidRPr="00EA59C0">
        <w:rPr>
          <w:rStyle w:val="apple-style-span"/>
          <w:rFonts w:ascii="Arial" w:hAnsi="Arial" w:cs="Arial"/>
          <w:sz w:val="22"/>
          <w:szCs w:val="22"/>
        </w:rPr>
        <w:t xml:space="preserve"> </w:t>
      </w:r>
      <w:r w:rsidRPr="00EA59C0">
        <w:rPr>
          <w:rStyle w:val="apple-style-span"/>
          <w:rFonts w:ascii="Arial" w:hAnsi="Arial" w:cs="Arial"/>
          <w:sz w:val="22"/>
          <w:szCs w:val="22"/>
        </w:rPr>
        <w:t>Electronic</w:t>
      </w:r>
      <w:r w:rsidR="00C026A6" w:rsidRPr="00EA59C0">
        <w:rPr>
          <w:rStyle w:val="apple-style-span"/>
          <w:rFonts w:ascii="Arial" w:hAnsi="Arial" w:cs="Arial"/>
          <w:sz w:val="22"/>
          <w:szCs w:val="22"/>
        </w:rPr>
        <w:t xml:space="preserve"> </w:t>
      </w:r>
      <w:r w:rsidRPr="00EA59C0">
        <w:rPr>
          <w:rStyle w:val="apple-style-span"/>
          <w:rFonts w:ascii="Arial" w:hAnsi="Arial" w:cs="Arial"/>
          <w:sz w:val="22"/>
          <w:szCs w:val="22"/>
        </w:rPr>
        <w:t>Standards</w:t>
      </w:r>
      <w:r w:rsidR="00C026A6" w:rsidRPr="00EA59C0">
        <w:rPr>
          <w:rStyle w:val="apple-style-span"/>
          <w:rFonts w:ascii="Arial" w:hAnsi="Arial" w:cs="Arial"/>
          <w:sz w:val="22"/>
          <w:szCs w:val="22"/>
        </w:rPr>
        <w:t xml:space="preserve"> </w:t>
      </w:r>
      <w:r w:rsidRPr="00EA59C0">
        <w:rPr>
          <w:rStyle w:val="apple-style-span"/>
          <w:rFonts w:ascii="Arial" w:hAnsi="Arial" w:cs="Arial"/>
          <w:sz w:val="22"/>
          <w:szCs w:val="22"/>
        </w:rPr>
        <w:t>Council]</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or</w:t>
      </w:r>
      <w:r w:rsidR="00C026A6" w:rsidRPr="00EA59C0">
        <w:rPr>
          <w:rFonts w:ascii="Arial" w:hAnsi="Arial" w:cs="Arial"/>
          <w:sz w:val="22"/>
          <w:szCs w:val="22"/>
        </w:rPr>
        <w:t xml:space="preserve">  </w:t>
      </w:r>
      <w:r w:rsidRPr="00EA59C0">
        <w:rPr>
          <w:rFonts w:ascii="Arial" w:hAnsi="Arial" w:cs="Arial"/>
          <w:sz w:val="22"/>
          <w:szCs w:val="22"/>
        </w:rPr>
        <w:t>SCORM</w:t>
      </w:r>
      <w:r w:rsidR="00C026A6" w:rsidRPr="00EA59C0">
        <w:rPr>
          <w:rFonts w:ascii="Arial" w:hAnsi="Arial" w:cs="Arial"/>
          <w:sz w:val="22"/>
          <w:szCs w:val="22"/>
        </w:rPr>
        <w:t xml:space="preserve">  </w:t>
      </w:r>
      <w:r w:rsidRPr="00EA59C0">
        <w:rPr>
          <w:rStyle w:val="apple-style-span"/>
          <w:rFonts w:ascii="Arial" w:hAnsi="Arial" w:cs="Arial"/>
          <w:sz w:val="22"/>
          <w:szCs w:val="22"/>
        </w:rPr>
        <w:t>[Shareable</w:t>
      </w:r>
      <w:r w:rsidR="00C026A6" w:rsidRPr="00EA59C0">
        <w:rPr>
          <w:rStyle w:val="apple-style-span"/>
          <w:rFonts w:ascii="Arial" w:hAnsi="Arial" w:cs="Arial"/>
          <w:sz w:val="22"/>
          <w:szCs w:val="22"/>
        </w:rPr>
        <w:t xml:space="preserve"> </w:t>
      </w:r>
      <w:r w:rsidRPr="00EA59C0">
        <w:rPr>
          <w:rStyle w:val="apple-style-span"/>
          <w:rFonts w:ascii="Arial" w:hAnsi="Arial" w:cs="Arial"/>
          <w:sz w:val="22"/>
          <w:szCs w:val="22"/>
        </w:rPr>
        <w:t>Content</w:t>
      </w:r>
      <w:r w:rsidR="00C026A6" w:rsidRPr="00EA59C0">
        <w:rPr>
          <w:rStyle w:val="apple-style-span"/>
          <w:rFonts w:ascii="Arial" w:hAnsi="Arial" w:cs="Arial"/>
          <w:sz w:val="22"/>
          <w:szCs w:val="22"/>
        </w:rPr>
        <w:t xml:space="preserve"> </w:t>
      </w:r>
      <w:r w:rsidRPr="00EA59C0">
        <w:rPr>
          <w:rStyle w:val="apple-style-span"/>
          <w:rFonts w:ascii="Arial" w:hAnsi="Arial" w:cs="Arial"/>
          <w:sz w:val="22"/>
          <w:szCs w:val="22"/>
        </w:rPr>
        <w:t>Object</w:t>
      </w:r>
      <w:r w:rsidR="00C026A6" w:rsidRPr="00EA59C0">
        <w:rPr>
          <w:rStyle w:val="apple-style-span"/>
          <w:rFonts w:ascii="Arial" w:hAnsi="Arial" w:cs="Arial"/>
          <w:sz w:val="22"/>
          <w:szCs w:val="22"/>
        </w:rPr>
        <w:t xml:space="preserve"> </w:t>
      </w:r>
      <w:r w:rsidRPr="00EA59C0">
        <w:rPr>
          <w:rStyle w:val="apple-style-span"/>
          <w:rFonts w:ascii="Arial" w:hAnsi="Arial" w:cs="Arial"/>
          <w:sz w:val="22"/>
          <w:szCs w:val="22"/>
        </w:rPr>
        <w:t>Reference</w:t>
      </w:r>
      <w:r w:rsidR="00C026A6" w:rsidRPr="00EA59C0">
        <w:rPr>
          <w:rStyle w:val="apple-style-span"/>
          <w:rFonts w:ascii="Arial" w:hAnsi="Arial" w:cs="Arial"/>
          <w:sz w:val="22"/>
          <w:szCs w:val="22"/>
        </w:rPr>
        <w:t xml:space="preserve"> </w:t>
      </w:r>
      <w:r w:rsidRPr="00EA59C0">
        <w:rPr>
          <w:rStyle w:val="apple-style-span"/>
          <w:rFonts w:ascii="Arial" w:hAnsi="Arial" w:cs="Arial"/>
          <w:sz w:val="22"/>
          <w:szCs w:val="22"/>
        </w:rPr>
        <w:t>Model]</w:t>
      </w:r>
      <w:r w:rsidRPr="00EA59C0">
        <w:rPr>
          <w:rFonts w:ascii="Arial" w:hAnsi="Arial" w:cs="Arial"/>
          <w:sz w:val="22"/>
          <w:szCs w:val="22"/>
        </w:rPr>
        <w:t>).</w:t>
      </w:r>
      <w:r w:rsidR="00C026A6" w:rsidRPr="00EA59C0">
        <w:rPr>
          <w:rFonts w:ascii="Arial" w:hAnsi="Arial" w:cs="Arial"/>
          <w:sz w:val="22"/>
          <w:szCs w:val="22"/>
        </w:rPr>
        <w:t xml:space="preserve">  </w:t>
      </w:r>
    </w:p>
    <w:p w:rsidR="008826BE" w:rsidRPr="00EA59C0" w:rsidRDefault="008826BE" w:rsidP="00DB00BB">
      <w:pPr>
        <w:rPr>
          <w:rFonts w:ascii="Arial" w:hAnsi="Arial" w:cs="Arial"/>
          <w:b/>
          <w:bCs/>
          <w:sz w:val="22"/>
          <w:szCs w:val="22"/>
        </w:rPr>
      </w:pPr>
    </w:p>
    <w:p w:rsidR="008826BE" w:rsidRPr="00EA59C0" w:rsidRDefault="008826BE" w:rsidP="00DB00BB">
      <w:pPr>
        <w:rPr>
          <w:rFonts w:ascii="Arial" w:hAnsi="Arial" w:cs="Arial"/>
          <w:sz w:val="22"/>
          <w:szCs w:val="22"/>
        </w:rPr>
      </w:pPr>
      <w:r w:rsidRPr="00EA59C0">
        <w:rPr>
          <w:rFonts w:ascii="Arial" w:hAnsi="Arial" w:cs="Arial"/>
          <w:b/>
          <w:bCs/>
          <w:sz w:val="22"/>
          <w:szCs w:val="22"/>
        </w:rPr>
        <w:t>Meta</w:t>
      </w:r>
      <w:r w:rsidR="00C026A6" w:rsidRPr="00EA59C0">
        <w:rPr>
          <w:rFonts w:ascii="Arial" w:hAnsi="Arial" w:cs="Arial"/>
          <w:b/>
          <w:bCs/>
          <w:sz w:val="22"/>
          <w:szCs w:val="22"/>
        </w:rPr>
        <w:t xml:space="preserve"> </w:t>
      </w:r>
      <w:r w:rsidRPr="00EA59C0">
        <w:rPr>
          <w:rFonts w:ascii="Arial" w:hAnsi="Arial" w:cs="Arial"/>
          <w:b/>
          <w:bCs/>
          <w:sz w:val="22"/>
          <w:szCs w:val="22"/>
        </w:rPr>
        <w:t>data</w:t>
      </w:r>
      <w:r w:rsidR="00C026A6" w:rsidRPr="00EA59C0">
        <w:rPr>
          <w:rFonts w:ascii="Arial" w:hAnsi="Arial" w:cs="Arial"/>
          <w:b/>
          <w:bCs/>
          <w:sz w:val="22"/>
          <w:szCs w:val="22"/>
        </w:rPr>
        <w:t xml:space="preserve"> </w:t>
      </w:r>
      <w:r w:rsidRPr="00EA59C0">
        <w:rPr>
          <w:rFonts w:ascii="Arial" w:hAnsi="Arial" w:cs="Arial"/>
          <w:b/>
          <w:bCs/>
          <w:sz w:val="22"/>
          <w:szCs w:val="22"/>
        </w:rPr>
        <w:t>for</w:t>
      </w:r>
      <w:r w:rsidR="00C026A6" w:rsidRPr="00EA59C0">
        <w:rPr>
          <w:rFonts w:ascii="Arial" w:hAnsi="Arial" w:cs="Arial"/>
          <w:b/>
          <w:bCs/>
          <w:sz w:val="22"/>
          <w:szCs w:val="22"/>
        </w:rPr>
        <w:t xml:space="preserve"> </w:t>
      </w:r>
      <w:r w:rsidRPr="00EA59C0">
        <w:rPr>
          <w:rFonts w:ascii="Arial" w:hAnsi="Arial" w:cs="Arial"/>
          <w:b/>
          <w:bCs/>
          <w:sz w:val="22"/>
          <w:szCs w:val="22"/>
        </w:rPr>
        <w:t>describing</w:t>
      </w:r>
      <w:r w:rsidR="00C026A6" w:rsidRPr="00EA59C0">
        <w:rPr>
          <w:rFonts w:ascii="Arial" w:hAnsi="Arial" w:cs="Arial"/>
          <w:b/>
          <w:bCs/>
          <w:sz w:val="22"/>
          <w:szCs w:val="22"/>
        </w:rPr>
        <w:t xml:space="preserve"> </w:t>
      </w:r>
      <w:r w:rsidRPr="00EA59C0">
        <w:rPr>
          <w:rFonts w:ascii="Arial" w:hAnsi="Arial" w:cs="Arial"/>
          <w:b/>
          <w:bCs/>
          <w:sz w:val="22"/>
          <w:szCs w:val="22"/>
        </w:rPr>
        <w:t>the</w:t>
      </w:r>
      <w:r w:rsidR="00C026A6" w:rsidRPr="00EA59C0">
        <w:rPr>
          <w:rFonts w:ascii="Arial" w:hAnsi="Arial" w:cs="Arial"/>
          <w:b/>
          <w:bCs/>
          <w:sz w:val="22"/>
          <w:szCs w:val="22"/>
        </w:rPr>
        <w:t xml:space="preserve"> </w:t>
      </w:r>
      <w:r w:rsidRPr="00EA59C0">
        <w:rPr>
          <w:rFonts w:ascii="Arial" w:hAnsi="Arial" w:cs="Arial"/>
          <w:b/>
          <w:bCs/>
          <w:sz w:val="22"/>
          <w:szCs w:val="22"/>
        </w:rPr>
        <w:t>resource</w:t>
      </w:r>
    </w:p>
    <w:p w:rsidR="008826BE" w:rsidRPr="00EA59C0" w:rsidRDefault="008826BE" w:rsidP="00DB00BB">
      <w:pPr>
        <w:rPr>
          <w:rFonts w:ascii="Arial" w:hAnsi="Arial" w:cs="Arial"/>
          <w:sz w:val="22"/>
          <w:szCs w:val="22"/>
        </w:rPr>
      </w:pPr>
      <w:r w:rsidRPr="00EA59C0">
        <w:rPr>
          <w:rFonts w:ascii="Arial" w:hAnsi="Arial" w:cs="Arial"/>
          <w:sz w:val="22"/>
          <w:szCs w:val="22"/>
        </w:rPr>
        <w:t>Meta</w:t>
      </w:r>
      <w:r w:rsidR="00C026A6" w:rsidRPr="00EA59C0">
        <w:rPr>
          <w:rFonts w:ascii="Arial" w:hAnsi="Arial" w:cs="Arial"/>
          <w:sz w:val="22"/>
          <w:szCs w:val="22"/>
        </w:rPr>
        <w:t xml:space="preserve"> </w:t>
      </w:r>
      <w:r w:rsidRPr="00EA59C0">
        <w:rPr>
          <w:rFonts w:ascii="Arial" w:hAnsi="Arial" w:cs="Arial"/>
          <w:sz w:val="22"/>
          <w:szCs w:val="22"/>
        </w:rPr>
        <w:t>data</w:t>
      </w:r>
      <w:r w:rsidR="00C026A6" w:rsidRPr="00EA59C0">
        <w:rPr>
          <w:rFonts w:ascii="Arial" w:hAnsi="Arial" w:cs="Arial"/>
          <w:sz w:val="22"/>
          <w:szCs w:val="22"/>
        </w:rPr>
        <w:t xml:space="preserve"> </w:t>
      </w:r>
      <w:r w:rsidRPr="00EA59C0">
        <w:rPr>
          <w:rFonts w:ascii="Arial" w:hAnsi="Arial" w:cs="Arial"/>
          <w:sz w:val="22"/>
          <w:szCs w:val="22"/>
        </w:rPr>
        <w:t>are</w:t>
      </w:r>
      <w:r w:rsidR="00C026A6" w:rsidRPr="00EA59C0">
        <w:rPr>
          <w:rFonts w:ascii="Arial" w:hAnsi="Arial" w:cs="Arial"/>
          <w:sz w:val="22"/>
          <w:szCs w:val="22"/>
        </w:rPr>
        <w:t xml:space="preserve"> </w:t>
      </w:r>
      <w:r w:rsidRPr="00EA59C0">
        <w:rPr>
          <w:rFonts w:ascii="Arial" w:hAnsi="Arial" w:cs="Arial"/>
          <w:sz w:val="22"/>
          <w:szCs w:val="22"/>
        </w:rPr>
        <w:t>"tags"</w:t>
      </w:r>
      <w:r w:rsidR="00C026A6" w:rsidRPr="00EA59C0">
        <w:rPr>
          <w:rFonts w:ascii="Arial" w:hAnsi="Arial" w:cs="Arial"/>
          <w:sz w:val="22"/>
          <w:szCs w:val="22"/>
        </w:rPr>
        <w:t xml:space="preserve"> </w:t>
      </w:r>
      <w:r w:rsidRPr="00EA59C0">
        <w:rPr>
          <w:rFonts w:ascii="Arial" w:hAnsi="Arial" w:cs="Arial"/>
          <w:sz w:val="22"/>
          <w:szCs w:val="22"/>
        </w:rPr>
        <w:t>attached</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digital</w:t>
      </w:r>
      <w:r w:rsidR="00C026A6" w:rsidRPr="00EA59C0">
        <w:rPr>
          <w:rFonts w:ascii="Arial" w:hAnsi="Arial" w:cs="Arial"/>
          <w:sz w:val="22"/>
          <w:szCs w:val="22"/>
        </w:rPr>
        <w:t xml:space="preserve"> </w:t>
      </w:r>
      <w:r w:rsidRPr="00EA59C0">
        <w:rPr>
          <w:rFonts w:ascii="Arial" w:hAnsi="Arial" w:cs="Arial"/>
          <w:sz w:val="22"/>
          <w:szCs w:val="22"/>
        </w:rPr>
        <w:t>resources</w:t>
      </w:r>
      <w:r w:rsidR="00C026A6" w:rsidRPr="00EA59C0">
        <w:rPr>
          <w:rFonts w:ascii="Arial" w:hAnsi="Arial" w:cs="Arial"/>
          <w:sz w:val="22"/>
          <w:szCs w:val="22"/>
        </w:rPr>
        <w:t xml:space="preserve"> </w:t>
      </w:r>
      <w:r w:rsidRPr="00EA59C0">
        <w:rPr>
          <w:rFonts w:ascii="Arial" w:hAnsi="Arial" w:cs="Arial"/>
          <w:sz w:val="22"/>
          <w:szCs w:val="22"/>
        </w:rPr>
        <w:t>that</w:t>
      </w:r>
      <w:r w:rsidR="00C026A6" w:rsidRPr="00EA59C0">
        <w:rPr>
          <w:rFonts w:ascii="Arial" w:hAnsi="Arial" w:cs="Arial"/>
          <w:sz w:val="22"/>
          <w:szCs w:val="22"/>
        </w:rPr>
        <w:t xml:space="preserve"> </w:t>
      </w:r>
      <w:r w:rsidRPr="00EA59C0">
        <w:rPr>
          <w:rFonts w:ascii="Arial" w:hAnsi="Arial" w:cs="Arial"/>
          <w:sz w:val="22"/>
          <w:szCs w:val="22"/>
        </w:rPr>
        <w:t>make</w:t>
      </w:r>
      <w:r w:rsidR="00C026A6" w:rsidRPr="00EA59C0">
        <w:rPr>
          <w:rFonts w:ascii="Arial" w:hAnsi="Arial" w:cs="Arial"/>
          <w:sz w:val="22"/>
          <w:szCs w:val="22"/>
        </w:rPr>
        <w:t xml:space="preserve"> </w:t>
      </w:r>
      <w:r w:rsidRPr="00EA59C0">
        <w:rPr>
          <w:rFonts w:ascii="Arial" w:hAnsi="Arial" w:cs="Arial"/>
          <w:sz w:val="22"/>
          <w:szCs w:val="22"/>
        </w:rPr>
        <w:t>it</w:t>
      </w:r>
      <w:r w:rsidR="00C026A6" w:rsidRPr="00EA59C0">
        <w:rPr>
          <w:rFonts w:ascii="Arial" w:hAnsi="Arial" w:cs="Arial"/>
          <w:sz w:val="22"/>
          <w:szCs w:val="22"/>
        </w:rPr>
        <w:t xml:space="preserve"> </w:t>
      </w:r>
      <w:r w:rsidRPr="00EA59C0">
        <w:rPr>
          <w:rFonts w:ascii="Arial" w:hAnsi="Arial" w:cs="Arial"/>
          <w:sz w:val="22"/>
          <w:szCs w:val="22"/>
        </w:rPr>
        <w:t>easier</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publish,</w:t>
      </w:r>
      <w:r w:rsidR="00C026A6" w:rsidRPr="00EA59C0">
        <w:rPr>
          <w:rFonts w:ascii="Arial" w:hAnsi="Arial" w:cs="Arial"/>
          <w:sz w:val="22"/>
          <w:szCs w:val="22"/>
        </w:rPr>
        <w:t xml:space="preserve"> </w:t>
      </w:r>
      <w:r w:rsidRPr="00EA59C0">
        <w:rPr>
          <w:rFonts w:ascii="Arial" w:hAnsi="Arial" w:cs="Arial"/>
          <w:sz w:val="22"/>
          <w:szCs w:val="22"/>
        </w:rPr>
        <w:t>discover</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reuse</w:t>
      </w:r>
      <w:r w:rsidR="00C026A6" w:rsidRPr="00EA59C0">
        <w:rPr>
          <w:rFonts w:ascii="Arial" w:hAnsi="Arial" w:cs="Arial"/>
          <w:sz w:val="22"/>
          <w:szCs w:val="22"/>
        </w:rPr>
        <w:t xml:space="preserve"> </w:t>
      </w:r>
      <w:r w:rsidRPr="00EA59C0">
        <w:rPr>
          <w:rFonts w:ascii="Arial" w:hAnsi="Arial" w:cs="Arial"/>
          <w:sz w:val="22"/>
          <w:szCs w:val="22"/>
        </w:rPr>
        <w:t>educational</w:t>
      </w:r>
      <w:r w:rsidR="00C026A6" w:rsidRPr="00EA59C0">
        <w:rPr>
          <w:rFonts w:ascii="Arial" w:hAnsi="Arial" w:cs="Arial"/>
          <w:sz w:val="22"/>
          <w:szCs w:val="22"/>
        </w:rPr>
        <w:t xml:space="preserve"> </w:t>
      </w:r>
      <w:r w:rsidRPr="00EA59C0">
        <w:rPr>
          <w:rFonts w:ascii="Arial" w:hAnsi="Arial" w:cs="Arial"/>
          <w:sz w:val="22"/>
          <w:szCs w:val="22"/>
        </w:rPr>
        <w:t>content.</w:t>
      </w:r>
      <w:r w:rsidR="00C026A6" w:rsidRPr="00EA59C0">
        <w:rPr>
          <w:rFonts w:ascii="Arial" w:hAnsi="Arial" w:cs="Arial"/>
          <w:sz w:val="22"/>
          <w:szCs w:val="22"/>
        </w:rPr>
        <w:t xml:space="preserve">  </w:t>
      </w:r>
      <w:r w:rsidRPr="00EA59C0">
        <w:rPr>
          <w:rFonts w:ascii="Arial" w:hAnsi="Arial" w:cs="Arial"/>
          <w:sz w:val="22"/>
          <w:szCs w:val="22"/>
        </w:rPr>
        <w:t>These</w:t>
      </w:r>
      <w:r w:rsidR="00C026A6" w:rsidRPr="00EA59C0">
        <w:rPr>
          <w:rFonts w:ascii="Arial" w:hAnsi="Arial" w:cs="Arial"/>
          <w:sz w:val="22"/>
          <w:szCs w:val="22"/>
        </w:rPr>
        <w:t xml:space="preserve"> </w:t>
      </w:r>
      <w:r w:rsidRPr="00EA59C0">
        <w:rPr>
          <w:rFonts w:ascii="Arial" w:hAnsi="Arial" w:cs="Arial"/>
          <w:sz w:val="22"/>
          <w:szCs w:val="22"/>
        </w:rPr>
        <w:t>tags</w:t>
      </w:r>
      <w:r w:rsidR="00C026A6" w:rsidRPr="00EA59C0">
        <w:rPr>
          <w:rFonts w:ascii="Arial" w:hAnsi="Arial" w:cs="Arial"/>
          <w:sz w:val="22"/>
          <w:szCs w:val="22"/>
        </w:rPr>
        <w:t xml:space="preserve"> </w:t>
      </w:r>
      <w:r w:rsidRPr="00EA59C0">
        <w:rPr>
          <w:rFonts w:ascii="Arial" w:hAnsi="Arial" w:cs="Arial"/>
          <w:sz w:val="22"/>
          <w:szCs w:val="22"/>
        </w:rPr>
        <w:t>allow</w:t>
      </w:r>
      <w:r w:rsidR="00C026A6" w:rsidRPr="00EA59C0">
        <w:rPr>
          <w:rFonts w:ascii="Arial" w:hAnsi="Arial" w:cs="Arial"/>
          <w:sz w:val="22"/>
          <w:szCs w:val="22"/>
        </w:rPr>
        <w:t xml:space="preserve"> </w:t>
      </w:r>
      <w:r w:rsidRPr="00EA59C0">
        <w:rPr>
          <w:rFonts w:ascii="Arial" w:hAnsi="Arial" w:cs="Arial"/>
          <w:sz w:val="22"/>
          <w:szCs w:val="22"/>
        </w:rPr>
        <w:t>learning</w:t>
      </w:r>
      <w:r w:rsidR="00C026A6" w:rsidRPr="00EA59C0">
        <w:rPr>
          <w:rFonts w:ascii="Arial" w:hAnsi="Arial" w:cs="Arial"/>
          <w:sz w:val="22"/>
          <w:szCs w:val="22"/>
        </w:rPr>
        <w:t xml:space="preserve"> </w:t>
      </w:r>
      <w:r w:rsidRPr="00EA59C0">
        <w:rPr>
          <w:rFonts w:ascii="Arial" w:hAnsi="Arial" w:cs="Arial"/>
          <w:sz w:val="22"/>
          <w:szCs w:val="22"/>
        </w:rPr>
        <w:t>systems</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accurately</w:t>
      </w:r>
      <w:r w:rsidR="00C026A6" w:rsidRPr="00EA59C0">
        <w:rPr>
          <w:rFonts w:ascii="Arial" w:hAnsi="Arial" w:cs="Arial"/>
          <w:sz w:val="22"/>
          <w:szCs w:val="22"/>
        </w:rPr>
        <w:t xml:space="preserve"> </w:t>
      </w:r>
      <w:r w:rsidRPr="00EA59C0">
        <w:rPr>
          <w:rFonts w:ascii="Arial" w:hAnsi="Arial" w:cs="Arial"/>
          <w:sz w:val="22"/>
          <w:szCs w:val="22"/>
        </w:rPr>
        <w:t>generate</w:t>
      </w:r>
      <w:r w:rsidR="00C026A6" w:rsidRPr="00EA59C0">
        <w:rPr>
          <w:rFonts w:ascii="Arial" w:hAnsi="Arial" w:cs="Arial"/>
          <w:sz w:val="22"/>
          <w:szCs w:val="22"/>
        </w:rPr>
        <w:t xml:space="preserve"> </w:t>
      </w:r>
      <w:r w:rsidRPr="00EA59C0">
        <w:rPr>
          <w:rFonts w:ascii="Arial" w:hAnsi="Arial" w:cs="Arial"/>
          <w:sz w:val="22"/>
          <w:szCs w:val="22"/>
        </w:rPr>
        <w:t>data</w:t>
      </w:r>
      <w:r w:rsidR="00C026A6" w:rsidRPr="00EA59C0">
        <w:rPr>
          <w:rFonts w:ascii="Arial" w:hAnsi="Arial" w:cs="Arial"/>
          <w:sz w:val="22"/>
          <w:szCs w:val="22"/>
        </w:rPr>
        <w:t xml:space="preserve"> </w:t>
      </w:r>
      <w:r w:rsidRPr="00EA59C0">
        <w:rPr>
          <w:rFonts w:ascii="Arial" w:hAnsi="Arial" w:cs="Arial"/>
          <w:sz w:val="22"/>
          <w:szCs w:val="22"/>
        </w:rPr>
        <w:t>on</w:t>
      </w:r>
      <w:r w:rsidR="00C026A6" w:rsidRPr="00EA59C0">
        <w:rPr>
          <w:rFonts w:ascii="Arial" w:hAnsi="Arial" w:cs="Arial"/>
          <w:sz w:val="22"/>
          <w:szCs w:val="22"/>
        </w:rPr>
        <w:t xml:space="preserve"> </w:t>
      </w:r>
      <w:r w:rsidRPr="00EA59C0">
        <w:rPr>
          <w:rFonts w:ascii="Arial" w:hAnsi="Arial" w:cs="Arial"/>
          <w:sz w:val="22"/>
          <w:szCs w:val="22"/>
        </w:rPr>
        <w:t>how</w:t>
      </w:r>
      <w:r w:rsidR="00C026A6" w:rsidRPr="00EA59C0">
        <w:rPr>
          <w:rFonts w:ascii="Arial" w:hAnsi="Arial" w:cs="Arial"/>
          <w:sz w:val="22"/>
          <w:szCs w:val="22"/>
        </w:rPr>
        <w:t xml:space="preserve"> </w:t>
      </w:r>
      <w:r w:rsidRPr="00EA59C0">
        <w:rPr>
          <w:rFonts w:ascii="Arial" w:hAnsi="Arial" w:cs="Arial"/>
          <w:sz w:val="22"/>
          <w:szCs w:val="22"/>
        </w:rPr>
        <w:t>resources</w:t>
      </w:r>
      <w:r w:rsidR="00C026A6" w:rsidRPr="00EA59C0">
        <w:rPr>
          <w:rFonts w:ascii="Arial" w:hAnsi="Arial" w:cs="Arial"/>
          <w:sz w:val="22"/>
          <w:szCs w:val="22"/>
        </w:rPr>
        <w:t xml:space="preserve"> </w:t>
      </w:r>
      <w:r w:rsidRPr="00EA59C0">
        <w:rPr>
          <w:rFonts w:ascii="Arial" w:hAnsi="Arial" w:cs="Arial"/>
          <w:sz w:val="22"/>
          <w:szCs w:val="22"/>
        </w:rPr>
        <w:t>are</w:t>
      </w:r>
      <w:r w:rsidR="00C026A6" w:rsidRPr="00EA59C0">
        <w:rPr>
          <w:rFonts w:ascii="Arial" w:hAnsi="Arial" w:cs="Arial"/>
          <w:sz w:val="22"/>
          <w:szCs w:val="22"/>
        </w:rPr>
        <w:t xml:space="preserve"> </w:t>
      </w:r>
      <w:r w:rsidRPr="00EA59C0">
        <w:rPr>
          <w:rFonts w:ascii="Arial" w:hAnsi="Arial" w:cs="Arial"/>
          <w:sz w:val="22"/>
          <w:szCs w:val="22"/>
        </w:rPr>
        <w:t>used</w:t>
      </w:r>
      <w:r w:rsidR="00C026A6" w:rsidRPr="00EA59C0">
        <w:rPr>
          <w:rFonts w:ascii="Arial" w:hAnsi="Arial" w:cs="Arial"/>
          <w:sz w:val="22"/>
          <w:szCs w:val="22"/>
        </w:rPr>
        <w:t xml:space="preserve"> </w:t>
      </w:r>
      <w:r w:rsidRPr="00EA59C0">
        <w:rPr>
          <w:rFonts w:ascii="Arial" w:hAnsi="Arial" w:cs="Arial"/>
          <w:sz w:val="22"/>
          <w:szCs w:val="22"/>
        </w:rPr>
        <w:t>by</w:t>
      </w:r>
      <w:r w:rsidR="00C026A6" w:rsidRPr="00EA59C0">
        <w:rPr>
          <w:rFonts w:ascii="Arial" w:hAnsi="Arial" w:cs="Arial"/>
          <w:sz w:val="22"/>
          <w:szCs w:val="22"/>
        </w:rPr>
        <w:t xml:space="preserve"> </w:t>
      </w:r>
      <w:r w:rsidRPr="00EA59C0">
        <w:rPr>
          <w:rFonts w:ascii="Arial" w:hAnsi="Arial" w:cs="Arial"/>
          <w:sz w:val="22"/>
          <w:szCs w:val="22"/>
        </w:rPr>
        <w:t>educators</w:t>
      </w:r>
      <w:r w:rsidR="00C026A6" w:rsidRPr="00EA59C0">
        <w:rPr>
          <w:rFonts w:ascii="Arial" w:hAnsi="Arial" w:cs="Arial"/>
          <w:sz w:val="22"/>
          <w:szCs w:val="22"/>
        </w:rPr>
        <w:t xml:space="preserve"> </w:t>
      </w: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diverse</w:t>
      </w:r>
      <w:r w:rsidR="00C026A6" w:rsidRPr="00EA59C0">
        <w:rPr>
          <w:rFonts w:ascii="Arial" w:hAnsi="Arial" w:cs="Arial"/>
          <w:sz w:val="22"/>
          <w:szCs w:val="22"/>
        </w:rPr>
        <w:t xml:space="preserve"> </w:t>
      </w:r>
      <w:r w:rsidRPr="00EA59C0">
        <w:rPr>
          <w:rFonts w:ascii="Arial" w:hAnsi="Arial" w:cs="Arial"/>
          <w:sz w:val="22"/>
          <w:szCs w:val="22"/>
        </w:rPr>
        <w:t>learning</w:t>
      </w:r>
      <w:r w:rsidR="00C026A6" w:rsidRPr="00EA59C0">
        <w:rPr>
          <w:rFonts w:ascii="Arial" w:hAnsi="Arial" w:cs="Arial"/>
          <w:sz w:val="22"/>
          <w:szCs w:val="22"/>
        </w:rPr>
        <w:t xml:space="preserve"> </w:t>
      </w:r>
      <w:r w:rsidRPr="00EA59C0">
        <w:rPr>
          <w:rFonts w:ascii="Arial" w:hAnsi="Arial" w:cs="Arial"/>
          <w:sz w:val="22"/>
          <w:szCs w:val="22"/>
        </w:rPr>
        <w:t>environments</w:t>
      </w:r>
      <w:r w:rsidR="00C026A6" w:rsidRPr="00EA59C0">
        <w:rPr>
          <w:rFonts w:ascii="Arial" w:hAnsi="Arial" w:cs="Arial"/>
          <w:sz w:val="22"/>
          <w:szCs w:val="22"/>
        </w:rPr>
        <w:t xml:space="preserve"> </w:t>
      </w:r>
      <w:r w:rsidRPr="00EA59C0">
        <w:rPr>
          <w:rFonts w:ascii="Arial" w:hAnsi="Arial" w:cs="Arial"/>
          <w:sz w:val="22"/>
          <w:szCs w:val="22"/>
        </w:rPr>
        <w:t>across</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Web.</w:t>
      </w:r>
      <w:r w:rsidR="00C026A6" w:rsidRPr="00EA59C0">
        <w:rPr>
          <w:rFonts w:ascii="Arial" w:hAnsi="Arial" w:cs="Arial"/>
          <w:sz w:val="22"/>
          <w:szCs w:val="22"/>
        </w:rPr>
        <w:t xml:space="preserve">  </w:t>
      </w:r>
      <w:r w:rsidRPr="00EA59C0">
        <w:rPr>
          <w:rFonts w:ascii="Arial" w:hAnsi="Arial" w:cs="Arial"/>
          <w:sz w:val="22"/>
          <w:szCs w:val="22"/>
        </w:rPr>
        <w:t>TAACCCT</w:t>
      </w:r>
      <w:r w:rsidR="00C026A6" w:rsidRPr="00EA59C0">
        <w:rPr>
          <w:rFonts w:ascii="Arial" w:hAnsi="Arial" w:cs="Arial"/>
          <w:sz w:val="22"/>
          <w:szCs w:val="22"/>
        </w:rPr>
        <w:t xml:space="preserve"> </w:t>
      </w:r>
      <w:r w:rsidRPr="00EA59C0">
        <w:rPr>
          <w:rFonts w:ascii="Arial" w:hAnsi="Arial" w:cs="Arial"/>
          <w:sz w:val="22"/>
          <w:szCs w:val="22"/>
        </w:rPr>
        <w:t>grantees</w:t>
      </w:r>
      <w:r w:rsidR="00C026A6" w:rsidRPr="00EA59C0">
        <w:rPr>
          <w:rFonts w:ascii="Arial" w:hAnsi="Arial" w:cs="Arial"/>
          <w:sz w:val="22"/>
          <w:szCs w:val="22"/>
        </w:rPr>
        <w:t xml:space="preserve"> </w:t>
      </w:r>
      <w:r w:rsidRPr="00EA59C0">
        <w:rPr>
          <w:rFonts w:ascii="Arial" w:hAnsi="Arial" w:cs="Arial"/>
          <w:sz w:val="22"/>
          <w:szCs w:val="22"/>
        </w:rPr>
        <w:t>may</w:t>
      </w:r>
      <w:r w:rsidR="00C026A6" w:rsidRPr="00EA59C0">
        <w:rPr>
          <w:rFonts w:ascii="Arial" w:hAnsi="Arial" w:cs="Arial"/>
          <w:sz w:val="22"/>
          <w:szCs w:val="22"/>
        </w:rPr>
        <w:t xml:space="preserve"> </w:t>
      </w:r>
      <w:r w:rsidRPr="00EA59C0">
        <w:rPr>
          <w:rFonts w:ascii="Arial" w:hAnsi="Arial" w:cs="Arial"/>
          <w:sz w:val="22"/>
          <w:szCs w:val="22"/>
        </w:rPr>
        <w:t>tag</w:t>
      </w:r>
      <w:r w:rsidR="00C026A6" w:rsidRPr="00EA59C0">
        <w:rPr>
          <w:rFonts w:ascii="Arial" w:hAnsi="Arial" w:cs="Arial"/>
          <w:sz w:val="22"/>
          <w:szCs w:val="22"/>
        </w:rPr>
        <w:t xml:space="preserve"> </w:t>
      </w:r>
      <w:r w:rsidRPr="00EA59C0">
        <w:rPr>
          <w:rFonts w:ascii="Arial" w:hAnsi="Arial" w:cs="Arial"/>
          <w:sz w:val="22"/>
          <w:szCs w:val="22"/>
        </w:rPr>
        <w:t>their</w:t>
      </w:r>
      <w:r w:rsidR="00C026A6" w:rsidRPr="00EA59C0">
        <w:rPr>
          <w:rFonts w:ascii="Arial" w:hAnsi="Arial" w:cs="Arial"/>
          <w:sz w:val="22"/>
          <w:szCs w:val="22"/>
        </w:rPr>
        <w:t xml:space="preserve"> </w:t>
      </w:r>
      <w:r w:rsidRPr="00EA59C0">
        <w:rPr>
          <w:rFonts w:ascii="Arial" w:hAnsi="Arial" w:cs="Arial"/>
          <w:sz w:val="22"/>
          <w:szCs w:val="22"/>
        </w:rPr>
        <w:t>resources</w:t>
      </w:r>
      <w:r w:rsidR="00C026A6" w:rsidRPr="00EA59C0">
        <w:rPr>
          <w:rFonts w:ascii="Arial" w:hAnsi="Arial" w:cs="Arial"/>
          <w:sz w:val="22"/>
          <w:szCs w:val="22"/>
        </w:rPr>
        <w:t xml:space="preserve"> </w:t>
      </w:r>
      <w:r w:rsidRPr="00EA59C0">
        <w:rPr>
          <w:rFonts w:ascii="Arial" w:hAnsi="Arial" w:cs="Arial"/>
          <w:sz w:val="22"/>
          <w:szCs w:val="22"/>
        </w:rPr>
        <w:t>using</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Learning</w:t>
      </w:r>
      <w:r w:rsidR="00C026A6" w:rsidRPr="00EA59C0">
        <w:rPr>
          <w:rFonts w:ascii="Arial" w:hAnsi="Arial" w:cs="Arial"/>
          <w:sz w:val="22"/>
          <w:szCs w:val="22"/>
        </w:rPr>
        <w:t xml:space="preserve"> </w:t>
      </w:r>
      <w:r w:rsidRPr="00EA59C0">
        <w:rPr>
          <w:rFonts w:ascii="Arial" w:hAnsi="Arial" w:cs="Arial"/>
          <w:sz w:val="22"/>
          <w:szCs w:val="22"/>
        </w:rPr>
        <w:t>Resource</w:t>
      </w:r>
      <w:r w:rsidR="00C026A6" w:rsidRPr="00EA59C0">
        <w:rPr>
          <w:rFonts w:ascii="Arial" w:hAnsi="Arial" w:cs="Arial"/>
          <w:sz w:val="22"/>
          <w:szCs w:val="22"/>
        </w:rPr>
        <w:t xml:space="preserve"> </w:t>
      </w:r>
      <w:r w:rsidRPr="00EA59C0">
        <w:rPr>
          <w:rFonts w:ascii="Arial" w:hAnsi="Arial" w:cs="Arial"/>
          <w:sz w:val="22"/>
          <w:szCs w:val="22"/>
        </w:rPr>
        <w:t>Metadata</w:t>
      </w:r>
      <w:r w:rsidR="00C026A6" w:rsidRPr="00EA59C0">
        <w:rPr>
          <w:rFonts w:ascii="Arial" w:hAnsi="Arial" w:cs="Arial"/>
          <w:sz w:val="22"/>
          <w:szCs w:val="22"/>
        </w:rPr>
        <w:t xml:space="preserve"> </w:t>
      </w:r>
      <w:r w:rsidRPr="00EA59C0">
        <w:rPr>
          <w:rFonts w:ascii="Arial" w:hAnsi="Arial" w:cs="Arial"/>
          <w:sz w:val="22"/>
          <w:szCs w:val="22"/>
        </w:rPr>
        <w:t>Initiative</w:t>
      </w:r>
      <w:r w:rsidR="00C026A6" w:rsidRPr="00EA59C0">
        <w:rPr>
          <w:rFonts w:ascii="Arial" w:hAnsi="Arial" w:cs="Arial"/>
          <w:sz w:val="22"/>
          <w:szCs w:val="22"/>
        </w:rPr>
        <w:t xml:space="preserve"> </w:t>
      </w:r>
      <w:r w:rsidRPr="00EA59C0">
        <w:rPr>
          <w:rFonts w:ascii="Arial" w:hAnsi="Arial" w:cs="Arial"/>
          <w:sz w:val="22"/>
          <w:szCs w:val="22"/>
        </w:rPr>
        <w:t>(LRMI).</w:t>
      </w:r>
    </w:p>
    <w:p w:rsidR="008826BE" w:rsidRPr="00EA59C0" w:rsidRDefault="008826BE" w:rsidP="00DB00BB">
      <w:pPr>
        <w:spacing w:after="120"/>
        <w:rPr>
          <w:rFonts w:ascii="Arial" w:hAnsi="Arial" w:cs="Arial"/>
          <w:b/>
          <w:sz w:val="22"/>
        </w:rPr>
      </w:pPr>
      <w:r w:rsidRPr="00EA59C0">
        <w:rPr>
          <w:rFonts w:ascii="Arial" w:hAnsi="Arial" w:cs="Arial"/>
          <w:b/>
          <w:sz w:val="22"/>
        </w:rPr>
        <w:br w:type="page"/>
      </w:r>
    </w:p>
    <w:p w:rsidR="00C04130" w:rsidRPr="00EA59C0" w:rsidRDefault="00C04130">
      <w:pPr>
        <w:rPr>
          <w:rFonts w:ascii="Arial" w:hAnsi="Arial" w:cs="Arial"/>
          <w:b/>
          <w:sz w:val="22"/>
        </w:rPr>
      </w:pPr>
      <w:r w:rsidRPr="00EA59C0">
        <w:rPr>
          <w:rFonts w:ascii="Arial" w:hAnsi="Arial" w:cs="Arial"/>
          <w:b/>
          <w:sz w:val="22"/>
        </w:rPr>
        <w:t>Appendix</w:t>
      </w:r>
      <w:r w:rsidR="00C026A6" w:rsidRPr="00EA59C0">
        <w:rPr>
          <w:rFonts w:ascii="Arial" w:hAnsi="Arial" w:cs="Arial"/>
          <w:b/>
          <w:sz w:val="22"/>
        </w:rPr>
        <w:t xml:space="preserve"> </w:t>
      </w:r>
      <w:r w:rsidR="00D9326C" w:rsidRPr="00EA59C0">
        <w:rPr>
          <w:rFonts w:ascii="Arial" w:hAnsi="Arial" w:cs="Arial"/>
          <w:b/>
          <w:sz w:val="22"/>
        </w:rPr>
        <w:t>H:</w:t>
      </w:r>
      <w:r w:rsidR="00C026A6" w:rsidRPr="00EA59C0">
        <w:rPr>
          <w:rFonts w:ascii="Arial" w:hAnsi="Arial" w:cs="Arial"/>
          <w:b/>
          <w:sz w:val="22"/>
        </w:rPr>
        <w:t xml:space="preserve"> </w:t>
      </w:r>
      <w:r w:rsidRPr="00EA59C0">
        <w:rPr>
          <w:rFonts w:ascii="Arial" w:hAnsi="Arial" w:cs="Arial"/>
          <w:b/>
          <w:sz w:val="22"/>
        </w:rPr>
        <w:t>2012</w:t>
      </w:r>
      <w:r w:rsidR="00C026A6" w:rsidRPr="00EA59C0">
        <w:rPr>
          <w:rFonts w:ascii="Arial" w:hAnsi="Arial" w:cs="Arial"/>
          <w:b/>
          <w:sz w:val="22"/>
        </w:rPr>
        <w:t xml:space="preserve"> </w:t>
      </w:r>
      <w:r w:rsidRPr="00EA59C0">
        <w:rPr>
          <w:rFonts w:ascii="Arial" w:hAnsi="Arial" w:cs="Arial"/>
          <w:b/>
          <w:sz w:val="22"/>
        </w:rPr>
        <w:t>State</w:t>
      </w:r>
      <w:r w:rsidR="00C026A6" w:rsidRPr="00EA59C0">
        <w:rPr>
          <w:rFonts w:ascii="Arial" w:hAnsi="Arial" w:cs="Arial"/>
          <w:b/>
          <w:sz w:val="22"/>
        </w:rPr>
        <w:t xml:space="preserve"> </w:t>
      </w:r>
      <w:r w:rsidRPr="00EA59C0">
        <w:rPr>
          <w:rFonts w:ascii="Arial" w:hAnsi="Arial" w:cs="Arial"/>
          <w:b/>
          <w:sz w:val="22"/>
        </w:rPr>
        <w:t>TAA</w:t>
      </w:r>
      <w:r w:rsidR="00C026A6" w:rsidRPr="00EA59C0">
        <w:rPr>
          <w:rFonts w:ascii="Arial" w:hAnsi="Arial" w:cs="Arial"/>
          <w:b/>
          <w:sz w:val="22"/>
        </w:rPr>
        <w:t xml:space="preserve"> </w:t>
      </w:r>
      <w:r w:rsidRPr="00EA59C0">
        <w:rPr>
          <w:rFonts w:ascii="Arial" w:hAnsi="Arial" w:cs="Arial"/>
          <w:b/>
          <w:sz w:val="22"/>
        </w:rPr>
        <w:t>Program</w:t>
      </w:r>
      <w:r w:rsidR="00C026A6" w:rsidRPr="00EA59C0">
        <w:rPr>
          <w:rFonts w:ascii="Arial" w:hAnsi="Arial" w:cs="Arial"/>
          <w:b/>
          <w:sz w:val="22"/>
        </w:rPr>
        <w:t xml:space="preserve"> </w:t>
      </w:r>
      <w:r w:rsidRPr="00EA59C0">
        <w:rPr>
          <w:rFonts w:ascii="Arial" w:hAnsi="Arial" w:cs="Arial"/>
          <w:b/>
          <w:sz w:val="22"/>
        </w:rPr>
        <w:t>Statistics</w:t>
      </w:r>
      <w:r w:rsidR="00C026A6" w:rsidRPr="00EA59C0">
        <w:rPr>
          <w:rFonts w:ascii="Arial" w:hAnsi="Arial" w:cs="Arial"/>
          <w:b/>
          <w:sz w:val="22"/>
        </w:rPr>
        <w:t xml:space="preserve"> </w:t>
      </w:r>
    </w:p>
    <w:p w:rsidR="00C04130" w:rsidRPr="00EA59C0" w:rsidRDefault="00C04130">
      <w:pPr>
        <w:rPr>
          <w:rFonts w:ascii="Arial" w:hAnsi="Arial" w:cs="Arial"/>
          <w:b/>
          <w:sz w:val="18"/>
        </w:rPr>
      </w:pPr>
      <w:r w:rsidRPr="00EA59C0">
        <w:rPr>
          <w:rFonts w:ascii="Arial" w:hAnsi="Arial" w:cs="Arial"/>
          <w:b/>
          <w:sz w:val="18"/>
        </w:rPr>
        <w:t>(Data</w:t>
      </w:r>
      <w:r w:rsidR="00C026A6" w:rsidRPr="00EA59C0">
        <w:rPr>
          <w:rFonts w:ascii="Arial" w:hAnsi="Arial" w:cs="Arial"/>
          <w:b/>
          <w:sz w:val="18"/>
        </w:rPr>
        <w:t xml:space="preserve"> </w:t>
      </w:r>
      <w:r w:rsidRPr="00EA59C0">
        <w:rPr>
          <w:rFonts w:ascii="Arial" w:hAnsi="Arial" w:cs="Arial"/>
          <w:b/>
          <w:sz w:val="18"/>
        </w:rPr>
        <w:t>as</w:t>
      </w:r>
      <w:r w:rsidR="00C026A6" w:rsidRPr="00EA59C0">
        <w:rPr>
          <w:rFonts w:ascii="Arial" w:hAnsi="Arial" w:cs="Arial"/>
          <w:b/>
          <w:sz w:val="18"/>
        </w:rPr>
        <w:t xml:space="preserve"> </w:t>
      </w:r>
      <w:r w:rsidRPr="00EA59C0">
        <w:rPr>
          <w:rFonts w:ascii="Arial" w:hAnsi="Arial" w:cs="Arial"/>
          <w:b/>
          <w:sz w:val="18"/>
        </w:rPr>
        <w:t>of</w:t>
      </w:r>
      <w:r w:rsidR="00C026A6" w:rsidRPr="00EA59C0">
        <w:rPr>
          <w:rFonts w:ascii="Arial" w:hAnsi="Arial" w:cs="Arial"/>
          <w:b/>
          <w:sz w:val="18"/>
        </w:rPr>
        <w:t xml:space="preserve"> </w:t>
      </w:r>
      <w:r w:rsidRPr="00EA59C0">
        <w:rPr>
          <w:rFonts w:ascii="Arial" w:hAnsi="Arial" w:cs="Arial"/>
          <w:b/>
          <w:sz w:val="18"/>
        </w:rPr>
        <w:t>January</w:t>
      </w:r>
      <w:r w:rsidR="00C026A6" w:rsidRPr="00EA59C0">
        <w:rPr>
          <w:rFonts w:ascii="Arial" w:hAnsi="Arial" w:cs="Arial"/>
          <w:b/>
          <w:sz w:val="18"/>
        </w:rPr>
        <w:t xml:space="preserve"> </w:t>
      </w:r>
      <w:r w:rsidRPr="00EA59C0">
        <w:rPr>
          <w:rFonts w:ascii="Arial" w:hAnsi="Arial" w:cs="Arial"/>
          <w:b/>
          <w:sz w:val="18"/>
        </w:rPr>
        <w:t>2,</w:t>
      </w:r>
      <w:r w:rsidR="00C026A6" w:rsidRPr="00EA59C0">
        <w:rPr>
          <w:rFonts w:ascii="Arial" w:hAnsi="Arial" w:cs="Arial"/>
          <w:b/>
          <w:sz w:val="18"/>
        </w:rPr>
        <w:t xml:space="preserve"> </w:t>
      </w:r>
      <w:r w:rsidRPr="00EA59C0">
        <w:rPr>
          <w:rFonts w:ascii="Arial" w:hAnsi="Arial" w:cs="Arial"/>
          <w:b/>
          <w:sz w:val="18"/>
        </w:rPr>
        <w:t>2013)</w:t>
      </w:r>
    </w:p>
    <w:p w:rsidR="00C04130" w:rsidRPr="00EA59C0" w:rsidRDefault="00C04130">
      <w:pPr>
        <w:rPr>
          <w:rFonts w:ascii="Arial" w:hAnsi="Arial" w:cs="Arial"/>
          <w:b/>
          <w:sz w:val="22"/>
        </w:rPr>
      </w:pPr>
    </w:p>
    <w:tbl>
      <w:tblPr>
        <w:tblW w:w="8600" w:type="dxa"/>
        <w:tblInd w:w="93" w:type="dxa"/>
        <w:tblLook w:val="04A0" w:firstRow="1" w:lastRow="0" w:firstColumn="1" w:lastColumn="0" w:noHBand="0" w:noVBand="1"/>
        <w:tblDescription w:val="TAPR Data for FY 2012"/>
      </w:tblPr>
      <w:tblGrid>
        <w:gridCol w:w="1635"/>
        <w:gridCol w:w="1440"/>
        <w:gridCol w:w="1440"/>
        <w:gridCol w:w="1440"/>
        <w:gridCol w:w="2645"/>
      </w:tblGrid>
      <w:tr w:rsidR="00EA59C0" w:rsidRPr="00EA59C0" w:rsidTr="00C04130">
        <w:trPr>
          <w:trHeight w:hRule="exact" w:val="187"/>
        </w:trPr>
        <w:tc>
          <w:tcPr>
            <w:tcW w:w="1635" w:type="dxa"/>
            <w:tcBorders>
              <w:top w:val="single" w:sz="4" w:space="0" w:color="000000"/>
              <w:left w:val="single" w:sz="4" w:space="0" w:color="000000"/>
              <w:bottom w:val="single" w:sz="4" w:space="0" w:color="000000"/>
              <w:right w:val="single" w:sz="4" w:space="0" w:color="000000"/>
            </w:tcBorders>
            <w:shd w:val="clear" w:color="000000" w:fill="CCCCCC"/>
            <w:vAlign w:val="center"/>
            <w:hideMark/>
          </w:tcPr>
          <w:p w:rsidR="00C04130" w:rsidRPr="00EA59C0" w:rsidRDefault="00C026A6">
            <w:pPr>
              <w:jc w:val="center"/>
              <w:rPr>
                <w:rFonts w:ascii="Calibri" w:hAnsi="Calibri"/>
                <w:b/>
                <w:bCs/>
                <w:sz w:val="16"/>
                <w:szCs w:val="22"/>
              </w:rPr>
            </w:pPr>
            <w:r w:rsidRPr="00EA59C0">
              <w:rPr>
                <w:rFonts w:ascii="Calibri" w:hAnsi="Calibri"/>
                <w:b/>
                <w:bCs/>
                <w:sz w:val="16"/>
                <w:szCs w:val="22"/>
              </w:rPr>
              <w:t xml:space="preserve"> </w:t>
            </w:r>
          </w:p>
        </w:tc>
        <w:tc>
          <w:tcPr>
            <w:tcW w:w="6965" w:type="dxa"/>
            <w:gridSpan w:val="4"/>
            <w:tcBorders>
              <w:top w:val="single" w:sz="4" w:space="0" w:color="000000"/>
              <w:left w:val="nil"/>
              <w:bottom w:val="single" w:sz="4" w:space="0" w:color="000000"/>
              <w:right w:val="single" w:sz="4" w:space="0" w:color="000000"/>
            </w:tcBorders>
            <w:shd w:val="clear" w:color="000000" w:fill="CCCCCC"/>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Full</w:t>
            </w:r>
            <w:r w:rsidR="00C026A6" w:rsidRPr="00EA59C0">
              <w:rPr>
                <w:rFonts w:ascii="Calibri" w:hAnsi="Calibri"/>
                <w:b/>
                <w:bCs/>
                <w:sz w:val="16"/>
                <w:szCs w:val="22"/>
              </w:rPr>
              <w:t xml:space="preserve"> </w:t>
            </w:r>
            <w:r w:rsidRPr="00EA59C0">
              <w:rPr>
                <w:rFonts w:ascii="Calibri" w:hAnsi="Calibri"/>
                <w:b/>
                <w:bCs/>
                <w:sz w:val="16"/>
                <w:szCs w:val="22"/>
              </w:rPr>
              <w:t>Year</w:t>
            </w:r>
            <w:r w:rsidR="00C026A6" w:rsidRPr="00EA59C0">
              <w:rPr>
                <w:rFonts w:ascii="Calibri" w:hAnsi="Calibri"/>
                <w:b/>
                <w:bCs/>
                <w:sz w:val="16"/>
                <w:szCs w:val="22"/>
              </w:rPr>
              <w:t xml:space="preserve"> </w:t>
            </w:r>
            <w:r w:rsidRPr="00EA59C0">
              <w:rPr>
                <w:rFonts w:ascii="Calibri" w:hAnsi="Calibri"/>
                <w:b/>
                <w:bCs/>
                <w:sz w:val="16"/>
                <w:szCs w:val="22"/>
              </w:rPr>
              <w:t>FY</w:t>
            </w:r>
            <w:r w:rsidR="00C026A6" w:rsidRPr="00EA59C0">
              <w:rPr>
                <w:rFonts w:ascii="Calibri" w:hAnsi="Calibri"/>
                <w:b/>
                <w:bCs/>
                <w:sz w:val="16"/>
                <w:szCs w:val="22"/>
              </w:rPr>
              <w:t xml:space="preserve"> </w:t>
            </w:r>
            <w:r w:rsidRPr="00EA59C0">
              <w:rPr>
                <w:rFonts w:ascii="Calibri" w:hAnsi="Calibri"/>
                <w:b/>
                <w:bCs/>
                <w:sz w:val="16"/>
                <w:szCs w:val="22"/>
              </w:rPr>
              <w:t>2012</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CCCCCC"/>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State</w:t>
            </w:r>
          </w:p>
        </w:tc>
        <w:tc>
          <w:tcPr>
            <w:tcW w:w="1440" w:type="dxa"/>
            <w:tcBorders>
              <w:top w:val="nil"/>
              <w:left w:val="nil"/>
              <w:bottom w:val="single" w:sz="4" w:space="0" w:color="000000"/>
              <w:right w:val="single" w:sz="4" w:space="0" w:color="000000"/>
            </w:tcBorders>
            <w:shd w:val="clear" w:color="000000" w:fill="CCCCCC"/>
            <w:vAlign w:val="center"/>
            <w:hideMark/>
          </w:tcPr>
          <w:p w:rsidR="00C04130" w:rsidRPr="00EA59C0" w:rsidRDefault="00C04130" w:rsidP="00C04130">
            <w:pPr>
              <w:jc w:val="center"/>
              <w:rPr>
                <w:rFonts w:ascii="Calibri" w:hAnsi="Calibri"/>
                <w:b/>
                <w:bCs/>
                <w:sz w:val="16"/>
                <w:szCs w:val="22"/>
              </w:rPr>
            </w:pPr>
            <w:r w:rsidRPr="00EA59C0">
              <w:rPr>
                <w:rFonts w:ascii="Calibri" w:hAnsi="Calibri"/>
                <w:b/>
                <w:bCs/>
                <w:sz w:val="16"/>
                <w:szCs w:val="22"/>
              </w:rPr>
              <w:t>Petitions</w:t>
            </w:r>
            <w:r w:rsidR="00C026A6" w:rsidRPr="00EA59C0">
              <w:rPr>
                <w:rFonts w:ascii="Calibri" w:hAnsi="Calibri"/>
                <w:b/>
                <w:bCs/>
                <w:sz w:val="16"/>
                <w:szCs w:val="22"/>
              </w:rPr>
              <w:t xml:space="preserve"> </w:t>
            </w:r>
          </w:p>
        </w:tc>
        <w:tc>
          <w:tcPr>
            <w:tcW w:w="1440" w:type="dxa"/>
            <w:tcBorders>
              <w:top w:val="nil"/>
              <w:left w:val="nil"/>
              <w:bottom w:val="single" w:sz="4" w:space="0" w:color="000000"/>
              <w:right w:val="single" w:sz="4" w:space="0" w:color="000000"/>
            </w:tcBorders>
            <w:shd w:val="clear" w:color="000000" w:fill="CCCCCC"/>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Certifications*</w:t>
            </w:r>
          </w:p>
        </w:tc>
        <w:tc>
          <w:tcPr>
            <w:tcW w:w="1440" w:type="dxa"/>
            <w:tcBorders>
              <w:top w:val="nil"/>
              <w:left w:val="nil"/>
              <w:bottom w:val="single" w:sz="4" w:space="0" w:color="000000"/>
              <w:right w:val="single" w:sz="4" w:space="0" w:color="000000"/>
            </w:tcBorders>
            <w:shd w:val="clear" w:color="000000" w:fill="CCCCCC"/>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Workers*</w:t>
            </w:r>
          </w:p>
        </w:tc>
        <w:tc>
          <w:tcPr>
            <w:tcW w:w="2645" w:type="dxa"/>
            <w:tcBorders>
              <w:top w:val="nil"/>
              <w:left w:val="nil"/>
              <w:bottom w:val="single" w:sz="4" w:space="0" w:color="000000"/>
              <w:right w:val="single" w:sz="4" w:space="0" w:color="000000"/>
            </w:tcBorders>
            <w:shd w:val="clear" w:color="000000" w:fill="CCCCCC"/>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Training</w:t>
            </w:r>
            <w:r w:rsidR="00C026A6" w:rsidRPr="00EA59C0">
              <w:rPr>
                <w:rFonts w:ascii="Calibri" w:hAnsi="Calibri"/>
                <w:b/>
                <w:bCs/>
                <w:sz w:val="16"/>
                <w:szCs w:val="22"/>
              </w:rPr>
              <w:t xml:space="preserve"> </w:t>
            </w:r>
            <w:r w:rsidRPr="00EA59C0">
              <w:rPr>
                <w:rFonts w:ascii="Calibri" w:hAnsi="Calibri"/>
                <w:b/>
                <w:bCs/>
                <w:sz w:val="16"/>
                <w:szCs w:val="22"/>
              </w:rPr>
              <w:t>Fund</w:t>
            </w:r>
            <w:r w:rsidR="00C026A6" w:rsidRPr="00EA59C0">
              <w:rPr>
                <w:rFonts w:ascii="Calibri" w:hAnsi="Calibri"/>
                <w:b/>
                <w:bCs/>
                <w:sz w:val="16"/>
                <w:szCs w:val="22"/>
              </w:rPr>
              <w:t xml:space="preserve"> </w:t>
            </w:r>
            <w:r w:rsidRPr="00EA59C0">
              <w:rPr>
                <w:rFonts w:ascii="Calibri" w:hAnsi="Calibri"/>
                <w:b/>
                <w:bCs/>
                <w:sz w:val="16"/>
                <w:szCs w:val="22"/>
              </w:rPr>
              <w:t>Allocation</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AK</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$120,542</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AL</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14</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8</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978</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$14,238,341</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AR</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25</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19</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4,192</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$12,056,185</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AZ</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9</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8</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626</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$3,908,143</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CA</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124</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102</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7,214</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$18,022,391</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CO</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42</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37</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1,234</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$4,394,744</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CT</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36</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32</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1,160</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$9,858,402</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DC</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DE</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$397,375</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FL</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46</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3,557</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$5,386,360</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GA</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39</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39</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1,735</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$11,683,176</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HI</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$135,954</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IA</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13</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12</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664</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$12,013,610</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ID</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13</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13</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443</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$4,138,354</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IL</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51</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36</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1,628</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$17,692,959</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IN</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31</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26</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1,828</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$19,862,483</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KS</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7</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634</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$5,915,245</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KY</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21</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15</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2,178</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$16,626,315</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LA</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35</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2,777</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$2,239,541</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MA</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57</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48</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3,375</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$10,546,587</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MD</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26</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13</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444</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$2,938,502</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ME</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12</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11</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352</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$6,691,950</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MI</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47</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27</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1,655</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$64,368,072</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MN</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25</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18</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1,928</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$16,883,328</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MO</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25</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1,080</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$11,986,481</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MS</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9</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236</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$1,792,923</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MT</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$3,938,858</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NC</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70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3,168</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$35,189,720</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ND</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$620,022</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NE</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67</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$2,063,669</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NH</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8</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513</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$1,993,370</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NJ</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33</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26</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1,591</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$5,817,519</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NM</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7</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349</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$5,213,218</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NV</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5</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570</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$873,106</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NY</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76</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64</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4,262</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$21,804,574</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OH</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70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53</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7,082</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$35,511,249</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OK</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12</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9</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462</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$3,019,327</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OR</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38</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32</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2,146</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$17,551,988</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PA</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85</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64</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4,013</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$34,657,117</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PR</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196</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$627,075</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RI</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5</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389</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$3,318,670</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SC</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37</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27</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1,832</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$14,372,309</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SD</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86</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$1,352,925</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TN</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37</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31</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3,026</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$19,062,718</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TX</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80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59</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4,204</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$24,528,327</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UT</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8</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334</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$3,666,560</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VA</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34</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1,357</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$12,739,034</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VI</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VT</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48</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$661,332</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WA</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44</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3,115</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$16,186,918</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WI</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43</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30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2,083</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$29,560,009</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WV</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17</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18</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698</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$6,772,423</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auto" w:fill="auto"/>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WY</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1440"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c>
          <w:tcPr>
            <w:tcW w:w="2645" w:type="dxa"/>
            <w:tcBorders>
              <w:top w:val="nil"/>
              <w:left w:val="nil"/>
              <w:bottom w:val="single" w:sz="4" w:space="0" w:color="000000"/>
              <w:right w:val="single" w:sz="4" w:space="0" w:color="000000"/>
            </w:tcBorders>
            <w:shd w:val="clear" w:color="000000" w:fill="EEEEEE"/>
            <w:vAlign w:val="bottom"/>
            <w:hideMark/>
          </w:tcPr>
          <w:p w:rsidR="00C04130" w:rsidRPr="00EA59C0" w:rsidRDefault="00C04130">
            <w:pPr>
              <w:rPr>
                <w:rFonts w:ascii="Calibri" w:hAnsi="Calibri"/>
                <w:sz w:val="16"/>
                <w:szCs w:val="22"/>
              </w:rPr>
            </w:pPr>
            <w:r w:rsidRPr="00EA59C0">
              <w:rPr>
                <w:rFonts w:ascii="Calibri" w:hAnsi="Calibri"/>
                <w:sz w:val="16"/>
                <w:szCs w:val="22"/>
              </w:rPr>
              <w:t>$0</w:t>
            </w:r>
            <w:r w:rsidR="00C026A6" w:rsidRPr="00EA59C0">
              <w:rPr>
                <w:rFonts w:ascii="Calibri" w:hAnsi="Calibri"/>
                <w:sz w:val="16"/>
                <w:szCs w:val="22"/>
              </w:rPr>
              <w:t xml:space="preserve"> </w:t>
            </w:r>
          </w:p>
        </w:tc>
      </w:tr>
      <w:tr w:rsidR="00EA59C0" w:rsidRPr="00EA59C0" w:rsidTr="00C04130">
        <w:trPr>
          <w:trHeight w:hRule="exact" w:val="187"/>
        </w:trPr>
        <w:tc>
          <w:tcPr>
            <w:tcW w:w="1635" w:type="dxa"/>
            <w:tcBorders>
              <w:top w:val="nil"/>
              <w:left w:val="single" w:sz="4" w:space="0" w:color="000000"/>
              <w:bottom w:val="single" w:sz="4" w:space="0" w:color="000000"/>
              <w:right w:val="single" w:sz="4" w:space="0" w:color="000000"/>
            </w:tcBorders>
            <w:shd w:val="clear" w:color="000000" w:fill="E9E9E9"/>
            <w:vAlign w:val="center"/>
            <w:hideMark/>
          </w:tcPr>
          <w:p w:rsidR="00C04130" w:rsidRPr="00EA59C0" w:rsidRDefault="00C04130">
            <w:pPr>
              <w:jc w:val="center"/>
              <w:rPr>
                <w:rFonts w:ascii="Calibri" w:hAnsi="Calibri"/>
                <w:b/>
                <w:bCs/>
                <w:sz w:val="16"/>
                <w:szCs w:val="22"/>
              </w:rPr>
            </w:pPr>
            <w:r w:rsidRPr="00EA59C0">
              <w:rPr>
                <w:rFonts w:ascii="Calibri" w:hAnsi="Calibri"/>
                <w:b/>
                <w:bCs/>
                <w:sz w:val="16"/>
                <w:szCs w:val="22"/>
              </w:rPr>
              <w:t>TOTAL</w:t>
            </w:r>
            <w:r w:rsidR="00C026A6" w:rsidRPr="00EA59C0">
              <w:rPr>
                <w:rFonts w:ascii="Calibri" w:hAnsi="Calibri"/>
                <w:b/>
                <w:bCs/>
                <w:sz w:val="16"/>
                <w:szCs w:val="22"/>
              </w:rPr>
              <w:t xml:space="preserve"> </w:t>
            </w:r>
            <w:r w:rsidRPr="00EA59C0">
              <w:rPr>
                <w:rFonts w:ascii="Calibri" w:hAnsi="Calibri"/>
                <w:b/>
                <w:bCs/>
                <w:sz w:val="16"/>
                <w:szCs w:val="22"/>
              </w:rPr>
              <w:t>US</w:t>
            </w:r>
          </w:p>
        </w:tc>
        <w:tc>
          <w:tcPr>
            <w:tcW w:w="1440" w:type="dxa"/>
            <w:tcBorders>
              <w:top w:val="nil"/>
              <w:left w:val="nil"/>
              <w:bottom w:val="single" w:sz="4" w:space="0" w:color="000000"/>
              <w:right w:val="single" w:sz="4" w:space="0" w:color="000000"/>
            </w:tcBorders>
            <w:shd w:val="clear" w:color="000000" w:fill="E9E9E9"/>
            <w:vAlign w:val="bottom"/>
            <w:hideMark/>
          </w:tcPr>
          <w:p w:rsidR="00C04130" w:rsidRPr="00EA59C0" w:rsidRDefault="00C04130">
            <w:pPr>
              <w:rPr>
                <w:rFonts w:ascii="Calibri" w:hAnsi="Calibri"/>
                <w:b/>
                <w:bCs/>
                <w:sz w:val="16"/>
                <w:szCs w:val="22"/>
              </w:rPr>
            </w:pPr>
            <w:r w:rsidRPr="00EA59C0">
              <w:rPr>
                <w:rFonts w:ascii="Calibri" w:hAnsi="Calibri"/>
                <w:b/>
                <w:bCs/>
                <w:sz w:val="16"/>
                <w:szCs w:val="22"/>
              </w:rPr>
              <w:t>1,439</w:t>
            </w:r>
            <w:r w:rsidR="00C026A6" w:rsidRPr="00EA59C0">
              <w:rPr>
                <w:rFonts w:ascii="Calibri" w:hAnsi="Calibri"/>
                <w:b/>
                <w:bCs/>
                <w:sz w:val="16"/>
                <w:szCs w:val="22"/>
              </w:rPr>
              <w:t xml:space="preserve"> </w:t>
            </w:r>
          </w:p>
        </w:tc>
        <w:tc>
          <w:tcPr>
            <w:tcW w:w="1440" w:type="dxa"/>
            <w:tcBorders>
              <w:top w:val="nil"/>
              <w:left w:val="nil"/>
              <w:bottom w:val="single" w:sz="4" w:space="0" w:color="000000"/>
              <w:right w:val="single" w:sz="4" w:space="0" w:color="000000"/>
            </w:tcBorders>
            <w:shd w:val="clear" w:color="000000" w:fill="E9E9E9"/>
            <w:vAlign w:val="bottom"/>
            <w:hideMark/>
          </w:tcPr>
          <w:p w:rsidR="00C04130" w:rsidRPr="00EA59C0" w:rsidRDefault="00C04130">
            <w:pPr>
              <w:rPr>
                <w:rFonts w:ascii="Calibri" w:hAnsi="Calibri"/>
                <w:b/>
                <w:bCs/>
                <w:sz w:val="16"/>
                <w:szCs w:val="22"/>
              </w:rPr>
            </w:pPr>
            <w:r w:rsidRPr="00EA59C0">
              <w:rPr>
                <w:rFonts w:ascii="Calibri" w:hAnsi="Calibri"/>
                <w:b/>
                <w:bCs/>
                <w:sz w:val="16"/>
                <w:szCs w:val="22"/>
              </w:rPr>
              <w:t>1,134</w:t>
            </w:r>
            <w:r w:rsidR="00C026A6" w:rsidRPr="00EA59C0">
              <w:rPr>
                <w:rFonts w:ascii="Calibri" w:hAnsi="Calibri"/>
                <w:b/>
                <w:bCs/>
                <w:sz w:val="16"/>
                <w:szCs w:val="22"/>
              </w:rPr>
              <w:t xml:space="preserve"> </w:t>
            </w:r>
          </w:p>
        </w:tc>
        <w:tc>
          <w:tcPr>
            <w:tcW w:w="1440" w:type="dxa"/>
            <w:tcBorders>
              <w:top w:val="nil"/>
              <w:left w:val="nil"/>
              <w:bottom w:val="single" w:sz="4" w:space="0" w:color="000000"/>
              <w:right w:val="single" w:sz="4" w:space="0" w:color="000000"/>
            </w:tcBorders>
            <w:shd w:val="clear" w:color="000000" w:fill="E9E9E9"/>
            <w:vAlign w:val="bottom"/>
            <w:hideMark/>
          </w:tcPr>
          <w:p w:rsidR="00C04130" w:rsidRPr="00EA59C0" w:rsidRDefault="00C04130">
            <w:pPr>
              <w:rPr>
                <w:rFonts w:ascii="Calibri" w:hAnsi="Calibri"/>
                <w:b/>
                <w:bCs/>
                <w:sz w:val="16"/>
                <w:szCs w:val="22"/>
              </w:rPr>
            </w:pPr>
            <w:r w:rsidRPr="00EA59C0">
              <w:rPr>
                <w:rFonts w:ascii="Calibri" w:hAnsi="Calibri"/>
                <w:b/>
                <w:bCs/>
                <w:sz w:val="16"/>
                <w:szCs w:val="22"/>
              </w:rPr>
              <w:t>81,510</w:t>
            </w:r>
            <w:r w:rsidR="00C026A6" w:rsidRPr="00EA59C0">
              <w:rPr>
                <w:rFonts w:ascii="Calibri" w:hAnsi="Calibri"/>
                <w:b/>
                <w:bCs/>
                <w:sz w:val="16"/>
                <w:szCs w:val="22"/>
              </w:rPr>
              <w:t xml:space="preserve"> </w:t>
            </w:r>
          </w:p>
        </w:tc>
        <w:tc>
          <w:tcPr>
            <w:tcW w:w="2645" w:type="dxa"/>
            <w:tcBorders>
              <w:top w:val="nil"/>
              <w:left w:val="nil"/>
              <w:bottom w:val="single" w:sz="4" w:space="0" w:color="000000"/>
              <w:right w:val="single" w:sz="4" w:space="0" w:color="000000"/>
            </w:tcBorders>
            <w:shd w:val="clear" w:color="000000" w:fill="E9E9E9"/>
            <w:vAlign w:val="bottom"/>
            <w:hideMark/>
          </w:tcPr>
          <w:p w:rsidR="00C04130" w:rsidRPr="00EA59C0" w:rsidRDefault="00C04130">
            <w:pPr>
              <w:rPr>
                <w:rFonts w:ascii="Calibri" w:hAnsi="Calibri"/>
                <w:b/>
                <w:bCs/>
                <w:sz w:val="16"/>
                <w:szCs w:val="22"/>
              </w:rPr>
            </w:pPr>
            <w:r w:rsidRPr="00EA59C0">
              <w:rPr>
                <w:rFonts w:ascii="Calibri" w:hAnsi="Calibri"/>
                <w:b/>
                <w:bCs/>
                <w:sz w:val="16"/>
                <w:szCs w:val="22"/>
              </w:rPr>
              <w:t>$575,000,000</w:t>
            </w:r>
            <w:r w:rsidR="00C026A6" w:rsidRPr="00EA59C0">
              <w:rPr>
                <w:rFonts w:ascii="Calibri" w:hAnsi="Calibri"/>
                <w:b/>
                <w:bCs/>
                <w:sz w:val="16"/>
                <w:szCs w:val="22"/>
              </w:rPr>
              <w:t xml:space="preserve"> </w:t>
            </w:r>
          </w:p>
        </w:tc>
      </w:tr>
    </w:tbl>
    <w:p w:rsidR="00C04130" w:rsidRPr="00EA59C0" w:rsidRDefault="00C026A6">
      <w:pPr>
        <w:rPr>
          <w:rFonts w:ascii="Arial" w:hAnsi="Arial" w:cs="Arial"/>
          <w:b/>
          <w:sz w:val="22"/>
        </w:rPr>
      </w:pPr>
      <w:r w:rsidRPr="00EA59C0">
        <w:rPr>
          <w:rFonts w:ascii="Arial" w:hAnsi="Arial" w:cs="Arial"/>
          <w:b/>
          <w:sz w:val="22"/>
        </w:rPr>
        <w:t xml:space="preserve"> </w:t>
      </w:r>
      <w:r w:rsidR="00C04130" w:rsidRPr="00EA59C0">
        <w:rPr>
          <w:rFonts w:ascii="Arial" w:hAnsi="Arial" w:cs="Arial"/>
          <w:b/>
          <w:sz w:val="22"/>
        </w:rPr>
        <w:br w:type="page"/>
      </w:r>
    </w:p>
    <w:p w:rsidR="008826BE" w:rsidRPr="00EA59C0" w:rsidRDefault="008826BE" w:rsidP="00DB00BB">
      <w:pPr>
        <w:pStyle w:val="NormalWeb"/>
        <w:spacing w:before="0" w:beforeAutospacing="0" w:after="0" w:afterAutospacing="0"/>
        <w:rPr>
          <w:rFonts w:ascii="Arial" w:hAnsi="Arial" w:cs="Arial"/>
          <w:b/>
          <w:sz w:val="22"/>
        </w:rPr>
      </w:pPr>
      <w:r w:rsidRPr="00EA59C0">
        <w:rPr>
          <w:rFonts w:ascii="Arial" w:hAnsi="Arial" w:cs="Arial"/>
          <w:b/>
          <w:sz w:val="22"/>
        </w:rPr>
        <w:t>Appendix</w:t>
      </w:r>
      <w:r w:rsidR="00C026A6" w:rsidRPr="00EA59C0">
        <w:rPr>
          <w:rFonts w:ascii="Arial" w:hAnsi="Arial" w:cs="Arial"/>
          <w:b/>
          <w:sz w:val="22"/>
        </w:rPr>
        <w:t xml:space="preserve"> </w:t>
      </w:r>
      <w:r w:rsidR="00D9326C" w:rsidRPr="00EA59C0">
        <w:rPr>
          <w:rFonts w:ascii="Arial" w:hAnsi="Arial" w:cs="Arial"/>
          <w:b/>
          <w:sz w:val="22"/>
        </w:rPr>
        <w:t>I</w:t>
      </w:r>
      <w:r w:rsidRPr="00EA59C0">
        <w:rPr>
          <w:rFonts w:ascii="Arial" w:hAnsi="Arial" w:cs="Arial"/>
          <w:b/>
          <w:sz w:val="22"/>
        </w:rPr>
        <w:t>:</w:t>
      </w:r>
      <w:r w:rsidR="00C026A6" w:rsidRPr="00EA59C0">
        <w:rPr>
          <w:rFonts w:ascii="Arial" w:hAnsi="Arial" w:cs="Arial"/>
          <w:b/>
          <w:sz w:val="22"/>
        </w:rPr>
        <w:t xml:space="preserve">  </w:t>
      </w:r>
      <w:r w:rsidRPr="00EA59C0">
        <w:rPr>
          <w:rFonts w:ascii="Arial" w:hAnsi="Arial" w:cs="Arial"/>
          <w:b/>
          <w:sz w:val="22"/>
        </w:rPr>
        <w:t>North</w:t>
      </w:r>
      <w:r w:rsidR="00C026A6" w:rsidRPr="00EA59C0">
        <w:rPr>
          <w:rFonts w:ascii="Arial" w:hAnsi="Arial" w:cs="Arial"/>
          <w:b/>
          <w:sz w:val="22"/>
        </w:rPr>
        <w:t xml:space="preserve"> </w:t>
      </w:r>
      <w:r w:rsidRPr="00EA59C0">
        <w:rPr>
          <w:rFonts w:ascii="Arial" w:hAnsi="Arial" w:cs="Arial"/>
          <w:b/>
          <w:sz w:val="22"/>
        </w:rPr>
        <w:t>American</w:t>
      </w:r>
      <w:r w:rsidR="00C026A6" w:rsidRPr="00EA59C0">
        <w:rPr>
          <w:rFonts w:ascii="Arial" w:hAnsi="Arial" w:cs="Arial"/>
          <w:b/>
          <w:sz w:val="22"/>
        </w:rPr>
        <w:t xml:space="preserve"> </w:t>
      </w:r>
      <w:r w:rsidRPr="00EA59C0">
        <w:rPr>
          <w:rFonts w:ascii="Arial" w:hAnsi="Arial" w:cs="Arial"/>
          <w:b/>
          <w:sz w:val="22"/>
        </w:rPr>
        <w:t>Industrial</w:t>
      </w:r>
      <w:r w:rsidR="00C026A6" w:rsidRPr="00EA59C0">
        <w:rPr>
          <w:rFonts w:ascii="Arial" w:hAnsi="Arial" w:cs="Arial"/>
          <w:b/>
          <w:sz w:val="22"/>
        </w:rPr>
        <w:t xml:space="preserve"> </w:t>
      </w:r>
      <w:r w:rsidRPr="00EA59C0">
        <w:rPr>
          <w:rFonts w:ascii="Arial" w:hAnsi="Arial" w:cs="Arial"/>
          <w:b/>
          <w:sz w:val="22"/>
        </w:rPr>
        <w:t>Classification</w:t>
      </w:r>
      <w:r w:rsidR="00C026A6" w:rsidRPr="00EA59C0">
        <w:rPr>
          <w:rFonts w:ascii="Arial" w:hAnsi="Arial" w:cs="Arial"/>
          <w:b/>
          <w:sz w:val="22"/>
        </w:rPr>
        <w:t xml:space="preserve"> </w:t>
      </w:r>
      <w:r w:rsidRPr="00EA59C0">
        <w:rPr>
          <w:rFonts w:ascii="Arial" w:hAnsi="Arial" w:cs="Arial"/>
          <w:b/>
          <w:sz w:val="22"/>
        </w:rPr>
        <w:t>System</w:t>
      </w:r>
      <w:r w:rsidR="00C026A6" w:rsidRPr="00EA59C0">
        <w:rPr>
          <w:rFonts w:ascii="Arial" w:hAnsi="Arial" w:cs="Arial"/>
          <w:b/>
          <w:sz w:val="22"/>
        </w:rPr>
        <w:t xml:space="preserve"> </w:t>
      </w:r>
      <w:r w:rsidRPr="00EA59C0">
        <w:rPr>
          <w:rFonts w:ascii="Arial" w:hAnsi="Arial" w:cs="Arial"/>
          <w:b/>
          <w:sz w:val="22"/>
        </w:rPr>
        <w:t>(NAICS)</w:t>
      </w:r>
      <w:r w:rsidR="00C026A6" w:rsidRPr="00EA59C0">
        <w:rPr>
          <w:rFonts w:ascii="Arial" w:hAnsi="Arial" w:cs="Arial"/>
          <w:b/>
          <w:sz w:val="22"/>
        </w:rPr>
        <w:t xml:space="preserve"> </w:t>
      </w:r>
      <w:r w:rsidRPr="00EA59C0">
        <w:rPr>
          <w:rFonts w:ascii="Arial" w:hAnsi="Arial" w:cs="Arial"/>
          <w:b/>
          <w:sz w:val="22"/>
        </w:rPr>
        <w:t>2-digit</w:t>
      </w:r>
      <w:r w:rsidR="00C026A6" w:rsidRPr="00EA59C0">
        <w:rPr>
          <w:rFonts w:ascii="Arial" w:hAnsi="Arial" w:cs="Arial"/>
          <w:b/>
          <w:sz w:val="22"/>
        </w:rPr>
        <w:t xml:space="preserve"> </w:t>
      </w:r>
      <w:r w:rsidRPr="00EA59C0">
        <w:rPr>
          <w:rFonts w:ascii="Arial" w:hAnsi="Arial" w:cs="Arial"/>
          <w:b/>
          <w:sz w:val="22"/>
        </w:rPr>
        <w:t>Economic</w:t>
      </w:r>
      <w:r w:rsidR="00C026A6" w:rsidRPr="00EA59C0">
        <w:rPr>
          <w:rFonts w:ascii="Arial" w:hAnsi="Arial" w:cs="Arial"/>
          <w:b/>
          <w:sz w:val="22"/>
        </w:rPr>
        <w:t xml:space="preserve"> </w:t>
      </w:r>
      <w:r w:rsidRPr="00EA59C0">
        <w:rPr>
          <w:rFonts w:ascii="Arial" w:hAnsi="Arial" w:cs="Arial"/>
          <w:b/>
          <w:sz w:val="22"/>
        </w:rPr>
        <w:t>Sectors</w:t>
      </w:r>
    </w:p>
    <w:p w:rsidR="008826BE" w:rsidRPr="00EA59C0" w:rsidRDefault="008826BE" w:rsidP="00DB00BB">
      <w:pPr>
        <w:pStyle w:val="NormalWeb"/>
        <w:spacing w:before="0" w:beforeAutospacing="0" w:after="0" w:afterAutospacing="0"/>
        <w:rPr>
          <w:rFonts w:ascii="Arial" w:hAnsi="Arial" w:cs="Arial"/>
          <w:b/>
          <w:sz w:val="22"/>
        </w:rPr>
      </w:pPr>
    </w:p>
    <w:tbl>
      <w:tblPr>
        <w:tblW w:w="5000" w:type="pct"/>
        <w:tblCellSpacing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60" w:type="dxa"/>
          <w:left w:w="60" w:type="dxa"/>
          <w:bottom w:w="60" w:type="dxa"/>
          <w:right w:w="60" w:type="dxa"/>
        </w:tblCellMar>
        <w:tblLook w:val="04A0" w:firstRow="1" w:lastRow="0" w:firstColumn="1" w:lastColumn="0" w:noHBand="0" w:noVBand="1"/>
      </w:tblPr>
      <w:tblGrid>
        <w:gridCol w:w="851"/>
        <w:gridCol w:w="8649"/>
      </w:tblGrid>
      <w:tr w:rsidR="00EA59C0" w:rsidRPr="00EA59C0" w:rsidTr="00C4770D">
        <w:trPr>
          <w:tblCellSpacing w:w="0" w:type="dxa"/>
        </w:trPr>
        <w:tc>
          <w:tcPr>
            <w:tcW w:w="0" w:type="auto"/>
            <w:shd w:val="clear" w:color="auto" w:fill="D1D1D1"/>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Sector</w:t>
            </w:r>
          </w:p>
        </w:tc>
        <w:tc>
          <w:tcPr>
            <w:tcW w:w="0" w:type="auto"/>
            <w:shd w:val="clear" w:color="auto" w:fill="D1D1D1"/>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Description</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63" w:tooltip="NAICS sector 11 Agriculture, Forestry, Fishing and Hunting" w:history="1">
              <w:r w:rsidR="008826BE" w:rsidRPr="00EA59C0">
                <w:rPr>
                  <w:rFonts w:asciiTheme="minorHAnsi" w:hAnsiTheme="minorHAnsi"/>
                  <w:sz w:val="22"/>
                  <w:szCs w:val="22"/>
                </w:rPr>
                <w:t>11</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Agriculture,</w:t>
            </w:r>
            <w:r w:rsidR="00C026A6" w:rsidRPr="00EA59C0">
              <w:rPr>
                <w:rFonts w:asciiTheme="minorHAnsi" w:hAnsiTheme="minorHAnsi"/>
                <w:sz w:val="22"/>
                <w:szCs w:val="22"/>
              </w:rPr>
              <w:t xml:space="preserve"> </w:t>
            </w:r>
            <w:r w:rsidRPr="00EA59C0">
              <w:rPr>
                <w:rFonts w:asciiTheme="minorHAnsi" w:hAnsiTheme="minorHAnsi"/>
                <w:sz w:val="22"/>
                <w:szCs w:val="22"/>
              </w:rPr>
              <w:t>Forestry,</w:t>
            </w:r>
            <w:r w:rsidR="00C026A6" w:rsidRPr="00EA59C0">
              <w:rPr>
                <w:rFonts w:asciiTheme="minorHAnsi" w:hAnsiTheme="minorHAnsi"/>
                <w:sz w:val="22"/>
                <w:szCs w:val="22"/>
              </w:rPr>
              <w:t xml:space="preserve"> </w:t>
            </w:r>
            <w:r w:rsidRPr="00EA59C0">
              <w:rPr>
                <w:rFonts w:asciiTheme="minorHAnsi" w:hAnsiTheme="minorHAnsi"/>
                <w:sz w:val="22"/>
                <w:szCs w:val="22"/>
              </w:rPr>
              <w:t>Fishing</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Hunting</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64" w:tooltip="NAICS sector 21 Mining, Quarrying, and Oil and Gas Extraction" w:history="1">
              <w:r w:rsidR="008826BE" w:rsidRPr="00EA59C0">
                <w:rPr>
                  <w:rFonts w:asciiTheme="minorHAnsi" w:hAnsiTheme="minorHAnsi"/>
                  <w:sz w:val="22"/>
                  <w:szCs w:val="22"/>
                </w:rPr>
                <w:t>21</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Mining,</w:t>
            </w:r>
            <w:r w:rsidR="00C026A6" w:rsidRPr="00EA59C0">
              <w:rPr>
                <w:rFonts w:asciiTheme="minorHAnsi" w:hAnsiTheme="minorHAnsi"/>
                <w:sz w:val="22"/>
                <w:szCs w:val="22"/>
              </w:rPr>
              <w:t xml:space="preserve"> </w:t>
            </w:r>
            <w:r w:rsidRPr="00EA59C0">
              <w:rPr>
                <w:rFonts w:asciiTheme="minorHAnsi" w:hAnsiTheme="minorHAnsi"/>
                <w:sz w:val="22"/>
                <w:szCs w:val="22"/>
              </w:rPr>
              <w:t>Quarrying,</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Oil</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Gas</w:t>
            </w:r>
            <w:r w:rsidR="00C026A6" w:rsidRPr="00EA59C0">
              <w:rPr>
                <w:rFonts w:asciiTheme="minorHAnsi" w:hAnsiTheme="minorHAnsi"/>
                <w:sz w:val="22"/>
                <w:szCs w:val="22"/>
              </w:rPr>
              <w:t xml:space="preserve"> </w:t>
            </w:r>
            <w:r w:rsidRPr="00EA59C0">
              <w:rPr>
                <w:rFonts w:asciiTheme="minorHAnsi" w:hAnsiTheme="minorHAnsi"/>
                <w:sz w:val="22"/>
                <w:szCs w:val="22"/>
              </w:rPr>
              <w:t>Extraction</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65" w:tooltip="NAICS sector 22 Utilities" w:history="1">
              <w:r w:rsidR="008826BE" w:rsidRPr="00EA59C0">
                <w:rPr>
                  <w:rFonts w:asciiTheme="minorHAnsi" w:hAnsiTheme="minorHAnsi"/>
                  <w:sz w:val="22"/>
                  <w:szCs w:val="22"/>
                </w:rPr>
                <w:t>22</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Utilities</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66" w:tooltip="NAICS sector 23 Construction" w:history="1">
              <w:r w:rsidR="008826BE" w:rsidRPr="00EA59C0">
                <w:rPr>
                  <w:rFonts w:asciiTheme="minorHAnsi" w:hAnsiTheme="minorHAnsi"/>
                  <w:sz w:val="22"/>
                  <w:szCs w:val="22"/>
                </w:rPr>
                <w:t>23</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Construction</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67" w:tooltip="NAICS sector 31-33 Manufacturing" w:history="1">
              <w:r w:rsidR="008826BE" w:rsidRPr="00EA59C0">
                <w:rPr>
                  <w:rFonts w:asciiTheme="minorHAnsi" w:hAnsiTheme="minorHAnsi"/>
                  <w:sz w:val="22"/>
                  <w:szCs w:val="22"/>
                </w:rPr>
                <w:t>31-33</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Manufacturing</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68" w:tooltip="NAICS sector 42 Wholesale Trade" w:history="1">
              <w:r w:rsidR="008826BE" w:rsidRPr="00EA59C0">
                <w:rPr>
                  <w:rFonts w:asciiTheme="minorHAnsi" w:hAnsiTheme="minorHAnsi"/>
                  <w:sz w:val="22"/>
                  <w:szCs w:val="22"/>
                </w:rPr>
                <w:t>42</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Wholesale</w:t>
            </w:r>
            <w:r w:rsidR="00C026A6" w:rsidRPr="00EA59C0">
              <w:rPr>
                <w:rFonts w:asciiTheme="minorHAnsi" w:hAnsiTheme="minorHAnsi"/>
                <w:sz w:val="22"/>
                <w:szCs w:val="22"/>
              </w:rPr>
              <w:t xml:space="preserve"> </w:t>
            </w:r>
            <w:r w:rsidRPr="00EA59C0">
              <w:rPr>
                <w:rFonts w:asciiTheme="minorHAnsi" w:hAnsiTheme="minorHAnsi"/>
                <w:sz w:val="22"/>
                <w:szCs w:val="22"/>
              </w:rPr>
              <w:t>Trade</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69" w:tooltip="NAICS sector 44-45 Retail Trade" w:history="1">
              <w:r w:rsidR="008826BE" w:rsidRPr="00EA59C0">
                <w:rPr>
                  <w:rFonts w:asciiTheme="minorHAnsi" w:hAnsiTheme="minorHAnsi"/>
                  <w:sz w:val="22"/>
                  <w:szCs w:val="22"/>
                </w:rPr>
                <w:t>44-45</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Retail</w:t>
            </w:r>
            <w:r w:rsidR="00C026A6" w:rsidRPr="00EA59C0">
              <w:rPr>
                <w:rFonts w:asciiTheme="minorHAnsi" w:hAnsiTheme="minorHAnsi"/>
                <w:sz w:val="22"/>
                <w:szCs w:val="22"/>
              </w:rPr>
              <w:t xml:space="preserve"> </w:t>
            </w:r>
            <w:r w:rsidRPr="00EA59C0">
              <w:rPr>
                <w:rFonts w:asciiTheme="minorHAnsi" w:hAnsiTheme="minorHAnsi"/>
                <w:sz w:val="22"/>
                <w:szCs w:val="22"/>
              </w:rPr>
              <w:t>Trade</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70" w:tooltip="NAICS sector 48-49 Transportation and Warehousing" w:history="1">
              <w:r w:rsidR="008826BE" w:rsidRPr="00EA59C0">
                <w:rPr>
                  <w:rFonts w:asciiTheme="minorHAnsi" w:hAnsiTheme="minorHAnsi"/>
                  <w:sz w:val="22"/>
                  <w:szCs w:val="22"/>
                </w:rPr>
                <w:t>48-49</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Transportation</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Warehousing</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71" w:tooltip="NAICS sector 51 Information" w:history="1">
              <w:r w:rsidR="008826BE" w:rsidRPr="00EA59C0">
                <w:rPr>
                  <w:rFonts w:asciiTheme="minorHAnsi" w:hAnsiTheme="minorHAnsi"/>
                  <w:sz w:val="22"/>
                  <w:szCs w:val="22"/>
                </w:rPr>
                <w:t>51</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Information</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72" w:tooltip="NAICS sector 52 Finance and Insurance" w:history="1">
              <w:r w:rsidR="008826BE" w:rsidRPr="00EA59C0">
                <w:rPr>
                  <w:rFonts w:asciiTheme="minorHAnsi" w:hAnsiTheme="minorHAnsi"/>
                  <w:sz w:val="22"/>
                  <w:szCs w:val="22"/>
                </w:rPr>
                <w:t>52</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Finance</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Insurance</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73" w:tooltip="NAICS sector 53 Real Estate and Rental and Leasing" w:history="1">
              <w:r w:rsidR="008826BE" w:rsidRPr="00EA59C0">
                <w:rPr>
                  <w:rFonts w:asciiTheme="minorHAnsi" w:hAnsiTheme="minorHAnsi"/>
                  <w:sz w:val="22"/>
                  <w:szCs w:val="22"/>
                </w:rPr>
                <w:t>53</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Real</w:t>
            </w:r>
            <w:r w:rsidR="00C026A6" w:rsidRPr="00EA59C0">
              <w:rPr>
                <w:rFonts w:asciiTheme="minorHAnsi" w:hAnsiTheme="minorHAnsi"/>
                <w:sz w:val="22"/>
                <w:szCs w:val="22"/>
              </w:rPr>
              <w:t xml:space="preserve"> </w:t>
            </w:r>
            <w:r w:rsidRPr="00EA59C0">
              <w:rPr>
                <w:rFonts w:asciiTheme="minorHAnsi" w:hAnsiTheme="minorHAnsi"/>
                <w:sz w:val="22"/>
                <w:szCs w:val="22"/>
              </w:rPr>
              <w:t>Estate</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Rental</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Leasing</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74" w:tooltip="NAICS sector 54 Professional, Scientific, and Technical Services" w:history="1">
              <w:r w:rsidR="008826BE" w:rsidRPr="00EA59C0">
                <w:rPr>
                  <w:rFonts w:asciiTheme="minorHAnsi" w:hAnsiTheme="minorHAnsi"/>
                  <w:sz w:val="22"/>
                  <w:szCs w:val="22"/>
                </w:rPr>
                <w:t>54</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Professional,</w:t>
            </w:r>
            <w:r w:rsidR="00C026A6" w:rsidRPr="00EA59C0">
              <w:rPr>
                <w:rFonts w:asciiTheme="minorHAnsi" w:hAnsiTheme="minorHAnsi"/>
                <w:sz w:val="22"/>
                <w:szCs w:val="22"/>
              </w:rPr>
              <w:t xml:space="preserve"> </w:t>
            </w:r>
            <w:r w:rsidRPr="00EA59C0">
              <w:rPr>
                <w:rFonts w:asciiTheme="minorHAnsi" w:hAnsiTheme="minorHAnsi"/>
                <w:sz w:val="22"/>
                <w:szCs w:val="22"/>
              </w:rPr>
              <w:t>Scientific,</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Technical</w:t>
            </w:r>
            <w:r w:rsidR="00C026A6" w:rsidRPr="00EA59C0">
              <w:rPr>
                <w:rFonts w:asciiTheme="minorHAnsi" w:hAnsiTheme="minorHAnsi"/>
                <w:sz w:val="22"/>
                <w:szCs w:val="22"/>
              </w:rPr>
              <w:t xml:space="preserve"> </w:t>
            </w:r>
            <w:r w:rsidRPr="00EA59C0">
              <w:rPr>
                <w:rFonts w:asciiTheme="minorHAnsi" w:hAnsiTheme="minorHAnsi"/>
                <w:sz w:val="22"/>
                <w:szCs w:val="22"/>
              </w:rPr>
              <w:t>Services</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75" w:tooltip="NAICS sector 55 Management of Companies and Enterprises" w:history="1">
              <w:r w:rsidR="008826BE" w:rsidRPr="00EA59C0">
                <w:rPr>
                  <w:rFonts w:asciiTheme="minorHAnsi" w:hAnsiTheme="minorHAnsi"/>
                  <w:sz w:val="22"/>
                  <w:szCs w:val="22"/>
                </w:rPr>
                <w:t>55</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Management</w:t>
            </w:r>
            <w:r w:rsidR="00C026A6" w:rsidRPr="00EA59C0">
              <w:rPr>
                <w:rFonts w:asciiTheme="minorHAnsi" w:hAnsiTheme="minorHAnsi"/>
                <w:sz w:val="22"/>
                <w:szCs w:val="22"/>
              </w:rPr>
              <w:t xml:space="preserve"> </w:t>
            </w:r>
            <w:r w:rsidRPr="00EA59C0">
              <w:rPr>
                <w:rFonts w:asciiTheme="minorHAnsi" w:hAnsiTheme="minorHAnsi"/>
                <w:sz w:val="22"/>
                <w:szCs w:val="22"/>
              </w:rPr>
              <w:t>of</w:t>
            </w:r>
            <w:r w:rsidR="00C026A6" w:rsidRPr="00EA59C0">
              <w:rPr>
                <w:rFonts w:asciiTheme="minorHAnsi" w:hAnsiTheme="minorHAnsi"/>
                <w:sz w:val="22"/>
                <w:szCs w:val="22"/>
              </w:rPr>
              <w:t xml:space="preserve"> </w:t>
            </w:r>
            <w:r w:rsidRPr="00EA59C0">
              <w:rPr>
                <w:rFonts w:asciiTheme="minorHAnsi" w:hAnsiTheme="minorHAnsi"/>
                <w:sz w:val="22"/>
                <w:szCs w:val="22"/>
              </w:rPr>
              <w:t>Companies</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Enterprises</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76" w:tooltip="NAICS sector 56 Administrative and Support and Waste Management and Remediation Services" w:history="1">
              <w:r w:rsidR="008826BE" w:rsidRPr="00EA59C0">
                <w:rPr>
                  <w:rFonts w:asciiTheme="minorHAnsi" w:hAnsiTheme="minorHAnsi"/>
                  <w:sz w:val="22"/>
                  <w:szCs w:val="22"/>
                </w:rPr>
                <w:t>56</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Administrative</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Support</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Waste</w:t>
            </w:r>
            <w:r w:rsidR="00C026A6" w:rsidRPr="00EA59C0">
              <w:rPr>
                <w:rFonts w:asciiTheme="minorHAnsi" w:hAnsiTheme="minorHAnsi"/>
                <w:sz w:val="22"/>
                <w:szCs w:val="22"/>
              </w:rPr>
              <w:t xml:space="preserve"> </w:t>
            </w:r>
            <w:r w:rsidRPr="00EA59C0">
              <w:rPr>
                <w:rFonts w:asciiTheme="minorHAnsi" w:hAnsiTheme="minorHAnsi"/>
                <w:sz w:val="22"/>
                <w:szCs w:val="22"/>
              </w:rPr>
              <w:t>Management</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Remediation</w:t>
            </w:r>
            <w:r w:rsidR="00C026A6" w:rsidRPr="00EA59C0">
              <w:rPr>
                <w:rFonts w:asciiTheme="minorHAnsi" w:hAnsiTheme="minorHAnsi"/>
                <w:sz w:val="22"/>
                <w:szCs w:val="22"/>
              </w:rPr>
              <w:t xml:space="preserve"> </w:t>
            </w:r>
            <w:r w:rsidRPr="00EA59C0">
              <w:rPr>
                <w:rFonts w:asciiTheme="minorHAnsi" w:hAnsiTheme="minorHAnsi"/>
                <w:sz w:val="22"/>
                <w:szCs w:val="22"/>
              </w:rPr>
              <w:t>Services</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77" w:tooltip="NAICS sector 61 Educational Services" w:history="1">
              <w:r w:rsidR="008826BE" w:rsidRPr="00EA59C0">
                <w:rPr>
                  <w:rFonts w:asciiTheme="minorHAnsi" w:hAnsiTheme="minorHAnsi"/>
                  <w:sz w:val="22"/>
                  <w:szCs w:val="22"/>
                </w:rPr>
                <w:t>61</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Educational</w:t>
            </w:r>
            <w:r w:rsidR="00C026A6" w:rsidRPr="00EA59C0">
              <w:rPr>
                <w:rFonts w:asciiTheme="minorHAnsi" w:hAnsiTheme="minorHAnsi"/>
                <w:sz w:val="22"/>
                <w:szCs w:val="22"/>
              </w:rPr>
              <w:t xml:space="preserve"> </w:t>
            </w:r>
            <w:r w:rsidRPr="00EA59C0">
              <w:rPr>
                <w:rFonts w:asciiTheme="minorHAnsi" w:hAnsiTheme="minorHAnsi"/>
                <w:sz w:val="22"/>
                <w:szCs w:val="22"/>
              </w:rPr>
              <w:t>Services</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78" w:tooltip="NAICS sector 62 Health Care and Social Assistance" w:history="1">
              <w:r w:rsidR="008826BE" w:rsidRPr="00EA59C0">
                <w:rPr>
                  <w:rFonts w:asciiTheme="minorHAnsi" w:hAnsiTheme="minorHAnsi"/>
                  <w:sz w:val="22"/>
                  <w:szCs w:val="22"/>
                </w:rPr>
                <w:t>62</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Health</w:t>
            </w:r>
            <w:r w:rsidR="00C026A6" w:rsidRPr="00EA59C0">
              <w:rPr>
                <w:rFonts w:asciiTheme="minorHAnsi" w:hAnsiTheme="minorHAnsi"/>
                <w:sz w:val="22"/>
                <w:szCs w:val="22"/>
              </w:rPr>
              <w:t xml:space="preserve"> </w:t>
            </w:r>
            <w:r w:rsidRPr="00EA59C0">
              <w:rPr>
                <w:rFonts w:asciiTheme="minorHAnsi" w:hAnsiTheme="minorHAnsi"/>
                <w:sz w:val="22"/>
                <w:szCs w:val="22"/>
              </w:rPr>
              <w:t>Care</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Social</w:t>
            </w:r>
            <w:r w:rsidR="00C026A6" w:rsidRPr="00EA59C0">
              <w:rPr>
                <w:rFonts w:asciiTheme="minorHAnsi" w:hAnsiTheme="minorHAnsi"/>
                <w:sz w:val="22"/>
                <w:szCs w:val="22"/>
              </w:rPr>
              <w:t xml:space="preserve"> </w:t>
            </w:r>
            <w:r w:rsidRPr="00EA59C0">
              <w:rPr>
                <w:rFonts w:asciiTheme="minorHAnsi" w:hAnsiTheme="minorHAnsi"/>
                <w:sz w:val="22"/>
                <w:szCs w:val="22"/>
              </w:rPr>
              <w:t>Assistance</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79" w:tooltip="NAICS sector 71 Arts, Entertainment, and Recreation" w:history="1">
              <w:r w:rsidR="008826BE" w:rsidRPr="00EA59C0">
                <w:rPr>
                  <w:rFonts w:asciiTheme="minorHAnsi" w:hAnsiTheme="minorHAnsi"/>
                  <w:sz w:val="22"/>
                  <w:szCs w:val="22"/>
                </w:rPr>
                <w:t>71</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Arts,</w:t>
            </w:r>
            <w:r w:rsidR="00C026A6" w:rsidRPr="00EA59C0">
              <w:rPr>
                <w:rFonts w:asciiTheme="minorHAnsi" w:hAnsiTheme="minorHAnsi"/>
                <w:sz w:val="22"/>
                <w:szCs w:val="22"/>
              </w:rPr>
              <w:t xml:space="preserve"> </w:t>
            </w:r>
            <w:r w:rsidRPr="00EA59C0">
              <w:rPr>
                <w:rFonts w:asciiTheme="minorHAnsi" w:hAnsiTheme="minorHAnsi"/>
                <w:sz w:val="22"/>
                <w:szCs w:val="22"/>
              </w:rPr>
              <w:t>Entertainment,</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Recreation</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80" w:tooltip="NAICS sector 72 Accommodation and Food Services" w:history="1">
              <w:r w:rsidR="008826BE" w:rsidRPr="00EA59C0">
                <w:rPr>
                  <w:rFonts w:asciiTheme="minorHAnsi" w:hAnsiTheme="minorHAnsi"/>
                  <w:sz w:val="22"/>
                  <w:szCs w:val="22"/>
                </w:rPr>
                <w:t>72</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Accommodation</w:t>
            </w:r>
            <w:r w:rsidR="00C026A6" w:rsidRPr="00EA59C0">
              <w:rPr>
                <w:rFonts w:asciiTheme="minorHAnsi" w:hAnsiTheme="minorHAnsi"/>
                <w:sz w:val="22"/>
                <w:szCs w:val="22"/>
              </w:rPr>
              <w:t xml:space="preserve"> </w:t>
            </w:r>
            <w:r w:rsidRPr="00EA59C0">
              <w:rPr>
                <w:rFonts w:asciiTheme="minorHAnsi" w:hAnsiTheme="minorHAnsi"/>
                <w:sz w:val="22"/>
                <w:szCs w:val="22"/>
              </w:rPr>
              <w:t>and</w:t>
            </w:r>
            <w:r w:rsidR="00C026A6" w:rsidRPr="00EA59C0">
              <w:rPr>
                <w:rFonts w:asciiTheme="minorHAnsi" w:hAnsiTheme="minorHAnsi"/>
                <w:sz w:val="22"/>
                <w:szCs w:val="22"/>
              </w:rPr>
              <w:t xml:space="preserve"> </w:t>
            </w:r>
            <w:r w:rsidRPr="00EA59C0">
              <w:rPr>
                <w:rFonts w:asciiTheme="minorHAnsi" w:hAnsiTheme="minorHAnsi"/>
                <w:sz w:val="22"/>
                <w:szCs w:val="22"/>
              </w:rPr>
              <w:t>Food</w:t>
            </w:r>
            <w:r w:rsidR="00C026A6" w:rsidRPr="00EA59C0">
              <w:rPr>
                <w:rFonts w:asciiTheme="minorHAnsi" w:hAnsiTheme="minorHAnsi"/>
                <w:sz w:val="22"/>
                <w:szCs w:val="22"/>
              </w:rPr>
              <w:t xml:space="preserve"> </w:t>
            </w:r>
            <w:r w:rsidRPr="00EA59C0">
              <w:rPr>
                <w:rFonts w:asciiTheme="minorHAnsi" w:hAnsiTheme="minorHAnsi"/>
                <w:sz w:val="22"/>
                <w:szCs w:val="22"/>
              </w:rPr>
              <w:t>Services</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81" w:tooltip="NAICS sector 81 Other Services (except Public Administration)" w:history="1">
              <w:r w:rsidR="008826BE" w:rsidRPr="00EA59C0">
                <w:rPr>
                  <w:rFonts w:asciiTheme="minorHAnsi" w:hAnsiTheme="minorHAnsi"/>
                  <w:sz w:val="22"/>
                  <w:szCs w:val="22"/>
                </w:rPr>
                <w:t>81</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Other</w:t>
            </w:r>
            <w:r w:rsidR="00C026A6" w:rsidRPr="00EA59C0">
              <w:rPr>
                <w:rFonts w:asciiTheme="minorHAnsi" w:hAnsiTheme="minorHAnsi"/>
                <w:sz w:val="22"/>
                <w:szCs w:val="22"/>
              </w:rPr>
              <w:t xml:space="preserve"> </w:t>
            </w:r>
            <w:r w:rsidRPr="00EA59C0">
              <w:rPr>
                <w:rFonts w:asciiTheme="minorHAnsi" w:hAnsiTheme="minorHAnsi"/>
                <w:sz w:val="22"/>
                <w:szCs w:val="22"/>
              </w:rPr>
              <w:t>Services</w:t>
            </w:r>
            <w:r w:rsidR="00C026A6" w:rsidRPr="00EA59C0">
              <w:rPr>
                <w:rFonts w:asciiTheme="minorHAnsi" w:hAnsiTheme="minorHAnsi"/>
                <w:sz w:val="22"/>
                <w:szCs w:val="22"/>
              </w:rPr>
              <w:t xml:space="preserve"> </w:t>
            </w:r>
            <w:r w:rsidRPr="00EA59C0">
              <w:rPr>
                <w:rFonts w:asciiTheme="minorHAnsi" w:hAnsiTheme="minorHAnsi"/>
                <w:sz w:val="22"/>
                <w:szCs w:val="22"/>
              </w:rPr>
              <w:t>(except</w:t>
            </w:r>
            <w:r w:rsidR="00C026A6" w:rsidRPr="00EA59C0">
              <w:rPr>
                <w:rFonts w:asciiTheme="minorHAnsi" w:hAnsiTheme="minorHAnsi"/>
                <w:sz w:val="22"/>
                <w:szCs w:val="22"/>
              </w:rPr>
              <w:t xml:space="preserve"> </w:t>
            </w:r>
            <w:r w:rsidRPr="00EA59C0">
              <w:rPr>
                <w:rFonts w:asciiTheme="minorHAnsi" w:hAnsiTheme="minorHAnsi"/>
                <w:sz w:val="22"/>
                <w:szCs w:val="22"/>
              </w:rPr>
              <w:t>Public</w:t>
            </w:r>
            <w:r w:rsidR="00C026A6" w:rsidRPr="00EA59C0">
              <w:rPr>
                <w:rFonts w:asciiTheme="minorHAnsi" w:hAnsiTheme="minorHAnsi"/>
                <w:sz w:val="22"/>
                <w:szCs w:val="22"/>
              </w:rPr>
              <w:t xml:space="preserve"> </w:t>
            </w:r>
            <w:r w:rsidRPr="00EA59C0">
              <w:rPr>
                <w:rFonts w:asciiTheme="minorHAnsi" w:hAnsiTheme="minorHAnsi"/>
                <w:sz w:val="22"/>
                <w:szCs w:val="22"/>
              </w:rPr>
              <w:t>Administration)</w:t>
            </w:r>
          </w:p>
        </w:tc>
      </w:tr>
      <w:tr w:rsidR="00EA59C0" w:rsidRPr="00EA59C0" w:rsidTr="00C4770D">
        <w:trPr>
          <w:tblCellSpacing w:w="0" w:type="dxa"/>
        </w:trPr>
        <w:tc>
          <w:tcPr>
            <w:tcW w:w="0" w:type="auto"/>
            <w:vAlign w:val="center"/>
            <w:hideMark/>
          </w:tcPr>
          <w:p w:rsidR="008826BE" w:rsidRPr="00EA59C0" w:rsidRDefault="00DF2916" w:rsidP="00DB00BB">
            <w:pPr>
              <w:rPr>
                <w:rFonts w:asciiTheme="minorHAnsi" w:hAnsiTheme="minorHAnsi"/>
              </w:rPr>
            </w:pPr>
            <w:hyperlink r:id="rId382" w:tooltip="NAICS sector 92 Public Administration" w:history="1">
              <w:r w:rsidR="008826BE" w:rsidRPr="00EA59C0">
                <w:rPr>
                  <w:rFonts w:asciiTheme="minorHAnsi" w:hAnsiTheme="minorHAnsi"/>
                  <w:sz w:val="22"/>
                  <w:szCs w:val="22"/>
                </w:rPr>
                <w:t>92</w:t>
              </w:r>
            </w:hyperlink>
          </w:p>
        </w:tc>
        <w:tc>
          <w:tcPr>
            <w:tcW w:w="0" w:type="auto"/>
            <w:vAlign w:val="center"/>
            <w:hideMark/>
          </w:tcPr>
          <w:p w:rsidR="008826BE" w:rsidRPr="00EA59C0" w:rsidRDefault="008826BE" w:rsidP="00DB00BB">
            <w:pPr>
              <w:rPr>
                <w:rFonts w:asciiTheme="minorHAnsi" w:hAnsiTheme="minorHAnsi"/>
              </w:rPr>
            </w:pPr>
            <w:r w:rsidRPr="00EA59C0">
              <w:rPr>
                <w:rFonts w:asciiTheme="minorHAnsi" w:hAnsiTheme="minorHAnsi"/>
                <w:sz w:val="22"/>
                <w:szCs w:val="22"/>
              </w:rPr>
              <w:t>Public</w:t>
            </w:r>
            <w:r w:rsidR="00C026A6" w:rsidRPr="00EA59C0">
              <w:rPr>
                <w:rFonts w:asciiTheme="minorHAnsi" w:hAnsiTheme="minorHAnsi"/>
                <w:sz w:val="22"/>
                <w:szCs w:val="22"/>
              </w:rPr>
              <w:t xml:space="preserve"> </w:t>
            </w:r>
            <w:r w:rsidRPr="00EA59C0">
              <w:rPr>
                <w:rFonts w:asciiTheme="minorHAnsi" w:hAnsiTheme="minorHAnsi"/>
                <w:sz w:val="22"/>
                <w:szCs w:val="22"/>
              </w:rPr>
              <w:t>Administration</w:t>
            </w:r>
          </w:p>
        </w:tc>
      </w:tr>
    </w:tbl>
    <w:p w:rsidR="008826BE" w:rsidRPr="00EA59C0" w:rsidRDefault="008826BE" w:rsidP="00DB00BB">
      <w:pPr>
        <w:pStyle w:val="NormalWeb"/>
        <w:spacing w:before="0" w:beforeAutospacing="0" w:after="0" w:afterAutospacing="0"/>
        <w:rPr>
          <w:rFonts w:asciiTheme="minorHAnsi" w:hAnsiTheme="minorHAnsi"/>
          <w:sz w:val="22"/>
        </w:rPr>
      </w:pPr>
    </w:p>
    <w:p w:rsidR="008826BE" w:rsidRPr="00EA59C0" w:rsidRDefault="008826BE" w:rsidP="00DB00BB">
      <w:pPr>
        <w:pStyle w:val="NormalWeb"/>
        <w:spacing w:before="0" w:beforeAutospacing="0" w:after="0" w:afterAutospacing="0"/>
        <w:rPr>
          <w:rFonts w:asciiTheme="minorHAnsi" w:hAnsiTheme="minorHAnsi"/>
          <w:sz w:val="22"/>
        </w:rPr>
      </w:pPr>
      <w:r w:rsidRPr="00EA59C0">
        <w:rPr>
          <w:rFonts w:asciiTheme="minorHAnsi" w:hAnsiTheme="minorHAnsi"/>
          <w:sz w:val="22"/>
        </w:rPr>
        <w:t>NAICS</w:t>
      </w:r>
      <w:r w:rsidR="00C026A6" w:rsidRPr="00EA59C0">
        <w:rPr>
          <w:rFonts w:asciiTheme="minorHAnsi" w:hAnsiTheme="minorHAnsi"/>
          <w:sz w:val="22"/>
        </w:rPr>
        <w:t xml:space="preserve"> </w:t>
      </w:r>
      <w:r w:rsidRPr="00EA59C0">
        <w:rPr>
          <w:rFonts w:asciiTheme="minorHAnsi" w:hAnsiTheme="minorHAnsi"/>
          <w:sz w:val="22"/>
        </w:rPr>
        <w:t>is</w:t>
      </w:r>
      <w:r w:rsidR="00C026A6" w:rsidRPr="00EA59C0">
        <w:rPr>
          <w:rFonts w:asciiTheme="minorHAnsi" w:hAnsiTheme="minorHAnsi"/>
          <w:sz w:val="22"/>
        </w:rPr>
        <w:t xml:space="preserve"> </w:t>
      </w:r>
      <w:r w:rsidRPr="00EA59C0">
        <w:rPr>
          <w:rFonts w:asciiTheme="minorHAnsi" w:hAnsiTheme="minorHAnsi"/>
          <w:sz w:val="22"/>
        </w:rPr>
        <w:t>a</w:t>
      </w:r>
      <w:r w:rsidR="00C026A6" w:rsidRPr="00EA59C0">
        <w:rPr>
          <w:rFonts w:asciiTheme="minorHAnsi" w:hAnsiTheme="minorHAnsi"/>
          <w:sz w:val="22"/>
        </w:rPr>
        <w:t xml:space="preserve"> </w:t>
      </w:r>
      <w:r w:rsidRPr="00EA59C0">
        <w:rPr>
          <w:rFonts w:asciiTheme="minorHAnsi" w:hAnsiTheme="minorHAnsi"/>
          <w:sz w:val="22"/>
        </w:rPr>
        <w:t>2-</w:t>
      </w:r>
      <w:r w:rsidR="00C026A6" w:rsidRPr="00EA59C0">
        <w:rPr>
          <w:rFonts w:asciiTheme="minorHAnsi" w:hAnsiTheme="minorHAnsi"/>
          <w:sz w:val="22"/>
        </w:rPr>
        <w:t xml:space="preserve"> </w:t>
      </w:r>
      <w:r w:rsidRPr="00EA59C0">
        <w:rPr>
          <w:rFonts w:asciiTheme="minorHAnsi" w:hAnsiTheme="minorHAnsi"/>
          <w:sz w:val="22"/>
        </w:rPr>
        <w:t>through</w:t>
      </w:r>
      <w:r w:rsidR="00C026A6" w:rsidRPr="00EA59C0">
        <w:rPr>
          <w:rFonts w:asciiTheme="minorHAnsi" w:hAnsiTheme="minorHAnsi"/>
          <w:sz w:val="22"/>
        </w:rPr>
        <w:t xml:space="preserve"> </w:t>
      </w:r>
      <w:r w:rsidRPr="00EA59C0">
        <w:rPr>
          <w:rFonts w:asciiTheme="minorHAnsi" w:hAnsiTheme="minorHAnsi"/>
          <w:sz w:val="22"/>
        </w:rPr>
        <w:t>6-digit</w:t>
      </w:r>
      <w:r w:rsidR="00C026A6" w:rsidRPr="00EA59C0">
        <w:rPr>
          <w:rFonts w:asciiTheme="minorHAnsi" w:hAnsiTheme="minorHAnsi"/>
          <w:sz w:val="22"/>
        </w:rPr>
        <w:t xml:space="preserve"> </w:t>
      </w:r>
      <w:r w:rsidRPr="00EA59C0">
        <w:rPr>
          <w:rFonts w:asciiTheme="minorHAnsi" w:hAnsiTheme="minorHAnsi"/>
          <w:sz w:val="22"/>
        </w:rPr>
        <w:t>hierarchical</w:t>
      </w:r>
      <w:r w:rsidR="00C026A6" w:rsidRPr="00EA59C0">
        <w:rPr>
          <w:rFonts w:asciiTheme="minorHAnsi" w:hAnsiTheme="minorHAnsi"/>
          <w:sz w:val="22"/>
        </w:rPr>
        <w:t xml:space="preserve"> </w:t>
      </w:r>
      <w:r w:rsidRPr="00EA59C0">
        <w:rPr>
          <w:rFonts w:asciiTheme="minorHAnsi" w:hAnsiTheme="minorHAnsi"/>
          <w:sz w:val="22"/>
        </w:rPr>
        <w:t>classification</w:t>
      </w:r>
      <w:r w:rsidR="00C026A6" w:rsidRPr="00EA59C0">
        <w:rPr>
          <w:rFonts w:asciiTheme="minorHAnsi" w:hAnsiTheme="minorHAnsi"/>
          <w:sz w:val="22"/>
        </w:rPr>
        <w:t xml:space="preserve"> </w:t>
      </w:r>
      <w:r w:rsidRPr="00EA59C0">
        <w:rPr>
          <w:rFonts w:asciiTheme="minorHAnsi" w:hAnsiTheme="minorHAnsi"/>
          <w:sz w:val="22"/>
        </w:rPr>
        <w:t>system,</w:t>
      </w:r>
      <w:r w:rsidR="00C026A6" w:rsidRPr="00EA59C0">
        <w:rPr>
          <w:rFonts w:asciiTheme="minorHAnsi" w:hAnsiTheme="minorHAnsi"/>
          <w:sz w:val="22"/>
        </w:rPr>
        <w:t xml:space="preserve"> </w:t>
      </w:r>
      <w:r w:rsidRPr="00EA59C0">
        <w:rPr>
          <w:rFonts w:asciiTheme="minorHAnsi" w:hAnsiTheme="minorHAnsi"/>
          <w:sz w:val="22"/>
        </w:rPr>
        <w:t>offering</w:t>
      </w:r>
      <w:r w:rsidR="00C026A6" w:rsidRPr="00EA59C0">
        <w:rPr>
          <w:rFonts w:asciiTheme="minorHAnsi" w:hAnsiTheme="minorHAnsi"/>
          <w:sz w:val="22"/>
        </w:rPr>
        <w:t xml:space="preserve"> </w:t>
      </w:r>
      <w:r w:rsidRPr="00EA59C0">
        <w:rPr>
          <w:rFonts w:asciiTheme="minorHAnsi" w:hAnsiTheme="minorHAnsi"/>
          <w:sz w:val="22"/>
        </w:rPr>
        <w:t>five</w:t>
      </w:r>
      <w:r w:rsidR="00C026A6" w:rsidRPr="00EA59C0">
        <w:rPr>
          <w:rFonts w:asciiTheme="minorHAnsi" w:hAnsiTheme="minorHAnsi"/>
          <w:sz w:val="22"/>
        </w:rPr>
        <w:t xml:space="preserve"> </w:t>
      </w:r>
      <w:r w:rsidRPr="00EA59C0">
        <w:rPr>
          <w:rFonts w:asciiTheme="minorHAnsi" w:hAnsiTheme="minorHAnsi"/>
          <w:sz w:val="22"/>
        </w:rPr>
        <w:t>levels</w:t>
      </w:r>
      <w:r w:rsidR="00C026A6" w:rsidRPr="00EA59C0">
        <w:rPr>
          <w:rFonts w:asciiTheme="minorHAnsi" w:hAnsiTheme="minorHAnsi"/>
          <w:sz w:val="22"/>
        </w:rPr>
        <w:t xml:space="preserve"> </w:t>
      </w:r>
      <w:r w:rsidRPr="00EA59C0">
        <w:rPr>
          <w:rFonts w:asciiTheme="minorHAnsi" w:hAnsiTheme="minorHAnsi"/>
          <w:sz w:val="22"/>
        </w:rPr>
        <w:t>of</w:t>
      </w:r>
      <w:r w:rsidR="00C026A6" w:rsidRPr="00EA59C0">
        <w:rPr>
          <w:rFonts w:asciiTheme="minorHAnsi" w:hAnsiTheme="minorHAnsi"/>
          <w:sz w:val="22"/>
        </w:rPr>
        <w:t xml:space="preserve"> </w:t>
      </w:r>
      <w:r w:rsidRPr="00EA59C0">
        <w:rPr>
          <w:rFonts w:asciiTheme="minorHAnsi" w:hAnsiTheme="minorHAnsi"/>
          <w:sz w:val="22"/>
        </w:rPr>
        <w:t>detail.</w:t>
      </w:r>
      <w:r w:rsidR="00C026A6" w:rsidRPr="00EA59C0">
        <w:rPr>
          <w:rFonts w:asciiTheme="minorHAnsi" w:hAnsiTheme="minorHAnsi"/>
          <w:sz w:val="22"/>
        </w:rPr>
        <w:t xml:space="preserve"> </w:t>
      </w:r>
      <w:r w:rsidRPr="00EA59C0">
        <w:rPr>
          <w:rFonts w:asciiTheme="minorHAnsi" w:hAnsiTheme="minorHAnsi"/>
          <w:sz w:val="22"/>
        </w:rPr>
        <w:t>Each</w:t>
      </w:r>
      <w:r w:rsidR="00C026A6" w:rsidRPr="00EA59C0">
        <w:rPr>
          <w:rFonts w:asciiTheme="minorHAnsi" w:hAnsiTheme="minorHAnsi"/>
          <w:sz w:val="22"/>
        </w:rPr>
        <w:t xml:space="preserve"> </w:t>
      </w:r>
      <w:r w:rsidRPr="00EA59C0">
        <w:rPr>
          <w:rFonts w:asciiTheme="minorHAnsi" w:hAnsiTheme="minorHAnsi"/>
          <w:sz w:val="22"/>
        </w:rPr>
        <w:t>digit</w:t>
      </w:r>
      <w:r w:rsidR="00C026A6" w:rsidRPr="00EA59C0">
        <w:rPr>
          <w:rFonts w:asciiTheme="minorHAnsi" w:hAnsiTheme="minorHAnsi"/>
          <w:sz w:val="22"/>
        </w:rPr>
        <w:t xml:space="preserve"> </w:t>
      </w:r>
      <w:r w:rsidRPr="00EA59C0">
        <w:rPr>
          <w:rFonts w:asciiTheme="minorHAnsi" w:hAnsiTheme="minorHAnsi"/>
          <w:sz w:val="22"/>
        </w:rPr>
        <w:t>in</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code</w:t>
      </w:r>
      <w:r w:rsidR="00C026A6" w:rsidRPr="00EA59C0">
        <w:rPr>
          <w:rFonts w:asciiTheme="minorHAnsi" w:hAnsiTheme="minorHAnsi"/>
          <w:sz w:val="22"/>
        </w:rPr>
        <w:t xml:space="preserve"> </w:t>
      </w:r>
      <w:r w:rsidRPr="00EA59C0">
        <w:rPr>
          <w:rFonts w:asciiTheme="minorHAnsi" w:hAnsiTheme="minorHAnsi"/>
          <w:sz w:val="22"/>
        </w:rPr>
        <w:t>is</w:t>
      </w:r>
      <w:r w:rsidR="00C026A6" w:rsidRPr="00EA59C0">
        <w:rPr>
          <w:rFonts w:asciiTheme="minorHAnsi" w:hAnsiTheme="minorHAnsi"/>
          <w:sz w:val="22"/>
        </w:rPr>
        <w:t xml:space="preserve"> </w:t>
      </w:r>
      <w:r w:rsidRPr="00EA59C0">
        <w:rPr>
          <w:rFonts w:asciiTheme="minorHAnsi" w:hAnsiTheme="minorHAnsi"/>
          <w:sz w:val="22"/>
        </w:rPr>
        <w:t>part</w:t>
      </w:r>
      <w:r w:rsidR="00C026A6" w:rsidRPr="00EA59C0">
        <w:rPr>
          <w:rFonts w:asciiTheme="minorHAnsi" w:hAnsiTheme="minorHAnsi"/>
          <w:sz w:val="22"/>
        </w:rPr>
        <w:t xml:space="preserve"> </w:t>
      </w:r>
      <w:r w:rsidRPr="00EA59C0">
        <w:rPr>
          <w:rFonts w:asciiTheme="minorHAnsi" w:hAnsiTheme="minorHAnsi"/>
          <w:sz w:val="22"/>
        </w:rPr>
        <w:t>of</w:t>
      </w:r>
      <w:r w:rsidR="00C026A6" w:rsidRPr="00EA59C0">
        <w:rPr>
          <w:rFonts w:asciiTheme="minorHAnsi" w:hAnsiTheme="minorHAnsi"/>
          <w:sz w:val="22"/>
        </w:rPr>
        <w:t xml:space="preserve"> </w:t>
      </w:r>
      <w:r w:rsidRPr="00EA59C0">
        <w:rPr>
          <w:rFonts w:asciiTheme="minorHAnsi" w:hAnsiTheme="minorHAnsi"/>
          <w:sz w:val="22"/>
        </w:rPr>
        <w:t>a</w:t>
      </w:r>
      <w:r w:rsidR="00C026A6" w:rsidRPr="00EA59C0">
        <w:rPr>
          <w:rFonts w:asciiTheme="minorHAnsi" w:hAnsiTheme="minorHAnsi"/>
          <w:sz w:val="22"/>
        </w:rPr>
        <w:t xml:space="preserve"> </w:t>
      </w:r>
      <w:r w:rsidRPr="00EA59C0">
        <w:rPr>
          <w:rFonts w:asciiTheme="minorHAnsi" w:hAnsiTheme="minorHAnsi"/>
          <w:sz w:val="22"/>
        </w:rPr>
        <w:t>series</w:t>
      </w:r>
      <w:r w:rsidR="00C026A6" w:rsidRPr="00EA59C0">
        <w:rPr>
          <w:rFonts w:asciiTheme="minorHAnsi" w:hAnsiTheme="minorHAnsi"/>
          <w:sz w:val="22"/>
        </w:rPr>
        <w:t xml:space="preserve"> </w:t>
      </w:r>
      <w:r w:rsidRPr="00EA59C0">
        <w:rPr>
          <w:rFonts w:asciiTheme="minorHAnsi" w:hAnsiTheme="minorHAnsi"/>
          <w:sz w:val="22"/>
        </w:rPr>
        <w:t>of</w:t>
      </w:r>
      <w:r w:rsidR="00C026A6" w:rsidRPr="00EA59C0">
        <w:rPr>
          <w:rFonts w:asciiTheme="minorHAnsi" w:hAnsiTheme="minorHAnsi"/>
          <w:sz w:val="22"/>
        </w:rPr>
        <w:t xml:space="preserve"> </w:t>
      </w:r>
      <w:r w:rsidRPr="00EA59C0">
        <w:rPr>
          <w:rFonts w:asciiTheme="minorHAnsi" w:hAnsiTheme="minorHAnsi"/>
          <w:sz w:val="22"/>
        </w:rPr>
        <w:t>progressively</w:t>
      </w:r>
      <w:r w:rsidR="00C026A6" w:rsidRPr="00EA59C0">
        <w:rPr>
          <w:rFonts w:asciiTheme="minorHAnsi" w:hAnsiTheme="minorHAnsi"/>
          <w:sz w:val="22"/>
        </w:rPr>
        <w:t xml:space="preserve"> </w:t>
      </w:r>
      <w:r w:rsidRPr="00EA59C0">
        <w:rPr>
          <w:rFonts w:asciiTheme="minorHAnsi" w:hAnsiTheme="minorHAnsi"/>
          <w:sz w:val="22"/>
        </w:rPr>
        <w:t>narrower</w:t>
      </w:r>
      <w:r w:rsidR="00C026A6" w:rsidRPr="00EA59C0">
        <w:rPr>
          <w:rFonts w:asciiTheme="minorHAnsi" w:hAnsiTheme="minorHAnsi"/>
          <w:sz w:val="22"/>
        </w:rPr>
        <w:t xml:space="preserve"> </w:t>
      </w:r>
      <w:r w:rsidRPr="00EA59C0">
        <w:rPr>
          <w:rFonts w:asciiTheme="minorHAnsi" w:hAnsiTheme="minorHAnsi"/>
          <w:sz w:val="22"/>
        </w:rPr>
        <w:t>categories,</w:t>
      </w:r>
      <w:r w:rsidR="00C026A6" w:rsidRPr="00EA59C0">
        <w:rPr>
          <w:rFonts w:asciiTheme="minorHAnsi" w:hAnsiTheme="minorHAnsi"/>
          <w:sz w:val="22"/>
        </w:rPr>
        <w:t xml:space="preserve"> </w:t>
      </w:r>
      <w:r w:rsidRPr="00EA59C0">
        <w:rPr>
          <w:rFonts w:asciiTheme="minorHAnsi" w:hAnsiTheme="minorHAnsi"/>
          <w:sz w:val="22"/>
        </w:rPr>
        <w:t>and</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more</w:t>
      </w:r>
      <w:r w:rsidR="00C026A6" w:rsidRPr="00EA59C0">
        <w:rPr>
          <w:rFonts w:asciiTheme="minorHAnsi" w:hAnsiTheme="minorHAnsi"/>
          <w:sz w:val="22"/>
        </w:rPr>
        <w:t xml:space="preserve"> </w:t>
      </w:r>
      <w:r w:rsidRPr="00EA59C0">
        <w:rPr>
          <w:rFonts w:asciiTheme="minorHAnsi" w:hAnsiTheme="minorHAnsi"/>
          <w:sz w:val="22"/>
        </w:rPr>
        <w:t>digits</w:t>
      </w:r>
      <w:r w:rsidR="00C026A6" w:rsidRPr="00EA59C0">
        <w:rPr>
          <w:rFonts w:asciiTheme="minorHAnsi" w:hAnsiTheme="minorHAnsi"/>
          <w:sz w:val="22"/>
        </w:rPr>
        <w:t xml:space="preserve"> </w:t>
      </w:r>
      <w:r w:rsidRPr="00EA59C0">
        <w:rPr>
          <w:rFonts w:asciiTheme="minorHAnsi" w:hAnsiTheme="minorHAnsi"/>
          <w:sz w:val="22"/>
        </w:rPr>
        <w:t>in</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code</w:t>
      </w:r>
      <w:r w:rsidR="00C026A6" w:rsidRPr="00EA59C0">
        <w:rPr>
          <w:rFonts w:asciiTheme="minorHAnsi" w:hAnsiTheme="minorHAnsi"/>
          <w:sz w:val="22"/>
        </w:rPr>
        <w:t xml:space="preserve"> </w:t>
      </w:r>
      <w:r w:rsidRPr="00EA59C0">
        <w:rPr>
          <w:rFonts w:asciiTheme="minorHAnsi" w:hAnsiTheme="minorHAnsi"/>
          <w:sz w:val="22"/>
        </w:rPr>
        <w:t>signify</w:t>
      </w:r>
      <w:r w:rsidR="00C026A6" w:rsidRPr="00EA59C0">
        <w:rPr>
          <w:rFonts w:asciiTheme="minorHAnsi" w:hAnsiTheme="minorHAnsi"/>
          <w:sz w:val="22"/>
        </w:rPr>
        <w:t xml:space="preserve"> </w:t>
      </w:r>
      <w:r w:rsidRPr="00EA59C0">
        <w:rPr>
          <w:rFonts w:asciiTheme="minorHAnsi" w:hAnsiTheme="minorHAnsi"/>
          <w:sz w:val="22"/>
        </w:rPr>
        <w:t>greater</w:t>
      </w:r>
      <w:r w:rsidR="00C026A6" w:rsidRPr="00EA59C0">
        <w:rPr>
          <w:rFonts w:asciiTheme="minorHAnsi" w:hAnsiTheme="minorHAnsi"/>
          <w:sz w:val="22"/>
        </w:rPr>
        <w:t xml:space="preserve"> </w:t>
      </w:r>
      <w:r w:rsidRPr="00EA59C0">
        <w:rPr>
          <w:rFonts w:asciiTheme="minorHAnsi" w:hAnsiTheme="minorHAnsi"/>
          <w:sz w:val="22"/>
        </w:rPr>
        <w:t>classification</w:t>
      </w:r>
      <w:r w:rsidR="00C026A6" w:rsidRPr="00EA59C0">
        <w:rPr>
          <w:rFonts w:asciiTheme="minorHAnsi" w:hAnsiTheme="minorHAnsi"/>
          <w:sz w:val="22"/>
        </w:rPr>
        <w:t xml:space="preserve"> </w:t>
      </w:r>
      <w:r w:rsidRPr="00EA59C0">
        <w:rPr>
          <w:rFonts w:asciiTheme="minorHAnsi" w:hAnsiTheme="minorHAnsi"/>
          <w:sz w:val="22"/>
        </w:rPr>
        <w:t>detail.</w:t>
      </w:r>
      <w:r w:rsidR="00C026A6" w:rsidRPr="00EA59C0">
        <w:rPr>
          <w:rFonts w:asciiTheme="minorHAnsi" w:hAnsiTheme="minorHAnsi"/>
          <w:sz w:val="22"/>
        </w:rPr>
        <w:t xml:space="preserve"> </w:t>
      </w:r>
    </w:p>
    <w:p w:rsidR="008826BE" w:rsidRPr="00EA59C0" w:rsidRDefault="008826BE" w:rsidP="00DB00BB">
      <w:pPr>
        <w:pStyle w:val="NormalWeb"/>
        <w:spacing w:before="0" w:beforeAutospacing="0" w:after="0" w:afterAutospacing="0"/>
        <w:rPr>
          <w:rFonts w:asciiTheme="minorHAnsi" w:hAnsiTheme="minorHAnsi"/>
          <w:sz w:val="22"/>
        </w:rPr>
      </w:pP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first</w:t>
      </w:r>
      <w:r w:rsidR="00C026A6" w:rsidRPr="00EA59C0">
        <w:rPr>
          <w:rFonts w:asciiTheme="minorHAnsi" w:hAnsiTheme="minorHAnsi"/>
          <w:sz w:val="22"/>
        </w:rPr>
        <w:t xml:space="preserve"> </w:t>
      </w:r>
      <w:r w:rsidRPr="00EA59C0">
        <w:rPr>
          <w:rFonts w:asciiTheme="minorHAnsi" w:hAnsiTheme="minorHAnsi"/>
          <w:sz w:val="22"/>
        </w:rPr>
        <w:t>two</w:t>
      </w:r>
      <w:r w:rsidR="00C026A6" w:rsidRPr="00EA59C0">
        <w:rPr>
          <w:rFonts w:asciiTheme="minorHAnsi" w:hAnsiTheme="minorHAnsi"/>
          <w:sz w:val="22"/>
        </w:rPr>
        <w:t xml:space="preserve"> </w:t>
      </w:r>
      <w:r w:rsidRPr="00EA59C0">
        <w:rPr>
          <w:rFonts w:asciiTheme="minorHAnsi" w:hAnsiTheme="minorHAnsi"/>
          <w:sz w:val="22"/>
        </w:rPr>
        <w:t>digits</w:t>
      </w:r>
      <w:r w:rsidR="00C026A6" w:rsidRPr="00EA59C0">
        <w:rPr>
          <w:rFonts w:asciiTheme="minorHAnsi" w:hAnsiTheme="minorHAnsi"/>
          <w:sz w:val="22"/>
        </w:rPr>
        <w:t xml:space="preserve"> </w:t>
      </w:r>
      <w:r w:rsidRPr="00EA59C0">
        <w:rPr>
          <w:rFonts w:asciiTheme="minorHAnsi" w:hAnsiTheme="minorHAnsi"/>
          <w:sz w:val="22"/>
        </w:rPr>
        <w:t>designate</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economic</w:t>
      </w:r>
      <w:r w:rsidR="00C026A6" w:rsidRPr="00EA59C0">
        <w:rPr>
          <w:rFonts w:asciiTheme="minorHAnsi" w:hAnsiTheme="minorHAnsi"/>
          <w:sz w:val="22"/>
        </w:rPr>
        <w:t xml:space="preserve"> </w:t>
      </w:r>
      <w:r w:rsidRPr="00EA59C0">
        <w:rPr>
          <w:rFonts w:asciiTheme="minorHAnsi" w:hAnsiTheme="minorHAnsi"/>
          <w:sz w:val="22"/>
        </w:rPr>
        <w:t>sector,</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third</w:t>
      </w:r>
      <w:r w:rsidR="00C026A6" w:rsidRPr="00EA59C0">
        <w:rPr>
          <w:rFonts w:asciiTheme="minorHAnsi" w:hAnsiTheme="minorHAnsi"/>
          <w:sz w:val="22"/>
        </w:rPr>
        <w:t xml:space="preserve"> </w:t>
      </w:r>
      <w:r w:rsidRPr="00EA59C0">
        <w:rPr>
          <w:rFonts w:asciiTheme="minorHAnsi" w:hAnsiTheme="minorHAnsi"/>
          <w:sz w:val="22"/>
        </w:rPr>
        <w:t>digit</w:t>
      </w:r>
      <w:r w:rsidR="00C026A6" w:rsidRPr="00EA59C0">
        <w:rPr>
          <w:rFonts w:asciiTheme="minorHAnsi" w:hAnsiTheme="minorHAnsi"/>
          <w:sz w:val="22"/>
        </w:rPr>
        <w:t xml:space="preserve"> </w:t>
      </w:r>
      <w:r w:rsidRPr="00EA59C0">
        <w:rPr>
          <w:rFonts w:asciiTheme="minorHAnsi" w:hAnsiTheme="minorHAnsi"/>
          <w:sz w:val="22"/>
        </w:rPr>
        <w:t>designates</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subsector,</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fourth</w:t>
      </w:r>
      <w:r w:rsidR="00C026A6" w:rsidRPr="00EA59C0">
        <w:rPr>
          <w:rFonts w:asciiTheme="minorHAnsi" w:hAnsiTheme="minorHAnsi"/>
          <w:sz w:val="22"/>
        </w:rPr>
        <w:t xml:space="preserve"> </w:t>
      </w:r>
      <w:r w:rsidRPr="00EA59C0">
        <w:rPr>
          <w:rFonts w:asciiTheme="minorHAnsi" w:hAnsiTheme="minorHAnsi"/>
          <w:sz w:val="22"/>
        </w:rPr>
        <w:t>digit</w:t>
      </w:r>
      <w:r w:rsidR="00C026A6" w:rsidRPr="00EA59C0">
        <w:rPr>
          <w:rFonts w:asciiTheme="minorHAnsi" w:hAnsiTheme="minorHAnsi"/>
          <w:sz w:val="22"/>
        </w:rPr>
        <w:t xml:space="preserve"> </w:t>
      </w:r>
      <w:r w:rsidRPr="00EA59C0">
        <w:rPr>
          <w:rFonts w:asciiTheme="minorHAnsi" w:hAnsiTheme="minorHAnsi"/>
          <w:sz w:val="22"/>
        </w:rPr>
        <w:t>designates</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industry</w:t>
      </w:r>
      <w:r w:rsidR="00C026A6" w:rsidRPr="00EA59C0">
        <w:rPr>
          <w:rFonts w:asciiTheme="minorHAnsi" w:hAnsiTheme="minorHAnsi"/>
          <w:sz w:val="22"/>
        </w:rPr>
        <w:t xml:space="preserve"> </w:t>
      </w:r>
      <w:r w:rsidRPr="00EA59C0">
        <w:rPr>
          <w:rFonts w:asciiTheme="minorHAnsi" w:hAnsiTheme="minorHAnsi"/>
          <w:sz w:val="22"/>
        </w:rPr>
        <w:t>group,</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fifth</w:t>
      </w:r>
      <w:r w:rsidR="00C026A6" w:rsidRPr="00EA59C0">
        <w:rPr>
          <w:rFonts w:asciiTheme="minorHAnsi" w:hAnsiTheme="minorHAnsi"/>
          <w:sz w:val="22"/>
        </w:rPr>
        <w:t xml:space="preserve"> </w:t>
      </w:r>
      <w:r w:rsidRPr="00EA59C0">
        <w:rPr>
          <w:rFonts w:asciiTheme="minorHAnsi" w:hAnsiTheme="minorHAnsi"/>
          <w:sz w:val="22"/>
        </w:rPr>
        <w:t>digit</w:t>
      </w:r>
      <w:r w:rsidR="00C026A6" w:rsidRPr="00EA59C0">
        <w:rPr>
          <w:rFonts w:asciiTheme="minorHAnsi" w:hAnsiTheme="minorHAnsi"/>
          <w:sz w:val="22"/>
        </w:rPr>
        <w:t xml:space="preserve"> </w:t>
      </w:r>
      <w:r w:rsidRPr="00EA59C0">
        <w:rPr>
          <w:rFonts w:asciiTheme="minorHAnsi" w:hAnsiTheme="minorHAnsi"/>
          <w:sz w:val="22"/>
        </w:rPr>
        <w:t>designates</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NAICS</w:t>
      </w:r>
      <w:r w:rsidR="00C026A6" w:rsidRPr="00EA59C0">
        <w:rPr>
          <w:rFonts w:asciiTheme="minorHAnsi" w:hAnsiTheme="minorHAnsi"/>
          <w:sz w:val="22"/>
        </w:rPr>
        <w:t xml:space="preserve"> </w:t>
      </w:r>
      <w:r w:rsidRPr="00EA59C0">
        <w:rPr>
          <w:rFonts w:asciiTheme="minorHAnsi" w:hAnsiTheme="minorHAnsi"/>
          <w:sz w:val="22"/>
        </w:rPr>
        <w:t>industry,</w:t>
      </w:r>
      <w:r w:rsidR="00C026A6" w:rsidRPr="00EA59C0">
        <w:rPr>
          <w:rFonts w:asciiTheme="minorHAnsi" w:hAnsiTheme="minorHAnsi"/>
          <w:sz w:val="22"/>
        </w:rPr>
        <w:t xml:space="preserve"> </w:t>
      </w:r>
      <w:r w:rsidRPr="00EA59C0">
        <w:rPr>
          <w:rFonts w:asciiTheme="minorHAnsi" w:hAnsiTheme="minorHAnsi"/>
          <w:sz w:val="22"/>
        </w:rPr>
        <w:t>and</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sixth</w:t>
      </w:r>
      <w:r w:rsidR="00C026A6" w:rsidRPr="00EA59C0">
        <w:rPr>
          <w:rFonts w:asciiTheme="minorHAnsi" w:hAnsiTheme="minorHAnsi"/>
          <w:sz w:val="22"/>
        </w:rPr>
        <w:t xml:space="preserve"> </w:t>
      </w:r>
      <w:r w:rsidRPr="00EA59C0">
        <w:rPr>
          <w:rFonts w:asciiTheme="minorHAnsi" w:hAnsiTheme="minorHAnsi"/>
          <w:sz w:val="22"/>
        </w:rPr>
        <w:t>digit</w:t>
      </w:r>
      <w:r w:rsidR="00C026A6" w:rsidRPr="00EA59C0">
        <w:rPr>
          <w:rFonts w:asciiTheme="minorHAnsi" w:hAnsiTheme="minorHAnsi"/>
          <w:sz w:val="22"/>
        </w:rPr>
        <w:t xml:space="preserve"> </w:t>
      </w:r>
      <w:r w:rsidRPr="00EA59C0">
        <w:rPr>
          <w:rFonts w:asciiTheme="minorHAnsi" w:hAnsiTheme="minorHAnsi"/>
          <w:sz w:val="22"/>
        </w:rPr>
        <w:t>designates</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national</w:t>
      </w:r>
      <w:r w:rsidR="00C026A6" w:rsidRPr="00EA59C0">
        <w:rPr>
          <w:rFonts w:asciiTheme="minorHAnsi" w:hAnsiTheme="minorHAnsi"/>
          <w:sz w:val="22"/>
        </w:rPr>
        <w:t xml:space="preserve"> </w:t>
      </w:r>
      <w:r w:rsidRPr="00EA59C0">
        <w:rPr>
          <w:rFonts w:asciiTheme="minorHAnsi" w:hAnsiTheme="minorHAnsi"/>
          <w:sz w:val="22"/>
        </w:rPr>
        <w:t>industry.</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5-digit</w:t>
      </w:r>
      <w:r w:rsidR="00C026A6" w:rsidRPr="00EA59C0">
        <w:rPr>
          <w:rFonts w:asciiTheme="minorHAnsi" w:hAnsiTheme="minorHAnsi"/>
          <w:sz w:val="22"/>
        </w:rPr>
        <w:t xml:space="preserve"> </w:t>
      </w:r>
      <w:r w:rsidRPr="00EA59C0">
        <w:rPr>
          <w:rFonts w:asciiTheme="minorHAnsi" w:hAnsiTheme="minorHAnsi"/>
          <w:sz w:val="22"/>
        </w:rPr>
        <w:t>NAICS</w:t>
      </w:r>
      <w:r w:rsidR="00C026A6" w:rsidRPr="00EA59C0">
        <w:rPr>
          <w:rFonts w:asciiTheme="minorHAnsi" w:hAnsiTheme="minorHAnsi"/>
          <w:sz w:val="22"/>
        </w:rPr>
        <w:t xml:space="preserve"> </w:t>
      </w:r>
      <w:r w:rsidRPr="00EA59C0">
        <w:rPr>
          <w:rFonts w:asciiTheme="minorHAnsi" w:hAnsiTheme="minorHAnsi"/>
          <w:sz w:val="22"/>
        </w:rPr>
        <w:t>code</w:t>
      </w:r>
      <w:r w:rsidR="00C026A6" w:rsidRPr="00EA59C0">
        <w:rPr>
          <w:rFonts w:asciiTheme="minorHAnsi" w:hAnsiTheme="minorHAnsi"/>
          <w:sz w:val="22"/>
        </w:rPr>
        <w:t xml:space="preserve"> </w:t>
      </w:r>
      <w:r w:rsidRPr="00EA59C0">
        <w:rPr>
          <w:rFonts w:asciiTheme="minorHAnsi" w:hAnsiTheme="minorHAnsi"/>
          <w:sz w:val="22"/>
        </w:rPr>
        <w:t>is</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level</w:t>
      </w:r>
      <w:r w:rsidR="00C026A6" w:rsidRPr="00EA59C0">
        <w:rPr>
          <w:rFonts w:asciiTheme="minorHAnsi" w:hAnsiTheme="minorHAnsi"/>
          <w:sz w:val="22"/>
        </w:rPr>
        <w:t xml:space="preserve"> </w:t>
      </w:r>
      <w:r w:rsidRPr="00EA59C0">
        <w:rPr>
          <w:rFonts w:asciiTheme="minorHAnsi" w:hAnsiTheme="minorHAnsi"/>
          <w:sz w:val="22"/>
        </w:rPr>
        <w:t>at</w:t>
      </w:r>
      <w:r w:rsidR="00C026A6" w:rsidRPr="00EA59C0">
        <w:rPr>
          <w:rFonts w:asciiTheme="minorHAnsi" w:hAnsiTheme="minorHAnsi"/>
          <w:sz w:val="22"/>
        </w:rPr>
        <w:t xml:space="preserve"> </w:t>
      </w:r>
      <w:r w:rsidRPr="00EA59C0">
        <w:rPr>
          <w:rFonts w:asciiTheme="minorHAnsi" w:hAnsiTheme="minorHAnsi"/>
          <w:sz w:val="22"/>
        </w:rPr>
        <w:t>which</w:t>
      </w:r>
      <w:r w:rsidR="00C026A6" w:rsidRPr="00EA59C0">
        <w:rPr>
          <w:rFonts w:asciiTheme="minorHAnsi" w:hAnsiTheme="minorHAnsi"/>
          <w:sz w:val="22"/>
        </w:rPr>
        <w:t xml:space="preserve"> </w:t>
      </w:r>
      <w:r w:rsidRPr="00EA59C0">
        <w:rPr>
          <w:rFonts w:asciiTheme="minorHAnsi" w:hAnsiTheme="minorHAnsi"/>
          <w:sz w:val="22"/>
        </w:rPr>
        <w:t>there</w:t>
      </w:r>
      <w:r w:rsidR="00C026A6" w:rsidRPr="00EA59C0">
        <w:rPr>
          <w:rFonts w:asciiTheme="minorHAnsi" w:hAnsiTheme="minorHAnsi"/>
          <w:sz w:val="22"/>
        </w:rPr>
        <w:t xml:space="preserve"> </w:t>
      </w:r>
      <w:r w:rsidRPr="00EA59C0">
        <w:rPr>
          <w:rFonts w:asciiTheme="minorHAnsi" w:hAnsiTheme="minorHAnsi"/>
          <w:sz w:val="22"/>
        </w:rPr>
        <w:t>is</w:t>
      </w:r>
      <w:r w:rsidR="00C026A6" w:rsidRPr="00EA59C0">
        <w:rPr>
          <w:rFonts w:asciiTheme="minorHAnsi" w:hAnsiTheme="minorHAnsi"/>
          <w:sz w:val="22"/>
        </w:rPr>
        <w:t xml:space="preserve"> </w:t>
      </w:r>
      <w:r w:rsidRPr="00EA59C0">
        <w:rPr>
          <w:rFonts w:asciiTheme="minorHAnsi" w:hAnsiTheme="minorHAnsi"/>
          <w:sz w:val="22"/>
        </w:rPr>
        <w:t>comparability</w:t>
      </w:r>
      <w:r w:rsidR="00C026A6" w:rsidRPr="00EA59C0">
        <w:rPr>
          <w:rFonts w:asciiTheme="minorHAnsi" w:hAnsiTheme="minorHAnsi"/>
          <w:sz w:val="22"/>
        </w:rPr>
        <w:t xml:space="preserve"> </w:t>
      </w:r>
      <w:r w:rsidRPr="00EA59C0">
        <w:rPr>
          <w:rFonts w:asciiTheme="minorHAnsi" w:hAnsiTheme="minorHAnsi"/>
          <w:sz w:val="22"/>
        </w:rPr>
        <w:t>in</w:t>
      </w:r>
      <w:r w:rsidR="00C026A6" w:rsidRPr="00EA59C0">
        <w:rPr>
          <w:rFonts w:asciiTheme="minorHAnsi" w:hAnsiTheme="minorHAnsi"/>
          <w:sz w:val="22"/>
        </w:rPr>
        <w:t xml:space="preserve"> </w:t>
      </w:r>
      <w:r w:rsidRPr="00EA59C0">
        <w:rPr>
          <w:rFonts w:asciiTheme="minorHAnsi" w:hAnsiTheme="minorHAnsi"/>
          <w:sz w:val="22"/>
        </w:rPr>
        <w:t>code</w:t>
      </w:r>
      <w:r w:rsidR="00C026A6" w:rsidRPr="00EA59C0">
        <w:rPr>
          <w:rFonts w:asciiTheme="minorHAnsi" w:hAnsiTheme="minorHAnsi"/>
          <w:sz w:val="22"/>
        </w:rPr>
        <w:t xml:space="preserve"> </w:t>
      </w:r>
      <w:r w:rsidRPr="00EA59C0">
        <w:rPr>
          <w:rFonts w:asciiTheme="minorHAnsi" w:hAnsiTheme="minorHAnsi"/>
          <w:sz w:val="22"/>
        </w:rPr>
        <w:t>and</w:t>
      </w:r>
      <w:r w:rsidR="00C026A6" w:rsidRPr="00EA59C0">
        <w:rPr>
          <w:rFonts w:asciiTheme="minorHAnsi" w:hAnsiTheme="minorHAnsi"/>
          <w:sz w:val="22"/>
        </w:rPr>
        <w:t xml:space="preserve"> </w:t>
      </w:r>
      <w:r w:rsidRPr="00EA59C0">
        <w:rPr>
          <w:rFonts w:asciiTheme="minorHAnsi" w:hAnsiTheme="minorHAnsi"/>
          <w:sz w:val="22"/>
        </w:rPr>
        <w:t>definitions</w:t>
      </w:r>
      <w:r w:rsidR="00C026A6" w:rsidRPr="00EA59C0">
        <w:rPr>
          <w:rFonts w:asciiTheme="minorHAnsi" w:hAnsiTheme="minorHAnsi"/>
          <w:sz w:val="22"/>
        </w:rPr>
        <w:t xml:space="preserve"> </w:t>
      </w:r>
      <w:r w:rsidRPr="00EA59C0">
        <w:rPr>
          <w:rFonts w:asciiTheme="minorHAnsi" w:hAnsiTheme="minorHAnsi"/>
          <w:sz w:val="22"/>
        </w:rPr>
        <w:t>for</w:t>
      </w:r>
      <w:r w:rsidR="00C026A6" w:rsidRPr="00EA59C0">
        <w:rPr>
          <w:rFonts w:asciiTheme="minorHAnsi" w:hAnsiTheme="minorHAnsi"/>
          <w:sz w:val="22"/>
        </w:rPr>
        <w:t xml:space="preserve"> </w:t>
      </w:r>
      <w:r w:rsidRPr="00EA59C0">
        <w:rPr>
          <w:rFonts w:asciiTheme="minorHAnsi" w:hAnsiTheme="minorHAnsi"/>
          <w:sz w:val="22"/>
        </w:rPr>
        <w:t>most</w:t>
      </w:r>
      <w:r w:rsidR="00C026A6" w:rsidRPr="00EA59C0">
        <w:rPr>
          <w:rFonts w:asciiTheme="minorHAnsi" w:hAnsiTheme="minorHAnsi"/>
          <w:sz w:val="22"/>
        </w:rPr>
        <w:t xml:space="preserve"> </w:t>
      </w:r>
      <w:r w:rsidRPr="00EA59C0">
        <w:rPr>
          <w:rFonts w:asciiTheme="minorHAnsi" w:hAnsiTheme="minorHAnsi"/>
          <w:sz w:val="22"/>
        </w:rPr>
        <w:t>of</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NAICS</w:t>
      </w:r>
      <w:r w:rsidR="00C026A6" w:rsidRPr="00EA59C0">
        <w:rPr>
          <w:rFonts w:asciiTheme="minorHAnsi" w:hAnsiTheme="minorHAnsi"/>
          <w:sz w:val="22"/>
        </w:rPr>
        <w:t xml:space="preserve"> </w:t>
      </w:r>
      <w:r w:rsidRPr="00EA59C0">
        <w:rPr>
          <w:rFonts w:asciiTheme="minorHAnsi" w:hAnsiTheme="minorHAnsi"/>
          <w:sz w:val="22"/>
        </w:rPr>
        <w:t>sectors</w:t>
      </w:r>
      <w:r w:rsidR="00C026A6" w:rsidRPr="00EA59C0">
        <w:rPr>
          <w:rFonts w:asciiTheme="minorHAnsi" w:hAnsiTheme="minorHAnsi"/>
          <w:sz w:val="22"/>
        </w:rPr>
        <w:t xml:space="preserve"> </w:t>
      </w:r>
      <w:r w:rsidRPr="00EA59C0">
        <w:rPr>
          <w:rFonts w:asciiTheme="minorHAnsi" w:hAnsiTheme="minorHAnsi"/>
          <w:sz w:val="22"/>
        </w:rPr>
        <w:t>across</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three</w:t>
      </w:r>
      <w:r w:rsidR="00C026A6" w:rsidRPr="00EA59C0">
        <w:rPr>
          <w:rFonts w:asciiTheme="minorHAnsi" w:hAnsiTheme="minorHAnsi"/>
          <w:sz w:val="22"/>
        </w:rPr>
        <w:t xml:space="preserve"> </w:t>
      </w:r>
      <w:r w:rsidRPr="00EA59C0">
        <w:rPr>
          <w:rFonts w:asciiTheme="minorHAnsi" w:hAnsiTheme="minorHAnsi"/>
          <w:sz w:val="22"/>
        </w:rPr>
        <w:t>countries</w:t>
      </w:r>
      <w:r w:rsidR="00C026A6" w:rsidRPr="00EA59C0">
        <w:rPr>
          <w:rFonts w:asciiTheme="minorHAnsi" w:hAnsiTheme="minorHAnsi"/>
          <w:sz w:val="22"/>
        </w:rPr>
        <w:t xml:space="preserve"> </w:t>
      </w:r>
      <w:r w:rsidRPr="00EA59C0">
        <w:rPr>
          <w:rFonts w:asciiTheme="minorHAnsi" w:hAnsiTheme="minorHAnsi"/>
          <w:sz w:val="22"/>
        </w:rPr>
        <w:t>participating</w:t>
      </w:r>
      <w:r w:rsidR="00C026A6" w:rsidRPr="00EA59C0">
        <w:rPr>
          <w:rFonts w:asciiTheme="minorHAnsi" w:hAnsiTheme="minorHAnsi"/>
          <w:sz w:val="22"/>
        </w:rPr>
        <w:t xml:space="preserve"> </w:t>
      </w:r>
      <w:r w:rsidRPr="00EA59C0">
        <w:rPr>
          <w:rFonts w:asciiTheme="minorHAnsi" w:hAnsiTheme="minorHAnsi"/>
          <w:sz w:val="22"/>
        </w:rPr>
        <w:t>in</w:t>
      </w:r>
      <w:r w:rsidR="00C026A6" w:rsidRPr="00EA59C0">
        <w:rPr>
          <w:rFonts w:asciiTheme="minorHAnsi" w:hAnsiTheme="minorHAnsi"/>
          <w:sz w:val="22"/>
        </w:rPr>
        <w:t xml:space="preserve"> </w:t>
      </w:r>
      <w:r w:rsidRPr="00EA59C0">
        <w:rPr>
          <w:rFonts w:asciiTheme="minorHAnsi" w:hAnsiTheme="minorHAnsi"/>
          <w:sz w:val="22"/>
        </w:rPr>
        <w:t>NAICS</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United</w:t>
      </w:r>
      <w:r w:rsidR="00C026A6" w:rsidRPr="00EA59C0">
        <w:rPr>
          <w:rFonts w:asciiTheme="minorHAnsi" w:hAnsiTheme="minorHAnsi"/>
          <w:sz w:val="22"/>
        </w:rPr>
        <w:t xml:space="preserve"> </w:t>
      </w:r>
      <w:r w:rsidRPr="00EA59C0">
        <w:rPr>
          <w:rFonts w:asciiTheme="minorHAnsi" w:hAnsiTheme="minorHAnsi"/>
          <w:sz w:val="22"/>
        </w:rPr>
        <w:t>States,</w:t>
      </w:r>
      <w:r w:rsidR="00C026A6" w:rsidRPr="00EA59C0">
        <w:rPr>
          <w:rFonts w:asciiTheme="minorHAnsi" w:hAnsiTheme="minorHAnsi"/>
          <w:sz w:val="22"/>
        </w:rPr>
        <w:t xml:space="preserve"> </w:t>
      </w:r>
      <w:r w:rsidRPr="00EA59C0">
        <w:rPr>
          <w:rFonts w:asciiTheme="minorHAnsi" w:hAnsiTheme="minorHAnsi"/>
          <w:sz w:val="22"/>
        </w:rPr>
        <w:t>Canada,</w:t>
      </w:r>
      <w:r w:rsidR="00C026A6" w:rsidRPr="00EA59C0">
        <w:rPr>
          <w:rFonts w:asciiTheme="minorHAnsi" w:hAnsiTheme="minorHAnsi"/>
          <w:sz w:val="22"/>
        </w:rPr>
        <w:t xml:space="preserve"> </w:t>
      </w:r>
      <w:r w:rsidRPr="00EA59C0">
        <w:rPr>
          <w:rFonts w:asciiTheme="minorHAnsi" w:hAnsiTheme="minorHAnsi"/>
          <w:sz w:val="22"/>
        </w:rPr>
        <w:t>and</w:t>
      </w:r>
      <w:r w:rsidR="00C026A6" w:rsidRPr="00EA59C0">
        <w:rPr>
          <w:rFonts w:asciiTheme="minorHAnsi" w:hAnsiTheme="minorHAnsi"/>
          <w:sz w:val="22"/>
        </w:rPr>
        <w:t xml:space="preserve"> </w:t>
      </w:r>
      <w:r w:rsidRPr="00EA59C0">
        <w:rPr>
          <w:rFonts w:asciiTheme="minorHAnsi" w:hAnsiTheme="minorHAnsi"/>
          <w:sz w:val="22"/>
        </w:rPr>
        <w:t>Mexico).</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6-digit</w:t>
      </w:r>
      <w:r w:rsidR="00C026A6" w:rsidRPr="00EA59C0">
        <w:rPr>
          <w:rFonts w:asciiTheme="minorHAnsi" w:hAnsiTheme="minorHAnsi"/>
          <w:sz w:val="22"/>
        </w:rPr>
        <w:t xml:space="preserve"> </w:t>
      </w:r>
      <w:r w:rsidRPr="00EA59C0">
        <w:rPr>
          <w:rFonts w:asciiTheme="minorHAnsi" w:hAnsiTheme="minorHAnsi"/>
          <w:sz w:val="22"/>
        </w:rPr>
        <w:t>level</w:t>
      </w:r>
      <w:r w:rsidR="00C026A6" w:rsidRPr="00EA59C0">
        <w:rPr>
          <w:rFonts w:asciiTheme="minorHAnsi" w:hAnsiTheme="minorHAnsi"/>
          <w:sz w:val="22"/>
        </w:rPr>
        <w:t xml:space="preserve"> </w:t>
      </w:r>
      <w:r w:rsidRPr="00EA59C0">
        <w:rPr>
          <w:rFonts w:asciiTheme="minorHAnsi" w:hAnsiTheme="minorHAnsi"/>
          <w:sz w:val="22"/>
        </w:rPr>
        <w:t>allows</w:t>
      </w:r>
      <w:r w:rsidR="00C026A6" w:rsidRPr="00EA59C0">
        <w:rPr>
          <w:rFonts w:asciiTheme="minorHAnsi" w:hAnsiTheme="minorHAnsi"/>
          <w:sz w:val="22"/>
        </w:rPr>
        <w:t xml:space="preserve"> </w:t>
      </w:r>
      <w:r w:rsidRPr="00EA59C0">
        <w:rPr>
          <w:rFonts w:asciiTheme="minorHAnsi" w:hAnsiTheme="minorHAnsi"/>
          <w:sz w:val="22"/>
        </w:rPr>
        <w:t>for</w:t>
      </w:r>
      <w:r w:rsidR="00C026A6" w:rsidRPr="00EA59C0">
        <w:rPr>
          <w:rFonts w:asciiTheme="minorHAnsi" w:hAnsiTheme="minorHAnsi"/>
          <w:sz w:val="22"/>
        </w:rPr>
        <w:t xml:space="preserve"> </w:t>
      </w:r>
      <w:r w:rsidRPr="00EA59C0">
        <w:rPr>
          <w:rFonts w:asciiTheme="minorHAnsi" w:hAnsiTheme="minorHAnsi"/>
          <w:sz w:val="22"/>
        </w:rPr>
        <w:t>the</w:t>
      </w:r>
      <w:r w:rsidR="00C026A6" w:rsidRPr="00EA59C0">
        <w:rPr>
          <w:rFonts w:asciiTheme="minorHAnsi" w:hAnsiTheme="minorHAnsi"/>
          <w:sz w:val="22"/>
        </w:rPr>
        <w:t xml:space="preserve"> </w:t>
      </w:r>
      <w:r w:rsidRPr="00EA59C0">
        <w:rPr>
          <w:rFonts w:asciiTheme="minorHAnsi" w:hAnsiTheme="minorHAnsi"/>
          <w:sz w:val="22"/>
        </w:rPr>
        <w:t>United</w:t>
      </w:r>
      <w:r w:rsidR="00C026A6" w:rsidRPr="00EA59C0">
        <w:rPr>
          <w:rFonts w:asciiTheme="minorHAnsi" w:hAnsiTheme="minorHAnsi"/>
          <w:sz w:val="22"/>
        </w:rPr>
        <w:t xml:space="preserve"> </w:t>
      </w:r>
      <w:r w:rsidRPr="00EA59C0">
        <w:rPr>
          <w:rFonts w:asciiTheme="minorHAnsi" w:hAnsiTheme="minorHAnsi"/>
          <w:sz w:val="22"/>
        </w:rPr>
        <w:t>States,</w:t>
      </w:r>
      <w:r w:rsidR="00C026A6" w:rsidRPr="00EA59C0">
        <w:rPr>
          <w:rFonts w:asciiTheme="minorHAnsi" w:hAnsiTheme="minorHAnsi"/>
          <w:sz w:val="22"/>
        </w:rPr>
        <w:t xml:space="preserve"> </w:t>
      </w:r>
      <w:r w:rsidRPr="00EA59C0">
        <w:rPr>
          <w:rFonts w:asciiTheme="minorHAnsi" w:hAnsiTheme="minorHAnsi"/>
          <w:sz w:val="22"/>
        </w:rPr>
        <w:t>Canada,</w:t>
      </w:r>
      <w:r w:rsidR="00C026A6" w:rsidRPr="00EA59C0">
        <w:rPr>
          <w:rFonts w:asciiTheme="minorHAnsi" w:hAnsiTheme="minorHAnsi"/>
          <w:sz w:val="22"/>
        </w:rPr>
        <w:t xml:space="preserve"> </w:t>
      </w:r>
      <w:r w:rsidRPr="00EA59C0">
        <w:rPr>
          <w:rFonts w:asciiTheme="minorHAnsi" w:hAnsiTheme="minorHAnsi"/>
          <w:sz w:val="22"/>
        </w:rPr>
        <w:t>and</w:t>
      </w:r>
      <w:r w:rsidR="00C026A6" w:rsidRPr="00EA59C0">
        <w:rPr>
          <w:rFonts w:asciiTheme="minorHAnsi" w:hAnsiTheme="minorHAnsi"/>
          <w:sz w:val="22"/>
        </w:rPr>
        <w:t xml:space="preserve"> </w:t>
      </w:r>
      <w:r w:rsidRPr="00EA59C0">
        <w:rPr>
          <w:rFonts w:asciiTheme="minorHAnsi" w:hAnsiTheme="minorHAnsi"/>
          <w:sz w:val="22"/>
        </w:rPr>
        <w:t>Mexico</w:t>
      </w:r>
      <w:r w:rsidR="00C026A6" w:rsidRPr="00EA59C0">
        <w:rPr>
          <w:rFonts w:asciiTheme="minorHAnsi" w:hAnsiTheme="minorHAnsi"/>
          <w:sz w:val="22"/>
        </w:rPr>
        <w:t xml:space="preserve"> </w:t>
      </w:r>
      <w:r w:rsidRPr="00EA59C0">
        <w:rPr>
          <w:rFonts w:asciiTheme="minorHAnsi" w:hAnsiTheme="minorHAnsi"/>
          <w:sz w:val="22"/>
        </w:rPr>
        <w:t>each</w:t>
      </w:r>
      <w:r w:rsidR="00C026A6" w:rsidRPr="00EA59C0">
        <w:rPr>
          <w:rFonts w:asciiTheme="minorHAnsi" w:hAnsiTheme="minorHAnsi"/>
          <w:sz w:val="22"/>
        </w:rPr>
        <w:t xml:space="preserve"> </w:t>
      </w:r>
      <w:r w:rsidRPr="00EA59C0">
        <w:rPr>
          <w:rFonts w:asciiTheme="minorHAnsi" w:hAnsiTheme="minorHAnsi"/>
          <w:sz w:val="22"/>
        </w:rPr>
        <w:t>to</w:t>
      </w:r>
      <w:r w:rsidR="00C026A6" w:rsidRPr="00EA59C0">
        <w:rPr>
          <w:rFonts w:asciiTheme="minorHAnsi" w:hAnsiTheme="minorHAnsi"/>
          <w:sz w:val="22"/>
        </w:rPr>
        <w:t xml:space="preserve"> </w:t>
      </w:r>
      <w:r w:rsidRPr="00EA59C0">
        <w:rPr>
          <w:rFonts w:asciiTheme="minorHAnsi" w:hAnsiTheme="minorHAnsi"/>
          <w:sz w:val="22"/>
        </w:rPr>
        <w:t>have</w:t>
      </w:r>
      <w:r w:rsidR="00C026A6" w:rsidRPr="00EA59C0">
        <w:rPr>
          <w:rFonts w:asciiTheme="minorHAnsi" w:hAnsiTheme="minorHAnsi"/>
          <w:sz w:val="22"/>
        </w:rPr>
        <w:t xml:space="preserve"> </w:t>
      </w:r>
      <w:r w:rsidRPr="00EA59C0">
        <w:rPr>
          <w:rFonts w:asciiTheme="minorHAnsi" w:hAnsiTheme="minorHAnsi"/>
          <w:sz w:val="22"/>
        </w:rPr>
        <w:t>country-specific</w:t>
      </w:r>
      <w:r w:rsidR="00C026A6" w:rsidRPr="00EA59C0">
        <w:rPr>
          <w:rFonts w:asciiTheme="minorHAnsi" w:hAnsiTheme="minorHAnsi"/>
          <w:sz w:val="22"/>
        </w:rPr>
        <w:t xml:space="preserve"> </w:t>
      </w:r>
      <w:r w:rsidRPr="00EA59C0">
        <w:rPr>
          <w:rFonts w:asciiTheme="minorHAnsi" w:hAnsiTheme="minorHAnsi"/>
          <w:sz w:val="22"/>
        </w:rPr>
        <w:t>detail.</w:t>
      </w:r>
      <w:r w:rsidR="00C026A6" w:rsidRPr="00EA59C0">
        <w:rPr>
          <w:rFonts w:asciiTheme="minorHAnsi" w:hAnsiTheme="minorHAnsi"/>
          <w:sz w:val="22"/>
        </w:rPr>
        <w:t xml:space="preserve"> </w:t>
      </w:r>
      <w:r w:rsidRPr="00EA59C0">
        <w:rPr>
          <w:rFonts w:asciiTheme="minorHAnsi" w:hAnsiTheme="minorHAnsi"/>
          <w:sz w:val="22"/>
        </w:rPr>
        <w:t>A</w:t>
      </w:r>
      <w:r w:rsidR="00C026A6" w:rsidRPr="00EA59C0">
        <w:rPr>
          <w:rFonts w:asciiTheme="minorHAnsi" w:hAnsiTheme="minorHAnsi"/>
          <w:sz w:val="22"/>
        </w:rPr>
        <w:t xml:space="preserve"> </w:t>
      </w:r>
      <w:r w:rsidRPr="00EA59C0">
        <w:rPr>
          <w:rFonts w:asciiTheme="minorHAnsi" w:hAnsiTheme="minorHAnsi"/>
          <w:sz w:val="22"/>
        </w:rPr>
        <w:t>complete</w:t>
      </w:r>
      <w:r w:rsidR="00C026A6" w:rsidRPr="00EA59C0">
        <w:rPr>
          <w:rFonts w:asciiTheme="minorHAnsi" w:hAnsiTheme="minorHAnsi"/>
          <w:sz w:val="22"/>
        </w:rPr>
        <w:t xml:space="preserve"> </w:t>
      </w:r>
      <w:r w:rsidRPr="00EA59C0">
        <w:rPr>
          <w:rFonts w:asciiTheme="minorHAnsi" w:hAnsiTheme="minorHAnsi"/>
          <w:sz w:val="22"/>
        </w:rPr>
        <w:t>and</w:t>
      </w:r>
      <w:r w:rsidR="00C026A6" w:rsidRPr="00EA59C0">
        <w:rPr>
          <w:rFonts w:asciiTheme="minorHAnsi" w:hAnsiTheme="minorHAnsi"/>
          <w:sz w:val="22"/>
        </w:rPr>
        <w:t xml:space="preserve"> </w:t>
      </w:r>
      <w:r w:rsidRPr="00EA59C0">
        <w:rPr>
          <w:rFonts w:asciiTheme="minorHAnsi" w:hAnsiTheme="minorHAnsi"/>
          <w:sz w:val="22"/>
        </w:rPr>
        <w:t>valid</w:t>
      </w:r>
      <w:r w:rsidR="00C026A6" w:rsidRPr="00EA59C0">
        <w:rPr>
          <w:rFonts w:asciiTheme="minorHAnsi" w:hAnsiTheme="minorHAnsi"/>
          <w:sz w:val="22"/>
        </w:rPr>
        <w:t xml:space="preserve"> </w:t>
      </w:r>
      <w:r w:rsidRPr="00EA59C0">
        <w:rPr>
          <w:rFonts w:asciiTheme="minorHAnsi" w:hAnsiTheme="minorHAnsi"/>
          <w:sz w:val="22"/>
        </w:rPr>
        <w:t>NAICS</w:t>
      </w:r>
      <w:r w:rsidR="00C026A6" w:rsidRPr="00EA59C0">
        <w:rPr>
          <w:rFonts w:asciiTheme="minorHAnsi" w:hAnsiTheme="minorHAnsi"/>
          <w:sz w:val="22"/>
        </w:rPr>
        <w:t xml:space="preserve"> </w:t>
      </w:r>
      <w:r w:rsidRPr="00EA59C0">
        <w:rPr>
          <w:rFonts w:asciiTheme="minorHAnsi" w:hAnsiTheme="minorHAnsi"/>
          <w:sz w:val="22"/>
        </w:rPr>
        <w:t>code</w:t>
      </w:r>
      <w:r w:rsidR="00C026A6" w:rsidRPr="00EA59C0">
        <w:rPr>
          <w:rFonts w:asciiTheme="minorHAnsi" w:hAnsiTheme="minorHAnsi"/>
          <w:sz w:val="22"/>
        </w:rPr>
        <w:t xml:space="preserve"> </w:t>
      </w:r>
      <w:r w:rsidRPr="00EA59C0">
        <w:rPr>
          <w:rFonts w:asciiTheme="minorHAnsi" w:hAnsiTheme="minorHAnsi"/>
          <w:sz w:val="22"/>
        </w:rPr>
        <w:t>contains</w:t>
      </w:r>
      <w:r w:rsidR="00C026A6" w:rsidRPr="00EA59C0">
        <w:rPr>
          <w:rFonts w:asciiTheme="minorHAnsi" w:hAnsiTheme="minorHAnsi"/>
          <w:sz w:val="22"/>
        </w:rPr>
        <w:t xml:space="preserve"> </w:t>
      </w:r>
      <w:r w:rsidRPr="00EA59C0">
        <w:rPr>
          <w:rFonts w:asciiTheme="minorHAnsi" w:hAnsiTheme="minorHAnsi"/>
          <w:sz w:val="22"/>
        </w:rPr>
        <w:t>six</w:t>
      </w:r>
      <w:r w:rsidR="00C026A6" w:rsidRPr="00EA59C0">
        <w:rPr>
          <w:rFonts w:asciiTheme="minorHAnsi" w:hAnsiTheme="minorHAnsi"/>
          <w:sz w:val="22"/>
        </w:rPr>
        <w:t xml:space="preserve"> </w:t>
      </w:r>
      <w:r w:rsidRPr="00EA59C0">
        <w:rPr>
          <w:rFonts w:asciiTheme="minorHAnsi" w:hAnsiTheme="minorHAnsi"/>
          <w:sz w:val="22"/>
        </w:rPr>
        <w:t>digits.</w:t>
      </w:r>
    </w:p>
    <w:p w:rsidR="008826BE" w:rsidRPr="00EA59C0" w:rsidRDefault="008826BE" w:rsidP="00DB00BB">
      <w:pPr>
        <w:spacing w:after="120"/>
        <w:rPr>
          <w:rFonts w:asciiTheme="minorHAnsi" w:hAnsiTheme="minorHAnsi"/>
          <w:sz w:val="22"/>
        </w:rPr>
      </w:pPr>
      <w:r w:rsidRPr="00EA59C0">
        <w:rPr>
          <w:rFonts w:asciiTheme="minorHAnsi" w:hAnsiTheme="minorHAnsi"/>
          <w:sz w:val="22"/>
        </w:rPr>
        <w:br w:type="page"/>
      </w:r>
    </w:p>
    <w:p w:rsidR="008826BE" w:rsidRPr="00EA59C0" w:rsidRDefault="008826BE" w:rsidP="008826BE">
      <w:pPr>
        <w:tabs>
          <w:tab w:val="left" w:pos="0"/>
          <w:tab w:val="left" w:pos="360"/>
        </w:tabs>
        <w:spacing w:line="480" w:lineRule="auto"/>
        <w:rPr>
          <w:rFonts w:ascii="Arial" w:hAnsi="Arial" w:cs="Arial"/>
          <w:b/>
          <w:sz w:val="22"/>
          <w:szCs w:val="22"/>
        </w:rPr>
      </w:pPr>
      <w:r w:rsidRPr="00EA59C0">
        <w:rPr>
          <w:rFonts w:ascii="Arial" w:hAnsi="Arial" w:cs="Arial"/>
          <w:b/>
          <w:sz w:val="22"/>
          <w:szCs w:val="22"/>
        </w:rPr>
        <w:t>Appendix</w:t>
      </w:r>
      <w:r w:rsidR="00C026A6" w:rsidRPr="00EA59C0">
        <w:rPr>
          <w:rFonts w:ascii="Arial" w:hAnsi="Arial" w:cs="Arial"/>
          <w:b/>
          <w:sz w:val="22"/>
          <w:szCs w:val="22"/>
        </w:rPr>
        <w:t xml:space="preserve"> </w:t>
      </w:r>
      <w:r w:rsidR="00D9326C" w:rsidRPr="00EA59C0">
        <w:rPr>
          <w:rFonts w:ascii="Arial" w:hAnsi="Arial" w:cs="Arial"/>
          <w:b/>
          <w:sz w:val="22"/>
          <w:szCs w:val="22"/>
        </w:rPr>
        <w:t>J:</w:t>
      </w:r>
      <w:r w:rsidR="00C026A6" w:rsidRPr="00EA59C0">
        <w:rPr>
          <w:rFonts w:ascii="Arial" w:hAnsi="Arial" w:cs="Arial"/>
          <w:b/>
          <w:sz w:val="22"/>
          <w:szCs w:val="22"/>
        </w:rPr>
        <w:t xml:space="preserve"> </w:t>
      </w:r>
      <w:r w:rsidRPr="00EA59C0">
        <w:rPr>
          <w:rFonts w:ascii="Arial" w:hAnsi="Arial" w:cs="Arial"/>
          <w:b/>
          <w:sz w:val="22"/>
          <w:szCs w:val="22"/>
        </w:rPr>
        <w:t>Outreach</w:t>
      </w:r>
      <w:r w:rsidR="00C026A6" w:rsidRPr="00EA59C0">
        <w:rPr>
          <w:rFonts w:ascii="Arial" w:hAnsi="Arial" w:cs="Arial"/>
          <w:b/>
          <w:sz w:val="22"/>
          <w:szCs w:val="22"/>
        </w:rPr>
        <w:t xml:space="preserve"> </w:t>
      </w:r>
      <w:r w:rsidRPr="00EA59C0">
        <w:rPr>
          <w:rFonts w:ascii="Arial" w:hAnsi="Arial" w:cs="Arial"/>
          <w:b/>
          <w:sz w:val="22"/>
          <w:szCs w:val="22"/>
        </w:rPr>
        <w:t>Organizations</w:t>
      </w:r>
    </w:p>
    <w:p w:rsidR="008826BE" w:rsidRPr="00EA59C0" w:rsidRDefault="008826BE" w:rsidP="00DB00BB">
      <w:pPr>
        <w:tabs>
          <w:tab w:val="left" w:pos="0"/>
          <w:tab w:val="left" w:pos="360"/>
        </w:tabs>
        <w:rPr>
          <w:rFonts w:ascii="Arial" w:hAnsi="Arial" w:cs="Arial"/>
          <w:sz w:val="22"/>
          <w:szCs w:val="22"/>
        </w:rPr>
      </w:pP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collecting</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information</w:t>
      </w:r>
      <w:r w:rsidR="00C026A6" w:rsidRPr="00EA59C0">
        <w:rPr>
          <w:rFonts w:ascii="Arial" w:hAnsi="Arial" w:cs="Arial"/>
          <w:sz w:val="22"/>
          <w:szCs w:val="22"/>
        </w:rPr>
        <w:t xml:space="preserve"> </w:t>
      </w:r>
      <w:r w:rsidRPr="00EA59C0">
        <w:rPr>
          <w:rFonts w:ascii="Arial" w:hAnsi="Arial" w:cs="Arial"/>
          <w:sz w:val="22"/>
          <w:szCs w:val="22"/>
        </w:rPr>
        <w:t>described</w:t>
      </w:r>
      <w:r w:rsidR="00C026A6" w:rsidRPr="00EA59C0">
        <w:rPr>
          <w:rFonts w:ascii="Arial" w:hAnsi="Arial" w:cs="Arial"/>
          <w:sz w:val="22"/>
          <w:szCs w:val="22"/>
        </w:rPr>
        <w:t xml:space="preserve"> </w:t>
      </w:r>
      <w:r w:rsidRPr="00EA59C0">
        <w:rPr>
          <w:rFonts w:ascii="Arial" w:hAnsi="Arial" w:cs="Arial"/>
          <w:sz w:val="22"/>
          <w:szCs w:val="22"/>
        </w:rPr>
        <w:t>above</w:t>
      </w:r>
      <w:r w:rsidR="00C026A6" w:rsidRPr="00EA59C0">
        <w:rPr>
          <w:rFonts w:ascii="Arial" w:hAnsi="Arial" w:cs="Arial"/>
          <w:sz w:val="22"/>
          <w:szCs w:val="22"/>
        </w:rPr>
        <w:t xml:space="preserve"> </w:t>
      </w: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Sections</w:t>
      </w:r>
      <w:r w:rsidR="00C026A6" w:rsidRPr="00EA59C0">
        <w:rPr>
          <w:rFonts w:ascii="Arial" w:hAnsi="Arial" w:cs="Arial"/>
          <w:sz w:val="22"/>
          <w:szCs w:val="22"/>
        </w:rPr>
        <w:t xml:space="preserve"> </w:t>
      </w:r>
      <w:r w:rsidRPr="00EA59C0">
        <w:rPr>
          <w:rFonts w:ascii="Arial" w:hAnsi="Arial" w:cs="Arial"/>
          <w:sz w:val="22"/>
          <w:szCs w:val="22"/>
        </w:rPr>
        <w:t>I.B.5</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V.A.1.iii,</w:t>
      </w:r>
      <w:r w:rsidR="00C026A6" w:rsidRPr="00EA59C0">
        <w:rPr>
          <w:rFonts w:ascii="Arial" w:hAnsi="Arial" w:cs="Arial"/>
          <w:sz w:val="22"/>
          <w:szCs w:val="22"/>
        </w:rPr>
        <w:t xml:space="preserve"> </w:t>
      </w:r>
      <w:r w:rsidRPr="00EA59C0">
        <w:rPr>
          <w:rFonts w:ascii="Arial" w:hAnsi="Arial" w:cs="Arial"/>
          <w:sz w:val="22"/>
          <w:szCs w:val="22"/>
        </w:rPr>
        <w:t>applicants</w:t>
      </w:r>
      <w:r w:rsidR="00C026A6" w:rsidRPr="00EA59C0">
        <w:rPr>
          <w:rFonts w:ascii="Arial" w:hAnsi="Arial" w:cs="Arial"/>
          <w:sz w:val="22"/>
          <w:szCs w:val="22"/>
        </w:rPr>
        <w:t xml:space="preserve"> </w:t>
      </w:r>
      <w:r w:rsidRPr="00EA59C0">
        <w:rPr>
          <w:rFonts w:ascii="Arial" w:hAnsi="Arial" w:cs="Arial"/>
          <w:sz w:val="22"/>
          <w:szCs w:val="22"/>
        </w:rPr>
        <w:t>must</w:t>
      </w:r>
      <w:r w:rsidR="00C026A6" w:rsidRPr="00EA59C0">
        <w:rPr>
          <w:rFonts w:ascii="Arial" w:hAnsi="Arial" w:cs="Arial"/>
          <w:sz w:val="22"/>
          <w:szCs w:val="22"/>
        </w:rPr>
        <w:t xml:space="preserve"> </w:t>
      </w:r>
      <w:r w:rsidRPr="00EA59C0">
        <w:rPr>
          <w:rFonts w:ascii="Arial" w:hAnsi="Arial" w:cs="Arial"/>
          <w:sz w:val="22"/>
          <w:szCs w:val="22"/>
        </w:rPr>
        <w:t>reach</w:t>
      </w:r>
      <w:r w:rsidR="00C026A6" w:rsidRPr="00EA59C0">
        <w:rPr>
          <w:rFonts w:ascii="Arial" w:hAnsi="Arial" w:cs="Arial"/>
          <w:sz w:val="22"/>
          <w:szCs w:val="22"/>
        </w:rPr>
        <w:t xml:space="preserve"> </w:t>
      </w:r>
      <w:r w:rsidRPr="00EA59C0">
        <w:rPr>
          <w:rFonts w:ascii="Arial" w:hAnsi="Arial" w:cs="Arial"/>
          <w:sz w:val="22"/>
          <w:szCs w:val="22"/>
        </w:rPr>
        <w:t>out</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use</w:t>
      </w:r>
      <w:r w:rsidR="00C026A6" w:rsidRPr="00EA59C0">
        <w:rPr>
          <w:rFonts w:ascii="Arial" w:hAnsi="Arial" w:cs="Arial"/>
          <w:sz w:val="22"/>
          <w:szCs w:val="22"/>
        </w:rPr>
        <w:t xml:space="preserve"> </w:t>
      </w:r>
      <w:r w:rsidRPr="00EA59C0">
        <w:rPr>
          <w:rFonts w:ascii="Arial" w:hAnsi="Arial" w:cs="Arial"/>
          <w:sz w:val="22"/>
          <w:szCs w:val="22"/>
        </w:rPr>
        <w:t>data</w:t>
      </w:r>
      <w:r w:rsidR="00C026A6" w:rsidRPr="00EA59C0">
        <w:rPr>
          <w:rFonts w:ascii="Arial" w:hAnsi="Arial" w:cs="Arial"/>
          <w:sz w:val="22"/>
          <w:szCs w:val="22"/>
        </w:rPr>
        <w:t xml:space="preserve"> </w:t>
      </w:r>
      <w:r w:rsidRPr="00EA59C0">
        <w:rPr>
          <w:rFonts w:ascii="Arial" w:hAnsi="Arial" w:cs="Arial"/>
          <w:sz w:val="22"/>
          <w:szCs w:val="22"/>
        </w:rPr>
        <w:t>from</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following</w:t>
      </w:r>
      <w:r w:rsidR="00C026A6" w:rsidRPr="00EA59C0">
        <w:rPr>
          <w:rFonts w:ascii="Arial" w:hAnsi="Arial" w:cs="Arial"/>
          <w:sz w:val="22"/>
          <w:szCs w:val="22"/>
        </w:rPr>
        <w:t xml:space="preserve"> </w:t>
      </w:r>
      <w:r w:rsidRPr="00EA59C0">
        <w:rPr>
          <w:rFonts w:ascii="Arial" w:hAnsi="Arial" w:cs="Arial"/>
          <w:sz w:val="22"/>
          <w:szCs w:val="22"/>
        </w:rPr>
        <w:t>organizations,</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extent</w:t>
      </w:r>
      <w:r w:rsidR="00C026A6" w:rsidRPr="00EA59C0">
        <w:rPr>
          <w:rFonts w:ascii="Arial" w:hAnsi="Arial" w:cs="Arial"/>
          <w:sz w:val="22"/>
          <w:szCs w:val="22"/>
        </w:rPr>
        <w:t xml:space="preserve"> </w:t>
      </w:r>
      <w:r w:rsidRPr="00EA59C0">
        <w:rPr>
          <w:rFonts w:ascii="Arial" w:hAnsi="Arial" w:cs="Arial"/>
          <w:sz w:val="22"/>
          <w:szCs w:val="22"/>
        </w:rPr>
        <w:t>appropriate</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program</w:t>
      </w:r>
      <w:r w:rsidR="00C026A6" w:rsidRPr="00EA59C0">
        <w:rPr>
          <w:rFonts w:ascii="Arial" w:hAnsi="Arial" w:cs="Arial"/>
          <w:sz w:val="22"/>
          <w:szCs w:val="22"/>
        </w:rPr>
        <w:t xml:space="preserve"> </w:t>
      </w:r>
      <w:r w:rsidRPr="00EA59C0">
        <w:rPr>
          <w:rFonts w:ascii="Arial" w:hAnsi="Arial" w:cs="Arial"/>
          <w:sz w:val="22"/>
          <w:szCs w:val="22"/>
        </w:rPr>
        <w:t>being</w:t>
      </w:r>
      <w:r w:rsidR="00C026A6" w:rsidRPr="00EA59C0">
        <w:rPr>
          <w:rFonts w:ascii="Arial" w:hAnsi="Arial" w:cs="Arial"/>
          <w:sz w:val="22"/>
          <w:szCs w:val="22"/>
        </w:rPr>
        <w:t xml:space="preserve"> </w:t>
      </w:r>
      <w:r w:rsidRPr="00EA59C0">
        <w:rPr>
          <w:rFonts w:ascii="Arial" w:hAnsi="Arial" w:cs="Arial"/>
          <w:sz w:val="22"/>
          <w:szCs w:val="22"/>
        </w:rPr>
        <w:t>proposed:</w:t>
      </w:r>
      <w:r w:rsidR="00C026A6" w:rsidRPr="00EA59C0">
        <w:rPr>
          <w:rFonts w:ascii="Arial" w:hAnsi="Arial" w:cs="Arial"/>
          <w:sz w:val="22"/>
          <w:szCs w:val="22"/>
        </w:rPr>
        <w:t xml:space="preserve">  </w:t>
      </w:r>
    </w:p>
    <w:p w:rsidR="008826BE" w:rsidRPr="00EA59C0" w:rsidRDefault="008826BE" w:rsidP="00080097">
      <w:pPr>
        <w:numPr>
          <w:ilvl w:val="0"/>
          <w:numId w:val="37"/>
        </w:numPr>
        <w:tabs>
          <w:tab w:val="left" w:pos="0"/>
          <w:tab w:val="left" w:pos="360"/>
          <w:tab w:val="num" w:pos="1080"/>
        </w:tabs>
        <w:rPr>
          <w:rFonts w:ascii="Arial" w:hAnsi="Arial" w:cs="Arial"/>
          <w:sz w:val="22"/>
          <w:szCs w:val="22"/>
        </w:rPr>
      </w:pPr>
      <w:r w:rsidRPr="00EA59C0">
        <w:rPr>
          <w:rFonts w:ascii="Arial" w:hAnsi="Arial" w:cs="Arial"/>
          <w:sz w:val="22"/>
          <w:szCs w:val="22"/>
        </w:rPr>
        <w:t>Employers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industry</w:t>
      </w:r>
      <w:r w:rsidR="00C026A6" w:rsidRPr="00EA59C0">
        <w:rPr>
          <w:rFonts w:ascii="Arial" w:hAnsi="Arial" w:cs="Arial"/>
          <w:sz w:val="22"/>
          <w:szCs w:val="22"/>
        </w:rPr>
        <w:t xml:space="preserve"> </w:t>
      </w:r>
      <w:r w:rsidRPr="00EA59C0">
        <w:rPr>
          <w:rFonts w:ascii="Arial" w:hAnsi="Arial" w:cs="Arial"/>
          <w:sz w:val="22"/>
          <w:szCs w:val="22"/>
        </w:rPr>
        <w:t>associations,</w:t>
      </w:r>
      <w:r w:rsidR="00C026A6" w:rsidRPr="00EA59C0">
        <w:rPr>
          <w:rFonts w:ascii="Arial" w:hAnsi="Arial" w:cs="Arial"/>
          <w:sz w:val="22"/>
          <w:szCs w:val="22"/>
        </w:rPr>
        <w:t xml:space="preserve"> </w:t>
      </w:r>
      <w:r w:rsidRPr="00EA59C0">
        <w:rPr>
          <w:rFonts w:ascii="Arial" w:hAnsi="Arial" w:cs="Arial"/>
          <w:sz w:val="22"/>
          <w:szCs w:val="22"/>
        </w:rPr>
        <w:t>including</w:t>
      </w:r>
      <w:r w:rsidR="00C026A6" w:rsidRPr="00EA59C0">
        <w:rPr>
          <w:rFonts w:ascii="Arial" w:hAnsi="Arial" w:cs="Arial"/>
          <w:sz w:val="22"/>
          <w:szCs w:val="22"/>
        </w:rPr>
        <w:t xml:space="preserve"> </w:t>
      </w:r>
      <w:r w:rsidRPr="00EA59C0">
        <w:rPr>
          <w:rFonts w:ascii="Arial" w:hAnsi="Arial" w:cs="Arial"/>
          <w:sz w:val="22"/>
          <w:szCs w:val="22"/>
        </w:rPr>
        <w:t>small-</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medium-sized</w:t>
      </w:r>
      <w:r w:rsidR="00C026A6" w:rsidRPr="00EA59C0">
        <w:rPr>
          <w:rFonts w:ascii="Arial" w:hAnsi="Arial" w:cs="Arial"/>
          <w:sz w:val="22"/>
          <w:szCs w:val="22"/>
        </w:rPr>
        <w:t xml:space="preserve"> </w:t>
      </w:r>
      <w:r w:rsidRPr="00EA59C0">
        <w:rPr>
          <w:rFonts w:ascii="Arial" w:hAnsi="Arial" w:cs="Arial"/>
          <w:sz w:val="22"/>
          <w:szCs w:val="22"/>
        </w:rPr>
        <w:t>firms,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if</w:t>
      </w:r>
      <w:r w:rsidR="00C026A6" w:rsidRPr="00EA59C0">
        <w:rPr>
          <w:rFonts w:ascii="Arial" w:hAnsi="Arial" w:cs="Arial"/>
          <w:sz w:val="22"/>
          <w:szCs w:val="22"/>
        </w:rPr>
        <w:t xml:space="preserve"> </w:t>
      </w:r>
      <w:r w:rsidRPr="00EA59C0">
        <w:rPr>
          <w:rFonts w:ascii="Arial" w:hAnsi="Arial" w:cs="Arial"/>
          <w:sz w:val="22"/>
          <w:szCs w:val="22"/>
        </w:rPr>
        <w:t>applicable,</w:t>
      </w:r>
      <w:r w:rsidR="00C026A6" w:rsidRPr="00EA59C0">
        <w:rPr>
          <w:rFonts w:ascii="Arial" w:hAnsi="Arial" w:cs="Arial"/>
          <w:sz w:val="22"/>
          <w:szCs w:val="22"/>
        </w:rPr>
        <w:t xml:space="preserve"> </w:t>
      </w:r>
      <w:r w:rsidRPr="00EA59C0">
        <w:rPr>
          <w:rFonts w:ascii="Arial" w:hAnsi="Arial" w:cs="Arial"/>
          <w:sz w:val="22"/>
          <w:szCs w:val="22"/>
        </w:rPr>
        <w:t>representing</w:t>
      </w:r>
      <w:r w:rsidR="00C026A6" w:rsidRPr="00EA59C0">
        <w:rPr>
          <w:rFonts w:ascii="Arial" w:hAnsi="Arial" w:cs="Arial"/>
          <w:sz w:val="22"/>
          <w:szCs w:val="22"/>
        </w:rPr>
        <w:t xml:space="preserve"> </w:t>
      </w:r>
      <w:r w:rsidRPr="00EA59C0">
        <w:rPr>
          <w:rFonts w:ascii="Arial" w:hAnsi="Arial" w:cs="Arial"/>
          <w:sz w:val="22"/>
          <w:szCs w:val="22"/>
        </w:rPr>
        <w:t>emerging</w:t>
      </w:r>
      <w:r w:rsidR="00C026A6" w:rsidRPr="00EA59C0">
        <w:rPr>
          <w:rFonts w:ascii="Arial" w:hAnsi="Arial" w:cs="Arial"/>
          <w:sz w:val="22"/>
          <w:szCs w:val="22"/>
        </w:rPr>
        <w:t xml:space="preserve"> </w:t>
      </w:r>
      <w:r w:rsidRPr="00EA59C0">
        <w:rPr>
          <w:rFonts w:ascii="Arial" w:hAnsi="Arial" w:cs="Arial"/>
          <w:sz w:val="22"/>
          <w:szCs w:val="22"/>
        </w:rPr>
        <w:t>industries;</w:t>
      </w:r>
    </w:p>
    <w:p w:rsidR="008826BE" w:rsidRPr="00EA59C0" w:rsidRDefault="008826BE" w:rsidP="00080097">
      <w:pPr>
        <w:numPr>
          <w:ilvl w:val="0"/>
          <w:numId w:val="37"/>
        </w:numPr>
        <w:tabs>
          <w:tab w:val="left" w:pos="0"/>
          <w:tab w:val="left" w:pos="360"/>
          <w:tab w:val="num" w:pos="1080"/>
        </w:tabs>
        <w:rPr>
          <w:rFonts w:ascii="Arial" w:hAnsi="Arial" w:cs="Arial"/>
          <w:sz w:val="22"/>
          <w:szCs w:val="22"/>
        </w:rPr>
      </w:pPr>
      <w:r w:rsidRPr="00EA59C0">
        <w:rPr>
          <w:rFonts w:ascii="Arial" w:hAnsi="Arial" w:cs="Arial"/>
          <w:sz w:val="22"/>
          <w:szCs w:val="22"/>
        </w:rPr>
        <w:t>Local,</w:t>
      </w:r>
      <w:r w:rsidR="00C026A6" w:rsidRPr="00EA59C0">
        <w:rPr>
          <w:rFonts w:ascii="Arial" w:hAnsi="Arial" w:cs="Arial"/>
          <w:sz w:val="22"/>
          <w:szCs w:val="22"/>
        </w:rPr>
        <w:t xml:space="preserve"> </w:t>
      </w:r>
      <w:r w:rsidRPr="00EA59C0">
        <w:rPr>
          <w:rFonts w:ascii="Arial" w:hAnsi="Arial" w:cs="Arial"/>
          <w:sz w:val="22"/>
          <w:szCs w:val="22"/>
        </w:rPr>
        <w:t>county,</w:t>
      </w:r>
      <w:r w:rsidR="00C026A6" w:rsidRPr="00EA59C0">
        <w:rPr>
          <w:rFonts w:ascii="Arial" w:hAnsi="Arial" w:cs="Arial"/>
          <w:sz w:val="22"/>
          <w:szCs w:val="22"/>
        </w:rPr>
        <w:t xml:space="preserve"> </w:t>
      </w:r>
      <w:r w:rsidRPr="00EA59C0">
        <w:rPr>
          <w:rFonts w:ascii="Arial" w:hAnsi="Arial" w:cs="Arial"/>
          <w:sz w:val="22"/>
          <w:szCs w:val="22"/>
        </w:rPr>
        <w:t>and/or</w:t>
      </w:r>
      <w:r w:rsidR="00C026A6" w:rsidRPr="00EA59C0">
        <w:rPr>
          <w:rFonts w:ascii="Arial" w:hAnsi="Arial" w:cs="Arial"/>
          <w:sz w:val="22"/>
          <w:szCs w:val="22"/>
        </w:rPr>
        <w:t xml:space="preserve"> </w:t>
      </w:r>
      <w:r w:rsidRPr="00EA59C0">
        <w:rPr>
          <w:rFonts w:ascii="Arial" w:hAnsi="Arial" w:cs="Arial"/>
          <w:sz w:val="22"/>
          <w:szCs w:val="22"/>
        </w:rPr>
        <w:t>State</w:t>
      </w:r>
      <w:r w:rsidR="00C026A6" w:rsidRPr="00EA59C0">
        <w:rPr>
          <w:rFonts w:ascii="Arial" w:hAnsi="Arial" w:cs="Arial"/>
          <w:sz w:val="22"/>
          <w:szCs w:val="22"/>
        </w:rPr>
        <w:t xml:space="preserve"> </w:t>
      </w:r>
      <w:r w:rsidRPr="00EA59C0">
        <w:rPr>
          <w:rFonts w:ascii="Arial" w:hAnsi="Arial" w:cs="Arial"/>
          <w:sz w:val="22"/>
          <w:szCs w:val="22"/>
        </w:rPr>
        <w:t>government</w:t>
      </w:r>
      <w:r w:rsidR="00C026A6" w:rsidRPr="00EA59C0">
        <w:rPr>
          <w:rFonts w:ascii="Arial" w:hAnsi="Arial" w:cs="Arial"/>
          <w:sz w:val="22"/>
          <w:szCs w:val="22"/>
        </w:rPr>
        <w:t xml:space="preserve"> </w:t>
      </w:r>
      <w:r w:rsidRPr="00EA59C0">
        <w:rPr>
          <w:rFonts w:ascii="Arial" w:hAnsi="Arial" w:cs="Arial"/>
          <w:sz w:val="22"/>
          <w:szCs w:val="22"/>
        </w:rPr>
        <w:t>agencies,</w:t>
      </w:r>
      <w:r w:rsidR="00C026A6" w:rsidRPr="00EA59C0">
        <w:rPr>
          <w:rFonts w:ascii="Arial" w:hAnsi="Arial" w:cs="Arial"/>
          <w:sz w:val="22"/>
          <w:szCs w:val="22"/>
        </w:rPr>
        <w:t xml:space="preserve"> </w:t>
      </w:r>
      <w:r w:rsidRPr="00EA59C0">
        <w:rPr>
          <w:rFonts w:ascii="Arial" w:hAnsi="Arial" w:cs="Arial"/>
          <w:sz w:val="22"/>
          <w:szCs w:val="22"/>
        </w:rPr>
        <w:t>including</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State</w:t>
      </w:r>
      <w:r w:rsidR="00C026A6" w:rsidRPr="00EA59C0">
        <w:rPr>
          <w:rFonts w:ascii="Arial" w:hAnsi="Arial" w:cs="Arial"/>
          <w:sz w:val="22"/>
          <w:szCs w:val="22"/>
        </w:rPr>
        <w:t xml:space="preserve"> </w:t>
      </w:r>
      <w:r w:rsidRPr="00EA59C0">
        <w:rPr>
          <w:rFonts w:ascii="Arial" w:hAnsi="Arial" w:cs="Arial"/>
          <w:sz w:val="22"/>
          <w:szCs w:val="22"/>
        </w:rPr>
        <w:t>workforce</w:t>
      </w:r>
      <w:r w:rsidR="00C026A6" w:rsidRPr="00EA59C0">
        <w:rPr>
          <w:rFonts w:ascii="Arial" w:hAnsi="Arial" w:cs="Arial"/>
          <w:sz w:val="22"/>
          <w:szCs w:val="22"/>
        </w:rPr>
        <w:t xml:space="preserve"> </w:t>
      </w:r>
      <w:r w:rsidRPr="00EA59C0">
        <w:rPr>
          <w:rFonts w:ascii="Arial" w:hAnsi="Arial" w:cs="Arial"/>
          <w:sz w:val="22"/>
          <w:szCs w:val="22"/>
        </w:rPr>
        <w:t>agency</w:t>
      </w:r>
      <w:r w:rsidR="00C026A6" w:rsidRPr="00EA59C0">
        <w:rPr>
          <w:rFonts w:ascii="Arial" w:hAnsi="Arial" w:cs="Arial"/>
          <w:sz w:val="22"/>
          <w:szCs w:val="22"/>
        </w:rPr>
        <w:t xml:space="preserve"> </w:t>
      </w:r>
      <w:r w:rsidRPr="00EA59C0">
        <w:rPr>
          <w:rFonts w:ascii="Arial" w:hAnsi="Arial" w:cs="Arial"/>
          <w:sz w:val="22"/>
          <w:szCs w:val="22"/>
        </w:rPr>
        <w:t>that</w:t>
      </w:r>
      <w:r w:rsidR="00C026A6" w:rsidRPr="00EA59C0">
        <w:rPr>
          <w:rFonts w:ascii="Arial" w:hAnsi="Arial" w:cs="Arial"/>
          <w:sz w:val="22"/>
          <w:szCs w:val="22"/>
        </w:rPr>
        <w:t xml:space="preserve"> </w:t>
      </w:r>
      <w:r w:rsidRPr="00EA59C0">
        <w:rPr>
          <w:rFonts w:ascii="Arial" w:hAnsi="Arial" w:cs="Arial"/>
          <w:sz w:val="22"/>
          <w:szCs w:val="22"/>
        </w:rPr>
        <w:t>administers</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TAA</w:t>
      </w:r>
      <w:r w:rsidR="00C026A6" w:rsidRPr="00EA59C0">
        <w:rPr>
          <w:rFonts w:ascii="Arial" w:hAnsi="Arial" w:cs="Arial"/>
          <w:sz w:val="22"/>
          <w:szCs w:val="22"/>
        </w:rPr>
        <w:t xml:space="preserve"> </w:t>
      </w:r>
      <w:r w:rsidRPr="00EA59C0">
        <w:rPr>
          <w:rFonts w:ascii="Arial" w:hAnsi="Arial" w:cs="Arial"/>
          <w:sz w:val="22"/>
          <w:szCs w:val="22"/>
        </w:rPr>
        <w:t>for</w:t>
      </w:r>
      <w:r w:rsidR="00C026A6" w:rsidRPr="00EA59C0">
        <w:rPr>
          <w:rFonts w:ascii="Arial" w:hAnsi="Arial" w:cs="Arial"/>
          <w:sz w:val="22"/>
          <w:szCs w:val="22"/>
        </w:rPr>
        <w:t xml:space="preserve"> </w:t>
      </w:r>
      <w:r w:rsidRPr="00EA59C0">
        <w:rPr>
          <w:rFonts w:ascii="Arial" w:hAnsi="Arial" w:cs="Arial"/>
          <w:sz w:val="22"/>
          <w:szCs w:val="22"/>
        </w:rPr>
        <w:t>Workers</w:t>
      </w:r>
      <w:r w:rsidR="00C026A6" w:rsidRPr="00EA59C0">
        <w:rPr>
          <w:rFonts w:ascii="Arial" w:hAnsi="Arial" w:cs="Arial"/>
          <w:sz w:val="22"/>
          <w:szCs w:val="22"/>
        </w:rPr>
        <w:t xml:space="preserve"> </w:t>
      </w:r>
      <w:r w:rsidRPr="00EA59C0">
        <w:rPr>
          <w:rFonts w:ascii="Arial" w:hAnsi="Arial" w:cs="Arial"/>
          <w:sz w:val="22"/>
          <w:szCs w:val="22"/>
        </w:rPr>
        <w:t>program;</w:t>
      </w:r>
    </w:p>
    <w:p w:rsidR="008826BE" w:rsidRPr="00EA59C0" w:rsidRDefault="008826BE" w:rsidP="00080097">
      <w:pPr>
        <w:numPr>
          <w:ilvl w:val="0"/>
          <w:numId w:val="37"/>
        </w:numPr>
        <w:tabs>
          <w:tab w:val="left" w:pos="0"/>
          <w:tab w:val="left" w:pos="360"/>
          <w:tab w:val="num" w:pos="1080"/>
        </w:tabs>
        <w:rPr>
          <w:rFonts w:ascii="Arial" w:hAnsi="Arial" w:cs="Arial"/>
          <w:sz w:val="22"/>
          <w:szCs w:val="22"/>
        </w:rPr>
      </w:pPr>
      <w:r w:rsidRPr="00EA59C0">
        <w:rPr>
          <w:rFonts w:ascii="Arial" w:hAnsi="Arial" w:cs="Arial"/>
          <w:sz w:val="22"/>
          <w:szCs w:val="22"/>
        </w:rPr>
        <w:t>Local</w:t>
      </w:r>
      <w:r w:rsidR="00C026A6" w:rsidRPr="00EA59C0">
        <w:rPr>
          <w:rFonts w:ascii="Arial" w:hAnsi="Arial" w:cs="Arial"/>
          <w:sz w:val="22"/>
          <w:szCs w:val="22"/>
        </w:rPr>
        <w:t xml:space="preserve"> </w:t>
      </w:r>
      <w:r w:rsidRPr="00EA59C0">
        <w:rPr>
          <w:rFonts w:ascii="Arial" w:hAnsi="Arial" w:cs="Arial"/>
          <w:sz w:val="22"/>
          <w:szCs w:val="22"/>
        </w:rPr>
        <w:t>Workforce</w:t>
      </w:r>
      <w:r w:rsidR="00C026A6" w:rsidRPr="00EA59C0">
        <w:rPr>
          <w:rFonts w:ascii="Arial" w:hAnsi="Arial" w:cs="Arial"/>
          <w:sz w:val="22"/>
          <w:szCs w:val="22"/>
        </w:rPr>
        <w:t xml:space="preserve"> </w:t>
      </w:r>
      <w:r w:rsidRPr="00EA59C0">
        <w:rPr>
          <w:rFonts w:ascii="Arial" w:hAnsi="Arial" w:cs="Arial"/>
          <w:sz w:val="22"/>
          <w:szCs w:val="22"/>
        </w:rPr>
        <w:t>Investment</w:t>
      </w:r>
      <w:r w:rsidR="00C026A6" w:rsidRPr="00EA59C0">
        <w:rPr>
          <w:rFonts w:ascii="Arial" w:hAnsi="Arial" w:cs="Arial"/>
          <w:sz w:val="22"/>
          <w:szCs w:val="22"/>
        </w:rPr>
        <w:t xml:space="preserve"> </w:t>
      </w:r>
      <w:r w:rsidRPr="00EA59C0">
        <w:rPr>
          <w:rFonts w:ascii="Arial" w:hAnsi="Arial" w:cs="Arial"/>
          <w:sz w:val="22"/>
          <w:szCs w:val="22"/>
        </w:rPr>
        <w:t>Boards</w:t>
      </w:r>
      <w:r w:rsidR="00C026A6" w:rsidRPr="00EA59C0">
        <w:rPr>
          <w:rFonts w:ascii="Arial" w:hAnsi="Arial" w:cs="Arial"/>
          <w:sz w:val="22"/>
          <w:szCs w:val="22"/>
        </w:rPr>
        <w:t xml:space="preserve"> </w:t>
      </w:r>
      <w:r w:rsidRPr="00EA59C0">
        <w:rPr>
          <w:rFonts w:ascii="Arial" w:hAnsi="Arial" w:cs="Arial"/>
          <w:sz w:val="22"/>
          <w:szCs w:val="22"/>
        </w:rPr>
        <w:t>(WIBs)</w:t>
      </w:r>
      <w:r w:rsidR="00C026A6" w:rsidRPr="00EA59C0">
        <w:rPr>
          <w:rFonts w:ascii="Arial" w:hAnsi="Arial" w:cs="Arial"/>
          <w:sz w:val="22"/>
          <w:szCs w:val="22"/>
        </w:rPr>
        <w:t xml:space="preserve"> </w:t>
      </w:r>
      <w:r w:rsidRPr="00EA59C0">
        <w:rPr>
          <w:rFonts w:ascii="Arial" w:hAnsi="Arial" w:cs="Arial"/>
          <w:sz w:val="22"/>
          <w:szCs w:val="22"/>
        </w:rPr>
        <w:t>established</w:t>
      </w:r>
      <w:r w:rsidR="00C026A6" w:rsidRPr="00EA59C0">
        <w:rPr>
          <w:rFonts w:ascii="Arial" w:hAnsi="Arial" w:cs="Arial"/>
          <w:sz w:val="22"/>
          <w:szCs w:val="22"/>
        </w:rPr>
        <w:t xml:space="preserve"> </w:t>
      </w:r>
      <w:r w:rsidRPr="00EA59C0">
        <w:rPr>
          <w:rFonts w:ascii="Arial" w:hAnsi="Arial" w:cs="Arial"/>
          <w:sz w:val="22"/>
          <w:szCs w:val="22"/>
        </w:rPr>
        <w:t>under</w:t>
      </w:r>
      <w:r w:rsidR="00C026A6" w:rsidRPr="00EA59C0">
        <w:rPr>
          <w:rFonts w:ascii="Arial" w:hAnsi="Arial" w:cs="Arial"/>
          <w:sz w:val="22"/>
          <w:szCs w:val="22"/>
        </w:rPr>
        <w:t xml:space="preserve"> </w:t>
      </w:r>
      <w:r w:rsidRPr="00EA59C0">
        <w:rPr>
          <w:rFonts w:ascii="Arial" w:hAnsi="Arial" w:cs="Arial"/>
          <w:sz w:val="22"/>
          <w:szCs w:val="22"/>
        </w:rPr>
        <w:t>Section</w:t>
      </w:r>
      <w:r w:rsidR="00C026A6" w:rsidRPr="00EA59C0">
        <w:rPr>
          <w:rFonts w:ascii="Arial" w:hAnsi="Arial" w:cs="Arial"/>
          <w:sz w:val="22"/>
          <w:szCs w:val="22"/>
        </w:rPr>
        <w:t xml:space="preserve"> </w:t>
      </w:r>
      <w:r w:rsidRPr="00EA59C0">
        <w:rPr>
          <w:rFonts w:ascii="Arial" w:hAnsi="Arial" w:cs="Arial"/>
          <w:sz w:val="22"/>
          <w:szCs w:val="22"/>
        </w:rPr>
        <w:t>117</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Workforce</w:t>
      </w:r>
      <w:r w:rsidR="00C026A6" w:rsidRPr="00EA59C0">
        <w:rPr>
          <w:rFonts w:ascii="Arial" w:hAnsi="Arial" w:cs="Arial"/>
          <w:sz w:val="22"/>
          <w:szCs w:val="22"/>
        </w:rPr>
        <w:t xml:space="preserve"> </w:t>
      </w:r>
      <w:r w:rsidRPr="00EA59C0">
        <w:rPr>
          <w:rFonts w:ascii="Arial" w:hAnsi="Arial" w:cs="Arial"/>
          <w:sz w:val="22"/>
          <w:szCs w:val="22"/>
        </w:rPr>
        <w:t>Investment</w:t>
      </w:r>
      <w:r w:rsidR="00C026A6" w:rsidRPr="00EA59C0">
        <w:rPr>
          <w:rFonts w:ascii="Arial" w:hAnsi="Arial" w:cs="Arial"/>
          <w:sz w:val="22"/>
          <w:szCs w:val="22"/>
        </w:rPr>
        <w:t xml:space="preserve"> </w:t>
      </w:r>
      <w:r w:rsidRPr="00EA59C0">
        <w:rPr>
          <w:rFonts w:ascii="Arial" w:hAnsi="Arial" w:cs="Arial"/>
          <w:sz w:val="22"/>
          <w:szCs w:val="22"/>
        </w:rPr>
        <w:t>Act</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1998</w:t>
      </w:r>
      <w:r w:rsidR="00C026A6" w:rsidRPr="00EA59C0">
        <w:rPr>
          <w:rFonts w:ascii="Arial" w:hAnsi="Arial" w:cs="Arial"/>
          <w:sz w:val="22"/>
          <w:szCs w:val="22"/>
        </w:rPr>
        <w:t xml:space="preserve"> </w:t>
      </w:r>
      <w:r w:rsidRPr="00EA59C0">
        <w:rPr>
          <w:rFonts w:ascii="Arial" w:hAnsi="Arial" w:cs="Arial"/>
          <w:sz w:val="22"/>
          <w:szCs w:val="22"/>
        </w:rPr>
        <w:t>(29</w:t>
      </w:r>
      <w:r w:rsidR="00C026A6" w:rsidRPr="00EA59C0">
        <w:rPr>
          <w:rFonts w:ascii="Arial" w:hAnsi="Arial" w:cs="Arial"/>
          <w:sz w:val="22"/>
          <w:szCs w:val="22"/>
        </w:rPr>
        <w:t xml:space="preserve"> </w:t>
      </w:r>
      <w:r w:rsidRPr="00EA59C0">
        <w:rPr>
          <w:rFonts w:ascii="Arial" w:hAnsi="Arial" w:cs="Arial"/>
          <w:sz w:val="22"/>
          <w:szCs w:val="22"/>
        </w:rPr>
        <w:t>U.S.C.</w:t>
      </w:r>
      <w:r w:rsidR="00C026A6" w:rsidRPr="00EA59C0">
        <w:rPr>
          <w:rFonts w:ascii="Arial" w:hAnsi="Arial" w:cs="Arial"/>
          <w:sz w:val="22"/>
          <w:szCs w:val="22"/>
        </w:rPr>
        <w:t xml:space="preserve"> </w:t>
      </w:r>
      <w:r w:rsidRPr="00EA59C0">
        <w:rPr>
          <w:rFonts w:ascii="Arial" w:hAnsi="Arial" w:cs="Arial"/>
          <w:sz w:val="22"/>
          <w:szCs w:val="22"/>
        </w:rPr>
        <w:t>2832);</w:t>
      </w:r>
    </w:p>
    <w:p w:rsidR="008826BE" w:rsidRPr="00EA59C0" w:rsidRDefault="008826BE" w:rsidP="00080097">
      <w:pPr>
        <w:numPr>
          <w:ilvl w:val="0"/>
          <w:numId w:val="37"/>
        </w:numPr>
        <w:tabs>
          <w:tab w:val="left" w:pos="0"/>
          <w:tab w:val="left" w:pos="360"/>
          <w:tab w:val="num" w:pos="1080"/>
        </w:tabs>
        <w:rPr>
          <w:rFonts w:ascii="Arial" w:hAnsi="Arial" w:cs="Arial"/>
          <w:sz w:val="22"/>
          <w:szCs w:val="22"/>
        </w:rPr>
      </w:pPr>
      <w:r w:rsidRPr="00EA59C0">
        <w:rPr>
          <w:rFonts w:ascii="Arial" w:hAnsi="Arial" w:cs="Arial"/>
          <w:sz w:val="22"/>
          <w:szCs w:val="22"/>
        </w:rPr>
        <w:t>Labor</w:t>
      </w:r>
      <w:r w:rsidR="00C026A6" w:rsidRPr="00EA59C0">
        <w:rPr>
          <w:rFonts w:ascii="Arial" w:hAnsi="Arial" w:cs="Arial"/>
          <w:sz w:val="22"/>
          <w:szCs w:val="22"/>
        </w:rPr>
        <w:t xml:space="preserve"> </w:t>
      </w:r>
      <w:r w:rsidRPr="00EA59C0">
        <w:rPr>
          <w:rFonts w:ascii="Arial" w:hAnsi="Arial" w:cs="Arial"/>
          <w:sz w:val="22"/>
          <w:szCs w:val="22"/>
        </w:rPr>
        <w:t>organizations,</w:t>
      </w:r>
      <w:r w:rsidR="00C026A6" w:rsidRPr="00EA59C0">
        <w:rPr>
          <w:rFonts w:ascii="Arial" w:hAnsi="Arial" w:cs="Arial"/>
          <w:sz w:val="22"/>
          <w:szCs w:val="22"/>
        </w:rPr>
        <w:t xml:space="preserve"> </w:t>
      </w:r>
      <w:r w:rsidRPr="00EA59C0">
        <w:rPr>
          <w:rFonts w:ascii="Arial" w:hAnsi="Arial" w:cs="Arial"/>
          <w:sz w:val="22"/>
          <w:szCs w:val="22"/>
        </w:rPr>
        <w:t>including</w:t>
      </w:r>
      <w:r w:rsidR="00C026A6" w:rsidRPr="00EA59C0">
        <w:rPr>
          <w:rFonts w:ascii="Arial" w:hAnsi="Arial" w:cs="Arial"/>
          <w:sz w:val="22"/>
          <w:szCs w:val="22"/>
        </w:rPr>
        <w:t xml:space="preserve"> </w:t>
      </w:r>
      <w:r w:rsidRPr="00EA59C0">
        <w:rPr>
          <w:rFonts w:ascii="Arial" w:hAnsi="Arial" w:cs="Arial"/>
          <w:sz w:val="22"/>
          <w:szCs w:val="22"/>
        </w:rPr>
        <w:t>State</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local</w:t>
      </w:r>
      <w:r w:rsidR="00C026A6" w:rsidRPr="00EA59C0">
        <w:rPr>
          <w:rFonts w:ascii="Arial" w:hAnsi="Arial" w:cs="Arial"/>
          <w:sz w:val="22"/>
          <w:szCs w:val="22"/>
        </w:rPr>
        <w:t xml:space="preserve"> </w:t>
      </w:r>
      <w:r w:rsidRPr="00EA59C0">
        <w:rPr>
          <w:rFonts w:ascii="Arial" w:hAnsi="Arial" w:cs="Arial"/>
          <w:sz w:val="22"/>
          <w:szCs w:val="22"/>
        </w:rPr>
        <w:t>labor</w:t>
      </w:r>
      <w:r w:rsidR="00C026A6" w:rsidRPr="00EA59C0">
        <w:rPr>
          <w:rFonts w:ascii="Arial" w:hAnsi="Arial" w:cs="Arial"/>
          <w:sz w:val="22"/>
          <w:szCs w:val="22"/>
        </w:rPr>
        <w:t xml:space="preserve"> </w:t>
      </w:r>
      <w:r w:rsidRPr="00EA59C0">
        <w:rPr>
          <w:rFonts w:ascii="Arial" w:hAnsi="Arial" w:cs="Arial"/>
          <w:sz w:val="22"/>
          <w:szCs w:val="22"/>
        </w:rPr>
        <w:t>federations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labor-management</w:t>
      </w:r>
      <w:r w:rsidR="00C026A6" w:rsidRPr="00EA59C0">
        <w:rPr>
          <w:rFonts w:ascii="Arial" w:hAnsi="Arial" w:cs="Arial"/>
          <w:sz w:val="22"/>
          <w:szCs w:val="22"/>
        </w:rPr>
        <w:t xml:space="preserve"> </w:t>
      </w:r>
      <w:r w:rsidRPr="00EA59C0">
        <w:rPr>
          <w:rFonts w:ascii="Arial" w:hAnsi="Arial" w:cs="Arial"/>
          <w:sz w:val="22"/>
          <w:szCs w:val="22"/>
        </w:rPr>
        <w:t>initiatives,</w:t>
      </w:r>
      <w:r w:rsidR="00C026A6" w:rsidRPr="00EA59C0">
        <w:rPr>
          <w:rFonts w:ascii="Arial" w:hAnsi="Arial" w:cs="Arial"/>
          <w:sz w:val="22"/>
          <w:szCs w:val="22"/>
        </w:rPr>
        <w:t xml:space="preserve"> </w:t>
      </w:r>
      <w:r w:rsidRPr="00EA59C0">
        <w:rPr>
          <w:rFonts w:ascii="Arial" w:hAnsi="Arial" w:cs="Arial"/>
          <w:sz w:val="22"/>
          <w:szCs w:val="22"/>
        </w:rPr>
        <w:t>representing</w:t>
      </w:r>
      <w:r w:rsidR="00C026A6" w:rsidRPr="00EA59C0">
        <w:rPr>
          <w:rFonts w:ascii="Arial" w:hAnsi="Arial" w:cs="Arial"/>
          <w:sz w:val="22"/>
          <w:szCs w:val="22"/>
        </w:rPr>
        <w:t xml:space="preserve"> </w:t>
      </w:r>
      <w:r w:rsidRPr="00EA59C0">
        <w:rPr>
          <w:rFonts w:ascii="Arial" w:hAnsi="Arial" w:cs="Arial"/>
          <w:sz w:val="22"/>
          <w:szCs w:val="22"/>
        </w:rPr>
        <w:t>workers</w:t>
      </w:r>
      <w:r w:rsidR="00C026A6" w:rsidRPr="00EA59C0">
        <w:rPr>
          <w:rFonts w:ascii="Arial" w:hAnsi="Arial" w:cs="Arial"/>
          <w:sz w:val="22"/>
          <w:szCs w:val="22"/>
        </w:rPr>
        <w:t xml:space="preserve"> </w:t>
      </w: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community;</w:t>
      </w:r>
    </w:p>
    <w:p w:rsidR="008826BE" w:rsidRPr="00EA59C0" w:rsidRDefault="008826BE" w:rsidP="00080097">
      <w:pPr>
        <w:numPr>
          <w:ilvl w:val="0"/>
          <w:numId w:val="37"/>
        </w:numPr>
        <w:tabs>
          <w:tab w:val="left" w:pos="0"/>
          <w:tab w:val="left" w:pos="360"/>
          <w:tab w:val="num" w:pos="1080"/>
        </w:tabs>
        <w:rPr>
          <w:rFonts w:ascii="Arial" w:hAnsi="Arial" w:cs="Arial"/>
          <w:sz w:val="22"/>
          <w:szCs w:val="22"/>
        </w:rPr>
      </w:pPr>
      <w:r w:rsidRPr="00EA59C0">
        <w:rPr>
          <w:rFonts w:ascii="Arial" w:hAnsi="Arial" w:cs="Arial"/>
          <w:sz w:val="22"/>
          <w:szCs w:val="22"/>
        </w:rPr>
        <w:t>Local</w:t>
      </w:r>
      <w:r w:rsidR="00C026A6" w:rsidRPr="00EA59C0">
        <w:rPr>
          <w:rFonts w:ascii="Arial" w:hAnsi="Arial" w:cs="Arial"/>
          <w:sz w:val="22"/>
          <w:szCs w:val="22"/>
        </w:rPr>
        <w:t xml:space="preserve"> </w:t>
      </w:r>
      <w:r w:rsidRPr="00EA59C0">
        <w:rPr>
          <w:rFonts w:ascii="Arial" w:hAnsi="Arial" w:cs="Arial"/>
          <w:sz w:val="22"/>
          <w:szCs w:val="22"/>
        </w:rPr>
        <w:t>educational</w:t>
      </w:r>
      <w:r w:rsidR="00C026A6" w:rsidRPr="00EA59C0">
        <w:rPr>
          <w:rFonts w:ascii="Arial" w:hAnsi="Arial" w:cs="Arial"/>
          <w:sz w:val="22"/>
          <w:szCs w:val="22"/>
        </w:rPr>
        <w:t xml:space="preserve"> </w:t>
      </w:r>
      <w:r w:rsidRPr="00EA59C0">
        <w:rPr>
          <w:rFonts w:ascii="Arial" w:hAnsi="Arial" w:cs="Arial"/>
          <w:sz w:val="22"/>
          <w:szCs w:val="22"/>
        </w:rPr>
        <w:t>agencies,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other</w:t>
      </w:r>
      <w:r w:rsidR="00C026A6" w:rsidRPr="00EA59C0">
        <w:rPr>
          <w:rFonts w:ascii="Arial" w:hAnsi="Arial" w:cs="Arial"/>
          <w:sz w:val="22"/>
          <w:szCs w:val="22"/>
        </w:rPr>
        <w:t xml:space="preserve"> </w:t>
      </w:r>
      <w:r w:rsidRPr="00EA59C0">
        <w:rPr>
          <w:rFonts w:ascii="Arial" w:hAnsi="Arial" w:cs="Arial"/>
          <w:sz w:val="22"/>
          <w:szCs w:val="22"/>
        </w:rPr>
        <w:t>relevant</w:t>
      </w:r>
      <w:r w:rsidR="00C026A6" w:rsidRPr="00EA59C0">
        <w:rPr>
          <w:rFonts w:ascii="Arial" w:hAnsi="Arial" w:cs="Arial"/>
          <w:sz w:val="22"/>
          <w:szCs w:val="22"/>
        </w:rPr>
        <w:t xml:space="preserve"> </w:t>
      </w:r>
      <w:r w:rsidRPr="00EA59C0">
        <w:rPr>
          <w:rFonts w:ascii="Arial" w:hAnsi="Arial" w:cs="Arial"/>
          <w:sz w:val="22"/>
          <w:szCs w:val="22"/>
        </w:rPr>
        <w:t>educational</w:t>
      </w:r>
      <w:r w:rsidR="00C026A6" w:rsidRPr="00EA59C0">
        <w:rPr>
          <w:rFonts w:ascii="Arial" w:hAnsi="Arial" w:cs="Arial"/>
          <w:sz w:val="22"/>
          <w:szCs w:val="22"/>
        </w:rPr>
        <w:t xml:space="preserve"> </w:t>
      </w:r>
      <w:r w:rsidRPr="00EA59C0">
        <w:rPr>
          <w:rFonts w:ascii="Arial" w:hAnsi="Arial" w:cs="Arial"/>
          <w:sz w:val="22"/>
          <w:szCs w:val="22"/>
        </w:rPr>
        <w:t>entities,</w:t>
      </w:r>
      <w:r w:rsidR="00C026A6" w:rsidRPr="00EA59C0">
        <w:rPr>
          <w:rFonts w:ascii="Arial" w:hAnsi="Arial" w:cs="Arial"/>
          <w:sz w:val="22"/>
          <w:szCs w:val="22"/>
        </w:rPr>
        <w:t xml:space="preserve"> </w:t>
      </w:r>
      <w:r w:rsidRPr="00EA59C0">
        <w:rPr>
          <w:rFonts w:ascii="Arial" w:hAnsi="Arial" w:cs="Arial"/>
          <w:sz w:val="22"/>
          <w:szCs w:val="22"/>
        </w:rPr>
        <w:t>such</w:t>
      </w:r>
      <w:r w:rsidR="00C026A6" w:rsidRPr="00EA59C0">
        <w:rPr>
          <w:rFonts w:ascii="Arial" w:hAnsi="Arial" w:cs="Arial"/>
          <w:sz w:val="22"/>
          <w:szCs w:val="22"/>
        </w:rPr>
        <w:t xml:space="preserve"> </w:t>
      </w:r>
      <w:r w:rsidRPr="00EA59C0">
        <w:rPr>
          <w:rFonts w:ascii="Arial" w:hAnsi="Arial" w:cs="Arial"/>
          <w:sz w:val="22"/>
          <w:szCs w:val="22"/>
        </w:rPr>
        <w:t>as</w:t>
      </w:r>
      <w:r w:rsidR="00C026A6" w:rsidRPr="00EA59C0">
        <w:rPr>
          <w:rFonts w:ascii="Arial" w:hAnsi="Arial" w:cs="Arial"/>
          <w:sz w:val="22"/>
          <w:szCs w:val="22"/>
        </w:rPr>
        <w:t xml:space="preserve"> </w:t>
      </w:r>
      <w:r w:rsidRPr="00EA59C0">
        <w:rPr>
          <w:rFonts w:ascii="Arial" w:hAnsi="Arial" w:cs="Arial"/>
          <w:sz w:val="22"/>
          <w:szCs w:val="22"/>
        </w:rPr>
        <w:t>career</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technical</w:t>
      </w:r>
      <w:r w:rsidR="00C026A6" w:rsidRPr="00EA59C0">
        <w:rPr>
          <w:rFonts w:ascii="Arial" w:hAnsi="Arial" w:cs="Arial"/>
          <w:sz w:val="22"/>
          <w:szCs w:val="22"/>
        </w:rPr>
        <w:t xml:space="preserve"> </w:t>
      </w:r>
      <w:r w:rsidRPr="00EA59C0">
        <w:rPr>
          <w:rFonts w:ascii="Arial" w:hAnsi="Arial" w:cs="Arial"/>
          <w:sz w:val="22"/>
          <w:szCs w:val="22"/>
        </w:rPr>
        <w:t>education</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adult</w:t>
      </w:r>
      <w:r w:rsidR="00C026A6" w:rsidRPr="00EA59C0">
        <w:rPr>
          <w:rFonts w:ascii="Arial" w:hAnsi="Arial" w:cs="Arial"/>
          <w:sz w:val="22"/>
          <w:szCs w:val="22"/>
        </w:rPr>
        <w:t xml:space="preserve"> </w:t>
      </w:r>
      <w:r w:rsidRPr="00EA59C0">
        <w:rPr>
          <w:rFonts w:ascii="Arial" w:hAnsi="Arial" w:cs="Arial"/>
          <w:sz w:val="22"/>
          <w:szCs w:val="22"/>
        </w:rPr>
        <w:t>education</w:t>
      </w:r>
      <w:r w:rsidR="00C026A6" w:rsidRPr="00EA59C0">
        <w:rPr>
          <w:rFonts w:ascii="Arial" w:hAnsi="Arial" w:cs="Arial"/>
          <w:sz w:val="22"/>
          <w:szCs w:val="22"/>
        </w:rPr>
        <w:t xml:space="preserve"> </w:t>
      </w:r>
      <w:r w:rsidRPr="00EA59C0">
        <w:rPr>
          <w:rFonts w:ascii="Arial" w:hAnsi="Arial" w:cs="Arial"/>
          <w:sz w:val="22"/>
          <w:szCs w:val="22"/>
        </w:rPr>
        <w:t>programs</w:t>
      </w:r>
      <w:r w:rsidR="00C026A6" w:rsidRPr="00EA59C0">
        <w:rPr>
          <w:rFonts w:ascii="Arial" w:hAnsi="Arial" w:cs="Arial"/>
          <w:sz w:val="22"/>
          <w:szCs w:val="22"/>
        </w:rPr>
        <w:t xml:space="preserve"> </w:t>
      </w:r>
      <w:r w:rsidRPr="00EA59C0">
        <w:rPr>
          <w:rFonts w:ascii="Arial" w:hAnsi="Arial" w:cs="Arial"/>
          <w:sz w:val="22"/>
          <w:szCs w:val="22"/>
        </w:rPr>
        <w:t>serving</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community;</w:t>
      </w:r>
      <w:r w:rsidR="00C026A6" w:rsidRPr="00EA59C0">
        <w:rPr>
          <w:rFonts w:ascii="Arial" w:hAnsi="Arial" w:cs="Arial"/>
          <w:sz w:val="22"/>
          <w:szCs w:val="22"/>
        </w:rPr>
        <w:t xml:space="preserve"> </w:t>
      </w:r>
    </w:p>
    <w:p w:rsidR="008826BE" w:rsidRPr="00EA59C0" w:rsidRDefault="008826BE" w:rsidP="00DB00BB">
      <w:pPr>
        <w:tabs>
          <w:tab w:val="left" w:pos="0"/>
          <w:tab w:val="left" w:pos="360"/>
        </w:tabs>
        <w:rPr>
          <w:rFonts w:ascii="Arial" w:hAnsi="Arial" w:cs="Arial"/>
          <w:sz w:val="22"/>
          <w:szCs w:val="22"/>
        </w:rPr>
      </w:pPr>
    </w:p>
    <w:p w:rsidR="008826BE" w:rsidRPr="00EA59C0" w:rsidRDefault="008826BE" w:rsidP="00DB00BB">
      <w:pPr>
        <w:tabs>
          <w:tab w:val="left" w:pos="0"/>
          <w:tab w:val="left" w:pos="360"/>
        </w:tabs>
        <w:rPr>
          <w:rFonts w:ascii="Arial" w:hAnsi="Arial" w:cs="Arial"/>
          <w:sz w:val="22"/>
          <w:szCs w:val="22"/>
        </w:rPr>
      </w:pPr>
      <w:r w:rsidRPr="00EA59C0">
        <w:rPr>
          <w:rFonts w:ascii="Arial" w:hAnsi="Arial" w:cs="Arial"/>
          <w:sz w:val="22"/>
          <w:szCs w:val="22"/>
        </w:rPr>
        <w:t>Applicants</w:t>
      </w:r>
      <w:r w:rsidR="00C026A6" w:rsidRPr="00EA59C0">
        <w:rPr>
          <w:rFonts w:ascii="Arial" w:hAnsi="Arial" w:cs="Arial"/>
          <w:sz w:val="22"/>
          <w:szCs w:val="22"/>
        </w:rPr>
        <w:t xml:space="preserve"> </w:t>
      </w:r>
      <w:r w:rsidRPr="00EA59C0">
        <w:rPr>
          <w:rFonts w:ascii="Arial" w:hAnsi="Arial" w:cs="Arial"/>
          <w:sz w:val="22"/>
          <w:szCs w:val="22"/>
        </w:rPr>
        <w:t>are</w:t>
      </w:r>
      <w:r w:rsidR="00C026A6" w:rsidRPr="00EA59C0">
        <w:rPr>
          <w:rFonts w:ascii="Arial" w:hAnsi="Arial" w:cs="Arial"/>
          <w:sz w:val="22"/>
          <w:szCs w:val="22"/>
        </w:rPr>
        <w:t xml:space="preserve"> </w:t>
      </w:r>
      <w:r w:rsidRPr="00EA59C0">
        <w:rPr>
          <w:rFonts w:ascii="Arial" w:hAnsi="Arial" w:cs="Arial"/>
          <w:sz w:val="22"/>
          <w:szCs w:val="22"/>
        </w:rPr>
        <w:t>strongly</w:t>
      </w:r>
      <w:r w:rsidR="00C026A6" w:rsidRPr="00EA59C0">
        <w:rPr>
          <w:rFonts w:ascii="Arial" w:hAnsi="Arial" w:cs="Arial"/>
          <w:sz w:val="22"/>
          <w:szCs w:val="22"/>
        </w:rPr>
        <w:t xml:space="preserve"> </w:t>
      </w:r>
      <w:r w:rsidRPr="00EA59C0">
        <w:rPr>
          <w:rFonts w:ascii="Arial" w:hAnsi="Arial" w:cs="Arial"/>
          <w:sz w:val="22"/>
          <w:szCs w:val="22"/>
        </w:rPr>
        <w:t>encouraged</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reach</w:t>
      </w:r>
      <w:r w:rsidR="00C026A6" w:rsidRPr="00EA59C0">
        <w:rPr>
          <w:rFonts w:ascii="Arial" w:hAnsi="Arial" w:cs="Arial"/>
          <w:sz w:val="22"/>
          <w:szCs w:val="22"/>
        </w:rPr>
        <w:t xml:space="preserve"> </w:t>
      </w:r>
      <w:r w:rsidRPr="00EA59C0">
        <w:rPr>
          <w:rFonts w:ascii="Arial" w:hAnsi="Arial" w:cs="Arial"/>
          <w:sz w:val="22"/>
          <w:szCs w:val="22"/>
        </w:rPr>
        <w:t>out</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use</w:t>
      </w:r>
      <w:r w:rsidR="00C026A6" w:rsidRPr="00EA59C0">
        <w:rPr>
          <w:rFonts w:ascii="Arial" w:hAnsi="Arial" w:cs="Arial"/>
          <w:sz w:val="22"/>
          <w:szCs w:val="22"/>
        </w:rPr>
        <w:t xml:space="preserve"> </w:t>
      </w:r>
      <w:r w:rsidRPr="00EA59C0">
        <w:rPr>
          <w:rFonts w:ascii="Arial" w:hAnsi="Arial" w:cs="Arial"/>
          <w:sz w:val="22"/>
          <w:szCs w:val="22"/>
        </w:rPr>
        <w:t>data</w:t>
      </w:r>
      <w:r w:rsidR="00C026A6" w:rsidRPr="00EA59C0">
        <w:rPr>
          <w:rFonts w:ascii="Arial" w:hAnsi="Arial" w:cs="Arial"/>
          <w:sz w:val="22"/>
          <w:szCs w:val="22"/>
        </w:rPr>
        <w:t xml:space="preserve"> </w:t>
      </w:r>
      <w:r w:rsidRPr="00EA59C0">
        <w:rPr>
          <w:rFonts w:ascii="Arial" w:hAnsi="Arial" w:cs="Arial"/>
          <w:sz w:val="22"/>
          <w:szCs w:val="22"/>
        </w:rPr>
        <w:t>from</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following</w:t>
      </w:r>
      <w:r w:rsidR="00C026A6" w:rsidRPr="00EA59C0">
        <w:rPr>
          <w:rFonts w:ascii="Arial" w:hAnsi="Arial" w:cs="Arial"/>
          <w:sz w:val="22"/>
          <w:szCs w:val="22"/>
        </w:rPr>
        <w:t xml:space="preserve"> </w:t>
      </w:r>
      <w:r w:rsidRPr="00EA59C0">
        <w:rPr>
          <w:rFonts w:ascii="Arial" w:hAnsi="Arial" w:cs="Arial"/>
          <w:sz w:val="22"/>
          <w:szCs w:val="22"/>
        </w:rPr>
        <w:t>organizations:</w:t>
      </w:r>
    </w:p>
    <w:p w:rsidR="008826BE" w:rsidRPr="00EA59C0" w:rsidRDefault="008826BE" w:rsidP="00080097">
      <w:pPr>
        <w:numPr>
          <w:ilvl w:val="0"/>
          <w:numId w:val="37"/>
        </w:numPr>
        <w:tabs>
          <w:tab w:val="left" w:pos="0"/>
          <w:tab w:val="left" w:pos="360"/>
          <w:tab w:val="num" w:pos="1080"/>
        </w:tabs>
        <w:rPr>
          <w:rFonts w:ascii="Arial" w:hAnsi="Arial" w:cs="Arial"/>
          <w:sz w:val="22"/>
          <w:szCs w:val="22"/>
        </w:rPr>
      </w:pPr>
      <w:r w:rsidRPr="00EA59C0">
        <w:rPr>
          <w:rFonts w:ascii="Arial" w:hAnsi="Arial" w:cs="Arial"/>
          <w:sz w:val="22"/>
          <w:szCs w:val="22"/>
        </w:rPr>
        <w:t>Community-based</w:t>
      </w:r>
      <w:r w:rsidR="00C026A6" w:rsidRPr="00EA59C0">
        <w:rPr>
          <w:rFonts w:ascii="Arial" w:hAnsi="Arial" w:cs="Arial"/>
          <w:sz w:val="22"/>
          <w:szCs w:val="22"/>
        </w:rPr>
        <w:t xml:space="preserve"> </w:t>
      </w:r>
      <w:r w:rsidRPr="00EA59C0">
        <w:rPr>
          <w:rFonts w:ascii="Arial" w:hAnsi="Arial" w:cs="Arial"/>
          <w:sz w:val="22"/>
          <w:szCs w:val="22"/>
        </w:rPr>
        <w:t>organizations</w:t>
      </w:r>
      <w:r w:rsidR="00C026A6" w:rsidRPr="00EA59C0">
        <w:rPr>
          <w:rFonts w:ascii="Arial" w:hAnsi="Arial" w:cs="Arial"/>
          <w:sz w:val="22"/>
          <w:szCs w:val="22"/>
        </w:rPr>
        <w:t xml:space="preserve"> </w:t>
      </w:r>
      <w:r w:rsidRPr="00EA59C0">
        <w:rPr>
          <w:rFonts w:ascii="Arial" w:hAnsi="Arial" w:cs="Arial"/>
          <w:sz w:val="22"/>
          <w:szCs w:val="22"/>
        </w:rPr>
        <w:t>that</w:t>
      </w:r>
      <w:r w:rsidR="00C026A6" w:rsidRPr="00EA59C0">
        <w:rPr>
          <w:rFonts w:ascii="Arial" w:hAnsi="Arial" w:cs="Arial"/>
          <w:sz w:val="22"/>
          <w:szCs w:val="22"/>
        </w:rPr>
        <w:t xml:space="preserve"> </w:t>
      </w:r>
      <w:r w:rsidRPr="00EA59C0">
        <w:rPr>
          <w:rFonts w:ascii="Arial" w:hAnsi="Arial" w:cs="Arial"/>
          <w:sz w:val="22"/>
          <w:szCs w:val="22"/>
        </w:rPr>
        <w:t>may</w:t>
      </w:r>
      <w:r w:rsidR="00C026A6" w:rsidRPr="00EA59C0">
        <w:rPr>
          <w:rFonts w:ascii="Arial" w:hAnsi="Arial" w:cs="Arial"/>
          <w:sz w:val="22"/>
          <w:szCs w:val="22"/>
        </w:rPr>
        <w:t xml:space="preserve"> </w:t>
      </w:r>
      <w:r w:rsidRPr="00EA59C0">
        <w:rPr>
          <w:rFonts w:ascii="Arial" w:hAnsi="Arial" w:cs="Arial"/>
          <w:sz w:val="22"/>
          <w:szCs w:val="22"/>
        </w:rPr>
        <w:t>provide</w:t>
      </w:r>
      <w:r w:rsidR="00C026A6" w:rsidRPr="00EA59C0">
        <w:rPr>
          <w:rFonts w:ascii="Arial" w:hAnsi="Arial" w:cs="Arial"/>
          <w:sz w:val="22"/>
          <w:szCs w:val="22"/>
        </w:rPr>
        <w:t xml:space="preserve"> </w:t>
      </w:r>
      <w:r w:rsidRPr="00EA59C0">
        <w:rPr>
          <w:rFonts w:ascii="Arial" w:hAnsi="Arial" w:cs="Arial"/>
          <w:sz w:val="22"/>
          <w:szCs w:val="22"/>
        </w:rPr>
        <w:t>supportive</w:t>
      </w:r>
      <w:r w:rsidR="00C026A6" w:rsidRPr="00EA59C0">
        <w:rPr>
          <w:rFonts w:ascii="Arial" w:hAnsi="Arial" w:cs="Arial"/>
          <w:sz w:val="22"/>
          <w:szCs w:val="22"/>
        </w:rPr>
        <w:t xml:space="preserve"> </w:t>
      </w:r>
      <w:r w:rsidRPr="00EA59C0">
        <w:rPr>
          <w:rFonts w:ascii="Arial" w:hAnsi="Arial" w:cs="Arial"/>
          <w:sz w:val="22"/>
          <w:szCs w:val="22"/>
        </w:rPr>
        <w:t>services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play</w:t>
      </w:r>
      <w:r w:rsidR="00C026A6" w:rsidRPr="00EA59C0">
        <w:rPr>
          <w:rFonts w:ascii="Arial" w:hAnsi="Arial" w:cs="Arial"/>
          <w:sz w:val="22"/>
          <w:szCs w:val="22"/>
        </w:rPr>
        <w:t xml:space="preserve"> </w:t>
      </w:r>
      <w:r w:rsidRPr="00EA59C0">
        <w:rPr>
          <w:rFonts w:ascii="Arial" w:hAnsi="Arial" w:cs="Arial"/>
          <w:sz w:val="22"/>
          <w:szCs w:val="22"/>
        </w:rPr>
        <w:t>a</w:t>
      </w:r>
      <w:r w:rsidR="00C026A6" w:rsidRPr="00EA59C0">
        <w:rPr>
          <w:rFonts w:ascii="Arial" w:hAnsi="Arial" w:cs="Arial"/>
          <w:sz w:val="22"/>
          <w:szCs w:val="22"/>
        </w:rPr>
        <w:t xml:space="preserve"> </w:t>
      </w:r>
      <w:r w:rsidRPr="00EA59C0">
        <w:rPr>
          <w:rFonts w:ascii="Arial" w:hAnsi="Arial" w:cs="Arial"/>
          <w:sz w:val="22"/>
          <w:szCs w:val="22"/>
        </w:rPr>
        <w:t>role</w:t>
      </w:r>
      <w:r w:rsidR="00C026A6" w:rsidRPr="00EA59C0">
        <w:rPr>
          <w:rFonts w:ascii="Arial" w:hAnsi="Arial" w:cs="Arial"/>
          <w:sz w:val="22"/>
          <w:szCs w:val="22"/>
        </w:rPr>
        <w:t xml:space="preserve"> </w:t>
      </w: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outreach</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ensure</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diversity</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targeted</w:t>
      </w:r>
      <w:r w:rsidR="00C026A6" w:rsidRPr="00EA59C0">
        <w:rPr>
          <w:rFonts w:ascii="Arial" w:hAnsi="Arial" w:cs="Arial"/>
          <w:sz w:val="22"/>
          <w:szCs w:val="22"/>
        </w:rPr>
        <w:t xml:space="preserve"> </w:t>
      </w:r>
      <w:r w:rsidRPr="00EA59C0">
        <w:rPr>
          <w:rFonts w:ascii="Arial" w:hAnsi="Arial" w:cs="Arial"/>
          <w:sz w:val="22"/>
          <w:szCs w:val="22"/>
        </w:rPr>
        <w:t>population;</w:t>
      </w:r>
      <w:r w:rsidR="00C026A6" w:rsidRPr="00EA59C0">
        <w:rPr>
          <w:rFonts w:ascii="Arial" w:hAnsi="Arial" w:cs="Arial"/>
          <w:sz w:val="22"/>
          <w:szCs w:val="22"/>
        </w:rPr>
        <w:t xml:space="preserve"> </w:t>
      </w:r>
    </w:p>
    <w:p w:rsidR="008826BE" w:rsidRPr="00EA59C0" w:rsidRDefault="008826BE" w:rsidP="00080097">
      <w:pPr>
        <w:numPr>
          <w:ilvl w:val="0"/>
          <w:numId w:val="37"/>
        </w:numPr>
        <w:tabs>
          <w:tab w:val="left" w:pos="0"/>
          <w:tab w:val="left" w:pos="360"/>
          <w:tab w:val="num" w:pos="1080"/>
        </w:tabs>
        <w:rPr>
          <w:rFonts w:ascii="Arial" w:hAnsi="Arial" w:cs="Arial"/>
          <w:sz w:val="22"/>
          <w:szCs w:val="22"/>
        </w:rPr>
      </w:pPr>
      <w:r w:rsidRPr="00EA59C0">
        <w:rPr>
          <w:rFonts w:ascii="Arial" w:hAnsi="Arial" w:cs="Arial"/>
          <w:sz w:val="22"/>
          <w:szCs w:val="22"/>
        </w:rPr>
        <w:t>Sponsors</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Registered</w:t>
      </w:r>
      <w:r w:rsidR="00C026A6" w:rsidRPr="00EA59C0">
        <w:rPr>
          <w:rFonts w:ascii="Arial" w:hAnsi="Arial" w:cs="Arial"/>
          <w:sz w:val="22"/>
          <w:szCs w:val="22"/>
        </w:rPr>
        <w:t xml:space="preserve"> </w:t>
      </w:r>
      <w:r w:rsidRPr="00EA59C0">
        <w:rPr>
          <w:rFonts w:ascii="Arial" w:hAnsi="Arial" w:cs="Arial"/>
          <w:sz w:val="22"/>
          <w:szCs w:val="22"/>
        </w:rPr>
        <w:t>Apprenticeship</w:t>
      </w:r>
      <w:r w:rsidR="00C026A6" w:rsidRPr="00EA59C0">
        <w:rPr>
          <w:rFonts w:ascii="Arial" w:hAnsi="Arial" w:cs="Arial"/>
          <w:sz w:val="22"/>
          <w:szCs w:val="22"/>
        </w:rPr>
        <w:t xml:space="preserve"> </w:t>
      </w:r>
      <w:r w:rsidRPr="00EA59C0">
        <w:rPr>
          <w:rFonts w:ascii="Arial" w:hAnsi="Arial" w:cs="Arial"/>
          <w:sz w:val="22"/>
          <w:szCs w:val="22"/>
        </w:rPr>
        <w:t>programs;</w:t>
      </w:r>
    </w:p>
    <w:p w:rsidR="008826BE" w:rsidRPr="00EA59C0" w:rsidRDefault="008826BE" w:rsidP="00080097">
      <w:pPr>
        <w:numPr>
          <w:ilvl w:val="0"/>
          <w:numId w:val="37"/>
        </w:numPr>
        <w:tabs>
          <w:tab w:val="left" w:pos="0"/>
          <w:tab w:val="left" w:pos="360"/>
          <w:tab w:val="num" w:pos="1080"/>
        </w:tabs>
        <w:rPr>
          <w:rFonts w:ascii="Arial" w:hAnsi="Arial" w:cs="Arial"/>
          <w:sz w:val="22"/>
          <w:szCs w:val="22"/>
        </w:rPr>
      </w:pPr>
      <w:r w:rsidRPr="00EA59C0">
        <w:rPr>
          <w:rFonts w:ascii="Arial" w:hAnsi="Arial" w:cs="Arial"/>
          <w:sz w:val="22"/>
          <w:szCs w:val="22"/>
        </w:rPr>
        <w:t>State</w:t>
      </w:r>
      <w:r w:rsidR="00C026A6" w:rsidRPr="00EA59C0">
        <w:rPr>
          <w:rFonts w:ascii="Arial" w:hAnsi="Arial" w:cs="Arial"/>
          <w:sz w:val="22"/>
          <w:szCs w:val="22"/>
        </w:rPr>
        <w:t xml:space="preserve"> </w:t>
      </w:r>
      <w:r w:rsidRPr="00EA59C0">
        <w:rPr>
          <w:rFonts w:ascii="Arial" w:hAnsi="Arial" w:cs="Arial"/>
          <w:sz w:val="22"/>
          <w:szCs w:val="22"/>
        </w:rPr>
        <w:t>workforce</w:t>
      </w:r>
      <w:r w:rsidR="00C026A6" w:rsidRPr="00EA59C0">
        <w:rPr>
          <w:rFonts w:ascii="Arial" w:hAnsi="Arial" w:cs="Arial"/>
          <w:sz w:val="22"/>
          <w:szCs w:val="22"/>
        </w:rPr>
        <w:t xml:space="preserve"> </w:t>
      </w:r>
      <w:r w:rsidRPr="00EA59C0">
        <w:rPr>
          <w:rFonts w:ascii="Arial" w:hAnsi="Arial" w:cs="Arial"/>
          <w:sz w:val="22"/>
          <w:szCs w:val="22"/>
        </w:rPr>
        <w:t>agency</w:t>
      </w:r>
      <w:r w:rsidR="00C026A6" w:rsidRPr="00EA59C0">
        <w:rPr>
          <w:rFonts w:ascii="Arial" w:hAnsi="Arial" w:cs="Arial"/>
          <w:sz w:val="22"/>
          <w:szCs w:val="22"/>
        </w:rPr>
        <w:t xml:space="preserve"> </w:t>
      </w:r>
      <w:r w:rsidRPr="00EA59C0">
        <w:rPr>
          <w:rFonts w:ascii="Arial" w:hAnsi="Arial" w:cs="Arial"/>
          <w:sz w:val="22"/>
          <w:szCs w:val="22"/>
        </w:rPr>
        <w:t>labor</w:t>
      </w:r>
      <w:r w:rsidR="00C026A6" w:rsidRPr="00EA59C0">
        <w:rPr>
          <w:rFonts w:ascii="Arial" w:hAnsi="Arial" w:cs="Arial"/>
          <w:sz w:val="22"/>
          <w:szCs w:val="22"/>
        </w:rPr>
        <w:t xml:space="preserve"> </w:t>
      </w:r>
      <w:r w:rsidRPr="00EA59C0">
        <w:rPr>
          <w:rFonts w:ascii="Arial" w:hAnsi="Arial" w:cs="Arial"/>
          <w:sz w:val="22"/>
          <w:szCs w:val="22"/>
        </w:rPr>
        <w:t>market</w:t>
      </w:r>
      <w:r w:rsidR="00C026A6" w:rsidRPr="00EA59C0">
        <w:rPr>
          <w:rFonts w:ascii="Arial" w:hAnsi="Arial" w:cs="Arial"/>
          <w:sz w:val="22"/>
          <w:szCs w:val="22"/>
        </w:rPr>
        <w:t xml:space="preserve"> </w:t>
      </w:r>
      <w:r w:rsidRPr="00EA59C0">
        <w:rPr>
          <w:rFonts w:ascii="Arial" w:hAnsi="Arial" w:cs="Arial"/>
          <w:sz w:val="22"/>
          <w:szCs w:val="22"/>
        </w:rPr>
        <w:t>information</w:t>
      </w:r>
      <w:r w:rsidR="00C026A6" w:rsidRPr="00EA59C0">
        <w:rPr>
          <w:rFonts w:ascii="Arial" w:hAnsi="Arial" w:cs="Arial"/>
          <w:sz w:val="22"/>
          <w:szCs w:val="22"/>
        </w:rPr>
        <w:t xml:space="preserve"> </w:t>
      </w:r>
      <w:r w:rsidRPr="00EA59C0">
        <w:rPr>
          <w:rFonts w:ascii="Arial" w:hAnsi="Arial" w:cs="Arial"/>
          <w:sz w:val="22"/>
          <w:szCs w:val="22"/>
        </w:rPr>
        <w:t>and/or</w:t>
      </w:r>
      <w:r w:rsidR="00C026A6" w:rsidRPr="00EA59C0">
        <w:rPr>
          <w:rFonts w:ascii="Arial" w:hAnsi="Arial" w:cs="Arial"/>
          <w:sz w:val="22"/>
          <w:szCs w:val="22"/>
        </w:rPr>
        <w:t xml:space="preserve"> </w:t>
      </w:r>
      <w:r w:rsidRPr="00EA59C0">
        <w:rPr>
          <w:rFonts w:ascii="Arial" w:hAnsi="Arial" w:cs="Arial"/>
          <w:sz w:val="22"/>
          <w:szCs w:val="22"/>
        </w:rPr>
        <w:t>economic</w:t>
      </w:r>
      <w:r w:rsidR="00C026A6" w:rsidRPr="00EA59C0">
        <w:rPr>
          <w:rFonts w:ascii="Arial" w:hAnsi="Arial" w:cs="Arial"/>
          <w:sz w:val="22"/>
          <w:szCs w:val="22"/>
        </w:rPr>
        <w:t xml:space="preserve"> </w:t>
      </w:r>
      <w:r w:rsidRPr="00EA59C0">
        <w:rPr>
          <w:rFonts w:ascii="Arial" w:hAnsi="Arial" w:cs="Arial"/>
          <w:sz w:val="22"/>
          <w:szCs w:val="22"/>
        </w:rPr>
        <w:t>research</w:t>
      </w:r>
      <w:r w:rsidR="00C026A6" w:rsidRPr="00EA59C0">
        <w:rPr>
          <w:rFonts w:ascii="Arial" w:hAnsi="Arial" w:cs="Arial"/>
          <w:sz w:val="22"/>
          <w:szCs w:val="22"/>
        </w:rPr>
        <w:t xml:space="preserve"> </w:t>
      </w:r>
      <w:r w:rsidRPr="00EA59C0">
        <w:rPr>
          <w:rFonts w:ascii="Arial" w:hAnsi="Arial" w:cs="Arial"/>
          <w:sz w:val="22"/>
          <w:szCs w:val="22"/>
        </w:rPr>
        <w:t>entities;</w:t>
      </w:r>
    </w:p>
    <w:p w:rsidR="008826BE" w:rsidRPr="00EA59C0" w:rsidRDefault="008826BE" w:rsidP="00080097">
      <w:pPr>
        <w:numPr>
          <w:ilvl w:val="0"/>
          <w:numId w:val="37"/>
        </w:numPr>
        <w:tabs>
          <w:tab w:val="left" w:pos="0"/>
          <w:tab w:val="left" w:pos="360"/>
          <w:tab w:val="num" w:pos="1080"/>
        </w:tabs>
        <w:rPr>
          <w:rFonts w:ascii="Arial" w:hAnsi="Arial" w:cs="Arial"/>
          <w:sz w:val="22"/>
          <w:szCs w:val="22"/>
        </w:rPr>
      </w:pPr>
      <w:r w:rsidRPr="00EA59C0">
        <w:rPr>
          <w:rFonts w:ascii="Arial" w:hAnsi="Arial" w:cs="Arial"/>
          <w:sz w:val="22"/>
          <w:szCs w:val="22"/>
        </w:rPr>
        <w:t>Economic</w:t>
      </w:r>
      <w:r w:rsidR="00C026A6" w:rsidRPr="00EA59C0">
        <w:rPr>
          <w:rFonts w:ascii="Arial" w:hAnsi="Arial" w:cs="Arial"/>
          <w:sz w:val="22"/>
          <w:szCs w:val="22"/>
        </w:rPr>
        <w:t xml:space="preserve"> </w:t>
      </w:r>
      <w:r w:rsidRPr="00EA59C0">
        <w:rPr>
          <w:rFonts w:ascii="Arial" w:hAnsi="Arial" w:cs="Arial"/>
          <w:sz w:val="22"/>
          <w:szCs w:val="22"/>
        </w:rPr>
        <w:t>development</w:t>
      </w:r>
      <w:r w:rsidR="00C026A6" w:rsidRPr="00EA59C0">
        <w:rPr>
          <w:rFonts w:ascii="Arial" w:hAnsi="Arial" w:cs="Arial"/>
          <w:sz w:val="22"/>
          <w:szCs w:val="22"/>
        </w:rPr>
        <w:t xml:space="preserve"> </w:t>
      </w:r>
      <w:r w:rsidRPr="00EA59C0">
        <w:rPr>
          <w:rFonts w:ascii="Arial" w:hAnsi="Arial" w:cs="Arial"/>
          <w:sz w:val="22"/>
          <w:szCs w:val="22"/>
        </w:rPr>
        <w:t>agencies;</w:t>
      </w:r>
    </w:p>
    <w:p w:rsidR="008826BE" w:rsidRPr="00EA59C0" w:rsidRDefault="008826BE" w:rsidP="00080097">
      <w:pPr>
        <w:numPr>
          <w:ilvl w:val="0"/>
          <w:numId w:val="37"/>
        </w:numPr>
        <w:tabs>
          <w:tab w:val="left" w:pos="0"/>
          <w:tab w:val="left" w:pos="360"/>
          <w:tab w:val="num" w:pos="1080"/>
        </w:tabs>
        <w:rPr>
          <w:rFonts w:ascii="Arial" w:hAnsi="Arial" w:cs="Arial"/>
          <w:sz w:val="22"/>
          <w:szCs w:val="22"/>
        </w:rPr>
      </w:pPr>
      <w:r w:rsidRPr="00EA59C0">
        <w:rPr>
          <w:rFonts w:ascii="Arial" w:hAnsi="Arial" w:cs="Arial"/>
          <w:sz w:val="22"/>
          <w:szCs w:val="22"/>
        </w:rPr>
        <w:t>Small</w:t>
      </w:r>
      <w:r w:rsidR="00C026A6" w:rsidRPr="00EA59C0">
        <w:rPr>
          <w:rFonts w:ascii="Arial" w:hAnsi="Arial" w:cs="Arial"/>
          <w:sz w:val="22"/>
          <w:szCs w:val="22"/>
        </w:rPr>
        <w:t xml:space="preserve"> </w:t>
      </w:r>
      <w:r w:rsidRPr="00EA59C0">
        <w:rPr>
          <w:rFonts w:ascii="Arial" w:hAnsi="Arial" w:cs="Arial"/>
          <w:sz w:val="22"/>
          <w:szCs w:val="22"/>
        </w:rPr>
        <w:t>business</w:t>
      </w:r>
      <w:r w:rsidR="00C026A6" w:rsidRPr="00EA59C0">
        <w:rPr>
          <w:rFonts w:ascii="Arial" w:hAnsi="Arial" w:cs="Arial"/>
          <w:sz w:val="22"/>
          <w:szCs w:val="22"/>
        </w:rPr>
        <w:t xml:space="preserve"> </w:t>
      </w:r>
      <w:r w:rsidRPr="00EA59C0">
        <w:rPr>
          <w:rFonts w:ascii="Arial" w:hAnsi="Arial" w:cs="Arial"/>
          <w:sz w:val="22"/>
          <w:szCs w:val="22"/>
        </w:rPr>
        <w:t>development</w:t>
      </w:r>
      <w:r w:rsidR="00C026A6" w:rsidRPr="00EA59C0">
        <w:rPr>
          <w:rFonts w:ascii="Arial" w:hAnsi="Arial" w:cs="Arial"/>
          <w:sz w:val="22"/>
          <w:szCs w:val="22"/>
        </w:rPr>
        <w:t xml:space="preserve"> </w:t>
      </w:r>
      <w:r w:rsidRPr="00EA59C0">
        <w:rPr>
          <w:rFonts w:ascii="Arial" w:hAnsi="Arial" w:cs="Arial"/>
          <w:sz w:val="22"/>
          <w:szCs w:val="22"/>
        </w:rPr>
        <w:t>organizations;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p>
    <w:p w:rsidR="008826BE" w:rsidRPr="00EA59C0" w:rsidRDefault="008826BE" w:rsidP="00080097">
      <w:pPr>
        <w:numPr>
          <w:ilvl w:val="0"/>
          <w:numId w:val="37"/>
        </w:numPr>
        <w:tabs>
          <w:tab w:val="left" w:pos="0"/>
          <w:tab w:val="left" w:pos="360"/>
          <w:tab w:val="num" w:pos="1080"/>
        </w:tabs>
        <w:rPr>
          <w:rFonts w:ascii="Arial" w:hAnsi="Arial" w:cs="Arial"/>
          <w:sz w:val="22"/>
          <w:szCs w:val="22"/>
        </w:rPr>
      </w:pPr>
      <w:r w:rsidRPr="00EA59C0">
        <w:rPr>
          <w:rFonts w:ascii="Arial" w:hAnsi="Arial" w:cs="Arial"/>
          <w:sz w:val="22"/>
          <w:szCs w:val="22"/>
        </w:rPr>
        <w:t>Existing</w:t>
      </w:r>
      <w:r w:rsidR="00C026A6" w:rsidRPr="00EA59C0">
        <w:rPr>
          <w:rFonts w:ascii="Arial" w:hAnsi="Arial" w:cs="Arial"/>
          <w:sz w:val="22"/>
          <w:szCs w:val="22"/>
        </w:rPr>
        <w:t xml:space="preserve"> </w:t>
      </w:r>
      <w:r w:rsidRPr="00EA59C0">
        <w:rPr>
          <w:rFonts w:ascii="Arial" w:hAnsi="Arial" w:cs="Arial"/>
          <w:sz w:val="22"/>
          <w:szCs w:val="22"/>
        </w:rPr>
        <w:t>federally-</w:t>
      </w:r>
      <w:r w:rsidR="00C026A6" w:rsidRPr="00EA59C0">
        <w:rPr>
          <w:rFonts w:ascii="Arial" w:hAnsi="Arial" w:cs="Arial"/>
          <w:sz w:val="22"/>
          <w:szCs w:val="22"/>
        </w:rPr>
        <w:t xml:space="preserve"> </w:t>
      </w:r>
      <w:r w:rsidRPr="00EA59C0">
        <w:rPr>
          <w:rFonts w:ascii="Arial" w:hAnsi="Arial" w:cs="Arial"/>
          <w:sz w:val="22"/>
          <w:szCs w:val="22"/>
        </w:rPr>
        <w:t>or</w:t>
      </w:r>
      <w:r w:rsidR="00C026A6" w:rsidRPr="00EA59C0">
        <w:rPr>
          <w:rFonts w:ascii="Arial" w:hAnsi="Arial" w:cs="Arial"/>
          <w:sz w:val="22"/>
          <w:szCs w:val="22"/>
        </w:rPr>
        <w:t xml:space="preserve"> </w:t>
      </w:r>
      <w:r w:rsidRPr="00EA59C0">
        <w:rPr>
          <w:rFonts w:ascii="Arial" w:hAnsi="Arial" w:cs="Arial"/>
          <w:sz w:val="22"/>
          <w:szCs w:val="22"/>
        </w:rPr>
        <w:t>state-funded</w:t>
      </w:r>
      <w:r w:rsidR="00C026A6" w:rsidRPr="00EA59C0">
        <w:rPr>
          <w:rFonts w:ascii="Arial" w:hAnsi="Arial" w:cs="Arial"/>
          <w:sz w:val="22"/>
          <w:szCs w:val="22"/>
        </w:rPr>
        <w:t xml:space="preserve"> </w:t>
      </w:r>
      <w:r w:rsidRPr="00EA59C0">
        <w:rPr>
          <w:rFonts w:ascii="Arial" w:hAnsi="Arial" w:cs="Arial"/>
          <w:sz w:val="22"/>
          <w:szCs w:val="22"/>
        </w:rPr>
        <w:t>consortia,</w:t>
      </w:r>
      <w:r w:rsidR="00C026A6" w:rsidRPr="00EA59C0">
        <w:rPr>
          <w:rFonts w:ascii="Arial" w:hAnsi="Arial" w:cs="Arial"/>
          <w:sz w:val="22"/>
          <w:szCs w:val="22"/>
        </w:rPr>
        <w:t xml:space="preserve"> </w:t>
      </w:r>
      <w:r w:rsidRPr="00EA59C0">
        <w:rPr>
          <w:rFonts w:ascii="Arial" w:hAnsi="Arial" w:cs="Arial"/>
          <w:sz w:val="22"/>
          <w:szCs w:val="22"/>
        </w:rPr>
        <w:t>such</w:t>
      </w:r>
      <w:r w:rsidR="00C026A6" w:rsidRPr="00EA59C0">
        <w:rPr>
          <w:rFonts w:ascii="Arial" w:hAnsi="Arial" w:cs="Arial"/>
          <w:sz w:val="22"/>
          <w:szCs w:val="22"/>
        </w:rPr>
        <w:t xml:space="preserve"> </w:t>
      </w:r>
      <w:r w:rsidRPr="00EA59C0">
        <w:rPr>
          <w:rFonts w:ascii="Arial" w:hAnsi="Arial" w:cs="Arial"/>
          <w:sz w:val="22"/>
          <w:szCs w:val="22"/>
        </w:rPr>
        <w:t>as</w:t>
      </w:r>
      <w:r w:rsidR="00C026A6" w:rsidRPr="00EA59C0">
        <w:rPr>
          <w:rFonts w:ascii="Arial" w:hAnsi="Arial" w:cs="Arial"/>
          <w:sz w:val="22"/>
          <w:szCs w:val="22"/>
        </w:rPr>
        <w:t xml:space="preserve"> </w:t>
      </w:r>
      <w:r w:rsidRPr="00EA59C0">
        <w:rPr>
          <w:rFonts w:ascii="Arial" w:hAnsi="Arial" w:cs="Arial"/>
          <w:sz w:val="22"/>
          <w:szCs w:val="22"/>
        </w:rPr>
        <w:t>regional</w:t>
      </w:r>
      <w:r w:rsidR="00C026A6" w:rsidRPr="00EA59C0">
        <w:rPr>
          <w:rFonts w:ascii="Arial" w:hAnsi="Arial" w:cs="Arial"/>
          <w:sz w:val="22"/>
          <w:szCs w:val="22"/>
        </w:rPr>
        <w:t xml:space="preserve"> </w:t>
      </w:r>
      <w:r w:rsidRPr="00EA59C0">
        <w:rPr>
          <w:rFonts w:ascii="Arial" w:hAnsi="Arial" w:cs="Arial"/>
          <w:sz w:val="22"/>
          <w:szCs w:val="22"/>
        </w:rPr>
        <w:t>cluster</w:t>
      </w:r>
      <w:r w:rsidR="00C026A6" w:rsidRPr="00EA59C0">
        <w:rPr>
          <w:rFonts w:ascii="Arial" w:hAnsi="Arial" w:cs="Arial"/>
          <w:sz w:val="22"/>
          <w:szCs w:val="22"/>
        </w:rPr>
        <w:t xml:space="preserve"> </w:t>
      </w:r>
      <w:r w:rsidRPr="00EA59C0">
        <w:rPr>
          <w:rFonts w:ascii="Arial" w:hAnsi="Arial" w:cs="Arial"/>
          <w:sz w:val="22"/>
          <w:szCs w:val="22"/>
        </w:rPr>
        <w:t>consortia,</w:t>
      </w:r>
      <w:r w:rsidR="00C026A6" w:rsidRPr="00EA59C0">
        <w:rPr>
          <w:rFonts w:ascii="Arial" w:hAnsi="Arial" w:cs="Arial"/>
          <w:sz w:val="22"/>
          <w:szCs w:val="22"/>
        </w:rPr>
        <w:t xml:space="preserve"> </w:t>
      </w:r>
      <w:r w:rsidRPr="00EA59C0">
        <w:rPr>
          <w:rFonts w:ascii="Arial" w:hAnsi="Arial" w:cs="Arial"/>
          <w:sz w:val="22"/>
          <w:szCs w:val="22"/>
        </w:rPr>
        <w:t>that</w:t>
      </w:r>
      <w:r w:rsidR="00C026A6" w:rsidRPr="00EA59C0">
        <w:rPr>
          <w:rFonts w:ascii="Arial" w:hAnsi="Arial" w:cs="Arial"/>
          <w:sz w:val="22"/>
          <w:szCs w:val="22"/>
        </w:rPr>
        <w:t xml:space="preserve"> </w:t>
      </w:r>
      <w:r w:rsidRPr="00EA59C0">
        <w:rPr>
          <w:rFonts w:ascii="Arial" w:hAnsi="Arial" w:cs="Arial"/>
          <w:sz w:val="22"/>
          <w:szCs w:val="22"/>
        </w:rPr>
        <w:t>are</w:t>
      </w:r>
      <w:r w:rsidR="00C026A6" w:rsidRPr="00EA59C0">
        <w:rPr>
          <w:rFonts w:ascii="Arial" w:hAnsi="Arial" w:cs="Arial"/>
          <w:sz w:val="22"/>
          <w:szCs w:val="22"/>
        </w:rPr>
        <w:t xml:space="preserve"> </w:t>
      </w:r>
      <w:r w:rsidRPr="00EA59C0">
        <w:rPr>
          <w:rFonts w:ascii="Arial" w:hAnsi="Arial" w:cs="Arial"/>
          <w:sz w:val="22"/>
          <w:szCs w:val="22"/>
        </w:rPr>
        <w:t>organized</w:t>
      </w:r>
      <w:r w:rsidR="00C026A6" w:rsidRPr="00EA59C0">
        <w:rPr>
          <w:rFonts w:ascii="Arial" w:hAnsi="Arial" w:cs="Arial"/>
          <w:sz w:val="22"/>
          <w:szCs w:val="22"/>
        </w:rPr>
        <w:t xml:space="preserve"> </w:t>
      </w:r>
      <w:r w:rsidRPr="00EA59C0">
        <w:rPr>
          <w:rFonts w:ascii="Arial" w:hAnsi="Arial" w:cs="Arial"/>
          <w:sz w:val="22"/>
          <w:szCs w:val="22"/>
        </w:rPr>
        <w:t>by</w:t>
      </w:r>
      <w:r w:rsidR="00C026A6" w:rsidRPr="00EA59C0">
        <w:rPr>
          <w:rFonts w:ascii="Arial" w:hAnsi="Arial" w:cs="Arial"/>
          <w:sz w:val="22"/>
          <w:szCs w:val="22"/>
        </w:rPr>
        <w:t xml:space="preserve"> </w:t>
      </w:r>
      <w:r w:rsidRPr="00EA59C0">
        <w:rPr>
          <w:rFonts w:ascii="Arial" w:hAnsi="Arial" w:cs="Arial"/>
          <w:sz w:val="22"/>
          <w:szCs w:val="22"/>
        </w:rPr>
        <w:t>related</w:t>
      </w:r>
      <w:r w:rsidR="00C026A6" w:rsidRPr="00EA59C0">
        <w:rPr>
          <w:rFonts w:ascii="Arial" w:hAnsi="Arial" w:cs="Arial"/>
          <w:sz w:val="22"/>
          <w:szCs w:val="22"/>
        </w:rPr>
        <w:t xml:space="preserve"> </w:t>
      </w:r>
      <w:r w:rsidRPr="00EA59C0">
        <w:rPr>
          <w:rFonts w:ascii="Arial" w:hAnsi="Arial" w:cs="Arial"/>
          <w:sz w:val="22"/>
          <w:szCs w:val="22"/>
        </w:rPr>
        <w:t>sector</w:t>
      </w:r>
      <w:r w:rsidR="00C026A6" w:rsidRPr="00EA59C0">
        <w:rPr>
          <w:rFonts w:ascii="Arial" w:hAnsi="Arial" w:cs="Arial"/>
          <w:sz w:val="22"/>
          <w:szCs w:val="22"/>
        </w:rPr>
        <w:t xml:space="preserve"> </w:t>
      </w:r>
      <w:r w:rsidRPr="00EA59C0">
        <w:rPr>
          <w:rFonts w:ascii="Arial" w:hAnsi="Arial" w:cs="Arial"/>
          <w:sz w:val="22"/>
          <w:szCs w:val="22"/>
        </w:rPr>
        <w:t>or</w:t>
      </w:r>
      <w:r w:rsidR="00C026A6" w:rsidRPr="00EA59C0">
        <w:rPr>
          <w:rFonts w:ascii="Arial" w:hAnsi="Arial" w:cs="Arial"/>
          <w:sz w:val="22"/>
          <w:szCs w:val="22"/>
        </w:rPr>
        <w:t xml:space="preserve"> </w:t>
      </w:r>
      <w:r w:rsidRPr="00EA59C0">
        <w:rPr>
          <w:rFonts w:ascii="Arial" w:hAnsi="Arial" w:cs="Arial"/>
          <w:sz w:val="22"/>
          <w:szCs w:val="22"/>
        </w:rPr>
        <w:t>regional</w:t>
      </w:r>
      <w:r w:rsidR="00C026A6" w:rsidRPr="00EA59C0">
        <w:rPr>
          <w:rFonts w:ascii="Arial" w:hAnsi="Arial" w:cs="Arial"/>
          <w:sz w:val="22"/>
          <w:szCs w:val="22"/>
        </w:rPr>
        <w:t xml:space="preserve"> </w:t>
      </w:r>
      <w:r w:rsidRPr="00EA59C0">
        <w:rPr>
          <w:rFonts w:ascii="Arial" w:hAnsi="Arial" w:cs="Arial"/>
          <w:sz w:val="22"/>
          <w:szCs w:val="22"/>
        </w:rPr>
        <w:t>focus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that</w:t>
      </w:r>
      <w:r w:rsidR="00C026A6" w:rsidRPr="00EA59C0">
        <w:rPr>
          <w:rFonts w:ascii="Arial" w:hAnsi="Arial" w:cs="Arial"/>
          <w:sz w:val="22"/>
          <w:szCs w:val="22"/>
        </w:rPr>
        <w:t xml:space="preserve"> </w:t>
      </w:r>
      <w:r w:rsidRPr="00EA59C0">
        <w:rPr>
          <w:rFonts w:ascii="Arial" w:hAnsi="Arial" w:cs="Arial"/>
          <w:sz w:val="22"/>
          <w:szCs w:val="22"/>
        </w:rPr>
        <w:t>may</w:t>
      </w:r>
      <w:r w:rsidR="00C026A6" w:rsidRPr="00EA59C0">
        <w:rPr>
          <w:rFonts w:ascii="Arial" w:hAnsi="Arial" w:cs="Arial"/>
          <w:sz w:val="22"/>
          <w:szCs w:val="22"/>
        </w:rPr>
        <w:t xml:space="preserve"> </w:t>
      </w:r>
      <w:r w:rsidRPr="00EA59C0">
        <w:rPr>
          <w:rFonts w:ascii="Arial" w:hAnsi="Arial" w:cs="Arial"/>
          <w:sz w:val="22"/>
          <w:szCs w:val="22"/>
        </w:rPr>
        <w:t>inform</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applicant’s</w:t>
      </w:r>
      <w:r w:rsidR="00C026A6" w:rsidRPr="00EA59C0">
        <w:rPr>
          <w:rFonts w:ascii="Arial" w:hAnsi="Arial" w:cs="Arial"/>
          <w:sz w:val="22"/>
          <w:szCs w:val="22"/>
        </w:rPr>
        <w:t xml:space="preserve"> </w:t>
      </w:r>
      <w:r w:rsidRPr="00EA59C0">
        <w:rPr>
          <w:rFonts w:ascii="Arial" w:hAnsi="Arial" w:cs="Arial"/>
          <w:sz w:val="22"/>
          <w:szCs w:val="22"/>
        </w:rPr>
        <w:t>activities.</w:t>
      </w:r>
    </w:p>
    <w:p w:rsidR="008826BE" w:rsidRPr="00EA59C0" w:rsidRDefault="008826BE" w:rsidP="00DB00BB">
      <w:pPr>
        <w:tabs>
          <w:tab w:val="left" w:pos="0"/>
          <w:tab w:val="left" w:pos="360"/>
        </w:tabs>
        <w:ind w:left="720"/>
        <w:rPr>
          <w:rFonts w:ascii="Arial" w:hAnsi="Arial" w:cs="Arial"/>
          <w:sz w:val="22"/>
          <w:szCs w:val="22"/>
        </w:rPr>
      </w:pPr>
    </w:p>
    <w:p w:rsidR="008826BE" w:rsidRPr="00EA59C0" w:rsidRDefault="008826BE" w:rsidP="00DB00BB">
      <w:pPr>
        <w:tabs>
          <w:tab w:val="left" w:pos="0"/>
          <w:tab w:val="left" w:pos="360"/>
        </w:tabs>
        <w:rPr>
          <w:rFonts w:ascii="Arial" w:hAnsi="Arial" w:cs="Arial"/>
          <w:sz w:val="22"/>
          <w:szCs w:val="22"/>
        </w:rPr>
      </w:pP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addition,</w:t>
      </w:r>
      <w:r w:rsidR="00C026A6" w:rsidRPr="00EA59C0">
        <w:rPr>
          <w:rFonts w:ascii="Arial" w:hAnsi="Arial" w:cs="Arial"/>
          <w:sz w:val="22"/>
          <w:szCs w:val="22"/>
        </w:rPr>
        <w:t xml:space="preserve"> </w:t>
      </w:r>
      <w:r w:rsidRPr="00EA59C0">
        <w:rPr>
          <w:rFonts w:ascii="Arial" w:hAnsi="Arial" w:cs="Arial"/>
          <w:sz w:val="22"/>
          <w:szCs w:val="22"/>
        </w:rPr>
        <w:t>applicants</w:t>
      </w:r>
      <w:r w:rsidR="00C026A6" w:rsidRPr="00EA59C0">
        <w:rPr>
          <w:rFonts w:ascii="Arial" w:hAnsi="Arial" w:cs="Arial"/>
          <w:sz w:val="22"/>
          <w:szCs w:val="22"/>
        </w:rPr>
        <w:t xml:space="preserve"> </w:t>
      </w:r>
      <w:r w:rsidRPr="00EA59C0">
        <w:rPr>
          <w:rFonts w:ascii="Arial" w:hAnsi="Arial" w:cs="Arial"/>
          <w:sz w:val="22"/>
          <w:szCs w:val="22"/>
        </w:rPr>
        <w:t>should</w:t>
      </w:r>
      <w:r w:rsidR="00C026A6" w:rsidRPr="00EA59C0">
        <w:rPr>
          <w:rFonts w:ascii="Arial" w:hAnsi="Arial" w:cs="Arial"/>
          <w:sz w:val="22"/>
          <w:szCs w:val="22"/>
        </w:rPr>
        <w:t xml:space="preserve"> </w:t>
      </w:r>
      <w:r w:rsidRPr="00EA59C0">
        <w:rPr>
          <w:rFonts w:ascii="Arial" w:hAnsi="Arial" w:cs="Arial"/>
          <w:sz w:val="22"/>
          <w:szCs w:val="22"/>
        </w:rPr>
        <w:t>consider</w:t>
      </w:r>
      <w:r w:rsidR="00C026A6" w:rsidRPr="00EA59C0">
        <w:rPr>
          <w:rFonts w:ascii="Arial" w:hAnsi="Arial" w:cs="Arial"/>
          <w:sz w:val="22"/>
          <w:szCs w:val="22"/>
        </w:rPr>
        <w:t xml:space="preserve"> </w:t>
      </w:r>
      <w:r w:rsidRPr="00EA59C0">
        <w:rPr>
          <w:rFonts w:ascii="Arial" w:hAnsi="Arial" w:cs="Arial"/>
          <w:sz w:val="22"/>
          <w:szCs w:val="22"/>
        </w:rPr>
        <w:t>aligning</w:t>
      </w:r>
      <w:r w:rsidR="00C026A6" w:rsidRPr="00EA59C0">
        <w:rPr>
          <w:rFonts w:ascii="Arial" w:hAnsi="Arial" w:cs="Arial"/>
          <w:sz w:val="22"/>
          <w:szCs w:val="22"/>
        </w:rPr>
        <w:t xml:space="preserve"> </w:t>
      </w:r>
      <w:r w:rsidR="00C32DAD" w:rsidRPr="00EA59C0">
        <w:rPr>
          <w:rFonts w:ascii="Arial" w:hAnsi="Arial" w:cs="Arial"/>
          <w:sz w:val="22"/>
          <w:szCs w:val="22"/>
        </w:rPr>
        <w:t>with</w:t>
      </w:r>
      <w:r w:rsidR="00C026A6" w:rsidRPr="00EA59C0">
        <w:rPr>
          <w:rFonts w:ascii="Arial" w:hAnsi="Arial" w:cs="Arial"/>
          <w:sz w:val="22"/>
          <w:szCs w:val="22"/>
        </w:rPr>
        <w:t xml:space="preserve"> </w:t>
      </w:r>
      <w:r w:rsidRPr="00EA59C0">
        <w:rPr>
          <w:rFonts w:ascii="Arial" w:hAnsi="Arial" w:cs="Arial"/>
          <w:sz w:val="22"/>
          <w:szCs w:val="22"/>
        </w:rPr>
        <w:t>other</w:t>
      </w:r>
      <w:r w:rsidR="00C026A6" w:rsidRPr="00EA59C0">
        <w:rPr>
          <w:rFonts w:ascii="Arial" w:hAnsi="Arial" w:cs="Arial"/>
          <w:sz w:val="22"/>
          <w:szCs w:val="22"/>
        </w:rPr>
        <w:t xml:space="preserve"> </w:t>
      </w:r>
      <w:r w:rsidRPr="00EA59C0">
        <w:rPr>
          <w:rFonts w:ascii="Arial" w:hAnsi="Arial" w:cs="Arial"/>
          <w:sz w:val="22"/>
          <w:szCs w:val="22"/>
        </w:rPr>
        <w:t>Federal</w:t>
      </w:r>
      <w:r w:rsidR="00C026A6" w:rsidRPr="00EA59C0">
        <w:rPr>
          <w:rFonts w:ascii="Arial" w:hAnsi="Arial" w:cs="Arial"/>
          <w:sz w:val="22"/>
          <w:szCs w:val="22"/>
        </w:rPr>
        <w:t xml:space="preserve"> </w:t>
      </w:r>
      <w:r w:rsidRPr="00EA59C0">
        <w:rPr>
          <w:rFonts w:ascii="Arial" w:hAnsi="Arial" w:cs="Arial"/>
          <w:sz w:val="22"/>
          <w:szCs w:val="22"/>
        </w:rPr>
        <w:t>investments</w:t>
      </w:r>
      <w:r w:rsidR="00C026A6" w:rsidRPr="00EA59C0">
        <w:rPr>
          <w:rFonts w:ascii="Arial" w:hAnsi="Arial" w:cs="Arial"/>
          <w:sz w:val="22"/>
          <w:szCs w:val="22"/>
        </w:rPr>
        <w:t xml:space="preserve"> </w:t>
      </w:r>
      <w:r w:rsidRPr="00EA59C0">
        <w:rPr>
          <w:rFonts w:ascii="Arial" w:hAnsi="Arial" w:cs="Arial"/>
          <w:sz w:val="22"/>
          <w:szCs w:val="22"/>
        </w:rPr>
        <w:t>such</w:t>
      </w:r>
      <w:r w:rsidR="00C026A6" w:rsidRPr="00EA59C0">
        <w:rPr>
          <w:rFonts w:ascii="Arial" w:hAnsi="Arial" w:cs="Arial"/>
          <w:sz w:val="22"/>
          <w:szCs w:val="22"/>
        </w:rPr>
        <w:t xml:space="preserve"> </w:t>
      </w:r>
      <w:r w:rsidRPr="00EA59C0">
        <w:rPr>
          <w:rFonts w:ascii="Arial" w:hAnsi="Arial" w:cs="Arial"/>
          <w:sz w:val="22"/>
          <w:szCs w:val="22"/>
        </w:rPr>
        <w:t>as:</w:t>
      </w:r>
    </w:p>
    <w:p w:rsidR="008826BE" w:rsidRPr="00EA59C0" w:rsidRDefault="008826BE" w:rsidP="002A56B8">
      <w:pPr>
        <w:pStyle w:val="ListParagraph"/>
        <w:numPr>
          <w:ilvl w:val="0"/>
          <w:numId w:val="38"/>
        </w:numPr>
        <w:tabs>
          <w:tab w:val="left" w:pos="0"/>
          <w:tab w:val="left" w:pos="360"/>
        </w:tabs>
        <w:rPr>
          <w:rFonts w:ascii="Arial" w:hAnsi="Arial" w:cs="Arial"/>
          <w:sz w:val="22"/>
          <w:szCs w:val="22"/>
        </w:rPr>
      </w:pPr>
      <w:r w:rsidRPr="00EA59C0">
        <w:rPr>
          <w:rFonts w:ascii="Arial" w:hAnsi="Arial" w:cs="Arial"/>
          <w:sz w:val="22"/>
          <w:szCs w:val="22"/>
        </w:rPr>
        <w:t>Department</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Health</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Human</w:t>
      </w:r>
      <w:r w:rsidR="00C026A6" w:rsidRPr="00EA59C0">
        <w:rPr>
          <w:rFonts w:ascii="Arial" w:hAnsi="Arial" w:cs="Arial"/>
          <w:sz w:val="22"/>
          <w:szCs w:val="22"/>
        </w:rPr>
        <w:t xml:space="preserve"> </w:t>
      </w:r>
      <w:r w:rsidRPr="00EA59C0">
        <w:rPr>
          <w:rFonts w:ascii="Arial" w:hAnsi="Arial" w:cs="Arial"/>
          <w:sz w:val="22"/>
          <w:szCs w:val="22"/>
        </w:rPr>
        <w:t>Services</w:t>
      </w:r>
      <w:r w:rsidR="00C026A6" w:rsidRPr="00EA59C0">
        <w:rPr>
          <w:rFonts w:ascii="Arial" w:hAnsi="Arial" w:cs="Arial"/>
          <w:sz w:val="22"/>
          <w:szCs w:val="22"/>
        </w:rPr>
        <w:t xml:space="preserve"> </w:t>
      </w:r>
      <w:r w:rsidRPr="00EA59C0">
        <w:rPr>
          <w:rFonts w:ascii="Arial" w:hAnsi="Arial" w:cs="Arial"/>
          <w:sz w:val="22"/>
          <w:szCs w:val="22"/>
        </w:rPr>
        <w:t>Health</w:t>
      </w:r>
      <w:r w:rsidR="00C026A6" w:rsidRPr="00EA59C0">
        <w:rPr>
          <w:rFonts w:ascii="Arial" w:hAnsi="Arial" w:cs="Arial"/>
          <w:sz w:val="22"/>
          <w:szCs w:val="22"/>
        </w:rPr>
        <w:t xml:space="preserve"> </w:t>
      </w:r>
      <w:r w:rsidRPr="00EA59C0">
        <w:rPr>
          <w:rFonts w:ascii="Arial" w:hAnsi="Arial" w:cs="Arial"/>
          <w:sz w:val="22"/>
          <w:szCs w:val="22"/>
        </w:rPr>
        <w:t>Professions</w:t>
      </w:r>
      <w:r w:rsidR="00C026A6" w:rsidRPr="00EA59C0">
        <w:rPr>
          <w:rFonts w:ascii="Arial" w:hAnsi="Arial" w:cs="Arial"/>
          <w:sz w:val="22"/>
          <w:szCs w:val="22"/>
        </w:rPr>
        <w:t xml:space="preserve"> </w:t>
      </w:r>
      <w:r w:rsidRPr="00EA59C0">
        <w:rPr>
          <w:rFonts w:ascii="Arial" w:hAnsi="Arial" w:cs="Arial"/>
          <w:sz w:val="22"/>
          <w:szCs w:val="22"/>
        </w:rPr>
        <w:t>Opportunity</w:t>
      </w:r>
      <w:r w:rsidR="00C026A6" w:rsidRPr="00EA59C0">
        <w:rPr>
          <w:rFonts w:ascii="Arial" w:hAnsi="Arial" w:cs="Arial"/>
          <w:sz w:val="22"/>
          <w:szCs w:val="22"/>
        </w:rPr>
        <w:t xml:space="preserve"> </w:t>
      </w:r>
      <w:r w:rsidRPr="00EA59C0">
        <w:rPr>
          <w:rFonts w:ascii="Arial" w:hAnsi="Arial" w:cs="Arial"/>
          <w:sz w:val="22"/>
          <w:szCs w:val="22"/>
        </w:rPr>
        <w:t>Grants</w:t>
      </w:r>
      <w:r w:rsidR="00C026A6" w:rsidRPr="00EA59C0">
        <w:rPr>
          <w:rFonts w:ascii="Arial" w:hAnsi="Arial" w:cs="Arial"/>
          <w:sz w:val="22"/>
          <w:szCs w:val="22"/>
        </w:rPr>
        <w:t xml:space="preserve"> </w:t>
      </w:r>
      <w:hyperlink r:id="rId383" w:history="1">
        <w:r w:rsidR="002A56B8" w:rsidRPr="006B5691">
          <w:rPr>
            <w:rStyle w:val="Hyperlink"/>
          </w:rPr>
          <w:t>http://www.acf.hhs.gov/programs/ofa/programs/hpog</w:t>
        </w:r>
      </w:hyperlink>
      <w:r w:rsidR="002A56B8">
        <w:t xml:space="preserve"> </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Innovative</w:t>
      </w:r>
      <w:r w:rsidR="00C026A6" w:rsidRPr="00EA59C0">
        <w:rPr>
          <w:rFonts w:ascii="Arial" w:hAnsi="Arial" w:cs="Arial"/>
          <w:sz w:val="22"/>
          <w:szCs w:val="22"/>
        </w:rPr>
        <w:t xml:space="preserve"> </w:t>
      </w:r>
      <w:r w:rsidRPr="00EA59C0">
        <w:rPr>
          <w:rFonts w:ascii="Arial" w:hAnsi="Arial" w:cs="Arial"/>
          <w:sz w:val="22"/>
          <w:szCs w:val="22"/>
        </w:rPr>
        <w:t>Strategies</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Increasing</w:t>
      </w:r>
      <w:r w:rsidR="00C026A6" w:rsidRPr="00EA59C0">
        <w:rPr>
          <w:rFonts w:ascii="Arial" w:hAnsi="Arial" w:cs="Arial"/>
          <w:sz w:val="22"/>
          <w:szCs w:val="22"/>
        </w:rPr>
        <w:t xml:space="preserve"> </w:t>
      </w:r>
      <w:r w:rsidRPr="00EA59C0">
        <w:rPr>
          <w:rFonts w:ascii="Arial" w:hAnsi="Arial" w:cs="Arial"/>
          <w:sz w:val="22"/>
          <w:szCs w:val="22"/>
        </w:rPr>
        <w:t>Self</w:t>
      </w:r>
      <w:r w:rsidR="00C026A6" w:rsidRPr="00EA59C0">
        <w:rPr>
          <w:rFonts w:ascii="Arial" w:hAnsi="Arial" w:cs="Arial"/>
          <w:sz w:val="22"/>
          <w:szCs w:val="22"/>
        </w:rPr>
        <w:t xml:space="preserve"> </w:t>
      </w:r>
      <w:r w:rsidRPr="00EA59C0">
        <w:rPr>
          <w:rFonts w:ascii="Arial" w:hAnsi="Arial" w:cs="Arial"/>
          <w:sz w:val="22"/>
          <w:szCs w:val="22"/>
        </w:rPr>
        <w:t>Sufficiency;</w:t>
      </w:r>
      <w:r w:rsidR="00C026A6" w:rsidRPr="00EA59C0">
        <w:rPr>
          <w:rFonts w:ascii="Arial" w:hAnsi="Arial" w:cs="Arial"/>
          <w:sz w:val="22"/>
          <w:szCs w:val="22"/>
        </w:rPr>
        <w:t xml:space="preserve"> </w:t>
      </w:r>
    </w:p>
    <w:p w:rsidR="00C32DAD" w:rsidRPr="00EA59C0" w:rsidRDefault="008826BE" w:rsidP="002A56B8">
      <w:pPr>
        <w:pStyle w:val="ListParagraph"/>
        <w:numPr>
          <w:ilvl w:val="0"/>
          <w:numId w:val="38"/>
        </w:numPr>
        <w:tabs>
          <w:tab w:val="left" w:pos="0"/>
          <w:tab w:val="left" w:pos="360"/>
        </w:tabs>
        <w:rPr>
          <w:rFonts w:ascii="Arial" w:hAnsi="Arial" w:cs="Arial"/>
          <w:sz w:val="22"/>
          <w:szCs w:val="22"/>
        </w:rPr>
      </w:pPr>
      <w:r w:rsidRPr="00EA59C0">
        <w:rPr>
          <w:rFonts w:ascii="Arial" w:hAnsi="Arial" w:cs="Arial"/>
          <w:sz w:val="22"/>
          <w:szCs w:val="22"/>
        </w:rPr>
        <w:t>National</w:t>
      </w:r>
      <w:r w:rsidR="00C026A6" w:rsidRPr="00EA59C0">
        <w:rPr>
          <w:rFonts w:ascii="Arial" w:hAnsi="Arial" w:cs="Arial"/>
          <w:sz w:val="22"/>
          <w:szCs w:val="22"/>
        </w:rPr>
        <w:t xml:space="preserve"> </w:t>
      </w:r>
      <w:r w:rsidRPr="00EA59C0">
        <w:rPr>
          <w:rFonts w:ascii="Arial" w:hAnsi="Arial" w:cs="Arial"/>
          <w:sz w:val="22"/>
          <w:szCs w:val="22"/>
        </w:rPr>
        <w:t>Science</w:t>
      </w:r>
      <w:r w:rsidR="00C026A6" w:rsidRPr="00EA59C0">
        <w:rPr>
          <w:rFonts w:ascii="Arial" w:hAnsi="Arial" w:cs="Arial"/>
          <w:sz w:val="22"/>
          <w:szCs w:val="22"/>
        </w:rPr>
        <w:t xml:space="preserve"> </w:t>
      </w:r>
      <w:r w:rsidRPr="00EA59C0">
        <w:rPr>
          <w:rFonts w:ascii="Arial" w:hAnsi="Arial" w:cs="Arial"/>
          <w:sz w:val="22"/>
          <w:szCs w:val="22"/>
        </w:rPr>
        <w:t>Foundation’s</w:t>
      </w:r>
      <w:r w:rsidR="00C026A6" w:rsidRPr="00EA59C0">
        <w:rPr>
          <w:rFonts w:ascii="Arial" w:hAnsi="Arial" w:cs="Arial"/>
          <w:sz w:val="22"/>
          <w:szCs w:val="22"/>
        </w:rPr>
        <w:t xml:space="preserve"> </w:t>
      </w:r>
      <w:r w:rsidRPr="00EA59C0">
        <w:rPr>
          <w:rFonts w:ascii="Arial" w:hAnsi="Arial" w:cs="Arial"/>
          <w:sz w:val="22"/>
          <w:szCs w:val="22"/>
        </w:rPr>
        <w:t>Advanced</w:t>
      </w:r>
      <w:r w:rsidR="00C026A6" w:rsidRPr="00EA59C0">
        <w:rPr>
          <w:rFonts w:ascii="Arial" w:hAnsi="Arial" w:cs="Arial"/>
          <w:sz w:val="22"/>
          <w:szCs w:val="22"/>
        </w:rPr>
        <w:t xml:space="preserve"> </w:t>
      </w:r>
      <w:r w:rsidRPr="00EA59C0">
        <w:rPr>
          <w:rFonts w:ascii="Arial" w:hAnsi="Arial" w:cs="Arial"/>
          <w:sz w:val="22"/>
          <w:szCs w:val="22"/>
        </w:rPr>
        <w:t>Technological</w:t>
      </w:r>
      <w:r w:rsidR="00C026A6" w:rsidRPr="00EA59C0">
        <w:rPr>
          <w:rFonts w:ascii="Arial" w:hAnsi="Arial" w:cs="Arial"/>
          <w:sz w:val="22"/>
          <w:szCs w:val="22"/>
        </w:rPr>
        <w:t xml:space="preserve"> </w:t>
      </w:r>
      <w:r w:rsidRPr="00EA59C0">
        <w:rPr>
          <w:rFonts w:ascii="Arial" w:hAnsi="Arial" w:cs="Arial"/>
          <w:sz w:val="22"/>
          <w:szCs w:val="22"/>
        </w:rPr>
        <w:t>Education</w:t>
      </w:r>
      <w:r w:rsidR="00C026A6" w:rsidRPr="00EA59C0">
        <w:rPr>
          <w:rFonts w:ascii="Arial" w:hAnsi="Arial" w:cs="Arial"/>
          <w:sz w:val="22"/>
          <w:szCs w:val="22"/>
        </w:rPr>
        <w:t xml:space="preserve"> </w:t>
      </w:r>
      <w:r w:rsidRPr="00EA59C0">
        <w:rPr>
          <w:rFonts w:ascii="Arial" w:hAnsi="Arial" w:cs="Arial"/>
          <w:sz w:val="22"/>
          <w:szCs w:val="22"/>
        </w:rPr>
        <w:t>grants</w:t>
      </w:r>
      <w:r w:rsidR="00C026A6" w:rsidRPr="00EA59C0">
        <w:rPr>
          <w:rFonts w:ascii="Arial" w:hAnsi="Arial" w:cs="Arial"/>
          <w:sz w:val="22"/>
          <w:szCs w:val="22"/>
        </w:rPr>
        <w:t xml:space="preserve"> </w:t>
      </w:r>
      <w:r w:rsidRPr="00EA59C0">
        <w:rPr>
          <w:rFonts w:ascii="Arial" w:hAnsi="Arial" w:cs="Arial"/>
          <w:sz w:val="22"/>
          <w:szCs w:val="22"/>
        </w:rPr>
        <w:t>(</w:t>
      </w:r>
      <w:hyperlink r:id="rId384" w:history="1">
        <w:r w:rsidR="002A56B8" w:rsidRPr="006B5691">
          <w:rPr>
            <w:rStyle w:val="Hyperlink"/>
          </w:rPr>
          <w:t>http://www.nsf.gov/funding/pgm_summ.jsp?pims_id=5464</w:t>
        </w:r>
      </w:hyperlink>
      <w:r w:rsidR="002A56B8">
        <w:t>)</w:t>
      </w:r>
      <w:r w:rsidR="00C32DAD" w:rsidRPr="00EA59C0">
        <w:rPr>
          <w:rFonts w:ascii="Arial" w:hAnsi="Arial" w:cs="Arial"/>
          <w:sz w:val="22"/>
          <w:szCs w:val="22"/>
        </w:rPr>
        <w:t xml:space="preserve">; </w:t>
      </w:r>
      <w:r w:rsidR="002A56B8">
        <w:rPr>
          <w:rFonts w:ascii="Arial" w:hAnsi="Arial" w:cs="Arial"/>
          <w:sz w:val="22"/>
          <w:szCs w:val="22"/>
        </w:rPr>
        <w:t xml:space="preserve"> </w:t>
      </w:r>
      <w:r w:rsidR="00C32DAD" w:rsidRPr="00EA59C0">
        <w:rPr>
          <w:rFonts w:ascii="Arial" w:hAnsi="Arial" w:cs="Arial"/>
          <w:sz w:val="22"/>
          <w:szCs w:val="22"/>
        </w:rPr>
        <w:t>and</w:t>
      </w:r>
    </w:p>
    <w:p w:rsidR="008826BE" w:rsidRPr="00EA59C0" w:rsidRDefault="00C32DAD" w:rsidP="00080097">
      <w:pPr>
        <w:pStyle w:val="ListParagraph"/>
        <w:numPr>
          <w:ilvl w:val="0"/>
          <w:numId w:val="38"/>
        </w:numPr>
        <w:tabs>
          <w:tab w:val="left" w:pos="0"/>
          <w:tab w:val="left" w:pos="360"/>
        </w:tabs>
        <w:rPr>
          <w:rFonts w:ascii="Arial" w:hAnsi="Arial" w:cs="Arial"/>
          <w:sz w:val="22"/>
          <w:szCs w:val="22"/>
        </w:rPr>
      </w:pPr>
      <w:r w:rsidRPr="00EA59C0">
        <w:rPr>
          <w:rFonts w:ascii="Arial" w:hAnsi="Arial" w:cs="Arial"/>
          <w:sz w:val="22"/>
          <w:szCs w:val="22"/>
        </w:rPr>
        <w:t>Department of Housing and Urban Development Promise Zone</w:t>
      </w:r>
      <w:r w:rsidR="000954A5" w:rsidRPr="00EA59C0">
        <w:rPr>
          <w:rFonts w:ascii="Arial" w:hAnsi="Arial" w:cs="Arial"/>
          <w:sz w:val="22"/>
          <w:szCs w:val="22"/>
        </w:rPr>
        <w:t xml:space="preserve"> Designation or Membership</w:t>
      </w:r>
      <w:r w:rsidR="00883500" w:rsidRPr="00EA59C0">
        <w:rPr>
          <w:rFonts w:ascii="Arial" w:hAnsi="Arial" w:cs="Arial"/>
          <w:sz w:val="22"/>
          <w:szCs w:val="22"/>
        </w:rPr>
        <w:t xml:space="preserve"> (</w:t>
      </w:r>
      <w:hyperlink r:id="rId385" w:history="1">
        <w:r w:rsidR="00B63C1B" w:rsidRPr="00BB093B">
          <w:rPr>
            <w:rStyle w:val="Hyperlink"/>
            <w:rFonts w:ascii="Arial" w:hAnsi="Arial" w:cs="Arial"/>
            <w:sz w:val="22"/>
            <w:szCs w:val="22"/>
          </w:rPr>
          <w:t>http://www.hud.gov/promisezones</w:t>
        </w:r>
      </w:hyperlink>
      <w:r w:rsidR="00883500" w:rsidRPr="00EA59C0">
        <w:rPr>
          <w:rFonts w:ascii="Arial" w:hAnsi="Arial" w:cs="Arial"/>
          <w:sz w:val="22"/>
          <w:szCs w:val="22"/>
        </w:rPr>
        <w:t>).</w:t>
      </w:r>
      <w:r w:rsidR="00B63C1B">
        <w:rPr>
          <w:rFonts w:ascii="Arial" w:hAnsi="Arial" w:cs="Arial"/>
          <w:sz w:val="22"/>
          <w:szCs w:val="22"/>
        </w:rPr>
        <w:t xml:space="preserve"> </w:t>
      </w:r>
    </w:p>
    <w:p w:rsidR="008826BE" w:rsidRPr="00EA59C0" w:rsidRDefault="008826BE" w:rsidP="00DB00BB">
      <w:pPr>
        <w:tabs>
          <w:tab w:val="left" w:pos="0"/>
          <w:tab w:val="left" w:pos="360"/>
        </w:tabs>
        <w:rPr>
          <w:rFonts w:ascii="Arial" w:hAnsi="Arial" w:cs="Arial"/>
          <w:sz w:val="22"/>
          <w:szCs w:val="22"/>
        </w:rPr>
      </w:pPr>
    </w:p>
    <w:p w:rsidR="008826BE" w:rsidRPr="00EA59C0" w:rsidRDefault="008826BE" w:rsidP="00DB00BB">
      <w:pPr>
        <w:tabs>
          <w:tab w:val="left" w:pos="0"/>
          <w:tab w:val="left" w:pos="360"/>
        </w:tabs>
        <w:rPr>
          <w:rFonts w:ascii="Arial" w:hAnsi="Arial" w:cs="Arial"/>
          <w:sz w:val="22"/>
          <w:szCs w:val="22"/>
        </w:rPr>
      </w:pPr>
      <w:r w:rsidRPr="00EA59C0">
        <w:rPr>
          <w:rFonts w:ascii="Arial" w:hAnsi="Arial" w:cs="Arial"/>
          <w:sz w:val="22"/>
          <w:szCs w:val="22"/>
        </w:rPr>
        <w:t>Finally,</w:t>
      </w:r>
      <w:r w:rsidR="00C026A6" w:rsidRPr="00EA59C0">
        <w:rPr>
          <w:rFonts w:ascii="Arial" w:hAnsi="Arial" w:cs="Arial"/>
          <w:sz w:val="22"/>
          <w:szCs w:val="22"/>
        </w:rPr>
        <w:t xml:space="preserve"> </w:t>
      </w:r>
      <w:r w:rsidRPr="00EA59C0">
        <w:rPr>
          <w:rFonts w:ascii="Arial" w:hAnsi="Arial" w:cs="Arial"/>
          <w:sz w:val="22"/>
          <w:szCs w:val="22"/>
        </w:rPr>
        <w:t>applicants</w:t>
      </w:r>
      <w:r w:rsidR="00C026A6" w:rsidRPr="00EA59C0">
        <w:rPr>
          <w:rFonts w:ascii="Arial" w:hAnsi="Arial" w:cs="Arial"/>
          <w:sz w:val="22"/>
          <w:szCs w:val="22"/>
        </w:rPr>
        <w:t xml:space="preserve"> </w:t>
      </w:r>
      <w:r w:rsidRPr="00EA59C0">
        <w:rPr>
          <w:rFonts w:ascii="Arial" w:hAnsi="Arial" w:cs="Arial"/>
          <w:sz w:val="22"/>
          <w:szCs w:val="22"/>
        </w:rPr>
        <w:t>should</w:t>
      </w:r>
      <w:r w:rsidR="00C026A6" w:rsidRPr="00EA59C0">
        <w:rPr>
          <w:rFonts w:ascii="Arial" w:hAnsi="Arial" w:cs="Arial"/>
          <w:sz w:val="22"/>
          <w:szCs w:val="22"/>
        </w:rPr>
        <w:t xml:space="preserve"> </w:t>
      </w:r>
      <w:r w:rsidRPr="00EA59C0">
        <w:rPr>
          <w:rFonts w:ascii="Arial" w:hAnsi="Arial" w:cs="Arial"/>
          <w:sz w:val="22"/>
          <w:szCs w:val="22"/>
        </w:rPr>
        <w:t>consider</w:t>
      </w:r>
      <w:r w:rsidR="00C026A6" w:rsidRPr="00EA59C0">
        <w:rPr>
          <w:rFonts w:ascii="Arial" w:hAnsi="Arial" w:cs="Arial"/>
          <w:sz w:val="22"/>
          <w:szCs w:val="22"/>
        </w:rPr>
        <w:t xml:space="preserve"> </w:t>
      </w:r>
      <w:r w:rsidRPr="00EA59C0">
        <w:rPr>
          <w:rFonts w:ascii="Arial" w:hAnsi="Arial" w:cs="Arial"/>
          <w:sz w:val="22"/>
          <w:szCs w:val="22"/>
        </w:rPr>
        <w:t>alignment</w:t>
      </w:r>
      <w:r w:rsidR="00C026A6" w:rsidRPr="00EA59C0">
        <w:rPr>
          <w:rFonts w:ascii="Arial" w:hAnsi="Arial" w:cs="Arial"/>
          <w:sz w:val="22"/>
          <w:szCs w:val="22"/>
        </w:rPr>
        <w:t xml:space="preserve"> </w:t>
      </w:r>
      <w:r w:rsidRPr="00EA59C0">
        <w:rPr>
          <w:rFonts w:ascii="Arial" w:hAnsi="Arial" w:cs="Arial"/>
          <w:sz w:val="22"/>
          <w:szCs w:val="22"/>
        </w:rPr>
        <w:t>with</w:t>
      </w:r>
      <w:r w:rsidR="00C026A6" w:rsidRPr="00EA59C0">
        <w:rPr>
          <w:rFonts w:ascii="Arial" w:hAnsi="Arial" w:cs="Arial"/>
          <w:sz w:val="22"/>
          <w:szCs w:val="22"/>
        </w:rPr>
        <w:t xml:space="preserve"> </w:t>
      </w:r>
      <w:r w:rsidRPr="00EA59C0">
        <w:rPr>
          <w:rFonts w:ascii="Arial" w:hAnsi="Arial" w:cs="Arial"/>
          <w:sz w:val="22"/>
          <w:szCs w:val="22"/>
        </w:rPr>
        <w:t>systems</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higher</w:t>
      </w:r>
      <w:r w:rsidR="00C026A6" w:rsidRPr="00EA59C0">
        <w:rPr>
          <w:rFonts w:ascii="Arial" w:hAnsi="Arial" w:cs="Arial"/>
          <w:sz w:val="22"/>
          <w:szCs w:val="22"/>
        </w:rPr>
        <w:t xml:space="preserve"> </w:t>
      </w:r>
      <w:r w:rsidRPr="00EA59C0">
        <w:rPr>
          <w:rFonts w:ascii="Arial" w:hAnsi="Arial" w:cs="Arial"/>
          <w:sz w:val="22"/>
          <w:szCs w:val="22"/>
        </w:rPr>
        <w:t>education,</w:t>
      </w:r>
      <w:r w:rsidR="00C026A6" w:rsidRPr="00EA59C0">
        <w:rPr>
          <w:rFonts w:ascii="Arial" w:hAnsi="Arial" w:cs="Arial"/>
          <w:sz w:val="22"/>
          <w:szCs w:val="22"/>
        </w:rPr>
        <w:t xml:space="preserve"> </w:t>
      </w:r>
      <w:r w:rsidRPr="00EA59C0">
        <w:rPr>
          <w:rFonts w:ascii="Arial" w:hAnsi="Arial" w:cs="Arial"/>
          <w:sz w:val="22"/>
          <w:szCs w:val="22"/>
        </w:rPr>
        <w:t>workforce</w:t>
      </w:r>
      <w:r w:rsidR="00C026A6" w:rsidRPr="00EA59C0">
        <w:rPr>
          <w:rFonts w:ascii="Arial" w:hAnsi="Arial" w:cs="Arial"/>
          <w:sz w:val="22"/>
          <w:szCs w:val="22"/>
        </w:rPr>
        <w:t xml:space="preserve"> </w:t>
      </w:r>
      <w:r w:rsidRPr="00EA59C0">
        <w:rPr>
          <w:rFonts w:ascii="Arial" w:hAnsi="Arial" w:cs="Arial"/>
          <w:sz w:val="22"/>
          <w:szCs w:val="22"/>
        </w:rPr>
        <w:t>development,</w:t>
      </w:r>
      <w:r w:rsidR="00C026A6" w:rsidRPr="00EA59C0">
        <w:rPr>
          <w:rFonts w:ascii="Arial" w:hAnsi="Arial" w:cs="Arial"/>
          <w:sz w:val="22"/>
          <w:szCs w:val="22"/>
        </w:rPr>
        <w:t xml:space="preserve"> </w:t>
      </w:r>
      <w:r w:rsidRPr="00EA59C0">
        <w:rPr>
          <w:rFonts w:ascii="Arial" w:hAnsi="Arial" w:cs="Arial"/>
          <w:sz w:val="22"/>
          <w:szCs w:val="22"/>
        </w:rPr>
        <w:t>career</w:t>
      </w:r>
      <w:r w:rsidR="00C026A6" w:rsidRPr="00EA59C0">
        <w:rPr>
          <w:rFonts w:ascii="Arial" w:hAnsi="Arial" w:cs="Arial"/>
          <w:sz w:val="22"/>
          <w:szCs w:val="22"/>
        </w:rPr>
        <w:t xml:space="preserve"> </w:t>
      </w:r>
      <w:r w:rsidRPr="00EA59C0">
        <w:rPr>
          <w:rFonts w:ascii="Arial" w:hAnsi="Arial" w:cs="Arial"/>
          <w:sz w:val="22"/>
          <w:szCs w:val="22"/>
        </w:rPr>
        <w:t>technical</w:t>
      </w:r>
      <w:r w:rsidR="00C026A6" w:rsidRPr="00EA59C0">
        <w:rPr>
          <w:rFonts w:ascii="Arial" w:hAnsi="Arial" w:cs="Arial"/>
          <w:sz w:val="22"/>
          <w:szCs w:val="22"/>
        </w:rPr>
        <w:t xml:space="preserve"> </w:t>
      </w:r>
      <w:r w:rsidRPr="00EA59C0">
        <w:rPr>
          <w:rFonts w:ascii="Arial" w:hAnsi="Arial" w:cs="Arial"/>
          <w:sz w:val="22"/>
          <w:szCs w:val="22"/>
        </w:rPr>
        <w:t>education,</w:t>
      </w:r>
      <w:r w:rsidR="00C026A6" w:rsidRPr="00EA59C0">
        <w:rPr>
          <w:rFonts w:ascii="Arial" w:hAnsi="Arial" w:cs="Arial"/>
          <w:sz w:val="22"/>
          <w:szCs w:val="22"/>
        </w:rPr>
        <w:t xml:space="preserve"> </w:t>
      </w:r>
      <w:r w:rsidRPr="00EA59C0">
        <w:rPr>
          <w:rFonts w:ascii="Arial" w:hAnsi="Arial" w:cs="Arial"/>
          <w:sz w:val="22"/>
          <w:szCs w:val="22"/>
        </w:rPr>
        <w:t>adult</w:t>
      </w:r>
      <w:r w:rsidR="00C026A6" w:rsidRPr="00EA59C0">
        <w:rPr>
          <w:rFonts w:ascii="Arial" w:hAnsi="Arial" w:cs="Arial"/>
          <w:sz w:val="22"/>
          <w:szCs w:val="22"/>
        </w:rPr>
        <w:t xml:space="preserve"> </w:t>
      </w:r>
      <w:r w:rsidRPr="00EA59C0">
        <w:rPr>
          <w:rFonts w:ascii="Arial" w:hAnsi="Arial" w:cs="Arial"/>
          <w:sz w:val="22"/>
          <w:szCs w:val="22"/>
        </w:rPr>
        <w:t>education,</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Registered</w:t>
      </w:r>
      <w:r w:rsidR="00C026A6" w:rsidRPr="00EA59C0">
        <w:rPr>
          <w:rFonts w:ascii="Arial" w:hAnsi="Arial" w:cs="Arial"/>
          <w:sz w:val="22"/>
          <w:szCs w:val="22"/>
        </w:rPr>
        <w:t xml:space="preserve"> </w:t>
      </w:r>
      <w:r w:rsidRPr="00EA59C0">
        <w:rPr>
          <w:rFonts w:ascii="Arial" w:hAnsi="Arial" w:cs="Arial"/>
          <w:sz w:val="22"/>
          <w:szCs w:val="22"/>
        </w:rPr>
        <w:t>Apprenticeship</w:t>
      </w:r>
      <w:r w:rsidR="00C026A6" w:rsidRPr="00EA59C0">
        <w:rPr>
          <w:rFonts w:ascii="Arial" w:hAnsi="Arial" w:cs="Arial"/>
          <w:sz w:val="22"/>
          <w:szCs w:val="22"/>
        </w:rPr>
        <w:t xml:space="preserve"> </w:t>
      </w:r>
      <w:r w:rsidRPr="00EA59C0">
        <w:rPr>
          <w:rFonts w:ascii="Arial" w:hAnsi="Arial" w:cs="Arial"/>
          <w:sz w:val="22"/>
          <w:szCs w:val="22"/>
        </w:rPr>
        <w:t>in</w:t>
      </w:r>
      <w:r w:rsidR="00C026A6" w:rsidRPr="00EA59C0">
        <w:rPr>
          <w:rFonts w:ascii="Arial" w:hAnsi="Arial" w:cs="Arial"/>
          <w:sz w:val="22"/>
          <w:szCs w:val="22"/>
        </w:rPr>
        <w:t xml:space="preserve"> </w:t>
      </w:r>
      <w:r w:rsidRPr="00EA59C0">
        <w:rPr>
          <w:rFonts w:ascii="Arial" w:hAnsi="Arial" w:cs="Arial"/>
          <w:sz w:val="22"/>
          <w:szCs w:val="22"/>
        </w:rPr>
        <w:t>an</w:t>
      </w:r>
      <w:r w:rsidR="00C026A6" w:rsidRPr="00EA59C0">
        <w:rPr>
          <w:rFonts w:ascii="Arial" w:hAnsi="Arial" w:cs="Arial"/>
          <w:sz w:val="22"/>
          <w:szCs w:val="22"/>
        </w:rPr>
        <w:t xml:space="preserve"> </w:t>
      </w:r>
      <w:r w:rsidRPr="00EA59C0">
        <w:rPr>
          <w:rFonts w:ascii="Arial" w:hAnsi="Arial" w:cs="Arial"/>
          <w:sz w:val="22"/>
          <w:szCs w:val="22"/>
        </w:rPr>
        <w:t>effort</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support</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development</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sustainable</w:t>
      </w:r>
      <w:r w:rsidR="00C026A6" w:rsidRPr="00EA59C0">
        <w:rPr>
          <w:rFonts w:ascii="Arial" w:hAnsi="Arial" w:cs="Arial"/>
          <w:sz w:val="22"/>
          <w:szCs w:val="22"/>
        </w:rPr>
        <w:t xml:space="preserve"> </w:t>
      </w:r>
      <w:r w:rsidRPr="00EA59C0">
        <w:rPr>
          <w:rFonts w:ascii="Arial" w:hAnsi="Arial" w:cs="Arial"/>
          <w:sz w:val="22"/>
          <w:szCs w:val="22"/>
        </w:rPr>
        <w:t>career</w:t>
      </w:r>
      <w:r w:rsidR="00C026A6" w:rsidRPr="00EA59C0">
        <w:rPr>
          <w:rFonts w:ascii="Arial" w:hAnsi="Arial" w:cs="Arial"/>
          <w:sz w:val="22"/>
          <w:szCs w:val="22"/>
        </w:rPr>
        <w:t xml:space="preserve"> </w:t>
      </w:r>
      <w:r w:rsidRPr="00EA59C0">
        <w:rPr>
          <w:rFonts w:ascii="Arial" w:hAnsi="Arial" w:cs="Arial"/>
          <w:sz w:val="22"/>
          <w:szCs w:val="22"/>
        </w:rPr>
        <w:t>pathways.</w:t>
      </w:r>
    </w:p>
    <w:p w:rsidR="008826BE" w:rsidRPr="00EA59C0" w:rsidRDefault="008826BE" w:rsidP="00DB00BB">
      <w:pPr>
        <w:spacing w:after="120"/>
        <w:rPr>
          <w:rFonts w:ascii="Arial" w:hAnsi="Arial" w:cs="Arial"/>
          <w:sz w:val="22"/>
          <w:szCs w:val="22"/>
        </w:rPr>
      </w:pPr>
      <w:r w:rsidRPr="00EA59C0">
        <w:rPr>
          <w:rFonts w:ascii="Arial" w:hAnsi="Arial" w:cs="Arial"/>
          <w:sz w:val="22"/>
          <w:szCs w:val="22"/>
        </w:rPr>
        <w:br w:type="page"/>
      </w:r>
    </w:p>
    <w:tbl>
      <w:tblPr>
        <w:tblW w:w="10275" w:type="dxa"/>
        <w:jc w:val="center"/>
        <w:tblLook w:val="04A0" w:firstRow="1" w:lastRow="0" w:firstColumn="1" w:lastColumn="0" w:noHBand="0" w:noVBand="1"/>
      </w:tblPr>
      <w:tblGrid>
        <w:gridCol w:w="1275"/>
        <w:gridCol w:w="490"/>
        <w:gridCol w:w="1123"/>
        <w:gridCol w:w="1627"/>
        <w:gridCol w:w="1440"/>
        <w:gridCol w:w="1440"/>
        <w:gridCol w:w="1440"/>
        <w:gridCol w:w="1440"/>
      </w:tblGrid>
      <w:tr w:rsidR="00EA59C0" w:rsidRPr="00EA59C0" w:rsidTr="00C4770D">
        <w:trPr>
          <w:trHeight w:val="255"/>
          <w:jc w:val="center"/>
        </w:trPr>
        <w:tc>
          <w:tcPr>
            <w:tcW w:w="10275" w:type="dxa"/>
            <w:gridSpan w:val="8"/>
            <w:shd w:val="clear" w:color="auto" w:fill="auto"/>
            <w:noWrap/>
            <w:vAlign w:val="center"/>
            <w:hideMark/>
          </w:tcPr>
          <w:p w:rsidR="008826BE" w:rsidRPr="00EA59C0" w:rsidRDefault="008826BE" w:rsidP="00D9326C">
            <w:pPr>
              <w:rPr>
                <w:rFonts w:ascii="Arial" w:hAnsi="Arial" w:cs="Arial"/>
                <w:b/>
                <w:bCs/>
                <w:szCs w:val="20"/>
              </w:rPr>
            </w:pPr>
            <w:r w:rsidRPr="00EA59C0">
              <w:rPr>
                <w:rFonts w:ascii="Arial" w:hAnsi="Arial" w:cs="Arial"/>
                <w:b/>
                <w:bCs/>
                <w:sz w:val="22"/>
                <w:szCs w:val="20"/>
              </w:rPr>
              <w:t>Appendix</w:t>
            </w:r>
            <w:r w:rsidR="00C026A6" w:rsidRPr="00EA59C0">
              <w:rPr>
                <w:rFonts w:ascii="Arial" w:hAnsi="Arial" w:cs="Arial"/>
                <w:b/>
                <w:bCs/>
                <w:sz w:val="22"/>
                <w:szCs w:val="20"/>
              </w:rPr>
              <w:t xml:space="preserve"> </w:t>
            </w:r>
            <w:r w:rsidR="00D9326C" w:rsidRPr="00EA59C0">
              <w:rPr>
                <w:rFonts w:ascii="Arial" w:hAnsi="Arial" w:cs="Arial"/>
                <w:b/>
                <w:bCs/>
                <w:sz w:val="22"/>
                <w:szCs w:val="20"/>
              </w:rPr>
              <w:t>K</w:t>
            </w:r>
            <w:r w:rsidRPr="00EA59C0">
              <w:rPr>
                <w:rFonts w:ascii="Arial" w:hAnsi="Arial" w:cs="Arial"/>
                <w:b/>
                <w:bCs/>
                <w:sz w:val="22"/>
                <w:szCs w:val="20"/>
              </w:rPr>
              <w:t>:</w:t>
            </w:r>
            <w:r w:rsidR="00C026A6" w:rsidRPr="00EA59C0">
              <w:rPr>
                <w:rFonts w:ascii="Arial" w:hAnsi="Arial" w:cs="Arial"/>
                <w:b/>
                <w:bCs/>
                <w:sz w:val="22"/>
                <w:szCs w:val="20"/>
              </w:rPr>
              <w:t xml:space="preserve">  </w:t>
            </w:r>
            <w:r w:rsidR="00AB37DB" w:rsidRPr="00EA59C0">
              <w:rPr>
                <w:rFonts w:ascii="Arial" w:hAnsi="Arial" w:cs="Arial"/>
                <w:b/>
                <w:bCs/>
                <w:sz w:val="22"/>
                <w:szCs w:val="20"/>
              </w:rPr>
              <w:t>Sample</w:t>
            </w:r>
            <w:r w:rsidR="00C026A6" w:rsidRPr="00EA59C0">
              <w:rPr>
                <w:rFonts w:ascii="Arial" w:hAnsi="Arial" w:cs="Arial"/>
                <w:b/>
                <w:bCs/>
                <w:sz w:val="22"/>
                <w:szCs w:val="20"/>
              </w:rPr>
              <w:t xml:space="preserve"> </w:t>
            </w:r>
            <w:r w:rsidRPr="00EA59C0">
              <w:rPr>
                <w:rFonts w:ascii="Arial" w:hAnsi="Arial" w:cs="Arial"/>
                <w:b/>
                <w:bCs/>
                <w:sz w:val="22"/>
                <w:szCs w:val="20"/>
              </w:rPr>
              <w:t>Project</w:t>
            </w:r>
            <w:r w:rsidR="00C026A6" w:rsidRPr="00EA59C0">
              <w:rPr>
                <w:rFonts w:ascii="Arial" w:hAnsi="Arial" w:cs="Arial"/>
                <w:b/>
                <w:bCs/>
                <w:sz w:val="22"/>
                <w:szCs w:val="20"/>
              </w:rPr>
              <w:t xml:space="preserve"> </w:t>
            </w:r>
            <w:r w:rsidRPr="00EA59C0">
              <w:rPr>
                <w:rFonts w:ascii="Arial" w:hAnsi="Arial" w:cs="Arial"/>
                <w:b/>
                <w:bCs/>
                <w:sz w:val="22"/>
                <w:szCs w:val="20"/>
              </w:rPr>
              <w:t>Work</w:t>
            </w:r>
            <w:r w:rsidR="00C026A6" w:rsidRPr="00EA59C0">
              <w:rPr>
                <w:rFonts w:ascii="Arial" w:hAnsi="Arial" w:cs="Arial"/>
                <w:b/>
                <w:bCs/>
                <w:sz w:val="22"/>
                <w:szCs w:val="20"/>
              </w:rPr>
              <w:t xml:space="preserve"> </w:t>
            </w:r>
            <w:r w:rsidRPr="00EA59C0">
              <w:rPr>
                <w:rFonts w:ascii="Arial" w:hAnsi="Arial" w:cs="Arial"/>
                <w:b/>
                <w:bCs/>
                <w:sz w:val="22"/>
                <w:szCs w:val="20"/>
              </w:rPr>
              <w:t>Plan</w:t>
            </w:r>
            <w:r w:rsidR="00C026A6" w:rsidRPr="00EA59C0">
              <w:rPr>
                <w:rFonts w:ascii="Arial" w:hAnsi="Arial" w:cs="Arial"/>
                <w:b/>
                <w:bCs/>
                <w:sz w:val="22"/>
                <w:szCs w:val="20"/>
              </w:rPr>
              <w:t xml:space="preserve"> </w:t>
            </w:r>
            <w:r w:rsidRPr="00EA59C0">
              <w:rPr>
                <w:rFonts w:ascii="Arial" w:hAnsi="Arial" w:cs="Arial"/>
                <w:b/>
                <w:bCs/>
                <w:sz w:val="22"/>
                <w:szCs w:val="20"/>
              </w:rPr>
              <w:t>Format</w:t>
            </w:r>
            <w:r w:rsidR="00C026A6" w:rsidRPr="00EA59C0">
              <w:rPr>
                <w:rFonts w:ascii="Arial" w:hAnsi="Arial" w:cs="Arial"/>
                <w:b/>
                <w:bCs/>
                <w:sz w:val="22"/>
                <w:szCs w:val="20"/>
              </w:rPr>
              <w:t xml:space="preserve"> </w:t>
            </w:r>
          </w:p>
        </w:tc>
      </w:tr>
      <w:tr w:rsidR="00EA59C0" w:rsidRPr="00EA59C0" w:rsidTr="00C4770D">
        <w:trPr>
          <w:trHeight w:val="240"/>
          <w:jc w:val="center"/>
        </w:trPr>
        <w:tc>
          <w:tcPr>
            <w:tcW w:w="1765" w:type="dxa"/>
            <w:gridSpan w:val="2"/>
            <w:tcBorders>
              <w:top w:val="nil"/>
              <w:bottom w:val="nil"/>
              <w:right w:val="nil"/>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123" w:type="dxa"/>
            <w:tcBorders>
              <w:top w:val="nil"/>
              <w:left w:val="nil"/>
              <w:bottom w:val="nil"/>
              <w:right w:val="nil"/>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27" w:type="dxa"/>
            <w:tcBorders>
              <w:top w:val="nil"/>
              <w:left w:val="nil"/>
              <w:bottom w:val="nil"/>
              <w:right w:val="nil"/>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nil"/>
              <w:right w:val="nil"/>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nil"/>
              <w:right w:val="nil"/>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nil"/>
              <w:right w:val="nil"/>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nil"/>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r>
      <w:tr w:rsidR="00EA59C0" w:rsidRPr="00EA59C0" w:rsidTr="00C4770D">
        <w:trPr>
          <w:trHeight w:val="240"/>
          <w:jc w:val="center"/>
        </w:trPr>
        <w:tc>
          <w:tcPr>
            <w:tcW w:w="4515" w:type="dxa"/>
            <w:gridSpan w:val="4"/>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8826BE" w:rsidRPr="00EA59C0" w:rsidRDefault="008826BE" w:rsidP="00DB00BB">
            <w:pPr>
              <w:jc w:val="right"/>
              <w:rPr>
                <w:rFonts w:ascii="Calibri" w:hAnsi="Calibri"/>
                <w:b/>
                <w:bCs/>
                <w:sz w:val="18"/>
                <w:szCs w:val="18"/>
              </w:rPr>
            </w:pPr>
            <w:r w:rsidRPr="00EA59C0">
              <w:rPr>
                <w:rFonts w:ascii="Calibri" w:hAnsi="Calibri"/>
                <w:b/>
                <w:bCs/>
                <w:sz w:val="18"/>
                <w:szCs w:val="18"/>
              </w:rPr>
              <w:t>PROGRAM</w:t>
            </w:r>
            <w:r w:rsidR="00C026A6" w:rsidRPr="00EA59C0">
              <w:rPr>
                <w:rFonts w:ascii="Calibri" w:hAnsi="Calibri"/>
                <w:b/>
                <w:bCs/>
                <w:sz w:val="18"/>
                <w:szCs w:val="18"/>
              </w:rPr>
              <w:t xml:space="preserve"> </w:t>
            </w:r>
            <w:r w:rsidRPr="00EA59C0">
              <w:rPr>
                <w:rFonts w:ascii="Calibri" w:hAnsi="Calibri"/>
                <w:b/>
                <w:bCs/>
                <w:sz w:val="18"/>
                <w:szCs w:val="18"/>
              </w:rPr>
              <w:t>OF</w:t>
            </w:r>
            <w:r w:rsidR="00C026A6" w:rsidRPr="00EA59C0">
              <w:rPr>
                <w:rFonts w:ascii="Calibri" w:hAnsi="Calibri"/>
                <w:b/>
                <w:bCs/>
                <w:sz w:val="18"/>
                <w:szCs w:val="18"/>
              </w:rPr>
              <w:t xml:space="preserve"> </w:t>
            </w:r>
            <w:r w:rsidRPr="00EA59C0">
              <w:rPr>
                <w:rFonts w:ascii="Calibri" w:hAnsi="Calibri"/>
                <w:b/>
                <w:bCs/>
                <w:sz w:val="18"/>
                <w:szCs w:val="18"/>
              </w:rPr>
              <w:t>STUDY</w:t>
            </w:r>
            <w:r w:rsidR="00C026A6" w:rsidRPr="00EA59C0">
              <w:rPr>
                <w:rFonts w:ascii="Calibri" w:hAnsi="Calibri"/>
                <w:b/>
                <w:bCs/>
                <w:sz w:val="18"/>
                <w:szCs w:val="18"/>
              </w:rPr>
              <w:t xml:space="preserve"> </w:t>
            </w:r>
            <w:r w:rsidRPr="00EA59C0">
              <w:rPr>
                <w:rFonts w:ascii="Calibri" w:hAnsi="Calibri"/>
                <w:b/>
                <w:bCs/>
                <w:sz w:val="18"/>
                <w:szCs w:val="18"/>
              </w:rPr>
              <w:t>or</w:t>
            </w:r>
            <w:r w:rsidR="00C026A6" w:rsidRPr="00EA59C0">
              <w:rPr>
                <w:rFonts w:ascii="Calibri" w:hAnsi="Calibri"/>
                <w:b/>
                <w:bCs/>
                <w:sz w:val="18"/>
                <w:szCs w:val="18"/>
              </w:rPr>
              <w:t xml:space="preserve"> </w:t>
            </w:r>
            <w:r w:rsidRPr="00EA59C0">
              <w:rPr>
                <w:rFonts w:ascii="Calibri" w:hAnsi="Calibri"/>
                <w:b/>
                <w:bCs/>
                <w:sz w:val="18"/>
                <w:szCs w:val="18"/>
              </w:rPr>
              <w:t>OTHER</w:t>
            </w:r>
            <w:r w:rsidR="00C026A6" w:rsidRPr="00EA59C0">
              <w:rPr>
                <w:rFonts w:ascii="Calibri" w:hAnsi="Calibri"/>
                <w:b/>
                <w:bCs/>
                <w:sz w:val="18"/>
                <w:szCs w:val="18"/>
              </w:rPr>
              <w:t xml:space="preserve"> </w:t>
            </w:r>
            <w:r w:rsidRPr="00EA59C0">
              <w:rPr>
                <w:rFonts w:ascii="Calibri" w:hAnsi="Calibri"/>
                <w:b/>
                <w:bCs/>
                <w:sz w:val="18"/>
                <w:szCs w:val="18"/>
              </w:rPr>
              <w:t>ACTIVITY:</w:t>
            </w:r>
            <w:r w:rsidR="00C026A6" w:rsidRPr="00EA59C0">
              <w:rPr>
                <w:rFonts w:ascii="Calibri" w:hAnsi="Calibri"/>
                <w:b/>
                <w:bCs/>
                <w:sz w:val="18"/>
                <w:szCs w:val="18"/>
              </w:rPr>
              <w:t xml:space="preserve"> </w:t>
            </w:r>
          </w:p>
        </w:tc>
        <w:tc>
          <w:tcPr>
            <w:tcW w:w="1440" w:type="dxa"/>
            <w:tcBorders>
              <w:top w:val="single" w:sz="4" w:space="0" w:color="auto"/>
              <w:left w:val="nil"/>
              <w:bottom w:val="single" w:sz="4" w:space="0" w:color="auto"/>
              <w:right w:val="nil"/>
            </w:tcBorders>
            <w:shd w:val="clear" w:color="auto" w:fill="auto"/>
            <w:noWrap/>
            <w:vAlign w:val="center"/>
            <w:hideMark/>
          </w:tcPr>
          <w:p w:rsidR="008826BE" w:rsidRPr="00EA59C0" w:rsidRDefault="00C026A6" w:rsidP="00DB00BB">
            <w:pPr>
              <w:jc w:val="right"/>
              <w:rPr>
                <w:rFonts w:ascii="Calibri" w:hAnsi="Calibri"/>
                <w:b/>
                <w:bCs/>
                <w:sz w:val="18"/>
                <w:szCs w:val="18"/>
              </w:rPr>
            </w:pPr>
            <w:r w:rsidRPr="00EA59C0">
              <w:rPr>
                <w:rFonts w:ascii="Calibri" w:hAnsi="Calibri"/>
                <w:b/>
                <w:bCs/>
                <w:sz w:val="18"/>
                <w:szCs w:val="18"/>
              </w:rPr>
              <w:t xml:space="preserve"> </w:t>
            </w:r>
          </w:p>
        </w:tc>
        <w:tc>
          <w:tcPr>
            <w:tcW w:w="1440" w:type="dxa"/>
            <w:tcBorders>
              <w:top w:val="single" w:sz="4" w:space="0" w:color="auto"/>
              <w:left w:val="nil"/>
              <w:bottom w:val="single" w:sz="4" w:space="0" w:color="auto"/>
              <w:right w:val="nil"/>
            </w:tcBorders>
            <w:shd w:val="clear" w:color="auto" w:fill="auto"/>
            <w:noWrap/>
            <w:vAlign w:val="center"/>
            <w:hideMark/>
          </w:tcPr>
          <w:p w:rsidR="008826BE" w:rsidRPr="00EA59C0" w:rsidRDefault="00C026A6" w:rsidP="00DB00BB">
            <w:pPr>
              <w:rPr>
                <w:rFonts w:ascii="Calibri" w:hAnsi="Calibri"/>
                <w:b/>
                <w:bCs/>
                <w:sz w:val="18"/>
                <w:szCs w:val="18"/>
              </w:rPr>
            </w:pPr>
            <w:r w:rsidRPr="00EA59C0">
              <w:rPr>
                <w:rFonts w:ascii="Calibri" w:hAnsi="Calibri"/>
                <w:b/>
                <w:bCs/>
                <w:sz w:val="18"/>
                <w:szCs w:val="18"/>
              </w:rPr>
              <w:t xml:space="preserve"> </w:t>
            </w:r>
          </w:p>
        </w:tc>
        <w:tc>
          <w:tcPr>
            <w:tcW w:w="1440" w:type="dxa"/>
            <w:tcBorders>
              <w:top w:val="single" w:sz="4" w:space="0" w:color="auto"/>
              <w:left w:val="nil"/>
              <w:bottom w:val="single" w:sz="4" w:space="0" w:color="auto"/>
              <w:right w:val="nil"/>
            </w:tcBorders>
            <w:shd w:val="clear" w:color="auto" w:fill="auto"/>
            <w:noWrap/>
            <w:vAlign w:val="center"/>
            <w:hideMark/>
          </w:tcPr>
          <w:p w:rsidR="008826BE" w:rsidRPr="00EA59C0" w:rsidRDefault="00C026A6" w:rsidP="00DB00BB">
            <w:pPr>
              <w:rPr>
                <w:rFonts w:ascii="Calibri" w:hAnsi="Calibri"/>
                <w:b/>
                <w:bCs/>
                <w:sz w:val="18"/>
                <w:szCs w:val="18"/>
              </w:rPr>
            </w:pPr>
            <w:r w:rsidRPr="00EA59C0">
              <w:rPr>
                <w:rFonts w:ascii="Calibri" w:hAnsi="Calibri"/>
                <w:b/>
                <w:bCs/>
                <w:sz w:val="18"/>
                <w:szCs w:val="18"/>
              </w:rPr>
              <w:t xml:space="preserve">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8826BE" w:rsidRPr="00EA59C0" w:rsidRDefault="00C026A6" w:rsidP="00DB00BB">
            <w:pPr>
              <w:rPr>
                <w:rFonts w:ascii="Calibri" w:hAnsi="Calibri"/>
                <w:b/>
                <w:bCs/>
                <w:sz w:val="18"/>
                <w:szCs w:val="18"/>
              </w:rPr>
            </w:pPr>
            <w:r w:rsidRPr="00EA59C0">
              <w:rPr>
                <w:rFonts w:ascii="Calibri" w:hAnsi="Calibri"/>
                <w:b/>
                <w:bCs/>
                <w:sz w:val="18"/>
                <w:szCs w:val="18"/>
              </w:rPr>
              <w:t xml:space="preserve"> </w:t>
            </w:r>
          </w:p>
        </w:tc>
      </w:tr>
      <w:tr w:rsidR="00EA59C0" w:rsidRPr="00EA59C0" w:rsidTr="00C4770D">
        <w:trPr>
          <w:trHeight w:val="404"/>
          <w:jc w:val="center"/>
        </w:trPr>
        <w:tc>
          <w:tcPr>
            <w:tcW w:w="1275" w:type="dxa"/>
            <w:tcBorders>
              <w:top w:val="nil"/>
              <w:left w:val="single" w:sz="4" w:space="0" w:color="auto"/>
              <w:bottom w:val="single" w:sz="4" w:space="0" w:color="auto"/>
              <w:right w:val="nil"/>
            </w:tcBorders>
            <w:shd w:val="clear" w:color="000000" w:fill="D8D8D8"/>
            <w:noWrap/>
            <w:vAlign w:val="center"/>
            <w:hideMark/>
          </w:tcPr>
          <w:p w:rsidR="008826BE" w:rsidRPr="00EA59C0" w:rsidRDefault="00C026A6" w:rsidP="00DB00BB">
            <w:pPr>
              <w:rPr>
                <w:rFonts w:ascii="Calibri" w:hAnsi="Calibri"/>
                <w:b/>
                <w:bCs/>
                <w:sz w:val="18"/>
                <w:szCs w:val="18"/>
              </w:rPr>
            </w:pPr>
            <w:r w:rsidRPr="00EA59C0">
              <w:rPr>
                <w:rFonts w:ascii="Calibri" w:hAnsi="Calibri"/>
                <w:b/>
                <w:bCs/>
                <w:sz w:val="18"/>
                <w:szCs w:val="18"/>
              </w:rPr>
              <w:t xml:space="preserve"> </w:t>
            </w:r>
          </w:p>
        </w:tc>
        <w:tc>
          <w:tcPr>
            <w:tcW w:w="1613" w:type="dxa"/>
            <w:gridSpan w:val="2"/>
            <w:tcBorders>
              <w:top w:val="nil"/>
              <w:left w:val="single" w:sz="4" w:space="0" w:color="auto"/>
              <w:bottom w:val="single" w:sz="4" w:space="0" w:color="auto"/>
              <w:right w:val="single" w:sz="4" w:space="0" w:color="auto"/>
            </w:tcBorders>
            <w:shd w:val="clear" w:color="000000" w:fill="D8D8D8"/>
            <w:vAlign w:val="center"/>
            <w:hideMark/>
          </w:tcPr>
          <w:p w:rsidR="008826BE" w:rsidRPr="00EA59C0" w:rsidRDefault="00C026A6" w:rsidP="00DB00BB">
            <w:pPr>
              <w:rPr>
                <w:rFonts w:ascii="Calibri" w:hAnsi="Calibri"/>
                <w:b/>
                <w:bCs/>
                <w:sz w:val="18"/>
                <w:szCs w:val="18"/>
              </w:rPr>
            </w:pPr>
            <w:r w:rsidRPr="00EA59C0">
              <w:rPr>
                <w:rFonts w:ascii="Calibri" w:hAnsi="Calibri"/>
                <w:b/>
                <w:bCs/>
                <w:sz w:val="18"/>
                <w:szCs w:val="18"/>
              </w:rPr>
              <w:t xml:space="preserve"> </w:t>
            </w:r>
          </w:p>
        </w:tc>
        <w:tc>
          <w:tcPr>
            <w:tcW w:w="1627" w:type="dxa"/>
            <w:tcBorders>
              <w:top w:val="nil"/>
              <w:left w:val="nil"/>
              <w:bottom w:val="single" w:sz="4" w:space="0" w:color="auto"/>
              <w:right w:val="single" w:sz="4" w:space="0" w:color="auto"/>
            </w:tcBorders>
            <w:shd w:val="clear" w:color="000000" w:fill="D8D8D8"/>
            <w:vAlign w:val="center"/>
            <w:hideMark/>
          </w:tcPr>
          <w:p w:rsidR="008826BE" w:rsidRPr="00EA59C0" w:rsidRDefault="008826BE" w:rsidP="00DB00BB">
            <w:pPr>
              <w:jc w:val="both"/>
              <w:rPr>
                <w:rFonts w:ascii="Calibri" w:hAnsi="Calibri"/>
                <w:b/>
                <w:bCs/>
                <w:sz w:val="18"/>
                <w:szCs w:val="18"/>
              </w:rPr>
            </w:pPr>
            <w:r w:rsidRPr="00EA59C0">
              <w:rPr>
                <w:rFonts w:ascii="Calibri" w:hAnsi="Calibri"/>
                <w:b/>
                <w:bCs/>
                <w:sz w:val="18"/>
                <w:szCs w:val="18"/>
              </w:rPr>
              <w:t>Implementer(s)</w:t>
            </w:r>
            <w:r w:rsidR="00C026A6" w:rsidRPr="00EA59C0">
              <w:rPr>
                <w:rFonts w:ascii="Calibri" w:hAnsi="Calibri"/>
                <w:b/>
                <w:bCs/>
                <w:sz w:val="18"/>
                <w:szCs w:val="18"/>
              </w:rPr>
              <w:t xml:space="preserve"> </w:t>
            </w:r>
          </w:p>
        </w:tc>
        <w:tc>
          <w:tcPr>
            <w:tcW w:w="1440" w:type="dxa"/>
            <w:tcBorders>
              <w:top w:val="nil"/>
              <w:left w:val="nil"/>
              <w:bottom w:val="single" w:sz="4" w:space="0" w:color="auto"/>
              <w:right w:val="nil"/>
            </w:tcBorders>
            <w:shd w:val="clear" w:color="000000" w:fill="D8D8D8"/>
            <w:noWrap/>
            <w:vAlign w:val="center"/>
            <w:hideMark/>
          </w:tcPr>
          <w:p w:rsidR="008826BE" w:rsidRPr="00EA59C0" w:rsidRDefault="008826BE" w:rsidP="00DB00BB">
            <w:pPr>
              <w:rPr>
                <w:rFonts w:ascii="Calibri" w:hAnsi="Calibri"/>
                <w:b/>
                <w:bCs/>
                <w:sz w:val="18"/>
                <w:szCs w:val="18"/>
              </w:rPr>
            </w:pPr>
            <w:r w:rsidRPr="00EA59C0">
              <w:rPr>
                <w:rFonts w:ascii="Calibri" w:hAnsi="Calibri"/>
                <w:b/>
                <w:bCs/>
                <w:sz w:val="18"/>
                <w:szCs w:val="18"/>
              </w:rPr>
              <w:t>Costs</w:t>
            </w:r>
          </w:p>
        </w:tc>
        <w:tc>
          <w:tcPr>
            <w:tcW w:w="1440" w:type="dxa"/>
            <w:tcBorders>
              <w:top w:val="nil"/>
              <w:left w:val="single" w:sz="4" w:space="0" w:color="auto"/>
              <w:bottom w:val="single" w:sz="4" w:space="0" w:color="auto"/>
              <w:right w:val="single" w:sz="4" w:space="0" w:color="auto"/>
            </w:tcBorders>
            <w:shd w:val="clear" w:color="000000" w:fill="D8D8D8"/>
            <w:noWrap/>
            <w:vAlign w:val="center"/>
            <w:hideMark/>
          </w:tcPr>
          <w:p w:rsidR="008826BE" w:rsidRPr="00EA59C0" w:rsidRDefault="00C026A6" w:rsidP="00DB00BB">
            <w:pPr>
              <w:rPr>
                <w:rFonts w:ascii="Calibri" w:hAnsi="Calibri"/>
                <w:b/>
                <w:bCs/>
                <w:sz w:val="18"/>
                <w:szCs w:val="18"/>
              </w:rPr>
            </w:pPr>
            <w:r w:rsidRPr="00EA59C0">
              <w:rPr>
                <w:rFonts w:ascii="Calibri" w:hAnsi="Calibri"/>
                <w:b/>
                <w:bCs/>
                <w:sz w:val="18"/>
                <w:szCs w:val="18"/>
              </w:rPr>
              <w:t xml:space="preserve"> </w:t>
            </w:r>
          </w:p>
        </w:tc>
        <w:tc>
          <w:tcPr>
            <w:tcW w:w="1440" w:type="dxa"/>
            <w:tcBorders>
              <w:top w:val="nil"/>
              <w:left w:val="nil"/>
              <w:bottom w:val="single" w:sz="4" w:space="0" w:color="auto"/>
              <w:right w:val="nil"/>
            </w:tcBorders>
            <w:shd w:val="clear" w:color="000000" w:fill="D8D8D8"/>
            <w:noWrap/>
            <w:vAlign w:val="center"/>
            <w:hideMark/>
          </w:tcPr>
          <w:p w:rsidR="008826BE" w:rsidRPr="00EA59C0" w:rsidRDefault="008826BE" w:rsidP="00DB00BB">
            <w:pPr>
              <w:rPr>
                <w:rFonts w:ascii="Calibri" w:hAnsi="Calibri"/>
                <w:b/>
                <w:bCs/>
                <w:sz w:val="18"/>
                <w:szCs w:val="18"/>
              </w:rPr>
            </w:pPr>
            <w:r w:rsidRPr="00EA59C0">
              <w:rPr>
                <w:rFonts w:ascii="Calibri" w:hAnsi="Calibri"/>
                <w:b/>
                <w:bCs/>
                <w:sz w:val="18"/>
                <w:szCs w:val="18"/>
              </w:rPr>
              <w:t>Time</w:t>
            </w:r>
          </w:p>
        </w:tc>
        <w:tc>
          <w:tcPr>
            <w:tcW w:w="1440" w:type="dxa"/>
            <w:tcBorders>
              <w:top w:val="nil"/>
              <w:left w:val="single" w:sz="4" w:space="0" w:color="auto"/>
              <w:bottom w:val="single" w:sz="4" w:space="0" w:color="auto"/>
              <w:right w:val="single" w:sz="4" w:space="0" w:color="auto"/>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r>
      <w:tr w:rsidR="00EA59C0" w:rsidRPr="00EA59C0" w:rsidTr="00C4770D">
        <w:trPr>
          <w:trHeight w:val="240"/>
          <w:jc w:val="center"/>
        </w:trPr>
        <w:tc>
          <w:tcPr>
            <w:tcW w:w="1275" w:type="dxa"/>
            <w:tcBorders>
              <w:top w:val="nil"/>
              <w:left w:val="single" w:sz="4" w:space="0" w:color="auto"/>
              <w:bottom w:val="nil"/>
              <w:right w:val="nil"/>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Activity</w:t>
            </w:r>
            <w:r w:rsidR="00C026A6" w:rsidRPr="00EA59C0">
              <w:rPr>
                <w:rFonts w:ascii="Calibri" w:hAnsi="Calibri"/>
                <w:sz w:val="18"/>
                <w:szCs w:val="18"/>
              </w:rPr>
              <w:t xml:space="preserve"> </w:t>
            </w:r>
            <w:r w:rsidRPr="00EA59C0">
              <w:rPr>
                <w:rFonts w:ascii="Calibri" w:hAnsi="Calibri"/>
                <w:sz w:val="18"/>
                <w:szCs w:val="18"/>
              </w:rPr>
              <w:t>#1</w:t>
            </w:r>
          </w:p>
        </w:tc>
        <w:tc>
          <w:tcPr>
            <w:tcW w:w="1613" w:type="dxa"/>
            <w:gridSpan w:val="2"/>
            <w:tcBorders>
              <w:top w:val="nil"/>
              <w:left w:val="single" w:sz="4" w:space="0" w:color="auto"/>
              <w:bottom w:val="nil"/>
              <w:right w:val="single" w:sz="4" w:space="0" w:color="auto"/>
            </w:tcBorders>
            <w:shd w:val="clear" w:color="auto" w:fill="auto"/>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27" w:type="dxa"/>
            <w:tcBorders>
              <w:top w:val="nil"/>
              <w:left w:val="nil"/>
              <w:bottom w:val="nil"/>
              <w:right w:val="single" w:sz="4" w:space="0" w:color="auto"/>
            </w:tcBorders>
            <w:shd w:val="clear" w:color="auto" w:fill="auto"/>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nil"/>
              <w:right w:val="nil"/>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Strategy</w:t>
            </w:r>
            <w:r w:rsidR="00C026A6" w:rsidRPr="00EA59C0">
              <w:rPr>
                <w:rFonts w:ascii="Calibri" w:hAnsi="Calibri"/>
                <w:sz w:val="18"/>
                <w:szCs w:val="18"/>
              </w:rPr>
              <w:t xml:space="preserve"> </w:t>
            </w:r>
            <w:r w:rsidRPr="00EA59C0">
              <w:rPr>
                <w:rFonts w:ascii="Calibri" w:hAnsi="Calibri"/>
                <w:sz w:val="18"/>
                <w:szCs w:val="18"/>
              </w:rPr>
              <w:t>Total:</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Start</w:t>
            </w:r>
            <w:r w:rsidR="00C026A6" w:rsidRPr="00EA59C0">
              <w:rPr>
                <w:rFonts w:ascii="Calibri" w:hAnsi="Calibri"/>
                <w:sz w:val="18"/>
                <w:szCs w:val="18"/>
              </w:rPr>
              <w:t xml:space="preserve"> </w:t>
            </w:r>
            <w:r w:rsidRPr="00EA59C0">
              <w:rPr>
                <w:rFonts w:ascii="Calibri" w:hAnsi="Calibri"/>
                <w:sz w:val="18"/>
                <w:szCs w:val="18"/>
              </w:rPr>
              <w:t>Date:</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r>
      <w:tr w:rsidR="00EA59C0" w:rsidRPr="00EA59C0" w:rsidTr="00C4770D">
        <w:trPr>
          <w:trHeight w:val="240"/>
          <w:jc w:val="center"/>
        </w:trPr>
        <w:tc>
          <w:tcPr>
            <w:tcW w:w="1275" w:type="dxa"/>
            <w:tcBorders>
              <w:top w:val="nil"/>
              <w:left w:val="single" w:sz="4" w:space="0" w:color="auto"/>
              <w:bottom w:val="nil"/>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13" w:type="dxa"/>
            <w:gridSpan w:val="2"/>
            <w:tcBorders>
              <w:top w:val="nil"/>
              <w:left w:val="single" w:sz="4" w:space="0" w:color="auto"/>
              <w:bottom w:val="nil"/>
              <w:right w:val="single" w:sz="4" w:space="0" w:color="auto"/>
            </w:tcBorders>
            <w:shd w:val="clear" w:color="auto" w:fill="auto"/>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27" w:type="dxa"/>
            <w:tcBorders>
              <w:top w:val="nil"/>
              <w:left w:val="nil"/>
              <w:bottom w:val="nil"/>
              <w:right w:val="single" w:sz="4" w:space="0" w:color="auto"/>
            </w:tcBorders>
            <w:shd w:val="clear" w:color="auto" w:fill="auto"/>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nil"/>
              <w:right w:val="nil"/>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Equipment:</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End</w:t>
            </w:r>
            <w:r w:rsidR="00C026A6" w:rsidRPr="00EA59C0">
              <w:rPr>
                <w:rFonts w:ascii="Calibri" w:hAnsi="Calibri"/>
                <w:sz w:val="18"/>
                <w:szCs w:val="18"/>
              </w:rPr>
              <w:t xml:space="preserve"> </w:t>
            </w:r>
            <w:r w:rsidRPr="00EA59C0">
              <w:rPr>
                <w:rFonts w:ascii="Calibri" w:hAnsi="Calibri"/>
                <w:sz w:val="18"/>
                <w:szCs w:val="18"/>
              </w:rPr>
              <w:t>Date:</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r>
      <w:tr w:rsidR="00EA59C0" w:rsidRPr="00EA59C0" w:rsidTr="00C4770D">
        <w:trPr>
          <w:trHeight w:val="240"/>
          <w:jc w:val="center"/>
        </w:trPr>
        <w:tc>
          <w:tcPr>
            <w:tcW w:w="1275" w:type="dxa"/>
            <w:tcBorders>
              <w:top w:val="nil"/>
              <w:left w:val="single" w:sz="4" w:space="0" w:color="auto"/>
              <w:bottom w:val="nil"/>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13" w:type="dxa"/>
            <w:gridSpan w:val="2"/>
            <w:tcBorders>
              <w:top w:val="nil"/>
              <w:left w:val="single" w:sz="4" w:space="0" w:color="auto"/>
              <w:bottom w:val="nil"/>
              <w:right w:val="single" w:sz="4" w:space="0" w:color="auto"/>
            </w:tcBorders>
            <w:shd w:val="clear" w:color="auto" w:fill="auto"/>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27" w:type="dxa"/>
            <w:tcBorders>
              <w:top w:val="nil"/>
              <w:left w:val="nil"/>
              <w:bottom w:val="nil"/>
              <w:right w:val="single" w:sz="4" w:space="0" w:color="auto"/>
            </w:tcBorders>
            <w:shd w:val="clear" w:color="auto" w:fill="auto"/>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nil"/>
              <w:right w:val="nil"/>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Year</w:t>
            </w:r>
            <w:r w:rsidR="00C026A6" w:rsidRPr="00EA59C0">
              <w:rPr>
                <w:rFonts w:ascii="Calibri" w:hAnsi="Calibri"/>
                <w:sz w:val="18"/>
                <w:szCs w:val="18"/>
              </w:rPr>
              <w:t xml:space="preserve"> </w:t>
            </w:r>
            <w:r w:rsidRPr="00EA59C0">
              <w:rPr>
                <w:rFonts w:ascii="Calibri" w:hAnsi="Calibri"/>
                <w:sz w:val="18"/>
                <w:szCs w:val="18"/>
              </w:rPr>
              <w:t>1:</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Milestones:</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r>
      <w:tr w:rsidR="00EA59C0" w:rsidRPr="00EA59C0" w:rsidTr="00C4770D">
        <w:trPr>
          <w:trHeight w:val="240"/>
          <w:jc w:val="center"/>
        </w:trPr>
        <w:tc>
          <w:tcPr>
            <w:tcW w:w="1275" w:type="dxa"/>
            <w:tcBorders>
              <w:top w:val="nil"/>
              <w:left w:val="single" w:sz="4" w:space="0" w:color="auto"/>
              <w:bottom w:val="nil"/>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13" w:type="dxa"/>
            <w:gridSpan w:val="2"/>
            <w:tcBorders>
              <w:top w:val="nil"/>
              <w:left w:val="single" w:sz="4" w:space="0" w:color="auto"/>
              <w:bottom w:val="nil"/>
              <w:right w:val="single" w:sz="4" w:space="0" w:color="auto"/>
            </w:tcBorders>
            <w:shd w:val="clear" w:color="auto" w:fill="auto"/>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27" w:type="dxa"/>
            <w:tcBorders>
              <w:top w:val="nil"/>
              <w:left w:val="nil"/>
              <w:bottom w:val="nil"/>
              <w:right w:val="single" w:sz="4" w:space="0" w:color="auto"/>
            </w:tcBorders>
            <w:shd w:val="clear" w:color="auto" w:fill="auto"/>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nil"/>
              <w:right w:val="nil"/>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Year</w:t>
            </w:r>
            <w:r w:rsidR="00C026A6" w:rsidRPr="00EA59C0">
              <w:rPr>
                <w:rFonts w:ascii="Calibri" w:hAnsi="Calibri"/>
                <w:sz w:val="18"/>
                <w:szCs w:val="18"/>
              </w:rPr>
              <w:t xml:space="preserve"> </w:t>
            </w:r>
            <w:r w:rsidRPr="00EA59C0">
              <w:rPr>
                <w:rFonts w:ascii="Calibri" w:hAnsi="Calibri"/>
                <w:sz w:val="18"/>
                <w:szCs w:val="18"/>
              </w:rPr>
              <w:t>2:</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r>
      <w:tr w:rsidR="00EA59C0" w:rsidRPr="00EA59C0" w:rsidTr="00C4770D">
        <w:trPr>
          <w:trHeight w:val="240"/>
          <w:jc w:val="center"/>
        </w:trPr>
        <w:tc>
          <w:tcPr>
            <w:tcW w:w="1275" w:type="dxa"/>
            <w:tcBorders>
              <w:top w:val="nil"/>
              <w:left w:val="single" w:sz="4" w:space="0" w:color="auto"/>
              <w:bottom w:val="nil"/>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13" w:type="dxa"/>
            <w:gridSpan w:val="2"/>
            <w:tcBorders>
              <w:top w:val="nil"/>
              <w:left w:val="single" w:sz="4" w:space="0" w:color="auto"/>
              <w:bottom w:val="nil"/>
              <w:right w:val="single" w:sz="4" w:space="0" w:color="auto"/>
            </w:tcBorders>
            <w:shd w:val="clear" w:color="auto" w:fill="auto"/>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27" w:type="dxa"/>
            <w:tcBorders>
              <w:top w:val="nil"/>
              <w:left w:val="nil"/>
              <w:bottom w:val="nil"/>
              <w:right w:val="single" w:sz="4" w:space="0" w:color="auto"/>
            </w:tcBorders>
            <w:shd w:val="clear" w:color="auto" w:fill="auto"/>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nil"/>
              <w:right w:val="nil"/>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Year</w:t>
            </w:r>
            <w:r w:rsidR="00C026A6" w:rsidRPr="00EA59C0">
              <w:rPr>
                <w:rFonts w:ascii="Calibri" w:hAnsi="Calibri"/>
                <w:sz w:val="18"/>
                <w:szCs w:val="18"/>
              </w:rPr>
              <w:t xml:space="preserve"> </w:t>
            </w:r>
            <w:r w:rsidRPr="00EA59C0">
              <w:rPr>
                <w:rFonts w:ascii="Calibri" w:hAnsi="Calibri"/>
                <w:sz w:val="18"/>
                <w:szCs w:val="18"/>
              </w:rPr>
              <w:t>3:</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r>
      <w:tr w:rsidR="00EA59C0" w:rsidRPr="00EA59C0" w:rsidTr="00C4770D">
        <w:trPr>
          <w:trHeight w:val="240"/>
          <w:jc w:val="center"/>
        </w:trPr>
        <w:tc>
          <w:tcPr>
            <w:tcW w:w="1275" w:type="dxa"/>
            <w:tcBorders>
              <w:top w:val="nil"/>
              <w:left w:val="single" w:sz="4" w:space="0" w:color="auto"/>
              <w:bottom w:val="nil"/>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13" w:type="dxa"/>
            <w:gridSpan w:val="2"/>
            <w:tcBorders>
              <w:top w:val="nil"/>
              <w:left w:val="single" w:sz="4" w:space="0" w:color="auto"/>
              <w:bottom w:val="single" w:sz="4" w:space="0" w:color="auto"/>
              <w:right w:val="single" w:sz="4" w:space="0" w:color="auto"/>
            </w:tcBorders>
            <w:shd w:val="clear" w:color="auto" w:fill="auto"/>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27" w:type="dxa"/>
            <w:tcBorders>
              <w:top w:val="nil"/>
              <w:left w:val="nil"/>
              <w:bottom w:val="single" w:sz="4" w:space="0" w:color="auto"/>
              <w:right w:val="single" w:sz="4" w:space="0" w:color="auto"/>
            </w:tcBorders>
            <w:shd w:val="clear" w:color="auto" w:fill="auto"/>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nil"/>
              <w:right w:val="nil"/>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Year</w:t>
            </w:r>
            <w:r w:rsidR="00C026A6" w:rsidRPr="00EA59C0">
              <w:rPr>
                <w:rFonts w:ascii="Calibri" w:hAnsi="Calibri"/>
                <w:sz w:val="18"/>
                <w:szCs w:val="18"/>
              </w:rPr>
              <w:t xml:space="preserve"> </w:t>
            </w:r>
            <w:r w:rsidRPr="00EA59C0">
              <w:rPr>
                <w:rFonts w:ascii="Calibri" w:hAnsi="Calibri"/>
                <w:sz w:val="18"/>
                <w:szCs w:val="18"/>
              </w:rPr>
              <w:t>4:</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r>
      <w:tr w:rsidR="00EA59C0" w:rsidRPr="00EA59C0" w:rsidTr="00C4770D">
        <w:trPr>
          <w:trHeight w:val="240"/>
          <w:jc w:val="center"/>
        </w:trPr>
        <w:tc>
          <w:tcPr>
            <w:tcW w:w="1275" w:type="dxa"/>
            <w:tcBorders>
              <w:top w:val="single" w:sz="4" w:space="0" w:color="auto"/>
              <w:left w:val="single" w:sz="4" w:space="0" w:color="auto"/>
              <w:bottom w:val="nil"/>
              <w:right w:val="nil"/>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Deliverable</w:t>
            </w:r>
            <w:r w:rsidR="00C026A6" w:rsidRPr="00EA59C0">
              <w:rPr>
                <w:rFonts w:ascii="Calibri" w:hAnsi="Calibri"/>
                <w:sz w:val="18"/>
                <w:szCs w:val="18"/>
              </w:rPr>
              <w:t xml:space="preserve"> </w:t>
            </w:r>
            <w:r w:rsidRPr="00EA59C0">
              <w:rPr>
                <w:rFonts w:ascii="Calibri" w:hAnsi="Calibri"/>
                <w:sz w:val="18"/>
                <w:szCs w:val="18"/>
              </w:rPr>
              <w:t>#1</w:t>
            </w:r>
          </w:p>
        </w:tc>
        <w:tc>
          <w:tcPr>
            <w:tcW w:w="1613" w:type="dxa"/>
            <w:gridSpan w:val="2"/>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27" w:type="dxa"/>
            <w:tcBorders>
              <w:top w:val="nil"/>
              <w:left w:val="nil"/>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single" w:sz="4" w:space="0" w:color="auto"/>
              <w:left w:val="nil"/>
              <w:bottom w:val="nil"/>
              <w:right w:val="single" w:sz="4" w:space="0" w:color="auto"/>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Strategy</w:t>
            </w:r>
            <w:r w:rsidR="00C026A6" w:rsidRPr="00EA59C0">
              <w:rPr>
                <w:rFonts w:ascii="Calibri" w:hAnsi="Calibri"/>
                <w:sz w:val="18"/>
                <w:szCs w:val="18"/>
              </w:rPr>
              <w:t xml:space="preserve"> </w:t>
            </w:r>
            <w:r w:rsidRPr="00EA59C0">
              <w:rPr>
                <w:rFonts w:ascii="Calibri" w:hAnsi="Calibri"/>
                <w:sz w:val="18"/>
                <w:szCs w:val="18"/>
              </w:rPr>
              <w:t>Total:</w:t>
            </w:r>
          </w:p>
        </w:tc>
        <w:tc>
          <w:tcPr>
            <w:tcW w:w="1440" w:type="dxa"/>
            <w:tcBorders>
              <w:top w:val="single" w:sz="4" w:space="0" w:color="auto"/>
              <w:left w:val="nil"/>
              <w:bottom w:val="nil"/>
              <w:right w:val="single" w:sz="4" w:space="0" w:color="auto"/>
            </w:tcBorders>
            <w:shd w:val="clear" w:color="auto" w:fill="auto"/>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w:t>
            </w:r>
          </w:p>
        </w:tc>
        <w:tc>
          <w:tcPr>
            <w:tcW w:w="1440" w:type="dxa"/>
            <w:tcBorders>
              <w:top w:val="single" w:sz="4" w:space="0" w:color="auto"/>
              <w:left w:val="nil"/>
              <w:bottom w:val="nil"/>
              <w:right w:val="nil"/>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Start</w:t>
            </w:r>
            <w:r w:rsidR="00C026A6" w:rsidRPr="00EA59C0">
              <w:rPr>
                <w:rFonts w:ascii="Calibri" w:hAnsi="Calibri"/>
                <w:sz w:val="18"/>
                <w:szCs w:val="18"/>
              </w:rPr>
              <w:t xml:space="preserve"> </w:t>
            </w:r>
            <w:r w:rsidRPr="00EA59C0">
              <w:rPr>
                <w:rFonts w:ascii="Calibri" w:hAnsi="Calibri"/>
                <w:sz w:val="18"/>
                <w:szCs w:val="18"/>
              </w:rPr>
              <w:t>Date:</w:t>
            </w:r>
          </w:p>
        </w:tc>
        <w:tc>
          <w:tcPr>
            <w:tcW w:w="1440" w:type="dxa"/>
            <w:tcBorders>
              <w:top w:val="single" w:sz="4" w:space="0" w:color="auto"/>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r>
      <w:tr w:rsidR="00EA59C0" w:rsidRPr="00EA59C0" w:rsidTr="00C4770D">
        <w:trPr>
          <w:trHeight w:val="240"/>
          <w:jc w:val="center"/>
        </w:trPr>
        <w:tc>
          <w:tcPr>
            <w:tcW w:w="1275" w:type="dxa"/>
            <w:tcBorders>
              <w:top w:val="nil"/>
              <w:left w:val="single" w:sz="4" w:space="0" w:color="auto"/>
              <w:bottom w:val="nil"/>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13" w:type="dxa"/>
            <w:gridSpan w:val="2"/>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27" w:type="dxa"/>
            <w:tcBorders>
              <w:top w:val="nil"/>
              <w:left w:val="nil"/>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nil"/>
              <w:right w:val="single" w:sz="4" w:space="0" w:color="auto"/>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Equipment:</w:t>
            </w:r>
          </w:p>
        </w:tc>
        <w:tc>
          <w:tcPr>
            <w:tcW w:w="1440" w:type="dxa"/>
            <w:tcBorders>
              <w:top w:val="nil"/>
              <w:left w:val="nil"/>
              <w:bottom w:val="nil"/>
              <w:right w:val="single" w:sz="4" w:space="0" w:color="auto"/>
            </w:tcBorders>
            <w:shd w:val="clear" w:color="auto" w:fill="auto"/>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End</w:t>
            </w:r>
            <w:r w:rsidR="00C026A6" w:rsidRPr="00EA59C0">
              <w:rPr>
                <w:rFonts w:ascii="Calibri" w:hAnsi="Calibri"/>
                <w:sz w:val="18"/>
                <w:szCs w:val="18"/>
              </w:rPr>
              <w:t xml:space="preserve"> </w:t>
            </w:r>
            <w:r w:rsidRPr="00EA59C0">
              <w:rPr>
                <w:rFonts w:ascii="Calibri" w:hAnsi="Calibri"/>
                <w:sz w:val="18"/>
                <w:szCs w:val="18"/>
              </w:rPr>
              <w:t>Date:</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r>
      <w:tr w:rsidR="00EA59C0" w:rsidRPr="00EA59C0" w:rsidTr="00C4770D">
        <w:trPr>
          <w:trHeight w:val="240"/>
          <w:jc w:val="center"/>
        </w:trPr>
        <w:tc>
          <w:tcPr>
            <w:tcW w:w="1275" w:type="dxa"/>
            <w:tcBorders>
              <w:top w:val="nil"/>
              <w:left w:val="single" w:sz="4" w:space="0" w:color="auto"/>
              <w:bottom w:val="nil"/>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13" w:type="dxa"/>
            <w:gridSpan w:val="2"/>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27" w:type="dxa"/>
            <w:tcBorders>
              <w:top w:val="nil"/>
              <w:left w:val="nil"/>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nil"/>
              <w:right w:val="single" w:sz="4" w:space="0" w:color="auto"/>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Year</w:t>
            </w:r>
            <w:r w:rsidR="00C026A6" w:rsidRPr="00EA59C0">
              <w:rPr>
                <w:rFonts w:ascii="Calibri" w:hAnsi="Calibri"/>
                <w:sz w:val="18"/>
                <w:szCs w:val="18"/>
              </w:rPr>
              <w:t xml:space="preserve"> </w:t>
            </w:r>
            <w:r w:rsidRPr="00EA59C0">
              <w:rPr>
                <w:rFonts w:ascii="Calibri" w:hAnsi="Calibri"/>
                <w:sz w:val="18"/>
                <w:szCs w:val="18"/>
              </w:rPr>
              <w:t>1:</w:t>
            </w:r>
          </w:p>
        </w:tc>
        <w:tc>
          <w:tcPr>
            <w:tcW w:w="1440" w:type="dxa"/>
            <w:tcBorders>
              <w:top w:val="nil"/>
              <w:left w:val="nil"/>
              <w:bottom w:val="nil"/>
              <w:right w:val="single" w:sz="4" w:space="0" w:color="auto"/>
            </w:tcBorders>
            <w:shd w:val="clear" w:color="auto" w:fill="auto"/>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Milestones:</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r>
      <w:tr w:rsidR="00EA59C0" w:rsidRPr="00EA59C0" w:rsidTr="00C4770D">
        <w:trPr>
          <w:trHeight w:val="240"/>
          <w:jc w:val="center"/>
        </w:trPr>
        <w:tc>
          <w:tcPr>
            <w:tcW w:w="1275" w:type="dxa"/>
            <w:tcBorders>
              <w:top w:val="nil"/>
              <w:left w:val="single" w:sz="4" w:space="0" w:color="auto"/>
              <w:bottom w:val="nil"/>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13" w:type="dxa"/>
            <w:gridSpan w:val="2"/>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27" w:type="dxa"/>
            <w:tcBorders>
              <w:top w:val="nil"/>
              <w:left w:val="nil"/>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nil"/>
              <w:right w:val="single" w:sz="4" w:space="0" w:color="auto"/>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Year</w:t>
            </w:r>
            <w:r w:rsidR="00C026A6" w:rsidRPr="00EA59C0">
              <w:rPr>
                <w:rFonts w:ascii="Calibri" w:hAnsi="Calibri"/>
                <w:sz w:val="18"/>
                <w:szCs w:val="18"/>
              </w:rPr>
              <w:t xml:space="preserve"> </w:t>
            </w:r>
            <w:r w:rsidRPr="00EA59C0">
              <w:rPr>
                <w:rFonts w:ascii="Calibri" w:hAnsi="Calibri"/>
                <w:sz w:val="18"/>
                <w:szCs w:val="18"/>
              </w:rPr>
              <w:t>2:</w:t>
            </w:r>
          </w:p>
        </w:tc>
        <w:tc>
          <w:tcPr>
            <w:tcW w:w="1440" w:type="dxa"/>
            <w:tcBorders>
              <w:top w:val="nil"/>
              <w:left w:val="nil"/>
              <w:bottom w:val="nil"/>
              <w:right w:val="single" w:sz="4" w:space="0" w:color="auto"/>
            </w:tcBorders>
            <w:shd w:val="clear" w:color="auto" w:fill="auto"/>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r>
      <w:tr w:rsidR="00EA59C0" w:rsidRPr="00EA59C0" w:rsidTr="00C4770D">
        <w:trPr>
          <w:trHeight w:val="240"/>
          <w:jc w:val="center"/>
        </w:trPr>
        <w:tc>
          <w:tcPr>
            <w:tcW w:w="1275" w:type="dxa"/>
            <w:tcBorders>
              <w:top w:val="nil"/>
              <w:left w:val="single" w:sz="4" w:space="0" w:color="auto"/>
              <w:bottom w:val="nil"/>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13" w:type="dxa"/>
            <w:gridSpan w:val="2"/>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27" w:type="dxa"/>
            <w:tcBorders>
              <w:top w:val="nil"/>
              <w:left w:val="nil"/>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nil"/>
              <w:right w:val="single" w:sz="4" w:space="0" w:color="auto"/>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Year</w:t>
            </w:r>
            <w:r w:rsidR="00C026A6" w:rsidRPr="00EA59C0">
              <w:rPr>
                <w:rFonts w:ascii="Calibri" w:hAnsi="Calibri"/>
                <w:sz w:val="18"/>
                <w:szCs w:val="18"/>
              </w:rPr>
              <w:t xml:space="preserve"> </w:t>
            </w:r>
            <w:r w:rsidRPr="00EA59C0">
              <w:rPr>
                <w:rFonts w:ascii="Calibri" w:hAnsi="Calibri"/>
                <w:sz w:val="18"/>
                <w:szCs w:val="18"/>
              </w:rPr>
              <w:t>3:</w:t>
            </w:r>
          </w:p>
        </w:tc>
        <w:tc>
          <w:tcPr>
            <w:tcW w:w="1440" w:type="dxa"/>
            <w:tcBorders>
              <w:top w:val="nil"/>
              <w:left w:val="nil"/>
              <w:bottom w:val="nil"/>
              <w:right w:val="single" w:sz="4" w:space="0" w:color="auto"/>
            </w:tcBorders>
            <w:shd w:val="clear" w:color="auto" w:fill="auto"/>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w:t>
            </w:r>
          </w:p>
        </w:tc>
        <w:tc>
          <w:tcPr>
            <w:tcW w:w="1440" w:type="dxa"/>
            <w:tcBorders>
              <w:top w:val="nil"/>
              <w:left w:val="nil"/>
              <w:bottom w:val="nil"/>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single" w:sz="4" w:space="0" w:color="auto"/>
              <w:bottom w:val="nil"/>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r>
      <w:tr w:rsidR="00EA59C0" w:rsidRPr="00EA59C0" w:rsidTr="00C4770D">
        <w:trPr>
          <w:trHeight w:val="240"/>
          <w:jc w:val="center"/>
        </w:trPr>
        <w:tc>
          <w:tcPr>
            <w:tcW w:w="1275" w:type="dxa"/>
            <w:tcBorders>
              <w:top w:val="nil"/>
              <w:left w:val="single" w:sz="4" w:space="0" w:color="auto"/>
              <w:bottom w:val="single" w:sz="4" w:space="0" w:color="auto"/>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13" w:type="dxa"/>
            <w:gridSpan w:val="2"/>
            <w:tcBorders>
              <w:top w:val="nil"/>
              <w:left w:val="single" w:sz="4" w:space="0" w:color="auto"/>
              <w:bottom w:val="single" w:sz="4" w:space="0" w:color="auto"/>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627" w:type="dxa"/>
            <w:tcBorders>
              <w:top w:val="nil"/>
              <w:left w:val="nil"/>
              <w:bottom w:val="single" w:sz="4" w:space="0" w:color="auto"/>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nil"/>
              <w:bottom w:val="single" w:sz="4" w:space="0" w:color="auto"/>
              <w:right w:val="single" w:sz="4" w:space="0" w:color="auto"/>
            </w:tcBorders>
            <w:shd w:val="clear" w:color="000000" w:fill="D8D8D8"/>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Year</w:t>
            </w:r>
            <w:r w:rsidR="00C026A6" w:rsidRPr="00EA59C0">
              <w:rPr>
                <w:rFonts w:ascii="Calibri" w:hAnsi="Calibri"/>
                <w:sz w:val="18"/>
                <w:szCs w:val="18"/>
              </w:rPr>
              <w:t xml:space="preserve"> </w:t>
            </w:r>
            <w:r w:rsidRPr="00EA59C0">
              <w:rPr>
                <w:rFonts w:ascii="Calibri" w:hAnsi="Calibri"/>
                <w:sz w:val="18"/>
                <w:szCs w:val="18"/>
              </w:rPr>
              <w:t>4:</w:t>
            </w:r>
          </w:p>
        </w:tc>
        <w:tc>
          <w:tcPr>
            <w:tcW w:w="1440" w:type="dxa"/>
            <w:tcBorders>
              <w:top w:val="nil"/>
              <w:left w:val="nil"/>
              <w:bottom w:val="single" w:sz="4" w:space="0" w:color="auto"/>
              <w:right w:val="single" w:sz="4" w:space="0" w:color="auto"/>
            </w:tcBorders>
            <w:shd w:val="clear" w:color="auto" w:fill="auto"/>
            <w:noWrap/>
            <w:vAlign w:val="center"/>
            <w:hideMark/>
          </w:tcPr>
          <w:p w:rsidR="008826BE" w:rsidRPr="00EA59C0" w:rsidRDefault="008826BE" w:rsidP="00DB00BB">
            <w:pPr>
              <w:rPr>
                <w:rFonts w:ascii="Calibri" w:hAnsi="Calibri"/>
                <w:sz w:val="18"/>
                <w:szCs w:val="18"/>
              </w:rPr>
            </w:pPr>
            <w:r w:rsidRPr="00EA59C0">
              <w:rPr>
                <w:rFonts w:ascii="Calibri" w:hAnsi="Calibri"/>
                <w:sz w:val="18"/>
                <w:szCs w:val="18"/>
              </w:rPr>
              <w:t>$</w:t>
            </w:r>
          </w:p>
        </w:tc>
        <w:tc>
          <w:tcPr>
            <w:tcW w:w="1440" w:type="dxa"/>
            <w:tcBorders>
              <w:top w:val="nil"/>
              <w:left w:val="nil"/>
              <w:bottom w:val="single" w:sz="4" w:space="0" w:color="auto"/>
              <w:right w:val="nil"/>
            </w:tcBorders>
            <w:shd w:val="clear" w:color="000000" w:fill="D8D8D8"/>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hideMark/>
          </w:tcPr>
          <w:p w:rsidR="008826BE" w:rsidRPr="00EA59C0" w:rsidRDefault="00C026A6" w:rsidP="00DB00BB">
            <w:pPr>
              <w:rPr>
                <w:rFonts w:ascii="Calibri" w:hAnsi="Calibri"/>
                <w:sz w:val="18"/>
                <w:szCs w:val="18"/>
              </w:rPr>
            </w:pPr>
            <w:r w:rsidRPr="00EA59C0">
              <w:rPr>
                <w:rFonts w:ascii="Calibri" w:hAnsi="Calibri"/>
                <w:sz w:val="18"/>
                <w:szCs w:val="18"/>
              </w:rPr>
              <w:t xml:space="preserve"> </w:t>
            </w:r>
          </w:p>
        </w:tc>
      </w:tr>
    </w:tbl>
    <w:p w:rsidR="008826BE" w:rsidRPr="00EA59C0" w:rsidRDefault="008826BE" w:rsidP="00DB00BB">
      <w:pPr>
        <w:pStyle w:val="NormalWeb"/>
        <w:spacing w:before="0" w:beforeAutospacing="0" w:after="0" w:afterAutospacing="0"/>
        <w:rPr>
          <w:rFonts w:ascii="Calibri" w:hAnsi="Calibri"/>
          <w:i/>
          <w:iCs/>
          <w:sz w:val="16"/>
          <w:szCs w:val="16"/>
        </w:rPr>
      </w:pPr>
    </w:p>
    <w:p w:rsidR="008826BE" w:rsidRPr="00EA59C0" w:rsidRDefault="008826BE" w:rsidP="00DB00BB">
      <w:pPr>
        <w:pStyle w:val="NormalWeb"/>
        <w:spacing w:before="0" w:beforeAutospacing="0" w:after="0" w:afterAutospacing="0"/>
        <w:rPr>
          <w:rFonts w:ascii="Calibri" w:hAnsi="Calibri"/>
          <w:i/>
          <w:iCs/>
          <w:sz w:val="22"/>
          <w:szCs w:val="22"/>
        </w:rPr>
      </w:pPr>
    </w:p>
    <w:p w:rsidR="008826BE" w:rsidRPr="00EA59C0" w:rsidRDefault="008826BE" w:rsidP="00DB00BB">
      <w:pPr>
        <w:pStyle w:val="NormalWeb"/>
        <w:spacing w:before="0" w:beforeAutospacing="0" w:after="0" w:afterAutospacing="0"/>
        <w:rPr>
          <w:rFonts w:ascii="Calibri" w:hAnsi="Calibri"/>
          <w:iCs/>
          <w:sz w:val="22"/>
          <w:szCs w:val="22"/>
        </w:rPr>
      </w:pPr>
      <w:r w:rsidRPr="00EA59C0">
        <w:rPr>
          <w:rFonts w:ascii="Calibri" w:hAnsi="Calibri"/>
          <w:iCs/>
          <w:sz w:val="22"/>
          <w:szCs w:val="22"/>
        </w:rPr>
        <w:t>Please</w:t>
      </w:r>
      <w:r w:rsidR="00C026A6" w:rsidRPr="00EA59C0">
        <w:rPr>
          <w:rFonts w:ascii="Calibri" w:hAnsi="Calibri"/>
          <w:iCs/>
          <w:sz w:val="22"/>
          <w:szCs w:val="22"/>
        </w:rPr>
        <w:t xml:space="preserve"> </w:t>
      </w:r>
      <w:r w:rsidRPr="00EA59C0">
        <w:rPr>
          <w:rFonts w:ascii="Calibri" w:hAnsi="Calibri"/>
          <w:iCs/>
          <w:sz w:val="22"/>
          <w:szCs w:val="22"/>
        </w:rPr>
        <w:t>Note:</w:t>
      </w:r>
      <w:r w:rsidR="00C026A6" w:rsidRPr="00EA59C0">
        <w:rPr>
          <w:rFonts w:ascii="Calibri" w:hAnsi="Calibri"/>
          <w:iCs/>
          <w:sz w:val="22"/>
          <w:szCs w:val="22"/>
        </w:rPr>
        <w:t xml:space="preserve"> </w:t>
      </w:r>
    </w:p>
    <w:p w:rsidR="008826BE" w:rsidRPr="00EA59C0" w:rsidRDefault="008826BE" w:rsidP="00080097">
      <w:pPr>
        <w:pStyle w:val="NormalWeb"/>
        <w:numPr>
          <w:ilvl w:val="0"/>
          <w:numId w:val="39"/>
        </w:numPr>
        <w:spacing w:before="0" w:beforeAutospacing="0" w:after="0" w:afterAutospacing="0"/>
        <w:rPr>
          <w:rFonts w:ascii="Calibri" w:hAnsi="Calibri"/>
          <w:iCs/>
          <w:sz w:val="22"/>
          <w:szCs w:val="22"/>
        </w:rPr>
      </w:pPr>
      <w:r w:rsidRPr="00EA59C0">
        <w:rPr>
          <w:rFonts w:ascii="Calibri" w:hAnsi="Calibri"/>
          <w:iCs/>
          <w:sz w:val="22"/>
          <w:szCs w:val="22"/>
        </w:rPr>
        <w:t>Applicants</w:t>
      </w:r>
      <w:r w:rsidR="00C026A6" w:rsidRPr="00EA59C0">
        <w:rPr>
          <w:rFonts w:ascii="Calibri" w:hAnsi="Calibri"/>
          <w:iCs/>
          <w:sz w:val="22"/>
          <w:szCs w:val="22"/>
        </w:rPr>
        <w:t xml:space="preserve"> </w:t>
      </w:r>
      <w:r w:rsidRPr="00EA59C0">
        <w:rPr>
          <w:rFonts w:ascii="Calibri" w:hAnsi="Calibri"/>
          <w:iCs/>
          <w:sz w:val="22"/>
          <w:szCs w:val="22"/>
        </w:rPr>
        <w:t>may</w:t>
      </w:r>
      <w:r w:rsidR="00C026A6" w:rsidRPr="00EA59C0">
        <w:rPr>
          <w:rFonts w:ascii="Calibri" w:hAnsi="Calibri"/>
          <w:iCs/>
          <w:sz w:val="22"/>
          <w:szCs w:val="22"/>
        </w:rPr>
        <w:t xml:space="preserve"> </w:t>
      </w:r>
      <w:r w:rsidRPr="00EA59C0">
        <w:rPr>
          <w:rFonts w:ascii="Calibri" w:hAnsi="Calibri"/>
          <w:iCs/>
          <w:sz w:val="22"/>
          <w:szCs w:val="22"/>
        </w:rPr>
        <w:t>replicate</w:t>
      </w:r>
      <w:r w:rsidR="00C026A6" w:rsidRPr="00EA59C0">
        <w:rPr>
          <w:rFonts w:ascii="Calibri" w:hAnsi="Calibri"/>
          <w:iCs/>
          <w:sz w:val="22"/>
          <w:szCs w:val="22"/>
        </w:rPr>
        <w:t xml:space="preserve"> </w:t>
      </w:r>
      <w:r w:rsidRPr="00EA59C0">
        <w:rPr>
          <w:rFonts w:ascii="Calibri" w:hAnsi="Calibri"/>
          <w:iCs/>
          <w:sz w:val="22"/>
          <w:szCs w:val="22"/>
        </w:rPr>
        <w:t>this</w:t>
      </w:r>
      <w:r w:rsidR="00C026A6" w:rsidRPr="00EA59C0">
        <w:rPr>
          <w:rFonts w:ascii="Calibri" w:hAnsi="Calibri"/>
          <w:iCs/>
          <w:sz w:val="22"/>
          <w:szCs w:val="22"/>
        </w:rPr>
        <w:t xml:space="preserve"> </w:t>
      </w:r>
      <w:r w:rsidRPr="00EA59C0">
        <w:rPr>
          <w:rFonts w:ascii="Calibri" w:hAnsi="Calibri"/>
          <w:iCs/>
          <w:sz w:val="22"/>
          <w:szCs w:val="22"/>
        </w:rPr>
        <w:t>chart</w:t>
      </w:r>
      <w:r w:rsidR="00C026A6" w:rsidRPr="00EA59C0">
        <w:rPr>
          <w:rFonts w:ascii="Calibri" w:hAnsi="Calibri"/>
          <w:iCs/>
          <w:sz w:val="22"/>
          <w:szCs w:val="22"/>
        </w:rPr>
        <w:t xml:space="preserve"> </w:t>
      </w:r>
      <w:r w:rsidRPr="00EA59C0">
        <w:rPr>
          <w:rFonts w:ascii="Calibri" w:hAnsi="Calibri"/>
          <w:iCs/>
          <w:sz w:val="22"/>
          <w:szCs w:val="22"/>
        </w:rPr>
        <w:t>in</w:t>
      </w:r>
      <w:r w:rsidR="00C026A6" w:rsidRPr="00EA59C0">
        <w:rPr>
          <w:rFonts w:ascii="Calibri" w:hAnsi="Calibri"/>
          <w:iCs/>
          <w:sz w:val="22"/>
          <w:szCs w:val="22"/>
        </w:rPr>
        <w:t xml:space="preserve"> </w:t>
      </w:r>
      <w:r w:rsidRPr="00EA59C0">
        <w:rPr>
          <w:rFonts w:ascii="Calibri" w:hAnsi="Calibri"/>
          <w:iCs/>
          <w:sz w:val="22"/>
          <w:szCs w:val="22"/>
        </w:rPr>
        <w:t>order</w:t>
      </w:r>
      <w:r w:rsidR="00C026A6" w:rsidRPr="00EA59C0">
        <w:rPr>
          <w:rFonts w:ascii="Calibri" w:hAnsi="Calibri"/>
          <w:iCs/>
          <w:sz w:val="22"/>
          <w:szCs w:val="22"/>
        </w:rPr>
        <w:t xml:space="preserve"> </w:t>
      </w:r>
      <w:r w:rsidRPr="00EA59C0">
        <w:rPr>
          <w:rFonts w:ascii="Calibri" w:hAnsi="Calibri"/>
          <w:iCs/>
          <w:sz w:val="22"/>
          <w:szCs w:val="22"/>
        </w:rPr>
        <w:t>to</w:t>
      </w:r>
      <w:r w:rsidR="00C026A6" w:rsidRPr="00EA59C0">
        <w:rPr>
          <w:rFonts w:ascii="Calibri" w:hAnsi="Calibri"/>
          <w:iCs/>
          <w:sz w:val="22"/>
          <w:szCs w:val="22"/>
        </w:rPr>
        <w:t xml:space="preserve"> </w:t>
      </w:r>
      <w:r w:rsidRPr="00EA59C0">
        <w:rPr>
          <w:rFonts w:ascii="Calibri" w:hAnsi="Calibri"/>
          <w:iCs/>
          <w:sz w:val="22"/>
          <w:szCs w:val="22"/>
        </w:rPr>
        <w:t>submit</w:t>
      </w:r>
      <w:r w:rsidR="00C026A6" w:rsidRPr="00EA59C0">
        <w:rPr>
          <w:rFonts w:ascii="Calibri" w:hAnsi="Calibri"/>
          <w:iCs/>
          <w:sz w:val="22"/>
          <w:szCs w:val="22"/>
        </w:rPr>
        <w:t xml:space="preserve"> </w:t>
      </w:r>
      <w:r w:rsidRPr="00EA59C0">
        <w:rPr>
          <w:rFonts w:ascii="Calibri" w:hAnsi="Calibri"/>
          <w:iCs/>
          <w:sz w:val="22"/>
          <w:szCs w:val="22"/>
        </w:rPr>
        <w:t>information</w:t>
      </w:r>
      <w:r w:rsidR="00C026A6" w:rsidRPr="00EA59C0">
        <w:rPr>
          <w:rFonts w:ascii="Calibri" w:hAnsi="Calibri"/>
          <w:iCs/>
          <w:sz w:val="22"/>
          <w:szCs w:val="22"/>
        </w:rPr>
        <w:t xml:space="preserve"> </w:t>
      </w:r>
      <w:r w:rsidRPr="00EA59C0">
        <w:rPr>
          <w:rFonts w:ascii="Calibri" w:hAnsi="Calibri"/>
          <w:iCs/>
          <w:sz w:val="22"/>
          <w:szCs w:val="22"/>
        </w:rPr>
        <w:t>on</w:t>
      </w:r>
      <w:r w:rsidR="00C026A6" w:rsidRPr="00EA59C0">
        <w:rPr>
          <w:rFonts w:ascii="Calibri" w:hAnsi="Calibri"/>
          <w:iCs/>
          <w:sz w:val="22"/>
          <w:szCs w:val="22"/>
        </w:rPr>
        <w:t xml:space="preserve"> </w:t>
      </w:r>
      <w:r w:rsidRPr="00EA59C0">
        <w:rPr>
          <w:rFonts w:ascii="Calibri" w:hAnsi="Calibri"/>
          <w:iCs/>
          <w:sz w:val="22"/>
          <w:szCs w:val="22"/>
        </w:rPr>
        <w:t>all</w:t>
      </w:r>
      <w:r w:rsidR="00C026A6" w:rsidRPr="00EA59C0">
        <w:rPr>
          <w:rFonts w:ascii="Calibri" w:hAnsi="Calibri"/>
          <w:iCs/>
          <w:sz w:val="22"/>
          <w:szCs w:val="22"/>
        </w:rPr>
        <w:t xml:space="preserve"> </w:t>
      </w:r>
      <w:r w:rsidRPr="00EA59C0">
        <w:rPr>
          <w:rFonts w:ascii="Calibri" w:hAnsi="Calibri"/>
          <w:iCs/>
          <w:sz w:val="22"/>
          <w:szCs w:val="22"/>
        </w:rPr>
        <w:t>activities</w:t>
      </w:r>
      <w:r w:rsidR="00C026A6" w:rsidRPr="00EA59C0">
        <w:rPr>
          <w:rFonts w:ascii="Calibri" w:hAnsi="Calibri"/>
          <w:iCs/>
          <w:sz w:val="22"/>
          <w:szCs w:val="22"/>
        </w:rPr>
        <w:t xml:space="preserve"> </w:t>
      </w:r>
      <w:r w:rsidRPr="00EA59C0">
        <w:rPr>
          <w:rFonts w:ascii="Calibri" w:hAnsi="Calibri"/>
          <w:iCs/>
          <w:sz w:val="22"/>
          <w:szCs w:val="22"/>
        </w:rPr>
        <w:t>and</w:t>
      </w:r>
      <w:r w:rsidR="00C026A6" w:rsidRPr="00EA59C0">
        <w:rPr>
          <w:rFonts w:ascii="Calibri" w:hAnsi="Calibri"/>
          <w:iCs/>
          <w:sz w:val="22"/>
          <w:szCs w:val="22"/>
        </w:rPr>
        <w:t xml:space="preserve"> </w:t>
      </w:r>
      <w:r w:rsidRPr="00EA59C0">
        <w:rPr>
          <w:rFonts w:ascii="Calibri" w:hAnsi="Calibri"/>
          <w:iCs/>
          <w:sz w:val="22"/>
          <w:szCs w:val="22"/>
        </w:rPr>
        <w:t>deliverables</w:t>
      </w:r>
      <w:r w:rsidR="00C026A6" w:rsidRPr="00EA59C0">
        <w:rPr>
          <w:rFonts w:ascii="Calibri" w:hAnsi="Calibri"/>
          <w:iCs/>
          <w:sz w:val="22"/>
          <w:szCs w:val="22"/>
        </w:rPr>
        <w:t xml:space="preserve"> </w:t>
      </w:r>
      <w:r w:rsidRPr="00EA59C0">
        <w:rPr>
          <w:rFonts w:ascii="Calibri" w:hAnsi="Calibri"/>
          <w:iCs/>
          <w:sz w:val="22"/>
          <w:szCs w:val="22"/>
        </w:rPr>
        <w:t>proposed</w:t>
      </w:r>
      <w:r w:rsidR="00C026A6" w:rsidRPr="00EA59C0">
        <w:rPr>
          <w:rFonts w:ascii="Calibri" w:hAnsi="Calibri"/>
          <w:iCs/>
          <w:sz w:val="22"/>
          <w:szCs w:val="22"/>
        </w:rPr>
        <w:t xml:space="preserve"> </w:t>
      </w:r>
      <w:r w:rsidRPr="00EA59C0">
        <w:rPr>
          <w:rFonts w:ascii="Calibri" w:hAnsi="Calibri"/>
          <w:iCs/>
          <w:sz w:val="22"/>
          <w:szCs w:val="22"/>
        </w:rPr>
        <w:t>during</w:t>
      </w:r>
      <w:r w:rsidR="00C026A6" w:rsidRPr="00EA59C0">
        <w:rPr>
          <w:rFonts w:ascii="Calibri" w:hAnsi="Calibri"/>
          <w:iCs/>
          <w:sz w:val="22"/>
          <w:szCs w:val="22"/>
        </w:rPr>
        <w:t xml:space="preserve"> </w:t>
      </w:r>
      <w:r w:rsidRPr="00EA59C0">
        <w:rPr>
          <w:rFonts w:ascii="Calibri" w:hAnsi="Calibri"/>
          <w:iCs/>
          <w:sz w:val="22"/>
          <w:szCs w:val="22"/>
        </w:rPr>
        <w:t>the</w:t>
      </w:r>
      <w:r w:rsidR="00C026A6" w:rsidRPr="00EA59C0">
        <w:rPr>
          <w:rFonts w:ascii="Calibri" w:hAnsi="Calibri"/>
          <w:iCs/>
          <w:sz w:val="22"/>
          <w:szCs w:val="22"/>
        </w:rPr>
        <w:t xml:space="preserve"> </w:t>
      </w:r>
      <w:r w:rsidRPr="00EA59C0">
        <w:rPr>
          <w:rFonts w:ascii="Calibri" w:hAnsi="Calibri"/>
          <w:iCs/>
          <w:sz w:val="22"/>
          <w:szCs w:val="22"/>
        </w:rPr>
        <w:t>period</w:t>
      </w:r>
      <w:r w:rsidR="00C026A6" w:rsidRPr="00EA59C0">
        <w:rPr>
          <w:rFonts w:ascii="Calibri" w:hAnsi="Calibri"/>
          <w:iCs/>
          <w:sz w:val="22"/>
          <w:szCs w:val="22"/>
        </w:rPr>
        <w:t xml:space="preserve"> </w:t>
      </w:r>
      <w:r w:rsidRPr="00EA59C0">
        <w:rPr>
          <w:rFonts w:ascii="Calibri" w:hAnsi="Calibri"/>
          <w:iCs/>
          <w:sz w:val="22"/>
          <w:szCs w:val="22"/>
        </w:rPr>
        <w:t>of</w:t>
      </w:r>
      <w:r w:rsidR="00C026A6" w:rsidRPr="00EA59C0">
        <w:rPr>
          <w:rFonts w:ascii="Calibri" w:hAnsi="Calibri"/>
          <w:iCs/>
          <w:sz w:val="22"/>
          <w:szCs w:val="22"/>
        </w:rPr>
        <w:t xml:space="preserve"> </w:t>
      </w:r>
      <w:r w:rsidRPr="00EA59C0">
        <w:rPr>
          <w:rFonts w:ascii="Calibri" w:hAnsi="Calibri"/>
          <w:iCs/>
          <w:sz w:val="22"/>
          <w:szCs w:val="22"/>
        </w:rPr>
        <w:t>performance.</w:t>
      </w:r>
      <w:r w:rsidR="00C026A6" w:rsidRPr="00EA59C0">
        <w:rPr>
          <w:rFonts w:ascii="Calibri" w:hAnsi="Calibri"/>
          <w:iCs/>
          <w:sz w:val="22"/>
          <w:szCs w:val="22"/>
        </w:rPr>
        <w:t xml:space="preserve">  </w:t>
      </w:r>
    </w:p>
    <w:p w:rsidR="008826BE" w:rsidRPr="00EA59C0" w:rsidRDefault="008826BE" w:rsidP="00080097">
      <w:pPr>
        <w:pStyle w:val="NormalWeb"/>
        <w:numPr>
          <w:ilvl w:val="0"/>
          <w:numId w:val="39"/>
        </w:numPr>
        <w:spacing w:before="0" w:beforeAutospacing="0" w:after="0" w:afterAutospacing="0"/>
        <w:rPr>
          <w:rFonts w:ascii="Calibri" w:hAnsi="Calibri"/>
          <w:iCs/>
          <w:sz w:val="22"/>
          <w:szCs w:val="22"/>
        </w:rPr>
      </w:pPr>
      <w:r w:rsidRPr="00EA59C0">
        <w:rPr>
          <w:rFonts w:ascii="Calibri" w:hAnsi="Calibri"/>
          <w:iCs/>
          <w:sz w:val="22"/>
          <w:szCs w:val="22"/>
        </w:rPr>
        <w:t>Applicants</w:t>
      </w:r>
      <w:r w:rsidR="00C026A6" w:rsidRPr="00EA59C0">
        <w:rPr>
          <w:rFonts w:ascii="Calibri" w:hAnsi="Calibri"/>
          <w:iCs/>
          <w:sz w:val="22"/>
          <w:szCs w:val="22"/>
        </w:rPr>
        <w:t xml:space="preserve"> </w:t>
      </w:r>
      <w:r w:rsidRPr="00EA59C0">
        <w:rPr>
          <w:rFonts w:ascii="Calibri" w:hAnsi="Calibri"/>
          <w:iCs/>
          <w:sz w:val="22"/>
          <w:szCs w:val="22"/>
        </w:rPr>
        <w:t>should</w:t>
      </w:r>
      <w:r w:rsidR="00C026A6" w:rsidRPr="00EA59C0">
        <w:rPr>
          <w:rFonts w:ascii="Calibri" w:hAnsi="Calibri"/>
          <w:iCs/>
          <w:sz w:val="22"/>
          <w:szCs w:val="22"/>
        </w:rPr>
        <w:t xml:space="preserve"> </w:t>
      </w:r>
      <w:r w:rsidRPr="00EA59C0">
        <w:rPr>
          <w:rFonts w:ascii="Calibri" w:hAnsi="Calibri"/>
          <w:iCs/>
          <w:sz w:val="22"/>
          <w:szCs w:val="22"/>
        </w:rPr>
        <w:t>provide</w:t>
      </w:r>
      <w:r w:rsidR="00C026A6" w:rsidRPr="00EA59C0">
        <w:rPr>
          <w:rFonts w:ascii="Calibri" w:hAnsi="Calibri"/>
          <w:iCs/>
          <w:sz w:val="22"/>
          <w:szCs w:val="22"/>
        </w:rPr>
        <w:t xml:space="preserve"> </w:t>
      </w:r>
      <w:r w:rsidRPr="00EA59C0">
        <w:rPr>
          <w:rFonts w:ascii="Calibri" w:hAnsi="Calibri"/>
          <w:iCs/>
          <w:sz w:val="22"/>
          <w:szCs w:val="22"/>
        </w:rPr>
        <w:t>the</w:t>
      </w:r>
      <w:r w:rsidR="00C026A6" w:rsidRPr="00EA59C0">
        <w:rPr>
          <w:rFonts w:ascii="Calibri" w:hAnsi="Calibri"/>
          <w:iCs/>
          <w:sz w:val="22"/>
          <w:szCs w:val="22"/>
        </w:rPr>
        <w:t xml:space="preserve"> </w:t>
      </w:r>
      <w:r w:rsidRPr="00EA59C0">
        <w:rPr>
          <w:rFonts w:ascii="Calibri" w:hAnsi="Calibri"/>
          <w:iCs/>
          <w:sz w:val="22"/>
          <w:szCs w:val="22"/>
        </w:rPr>
        <w:t>name</w:t>
      </w:r>
      <w:r w:rsidR="00C026A6" w:rsidRPr="00EA59C0">
        <w:rPr>
          <w:rFonts w:ascii="Calibri" w:hAnsi="Calibri"/>
          <w:iCs/>
          <w:sz w:val="22"/>
          <w:szCs w:val="22"/>
        </w:rPr>
        <w:t xml:space="preserve"> </w:t>
      </w:r>
      <w:r w:rsidRPr="00EA59C0">
        <w:rPr>
          <w:rFonts w:ascii="Calibri" w:hAnsi="Calibri"/>
          <w:iCs/>
          <w:sz w:val="22"/>
          <w:szCs w:val="22"/>
        </w:rPr>
        <w:t>of</w:t>
      </w:r>
      <w:r w:rsidR="00C026A6" w:rsidRPr="00EA59C0">
        <w:rPr>
          <w:rFonts w:ascii="Calibri" w:hAnsi="Calibri"/>
          <w:iCs/>
          <w:sz w:val="22"/>
          <w:szCs w:val="22"/>
        </w:rPr>
        <w:t xml:space="preserve"> </w:t>
      </w:r>
      <w:r w:rsidRPr="00EA59C0">
        <w:rPr>
          <w:rFonts w:ascii="Calibri" w:hAnsi="Calibri"/>
          <w:iCs/>
          <w:sz w:val="22"/>
          <w:szCs w:val="22"/>
        </w:rPr>
        <w:t>the</w:t>
      </w:r>
      <w:r w:rsidR="00C026A6" w:rsidRPr="00EA59C0">
        <w:rPr>
          <w:rFonts w:ascii="Calibri" w:hAnsi="Calibri"/>
          <w:iCs/>
          <w:sz w:val="22"/>
          <w:szCs w:val="22"/>
        </w:rPr>
        <w:t xml:space="preserve"> </w:t>
      </w:r>
      <w:r w:rsidRPr="00EA59C0">
        <w:rPr>
          <w:rFonts w:ascii="Calibri" w:hAnsi="Calibri"/>
          <w:iCs/>
          <w:sz w:val="22"/>
          <w:szCs w:val="22"/>
        </w:rPr>
        <w:t>institution</w:t>
      </w:r>
      <w:r w:rsidR="00C026A6" w:rsidRPr="00EA59C0">
        <w:rPr>
          <w:rFonts w:ascii="Calibri" w:hAnsi="Calibri"/>
          <w:iCs/>
          <w:sz w:val="22"/>
          <w:szCs w:val="22"/>
        </w:rPr>
        <w:t xml:space="preserve"> </w:t>
      </w:r>
      <w:r w:rsidRPr="00EA59C0">
        <w:rPr>
          <w:rFonts w:ascii="Calibri" w:hAnsi="Calibri"/>
          <w:iCs/>
          <w:sz w:val="22"/>
          <w:szCs w:val="22"/>
        </w:rPr>
        <w:t>engaged</w:t>
      </w:r>
      <w:r w:rsidR="00C026A6" w:rsidRPr="00EA59C0">
        <w:rPr>
          <w:rFonts w:ascii="Calibri" w:hAnsi="Calibri"/>
          <w:iCs/>
          <w:sz w:val="22"/>
          <w:szCs w:val="22"/>
        </w:rPr>
        <w:t xml:space="preserve"> </w:t>
      </w:r>
      <w:r w:rsidRPr="00EA59C0">
        <w:rPr>
          <w:rFonts w:ascii="Calibri" w:hAnsi="Calibri"/>
          <w:iCs/>
          <w:sz w:val="22"/>
          <w:szCs w:val="22"/>
        </w:rPr>
        <w:t>in</w:t>
      </w:r>
      <w:r w:rsidR="00C026A6" w:rsidRPr="00EA59C0">
        <w:rPr>
          <w:rFonts w:ascii="Calibri" w:hAnsi="Calibri"/>
          <w:iCs/>
          <w:sz w:val="22"/>
          <w:szCs w:val="22"/>
        </w:rPr>
        <w:t xml:space="preserve"> </w:t>
      </w:r>
      <w:r w:rsidRPr="00EA59C0">
        <w:rPr>
          <w:rFonts w:ascii="Calibri" w:hAnsi="Calibri"/>
          <w:iCs/>
          <w:sz w:val="22"/>
          <w:szCs w:val="22"/>
        </w:rPr>
        <w:t>each</w:t>
      </w:r>
      <w:r w:rsidR="00C026A6" w:rsidRPr="00EA59C0">
        <w:rPr>
          <w:rFonts w:ascii="Calibri" w:hAnsi="Calibri"/>
          <w:iCs/>
          <w:sz w:val="22"/>
          <w:szCs w:val="22"/>
        </w:rPr>
        <w:t xml:space="preserve"> </w:t>
      </w:r>
      <w:r w:rsidRPr="00EA59C0">
        <w:rPr>
          <w:rFonts w:ascii="Calibri" w:hAnsi="Calibri"/>
          <w:iCs/>
          <w:sz w:val="22"/>
          <w:szCs w:val="22"/>
        </w:rPr>
        <w:t>activity</w:t>
      </w:r>
      <w:r w:rsidR="00C026A6" w:rsidRPr="00EA59C0">
        <w:rPr>
          <w:rFonts w:ascii="Calibri" w:hAnsi="Calibri"/>
          <w:iCs/>
          <w:sz w:val="22"/>
          <w:szCs w:val="22"/>
        </w:rPr>
        <w:t xml:space="preserve"> </w:t>
      </w:r>
      <w:r w:rsidRPr="00EA59C0">
        <w:rPr>
          <w:rFonts w:ascii="Calibri" w:hAnsi="Calibri"/>
          <w:iCs/>
          <w:sz w:val="22"/>
          <w:szCs w:val="22"/>
        </w:rPr>
        <w:t>or</w:t>
      </w:r>
      <w:r w:rsidR="00C026A6" w:rsidRPr="00EA59C0">
        <w:rPr>
          <w:rFonts w:ascii="Calibri" w:hAnsi="Calibri"/>
          <w:iCs/>
          <w:sz w:val="22"/>
          <w:szCs w:val="22"/>
        </w:rPr>
        <w:t xml:space="preserve"> </w:t>
      </w:r>
      <w:r w:rsidRPr="00EA59C0">
        <w:rPr>
          <w:rFonts w:ascii="Calibri" w:hAnsi="Calibri"/>
          <w:iCs/>
          <w:sz w:val="22"/>
          <w:szCs w:val="22"/>
        </w:rPr>
        <w:t>producing</w:t>
      </w:r>
      <w:r w:rsidR="00C026A6" w:rsidRPr="00EA59C0">
        <w:rPr>
          <w:rFonts w:ascii="Calibri" w:hAnsi="Calibri"/>
          <w:iCs/>
          <w:sz w:val="22"/>
          <w:szCs w:val="22"/>
        </w:rPr>
        <w:t xml:space="preserve"> </w:t>
      </w:r>
      <w:r w:rsidRPr="00EA59C0">
        <w:rPr>
          <w:rFonts w:ascii="Calibri" w:hAnsi="Calibri"/>
          <w:iCs/>
          <w:sz w:val="22"/>
          <w:szCs w:val="22"/>
        </w:rPr>
        <w:t>each</w:t>
      </w:r>
      <w:r w:rsidR="00C026A6" w:rsidRPr="00EA59C0">
        <w:rPr>
          <w:rFonts w:ascii="Calibri" w:hAnsi="Calibri"/>
          <w:iCs/>
          <w:sz w:val="22"/>
          <w:szCs w:val="22"/>
        </w:rPr>
        <w:t xml:space="preserve"> </w:t>
      </w:r>
      <w:r w:rsidRPr="00EA59C0">
        <w:rPr>
          <w:rFonts w:ascii="Calibri" w:hAnsi="Calibri"/>
          <w:iCs/>
          <w:sz w:val="22"/>
          <w:szCs w:val="22"/>
        </w:rPr>
        <w:t>deliverable,</w:t>
      </w:r>
      <w:r w:rsidR="00C026A6" w:rsidRPr="00EA59C0">
        <w:rPr>
          <w:rFonts w:ascii="Calibri" w:hAnsi="Calibri"/>
          <w:iCs/>
          <w:sz w:val="22"/>
          <w:szCs w:val="22"/>
        </w:rPr>
        <w:t xml:space="preserve"> </w:t>
      </w:r>
      <w:r w:rsidRPr="00EA59C0">
        <w:rPr>
          <w:rFonts w:ascii="Calibri" w:hAnsi="Calibri"/>
          <w:iCs/>
          <w:sz w:val="22"/>
          <w:szCs w:val="22"/>
        </w:rPr>
        <w:t>including</w:t>
      </w:r>
      <w:r w:rsidR="00C026A6" w:rsidRPr="00EA59C0">
        <w:rPr>
          <w:rFonts w:ascii="Calibri" w:hAnsi="Calibri"/>
          <w:iCs/>
          <w:sz w:val="22"/>
          <w:szCs w:val="22"/>
        </w:rPr>
        <w:t xml:space="preserve"> </w:t>
      </w:r>
      <w:r w:rsidRPr="00EA59C0">
        <w:rPr>
          <w:rFonts w:ascii="Calibri" w:hAnsi="Calibri"/>
          <w:iCs/>
          <w:sz w:val="22"/>
          <w:szCs w:val="22"/>
        </w:rPr>
        <w:t>any</w:t>
      </w:r>
      <w:r w:rsidR="00C026A6" w:rsidRPr="00EA59C0">
        <w:rPr>
          <w:rFonts w:ascii="Calibri" w:hAnsi="Calibri"/>
          <w:iCs/>
          <w:sz w:val="22"/>
          <w:szCs w:val="22"/>
        </w:rPr>
        <w:t xml:space="preserve"> </w:t>
      </w:r>
      <w:r w:rsidRPr="00EA59C0">
        <w:rPr>
          <w:rFonts w:ascii="Calibri" w:hAnsi="Calibri"/>
          <w:iCs/>
          <w:sz w:val="22"/>
          <w:szCs w:val="22"/>
        </w:rPr>
        <w:t>partner</w:t>
      </w:r>
      <w:r w:rsidR="00C026A6" w:rsidRPr="00EA59C0">
        <w:rPr>
          <w:rFonts w:ascii="Calibri" w:hAnsi="Calibri"/>
          <w:iCs/>
          <w:sz w:val="22"/>
          <w:szCs w:val="22"/>
        </w:rPr>
        <w:t xml:space="preserve"> </w:t>
      </w:r>
      <w:r w:rsidRPr="00EA59C0">
        <w:rPr>
          <w:rFonts w:ascii="Calibri" w:hAnsi="Calibri"/>
          <w:iCs/>
          <w:sz w:val="22"/>
          <w:szCs w:val="22"/>
        </w:rPr>
        <w:t>organizations</w:t>
      </w:r>
      <w:r w:rsidR="00C026A6" w:rsidRPr="00EA59C0">
        <w:rPr>
          <w:rFonts w:ascii="Calibri" w:hAnsi="Calibri"/>
          <w:iCs/>
          <w:sz w:val="22"/>
          <w:szCs w:val="22"/>
        </w:rPr>
        <w:t xml:space="preserve"> </w:t>
      </w:r>
      <w:r w:rsidRPr="00EA59C0">
        <w:rPr>
          <w:rFonts w:ascii="Calibri" w:hAnsi="Calibri"/>
          <w:iCs/>
          <w:sz w:val="22"/>
          <w:szCs w:val="22"/>
        </w:rPr>
        <w:t>or</w:t>
      </w:r>
      <w:r w:rsidR="00C026A6" w:rsidRPr="00EA59C0">
        <w:rPr>
          <w:rFonts w:ascii="Calibri" w:hAnsi="Calibri"/>
          <w:iCs/>
          <w:sz w:val="22"/>
          <w:szCs w:val="22"/>
        </w:rPr>
        <w:t xml:space="preserve"> </w:t>
      </w:r>
      <w:r w:rsidRPr="00EA59C0">
        <w:rPr>
          <w:rFonts w:ascii="Calibri" w:hAnsi="Calibri"/>
          <w:iCs/>
          <w:sz w:val="22"/>
          <w:szCs w:val="22"/>
        </w:rPr>
        <w:t>institutions</w:t>
      </w:r>
      <w:r w:rsidR="00C026A6" w:rsidRPr="00EA59C0">
        <w:rPr>
          <w:rFonts w:ascii="Calibri" w:hAnsi="Calibri"/>
          <w:iCs/>
          <w:sz w:val="22"/>
          <w:szCs w:val="22"/>
        </w:rPr>
        <w:t xml:space="preserve"> </w:t>
      </w:r>
      <w:r w:rsidRPr="00EA59C0">
        <w:rPr>
          <w:rFonts w:ascii="Calibri" w:hAnsi="Calibri"/>
          <w:iCs/>
          <w:sz w:val="22"/>
          <w:szCs w:val="22"/>
        </w:rPr>
        <w:t>and</w:t>
      </w:r>
      <w:r w:rsidR="00C026A6" w:rsidRPr="00EA59C0">
        <w:rPr>
          <w:rFonts w:ascii="Calibri" w:hAnsi="Calibri"/>
          <w:iCs/>
          <w:sz w:val="22"/>
          <w:szCs w:val="22"/>
        </w:rPr>
        <w:t xml:space="preserve"> </w:t>
      </w:r>
      <w:r w:rsidRPr="00EA59C0">
        <w:rPr>
          <w:rFonts w:ascii="Calibri" w:hAnsi="Calibri"/>
          <w:iCs/>
          <w:sz w:val="22"/>
          <w:szCs w:val="22"/>
        </w:rPr>
        <w:t>consortium</w:t>
      </w:r>
      <w:r w:rsidR="00C026A6" w:rsidRPr="00EA59C0">
        <w:rPr>
          <w:rFonts w:ascii="Calibri" w:hAnsi="Calibri"/>
          <w:iCs/>
          <w:sz w:val="22"/>
          <w:szCs w:val="22"/>
        </w:rPr>
        <w:t xml:space="preserve"> </w:t>
      </w:r>
      <w:r w:rsidRPr="00EA59C0">
        <w:rPr>
          <w:rFonts w:ascii="Calibri" w:hAnsi="Calibri"/>
          <w:iCs/>
          <w:sz w:val="22"/>
          <w:szCs w:val="22"/>
        </w:rPr>
        <w:t>members,</w:t>
      </w:r>
      <w:r w:rsidR="00C026A6" w:rsidRPr="00EA59C0">
        <w:rPr>
          <w:rFonts w:ascii="Calibri" w:hAnsi="Calibri"/>
          <w:iCs/>
          <w:sz w:val="22"/>
          <w:szCs w:val="22"/>
        </w:rPr>
        <w:t xml:space="preserve"> </w:t>
      </w:r>
      <w:r w:rsidRPr="00EA59C0">
        <w:rPr>
          <w:rFonts w:ascii="Calibri" w:hAnsi="Calibri"/>
          <w:iCs/>
          <w:sz w:val="22"/>
          <w:szCs w:val="22"/>
        </w:rPr>
        <w:t>if</w:t>
      </w:r>
      <w:r w:rsidR="00C026A6" w:rsidRPr="00EA59C0">
        <w:rPr>
          <w:rFonts w:ascii="Calibri" w:hAnsi="Calibri"/>
          <w:iCs/>
          <w:sz w:val="22"/>
          <w:szCs w:val="22"/>
        </w:rPr>
        <w:t xml:space="preserve"> </w:t>
      </w:r>
      <w:r w:rsidRPr="00EA59C0">
        <w:rPr>
          <w:rFonts w:ascii="Calibri" w:hAnsi="Calibri"/>
          <w:iCs/>
          <w:sz w:val="22"/>
          <w:szCs w:val="22"/>
        </w:rPr>
        <w:t>applicable.</w:t>
      </w:r>
    </w:p>
    <w:p w:rsidR="008826BE" w:rsidRPr="00EA59C0" w:rsidRDefault="008826BE" w:rsidP="00DB00BB">
      <w:pPr>
        <w:spacing w:after="120"/>
        <w:rPr>
          <w:rFonts w:ascii="Calibri" w:hAnsi="Calibri"/>
          <w:iCs/>
          <w:sz w:val="22"/>
          <w:szCs w:val="22"/>
        </w:rPr>
      </w:pPr>
      <w:r w:rsidRPr="00EA59C0">
        <w:rPr>
          <w:rFonts w:ascii="Calibri" w:hAnsi="Calibri"/>
          <w:iCs/>
          <w:sz w:val="22"/>
          <w:szCs w:val="22"/>
        </w:rPr>
        <w:br w:type="page"/>
      </w:r>
    </w:p>
    <w:p w:rsidR="008826BE" w:rsidRPr="00EA59C0" w:rsidRDefault="008826BE" w:rsidP="00DB00BB">
      <w:pPr>
        <w:rPr>
          <w:rFonts w:ascii="Arial" w:hAnsi="Arial" w:cs="Arial"/>
          <w:b/>
          <w:sz w:val="22"/>
        </w:rPr>
      </w:pPr>
      <w:r w:rsidRPr="00EA59C0">
        <w:rPr>
          <w:rFonts w:ascii="Arial" w:hAnsi="Arial" w:cs="Arial"/>
          <w:b/>
          <w:sz w:val="22"/>
        </w:rPr>
        <w:t>Appendix</w:t>
      </w:r>
      <w:r w:rsidR="00C026A6" w:rsidRPr="00EA59C0">
        <w:rPr>
          <w:rFonts w:ascii="Arial" w:hAnsi="Arial" w:cs="Arial"/>
          <w:b/>
          <w:sz w:val="22"/>
        </w:rPr>
        <w:t xml:space="preserve"> </w:t>
      </w:r>
      <w:r w:rsidR="00D9326C" w:rsidRPr="00EA59C0">
        <w:rPr>
          <w:rFonts w:ascii="Arial" w:hAnsi="Arial" w:cs="Arial"/>
          <w:b/>
          <w:sz w:val="22"/>
        </w:rPr>
        <w:t>L</w:t>
      </w:r>
      <w:r w:rsidRPr="00EA59C0">
        <w:rPr>
          <w:rFonts w:ascii="Arial" w:hAnsi="Arial" w:cs="Arial"/>
          <w:b/>
          <w:sz w:val="22"/>
        </w:rPr>
        <w:t>:</w:t>
      </w:r>
      <w:r w:rsidR="00C026A6" w:rsidRPr="00EA59C0">
        <w:rPr>
          <w:rFonts w:ascii="Arial" w:hAnsi="Arial" w:cs="Arial"/>
          <w:b/>
          <w:sz w:val="22"/>
        </w:rPr>
        <w:t xml:space="preserve"> </w:t>
      </w:r>
      <w:r w:rsidRPr="00EA59C0">
        <w:rPr>
          <w:rFonts w:ascii="Arial" w:hAnsi="Arial" w:cs="Arial"/>
          <w:b/>
          <w:sz w:val="22"/>
        </w:rPr>
        <w:t>Sample</w:t>
      </w:r>
      <w:r w:rsidR="00C026A6" w:rsidRPr="00EA59C0">
        <w:rPr>
          <w:rFonts w:ascii="Arial" w:hAnsi="Arial" w:cs="Arial"/>
          <w:b/>
          <w:sz w:val="22"/>
        </w:rPr>
        <w:t xml:space="preserve"> </w:t>
      </w:r>
      <w:r w:rsidRPr="00EA59C0">
        <w:rPr>
          <w:rFonts w:ascii="Arial" w:hAnsi="Arial" w:cs="Arial"/>
          <w:b/>
          <w:sz w:val="22"/>
        </w:rPr>
        <w:t>Outcomes</w:t>
      </w:r>
      <w:r w:rsidR="00C026A6" w:rsidRPr="00EA59C0">
        <w:rPr>
          <w:rFonts w:ascii="Arial" w:hAnsi="Arial" w:cs="Arial"/>
          <w:b/>
          <w:sz w:val="22"/>
        </w:rPr>
        <w:t xml:space="preserve"> </w:t>
      </w:r>
      <w:r w:rsidRPr="00EA59C0">
        <w:rPr>
          <w:rFonts w:ascii="Arial" w:hAnsi="Arial" w:cs="Arial"/>
          <w:b/>
          <w:sz w:val="22"/>
        </w:rPr>
        <w:t>Measures</w:t>
      </w:r>
      <w:r w:rsidR="00C026A6" w:rsidRPr="00EA59C0">
        <w:rPr>
          <w:rFonts w:ascii="Arial" w:hAnsi="Arial" w:cs="Arial"/>
          <w:b/>
          <w:sz w:val="22"/>
        </w:rPr>
        <w:t xml:space="preserve"> </w:t>
      </w:r>
      <w:r w:rsidRPr="00EA59C0">
        <w:rPr>
          <w:rFonts w:ascii="Arial" w:hAnsi="Arial" w:cs="Arial"/>
          <w:b/>
          <w:sz w:val="22"/>
        </w:rPr>
        <w:t>Table</w:t>
      </w:r>
    </w:p>
    <w:p w:rsidR="008826BE" w:rsidRPr="00EA59C0" w:rsidRDefault="008826BE" w:rsidP="00DB00BB">
      <w:pPr>
        <w:rPr>
          <w:rFonts w:ascii="Arial" w:hAnsi="Arial" w:cs="Arial"/>
          <w:b/>
          <w:sz w:val="22"/>
        </w:rPr>
      </w:pPr>
    </w:p>
    <w:tbl>
      <w:tblPr>
        <w:tblStyle w:val="TableGrid"/>
        <w:tblW w:w="10263" w:type="dxa"/>
        <w:jc w:val="center"/>
        <w:tblLook w:val="04A0" w:firstRow="1" w:lastRow="0" w:firstColumn="1" w:lastColumn="0" w:noHBand="0" w:noVBand="1"/>
      </w:tblPr>
      <w:tblGrid>
        <w:gridCol w:w="378"/>
        <w:gridCol w:w="7005"/>
        <w:gridCol w:w="1979"/>
        <w:gridCol w:w="901"/>
      </w:tblGrid>
      <w:tr w:rsidR="00EA59C0" w:rsidRPr="00EA59C0" w:rsidTr="00C4770D">
        <w:trPr>
          <w:jc w:val="center"/>
        </w:trPr>
        <w:tc>
          <w:tcPr>
            <w:tcW w:w="378" w:type="dxa"/>
          </w:tcPr>
          <w:p w:rsidR="008826BE" w:rsidRPr="00EA59C0" w:rsidRDefault="008826BE" w:rsidP="00DB00BB">
            <w:pPr>
              <w:jc w:val="center"/>
              <w:rPr>
                <w:rFonts w:asciiTheme="minorHAnsi" w:hAnsiTheme="minorHAnsi"/>
                <w:sz w:val="18"/>
                <w:szCs w:val="18"/>
              </w:rPr>
            </w:pPr>
          </w:p>
        </w:tc>
        <w:tc>
          <w:tcPr>
            <w:tcW w:w="7005" w:type="dxa"/>
          </w:tcPr>
          <w:p w:rsidR="008826BE" w:rsidRPr="00EA59C0" w:rsidRDefault="008826BE" w:rsidP="00DB00BB">
            <w:pPr>
              <w:rPr>
                <w:rFonts w:asciiTheme="minorHAnsi" w:hAnsiTheme="minorHAnsi"/>
                <w:b/>
                <w:sz w:val="18"/>
                <w:szCs w:val="18"/>
              </w:rPr>
            </w:pPr>
            <w:r w:rsidRPr="00EA59C0">
              <w:rPr>
                <w:rFonts w:asciiTheme="minorHAnsi" w:hAnsiTheme="minorHAnsi"/>
                <w:b/>
                <w:sz w:val="18"/>
                <w:szCs w:val="18"/>
              </w:rPr>
              <w:t>Outcome</w:t>
            </w:r>
            <w:r w:rsidR="00C026A6" w:rsidRPr="00EA59C0">
              <w:rPr>
                <w:rFonts w:asciiTheme="minorHAnsi" w:hAnsiTheme="minorHAnsi"/>
                <w:b/>
                <w:sz w:val="18"/>
                <w:szCs w:val="18"/>
              </w:rPr>
              <w:t xml:space="preserve"> </w:t>
            </w:r>
            <w:r w:rsidRPr="00EA59C0">
              <w:rPr>
                <w:rFonts w:asciiTheme="minorHAnsi" w:hAnsiTheme="minorHAnsi"/>
                <w:b/>
                <w:sz w:val="18"/>
                <w:szCs w:val="18"/>
              </w:rPr>
              <w:t>Measure</w:t>
            </w:r>
          </w:p>
        </w:tc>
        <w:tc>
          <w:tcPr>
            <w:tcW w:w="2880" w:type="dxa"/>
            <w:gridSpan w:val="2"/>
          </w:tcPr>
          <w:p w:rsidR="008826BE" w:rsidRPr="00EA59C0" w:rsidRDefault="008826BE" w:rsidP="00DB00BB">
            <w:pPr>
              <w:jc w:val="center"/>
              <w:rPr>
                <w:rFonts w:asciiTheme="minorHAnsi" w:hAnsiTheme="minorHAnsi"/>
                <w:b/>
                <w:sz w:val="18"/>
                <w:szCs w:val="18"/>
              </w:rPr>
            </w:pPr>
            <w:r w:rsidRPr="00EA59C0">
              <w:rPr>
                <w:rFonts w:asciiTheme="minorHAnsi" w:hAnsiTheme="minorHAnsi"/>
                <w:b/>
                <w:sz w:val="18"/>
                <w:szCs w:val="18"/>
              </w:rPr>
              <w:t>Targets</w:t>
            </w:r>
            <w:r w:rsidR="00C026A6" w:rsidRPr="00EA59C0">
              <w:rPr>
                <w:rFonts w:asciiTheme="minorHAnsi" w:hAnsiTheme="minorHAnsi"/>
                <w:b/>
                <w:sz w:val="18"/>
                <w:szCs w:val="18"/>
              </w:rPr>
              <w:t xml:space="preserve"> </w:t>
            </w:r>
            <w:r w:rsidRPr="00EA59C0">
              <w:rPr>
                <w:rFonts w:asciiTheme="minorHAnsi" w:hAnsiTheme="minorHAnsi"/>
                <w:b/>
                <w:sz w:val="18"/>
                <w:szCs w:val="18"/>
              </w:rPr>
              <w:t>for</w:t>
            </w:r>
            <w:r w:rsidR="00C026A6" w:rsidRPr="00EA59C0">
              <w:rPr>
                <w:rFonts w:asciiTheme="minorHAnsi" w:hAnsiTheme="minorHAnsi"/>
                <w:b/>
                <w:sz w:val="18"/>
                <w:szCs w:val="18"/>
              </w:rPr>
              <w:t xml:space="preserve"> </w:t>
            </w:r>
            <w:r w:rsidRPr="00EA59C0">
              <w:rPr>
                <w:rFonts w:asciiTheme="minorHAnsi" w:hAnsiTheme="minorHAnsi"/>
                <w:b/>
                <w:sz w:val="18"/>
                <w:szCs w:val="18"/>
              </w:rPr>
              <w:t>all</w:t>
            </w:r>
            <w:r w:rsidR="00C026A6" w:rsidRPr="00EA59C0">
              <w:rPr>
                <w:rFonts w:asciiTheme="minorHAnsi" w:hAnsiTheme="minorHAnsi"/>
                <w:b/>
                <w:sz w:val="18"/>
                <w:szCs w:val="18"/>
              </w:rPr>
              <w:t xml:space="preserve"> </w:t>
            </w:r>
            <w:r w:rsidRPr="00EA59C0">
              <w:rPr>
                <w:rFonts w:asciiTheme="minorHAnsi" w:hAnsiTheme="minorHAnsi"/>
                <w:b/>
                <w:sz w:val="18"/>
                <w:szCs w:val="18"/>
              </w:rPr>
              <w:t>Participants</w:t>
            </w:r>
          </w:p>
        </w:tc>
      </w:tr>
      <w:tr w:rsidR="00EA59C0" w:rsidRPr="00EA59C0" w:rsidTr="00C4770D">
        <w:trPr>
          <w:jc w:val="center"/>
        </w:trPr>
        <w:tc>
          <w:tcPr>
            <w:tcW w:w="378" w:type="dxa"/>
          </w:tcPr>
          <w:p w:rsidR="008826BE" w:rsidRPr="00EA59C0" w:rsidRDefault="008826BE" w:rsidP="00DB00BB">
            <w:pPr>
              <w:jc w:val="center"/>
              <w:rPr>
                <w:rFonts w:asciiTheme="minorHAnsi" w:hAnsiTheme="minorHAnsi"/>
                <w:sz w:val="18"/>
                <w:szCs w:val="18"/>
              </w:rPr>
            </w:pPr>
            <w:r w:rsidRPr="00EA59C0">
              <w:rPr>
                <w:rFonts w:asciiTheme="minorHAnsi" w:hAnsiTheme="minorHAnsi"/>
                <w:sz w:val="18"/>
                <w:szCs w:val="18"/>
              </w:rPr>
              <w:t>1</w:t>
            </w:r>
          </w:p>
        </w:tc>
        <w:tc>
          <w:tcPr>
            <w:tcW w:w="7005" w:type="dxa"/>
          </w:tcPr>
          <w:p w:rsidR="008826BE" w:rsidRPr="00EA59C0" w:rsidRDefault="008826BE" w:rsidP="00DB00BB">
            <w:pPr>
              <w:rPr>
                <w:rFonts w:asciiTheme="minorHAnsi" w:hAnsiTheme="minorHAnsi"/>
                <w:b/>
                <w:sz w:val="18"/>
                <w:szCs w:val="18"/>
              </w:rPr>
            </w:pPr>
            <w:r w:rsidRPr="00EA59C0">
              <w:rPr>
                <w:rFonts w:asciiTheme="minorHAnsi" w:hAnsiTheme="minorHAnsi"/>
                <w:b/>
                <w:sz w:val="18"/>
                <w:szCs w:val="18"/>
              </w:rPr>
              <w:t>Total</w:t>
            </w:r>
            <w:r w:rsidR="00C026A6" w:rsidRPr="00EA59C0">
              <w:rPr>
                <w:rFonts w:asciiTheme="minorHAnsi" w:hAnsiTheme="minorHAnsi"/>
                <w:b/>
                <w:sz w:val="18"/>
                <w:szCs w:val="18"/>
              </w:rPr>
              <w:t xml:space="preserve"> </w:t>
            </w:r>
            <w:r w:rsidRPr="00EA59C0">
              <w:rPr>
                <w:rFonts w:asciiTheme="minorHAnsi" w:hAnsiTheme="minorHAnsi"/>
                <w:b/>
                <w:sz w:val="18"/>
                <w:szCs w:val="18"/>
              </w:rPr>
              <w:t>Unique</w:t>
            </w:r>
            <w:r w:rsidR="00C026A6" w:rsidRPr="00EA59C0">
              <w:rPr>
                <w:rFonts w:asciiTheme="minorHAnsi" w:hAnsiTheme="minorHAnsi"/>
                <w:b/>
                <w:sz w:val="18"/>
                <w:szCs w:val="18"/>
              </w:rPr>
              <w:t xml:space="preserve"> </w:t>
            </w:r>
            <w:r w:rsidRPr="00EA59C0">
              <w:rPr>
                <w:rFonts w:asciiTheme="minorHAnsi" w:hAnsiTheme="minorHAnsi"/>
                <w:b/>
                <w:sz w:val="18"/>
                <w:szCs w:val="18"/>
              </w:rPr>
              <w:t>Participants</w:t>
            </w:r>
            <w:r w:rsidR="00C026A6" w:rsidRPr="00EA59C0">
              <w:rPr>
                <w:rFonts w:asciiTheme="minorHAnsi" w:hAnsiTheme="minorHAnsi"/>
                <w:b/>
                <w:sz w:val="18"/>
                <w:szCs w:val="18"/>
              </w:rPr>
              <w:t xml:space="preserve"> </w:t>
            </w:r>
            <w:r w:rsidRPr="00EA59C0">
              <w:rPr>
                <w:rFonts w:asciiTheme="minorHAnsi" w:hAnsiTheme="minorHAnsi"/>
                <w:b/>
                <w:sz w:val="18"/>
                <w:szCs w:val="18"/>
              </w:rPr>
              <w:t>Served</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Cumulative</w:t>
            </w:r>
            <w:r w:rsidR="00C026A6" w:rsidRPr="00EA59C0">
              <w:rPr>
                <w:rFonts w:asciiTheme="minorHAnsi" w:hAnsiTheme="minorHAnsi"/>
                <w:sz w:val="18"/>
                <w:szCs w:val="18"/>
              </w:rPr>
              <w:t xml:space="preserve"> </w:t>
            </w:r>
            <w:r w:rsidRPr="00EA59C0">
              <w:rPr>
                <w:rFonts w:asciiTheme="minorHAnsi" w:hAnsiTheme="minorHAnsi"/>
                <w:sz w:val="18"/>
                <w:szCs w:val="18"/>
              </w:rPr>
              <w:t>total</w:t>
            </w:r>
            <w:r w:rsidR="00C026A6" w:rsidRPr="00EA59C0">
              <w:rPr>
                <w:rFonts w:asciiTheme="minorHAnsi" w:hAnsiTheme="minorHAnsi"/>
                <w:sz w:val="18"/>
                <w:szCs w:val="18"/>
              </w:rPr>
              <w:t xml:space="preserve"> </w:t>
            </w:r>
            <w:r w:rsidRPr="00EA59C0">
              <w:rPr>
                <w:rFonts w:asciiTheme="minorHAnsi" w:hAnsiTheme="minorHAnsi"/>
                <w:sz w:val="18"/>
                <w:szCs w:val="18"/>
              </w:rPr>
              <w:t>number</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individuals</w:t>
            </w:r>
            <w:r w:rsidR="00C026A6" w:rsidRPr="00EA59C0">
              <w:rPr>
                <w:rFonts w:asciiTheme="minorHAnsi" w:hAnsiTheme="minorHAnsi"/>
                <w:sz w:val="18"/>
                <w:szCs w:val="18"/>
              </w:rPr>
              <w:t xml:space="preserve"> </w:t>
            </w:r>
            <w:r w:rsidRPr="00EA59C0">
              <w:rPr>
                <w:rFonts w:asciiTheme="minorHAnsi" w:hAnsiTheme="minorHAnsi"/>
                <w:sz w:val="18"/>
                <w:szCs w:val="18"/>
              </w:rPr>
              <w:t>entering</w:t>
            </w:r>
            <w:r w:rsidR="00C026A6" w:rsidRPr="00EA59C0">
              <w:rPr>
                <w:rFonts w:asciiTheme="minorHAnsi" w:hAnsiTheme="minorHAnsi"/>
                <w:sz w:val="18"/>
                <w:szCs w:val="18"/>
              </w:rPr>
              <w:t xml:space="preserve"> </w:t>
            </w:r>
            <w:r w:rsidRPr="00EA59C0">
              <w:rPr>
                <w:rFonts w:asciiTheme="minorHAnsi" w:hAnsiTheme="minorHAnsi"/>
                <w:sz w:val="18"/>
                <w:szCs w:val="18"/>
              </w:rPr>
              <w:t>any</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the</w:t>
            </w:r>
            <w:r w:rsidR="00C026A6" w:rsidRPr="00EA59C0">
              <w:rPr>
                <w:rFonts w:asciiTheme="minorHAnsi" w:hAnsiTheme="minorHAnsi"/>
                <w:sz w:val="18"/>
                <w:szCs w:val="18"/>
              </w:rPr>
              <w:t xml:space="preserve"> </w:t>
            </w:r>
            <w:r w:rsidRPr="00EA59C0">
              <w:rPr>
                <w:rFonts w:asciiTheme="minorHAnsi" w:hAnsiTheme="minorHAnsi"/>
                <w:sz w:val="18"/>
                <w:szCs w:val="18"/>
              </w:rPr>
              <w:t>grant-funded</w:t>
            </w:r>
            <w:r w:rsidR="00C026A6" w:rsidRPr="00EA59C0">
              <w:rPr>
                <w:rFonts w:asciiTheme="minorHAnsi" w:hAnsiTheme="minorHAnsi"/>
                <w:sz w:val="18"/>
                <w:szCs w:val="18"/>
              </w:rPr>
              <w:t xml:space="preserve"> </w:t>
            </w:r>
            <w:r w:rsidRPr="00EA59C0">
              <w:rPr>
                <w:rFonts w:asciiTheme="minorHAnsi" w:hAnsiTheme="minorHAnsi"/>
                <w:sz w:val="18"/>
                <w:szCs w:val="18"/>
              </w:rPr>
              <w:t>programs</w:t>
            </w:r>
            <w:r w:rsidR="00C026A6" w:rsidRPr="00EA59C0">
              <w:rPr>
                <w:rFonts w:asciiTheme="minorHAnsi" w:hAnsiTheme="minorHAnsi"/>
                <w:sz w:val="18"/>
                <w:szCs w:val="18"/>
              </w:rPr>
              <w:t xml:space="preserve"> </w:t>
            </w:r>
            <w:r w:rsidRPr="00EA59C0">
              <w:rPr>
                <w:rFonts w:asciiTheme="minorHAnsi" w:hAnsiTheme="minorHAnsi"/>
                <w:sz w:val="18"/>
                <w:szCs w:val="18"/>
              </w:rPr>
              <w:t>offered</w:t>
            </w:r>
          </w:p>
          <w:p w:rsidR="008826BE" w:rsidRPr="00EA59C0" w:rsidRDefault="008826BE" w:rsidP="00DB00BB">
            <w:pPr>
              <w:rPr>
                <w:rFonts w:asciiTheme="minorHAnsi" w:hAnsiTheme="minorHAnsi"/>
                <w:sz w:val="18"/>
                <w:szCs w:val="18"/>
              </w:rPr>
            </w:pPr>
          </w:p>
        </w:tc>
        <w:tc>
          <w:tcPr>
            <w:tcW w:w="1979"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1:</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2:</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3:</w:t>
            </w:r>
          </w:p>
        </w:tc>
        <w:tc>
          <w:tcPr>
            <w:tcW w:w="901"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Total:</w:t>
            </w:r>
          </w:p>
        </w:tc>
      </w:tr>
      <w:tr w:rsidR="00EA59C0" w:rsidRPr="00EA59C0" w:rsidTr="00C4770D">
        <w:trPr>
          <w:jc w:val="center"/>
        </w:trPr>
        <w:tc>
          <w:tcPr>
            <w:tcW w:w="378" w:type="dxa"/>
          </w:tcPr>
          <w:p w:rsidR="008826BE" w:rsidRPr="00EA59C0" w:rsidRDefault="008826BE" w:rsidP="00DB00BB">
            <w:pPr>
              <w:jc w:val="center"/>
              <w:rPr>
                <w:rFonts w:asciiTheme="minorHAnsi" w:hAnsiTheme="minorHAnsi"/>
                <w:sz w:val="18"/>
                <w:szCs w:val="18"/>
              </w:rPr>
            </w:pPr>
            <w:r w:rsidRPr="00EA59C0">
              <w:rPr>
                <w:rFonts w:asciiTheme="minorHAnsi" w:hAnsiTheme="minorHAnsi"/>
                <w:sz w:val="18"/>
                <w:szCs w:val="18"/>
              </w:rPr>
              <w:t>2</w:t>
            </w:r>
          </w:p>
        </w:tc>
        <w:tc>
          <w:tcPr>
            <w:tcW w:w="7005" w:type="dxa"/>
          </w:tcPr>
          <w:p w:rsidR="008826BE" w:rsidRPr="00EA59C0" w:rsidRDefault="008826BE" w:rsidP="00DB00BB">
            <w:pPr>
              <w:rPr>
                <w:rFonts w:asciiTheme="minorHAnsi" w:hAnsiTheme="minorHAnsi"/>
                <w:b/>
                <w:sz w:val="18"/>
                <w:szCs w:val="18"/>
              </w:rPr>
            </w:pPr>
            <w:r w:rsidRPr="00EA59C0">
              <w:rPr>
                <w:rFonts w:asciiTheme="minorHAnsi" w:hAnsiTheme="minorHAnsi"/>
                <w:b/>
                <w:sz w:val="18"/>
                <w:szCs w:val="18"/>
              </w:rPr>
              <w:t>Total</w:t>
            </w:r>
            <w:r w:rsidR="00C026A6" w:rsidRPr="00EA59C0">
              <w:rPr>
                <w:rFonts w:asciiTheme="minorHAnsi" w:hAnsiTheme="minorHAnsi"/>
                <w:b/>
                <w:sz w:val="18"/>
                <w:szCs w:val="18"/>
              </w:rPr>
              <w:t xml:space="preserve"> </w:t>
            </w:r>
            <w:r w:rsidRPr="00EA59C0">
              <w:rPr>
                <w:rFonts w:asciiTheme="minorHAnsi" w:hAnsiTheme="minorHAnsi"/>
                <w:b/>
                <w:sz w:val="18"/>
                <w:szCs w:val="18"/>
              </w:rPr>
              <w:t>Number</w:t>
            </w:r>
            <w:r w:rsidR="00C026A6" w:rsidRPr="00EA59C0">
              <w:rPr>
                <w:rFonts w:asciiTheme="minorHAnsi" w:hAnsiTheme="minorHAnsi"/>
                <w:b/>
                <w:sz w:val="18"/>
                <w:szCs w:val="18"/>
              </w:rPr>
              <w:t xml:space="preserve"> </w:t>
            </w:r>
            <w:r w:rsidRPr="00EA59C0">
              <w:rPr>
                <w:rFonts w:asciiTheme="minorHAnsi" w:hAnsiTheme="minorHAnsi"/>
                <w:b/>
                <w:sz w:val="18"/>
                <w:szCs w:val="18"/>
              </w:rPr>
              <w:t>of</w:t>
            </w:r>
            <w:r w:rsidR="00C026A6" w:rsidRPr="00EA59C0">
              <w:rPr>
                <w:rFonts w:asciiTheme="minorHAnsi" w:hAnsiTheme="minorHAnsi"/>
                <w:b/>
                <w:sz w:val="18"/>
                <w:szCs w:val="18"/>
              </w:rPr>
              <w:t xml:space="preserve"> </w:t>
            </w:r>
            <w:r w:rsidRPr="00EA59C0">
              <w:rPr>
                <w:rFonts w:asciiTheme="minorHAnsi" w:hAnsiTheme="minorHAnsi"/>
                <w:b/>
                <w:sz w:val="18"/>
                <w:szCs w:val="18"/>
              </w:rPr>
              <w:t>Participants</w:t>
            </w:r>
            <w:r w:rsidR="00C026A6" w:rsidRPr="00EA59C0">
              <w:rPr>
                <w:rFonts w:asciiTheme="minorHAnsi" w:hAnsiTheme="minorHAnsi"/>
                <w:b/>
                <w:sz w:val="18"/>
                <w:szCs w:val="18"/>
              </w:rPr>
              <w:t xml:space="preserve"> </w:t>
            </w:r>
            <w:r w:rsidRPr="00EA59C0">
              <w:rPr>
                <w:rFonts w:asciiTheme="minorHAnsi" w:hAnsiTheme="minorHAnsi"/>
                <w:b/>
                <w:sz w:val="18"/>
                <w:szCs w:val="18"/>
              </w:rPr>
              <w:t>Completing</w:t>
            </w:r>
            <w:r w:rsidR="00C026A6" w:rsidRPr="00EA59C0">
              <w:rPr>
                <w:rFonts w:asciiTheme="minorHAnsi" w:hAnsiTheme="minorHAnsi"/>
                <w:b/>
                <w:sz w:val="18"/>
                <w:szCs w:val="18"/>
              </w:rPr>
              <w:t xml:space="preserve"> </w:t>
            </w:r>
            <w:r w:rsidRPr="00EA59C0">
              <w:rPr>
                <w:rFonts w:asciiTheme="minorHAnsi" w:hAnsiTheme="minorHAnsi"/>
                <w:b/>
                <w:sz w:val="18"/>
                <w:szCs w:val="18"/>
              </w:rPr>
              <w:t>a</w:t>
            </w:r>
            <w:r w:rsidR="00C026A6" w:rsidRPr="00EA59C0">
              <w:rPr>
                <w:rFonts w:asciiTheme="minorHAnsi" w:hAnsiTheme="minorHAnsi"/>
                <w:b/>
                <w:sz w:val="18"/>
                <w:szCs w:val="18"/>
              </w:rPr>
              <w:t xml:space="preserve"> </w:t>
            </w:r>
            <w:r w:rsidRPr="00EA59C0">
              <w:rPr>
                <w:rFonts w:asciiTheme="minorHAnsi" w:hAnsiTheme="minorHAnsi"/>
                <w:b/>
                <w:sz w:val="18"/>
                <w:szCs w:val="18"/>
              </w:rPr>
              <w:t>TAACCCT-Funded</w:t>
            </w:r>
            <w:r w:rsidR="00C026A6" w:rsidRPr="00EA59C0">
              <w:rPr>
                <w:rFonts w:asciiTheme="minorHAnsi" w:hAnsiTheme="minorHAnsi"/>
                <w:b/>
                <w:sz w:val="18"/>
                <w:szCs w:val="18"/>
              </w:rPr>
              <w:t xml:space="preserve"> </w:t>
            </w:r>
            <w:r w:rsidRPr="00EA59C0">
              <w:rPr>
                <w:rFonts w:asciiTheme="minorHAnsi" w:hAnsiTheme="minorHAnsi"/>
                <w:b/>
                <w:sz w:val="18"/>
                <w:szCs w:val="18"/>
              </w:rPr>
              <w:t>Program</w:t>
            </w:r>
            <w:r w:rsidR="00C026A6" w:rsidRPr="00EA59C0">
              <w:rPr>
                <w:rFonts w:asciiTheme="minorHAnsi" w:hAnsiTheme="minorHAnsi"/>
                <w:b/>
                <w:sz w:val="18"/>
                <w:szCs w:val="18"/>
              </w:rPr>
              <w:t xml:space="preserve"> </w:t>
            </w:r>
            <w:r w:rsidRPr="00EA59C0">
              <w:rPr>
                <w:rFonts w:asciiTheme="minorHAnsi" w:hAnsiTheme="minorHAnsi"/>
                <w:b/>
                <w:sz w:val="18"/>
                <w:szCs w:val="18"/>
              </w:rPr>
              <w:t>of</w:t>
            </w:r>
            <w:r w:rsidR="00C026A6" w:rsidRPr="00EA59C0">
              <w:rPr>
                <w:rFonts w:asciiTheme="minorHAnsi" w:hAnsiTheme="minorHAnsi"/>
                <w:b/>
                <w:sz w:val="18"/>
                <w:szCs w:val="18"/>
              </w:rPr>
              <w:t xml:space="preserve"> </w:t>
            </w:r>
            <w:r w:rsidRPr="00EA59C0">
              <w:rPr>
                <w:rFonts w:asciiTheme="minorHAnsi" w:hAnsiTheme="minorHAnsi"/>
                <w:b/>
                <w:sz w:val="18"/>
                <w:szCs w:val="18"/>
              </w:rPr>
              <w:t>Study</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Number</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unique</w:t>
            </w:r>
            <w:r w:rsidR="00C026A6" w:rsidRPr="00EA59C0">
              <w:rPr>
                <w:rFonts w:asciiTheme="minorHAnsi" w:hAnsiTheme="minorHAnsi"/>
                <w:sz w:val="18"/>
                <w:szCs w:val="18"/>
              </w:rPr>
              <w:t xml:space="preserve"> </w:t>
            </w:r>
            <w:r w:rsidRPr="00EA59C0">
              <w:rPr>
                <w:rFonts w:asciiTheme="minorHAnsi" w:hAnsiTheme="minorHAnsi"/>
                <w:sz w:val="18"/>
                <w:szCs w:val="18"/>
              </w:rPr>
              <w:t>participants</w:t>
            </w:r>
            <w:r w:rsidR="00C026A6" w:rsidRPr="00EA59C0">
              <w:rPr>
                <w:rFonts w:asciiTheme="minorHAnsi" w:hAnsiTheme="minorHAnsi"/>
                <w:sz w:val="18"/>
                <w:szCs w:val="18"/>
              </w:rPr>
              <w:t xml:space="preserve"> </w:t>
            </w:r>
            <w:r w:rsidRPr="00EA59C0">
              <w:rPr>
                <w:rFonts w:asciiTheme="minorHAnsi" w:hAnsiTheme="minorHAnsi"/>
                <w:sz w:val="18"/>
                <w:szCs w:val="18"/>
              </w:rPr>
              <w:t>having</w:t>
            </w:r>
            <w:r w:rsidR="00C026A6" w:rsidRPr="00EA59C0">
              <w:rPr>
                <w:rFonts w:asciiTheme="minorHAnsi" w:hAnsiTheme="minorHAnsi"/>
                <w:sz w:val="18"/>
                <w:szCs w:val="18"/>
              </w:rPr>
              <w:t xml:space="preserve"> </w:t>
            </w:r>
            <w:r w:rsidRPr="00EA59C0">
              <w:rPr>
                <w:rFonts w:asciiTheme="minorHAnsi" w:hAnsiTheme="minorHAnsi"/>
                <w:sz w:val="18"/>
                <w:szCs w:val="18"/>
              </w:rPr>
              <w:t>earned</w:t>
            </w:r>
            <w:r w:rsidR="00C026A6" w:rsidRPr="00EA59C0">
              <w:rPr>
                <w:rFonts w:asciiTheme="minorHAnsi" w:hAnsiTheme="minorHAnsi"/>
                <w:sz w:val="18"/>
                <w:szCs w:val="18"/>
              </w:rPr>
              <w:t xml:space="preserve"> </w:t>
            </w:r>
            <w:r w:rsidRPr="00EA59C0">
              <w:rPr>
                <w:rFonts w:asciiTheme="minorHAnsi" w:hAnsiTheme="minorHAnsi"/>
                <w:sz w:val="18"/>
                <w:szCs w:val="18"/>
              </w:rPr>
              <w:t>all</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the</w:t>
            </w:r>
            <w:r w:rsidR="00C026A6" w:rsidRPr="00EA59C0">
              <w:rPr>
                <w:rFonts w:asciiTheme="minorHAnsi" w:hAnsiTheme="minorHAnsi"/>
                <w:sz w:val="18"/>
                <w:szCs w:val="18"/>
              </w:rPr>
              <w:t xml:space="preserve"> </w:t>
            </w:r>
            <w:r w:rsidRPr="00EA59C0">
              <w:rPr>
                <w:rFonts w:asciiTheme="minorHAnsi" w:hAnsiTheme="minorHAnsi"/>
                <w:sz w:val="18"/>
                <w:szCs w:val="18"/>
              </w:rPr>
              <w:t>credit</w:t>
            </w:r>
            <w:r w:rsidR="00C026A6" w:rsidRPr="00EA59C0">
              <w:rPr>
                <w:rFonts w:asciiTheme="minorHAnsi" w:hAnsiTheme="minorHAnsi"/>
                <w:sz w:val="18"/>
                <w:szCs w:val="18"/>
              </w:rPr>
              <w:t xml:space="preserve"> </w:t>
            </w:r>
            <w:r w:rsidRPr="00EA59C0">
              <w:rPr>
                <w:rFonts w:asciiTheme="minorHAnsi" w:hAnsiTheme="minorHAnsi"/>
                <w:sz w:val="18"/>
                <w:szCs w:val="18"/>
              </w:rPr>
              <w:t>hours</w:t>
            </w:r>
            <w:r w:rsidR="00C026A6" w:rsidRPr="00EA59C0">
              <w:rPr>
                <w:rFonts w:asciiTheme="minorHAnsi" w:hAnsiTheme="minorHAnsi"/>
                <w:sz w:val="18"/>
                <w:szCs w:val="18"/>
              </w:rPr>
              <w:t xml:space="preserve"> </w:t>
            </w:r>
            <w:r w:rsidRPr="00EA59C0">
              <w:rPr>
                <w:rFonts w:asciiTheme="minorHAnsi" w:hAnsiTheme="minorHAnsi"/>
                <w:sz w:val="18"/>
                <w:szCs w:val="18"/>
              </w:rPr>
              <w:t>(formal</w:t>
            </w:r>
            <w:r w:rsidR="00C026A6" w:rsidRPr="00EA59C0">
              <w:rPr>
                <w:rFonts w:asciiTheme="minorHAnsi" w:hAnsiTheme="minorHAnsi"/>
                <w:sz w:val="18"/>
                <w:szCs w:val="18"/>
              </w:rPr>
              <w:t xml:space="preserve"> </w:t>
            </w:r>
            <w:r w:rsidRPr="00EA59C0">
              <w:rPr>
                <w:rFonts w:asciiTheme="minorHAnsi" w:hAnsiTheme="minorHAnsi"/>
                <w:sz w:val="18"/>
                <w:szCs w:val="18"/>
              </w:rPr>
              <w:t>award</w:t>
            </w:r>
            <w:r w:rsidR="00C026A6" w:rsidRPr="00EA59C0">
              <w:rPr>
                <w:rFonts w:asciiTheme="minorHAnsi" w:hAnsiTheme="minorHAnsi"/>
                <w:sz w:val="18"/>
                <w:szCs w:val="18"/>
              </w:rPr>
              <w:t xml:space="preserve"> </w:t>
            </w:r>
            <w:r w:rsidRPr="00EA59C0">
              <w:rPr>
                <w:rFonts w:asciiTheme="minorHAnsi" w:hAnsiTheme="minorHAnsi"/>
                <w:sz w:val="18"/>
                <w:szCs w:val="18"/>
              </w:rPr>
              <w:t>units)</w:t>
            </w:r>
            <w:r w:rsidR="00C026A6" w:rsidRPr="00EA59C0">
              <w:rPr>
                <w:rFonts w:asciiTheme="minorHAnsi" w:hAnsiTheme="minorHAnsi"/>
                <w:sz w:val="18"/>
                <w:szCs w:val="18"/>
              </w:rPr>
              <w:t xml:space="preserve"> </w:t>
            </w:r>
            <w:r w:rsidRPr="00EA59C0">
              <w:rPr>
                <w:rFonts w:asciiTheme="minorHAnsi" w:hAnsiTheme="minorHAnsi"/>
                <w:sz w:val="18"/>
                <w:szCs w:val="18"/>
              </w:rPr>
              <w:t>needed</w:t>
            </w:r>
            <w:r w:rsidR="00C026A6" w:rsidRPr="00EA59C0">
              <w:rPr>
                <w:rFonts w:asciiTheme="minorHAnsi" w:hAnsiTheme="minorHAnsi"/>
                <w:sz w:val="18"/>
                <w:szCs w:val="18"/>
              </w:rPr>
              <w:t xml:space="preserve"> </w:t>
            </w:r>
            <w:r w:rsidRPr="00EA59C0">
              <w:rPr>
                <w:rFonts w:asciiTheme="minorHAnsi" w:hAnsiTheme="minorHAnsi"/>
                <w:sz w:val="18"/>
                <w:szCs w:val="18"/>
              </w:rPr>
              <w:t>for</w:t>
            </w:r>
            <w:r w:rsidR="00C026A6" w:rsidRPr="00EA59C0">
              <w:rPr>
                <w:rFonts w:asciiTheme="minorHAnsi" w:hAnsiTheme="minorHAnsi"/>
                <w:sz w:val="18"/>
                <w:szCs w:val="18"/>
              </w:rPr>
              <w:t xml:space="preserve"> </w:t>
            </w:r>
            <w:r w:rsidRPr="00EA59C0">
              <w:rPr>
                <w:rFonts w:asciiTheme="minorHAnsi" w:hAnsiTheme="minorHAnsi"/>
                <w:sz w:val="18"/>
                <w:szCs w:val="18"/>
              </w:rPr>
              <w:t>the</w:t>
            </w:r>
            <w:r w:rsidR="00C026A6" w:rsidRPr="00EA59C0">
              <w:rPr>
                <w:rFonts w:asciiTheme="minorHAnsi" w:hAnsiTheme="minorHAnsi"/>
                <w:sz w:val="18"/>
                <w:szCs w:val="18"/>
              </w:rPr>
              <w:t xml:space="preserve"> </w:t>
            </w:r>
            <w:r w:rsidRPr="00EA59C0">
              <w:rPr>
                <w:rFonts w:asciiTheme="minorHAnsi" w:hAnsiTheme="minorHAnsi"/>
                <w:sz w:val="18"/>
                <w:szCs w:val="18"/>
              </w:rPr>
              <w:t>award</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a</w:t>
            </w:r>
            <w:r w:rsidR="00C026A6" w:rsidRPr="00EA59C0">
              <w:rPr>
                <w:rFonts w:asciiTheme="minorHAnsi" w:hAnsiTheme="minorHAnsi"/>
                <w:sz w:val="18"/>
                <w:szCs w:val="18"/>
              </w:rPr>
              <w:t xml:space="preserve"> </w:t>
            </w:r>
            <w:r w:rsidRPr="00EA59C0">
              <w:rPr>
                <w:rFonts w:asciiTheme="minorHAnsi" w:hAnsiTheme="minorHAnsi"/>
                <w:sz w:val="18"/>
                <w:szCs w:val="18"/>
              </w:rPr>
              <w:t>degree</w:t>
            </w:r>
            <w:r w:rsidR="00C026A6" w:rsidRPr="00EA59C0">
              <w:rPr>
                <w:rFonts w:asciiTheme="minorHAnsi" w:hAnsiTheme="minorHAnsi"/>
                <w:sz w:val="18"/>
                <w:szCs w:val="18"/>
              </w:rPr>
              <w:t xml:space="preserve"> </w:t>
            </w:r>
            <w:r w:rsidRPr="00EA59C0">
              <w:rPr>
                <w:rFonts w:asciiTheme="minorHAnsi" w:hAnsiTheme="minorHAnsi"/>
                <w:sz w:val="18"/>
                <w:szCs w:val="18"/>
              </w:rPr>
              <w:t>or</w:t>
            </w:r>
            <w:r w:rsidR="00C026A6" w:rsidRPr="00EA59C0">
              <w:rPr>
                <w:rFonts w:asciiTheme="minorHAnsi" w:hAnsiTheme="minorHAnsi"/>
                <w:sz w:val="18"/>
                <w:szCs w:val="18"/>
              </w:rPr>
              <w:t xml:space="preserve"> </w:t>
            </w:r>
            <w:r w:rsidRPr="00EA59C0">
              <w:rPr>
                <w:rFonts w:asciiTheme="minorHAnsi" w:hAnsiTheme="minorHAnsi"/>
                <w:sz w:val="18"/>
                <w:szCs w:val="18"/>
              </w:rPr>
              <w:t>certificate</w:t>
            </w:r>
            <w:r w:rsidR="00C026A6" w:rsidRPr="00EA59C0">
              <w:rPr>
                <w:rFonts w:asciiTheme="minorHAnsi" w:hAnsiTheme="minorHAnsi"/>
                <w:sz w:val="18"/>
                <w:szCs w:val="18"/>
              </w:rPr>
              <w:t xml:space="preserve"> </w:t>
            </w:r>
            <w:r w:rsidRPr="00EA59C0">
              <w:rPr>
                <w:rFonts w:asciiTheme="minorHAnsi" w:hAnsiTheme="minorHAnsi"/>
                <w:sz w:val="18"/>
                <w:szCs w:val="18"/>
              </w:rPr>
              <w:t>in</w:t>
            </w:r>
            <w:r w:rsidR="00C026A6" w:rsidRPr="00EA59C0">
              <w:rPr>
                <w:rFonts w:asciiTheme="minorHAnsi" w:hAnsiTheme="minorHAnsi"/>
                <w:sz w:val="18"/>
                <w:szCs w:val="18"/>
              </w:rPr>
              <w:t xml:space="preserve"> </w:t>
            </w:r>
            <w:r w:rsidRPr="00EA59C0">
              <w:rPr>
                <w:rFonts w:asciiTheme="minorHAnsi" w:hAnsiTheme="minorHAnsi"/>
                <w:sz w:val="18"/>
                <w:szCs w:val="18"/>
              </w:rPr>
              <w:t>any</w:t>
            </w:r>
            <w:r w:rsidR="00C026A6" w:rsidRPr="00EA59C0">
              <w:rPr>
                <w:rFonts w:asciiTheme="minorHAnsi" w:hAnsiTheme="minorHAnsi"/>
                <w:sz w:val="18"/>
                <w:szCs w:val="18"/>
              </w:rPr>
              <w:t xml:space="preserve"> </w:t>
            </w:r>
            <w:r w:rsidRPr="00EA59C0">
              <w:rPr>
                <w:rFonts w:asciiTheme="minorHAnsi" w:hAnsiTheme="minorHAnsi"/>
                <w:sz w:val="18"/>
                <w:szCs w:val="18"/>
              </w:rPr>
              <w:t>grant-funded</w:t>
            </w:r>
            <w:r w:rsidR="00C026A6" w:rsidRPr="00EA59C0">
              <w:rPr>
                <w:rFonts w:asciiTheme="minorHAnsi" w:hAnsiTheme="minorHAnsi"/>
                <w:sz w:val="18"/>
                <w:szCs w:val="18"/>
              </w:rPr>
              <w:t xml:space="preserve"> </w:t>
            </w:r>
            <w:r w:rsidRPr="00EA59C0">
              <w:rPr>
                <w:rFonts w:asciiTheme="minorHAnsi" w:hAnsiTheme="minorHAnsi"/>
                <w:sz w:val="18"/>
                <w:szCs w:val="18"/>
              </w:rPr>
              <w:t>program</w:t>
            </w:r>
          </w:p>
          <w:p w:rsidR="008826BE" w:rsidRPr="00EA59C0" w:rsidRDefault="008826BE" w:rsidP="00DB00BB">
            <w:pPr>
              <w:rPr>
                <w:rFonts w:asciiTheme="minorHAnsi" w:hAnsiTheme="minorHAnsi"/>
                <w:sz w:val="18"/>
                <w:szCs w:val="18"/>
              </w:rPr>
            </w:pPr>
          </w:p>
        </w:tc>
        <w:tc>
          <w:tcPr>
            <w:tcW w:w="1979"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1:</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2:</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3:</w:t>
            </w:r>
          </w:p>
        </w:tc>
        <w:tc>
          <w:tcPr>
            <w:tcW w:w="901"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Total:</w:t>
            </w:r>
          </w:p>
        </w:tc>
      </w:tr>
      <w:tr w:rsidR="00EA59C0" w:rsidRPr="00EA59C0" w:rsidTr="00C4770D">
        <w:trPr>
          <w:jc w:val="center"/>
        </w:trPr>
        <w:tc>
          <w:tcPr>
            <w:tcW w:w="378" w:type="dxa"/>
          </w:tcPr>
          <w:p w:rsidR="008826BE" w:rsidRPr="00EA59C0" w:rsidRDefault="008826BE" w:rsidP="00DB00BB">
            <w:pPr>
              <w:jc w:val="center"/>
              <w:rPr>
                <w:rFonts w:asciiTheme="minorHAnsi" w:hAnsiTheme="minorHAnsi"/>
                <w:sz w:val="18"/>
                <w:szCs w:val="18"/>
              </w:rPr>
            </w:pPr>
            <w:r w:rsidRPr="00EA59C0">
              <w:rPr>
                <w:rFonts w:asciiTheme="minorHAnsi" w:hAnsiTheme="minorHAnsi"/>
                <w:sz w:val="18"/>
                <w:szCs w:val="18"/>
              </w:rPr>
              <w:t>3</w:t>
            </w:r>
          </w:p>
        </w:tc>
        <w:tc>
          <w:tcPr>
            <w:tcW w:w="7005" w:type="dxa"/>
          </w:tcPr>
          <w:p w:rsidR="008826BE" w:rsidRPr="00EA59C0" w:rsidRDefault="008826BE" w:rsidP="00DB00BB">
            <w:pPr>
              <w:rPr>
                <w:rFonts w:asciiTheme="minorHAnsi" w:hAnsiTheme="minorHAnsi"/>
                <w:b/>
                <w:sz w:val="18"/>
                <w:szCs w:val="18"/>
              </w:rPr>
            </w:pPr>
            <w:r w:rsidRPr="00EA59C0">
              <w:rPr>
                <w:rFonts w:asciiTheme="minorHAnsi" w:hAnsiTheme="minorHAnsi"/>
                <w:b/>
                <w:sz w:val="18"/>
                <w:szCs w:val="18"/>
              </w:rPr>
              <w:t>Total</w:t>
            </w:r>
            <w:r w:rsidR="00C026A6" w:rsidRPr="00EA59C0">
              <w:rPr>
                <w:rFonts w:asciiTheme="minorHAnsi" w:hAnsiTheme="minorHAnsi"/>
                <w:b/>
                <w:sz w:val="18"/>
                <w:szCs w:val="18"/>
              </w:rPr>
              <w:t xml:space="preserve"> </w:t>
            </w:r>
            <w:r w:rsidRPr="00EA59C0">
              <w:rPr>
                <w:rFonts w:asciiTheme="minorHAnsi" w:hAnsiTheme="minorHAnsi"/>
                <w:b/>
                <w:sz w:val="18"/>
                <w:szCs w:val="18"/>
              </w:rPr>
              <w:t>Number</w:t>
            </w:r>
            <w:r w:rsidR="00C026A6" w:rsidRPr="00EA59C0">
              <w:rPr>
                <w:rFonts w:asciiTheme="minorHAnsi" w:hAnsiTheme="minorHAnsi"/>
                <w:b/>
                <w:sz w:val="18"/>
                <w:szCs w:val="18"/>
              </w:rPr>
              <w:t xml:space="preserve"> </w:t>
            </w:r>
            <w:r w:rsidRPr="00EA59C0">
              <w:rPr>
                <w:rFonts w:asciiTheme="minorHAnsi" w:hAnsiTheme="minorHAnsi"/>
                <w:b/>
                <w:sz w:val="18"/>
                <w:szCs w:val="18"/>
              </w:rPr>
              <w:t>of</w:t>
            </w:r>
            <w:r w:rsidR="00C026A6" w:rsidRPr="00EA59C0">
              <w:rPr>
                <w:rFonts w:asciiTheme="minorHAnsi" w:hAnsiTheme="minorHAnsi"/>
                <w:b/>
                <w:sz w:val="18"/>
                <w:szCs w:val="18"/>
              </w:rPr>
              <w:t xml:space="preserve"> </w:t>
            </w:r>
            <w:r w:rsidRPr="00EA59C0">
              <w:rPr>
                <w:rFonts w:asciiTheme="minorHAnsi" w:hAnsiTheme="minorHAnsi"/>
                <w:b/>
                <w:sz w:val="18"/>
                <w:szCs w:val="18"/>
              </w:rPr>
              <w:t>Participants</w:t>
            </w:r>
            <w:r w:rsidR="00C026A6" w:rsidRPr="00EA59C0">
              <w:rPr>
                <w:rFonts w:asciiTheme="minorHAnsi" w:hAnsiTheme="minorHAnsi"/>
                <w:b/>
                <w:sz w:val="18"/>
                <w:szCs w:val="18"/>
              </w:rPr>
              <w:t xml:space="preserve"> </w:t>
            </w:r>
            <w:r w:rsidRPr="00EA59C0">
              <w:rPr>
                <w:rFonts w:asciiTheme="minorHAnsi" w:hAnsiTheme="minorHAnsi"/>
                <w:b/>
                <w:sz w:val="18"/>
                <w:szCs w:val="18"/>
              </w:rPr>
              <w:t>Still</w:t>
            </w:r>
            <w:r w:rsidR="00C026A6" w:rsidRPr="00EA59C0">
              <w:rPr>
                <w:rFonts w:asciiTheme="minorHAnsi" w:hAnsiTheme="minorHAnsi"/>
                <w:b/>
                <w:sz w:val="18"/>
                <w:szCs w:val="18"/>
              </w:rPr>
              <w:t xml:space="preserve"> </w:t>
            </w:r>
            <w:r w:rsidRPr="00EA59C0">
              <w:rPr>
                <w:rFonts w:asciiTheme="minorHAnsi" w:hAnsiTheme="minorHAnsi"/>
                <w:b/>
                <w:sz w:val="18"/>
                <w:szCs w:val="18"/>
              </w:rPr>
              <w:t>Retained</w:t>
            </w:r>
            <w:r w:rsidR="00C026A6" w:rsidRPr="00EA59C0">
              <w:rPr>
                <w:rFonts w:asciiTheme="minorHAnsi" w:hAnsiTheme="minorHAnsi"/>
                <w:b/>
                <w:sz w:val="18"/>
                <w:szCs w:val="18"/>
              </w:rPr>
              <w:t xml:space="preserve"> </w:t>
            </w:r>
            <w:r w:rsidRPr="00EA59C0">
              <w:rPr>
                <w:rFonts w:asciiTheme="minorHAnsi" w:hAnsiTheme="minorHAnsi"/>
                <w:b/>
                <w:sz w:val="18"/>
                <w:szCs w:val="18"/>
              </w:rPr>
              <w:t>in</w:t>
            </w:r>
            <w:r w:rsidR="00C026A6" w:rsidRPr="00EA59C0">
              <w:rPr>
                <w:rFonts w:asciiTheme="minorHAnsi" w:hAnsiTheme="minorHAnsi"/>
                <w:b/>
                <w:sz w:val="18"/>
                <w:szCs w:val="18"/>
              </w:rPr>
              <w:t xml:space="preserve"> </w:t>
            </w:r>
            <w:r w:rsidRPr="00EA59C0">
              <w:rPr>
                <w:rFonts w:asciiTheme="minorHAnsi" w:hAnsiTheme="minorHAnsi"/>
                <w:b/>
                <w:sz w:val="18"/>
                <w:szCs w:val="18"/>
              </w:rPr>
              <w:t>Their</w:t>
            </w:r>
            <w:r w:rsidR="00C026A6" w:rsidRPr="00EA59C0">
              <w:rPr>
                <w:rFonts w:asciiTheme="minorHAnsi" w:hAnsiTheme="minorHAnsi"/>
                <w:b/>
                <w:sz w:val="18"/>
                <w:szCs w:val="18"/>
              </w:rPr>
              <w:t xml:space="preserve"> </w:t>
            </w:r>
            <w:r w:rsidRPr="00EA59C0">
              <w:rPr>
                <w:rFonts w:asciiTheme="minorHAnsi" w:hAnsiTheme="minorHAnsi"/>
                <w:b/>
                <w:sz w:val="18"/>
                <w:szCs w:val="18"/>
              </w:rPr>
              <w:t>Program</w:t>
            </w:r>
            <w:r w:rsidR="00C026A6" w:rsidRPr="00EA59C0">
              <w:rPr>
                <w:rFonts w:asciiTheme="minorHAnsi" w:hAnsiTheme="minorHAnsi"/>
                <w:b/>
                <w:sz w:val="18"/>
                <w:szCs w:val="18"/>
              </w:rPr>
              <w:t xml:space="preserve"> </w:t>
            </w:r>
            <w:r w:rsidRPr="00EA59C0">
              <w:rPr>
                <w:rFonts w:asciiTheme="minorHAnsi" w:hAnsiTheme="minorHAnsi"/>
                <w:b/>
                <w:sz w:val="18"/>
                <w:szCs w:val="18"/>
              </w:rPr>
              <w:t>of</w:t>
            </w:r>
            <w:r w:rsidR="00C026A6" w:rsidRPr="00EA59C0">
              <w:rPr>
                <w:rFonts w:asciiTheme="minorHAnsi" w:hAnsiTheme="minorHAnsi"/>
                <w:b/>
                <w:sz w:val="18"/>
                <w:szCs w:val="18"/>
              </w:rPr>
              <w:t xml:space="preserve"> </w:t>
            </w:r>
            <w:r w:rsidRPr="00EA59C0">
              <w:rPr>
                <w:rFonts w:asciiTheme="minorHAnsi" w:hAnsiTheme="minorHAnsi"/>
                <w:b/>
                <w:sz w:val="18"/>
                <w:szCs w:val="18"/>
              </w:rPr>
              <w:t>Study</w:t>
            </w:r>
            <w:r w:rsidR="00C026A6" w:rsidRPr="00EA59C0">
              <w:rPr>
                <w:rFonts w:asciiTheme="minorHAnsi" w:hAnsiTheme="minorHAnsi"/>
                <w:b/>
                <w:sz w:val="18"/>
                <w:szCs w:val="18"/>
              </w:rPr>
              <w:t xml:space="preserve"> </w:t>
            </w:r>
            <w:r w:rsidRPr="00EA59C0">
              <w:rPr>
                <w:rFonts w:asciiTheme="minorHAnsi" w:hAnsiTheme="minorHAnsi"/>
                <w:b/>
                <w:sz w:val="18"/>
                <w:szCs w:val="18"/>
              </w:rPr>
              <w:t>or</w:t>
            </w:r>
            <w:r w:rsidR="00C026A6" w:rsidRPr="00EA59C0">
              <w:rPr>
                <w:rFonts w:asciiTheme="minorHAnsi" w:hAnsiTheme="minorHAnsi"/>
                <w:b/>
                <w:sz w:val="18"/>
                <w:szCs w:val="18"/>
              </w:rPr>
              <w:t xml:space="preserve"> </w:t>
            </w:r>
            <w:r w:rsidRPr="00EA59C0">
              <w:rPr>
                <w:rFonts w:asciiTheme="minorHAnsi" w:hAnsiTheme="minorHAnsi"/>
                <w:b/>
                <w:sz w:val="18"/>
                <w:szCs w:val="18"/>
              </w:rPr>
              <w:t>Other</w:t>
            </w:r>
            <w:r w:rsidR="00C026A6" w:rsidRPr="00EA59C0">
              <w:rPr>
                <w:rFonts w:asciiTheme="minorHAnsi" w:hAnsiTheme="minorHAnsi"/>
                <w:b/>
                <w:sz w:val="18"/>
                <w:szCs w:val="18"/>
              </w:rPr>
              <w:t xml:space="preserve"> </w:t>
            </w:r>
            <w:r w:rsidRPr="00EA59C0">
              <w:rPr>
                <w:rFonts w:asciiTheme="minorHAnsi" w:hAnsiTheme="minorHAnsi"/>
                <w:b/>
                <w:sz w:val="18"/>
                <w:szCs w:val="18"/>
              </w:rPr>
              <w:t>TAACCCT-Funded</w:t>
            </w:r>
            <w:r w:rsidR="00C026A6" w:rsidRPr="00EA59C0">
              <w:rPr>
                <w:rFonts w:asciiTheme="minorHAnsi" w:hAnsiTheme="minorHAnsi"/>
                <w:b/>
                <w:sz w:val="18"/>
                <w:szCs w:val="18"/>
              </w:rPr>
              <w:t xml:space="preserve"> </w:t>
            </w:r>
            <w:r w:rsidRPr="00EA59C0">
              <w:rPr>
                <w:rFonts w:asciiTheme="minorHAnsi" w:hAnsiTheme="minorHAnsi"/>
                <w:b/>
                <w:sz w:val="18"/>
                <w:szCs w:val="18"/>
              </w:rPr>
              <w:t>Program</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Number</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unique</w:t>
            </w:r>
            <w:r w:rsidR="00C026A6" w:rsidRPr="00EA59C0">
              <w:rPr>
                <w:rFonts w:asciiTheme="minorHAnsi" w:hAnsiTheme="minorHAnsi"/>
                <w:sz w:val="18"/>
                <w:szCs w:val="18"/>
              </w:rPr>
              <w:t xml:space="preserve"> </w:t>
            </w:r>
            <w:r w:rsidRPr="00EA59C0">
              <w:rPr>
                <w:rFonts w:asciiTheme="minorHAnsi" w:hAnsiTheme="minorHAnsi"/>
                <w:sz w:val="18"/>
                <w:szCs w:val="18"/>
              </w:rPr>
              <w:t>participants</w:t>
            </w:r>
            <w:r w:rsidR="00C026A6" w:rsidRPr="00EA59C0">
              <w:rPr>
                <w:rFonts w:asciiTheme="minorHAnsi" w:hAnsiTheme="minorHAnsi"/>
                <w:sz w:val="18"/>
                <w:szCs w:val="18"/>
              </w:rPr>
              <w:t xml:space="preserve"> </w:t>
            </w:r>
            <w:r w:rsidRPr="00EA59C0">
              <w:rPr>
                <w:rFonts w:asciiTheme="minorHAnsi" w:hAnsiTheme="minorHAnsi"/>
                <w:sz w:val="18"/>
                <w:szCs w:val="18"/>
              </w:rPr>
              <w:t>enrolled</w:t>
            </w:r>
            <w:r w:rsidR="00C026A6" w:rsidRPr="00EA59C0">
              <w:rPr>
                <w:rFonts w:asciiTheme="minorHAnsi" w:hAnsiTheme="minorHAnsi"/>
                <w:sz w:val="18"/>
                <w:szCs w:val="18"/>
              </w:rPr>
              <w:t xml:space="preserve"> </w:t>
            </w:r>
            <w:r w:rsidRPr="00EA59C0">
              <w:rPr>
                <w:rFonts w:asciiTheme="minorHAnsi" w:hAnsiTheme="minorHAnsi"/>
                <w:sz w:val="18"/>
                <w:szCs w:val="18"/>
              </w:rPr>
              <w:t>who</w:t>
            </w:r>
            <w:r w:rsidR="00C026A6" w:rsidRPr="00EA59C0">
              <w:rPr>
                <w:rFonts w:asciiTheme="minorHAnsi" w:hAnsiTheme="minorHAnsi"/>
                <w:sz w:val="18"/>
                <w:szCs w:val="18"/>
              </w:rPr>
              <w:t xml:space="preserve"> </w:t>
            </w:r>
            <w:r w:rsidRPr="00EA59C0">
              <w:rPr>
                <w:rFonts w:asciiTheme="minorHAnsi" w:hAnsiTheme="minorHAnsi"/>
                <w:sz w:val="18"/>
                <w:szCs w:val="18"/>
              </w:rPr>
              <w:t>did</w:t>
            </w:r>
            <w:r w:rsidR="00C026A6" w:rsidRPr="00EA59C0">
              <w:rPr>
                <w:rFonts w:asciiTheme="minorHAnsi" w:hAnsiTheme="minorHAnsi"/>
                <w:sz w:val="18"/>
                <w:szCs w:val="18"/>
              </w:rPr>
              <w:t xml:space="preserve"> </w:t>
            </w:r>
            <w:r w:rsidRPr="00EA59C0">
              <w:rPr>
                <w:rFonts w:asciiTheme="minorHAnsi" w:hAnsiTheme="minorHAnsi"/>
                <w:sz w:val="18"/>
                <w:szCs w:val="18"/>
              </w:rPr>
              <w:t>not</w:t>
            </w:r>
            <w:r w:rsidR="00C026A6" w:rsidRPr="00EA59C0">
              <w:rPr>
                <w:rFonts w:asciiTheme="minorHAnsi" w:hAnsiTheme="minorHAnsi"/>
                <w:sz w:val="18"/>
                <w:szCs w:val="18"/>
              </w:rPr>
              <w:t xml:space="preserve"> </w:t>
            </w:r>
            <w:r w:rsidRPr="00EA59C0">
              <w:rPr>
                <w:rFonts w:asciiTheme="minorHAnsi" w:hAnsiTheme="minorHAnsi"/>
                <w:sz w:val="18"/>
                <w:szCs w:val="18"/>
              </w:rPr>
              <w:t>complete</w:t>
            </w:r>
            <w:r w:rsidR="00C026A6" w:rsidRPr="00EA59C0">
              <w:rPr>
                <w:rFonts w:asciiTheme="minorHAnsi" w:hAnsiTheme="minorHAnsi"/>
                <w:sz w:val="18"/>
                <w:szCs w:val="18"/>
              </w:rPr>
              <w:t xml:space="preserve"> </w:t>
            </w:r>
            <w:r w:rsidRPr="00EA59C0">
              <w:rPr>
                <w:rFonts w:asciiTheme="minorHAnsi" w:hAnsiTheme="minorHAnsi"/>
                <w:sz w:val="18"/>
                <w:szCs w:val="18"/>
              </w:rPr>
              <w:t>and</w:t>
            </w:r>
            <w:r w:rsidR="00C026A6" w:rsidRPr="00EA59C0">
              <w:rPr>
                <w:rFonts w:asciiTheme="minorHAnsi" w:hAnsiTheme="minorHAnsi"/>
                <w:sz w:val="18"/>
                <w:szCs w:val="18"/>
              </w:rPr>
              <w:t xml:space="preserve"> </w:t>
            </w:r>
            <w:r w:rsidRPr="00EA59C0">
              <w:rPr>
                <w:rFonts w:asciiTheme="minorHAnsi" w:hAnsiTheme="minorHAnsi"/>
                <w:sz w:val="18"/>
                <w:szCs w:val="18"/>
              </w:rPr>
              <w:t>are</w:t>
            </w:r>
            <w:r w:rsidR="00C026A6" w:rsidRPr="00EA59C0">
              <w:rPr>
                <w:rFonts w:asciiTheme="minorHAnsi" w:hAnsiTheme="minorHAnsi"/>
                <w:sz w:val="18"/>
                <w:szCs w:val="18"/>
              </w:rPr>
              <w:t xml:space="preserve"> </w:t>
            </w:r>
            <w:r w:rsidRPr="00EA59C0">
              <w:rPr>
                <w:rFonts w:asciiTheme="minorHAnsi" w:hAnsiTheme="minorHAnsi"/>
                <w:sz w:val="18"/>
                <w:szCs w:val="18"/>
              </w:rPr>
              <w:t>still</w:t>
            </w:r>
            <w:r w:rsidR="00C026A6" w:rsidRPr="00EA59C0">
              <w:rPr>
                <w:rFonts w:asciiTheme="minorHAnsi" w:hAnsiTheme="minorHAnsi"/>
                <w:sz w:val="18"/>
                <w:szCs w:val="18"/>
              </w:rPr>
              <w:t xml:space="preserve"> </w:t>
            </w:r>
            <w:r w:rsidRPr="00EA59C0">
              <w:rPr>
                <w:rFonts w:asciiTheme="minorHAnsi" w:hAnsiTheme="minorHAnsi"/>
                <w:sz w:val="18"/>
                <w:szCs w:val="18"/>
              </w:rPr>
              <w:t>enrolled</w:t>
            </w:r>
            <w:r w:rsidR="00C026A6" w:rsidRPr="00EA59C0">
              <w:rPr>
                <w:rFonts w:asciiTheme="minorHAnsi" w:hAnsiTheme="minorHAnsi"/>
                <w:sz w:val="18"/>
                <w:szCs w:val="18"/>
              </w:rPr>
              <w:t xml:space="preserve"> </w:t>
            </w:r>
            <w:r w:rsidRPr="00EA59C0">
              <w:rPr>
                <w:rFonts w:asciiTheme="minorHAnsi" w:hAnsiTheme="minorHAnsi"/>
                <w:sz w:val="18"/>
                <w:szCs w:val="18"/>
              </w:rPr>
              <w:t>in</w:t>
            </w:r>
            <w:r w:rsidR="00C026A6" w:rsidRPr="00EA59C0">
              <w:rPr>
                <w:rFonts w:asciiTheme="minorHAnsi" w:hAnsiTheme="minorHAnsi"/>
                <w:sz w:val="18"/>
                <w:szCs w:val="18"/>
              </w:rPr>
              <w:t xml:space="preserve"> </w:t>
            </w:r>
            <w:r w:rsidRPr="00EA59C0">
              <w:rPr>
                <w:rFonts w:asciiTheme="minorHAnsi" w:hAnsiTheme="minorHAnsi"/>
                <w:sz w:val="18"/>
                <w:szCs w:val="18"/>
              </w:rPr>
              <w:t>a</w:t>
            </w:r>
            <w:r w:rsidR="00C026A6" w:rsidRPr="00EA59C0">
              <w:rPr>
                <w:rFonts w:asciiTheme="minorHAnsi" w:hAnsiTheme="minorHAnsi"/>
                <w:sz w:val="18"/>
                <w:szCs w:val="18"/>
              </w:rPr>
              <w:t xml:space="preserve"> </w:t>
            </w:r>
            <w:r w:rsidRPr="00EA59C0">
              <w:rPr>
                <w:rFonts w:asciiTheme="minorHAnsi" w:hAnsiTheme="minorHAnsi"/>
                <w:sz w:val="18"/>
                <w:szCs w:val="18"/>
              </w:rPr>
              <w:t>grant-funded</w:t>
            </w:r>
            <w:r w:rsidR="00C026A6" w:rsidRPr="00EA59C0">
              <w:rPr>
                <w:rFonts w:asciiTheme="minorHAnsi" w:hAnsiTheme="minorHAnsi"/>
                <w:sz w:val="18"/>
                <w:szCs w:val="18"/>
              </w:rPr>
              <w:t xml:space="preserve"> </w:t>
            </w:r>
            <w:r w:rsidRPr="00EA59C0">
              <w:rPr>
                <w:rFonts w:asciiTheme="minorHAnsi" w:hAnsiTheme="minorHAnsi"/>
                <w:sz w:val="18"/>
                <w:szCs w:val="18"/>
              </w:rPr>
              <w:t>program</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study</w:t>
            </w:r>
          </w:p>
          <w:p w:rsidR="008826BE" w:rsidRPr="00EA59C0" w:rsidRDefault="008826BE" w:rsidP="00DB00BB">
            <w:pPr>
              <w:rPr>
                <w:rFonts w:asciiTheme="minorHAnsi" w:hAnsiTheme="minorHAnsi"/>
                <w:sz w:val="18"/>
                <w:szCs w:val="18"/>
              </w:rPr>
            </w:pPr>
          </w:p>
        </w:tc>
        <w:tc>
          <w:tcPr>
            <w:tcW w:w="1979"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1:</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2:</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3:</w:t>
            </w:r>
          </w:p>
        </w:tc>
        <w:tc>
          <w:tcPr>
            <w:tcW w:w="901"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Total:</w:t>
            </w:r>
          </w:p>
        </w:tc>
      </w:tr>
      <w:tr w:rsidR="00EA59C0" w:rsidRPr="00EA59C0" w:rsidTr="00C4770D">
        <w:trPr>
          <w:jc w:val="center"/>
        </w:trPr>
        <w:tc>
          <w:tcPr>
            <w:tcW w:w="378" w:type="dxa"/>
          </w:tcPr>
          <w:p w:rsidR="008826BE" w:rsidRPr="00EA59C0" w:rsidRDefault="008826BE" w:rsidP="00DB00BB">
            <w:pPr>
              <w:jc w:val="center"/>
              <w:rPr>
                <w:rFonts w:asciiTheme="minorHAnsi" w:hAnsiTheme="minorHAnsi"/>
                <w:sz w:val="18"/>
                <w:szCs w:val="18"/>
              </w:rPr>
            </w:pPr>
            <w:r w:rsidRPr="00EA59C0">
              <w:rPr>
                <w:rFonts w:asciiTheme="minorHAnsi" w:hAnsiTheme="minorHAnsi"/>
                <w:sz w:val="18"/>
                <w:szCs w:val="18"/>
              </w:rPr>
              <w:t>4</w:t>
            </w:r>
          </w:p>
        </w:tc>
        <w:tc>
          <w:tcPr>
            <w:tcW w:w="7005" w:type="dxa"/>
          </w:tcPr>
          <w:p w:rsidR="008826BE" w:rsidRPr="00EA59C0" w:rsidRDefault="008826BE" w:rsidP="00DB00BB">
            <w:pPr>
              <w:rPr>
                <w:rFonts w:asciiTheme="minorHAnsi" w:hAnsiTheme="minorHAnsi"/>
                <w:b/>
                <w:sz w:val="18"/>
                <w:szCs w:val="18"/>
              </w:rPr>
            </w:pPr>
            <w:r w:rsidRPr="00EA59C0">
              <w:rPr>
                <w:rFonts w:asciiTheme="minorHAnsi" w:hAnsiTheme="minorHAnsi"/>
                <w:b/>
                <w:sz w:val="18"/>
                <w:szCs w:val="18"/>
              </w:rPr>
              <w:t>Total</w:t>
            </w:r>
            <w:r w:rsidR="00C026A6" w:rsidRPr="00EA59C0">
              <w:rPr>
                <w:rFonts w:asciiTheme="minorHAnsi" w:hAnsiTheme="minorHAnsi"/>
                <w:b/>
                <w:sz w:val="18"/>
                <w:szCs w:val="18"/>
              </w:rPr>
              <w:t xml:space="preserve"> </w:t>
            </w:r>
            <w:r w:rsidRPr="00EA59C0">
              <w:rPr>
                <w:rFonts w:asciiTheme="minorHAnsi" w:hAnsiTheme="minorHAnsi"/>
                <w:b/>
                <w:sz w:val="18"/>
                <w:szCs w:val="18"/>
              </w:rPr>
              <w:t>Number</w:t>
            </w:r>
            <w:r w:rsidR="00C026A6" w:rsidRPr="00EA59C0">
              <w:rPr>
                <w:rFonts w:asciiTheme="minorHAnsi" w:hAnsiTheme="minorHAnsi"/>
                <w:b/>
                <w:sz w:val="18"/>
                <w:szCs w:val="18"/>
              </w:rPr>
              <w:t xml:space="preserve"> </w:t>
            </w:r>
            <w:r w:rsidRPr="00EA59C0">
              <w:rPr>
                <w:rFonts w:asciiTheme="minorHAnsi" w:hAnsiTheme="minorHAnsi"/>
                <w:b/>
                <w:sz w:val="18"/>
                <w:szCs w:val="18"/>
              </w:rPr>
              <w:t>of</w:t>
            </w:r>
            <w:r w:rsidR="00C026A6" w:rsidRPr="00EA59C0">
              <w:rPr>
                <w:rFonts w:asciiTheme="minorHAnsi" w:hAnsiTheme="minorHAnsi"/>
                <w:b/>
                <w:sz w:val="18"/>
                <w:szCs w:val="18"/>
              </w:rPr>
              <w:t xml:space="preserve"> </w:t>
            </w:r>
            <w:r w:rsidRPr="00EA59C0">
              <w:rPr>
                <w:rFonts w:asciiTheme="minorHAnsi" w:hAnsiTheme="minorHAnsi"/>
                <w:b/>
                <w:sz w:val="18"/>
                <w:szCs w:val="18"/>
              </w:rPr>
              <w:t>Participants</w:t>
            </w:r>
            <w:r w:rsidR="00C026A6" w:rsidRPr="00EA59C0">
              <w:rPr>
                <w:rFonts w:asciiTheme="minorHAnsi" w:hAnsiTheme="minorHAnsi"/>
                <w:b/>
                <w:sz w:val="18"/>
                <w:szCs w:val="18"/>
              </w:rPr>
              <w:t xml:space="preserve"> </w:t>
            </w:r>
            <w:r w:rsidRPr="00EA59C0">
              <w:rPr>
                <w:rFonts w:asciiTheme="minorHAnsi" w:hAnsiTheme="minorHAnsi"/>
                <w:b/>
                <w:sz w:val="18"/>
                <w:szCs w:val="18"/>
              </w:rPr>
              <w:t>Completing</w:t>
            </w:r>
            <w:r w:rsidR="00C026A6" w:rsidRPr="00EA59C0">
              <w:rPr>
                <w:rFonts w:asciiTheme="minorHAnsi" w:hAnsiTheme="minorHAnsi"/>
                <w:b/>
                <w:sz w:val="18"/>
                <w:szCs w:val="18"/>
              </w:rPr>
              <w:t xml:space="preserve"> </w:t>
            </w:r>
            <w:r w:rsidRPr="00EA59C0">
              <w:rPr>
                <w:rFonts w:asciiTheme="minorHAnsi" w:hAnsiTheme="minorHAnsi"/>
                <w:b/>
                <w:sz w:val="18"/>
                <w:szCs w:val="18"/>
              </w:rPr>
              <w:t>Credit</w:t>
            </w:r>
            <w:r w:rsidR="00C026A6" w:rsidRPr="00EA59C0">
              <w:rPr>
                <w:rFonts w:asciiTheme="minorHAnsi" w:hAnsiTheme="minorHAnsi"/>
                <w:b/>
                <w:sz w:val="18"/>
                <w:szCs w:val="18"/>
              </w:rPr>
              <w:t xml:space="preserve"> </w:t>
            </w:r>
            <w:r w:rsidRPr="00EA59C0">
              <w:rPr>
                <w:rFonts w:asciiTheme="minorHAnsi" w:hAnsiTheme="minorHAnsi"/>
                <w:b/>
                <w:sz w:val="18"/>
                <w:szCs w:val="18"/>
              </w:rPr>
              <w:t>Hours</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Total</w:t>
            </w:r>
            <w:r w:rsidR="00C026A6" w:rsidRPr="00EA59C0">
              <w:rPr>
                <w:rFonts w:asciiTheme="minorHAnsi" w:hAnsiTheme="minorHAnsi"/>
                <w:sz w:val="18"/>
                <w:szCs w:val="18"/>
              </w:rPr>
              <w:t xml:space="preserve"> </w:t>
            </w:r>
            <w:r w:rsidRPr="00EA59C0">
              <w:rPr>
                <w:rFonts w:asciiTheme="minorHAnsi" w:hAnsiTheme="minorHAnsi"/>
                <w:sz w:val="18"/>
                <w:szCs w:val="18"/>
              </w:rPr>
              <w:t>number</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students</w:t>
            </w:r>
            <w:r w:rsidR="00C026A6" w:rsidRPr="00EA59C0">
              <w:rPr>
                <w:rFonts w:asciiTheme="minorHAnsi" w:hAnsiTheme="minorHAnsi"/>
                <w:sz w:val="18"/>
                <w:szCs w:val="18"/>
              </w:rPr>
              <w:t xml:space="preserve"> </w:t>
            </w:r>
            <w:r w:rsidRPr="00EA59C0">
              <w:rPr>
                <w:rFonts w:asciiTheme="minorHAnsi" w:hAnsiTheme="minorHAnsi"/>
                <w:sz w:val="18"/>
                <w:szCs w:val="18"/>
              </w:rPr>
              <w:t>enrolled</w:t>
            </w:r>
            <w:r w:rsidR="00C026A6" w:rsidRPr="00EA59C0">
              <w:rPr>
                <w:rFonts w:asciiTheme="minorHAnsi" w:hAnsiTheme="minorHAnsi"/>
                <w:sz w:val="18"/>
                <w:szCs w:val="18"/>
              </w:rPr>
              <w:t xml:space="preserve"> </w:t>
            </w:r>
            <w:r w:rsidRPr="00EA59C0">
              <w:rPr>
                <w:rFonts w:asciiTheme="minorHAnsi" w:hAnsiTheme="minorHAnsi"/>
                <w:sz w:val="18"/>
                <w:szCs w:val="18"/>
              </w:rPr>
              <w:t>that</w:t>
            </w:r>
            <w:r w:rsidR="00C026A6" w:rsidRPr="00EA59C0">
              <w:rPr>
                <w:rFonts w:asciiTheme="minorHAnsi" w:hAnsiTheme="minorHAnsi"/>
                <w:sz w:val="18"/>
                <w:szCs w:val="18"/>
              </w:rPr>
              <w:t xml:space="preserve"> </w:t>
            </w:r>
            <w:r w:rsidRPr="00EA59C0">
              <w:rPr>
                <w:rFonts w:asciiTheme="minorHAnsi" w:hAnsiTheme="minorHAnsi"/>
                <w:sz w:val="18"/>
                <w:szCs w:val="18"/>
              </w:rPr>
              <w:t>have</w:t>
            </w:r>
            <w:r w:rsidR="00C026A6" w:rsidRPr="00EA59C0">
              <w:rPr>
                <w:rFonts w:asciiTheme="minorHAnsi" w:hAnsiTheme="minorHAnsi"/>
                <w:sz w:val="18"/>
                <w:szCs w:val="18"/>
              </w:rPr>
              <w:t xml:space="preserve"> </w:t>
            </w:r>
            <w:r w:rsidRPr="00EA59C0">
              <w:rPr>
                <w:rFonts w:asciiTheme="minorHAnsi" w:hAnsiTheme="minorHAnsi"/>
                <w:sz w:val="18"/>
                <w:szCs w:val="18"/>
              </w:rPr>
              <w:t>completed</w:t>
            </w:r>
            <w:r w:rsidR="00C026A6" w:rsidRPr="00EA59C0">
              <w:rPr>
                <w:rFonts w:asciiTheme="minorHAnsi" w:hAnsiTheme="minorHAnsi"/>
                <w:sz w:val="18"/>
                <w:szCs w:val="18"/>
              </w:rPr>
              <w:t xml:space="preserve"> </w:t>
            </w:r>
            <w:r w:rsidRPr="00EA59C0">
              <w:rPr>
                <w:rFonts w:asciiTheme="minorHAnsi" w:hAnsiTheme="minorHAnsi"/>
                <w:sz w:val="18"/>
                <w:szCs w:val="18"/>
              </w:rPr>
              <w:t>any</w:t>
            </w:r>
            <w:r w:rsidR="00C026A6" w:rsidRPr="00EA59C0">
              <w:rPr>
                <w:rFonts w:asciiTheme="minorHAnsi" w:hAnsiTheme="minorHAnsi"/>
                <w:sz w:val="18"/>
                <w:szCs w:val="18"/>
              </w:rPr>
              <w:t xml:space="preserve"> </w:t>
            </w:r>
            <w:r w:rsidRPr="00EA59C0">
              <w:rPr>
                <w:rFonts w:asciiTheme="minorHAnsi" w:hAnsiTheme="minorHAnsi"/>
                <w:sz w:val="18"/>
                <w:szCs w:val="18"/>
              </w:rPr>
              <w:t>number</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credit</w:t>
            </w:r>
            <w:r w:rsidR="00C026A6" w:rsidRPr="00EA59C0">
              <w:rPr>
                <w:rFonts w:asciiTheme="minorHAnsi" w:hAnsiTheme="minorHAnsi"/>
                <w:sz w:val="18"/>
                <w:szCs w:val="18"/>
              </w:rPr>
              <w:t xml:space="preserve"> </w:t>
            </w:r>
            <w:r w:rsidRPr="00EA59C0">
              <w:rPr>
                <w:rFonts w:asciiTheme="minorHAnsi" w:hAnsiTheme="minorHAnsi"/>
                <w:sz w:val="18"/>
                <w:szCs w:val="18"/>
              </w:rPr>
              <w:t>hours</w:t>
            </w:r>
            <w:r w:rsidR="00C026A6" w:rsidRPr="00EA59C0">
              <w:rPr>
                <w:rFonts w:asciiTheme="minorHAnsi" w:hAnsiTheme="minorHAnsi"/>
                <w:sz w:val="18"/>
                <w:szCs w:val="18"/>
              </w:rPr>
              <w:t xml:space="preserve"> </w:t>
            </w:r>
            <w:r w:rsidRPr="00EA59C0">
              <w:rPr>
                <w:rFonts w:asciiTheme="minorHAnsi" w:hAnsiTheme="minorHAnsi"/>
                <w:sz w:val="18"/>
                <w:szCs w:val="18"/>
              </w:rPr>
              <w:t>to</w:t>
            </w:r>
            <w:r w:rsidR="00C026A6" w:rsidRPr="00EA59C0">
              <w:rPr>
                <w:rFonts w:asciiTheme="minorHAnsi" w:hAnsiTheme="minorHAnsi"/>
                <w:sz w:val="18"/>
                <w:szCs w:val="18"/>
              </w:rPr>
              <w:t xml:space="preserve"> </w:t>
            </w:r>
            <w:r w:rsidRPr="00EA59C0">
              <w:rPr>
                <w:rFonts w:asciiTheme="minorHAnsi" w:hAnsiTheme="minorHAnsi"/>
                <w:sz w:val="18"/>
                <w:szCs w:val="18"/>
              </w:rPr>
              <w:t>date</w:t>
            </w:r>
          </w:p>
          <w:p w:rsidR="008826BE" w:rsidRPr="00EA59C0" w:rsidRDefault="008826BE" w:rsidP="00DB00BB">
            <w:pPr>
              <w:rPr>
                <w:rFonts w:asciiTheme="minorHAnsi" w:hAnsiTheme="minorHAnsi"/>
                <w:sz w:val="18"/>
                <w:szCs w:val="18"/>
              </w:rPr>
            </w:pPr>
          </w:p>
        </w:tc>
        <w:tc>
          <w:tcPr>
            <w:tcW w:w="1979"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1:</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2:</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3:</w:t>
            </w:r>
          </w:p>
        </w:tc>
        <w:tc>
          <w:tcPr>
            <w:tcW w:w="901"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Total:</w:t>
            </w:r>
            <w:r w:rsidR="00C026A6" w:rsidRPr="00EA59C0">
              <w:rPr>
                <w:rFonts w:asciiTheme="minorHAnsi" w:hAnsiTheme="minorHAnsi"/>
                <w:sz w:val="18"/>
                <w:szCs w:val="18"/>
              </w:rPr>
              <w:t xml:space="preserve"> </w:t>
            </w:r>
          </w:p>
        </w:tc>
      </w:tr>
      <w:tr w:rsidR="00EA59C0" w:rsidRPr="00EA59C0" w:rsidTr="00C4770D">
        <w:trPr>
          <w:jc w:val="center"/>
        </w:trPr>
        <w:tc>
          <w:tcPr>
            <w:tcW w:w="378" w:type="dxa"/>
          </w:tcPr>
          <w:p w:rsidR="008826BE" w:rsidRPr="00EA59C0" w:rsidRDefault="008826BE" w:rsidP="00DB00BB">
            <w:pPr>
              <w:jc w:val="center"/>
              <w:rPr>
                <w:rFonts w:asciiTheme="minorHAnsi" w:hAnsiTheme="minorHAnsi"/>
                <w:sz w:val="18"/>
                <w:szCs w:val="18"/>
              </w:rPr>
            </w:pPr>
            <w:r w:rsidRPr="00EA59C0">
              <w:rPr>
                <w:rFonts w:asciiTheme="minorHAnsi" w:hAnsiTheme="minorHAnsi"/>
                <w:sz w:val="18"/>
                <w:szCs w:val="18"/>
              </w:rPr>
              <w:t>5</w:t>
            </w:r>
          </w:p>
        </w:tc>
        <w:tc>
          <w:tcPr>
            <w:tcW w:w="7005" w:type="dxa"/>
          </w:tcPr>
          <w:p w:rsidR="008826BE" w:rsidRPr="00EA59C0" w:rsidRDefault="008826BE" w:rsidP="00DB00BB">
            <w:pPr>
              <w:rPr>
                <w:rFonts w:asciiTheme="minorHAnsi" w:hAnsiTheme="minorHAnsi"/>
                <w:b/>
                <w:sz w:val="18"/>
                <w:szCs w:val="18"/>
              </w:rPr>
            </w:pPr>
            <w:r w:rsidRPr="00EA59C0">
              <w:rPr>
                <w:rFonts w:asciiTheme="minorHAnsi" w:hAnsiTheme="minorHAnsi"/>
                <w:b/>
                <w:sz w:val="18"/>
                <w:szCs w:val="18"/>
              </w:rPr>
              <w:t>Total</w:t>
            </w:r>
            <w:r w:rsidR="00C026A6" w:rsidRPr="00EA59C0">
              <w:rPr>
                <w:rFonts w:asciiTheme="minorHAnsi" w:hAnsiTheme="minorHAnsi"/>
                <w:b/>
                <w:sz w:val="18"/>
                <w:szCs w:val="18"/>
              </w:rPr>
              <w:t xml:space="preserve"> </w:t>
            </w:r>
            <w:r w:rsidRPr="00EA59C0">
              <w:rPr>
                <w:rFonts w:asciiTheme="minorHAnsi" w:hAnsiTheme="minorHAnsi"/>
                <w:b/>
                <w:sz w:val="18"/>
                <w:szCs w:val="18"/>
              </w:rPr>
              <w:t>Number</w:t>
            </w:r>
            <w:r w:rsidR="00C026A6" w:rsidRPr="00EA59C0">
              <w:rPr>
                <w:rFonts w:asciiTheme="minorHAnsi" w:hAnsiTheme="minorHAnsi"/>
                <w:b/>
                <w:sz w:val="18"/>
                <w:szCs w:val="18"/>
              </w:rPr>
              <w:t xml:space="preserve"> </w:t>
            </w:r>
            <w:r w:rsidRPr="00EA59C0">
              <w:rPr>
                <w:rFonts w:asciiTheme="minorHAnsi" w:hAnsiTheme="minorHAnsi"/>
                <w:b/>
                <w:sz w:val="18"/>
                <w:szCs w:val="18"/>
              </w:rPr>
              <w:t>of</w:t>
            </w:r>
            <w:r w:rsidR="00C026A6" w:rsidRPr="00EA59C0">
              <w:rPr>
                <w:rFonts w:asciiTheme="minorHAnsi" w:hAnsiTheme="minorHAnsi"/>
                <w:b/>
                <w:sz w:val="18"/>
                <w:szCs w:val="18"/>
              </w:rPr>
              <w:t xml:space="preserve"> </w:t>
            </w:r>
            <w:r w:rsidRPr="00EA59C0">
              <w:rPr>
                <w:rFonts w:asciiTheme="minorHAnsi" w:hAnsiTheme="minorHAnsi"/>
                <w:b/>
                <w:sz w:val="18"/>
                <w:szCs w:val="18"/>
              </w:rPr>
              <w:t>Participants</w:t>
            </w:r>
            <w:r w:rsidR="00C026A6" w:rsidRPr="00EA59C0">
              <w:rPr>
                <w:rFonts w:asciiTheme="minorHAnsi" w:hAnsiTheme="minorHAnsi"/>
                <w:b/>
                <w:sz w:val="18"/>
                <w:szCs w:val="18"/>
              </w:rPr>
              <w:t xml:space="preserve"> </w:t>
            </w:r>
            <w:r w:rsidRPr="00EA59C0">
              <w:rPr>
                <w:rFonts w:asciiTheme="minorHAnsi" w:hAnsiTheme="minorHAnsi"/>
                <w:b/>
                <w:sz w:val="18"/>
                <w:szCs w:val="18"/>
              </w:rPr>
              <w:t>Earning</w:t>
            </w:r>
            <w:r w:rsidR="00C026A6" w:rsidRPr="00EA59C0">
              <w:rPr>
                <w:rFonts w:asciiTheme="minorHAnsi" w:hAnsiTheme="minorHAnsi"/>
                <w:b/>
                <w:sz w:val="18"/>
                <w:szCs w:val="18"/>
              </w:rPr>
              <w:t xml:space="preserve"> </w:t>
            </w:r>
            <w:r w:rsidRPr="00EA59C0">
              <w:rPr>
                <w:rFonts w:asciiTheme="minorHAnsi" w:hAnsiTheme="minorHAnsi"/>
                <w:b/>
                <w:sz w:val="18"/>
                <w:szCs w:val="18"/>
              </w:rPr>
              <w:t>Credentials</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Aggregate</w:t>
            </w:r>
            <w:r w:rsidR="00C026A6" w:rsidRPr="00EA59C0">
              <w:rPr>
                <w:rFonts w:asciiTheme="minorHAnsi" w:hAnsiTheme="minorHAnsi"/>
                <w:sz w:val="18"/>
                <w:szCs w:val="18"/>
              </w:rPr>
              <w:t xml:space="preserve"> </w:t>
            </w:r>
            <w:r w:rsidRPr="00EA59C0">
              <w:rPr>
                <w:rFonts w:asciiTheme="minorHAnsi" w:hAnsiTheme="minorHAnsi"/>
                <w:sz w:val="18"/>
                <w:szCs w:val="18"/>
              </w:rPr>
              <w:t>number</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degrees</w:t>
            </w:r>
            <w:r w:rsidR="00C026A6" w:rsidRPr="00EA59C0">
              <w:rPr>
                <w:rFonts w:asciiTheme="minorHAnsi" w:hAnsiTheme="minorHAnsi"/>
                <w:sz w:val="18"/>
                <w:szCs w:val="18"/>
              </w:rPr>
              <w:t xml:space="preserve"> </w:t>
            </w:r>
            <w:r w:rsidRPr="00EA59C0">
              <w:rPr>
                <w:rFonts w:asciiTheme="minorHAnsi" w:hAnsiTheme="minorHAnsi"/>
                <w:sz w:val="18"/>
                <w:szCs w:val="18"/>
              </w:rPr>
              <w:t>and</w:t>
            </w:r>
            <w:r w:rsidR="00C026A6" w:rsidRPr="00EA59C0">
              <w:rPr>
                <w:rFonts w:asciiTheme="minorHAnsi" w:hAnsiTheme="minorHAnsi"/>
                <w:sz w:val="18"/>
                <w:szCs w:val="18"/>
              </w:rPr>
              <w:t xml:space="preserve"> </w:t>
            </w:r>
            <w:r w:rsidRPr="00EA59C0">
              <w:rPr>
                <w:rFonts w:asciiTheme="minorHAnsi" w:hAnsiTheme="minorHAnsi"/>
                <w:sz w:val="18"/>
                <w:szCs w:val="18"/>
              </w:rPr>
              <w:t>certificates</w:t>
            </w:r>
            <w:r w:rsidR="00C026A6" w:rsidRPr="00EA59C0">
              <w:rPr>
                <w:rFonts w:asciiTheme="minorHAnsi" w:hAnsiTheme="minorHAnsi"/>
                <w:sz w:val="18"/>
                <w:szCs w:val="18"/>
              </w:rPr>
              <w:t xml:space="preserve"> </w:t>
            </w:r>
            <w:r w:rsidRPr="00EA59C0">
              <w:rPr>
                <w:rFonts w:asciiTheme="minorHAnsi" w:hAnsiTheme="minorHAnsi"/>
                <w:sz w:val="18"/>
                <w:szCs w:val="18"/>
              </w:rPr>
              <w:t>completed</w:t>
            </w:r>
            <w:r w:rsidR="00C026A6" w:rsidRPr="00EA59C0">
              <w:rPr>
                <w:rFonts w:asciiTheme="minorHAnsi" w:hAnsiTheme="minorHAnsi"/>
                <w:sz w:val="18"/>
                <w:szCs w:val="18"/>
              </w:rPr>
              <w:t xml:space="preserve"> </w:t>
            </w:r>
            <w:r w:rsidRPr="00EA59C0">
              <w:rPr>
                <w:rFonts w:asciiTheme="minorHAnsi" w:hAnsiTheme="minorHAnsi"/>
                <w:sz w:val="18"/>
                <w:szCs w:val="18"/>
              </w:rPr>
              <w:t>by</w:t>
            </w:r>
            <w:r w:rsidR="00C026A6" w:rsidRPr="00EA59C0">
              <w:rPr>
                <w:rFonts w:asciiTheme="minorHAnsi" w:hAnsiTheme="minorHAnsi"/>
                <w:sz w:val="18"/>
                <w:szCs w:val="18"/>
              </w:rPr>
              <w:t xml:space="preserve"> </w:t>
            </w:r>
            <w:r w:rsidRPr="00EA59C0">
              <w:rPr>
                <w:rFonts w:asciiTheme="minorHAnsi" w:hAnsiTheme="minorHAnsi"/>
                <w:sz w:val="18"/>
                <w:szCs w:val="18"/>
              </w:rPr>
              <w:t>participants</w:t>
            </w:r>
            <w:r w:rsidR="00C026A6" w:rsidRPr="00EA59C0">
              <w:rPr>
                <w:rFonts w:asciiTheme="minorHAnsi" w:hAnsiTheme="minorHAnsi"/>
                <w:sz w:val="18"/>
                <w:szCs w:val="18"/>
              </w:rPr>
              <w:t xml:space="preserve"> </w:t>
            </w:r>
            <w:r w:rsidRPr="00EA59C0">
              <w:rPr>
                <w:rFonts w:asciiTheme="minorHAnsi" w:hAnsiTheme="minorHAnsi"/>
                <w:sz w:val="18"/>
                <w:szCs w:val="18"/>
              </w:rPr>
              <w:t>in</w:t>
            </w:r>
            <w:r w:rsidR="00C026A6" w:rsidRPr="00EA59C0">
              <w:rPr>
                <w:rFonts w:asciiTheme="minorHAnsi" w:hAnsiTheme="minorHAnsi"/>
                <w:sz w:val="18"/>
                <w:szCs w:val="18"/>
              </w:rPr>
              <w:t xml:space="preserve"> </w:t>
            </w:r>
            <w:r w:rsidRPr="00EA59C0">
              <w:rPr>
                <w:rFonts w:asciiTheme="minorHAnsi" w:hAnsiTheme="minorHAnsi"/>
                <w:sz w:val="18"/>
                <w:szCs w:val="18"/>
              </w:rPr>
              <w:t>grant-funded</w:t>
            </w:r>
            <w:r w:rsidR="00C026A6" w:rsidRPr="00EA59C0">
              <w:rPr>
                <w:rFonts w:asciiTheme="minorHAnsi" w:hAnsiTheme="minorHAnsi"/>
                <w:sz w:val="18"/>
                <w:szCs w:val="18"/>
              </w:rPr>
              <w:t xml:space="preserve"> </w:t>
            </w:r>
            <w:r w:rsidRPr="00EA59C0">
              <w:rPr>
                <w:rFonts w:asciiTheme="minorHAnsi" w:hAnsiTheme="minorHAnsi"/>
                <w:sz w:val="18"/>
                <w:szCs w:val="18"/>
              </w:rPr>
              <w:t>programs</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study</w:t>
            </w:r>
          </w:p>
          <w:p w:rsidR="008826BE" w:rsidRPr="00EA59C0" w:rsidRDefault="008826BE" w:rsidP="00DB00BB">
            <w:pPr>
              <w:rPr>
                <w:rFonts w:asciiTheme="minorHAnsi" w:hAnsiTheme="minorHAnsi"/>
                <w:sz w:val="18"/>
                <w:szCs w:val="18"/>
              </w:rPr>
            </w:pPr>
          </w:p>
        </w:tc>
        <w:tc>
          <w:tcPr>
            <w:tcW w:w="1979"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1:</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2:</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3:</w:t>
            </w:r>
          </w:p>
        </w:tc>
        <w:tc>
          <w:tcPr>
            <w:tcW w:w="901"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Total:</w:t>
            </w:r>
          </w:p>
        </w:tc>
      </w:tr>
      <w:tr w:rsidR="00EA59C0" w:rsidRPr="00EA59C0" w:rsidTr="00C4770D">
        <w:trPr>
          <w:jc w:val="center"/>
        </w:trPr>
        <w:tc>
          <w:tcPr>
            <w:tcW w:w="378" w:type="dxa"/>
          </w:tcPr>
          <w:p w:rsidR="008826BE" w:rsidRPr="00EA59C0" w:rsidRDefault="008826BE" w:rsidP="00DB00BB">
            <w:pPr>
              <w:jc w:val="center"/>
              <w:rPr>
                <w:rFonts w:asciiTheme="minorHAnsi" w:hAnsiTheme="minorHAnsi"/>
                <w:sz w:val="18"/>
                <w:szCs w:val="18"/>
              </w:rPr>
            </w:pPr>
            <w:r w:rsidRPr="00EA59C0">
              <w:rPr>
                <w:rFonts w:asciiTheme="minorHAnsi" w:hAnsiTheme="minorHAnsi"/>
                <w:sz w:val="18"/>
                <w:szCs w:val="18"/>
              </w:rPr>
              <w:t>6</w:t>
            </w:r>
          </w:p>
        </w:tc>
        <w:tc>
          <w:tcPr>
            <w:tcW w:w="7005" w:type="dxa"/>
          </w:tcPr>
          <w:p w:rsidR="008826BE" w:rsidRPr="00EA59C0" w:rsidRDefault="008826BE" w:rsidP="00DB00BB">
            <w:pPr>
              <w:rPr>
                <w:rFonts w:asciiTheme="minorHAnsi" w:hAnsiTheme="minorHAnsi"/>
                <w:sz w:val="18"/>
                <w:szCs w:val="18"/>
              </w:rPr>
            </w:pPr>
            <w:r w:rsidRPr="00EA59C0">
              <w:rPr>
                <w:rFonts w:asciiTheme="minorHAnsi" w:hAnsiTheme="minorHAnsi"/>
                <w:b/>
                <w:sz w:val="18"/>
                <w:szCs w:val="18"/>
              </w:rPr>
              <w:t>Total</w:t>
            </w:r>
            <w:r w:rsidR="00C026A6" w:rsidRPr="00EA59C0">
              <w:rPr>
                <w:rFonts w:asciiTheme="minorHAnsi" w:hAnsiTheme="minorHAnsi"/>
                <w:b/>
                <w:sz w:val="18"/>
                <w:szCs w:val="18"/>
              </w:rPr>
              <w:t xml:space="preserve"> </w:t>
            </w:r>
            <w:r w:rsidRPr="00EA59C0">
              <w:rPr>
                <w:rFonts w:asciiTheme="minorHAnsi" w:hAnsiTheme="minorHAnsi"/>
                <w:b/>
                <w:sz w:val="18"/>
                <w:szCs w:val="18"/>
              </w:rPr>
              <w:t>Number</w:t>
            </w:r>
            <w:r w:rsidR="00C026A6" w:rsidRPr="00EA59C0">
              <w:rPr>
                <w:rFonts w:asciiTheme="minorHAnsi" w:hAnsiTheme="minorHAnsi"/>
                <w:b/>
                <w:sz w:val="18"/>
                <w:szCs w:val="18"/>
              </w:rPr>
              <w:t xml:space="preserve"> </w:t>
            </w:r>
            <w:r w:rsidRPr="00EA59C0">
              <w:rPr>
                <w:rFonts w:asciiTheme="minorHAnsi" w:hAnsiTheme="minorHAnsi"/>
                <w:b/>
                <w:sz w:val="18"/>
                <w:szCs w:val="18"/>
              </w:rPr>
              <w:t>of</w:t>
            </w:r>
            <w:r w:rsidR="00C026A6" w:rsidRPr="00EA59C0">
              <w:rPr>
                <w:rFonts w:asciiTheme="minorHAnsi" w:hAnsiTheme="minorHAnsi"/>
                <w:b/>
                <w:sz w:val="18"/>
                <w:szCs w:val="18"/>
              </w:rPr>
              <w:t xml:space="preserve"> </w:t>
            </w:r>
            <w:r w:rsidRPr="00EA59C0">
              <w:rPr>
                <w:rFonts w:asciiTheme="minorHAnsi" w:hAnsiTheme="minorHAnsi"/>
                <w:b/>
                <w:sz w:val="18"/>
                <w:szCs w:val="18"/>
              </w:rPr>
              <w:t>Participants</w:t>
            </w:r>
            <w:r w:rsidR="00C026A6" w:rsidRPr="00EA59C0">
              <w:rPr>
                <w:rFonts w:asciiTheme="minorHAnsi" w:hAnsiTheme="minorHAnsi"/>
                <w:b/>
                <w:sz w:val="18"/>
                <w:szCs w:val="18"/>
              </w:rPr>
              <w:t xml:space="preserve"> </w:t>
            </w:r>
            <w:r w:rsidRPr="00EA59C0">
              <w:rPr>
                <w:rFonts w:asciiTheme="minorHAnsi" w:hAnsiTheme="minorHAnsi"/>
                <w:b/>
                <w:sz w:val="18"/>
                <w:szCs w:val="18"/>
              </w:rPr>
              <w:t>Enrolled</w:t>
            </w:r>
            <w:r w:rsidR="00C026A6" w:rsidRPr="00EA59C0">
              <w:rPr>
                <w:rFonts w:asciiTheme="minorHAnsi" w:hAnsiTheme="minorHAnsi"/>
                <w:b/>
                <w:sz w:val="18"/>
                <w:szCs w:val="18"/>
              </w:rPr>
              <w:t xml:space="preserve"> </w:t>
            </w:r>
            <w:r w:rsidRPr="00EA59C0">
              <w:rPr>
                <w:rFonts w:asciiTheme="minorHAnsi" w:hAnsiTheme="minorHAnsi"/>
                <w:b/>
                <w:sz w:val="18"/>
                <w:szCs w:val="18"/>
              </w:rPr>
              <w:t>in</w:t>
            </w:r>
            <w:r w:rsidR="00C026A6" w:rsidRPr="00EA59C0">
              <w:rPr>
                <w:rFonts w:asciiTheme="minorHAnsi" w:hAnsiTheme="minorHAnsi"/>
                <w:b/>
                <w:sz w:val="18"/>
                <w:szCs w:val="18"/>
              </w:rPr>
              <w:t xml:space="preserve"> </w:t>
            </w:r>
            <w:r w:rsidRPr="00EA59C0">
              <w:rPr>
                <w:rFonts w:asciiTheme="minorHAnsi" w:hAnsiTheme="minorHAnsi"/>
                <w:b/>
                <w:sz w:val="18"/>
                <w:szCs w:val="18"/>
              </w:rPr>
              <w:t>Further</w:t>
            </w:r>
            <w:r w:rsidR="00C026A6" w:rsidRPr="00EA59C0">
              <w:rPr>
                <w:rFonts w:asciiTheme="minorHAnsi" w:hAnsiTheme="minorHAnsi"/>
                <w:b/>
                <w:sz w:val="18"/>
                <w:szCs w:val="18"/>
              </w:rPr>
              <w:t xml:space="preserve"> </w:t>
            </w:r>
            <w:r w:rsidRPr="00EA59C0">
              <w:rPr>
                <w:rFonts w:asciiTheme="minorHAnsi" w:hAnsiTheme="minorHAnsi"/>
                <w:b/>
                <w:sz w:val="18"/>
                <w:szCs w:val="18"/>
              </w:rPr>
              <w:t>Education</w:t>
            </w:r>
            <w:r w:rsidR="00C026A6" w:rsidRPr="00EA59C0">
              <w:rPr>
                <w:rFonts w:asciiTheme="minorHAnsi" w:hAnsiTheme="minorHAnsi"/>
                <w:sz w:val="18"/>
                <w:szCs w:val="18"/>
              </w:rPr>
              <w:t xml:space="preserve"> </w:t>
            </w:r>
            <w:r w:rsidRPr="00EA59C0">
              <w:rPr>
                <w:rFonts w:asciiTheme="minorHAnsi" w:hAnsiTheme="minorHAnsi"/>
                <w:sz w:val="18"/>
                <w:szCs w:val="18"/>
              </w:rPr>
              <w:t>After</w:t>
            </w:r>
            <w:r w:rsidR="00C026A6" w:rsidRPr="00EA59C0">
              <w:rPr>
                <w:rFonts w:asciiTheme="minorHAnsi" w:hAnsiTheme="minorHAnsi"/>
                <w:sz w:val="18"/>
                <w:szCs w:val="18"/>
              </w:rPr>
              <w:t xml:space="preserve"> </w:t>
            </w:r>
            <w:r w:rsidRPr="00EA59C0">
              <w:rPr>
                <w:rFonts w:asciiTheme="minorHAnsi" w:hAnsiTheme="minorHAnsi"/>
                <w:sz w:val="18"/>
                <w:szCs w:val="18"/>
              </w:rPr>
              <w:t>TAACCCT-funded</w:t>
            </w:r>
            <w:r w:rsidR="00C026A6" w:rsidRPr="00EA59C0">
              <w:rPr>
                <w:rFonts w:asciiTheme="minorHAnsi" w:hAnsiTheme="minorHAnsi"/>
                <w:sz w:val="18"/>
                <w:szCs w:val="18"/>
              </w:rPr>
              <w:t xml:space="preserve"> </w:t>
            </w:r>
            <w:r w:rsidRPr="00EA59C0">
              <w:rPr>
                <w:rFonts w:asciiTheme="minorHAnsi" w:hAnsiTheme="minorHAnsi"/>
                <w:sz w:val="18"/>
                <w:szCs w:val="18"/>
              </w:rPr>
              <w:t>Program</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Study</w:t>
            </w:r>
            <w:r w:rsidR="00C026A6" w:rsidRPr="00EA59C0">
              <w:rPr>
                <w:rFonts w:asciiTheme="minorHAnsi" w:hAnsiTheme="minorHAnsi"/>
                <w:sz w:val="18"/>
                <w:szCs w:val="18"/>
              </w:rPr>
              <w:t xml:space="preserve"> </w:t>
            </w:r>
            <w:r w:rsidRPr="00EA59C0">
              <w:rPr>
                <w:rFonts w:asciiTheme="minorHAnsi" w:hAnsiTheme="minorHAnsi"/>
                <w:sz w:val="18"/>
                <w:szCs w:val="18"/>
              </w:rPr>
              <w:t>Completion</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Total</w:t>
            </w:r>
            <w:r w:rsidR="00C026A6" w:rsidRPr="00EA59C0">
              <w:rPr>
                <w:rFonts w:asciiTheme="minorHAnsi" w:hAnsiTheme="minorHAnsi"/>
                <w:sz w:val="18"/>
                <w:szCs w:val="18"/>
              </w:rPr>
              <w:t xml:space="preserve"> </w:t>
            </w:r>
            <w:r w:rsidRPr="00EA59C0">
              <w:rPr>
                <w:rFonts w:asciiTheme="minorHAnsi" w:hAnsiTheme="minorHAnsi"/>
                <w:sz w:val="18"/>
                <w:szCs w:val="18"/>
              </w:rPr>
              <w:t>number</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students</w:t>
            </w:r>
            <w:r w:rsidR="00C026A6" w:rsidRPr="00EA59C0">
              <w:rPr>
                <w:rFonts w:asciiTheme="minorHAnsi" w:hAnsiTheme="minorHAnsi"/>
                <w:sz w:val="18"/>
                <w:szCs w:val="18"/>
              </w:rPr>
              <w:t xml:space="preserve"> </w:t>
            </w:r>
            <w:r w:rsidRPr="00EA59C0">
              <w:rPr>
                <w:rFonts w:asciiTheme="minorHAnsi" w:hAnsiTheme="minorHAnsi"/>
                <w:sz w:val="18"/>
                <w:szCs w:val="18"/>
              </w:rPr>
              <w:t>who</w:t>
            </w:r>
            <w:r w:rsidR="00C026A6" w:rsidRPr="00EA59C0">
              <w:rPr>
                <w:rFonts w:asciiTheme="minorHAnsi" w:hAnsiTheme="minorHAnsi"/>
                <w:sz w:val="18"/>
                <w:szCs w:val="18"/>
              </w:rPr>
              <w:t xml:space="preserve"> </w:t>
            </w:r>
            <w:r w:rsidRPr="00EA59C0">
              <w:rPr>
                <w:rFonts w:asciiTheme="minorHAnsi" w:hAnsiTheme="minorHAnsi"/>
                <w:sz w:val="18"/>
                <w:szCs w:val="18"/>
              </w:rPr>
              <w:t>complete</w:t>
            </w:r>
            <w:r w:rsidR="00C026A6" w:rsidRPr="00EA59C0">
              <w:rPr>
                <w:rFonts w:asciiTheme="minorHAnsi" w:hAnsiTheme="minorHAnsi"/>
                <w:sz w:val="18"/>
                <w:szCs w:val="18"/>
              </w:rPr>
              <w:t xml:space="preserve"> </w:t>
            </w:r>
            <w:r w:rsidRPr="00EA59C0">
              <w:rPr>
                <w:rFonts w:asciiTheme="minorHAnsi" w:hAnsiTheme="minorHAnsi"/>
                <w:sz w:val="18"/>
                <w:szCs w:val="18"/>
              </w:rPr>
              <w:t>a</w:t>
            </w:r>
            <w:r w:rsidR="00C026A6" w:rsidRPr="00EA59C0">
              <w:rPr>
                <w:rFonts w:asciiTheme="minorHAnsi" w:hAnsiTheme="minorHAnsi"/>
                <w:sz w:val="18"/>
                <w:szCs w:val="18"/>
              </w:rPr>
              <w:t xml:space="preserve"> </w:t>
            </w:r>
            <w:r w:rsidRPr="00EA59C0">
              <w:rPr>
                <w:rFonts w:asciiTheme="minorHAnsi" w:hAnsiTheme="minorHAnsi"/>
                <w:sz w:val="18"/>
                <w:szCs w:val="18"/>
              </w:rPr>
              <w:t>grant-funded</w:t>
            </w:r>
            <w:r w:rsidR="00C026A6" w:rsidRPr="00EA59C0">
              <w:rPr>
                <w:rFonts w:asciiTheme="minorHAnsi" w:hAnsiTheme="minorHAnsi"/>
                <w:sz w:val="18"/>
                <w:szCs w:val="18"/>
              </w:rPr>
              <w:t xml:space="preserve"> </w:t>
            </w:r>
            <w:r w:rsidRPr="00EA59C0">
              <w:rPr>
                <w:rFonts w:asciiTheme="minorHAnsi" w:hAnsiTheme="minorHAnsi"/>
                <w:sz w:val="18"/>
                <w:szCs w:val="18"/>
              </w:rPr>
              <w:t>program</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study</w:t>
            </w:r>
            <w:r w:rsidR="00C026A6" w:rsidRPr="00EA59C0">
              <w:rPr>
                <w:rFonts w:asciiTheme="minorHAnsi" w:hAnsiTheme="minorHAnsi"/>
                <w:sz w:val="18"/>
                <w:szCs w:val="18"/>
              </w:rPr>
              <w:t xml:space="preserve"> </w:t>
            </w:r>
            <w:r w:rsidRPr="00EA59C0">
              <w:rPr>
                <w:rFonts w:asciiTheme="minorHAnsi" w:hAnsiTheme="minorHAnsi"/>
                <w:sz w:val="18"/>
                <w:szCs w:val="18"/>
              </w:rPr>
              <w:t>and</w:t>
            </w:r>
            <w:r w:rsidR="00C026A6" w:rsidRPr="00EA59C0">
              <w:rPr>
                <w:rFonts w:asciiTheme="minorHAnsi" w:hAnsiTheme="minorHAnsi"/>
                <w:sz w:val="18"/>
                <w:szCs w:val="18"/>
              </w:rPr>
              <w:t xml:space="preserve"> </w:t>
            </w:r>
            <w:r w:rsidRPr="00EA59C0">
              <w:rPr>
                <w:rFonts w:asciiTheme="minorHAnsi" w:hAnsiTheme="minorHAnsi"/>
                <w:sz w:val="18"/>
                <w:szCs w:val="18"/>
              </w:rPr>
              <w:t>enter</w:t>
            </w:r>
            <w:r w:rsidR="00C026A6" w:rsidRPr="00EA59C0">
              <w:rPr>
                <w:rFonts w:asciiTheme="minorHAnsi" w:hAnsiTheme="minorHAnsi"/>
                <w:sz w:val="18"/>
                <w:szCs w:val="18"/>
              </w:rPr>
              <w:t xml:space="preserve"> </w:t>
            </w:r>
            <w:r w:rsidRPr="00EA59C0">
              <w:rPr>
                <w:rFonts w:asciiTheme="minorHAnsi" w:hAnsiTheme="minorHAnsi"/>
                <w:sz w:val="18"/>
                <w:szCs w:val="18"/>
              </w:rPr>
              <w:t>another</w:t>
            </w:r>
            <w:r w:rsidR="00C026A6" w:rsidRPr="00EA59C0">
              <w:rPr>
                <w:rFonts w:asciiTheme="minorHAnsi" w:hAnsiTheme="minorHAnsi"/>
                <w:sz w:val="18"/>
                <w:szCs w:val="18"/>
              </w:rPr>
              <w:t xml:space="preserve"> </w:t>
            </w:r>
            <w:r w:rsidRPr="00EA59C0">
              <w:rPr>
                <w:rFonts w:asciiTheme="minorHAnsi" w:hAnsiTheme="minorHAnsi"/>
                <w:sz w:val="18"/>
                <w:szCs w:val="18"/>
              </w:rPr>
              <w:t>program</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study</w:t>
            </w:r>
          </w:p>
          <w:p w:rsidR="008826BE" w:rsidRPr="00EA59C0" w:rsidRDefault="008826BE" w:rsidP="00DB00BB">
            <w:pPr>
              <w:rPr>
                <w:rFonts w:asciiTheme="minorHAnsi" w:hAnsiTheme="minorHAnsi"/>
                <w:sz w:val="18"/>
                <w:szCs w:val="18"/>
              </w:rPr>
            </w:pPr>
          </w:p>
        </w:tc>
        <w:tc>
          <w:tcPr>
            <w:tcW w:w="1979"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1:</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2:</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3:</w:t>
            </w:r>
          </w:p>
        </w:tc>
        <w:tc>
          <w:tcPr>
            <w:tcW w:w="901"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Total:</w:t>
            </w:r>
          </w:p>
        </w:tc>
      </w:tr>
      <w:tr w:rsidR="00EA59C0" w:rsidRPr="00EA59C0" w:rsidTr="00C4770D">
        <w:trPr>
          <w:jc w:val="center"/>
        </w:trPr>
        <w:tc>
          <w:tcPr>
            <w:tcW w:w="378" w:type="dxa"/>
          </w:tcPr>
          <w:p w:rsidR="008826BE" w:rsidRPr="00EA59C0" w:rsidRDefault="008826BE" w:rsidP="00DB00BB">
            <w:pPr>
              <w:jc w:val="center"/>
              <w:rPr>
                <w:rFonts w:asciiTheme="minorHAnsi" w:hAnsiTheme="minorHAnsi"/>
                <w:sz w:val="18"/>
                <w:szCs w:val="18"/>
              </w:rPr>
            </w:pPr>
            <w:r w:rsidRPr="00EA59C0">
              <w:rPr>
                <w:rFonts w:asciiTheme="minorHAnsi" w:hAnsiTheme="minorHAnsi"/>
                <w:sz w:val="18"/>
                <w:szCs w:val="18"/>
              </w:rPr>
              <w:t>7</w:t>
            </w:r>
          </w:p>
        </w:tc>
        <w:tc>
          <w:tcPr>
            <w:tcW w:w="7005" w:type="dxa"/>
          </w:tcPr>
          <w:p w:rsidR="008826BE" w:rsidRPr="00EA59C0" w:rsidRDefault="008826BE" w:rsidP="00DB00BB">
            <w:pPr>
              <w:rPr>
                <w:rFonts w:asciiTheme="minorHAnsi" w:hAnsiTheme="minorHAnsi"/>
                <w:b/>
                <w:sz w:val="18"/>
                <w:szCs w:val="18"/>
              </w:rPr>
            </w:pPr>
            <w:r w:rsidRPr="00EA59C0">
              <w:rPr>
                <w:rFonts w:asciiTheme="minorHAnsi" w:hAnsiTheme="minorHAnsi"/>
                <w:b/>
                <w:sz w:val="18"/>
                <w:szCs w:val="18"/>
              </w:rPr>
              <w:t>Total</w:t>
            </w:r>
            <w:r w:rsidR="00C026A6" w:rsidRPr="00EA59C0">
              <w:rPr>
                <w:rFonts w:asciiTheme="minorHAnsi" w:hAnsiTheme="minorHAnsi"/>
                <w:b/>
                <w:sz w:val="18"/>
                <w:szCs w:val="18"/>
              </w:rPr>
              <w:t xml:space="preserve"> </w:t>
            </w:r>
            <w:r w:rsidRPr="00EA59C0">
              <w:rPr>
                <w:rFonts w:asciiTheme="minorHAnsi" w:hAnsiTheme="minorHAnsi"/>
                <w:b/>
                <w:sz w:val="18"/>
                <w:szCs w:val="18"/>
              </w:rPr>
              <w:t>Number</w:t>
            </w:r>
            <w:r w:rsidR="00C026A6" w:rsidRPr="00EA59C0">
              <w:rPr>
                <w:rFonts w:asciiTheme="minorHAnsi" w:hAnsiTheme="minorHAnsi"/>
                <w:b/>
                <w:sz w:val="18"/>
                <w:szCs w:val="18"/>
              </w:rPr>
              <w:t xml:space="preserve"> </w:t>
            </w:r>
            <w:r w:rsidRPr="00EA59C0">
              <w:rPr>
                <w:rFonts w:asciiTheme="minorHAnsi" w:hAnsiTheme="minorHAnsi"/>
                <w:b/>
                <w:sz w:val="18"/>
                <w:szCs w:val="18"/>
              </w:rPr>
              <w:t>of</w:t>
            </w:r>
            <w:r w:rsidR="00C026A6" w:rsidRPr="00EA59C0">
              <w:rPr>
                <w:rFonts w:asciiTheme="minorHAnsi" w:hAnsiTheme="minorHAnsi"/>
                <w:b/>
                <w:sz w:val="18"/>
                <w:szCs w:val="18"/>
              </w:rPr>
              <w:t xml:space="preserve"> </w:t>
            </w:r>
            <w:r w:rsidRPr="00EA59C0">
              <w:rPr>
                <w:rFonts w:asciiTheme="minorHAnsi" w:hAnsiTheme="minorHAnsi"/>
                <w:b/>
                <w:sz w:val="18"/>
                <w:szCs w:val="18"/>
              </w:rPr>
              <w:t>Participants</w:t>
            </w:r>
            <w:r w:rsidR="00C026A6" w:rsidRPr="00EA59C0">
              <w:rPr>
                <w:rFonts w:asciiTheme="minorHAnsi" w:hAnsiTheme="minorHAnsi"/>
                <w:b/>
                <w:sz w:val="18"/>
                <w:szCs w:val="18"/>
              </w:rPr>
              <w:t xml:space="preserve"> </w:t>
            </w:r>
            <w:r w:rsidRPr="00EA59C0">
              <w:rPr>
                <w:rFonts w:asciiTheme="minorHAnsi" w:hAnsiTheme="minorHAnsi"/>
                <w:b/>
                <w:sz w:val="18"/>
                <w:szCs w:val="18"/>
              </w:rPr>
              <w:t>Employed</w:t>
            </w:r>
            <w:r w:rsidR="00C026A6" w:rsidRPr="00EA59C0">
              <w:rPr>
                <w:rFonts w:asciiTheme="minorHAnsi" w:hAnsiTheme="minorHAnsi"/>
                <w:b/>
                <w:sz w:val="18"/>
                <w:szCs w:val="18"/>
              </w:rPr>
              <w:t xml:space="preserve"> </w:t>
            </w:r>
            <w:r w:rsidRPr="00EA59C0">
              <w:rPr>
                <w:rFonts w:asciiTheme="minorHAnsi" w:hAnsiTheme="minorHAnsi"/>
                <w:b/>
                <w:sz w:val="18"/>
                <w:szCs w:val="18"/>
              </w:rPr>
              <w:t>After</w:t>
            </w:r>
            <w:r w:rsidR="00C026A6" w:rsidRPr="00EA59C0">
              <w:rPr>
                <w:rFonts w:asciiTheme="minorHAnsi" w:hAnsiTheme="minorHAnsi"/>
                <w:b/>
                <w:sz w:val="18"/>
                <w:szCs w:val="18"/>
              </w:rPr>
              <w:t xml:space="preserve"> </w:t>
            </w:r>
            <w:r w:rsidRPr="00EA59C0">
              <w:rPr>
                <w:rFonts w:asciiTheme="minorHAnsi" w:hAnsiTheme="minorHAnsi"/>
                <w:b/>
                <w:sz w:val="18"/>
                <w:szCs w:val="18"/>
              </w:rPr>
              <w:t>TAACCCT-funded</w:t>
            </w:r>
            <w:r w:rsidR="00C026A6" w:rsidRPr="00EA59C0">
              <w:rPr>
                <w:rFonts w:asciiTheme="minorHAnsi" w:hAnsiTheme="minorHAnsi"/>
                <w:b/>
                <w:sz w:val="18"/>
                <w:szCs w:val="18"/>
              </w:rPr>
              <w:t xml:space="preserve"> </w:t>
            </w:r>
            <w:r w:rsidRPr="00EA59C0">
              <w:rPr>
                <w:rFonts w:asciiTheme="minorHAnsi" w:hAnsiTheme="minorHAnsi"/>
                <w:b/>
                <w:sz w:val="18"/>
                <w:szCs w:val="18"/>
              </w:rPr>
              <w:t>Program</w:t>
            </w:r>
            <w:r w:rsidR="00C026A6" w:rsidRPr="00EA59C0">
              <w:rPr>
                <w:rFonts w:asciiTheme="minorHAnsi" w:hAnsiTheme="minorHAnsi"/>
                <w:b/>
                <w:sz w:val="18"/>
                <w:szCs w:val="18"/>
              </w:rPr>
              <w:t xml:space="preserve"> </w:t>
            </w:r>
            <w:r w:rsidRPr="00EA59C0">
              <w:rPr>
                <w:rFonts w:asciiTheme="minorHAnsi" w:hAnsiTheme="minorHAnsi"/>
                <w:b/>
                <w:sz w:val="18"/>
                <w:szCs w:val="18"/>
              </w:rPr>
              <w:t>of</w:t>
            </w:r>
            <w:r w:rsidR="00C026A6" w:rsidRPr="00EA59C0">
              <w:rPr>
                <w:rFonts w:asciiTheme="minorHAnsi" w:hAnsiTheme="minorHAnsi"/>
                <w:b/>
                <w:sz w:val="18"/>
                <w:szCs w:val="18"/>
              </w:rPr>
              <w:t xml:space="preserve"> </w:t>
            </w:r>
            <w:r w:rsidRPr="00EA59C0">
              <w:rPr>
                <w:rFonts w:asciiTheme="minorHAnsi" w:hAnsiTheme="minorHAnsi"/>
                <w:b/>
                <w:sz w:val="18"/>
                <w:szCs w:val="18"/>
              </w:rPr>
              <w:t>Study</w:t>
            </w:r>
            <w:r w:rsidR="00C026A6" w:rsidRPr="00EA59C0">
              <w:rPr>
                <w:rFonts w:asciiTheme="minorHAnsi" w:hAnsiTheme="minorHAnsi"/>
                <w:b/>
                <w:sz w:val="18"/>
                <w:szCs w:val="18"/>
              </w:rPr>
              <w:t xml:space="preserve"> </w:t>
            </w:r>
            <w:r w:rsidRPr="00EA59C0">
              <w:rPr>
                <w:rFonts w:asciiTheme="minorHAnsi" w:hAnsiTheme="minorHAnsi"/>
                <w:b/>
                <w:sz w:val="18"/>
                <w:szCs w:val="18"/>
              </w:rPr>
              <w:t>Completion</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Total</w:t>
            </w:r>
            <w:r w:rsidR="00C026A6" w:rsidRPr="00EA59C0">
              <w:rPr>
                <w:rFonts w:asciiTheme="minorHAnsi" w:hAnsiTheme="minorHAnsi"/>
                <w:sz w:val="18"/>
                <w:szCs w:val="18"/>
              </w:rPr>
              <w:t xml:space="preserve"> </w:t>
            </w:r>
            <w:r w:rsidRPr="00EA59C0">
              <w:rPr>
                <w:rFonts w:asciiTheme="minorHAnsi" w:hAnsiTheme="minorHAnsi"/>
                <w:sz w:val="18"/>
                <w:szCs w:val="18"/>
              </w:rPr>
              <w:t>number</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students</w:t>
            </w:r>
            <w:r w:rsidR="00C026A6" w:rsidRPr="00EA59C0">
              <w:rPr>
                <w:rFonts w:asciiTheme="minorHAnsi" w:hAnsiTheme="minorHAnsi"/>
                <w:sz w:val="18"/>
                <w:szCs w:val="18"/>
              </w:rPr>
              <w:t xml:space="preserve"> </w:t>
            </w:r>
            <w:r w:rsidRPr="00EA59C0">
              <w:rPr>
                <w:rFonts w:asciiTheme="minorHAnsi" w:hAnsiTheme="minorHAnsi"/>
                <w:sz w:val="18"/>
                <w:szCs w:val="18"/>
              </w:rPr>
              <w:t>(non-incumbent</w:t>
            </w:r>
            <w:r w:rsidR="00C026A6" w:rsidRPr="00EA59C0">
              <w:rPr>
                <w:rFonts w:asciiTheme="minorHAnsi" w:hAnsiTheme="minorHAnsi"/>
                <w:sz w:val="18"/>
                <w:szCs w:val="18"/>
              </w:rPr>
              <w:t xml:space="preserve"> </w:t>
            </w:r>
            <w:r w:rsidRPr="00EA59C0">
              <w:rPr>
                <w:rFonts w:asciiTheme="minorHAnsi" w:hAnsiTheme="minorHAnsi"/>
                <w:sz w:val="18"/>
                <w:szCs w:val="18"/>
              </w:rPr>
              <w:t>workers</w:t>
            </w:r>
            <w:r w:rsidR="00C026A6" w:rsidRPr="00EA59C0">
              <w:rPr>
                <w:rFonts w:asciiTheme="minorHAnsi" w:hAnsiTheme="minorHAnsi"/>
                <w:sz w:val="18"/>
                <w:szCs w:val="18"/>
              </w:rPr>
              <w:t xml:space="preserve"> </w:t>
            </w:r>
            <w:r w:rsidRPr="00EA59C0">
              <w:rPr>
                <w:rFonts w:asciiTheme="minorHAnsi" w:hAnsiTheme="minorHAnsi"/>
                <w:sz w:val="18"/>
                <w:szCs w:val="18"/>
              </w:rPr>
              <w:t>only)</w:t>
            </w:r>
            <w:r w:rsidR="00C026A6" w:rsidRPr="00EA59C0">
              <w:rPr>
                <w:rFonts w:asciiTheme="minorHAnsi" w:hAnsiTheme="minorHAnsi"/>
                <w:sz w:val="18"/>
                <w:szCs w:val="18"/>
              </w:rPr>
              <w:t xml:space="preserve"> </w:t>
            </w:r>
            <w:r w:rsidRPr="00EA59C0">
              <w:rPr>
                <w:rFonts w:asciiTheme="minorHAnsi" w:hAnsiTheme="minorHAnsi"/>
                <w:sz w:val="18"/>
                <w:szCs w:val="18"/>
              </w:rPr>
              <w:t>who</w:t>
            </w:r>
            <w:r w:rsidR="00C026A6" w:rsidRPr="00EA59C0">
              <w:rPr>
                <w:rFonts w:asciiTheme="minorHAnsi" w:hAnsiTheme="minorHAnsi"/>
                <w:sz w:val="18"/>
                <w:szCs w:val="18"/>
              </w:rPr>
              <w:t xml:space="preserve"> </w:t>
            </w:r>
            <w:r w:rsidRPr="00EA59C0">
              <w:rPr>
                <w:rFonts w:asciiTheme="minorHAnsi" w:hAnsiTheme="minorHAnsi"/>
                <w:sz w:val="18"/>
                <w:szCs w:val="18"/>
              </w:rPr>
              <w:t>completed</w:t>
            </w:r>
            <w:r w:rsidR="00C026A6" w:rsidRPr="00EA59C0">
              <w:rPr>
                <w:rFonts w:asciiTheme="minorHAnsi" w:hAnsiTheme="minorHAnsi"/>
                <w:sz w:val="18"/>
                <w:szCs w:val="18"/>
              </w:rPr>
              <w:t xml:space="preserve"> </w:t>
            </w:r>
            <w:r w:rsidRPr="00EA59C0">
              <w:rPr>
                <w:rFonts w:asciiTheme="minorHAnsi" w:hAnsiTheme="minorHAnsi"/>
                <w:sz w:val="18"/>
                <w:szCs w:val="18"/>
              </w:rPr>
              <w:t>a</w:t>
            </w:r>
            <w:r w:rsidR="00C026A6" w:rsidRPr="00EA59C0">
              <w:rPr>
                <w:rFonts w:asciiTheme="minorHAnsi" w:hAnsiTheme="minorHAnsi"/>
                <w:sz w:val="18"/>
                <w:szCs w:val="18"/>
              </w:rPr>
              <w:t xml:space="preserve"> </w:t>
            </w:r>
            <w:r w:rsidRPr="00EA59C0">
              <w:rPr>
                <w:rFonts w:asciiTheme="minorHAnsi" w:hAnsiTheme="minorHAnsi"/>
                <w:sz w:val="18"/>
                <w:szCs w:val="18"/>
              </w:rPr>
              <w:t>grant-funded</w:t>
            </w:r>
            <w:r w:rsidR="00C026A6" w:rsidRPr="00EA59C0">
              <w:rPr>
                <w:rFonts w:asciiTheme="minorHAnsi" w:hAnsiTheme="minorHAnsi"/>
                <w:sz w:val="18"/>
                <w:szCs w:val="18"/>
              </w:rPr>
              <w:t xml:space="preserve"> </w:t>
            </w:r>
            <w:r w:rsidRPr="00EA59C0">
              <w:rPr>
                <w:rFonts w:asciiTheme="minorHAnsi" w:hAnsiTheme="minorHAnsi"/>
                <w:sz w:val="18"/>
                <w:szCs w:val="18"/>
              </w:rPr>
              <w:t>program</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study</w:t>
            </w:r>
            <w:r w:rsidR="00C026A6" w:rsidRPr="00EA59C0">
              <w:rPr>
                <w:rFonts w:asciiTheme="minorHAnsi" w:hAnsiTheme="minorHAnsi"/>
                <w:sz w:val="18"/>
                <w:szCs w:val="18"/>
              </w:rPr>
              <w:t xml:space="preserve"> </w:t>
            </w:r>
            <w:r w:rsidRPr="00EA59C0">
              <w:rPr>
                <w:rFonts w:asciiTheme="minorHAnsi" w:hAnsiTheme="minorHAnsi"/>
                <w:sz w:val="18"/>
                <w:szCs w:val="18"/>
              </w:rPr>
              <w:t>entering</w:t>
            </w:r>
            <w:r w:rsidR="00C026A6" w:rsidRPr="00EA59C0">
              <w:rPr>
                <w:rFonts w:asciiTheme="minorHAnsi" w:hAnsiTheme="minorHAnsi"/>
                <w:sz w:val="18"/>
                <w:szCs w:val="18"/>
              </w:rPr>
              <w:t xml:space="preserve"> </w:t>
            </w:r>
            <w:r w:rsidRPr="00EA59C0">
              <w:rPr>
                <w:rFonts w:asciiTheme="minorHAnsi" w:hAnsiTheme="minorHAnsi"/>
                <w:sz w:val="18"/>
                <w:szCs w:val="18"/>
              </w:rPr>
              <w:t>employment</w:t>
            </w:r>
            <w:r w:rsidR="00C026A6" w:rsidRPr="00EA59C0">
              <w:rPr>
                <w:rFonts w:asciiTheme="minorHAnsi" w:hAnsiTheme="minorHAnsi"/>
                <w:sz w:val="18"/>
                <w:szCs w:val="18"/>
              </w:rPr>
              <w:t xml:space="preserve"> </w:t>
            </w:r>
            <w:r w:rsidRPr="00EA59C0">
              <w:rPr>
                <w:rFonts w:asciiTheme="minorHAnsi" w:hAnsiTheme="minorHAnsi"/>
                <w:sz w:val="18"/>
                <w:szCs w:val="18"/>
              </w:rPr>
              <w:t>in</w:t>
            </w:r>
            <w:r w:rsidR="00C026A6" w:rsidRPr="00EA59C0">
              <w:rPr>
                <w:rFonts w:asciiTheme="minorHAnsi" w:hAnsiTheme="minorHAnsi"/>
                <w:sz w:val="18"/>
                <w:szCs w:val="18"/>
              </w:rPr>
              <w:t xml:space="preserve"> </w:t>
            </w:r>
            <w:r w:rsidRPr="00EA59C0">
              <w:rPr>
                <w:rFonts w:asciiTheme="minorHAnsi" w:hAnsiTheme="minorHAnsi"/>
                <w:sz w:val="18"/>
                <w:szCs w:val="18"/>
              </w:rPr>
              <w:t>the</w:t>
            </w:r>
            <w:r w:rsidR="00C026A6" w:rsidRPr="00EA59C0">
              <w:rPr>
                <w:rFonts w:asciiTheme="minorHAnsi" w:hAnsiTheme="minorHAnsi"/>
                <w:sz w:val="18"/>
                <w:szCs w:val="18"/>
              </w:rPr>
              <w:t xml:space="preserve"> </w:t>
            </w:r>
            <w:r w:rsidRPr="00EA59C0">
              <w:rPr>
                <w:rFonts w:asciiTheme="minorHAnsi" w:hAnsiTheme="minorHAnsi"/>
                <w:sz w:val="18"/>
                <w:szCs w:val="18"/>
              </w:rPr>
              <w:t>quarter</w:t>
            </w:r>
            <w:r w:rsidR="00C026A6" w:rsidRPr="00EA59C0">
              <w:rPr>
                <w:rFonts w:asciiTheme="minorHAnsi" w:hAnsiTheme="minorHAnsi"/>
                <w:sz w:val="18"/>
                <w:szCs w:val="18"/>
              </w:rPr>
              <w:t xml:space="preserve"> </w:t>
            </w:r>
            <w:r w:rsidRPr="00EA59C0">
              <w:rPr>
                <w:rFonts w:asciiTheme="minorHAnsi" w:hAnsiTheme="minorHAnsi"/>
                <w:sz w:val="18"/>
                <w:szCs w:val="18"/>
              </w:rPr>
              <w:t>after</w:t>
            </w:r>
            <w:r w:rsidR="00C026A6" w:rsidRPr="00EA59C0">
              <w:rPr>
                <w:rFonts w:asciiTheme="minorHAnsi" w:hAnsiTheme="minorHAnsi"/>
                <w:sz w:val="18"/>
                <w:szCs w:val="18"/>
              </w:rPr>
              <w:t xml:space="preserve"> </w:t>
            </w:r>
            <w:r w:rsidRPr="00EA59C0">
              <w:rPr>
                <w:rFonts w:asciiTheme="minorHAnsi" w:hAnsiTheme="minorHAnsi"/>
                <w:sz w:val="18"/>
                <w:szCs w:val="18"/>
              </w:rPr>
              <w:t>the</w:t>
            </w:r>
            <w:r w:rsidR="00C026A6" w:rsidRPr="00EA59C0">
              <w:rPr>
                <w:rFonts w:asciiTheme="minorHAnsi" w:hAnsiTheme="minorHAnsi"/>
                <w:sz w:val="18"/>
                <w:szCs w:val="18"/>
              </w:rPr>
              <w:t xml:space="preserve"> </w:t>
            </w:r>
            <w:r w:rsidRPr="00EA59C0">
              <w:rPr>
                <w:rFonts w:asciiTheme="minorHAnsi" w:hAnsiTheme="minorHAnsi"/>
                <w:sz w:val="18"/>
                <w:szCs w:val="18"/>
              </w:rPr>
              <w:t>quarter</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program</w:t>
            </w:r>
            <w:r w:rsidR="00C026A6" w:rsidRPr="00EA59C0">
              <w:rPr>
                <w:rFonts w:asciiTheme="minorHAnsi" w:hAnsiTheme="minorHAnsi"/>
                <w:sz w:val="18"/>
                <w:szCs w:val="18"/>
              </w:rPr>
              <w:t xml:space="preserve"> </w:t>
            </w:r>
            <w:r w:rsidRPr="00EA59C0">
              <w:rPr>
                <w:rFonts w:asciiTheme="minorHAnsi" w:hAnsiTheme="minorHAnsi"/>
                <w:sz w:val="18"/>
                <w:szCs w:val="18"/>
              </w:rPr>
              <w:t>exit</w:t>
            </w:r>
          </w:p>
          <w:p w:rsidR="008826BE" w:rsidRPr="00EA59C0" w:rsidRDefault="008826BE" w:rsidP="00DB00BB">
            <w:pPr>
              <w:rPr>
                <w:rFonts w:asciiTheme="minorHAnsi" w:hAnsiTheme="minorHAnsi"/>
                <w:sz w:val="18"/>
                <w:szCs w:val="18"/>
              </w:rPr>
            </w:pPr>
          </w:p>
        </w:tc>
        <w:tc>
          <w:tcPr>
            <w:tcW w:w="1979"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1:</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2:</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3:</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4</w:t>
            </w:r>
            <w:r w:rsidR="00C026A6" w:rsidRPr="00EA59C0">
              <w:rPr>
                <w:rFonts w:asciiTheme="minorHAnsi" w:hAnsiTheme="minorHAnsi"/>
                <w:sz w:val="18"/>
                <w:szCs w:val="18"/>
              </w:rPr>
              <w:t xml:space="preserve"> </w:t>
            </w:r>
            <w:r w:rsidRPr="00EA59C0">
              <w:rPr>
                <w:rFonts w:asciiTheme="minorHAnsi" w:hAnsiTheme="minorHAnsi"/>
                <w:sz w:val="18"/>
                <w:szCs w:val="18"/>
              </w:rPr>
              <w:t>(follow-up</w:t>
            </w:r>
            <w:r w:rsidR="00C026A6" w:rsidRPr="00EA59C0">
              <w:rPr>
                <w:rFonts w:asciiTheme="minorHAnsi" w:hAnsiTheme="minorHAnsi"/>
                <w:sz w:val="18"/>
                <w:szCs w:val="18"/>
              </w:rPr>
              <w:t xml:space="preserve"> </w:t>
            </w:r>
            <w:r w:rsidRPr="00EA59C0">
              <w:rPr>
                <w:rFonts w:asciiTheme="minorHAnsi" w:hAnsiTheme="minorHAnsi"/>
                <w:sz w:val="18"/>
                <w:szCs w:val="18"/>
              </w:rPr>
              <w:t>only):</w:t>
            </w:r>
          </w:p>
        </w:tc>
        <w:tc>
          <w:tcPr>
            <w:tcW w:w="901"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Total:</w:t>
            </w:r>
          </w:p>
        </w:tc>
      </w:tr>
      <w:tr w:rsidR="00EA59C0" w:rsidRPr="00EA59C0" w:rsidTr="00C4770D">
        <w:trPr>
          <w:jc w:val="center"/>
        </w:trPr>
        <w:tc>
          <w:tcPr>
            <w:tcW w:w="378" w:type="dxa"/>
          </w:tcPr>
          <w:p w:rsidR="008826BE" w:rsidRPr="00EA59C0" w:rsidRDefault="008826BE" w:rsidP="00DB00BB">
            <w:pPr>
              <w:jc w:val="center"/>
              <w:rPr>
                <w:rFonts w:asciiTheme="minorHAnsi" w:hAnsiTheme="minorHAnsi"/>
                <w:sz w:val="18"/>
                <w:szCs w:val="18"/>
              </w:rPr>
            </w:pPr>
            <w:r w:rsidRPr="00EA59C0">
              <w:rPr>
                <w:rFonts w:asciiTheme="minorHAnsi" w:hAnsiTheme="minorHAnsi"/>
                <w:sz w:val="18"/>
                <w:szCs w:val="18"/>
              </w:rPr>
              <w:t>8</w:t>
            </w:r>
          </w:p>
        </w:tc>
        <w:tc>
          <w:tcPr>
            <w:tcW w:w="7005" w:type="dxa"/>
          </w:tcPr>
          <w:p w:rsidR="008826BE" w:rsidRPr="00EA59C0" w:rsidRDefault="008826BE" w:rsidP="00DB00BB">
            <w:pPr>
              <w:rPr>
                <w:rFonts w:asciiTheme="minorHAnsi" w:hAnsiTheme="minorHAnsi"/>
                <w:b/>
                <w:sz w:val="18"/>
                <w:szCs w:val="18"/>
              </w:rPr>
            </w:pPr>
            <w:r w:rsidRPr="00EA59C0">
              <w:rPr>
                <w:rFonts w:asciiTheme="minorHAnsi" w:hAnsiTheme="minorHAnsi"/>
                <w:b/>
                <w:sz w:val="18"/>
                <w:szCs w:val="18"/>
              </w:rPr>
              <w:t>Total</w:t>
            </w:r>
            <w:r w:rsidR="00C026A6" w:rsidRPr="00EA59C0">
              <w:rPr>
                <w:rFonts w:asciiTheme="minorHAnsi" w:hAnsiTheme="minorHAnsi"/>
                <w:b/>
                <w:sz w:val="18"/>
                <w:szCs w:val="18"/>
              </w:rPr>
              <w:t xml:space="preserve"> </w:t>
            </w:r>
            <w:r w:rsidRPr="00EA59C0">
              <w:rPr>
                <w:rFonts w:asciiTheme="minorHAnsi" w:hAnsiTheme="minorHAnsi"/>
                <w:b/>
                <w:sz w:val="18"/>
                <w:szCs w:val="18"/>
              </w:rPr>
              <w:t>Number</w:t>
            </w:r>
            <w:r w:rsidR="00C026A6" w:rsidRPr="00EA59C0">
              <w:rPr>
                <w:rFonts w:asciiTheme="minorHAnsi" w:hAnsiTheme="minorHAnsi"/>
                <w:b/>
                <w:sz w:val="18"/>
                <w:szCs w:val="18"/>
              </w:rPr>
              <w:t xml:space="preserve"> </w:t>
            </w:r>
            <w:r w:rsidRPr="00EA59C0">
              <w:rPr>
                <w:rFonts w:asciiTheme="minorHAnsi" w:hAnsiTheme="minorHAnsi"/>
                <w:b/>
                <w:sz w:val="18"/>
                <w:szCs w:val="18"/>
              </w:rPr>
              <w:t>of</w:t>
            </w:r>
            <w:r w:rsidR="00C026A6" w:rsidRPr="00EA59C0">
              <w:rPr>
                <w:rFonts w:asciiTheme="minorHAnsi" w:hAnsiTheme="minorHAnsi"/>
                <w:b/>
                <w:sz w:val="18"/>
                <w:szCs w:val="18"/>
              </w:rPr>
              <w:t xml:space="preserve"> </w:t>
            </w:r>
            <w:r w:rsidRPr="00EA59C0">
              <w:rPr>
                <w:rFonts w:asciiTheme="minorHAnsi" w:hAnsiTheme="minorHAnsi"/>
                <w:b/>
                <w:sz w:val="18"/>
                <w:szCs w:val="18"/>
              </w:rPr>
              <w:t>Participants</w:t>
            </w:r>
            <w:r w:rsidR="00C026A6" w:rsidRPr="00EA59C0">
              <w:rPr>
                <w:rFonts w:asciiTheme="minorHAnsi" w:hAnsiTheme="minorHAnsi"/>
                <w:b/>
                <w:sz w:val="18"/>
                <w:szCs w:val="18"/>
              </w:rPr>
              <w:t xml:space="preserve"> </w:t>
            </w:r>
            <w:r w:rsidRPr="00EA59C0">
              <w:rPr>
                <w:rFonts w:asciiTheme="minorHAnsi" w:hAnsiTheme="minorHAnsi"/>
                <w:b/>
                <w:sz w:val="18"/>
                <w:szCs w:val="18"/>
              </w:rPr>
              <w:t>Retained</w:t>
            </w:r>
            <w:r w:rsidR="00C026A6" w:rsidRPr="00EA59C0">
              <w:rPr>
                <w:rFonts w:asciiTheme="minorHAnsi" w:hAnsiTheme="minorHAnsi"/>
                <w:b/>
                <w:sz w:val="18"/>
                <w:szCs w:val="18"/>
              </w:rPr>
              <w:t xml:space="preserve"> </w:t>
            </w:r>
            <w:r w:rsidRPr="00EA59C0">
              <w:rPr>
                <w:rFonts w:asciiTheme="minorHAnsi" w:hAnsiTheme="minorHAnsi"/>
                <w:b/>
                <w:sz w:val="18"/>
                <w:szCs w:val="18"/>
              </w:rPr>
              <w:t>in</w:t>
            </w:r>
            <w:r w:rsidR="00C026A6" w:rsidRPr="00EA59C0">
              <w:rPr>
                <w:rFonts w:asciiTheme="minorHAnsi" w:hAnsiTheme="minorHAnsi"/>
                <w:b/>
                <w:sz w:val="18"/>
                <w:szCs w:val="18"/>
              </w:rPr>
              <w:t xml:space="preserve"> </w:t>
            </w:r>
            <w:r w:rsidRPr="00EA59C0">
              <w:rPr>
                <w:rFonts w:asciiTheme="minorHAnsi" w:hAnsiTheme="minorHAnsi"/>
                <w:b/>
                <w:sz w:val="18"/>
                <w:szCs w:val="18"/>
              </w:rPr>
              <w:t>Employment</w:t>
            </w:r>
            <w:r w:rsidR="00C026A6" w:rsidRPr="00EA59C0">
              <w:rPr>
                <w:rFonts w:asciiTheme="minorHAnsi" w:hAnsiTheme="minorHAnsi"/>
                <w:b/>
                <w:sz w:val="18"/>
                <w:szCs w:val="18"/>
              </w:rPr>
              <w:t xml:space="preserve"> </w:t>
            </w:r>
            <w:r w:rsidRPr="00EA59C0">
              <w:rPr>
                <w:rFonts w:asciiTheme="minorHAnsi" w:hAnsiTheme="minorHAnsi"/>
                <w:b/>
                <w:sz w:val="18"/>
                <w:szCs w:val="18"/>
              </w:rPr>
              <w:t>After</w:t>
            </w:r>
            <w:r w:rsidR="00C026A6" w:rsidRPr="00EA59C0">
              <w:rPr>
                <w:rFonts w:asciiTheme="minorHAnsi" w:hAnsiTheme="minorHAnsi"/>
                <w:b/>
                <w:sz w:val="18"/>
                <w:szCs w:val="18"/>
              </w:rPr>
              <w:t xml:space="preserve"> </w:t>
            </w:r>
            <w:r w:rsidRPr="00EA59C0">
              <w:rPr>
                <w:rFonts w:asciiTheme="minorHAnsi" w:hAnsiTheme="minorHAnsi"/>
                <w:b/>
                <w:sz w:val="18"/>
                <w:szCs w:val="18"/>
              </w:rPr>
              <w:t>Program</w:t>
            </w:r>
            <w:r w:rsidR="00C026A6" w:rsidRPr="00EA59C0">
              <w:rPr>
                <w:rFonts w:asciiTheme="minorHAnsi" w:hAnsiTheme="minorHAnsi"/>
                <w:b/>
                <w:sz w:val="18"/>
                <w:szCs w:val="18"/>
              </w:rPr>
              <w:t xml:space="preserve"> </w:t>
            </w:r>
            <w:r w:rsidRPr="00EA59C0">
              <w:rPr>
                <w:rFonts w:asciiTheme="minorHAnsi" w:hAnsiTheme="minorHAnsi"/>
                <w:b/>
                <w:sz w:val="18"/>
                <w:szCs w:val="18"/>
              </w:rPr>
              <w:t>of</w:t>
            </w:r>
            <w:r w:rsidR="00C026A6" w:rsidRPr="00EA59C0">
              <w:rPr>
                <w:rFonts w:asciiTheme="minorHAnsi" w:hAnsiTheme="minorHAnsi"/>
                <w:b/>
                <w:sz w:val="18"/>
                <w:szCs w:val="18"/>
              </w:rPr>
              <w:t xml:space="preserve"> </w:t>
            </w:r>
            <w:r w:rsidRPr="00EA59C0">
              <w:rPr>
                <w:rFonts w:asciiTheme="minorHAnsi" w:hAnsiTheme="minorHAnsi"/>
                <w:b/>
                <w:sz w:val="18"/>
                <w:szCs w:val="18"/>
              </w:rPr>
              <w:t>Study</w:t>
            </w:r>
            <w:r w:rsidR="00C026A6" w:rsidRPr="00EA59C0">
              <w:rPr>
                <w:rFonts w:asciiTheme="minorHAnsi" w:hAnsiTheme="minorHAnsi"/>
                <w:b/>
                <w:sz w:val="18"/>
                <w:szCs w:val="18"/>
              </w:rPr>
              <w:t xml:space="preserve"> </w:t>
            </w:r>
            <w:r w:rsidRPr="00EA59C0">
              <w:rPr>
                <w:rFonts w:asciiTheme="minorHAnsi" w:hAnsiTheme="minorHAnsi"/>
                <w:b/>
                <w:sz w:val="18"/>
                <w:szCs w:val="18"/>
              </w:rPr>
              <w:t>Completion</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Total</w:t>
            </w:r>
            <w:r w:rsidR="00C026A6" w:rsidRPr="00EA59C0">
              <w:rPr>
                <w:rFonts w:asciiTheme="minorHAnsi" w:hAnsiTheme="minorHAnsi"/>
                <w:sz w:val="18"/>
                <w:szCs w:val="18"/>
              </w:rPr>
              <w:t xml:space="preserve"> </w:t>
            </w:r>
            <w:r w:rsidRPr="00EA59C0">
              <w:rPr>
                <w:rFonts w:asciiTheme="minorHAnsi" w:hAnsiTheme="minorHAnsi"/>
                <w:sz w:val="18"/>
                <w:szCs w:val="18"/>
              </w:rPr>
              <w:t>number</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students</w:t>
            </w:r>
            <w:r w:rsidR="00C026A6" w:rsidRPr="00EA59C0">
              <w:rPr>
                <w:rFonts w:asciiTheme="minorHAnsi" w:hAnsiTheme="minorHAnsi"/>
                <w:sz w:val="18"/>
                <w:szCs w:val="18"/>
              </w:rPr>
              <w:t xml:space="preserve"> </w:t>
            </w:r>
            <w:r w:rsidRPr="00EA59C0">
              <w:rPr>
                <w:rFonts w:asciiTheme="minorHAnsi" w:hAnsiTheme="minorHAnsi"/>
                <w:sz w:val="18"/>
                <w:szCs w:val="18"/>
              </w:rPr>
              <w:t>(non-incumbent</w:t>
            </w:r>
            <w:r w:rsidR="00C026A6" w:rsidRPr="00EA59C0">
              <w:rPr>
                <w:rFonts w:asciiTheme="minorHAnsi" w:hAnsiTheme="minorHAnsi"/>
                <w:sz w:val="18"/>
                <w:szCs w:val="18"/>
              </w:rPr>
              <w:t xml:space="preserve"> </w:t>
            </w:r>
            <w:r w:rsidRPr="00EA59C0">
              <w:rPr>
                <w:rFonts w:asciiTheme="minorHAnsi" w:hAnsiTheme="minorHAnsi"/>
                <w:sz w:val="18"/>
                <w:szCs w:val="18"/>
              </w:rPr>
              <w:t>workers</w:t>
            </w:r>
            <w:r w:rsidR="00C026A6" w:rsidRPr="00EA59C0">
              <w:rPr>
                <w:rFonts w:asciiTheme="minorHAnsi" w:hAnsiTheme="minorHAnsi"/>
                <w:sz w:val="18"/>
                <w:szCs w:val="18"/>
              </w:rPr>
              <w:t xml:space="preserve"> </w:t>
            </w:r>
            <w:r w:rsidRPr="00EA59C0">
              <w:rPr>
                <w:rFonts w:asciiTheme="minorHAnsi" w:hAnsiTheme="minorHAnsi"/>
                <w:sz w:val="18"/>
                <w:szCs w:val="18"/>
              </w:rPr>
              <w:t>only)</w:t>
            </w:r>
            <w:r w:rsidR="00C026A6" w:rsidRPr="00EA59C0">
              <w:rPr>
                <w:rFonts w:asciiTheme="minorHAnsi" w:hAnsiTheme="minorHAnsi"/>
                <w:sz w:val="18"/>
                <w:szCs w:val="18"/>
              </w:rPr>
              <w:t xml:space="preserve"> </w:t>
            </w:r>
            <w:r w:rsidRPr="00EA59C0">
              <w:rPr>
                <w:rFonts w:asciiTheme="minorHAnsi" w:hAnsiTheme="minorHAnsi"/>
                <w:sz w:val="18"/>
                <w:szCs w:val="18"/>
              </w:rPr>
              <w:t>who</w:t>
            </w:r>
            <w:r w:rsidR="00C026A6" w:rsidRPr="00EA59C0">
              <w:rPr>
                <w:rFonts w:asciiTheme="minorHAnsi" w:hAnsiTheme="minorHAnsi"/>
                <w:sz w:val="18"/>
                <w:szCs w:val="18"/>
              </w:rPr>
              <w:t xml:space="preserve"> </w:t>
            </w:r>
            <w:r w:rsidRPr="00EA59C0">
              <w:rPr>
                <w:rFonts w:asciiTheme="minorHAnsi" w:hAnsiTheme="minorHAnsi"/>
                <w:sz w:val="18"/>
                <w:szCs w:val="18"/>
              </w:rPr>
              <w:t>completed</w:t>
            </w:r>
            <w:r w:rsidR="00C026A6" w:rsidRPr="00EA59C0">
              <w:rPr>
                <w:rFonts w:asciiTheme="minorHAnsi" w:hAnsiTheme="minorHAnsi"/>
                <w:sz w:val="18"/>
                <w:szCs w:val="18"/>
              </w:rPr>
              <w:t xml:space="preserve"> </w:t>
            </w:r>
            <w:r w:rsidRPr="00EA59C0">
              <w:rPr>
                <w:rFonts w:asciiTheme="minorHAnsi" w:hAnsiTheme="minorHAnsi"/>
                <w:sz w:val="18"/>
                <w:szCs w:val="18"/>
              </w:rPr>
              <w:t>a</w:t>
            </w:r>
            <w:r w:rsidR="00C026A6" w:rsidRPr="00EA59C0">
              <w:rPr>
                <w:rFonts w:asciiTheme="minorHAnsi" w:hAnsiTheme="minorHAnsi"/>
                <w:sz w:val="18"/>
                <w:szCs w:val="18"/>
              </w:rPr>
              <w:t xml:space="preserve"> </w:t>
            </w:r>
            <w:r w:rsidRPr="00EA59C0">
              <w:rPr>
                <w:rFonts w:asciiTheme="minorHAnsi" w:hAnsiTheme="minorHAnsi"/>
                <w:sz w:val="18"/>
                <w:szCs w:val="18"/>
              </w:rPr>
              <w:t>grant-funded</w:t>
            </w:r>
            <w:r w:rsidR="00C026A6" w:rsidRPr="00EA59C0">
              <w:rPr>
                <w:rFonts w:asciiTheme="minorHAnsi" w:hAnsiTheme="minorHAnsi"/>
                <w:sz w:val="18"/>
                <w:szCs w:val="18"/>
              </w:rPr>
              <w:t xml:space="preserve"> </w:t>
            </w:r>
            <w:r w:rsidRPr="00EA59C0">
              <w:rPr>
                <w:rFonts w:asciiTheme="minorHAnsi" w:hAnsiTheme="minorHAnsi"/>
                <w:sz w:val="18"/>
                <w:szCs w:val="18"/>
              </w:rPr>
              <w:t>program</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study</w:t>
            </w:r>
            <w:r w:rsidR="00C026A6" w:rsidRPr="00EA59C0">
              <w:rPr>
                <w:rFonts w:asciiTheme="minorHAnsi" w:hAnsiTheme="minorHAnsi"/>
                <w:sz w:val="18"/>
                <w:szCs w:val="18"/>
              </w:rPr>
              <w:t xml:space="preserve"> </w:t>
            </w:r>
            <w:r w:rsidRPr="00EA59C0">
              <w:rPr>
                <w:rFonts w:asciiTheme="minorHAnsi" w:hAnsiTheme="minorHAnsi"/>
                <w:sz w:val="18"/>
                <w:szCs w:val="18"/>
              </w:rPr>
              <w:t>and</w:t>
            </w:r>
            <w:r w:rsidR="00C026A6" w:rsidRPr="00EA59C0">
              <w:rPr>
                <w:rFonts w:asciiTheme="minorHAnsi" w:hAnsiTheme="minorHAnsi"/>
                <w:sz w:val="18"/>
                <w:szCs w:val="18"/>
              </w:rPr>
              <w:t xml:space="preserve"> </w:t>
            </w:r>
            <w:r w:rsidRPr="00EA59C0">
              <w:rPr>
                <w:rFonts w:asciiTheme="minorHAnsi" w:hAnsiTheme="minorHAnsi"/>
                <w:sz w:val="18"/>
                <w:szCs w:val="18"/>
              </w:rPr>
              <w:t>who</w:t>
            </w:r>
            <w:r w:rsidR="00C026A6" w:rsidRPr="00EA59C0">
              <w:rPr>
                <w:rFonts w:asciiTheme="minorHAnsi" w:hAnsiTheme="minorHAnsi"/>
                <w:sz w:val="18"/>
                <w:szCs w:val="18"/>
              </w:rPr>
              <w:t xml:space="preserve"> </w:t>
            </w:r>
            <w:r w:rsidRPr="00EA59C0">
              <w:rPr>
                <w:rFonts w:asciiTheme="minorHAnsi" w:hAnsiTheme="minorHAnsi"/>
                <w:sz w:val="18"/>
                <w:szCs w:val="18"/>
              </w:rPr>
              <w:t>entered</w:t>
            </w:r>
            <w:r w:rsidR="00C026A6" w:rsidRPr="00EA59C0">
              <w:rPr>
                <w:rFonts w:asciiTheme="minorHAnsi" w:hAnsiTheme="minorHAnsi"/>
                <w:sz w:val="18"/>
                <w:szCs w:val="18"/>
              </w:rPr>
              <w:t xml:space="preserve"> </w:t>
            </w:r>
            <w:r w:rsidRPr="00EA59C0">
              <w:rPr>
                <w:rFonts w:asciiTheme="minorHAnsi" w:hAnsiTheme="minorHAnsi"/>
                <w:sz w:val="18"/>
                <w:szCs w:val="18"/>
              </w:rPr>
              <w:t>employment</w:t>
            </w:r>
            <w:r w:rsidR="00C026A6" w:rsidRPr="00EA59C0">
              <w:rPr>
                <w:rFonts w:asciiTheme="minorHAnsi" w:hAnsiTheme="minorHAnsi"/>
                <w:sz w:val="18"/>
                <w:szCs w:val="18"/>
              </w:rPr>
              <w:t xml:space="preserve"> </w:t>
            </w:r>
            <w:r w:rsidRPr="00EA59C0">
              <w:rPr>
                <w:rFonts w:asciiTheme="minorHAnsi" w:hAnsiTheme="minorHAnsi"/>
                <w:sz w:val="18"/>
                <w:szCs w:val="18"/>
              </w:rPr>
              <w:t>in</w:t>
            </w:r>
            <w:r w:rsidR="00C026A6" w:rsidRPr="00EA59C0">
              <w:rPr>
                <w:rFonts w:asciiTheme="minorHAnsi" w:hAnsiTheme="minorHAnsi"/>
                <w:sz w:val="18"/>
                <w:szCs w:val="18"/>
              </w:rPr>
              <w:t xml:space="preserve"> </w:t>
            </w:r>
            <w:r w:rsidRPr="00EA59C0">
              <w:rPr>
                <w:rFonts w:asciiTheme="minorHAnsi" w:hAnsiTheme="minorHAnsi"/>
                <w:sz w:val="18"/>
                <w:szCs w:val="18"/>
              </w:rPr>
              <w:t>the</w:t>
            </w:r>
            <w:r w:rsidR="00C026A6" w:rsidRPr="00EA59C0">
              <w:rPr>
                <w:rFonts w:asciiTheme="minorHAnsi" w:hAnsiTheme="minorHAnsi"/>
                <w:sz w:val="18"/>
                <w:szCs w:val="18"/>
              </w:rPr>
              <w:t xml:space="preserve"> </w:t>
            </w:r>
            <w:r w:rsidRPr="00EA59C0">
              <w:rPr>
                <w:rFonts w:asciiTheme="minorHAnsi" w:hAnsiTheme="minorHAnsi"/>
                <w:sz w:val="18"/>
                <w:szCs w:val="18"/>
              </w:rPr>
              <w:t>quarter</w:t>
            </w:r>
            <w:r w:rsidR="00C026A6" w:rsidRPr="00EA59C0">
              <w:rPr>
                <w:rFonts w:asciiTheme="minorHAnsi" w:hAnsiTheme="minorHAnsi"/>
                <w:sz w:val="18"/>
                <w:szCs w:val="18"/>
              </w:rPr>
              <w:t xml:space="preserve"> </w:t>
            </w:r>
            <w:r w:rsidRPr="00EA59C0">
              <w:rPr>
                <w:rFonts w:asciiTheme="minorHAnsi" w:hAnsiTheme="minorHAnsi"/>
                <w:sz w:val="18"/>
                <w:szCs w:val="18"/>
              </w:rPr>
              <w:t>after</w:t>
            </w:r>
            <w:r w:rsidR="00C026A6" w:rsidRPr="00EA59C0">
              <w:rPr>
                <w:rFonts w:asciiTheme="minorHAnsi" w:hAnsiTheme="minorHAnsi"/>
                <w:sz w:val="18"/>
                <w:szCs w:val="18"/>
              </w:rPr>
              <w:t xml:space="preserve"> </w:t>
            </w:r>
            <w:r w:rsidRPr="00EA59C0">
              <w:rPr>
                <w:rFonts w:asciiTheme="minorHAnsi" w:hAnsiTheme="minorHAnsi"/>
                <w:sz w:val="18"/>
                <w:szCs w:val="18"/>
              </w:rPr>
              <w:t>the</w:t>
            </w:r>
            <w:r w:rsidR="00C026A6" w:rsidRPr="00EA59C0">
              <w:rPr>
                <w:rFonts w:asciiTheme="minorHAnsi" w:hAnsiTheme="minorHAnsi"/>
                <w:sz w:val="18"/>
                <w:szCs w:val="18"/>
              </w:rPr>
              <w:t xml:space="preserve"> </w:t>
            </w:r>
            <w:r w:rsidRPr="00EA59C0">
              <w:rPr>
                <w:rFonts w:asciiTheme="minorHAnsi" w:hAnsiTheme="minorHAnsi"/>
                <w:sz w:val="18"/>
                <w:szCs w:val="18"/>
              </w:rPr>
              <w:t>quarter</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program</w:t>
            </w:r>
            <w:r w:rsidR="00C026A6" w:rsidRPr="00EA59C0">
              <w:rPr>
                <w:rFonts w:asciiTheme="minorHAnsi" w:hAnsiTheme="minorHAnsi"/>
                <w:sz w:val="18"/>
                <w:szCs w:val="18"/>
              </w:rPr>
              <w:t xml:space="preserve"> </w:t>
            </w:r>
            <w:r w:rsidRPr="00EA59C0">
              <w:rPr>
                <w:rFonts w:asciiTheme="minorHAnsi" w:hAnsiTheme="minorHAnsi"/>
                <w:sz w:val="18"/>
                <w:szCs w:val="18"/>
              </w:rPr>
              <w:t>exit</w:t>
            </w:r>
            <w:r w:rsidR="00C026A6" w:rsidRPr="00EA59C0">
              <w:rPr>
                <w:rFonts w:asciiTheme="minorHAnsi" w:hAnsiTheme="minorHAnsi"/>
                <w:sz w:val="18"/>
                <w:szCs w:val="18"/>
              </w:rPr>
              <w:t xml:space="preserve"> </w:t>
            </w:r>
            <w:r w:rsidRPr="00EA59C0">
              <w:rPr>
                <w:rFonts w:asciiTheme="minorHAnsi" w:hAnsiTheme="minorHAnsi"/>
                <w:sz w:val="18"/>
                <w:szCs w:val="18"/>
              </w:rPr>
              <w:t>who</w:t>
            </w:r>
            <w:r w:rsidR="00C026A6" w:rsidRPr="00EA59C0">
              <w:rPr>
                <w:rFonts w:asciiTheme="minorHAnsi" w:hAnsiTheme="minorHAnsi"/>
                <w:sz w:val="18"/>
                <w:szCs w:val="18"/>
              </w:rPr>
              <w:t xml:space="preserve"> </w:t>
            </w:r>
            <w:r w:rsidRPr="00EA59C0">
              <w:rPr>
                <w:rFonts w:asciiTheme="minorHAnsi" w:hAnsiTheme="minorHAnsi"/>
                <w:sz w:val="18"/>
                <w:szCs w:val="18"/>
              </w:rPr>
              <w:t>retain</w:t>
            </w:r>
            <w:r w:rsidR="00C026A6" w:rsidRPr="00EA59C0">
              <w:rPr>
                <w:rFonts w:asciiTheme="minorHAnsi" w:hAnsiTheme="minorHAnsi"/>
                <w:sz w:val="18"/>
                <w:szCs w:val="18"/>
              </w:rPr>
              <w:t xml:space="preserve"> </w:t>
            </w:r>
            <w:r w:rsidRPr="00EA59C0">
              <w:rPr>
                <w:rFonts w:asciiTheme="minorHAnsi" w:hAnsiTheme="minorHAnsi"/>
                <w:sz w:val="18"/>
                <w:szCs w:val="18"/>
              </w:rPr>
              <w:t>employment</w:t>
            </w:r>
            <w:r w:rsidR="00C026A6" w:rsidRPr="00EA59C0">
              <w:rPr>
                <w:rFonts w:asciiTheme="minorHAnsi" w:hAnsiTheme="minorHAnsi"/>
                <w:sz w:val="18"/>
                <w:szCs w:val="18"/>
              </w:rPr>
              <w:t xml:space="preserve"> </w:t>
            </w:r>
            <w:r w:rsidRPr="00EA59C0">
              <w:rPr>
                <w:rFonts w:asciiTheme="minorHAnsi" w:hAnsiTheme="minorHAnsi"/>
                <w:sz w:val="18"/>
                <w:szCs w:val="18"/>
              </w:rPr>
              <w:t>in</w:t>
            </w:r>
            <w:r w:rsidR="00C026A6" w:rsidRPr="00EA59C0">
              <w:rPr>
                <w:rFonts w:asciiTheme="minorHAnsi" w:hAnsiTheme="minorHAnsi"/>
                <w:sz w:val="18"/>
                <w:szCs w:val="18"/>
              </w:rPr>
              <w:t xml:space="preserve"> </w:t>
            </w:r>
            <w:r w:rsidRPr="00EA59C0">
              <w:rPr>
                <w:rFonts w:asciiTheme="minorHAnsi" w:hAnsiTheme="minorHAnsi"/>
                <w:sz w:val="18"/>
                <w:szCs w:val="18"/>
              </w:rPr>
              <w:t>the</w:t>
            </w:r>
            <w:r w:rsidR="00C026A6" w:rsidRPr="00EA59C0">
              <w:rPr>
                <w:rFonts w:asciiTheme="minorHAnsi" w:hAnsiTheme="minorHAnsi"/>
                <w:sz w:val="18"/>
                <w:szCs w:val="18"/>
              </w:rPr>
              <w:t xml:space="preserve"> </w:t>
            </w:r>
            <w:r w:rsidRPr="00EA59C0">
              <w:rPr>
                <w:rFonts w:asciiTheme="minorHAnsi" w:hAnsiTheme="minorHAnsi"/>
                <w:sz w:val="18"/>
                <w:szCs w:val="18"/>
              </w:rPr>
              <w:t>second</w:t>
            </w:r>
            <w:r w:rsidR="00C026A6" w:rsidRPr="00EA59C0">
              <w:rPr>
                <w:rFonts w:asciiTheme="minorHAnsi" w:hAnsiTheme="minorHAnsi"/>
                <w:sz w:val="18"/>
                <w:szCs w:val="18"/>
              </w:rPr>
              <w:t xml:space="preserve"> </w:t>
            </w:r>
            <w:r w:rsidRPr="00EA59C0">
              <w:rPr>
                <w:rFonts w:asciiTheme="minorHAnsi" w:hAnsiTheme="minorHAnsi"/>
                <w:sz w:val="18"/>
                <w:szCs w:val="18"/>
              </w:rPr>
              <w:t>and</w:t>
            </w:r>
            <w:r w:rsidR="00C026A6" w:rsidRPr="00EA59C0">
              <w:rPr>
                <w:rFonts w:asciiTheme="minorHAnsi" w:hAnsiTheme="minorHAnsi"/>
                <w:sz w:val="18"/>
                <w:szCs w:val="18"/>
              </w:rPr>
              <w:t xml:space="preserve"> </w:t>
            </w:r>
            <w:r w:rsidRPr="00EA59C0">
              <w:rPr>
                <w:rFonts w:asciiTheme="minorHAnsi" w:hAnsiTheme="minorHAnsi"/>
                <w:sz w:val="18"/>
                <w:szCs w:val="18"/>
              </w:rPr>
              <w:t>third</w:t>
            </w:r>
            <w:r w:rsidR="00C026A6" w:rsidRPr="00EA59C0">
              <w:rPr>
                <w:rFonts w:asciiTheme="minorHAnsi" w:hAnsiTheme="minorHAnsi"/>
                <w:sz w:val="18"/>
                <w:szCs w:val="18"/>
              </w:rPr>
              <w:t xml:space="preserve"> </w:t>
            </w:r>
            <w:r w:rsidRPr="00EA59C0">
              <w:rPr>
                <w:rFonts w:asciiTheme="minorHAnsi" w:hAnsiTheme="minorHAnsi"/>
                <w:sz w:val="18"/>
                <w:szCs w:val="18"/>
              </w:rPr>
              <w:t>quarters</w:t>
            </w:r>
            <w:r w:rsidR="00C026A6" w:rsidRPr="00EA59C0">
              <w:rPr>
                <w:rFonts w:asciiTheme="minorHAnsi" w:hAnsiTheme="minorHAnsi"/>
                <w:sz w:val="18"/>
                <w:szCs w:val="18"/>
              </w:rPr>
              <w:t xml:space="preserve"> </w:t>
            </w:r>
            <w:r w:rsidRPr="00EA59C0">
              <w:rPr>
                <w:rFonts w:asciiTheme="minorHAnsi" w:hAnsiTheme="minorHAnsi"/>
                <w:sz w:val="18"/>
                <w:szCs w:val="18"/>
              </w:rPr>
              <w:t>after</w:t>
            </w:r>
            <w:r w:rsidR="00C026A6" w:rsidRPr="00EA59C0">
              <w:rPr>
                <w:rFonts w:asciiTheme="minorHAnsi" w:hAnsiTheme="minorHAnsi"/>
                <w:sz w:val="18"/>
                <w:szCs w:val="18"/>
              </w:rPr>
              <w:t xml:space="preserve"> </w:t>
            </w:r>
            <w:r w:rsidRPr="00EA59C0">
              <w:rPr>
                <w:rFonts w:asciiTheme="minorHAnsi" w:hAnsiTheme="minorHAnsi"/>
                <w:sz w:val="18"/>
                <w:szCs w:val="18"/>
              </w:rPr>
              <w:t>program</w:t>
            </w:r>
            <w:r w:rsidR="00C026A6" w:rsidRPr="00EA59C0">
              <w:rPr>
                <w:rFonts w:asciiTheme="minorHAnsi" w:hAnsiTheme="minorHAnsi"/>
                <w:sz w:val="18"/>
                <w:szCs w:val="18"/>
              </w:rPr>
              <w:t xml:space="preserve"> </w:t>
            </w:r>
            <w:r w:rsidRPr="00EA59C0">
              <w:rPr>
                <w:rFonts w:asciiTheme="minorHAnsi" w:hAnsiTheme="minorHAnsi"/>
                <w:sz w:val="18"/>
                <w:szCs w:val="18"/>
              </w:rPr>
              <w:t>exit</w:t>
            </w:r>
          </w:p>
          <w:p w:rsidR="008826BE" w:rsidRPr="00EA59C0" w:rsidRDefault="008826BE" w:rsidP="00DB00BB">
            <w:pPr>
              <w:rPr>
                <w:rFonts w:asciiTheme="minorHAnsi" w:hAnsiTheme="minorHAnsi"/>
                <w:sz w:val="18"/>
                <w:szCs w:val="18"/>
              </w:rPr>
            </w:pPr>
          </w:p>
        </w:tc>
        <w:tc>
          <w:tcPr>
            <w:tcW w:w="1979"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1:</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2:</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3:</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4</w:t>
            </w:r>
            <w:r w:rsidR="00C026A6" w:rsidRPr="00EA59C0">
              <w:rPr>
                <w:rFonts w:asciiTheme="minorHAnsi" w:hAnsiTheme="minorHAnsi"/>
                <w:sz w:val="18"/>
                <w:szCs w:val="18"/>
              </w:rPr>
              <w:t xml:space="preserve"> </w:t>
            </w:r>
            <w:r w:rsidRPr="00EA59C0">
              <w:rPr>
                <w:rFonts w:asciiTheme="minorHAnsi" w:hAnsiTheme="minorHAnsi"/>
                <w:sz w:val="18"/>
                <w:szCs w:val="18"/>
              </w:rPr>
              <w:t>(follow-up</w:t>
            </w:r>
            <w:r w:rsidR="00C026A6" w:rsidRPr="00EA59C0">
              <w:rPr>
                <w:rFonts w:asciiTheme="minorHAnsi" w:hAnsiTheme="minorHAnsi"/>
                <w:sz w:val="18"/>
                <w:szCs w:val="18"/>
              </w:rPr>
              <w:t xml:space="preserve"> </w:t>
            </w:r>
            <w:r w:rsidRPr="00EA59C0">
              <w:rPr>
                <w:rFonts w:asciiTheme="minorHAnsi" w:hAnsiTheme="minorHAnsi"/>
                <w:sz w:val="18"/>
                <w:szCs w:val="18"/>
              </w:rPr>
              <w:t>only):</w:t>
            </w:r>
          </w:p>
        </w:tc>
        <w:tc>
          <w:tcPr>
            <w:tcW w:w="901"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Total:</w:t>
            </w:r>
          </w:p>
        </w:tc>
      </w:tr>
      <w:tr w:rsidR="00EA59C0" w:rsidRPr="00EA59C0" w:rsidTr="00C4770D">
        <w:trPr>
          <w:jc w:val="center"/>
        </w:trPr>
        <w:tc>
          <w:tcPr>
            <w:tcW w:w="378" w:type="dxa"/>
          </w:tcPr>
          <w:p w:rsidR="008826BE" w:rsidRPr="00EA59C0" w:rsidRDefault="008826BE" w:rsidP="00DB00BB">
            <w:pPr>
              <w:jc w:val="center"/>
              <w:rPr>
                <w:rFonts w:asciiTheme="minorHAnsi" w:hAnsiTheme="minorHAnsi"/>
                <w:sz w:val="18"/>
                <w:szCs w:val="18"/>
              </w:rPr>
            </w:pPr>
            <w:r w:rsidRPr="00EA59C0">
              <w:rPr>
                <w:rFonts w:asciiTheme="minorHAnsi" w:hAnsiTheme="minorHAnsi"/>
                <w:sz w:val="18"/>
                <w:szCs w:val="18"/>
              </w:rPr>
              <w:t>9</w:t>
            </w:r>
          </w:p>
        </w:tc>
        <w:tc>
          <w:tcPr>
            <w:tcW w:w="7005" w:type="dxa"/>
          </w:tcPr>
          <w:p w:rsidR="008826BE" w:rsidRPr="00EA59C0" w:rsidRDefault="008826BE" w:rsidP="00DB00BB">
            <w:pPr>
              <w:rPr>
                <w:rFonts w:asciiTheme="minorHAnsi" w:hAnsiTheme="minorHAnsi"/>
                <w:b/>
                <w:sz w:val="18"/>
                <w:szCs w:val="18"/>
              </w:rPr>
            </w:pPr>
            <w:r w:rsidRPr="00EA59C0">
              <w:rPr>
                <w:rFonts w:asciiTheme="minorHAnsi" w:hAnsiTheme="minorHAnsi"/>
                <w:b/>
                <w:sz w:val="18"/>
                <w:szCs w:val="18"/>
              </w:rPr>
              <w:t>Total</w:t>
            </w:r>
            <w:r w:rsidR="00C026A6" w:rsidRPr="00EA59C0">
              <w:rPr>
                <w:rFonts w:asciiTheme="minorHAnsi" w:hAnsiTheme="minorHAnsi"/>
                <w:b/>
                <w:sz w:val="18"/>
                <w:szCs w:val="18"/>
              </w:rPr>
              <w:t xml:space="preserve"> </w:t>
            </w:r>
            <w:r w:rsidRPr="00EA59C0">
              <w:rPr>
                <w:rFonts w:asciiTheme="minorHAnsi" w:hAnsiTheme="minorHAnsi"/>
                <w:b/>
                <w:sz w:val="18"/>
                <w:szCs w:val="18"/>
              </w:rPr>
              <w:t>Number</w:t>
            </w:r>
            <w:r w:rsidR="00C026A6" w:rsidRPr="00EA59C0">
              <w:rPr>
                <w:rFonts w:asciiTheme="minorHAnsi" w:hAnsiTheme="minorHAnsi"/>
                <w:b/>
                <w:sz w:val="18"/>
                <w:szCs w:val="18"/>
              </w:rPr>
              <w:t xml:space="preserve"> </w:t>
            </w:r>
            <w:r w:rsidRPr="00EA59C0">
              <w:rPr>
                <w:rFonts w:asciiTheme="minorHAnsi" w:hAnsiTheme="minorHAnsi"/>
                <w:b/>
                <w:sz w:val="18"/>
                <w:szCs w:val="18"/>
              </w:rPr>
              <w:t>of</w:t>
            </w:r>
            <w:r w:rsidR="00C026A6" w:rsidRPr="00EA59C0">
              <w:rPr>
                <w:rFonts w:asciiTheme="minorHAnsi" w:hAnsiTheme="minorHAnsi"/>
                <w:b/>
                <w:sz w:val="18"/>
                <w:szCs w:val="18"/>
              </w:rPr>
              <w:t xml:space="preserve"> </w:t>
            </w:r>
            <w:r w:rsidRPr="00EA59C0">
              <w:rPr>
                <w:rFonts w:asciiTheme="minorHAnsi" w:hAnsiTheme="minorHAnsi"/>
                <w:b/>
                <w:sz w:val="18"/>
                <w:szCs w:val="18"/>
              </w:rPr>
              <w:t>Those</w:t>
            </w:r>
            <w:r w:rsidR="00C026A6" w:rsidRPr="00EA59C0">
              <w:rPr>
                <w:rFonts w:asciiTheme="minorHAnsi" w:hAnsiTheme="minorHAnsi"/>
                <w:b/>
                <w:sz w:val="18"/>
                <w:szCs w:val="18"/>
              </w:rPr>
              <w:t xml:space="preserve"> </w:t>
            </w:r>
            <w:r w:rsidRPr="00EA59C0">
              <w:rPr>
                <w:rFonts w:asciiTheme="minorHAnsi" w:hAnsiTheme="minorHAnsi"/>
                <w:b/>
                <w:sz w:val="18"/>
                <w:szCs w:val="18"/>
              </w:rPr>
              <w:t>Participants</w:t>
            </w:r>
            <w:r w:rsidR="00C026A6" w:rsidRPr="00EA59C0">
              <w:rPr>
                <w:rFonts w:asciiTheme="minorHAnsi" w:hAnsiTheme="minorHAnsi"/>
                <w:b/>
                <w:sz w:val="18"/>
                <w:szCs w:val="18"/>
              </w:rPr>
              <w:t xml:space="preserve"> </w:t>
            </w:r>
            <w:r w:rsidRPr="00EA59C0">
              <w:rPr>
                <w:rFonts w:asciiTheme="minorHAnsi" w:hAnsiTheme="minorHAnsi"/>
                <w:b/>
                <w:sz w:val="18"/>
                <w:szCs w:val="18"/>
              </w:rPr>
              <w:t>Employed</w:t>
            </w:r>
            <w:r w:rsidR="00C026A6" w:rsidRPr="00EA59C0">
              <w:rPr>
                <w:rFonts w:asciiTheme="minorHAnsi" w:hAnsiTheme="minorHAnsi"/>
                <w:b/>
                <w:sz w:val="18"/>
                <w:szCs w:val="18"/>
              </w:rPr>
              <w:t xml:space="preserve"> </w:t>
            </w:r>
            <w:r w:rsidRPr="00EA59C0">
              <w:rPr>
                <w:rFonts w:asciiTheme="minorHAnsi" w:hAnsiTheme="minorHAnsi"/>
                <w:b/>
                <w:sz w:val="18"/>
                <w:szCs w:val="18"/>
              </w:rPr>
              <w:t>at</w:t>
            </w:r>
            <w:r w:rsidR="00C026A6" w:rsidRPr="00EA59C0">
              <w:rPr>
                <w:rFonts w:asciiTheme="minorHAnsi" w:hAnsiTheme="minorHAnsi"/>
                <w:b/>
                <w:sz w:val="18"/>
                <w:szCs w:val="18"/>
              </w:rPr>
              <w:t xml:space="preserve"> </w:t>
            </w:r>
            <w:r w:rsidRPr="00EA59C0">
              <w:rPr>
                <w:rFonts w:asciiTheme="minorHAnsi" w:hAnsiTheme="minorHAnsi"/>
                <w:b/>
                <w:sz w:val="18"/>
                <w:szCs w:val="18"/>
              </w:rPr>
              <w:t>Enrollment</w:t>
            </w:r>
            <w:r w:rsidR="00C026A6" w:rsidRPr="00EA59C0">
              <w:rPr>
                <w:rFonts w:asciiTheme="minorHAnsi" w:hAnsiTheme="minorHAnsi"/>
                <w:b/>
                <w:sz w:val="18"/>
                <w:szCs w:val="18"/>
              </w:rPr>
              <w:t xml:space="preserve"> </w:t>
            </w:r>
            <w:r w:rsidRPr="00EA59C0">
              <w:rPr>
                <w:rFonts w:asciiTheme="minorHAnsi" w:hAnsiTheme="minorHAnsi"/>
                <w:b/>
                <w:sz w:val="18"/>
                <w:szCs w:val="18"/>
              </w:rPr>
              <w:t>Who</w:t>
            </w:r>
            <w:r w:rsidR="00C026A6" w:rsidRPr="00EA59C0">
              <w:rPr>
                <w:rFonts w:asciiTheme="minorHAnsi" w:hAnsiTheme="minorHAnsi"/>
                <w:b/>
                <w:sz w:val="18"/>
                <w:szCs w:val="18"/>
              </w:rPr>
              <w:t xml:space="preserve"> </w:t>
            </w:r>
            <w:r w:rsidRPr="00EA59C0">
              <w:rPr>
                <w:rFonts w:asciiTheme="minorHAnsi" w:hAnsiTheme="minorHAnsi"/>
                <w:b/>
                <w:sz w:val="18"/>
                <w:szCs w:val="18"/>
              </w:rPr>
              <w:t>Received</w:t>
            </w:r>
            <w:r w:rsidR="00C026A6" w:rsidRPr="00EA59C0">
              <w:rPr>
                <w:rFonts w:asciiTheme="minorHAnsi" w:hAnsiTheme="minorHAnsi"/>
                <w:b/>
                <w:sz w:val="18"/>
                <w:szCs w:val="18"/>
              </w:rPr>
              <w:t xml:space="preserve"> </w:t>
            </w:r>
            <w:r w:rsidRPr="00EA59C0">
              <w:rPr>
                <w:rFonts w:asciiTheme="minorHAnsi" w:hAnsiTheme="minorHAnsi"/>
                <w:b/>
                <w:sz w:val="18"/>
                <w:szCs w:val="18"/>
              </w:rPr>
              <w:t>a</w:t>
            </w:r>
            <w:r w:rsidR="00C026A6" w:rsidRPr="00EA59C0">
              <w:rPr>
                <w:rFonts w:asciiTheme="minorHAnsi" w:hAnsiTheme="minorHAnsi"/>
                <w:b/>
                <w:sz w:val="18"/>
                <w:szCs w:val="18"/>
              </w:rPr>
              <w:t xml:space="preserve"> </w:t>
            </w:r>
            <w:r w:rsidRPr="00EA59C0">
              <w:rPr>
                <w:rFonts w:asciiTheme="minorHAnsi" w:hAnsiTheme="minorHAnsi"/>
                <w:b/>
                <w:sz w:val="18"/>
                <w:szCs w:val="18"/>
              </w:rPr>
              <w:t>Wage</w:t>
            </w:r>
            <w:r w:rsidR="00C026A6" w:rsidRPr="00EA59C0">
              <w:rPr>
                <w:rFonts w:asciiTheme="minorHAnsi" w:hAnsiTheme="minorHAnsi"/>
                <w:b/>
                <w:sz w:val="18"/>
                <w:szCs w:val="18"/>
              </w:rPr>
              <w:t xml:space="preserve"> </w:t>
            </w:r>
            <w:r w:rsidRPr="00EA59C0">
              <w:rPr>
                <w:rFonts w:asciiTheme="minorHAnsi" w:hAnsiTheme="minorHAnsi"/>
                <w:b/>
                <w:sz w:val="18"/>
                <w:szCs w:val="18"/>
              </w:rPr>
              <w:t>Increase</w:t>
            </w:r>
            <w:r w:rsidR="00C026A6" w:rsidRPr="00EA59C0">
              <w:rPr>
                <w:rFonts w:asciiTheme="minorHAnsi" w:hAnsiTheme="minorHAnsi"/>
                <w:b/>
                <w:sz w:val="18"/>
                <w:szCs w:val="18"/>
              </w:rPr>
              <w:t xml:space="preserve"> </w:t>
            </w:r>
            <w:r w:rsidRPr="00EA59C0">
              <w:rPr>
                <w:rFonts w:asciiTheme="minorHAnsi" w:hAnsiTheme="minorHAnsi"/>
                <w:b/>
                <w:sz w:val="18"/>
                <w:szCs w:val="18"/>
              </w:rPr>
              <w:t>Post-Enrollment</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Total</w:t>
            </w:r>
            <w:r w:rsidR="00C026A6" w:rsidRPr="00EA59C0">
              <w:rPr>
                <w:rFonts w:asciiTheme="minorHAnsi" w:hAnsiTheme="minorHAnsi"/>
                <w:sz w:val="18"/>
                <w:szCs w:val="18"/>
              </w:rPr>
              <w:t xml:space="preserve"> </w:t>
            </w:r>
            <w:r w:rsidRPr="00EA59C0">
              <w:rPr>
                <w:rFonts w:asciiTheme="minorHAnsi" w:hAnsiTheme="minorHAnsi"/>
                <w:sz w:val="18"/>
                <w:szCs w:val="18"/>
              </w:rPr>
              <w:t>number</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students</w:t>
            </w:r>
            <w:r w:rsidR="00C026A6" w:rsidRPr="00EA59C0">
              <w:rPr>
                <w:rFonts w:asciiTheme="minorHAnsi" w:hAnsiTheme="minorHAnsi"/>
                <w:sz w:val="18"/>
                <w:szCs w:val="18"/>
              </w:rPr>
              <w:t xml:space="preserve"> </w:t>
            </w:r>
            <w:r w:rsidRPr="00EA59C0">
              <w:rPr>
                <w:rFonts w:asciiTheme="minorHAnsi" w:hAnsiTheme="minorHAnsi"/>
                <w:sz w:val="18"/>
                <w:szCs w:val="18"/>
              </w:rPr>
              <w:t>who</w:t>
            </w:r>
            <w:r w:rsidR="00C026A6" w:rsidRPr="00EA59C0">
              <w:rPr>
                <w:rFonts w:asciiTheme="minorHAnsi" w:hAnsiTheme="minorHAnsi"/>
                <w:sz w:val="18"/>
                <w:szCs w:val="18"/>
              </w:rPr>
              <w:t xml:space="preserve"> </w:t>
            </w:r>
            <w:r w:rsidRPr="00EA59C0">
              <w:rPr>
                <w:rFonts w:asciiTheme="minorHAnsi" w:hAnsiTheme="minorHAnsi"/>
                <w:sz w:val="18"/>
                <w:szCs w:val="18"/>
              </w:rPr>
              <w:t>are</w:t>
            </w:r>
            <w:r w:rsidR="00C026A6" w:rsidRPr="00EA59C0">
              <w:rPr>
                <w:rFonts w:asciiTheme="minorHAnsi" w:hAnsiTheme="minorHAnsi"/>
                <w:sz w:val="18"/>
                <w:szCs w:val="18"/>
              </w:rPr>
              <w:t xml:space="preserve"> </w:t>
            </w:r>
            <w:r w:rsidRPr="00EA59C0">
              <w:rPr>
                <w:rFonts w:asciiTheme="minorHAnsi" w:hAnsiTheme="minorHAnsi"/>
                <w:sz w:val="18"/>
                <w:szCs w:val="18"/>
              </w:rPr>
              <w:t>incumbent</w:t>
            </w:r>
            <w:r w:rsidR="00C026A6" w:rsidRPr="00EA59C0">
              <w:rPr>
                <w:rFonts w:asciiTheme="minorHAnsi" w:hAnsiTheme="minorHAnsi"/>
                <w:sz w:val="18"/>
                <w:szCs w:val="18"/>
              </w:rPr>
              <w:t xml:space="preserve"> </w:t>
            </w:r>
            <w:r w:rsidRPr="00EA59C0">
              <w:rPr>
                <w:rFonts w:asciiTheme="minorHAnsi" w:hAnsiTheme="minorHAnsi"/>
                <w:sz w:val="18"/>
                <w:szCs w:val="18"/>
              </w:rPr>
              <w:t>workers</w:t>
            </w:r>
            <w:r w:rsidR="00C026A6" w:rsidRPr="00EA59C0">
              <w:rPr>
                <w:rFonts w:asciiTheme="minorHAnsi" w:hAnsiTheme="minorHAnsi"/>
                <w:sz w:val="18"/>
                <w:szCs w:val="18"/>
              </w:rPr>
              <w:t xml:space="preserve"> </w:t>
            </w:r>
            <w:r w:rsidRPr="00EA59C0">
              <w:rPr>
                <w:rFonts w:asciiTheme="minorHAnsi" w:hAnsiTheme="minorHAnsi"/>
                <w:sz w:val="18"/>
                <w:szCs w:val="18"/>
              </w:rPr>
              <w:t>and</w:t>
            </w:r>
            <w:r w:rsidR="00C026A6" w:rsidRPr="00EA59C0">
              <w:rPr>
                <w:rFonts w:asciiTheme="minorHAnsi" w:hAnsiTheme="minorHAnsi"/>
                <w:sz w:val="18"/>
                <w:szCs w:val="18"/>
              </w:rPr>
              <w:t xml:space="preserve"> </w:t>
            </w:r>
            <w:r w:rsidRPr="00EA59C0">
              <w:rPr>
                <w:rFonts w:asciiTheme="minorHAnsi" w:hAnsiTheme="minorHAnsi"/>
                <w:sz w:val="18"/>
                <w:szCs w:val="18"/>
              </w:rPr>
              <w:t>who</w:t>
            </w:r>
            <w:r w:rsidR="00C026A6" w:rsidRPr="00EA59C0">
              <w:rPr>
                <w:rFonts w:asciiTheme="minorHAnsi" w:hAnsiTheme="minorHAnsi"/>
                <w:sz w:val="18"/>
                <w:szCs w:val="18"/>
              </w:rPr>
              <w:t xml:space="preserve"> </w:t>
            </w:r>
            <w:r w:rsidRPr="00EA59C0">
              <w:rPr>
                <w:rFonts w:asciiTheme="minorHAnsi" w:hAnsiTheme="minorHAnsi"/>
                <w:sz w:val="18"/>
                <w:szCs w:val="18"/>
              </w:rPr>
              <w:t>enrolled</w:t>
            </w:r>
            <w:r w:rsidR="00C026A6" w:rsidRPr="00EA59C0">
              <w:rPr>
                <w:rFonts w:asciiTheme="minorHAnsi" w:hAnsiTheme="minorHAnsi"/>
                <w:sz w:val="18"/>
                <w:szCs w:val="18"/>
              </w:rPr>
              <w:t xml:space="preserve"> </w:t>
            </w:r>
            <w:r w:rsidRPr="00EA59C0">
              <w:rPr>
                <w:rFonts w:asciiTheme="minorHAnsi" w:hAnsiTheme="minorHAnsi"/>
                <w:sz w:val="18"/>
                <w:szCs w:val="18"/>
              </w:rPr>
              <w:t>in</w:t>
            </w:r>
            <w:r w:rsidR="00C026A6" w:rsidRPr="00EA59C0">
              <w:rPr>
                <w:rFonts w:asciiTheme="minorHAnsi" w:hAnsiTheme="minorHAnsi"/>
                <w:sz w:val="18"/>
                <w:szCs w:val="18"/>
              </w:rPr>
              <w:t xml:space="preserve"> </w:t>
            </w:r>
            <w:r w:rsidRPr="00EA59C0">
              <w:rPr>
                <w:rFonts w:asciiTheme="minorHAnsi" w:hAnsiTheme="minorHAnsi"/>
                <w:sz w:val="18"/>
                <w:szCs w:val="18"/>
              </w:rPr>
              <w:t>a</w:t>
            </w:r>
            <w:r w:rsidR="00C026A6" w:rsidRPr="00EA59C0">
              <w:rPr>
                <w:rFonts w:asciiTheme="minorHAnsi" w:hAnsiTheme="minorHAnsi"/>
                <w:sz w:val="18"/>
                <w:szCs w:val="18"/>
              </w:rPr>
              <w:t xml:space="preserve"> </w:t>
            </w:r>
            <w:r w:rsidRPr="00EA59C0">
              <w:rPr>
                <w:rFonts w:asciiTheme="minorHAnsi" w:hAnsiTheme="minorHAnsi"/>
                <w:sz w:val="18"/>
                <w:szCs w:val="18"/>
              </w:rPr>
              <w:t>grant-funded</w:t>
            </w:r>
            <w:r w:rsidR="00C026A6" w:rsidRPr="00EA59C0">
              <w:rPr>
                <w:rFonts w:asciiTheme="minorHAnsi" w:hAnsiTheme="minorHAnsi"/>
                <w:sz w:val="18"/>
                <w:szCs w:val="18"/>
              </w:rPr>
              <w:t xml:space="preserve"> </w:t>
            </w:r>
            <w:r w:rsidRPr="00EA59C0">
              <w:rPr>
                <w:rFonts w:asciiTheme="minorHAnsi" w:hAnsiTheme="minorHAnsi"/>
                <w:sz w:val="18"/>
                <w:szCs w:val="18"/>
              </w:rPr>
              <w:t>program</w:t>
            </w:r>
            <w:r w:rsidR="00C026A6" w:rsidRPr="00EA59C0">
              <w:rPr>
                <w:rFonts w:asciiTheme="minorHAnsi" w:hAnsiTheme="minorHAnsi"/>
                <w:sz w:val="18"/>
                <w:szCs w:val="18"/>
              </w:rPr>
              <w:t xml:space="preserve"> </w:t>
            </w:r>
            <w:r w:rsidRPr="00EA59C0">
              <w:rPr>
                <w:rFonts w:asciiTheme="minorHAnsi" w:hAnsiTheme="minorHAnsi"/>
                <w:sz w:val="18"/>
                <w:szCs w:val="18"/>
              </w:rPr>
              <w:t>of</w:t>
            </w:r>
            <w:r w:rsidR="00C026A6" w:rsidRPr="00EA59C0">
              <w:rPr>
                <w:rFonts w:asciiTheme="minorHAnsi" w:hAnsiTheme="minorHAnsi"/>
                <w:sz w:val="18"/>
                <w:szCs w:val="18"/>
              </w:rPr>
              <w:t xml:space="preserve"> </w:t>
            </w:r>
            <w:r w:rsidRPr="00EA59C0">
              <w:rPr>
                <w:rFonts w:asciiTheme="minorHAnsi" w:hAnsiTheme="minorHAnsi"/>
                <w:sz w:val="18"/>
                <w:szCs w:val="18"/>
              </w:rPr>
              <w:t>study</w:t>
            </w:r>
            <w:r w:rsidR="00C026A6" w:rsidRPr="00EA59C0">
              <w:rPr>
                <w:rFonts w:asciiTheme="minorHAnsi" w:hAnsiTheme="minorHAnsi"/>
                <w:sz w:val="18"/>
                <w:szCs w:val="18"/>
              </w:rPr>
              <w:t xml:space="preserve"> </w:t>
            </w:r>
            <w:r w:rsidRPr="00EA59C0">
              <w:rPr>
                <w:rFonts w:asciiTheme="minorHAnsi" w:hAnsiTheme="minorHAnsi"/>
                <w:sz w:val="18"/>
                <w:szCs w:val="18"/>
              </w:rPr>
              <w:t>who</w:t>
            </w:r>
            <w:r w:rsidR="00C026A6" w:rsidRPr="00EA59C0">
              <w:rPr>
                <w:rFonts w:asciiTheme="minorHAnsi" w:hAnsiTheme="minorHAnsi"/>
                <w:sz w:val="18"/>
                <w:szCs w:val="18"/>
              </w:rPr>
              <w:t xml:space="preserve"> </w:t>
            </w:r>
            <w:r w:rsidRPr="00EA59C0">
              <w:rPr>
                <w:rFonts w:asciiTheme="minorHAnsi" w:hAnsiTheme="minorHAnsi"/>
                <w:sz w:val="18"/>
                <w:szCs w:val="18"/>
              </w:rPr>
              <w:t>received</w:t>
            </w:r>
            <w:r w:rsidR="00C026A6" w:rsidRPr="00EA59C0">
              <w:rPr>
                <w:rFonts w:asciiTheme="minorHAnsi" w:hAnsiTheme="minorHAnsi"/>
                <w:sz w:val="18"/>
                <w:szCs w:val="18"/>
              </w:rPr>
              <w:t xml:space="preserve"> </w:t>
            </w:r>
            <w:r w:rsidRPr="00EA59C0">
              <w:rPr>
                <w:rFonts w:asciiTheme="minorHAnsi" w:hAnsiTheme="minorHAnsi"/>
                <w:sz w:val="18"/>
                <w:szCs w:val="18"/>
              </w:rPr>
              <w:t>an</w:t>
            </w:r>
            <w:r w:rsidR="00C026A6" w:rsidRPr="00EA59C0">
              <w:rPr>
                <w:rFonts w:asciiTheme="minorHAnsi" w:hAnsiTheme="minorHAnsi"/>
                <w:sz w:val="18"/>
                <w:szCs w:val="18"/>
              </w:rPr>
              <w:t xml:space="preserve"> </w:t>
            </w:r>
            <w:r w:rsidRPr="00EA59C0">
              <w:rPr>
                <w:rFonts w:asciiTheme="minorHAnsi" w:hAnsiTheme="minorHAnsi"/>
                <w:sz w:val="18"/>
                <w:szCs w:val="18"/>
              </w:rPr>
              <w:t>increase</w:t>
            </w:r>
            <w:r w:rsidR="00C026A6" w:rsidRPr="00EA59C0">
              <w:rPr>
                <w:rFonts w:asciiTheme="minorHAnsi" w:hAnsiTheme="minorHAnsi"/>
                <w:sz w:val="18"/>
                <w:szCs w:val="18"/>
              </w:rPr>
              <w:t xml:space="preserve"> </w:t>
            </w:r>
            <w:r w:rsidRPr="00EA59C0">
              <w:rPr>
                <w:rFonts w:asciiTheme="minorHAnsi" w:hAnsiTheme="minorHAnsi"/>
                <w:sz w:val="18"/>
                <w:szCs w:val="18"/>
              </w:rPr>
              <w:t>in</w:t>
            </w:r>
            <w:r w:rsidR="00C026A6" w:rsidRPr="00EA59C0">
              <w:rPr>
                <w:rFonts w:asciiTheme="minorHAnsi" w:hAnsiTheme="minorHAnsi"/>
                <w:sz w:val="18"/>
                <w:szCs w:val="18"/>
              </w:rPr>
              <w:t xml:space="preserve"> </w:t>
            </w:r>
            <w:r w:rsidRPr="00EA59C0">
              <w:rPr>
                <w:rFonts w:asciiTheme="minorHAnsi" w:hAnsiTheme="minorHAnsi"/>
                <w:sz w:val="18"/>
                <w:szCs w:val="18"/>
              </w:rPr>
              <w:t>wages</w:t>
            </w:r>
            <w:r w:rsidR="00C026A6" w:rsidRPr="00EA59C0">
              <w:rPr>
                <w:rFonts w:asciiTheme="minorHAnsi" w:hAnsiTheme="minorHAnsi"/>
                <w:sz w:val="18"/>
                <w:szCs w:val="18"/>
              </w:rPr>
              <w:t xml:space="preserve"> </w:t>
            </w:r>
            <w:r w:rsidRPr="00EA59C0">
              <w:rPr>
                <w:rFonts w:asciiTheme="minorHAnsi" w:hAnsiTheme="minorHAnsi"/>
                <w:sz w:val="18"/>
                <w:szCs w:val="18"/>
              </w:rPr>
              <w:t>after</w:t>
            </w:r>
            <w:r w:rsidR="00C026A6" w:rsidRPr="00EA59C0">
              <w:rPr>
                <w:rFonts w:asciiTheme="minorHAnsi" w:hAnsiTheme="minorHAnsi"/>
                <w:sz w:val="18"/>
                <w:szCs w:val="18"/>
              </w:rPr>
              <w:t xml:space="preserve"> </w:t>
            </w:r>
            <w:r w:rsidRPr="00EA59C0">
              <w:rPr>
                <w:rFonts w:asciiTheme="minorHAnsi" w:hAnsiTheme="minorHAnsi"/>
                <w:sz w:val="18"/>
                <w:szCs w:val="18"/>
              </w:rPr>
              <w:t>enrollment</w:t>
            </w:r>
          </w:p>
          <w:p w:rsidR="008826BE" w:rsidRPr="00EA59C0" w:rsidRDefault="008826BE" w:rsidP="00DB00BB">
            <w:pPr>
              <w:rPr>
                <w:rFonts w:asciiTheme="minorHAnsi" w:hAnsiTheme="minorHAnsi"/>
                <w:sz w:val="18"/>
                <w:szCs w:val="18"/>
              </w:rPr>
            </w:pPr>
          </w:p>
        </w:tc>
        <w:tc>
          <w:tcPr>
            <w:tcW w:w="1979"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1:</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2:</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3:</w:t>
            </w:r>
          </w:p>
          <w:p w:rsidR="008826BE" w:rsidRPr="00EA59C0" w:rsidRDefault="008826BE" w:rsidP="00DB00BB">
            <w:pPr>
              <w:rPr>
                <w:rFonts w:asciiTheme="minorHAnsi" w:hAnsiTheme="minorHAnsi"/>
                <w:sz w:val="18"/>
                <w:szCs w:val="18"/>
              </w:rPr>
            </w:pPr>
            <w:r w:rsidRPr="00EA59C0">
              <w:rPr>
                <w:rFonts w:asciiTheme="minorHAnsi" w:hAnsiTheme="minorHAnsi"/>
                <w:sz w:val="18"/>
                <w:szCs w:val="18"/>
              </w:rPr>
              <w:t>Year</w:t>
            </w:r>
            <w:r w:rsidR="00C026A6" w:rsidRPr="00EA59C0">
              <w:rPr>
                <w:rFonts w:asciiTheme="minorHAnsi" w:hAnsiTheme="minorHAnsi"/>
                <w:sz w:val="18"/>
                <w:szCs w:val="18"/>
              </w:rPr>
              <w:t xml:space="preserve"> </w:t>
            </w:r>
            <w:r w:rsidRPr="00EA59C0">
              <w:rPr>
                <w:rFonts w:asciiTheme="minorHAnsi" w:hAnsiTheme="minorHAnsi"/>
                <w:sz w:val="18"/>
                <w:szCs w:val="18"/>
              </w:rPr>
              <w:t>4</w:t>
            </w:r>
            <w:r w:rsidR="00C026A6" w:rsidRPr="00EA59C0">
              <w:rPr>
                <w:rFonts w:asciiTheme="minorHAnsi" w:hAnsiTheme="minorHAnsi"/>
                <w:sz w:val="18"/>
                <w:szCs w:val="18"/>
              </w:rPr>
              <w:t xml:space="preserve"> </w:t>
            </w:r>
            <w:r w:rsidRPr="00EA59C0">
              <w:rPr>
                <w:rFonts w:asciiTheme="minorHAnsi" w:hAnsiTheme="minorHAnsi"/>
                <w:sz w:val="18"/>
                <w:szCs w:val="18"/>
              </w:rPr>
              <w:t>(follow-up</w:t>
            </w:r>
            <w:r w:rsidR="00C026A6" w:rsidRPr="00EA59C0">
              <w:rPr>
                <w:rFonts w:asciiTheme="minorHAnsi" w:hAnsiTheme="minorHAnsi"/>
                <w:sz w:val="18"/>
                <w:szCs w:val="18"/>
              </w:rPr>
              <w:t xml:space="preserve"> </w:t>
            </w:r>
            <w:r w:rsidRPr="00EA59C0">
              <w:rPr>
                <w:rFonts w:asciiTheme="minorHAnsi" w:hAnsiTheme="minorHAnsi"/>
                <w:sz w:val="18"/>
                <w:szCs w:val="18"/>
              </w:rPr>
              <w:t>only):</w:t>
            </w:r>
          </w:p>
        </w:tc>
        <w:tc>
          <w:tcPr>
            <w:tcW w:w="901" w:type="dxa"/>
          </w:tcPr>
          <w:p w:rsidR="008826BE" w:rsidRPr="00EA59C0" w:rsidRDefault="008826BE" w:rsidP="00DB00BB">
            <w:pPr>
              <w:rPr>
                <w:rFonts w:asciiTheme="minorHAnsi" w:hAnsiTheme="minorHAnsi"/>
                <w:sz w:val="18"/>
                <w:szCs w:val="18"/>
              </w:rPr>
            </w:pPr>
            <w:r w:rsidRPr="00EA59C0">
              <w:rPr>
                <w:rFonts w:asciiTheme="minorHAnsi" w:hAnsiTheme="minorHAnsi"/>
                <w:sz w:val="18"/>
                <w:szCs w:val="18"/>
              </w:rPr>
              <w:t>Total:</w:t>
            </w:r>
          </w:p>
        </w:tc>
      </w:tr>
    </w:tbl>
    <w:p w:rsidR="008826BE" w:rsidRPr="00EA59C0" w:rsidRDefault="008826BE" w:rsidP="00DB00BB">
      <w:pPr>
        <w:spacing w:before="240"/>
        <w:rPr>
          <w:rFonts w:asciiTheme="minorHAnsi" w:hAnsiTheme="minorHAnsi"/>
          <w:b/>
          <w:sz w:val="18"/>
          <w:szCs w:val="18"/>
        </w:rPr>
      </w:pPr>
      <w:r w:rsidRPr="00EA59C0">
        <w:rPr>
          <w:rFonts w:asciiTheme="minorHAnsi" w:hAnsiTheme="minorHAnsi"/>
          <w:b/>
          <w:sz w:val="18"/>
          <w:szCs w:val="18"/>
        </w:rPr>
        <w:t>Please</w:t>
      </w:r>
      <w:r w:rsidR="00C026A6" w:rsidRPr="00EA59C0">
        <w:rPr>
          <w:rFonts w:asciiTheme="minorHAnsi" w:hAnsiTheme="minorHAnsi"/>
          <w:b/>
          <w:sz w:val="18"/>
          <w:szCs w:val="18"/>
        </w:rPr>
        <w:t xml:space="preserve"> </w:t>
      </w:r>
      <w:r w:rsidRPr="00EA59C0">
        <w:rPr>
          <w:rFonts w:asciiTheme="minorHAnsi" w:hAnsiTheme="minorHAnsi"/>
          <w:b/>
          <w:sz w:val="18"/>
          <w:szCs w:val="18"/>
        </w:rPr>
        <w:t>Note:</w:t>
      </w:r>
    </w:p>
    <w:p w:rsidR="008826BE" w:rsidRPr="00EA59C0" w:rsidRDefault="008826BE" w:rsidP="00080097">
      <w:pPr>
        <w:pStyle w:val="ListParagraph"/>
        <w:numPr>
          <w:ilvl w:val="0"/>
          <w:numId w:val="40"/>
        </w:numPr>
        <w:rPr>
          <w:rFonts w:asciiTheme="minorHAnsi" w:hAnsiTheme="minorHAnsi"/>
          <w:sz w:val="20"/>
        </w:rPr>
      </w:pPr>
      <w:r w:rsidRPr="00EA59C0">
        <w:rPr>
          <w:rFonts w:asciiTheme="minorHAnsi" w:hAnsiTheme="minorHAnsi"/>
          <w:sz w:val="20"/>
        </w:rPr>
        <w:t>Applicants</w:t>
      </w:r>
      <w:r w:rsidR="00C026A6" w:rsidRPr="00EA59C0">
        <w:rPr>
          <w:rFonts w:asciiTheme="minorHAnsi" w:hAnsiTheme="minorHAnsi"/>
          <w:sz w:val="20"/>
        </w:rPr>
        <w:t xml:space="preserve"> </w:t>
      </w:r>
      <w:r w:rsidRPr="00EA59C0">
        <w:rPr>
          <w:rFonts w:asciiTheme="minorHAnsi" w:hAnsiTheme="minorHAnsi"/>
          <w:sz w:val="20"/>
        </w:rPr>
        <w:t>should</w:t>
      </w:r>
      <w:r w:rsidR="00C026A6" w:rsidRPr="00EA59C0">
        <w:rPr>
          <w:rFonts w:asciiTheme="minorHAnsi" w:hAnsiTheme="minorHAnsi"/>
          <w:sz w:val="20"/>
        </w:rPr>
        <w:t xml:space="preserve"> </w:t>
      </w:r>
      <w:r w:rsidRPr="00EA59C0">
        <w:rPr>
          <w:rFonts w:asciiTheme="minorHAnsi" w:hAnsiTheme="minorHAnsi"/>
          <w:sz w:val="20"/>
        </w:rPr>
        <w:t>provide</w:t>
      </w:r>
      <w:r w:rsidR="00C026A6" w:rsidRPr="00EA59C0">
        <w:rPr>
          <w:rFonts w:asciiTheme="minorHAnsi" w:hAnsiTheme="minorHAnsi"/>
          <w:sz w:val="20"/>
        </w:rPr>
        <w:t xml:space="preserve"> </w:t>
      </w:r>
      <w:r w:rsidRPr="00EA59C0">
        <w:rPr>
          <w:rFonts w:asciiTheme="minorHAnsi" w:hAnsiTheme="minorHAnsi"/>
          <w:sz w:val="20"/>
        </w:rPr>
        <w:t>targets</w:t>
      </w:r>
      <w:r w:rsidR="00C026A6" w:rsidRPr="00EA59C0">
        <w:rPr>
          <w:rFonts w:asciiTheme="minorHAnsi" w:hAnsiTheme="minorHAnsi"/>
          <w:sz w:val="20"/>
        </w:rPr>
        <w:t xml:space="preserve"> </w:t>
      </w:r>
      <w:r w:rsidRPr="00EA59C0">
        <w:rPr>
          <w:rFonts w:asciiTheme="minorHAnsi" w:hAnsiTheme="minorHAnsi"/>
          <w:sz w:val="20"/>
        </w:rPr>
        <w:t>in</w:t>
      </w:r>
      <w:r w:rsidR="00C026A6" w:rsidRPr="00EA59C0">
        <w:rPr>
          <w:rFonts w:asciiTheme="minorHAnsi" w:hAnsiTheme="minorHAnsi"/>
          <w:sz w:val="20"/>
        </w:rPr>
        <w:t xml:space="preserve"> </w:t>
      </w:r>
      <w:r w:rsidRPr="00EA59C0">
        <w:rPr>
          <w:rFonts w:asciiTheme="minorHAnsi" w:hAnsiTheme="minorHAnsi"/>
          <w:sz w:val="20"/>
        </w:rPr>
        <w:t>raw</w:t>
      </w:r>
      <w:r w:rsidR="00C026A6" w:rsidRPr="00EA59C0">
        <w:rPr>
          <w:rFonts w:asciiTheme="minorHAnsi" w:hAnsiTheme="minorHAnsi"/>
          <w:sz w:val="20"/>
        </w:rPr>
        <w:t xml:space="preserve"> </w:t>
      </w:r>
      <w:r w:rsidRPr="00EA59C0">
        <w:rPr>
          <w:rFonts w:asciiTheme="minorHAnsi" w:hAnsiTheme="minorHAnsi"/>
          <w:sz w:val="20"/>
        </w:rPr>
        <w:t>numbers;</w:t>
      </w:r>
      <w:r w:rsidR="00C026A6" w:rsidRPr="00EA59C0">
        <w:rPr>
          <w:rFonts w:asciiTheme="minorHAnsi" w:hAnsiTheme="minorHAnsi"/>
          <w:sz w:val="20"/>
        </w:rPr>
        <w:t xml:space="preserve"> </w:t>
      </w:r>
      <w:r w:rsidRPr="00EA59C0">
        <w:rPr>
          <w:rFonts w:asciiTheme="minorHAnsi" w:hAnsiTheme="minorHAnsi"/>
          <w:sz w:val="20"/>
        </w:rPr>
        <w:t>percentages</w:t>
      </w:r>
      <w:r w:rsidR="00C026A6" w:rsidRPr="00EA59C0">
        <w:rPr>
          <w:rFonts w:asciiTheme="minorHAnsi" w:hAnsiTheme="minorHAnsi"/>
          <w:sz w:val="20"/>
        </w:rPr>
        <w:t xml:space="preserve"> </w:t>
      </w:r>
      <w:r w:rsidRPr="00EA59C0">
        <w:rPr>
          <w:rFonts w:asciiTheme="minorHAnsi" w:hAnsiTheme="minorHAnsi"/>
          <w:sz w:val="20"/>
        </w:rPr>
        <w:t>or</w:t>
      </w:r>
      <w:r w:rsidR="00C026A6" w:rsidRPr="00EA59C0">
        <w:rPr>
          <w:rFonts w:asciiTheme="minorHAnsi" w:hAnsiTheme="minorHAnsi"/>
          <w:sz w:val="20"/>
        </w:rPr>
        <w:t xml:space="preserve"> </w:t>
      </w:r>
      <w:r w:rsidRPr="00EA59C0">
        <w:rPr>
          <w:rFonts w:asciiTheme="minorHAnsi" w:hAnsiTheme="minorHAnsi"/>
          <w:sz w:val="20"/>
        </w:rPr>
        <w:t>other</w:t>
      </w:r>
      <w:r w:rsidR="00C026A6" w:rsidRPr="00EA59C0">
        <w:rPr>
          <w:rFonts w:asciiTheme="minorHAnsi" w:hAnsiTheme="minorHAnsi"/>
          <w:sz w:val="20"/>
        </w:rPr>
        <w:t xml:space="preserve"> </w:t>
      </w:r>
      <w:r w:rsidRPr="00EA59C0">
        <w:rPr>
          <w:rFonts w:asciiTheme="minorHAnsi" w:hAnsiTheme="minorHAnsi"/>
          <w:sz w:val="20"/>
        </w:rPr>
        <w:t>types</w:t>
      </w:r>
      <w:r w:rsidR="00C026A6" w:rsidRPr="00EA59C0">
        <w:rPr>
          <w:rFonts w:asciiTheme="minorHAnsi" w:hAnsiTheme="minorHAnsi"/>
          <w:sz w:val="20"/>
        </w:rPr>
        <w:t xml:space="preserve"> </w:t>
      </w:r>
      <w:r w:rsidRPr="00EA59C0">
        <w:rPr>
          <w:rFonts w:asciiTheme="minorHAnsi" w:hAnsiTheme="minorHAnsi"/>
          <w:sz w:val="20"/>
        </w:rPr>
        <w:t>of</w:t>
      </w:r>
      <w:r w:rsidR="00C026A6" w:rsidRPr="00EA59C0">
        <w:rPr>
          <w:rFonts w:asciiTheme="minorHAnsi" w:hAnsiTheme="minorHAnsi"/>
          <w:sz w:val="20"/>
        </w:rPr>
        <w:t xml:space="preserve"> </w:t>
      </w:r>
      <w:r w:rsidRPr="00EA59C0">
        <w:rPr>
          <w:rFonts w:asciiTheme="minorHAnsi" w:hAnsiTheme="minorHAnsi"/>
          <w:sz w:val="20"/>
        </w:rPr>
        <w:t>data</w:t>
      </w:r>
      <w:r w:rsidR="00C026A6" w:rsidRPr="00EA59C0">
        <w:rPr>
          <w:rFonts w:asciiTheme="minorHAnsi" w:hAnsiTheme="minorHAnsi"/>
          <w:sz w:val="20"/>
        </w:rPr>
        <w:t xml:space="preserve"> </w:t>
      </w:r>
      <w:r w:rsidRPr="00EA59C0">
        <w:rPr>
          <w:rFonts w:asciiTheme="minorHAnsi" w:hAnsiTheme="minorHAnsi"/>
          <w:sz w:val="20"/>
        </w:rPr>
        <w:t>projections</w:t>
      </w:r>
      <w:r w:rsidR="00C026A6" w:rsidRPr="00EA59C0">
        <w:rPr>
          <w:rFonts w:asciiTheme="minorHAnsi" w:hAnsiTheme="minorHAnsi"/>
          <w:sz w:val="20"/>
        </w:rPr>
        <w:t xml:space="preserve"> </w:t>
      </w:r>
      <w:r w:rsidRPr="00EA59C0">
        <w:rPr>
          <w:rFonts w:asciiTheme="minorHAnsi" w:hAnsiTheme="minorHAnsi"/>
          <w:sz w:val="20"/>
        </w:rPr>
        <w:t>are</w:t>
      </w:r>
      <w:r w:rsidR="00C026A6" w:rsidRPr="00EA59C0">
        <w:rPr>
          <w:rFonts w:asciiTheme="minorHAnsi" w:hAnsiTheme="minorHAnsi"/>
          <w:sz w:val="20"/>
        </w:rPr>
        <w:t xml:space="preserve"> </w:t>
      </w:r>
      <w:r w:rsidRPr="00EA59C0">
        <w:rPr>
          <w:rFonts w:asciiTheme="minorHAnsi" w:hAnsiTheme="minorHAnsi"/>
          <w:sz w:val="20"/>
        </w:rPr>
        <w:t>not</w:t>
      </w:r>
      <w:r w:rsidR="00C026A6" w:rsidRPr="00EA59C0">
        <w:rPr>
          <w:rFonts w:asciiTheme="minorHAnsi" w:hAnsiTheme="minorHAnsi"/>
          <w:sz w:val="20"/>
        </w:rPr>
        <w:t xml:space="preserve"> </w:t>
      </w:r>
      <w:r w:rsidRPr="00EA59C0">
        <w:rPr>
          <w:rFonts w:asciiTheme="minorHAnsi" w:hAnsiTheme="minorHAnsi"/>
          <w:sz w:val="20"/>
        </w:rPr>
        <w:t>acceptable.</w:t>
      </w:r>
    </w:p>
    <w:p w:rsidR="008826BE" w:rsidRPr="00EA59C0" w:rsidRDefault="008826BE" w:rsidP="00080097">
      <w:pPr>
        <w:pStyle w:val="ListParagraph"/>
        <w:numPr>
          <w:ilvl w:val="0"/>
          <w:numId w:val="40"/>
        </w:numPr>
        <w:rPr>
          <w:rFonts w:asciiTheme="minorHAnsi" w:hAnsiTheme="minorHAnsi"/>
          <w:sz w:val="20"/>
        </w:rPr>
      </w:pPr>
      <w:r w:rsidRPr="00EA59C0">
        <w:rPr>
          <w:rFonts w:asciiTheme="minorHAnsi" w:hAnsiTheme="minorHAnsi"/>
          <w:sz w:val="20"/>
        </w:rPr>
        <w:t>Applicants</w:t>
      </w:r>
      <w:r w:rsidR="00C026A6" w:rsidRPr="00EA59C0">
        <w:rPr>
          <w:rFonts w:asciiTheme="minorHAnsi" w:hAnsiTheme="minorHAnsi"/>
          <w:sz w:val="20"/>
        </w:rPr>
        <w:t xml:space="preserve"> </w:t>
      </w:r>
      <w:r w:rsidRPr="00EA59C0">
        <w:rPr>
          <w:rFonts w:asciiTheme="minorHAnsi" w:hAnsiTheme="minorHAnsi"/>
          <w:sz w:val="20"/>
        </w:rPr>
        <w:t>should</w:t>
      </w:r>
      <w:r w:rsidR="00C026A6" w:rsidRPr="00EA59C0">
        <w:rPr>
          <w:rFonts w:asciiTheme="minorHAnsi" w:hAnsiTheme="minorHAnsi"/>
          <w:sz w:val="20"/>
        </w:rPr>
        <w:t xml:space="preserve"> </w:t>
      </w:r>
      <w:r w:rsidRPr="00EA59C0">
        <w:rPr>
          <w:rFonts w:asciiTheme="minorHAnsi" w:hAnsiTheme="minorHAnsi"/>
          <w:sz w:val="20"/>
        </w:rPr>
        <w:t>provide</w:t>
      </w:r>
      <w:r w:rsidR="00C026A6" w:rsidRPr="00EA59C0">
        <w:rPr>
          <w:rFonts w:asciiTheme="minorHAnsi" w:hAnsiTheme="minorHAnsi"/>
          <w:sz w:val="20"/>
        </w:rPr>
        <w:t xml:space="preserve"> </w:t>
      </w:r>
      <w:r w:rsidRPr="00EA59C0">
        <w:rPr>
          <w:rFonts w:asciiTheme="minorHAnsi" w:hAnsiTheme="minorHAnsi"/>
          <w:sz w:val="20"/>
        </w:rPr>
        <w:t>targets</w:t>
      </w:r>
      <w:r w:rsidR="00C026A6" w:rsidRPr="00EA59C0">
        <w:rPr>
          <w:rFonts w:asciiTheme="minorHAnsi" w:hAnsiTheme="minorHAnsi"/>
          <w:sz w:val="20"/>
        </w:rPr>
        <w:t xml:space="preserve"> </w:t>
      </w:r>
      <w:r w:rsidRPr="00EA59C0">
        <w:rPr>
          <w:rFonts w:asciiTheme="minorHAnsi" w:hAnsiTheme="minorHAnsi"/>
          <w:sz w:val="20"/>
        </w:rPr>
        <w:t>for</w:t>
      </w:r>
      <w:r w:rsidR="00C026A6" w:rsidRPr="00EA59C0">
        <w:rPr>
          <w:rFonts w:asciiTheme="minorHAnsi" w:hAnsiTheme="minorHAnsi"/>
          <w:sz w:val="20"/>
        </w:rPr>
        <w:t xml:space="preserve"> </w:t>
      </w:r>
      <w:r w:rsidRPr="00EA59C0">
        <w:rPr>
          <w:rFonts w:asciiTheme="minorHAnsi" w:hAnsiTheme="minorHAnsi"/>
          <w:sz w:val="20"/>
        </w:rPr>
        <w:t>each</w:t>
      </w:r>
      <w:r w:rsidR="00C026A6" w:rsidRPr="00EA59C0">
        <w:rPr>
          <w:rFonts w:asciiTheme="minorHAnsi" w:hAnsiTheme="minorHAnsi"/>
          <w:sz w:val="20"/>
        </w:rPr>
        <w:t xml:space="preserve"> </w:t>
      </w:r>
      <w:r w:rsidRPr="00EA59C0">
        <w:rPr>
          <w:rFonts w:asciiTheme="minorHAnsi" w:hAnsiTheme="minorHAnsi"/>
          <w:sz w:val="20"/>
        </w:rPr>
        <w:t>year</w:t>
      </w:r>
      <w:r w:rsidR="00C026A6" w:rsidRPr="00EA59C0">
        <w:rPr>
          <w:rFonts w:asciiTheme="minorHAnsi" w:hAnsiTheme="minorHAnsi"/>
          <w:sz w:val="20"/>
        </w:rPr>
        <w:t xml:space="preserve"> </w:t>
      </w:r>
      <w:r w:rsidRPr="00EA59C0">
        <w:rPr>
          <w:rFonts w:asciiTheme="minorHAnsi" w:hAnsiTheme="minorHAnsi"/>
          <w:sz w:val="20"/>
        </w:rPr>
        <w:t>of</w:t>
      </w:r>
      <w:r w:rsidR="00C026A6" w:rsidRPr="00EA59C0">
        <w:rPr>
          <w:rFonts w:asciiTheme="minorHAnsi" w:hAnsiTheme="minorHAnsi"/>
          <w:sz w:val="20"/>
        </w:rPr>
        <w:t xml:space="preserve"> </w:t>
      </w:r>
      <w:r w:rsidRPr="00EA59C0">
        <w:rPr>
          <w:rFonts w:asciiTheme="minorHAnsi" w:hAnsiTheme="minorHAnsi"/>
          <w:sz w:val="20"/>
        </w:rPr>
        <w:t>the</w:t>
      </w:r>
      <w:r w:rsidR="00C026A6" w:rsidRPr="00EA59C0">
        <w:rPr>
          <w:rFonts w:asciiTheme="minorHAnsi" w:hAnsiTheme="minorHAnsi"/>
          <w:sz w:val="20"/>
        </w:rPr>
        <w:t xml:space="preserve"> </w:t>
      </w:r>
      <w:r w:rsidRPr="00EA59C0">
        <w:rPr>
          <w:rFonts w:asciiTheme="minorHAnsi" w:hAnsiTheme="minorHAnsi"/>
          <w:sz w:val="20"/>
        </w:rPr>
        <w:t>grant</w:t>
      </w:r>
      <w:r w:rsidR="00C026A6" w:rsidRPr="00EA59C0">
        <w:rPr>
          <w:rFonts w:asciiTheme="minorHAnsi" w:hAnsiTheme="minorHAnsi"/>
          <w:sz w:val="20"/>
        </w:rPr>
        <w:t xml:space="preserve"> </w:t>
      </w:r>
      <w:r w:rsidRPr="00EA59C0">
        <w:rPr>
          <w:rFonts w:asciiTheme="minorHAnsi" w:hAnsiTheme="minorHAnsi"/>
          <w:sz w:val="20"/>
        </w:rPr>
        <w:t>and</w:t>
      </w:r>
      <w:r w:rsidR="00C026A6" w:rsidRPr="00EA59C0">
        <w:rPr>
          <w:rFonts w:asciiTheme="minorHAnsi" w:hAnsiTheme="minorHAnsi"/>
          <w:sz w:val="20"/>
        </w:rPr>
        <w:t xml:space="preserve"> </w:t>
      </w:r>
      <w:r w:rsidRPr="00EA59C0">
        <w:rPr>
          <w:rFonts w:asciiTheme="minorHAnsi" w:hAnsiTheme="minorHAnsi"/>
          <w:sz w:val="20"/>
        </w:rPr>
        <w:t>for</w:t>
      </w:r>
      <w:r w:rsidR="00C026A6" w:rsidRPr="00EA59C0">
        <w:rPr>
          <w:rFonts w:asciiTheme="minorHAnsi" w:hAnsiTheme="minorHAnsi"/>
          <w:sz w:val="20"/>
        </w:rPr>
        <w:t xml:space="preserve"> </w:t>
      </w:r>
      <w:r w:rsidRPr="00EA59C0">
        <w:rPr>
          <w:rFonts w:asciiTheme="minorHAnsi" w:hAnsiTheme="minorHAnsi"/>
          <w:sz w:val="20"/>
        </w:rPr>
        <w:t>the</w:t>
      </w:r>
      <w:r w:rsidR="00C026A6" w:rsidRPr="00EA59C0">
        <w:rPr>
          <w:rFonts w:asciiTheme="minorHAnsi" w:hAnsiTheme="minorHAnsi"/>
          <w:sz w:val="20"/>
        </w:rPr>
        <w:t xml:space="preserve"> </w:t>
      </w:r>
      <w:r w:rsidRPr="00EA59C0">
        <w:rPr>
          <w:rFonts w:asciiTheme="minorHAnsi" w:hAnsiTheme="minorHAnsi"/>
          <w:sz w:val="20"/>
        </w:rPr>
        <w:t>total</w:t>
      </w:r>
      <w:r w:rsidR="00C026A6" w:rsidRPr="00EA59C0">
        <w:rPr>
          <w:rFonts w:asciiTheme="minorHAnsi" w:hAnsiTheme="minorHAnsi"/>
          <w:sz w:val="20"/>
        </w:rPr>
        <w:t xml:space="preserve"> </w:t>
      </w:r>
      <w:r w:rsidRPr="00EA59C0">
        <w:rPr>
          <w:rFonts w:asciiTheme="minorHAnsi" w:hAnsiTheme="minorHAnsi"/>
          <w:sz w:val="20"/>
        </w:rPr>
        <w:t>grant</w:t>
      </w:r>
      <w:r w:rsidR="00C026A6" w:rsidRPr="00EA59C0">
        <w:rPr>
          <w:rFonts w:asciiTheme="minorHAnsi" w:hAnsiTheme="minorHAnsi"/>
          <w:sz w:val="20"/>
        </w:rPr>
        <w:t xml:space="preserve"> </w:t>
      </w:r>
      <w:r w:rsidRPr="00EA59C0">
        <w:rPr>
          <w:rFonts w:asciiTheme="minorHAnsi" w:hAnsiTheme="minorHAnsi"/>
          <w:sz w:val="20"/>
        </w:rPr>
        <w:t>period.</w:t>
      </w:r>
      <w:r w:rsidR="00C026A6" w:rsidRPr="00EA59C0">
        <w:rPr>
          <w:rFonts w:asciiTheme="minorHAnsi" w:hAnsiTheme="minorHAnsi"/>
          <w:sz w:val="20"/>
        </w:rPr>
        <w:t xml:space="preserve"> </w:t>
      </w:r>
      <w:r w:rsidRPr="00EA59C0">
        <w:rPr>
          <w:rFonts w:asciiTheme="minorHAnsi" w:hAnsiTheme="minorHAnsi"/>
          <w:sz w:val="20"/>
        </w:rPr>
        <w:t>The</w:t>
      </w:r>
      <w:r w:rsidR="00C026A6" w:rsidRPr="00EA59C0">
        <w:rPr>
          <w:rFonts w:asciiTheme="minorHAnsi" w:hAnsiTheme="minorHAnsi"/>
          <w:sz w:val="20"/>
        </w:rPr>
        <w:t xml:space="preserve"> </w:t>
      </w:r>
      <w:r w:rsidRPr="00EA59C0">
        <w:rPr>
          <w:rFonts w:asciiTheme="minorHAnsi" w:hAnsiTheme="minorHAnsi"/>
          <w:sz w:val="20"/>
        </w:rPr>
        <w:t>figure</w:t>
      </w:r>
      <w:r w:rsidR="00C026A6" w:rsidRPr="00EA59C0">
        <w:rPr>
          <w:rFonts w:asciiTheme="minorHAnsi" w:hAnsiTheme="minorHAnsi"/>
          <w:sz w:val="20"/>
        </w:rPr>
        <w:t xml:space="preserve"> </w:t>
      </w:r>
      <w:r w:rsidRPr="00EA59C0">
        <w:rPr>
          <w:rFonts w:asciiTheme="minorHAnsi" w:hAnsiTheme="minorHAnsi"/>
          <w:sz w:val="20"/>
        </w:rPr>
        <w:t>provided</w:t>
      </w:r>
      <w:r w:rsidR="00C026A6" w:rsidRPr="00EA59C0">
        <w:rPr>
          <w:rFonts w:asciiTheme="minorHAnsi" w:hAnsiTheme="minorHAnsi"/>
          <w:sz w:val="20"/>
        </w:rPr>
        <w:t xml:space="preserve"> </w:t>
      </w:r>
      <w:r w:rsidRPr="00EA59C0">
        <w:rPr>
          <w:rFonts w:asciiTheme="minorHAnsi" w:hAnsiTheme="minorHAnsi"/>
          <w:sz w:val="20"/>
        </w:rPr>
        <w:t>for</w:t>
      </w:r>
      <w:r w:rsidR="00C026A6" w:rsidRPr="00EA59C0">
        <w:rPr>
          <w:rFonts w:asciiTheme="minorHAnsi" w:hAnsiTheme="minorHAnsi"/>
          <w:sz w:val="20"/>
        </w:rPr>
        <w:t xml:space="preserve"> </w:t>
      </w:r>
      <w:r w:rsidRPr="00EA59C0">
        <w:rPr>
          <w:rFonts w:asciiTheme="minorHAnsi" w:hAnsiTheme="minorHAnsi"/>
          <w:sz w:val="20"/>
        </w:rPr>
        <w:t>the</w:t>
      </w:r>
      <w:r w:rsidR="00C026A6" w:rsidRPr="00EA59C0">
        <w:rPr>
          <w:rFonts w:asciiTheme="minorHAnsi" w:hAnsiTheme="minorHAnsi"/>
          <w:sz w:val="20"/>
        </w:rPr>
        <w:t xml:space="preserve"> </w:t>
      </w:r>
      <w:r w:rsidRPr="00EA59C0">
        <w:rPr>
          <w:rFonts w:asciiTheme="minorHAnsi" w:hAnsiTheme="minorHAnsi"/>
          <w:sz w:val="20"/>
        </w:rPr>
        <w:t>total</w:t>
      </w:r>
      <w:r w:rsidR="00C026A6" w:rsidRPr="00EA59C0">
        <w:rPr>
          <w:rFonts w:asciiTheme="minorHAnsi" w:hAnsiTheme="minorHAnsi"/>
          <w:sz w:val="20"/>
        </w:rPr>
        <w:t xml:space="preserve"> </w:t>
      </w:r>
      <w:r w:rsidRPr="00EA59C0">
        <w:rPr>
          <w:rFonts w:asciiTheme="minorHAnsi" w:hAnsiTheme="minorHAnsi"/>
          <w:sz w:val="20"/>
        </w:rPr>
        <w:t>should</w:t>
      </w:r>
      <w:r w:rsidR="00C026A6" w:rsidRPr="00EA59C0">
        <w:rPr>
          <w:rFonts w:asciiTheme="minorHAnsi" w:hAnsiTheme="minorHAnsi"/>
          <w:sz w:val="20"/>
        </w:rPr>
        <w:t xml:space="preserve"> </w:t>
      </w:r>
      <w:r w:rsidRPr="00EA59C0">
        <w:rPr>
          <w:rFonts w:asciiTheme="minorHAnsi" w:hAnsiTheme="minorHAnsi"/>
          <w:sz w:val="20"/>
        </w:rPr>
        <w:t>equal</w:t>
      </w:r>
      <w:r w:rsidR="00C026A6" w:rsidRPr="00EA59C0">
        <w:rPr>
          <w:rFonts w:asciiTheme="minorHAnsi" w:hAnsiTheme="minorHAnsi"/>
          <w:sz w:val="20"/>
        </w:rPr>
        <w:t xml:space="preserve"> </w:t>
      </w:r>
      <w:r w:rsidRPr="00EA59C0">
        <w:rPr>
          <w:rFonts w:asciiTheme="minorHAnsi" w:hAnsiTheme="minorHAnsi"/>
          <w:sz w:val="20"/>
        </w:rPr>
        <w:t>the</w:t>
      </w:r>
      <w:r w:rsidR="00C026A6" w:rsidRPr="00EA59C0">
        <w:rPr>
          <w:rFonts w:asciiTheme="minorHAnsi" w:hAnsiTheme="minorHAnsi"/>
          <w:sz w:val="20"/>
        </w:rPr>
        <w:t xml:space="preserve"> </w:t>
      </w:r>
      <w:r w:rsidRPr="00EA59C0">
        <w:rPr>
          <w:rFonts w:asciiTheme="minorHAnsi" w:hAnsiTheme="minorHAnsi"/>
          <w:sz w:val="20"/>
        </w:rPr>
        <w:t>sum</w:t>
      </w:r>
      <w:r w:rsidR="00C026A6" w:rsidRPr="00EA59C0">
        <w:rPr>
          <w:rFonts w:asciiTheme="minorHAnsi" w:hAnsiTheme="minorHAnsi"/>
          <w:sz w:val="20"/>
        </w:rPr>
        <w:t xml:space="preserve"> </w:t>
      </w:r>
      <w:r w:rsidRPr="00EA59C0">
        <w:rPr>
          <w:rFonts w:asciiTheme="minorHAnsi" w:hAnsiTheme="minorHAnsi"/>
          <w:sz w:val="20"/>
        </w:rPr>
        <w:t>of</w:t>
      </w:r>
      <w:r w:rsidR="00C026A6" w:rsidRPr="00EA59C0">
        <w:rPr>
          <w:rFonts w:asciiTheme="minorHAnsi" w:hAnsiTheme="minorHAnsi"/>
          <w:sz w:val="20"/>
        </w:rPr>
        <w:t xml:space="preserve"> </w:t>
      </w:r>
      <w:r w:rsidRPr="00EA59C0">
        <w:rPr>
          <w:rFonts w:asciiTheme="minorHAnsi" w:hAnsiTheme="minorHAnsi"/>
          <w:sz w:val="20"/>
        </w:rPr>
        <w:t>the</w:t>
      </w:r>
      <w:r w:rsidR="00C026A6" w:rsidRPr="00EA59C0">
        <w:rPr>
          <w:rFonts w:asciiTheme="minorHAnsi" w:hAnsiTheme="minorHAnsi"/>
          <w:sz w:val="20"/>
        </w:rPr>
        <w:t xml:space="preserve"> </w:t>
      </w:r>
      <w:r w:rsidRPr="00EA59C0">
        <w:rPr>
          <w:rFonts w:asciiTheme="minorHAnsi" w:hAnsiTheme="minorHAnsi"/>
          <w:sz w:val="20"/>
        </w:rPr>
        <w:t>projections</w:t>
      </w:r>
      <w:r w:rsidR="00C026A6" w:rsidRPr="00EA59C0">
        <w:rPr>
          <w:rFonts w:asciiTheme="minorHAnsi" w:hAnsiTheme="minorHAnsi"/>
          <w:sz w:val="20"/>
        </w:rPr>
        <w:t xml:space="preserve"> </w:t>
      </w:r>
      <w:r w:rsidRPr="00EA59C0">
        <w:rPr>
          <w:rFonts w:asciiTheme="minorHAnsi" w:hAnsiTheme="minorHAnsi"/>
          <w:sz w:val="20"/>
        </w:rPr>
        <w:t>for</w:t>
      </w:r>
      <w:r w:rsidR="00C026A6" w:rsidRPr="00EA59C0">
        <w:rPr>
          <w:rFonts w:asciiTheme="minorHAnsi" w:hAnsiTheme="minorHAnsi"/>
          <w:sz w:val="20"/>
        </w:rPr>
        <w:t xml:space="preserve"> </w:t>
      </w:r>
      <w:r w:rsidRPr="00EA59C0">
        <w:rPr>
          <w:rFonts w:asciiTheme="minorHAnsi" w:hAnsiTheme="minorHAnsi"/>
          <w:sz w:val="20"/>
        </w:rPr>
        <w:t>each</w:t>
      </w:r>
      <w:r w:rsidR="00C026A6" w:rsidRPr="00EA59C0">
        <w:rPr>
          <w:rFonts w:asciiTheme="minorHAnsi" w:hAnsiTheme="minorHAnsi"/>
          <w:sz w:val="20"/>
        </w:rPr>
        <w:t xml:space="preserve"> </w:t>
      </w:r>
      <w:r w:rsidRPr="00EA59C0">
        <w:rPr>
          <w:rFonts w:asciiTheme="minorHAnsi" w:hAnsiTheme="minorHAnsi"/>
          <w:sz w:val="20"/>
        </w:rPr>
        <w:t>year.</w:t>
      </w:r>
    </w:p>
    <w:p w:rsidR="008826BE" w:rsidRPr="00EA59C0" w:rsidRDefault="008826BE" w:rsidP="00080097">
      <w:pPr>
        <w:pStyle w:val="ListParagraph"/>
        <w:numPr>
          <w:ilvl w:val="0"/>
          <w:numId w:val="40"/>
        </w:numPr>
        <w:rPr>
          <w:rFonts w:asciiTheme="minorHAnsi" w:hAnsiTheme="minorHAnsi"/>
          <w:sz w:val="20"/>
        </w:rPr>
      </w:pPr>
      <w:r w:rsidRPr="00EA59C0">
        <w:rPr>
          <w:rFonts w:asciiTheme="minorHAnsi" w:hAnsiTheme="minorHAnsi"/>
          <w:sz w:val="20"/>
        </w:rPr>
        <w:t>A</w:t>
      </w:r>
      <w:r w:rsidR="00C026A6" w:rsidRPr="00EA59C0">
        <w:rPr>
          <w:rFonts w:asciiTheme="minorHAnsi" w:hAnsiTheme="minorHAnsi"/>
          <w:sz w:val="20"/>
        </w:rPr>
        <w:t xml:space="preserve"> </w:t>
      </w:r>
      <w:r w:rsidRPr="00EA59C0">
        <w:rPr>
          <w:rFonts w:asciiTheme="minorHAnsi" w:hAnsiTheme="minorHAnsi"/>
          <w:sz w:val="20"/>
        </w:rPr>
        <w:t>participant</w:t>
      </w:r>
      <w:r w:rsidR="00C026A6" w:rsidRPr="00EA59C0">
        <w:rPr>
          <w:rFonts w:asciiTheme="minorHAnsi" w:hAnsiTheme="minorHAnsi"/>
          <w:sz w:val="20"/>
        </w:rPr>
        <w:t xml:space="preserve"> </w:t>
      </w:r>
      <w:r w:rsidRPr="00EA59C0">
        <w:rPr>
          <w:rFonts w:asciiTheme="minorHAnsi" w:hAnsiTheme="minorHAnsi"/>
          <w:sz w:val="20"/>
        </w:rPr>
        <w:t>is</w:t>
      </w:r>
      <w:r w:rsidR="00C026A6" w:rsidRPr="00EA59C0">
        <w:rPr>
          <w:rFonts w:asciiTheme="minorHAnsi" w:hAnsiTheme="minorHAnsi"/>
          <w:sz w:val="20"/>
        </w:rPr>
        <w:t xml:space="preserve"> </w:t>
      </w:r>
      <w:r w:rsidRPr="00EA59C0">
        <w:rPr>
          <w:rFonts w:asciiTheme="minorHAnsi" w:hAnsiTheme="minorHAnsi"/>
          <w:sz w:val="20"/>
        </w:rPr>
        <w:t>any</w:t>
      </w:r>
      <w:r w:rsidR="00C026A6" w:rsidRPr="00EA59C0">
        <w:rPr>
          <w:rFonts w:asciiTheme="minorHAnsi" w:hAnsiTheme="minorHAnsi"/>
          <w:sz w:val="20"/>
        </w:rPr>
        <w:t xml:space="preserve"> </w:t>
      </w:r>
      <w:r w:rsidRPr="00EA59C0">
        <w:rPr>
          <w:rFonts w:asciiTheme="minorHAnsi" w:hAnsiTheme="minorHAnsi"/>
          <w:sz w:val="20"/>
        </w:rPr>
        <w:t>individual</w:t>
      </w:r>
      <w:r w:rsidR="00C026A6" w:rsidRPr="00EA59C0">
        <w:rPr>
          <w:rFonts w:asciiTheme="minorHAnsi" w:hAnsiTheme="minorHAnsi"/>
          <w:sz w:val="20"/>
        </w:rPr>
        <w:t xml:space="preserve"> </w:t>
      </w:r>
      <w:r w:rsidRPr="00EA59C0">
        <w:rPr>
          <w:rFonts w:asciiTheme="minorHAnsi" w:hAnsiTheme="minorHAnsi"/>
          <w:sz w:val="20"/>
        </w:rPr>
        <w:t>who</w:t>
      </w:r>
      <w:r w:rsidR="00C026A6" w:rsidRPr="00EA59C0">
        <w:rPr>
          <w:rFonts w:asciiTheme="minorHAnsi" w:hAnsiTheme="minorHAnsi"/>
          <w:sz w:val="20"/>
        </w:rPr>
        <w:t xml:space="preserve"> </w:t>
      </w:r>
      <w:r w:rsidRPr="00EA59C0">
        <w:rPr>
          <w:rFonts w:asciiTheme="minorHAnsi" w:hAnsiTheme="minorHAnsi"/>
          <w:sz w:val="20"/>
        </w:rPr>
        <w:t>1)</w:t>
      </w:r>
      <w:r w:rsidR="00C026A6" w:rsidRPr="00EA59C0">
        <w:rPr>
          <w:rFonts w:asciiTheme="minorHAnsi" w:hAnsiTheme="minorHAnsi"/>
          <w:sz w:val="20"/>
        </w:rPr>
        <w:t xml:space="preserve"> </w:t>
      </w:r>
      <w:r w:rsidRPr="00EA59C0">
        <w:rPr>
          <w:rFonts w:asciiTheme="minorHAnsi" w:hAnsiTheme="minorHAnsi"/>
          <w:sz w:val="20"/>
        </w:rPr>
        <w:t>meets</w:t>
      </w:r>
      <w:r w:rsidR="00C026A6" w:rsidRPr="00EA59C0">
        <w:rPr>
          <w:rFonts w:asciiTheme="minorHAnsi" w:hAnsiTheme="minorHAnsi"/>
          <w:sz w:val="20"/>
        </w:rPr>
        <w:t xml:space="preserve"> </w:t>
      </w:r>
      <w:r w:rsidRPr="00EA59C0">
        <w:rPr>
          <w:rFonts w:asciiTheme="minorHAnsi" w:hAnsiTheme="minorHAnsi"/>
          <w:sz w:val="20"/>
        </w:rPr>
        <w:t>the</w:t>
      </w:r>
      <w:r w:rsidR="00C026A6" w:rsidRPr="00EA59C0">
        <w:rPr>
          <w:rFonts w:asciiTheme="minorHAnsi" w:hAnsiTheme="minorHAnsi"/>
          <w:sz w:val="20"/>
        </w:rPr>
        <w:t xml:space="preserve"> </w:t>
      </w:r>
      <w:r w:rsidRPr="00EA59C0">
        <w:rPr>
          <w:rFonts w:asciiTheme="minorHAnsi" w:hAnsiTheme="minorHAnsi"/>
          <w:sz w:val="20"/>
        </w:rPr>
        <w:t>criteria</w:t>
      </w:r>
      <w:r w:rsidR="00C026A6" w:rsidRPr="00EA59C0">
        <w:rPr>
          <w:rFonts w:asciiTheme="minorHAnsi" w:hAnsiTheme="minorHAnsi"/>
          <w:sz w:val="20"/>
        </w:rPr>
        <w:t xml:space="preserve"> </w:t>
      </w:r>
      <w:r w:rsidRPr="00EA59C0">
        <w:rPr>
          <w:rFonts w:asciiTheme="minorHAnsi" w:hAnsiTheme="minorHAnsi"/>
          <w:sz w:val="20"/>
        </w:rPr>
        <w:t>that</w:t>
      </w:r>
      <w:r w:rsidR="00C026A6" w:rsidRPr="00EA59C0">
        <w:rPr>
          <w:rFonts w:asciiTheme="minorHAnsi" w:hAnsiTheme="minorHAnsi"/>
          <w:sz w:val="20"/>
        </w:rPr>
        <w:t xml:space="preserve"> </w:t>
      </w:r>
      <w:r w:rsidRPr="00EA59C0">
        <w:rPr>
          <w:rFonts w:asciiTheme="minorHAnsi" w:hAnsiTheme="minorHAnsi"/>
          <w:sz w:val="20"/>
        </w:rPr>
        <w:t>grantees</w:t>
      </w:r>
      <w:r w:rsidR="00C026A6" w:rsidRPr="00EA59C0">
        <w:rPr>
          <w:rFonts w:asciiTheme="minorHAnsi" w:hAnsiTheme="minorHAnsi"/>
          <w:sz w:val="20"/>
        </w:rPr>
        <w:t xml:space="preserve"> </w:t>
      </w:r>
      <w:r w:rsidRPr="00EA59C0">
        <w:rPr>
          <w:rFonts w:asciiTheme="minorHAnsi" w:hAnsiTheme="minorHAnsi"/>
          <w:sz w:val="20"/>
        </w:rPr>
        <w:t>used</w:t>
      </w:r>
      <w:r w:rsidR="00C026A6" w:rsidRPr="00EA59C0">
        <w:rPr>
          <w:rFonts w:asciiTheme="minorHAnsi" w:hAnsiTheme="minorHAnsi"/>
          <w:sz w:val="20"/>
        </w:rPr>
        <w:t xml:space="preserve"> </w:t>
      </w:r>
      <w:r w:rsidRPr="00EA59C0">
        <w:rPr>
          <w:rFonts w:asciiTheme="minorHAnsi" w:hAnsiTheme="minorHAnsi"/>
          <w:sz w:val="20"/>
        </w:rPr>
        <w:t>to</w:t>
      </w:r>
      <w:r w:rsidR="00C026A6" w:rsidRPr="00EA59C0">
        <w:rPr>
          <w:rFonts w:asciiTheme="minorHAnsi" w:hAnsiTheme="minorHAnsi"/>
          <w:sz w:val="20"/>
        </w:rPr>
        <w:t xml:space="preserve"> </w:t>
      </w:r>
      <w:r w:rsidRPr="00EA59C0">
        <w:rPr>
          <w:rFonts w:asciiTheme="minorHAnsi" w:hAnsiTheme="minorHAnsi"/>
          <w:sz w:val="20"/>
        </w:rPr>
        <w:t>identify</w:t>
      </w:r>
      <w:r w:rsidR="00C026A6" w:rsidRPr="00EA59C0">
        <w:rPr>
          <w:rFonts w:asciiTheme="minorHAnsi" w:hAnsiTheme="minorHAnsi"/>
          <w:sz w:val="20"/>
        </w:rPr>
        <w:t xml:space="preserve"> </w:t>
      </w:r>
      <w:r w:rsidRPr="00EA59C0">
        <w:rPr>
          <w:rFonts w:asciiTheme="minorHAnsi" w:hAnsiTheme="minorHAnsi"/>
          <w:sz w:val="20"/>
        </w:rPr>
        <w:t>who</w:t>
      </w:r>
      <w:r w:rsidR="00C026A6" w:rsidRPr="00EA59C0">
        <w:rPr>
          <w:rFonts w:asciiTheme="minorHAnsi" w:hAnsiTheme="minorHAnsi"/>
          <w:sz w:val="20"/>
        </w:rPr>
        <w:t xml:space="preserve"> </w:t>
      </w:r>
      <w:r w:rsidRPr="00EA59C0">
        <w:rPr>
          <w:rFonts w:asciiTheme="minorHAnsi" w:hAnsiTheme="minorHAnsi"/>
          <w:sz w:val="20"/>
        </w:rPr>
        <w:t>“participants”</w:t>
      </w:r>
      <w:r w:rsidR="00C026A6" w:rsidRPr="00EA59C0">
        <w:rPr>
          <w:rFonts w:asciiTheme="minorHAnsi" w:hAnsiTheme="minorHAnsi"/>
          <w:sz w:val="20"/>
        </w:rPr>
        <w:t xml:space="preserve"> </w:t>
      </w:r>
      <w:r w:rsidRPr="00EA59C0">
        <w:rPr>
          <w:rFonts w:asciiTheme="minorHAnsi" w:hAnsiTheme="minorHAnsi"/>
          <w:sz w:val="20"/>
        </w:rPr>
        <w:t>are</w:t>
      </w:r>
      <w:r w:rsidR="00C026A6" w:rsidRPr="00EA59C0">
        <w:rPr>
          <w:rFonts w:asciiTheme="minorHAnsi" w:hAnsiTheme="minorHAnsi"/>
          <w:sz w:val="20"/>
        </w:rPr>
        <w:t xml:space="preserve"> </w:t>
      </w:r>
      <w:r w:rsidRPr="00EA59C0">
        <w:rPr>
          <w:rFonts w:asciiTheme="minorHAnsi" w:hAnsiTheme="minorHAnsi"/>
          <w:sz w:val="20"/>
        </w:rPr>
        <w:t>in</w:t>
      </w:r>
      <w:r w:rsidR="00C026A6" w:rsidRPr="00EA59C0">
        <w:rPr>
          <w:rFonts w:asciiTheme="minorHAnsi" w:hAnsiTheme="minorHAnsi"/>
          <w:sz w:val="20"/>
        </w:rPr>
        <w:t xml:space="preserve"> </w:t>
      </w:r>
      <w:r w:rsidRPr="00EA59C0">
        <w:rPr>
          <w:rFonts w:asciiTheme="minorHAnsi" w:hAnsiTheme="minorHAnsi"/>
          <w:sz w:val="20"/>
        </w:rPr>
        <w:t>their</w:t>
      </w:r>
      <w:r w:rsidR="00C026A6" w:rsidRPr="00EA59C0">
        <w:rPr>
          <w:rFonts w:asciiTheme="minorHAnsi" w:hAnsiTheme="minorHAnsi"/>
          <w:sz w:val="20"/>
        </w:rPr>
        <w:t xml:space="preserve"> </w:t>
      </w:r>
      <w:r w:rsidRPr="00EA59C0">
        <w:rPr>
          <w:rFonts w:asciiTheme="minorHAnsi" w:hAnsiTheme="minorHAnsi"/>
          <w:sz w:val="20"/>
        </w:rPr>
        <w:t>statements</w:t>
      </w:r>
      <w:r w:rsidR="00C026A6" w:rsidRPr="00EA59C0">
        <w:rPr>
          <w:rFonts w:asciiTheme="minorHAnsi" w:hAnsiTheme="minorHAnsi"/>
          <w:sz w:val="20"/>
        </w:rPr>
        <w:t xml:space="preserve"> </w:t>
      </w:r>
      <w:r w:rsidRPr="00EA59C0">
        <w:rPr>
          <w:rFonts w:asciiTheme="minorHAnsi" w:hAnsiTheme="minorHAnsi"/>
          <w:sz w:val="20"/>
        </w:rPr>
        <w:t>of</w:t>
      </w:r>
      <w:r w:rsidR="00C026A6" w:rsidRPr="00EA59C0">
        <w:rPr>
          <w:rFonts w:asciiTheme="minorHAnsi" w:hAnsiTheme="minorHAnsi"/>
          <w:sz w:val="20"/>
        </w:rPr>
        <w:t xml:space="preserve"> </w:t>
      </w:r>
      <w:r w:rsidRPr="00EA59C0">
        <w:rPr>
          <w:rFonts w:asciiTheme="minorHAnsi" w:hAnsiTheme="minorHAnsi"/>
          <w:sz w:val="20"/>
        </w:rPr>
        <w:t>work</w:t>
      </w:r>
      <w:r w:rsidR="00C026A6" w:rsidRPr="00EA59C0">
        <w:rPr>
          <w:rFonts w:asciiTheme="minorHAnsi" w:hAnsiTheme="minorHAnsi"/>
          <w:sz w:val="20"/>
        </w:rPr>
        <w:t xml:space="preserve"> </w:t>
      </w:r>
      <w:r w:rsidRPr="00EA59C0">
        <w:rPr>
          <w:rFonts w:asciiTheme="minorHAnsi" w:hAnsiTheme="minorHAnsi"/>
          <w:sz w:val="20"/>
        </w:rPr>
        <w:t>(SOW);</w:t>
      </w:r>
      <w:r w:rsidR="00C026A6" w:rsidRPr="00EA59C0">
        <w:rPr>
          <w:rFonts w:asciiTheme="minorHAnsi" w:hAnsiTheme="minorHAnsi"/>
          <w:sz w:val="20"/>
        </w:rPr>
        <w:t xml:space="preserve"> </w:t>
      </w:r>
      <w:r w:rsidRPr="00EA59C0">
        <w:rPr>
          <w:rFonts w:asciiTheme="minorHAnsi" w:hAnsiTheme="minorHAnsi"/>
          <w:sz w:val="20"/>
        </w:rPr>
        <w:t>and</w:t>
      </w:r>
      <w:r w:rsidR="00C026A6" w:rsidRPr="00EA59C0">
        <w:rPr>
          <w:rFonts w:asciiTheme="minorHAnsi" w:hAnsiTheme="minorHAnsi"/>
          <w:sz w:val="20"/>
        </w:rPr>
        <w:t xml:space="preserve"> </w:t>
      </w:r>
      <w:r w:rsidRPr="00EA59C0">
        <w:rPr>
          <w:rFonts w:asciiTheme="minorHAnsi" w:hAnsiTheme="minorHAnsi"/>
          <w:sz w:val="20"/>
        </w:rPr>
        <w:t>2)</w:t>
      </w:r>
      <w:r w:rsidR="00C026A6" w:rsidRPr="00EA59C0">
        <w:rPr>
          <w:rFonts w:asciiTheme="minorHAnsi" w:hAnsiTheme="minorHAnsi"/>
          <w:sz w:val="20"/>
        </w:rPr>
        <w:t xml:space="preserve"> </w:t>
      </w:r>
      <w:r w:rsidRPr="00EA59C0">
        <w:rPr>
          <w:rFonts w:asciiTheme="minorHAnsi" w:hAnsiTheme="minorHAnsi"/>
          <w:sz w:val="20"/>
        </w:rPr>
        <w:t>who</w:t>
      </w:r>
      <w:r w:rsidR="00C026A6" w:rsidRPr="00EA59C0">
        <w:rPr>
          <w:rFonts w:asciiTheme="minorHAnsi" w:hAnsiTheme="minorHAnsi"/>
          <w:sz w:val="20"/>
        </w:rPr>
        <w:t xml:space="preserve"> </w:t>
      </w:r>
      <w:r w:rsidRPr="00EA59C0">
        <w:rPr>
          <w:rFonts w:asciiTheme="minorHAnsi" w:hAnsiTheme="minorHAnsi"/>
          <w:sz w:val="20"/>
        </w:rPr>
        <w:t>enters</w:t>
      </w:r>
      <w:r w:rsidR="00C026A6" w:rsidRPr="00EA59C0">
        <w:rPr>
          <w:rFonts w:asciiTheme="minorHAnsi" w:hAnsiTheme="minorHAnsi"/>
          <w:sz w:val="20"/>
        </w:rPr>
        <w:t xml:space="preserve"> </w:t>
      </w:r>
      <w:r w:rsidRPr="00EA59C0">
        <w:rPr>
          <w:rFonts w:asciiTheme="minorHAnsi" w:hAnsiTheme="minorHAnsi"/>
          <w:sz w:val="20"/>
        </w:rPr>
        <w:t>or</w:t>
      </w:r>
      <w:r w:rsidR="00C026A6" w:rsidRPr="00EA59C0">
        <w:rPr>
          <w:rFonts w:asciiTheme="minorHAnsi" w:hAnsiTheme="minorHAnsi"/>
          <w:sz w:val="20"/>
        </w:rPr>
        <w:t xml:space="preserve"> </w:t>
      </w:r>
      <w:r w:rsidRPr="00EA59C0">
        <w:rPr>
          <w:rFonts w:asciiTheme="minorHAnsi" w:hAnsiTheme="minorHAnsi"/>
          <w:sz w:val="20"/>
        </w:rPr>
        <w:t>enrolls</w:t>
      </w:r>
      <w:r w:rsidR="00C026A6" w:rsidRPr="00EA59C0">
        <w:rPr>
          <w:rFonts w:asciiTheme="minorHAnsi" w:hAnsiTheme="minorHAnsi"/>
          <w:sz w:val="20"/>
        </w:rPr>
        <w:t xml:space="preserve"> </w:t>
      </w:r>
      <w:r w:rsidRPr="00EA59C0">
        <w:rPr>
          <w:rFonts w:asciiTheme="minorHAnsi" w:hAnsiTheme="minorHAnsi"/>
          <w:sz w:val="20"/>
        </w:rPr>
        <w:t>in</w:t>
      </w:r>
      <w:r w:rsidR="00C026A6" w:rsidRPr="00EA59C0">
        <w:rPr>
          <w:rFonts w:asciiTheme="minorHAnsi" w:hAnsiTheme="minorHAnsi"/>
          <w:sz w:val="20"/>
        </w:rPr>
        <w:t xml:space="preserve"> </w:t>
      </w:r>
      <w:r w:rsidRPr="00EA59C0">
        <w:rPr>
          <w:rFonts w:asciiTheme="minorHAnsi" w:hAnsiTheme="minorHAnsi"/>
          <w:sz w:val="20"/>
        </w:rPr>
        <w:t>a</w:t>
      </w:r>
      <w:r w:rsidR="00C026A6" w:rsidRPr="00EA59C0">
        <w:rPr>
          <w:rFonts w:asciiTheme="minorHAnsi" w:hAnsiTheme="minorHAnsi"/>
          <w:sz w:val="20"/>
        </w:rPr>
        <w:t xml:space="preserve"> </w:t>
      </w:r>
      <w:r w:rsidRPr="00EA59C0">
        <w:rPr>
          <w:rFonts w:asciiTheme="minorHAnsi" w:hAnsiTheme="minorHAnsi"/>
          <w:sz w:val="20"/>
        </w:rPr>
        <w:t>“grant-funded”</w:t>
      </w:r>
      <w:r w:rsidR="00C026A6" w:rsidRPr="00EA59C0">
        <w:rPr>
          <w:rFonts w:asciiTheme="minorHAnsi" w:hAnsiTheme="minorHAnsi"/>
          <w:sz w:val="20"/>
        </w:rPr>
        <w:t xml:space="preserve"> </w:t>
      </w:r>
      <w:r w:rsidRPr="00EA59C0">
        <w:rPr>
          <w:rFonts w:asciiTheme="minorHAnsi" w:hAnsiTheme="minorHAnsi"/>
          <w:sz w:val="20"/>
        </w:rPr>
        <w:t>program</w:t>
      </w:r>
      <w:r w:rsidR="00C026A6" w:rsidRPr="00EA59C0">
        <w:rPr>
          <w:rFonts w:asciiTheme="minorHAnsi" w:hAnsiTheme="minorHAnsi"/>
          <w:sz w:val="20"/>
        </w:rPr>
        <w:t xml:space="preserve"> </w:t>
      </w:r>
      <w:r w:rsidRPr="00EA59C0">
        <w:rPr>
          <w:rFonts w:asciiTheme="minorHAnsi" w:hAnsiTheme="minorHAnsi"/>
          <w:sz w:val="20"/>
        </w:rPr>
        <w:t>that</w:t>
      </w:r>
      <w:r w:rsidR="00C026A6" w:rsidRPr="00EA59C0">
        <w:rPr>
          <w:rFonts w:asciiTheme="minorHAnsi" w:hAnsiTheme="minorHAnsi"/>
          <w:sz w:val="20"/>
        </w:rPr>
        <w:t xml:space="preserve"> </w:t>
      </w:r>
      <w:r w:rsidRPr="00EA59C0">
        <w:rPr>
          <w:rFonts w:asciiTheme="minorHAnsi" w:hAnsiTheme="minorHAnsi"/>
          <w:sz w:val="20"/>
        </w:rPr>
        <w:t>was</w:t>
      </w:r>
      <w:r w:rsidR="00C026A6" w:rsidRPr="00EA59C0">
        <w:rPr>
          <w:rFonts w:asciiTheme="minorHAnsi" w:hAnsiTheme="minorHAnsi"/>
          <w:sz w:val="20"/>
        </w:rPr>
        <w:t xml:space="preserve"> </w:t>
      </w:r>
      <w:r w:rsidRPr="00EA59C0">
        <w:rPr>
          <w:rFonts w:asciiTheme="minorHAnsi" w:hAnsiTheme="minorHAnsi"/>
          <w:sz w:val="20"/>
        </w:rPr>
        <w:t>developed,</w:t>
      </w:r>
      <w:r w:rsidR="00C026A6" w:rsidRPr="00EA59C0">
        <w:rPr>
          <w:rFonts w:asciiTheme="minorHAnsi" w:hAnsiTheme="minorHAnsi"/>
          <w:sz w:val="20"/>
        </w:rPr>
        <w:t xml:space="preserve"> </w:t>
      </w:r>
      <w:r w:rsidRPr="00EA59C0">
        <w:rPr>
          <w:rFonts w:asciiTheme="minorHAnsi" w:hAnsiTheme="minorHAnsi"/>
          <w:sz w:val="20"/>
        </w:rPr>
        <w:t>delivered,</w:t>
      </w:r>
      <w:r w:rsidR="00C026A6" w:rsidRPr="00EA59C0">
        <w:rPr>
          <w:rFonts w:asciiTheme="minorHAnsi" w:hAnsiTheme="minorHAnsi"/>
          <w:sz w:val="20"/>
        </w:rPr>
        <w:t xml:space="preserve"> </w:t>
      </w:r>
      <w:r w:rsidRPr="00EA59C0">
        <w:rPr>
          <w:rFonts w:asciiTheme="minorHAnsi" w:hAnsiTheme="minorHAnsi"/>
          <w:sz w:val="20"/>
        </w:rPr>
        <w:t>offered,</w:t>
      </w:r>
      <w:r w:rsidR="00C026A6" w:rsidRPr="00EA59C0">
        <w:rPr>
          <w:rFonts w:asciiTheme="minorHAnsi" w:hAnsiTheme="minorHAnsi"/>
          <w:sz w:val="20"/>
        </w:rPr>
        <w:t xml:space="preserve"> </w:t>
      </w:r>
      <w:r w:rsidRPr="00EA59C0">
        <w:rPr>
          <w:rFonts w:asciiTheme="minorHAnsi" w:hAnsiTheme="minorHAnsi"/>
          <w:sz w:val="20"/>
        </w:rPr>
        <w:t>or</w:t>
      </w:r>
      <w:r w:rsidR="00C026A6" w:rsidRPr="00EA59C0">
        <w:rPr>
          <w:rFonts w:asciiTheme="minorHAnsi" w:hAnsiTheme="minorHAnsi"/>
          <w:sz w:val="20"/>
        </w:rPr>
        <w:t xml:space="preserve"> </w:t>
      </w:r>
      <w:r w:rsidRPr="00EA59C0">
        <w:rPr>
          <w:rFonts w:asciiTheme="minorHAnsi" w:hAnsiTheme="minorHAnsi"/>
          <w:sz w:val="20"/>
        </w:rPr>
        <w:t>improved</w:t>
      </w:r>
      <w:r w:rsidR="00C026A6" w:rsidRPr="00EA59C0">
        <w:rPr>
          <w:rFonts w:asciiTheme="minorHAnsi" w:hAnsiTheme="minorHAnsi"/>
          <w:sz w:val="20"/>
        </w:rPr>
        <w:t xml:space="preserve"> </w:t>
      </w:r>
      <w:r w:rsidRPr="00EA59C0">
        <w:rPr>
          <w:rFonts w:asciiTheme="minorHAnsi" w:hAnsiTheme="minorHAnsi"/>
          <w:sz w:val="20"/>
        </w:rPr>
        <w:t>in</w:t>
      </w:r>
      <w:r w:rsidR="00C026A6" w:rsidRPr="00EA59C0">
        <w:rPr>
          <w:rFonts w:asciiTheme="minorHAnsi" w:hAnsiTheme="minorHAnsi"/>
          <w:sz w:val="20"/>
        </w:rPr>
        <w:t xml:space="preserve"> </w:t>
      </w:r>
      <w:r w:rsidRPr="00EA59C0">
        <w:rPr>
          <w:rFonts w:asciiTheme="minorHAnsi" w:hAnsiTheme="minorHAnsi"/>
          <w:sz w:val="20"/>
        </w:rPr>
        <w:t>whole</w:t>
      </w:r>
      <w:r w:rsidR="00C026A6" w:rsidRPr="00EA59C0">
        <w:rPr>
          <w:rFonts w:asciiTheme="minorHAnsi" w:hAnsiTheme="minorHAnsi"/>
          <w:sz w:val="20"/>
        </w:rPr>
        <w:t xml:space="preserve"> </w:t>
      </w:r>
      <w:r w:rsidRPr="00EA59C0">
        <w:rPr>
          <w:rFonts w:asciiTheme="minorHAnsi" w:hAnsiTheme="minorHAnsi"/>
          <w:sz w:val="20"/>
        </w:rPr>
        <w:t>or</w:t>
      </w:r>
      <w:r w:rsidR="00C026A6" w:rsidRPr="00EA59C0">
        <w:rPr>
          <w:rFonts w:asciiTheme="minorHAnsi" w:hAnsiTheme="minorHAnsi"/>
          <w:sz w:val="20"/>
        </w:rPr>
        <w:t xml:space="preserve"> </w:t>
      </w:r>
      <w:r w:rsidRPr="00EA59C0">
        <w:rPr>
          <w:rFonts w:asciiTheme="minorHAnsi" w:hAnsiTheme="minorHAnsi"/>
          <w:sz w:val="20"/>
        </w:rPr>
        <w:t>in</w:t>
      </w:r>
      <w:r w:rsidR="00C026A6" w:rsidRPr="00EA59C0">
        <w:rPr>
          <w:rFonts w:asciiTheme="minorHAnsi" w:hAnsiTheme="minorHAnsi"/>
          <w:sz w:val="20"/>
        </w:rPr>
        <w:t xml:space="preserve"> </w:t>
      </w:r>
      <w:r w:rsidRPr="00EA59C0">
        <w:rPr>
          <w:rFonts w:asciiTheme="minorHAnsi" w:hAnsiTheme="minorHAnsi"/>
          <w:sz w:val="20"/>
        </w:rPr>
        <w:t>part</w:t>
      </w:r>
      <w:r w:rsidR="00C026A6" w:rsidRPr="00EA59C0">
        <w:rPr>
          <w:rFonts w:asciiTheme="minorHAnsi" w:hAnsiTheme="minorHAnsi"/>
          <w:sz w:val="20"/>
        </w:rPr>
        <w:t xml:space="preserve"> </w:t>
      </w:r>
      <w:r w:rsidRPr="00EA59C0">
        <w:rPr>
          <w:rFonts w:asciiTheme="minorHAnsi" w:hAnsiTheme="minorHAnsi"/>
          <w:sz w:val="20"/>
        </w:rPr>
        <w:t>by</w:t>
      </w:r>
      <w:r w:rsidR="00C026A6" w:rsidRPr="00EA59C0">
        <w:rPr>
          <w:rFonts w:asciiTheme="minorHAnsi" w:hAnsiTheme="minorHAnsi"/>
          <w:sz w:val="20"/>
        </w:rPr>
        <w:t xml:space="preserve"> </w:t>
      </w:r>
      <w:r w:rsidRPr="00EA59C0">
        <w:rPr>
          <w:rFonts w:asciiTheme="minorHAnsi" w:hAnsiTheme="minorHAnsi"/>
          <w:sz w:val="20"/>
        </w:rPr>
        <w:t>grant</w:t>
      </w:r>
      <w:r w:rsidR="00C026A6" w:rsidRPr="00EA59C0">
        <w:rPr>
          <w:rFonts w:asciiTheme="minorHAnsi" w:hAnsiTheme="minorHAnsi"/>
          <w:sz w:val="20"/>
        </w:rPr>
        <w:t xml:space="preserve"> </w:t>
      </w:r>
      <w:r w:rsidRPr="00EA59C0">
        <w:rPr>
          <w:rFonts w:asciiTheme="minorHAnsi" w:hAnsiTheme="minorHAnsi"/>
          <w:sz w:val="20"/>
        </w:rPr>
        <w:t>funds,</w:t>
      </w:r>
      <w:r w:rsidR="00C026A6" w:rsidRPr="00EA59C0">
        <w:rPr>
          <w:rFonts w:asciiTheme="minorHAnsi" w:hAnsiTheme="minorHAnsi"/>
          <w:sz w:val="20"/>
        </w:rPr>
        <w:t xml:space="preserve"> </w:t>
      </w:r>
      <w:r w:rsidRPr="00EA59C0">
        <w:rPr>
          <w:rFonts w:asciiTheme="minorHAnsi" w:hAnsiTheme="minorHAnsi"/>
          <w:sz w:val="20"/>
        </w:rPr>
        <w:t>or</w:t>
      </w:r>
      <w:r w:rsidR="00C026A6" w:rsidRPr="00EA59C0">
        <w:rPr>
          <w:rFonts w:asciiTheme="minorHAnsi" w:hAnsiTheme="minorHAnsi"/>
          <w:sz w:val="20"/>
        </w:rPr>
        <w:t xml:space="preserve"> </w:t>
      </w:r>
      <w:r w:rsidRPr="00EA59C0">
        <w:rPr>
          <w:rFonts w:asciiTheme="minorHAnsi" w:hAnsiTheme="minorHAnsi"/>
          <w:sz w:val="20"/>
        </w:rPr>
        <w:t>a</w:t>
      </w:r>
      <w:r w:rsidR="00C026A6" w:rsidRPr="00EA59C0">
        <w:rPr>
          <w:rFonts w:asciiTheme="minorHAnsi" w:hAnsiTheme="minorHAnsi"/>
          <w:sz w:val="20"/>
        </w:rPr>
        <w:t xml:space="preserve"> </w:t>
      </w:r>
      <w:r w:rsidRPr="00EA59C0">
        <w:rPr>
          <w:rFonts w:asciiTheme="minorHAnsi" w:hAnsiTheme="minorHAnsi"/>
          <w:sz w:val="20"/>
        </w:rPr>
        <w:t>course</w:t>
      </w:r>
      <w:r w:rsidR="00C026A6" w:rsidRPr="00EA59C0">
        <w:rPr>
          <w:rFonts w:asciiTheme="minorHAnsi" w:hAnsiTheme="minorHAnsi"/>
          <w:sz w:val="20"/>
        </w:rPr>
        <w:t xml:space="preserve"> </w:t>
      </w:r>
      <w:r w:rsidRPr="00EA59C0">
        <w:rPr>
          <w:rFonts w:asciiTheme="minorHAnsi" w:hAnsiTheme="minorHAnsi"/>
          <w:sz w:val="20"/>
        </w:rPr>
        <w:t>that</w:t>
      </w:r>
      <w:r w:rsidR="00C026A6" w:rsidRPr="00EA59C0">
        <w:rPr>
          <w:rFonts w:asciiTheme="minorHAnsi" w:hAnsiTheme="minorHAnsi"/>
          <w:sz w:val="20"/>
        </w:rPr>
        <w:t xml:space="preserve"> </w:t>
      </w:r>
      <w:r w:rsidRPr="00EA59C0">
        <w:rPr>
          <w:rFonts w:asciiTheme="minorHAnsi" w:hAnsiTheme="minorHAnsi"/>
          <w:sz w:val="20"/>
        </w:rPr>
        <w:t>is</w:t>
      </w:r>
      <w:r w:rsidR="00C026A6" w:rsidRPr="00EA59C0">
        <w:rPr>
          <w:rFonts w:asciiTheme="minorHAnsi" w:hAnsiTheme="minorHAnsi"/>
          <w:sz w:val="20"/>
        </w:rPr>
        <w:t xml:space="preserve"> </w:t>
      </w:r>
      <w:r w:rsidRPr="00EA59C0">
        <w:rPr>
          <w:rFonts w:asciiTheme="minorHAnsi" w:hAnsiTheme="minorHAnsi"/>
          <w:sz w:val="20"/>
        </w:rPr>
        <w:t>part</w:t>
      </w:r>
      <w:r w:rsidR="00C026A6" w:rsidRPr="00EA59C0">
        <w:rPr>
          <w:rFonts w:asciiTheme="minorHAnsi" w:hAnsiTheme="minorHAnsi"/>
          <w:sz w:val="20"/>
        </w:rPr>
        <w:t xml:space="preserve"> </w:t>
      </w:r>
      <w:r w:rsidRPr="00EA59C0">
        <w:rPr>
          <w:rFonts w:asciiTheme="minorHAnsi" w:hAnsiTheme="minorHAnsi"/>
          <w:sz w:val="20"/>
        </w:rPr>
        <w:t>of</w:t>
      </w:r>
      <w:r w:rsidR="00C026A6" w:rsidRPr="00EA59C0">
        <w:rPr>
          <w:rFonts w:asciiTheme="minorHAnsi" w:hAnsiTheme="minorHAnsi"/>
          <w:sz w:val="20"/>
        </w:rPr>
        <w:t xml:space="preserve"> </w:t>
      </w:r>
      <w:r w:rsidRPr="00EA59C0">
        <w:rPr>
          <w:rFonts w:asciiTheme="minorHAnsi" w:hAnsiTheme="minorHAnsi"/>
          <w:sz w:val="20"/>
        </w:rPr>
        <w:t>such</w:t>
      </w:r>
      <w:r w:rsidR="00C026A6" w:rsidRPr="00EA59C0">
        <w:rPr>
          <w:rFonts w:asciiTheme="minorHAnsi" w:hAnsiTheme="minorHAnsi"/>
          <w:sz w:val="20"/>
        </w:rPr>
        <w:t xml:space="preserve"> </w:t>
      </w:r>
      <w:r w:rsidRPr="00EA59C0">
        <w:rPr>
          <w:rFonts w:asciiTheme="minorHAnsi" w:hAnsiTheme="minorHAnsi"/>
          <w:sz w:val="20"/>
        </w:rPr>
        <w:t>a</w:t>
      </w:r>
      <w:r w:rsidR="00C026A6" w:rsidRPr="00EA59C0">
        <w:rPr>
          <w:rFonts w:asciiTheme="minorHAnsi" w:hAnsiTheme="minorHAnsi"/>
          <w:sz w:val="20"/>
        </w:rPr>
        <w:t xml:space="preserve"> </w:t>
      </w:r>
      <w:r w:rsidRPr="00EA59C0">
        <w:rPr>
          <w:rFonts w:asciiTheme="minorHAnsi" w:hAnsiTheme="minorHAnsi"/>
          <w:sz w:val="20"/>
        </w:rPr>
        <w:t>program,</w:t>
      </w:r>
      <w:r w:rsidR="00C026A6" w:rsidRPr="00EA59C0">
        <w:rPr>
          <w:rFonts w:asciiTheme="minorHAnsi" w:hAnsiTheme="minorHAnsi"/>
          <w:sz w:val="20"/>
        </w:rPr>
        <w:t xml:space="preserve"> </w:t>
      </w:r>
      <w:r w:rsidRPr="00EA59C0">
        <w:rPr>
          <w:rFonts w:asciiTheme="minorHAnsi" w:hAnsiTheme="minorHAnsi"/>
          <w:sz w:val="20"/>
        </w:rPr>
        <w:t>and</w:t>
      </w:r>
      <w:r w:rsidR="00C026A6" w:rsidRPr="00EA59C0">
        <w:rPr>
          <w:rFonts w:asciiTheme="minorHAnsi" w:hAnsiTheme="minorHAnsi"/>
          <w:sz w:val="20"/>
        </w:rPr>
        <w:t xml:space="preserve"> </w:t>
      </w:r>
      <w:r w:rsidRPr="00EA59C0">
        <w:rPr>
          <w:rFonts w:asciiTheme="minorHAnsi" w:hAnsiTheme="minorHAnsi"/>
          <w:sz w:val="20"/>
        </w:rPr>
        <w:t>who</w:t>
      </w:r>
      <w:r w:rsidR="00C026A6" w:rsidRPr="00EA59C0">
        <w:rPr>
          <w:rFonts w:asciiTheme="minorHAnsi" w:hAnsiTheme="minorHAnsi"/>
          <w:sz w:val="20"/>
        </w:rPr>
        <w:t xml:space="preserve"> </w:t>
      </w:r>
      <w:r w:rsidRPr="00EA59C0">
        <w:rPr>
          <w:rFonts w:asciiTheme="minorHAnsi" w:hAnsiTheme="minorHAnsi"/>
          <w:sz w:val="20"/>
        </w:rPr>
        <w:t>attends</w:t>
      </w:r>
      <w:r w:rsidR="00C026A6" w:rsidRPr="00EA59C0">
        <w:rPr>
          <w:rFonts w:asciiTheme="minorHAnsi" w:hAnsiTheme="minorHAnsi"/>
          <w:sz w:val="20"/>
        </w:rPr>
        <w:t xml:space="preserve"> </w:t>
      </w:r>
      <w:r w:rsidRPr="00EA59C0">
        <w:rPr>
          <w:rFonts w:asciiTheme="minorHAnsi" w:hAnsiTheme="minorHAnsi"/>
          <w:sz w:val="20"/>
        </w:rPr>
        <w:t>the</w:t>
      </w:r>
      <w:r w:rsidR="00C026A6" w:rsidRPr="00EA59C0">
        <w:rPr>
          <w:rFonts w:asciiTheme="minorHAnsi" w:hAnsiTheme="minorHAnsi"/>
          <w:sz w:val="20"/>
        </w:rPr>
        <w:t xml:space="preserve"> </w:t>
      </w:r>
      <w:r w:rsidRPr="00EA59C0">
        <w:rPr>
          <w:rFonts w:asciiTheme="minorHAnsi" w:hAnsiTheme="minorHAnsi"/>
          <w:sz w:val="20"/>
        </w:rPr>
        <w:t>program</w:t>
      </w:r>
      <w:r w:rsidR="00C026A6" w:rsidRPr="00EA59C0">
        <w:rPr>
          <w:rFonts w:asciiTheme="minorHAnsi" w:hAnsiTheme="minorHAnsi"/>
          <w:sz w:val="20"/>
        </w:rPr>
        <w:t xml:space="preserve"> </w:t>
      </w:r>
      <w:r w:rsidRPr="00EA59C0">
        <w:rPr>
          <w:rFonts w:asciiTheme="minorHAnsi" w:hAnsiTheme="minorHAnsi"/>
          <w:sz w:val="20"/>
        </w:rPr>
        <w:t>or</w:t>
      </w:r>
      <w:r w:rsidR="00C026A6" w:rsidRPr="00EA59C0">
        <w:rPr>
          <w:rFonts w:asciiTheme="minorHAnsi" w:hAnsiTheme="minorHAnsi"/>
          <w:sz w:val="20"/>
        </w:rPr>
        <w:t xml:space="preserve"> </w:t>
      </w:r>
      <w:r w:rsidRPr="00EA59C0">
        <w:rPr>
          <w:rFonts w:asciiTheme="minorHAnsi" w:hAnsiTheme="minorHAnsi"/>
          <w:sz w:val="20"/>
        </w:rPr>
        <w:t>course</w:t>
      </w:r>
      <w:r w:rsidR="00C026A6" w:rsidRPr="00EA59C0">
        <w:rPr>
          <w:rFonts w:asciiTheme="minorHAnsi" w:hAnsiTheme="minorHAnsi"/>
          <w:sz w:val="20"/>
        </w:rPr>
        <w:t xml:space="preserve"> </w:t>
      </w:r>
      <w:r w:rsidRPr="00EA59C0">
        <w:rPr>
          <w:rFonts w:asciiTheme="minorHAnsi" w:hAnsiTheme="minorHAnsi"/>
          <w:sz w:val="20"/>
        </w:rPr>
        <w:t>more</w:t>
      </w:r>
      <w:r w:rsidR="00C026A6" w:rsidRPr="00EA59C0">
        <w:rPr>
          <w:rFonts w:asciiTheme="minorHAnsi" w:hAnsiTheme="minorHAnsi"/>
          <w:sz w:val="20"/>
        </w:rPr>
        <w:t xml:space="preserve"> </w:t>
      </w:r>
      <w:r w:rsidRPr="00EA59C0">
        <w:rPr>
          <w:rFonts w:asciiTheme="minorHAnsi" w:hAnsiTheme="minorHAnsi"/>
          <w:sz w:val="20"/>
        </w:rPr>
        <w:t>than</w:t>
      </w:r>
      <w:r w:rsidR="00C026A6" w:rsidRPr="00EA59C0">
        <w:rPr>
          <w:rFonts w:asciiTheme="minorHAnsi" w:hAnsiTheme="minorHAnsi"/>
          <w:sz w:val="20"/>
        </w:rPr>
        <w:t xml:space="preserve"> </w:t>
      </w:r>
      <w:r w:rsidRPr="00EA59C0">
        <w:rPr>
          <w:rFonts w:asciiTheme="minorHAnsi" w:hAnsiTheme="minorHAnsi"/>
          <w:sz w:val="20"/>
        </w:rPr>
        <w:t>once.</w:t>
      </w:r>
      <w:r w:rsidR="00C026A6" w:rsidRPr="00EA59C0">
        <w:rPr>
          <w:rFonts w:asciiTheme="minorHAnsi" w:hAnsiTheme="minorHAnsi"/>
          <w:sz w:val="20"/>
        </w:rPr>
        <w:t xml:space="preserve"> </w:t>
      </w:r>
      <w:r w:rsidRPr="00EA59C0">
        <w:rPr>
          <w:rFonts w:asciiTheme="minorHAnsi" w:hAnsiTheme="minorHAnsi"/>
          <w:sz w:val="20"/>
        </w:rPr>
        <w:t>Students</w:t>
      </w:r>
      <w:r w:rsidR="00C026A6" w:rsidRPr="00EA59C0">
        <w:rPr>
          <w:rFonts w:asciiTheme="minorHAnsi" w:hAnsiTheme="minorHAnsi"/>
          <w:sz w:val="20"/>
        </w:rPr>
        <w:t xml:space="preserve"> </w:t>
      </w:r>
      <w:r w:rsidRPr="00EA59C0">
        <w:rPr>
          <w:rFonts w:asciiTheme="minorHAnsi" w:hAnsiTheme="minorHAnsi"/>
          <w:sz w:val="20"/>
        </w:rPr>
        <w:t>that</w:t>
      </w:r>
      <w:r w:rsidR="00C026A6" w:rsidRPr="00EA59C0">
        <w:rPr>
          <w:rFonts w:asciiTheme="minorHAnsi" w:hAnsiTheme="minorHAnsi"/>
          <w:sz w:val="20"/>
        </w:rPr>
        <w:t xml:space="preserve"> </w:t>
      </w:r>
      <w:r w:rsidRPr="00EA59C0">
        <w:rPr>
          <w:rFonts w:asciiTheme="minorHAnsi" w:hAnsiTheme="minorHAnsi"/>
          <w:sz w:val="20"/>
        </w:rPr>
        <w:t>try</w:t>
      </w:r>
      <w:r w:rsidR="00C026A6" w:rsidRPr="00EA59C0">
        <w:rPr>
          <w:rFonts w:asciiTheme="minorHAnsi" w:hAnsiTheme="minorHAnsi"/>
          <w:sz w:val="20"/>
        </w:rPr>
        <w:t xml:space="preserve"> </w:t>
      </w:r>
      <w:r w:rsidRPr="00EA59C0">
        <w:rPr>
          <w:rFonts w:asciiTheme="minorHAnsi" w:hAnsiTheme="minorHAnsi"/>
          <w:sz w:val="20"/>
        </w:rPr>
        <w:t>out</w:t>
      </w:r>
      <w:r w:rsidR="00C026A6" w:rsidRPr="00EA59C0">
        <w:rPr>
          <w:rFonts w:asciiTheme="minorHAnsi" w:hAnsiTheme="minorHAnsi"/>
          <w:sz w:val="20"/>
        </w:rPr>
        <w:t xml:space="preserve"> </w:t>
      </w:r>
      <w:r w:rsidRPr="00EA59C0">
        <w:rPr>
          <w:rFonts w:asciiTheme="minorHAnsi" w:hAnsiTheme="minorHAnsi"/>
          <w:sz w:val="20"/>
        </w:rPr>
        <w:t>a</w:t>
      </w:r>
      <w:r w:rsidR="00C026A6" w:rsidRPr="00EA59C0">
        <w:rPr>
          <w:rFonts w:asciiTheme="minorHAnsi" w:hAnsiTheme="minorHAnsi"/>
          <w:sz w:val="20"/>
        </w:rPr>
        <w:t xml:space="preserve"> </w:t>
      </w:r>
      <w:r w:rsidRPr="00EA59C0">
        <w:rPr>
          <w:rFonts w:asciiTheme="minorHAnsi" w:hAnsiTheme="minorHAnsi"/>
          <w:sz w:val="20"/>
        </w:rPr>
        <w:t>course</w:t>
      </w:r>
      <w:r w:rsidR="00C026A6" w:rsidRPr="00EA59C0">
        <w:rPr>
          <w:rFonts w:asciiTheme="minorHAnsi" w:hAnsiTheme="minorHAnsi"/>
          <w:sz w:val="20"/>
        </w:rPr>
        <w:t xml:space="preserve"> </w:t>
      </w:r>
      <w:r w:rsidRPr="00EA59C0">
        <w:rPr>
          <w:rFonts w:asciiTheme="minorHAnsi" w:hAnsiTheme="minorHAnsi"/>
          <w:sz w:val="20"/>
        </w:rPr>
        <w:t>during</w:t>
      </w:r>
      <w:r w:rsidR="00C026A6" w:rsidRPr="00EA59C0">
        <w:rPr>
          <w:rFonts w:asciiTheme="minorHAnsi" w:hAnsiTheme="minorHAnsi"/>
          <w:sz w:val="20"/>
        </w:rPr>
        <w:t xml:space="preserve"> </w:t>
      </w:r>
      <w:r w:rsidRPr="00EA59C0">
        <w:rPr>
          <w:rFonts w:asciiTheme="minorHAnsi" w:hAnsiTheme="minorHAnsi"/>
          <w:sz w:val="20"/>
        </w:rPr>
        <w:t>the</w:t>
      </w:r>
      <w:r w:rsidR="00C026A6" w:rsidRPr="00EA59C0">
        <w:rPr>
          <w:rFonts w:asciiTheme="minorHAnsi" w:hAnsiTheme="minorHAnsi"/>
          <w:sz w:val="20"/>
        </w:rPr>
        <w:t xml:space="preserve"> </w:t>
      </w:r>
      <w:r w:rsidRPr="00EA59C0">
        <w:rPr>
          <w:rFonts w:asciiTheme="minorHAnsi" w:hAnsiTheme="minorHAnsi"/>
          <w:sz w:val="20"/>
        </w:rPr>
        <w:t>“add/drop</w:t>
      </w:r>
      <w:r w:rsidR="00C026A6" w:rsidRPr="00EA59C0">
        <w:rPr>
          <w:rFonts w:asciiTheme="minorHAnsi" w:hAnsiTheme="minorHAnsi"/>
          <w:sz w:val="20"/>
        </w:rPr>
        <w:t xml:space="preserve"> </w:t>
      </w:r>
      <w:r w:rsidRPr="00EA59C0">
        <w:rPr>
          <w:rFonts w:asciiTheme="minorHAnsi" w:hAnsiTheme="minorHAnsi"/>
          <w:sz w:val="20"/>
        </w:rPr>
        <w:t>period”</w:t>
      </w:r>
      <w:r w:rsidR="00C026A6" w:rsidRPr="00EA59C0">
        <w:rPr>
          <w:rFonts w:asciiTheme="minorHAnsi" w:hAnsiTheme="minorHAnsi"/>
          <w:sz w:val="20"/>
        </w:rPr>
        <w:t xml:space="preserve"> </w:t>
      </w:r>
      <w:r w:rsidRPr="00EA59C0">
        <w:rPr>
          <w:rFonts w:asciiTheme="minorHAnsi" w:hAnsiTheme="minorHAnsi"/>
          <w:sz w:val="20"/>
        </w:rPr>
        <w:t>at</w:t>
      </w:r>
      <w:r w:rsidR="00C026A6" w:rsidRPr="00EA59C0">
        <w:rPr>
          <w:rFonts w:asciiTheme="minorHAnsi" w:hAnsiTheme="minorHAnsi"/>
          <w:sz w:val="20"/>
        </w:rPr>
        <w:t xml:space="preserve"> </w:t>
      </w:r>
      <w:r w:rsidRPr="00EA59C0">
        <w:rPr>
          <w:rFonts w:asciiTheme="minorHAnsi" w:hAnsiTheme="minorHAnsi"/>
          <w:sz w:val="20"/>
        </w:rPr>
        <w:t>the</w:t>
      </w:r>
      <w:r w:rsidR="00C026A6" w:rsidRPr="00EA59C0">
        <w:rPr>
          <w:rFonts w:asciiTheme="minorHAnsi" w:hAnsiTheme="minorHAnsi"/>
          <w:sz w:val="20"/>
        </w:rPr>
        <w:t xml:space="preserve"> </w:t>
      </w:r>
      <w:r w:rsidRPr="00EA59C0">
        <w:rPr>
          <w:rFonts w:asciiTheme="minorHAnsi" w:hAnsiTheme="minorHAnsi"/>
          <w:sz w:val="20"/>
        </w:rPr>
        <w:t>beginning</w:t>
      </w:r>
      <w:r w:rsidR="00C026A6" w:rsidRPr="00EA59C0">
        <w:rPr>
          <w:rFonts w:asciiTheme="minorHAnsi" w:hAnsiTheme="minorHAnsi"/>
          <w:sz w:val="20"/>
        </w:rPr>
        <w:t xml:space="preserve"> </w:t>
      </w:r>
      <w:r w:rsidRPr="00EA59C0">
        <w:rPr>
          <w:rFonts w:asciiTheme="minorHAnsi" w:hAnsiTheme="minorHAnsi"/>
          <w:sz w:val="20"/>
        </w:rPr>
        <w:t>of</w:t>
      </w:r>
      <w:r w:rsidR="00C026A6" w:rsidRPr="00EA59C0">
        <w:rPr>
          <w:rFonts w:asciiTheme="minorHAnsi" w:hAnsiTheme="minorHAnsi"/>
          <w:sz w:val="20"/>
        </w:rPr>
        <w:t xml:space="preserve"> </w:t>
      </w:r>
      <w:r w:rsidRPr="00EA59C0">
        <w:rPr>
          <w:rFonts w:asciiTheme="minorHAnsi" w:hAnsiTheme="minorHAnsi"/>
          <w:sz w:val="20"/>
        </w:rPr>
        <w:t>a</w:t>
      </w:r>
      <w:r w:rsidR="00C026A6" w:rsidRPr="00EA59C0">
        <w:rPr>
          <w:rFonts w:asciiTheme="minorHAnsi" w:hAnsiTheme="minorHAnsi"/>
          <w:sz w:val="20"/>
        </w:rPr>
        <w:t xml:space="preserve"> </w:t>
      </w:r>
      <w:r w:rsidRPr="00EA59C0">
        <w:rPr>
          <w:rFonts w:asciiTheme="minorHAnsi" w:hAnsiTheme="minorHAnsi"/>
          <w:sz w:val="20"/>
        </w:rPr>
        <w:t>semester</w:t>
      </w:r>
      <w:r w:rsidR="00C026A6" w:rsidRPr="00EA59C0">
        <w:rPr>
          <w:rFonts w:asciiTheme="minorHAnsi" w:hAnsiTheme="minorHAnsi"/>
          <w:sz w:val="20"/>
        </w:rPr>
        <w:t xml:space="preserve"> </w:t>
      </w:r>
      <w:r w:rsidRPr="00EA59C0">
        <w:rPr>
          <w:rFonts w:asciiTheme="minorHAnsi" w:hAnsiTheme="minorHAnsi"/>
          <w:sz w:val="20"/>
        </w:rPr>
        <w:t>and</w:t>
      </w:r>
      <w:r w:rsidR="00C026A6" w:rsidRPr="00EA59C0">
        <w:rPr>
          <w:rFonts w:asciiTheme="minorHAnsi" w:hAnsiTheme="minorHAnsi"/>
          <w:sz w:val="20"/>
        </w:rPr>
        <w:t xml:space="preserve"> </w:t>
      </w:r>
      <w:r w:rsidRPr="00EA59C0">
        <w:rPr>
          <w:rFonts w:asciiTheme="minorHAnsi" w:hAnsiTheme="minorHAnsi"/>
          <w:sz w:val="20"/>
        </w:rPr>
        <w:t>don’t</w:t>
      </w:r>
      <w:r w:rsidR="00C026A6" w:rsidRPr="00EA59C0">
        <w:rPr>
          <w:rFonts w:asciiTheme="minorHAnsi" w:hAnsiTheme="minorHAnsi"/>
          <w:sz w:val="20"/>
        </w:rPr>
        <w:t xml:space="preserve"> </w:t>
      </w:r>
      <w:r w:rsidRPr="00EA59C0">
        <w:rPr>
          <w:rFonts w:asciiTheme="minorHAnsi" w:hAnsiTheme="minorHAnsi"/>
          <w:sz w:val="20"/>
        </w:rPr>
        <w:t>remain</w:t>
      </w:r>
      <w:r w:rsidR="00C026A6" w:rsidRPr="00EA59C0">
        <w:rPr>
          <w:rFonts w:asciiTheme="minorHAnsi" w:hAnsiTheme="minorHAnsi"/>
          <w:sz w:val="20"/>
        </w:rPr>
        <w:t xml:space="preserve"> </w:t>
      </w:r>
      <w:r w:rsidRPr="00EA59C0">
        <w:rPr>
          <w:rFonts w:asciiTheme="minorHAnsi" w:hAnsiTheme="minorHAnsi"/>
          <w:sz w:val="20"/>
        </w:rPr>
        <w:t>enrolled</w:t>
      </w:r>
      <w:r w:rsidR="00C026A6" w:rsidRPr="00EA59C0">
        <w:rPr>
          <w:rFonts w:asciiTheme="minorHAnsi" w:hAnsiTheme="minorHAnsi"/>
          <w:sz w:val="20"/>
        </w:rPr>
        <w:t xml:space="preserve"> </w:t>
      </w:r>
      <w:r w:rsidRPr="00EA59C0">
        <w:rPr>
          <w:rFonts w:asciiTheme="minorHAnsi" w:hAnsiTheme="minorHAnsi"/>
          <w:sz w:val="20"/>
        </w:rPr>
        <w:t>after</w:t>
      </w:r>
      <w:r w:rsidR="00C026A6" w:rsidRPr="00EA59C0">
        <w:rPr>
          <w:rFonts w:asciiTheme="minorHAnsi" w:hAnsiTheme="minorHAnsi"/>
          <w:sz w:val="20"/>
        </w:rPr>
        <w:t xml:space="preserve"> </w:t>
      </w:r>
      <w:r w:rsidRPr="00EA59C0">
        <w:rPr>
          <w:rFonts w:asciiTheme="minorHAnsi" w:hAnsiTheme="minorHAnsi"/>
          <w:sz w:val="20"/>
        </w:rPr>
        <w:t>the</w:t>
      </w:r>
      <w:r w:rsidR="00C026A6" w:rsidRPr="00EA59C0">
        <w:rPr>
          <w:rFonts w:asciiTheme="minorHAnsi" w:hAnsiTheme="minorHAnsi"/>
          <w:sz w:val="20"/>
        </w:rPr>
        <w:t xml:space="preserve"> </w:t>
      </w:r>
      <w:r w:rsidRPr="00EA59C0">
        <w:rPr>
          <w:rFonts w:asciiTheme="minorHAnsi" w:hAnsiTheme="minorHAnsi"/>
          <w:sz w:val="20"/>
        </w:rPr>
        <w:t>“add/drop”</w:t>
      </w:r>
      <w:r w:rsidR="00C026A6" w:rsidRPr="00EA59C0">
        <w:rPr>
          <w:rFonts w:asciiTheme="minorHAnsi" w:hAnsiTheme="minorHAnsi"/>
          <w:sz w:val="20"/>
        </w:rPr>
        <w:t xml:space="preserve"> </w:t>
      </w:r>
      <w:r w:rsidRPr="00EA59C0">
        <w:rPr>
          <w:rFonts w:asciiTheme="minorHAnsi" w:hAnsiTheme="minorHAnsi"/>
          <w:sz w:val="20"/>
        </w:rPr>
        <w:t>period</w:t>
      </w:r>
      <w:r w:rsidR="00C026A6" w:rsidRPr="00EA59C0">
        <w:rPr>
          <w:rFonts w:asciiTheme="minorHAnsi" w:hAnsiTheme="minorHAnsi"/>
          <w:sz w:val="20"/>
        </w:rPr>
        <w:t xml:space="preserve"> </w:t>
      </w:r>
      <w:r w:rsidRPr="00EA59C0">
        <w:rPr>
          <w:rFonts w:asciiTheme="minorHAnsi" w:hAnsiTheme="minorHAnsi"/>
          <w:sz w:val="20"/>
        </w:rPr>
        <w:t>is</w:t>
      </w:r>
      <w:r w:rsidR="00C026A6" w:rsidRPr="00EA59C0">
        <w:rPr>
          <w:rFonts w:asciiTheme="minorHAnsi" w:hAnsiTheme="minorHAnsi"/>
          <w:sz w:val="20"/>
        </w:rPr>
        <w:t xml:space="preserve"> </w:t>
      </w:r>
      <w:r w:rsidRPr="00EA59C0">
        <w:rPr>
          <w:rFonts w:asciiTheme="minorHAnsi" w:hAnsiTheme="minorHAnsi"/>
          <w:sz w:val="20"/>
        </w:rPr>
        <w:t>over</w:t>
      </w:r>
      <w:r w:rsidR="00C026A6" w:rsidRPr="00EA59C0">
        <w:rPr>
          <w:rFonts w:asciiTheme="minorHAnsi" w:hAnsiTheme="minorHAnsi"/>
          <w:sz w:val="20"/>
        </w:rPr>
        <w:t xml:space="preserve"> </w:t>
      </w:r>
      <w:r w:rsidRPr="00EA59C0">
        <w:rPr>
          <w:rFonts w:asciiTheme="minorHAnsi" w:hAnsiTheme="minorHAnsi"/>
          <w:sz w:val="20"/>
        </w:rPr>
        <w:t>would</w:t>
      </w:r>
      <w:r w:rsidR="00C026A6" w:rsidRPr="00EA59C0">
        <w:rPr>
          <w:rFonts w:asciiTheme="minorHAnsi" w:hAnsiTheme="minorHAnsi"/>
          <w:sz w:val="20"/>
        </w:rPr>
        <w:t xml:space="preserve"> </w:t>
      </w:r>
      <w:r w:rsidRPr="00EA59C0">
        <w:rPr>
          <w:rFonts w:asciiTheme="minorHAnsi" w:hAnsiTheme="minorHAnsi"/>
          <w:sz w:val="20"/>
        </w:rPr>
        <w:t>not</w:t>
      </w:r>
      <w:r w:rsidR="00C026A6" w:rsidRPr="00EA59C0">
        <w:rPr>
          <w:rFonts w:asciiTheme="minorHAnsi" w:hAnsiTheme="minorHAnsi"/>
          <w:sz w:val="20"/>
        </w:rPr>
        <w:t xml:space="preserve"> </w:t>
      </w:r>
      <w:r w:rsidRPr="00EA59C0">
        <w:rPr>
          <w:rFonts w:asciiTheme="minorHAnsi" w:hAnsiTheme="minorHAnsi"/>
          <w:sz w:val="20"/>
        </w:rPr>
        <w:t>be</w:t>
      </w:r>
      <w:r w:rsidR="00C026A6" w:rsidRPr="00EA59C0">
        <w:rPr>
          <w:rFonts w:asciiTheme="minorHAnsi" w:hAnsiTheme="minorHAnsi"/>
          <w:sz w:val="20"/>
        </w:rPr>
        <w:t xml:space="preserve"> </w:t>
      </w:r>
      <w:r w:rsidRPr="00EA59C0">
        <w:rPr>
          <w:rFonts w:asciiTheme="minorHAnsi" w:hAnsiTheme="minorHAnsi"/>
          <w:sz w:val="20"/>
        </w:rPr>
        <w:t>counted</w:t>
      </w:r>
      <w:r w:rsidR="00C026A6" w:rsidRPr="00EA59C0">
        <w:rPr>
          <w:rFonts w:asciiTheme="minorHAnsi" w:hAnsiTheme="minorHAnsi"/>
          <w:sz w:val="20"/>
        </w:rPr>
        <w:t xml:space="preserve"> </w:t>
      </w:r>
      <w:r w:rsidRPr="00EA59C0">
        <w:rPr>
          <w:rFonts w:asciiTheme="minorHAnsi" w:hAnsiTheme="minorHAnsi"/>
          <w:sz w:val="20"/>
        </w:rPr>
        <w:t>as</w:t>
      </w:r>
      <w:r w:rsidR="00C026A6" w:rsidRPr="00EA59C0">
        <w:rPr>
          <w:rFonts w:asciiTheme="minorHAnsi" w:hAnsiTheme="minorHAnsi"/>
          <w:sz w:val="20"/>
        </w:rPr>
        <w:t xml:space="preserve"> </w:t>
      </w:r>
      <w:r w:rsidRPr="00EA59C0">
        <w:rPr>
          <w:rFonts w:asciiTheme="minorHAnsi" w:hAnsiTheme="minorHAnsi"/>
          <w:sz w:val="20"/>
        </w:rPr>
        <w:t>participants.</w:t>
      </w:r>
    </w:p>
    <w:p w:rsidR="008826BE" w:rsidRPr="00EA59C0" w:rsidRDefault="008826BE" w:rsidP="00080097">
      <w:pPr>
        <w:pStyle w:val="ListParagraph"/>
        <w:numPr>
          <w:ilvl w:val="0"/>
          <w:numId w:val="40"/>
        </w:numPr>
        <w:spacing w:after="120"/>
        <w:rPr>
          <w:rFonts w:asciiTheme="minorHAnsi" w:hAnsiTheme="minorHAnsi"/>
          <w:sz w:val="20"/>
        </w:rPr>
      </w:pPr>
      <w:r w:rsidRPr="00EA59C0">
        <w:rPr>
          <w:rFonts w:asciiTheme="minorHAnsi" w:hAnsiTheme="minorHAnsi"/>
          <w:sz w:val="20"/>
        </w:rPr>
        <w:t>A</w:t>
      </w:r>
      <w:r w:rsidR="00C026A6" w:rsidRPr="00EA59C0">
        <w:rPr>
          <w:rFonts w:asciiTheme="minorHAnsi" w:hAnsiTheme="minorHAnsi"/>
          <w:sz w:val="20"/>
        </w:rPr>
        <w:t xml:space="preserve"> </w:t>
      </w:r>
      <w:r w:rsidRPr="00EA59C0">
        <w:rPr>
          <w:rFonts w:asciiTheme="minorHAnsi" w:hAnsiTheme="minorHAnsi"/>
          <w:sz w:val="20"/>
        </w:rPr>
        <w:t>program</w:t>
      </w:r>
      <w:r w:rsidR="00C026A6" w:rsidRPr="00EA59C0">
        <w:rPr>
          <w:rFonts w:asciiTheme="minorHAnsi" w:hAnsiTheme="minorHAnsi"/>
          <w:sz w:val="20"/>
        </w:rPr>
        <w:t xml:space="preserve"> </w:t>
      </w:r>
      <w:r w:rsidRPr="00EA59C0">
        <w:rPr>
          <w:rFonts w:asciiTheme="minorHAnsi" w:hAnsiTheme="minorHAnsi"/>
          <w:sz w:val="20"/>
        </w:rPr>
        <w:t>of</w:t>
      </w:r>
      <w:r w:rsidR="00C026A6" w:rsidRPr="00EA59C0">
        <w:rPr>
          <w:rFonts w:asciiTheme="minorHAnsi" w:hAnsiTheme="minorHAnsi"/>
          <w:sz w:val="20"/>
        </w:rPr>
        <w:t xml:space="preserve"> </w:t>
      </w:r>
      <w:r w:rsidRPr="00EA59C0">
        <w:rPr>
          <w:rFonts w:asciiTheme="minorHAnsi" w:hAnsiTheme="minorHAnsi"/>
          <w:sz w:val="20"/>
        </w:rPr>
        <w:t>study</w:t>
      </w:r>
      <w:r w:rsidR="00C026A6" w:rsidRPr="00EA59C0">
        <w:rPr>
          <w:rFonts w:asciiTheme="minorHAnsi" w:hAnsiTheme="minorHAnsi"/>
          <w:sz w:val="20"/>
        </w:rPr>
        <w:t xml:space="preserve"> </w:t>
      </w:r>
      <w:r w:rsidRPr="00EA59C0">
        <w:rPr>
          <w:rFonts w:asciiTheme="minorHAnsi" w:hAnsiTheme="minorHAnsi"/>
          <w:sz w:val="20"/>
        </w:rPr>
        <w:t>is</w:t>
      </w:r>
      <w:r w:rsidR="00C026A6" w:rsidRPr="00EA59C0">
        <w:rPr>
          <w:rFonts w:asciiTheme="minorHAnsi" w:hAnsiTheme="minorHAnsi"/>
          <w:sz w:val="20"/>
        </w:rPr>
        <w:t xml:space="preserve"> </w:t>
      </w:r>
      <w:r w:rsidRPr="00EA59C0">
        <w:rPr>
          <w:rFonts w:asciiTheme="minorHAnsi" w:hAnsiTheme="minorHAnsi"/>
          <w:sz w:val="20"/>
        </w:rPr>
        <w:t>broadly</w:t>
      </w:r>
      <w:r w:rsidR="00C026A6" w:rsidRPr="00EA59C0">
        <w:rPr>
          <w:rFonts w:asciiTheme="minorHAnsi" w:hAnsiTheme="minorHAnsi"/>
          <w:sz w:val="20"/>
        </w:rPr>
        <w:t xml:space="preserve"> </w:t>
      </w:r>
      <w:r w:rsidRPr="00EA59C0">
        <w:rPr>
          <w:rFonts w:asciiTheme="minorHAnsi" w:hAnsiTheme="minorHAnsi"/>
          <w:sz w:val="20"/>
        </w:rPr>
        <w:t>defined</w:t>
      </w:r>
      <w:r w:rsidR="00C026A6" w:rsidRPr="00EA59C0">
        <w:rPr>
          <w:rFonts w:asciiTheme="minorHAnsi" w:hAnsiTheme="minorHAnsi"/>
          <w:sz w:val="20"/>
        </w:rPr>
        <w:t xml:space="preserve"> </w:t>
      </w:r>
      <w:r w:rsidRPr="00EA59C0">
        <w:rPr>
          <w:rFonts w:asciiTheme="minorHAnsi" w:hAnsiTheme="minorHAnsi"/>
          <w:sz w:val="20"/>
        </w:rPr>
        <w:t>as</w:t>
      </w:r>
      <w:r w:rsidR="00C026A6" w:rsidRPr="00EA59C0">
        <w:rPr>
          <w:rFonts w:asciiTheme="minorHAnsi" w:hAnsiTheme="minorHAnsi"/>
          <w:sz w:val="20"/>
        </w:rPr>
        <w:t xml:space="preserve"> </w:t>
      </w:r>
      <w:r w:rsidRPr="00EA59C0">
        <w:rPr>
          <w:rFonts w:asciiTheme="minorHAnsi" w:hAnsiTheme="minorHAnsi"/>
          <w:sz w:val="20"/>
        </w:rPr>
        <w:t>an</w:t>
      </w:r>
      <w:r w:rsidR="00C026A6" w:rsidRPr="00EA59C0">
        <w:rPr>
          <w:rFonts w:asciiTheme="minorHAnsi" w:hAnsiTheme="minorHAnsi"/>
          <w:sz w:val="20"/>
        </w:rPr>
        <w:t xml:space="preserve"> </w:t>
      </w:r>
      <w:r w:rsidRPr="00EA59C0">
        <w:rPr>
          <w:rFonts w:asciiTheme="minorHAnsi" w:hAnsiTheme="minorHAnsi"/>
          <w:sz w:val="20"/>
        </w:rPr>
        <w:t>educational</w:t>
      </w:r>
      <w:r w:rsidR="00C026A6" w:rsidRPr="00EA59C0">
        <w:rPr>
          <w:rFonts w:asciiTheme="minorHAnsi" w:hAnsiTheme="minorHAnsi"/>
          <w:sz w:val="20"/>
        </w:rPr>
        <w:t xml:space="preserve"> </w:t>
      </w:r>
      <w:r w:rsidRPr="00EA59C0">
        <w:rPr>
          <w:rFonts w:asciiTheme="minorHAnsi" w:hAnsiTheme="minorHAnsi"/>
          <w:sz w:val="20"/>
        </w:rPr>
        <w:t>program</w:t>
      </w:r>
      <w:r w:rsidR="00C026A6" w:rsidRPr="00EA59C0">
        <w:rPr>
          <w:rFonts w:asciiTheme="minorHAnsi" w:hAnsiTheme="minorHAnsi"/>
          <w:sz w:val="20"/>
        </w:rPr>
        <w:t xml:space="preserve"> </w:t>
      </w:r>
      <w:r w:rsidRPr="00EA59C0">
        <w:rPr>
          <w:rFonts w:asciiTheme="minorHAnsi" w:hAnsiTheme="minorHAnsi"/>
          <w:sz w:val="20"/>
        </w:rPr>
        <w:t>for</w:t>
      </w:r>
      <w:r w:rsidR="00C026A6" w:rsidRPr="00EA59C0">
        <w:rPr>
          <w:rFonts w:asciiTheme="minorHAnsi" w:hAnsiTheme="minorHAnsi"/>
          <w:sz w:val="20"/>
        </w:rPr>
        <w:t xml:space="preserve"> </w:t>
      </w:r>
      <w:r w:rsidRPr="00EA59C0">
        <w:rPr>
          <w:rFonts w:asciiTheme="minorHAnsi" w:hAnsiTheme="minorHAnsi"/>
          <w:sz w:val="20"/>
        </w:rPr>
        <w:t>which</w:t>
      </w:r>
      <w:r w:rsidR="00C026A6" w:rsidRPr="00EA59C0">
        <w:rPr>
          <w:rFonts w:asciiTheme="minorHAnsi" w:hAnsiTheme="minorHAnsi"/>
          <w:sz w:val="20"/>
        </w:rPr>
        <w:t xml:space="preserve"> </w:t>
      </w:r>
      <w:r w:rsidRPr="00EA59C0">
        <w:rPr>
          <w:rFonts w:asciiTheme="minorHAnsi" w:hAnsiTheme="minorHAnsi"/>
          <w:sz w:val="20"/>
        </w:rPr>
        <w:t>a</w:t>
      </w:r>
      <w:r w:rsidR="00C026A6" w:rsidRPr="00EA59C0">
        <w:rPr>
          <w:rFonts w:asciiTheme="minorHAnsi" w:hAnsiTheme="minorHAnsi"/>
          <w:sz w:val="20"/>
        </w:rPr>
        <w:t xml:space="preserve"> </w:t>
      </w:r>
      <w:r w:rsidRPr="00EA59C0">
        <w:rPr>
          <w:rFonts w:asciiTheme="minorHAnsi" w:hAnsiTheme="minorHAnsi"/>
          <w:sz w:val="20"/>
        </w:rPr>
        <w:t>degree</w:t>
      </w:r>
      <w:r w:rsidR="00C026A6" w:rsidRPr="00EA59C0">
        <w:rPr>
          <w:rFonts w:asciiTheme="minorHAnsi" w:hAnsiTheme="minorHAnsi"/>
          <w:sz w:val="20"/>
        </w:rPr>
        <w:t xml:space="preserve"> </w:t>
      </w:r>
      <w:r w:rsidRPr="00EA59C0">
        <w:rPr>
          <w:rFonts w:asciiTheme="minorHAnsi" w:hAnsiTheme="minorHAnsi"/>
          <w:sz w:val="20"/>
        </w:rPr>
        <w:t>or</w:t>
      </w:r>
      <w:r w:rsidR="00C026A6" w:rsidRPr="00EA59C0">
        <w:rPr>
          <w:rFonts w:asciiTheme="minorHAnsi" w:hAnsiTheme="minorHAnsi"/>
          <w:sz w:val="20"/>
        </w:rPr>
        <w:t xml:space="preserve"> </w:t>
      </w:r>
      <w:r w:rsidRPr="00EA59C0">
        <w:rPr>
          <w:rFonts w:asciiTheme="minorHAnsi" w:hAnsiTheme="minorHAnsi"/>
          <w:sz w:val="20"/>
        </w:rPr>
        <w:t>certificate</w:t>
      </w:r>
      <w:r w:rsidR="00C026A6" w:rsidRPr="00EA59C0">
        <w:rPr>
          <w:rFonts w:asciiTheme="minorHAnsi" w:hAnsiTheme="minorHAnsi"/>
          <w:sz w:val="20"/>
        </w:rPr>
        <w:t xml:space="preserve"> </w:t>
      </w:r>
      <w:r w:rsidRPr="00EA59C0">
        <w:rPr>
          <w:rFonts w:asciiTheme="minorHAnsi" w:hAnsiTheme="minorHAnsi"/>
          <w:sz w:val="20"/>
        </w:rPr>
        <w:t>is</w:t>
      </w:r>
      <w:r w:rsidR="00C026A6" w:rsidRPr="00EA59C0">
        <w:rPr>
          <w:rFonts w:asciiTheme="minorHAnsi" w:hAnsiTheme="minorHAnsi"/>
          <w:sz w:val="20"/>
        </w:rPr>
        <w:t xml:space="preserve"> </w:t>
      </w:r>
      <w:r w:rsidRPr="00EA59C0">
        <w:rPr>
          <w:rFonts w:asciiTheme="minorHAnsi" w:hAnsiTheme="minorHAnsi"/>
          <w:sz w:val="20"/>
        </w:rPr>
        <w:t>granted.</w:t>
      </w:r>
      <w:r w:rsidRPr="00EA59C0">
        <w:rPr>
          <w:rFonts w:asciiTheme="minorHAnsi" w:hAnsiTheme="minorHAnsi"/>
          <w:sz w:val="20"/>
        </w:rPr>
        <w:br w:type="page"/>
      </w:r>
    </w:p>
    <w:p w:rsidR="00D9326C" w:rsidRPr="00EA59C0" w:rsidRDefault="00D9326C" w:rsidP="00D9326C">
      <w:pPr>
        <w:autoSpaceDE w:val="0"/>
        <w:autoSpaceDN w:val="0"/>
        <w:adjustRightInd w:val="0"/>
        <w:spacing w:line="480" w:lineRule="auto"/>
        <w:ind w:right="-720"/>
        <w:rPr>
          <w:rFonts w:ascii="Arial" w:hAnsi="Arial" w:cs="Arial"/>
          <w:b/>
          <w:bCs/>
          <w:sz w:val="22"/>
          <w:szCs w:val="22"/>
        </w:rPr>
      </w:pPr>
      <w:r w:rsidRPr="00EA59C0">
        <w:rPr>
          <w:rFonts w:ascii="Arial" w:hAnsi="Arial" w:cs="Arial"/>
          <w:b/>
          <w:bCs/>
          <w:sz w:val="22"/>
          <w:szCs w:val="22"/>
        </w:rPr>
        <w:t>Appendix</w:t>
      </w:r>
      <w:r w:rsidR="00C026A6" w:rsidRPr="00EA59C0">
        <w:rPr>
          <w:rFonts w:ascii="Arial" w:hAnsi="Arial" w:cs="Arial"/>
          <w:b/>
          <w:bCs/>
          <w:sz w:val="22"/>
          <w:szCs w:val="22"/>
        </w:rPr>
        <w:t xml:space="preserve"> </w:t>
      </w:r>
      <w:r w:rsidRPr="00EA59C0">
        <w:rPr>
          <w:rFonts w:ascii="Arial" w:hAnsi="Arial" w:cs="Arial"/>
          <w:b/>
          <w:bCs/>
          <w:sz w:val="22"/>
          <w:szCs w:val="22"/>
        </w:rPr>
        <w:t>M:</w:t>
      </w:r>
      <w:r w:rsidR="00C026A6" w:rsidRPr="00EA59C0">
        <w:rPr>
          <w:rFonts w:ascii="Arial" w:hAnsi="Arial" w:cs="Arial"/>
          <w:b/>
          <w:bCs/>
          <w:sz w:val="22"/>
          <w:szCs w:val="22"/>
        </w:rPr>
        <w:t xml:space="preserve">  </w:t>
      </w:r>
      <w:r w:rsidRPr="00EA59C0">
        <w:rPr>
          <w:rFonts w:ascii="Arial" w:hAnsi="Arial" w:cs="Arial"/>
          <w:b/>
          <w:bCs/>
          <w:sz w:val="22"/>
          <w:szCs w:val="22"/>
        </w:rPr>
        <w:t>Sample</w:t>
      </w:r>
      <w:r w:rsidR="00C026A6" w:rsidRPr="00EA59C0">
        <w:rPr>
          <w:rFonts w:ascii="Arial" w:hAnsi="Arial" w:cs="Arial"/>
          <w:b/>
          <w:bCs/>
          <w:sz w:val="22"/>
          <w:szCs w:val="22"/>
        </w:rPr>
        <w:t xml:space="preserve"> </w:t>
      </w:r>
      <w:r w:rsidRPr="00EA59C0">
        <w:rPr>
          <w:rFonts w:ascii="Arial" w:hAnsi="Arial" w:cs="Arial"/>
          <w:b/>
          <w:bCs/>
          <w:sz w:val="22"/>
          <w:szCs w:val="22"/>
        </w:rPr>
        <w:t>Abstract</w:t>
      </w:r>
      <w:r w:rsidR="00C026A6" w:rsidRPr="00EA59C0">
        <w:rPr>
          <w:rFonts w:ascii="Arial" w:hAnsi="Arial" w:cs="Arial"/>
          <w:b/>
          <w:bCs/>
          <w:sz w:val="22"/>
          <w:szCs w:val="22"/>
        </w:rPr>
        <w:t xml:space="preserve"> </w:t>
      </w:r>
      <w:r w:rsidRPr="00EA59C0">
        <w:rPr>
          <w:rFonts w:ascii="Arial" w:hAnsi="Arial" w:cs="Arial"/>
          <w:b/>
          <w:bCs/>
          <w:sz w:val="22"/>
          <w:szCs w:val="22"/>
        </w:rPr>
        <w:t>Recommended</w:t>
      </w:r>
      <w:r w:rsidR="00C026A6" w:rsidRPr="00EA59C0">
        <w:rPr>
          <w:rFonts w:ascii="Arial" w:hAnsi="Arial" w:cs="Arial"/>
          <w:b/>
          <w:bCs/>
          <w:sz w:val="22"/>
          <w:szCs w:val="22"/>
        </w:rPr>
        <w:t xml:space="preserve"> </w:t>
      </w:r>
      <w:r w:rsidRPr="00EA59C0">
        <w:rPr>
          <w:rFonts w:ascii="Arial" w:hAnsi="Arial" w:cs="Arial"/>
          <w:b/>
          <w:bCs/>
          <w:sz w:val="22"/>
          <w:szCs w:val="22"/>
        </w:rPr>
        <w:t>Format</w:t>
      </w:r>
      <w:r w:rsidR="00C026A6" w:rsidRPr="00EA59C0">
        <w:rPr>
          <w:rFonts w:ascii="Arial" w:hAnsi="Arial" w:cs="Arial"/>
          <w:b/>
          <w:bCs/>
          <w:sz w:val="22"/>
          <w:szCs w:val="22"/>
        </w:rPr>
        <w:t xml:space="preserve"> </w:t>
      </w:r>
    </w:p>
    <w:p w:rsidR="00D9326C" w:rsidRPr="00EA59C0" w:rsidRDefault="00D9326C" w:rsidP="00D9326C">
      <w:pPr>
        <w:autoSpaceDE w:val="0"/>
        <w:autoSpaceDN w:val="0"/>
        <w:adjustRightInd w:val="0"/>
        <w:spacing w:line="480" w:lineRule="auto"/>
        <w:ind w:right="-720"/>
        <w:jc w:val="center"/>
        <w:rPr>
          <w:rFonts w:ascii="Arial" w:hAnsi="Arial" w:cs="Arial"/>
          <w:b/>
          <w:sz w:val="22"/>
          <w:szCs w:val="22"/>
        </w:rPr>
      </w:pPr>
      <w:r w:rsidRPr="00EA59C0">
        <w:rPr>
          <w:rFonts w:ascii="Arial" w:hAnsi="Arial" w:cs="Arial"/>
          <w:b/>
          <w:sz w:val="22"/>
          <w:szCs w:val="22"/>
        </w:rPr>
        <w:t>Project</w:t>
      </w:r>
      <w:r w:rsidR="00C026A6" w:rsidRPr="00EA59C0">
        <w:rPr>
          <w:rFonts w:ascii="Arial" w:hAnsi="Arial" w:cs="Arial"/>
          <w:b/>
          <w:sz w:val="22"/>
          <w:szCs w:val="22"/>
        </w:rPr>
        <w:t xml:space="preserve"> </w:t>
      </w:r>
      <w:r w:rsidRPr="00EA59C0">
        <w:rPr>
          <w:rFonts w:ascii="Arial" w:hAnsi="Arial" w:cs="Arial"/>
          <w:b/>
          <w:sz w:val="22"/>
          <w:szCs w:val="22"/>
        </w:rPr>
        <w:t>Abstract</w:t>
      </w:r>
    </w:p>
    <w:p w:rsidR="00D9326C" w:rsidRPr="00EA59C0" w:rsidRDefault="00D9326C" w:rsidP="00D9326C">
      <w:pPr>
        <w:autoSpaceDE w:val="0"/>
        <w:autoSpaceDN w:val="0"/>
        <w:adjustRightInd w:val="0"/>
        <w:spacing w:before="120"/>
        <w:ind w:right="-720"/>
        <w:rPr>
          <w:rFonts w:ascii="Arial" w:hAnsi="Arial" w:cs="Arial"/>
          <w:sz w:val="22"/>
          <w:szCs w:val="22"/>
        </w:rPr>
      </w:pPr>
      <w:r w:rsidRPr="00EA59C0">
        <w:rPr>
          <w:rFonts w:ascii="Arial" w:hAnsi="Arial" w:cs="Arial"/>
          <w:b/>
          <w:sz w:val="22"/>
          <w:szCs w:val="22"/>
        </w:rPr>
        <w:t>1.</w:t>
      </w:r>
      <w:r w:rsidR="00C026A6" w:rsidRPr="00EA59C0">
        <w:rPr>
          <w:rFonts w:ascii="Arial" w:hAnsi="Arial" w:cs="Arial"/>
          <w:b/>
          <w:sz w:val="22"/>
          <w:szCs w:val="22"/>
        </w:rPr>
        <w:t xml:space="preserve">  </w:t>
      </w:r>
      <w:r w:rsidRPr="00EA59C0">
        <w:rPr>
          <w:rFonts w:ascii="Arial" w:hAnsi="Arial" w:cs="Arial"/>
          <w:b/>
          <w:sz w:val="22"/>
          <w:szCs w:val="22"/>
        </w:rPr>
        <w:t>Applicant</w:t>
      </w:r>
      <w:r w:rsidR="00C026A6" w:rsidRPr="00EA59C0">
        <w:rPr>
          <w:rFonts w:ascii="Arial" w:hAnsi="Arial" w:cs="Arial"/>
          <w:b/>
          <w:sz w:val="22"/>
          <w:szCs w:val="22"/>
        </w:rPr>
        <w:t xml:space="preserve"> </w:t>
      </w:r>
      <w:r w:rsidRPr="00EA59C0">
        <w:rPr>
          <w:rFonts w:ascii="Arial" w:hAnsi="Arial" w:cs="Arial"/>
          <w:b/>
          <w:sz w:val="22"/>
          <w:szCs w:val="22"/>
        </w:rPr>
        <w:t>Name</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Anytown</w:t>
      </w:r>
      <w:r w:rsidR="00C026A6" w:rsidRPr="00EA59C0">
        <w:rPr>
          <w:rFonts w:ascii="Arial" w:hAnsi="Arial" w:cs="Arial"/>
          <w:sz w:val="22"/>
          <w:szCs w:val="22"/>
        </w:rPr>
        <w:t xml:space="preserve"> </w:t>
      </w:r>
      <w:r w:rsidRPr="00EA59C0">
        <w:rPr>
          <w:rFonts w:ascii="Arial" w:hAnsi="Arial" w:cs="Arial"/>
          <w:sz w:val="22"/>
          <w:szCs w:val="22"/>
        </w:rPr>
        <w:t>USA</w:t>
      </w:r>
      <w:r w:rsidR="00C026A6" w:rsidRPr="00EA59C0">
        <w:rPr>
          <w:rFonts w:ascii="Arial" w:hAnsi="Arial" w:cs="Arial"/>
          <w:sz w:val="22"/>
          <w:szCs w:val="22"/>
        </w:rPr>
        <w:t xml:space="preserve"> </w:t>
      </w:r>
      <w:r w:rsidRPr="00EA59C0">
        <w:rPr>
          <w:rFonts w:ascii="Arial" w:hAnsi="Arial" w:cs="Arial"/>
          <w:sz w:val="22"/>
          <w:szCs w:val="22"/>
        </w:rPr>
        <w:t>Community</w:t>
      </w:r>
      <w:r w:rsidR="00C026A6" w:rsidRPr="00EA59C0">
        <w:rPr>
          <w:rFonts w:ascii="Arial" w:hAnsi="Arial" w:cs="Arial"/>
          <w:sz w:val="22"/>
          <w:szCs w:val="22"/>
        </w:rPr>
        <w:t xml:space="preserve"> </w:t>
      </w:r>
      <w:r w:rsidRPr="00EA59C0">
        <w:rPr>
          <w:rFonts w:ascii="Arial" w:hAnsi="Arial" w:cs="Arial"/>
          <w:sz w:val="22"/>
          <w:szCs w:val="22"/>
        </w:rPr>
        <w:t>College</w:t>
      </w:r>
      <w:r w:rsidR="00C026A6" w:rsidRPr="00EA59C0">
        <w:rPr>
          <w:rFonts w:ascii="Arial" w:hAnsi="Arial" w:cs="Arial"/>
          <w:sz w:val="22"/>
          <w:szCs w:val="22"/>
        </w:rPr>
        <w:t xml:space="preserve"> </w:t>
      </w:r>
      <w:r w:rsidRPr="00EA59C0">
        <w:rPr>
          <w:rFonts w:ascii="Arial" w:hAnsi="Arial" w:cs="Arial"/>
          <w:sz w:val="22"/>
          <w:szCs w:val="22"/>
        </w:rPr>
        <w:t>(consortium</w:t>
      </w:r>
      <w:r w:rsidR="00C026A6" w:rsidRPr="00EA59C0">
        <w:rPr>
          <w:rFonts w:ascii="Arial" w:hAnsi="Arial" w:cs="Arial"/>
          <w:sz w:val="22"/>
          <w:szCs w:val="22"/>
        </w:rPr>
        <w:t xml:space="preserve"> </w:t>
      </w:r>
      <w:r w:rsidRPr="00EA59C0">
        <w:rPr>
          <w:rFonts w:ascii="Arial" w:hAnsi="Arial" w:cs="Arial"/>
          <w:sz w:val="22"/>
          <w:szCs w:val="22"/>
        </w:rPr>
        <w:t>applicant)</w:t>
      </w:r>
    </w:p>
    <w:p w:rsidR="00D9326C" w:rsidRPr="00EA59C0" w:rsidRDefault="00D9326C" w:rsidP="00D9326C">
      <w:pPr>
        <w:autoSpaceDE w:val="0"/>
        <w:autoSpaceDN w:val="0"/>
        <w:adjustRightInd w:val="0"/>
        <w:spacing w:before="120"/>
        <w:ind w:right="-720"/>
        <w:rPr>
          <w:rFonts w:ascii="Arial" w:hAnsi="Arial" w:cs="Arial"/>
          <w:sz w:val="22"/>
          <w:szCs w:val="22"/>
        </w:rPr>
      </w:pPr>
      <w:r w:rsidRPr="00EA59C0">
        <w:rPr>
          <w:rFonts w:ascii="Arial" w:hAnsi="Arial" w:cs="Arial"/>
          <w:b/>
          <w:sz w:val="22"/>
          <w:szCs w:val="22"/>
        </w:rPr>
        <w:t>2.</w:t>
      </w:r>
      <w:r w:rsidR="00C026A6" w:rsidRPr="00EA59C0">
        <w:rPr>
          <w:rFonts w:ascii="Arial" w:hAnsi="Arial" w:cs="Arial"/>
          <w:b/>
          <w:sz w:val="22"/>
          <w:szCs w:val="22"/>
        </w:rPr>
        <w:t xml:space="preserve">  </w:t>
      </w:r>
      <w:r w:rsidRPr="00EA59C0">
        <w:rPr>
          <w:rFonts w:ascii="Arial" w:hAnsi="Arial" w:cs="Arial"/>
          <w:b/>
          <w:sz w:val="22"/>
          <w:szCs w:val="22"/>
        </w:rPr>
        <w:t>Applicant</w:t>
      </w:r>
      <w:r w:rsidR="00C026A6" w:rsidRPr="00EA59C0">
        <w:rPr>
          <w:rFonts w:ascii="Arial" w:hAnsi="Arial" w:cs="Arial"/>
          <w:b/>
          <w:sz w:val="22"/>
          <w:szCs w:val="22"/>
        </w:rPr>
        <w:t xml:space="preserve"> </w:t>
      </w:r>
      <w:r w:rsidRPr="00EA59C0">
        <w:rPr>
          <w:rFonts w:ascii="Arial" w:hAnsi="Arial" w:cs="Arial"/>
          <w:b/>
          <w:sz w:val="22"/>
          <w:szCs w:val="22"/>
        </w:rPr>
        <w:t>City/State</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Anytown,</w:t>
      </w:r>
      <w:r w:rsidR="00C026A6" w:rsidRPr="00EA59C0">
        <w:rPr>
          <w:rFonts w:ascii="Arial" w:hAnsi="Arial" w:cs="Arial"/>
          <w:sz w:val="22"/>
          <w:szCs w:val="22"/>
        </w:rPr>
        <w:t xml:space="preserve"> </w:t>
      </w:r>
      <w:r w:rsidRPr="00EA59C0">
        <w:rPr>
          <w:rFonts w:ascii="Arial" w:hAnsi="Arial" w:cs="Arial"/>
          <w:sz w:val="22"/>
          <w:szCs w:val="22"/>
        </w:rPr>
        <w:t>Any</w:t>
      </w:r>
      <w:r w:rsidR="00C026A6" w:rsidRPr="00EA59C0">
        <w:rPr>
          <w:rFonts w:ascii="Arial" w:hAnsi="Arial" w:cs="Arial"/>
          <w:sz w:val="22"/>
          <w:szCs w:val="22"/>
        </w:rPr>
        <w:t xml:space="preserve"> </w:t>
      </w:r>
      <w:r w:rsidRPr="00EA59C0">
        <w:rPr>
          <w:rFonts w:ascii="Arial" w:hAnsi="Arial" w:cs="Arial"/>
          <w:sz w:val="22"/>
          <w:szCs w:val="22"/>
        </w:rPr>
        <w:t>State</w:t>
      </w:r>
    </w:p>
    <w:p w:rsidR="00D9326C" w:rsidRPr="00EA59C0" w:rsidRDefault="00D9326C" w:rsidP="00D9326C">
      <w:pPr>
        <w:autoSpaceDE w:val="0"/>
        <w:autoSpaceDN w:val="0"/>
        <w:adjustRightInd w:val="0"/>
        <w:spacing w:before="120"/>
        <w:ind w:right="-720"/>
        <w:rPr>
          <w:rFonts w:ascii="Arial" w:hAnsi="Arial" w:cs="Arial"/>
          <w:sz w:val="22"/>
          <w:szCs w:val="22"/>
        </w:rPr>
      </w:pPr>
      <w:r w:rsidRPr="00EA59C0">
        <w:rPr>
          <w:rFonts w:ascii="Arial" w:hAnsi="Arial" w:cs="Arial"/>
          <w:b/>
          <w:sz w:val="22"/>
          <w:szCs w:val="22"/>
        </w:rPr>
        <w:t>3.</w:t>
      </w:r>
      <w:r w:rsidR="00C026A6" w:rsidRPr="00EA59C0">
        <w:rPr>
          <w:rFonts w:ascii="Arial" w:hAnsi="Arial" w:cs="Arial"/>
          <w:b/>
          <w:sz w:val="22"/>
          <w:szCs w:val="22"/>
        </w:rPr>
        <w:t xml:space="preserve">  </w:t>
      </w:r>
      <w:r w:rsidRPr="00EA59C0">
        <w:rPr>
          <w:rFonts w:ascii="Arial" w:hAnsi="Arial" w:cs="Arial"/>
          <w:b/>
          <w:sz w:val="22"/>
          <w:szCs w:val="22"/>
        </w:rPr>
        <w:t>Consortium</w:t>
      </w:r>
      <w:r w:rsidR="00C026A6" w:rsidRPr="00EA59C0">
        <w:rPr>
          <w:rFonts w:ascii="Arial" w:hAnsi="Arial" w:cs="Arial"/>
          <w:b/>
          <w:sz w:val="22"/>
          <w:szCs w:val="22"/>
        </w:rPr>
        <w:t xml:space="preserve"> </w:t>
      </w:r>
      <w:r w:rsidRPr="00EA59C0">
        <w:rPr>
          <w:rFonts w:ascii="Arial" w:hAnsi="Arial" w:cs="Arial"/>
          <w:b/>
          <w:sz w:val="22"/>
          <w:szCs w:val="22"/>
        </w:rPr>
        <w:t>Member(s)</w:t>
      </w:r>
      <w:r w:rsidR="00C026A6" w:rsidRPr="00EA59C0">
        <w:rPr>
          <w:rFonts w:ascii="Arial" w:hAnsi="Arial" w:cs="Arial"/>
          <w:b/>
          <w:sz w:val="22"/>
          <w:szCs w:val="22"/>
        </w:rPr>
        <w:t xml:space="preserve"> </w:t>
      </w:r>
      <w:r w:rsidRPr="00EA59C0">
        <w:rPr>
          <w:rFonts w:ascii="Arial" w:hAnsi="Arial" w:cs="Arial"/>
          <w:b/>
          <w:sz w:val="22"/>
          <w:szCs w:val="22"/>
        </w:rPr>
        <w:t>and</w:t>
      </w:r>
      <w:r w:rsidR="00C026A6" w:rsidRPr="00EA59C0">
        <w:rPr>
          <w:rFonts w:ascii="Arial" w:hAnsi="Arial" w:cs="Arial"/>
          <w:b/>
          <w:sz w:val="22"/>
          <w:szCs w:val="22"/>
        </w:rPr>
        <w:t xml:space="preserve"> </w:t>
      </w:r>
      <w:r w:rsidRPr="00EA59C0">
        <w:rPr>
          <w:rFonts w:ascii="Arial" w:hAnsi="Arial" w:cs="Arial"/>
          <w:b/>
          <w:sz w:val="22"/>
          <w:szCs w:val="22"/>
        </w:rPr>
        <w:t>Consortium</w:t>
      </w:r>
      <w:r w:rsidR="00C026A6" w:rsidRPr="00EA59C0">
        <w:rPr>
          <w:rFonts w:ascii="Arial" w:hAnsi="Arial" w:cs="Arial"/>
          <w:b/>
          <w:sz w:val="22"/>
          <w:szCs w:val="22"/>
        </w:rPr>
        <w:t xml:space="preserve"> </w:t>
      </w:r>
      <w:r w:rsidRPr="00EA59C0">
        <w:rPr>
          <w:rFonts w:ascii="Arial" w:hAnsi="Arial" w:cs="Arial"/>
          <w:b/>
          <w:sz w:val="22"/>
          <w:szCs w:val="22"/>
        </w:rPr>
        <w:t>Member</w:t>
      </w:r>
      <w:r w:rsidR="00C026A6" w:rsidRPr="00EA59C0">
        <w:rPr>
          <w:rFonts w:ascii="Arial" w:hAnsi="Arial" w:cs="Arial"/>
          <w:b/>
          <w:sz w:val="22"/>
          <w:szCs w:val="22"/>
        </w:rPr>
        <w:t xml:space="preserve"> </w:t>
      </w:r>
      <w:r w:rsidRPr="00EA59C0">
        <w:rPr>
          <w:rFonts w:ascii="Arial" w:hAnsi="Arial" w:cs="Arial"/>
          <w:b/>
          <w:sz w:val="22"/>
          <w:szCs w:val="22"/>
        </w:rPr>
        <w:t>State(s)</w:t>
      </w:r>
      <w:r w:rsidRPr="00EA59C0">
        <w:rPr>
          <w:rFonts w:ascii="Arial" w:hAnsi="Arial" w:cs="Arial"/>
          <w:sz w:val="22"/>
          <w:szCs w:val="22"/>
        </w:rPr>
        <w:t>:</w:t>
      </w:r>
    </w:p>
    <w:p w:rsidR="00D9326C" w:rsidRPr="00EA59C0" w:rsidRDefault="00D9326C" w:rsidP="00080097">
      <w:pPr>
        <w:numPr>
          <w:ilvl w:val="0"/>
          <w:numId w:val="41"/>
        </w:numPr>
        <w:autoSpaceDE w:val="0"/>
        <w:autoSpaceDN w:val="0"/>
        <w:adjustRightInd w:val="0"/>
        <w:spacing w:before="120"/>
        <w:ind w:right="-720"/>
        <w:rPr>
          <w:rFonts w:ascii="Arial" w:hAnsi="Arial" w:cs="Arial"/>
          <w:sz w:val="22"/>
          <w:szCs w:val="22"/>
        </w:rPr>
      </w:pPr>
      <w:r w:rsidRPr="00EA59C0">
        <w:rPr>
          <w:rFonts w:ascii="Arial" w:hAnsi="Arial" w:cs="Arial"/>
          <w:sz w:val="22"/>
          <w:szCs w:val="22"/>
        </w:rPr>
        <w:t>Jane</w:t>
      </w:r>
      <w:r w:rsidR="00C026A6" w:rsidRPr="00EA59C0">
        <w:rPr>
          <w:rFonts w:ascii="Arial" w:hAnsi="Arial" w:cs="Arial"/>
          <w:sz w:val="22"/>
          <w:szCs w:val="22"/>
        </w:rPr>
        <w:t xml:space="preserve"> </w:t>
      </w:r>
      <w:r w:rsidRPr="00EA59C0">
        <w:rPr>
          <w:rFonts w:ascii="Arial" w:hAnsi="Arial" w:cs="Arial"/>
          <w:sz w:val="22"/>
          <w:szCs w:val="22"/>
        </w:rPr>
        <w:t>Doe</w:t>
      </w:r>
      <w:r w:rsidR="00C026A6" w:rsidRPr="00EA59C0">
        <w:rPr>
          <w:rFonts w:ascii="Arial" w:hAnsi="Arial" w:cs="Arial"/>
          <w:sz w:val="22"/>
          <w:szCs w:val="22"/>
        </w:rPr>
        <w:t xml:space="preserve"> </w:t>
      </w:r>
      <w:r w:rsidRPr="00EA59C0">
        <w:rPr>
          <w:rFonts w:ascii="Arial" w:hAnsi="Arial" w:cs="Arial"/>
          <w:sz w:val="22"/>
          <w:szCs w:val="22"/>
        </w:rPr>
        <w:t>Community</w:t>
      </w:r>
      <w:r w:rsidR="00C026A6" w:rsidRPr="00EA59C0">
        <w:rPr>
          <w:rFonts w:ascii="Arial" w:hAnsi="Arial" w:cs="Arial"/>
          <w:sz w:val="22"/>
          <w:szCs w:val="22"/>
        </w:rPr>
        <w:t xml:space="preserve"> </w:t>
      </w:r>
      <w:r w:rsidRPr="00EA59C0">
        <w:rPr>
          <w:rFonts w:ascii="Arial" w:hAnsi="Arial" w:cs="Arial"/>
          <w:sz w:val="22"/>
          <w:szCs w:val="22"/>
        </w:rPr>
        <w:t>College;</w:t>
      </w:r>
      <w:r w:rsidR="00C026A6" w:rsidRPr="00EA59C0">
        <w:rPr>
          <w:rFonts w:ascii="Arial" w:hAnsi="Arial" w:cs="Arial"/>
          <w:sz w:val="22"/>
          <w:szCs w:val="22"/>
        </w:rPr>
        <w:t xml:space="preserve"> </w:t>
      </w:r>
      <w:r w:rsidRPr="00EA59C0">
        <w:rPr>
          <w:rFonts w:ascii="Arial" w:hAnsi="Arial" w:cs="Arial"/>
          <w:sz w:val="22"/>
          <w:szCs w:val="22"/>
        </w:rPr>
        <w:t>Differentown,</w:t>
      </w:r>
      <w:r w:rsidR="00C026A6" w:rsidRPr="00EA59C0">
        <w:rPr>
          <w:rFonts w:ascii="Arial" w:hAnsi="Arial" w:cs="Arial"/>
          <w:sz w:val="22"/>
          <w:szCs w:val="22"/>
        </w:rPr>
        <w:t xml:space="preserve"> </w:t>
      </w:r>
      <w:r w:rsidRPr="00EA59C0">
        <w:rPr>
          <w:rFonts w:ascii="Arial" w:hAnsi="Arial" w:cs="Arial"/>
          <w:sz w:val="22"/>
          <w:szCs w:val="22"/>
        </w:rPr>
        <w:t>Different</w:t>
      </w:r>
      <w:r w:rsidR="00C026A6" w:rsidRPr="00EA59C0">
        <w:rPr>
          <w:rFonts w:ascii="Arial" w:hAnsi="Arial" w:cs="Arial"/>
          <w:sz w:val="22"/>
          <w:szCs w:val="22"/>
        </w:rPr>
        <w:t xml:space="preserve"> </w:t>
      </w:r>
      <w:r w:rsidRPr="00EA59C0">
        <w:rPr>
          <w:rFonts w:ascii="Arial" w:hAnsi="Arial" w:cs="Arial"/>
          <w:sz w:val="22"/>
          <w:szCs w:val="22"/>
        </w:rPr>
        <w:t>State</w:t>
      </w:r>
    </w:p>
    <w:p w:rsidR="00D9326C" w:rsidRPr="00EA59C0" w:rsidRDefault="00D9326C" w:rsidP="00080097">
      <w:pPr>
        <w:numPr>
          <w:ilvl w:val="0"/>
          <w:numId w:val="41"/>
        </w:numPr>
        <w:autoSpaceDE w:val="0"/>
        <w:autoSpaceDN w:val="0"/>
        <w:adjustRightInd w:val="0"/>
        <w:spacing w:before="120"/>
        <w:ind w:right="-720"/>
        <w:rPr>
          <w:rFonts w:ascii="Arial" w:hAnsi="Arial" w:cs="Arial"/>
          <w:sz w:val="22"/>
          <w:szCs w:val="22"/>
        </w:rPr>
      </w:pPr>
      <w:r w:rsidRPr="00EA59C0">
        <w:rPr>
          <w:rFonts w:ascii="Arial" w:hAnsi="Arial" w:cs="Arial"/>
          <w:sz w:val="22"/>
          <w:szCs w:val="22"/>
        </w:rPr>
        <w:t>John</w:t>
      </w:r>
      <w:r w:rsidR="00C026A6" w:rsidRPr="00EA59C0">
        <w:rPr>
          <w:rFonts w:ascii="Arial" w:hAnsi="Arial" w:cs="Arial"/>
          <w:sz w:val="22"/>
          <w:szCs w:val="22"/>
        </w:rPr>
        <w:t xml:space="preserve"> </w:t>
      </w:r>
      <w:r w:rsidRPr="00EA59C0">
        <w:rPr>
          <w:rFonts w:ascii="Arial" w:hAnsi="Arial" w:cs="Arial"/>
          <w:sz w:val="22"/>
          <w:szCs w:val="22"/>
        </w:rPr>
        <w:t>Doe</w:t>
      </w:r>
      <w:r w:rsidR="00C026A6" w:rsidRPr="00EA59C0">
        <w:rPr>
          <w:rFonts w:ascii="Arial" w:hAnsi="Arial" w:cs="Arial"/>
          <w:sz w:val="22"/>
          <w:szCs w:val="22"/>
        </w:rPr>
        <w:t xml:space="preserve"> </w:t>
      </w:r>
      <w:r w:rsidRPr="00EA59C0">
        <w:rPr>
          <w:rFonts w:ascii="Arial" w:hAnsi="Arial" w:cs="Arial"/>
          <w:sz w:val="22"/>
          <w:szCs w:val="22"/>
        </w:rPr>
        <w:t>University;</w:t>
      </w:r>
      <w:r w:rsidR="00C026A6" w:rsidRPr="00EA59C0">
        <w:rPr>
          <w:rFonts w:ascii="Arial" w:hAnsi="Arial" w:cs="Arial"/>
          <w:sz w:val="22"/>
          <w:szCs w:val="22"/>
        </w:rPr>
        <w:t xml:space="preserve"> </w:t>
      </w:r>
      <w:r w:rsidRPr="00EA59C0">
        <w:rPr>
          <w:rFonts w:ascii="Arial" w:hAnsi="Arial" w:cs="Arial"/>
          <w:sz w:val="22"/>
          <w:szCs w:val="22"/>
        </w:rPr>
        <w:t>Anothertown,</w:t>
      </w:r>
      <w:r w:rsidR="00C026A6" w:rsidRPr="00EA59C0">
        <w:rPr>
          <w:rFonts w:ascii="Arial" w:hAnsi="Arial" w:cs="Arial"/>
          <w:sz w:val="22"/>
          <w:szCs w:val="22"/>
        </w:rPr>
        <w:t xml:space="preserve"> </w:t>
      </w:r>
      <w:r w:rsidRPr="00EA59C0">
        <w:rPr>
          <w:rFonts w:ascii="Arial" w:hAnsi="Arial" w:cs="Arial"/>
          <w:sz w:val="22"/>
          <w:szCs w:val="22"/>
        </w:rPr>
        <w:t>Another</w:t>
      </w:r>
      <w:r w:rsidR="00C026A6" w:rsidRPr="00EA59C0">
        <w:rPr>
          <w:rFonts w:ascii="Arial" w:hAnsi="Arial" w:cs="Arial"/>
          <w:sz w:val="22"/>
          <w:szCs w:val="22"/>
        </w:rPr>
        <w:t xml:space="preserve"> </w:t>
      </w:r>
      <w:r w:rsidRPr="00EA59C0">
        <w:rPr>
          <w:rFonts w:ascii="Arial" w:hAnsi="Arial" w:cs="Arial"/>
          <w:sz w:val="22"/>
          <w:szCs w:val="22"/>
        </w:rPr>
        <w:t>State</w:t>
      </w:r>
    </w:p>
    <w:p w:rsidR="00D9326C" w:rsidRPr="00EA59C0" w:rsidRDefault="00D9326C" w:rsidP="00D9326C">
      <w:pPr>
        <w:autoSpaceDE w:val="0"/>
        <w:autoSpaceDN w:val="0"/>
        <w:adjustRightInd w:val="0"/>
        <w:spacing w:before="120"/>
        <w:ind w:right="-720"/>
        <w:rPr>
          <w:rFonts w:ascii="Arial" w:hAnsi="Arial" w:cs="Arial"/>
          <w:sz w:val="22"/>
          <w:szCs w:val="22"/>
        </w:rPr>
      </w:pPr>
      <w:r w:rsidRPr="00EA59C0">
        <w:rPr>
          <w:rFonts w:ascii="Arial" w:hAnsi="Arial" w:cs="Arial"/>
          <w:b/>
          <w:sz w:val="22"/>
          <w:szCs w:val="22"/>
        </w:rPr>
        <w:t>4.</w:t>
      </w:r>
      <w:r w:rsidR="00C026A6" w:rsidRPr="00EA59C0">
        <w:rPr>
          <w:rFonts w:ascii="Arial" w:hAnsi="Arial" w:cs="Arial"/>
          <w:b/>
          <w:sz w:val="22"/>
          <w:szCs w:val="22"/>
        </w:rPr>
        <w:t xml:space="preserve">  </w:t>
      </w:r>
      <w:r w:rsidRPr="00EA59C0">
        <w:rPr>
          <w:rFonts w:ascii="Arial" w:hAnsi="Arial" w:cs="Arial"/>
          <w:b/>
          <w:sz w:val="22"/>
          <w:szCs w:val="22"/>
        </w:rPr>
        <w:t>Areas</w:t>
      </w:r>
      <w:r w:rsidR="00C026A6" w:rsidRPr="00EA59C0">
        <w:rPr>
          <w:rFonts w:ascii="Arial" w:hAnsi="Arial" w:cs="Arial"/>
          <w:b/>
          <w:sz w:val="22"/>
          <w:szCs w:val="22"/>
        </w:rPr>
        <w:t xml:space="preserve"> </w:t>
      </w:r>
      <w:r w:rsidRPr="00EA59C0">
        <w:rPr>
          <w:rFonts w:ascii="Arial" w:hAnsi="Arial" w:cs="Arial"/>
          <w:b/>
          <w:sz w:val="22"/>
          <w:szCs w:val="22"/>
        </w:rPr>
        <w:t>Served</w:t>
      </w:r>
      <w:r w:rsidR="00C026A6" w:rsidRPr="00EA59C0">
        <w:rPr>
          <w:rFonts w:ascii="Arial" w:hAnsi="Arial" w:cs="Arial"/>
          <w:b/>
          <w:sz w:val="22"/>
          <w:szCs w:val="22"/>
        </w:rPr>
        <w:t xml:space="preserve"> </w:t>
      </w:r>
      <w:r w:rsidRPr="00EA59C0">
        <w:rPr>
          <w:rFonts w:ascii="Arial" w:hAnsi="Arial" w:cs="Arial"/>
          <w:b/>
          <w:sz w:val="22"/>
          <w:szCs w:val="22"/>
        </w:rPr>
        <w:t>by</w:t>
      </w:r>
      <w:r w:rsidR="00C026A6" w:rsidRPr="00EA59C0">
        <w:rPr>
          <w:rFonts w:ascii="Arial" w:hAnsi="Arial" w:cs="Arial"/>
          <w:b/>
          <w:sz w:val="22"/>
          <w:szCs w:val="22"/>
        </w:rPr>
        <w:t xml:space="preserve"> </w:t>
      </w:r>
      <w:r w:rsidRPr="00EA59C0">
        <w:rPr>
          <w:rFonts w:ascii="Arial" w:hAnsi="Arial" w:cs="Arial"/>
          <w:b/>
          <w:sz w:val="22"/>
          <w:szCs w:val="22"/>
        </w:rPr>
        <w:t>Grant</w:t>
      </w:r>
      <w:r w:rsidR="00C026A6" w:rsidRPr="00EA59C0">
        <w:rPr>
          <w:rFonts w:ascii="Arial" w:hAnsi="Arial" w:cs="Arial"/>
          <w:b/>
          <w:sz w:val="22"/>
          <w:szCs w:val="22"/>
        </w:rPr>
        <w:t xml:space="preserve"> </w:t>
      </w:r>
      <w:r w:rsidRPr="00EA59C0">
        <w:rPr>
          <w:rFonts w:ascii="Arial" w:hAnsi="Arial" w:cs="Arial"/>
          <w:b/>
          <w:sz w:val="22"/>
          <w:szCs w:val="22"/>
        </w:rPr>
        <w:t>(by</w:t>
      </w:r>
      <w:r w:rsidR="00C026A6" w:rsidRPr="00EA59C0">
        <w:rPr>
          <w:rFonts w:ascii="Arial" w:hAnsi="Arial" w:cs="Arial"/>
          <w:b/>
          <w:sz w:val="22"/>
          <w:szCs w:val="22"/>
        </w:rPr>
        <w:t xml:space="preserve"> </w:t>
      </w:r>
      <w:r w:rsidRPr="00EA59C0">
        <w:rPr>
          <w:rFonts w:ascii="Arial" w:hAnsi="Arial" w:cs="Arial"/>
          <w:b/>
          <w:sz w:val="22"/>
          <w:szCs w:val="22"/>
        </w:rPr>
        <w:t>city,</w:t>
      </w:r>
      <w:r w:rsidR="00C026A6" w:rsidRPr="00EA59C0">
        <w:rPr>
          <w:rFonts w:ascii="Arial" w:hAnsi="Arial" w:cs="Arial"/>
          <w:b/>
          <w:sz w:val="22"/>
          <w:szCs w:val="22"/>
        </w:rPr>
        <w:t xml:space="preserve"> </w:t>
      </w:r>
      <w:r w:rsidRPr="00EA59C0">
        <w:rPr>
          <w:rFonts w:ascii="Arial" w:hAnsi="Arial" w:cs="Arial"/>
          <w:b/>
          <w:sz w:val="22"/>
          <w:szCs w:val="22"/>
        </w:rPr>
        <w:t>county,</w:t>
      </w:r>
      <w:r w:rsidR="00C026A6" w:rsidRPr="00EA59C0">
        <w:rPr>
          <w:rFonts w:ascii="Arial" w:hAnsi="Arial" w:cs="Arial"/>
          <w:b/>
          <w:sz w:val="22"/>
          <w:szCs w:val="22"/>
        </w:rPr>
        <w:t xml:space="preserve"> </w:t>
      </w:r>
      <w:r w:rsidRPr="00EA59C0">
        <w:rPr>
          <w:rFonts w:ascii="Arial" w:hAnsi="Arial" w:cs="Arial"/>
          <w:b/>
          <w:sz w:val="22"/>
          <w:szCs w:val="22"/>
        </w:rPr>
        <w:t>and</w:t>
      </w:r>
      <w:r w:rsidR="00C026A6" w:rsidRPr="00EA59C0">
        <w:rPr>
          <w:rFonts w:ascii="Arial" w:hAnsi="Arial" w:cs="Arial"/>
          <w:b/>
          <w:sz w:val="22"/>
          <w:szCs w:val="22"/>
        </w:rPr>
        <w:t xml:space="preserve"> </w:t>
      </w:r>
      <w:r w:rsidRPr="00EA59C0">
        <w:rPr>
          <w:rFonts w:ascii="Arial" w:hAnsi="Arial" w:cs="Arial"/>
          <w:b/>
          <w:sz w:val="22"/>
          <w:szCs w:val="22"/>
        </w:rPr>
        <w:t>state)</w:t>
      </w:r>
      <w:r w:rsidRPr="00EA59C0">
        <w:rPr>
          <w:rFonts w:ascii="Arial" w:hAnsi="Arial" w:cs="Arial"/>
          <w:sz w:val="22"/>
          <w:szCs w:val="22"/>
        </w:rPr>
        <w:t>:</w:t>
      </w:r>
    </w:p>
    <w:p w:rsidR="00D9326C" w:rsidRPr="00EA59C0" w:rsidRDefault="00D9326C" w:rsidP="00080097">
      <w:pPr>
        <w:numPr>
          <w:ilvl w:val="0"/>
          <w:numId w:val="42"/>
        </w:numPr>
        <w:autoSpaceDE w:val="0"/>
        <w:autoSpaceDN w:val="0"/>
        <w:adjustRightInd w:val="0"/>
        <w:spacing w:before="120"/>
        <w:ind w:right="-720"/>
        <w:rPr>
          <w:rFonts w:ascii="Arial" w:hAnsi="Arial" w:cs="Arial"/>
          <w:sz w:val="22"/>
          <w:szCs w:val="22"/>
        </w:rPr>
      </w:pPr>
      <w:r w:rsidRPr="00EA59C0">
        <w:rPr>
          <w:rFonts w:ascii="Arial" w:hAnsi="Arial" w:cs="Arial"/>
          <w:b/>
          <w:sz w:val="22"/>
          <w:szCs w:val="22"/>
        </w:rPr>
        <w:t>State</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Any</w:t>
      </w:r>
      <w:r w:rsidR="00C026A6" w:rsidRPr="00EA59C0">
        <w:rPr>
          <w:rFonts w:ascii="Arial" w:hAnsi="Arial" w:cs="Arial"/>
          <w:sz w:val="22"/>
          <w:szCs w:val="22"/>
        </w:rPr>
        <w:t xml:space="preserve"> </w:t>
      </w:r>
      <w:r w:rsidRPr="00EA59C0">
        <w:rPr>
          <w:rFonts w:ascii="Arial" w:hAnsi="Arial" w:cs="Arial"/>
          <w:sz w:val="22"/>
          <w:szCs w:val="22"/>
        </w:rPr>
        <w:t>State.</w:t>
      </w:r>
      <w:r w:rsidR="00C026A6" w:rsidRPr="00EA59C0">
        <w:rPr>
          <w:rFonts w:ascii="Arial" w:hAnsi="Arial" w:cs="Arial"/>
          <w:sz w:val="22"/>
          <w:szCs w:val="22"/>
        </w:rPr>
        <w:t xml:space="preserve">  </w:t>
      </w:r>
      <w:r w:rsidRPr="00EA59C0">
        <w:rPr>
          <w:rFonts w:ascii="Arial" w:hAnsi="Arial" w:cs="Arial"/>
          <w:b/>
          <w:sz w:val="22"/>
          <w:szCs w:val="22"/>
        </w:rPr>
        <w:t>Counties</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Any</w:t>
      </w:r>
      <w:r w:rsidR="00C026A6" w:rsidRPr="00EA59C0">
        <w:rPr>
          <w:rFonts w:ascii="Arial" w:hAnsi="Arial" w:cs="Arial"/>
          <w:sz w:val="22"/>
          <w:szCs w:val="22"/>
        </w:rPr>
        <w:t xml:space="preserve"> </w:t>
      </w:r>
      <w:r w:rsidRPr="00EA59C0">
        <w:rPr>
          <w:rFonts w:ascii="Arial" w:hAnsi="Arial" w:cs="Arial"/>
          <w:sz w:val="22"/>
          <w:szCs w:val="22"/>
        </w:rPr>
        <w:t>County,</w:t>
      </w:r>
      <w:r w:rsidR="00C026A6" w:rsidRPr="00EA59C0">
        <w:rPr>
          <w:rFonts w:ascii="Arial" w:hAnsi="Arial" w:cs="Arial"/>
          <w:sz w:val="22"/>
          <w:szCs w:val="22"/>
        </w:rPr>
        <w:t xml:space="preserve"> </w:t>
      </w:r>
      <w:r w:rsidRPr="00EA59C0">
        <w:rPr>
          <w:rFonts w:ascii="Arial" w:hAnsi="Arial" w:cs="Arial"/>
          <w:sz w:val="22"/>
          <w:szCs w:val="22"/>
        </w:rPr>
        <w:t>Any</w:t>
      </w:r>
      <w:r w:rsidR="00C026A6" w:rsidRPr="00EA59C0">
        <w:rPr>
          <w:rFonts w:ascii="Arial" w:hAnsi="Arial" w:cs="Arial"/>
          <w:sz w:val="22"/>
          <w:szCs w:val="22"/>
        </w:rPr>
        <w:t xml:space="preserve"> </w:t>
      </w:r>
      <w:r w:rsidRPr="00EA59C0">
        <w:rPr>
          <w:rFonts w:ascii="Arial" w:hAnsi="Arial" w:cs="Arial"/>
          <w:sz w:val="22"/>
          <w:szCs w:val="22"/>
        </w:rPr>
        <w:t>Other</w:t>
      </w:r>
      <w:r w:rsidR="00C026A6" w:rsidRPr="00EA59C0">
        <w:rPr>
          <w:rFonts w:ascii="Arial" w:hAnsi="Arial" w:cs="Arial"/>
          <w:sz w:val="22"/>
          <w:szCs w:val="22"/>
        </w:rPr>
        <w:t xml:space="preserve"> </w:t>
      </w:r>
      <w:r w:rsidRPr="00EA59C0">
        <w:rPr>
          <w:rFonts w:ascii="Arial" w:hAnsi="Arial" w:cs="Arial"/>
          <w:sz w:val="22"/>
          <w:szCs w:val="22"/>
        </w:rPr>
        <w:t>County,</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Yet</w:t>
      </w:r>
      <w:r w:rsidR="00C026A6" w:rsidRPr="00EA59C0">
        <w:rPr>
          <w:rFonts w:ascii="Arial" w:hAnsi="Arial" w:cs="Arial"/>
          <w:sz w:val="22"/>
          <w:szCs w:val="22"/>
        </w:rPr>
        <w:t xml:space="preserve"> </w:t>
      </w:r>
      <w:r w:rsidRPr="00EA59C0">
        <w:rPr>
          <w:rFonts w:ascii="Arial" w:hAnsi="Arial" w:cs="Arial"/>
          <w:sz w:val="22"/>
          <w:szCs w:val="22"/>
        </w:rPr>
        <w:t>Another</w:t>
      </w:r>
      <w:r w:rsidR="00C026A6" w:rsidRPr="00EA59C0">
        <w:rPr>
          <w:rFonts w:ascii="Arial" w:hAnsi="Arial" w:cs="Arial"/>
          <w:sz w:val="22"/>
          <w:szCs w:val="22"/>
        </w:rPr>
        <w:t xml:space="preserve"> </w:t>
      </w:r>
      <w:r w:rsidRPr="00EA59C0">
        <w:rPr>
          <w:rFonts w:ascii="Arial" w:hAnsi="Arial" w:cs="Arial"/>
          <w:sz w:val="22"/>
          <w:szCs w:val="22"/>
        </w:rPr>
        <w:t>County.</w:t>
      </w:r>
      <w:r w:rsidR="00C026A6" w:rsidRPr="00EA59C0">
        <w:rPr>
          <w:rFonts w:ascii="Arial" w:hAnsi="Arial" w:cs="Arial"/>
          <w:sz w:val="22"/>
          <w:szCs w:val="22"/>
        </w:rPr>
        <w:t xml:space="preserve">  </w:t>
      </w:r>
      <w:r w:rsidRPr="00EA59C0">
        <w:rPr>
          <w:rFonts w:ascii="Arial" w:hAnsi="Arial" w:cs="Arial"/>
          <w:b/>
          <w:sz w:val="22"/>
          <w:szCs w:val="22"/>
        </w:rPr>
        <w:t>Cities</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Anytown,</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Town</w:t>
      </w:r>
      <w:r w:rsidR="00C026A6" w:rsidRPr="00EA59C0">
        <w:rPr>
          <w:rFonts w:ascii="Arial" w:hAnsi="Arial" w:cs="Arial"/>
          <w:sz w:val="22"/>
          <w:szCs w:val="22"/>
        </w:rPr>
        <w:t xml:space="preserve"> </w:t>
      </w:r>
      <w:r w:rsidRPr="00EA59C0">
        <w:rPr>
          <w:rFonts w:ascii="Arial" w:hAnsi="Arial" w:cs="Arial"/>
          <w:sz w:val="22"/>
          <w:szCs w:val="22"/>
        </w:rPr>
        <w:t>Next</w:t>
      </w:r>
      <w:r w:rsidR="00C026A6" w:rsidRPr="00EA59C0">
        <w:rPr>
          <w:rFonts w:ascii="Arial" w:hAnsi="Arial" w:cs="Arial"/>
          <w:sz w:val="22"/>
          <w:szCs w:val="22"/>
        </w:rPr>
        <w:t xml:space="preserve"> </w:t>
      </w:r>
      <w:r w:rsidRPr="00EA59C0">
        <w:rPr>
          <w:rFonts w:ascii="Arial" w:hAnsi="Arial" w:cs="Arial"/>
          <w:sz w:val="22"/>
          <w:szCs w:val="22"/>
        </w:rPr>
        <w:t>Door,</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Town</w:t>
      </w:r>
      <w:r w:rsidR="00C026A6" w:rsidRPr="00EA59C0">
        <w:rPr>
          <w:rFonts w:ascii="Arial" w:hAnsi="Arial" w:cs="Arial"/>
          <w:sz w:val="22"/>
          <w:szCs w:val="22"/>
        </w:rPr>
        <w:t xml:space="preserve"> </w:t>
      </w:r>
      <w:r w:rsidRPr="00EA59C0">
        <w:rPr>
          <w:rFonts w:ascii="Arial" w:hAnsi="Arial" w:cs="Arial"/>
          <w:sz w:val="22"/>
          <w:szCs w:val="22"/>
        </w:rPr>
        <w:t>Up</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Road.</w:t>
      </w:r>
    </w:p>
    <w:p w:rsidR="00D9326C" w:rsidRPr="00EA59C0" w:rsidRDefault="00D9326C" w:rsidP="00080097">
      <w:pPr>
        <w:numPr>
          <w:ilvl w:val="0"/>
          <w:numId w:val="42"/>
        </w:numPr>
        <w:autoSpaceDE w:val="0"/>
        <w:autoSpaceDN w:val="0"/>
        <w:adjustRightInd w:val="0"/>
        <w:spacing w:before="120"/>
        <w:ind w:right="-720"/>
        <w:rPr>
          <w:rFonts w:ascii="Arial" w:hAnsi="Arial" w:cs="Arial"/>
          <w:sz w:val="22"/>
          <w:szCs w:val="22"/>
        </w:rPr>
      </w:pPr>
      <w:r w:rsidRPr="00EA59C0">
        <w:rPr>
          <w:rFonts w:ascii="Arial" w:hAnsi="Arial" w:cs="Arial"/>
          <w:b/>
          <w:sz w:val="22"/>
          <w:szCs w:val="22"/>
        </w:rPr>
        <w:t>State</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Different</w:t>
      </w:r>
      <w:r w:rsidR="00C026A6" w:rsidRPr="00EA59C0">
        <w:rPr>
          <w:rFonts w:ascii="Arial" w:hAnsi="Arial" w:cs="Arial"/>
          <w:sz w:val="22"/>
          <w:szCs w:val="22"/>
        </w:rPr>
        <w:t xml:space="preserve"> </w:t>
      </w:r>
      <w:r w:rsidRPr="00EA59C0">
        <w:rPr>
          <w:rFonts w:ascii="Arial" w:hAnsi="Arial" w:cs="Arial"/>
          <w:sz w:val="22"/>
          <w:szCs w:val="22"/>
        </w:rPr>
        <w:t>Sate.</w:t>
      </w:r>
      <w:r w:rsidR="00C026A6" w:rsidRPr="00EA59C0">
        <w:rPr>
          <w:rFonts w:ascii="Arial" w:hAnsi="Arial" w:cs="Arial"/>
          <w:sz w:val="22"/>
          <w:szCs w:val="22"/>
        </w:rPr>
        <w:t xml:space="preserve">  </w:t>
      </w:r>
      <w:r w:rsidRPr="00EA59C0">
        <w:rPr>
          <w:rFonts w:ascii="Arial" w:hAnsi="Arial" w:cs="Arial"/>
          <w:b/>
          <w:sz w:val="22"/>
          <w:szCs w:val="22"/>
        </w:rPr>
        <w:t>Counties</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Different</w:t>
      </w:r>
      <w:r w:rsidR="00C026A6" w:rsidRPr="00EA59C0">
        <w:rPr>
          <w:rFonts w:ascii="Arial" w:hAnsi="Arial" w:cs="Arial"/>
          <w:sz w:val="22"/>
          <w:szCs w:val="22"/>
        </w:rPr>
        <w:t xml:space="preserve"> </w:t>
      </w:r>
      <w:r w:rsidRPr="00EA59C0">
        <w:rPr>
          <w:rFonts w:ascii="Arial" w:hAnsi="Arial" w:cs="Arial"/>
          <w:sz w:val="22"/>
          <w:szCs w:val="22"/>
        </w:rPr>
        <w:t>County,</w:t>
      </w:r>
      <w:r w:rsidR="00C026A6" w:rsidRPr="00EA59C0">
        <w:rPr>
          <w:rFonts w:ascii="Arial" w:hAnsi="Arial" w:cs="Arial"/>
          <w:sz w:val="22"/>
          <w:szCs w:val="22"/>
        </w:rPr>
        <w:t xml:space="preserve"> </w:t>
      </w:r>
      <w:r w:rsidRPr="00EA59C0">
        <w:rPr>
          <w:rFonts w:ascii="Arial" w:hAnsi="Arial" w:cs="Arial"/>
          <w:sz w:val="22"/>
          <w:szCs w:val="22"/>
        </w:rPr>
        <w:t>Same</w:t>
      </w:r>
      <w:r w:rsidR="00C026A6" w:rsidRPr="00EA59C0">
        <w:rPr>
          <w:rFonts w:ascii="Arial" w:hAnsi="Arial" w:cs="Arial"/>
          <w:sz w:val="22"/>
          <w:szCs w:val="22"/>
        </w:rPr>
        <w:t xml:space="preserve"> </w:t>
      </w:r>
      <w:r w:rsidRPr="00EA59C0">
        <w:rPr>
          <w:rFonts w:ascii="Arial" w:hAnsi="Arial" w:cs="Arial"/>
          <w:sz w:val="22"/>
          <w:szCs w:val="22"/>
        </w:rPr>
        <w:t>County.</w:t>
      </w:r>
      <w:r w:rsidR="00C026A6" w:rsidRPr="00EA59C0">
        <w:rPr>
          <w:rFonts w:ascii="Arial" w:hAnsi="Arial" w:cs="Arial"/>
          <w:sz w:val="22"/>
          <w:szCs w:val="22"/>
        </w:rPr>
        <w:t xml:space="preserve">  </w:t>
      </w:r>
      <w:r w:rsidRPr="00EA59C0">
        <w:rPr>
          <w:rFonts w:ascii="Arial" w:hAnsi="Arial" w:cs="Arial"/>
          <w:b/>
          <w:sz w:val="22"/>
          <w:szCs w:val="22"/>
        </w:rPr>
        <w:t>Cities</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Differentown,</w:t>
      </w:r>
      <w:r w:rsidR="00C026A6" w:rsidRPr="00EA59C0">
        <w:rPr>
          <w:rFonts w:ascii="Arial" w:hAnsi="Arial" w:cs="Arial"/>
          <w:sz w:val="22"/>
          <w:szCs w:val="22"/>
        </w:rPr>
        <w:t xml:space="preserve"> </w:t>
      </w:r>
      <w:r w:rsidRPr="00EA59C0">
        <w:rPr>
          <w:rFonts w:ascii="Arial" w:hAnsi="Arial" w:cs="Arial"/>
          <w:sz w:val="22"/>
          <w:szCs w:val="22"/>
        </w:rPr>
        <w:t>Othertown.</w:t>
      </w:r>
    </w:p>
    <w:p w:rsidR="00D9326C" w:rsidRPr="00EA59C0" w:rsidRDefault="00D9326C" w:rsidP="00080097">
      <w:pPr>
        <w:numPr>
          <w:ilvl w:val="0"/>
          <w:numId w:val="42"/>
        </w:numPr>
        <w:autoSpaceDE w:val="0"/>
        <w:autoSpaceDN w:val="0"/>
        <w:adjustRightInd w:val="0"/>
        <w:spacing w:before="120"/>
        <w:ind w:right="-720"/>
        <w:rPr>
          <w:rFonts w:ascii="Arial" w:hAnsi="Arial" w:cs="Arial"/>
          <w:sz w:val="22"/>
          <w:szCs w:val="22"/>
        </w:rPr>
      </w:pPr>
      <w:r w:rsidRPr="00EA59C0">
        <w:rPr>
          <w:rFonts w:ascii="Arial" w:hAnsi="Arial" w:cs="Arial"/>
          <w:b/>
          <w:sz w:val="22"/>
          <w:szCs w:val="22"/>
        </w:rPr>
        <w:t>State</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Another</w:t>
      </w:r>
      <w:r w:rsidR="00C026A6" w:rsidRPr="00EA59C0">
        <w:rPr>
          <w:rFonts w:ascii="Arial" w:hAnsi="Arial" w:cs="Arial"/>
          <w:sz w:val="22"/>
          <w:szCs w:val="22"/>
        </w:rPr>
        <w:t xml:space="preserve"> </w:t>
      </w:r>
      <w:r w:rsidRPr="00EA59C0">
        <w:rPr>
          <w:rFonts w:ascii="Arial" w:hAnsi="Arial" w:cs="Arial"/>
          <w:sz w:val="22"/>
          <w:szCs w:val="22"/>
        </w:rPr>
        <w:t>State.</w:t>
      </w:r>
      <w:r w:rsidR="00C026A6" w:rsidRPr="00EA59C0">
        <w:rPr>
          <w:rFonts w:ascii="Arial" w:hAnsi="Arial" w:cs="Arial"/>
          <w:sz w:val="22"/>
          <w:szCs w:val="22"/>
        </w:rPr>
        <w:t xml:space="preserve">  </w:t>
      </w:r>
      <w:r w:rsidRPr="00EA59C0">
        <w:rPr>
          <w:rFonts w:ascii="Arial" w:hAnsi="Arial" w:cs="Arial"/>
          <w:b/>
          <w:sz w:val="22"/>
          <w:szCs w:val="22"/>
        </w:rPr>
        <w:t>Counties</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Another</w:t>
      </w:r>
      <w:r w:rsidR="00C026A6" w:rsidRPr="00EA59C0">
        <w:rPr>
          <w:rFonts w:ascii="Arial" w:hAnsi="Arial" w:cs="Arial"/>
          <w:sz w:val="22"/>
          <w:szCs w:val="22"/>
        </w:rPr>
        <w:t xml:space="preserve"> </w:t>
      </w:r>
      <w:r w:rsidRPr="00EA59C0">
        <w:rPr>
          <w:rFonts w:ascii="Arial" w:hAnsi="Arial" w:cs="Arial"/>
          <w:sz w:val="22"/>
          <w:szCs w:val="22"/>
        </w:rPr>
        <w:t>County.</w:t>
      </w:r>
      <w:r w:rsidR="00C026A6" w:rsidRPr="00EA59C0">
        <w:rPr>
          <w:rFonts w:ascii="Arial" w:hAnsi="Arial" w:cs="Arial"/>
          <w:sz w:val="22"/>
          <w:szCs w:val="22"/>
        </w:rPr>
        <w:t xml:space="preserve">  </w:t>
      </w:r>
      <w:r w:rsidRPr="00EA59C0">
        <w:rPr>
          <w:rFonts w:ascii="Arial" w:hAnsi="Arial" w:cs="Arial"/>
          <w:b/>
          <w:sz w:val="22"/>
          <w:szCs w:val="22"/>
        </w:rPr>
        <w:t>Cities</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Anothertown.</w:t>
      </w:r>
    </w:p>
    <w:p w:rsidR="00D9326C" w:rsidRPr="00EA59C0" w:rsidRDefault="00D9326C" w:rsidP="00D9326C">
      <w:pPr>
        <w:autoSpaceDE w:val="0"/>
        <w:autoSpaceDN w:val="0"/>
        <w:adjustRightInd w:val="0"/>
        <w:spacing w:before="120"/>
        <w:ind w:right="-720"/>
        <w:rPr>
          <w:rFonts w:ascii="Arial" w:hAnsi="Arial" w:cs="Arial"/>
          <w:sz w:val="22"/>
          <w:szCs w:val="22"/>
        </w:rPr>
      </w:pPr>
      <w:r w:rsidRPr="00EA59C0">
        <w:rPr>
          <w:rFonts w:ascii="Arial" w:hAnsi="Arial" w:cs="Arial"/>
          <w:b/>
          <w:sz w:val="22"/>
          <w:szCs w:val="22"/>
        </w:rPr>
        <w:t>5.</w:t>
      </w:r>
      <w:r w:rsidR="00C026A6" w:rsidRPr="00EA59C0">
        <w:rPr>
          <w:rFonts w:ascii="Arial" w:hAnsi="Arial" w:cs="Arial"/>
          <w:b/>
          <w:sz w:val="22"/>
          <w:szCs w:val="22"/>
        </w:rPr>
        <w:t xml:space="preserve">  </w:t>
      </w:r>
      <w:r w:rsidRPr="00EA59C0">
        <w:rPr>
          <w:rFonts w:ascii="Arial" w:hAnsi="Arial" w:cs="Arial"/>
          <w:b/>
          <w:sz w:val="22"/>
          <w:szCs w:val="22"/>
        </w:rPr>
        <w:t>Total</w:t>
      </w:r>
      <w:r w:rsidR="00C026A6" w:rsidRPr="00EA59C0">
        <w:rPr>
          <w:rFonts w:ascii="Arial" w:hAnsi="Arial" w:cs="Arial"/>
          <w:b/>
          <w:sz w:val="22"/>
          <w:szCs w:val="22"/>
        </w:rPr>
        <w:t xml:space="preserve"> </w:t>
      </w:r>
      <w:r w:rsidRPr="00EA59C0">
        <w:rPr>
          <w:rFonts w:ascii="Arial" w:hAnsi="Arial" w:cs="Arial"/>
          <w:b/>
          <w:sz w:val="22"/>
          <w:szCs w:val="22"/>
        </w:rPr>
        <w:t>Funding</w:t>
      </w:r>
      <w:r w:rsidR="00C026A6" w:rsidRPr="00EA59C0">
        <w:rPr>
          <w:rFonts w:ascii="Arial" w:hAnsi="Arial" w:cs="Arial"/>
          <w:b/>
          <w:sz w:val="22"/>
          <w:szCs w:val="22"/>
        </w:rPr>
        <w:t xml:space="preserve"> </w:t>
      </w:r>
      <w:r w:rsidRPr="00EA59C0">
        <w:rPr>
          <w:rFonts w:ascii="Arial" w:hAnsi="Arial" w:cs="Arial"/>
          <w:b/>
          <w:sz w:val="22"/>
          <w:szCs w:val="22"/>
        </w:rPr>
        <w:t>Level</w:t>
      </w:r>
      <w:r w:rsidR="00C026A6" w:rsidRPr="00EA59C0">
        <w:rPr>
          <w:rFonts w:ascii="Arial" w:hAnsi="Arial" w:cs="Arial"/>
          <w:b/>
          <w:sz w:val="22"/>
          <w:szCs w:val="22"/>
        </w:rPr>
        <w:t xml:space="preserve"> </w:t>
      </w:r>
      <w:r w:rsidRPr="00EA59C0">
        <w:rPr>
          <w:rFonts w:ascii="Arial" w:hAnsi="Arial" w:cs="Arial"/>
          <w:b/>
          <w:sz w:val="22"/>
          <w:szCs w:val="22"/>
        </w:rPr>
        <w:t>Requested</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$8,999,999</w:t>
      </w:r>
    </w:p>
    <w:p w:rsidR="00D9326C" w:rsidRPr="00EA59C0" w:rsidRDefault="00D9326C" w:rsidP="00D9326C">
      <w:pPr>
        <w:autoSpaceDE w:val="0"/>
        <w:autoSpaceDN w:val="0"/>
        <w:adjustRightInd w:val="0"/>
        <w:spacing w:before="120"/>
        <w:ind w:right="-720"/>
        <w:rPr>
          <w:rFonts w:ascii="Arial" w:hAnsi="Arial" w:cs="Arial"/>
          <w:b/>
          <w:sz w:val="22"/>
          <w:szCs w:val="22"/>
        </w:rPr>
      </w:pPr>
      <w:r w:rsidRPr="00EA59C0">
        <w:rPr>
          <w:rFonts w:ascii="Arial" w:hAnsi="Arial" w:cs="Arial"/>
          <w:b/>
          <w:sz w:val="22"/>
          <w:szCs w:val="22"/>
        </w:rPr>
        <w:t>6.</w:t>
      </w:r>
      <w:r w:rsidR="00C026A6" w:rsidRPr="00EA59C0">
        <w:rPr>
          <w:rFonts w:ascii="Arial" w:hAnsi="Arial" w:cs="Arial"/>
          <w:b/>
          <w:sz w:val="22"/>
          <w:szCs w:val="22"/>
        </w:rPr>
        <w:t xml:space="preserve">  </w:t>
      </w:r>
      <w:r w:rsidRPr="00EA59C0">
        <w:rPr>
          <w:rFonts w:ascii="Arial" w:hAnsi="Arial" w:cs="Arial"/>
          <w:b/>
          <w:sz w:val="22"/>
          <w:szCs w:val="22"/>
        </w:rPr>
        <w:t>Sub-Total</w:t>
      </w:r>
      <w:r w:rsidR="00C026A6" w:rsidRPr="00EA59C0">
        <w:rPr>
          <w:rFonts w:ascii="Arial" w:hAnsi="Arial" w:cs="Arial"/>
          <w:b/>
          <w:sz w:val="22"/>
          <w:szCs w:val="22"/>
        </w:rPr>
        <w:t xml:space="preserve"> </w:t>
      </w:r>
      <w:r w:rsidRPr="00EA59C0">
        <w:rPr>
          <w:rFonts w:ascii="Arial" w:hAnsi="Arial" w:cs="Arial"/>
          <w:b/>
          <w:sz w:val="22"/>
          <w:szCs w:val="22"/>
        </w:rPr>
        <w:t>Requested</w:t>
      </w:r>
      <w:r w:rsidR="00C026A6" w:rsidRPr="00EA59C0">
        <w:rPr>
          <w:rFonts w:ascii="Arial" w:hAnsi="Arial" w:cs="Arial"/>
          <w:b/>
          <w:sz w:val="22"/>
          <w:szCs w:val="22"/>
        </w:rPr>
        <w:t xml:space="preserve"> </w:t>
      </w:r>
      <w:r w:rsidRPr="00EA59C0">
        <w:rPr>
          <w:rFonts w:ascii="Arial" w:hAnsi="Arial" w:cs="Arial"/>
          <w:b/>
          <w:sz w:val="22"/>
          <w:szCs w:val="22"/>
        </w:rPr>
        <w:t>Funding</w:t>
      </w:r>
      <w:r w:rsidR="00C026A6" w:rsidRPr="00EA59C0">
        <w:rPr>
          <w:rFonts w:ascii="Arial" w:hAnsi="Arial" w:cs="Arial"/>
          <w:b/>
          <w:sz w:val="22"/>
          <w:szCs w:val="22"/>
        </w:rPr>
        <w:t xml:space="preserve"> </w:t>
      </w:r>
      <w:r w:rsidRPr="00EA59C0">
        <w:rPr>
          <w:rFonts w:ascii="Arial" w:hAnsi="Arial" w:cs="Arial"/>
          <w:b/>
          <w:sz w:val="22"/>
          <w:szCs w:val="22"/>
        </w:rPr>
        <w:t>Amount</w:t>
      </w:r>
      <w:r w:rsidR="00C026A6" w:rsidRPr="00EA59C0">
        <w:rPr>
          <w:rFonts w:ascii="Arial" w:hAnsi="Arial" w:cs="Arial"/>
          <w:b/>
          <w:sz w:val="22"/>
          <w:szCs w:val="22"/>
        </w:rPr>
        <w:t xml:space="preserve"> </w:t>
      </w:r>
      <w:r w:rsidRPr="00EA59C0">
        <w:rPr>
          <w:rFonts w:ascii="Arial" w:hAnsi="Arial" w:cs="Arial"/>
          <w:b/>
          <w:sz w:val="22"/>
          <w:szCs w:val="22"/>
        </w:rPr>
        <w:t>by</w:t>
      </w:r>
      <w:r w:rsidR="00C026A6" w:rsidRPr="00EA59C0">
        <w:rPr>
          <w:rFonts w:ascii="Arial" w:hAnsi="Arial" w:cs="Arial"/>
          <w:b/>
          <w:sz w:val="22"/>
          <w:szCs w:val="22"/>
        </w:rPr>
        <w:t xml:space="preserve"> </w:t>
      </w:r>
      <w:r w:rsidRPr="00EA59C0">
        <w:rPr>
          <w:rFonts w:ascii="Arial" w:hAnsi="Arial" w:cs="Arial"/>
          <w:b/>
          <w:sz w:val="22"/>
          <w:szCs w:val="22"/>
        </w:rPr>
        <w:t>Consortium</w:t>
      </w:r>
      <w:r w:rsidR="00C026A6" w:rsidRPr="00EA59C0">
        <w:rPr>
          <w:rFonts w:ascii="Arial" w:hAnsi="Arial" w:cs="Arial"/>
          <w:b/>
          <w:sz w:val="22"/>
          <w:szCs w:val="22"/>
        </w:rPr>
        <w:t xml:space="preserve"> </w:t>
      </w:r>
      <w:r w:rsidRPr="00EA59C0">
        <w:rPr>
          <w:rFonts w:ascii="Arial" w:hAnsi="Arial" w:cs="Arial"/>
          <w:b/>
          <w:sz w:val="22"/>
          <w:szCs w:val="22"/>
        </w:rPr>
        <w:t>Member</w:t>
      </w:r>
      <w:r w:rsidR="00C026A6" w:rsidRPr="00EA59C0">
        <w:rPr>
          <w:rFonts w:ascii="Arial" w:hAnsi="Arial" w:cs="Arial"/>
          <w:b/>
          <w:sz w:val="22"/>
          <w:szCs w:val="22"/>
        </w:rPr>
        <w:t xml:space="preserve"> </w:t>
      </w:r>
      <w:r w:rsidRPr="00EA59C0">
        <w:rPr>
          <w:rFonts w:ascii="Arial" w:hAnsi="Arial" w:cs="Arial"/>
          <w:b/>
          <w:sz w:val="22"/>
          <w:szCs w:val="22"/>
        </w:rPr>
        <w:t>(i</w:t>
      </w:r>
      <w:r w:rsidR="00C026A6" w:rsidRPr="00EA59C0">
        <w:rPr>
          <w:rFonts w:ascii="Arial" w:hAnsi="Arial" w:cs="Arial"/>
          <w:b/>
          <w:sz w:val="22"/>
          <w:szCs w:val="22"/>
        </w:rPr>
        <w:t xml:space="preserve"> </w:t>
      </w:r>
      <w:r w:rsidRPr="00EA59C0">
        <w:rPr>
          <w:rFonts w:ascii="Arial" w:hAnsi="Arial" w:cs="Arial"/>
          <w:b/>
          <w:sz w:val="22"/>
          <w:szCs w:val="22"/>
        </w:rPr>
        <w:t>applicable):</w:t>
      </w:r>
    </w:p>
    <w:p w:rsidR="00D9326C" w:rsidRPr="00EA59C0" w:rsidRDefault="00D9326C" w:rsidP="00080097">
      <w:pPr>
        <w:numPr>
          <w:ilvl w:val="0"/>
          <w:numId w:val="43"/>
        </w:numPr>
        <w:autoSpaceDE w:val="0"/>
        <w:autoSpaceDN w:val="0"/>
        <w:adjustRightInd w:val="0"/>
        <w:spacing w:before="120"/>
        <w:ind w:right="-720"/>
        <w:rPr>
          <w:rFonts w:ascii="Arial" w:hAnsi="Arial" w:cs="Arial"/>
          <w:sz w:val="22"/>
          <w:szCs w:val="22"/>
        </w:rPr>
      </w:pPr>
      <w:r w:rsidRPr="00EA59C0">
        <w:rPr>
          <w:rFonts w:ascii="Arial" w:hAnsi="Arial" w:cs="Arial"/>
          <w:sz w:val="22"/>
          <w:szCs w:val="22"/>
        </w:rPr>
        <w:t>Anytown</w:t>
      </w:r>
      <w:r w:rsidR="00C026A6" w:rsidRPr="00EA59C0">
        <w:rPr>
          <w:rFonts w:ascii="Arial" w:hAnsi="Arial" w:cs="Arial"/>
          <w:sz w:val="22"/>
          <w:szCs w:val="22"/>
        </w:rPr>
        <w:t xml:space="preserve"> </w:t>
      </w:r>
      <w:r w:rsidRPr="00EA59C0">
        <w:rPr>
          <w:rFonts w:ascii="Arial" w:hAnsi="Arial" w:cs="Arial"/>
          <w:sz w:val="22"/>
          <w:szCs w:val="22"/>
        </w:rPr>
        <w:t>USA</w:t>
      </w:r>
      <w:r w:rsidR="00C026A6" w:rsidRPr="00EA59C0">
        <w:rPr>
          <w:rFonts w:ascii="Arial" w:hAnsi="Arial" w:cs="Arial"/>
          <w:sz w:val="22"/>
          <w:szCs w:val="22"/>
        </w:rPr>
        <w:t xml:space="preserve"> </w:t>
      </w:r>
      <w:r w:rsidRPr="00EA59C0">
        <w:rPr>
          <w:rFonts w:ascii="Arial" w:hAnsi="Arial" w:cs="Arial"/>
          <w:sz w:val="22"/>
          <w:szCs w:val="22"/>
        </w:rPr>
        <w:t>Community</w:t>
      </w:r>
      <w:r w:rsidR="00C026A6" w:rsidRPr="00EA59C0">
        <w:rPr>
          <w:rFonts w:ascii="Arial" w:hAnsi="Arial" w:cs="Arial"/>
          <w:sz w:val="22"/>
          <w:szCs w:val="22"/>
        </w:rPr>
        <w:t xml:space="preserve"> </w:t>
      </w:r>
      <w:r w:rsidRPr="00EA59C0">
        <w:rPr>
          <w:rFonts w:ascii="Arial" w:hAnsi="Arial" w:cs="Arial"/>
          <w:sz w:val="22"/>
          <w:szCs w:val="22"/>
        </w:rPr>
        <w:t>College:</w:t>
      </w:r>
      <w:r w:rsidR="00C026A6" w:rsidRPr="00EA59C0">
        <w:rPr>
          <w:rFonts w:ascii="Arial" w:hAnsi="Arial" w:cs="Arial"/>
          <w:sz w:val="22"/>
          <w:szCs w:val="22"/>
        </w:rPr>
        <w:t xml:space="preserve">  </w:t>
      </w:r>
      <w:r w:rsidRPr="00EA59C0">
        <w:rPr>
          <w:rFonts w:ascii="Arial" w:hAnsi="Arial" w:cs="Arial"/>
          <w:sz w:val="22"/>
          <w:szCs w:val="22"/>
        </w:rPr>
        <w:t>$4,000,000</w:t>
      </w:r>
    </w:p>
    <w:p w:rsidR="00D9326C" w:rsidRPr="00EA59C0" w:rsidRDefault="00D9326C" w:rsidP="00080097">
      <w:pPr>
        <w:numPr>
          <w:ilvl w:val="0"/>
          <w:numId w:val="43"/>
        </w:numPr>
        <w:autoSpaceDE w:val="0"/>
        <w:autoSpaceDN w:val="0"/>
        <w:adjustRightInd w:val="0"/>
        <w:spacing w:before="120"/>
        <w:ind w:right="-720"/>
        <w:rPr>
          <w:rFonts w:ascii="Arial" w:hAnsi="Arial" w:cs="Arial"/>
          <w:sz w:val="22"/>
          <w:szCs w:val="22"/>
        </w:rPr>
      </w:pPr>
      <w:r w:rsidRPr="00EA59C0">
        <w:rPr>
          <w:rFonts w:ascii="Arial" w:hAnsi="Arial" w:cs="Arial"/>
          <w:sz w:val="22"/>
          <w:szCs w:val="22"/>
        </w:rPr>
        <w:t>Jane</w:t>
      </w:r>
      <w:r w:rsidR="00C026A6" w:rsidRPr="00EA59C0">
        <w:rPr>
          <w:rFonts w:ascii="Arial" w:hAnsi="Arial" w:cs="Arial"/>
          <w:sz w:val="22"/>
          <w:szCs w:val="22"/>
        </w:rPr>
        <w:t xml:space="preserve"> </w:t>
      </w:r>
      <w:r w:rsidRPr="00EA59C0">
        <w:rPr>
          <w:rFonts w:ascii="Arial" w:hAnsi="Arial" w:cs="Arial"/>
          <w:sz w:val="22"/>
          <w:szCs w:val="22"/>
        </w:rPr>
        <w:t>Doe</w:t>
      </w:r>
      <w:r w:rsidR="00C026A6" w:rsidRPr="00EA59C0">
        <w:rPr>
          <w:rFonts w:ascii="Arial" w:hAnsi="Arial" w:cs="Arial"/>
          <w:sz w:val="22"/>
          <w:szCs w:val="22"/>
        </w:rPr>
        <w:t xml:space="preserve"> </w:t>
      </w:r>
      <w:r w:rsidRPr="00EA59C0">
        <w:rPr>
          <w:rFonts w:ascii="Arial" w:hAnsi="Arial" w:cs="Arial"/>
          <w:sz w:val="22"/>
          <w:szCs w:val="22"/>
        </w:rPr>
        <w:t>Community</w:t>
      </w:r>
      <w:r w:rsidR="00C026A6" w:rsidRPr="00EA59C0">
        <w:rPr>
          <w:rFonts w:ascii="Arial" w:hAnsi="Arial" w:cs="Arial"/>
          <w:sz w:val="22"/>
          <w:szCs w:val="22"/>
        </w:rPr>
        <w:t xml:space="preserve"> </w:t>
      </w:r>
      <w:r w:rsidRPr="00EA59C0">
        <w:rPr>
          <w:rFonts w:ascii="Arial" w:hAnsi="Arial" w:cs="Arial"/>
          <w:sz w:val="22"/>
          <w:szCs w:val="22"/>
        </w:rPr>
        <w:t>College:</w:t>
      </w:r>
      <w:r w:rsidR="00C026A6" w:rsidRPr="00EA59C0">
        <w:rPr>
          <w:rFonts w:ascii="Arial" w:hAnsi="Arial" w:cs="Arial"/>
          <w:sz w:val="22"/>
          <w:szCs w:val="22"/>
        </w:rPr>
        <w:t xml:space="preserve">  </w:t>
      </w:r>
      <w:r w:rsidRPr="00EA59C0">
        <w:rPr>
          <w:rFonts w:ascii="Arial" w:hAnsi="Arial" w:cs="Arial"/>
          <w:sz w:val="22"/>
          <w:szCs w:val="22"/>
        </w:rPr>
        <w:t>$2,999,999</w:t>
      </w:r>
    </w:p>
    <w:p w:rsidR="00D9326C" w:rsidRPr="00EA59C0" w:rsidRDefault="00D9326C" w:rsidP="00080097">
      <w:pPr>
        <w:numPr>
          <w:ilvl w:val="0"/>
          <w:numId w:val="43"/>
        </w:numPr>
        <w:autoSpaceDE w:val="0"/>
        <w:autoSpaceDN w:val="0"/>
        <w:adjustRightInd w:val="0"/>
        <w:spacing w:before="120"/>
        <w:ind w:right="-720"/>
        <w:rPr>
          <w:rFonts w:ascii="Arial" w:hAnsi="Arial" w:cs="Arial"/>
          <w:sz w:val="22"/>
          <w:szCs w:val="22"/>
        </w:rPr>
      </w:pPr>
      <w:r w:rsidRPr="00EA59C0">
        <w:rPr>
          <w:rFonts w:ascii="Arial" w:hAnsi="Arial" w:cs="Arial"/>
          <w:sz w:val="22"/>
          <w:szCs w:val="22"/>
        </w:rPr>
        <w:t>John</w:t>
      </w:r>
      <w:r w:rsidR="00C026A6" w:rsidRPr="00EA59C0">
        <w:rPr>
          <w:rFonts w:ascii="Arial" w:hAnsi="Arial" w:cs="Arial"/>
          <w:sz w:val="22"/>
          <w:szCs w:val="22"/>
        </w:rPr>
        <w:t xml:space="preserve"> </w:t>
      </w:r>
      <w:r w:rsidRPr="00EA59C0">
        <w:rPr>
          <w:rFonts w:ascii="Arial" w:hAnsi="Arial" w:cs="Arial"/>
          <w:sz w:val="22"/>
          <w:szCs w:val="22"/>
        </w:rPr>
        <w:t>Doe</w:t>
      </w:r>
      <w:r w:rsidR="00C026A6" w:rsidRPr="00EA59C0">
        <w:rPr>
          <w:rFonts w:ascii="Arial" w:hAnsi="Arial" w:cs="Arial"/>
          <w:sz w:val="22"/>
          <w:szCs w:val="22"/>
        </w:rPr>
        <w:t xml:space="preserve"> </w:t>
      </w:r>
      <w:r w:rsidRPr="00EA59C0">
        <w:rPr>
          <w:rFonts w:ascii="Arial" w:hAnsi="Arial" w:cs="Arial"/>
          <w:sz w:val="22"/>
          <w:szCs w:val="22"/>
        </w:rPr>
        <w:t>University:</w:t>
      </w:r>
      <w:r w:rsidR="00C026A6" w:rsidRPr="00EA59C0">
        <w:rPr>
          <w:rFonts w:ascii="Arial" w:hAnsi="Arial" w:cs="Arial"/>
          <w:sz w:val="22"/>
          <w:szCs w:val="22"/>
        </w:rPr>
        <w:t xml:space="preserve">  </w:t>
      </w:r>
      <w:r w:rsidRPr="00EA59C0">
        <w:rPr>
          <w:rFonts w:ascii="Arial" w:hAnsi="Arial" w:cs="Arial"/>
          <w:sz w:val="22"/>
          <w:szCs w:val="22"/>
        </w:rPr>
        <w:t>$2,000,000</w:t>
      </w:r>
    </w:p>
    <w:p w:rsidR="00D9326C" w:rsidRPr="00EA59C0" w:rsidRDefault="00D9326C" w:rsidP="00D9326C">
      <w:pPr>
        <w:autoSpaceDE w:val="0"/>
        <w:autoSpaceDN w:val="0"/>
        <w:adjustRightInd w:val="0"/>
        <w:spacing w:before="120"/>
        <w:ind w:right="-720"/>
        <w:rPr>
          <w:rFonts w:ascii="Arial" w:hAnsi="Arial" w:cs="Arial"/>
          <w:sz w:val="22"/>
          <w:szCs w:val="22"/>
        </w:rPr>
      </w:pPr>
      <w:r w:rsidRPr="00EA59C0">
        <w:rPr>
          <w:rFonts w:ascii="Arial" w:hAnsi="Arial" w:cs="Arial"/>
          <w:b/>
          <w:sz w:val="22"/>
          <w:szCs w:val="22"/>
        </w:rPr>
        <w:t>7.</w:t>
      </w:r>
      <w:r w:rsidR="00C026A6" w:rsidRPr="00EA59C0">
        <w:rPr>
          <w:rFonts w:ascii="Arial" w:hAnsi="Arial" w:cs="Arial"/>
          <w:b/>
          <w:sz w:val="22"/>
          <w:szCs w:val="22"/>
        </w:rPr>
        <w:t xml:space="preserve">  </w:t>
      </w:r>
      <w:r w:rsidRPr="00EA59C0">
        <w:rPr>
          <w:rFonts w:ascii="Arial" w:hAnsi="Arial" w:cs="Arial"/>
          <w:b/>
          <w:sz w:val="22"/>
          <w:szCs w:val="22"/>
        </w:rPr>
        <w:t>Project</w:t>
      </w:r>
      <w:r w:rsidR="00C026A6" w:rsidRPr="00EA59C0">
        <w:rPr>
          <w:rFonts w:ascii="Arial" w:hAnsi="Arial" w:cs="Arial"/>
          <w:b/>
          <w:sz w:val="22"/>
          <w:szCs w:val="22"/>
        </w:rPr>
        <w:t xml:space="preserve"> </w:t>
      </w:r>
      <w:r w:rsidRPr="00EA59C0">
        <w:rPr>
          <w:rFonts w:ascii="Arial" w:hAnsi="Arial" w:cs="Arial"/>
          <w:b/>
          <w:sz w:val="22"/>
          <w:szCs w:val="22"/>
        </w:rPr>
        <w:t>Name</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Partnership</w:t>
      </w:r>
      <w:r w:rsidR="00C026A6" w:rsidRPr="00EA59C0">
        <w:rPr>
          <w:rFonts w:ascii="Arial" w:hAnsi="Arial" w:cs="Arial"/>
          <w:sz w:val="22"/>
          <w:szCs w:val="22"/>
        </w:rPr>
        <w:t xml:space="preserve"> </w:t>
      </w:r>
      <w:r w:rsidRPr="00EA59C0">
        <w:rPr>
          <w:rFonts w:ascii="Arial" w:hAnsi="Arial" w:cs="Arial"/>
          <w:sz w:val="22"/>
          <w:szCs w:val="22"/>
        </w:rPr>
        <w:t>for</w:t>
      </w:r>
      <w:r w:rsidR="00C026A6" w:rsidRPr="00EA59C0">
        <w:rPr>
          <w:rFonts w:ascii="Arial" w:hAnsi="Arial" w:cs="Arial"/>
          <w:sz w:val="22"/>
          <w:szCs w:val="22"/>
        </w:rPr>
        <w:t xml:space="preserve"> </w:t>
      </w:r>
      <w:r w:rsidRPr="00EA59C0">
        <w:rPr>
          <w:rFonts w:ascii="Arial" w:hAnsi="Arial" w:cs="Arial"/>
          <w:sz w:val="22"/>
          <w:szCs w:val="22"/>
        </w:rPr>
        <w:t>TACTical</w:t>
      </w:r>
      <w:r w:rsidR="00C026A6" w:rsidRPr="00EA59C0">
        <w:rPr>
          <w:rFonts w:ascii="Arial" w:hAnsi="Arial" w:cs="Arial"/>
          <w:sz w:val="22"/>
          <w:szCs w:val="22"/>
        </w:rPr>
        <w:t xml:space="preserve"> </w:t>
      </w:r>
      <w:r w:rsidRPr="00EA59C0">
        <w:rPr>
          <w:rFonts w:ascii="Arial" w:hAnsi="Arial" w:cs="Arial"/>
          <w:sz w:val="22"/>
          <w:szCs w:val="22"/>
        </w:rPr>
        <w:t>Engagement</w:t>
      </w:r>
      <w:r w:rsidR="00C026A6" w:rsidRPr="00EA59C0">
        <w:rPr>
          <w:rFonts w:ascii="Arial" w:hAnsi="Arial" w:cs="Arial"/>
          <w:sz w:val="22"/>
          <w:szCs w:val="22"/>
        </w:rPr>
        <w:t xml:space="preserve"> </w:t>
      </w:r>
      <w:r w:rsidRPr="00EA59C0">
        <w:rPr>
          <w:rFonts w:ascii="Arial" w:hAnsi="Arial" w:cs="Arial"/>
          <w:sz w:val="22"/>
          <w:szCs w:val="22"/>
        </w:rPr>
        <w:t>(PTE)</w:t>
      </w:r>
    </w:p>
    <w:p w:rsidR="00D9326C" w:rsidRPr="00EA59C0" w:rsidRDefault="00D9326C" w:rsidP="00D9326C">
      <w:pPr>
        <w:autoSpaceDE w:val="0"/>
        <w:autoSpaceDN w:val="0"/>
        <w:adjustRightInd w:val="0"/>
        <w:spacing w:before="120"/>
        <w:ind w:right="-720"/>
        <w:rPr>
          <w:rFonts w:ascii="Arial" w:hAnsi="Arial" w:cs="Arial"/>
          <w:sz w:val="22"/>
          <w:szCs w:val="22"/>
        </w:rPr>
      </w:pPr>
      <w:r w:rsidRPr="00EA59C0">
        <w:rPr>
          <w:rFonts w:ascii="Arial" w:hAnsi="Arial" w:cs="Arial"/>
          <w:b/>
          <w:sz w:val="22"/>
          <w:szCs w:val="22"/>
        </w:rPr>
        <w:t>8.</w:t>
      </w:r>
      <w:r w:rsidR="00C026A6" w:rsidRPr="00EA59C0">
        <w:rPr>
          <w:rFonts w:ascii="Arial" w:hAnsi="Arial" w:cs="Arial"/>
          <w:b/>
          <w:sz w:val="22"/>
          <w:szCs w:val="22"/>
        </w:rPr>
        <w:t xml:space="preserve">  </w:t>
      </w:r>
      <w:r w:rsidRPr="00EA59C0">
        <w:rPr>
          <w:rFonts w:ascii="Arial" w:hAnsi="Arial" w:cs="Arial"/>
          <w:b/>
          <w:sz w:val="22"/>
          <w:szCs w:val="22"/>
        </w:rPr>
        <w:t>Project</w:t>
      </w:r>
      <w:r w:rsidR="00C026A6" w:rsidRPr="00EA59C0">
        <w:rPr>
          <w:rFonts w:ascii="Arial" w:hAnsi="Arial" w:cs="Arial"/>
          <w:b/>
          <w:sz w:val="22"/>
          <w:szCs w:val="22"/>
        </w:rPr>
        <w:t xml:space="preserve"> </w:t>
      </w:r>
      <w:r w:rsidRPr="00EA59C0">
        <w:rPr>
          <w:rFonts w:ascii="Arial" w:hAnsi="Arial" w:cs="Arial"/>
          <w:b/>
          <w:sz w:val="22"/>
          <w:szCs w:val="22"/>
        </w:rPr>
        <w:t>Description</w:t>
      </w:r>
      <w:r w:rsidR="00C026A6" w:rsidRPr="00EA59C0">
        <w:rPr>
          <w:rFonts w:ascii="Arial" w:hAnsi="Arial" w:cs="Arial"/>
          <w:b/>
          <w:sz w:val="22"/>
          <w:szCs w:val="22"/>
        </w:rPr>
        <w:t xml:space="preserve"> </w:t>
      </w:r>
      <w:r w:rsidRPr="00EA59C0">
        <w:rPr>
          <w:rFonts w:ascii="Arial" w:hAnsi="Arial" w:cs="Arial"/>
          <w:b/>
          <w:sz w:val="22"/>
          <w:szCs w:val="22"/>
        </w:rPr>
        <w:t>and</w:t>
      </w:r>
      <w:r w:rsidR="00C026A6" w:rsidRPr="00EA59C0">
        <w:rPr>
          <w:rFonts w:ascii="Arial" w:hAnsi="Arial" w:cs="Arial"/>
          <w:b/>
          <w:sz w:val="22"/>
          <w:szCs w:val="22"/>
        </w:rPr>
        <w:t xml:space="preserve"> </w:t>
      </w:r>
      <w:r w:rsidRPr="00EA59C0">
        <w:rPr>
          <w:rFonts w:ascii="Arial" w:hAnsi="Arial" w:cs="Arial"/>
          <w:b/>
          <w:sz w:val="22"/>
          <w:szCs w:val="22"/>
        </w:rPr>
        <w:t>List</w:t>
      </w:r>
      <w:r w:rsidR="00C026A6" w:rsidRPr="00EA59C0">
        <w:rPr>
          <w:rFonts w:ascii="Arial" w:hAnsi="Arial" w:cs="Arial"/>
          <w:b/>
          <w:sz w:val="22"/>
          <w:szCs w:val="22"/>
        </w:rPr>
        <w:t xml:space="preserve"> </w:t>
      </w:r>
      <w:r w:rsidRPr="00EA59C0">
        <w:rPr>
          <w:rFonts w:ascii="Arial" w:hAnsi="Arial" w:cs="Arial"/>
          <w:b/>
          <w:sz w:val="22"/>
          <w:szCs w:val="22"/>
        </w:rPr>
        <w:t>of</w:t>
      </w:r>
      <w:r w:rsidR="00C026A6" w:rsidRPr="00EA59C0">
        <w:rPr>
          <w:rFonts w:ascii="Arial" w:hAnsi="Arial" w:cs="Arial"/>
          <w:b/>
          <w:sz w:val="22"/>
          <w:szCs w:val="22"/>
        </w:rPr>
        <w:t xml:space="preserve"> </w:t>
      </w:r>
      <w:r w:rsidRPr="00EA59C0">
        <w:rPr>
          <w:rFonts w:ascii="Arial" w:hAnsi="Arial" w:cs="Arial"/>
          <w:b/>
          <w:sz w:val="22"/>
          <w:szCs w:val="22"/>
        </w:rPr>
        <w:t>Credentials</w:t>
      </w:r>
      <w:r w:rsidR="00C026A6" w:rsidRPr="00EA59C0">
        <w:rPr>
          <w:rFonts w:ascii="Arial" w:hAnsi="Arial" w:cs="Arial"/>
          <w:b/>
          <w:sz w:val="22"/>
          <w:szCs w:val="22"/>
        </w:rPr>
        <w:t xml:space="preserve"> </w:t>
      </w:r>
      <w:r w:rsidRPr="00EA59C0">
        <w:rPr>
          <w:rFonts w:ascii="Arial" w:hAnsi="Arial" w:cs="Arial"/>
          <w:b/>
          <w:sz w:val="22"/>
          <w:szCs w:val="22"/>
        </w:rPr>
        <w:t>to</w:t>
      </w:r>
      <w:r w:rsidR="00C026A6" w:rsidRPr="00EA59C0">
        <w:rPr>
          <w:rFonts w:ascii="Arial" w:hAnsi="Arial" w:cs="Arial"/>
          <w:b/>
          <w:sz w:val="22"/>
          <w:szCs w:val="22"/>
        </w:rPr>
        <w:t xml:space="preserve"> </w:t>
      </w:r>
      <w:r w:rsidRPr="00EA59C0">
        <w:rPr>
          <w:rFonts w:ascii="Arial" w:hAnsi="Arial" w:cs="Arial"/>
          <w:b/>
          <w:sz w:val="22"/>
          <w:szCs w:val="22"/>
        </w:rPr>
        <w:t>be</w:t>
      </w:r>
      <w:r w:rsidR="00C026A6" w:rsidRPr="00EA59C0">
        <w:rPr>
          <w:rFonts w:ascii="Arial" w:hAnsi="Arial" w:cs="Arial"/>
          <w:b/>
          <w:sz w:val="22"/>
          <w:szCs w:val="22"/>
        </w:rPr>
        <w:t xml:space="preserve"> </w:t>
      </w:r>
      <w:r w:rsidRPr="00EA59C0">
        <w:rPr>
          <w:rFonts w:ascii="Arial" w:hAnsi="Arial" w:cs="Arial"/>
          <w:b/>
          <w:sz w:val="22"/>
          <w:szCs w:val="22"/>
        </w:rPr>
        <w:t>Developed</w:t>
      </w:r>
      <w:r w:rsidR="00C026A6" w:rsidRPr="00EA59C0">
        <w:rPr>
          <w:rFonts w:ascii="Arial" w:hAnsi="Arial" w:cs="Arial"/>
          <w:b/>
          <w:sz w:val="22"/>
          <w:szCs w:val="22"/>
        </w:rPr>
        <w:t xml:space="preserve"> </w:t>
      </w:r>
      <w:r w:rsidRPr="00EA59C0">
        <w:rPr>
          <w:rFonts w:ascii="Arial" w:hAnsi="Arial" w:cs="Arial"/>
          <w:b/>
          <w:sz w:val="22"/>
          <w:szCs w:val="22"/>
        </w:rPr>
        <w:t>and</w:t>
      </w:r>
      <w:r w:rsidR="00C026A6" w:rsidRPr="00EA59C0">
        <w:rPr>
          <w:rFonts w:ascii="Arial" w:hAnsi="Arial" w:cs="Arial"/>
          <w:b/>
          <w:sz w:val="22"/>
          <w:szCs w:val="22"/>
        </w:rPr>
        <w:t xml:space="preserve"> </w:t>
      </w:r>
      <w:r w:rsidRPr="00EA59C0">
        <w:rPr>
          <w:rFonts w:ascii="Arial" w:hAnsi="Arial" w:cs="Arial"/>
          <w:b/>
          <w:sz w:val="22"/>
          <w:szCs w:val="22"/>
        </w:rPr>
        <w:t>Awarded</w:t>
      </w:r>
      <w:r w:rsidRPr="00EA59C0">
        <w:rPr>
          <w:rFonts w:ascii="Arial" w:hAnsi="Arial" w:cs="Arial"/>
          <w:sz w:val="22"/>
          <w:szCs w:val="22"/>
        </w:rPr>
        <w:t>:</w:t>
      </w:r>
      <w:r w:rsidR="00C026A6" w:rsidRPr="00EA59C0">
        <w:rPr>
          <w:rFonts w:ascii="Arial" w:hAnsi="Arial" w:cs="Arial"/>
          <w:sz w:val="22"/>
          <w:szCs w:val="22"/>
        </w:rPr>
        <w:t xml:space="preserve">  </w:t>
      </w:r>
    </w:p>
    <w:p w:rsidR="00D9326C" w:rsidRPr="00EA59C0" w:rsidRDefault="00D9326C" w:rsidP="00D9326C">
      <w:pPr>
        <w:autoSpaceDE w:val="0"/>
        <w:autoSpaceDN w:val="0"/>
        <w:adjustRightInd w:val="0"/>
        <w:spacing w:before="120"/>
        <w:ind w:right="-720"/>
        <w:rPr>
          <w:rFonts w:ascii="Arial" w:hAnsi="Arial" w:cs="Arial"/>
          <w:sz w:val="22"/>
          <w:szCs w:val="22"/>
        </w:rPr>
      </w:pPr>
      <w:r w:rsidRPr="00EA59C0">
        <w:rPr>
          <w:rFonts w:ascii="Arial" w:hAnsi="Arial" w:cs="Arial"/>
          <w:b/>
          <w:sz w:val="22"/>
          <w:szCs w:val="22"/>
        </w:rPr>
        <w:t>9.</w:t>
      </w:r>
      <w:r w:rsidR="00C026A6" w:rsidRPr="00EA59C0">
        <w:rPr>
          <w:rFonts w:ascii="Arial" w:hAnsi="Arial" w:cs="Arial"/>
          <w:b/>
          <w:sz w:val="22"/>
          <w:szCs w:val="22"/>
        </w:rPr>
        <w:t xml:space="preserve">  </w:t>
      </w:r>
      <w:r w:rsidRPr="00EA59C0">
        <w:rPr>
          <w:rFonts w:ascii="Arial" w:hAnsi="Arial" w:cs="Arial"/>
          <w:b/>
          <w:sz w:val="22"/>
          <w:szCs w:val="22"/>
        </w:rPr>
        <w:t>Populations</w:t>
      </w:r>
      <w:r w:rsidR="00C026A6" w:rsidRPr="00EA59C0">
        <w:rPr>
          <w:rFonts w:ascii="Arial" w:hAnsi="Arial" w:cs="Arial"/>
          <w:b/>
          <w:sz w:val="22"/>
          <w:szCs w:val="22"/>
        </w:rPr>
        <w:t xml:space="preserve"> </w:t>
      </w:r>
      <w:r w:rsidRPr="00EA59C0">
        <w:rPr>
          <w:rFonts w:ascii="Arial" w:hAnsi="Arial" w:cs="Arial"/>
          <w:b/>
          <w:sz w:val="22"/>
          <w:szCs w:val="22"/>
        </w:rPr>
        <w:t>to</w:t>
      </w:r>
      <w:r w:rsidR="00C026A6" w:rsidRPr="00EA59C0">
        <w:rPr>
          <w:rFonts w:ascii="Arial" w:hAnsi="Arial" w:cs="Arial"/>
          <w:b/>
          <w:sz w:val="22"/>
          <w:szCs w:val="22"/>
        </w:rPr>
        <w:t xml:space="preserve"> </w:t>
      </w:r>
      <w:r w:rsidRPr="00EA59C0">
        <w:rPr>
          <w:rFonts w:ascii="Arial" w:hAnsi="Arial" w:cs="Arial"/>
          <w:b/>
          <w:sz w:val="22"/>
          <w:szCs w:val="22"/>
        </w:rPr>
        <w:t>be</w:t>
      </w:r>
      <w:r w:rsidR="00C026A6" w:rsidRPr="00EA59C0">
        <w:rPr>
          <w:rFonts w:ascii="Arial" w:hAnsi="Arial" w:cs="Arial"/>
          <w:b/>
          <w:sz w:val="22"/>
          <w:szCs w:val="22"/>
        </w:rPr>
        <w:t xml:space="preserve"> </w:t>
      </w:r>
      <w:r w:rsidRPr="00EA59C0">
        <w:rPr>
          <w:rFonts w:ascii="Arial" w:hAnsi="Arial" w:cs="Arial"/>
          <w:b/>
          <w:sz w:val="22"/>
          <w:szCs w:val="22"/>
        </w:rPr>
        <w:t>Served</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TAA-eligible</w:t>
      </w:r>
      <w:r w:rsidR="00C026A6" w:rsidRPr="00EA59C0">
        <w:rPr>
          <w:rFonts w:ascii="Arial" w:hAnsi="Arial" w:cs="Arial"/>
          <w:sz w:val="22"/>
          <w:szCs w:val="22"/>
        </w:rPr>
        <w:t xml:space="preserve"> </w:t>
      </w:r>
      <w:r w:rsidRPr="00EA59C0">
        <w:rPr>
          <w:rFonts w:ascii="Arial" w:hAnsi="Arial" w:cs="Arial"/>
          <w:sz w:val="22"/>
          <w:szCs w:val="22"/>
        </w:rPr>
        <w:t>workers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long-term</w:t>
      </w:r>
      <w:r w:rsidR="00C026A6" w:rsidRPr="00EA59C0">
        <w:rPr>
          <w:rFonts w:ascii="Arial" w:hAnsi="Arial" w:cs="Arial"/>
          <w:sz w:val="22"/>
          <w:szCs w:val="22"/>
        </w:rPr>
        <w:t xml:space="preserve"> </w:t>
      </w:r>
      <w:r w:rsidRPr="00EA59C0">
        <w:rPr>
          <w:rFonts w:ascii="Arial" w:hAnsi="Arial" w:cs="Arial"/>
          <w:sz w:val="22"/>
          <w:szCs w:val="22"/>
        </w:rPr>
        <w:t>unemployed</w:t>
      </w:r>
    </w:p>
    <w:p w:rsidR="00D9326C" w:rsidRPr="00EA59C0" w:rsidRDefault="00D9326C" w:rsidP="00D9326C">
      <w:pPr>
        <w:autoSpaceDE w:val="0"/>
        <w:autoSpaceDN w:val="0"/>
        <w:adjustRightInd w:val="0"/>
        <w:spacing w:before="120"/>
        <w:ind w:right="-720"/>
        <w:rPr>
          <w:rFonts w:ascii="Arial" w:hAnsi="Arial" w:cs="Arial"/>
          <w:sz w:val="22"/>
          <w:szCs w:val="22"/>
        </w:rPr>
      </w:pPr>
      <w:r w:rsidRPr="00EA59C0">
        <w:rPr>
          <w:rFonts w:ascii="Arial" w:hAnsi="Arial" w:cs="Arial"/>
          <w:b/>
          <w:sz w:val="22"/>
          <w:szCs w:val="22"/>
        </w:rPr>
        <w:t>10.</w:t>
      </w:r>
      <w:r w:rsidR="00C026A6" w:rsidRPr="00EA59C0">
        <w:rPr>
          <w:rFonts w:ascii="Arial" w:hAnsi="Arial" w:cs="Arial"/>
          <w:b/>
          <w:sz w:val="22"/>
          <w:szCs w:val="22"/>
        </w:rPr>
        <w:t xml:space="preserve">  </w:t>
      </w:r>
      <w:r w:rsidRPr="00EA59C0">
        <w:rPr>
          <w:rFonts w:ascii="Arial" w:hAnsi="Arial" w:cs="Arial"/>
          <w:b/>
          <w:sz w:val="22"/>
          <w:szCs w:val="22"/>
        </w:rPr>
        <w:t>Targeted</w:t>
      </w:r>
      <w:r w:rsidR="00C026A6" w:rsidRPr="00EA59C0">
        <w:rPr>
          <w:rFonts w:ascii="Arial" w:hAnsi="Arial" w:cs="Arial"/>
          <w:b/>
          <w:sz w:val="22"/>
          <w:szCs w:val="22"/>
        </w:rPr>
        <w:t xml:space="preserve"> </w:t>
      </w:r>
      <w:r w:rsidRPr="00EA59C0">
        <w:rPr>
          <w:rFonts w:ascii="Arial" w:hAnsi="Arial" w:cs="Arial"/>
          <w:b/>
          <w:sz w:val="22"/>
          <w:szCs w:val="22"/>
        </w:rPr>
        <w:t>Industry(s)</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Information</w:t>
      </w:r>
      <w:r w:rsidR="00C026A6" w:rsidRPr="00EA59C0">
        <w:rPr>
          <w:rFonts w:ascii="Arial" w:hAnsi="Arial" w:cs="Arial"/>
          <w:sz w:val="22"/>
          <w:szCs w:val="22"/>
        </w:rPr>
        <w:t xml:space="preserve"> </w:t>
      </w:r>
      <w:r w:rsidRPr="00EA59C0">
        <w:rPr>
          <w:rFonts w:ascii="Arial" w:hAnsi="Arial" w:cs="Arial"/>
          <w:sz w:val="22"/>
          <w:szCs w:val="22"/>
        </w:rPr>
        <w:t>Technology</w:t>
      </w:r>
    </w:p>
    <w:p w:rsidR="00D9326C" w:rsidRPr="00EA59C0" w:rsidRDefault="00D9326C" w:rsidP="00D9326C">
      <w:pPr>
        <w:autoSpaceDE w:val="0"/>
        <w:autoSpaceDN w:val="0"/>
        <w:adjustRightInd w:val="0"/>
        <w:spacing w:before="120"/>
        <w:ind w:right="-720"/>
        <w:rPr>
          <w:rFonts w:ascii="Arial" w:hAnsi="Arial" w:cs="Arial"/>
          <w:sz w:val="22"/>
          <w:szCs w:val="22"/>
        </w:rPr>
      </w:pPr>
      <w:r w:rsidRPr="00EA59C0">
        <w:rPr>
          <w:rFonts w:ascii="Arial" w:hAnsi="Arial" w:cs="Arial"/>
          <w:b/>
          <w:sz w:val="22"/>
          <w:szCs w:val="22"/>
        </w:rPr>
        <w:t>11.</w:t>
      </w:r>
      <w:r w:rsidR="00C026A6" w:rsidRPr="00EA59C0">
        <w:rPr>
          <w:rFonts w:ascii="Arial" w:hAnsi="Arial" w:cs="Arial"/>
          <w:b/>
          <w:sz w:val="22"/>
          <w:szCs w:val="22"/>
        </w:rPr>
        <w:t xml:space="preserve">  </w:t>
      </w:r>
      <w:r w:rsidRPr="00EA59C0">
        <w:rPr>
          <w:rFonts w:ascii="Arial" w:hAnsi="Arial" w:cs="Arial"/>
          <w:b/>
          <w:sz w:val="22"/>
          <w:szCs w:val="22"/>
        </w:rPr>
        <w:t>Employer</w:t>
      </w:r>
      <w:r w:rsidR="00C026A6" w:rsidRPr="00EA59C0">
        <w:rPr>
          <w:rFonts w:ascii="Arial" w:hAnsi="Arial" w:cs="Arial"/>
          <w:b/>
          <w:sz w:val="22"/>
          <w:szCs w:val="22"/>
        </w:rPr>
        <w:t xml:space="preserve"> </w:t>
      </w:r>
      <w:r w:rsidRPr="00EA59C0">
        <w:rPr>
          <w:rFonts w:ascii="Arial" w:hAnsi="Arial" w:cs="Arial"/>
          <w:b/>
          <w:sz w:val="22"/>
          <w:szCs w:val="22"/>
        </w:rPr>
        <w:t>Partner(s)</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Anytown</w:t>
      </w:r>
      <w:r w:rsidR="00C026A6" w:rsidRPr="00EA59C0">
        <w:rPr>
          <w:rFonts w:ascii="Arial" w:hAnsi="Arial" w:cs="Arial"/>
          <w:sz w:val="22"/>
          <w:szCs w:val="22"/>
        </w:rPr>
        <w:t xml:space="preserve"> </w:t>
      </w:r>
      <w:r w:rsidRPr="00EA59C0">
        <w:rPr>
          <w:rFonts w:ascii="Arial" w:hAnsi="Arial" w:cs="Arial"/>
          <w:sz w:val="22"/>
          <w:szCs w:val="22"/>
        </w:rPr>
        <w:t>IT</w:t>
      </w:r>
      <w:r w:rsidR="00C026A6" w:rsidRPr="00EA59C0">
        <w:rPr>
          <w:rFonts w:ascii="Arial" w:hAnsi="Arial" w:cs="Arial"/>
          <w:sz w:val="22"/>
          <w:szCs w:val="22"/>
        </w:rPr>
        <w:t xml:space="preserve"> </w:t>
      </w:r>
      <w:r w:rsidRPr="00EA59C0">
        <w:rPr>
          <w:rFonts w:ascii="Arial" w:hAnsi="Arial" w:cs="Arial"/>
          <w:sz w:val="22"/>
          <w:szCs w:val="22"/>
        </w:rPr>
        <w:t>Solutions,</w:t>
      </w:r>
      <w:r w:rsidR="00C026A6" w:rsidRPr="00EA59C0">
        <w:rPr>
          <w:rFonts w:ascii="Arial" w:hAnsi="Arial" w:cs="Arial"/>
          <w:sz w:val="22"/>
          <w:szCs w:val="22"/>
        </w:rPr>
        <w:t xml:space="preserve"> </w:t>
      </w:r>
      <w:r w:rsidRPr="00EA59C0">
        <w:rPr>
          <w:rFonts w:ascii="Arial" w:hAnsi="Arial" w:cs="Arial"/>
          <w:sz w:val="22"/>
          <w:szCs w:val="22"/>
        </w:rPr>
        <w:t>Inc.;</w:t>
      </w:r>
      <w:r w:rsidR="00C026A6" w:rsidRPr="00EA59C0">
        <w:rPr>
          <w:rFonts w:ascii="Arial" w:hAnsi="Arial" w:cs="Arial"/>
          <w:sz w:val="22"/>
          <w:szCs w:val="22"/>
        </w:rPr>
        <w:t xml:space="preserve"> </w:t>
      </w:r>
      <w:r w:rsidRPr="00EA59C0">
        <w:rPr>
          <w:rFonts w:ascii="Arial" w:hAnsi="Arial" w:cs="Arial"/>
          <w:sz w:val="22"/>
          <w:szCs w:val="22"/>
        </w:rPr>
        <w:t>YourSpace</w:t>
      </w:r>
      <w:r w:rsidR="00C026A6" w:rsidRPr="00EA59C0">
        <w:rPr>
          <w:rFonts w:ascii="Arial" w:hAnsi="Arial" w:cs="Arial"/>
          <w:sz w:val="22"/>
          <w:szCs w:val="22"/>
        </w:rPr>
        <w:t xml:space="preserve"> </w:t>
      </w:r>
      <w:r w:rsidRPr="00EA59C0">
        <w:rPr>
          <w:rFonts w:ascii="Arial" w:hAnsi="Arial" w:cs="Arial"/>
          <w:sz w:val="22"/>
          <w:szCs w:val="22"/>
        </w:rPr>
        <w:t>Online;</w:t>
      </w:r>
      <w:r w:rsidR="00C026A6" w:rsidRPr="00EA59C0">
        <w:rPr>
          <w:rFonts w:ascii="Arial" w:hAnsi="Arial" w:cs="Arial"/>
          <w:sz w:val="22"/>
          <w:szCs w:val="22"/>
        </w:rPr>
        <w:t xml:space="preserve"> </w:t>
      </w:r>
      <w:r w:rsidRPr="00EA59C0">
        <w:rPr>
          <w:rFonts w:ascii="Arial" w:hAnsi="Arial" w:cs="Arial"/>
          <w:sz w:val="22"/>
          <w:szCs w:val="22"/>
        </w:rPr>
        <w:t>Joe’s</w:t>
      </w:r>
      <w:r w:rsidR="00C026A6" w:rsidRPr="00EA59C0">
        <w:rPr>
          <w:rFonts w:ascii="Arial" w:hAnsi="Arial" w:cs="Arial"/>
          <w:sz w:val="22"/>
          <w:szCs w:val="22"/>
        </w:rPr>
        <w:t xml:space="preserve"> </w:t>
      </w:r>
      <w:r w:rsidRPr="00EA59C0">
        <w:rPr>
          <w:rFonts w:ascii="Arial" w:hAnsi="Arial" w:cs="Arial"/>
          <w:sz w:val="22"/>
          <w:szCs w:val="22"/>
        </w:rPr>
        <w:t>IT</w:t>
      </w:r>
      <w:r w:rsidR="00C026A6" w:rsidRPr="00EA59C0">
        <w:rPr>
          <w:rFonts w:ascii="Arial" w:hAnsi="Arial" w:cs="Arial"/>
          <w:sz w:val="22"/>
          <w:szCs w:val="22"/>
        </w:rPr>
        <w:t xml:space="preserve"> </w:t>
      </w:r>
      <w:r w:rsidRPr="00EA59C0">
        <w:rPr>
          <w:rFonts w:ascii="Arial" w:hAnsi="Arial" w:cs="Arial"/>
          <w:sz w:val="22"/>
          <w:szCs w:val="22"/>
        </w:rPr>
        <w:t>Shop;</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National</w:t>
      </w:r>
      <w:r w:rsidR="00C026A6" w:rsidRPr="00EA59C0">
        <w:rPr>
          <w:rFonts w:ascii="Arial" w:hAnsi="Arial" w:cs="Arial"/>
          <w:sz w:val="22"/>
          <w:szCs w:val="22"/>
        </w:rPr>
        <w:t xml:space="preserve"> </w:t>
      </w:r>
      <w:r w:rsidRPr="00EA59C0">
        <w:rPr>
          <w:rFonts w:ascii="Arial" w:hAnsi="Arial" w:cs="Arial"/>
          <w:sz w:val="22"/>
          <w:szCs w:val="22"/>
        </w:rPr>
        <w:t>Health</w:t>
      </w:r>
      <w:r w:rsidR="00C026A6" w:rsidRPr="00EA59C0">
        <w:rPr>
          <w:rFonts w:ascii="Arial" w:hAnsi="Arial" w:cs="Arial"/>
          <w:sz w:val="22"/>
          <w:szCs w:val="22"/>
        </w:rPr>
        <w:t xml:space="preserve"> </w:t>
      </w:r>
      <w:r w:rsidRPr="00EA59C0">
        <w:rPr>
          <w:rFonts w:ascii="Arial" w:hAnsi="Arial" w:cs="Arial"/>
          <w:sz w:val="22"/>
          <w:szCs w:val="22"/>
        </w:rPr>
        <w:t>Centers.</w:t>
      </w:r>
    </w:p>
    <w:p w:rsidR="00D9326C" w:rsidRPr="00EA59C0" w:rsidRDefault="00D9326C" w:rsidP="00D9326C">
      <w:pPr>
        <w:autoSpaceDE w:val="0"/>
        <w:autoSpaceDN w:val="0"/>
        <w:adjustRightInd w:val="0"/>
        <w:spacing w:before="120"/>
        <w:ind w:right="-720"/>
        <w:rPr>
          <w:rFonts w:ascii="Arial" w:hAnsi="Arial" w:cs="Arial"/>
          <w:sz w:val="22"/>
          <w:szCs w:val="22"/>
        </w:rPr>
      </w:pPr>
      <w:r w:rsidRPr="00EA59C0">
        <w:rPr>
          <w:rFonts w:ascii="Arial" w:hAnsi="Arial" w:cs="Arial"/>
          <w:b/>
          <w:sz w:val="22"/>
          <w:szCs w:val="22"/>
        </w:rPr>
        <w:t>12.</w:t>
      </w:r>
      <w:r w:rsidR="00C026A6" w:rsidRPr="00EA59C0">
        <w:rPr>
          <w:rFonts w:ascii="Arial" w:hAnsi="Arial" w:cs="Arial"/>
          <w:b/>
          <w:sz w:val="22"/>
          <w:szCs w:val="22"/>
        </w:rPr>
        <w:t xml:space="preserve">  </w:t>
      </w:r>
      <w:r w:rsidRPr="00EA59C0">
        <w:rPr>
          <w:rFonts w:ascii="Arial" w:hAnsi="Arial" w:cs="Arial"/>
          <w:b/>
          <w:sz w:val="22"/>
          <w:szCs w:val="22"/>
        </w:rPr>
        <w:t>Public</w:t>
      </w:r>
      <w:r w:rsidR="00C026A6" w:rsidRPr="00EA59C0">
        <w:rPr>
          <w:rFonts w:ascii="Arial" w:hAnsi="Arial" w:cs="Arial"/>
          <w:b/>
          <w:sz w:val="22"/>
          <w:szCs w:val="22"/>
        </w:rPr>
        <w:t xml:space="preserve"> </w:t>
      </w:r>
      <w:r w:rsidRPr="00EA59C0">
        <w:rPr>
          <w:rFonts w:ascii="Arial" w:hAnsi="Arial" w:cs="Arial"/>
          <w:b/>
          <w:sz w:val="22"/>
          <w:szCs w:val="22"/>
        </w:rPr>
        <w:t>Workforce</w:t>
      </w:r>
      <w:r w:rsidR="00C026A6" w:rsidRPr="00EA59C0">
        <w:rPr>
          <w:rFonts w:ascii="Arial" w:hAnsi="Arial" w:cs="Arial"/>
          <w:b/>
          <w:sz w:val="22"/>
          <w:szCs w:val="22"/>
        </w:rPr>
        <w:t xml:space="preserve"> </w:t>
      </w:r>
      <w:r w:rsidRPr="00EA59C0">
        <w:rPr>
          <w:rFonts w:ascii="Arial" w:hAnsi="Arial" w:cs="Arial"/>
          <w:b/>
          <w:sz w:val="22"/>
          <w:szCs w:val="22"/>
        </w:rPr>
        <w:t>System</w:t>
      </w:r>
      <w:r w:rsidR="00C026A6" w:rsidRPr="00EA59C0">
        <w:rPr>
          <w:rFonts w:ascii="Arial" w:hAnsi="Arial" w:cs="Arial"/>
          <w:b/>
          <w:sz w:val="22"/>
          <w:szCs w:val="22"/>
        </w:rPr>
        <w:t xml:space="preserve"> </w:t>
      </w:r>
      <w:r w:rsidRPr="00EA59C0">
        <w:rPr>
          <w:rFonts w:ascii="Arial" w:hAnsi="Arial" w:cs="Arial"/>
          <w:b/>
          <w:sz w:val="22"/>
          <w:szCs w:val="22"/>
        </w:rPr>
        <w:t>Partner(s)</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Anytown</w:t>
      </w:r>
      <w:r w:rsidR="00C026A6" w:rsidRPr="00EA59C0">
        <w:rPr>
          <w:rFonts w:ascii="Arial" w:hAnsi="Arial" w:cs="Arial"/>
          <w:sz w:val="22"/>
          <w:szCs w:val="22"/>
        </w:rPr>
        <w:t xml:space="preserve"> </w:t>
      </w:r>
      <w:r w:rsidRPr="00EA59C0">
        <w:rPr>
          <w:rFonts w:ascii="Arial" w:hAnsi="Arial" w:cs="Arial"/>
          <w:sz w:val="22"/>
          <w:szCs w:val="22"/>
        </w:rPr>
        <w:t>Workforce</w:t>
      </w:r>
      <w:r w:rsidR="00C026A6" w:rsidRPr="00EA59C0">
        <w:rPr>
          <w:rFonts w:ascii="Arial" w:hAnsi="Arial" w:cs="Arial"/>
          <w:sz w:val="22"/>
          <w:szCs w:val="22"/>
        </w:rPr>
        <w:t xml:space="preserve"> </w:t>
      </w:r>
      <w:r w:rsidRPr="00EA59C0">
        <w:rPr>
          <w:rFonts w:ascii="Arial" w:hAnsi="Arial" w:cs="Arial"/>
          <w:sz w:val="22"/>
          <w:szCs w:val="22"/>
        </w:rPr>
        <w:t>Investment</w:t>
      </w:r>
      <w:r w:rsidR="00C026A6" w:rsidRPr="00EA59C0">
        <w:rPr>
          <w:rFonts w:ascii="Arial" w:hAnsi="Arial" w:cs="Arial"/>
          <w:sz w:val="22"/>
          <w:szCs w:val="22"/>
        </w:rPr>
        <w:t xml:space="preserve"> </w:t>
      </w:r>
      <w:r w:rsidRPr="00EA59C0">
        <w:rPr>
          <w:rFonts w:ascii="Arial" w:hAnsi="Arial" w:cs="Arial"/>
          <w:sz w:val="22"/>
          <w:szCs w:val="22"/>
        </w:rPr>
        <w:t>Board,</w:t>
      </w:r>
      <w:r w:rsidR="00C026A6" w:rsidRPr="00EA59C0">
        <w:rPr>
          <w:rFonts w:ascii="Arial" w:hAnsi="Arial" w:cs="Arial"/>
          <w:sz w:val="22"/>
          <w:szCs w:val="22"/>
        </w:rPr>
        <w:t xml:space="preserve"> </w:t>
      </w:r>
      <w:r w:rsidRPr="00EA59C0">
        <w:rPr>
          <w:rFonts w:ascii="Arial" w:hAnsi="Arial" w:cs="Arial"/>
          <w:sz w:val="22"/>
          <w:szCs w:val="22"/>
        </w:rPr>
        <w:t>Anothertown</w:t>
      </w:r>
      <w:r w:rsidR="00C026A6" w:rsidRPr="00EA59C0">
        <w:rPr>
          <w:rFonts w:ascii="Arial" w:hAnsi="Arial" w:cs="Arial"/>
          <w:sz w:val="22"/>
          <w:szCs w:val="22"/>
        </w:rPr>
        <w:t xml:space="preserve"> </w:t>
      </w:r>
      <w:r w:rsidRPr="00EA59C0">
        <w:rPr>
          <w:rFonts w:ascii="Arial" w:hAnsi="Arial" w:cs="Arial"/>
          <w:sz w:val="22"/>
          <w:szCs w:val="22"/>
        </w:rPr>
        <w:t>One-Stop</w:t>
      </w:r>
      <w:r w:rsidR="00C026A6" w:rsidRPr="00EA59C0">
        <w:rPr>
          <w:rFonts w:ascii="Arial" w:hAnsi="Arial" w:cs="Arial"/>
          <w:sz w:val="22"/>
          <w:szCs w:val="22"/>
        </w:rPr>
        <w:t xml:space="preserve"> </w:t>
      </w:r>
      <w:r w:rsidRPr="00EA59C0">
        <w:rPr>
          <w:rFonts w:ascii="Arial" w:hAnsi="Arial" w:cs="Arial"/>
          <w:sz w:val="22"/>
          <w:szCs w:val="22"/>
        </w:rPr>
        <w:t>Career</w:t>
      </w:r>
      <w:r w:rsidR="00C026A6" w:rsidRPr="00EA59C0">
        <w:rPr>
          <w:rFonts w:ascii="Arial" w:hAnsi="Arial" w:cs="Arial"/>
          <w:sz w:val="22"/>
          <w:szCs w:val="22"/>
        </w:rPr>
        <w:t xml:space="preserve"> </w:t>
      </w:r>
      <w:r w:rsidRPr="00EA59C0">
        <w:rPr>
          <w:rFonts w:ascii="Arial" w:hAnsi="Arial" w:cs="Arial"/>
          <w:sz w:val="22"/>
          <w:szCs w:val="22"/>
        </w:rPr>
        <w:t>Center,</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Differentown</w:t>
      </w:r>
      <w:r w:rsidR="00C026A6" w:rsidRPr="00EA59C0">
        <w:rPr>
          <w:rFonts w:ascii="Arial" w:hAnsi="Arial" w:cs="Arial"/>
          <w:sz w:val="22"/>
          <w:szCs w:val="22"/>
        </w:rPr>
        <w:t xml:space="preserve"> </w:t>
      </w:r>
      <w:r w:rsidRPr="00EA59C0">
        <w:rPr>
          <w:rFonts w:ascii="Arial" w:hAnsi="Arial" w:cs="Arial"/>
          <w:sz w:val="22"/>
          <w:szCs w:val="22"/>
        </w:rPr>
        <w:t>Adult</w:t>
      </w:r>
      <w:r w:rsidR="00C026A6" w:rsidRPr="00EA59C0">
        <w:rPr>
          <w:rFonts w:ascii="Arial" w:hAnsi="Arial" w:cs="Arial"/>
          <w:sz w:val="22"/>
          <w:szCs w:val="22"/>
        </w:rPr>
        <w:t xml:space="preserve"> </w:t>
      </w:r>
      <w:r w:rsidRPr="00EA59C0">
        <w:rPr>
          <w:rFonts w:ascii="Arial" w:hAnsi="Arial" w:cs="Arial"/>
          <w:sz w:val="22"/>
          <w:szCs w:val="22"/>
        </w:rPr>
        <w:t>Education</w:t>
      </w:r>
      <w:r w:rsidR="00C026A6" w:rsidRPr="00EA59C0">
        <w:rPr>
          <w:rFonts w:ascii="Arial" w:hAnsi="Arial" w:cs="Arial"/>
          <w:sz w:val="22"/>
          <w:szCs w:val="22"/>
        </w:rPr>
        <w:t xml:space="preserve"> </w:t>
      </w:r>
      <w:r w:rsidRPr="00EA59C0">
        <w:rPr>
          <w:rFonts w:ascii="Arial" w:hAnsi="Arial" w:cs="Arial"/>
          <w:sz w:val="22"/>
          <w:szCs w:val="22"/>
        </w:rPr>
        <w:t>Center.</w:t>
      </w:r>
      <w:r w:rsidRPr="00EA59C0">
        <w:rPr>
          <w:rFonts w:ascii="Arial" w:hAnsi="Arial" w:cs="Arial"/>
          <w:sz w:val="22"/>
          <w:szCs w:val="22"/>
        </w:rPr>
        <w:br/>
      </w:r>
      <w:r w:rsidRPr="00EA59C0">
        <w:rPr>
          <w:rFonts w:ascii="Arial" w:hAnsi="Arial" w:cs="Arial"/>
          <w:b/>
          <w:sz w:val="22"/>
          <w:szCs w:val="22"/>
        </w:rPr>
        <w:t>13.</w:t>
      </w:r>
      <w:r w:rsidR="00C026A6" w:rsidRPr="00EA59C0">
        <w:rPr>
          <w:rFonts w:ascii="Arial" w:hAnsi="Arial" w:cs="Arial"/>
          <w:b/>
          <w:sz w:val="22"/>
          <w:szCs w:val="22"/>
        </w:rPr>
        <w:t xml:space="preserve">  </w:t>
      </w:r>
      <w:r w:rsidRPr="00EA59C0">
        <w:rPr>
          <w:rFonts w:ascii="Arial" w:hAnsi="Arial" w:cs="Arial"/>
          <w:b/>
          <w:sz w:val="22"/>
          <w:szCs w:val="22"/>
        </w:rPr>
        <w:t>Other</w:t>
      </w:r>
      <w:r w:rsidR="00C026A6" w:rsidRPr="00EA59C0">
        <w:rPr>
          <w:rFonts w:ascii="Arial" w:hAnsi="Arial" w:cs="Arial"/>
          <w:b/>
          <w:sz w:val="22"/>
          <w:szCs w:val="22"/>
        </w:rPr>
        <w:t xml:space="preserve"> </w:t>
      </w:r>
      <w:r w:rsidRPr="00EA59C0">
        <w:rPr>
          <w:rFonts w:ascii="Arial" w:hAnsi="Arial" w:cs="Arial"/>
          <w:b/>
          <w:sz w:val="22"/>
          <w:szCs w:val="22"/>
        </w:rPr>
        <w:t>Key</w:t>
      </w:r>
      <w:r w:rsidR="00C026A6" w:rsidRPr="00EA59C0">
        <w:rPr>
          <w:rFonts w:ascii="Arial" w:hAnsi="Arial" w:cs="Arial"/>
          <w:b/>
          <w:sz w:val="22"/>
          <w:szCs w:val="22"/>
        </w:rPr>
        <w:t xml:space="preserve"> </w:t>
      </w:r>
      <w:r w:rsidRPr="00EA59C0">
        <w:rPr>
          <w:rFonts w:ascii="Arial" w:hAnsi="Arial" w:cs="Arial"/>
          <w:b/>
          <w:sz w:val="22"/>
          <w:szCs w:val="22"/>
        </w:rPr>
        <w:t>Partner(s)</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Round</w:t>
      </w:r>
      <w:r w:rsidR="00C026A6" w:rsidRPr="00EA59C0">
        <w:rPr>
          <w:rFonts w:ascii="Arial" w:hAnsi="Arial" w:cs="Arial"/>
          <w:sz w:val="22"/>
          <w:szCs w:val="22"/>
        </w:rPr>
        <w:t xml:space="preserve"> </w:t>
      </w:r>
      <w:r w:rsidRPr="00EA59C0">
        <w:rPr>
          <w:rFonts w:ascii="Arial" w:hAnsi="Arial" w:cs="Arial"/>
          <w:sz w:val="22"/>
          <w:szCs w:val="22"/>
        </w:rPr>
        <w:t>1</w:t>
      </w:r>
      <w:r w:rsidR="00C026A6" w:rsidRPr="00EA59C0">
        <w:rPr>
          <w:rFonts w:ascii="Arial" w:hAnsi="Arial" w:cs="Arial"/>
          <w:sz w:val="22"/>
          <w:szCs w:val="22"/>
        </w:rPr>
        <w:t xml:space="preserve"> </w:t>
      </w:r>
      <w:r w:rsidRPr="00EA59C0">
        <w:rPr>
          <w:rFonts w:ascii="Arial" w:hAnsi="Arial" w:cs="Arial"/>
          <w:sz w:val="22"/>
          <w:szCs w:val="22"/>
        </w:rPr>
        <w:t>TAACCCT</w:t>
      </w:r>
      <w:r w:rsidR="00C026A6" w:rsidRPr="00EA59C0">
        <w:rPr>
          <w:rFonts w:ascii="Arial" w:hAnsi="Arial" w:cs="Arial"/>
          <w:sz w:val="22"/>
          <w:szCs w:val="22"/>
        </w:rPr>
        <w:t xml:space="preserve"> </w:t>
      </w:r>
      <w:r w:rsidRPr="00EA59C0">
        <w:rPr>
          <w:rFonts w:ascii="Arial" w:hAnsi="Arial" w:cs="Arial"/>
          <w:sz w:val="22"/>
          <w:szCs w:val="22"/>
        </w:rPr>
        <w:t>Grantee</w:t>
      </w:r>
    </w:p>
    <w:p w:rsidR="00D9326C" w:rsidRPr="00EA59C0" w:rsidRDefault="00D9326C" w:rsidP="00D9326C">
      <w:pPr>
        <w:autoSpaceDE w:val="0"/>
        <w:autoSpaceDN w:val="0"/>
        <w:adjustRightInd w:val="0"/>
        <w:spacing w:before="120"/>
        <w:ind w:right="-720"/>
        <w:rPr>
          <w:rFonts w:ascii="Arial" w:hAnsi="Arial" w:cs="Arial"/>
          <w:sz w:val="22"/>
          <w:szCs w:val="22"/>
        </w:rPr>
      </w:pPr>
      <w:r w:rsidRPr="00EA59C0">
        <w:rPr>
          <w:rFonts w:ascii="Arial" w:hAnsi="Arial" w:cs="Arial"/>
          <w:b/>
          <w:sz w:val="22"/>
          <w:szCs w:val="22"/>
        </w:rPr>
        <w:t>14.</w:t>
      </w:r>
      <w:r w:rsidR="00C026A6" w:rsidRPr="00EA59C0">
        <w:rPr>
          <w:rFonts w:ascii="Arial" w:hAnsi="Arial" w:cs="Arial"/>
          <w:b/>
          <w:sz w:val="22"/>
          <w:szCs w:val="22"/>
        </w:rPr>
        <w:t xml:space="preserve">  </w:t>
      </w:r>
      <w:r w:rsidRPr="00EA59C0">
        <w:rPr>
          <w:rFonts w:ascii="Arial" w:hAnsi="Arial" w:cs="Arial"/>
          <w:b/>
          <w:sz w:val="22"/>
          <w:szCs w:val="22"/>
        </w:rPr>
        <w:t>Public</w:t>
      </w:r>
      <w:r w:rsidR="00C026A6" w:rsidRPr="00EA59C0">
        <w:rPr>
          <w:rFonts w:ascii="Arial" w:hAnsi="Arial" w:cs="Arial"/>
          <w:b/>
          <w:sz w:val="22"/>
          <w:szCs w:val="22"/>
        </w:rPr>
        <w:t xml:space="preserve"> </w:t>
      </w:r>
      <w:r w:rsidRPr="00EA59C0">
        <w:rPr>
          <w:rFonts w:ascii="Arial" w:hAnsi="Arial" w:cs="Arial"/>
          <w:b/>
          <w:sz w:val="22"/>
          <w:szCs w:val="22"/>
        </w:rPr>
        <w:t>Contact</w:t>
      </w:r>
      <w:r w:rsidR="00C026A6" w:rsidRPr="00EA59C0">
        <w:rPr>
          <w:rFonts w:ascii="Arial" w:hAnsi="Arial" w:cs="Arial"/>
          <w:b/>
          <w:sz w:val="22"/>
          <w:szCs w:val="22"/>
        </w:rPr>
        <w:t xml:space="preserve"> </w:t>
      </w:r>
      <w:r w:rsidRPr="00EA59C0">
        <w:rPr>
          <w:rFonts w:ascii="Arial" w:hAnsi="Arial" w:cs="Arial"/>
          <w:b/>
          <w:sz w:val="22"/>
          <w:szCs w:val="22"/>
        </w:rPr>
        <w:t>Information</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Steven</w:t>
      </w:r>
      <w:r w:rsidR="00C026A6" w:rsidRPr="00EA59C0">
        <w:rPr>
          <w:rFonts w:ascii="Arial" w:hAnsi="Arial" w:cs="Arial"/>
          <w:sz w:val="22"/>
          <w:szCs w:val="22"/>
        </w:rPr>
        <w:t xml:space="preserve"> </w:t>
      </w:r>
      <w:r w:rsidRPr="00EA59C0">
        <w:rPr>
          <w:rFonts w:ascii="Arial" w:hAnsi="Arial" w:cs="Arial"/>
          <w:sz w:val="22"/>
          <w:szCs w:val="22"/>
        </w:rPr>
        <w:t>Baird,</w:t>
      </w:r>
      <w:r w:rsidR="00C026A6" w:rsidRPr="00EA59C0">
        <w:rPr>
          <w:rFonts w:ascii="Arial" w:hAnsi="Arial" w:cs="Arial"/>
          <w:sz w:val="22"/>
          <w:szCs w:val="22"/>
        </w:rPr>
        <w:t xml:space="preserve"> </w:t>
      </w:r>
      <w:r w:rsidRPr="00EA59C0">
        <w:rPr>
          <w:rFonts w:ascii="Arial" w:hAnsi="Arial" w:cs="Arial"/>
          <w:sz w:val="22"/>
          <w:szCs w:val="22"/>
        </w:rPr>
        <w:t>Director</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Grant</w:t>
      </w:r>
      <w:r w:rsidR="00C026A6" w:rsidRPr="00EA59C0">
        <w:rPr>
          <w:rFonts w:ascii="Arial" w:hAnsi="Arial" w:cs="Arial"/>
          <w:sz w:val="22"/>
          <w:szCs w:val="22"/>
        </w:rPr>
        <w:t xml:space="preserve"> </w:t>
      </w:r>
      <w:r w:rsidRPr="00EA59C0">
        <w:rPr>
          <w:rFonts w:ascii="Arial" w:hAnsi="Arial" w:cs="Arial"/>
          <w:sz w:val="22"/>
          <w:szCs w:val="22"/>
        </w:rPr>
        <w:t>Programs,</w:t>
      </w:r>
      <w:r w:rsidR="00C026A6" w:rsidRPr="00EA59C0">
        <w:rPr>
          <w:rFonts w:ascii="Arial" w:hAnsi="Arial" w:cs="Arial"/>
          <w:sz w:val="22"/>
          <w:szCs w:val="22"/>
        </w:rPr>
        <w:t xml:space="preserve"> </w:t>
      </w:r>
      <w:r w:rsidRPr="00EA59C0">
        <w:rPr>
          <w:rFonts w:ascii="Arial" w:hAnsi="Arial" w:cs="Arial"/>
          <w:sz w:val="22"/>
          <w:szCs w:val="22"/>
        </w:rPr>
        <w:t>Anytown</w:t>
      </w:r>
      <w:r w:rsidR="00C026A6" w:rsidRPr="00EA59C0">
        <w:rPr>
          <w:rFonts w:ascii="Arial" w:hAnsi="Arial" w:cs="Arial"/>
          <w:sz w:val="22"/>
          <w:szCs w:val="22"/>
        </w:rPr>
        <w:t xml:space="preserve"> </w:t>
      </w:r>
      <w:r w:rsidRPr="00EA59C0">
        <w:rPr>
          <w:rFonts w:ascii="Arial" w:hAnsi="Arial" w:cs="Arial"/>
          <w:sz w:val="22"/>
          <w:szCs w:val="22"/>
        </w:rPr>
        <w:t>USA</w:t>
      </w:r>
      <w:r w:rsidR="00C026A6" w:rsidRPr="00EA59C0">
        <w:rPr>
          <w:rFonts w:ascii="Arial" w:hAnsi="Arial" w:cs="Arial"/>
          <w:sz w:val="22"/>
          <w:szCs w:val="22"/>
        </w:rPr>
        <w:t xml:space="preserve"> </w:t>
      </w:r>
      <w:r w:rsidRPr="00EA59C0">
        <w:rPr>
          <w:rFonts w:ascii="Arial" w:hAnsi="Arial" w:cs="Arial"/>
          <w:sz w:val="22"/>
          <w:szCs w:val="22"/>
        </w:rPr>
        <w:t>Community</w:t>
      </w:r>
      <w:r w:rsidR="00C026A6" w:rsidRPr="00EA59C0">
        <w:rPr>
          <w:rFonts w:ascii="Arial" w:hAnsi="Arial" w:cs="Arial"/>
          <w:sz w:val="22"/>
          <w:szCs w:val="22"/>
        </w:rPr>
        <w:t xml:space="preserve"> </w:t>
      </w:r>
      <w:r w:rsidRPr="00EA59C0">
        <w:rPr>
          <w:rFonts w:ascii="Arial" w:hAnsi="Arial" w:cs="Arial"/>
          <w:sz w:val="22"/>
          <w:szCs w:val="22"/>
        </w:rPr>
        <w:t>College,</w:t>
      </w:r>
      <w:r w:rsidR="00C026A6" w:rsidRPr="00EA59C0">
        <w:rPr>
          <w:rFonts w:ascii="Arial" w:hAnsi="Arial" w:cs="Arial"/>
          <w:sz w:val="22"/>
          <w:szCs w:val="22"/>
        </w:rPr>
        <w:t xml:space="preserve"> </w:t>
      </w:r>
      <w:r w:rsidRPr="00EA59C0">
        <w:rPr>
          <w:rFonts w:ascii="Arial" w:hAnsi="Arial" w:cs="Arial"/>
          <w:sz w:val="22"/>
          <w:szCs w:val="22"/>
        </w:rPr>
        <w:t>(800)555-1234,</w:t>
      </w:r>
      <w:r w:rsidR="00C026A6" w:rsidRPr="00EA59C0">
        <w:rPr>
          <w:rFonts w:ascii="Arial" w:hAnsi="Arial" w:cs="Arial"/>
          <w:sz w:val="22"/>
          <w:szCs w:val="22"/>
        </w:rPr>
        <w:t xml:space="preserve"> </w:t>
      </w:r>
      <w:hyperlink r:id="rId386" w:history="1">
        <w:r w:rsidRPr="00EA59C0">
          <w:rPr>
            <w:rStyle w:val="Hyperlink"/>
            <w:rFonts w:ascii="Arial" w:eastAsiaTheme="majorEastAsia" w:hAnsi="Arial" w:cs="Arial"/>
            <w:color w:val="auto"/>
            <w:sz w:val="22"/>
            <w:szCs w:val="22"/>
          </w:rPr>
          <w:t>baird.steven@anytownCC.edu</w:t>
        </w:r>
      </w:hyperlink>
      <w:r w:rsidRPr="00EA59C0">
        <w:rPr>
          <w:rFonts w:ascii="Arial" w:hAnsi="Arial" w:cs="Arial"/>
          <w:sz w:val="22"/>
          <w:szCs w:val="22"/>
        </w:rPr>
        <w:t>.</w:t>
      </w:r>
    </w:p>
    <w:p w:rsidR="00D9326C" w:rsidRPr="00EA59C0" w:rsidRDefault="00D9326C" w:rsidP="00D9326C">
      <w:pPr>
        <w:autoSpaceDE w:val="0"/>
        <w:autoSpaceDN w:val="0"/>
        <w:adjustRightInd w:val="0"/>
        <w:spacing w:before="120"/>
        <w:ind w:right="-720"/>
        <w:rPr>
          <w:rFonts w:ascii="Arial" w:hAnsi="Arial" w:cs="Arial"/>
          <w:sz w:val="22"/>
          <w:szCs w:val="22"/>
        </w:rPr>
      </w:pPr>
      <w:r w:rsidRPr="00EA59C0">
        <w:rPr>
          <w:rFonts w:ascii="Arial" w:hAnsi="Arial" w:cs="Arial"/>
          <w:b/>
          <w:sz w:val="22"/>
          <w:szCs w:val="22"/>
        </w:rPr>
        <w:t>15.</w:t>
      </w:r>
      <w:r w:rsidR="00C026A6" w:rsidRPr="00EA59C0">
        <w:rPr>
          <w:rFonts w:ascii="Arial" w:hAnsi="Arial" w:cs="Arial"/>
          <w:b/>
          <w:sz w:val="22"/>
          <w:szCs w:val="22"/>
        </w:rPr>
        <w:t xml:space="preserve">  </w:t>
      </w:r>
      <w:r w:rsidRPr="00EA59C0">
        <w:rPr>
          <w:rFonts w:ascii="Arial" w:hAnsi="Arial" w:cs="Arial"/>
          <w:b/>
          <w:sz w:val="22"/>
          <w:szCs w:val="22"/>
        </w:rPr>
        <w:t>Percentage</w:t>
      </w:r>
      <w:r w:rsidR="00C026A6" w:rsidRPr="00EA59C0">
        <w:rPr>
          <w:rFonts w:ascii="Arial" w:hAnsi="Arial" w:cs="Arial"/>
          <w:b/>
          <w:sz w:val="22"/>
          <w:szCs w:val="22"/>
        </w:rPr>
        <w:t xml:space="preserve"> </w:t>
      </w:r>
      <w:r w:rsidRPr="00EA59C0">
        <w:rPr>
          <w:rFonts w:ascii="Arial" w:hAnsi="Arial" w:cs="Arial"/>
          <w:b/>
          <w:sz w:val="22"/>
          <w:szCs w:val="22"/>
        </w:rPr>
        <w:t>of</w:t>
      </w:r>
      <w:r w:rsidR="00C026A6" w:rsidRPr="00EA59C0">
        <w:rPr>
          <w:rFonts w:ascii="Arial" w:hAnsi="Arial" w:cs="Arial"/>
          <w:b/>
          <w:sz w:val="22"/>
          <w:szCs w:val="22"/>
        </w:rPr>
        <w:t xml:space="preserve"> </w:t>
      </w:r>
      <w:r w:rsidRPr="00EA59C0">
        <w:rPr>
          <w:rFonts w:ascii="Arial" w:hAnsi="Arial" w:cs="Arial"/>
          <w:b/>
          <w:sz w:val="22"/>
          <w:szCs w:val="22"/>
        </w:rPr>
        <w:t>OER</w:t>
      </w:r>
      <w:r w:rsidR="00C026A6" w:rsidRPr="00EA59C0">
        <w:rPr>
          <w:rFonts w:ascii="Arial" w:hAnsi="Arial" w:cs="Arial"/>
          <w:b/>
          <w:sz w:val="22"/>
          <w:szCs w:val="22"/>
        </w:rPr>
        <w:t xml:space="preserve"> </w:t>
      </w:r>
      <w:r w:rsidRPr="00EA59C0">
        <w:rPr>
          <w:rFonts w:ascii="Arial" w:hAnsi="Arial" w:cs="Arial"/>
          <w:b/>
          <w:sz w:val="22"/>
          <w:szCs w:val="22"/>
        </w:rPr>
        <w:t>Program</w:t>
      </w:r>
      <w:r w:rsidR="00C026A6" w:rsidRPr="00EA59C0">
        <w:rPr>
          <w:rFonts w:ascii="Arial" w:hAnsi="Arial" w:cs="Arial"/>
          <w:b/>
          <w:sz w:val="22"/>
          <w:szCs w:val="22"/>
        </w:rPr>
        <w:t xml:space="preserve"> </w:t>
      </w:r>
      <w:r w:rsidRPr="00EA59C0">
        <w:rPr>
          <w:rFonts w:ascii="Arial" w:hAnsi="Arial" w:cs="Arial"/>
          <w:b/>
          <w:sz w:val="22"/>
          <w:szCs w:val="22"/>
        </w:rPr>
        <w:t>Materials</w:t>
      </w:r>
      <w:r w:rsidR="00C026A6" w:rsidRPr="00EA59C0">
        <w:rPr>
          <w:rFonts w:ascii="Arial" w:hAnsi="Arial" w:cs="Arial"/>
          <w:b/>
          <w:sz w:val="22"/>
          <w:szCs w:val="22"/>
        </w:rPr>
        <w:t xml:space="preserve"> </w:t>
      </w:r>
      <w:r w:rsidRPr="00EA59C0">
        <w:rPr>
          <w:rFonts w:ascii="Arial" w:hAnsi="Arial" w:cs="Arial"/>
          <w:b/>
          <w:sz w:val="22"/>
          <w:szCs w:val="22"/>
        </w:rPr>
        <w:t>Developed</w:t>
      </w:r>
      <w:r w:rsidR="00C026A6" w:rsidRPr="00EA59C0">
        <w:rPr>
          <w:rFonts w:ascii="Arial" w:hAnsi="Arial" w:cs="Arial"/>
          <w:b/>
          <w:sz w:val="22"/>
          <w:szCs w:val="22"/>
        </w:rPr>
        <w:t xml:space="preserve"> </w:t>
      </w:r>
      <w:r w:rsidRPr="00EA59C0">
        <w:rPr>
          <w:rFonts w:ascii="Arial" w:hAnsi="Arial" w:cs="Arial"/>
          <w:b/>
          <w:sz w:val="22"/>
          <w:szCs w:val="22"/>
        </w:rPr>
        <w:t>vs.</w:t>
      </w:r>
      <w:r w:rsidR="00C026A6" w:rsidRPr="00EA59C0">
        <w:rPr>
          <w:rFonts w:ascii="Arial" w:hAnsi="Arial" w:cs="Arial"/>
          <w:b/>
          <w:sz w:val="22"/>
          <w:szCs w:val="22"/>
        </w:rPr>
        <w:t xml:space="preserve"> </w:t>
      </w:r>
      <w:r w:rsidRPr="00EA59C0">
        <w:rPr>
          <w:rFonts w:ascii="Arial" w:hAnsi="Arial" w:cs="Arial"/>
          <w:b/>
          <w:sz w:val="22"/>
          <w:szCs w:val="22"/>
        </w:rPr>
        <w:t>Percentage</w:t>
      </w:r>
      <w:r w:rsidR="00C026A6" w:rsidRPr="00EA59C0">
        <w:rPr>
          <w:rFonts w:ascii="Arial" w:hAnsi="Arial" w:cs="Arial"/>
          <w:b/>
          <w:sz w:val="22"/>
          <w:szCs w:val="22"/>
        </w:rPr>
        <w:t xml:space="preserve"> </w:t>
      </w:r>
      <w:r w:rsidRPr="00EA59C0">
        <w:rPr>
          <w:rFonts w:ascii="Arial" w:hAnsi="Arial" w:cs="Arial"/>
          <w:b/>
          <w:sz w:val="22"/>
          <w:szCs w:val="22"/>
        </w:rPr>
        <w:t>of</w:t>
      </w:r>
      <w:r w:rsidR="00C026A6" w:rsidRPr="00EA59C0">
        <w:rPr>
          <w:rFonts w:ascii="Arial" w:hAnsi="Arial" w:cs="Arial"/>
          <w:b/>
          <w:sz w:val="22"/>
          <w:szCs w:val="22"/>
        </w:rPr>
        <w:t xml:space="preserve"> </w:t>
      </w:r>
      <w:r w:rsidRPr="00EA59C0">
        <w:rPr>
          <w:rFonts w:ascii="Arial" w:hAnsi="Arial" w:cs="Arial"/>
          <w:b/>
          <w:sz w:val="22"/>
          <w:szCs w:val="22"/>
        </w:rPr>
        <w:t>Licensed</w:t>
      </w:r>
      <w:r w:rsidR="00C026A6" w:rsidRPr="00EA59C0">
        <w:rPr>
          <w:rFonts w:ascii="Arial" w:hAnsi="Arial" w:cs="Arial"/>
          <w:b/>
          <w:sz w:val="22"/>
          <w:szCs w:val="22"/>
        </w:rPr>
        <w:t xml:space="preserve"> </w:t>
      </w:r>
      <w:r w:rsidRPr="00EA59C0">
        <w:rPr>
          <w:rFonts w:ascii="Arial" w:hAnsi="Arial" w:cs="Arial"/>
          <w:b/>
          <w:sz w:val="22"/>
          <w:szCs w:val="22"/>
        </w:rPr>
        <w:t>or</w:t>
      </w:r>
      <w:r w:rsidR="00C026A6" w:rsidRPr="00EA59C0">
        <w:rPr>
          <w:rFonts w:ascii="Arial" w:hAnsi="Arial" w:cs="Arial"/>
          <w:b/>
          <w:sz w:val="22"/>
          <w:szCs w:val="22"/>
        </w:rPr>
        <w:t xml:space="preserve"> </w:t>
      </w:r>
      <w:r w:rsidRPr="00EA59C0">
        <w:rPr>
          <w:rFonts w:ascii="Arial" w:hAnsi="Arial" w:cs="Arial"/>
          <w:b/>
          <w:sz w:val="22"/>
          <w:szCs w:val="22"/>
        </w:rPr>
        <w:t>Purchased</w:t>
      </w:r>
      <w:r w:rsidR="00C026A6" w:rsidRPr="00EA59C0">
        <w:rPr>
          <w:rFonts w:ascii="Arial" w:hAnsi="Arial" w:cs="Arial"/>
          <w:b/>
          <w:sz w:val="22"/>
          <w:szCs w:val="22"/>
        </w:rPr>
        <w:t xml:space="preserve"> </w:t>
      </w:r>
      <w:r w:rsidRPr="00EA59C0">
        <w:rPr>
          <w:rFonts w:ascii="Arial" w:hAnsi="Arial" w:cs="Arial"/>
          <w:b/>
          <w:sz w:val="22"/>
          <w:szCs w:val="22"/>
        </w:rPr>
        <w:t>Program</w:t>
      </w:r>
      <w:r w:rsidR="00C026A6" w:rsidRPr="00EA59C0">
        <w:rPr>
          <w:rFonts w:ascii="Arial" w:hAnsi="Arial" w:cs="Arial"/>
          <w:b/>
          <w:sz w:val="22"/>
          <w:szCs w:val="22"/>
        </w:rPr>
        <w:t xml:space="preserve"> </w:t>
      </w:r>
      <w:r w:rsidRPr="00EA59C0">
        <w:rPr>
          <w:rFonts w:ascii="Arial" w:hAnsi="Arial" w:cs="Arial"/>
          <w:b/>
          <w:sz w:val="22"/>
          <w:szCs w:val="22"/>
        </w:rPr>
        <w:t>Materials</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Approximately</w:t>
      </w:r>
      <w:r w:rsidR="00C026A6" w:rsidRPr="00EA59C0">
        <w:rPr>
          <w:rFonts w:ascii="Arial" w:hAnsi="Arial" w:cs="Arial"/>
          <w:sz w:val="22"/>
          <w:szCs w:val="22"/>
        </w:rPr>
        <w:t xml:space="preserve"> </w:t>
      </w:r>
      <w:r w:rsidRPr="00EA59C0">
        <w:rPr>
          <w:rFonts w:ascii="Arial" w:hAnsi="Arial" w:cs="Arial"/>
          <w:sz w:val="22"/>
          <w:szCs w:val="22"/>
        </w:rPr>
        <w:t>90%</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program</w:t>
      </w:r>
      <w:r w:rsidR="00C026A6" w:rsidRPr="00EA59C0">
        <w:rPr>
          <w:rFonts w:ascii="Arial" w:hAnsi="Arial" w:cs="Arial"/>
          <w:sz w:val="22"/>
          <w:szCs w:val="22"/>
        </w:rPr>
        <w:t xml:space="preserve"> </w:t>
      </w:r>
      <w:r w:rsidRPr="00EA59C0">
        <w:rPr>
          <w:rFonts w:ascii="Arial" w:hAnsi="Arial" w:cs="Arial"/>
          <w:sz w:val="22"/>
          <w:szCs w:val="22"/>
        </w:rPr>
        <w:t>materials</w:t>
      </w:r>
      <w:r w:rsidR="00C026A6" w:rsidRPr="00EA59C0">
        <w:rPr>
          <w:rFonts w:ascii="Arial" w:hAnsi="Arial" w:cs="Arial"/>
          <w:sz w:val="22"/>
          <w:szCs w:val="22"/>
        </w:rPr>
        <w:t xml:space="preserve"> </w:t>
      </w:r>
      <w:r w:rsidRPr="00EA59C0">
        <w:rPr>
          <w:rFonts w:ascii="Arial" w:hAnsi="Arial" w:cs="Arial"/>
          <w:sz w:val="22"/>
          <w:szCs w:val="22"/>
        </w:rPr>
        <w:t>will</w:t>
      </w:r>
      <w:r w:rsidR="00C026A6" w:rsidRPr="00EA59C0">
        <w:rPr>
          <w:rFonts w:ascii="Arial" w:hAnsi="Arial" w:cs="Arial"/>
          <w:sz w:val="22"/>
          <w:szCs w:val="22"/>
        </w:rPr>
        <w:t xml:space="preserve"> </w:t>
      </w:r>
      <w:r w:rsidRPr="00EA59C0">
        <w:rPr>
          <w:rFonts w:ascii="Arial" w:hAnsi="Arial" w:cs="Arial"/>
          <w:sz w:val="22"/>
          <w:szCs w:val="22"/>
        </w:rPr>
        <w:t>be</w:t>
      </w:r>
      <w:r w:rsidR="00C026A6" w:rsidRPr="00EA59C0">
        <w:rPr>
          <w:rFonts w:ascii="Arial" w:hAnsi="Arial" w:cs="Arial"/>
          <w:sz w:val="22"/>
          <w:szCs w:val="22"/>
        </w:rPr>
        <w:t xml:space="preserve"> </w:t>
      </w:r>
      <w:r w:rsidRPr="00EA59C0">
        <w:rPr>
          <w:rFonts w:ascii="Arial" w:hAnsi="Arial" w:cs="Arial"/>
          <w:sz w:val="22"/>
          <w:szCs w:val="22"/>
        </w:rPr>
        <w:t>developed</w:t>
      </w:r>
      <w:r w:rsidR="00C026A6" w:rsidRPr="00EA59C0">
        <w:rPr>
          <w:rFonts w:ascii="Arial" w:hAnsi="Arial" w:cs="Arial"/>
          <w:sz w:val="22"/>
          <w:szCs w:val="22"/>
        </w:rPr>
        <w:t xml:space="preserve"> </w:t>
      </w:r>
      <w:r w:rsidRPr="00EA59C0">
        <w:rPr>
          <w:rFonts w:ascii="Arial" w:hAnsi="Arial" w:cs="Arial"/>
          <w:sz w:val="22"/>
          <w:szCs w:val="22"/>
        </w:rPr>
        <w:t>as</w:t>
      </w:r>
      <w:r w:rsidR="00C026A6" w:rsidRPr="00EA59C0">
        <w:rPr>
          <w:rFonts w:ascii="Arial" w:hAnsi="Arial" w:cs="Arial"/>
          <w:sz w:val="22"/>
          <w:szCs w:val="22"/>
        </w:rPr>
        <w:t xml:space="preserve"> </w:t>
      </w:r>
      <w:r w:rsidRPr="00EA59C0">
        <w:rPr>
          <w:rFonts w:ascii="Arial" w:hAnsi="Arial" w:cs="Arial"/>
          <w:sz w:val="22"/>
          <w:szCs w:val="22"/>
        </w:rPr>
        <w:t>open</w:t>
      </w:r>
      <w:r w:rsidR="00C026A6" w:rsidRPr="00EA59C0">
        <w:rPr>
          <w:rFonts w:ascii="Arial" w:hAnsi="Arial" w:cs="Arial"/>
          <w:sz w:val="22"/>
          <w:szCs w:val="22"/>
        </w:rPr>
        <w:t xml:space="preserve"> </w:t>
      </w:r>
      <w:r w:rsidRPr="00EA59C0">
        <w:rPr>
          <w:rFonts w:ascii="Arial" w:hAnsi="Arial" w:cs="Arial"/>
          <w:sz w:val="22"/>
          <w:szCs w:val="22"/>
        </w:rPr>
        <w:t>educational</w:t>
      </w:r>
      <w:r w:rsidR="00C026A6" w:rsidRPr="00EA59C0">
        <w:rPr>
          <w:rFonts w:ascii="Arial" w:hAnsi="Arial" w:cs="Arial"/>
          <w:sz w:val="22"/>
          <w:szCs w:val="22"/>
        </w:rPr>
        <w:t xml:space="preserve"> </w:t>
      </w:r>
      <w:r w:rsidRPr="00EA59C0">
        <w:rPr>
          <w:rFonts w:ascii="Arial" w:hAnsi="Arial" w:cs="Arial"/>
          <w:sz w:val="22"/>
          <w:szCs w:val="22"/>
        </w:rPr>
        <w:t>resources,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remaining</w:t>
      </w:r>
      <w:r w:rsidR="00C026A6" w:rsidRPr="00EA59C0">
        <w:rPr>
          <w:rFonts w:ascii="Arial" w:hAnsi="Arial" w:cs="Arial"/>
          <w:sz w:val="22"/>
          <w:szCs w:val="22"/>
        </w:rPr>
        <w:t xml:space="preserve"> </w:t>
      </w:r>
      <w:r w:rsidRPr="00EA59C0">
        <w:rPr>
          <w:rFonts w:ascii="Arial" w:hAnsi="Arial" w:cs="Arial"/>
          <w:sz w:val="22"/>
          <w:szCs w:val="22"/>
        </w:rPr>
        <w:t>10%</w:t>
      </w:r>
      <w:r w:rsidR="00C026A6" w:rsidRPr="00EA59C0">
        <w:rPr>
          <w:rFonts w:ascii="Arial" w:hAnsi="Arial" w:cs="Arial"/>
          <w:sz w:val="22"/>
          <w:szCs w:val="22"/>
        </w:rPr>
        <w:t xml:space="preserve"> </w:t>
      </w:r>
      <w:r w:rsidRPr="00EA59C0">
        <w:rPr>
          <w:rFonts w:ascii="Arial" w:hAnsi="Arial" w:cs="Arial"/>
          <w:sz w:val="22"/>
          <w:szCs w:val="22"/>
        </w:rPr>
        <w:t>will</w:t>
      </w:r>
      <w:r w:rsidR="00C026A6" w:rsidRPr="00EA59C0">
        <w:rPr>
          <w:rFonts w:ascii="Arial" w:hAnsi="Arial" w:cs="Arial"/>
          <w:sz w:val="22"/>
          <w:szCs w:val="22"/>
        </w:rPr>
        <w:t xml:space="preserve"> </w:t>
      </w:r>
      <w:r w:rsidRPr="00EA59C0">
        <w:rPr>
          <w:rFonts w:ascii="Arial" w:hAnsi="Arial" w:cs="Arial"/>
          <w:sz w:val="22"/>
          <w:szCs w:val="22"/>
        </w:rPr>
        <w:t>be</w:t>
      </w:r>
      <w:r w:rsidR="00C026A6" w:rsidRPr="00EA59C0">
        <w:rPr>
          <w:rFonts w:ascii="Arial" w:hAnsi="Arial" w:cs="Arial"/>
          <w:sz w:val="22"/>
          <w:szCs w:val="22"/>
        </w:rPr>
        <w:t xml:space="preserve"> </w:t>
      </w:r>
      <w:r w:rsidRPr="00EA59C0">
        <w:rPr>
          <w:rFonts w:ascii="Arial" w:hAnsi="Arial" w:cs="Arial"/>
          <w:sz w:val="22"/>
          <w:szCs w:val="22"/>
        </w:rPr>
        <w:t>licensed</w:t>
      </w:r>
      <w:r w:rsidR="00C026A6" w:rsidRPr="00EA59C0">
        <w:rPr>
          <w:rFonts w:ascii="Arial" w:hAnsi="Arial" w:cs="Arial"/>
          <w:sz w:val="22"/>
          <w:szCs w:val="22"/>
        </w:rPr>
        <w:t xml:space="preserve"> </w:t>
      </w:r>
      <w:r w:rsidRPr="00EA59C0">
        <w:rPr>
          <w:rFonts w:ascii="Arial" w:hAnsi="Arial" w:cs="Arial"/>
          <w:sz w:val="22"/>
          <w:szCs w:val="22"/>
        </w:rPr>
        <w:t>or</w:t>
      </w:r>
      <w:r w:rsidR="00C026A6" w:rsidRPr="00EA59C0">
        <w:rPr>
          <w:rFonts w:ascii="Arial" w:hAnsi="Arial" w:cs="Arial"/>
          <w:sz w:val="22"/>
          <w:szCs w:val="22"/>
        </w:rPr>
        <w:t xml:space="preserve"> </w:t>
      </w:r>
      <w:r w:rsidRPr="00EA59C0">
        <w:rPr>
          <w:rFonts w:ascii="Arial" w:hAnsi="Arial" w:cs="Arial"/>
          <w:sz w:val="22"/>
          <w:szCs w:val="22"/>
        </w:rPr>
        <w:t>purchased.</w:t>
      </w:r>
    </w:p>
    <w:p w:rsidR="00D9326C" w:rsidRPr="00EA59C0" w:rsidRDefault="00D9326C" w:rsidP="00D9326C">
      <w:pPr>
        <w:autoSpaceDE w:val="0"/>
        <w:autoSpaceDN w:val="0"/>
        <w:adjustRightInd w:val="0"/>
        <w:spacing w:before="120"/>
        <w:ind w:right="-720"/>
        <w:rPr>
          <w:rFonts w:ascii="Arial" w:hAnsi="Arial" w:cs="Arial"/>
          <w:sz w:val="22"/>
          <w:szCs w:val="22"/>
        </w:rPr>
      </w:pPr>
      <w:r w:rsidRPr="00EA59C0">
        <w:rPr>
          <w:rFonts w:ascii="Arial" w:hAnsi="Arial" w:cs="Arial"/>
          <w:b/>
          <w:sz w:val="22"/>
          <w:szCs w:val="22"/>
        </w:rPr>
        <w:t>16.</w:t>
      </w:r>
      <w:r w:rsidR="00C026A6" w:rsidRPr="00EA59C0">
        <w:rPr>
          <w:rFonts w:ascii="Arial" w:hAnsi="Arial" w:cs="Arial"/>
          <w:b/>
          <w:sz w:val="22"/>
          <w:szCs w:val="22"/>
        </w:rPr>
        <w:t xml:space="preserve"> </w:t>
      </w:r>
      <w:r w:rsidRPr="00EA59C0">
        <w:rPr>
          <w:rFonts w:ascii="Arial" w:hAnsi="Arial" w:cs="Arial"/>
          <w:b/>
          <w:sz w:val="22"/>
          <w:szCs w:val="22"/>
        </w:rPr>
        <w:t>Data</w:t>
      </w:r>
      <w:r w:rsidR="00C026A6" w:rsidRPr="00EA59C0">
        <w:rPr>
          <w:rFonts w:ascii="Arial" w:hAnsi="Arial" w:cs="Arial"/>
          <w:b/>
          <w:sz w:val="22"/>
          <w:szCs w:val="22"/>
        </w:rPr>
        <w:t xml:space="preserve"> </w:t>
      </w:r>
      <w:r w:rsidRPr="00EA59C0">
        <w:rPr>
          <w:rFonts w:ascii="Arial" w:hAnsi="Arial" w:cs="Arial"/>
          <w:b/>
          <w:sz w:val="22"/>
          <w:szCs w:val="22"/>
        </w:rPr>
        <w:t>Tags</w:t>
      </w:r>
      <w:r w:rsidR="00C026A6" w:rsidRPr="00EA59C0">
        <w:rPr>
          <w:rFonts w:ascii="Arial" w:hAnsi="Arial" w:cs="Arial"/>
          <w:b/>
          <w:sz w:val="22"/>
          <w:szCs w:val="22"/>
        </w:rPr>
        <w:t xml:space="preserve"> </w:t>
      </w:r>
      <w:r w:rsidRPr="00EA59C0">
        <w:rPr>
          <w:rFonts w:ascii="Arial" w:hAnsi="Arial" w:cs="Arial"/>
          <w:b/>
          <w:sz w:val="22"/>
          <w:szCs w:val="22"/>
        </w:rPr>
        <w:t>(up</w:t>
      </w:r>
      <w:r w:rsidR="00C026A6" w:rsidRPr="00EA59C0">
        <w:rPr>
          <w:rFonts w:ascii="Arial" w:hAnsi="Arial" w:cs="Arial"/>
          <w:b/>
          <w:sz w:val="22"/>
          <w:szCs w:val="22"/>
        </w:rPr>
        <w:t xml:space="preserve"> </w:t>
      </w:r>
      <w:r w:rsidRPr="00EA59C0">
        <w:rPr>
          <w:rFonts w:ascii="Arial" w:hAnsi="Arial" w:cs="Arial"/>
          <w:b/>
          <w:sz w:val="22"/>
          <w:szCs w:val="22"/>
        </w:rPr>
        <w:t>to</w:t>
      </w:r>
      <w:r w:rsidR="00C026A6" w:rsidRPr="00EA59C0">
        <w:rPr>
          <w:rFonts w:ascii="Arial" w:hAnsi="Arial" w:cs="Arial"/>
          <w:b/>
          <w:sz w:val="22"/>
          <w:szCs w:val="22"/>
        </w:rPr>
        <w:t xml:space="preserve"> </w:t>
      </w:r>
      <w:r w:rsidRPr="00EA59C0">
        <w:rPr>
          <w:rFonts w:ascii="Arial" w:hAnsi="Arial" w:cs="Arial"/>
          <w:b/>
          <w:sz w:val="22"/>
          <w:szCs w:val="22"/>
        </w:rPr>
        <w:t>25,</w:t>
      </w:r>
      <w:r w:rsidR="00C026A6" w:rsidRPr="00EA59C0">
        <w:rPr>
          <w:rFonts w:ascii="Arial" w:hAnsi="Arial" w:cs="Arial"/>
          <w:b/>
          <w:sz w:val="22"/>
          <w:szCs w:val="22"/>
        </w:rPr>
        <w:t xml:space="preserve"> </w:t>
      </w:r>
      <w:r w:rsidRPr="00EA59C0">
        <w:rPr>
          <w:rFonts w:ascii="Arial" w:hAnsi="Arial" w:cs="Arial"/>
          <w:b/>
          <w:i/>
          <w:sz w:val="22"/>
          <w:szCs w:val="22"/>
        </w:rPr>
        <w:t>see</w:t>
      </w:r>
      <w:r w:rsidR="00C026A6" w:rsidRPr="00EA59C0">
        <w:rPr>
          <w:rFonts w:ascii="Arial" w:hAnsi="Arial" w:cs="Arial"/>
          <w:b/>
          <w:i/>
          <w:sz w:val="22"/>
          <w:szCs w:val="22"/>
        </w:rPr>
        <w:t xml:space="preserve"> </w:t>
      </w:r>
      <w:r w:rsidRPr="00EA59C0">
        <w:rPr>
          <w:rFonts w:ascii="Arial" w:hAnsi="Arial" w:cs="Arial"/>
          <w:b/>
          <w:i/>
          <w:sz w:val="22"/>
          <w:szCs w:val="22"/>
        </w:rPr>
        <w:t>table</w:t>
      </w:r>
      <w:r w:rsidR="00C026A6" w:rsidRPr="00EA59C0">
        <w:rPr>
          <w:rFonts w:ascii="Arial" w:hAnsi="Arial" w:cs="Arial"/>
          <w:b/>
          <w:i/>
          <w:sz w:val="22"/>
          <w:szCs w:val="22"/>
        </w:rPr>
        <w:t xml:space="preserve"> </w:t>
      </w:r>
      <w:r w:rsidRPr="00EA59C0">
        <w:rPr>
          <w:rFonts w:ascii="Arial" w:hAnsi="Arial" w:cs="Arial"/>
          <w:b/>
          <w:i/>
          <w:sz w:val="22"/>
          <w:szCs w:val="22"/>
        </w:rPr>
        <w:t>below</w:t>
      </w:r>
      <w:r w:rsidRPr="00EA59C0">
        <w:rPr>
          <w:rFonts w:ascii="Arial" w:hAnsi="Arial" w:cs="Arial"/>
          <w:b/>
          <w:sz w:val="22"/>
          <w:szCs w:val="22"/>
        </w:rPr>
        <w:t>)</w:t>
      </w:r>
      <w:r w:rsidRPr="00EA59C0">
        <w:rPr>
          <w:rFonts w:ascii="Arial" w:hAnsi="Arial" w:cs="Arial"/>
          <w:sz w:val="22"/>
          <w:szCs w:val="22"/>
        </w:rPr>
        <w:t>:</w:t>
      </w:r>
      <w:r w:rsidR="00C026A6" w:rsidRPr="00EA59C0">
        <w:rPr>
          <w:rFonts w:ascii="Arial" w:hAnsi="Arial" w:cs="Arial"/>
          <w:sz w:val="22"/>
          <w:szCs w:val="22"/>
        </w:rPr>
        <w:t xml:space="preserve">  </w:t>
      </w:r>
      <w:r w:rsidRPr="00EA59C0">
        <w:rPr>
          <w:rFonts w:ascii="Arial" w:hAnsi="Arial" w:cs="Arial"/>
          <w:sz w:val="22"/>
          <w:szCs w:val="22"/>
        </w:rPr>
        <w:t>accelerated</w:t>
      </w:r>
      <w:r w:rsidR="00C026A6" w:rsidRPr="00EA59C0">
        <w:rPr>
          <w:rFonts w:ascii="Arial" w:hAnsi="Arial" w:cs="Arial"/>
          <w:sz w:val="22"/>
          <w:szCs w:val="22"/>
        </w:rPr>
        <w:t xml:space="preserve"> </w:t>
      </w:r>
      <w:r w:rsidRPr="00EA59C0">
        <w:rPr>
          <w:rFonts w:ascii="Arial" w:hAnsi="Arial" w:cs="Arial"/>
          <w:sz w:val="22"/>
          <w:szCs w:val="22"/>
        </w:rPr>
        <w:t>learning,</w:t>
      </w:r>
      <w:r w:rsidR="00C026A6" w:rsidRPr="00EA59C0">
        <w:rPr>
          <w:rFonts w:ascii="Arial" w:hAnsi="Arial" w:cs="Arial"/>
          <w:sz w:val="22"/>
          <w:szCs w:val="22"/>
        </w:rPr>
        <w:t xml:space="preserve"> </w:t>
      </w:r>
      <w:r w:rsidRPr="00EA59C0">
        <w:rPr>
          <w:rFonts w:ascii="Arial" w:hAnsi="Arial" w:cs="Arial"/>
          <w:sz w:val="22"/>
          <w:szCs w:val="22"/>
        </w:rPr>
        <w:t>certificate</w:t>
      </w:r>
      <w:r w:rsidR="00C026A6" w:rsidRPr="00EA59C0">
        <w:rPr>
          <w:rFonts w:ascii="Arial" w:hAnsi="Arial" w:cs="Arial"/>
          <w:sz w:val="22"/>
          <w:szCs w:val="22"/>
        </w:rPr>
        <w:t xml:space="preserve"> </w:t>
      </w:r>
      <w:r w:rsidRPr="00EA59C0">
        <w:rPr>
          <w:rFonts w:ascii="Arial" w:hAnsi="Arial" w:cs="Arial"/>
          <w:sz w:val="22"/>
          <w:szCs w:val="22"/>
        </w:rPr>
        <w:t>attainment,</w:t>
      </w:r>
      <w:r w:rsidR="00C026A6" w:rsidRPr="00EA59C0">
        <w:rPr>
          <w:rFonts w:ascii="Arial" w:hAnsi="Arial" w:cs="Arial"/>
          <w:sz w:val="22"/>
          <w:szCs w:val="22"/>
        </w:rPr>
        <w:t xml:space="preserve"> </w:t>
      </w:r>
      <w:r w:rsidRPr="00EA59C0">
        <w:rPr>
          <w:rFonts w:ascii="Arial" w:hAnsi="Arial" w:cs="Arial"/>
          <w:sz w:val="22"/>
          <w:szCs w:val="22"/>
        </w:rPr>
        <w:t>game</w:t>
      </w:r>
      <w:r w:rsidR="00C026A6" w:rsidRPr="00EA59C0">
        <w:rPr>
          <w:rFonts w:ascii="Arial" w:hAnsi="Arial" w:cs="Arial"/>
          <w:sz w:val="22"/>
          <w:szCs w:val="22"/>
        </w:rPr>
        <w:t xml:space="preserve"> </w:t>
      </w:r>
      <w:r w:rsidRPr="00EA59C0">
        <w:rPr>
          <w:rFonts w:ascii="Arial" w:hAnsi="Arial" w:cs="Arial"/>
          <w:sz w:val="22"/>
          <w:szCs w:val="22"/>
        </w:rPr>
        <w:t>design,</w:t>
      </w:r>
      <w:r w:rsidR="00C026A6" w:rsidRPr="00EA59C0">
        <w:rPr>
          <w:rFonts w:ascii="Arial" w:hAnsi="Arial" w:cs="Arial"/>
          <w:sz w:val="22"/>
          <w:szCs w:val="22"/>
        </w:rPr>
        <w:t xml:space="preserve"> </w:t>
      </w:r>
      <w:r w:rsidRPr="00EA59C0">
        <w:rPr>
          <w:rFonts w:ascii="Arial" w:hAnsi="Arial" w:cs="Arial"/>
          <w:sz w:val="22"/>
          <w:szCs w:val="22"/>
        </w:rPr>
        <w:t>job</w:t>
      </w:r>
      <w:r w:rsidR="00C026A6" w:rsidRPr="00EA59C0">
        <w:rPr>
          <w:rFonts w:ascii="Arial" w:hAnsi="Arial" w:cs="Arial"/>
          <w:sz w:val="22"/>
          <w:szCs w:val="22"/>
        </w:rPr>
        <w:t xml:space="preserve"> </w:t>
      </w:r>
      <w:r w:rsidRPr="00EA59C0">
        <w:rPr>
          <w:rFonts w:ascii="Arial" w:hAnsi="Arial" w:cs="Arial"/>
          <w:sz w:val="22"/>
          <w:szCs w:val="22"/>
        </w:rPr>
        <w:t>placement,</w:t>
      </w:r>
      <w:r w:rsidR="00C026A6" w:rsidRPr="00EA59C0">
        <w:rPr>
          <w:rFonts w:ascii="Arial" w:hAnsi="Arial" w:cs="Arial"/>
          <w:sz w:val="22"/>
          <w:szCs w:val="22"/>
        </w:rPr>
        <w:t xml:space="preserve"> </w:t>
      </w:r>
      <w:r w:rsidRPr="00EA59C0">
        <w:rPr>
          <w:rFonts w:ascii="Arial" w:hAnsi="Arial" w:cs="Arial"/>
          <w:sz w:val="22"/>
          <w:szCs w:val="22"/>
        </w:rPr>
        <w:t>on-the-job</w:t>
      </w:r>
      <w:r w:rsidR="00C026A6" w:rsidRPr="00EA59C0">
        <w:rPr>
          <w:rFonts w:ascii="Arial" w:hAnsi="Arial" w:cs="Arial"/>
          <w:sz w:val="22"/>
          <w:szCs w:val="22"/>
        </w:rPr>
        <w:t xml:space="preserve"> </w:t>
      </w:r>
      <w:r w:rsidRPr="00EA59C0">
        <w:rPr>
          <w:rFonts w:ascii="Arial" w:hAnsi="Arial" w:cs="Arial"/>
          <w:sz w:val="22"/>
          <w:szCs w:val="22"/>
        </w:rPr>
        <w:t>training,</w:t>
      </w:r>
      <w:r w:rsidR="00C026A6" w:rsidRPr="00EA59C0">
        <w:rPr>
          <w:rFonts w:ascii="Arial" w:hAnsi="Arial" w:cs="Arial"/>
          <w:sz w:val="22"/>
          <w:szCs w:val="22"/>
        </w:rPr>
        <w:t xml:space="preserve"> </w:t>
      </w:r>
      <w:r w:rsidRPr="00EA59C0">
        <w:rPr>
          <w:rFonts w:ascii="Arial" w:hAnsi="Arial" w:cs="Arial"/>
          <w:sz w:val="22"/>
          <w:szCs w:val="22"/>
        </w:rPr>
        <w:t>open</w:t>
      </w:r>
      <w:r w:rsidR="00C026A6" w:rsidRPr="00EA59C0">
        <w:rPr>
          <w:rFonts w:ascii="Arial" w:hAnsi="Arial" w:cs="Arial"/>
          <w:sz w:val="22"/>
          <w:szCs w:val="22"/>
        </w:rPr>
        <w:t xml:space="preserve"> </w:t>
      </w:r>
      <w:r w:rsidRPr="00EA59C0">
        <w:rPr>
          <w:rFonts w:ascii="Arial" w:hAnsi="Arial" w:cs="Arial"/>
          <w:sz w:val="22"/>
          <w:szCs w:val="22"/>
        </w:rPr>
        <w:t>educational</w:t>
      </w:r>
      <w:r w:rsidR="00C026A6" w:rsidRPr="00EA59C0">
        <w:rPr>
          <w:rFonts w:ascii="Arial" w:hAnsi="Arial" w:cs="Arial"/>
          <w:sz w:val="22"/>
          <w:szCs w:val="22"/>
        </w:rPr>
        <w:t xml:space="preserve"> </w:t>
      </w:r>
      <w:r w:rsidRPr="00EA59C0">
        <w:rPr>
          <w:rFonts w:ascii="Arial" w:hAnsi="Arial" w:cs="Arial"/>
          <w:sz w:val="22"/>
          <w:szCs w:val="22"/>
        </w:rPr>
        <w:t>resources,</w:t>
      </w:r>
      <w:r w:rsidR="00C026A6" w:rsidRPr="00EA59C0">
        <w:rPr>
          <w:rFonts w:ascii="Arial" w:hAnsi="Arial" w:cs="Arial"/>
          <w:sz w:val="22"/>
          <w:szCs w:val="22"/>
        </w:rPr>
        <w:t xml:space="preserve"> </w:t>
      </w:r>
      <w:r w:rsidRPr="00EA59C0">
        <w:rPr>
          <w:rFonts w:ascii="Arial" w:hAnsi="Arial" w:cs="Arial"/>
          <w:sz w:val="22"/>
          <w:szCs w:val="22"/>
        </w:rPr>
        <w:t>stackable</w:t>
      </w:r>
      <w:r w:rsidR="00C026A6" w:rsidRPr="00EA59C0">
        <w:rPr>
          <w:rFonts w:ascii="Arial" w:hAnsi="Arial" w:cs="Arial"/>
          <w:sz w:val="22"/>
          <w:szCs w:val="22"/>
        </w:rPr>
        <w:t xml:space="preserve"> </w:t>
      </w:r>
      <w:r w:rsidRPr="00EA59C0">
        <w:rPr>
          <w:rFonts w:ascii="Arial" w:hAnsi="Arial" w:cs="Arial"/>
          <w:sz w:val="22"/>
          <w:szCs w:val="22"/>
        </w:rPr>
        <w:t>credentials,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web-based</w:t>
      </w:r>
      <w:r w:rsidR="00C026A6" w:rsidRPr="00EA59C0">
        <w:rPr>
          <w:rFonts w:ascii="Arial" w:hAnsi="Arial" w:cs="Arial"/>
          <w:sz w:val="22"/>
          <w:szCs w:val="22"/>
        </w:rPr>
        <w:t xml:space="preserve"> </w:t>
      </w:r>
      <w:r w:rsidRPr="00EA59C0">
        <w:rPr>
          <w:rFonts w:ascii="Arial" w:hAnsi="Arial" w:cs="Arial"/>
          <w:sz w:val="22"/>
          <w:szCs w:val="22"/>
        </w:rPr>
        <w:t>training.</w:t>
      </w:r>
    </w:p>
    <w:p w:rsidR="00D9326C" w:rsidRPr="00EA59C0" w:rsidRDefault="00D9326C" w:rsidP="00D9326C">
      <w:pPr>
        <w:rPr>
          <w:rFonts w:asciiTheme="minorHAnsi" w:hAnsiTheme="minorHAnsi" w:cs="Arial"/>
          <w:sz w:val="22"/>
          <w:szCs w:val="22"/>
        </w:rPr>
      </w:pPr>
    </w:p>
    <w:p w:rsidR="00D9326C" w:rsidRPr="00EA59C0" w:rsidRDefault="00D9326C" w:rsidP="00D9326C">
      <w:pPr>
        <w:rPr>
          <w:rFonts w:asciiTheme="minorHAnsi" w:hAnsiTheme="minorHAnsi" w:cs="Arial"/>
          <w:sz w:val="22"/>
          <w:szCs w:val="22"/>
        </w:rPr>
      </w:pPr>
    </w:p>
    <w:p w:rsidR="00D9326C" w:rsidRPr="00EA59C0" w:rsidRDefault="00D9326C" w:rsidP="00D9326C">
      <w:pPr>
        <w:rPr>
          <w:rFonts w:asciiTheme="minorHAnsi" w:hAnsiTheme="minorHAnsi" w:cs="Arial"/>
          <w:sz w:val="22"/>
          <w:szCs w:val="22"/>
        </w:rPr>
      </w:pPr>
      <w:r w:rsidRPr="00EA59C0">
        <w:rPr>
          <w:rFonts w:asciiTheme="minorHAnsi" w:hAnsiTheme="minorHAnsi" w:cs="Arial"/>
          <w:sz w:val="22"/>
          <w:szCs w:val="22"/>
        </w:rPr>
        <w:t>Standard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Keywords/Data</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Tags</w:t>
      </w:r>
    </w:p>
    <w:tbl>
      <w:tblPr>
        <w:tblW w:w="9576" w:type="dxa"/>
        <w:jc w:val="center"/>
        <w:tblBorders>
          <w:insideH w:val="single" w:sz="4" w:space="0" w:color="auto"/>
        </w:tblBorders>
        <w:tblLook w:val="01E0" w:firstRow="1" w:lastRow="1" w:firstColumn="1" w:lastColumn="1" w:noHBand="0" w:noVBand="0"/>
      </w:tblPr>
      <w:tblGrid>
        <w:gridCol w:w="2394"/>
        <w:gridCol w:w="2394"/>
        <w:gridCol w:w="2394"/>
        <w:gridCol w:w="2394"/>
      </w:tblGrid>
      <w:tr w:rsidR="00D9326C" w:rsidRPr="00EA59C0" w:rsidTr="0072596B">
        <w:trPr>
          <w:jc w:val="center"/>
        </w:trPr>
        <w:tc>
          <w:tcPr>
            <w:tcW w:w="2394" w:type="dxa"/>
          </w:tcPr>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Accelerate</w:t>
            </w:r>
            <w:r w:rsidR="00C026A6" w:rsidRPr="00EA59C0">
              <w:rPr>
                <w:rFonts w:asciiTheme="minorHAnsi" w:hAnsiTheme="minorHAnsi" w:cs="Arial"/>
                <w:sz w:val="20"/>
                <w:szCs w:val="22"/>
              </w:rPr>
              <w:t xml:space="preserve"> </w:t>
            </w:r>
            <w:r w:rsidRPr="00EA59C0">
              <w:rPr>
                <w:rFonts w:asciiTheme="minorHAnsi" w:hAnsiTheme="minorHAnsi" w:cs="Arial"/>
                <w:sz w:val="20"/>
                <w:szCs w:val="22"/>
              </w:rPr>
              <w:t>Progress</w:t>
            </w:r>
            <w:r w:rsidR="00C026A6" w:rsidRPr="00EA59C0">
              <w:rPr>
                <w:rFonts w:asciiTheme="minorHAnsi" w:hAnsiTheme="minorHAnsi" w:cs="Arial"/>
                <w:sz w:val="20"/>
                <w:szCs w:val="22"/>
              </w:rPr>
              <w:t xml:space="preserve"> </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Accelerated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Learning</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Achievement</w:t>
            </w:r>
            <w:r w:rsidR="00C026A6" w:rsidRPr="00EA59C0">
              <w:rPr>
                <w:rFonts w:asciiTheme="minorHAnsi" w:hAnsiTheme="minorHAnsi" w:cs="Arial"/>
                <w:sz w:val="20"/>
                <w:szCs w:val="22"/>
              </w:rPr>
              <w:t xml:space="preserve"> </w:t>
            </w:r>
            <w:r w:rsidRPr="00EA59C0">
              <w:rPr>
                <w:rFonts w:asciiTheme="minorHAnsi" w:hAnsiTheme="minorHAnsi" w:cs="Arial"/>
                <w:sz w:val="20"/>
                <w:szCs w:val="22"/>
              </w:rPr>
              <w:t>Rates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Assessment</w:t>
            </w:r>
            <w:r w:rsidR="00C026A6" w:rsidRPr="00EA59C0">
              <w:rPr>
                <w:rFonts w:asciiTheme="minorHAnsi" w:hAnsiTheme="minorHAnsi" w:cs="Arial"/>
                <w:sz w:val="20"/>
                <w:szCs w:val="22"/>
              </w:rPr>
              <w:t xml:space="preserve"> </w:t>
            </w:r>
            <w:r w:rsidRPr="00EA59C0">
              <w:rPr>
                <w:rFonts w:asciiTheme="minorHAnsi" w:hAnsiTheme="minorHAnsi" w:cs="Arial"/>
                <w:sz w:val="20"/>
                <w:szCs w:val="22"/>
              </w:rPr>
              <w:t>Technology</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Basic</w:t>
            </w:r>
            <w:r w:rsidR="00C026A6" w:rsidRPr="00EA59C0">
              <w:rPr>
                <w:rFonts w:asciiTheme="minorHAnsi" w:hAnsiTheme="minorHAnsi" w:cs="Arial"/>
                <w:sz w:val="20"/>
                <w:szCs w:val="22"/>
              </w:rPr>
              <w:t xml:space="preserve"> </w:t>
            </w:r>
            <w:r w:rsidRPr="00EA59C0">
              <w:rPr>
                <w:rFonts w:asciiTheme="minorHAnsi" w:hAnsiTheme="minorHAnsi" w:cs="Arial"/>
                <w:sz w:val="20"/>
                <w:szCs w:val="22"/>
              </w:rPr>
              <w:t>Skills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Blended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Learning</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Block</w:t>
            </w:r>
            <w:r w:rsidR="00C026A6" w:rsidRPr="00EA59C0">
              <w:rPr>
                <w:rFonts w:asciiTheme="minorHAnsi" w:hAnsiTheme="minorHAnsi" w:cs="Arial"/>
                <w:sz w:val="20"/>
                <w:szCs w:val="22"/>
              </w:rPr>
              <w:t xml:space="preserve"> </w:t>
            </w:r>
            <w:r w:rsidRPr="00EA59C0">
              <w:rPr>
                <w:rFonts w:asciiTheme="minorHAnsi" w:hAnsiTheme="minorHAnsi" w:cs="Arial"/>
                <w:sz w:val="20"/>
                <w:szCs w:val="22"/>
              </w:rPr>
              <w:t>scheduling</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Career</w:t>
            </w:r>
            <w:r w:rsidR="00C026A6" w:rsidRPr="00EA59C0">
              <w:rPr>
                <w:rFonts w:asciiTheme="minorHAnsi" w:hAnsiTheme="minorHAnsi" w:cs="Arial"/>
                <w:sz w:val="20"/>
                <w:szCs w:val="22"/>
              </w:rPr>
              <w:t xml:space="preserve"> </w:t>
            </w:r>
            <w:r w:rsidRPr="00EA59C0">
              <w:rPr>
                <w:rFonts w:asciiTheme="minorHAnsi" w:hAnsiTheme="minorHAnsi" w:cs="Arial"/>
                <w:sz w:val="20"/>
                <w:szCs w:val="22"/>
              </w:rPr>
              <w:t>Pathways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Certificate</w:t>
            </w:r>
            <w:r w:rsidR="00C026A6" w:rsidRPr="00EA59C0">
              <w:rPr>
                <w:rFonts w:asciiTheme="minorHAnsi" w:hAnsiTheme="minorHAnsi" w:cs="Arial"/>
                <w:sz w:val="20"/>
                <w:szCs w:val="22"/>
              </w:rPr>
              <w:t xml:space="preserve"> </w:t>
            </w:r>
            <w:r w:rsidRPr="00EA59C0">
              <w:rPr>
                <w:rFonts w:asciiTheme="minorHAnsi" w:hAnsiTheme="minorHAnsi" w:cs="Arial"/>
                <w:sz w:val="20"/>
                <w:szCs w:val="22"/>
              </w:rPr>
              <w:t>Attainment</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Civic</w:t>
            </w:r>
            <w:r w:rsidR="00C026A6" w:rsidRPr="00EA59C0">
              <w:rPr>
                <w:rFonts w:asciiTheme="minorHAnsi" w:hAnsiTheme="minorHAnsi" w:cs="Arial"/>
                <w:sz w:val="20"/>
                <w:szCs w:val="22"/>
              </w:rPr>
              <w:t xml:space="preserve"> </w:t>
            </w:r>
            <w:r w:rsidRPr="00EA59C0">
              <w:rPr>
                <w:rFonts w:asciiTheme="minorHAnsi" w:hAnsiTheme="minorHAnsi" w:cs="Arial"/>
                <w:sz w:val="20"/>
                <w:szCs w:val="22"/>
              </w:rPr>
              <w:t>and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Community</w:t>
            </w:r>
            <w:r w:rsidR="00C026A6" w:rsidRPr="00EA59C0">
              <w:rPr>
                <w:rFonts w:asciiTheme="minorHAnsi" w:hAnsiTheme="minorHAnsi" w:cs="Arial"/>
                <w:sz w:val="20"/>
                <w:szCs w:val="22"/>
              </w:rPr>
              <w:t xml:space="preserve"> </w:t>
            </w:r>
            <w:r w:rsidRPr="00EA59C0">
              <w:rPr>
                <w:rFonts w:asciiTheme="minorHAnsi" w:hAnsiTheme="minorHAnsi" w:cs="Arial"/>
                <w:sz w:val="20"/>
                <w:szCs w:val="22"/>
              </w:rPr>
              <w:t>Engagement</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Cognitive</w:t>
            </w:r>
            <w:r w:rsidR="00C026A6" w:rsidRPr="00EA59C0">
              <w:rPr>
                <w:rFonts w:asciiTheme="minorHAnsi" w:hAnsiTheme="minorHAnsi" w:cs="Arial"/>
                <w:sz w:val="20"/>
                <w:szCs w:val="22"/>
              </w:rPr>
              <w:t xml:space="preserve"> </w:t>
            </w:r>
            <w:r w:rsidRPr="00EA59C0">
              <w:rPr>
                <w:rFonts w:asciiTheme="minorHAnsi" w:hAnsiTheme="minorHAnsi" w:cs="Arial"/>
                <w:sz w:val="20"/>
                <w:szCs w:val="22"/>
              </w:rPr>
              <w:t>Tutors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Competency-based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Training</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Contextualized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Learning</w:t>
            </w:r>
          </w:p>
        </w:tc>
        <w:tc>
          <w:tcPr>
            <w:tcW w:w="2394" w:type="dxa"/>
          </w:tcPr>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Degree</w:t>
            </w:r>
            <w:r w:rsidR="00C026A6" w:rsidRPr="00EA59C0">
              <w:rPr>
                <w:rFonts w:asciiTheme="minorHAnsi" w:hAnsiTheme="minorHAnsi" w:cs="Arial"/>
                <w:sz w:val="20"/>
                <w:szCs w:val="22"/>
              </w:rPr>
              <w:t xml:space="preserve"> </w:t>
            </w:r>
            <w:r w:rsidRPr="00EA59C0">
              <w:rPr>
                <w:rFonts w:asciiTheme="minorHAnsi" w:hAnsiTheme="minorHAnsi" w:cs="Arial"/>
                <w:sz w:val="20"/>
                <w:szCs w:val="22"/>
              </w:rPr>
              <w:t>Attainment</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Developmental</w:t>
            </w:r>
            <w:r w:rsidR="00C026A6" w:rsidRPr="00EA59C0">
              <w:rPr>
                <w:rFonts w:asciiTheme="minorHAnsi" w:hAnsiTheme="minorHAnsi" w:cs="Arial"/>
                <w:sz w:val="20"/>
                <w:szCs w:val="22"/>
              </w:rPr>
              <w:t xml:space="preserve"> </w:t>
            </w:r>
            <w:r w:rsidRPr="00EA59C0">
              <w:rPr>
                <w:rFonts w:asciiTheme="minorHAnsi" w:hAnsiTheme="minorHAnsi" w:cs="Arial"/>
                <w:sz w:val="20"/>
                <w:szCs w:val="22"/>
              </w:rPr>
              <w:t>Education</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Digital</w:t>
            </w:r>
            <w:r w:rsidR="00C026A6" w:rsidRPr="00EA59C0">
              <w:rPr>
                <w:rFonts w:asciiTheme="minorHAnsi" w:hAnsiTheme="minorHAnsi" w:cs="Arial"/>
                <w:sz w:val="20"/>
                <w:szCs w:val="22"/>
              </w:rPr>
              <w:t xml:space="preserve"> </w:t>
            </w:r>
            <w:r w:rsidRPr="00EA59C0">
              <w:rPr>
                <w:rFonts w:asciiTheme="minorHAnsi" w:hAnsiTheme="minorHAnsi" w:cs="Arial"/>
                <w:sz w:val="20"/>
                <w:szCs w:val="22"/>
              </w:rPr>
              <w:t>Materials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Dual</w:t>
            </w:r>
            <w:r w:rsidR="00C026A6" w:rsidRPr="00EA59C0">
              <w:rPr>
                <w:rFonts w:asciiTheme="minorHAnsi" w:hAnsiTheme="minorHAnsi" w:cs="Arial"/>
                <w:sz w:val="20"/>
                <w:szCs w:val="22"/>
              </w:rPr>
              <w:t xml:space="preserve"> </w:t>
            </w:r>
            <w:r w:rsidRPr="00EA59C0">
              <w:rPr>
                <w:rFonts w:asciiTheme="minorHAnsi" w:hAnsiTheme="minorHAnsi" w:cs="Arial"/>
                <w:sz w:val="20"/>
                <w:szCs w:val="22"/>
              </w:rPr>
              <w:t>Degrees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Earn</w:t>
            </w:r>
            <w:r w:rsidR="00C026A6" w:rsidRPr="00EA59C0">
              <w:rPr>
                <w:rFonts w:asciiTheme="minorHAnsi" w:hAnsiTheme="minorHAnsi" w:cs="Arial"/>
                <w:sz w:val="20"/>
                <w:szCs w:val="22"/>
              </w:rPr>
              <w:t xml:space="preserve"> </w:t>
            </w:r>
            <w:r w:rsidRPr="00EA59C0">
              <w:rPr>
                <w:rFonts w:asciiTheme="minorHAnsi" w:hAnsiTheme="minorHAnsi" w:cs="Arial"/>
                <w:sz w:val="20"/>
                <w:szCs w:val="22"/>
              </w:rPr>
              <w:t>and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Learn</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Employer</w:t>
            </w:r>
            <w:r w:rsidR="00C026A6" w:rsidRPr="00EA59C0">
              <w:rPr>
                <w:rFonts w:asciiTheme="minorHAnsi" w:hAnsiTheme="minorHAnsi" w:cs="Arial"/>
                <w:sz w:val="20"/>
                <w:szCs w:val="22"/>
              </w:rPr>
              <w:t xml:space="preserve"> </w:t>
            </w:r>
            <w:r w:rsidRPr="00EA59C0">
              <w:rPr>
                <w:rFonts w:asciiTheme="minorHAnsi" w:hAnsiTheme="minorHAnsi" w:cs="Arial"/>
                <w:sz w:val="20"/>
                <w:szCs w:val="22"/>
              </w:rPr>
              <w:t>Partnership</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Enhanced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Course</w:t>
            </w:r>
            <w:r w:rsidR="00C026A6" w:rsidRPr="00EA59C0">
              <w:rPr>
                <w:rFonts w:asciiTheme="minorHAnsi" w:hAnsiTheme="minorHAnsi" w:cs="Arial"/>
                <w:sz w:val="20"/>
                <w:szCs w:val="22"/>
              </w:rPr>
              <w:t xml:space="preserve"> </w:t>
            </w:r>
            <w:r w:rsidRPr="00EA59C0">
              <w:rPr>
                <w:rFonts w:asciiTheme="minorHAnsi" w:hAnsiTheme="minorHAnsi" w:cs="Arial"/>
                <w:sz w:val="20"/>
                <w:szCs w:val="22"/>
              </w:rPr>
              <w:t>Articulation</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Enhanced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Student</w:t>
            </w:r>
            <w:r w:rsidR="00C026A6" w:rsidRPr="00EA59C0">
              <w:rPr>
                <w:rFonts w:asciiTheme="minorHAnsi" w:hAnsiTheme="minorHAnsi" w:cs="Arial"/>
                <w:sz w:val="20"/>
                <w:szCs w:val="22"/>
              </w:rPr>
              <w:t xml:space="preserve"> </w:t>
            </w:r>
            <w:r w:rsidRPr="00EA59C0">
              <w:rPr>
                <w:rFonts w:asciiTheme="minorHAnsi" w:hAnsiTheme="minorHAnsi" w:cs="Arial"/>
                <w:sz w:val="20"/>
                <w:szCs w:val="22"/>
              </w:rPr>
              <w:t>Services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Game</w:t>
            </w:r>
            <w:r w:rsidR="00C026A6" w:rsidRPr="00EA59C0">
              <w:rPr>
                <w:rFonts w:asciiTheme="minorHAnsi" w:hAnsiTheme="minorHAnsi" w:cs="Arial"/>
                <w:sz w:val="20"/>
                <w:szCs w:val="22"/>
              </w:rPr>
              <w:t xml:space="preserve"> </w:t>
            </w:r>
            <w:r w:rsidRPr="00EA59C0">
              <w:rPr>
                <w:rFonts w:asciiTheme="minorHAnsi" w:hAnsiTheme="minorHAnsi" w:cs="Arial"/>
                <w:sz w:val="20"/>
                <w:szCs w:val="22"/>
              </w:rPr>
              <w:t>Design</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Industry-Driven</w:t>
            </w:r>
            <w:r w:rsidR="00C026A6" w:rsidRPr="00EA59C0">
              <w:rPr>
                <w:rFonts w:asciiTheme="minorHAnsi" w:hAnsiTheme="minorHAnsi" w:cs="Arial"/>
                <w:sz w:val="20"/>
                <w:szCs w:val="22"/>
              </w:rPr>
              <w:t xml:space="preserve"> </w:t>
            </w:r>
            <w:r w:rsidRPr="00EA59C0">
              <w:rPr>
                <w:rFonts w:asciiTheme="minorHAnsi" w:hAnsiTheme="minorHAnsi" w:cs="Arial"/>
                <w:sz w:val="20"/>
                <w:szCs w:val="22"/>
              </w:rPr>
              <w:t>Competencies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Industry-Recognized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Credentials</w:t>
            </w:r>
            <w:r w:rsidR="00C026A6" w:rsidRPr="00EA59C0">
              <w:rPr>
                <w:rFonts w:asciiTheme="minorHAnsi" w:hAnsiTheme="minorHAnsi" w:cs="Arial"/>
                <w:sz w:val="20"/>
                <w:szCs w:val="22"/>
              </w:rPr>
              <w:t xml:space="preserve"> </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Job</w:t>
            </w:r>
            <w:r w:rsidR="00C026A6" w:rsidRPr="00EA59C0">
              <w:rPr>
                <w:rFonts w:asciiTheme="minorHAnsi" w:hAnsiTheme="minorHAnsi" w:cs="Arial"/>
                <w:sz w:val="20"/>
                <w:szCs w:val="22"/>
              </w:rPr>
              <w:t xml:space="preserve"> </w:t>
            </w:r>
            <w:r w:rsidRPr="00EA59C0">
              <w:rPr>
                <w:rFonts w:asciiTheme="minorHAnsi" w:hAnsiTheme="minorHAnsi" w:cs="Arial"/>
                <w:sz w:val="20"/>
                <w:szCs w:val="22"/>
              </w:rPr>
              <w:t>Placement</w:t>
            </w:r>
          </w:p>
        </w:tc>
        <w:tc>
          <w:tcPr>
            <w:tcW w:w="2394" w:type="dxa"/>
          </w:tcPr>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Learning</w:t>
            </w:r>
            <w:r w:rsidR="00C026A6" w:rsidRPr="00EA59C0">
              <w:rPr>
                <w:rFonts w:asciiTheme="minorHAnsi" w:hAnsiTheme="minorHAnsi" w:cs="Arial"/>
                <w:sz w:val="20"/>
                <w:szCs w:val="22"/>
              </w:rPr>
              <w:t xml:space="preserve"> </w:t>
            </w:r>
            <w:r w:rsidRPr="00EA59C0">
              <w:rPr>
                <w:rFonts w:asciiTheme="minorHAnsi" w:hAnsiTheme="minorHAnsi" w:cs="Arial"/>
                <w:sz w:val="20"/>
                <w:szCs w:val="22"/>
              </w:rPr>
              <w:t>Communities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Mentoring</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Mobile</w:t>
            </w:r>
            <w:r w:rsidR="00C026A6" w:rsidRPr="00EA59C0">
              <w:rPr>
                <w:rFonts w:asciiTheme="minorHAnsi" w:hAnsiTheme="minorHAnsi" w:cs="Arial"/>
                <w:sz w:val="20"/>
                <w:szCs w:val="22"/>
              </w:rPr>
              <w:t xml:space="preserve"> </w:t>
            </w:r>
            <w:r w:rsidRPr="00EA59C0">
              <w:rPr>
                <w:rFonts w:asciiTheme="minorHAnsi" w:hAnsiTheme="minorHAnsi" w:cs="Arial"/>
                <w:sz w:val="20"/>
                <w:szCs w:val="22"/>
              </w:rPr>
              <w:t>Devices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Modular</w:t>
            </w:r>
            <w:r w:rsidR="00C026A6" w:rsidRPr="00EA59C0">
              <w:rPr>
                <w:rFonts w:asciiTheme="minorHAnsi" w:hAnsiTheme="minorHAnsi" w:cs="Arial"/>
                <w:sz w:val="20"/>
                <w:szCs w:val="22"/>
              </w:rPr>
              <w:t xml:space="preserve"> </w:t>
            </w:r>
            <w:r w:rsidRPr="00EA59C0">
              <w:rPr>
                <w:rFonts w:asciiTheme="minorHAnsi" w:hAnsiTheme="minorHAnsi" w:cs="Arial"/>
                <w:sz w:val="20"/>
                <w:szCs w:val="22"/>
              </w:rPr>
              <w:t>Curriculum</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On-the-Job</w:t>
            </w:r>
            <w:r w:rsidR="00C026A6" w:rsidRPr="00EA59C0">
              <w:rPr>
                <w:rFonts w:asciiTheme="minorHAnsi" w:hAnsiTheme="minorHAnsi" w:cs="Arial"/>
                <w:sz w:val="20"/>
                <w:szCs w:val="22"/>
              </w:rPr>
              <w:t xml:space="preserve"> </w:t>
            </w:r>
            <w:r w:rsidRPr="00EA59C0">
              <w:rPr>
                <w:rFonts w:asciiTheme="minorHAnsi" w:hAnsiTheme="minorHAnsi" w:cs="Arial"/>
                <w:sz w:val="20"/>
                <w:szCs w:val="22"/>
              </w:rPr>
              <w:t>training</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Online</w:t>
            </w:r>
            <w:r w:rsidR="00C026A6" w:rsidRPr="00EA59C0">
              <w:rPr>
                <w:rFonts w:asciiTheme="minorHAnsi" w:hAnsiTheme="minorHAnsi" w:cs="Arial"/>
                <w:sz w:val="20"/>
                <w:szCs w:val="22"/>
              </w:rPr>
              <w:t xml:space="preserve"> </w:t>
            </w:r>
            <w:r w:rsidRPr="00EA59C0">
              <w:rPr>
                <w:rFonts w:asciiTheme="minorHAnsi" w:hAnsiTheme="minorHAnsi" w:cs="Arial"/>
                <w:sz w:val="20"/>
                <w:szCs w:val="22"/>
              </w:rPr>
              <w:t>Community</w:t>
            </w:r>
            <w:r w:rsidR="00C026A6" w:rsidRPr="00EA59C0">
              <w:rPr>
                <w:rFonts w:asciiTheme="minorHAnsi" w:hAnsiTheme="minorHAnsi" w:cs="Arial"/>
                <w:sz w:val="20"/>
                <w:szCs w:val="22"/>
              </w:rPr>
              <w:t xml:space="preserve"> </w:t>
            </w:r>
            <w:r w:rsidRPr="00EA59C0">
              <w:rPr>
                <w:rFonts w:asciiTheme="minorHAnsi" w:hAnsiTheme="minorHAnsi" w:cs="Arial"/>
                <w:sz w:val="20"/>
                <w:szCs w:val="22"/>
              </w:rPr>
              <w:t>of</w:t>
            </w:r>
            <w:r w:rsidR="00C026A6" w:rsidRPr="00EA59C0">
              <w:rPr>
                <w:rFonts w:asciiTheme="minorHAnsi" w:hAnsiTheme="minorHAnsi" w:cs="Arial"/>
                <w:sz w:val="20"/>
                <w:szCs w:val="22"/>
              </w:rPr>
              <w:t xml:space="preserve"> </w:t>
            </w:r>
            <w:r w:rsidRPr="00EA59C0">
              <w:rPr>
                <w:rFonts w:asciiTheme="minorHAnsi" w:hAnsiTheme="minorHAnsi" w:cs="Arial"/>
                <w:sz w:val="20"/>
                <w:szCs w:val="22"/>
              </w:rPr>
              <w:t>Practice</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Online</w:t>
            </w:r>
            <w:r w:rsidR="00C026A6" w:rsidRPr="00EA59C0">
              <w:rPr>
                <w:rFonts w:asciiTheme="minorHAnsi" w:hAnsiTheme="minorHAnsi" w:cs="Arial"/>
                <w:sz w:val="20"/>
                <w:szCs w:val="22"/>
              </w:rPr>
              <w:t xml:space="preserve"> </w:t>
            </w:r>
            <w:r w:rsidRPr="00EA59C0">
              <w:rPr>
                <w:rFonts w:asciiTheme="minorHAnsi" w:hAnsiTheme="minorHAnsi" w:cs="Arial"/>
                <w:sz w:val="20"/>
                <w:szCs w:val="22"/>
              </w:rPr>
              <w:t>Teaching/Learning</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Open</w:t>
            </w:r>
            <w:r w:rsidR="00C026A6" w:rsidRPr="00EA59C0">
              <w:rPr>
                <w:rFonts w:asciiTheme="minorHAnsi" w:hAnsiTheme="minorHAnsi" w:cs="Arial"/>
                <w:sz w:val="20"/>
                <w:szCs w:val="22"/>
              </w:rPr>
              <w:t xml:space="preserve"> </w:t>
            </w:r>
            <w:r w:rsidRPr="00EA59C0">
              <w:rPr>
                <w:rFonts w:asciiTheme="minorHAnsi" w:hAnsiTheme="minorHAnsi" w:cs="Arial"/>
                <w:sz w:val="20"/>
                <w:szCs w:val="22"/>
              </w:rPr>
              <w:t>Educational</w:t>
            </w:r>
            <w:r w:rsidR="00C026A6" w:rsidRPr="00EA59C0">
              <w:rPr>
                <w:rFonts w:asciiTheme="minorHAnsi" w:hAnsiTheme="minorHAnsi" w:cs="Arial"/>
                <w:sz w:val="20"/>
                <w:szCs w:val="22"/>
              </w:rPr>
              <w:t xml:space="preserve"> </w:t>
            </w:r>
            <w:r w:rsidRPr="00EA59C0">
              <w:rPr>
                <w:rFonts w:asciiTheme="minorHAnsi" w:hAnsiTheme="minorHAnsi" w:cs="Arial"/>
                <w:sz w:val="20"/>
                <w:szCs w:val="22"/>
              </w:rPr>
              <w:t>Resources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Paid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Internships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Retention</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Personalized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Instruction</w:t>
            </w:r>
          </w:p>
        </w:tc>
        <w:tc>
          <w:tcPr>
            <w:tcW w:w="2394" w:type="dxa"/>
          </w:tcPr>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Real-time</w:t>
            </w:r>
            <w:r w:rsidR="00C026A6" w:rsidRPr="00EA59C0">
              <w:rPr>
                <w:rFonts w:asciiTheme="minorHAnsi" w:hAnsiTheme="minorHAnsi" w:cs="Arial"/>
                <w:sz w:val="20"/>
                <w:szCs w:val="22"/>
              </w:rPr>
              <w:t xml:space="preserve"> </w:t>
            </w:r>
            <w:r w:rsidRPr="00EA59C0">
              <w:rPr>
                <w:rFonts w:asciiTheme="minorHAnsi" w:hAnsiTheme="minorHAnsi" w:cs="Arial"/>
                <w:sz w:val="20"/>
                <w:szCs w:val="22"/>
              </w:rPr>
              <w:t>Online</w:t>
            </w:r>
            <w:r w:rsidR="00C026A6" w:rsidRPr="00EA59C0">
              <w:rPr>
                <w:rFonts w:asciiTheme="minorHAnsi" w:hAnsiTheme="minorHAnsi" w:cs="Arial"/>
                <w:sz w:val="20"/>
                <w:szCs w:val="22"/>
              </w:rPr>
              <w:t xml:space="preserve"> </w:t>
            </w:r>
            <w:r w:rsidRPr="00EA59C0">
              <w:rPr>
                <w:rFonts w:asciiTheme="minorHAnsi" w:hAnsiTheme="minorHAnsi" w:cs="Arial"/>
                <w:sz w:val="20"/>
                <w:szCs w:val="22"/>
              </w:rPr>
              <w:t>Interactions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Registered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Apprenticeships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Retention</w:t>
            </w:r>
            <w:r w:rsidR="00C026A6" w:rsidRPr="00EA59C0">
              <w:rPr>
                <w:rFonts w:asciiTheme="minorHAnsi" w:hAnsiTheme="minorHAnsi" w:cs="Arial"/>
                <w:sz w:val="20"/>
                <w:szCs w:val="22"/>
              </w:rPr>
              <w:t xml:space="preserve"> </w:t>
            </w:r>
            <w:r w:rsidRPr="00EA59C0">
              <w:rPr>
                <w:rFonts w:asciiTheme="minorHAnsi" w:hAnsiTheme="minorHAnsi" w:cs="Arial"/>
                <w:sz w:val="20"/>
                <w:szCs w:val="22"/>
              </w:rPr>
              <w:t>Strategies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SCORM</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Self-paced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Learning</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Simulations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Skill</w:t>
            </w:r>
            <w:r w:rsidR="00C026A6" w:rsidRPr="00EA59C0">
              <w:rPr>
                <w:rFonts w:asciiTheme="minorHAnsi" w:hAnsiTheme="minorHAnsi" w:cs="Arial"/>
                <w:sz w:val="20"/>
                <w:szCs w:val="22"/>
              </w:rPr>
              <w:t xml:space="preserve"> </w:t>
            </w:r>
            <w:r w:rsidRPr="00EA59C0">
              <w:rPr>
                <w:rFonts w:asciiTheme="minorHAnsi" w:hAnsiTheme="minorHAnsi" w:cs="Arial"/>
                <w:sz w:val="20"/>
                <w:szCs w:val="22"/>
              </w:rPr>
              <w:t>Assessments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Stackable</w:t>
            </w:r>
            <w:r w:rsidR="00C026A6" w:rsidRPr="00EA59C0">
              <w:rPr>
                <w:rFonts w:asciiTheme="minorHAnsi" w:hAnsiTheme="minorHAnsi" w:cs="Arial"/>
                <w:sz w:val="20"/>
                <w:szCs w:val="22"/>
              </w:rPr>
              <w:t xml:space="preserve"> </w:t>
            </w:r>
            <w:r w:rsidRPr="00EA59C0">
              <w:rPr>
                <w:rFonts w:asciiTheme="minorHAnsi" w:hAnsiTheme="minorHAnsi" w:cs="Arial"/>
                <w:sz w:val="20"/>
                <w:szCs w:val="22"/>
              </w:rPr>
              <w:t>Credentials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Technology</w:t>
            </w:r>
            <w:r w:rsidR="00C026A6" w:rsidRPr="00EA59C0">
              <w:rPr>
                <w:rFonts w:asciiTheme="minorHAnsi" w:hAnsiTheme="minorHAnsi" w:cs="Arial"/>
                <w:sz w:val="20"/>
                <w:szCs w:val="22"/>
              </w:rPr>
              <w:t xml:space="preserve"> </w:t>
            </w:r>
            <w:r w:rsidRPr="00EA59C0">
              <w:rPr>
                <w:rFonts w:asciiTheme="minorHAnsi" w:hAnsiTheme="minorHAnsi" w:cs="Arial"/>
                <w:sz w:val="20"/>
                <w:szCs w:val="22"/>
              </w:rPr>
              <w:t>Enabled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Learning</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Virtual</w:t>
            </w:r>
            <w:r w:rsidR="00C026A6" w:rsidRPr="00EA59C0">
              <w:rPr>
                <w:rFonts w:asciiTheme="minorHAnsi" w:hAnsiTheme="minorHAnsi" w:cs="Arial"/>
                <w:sz w:val="20"/>
                <w:szCs w:val="22"/>
              </w:rPr>
              <w:t xml:space="preserve"> </w:t>
            </w:r>
            <w:r w:rsidRPr="00EA59C0">
              <w:rPr>
                <w:rFonts w:asciiTheme="minorHAnsi" w:hAnsiTheme="minorHAnsi" w:cs="Arial"/>
                <w:sz w:val="20"/>
                <w:szCs w:val="22"/>
              </w:rPr>
              <w:t>Environments</w:t>
            </w:r>
          </w:p>
          <w:p w:rsidR="00D9326C" w:rsidRPr="00EA59C0" w:rsidRDefault="00D9326C" w:rsidP="00080097">
            <w:pPr>
              <w:numPr>
                <w:ilvl w:val="0"/>
                <w:numId w:val="47"/>
              </w:numPr>
              <w:rPr>
                <w:rFonts w:asciiTheme="minorHAnsi" w:hAnsiTheme="minorHAnsi" w:cs="Arial"/>
                <w:sz w:val="20"/>
              </w:rPr>
            </w:pPr>
            <w:r w:rsidRPr="00EA59C0">
              <w:rPr>
                <w:rFonts w:asciiTheme="minorHAnsi" w:hAnsiTheme="minorHAnsi" w:cs="Arial"/>
                <w:sz w:val="20"/>
                <w:szCs w:val="22"/>
              </w:rPr>
              <w:t>Web-based</w:t>
            </w:r>
            <w:r w:rsidR="00C026A6" w:rsidRPr="00EA59C0">
              <w:rPr>
                <w:rFonts w:asciiTheme="minorHAnsi" w:hAnsiTheme="minorHAnsi" w:cs="Arial"/>
                <w:sz w:val="20"/>
                <w:szCs w:val="22"/>
              </w:rPr>
              <w:t xml:space="preserve"> </w:t>
            </w:r>
            <w:r w:rsidRPr="00EA59C0">
              <w:rPr>
                <w:rFonts w:asciiTheme="minorHAnsi" w:hAnsiTheme="minorHAnsi" w:cs="Arial"/>
                <w:sz w:val="20"/>
                <w:szCs w:val="22"/>
              </w:rPr>
              <w:t>Training</w:t>
            </w:r>
          </w:p>
        </w:tc>
      </w:tr>
    </w:tbl>
    <w:p w:rsidR="00D9326C" w:rsidRPr="00EA59C0" w:rsidRDefault="00D9326C" w:rsidP="00D9326C">
      <w:pPr>
        <w:ind w:left="720" w:right="-180"/>
        <w:rPr>
          <w:rFonts w:asciiTheme="minorHAnsi" w:hAnsiTheme="minorHAnsi" w:cs="Arial"/>
          <w:sz w:val="22"/>
          <w:szCs w:val="22"/>
        </w:rPr>
      </w:pPr>
    </w:p>
    <w:p w:rsidR="00D9326C" w:rsidRPr="00EA59C0" w:rsidRDefault="00D9326C" w:rsidP="00D9326C">
      <w:pPr>
        <w:ind w:right="-180"/>
        <w:rPr>
          <w:rFonts w:asciiTheme="minorHAnsi" w:hAnsiTheme="minorHAnsi" w:cs="Arial"/>
          <w:sz w:val="22"/>
          <w:szCs w:val="22"/>
        </w:rPr>
      </w:pPr>
      <w:r w:rsidRPr="00EA59C0">
        <w:rPr>
          <w:rFonts w:asciiTheme="minorHAnsi" w:hAnsiTheme="minorHAnsi" w:cs="Arial"/>
          <w:sz w:val="22"/>
          <w:szCs w:val="22"/>
        </w:rPr>
        <w:t>Note: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event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none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above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are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sufficiently</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precise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descriptor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applicants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should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include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alternate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keyword/tags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their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own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choosing,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not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to</w:t>
      </w:r>
      <w:r w:rsidR="00C026A6" w:rsidRPr="00EA59C0">
        <w:rPr>
          <w:rFonts w:asciiTheme="minorHAnsi" w:hAnsiTheme="minorHAnsi" w:cs="Arial"/>
          <w:sz w:val="22"/>
          <w:szCs w:val="22"/>
        </w:rPr>
        <w:t xml:space="preserve"> </w:t>
      </w:r>
      <w:r w:rsidRPr="00EA59C0">
        <w:rPr>
          <w:rFonts w:asciiTheme="minorHAnsi" w:hAnsiTheme="minorHAnsi" w:cs="Arial"/>
          <w:sz w:val="22"/>
          <w:szCs w:val="22"/>
        </w:rPr>
        <w:t>exceed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three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words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per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tag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and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28</w:t>
      </w:r>
      <w:r w:rsidR="00C026A6" w:rsidRPr="00EA59C0">
        <w:rPr>
          <w:rFonts w:asciiTheme="minorHAnsi" w:hAnsiTheme="minorHAnsi" w:cs="Arial"/>
          <w:sz w:val="22"/>
          <w:szCs w:val="22"/>
        </w:rPr>
        <w:t xml:space="preserve"> </w:t>
      </w:r>
      <w:r w:rsidRPr="00EA59C0">
        <w:rPr>
          <w:rFonts w:asciiTheme="minorHAnsi" w:hAnsiTheme="minorHAnsi" w:cs="Arial"/>
          <w:sz w:val="22"/>
          <w:szCs w:val="22"/>
        </w:rPr>
        <w:t>characters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for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each</w:t>
      </w:r>
      <w:r w:rsidR="00C026A6" w:rsidRPr="00EA59C0">
        <w:rPr>
          <w:rFonts w:asciiTheme="minorHAnsi" w:hAnsiTheme="minorHAnsi" w:cs="Arial"/>
          <w:sz w:val="22"/>
          <w:szCs w:val="22"/>
        </w:rPr>
        <w:t xml:space="preserve"> </w:t>
      </w:r>
      <w:r w:rsidRPr="00EA59C0">
        <w:rPr>
          <w:rFonts w:asciiTheme="minorHAnsi" w:hAnsiTheme="minorHAnsi" w:cs="Arial"/>
          <w:sz w:val="22"/>
          <w:szCs w:val="22"/>
        </w:rPr>
        <w:t>keyword/tag.</w:t>
      </w:r>
    </w:p>
    <w:p w:rsidR="00D9326C" w:rsidRPr="00EA59C0" w:rsidRDefault="00D9326C" w:rsidP="00D9326C">
      <w:pPr>
        <w:ind w:right="-180"/>
        <w:rPr>
          <w:rFonts w:asciiTheme="minorHAnsi" w:hAnsiTheme="minorHAnsi" w:cs="Arial"/>
          <w:sz w:val="22"/>
          <w:szCs w:val="22"/>
        </w:rPr>
      </w:pPr>
    </w:p>
    <w:p w:rsidR="00D9326C" w:rsidRPr="00EA59C0" w:rsidRDefault="00D9326C" w:rsidP="00D9326C">
      <w:r w:rsidRPr="00EA59C0">
        <w:br w:type="page"/>
      </w:r>
    </w:p>
    <w:p w:rsidR="008826BE" w:rsidRPr="00EA59C0" w:rsidRDefault="008826BE" w:rsidP="00DB00BB">
      <w:pPr>
        <w:spacing w:after="200" w:line="276" w:lineRule="auto"/>
        <w:rPr>
          <w:rFonts w:ascii="Arial" w:hAnsi="Arial" w:cs="Arial"/>
          <w:b/>
          <w:sz w:val="22"/>
          <w:szCs w:val="22"/>
        </w:rPr>
      </w:pPr>
      <w:r w:rsidRPr="00EA59C0">
        <w:rPr>
          <w:rFonts w:ascii="Arial" w:hAnsi="Arial" w:cs="Arial"/>
          <w:b/>
          <w:sz w:val="22"/>
          <w:szCs w:val="22"/>
        </w:rPr>
        <w:t>Appendix</w:t>
      </w:r>
      <w:r w:rsidR="00C026A6" w:rsidRPr="00EA59C0">
        <w:rPr>
          <w:rFonts w:ascii="Arial" w:hAnsi="Arial" w:cs="Arial"/>
          <w:b/>
          <w:sz w:val="22"/>
          <w:szCs w:val="22"/>
        </w:rPr>
        <w:t xml:space="preserve"> </w:t>
      </w:r>
      <w:r w:rsidR="00D9326C" w:rsidRPr="00EA59C0">
        <w:rPr>
          <w:rFonts w:ascii="Arial" w:hAnsi="Arial" w:cs="Arial"/>
          <w:b/>
          <w:sz w:val="22"/>
          <w:szCs w:val="22"/>
        </w:rPr>
        <w:t>N</w:t>
      </w:r>
      <w:r w:rsidRPr="00EA59C0">
        <w:rPr>
          <w:rFonts w:ascii="Arial" w:hAnsi="Arial" w:cs="Arial"/>
          <w:b/>
          <w:sz w:val="22"/>
          <w:szCs w:val="22"/>
        </w:rPr>
        <w:t>:</w:t>
      </w:r>
      <w:r w:rsidR="00C026A6" w:rsidRPr="00EA59C0">
        <w:rPr>
          <w:rFonts w:ascii="Arial" w:hAnsi="Arial" w:cs="Arial"/>
          <w:b/>
          <w:sz w:val="22"/>
          <w:szCs w:val="22"/>
        </w:rPr>
        <w:t xml:space="preserve">  </w:t>
      </w:r>
      <w:r w:rsidRPr="00EA59C0">
        <w:rPr>
          <w:rFonts w:ascii="Arial" w:hAnsi="Arial" w:cs="Arial"/>
          <w:b/>
          <w:sz w:val="22"/>
          <w:szCs w:val="22"/>
        </w:rPr>
        <w:t>Definitions</w:t>
      </w:r>
      <w:r w:rsidR="00C026A6" w:rsidRPr="00EA59C0">
        <w:rPr>
          <w:rFonts w:ascii="Arial" w:hAnsi="Arial" w:cs="Arial"/>
          <w:b/>
          <w:sz w:val="22"/>
          <w:szCs w:val="22"/>
        </w:rPr>
        <w:t xml:space="preserve"> </w:t>
      </w:r>
      <w:r w:rsidRPr="00EA59C0">
        <w:rPr>
          <w:rFonts w:ascii="Arial" w:hAnsi="Arial" w:cs="Arial"/>
          <w:b/>
          <w:sz w:val="22"/>
          <w:szCs w:val="22"/>
        </w:rPr>
        <w:t>and</w:t>
      </w:r>
      <w:r w:rsidR="00C026A6" w:rsidRPr="00EA59C0">
        <w:rPr>
          <w:rFonts w:ascii="Arial" w:hAnsi="Arial" w:cs="Arial"/>
          <w:b/>
          <w:sz w:val="22"/>
          <w:szCs w:val="22"/>
        </w:rPr>
        <w:t xml:space="preserve"> </w:t>
      </w:r>
      <w:r w:rsidRPr="00EA59C0">
        <w:rPr>
          <w:rFonts w:ascii="Arial" w:hAnsi="Arial" w:cs="Arial"/>
          <w:b/>
          <w:sz w:val="22"/>
          <w:szCs w:val="22"/>
        </w:rPr>
        <w:t>Usual</w:t>
      </w:r>
      <w:r w:rsidR="00C026A6" w:rsidRPr="00EA59C0">
        <w:rPr>
          <w:rFonts w:ascii="Arial" w:hAnsi="Arial" w:cs="Arial"/>
          <w:b/>
          <w:sz w:val="22"/>
          <w:szCs w:val="22"/>
        </w:rPr>
        <w:t xml:space="preserve"> </w:t>
      </w:r>
      <w:r w:rsidRPr="00EA59C0">
        <w:rPr>
          <w:rFonts w:ascii="Arial" w:hAnsi="Arial" w:cs="Arial"/>
          <w:b/>
          <w:sz w:val="22"/>
          <w:szCs w:val="22"/>
        </w:rPr>
        <w:t>Characteristics</w:t>
      </w:r>
      <w:r w:rsidR="00C026A6" w:rsidRPr="00EA59C0">
        <w:rPr>
          <w:rFonts w:ascii="Arial" w:hAnsi="Arial" w:cs="Arial"/>
          <w:b/>
          <w:sz w:val="22"/>
          <w:szCs w:val="22"/>
        </w:rPr>
        <w:t xml:space="preserve"> </w:t>
      </w:r>
      <w:r w:rsidRPr="00EA59C0">
        <w:rPr>
          <w:rFonts w:ascii="Arial" w:hAnsi="Arial" w:cs="Arial"/>
          <w:b/>
          <w:sz w:val="22"/>
          <w:szCs w:val="22"/>
        </w:rPr>
        <w:t>of</w:t>
      </w:r>
      <w:r w:rsidR="00C026A6" w:rsidRPr="00EA59C0">
        <w:rPr>
          <w:rFonts w:ascii="Arial" w:hAnsi="Arial" w:cs="Arial"/>
          <w:b/>
          <w:sz w:val="22"/>
          <w:szCs w:val="22"/>
        </w:rPr>
        <w:t xml:space="preserve"> </w:t>
      </w:r>
      <w:r w:rsidRPr="00EA59C0">
        <w:rPr>
          <w:rFonts w:ascii="Arial" w:hAnsi="Arial" w:cs="Arial"/>
          <w:b/>
          <w:sz w:val="22"/>
          <w:szCs w:val="22"/>
        </w:rPr>
        <w:t>Sub-grants</w:t>
      </w:r>
      <w:r w:rsidR="00C026A6" w:rsidRPr="00EA59C0">
        <w:rPr>
          <w:rFonts w:ascii="Arial" w:hAnsi="Arial" w:cs="Arial"/>
          <w:b/>
          <w:sz w:val="22"/>
          <w:szCs w:val="22"/>
        </w:rPr>
        <w:t xml:space="preserve"> </w:t>
      </w:r>
      <w:r w:rsidRPr="00EA59C0">
        <w:rPr>
          <w:rFonts w:ascii="Arial" w:hAnsi="Arial" w:cs="Arial"/>
          <w:b/>
          <w:sz w:val="22"/>
          <w:szCs w:val="22"/>
        </w:rPr>
        <w:t>vs.</w:t>
      </w:r>
      <w:r w:rsidR="00C026A6" w:rsidRPr="00EA59C0">
        <w:rPr>
          <w:rFonts w:ascii="Arial" w:hAnsi="Arial" w:cs="Arial"/>
          <w:b/>
          <w:sz w:val="22"/>
          <w:szCs w:val="22"/>
        </w:rPr>
        <w:t xml:space="preserve"> </w:t>
      </w:r>
      <w:r w:rsidRPr="00EA59C0">
        <w:rPr>
          <w:rFonts w:ascii="Arial" w:hAnsi="Arial" w:cs="Arial"/>
          <w:b/>
          <w:sz w:val="22"/>
          <w:szCs w:val="22"/>
        </w:rPr>
        <w:t>Subcontracts</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44" w:type="dxa"/>
          <w:bottom w:w="72" w:type="dxa"/>
          <w:right w:w="144" w:type="dxa"/>
        </w:tblCellMar>
        <w:tblLook w:val="01E0" w:firstRow="1" w:lastRow="1" w:firstColumn="1" w:lastColumn="1" w:noHBand="0" w:noVBand="0"/>
      </w:tblPr>
      <w:tblGrid>
        <w:gridCol w:w="2124"/>
        <w:gridCol w:w="3672"/>
        <w:gridCol w:w="4068"/>
      </w:tblGrid>
      <w:tr w:rsidR="00EA59C0" w:rsidRPr="00EA59C0" w:rsidTr="00C4770D">
        <w:trPr>
          <w:jc w:val="center"/>
        </w:trPr>
        <w:tc>
          <w:tcPr>
            <w:tcW w:w="2124" w:type="dxa"/>
          </w:tcPr>
          <w:p w:rsidR="008826BE" w:rsidRPr="00EA59C0" w:rsidRDefault="008826BE" w:rsidP="00DB00BB">
            <w:pPr>
              <w:autoSpaceDE w:val="0"/>
              <w:autoSpaceDN w:val="0"/>
              <w:adjustRightInd w:val="0"/>
              <w:rPr>
                <w:rFonts w:asciiTheme="minorHAnsi" w:hAnsiTheme="minorHAnsi" w:cs="Arial"/>
                <w:b/>
                <w:sz w:val="21"/>
                <w:szCs w:val="21"/>
              </w:rPr>
            </w:pPr>
            <w:r w:rsidRPr="00EA59C0">
              <w:rPr>
                <w:rFonts w:asciiTheme="minorHAnsi" w:hAnsiTheme="minorHAnsi" w:cs="Arial"/>
                <w:b/>
                <w:sz w:val="21"/>
                <w:szCs w:val="21"/>
              </w:rPr>
              <w:t>DEFINITIONS</w:t>
            </w:r>
          </w:p>
        </w:tc>
        <w:tc>
          <w:tcPr>
            <w:tcW w:w="3672" w:type="dxa"/>
          </w:tcPr>
          <w:p w:rsidR="008826BE" w:rsidRPr="00EA59C0" w:rsidRDefault="008826BE" w:rsidP="00DB00BB">
            <w:pPr>
              <w:autoSpaceDE w:val="0"/>
              <w:autoSpaceDN w:val="0"/>
              <w:adjustRightInd w:val="0"/>
              <w:rPr>
                <w:rFonts w:asciiTheme="minorHAnsi" w:hAnsiTheme="minorHAnsi" w:cs="Arial"/>
                <w:b/>
                <w:sz w:val="21"/>
                <w:szCs w:val="21"/>
              </w:rPr>
            </w:pPr>
            <w:r w:rsidRPr="00EA59C0">
              <w:rPr>
                <w:rFonts w:asciiTheme="minorHAnsi" w:hAnsiTheme="minorHAnsi" w:cs="Arial"/>
                <w:b/>
                <w:sz w:val="21"/>
                <w:szCs w:val="21"/>
              </w:rPr>
              <w:t>Sub-grants</w:t>
            </w:r>
          </w:p>
        </w:tc>
        <w:tc>
          <w:tcPr>
            <w:tcW w:w="4068" w:type="dxa"/>
          </w:tcPr>
          <w:p w:rsidR="008826BE" w:rsidRPr="00EA59C0" w:rsidRDefault="008826BE" w:rsidP="00DB00BB">
            <w:pPr>
              <w:autoSpaceDE w:val="0"/>
              <w:autoSpaceDN w:val="0"/>
              <w:adjustRightInd w:val="0"/>
              <w:rPr>
                <w:rFonts w:asciiTheme="minorHAnsi" w:hAnsiTheme="minorHAnsi" w:cs="Arial"/>
                <w:b/>
                <w:sz w:val="21"/>
                <w:szCs w:val="21"/>
              </w:rPr>
            </w:pPr>
            <w:r w:rsidRPr="00EA59C0">
              <w:rPr>
                <w:rFonts w:asciiTheme="minorHAnsi" w:hAnsiTheme="minorHAnsi" w:cs="Arial"/>
                <w:b/>
                <w:sz w:val="21"/>
                <w:szCs w:val="21"/>
              </w:rPr>
              <w:t>Subcontracts</w:t>
            </w:r>
          </w:p>
        </w:tc>
      </w:tr>
      <w:tr w:rsidR="00EA59C0" w:rsidRPr="00EA59C0" w:rsidTr="00C4770D">
        <w:trPr>
          <w:jc w:val="center"/>
        </w:trPr>
        <w:tc>
          <w:tcPr>
            <w:tcW w:w="2124"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General</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Purpose*</w:t>
            </w:r>
          </w:p>
        </w:tc>
        <w:tc>
          <w:tcPr>
            <w:tcW w:w="3672"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An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agreement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that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provides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for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transfer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of</w:t>
            </w:r>
            <w:r w:rsidR="00C026A6" w:rsidRPr="00EA59C0">
              <w:rPr>
                <w:rFonts w:asciiTheme="minorHAnsi" w:hAnsiTheme="minorHAnsi" w:cs="Arial"/>
                <w:sz w:val="21"/>
                <w:szCs w:val="21"/>
              </w:rPr>
              <w:t xml:space="preserve"> </w:t>
            </w:r>
            <w:r w:rsidRPr="00EA59C0">
              <w:rPr>
                <w:rFonts w:asciiTheme="minorHAnsi" w:hAnsiTheme="minorHAnsi" w:cs="Arial"/>
                <w:sz w:val="21"/>
                <w:szCs w:val="21"/>
              </w:rPr>
              <w:t>money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property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accomplish</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public</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purpose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of</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support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stimulation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through</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grant,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authorized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under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statute.</w:t>
            </w:r>
          </w:p>
        </w:tc>
        <w:tc>
          <w:tcPr>
            <w:tcW w:w="4068"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Legal</w:t>
            </w:r>
            <w:r w:rsidR="00C026A6" w:rsidRPr="00EA59C0">
              <w:rPr>
                <w:rFonts w:asciiTheme="minorHAnsi" w:hAnsiTheme="minorHAnsi" w:cs="Arial"/>
                <w:sz w:val="21"/>
                <w:szCs w:val="21"/>
              </w:rPr>
              <w:t xml:space="preserve"> </w:t>
            </w:r>
            <w:r w:rsidRPr="00EA59C0">
              <w:rPr>
                <w:rFonts w:asciiTheme="minorHAnsi" w:hAnsiTheme="minorHAnsi" w:cs="Arial"/>
                <w:sz w:val="21"/>
                <w:szCs w:val="21"/>
              </w:rPr>
              <w:t>contract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which</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purpose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provide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supplies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services.</w:t>
            </w:r>
          </w:p>
        </w:tc>
      </w:tr>
      <w:tr w:rsidR="00EA59C0" w:rsidRPr="00EA59C0" w:rsidTr="00C4770D">
        <w:trPr>
          <w:jc w:val="center"/>
        </w:trPr>
        <w:tc>
          <w:tcPr>
            <w:tcW w:w="2124"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Focus*</w:t>
            </w:r>
          </w:p>
        </w:tc>
        <w:tc>
          <w:tcPr>
            <w:tcW w:w="3672"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Carries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out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one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more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major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programmatic</w:t>
            </w:r>
            <w:r w:rsidR="00C026A6" w:rsidRPr="00EA59C0">
              <w:rPr>
                <w:rFonts w:asciiTheme="minorHAnsi" w:hAnsiTheme="minorHAnsi" w:cs="Arial"/>
                <w:sz w:val="21"/>
                <w:szCs w:val="21"/>
              </w:rPr>
              <w:t xml:space="preserve"> </w:t>
            </w:r>
            <w:r w:rsidRPr="00EA59C0">
              <w:rPr>
                <w:rFonts w:asciiTheme="minorHAnsi" w:hAnsiTheme="minorHAnsi" w:cs="Arial"/>
                <w:sz w:val="21"/>
                <w:szCs w:val="21"/>
              </w:rPr>
              <w:t>functions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support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of</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goals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of</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grant.</w:t>
            </w:r>
          </w:p>
        </w:tc>
        <w:tc>
          <w:tcPr>
            <w:tcW w:w="4068"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Does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not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support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goals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of</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grant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directly;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instead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subcontractor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provides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supplies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services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that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ancillary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supportive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operation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of</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grant.</w:t>
            </w:r>
          </w:p>
        </w:tc>
      </w:tr>
      <w:tr w:rsidR="00EA59C0" w:rsidRPr="00EA59C0" w:rsidTr="00C4770D">
        <w:trPr>
          <w:jc w:val="center"/>
        </w:trPr>
        <w:tc>
          <w:tcPr>
            <w:tcW w:w="2124"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Recipient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Responsibility*</w:t>
            </w:r>
          </w:p>
        </w:tc>
        <w:tc>
          <w:tcPr>
            <w:tcW w:w="3672"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Has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responsibility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for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programmatic</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decision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making,</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adherence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applicable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Federal</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program</w:t>
            </w:r>
            <w:r w:rsidR="00C026A6" w:rsidRPr="00EA59C0">
              <w:rPr>
                <w:rFonts w:asciiTheme="minorHAnsi" w:hAnsiTheme="minorHAnsi" w:cs="Arial"/>
                <w:sz w:val="21"/>
                <w:szCs w:val="21"/>
              </w:rPr>
              <w:t xml:space="preserve"> </w:t>
            </w:r>
            <w:r w:rsidRPr="00EA59C0">
              <w:rPr>
                <w:rFonts w:asciiTheme="minorHAnsi" w:hAnsiTheme="minorHAnsi" w:cs="Arial"/>
                <w:sz w:val="21"/>
                <w:szCs w:val="21"/>
              </w:rPr>
              <w:t>compliance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requirements,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able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determine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which</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participants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eligible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receive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Federal</w:t>
            </w:r>
            <w:r w:rsidR="00C026A6" w:rsidRPr="00EA59C0">
              <w:rPr>
                <w:rFonts w:asciiTheme="minorHAnsi" w:hAnsiTheme="minorHAnsi" w:cs="Arial"/>
                <w:sz w:val="21"/>
                <w:szCs w:val="21"/>
              </w:rPr>
              <w:t xml:space="preserve"> </w:t>
            </w:r>
            <w:r w:rsidRPr="00EA59C0">
              <w:rPr>
                <w:rFonts w:asciiTheme="minorHAnsi" w:hAnsiTheme="minorHAnsi" w:cs="Arial"/>
                <w:sz w:val="21"/>
                <w:szCs w:val="21"/>
              </w:rPr>
              <w:t>financial</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assistance.</w:t>
            </w:r>
          </w:p>
        </w:tc>
        <w:tc>
          <w:tcPr>
            <w:tcW w:w="4068"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Provides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supplies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services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for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use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by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prime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grantee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that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supportive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operation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of</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grant.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Subcontractor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subject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procurement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regulations,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but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not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programmatic</w:t>
            </w:r>
            <w:r w:rsidR="00C026A6" w:rsidRPr="00EA59C0">
              <w:rPr>
                <w:rFonts w:asciiTheme="minorHAnsi" w:hAnsiTheme="minorHAnsi" w:cs="Arial"/>
                <w:sz w:val="21"/>
                <w:szCs w:val="21"/>
              </w:rPr>
              <w:t xml:space="preserve"> </w:t>
            </w:r>
            <w:r w:rsidRPr="00EA59C0">
              <w:rPr>
                <w:rFonts w:asciiTheme="minorHAnsi" w:hAnsiTheme="minorHAnsi" w:cs="Arial"/>
                <w:sz w:val="21"/>
                <w:szCs w:val="21"/>
              </w:rPr>
              <w:t>compliance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requirements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does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not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have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decision-making</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authority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pertaining</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grant.</w:t>
            </w:r>
          </w:p>
        </w:tc>
      </w:tr>
      <w:tr w:rsidR="00EA59C0" w:rsidRPr="00EA59C0" w:rsidTr="00C4770D">
        <w:trPr>
          <w:jc w:val="center"/>
        </w:trPr>
        <w:tc>
          <w:tcPr>
            <w:tcW w:w="2124" w:type="dxa"/>
            <w:vAlign w:val="center"/>
          </w:tcPr>
          <w:p w:rsidR="008826BE" w:rsidRPr="00EA59C0" w:rsidRDefault="008826BE" w:rsidP="00DB00BB">
            <w:pPr>
              <w:autoSpaceDE w:val="0"/>
              <w:autoSpaceDN w:val="0"/>
              <w:adjustRightInd w:val="0"/>
              <w:rPr>
                <w:rFonts w:asciiTheme="minorHAnsi" w:hAnsiTheme="minorHAnsi" w:cs="Arial"/>
                <w:b/>
                <w:sz w:val="21"/>
                <w:szCs w:val="21"/>
              </w:rPr>
            </w:pPr>
            <w:r w:rsidRPr="00EA59C0">
              <w:rPr>
                <w:rFonts w:asciiTheme="minorHAnsi" w:hAnsiTheme="minorHAnsi" w:cs="Arial"/>
                <w:b/>
                <w:sz w:val="21"/>
                <w:szCs w:val="21"/>
              </w:rPr>
              <w:t>USUAL</w:t>
            </w:r>
            <w:r w:rsidR="00C026A6" w:rsidRPr="00EA59C0">
              <w:rPr>
                <w:rFonts w:asciiTheme="minorHAnsi" w:hAnsiTheme="minorHAnsi" w:cs="Arial"/>
                <w:b/>
                <w:sz w:val="21"/>
                <w:szCs w:val="21"/>
              </w:rPr>
              <w:t xml:space="preserve"> </w:t>
            </w:r>
            <w:r w:rsidRPr="00EA59C0">
              <w:rPr>
                <w:rFonts w:asciiTheme="minorHAnsi" w:hAnsiTheme="minorHAnsi" w:cs="Arial"/>
                <w:b/>
                <w:sz w:val="21"/>
                <w:szCs w:val="21"/>
              </w:rPr>
              <w:t>CHARACTERISTICS</w:t>
            </w:r>
          </w:p>
        </w:tc>
        <w:tc>
          <w:tcPr>
            <w:tcW w:w="3672" w:type="dxa"/>
            <w:vAlign w:val="center"/>
          </w:tcPr>
          <w:p w:rsidR="008826BE" w:rsidRPr="00EA59C0" w:rsidRDefault="008826BE" w:rsidP="00DB00BB">
            <w:pPr>
              <w:autoSpaceDE w:val="0"/>
              <w:autoSpaceDN w:val="0"/>
              <w:adjustRightInd w:val="0"/>
              <w:rPr>
                <w:rFonts w:asciiTheme="minorHAnsi" w:hAnsiTheme="minorHAnsi" w:cs="Arial"/>
                <w:b/>
                <w:sz w:val="21"/>
                <w:szCs w:val="21"/>
              </w:rPr>
            </w:pPr>
            <w:r w:rsidRPr="00EA59C0">
              <w:rPr>
                <w:rFonts w:asciiTheme="minorHAnsi" w:hAnsiTheme="minorHAnsi" w:cs="Arial"/>
                <w:b/>
                <w:sz w:val="21"/>
                <w:szCs w:val="21"/>
              </w:rPr>
              <w:t>Sub-grants</w:t>
            </w:r>
          </w:p>
        </w:tc>
        <w:tc>
          <w:tcPr>
            <w:tcW w:w="4068" w:type="dxa"/>
            <w:vAlign w:val="center"/>
          </w:tcPr>
          <w:p w:rsidR="008826BE" w:rsidRPr="00EA59C0" w:rsidRDefault="008826BE" w:rsidP="00DB00BB">
            <w:pPr>
              <w:autoSpaceDE w:val="0"/>
              <w:autoSpaceDN w:val="0"/>
              <w:adjustRightInd w:val="0"/>
              <w:rPr>
                <w:rFonts w:asciiTheme="minorHAnsi" w:hAnsiTheme="minorHAnsi" w:cs="Arial"/>
                <w:b/>
                <w:sz w:val="21"/>
                <w:szCs w:val="21"/>
              </w:rPr>
            </w:pPr>
            <w:r w:rsidRPr="00EA59C0">
              <w:rPr>
                <w:rFonts w:asciiTheme="minorHAnsi" w:hAnsiTheme="minorHAnsi" w:cs="Arial"/>
                <w:b/>
                <w:sz w:val="21"/>
                <w:szCs w:val="21"/>
              </w:rPr>
              <w:t>Subcontracts</w:t>
            </w:r>
          </w:p>
        </w:tc>
      </w:tr>
      <w:tr w:rsidR="00EA59C0" w:rsidRPr="00EA59C0" w:rsidTr="00C4770D">
        <w:trPr>
          <w:jc w:val="center"/>
        </w:trPr>
        <w:tc>
          <w:tcPr>
            <w:tcW w:w="2124"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Terms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Performance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Standards</w:t>
            </w:r>
          </w:p>
        </w:tc>
        <w:tc>
          <w:tcPr>
            <w:tcW w:w="3672"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Less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rigorous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their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terms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conditions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than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contracts.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Performance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measures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against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whether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objectives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of</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Federal</w:t>
            </w:r>
            <w:r w:rsidR="00C026A6" w:rsidRPr="00EA59C0">
              <w:rPr>
                <w:rFonts w:asciiTheme="minorHAnsi" w:hAnsiTheme="minorHAnsi" w:cs="Arial"/>
                <w:sz w:val="21"/>
                <w:szCs w:val="21"/>
              </w:rPr>
              <w:t xml:space="preserve"> </w:t>
            </w:r>
            <w:r w:rsidRPr="00EA59C0">
              <w:rPr>
                <w:rFonts w:asciiTheme="minorHAnsi" w:hAnsiTheme="minorHAnsi" w:cs="Arial"/>
                <w:sz w:val="21"/>
                <w:szCs w:val="21"/>
              </w:rPr>
              <w:t>grant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met.</w:t>
            </w:r>
          </w:p>
        </w:tc>
        <w:tc>
          <w:tcPr>
            <w:tcW w:w="4068"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More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rigorous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their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terms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conditions.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Performance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measures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against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delivery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of</w:t>
            </w:r>
            <w:r w:rsidR="00C026A6" w:rsidRPr="00EA59C0">
              <w:rPr>
                <w:rFonts w:asciiTheme="minorHAnsi" w:hAnsiTheme="minorHAnsi" w:cs="Arial"/>
                <w:sz w:val="21"/>
                <w:szCs w:val="21"/>
              </w:rPr>
              <w:t xml:space="preserve"> </w:t>
            </w:r>
            <w:r w:rsidRPr="00EA59C0">
              <w:rPr>
                <w:rFonts w:asciiTheme="minorHAnsi" w:hAnsiTheme="minorHAnsi" w:cs="Arial"/>
                <w:sz w:val="21"/>
                <w:szCs w:val="21"/>
              </w:rPr>
              <w:t>goods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services.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terms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will</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define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deliverables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indicate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when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due.</w:t>
            </w:r>
          </w:p>
        </w:tc>
      </w:tr>
      <w:tr w:rsidR="00EA59C0" w:rsidRPr="00EA59C0" w:rsidTr="00C4770D">
        <w:trPr>
          <w:jc w:val="center"/>
        </w:trPr>
        <w:tc>
          <w:tcPr>
            <w:tcW w:w="2124"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Monitoring</w:t>
            </w:r>
          </w:p>
        </w:tc>
        <w:tc>
          <w:tcPr>
            <w:tcW w:w="3672"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Less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regulated.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If</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task</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not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accomplished,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may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be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fewer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legal</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financial</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ramifications.</w:t>
            </w:r>
          </w:p>
        </w:tc>
        <w:tc>
          <w:tcPr>
            <w:tcW w:w="4068"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More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heavily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regulated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more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likely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carry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substantial</w:t>
            </w:r>
            <w:r w:rsidR="00C026A6" w:rsidRPr="00EA59C0">
              <w:rPr>
                <w:rFonts w:asciiTheme="minorHAnsi" w:hAnsiTheme="minorHAnsi" w:cs="Arial"/>
                <w:sz w:val="21"/>
                <w:szCs w:val="21"/>
              </w:rPr>
              <w:t xml:space="preserve"> </w:t>
            </w:r>
            <w:r w:rsidRPr="00EA59C0">
              <w:rPr>
                <w:rFonts w:asciiTheme="minorHAnsi" w:hAnsiTheme="minorHAnsi" w:cs="Arial"/>
                <w:sz w:val="21"/>
                <w:szCs w:val="21"/>
              </w:rPr>
              <w:t>legal</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financial</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risk.</w:t>
            </w:r>
          </w:p>
        </w:tc>
      </w:tr>
      <w:tr w:rsidR="00EA59C0" w:rsidRPr="00EA59C0" w:rsidTr="00C4770D">
        <w:trPr>
          <w:jc w:val="center"/>
        </w:trPr>
        <w:tc>
          <w:tcPr>
            <w:tcW w:w="2124"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Scope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of</w:t>
            </w:r>
            <w:r w:rsidR="00C026A6" w:rsidRPr="00EA59C0">
              <w:rPr>
                <w:rFonts w:asciiTheme="minorHAnsi" w:hAnsiTheme="minorHAnsi" w:cs="Arial"/>
                <w:sz w:val="21"/>
                <w:szCs w:val="21"/>
              </w:rPr>
              <w:t xml:space="preserve"> </w:t>
            </w:r>
            <w:r w:rsidRPr="00EA59C0">
              <w:rPr>
                <w:rFonts w:asciiTheme="minorHAnsi" w:hAnsiTheme="minorHAnsi" w:cs="Arial"/>
                <w:sz w:val="21"/>
                <w:szCs w:val="21"/>
              </w:rPr>
              <w:t>work</w:t>
            </w:r>
          </w:p>
        </w:tc>
        <w:tc>
          <w:tcPr>
            <w:tcW w:w="3672"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Scope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of</w:t>
            </w:r>
            <w:r w:rsidR="00C026A6" w:rsidRPr="00EA59C0">
              <w:rPr>
                <w:rFonts w:asciiTheme="minorHAnsi" w:hAnsiTheme="minorHAnsi" w:cs="Arial"/>
                <w:sz w:val="21"/>
                <w:szCs w:val="21"/>
              </w:rPr>
              <w:t xml:space="preserve"> </w:t>
            </w:r>
            <w:r w:rsidRPr="00EA59C0">
              <w:rPr>
                <w:rFonts w:asciiTheme="minorHAnsi" w:hAnsiTheme="minorHAnsi" w:cs="Arial"/>
                <w:sz w:val="21"/>
                <w:szCs w:val="21"/>
              </w:rPr>
              <w:t>work,</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deliverables,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delivery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schedule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more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flexible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easier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amend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when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changes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necessary.</w:t>
            </w:r>
          </w:p>
        </w:tc>
        <w:tc>
          <w:tcPr>
            <w:tcW w:w="4068"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Scope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of</w:t>
            </w:r>
            <w:r w:rsidR="00C026A6" w:rsidRPr="00EA59C0">
              <w:rPr>
                <w:rFonts w:asciiTheme="minorHAnsi" w:hAnsiTheme="minorHAnsi" w:cs="Arial"/>
                <w:sz w:val="21"/>
                <w:szCs w:val="21"/>
              </w:rPr>
              <w:t xml:space="preserve"> </w:t>
            </w:r>
            <w:r w:rsidRPr="00EA59C0">
              <w:rPr>
                <w:rFonts w:asciiTheme="minorHAnsi" w:hAnsiTheme="minorHAnsi" w:cs="Arial"/>
                <w:sz w:val="21"/>
                <w:szCs w:val="21"/>
              </w:rPr>
              <w:t>work</w:t>
            </w:r>
            <w:r w:rsidR="00C026A6" w:rsidRPr="00EA59C0">
              <w:rPr>
                <w:rFonts w:asciiTheme="minorHAnsi" w:hAnsiTheme="minorHAnsi" w:cs="Arial"/>
                <w:sz w:val="21"/>
                <w:szCs w:val="21"/>
              </w:rPr>
              <w:t xml:space="preserve"> </w:t>
            </w:r>
            <w:r w:rsidRPr="00EA59C0">
              <w:rPr>
                <w:rFonts w:asciiTheme="minorHAnsi" w:hAnsiTheme="minorHAnsi" w:cs="Arial"/>
                <w:sz w:val="21"/>
                <w:szCs w:val="21"/>
              </w:rPr>
              <w:t>may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be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less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flexible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more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difficult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amend.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Firm</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delivery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schedule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with</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deliverables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subject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rigorous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inspection.</w:t>
            </w:r>
          </w:p>
        </w:tc>
      </w:tr>
      <w:tr w:rsidR="008826BE" w:rsidRPr="00EA59C0" w:rsidTr="00C4770D">
        <w:trPr>
          <w:jc w:val="center"/>
        </w:trPr>
        <w:tc>
          <w:tcPr>
            <w:tcW w:w="2124"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Payment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Schedule</w:t>
            </w:r>
          </w:p>
        </w:tc>
        <w:tc>
          <w:tcPr>
            <w:tcW w:w="3672"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Fund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usually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drawn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down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by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recipient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paid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lump</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sum.</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Payments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based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budgeted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amounts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rather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than</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the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unit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cost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of</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services.</w:t>
            </w:r>
          </w:p>
        </w:tc>
        <w:tc>
          <w:tcPr>
            <w:tcW w:w="4068" w:type="dxa"/>
          </w:tcPr>
          <w:p w:rsidR="008826BE" w:rsidRPr="00EA59C0" w:rsidRDefault="008826BE" w:rsidP="00DB00BB">
            <w:pPr>
              <w:autoSpaceDE w:val="0"/>
              <w:autoSpaceDN w:val="0"/>
              <w:adjustRightInd w:val="0"/>
              <w:rPr>
                <w:rFonts w:asciiTheme="minorHAnsi" w:hAnsiTheme="minorHAnsi" w:cs="Arial"/>
                <w:sz w:val="21"/>
                <w:szCs w:val="21"/>
              </w:rPr>
            </w:pPr>
            <w:r w:rsidRPr="00EA59C0">
              <w:rPr>
                <w:rFonts w:asciiTheme="minorHAnsi" w:hAnsiTheme="minorHAnsi" w:cs="Arial"/>
                <w:sz w:val="21"/>
                <w:szCs w:val="21"/>
              </w:rPr>
              <w:t>Payment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usually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made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by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invoice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only</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after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goods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delivered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and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services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rendered.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Advances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are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made</w:t>
            </w:r>
            <w:r w:rsidR="00C026A6" w:rsidRPr="00EA59C0">
              <w:rPr>
                <w:rFonts w:asciiTheme="minorHAnsi" w:hAnsiTheme="minorHAnsi" w:cs="Arial"/>
                <w:sz w:val="21"/>
                <w:szCs w:val="21"/>
              </w:rPr>
              <w:t xml:space="preserve"> </w:t>
            </w:r>
            <w:r w:rsidRPr="00EA59C0">
              <w:rPr>
                <w:rFonts w:asciiTheme="minorHAnsi" w:hAnsiTheme="minorHAnsi" w:cs="Arial"/>
                <w:sz w:val="21"/>
                <w:szCs w:val="21"/>
              </w:rPr>
              <w:t>under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specific,</w:t>
            </w:r>
            <w:r w:rsidR="00C026A6" w:rsidRPr="00EA59C0">
              <w:rPr>
                <w:rFonts w:asciiTheme="minorHAnsi" w:hAnsiTheme="minorHAnsi" w:cs="Arial"/>
                <w:sz w:val="21"/>
                <w:szCs w:val="21"/>
              </w:rPr>
              <w:t xml:space="preserve"> </w:t>
            </w:r>
            <w:r w:rsidRPr="00EA59C0">
              <w:rPr>
                <w:rFonts w:asciiTheme="minorHAnsi" w:hAnsiTheme="minorHAnsi" w:cs="Arial"/>
                <w:sz w:val="21"/>
                <w:szCs w:val="21"/>
              </w:rPr>
              <w:t>limited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circumstances.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Payment</w:t>
            </w:r>
            <w:r w:rsidR="00C026A6" w:rsidRPr="00EA59C0">
              <w:rPr>
                <w:rFonts w:asciiTheme="minorHAnsi" w:hAnsiTheme="minorHAnsi" w:cs="Arial"/>
                <w:sz w:val="21"/>
                <w:szCs w:val="21"/>
              </w:rPr>
              <w:t xml:space="preserve"> </w:t>
            </w:r>
            <w:r w:rsidRPr="00EA59C0">
              <w:rPr>
                <w:rFonts w:asciiTheme="minorHAnsi" w:hAnsiTheme="minorHAnsi" w:cs="Arial"/>
                <w:sz w:val="21"/>
                <w:szCs w:val="21"/>
              </w:rPr>
              <w:t>is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related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to</w:t>
            </w:r>
            <w:r w:rsidR="00C026A6" w:rsidRPr="00EA59C0">
              <w:rPr>
                <w:rFonts w:asciiTheme="minorHAnsi" w:hAnsiTheme="minorHAnsi" w:cs="Arial"/>
                <w:sz w:val="21"/>
                <w:szCs w:val="21"/>
              </w:rPr>
              <w:t xml:space="preserve"> </w:t>
            </w:r>
            <w:r w:rsidRPr="00EA59C0">
              <w:rPr>
                <w:rFonts w:asciiTheme="minorHAnsi" w:hAnsiTheme="minorHAnsi" w:cs="Arial"/>
                <w:sz w:val="21"/>
                <w:szCs w:val="21"/>
              </w:rPr>
              <w:t>goods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delivered</w:t>
            </w:r>
            <w:r w:rsidR="00C026A6" w:rsidRPr="00EA59C0">
              <w:rPr>
                <w:rFonts w:asciiTheme="minorHAnsi" w:hAnsiTheme="minorHAnsi" w:cs="Arial"/>
                <w:sz w:val="21"/>
                <w:szCs w:val="21"/>
              </w:rPr>
              <w:t xml:space="preserve"> </w:t>
            </w:r>
            <w:r w:rsidRPr="00EA59C0">
              <w:rPr>
                <w:rFonts w:asciiTheme="minorHAnsi" w:hAnsiTheme="minorHAnsi" w:cs="Arial"/>
                <w:sz w:val="21"/>
                <w:szCs w:val="21"/>
              </w:rPr>
              <w:t>or</w:t>
            </w:r>
            <w:r w:rsidR="00C026A6" w:rsidRPr="00EA59C0">
              <w:rPr>
                <w:rFonts w:asciiTheme="minorHAnsi" w:hAnsiTheme="minorHAnsi" w:cs="Arial"/>
                <w:sz w:val="21"/>
                <w:szCs w:val="21"/>
              </w:rPr>
              <w:t xml:space="preserve"> </w:t>
            </w:r>
            <w:r w:rsidRPr="00EA59C0">
              <w:rPr>
                <w:rFonts w:asciiTheme="minorHAnsi" w:hAnsiTheme="minorHAnsi" w:cs="Arial"/>
                <w:sz w:val="21"/>
                <w:szCs w:val="21"/>
              </w:rPr>
              <w:t>services</w:t>
            </w:r>
            <w:r w:rsidR="00C026A6" w:rsidRPr="00EA59C0">
              <w:rPr>
                <w:rFonts w:asciiTheme="minorHAnsi" w:hAnsiTheme="minorHAnsi" w:cs="Arial"/>
                <w:sz w:val="21"/>
                <w:szCs w:val="21"/>
              </w:rPr>
              <w:t xml:space="preserve"> </w:t>
            </w:r>
            <w:r w:rsidRPr="00EA59C0">
              <w:rPr>
                <w:rFonts w:asciiTheme="minorHAnsi" w:hAnsiTheme="minorHAnsi" w:cs="Arial"/>
                <w:sz w:val="21"/>
                <w:szCs w:val="21"/>
              </w:rPr>
              <w:t>rendered.</w:t>
            </w:r>
            <w:r w:rsidR="00C026A6" w:rsidRPr="00EA59C0">
              <w:rPr>
                <w:rFonts w:asciiTheme="minorHAnsi" w:hAnsiTheme="minorHAnsi" w:cs="Arial"/>
                <w:sz w:val="21"/>
                <w:szCs w:val="21"/>
              </w:rPr>
              <w:t xml:space="preserve">  </w:t>
            </w:r>
          </w:p>
        </w:tc>
      </w:tr>
    </w:tbl>
    <w:p w:rsidR="008826BE" w:rsidRPr="00EA59C0" w:rsidRDefault="008826BE" w:rsidP="00DB00BB">
      <w:pPr>
        <w:autoSpaceDE w:val="0"/>
        <w:autoSpaceDN w:val="0"/>
        <w:adjustRightInd w:val="0"/>
        <w:ind w:right="-720"/>
        <w:rPr>
          <w:rFonts w:asciiTheme="minorHAnsi" w:hAnsiTheme="minorHAnsi" w:cs="Arial"/>
          <w:sz w:val="22"/>
          <w:szCs w:val="22"/>
        </w:rPr>
      </w:pPr>
    </w:p>
    <w:p w:rsidR="008826BE" w:rsidRPr="00EA59C0" w:rsidRDefault="008826BE" w:rsidP="00DB00BB">
      <w:pPr>
        <w:autoSpaceDE w:val="0"/>
        <w:autoSpaceDN w:val="0"/>
        <w:adjustRightInd w:val="0"/>
        <w:ind w:right="-720"/>
        <w:rPr>
          <w:rFonts w:asciiTheme="minorHAnsi" w:hAnsiTheme="minorHAnsi" w:cs="Arial"/>
          <w:sz w:val="22"/>
          <w:szCs w:val="22"/>
        </w:rPr>
      </w:pP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distinction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between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sub-grants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vs.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subcontracts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should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be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made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primarily</w:t>
      </w:r>
      <w:r w:rsidR="00C026A6" w:rsidRPr="00EA59C0">
        <w:rPr>
          <w:rFonts w:asciiTheme="minorHAnsi" w:hAnsiTheme="minorHAnsi" w:cs="Arial"/>
          <w:sz w:val="22"/>
          <w:szCs w:val="22"/>
        </w:rPr>
        <w:t xml:space="preserve"> </w:t>
      </w:r>
      <w:r w:rsidRPr="00EA59C0">
        <w:rPr>
          <w:rFonts w:asciiTheme="minorHAnsi" w:hAnsiTheme="minorHAnsi" w:cs="Arial"/>
          <w:sz w:val="22"/>
          <w:szCs w:val="22"/>
        </w:rPr>
        <w:t>based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these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three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definitions.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Even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agreement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has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some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many</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“usual</w:t>
      </w:r>
      <w:r w:rsidR="00C026A6" w:rsidRPr="00EA59C0">
        <w:rPr>
          <w:rFonts w:asciiTheme="minorHAnsi" w:hAnsiTheme="minorHAnsi" w:cs="Arial"/>
          <w:sz w:val="22"/>
          <w:szCs w:val="22"/>
        </w:rPr>
        <w:t xml:space="preserve"> </w:t>
      </w:r>
      <w:r w:rsidRPr="00EA59C0">
        <w:rPr>
          <w:rFonts w:asciiTheme="minorHAnsi" w:hAnsiTheme="minorHAnsi" w:cs="Arial"/>
          <w:sz w:val="22"/>
          <w:szCs w:val="22"/>
        </w:rPr>
        <w:t>characteristics”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sub-grant,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project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managers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and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auditors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should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closely</w:t>
      </w:r>
      <w:r w:rsidR="00C026A6" w:rsidRPr="00EA59C0">
        <w:rPr>
          <w:rFonts w:asciiTheme="minorHAnsi" w:hAnsiTheme="minorHAnsi" w:cs="Arial"/>
          <w:sz w:val="22"/>
          <w:szCs w:val="22"/>
        </w:rPr>
        <w:t xml:space="preserve"> </w:t>
      </w:r>
      <w:r w:rsidRPr="00EA59C0">
        <w:rPr>
          <w:rFonts w:asciiTheme="minorHAnsi" w:hAnsiTheme="minorHAnsi" w:cs="Arial"/>
          <w:sz w:val="22"/>
          <w:szCs w:val="22"/>
        </w:rPr>
        <w:t>examine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purpose,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focus,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and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recipient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responsibilities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(using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definitions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provided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above)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before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determining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whether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meets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definition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sub-grant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subcontract.</w:t>
      </w:r>
    </w:p>
    <w:p w:rsidR="008826BE" w:rsidRPr="00EA59C0" w:rsidRDefault="008826BE" w:rsidP="008826BE">
      <w:pPr>
        <w:spacing w:line="480" w:lineRule="auto"/>
        <w:jc w:val="both"/>
        <w:rPr>
          <w:rFonts w:ascii="Arial" w:hAnsi="Arial" w:cs="Arial"/>
          <w:b/>
          <w:sz w:val="22"/>
          <w:szCs w:val="22"/>
        </w:rPr>
      </w:pPr>
      <w:r w:rsidRPr="00EA59C0">
        <w:rPr>
          <w:rFonts w:asciiTheme="minorHAnsi" w:hAnsiTheme="minorHAnsi" w:cs="Arial"/>
          <w:sz w:val="22"/>
          <w:szCs w:val="22"/>
        </w:rPr>
        <w:br w:type="page"/>
      </w:r>
      <w:r w:rsidRPr="00EA59C0">
        <w:rPr>
          <w:rFonts w:ascii="Arial" w:hAnsi="Arial" w:cs="Arial"/>
          <w:b/>
          <w:sz w:val="22"/>
          <w:szCs w:val="22"/>
        </w:rPr>
        <w:t>Appendix</w:t>
      </w:r>
      <w:r w:rsidR="00C026A6" w:rsidRPr="00EA59C0">
        <w:rPr>
          <w:rFonts w:ascii="Arial" w:hAnsi="Arial" w:cs="Arial"/>
          <w:b/>
          <w:sz w:val="22"/>
          <w:szCs w:val="22"/>
        </w:rPr>
        <w:t xml:space="preserve"> </w:t>
      </w:r>
      <w:r w:rsidR="00D9326C" w:rsidRPr="00EA59C0">
        <w:rPr>
          <w:rFonts w:ascii="Arial" w:hAnsi="Arial" w:cs="Arial"/>
          <w:b/>
          <w:sz w:val="22"/>
          <w:szCs w:val="22"/>
        </w:rPr>
        <w:t>O</w:t>
      </w:r>
      <w:r w:rsidRPr="00EA59C0">
        <w:rPr>
          <w:rFonts w:ascii="Arial" w:hAnsi="Arial" w:cs="Arial"/>
          <w:b/>
          <w:sz w:val="22"/>
          <w:szCs w:val="22"/>
        </w:rPr>
        <w:t>:</w:t>
      </w:r>
      <w:r w:rsidR="00C026A6" w:rsidRPr="00EA59C0">
        <w:rPr>
          <w:rFonts w:ascii="Arial" w:hAnsi="Arial" w:cs="Arial"/>
          <w:b/>
          <w:sz w:val="22"/>
          <w:szCs w:val="22"/>
        </w:rPr>
        <w:t xml:space="preserve">  </w:t>
      </w:r>
      <w:r w:rsidRPr="00EA59C0">
        <w:rPr>
          <w:rFonts w:ascii="Arial" w:hAnsi="Arial" w:cs="Arial"/>
          <w:b/>
          <w:sz w:val="22"/>
          <w:szCs w:val="22"/>
        </w:rPr>
        <w:t>Framework</w:t>
      </w:r>
      <w:r w:rsidR="00C026A6" w:rsidRPr="00EA59C0">
        <w:rPr>
          <w:rFonts w:ascii="Arial" w:hAnsi="Arial" w:cs="Arial"/>
          <w:b/>
          <w:sz w:val="22"/>
          <w:szCs w:val="22"/>
        </w:rPr>
        <w:t xml:space="preserve"> </w:t>
      </w:r>
      <w:r w:rsidRPr="00EA59C0">
        <w:rPr>
          <w:rFonts w:ascii="Arial" w:hAnsi="Arial" w:cs="Arial"/>
          <w:b/>
          <w:sz w:val="22"/>
          <w:szCs w:val="22"/>
        </w:rPr>
        <w:t>of</w:t>
      </w:r>
      <w:r w:rsidR="00C026A6" w:rsidRPr="00EA59C0">
        <w:rPr>
          <w:rFonts w:ascii="Arial" w:hAnsi="Arial" w:cs="Arial"/>
          <w:b/>
          <w:sz w:val="22"/>
          <w:szCs w:val="22"/>
        </w:rPr>
        <w:t xml:space="preserve"> </w:t>
      </w:r>
      <w:r w:rsidRPr="00EA59C0">
        <w:rPr>
          <w:rFonts w:ascii="Arial" w:hAnsi="Arial" w:cs="Arial"/>
          <w:b/>
          <w:sz w:val="22"/>
          <w:szCs w:val="22"/>
        </w:rPr>
        <w:t>Evaluation</w:t>
      </w:r>
      <w:r w:rsidR="00C026A6" w:rsidRPr="00EA59C0">
        <w:rPr>
          <w:rFonts w:ascii="Arial" w:hAnsi="Arial" w:cs="Arial"/>
          <w:b/>
          <w:sz w:val="22"/>
          <w:szCs w:val="22"/>
        </w:rPr>
        <w:t xml:space="preserve"> </w:t>
      </w:r>
      <w:r w:rsidRPr="00EA59C0">
        <w:rPr>
          <w:rFonts w:ascii="Arial" w:hAnsi="Arial" w:cs="Arial"/>
          <w:b/>
          <w:sz w:val="22"/>
          <w:szCs w:val="22"/>
        </w:rPr>
        <w:t>Methodologies</w:t>
      </w:r>
    </w:p>
    <w:p w:rsidR="008826BE" w:rsidRPr="00EA59C0" w:rsidRDefault="008826BE" w:rsidP="00DB00BB">
      <w:pPr>
        <w:rPr>
          <w:rFonts w:ascii="Arial" w:hAnsi="Arial" w:cs="Arial"/>
          <w:sz w:val="22"/>
          <w:szCs w:val="22"/>
        </w:rPr>
      </w:pPr>
      <w:r w:rsidRPr="00EA59C0">
        <w:rPr>
          <w:rFonts w:ascii="Arial" w:hAnsi="Arial" w:cs="Arial"/>
          <w:sz w:val="22"/>
          <w:szCs w:val="22"/>
        </w:rPr>
        <w:t>Please</w:t>
      </w:r>
      <w:r w:rsidR="00C026A6" w:rsidRPr="00EA59C0">
        <w:rPr>
          <w:rFonts w:ascii="Arial" w:hAnsi="Arial" w:cs="Arial"/>
          <w:sz w:val="22"/>
          <w:szCs w:val="22"/>
        </w:rPr>
        <w:t xml:space="preserve"> </w:t>
      </w:r>
      <w:r w:rsidRPr="00EA59C0">
        <w:rPr>
          <w:rFonts w:ascii="Arial" w:hAnsi="Arial" w:cs="Arial"/>
          <w:sz w:val="22"/>
          <w:szCs w:val="22"/>
        </w:rPr>
        <w:t>use</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chart</w:t>
      </w:r>
      <w:r w:rsidR="00C026A6" w:rsidRPr="00EA59C0">
        <w:rPr>
          <w:rFonts w:ascii="Arial" w:hAnsi="Arial" w:cs="Arial"/>
          <w:sz w:val="22"/>
          <w:szCs w:val="22"/>
        </w:rPr>
        <w:t xml:space="preserve"> </w:t>
      </w:r>
      <w:r w:rsidRPr="00EA59C0">
        <w:rPr>
          <w:rFonts w:ascii="Arial" w:hAnsi="Arial" w:cs="Arial"/>
          <w:sz w:val="22"/>
          <w:szCs w:val="22"/>
        </w:rPr>
        <w:t>below</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help</w:t>
      </w:r>
      <w:r w:rsidR="00C026A6" w:rsidRPr="00EA59C0">
        <w:rPr>
          <w:rFonts w:ascii="Arial" w:hAnsi="Arial" w:cs="Arial"/>
          <w:sz w:val="22"/>
          <w:szCs w:val="22"/>
        </w:rPr>
        <w:t xml:space="preserve"> </w:t>
      </w:r>
      <w:r w:rsidRPr="00EA59C0">
        <w:rPr>
          <w:rFonts w:ascii="Arial" w:hAnsi="Arial" w:cs="Arial"/>
          <w:sz w:val="22"/>
          <w:szCs w:val="22"/>
        </w:rPr>
        <w:t>determine</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type</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evaluation</w:t>
      </w:r>
      <w:r w:rsidR="00C026A6" w:rsidRPr="00EA59C0">
        <w:rPr>
          <w:rFonts w:ascii="Arial" w:hAnsi="Arial" w:cs="Arial"/>
          <w:sz w:val="22"/>
          <w:szCs w:val="22"/>
        </w:rPr>
        <w:t xml:space="preserve"> </w:t>
      </w:r>
      <w:r w:rsidRPr="00EA59C0">
        <w:rPr>
          <w:rFonts w:ascii="Arial" w:hAnsi="Arial" w:cs="Arial"/>
          <w:sz w:val="22"/>
          <w:szCs w:val="22"/>
        </w:rPr>
        <w:t>you</w:t>
      </w:r>
      <w:r w:rsidR="00C026A6" w:rsidRPr="00EA59C0">
        <w:rPr>
          <w:rFonts w:ascii="Arial" w:hAnsi="Arial" w:cs="Arial"/>
          <w:sz w:val="22"/>
          <w:szCs w:val="22"/>
        </w:rPr>
        <w:t xml:space="preserve"> </w:t>
      </w:r>
      <w:r w:rsidRPr="00EA59C0">
        <w:rPr>
          <w:rFonts w:ascii="Arial" w:hAnsi="Arial" w:cs="Arial"/>
          <w:sz w:val="22"/>
          <w:szCs w:val="22"/>
        </w:rPr>
        <w:t>should</w:t>
      </w:r>
      <w:r w:rsidR="00C026A6" w:rsidRPr="00EA59C0">
        <w:rPr>
          <w:rFonts w:ascii="Arial" w:hAnsi="Arial" w:cs="Arial"/>
          <w:sz w:val="22"/>
          <w:szCs w:val="22"/>
        </w:rPr>
        <w:t xml:space="preserve"> </w:t>
      </w:r>
      <w:r w:rsidRPr="00EA59C0">
        <w:rPr>
          <w:rFonts w:ascii="Arial" w:hAnsi="Arial" w:cs="Arial"/>
          <w:sz w:val="22"/>
          <w:szCs w:val="22"/>
        </w:rPr>
        <w:t>plan</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for</w:t>
      </w:r>
      <w:r w:rsidR="00C026A6" w:rsidRPr="00EA59C0">
        <w:rPr>
          <w:rFonts w:ascii="Arial" w:hAnsi="Arial" w:cs="Arial"/>
          <w:sz w:val="22"/>
          <w:szCs w:val="22"/>
        </w:rPr>
        <w:t xml:space="preserve"> </w:t>
      </w:r>
      <w:r w:rsidRPr="00EA59C0">
        <w:rPr>
          <w:rFonts w:ascii="Arial" w:hAnsi="Arial" w:cs="Arial"/>
          <w:sz w:val="22"/>
          <w:szCs w:val="22"/>
        </w:rPr>
        <w:t>which</w:t>
      </w:r>
      <w:r w:rsidR="00C026A6" w:rsidRPr="00EA59C0">
        <w:rPr>
          <w:rFonts w:ascii="Arial" w:hAnsi="Arial" w:cs="Arial"/>
          <w:sz w:val="22"/>
          <w:szCs w:val="22"/>
        </w:rPr>
        <w:t xml:space="preserve"> </w:t>
      </w:r>
      <w:r w:rsidRPr="00EA59C0">
        <w:rPr>
          <w:rFonts w:ascii="Arial" w:hAnsi="Arial" w:cs="Arial"/>
          <w:sz w:val="22"/>
          <w:szCs w:val="22"/>
        </w:rPr>
        <w:t>you</w:t>
      </w:r>
      <w:r w:rsidR="00C026A6" w:rsidRPr="00EA59C0">
        <w:rPr>
          <w:rFonts w:ascii="Arial" w:hAnsi="Arial" w:cs="Arial"/>
          <w:sz w:val="22"/>
          <w:szCs w:val="22"/>
        </w:rPr>
        <w:t xml:space="preserve"> </w:t>
      </w:r>
      <w:r w:rsidRPr="00EA59C0">
        <w:rPr>
          <w:rFonts w:ascii="Arial" w:hAnsi="Arial" w:cs="Arial"/>
          <w:sz w:val="22"/>
          <w:szCs w:val="22"/>
        </w:rPr>
        <w:t>should</w:t>
      </w:r>
      <w:r w:rsidR="00C026A6" w:rsidRPr="00EA59C0">
        <w:rPr>
          <w:rFonts w:ascii="Arial" w:hAnsi="Arial" w:cs="Arial"/>
          <w:sz w:val="22"/>
          <w:szCs w:val="22"/>
        </w:rPr>
        <w:t xml:space="preserve"> </w:t>
      </w:r>
      <w:r w:rsidRPr="00EA59C0">
        <w:rPr>
          <w:rFonts w:ascii="Arial" w:hAnsi="Arial" w:cs="Arial"/>
          <w:sz w:val="22"/>
          <w:szCs w:val="22"/>
        </w:rPr>
        <w:t>submit</w:t>
      </w:r>
      <w:r w:rsidR="00C026A6" w:rsidRPr="00EA59C0">
        <w:rPr>
          <w:rFonts w:ascii="Arial" w:hAnsi="Arial" w:cs="Arial"/>
          <w:sz w:val="22"/>
          <w:szCs w:val="22"/>
        </w:rPr>
        <w:t xml:space="preserve"> </w:t>
      </w:r>
      <w:r w:rsidRPr="00EA59C0">
        <w:rPr>
          <w:rFonts w:ascii="Arial" w:hAnsi="Arial" w:cs="Arial"/>
          <w:sz w:val="22"/>
          <w:szCs w:val="22"/>
        </w:rPr>
        <w:t>a</w:t>
      </w:r>
      <w:r w:rsidR="00C026A6" w:rsidRPr="00EA59C0">
        <w:rPr>
          <w:rFonts w:ascii="Arial" w:hAnsi="Arial" w:cs="Arial"/>
          <w:sz w:val="22"/>
          <w:szCs w:val="22"/>
        </w:rPr>
        <w:t xml:space="preserve"> </w:t>
      </w:r>
      <w:r w:rsidRPr="00EA59C0">
        <w:rPr>
          <w:rFonts w:ascii="Arial" w:hAnsi="Arial" w:cs="Arial"/>
          <w:sz w:val="22"/>
          <w:szCs w:val="22"/>
        </w:rPr>
        <w:t>proposal</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justify</w:t>
      </w:r>
      <w:r w:rsidR="00C026A6" w:rsidRPr="00EA59C0">
        <w:rPr>
          <w:rFonts w:ascii="Arial" w:hAnsi="Arial" w:cs="Arial"/>
          <w:sz w:val="22"/>
          <w:szCs w:val="22"/>
        </w:rPr>
        <w:t xml:space="preserve"> </w:t>
      </w:r>
      <w:r w:rsidRPr="00EA59C0">
        <w:rPr>
          <w:rFonts w:ascii="Arial" w:hAnsi="Arial" w:cs="Arial"/>
          <w:sz w:val="22"/>
          <w:szCs w:val="22"/>
        </w:rPr>
        <w:t>your</w:t>
      </w:r>
      <w:r w:rsidR="00C026A6" w:rsidRPr="00EA59C0">
        <w:rPr>
          <w:rFonts w:ascii="Arial" w:hAnsi="Arial" w:cs="Arial"/>
          <w:sz w:val="22"/>
          <w:szCs w:val="22"/>
        </w:rPr>
        <w:t xml:space="preserve"> </w:t>
      </w:r>
      <w:r w:rsidRPr="00EA59C0">
        <w:rPr>
          <w:rFonts w:ascii="Arial" w:hAnsi="Arial" w:cs="Arial"/>
          <w:sz w:val="22"/>
          <w:szCs w:val="22"/>
        </w:rPr>
        <w:t>selection</w:t>
      </w:r>
      <w:r w:rsidR="00C026A6" w:rsidRPr="00EA59C0">
        <w:rPr>
          <w:rFonts w:ascii="Arial" w:hAnsi="Arial" w:cs="Arial"/>
          <w:sz w:val="22"/>
          <w:szCs w:val="22"/>
        </w:rPr>
        <w:t xml:space="preserve"> </w:t>
      </w:r>
      <w:r w:rsidRPr="00EA59C0">
        <w:rPr>
          <w:rFonts w:ascii="Arial" w:hAnsi="Arial" w:cs="Arial"/>
          <w:sz w:val="22"/>
          <w:szCs w:val="22"/>
        </w:rPr>
        <w:t>on</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basis</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characteristics</w:t>
      </w:r>
      <w:r w:rsidR="00C026A6" w:rsidRPr="00EA59C0">
        <w:rPr>
          <w:rFonts w:ascii="Arial" w:hAnsi="Arial" w:cs="Arial"/>
          <w:sz w:val="22"/>
          <w:szCs w:val="22"/>
        </w:rPr>
        <w:t xml:space="preserve"> </w:t>
      </w:r>
      <w:r w:rsidRPr="00EA59C0">
        <w:rPr>
          <w:rFonts w:ascii="Arial" w:hAnsi="Arial" w:cs="Arial"/>
          <w:sz w:val="22"/>
          <w:szCs w:val="22"/>
        </w:rPr>
        <w:t>below.</w:t>
      </w:r>
      <w:r w:rsidR="00C026A6" w:rsidRPr="00EA59C0">
        <w:rPr>
          <w:rFonts w:ascii="Arial" w:hAnsi="Arial" w:cs="Arial"/>
          <w:sz w:val="22"/>
          <w:szCs w:val="22"/>
        </w:rPr>
        <w:t xml:space="preserve">  </w:t>
      </w:r>
      <w:r w:rsidRPr="00EA59C0">
        <w:rPr>
          <w:rFonts w:ascii="Arial" w:hAnsi="Arial" w:cs="Arial"/>
          <w:sz w:val="22"/>
          <w:szCs w:val="22"/>
        </w:rPr>
        <w:t>It</w:t>
      </w:r>
      <w:r w:rsidR="00C026A6" w:rsidRPr="00EA59C0">
        <w:rPr>
          <w:rFonts w:ascii="Arial" w:hAnsi="Arial" w:cs="Arial"/>
          <w:sz w:val="22"/>
          <w:szCs w:val="22"/>
        </w:rPr>
        <w:t xml:space="preserve"> </w:t>
      </w:r>
      <w:r w:rsidRPr="00EA59C0">
        <w:rPr>
          <w:rFonts w:ascii="Arial" w:hAnsi="Arial" w:cs="Arial"/>
          <w:sz w:val="22"/>
          <w:szCs w:val="22"/>
        </w:rPr>
        <w:t>is</w:t>
      </w:r>
      <w:r w:rsidR="00C026A6" w:rsidRPr="00EA59C0">
        <w:rPr>
          <w:rFonts w:ascii="Arial" w:hAnsi="Arial" w:cs="Arial"/>
          <w:sz w:val="22"/>
          <w:szCs w:val="22"/>
        </w:rPr>
        <w:t xml:space="preserve"> </w:t>
      </w:r>
      <w:r w:rsidRPr="00EA59C0">
        <w:rPr>
          <w:rFonts w:ascii="Arial" w:hAnsi="Arial" w:cs="Arial"/>
          <w:sz w:val="22"/>
          <w:szCs w:val="22"/>
        </w:rPr>
        <w:t>not</w:t>
      </w:r>
      <w:r w:rsidR="00C026A6" w:rsidRPr="00EA59C0">
        <w:rPr>
          <w:rFonts w:ascii="Arial" w:hAnsi="Arial" w:cs="Arial"/>
          <w:sz w:val="22"/>
          <w:szCs w:val="22"/>
        </w:rPr>
        <w:t xml:space="preserve"> </w:t>
      </w:r>
      <w:r w:rsidRPr="00EA59C0">
        <w:rPr>
          <w:rFonts w:ascii="Arial" w:hAnsi="Arial" w:cs="Arial"/>
          <w:sz w:val="22"/>
          <w:szCs w:val="22"/>
        </w:rPr>
        <w:t>possible</w:t>
      </w:r>
      <w:r w:rsidR="00C026A6" w:rsidRPr="00EA59C0">
        <w:rPr>
          <w:rFonts w:ascii="Arial" w:hAnsi="Arial" w:cs="Arial"/>
          <w:sz w:val="22"/>
          <w:szCs w:val="22"/>
        </w:rPr>
        <w:t xml:space="preserve"> </w:t>
      </w:r>
      <w:r w:rsidRPr="00EA59C0">
        <w:rPr>
          <w:rFonts w:ascii="Arial" w:hAnsi="Arial" w:cs="Arial"/>
          <w:sz w:val="22"/>
          <w:szCs w:val="22"/>
        </w:rPr>
        <w:t>to</w:t>
      </w:r>
      <w:r w:rsidR="00C026A6" w:rsidRPr="00EA59C0">
        <w:rPr>
          <w:rFonts w:ascii="Arial" w:hAnsi="Arial" w:cs="Arial"/>
          <w:sz w:val="22"/>
          <w:szCs w:val="22"/>
        </w:rPr>
        <w:t xml:space="preserve"> </w:t>
      </w:r>
      <w:r w:rsidRPr="00EA59C0">
        <w:rPr>
          <w:rFonts w:ascii="Arial" w:hAnsi="Arial" w:cs="Arial"/>
          <w:sz w:val="22"/>
          <w:szCs w:val="22"/>
        </w:rPr>
        <w:t>compile</w:t>
      </w:r>
      <w:r w:rsidR="00C026A6" w:rsidRPr="00EA59C0">
        <w:rPr>
          <w:rFonts w:ascii="Arial" w:hAnsi="Arial" w:cs="Arial"/>
          <w:sz w:val="22"/>
          <w:szCs w:val="22"/>
        </w:rPr>
        <w:t xml:space="preserve"> </w:t>
      </w:r>
      <w:r w:rsidRPr="00EA59C0">
        <w:rPr>
          <w:rFonts w:ascii="Arial" w:hAnsi="Arial" w:cs="Arial"/>
          <w:sz w:val="22"/>
          <w:szCs w:val="22"/>
        </w:rPr>
        <w:t>a</w:t>
      </w:r>
      <w:r w:rsidR="00C026A6" w:rsidRPr="00EA59C0">
        <w:rPr>
          <w:rFonts w:ascii="Arial" w:hAnsi="Arial" w:cs="Arial"/>
          <w:sz w:val="22"/>
          <w:szCs w:val="22"/>
        </w:rPr>
        <w:t xml:space="preserve"> </w:t>
      </w:r>
      <w:r w:rsidRPr="00EA59C0">
        <w:rPr>
          <w:rFonts w:ascii="Arial" w:hAnsi="Arial" w:cs="Arial"/>
          <w:sz w:val="22"/>
          <w:szCs w:val="22"/>
        </w:rPr>
        <w:t>complete</w:t>
      </w:r>
      <w:r w:rsidR="00C026A6" w:rsidRPr="00EA59C0">
        <w:rPr>
          <w:rFonts w:ascii="Arial" w:hAnsi="Arial" w:cs="Arial"/>
          <w:sz w:val="22"/>
          <w:szCs w:val="22"/>
        </w:rPr>
        <w:t xml:space="preserve"> </w:t>
      </w:r>
      <w:r w:rsidRPr="00EA59C0">
        <w:rPr>
          <w:rFonts w:ascii="Arial" w:hAnsi="Arial" w:cs="Arial"/>
          <w:sz w:val="22"/>
          <w:szCs w:val="22"/>
        </w:rPr>
        <w:t>table</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evaluation</w:t>
      </w:r>
      <w:r w:rsidR="00C026A6" w:rsidRPr="00EA59C0">
        <w:rPr>
          <w:rFonts w:ascii="Arial" w:hAnsi="Arial" w:cs="Arial"/>
          <w:sz w:val="22"/>
          <w:szCs w:val="22"/>
        </w:rPr>
        <w:t xml:space="preserve"> </w:t>
      </w:r>
      <w:r w:rsidRPr="00EA59C0">
        <w:rPr>
          <w:rFonts w:ascii="Arial" w:hAnsi="Arial" w:cs="Arial"/>
          <w:sz w:val="22"/>
          <w:szCs w:val="22"/>
        </w:rPr>
        <w:t>options</w:t>
      </w:r>
      <w:r w:rsidR="00C026A6" w:rsidRPr="00EA59C0">
        <w:rPr>
          <w:rFonts w:ascii="Arial" w:hAnsi="Arial" w:cs="Arial"/>
          <w:sz w:val="22"/>
          <w:szCs w:val="22"/>
        </w:rPr>
        <w:t xml:space="preserve"> </w:t>
      </w:r>
      <w:r w:rsidRPr="00EA59C0">
        <w:rPr>
          <w:rFonts w:ascii="Arial" w:hAnsi="Arial" w:cs="Arial"/>
          <w:sz w:val="22"/>
          <w:szCs w:val="22"/>
        </w:rPr>
        <w:t>and</w:t>
      </w:r>
      <w:r w:rsidR="00C026A6" w:rsidRPr="00EA59C0">
        <w:rPr>
          <w:rFonts w:ascii="Arial" w:hAnsi="Arial" w:cs="Arial"/>
          <w:sz w:val="22"/>
          <w:szCs w:val="22"/>
        </w:rPr>
        <w:t xml:space="preserve"> </w:t>
      </w:r>
      <w:r w:rsidRPr="00EA59C0">
        <w:rPr>
          <w:rFonts w:ascii="Arial" w:hAnsi="Arial" w:cs="Arial"/>
          <w:sz w:val="22"/>
          <w:szCs w:val="22"/>
        </w:rPr>
        <w:t>recommendations</w:t>
      </w:r>
      <w:r w:rsidR="00C026A6" w:rsidRPr="00EA59C0">
        <w:rPr>
          <w:rFonts w:ascii="Arial" w:hAnsi="Arial" w:cs="Arial"/>
          <w:sz w:val="22"/>
          <w:szCs w:val="22"/>
        </w:rPr>
        <w:t xml:space="preserve"> </w:t>
      </w:r>
      <w:r w:rsidRPr="00EA59C0">
        <w:rPr>
          <w:rFonts w:ascii="Arial" w:hAnsi="Arial" w:cs="Arial"/>
          <w:sz w:val="22"/>
          <w:szCs w:val="22"/>
        </w:rPr>
        <w:t>for</w:t>
      </w:r>
      <w:r w:rsidR="00C026A6" w:rsidRPr="00EA59C0">
        <w:rPr>
          <w:rFonts w:ascii="Arial" w:hAnsi="Arial" w:cs="Arial"/>
          <w:sz w:val="22"/>
          <w:szCs w:val="22"/>
        </w:rPr>
        <w:t xml:space="preserve"> </w:t>
      </w:r>
      <w:r w:rsidRPr="00EA59C0">
        <w:rPr>
          <w:rFonts w:ascii="Arial" w:hAnsi="Arial" w:cs="Arial"/>
          <w:sz w:val="22"/>
          <w:szCs w:val="22"/>
        </w:rPr>
        <w:t>each</w:t>
      </w:r>
      <w:r w:rsidR="00C026A6" w:rsidRPr="00EA59C0">
        <w:rPr>
          <w:rFonts w:ascii="Arial" w:hAnsi="Arial" w:cs="Arial"/>
          <w:sz w:val="22"/>
          <w:szCs w:val="22"/>
        </w:rPr>
        <w:t xml:space="preserve"> </w:t>
      </w:r>
      <w:r w:rsidRPr="00EA59C0">
        <w:rPr>
          <w:rFonts w:ascii="Arial" w:hAnsi="Arial" w:cs="Arial"/>
          <w:sz w:val="22"/>
          <w:szCs w:val="22"/>
        </w:rPr>
        <w:t>possible</w:t>
      </w:r>
      <w:r w:rsidR="00C026A6" w:rsidRPr="00EA59C0">
        <w:rPr>
          <w:rFonts w:ascii="Arial" w:hAnsi="Arial" w:cs="Arial"/>
          <w:sz w:val="22"/>
          <w:szCs w:val="22"/>
        </w:rPr>
        <w:t xml:space="preserve"> </w:t>
      </w:r>
      <w:r w:rsidRPr="00EA59C0">
        <w:rPr>
          <w:rFonts w:ascii="Arial" w:hAnsi="Arial" w:cs="Arial"/>
          <w:sz w:val="22"/>
          <w:szCs w:val="22"/>
        </w:rPr>
        <w:t>combination</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circumstances</w:t>
      </w:r>
      <w:r w:rsidR="00C026A6" w:rsidRPr="00EA59C0">
        <w:rPr>
          <w:rFonts w:ascii="Arial" w:hAnsi="Arial" w:cs="Arial"/>
          <w:sz w:val="22"/>
          <w:szCs w:val="22"/>
        </w:rPr>
        <w:t xml:space="preserve"> </w:t>
      </w:r>
      <w:r w:rsidRPr="00EA59C0">
        <w:rPr>
          <w:rFonts w:ascii="Arial" w:hAnsi="Arial" w:cs="Arial"/>
          <w:sz w:val="22"/>
          <w:szCs w:val="22"/>
        </w:rPr>
        <w:t>that</w:t>
      </w:r>
      <w:r w:rsidR="00C026A6" w:rsidRPr="00EA59C0">
        <w:rPr>
          <w:rFonts w:ascii="Arial" w:hAnsi="Arial" w:cs="Arial"/>
          <w:sz w:val="22"/>
          <w:szCs w:val="22"/>
        </w:rPr>
        <w:t xml:space="preserve"> </w:t>
      </w:r>
      <w:r w:rsidRPr="00EA59C0">
        <w:rPr>
          <w:rFonts w:ascii="Arial" w:hAnsi="Arial" w:cs="Arial"/>
          <w:sz w:val="22"/>
          <w:szCs w:val="22"/>
        </w:rPr>
        <w:t>can</w:t>
      </w:r>
      <w:r w:rsidR="00C026A6" w:rsidRPr="00EA59C0">
        <w:rPr>
          <w:rFonts w:ascii="Arial" w:hAnsi="Arial" w:cs="Arial"/>
          <w:sz w:val="22"/>
          <w:szCs w:val="22"/>
        </w:rPr>
        <w:t xml:space="preserve"> </w:t>
      </w:r>
      <w:r w:rsidRPr="00EA59C0">
        <w:rPr>
          <w:rFonts w:ascii="Arial" w:hAnsi="Arial" w:cs="Arial"/>
          <w:sz w:val="22"/>
          <w:szCs w:val="22"/>
        </w:rPr>
        <w:t>arise,</w:t>
      </w:r>
      <w:r w:rsidR="00C026A6" w:rsidRPr="00EA59C0">
        <w:rPr>
          <w:rFonts w:ascii="Arial" w:hAnsi="Arial" w:cs="Arial"/>
          <w:sz w:val="22"/>
          <w:szCs w:val="22"/>
        </w:rPr>
        <w:t xml:space="preserve"> </w:t>
      </w:r>
      <w:r w:rsidRPr="00EA59C0">
        <w:rPr>
          <w:rFonts w:ascii="Arial" w:hAnsi="Arial" w:cs="Arial"/>
          <w:sz w:val="22"/>
          <w:szCs w:val="22"/>
        </w:rPr>
        <w:t>however,</w:t>
      </w:r>
      <w:r w:rsidR="00C026A6" w:rsidRPr="00EA59C0">
        <w:rPr>
          <w:rFonts w:ascii="Arial" w:hAnsi="Arial" w:cs="Arial"/>
          <w:sz w:val="22"/>
          <w:szCs w:val="22"/>
        </w:rPr>
        <w:t xml:space="preserve"> </w:t>
      </w:r>
      <w:r w:rsidRPr="00EA59C0">
        <w:rPr>
          <w:rFonts w:ascii="Arial" w:hAnsi="Arial" w:cs="Arial"/>
          <w:sz w:val="22"/>
          <w:szCs w:val="22"/>
        </w:rPr>
        <w:t>the</w:t>
      </w:r>
      <w:r w:rsidR="00C026A6" w:rsidRPr="00EA59C0">
        <w:rPr>
          <w:rFonts w:ascii="Arial" w:hAnsi="Arial" w:cs="Arial"/>
          <w:sz w:val="22"/>
          <w:szCs w:val="22"/>
        </w:rPr>
        <w:t xml:space="preserve"> </w:t>
      </w:r>
      <w:r w:rsidRPr="00EA59C0">
        <w:rPr>
          <w:rFonts w:ascii="Arial" w:hAnsi="Arial" w:cs="Arial"/>
          <w:sz w:val="22"/>
          <w:szCs w:val="22"/>
        </w:rPr>
        <w:t>chart</w:t>
      </w:r>
      <w:r w:rsidR="00C026A6" w:rsidRPr="00EA59C0">
        <w:rPr>
          <w:rFonts w:ascii="Arial" w:hAnsi="Arial" w:cs="Arial"/>
          <w:sz w:val="22"/>
          <w:szCs w:val="22"/>
        </w:rPr>
        <w:t xml:space="preserve"> </w:t>
      </w:r>
      <w:r w:rsidRPr="00EA59C0">
        <w:rPr>
          <w:rFonts w:ascii="Arial" w:hAnsi="Arial" w:cs="Arial"/>
          <w:sz w:val="22"/>
          <w:szCs w:val="22"/>
        </w:rPr>
        <w:t>below</w:t>
      </w:r>
      <w:r w:rsidR="00C026A6" w:rsidRPr="00EA59C0">
        <w:rPr>
          <w:rFonts w:ascii="Arial" w:hAnsi="Arial" w:cs="Arial"/>
          <w:sz w:val="22"/>
          <w:szCs w:val="22"/>
        </w:rPr>
        <w:t xml:space="preserve"> </w:t>
      </w:r>
      <w:r w:rsidRPr="00EA59C0">
        <w:rPr>
          <w:rFonts w:ascii="Arial" w:hAnsi="Arial" w:cs="Arial"/>
          <w:sz w:val="22"/>
          <w:szCs w:val="22"/>
        </w:rPr>
        <w:t>should</w:t>
      </w:r>
      <w:r w:rsidR="00C026A6" w:rsidRPr="00EA59C0">
        <w:rPr>
          <w:rFonts w:ascii="Arial" w:hAnsi="Arial" w:cs="Arial"/>
          <w:sz w:val="22"/>
          <w:szCs w:val="22"/>
        </w:rPr>
        <w:t xml:space="preserve"> </w:t>
      </w:r>
      <w:r w:rsidRPr="00EA59C0">
        <w:rPr>
          <w:rFonts w:ascii="Arial" w:hAnsi="Arial" w:cs="Arial"/>
          <w:sz w:val="22"/>
          <w:szCs w:val="22"/>
        </w:rPr>
        <w:t>be</w:t>
      </w:r>
      <w:r w:rsidR="00C026A6" w:rsidRPr="00EA59C0">
        <w:rPr>
          <w:rFonts w:ascii="Arial" w:hAnsi="Arial" w:cs="Arial"/>
          <w:sz w:val="22"/>
          <w:szCs w:val="22"/>
        </w:rPr>
        <w:t xml:space="preserve"> </w:t>
      </w:r>
      <w:r w:rsidRPr="00EA59C0">
        <w:rPr>
          <w:rFonts w:ascii="Arial" w:hAnsi="Arial" w:cs="Arial"/>
          <w:sz w:val="22"/>
          <w:szCs w:val="22"/>
        </w:rPr>
        <w:t>used</w:t>
      </w:r>
      <w:r w:rsidR="00C026A6" w:rsidRPr="00EA59C0">
        <w:rPr>
          <w:rFonts w:ascii="Arial" w:hAnsi="Arial" w:cs="Arial"/>
          <w:sz w:val="22"/>
          <w:szCs w:val="22"/>
        </w:rPr>
        <w:t xml:space="preserve"> </w:t>
      </w:r>
      <w:r w:rsidRPr="00EA59C0">
        <w:rPr>
          <w:rFonts w:ascii="Arial" w:hAnsi="Arial" w:cs="Arial"/>
          <w:sz w:val="22"/>
          <w:szCs w:val="22"/>
        </w:rPr>
        <w:t>as</w:t>
      </w:r>
      <w:r w:rsidR="00C026A6" w:rsidRPr="00EA59C0">
        <w:rPr>
          <w:rFonts w:ascii="Arial" w:hAnsi="Arial" w:cs="Arial"/>
          <w:sz w:val="22"/>
          <w:szCs w:val="22"/>
        </w:rPr>
        <w:t xml:space="preserve"> </w:t>
      </w:r>
      <w:r w:rsidRPr="00EA59C0">
        <w:rPr>
          <w:rFonts w:ascii="Arial" w:hAnsi="Arial" w:cs="Arial"/>
          <w:sz w:val="22"/>
          <w:szCs w:val="22"/>
        </w:rPr>
        <w:t>an</w:t>
      </w:r>
      <w:r w:rsidR="00C026A6" w:rsidRPr="00EA59C0">
        <w:rPr>
          <w:rFonts w:ascii="Arial" w:hAnsi="Arial" w:cs="Arial"/>
          <w:sz w:val="22"/>
          <w:szCs w:val="22"/>
        </w:rPr>
        <w:t xml:space="preserve"> </w:t>
      </w:r>
      <w:r w:rsidRPr="00EA59C0">
        <w:rPr>
          <w:rFonts w:ascii="Arial" w:hAnsi="Arial" w:cs="Arial"/>
          <w:sz w:val="22"/>
          <w:szCs w:val="22"/>
        </w:rPr>
        <w:t>outline</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what</w:t>
      </w:r>
      <w:r w:rsidR="00C026A6" w:rsidRPr="00EA59C0">
        <w:rPr>
          <w:rFonts w:ascii="Arial" w:hAnsi="Arial" w:cs="Arial"/>
          <w:sz w:val="22"/>
          <w:szCs w:val="22"/>
        </w:rPr>
        <w:t xml:space="preserve"> </w:t>
      </w:r>
      <w:r w:rsidRPr="00EA59C0">
        <w:rPr>
          <w:rFonts w:ascii="Arial" w:hAnsi="Arial" w:cs="Arial"/>
          <w:sz w:val="22"/>
          <w:szCs w:val="22"/>
        </w:rPr>
        <w:t>DOL</w:t>
      </w:r>
      <w:r w:rsidR="00C026A6" w:rsidRPr="00EA59C0">
        <w:rPr>
          <w:rFonts w:ascii="Arial" w:hAnsi="Arial" w:cs="Arial"/>
          <w:sz w:val="22"/>
          <w:szCs w:val="22"/>
        </w:rPr>
        <w:t xml:space="preserve"> </w:t>
      </w:r>
      <w:r w:rsidRPr="00EA59C0">
        <w:rPr>
          <w:rFonts w:ascii="Arial" w:hAnsi="Arial" w:cs="Arial"/>
          <w:sz w:val="22"/>
          <w:szCs w:val="22"/>
        </w:rPr>
        <w:t>considers</w:t>
      </w:r>
      <w:r w:rsidR="00C026A6" w:rsidRPr="00EA59C0">
        <w:rPr>
          <w:rFonts w:ascii="Arial" w:hAnsi="Arial" w:cs="Arial"/>
          <w:sz w:val="22"/>
          <w:szCs w:val="22"/>
        </w:rPr>
        <w:t xml:space="preserve"> </w:t>
      </w:r>
      <w:r w:rsidRPr="00EA59C0">
        <w:rPr>
          <w:rFonts w:ascii="Arial" w:hAnsi="Arial" w:cs="Arial"/>
          <w:sz w:val="22"/>
          <w:szCs w:val="22"/>
        </w:rPr>
        <w:t>an</w:t>
      </w:r>
      <w:r w:rsidR="00C026A6" w:rsidRPr="00EA59C0">
        <w:rPr>
          <w:rFonts w:ascii="Arial" w:hAnsi="Arial" w:cs="Arial"/>
          <w:sz w:val="22"/>
          <w:szCs w:val="22"/>
        </w:rPr>
        <w:t xml:space="preserve"> </w:t>
      </w:r>
      <w:r w:rsidRPr="00EA59C0">
        <w:rPr>
          <w:rFonts w:ascii="Arial" w:hAnsi="Arial" w:cs="Arial"/>
          <w:sz w:val="22"/>
          <w:szCs w:val="22"/>
        </w:rPr>
        <w:t>appropriate</w:t>
      </w:r>
      <w:r w:rsidR="00C026A6" w:rsidRPr="00EA59C0">
        <w:rPr>
          <w:rFonts w:ascii="Arial" w:hAnsi="Arial" w:cs="Arial"/>
          <w:sz w:val="22"/>
          <w:szCs w:val="22"/>
        </w:rPr>
        <w:t xml:space="preserve"> </w:t>
      </w:r>
      <w:r w:rsidRPr="00EA59C0">
        <w:rPr>
          <w:rFonts w:ascii="Arial" w:hAnsi="Arial" w:cs="Arial"/>
          <w:sz w:val="22"/>
          <w:szCs w:val="22"/>
        </w:rPr>
        <w:t>level</w:t>
      </w:r>
      <w:r w:rsidR="00C026A6" w:rsidRPr="00EA59C0">
        <w:rPr>
          <w:rFonts w:ascii="Arial" w:hAnsi="Arial" w:cs="Arial"/>
          <w:sz w:val="22"/>
          <w:szCs w:val="22"/>
        </w:rPr>
        <w:t xml:space="preserve"> </w:t>
      </w:r>
      <w:r w:rsidRPr="00EA59C0">
        <w:rPr>
          <w:rFonts w:ascii="Arial" w:hAnsi="Arial" w:cs="Arial"/>
          <w:sz w:val="22"/>
          <w:szCs w:val="22"/>
        </w:rPr>
        <w:t>of</w:t>
      </w:r>
      <w:r w:rsidR="00C026A6" w:rsidRPr="00EA59C0">
        <w:rPr>
          <w:rFonts w:ascii="Arial" w:hAnsi="Arial" w:cs="Arial"/>
          <w:sz w:val="22"/>
          <w:szCs w:val="22"/>
        </w:rPr>
        <w:t xml:space="preserve"> </w:t>
      </w:r>
      <w:r w:rsidRPr="00EA59C0">
        <w:rPr>
          <w:rFonts w:ascii="Arial" w:hAnsi="Arial" w:cs="Arial"/>
          <w:sz w:val="22"/>
          <w:szCs w:val="22"/>
        </w:rPr>
        <w:t>evaluation</w:t>
      </w:r>
      <w:r w:rsidR="00C026A6" w:rsidRPr="00EA59C0">
        <w:rPr>
          <w:rFonts w:ascii="Arial" w:hAnsi="Arial" w:cs="Arial"/>
          <w:sz w:val="22"/>
          <w:szCs w:val="22"/>
        </w:rPr>
        <w:t xml:space="preserve"> </w:t>
      </w:r>
      <w:r w:rsidRPr="00EA59C0">
        <w:rPr>
          <w:rFonts w:ascii="Arial" w:hAnsi="Arial" w:cs="Arial"/>
          <w:sz w:val="22"/>
          <w:szCs w:val="22"/>
        </w:rPr>
        <w:t>given</w:t>
      </w:r>
      <w:r w:rsidR="00C026A6" w:rsidRPr="00EA59C0">
        <w:rPr>
          <w:rFonts w:ascii="Arial" w:hAnsi="Arial" w:cs="Arial"/>
          <w:sz w:val="22"/>
          <w:szCs w:val="22"/>
        </w:rPr>
        <w:t xml:space="preserve"> </w:t>
      </w:r>
      <w:r w:rsidRPr="00EA59C0">
        <w:rPr>
          <w:rFonts w:ascii="Arial" w:hAnsi="Arial" w:cs="Arial"/>
          <w:sz w:val="22"/>
          <w:szCs w:val="22"/>
        </w:rPr>
        <w:t>various</w:t>
      </w:r>
      <w:r w:rsidR="00C026A6" w:rsidRPr="00EA59C0">
        <w:rPr>
          <w:rFonts w:ascii="Arial" w:hAnsi="Arial" w:cs="Arial"/>
          <w:sz w:val="22"/>
          <w:szCs w:val="22"/>
        </w:rPr>
        <w:t xml:space="preserve"> </w:t>
      </w:r>
      <w:r w:rsidRPr="00EA59C0">
        <w:rPr>
          <w:rFonts w:ascii="Arial" w:hAnsi="Arial" w:cs="Arial"/>
          <w:sz w:val="22"/>
          <w:szCs w:val="22"/>
        </w:rPr>
        <w:t>proposed</w:t>
      </w:r>
      <w:r w:rsidR="00C026A6" w:rsidRPr="00EA59C0">
        <w:rPr>
          <w:rFonts w:ascii="Arial" w:hAnsi="Arial" w:cs="Arial"/>
          <w:sz w:val="22"/>
          <w:szCs w:val="22"/>
        </w:rPr>
        <w:t xml:space="preserve"> </w:t>
      </w:r>
      <w:r w:rsidRPr="00EA59C0">
        <w:rPr>
          <w:rFonts w:ascii="Arial" w:hAnsi="Arial" w:cs="Arial"/>
          <w:sz w:val="22"/>
          <w:szCs w:val="22"/>
        </w:rPr>
        <w:t>project</w:t>
      </w:r>
      <w:r w:rsidR="00C026A6" w:rsidRPr="00EA59C0">
        <w:rPr>
          <w:rFonts w:ascii="Arial" w:hAnsi="Arial" w:cs="Arial"/>
          <w:sz w:val="22"/>
          <w:szCs w:val="22"/>
        </w:rPr>
        <w:t xml:space="preserve"> </w:t>
      </w:r>
      <w:r w:rsidRPr="00EA59C0">
        <w:rPr>
          <w:rFonts w:ascii="Arial" w:hAnsi="Arial" w:cs="Arial"/>
          <w:sz w:val="22"/>
          <w:szCs w:val="22"/>
        </w:rPr>
        <w:t>characteristics.</w:t>
      </w:r>
      <w:r w:rsidR="00C026A6" w:rsidRPr="00EA59C0">
        <w:rPr>
          <w:rFonts w:ascii="Arial" w:hAnsi="Arial" w:cs="Arial"/>
          <w:sz w:val="22"/>
          <w:szCs w:val="22"/>
        </w:rPr>
        <w:t xml:space="preserve">  </w:t>
      </w:r>
    </w:p>
    <w:p w:rsidR="008826BE" w:rsidRPr="00EA59C0" w:rsidRDefault="008826BE" w:rsidP="00DB00BB">
      <w:pPr>
        <w:pStyle w:val="ListParagraph"/>
        <w:ind w:left="360"/>
        <w:rPr>
          <w:rFonts w:ascii="Arial" w:hAnsi="Arial" w:cs="Arial"/>
          <w:sz w:val="22"/>
          <w:szCs w:val="22"/>
        </w:rPr>
      </w:pPr>
    </w:p>
    <w:p w:rsidR="008826BE" w:rsidRPr="00EA59C0" w:rsidRDefault="008826BE" w:rsidP="00DB00BB">
      <w:pPr>
        <w:pStyle w:val="ListParagraph"/>
        <w:ind w:left="360"/>
        <w:rPr>
          <w:rFonts w:ascii="Arial" w:hAnsi="Arial" w:cs="Arial"/>
          <w:sz w:val="22"/>
          <w:szCs w:val="22"/>
        </w:rPr>
      </w:pPr>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4788"/>
        <w:gridCol w:w="4788"/>
      </w:tblGrid>
      <w:tr w:rsidR="00EA59C0" w:rsidRPr="00EA59C0" w:rsidTr="00C4770D">
        <w:tc>
          <w:tcPr>
            <w:tcW w:w="4788" w:type="dxa"/>
          </w:tcPr>
          <w:p w:rsidR="008826BE" w:rsidRPr="00EA59C0" w:rsidRDefault="008826BE" w:rsidP="00DB00BB">
            <w:pPr>
              <w:rPr>
                <w:rFonts w:asciiTheme="minorHAnsi" w:hAnsiTheme="minorHAnsi" w:cs="Arial"/>
                <w:b/>
                <w:sz w:val="22"/>
                <w:szCs w:val="22"/>
              </w:rPr>
            </w:pPr>
            <w:r w:rsidRPr="00EA59C0">
              <w:rPr>
                <w:rFonts w:asciiTheme="minorHAnsi" w:hAnsiTheme="minorHAnsi" w:cs="Arial"/>
                <w:b/>
                <w:sz w:val="22"/>
                <w:szCs w:val="22"/>
              </w:rPr>
              <w:t>Evaluation</w:t>
            </w:r>
            <w:r w:rsidR="00C026A6" w:rsidRPr="00EA59C0">
              <w:rPr>
                <w:rFonts w:asciiTheme="minorHAnsi" w:hAnsiTheme="minorHAnsi" w:cs="Arial"/>
                <w:b/>
                <w:sz w:val="22"/>
                <w:szCs w:val="22"/>
              </w:rPr>
              <w:t xml:space="preserve"> </w:t>
            </w:r>
            <w:r w:rsidRPr="00EA59C0">
              <w:rPr>
                <w:rFonts w:asciiTheme="minorHAnsi" w:hAnsiTheme="minorHAnsi" w:cs="Arial"/>
                <w:b/>
                <w:sz w:val="22"/>
                <w:szCs w:val="22"/>
              </w:rPr>
              <w:t>Type/Method</w:t>
            </w:r>
          </w:p>
        </w:tc>
        <w:tc>
          <w:tcPr>
            <w:tcW w:w="4788" w:type="dxa"/>
          </w:tcPr>
          <w:p w:rsidR="008826BE" w:rsidRPr="00EA59C0" w:rsidRDefault="008826BE" w:rsidP="00DB00BB">
            <w:pPr>
              <w:rPr>
                <w:rFonts w:asciiTheme="minorHAnsi" w:hAnsiTheme="minorHAnsi" w:cs="Arial"/>
                <w:b/>
                <w:sz w:val="22"/>
                <w:szCs w:val="22"/>
              </w:rPr>
            </w:pPr>
            <w:r w:rsidRPr="00EA59C0">
              <w:rPr>
                <w:rFonts w:asciiTheme="minorHAnsi" w:hAnsiTheme="minorHAnsi" w:cs="Arial"/>
                <w:b/>
                <w:sz w:val="22"/>
                <w:szCs w:val="22"/>
              </w:rPr>
              <w:t>Recommended</w:t>
            </w:r>
            <w:r w:rsidR="00C026A6" w:rsidRPr="00EA59C0">
              <w:rPr>
                <w:rFonts w:asciiTheme="minorHAnsi" w:hAnsiTheme="minorHAnsi" w:cs="Arial"/>
                <w:b/>
                <w:sz w:val="22"/>
                <w:szCs w:val="22"/>
              </w:rPr>
              <w:t xml:space="preserve"> </w:t>
            </w:r>
            <w:r w:rsidRPr="00EA59C0">
              <w:rPr>
                <w:rFonts w:asciiTheme="minorHAnsi" w:hAnsiTheme="minorHAnsi" w:cs="Arial"/>
                <w:b/>
                <w:sz w:val="22"/>
                <w:szCs w:val="22"/>
              </w:rPr>
              <w:t>or</w:t>
            </w:r>
            <w:r w:rsidR="00C026A6" w:rsidRPr="00EA59C0">
              <w:rPr>
                <w:rFonts w:asciiTheme="minorHAnsi" w:hAnsiTheme="minorHAnsi" w:cs="Arial"/>
                <w:b/>
                <w:sz w:val="22"/>
                <w:szCs w:val="22"/>
              </w:rPr>
              <w:t xml:space="preserve"> </w:t>
            </w:r>
            <w:r w:rsidRPr="00EA59C0">
              <w:rPr>
                <w:rFonts w:asciiTheme="minorHAnsi" w:hAnsiTheme="minorHAnsi" w:cs="Arial"/>
                <w:b/>
                <w:sz w:val="22"/>
                <w:szCs w:val="22"/>
              </w:rPr>
              <w:t>Ideal</w:t>
            </w:r>
            <w:r w:rsidR="00C026A6" w:rsidRPr="00EA59C0">
              <w:rPr>
                <w:rFonts w:asciiTheme="minorHAnsi" w:hAnsiTheme="minorHAnsi" w:cs="Arial"/>
                <w:b/>
                <w:sz w:val="22"/>
                <w:szCs w:val="22"/>
              </w:rPr>
              <w:t xml:space="preserve"> </w:t>
            </w:r>
            <w:r w:rsidRPr="00EA59C0">
              <w:rPr>
                <w:rFonts w:asciiTheme="minorHAnsi" w:hAnsiTheme="minorHAnsi" w:cs="Arial"/>
                <w:b/>
                <w:sz w:val="22"/>
                <w:szCs w:val="22"/>
              </w:rPr>
              <w:t>Method</w:t>
            </w:r>
            <w:r w:rsidR="00C026A6" w:rsidRPr="00EA59C0">
              <w:rPr>
                <w:rFonts w:asciiTheme="minorHAnsi" w:hAnsiTheme="minorHAnsi" w:cs="Arial"/>
                <w:b/>
                <w:sz w:val="22"/>
                <w:szCs w:val="22"/>
              </w:rPr>
              <w:t xml:space="preserve"> </w:t>
            </w:r>
            <w:r w:rsidRPr="00EA59C0">
              <w:rPr>
                <w:rFonts w:asciiTheme="minorHAnsi" w:hAnsiTheme="minorHAnsi" w:cs="Arial"/>
                <w:b/>
                <w:sz w:val="22"/>
                <w:szCs w:val="22"/>
              </w:rPr>
              <w:t>Used</w:t>
            </w:r>
            <w:r w:rsidR="00C026A6" w:rsidRPr="00EA59C0">
              <w:rPr>
                <w:rFonts w:asciiTheme="minorHAnsi" w:hAnsiTheme="minorHAnsi" w:cs="Arial"/>
                <w:b/>
                <w:sz w:val="22"/>
                <w:szCs w:val="22"/>
              </w:rPr>
              <w:t xml:space="preserve"> </w:t>
            </w:r>
            <w:r w:rsidRPr="00EA59C0">
              <w:rPr>
                <w:rFonts w:asciiTheme="minorHAnsi" w:hAnsiTheme="minorHAnsi" w:cs="Arial"/>
                <w:b/>
                <w:sz w:val="22"/>
                <w:szCs w:val="22"/>
              </w:rPr>
              <w:t>for</w:t>
            </w:r>
            <w:r w:rsidR="00C026A6" w:rsidRPr="00EA59C0">
              <w:rPr>
                <w:rFonts w:asciiTheme="minorHAnsi" w:hAnsiTheme="minorHAnsi" w:cs="Arial"/>
                <w:b/>
                <w:sz w:val="22"/>
                <w:szCs w:val="22"/>
              </w:rPr>
              <w:t xml:space="preserve"> </w:t>
            </w:r>
            <w:r w:rsidRPr="00EA59C0">
              <w:rPr>
                <w:rFonts w:asciiTheme="minorHAnsi" w:hAnsiTheme="minorHAnsi" w:cs="Arial"/>
                <w:b/>
                <w:sz w:val="22"/>
                <w:szCs w:val="22"/>
              </w:rPr>
              <w:t>TAACCCT</w:t>
            </w:r>
            <w:r w:rsidR="00C026A6" w:rsidRPr="00EA59C0">
              <w:rPr>
                <w:rFonts w:asciiTheme="minorHAnsi" w:hAnsiTheme="minorHAnsi" w:cs="Arial"/>
                <w:b/>
                <w:sz w:val="22"/>
                <w:szCs w:val="22"/>
              </w:rPr>
              <w:t xml:space="preserve"> </w:t>
            </w:r>
            <w:r w:rsidRPr="00EA59C0">
              <w:rPr>
                <w:rFonts w:asciiTheme="minorHAnsi" w:hAnsiTheme="minorHAnsi" w:cs="Arial"/>
                <w:b/>
                <w:sz w:val="22"/>
                <w:szCs w:val="22"/>
              </w:rPr>
              <w:t>Project</w:t>
            </w:r>
            <w:r w:rsidR="00C026A6" w:rsidRPr="00EA59C0">
              <w:rPr>
                <w:rFonts w:asciiTheme="minorHAnsi" w:hAnsiTheme="minorHAnsi" w:cs="Arial"/>
                <w:b/>
                <w:sz w:val="22"/>
                <w:szCs w:val="22"/>
              </w:rPr>
              <w:t xml:space="preserve"> </w:t>
            </w:r>
            <w:r w:rsidRPr="00EA59C0">
              <w:rPr>
                <w:rFonts w:asciiTheme="minorHAnsi" w:hAnsiTheme="minorHAnsi" w:cs="Arial"/>
                <w:b/>
                <w:sz w:val="22"/>
                <w:szCs w:val="22"/>
              </w:rPr>
              <w:t>Characteristics</w:t>
            </w:r>
            <w:r w:rsidR="00C026A6" w:rsidRPr="00EA59C0">
              <w:rPr>
                <w:rFonts w:asciiTheme="minorHAnsi" w:hAnsiTheme="minorHAnsi" w:cs="Arial"/>
                <w:b/>
                <w:sz w:val="22"/>
                <w:szCs w:val="22"/>
              </w:rPr>
              <w:t xml:space="preserve"> </w:t>
            </w:r>
          </w:p>
        </w:tc>
      </w:tr>
      <w:tr w:rsidR="00EA59C0" w:rsidRPr="00EA59C0" w:rsidTr="00C4770D">
        <w:tc>
          <w:tcPr>
            <w:tcW w:w="4788" w:type="dxa"/>
          </w:tcPr>
          <w:p w:rsidR="008826BE" w:rsidRPr="00EA59C0" w:rsidRDefault="008826BE" w:rsidP="00DB00BB">
            <w:pPr>
              <w:rPr>
                <w:rFonts w:asciiTheme="minorHAnsi" w:hAnsiTheme="minorHAnsi" w:cs="Arial"/>
                <w:b/>
                <w:sz w:val="22"/>
                <w:szCs w:val="22"/>
              </w:rPr>
            </w:pPr>
            <w:r w:rsidRPr="00EA59C0">
              <w:rPr>
                <w:rFonts w:asciiTheme="minorHAnsi" w:hAnsiTheme="minorHAnsi" w:cs="Arial"/>
                <w:b/>
                <w:sz w:val="22"/>
                <w:szCs w:val="22"/>
              </w:rPr>
              <w:t>Outcome/Impact</w:t>
            </w:r>
            <w:r w:rsidR="00C026A6" w:rsidRPr="00EA59C0">
              <w:rPr>
                <w:rFonts w:asciiTheme="minorHAnsi" w:hAnsiTheme="minorHAnsi" w:cs="Arial"/>
                <w:b/>
                <w:sz w:val="22"/>
                <w:szCs w:val="22"/>
              </w:rPr>
              <w:t xml:space="preserve"> </w:t>
            </w:r>
            <w:r w:rsidRPr="00EA59C0">
              <w:rPr>
                <w:rFonts w:asciiTheme="minorHAnsi" w:hAnsiTheme="minorHAnsi" w:cs="Arial"/>
                <w:b/>
                <w:sz w:val="22"/>
                <w:szCs w:val="22"/>
              </w:rPr>
              <w:t>evaluation:</w:t>
            </w:r>
            <w:r w:rsidR="00C026A6" w:rsidRPr="00EA59C0">
              <w:rPr>
                <w:rFonts w:asciiTheme="minorHAnsi" w:hAnsiTheme="minorHAnsi" w:cs="Arial"/>
                <w:b/>
                <w:sz w:val="22"/>
                <w:szCs w:val="22"/>
              </w:rPr>
              <w:t xml:space="preserve">  </w:t>
            </w:r>
          </w:p>
          <w:p w:rsidR="008826BE" w:rsidRPr="00EA59C0" w:rsidRDefault="008826BE" w:rsidP="00DB00BB">
            <w:pPr>
              <w:rPr>
                <w:rFonts w:asciiTheme="minorHAnsi" w:hAnsiTheme="minorHAnsi" w:cs="Arial"/>
                <w:b/>
                <w:sz w:val="22"/>
                <w:szCs w:val="22"/>
              </w:rPr>
            </w:pPr>
            <w:r w:rsidRPr="00EA59C0">
              <w:rPr>
                <w:rFonts w:asciiTheme="minorHAnsi" w:hAnsiTheme="minorHAnsi" w:cs="Arial"/>
                <w:b/>
                <w:sz w:val="22"/>
                <w:szCs w:val="22"/>
              </w:rPr>
              <w:t>Random-assignment</w:t>
            </w:r>
          </w:p>
          <w:p w:rsidR="008826BE" w:rsidRPr="00EA59C0" w:rsidRDefault="008826BE" w:rsidP="00DB00BB">
            <w:pPr>
              <w:rPr>
                <w:rFonts w:asciiTheme="minorHAnsi" w:hAnsiTheme="minorHAnsi" w:cs="Arial"/>
                <w:b/>
                <w:sz w:val="22"/>
                <w:szCs w:val="22"/>
              </w:rPr>
            </w:pPr>
          </w:p>
          <w:p w:rsidR="008826BE" w:rsidRPr="00EA59C0" w:rsidRDefault="008826BE" w:rsidP="00DB00BB">
            <w:pPr>
              <w:rPr>
                <w:rFonts w:asciiTheme="minorHAnsi" w:hAnsiTheme="minorHAnsi" w:cs="Arial"/>
                <w:sz w:val="22"/>
                <w:szCs w:val="22"/>
              </w:rPr>
            </w:pPr>
            <w:r w:rsidRPr="00EA59C0">
              <w:rPr>
                <w:rFonts w:asciiTheme="minorHAnsi" w:hAnsiTheme="minorHAnsi" w:cs="Arial"/>
                <w:sz w:val="22"/>
                <w:szCs w:val="22"/>
              </w:rPr>
              <w:t>An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analysis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labor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market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outcomes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(levels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and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changes)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participants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that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assesses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impacts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training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once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participants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complete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random-assignment,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participants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are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assigned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randomly</w:t>
            </w:r>
            <w:r w:rsidR="00C026A6" w:rsidRPr="00EA59C0">
              <w:rPr>
                <w:rFonts w:asciiTheme="minorHAnsi" w:hAnsiTheme="minorHAnsi" w:cs="Arial"/>
                <w:sz w:val="22"/>
                <w:szCs w:val="22"/>
              </w:rPr>
              <w:t xml:space="preserve"> </w:t>
            </w:r>
            <w:r w:rsidRPr="00EA59C0">
              <w:rPr>
                <w:rFonts w:asciiTheme="minorHAnsi" w:hAnsiTheme="minorHAnsi" w:cs="Arial"/>
                <w:sz w:val="22"/>
                <w:szCs w:val="22"/>
              </w:rPr>
              <w:t>either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to</w:t>
            </w:r>
            <w:r w:rsidR="00C026A6" w:rsidRPr="00EA59C0">
              <w:rPr>
                <w:rFonts w:asciiTheme="minorHAnsi" w:hAnsiTheme="minorHAnsi" w:cs="Arial"/>
                <w:sz w:val="22"/>
                <w:szCs w:val="22"/>
              </w:rPr>
              <w:t xml:space="preserve"> </w:t>
            </w:r>
            <w:r w:rsidRPr="00EA59C0">
              <w:rPr>
                <w:rFonts w:asciiTheme="minorHAnsi" w:hAnsiTheme="minorHAnsi" w:cs="Arial"/>
                <w:sz w:val="22"/>
                <w:szCs w:val="22"/>
              </w:rPr>
              <w:t>receive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grant-funded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training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to</w:t>
            </w:r>
            <w:r w:rsidR="00C026A6" w:rsidRPr="00EA59C0">
              <w:rPr>
                <w:rFonts w:asciiTheme="minorHAnsi" w:hAnsiTheme="minorHAnsi" w:cs="Arial"/>
                <w:sz w:val="22"/>
                <w:szCs w:val="22"/>
              </w:rPr>
              <w:t xml:space="preserve"> </w:t>
            </w:r>
            <w:r w:rsidRPr="00EA59C0">
              <w:rPr>
                <w:rFonts w:asciiTheme="minorHAnsi" w:hAnsiTheme="minorHAnsi" w:cs="Arial"/>
                <w:sz w:val="22"/>
                <w:szCs w:val="22"/>
              </w:rPr>
              <w:t>receive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different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training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no</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training.</w:t>
            </w:r>
          </w:p>
          <w:p w:rsidR="008826BE" w:rsidRPr="00EA59C0" w:rsidRDefault="008826BE" w:rsidP="00DB00BB">
            <w:pPr>
              <w:rPr>
                <w:rFonts w:asciiTheme="minorHAnsi" w:hAnsiTheme="minorHAnsi" w:cs="Arial"/>
                <w:sz w:val="22"/>
                <w:szCs w:val="22"/>
              </w:rPr>
            </w:pPr>
          </w:p>
        </w:tc>
        <w:tc>
          <w:tcPr>
            <w:tcW w:w="4788" w:type="dxa"/>
          </w:tcPr>
          <w:p w:rsidR="008826BE" w:rsidRPr="00EA59C0" w:rsidRDefault="008826BE" w:rsidP="00DB00BB">
            <w:pPr>
              <w:ind w:left="252" w:hanging="252"/>
              <w:rPr>
                <w:rFonts w:asciiTheme="minorHAnsi" w:hAnsiTheme="minorHAnsi" w:cs="Arial"/>
                <w:sz w:val="22"/>
                <w:szCs w:val="22"/>
              </w:rPr>
            </w:pPr>
          </w:p>
          <w:p w:rsidR="008826BE" w:rsidRPr="00EA59C0" w:rsidRDefault="008826BE" w:rsidP="00080097">
            <w:pPr>
              <w:pStyle w:val="ListParagraph"/>
              <w:numPr>
                <w:ilvl w:val="0"/>
                <w:numId w:val="45"/>
              </w:numPr>
              <w:ind w:left="252" w:hanging="252"/>
              <w:rPr>
                <w:rFonts w:asciiTheme="minorHAnsi" w:hAnsiTheme="minorHAnsi" w:cs="Arial"/>
                <w:sz w:val="22"/>
                <w:szCs w:val="22"/>
              </w:rPr>
            </w:pPr>
            <w:r w:rsidRPr="00EA59C0">
              <w:rPr>
                <w:rFonts w:asciiTheme="minorHAnsi" w:hAnsiTheme="minorHAnsi" w:cs="Arial"/>
                <w:sz w:val="22"/>
                <w:szCs w:val="22"/>
              </w:rPr>
              <w:t>Plans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to</w:t>
            </w:r>
            <w:r w:rsidR="00C026A6" w:rsidRPr="00EA59C0">
              <w:rPr>
                <w:rFonts w:asciiTheme="minorHAnsi" w:hAnsiTheme="minorHAnsi" w:cs="Arial"/>
                <w:sz w:val="22"/>
                <w:szCs w:val="22"/>
              </w:rPr>
              <w:t xml:space="preserve"> </w:t>
            </w:r>
            <w:r w:rsidRPr="00EA59C0">
              <w:rPr>
                <w:rFonts w:asciiTheme="minorHAnsi" w:hAnsiTheme="minorHAnsi" w:cs="Arial"/>
                <w:sz w:val="22"/>
                <w:szCs w:val="22"/>
              </w:rPr>
              <w:t>enroll</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w:t>
            </w:r>
            <w:r w:rsidR="00C026A6" w:rsidRPr="00EA59C0">
              <w:rPr>
                <w:rFonts w:asciiTheme="minorHAnsi" w:hAnsiTheme="minorHAnsi" w:cs="Arial"/>
                <w:sz w:val="22"/>
                <w:szCs w:val="22"/>
              </w:rPr>
              <w:t xml:space="preserve"> </w:t>
            </w:r>
            <w:r w:rsidRPr="00EA59C0">
              <w:rPr>
                <w:rFonts w:asciiTheme="minorHAnsi" w:hAnsiTheme="minorHAnsi" w:cs="Arial"/>
                <w:sz w:val="22"/>
                <w:szCs w:val="22"/>
              </w:rPr>
              <w:t>large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number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participants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during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period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performance</w:t>
            </w:r>
          </w:p>
          <w:p w:rsidR="008826BE" w:rsidRPr="00EA59C0" w:rsidRDefault="008826BE" w:rsidP="00080097">
            <w:pPr>
              <w:pStyle w:val="ListParagraph"/>
              <w:numPr>
                <w:ilvl w:val="0"/>
                <w:numId w:val="44"/>
              </w:numPr>
              <w:ind w:left="252" w:hanging="252"/>
              <w:rPr>
                <w:rFonts w:asciiTheme="minorHAnsi" w:hAnsiTheme="minorHAnsi" w:cs="Arial"/>
                <w:sz w:val="22"/>
                <w:szCs w:val="22"/>
              </w:rPr>
            </w:pPr>
            <w:r w:rsidRPr="00EA59C0">
              <w:rPr>
                <w:rFonts w:asciiTheme="minorHAnsi" w:hAnsiTheme="minorHAnsi" w:cs="Arial"/>
                <w:sz w:val="22"/>
                <w:szCs w:val="22"/>
              </w:rPr>
              <w:t>Low</w:t>
            </w:r>
            <w:r w:rsidR="00C026A6" w:rsidRPr="00EA59C0">
              <w:rPr>
                <w:rFonts w:asciiTheme="minorHAnsi" w:hAnsiTheme="minorHAnsi" w:cs="Arial"/>
                <w:sz w:val="22"/>
                <w:szCs w:val="22"/>
              </w:rPr>
              <w:t xml:space="preserve"> </w:t>
            </w:r>
            <w:r w:rsidRPr="00EA59C0">
              <w:rPr>
                <w:rFonts w:asciiTheme="minorHAnsi" w:hAnsiTheme="minorHAnsi" w:cs="Arial"/>
                <w:sz w:val="22"/>
                <w:szCs w:val="22"/>
              </w:rPr>
              <w:t>number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TAA</w:t>
            </w:r>
            <w:r w:rsidR="00C026A6" w:rsidRPr="00EA59C0">
              <w:rPr>
                <w:rFonts w:asciiTheme="minorHAnsi" w:hAnsiTheme="minorHAnsi" w:cs="Arial"/>
                <w:sz w:val="22"/>
                <w:szCs w:val="22"/>
              </w:rPr>
              <w:t xml:space="preserve"> </w:t>
            </w:r>
            <w:r w:rsidRPr="00EA59C0">
              <w:rPr>
                <w:rFonts w:asciiTheme="minorHAnsi" w:hAnsiTheme="minorHAnsi" w:cs="Arial"/>
                <w:sz w:val="22"/>
                <w:szCs w:val="22"/>
              </w:rPr>
              <w:t>eligible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participants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(who</w:t>
            </w:r>
            <w:r w:rsidR="00C026A6" w:rsidRPr="00EA59C0">
              <w:rPr>
                <w:rFonts w:asciiTheme="minorHAnsi" w:hAnsiTheme="minorHAnsi" w:cs="Arial"/>
                <w:sz w:val="22"/>
                <w:szCs w:val="22"/>
              </w:rPr>
              <w:t xml:space="preserve"> </w:t>
            </w:r>
            <w:r w:rsidRPr="00EA59C0">
              <w:rPr>
                <w:rFonts w:asciiTheme="minorHAnsi" w:hAnsiTheme="minorHAnsi" w:cs="Arial"/>
                <w:sz w:val="22"/>
                <w:szCs w:val="22"/>
              </w:rPr>
              <w:t>cannot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be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randomly</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assigned)</w:t>
            </w:r>
          </w:p>
          <w:p w:rsidR="008826BE" w:rsidRPr="00EA59C0" w:rsidRDefault="008826BE" w:rsidP="00080097">
            <w:pPr>
              <w:pStyle w:val="ListParagraph"/>
              <w:numPr>
                <w:ilvl w:val="0"/>
                <w:numId w:val="44"/>
              </w:numPr>
              <w:ind w:left="252" w:hanging="252"/>
              <w:rPr>
                <w:rFonts w:asciiTheme="minorHAnsi" w:hAnsiTheme="minorHAnsi" w:cs="Arial"/>
                <w:sz w:val="22"/>
                <w:szCs w:val="22"/>
              </w:rPr>
            </w:pPr>
            <w:r w:rsidRPr="00EA59C0">
              <w:rPr>
                <w:rFonts w:asciiTheme="minorHAnsi" w:hAnsiTheme="minorHAnsi" w:cs="Arial"/>
                <w:sz w:val="22"/>
                <w:szCs w:val="22"/>
              </w:rPr>
              <w:t>Plans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to</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start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training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participants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early</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grant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period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performance</w:t>
            </w:r>
          </w:p>
          <w:p w:rsidR="008826BE" w:rsidRPr="00EA59C0" w:rsidRDefault="00C026A6" w:rsidP="00080097">
            <w:pPr>
              <w:pStyle w:val="ListParagraph"/>
              <w:numPr>
                <w:ilvl w:val="0"/>
                <w:numId w:val="44"/>
              </w:numPr>
              <w:ind w:left="252" w:hanging="252"/>
              <w:rPr>
                <w:rFonts w:asciiTheme="minorHAnsi" w:hAnsiTheme="minorHAnsi" w:cs="Arial"/>
                <w:sz w:val="22"/>
                <w:szCs w:val="22"/>
              </w:rPr>
            </w:pPr>
            <w:r w:rsidRPr="00EA59C0">
              <w:rPr>
                <w:rFonts w:asciiTheme="minorHAnsi" w:hAnsiTheme="minorHAnsi" w:cs="Arial"/>
                <w:sz w:val="22"/>
                <w:szCs w:val="22"/>
              </w:rPr>
              <w:t xml:space="preserve"> </w:t>
            </w:r>
            <w:r w:rsidR="008826BE" w:rsidRPr="00EA59C0">
              <w:rPr>
                <w:rFonts w:asciiTheme="minorHAnsi" w:hAnsiTheme="minorHAnsi" w:cs="Arial"/>
                <w:sz w:val="22"/>
                <w:szCs w:val="22"/>
              </w:rPr>
              <w:t>Offers</w:t>
            </w:r>
            <w:r w:rsidRPr="00EA59C0">
              <w:rPr>
                <w:rFonts w:asciiTheme="minorHAnsi" w:hAnsiTheme="minorHAnsi" w:cs="Arial"/>
                <w:sz w:val="22"/>
                <w:szCs w:val="22"/>
              </w:rPr>
              <w:t xml:space="preserve"> </w:t>
            </w:r>
            <w:r w:rsidR="008826BE" w:rsidRPr="00EA59C0">
              <w:rPr>
                <w:rFonts w:asciiTheme="minorHAnsi" w:hAnsiTheme="minorHAnsi" w:cs="Arial"/>
                <w:sz w:val="22"/>
                <w:szCs w:val="22"/>
              </w:rPr>
              <w:t>or</w:t>
            </w:r>
            <w:r w:rsidRPr="00EA59C0">
              <w:rPr>
                <w:rFonts w:asciiTheme="minorHAnsi" w:hAnsiTheme="minorHAnsi" w:cs="Arial"/>
                <w:sz w:val="22"/>
                <w:szCs w:val="22"/>
              </w:rPr>
              <w:t xml:space="preserve"> </w:t>
            </w:r>
            <w:r w:rsidR="008826BE" w:rsidRPr="00EA59C0">
              <w:rPr>
                <w:rFonts w:asciiTheme="minorHAnsi" w:hAnsiTheme="minorHAnsi" w:cs="Arial"/>
                <w:sz w:val="22"/>
                <w:szCs w:val="22"/>
              </w:rPr>
              <w:t>is</w:t>
            </w:r>
            <w:r w:rsidRPr="00EA59C0">
              <w:rPr>
                <w:rFonts w:asciiTheme="minorHAnsi" w:hAnsiTheme="minorHAnsi" w:cs="Arial"/>
                <w:sz w:val="22"/>
                <w:szCs w:val="22"/>
              </w:rPr>
              <w:t xml:space="preserve"> </w:t>
            </w:r>
            <w:r w:rsidR="008826BE" w:rsidRPr="00EA59C0">
              <w:rPr>
                <w:rFonts w:asciiTheme="minorHAnsi" w:hAnsiTheme="minorHAnsi" w:cs="Arial"/>
                <w:sz w:val="22"/>
                <w:szCs w:val="22"/>
              </w:rPr>
              <w:t>partnered</w:t>
            </w:r>
            <w:r w:rsidRPr="00EA59C0">
              <w:rPr>
                <w:rFonts w:asciiTheme="minorHAnsi" w:hAnsiTheme="minorHAnsi" w:cs="Arial"/>
                <w:sz w:val="22"/>
                <w:szCs w:val="22"/>
              </w:rPr>
              <w:t xml:space="preserve"> </w:t>
            </w:r>
            <w:r w:rsidR="008826BE" w:rsidRPr="00EA59C0">
              <w:rPr>
                <w:rFonts w:asciiTheme="minorHAnsi" w:hAnsiTheme="minorHAnsi" w:cs="Arial"/>
                <w:sz w:val="22"/>
                <w:szCs w:val="22"/>
              </w:rPr>
              <w:t>with</w:t>
            </w:r>
            <w:r w:rsidRPr="00EA59C0">
              <w:rPr>
                <w:rFonts w:asciiTheme="minorHAnsi" w:hAnsiTheme="minorHAnsi" w:cs="Arial"/>
                <w:sz w:val="22"/>
                <w:szCs w:val="22"/>
              </w:rPr>
              <w:t xml:space="preserve"> </w:t>
            </w:r>
            <w:r w:rsidR="008826BE" w:rsidRPr="00EA59C0">
              <w:rPr>
                <w:rFonts w:asciiTheme="minorHAnsi" w:hAnsiTheme="minorHAnsi" w:cs="Arial"/>
                <w:sz w:val="22"/>
                <w:szCs w:val="22"/>
              </w:rPr>
              <w:t>other</w:t>
            </w:r>
            <w:r w:rsidRPr="00EA59C0">
              <w:rPr>
                <w:rFonts w:asciiTheme="minorHAnsi" w:hAnsiTheme="minorHAnsi" w:cs="Arial"/>
                <w:sz w:val="22"/>
                <w:szCs w:val="22"/>
              </w:rPr>
              <w:t xml:space="preserve"> </w:t>
            </w:r>
            <w:r w:rsidR="008826BE" w:rsidRPr="00EA59C0">
              <w:rPr>
                <w:rFonts w:asciiTheme="minorHAnsi" w:hAnsiTheme="minorHAnsi" w:cs="Arial"/>
                <w:sz w:val="22"/>
                <w:szCs w:val="22"/>
              </w:rPr>
              <w:t>institutions</w:t>
            </w:r>
            <w:r w:rsidRPr="00EA59C0">
              <w:rPr>
                <w:rFonts w:asciiTheme="minorHAnsi" w:hAnsiTheme="minorHAnsi" w:cs="Arial"/>
                <w:sz w:val="22"/>
                <w:szCs w:val="22"/>
              </w:rPr>
              <w:t xml:space="preserve"> </w:t>
            </w:r>
            <w:r w:rsidR="008826BE" w:rsidRPr="00EA59C0">
              <w:rPr>
                <w:rFonts w:asciiTheme="minorHAnsi" w:hAnsiTheme="minorHAnsi" w:cs="Arial"/>
                <w:sz w:val="22"/>
                <w:szCs w:val="22"/>
              </w:rPr>
              <w:t>that</w:t>
            </w:r>
            <w:r w:rsidRPr="00EA59C0">
              <w:rPr>
                <w:rFonts w:asciiTheme="minorHAnsi" w:hAnsiTheme="minorHAnsi" w:cs="Arial"/>
                <w:sz w:val="22"/>
                <w:szCs w:val="22"/>
              </w:rPr>
              <w:t xml:space="preserve"> </w:t>
            </w:r>
            <w:r w:rsidR="008826BE" w:rsidRPr="00EA59C0">
              <w:rPr>
                <w:rFonts w:asciiTheme="minorHAnsi" w:hAnsiTheme="minorHAnsi" w:cs="Arial"/>
                <w:sz w:val="22"/>
                <w:szCs w:val="22"/>
              </w:rPr>
              <w:t>offer</w:t>
            </w:r>
            <w:r w:rsidRPr="00EA59C0">
              <w:rPr>
                <w:rFonts w:asciiTheme="minorHAnsi" w:hAnsiTheme="minorHAnsi" w:cs="Arial"/>
                <w:sz w:val="22"/>
                <w:szCs w:val="22"/>
              </w:rPr>
              <w:t xml:space="preserve"> </w:t>
            </w:r>
            <w:r w:rsidR="008826BE" w:rsidRPr="00EA59C0">
              <w:rPr>
                <w:rFonts w:asciiTheme="minorHAnsi" w:hAnsiTheme="minorHAnsi" w:cs="Arial"/>
                <w:sz w:val="22"/>
                <w:szCs w:val="22"/>
              </w:rPr>
              <w:t>the</w:t>
            </w:r>
            <w:r w:rsidRPr="00EA59C0">
              <w:rPr>
                <w:rFonts w:asciiTheme="minorHAnsi" w:hAnsiTheme="minorHAnsi" w:cs="Arial"/>
                <w:sz w:val="22"/>
                <w:szCs w:val="22"/>
              </w:rPr>
              <w:t xml:space="preserve"> </w:t>
            </w:r>
            <w:r w:rsidR="008826BE" w:rsidRPr="00EA59C0">
              <w:rPr>
                <w:rFonts w:asciiTheme="minorHAnsi" w:hAnsiTheme="minorHAnsi" w:cs="Arial"/>
                <w:sz w:val="22"/>
                <w:szCs w:val="22"/>
              </w:rPr>
              <w:t>programs</w:t>
            </w:r>
            <w:r w:rsidRPr="00EA59C0">
              <w:rPr>
                <w:rFonts w:asciiTheme="minorHAnsi" w:hAnsiTheme="minorHAnsi" w:cs="Arial"/>
                <w:sz w:val="22"/>
                <w:szCs w:val="22"/>
              </w:rPr>
              <w:t xml:space="preserve"> </w:t>
            </w:r>
            <w:r w:rsidR="008826BE" w:rsidRPr="00EA59C0">
              <w:rPr>
                <w:rFonts w:asciiTheme="minorHAnsi" w:hAnsiTheme="minorHAnsi" w:cs="Arial"/>
                <w:sz w:val="22"/>
                <w:szCs w:val="22"/>
              </w:rPr>
              <w:t>of</w:t>
            </w:r>
            <w:r w:rsidRPr="00EA59C0">
              <w:rPr>
                <w:rFonts w:asciiTheme="minorHAnsi" w:hAnsiTheme="minorHAnsi" w:cs="Arial"/>
                <w:sz w:val="22"/>
                <w:szCs w:val="22"/>
              </w:rPr>
              <w:t xml:space="preserve"> </w:t>
            </w:r>
            <w:r w:rsidR="008826BE" w:rsidRPr="00EA59C0">
              <w:rPr>
                <w:rFonts w:asciiTheme="minorHAnsi" w:hAnsiTheme="minorHAnsi" w:cs="Arial"/>
                <w:sz w:val="22"/>
                <w:szCs w:val="22"/>
              </w:rPr>
              <w:t>study</w:t>
            </w:r>
            <w:r w:rsidRPr="00EA59C0">
              <w:rPr>
                <w:rFonts w:asciiTheme="minorHAnsi" w:hAnsiTheme="minorHAnsi" w:cs="Arial"/>
                <w:sz w:val="22"/>
                <w:szCs w:val="22"/>
              </w:rPr>
              <w:t xml:space="preserve"> </w:t>
            </w:r>
            <w:r w:rsidR="008826BE" w:rsidRPr="00EA59C0">
              <w:rPr>
                <w:rFonts w:asciiTheme="minorHAnsi" w:hAnsiTheme="minorHAnsi" w:cs="Arial"/>
                <w:sz w:val="22"/>
                <w:szCs w:val="22"/>
              </w:rPr>
              <w:t>under</w:t>
            </w:r>
            <w:r w:rsidRPr="00EA59C0">
              <w:rPr>
                <w:rFonts w:asciiTheme="minorHAnsi" w:hAnsiTheme="minorHAnsi" w:cs="Arial"/>
                <w:sz w:val="22"/>
                <w:szCs w:val="22"/>
              </w:rPr>
              <w:t xml:space="preserve"> </w:t>
            </w:r>
            <w:r w:rsidR="008826BE" w:rsidRPr="00EA59C0">
              <w:rPr>
                <w:rFonts w:asciiTheme="minorHAnsi" w:hAnsiTheme="minorHAnsi" w:cs="Arial"/>
                <w:sz w:val="22"/>
                <w:szCs w:val="22"/>
              </w:rPr>
              <w:t>both</w:t>
            </w:r>
            <w:r w:rsidRPr="00EA59C0">
              <w:rPr>
                <w:rFonts w:asciiTheme="minorHAnsi" w:hAnsiTheme="minorHAnsi" w:cs="Arial"/>
                <w:sz w:val="22"/>
                <w:szCs w:val="22"/>
              </w:rPr>
              <w:t xml:space="preserve"> </w:t>
            </w:r>
            <w:r w:rsidR="008826BE" w:rsidRPr="00EA59C0">
              <w:rPr>
                <w:rFonts w:asciiTheme="minorHAnsi" w:hAnsiTheme="minorHAnsi" w:cs="Arial"/>
                <w:sz w:val="22"/>
                <w:szCs w:val="22"/>
              </w:rPr>
              <w:t>grant-funded</w:t>
            </w:r>
            <w:r w:rsidRPr="00EA59C0">
              <w:rPr>
                <w:rFonts w:asciiTheme="minorHAnsi" w:hAnsiTheme="minorHAnsi" w:cs="Arial"/>
                <w:sz w:val="22"/>
                <w:szCs w:val="22"/>
              </w:rPr>
              <w:t xml:space="preserve"> </w:t>
            </w:r>
            <w:r w:rsidR="008826BE" w:rsidRPr="00EA59C0">
              <w:rPr>
                <w:rFonts w:asciiTheme="minorHAnsi" w:hAnsiTheme="minorHAnsi" w:cs="Arial"/>
                <w:sz w:val="22"/>
                <w:szCs w:val="22"/>
              </w:rPr>
              <w:t>and</w:t>
            </w:r>
            <w:r w:rsidRPr="00EA59C0">
              <w:rPr>
                <w:rFonts w:asciiTheme="minorHAnsi" w:hAnsiTheme="minorHAnsi" w:cs="Arial"/>
                <w:sz w:val="22"/>
                <w:szCs w:val="22"/>
              </w:rPr>
              <w:t xml:space="preserve"> </w:t>
            </w:r>
            <w:r w:rsidR="008826BE" w:rsidRPr="00EA59C0">
              <w:rPr>
                <w:rFonts w:asciiTheme="minorHAnsi" w:hAnsiTheme="minorHAnsi" w:cs="Arial"/>
                <w:sz w:val="22"/>
                <w:szCs w:val="22"/>
              </w:rPr>
              <w:t>non-grant-funded</w:t>
            </w:r>
            <w:r w:rsidRPr="00EA59C0">
              <w:rPr>
                <w:rFonts w:asciiTheme="minorHAnsi" w:hAnsiTheme="minorHAnsi" w:cs="Arial"/>
                <w:sz w:val="22"/>
                <w:szCs w:val="22"/>
              </w:rPr>
              <w:t xml:space="preserve"> </w:t>
            </w:r>
            <w:r w:rsidR="008826BE" w:rsidRPr="00EA59C0">
              <w:rPr>
                <w:rFonts w:asciiTheme="minorHAnsi" w:hAnsiTheme="minorHAnsi" w:cs="Arial"/>
                <w:sz w:val="22"/>
                <w:szCs w:val="22"/>
              </w:rPr>
              <w:t>options</w:t>
            </w:r>
          </w:p>
          <w:p w:rsidR="008826BE" w:rsidRPr="00EA59C0" w:rsidRDefault="008826BE" w:rsidP="00DB00BB">
            <w:pPr>
              <w:pStyle w:val="ListParagraph"/>
              <w:ind w:left="252"/>
              <w:rPr>
                <w:rFonts w:asciiTheme="minorHAnsi" w:hAnsiTheme="minorHAnsi" w:cs="Arial"/>
                <w:sz w:val="22"/>
                <w:szCs w:val="22"/>
              </w:rPr>
            </w:pPr>
          </w:p>
        </w:tc>
      </w:tr>
      <w:tr w:rsidR="008826BE" w:rsidRPr="00EA59C0" w:rsidTr="00C4770D">
        <w:tc>
          <w:tcPr>
            <w:tcW w:w="4788" w:type="dxa"/>
          </w:tcPr>
          <w:p w:rsidR="008826BE" w:rsidRPr="00EA59C0" w:rsidRDefault="008826BE" w:rsidP="00DB00BB">
            <w:pPr>
              <w:rPr>
                <w:rFonts w:asciiTheme="minorHAnsi" w:hAnsiTheme="minorHAnsi" w:cs="Arial"/>
                <w:b/>
                <w:sz w:val="22"/>
                <w:szCs w:val="22"/>
              </w:rPr>
            </w:pPr>
            <w:r w:rsidRPr="00EA59C0">
              <w:rPr>
                <w:rFonts w:asciiTheme="minorHAnsi" w:hAnsiTheme="minorHAnsi" w:cs="Arial"/>
                <w:b/>
                <w:sz w:val="22"/>
                <w:szCs w:val="22"/>
              </w:rPr>
              <w:t>Outcome/impact</w:t>
            </w:r>
            <w:r w:rsidR="00C026A6" w:rsidRPr="00EA59C0">
              <w:rPr>
                <w:rFonts w:asciiTheme="minorHAnsi" w:hAnsiTheme="minorHAnsi" w:cs="Arial"/>
                <w:b/>
                <w:sz w:val="22"/>
                <w:szCs w:val="22"/>
              </w:rPr>
              <w:t xml:space="preserve"> </w:t>
            </w:r>
            <w:r w:rsidRPr="00EA59C0">
              <w:rPr>
                <w:rFonts w:asciiTheme="minorHAnsi" w:hAnsiTheme="minorHAnsi" w:cs="Arial"/>
                <w:b/>
                <w:sz w:val="22"/>
                <w:szCs w:val="22"/>
              </w:rPr>
              <w:t>evaluation:</w:t>
            </w:r>
            <w:r w:rsidR="00C026A6" w:rsidRPr="00EA59C0">
              <w:rPr>
                <w:rFonts w:asciiTheme="minorHAnsi" w:hAnsiTheme="minorHAnsi" w:cs="Arial"/>
                <w:b/>
                <w:sz w:val="22"/>
                <w:szCs w:val="22"/>
              </w:rPr>
              <w:t xml:space="preserve"> </w:t>
            </w:r>
          </w:p>
          <w:p w:rsidR="008826BE" w:rsidRPr="00EA59C0" w:rsidRDefault="008826BE" w:rsidP="00DB00BB">
            <w:pPr>
              <w:rPr>
                <w:rFonts w:asciiTheme="minorHAnsi" w:hAnsiTheme="minorHAnsi" w:cs="Arial"/>
                <w:b/>
                <w:sz w:val="22"/>
                <w:szCs w:val="22"/>
              </w:rPr>
            </w:pPr>
            <w:r w:rsidRPr="00EA59C0">
              <w:rPr>
                <w:rFonts w:asciiTheme="minorHAnsi" w:hAnsiTheme="minorHAnsi" w:cs="Arial"/>
                <w:b/>
                <w:sz w:val="22"/>
                <w:szCs w:val="22"/>
              </w:rPr>
              <w:t>Comparison</w:t>
            </w:r>
            <w:r w:rsidR="00C026A6" w:rsidRPr="00EA59C0">
              <w:rPr>
                <w:rFonts w:asciiTheme="minorHAnsi" w:hAnsiTheme="minorHAnsi" w:cs="Arial"/>
                <w:b/>
                <w:sz w:val="22"/>
                <w:szCs w:val="22"/>
              </w:rPr>
              <w:t xml:space="preserve"> </w:t>
            </w:r>
            <w:r w:rsidRPr="00EA59C0">
              <w:rPr>
                <w:rFonts w:asciiTheme="minorHAnsi" w:hAnsiTheme="minorHAnsi" w:cs="Arial"/>
                <w:b/>
                <w:sz w:val="22"/>
                <w:szCs w:val="22"/>
              </w:rPr>
              <w:t>Cohort</w:t>
            </w:r>
          </w:p>
          <w:p w:rsidR="008826BE" w:rsidRPr="00EA59C0" w:rsidRDefault="008826BE" w:rsidP="00DB00BB">
            <w:pPr>
              <w:rPr>
                <w:rFonts w:asciiTheme="minorHAnsi" w:hAnsiTheme="minorHAnsi" w:cs="Arial"/>
                <w:b/>
                <w:sz w:val="22"/>
                <w:szCs w:val="22"/>
              </w:rPr>
            </w:pPr>
          </w:p>
          <w:p w:rsidR="008826BE" w:rsidRPr="00EA59C0" w:rsidRDefault="008826BE" w:rsidP="00DB00BB">
            <w:pPr>
              <w:rPr>
                <w:rFonts w:asciiTheme="minorHAnsi" w:hAnsiTheme="minorHAnsi" w:cs="Arial"/>
                <w:sz w:val="22"/>
                <w:szCs w:val="22"/>
              </w:rPr>
            </w:pPr>
            <w:r w:rsidRPr="00EA59C0">
              <w:rPr>
                <w:rFonts w:asciiTheme="minorHAnsi" w:hAnsiTheme="minorHAnsi" w:cs="Arial"/>
                <w:sz w:val="22"/>
                <w:szCs w:val="22"/>
              </w:rPr>
              <w:t>A</w:t>
            </w:r>
            <w:r w:rsidR="00C026A6" w:rsidRPr="00EA59C0">
              <w:rPr>
                <w:rFonts w:asciiTheme="minorHAnsi" w:hAnsiTheme="minorHAnsi" w:cs="Arial"/>
                <w:sz w:val="22"/>
                <w:szCs w:val="22"/>
              </w:rPr>
              <w:t xml:space="preserve"> </w:t>
            </w:r>
            <w:r w:rsidRPr="00EA59C0">
              <w:rPr>
                <w:rFonts w:asciiTheme="minorHAnsi" w:hAnsiTheme="minorHAnsi" w:cs="Arial"/>
                <w:sz w:val="22"/>
                <w:szCs w:val="22"/>
              </w:rPr>
              <w:t>quasi-experimental</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analysis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labor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market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outcomes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(levels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and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changes)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participants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that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assesses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impacts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training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once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participants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complete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Participants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grant-funded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training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are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compared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to</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participants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receiving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different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training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basis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one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more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characteristics,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but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participants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are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not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randomly-assigned.</w:t>
            </w:r>
          </w:p>
          <w:p w:rsidR="008826BE" w:rsidRPr="00EA59C0" w:rsidRDefault="008826BE" w:rsidP="00DB00BB">
            <w:pPr>
              <w:rPr>
                <w:rFonts w:asciiTheme="minorHAnsi" w:hAnsiTheme="minorHAnsi" w:cs="Arial"/>
                <w:sz w:val="22"/>
                <w:szCs w:val="22"/>
              </w:rPr>
            </w:pPr>
          </w:p>
          <w:p w:rsidR="008826BE" w:rsidRPr="00EA59C0" w:rsidRDefault="008826BE" w:rsidP="00DB00BB">
            <w:pPr>
              <w:rPr>
                <w:rFonts w:asciiTheme="minorHAnsi" w:hAnsiTheme="minorHAnsi" w:cs="Arial"/>
                <w:sz w:val="22"/>
                <w:szCs w:val="22"/>
              </w:rPr>
            </w:pPr>
          </w:p>
        </w:tc>
        <w:tc>
          <w:tcPr>
            <w:tcW w:w="4788" w:type="dxa"/>
          </w:tcPr>
          <w:p w:rsidR="008826BE" w:rsidRPr="00EA59C0" w:rsidRDefault="008826BE" w:rsidP="00DB00BB">
            <w:pPr>
              <w:ind w:left="252" w:hanging="252"/>
              <w:rPr>
                <w:rFonts w:asciiTheme="minorHAnsi" w:hAnsiTheme="minorHAnsi" w:cs="Arial"/>
                <w:sz w:val="22"/>
                <w:szCs w:val="22"/>
              </w:rPr>
            </w:pPr>
          </w:p>
          <w:p w:rsidR="008826BE" w:rsidRPr="00EA59C0" w:rsidRDefault="008826BE" w:rsidP="00080097">
            <w:pPr>
              <w:pStyle w:val="ListParagraph"/>
              <w:numPr>
                <w:ilvl w:val="0"/>
                <w:numId w:val="46"/>
              </w:numPr>
              <w:ind w:left="252" w:hanging="252"/>
              <w:rPr>
                <w:rFonts w:asciiTheme="minorHAnsi" w:hAnsiTheme="minorHAnsi" w:cs="Arial"/>
                <w:sz w:val="22"/>
                <w:szCs w:val="22"/>
              </w:rPr>
            </w:pPr>
            <w:r w:rsidRPr="00EA59C0">
              <w:rPr>
                <w:rFonts w:asciiTheme="minorHAnsi" w:hAnsiTheme="minorHAnsi" w:cs="Arial"/>
                <w:sz w:val="22"/>
                <w:szCs w:val="22"/>
              </w:rPr>
              <w:t>Plans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to</w:t>
            </w:r>
            <w:r w:rsidR="00C026A6" w:rsidRPr="00EA59C0">
              <w:rPr>
                <w:rFonts w:asciiTheme="minorHAnsi" w:hAnsiTheme="minorHAnsi" w:cs="Arial"/>
                <w:sz w:val="22"/>
                <w:szCs w:val="22"/>
              </w:rPr>
              <w:t xml:space="preserve"> </w:t>
            </w:r>
            <w:r w:rsidRPr="00EA59C0">
              <w:rPr>
                <w:rFonts w:asciiTheme="minorHAnsi" w:hAnsiTheme="minorHAnsi" w:cs="Arial"/>
                <w:sz w:val="22"/>
                <w:szCs w:val="22"/>
              </w:rPr>
              <w:t>enroll</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w:t>
            </w:r>
            <w:r w:rsidR="00C026A6" w:rsidRPr="00EA59C0">
              <w:rPr>
                <w:rFonts w:asciiTheme="minorHAnsi" w:hAnsiTheme="minorHAnsi" w:cs="Arial"/>
                <w:sz w:val="22"/>
                <w:szCs w:val="22"/>
              </w:rPr>
              <w:t xml:space="preserve"> </w:t>
            </w:r>
            <w:r w:rsidRPr="00EA59C0">
              <w:rPr>
                <w:rFonts w:asciiTheme="minorHAnsi" w:hAnsiTheme="minorHAnsi" w:cs="Arial"/>
                <w:sz w:val="22"/>
                <w:szCs w:val="22"/>
              </w:rPr>
              <w:t>moderate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to</w:t>
            </w:r>
            <w:r w:rsidR="00C026A6" w:rsidRPr="00EA59C0">
              <w:rPr>
                <w:rFonts w:asciiTheme="minorHAnsi" w:hAnsiTheme="minorHAnsi" w:cs="Arial"/>
                <w:sz w:val="22"/>
                <w:szCs w:val="22"/>
              </w:rPr>
              <w:t xml:space="preserve"> </w:t>
            </w:r>
            <w:r w:rsidRPr="00EA59C0">
              <w:rPr>
                <w:rFonts w:asciiTheme="minorHAnsi" w:hAnsiTheme="minorHAnsi" w:cs="Arial"/>
                <w:sz w:val="22"/>
                <w:szCs w:val="22"/>
              </w:rPr>
              <w:t>high</w:t>
            </w:r>
            <w:r w:rsidR="00C026A6" w:rsidRPr="00EA59C0">
              <w:rPr>
                <w:rFonts w:asciiTheme="minorHAnsi" w:hAnsiTheme="minorHAnsi" w:cs="Arial"/>
                <w:sz w:val="22"/>
                <w:szCs w:val="22"/>
              </w:rPr>
              <w:t xml:space="preserve"> </w:t>
            </w:r>
            <w:r w:rsidRPr="00EA59C0">
              <w:rPr>
                <w:rFonts w:asciiTheme="minorHAnsi" w:hAnsiTheme="minorHAnsi" w:cs="Arial"/>
                <w:sz w:val="22"/>
                <w:szCs w:val="22"/>
              </w:rPr>
              <w:t>number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participants</w:t>
            </w:r>
          </w:p>
          <w:p w:rsidR="008826BE" w:rsidRPr="00EA59C0" w:rsidRDefault="008826BE" w:rsidP="00080097">
            <w:pPr>
              <w:pStyle w:val="ListParagraph"/>
              <w:numPr>
                <w:ilvl w:val="0"/>
                <w:numId w:val="46"/>
              </w:numPr>
              <w:ind w:left="252" w:hanging="252"/>
              <w:rPr>
                <w:rFonts w:asciiTheme="minorHAnsi" w:hAnsiTheme="minorHAnsi" w:cs="Arial"/>
                <w:sz w:val="22"/>
                <w:szCs w:val="22"/>
              </w:rPr>
            </w:pPr>
            <w:r w:rsidRPr="00EA59C0">
              <w:rPr>
                <w:rFonts w:asciiTheme="minorHAnsi" w:hAnsiTheme="minorHAnsi" w:cs="Arial"/>
                <w:sz w:val="22"/>
                <w:szCs w:val="22"/>
              </w:rPr>
              <w:t>Moderate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to</w:t>
            </w:r>
            <w:r w:rsidR="00C026A6" w:rsidRPr="00EA59C0">
              <w:rPr>
                <w:rFonts w:asciiTheme="minorHAnsi" w:hAnsiTheme="minorHAnsi" w:cs="Arial"/>
                <w:sz w:val="22"/>
                <w:szCs w:val="22"/>
              </w:rPr>
              <w:t xml:space="preserve"> </w:t>
            </w:r>
            <w:r w:rsidRPr="00EA59C0">
              <w:rPr>
                <w:rFonts w:asciiTheme="minorHAnsi" w:hAnsiTheme="minorHAnsi" w:cs="Arial"/>
                <w:sz w:val="22"/>
                <w:szCs w:val="22"/>
              </w:rPr>
              <w:t>high</w:t>
            </w:r>
            <w:r w:rsidR="00C026A6" w:rsidRPr="00EA59C0">
              <w:rPr>
                <w:rFonts w:asciiTheme="minorHAnsi" w:hAnsiTheme="minorHAnsi" w:cs="Arial"/>
                <w:sz w:val="22"/>
                <w:szCs w:val="22"/>
              </w:rPr>
              <w:t xml:space="preserve"> </w:t>
            </w:r>
            <w:r w:rsidRPr="00EA59C0">
              <w:rPr>
                <w:rFonts w:asciiTheme="minorHAnsi" w:hAnsiTheme="minorHAnsi" w:cs="Arial"/>
                <w:sz w:val="22"/>
                <w:szCs w:val="22"/>
              </w:rPr>
              <w:t>number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TAA</w:t>
            </w:r>
            <w:r w:rsidR="00C026A6" w:rsidRPr="00EA59C0">
              <w:rPr>
                <w:rFonts w:asciiTheme="minorHAnsi" w:hAnsiTheme="minorHAnsi" w:cs="Arial"/>
                <w:sz w:val="22"/>
                <w:szCs w:val="22"/>
              </w:rPr>
              <w:t xml:space="preserve"> </w:t>
            </w:r>
            <w:r w:rsidRPr="00EA59C0">
              <w:rPr>
                <w:rFonts w:asciiTheme="minorHAnsi" w:hAnsiTheme="minorHAnsi" w:cs="Arial"/>
                <w:sz w:val="22"/>
                <w:szCs w:val="22"/>
              </w:rPr>
              <w:t>eligible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participants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(making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random-assignment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not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w:t>
            </w:r>
            <w:r w:rsidR="00C026A6" w:rsidRPr="00EA59C0">
              <w:rPr>
                <w:rFonts w:asciiTheme="minorHAnsi" w:hAnsiTheme="minorHAnsi" w:cs="Arial"/>
                <w:sz w:val="22"/>
                <w:szCs w:val="22"/>
              </w:rPr>
              <w:t xml:space="preserve"> </w:t>
            </w:r>
            <w:r w:rsidRPr="00EA59C0">
              <w:rPr>
                <w:rFonts w:asciiTheme="minorHAnsi" w:hAnsiTheme="minorHAnsi" w:cs="Arial"/>
                <w:sz w:val="22"/>
                <w:szCs w:val="22"/>
              </w:rPr>
              <w:t>viable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method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for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selection)</w:t>
            </w:r>
          </w:p>
          <w:p w:rsidR="008826BE" w:rsidRPr="00EA59C0" w:rsidRDefault="008826BE" w:rsidP="00080097">
            <w:pPr>
              <w:pStyle w:val="ListParagraph"/>
              <w:numPr>
                <w:ilvl w:val="0"/>
                <w:numId w:val="46"/>
              </w:numPr>
              <w:ind w:left="252" w:hanging="252"/>
              <w:rPr>
                <w:rFonts w:asciiTheme="minorHAnsi" w:hAnsiTheme="minorHAnsi" w:cs="Arial"/>
                <w:sz w:val="22"/>
                <w:szCs w:val="22"/>
              </w:rPr>
            </w:pPr>
            <w:r w:rsidRPr="00EA59C0">
              <w:rPr>
                <w:rFonts w:asciiTheme="minorHAnsi" w:hAnsiTheme="minorHAnsi" w:cs="Arial"/>
                <w:sz w:val="22"/>
                <w:szCs w:val="22"/>
              </w:rPr>
              <w:t>Plans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to</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start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training</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participants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after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first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eighteen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months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grant</w:t>
            </w:r>
          </w:p>
          <w:p w:rsidR="008826BE" w:rsidRPr="00EA59C0" w:rsidRDefault="008826BE" w:rsidP="00080097">
            <w:pPr>
              <w:pStyle w:val="ListParagraph"/>
              <w:numPr>
                <w:ilvl w:val="0"/>
                <w:numId w:val="46"/>
              </w:numPr>
              <w:ind w:left="252" w:hanging="252"/>
              <w:rPr>
                <w:rFonts w:asciiTheme="minorHAnsi" w:hAnsiTheme="minorHAnsi" w:cs="Arial"/>
                <w:sz w:val="22"/>
                <w:szCs w:val="22"/>
              </w:rPr>
            </w:pPr>
            <w:r w:rsidRPr="00EA59C0">
              <w:rPr>
                <w:rFonts w:asciiTheme="minorHAnsi" w:hAnsiTheme="minorHAnsi" w:cs="Arial"/>
                <w:sz w:val="22"/>
                <w:szCs w:val="22"/>
              </w:rPr>
              <w:t>Offers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partnered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with</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other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institutions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that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offer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programs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study</w:t>
            </w:r>
            <w:r w:rsidR="00C026A6" w:rsidRPr="00EA59C0">
              <w:rPr>
                <w:rFonts w:asciiTheme="minorHAnsi" w:hAnsiTheme="minorHAnsi" w:cs="Arial"/>
                <w:sz w:val="22"/>
                <w:szCs w:val="22"/>
              </w:rPr>
              <w:t xml:space="preserve"> </w:t>
            </w:r>
            <w:r w:rsidRPr="00EA59C0">
              <w:rPr>
                <w:rFonts w:asciiTheme="minorHAnsi" w:hAnsiTheme="minorHAnsi" w:cs="Arial"/>
                <w:sz w:val="22"/>
                <w:szCs w:val="22"/>
              </w:rPr>
              <w:t>under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both</w:t>
            </w:r>
            <w:r w:rsidR="00C026A6" w:rsidRPr="00EA59C0">
              <w:rPr>
                <w:rFonts w:asciiTheme="minorHAnsi" w:hAnsiTheme="minorHAnsi" w:cs="Arial"/>
                <w:sz w:val="22"/>
                <w:szCs w:val="22"/>
              </w:rPr>
              <w:t xml:space="preserve"> </w:t>
            </w:r>
            <w:r w:rsidRPr="00EA59C0">
              <w:rPr>
                <w:rFonts w:asciiTheme="minorHAnsi" w:hAnsiTheme="minorHAnsi" w:cs="Arial"/>
                <w:sz w:val="22"/>
                <w:szCs w:val="22"/>
              </w:rPr>
              <w:t>grant-funded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and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non-grant-funded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options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has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a</w:t>
            </w:r>
            <w:r w:rsidR="00C026A6" w:rsidRPr="00EA59C0">
              <w:rPr>
                <w:rFonts w:asciiTheme="minorHAnsi" w:hAnsiTheme="minorHAnsi" w:cs="Arial"/>
                <w:sz w:val="22"/>
                <w:szCs w:val="22"/>
              </w:rPr>
              <w:t xml:space="preserve"> </w:t>
            </w:r>
            <w:r w:rsidRPr="00EA59C0">
              <w:rPr>
                <w:rFonts w:asciiTheme="minorHAnsi" w:hAnsiTheme="minorHAnsi" w:cs="Arial"/>
                <w:sz w:val="22"/>
                <w:szCs w:val="22"/>
              </w:rPr>
              <w:t>recent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valid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cohort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students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for</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same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programs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of</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study</w:t>
            </w:r>
            <w:r w:rsidR="00C026A6" w:rsidRPr="00EA59C0">
              <w:rPr>
                <w:rFonts w:asciiTheme="minorHAnsi" w:hAnsiTheme="minorHAnsi" w:cs="Arial"/>
                <w:sz w:val="22"/>
                <w:szCs w:val="22"/>
              </w:rPr>
              <w:t xml:space="preserve"> </w:t>
            </w:r>
            <w:r w:rsidRPr="00EA59C0">
              <w:rPr>
                <w:rFonts w:asciiTheme="minorHAnsi" w:hAnsiTheme="minorHAnsi" w:cs="Arial"/>
                <w:sz w:val="22"/>
                <w:szCs w:val="22"/>
              </w:rPr>
              <w:t>who</w:t>
            </w:r>
            <w:r w:rsidR="00C026A6" w:rsidRPr="00EA59C0">
              <w:rPr>
                <w:rFonts w:asciiTheme="minorHAnsi" w:hAnsiTheme="minorHAnsi" w:cs="Arial"/>
                <w:sz w:val="22"/>
                <w:szCs w:val="22"/>
              </w:rPr>
              <w:t xml:space="preserve"> </w:t>
            </w:r>
            <w:r w:rsidRPr="00EA59C0">
              <w:rPr>
                <w:rFonts w:asciiTheme="minorHAnsi" w:hAnsiTheme="minorHAnsi" w:cs="Arial"/>
                <w:sz w:val="22"/>
                <w:szCs w:val="22"/>
              </w:rPr>
              <w:t>were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not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grant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funded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that</w:t>
            </w:r>
            <w:r w:rsidR="00C026A6" w:rsidRPr="00EA59C0">
              <w:rPr>
                <w:rFonts w:asciiTheme="minorHAnsi" w:hAnsiTheme="minorHAnsi" w:cs="Arial"/>
                <w:sz w:val="22"/>
                <w:szCs w:val="22"/>
              </w:rPr>
              <w:t xml:space="preserve"> </w:t>
            </w:r>
            <w:r w:rsidRPr="00EA59C0">
              <w:rPr>
                <w:rFonts w:asciiTheme="minorHAnsi" w:hAnsiTheme="minorHAnsi" w:cs="Arial"/>
                <w:sz w:val="22"/>
                <w:szCs w:val="22"/>
              </w:rPr>
              <w:t>can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be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compared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with</w:t>
            </w:r>
            <w:r w:rsidR="00C026A6" w:rsidRPr="00EA59C0">
              <w:rPr>
                <w:rFonts w:asciiTheme="minorHAnsi" w:hAnsiTheme="minorHAnsi" w:cs="Arial"/>
                <w:sz w:val="22"/>
                <w:szCs w:val="22"/>
              </w:rPr>
              <w:t xml:space="preserve"> </w:t>
            </w:r>
            <w:r w:rsidRPr="00EA59C0">
              <w:rPr>
                <w:rFonts w:asciiTheme="minorHAnsi" w:hAnsiTheme="minorHAnsi" w:cs="Arial"/>
                <w:sz w:val="22"/>
                <w:szCs w:val="22"/>
              </w:rPr>
              <w:t>students</w:t>
            </w:r>
            <w:r w:rsidR="00C026A6" w:rsidRPr="00EA59C0">
              <w:rPr>
                <w:rFonts w:asciiTheme="minorHAnsi" w:hAnsiTheme="minorHAnsi" w:cs="Arial"/>
                <w:sz w:val="22"/>
                <w:szCs w:val="22"/>
              </w:rPr>
              <w:t xml:space="preserve"> </w:t>
            </w:r>
            <w:r w:rsidRPr="00EA59C0">
              <w:rPr>
                <w:rFonts w:asciiTheme="minorHAnsi" w:hAnsiTheme="minorHAnsi" w:cs="Arial"/>
                <w:sz w:val="22"/>
                <w:szCs w:val="22"/>
              </w:rPr>
              <w:t>who</w:t>
            </w:r>
            <w:r w:rsidR="00C026A6" w:rsidRPr="00EA59C0">
              <w:rPr>
                <w:rFonts w:asciiTheme="minorHAnsi" w:hAnsiTheme="minorHAnsi" w:cs="Arial"/>
                <w:sz w:val="22"/>
                <w:szCs w:val="22"/>
              </w:rPr>
              <w:t xml:space="preserve"> </w:t>
            </w:r>
            <w:r w:rsidRPr="00EA59C0">
              <w:rPr>
                <w:rFonts w:asciiTheme="minorHAnsi" w:hAnsiTheme="minorHAnsi" w:cs="Arial"/>
                <w:sz w:val="22"/>
                <w:szCs w:val="22"/>
              </w:rPr>
              <w:t>will</w:t>
            </w:r>
            <w:r w:rsidR="00C026A6" w:rsidRPr="00EA59C0">
              <w:rPr>
                <w:rFonts w:asciiTheme="minorHAnsi" w:hAnsiTheme="minorHAnsi" w:cs="Arial"/>
                <w:sz w:val="22"/>
                <w:szCs w:val="22"/>
              </w:rPr>
              <w:t xml:space="preserve"> </w:t>
            </w:r>
            <w:r w:rsidRPr="00EA59C0">
              <w:rPr>
                <w:rFonts w:asciiTheme="minorHAnsi" w:hAnsiTheme="minorHAnsi" w:cs="Arial"/>
                <w:sz w:val="22"/>
                <w:szCs w:val="22"/>
              </w:rPr>
              <w:t>be</w:t>
            </w:r>
            <w:r w:rsidR="00C026A6" w:rsidRPr="00EA59C0">
              <w:rPr>
                <w:rFonts w:asciiTheme="minorHAnsi" w:hAnsiTheme="minorHAnsi" w:cs="Arial"/>
                <w:sz w:val="22"/>
                <w:szCs w:val="22"/>
              </w:rPr>
              <w:t xml:space="preserve"> </w:t>
            </w:r>
            <w:r w:rsidRPr="00EA59C0">
              <w:rPr>
                <w:rFonts w:asciiTheme="minorHAnsi" w:hAnsiTheme="minorHAnsi" w:cs="Arial"/>
                <w:sz w:val="22"/>
                <w:szCs w:val="22"/>
              </w:rPr>
              <w:t>enrolled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in</w:t>
            </w:r>
            <w:r w:rsidR="00C026A6" w:rsidRPr="00EA59C0">
              <w:rPr>
                <w:rFonts w:asciiTheme="minorHAnsi" w:hAnsiTheme="minorHAnsi" w:cs="Arial"/>
                <w:sz w:val="22"/>
                <w:szCs w:val="22"/>
              </w:rPr>
              <w:t xml:space="preserve"> </w:t>
            </w:r>
            <w:r w:rsidRPr="00EA59C0">
              <w:rPr>
                <w:rFonts w:asciiTheme="minorHAnsi" w:hAnsiTheme="minorHAnsi" w:cs="Arial"/>
                <w:sz w:val="22"/>
                <w:szCs w:val="22"/>
              </w:rPr>
              <w:t>grant-funded</w:t>
            </w:r>
            <w:r w:rsidR="00C026A6" w:rsidRPr="00EA59C0">
              <w:rPr>
                <w:rFonts w:asciiTheme="minorHAnsi" w:hAnsiTheme="minorHAnsi" w:cs="Arial"/>
                <w:sz w:val="22"/>
                <w:szCs w:val="22"/>
              </w:rPr>
              <w:t xml:space="preserve"> </w:t>
            </w:r>
            <w:r w:rsidRPr="00EA59C0">
              <w:rPr>
                <w:rFonts w:asciiTheme="minorHAnsi" w:hAnsiTheme="minorHAnsi" w:cs="Arial"/>
                <w:sz w:val="22"/>
                <w:szCs w:val="22"/>
              </w:rPr>
              <w:t>programs</w:t>
            </w:r>
          </w:p>
          <w:p w:rsidR="008826BE" w:rsidRPr="00EA59C0" w:rsidRDefault="008826BE" w:rsidP="00DB00BB">
            <w:pPr>
              <w:ind w:left="252" w:hanging="252"/>
              <w:rPr>
                <w:rFonts w:asciiTheme="minorHAnsi" w:hAnsiTheme="minorHAnsi" w:cs="Arial"/>
                <w:sz w:val="22"/>
                <w:szCs w:val="22"/>
              </w:rPr>
            </w:pPr>
          </w:p>
        </w:tc>
      </w:tr>
    </w:tbl>
    <w:p w:rsidR="008826BE" w:rsidRPr="00EA59C0" w:rsidRDefault="008826BE" w:rsidP="00DB00BB">
      <w:pPr>
        <w:pStyle w:val="ListParagraph"/>
        <w:ind w:left="360"/>
        <w:rPr>
          <w:rFonts w:ascii="Arial" w:hAnsi="Arial" w:cs="Arial"/>
          <w:i/>
          <w:sz w:val="22"/>
          <w:szCs w:val="22"/>
        </w:rPr>
      </w:pPr>
    </w:p>
    <w:p w:rsidR="00A47D6C" w:rsidRPr="00EA59C0" w:rsidRDefault="008826BE" w:rsidP="005568BE">
      <w:pPr>
        <w:rPr>
          <w:i/>
        </w:rPr>
      </w:pPr>
      <w:r w:rsidRPr="00EA59C0">
        <w:rPr>
          <w:rFonts w:ascii="Arial" w:hAnsi="Arial" w:cs="Arial"/>
          <w:i/>
          <w:sz w:val="22"/>
          <w:szCs w:val="22"/>
        </w:rPr>
        <w:t>Information</w:t>
      </w:r>
      <w:r w:rsidR="00C026A6" w:rsidRPr="00EA59C0">
        <w:rPr>
          <w:rFonts w:ascii="Arial" w:hAnsi="Arial" w:cs="Arial"/>
          <w:i/>
          <w:sz w:val="22"/>
          <w:szCs w:val="22"/>
        </w:rPr>
        <w:t xml:space="preserve"> </w:t>
      </w:r>
      <w:r w:rsidRPr="00EA59C0">
        <w:rPr>
          <w:rFonts w:ascii="Arial" w:hAnsi="Arial" w:cs="Arial"/>
          <w:i/>
          <w:sz w:val="22"/>
          <w:szCs w:val="22"/>
        </w:rPr>
        <w:t>for</w:t>
      </w:r>
      <w:r w:rsidR="00C026A6" w:rsidRPr="00EA59C0">
        <w:rPr>
          <w:rFonts w:ascii="Arial" w:hAnsi="Arial" w:cs="Arial"/>
          <w:i/>
          <w:sz w:val="22"/>
          <w:szCs w:val="22"/>
        </w:rPr>
        <w:t xml:space="preserve"> </w:t>
      </w:r>
      <w:r w:rsidRPr="00EA59C0">
        <w:rPr>
          <w:rFonts w:ascii="Arial" w:hAnsi="Arial" w:cs="Arial"/>
          <w:i/>
          <w:sz w:val="22"/>
          <w:szCs w:val="22"/>
        </w:rPr>
        <w:t>this</w:t>
      </w:r>
      <w:r w:rsidR="00C026A6" w:rsidRPr="00EA59C0">
        <w:rPr>
          <w:rFonts w:ascii="Arial" w:hAnsi="Arial" w:cs="Arial"/>
          <w:i/>
          <w:sz w:val="22"/>
          <w:szCs w:val="22"/>
        </w:rPr>
        <w:t xml:space="preserve"> </w:t>
      </w:r>
      <w:r w:rsidRPr="00EA59C0">
        <w:rPr>
          <w:rFonts w:ascii="Arial" w:hAnsi="Arial" w:cs="Arial"/>
          <w:i/>
          <w:sz w:val="22"/>
          <w:szCs w:val="22"/>
        </w:rPr>
        <w:t>chart</w:t>
      </w:r>
      <w:r w:rsidR="00C026A6" w:rsidRPr="00EA59C0">
        <w:rPr>
          <w:rFonts w:ascii="Arial" w:hAnsi="Arial" w:cs="Arial"/>
          <w:i/>
          <w:sz w:val="22"/>
          <w:szCs w:val="22"/>
        </w:rPr>
        <w:t xml:space="preserve"> </w:t>
      </w:r>
      <w:r w:rsidRPr="00EA59C0">
        <w:rPr>
          <w:rFonts w:ascii="Arial" w:hAnsi="Arial" w:cs="Arial"/>
          <w:i/>
          <w:sz w:val="22"/>
          <w:szCs w:val="22"/>
        </w:rPr>
        <w:t>is</w:t>
      </w:r>
      <w:r w:rsidR="00C026A6" w:rsidRPr="00EA59C0">
        <w:rPr>
          <w:rFonts w:ascii="Arial" w:hAnsi="Arial" w:cs="Arial"/>
          <w:i/>
          <w:sz w:val="22"/>
          <w:szCs w:val="22"/>
        </w:rPr>
        <w:t xml:space="preserve"> </w:t>
      </w:r>
      <w:r w:rsidRPr="00EA59C0">
        <w:rPr>
          <w:rFonts w:ascii="Arial" w:hAnsi="Arial" w:cs="Arial"/>
          <w:i/>
          <w:sz w:val="22"/>
          <w:szCs w:val="22"/>
        </w:rPr>
        <w:t>derived</w:t>
      </w:r>
      <w:r w:rsidR="00C026A6" w:rsidRPr="00EA59C0">
        <w:rPr>
          <w:rFonts w:ascii="Arial" w:hAnsi="Arial" w:cs="Arial"/>
          <w:i/>
          <w:sz w:val="22"/>
          <w:szCs w:val="22"/>
        </w:rPr>
        <w:t xml:space="preserve"> </w:t>
      </w:r>
      <w:r w:rsidRPr="00EA59C0">
        <w:rPr>
          <w:rFonts w:ascii="Arial" w:hAnsi="Arial" w:cs="Arial"/>
          <w:i/>
          <w:sz w:val="22"/>
          <w:szCs w:val="22"/>
        </w:rPr>
        <w:t>in</w:t>
      </w:r>
      <w:r w:rsidR="00C026A6" w:rsidRPr="00EA59C0">
        <w:rPr>
          <w:rFonts w:ascii="Arial" w:hAnsi="Arial" w:cs="Arial"/>
          <w:i/>
          <w:sz w:val="22"/>
          <w:szCs w:val="22"/>
        </w:rPr>
        <w:t xml:space="preserve"> </w:t>
      </w:r>
      <w:r w:rsidRPr="00EA59C0">
        <w:rPr>
          <w:rFonts w:ascii="Arial" w:hAnsi="Arial" w:cs="Arial"/>
          <w:i/>
          <w:sz w:val="22"/>
          <w:szCs w:val="22"/>
        </w:rPr>
        <w:t>part</w:t>
      </w:r>
      <w:r w:rsidR="00C026A6" w:rsidRPr="00EA59C0">
        <w:rPr>
          <w:rFonts w:ascii="Arial" w:hAnsi="Arial" w:cs="Arial"/>
          <w:i/>
          <w:sz w:val="22"/>
          <w:szCs w:val="22"/>
        </w:rPr>
        <w:t xml:space="preserve"> </w:t>
      </w:r>
      <w:r w:rsidRPr="00EA59C0">
        <w:rPr>
          <w:rFonts w:ascii="Arial" w:hAnsi="Arial" w:cs="Arial"/>
          <w:i/>
          <w:sz w:val="22"/>
          <w:szCs w:val="22"/>
        </w:rPr>
        <w:t>from</w:t>
      </w:r>
      <w:r w:rsidR="00C026A6" w:rsidRPr="00EA59C0">
        <w:rPr>
          <w:rFonts w:ascii="Arial" w:hAnsi="Arial" w:cs="Arial"/>
          <w:i/>
          <w:sz w:val="22"/>
          <w:szCs w:val="22"/>
        </w:rPr>
        <w:t xml:space="preserve"> </w:t>
      </w:r>
      <w:r w:rsidRPr="00EA59C0">
        <w:rPr>
          <w:rFonts w:ascii="Arial" w:hAnsi="Arial" w:cs="Arial"/>
          <w:i/>
          <w:sz w:val="22"/>
          <w:szCs w:val="22"/>
        </w:rPr>
        <w:t>the</w:t>
      </w:r>
      <w:r w:rsidR="00C026A6" w:rsidRPr="00EA59C0">
        <w:rPr>
          <w:rFonts w:ascii="Arial" w:hAnsi="Arial" w:cs="Arial"/>
          <w:i/>
          <w:sz w:val="22"/>
          <w:szCs w:val="22"/>
        </w:rPr>
        <w:t xml:space="preserve"> </w:t>
      </w:r>
      <w:r w:rsidRPr="00EA59C0">
        <w:rPr>
          <w:rFonts w:ascii="Arial" w:hAnsi="Arial" w:cs="Arial"/>
          <w:i/>
          <w:sz w:val="22"/>
          <w:szCs w:val="22"/>
        </w:rPr>
        <w:t>publication</w:t>
      </w:r>
      <w:r w:rsidR="00C026A6" w:rsidRPr="00EA59C0">
        <w:rPr>
          <w:rFonts w:ascii="Arial" w:hAnsi="Arial" w:cs="Arial"/>
          <w:i/>
          <w:sz w:val="22"/>
          <w:szCs w:val="22"/>
        </w:rPr>
        <w:t xml:space="preserve"> </w:t>
      </w:r>
      <w:r w:rsidRPr="00EA59C0">
        <w:rPr>
          <w:rFonts w:ascii="Arial" w:hAnsi="Arial" w:cs="Arial"/>
          <w:i/>
          <w:sz w:val="22"/>
          <w:szCs w:val="22"/>
        </w:rPr>
        <w:t>Improving</w:t>
      </w:r>
      <w:r w:rsidR="00C026A6" w:rsidRPr="00EA59C0">
        <w:rPr>
          <w:rFonts w:ascii="Arial" w:hAnsi="Arial" w:cs="Arial"/>
          <w:i/>
          <w:sz w:val="22"/>
          <w:szCs w:val="22"/>
        </w:rPr>
        <w:t xml:space="preserve"> </w:t>
      </w:r>
      <w:r w:rsidRPr="00EA59C0">
        <w:rPr>
          <w:rFonts w:ascii="Arial" w:hAnsi="Arial" w:cs="Arial"/>
          <w:i/>
          <w:sz w:val="22"/>
          <w:szCs w:val="22"/>
        </w:rPr>
        <w:t>the</w:t>
      </w:r>
      <w:r w:rsidR="00C026A6" w:rsidRPr="00EA59C0">
        <w:rPr>
          <w:rFonts w:ascii="Arial" w:hAnsi="Arial" w:cs="Arial"/>
          <w:i/>
          <w:sz w:val="22"/>
          <w:szCs w:val="22"/>
        </w:rPr>
        <w:t xml:space="preserve"> </w:t>
      </w:r>
      <w:r w:rsidRPr="00EA59C0">
        <w:rPr>
          <w:rFonts w:ascii="Arial" w:hAnsi="Arial" w:cs="Arial"/>
          <w:i/>
          <w:sz w:val="22"/>
          <w:szCs w:val="22"/>
        </w:rPr>
        <w:t>Evaluation</w:t>
      </w:r>
      <w:r w:rsidR="00C026A6" w:rsidRPr="00EA59C0">
        <w:rPr>
          <w:rFonts w:ascii="Arial" w:hAnsi="Arial" w:cs="Arial"/>
          <w:i/>
          <w:sz w:val="22"/>
          <w:szCs w:val="22"/>
        </w:rPr>
        <w:t xml:space="preserve"> </w:t>
      </w:r>
      <w:r w:rsidRPr="00EA59C0">
        <w:rPr>
          <w:rFonts w:ascii="Arial" w:hAnsi="Arial" w:cs="Arial"/>
          <w:i/>
          <w:sz w:val="22"/>
          <w:szCs w:val="22"/>
        </w:rPr>
        <w:t>of</w:t>
      </w:r>
      <w:r w:rsidR="00C026A6" w:rsidRPr="00EA59C0">
        <w:rPr>
          <w:rFonts w:ascii="Arial" w:hAnsi="Arial" w:cs="Arial"/>
          <w:i/>
          <w:sz w:val="22"/>
          <w:szCs w:val="22"/>
        </w:rPr>
        <w:t xml:space="preserve"> </w:t>
      </w:r>
      <w:r w:rsidRPr="00EA59C0">
        <w:rPr>
          <w:rFonts w:ascii="Arial" w:hAnsi="Arial" w:cs="Arial"/>
          <w:i/>
          <w:sz w:val="22"/>
          <w:szCs w:val="22"/>
        </w:rPr>
        <w:t>DOLETA</w:t>
      </w:r>
      <w:r w:rsidR="00C026A6" w:rsidRPr="00EA59C0">
        <w:rPr>
          <w:rFonts w:ascii="Arial" w:hAnsi="Arial" w:cs="Arial"/>
          <w:i/>
          <w:sz w:val="22"/>
          <w:szCs w:val="22"/>
        </w:rPr>
        <w:t xml:space="preserve"> </w:t>
      </w:r>
      <w:r w:rsidRPr="00EA59C0">
        <w:rPr>
          <w:rFonts w:ascii="Arial" w:hAnsi="Arial" w:cs="Arial"/>
          <w:i/>
          <w:sz w:val="22"/>
          <w:szCs w:val="22"/>
        </w:rPr>
        <w:t>Pilot</w:t>
      </w:r>
      <w:r w:rsidR="00C026A6" w:rsidRPr="00EA59C0">
        <w:rPr>
          <w:rFonts w:ascii="Arial" w:hAnsi="Arial" w:cs="Arial"/>
          <w:i/>
          <w:sz w:val="22"/>
          <w:szCs w:val="22"/>
        </w:rPr>
        <w:t xml:space="preserve"> </w:t>
      </w:r>
      <w:r w:rsidRPr="00EA59C0">
        <w:rPr>
          <w:rFonts w:ascii="Arial" w:hAnsi="Arial" w:cs="Arial"/>
          <w:i/>
          <w:sz w:val="22"/>
          <w:szCs w:val="22"/>
        </w:rPr>
        <w:t>and</w:t>
      </w:r>
      <w:r w:rsidR="00C026A6" w:rsidRPr="00EA59C0">
        <w:rPr>
          <w:rFonts w:ascii="Arial" w:hAnsi="Arial" w:cs="Arial"/>
          <w:i/>
          <w:sz w:val="22"/>
          <w:szCs w:val="22"/>
        </w:rPr>
        <w:t xml:space="preserve"> </w:t>
      </w:r>
      <w:r w:rsidRPr="00EA59C0">
        <w:rPr>
          <w:rFonts w:ascii="Arial" w:hAnsi="Arial" w:cs="Arial"/>
          <w:i/>
          <w:sz w:val="22"/>
          <w:szCs w:val="22"/>
        </w:rPr>
        <w:t>Demonstration</w:t>
      </w:r>
      <w:r w:rsidR="00C026A6" w:rsidRPr="00EA59C0">
        <w:rPr>
          <w:rFonts w:ascii="Arial" w:hAnsi="Arial" w:cs="Arial"/>
          <w:i/>
          <w:sz w:val="22"/>
          <w:szCs w:val="22"/>
        </w:rPr>
        <w:t xml:space="preserve"> </w:t>
      </w:r>
      <w:r w:rsidRPr="00EA59C0">
        <w:rPr>
          <w:rFonts w:ascii="Arial" w:hAnsi="Arial" w:cs="Arial"/>
          <w:i/>
          <w:sz w:val="22"/>
          <w:szCs w:val="22"/>
        </w:rPr>
        <w:t>Projects</w:t>
      </w:r>
      <w:r w:rsidR="00C026A6" w:rsidRPr="00EA59C0">
        <w:rPr>
          <w:rFonts w:ascii="Arial" w:hAnsi="Arial" w:cs="Arial"/>
          <w:i/>
          <w:sz w:val="22"/>
          <w:szCs w:val="22"/>
        </w:rPr>
        <w:t xml:space="preserve"> </w:t>
      </w:r>
      <w:r w:rsidRPr="00EA59C0">
        <w:rPr>
          <w:rFonts w:ascii="Arial" w:hAnsi="Arial" w:cs="Arial"/>
          <w:i/>
          <w:sz w:val="22"/>
          <w:szCs w:val="22"/>
        </w:rPr>
        <w:t>-</w:t>
      </w:r>
      <w:r w:rsidR="00C026A6" w:rsidRPr="00EA59C0">
        <w:rPr>
          <w:rFonts w:ascii="Arial" w:hAnsi="Arial" w:cs="Arial"/>
          <w:i/>
          <w:sz w:val="22"/>
          <w:szCs w:val="22"/>
        </w:rPr>
        <w:t xml:space="preserve"> </w:t>
      </w:r>
      <w:r w:rsidRPr="00EA59C0">
        <w:rPr>
          <w:rFonts w:ascii="Arial" w:hAnsi="Arial" w:cs="Arial"/>
          <w:i/>
          <w:sz w:val="22"/>
          <w:szCs w:val="22"/>
        </w:rPr>
        <w:t>A</w:t>
      </w:r>
      <w:r w:rsidR="00C026A6" w:rsidRPr="00EA59C0">
        <w:rPr>
          <w:rFonts w:ascii="Arial" w:hAnsi="Arial" w:cs="Arial"/>
          <w:i/>
          <w:sz w:val="22"/>
          <w:szCs w:val="22"/>
        </w:rPr>
        <w:t xml:space="preserve"> </w:t>
      </w:r>
      <w:r w:rsidRPr="00EA59C0">
        <w:rPr>
          <w:rFonts w:ascii="Arial" w:hAnsi="Arial" w:cs="Arial"/>
          <w:i/>
          <w:sz w:val="22"/>
          <w:szCs w:val="22"/>
        </w:rPr>
        <w:t>Guide</w:t>
      </w:r>
      <w:r w:rsidR="00C026A6" w:rsidRPr="00EA59C0">
        <w:rPr>
          <w:rFonts w:ascii="Arial" w:hAnsi="Arial" w:cs="Arial"/>
          <w:i/>
          <w:sz w:val="22"/>
          <w:szCs w:val="22"/>
        </w:rPr>
        <w:t xml:space="preserve"> </w:t>
      </w:r>
      <w:r w:rsidRPr="00EA59C0">
        <w:rPr>
          <w:rFonts w:ascii="Arial" w:hAnsi="Arial" w:cs="Arial"/>
          <w:i/>
          <w:sz w:val="22"/>
          <w:szCs w:val="22"/>
        </w:rPr>
        <w:t>for</w:t>
      </w:r>
      <w:r w:rsidR="00C026A6" w:rsidRPr="00EA59C0">
        <w:rPr>
          <w:rFonts w:ascii="Arial" w:hAnsi="Arial" w:cs="Arial"/>
          <w:i/>
          <w:sz w:val="22"/>
          <w:szCs w:val="22"/>
        </w:rPr>
        <w:t xml:space="preserve"> </w:t>
      </w:r>
      <w:r w:rsidRPr="00EA59C0">
        <w:rPr>
          <w:rFonts w:ascii="Arial" w:hAnsi="Arial" w:cs="Arial"/>
          <w:i/>
          <w:sz w:val="22"/>
          <w:szCs w:val="22"/>
        </w:rPr>
        <w:t>Practitioners</w:t>
      </w:r>
      <w:r w:rsidR="00C026A6" w:rsidRPr="00EA59C0">
        <w:rPr>
          <w:rFonts w:ascii="Arial" w:hAnsi="Arial" w:cs="Arial"/>
          <w:i/>
          <w:sz w:val="22"/>
          <w:szCs w:val="22"/>
        </w:rPr>
        <w:t xml:space="preserve"> </w:t>
      </w:r>
      <w:r w:rsidRPr="00EA59C0">
        <w:rPr>
          <w:rFonts w:ascii="Arial" w:hAnsi="Arial" w:cs="Arial"/>
          <w:i/>
          <w:sz w:val="22"/>
          <w:szCs w:val="22"/>
        </w:rPr>
        <w:t>by</w:t>
      </w:r>
      <w:r w:rsidR="00C026A6" w:rsidRPr="00EA59C0">
        <w:rPr>
          <w:rFonts w:ascii="Arial" w:hAnsi="Arial" w:cs="Arial"/>
          <w:i/>
          <w:sz w:val="22"/>
          <w:szCs w:val="22"/>
        </w:rPr>
        <w:t xml:space="preserve"> </w:t>
      </w:r>
      <w:r w:rsidRPr="00EA59C0">
        <w:rPr>
          <w:rFonts w:ascii="Arial" w:hAnsi="Arial" w:cs="Arial"/>
          <w:i/>
          <w:sz w:val="22"/>
          <w:szCs w:val="22"/>
        </w:rPr>
        <w:t>Stephen</w:t>
      </w:r>
      <w:r w:rsidR="00C026A6" w:rsidRPr="00EA59C0">
        <w:rPr>
          <w:rFonts w:ascii="Arial" w:hAnsi="Arial" w:cs="Arial"/>
          <w:i/>
          <w:sz w:val="22"/>
          <w:szCs w:val="22"/>
        </w:rPr>
        <w:t xml:space="preserve"> </w:t>
      </w:r>
      <w:r w:rsidRPr="00EA59C0">
        <w:rPr>
          <w:rFonts w:ascii="Arial" w:hAnsi="Arial" w:cs="Arial"/>
          <w:i/>
          <w:sz w:val="22"/>
          <w:szCs w:val="22"/>
        </w:rPr>
        <w:t>Bell</w:t>
      </w:r>
      <w:r w:rsidR="00C026A6" w:rsidRPr="00EA59C0">
        <w:rPr>
          <w:rFonts w:ascii="Arial" w:hAnsi="Arial" w:cs="Arial"/>
          <w:i/>
          <w:sz w:val="22"/>
          <w:szCs w:val="22"/>
        </w:rPr>
        <w:t xml:space="preserve"> </w:t>
      </w:r>
      <w:r w:rsidRPr="00EA59C0">
        <w:rPr>
          <w:rFonts w:ascii="Arial" w:hAnsi="Arial" w:cs="Arial"/>
          <w:i/>
          <w:sz w:val="22"/>
          <w:szCs w:val="22"/>
        </w:rPr>
        <w:t>(2001,</w:t>
      </w:r>
      <w:r w:rsidR="00C026A6" w:rsidRPr="00EA59C0">
        <w:rPr>
          <w:rFonts w:ascii="Arial" w:hAnsi="Arial" w:cs="Arial"/>
          <w:i/>
          <w:sz w:val="22"/>
          <w:szCs w:val="22"/>
        </w:rPr>
        <w:t xml:space="preserve"> </w:t>
      </w:r>
      <w:r w:rsidRPr="00EA59C0">
        <w:rPr>
          <w:rFonts w:ascii="Arial" w:hAnsi="Arial" w:cs="Arial"/>
          <w:i/>
          <w:sz w:val="22"/>
          <w:szCs w:val="22"/>
        </w:rPr>
        <w:t>The</w:t>
      </w:r>
      <w:r w:rsidR="00C026A6" w:rsidRPr="00EA59C0">
        <w:rPr>
          <w:rFonts w:ascii="Arial" w:hAnsi="Arial" w:cs="Arial"/>
          <w:i/>
          <w:sz w:val="22"/>
          <w:szCs w:val="22"/>
        </w:rPr>
        <w:t xml:space="preserve"> </w:t>
      </w:r>
      <w:r w:rsidRPr="00EA59C0">
        <w:rPr>
          <w:rFonts w:ascii="Arial" w:hAnsi="Arial" w:cs="Arial"/>
          <w:i/>
          <w:sz w:val="22"/>
          <w:szCs w:val="22"/>
        </w:rPr>
        <w:t>Urban</w:t>
      </w:r>
      <w:r w:rsidR="00C026A6" w:rsidRPr="00EA59C0">
        <w:rPr>
          <w:rFonts w:ascii="Arial" w:hAnsi="Arial" w:cs="Arial"/>
          <w:i/>
          <w:sz w:val="22"/>
          <w:szCs w:val="22"/>
        </w:rPr>
        <w:t xml:space="preserve"> </w:t>
      </w:r>
      <w:r w:rsidRPr="00EA59C0">
        <w:rPr>
          <w:rFonts w:ascii="Arial" w:hAnsi="Arial" w:cs="Arial"/>
          <w:i/>
          <w:sz w:val="22"/>
          <w:szCs w:val="22"/>
        </w:rPr>
        <w:t>Institute).</w:t>
      </w:r>
      <w:r w:rsidRPr="00EA59C0">
        <w:rPr>
          <w:rFonts w:ascii="Arial" w:hAnsi="Arial" w:cs="Arial"/>
          <w:i/>
          <w:sz w:val="22"/>
          <w:szCs w:val="22"/>
        </w:rPr>
        <w:tab/>
      </w:r>
    </w:p>
    <w:sectPr w:rsidR="00A47D6C" w:rsidRPr="00EA59C0" w:rsidSect="004073E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916" w:rsidRDefault="00DF2916">
      <w:r>
        <w:separator/>
      </w:r>
    </w:p>
  </w:endnote>
  <w:endnote w:type="continuationSeparator" w:id="0">
    <w:p w:rsidR="00DF2916" w:rsidRDefault="00DF2916">
      <w:r>
        <w:continuationSeparator/>
      </w:r>
    </w:p>
  </w:endnote>
  <w:endnote w:type="continuationNotice" w:id="1">
    <w:p w:rsidR="00DF2916" w:rsidRDefault="00DF2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9C0" w:rsidRDefault="00EA59C0" w:rsidP="002319A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EA59C0" w:rsidRDefault="00EA59C0" w:rsidP="002319A5">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9C0" w:rsidRDefault="00EA59C0" w:rsidP="002319A5">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B878CF">
      <w:rPr>
        <w:rStyle w:val="PageNumber"/>
        <w:noProof/>
      </w:rPr>
      <w:t>90</w:t>
    </w:r>
    <w:r>
      <w:rPr>
        <w:rStyle w:val="PageNumber"/>
      </w:rPr>
      <w:fldChar w:fldCharType="end"/>
    </w:r>
  </w:p>
  <w:p w:rsidR="00EA59C0" w:rsidRDefault="00EA59C0" w:rsidP="0032215C">
    <w:pPr>
      <w:pStyle w:val="Footer"/>
      <w:tabs>
        <w:tab w:val="clear" w:pos="8640"/>
        <w:tab w:val="right" w:pos="79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916" w:rsidRDefault="00DF2916">
      <w:r>
        <w:separator/>
      </w:r>
    </w:p>
  </w:footnote>
  <w:footnote w:type="continuationSeparator" w:id="0">
    <w:p w:rsidR="00DF2916" w:rsidRDefault="00DF2916">
      <w:r>
        <w:continuationSeparator/>
      </w:r>
    </w:p>
  </w:footnote>
  <w:footnote w:type="continuationNotice" w:id="1">
    <w:p w:rsidR="00DF2916" w:rsidRDefault="00DF2916"/>
  </w:footnote>
  <w:footnote w:id="2">
    <w:p w:rsidR="00EA59C0" w:rsidRDefault="00EA59C0">
      <w:pPr>
        <w:pStyle w:val="FootnoteText"/>
      </w:pPr>
      <w:r>
        <w:rPr>
          <w:rStyle w:val="FootnoteReference"/>
        </w:rPr>
        <w:footnoteRef/>
      </w:r>
      <w:r>
        <w:t xml:space="preserve"> </w:t>
      </w:r>
      <w:r w:rsidRPr="00161054">
        <w:t>Enhancing Teaching and Learning through Educational Data Mining and Learning Analytics – An Issue Brief.  U.S. Department of Education, October 2012.</w:t>
      </w:r>
    </w:p>
  </w:footnote>
  <w:footnote w:id="3">
    <w:p w:rsidR="00EA59C0" w:rsidRDefault="00EA59C0" w:rsidP="008D3ED0">
      <w:pPr>
        <w:pStyle w:val="FootnoteText"/>
      </w:pPr>
      <w:r>
        <w:rPr>
          <w:rStyle w:val="FootnoteReference"/>
        </w:rPr>
        <w:footnoteRef/>
      </w:r>
      <w:r>
        <w:t xml:space="preserve"> Colby Tofel-Grehl and David F. Feldon, “Cognitive Task Analysis–Based Training: A Meta-Analysis of Studies” </w:t>
      </w:r>
      <w:r w:rsidRPr="008D3ED0">
        <w:rPr>
          <w:i/>
        </w:rPr>
        <w:t>Journal</w:t>
      </w:r>
      <w:r>
        <w:rPr>
          <w:i/>
        </w:rPr>
        <w:t xml:space="preserve"> </w:t>
      </w:r>
      <w:r w:rsidRPr="008D3ED0">
        <w:rPr>
          <w:i/>
        </w:rPr>
        <w:t>of</w:t>
      </w:r>
      <w:r>
        <w:rPr>
          <w:i/>
        </w:rPr>
        <w:t xml:space="preserve"> </w:t>
      </w:r>
      <w:r w:rsidRPr="008D3ED0">
        <w:rPr>
          <w:i/>
        </w:rPr>
        <w:t>Cognitive</w:t>
      </w:r>
      <w:r>
        <w:rPr>
          <w:i/>
        </w:rPr>
        <w:t xml:space="preserve"> </w:t>
      </w:r>
      <w:r w:rsidRPr="008D3ED0">
        <w:rPr>
          <w:i/>
        </w:rPr>
        <w:t>Engineering</w:t>
      </w:r>
      <w:r>
        <w:rPr>
          <w:i/>
        </w:rPr>
        <w:t xml:space="preserve"> </w:t>
      </w:r>
      <w:r w:rsidRPr="008D3ED0">
        <w:rPr>
          <w:i/>
        </w:rPr>
        <w:t>and</w:t>
      </w:r>
      <w:r>
        <w:rPr>
          <w:i/>
        </w:rPr>
        <w:t xml:space="preserve"> </w:t>
      </w:r>
      <w:r w:rsidRPr="008D3ED0">
        <w:rPr>
          <w:i/>
        </w:rPr>
        <w:t>Decision</w:t>
      </w:r>
      <w:r>
        <w:rPr>
          <w:i/>
        </w:rPr>
        <w:t xml:space="preserve"> </w:t>
      </w:r>
      <w:r w:rsidRPr="008D3ED0">
        <w:rPr>
          <w:i/>
        </w:rPr>
        <w:t>Making</w:t>
      </w:r>
      <w:r>
        <w:t xml:space="preserve"> September 2013 7: 293-304, first published on January 29, 2013 doi:10.1177/1555343412474821</w:t>
      </w:r>
    </w:p>
  </w:footnote>
  <w:footnote w:id="4">
    <w:p w:rsidR="00EA59C0" w:rsidRPr="00783749" w:rsidRDefault="00EA59C0" w:rsidP="008826BE">
      <w:pPr>
        <w:rPr>
          <w:sz w:val="20"/>
          <w:szCs w:val="20"/>
        </w:rPr>
      </w:pPr>
      <w:r w:rsidRPr="00783749">
        <w:rPr>
          <w:rStyle w:val="FootnoteReference"/>
          <w:sz w:val="20"/>
          <w:szCs w:val="20"/>
        </w:rPr>
        <w:t>[1]</w:t>
      </w:r>
      <w:r>
        <w:rPr>
          <w:sz w:val="20"/>
          <w:szCs w:val="20"/>
        </w:rPr>
        <w:t xml:space="preserve"> </w:t>
      </w:r>
      <w:r w:rsidRPr="00783749">
        <w:rPr>
          <w:snapToGrid w:val="0"/>
          <w:sz w:val="20"/>
          <w:szCs w:val="20"/>
        </w:rPr>
        <w:t>What</w:t>
      </w:r>
      <w:r>
        <w:rPr>
          <w:snapToGrid w:val="0"/>
          <w:sz w:val="20"/>
          <w:szCs w:val="20"/>
        </w:rPr>
        <w:t xml:space="preserve"> </w:t>
      </w:r>
      <w:r w:rsidRPr="00783749">
        <w:rPr>
          <w:snapToGrid w:val="0"/>
          <w:sz w:val="20"/>
          <w:szCs w:val="20"/>
        </w:rPr>
        <w:t>Works</w:t>
      </w:r>
      <w:r>
        <w:rPr>
          <w:snapToGrid w:val="0"/>
          <w:sz w:val="20"/>
          <w:szCs w:val="20"/>
        </w:rPr>
        <w:t xml:space="preserve"> </w:t>
      </w:r>
      <w:r w:rsidRPr="00783749">
        <w:rPr>
          <w:snapToGrid w:val="0"/>
          <w:sz w:val="20"/>
          <w:szCs w:val="20"/>
        </w:rPr>
        <w:t>Clearinghouse</w:t>
      </w:r>
      <w:r>
        <w:rPr>
          <w:snapToGrid w:val="0"/>
          <w:sz w:val="20"/>
          <w:szCs w:val="20"/>
        </w:rPr>
        <w:t xml:space="preserve"> </w:t>
      </w:r>
      <w:r w:rsidRPr="00783749">
        <w:rPr>
          <w:snapToGrid w:val="0"/>
          <w:sz w:val="20"/>
          <w:szCs w:val="20"/>
        </w:rPr>
        <w:t>Procedures</w:t>
      </w:r>
      <w:r>
        <w:rPr>
          <w:snapToGrid w:val="0"/>
          <w:sz w:val="20"/>
          <w:szCs w:val="20"/>
        </w:rPr>
        <w:t xml:space="preserve"> </w:t>
      </w:r>
      <w:r w:rsidRPr="00783749">
        <w:rPr>
          <w:snapToGrid w:val="0"/>
          <w:sz w:val="20"/>
          <w:szCs w:val="20"/>
        </w:rPr>
        <w:t>and</w:t>
      </w:r>
      <w:r>
        <w:rPr>
          <w:snapToGrid w:val="0"/>
          <w:sz w:val="20"/>
          <w:szCs w:val="20"/>
        </w:rPr>
        <w:t xml:space="preserve"> </w:t>
      </w:r>
      <w:r w:rsidRPr="00783749">
        <w:rPr>
          <w:snapToGrid w:val="0"/>
          <w:sz w:val="20"/>
          <w:szCs w:val="20"/>
        </w:rPr>
        <w:t>Standards</w:t>
      </w:r>
      <w:r>
        <w:rPr>
          <w:snapToGrid w:val="0"/>
          <w:sz w:val="20"/>
          <w:szCs w:val="20"/>
        </w:rPr>
        <w:t xml:space="preserve"> </w:t>
      </w:r>
      <w:r w:rsidRPr="00783749">
        <w:rPr>
          <w:snapToGrid w:val="0"/>
          <w:sz w:val="20"/>
          <w:szCs w:val="20"/>
        </w:rPr>
        <w:t>Handbook</w:t>
      </w:r>
      <w:r>
        <w:rPr>
          <w:snapToGrid w:val="0"/>
          <w:sz w:val="20"/>
          <w:szCs w:val="20"/>
        </w:rPr>
        <w:t xml:space="preserve"> </w:t>
      </w:r>
      <w:r w:rsidRPr="00783749">
        <w:rPr>
          <w:snapToGrid w:val="0"/>
          <w:sz w:val="20"/>
          <w:szCs w:val="20"/>
        </w:rPr>
        <w:t>(Version</w:t>
      </w:r>
      <w:r>
        <w:rPr>
          <w:snapToGrid w:val="0"/>
          <w:sz w:val="20"/>
          <w:szCs w:val="20"/>
        </w:rPr>
        <w:t xml:space="preserve"> </w:t>
      </w:r>
      <w:r w:rsidRPr="00783749">
        <w:rPr>
          <w:snapToGrid w:val="0"/>
          <w:sz w:val="20"/>
          <w:szCs w:val="20"/>
        </w:rPr>
        <w:t>2.1,</w:t>
      </w:r>
      <w:r>
        <w:rPr>
          <w:snapToGrid w:val="0"/>
          <w:sz w:val="20"/>
          <w:szCs w:val="20"/>
        </w:rPr>
        <w:t xml:space="preserve"> </w:t>
      </w:r>
      <w:r w:rsidRPr="00783749">
        <w:rPr>
          <w:snapToGrid w:val="0"/>
          <w:sz w:val="20"/>
          <w:szCs w:val="20"/>
        </w:rPr>
        <w:t>September</w:t>
      </w:r>
      <w:r>
        <w:rPr>
          <w:snapToGrid w:val="0"/>
          <w:sz w:val="20"/>
          <w:szCs w:val="20"/>
        </w:rPr>
        <w:t xml:space="preserve"> </w:t>
      </w:r>
      <w:r w:rsidRPr="00783749">
        <w:rPr>
          <w:snapToGrid w:val="0"/>
          <w:sz w:val="20"/>
          <w:szCs w:val="20"/>
        </w:rPr>
        <w:t>2011),</w:t>
      </w:r>
      <w:r>
        <w:rPr>
          <w:snapToGrid w:val="0"/>
          <w:sz w:val="20"/>
          <w:szCs w:val="20"/>
        </w:rPr>
        <w:t xml:space="preserve"> </w:t>
      </w:r>
      <w:r w:rsidRPr="00783749">
        <w:rPr>
          <w:snapToGrid w:val="0"/>
          <w:sz w:val="20"/>
          <w:szCs w:val="20"/>
        </w:rPr>
        <w:t>which</w:t>
      </w:r>
      <w:r>
        <w:rPr>
          <w:snapToGrid w:val="0"/>
          <w:sz w:val="20"/>
          <w:szCs w:val="20"/>
        </w:rPr>
        <w:t xml:space="preserve"> </w:t>
      </w:r>
      <w:r w:rsidRPr="00783749">
        <w:rPr>
          <w:snapToGrid w:val="0"/>
          <w:sz w:val="20"/>
          <w:szCs w:val="20"/>
        </w:rPr>
        <w:t>can</w:t>
      </w:r>
      <w:r>
        <w:rPr>
          <w:snapToGrid w:val="0"/>
          <w:sz w:val="20"/>
          <w:szCs w:val="20"/>
        </w:rPr>
        <w:t xml:space="preserve"> </w:t>
      </w:r>
      <w:r w:rsidRPr="00783749">
        <w:rPr>
          <w:snapToGrid w:val="0"/>
          <w:sz w:val="20"/>
          <w:szCs w:val="20"/>
        </w:rPr>
        <w:t>currently</w:t>
      </w:r>
      <w:r>
        <w:rPr>
          <w:snapToGrid w:val="0"/>
          <w:sz w:val="20"/>
          <w:szCs w:val="20"/>
        </w:rPr>
        <w:t xml:space="preserve"> </w:t>
      </w:r>
      <w:r w:rsidRPr="00783749">
        <w:rPr>
          <w:snapToGrid w:val="0"/>
          <w:sz w:val="20"/>
          <w:szCs w:val="20"/>
        </w:rPr>
        <w:t>be</w:t>
      </w:r>
      <w:r>
        <w:rPr>
          <w:snapToGrid w:val="0"/>
          <w:sz w:val="20"/>
          <w:szCs w:val="20"/>
        </w:rPr>
        <w:t xml:space="preserve"> </w:t>
      </w:r>
      <w:r w:rsidRPr="00783749">
        <w:rPr>
          <w:snapToGrid w:val="0"/>
          <w:sz w:val="20"/>
          <w:szCs w:val="20"/>
        </w:rPr>
        <w:t>found</w:t>
      </w:r>
      <w:r>
        <w:rPr>
          <w:snapToGrid w:val="0"/>
          <w:sz w:val="20"/>
          <w:szCs w:val="20"/>
        </w:rPr>
        <w:t xml:space="preserve"> </w:t>
      </w:r>
      <w:r w:rsidRPr="00783749">
        <w:rPr>
          <w:snapToGrid w:val="0"/>
          <w:sz w:val="20"/>
          <w:szCs w:val="20"/>
        </w:rPr>
        <w:t>at</w:t>
      </w:r>
      <w:r>
        <w:rPr>
          <w:snapToGrid w:val="0"/>
          <w:sz w:val="20"/>
          <w:szCs w:val="20"/>
        </w:rPr>
        <w:t xml:space="preserve"> </w:t>
      </w:r>
      <w:r w:rsidRPr="00783749">
        <w:rPr>
          <w:snapToGrid w:val="0"/>
          <w:sz w:val="20"/>
          <w:szCs w:val="20"/>
        </w:rPr>
        <w:t>the</w:t>
      </w:r>
      <w:r>
        <w:rPr>
          <w:snapToGrid w:val="0"/>
          <w:sz w:val="20"/>
          <w:szCs w:val="20"/>
        </w:rPr>
        <w:t xml:space="preserve"> </w:t>
      </w:r>
      <w:r w:rsidRPr="00783749">
        <w:rPr>
          <w:snapToGrid w:val="0"/>
          <w:sz w:val="20"/>
          <w:szCs w:val="20"/>
        </w:rPr>
        <w:t>following</w:t>
      </w:r>
      <w:r>
        <w:rPr>
          <w:snapToGrid w:val="0"/>
          <w:sz w:val="20"/>
          <w:szCs w:val="20"/>
        </w:rPr>
        <w:t xml:space="preserve"> </w:t>
      </w:r>
      <w:r w:rsidRPr="00783749">
        <w:rPr>
          <w:snapToGrid w:val="0"/>
          <w:sz w:val="20"/>
          <w:szCs w:val="20"/>
        </w:rPr>
        <w:t>link:</w:t>
      </w:r>
      <w:r>
        <w:rPr>
          <w:snapToGrid w:val="0"/>
          <w:sz w:val="20"/>
          <w:szCs w:val="20"/>
        </w:rPr>
        <w:t xml:space="preserve">  </w:t>
      </w:r>
      <w:r w:rsidRPr="00783749">
        <w:rPr>
          <w:snapToGrid w:val="0"/>
          <w:sz w:val="20"/>
          <w:szCs w:val="20"/>
          <w:u w:val="single"/>
        </w:rPr>
        <w:t>http://</w:t>
      </w:r>
      <w:hyperlink r:id="rId1" w:history="1">
        <w:r w:rsidRPr="00783749">
          <w:rPr>
            <w:rStyle w:val="Hyperlink"/>
            <w:color w:val="000000"/>
            <w:sz w:val="20"/>
            <w:szCs w:val="20"/>
          </w:rPr>
          <w:t>ies.ed.gov/ncee/wwc/DocumentSum.aspx?sid=19</w:t>
        </w:r>
      </w:hyperlink>
      <w:r w:rsidRPr="00783749">
        <w:rPr>
          <w:snapToGrid w:val="0"/>
          <w:sz w:val="20"/>
          <w:szCs w:val="20"/>
        </w:rPr>
        <w:t>.</w:t>
      </w:r>
      <w:r>
        <w:rPr>
          <w:snapToGrid w:val="0"/>
          <w:sz w:val="20"/>
          <w:szCs w:val="20"/>
        </w:rPr>
        <w:t xml:space="preserve">  </w:t>
      </w:r>
    </w:p>
  </w:footnote>
  <w:footnote w:id="5">
    <w:p w:rsidR="00EA59C0" w:rsidRPr="00783749" w:rsidRDefault="00EA59C0" w:rsidP="008826BE">
      <w:pPr>
        <w:pStyle w:val="FootnoteText"/>
      </w:pPr>
      <w:r w:rsidRPr="00783749">
        <w:rPr>
          <w:rStyle w:val="FootnoteReference"/>
        </w:rPr>
        <w:t>[2]</w:t>
      </w:r>
      <w:r>
        <w:t xml:space="preserve"> </w:t>
      </w:r>
      <w:r w:rsidRPr="00783749">
        <w:t>What</w:t>
      </w:r>
      <w:r>
        <w:t xml:space="preserve"> </w:t>
      </w:r>
      <w:r w:rsidRPr="00783749">
        <w:t>Works</w:t>
      </w:r>
      <w:r>
        <w:t xml:space="preserve"> </w:t>
      </w:r>
      <w:r w:rsidRPr="00783749">
        <w:t>Clearinghouse</w:t>
      </w:r>
      <w:r>
        <w:t xml:space="preserve"> </w:t>
      </w:r>
      <w:r w:rsidRPr="00783749">
        <w:t>Procedures</w:t>
      </w:r>
      <w:r>
        <w:t xml:space="preserve"> </w:t>
      </w:r>
      <w:r w:rsidRPr="00783749">
        <w:t>and</w:t>
      </w:r>
      <w:r>
        <w:t xml:space="preserve"> </w:t>
      </w:r>
      <w:r w:rsidRPr="00783749">
        <w:t>Standards</w:t>
      </w:r>
      <w:r>
        <w:t xml:space="preserve"> </w:t>
      </w:r>
      <w:r w:rsidRPr="00783749">
        <w:t>Handbook</w:t>
      </w:r>
      <w:r>
        <w:t xml:space="preserve"> </w:t>
      </w:r>
      <w:r w:rsidRPr="00783749">
        <w:t>(Version</w:t>
      </w:r>
      <w:r>
        <w:t xml:space="preserve"> </w:t>
      </w:r>
      <w:r w:rsidRPr="00783749">
        <w:t>2.1,</w:t>
      </w:r>
      <w:r>
        <w:t xml:space="preserve"> </w:t>
      </w:r>
      <w:r w:rsidRPr="00783749">
        <w:t>September</w:t>
      </w:r>
      <w:r>
        <w:t xml:space="preserve"> </w:t>
      </w:r>
      <w:r w:rsidRPr="00783749">
        <w:t>2011),</w:t>
      </w:r>
      <w:r>
        <w:t xml:space="preserve"> </w:t>
      </w:r>
      <w:r w:rsidRPr="00783749">
        <w:t>which</w:t>
      </w:r>
      <w:r>
        <w:t xml:space="preserve"> </w:t>
      </w:r>
      <w:r w:rsidRPr="00783749">
        <w:t>can</w:t>
      </w:r>
      <w:r>
        <w:t xml:space="preserve"> </w:t>
      </w:r>
      <w:r w:rsidRPr="00783749">
        <w:t>currently</w:t>
      </w:r>
      <w:r>
        <w:t xml:space="preserve"> </w:t>
      </w:r>
      <w:r w:rsidRPr="00783749">
        <w:t>be</w:t>
      </w:r>
      <w:r>
        <w:t xml:space="preserve"> </w:t>
      </w:r>
      <w:r w:rsidRPr="00783749">
        <w:t>found</w:t>
      </w:r>
      <w:r>
        <w:t xml:space="preserve"> </w:t>
      </w:r>
      <w:r w:rsidRPr="00783749">
        <w:t>at</w:t>
      </w:r>
      <w:r>
        <w:t xml:space="preserve"> </w:t>
      </w:r>
      <w:r w:rsidRPr="00783749">
        <w:t>the</w:t>
      </w:r>
      <w:r>
        <w:t xml:space="preserve"> </w:t>
      </w:r>
      <w:r w:rsidRPr="00783749">
        <w:t>following</w:t>
      </w:r>
      <w:r>
        <w:t xml:space="preserve"> </w:t>
      </w:r>
      <w:r w:rsidRPr="00783749">
        <w:t>link:</w:t>
      </w:r>
      <w:r>
        <w:t xml:space="preserve">  </w:t>
      </w:r>
      <w:r w:rsidRPr="00783749">
        <w:rPr>
          <w:u w:val="single"/>
        </w:rPr>
        <w:t>http://</w:t>
      </w:r>
      <w:hyperlink r:id="rId2" w:history="1">
        <w:r w:rsidRPr="00783749">
          <w:rPr>
            <w:rStyle w:val="Hyperlink"/>
            <w:color w:val="000000"/>
          </w:rPr>
          <w:t>ies.ed.gov/ncee/wwc/DocumentSum.aspx?sid=19</w:t>
        </w:r>
      </w:hyperlink>
      <w:r w:rsidRPr="00783749">
        <w:t>.</w:t>
      </w:r>
      <w:r>
        <w:t xml:space="preserve">  </w:t>
      </w:r>
    </w:p>
  </w:footnote>
  <w:footnote w:id="6">
    <w:p w:rsidR="00EA59C0" w:rsidRDefault="00EA59C0" w:rsidP="008826BE">
      <w:pPr>
        <w:rPr>
          <w:rFonts w:ascii="Courier New" w:hAnsi="Courier New" w:cs="Courier New"/>
          <w:sz w:val="20"/>
          <w:szCs w:val="20"/>
        </w:rPr>
      </w:pPr>
      <w:r w:rsidRPr="00783749">
        <w:rPr>
          <w:rStyle w:val="FootnoteReference"/>
          <w:sz w:val="20"/>
          <w:szCs w:val="20"/>
        </w:rPr>
        <w:t>[3]</w:t>
      </w:r>
      <w:r>
        <w:rPr>
          <w:sz w:val="20"/>
          <w:szCs w:val="20"/>
        </w:rPr>
        <w:t xml:space="preserve"> </w:t>
      </w:r>
      <w:r w:rsidRPr="00783749">
        <w:rPr>
          <w:snapToGrid w:val="0"/>
          <w:sz w:val="20"/>
          <w:szCs w:val="20"/>
        </w:rPr>
        <w:t>What</w:t>
      </w:r>
      <w:r>
        <w:rPr>
          <w:snapToGrid w:val="0"/>
          <w:sz w:val="20"/>
          <w:szCs w:val="20"/>
        </w:rPr>
        <w:t xml:space="preserve"> </w:t>
      </w:r>
      <w:r w:rsidRPr="00783749">
        <w:rPr>
          <w:snapToGrid w:val="0"/>
          <w:sz w:val="20"/>
          <w:szCs w:val="20"/>
        </w:rPr>
        <w:t>Works</w:t>
      </w:r>
      <w:r>
        <w:rPr>
          <w:snapToGrid w:val="0"/>
          <w:sz w:val="20"/>
          <w:szCs w:val="20"/>
        </w:rPr>
        <w:t xml:space="preserve"> </w:t>
      </w:r>
      <w:r w:rsidRPr="00783749">
        <w:rPr>
          <w:snapToGrid w:val="0"/>
          <w:sz w:val="20"/>
          <w:szCs w:val="20"/>
        </w:rPr>
        <w:t>Clearinghouse</w:t>
      </w:r>
      <w:r>
        <w:rPr>
          <w:snapToGrid w:val="0"/>
          <w:sz w:val="20"/>
          <w:szCs w:val="20"/>
        </w:rPr>
        <w:t xml:space="preserve"> </w:t>
      </w:r>
      <w:r w:rsidRPr="00783749">
        <w:rPr>
          <w:snapToGrid w:val="0"/>
          <w:sz w:val="20"/>
          <w:szCs w:val="20"/>
        </w:rPr>
        <w:t>Procedures</w:t>
      </w:r>
      <w:r>
        <w:rPr>
          <w:snapToGrid w:val="0"/>
          <w:sz w:val="20"/>
          <w:szCs w:val="20"/>
        </w:rPr>
        <w:t xml:space="preserve"> </w:t>
      </w:r>
      <w:r w:rsidRPr="00783749">
        <w:rPr>
          <w:snapToGrid w:val="0"/>
          <w:sz w:val="20"/>
          <w:szCs w:val="20"/>
        </w:rPr>
        <w:t>and</w:t>
      </w:r>
      <w:r>
        <w:rPr>
          <w:snapToGrid w:val="0"/>
          <w:sz w:val="20"/>
          <w:szCs w:val="20"/>
        </w:rPr>
        <w:t xml:space="preserve"> </w:t>
      </w:r>
      <w:r w:rsidRPr="00783749">
        <w:rPr>
          <w:snapToGrid w:val="0"/>
          <w:sz w:val="20"/>
          <w:szCs w:val="20"/>
        </w:rPr>
        <w:t>Standards</w:t>
      </w:r>
      <w:r>
        <w:rPr>
          <w:snapToGrid w:val="0"/>
          <w:sz w:val="20"/>
          <w:szCs w:val="20"/>
        </w:rPr>
        <w:t xml:space="preserve"> </w:t>
      </w:r>
      <w:r w:rsidRPr="00783749">
        <w:rPr>
          <w:snapToGrid w:val="0"/>
          <w:sz w:val="20"/>
          <w:szCs w:val="20"/>
        </w:rPr>
        <w:t>Handbook</w:t>
      </w:r>
      <w:r>
        <w:rPr>
          <w:snapToGrid w:val="0"/>
          <w:sz w:val="20"/>
          <w:szCs w:val="20"/>
        </w:rPr>
        <w:t xml:space="preserve"> </w:t>
      </w:r>
      <w:r w:rsidRPr="00783749">
        <w:rPr>
          <w:snapToGrid w:val="0"/>
          <w:sz w:val="20"/>
          <w:szCs w:val="20"/>
        </w:rPr>
        <w:t>(Version</w:t>
      </w:r>
      <w:r>
        <w:rPr>
          <w:snapToGrid w:val="0"/>
          <w:sz w:val="20"/>
          <w:szCs w:val="20"/>
        </w:rPr>
        <w:t xml:space="preserve"> </w:t>
      </w:r>
      <w:r w:rsidRPr="00783749">
        <w:rPr>
          <w:snapToGrid w:val="0"/>
          <w:sz w:val="20"/>
          <w:szCs w:val="20"/>
        </w:rPr>
        <w:t>2.1,</w:t>
      </w:r>
      <w:r>
        <w:rPr>
          <w:snapToGrid w:val="0"/>
          <w:sz w:val="20"/>
          <w:szCs w:val="20"/>
        </w:rPr>
        <w:t xml:space="preserve"> </w:t>
      </w:r>
      <w:r w:rsidRPr="00783749">
        <w:rPr>
          <w:snapToGrid w:val="0"/>
          <w:sz w:val="20"/>
          <w:szCs w:val="20"/>
        </w:rPr>
        <w:t>September</w:t>
      </w:r>
      <w:r>
        <w:rPr>
          <w:snapToGrid w:val="0"/>
          <w:sz w:val="20"/>
          <w:szCs w:val="20"/>
        </w:rPr>
        <w:t xml:space="preserve"> </w:t>
      </w:r>
      <w:r w:rsidRPr="00783749">
        <w:rPr>
          <w:snapToGrid w:val="0"/>
          <w:sz w:val="20"/>
          <w:szCs w:val="20"/>
        </w:rPr>
        <w:t>2011),</w:t>
      </w:r>
      <w:r>
        <w:rPr>
          <w:snapToGrid w:val="0"/>
          <w:sz w:val="20"/>
          <w:szCs w:val="20"/>
        </w:rPr>
        <w:t xml:space="preserve"> </w:t>
      </w:r>
      <w:r w:rsidRPr="00783749">
        <w:rPr>
          <w:snapToGrid w:val="0"/>
          <w:sz w:val="20"/>
          <w:szCs w:val="20"/>
        </w:rPr>
        <w:t>which</w:t>
      </w:r>
      <w:r>
        <w:rPr>
          <w:snapToGrid w:val="0"/>
          <w:sz w:val="20"/>
          <w:szCs w:val="20"/>
        </w:rPr>
        <w:t xml:space="preserve"> </w:t>
      </w:r>
      <w:r w:rsidRPr="00783749">
        <w:rPr>
          <w:snapToGrid w:val="0"/>
          <w:sz w:val="20"/>
          <w:szCs w:val="20"/>
        </w:rPr>
        <w:t>can</w:t>
      </w:r>
      <w:r>
        <w:rPr>
          <w:snapToGrid w:val="0"/>
          <w:sz w:val="20"/>
          <w:szCs w:val="20"/>
        </w:rPr>
        <w:t xml:space="preserve"> </w:t>
      </w:r>
      <w:r w:rsidRPr="00783749">
        <w:rPr>
          <w:snapToGrid w:val="0"/>
          <w:sz w:val="20"/>
          <w:szCs w:val="20"/>
        </w:rPr>
        <w:t>currently</w:t>
      </w:r>
      <w:r>
        <w:rPr>
          <w:snapToGrid w:val="0"/>
          <w:sz w:val="20"/>
          <w:szCs w:val="20"/>
        </w:rPr>
        <w:t xml:space="preserve"> </w:t>
      </w:r>
      <w:r w:rsidRPr="00783749">
        <w:rPr>
          <w:snapToGrid w:val="0"/>
          <w:sz w:val="20"/>
          <w:szCs w:val="20"/>
        </w:rPr>
        <w:t>be</w:t>
      </w:r>
      <w:r>
        <w:rPr>
          <w:snapToGrid w:val="0"/>
          <w:sz w:val="20"/>
          <w:szCs w:val="20"/>
        </w:rPr>
        <w:t xml:space="preserve"> </w:t>
      </w:r>
      <w:r w:rsidRPr="00783749">
        <w:rPr>
          <w:snapToGrid w:val="0"/>
          <w:sz w:val="20"/>
          <w:szCs w:val="20"/>
        </w:rPr>
        <w:t>found</w:t>
      </w:r>
      <w:r>
        <w:rPr>
          <w:snapToGrid w:val="0"/>
          <w:sz w:val="20"/>
          <w:szCs w:val="20"/>
        </w:rPr>
        <w:t xml:space="preserve"> </w:t>
      </w:r>
      <w:r w:rsidRPr="00783749">
        <w:rPr>
          <w:snapToGrid w:val="0"/>
          <w:sz w:val="20"/>
          <w:szCs w:val="20"/>
        </w:rPr>
        <w:t>at</w:t>
      </w:r>
      <w:r>
        <w:rPr>
          <w:snapToGrid w:val="0"/>
          <w:sz w:val="20"/>
          <w:szCs w:val="20"/>
        </w:rPr>
        <w:t xml:space="preserve"> </w:t>
      </w:r>
      <w:r w:rsidRPr="00783749">
        <w:rPr>
          <w:snapToGrid w:val="0"/>
          <w:sz w:val="20"/>
          <w:szCs w:val="20"/>
        </w:rPr>
        <w:t>the</w:t>
      </w:r>
      <w:r>
        <w:rPr>
          <w:snapToGrid w:val="0"/>
          <w:sz w:val="20"/>
          <w:szCs w:val="20"/>
        </w:rPr>
        <w:t xml:space="preserve"> </w:t>
      </w:r>
      <w:r w:rsidRPr="00783749">
        <w:rPr>
          <w:snapToGrid w:val="0"/>
          <w:sz w:val="20"/>
          <w:szCs w:val="20"/>
        </w:rPr>
        <w:t>following</w:t>
      </w:r>
      <w:r>
        <w:rPr>
          <w:snapToGrid w:val="0"/>
          <w:sz w:val="20"/>
          <w:szCs w:val="20"/>
        </w:rPr>
        <w:t xml:space="preserve"> </w:t>
      </w:r>
      <w:r w:rsidRPr="00783749">
        <w:rPr>
          <w:snapToGrid w:val="0"/>
          <w:sz w:val="20"/>
          <w:szCs w:val="20"/>
        </w:rPr>
        <w:t>link:</w:t>
      </w:r>
      <w:r>
        <w:rPr>
          <w:snapToGrid w:val="0"/>
          <w:sz w:val="20"/>
          <w:szCs w:val="20"/>
        </w:rPr>
        <w:t xml:space="preserve">  </w:t>
      </w:r>
      <w:r w:rsidRPr="00783749">
        <w:rPr>
          <w:snapToGrid w:val="0"/>
          <w:sz w:val="20"/>
          <w:szCs w:val="20"/>
          <w:u w:val="single"/>
        </w:rPr>
        <w:t>http://</w:t>
      </w:r>
      <w:hyperlink r:id="rId3" w:history="1">
        <w:r w:rsidRPr="00783749">
          <w:rPr>
            <w:rStyle w:val="Hyperlink"/>
            <w:color w:val="000000"/>
            <w:sz w:val="20"/>
            <w:szCs w:val="20"/>
          </w:rPr>
          <w:t>ies.ed.gov/ncee/wwc/DocumentSum.aspx?sid=19</w:t>
        </w:r>
      </w:hyperlink>
      <w:r w:rsidRPr="00783749">
        <w:rPr>
          <w:snapToGrid w:val="0"/>
          <w:sz w:val="20"/>
          <w:szCs w:val="20"/>
        </w:rPr>
        <w:t>.</w:t>
      </w:r>
      <w:r>
        <w:rPr>
          <w:rFonts w:ascii="Courier New" w:hAnsi="Courier New" w:cs="Courier New"/>
          <w:snapToGrid w:val="0"/>
          <w:sz w:val="20"/>
          <w:szCs w:val="20"/>
        </w:rPr>
        <w:t xml:space="preserve">  </w:t>
      </w:r>
    </w:p>
  </w:footnote>
  <w:footnote w:id="7">
    <w:p w:rsidR="00EA59C0" w:rsidRDefault="00EA59C0" w:rsidP="008826BE">
      <w:pPr>
        <w:pStyle w:val="FootnoteText"/>
      </w:pPr>
      <w:r w:rsidRPr="006E6630">
        <w:rPr>
          <w:rStyle w:val="FootnoteReference"/>
        </w:rPr>
        <w:t>[4]</w:t>
      </w:r>
      <w:r>
        <w:t xml:space="preserve"> </w:t>
      </w:r>
      <w:r w:rsidRPr="006E6630">
        <w:t>What</w:t>
      </w:r>
      <w:r>
        <w:t xml:space="preserve"> </w:t>
      </w:r>
      <w:r w:rsidRPr="006E6630">
        <w:t>Works</w:t>
      </w:r>
      <w:r>
        <w:t xml:space="preserve"> </w:t>
      </w:r>
      <w:r w:rsidRPr="006E6630">
        <w:t>Clearinghouse</w:t>
      </w:r>
      <w:r>
        <w:t xml:space="preserve"> </w:t>
      </w:r>
      <w:r w:rsidRPr="006E6630">
        <w:t>Procedures</w:t>
      </w:r>
      <w:r>
        <w:t xml:space="preserve"> </w:t>
      </w:r>
      <w:r w:rsidRPr="006E6630">
        <w:t>and</w:t>
      </w:r>
      <w:r>
        <w:t xml:space="preserve"> </w:t>
      </w:r>
      <w:r w:rsidRPr="006E6630">
        <w:t>Standards</w:t>
      </w:r>
      <w:r>
        <w:t xml:space="preserve"> </w:t>
      </w:r>
      <w:r w:rsidRPr="006E6630">
        <w:t>Handbook</w:t>
      </w:r>
      <w:r>
        <w:t xml:space="preserve"> </w:t>
      </w:r>
      <w:r w:rsidRPr="006E6630">
        <w:t>(Version</w:t>
      </w:r>
      <w:r>
        <w:t xml:space="preserve"> </w:t>
      </w:r>
      <w:r w:rsidRPr="006E6630">
        <w:t>2.1,</w:t>
      </w:r>
      <w:r>
        <w:t xml:space="preserve"> </w:t>
      </w:r>
      <w:r w:rsidRPr="006E6630">
        <w:t>September</w:t>
      </w:r>
      <w:r>
        <w:t xml:space="preserve"> </w:t>
      </w:r>
      <w:r w:rsidRPr="006E6630">
        <w:t>2011),</w:t>
      </w:r>
      <w:r>
        <w:t xml:space="preserve"> </w:t>
      </w:r>
      <w:r w:rsidRPr="006E6630">
        <w:t>which</w:t>
      </w:r>
      <w:r>
        <w:t xml:space="preserve"> </w:t>
      </w:r>
      <w:r w:rsidRPr="006E6630">
        <w:t>can</w:t>
      </w:r>
      <w:r>
        <w:t xml:space="preserve"> </w:t>
      </w:r>
      <w:r w:rsidRPr="006E6630">
        <w:t>currently</w:t>
      </w:r>
      <w:r>
        <w:t xml:space="preserve"> </w:t>
      </w:r>
      <w:r w:rsidRPr="006E6630">
        <w:t>be</w:t>
      </w:r>
      <w:r>
        <w:t xml:space="preserve"> </w:t>
      </w:r>
      <w:r w:rsidRPr="006E6630">
        <w:t>found</w:t>
      </w:r>
      <w:r>
        <w:t xml:space="preserve"> </w:t>
      </w:r>
      <w:r w:rsidRPr="006E6630">
        <w:t>at</w:t>
      </w:r>
      <w:r>
        <w:t xml:space="preserve"> </w:t>
      </w:r>
      <w:r w:rsidRPr="006E6630">
        <w:t>the</w:t>
      </w:r>
      <w:r>
        <w:t xml:space="preserve"> </w:t>
      </w:r>
      <w:r w:rsidRPr="006E6630">
        <w:t>following</w:t>
      </w:r>
      <w:r>
        <w:t xml:space="preserve"> </w:t>
      </w:r>
      <w:r w:rsidRPr="006E6630">
        <w:t>link:</w:t>
      </w:r>
      <w:r>
        <w:t xml:space="preserve">  </w:t>
      </w:r>
      <w:r w:rsidRPr="006E6630">
        <w:rPr>
          <w:u w:val="single"/>
        </w:rPr>
        <w:t>http://</w:t>
      </w:r>
      <w:hyperlink r:id="rId4" w:history="1">
        <w:r w:rsidRPr="006E6630">
          <w:rPr>
            <w:rStyle w:val="Hyperlink"/>
            <w:color w:val="000000"/>
          </w:rPr>
          <w:t>ies.ed.gov/ncee/wwc/DocumentSum.aspx?sid=19</w:t>
        </w:r>
      </w:hyperlink>
      <w:r w:rsidRPr="006E6630">
        <w:t>.</w:t>
      </w:r>
      <w:r>
        <w:t xml:space="preserve">  </w:t>
      </w:r>
    </w:p>
    <w:p w:rsidR="00EA59C0" w:rsidRPr="006E6630" w:rsidRDefault="00EA59C0" w:rsidP="008826BE">
      <w:pPr>
        <w:pStyle w:val="FootnoteText"/>
      </w:pPr>
    </w:p>
  </w:footnote>
  <w:footnote w:id="8">
    <w:p w:rsidR="00EA59C0" w:rsidRPr="006E6630" w:rsidRDefault="00EA59C0" w:rsidP="008826BE">
      <w:pPr>
        <w:pStyle w:val="FootnoteText"/>
      </w:pPr>
      <w:r w:rsidRPr="006E6630">
        <w:rPr>
          <w:rStyle w:val="FootnoteReference"/>
        </w:rPr>
        <w:t>[5]</w:t>
      </w:r>
      <w:r>
        <w:t xml:space="preserve"> </w:t>
      </w:r>
      <w:r w:rsidRPr="006E6630">
        <w:t>What</w:t>
      </w:r>
      <w:r>
        <w:t xml:space="preserve"> </w:t>
      </w:r>
      <w:r w:rsidRPr="006E6630">
        <w:t>Works</w:t>
      </w:r>
      <w:r>
        <w:t xml:space="preserve"> </w:t>
      </w:r>
      <w:r w:rsidRPr="006E6630">
        <w:t>Clearinghouse</w:t>
      </w:r>
      <w:r>
        <w:t xml:space="preserve"> </w:t>
      </w:r>
      <w:r w:rsidRPr="006E6630">
        <w:t>Procedures</w:t>
      </w:r>
      <w:r>
        <w:t xml:space="preserve"> </w:t>
      </w:r>
      <w:r w:rsidRPr="006E6630">
        <w:t>and</w:t>
      </w:r>
      <w:r>
        <w:t xml:space="preserve"> </w:t>
      </w:r>
      <w:r w:rsidRPr="006E6630">
        <w:t>Standards</w:t>
      </w:r>
      <w:r>
        <w:t xml:space="preserve"> </w:t>
      </w:r>
      <w:r w:rsidRPr="006E6630">
        <w:t>Handbook</w:t>
      </w:r>
      <w:r>
        <w:t xml:space="preserve"> </w:t>
      </w:r>
      <w:r w:rsidRPr="006E6630">
        <w:t>(Version</w:t>
      </w:r>
      <w:r>
        <w:t xml:space="preserve"> </w:t>
      </w:r>
      <w:r w:rsidRPr="006E6630">
        <w:t>2.1,</w:t>
      </w:r>
      <w:r>
        <w:t xml:space="preserve"> </w:t>
      </w:r>
      <w:r w:rsidRPr="006E6630">
        <w:t>September</w:t>
      </w:r>
      <w:r>
        <w:t xml:space="preserve"> </w:t>
      </w:r>
      <w:r w:rsidRPr="006E6630">
        <w:t>2011),</w:t>
      </w:r>
      <w:r>
        <w:t xml:space="preserve"> </w:t>
      </w:r>
      <w:r w:rsidRPr="006E6630">
        <w:t>which</w:t>
      </w:r>
      <w:r>
        <w:t xml:space="preserve"> </w:t>
      </w:r>
      <w:r w:rsidRPr="006E6630">
        <w:t>can</w:t>
      </w:r>
      <w:r>
        <w:t xml:space="preserve"> </w:t>
      </w:r>
      <w:r w:rsidRPr="006E6630">
        <w:t>currently</w:t>
      </w:r>
      <w:r>
        <w:t xml:space="preserve"> </w:t>
      </w:r>
      <w:r w:rsidRPr="006E6630">
        <w:t>be</w:t>
      </w:r>
      <w:r>
        <w:t xml:space="preserve"> </w:t>
      </w:r>
      <w:r w:rsidRPr="006E6630">
        <w:t>found</w:t>
      </w:r>
      <w:r>
        <w:t xml:space="preserve"> </w:t>
      </w:r>
      <w:r w:rsidRPr="006E6630">
        <w:t>at</w:t>
      </w:r>
      <w:r>
        <w:t xml:space="preserve"> </w:t>
      </w:r>
      <w:r w:rsidRPr="006E6630">
        <w:t>the</w:t>
      </w:r>
      <w:r>
        <w:t xml:space="preserve"> </w:t>
      </w:r>
      <w:r w:rsidRPr="006E6630">
        <w:t>following</w:t>
      </w:r>
      <w:r>
        <w:t xml:space="preserve"> </w:t>
      </w:r>
      <w:r w:rsidRPr="006E6630">
        <w:t>link:</w:t>
      </w:r>
      <w:r>
        <w:t xml:space="preserve">  </w:t>
      </w:r>
      <w:r w:rsidRPr="006E6630">
        <w:rPr>
          <w:u w:val="single"/>
        </w:rPr>
        <w:t>http://</w:t>
      </w:r>
      <w:hyperlink r:id="rId5" w:history="1">
        <w:r w:rsidRPr="006E6630">
          <w:rPr>
            <w:rStyle w:val="Hyperlink"/>
            <w:color w:val="000000"/>
          </w:rPr>
          <w:t>ies.ed.gov/ncee/wwc/DocumentSum.aspx?sid=19</w:t>
        </w:r>
      </w:hyperlink>
      <w:r w:rsidRPr="006E6630">
        <w:t>.</w:t>
      </w:r>
      <w:r>
        <w:t xml:space="preserve">  </w:t>
      </w:r>
    </w:p>
  </w:footnote>
  <w:footnote w:id="9">
    <w:p w:rsidR="00EA59C0" w:rsidRDefault="00EA59C0" w:rsidP="008826BE">
      <w:pPr>
        <w:pStyle w:val="FootnoteText"/>
        <w:rPr>
          <w:rFonts w:ascii="Calibri" w:hAnsi="Calibri" w:cs="Calibri"/>
        </w:rPr>
      </w:pPr>
      <w:r w:rsidRPr="006E6630">
        <w:rPr>
          <w:rStyle w:val="FootnoteReference"/>
        </w:rPr>
        <w:t>[6]</w:t>
      </w:r>
      <w:r>
        <w:t xml:space="preserve"> </w:t>
      </w:r>
      <w:r w:rsidRPr="006E6630">
        <w:t>What</w:t>
      </w:r>
      <w:r>
        <w:t xml:space="preserve"> </w:t>
      </w:r>
      <w:r w:rsidRPr="006E6630">
        <w:t>Works</w:t>
      </w:r>
      <w:r>
        <w:t xml:space="preserve"> </w:t>
      </w:r>
      <w:r w:rsidRPr="006E6630">
        <w:t>Clearinghouse</w:t>
      </w:r>
      <w:r>
        <w:t xml:space="preserve"> </w:t>
      </w:r>
      <w:r w:rsidRPr="006E6630">
        <w:t>Procedures</w:t>
      </w:r>
      <w:r>
        <w:t xml:space="preserve"> </w:t>
      </w:r>
      <w:r w:rsidRPr="006E6630">
        <w:t>and</w:t>
      </w:r>
      <w:r>
        <w:t xml:space="preserve"> </w:t>
      </w:r>
      <w:r w:rsidRPr="006E6630">
        <w:t>Standards</w:t>
      </w:r>
      <w:r>
        <w:t xml:space="preserve"> </w:t>
      </w:r>
      <w:r w:rsidRPr="006E6630">
        <w:t>Handbook</w:t>
      </w:r>
      <w:r>
        <w:t xml:space="preserve"> </w:t>
      </w:r>
      <w:r w:rsidRPr="006E6630">
        <w:t>(Version</w:t>
      </w:r>
      <w:r>
        <w:t xml:space="preserve"> </w:t>
      </w:r>
      <w:r w:rsidRPr="006E6630">
        <w:t>2.1,</w:t>
      </w:r>
      <w:r>
        <w:t xml:space="preserve"> </w:t>
      </w:r>
      <w:r w:rsidRPr="006E6630">
        <w:t>September</w:t>
      </w:r>
      <w:r>
        <w:t xml:space="preserve"> </w:t>
      </w:r>
      <w:r w:rsidRPr="006E6630">
        <w:t>2011),</w:t>
      </w:r>
      <w:r>
        <w:t xml:space="preserve"> </w:t>
      </w:r>
      <w:r w:rsidRPr="006E6630">
        <w:t>which</w:t>
      </w:r>
      <w:r>
        <w:t xml:space="preserve"> </w:t>
      </w:r>
      <w:r w:rsidRPr="006E6630">
        <w:t>can</w:t>
      </w:r>
      <w:r>
        <w:t xml:space="preserve"> </w:t>
      </w:r>
      <w:r w:rsidRPr="006E6630">
        <w:t>currently</w:t>
      </w:r>
      <w:r>
        <w:t xml:space="preserve"> </w:t>
      </w:r>
      <w:r w:rsidRPr="006E6630">
        <w:t>be</w:t>
      </w:r>
      <w:r>
        <w:t xml:space="preserve"> </w:t>
      </w:r>
      <w:r w:rsidRPr="006E6630">
        <w:t>found</w:t>
      </w:r>
      <w:r>
        <w:t xml:space="preserve"> </w:t>
      </w:r>
      <w:r w:rsidRPr="006E6630">
        <w:t>at</w:t>
      </w:r>
      <w:r>
        <w:t xml:space="preserve"> </w:t>
      </w:r>
      <w:r w:rsidRPr="006E6630">
        <w:t>the</w:t>
      </w:r>
      <w:r>
        <w:t xml:space="preserve"> </w:t>
      </w:r>
      <w:r w:rsidRPr="006E6630">
        <w:t>following</w:t>
      </w:r>
      <w:r>
        <w:t xml:space="preserve"> </w:t>
      </w:r>
      <w:r w:rsidRPr="006E6630">
        <w:t>link:</w:t>
      </w:r>
      <w:r>
        <w:t xml:space="preserve">  </w:t>
      </w:r>
      <w:r w:rsidRPr="006E6630">
        <w:rPr>
          <w:u w:val="single"/>
        </w:rPr>
        <w:t>http://</w:t>
      </w:r>
      <w:hyperlink r:id="rId6" w:history="1">
        <w:r w:rsidRPr="006E6630">
          <w:rPr>
            <w:rStyle w:val="Hyperlink"/>
            <w:color w:val="000000"/>
          </w:rPr>
          <w:t>ies.ed.gov/ncee/wwc/DocumentSum.aspx?sid=19</w:t>
        </w:r>
      </w:hyperlink>
      <w:r w:rsidRPr="006E6630">
        <w:t>.</w:t>
      </w:r>
      <w:r>
        <w:rPr>
          <w:rFonts w:ascii="Courier New" w:hAnsi="Courier New" w:cs="Courier New"/>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CD3"/>
    <w:multiLevelType w:val="hybridMultilevel"/>
    <w:tmpl w:val="22709A7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A725DD"/>
    <w:multiLevelType w:val="hybridMultilevel"/>
    <w:tmpl w:val="4100EDF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83577EB"/>
    <w:multiLevelType w:val="hybridMultilevel"/>
    <w:tmpl w:val="B8D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A503F"/>
    <w:multiLevelType w:val="multilevel"/>
    <w:tmpl w:val="94809680"/>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right"/>
      <w:pPr>
        <w:ind w:left="1440" w:hanging="360"/>
      </w:pPr>
      <w:rPr>
        <w:rFonts w:hint="default"/>
      </w:rPr>
    </w:lvl>
    <w:lvl w:ilvl="3">
      <w:start w:val="1"/>
      <w:numFmt w:val="lowerLetter"/>
      <w:lvlText w:val="%4."/>
      <w:lvlJc w:val="left"/>
      <w:pPr>
        <w:ind w:left="720" w:firstLine="360"/>
      </w:pPr>
      <w:rPr>
        <w:rFonts w:hint="default"/>
      </w:rPr>
    </w:lvl>
    <w:lvl w:ilvl="4">
      <w:start w:val="1"/>
      <w:numFmt w:val="decimal"/>
      <w:lvlText w:val="(%5)"/>
      <w:lvlJc w:val="left"/>
      <w:pPr>
        <w:ind w:left="2160" w:hanging="360"/>
      </w:pPr>
      <w:rPr>
        <w:rFonts w:hint="default"/>
      </w:rPr>
    </w:lvl>
    <w:lvl w:ilvl="5">
      <w:start w:val="1"/>
      <w:numFmt w:val="lowerLetter"/>
      <w:lvlText w:val="(%6)"/>
      <w:lvlJc w:val="right"/>
      <w:pPr>
        <w:ind w:left="3240" w:hanging="360"/>
      </w:pPr>
      <w:rPr>
        <w:rFonts w:hint="default"/>
      </w:rPr>
    </w:lvl>
    <w:lvl w:ilvl="6">
      <w:start w:val="1"/>
      <w:numFmt w:val="lowerRoman"/>
      <w:lvlText w:val="%7."/>
      <w:lvlJc w:val="left"/>
      <w:pPr>
        <w:ind w:left="3600" w:hanging="360"/>
      </w:pPr>
      <w:rPr>
        <w:rFonts w:hint="default"/>
      </w:rPr>
    </w:lvl>
    <w:lvl w:ilvl="7">
      <w:start w:val="1"/>
      <w:numFmt w:val="lowerLetter"/>
      <w:lvlText w:val="(%8a)"/>
      <w:lvlJc w:val="left"/>
      <w:pPr>
        <w:ind w:left="3960" w:hanging="360"/>
      </w:pPr>
      <w:rPr>
        <w:rFonts w:hint="default"/>
      </w:rPr>
    </w:lvl>
    <w:lvl w:ilvl="8">
      <w:start w:val="1"/>
      <w:numFmt w:val="bullet"/>
      <w:lvlText w:val=""/>
      <w:lvlJc w:val="left"/>
      <w:pPr>
        <w:ind w:left="4680" w:hanging="360"/>
      </w:pPr>
      <w:rPr>
        <w:rFonts w:ascii="Symbol" w:hAnsi="Symbol" w:hint="default"/>
        <w:color w:val="auto"/>
      </w:rPr>
    </w:lvl>
  </w:abstractNum>
  <w:abstractNum w:abstractNumId="4">
    <w:nsid w:val="0BD948B2"/>
    <w:multiLevelType w:val="hybridMultilevel"/>
    <w:tmpl w:val="DF10F06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E7C553A"/>
    <w:multiLevelType w:val="hybridMultilevel"/>
    <w:tmpl w:val="C596B7FA"/>
    <w:lvl w:ilvl="0" w:tplc="9E744C6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7B03D4"/>
    <w:multiLevelType w:val="hybridMultilevel"/>
    <w:tmpl w:val="25A0F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CF1AB9"/>
    <w:multiLevelType w:val="hybridMultilevel"/>
    <w:tmpl w:val="4BAA4D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0E07BF"/>
    <w:multiLevelType w:val="hybridMultilevel"/>
    <w:tmpl w:val="CBE0D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1AC1B75"/>
    <w:multiLevelType w:val="hybridMultilevel"/>
    <w:tmpl w:val="D7E03DB2"/>
    <w:lvl w:ilvl="0" w:tplc="58087DBC">
      <w:start w:val="1"/>
      <w:numFmt w:val="decimal"/>
      <w:lvlText w:val="%1."/>
      <w:lvlJc w:val="left"/>
      <w:pPr>
        <w:ind w:left="1440" w:hanging="360"/>
      </w:pPr>
      <w:rPr>
        <w:rFonts w:hint="default"/>
      </w:rPr>
    </w:lvl>
    <w:lvl w:ilvl="1" w:tplc="32E8386E">
      <w:start w:val="1"/>
      <w:numFmt w:val="upperRoman"/>
      <w:lvlText w:val="%2."/>
      <w:lvlJc w:val="left"/>
      <w:pPr>
        <w:ind w:left="2520" w:hanging="720"/>
      </w:pPr>
      <w:rPr>
        <w:rFonts w:hint="default"/>
      </w:rPr>
    </w:lvl>
    <w:lvl w:ilvl="2" w:tplc="58087DBC">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987893"/>
    <w:multiLevelType w:val="hybridMultilevel"/>
    <w:tmpl w:val="7158B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71C2F5A"/>
    <w:multiLevelType w:val="hybridMultilevel"/>
    <w:tmpl w:val="CC522106"/>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311FA0"/>
    <w:multiLevelType w:val="hybridMultilevel"/>
    <w:tmpl w:val="DAA6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817736"/>
    <w:multiLevelType w:val="hybridMultilevel"/>
    <w:tmpl w:val="49E8A5FC"/>
    <w:lvl w:ilvl="0" w:tplc="04090017">
      <w:start w:val="1"/>
      <w:numFmt w:val="lowerLetter"/>
      <w:lvlText w:val="%1)"/>
      <w:lvlJc w:val="left"/>
      <w:pPr>
        <w:ind w:left="720" w:hanging="360"/>
      </w:pPr>
    </w:lvl>
    <w:lvl w:ilvl="1" w:tplc="3918B0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C903DA"/>
    <w:multiLevelType w:val="hybridMultilevel"/>
    <w:tmpl w:val="187A86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8A1E43"/>
    <w:multiLevelType w:val="multilevel"/>
    <w:tmpl w:val="634A68B2"/>
    <w:styleLink w:val="TACT4SG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lowerLetter"/>
      <w:lvlText w:val="(a%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0B32859"/>
    <w:multiLevelType w:val="hybridMultilevel"/>
    <w:tmpl w:val="569650CE"/>
    <w:lvl w:ilvl="0" w:tplc="35405D2E">
      <w:start w:val="1"/>
      <w:numFmt w:val="decimal"/>
      <w:lvlText w:val="%1."/>
      <w:lvlJc w:val="left"/>
      <w:pPr>
        <w:tabs>
          <w:tab w:val="num" w:pos="684"/>
        </w:tabs>
        <w:ind w:left="68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7">
    <w:nsid w:val="238A284B"/>
    <w:multiLevelType w:val="hybridMultilevel"/>
    <w:tmpl w:val="955441AC"/>
    <w:lvl w:ilvl="0" w:tplc="B4B4D9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871BEB"/>
    <w:multiLevelType w:val="hybridMultilevel"/>
    <w:tmpl w:val="6A5CE6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B20206F"/>
    <w:multiLevelType w:val="hybridMultilevel"/>
    <w:tmpl w:val="587039D0"/>
    <w:lvl w:ilvl="0" w:tplc="9E744C62">
      <w:start w:val="1"/>
      <w:numFmt w:val="decimal"/>
      <w:lvlText w:val="(%1)"/>
      <w:lvlJc w:val="left"/>
      <w:pPr>
        <w:tabs>
          <w:tab w:val="num" w:pos="1440"/>
        </w:tabs>
        <w:ind w:left="1440" w:hanging="360"/>
      </w:pPr>
      <w:rPr>
        <w:rFonts w:cs="Times New Roman"/>
      </w:rPr>
    </w:lvl>
    <w:lvl w:ilvl="1" w:tplc="4E440D38">
      <w:start w:val="3"/>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2CBF54DC"/>
    <w:multiLevelType w:val="multilevel"/>
    <w:tmpl w:val="7FB0E6D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1">
    <w:nsid w:val="2D0545FA"/>
    <w:multiLevelType w:val="hybridMultilevel"/>
    <w:tmpl w:val="467432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DCB00DE"/>
    <w:multiLevelType w:val="hybridMultilevel"/>
    <w:tmpl w:val="76E25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E594A34"/>
    <w:multiLevelType w:val="hybridMultilevel"/>
    <w:tmpl w:val="375E95A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AD1EC7"/>
    <w:multiLevelType w:val="hybridMultilevel"/>
    <w:tmpl w:val="76F03F82"/>
    <w:lvl w:ilvl="0" w:tplc="04090001">
      <w:start w:val="1"/>
      <w:numFmt w:val="bullet"/>
      <w:lvlText w:val=""/>
      <w:lvlJc w:val="left"/>
      <w:pPr>
        <w:tabs>
          <w:tab w:val="num" w:pos="1080"/>
        </w:tabs>
        <w:ind w:left="1080" w:hanging="360"/>
      </w:pPr>
      <w:rPr>
        <w:rFonts w:ascii="Symbol" w:hAnsi="Symbol" w:hint="default"/>
      </w:rPr>
    </w:lvl>
    <w:lvl w:ilvl="1" w:tplc="E604BB56">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5385614"/>
    <w:multiLevelType w:val="hybridMultilevel"/>
    <w:tmpl w:val="09682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C582BCB"/>
    <w:multiLevelType w:val="hybridMultilevel"/>
    <w:tmpl w:val="01C655DE"/>
    <w:lvl w:ilvl="0" w:tplc="843A3A86">
      <w:start w:val="1"/>
      <w:numFmt w:val="decimal"/>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0C75D7F"/>
    <w:multiLevelType w:val="hybridMultilevel"/>
    <w:tmpl w:val="37FABA8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439C7CD0"/>
    <w:multiLevelType w:val="hybridMultilevel"/>
    <w:tmpl w:val="2BE45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3AA1828"/>
    <w:multiLevelType w:val="hybridMultilevel"/>
    <w:tmpl w:val="F66074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47FC40B3"/>
    <w:multiLevelType w:val="hybridMultilevel"/>
    <w:tmpl w:val="CB8418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48B80D22"/>
    <w:multiLevelType w:val="hybridMultilevel"/>
    <w:tmpl w:val="7786E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42384F"/>
    <w:multiLevelType w:val="hybridMultilevel"/>
    <w:tmpl w:val="8DFC75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A8E5F60"/>
    <w:multiLevelType w:val="hybridMultilevel"/>
    <w:tmpl w:val="FDAE87EA"/>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4">
    <w:nsid w:val="4B5E09BB"/>
    <w:multiLevelType w:val="hybridMultilevel"/>
    <w:tmpl w:val="26004BDA"/>
    <w:lvl w:ilvl="0" w:tplc="B2FAB99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2A66AA4"/>
    <w:multiLevelType w:val="hybridMultilevel"/>
    <w:tmpl w:val="21A41820"/>
    <w:lvl w:ilvl="0" w:tplc="04090017">
      <w:start w:val="1"/>
      <w:numFmt w:val="lowerLetter"/>
      <w:lvlText w:val="%1)"/>
      <w:lvlJc w:val="left"/>
      <w:pPr>
        <w:ind w:left="1020" w:hanging="360"/>
      </w:pPr>
    </w:lvl>
    <w:lvl w:ilvl="1" w:tplc="04090017">
      <w:start w:val="1"/>
      <w:numFmt w:val="lowerLetter"/>
      <w:lvlText w:val="%2)"/>
      <w:lvlJc w:val="left"/>
      <w:pPr>
        <w:ind w:left="1740" w:hanging="360"/>
      </w:pPr>
    </w:lvl>
    <w:lvl w:ilvl="2" w:tplc="4A065D7A">
      <w:start w:val="1"/>
      <w:numFmt w:val="decimal"/>
      <w:lvlText w:val="(%3)"/>
      <w:lvlJc w:val="left"/>
      <w:pPr>
        <w:ind w:left="2685" w:hanging="405"/>
      </w:pPr>
      <w:rPr>
        <w:rFonts w:hint="default"/>
      </w:r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6">
    <w:nsid w:val="553E6131"/>
    <w:multiLevelType w:val="hybridMultilevel"/>
    <w:tmpl w:val="B5DC4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B5517D7"/>
    <w:multiLevelType w:val="hybridMultilevel"/>
    <w:tmpl w:val="5B66C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nsid w:val="5CD0658D"/>
    <w:multiLevelType w:val="hybridMultilevel"/>
    <w:tmpl w:val="4B427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0090F72"/>
    <w:multiLevelType w:val="multilevel"/>
    <w:tmpl w:val="4566C2E2"/>
    <w:lvl w:ilvl="0">
      <w:start w:val="1"/>
      <w:numFmt w:val="lowerRoman"/>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Roman"/>
      <w:pStyle w:val="Heading5"/>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60363BD0"/>
    <w:multiLevelType w:val="multilevel"/>
    <w:tmpl w:val="90C43E5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0D175DC"/>
    <w:multiLevelType w:val="hybridMultilevel"/>
    <w:tmpl w:val="7FC07E06"/>
    <w:lvl w:ilvl="0" w:tplc="04090001">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5">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61677958"/>
    <w:multiLevelType w:val="hybridMultilevel"/>
    <w:tmpl w:val="51127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2E4900"/>
    <w:multiLevelType w:val="hybridMultilevel"/>
    <w:tmpl w:val="81A4DA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nsid w:val="64892D95"/>
    <w:multiLevelType w:val="hybridMultilevel"/>
    <w:tmpl w:val="4876374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20F84E10">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4E3CC1"/>
    <w:multiLevelType w:val="hybridMultilevel"/>
    <w:tmpl w:val="D25223EE"/>
    <w:lvl w:ilvl="0" w:tplc="DEEA463A">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D74AE8"/>
    <w:multiLevelType w:val="hybridMultilevel"/>
    <w:tmpl w:val="37481B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nsid w:val="73584CD3"/>
    <w:multiLevelType w:val="hybridMultilevel"/>
    <w:tmpl w:val="115C445E"/>
    <w:lvl w:ilvl="0" w:tplc="04090001">
      <w:start w:val="1"/>
      <w:numFmt w:val="bullet"/>
      <w:lvlText w:val=""/>
      <w:lvlJc w:val="left"/>
      <w:pPr>
        <w:ind w:left="1440" w:hanging="360"/>
      </w:pPr>
      <w:rPr>
        <w:rFonts w:ascii="Symbol" w:hAnsi="Symbol" w:hint="default"/>
      </w:rPr>
    </w:lvl>
    <w:lvl w:ilvl="1" w:tplc="E604BB56">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3DC02A4"/>
    <w:multiLevelType w:val="multilevel"/>
    <w:tmpl w:val="7300369C"/>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78825406"/>
    <w:multiLevelType w:val="hybridMultilevel"/>
    <w:tmpl w:val="879E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EE610A"/>
    <w:multiLevelType w:val="hybridMultilevel"/>
    <w:tmpl w:val="B9E06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7B7469BE"/>
    <w:multiLevelType w:val="hybridMultilevel"/>
    <w:tmpl w:val="D1A65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BA113B7"/>
    <w:multiLevelType w:val="hybridMultilevel"/>
    <w:tmpl w:val="FDF65EC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7BE13B9F"/>
    <w:multiLevelType w:val="hybridMultilevel"/>
    <w:tmpl w:val="1A6C10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4">
    <w:nsid w:val="7E125AA6"/>
    <w:multiLevelType w:val="hybridMultilevel"/>
    <w:tmpl w:val="0930E508"/>
    <w:lvl w:ilvl="0" w:tplc="6C069868">
      <w:start w:val="1"/>
      <w:numFmt w:val="lowerRoman"/>
      <w:lvlText w:val="%1."/>
      <w:lvlJc w:val="left"/>
      <w:pPr>
        <w:ind w:left="1080" w:hanging="720"/>
      </w:pPr>
      <w:rPr>
        <w:rFonts w:hint="default"/>
      </w:rPr>
    </w:lvl>
    <w:lvl w:ilvl="1" w:tplc="022A7184">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AFC6DF2E">
      <w:start w:val="1"/>
      <w:numFmt w:val="upperLetter"/>
      <w:lvlText w:val="%5."/>
      <w:lvlJc w:val="left"/>
      <w:pPr>
        <w:ind w:left="3600" w:hanging="360"/>
      </w:pPr>
      <w:rPr>
        <w:rFonts w:hint="default"/>
      </w:rPr>
    </w:lvl>
    <w:lvl w:ilvl="5" w:tplc="C1601734">
      <w:start w:val="3"/>
      <w:numFmt w:val="lowerLetter"/>
      <w:lvlText w:val="(%6)"/>
      <w:lvlJc w:val="left"/>
      <w:pPr>
        <w:ind w:left="4500" w:hanging="360"/>
      </w:pPr>
      <w:rPr>
        <w:rFonts w:hint="default"/>
      </w:rPr>
    </w:lvl>
    <w:lvl w:ilvl="6" w:tplc="E5FC75F2">
      <w:start w:val="8"/>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182950"/>
    <w:multiLevelType w:val="hybridMultilevel"/>
    <w:tmpl w:val="4F10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F541400"/>
    <w:multiLevelType w:val="hybridMultilevel"/>
    <w:tmpl w:val="D0A00206"/>
    <w:lvl w:ilvl="0" w:tplc="86968806">
      <w:start w:val="1"/>
      <w:numFmt w:val="upperLetter"/>
      <w:pStyle w:val="Heading2"/>
      <w:lvlText w:val="%1."/>
      <w:lvlJc w:val="left"/>
      <w:pPr>
        <w:tabs>
          <w:tab w:val="num" w:pos="1080"/>
        </w:tabs>
        <w:ind w:left="1080" w:hanging="360"/>
      </w:pPr>
      <w:rPr>
        <w:rFonts w:ascii="Palatino Linotype" w:hAnsi="Palatino Linotype" w:cs="Times New Roman" w:hint="default"/>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9"/>
  </w:num>
  <w:num w:numId="2">
    <w:abstractNumId w:val="56"/>
  </w:num>
  <w:num w:numId="3">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6"/>
  </w:num>
  <w:num w:numId="6">
    <w:abstractNumId w:val="5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2"/>
  </w:num>
  <w:num w:numId="10">
    <w:abstractNumId w:val="31"/>
  </w:num>
  <w:num w:numId="11">
    <w:abstractNumId w:val="4"/>
  </w:num>
  <w:num w:numId="12">
    <w:abstractNumId w:val="46"/>
  </w:num>
  <w:num w:numId="13">
    <w:abstractNumId w:val="45"/>
  </w:num>
  <w:num w:numId="14">
    <w:abstractNumId w:val="28"/>
  </w:num>
  <w:num w:numId="15">
    <w:abstractNumId w:val="5"/>
  </w:num>
  <w:num w:numId="16">
    <w:abstractNumId w:val="10"/>
  </w:num>
  <w:num w:numId="17">
    <w:abstractNumId w:val="48"/>
  </w:num>
  <w:num w:numId="18">
    <w:abstractNumId w:val="15"/>
  </w:num>
  <w:num w:numId="19">
    <w:abstractNumId w:val="33"/>
  </w:num>
  <w:num w:numId="20">
    <w:abstractNumId w:val="7"/>
  </w:num>
  <w:num w:numId="21">
    <w:abstractNumId w:val="50"/>
  </w:num>
  <w:num w:numId="22">
    <w:abstractNumId w:val="29"/>
  </w:num>
  <w:num w:numId="23">
    <w:abstractNumId w:val="1"/>
  </w:num>
  <w:num w:numId="24">
    <w:abstractNumId w:val="43"/>
  </w:num>
  <w:num w:numId="25">
    <w:abstractNumId w:val="53"/>
  </w:num>
  <w:num w:numId="26">
    <w:abstractNumId w:val="12"/>
  </w:num>
  <w:num w:numId="27">
    <w:abstractNumId w:val="55"/>
  </w:num>
  <w:num w:numId="28">
    <w:abstractNumId w:val="27"/>
  </w:num>
  <w:num w:numId="29">
    <w:abstractNumId w:val="30"/>
  </w:num>
  <w:num w:numId="30">
    <w:abstractNumId w:val="52"/>
  </w:num>
  <w:num w:numId="31">
    <w:abstractNumId w:val="23"/>
  </w:num>
  <w:num w:numId="32">
    <w:abstractNumId w:val="0"/>
  </w:num>
  <w:num w:numId="33">
    <w:abstractNumId w:val="3"/>
  </w:num>
  <w:num w:numId="34">
    <w:abstractNumId w:val="37"/>
  </w:num>
  <w:num w:numId="35">
    <w:abstractNumId w:val="14"/>
  </w:num>
  <w:num w:numId="36">
    <w:abstractNumId w:val="20"/>
  </w:num>
  <w:num w:numId="37">
    <w:abstractNumId w:val="17"/>
  </w:num>
  <w:num w:numId="38">
    <w:abstractNumId w:val="42"/>
  </w:num>
  <w:num w:numId="39">
    <w:abstractNumId w:val="8"/>
  </w:num>
  <w:num w:numId="40">
    <w:abstractNumId w:val="36"/>
  </w:num>
  <w:num w:numId="41">
    <w:abstractNumId w:val="24"/>
  </w:num>
  <w:num w:numId="42">
    <w:abstractNumId w:val="51"/>
  </w:num>
  <w:num w:numId="43">
    <w:abstractNumId w:val="38"/>
  </w:num>
  <w:num w:numId="44">
    <w:abstractNumId w:val="41"/>
  </w:num>
  <w:num w:numId="45">
    <w:abstractNumId w:val="40"/>
  </w:num>
  <w:num w:numId="46">
    <w:abstractNumId w:val="2"/>
  </w:num>
  <w:num w:numId="47">
    <w:abstractNumId w:val="18"/>
  </w:num>
  <w:num w:numId="48">
    <w:abstractNumId w:val="13"/>
  </w:num>
  <w:num w:numId="49">
    <w:abstractNumId w:val="44"/>
  </w:num>
  <w:num w:numId="50">
    <w:abstractNumId w:val="35"/>
  </w:num>
  <w:num w:numId="51">
    <w:abstractNumId w:val="9"/>
  </w:num>
  <w:num w:numId="52">
    <w:abstractNumId w:val="49"/>
  </w:num>
  <w:num w:numId="53">
    <w:abstractNumId w:val="6"/>
  </w:num>
  <w:num w:numId="54">
    <w:abstractNumId w:val="34"/>
  </w:num>
  <w:num w:numId="55">
    <w:abstractNumId w:val="25"/>
  </w:num>
  <w:num w:numId="56">
    <w:abstractNumId w:val="47"/>
  </w:num>
  <w:num w:numId="57">
    <w:abstractNumId w:val="21"/>
  </w:num>
  <w:num w:numId="58">
    <w:abstractNumId w:val="56"/>
  </w:num>
  <w:num w:numId="59">
    <w:abstractNumId w:val="56"/>
  </w:num>
  <w:num w:numId="60">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0EAE"/>
    <w:rsid w:val="0000137E"/>
    <w:rsid w:val="00001F4A"/>
    <w:rsid w:val="00002631"/>
    <w:rsid w:val="00002760"/>
    <w:rsid w:val="000029A9"/>
    <w:rsid w:val="00003E29"/>
    <w:rsid w:val="00005AA0"/>
    <w:rsid w:val="00005B09"/>
    <w:rsid w:val="00006012"/>
    <w:rsid w:val="000101A3"/>
    <w:rsid w:val="00010516"/>
    <w:rsid w:val="00010D62"/>
    <w:rsid w:val="00010F26"/>
    <w:rsid w:val="000121F3"/>
    <w:rsid w:val="000122E5"/>
    <w:rsid w:val="0001299C"/>
    <w:rsid w:val="00012EB6"/>
    <w:rsid w:val="000137DA"/>
    <w:rsid w:val="00013CF4"/>
    <w:rsid w:val="00013D52"/>
    <w:rsid w:val="0001525D"/>
    <w:rsid w:val="00015F81"/>
    <w:rsid w:val="00017A9D"/>
    <w:rsid w:val="00020A03"/>
    <w:rsid w:val="00020EF8"/>
    <w:rsid w:val="00021F7E"/>
    <w:rsid w:val="000221D3"/>
    <w:rsid w:val="0002363B"/>
    <w:rsid w:val="000247C6"/>
    <w:rsid w:val="00024AC8"/>
    <w:rsid w:val="00024D95"/>
    <w:rsid w:val="0002552C"/>
    <w:rsid w:val="0002554A"/>
    <w:rsid w:val="0002591C"/>
    <w:rsid w:val="00027B29"/>
    <w:rsid w:val="00031163"/>
    <w:rsid w:val="00033715"/>
    <w:rsid w:val="00033F22"/>
    <w:rsid w:val="000350EC"/>
    <w:rsid w:val="000359F7"/>
    <w:rsid w:val="000360E1"/>
    <w:rsid w:val="0003659D"/>
    <w:rsid w:val="00036C8D"/>
    <w:rsid w:val="00036EC0"/>
    <w:rsid w:val="00037AAC"/>
    <w:rsid w:val="000400F3"/>
    <w:rsid w:val="000407B6"/>
    <w:rsid w:val="00040FB7"/>
    <w:rsid w:val="0004200D"/>
    <w:rsid w:val="00042754"/>
    <w:rsid w:val="00043444"/>
    <w:rsid w:val="000439FE"/>
    <w:rsid w:val="00043CEF"/>
    <w:rsid w:val="00044607"/>
    <w:rsid w:val="000466AC"/>
    <w:rsid w:val="00046D95"/>
    <w:rsid w:val="00046E68"/>
    <w:rsid w:val="00047422"/>
    <w:rsid w:val="00053431"/>
    <w:rsid w:val="000536D2"/>
    <w:rsid w:val="00054590"/>
    <w:rsid w:val="00054789"/>
    <w:rsid w:val="00055645"/>
    <w:rsid w:val="00055B02"/>
    <w:rsid w:val="000569D5"/>
    <w:rsid w:val="0005744C"/>
    <w:rsid w:val="0005791D"/>
    <w:rsid w:val="00057CC9"/>
    <w:rsid w:val="000604C5"/>
    <w:rsid w:val="000612E7"/>
    <w:rsid w:val="0006152A"/>
    <w:rsid w:val="000618E4"/>
    <w:rsid w:val="00062BB4"/>
    <w:rsid w:val="00062FB7"/>
    <w:rsid w:val="000632A1"/>
    <w:rsid w:val="0006347D"/>
    <w:rsid w:val="00063C68"/>
    <w:rsid w:val="000642D9"/>
    <w:rsid w:val="000643C1"/>
    <w:rsid w:val="000643DC"/>
    <w:rsid w:val="0006522C"/>
    <w:rsid w:val="00066412"/>
    <w:rsid w:val="00071C8E"/>
    <w:rsid w:val="00074713"/>
    <w:rsid w:val="0007563D"/>
    <w:rsid w:val="00075FCC"/>
    <w:rsid w:val="0007608C"/>
    <w:rsid w:val="00076399"/>
    <w:rsid w:val="00076D1D"/>
    <w:rsid w:val="00077139"/>
    <w:rsid w:val="0007778E"/>
    <w:rsid w:val="00080097"/>
    <w:rsid w:val="00080940"/>
    <w:rsid w:val="000813F5"/>
    <w:rsid w:val="000835FC"/>
    <w:rsid w:val="00083E75"/>
    <w:rsid w:val="00083F43"/>
    <w:rsid w:val="000854B0"/>
    <w:rsid w:val="0008580C"/>
    <w:rsid w:val="0008629B"/>
    <w:rsid w:val="00086528"/>
    <w:rsid w:val="00086F7C"/>
    <w:rsid w:val="000878E3"/>
    <w:rsid w:val="0009044A"/>
    <w:rsid w:val="00090885"/>
    <w:rsid w:val="00090BF1"/>
    <w:rsid w:val="0009110A"/>
    <w:rsid w:val="00092C9A"/>
    <w:rsid w:val="00092DA8"/>
    <w:rsid w:val="00093201"/>
    <w:rsid w:val="000942B7"/>
    <w:rsid w:val="000954A5"/>
    <w:rsid w:val="00095834"/>
    <w:rsid w:val="00095D5A"/>
    <w:rsid w:val="000974D5"/>
    <w:rsid w:val="000A084C"/>
    <w:rsid w:val="000A0888"/>
    <w:rsid w:val="000A16EB"/>
    <w:rsid w:val="000A19F1"/>
    <w:rsid w:val="000A2082"/>
    <w:rsid w:val="000A2CDE"/>
    <w:rsid w:val="000A3076"/>
    <w:rsid w:val="000A34E0"/>
    <w:rsid w:val="000A52C9"/>
    <w:rsid w:val="000A6F73"/>
    <w:rsid w:val="000A7173"/>
    <w:rsid w:val="000A7190"/>
    <w:rsid w:val="000B0042"/>
    <w:rsid w:val="000B08D0"/>
    <w:rsid w:val="000B174E"/>
    <w:rsid w:val="000B2A10"/>
    <w:rsid w:val="000B2B81"/>
    <w:rsid w:val="000B420C"/>
    <w:rsid w:val="000B501F"/>
    <w:rsid w:val="000B70B9"/>
    <w:rsid w:val="000B791F"/>
    <w:rsid w:val="000C005A"/>
    <w:rsid w:val="000C012A"/>
    <w:rsid w:val="000C03E2"/>
    <w:rsid w:val="000C0BF0"/>
    <w:rsid w:val="000C0EAC"/>
    <w:rsid w:val="000C1D0E"/>
    <w:rsid w:val="000C27C2"/>
    <w:rsid w:val="000C2B7D"/>
    <w:rsid w:val="000C2FE6"/>
    <w:rsid w:val="000C3192"/>
    <w:rsid w:val="000C3A47"/>
    <w:rsid w:val="000C4CBB"/>
    <w:rsid w:val="000C65B0"/>
    <w:rsid w:val="000C7488"/>
    <w:rsid w:val="000C787E"/>
    <w:rsid w:val="000D08A8"/>
    <w:rsid w:val="000D0AA6"/>
    <w:rsid w:val="000D0B5F"/>
    <w:rsid w:val="000D1996"/>
    <w:rsid w:val="000D1B24"/>
    <w:rsid w:val="000D212A"/>
    <w:rsid w:val="000D23AC"/>
    <w:rsid w:val="000D454C"/>
    <w:rsid w:val="000D526E"/>
    <w:rsid w:val="000D744B"/>
    <w:rsid w:val="000D7E7D"/>
    <w:rsid w:val="000E1639"/>
    <w:rsid w:val="000E191C"/>
    <w:rsid w:val="000E19F6"/>
    <w:rsid w:val="000E1CD6"/>
    <w:rsid w:val="000E29A8"/>
    <w:rsid w:val="000E3898"/>
    <w:rsid w:val="000E3D29"/>
    <w:rsid w:val="000E40CF"/>
    <w:rsid w:val="000E451A"/>
    <w:rsid w:val="000E48A6"/>
    <w:rsid w:val="000E51E4"/>
    <w:rsid w:val="000E5215"/>
    <w:rsid w:val="000E570B"/>
    <w:rsid w:val="000E5846"/>
    <w:rsid w:val="000E675A"/>
    <w:rsid w:val="000E77C9"/>
    <w:rsid w:val="000E7945"/>
    <w:rsid w:val="000E7DEA"/>
    <w:rsid w:val="000F0EDA"/>
    <w:rsid w:val="000F1CFC"/>
    <w:rsid w:val="000F1F1F"/>
    <w:rsid w:val="000F2BA6"/>
    <w:rsid w:val="000F3588"/>
    <w:rsid w:val="000F391F"/>
    <w:rsid w:val="000F48C6"/>
    <w:rsid w:val="000F4F84"/>
    <w:rsid w:val="000F5CDF"/>
    <w:rsid w:val="000F7DBC"/>
    <w:rsid w:val="001007C7"/>
    <w:rsid w:val="0010175D"/>
    <w:rsid w:val="00101E0F"/>
    <w:rsid w:val="00102052"/>
    <w:rsid w:val="00102080"/>
    <w:rsid w:val="00102EDA"/>
    <w:rsid w:val="00103366"/>
    <w:rsid w:val="00103985"/>
    <w:rsid w:val="00103C6B"/>
    <w:rsid w:val="001056B3"/>
    <w:rsid w:val="00105793"/>
    <w:rsid w:val="00110C6C"/>
    <w:rsid w:val="00111394"/>
    <w:rsid w:val="00112D42"/>
    <w:rsid w:val="00113E3F"/>
    <w:rsid w:val="00113E4E"/>
    <w:rsid w:val="00114287"/>
    <w:rsid w:val="001145DB"/>
    <w:rsid w:val="001148B7"/>
    <w:rsid w:val="00114F09"/>
    <w:rsid w:val="001154CE"/>
    <w:rsid w:val="00117108"/>
    <w:rsid w:val="00117249"/>
    <w:rsid w:val="001175B3"/>
    <w:rsid w:val="00117DD5"/>
    <w:rsid w:val="00120B64"/>
    <w:rsid w:val="001211BD"/>
    <w:rsid w:val="0012128F"/>
    <w:rsid w:val="00121662"/>
    <w:rsid w:val="001223DA"/>
    <w:rsid w:val="0012328A"/>
    <w:rsid w:val="00123D77"/>
    <w:rsid w:val="00123F64"/>
    <w:rsid w:val="001243A3"/>
    <w:rsid w:val="00125E0C"/>
    <w:rsid w:val="0012784D"/>
    <w:rsid w:val="00131F9A"/>
    <w:rsid w:val="0013437F"/>
    <w:rsid w:val="00135186"/>
    <w:rsid w:val="00135B0D"/>
    <w:rsid w:val="00136078"/>
    <w:rsid w:val="0013646D"/>
    <w:rsid w:val="00136A12"/>
    <w:rsid w:val="00137475"/>
    <w:rsid w:val="00137893"/>
    <w:rsid w:val="00137903"/>
    <w:rsid w:val="0014020C"/>
    <w:rsid w:val="001406EB"/>
    <w:rsid w:val="00140D92"/>
    <w:rsid w:val="001415E2"/>
    <w:rsid w:val="00142337"/>
    <w:rsid w:val="00143443"/>
    <w:rsid w:val="00143C67"/>
    <w:rsid w:val="00144DF0"/>
    <w:rsid w:val="001452D3"/>
    <w:rsid w:val="00145EC6"/>
    <w:rsid w:val="0014774E"/>
    <w:rsid w:val="00150AB3"/>
    <w:rsid w:val="001516F8"/>
    <w:rsid w:val="001531E7"/>
    <w:rsid w:val="001536C8"/>
    <w:rsid w:val="0015384F"/>
    <w:rsid w:val="00153EE8"/>
    <w:rsid w:val="001548D7"/>
    <w:rsid w:val="0015531E"/>
    <w:rsid w:val="0015584F"/>
    <w:rsid w:val="00155DA7"/>
    <w:rsid w:val="0015671B"/>
    <w:rsid w:val="00157443"/>
    <w:rsid w:val="00157918"/>
    <w:rsid w:val="00157A32"/>
    <w:rsid w:val="00160178"/>
    <w:rsid w:val="00160EC9"/>
    <w:rsid w:val="00161054"/>
    <w:rsid w:val="0016198C"/>
    <w:rsid w:val="00163ED1"/>
    <w:rsid w:val="00164775"/>
    <w:rsid w:val="001647BB"/>
    <w:rsid w:val="00164BA8"/>
    <w:rsid w:val="001650C8"/>
    <w:rsid w:val="001652A5"/>
    <w:rsid w:val="0016551E"/>
    <w:rsid w:val="00165979"/>
    <w:rsid w:val="00165B51"/>
    <w:rsid w:val="00165F07"/>
    <w:rsid w:val="0016665E"/>
    <w:rsid w:val="0016719E"/>
    <w:rsid w:val="00167858"/>
    <w:rsid w:val="00167A90"/>
    <w:rsid w:val="0017127E"/>
    <w:rsid w:val="00171B24"/>
    <w:rsid w:val="00171E06"/>
    <w:rsid w:val="00173148"/>
    <w:rsid w:val="00173227"/>
    <w:rsid w:val="001735E6"/>
    <w:rsid w:val="00173DD4"/>
    <w:rsid w:val="00174BC2"/>
    <w:rsid w:val="001756E8"/>
    <w:rsid w:val="00175E7B"/>
    <w:rsid w:val="00176802"/>
    <w:rsid w:val="001769E8"/>
    <w:rsid w:val="001771BC"/>
    <w:rsid w:val="00177AA0"/>
    <w:rsid w:val="00180C11"/>
    <w:rsid w:val="00181A58"/>
    <w:rsid w:val="00183251"/>
    <w:rsid w:val="00184F55"/>
    <w:rsid w:val="00185690"/>
    <w:rsid w:val="00185739"/>
    <w:rsid w:val="00186933"/>
    <w:rsid w:val="00186EB8"/>
    <w:rsid w:val="0019043B"/>
    <w:rsid w:val="00190AF7"/>
    <w:rsid w:val="001911E2"/>
    <w:rsid w:val="00191E19"/>
    <w:rsid w:val="0019346A"/>
    <w:rsid w:val="0019355D"/>
    <w:rsid w:val="001936B6"/>
    <w:rsid w:val="00193959"/>
    <w:rsid w:val="00193DE6"/>
    <w:rsid w:val="00197B9B"/>
    <w:rsid w:val="001A2E13"/>
    <w:rsid w:val="001A360F"/>
    <w:rsid w:val="001A3C16"/>
    <w:rsid w:val="001A4362"/>
    <w:rsid w:val="001A515D"/>
    <w:rsid w:val="001A5B94"/>
    <w:rsid w:val="001A6DBE"/>
    <w:rsid w:val="001A6F04"/>
    <w:rsid w:val="001A777E"/>
    <w:rsid w:val="001B053C"/>
    <w:rsid w:val="001B2AE0"/>
    <w:rsid w:val="001B31CD"/>
    <w:rsid w:val="001B432F"/>
    <w:rsid w:val="001B5059"/>
    <w:rsid w:val="001B53BB"/>
    <w:rsid w:val="001B62A6"/>
    <w:rsid w:val="001B64F9"/>
    <w:rsid w:val="001B6CDE"/>
    <w:rsid w:val="001B7A11"/>
    <w:rsid w:val="001B7E76"/>
    <w:rsid w:val="001C057E"/>
    <w:rsid w:val="001C2644"/>
    <w:rsid w:val="001C27A1"/>
    <w:rsid w:val="001C28D2"/>
    <w:rsid w:val="001C2901"/>
    <w:rsid w:val="001C31D0"/>
    <w:rsid w:val="001C3364"/>
    <w:rsid w:val="001C339E"/>
    <w:rsid w:val="001C4755"/>
    <w:rsid w:val="001C4FBE"/>
    <w:rsid w:val="001C59D3"/>
    <w:rsid w:val="001C5F62"/>
    <w:rsid w:val="001C63A5"/>
    <w:rsid w:val="001D00DF"/>
    <w:rsid w:val="001D0599"/>
    <w:rsid w:val="001D0790"/>
    <w:rsid w:val="001D07B1"/>
    <w:rsid w:val="001D0A05"/>
    <w:rsid w:val="001D16E8"/>
    <w:rsid w:val="001D1A7D"/>
    <w:rsid w:val="001D2B1E"/>
    <w:rsid w:val="001D2C0F"/>
    <w:rsid w:val="001D3181"/>
    <w:rsid w:val="001D3203"/>
    <w:rsid w:val="001D330D"/>
    <w:rsid w:val="001D3827"/>
    <w:rsid w:val="001D4292"/>
    <w:rsid w:val="001D4328"/>
    <w:rsid w:val="001D453B"/>
    <w:rsid w:val="001D4BCD"/>
    <w:rsid w:val="001D4C2B"/>
    <w:rsid w:val="001D4FDE"/>
    <w:rsid w:val="001D681C"/>
    <w:rsid w:val="001D68AB"/>
    <w:rsid w:val="001D6C21"/>
    <w:rsid w:val="001D7434"/>
    <w:rsid w:val="001D7911"/>
    <w:rsid w:val="001D7D59"/>
    <w:rsid w:val="001E0897"/>
    <w:rsid w:val="001E09D1"/>
    <w:rsid w:val="001E2552"/>
    <w:rsid w:val="001E28CE"/>
    <w:rsid w:val="001E2BD2"/>
    <w:rsid w:val="001E3946"/>
    <w:rsid w:val="001E3BCD"/>
    <w:rsid w:val="001E3BE5"/>
    <w:rsid w:val="001E3C93"/>
    <w:rsid w:val="001E3FBA"/>
    <w:rsid w:val="001E4C13"/>
    <w:rsid w:val="001E5F9C"/>
    <w:rsid w:val="001E65C1"/>
    <w:rsid w:val="001F017F"/>
    <w:rsid w:val="001F038F"/>
    <w:rsid w:val="001F2848"/>
    <w:rsid w:val="001F6F1B"/>
    <w:rsid w:val="001F6F1E"/>
    <w:rsid w:val="001F7510"/>
    <w:rsid w:val="001F7B02"/>
    <w:rsid w:val="002000CB"/>
    <w:rsid w:val="002014F6"/>
    <w:rsid w:val="0020191F"/>
    <w:rsid w:val="00201CDC"/>
    <w:rsid w:val="002024B3"/>
    <w:rsid w:val="002029D9"/>
    <w:rsid w:val="002034A0"/>
    <w:rsid w:val="00203E22"/>
    <w:rsid w:val="00205742"/>
    <w:rsid w:val="00205A9A"/>
    <w:rsid w:val="00206592"/>
    <w:rsid w:val="00206D7E"/>
    <w:rsid w:val="0021071E"/>
    <w:rsid w:val="002113CB"/>
    <w:rsid w:val="00211B58"/>
    <w:rsid w:val="002122A9"/>
    <w:rsid w:val="00212712"/>
    <w:rsid w:val="00212FFA"/>
    <w:rsid w:val="00213ABA"/>
    <w:rsid w:val="00213E0A"/>
    <w:rsid w:val="002154E8"/>
    <w:rsid w:val="00215864"/>
    <w:rsid w:val="00216361"/>
    <w:rsid w:val="00216A31"/>
    <w:rsid w:val="00217682"/>
    <w:rsid w:val="00217A32"/>
    <w:rsid w:val="00221B5D"/>
    <w:rsid w:val="00221D90"/>
    <w:rsid w:val="00222421"/>
    <w:rsid w:val="00223351"/>
    <w:rsid w:val="00225B20"/>
    <w:rsid w:val="002262A7"/>
    <w:rsid w:val="002262D7"/>
    <w:rsid w:val="00227C00"/>
    <w:rsid w:val="00230836"/>
    <w:rsid w:val="00230D68"/>
    <w:rsid w:val="002310DA"/>
    <w:rsid w:val="002310FD"/>
    <w:rsid w:val="002319A5"/>
    <w:rsid w:val="002344FB"/>
    <w:rsid w:val="0023450E"/>
    <w:rsid w:val="00234E50"/>
    <w:rsid w:val="002363EB"/>
    <w:rsid w:val="00240D1A"/>
    <w:rsid w:val="0024116A"/>
    <w:rsid w:val="00241C0A"/>
    <w:rsid w:val="00241D91"/>
    <w:rsid w:val="002422DD"/>
    <w:rsid w:val="002422FF"/>
    <w:rsid w:val="00242CBA"/>
    <w:rsid w:val="00242F4C"/>
    <w:rsid w:val="00243445"/>
    <w:rsid w:val="00243585"/>
    <w:rsid w:val="0024446D"/>
    <w:rsid w:val="00244693"/>
    <w:rsid w:val="00244763"/>
    <w:rsid w:val="00244E81"/>
    <w:rsid w:val="00245A7E"/>
    <w:rsid w:val="002475BB"/>
    <w:rsid w:val="00247709"/>
    <w:rsid w:val="00250AED"/>
    <w:rsid w:val="0025208A"/>
    <w:rsid w:val="002525C3"/>
    <w:rsid w:val="00252B6E"/>
    <w:rsid w:val="00252CF8"/>
    <w:rsid w:val="00253C37"/>
    <w:rsid w:val="00254DB4"/>
    <w:rsid w:val="00257ECE"/>
    <w:rsid w:val="0026016C"/>
    <w:rsid w:val="00260875"/>
    <w:rsid w:val="00260876"/>
    <w:rsid w:val="002622FA"/>
    <w:rsid w:val="002623E8"/>
    <w:rsid w:val="002630BC"/>
    <w:rsid w:val="00264D92"/>
    <w:rsid w:val="00265252"/>
    <w:rsid w:val="0026544C"/>
    <w:rsid w:val="00265529"/>
    <w:rsid w:val="00265645"/>
    <w:rsid w:val="00265A2E"/>
    <w:rsid w:val="00266B16"/>
    <w:rsid w:val="00266FDA"/>
    <w:rsid w:val="0026724D"/>
    <w:rsid w:val="00267C96"/>
    <w:rsid w:val="00270164"/>
    <w:rsid w:val="00270696"/>
    <w:rsid w:val="002713CB"/>
    <w:rsid w:val="0027303B"/>
    <w:rsid w:val="00274B41"/>
    <w:rsid w:val="00274D52"/>
    <w:rsid w:val="00275288"/>
    <w:rsid w:val="0027588D"/>
    <w:rsid w:val="00276967"/>
    <w:rsid w:val="00277635"/>
    <w:rsid w:val="00277AF8"/>
    <w:rsid w:val="0028008E"/>
    <w:rsid w:val="0028055D"/>
    <w:rsid w:val="0028056E"/>
    <w:rsid w:val="00280BE7"/>
    <w:rsid w:val="002812FF"/>
    <w:rsid w:val="00281CA2"/>
    <w:rsid w:val="00282E25"/>
    <w:rsid w:val="00282FD9"/>
    <w:rsid w:val="00283E3E"/>
    <w:rsid w:val="002844FF"/>
    <w:rsid w:val="00284C90"/>
    <w:rsid w:val="00284CFB"/>
    <w:rsid w:val="0028611F"/>
    <w:rsid w:val="00286753"/>
    <w:rsid w:val="002872C0"/>
    <w:rsid w:val="0029050B"/>
    <w:rsid w:val="0029080A"/>
    <w:rsid w:val="00290E74"/>
    <w:rsid w:val="002915AE"/>
    <w:rsid w:val="002917C1"/>
    <w:rsid w:val="0029245D"/>
    <w:rsid w:val="002933CE"/>
    <w:rsid w:val="0029348D"/>
    <w:rsid w:val="0029371C"/>
    <w:rsid w:val="00294571"/>
    <w:rsid w:val="0029629E"/>
    <w:rsid w:val="00296DC7"/>
    <w:rsid w:val="002972B4"/>
    <w:rsid w:val="00297F23"/>
    <w:rsid w:val="002A01B7"/>
    <w:rsid w:val="002A10B5"/>
    <w:rsid w:val="002A14F2"/>
    <w:rsid w:val="002A28E8"/>
    <w:rsid w:val="002A2D1D"/>
    <w:rsid w:val="002A2F23"/>
    <w:rsid w:val="002A4301"/>
    <w:rsid w:val="002A56B8"/>
    <w:rsid w:val="002A58FE"/>
    <w:rsid w:val="002A61C1"/>
    <w:rsid w:val="002A7A31"/>
    <w:rsid w:val="002A7A93"/>
    <w:rsid w:val="002B00A8"/>
    <w:rsid w:val="002B086C"/>
    <w:rsid w:val="002B0F2A"/>
    <w:rsid w:val="002B10FF"/>
    <w:rsid w:val="002B1C71"/>
    <w:rsid w:val="002B2B67"/>
    <w:rsid w:val="002B5B1C"/>
    <w:rsid w:val="002B5EE9"/>
    <w:rsid w:val="002B79D5"/>
    <w:rsid w:val="002B7D5B"/>
    <w:rsid w:val="002C0004"/>
    <w:rsid w:val="002C09EC"/>
    <w:rsid w:val="002C1138"/>
    <w:rsid w:val="002C14E3"/>
    <w:rsid w:val="002C1BA2"/>
    <w:rsid w:val="002C32BA"/>
    <w:rsid w:val="002C34BC"/>
    <w:rsid w:val="002C3C5B"/>
    <w:rsid w:val="002C4F4A"/>
    <w:rsid w:val="002C56D0"/>
    <w:rsid w:val="002C5A54"/>
    <w:rsid w:val="002C67CF"/>
    <w:rsid w:val="002C7410"/>
    <w:rsid w:val="002C7540"/>
    <w:rsid w:val="002D040D"/>
    <w:rsid w:val="002D0AB5"/>
    <w:rsid w:val="002D12A8"/>
    <w:rsid w:val="002D1CE9"/>
    <w:rsid w:val="002D201E"/>
    <w:rsid w:val="002D23FF"/>
    <w:rsid w:val="002D2668"/>
    <w:rsid w:val="002D2EAF"/>
    <w:rsid w:val="002D3D9A"/>
    <w:rsid w:val="002D43D3"/>
    <w:rsid w:val="002D46FD"/>
    <w:rsid w:val="002D6B74"/>
    <w:rsid w:val="002D6D85"/>
    <w:rsid w:val="002D7D4D"/>
    <w:rsid w:val="002E01B8"/>
    <w:rsid w:val="002E027B"/>
    <w:rsid w:val="002E02E0"/>
    <w:rsid w:val="002E04A5"/>
    <w:rsid w:val="002E0C6D"/>
    <w:rsid w:val="002E0E72"/>
    <w:rsid w:val="002E182A"/>
    <w:rsid w:val="002E1C76"/>
    <w:rsid w:val="002E1E0F"/>
    <w:rsid w:val="002E2459"/>
    <w:rsid w:val="002E3138"/>
    <w:rsid w:val="002E3D1D"/>
    <w:rsid w:val="002E3F4F"/>
    <w:rsid w:val="002E4ED6"/>
    <w:rsid w:val="002E5090"/>
    <w:rsid w:val="002E53CE"/>
    <w:rsid w:val="002E579D"/>
    <w:rsid w:val="002E6FFB"/>
    <w:rsid w:val="002F064E"/>
    <w:rsid w:val="002F0BAD"/>
    <w:rsid w:val="002F1B11"/>
    <w:rsid w:val="002F2327"/>
    <w:rsid w:val="002F278E"/>
    <w:rsid w:val="002F4823"/>
    <w:rsid w:val="002F539A"/>
    <w:rsid w:val="002F56F9"/>
    <w:rsid w:val="002F7C21"/>
    <w:rsid w:val="003009EA"/>
    <w:rsid w:val="003010E9"/>
    <w:rsid w:val="00302592"/>
    <w:rsid w:val="0030280D"/>
    <w:rsid w:val="00303109"/>
    <w:rsid w:val="00304076"/>
    <w:rsid w:val="003040F2"/>
    <w:rsid w:val="00304414"/>
    <w:rsid w:val="0030493E"/>
    <w:rsid w:val="00305D36"/>
    <w:rsid w:val="00305F92"/>
    <w:rsid w:val="00306D76"/>
    <w:rsid w:val="00307366"/>
    <w:rsid w:val="003074F1"/>
    <w:rsid w:val="0030799C"/>
    <w:rsid w:val="00307EBF"/>
    <w:rsid w:val="003109D6"/>
    <w:rsid w:val="00310FBC"/>
    <w:rsid w:val="00312BE5"/>
    <w:rsid w:val="00313233"/>
    <w:rsid w:val="00313559"/>
    <w:rsid w:val="00313B26"/>
    <w:rsid w:val="00313EB6"/>
    <w:rsid w:val="00314944"/>
    <w:rsid w:val="003158A6"/>
    <w:rsid w:val="00315C22"/>
    <w:rsid w:val="00316EF5"/>
    <w:rsid w:val="0032215C"/>
    <w:rsid w:val="003223F7"/>
    <w:rsid w:val="00323309"/>
    <w:rsid w:val="00323544"/>
    <w:rsid w:val="00323F4E"/>
    <w:rsid w:val="00324CE1"/>
    <w:rsid w:val="00325717"/>
    <w:rsid w:val="003263A6"/>
    <w:rsid w:val="003264AF"/>
    <w:rsid w:val="00326656"/>
    <w:rsid w:val="003276CC"/>
    <w:rsid w:val="00327752"/>
    <w:rsid w:val="003277BE"/>
    <w:rsid w:val="00330952"/>
    <w:rsid w:val="00331194"/>
    <w:rsid w:val="00331446"/>
    <w:rsid w:val="003323C4"/>
    <w:rsid w:val="00332697"/>
    <w:rsid w:val="003329A7"/>
    <w:rsid w:val="00333FC7"/>
    <w:rsid w:val="00334A29"/>
    <w:rsid w:val="00334C31"/>
    <w:rsid w:val="00334F01"/>
    <w:rsid w:val="00335D70"/>
    <w:rsid w:val="00336EF6"/>
    <w:rsid w:val="003377AE"/>
    <w:rsid w:val="003410C3"/>
    <w:rsid w:val="00343AAB"/>
    <w:rsid w:val="003446E8"/>
    <w:rsid w:val="00345C28"/>
    <w:rsid w:val="00346252"/>
    <w:rsid w:val="0034681C"/>
    <w:rsid w:val="00346FD3"/>
    <w:rsid w:val="00350191"/>
    <w:rsid w:val="0035084B"/>
    <w:rsid w:val="00350CDD"/>
    <w:rsid w:val="00351E11"/>
    <w:rsid w:val="00352EA7"/>
    <w:rsid w:val="00353019"/>
    <w:rsid w:val="00353612"/>
    <w:rsid w:val="00353726"/>
    <w:rsid w:val="00354C97"/>
    <w:rsid w:val="00354F43"/>
    <w:rsid w:val="003568FA"/>
    <w:rsid w:val="00356956"/>
    <w:rsid w:val="003578E8"/>
    <w:rsid w:val="003579B3"/>
    <w:rsid w:val="00357E8C"/>
    <w:rsid w:val="00357F40"/>
    <w:rsid w:val="00360194"/>
    <w:rsid w:val="00360F53"/>
    <w:rsid w:val="00361DAC"/>
    <w:rsid w:val="00361FF1"/>
    <w:rsid w:val="00363868"/>
    <w:rsid w:val="00363AF5"/>
    <w:rsid w:val="00363B0B"/>
    <w:rsid w:val="0036564D"/>
    <w:rsid w:val="0036578B"/>
    <w:rsid w:val="0036589A"/>
    <w:rsid w:val="00365D31"/>
    <w:rsid w:val="0036669D"/>
    <w:rsid w:val="00366BB8"/>
    <w:rsid w:val="00366D13"/>
    <w:rsid w:val="00366DEF"/>
    <w:rsid w:val="0036713E"/>
    <w:rsid w:val="00371108"/>
    <w:rsid w:val="0037118E"/>
    <w:rsid w:val="00371638"/>
    <w:rsid w:val="00371B08"/>
    <w:rsid w:val="00372BB3"/>
    <w:rsid w:val="00372EB9"/>
    <w:rsid w:val="0037327F"/>
    <w:rsid w:val="00373322"/>
    <w:rsid w:val="00373803"/>
    <w:rsid w:val="00373824"/>
    <w:rsid w:val="003738E8"/>
    <w:rsid w:val="00373ABB"/>
    <w:rsid w:val="00373E93"/>
    <w:rsid w:val="00373FF3"/>
    <w:rsid w:val="00374B9A"/>
    <w:rsid w:val="0037512E"/>
    <w:rsid w:val="00375395"/>
    <w:rsid w:val="00375888"/>
    <w:rsid w:val="0037628D"/>
    <w:rsid w:val="003766A2"/>
    <w:rsid w:val="00381086"/>
    <w:rsid w:val="003811A6"/>
    <w:rsid w:val="00381399"/>
    <w:rsid w:val="003813BB"/>
    <w:rsid w:val="0038418D"/>
    <w:rsid w:val="00384E5B"/>
    <w:rsid w:val="00385D6B"/>
    <w:rsid w:val="003861A4"/>
    <w:rsid w:val="003866BC"/>
    <w:rsid w:val="00386C25"/>
    <w:rsid w:val="00390F88"/>
    <w:rsid w:val="00391405"/>
    <w:rsid w:val="00391A2C"/>
    <w:rsid w:val="00391CD6"/>
    <w:rsid w:val="0039263B"/>
    <w:rsid w:val="00392ECF"/>
    <w:rsid w:val="00393800"/>
    <w:rsid w:val="00394819"/>
    <w:rsid w:val="0039513F"/>
    <w:rsid w:val="00395208"/>
    <w:rsid w:val="00395FEF"/>
    <w:rsid w:val="00396101"/>
    <w:rsid w:val="003963A8"/>
    <w:rsid w:val="003968EF"/>
    <w:rsid w:val="003970DD"/>
    <w:rsid w:val="003A01A7"/>
    <w:rsid w:val="003A038A"/>
    <w:rsid w:val="003A0570"/>
    <w:rsid w:val="003A0B86"/>
    <w:rsid w:val="003A1127"/>
    <w:rsid w:val="003A2404"/>
    <w:rsid w:val="003A3056"/>
    <w:rsid w:val="003A3567"/>
    <w:rsid w:val="003A36AD"/>
    <w:rsid w:val="003A3903"/>
    <w:rsid w:val="003A39E5"/>
    <w:rsid w:val="003A4406"/>
    <w:rsid w:val="003A4E96"/>
    <w:rsid w:val="003A5D93"/>
    <w:rsid w:val="003A656A"/>
    <w:rsid w:val="003A67A5"/>
    <w:rsid w:val="003A7CA8"/>
    <w:rsid w:val="003B07CC"/>
    <w:rsid w:val="003B3800"/>
    <w:rsid w:val="003B42DD"/>
    <w:rsid w:val="003B569C"/>
    <w:rsid w:val="003B6E11"/>
    <w:rsid w:val="003B76C8"/>
    <w:rsid w:val="003C0A83"/>
    <w:rsid w:val="003C1DC5"/>
    <w:rsid w:val="003C1FB3"/>
    <w:rsid w:val="003C22B2"/>
    <w:rsid w:val="003C3201"/>
    <w:rsid w:val="003C3E21"/>
    <w:rsid w:val="003C4693"/>
    <w:rsid w:val="003C5969"/>
    <w:rsid w:val="003C60FE"/>
    <w:rsid w:val="003C79B3"/>
    <w:rsid w:val="003D0D09"/>
    <w:rsid w:val="003D14E5"/>
    <w:rsid w:val="003D17A5"/>
    <w:rsid w:val="003D1A88"/>
    <w:rsid w:val="003D21E9"/>
    <w:rsid w:val="003D245A"/>
    <w:rsid w:val="003D4095"/>
    <w:rsid w:val="003D43B1"/>
    <w:rsid w:val="003D45B4"/>
    <w:rsid w:val="003D47D4"/>
    <w:rsid w:val="003D4B7C"/>
    <w:rsid w:val="003D6257"/>
    <w:rsid w:val="003D62DE"/>
    <w:rsid w:val="003D639D"/>
    <w:rsid w:val="003D6E6B"/>
    <w:rsid w:val="003D6FBF"/>
    <w:rsid w:val="003D7A32"/>
    <w:rsid w:val="003E0A95"/>
    <w:rsid w:val="003E0F78"/>
    <w:rsid w:val="003E12BB"/>
    <w:rsid w:val="003E19B4"/>
    <w:rsid w:val="003E1A74"/>
    <w:rsid w:val="003E224D"/>
    <w:rsid w:val="003E2B48"/>
    <w:rsid w:val="003E2C20"/>
    <w:rsid w:val="003E3462"/>
    <w:rsid w:val="003E3961"/>
    <w:rsid w:val="003E3B5A"/>
    <w:rsid w:val="003E4572"/>
    <w:rsid w:val="003E4B7D"/>
    <w:rsid w:val="003E633B"/>
    <w:rsid w:val="003E6440"/>
    <w:rsid w:val="003E70B6"/>
    <w:rsid w:val="003E7F10"/>
    <w:rsid w:val="003F0705"/>
    <w:rsid w:val="003F0959"/>
    <w:rsid w:val="003F0A3A"/>
    <w:rsid w:val="003F0F5A"/>
    <w:rsid w:val="003F159D"/>
    <w:rsid w:val="003F1BEE"/>
    <w:rsid w:val="003F2733"/>
    <w:rsid w:val="003F35D2"/>
    <w:rsid w:val="003F3FFD"/>
    <w:rsid w:val="003F436A"/>
    <w:rsid w:val="003F4811"/>
    <w:rsid w:val="003F4913"/>
    <w:rsid w:val="003F498D"/>
    <w:rsid w:val="003F4BFA"/>
    <w:rsid w:val="003F4FFA"/>
    <w:rsid w:val="003F57C2"/>
    <w:rsid w:val="003F5886"/>
    <w:rsid w:val="003F7904"/>
    <w:rsid w:val="00400D16"/>
    <w:rsid w:val="00400F2A"/>
    <w:rsid w:val="00401A2F"/>
    <w:rsid w:val="00401D01"/>
    <w:rsid w:val="0040279F"/>
    <w:rsid w:val="00402D5C"/>
    <w:rsid w:val="00402FEB"/>
    <w:rsid w:val="004031AE"/>
    <w:rsid w:val="00403202"/>
    <w:rsid w:val="00403536"/>
    <w:rsid w:val="004035BC"/>
    <w:rsid w:val="00404245"/>
    <w:rsid w:val="0040450B"/>
    <w:rsid w:val="00404C31"/>
    <w:rsid w:val="00405C1C"/>
    <w:rsid w:val="00406173"/>
    <w:rsid w:val="00406683"/>
    <w:rsid w:val="004073BC"/>
    <w:rsid w:val="004073E6"/>
    <w:rsid w:val="00407BF7"/>
    <w:rsid w:val="00410368"/>
    <w:rsid w:val="0041133A"/>
    <w:rsid w:val="00411D01"/>
    <w:rsid w:val="00413896"/>
    <w:rsid w:val="00413FB4"/>
    <w:rsid w:val="004145F5"/>
    <w:rsid w:val="00414A0A"/>
    <w:rsid w:val="004158D8"/>
    <w:rsid w:val="00415F45"/>
    <w:rsid w:val="0041622D"/>
    <w:rsid w:val="00417A89"/>
    <w:rsid w:val="00417B31"/>
    <w:rsid w:val="00420769"/>
    <w:rsid w:val="00420B45"/>
    <w:rsid w:val="00420CE5"/>
    <w:rsid w:val="0042152C"/>
    <w:rsid w:val="00421FB0"/>
    <w:rsid w:val="0042238E"/>
    <w:rsid w:val="004223BD"/>
    <w:rsid w:val="00422439"/>
    <w:rsid w:val="004227FD"/>
    <w:rsid w:val="00422980"/>
    <w:rsid w:val="00422A52"/>
    <w:rsid w:val="00422E0E"/>
    <w:rsid w:val="004234E7"/>
    <w:rsid w:val="0042398D"/>
    <w:rsid w:val="00424709"/>
    <w:rsid w:val="00424C36"/>
    <w:rsid w:val="004261F0"/>
    <w:rsid w:val="00426366"/>
    <w:rsid w:val="00427249"/>
    <w:rsid w:val="004310D3"/>
    <w:rsid w:val="004337BF"/>
    <w:rsid w:val="0043612D"/>
    <w:rsid w:val="0043666C"/>
    <w:rsid w:val="00440C23"/>
    <w:rsid w:val="004414AB"/>
    <w:rsid w:val="004427F3"/>
    <w:rsid w:val="0044396A"/>
    <w:rsid w:val="00444ABD"/>
    <w:rsid w:val="004459F3"/>
    <w:rsid w:val="00445A0F"/>
    <w:rsid w:val="00446662"/>
    <w:rsid w:val="00446C7D"/>
    <w:rsid w:val="00447C46"/>
    <w:rsid w:val="00447CDD"/>
    <w:rsid w:val="00450058"/>
    <w:rsid w:val="00450341"/>
    <w:rsid w:val="00450B7B"/>
    <w:rsid w:val="00451555"/>
    <w:rsid w:val="00451E71"/>
    <w:rsid w:val="00452581"/>
    <w:rsid w:val="0045295C"/>
    <w:rsid w:val="00452C4D"/>
    <w:rsid w:val="004536EC"/>
    <w:rsid w:val="00453E4C"/>
    <w:rsid w:val="004541EB"/>
    <w:rsid w:val="0045434C"/>
    <w:rsid w:val="00454D62"/>
    <w:rsid w:val="00455F70"/>
    <w:rsid w:val="0045660F"/>
    <w:rsid w:val="0045782E"/>
    <w:rsid w:val="004607D6"/>
    <w:rsid w:val="0046081D"/>
    <w:rsid w:val="004610BE"/>
    <w:rsid w:val="00461847"/>
    <w:rsid w:val="004627DB"/>
    <w:rsid w:val="00462ABA"/>
    <w:rsid w:val="00463B7E"/>
    <w:rsid w:val="00463E18"/>
    <w:rsid w:val="00464399"/>
    <w:rsid w:val="0046531D"/>
    <w:rsid w:val="0046587E"/>
    <w:rsid w:val="00466FA0"/>
    <w:rsid w:val="0046719B"/>
    <w:rsid w:val="0046767F"/>
    <w:rsid w:val="00472029"/>
    <w:rsid w:val="0047208C"/>
    <w:rsid w:val="004732B1"/>
    <w:rsid w:val="004732FB"/>
    <w:rsid w:val="0047397A"/>
    <w:rsid w:val="0047440E"/>
    <w:rsid w:val="00475F16"/>
    <w:rsid w:val="00475F1D"/>
    <w:rsid w:val="00476C58"/>
    <w:rsid w:val="00477449"/>
    <w:rsid w:val="00480E76"/>
    <w:rsid w:val="00481948"/>
    <w:rsid w:val="00481FEB"/>
    <w:rsid w:val="0048261E"/>
    <w:rsid w:val="00482789"/>
    <w:rsid w:val="004838E1"/>
    <w:rsid w:val="00483AC6"/>
    <w:rsid w:val="004844DA"/>
    <w:rsid w:val="004849FC"/>
    <w:rsid w:val="00484DA6"/>
    <w:rsid w:val="004856EA"/>
    <w:rsid w:val="00485ABA"/>
    <w:rsid w:val="0048658F"/>
    <w:rsid w:val="00487BC6"/>
    <w:rsid w:val="004911B2"/>
    <w:rsid w:val="004913DF"/>
    <w:rsid w:val="004915D1"/>
    <w:rsid w:val="00491C2D"/>
    <w:rsid w:val="00492467"/>
    <w:rsid w:val="004927E6"/>
    <w:rsid w:val="00494C5F"/>
    <w:rsid w:val="00495106"/>
    <w:rsid w:val="004951CC"/>
    <w:rsid w:val="00495723"/>
    <w:rsid w:val="00495FBC"/>
    <w:rsid w:val="004965D2"/>
    <w:rsid w:val="00496CB0"/>
    <w:rsid w:val="00497753"/>
    <w:rsid w:val="00497A50"/>
    <w:rsid w:val="00497E15"/>
    <w:rsid w:val="004A0034"/>
    <w:rsid w:val="004A023B"/>
    <w:rsid w:val="004A08EE"/>
    <w:rsid w:val="004A0D04"/>
    <w:rsid w:val="004A13E2"/>
    <w:rsid w:val="004A31E6"/>
    <w:rsid w:val="004A3292"/>
    <w:rsid w:val="004A3431"/>
    <w:rsid w:val="004A34E9"/>
    <w:rsid w:val="004A374F"/>
    <w:rsid w:val="004A3CCF"/>
    <w:rsid w:val="004A4176"/>
    <w:rsid w:val="004A4399"/>
    <w:rsid w:val="004A538D"/>
    <w:rsid w:val="004A5443"/>
    <w:rsid w:val="004A62EF"/>
    <w:rsid w:val="004A6E3F"/>
    <w:rsid w:val="004A774E"/>
    <w:rsid w:val="004A7B74"/>
    <w:rsid w:val="004B00C0"/>
    <w:rsid w:val="004B03BE"/>
    <w:rsid w:val="004B0617"/>
    <w:rsid w:val="004B1461"/>
    <w:rsid w:val="004B27CD"/>
    <w:rsid w:val="004B2C72"/>
    <w:rsid w:val="004B3230"/>
    <w:rsid w:val="004B5560"/>
    <w:rsid w:val="004B5652"/>
    <w:rsid w:val="004B6439"/>
    <w:rsid w:val="004B6456"/>
    <w:rsid w:val="004B6602"/>
    <w:rsid w:val="004B663F"/>
    <w:rsid w:val="004B73A4"/>
    <w:rsid w:val="004B7662"/>
    <w:rsid w:val="004C0252"/>
    <w:rsid w:val="004C0D7A"/>
    <w:rsid w:val="004C0FE7"/>
    <w:rsid w:val="004C18D5"/>
    <w:rsid w:val="004C26F4"/>
    <w:rsid w:val="004C3077"/>
    <w:rsid w:val="004C3976"/>
    <w:rsid w:val="004C3998"/>
    <w:rsid w:val="004C53BB"/>
    <w:rsid w:val="004C584E"/>
    <w:rsid w:val="004C7833"/>
    <w:rsid w:val="004D0089"/>
    <w:rsid w:val="004D0453"/>
    <w:rsid w:val="004D0B5F"/>
    <w:rsid w:val="004D1F1C"/>
    <w:rsid w:val="004D2353"/>
    <w:rsid w:val="004D32CE"/>
    <w:rsid w:val="004D34DA"/>
    <w:rsid w:val="004D3A1F"/>
    <w:rsid w:val="004D4134"/>
    <w:rsid w:val="004D4CAC"/>
    <w:rsid w:val="004D52E9"/>
    <w:rsid w:val="004D570C"/>
    <w:rsid w:val="004D5714"/>
    <w:rsid w:val="004D60F6"/>
    <w:rsid w:val="004D6A49"/>
    <w:rsid w:val="004D7B3C"/>
    <w:rsid w:val="004D7D6F"/>
    <w:rsid w:val="004E0A5F"/>
    <w:rsid w:val="004E0EE4"/>
    <w:rsid w:val="004E1445"/>
    <w:rsid w:val="004E2A7B"/>
    <w:rsid w:val="004E2DB4"/>
    <w:rsid w:val="004E4105"/>
    <w:rsid w:val="004E45F3"/>
    <w:rsid w:val="004E49F2"/>
    <w:rsid w:val="004E4D45"/>
    <w:rsid w:val="004E538E"/>
    <w:rsid w:val="004E5C07"/>
    <w:rsid w:val="004E6823"/>
    <w:rsid w:val="004E78A9"/>
    <w:rsid w:val="004E7C6E"/>
    <w:rsid w:val="004F0726"/>
    <w:rsid w:val="004F09BB"/>
    <w:rsid w:val="004F0C64"/>
    <w:rsid w:val="004F0D97"/>
    <w:rsid w:val="004F12A6"/>
    <w:rsid w:val="004F13F4"/>
    <w:rsid w:val="004F2919"/>
    <w:rsid w:val="004F2DA3"/>
    <w:rsid w:val="004F3020"/>
    <w:rsid w:val="004F365F"/>
    <w:rsid w:val="004F3AD4"/>
    <w:rsid w:val="004F4407"/>
    <w:rsid w:val="004F5405"/>
    <w:rsid w:val="004F5C28"/>
    <w:rsid w:val="004F5CA9"/>
    <w:rsid w:val="004F73E7"/>
    <w:rsid w:val="00500188"/>
    <w:rsid w:val="00500588"/>
    <w:rsid w:val="00500849"/>
    <w:rsid w:val="00500BA7"/>
    <w:rsid w:val="0050123E"/>
    <w:rsid w:val="005015B6"/>
    <w:rsid w:val="00501C79"/>
    <w:rsid w:val="00501E26"/>
    <w:rsid w:val="005033BD"/>
    <w:rsid w:val="00503422"/>
    <w:rsid w:val="00503470"/>
    <w:rsid w:val="00503A06"/>
    <w:rsid w:val="0050553D"/>
    <w:rsid w:val="005059E9"/>
    <w:rsid w:val="005073D2"/>
    <w:rsid w:val="00507880"/>
    <w:rsid w:val="0051177E"/>
    <w:rsid w:val="00511989"/>
    <w:rsid w:val="00511B52"/>
    <w:rsid w:val="00512E6D"/>
    <w:rsid w:val="005133E8"/>
    <w:rsid w:val="00513E07"/>
    <w:rsid w:val="0051468E"/>
    <w:rsid w:val="00515500"/>
    <w:rsid w:val="00515579"/>
    <w:rsid w:val="005164D1"/>
    <w:rsid w:val="0051667A"/>
    <w:rsid w:val="00516E82"/>
    <w:rsid w:val="0051779C"/>
    <w:rsid w:val="00517C21"/>
    <w:rsid w:val="00517C97"/>
    <w:rsid w:val="005201A5"/>
    <w:rsid w:val="00520369"/>
    <w:rsid w:val="005205AB"/>
    <w:rsid w:val="00520605"/>
    <w:rsid w:val="00520B29"/>
    <w:rsid w:val="005212F0"/>
    <w:rsid w:val="0052365D"/>
    <w:rsid w:val="00524A86"/>
    <w:rsid w:val="0052673D"/>
    <w:rsid w:val="00526DDB"/>
    <w:rsid w:val="00527549"/>
    <w:rsid w:val="00527886"/>
    <w:rsid w:val="0053007C"/>
    <w:rsid w:val="00530D85"/>
    <w:rsid w:val="00531649"/>
    <w:rsid w:val="00532261"/>
    <w:rsid w:val="005327B4"/>
    <w:rsid w:val="00532A29"/>
    <w:rsid w:val="00532BC6"/>
    <w:rsid w:val="005333A3"/>
    <w:rsid w:val="00533701"/>
    <w:rsid w:val="005348AE"/>
    <w:rsid w:val="00534CCA"/>
    <w:rsid w:val="005355C2"/>
    <w:rsid w:val="00535CF4"/>
    <w:rsid w:val="00535FBF"/>
    <w:rsid w:val="00536750"/>
    <w:rsid w:val="005372A1"/>
    <w:rsid w:val="00537524"/>
    <w:rsid w:val="00537A1B"/>
    <w:rsid w:val="00537B3C"/>
    <w:rsid w:val="005406C6"/>
    <w:rsid w:val="00540FF6"/>
    <w:rsid w:val="00543682"/>
    <w:rsid w:val="005437B7"/>
    <w:rsid w:val="005441BF"/>
    <w:rsid w:val="00544350"/>
    <w:rsid w:val="005446A4"/>
    <w:rsid w:val="00544B7D"/>
    <w:rsid w:val="0054510B"/>
    <w:rsid w:val="0054597A"/>
    <w:rsid w:val="005459F7"/>
    <w:rsid w:val="00545CA3"/>
    <w:rsid w:val="0054725A"/>
    <w:rsid w:val="00547A41"/>
    <w:rsid w:val="00551233"/>
    <w:rsid w:val="005515A8"/>
    <w:rsid w:val="0055370A"/>
    <w:rsid w:val="005537CF"/>
    <w:rsid w:val="0055475A"/>
    <w:rsid w:val="005549F3"/>
    <w:rsid w:val="00555D39"/>
    <w:rsid w:val="005568BE"/>
    <w:rsid w:val="005571B5"/>
    <w:rsid w:val="00560D19"/>
    <w:rsid w:val="005614EE"/>
    <w:rsid w:val="0056171F"/>
    <w:rsid w:val="00562D37"/>
    <w:rsid w:val="0056631D"/>
    <w:rsid w:val="005664C9"/>
    <w:rsid w:val="005664DD"/>
    <w:rsid w:val="00566728"/>
    <w:rsid w:val="00566F97"/>
    <w:rsid w:val="00567679"/>
    <w:rsid w:val="005679FF"/>
    <w:rsid w:val="00567F0E"/>
    <w:rsid w:val="005705B8"/>
    <w:rsid w:val="00570A22"/>
    <w:rsid w:val="00570C54"/>
    <w:rsid w:val="00570FBF"/>
    <w:rsid w:val="00571674"/>
    <w:rsid w:val="00573D05"/>
    <w:rsid w:val="00573DFD"/>
    <w:rsid w:val="00574107"/>
    <w:rsid w:val="00574C21"/>
    <w:rsid w:val="00575314"/>
    <w:rsid w:val="00575B62"/>
    <w:rsid w:val="00575CAC"/>
    <w:rsid w:val="00576539"/>
    <w:rsid w:val="00576DDD"/>
    <w:rsid w:val="00576E7D"/>
    <w:rsid w:val="0057752C"/>
    <w:rsid w:val="00580010"/>
    <w:rsid w:val="00580CEA"/>
    <w:rsid w:val="00581A72"/>
    <w:rsid w:val="00582118"/>
    <w:rsid w:val="005822BB"/>
    <w:rsid w:val="00582A69"/>
    <w:rsid w:val="00582C97"/>
    <w:rsid w:val="005835D8"/>
    <w:rsid w:val="00583A36"/>
    <w:rsid w:val="005845D7"/>
    <w:rsid w:val="005848AA"/>
    <w:rsid w:val="00584F34"/>
    <w:rsid w:val="00584F59"/>
    <w:rsid w:val="00585049"/>
    <w:rsid w:val="005854AB"/>
    <w:rsid w:val="0058610B"/>
    <w:rsid w:val="005861EF"/>
    <w:rsid w:val="0058621D"/>
    <w:rsid w:val="0058646C"/>
    <w:rsid w:val="00590822"/>
    <w:rsid w:val="00590AF6"/>
    <w:rsid w:val="00594D16"/>
    <w:rsid w:val="00595299"/>
    <w:rsid w:val="005954BF"/>
    <w:rsid w:val="0059595F"/>
    <w:rsid w:val="00595E47"/>
    <w:rsid w:val="00597DF3"/>
    <w:rsid w:val="005A0ACD"/>
    <w:rsid w:val="005A1832"/>
    <w:rsid w:val="005A1CA5"/>
    <w:rsid w:val="005A205E"/>
    <w:rsid w:val="005A24EE"/>
    <w:rsid w:val="005A29BD"/>
    <w:rsid w:val="005A2ABD"/>
    <w:rsid w:val="005A4893"/>
    <w:rsid w:val="005A49BB"/>
    <w:rsid w:val="005A5AC2"/>
    <w:rsid w:val="005A6094"/>
    <w:rsid w:val="005A7211"/>
    <w:rsid w:val="005A755F"/>
    <w:rsid w:val="005A75B5"/>
    <w:rsid w:val="005A7CC6"/>
    <w:rsid w:val="005A7E14"/>
    <w:rsid w:val="005B03BD"/>
    <w:rsid w:val="005B07D0"/>
    <w:rsid w:val="005B0F51"/>
    <w:rsid w:val="005B1135"/>
    <w:rsid w:val="005B11BB"/>
    <w:rsid w:val="005B1963"/>
    <w:rsid w:val="005B1FF2"/>
    <w:rsid w:val="005B2A7C"/>
    <w:rsid w:val="005B2EBF"/>
    <w:rsid w:val="005B31F2"/>
    <w:rsid w:val="005B35B4"/>
    <w:rsid w:val="005B4277"/>
    <w:rsid w:val="005B4CD7"/>
    <w:rsid w:val="005B53AA"/>
    <w:rsid w:val="005B5CB5"/>
    <w:rsid w:val="005B6A8A"/>
    <w:rsid w:val="005B6C70"/>
    <w:rsid w:val="005B6E83"/>
    <w:rsid w:val="005C0617"/>
    <w:rsid w:val="005C0A28"/>
    <w:rsid w:val="005C10C6"/>
    <w:rsid w:val="005C12D8"/>
    <w:rsid w:val="005C1832"/>
    <w:rsid w:val="005C23CF"/>
    <w:rsid w:val="005C260C"/>
    <w:rsid w:val="005C319C"/>
    <w:rsid w:val="005C357A"/>
    <w:rsid w:val="005C36FC"/>
    <w:rsid w:val="005C3C89"/>
    <w:rsid w:val="005C4115"/>
    <w:rsid w:val="005C416A"/>
    <w:rsid w:val="005C527C"/>
    <w:rsid w:val="005C7000"/>
    <w:rsid w:val="005C733C"/>
    <w:rsid w:val="005D1448"/>
    <w:rsid w:val="005D2964"/>
    <w:rsid w:val="005D2F4E"/>
    <w:rsid w:val="005D3E37"/>
    <w:rsid w:val="005D3E45"/>
    <w:rsid w:val="005D452C"/>
    <w:rsid w:val="005D46EE"/>
    <w:rsid w:val="005D4CB6"/>
    <w:rsid w:val="005D4F93"/>
    <w:rsid w:val="005D54E9"/>
    <w:rsid w:val="005D5CB0"/>
    <w:rsid w:val="005D6A54"/>
    <w:rsid w:val="005D6B9E"/>
    <w:rsid w:val="005E073F"/>
    <w:rsid w:val="005E1336"/>
    <w:rsid w:val="005E20CE"/>
    <w:rsid w:val="005E21D4"/>
    <w:rsid w:val="005E2FE7"/>
    <w:rsid w:val="005E427A"/>
    <w:rsid w:val="005E5209"/>
    <w:rsid w:val="005E6151"/>
    <w:rsid w:val="005E6247"/>
    <w:rsid w:val="005E62F8"/>
    <w:rsid w:val="005E647F"/>
    <w:rsid w:val="005E6ACC"/>
    <w:rsid w:val="005E6C57"/>
    <w:rsid w:val="005F10DE"/>
    <w:rsid w:val="005F2162"/>
    <w:rsid w:val="005F2596"/>
    <w:rsid w:val="005F34D2"/>
    <w:rsid w:val="005F426D"/>
    <w:rsid w:val="005F46CA"/>
    <w:rsid w:val="005F4DD2"/>
    <w:rsid w:val="005F60AF"/>
    <w:rsid w:val="005F6EFA"/>
    <w:rsid w:val="005F7083"/>
    <w:rsid w:val="005F79EA"/>
    <w:rsid w:val="006000F0"/>
    <w:rsid w:val="00600C19"/>
    <w:rsid w:val="00601F7D"/>
    <w:rsid w:val="00602300"/>
    <w:rsid w:val="00602389"/>
    <w:rsid w:val="006024CF"/>
    <w:rsid w:val="0060284C"/>
    <w:rsid w:val="00602975"/>
    <w:rsid w:val="00602A18"/>
    <w:rsid w:val="00602C73"/>
    <w:rsid w:val="00603D53"/>
    <w:rsid w:val="00606947"/>
    <w:rsid w:val="00606C39"/>
    <w:rsid w:val="00607997"/>
    <w:rsid w:val="0061140A"/>
    <w:rsid w:val="00612122"/>
    <w:rsid w:val="0061236A"/>
    <w:rsid w:val="006132A2"/>
    <w:rsid w:val="006141A8"/>
    <w:rsid w:val="00614391"/>
    <w:rsid w:val="00614F8F"/>
    <w:rsid w:val="00614FCC"/>
    <w:rsid w:val="0061576A"/>
    <w:rsid w:val="00615802"/>
    <w:rsid w:val="00617904"/>
    <w:rsid w:val="006201A5"/>
    <w:rsid w:val="006203F2"/>
    <w:rsid w:val="006205C6"/>
    <w:rsid w:val="00621BBE"/>
    <w:rsid w:val="00621CF4"/>
    <w:rsid w:val="00622E9D"/>
    <w:rsid w:val="00623673"/>
    <w:rsid w:val="00623824"/>
    <w:rsid w:val="00623A62"/>
    <w:rsid w:val="00623ADE"/>
    <w:rsid w:val="00624E6E"/>
    <w:rsid w:val="00625817"/>
    <w:rsid w:val="00626E8A"/>
    <w:rsid w:val="006270B3"/>
    <w:rsid w:val="00627EF8"/>
    <w:rsid w:val="00630DF4"/>
    <w:rsid w:val="00631A75"/>
    <w:rsid w:val="00631BAB"/>
    <w:rsid w:val="00631FAF"/>
    <w:rsid w:val="0063220B"/>
    <w:rsid w:val="00632407"/>
    <w:rsid w:val="00632D0A"/>
    <w:rsid w:val="00632FAE"/>
    <w:rsid w:val="00633BE7"/>
    <w:rsid w:val="0063653C"/>
    <w:rsid w:val="006366B2"/>
    <w:rsid w:val="00636EE5"/>
    <w:rsid w:val="006373E5"/>
    <w:rsid w:val="00637DBF"/>
    <w:rsid w:val="00637E8A"/>
    <w:rsid w:val="006402D0"/>
    <w:rsid w:val="006409C6"/>
    <w:rsid w:val="00640B1A"/>
    <w:rsid w:val="00642484"/>
    <w:rsid w:val="0064299F"/>
    <w:rsid w:val="0064350D"/>
    <w:rsid w:val="00643A29"/>
    <w:rsid w:val="006440DA"/>
    <w:rsid w:val="0064467B"/>
    <w:rsid w:val="00645F68"/>
    <w:rsid w:val="00645FD7"/>
    <w:rsid w:val="00646C53"/>
    <w:rsid w:val="006470D0"/>
    <w:rsid w:val="00650CFE"/>
    <w:rsid w:val="00650E04"/>
    <w:rsid w:val="0065139F"/>
    <w:rsid w:val="006517F5"/>
    <w:rsid w:val="00651D32"/>
    <w:rsid w:val="00652DD5"/>
    <w:rsid w:val="00654005"/>
    <w:rsid w:val="00655531"/>
    <w:rsid w:val="0065696C"/>
    <w:rsid w:val="006569BC"/>
    <w:rsid w:val="006572F5"/>
    <w:rsid w:val="0065752A"/>
    <w:rsid w:val="0066015C"/>
    <w:rsid w:val="006609CB"/>
    <w:rsid w:val="00660D0B"/>
    <w:rsid w:val="006618D5"/>
    <w:rsid w:val="0066197D"/>
    <w:rsid w:val="006619FA"/>
    <w:rsid w:val="00661CD6"/>
    <w:rsid w:val="006623A4"/>
    <w:rsid w:val="006626AE"/>
    <w:rsid w:val="00662997"/>
    <w:rsid w:val="00663902"/>
    <w:rsid w:val="00667095"/>
    <w:rsid w:val="006678DD"/>
    <w:rsid w:val="00670579"/>
    <w:rsid w:val="00670EDB"/>
    <w:rsid w:val="00671671"/>
    <w:rsid w:val="00672FCA"/>
    <w:rsid w:val="0067301C"/>
    <w:rsid w:val="0067341B"/>
    <w:rsid w:val="006747BD"/>
    <w:rsid w:val="00674BA0"/>
    <w:rsid w:val="00675A7E"/>
    <w:rsid w:val="006768FA"/>
    <w:rsid w:val="00680EC9"/>
    <w:rsid w:val="00681F08"/>
    <w:rsid w:val="00682338"/>
    <w:rsid w:val="006823D4"/>
    <w:rsid w:val="00682402"/>
    <w:rsid w:val="00683257"/>
    <w:rsid w:val="00685F18"/>
    <w:rsid w:val="006862EB"/>
    <w:rsid w:val="00686E08"/>
    <w:rsid w:val="00690228"/>
    <w:rsid w:val="0069140E"/>
    <w:rsid w:val="00691BA7"/>
    <w:rsid w:val="00692509"/>
    <w:rsid w:val="00692D92"/>
    <w:rsid w:val="00694747"/>
    <w:rsid w:val="00694F28"/>
    <w:rsid w:val="00697EED"/>
    <w:rsid w:val="006A00B3"/>
    <w:rsid w:val="006A07F8"/>
    <w:rsid w:val="006A16B1"/>
    <w:rsid w:val="006A17E8"/>
    <w:rsid w:val="006A1A2C"/>
    <w:rsid w:val="006A265B"/>
    <w:rsid w:val="006A32D7"/>
    <w:rsid w:val="006A3412"/>
    <w:rsid w:val="006A370C"/>
    <w:rsid w:val="006A3F7F"/>
    <w:rsid w:val="006A4485"/>
    <w:rsid w:val="006A5D88"/>
    <w:rsid w:val="006A60B4"/>
    <w:rsid w:val="006A6F4B"/>
    <w:rsid w:val="006A7EE0"/>
    <w:rsid w:val="006B1229"/>
    <w:rsid w:val="006B14BA"/>
    <w:rsid w:val="006B3BDA"/>
    <w:rsid w:val="006B46DF"/>
    <w:rsid w:val="006B50F3"/>
    <w:rsid w:val="006B57C3"/>
    <w:rsid w:val="006B6408"/>
    <w:rsid w:val="006B664D"/>
    <w:rsid w:val="006B6E98"/>
    <w:rsid w:val="006B7204"/>
    <w:rsid w:val="006C03EF"/>
    <w:rsid w:val="006C0B88"/>
    <w:rsid w:val="006C2985"/>
    <w:rsid w:val="006C3079"/>
    <w:rsid w:val="006C3619"/>
    <w:rsid w:val="006C3EAA"/>
    <w:rsid w:val="006C43EB"/>
    <w:rsid w:val="006C59C0"/>
    <w:rsid w:val="006C5DC3"/>
    <w:rsid w:val="006C67B4"/>
    <w:rsid w:val="006C6DEA"/>
    <w:rsid w:val="006C764F"/>
    <w:rsid w:val="006D0841"/>
    <w:rsid w:val="006D0BC5"/>
    <w:rsid w:val="006D2090"/>
    <w:rsid w:val="006D2ACF"/>
    <w:rsid w:val="006D2FD5"/>
    <w:rsid w:val="006D4177"/>
    <w:rsid w:val="006D4E96"/>
    <w:rsid w:val="006D5B11"/>
    <w:rsid w:val="006D6510"/>
    <w:rsid w:val="006D6662"/>
    <w:rsid w:val="006D6DB3"/>
    <w:rsid w:val="006D7318"/>
    <w:rsid w:val="006D7D86"/>
    <w:rsid w:val="006E016F"/>
    <w:rsid w:val="006E07EC"/>
    <w:rsid w:val="006E11DE"/>
    <w:rsid w:val="006E18B6"/>
    <w:rsid w:val="006E2CB2"/>
    <w:rsid w:val="006E2F65"/>
    <w:rsid w:val="006E3E53"/>
    <w:rsid w:val="006E42D8"/>
    <w:rsid w:val="006E45C0"/>
    <w:rsid w:val="006E4B30"/>
    <w:rsid w:val="006E52DB"/>
    <w:rsid w:val="006E54E1"/>
    <w:rsid w:val="006E56B3"/>
    <w:rsid w:val="006E619D"/>
    <w:rsid w:val="006E7259"/>
    <w:rsid w:val="006E73C3"/>
    <w:rsid w:val="006E7414"/>
    <w:rsid w:val="006E7A31"/>
    <w:rsid w:val="006E7DC6"/>
    <w:rsid w:val="006F06D8"/>
    <w:rsid w:val="006F211F"/>
    <w:rsid w:val="006F21B8"/>
    <w:rsid w:val="006F255E"/>
    <w:rsid w:val="006F2630"/>
    <w:rsid w:val="006F2C24"/>
    <w:rsid w:val="006F3098"/>
    <w:rsid w:val="006F3862"/>
    <w:rsid w:val="006F3EBC"/>
    <w:rsid w:val="006F3F4C"/>
    <w:rsid w:val="006F4A88"/>
    <w:rsid w:val="006F57E1"/>
    <w:rsid w:val="006F5D59"/>
    <w:rsid w:val="006F601E"/>
    <w:rsid w:val="006F61D3"/>
    <w:rsid w:val="006F641F"/>
    <w:rsid w:val="006F6D04"/>
    <w:rsid w:val="006F75EA"/>
    <w:rsid w:val="006F7806"/>
    <w:rsid w:val="00701ED1"/>
    <w:rsid w:val="00702BCC"/>
    <w:rsid w:val="00703DDF"/>
    <w:rsid w:val="007048E3"/>
    <w:rsid w:val="0070645A"/>
    <w:rsid w:val="00706B4D"/>
    <w:rsid w:val="00707815"/>
    <w:rsid w:val="007078EB"/>
    <w:rsid w:val="007079C2"/>
    <w:rsid w:val="00710B86"/>
    <w:rsid w:val="00710C40"/>
    <w:rsid w:val="007111ED"/>
    <w:rsid w:val="00711441"/>
    <w:rsid w:val="00711C77"/>
    <w:rsid w:val="007127CF"/>
    <w:rsid w:val="00713B1C"/>
    <w:rsid w:val="00714314"/>
    <w:rsid w:val="00714404"/>
    <w:rsid w:val="0071487D"/>
    <w:rsid w:val="00714F5F"/>
    <w:rsid w:val="00716603"/>
    <w:rsid w:val="0071688D"/>
    <w:rsid w:val="00720081"/>
    <w:rsid w:val="007220F2"/>
    <w:rsid w:val="00722E5D"/>
    <w:rsid w:val="00723848"/>
    <w:rsid w:val="00723DA1"/>
    <w:rsid w:val="00723EE1"/>
    <w:rsid w:val="00724546"/>
    <w:rsid w:val="007246BC"/>
    <w:rsid w:val="00725115"/>
    <w:rsid w:val="0072596B"/>
    <w:rsid w:val="007260D6"/>
    <w:rsid w:val="007264F0"/>
    <w:rsid w:val="0072662B"/>
    <w:rsid w:val="007267A5"/>
    <w:rsid w:val="00727E40"/>
    <w:rsid w:val="00730164"/>
    <w:rsid w:val="00730E5F"/>
    <w:rsid w:val="00732503"/>
    <w:rsid w:val="00732676"/>
    <w:rsid w:val="007329E1"/>
    <w:rsid w:val="00732BBD"/>
    <w:rsid w:val="00734260"/>
    <w:rsid w:val="00734C0E"/>
    <w:rsid w:val="00735DDC"/>
    <w:rsid w:val="0073626E"/>
    <w:rsid w:val="00737442"/>
    <w:rsid w:val="007377D7"/>
    <w:rsid w:val="00737B50"/>
    <w:rsid w:val="007402A5"/>
    <w:rsid w:val="007403E8"/>
    <w:rsid w:val="007409F2"/>
    <w:rsid w:val="00741816"/>
    <w:rsid w:val="00741CC2"/>
    <w:rsid w:val="007426BE"/>
    <w:rsid w:val="007430D0"/>
    <w:rsid w:val="007453DD"/>
    <w:rsid w:val="00746187"/>
    <w:rsid w:val="00746244"/>
    <w:rsid w:val="007470AB"/>
    <w:rsid w:val="0074754D"/>
    <w:rsid w:val="00747CB3"/>
    <w:rsid w:val="00750641"/>
    <w:rsid w:val="00751651"/>
    <w:rsid w:val="00752C30"/>
    <w:rsid w:val="00753403"/>
    <w:rsid w:val="0075399C"/>
    <w:rsid w:val="00753B80"/>
    <w:rsid w:val="007541B4"/>
    <w:rsid w:val="00754BCE"/>
    <w:rsid w:val="007551CE"/>
    <w:rsid w:val="00755576"/>
    <w:rsid w:val="00756B8F"/>
    <w:rsid w:val="00756C3E"/>
    <w:rsid w:val="00756F42"/>
    <w:rsid w:val="00757ED4"/>
    <w:rsid w:val="00760AC4"/>
    <w:rsid w:val="00760D6E"/>
    <w:rsid w:val="00761449"/>
    <w:rsid w:val="007627B6"/>
    <w:rsid w:val="00763A77"/>
    <w:rsid w:val="007640E2"/>
    <w:rsid w:val="007643BC"/>
    <w:rsid w:val="00764B13"/>
    <w:rsid w:val="00766823"/>
    <w:rsid w:val="00767C00"/>
    <w:rsid w:val="0077105B"/>
    <w:rsid w:val="0077126D"/>
    <w:rsid w:val="007712DC"/>
    <w:rsid w:val="00771925"/>
    <w:rsid w:val="007722B0"/>
    <w:rsid w:val="007723C9"/>
    <w:rsid w:val="0077240A"/>
    <w:rsid w:val="0077261F"/>
    <w:rsid w:val="0077286A"/>
    <w:rsid w:val="00772BE2"/>
    <w:rsid w:val="00773306"/>
    <w:rsid w:val="0077374C"/>
    <w:rsid w:val="0077410E"/>
    <w:rsid w:val="00774469"/>
    <w:rsid w:val="007765C8"/>
    <w:rsid w:val="00776E49"/>
    <w:rsid w:val="00776FB3"/>
    <w:rsid w:val="00777165"/>
    <w:rsid w:val="00777A28"/>
    <w:rsid w:val="00780220"/>
    <w:rsid w:val="00781745"/>
    <w:rsid w:val="00781D21"/>
    <w:rsid w:val="0078298B"/>
    <w:rsid w:val="00783782"/>
    <w:rsid w:val="00783AAA"/>
    <w:rsid w:val="00785B0A"/>
    <w:rsid w:val="007863A9"/>
    <w:rsid w:val="007866F0"/>
    <w:rsid w:val="007871C1"/>
    <w:rsid w:val="007910BD"/>
    <w:rsid w:val="00791EA0"/>
    <w:rsid w:val="00792D5C"/>
    <w:rsid w:val="00793396"/>
    <w:rsid w:val="0079364A"/>
    <w:rsid w:val="00793659"/>
    <w:rsid w:val="0079473C"/>
    <w:rsid w:val="00794929"/>
    <w:rsid w:val="00794FE3"/>
    <w:rsid w:val="00797D9D"/>
    <w:rsid w:val="00797E54"/>
    <w:rsid w:val="007A0238"/>
    <w:rsid w:val="007A04DC"/>
    <w:rsid w:val="007A066E"/>
    <w:rsid w:val="007A0B52"/>
    <w:rsid w:val="007A24D3"/>
    <w:rsid w:val="007A33EA"/>
    <w:rsid w:val="007A3543"/>
    <w:rsid w:val="007A37FC"/>
    <w:rsid w:val="007A3861"/>
    <w:rsid w:val="007A4A15"/>
    <w:rsid w:val="007A4AE9"/>
    <w:rsid w:val="007A4E7D"/>
    <w:rsid w:val="007A56E7"/>
    <w:rsid w:val="007A6359"/>
    <w:rsid w:val="007A73AC"/>
    <w:rsid w:val="007A7E72"/>
    <w:rsid w:val="007B0707"/>
    <w:rsid w:val="007B0B9D"/>
    <w:rsid w:val="007B2569"/>
    <w:rsid w:val="007B284A"/>
    <w:rsid w:val="007B35C8"/>
    <w:rsid w:val="007B3AE8"/>
    <w:rsid w:val="007B41AF"/>
    <w:rsid w:val="007B43DA"/>
    <w:rsid w:val="007B6E2E"/>
    <w:rsid w:val="007B748B"/>
    <w:rsid w:val="007B794E"/>
    <w:rsid w:val="007B7A27"/>
    <w:rsid w:val="007C0A4F"/>
    <w:rsid w:val="007C0F0E"/>
    <w:rsid w:val="007C2014"/>
    <w:rsid w:val="007C3F41"/>
    <w:rsid w:val="007C5259"/>
    <w:rsid w:val="007C553A"/>
    <w:rsid w:val="007C6AD2"/>
    <w:rsid w:val="007C79FA"/>
    <w:rsid w:val="007D01EE"/>
    <w:rsid w:val="007D0AC5"/>
    <w:rsid w:val="007D1653"/>
    <w:rsid w:val="007D243E"/>
    <w:rsid w:val="007D271D"/>
    <w:rsid w:val="007D2D19"/>
    <w:rsid w:val="007D30CA"/>
    <w:rsid w:val="007D3271"/>
    <w:rsid w:val="007D3369"/>
    <w:rsid w:val="007D3462"/>
    <w:rsid w:val="007D44F1"/>
    <w:rsid w:val="007D459C"/>
    <w:rsid w:val="007D499D"/>
    <w:rsid w:val="007D4B4E"/>
    <w:rsid w:val="007D51CB"/>
    <w:rsid w:val="007D54D5"/>
    <w:rsid w:val="007D6A35"/>
    <w:rsid w:val="007E265D"/>
    <w:rsid w:val="007E4F68"/>
    <w:rsid w:val="007E539A"/>
    <w:rsid w:val="007E62B8"/>
    <w:rsid w:val="007E6643"/>
    <w:rsid w:val="007E68E7"/>
    <w:rsid w:val="007E6D65"/>
    <w:rsid w:val="007E6EDF"/>
    <w:rsid w:val="007E6FB8"/>
    <w:rsid w:val="007E750E"/>
    <w:rsid w:val="007E7F27"/>
    <w:rsid w:val="007F0EED"/>
    <w:rsid w:val="007F1175"/>
    <w:rsid w:val="007F3DDE"/>
    <w:rsid w:val="007F4739"/>
    <w:rsid w:val="007F4CDD"/>
    <w:rsid w:val="007F4CF6"/>
    <w:rsid w:val="007F5295"/>
    <w:rsid w:val="007F6E81"/>
    <w:rsid w:val="008001DF"/>
    <w:rsid w:val="00800808"/>
    <w:rsid w:val="008011F8"/>
    <w:rsid w:val="00801A6E"/>
    <w:rsid w:val="0080337A"/>
    <w:rsid w:val="00803AAA"/>
    <w:rsid w:val="0080482F"/>
    <w:rsid w:val="00804848"/>
    <w:rsid w:val="00804B71"/>
    <w:rsid w:val="008052AD"/>
    <w:rsid w:val="00806556"/>
    <w:rsid w:val="00807471"/>
    <w:rsid w:val="00807B73"/>
    <w:rsid w:val="00810D74"/>
    <w:rsid w:val="00810EF2"/>
    <w:rsid w:val="00811014"/>
    <w:rsid w:val="008111B7"/>
    <w:rsid w:val="008118C7"/>
    <w:rsid w:val="00811E57"/>
    <w:rsid w:val="00811E9F"/>
    <w:rsid w:val="00811F0D"/>
    <w:rsid w:val="008126AD"/>
    <w:rsid w:val="0081287E"/>
    <w:rsid w:val="008132F4"/>
    <w:rsid w:val="00813514"/>
    <w:rsid w:val="00813A19"/>
    <w:rsid w:val="00814662"/>
    <w:rsid w:val="00814948"/>
    <w:rsid w:val="00814F27"/>
    <w:rsid w:val="00815CD6"/>
    <w:rsid w:val="0081711E"/>
    <w:rsid w:val="00820F36"/>
    <w:rsid w:val="0082117F"/>
    <w:rsid w:val="008211BC"/>
    <w:rsid w:val="00822A2B"/>
    <w:rsid w:val="00822E17"/>
    <w:rsid w:val="008242D0"/>
    <w:rsid w:val="00824BFD"/>
    <w:rsid w:val="00826B35"/>
    <w:rsid w:val="00827500"/>
    <w:rsid w:val="00827BCD"/>
    <w:rsid w:val="00830100"/>
    <w:rsid w:val="00830767"/>
    <w:rsid w:val="00831704"/>
    <w:rsid w:val="00832453"/>
    <w:rsid w:val="00832720"/>
    <w:rsid w:val="00834A37"/>
    <w:rsid w:val="00834D65"/>
    <w:rsid w:val="00835167"/>
    <w:rsid w:val="00835C43"/>
    <w:rsid w:val="00836898"/>
    <w:rsid w:val="00836C9B"/>
    <w:rsid w:val="0083763C"/>
    <w:rsid w:val="0084011D"/>
    <w:rsid w:val="00840481"/>
    <w:rsid w:val="00840BEB"/>
    <w:rsid w:val="00841816"/>
    <w:rsid w:val="008424F7"/>
    <w:rsid w:val="00842AD9"/>
    <w:rsid w:val="00843508"/>
    <w:rsid w:val="00843970"/>
    <w:rsid w:val="008441BC"/>
    <w:rsid w:val="00844D20"/>
    <w:rsid w:val="00845063"/>
    <w:rsid w:val="00845CDB"/>
    <w:rsid w:val="0084778A"/>
    <w:rsid w:val="008479FF"/>
    <w:rsid w:val="00847C72"/>
    <w:rsid w:val="00850F5D"/>
    <w:rsid w:val="00850FF7"/>
    <w:rsid w:val="00851416"/>
    <w:rsid w:val="0085160D"/>
    <w:rsid w:val="008518BA"/>
    <w:rsid w:val="0085193D"/>
    <w:rsid w:val="00851B91"/>
    <w:rsid w:val="00851FD7"/>
    <w:rsid w:val="0085234D"/>
    <w:rsid w:val="00853E31"/>
    <w:rsid w:val="0085455E"/>
    <w:rsid w:val="00854B36"/>
    <w:rsid w:val="00855AD1"/>
    <w:rsid w:val="00855BA5"/>
    <w:rsid w:val="00856767"/>
    <w:rsid w:val="008579F9"/>
    <w:rsid w:val="008623EA"/>
    <w:rsid w:val="00862FC1"/>
    <w:rsid w:val="00863A80"/>
    <w:rsid w:val="008642F8"/>
    <w:rsid w:val="00864669"/>
    <w:rsid w:val="008649EE"/>
    <w:rsid w:val="00865B7B"/>
    <w:rsid w:val="00865F51"/>
    <w:rsid w:val="00867507"/>
    <w:rsid w:val="0086789A"/>
    <w:rsid w:val="008700AC"/>
    <w:rsid w:val="0087066A"/>
    <w:rsid w:val="00870852"/>
    <w:rsid w:val="0087147A"/>
    <w:rsid w:val="008721A2"/>
    <w:rsid w:val="00873D35"/>
    <w:rsid w:val="00874156"/>
    <w:rsid w:val="0087526E"/>
    <w:rsid w:val="008760D0"/>
    <w:rsid w:val="008760D6"/>
    <w:rsid w:val="008769D1"/>
    <w:rsid w:val="00877499"/>
    <w:rsid w:val="0087755D"/>
    <w:rsid w:val="008808B0"/>
    <w:rsid w:val="00880E35"/>
    <w:rsid w:val="00880E52"/>
    <w:rsid w:val="008826BE"/>
    <w:rsid w:val="00882D50"/>
    <w:rsid w:val="00883500"/>
    <w:rsid w:val="008835A2"/>
    <w:rsid w:val="00883786"/>
    <w:rsid w:val="00884F02"/>
    <w:rsid w:val="00887FFE"/>
    <w:rsid w:val="00891C56"/>
    <w:rsid w:val="00892ABA"/>
    <w:rsid w:val="00894400"/>
    <w:rsid w:val="00894F85"/>
    <w:rsid w:val="0089538E"/>
    <w:rsid w:val="00895EB4"/>
    <w:rsid w:val="008962F1"/>
    <w:rsid w:val="00897908"/>
    <w:rsid w:val="00897B7B"/>
    <w:rsid w:val="00897DF2"/>
    <w:rsid w:val="008A001C"/>
    <w:rsid w:val="008A05EA"/>
    <w:rsid w:val="008A0633"/>
    <w:rsid w:val="008A0F5C"/>
    <w:rsid w:val="008A2981"/>
    <w:rsid w:val="008A3625"/>
    <w:rsid w:val="008A38C2"/>
    <w:rsid w:val="008A3D9E"/>
    <w:rsid w:val="008A4C4F"/>
    <w:rsid w:val="008A4DA4"/>
    <w:rsid w:val="008A4F4D"/>
    <w:rsid w:val="008A70C1"/>
    <w:rsid w:val="008A72DC"/>
    <w:rsid w:val="008A7865"/>
    <w:rsid w:val="008B01F7"/>
    <w:rsid w:val="008B029B"/>
    <w:rsid w:val="008B094D"/>
    <w:rsid w:val="008B13D9"/>
    <w:rsid w:val="008B1852"/>
    <w:rsid w:val="008B2007"/>
    <w:rsid w:val="008B374F"/>
    <w:rsid w:val="008B3D42"/>
    <w:rsid w:val="008B3E87"/>
    <w:rsid w:val="008B55EE"/>
    <w:rsid w:val="008B5E88"/>
    <w:rsid w:val="008B73E8"/>
    <w:rsid w:val="008C132F"/>
    <w:rsid w:val="008C1971"/>
    <w:rsid w:val="008C2417"/>
    <w:rsid w:val="008C27DF"/>
    <w:rsid w:val="008C27E8"/>
    <w:rsid w:val="008C2CC7"/>
    <w:rsid w:val="008C2E2A"/>
    <w:rsid w:val="008C3AB0"/>
    <w:rsid w:val="008C411F"/>
    <w:rsid w:val="008C4FBB"/>
    <w:rsid w:val="008C55D3"/>
    <w:rsid w:val="008C567C"/>
    <w:rsid w:val="008C5DA4"/>
    <w:rsid w:val="008C61C6"/>
    <w:rsid w:val="008C695F"/>
    <w:rsid w:val="008C7123"/>
    <w:rsid w:val="008C7BB9"/>
    <w:rsid w:val="008C7DA7"/>
    <w:rsid w:val="008C7F04"/>
    <w:rsid w:val="008D039E"/>
    <w:rsid w:val="008D193C"/>
    <w:rsid w:val="008D1A70"/>
    <w:rsid w:val="008D3268"/>
    <w:rsid w:val="008D3AFF"/>
    <w:rsid w:val="008D3ED0"/>
    <w:rsid w:val="008D4086"/>
    <w:rsid w:val="008D4798"/>
    <w:rsid w:val="008D51C4"/>
    <w:rsid w:val="008D605F"/>
    <w:rsid w:val="008D7FCA"/>
    <w:rsid w:val="008E0A08"/>
    <w:rsid w:val="008E0DCB"/>
    <w:rsid w:val="008E16FB"/>
    <w:rsid w:val="008E23CA"/>
    <w:rsid w:val="008E25B0"/>
    <w:rsid w:val="008E285D"/>
    <w:rsid w:val="008E2CF4"/>
    <w:rsid w:val="008E3260"/>
    <w:rsid w:val="008E3CA5"/>
    <w:rsid w:val="008E4315"/>
    <w:rsid w:val="008E4B83"/>
    <w:rsid w:val="008E55F9"/>
    <w:rsid w:val="008E61F0"/>
    <w:rsid w:val="008E626F"/>
    <w:rsid w:val="008E776C"/>
    <w:rsid w:val="008E7E6D"/>
    <w:rsid w:val="008F0626"/>
    <w:rsid w:val="008F0769"/>
    <w:rsid w:val="008F0AF6"/>
    <w:rsid w:val="008F0D61"/>
    <w:rsid w:val="008F1A80"/>
    <w:rsid w:val="008F21F6"/>
    <w:rsid w:val="008F23E9"/>
    <w:rsid w:val="008F2644"/>
    <w:rsid w:val="008F2CC5"/>
    <w:rsid w:val="008F4141"/>
    <w:rsid w:val="008F472F"/>
    <w:rsid w:val="008F490C"/>
    <w:rsid w:val="008F5D71"/>
    <w:rsid w:val="008F5EF4"/>
    <w:rsid w:val="008F5F33"/>
    <w:rsid w:val="008F7627"/>
    <w:rsid w:val="008F7FBA"/>
    <w:rsid w:val="00901235"/>
    <w:rsid w:val="0090126A"/>
    <w:rsid w:val="00903223"/>
    <w:rsid w:val="0090456A"/>
    <w:rsid w:val="00904F0E"/>
    <w:rsid w:val="009053C5"/>
    <w:rsid w:val="009059E1"/>
    <w:rsid w:val="00905E92"/>
    <w:rsid w:val="00906D7F"/>
    <w:rsid w:val="00907DD1"/>
    <w:rsid w:val="00907F5C"/>
    <w:rsid w:val="00910091"/>
    <w:rsid w:val="00910A8E"/>
    <w:rsid w:val="00910E6D"/>
    <w:rsid w:val="00911DC1"/>
    <w:rsid w:val="00911F57"/>
    <w:rsid w:val="00912383"/>
    <w:rsid w:val="00912891"/>
    <w:rsid w:val="009128EC"/>
    <w:rsid w:val="00912A67"/>
    <w:rsid w:val="00914A3D"/>
    <w:rsid w:val="00914A79"/>
    <w:rsid w:val="00915BB2"/>
    <w:rsid w:val="00915BBD"/>
    <w:rsid w:val="00916D16"/>
    <w:rsid w:val="00917131"/>
    <w:rsid w:val="009177E0"/>
    <w:rsid w:val="00917C75"/>
    <w:rsid w:val="00920324"/>
    <w:rsid w:val="0092134F"/>
    <w:rsid w:val="00922C59"/>
    <w:rsid w:val="00922D91"/>
    <w:rsid w:val="00923862"/>
    <w:rsid w:val="00923E6B"/>
    <w:rsid w:val="00924165"/>
    <w:rsid w:val="00924801"/>
    <w:rsid w:val="00924994"/>
    <w:rsid w:val="00925371"/>
    <w:rsid w:val="00926B0E"/>
    <w:rsid w:val="00930FFC"/>
    <w:rsid w:val="00931892"/>
    <w:rsid w:val="00932B0B"/>
    <w:rsid w:val="00932F25"/>
    <w:rsid w:val="0093528C"/>
    <w:rsid w:val="0093560B"/>
    <w:rsid w:val="009359A6"/>
    <w:rsid w:val="00936593"/>
    <w:rsid w:val="0093706B"/>
    <w:rsid w:val="00937C3C"/>
    <w:rsid w:val="00940679"/>
    <w:rsid w:val="00940D28"/>
    <w:rsid w:val="009415F1"/>
    <w:rsid w:val="00941F01"/>
    <w:rsid w:val="009423E4"/>
    <w:rsid w:val="00943470"/>
    <w:rsid w:val="00943B68"/>
    <w:rsid w:val="00943B7A"/>
    <w:rsid w:val="00944459"/>
    <w:rsid w:val="009453A8"/>
    <w:rsid w:val="009457E3"/>
    <w:rsid w:val="009464D1"/>
    <w:rsid w:val="0094652A"/>
    <w:rsid w:val="00947328"/>
    <w:rsid w:val="00947A4C"/>
    <w:rsid w:val="00950F76"/>
    <w:rsid w:val="00950FAA"/>
    <w:rsid w:val="00952940"/>
    <w:rsid w:val="00954319"/>
    <w:rsid w:val="00955FE3"/>
    <w:rsid w:val="00956223"/>
    <w:rsid w:val="00961450"/>
    <w:rsid w:val="009619BF"/>
    <w:rsid w:val="00961A0A"/>
    <w:rsid w:val="00961BC7"/>
    <w:rsid w:val="00962F94"/>
    <w:rsid w:val="00962FCB"/>
    <w:rsid w:val="00964AE5"/>
    <w:rsid w:val="009666CC"/>
    <w:rsid w:val="00966C11"/>
    <w:rsid w:val="00966D36"/>
    <w:rsid w:val="00966EE9"/>
    <w:rsid w:val="00967264"/>
    <w:rsid w:val="0097093B"/>
    <w:rsid w:val="009717AF"/>
    <w:rsid w:val="00971BD9"/>
    <w:rsid w:val="0097259C"/>
    <w:rsid w:val="00973275"/>
    <w:rsid w:val="0097524A"/>
    <w:rsid w:val="00980994"/>
    <w:rsid w:val="00980C11"/>
    <w:rsid w:val="00981517"/>
    <w:rsid w:val="00981557"/>
    <w:rsid w:val="00981D13"/>
    <w:rsid w:val="00981D59"/>
    <w:rsid w:val="00981E57"/>
    <w:rsid w:val="00981F05"/>
    <w:rsid w:val="00982F5A"/>
    <w:rsid w:val="00983D28"/>
    <w:rsid w:val="00983F73"/>
    <w:rsid w:val="00984768"/>
    <w:rsid w:val="00984ED4"/>
    <w:rsid w:val="00985A7F"/>
    <w:rsid w:val="00985BFB"/>
    <w:rsid w:val="00985D63"/>
    <w:rsid w:val="00985E69"/>
    <w:rsid w:val="00985F35"/>
    <w:rsid w:val="009874B4"/>
    <w:rsid w:val="009875C9"/>
    <w:rsid w:val="00990547"/>
    <w:rsid w:val="009909AD"/>
    <w:rsid w:val="0099141F"/>
    <w:rsid w:val="0099159E"/>
    <w:rsid w:val="009919F8"/>
    <w:rsid w:val="009925FA"/>
    <w:rsid w:val="009932B8"/>
    <w:rsid w:val="009938A8"/>
    <w:rsid w:val="009938F6"/>
    <w:rsid w:val="00993BAB"/>
    <w:rsid w:val="0099456C"/>
    <w:rsid w:val="00994813"/>
    <w:rsid w:val="00994FD7"/>
    <w:rsid w:val="0099586A"/>
    <w:rsid w:val="009959B3"/>
    <w:rsid w:val="00996016"/>
    <w:rsid w:val="009974E5"/>
    <w:rsid w:val="00997A44"/>
    <w:rsid w:val="009A10B5"/>
    <w:rsid w:val="009A2A94"/>
    <w:rsid w:val="009A2C1E"/>
    <w:rsid w:val="009A3080"/>
    <w:rsid w:val="009A30BC"/>
    <w:rsid w:val="009A346B"/>
    <w:rsid w:val="009A411B"/>
    <w:rsid w:val="009A4235"/>
    <w:rsid w:val="009A4843"/>
    <w:rsid w:val="009A4FDF"/>
    <w:rsid w:val="009A5029"/>
    <w:rsid w:val="009A618B"/>
    <w:rsid w:val="009A64EC"/>
    <w:rsid w:val="009A7213"/>
    <w:rsid w:val="009B004C"/>
    <w:rsid w:val="009B0829"/>
    <w:rsid w:val="009B15C2"/>
    <w:rsid w:val="009B20E2"/>
    <w:rsid w:val="009B2347"/>
    <w:rsid w:val="009B2A93"/>
    <w:rsid w:val="009B2C09"/>
    <w:rsid w:val="009B2E2D"/>
    <w:rsid w:val="009B4223"/>
    <w:rsid w:val="009B4763"/>
    <w:rsid w:val="009B5147"/>
    <w:rsid w:val="009B563E"/>
    <w:rsid w:val="009B63F3"/>
    <w:rsid w:val="009B66C0"/>
    <w:rsid w:val="009B7387"/>
    <w:rsid w:val="009C05D5"/>
    <w:rsid w:val="009C19F1"/>
    <w:rsid w:val="009C252A"/>
    <w:rsid w:val="009C2A22"/>
    <w:rsid w:val="009C2CB8"/>
    <w:rsid w:val="009C4EE3"/>
    <w:rsid w:val="009C52C3"/>
    <w:rsid w:val="009C5332"/>
    <w:rsid w:val="009C56A0"/>
    <w:rsid w:val="009C6F93"/>
    <w:rsid w:val="009D0C3C"/>
    <w:rsid w:val="009D0F49"/>
    <w:rsid w:val="009D25A0"/>
    <w:rsid w:val="009D3872"/>
    <w:rsid w:val="009D3BDF"/>
    <w:rsid w:val="009D401A"/>
    <w:rsid w:val="009D4048"/>
    <w:rsid w:val="009D4995"/>
    <w:rsid w:val="009D5BBF"/>
    <w:rsid w:val="009D761A"/>
    <w:rsid w:val="009D78AD"/>
    <w:rsid w:val="009D7AC0"/>
    <w:rsid w:val="009D7BA0"/>
    <w:rsid w:val="009E12AE"/>
    <w:rsid w:val="009E1503"/>
    <w:rsid w:val="009E1A95"/>
    <w:rsid w:val="009E2CD3"/>
    <w:rsid w:val="009E412C"/>
    <w:rsid w:val="009E521C"/>
    <w:rsid w:val="009E592D"/>
    <w:rsid w:val="009E7021"/>
    <w:rsid w:val="009E7484"/>
    <w:rsid w:val="009E7812"/>
    <w:rsid w:val="009F1DB0"/>
    <w:rsid w:val="009F409F"/>
    <w:rsid w:val="009F435E"/>
    <w:rsid w:val="009F43AE"/>
    <w:rsid w:val="009F4F26"/>
    <w:rsid w:val="009F5334"/>
    <w:rsid w:val="009F5EE6"/>
    <w:rsid w:val="009F7896"/>
    <w:rsid w:val="009F7956"/>
    <w:rsid w:val="00A005E2"/>
    <w:rsid w:val="00A01138"/>
    <w:rsid w:val="00A01C8C"/>
    <w:rsid w:val="00A0288E"/>
    <w:rsid w:val="00A02DFF"/>
    <w:rsid w:val="00A02EA7"/>
    <w:rsid w:val="00A03CC7"/>
    <w:rsid w:val="00A04661"/>
    <w:rsid w:val="00A05434"/>
    <w:rsid w:val="00A054F1"/>
    <w:rsid w:val="00A05562"/>
    <w:rsid w:val="00A05671"/>
    <w:rsid w:val="00A05D44"/>
    <w:rsid w:val="00A0623F"/>
    <w:rsid w:val="00A0670D"/>
    <w:rsid w:val="00A0726A"/>
    <w:rsid w:val="00A0789C"/>
    <w:rsid w:val="00A07BBB"/>
    <w:rsid w:val="00A103FD"/>
    <w:rsid w:val="00A112A9"/>
    <w:rsid w:val="00A1268F"/>
    <w:rsid w:val="00A129C4"/>
    <w:rsid w:val="00A12A8A"/>
    <w:rsid w:val="00A132E5"/>
    <w:rsid w:val="00A134E2"/>
    <w:rsid w:val="00A13A9F"/>
    <w:rsid w:val="00A13D5F"/>
    <w:rsid w:val="00A13EA8"/>
    <w:rsid w:val="00A13FBB"/>
    <w:rsid w:val="00A14228"/>
    <w:rsid w:val="00A14FA7"/>
    <w:rsid w:val="00A15246"/>
    <w:rsid w:val="00A15804"/>
    <w:rsid w:val="00A166A5"/>
    <w:rsid w:val="00A16A3F"/>
    <w:rsid w:val="00A16E6E"/>
    <w:rsid w:val="00A1719D"/>
    <w:rsid w:val="00A17918"/>
    <w:rsid w:val="00A1793F"/>
    <w:rsid w:val="00A20CCA"/>
    <w:rsid w:val="00A22FC3"/>
    <w:rsid w:val="00A2427D"/>
    <w:rsid w:val="00A246F2"/>
    <w:rsid w:val="00A24B0D"/>
    <w:rsid w:val="00A25205"/>
    <w:rsid w:val="00A25AA9"/>
    <w:rsid w:val="00A26979"/>
    <w:rsid w:val="00A26C4E"/>
    <w:rsid w:val="00A27343"/>
    <w:rsid w:val="00A27E59"/>
    <w:rsid w:val="00A30258"/>
    <w:rsid w:val="00A3042B"/>
    <w:rsid w:val="00A30AF9"/>
    <w:rsid w:val="00A30E1E"/>
    <w:rsid w:val="00A336F2"/>
    <w:rsid w:val="00A343BF"/>
    <w:rsid w:val="00A34865"/>
    <w:rsid w:val="00A351C0"/>
    <w:rsid w:val="00A35B71"/>
    <w:rsid w:val="00A35C46"/>
    <w:rsid w:val="00A35E86"/>
    <w:rsid w:val="00A36892"/>
    <w:rsid w:val="00A3749B"/>
    <w:rsid w:val="00A37D2E"/>
    <w:rsid w:val="00A4068C"/>
    <w:rsid w:val="00A40BD4"/>
    <w:rsid w:val="00A41011"/>
    <w:rsid w:val="00A422CD"/>
    <w:rsid w:val="00A42694"/>
    <w:rsid w:val="00A42DA8"/>
    <w:rsid w:val="00A43BF2"/>
    <w:rsid w:val="00A454D2"/>
    <w:rsid w:val="00A46BFF"/>
    <w:rsid w:val="00A46CFC"/>
    <w:rsid w:val="00A471CA"/>
    <w:rsid w:val="00A47305"/>
    <w:rsid w:val="00A47D6C"/>
    <w:rsid w:val="00A5119B"/>
    <w:rsid w:val="00A515C6"/>
    <w:rsid w:val="00A5160D"/>
    <w:rsid w:val="00A5187D"/>
    <w:rsid w:val="00A51974"/>
    <w:rsid w:val="00A519A5"/>
    <w:rsid w:val="00A51F82"/>
    <w:rsid w:val="00A54D87"/>
    <w:rsid w:val="00A555A6"/>
    <w:rsid w:val="00A5568D"/>
    <w:rsid w:val="00A55D64"/>
    <w:rsid w:val="00A56903"/>
    <w:rsid w:val="00A5757C"/>
    <w:rsid w:val="00A57991"/>
    <w:rsid w:val="00A57A1B"/>
    <w:rsid w:val="00A60BA6"/>
    <w:rsid w:val="00A61425"/>
    <w:rsid w:val="00A63DCE"/>
    <w:rsid w:val="00A643B3"/>
    <w:rsid w:val="00A65360"/>
    <w:rsid w:val="00A65648"/>
    <w:rsid w:val="00A66C8A"/>
    <w:rsid w:val="00A70C6D"/>
    <w:rsid w:val="00A711DA"/>
    <w:rsid w:val="00A71452"/>
    <w:rsid w:val="00A717F5"/>
    <w:rsid w:val="00A72633"/>
    <w:rsid w:val="00A731AA"/>
    <w:rsid w:val="00A7374C"/>
    <w:rsid w:val="00A73DD4"/>
    <w:rsid w:val="00A775E4"/>
    <w:rsid w:val="00A8040A"/>
    <w:rsid w:val="00A81150"/>
    <w:rsid w:val="00A811DF"/>
    <w:rsid w:val="00A814F1"/>
    <w:rsid w:val="00A81879"/>
    <w:rsid w:val="00A81CEB"/>
    <w:rsid w:val="00A81D47"/>
    <w:rsid w:val="00A83560"/>
    <w:rsid w:val="00A8378D"/>
    <w:rsid w:val="00A846F6"/>
    <w:rsid w:val="00A84734"/>
    <w:rsid w:val="00A8638C"/>
    <w:rsid w:val="00A866D5"/>
    <w:rsid w:val="00A86A3E"/>
    <w:rsid w:val="00A86AFE"/>
    <w:rsid w:val="00A870BD"/>
    <w:rsid w:val="00A87FBA"/>
    <w:rsid w:val="00A90B22"/>
    <w:rsid w:val="00A91F06"/>
    <w:rsid w:val="00A922E3"/>
    <w:rsid w:val="00A93F2C"/>
    <w:rsid w:val="00A9403C"/>
    <w:rsid w:val="00A9461B"/>
    <w:rsid w:val="00A94A05"/>
    <w:rsid w:val="00A9704F"/>
    <w:rsid w:val="00A97125"/>
    <w:rsid w:val="00A972DA"/>
    <w:rsid w:val="00AA0CAD"/>
    <w:rsid w:val="00AA1E98"/>
    <w:rsid w:val="00AA238F"/>
    <w:rsid w:val="00AA2AAE"/>
    <w:rsid w:val="00AA2C84"/>
    <w:rsid w:val="00AA2DBF"/>
    <w:rsid w:val="00AA31D0"/>
    <w:rsid w:val="00AA34DF"/>
    <w:rsid w:val="00AA355D"/>
    <w:rsid w:val="00AA3726"/>
    <w:rsid w:val="00AA3FB1"/>
    <w:rsid w:val="00AA4427"/>
    <w:rsid w:val="00AA4D6B"/>
    <w:rsid w:val="00AA51FB"/>
    <w:rsid w:val="00AA77C5"/>
    <w:rsid w:val="00AA7F71"/>
    <w:rsid w:val="00AB0BC5"/>
    <w:rsid w:val="00AB12BC"/>
    <w:rsid w:val="00AB1442"/>
    <w:rsid w:val="00AB37DB"/>
    <w:rsid w:val="00AB3C85"/>
    <w:rsid w:val="00AB3FCC"/>
    <w:rsid w:val="00AB4709"/>
    <w:rsid w:val="00AB4DB9"/>
    <w:rsid w:val="00AB5076"/>
    <w:rsid w:val="00AB69C9"/>
    <w:rsid w:val="00AB6B23"/>
    <w:rsid w:val="00AB6F93"/>
    <w:rsid w:val="00AC07E5"/>
    <w:rsid w:val="00AC25FB"/>
    <w:rsid w:val="00AC31A4"/>
    <w:rsid w:val="00AC4218"/>
    <w:rsid w:val="00AC45F9"/>
    <w:rsid w:val="00AC4D51"/>
    <w:rsid w:val="00AC4F7B"/>
    <w:rsid w:val="00AC5F36"/>
    <w:rsid w:val="00AC62BB"/>
    <w:rsid w:val="00AC701F"/>
    <w:rsid w:val="00AD090E"/>
    <w:rsid w:val="00AD0BBF"/>
    <w:rsid w:val="00AD0F92"/>
    <w:rsid w:val="00AD165F"/>
    <w:rsid w:val="00AD2F2E"/>
    <w:rsid w:val="00AD3A6B"/>
    <w:rsid w:val="00AD3BEC"/>
    <w:rsid w:val="00AD421E"/>
    <w:rsid w:val="00AD44BB"/>
    <w:rsid w:val="00AD45E0"/>
    <w:rsid w:val="00AD4C4D"/>
    <w:rsid w:val="00AD68BC"/>
    <w:rsid w:val="00AD75A9"/>
    <w:rsid w:val="00AD7A3B"/>
    <w:rsid w:val="00AE02F9"/>
    <w:rsid w:val="00AE0CA2"/>
    <w:rsid w:val="00AE0FF9"/>
    <w:rsid w:val="00AE35DB"/>
    <w:rsid w:val="00AE3C71"/>
    <w:rsid w:val="00AE46FF"/>
    <w:rsid w:val="00AE4957"/>
    <w:rsid w:val="00AE5460"/>
    <w:rsid w:val="00AE54D5"/>
    <w:rsid w:val="00AE586F"/>
    <w:rsid w:val="00AE5910"/>
    <w:rsid w:val="00AE6A26"/>
    <w:rsid w:val="00AE6C04"/>
    <w:rsid w:val="00AE7630"/>
    <w:rsid w:val="00AF041E"/>
    <w:rsid w:val="00AF09F0"/>
    <w:rsid w:val="00AF0DFF"/>
    <w:rsid w:val="00AF109C"/>
    <w:rsid w:val="00AF127A"/>
    <w:rsid w:val="00AF17A0"/>
    <w:rsid w:val="00AF18B2"/>
    <w:rsid w:val="00AF1967"/>
    <w:rsid w:val="00AF2054"/>
    <w:rsid w:val="00AF2213"/>
    <w:rsid w:val="00AF2265"/>
    <w:rsid w:val="00AF3817"/>
    <w:rsid w:val="00AF3DBD"/>
    <w:rsid w:val="00AF46C6"/>
    <w:rsid w:val="00AF5898"/>
    <w:rsid w:val="00AF6813"/>
    <w:rsid w:val="00AF68D1"/>
    <w:rsid w:val="00AF6C1A"/>
    <w:rsid w:val="00AF6D1C"/>
    <w:rsid w:val="00AF786F"/>
    <w:rsid w:val="00B006B5"/>
    <w:rsid w:val="00B00D84"/>
    <w:rsid w:val="00B01279"/>
    <w:rsid w:val="00B0131C"/>
    <w:rsid w:val="00B0177D"/>
    <w:rsid w:val="00B01A33"/>
    <w:rsid w:val="00B01A70"/>
    <w:rsid w:val="00B01F81"/>
    <w:rsid w:val="00B0355D"/>
    <w:rsid w:val="00B03748"/>
    <w:rsid w:val="00B03A96"/>
    <w:rsid w:val="00B041CD"/>
    <w:rsid w:val="00B04711"/>
    <w:rsid w:val="00B059DA"/>
    <w:rsid w:val="00B05EFB"/>
    <w:rsid w:val="00B0646F"/>
    <w:rsid w:val="00B06867"/>
    <w:rsid w:val="00B06B4B"/>
    <w:rsid w:val="00B06C8F"/>
    <w:rsid w:val="00B06DC6"/>
    <w:rsid w:val="00B07411"/>
    <w:rsid w:val="00B078D4"/>
    <w:rsid w:val="00B102BD"/>
    <w:rsid w:val="00B11A21"/>
    <w:rsid w:val="00B12A50"/>
    <w:rsid w:val="00B1309D"/>
    <w:rsid w:val="00B13ADF"/>
    <w:rsid w:val="00B17032"/>
    <w:rsid w:val="00B1749C"/>
    <w:rsid w:val="00B1782B"/>
    <w:rsid w:val="00B17932"/>
    <w:rsid w:val="00B17D00"/>
    <w:rsid w:val="00B2084C"/>
    <w:rsid w:val="00B20E0D"/>
    <w:rsid w:val="00B21B95"/>
    <w:rsid w:val="00B22355"/>
    <w:rsid w:val="00B251AD"/>
    <w:rsid w:val="00B255C5"/>
    <w:rsid w:val="00B25A96"/>
    <w:rsid w:val="00B261C5"/>
    <w:rsid w:val="00B26D23"/>
    <w:rsid w:val="00B27157"/>
    <w:rsid w:val="00B27818"/>
    <w:rsid w:val="00B3143B"/>
    <w:rsid w:val="00B32AA2"/>
    <w:rsid w:val="00B32EA3"/>
    <w:rsid w:val="00B33B3A"/>
    <w:rsid w:val="00B3470E"/>
    <w:rsid w:val="00B34E83"/>
    <w:rsid w:val="00B3559A"/>
    <w:rsid w:val="00B35F49"/>
    <w:rsid w:val="00B37511"/>
    <w:rsid w:val="00B42B64"/>
    <w:rsid w:val="00B438F3"/>
    <w:rsid w:val="00B43AEE"/>
    <w:rsid w:val="00B44F74"/>
    <w:rsid w:val="00B45606"/>
    <w:rsid w:val="00B46D72"/>
    <w:rsid w:val="00B477B3"/>
    <w:rsid w:val="00B505EF"/>
    <w:rsid w:val="00B50A9D"/>
    <w:rsid w:val="00B50CDD"/>
    <w:rsid w:val="00B50F39"/>
    <w:rsid w:val="00B51633"/>
    <w:rsid w:val="00B51CEF"/>
    <w:rsid w:val="00B51D1F"/>
    <w:rsid w:val="00B532FC"/>
    <w:rsid w:val="00B53E89"/>
    <w:rsid w:val="00B53F7C"/>
    <w:rsid w:val="00B554B2"/>
    <w:rsid w:val="00B56034"/>
    <w:rsid w:val="00B56707"/>
    <w:rsid w:val="00B56FD2"/>
    <w:rsid w:val="00B60356"/>
    <w:rsid w:val="00B61A30"/>
    <w:rsid w:val="00B6202D"/>
    <w:rsid w:val="00B62BED"/>
    <w:rsid w:val="00B63C1B"/>
    <w:rsid w:val="00B641EE"/>
    <w:rsid w:val="00B649C1"/>
    <w:rsid w:val="00B64DDC"/>
    <w:rsid w:val="00B6635D"/>
    <w:rsid w:val="00B66792"/>
    <w:rsid w:val="00B66A3C"/>
    <w:rsid w:val="00B70537"/>
    <w:rsid w:val="00B708B7"/>
    <w:rsid w:val="00B71D20"/>
    <w:rsid w:val="00B7237F"/>
    <w:rsid w:val="00B72C10"/>
    <w:rsid w:val="00B73BCC"/>
    <w:rsid w:val="00B73D34"/>
    <w:rsid w:val="00B74072"/>
    <w:rsid w:val="00B74101"/>
    <w:rsid w:val="00B74880"/>
    <w:rsid w:val="00B752E6"/>
    <w:rsid w:val="00B753D4"/>
    <w:rsid w:val="00B7723D"/>
    <w:rsid w:val="00B77834"/>
    <w:rsid w:val="00B80251"/>
    <w:rsid w:val="00B807FC"/>
    <w:rsid w:val="00B819AC"/>
    <w:rsid w:val="00B81F13"/>
    <w:rsid w:val="00B82084"/>
    <w:rsid w:val="00B838B7"/>
    <w:rsid w:val="00B87538"/>
    <w:rsid w:val="00B878CF"/>
    <w:rsid w:val="00B910CA"/>
    <w:rsid w:val="00B911D5"/>
    <w:rsid w:val="00B91632"/>
    <w:rsid w:val="00B91C42"/>
    <w:rsid w:val="00B92AC2"/>
    <w:rsid w:val="00B92E9C"/>
    <w:rsid w:val="00B9353B"/>
    <w:rsid w:val="00B93628"/>
    <w:rsid w:val="00B93729"/>
    <w:rsid w:val="00B94510"/>
    <w:rsid w:val="00B95563"/>
    <w:rsid w:val="00B96D30"/>
    <w:rsid w:val="00B96FB1"/>
    <w:rsid w:val="00BA0105"/>
    <w:rsid w:val="00BA0B04"/>
    <w:rsid w:val="00BA0CFD"/>
    <w:rsid w:val="00BA0F4E"/>
    <w:rsid w:val="00BA2815"/>
    <w:rsid w:val="00BA2906"/>
    <w:rsid w:val="00BA3097"/>
    <w:rsid w:val="00BA336E"/>
    <w:rsid w:val="00BA459C"/>
    <w:rsid w:val="00BA4CA9"/>
    <w:rsid w:val="00BA4D40"/>
    <w:rsid w:val="00BA53B8"/>
    <w:rsid w:val="00BA78EE"/>
    <w:rsid w:val="00BB05B4"/>
    <w:rsid w:val="00BB146F"/>
    <w:rsid w:val="00BB3D63"/>
    <w:rsid w:val="00BB419B"/>
    <w:rsid w:val="00BB4B0B"/>
    <w:rsid w:val="00BB5A10"/>
    <w:rsid w:val="00BB5F1D"/>
    <w:rsid w:val="00BB6814"/>
    <w:rsid w:val="00BB6E3C"/>
    <w:rsid w:val="00BB7534"/>
    <w:rsid w:val="00BC05B4"/>
    <w:rsid w:val="00BC0C3B"/>
    <w:rsid w:val="00BC1852"/>
    <w:rsid w:val="00BC3380"/>
    <w:rsid w:val="00BC3843"/>
    <w:rsid w:val="00BC4386"/>
    <w:rsid w:val="00BC466B"/>
    <w:rsid w:val="00BC4877"/>
    <w:rsid w:val="00BC66A7"/>
    <w:rsid w:val="00BC6B25"/>
    <w:rsid w:val="00BC7E00"/>
    <w:rsid w:val="00BD014A"/>
    <w:rsid w:val="00BD08A2"/>
    <w:rsid w:val="00BD09A9"/>
    <w:rsid w:val="00BD1EED"/>
    <w:rsid w:val="00BD2B95"/>
    <w:rsid w:val="00BD4204"/>
    <w:rsid w:val="00BD4B99"/>
    <w:rsid w:val="00BD4C1D"/>
    <w:rsid w:val="00BD4E7B"/>
    <w:rsid w:val="00BD567C"/>
    <w:rsid w:val="00BD58E8"/>
    <w:rsid w:val="00BD5AA2"/>
    <w:rsid w:val="00BD667A"/>
    <w:rsid w:val="00BD6DC4"/>
    <w:rsid w:val="00BD6F4F"/>
    <w:rsid w:val="00BD7473"/>
    <w:rsid w:val="00BD7A37"/>
    <w:rsid w:val="00BD7FD3"/>
    <w:rsid w:val="00BE04AE"/>
    <w:rsid w:val="00BE06BB"/>
    <w:rsid w:val="00BE12A3"/>
    <w:rsid w:val="00BE1F99"/>
    <w:rsid w:val="00BE48A7"/>
    <w:rsid w:val="00BE612E"/>
    <w:rsid w:val="00BF03A2"/>
    <w:rsid w:val="00BF04DD"/>
    <w:rsid w:val="00BF0DE9"/>
    <w:rsid w:val="00BF18EB"/>
    <w:rsid w:val="00BF2A39"/>
    <w:rsid w:val="00BF3C09"/>
    <w:rsid w:val="00BF51C5"/>
    <w:rsid w:val="00BF5CE2"/>
    <w:rsid w:val="00BF7189"/>
    <w:rsid w:val="00C01C76"/>
    <w:rsid w:val="00C02532"/>
    <w:rsid w:val="00C026A6"/>
    <w:rsid w:val="00C03078"/>
    <w:rsid w:val="00C032E1"/>
    <w:rsid w:val="00C0361B"/>
    <w:rsid w:val="00C037C4"/>
    <w:rsid w:val="00C03D1A"/>
    <w:rsid w:val="00C04130"/>
    <w:rsid w:val="00C04A88"/>
    <w:rsid w:val="00C05608"/>
    <w:rsid w:val="00C0636B"/>
    <w:rsid w:val="00C06A26"/>
    <w:rsid w:val="00C072D6"/>
    <w:rsid w:val="00C072FA"/>
    <w:rsid w:val="00C07325"/>
    <w:rsid w:val="00C0776D"/>
    <w:rsid w:val="00C07E4A"/>
    <w:rsid w:val="00C109E8"/>
    <w:rsid w:val="00C12012"/>
    <w:rsid w:val="00C12256"/>
    <w:rsid w:val="00C126C8"/>
    <w:rsid w:val="00C130BE"/>
    <w:rsid w:val="00C134B8"/>
    <w:rsid w:val="00C1438A"/>
    <w:rsid w:val="00C14560"/>
    <w:rsid w:val="00C15057"/>
    <w:rsid w:val="00C1552B"/>
    <w:rsid w:val="00C15B5D"/>
    <w:rsid w:val="00C15F18"/>
    <w:rsid w:val="00C1768C"/>
    <w:rsid w:val="00C17B1E"/>
    <w:rsid w:val="00C216D0"/>
    <w:rsid w:val="00C21724"/>
    <w:rsid w:val="00C23225"/>
    <w:rsid w:val="00C2381D"/>
    <w:rsid w:val="00C23FD7"/>
    <w:rsid w:val="00C24523"/>
    <w:rsid w:val="00C26495"/>
    <w:rsid w:val="00C26BDA"/>
    <w:rsid w:val="00C278EB"/>
    <w:rsid w:val="00C27B8B"/>
    <w:rsid w:val="00C30FA8"/>
    <w:rsid w:val="00C31D83"/>
    <w:rsid w:val="00C31F9E"/>
    <w:rsid w:val="00C321FF"/>
    <w:rsid w:val="00C32283"/>
    <w:rsid w:val="00C32858"/>
    <w:rsid w:val="00C32DAD"/>
    <w:rsid w:val="00C32DE7"/>
    <w:rsid w:val="00C33D6A"/>
    <w:rsid w:val="00C34924"/>
    <w:rsid w:val="00C34E86"/>
    <w:rsid w:val="00C350FB"/>
    <w:rsid w:val="00C35F22"/>
    <w:rsid w:val="00C36D07"/>
    <w:rsid w:val="00C376C8"/>
    <w:rsid w:val="00C4085E"/>
    <w:rsid w:val="00C43055"/>
    <w:rsid w:val="00C43448"/>
    <w:rsid w:val="00C43856"/>
    <w:rsid w:val="00C43CF1"/>
    <w:rsid w:val="00C44EA0"/>
    <w:rsid w:val="00C45429"/>
    <w:rsid w:val="00C454AA"/>
    <w:rsid w:val="00C45789"/>
    <w:rsid w:val="00C45D08"/>
    <w:rsid w:val="00C463E1"/>
    <w:rsid w:val="00C4744E"/>
    <w:rsid w:val="00C4770D"/>
    <w:rsid w:val="00C477CC"/>
    <w:rsid w:val="00C47B09"/>
    <w:rsid w:val="00C50C51"/>
    <w:rsid w:val="00C51E61"/>
    <w:rsid w:val="00C536CE"/>
    <w:rsid w:val="00C540F8"/>
    <w:rsid w:val="00C543BE"/>
    <w:rsid w:val="00C54F27"/>
    <w:rsid w:val="00C55242"/>
    <w:rsid w:val="00C555EC"/>
    <w:rsid w:val="00C55EDA"/>
    <w:rsid w:val="00C56B2B"/>
    <w:rsid w:val="00C56CE4"/>
    <w:rsid w:val="00C56EA1"/>
    <w:rsid w:val="00C572DA"/>
    <w:rsid w:val="00C604D3"/>
    <w:rsid w:val="00C616BC"/>
    <w:rsid w:val="00C61E38"/>
    <w:rsid w:val="00C635F2"/>
    <w:rsid w:val="00C637CD"/>
    <w:rsid w:val="00C63F6B"/>
    <w:rsid w:val="00C65032"/>
    <w:rsid w:val="00C664C2"/>
    <w:rsid w:val="00C66F54"/>
    <w:rsid w:val="00C672D1"/>
    <w:rsid w:val="00C67A51"/>
    <w:rsid w:val="00C707B4"/>
    <w:rsid w:val="00C70A95"/>
    <w:rsid w:val="00C70BF5"/>
    <w:rsid w:val="00C710D8"/>
    <w:rsid w:val="00C71F4F"/>
    <w:rsid w:val="00C72545"/>
    <w:rsid w:val="00C73EE7"/>
    <w:rsid w:val="00C744BD"/>
    <w:rsid w:val="00C74EA0"/>
    <w:rsid w:val="00C76537"/>
    <w:rsid w:val="00C767B7"/>
    <w:rsid w:val="00C76C44"/>
    <w:rsid w:val="00C8028C"/>
    <w:rsid w:val="00C81DA5"/>
    <w:rsid w:val="00C822E7"/>
    <w:rsid w:val="00C8301A"/>
    <w:rsid w:val="00C830E4"/>
    <w:rsid w:val="00C832A0"/>
    <w:rsid w:val="00C837F6"/>
    <w:rsid w:val="00C838D8"/>
    <w:rsid w:val="00C8570E"/>
    <w:rsid w:val="00C868C4"/>
    <w:rsid w:val="00C87262"/>
    <w:rsid w:val="00C874C7"/>
    <w:rsid w:val="00C90223"/>
    <w:rsid w:val="00C9157A"/>
    <w:rsid w:val="00C91793"/>
    <w:rsid w:val="00C91C85"/>
    <w:rsid w:val="00C9209A"/>
    <w:rsid w:val="00C9245F"/>
    <w:rsid w:val="00C929FF"/>
    <w:rsid w:val="00C93EA2"/>
    <w:rsid w:val="00C93FA4"/>
    <w:rsid w:val="00C94454"/>
    <w:rsid w:val="00C9449E"/>
    <w:rsid w:val="00C94682"/>
    <w:rsid w:val="00C94AFB"/>
    <w:rsid w:val="00C94BF0"/>
    <w:rsid w:val="00C96119"/>
    <w:rsid w:val="00C96D5B"/>
    <w:rsid w:val="00C97918"/>
    <w:rsid w:val="00C97972"/>
    <w:rsid w:val="00C97B22"/>
    <w:rsid w:val="00CA037B"/>
    <w:rsid w:val="00CA1316"/>
    <w:rsid w:val="00CA1368"/>
    <w:rsid w:val="00CA2ADE"/>
    <w:rsid w:val="00CA2FDD"/>
    <w:rsid w:val="00CA37D1"/>
    <w:rsid w:val="00CA4987"/>
    <w:rsid w:val="00CA4D5D"/>
    <w:rsid w:val="00CA552C"/>
    <w:rsid w:val="00CA5C38"/>
    <w:rsid w:val="00CB020F"/>
    <w:rsid w:val="00CB02AE"/>
    <w:rsid w:val="00CB0355"/>
    <w:rsid w:val="00CB1C35"/>
    <w:rsid w:val="00CB29F1"/>
    <w:rsid w:val="00CB2C67"/>
    <w:rsid w:val="00CB2F90"/>
    <w:rsid w:val="00CB3099"/>
    <w:rsid w:val="00CB31F9"/>
    <w:rsid w:val="00CB3EEF"/>
    <w:rsid w:val="00CB4FF7"/>
    <w:rsid w:val="00CB683E"/>
    <w:rsid w:val="00CC03A1"/>
    <w:rsid w:val="00CC0596"/>
    <w:rsid w:val="00CC06FA"/>
    <w:rsid w:val="00CC1118"/>
    <w:rsid w:val="00CC170D"/>
    <w:rsid w:val="00CC1CB3"/>
    <w:rsid w:val="00CC236D"/>
    <w:rsid w:val="00CC24EE"/>
    <w:rsid w:val="00CC2804"/>
    <w:rsid w:val="00CC3161"/>
    <w:rsid w:val="00CC3BC9"/>
    <w:rsid w:val="00CC432E"/>
    <w:rsid w:val="00CC4DFA"/>
    <w:rsid w:val="00CC5046"/>
    <w:rsid w:val="00CC55F5"/>
    <w:rsid w:val="00CC60DE"/>
    <w:rsid w:val="00CC647A"/>
    <w:rsid w:val="00CC6C2C"/>
    <w:rsid w:val="00CD0A84"/>
    <w:rsid w:val="00CD11DA"/>
    <w:rsid w:val="00CD178E"/>
    <w:rsid w:val="00CD23EB"/>
    <w:rsid w:val="00CD3B9C"/>
    <w:rsid w:val="00CD4308"/>
    <w:rsid w:val="00CD44CF"/>
    <w:rsid w:val="00CD4908"/>
    <w:rsid w:val="00CD655F"/>
    <w:rsid w:val="00CD6D06"/>
    <w:rsid w:val="00CD77A1"/>
    <w:rsid w:val="00CD78ED"/>
    <w:rsid w:val="00CE0546"/>
    <w:rsid w:val="00CE0B4E"/>
    <w:rsid w:val="00CE0CBE"/>
    <w:rsid w:val="00CE1962"/>
    <w:rsid w:val="00CE2499"/>
    <w:rsid w:val="00CE268A"/>
    <w:rsid w:val="00CE2F56"/>
    <w:rsid w:val="00CE2FFB"/>
    <w:rsid w:val="00CE4F24"/>
    <w:rsid w:val="00CE52C4"/>
    <w:rsid w:val="00CE5795"/>
    <w:rsid w:val="00CE5EDB"/>
    <w:rsid w:val="00CE7382"/>
    <w:rsid w:val="00CE78DA"/>
    <w:rsid w:val="00CE7AF1"/>
    <w:rsid w:val="00CE7BC3"/>
    <w:rsid w:val="00CF3D96"/>
    <w:rsid w:val="00CF4A8B"/>
    <w:rsid w:val="00CF4AC0"/>
    <w:rsid w:val="00CF4B8F"/>
    <w:rsid w:val="00CF4E80"/>
    <w:rsid w:val="00CF61E5"/>
    <w:rsid w:val="00CF6DAE"/>
    <w:rsid w:val="00D001E3"/>
    <w:rsid w:val="00D009A8"/>
    <w:rsid w:val="00D018AA"/>
    <w:rsid w:val="00D02579"/>
    <w:rsid w:val="00D02C1F"/>
    <w:rsid w:val="00D030F7"/>
    <w:rsid w:val="00D03948"/>
    <w:rsid w:val="00D05664"/>
    <w:rsid w:val="00D05C2B"/>
    <w:rsid w:val="00D06F31"/>
    <w:rsid w:val="00D07458"/>
    <w:rsid w:val="00D07522"/>
    <w:rsid w:val="00D11080"/>
    <w:rsid w:val="00D11F7E"/>
    <w:rsid w:val="00D12887"/>
    <w:rsid w:val="00D12BAC"/>
    <w:rsid w:val="00D1322D"/>
    <w:rsid w:val="00D13A27"/>
    <w:rsid w:val="00D13A9C"/>
    <w:rsid w:val="00D140A0"/>
    <w:rsid w:val="00D141B0"/>
    <w:rsid w:val="00D1478F"/>
    <w:rsid w:val="00D15043"/>
    <w:rsid w:val="00D15E54"/>
    <w:rsid w:val="00D17565"/>
    <w:rsid w:val="00D17E30"/>
    <w:rsid w:val="00D17EC6"/>
    <w:rsid w:val="00D20108"/>
    <w:rsid w:val="00D202E5"/>
    <w:rsid w:val="00D20B8C"/>
    <w:rsid w:val="00D20D4C"/>
    <w:rsid w:val="00D20E87"/>
    <w:rsid w:val="00D21894"/>
    <w:rsid w:val="00D2268D"/>
    <w:rsid w:val="00D24724"/>
    <w:rsid w:val="00D2492E"/>
    <w:rsid w:val="00D2500E"/>
    <w:rsid w:val="00D25C54"/>
    <w:rsid w:val="00D26487"/>
    <w:rsid w:val="00D26936"/>
    <w:rsid w:val="00D269B1"/>
    <w:rsid w:val="00D26FDF"/>
    <w:rsid w:val="00D27720"/>
    <w:rsid w:val="00D310C3"/>
    <w:rsid w:val="00D313EE"/>
    <w:rsid w:val="00D31F06"/>
    <w:rsid w:val="00D32DEC"/>
    <w:rsid w:val="00D338A7"/>
    <w:rsid w:val="00D34654"/>
    <w:rsid w:val="00D347E1"/>
    <w:rsid w:val="00D34836"/>
    <w:rsid w:val="00D34EF9"/>
    <w:rsid w:val="00D352E8"/>
    <w:rsid w:val="00D355BA"/>
    <w:rsid w:val="00D357C9"/>
    <w:rsid w:val="00D35953"/>
    <w:rsid w:val="00D37076"/>
    <w:rsid w:val="00D37914"/>
    <w:rsid w:val="00D3791A"/>
    <w:rsid w:val="00D3796A"/>
    <w:rsid w:val="00D37D76"/>
    <w:rsid w:val="00D40832"/>
    <w:rsid w:val="00D40C5B"/>
    <w:rsid w:val="00D42FE0"/>
    <w:rsid w:val="00D43BE4"/>
    <w:rsid w:val="00D43D86"/>
    <w:rsid w:val="00D44394"/>
    <w:rsid w:val="00D44536"/>
    <w:rsid w:val="00D46872"/>
    <w:rsid w:val="00D47097"/>
    <w:rsid w:val="00D47154"/>
    <w:rsid w:val="00D51002"/>
    <w:rsid w:val="00D51D0E"/>
    <w:rsid w:val="00D52477"/>
    <w:rsid w:val="00D5373B"/>
    <w:rsid w:val="00D53B71"/>
    <w:rsid w:val="00D544BD"/>
    <w:rsid w:val="00D547C6"/>
    <w:rsid w:val="00D5555C"/>
    <w:rsid w:val="00D55C82"/>
    <w:rsid w:val="00D5658C"/>
    <w:rsid w:val="00D56D6E"/>
    <w:rsid w:val="00D574A9"/>
    <w:rsid w:val="00D5763E"/>
    <w:rsid w:val="00D603DA"/>
    <w:rsid w:val="00D6089B"/>
    <w:rsid w:val="00D60F8F"/>
    <w:rsid w:val="00D62616"/>
    <w:rsid w:val="00D63616"/>
    <w:rsid w:val="00D64C8D"/>
    <w:rsid w:val="00D65B4C"/>
    <w:rsid w:val="00D65BC8"/>
    <w:rsid w:val="00D65EB9"/>
    <w:rsid w:val="00D670AB"/>
    <w:rsid w:val="00D67465"/>
    <w:rsid w:val="00D678F3"/>
    <w:rsid w:val="00D67BE6"/>
    <w:rsid w:val="00D70882"/>
    <w:rsid w:val="00D71BF5"/>
    <w:rsid w:val="00D72810"/>
    <w:rsid w:val="00D73653"/>
    <w:rsid w:val="00D7386F"/>
    <w:rsid w:val="00D73C96"/>
    <w:rsid w:val="00D73FF5"/>
    <w:rsid w:val="00D73FF7"/>
    <w:rsid w:val="00D7584C"/>
    <w:rsid w:val="00D758CE"/>
    <w:rsid w:val="00D7664B"/>
    <w:rsid w:val="00D76EBE"/>
    <w:rsid w:val="00D778AD"/>
    <w:rsid w:val="00D81001"/>
    <w:rsid w:val="00D81847"/>
    <w:rsid w:val="00D820AB"/>
    <w:rsid w:val="00D82576"/>
    <w:rsid w:val="00D83A17"/>
    <w:rsid w:val="00D83B75"/>
    <w:rsid w:val="00D85CE3"/>
    <w:rsid w:val="00D85DCB"/>
    <w:rsid w:val="00D85FDF"/>
    <w:rsid w:val="00D8676D"/>
    <w:rsid w:val="00D86D99"/>
    <w:rsid w:val="00D874E6"/>
    <w:rsid w:val="00D8798E"/>
    <w:rsid w:val="00D908CE"/>
    <w:rsid w:val="00D90DF9"/>
    <w:rsid w:val="00D9122B"/>
    <w:rsid w:val="00D915CC"/>
    <w:rsid w:val="00D916CC"/>
    <w:rsid w:val="00D91F0B"/>
    <w:rsid w:val="00D92B8A"/>
    <w:rsid w:val="00D9307F"/>
    <w:rsid w:val="00D9314C"/>
    <w:rsid w:val="00D9326C"/>
    <w:rsid w:val="00D9330C"/>
    <w:rsid w:val="00D935AE"/>
    <w:rsid w:val="00D93C2B"/>
    <w:rsid w:val="00D9436D"/>
    <w:rsid w:val="00D956B7"/>
    <w:rsid w:val="00D9631C"/>
    <w:rsid w:val="00D974FB"/>
    <w:rsid w:val="00D97B99"/>
    <w:rsid w:val="00DA0767"/>
    <w:rsid w:val="00DA0A99"/>
    <w:rsid w:val="00DA0A9F"/>
    <w:rsid w:val="00DA0ED2"/>
    <w:rsid w:val="00DA1571"/>
    <w:rsid w:val="00DA18FD"/>
    <w:rsid w:val="00DA1A19"/>
    <w:rsid w:val="00DA1DEE"/>
    <w:rsid w:val="00DA2376"/>
    <w:rsid w:val="00DA237F"/>
    <w:rsid w:val="00DA29D1"/>
    <w:rsid w:val="00DA2A12"/>
    <w:rsid w:val="00DA2F83"/>
    <w:rsid w:val="00DA306B"/>
    <w:rsid w:val="00DA3679"/>
    <w:rsid w:val="00DA44CB"/>
    <w:rsid w:val="00DA4701"/>
    <w:rsid w:val="00DA7634"/>
    <w:rsid w:val="00DB00BB"/>
    <w:rsid w:val="00DB0AFD"/>
    <w:rsid w:val="00DB1B20"/>
    <w:rsid w:val="00DB24C2"/>
    <w:rsid w:val="00DB2B6B"/>
    <w:rsid w:val="00DB39E3"/>
    <w:rsid w:val="00DB3E46"/>
    <w:rsid w:val="00DB652C"/>
    <w:rsid w:val="00DB7386"/>
    <w:rsid w:val="00DC0136"/>
    <w:rsid w:val="00DC0238"/>
    <w:rsid w:val="00DC0369"/>
    <w:rsid w:val="00DC2992"/>
    <w:rsid w:val="00DC2F91"/>
    <w:rsid w:val="00DC3BB1"/>
    <w:rsid w:val="00DC406E"/>
    <w:rsid w:val="00DC4B82"/>
    <w:rsid w:val="00DC6217"/>
    <w:rsid w:val="00DC659B"/>
    <w:rsid w:val="00DC66EF"/>
    <w:rsid w:val="00DC6D32"/>
    <w:rsid w:val="00DC6DA3"/>
    <w:rsid w:val="00DD0280"/>
    <w:rsid w:val="00DD15AF"/>
    <w:rsid w:val="00DD22B8"/>
    <w:rsid w:val="00DD28D4"/>
    <w:rsid w:val="00DD2B3C"/>
    <w:rsid w:val="00DD3C15"/>
    <w:rsid w:val="00DD4213"/>
    <w:rsid w:val="00DD4316"/>
    <w:rsid w:val="00DD5EA1"/>
    <w:rsid w:val="00DD6537"/>
    <w:rsid w:val="00DD758D"/>
    <w:rsid w:val="00DD7713"/>
    <w:rsid w:val="00DD797B"/>
    <w:rsid w:val="00DE0678"/>
    <w:rsid w:val="00DE107F"/>
    <w:rsid w:val="00DE158F"/>
    <w:rsid w:val="00DE18C5"/>
    <w:rsid w:val="00DE3F66"/>
    <w:rsid w:val="00DE4621"/>
    <w:rsid w:val="00DE5091"/>
    <w:rsid w:val="00DE529B"/>
    <w:rsid w:val="00DE594A"/>
    <w:rsid w:val="00DE5C85"/>
    <w:rsid w:val="00DE64F0"/>
    <w:rsid w:val="00DE672A"/>
    <w:rsid w:val="00DE694B"/>
    <w:rsid w:val="00DE6AE5"/>
    <w:rsid w:val="00DE6F44"/>
    <w:rsid w:val="00DE748C"/>
    <w:rsid w:val="00DF0069"/>
    <w:rsid w:val="00DF1326"/>
    <w:rsid w:val="00DF1EC1"/>
    <w:rsid w:val="00DF2916"/>
    <w:rsid w:val="00DF3BD4"/>
    <w:rsid w:val="00DF4338"/>
    <w:rsid w:val="00DF5804"/>
    <w:rsid w:val="00DF5B1D"/>
    <w:rsid w:val="00DF604A"/>
    <w:rsid w:val="00DF6056"/>
    <w:rsid w:val="00DF6716"/>
    <w:rsid w:val="00DF6F82"/>
    <w:rsid w:val="00DF7C1E"/>
    <w:rsid w:val="00E00EB2"/>
    <w:rsid w:val="00E016E8"/>
    <w:rsid w:val="00E02E9B"/>
    <w:rsid w:val="00E03D44"/>
    <w:rsid w:val="00E04438"/>
    <w:rsid w:val="00E04B79"/>
    <w:rsid w:val="00E061DF"/>
    <w:rsid w:val="00E06940"/>
    <w:rsid w:val="00E108AF"/>
    <w:rsid w:val="00E10EE1"/>
    <w:rsid w:val="00E111A5"/>
    <w:rsid w:val="00E11A26"/>
    <w:rsid w:val="00E13B34"/>
    <w:rsid w:val="00E13CA1"/>
    <w:rsid w:val="00E13E3F"/>
    <w:rsid w:val="00E14236"/>
    <w:rsid w:val="00E149DB"/>
    <w:rsid w:val="00E14EC3"/>
    <w:rsid w:val="00E15035"/>
    <w:rsid w:val="00E16108"/>
    <w:rsid w:val="00E162A1"/>
    <w:rsid w:val="00E17AAE"/>
    <w:rsid w:val="00E17BD8"/>
    <w:rsid w:val="00E17CA4"/>
    <w:rsid w:val="00E210B8"/>
    <w:rsid w:val="00E21630"/>
    <w:rsid w:val="00E226D2"/>
    <w:rsid w:val="00E22727"/>
    <w:rsid w:val="00E231C6"/>
    <w:rsid w:val="00E251B9"/>
    <w:rsid w:val="00E2544C"/>
    <w:rsid w:val="00E25F8E"/>
    <w:rsid w:val="00E26577"/>
    <w:rsid w:val="00E27381"/>
    <w:rsid w:val="00E278B1"/>
    <w:rsid w:val="00E27D2E"/>
    <w:rsid w:val="00E30CE9"/>
    <w:rsid w:val="00E31127"/>
    <w:rsid w:val="00E314CB"/>
    <w:rsid w:val="00E31E70"/>
    <w:rsid w:val="00E329F4"/>
    <w:rsid w:val="00E3300A"/>
    <w:rsid w:val="00E330B4"/>
    <w:rsid w:val="00E33A51"/>
    <w:rsid w:val="00E34316"/>
    <w:rsid w:val="00E345D5"/>
    <w:rsid w:val="00E34E0F"/>
    <w:rsid w:val="00E34EEF"/>
    <w:rsid w:val="00E367C3"/>
    <w:rsid w:val="00E3721F"/>
    <w:rsid w:val="00E375B1"/>
    <w:rsid w:val="00E37CEC"/>
    <w:rsid w:val="00E37D9A"/>
    <w:rsid w:val="00E416F4"/>
    <w:rsid w:val="00E41B6A"/>
    <w:rsid w:val="00E42510"/>
    <w:rsid w:val="00E425F2"/>
    <w:rsid w:val="00E43C9F"/>
    <w:rsid w:val="00E4488F"/>
    <w:rsid w:val="00E448B5"/>
    <w:rsid w:val="00E44B9E"/>
    <w:rsid w:val="00E44EC3"/>
    <w:rsid w:val="00E4591C"/>
    <w:rsid w:val="00E45ADC"/>
    <w:rsid w:val="00E45AE7"/>
    <w:rsid w:val="00E475BC"/>
    <w:rsid w:val="00E50073"/>
    <w:rsid w:val="00E50243"/>
    <w:rsid w:val="00E504EE"/>
    <w:rsid w:val="00E509AF"/>
    <w:rsid w:val="00E511D2"/>
    <w:rsid w:val="00E51F8C"/>
    <w:rsid w:val="00E536AE"/>
    <w:rsid w:val="00E54274"/>
    <w:rsid w:val="00E54959"/>
    <w:rsid w:val="00E54B74"/>
    <w:rsid w:val="00E55603"/>
    <w:rsid w:val="00E559A3"/>
    <w:rsid w:val="00E55EBD"/>
    <w:rsid w:val="00E5657A"/>
    <w:rsid w:val="00E56E21"/>
    <w:rsid w:val="00E57822"/>
    <w:rsid w:val="00E601D2"/>
    <w:rsid w:val="00E619E4"/>
    <w:rsid w:val="00E61B87"/>
    <w:rsid w:val="00E633CC"/>
    <w:rsid w:val="00E634B8"/>
    <w:rsid w:val="00E63655"/>
    <w:rsid w:val="00E636BE"/>
    <w:rsid w:val="00E636DC"/>
    <w:rsid w:val="00E636EC"/>
    <w:rsid w:val="00E6568D"/>
    <w:rsid w:val="00E65C25"/>
    <w:rsid w:val="00E66CDD"/>
    <w:rsid w:val="00E7013C"/>
    <w:rsid w:val="00E7057E"/>
    <w:rsid w:val="00E7114D"/>
    <w:rsid w:val="00E71184"/>
    <w:rsid w:val="00E71367"/>
    <w:rsid w:val="00E71A8E"/>
    <w:rsid w:val="00E72389"/>
    <w:rsid w:val="00E72BC3"/>
    <w:rsid w:val="00E72CA8"/>
    <w:rsid w:val="00E731EB"/>
    <w:rsid w:val="00E73B9F"/>
    <w:rsid w:val="00E73EF7"/>
    <w:rsid w:val="00E73F8B"/>
    <w:rsid w:val="00E7402F"/>
    <w:rsid w:val="00E7439D"/>
    <w:rsid w:val="00E7443E"/>
    <w:rsid w:val="00E752D4"/>
    <w:rsid w:val="00E754D5"/>
    <w:rsid w:val="00E75C50"/>
    <w:rsid w:val="00E75C76"/>
    <w:rsid w:val="00E77746"/>
    <w:rsid w:val="00E77A32"/>
    <w:rsid w:val="00E77B72"/>
    <w:rsid w:val="00E77C3B"/>
    <w:rsid w:val="00E807D9"/>
    <w:rsid w:val="00E8110A"/>
    <w:rsid w:val="00E81648"/>
    <w:rsid w:val="00E81D71"/>
    <w:rsid w:val="00E823C4"/>
    <w:rsid w:val="00E824E9"/>
    <w:rsid w:val="00E8258A"/>
    <w:rsid w:val="00E82A55"/>
    <w:rsid w:val="00E84BE2"/>
    <w:rsid w:val="00E84F42"/>
    <w:rsid w:val="00E85814"/>
    <w:rsid w:val="00E85B85"/>
    <w:rsid w:val="00E865C7"/>
    <w:rsid w:val="00E869AA"/>
    <w:rsid w:val="00E86B6B"/>
    <w:rsid w:val="00E87012"/>
    <w:rsid w:val="00E879FF"/>
    <w:rsid w:val="00E87E79"/>
    <w:rsid w:val="00E903F7"/>
    <w:rsid w:val="00E9067E"/>
    <w:rsid w:val="00E90F34"/>
    <w:rsid w:val="00E91485"/>
    <w:rsid w:val="00E9171B"/>
    <w:rsid w:val="00E923C5"/>
    <w:rsid w:val="00E929DF"/>
    <w:rsid w:val="00E9408E"/>
    <w:rsid w:val="00E9491B"/>
    <w:rsid w:val="00E95AEB"/>
    <w:rsid w:val="00E9674F"/>
    <w:rsid w:val="00E96F8E"/>
    <w:rsid w:val="00E9720F"/>
    <w:rsid w:val="00E9747C"/>
    <w:rsid w:val="00E97C89"/>
    <w:rsid w:val="00E97CD0"/>
    <w:rsid w:val="00EA038A"/>
    <w:rsid w:val="00EA142F"/>
    <w:rsid w:val="00EA1919"/>
    <w:rsid w:val="00EA1BDA"/>
    <w:rsid w:val="00EA3369"/>
    <w:rsid w:val="00EA3A9C"/>
    <w:rsid w:val="00EA3FF8"/>
    <w:rsid w:val="00EA4271"/>
    <w:rsid w:val="00EA453D"/>
    <w:rsid w:val="00EA5293"/>
    <w:rsid w:val="00EA578A"/>
    <w:rsid w:val="00EA57DA"/>
    <w:rsid w:val="00EA59C0"/>
    <w:rsid w:val="00EA5C18"/>
    <w:rsid w:val="00EA63DC"/>
    <w:rsid w:val="00EA6DBC"/>
    <w:rsid w:val="00EB0C39"/>
    <w:rsid w:val="00EB196A"/>
    <w:rsid w:val="00EB1C28"/>
    <w:rsid w:val="00EB2512"/>
    <w:rsid w:val="00EB2CDA"/>
    <w:rsid w:val="00EB4192"/>
    <w:rsid w:val="00EB42C2"/>
    <w:rsid w:val="00EB608C"/>
    <w:rsid w:val="00EB6E36"/>
    <w:rsid w:val="00EB6E58"/>
    <w:rsid w:val="00EB6E7D"/>
    <w:rsid w:val="00EB6F4E"/>
    <w:rsid w:val="00EB7C89"/>
    <w:rsid w:val="00EC0A0B"/>
    <w:rsid w:val="00EC0DD7"/>
    <w:rsid w:val="00EC131A"/>
    <w:rsid w:val="00EC15BB"/>
    <w:rsid w:val="00EC19BD"/>
    <w:rsid w:val="00EC2C78"/>
    <w:rsid w:val="00EC351B"/>
    <w:rsid w:val="00EC35CA"/>
    <w:rsid w:val="00EC4943"/>
    <w:rsid w:val="00EC4ABE"/>
    <w:rsid w:val="00EC4BCB"/>
    <w:rsid w:val="00EC4D6E"/>
    <w:rsid w:val="00EC4E1B"/>
    <w:rsid w:val="00EC519F"/>
    <w:rsid w:val="00EC5A37"/>
    <w:rsid w:val="00EC670E"/>
    <w:rsid w:val="00EC6F78"/>
    <w:rsid w:val="00EC771D"/>
    <w:rsid w:val="00ED0635"/>
    <w:rsid w:val="00ED112E"/>
    <w:rsid w:val="00ED2908"/>
    <w:rsid w:val="00ED29F4"/>
    <w:rsid w:val="00ED39B6"/>
    <w:rsid w:val="00ED418E"/>
    <w:rsid w:val="00ED4348"/>
    <w:rsid w:val="00ED44F1"/>
    <w:rsid w:val="00ED4D35"/>
    <w:rsid w:val="00ED61B0"/>
    <w:rsid w:val="00ED673B"/>
    <w:rsid w:val="00ED6743"/>
    <w:rsid w:val="00ED7E47"/>
    <w:rsid w:val="00EE001D"/>
    <w:rsid w:val="00EE1F7A"/>
    <w:rsid w:val="00EE2160"/>
    <w:rsid w:val="00EE281D"/>
    <w:rsid w:val="00EE288B"/>
    <w:rsid w:val="00EE2A81"/>
    <w:rsid w:val="00EE2FD0"/>
    <w:rsid w:val="00EE5872"/>
    <w:rsid w:val="00EE6F82"/>
    <w:rsid w:val="00EE7C92"/>
    <w:rsid w:val="00EE7DBA"/>
    <w:rsid w:val="00EF0480"/>
    <w:rsid w:val="00EF0D4E"/>
    <w:rsid w:val="00EF0F60"/>
    <w:rsid w:val="00EF109D"/>
    <w:rsid w:val="00EF167B"/>
    <w:rsid w:val="00EF1951"/>
    <w:rsid w:val="00EF19A8"/>
    <w:rsid w:val="00EF2013"/>
    <w:rsid w:val="00EF3EDD"/>
    <w:rsid w:val="00EF45D4"/>
    <w:rsid w:val="00EF672B"/>
    <w:rsid w:val="00EF6D93"/>
    <w:rsid w:val="00F00470"/>
    <w:rsid w:val="00F00F94"/>
    <w:rsid w:val="00F01826"/>
    <w:rsid w:val="00F0207B"/>
    <w:rsid w:val="00F02674"/>
    <w:rsid w:val="00F02B3A"/>
    <w:rsid w:val="00F02CDC"/>
    <w:rsid w:val="00F03D91"/>
    <w:rsid w:val="00F04DF4"/>
    <w:rsid w:val="00F0537A"/>
    <w:rsid w:val="00F05423"/>
    <w:rsid w:val="00F063CD"/>
    <w:rsid w:val="00F07019"/>
    <w:rsid w:val="00F100C0"/>
    <w:rsid w:val="00F10638"/>
    <w:rsid w:val="00F108E7"/>
    <w:rsid w:val="00F1347B"/>
    <w:rsid w:val="00F13829"/>
    <w:rsid w:val="00F140D4"/>
    <w:rsid w:val="00F1494F"/>
    <w:rsid w:val="00F14C0F"/>
    <w:rsid w:val="00F15990"/>
    <w:rsid w:val="00F15AE5"/>
    <w:rsid w:val="00F15AF6"/>
    <w:rsid w:val="00F169BC"/>
    <w:rsid w:val="00F172D0"/>
    <w:rsid w:val="00F17BD9"/>
    <w:rsid w:val="00F20983"/>
    <w:rsid w:val="00F20989"/>
    <w:rsid w:val="00F20F0C"/>
    <w:rsid w:val="00F21333"/>
    <w:rsid w:val="00F21D05"/>
    <w:rsid w:val="00F22A97"/>
    <w:rsid w:val="00F23BBC"/>
    <w:rsid w:val="00F24B16"/>
    <w:rsid w:val="00F2507C"/>
    <w:rsid w:val="00F26CB2"/>
    <w:rsid w:val="00F2733D"/>
    <w:rsid w:val="00F30D01"/>
    <w:rsid w:val="00F31737"/>
    <w:rsid w:val="00F31896"/>
    <w:rsid w:val="00F31A12"/>
    <w:rsid w:val="00F32047"/>
    <w:rsid w:val="00F32128"/>
    <w:rsid w:val="00F327A1"/>
    <w:rsid w:val="00F333B1"/>
    <w:rsid w:val="00F3355C"/>
    <w:rsid w:val="00F33795"/>
    <w:rsid w:val="00F338E8"/>
    <w:rsid w:val="00F33E69"/>
    <w:rsid w:val="00F33EFF"/>
    <w:rsid w:val="00F33FF5"/>
    <w:rsid w:val="00F34AE7"/>
    <w:rsid w:val="00F34DD4"/>
    <w:rsid w:val="00F3536A"/>
    <w:rsid w:val="00F35585"/>
    <w:rsid w:val="00F3582C"/>
    <w:rsid w:val="00F35845"/>
    <w:rsid w:val="00F36B8E"/>
    <w:rsid w:val="00F37A9C"/>
    <w:rsid w:val="00F401BB"/>
    <w:rsid w:val="00F40A22"/>
    <w:rsid w:val="00F40FB3"/>
    <w:rsid w:val="00F420B1"/>
    <w:rsid w:val="00F4235A"/>
    <w:rsid w:val="00F42724"/>
    <w:rsid w:val="00F43124"/>
    <w:rsid w:val="00F43C5F"/>
    <w:rsid w:val="00F43D55"/>
    <w:rsid w:val="00F45CF1"/>
    <w:rsid w:val="00F50580"/>
    <w:rsid w:val="00F52138"/>
    <w:rsid w:val="00F52343"/>
    <w:rsid w:val="00F52911"/>
    <w:rsid w:val="00F5347E"/>
    <w:rsid w:val="00F53D2E"/>
    <w:rsid w:val="00F54F88"/>
    <w:rsid w:val="00F55107"/>
    <w:rsid w:val="00F557E1"/>
    <w:rsid w:val="00F56B1C"/>
    <w:rsid w:val="00F56E7F"/>
    <w:rsid w:val="00F57348"/>
    <w:rsid w:val="00F603D1"/>
    <w:rsid w:val="00F60CEA"/>
    <w:rsid w:val="00F60EA2"/>
    <w:rsid w:val="00F610A6"/>
    <w:rsid w:val="00F625A6"/>
    <w:rsid w:val="00F6377A"/>
    <w:rsid w:val="00F6476B"/>
    <w:rsid w:val="00F6499F"/>
    <w:rsid w:val="00F65616"/>
    <w:rsid w:val="00F6783E"/>
    <w:rsid w:val="00F67CDA"/>
    <w:rsid w:val="00F71122"/>
    <w:rsid w:val="00F71BCB"/>
    <w:rsid w:val="00F7284F"/>
    <w:rsid w:val="00F74D97"/>
    <w:rsid w:val="00F74E11"/>
    <w:rsid w:val="00F75006"/>
    <w:rsid w:val="00F7506A"/>
    <w:rsid w:val="00F765F7"/>
    <w:rsid w:val="00F768CB"/>
    <w:rsid w:val="00F771C0"/>
    <w:rsid w:val="00F77C03"/>
    <w:rsid w:val="00F807AB"/>
    <w:rsid w:val="00F819C1"/>
    <w:rsid w:val="00F82365"/>
    <w:rsid w:val="00F826C6"/>
    <w:rsid w:val="00F837D1"/>
    <w:rsid w:val="00F83905"/>
    <w:rsid w:val="00F847E4"/>
    <w:rsid w:val="00F84F14"/>
    <w:rsid w:val="00F8542B"/>
    <w:rsid w:val="00F85D18"/>
    <w:rsid w:val="00F86F54"/>
    <w:rsid w:val="00F8762C"/>
    <w:rsid w:val="00F907BD"/>
    <w:rsid w:val="00F90D62"/>
    <w:rsid w:val="00F90F29"/>
    <w:rsid w:val="00F921F1"/>
    <w:rsid w:val="00F933D1"/>
    <w:rsid w:val="00F93B58"/>
    <w:rsid w:val="00F94114"/>
    <w:rsid w:val="00F947F9"/>
    <w:rsid w:val="00F95DBA"/>
    <w:rsid w:val="00F97019"/>
    <w:rsid w:val="00F97254"/>
    <w:rsid w:val="00F9762F"/>
    <w:rsid w:val="00F978E8"/>
    <w:rsid w:val="00F97E6E"/>
    <w:rsid w:val="00FA003B"/>
    <w:rsid w:val="00FA0690"/>
    <w:rsid w:val="00FA0A23"/>
    <w:rsid w:val="00FA0E98"/>
    <w:rsid w:val="00FA1499"/>
    <w:rsid w:val="00FA1F76"/>
    <w:rsid w:val="00FA22D3"/>
    <w:rsid w:val="00FA265D"/>
    <w:rsid w:val="00FA2BDE"/>
    <w:rsid w:val="00FA2D2D"/>
    <w:rsid w:val="00FA3494"/>
    <w:rsid w:val="00FA382A"/>
    <w:rsid w:val="00FA3F06"/>
    <w:rsid w:val="00FA4637"/>
    <w:rsid w:val="00FA4D78"/>
    <w:rsid w:val="00FA4EF3"/>
    <w:rsid w:val="00FA6640"/>
    <w:rsid w:val="00FA7F45"/>
    <w:rsid w:val="00FB00A0"/>
    <w:rsid w:val="00FB1062"/>
    <w:rsid w:val="00FB1180"/>
    <w:rsid w:val="00FB394E"/>
    <w:rsid w:val="00FB3C72"/>
    <w:rsid w:val="00FB4671"/>
    <w:rsid w:val="00FB4DCC"/>
    <w:rsid w:val="00FB5049"/>
    <w:rsid w:val="00FB551E"/>
    <w:rsid w:val="00FB6317"/>
    <w:rsid w:val="00FB6A6A"/>
    <w:rsid w:val="00FB6AB1"/>
    <w:rsid w:val="00FB6F58"/>
    <w:rsid w:val="00FB7035"/>
    <w:rsid w:val="00FB7924"/>
    <w:rsid w:val="00FB7E47"/>
    <w:rsid w:val="00FC1250"/>
    <w:rsid w:val="00FC1582"/>
    <w:rsid w:val="00FC1803"/>
    <w:rsid w:val="00FC2C09"/>
    <w:rsid w:val="00FC2F33"/>
    <w:rsid w:val="00FC34EA"/>
    <w:rsid w:val="00FC3B89"/>
    <w:rsid w:val="00FC426D"/>
    <w:rsid w:val="00FC4422"/>
    <w:rsid w:val="00FC4CA1"/>
    <w:rsid w:val="00FC527D"/>
    <w:rsid w:val="00FC5ECB"/>
    <w:rsid w:val="00FC65D8"/>
    <w:rsid w:val="00FD2853"/>
    <w:rsid w:val="00FD2953"/>
    <w:rsid w:val="00FD3276"/>
    <w:rsid w:val="00FD3AD7"/>
    <w:rsid w:val="00FD4829"/>
    <w:rsid w:val="00FD5E8D"/>
    <w:rsid w:val="00FD6ADA"/>
    <w:rsid w:val="00FD6B90"/>
    <w:rsid w:val="00FD6E7E"/>
    <w:rsid w:val="00FD7855"/>
    <w:rsid w:val="00FD7A33"/>
    <w:rsid w:val="00FD7E87"/>
    <w:rsid w:val="00FE0E94"/>
    <w:rsid w:val="00FE1036"/>
    <w:rsid w:val="00FE1214"/>
    <w:rsid w:val="00FE1EF7"/>
    <w:rsid w:val="00FE2238"/>
    <w:rsid w:val="00FE25AA"/>
    <w:rsid w:val="00FE2A77"/>
    <w:rsid w:val="00FE325E"/>
    <w:rsid w:val="00FE4136"/>
    <w:rsid w:val="00FE4A92"/>
    <w:rsid w:val="00FE5389"/>
    <w:rsid w:val="00FE58BA"/>
    <w:rsid w:val="00FE731A"/>
    <w:rsid w:val="00FE7FA1"/>
    <w:rsid w:val="00FF01FE"/>
    <w:rsid w:val="00FF13DD"/>
    <w:rsid w:val="00FF1DC7"/>
    <w:rsid w:val="00FF1F2E"/>
    <w:rsid w:val="00FF49ED"/>
    <w:rsid w:val="00FF55AC"/>
    <w:rsid w:val="00FF56D2"/>
    <w:rsid w:val="00FF59D4"/>
    <w:rsid w:val="00FF6CED"/>
    <w:rsid w:val="00FF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caption" w:locked="1"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Normal (Web)"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A5"/>
    <w:rPr>
      <w:sz w:val="24"/>
      <w:szCs w:val="24"/>
    </w:rPr>
  </w:style>
  <w:style w:type="paragraph" w:styleId="Heading1">
    <w:name w:val="heading 1"/>
    <w:basedOn w:val="Heading5"/>
    <w:next w:val="Normal"/>
    <w:link w:val="Heading1Char"/>
    <w:qFormat/>
    <w:rsid w:val="002319A5"/>
    <w:pPr>
      <w:numPr>
        <w:ilvl w:val="0"/>
        <w:numId w:val="0"/>
      </w:numPr>
      <w:outlineLvl w:val="0"/>
    </w:pPr>
    <w:rPr>
      <w:rFonts w:ascii="Palatino Linotype" w:hAnsi="Palatino Linotype"/>
      <w:b/>
      <w:i w:val="0"/>
    </w:rPr>
  </w:style>
  <w:style w:type="paragraph" w:styleId="Heading2">
    <w:name w:val="heading 2"/>
    <w:basedOn w:val="Normal"/>
    <w:next w:val="Normal"/>
    <w:link w:val="Heading2Char"/>
    <w:qFormat/>
    <w:rsid w:val="002319A5"/>
    <w:pPr>
      <w:numPr>
        <w:numId w:val="2"/>
      </w:numPr>
      <w:spacing w:line="480" w:lineRule="auto"/>
      <w:outlineLvl w:val="1"/>
    </w:pPr>
    <w:rPr>
      <w:rFonts w:ascii="Palatino Linotype" w:hAnsi="Palatino Linotype"/>
      <w:b/>
      <w:i/>
    </w:rPr>
  </w:style>
  <w:style w:type="paragraph" w:styleId="Heading3">
    <w:name w:val="heading 3"/>
    <w:basedOn w:val="Normal"/>
    <w:next w:val="Normal"/>
    <w:link w:val="Heading3Char"/>
    <w:autoRedefine/>
    <w:qFormat/>
    <w:rsid w:val="00A93F2C"/>
    <w:pPr>
      <w:widowControl w:val="0"/>
      <w:numPr>
        <w:numId w:val="13"/>
      </w:numPr>
      <w:autoSpaceDE w:val="0"/>
      <w:autoSpaceDN w:val="0"/>
      <w:adjustRightInd w:val="0"/>
      <w:outlineLvl w:val="2"/>
    </w:pPr>
    <w:rPr>
      <w:color w:val="365F91" w:themeColor="accent1" w:themeShade="BF"/>
    </w:rPr>
  </w:style>
  <w:style w:type="paragraph" w:styleId="Heading4">
    <w:name w:val="heading 4"/>
    <w:basedOn w:val="Normal"/>
    <w:next w:val="Normal"/>
    <w:link w:val="Heading4Char"/>
    <w:qFormat/>
    <w:rsid w:val="002319A5"/>
    <w:pPr>
      <w:widowControl w:val="0"/>
      <w:autoSpaceDE w:val="0"/>
      <w:autoSpaceDN w:val="0"/>
      <w:adjustRightInd w:val="0"/>
      <w:spacing w:line="480" w:lineRule="auto"/>
      <w:outlineLvl w:val="3"/>
    </w:pPr>
    <w:rPr>
      <w:rFonts w:ascii="Palatino Linotype" w:hAnsi="Palatino Linotype"/>
      <w:u w:val="single"/>
    </w:rPr>
  </w:style>
  <w:style w:type="paragraph" w:styleId="Heading5">
    <w:name w:val="heading 5"/>
    <w:basedOn w:val="Normal"/>
    <w:next w:val="Normal"/>
    <w:link w:val="Heading5Char"/>
    <w:qFormat/>
    <w:rsid w:val="002319A5"/>
    <w:pPr>
      <w:keepNext/>
      <w:numPr>
        <w:ilvl w:val="4"/>
        <w:numId w:val="1"/>
      </w:numPr>
      <w:spacing w:line="480" w:lineRule="auto"/>
      <w:outlineLvl w:val="4"/>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E412C"/>
    <w:rPr>
      <w:rFonts w:ascii="Cambria" w:hAnsi="Cambria" w:cs="Times New Roman"/>
      <w:b/>
      <w:bCs/>
      <w:kern w:val="32"/>
      <w:sz w:val="32"/>
      <w:szCs w:val="32"/>
    </w:rPr>
  </w:style>
  <w:style w:type="character" w:customStyle="1" w:styleId="Heading2Char">
    <w:name w:val="Heading 2 Char"/>
    <w:basedOn w:val="DefaultParagraphFont"/>
    <w:link w:val="Heading2"/>
    <w:locked/>
    <w:rsid w:val="009E412C"/>
    <w:rPr>
      <w:rFonts w:ascii="Palatino Linotype" w:hAnsi="Palatino Linotype"/>
      <w:b/>
      <w:i/>
      <w:sz w:val="24"/>
      <w:szCs w:val="24"/>
    </w:rPr>
  </w:style>
  <w:style w:type="character" w:customStyle="1" w:styleId="Heading3Char">
    <w:name w:val="Heading 3 Char"/>
    <w:basedOn w:val="DefaultParagraphFont"/>
    <w:link w:val="Heading3"/>
    <w:locked/>
    <w:rsid w:val="00A93F2C"/>
    <w:rPr>
      <w:color w:val="365F91" w:themeColor="accent1" w:themeShade="BF"/>
      <w:sz w:val="24"/>
      <w:szCs w:val="24"/>
    </w:rPr>
  </w:style>
  <w:style w:type="character" w:customStyle="1" w:styleId="Heading4Char">
    <w:name w:val="Heading 4 Char"/>
    <w:basedOn w:val="DefaultParagraphFont"/>
    <w:link w:val="Heading4"/>
    <w:semiHidden/>
    <w:locked/>
    <w:rsid w:val="009E412C"/>
    <w:rPr>
      <w:rFonts w:ascii="Calibri" w:hAnsi="Calibri" w:cs="Times New Roman"/>
      <w:b/>
      <w:bCs/>
      <w:sz w:val="28"/>
      <w:szCs w:val="28"/>
    </w:rPr>
  </w:style>
  <w:style w:type="character" w:customStyle="1" w:styleId="Heading5Char">
    <w:name w:val="Heading 5 Char"/>
    <w:basedOn w:val="DefaultParagraphFont"/>
    <w:link w:val="Heading5"/>
    <w:locked/>
    <w:rsid w:val="009E412C"/>
    <w:rPr>
      <w:bCs/>
      <w:i/>
      <w:sz w:val="24"/>
      <w:szCs w:val="24"/>
    </w:rPr>
  </w:style>
  <w:style w:type="paragraph" w:customStyle="1" w:styleId="Level2">
    <w:name w:val="Level 2"/>
    <w:basedOn w:val="Normal"/>
    <w:rsid w:val="002319A5"/>
    <w:pPr>
      <w:widowControl w:val="0"/>
      <w:autoSpaceDE w:val="0"/>
      <w:autoSpaceDN w:val="0"/>
      <w:adjustRightInd w:val="0"/>
    </w:pPr>
    <w:rPr>
      <w:rFonts w:ascii="Courier New" w:hAnsi="Courier New"/>
    </w:rPr>
  </w:style>
  <w:style w:type="character" w:styleId="Hyperlink">
    <w:name w:val="Hyperlink"/>
    <w:basedOn w:val="DefaultParagraphFont"/>
    <w:uiPriority w:val="99"/>
    <w:rsid w:val="002319A5"/>
    <w:rPr>
      <w:rFonts w:cs="Times New Roman"/>
      <w:color w:val="0000FF"/>
      <w:u w:val="single"/>
    </w:rPr>
  </w:style>
  <w:style w:type="paragraph" w:styleId="Footer">
    <w:name w:val="footer"/>
    <w:basedOn w:val="Normal"/>
    <w:link w:val="FooterChar"/>
    <w:rsid w:val="002319A5"/>
    <w:pPr>
      <w:tabs>
        <w:tab w:val="center" w:pos="4320"/>
        <w:tab w:val="right" w:pos="8640"/>
      </w:tabs>
    </w:pPr>
  </w:style>
  <w:style w:type="character" w:customStyle="1" w:styleId="FooterChar">
    <w:name w:val="Footer Char"/>
    <w:basedOn w:val="DefaultParagraphFont"/>
    <w:link w:val="Footer"/>
    <w:locked/>
    <w:rsid w:val="009E412C"/>
    <w:rPr>
      <w:rFonts w:cs="Times New Roman"/>
      <w:sz w:val="24"/>
      <w:szCs w:val="24"/>
    </w:rPr>
  </w:style>
  <w:style w:type="character" w:styleId="PageNumber">
    <w:name w:val="page number"/>
    <w:basedOn w:val="DefaultParagraphFont"/>
    <w:rsid w:val="002319A5"/>
    <w:rPr>
      <w:rFonts w:cs="Times New Roman"/>
    </w:rPr>
  </w:style>
  <w:style w:type="character" w:styleId="CommentReference">
    <w:name w:val="annotation reference"/>
    <w:basedOn w:val="DefaultParagraphFont"/>
    <w:uiPriority w:val="99"/>
    <w:semiHidden/>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basedOn w:val="DefaultParagraphFont"/>
    <w:link w:val="CommentText"/>
    <w:uiPriority w:val="99"/>
    <w:locked/>
    <w:rsid w:val="002319A5"/>
    <w:rPr>
      <w:rFonts w:cs="Times New Roman"/>
      <w:lang w:val="en-US" w:eastAsia="en-US" w:bidi="ar-SA"/>
    </w:rPr>
  </w:style>
  <w:style w:type="character" w:styleId="Emphasis">
    <w:name w:val="Emphasis"/>
    <w:basedOn w:val="DefaultParagraphFont"/>
    <w:uiPriority w:val="20"/>
    <w:qFormat/>
    <w:rsid w:val="002319A5"/>
    <w:rPr>
      <w:rFonts w:cs="Times New Roman"/>
      <w:i/>
      <w:iCs/>
    </w:rPr>
  </w:style>
  <w:style w:type="character" w:styleId="Strong">
    <w:name w:val="Strong"/>
    <w:basedOn w:val="DefaultParagraphFont"/>
    <w:qFormat/>
    <w:rsid w:val="002319A5"/>
    <w:rPr>
      <w:rFonts w:cs="Times New Roman"/>
      <w:b/>
      <w:bCs/>
    </w:rPr>
  </w:style>
  <w:style w:type="paragraph" w:styleId="PlainText">
    <w:name w:val="Plain Text"/>
    <w:basedOn w:val="Normal"/>
    <w:link w:val="PlainTextChar"/>
    <w:rsid w:val="002319A5"/>
    <w:pPr>
      <w:spacing w:before="100" w:beforeAutospacing="1" w:after="100" w:afterAutospacing="1"/>
    </w:pPr>
  </w:style>
  <w:style w:type="character" w:customStyle="1" w:styleId="PlainTextChar">
    <w:name w:val="Plain Text Char"/>
    <w:basedOn w:val="DefaultParagraphFont"/>
    <w:link w:val="PlainText"/>
    <w:semiHidden/>
    <w:locked/>
    <w:rsid w:val="009E412C"/>
    <w:rPr>
      <w:rFonts w:ascii="Courier New" w:hAnsi="Courier New" w:cs="Courier New"/>
      <w:sz w:val="20"/>
      <w:szCs w:val="20"/>
    </w:rPr>
  </w:style>
  <w:style w:type="paragraph" w:styleId="BalloonText">
    <w:name w:val="Balloon Text"/>
    <w:basedOn w:val="Normal"/>
    <w:link w:val="BalloonTextChar"/>
    <w:semiHidden/>
    <w:rsid w:val="002319A5"/>
    <w:rPr>
      <w:rFonts w:ascii="Tahoma" w:hAnsi="Tahoma" w:cs="Tahoma"/>
      <w:sz w:val="16"/>
      <w:szCs w:val="16"/>
    </w:rPr>
  </w:style>
  <w:style w:type="character" w:customStyle="1" w:styleId="BalloonTextChar">
    <w:name w:val="Balloon Text Char"/>
    <w:basedOn w:val="DefaultParagraphFont"/>
    <w:link w:val="BalloonText"/>
    <w:semiHidden/>
    <w:locked/>
    <w:rsid w:val="009E412C"/>
    <w:rPr>
      <w:rFonts w:cs="Times New Roman"/>
      <w:sz w:val="2"/>
    </w:rPr>
  </w:style>
  <w:style w:type="paragraph" w:styleId="BodyText3">
    <w:name w:val="Body Text 3"/>
    <w:basedOn w:val="Normal"/>
    <w:link w:val="BodyText3Char"/>
    <w:rsid w:val="00396101"/>
    <w:pPr>
      <w:spacing w:after="120"/>
    </w:pPr>
    <w:rPr>
      <w:rFonts w:cs="Arial"/>
      <w:sz w:val="16"/>
      <w:szCs w:val="16"/>
    </w:rPr>
  </w:style>
  <w:style w:type="character" w:customStyle="1" w:styleId="BodyText3Char">
    <w:name w:val="Body Text 3 Char"/>
    <w:basedOn w:val="DefaultParagraphFont"/>
    <w:link w:val="BodyText3"/>
    <w:locked/>
    <w:rsid w:val="00396101"/>
    <w:rPr>
      <w:rFonts w:cs="Arial"/>
      <w:sz w:val="16"/>
      <w:szCs w:val="16"/>
      <w:lang w:val="en-US" w:eastAsia="en-US" w:bidi="ar-SA"/>
    </w:rPr>
  </w:style>
  <w:style w:type="paragraph" w:styleId="CommentSubject">
    <w:name w:val="annotation subject"/>
    <w:basedOn w:val="CommentText"/>
    <w:next w:val="CommentText"/>
    <w:link w:val="CommentSubjectChar"/>
    <w:semiHidden/>
    <w:rsid w:val="0056171F"/>
    <w:rPr>
      <w:b/>
      <w:bCs/>
    </w:rPr>
  </w:style>
  <w:style w:type="character" w:customStyle="1" w:styleId="CommentSubjectChar">
    <w:name w:val="Comment Subject Char"/>
    <w:basedOn w:val="CommentTextChar"/>
    <w:link w:val="CommentSubject"/>
    <w:semiHidden/>
    <w:locked/>
    <w:rsid w:val="009E412C"/>
    <w:rPr>
      <w:rFonts w:cs="Times New Roman"/>
      <w:b/>
      <w:bCs/>
      <w:sz w:val="20"/>
      <w:szCs w:val="20"/>
      <w:lang w:val="en-US" w:eastAsia="en-US" w:bidi="ar-SA"/>
    </w:rPr>
  </w:style>
  <w:style w:type="character" w:styleId="FollowedHyperlink">
    <w:name w:val="FollowedHyperlink"/>
    <w:basedOn w:val="DefaultParagraphFont"/>
    <w:rsid w:val="00F35585"/>
    <w:rPr>
      <w:rFonts w:cs="Times New Roman"/>
      <w:color w:val="800080"/>
      <w:u w:val="single"/>
    </w:rPr>
  </w:style>
  <w:style w:type="paragraph" w:styleId="Header">
    <w:name w:val="header"/>
    <w:basedOn w:val="Normal"/>
    <w:link w:val="HeaderChar"/>
    <w:rsid w:val="00BA3097"/>
    <w:pPr>
      <w:tabs>
        <w:tab w:val="center" w:pos="4320"/>
        <w:tab w:val="right" w:pos="8640"/>
      </w:tabs>
    </w:pPr>
  </w:style>
  <w:style w:type="character" w:customStyle="1" w:styleId="HeaderChar">
    <w:name w:val="Header Char"/>
    <w:basedOn w:val="DefaultParagraphFont"/>
    <w:link w:val="Header"/>
    <w:semiHidden/>
    <w:locked/>
    <w:rsid w:val="009E412C"/>
    <w:rPr>
      <w:rFonts w:cs="Times New Roman"/>
      <w:sz w:val="24"/>
      <w:szCs w:val="24"/>
    </w:rPr>
  </w:style>
  <w:style w:type="paragraph" w:styleId="HTMLPreformatted">
    <w:name w:val="HTML Preformatted"/>
    <w:basedOn w:val="Normal"/>
    <w:link w:val="HTMLPreformattedChar"/>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rPr>
  </w:style>
  <w:style w:type="character" w:customStyle="1" w:styleId="FootnoteTextChar">
    <w:name w:val="Footnote Text Char"/>
    <w:basedOn w:val="DefaultParagraphFont"/>
    <w:link w:val="FootnoteText"/>
    <w:uiPriority w:val="99"/>
    <w:semiHidden/>
    <w:locked/>
    <w:rsid w:val="009E412C"/>
    <w:rPr>
      <w:rFonts w:cs="Times New Roman"/>
      <w:sz w:val="20"/>
      <w:szCs w:val="20"/>
    </w:rPr>
  </w:style>
  <w:style w:type="character" w:styleId="FootnoteReference">
    <w:name w:val="footnote reference"/>
    <w:basedOn w:val="DefaultParagraphFont"/>
    <w:uiPriority w:val="99"/>
    <w:semiHidden/>
    <w:rsid w:val="00DA2F83"/>
    <w:rPr>
      <w:rFonts w:cs="Times New Roman"/>
      <w:vertAlign w:val="superscript"/>
    </w:rPr>
  </w:style>
  <w:style w:type="character" w:customStyle="1" w:styleId="EmailStyle47">
    <w:name w:val="EmailStyle47"/>
    <w:basedOn w:val="DefaultParagraphFont"/>
    <w:semiHidden/>
    <w:rsid w:val="007260D6"/>
    <w:rPr>
      <w:rFonts w:ascii="Arial" w:hAnsi="Arial" w:cs="Arial"/>
      <w:color w:val="auto"/>
      <w:sz w:val="20"/>
      <w:szCs w:val="20"/>
    </w:rPr>
  </w:style>
  <w:style w:type="character" w:customStyle="1" w:styleId="p1">
    <w:name w:val="p1"/>
    <w:basedOn w:val="DefaultParagraphFont"/>
    <w:rsid w:val="00F20F0C"/>
    <w:rPr>
      <w:rFonts w:cs="Times New Roman"/>
    </w:rPr>
  </w:style>
  <w:style w:type="paragraph" w:styleId="ListParagraph">
    <w:name w:val="List Paragraph"/>
    <w:basedOn w:val="Normal"/>
    <w:link w:val="ListParagraphChar"/>
    <w:uiPriority w:val="34"/>
    <w:qFormat/>
    <w:rsid w:val="00F20F0C"/>
    <w:pPr>
      <w:ind w:left="720"/>
      <w:contextualSpacing/>
    </w:pPr>
  </w:style>
  <w:style w:type="paragraph" w:styleId="Revision">
    <w:name w:val="Revision"/>
    <w:hidden/>
    <w:uiPriority w:val="99"/>
    <w:semiHidden/>
    <w:rsid w:val="000632A1"/>
    <w:rPr>
      <w:sz w:val="24"/>
      <w:szCs w:val="24"/>
    </w:rPr>
  </w:style>
  <w:style w:type="character" w:customStyle="1" w:styleId="ListParagraphChar">
    <w:name w:val="List Paragraph Char"/>
    <w:link w:val="ListParagraph"/>
    <w:uiPriority w:val="34"/>
    <w:locked/>
    <w:rsid w:val="00EE288B"/>
    <w:rPr>
      <w:sz w:val="24"/>
      <w:szCs w:val="24"/>
    </w:rPr>
  </w:style>
  <w:style w:type="character" w:styleId="PlaceholderText">
    <w:name w:val="Placeholder Text"/>
    <w:basedOn w:val="DefaultParagraphFont"/>
    <w:uiPriority w:val="99"/>
    <w:semiHidden/>
    <w:rsid w:val="0042398D"/>
    <w:rPr>
      <w:color w:val="808080"/>
    </w:rPr>
  </w:style>
  <w:style w:type="paragraph" w:styleId="TOCHeading">
    <w:name w:val="TOC Heading"/>
    <w:basedOn w:val="Heading1"/>
    <w:next w:val="Normal"/>
    <w:uiPriority w:val="39"/>
    <w:semiHidden/>
    <w:unhideWhenUsed/>
    <w:qFormat/>
    <w:rsid w:val="00C216D0"/>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locked/>
    <w:rsid w:val="00C216D0"/>
    <w:pPr>
      <w:spacing w:after="100"/>
    </w:pPr>
  </w:style>
  <w:style w:type="paragraph" w:styleId="TOC2">
    <w:name w:val="toc 2"/>
    <w:basedOn w:val="Normal"/>
    <w:next w:val="Normal"/>
    <w:autoRedefine/>
    <w:uiPriority w:val="39"/>
    <w:locked/>
    <w:rsid w:val="00C216D0"/>
    <w:pPr>
      <w:spacing w:after="100"/>
      <w:ind w:left="240"/>
    </w:pPr>
  </w:style>
  <w:style w:type="paragraph" w:styleId="TOC3">
    <w:name w:val="toc 3"/>
    <w:basedOn w:val="Normal"/>
    <w:next w:val="Normal"/>
    <w:autoRedefine/>
    <w:uiPriority w:val="39"/>
    <w:locked/>
    <w:rsid w:val="00C216D0"/>
    <w:pPr>
      <w:spacing w:after="100"/>
      <w:ind w:left="480"/>
    </w:pPr>
  </w:style>
  <w:style w:type="numbering" w:customStyle="1" w:styleId="TACT4SGA">
    <w:name w:val="TACT 4 SGA"/>
    <w:uiPriority w:val="99"/>
    <w:rsid w:val="00027B29"/>
    <w:pPr>
      <w:numPr>
        <w:numId w:val="18"/>
      </w:numPr>
    </w:pPr>
  </w:style>
  <w:style w:type="paragraph" w:styleId="NormalWeb">
    <w:name w:val="Normal (Web)"/>
    <w:basedOn w:val="Normal"/>
    <w:uiPriority w:val="99"/>
    <w:unhideWhenUsed/>
    <w:rsid w:val="008826BE"/>
    <w:pPr>
      <w:spacing w:before="100" w:beforeAutospacing="1" w:after="100" w:afterAutospacing="1"/>
    </w:pPr>
  </w:style>
  <w:style w:type="character" w:customStyle="1" w:styleId="apple-converted-space">
    <w:name w:val="apple-converted-space"/>
    <w:rsid w:val="008826BE"/>
  </w:style>
  <w:style w:type="character" w:customStyle="1" w:styleId="apple-style-span">
    <w:name w:val="apple-style-span"/>
    <w:basedOn w:val="DefaultParagraphFont"/>
    <w:rsid w:val="008826BE"/>
    <w:rPr>
      <w:rFonts w:cs="Times New Roman"/>
    </w:rPr>
  </w:style>
  <w:style w:type="table" w:styleId="TableGrid">
    <w:name w:val="Table Grid"/>
    <w:basedOn w:val="TableNormal"/>
    <w:uiPriority w:val="59"/>
    <w:locked/>
    <w:rsid w:val="008826BE"/>
    <w:rPr>
      <w:rFonts w:asciiTheme="majorHAnsi" w:eastAsiaTheme="minorHAnsi" w:hAnsiTheme="maj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826B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caption" w:locked="1"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Normal (Web)"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A5"/>
    <w:rPr>
      <w:sz w:val="24"/>
      <w:szCs w:val="24"/>
    </w:rPr>
  </w:style>
  <w:style w:type="paragraph" w:styleId="Heading1">
    <w:name w:val="heading 1"/>
    <w:basedOn w:val="Heading5"/>
    <w:next w:val="Normal"/>
    <w:link w:val="Heading1Char"/>
    <w:qFormat/>
    <w:rsid w:val="002319A5"/>
    <w:pPr>
      <w:numPr>
        <w:ilvl w:val="0"/>
        <w:numId w:val="0"/>
      </w:numPr>
      <w:outlineLvl w:val="0"/>
    </w:pPr>
    <w:rPr>
      <w:rFonts w:ascii="Palatino Linotype" w:hAnsi="Palatino Linotype"/>
      <w:b/>
      <w:i w:val="0"/>
    </w:rPr>
  </w:style>
  <w:style w:type="paragraph" w:styleId="Heading2">
    <w:name w:val="heading 2"/>
    <w:basedOn w:val="Normal"/>
    <w:next w:val="Normal"/>
    <w:link w:val="Heading2Char"/>
    <w:qFormat/>
    <w:rsid w:val="002319A5"/>
    <w:pPr>
      <w:numPr>
        <w:numId w:val="2"/>
      </w:numPr>
      <w:spacing w:line="480" w:lineRule="auto"/>
      <w:outlineLvl w:val="1"/>
    </w:pPr>
    <w:rPr>
      <w:rFonts w:ascii="Palatino Linotype" w:hAnsi="Palatino Linotype"/>
      <w:b/>
      <w:i/>
    </w:rPr>
  </w:style>
  <w:style w:type="paragraph" w:styleId="Heading3">
    <w:name w:val="heading 3"/>
    <w:basedOn w:val="Normal"/>
    <w:next w:val="Normal"/>
    <w:link w:val="Heading3Char"/>
    <w:autoRedefine/>
    <w:qFormat/>
    <w:rsid w:val="00A93F2C"/>
    <w:pPr>
      <w:widowControl w:val="0"/>
      <w:numPr>
        <w:numId w:val="13"/>
      </w:numPr>
      <w:autoSpaceDE w:val="0"/>
      <w:autoSpaceDN w:val="0"/>
      <w:adjustRightInd w:val="0"/>
      <w:outlineLvl w:val="2"/>
    </w:pPr>
    <w:rPr>
      <w:color w:val="365F91" w:themeColor="accent1" w:themeShade="BF"/>
    </w:rPr>
  </w:style>
  <w:style w:type="paragraph" w:styleId="Heading4">
    <w:name w:val="heading 4"/>
    <w:basedOn w:val="Normal"/>
    <w:next w:val="Normal"/>
    <w:link w:val="Heading4Char"/>
    <w:qFormat/>
    <w:rsid w:val="002319A5"/>
    <w:pPr>
      <w:widowControl w:val="0"/>
      <w:autoSpaceDE w:val="0"/>
      <w:autoSpaceDN w:val="0"/>
      <w:adjustRightInd w:val="0"/>
      <w:spacing w:line="480" w:lineRule="auto"/>
      <w:outlineLvl w:val="3"/>
    </w:pPr>
    <w:rPr>
      <w:rFonts w:ascii="Palatino Linotype" w:hAnsi="Palatino Linotype"/>
      <w:u w:val="single"/>
    </w:rPr>
  </w:style>
  <w:style w:type="paragraph" w:styleId="Heading5">
    <w:name w:val="heading 5"/>
    <w:basedOn w:val="Normal"/>
    <w:next w:val="Normal"/>
    <w:link w:val="Heading5Char"/>
    <w:qFormat/>
    <w:rsid w:val="002319A5"/>
    <w:pPr>
      <w:keepNext/>
      <w:numPr>
        <w:ilvl w:val="4"/>
        <w:numId w:val="1"/>
      </w:numPr>
      <w:spacing w:line="480" w:lineRule="auto"/>
      <w:outlineLvl w:val="4"/>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E412C"/>
    <w:rPr>
      <w:rFonts w:ascii="Cambria" w:hAnsi="Cambria" w:cs="Times New Roman"/>
      <w:b/>
      <w:bCs/>
      <w:kern w:val="32"/>
      <w:sz w:val="32"/>
      <w:szCs w:val="32"/>
    </w:rPr>
  </w:style>
  <w:style w:type="character" w:customStyle="1" w:styleId="Heading2Char">
    <w:name w:val="Heading 2 Char"/>
    <w:basedOn w:val="DefaultParagraphFont"/>
    <w:link w:val="Heading2"/>
    <w:locked/>
    <w:rsid w:val="009E412C"/>
    <w:rPr>
      <w:rFonts w:ascii="Palatino Linotype" w:hAnsi="Palatino Linotype"/>
      <w:b/>
      <w:i/>
      <w:sz w:val="24"/>
      <w:szCs w:val="24"/>
    </w:rPr>
  </w:style>
  <w:style w:type="character" w:customStyle="1" w:styleId="Heading3Char">
    <w:name w:val="Heading 3 Char"/>
    <w:basedOn w:val="DefaultParagraphFont"/>
    <w:link w:val="Heading3"/>
    <w:locked/>
    <w:rsid w:val="00A93F2C"/>
    <w:rPr>
      <w:color w:val="365F91" w:themeColor="accent1" w:themeShade="BF"/>
      <w:sz w:val="24"/>
      <w:szCs w:val="24"/>
    </w:rPr>
  </w:style>
  <w:style w:type="character" w:customStyle="1" w:styleId="Heading4Char">
    <w:name w:val="Heading 4 Char"/>
    <w:basedOn w:val="DefaultParagraphFont"/>
    <w:link w:val="Heading4"/>
    <w:semiHidden/>
    <w:locked/>
    <w:rsid w:val="009E412C"/>
    <w:rPr>
      <w:rFonts w:ascii="Calibri" w:hAnsi="Calibri" w:cs="Times New Roman"/>
      <w:b/>
      <w:bCs/>
      <w:sz w:val="28"/>
      <w:szCs w:val="28"/>
    </w:rPr>
  </w:style>
  <w:style w:type="character" w:customStyle="1" w:styleId="Heading5Char">
    <w:name w:val="Heading 5 Char"/>
    <w:basedOn w:val="DefaultParagraphFont"/>
    <w:link w:val="Heading5"/>
    <w:locked/>
    <w:rsid w:val="009E412C"/>
    <w:rPr>
      <w:bCs/>
      <w:i/>
      <w:sz w:val="24"/>
      <w:szCs w:val="24"/>
    </w:rPr>
  </w:style>
  <w:style w:type="paragraph" w:customStyle="1" w:styleId="Level2">
    <w:name w:val="Level 2"/>
    <w:basedOn w:val="Normal"/>
    <w:rsid w:val="002319A5"/>
    <w:pPr>
      <w:widowControl w:val="0"/>
      <w:autoSpaceDE w:val="0"/>
      <w:autoSpaceDN w:val="0"/>
      <w:adjustRightInd w:val="0"/>
    </w:pPr>
    <w:rPr>
      <w:rFonts w:ascii="Courier New" w:hAnsi="Courier New"/>
    </w:rPr>
  </w:style>
  <w:style w:type="character" w:styleId="Hyperlink">
    <w:name w:val="Hyperlink"/>
    <w:basedOn w:val="DefaultParagraphFont"/>
    <w:uiPriority w:val="99"/>
    <w:rsid w:val="002319A5"/>
    <w:rPr>
      <w:rFonts w:cs="Times New Roman"/>
      <w:color w:val="0000FF"/>
      <w:u w:val="single"/>
    </w:rPr>
  </w:style>
  <w:style w:type="paragraph" w:styleId="Footer">
    <w:name w:val="footer"/>
    <w:basedOn w:val="Normal"/>
    <w:link w:val="FooterChar"/>
    <w:rsid w:val="002319A5"/>
    <w:pPr>
      <w:tabs>
        <w:tab w:val="center" w:pos="4320"/>
        <w:tab w:val="right" w:pos="8640"/>
      </w:tabs>
    </w:pPr>
  </w:style>
  <w:style w:type="character" w:customStyle="1" w:styleId="FooterChar">
    <w:name w:val="Footer Char"/>
    <w:basedOn w:val="DefaultParagraphFont"/>
    <w:link w:val="Footer"/>
    <w:locked/>
    <w:rsid w:val="009E412C"/>
    <w:rPr>
      <w:rFonts w:cs="Times New Roman"/>
      <w:sz w:val="24"/>
      <w:szCs w:val="24"/>
    </w:rPr>
  </w:style>
  <w:style w:type="character" w:styleId="PageNumber">
    <w:name w:val="page number"/>
    <w:basedOn w:val="DefaultParagraphFont"/>
    <w:rsid w:val="002319A5"/>
    <w:rPr>
      <w:rFonts w:cs="Times New Roman"/>
    </w:rPr>
  </w:style>
  <w:style w:type="character" w:styleId="CommentReference">
    <w:name w:val="annotation reference"/>
    <w:basedOn w:val="DefaultParagraphFont"/>
    <w:uiPriority w:val="99"/>
    <w:semiHidden/>
    <w:rsid w:val="002319A5"/>
    <w:rPr>
      <w:rFonts w:cs="Times New Roman"/>
      <w:sz w:val="16"/>
      <w:szCs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basedOn w:val="DefaultParagraphFont"/>
    <w:link w:val="CommentText"/>
    <w:uiPriority w:val="99"/>
    <w:locked/>
    <w:rsid w:val="002319A5"/>
    <w:rPr>
      <w:rFonts w:cs="Times New Roman"/>
      <w:lang w:val="en-US" w:eastAsia="en-US" w:bidi="ar-SA"/>
    </w:rPr>
  </w:style>
  <w:style w:type="character" w:styleId="Emphasis">
    <w:name w:val="Emphasis"/>
    <w:basedOn w:val="DefaultParagraphFont"/>
    <w:uiPriority w:val="20"/>
    <w:qFormat/>
    <w:rsid w:val="002319A5"/>
    <w:rPr>
      <w:rFonts w:cs="Times New Roman"/>
      <w:i/>
      <w:iCs/>
    </w:rPr>
  </w:style>
  <w:style w:type="character" w:styleId="Strong">
    <w:name w:val="Strong"/>
    <w:basedOn w:val="DefaultParagraphFont"/>
    <w:qFormat/>
    <w:rsid w:val="002319A5"/>
    <w:rPr>
      <w:rFonts w:cs="Times New Roman"/>
      <w:b/>
      <w:bCs/>
    </w:rPr>
  </w:style>
  <w:style w:type="paragraph" w:styleId="PlainText">
    <w:name w:val="Plain Text"/>
    <w:basedOn w:val="Normal"/>
    <w:link w:val="PlainTextChar"/>
    <w:rsid w:val="002319A5"/>
    <w:pPr>
      <w:spacing w:before="100" w:beforeAutospacing="1" w:after="100" w:afterAutospacing="1"/>
    </w:pPr>
  </w:style>
  <w:style w:type="character" w:customStyle="1" w:styleId="PlainTextChar">
    <w:name w:val="Plain Text Char"/>
    <w:basedOn w:val="DefaultParagraphFont"/>
    <w:link w:val="PlainText"/>
    <w:semiHidden/>
    <w:locked/>
    <w:rsid w:val="009E412C"/>
    <w:rPr>
      <w:rFonts w:ascii="Courier New" w:hAnsi="Courier New" w:cs="Courier New"/>
      <w:sz w:val="20"/>
      <w:szCs w:val="20"/>
    </w:rPr>
  </w:style>
  <w:style w:type="paragraph" w:styleId="BalloonText">
    <w:name w:val="Balloon Text"/>
    <w:basedOn w:val="Normal"/>
    <w:link w:val="BalloonTextChar"/>
    <w:semiHidden/>
    <w:rsid w:val="002319A5"/>
    <w:rPr>
      <w:rFonts w:ascii="Tahoma" w:hAnsi="Tahoma" w:cs="Tahoma"/>
      <w:sz w:val="16"/>
      <w:szCs w:val="16"/>
    </w:rPr>
  </w:style>
  <w:style w:type="character" w:customStyle="1" w:styleId="BalloonTextChar">
    <w:name w:val="Balloon Text Char"/>
    <w:basedOn w:val="DefaultParagraphFont"/>
    <w:link w:val="BalloonText"/>
    <w:semiHidden/>
    <w:locked/>
    <w:rsid w:val="009E412C"/>
    <w:rPr>
      <w:rFonts w:cs="Times New Roman"/>
      <w:sz w:val="2"/>
    </w:rPr>
  </w:style>
  <w:style w:type="paragraph" w:styleId="BodyText3">
    <w:name w:val="Body Text 3"/>
    <w:basedOn w:val="Normal"/>
    <w:link w:val="BodyText3Char"/>
    <w:rsid w:val="00396101"/>
    <w:pPr>
      <w:spacing w:after="120"/>
    </w:pPr>
    <w:rPr>
      <w:rFonts w:cs="Arial"/>
      <w:sz w:val="16"/>
      <w:szCs w:val="16"/>
    </w:rPr>
  </w:style>
  <w:style w:type="character" w:customStyle="1" w:styleId="BodyText3Char">
    <w:name w:val="Body Text 3 Char"/>
    <w:basedOn w:val="DefaultParagraphFont"/>
    <w:link w:val="BodyText3"/>
    <w:locked/>
    <w:rsid w:val="00396101"/>
    <w:rPr>
      <w:rFonts w:cs="Arial"/>
      <w:sz w:val="16"/>
      <w:szCs w:val="16"/>
      <w:lang w:val="en-US" w:eastAsia="en-US" w:bidi="ar-SA"/>
    </w:rPr>
  </w:style>
  <w:style w:type="paragraph" w:styleId="CommentSubject">
    <w:name w:val="annotation subject"/>
    <w:basedOn w:val="CommentText"/>
    <w:next w:val="CommentText"/>
    <w:link w:val="CommentSubjectChar"/>
    <w:semiHidden/>
    <w:rsid w:val="0056171F"/>
    <w:rPr>
      <w:b/>
      <w:bCs/>
    </w:rPr>
  </w:style>
  <w:style w:type="character" w:customStyle="1" w:styleId="CommentSubjectChar">
    <w:name w:val="Comment Subject Char"/>
    <w:basedOn w:val="CommentTextChar"/>
    <w:link w:val="CommentSubject"/>
    <w:semiHidden/>
    <w:locked/>
    <w:rsid w:val="009E412C"/>
    <w:rPr>
      <w:rFonts w:cs="Times New Roman"/>
      <w:b/>
      <w:bCs/>
      <w:sz w:val="20"/>
      <w:szCs w:val="20"/>
      <w:lang w:val="en-US" w:eastAsia="en-US" w:bidi="ar-SA"/>
    </w:rPr>
  </w:style>
  <w:style w:type="character" w:styleId="FollowedHyperlink">
    <w:name w:val="FollowedHyperlink"/>
    <w:basedOn w:val="DefaultParagraphFont"/>
    <w:rsid w:val="00F35585"/>
    <w:rPr>
      <w:rFonts w:cs="Times New Roman"/>
      <w:color w:val="800080"/>
      <w:u w:val="single"/>
    </w:rPr>
  </w:style>
  <w:style w:type="paragraph" w:styleId="Header">
    <w:name w:val="header"/>
    <w:basedOn w:val="Normal"/>
    <w:link w:val="HeaderChar"/>
    <w:rsid w:val="00BA3097"/>
    <w:pPr>
      <w:tabs>
        <w:tab w:val="center" w:pos="4320"/>
        <w:tab w:val="right" w:pos="8640"/>
      </w:tabs>
    </w:pPr>
  </w:style>
  <w:style w:type="character" w:customStyle="1" w:styleId="HeaderChar">
    <w:name w:val="Header Char"/>
    <w:basedOn w:val="DefaultParagraphFont"/>
    <w:link w:val="Header"/>
    <w:semiHidden/>
    <w:locked/>
    <w:rsid w:val="009E412C"/>
    <w:rPr>
      <w:rFonts w:cs="Times New Roman"/>
      <w:sz w:val="24"/>
      <w:szCs w:val="24"/>
    </w:rPr>
  </w:style>
  <w:style w:type="paragraph" w:styleId="HTMLPreformatted">
    <w:name w:val="HTML Preformatted"/>
    <w:basedOn w:val="Normal"/>
    <w:link w:val="HTMLPreformattedChar"/>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rPr>
  </w:style>
  <w:style w:type="character" w:customStyle="1" w:styleId="FootnoteTextChar">
    <w:name w:val="Footnote Text Char"/>
    <w:basedOn w:val="DefaultParagraphFont"/>
    <w:link w:val="FootnoteText"/>
    <w:uiPriority w:val="99"/>
    <w:semiHidden/>
    <w:locked/>
    <w:rsid w:val="009E412C"/>
    <w:rPr>
      <w:rFonts w:cs="Times New Roman"/>
      <w:sz w:val="20"/>
      <w:szCs w:val="20"/>
    </w:rPr>
  </w:style>
  <w:style w:type="character" w:styleId="FootnoteReference">
    <w:name w:val="footnote reference"/>
    <w:basedOn w:val="DefaultParagraphFont"/>
    <w:uiPriority w:val="99"/>
    <w:semiHidden/>
    <w:rsid w:val="00DA2F83"/>
    <w:rPr>
      <w:rFonts w:cs="Times New Roman"/>
      <w:vertAlign w:val="superscript"/>
    </w:rPr>
  </w:style>
  <w:style w:type="character" w:customStyle="1" w:styleId="EmailStyle47">
    <w:name w:val="EmailStyle47"/>
    <w:basedOn w:val="DefaultParagraphFont"/>
    <w:semiHidden/>
    <w:rsid w:val="007260D6"/>
    <w:rPr>
      <w:rFonts w:ascii="Arial" w:hAnsi="Arial" w:cs="Arial"/>
      <w:color w:val="auto"/>
      <w:sz w:val="20"/>
      <w:szCs w:val="20"/>
    </w:rPr>
  </w:style>
  <w:style w:type="character" w:customStyle="1" w:styleId="p1">
    <w:name w:val="p1"/>
    <w:basedOn w:val="DefaultParagraphFont"/>
    <w:rsid w:val="00F20F0C"/>
    <w:rPr>
      <w:rFonts w:cs="Times New Roman"/>
    </w:rPr>
  </w:style>
  <w:style w:type="paragraph" w:styleId="ListParagraph">
    <w:name w:val="List Paragraph"/>
    <w:basedOn w:val="Normal"/>
    <w:link w:val="ListParagraphChar"/>
    <w:uiPriority w:val="34"/>
    <w:qFormat/>
    <w:rsid w:val="00F20F0C"/>
    <w:pPr>
      <w:ind w:left="720"/>
      <w:contextualSpacing/>
    </w:pPr>
  </w:style>
  <w:style w:type="paragraph" w:styleId="Revision">
    <w:name w:val="Revision"/>
    <w:hidden/>
    <w:uiPriority w:val="99"/>
    <w:semiHidden/>
    <w:rsid w:val="000632A1"/>
    <w:rPr>
      <w:sz w:val="24"/>
      <w:szCs w:val="24"/>
    </w:rPr>
  </w:style>
  <w:style w:type="character" w:customStyle="1" w:styleId="ListParagraphChar">
    <w:name w:val="List Paragraph Char"/>
    <w:link w:val="ListParagraph"/>
    <w:uiPriority w:val="34"/>
    <w:locked/>
    <w:rsid w:val="00EE288B"/>
    <w:rPr>
      <w:sz w:val="24"/>
      <w:szCs w:val="24"/>
    </w:rPr>
  </w:style>
  <w:style w:type="character" w:styleId="PlaceholderText">
    <w:name w:val="Placeholder Text"/>
    <w:basedOn w:val="DefaultParagraphFont"/>
    <w:uiPriority w:val="99"/>
    <w:semiHidden/>
    <w:rsid w:val="0042398D"/>
    <w:rPr>
      <w:color w:val="808080"/>
    </w:rPr>
  </w:style>
  <w:style w:type="paragraph" w:styleId="TOCHeading">
    <w:name w:val="TOC Heading"/>
    <w:basedOn w:val="Heading1"/>
    <w:next w:val="Normal"/>
    <w:uiPriority w:val="39"/>
    <w:semiHidden/>
    <w:unhideWhenUsed/>
    <w:qFormat/>
    <w:rsid w:val="00C216D0"/>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locked/>
    <w:rsid w:val="00C216D0"/>
    <w:pPr>
      <w:spacing w:after="100"/>
    </w:pPr>
  </w:style>
  <w:style w:type="paragraph" w:styleId="TOC2">
    <w:name w:val="toc 2"/>
    <w:basedOn w:val="Normal"/>
    <w:next w:val="Normal"/>
    <w:autoRedefine/>
    <w:uiPriority w:val="39"/>
    <w:locked/>
    <w:rsid w:val="00C216D0"/>
    <w:pPr>
      <w:spacing w:after="100"/>
      <w:ind w:left="240"/>
    </w:pPr>
  </w:style>
  <w:style w:type="paragraph" w:styleId="TOC3">
    <w:name w:val="toc 3"/>
    <w:basedOn w:val="Normal"/>
    <w:next w:val="Normal"/>
    <w:autoRedefine/>
    <w:uiPriority w:val="39"/>
    <w:locked/>
    <w:rsid w:val="00C216D0"/>
    <w:pPr>
      <w:spacing w:after="100"/>
      <w:ind w:left="480"/>
    </w:pPr>
  </w:style>
  <w:style w:type="numbering" w:customStyle="1" w:styleId="TACT4SGA">
    <w:name w:val="TACT 4 SGA"/>
    <w:uiPriority w:val="99"/>
    <w:rsid w:val="00027B29"/>
    <w:pPr>
      <w:numPr>
        <w:numId w:val="18"/>
      </w:numPr>
    </w:pPr>
  </w:style>
  <w:style w:type="paragraph" w:styleId="NormalWeb">
    <w:name w:val="Normal (Web)"/>
    <w:basedOn w:val="Normal"/>
    <w:uiPriority w:val="99"/>
    <w:unhideWhenUsed/>
    <w:rsid w:val="008826BE"/>
    <w:pPr>
      <w:spacing w:before="100" w:beforeAutospacing="1" w:after="100" w:afterAutospacing="1"/>
    </w:pPr>
  </w:style>
  <w:style w:type="character" w:customStyle="1" w:styleId="apple-converted-space">
    <w:name w:val="apple-converted-space"/>
    <w:rsid w:val="008826BE"/>
  </w:style>
  <w:style w:type="character" w:customStyle="1" w:styleId="apple-style-span">
    <w:name w:val="apple-style-span"/>
    <w:basedOn w:val="DefaultParagraphFont"/>
    <w:rsid w:val="008826BE"/>
    <w:rPr>
      <w:rFonts w:cs="Times New Roman"/>
    </w:rPr>
  </w:style>
  <w:style w:type="table" w:styleId="TableGrid">
    <w:name w:val="Table Grid"/>
    <w:basedOn w:val="TableNormal"/>
    <w:uiPriority w:val="59"/>
    <w:locked/>
    <w:rsid w:val="008826BE"/>
    <w:rPr>
      <w:rFonts w:asciiTheme="majorHAnsi" w:eastAsiaTheme="minorHAnsi" w:hAnsiTheme="maj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826B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24"/>
      <w:marRight w:val="24"/>
      <w:marTop w:val="24"/>
      <w:marBottom w:val="24"/>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3">
              <w:marLeft w:val="36"/>
              <w:marRight w:val="36"/>
              <w:marTop w:val="36"/>
              <w:marBottom w:val="36"/>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
      <w:marLeft w:val="24"/>
      <w:marRight w:val="24"/>
      <w:marTop w:val="24"/>
      <w:marBottom w:val="24"/>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5">
              <w:marLeft w:val="36"/>
              <w:marRight w:val="36"/>
              <w:marTop w:val="36"/>
              <w:marBottom w:val="36"/>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
      <w:marLeft w:val="24"/>
      <w:marRight w:val="24"/>
      <w:marTop w:val="24"/>
      <w:marBottom w:val="24"/>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6">
              <w:marLeft w:val="36"/>
              <w:marRight w:val="36"/>
              <w:marTop w:val="36"/>
              <w:marBottom w:val="36"/>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5">
      <w:marLeft w:val="24"/>
      <w:marRight w:val="24"/>
      <w:marTop w:val="24"/>
      <w:marBottom w:val="24"/>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33">
              <w:marLeft w:val="36"/>
              <w:marRight w:val="36"/>
              <w:marTop w:val="36"/>
              <w:marBottom w:val="36"/>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97868">
      <w:bodyDiv w:val="1"/>
      <w:marLeft w:val="0"/>
      <w:marRight w:val="0"/>
      <w:marTop w:val="0"/>
      <w:marBottom w:val="0"/>
      <w:divBdr>
        <w:top w:val="none" w:sz="0" w:space="0" w:color="auto"/>
        <w:left w:val="none" w:sz="0" w:space="0" w:color="auto"/>
        <w:bottom w:val="none" w:sz="0" w:space="0" w:color="auto"/>
        <w:right w:val="none" w:sz="0" w:space="0" w:color="auto"/>
      </w:divBdr>
    </w:div>
    <w:div w:id="57479097">
      <w:bodyDiv w:val="1"/>
      <w:marLeft w:val="0"/>
      <w:marRight w:val="0"/>
      <w:marTop w:val="0"/>
      <w:marBottom w:val="0"/>
      <w:divBdr>
        <w:top w:val="none" w:sz="0" w:space="0" w:color="auto"/>
        <w:left w:val="none" w:sz="0" w:space="0" w:color="auto"/>
        <w:bottom w:val="none" w:sz="0" w:space="0" w:color="auto"/>
        <w:right w:val="none" w:sz="0" w:space="0" w:color="auto"/>
      </w:divBdr>
    </w:div>
    <w:div w:id="160199135">
      <w:bodyDiv w:val="1"/>
      <w:marLeft w:val="0"/>
      <w:marRight w:val="0"/>
      <w:marTop w:val="0"/>
      <w:marBottom w:val="0"/>
      <w:divBdr>
        <w:top w:val="none" w:sz="0" w:space="0" w:color="auto"/>
        <w:left w:val="none" w:sz="0" w:space="0" w:color="auto"/>
        <w:bottom w:val="none" w:sz="0" w:space="0" w:color="auto"/>
        <w:right w:val="none" w:sz="0" w:space="0" w:color="auto"/>
      </w:divBdr>
    </w:div>
    <w:div w:id="388573812">
      <w:bodyDiv w:val="1"/>
      <w:marLeft w:val="0"/>
      <w:marRight w:val="0"/>
      <w:marTop w:val="0"/>
      <w:marBottom w:val="0"/>
      <w:divBdr>
        <w:top w:val="none" w:sz="0" w:space="0" w:color="auto"/>
        <w:left w:val="none" w:sz="0" w:space="0" w:color="auto"/>
        <w:bottom w:val="none" w:sz="0" w:space="0" w:color="auto"/>
        <w:right w:val="none" w:sz="0" w:space="0" w:color="auto"/>
      </w:divBdr>
    </w:div>
    <w:div w:id="392042375">
      <w:bodyDiv w:val="1"/>
      <w:marLeft w:val="0"/>
      <w:marRight w:val="0"/>
      <w:marTop w:val="0"/>
      <w:marBottom w:val="0"/>
      <w:divBdr>
        <w:top w:val="none" w:sz="0" w:space="0" w:color="auto"/>
        <w:left w:val="none" w:sz="0" w:space="0" w:color="auto"/>
        <w:bottom w:val="none" w:sz="0" w:space="0" w:color="auto"/>
        <w:right w:val="none" w:sz="0" w:space="0" w:color="auto"/>
      </w:divBdr>
    </w:div>
    <w:div w:id="452479755">
      <w:bodyDiv w:val="1"/>
      <w:marLeft w:val="0"/>
      <w:marRight w:val="0"/>
      <w:marTop w:val="0"/>
      <w:marBottom w:val="0"/>
      <w:divBdr>
        <w:top w:val="none" w:sz="0" w:space="0" w:color="auto"/>
        <w:left w:val="none" w:sz="0" w:space="0" w:color="auto"/>
        <w:bottom w:val="none" w:sz="0" w:space="0" w:color="auto"/>
        <w:right w:val="none" w:sz="0" w:space="0" w:color="auto"/>
      </w:divBdr>
    </w:div>
    <w:div w:id="501359912">
      <w:bodyDiv w:val="1"/>
      <w:marLeft w:val="0"/>
      <w:marRight w:val="0"/>
      <w:marTop w:val="0"/>
      <w:marBottom w:val="0"/>
      <w:divBdr>
        <w:top w:val="none" w:sz="0" w:space="0" w:color="auto"/>
        <w:left w:val="none" w:sz="0" w:space="0" w:color="auto"/>
        <w:bottom w:val="none" w:sz="0" w:space="0" w:color="auto"/>
        <w:right w:val="none" w:sz="0" w:space="0" w:color="auto"/>
      </w:divBdr>
    </w:div>
    <w:div w:id="501508546">
      <w:bodyDiv w:val="1"/>
      <w:marLeft w:val="0"/>
      <w:marRight w:val="0"/>
      <w:marTop w:val="0"/>
      <w:marBottom w:val="0"/>
      <w:divBdr>
        <w:top w:val="none" w:sz="0" w:space="0" w:color="auto"/>
        <w:left w:val="none" w:sz="0" w:space="0" w:color="auto"/>
        <w:bottom w:val="none" w:sz="0" w:space="0" w:color="auto"/>
        <w:right w:val="none" w:sz="0" w:space="0" w:color="auto"/>
      </w:divBdr>
    </w:div>
    <w:div w:id="505555939">
      <w:bodyDiv w:val="1"/>
      <w:marLeft w:val="0"/>
      <w:marRight w:val="0"/>
      <w:marTop w:val="0"/>
      <w:marBottom w:val="0"/>
      <w:divBdr>
        <w:top w:val="none" w:sz="0" w:space="0" w:color="auto"/>
        <w:left w:val="none" w:sz="0" w:space="0" w:color="auto"/>
        <w:bottom w:val="none" w:sz="0" w:space="0" w:color="auto"/>
        <w:right w:val="none" w:sz="0" w:space="0" w:color="auto"/>
      </w:divBdr>
    </w:div>
    <w:div w:id="594360595">
      <w:bodyDiv w:val="1"/>
      <w:marLeft w:val="0"/>
      <w:marRight w:val="0"/>
      <w:marTop w:val="0"/>
      <w:marBottom w:val="0"/>
      <w:divBdr>
        <w:top w:val="none" w:sz="0" w:space="0" w:color="auto"/>
        <w:left w:val="none" w:sz="0" w:space="0" w:color="auto"/>
        <w:bottom w:val="none" w:sz="0" w:space="0" w:color="auto"/>
        <w:right w:val="none" w:sz="0" w:space="0" w:color="auto"/>
      </w:divBdr>
    </w:div>
    <w:div w:id="691616031">
      <w:bodyDiv w:val="1"/>
      <w:marLeft w:val="0"/>
      <w:marRight w:val="0"/>
      <w:marTop w:val="0"/>
      <w:marBottom w:val="0"/>
      <w:divBdr>
        <w:top w:val="none" w:sz="0" w:space="0" w:color="auto"/>
        <w:left w:val="none" w:sz="0" w:space="0" w:color="auto"/>
        <w:bottom w:val="none" w:sz="0" w:space="0" w:color="auto"/>
        <w:right w:val="none" w:sz="0" w:space="0" w:color="auto"/>
      </w:divBdr>
      <w:divsChild>
        <w:div w:id="550462032">
          <w:marLeft w:val="0"/>
          <w:marRight w:val="0"/>
          <w:marTop w:val="0"/>
          <w:marBottom w:val="0"/>
          <w:divBdr>
            <w:top w:val="none" w:sz="0" w:space="0" w:color="auto"/>
            <w:left w:val="none" w:sz="0" w:space="0" w:color="auto"/>
            <w:bottom w:val="none" w:sz="0" w:space="0" w:color="auto"/>
            <w:right w:val="none" w:sz="0" w:space="0" w:color="auto"/>
          </w:divBdr>
          <w:divsChild>
            <w:div w:id="1343777040">
              <w:marLeft w:val="0"/>
              <w:marRight w:val="0"/>
              <w:marTop w:val="0"/>
              <w:marBottom w:val="0"/>
              <w:divBdr>
                <w:top w:val="none" w:sz="0" w:space="0" w:color="auto"/>
                <w:left w:val="none" w:sz="0" w:space="0" w:color="auto"/>
                <w:bottom w:val="none" w:sz="0" w:space="0" w:color="auto"/>
                <w:right w:val="none" w:sz="0" w:space="0" w:color="auto"/>
              </w:divBdr>
              <w:divsChild>
                <w:div w:id="17826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7221">
      <w:bodyDiv w:val="1"/>
      <w:marLeft w:val="0"/>
      <w:marRight w:val="0"/>
      <w:marTop w:val="0"/>
      <w:marBottom w:val="0"/>
      <w:divBdr>
        <w:top w:val="none" w:sz="0" w:space="0" w:color="auto"/>
        <w:left w:val="none" w:sz="0" w:space="0" w:color="auto"/>
        <w:bottom w:val="none" w:sz="0" w:space="0" w:color="auto"/>
        <w:right w:val="none" w:sz="0" w:space="0" w:color="auto"/>
      </w:divBdr>
    </w:div>
    <w:div w:id="754086364">
      <w:bodyDiv w:val="1"/>
      <w:marLeft w:val="0"/>
      <w:marRight w:val="0"/>
      <w:marTop w:val="0"/>
      <w:marBottom w:val="0"/>
      <w:divBdr>
        <w:top w:val="none" w:sz="0" w:space="0" w:color="auto"/>
        <w:left w:val="none" w:sz="0" w:space="0" w:color="auto"/>
        <w:bottom w:val="none" w:sz="0" w:space="0" w:color="auto"/>
        <w:right w:val="none" w:sz="0" w:space="0" w:color="auto"/>
      </w:divBdr>
    </w:div>
    <w:div w:id="804547086">
      <w:bodyDiv w:val="1"/>
      <w:marLeft w:val="0"/>
      <w:marRight w:val="0"/>
      <w:marTop w:val="0"/>
      <w:marBottom w:val="0"/>
      <w:divBdr>
        <w:top w:val="none" w:sz="0" w:space="0" w:color="auto"/>
        <w:left w:val="none" w:sz="0" w:space="0" w:color="auto"/>
        <w:bottom w:val="none" w:sz="0" w:space="0" w:color="auto"/>
        <w:right w:val="none" w:sz="0" w:space="0" w:color="auto"/>
      </w:divBdr>
    </w:div>
    <w:div w:id="839808038">
      <w:bodyDiv w:val="1"/>
      <w:marLeft w:val="0"/>
      <w:marRight w:val="0"/>
      <w:marTop w:val="0"/>
      <w:marBottom w:val="0"/>
      <w:divBdr>
        <w:top w:val="none" w:sz="0" w:space="0" w:color="auto"/>
        <w:left w:val="none" w:sz="0" w:space="0" w:color="auto"/>
        <w:bottom w:val="none" w:sz="0" w:space="0" w:color="auto"/>
        <w:right w:val="none" w:sz="0" w:space="0" w:color="auto"/>
      </w:divBdr>
    </w:div>
    <w:div w:id="903100737">
      <w:bodyDiv w:val="1"/>
      <w:marLeft w:val="0"/>
      <w:marRight w:val="0"/>
      <w:marTop w:val="0"/>
      <w:marBottom w:val="0"/>
      <w:divBdr>
        <w:top w:val="none" w:sz="0" w:space="0" w:color="auto"/>
        <w:left w:val="none" w:sz="0" w:space="0" w:color="auto"/>
        <w:bottom w:val="none" w:sz="0" w:space="0" w:color="auto"/>
        <w:right w:val="none" w:sz="0" w:space="0" w:color="auto"/>
      </w:divBdr>
    </w:div>
    <w:div w:id="1187865491">
      <w:bodyDiv w:val="1"/>
      <w:marLeft w:val="0"/>
      <w:marRight w:val="0"/>
      <w:marTop w:val="0"/>
      <w:marBottom w:val="0"/>
      <w:divBdr>
        <w:top w:val="none" w:sz="0" w:space="0" w:color="auto"/>
        <w:left w:val="none" w:sz="0" w:space="0" w:color="auto"/>
        <w:bottom w:val="none" w:sz="0" w:space="0" w:color="auto"/>
        <w:right w:val="none" w:sz="0" w:space="0" w:color="auto"/>
      </w:divBdr>
    </w:div>
    <w:div w:id="1193226020">
      <w:bodyDiv w:val="1"/>
      <w:marLeft w:val="0"/>
      <w:marRight w:val="0"/>
      <w:marTop w:val="0"/>
      <w:marBottom w:val="0"/>
      <w:divBdr>
        <w:top w:val="none" w:sz="0" w:space="0" w:color="auto"/>
        <w:left w:val="none" w:sz="0" w:space="0" w:color="auto"/>
        <w:bottom w:val="none" w:sz="0" w:space="0" w:color="auto"/>
        <w:right w:val="none" w:sz="0" w:space="0" w:color="auto"/>
      </w:divBdr>
    </w:div>
    <w:div w:id="1247492036">
      <w:bodyDiv w:val="1"/>
      <w:marLeft w:val="0"/>
      <w:marRight w:val="0"/>
      <w:marTop w:val="0"/>
      <w:marBottom w:val="0"/>
      <w:divBdr>
        <w:top w:val="none" w:sz="0" w:space="0" w:color="auto"/>
        <w:left w:val="none" w:sz="0" w:space="0" w:color="auto"/>
        <w:bottom w:val="none" w:sz="0" w:space="0" w:color="auto"/>
        <w:right w:val="none" w:sz="0" w:space="0" w:color="auto"/>
      </w:divBdr>
    </w:div>
    <w:div w:id="1248807513">
      <w:bodyDiv w:val="1"/>
      <w:marLeft w:val="0"/>
      <w:marRight w:val="0"/>
      <w:marTop w:val="0"/>
      <w:marBottom w:val="0"/>
      <w:divBdr>
        <w:top w:val="none" w:sz="0" w:space="0" w:color="auto"/>
        <w:left w:val="none" w:sz="0" w:space="0" w:color="auto"/>
        <w:bottom w:val="none" w:sz="0" w:space="0" w:color="auto"/>
        <w:right w:val="none" w:sz="0" w:space="0" w:color="auto"/>
      </w:divBdr>
    </w:div>
    <w:div w:id="1275332300">
      <w:bodyDiv w:val="1"/>
      <w:marLeft w:val="0"/>
      <w:marRight w:val="0"/>
      <w:marTop w:val="0"/>
      <w:marBottom w:val="0"/>
      <w:divBdr>
        <w:top w:val="none" w:sz="0" w:space="0" w:color="auto"/>
        <w:left w:val="none" w:sz="0" w:space="0" w:color="auto"/>
        <w:bottom w:val="none" w:sz="0" w:space="0" w:color="auto"/>
        <w:right w:val="none" w:sz="0" w:space="0" w:color="auto"/>
      </w:divBdr>
    </w:div>
    <w:div w:id="1621447865">
      <w:bodyDiv w:val="1"/>
      <w:marLeft w:val="0"/>
      <w:marRight w:val="0"/>
      <w:marTop w:val="0"/>
      <w:marBottom w:val="0"/>
      <w:divBdr>
        <w:top w:val="none" w:sz="0" w:space="0" w:color="auto"/>
        <w:left w:val="none" w:sz="0" w:space="0" w:color="auto"/>
        <w:bottom w:val="none" w:sz="0" w:space="0" w:color="auto"/>
        <w:right w:val="none" w:sz="0" w:space="0" w:color="auto"/>
      </w:divBdr>
    </w:div>
    <w:div w:id="1663389389">
      <w:bodyDiv w:val="1"/>
      <w:marLeft w:val="0"/>
      <w:marRight w:val="0"/>
      <w:marTop w:val="0"/>
      <w:marBottom w:val="0"/>
      <w:divBdr>
        <w:top w:val="none" w:sz="0" w:space="0" w:color="auto"/>
        <w:left w:val="none" w:sz="0" w:space="0" w:color="auto"/>
        <w:bottom w:val="none" w:sz="0" w:space="0" w:color="auto"/>
        <w:right w:val="none" w:sz="0" w:space="0" w:color="auto"/>
      </w:divBdr>
    </w:div>
    <w:div w:id="1671063195">
      <w:bodyDiv w:val="1"/>
      <w:marLeft w:val="0"/>
      <w:marRight w:val="0"/>
      <w:marTop w:val="0"/>
      <w:marBottom w:val="0"/>
      <w:divBdr>
        <w:top w:val="none" w:sz="0" w:space="0" w:color="auto"/>
        <w:left w:val="none" w:sz="0" w:space="0" w:color="auto"/>
        <w:bottom w:val="none" w:sz="0" w:space="0" w:color="auto"/>
        <w:right w:val="none" w:sz="0" w:space="0" w:color="auto"/>
      </w:divBdr>
    </w:div>
    <w:div w:id="1684210062">
      <w:bodyDiv w:val="1"/>
      <w:marLeft w:val="0"/>
      <w:marRight w:val="0"/>
      <w:marTop w:val="0"/>
      <w:marBottom w:val="0"/>
      <w:divBdr>
        <w:top w:val="none" w:sz="0" w:space="0" w:color="auto"/>
        <w:left w:val="none" w:sz="0" w:space="0" w:color="auto"/>
        <w:bottom w:val="none" w:sz="0" w:space="0" w:color="auto"/>
        <w:right w:val="none" w:sz="0" w:space="0" w:color="auto"/>
      </w:divBdr>
    </w:div>
    <w:div w:id="1855267497">
      <w:bodyDiv w:val="1"/>
      <w:marLeft w:val="0"/>
      <w:marRight w:val="0"/>
      <w:marTop w:val="0"/>
      <w:marBottom w:val="0"/>
      <w:divBdr>
        <w:top w:val="none" w:sz="0" w:space="0" w:color="auto"/>
        <w:left w:val="none" w:sz="0" w:space="0" w:color="auto"/>
        <w:bottom w:val="none" w:sz="0" w:space="0" w:color="auto"/>
        <w:right w:val="none" w:sz="0" w:space="0" w:color="auto"/>
      </w:divBdr>
    </w:div>
    <w:div w:id="1944876671">
      <w:bodyDiv w:val="1"/>
      <w:marLeft w:val="0"/>
      <w:marRight w:val="0"/>
      <w:marTop w:val="0"/>
      <w:marBottom w:val="0"/>
      <w:divBdr>
        <w:top w:val="none" w:sz="0" w:space="0" w:color="auto"/>
        <w:left w:val="none" w:sz="0" w:space="0" w:color="auto"/>
        <w:bottom w:val="none" w:sz="0" w:space="0" w:color="auto"/>
        <w:right w:val="none" w:sz="0" w:space="0" w:color="auto"/>
      </w:divBdr>
    </w:div>
    <w:div w:id="1971013984">
      <w:bodyDiv w:val="1"/>
      <w:marLeft w:val="0"/>
      <w:marRight w:val="0"/>
      <w:marTop w:val="0"/>
      <w:marBottom w:val="0"/>
      <w:divBdr>
        <w:top w:val="none" w:sz="0" w:space="0" w:color="auto"/>
        <w:left w:val="none" w:sz="0" w:space="0" w:color="auto"/>
        <w:bottom w:val="none" w:sz="0" w:space="0" w:color="auto"/>
        <w:right w:val="none" w:sz="0" w:space="0" w:color="auto"/>
      </w:divBdr>
    </w:div>
    <w:div w:id="2048023253">
      <w:bodyDiv w:val="1"/>
      <w:marLeft w:val="0"/>
      <w:marRight w:val="0"/>
      <w:marTop w:val="0"/>
      <w:marBottom w:val="0"/>
      <w:divBdr>
        <w:top w:val="none" w:sz="0" w:space="0" w:color="auto"/>
        <w:left w:val="none" w:sz="0" w:space="0" w:color="auto"/>
        <w:bottom w:val="none" w:sz="0" w:space="0" w:color="auto"/>
        <w:right w:val="none" w:sz="0" w:space="0" w:color="auto"/>
      </w:divBdr>
    </w:div>
    <w:div w:id="2060860930">
      <w:bodyDiv w:val="1"/>
      <w:marLeft w:val="0"/>
      <w:marRight w:val="0"/>
      <w:marTop w:val="0"/>
      <w:marBottom w:val="0"/>
      <w:divBdr>
        <w:top w:val="none" w:sz="0" w:space="0" w:color="auto"/>
        <w:left w:val="none" w:sz="0" w:space="0" w:color="auto"/>
        <w:bottom w:val="none" w:sz="0" w:space="0" w:color="auto"/>
        <w:right w:val="none" w:sz="0" w:space="0" w:color="auto"/>
      </w:divBdr>
    </w:div>
    <w:div w:id="2063751277">
      <w:bodyDiv w:val="1"/>
      <w:marLeft w:val="0"/>
      <w:marRight w:val="0"/>
      <w:marTop w:val="0"/>
      <w:marBottom w:val="0"/>
      <w:divBdr>
        <w:top w:val="none" w:sz="0" w:space="0" w:color="auto"/>
        <w:left w:val="none" w:sz="0" w:space="0" w:color="auto"/>
        <w:bottom w:val="none" w:sz="0" w:space="0" w:color="auto"/>
        <w:right w:val="none" w:sz="0" w:space="0" w:color="auto"/>
      </w:divBdr>
    </w:div>
    <w:div w:id="2065832818">
      <w:bodyDiv w:val="1"/>
      <w:marLeft w:val="0"/>
      <w:marRight w:val="0"/>
      <w:marTop w:val="0"/>
      <w:marBottom w:val="0"/>
      <w:divBdr>
        <w:top w:val="none" w:sz="0" w:space="0" w:color="auto"/>
        <w:left w:val="none" w:sz="0" w:space="0" w:color="auto"/>
        <w:bottom w:val="none" w:sz="0" w:space="0" w:color="auto"/>
        <w:right w:val="none" w:sz="0" w:space="0" w:color="auto"/>
      </w:divBdr>
    </w:div>
    <w:div w:id="2071686090">
      <w:bodyDiv w:val="1"/>
      <w:marLeft w:val="0"/>
      <w:marRight w:val="0"/>
      <w:marTop w:val="0"/>
      <w:marBottom w:val="0"/>
      <w:divBdr>
        <w:top w:val="none" w:sz="0" w:space="0" w:color="auto"/>
        <w:left w:val="none" w:sz="0" w:space="0" w:color="auto"/>
        <w:bottom w:val="none" w:sz="0" w:space="0" w:color="auto"/>
        <w:right w:val="none" w:sz="0" w:space="0" w:color="auto"/>
      </w:divBdr>
    </w:div>
    <w:div w:id="211671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99" Type="http://schemas.openxmlformats.org/officeDocument/2006/relationships/hyperlink" Target="http://wdr.doleta.gov/research/FullText_Documents/ETAOP_2012_10.pdf" TargetMode="Externa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324" Type="http://schemas.openxmlformats.org/officeDocument/2006/relationships/hyperlink" Target="http://www.nmc.org/pdf/2014-horizon-he-preview.pdf" TargetMode="External"/><Relationship Id="rId345" Type="http://schemas.openxmlformats.org/officeDocument/2006/relationships/hyperlink" Target="http://www.sr.ithaka.org/sites/default/files/reports/ithaka-sr-online-learning-postsecondary-education-may2012.pdf" TargetMode="External"/><Relationship Id="rId366" Type="http://schemas.openxmlformats.org/officeDocument/2006/relationships/hyperlink" Target="http://www.census.gov/cgi-bin/sssd/naics/naicsrch?chart_code=23&amp;search=2012%20NAICS%20Search" TargetMode="External"/><Relationship Id="rId387" Type="http://schemas.openxmlformats.org/officeDocument/2006/relationships/fontTable" Target="fontTable.xml"/><Relationship Id="rId170" Type="http://schemas.openxmlformats.org/officeDocument/2006/relationships/customXml" Target="../customXml/item170.xml"/><Relationship Id="rId191" Type="http://schemas.openxmlformats.org/officeDocument/2006/relationships/customXml" Target="../customXml/item191.xml"/><Relationship Id="rId205" Type="http://schemas.openxmlformats.org/officeDocument/2006/relationships/customXml" Target="../customXml/item205.xml"/><Relationship Id="rId226" Type="http://schemas.openxmlformats.org/officeDocument/2006/relationships/styles" Target="styles.xml"/><Relationship Id="rId247" Type="http://schemas.openxmlformats.org/officeDocument/2006/relationships/hyperlink" Target="http://creativecommons.org/licenses/by/4.0" TargetMode="External"/><Relationship Id="rId107" Type="http://schemas.openxmlformats.org/officeDocument/2006/relationships/customXml" Target="../customXml/item107.xml"/><Relationship Id="rId268" Type="http://schemas.openxmlformats.org/officeDocument/2006/relationships/hyperlink" Target="http://www.grants.gov/web/grants/applicants/organization-registration/step-5-track-aor-status.html" TargetMode="External"/><Relationship Id="rId289" Type="http://schemas.openxmlformats.org/officeDocument/2006/relationships/hyperlink" Target="http://www.workforce3one.org/page/grants_toolkit" TargetMode="Externa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314" Type="http://schemas.openxmlformats.org/officeDocument/2006/relationships/hyperlink" Target="http://ccrc.tc.columbia.edu/media/k2/attachments/what-we-know-about-nonacademic-student-supports.pdf" TargetMode="External"/><Relationship Id="rId335" Type="http://schemas.openxmlformats.org/officeDocument/2006/relationships/hyperlink" Target="http://www.clasp.org/issues/postsecondary/pages/alliance-for-quality-career-pathways" TargetMode="External"/><Relationship Id="rId356" Type="http://schemas.openxmlformats.org/officeDocument/2006/relationships/hyperlink" Target="https://sourceforge.net/projects/nter/" TargetMode="External"/><Relationship Id="rId377" Type="http://schemas.openxmlformats.org/officeDocument/2006/relationships/hyperlink" Target="http://www.census.gov/cgi-bin/sssd/naics/naicsrch?chart_code=61&amp;search=2012%20NAICS%20Search" TargetMode="Externa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customXml" Target="../customXml/item181.xml"/><Relationship Id="rId216" Type="http://schemas.openxmlformats.org/officeDocument/2006/relationships/customXml" Target="../customXml/item216.xml"/><Relationship Id="rId237" Type="http://schemas.openxmlformats.org/officeDocument/2006/relationships/hyperlink" Target="http://energy.gov/eere/education/nter" TargetMode="External"/><Relationship Id="rId258" Type="http://schemas.openxmlformats.org/officeDocument/2006/relationships/hyperlink" Target="http://www.grants.gov/web/grants/forms/sf-424-family.html" TargetMode="External"/><Relationship Id="rId279" Type="http://schemas.openxmlformats.org/officeDocument/2006/relationships/hyperlink" Target="http://edocket.access.gpo.gov/2010/pdf/2010-22705.pdf" TargetMode="Externa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290" Type="http://schemas.openxmlformats.org/officeDocument/2006/relationships/hyperlink" Target="http://strategies.workforce3one.org/" TargetMode="External"/><Relationship Id="rId304" Type="http://schemas.openxmlformats.org/officeDocument/2006/relationships/hyperlink" Target="https://learnwork.workforce3one.org/view/2001135442016073646/info" TargetMode="External"/><Relationship Id="rId325" Type="http://schemas.openxmlformats.org/officeDocument/2006/relationships/hyperlink" Target="http://www.hewlett.org/sites/default/files/OER%20Research%20paper%20December%2015%202013%20Marshall%20Smith_1.pdf" TargetMode="External"/><Relationship Id="rId346" Type="http://schemas.openxmlformats.org/officeDocument/2006/relationships/hyperlink" Target="http://www.sr.ithaka.org/research-publications/interactive-learning-online-public-universities-evidence-randomized-trials" TargetMode="External"/><Relationship Id="rId367" Type="http://schemas.openxmlformats.org/officeDocument/2006/relationships/hyperlink" Target="http://www.census.gov/cgi-bin/sssd/naics/naicsrch?chart_code=31&amp;search=2012%20NAICS%20Search" TargetMode="External"/><Relationship Id="rId388" Type="http://schemas.openxmlformats.org/officeDocument/2006/relationships/theme" Target="theme/theme1.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customXml" Target="../customXml/item171.xml"/><Relationship Id="rId192" Type="http://schemas.openxmlformats.org/officeDocument/2006/relationships/customXml" Target="../customXml/item192.xml"/><Relationship Id="rId206" Type="http://schemas.openxmlformats.org/officeDocument/2006/relationships/customXml" Target="../customXml/item206.xml"/><Relationship Id="rId227" Type="http://schemas.microsoft.com/office/2007/relationships/stylesWithEffects" Target="stylesWithEffects.xml"/><Relationship Id="rId248" Type="http://schemas.openxmlformats.org/officeDocument/2006/relationships/hyperlink" Target="http://wiki.creativecommons.org/Marking_your_work_with_a_CC_license" TargetMode="External"/><Relationship Id="rId269" Type="http://schemas.openxmlformats.org/officeDocument/2006/relationships/hyperlink" Target="http://www.grants.gov/web/grants/applicants/applicant-resources.html"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280" Type="http://schemas.openxmlformats.org/officeDocument/2006/relationships/hyperlink" Target="mailto:abdullah.melissa@dol.gov" TargetMode="External"/><Relationship Id="rId315" Type="http://schemas.openxmlformats.org/officeDocument/2006/relationships/hyperlink" Target="http://ccrc.tc.columbia.edu/media/k2/attachments/entering-a-program.pdf" TargetMode="External"/><Relationship Id="rId336" Type="http://schemas.openxmlformats.org/officeDocument/2006/relationships/hyperlink" Target="http://www.urban.org/publications/1001714.html" TargetMode="External"/><Relationship Id="rId357" Type="http://schemas.openxmlformats.org/officeDocument/2006/relationships/hyperlink" Target="http://www.NTERlearning.org" TargetMode="Externa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customXml" Target="../customXml/item161.xml"/><Relationship Id="rId182" Type="http://schemas.openxmlformats.org/officeDocument/2006/relationships/customXml" Target="../customXml/item182.xml"/><Relationship Id="rId217" Type="http://schemas.openxmlformats.org/officeDocument/2006/relationships/customXml" Target="../customXml/item217.xml"/><Relationship Id="rId378" Type="http://schemas.openxmlformats.org/officeDocument/2006/relationships/hyperlink" Target="http://www.census.gov/cgi-bin/sssd/naics/naicsrch?chart_code=62&amp;search=2012%20NAICS%20Search" TargetMode="External"/><Relationship Id="rId6" Type="http://schemas.openxmlformats.org/officeDocument/2006/relationships/customXml" Target="../customXml/item6.xml"/><Relationship Id="rId238" Type="http://schemas.openxmlformats.org/officeDocument/2006/relationships/hyperlink" Target="http://www.doleta.gov/taaccct" TargetMode="External"/><Relationship Id="rId259" Type="http://schemas.openxmlformats.org/officeDocument/2006/relationships/hyperlink" Target="http://www.grants.gov" TargetMode="External"/><Relationship Id="rId23" Type="http://schemas.openxmlformats.org/officeDocument/2006/relationships/customXml" Target="../customXml/item23.xml"/><Relationship Id="rId119" Type="http://schemas.openxmlformats.org/officeDocument/2006/relationships/customXml" Target="../customXml/item119.xml"/><Relationship Id="rId270" Type="http://schemas.openxmlformats.org/officeDocument/2006/relationships/hyperlink" Target="http://www.workforce3one.org/page/grants_toolkit" TargetMode="External"/><Relationship Id="rId291" Type="http://schemas.openxmlformats.org/officeDocument/2006/relationships/hyperlink" Target="https://etareporting.workforce3one.org/page/financial" TargetMode="External"/><Relationship Id="rId305" Type="http://schemas.openxmlformats.org/officeDocument/2006/relationships/hyperlink" Target="https://learnwork.workforce3one.org/view/2001134059875592620/info" TargetMode="External"/><Relationship Id="rId326" Type="http://schemas.openxmlformats.org/officeDocument/2006/relationships/hyperlink" Target="https://net.educause.edu/ir/library/pdf/ERM1351.pdf" TargetMode="External"/><Relationship Id="rId347" Type="http://schemas.openxmlformats.org/officeDocument/2006/relationships/hyperlink" Target="http://www.educause.edu/research-publications/books/game-changers-education-and-information-technologies" TargetMode="Externa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368" Type="http://schemas.openxmlformats.org/officeDocument/2006/relationships/hyperlink" Target="http://www.census.gov/cgi-bin/sssd/naics/naicsrch?chart_code=42&amp;search=2012%20NAICS%20Search" TargetMode="External"/><Relationship Id="rId172" Type="http://schemas.openxmlformats.org/officeDocument/2006/relationships/customXml" Target="../customXml/item172.xml"/><Relationship Id="rId193" Type="http://schemas.openxmlformats.org/officeDocument/2006/relationships/customXml" Target="../customXml/item193.xml"/><Relationship Id="rId207" Type="http://schemas.openxmlformats.org/officeDocument/2006/relationships/customXml" Target="../customXml/item207.xml"/><Relationship Id="rId228" Type="http://schemas.openxmlformats.org/officeDocument/2006/relationships/settings" Target="settings.xml"/><Relationship Id="rId249" Type="http://schemas.openxmlformats.org/officeDocument/2006/relationships/hyperlink" Target="http://www.Grants.gov" TargetMode="External"/><Relationship Id="rId13" Type="http://schemas.openxmlformats.org/officeDocument/2006/relationships/customXml" Target="../customXml/item13.xml"/><Relationship Id="rId109" Type="http://schemas.openxmlformats.org/officeDocument/2006/relationships/customXml" Target="../customXml/item109.xml"/><Relationship Id="rId260" Type="http://schemas.openxmlformats.org/officeDocument/2006/relationships/hyperlink" Target="http://www.grants.gov" TargetMode="External"/><Relationship Id="rId281" Type="http://schemas.openxmlformats.org/officeDocument/2006/relationships/hyperlink" Target="http://www.doleta.gov/grants" TargetMode="External"/><Relationship Id="rId316" Type="http://schemas.openxmlformats.org/officeDocument/2006/relationships/hyperlink" Target="http://www.aspenwsi.org/wordpress/wp-content/uploads/update_cte_march2013.pdf" TargetMode="External"/><Relationship Id="rId337" Type="http://schemas.openxmlformats.org/officeDocument/2006/relationships/hyperlink" Target="http://www.dol.gov/odep/pdf/WorkingForAdults.pdf" TargetMode="External"/><Relationship Id="rId34" Type="http://schemas.openxmlformats.org/officeDocument/2006/relationships/customXml" Target="../customXml/item34.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20" Type="http://schemas.openxmlformats.org/officeDocument/2006/relationships/customXml" Target="../customXml/item120.xml"/><Relationship Id="rId141" Type="http://schemas.openxmlformats.org/officeDocument/2006/relationships/customXml" Target="../customXml/item141.xml"/><Relationship Id="rId358" Type="http://schemas.openxmlformats.org/officeDocument/2006/relationships/hyperlink" Target="http://www.Ntercom.org" TargetMode="External"/><Relationship Id="rId379" Type="http://schemas.openxmlformats.org/officeDocument/2006/relationships/hyperlink" Target="http://www.census.gov/cgi-bin/sssd/naics/naicsrch?chart_code=71&amp;search=2012%20NAICS%20Search" TargetMode="External"/><Relationship Id="rId7" Type="http://schemas.openxmlformats.org/officeDocument/2006/relationships/customXml" Target="../customXml/item7.xml"/><Relationship Id="rId162" Type="http://schemas.openxmlformats.org/officeDocument/2006/relationships/customXml" Target="../customXml/item162.xml"/><Relationship Id="rId183" Type="http://schemas.openxmlformats.org/officeDocument/2006/relationships/customXml" Target="../customXml/item183.xml"/><Relationship Id="rId218" Type="http://schemas.openxmlformats.org/officeDocument/2006/relationships/customXml" Target="../customXml/item218.xml"/><Relationship Id="rId239" Type="http://schemas.openxmlformats.org/officeDocument/2006/relationships/hyperlink" Target="http://www.doleta.gov/performance/workforcedatagrant09.cfm" TargetMode="External"/><Relationship Id="rId250" Type="http://schemas.openxmlformats.org/officeDocument/2006/relationships/hyperlink" Target="http://www.doleta.gov/grants/find_grants.cfm" TargetMode="External"/><Relationship Id="rId271" Type="http://schemas.openxmlformats.org/officeDocument/2006/relationships/hyperlink" Target="http://www.grants.gov/web/grants/manage-subscriptions.html" TargetMode="External"/><Relationship Id="rId292" Type="http://schemas.openxmlformats.org/officeDocument/2006/relationships/hyperlink" Target="http://ies.ed.gov/ncee/edlabs/" TargetMode="External"/><Relationship Id="rId306" Type="http://schemas.openxmlformats.org/officeDocument/2006/relationships/hyperlink" Target="http://www.mdrc.org/sites/default/files/Enhancing_GED_Instruction_brief.pdf" TargetMode="External"/><Relationship Id="rId24" Type="http://schemas.openxmlformats.org/officeDocument/2006/relationships/customXml" Target="../customXml/item24.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31" Type="http://schemas.openxmlformats.org/officeDocument/2006/relationships/customXml" Target="../customXml/item131.xml"/><Relationship Id="rId327" Type="http://schemas.openxmlformats.org/officeDocument/2006/relationships/hyperlink" Target="http://net.educause.edu/ir/library/pdf/NGW1301.pdf" TargetMode="External"/><Relationship Id="rId348" Type="http://schemas.openxmlformats.org/officeDocument/2006/relationships/hyperlink" Target="https://oerknowledgecloud.org/?q=content/knowledge-sharing-and-collaboration-indicators-learning-oer-communities" TargetMode="External"/><Relationship Id="rId369" Type="http://schemas.openxmlformats.org/officeDocument/2006/relationships/hyperlink" Target="http://www.census.gov/cgi-bin/sssd/naics/naicsrch?chart_code=44&amp;search=2012%20NAICS%20Search" TargetMode="External"/><Relationship Id="rId152" Type="http://schemas.openxmlformats.org/officeDocument/2006/relationships/customXml" Target="../customXml/item152.xml"/><Relationship Id="rId173" Type="http://schemas.openxmlformats.org/officeDocument/2006/relationships/customXml" Target="../customXml/item173.xml"/><Relationship Id="rId194" Type="http://schemas.openxmlformats.org/officeDocument/2006/relationships/customXml" Target="../customXml/item194.xml"/><Relationship Id="rId208" Type="http://schemas.openxmlformats.org/officeDocument/2006/relationships/customXml" Target="../customXml/item208.xml"/><Relationship Id="rId229" Type="http://schemas.openxmlformats.org/officeDocument/2006/relationships/webSettings" Target="webSettings.xml"/><Relationship Id="rId380" Type="http://schemas.openxmlformats.org/officeDocument/2006/relationships/hyperlink" Target="http://www.census.gov/cgi-bin/sssd/naics/naicsrch?chart_code=72&amp;search=2012%20NAICS%20Search" TargetMode="External"/><Relationship Id="rId240" Type="http://schemas.openxmlformats.org/officeDocument/2006/relationships/hyperlink" Target="https://nces.ed.gov/programs/slds/" TargetMode="External"/><Relationship Id="rId261" Type="http://schemas.openxmlformats.org/officeDocument/2006/relationships/hyperlink" Target="http://www.grants.gov" TargetMode="External"/><Relationship Id="rId14" Type="http://schemas.openxmlformats.org/officeDocument/2006/relationships/customXml" Target="../customXml/item14.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282" Type="http://schemas.openxmlformats.org/officeDocument/2006/relationships/hyperlink" Target="http://www.grants.gov" TargetMode="External"/><Relationship Id="rId317" Type="http://schemas.openxmlformats.org/officeDocument/2006/relationships/hyperlink" Target="http://www2.ed.gov/PDFDocs/college-completion/04-student-support-services-at-community-colleges.pdf" TargetMode="External"/><Relationship Id="rId338" Type="http://schemas.openxmlformats.org/officeDocument/2006/relationships/hyperlink" Target="http://www2.ed.gov/about/offices/list/ovae/resource/adult-college-completion-tool-kit.pdf" TargetMode="External"/><Relationship Id="rId359" Type="http://schemas.openxmlformats.org/officeDocument/2006/relationships/hyperlink" Target="mailto:support@nterlearning.org" TargetMode="External"/><Relationship Id="rId8" Type="http://schemas.openxmlformats.org/officeDocument/2006/relationships/customXml" Target="../customXml/item8.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customXml" Target="../customXml/item184.xml"/><Relationship Id="rId219" Type="http://schemas.openxmlformats.org/officeDocument/2006/relationships/customXml" Target="../customXml/item219.xml"/><Relationship Id="rId370" Type="http://schemas.openxmlformats.org/officeDocument/2006/relationships/hyperlink" Target="http://www.census.gov/cgi-bin/sssd/naics/naicsrch?chart_code=48&amp;search=2012%20NAICS%20Search" TargetMode="External"/><Relationship Id="rId230" Type="http://schemas.openxmlformats.org/officeDocument/2006/relationships/footnotes" Target="footnotes.xml"/><Relationship Id="rId251" Type="http://schemas.openxmlformats.org/officeDocument/2006/relationships/hyperlink" Target="http://www.grants.gov/web/grants/forms/sf-424-family.html" TargetMode="Externa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272" Type="http://schemas.openxmlformats.org/officeDocument/2006/relationships/hyperlink" Target="http://www.grants.gov/documents/19/18249/CustomerServiceProcess.pdf/35f168e0-49ea-426f-be2b-5b772178326d" TargetMode="External"/><Relationship Id="rId293" Type="http://schemas.openxmlformats.org/officeDocument/2006/relationships/hyperlink" Target="mailto:DOL_PRA_PUBLIC@dol.gov" TargetMode="External"/><Relationship Id="rId307" Type="http://schemas.openxmlformats.org/officeDocument/2006/relationships/hyperlink" Target="http://www.mdrc.org/sites/default/files/Bringing%20Developmental%20Education%20to%20Scale%20FR.pdf" TargetMode="External"/><Relationship Id="rId328" Type="http://schemas.openxmlformats.org/officeDocument/2006/relationships/hyperlink" Target="http://www.sr.ithaka.org/sites/default/files/reports/ithaka-sr-online-learning-postsecondary-education-may2012.pdf" TargetMode="External"/><Relationship Id="rId349" Type="http://schemas.openxmlformats.org/officeDocument/2006/relationships/hyperlink" Target="http://www.tandfonline.com/doi/abs/10.1080/02680513.2011.538563" TargetMode="Externa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95" Type="http://schemas.openxmlformats.org/officeDocument/2006/relationships/customXml" Target="../customXml/item195.xml"/><Relationship Id="rId209" Type="http://schemas.openxmlformats.org/officeDocument/2006/relationships/customXml" Target="../customXml/item209.xml"/><Relationship Id="rId360" Type="http://schemas.openxmlformats.org/officeDocument/2006/relationships/hyperlink" Target="http://www.cogtech.usc.edu/publications/clark_etal_cognitive_task_analysis_chapter.pdf" TargetMode="External"/><Relationship Id="rId381" Type="http://schemas.openxmlformats.org/officeDocument/2006/relationships/hyperlink" Target="http://www.census.gov/cgi-bin/sssd/naics/naicsrch?chart_code=81&amp;search=2012%20NAICS%20Search" TargetMode="External"/><Relationship Id="rId220" Type="http://schemas.openxmlformats.org/officeDocument/2006/relationships/customXml" Target="../customXml/item220.xml"/><Relationship Id="rId241" Type="http://schemas.openxmlformats.org/officeDocument/2006/relationships/hyperlink" Target="http://nces.ed.gov/programs/slds/resource_type.asp"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262" Type="http://schemas.openxmlformats.org/officeDocument/2006/relationships/hyperlink" Target="http://www.grants.gov" TargetMode="External"/><Relationship Id="rId283" Type="http://schemas.openxmlformats.org/officeDocument/2006/relationships/hyperlink" Target="http://www.careeronestop.org" TargetMode="External"/><Relationship Id="rId318" Type="http://schemas.openxmlformats.org/officeDocument/2006/relationships/hyperlink" Target="http://www.cael.org/pdfs/College-Productivity-Resource-Guide2012" TargetMode="External"/><Relationship Id="rId339" Type="http://schemas.openxmlformats.org/officeDocument/2006/relationships/hyperlink" Target="http://knowledgecenter.completionbydesign.org/sites/default/files/changing_course_V1_fb_10032011.pdf" TargetMode="External"/><Relationship Id="rId78" Type="http://schemas.openxmlformats.org/officeDocument/2006/relationships/customXml" Target="../customXml/item78.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64" Type="http://schemas.openxmlformats.org/officeDocument/2006/relationships/customXml" Target="../customXml/item164.xml"/><Relationship Id="rId185" Type="http://schemas.openxmlformats.org/officeDocument/2006/relationships/customXml" Target="../customXml/item185.xml"/><Relationship Id="rId350" Type="http://schemas.openxmlformats.org/officeDocument/2006/relationships/hyperlink" Target="http://www2.ed.gov/rschstat/eval/tech/evidence-based-practices/finalreport.pdf" TargetMode="External"/><Relationship Id="rId371" Type="http://schemas.openxmlformats.org/officeDocument/2006/relationships/hyperlink" Target="http://www.census.gov/cgi-bin/sssd/naics/naicsrch?chart_code=51&amp;search=2012%20NAICS%20Search" TargetMode="External"/><Relationship Id="rId9" Type="http://schemas.openxmlformats.org/officeDocument/2006/relationships/customXml" Target="../customXml/item9.xml"/><Relationship Id="rId210" Type="http://schemas.openxmlformats.org/officeDocument/2006/relationships/customXml" Target="../customXml/item210.xml"/><Relationship Id="rId26" Type="http://schemas.openxmlformats.org/officeDocument/2006/relationships/customXml" Target="../customXml/item26.xml"/><Relationship Id="rId231" Type="http://schemas.openxmlformats.org/officeDocument/2006/relationships/endnotes" Target="endnotes.xml"/><Relationship Id="rId252" Type="http://schemas.openxmlformats.org/officeDocument/2006/relationships/hyperlink" Target="http://www.grants.gov/web/grants/forms/sf-424-family.html" TargetMode="External"/><Relationship Id="rId273" Type="http://schemas.openxmlformats.org/officeDocument/2006/relationships/hyperlink" Target="http://wdr.doleta.gov/directives/corr_doc.cfm?DOCN=2262" TargetMode="External"/><Relationship Id="rId294" Type="http://schemas.openxmlformats.org/officeDocument/2006/relationships/footer" Target="footer1.xml"/><Relationship Id="rId308" Type="http://schemas.openxmlformats.org/officeDocument/2006/relationships/hyperlink" Target="http://www.jff.org/sites/default/files/publications/AheadOfTheCurve_120312.pdf" TargetMode="External"/><Relationship Id="rId329" Type="http://schemas.openxmlformats.org/officeDocument/2006/relationships/hyperlink" Target="http://www.sr.ithaka.org/research-publications/interactive-learning-online-public-universities-evidence-randomized-trials" TargetMode="Externa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customXml" Target="../customXml/item175.xml"/><Relationship Id="rId340" Type="http://schemas.openxmlformats.org/officeDocument/2006/relationships/hyperlink" Target="http://www.workforceinfodb.org/PDF/CareerPathwaysToolkit2011.pdf" TargetMode="External"/><Relationship Id="rId361" Type="http://schemas.openxmlformats.org/officeDocument/2006/relationships/hyperlink" Target="http://www.google.com/url?sa=t&amp;rct=j&amp;q=&amp;esrc=s&amp;source=web&amp;cd=5&amp;ved=0CF0QFjAE&amp;url=http%3A%2F%2Fciteseerx.ist.psu.edu%2Fviewdoc%2Fdownload%3Fdoi%3D10.1.1.89.4503%26rep%3Drep1%26type%3Dpdf&amp;ei=xLkSUaTUOYTW2gWupYHgDg&amp;usg=AFQjCNGJm2eE6bvpQOfUagJ9efvMZeyEXA&amp;bvm=bv.41934586,d.b2I" TargetMode="External"/><Relationship Id="rId196" Type="http://schemas.openxmlformats.org/officeDocument/2006/relationships/customXml" Target="../customXml/item196.xml"/><Relationship Id="rId200" Type="http://schemas.openxmlformats.org/officeDocument/2006/relationships/customXml" Target="../customXml/item200.xml"/><Relationship Id="rId382" Type="http://schemas.openxmlformats.org/officeDocument/2006/relationships/hyperlink" Target="http://www.census.gov/cgi-bin/sssd/naics/naicsrch?chart_code=92&amp;search=2012%20NAICS%20Search" TargetMode="External"/><Relationship Id="rId16" Type="http://schemas.openxmlformats.org/officeDocument/2006/relationships/customXml" Target="../customXml/item16.xml"/><Relationship Id="rId221" Type="http://schemas.openxmlformats.org/officeDocument/2006/relationships/customXml" Target="../customXml/item221.xml"/><Relationship Id="rId242" Type="http://schemas.openxmlformats.org/officeDocument/2006/relationships/hyperlink" Target="http://www.whitehouse.gov/omb/grants_circulars" TargetMode="External"/><Relationship Id="rId263" Type="http://schemas.openxmlformats.org/officeDocument/2006/relationships/hyperlink" Target="http://www.grants.gov/web/grants/applicants/organization-registration.html" TargetMode="External"/><Relationship Id="rId284" Type="http://schemas.openxmlformats.org/officeDocument/2006/relationships/hyperlink" Target="http://online.onetcenter.org" TargetMode="External"/><Relationship Id="rId319" Type="http://schemas.openxmlformats.org/officeDocument/2006/relationships/hyperlink" Target="http://www.cael.org/pdfs/PLA_Fueling-the-Race.pdf" TargetMode="Externa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330" Type="http://schemas.openxmlformats.org/officeDocument/2006/relationships/hyperlink" Target="http://www.educause.edu/research-publications/books/game-changers-education-and-information-technologies" TargetMode="Externa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351" Type="http://schemas.openxmlformats.org/officeDocument/2006/relationships/hyperlink" Target="http://oli.cmu.edu/wp-oli/wp-content/uploads/2012/05/Lovett_2008_Statistics_Accelerated_Learning_Study.pdf" TargetMode="External"/><Relationship Id="rId372" Type="http://schemas.openxmlformats.org/officeDocument/2006/relationships/hyperlink" Target="http://www.census.gov/cgi-bin/sssd/naics/naicsrch?chart_code=52&amp;search=2012%20NAICS%20Search" TargetMode="External"/><Relationship Id="rId211" Type="http://schemas.openxmlformats.org/officeDocument/2006/relationships/customXml" Target="../customXml/item211.xml"/><Relationship Id="rId232" Type="http://schemas.openxmlformats.org/officeDocument/2006/relationships/hyperlink" Target="http://ifap.ed.gov/dpcletters/GEN1310.html" TargetMode="External"/><Relationship Id="rId253" Type="http://schemas.openxmlformats.org/officeDocument/2006/relationships/hyperlink" Target="http://www.grants.gov/web/grants/forms/sf-424-family.html" TargetMode="External"/><Relationship Id="rId274" Type="http://schemas.openxmlformats.org/officeDocument/2006/relationships/hyperlink" Target="http://www.grants.gov" TargetMode="External"/><Relationship Id="rId295" Type="http://schemas.openxmlformats.org/officeDocument/2006/relationships/footer" Target="footer2.xml"/><Relationship Id="rId309" Type="http://schemas.openxmlformats.org/officeDocument/2006/relationships/hyperlink" Target="http://www.jff.org/sites/default/files/publications/RemediationJointStatement-121312update.pdf"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320" Type="http://schemas.openxmlformats.org/officeDocument/2006/relationships/hyperlink" Target="https://www.careeronestop.org/competencymodel/pyramid.aspx" TargetMode="Externa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customXml" Target="../customXml/item197.xml"/><Relationship Id="rId341" Type="http://schemas.openxmlformats.org/officeDocument/2006/relationships/hyperlink" Target="http://www.nmc.org/pdf/2014-horizon-he-preview.pdf" TargetMode="External"/><Relationship Id="rId362" Type="http://schemas.openxmlformats.org/officeDocument/2006/relationships/hyperlink" Target="http://siteresources.worldbank.org/WBI/Resources/213798-1194538727144/3Final-Cog_Task_Analysis.pdf" TargetMode="External"/><Relationship Id="rId383" Type="http://schemas.openxmlformats.org/officeDocument/2006/relationships/hyperlink" Target="http://www.acf.hhs.gov/programs/ofa/programs/hpog" TargetMode="External"/><Relationship Id="rId201" Type="http://schemas.openxmlformats.org/officeDocument/2006/relationships/customXml" Target="../customXml/item201.xml"/><Relationship Id="rId222" Type="http://schemas.openxmlformats.org/officeDocument/2006/relationships/customXml" Target="../customXml/item222.xml"/><Relationship Id="rId243" Type="http://schemas.openxmlformats.org/officeDocument/2006/relationships/hyperlink" Target="http://www.whitehouse.gov/omb/grants_circulars" TargetMode="External"/><Relationship Id="rId264" Type="http://schemas.openxmlformats.org/officeDocument/2006/relationships/hyperlink" Target="http://www.grants.gov/documents/19/18243/OrganizationRegChecklist.pdf/fc7e7c18-2497-4b08-8d9b-bfac399947a3" TargetMode="External"/><Relationship Id="rId285" Type="http://schemas.openxmlformats.org/officeDocument/2006/relationships/hyperlink" Target="http://www.servicelocator.org" TargetMode="Externa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310" Type="http://schemas.openxmlformats.org/officeDocument/2006/relationships/hyperlink" Target="http://www.jff.org/sites/default/files/publications/DEI_State_Policy_Framework.pdf" TargetMode="Externa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customXml" Target="../customXml/item166.xml"/><Relationship Id="rId187" Type="http://schemas.openxmlformats.org/officeDocument/2006/relationships/customXml" Target="../customXml/item187.xml"/><Relationship Id="rId331" Type="http://schemas.openxmlformats.org/officeDocument/2006/relationships/hyperlink" Target="https://oerknowledgecloud.org/?q=content/knowledge-sharing-and-collaboration-indicators-learning-oer-communities" TargetMode="External"/><Relationship Id="rId352" Type="http://schemas.openxmlformats.org/officeDocument/2006/relationships/hyperlink" Target="mailto:support@nterlearning.org" TargetMode="External"/><Relationship Id="rId373" Type="http://schemas.openxmlformats.org/officeDocument/2006/relationships/hyperlink" Target="http://www.census.gov/cgi-bin/sssd/naics/naicsrch?chart_code=53&amp;search=2012%20NAICS%20Search" TargetMode="External"/><Relationship Id="rId1" Type="http://schemas.openxmlformats.org/officeDocument/2006/relationships/customXml" Target="../customXml/item1.xml"/><Relationship Id="rId212" Type="http://schemas.openxmlformats.org/officeDocument/2006/relationships/customXml" Target="../customXml/item212.xml"/><Relationship Id="rId233" Type="http://schemas.openxmlformats.org/officeDocument/2006/relationships/hyperlink" Target="http://www.doleta.gov/OA/pdf/ra_cc.pdf" TargetMode="External"/><Relationship Id="rId254" Type="http://schemas.openxmlformats.org/officeDocument/2006/relationships/hyperlink" Target="http://www.doleta.gov/tradeact/taa/taa_search_form.cfm" TargetMode="Externa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275" Type="http://schemas.openxmlformats.org/officeDocument/2006/relationships/hyperlink" Target="http://www.doleta.gov" TargetMode="External"/><Relationship Id="rId296" Type="http://schemas.openxmlformats.org/officeDocument/2006/relationships/hyperlink" Target="http://www.acf.hhs.gov/sites/default/files/opre/opre_report.pdf" TargetMode="External"/><Relationship Id="rId300" Type="http://schemas.openxmlformats.org/officeDocument/2006/relationships/hyperlink" Target="http://wdr.doleta.gov/directives/attach/TEN/ten_36_11_acc.pdf" TargetMode="Externa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321" Type="http://schemas.openxmlformats.org/officeDocument/2006/relationships/hyperlink" Target="http://higheredwatch.newamerica.net/sites/newamerica.net/files/policydocs/Cracking_the_Credit_Hour_Sept5_0.pdf" TargetMode="External"/><Relationship Id="rId342" Type="http://schemas.openxmlformats.org/officeDocument/2006/relationships/hyperlink" Target="http://www.hewlett.org/sites/default/files/OER%20Research%20paper%20December%2015%202013%20Marshall%20Smith_1.pdf" TargetMode="External"/><Relationship Id="rId363" Type="http://schemas.openxmlformats.org/officeDocument/2006/relationships/hyperlink" Target="http://www.census.gov/cgi-bin/sssd/naics/naicsrch?chart_code=11&amp;search=2012%20NAICS%20Search" TargetMode="External"/><Relationship Id="rId384" Type="http://schemas.openxmlformats.org/officeDocument/2006/relationships/hyperlink" Target="http://www.nsf.gov/funding/pgm_summ.jsp?pims_id=5464" TargetMode="External"/><Relationship Id="rId202" Type="http://schemas.openxmlformats.org/officeDocument/2006/relationships/customXml" Target="../customXml/item202.xml"/><Relationship Id="rId223" Type="http://schemas.openxmlformats.org/officeDocument/2006/relationships/customXml" Target="../customXml/item223.xml"/><Relationship Id="rId244" Type="http://schemas.openxmlformats.org/officeDocument/2006/relationships/hyperlink" Target="http://wdr.doleta.gov/directives/corr_doc.cfm?DOCN=2816" TargetMode="External"/><Relationship Id="rId18" Type="http://schemas.openxmlformats.org/officeDocument/2006/relationships/customXml" Target="../customXml/item18.xml"/><Relationship Id="rId39" Type="http://schemas.openxmlformats.org/officeDocument/2006/relationships/customXml" Target="../customXml/item39.xml"/><Relationship Id="rId265" Type="http://schemas.openxmlformats.org/officeDocument/2006/relationships/hyperlink" Target="http://www.grants.gov/assets/Organization_Steps_Complete_Registration.pdf%20" TargetMode="External"/><Relationship Id="rId286" Type="http://schemas.openxmlformats.org/officeDocument/2006/relationships/hyperlink" Target="http://www.careeronestop.org/CompetencyModel" TargetMode="Externa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311" Type="http://schemas.openxmlformats.org/officeDocument/2006/relationships/hyperlink" Target="http://edtechleaders.org/sites/etlo.org/files/highlight-files/Models%20of%20Contextualization%20in%20Developmental%20and%20Adult%20Basic%20Education.pdf" TargetMode="External"/><Relationship Id="rId332" Type="http://schemas.openxmlformats.org/officeDocument/2006/relationships/hyperlink" Target="http://www.tandfonline.com/doi/abs/10.1080/02680513.2011.538563" TargetMode="External"/><Relationship Id="rId353" Type="http://schemas.openxmlformats.org/officeDocument/2006/relationships/hyperlink" Target="https://www.nterlearning.org/" TargetMode="External"/><Relationship Id="rId374" Type="http://schemas.openxmlformats.org/officeDocument/2006/relationships/hyperlink" Target="http://www.census.gov/cgi-bin/sssd/naics/naicsrch?chart_code=54&amp;search=2012%20NAICS%20Search" TargetMode="External"/><Relationship Id="rId71" Type="http://schemas.openxmlformats.org/officeDocument/2006/relationships/customXml" Target="../customXml/item71.xml"/><Relationship Id="rId92" Type="http://schemas.openxmlformats.org/officeDocument/2006/relationships/customXml" Target="../customXml/item92.xml"/><Relationship Id="rId213" Type="http://schemas.openxmlformats.org/officeDocument/2006/relationships/customXml" Target="../customXml/item213.xml"/><Relationship Id="rId234" Type="http://schemas.openxmlformats.org/officeDocument/2006/relationships/hyperlink" Target="http://www.doleta.gov/taaccct" TargetMode="External"/><Relationship Id="rId2" Type="http://schemas.openxmlformats.org/officeDocument/2006/relationships/customXml" Target="../customXml/item2.xml"/><Relationship Id="rId29" Type="http://schemas.openxmlformats.org/officeDocument/2006/relationships/customXml" Target="../customXml/item29.xml"/><Relationship Id="rId255" Type="http://schemas.openxmlformats.org/officeDocument/2006/relationships/hyperlink" Target="http://www.doleta.gov/tradeact/contacts.cfm" TargetMode="External"/><Relationship Id="rId276" Type="http://schemas.openxmlformats.org/officeDocument/2006/relationships/hyperlink" Target="http://www.whitehouse.gov/omb/grants_circulars" TargetMode="External"/><Relationship Id="rId297" Type="http://schemas.openxmlformats.org/officeDocument/2006/relationships/hyperlink" Target="http://www.nga.org/files/live/sites/NGA/files/pdf/2013/1301NGASSSReport.pdf" TargetMode="External"/><Relationship Id="rId40" Type="http://schemas.openxmlformats.org/officeDocument/2006/relationships/customXml" Target="../customXml/item40.xml"/><Relationship Id="rId115" Type="http://schemas.openxmlformats.org/officeDocument/2006/relationships/customXml" Target="../customXml/item115.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301" Type="http://schemas.openxmlformats.org/officeDocument/2006/relationships/hyperlink" Target="http://wdr.doleta.gov/directives/attach/TEN/ten2011/ten39-11.pdf" TargetMode="External"/><Relationship Id="rId322" Type="http://schemas.openxmlformats.org/officeDocument/2006/relationships/hyperlink" Target="http://www.cael.org/pdfs/2012_CompetencyBasedPrograms" TargetMode="External"/><Relationship Id="rId343" Type="http://schemas.openxmlformats.org/officeDocument/2006/relationships/hyperlink" Target="https://net.educause.edu/ir/library/pdf/ERM1351.pdf" TargetMode="External"/><Relationship Id="rId364" Type="http://schemas.openxmlformats.org/officeDocument/2006/relationships/hyperlink" Target="http://www.census.gov/cgi-bin/sssd/naics/naicsrch?chart_code=21&amp;search=2012%20NAICS%20Search" TargetMode="Externa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customXml" Target="../customXml/item199.xml"/><Relationship Id="rId203" Type="http://schemas.openxmlformats.org/officeDocument/2006/relationships/customXml" Target="../customXml/item203.xml"/><Relationship Id="rId385" Type="http://schemas.openxmlformats.org/officeDocument/2006/relationships/hyperlink" Target="http://www.hud.gov/promisezones" TargetMode="External"/><Relationship Id="rId19" Type="http://schemas.openxmlformats.org/officeDocument/2006/relationships/customXml" Target="../customXml/item19.xml"/><Relationship Id="rId224" Type="http://schemas.openxmlformats.org/officeDocument/2006/relationships/customXml" Target="../customXml/item224.xml"/><Relationship Id="rId245" Type="http://schemas.openxmlformats.org/officeDocument/2006/relationships/hyperlink" Target="http://www.cast.org/udl/" TargetMode="External"/><Relationship Id="rId266" Type="http://schemas.openxmlformats.org/officeDocument/2006/relationships/hyperlink" Target="http://www.grants.gov/web/grants/applicants/organization-registration/step-3-username-password.html" TargetMode="External"/><Relationship Id="rId287" Type="http://schemas.openxmlformats.org/officeDocument/2006/relationships/hyperlink" Target="http://www.careerclusters.org/" TargetMode="External"/><Relationship Id="rId30" Type="http://schemas.openxmlformats.org/officeDocument/2006/relationships/customXml" Target="../customXml/item3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312" Type="http://schemas.openxmlformats.org/officeDocument/2006/relationships/hyperlink" Target="http://ccrc.tc.columbia.edu/publications/facilitating-student-learning-contextualization.html?UID=882" TargetMode="External"/><Relationship Id="rId333" Type="http://schemas.openxmlformats.org/officeDocument/2006/relationships/hyperlink" Target="http://www2.ed.gov/rschstat/eval/tech/evidence-based-practices/finalreport.pdf" TargetMode="External"/><Relationship Id="rId354" Type="http://schemas.openxmlformats.org/officeDocument/2006/relationships/hyperlink" Target="http://www.NTERlearning.org" TargetMode="Externa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189" Type="http://schemas.openxmlformats.org/officeDocument/2006/relationships/customXml" Target="../customXml/item189.xml"/><Relationship Id="rId375" Type="http://schemas.openxmlformats.org/officeDocument/2006/relationships/hyperlink" Target="http://www.census.gov/cgi-bin/sssd/naics/naicsrch?chart_code=55&amp;search=2012%20NAICS%20Search" TargetMode="External"/><Relationship Id="rId3" Type="http://schemas.openxmlformats.org/officeDocument/2006/relationships/customXml" Target="../customXml/item3.xml"/><Relationship Id="rId214" Type="http://schemas.openxmlformats.org/officeDocument/2006/relationships/customXml" Target="../customXml/item214.xml"/><Relationship Id="rId235" Type="http://schemas.openxmlformats.org/officeDocument/2006/relationships/hyperlink" Target="http://www.dol.gov/dol/grants/" TargetMode="External"/><Relationship Id="rId256" Type="http://schemas.openxmlformats.org/officeDocument/2006/relationships/hyperlink" Target="http://www.census.gov/eos/www/naics" TargetMode="External"/><Relationship Id="rId277" Type="http://schemas.openxmlformats.org/officeDocument/2006/relationships/hyperlink" Target="http://www.whitehouse.gov/omb/grants_circulars" TargetMode="External"/><Relationship Id="rId298" Type="http://schemas.openxmlformats.org/officeDocument/2006/relationships/hyperlink" Target="http://www.nationalskillscoalition.org/assets/reports-/tpib_2011.pdf" TargetMode="Externa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302" Type="http://schemas.openxmlformats.org/officeDocument/2006/relationships/hyperlink" Target="https://www.learnwork.workforce3one.org/" TargetMode="External"/><Relationship Id="rId323" Type="http://schemas.openxmlformats.org/officeDocument/2006/relationships/hyperlink" Target="http://www.communityresearchpartners.org/uploads/publications/Ohio_Stackable_Certificates_Models_for_Success.pdf" TargetMode="External"/><Relationship Id="rId344" Type="http://schemas.openxmlformats.org/officeDocument/2006/relationships/hyperlink" Target="http://net.educause.edu/ir/library/pdf/NGW1301.pdf"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179" Type="http://schemas.openxmlformats.org/officeDocument/2006/relationships/customXml" Target="../customXml/item179.xml"/><Relationship Id="rId365" Type="http://schemas.openxmlformats.org/officeDocument/2006/relationships/hyperlink" Target="http://www.census.gov/cgi-bin/sssd/naics/naicsrch?chart_code=22&amp;search=2012%20NAICS%20Search" TargetMode="External"/><Relationship Id="rId386" Type="http://schemas.openxmlformats.org/officeDocument/2006/relationships/hyperlink" Target="mailto:baird.steven@anytownCC.edu" TargetMode="External"/><Relationship Id="rId190" Type="http://schemas.openxmlformats.org/officeDocument/2006/relationships/customXml" Target="../customXml/item190.xml"/><Relationship Id="rId204" Type="http://schemas.openxmlformats.org/officeDocument/2006/relationships/customXml" Target="../customXml/item204.xml"/><Relationship Id="rId225" Type="http://schemas.openxmlformats.org/officeDocument/2006/relationships/numbering" Target="numbering.xml"/><Relationship Id="rId246" Type="http://schemas.openxmlformats.org/officeDocument/2006/relationships/hyperlink" Target="http://www.w3.org/TR/WCAG/" TargetMode="External"/><Relationship Id="rId267" Type="http://schemas.openxmlformats.org/officeDocument/2006/relationships/hyperlink" Target="http://www.grants.gov/web/grants/applicants/organization-registration/step-4-aor-authorization.html" TargetMode="External"/><Relationship Id="rId288" Type="http://schemas.openxmlformats.org/officeDocument/2006/relationships/hyperlink" Target="http://www.workforce3one.org/view/2001008333909172195/info" TargetMode="External"/><Relationship Id="rId106" Type="http://schemas.openxmlformats.org/officeDocument/2006/relationships/customXml" Target="../customXml/item106.xml"/><Relationship Id="rId127" Type="http://schemas.openxmlformats.org/officeDocument/2006/relationships/customXml" Target="../customXml/item127.xml"/><Relationship Id="rId313" Type="http://schemas.openxmlformats.org/officeDocument/2006/relationships/hyperlink" Target="http://www.mdrc.org/sites/default/files/full_595.pdf"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94" Type="http://schemas.openxmlformats.org/officeDocument/2006/relationships/customXml" Target="../customXml/item94.xml"/><Relationship Id="rId148" Type="http://schemas.openxmlformats.org/officeDocument/2006/relationships/customXml" Target="../customXml/item148.xml"/><Relationship Id="rId169" Type="http://schemas.openxmlformats.org/officeDocument/2006/relationships/customXml" Target="../customXml/item169.xml"/><Relationship Id="rId334" Type="http://schemas.openxmlformats.org/officeDocument/2006/relationships/hyperlink" Target="http://oli.cmu.edu/wp-oli/wp-content/uploads/2012/05/Lovett_2008_Statistics_Accelerated_Learning_Study.pdf" TargetMode="External"/><Relationship Id="rId355" Type="http://schemas.openxmlformats.org/officeDocument/2006/relationships/hyperlink" Target="https://code.google.com/p/nter/" TargetMode="External"/><Relationship Id="rId376" Type="http://schemas.openxmlformats.org/officeDocument/2006/relationships/hyperlink" Target="http://www.census.gov/cgi-bin/sssd/naics/naicsrch?chart_code=56&amp;search=2012%20NAICS%20Search" TargetMode="External"/><Relationship Id="rId4" Type="http://schemas.openxmlformats.org/officeDocument/2006/relationships/customXml" Target="../customXml/item4.xml"/><Relationship Id="rId180" Type="http://schemas.openxmlformats.org/officeDocument/2006/relationships/customXml" Target="../customXml/item180.xml"/><Relationship Id="rId215" Type="http://schemas.openxmlformats.org/officeDocument/2006/relationships/customXml" Target="../customXml/item215.xml"/><Relationship Id="rId236" Type="http://schemas.openxmlformats.org/officeDocument/2006/relationships/hyperlink" Target="http://open4us.org/resources/" TargetMode="External"/><Relationship Id="rId257" Type="http://schemas.openxmlformats.org/officeDocument/2006/relationships/hyperlink" Target="http://www.doleta.gov/performance/pfdocs/12050392_TAPR_Handbook.pdf" TargetMode="External"/><Relationship Id="rId278" Type="http://schemas.openxmlformats.org/officeDocument/2006/relationships/hyperlink" Target="http://www.whitehouse.gov/omb/grants_circulars" TargetMode="External"/><Relationship Id="rId303" Type="http://schemas.openxmlformats.org/officeDocument/2006/relationships/hyperlink" Target="https://learnwork.workforce3one.org/view/2001211552377142756/inf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es.ed.gov/ncee/wwc/DocumentSum.aspx?sid=19" TargetMode="External"/><Relationship Id="rId2" Type="http://schemas.openxmlformats.org/officeDocument/2006/relationships/hyperlink" Target="http://ies.ed.gov/ncee/wwc/DocumentSum.aspx?sid=19" TargetMode="External"/><Relationship Id="rId1" Type="http://schemas.openxmlformats.org/officeDocument/2006/relationships/hyperlink" Target="http://ies.ed.gov/ncee/wwc/DocumentSum.aspx?sid=19" TargetMode="External"/><Relationship Id="rId6" Type="http://schemas.openxmlformats.org/officeDocument/2006/relationships/hyperlink" Target="http://ies.ed.gov/ncee/wwc/DocumentSum.aspx?sid=19" TargetMode="External"/><Relationship Id="rId5" Type="http://schemas.openxmlformats.org/officeDocument/2006/relationships/hyperlink" Target="http://ies.ed.gov/ncee/wwc/DocumentSum.aspx?sid=19" TargetMode="External"/><Relationship Id="rId4" Type="http://schemas.openxmlformats.org/officeDocument/2006/relationships/hyperlink" Target="http://ies.ed.gov/ncee/wwc/DocumentSum.aspx?s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61.xml><?xml version="1.0" encoding="utf-8"?>
<b:Sources xmlns:b="http://schemas.openxmlformats.org/officeDocument/2006/bibliography" xmlns="http://schemas.openxmlformats.org/officeDocument/2006/bibliography" SelectedStyle="\APA.XSL" StyleName="APA"/>
</file>

<file path=customXml/item162.xml><?xml version="1.0" encoding="utf-8"?>
<b:Sources xmlns:b="http://schemas.openxmlformats.org/officeDocument/2006/bibliography" xmlns="http://schemas.openxmlformats.org/officeDocument/2006/bibliography" SelectedStyle="\APA.XSL" StyleName="APA"/>
</file>

<file path=customXml/item163.xml><?xml version="1.0" encoding="utf-8"?>
<b:Sources xmlns:b="http://schemas.openxmlformats.org/officeDocument/2006/bibliography" xmlns="http://schemas.openxmlformats.org/officeDocument/2006/bibliography" SelectedStyle="\APA.XSL" StyleName="APA"/>
</file>

<file path=customXml/item164.xml><?xml version="1.0" encoding="utf-8"?>
<b:Sources xmlns:b="http://schemas.openxmlformats.org/officeDocument/2006/bibliography" xmlns="http://schemas.openxmlformats.org/officeDocument/2006/bibliography" SelectedStyle="\APA.XSL" StyleName="APA"/>
</file>

<file path=customXml/item165.xml><?xml version="1.0" encoding="utf-8"?>
<b:Sources xmlns:b="http://schemas.openxmlformats.org/officeDocument/2006/bibliography" xmlns="http://schemas.openxmlformats.org/officeDocument/2006/bibliography" SelectedStyle="\APA.XSL" StyleName="APA"/>
</file>

<file path=customXml/item166.xml><?xml version="1.0" encoding="utf-8"?>
<b:Sources xmlns:b="http://schemas.openxmlformats.org/officeDocument/2006/bibliography" xmlns="http://schemas.openxmlformats.org/officeDocument/2006/bibliography" SelectedStyle="\APA.XSL" StyleName="APA"/>
</file>

<file path=customXml/item167.xml><?xml version="1.0" encoding="utf-8"?>
<b:Sources xmlns:b="http://schemas.openxmlformats.org/officeDocument/2006/bibliography" xmlns="http://schemas.openxmlformats.org/officeDocument/2006/bibliography" SelectedStyle="\APA.XSL" StyleName="APA"/>
</file>

<file path=customXml/item168.xml><?xml version="1.0" encoding="utf-8"?>
<b:Sources xmlns:b="http://schemas.openxmlformats.org/officeDocument/2006/bibliography" xmlns="http://schemas.openxmlformats.org/officeDocument/2006/bibliography" SelectedStyle="\APA.XSL" StyleName="APA"/>
</file>

<file path=customXml/item169.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70.xml><?xml version="1.0" encoding="utf-8"?>
<b:Sources xmlns:b="http://schemas.openxmlformats.org/officeDocument/2006/bibliography" xmlns="http://schemas.openxmlformats.org/officeDocument/2006/bibliography" SelectedStyle="\APA.XSL" StyleName="APA"/>
</file>

<file path=customXml/item171.xml><?xml version="1.0" encoding="utf-8"?>
<b:Sources xmlns:b="http://schemas.openxmlformats.org/officeDocument/2006/bibliography" xmlns="http://schemas.openxmlformats.org/officeDocument/2006/bibliography" SelectedStyle="\APA.XSL" StyleName="APA"/>
</file>

<file path=customXml/item172.xml><?xml version="1.0" encoding="utf-8"?>
<b:Sources xmlns:b="http://schemas.openxmlformats.org/officeDocument/2006/bibliography" xmlns="http://schemas.openxmlformats.org/officeDocument/2006/bibliography" SelectedStyle="\APA.XSL" StyleName="APA"/>
</file>

<file path=customXml/item173.xml><?xml version="1.0" encoding="utf-8"?>
<b:Sources xmlns:b="http://schemas.openxmlformats.org/officeDocument/2006/bibliography" xmlns="http://schemas.openxmlformats.org/officeDocument/2006/bibliography" SelectedStyle="\APA.XSL" StyleName="APA"/>
</file>

<file path=customXml/item174.xml><?xml version="1.0" encoding="utf-8"?>
<b:Sources xmlns:b="http://schemas.openxmlformats.org/officeDocument/2006/bibliography" xmlns="http://schemas.openxmlformats.org/officeDocument/2006/bibliography" SelectedStyle="\APA.XSL" StyleName="APA"/>
</file>

<file path=customXml/item175.xml><?xml version="1.0" encoding="utf-8"?>
<b:Sources xmlns:b="http://schemas.openxmlformats.org/officeDocument/2006/bibliography" xmlns="http://schemas.openxmlformats.org/officeDocument/2006/bibliography" SelectedStyle="\APA.XSL" StyleName="APA"/>
</file>

<file path=customXml/item176.xml><?xml version="1.0" encoding="utf-8"?>
<b:Sources xmlns:b="http://schemas.openxmlformats.org/officeDocument/2006/bibliography" xmlns="http://schemas.openxmlformats.org/officeDocument/2006/bibliography" SelectedStyle="\APA.XSL" StyleName="APA"/>
</file>

<file path=customXml/item177.xml><?xml version="1.0" encoding="utf-8"?>
<b:Sources xmlns:b="http://schemas.openxmlformats.org/officeDocument/2006/bibliography" xmlns="http://schemas.openxmlformats.org/officeDocument/2006/bibliography" SelectedStyle="\APA.XSL" StyleName="APA"/>
</file>

<file path=customXml/item178.xml><?xml version="1.0" encoding="utf-8"?>
<b:Sources xmlns:b="http://schemas.openxmlformats.org/officeDocument/2006/bibliography" xmlns="http://schemas.openxmlformats.org/officeDocument/2006/bibliography" SelectedStyle="\APA.XSL" StyleName="APA"/>
</file>

<file path=customXml/item179.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80.xml><?xml version="1.0" encoding="utf-8"?>
<b:Sources xmlns:b="http://schemas.openxmlformats.org/officeDocument/2006/bibliography" xmlns="http://schemas.openxmlformats.org/officeDocument/2006/bibliography" SelectedStyle="\APA.XSL" StyleName="APA"/>
</file>

<file path=customXml/item181.xml><?xml version="1.0" encoding="utf-8"?>
<b:Sources xmlns:b="http://schemas.openxmlformats.org/officeDocument/2006/bibliography" xmlns="http://schemas.openxmlformats.org/officeDocument/2006/bibliography" SelectedStyle="\APA.XSL" StyleName="APA"/>
</file>

<file path=customXml/item182.xml><?xml version="1.0" encoding="utf-8"?>
<b:Sources xmlns:b="http://schemas.openxmlformats.org/officeDocument/2006/bibliography" xmlns="http://schemas.openxmlformats.org/officeDocument/2006/bibliography" SelectedStyle="\APA.XSL" StyleName="APA"/>
</file>

<file path=customXml/item183.xml><?xml version="1.0" encoding="utf-8"?>
<b:Sources xmlns:b="http://schemas.openxmlformats.org/officeDocument/2006/bibliography" xmlns="http://schemas.openxmlformats.org/officeDocument/2006/bibliography" SelectedStyle="\APA.XSL" StyleName="APA"/>
</file>

<file path=customXml/item184.xml><?xml version="1.0" encoding="utf-8"?>
<b:Sources xmlns:b="http://schemas.openxmlformats.org/officeDocument/2006/bibliography" xmlns="http://schemas.openxmlformats.org/officeDocument/2006/bibliography" SelectedStyle="\APA.XSL" StyleName="APA"/>
</file>

<file path=customXml/item185.xml><?xml version="1.0" encoding="utf-8"?>
<b:Sources xmlns:b="http://schemas.openxmlformats.org/officeDocument/2006/bibliography" xmlns="http://schemas.openxmlformats.org/officeDocument/2006/bibliography" SelectedStyle="\APA.XSL" StyleName="APA"/>
</file>

<file path=customXml/item186.xml><?xml version="1.0" encoding="utf-8"?>
<b:Sources xmlns:b="http://schemas.openxmlformats.org/officeDocument/2006/bibliography" xmlns="http://schemas.openxmlformats.org/officeDocument/2006/bibliography" SelectedStyle="\APA.XSL" StyleName="APA"/>
</file>

<file path=customXml/item187.xml><?xml version="1.0" encoding="utf-8"?>
<b:Sources xmlns:b="http://schemas.openxmlformats.org/officeDocument/2006/bibliography" xmlns="http://schemas.openxmlformats.org/officeDocument/2006/bibliography" SelectedStyle="\APA.XSL" StyleName="APA"/>
</file>

<file path=customXml/item188.xml><?xml version="1.0" encoding="utf-8"?>
<b:Sources xmlns:b="http://schemas.openxmlformats.org/officeDocument/2006/bibliography" xmlns="http://schemas.openxmlformats.org/officeDocument/2006/bibliography" SelectedStyle="\APA.XSL" StyleName="APA"/>
</file>

<file path=customXml/item189.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190.xml><?xml version="1.0" encoding="utf-8"?>
<b:Sources xmlns:b="http://schemas.openxmlformats.org/officeDocument/2006/bibliography" xmlns="http://schemas.openxmlformats.org/officeDocument/2006/bibliography" SelectedStyle="\APA.XSL" StyleName="APA"/>
</file>

<file path=customXml/item191.xml><?xml version="1.0" encoding="utf-8"?>
<b:Sources xmlns:b="http://schemas.openxmlformats.org/officeDocument/2006/bibliography" xmlns="http://schemas.openxmlformats.org/officeDocument/2006/bibliography" SelectedStyle="\APA.XSL" StyleName="APA"/>
</file>

<file path=customXml/item192.xml><?xml version="1.0" encoding="utf-8"?>
<b:Sources xmlns:b="http://schemas.openxmlformats.org/officeDocument/2006/bibliography" xmlns="http://schemas.openxmlformats.org/officeDocument/2006/bibliography" SelectedStyle="\APA.XSL" StyleName="APA"/>
</file>

<file path=customXml/item193.xml><?xml version="1.0" encoding="utf-8"?>
<b:Sources xmlns:b="http://schemas.openxmlformats.org/officeDocument/2006/bibliography" xmlns="http://schemas.openxmlformats.org/officeDocument/2006/bibliography" SelectedStyle="\APA.XSL" StyleName="APA"/>
</file>

<file path=customXml/item194.xml><?xml version="1.0" encoding="utf-8"?>
<b:Sources xmlns:b="http://schemas.openxmlformats.org/officeDocument/2006/bibliography" xmlns="http://schemas.openxmlformats.org/officeDocument/2006/bibliography" SelectedStyle="\APA.XSL" StyleName="APA"/>
</file>

<file path=customXml/item195.xml><?xml version="1.0" encoding="utf-8"?>
<b:Sources xmlns:b="http://schemas.openxmlformats.org/officeDocument/2006/bibliography" xmlns="http://schemas.openxmlformats.org/officeDocument/2006/bibliography" SelectedStyle="\APA.XSL" StyleName="APA"/>
</file>

<file path=customXml/item196.xml><?xml version="1.0" encoding="utf-8"?>
<b:Sources xmlns:b="http://schemas.openxmlformats.org/officeDocument/2006/bibliography" xmlns="http://schemas.openxmlformats.org/officeDocument/2006/bibliography" SelectedStyle="\APA.XSL" StyleName="APA"/>
</file>

<file path=customXml/item197.xml><?xml version="1.0" encoding="utf-8"?>
<b:Sources xmlns:b="http://schemas.openxmlformats.org/officeDocument/2006/bibliography" xmlns="http://schemas.openxmlformats.org/officeDocument/2006/bibliography" SelectedStyle="\APA.XSL" StyleName="APA"/>
</file>

<file path=customXml/item198.xml><?xml version="1.0" encoding="utf-8"?>
<b:Sources xmlns:b="http://schemas.openxmlformats.org/officeDocument/2006/bibliography" xmlns="http://schemas.openxmlformats.org/officeDocument/2006/bibliography" SelectedStyle="\APA.XSL" StyleName="APA"/>
</file>

<file path=customXml/item19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00.xml><?xml version="1.0" encoding="utf-8"?>
<b:Sources xmlns:b="http://schemas.openxmlformats.org/officeDocument/2006/bibliography" xmlns="http://schemas.openxmlformats.org/officeDocument/2006/bibliography" SelectedStyle="\APA.XSL" StyleName="APA"/>
</file>

<file path=customXml/item201.xml><?xml version="1.0" encoding="utf-8"?>
<b:Sources xmlns:b="http://schemas.openxmlformats.org/officeDocument/2006/bibliography" xmlns="http://schemas.openxmlformats.org/officeDocument/2006/bibliography" SelectedStyle="\APA.XSL" StyleName="APA"/>
</file>

<file path=customXml/item202.xml><?xml version="1.0" encoding="utf-8"?>
<b:Sources xmlns:b="http://schemas.openxmlformats.org/officeDocument/2006/bibliography" xmlns="http://schemas.openxmlformats.org/officeDocument/2006/bibliography" SelectedStyle="\APA.XSL" StyleName="APA"/>
</file>

<file path=customXml/item203.xml><?xml version="1.0" encoding="utf-8"?>
<b:Sources xmlns:b="http://schemas.openxmlformats.org/officeDocument/2006/bibliography" xmlns="http://schemas.openxmlformats.org/officeDocument/2006/bibliography" SelectedStyle="\APA.XSL" StyleName="APA"/>
</file>

<file path=customXml/item204.xml><?xml version="1.0" encoding="utf-8"?>
<b:Sources xmlns:b="http://schemas.openxmlformats.org/officeDocument/2006/bibliography" xmlns="http://schemas.openxmlformats.org/officeDocument/2006/bibliography" SelectedStyle="\APA.XSL" StyleName="APA"/>
</file>

<file path=customXml/item205.xml><?xml version="1.0" encoding="utf-8"?>
<b:Sources xmlns:b="http://schemas.openxmlformats.org/officeDocument/2006/bibliography" xmlns="http://schemas.openxmlformats.org/officeDocument/2006/bibliography" SelectedStyle="\APA.XSL" StyleName="APA"/>
</file>

<file path=customXml/item206.xml><?xml version="1.0" encoding="utf-8"?>
<b:Sources xmlns:b="http://schemas.openxmlformats.org/officeDocument/2006/bibliography" xmlns="http://schemas.openxmlformats.org/officeDocument/2006/bibliography" SelectedStyle="\APA.XSL" StyleName="APA"/>
</file>

<file path=customXml/item207.xml><?xml version="1.0" encoding="utf-8"?>
<b:Sources xmlns:b="http://schemas.openxmlformats.org/officeDocument/2006/bibliography" xmlns="http://schemas.openxmlformats.org/officeDocument/2006/bibliography" SelectedStyle="\APA.XSL" StyleName="APA"/>
</file>

<file path=customXml/item208.xml><?xml version="1.0" encoding="utf-8"?>
<b:Sources xmlns:b="http://schemas.openxmlformats.org/officeDocument/2006/bibliography" xmlns="http://schemas.openxmlformats.org/officeDocument/2006/bibliography" SelectedStyle="\APA.XSL" StyleName="APA"/>
</file>

<file path=customXml/item209.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10.xml><?xml version="1.0" encoding="utf-8"?>
<b:Sources xmlns:b="http://schemas.openxmlformats.org/officeDocument/2006/bibliography" xmlns="http://schemas.openxmlformats.org/officeDocument/2006/bibliography" SelectedStyle="\APA.XSL" StyleName="APA"/>
</file>

<file path=customXml/item211.xml><?xml version="1.0" encoding="utf-8"?>
<b:Sources xmlns:b="http://schemas.openxmlformats.org/officeDocument/2006/bibliography" xmlns="http://schemas.openxmlformats.org/officeDocument/2006/bibliography" SelectedStyle="\APA.XSL" StyleName="APA"/>
</file>

<file path=customXml/item212.xml><?xml version="1.0" encoding="utf-8"?>
<b:Sources xmlns:b="http://schemas.openxmlformats.org/officeDocument/2006/bibliography" xmlns="http://schemas.openxmlformats.org/officeDocument/2006/bibliography" SelectedStyle="\APA.XSL" StyleName="APA"/>
</file>

<file path=customXml/item213.xml><?xml version="1.0" encoding="utf-8"?>
<b:Sources xmlns:b="http://schemas.openxmlformats.org/officeDocument/2006/bibliography" xmlns="http://schemas.openxmlformats.org/officeDocument/2006/bibliography" SelectedStyle="\APA.XSL" StyleName="APA"/>
</file>

<file path=customXml/item214.xml><?xml version="1.0" encoding="utf-8"?>
<b:Sources xmlns:b="http://schemas.openxmlformats.org/officeDocument/2006/bibliography" xmlns="http://schemas.openxmlformats.org/officeDocument/2006/bibliography" SelectedStyle="\APA.XSL" StyleName="APA"/>
</file>

<file path=customXml/item215.xml><?xml version="1.0" encoding="utf-8"?>
<b:Sources xmlns:b="http://schemas.openxmlformats.org/officeDocument/2006/bibliography" xmlns="http://schemas.openxmlformats.org/officeDocument/2006/bibliography" SelectedStyle="\APA.XSL" StyleName="APA"/>
</file>

<file path=customXml/item216.xml><?xml version="1.0" encoding="utf-8"?>
<b:Sources xmlns:b="http://schemas.openxmlformats.org/officeDocument/2006/bibliography" xmlns="http://schemas.openxmlformats.org/officeDocument/2006/bibliography" SelectedStyle="\APA.XSL" StyleName="APA"/>
</file>

<file path=customXml/item217.xml><?xml version="1.0" encoding="utf-8"?>
<b:Sources xmlns:b="http://schemas.openxmlformats.org/officeDocument/2006/bibliography" xmlns="http://schemas.openxmlformats.org/officeDocument/2006/bibliography" SelectedStyle="\APA.XSL" StyleName="APA"/>
</file>

<file path=customXml/item218.xml><?xml version="1.0" encoding="utf-8"?>
<b:Sources xmlns:b="http://schemas.openxmlformats.org/officeDocument/2006/bibliography" xmlns="http://schemas.openxmlformats.org/officeDocument/2006/bibliography" SelectedStyle="\APA.XSL" StyleName="APA"/>
</file>

<file path=customXml/item219.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20.xml><?xml version="1.0" encoding="utf-8"?>
<b:Sources xmlns:b="http://schemas.openxmlformats.org/officeDocument/2006/bibliography" xmlns="http://schemas.openxmlformats.org/officeDocument/2006/bibliography" SelectedStyle="\APA.XSL" StyleName="APA"/>
</file>

<file path=customXml/item221.xml><?xml version="1.0" encoding="utf-8"?>
<b:Sources xmlns:b="http://schemas.openxmlformats.org/officeDocument/2006/bibliography" xmlns="http://schemas.openxmlformats.org/officeDocument/2006/bibliography" SelectedStyle="\APA.XSL" StyleName="APA"/>
</file>

<file path=customXml/item222.xml><?xml version="1.0" encoding="utf-8"?>
<b:Sources xmlns:b="http://schemas.openxmlformats.org/officeDocument/2006/bibliography" xmlns="http://schemas.openxmlformats.org/officeDocument/2006/bibliography" SelectedStyle="\APA.XSL" StyleName="APA"/>
</file>

<file path=customXml/item223.xml><?xml version="1.0" encoding="utf-8"?>
<b:Sources xmlns:b="http://schemas.openxmlformats.org/officeDocument/2006/bibliography" xmlns="http://schemas.openxmlformats.org/officeDocument/2006/bibliography" SelectedStyle="\APA.XSL" StyleName="APA"/>
</file>

<file path=customXml/item224.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53EF-E502-49F5-A596-B86E42EBB3F4}">
  <ds:schemaRefs>
    <ds:schemaRef ds:uri="http://schemas.openxmlformats.org/officeDocument/2006/bibliography"/>
  </ds:schemaRefs>
</ds:datastoreItem>
</file>

<file path=customXml/itemProps10.xml><?xml version="1.0" encoding="utf-8"?>
<ds:datastoreItem xmlns:ds="http://schemas.openxmlformats.org/officeDocument/2006/customXml" ds:itemID="{9464C699-B465-43F8-92CD-1E8F6FE1F4CB}">
  <ds:schemaRefs>
    <ds:schemaRef ds:uri="http://schemas.openxmlformats.org/officeDocument/2006/bibliography"/>
  </ds:schemaRefs>
</ds:datastoreItem>
</file>

<file path=customXml/itemProps100.xml><?xml version="1.0" encoding="utf-8"?>
<ds:datastoreItem xmlns:ds="http://schemas.openxmlformats.org/officeDocument/2006/customXml" ds:itemID="{613A6E72-C26F-4BA6-979A-6889DD6D1602}">
  <ds:schemaRefs>
    <ds:schemaRef ds:uri="http://schemas.openxmlformats.org/officeDocument/2006/bibliography"/>
  </ds:schemaRefs>
</ds:datastoreItem>
</file>

<file path=customXml/itemProps101.xml><?xml version="1.0" encoding="utf-8"?>
<ds:datastoreItem xmlns:ds="http://schemas.openxmlformats.org/officeDocument/2006/customXml" ds:itemID="{3D50BF1D-2DC6-481B-BBD4-ABFD5156E562}">
  <ds:schemaRefs>
    <ds:schemaRef ds:uri="http://schemas.openxmlformats.org/officeDocument/2006/bibliography"/>
  </ds:schemaRefs>
</ds:datastoreItem>
</file>

<file path=customXml/itemProps102.xml><?xml version="1.0" encoding="utf-8"?>
<ds:datastoreItem xmlns:ds="http://schemas.openxmlformats.org/officeDocument/2006/customXml" ds:itemID="{801325C1-4FAF-43E8-A1FC-BF6B7D47F491}">
  <ds:schemaRefs>
    <ds:schemaRef ds:uri="http://schemas.openxmlformats.org/officeDocument/2006/bibliography"/>
  </ds:schemaRefs>
</ds:datastoreItem>
</file>

<file path=customXml/itemProps103.xml><?xml version="1.0" encoding="utf-8"?>
<ds:datastoreItem xmlns:ds="http://schemas.openxmlformats.org/officeDocument/2006/customXml" ds:itemID="{C1C3A015-C001-4E31-A878-169F65855B62}">
  <ds:schemaRefs>
    <ds:schemaRef ds:uri="http://schemas.openxmlformats.org/officeDocument/2006/bibliography"/>
  </ds:schemaRefs>
</ds:datastoreItem>
</file>

<file path=customXml/itemProps104.xml><?xml version="1.0" encoding="utf-8"?>
<ds:datastoreItem xmlns:ds="http://schemas.openxmlformats.org/officeDocument/2006/customXml" ds:itemID="{B584C1DD-C9D9-46B9-BD6A-4AB2DC7A61F2}">
  <ds:schemaRefs>
    <ds:schemaRef ds:uri="http://schemas.openxmlformats.org/officeDocument/2006/bibliography"/>
  </ds:schemaRefs>
</ds:datastoreItem>
</file>

<file path=customXml/itemProps105.xml><?xml version="1.0" encoding="utf-8"?>
<ds:datastoreItem xmlns:ds="http://schemas.openxmlformats.org/officeDocument/2006/customXml" ds:itemID="{913C4D09-6DA9-455C-8D24-626AFD09D383}">
  <ds:schemaRefs>
    <ds:schemaRef ds:uri="http://schemas.openxmlformats.org/officeDocument/2006/bibliography"/>
  </ds:schemaRefs>
</ds:datastoreItem>
</file>

<file path=customXml/itemProps106.xml><?xml version="1.0" encoding="utf-8"?>
<ds:datastoreItem xmlns:ds="http://schemas.openxmlformats.org/officeDocument/2006/customXml" ds:itemID="{41125FA6-7C2A-42B5-AE17-CD9465D36EC4}">
  <ds:schemaRefs>
    <ds:schemaRef ds:uri="http://schemas.openxmlformats.org/officeDocument/2006/bibliography"/>
  </ds:schemaRefs>
</ds:datastoreItem>
</file>

<file path=customXml/itemProps107.xml><?xml version="1.0" encoding="utf-8"?>
<ds:datastoreItem xmlns:ds="http://schemas.openxmlformats.org/officeDocument/2006/customXml" ds:itemID="{A59CE2B9-48A5-49E2-BC7B-256F8838B603}">
  <ds:schemaRefs>
    <ds:schemaRef ds:uri="http://schemas.openxmlformats.org/officeDocument/2006/bibliography"/>
  </ds:schemaRefs>
</ds:datastoreItem>
</file>

<file path=customXml/itemProps108.xml><?xml version="1.0" encoding="utf-8"?>
<ds:datastoreItem xmlns:ds="http://schemas.openxmlformats.org/officeDocument/2006/customXml" ds:itemID="{B3282316-2EB6-4D4A-B75F-230168CED656}">
  <ds:schemaRefs>
    <ds:schemaRef ds:uri="http://schemas.openxmlformats.org/officeDocument/2006/bibliography"/>
  </ds:schemaRefs>
</ds:datastoreItem>
</file>

<file path=customXml/itemProps109.xml><?xml version="1.0" encoding="utf-8"?>
<ds:datastoreItem xmlns:ds="http://schemas.openxmlformats.org/officeDocument/2006/customXml" ds:itemID="{C1700176-35C7-46B8-8BA1-3EB008762811}">
  <ds:schemaRefs>
    <ds:schemaRef ds:uri="http://schemas.openxmlformats.org/officeDocument/2006/bibliography"/>
  </ds:schemaRefs>
</ds:datastoreItem>
</file>

<file path=customXml/itemProps11.xml><?xml version="1.0" encoding="utf-8"?>
<ds:datastoreItem xmlns:ds="http://schemas.openxmlformats.org/officeDocument/2006/customXml" ds:itemID="{4A1B9BA8-B65F-4B90-BFD6-F62208B9B308}">
  <ds:schemaRefs>
    <ds:schemaRef ds:uri="http://schemas.openxmlformats.org/officeDocument/2006/bibliography"/>
  </ds:schemaRefs>
</ds:datastoreItem>
</file>

<file path=customXml/itemProps110.xml><?xml version="1.0" encoding="utf-8"?>
<ds:datastoreItem xmlns:ds="http://schemas.openxmlformats.org/officeDocument/2006/customXml" ds:itemID="{E7BFE8AC-FA18-430A-83CC-44634925477A}">
  <ds:schemaRefs>
    <ds:schemaRef ds:uri="http://schemas.openxmlformats.org/officeDocument/2006/bibliography"/>
  </ds:schemaRefs>
</ds:datastoreItem>
</file>

<file path=customXml/itemProps111.xml><?xml version="1.0" encoding="utf-8"?>
<ds:datastoreItem xmlns:ds="http://schemas.openxmlformats.org/officeDocument/2006/customXml" ds:itemID="{063B992A-C64A-45E0-BE6F-F663EAE6DBCE}">
  <ds:schemaRefs>
    <ds:schemaRef ds:uri="http://schemas.openxmlformats.org/officeDocument/2006/bibliography"/>
  </ds:schemaRefs>
</ds:datastoreItem>
</file>

<file path=customXml/itemProps112.xml><?xml version="1.0" encoding="utf-8"?>
<ds:datastoreItem xmlns:ds="http://schemas.openxmlformats.org/officeDocument/2006/customXml" ds:itemID="{D93C4474-ABD8-4F51-91E9-EC3BC4064023}">
  <ds:schemaRefs>
    <ds:schemaRef ds:uri="http://schemas.openxmlformats.org/officeDocument/2006/bibliography"/>
  </ds:schemaRefs>
</ds:datastoreItem>
</file>

<file path=customXml/itemProps113.xml><?xml version="1.0" encoding="utf-8"?>
<ds:datastoreItem xmlns:ds="http://schemas.openxmlformats.org/officeDocument/2006/customXml" ds:itemID="{3525D5D8-46DB-4BE0-B0D9-50B084CFFC25}">
  <ds:schemaRefs>
    <ds:schemaRef ds:uri="http://schemas.openxmlformats.org/officeDocument/2006/bibliography"/>
  </ds:schemaRefs>
</ds:datastoreItem>
</file>

<file path=customXml/itemProps114.xml><?xml version="1.0" encoding="utf-8"?>
<ds:datastoreItem xmlns:ds="http://schemas.openxmlformats.org/officeDocument/2006/customXml" ds:itemID="{036CA2C4-2D5C-477F-BE3A-DAFFEC920990}">
  <ds:schemaRefs>
    <ds:schemaRef ds:uri="http://schemas.openxmlformats.org/officeDocument/2006/bibliography"/>
  </ds:schemaRefs>
</ds:datastoreItem>
</file>

<file path=customXml/itemProps115.xml><?xml version="1.0" encoding="utf-8"?>
<ds:datastoreItem xmlns:ds="http://schemas.openxmlformats.org/officeDocument/2006/customXml" ds:itemID="{5F0AB4DB-3174-4E0A-A9A9-7545A599B6DF}">
  <ds:schemaRefs>
    <ds:schemaRef ds:uri="http://schemas.openxmlformats.org/officeDocument/2006/bibliography"/>
  </ds:schemaRefs>
</ds:datastoreItem>
</file>

<file path=customXml/itemProps116.xml><?xml version="1.0" encoding="utf-8"?>
<ds:datastoreItem xmlns:ds="http://schemas.openxmlformats.org/officeDocument/2006/customXml" ds:itemID="{FCB3E2C0-9A7C-4501-AD62-B97550BFDD7D}">
  <ds:schemaRefs>
    <ds:schemaRef ds:uri="http://schemas.openxmlformats.org/officeDocument/2006/bibliography"/>
  </ds:schemaRefs>
</ds:datastoreItem>
</file>

<file path=customXml/itemProps117.xml><?xml version="1.0" encoding="utf-8"?>
<ds:datastoreItem xmlns:ds="http://schemas.openxmlformats.org/officeDocument/2006/customXml" ds:itemID="{6B7048D9-46AB-4889-B052-ADB86C3AF5B8}">
  <ds:schemaRefs>
    <ds:schemaRef ds:uri="http://schemas.openxmlformats.org/officeDocument/2006/bibliography"/>
  </ds:schemaRefs>
</ds:datastoreItem>
</file>

<file path=customXml/itemProps118.xml><?xml version="1.0" encoding="utf-8"?>
<ds:datastoreItem xmlns:ds="http://schemas.openxmlformats.org/officeDocument/2006/customXml" ds:itemID="{CE511F55-64E5-4271-B023-60CB3985D239}">
  <ds:schemaRefs>
    <ds:schemaRef ds:uri="http://schemas.openxmlformats.org/officeDocument/2006/bibliography"/>
  </ds:schemaRefs>
</ds:datastoreItem>
</file>

<file path=customXml/itemProps119.xml><?xml version="1.0" encoding="utf-8"?>
<ds:datastoreItem xmlns:ds="http://schemas.openxmlformats.org/officeDocument/2006/customXml" ds:itemID="{CE39DD58-D7C3-4BC4-993E-27B9E603A27D}">
  <ds:schemaRefs>
    <ds:schemaRef ds:uri="http://schemas.openxmlformats.org/officeDocument/2006/bibliography"/>
  </ds:schemaRefs>
</ds:datastoreItem>
</file>

<file path=customXml/itemProps12.xml><?xml version="1.0" encoding="utf-8"?>
<ds:datastoreItem xmlns:ds="http://schemas.openxmlformats.org/officeDocument/2006/customXml" ds:itemID="{3C7A0D5E-A91E-4C91-9B00-6C6D81C91678}">
  <ds:schemaRefs>
    <ds:schemaRef ds:uri="http://schemas.openxmlformats.org/officeDocument/2006/bibliography"/>
  </ds:schemaRefs>
</ds:datastoreItem>
</file>

<file path=customXml/itemProps120.xml><?xml version="1.0" encoding="utf-8"?>
<ds:datastoreItem xmlns:ds="http://schemas.openxmlformats.org/officeDocument/2006/customXml" ds:itemID="{ED067D3A-3608-47D3-98AE-5AD820823CF9}">
  <ds:schemaRefs>
    <ds:schemaRef ds:uri="http://schemas.openxmlformats.org/officeDocument/2006/bibliography"/>
  </ds:schemaRefs>
</ds:datastoreItem>
</file>

<file path=customXml/itemProps121.xml><?xml version="1.0" encoding="utf-8"?>
<ds:datastoreItem xmlns:ds="http://schemas.openxmlformats.org/officeDocument/2006/customXml" ds:itemID="{3F098CBF-E9EF-4DA0-B3F5-A676A7612EA8}">
  <ds:schemaRefs>
    <ds:schemaRef ds:uri="http://schemas.openxmlformats.org/officeDocument/2006/bibliography"/>
  </ds:schemaRefs>
</ds:datastoreItem>
</file>

<file path=customXml/itemProps122.xml><?xml version="1.0" encoding="utf-8"?>
<ds:datastoreItem xmlns:ds="http://schemas.openxmlformats.org/officeDocument/2006/customXml" ds:itemID="{B4458872-274A-452A-9D2D-C60F87951FB3}">
  <ds:schemaRefs>
    <ds:schemaRef ds:uri="http://schemas.openxmlformats.org/officeDocument/2006/bibliography"/>
  </ds:schemaRefs>
</ds:datastoreItem>
</file>

<file path=customXml/itemProps123.xml><?xml version="1.0" encoding="utf-8"?>
<ds:datastoreItem xmlns:ds="http://schemas.openxmlformats.org/officeDocument/2006/customXml" ds:itemID="{9FEA94A9-F0BA-49A1-B2E9-50BDBD6B6066}">
  <ds:schemaRefs>
    <ds:schemaRef ds:uri="http://schemas.openxmlformats.org/officeDocument/2006/bibliography"/>
  </ds:schemaRefs>
</ds:datastoreItem>
</file>

<file path=customXml/itemProps124.xml><?xml version="1.0" encoding="utf-8"?>
<ds:datastoreItem xmlns:ds="http://schemas.openxmlformats.org/officeDocument/2006/customXml" ds:itemID="{A8B3121B-9B85-44E0-80BC-A15A69FDFEE5}">
  <ds:schemaRefs>
    <ds:schemaRef ds:uri="http://schemas.openxmlformats.org/officeDocument/2006/bibliography"/>
  </ds:schemaRefs>
</ds:datastoreItem>
</file>

<file path=customXml/itemProps125.xml><?xml version="1.0" encoding="utf-8"?>
<ds:datastoreItem xmlns:ds="http://schemas.openxmlformats.org/officeDocument/2006/customXml" ds:itemID="{4169C89B-B54A-4B39-8B69-E7D542892561}">
  <ds:schemaRefs>
    <ds:schemaRef ds:uri="http://schemas.openxmlformats.org/officeDocument/2006/bibliography"/>
  </ds:schemaRefs>
</ds:datastoreItem>
</file>

<file path=customXml/itemProps126.xml><?xml version="1.0" encoding="utf-8"?>
<ds:datastoreItem xmlns:ds="http://schemas.openxmlformats.org/officeDocument/2006/customXml" ds:itemID="{8A1DC994-49AE-4086-BB55-CD60A733F685}">
  <ds:schemaRefs>
    <ds:schemaRef ds:uri="http://schemas.openxmlformats.org/officeDocument/2006/bibliography"/>
  </ds:schemaRefs>
</ds:datastoreItem>
</file>

<file path=customXml/itemProps127.xml><?xml version="1.0" encoding="utf-8"?>
<ds:datastoreItem xmlns:ds="http://schemas.openxmlformats.org/officeDocument/2006/customXml" ds:itemID="{AF2A8DCA-58C6-4A6F-8D49-1FB96973881A}">
  <ds:schemaRefs>
    <ds:schemaRef ds:uri="http://schemas.openxmlformats.org/officeDocument/2006/bibliography"/>
  </ds:schemaRefs>
</ds:datastoreItem>
</file>

<file path=customXml/itemProps128.xml><?xml version="1.0" encoding="utf-8"?>
<ds:datastoreItem xmlns:ds="http://schemas.openxmlformats.org/officeDocument/2006/customXml" ds:itemID="{ED51EE9D-438A-4834-8FB6-924E17C36201}">
  <ds:schemaRefs>
    <ds:schemaRef ds:uri="http://schemas.openxmlformats.org/officeDocument/2006/bibliography"/>
  </ds:schemaRefs>
</ds:datastoreItem>
</file>

<file path=customXml/itemProps129.xml><?xml version="1.0" encoding="utf-8"?>
<ds:datastoreItem xmlns:ds="http://schemas.openxmlformats.org/officeDocument/2006/customXml" ds:itemID="{0F58D27B-FE40-4DBF-9FD7-46FCC2B91D8D}">
  <ds:schemaRefs>
    <ds:schemaRef ds:uri="http://schemas.openxmlformats.org/officeDocument/2006/bibliography"/>
  </ds:schemaRefs>
</ds:datastoreItem>
</file>

<file path=customXml/itemProps13.xml><?xml version="1.0" encoding="utf-8"?>
<ds:datastoreItem xmlns:ds="http://schemas.openxmlformats.org/officeDocument/2006/customXml" ds:itemID="{D3D2B5E9-5F68-4E8E-8AAC-34E3E4092404}">
  <ds:schemaRefs>
    <ds:schemaRef ds:uri="http://schemas.openxmlformats.org/officeDocument/2006/bibliography"/>
  </ds:schemaRefs>
</ds:datastoreItem>
</file>

<file path=customXml/itemProps130.xml><?xml version="1.0" encoding="utf-8"?>
<ds:datastoreItem xmlns:ds="http://schemas.openxmlformats.org/officeDocument/2006/customXml" ds:itemID="{BE4512DE-F421-457C-8E2C-35DADAFCE21F}">
  <ds:schemaRefs>
    <ds:schemaRef ds:uri="http://schemas.openxmlformats.org/officeDocument/2006/bibliography"/>
  </ds:schemaRefs>
</ds:datastoreItem>
</file>

<file path=customXml/itemProps131.xml><?xml version="1.0" encoding="utf-8"?>
<ds:datastoreItem xmlns:ds="http://schemas.openxmlformats.org/officeDocument/2006/customXml" ds:itemID="{D935834C-EB72-4BFD-BB0C-EC812E7188C5}">
  <ds:schemaRefs>
    <ds:schemaRef ds:uri="http://schemas.openxmlformats.org/officeDocument/2006/bibliography"/>
  </ds:schemaRefs>
</ds:datastoreItem>
</file>

<file path=customXml/itemProps132.xml><?xml version="1.0" encoding="utf-8"?>
<ds:datastoreItem xmlns:ds="http://schemas.openxmlformats.org/officeDocument/2006/customXml" ds:itemID="{F1E74A4D-DFEB-4973-B609-5B067F1CE40E}">
  <ds:schemaRefs>
    <ds:schemaRef ds:uri="http://schemas.openxmlformats.org/officeDocument/2006/bibliography"/>
  </ds:schemaRefs>
</ds:datastoreItem>
</file>

<file path=customXml/itemProps133.xml><?xml version="1.0" encoding="utf-8"?>
<ds:datastoreItem xmlns:ds="http://schemas.openxmlformats.org/officeDocument/2006/customXml" ds:itemID="{22E42EAE-E002-4E35-BEB6-E992428BC714}">
  <ds:schemaRefs>
    <ds:schemaRef ds:uri="http://schemas.openxmlformats.org/officeDocument/2006/bibliography"/>
  </ds:schemaRefs>
</ds:datastoreItem>
</file>

<file path=customXml/itemProps134.xml><?xml version="1.0" encoding="utf-8"?>
<ds:datastoreItem xmlns:ds="http://schemas.openxmlformats.org/officeDocument/2006/customXml" ds:itemID="{DEB9FDEB-3DEB-43A8-90D0-190FDE14C287}">
  <ds:schemaRefs>
    <ds:schemaRef ds:uri="http://schemas.openxmlformats.org/officeDocument/2006/bibliography"/>
  </ds:schemaRefs>
</ds:datastoreItem>
</file>

<file path=customXml/itemProps135.xml><?xml version="1.0" encoding="utf-8"?>
<ds:datastoreItem xmlns:ds="http://schemas.openxmlformats.org/officeDocument/2006/customXml" ds:itemID="{801E5768-E046-4F05-BF11-B33B556A9E05}">
  <ds:schemaRefs>
    <ds:schemaRef ds:uri="http://schemas.openxmlformats.org/officeDocument/2006/bibliography"/>
  </ds:schemaRefs>
</ds:datastoreItem>
</file>

<file path=customXml/itemProps136.xml><?xml version="1.0" encoding="utf-8"?>
<ds:datastoreItem xmlns:ds="http://schemas.openxmlformats.org/officeDocument/2006/customXml" ds:itemID="{D604BFF3-2687-4A30-9458-B609FA9B1A1E}">
  <ds:schemaRefs>
    <ds:schemaRef ds:uri="http://schemas.openxmlformats.org/officeDocument/2006/bibliography"/>
  </ds:schemaRefs>
</ds:datastoreItem>
</file>

<file path=customXml/itemProps137.xml><?xml version="1.0" encoding="utf-8"?>
<ds:datastoreItem xmlns:ds="http://schemas.openxmlformats.org/officeDocument/2006/customXml" ds:itemID="{8B5E46C2-115E-4560-BAA7-32BB0A965D59}">
  <ds:schemaRefs>
    <ds:schemaRef ds:uri="http://schemas.openxmlformats.org/officeDocument/2006/bibliography"/>
  </ds:schemaRefs>
</ds:datastoreItem>
</file>

<file path=customXml/itemProps138.xml><?xml version="1.0" encoding="utf-8"?>
<ds:datastoreItem xmlns:ds="http://schemas.openxmlformats.org/officeDocument/2006/customXml" ds:itemID="{0C6F0787-F2D0-40FD-AA7A-0162626D7090}">
  <ds:schemaRefs>
    <ds:schemaRef ds:uri="http://schemas.openxmlformats.org/officeDocument/2006/bibliography"/>
  </ds:schemaRefs>
</ds:datastoreItem>
</file>

<file path=customXml/itemProps139.xml><?xml version="1.0" encoding="utf-8"?>
<ds:datastoreItem xmlns:ds="http://schemas.openxmlformats.org/officeDocument/2006/customXml" ds:itemID="{FD8D0782-EDBF-4042-8684-78EE30E4E01F}">
  <ds:schemaRefs>
    <ds:schemaRef ds:uri="http://schemas.openxmlformats.org/officeDocument/2006/bibliography"/>
  </ds:schemaRefs>
</ds:datastoreItem>
</file>

<file path=customXml/itemProps14.xml><?xml version="1.0" encoding="utf-8"?>
<ds:datastoreItem xmlns:ds="http://schemas.openxmlformats.org/officeDocument/2006/customXml" ds:itemID="{C642209B-1541-448F-AEEC-CAE00B615051}">
  <ds:schemaRefs>
    <ds:schemaRef ds:uri="http://schemas.openxmlformats.org/officeDocument/2006/bibliography"/>
  </ds:schemaRefs>
</ds:datastoreItem>
</file>

<file path=customXml/itemProps140.xml><?xml version="1.0" encoding="utf-8"?>
<ds:datastoreItem xmlns:ds="http://schemas.openxmlformats.org/officeDocument/2006/customXml" ds:itemID="{9869E492-7BF4-4D31-A65A-1CE7D9C56120}">
  <ds:schemaRefs>
    <ds:schemaRef ds:uri="http://schemas.openxmlformats.org/officeDocument/2006/bibliography"/>
  </ds:schemaRefs>
</ds:datastoreItem>
</file>

<file path=customXml/itemProps141.xml><?xml version="1.0" encoding="utf-8"?>
<ds:datastoreItem xmlns:ds="http://schemas.openxmlformats.org/officeDocument/2006/customXml" ds:itemID="{C8F72A2D-E2FE-41E4-A2E4-E1D7C1C83467}">
  <ds:schemaRefs>
    <ds:schemaRef ds:uri="http://schemas.openxmlformats.org/officeDocument/2006/bibliography"/>
  </ds:schemaRefs>
</ds:datastoreItem>
</file>

<file path=customXml/itemProps142.xml><?xml version="1.0" encoding="utf-8"?>
<ds:datastoreItem xmlns:ds="http://schemas.openxmlformats.org/officeDocument/2006/customXml" ds:itemID="{99FA27B7-2B4B-4C84-ADDF-BC3DCB360EB9}">
  <ds:schemaRefs>
    <ds:schemaRef ds:uri="http://schemas.openxmlformats.org/officeDocument/2006/bibliography"/>
  </ds:schemaRefs>
</ds:datastoreItem>
</file>

<file path=customXml/itemProps143.xml><?xml version="1.0" encoding="utf-8"?>
<ds:datastoreItem xmlns:ds="http://schemas.openxmlformats.org/officeDocument/2006/customXml" ds:itemID="{92C26D6B-1661-4C65-9D7C-3FAA459E7181}">
  <ds:schemaRefs>
    <ds:schemaRef ds:uri="http://schemas.openxmlformats.org/officeDocument/2006/bibliography"/>
  </ds:schemaRefs>
</ds:datastoreItem>
</file>

<file path=customXml/itemProps144.xml><?xml version="1.0" encoding="utf-8"?>
<ds:datastoreItem xmlns:ds="http://schemas.openxmlformats.org/officeDocument/2006/customXml" ds:itemID="{06BDB098-3526-45F9-A5AF-AA7A5203C40E}">
  <ds:schemaRefs>
    <ds:schemaRef ds:uri="http://schemas.openxmlformats.org/officeDocument/2006/bibliography"/>
  </ds:schemaRefs>
</ds:datastoreItem>
</file>

<file path=customXml/itemProps145.xml><?xml version="1.0" encoding="utf-8"?>
<ds:datastoreItem xmlns:ds="http://schemas.openxmlformats.org/officeDocument/2006/customXml" ds:itemID="{64D3EC59-E41F-48B2-833A-5A531D464849}">
  <ds:schemaRefs>
    <ds:schemaRef ds:uri="http://schemas.openxmlformats.org/officeDocument/2006/bibliography"/>
  </ds:schemaRefs>
</ds:datastoreItem>
</file>

<file path=customXml/itemProps146.xml><?xml version="1.0" encoding="utf-8"?>
<ds:datastoreItem xmlns:ds="http://schemas.openxmlformats.org/officeDocument/2006/customXml" ds:itemID="{CBD4B6B5-BF03-4FA4-AF48-7F334F3011FF}">
  <ds:schemaRefs>
    <ds:schemaRef ds:uri="http://schemas.openxmlformats.org/officeDocument/2006/bibliography"/>
  </ds:schemaRefs>
</ds:datastoreItem>
</file>

<file path=customXml/itemProps147.xml><?xml version="1.0" encoding="utf-8"?>
<ds:datastoreItem xmlns:ds="http://schemas.openxmlformats.org/officeDocument/2006/customXml" ds:itemID="{65CF3E83-DC51-452D-849E-EE0DDA834CF0}">
  <ds:schemaRefs>
    <ds:schemaRef ds:uri="http://schemas.openxmlformats.org/officeDocument/2006/bibliography"/>
  </ds:schemaRefs>
</ds:datastoreItem>
</file>

<file path=customXml/itemProps148.xml><?xml version="1.0" encoding="utf-8"?>
<ds:datastoreItem xmlns:ds="http://schemas.openxmlformats.org/officeDocument/2006/customXml" ds:itemID="{9E132992-42CB-43A7-AD2B-AEFE085369A2}">
  <ds:schemaRefs>
    <ds:schemaRef ds:uri="http://schemas.openxmlformats.org/officeDocument/2006/bibliography"/>
  </ds:schemaRefs>
</ds:datastoreItem>
</file>

<file path=customXml/itemProps149.xml><?xml version="1.0" encoding="utf-8"?>
<ds:datastoreItem xmlns:ds="http://schemas.openxmlformats.org/officeDocument/2006/customXml" ds:itemID="{5896BBA3-1A60-4E92-9273-924AD370F5FE}">
  <ds:schemaRefs>
    <ds:schemaRef ds:uri="http://schemas.openxmlformats.org/officeDocument/2006/bibliography"/>
  </ds:schemaRefs>
</ds:datastoreItem>
</file>

<file path=customXml/itemProps15.xml><?xml version="1.0" encoding="utf-8"?>
<ds:datastoreItem xmlns:ds="http://schemas.openxmlformats.org/officeDocument/2006/customXml" ds:itemID="{0DB405B4-84BD-439F-A655-90731BD687BD}">
  <ds:schemaRefs>
    <ds:schemaRef ds:uri="http://schemas.openxmlformats.org/officeDocument/2006/bibliography"/>
  </ds:schemaRefs>
</ds:datastoreItem>
</file>

<file path=customXml/itemProps150.xml><?xml version="1.0" encoding="utf-8"?>
<ds:datastoreItem xmlns:ds="http://schemas.openxmlformats.org/officeDocument/2006/customXml" ds:itemID="{43973930-9674-449A-A833-1DA5D96BF3A9}">
  <ds:schemaRefs>
    <ds:schemaRef ds:uri="http://schemas.openxmlformats.org/officeDocument/2006/bibliography"/>
  </ds:schemaRefs>
</ds:datastoreItem>
</file>

<file path=customXml/itemProps151.xml><?xml version="1.0" encoding="utf-8"?>
<ds:datastoreItem xmlns:ds="http://schemas.openxmlformats.org/officeDocument/2006/customXml" ds:itemID="{C4A04B9F-BCE7-4695-A1D9-702D1AB63A4D}">
  <ds:schemaRefs>
    <ds:schemaRef ds:uri="http://schemas.openxmlformats.org/officeDocument/2006/bibliography"/>
  </ds:schemaRefs>
</ds:datastoreItem>
</file>

<file path=customXml/itemProps152.xml><?xml version="1.0" encoding="utf-8"?>
<ds:datastoreItem xmlns:ds="http://schemas.openxmlformats.org/officeDocument/2006/customXml" ds:itemID="{D615A69B-0190-4A0E-A886-C2F55802CF10}">
  <ds:schemaRefs>
    <ds:schemaRef ds:uri="http://schemas.openxmlformats.org/officeDocument/2006/bibliography"/>
  </ds:schemaRefs>
</ds:datastoreItem>
</file>

<file path=customXml/itemProps153.xml><?xml version="1.0" encoding="utf-8"?>
<ds:datastoreItem xmlns:ds="http://schemas.openxmlformats.org/officeDocument/2006/customXml" ds:itemID="{FDEFD972-C827-415F-B59F-A0378ACD2A76}">
  <ds:schemaRefs>
    <ds:schemaRef ds:uri="http://schemas.openxmlformats.org/officeDocument/2006/bibliography"/>
  </ds:schemaRefs>
</ds:datastoreItem>
</file>

<file path=customXml/itemProps154.xml><?xml version="1.0" encoding="utf-8"?>
<ds:datastoreItem xmlns:ds="http://schemas.openxmlformats.org/officeDocument/2006/customXml" ds:itemID="{2A516051-51F7-4664-802E-198A1B75403C}">
  <ds:schemaRefs>
    <ds:schemaRef ds:uri="http://schemas.openxmlformats.org/officeDocument/2006/bibliography"/>
  </ds:schemaRefs>
</ds:datastoreItem>
</file>

<file path=customXml/itemProps155.xml><?xml version="1.0" encoding="utf-8"?>
<ds:datastoreItem xmlns:ds="http://schemas.openxmlformats.org/officeDocument/2006/customXml" ds:itemID="{733E0BD7-3A58-493C-8311-D40C17AED5AA}">
  <ds:schemaRefs>
    <ds:schemaRef ds:uri="http://schemas.openxmlformats.org/officeDocument/2006/bibliography"/>
  </ds:schemaRefs>
</ds:datastoreItem>
</file>

<file path=customXml/itemProps156.xml><?xml version="1.0" encoding="utf-8"?>
<ds:datastoreItem xmlns:ds="http://schemas.openxmlformats.org/officeDocument/2006/customXml" ds:itemID="{A8EA522A-F958-454A-A901-1BF8D8C1464C}">
  <ds:schemaRefs>
    <ds:schemaRef ds:uri="http://schemas.openxmlformats.org/officeDocument/2006/bibliography"/>
  </ds:schemaRefs>
</ds:datastoreItem>
</file>

<file path=customXml/itemProps157.xml><?xml version="1.0" encoding="utf-8"?>
<ds:datastoreItem xmlns:ds="http://schemas.openxmlformats.org/officeDocument/2006/customXml" ds:itemID="{646F7629-0D06-4192-A286-1913D568C3E0}">
  <ds:schemaRefs>
    <ds:schemaRef ds:uri="http://schemas.openxmlformats.org/officeDocument/2006/bibliography"/>
  </ds:schemaRefs>
</ds:datastoreItem>
</file>

<file path=customXml/itemProps158.xml><?xml version="1.0" encoding="utf-8"?>
<ds:datastoreItem xmlns:ds="http://schemas.openxmlformats.org/officeDocument/2006/customXml" ds:itemID="{5E0E4269-0F6F-4C1E-91AA-DB01DC60B1DE}">
  <ds:schemaRefs>
    <ds:schemaRef ds:uri="http://schemas.openxmlformats.org/officeDocument/2006/bibliography"/>
  </ds:schemaRefs>
</ds:datastoreItem>
</file>

<file path=customXml/itemProps159.xml><?xml version="1.0" encoding="utf-8"?>
<ds:datastoreItem xmlns:ds="http://schemas.openxmlformats.org/officeDocument/2006/customXml" ds:itemID="{3155BB0E-16B8-4CEB-8926-D6ECA968E11F}">
  <ds:schemaRefs>
    <ds:schemaRef ds:uri="http://schemas.openxmlformats.org/officeDocument/2006/bibliography"/>
  </ds:schemaRefs>
</ds:datastoreItem>
</file>

<file path=customXml/itemProps16.xml><?xml version="1.0" encoding="utf-8"?>
<ds:datastoreItem xmlns:ds="http://schemas.openxmlformats.org/officeDocument/2006/customXml" ds:itemID="{D3319599-D639-4AA6-96C0-30BCEAB81892}">
  <ds:schemaRefs>
    <ds:schemaRef ds:uri="http://schemas.openxmlformats.org/officeDocument/2006/bibliography"/>
  </ds:schemaRefs>
</ds:datastoreItem>
</file>

<file path=customXml/itemProps160.xml><?xml version="1.0" encoding="utf-8"?>
<ds:datastoreItem xmlns:ds="http://schemas.openxmlformats.org/officeDocument/2006/customXml" ds:itemID="{30D6ED17-CCE8-49D4-B900-0084106AE302}">
  <ds:schemaRefs>
    <ds:schemaRef ds:uri="http://schemas.openxmlformats.org/officeDocument/2006/bibliography"/>
  </ds:schemaRefs>
</ds:datastoreItem>
</file>

<file path=customXml/itemProps161.xml><?xml version="1.0" encoding="utf-8"?>
<ds:datastoreItem xmlns:ds="http://schemas.openxmlformats.org/officeDocument/2006/customXml" ds:itemID="{772A50A3-C29F-4513-8524-AF1C65ED90F3}">
  <ds:schemaRefs>
    <ds:schemaRef ds:uri="http://schemas.openxmlformats.org/officeDocument/2006/bibliography"/>
  </ds:schemaRefs>
</ds:datastoreItem>
</file>

<file path=customXml/itemProps162.xml><?xml version="1.0" encoding="utf-8"?>
<ds:datastoreItem xmlns:ds="http://schemas.openxmlformats.org/officeDocument/2006/customXml" ds:itemID="{FAB0A4C4-0531-462E-AADA-1143E982436B}">
  <ds:schemaRefs>
    <ds:schemaRef ds:uri="http://schemas.openxmlformats.org/officeDocument/2006/bibliography"/>
  </ds:schemaRefs>
</ds:datastoreItem>
</file>

<file path=customXml/itemProps163.xml><?xml version="1.0" encoding="utf-8"?>
<ds:datastoreItem xmlns:ds="http://schemas.openxmlformats.org/officeDocument/2006/customXml" ds:itemID="{39732564-A36A-47F0-8304-A188F31F5729}">
  <ds:schemaRefs>
    <ds:schemaRef ds:uri="http://schemas.openxmlformats.org/officeDocument/2006/bibliography"/>
  </ds:schemaRefs>
</ds:datastoreItem>
</file>

<file path=customXml/itemProps164.xml><?xml version="1.0" encoding="utf-8"?>
<ds:datastoreItem xmlns:ds="http://schemas.openxmlformats.org/officeDocument/2006/customXml" ds:itemID="{FFFF5B57-4CF1-476B-82A4-8D41301C604F}">
  <ds:schemaRefs>
    <ds:schemaRef ds:uri="http://schemas.openxmlformats.org/officeDocument/2006/bibliography"/>
  </ds:schemaRefs>
</ds:datastoreItem>
</file>

<file path=customXml/itemProps165.xml><?xml version="1.0" encoding="utf-8"?>
<ds:datastoreItem xmlns:ds="http://schemas.openxmlformats.org/officeDocument/2006/customXml" ds:itemID="{653BBBAB-33C8-46D5-AD7D-0308336E1A26}">
  <ds:schemaRefs>
    <ds:schemaRef ds:uri="http://schemas.openxmlformats.org/officeDocument/2006/bibliography"/>
  </ds:schemaRefs>
</ds:datastoreItem>
</file>

<file path=customXml/itemProps166.xml><?xml version="1.0" encoding="utf-8"?>
<ds:datastoreItem xmlns:ds="http://schemas.openxmlformats.org/officeDocument/2006/customXml" ds:itemID="{0186B2EF-E114-47B5-9956-121B7DCEB8E2}">
  <ds:schemaRefs>
    <ds:schemaRef ds:uri="http://schemas.openxmlformats.org/officeDocument/2006/bibliography"/>
  </ds:schemaRefs>
</ds:datastoreItem>
</file>

<file path=customXml/itemProps167.xml><?xml version="1.0" encoding="utf-8"?>
<ds:datastoreItem xmlns:ds="http://schemas.openxmlformats.org/officeDocument/2006/customXml" ds:itemID="{2FBE185F-DE43-4FFB-AB06-C1DB1B88738E}">
  <ds:schemaRefs>
    <ds:schemaRef ds:uri="http://schemas.openxmlformats.org/officeDocument/2006/bibliography"/>
  </ds:schemaRefs>
</ds:datastoreItem>
</file>

<file path=customXml/itemProps168.xml><?xml version="1.0" encoding="utf-8"?>
<ds:datastoreItem xmlns:ds="http://schemas.openxmlformats.org/officeDocument/2006/customXml" ds:itemID="{D6CDBDAF-7E2F-49D2-B0B7-E40BD010B413}">
  <ds:schemaRefs>
    <ds:schemaRef ds:uri="http://schemas.openxmlformats.org/officeDocument/2006/bibliography"/>
  </ds:schemaRefs>
</ds:datastoreItem>
</file>

<file path=customXml/itemProps169.xml><?xml version="1.0" encoding="utf-8"?>
<ds:datastoreItem xmlns:ds="http://schemas.openxmlformats.org/officeDocument/2006/customXml" ds:itemID="{E6E1E315-8F7A-4299-B541-CFBE7EE1133C}">
  <ds:schemaRefs>
    <ds:schemaRef ds:uri="http://schemas.openxmlformats.org/officeDocument/2006/bibliography"/>
  </ds:schemaRefs>
</ds:datastoreItem>
</file>

<file path=customXml/itemProps17.xml><?xml version="1.0" encoding="utf-8"?>
<ds:datastoreItem xmlns:ds="http://schemas.openxmlformats.org/officeDocument/2006/customXml" ds:itemID="{7C55A902-7520-41A2-AB9B-DB8A65D29FF3}">
  <ds:schemaRefs>
    <ds:schemaRef ds:uri="http://schemas.openxmlformats.org/officeDocument/2006/bibliography"/>
  </ds:schemaRefs>
</ds:datastoreItem>
</file>

<file path=customXml/itemProps170.xml><?xml version="1.0" encoding="utf-8"?>
<ds:datastoreItem xmlns:ds="http://schemas.openxmlformats.org/officeDocument/2006/customXml" ds:itemID="{EC233A43-836F-42CB-B86C-B7CC4A85A843}">
  <ds:schemaRefs>
    <ds:schemaRef ds:uri="http://schemas.openxmlformats.org/officeDocument/2006/bibliography"/>
  </ds:schemaRefs>
</ds:datastoreItem>
</file>

<file path=customXml/itemProps171.xml><?xml version="1.0" encoding="utf-8"?>
<ds:datastoreItem xmlns:ds="http://schemas.openxmlformats.org/officeDocument/2006/customXml" ds:itemID="{8DCFC421-2E1B-45F4-A38C-78D68069AACA}">
  <ds:schemaRefs>
    <ds:schemaRef ds:uri="http://schemas.openxmlformats.org/officeDocument/2006/bibliography"/>
  </ds:schemaRefs>
</ds:datastoreItem>
</file>

<file path=customXml/itemProps172.xml><?xml version="1.0" encoding="utf-8"?>
<ds:datastoreItem xmlns:ds="http://schemas.openxmlformats.org/officeDocument/2006/customXml" ds:itemID="{B6C4F197-D674-47BE-BD62-CCF0AABDF168}">
  <ds:schemaRefs>
    <ds:schemaRef ds:uri="http://schemas.openxmlformats.org/officeDocument/2006/bibliography"/>
  </ds:schemaRefs>
</ds:datastoreItem>
</file>

<file path=customXml/itemProps173.xml><?xml version="1.0" encoding="utf-8"?>
<ds:datastoreItem xmlns:ds="http://schemas.openxmlformats.org/officeDocument/2006/customXml" ds:itemID="{77E681C3-AA02-4326-A149-80782A74C084}">
  <ds:schemaRefs>
    <ds:schemaRef ds:uri="http://schemas.openxmlformats.org/officeDocument/2006/bibliography"/>
  </ds:schemaRefs>
</ds:datastoreItem>
</file>

<file path=customXml/itemProps174.xml><?xml version="1.0" encoding="utf-8"?>
<ds:datastoreItem xmlns:ds="http://schemas.openxmlformats.org/officeDocument/2006/customXml" ds:itemID="{0A7AF72B-7CC7-400E-956D-94EC82757C49}">
  <ds:schemaRefs>
    <ds:schemaRef ds:uri="http://schemas.openxmlformats.org/officeDocument/2006/bibliography"/>
  </ds:schemaRefs>
</ds:datastoreItem>
</file>

<file path=customXml/itemProps175.xml><?xml version="1.0" encoding="utf-8"?>
<ds:datastoreItem xmlns:ds="http://schemas.openxmlformats.org/officeDocument/2006/customXml" ds:itemID="{A722DA0B-BE50-4717-8D95-778F2CF482BD}">
  <ds:schemaRefs>
    <ds:schemaRef ds:uri="http://schemas.openxmlformats.org/officeDocument/2006/bibliography"/>
  </ds:schemaRefs>
</ds:datastoreItem>
</file>

<file path=customXml/itemProps176.xml><?xml version="1.0" encoding="utf-8"?>
<ds:datastoreItem xmlns:ds="http://schemas.openxmlformats.org/officeDocument/2006/customXml" ds:itemID="{7C82ED78-F176-4836-965B-C5C0D98ECF22}">
  <ds:schemaRefs>
    <ds:schemaRef ds:uri="http://schemas.openxmlformats.org/officeDocument/2006/bibliography"/>
  </ds:schemaRefs>
</ds:datastoreItem>
</file>

<file path=customXml/itemProps177.xml><?xml version="1.0" encoding="utf-8"?>
<ds:datastoreItem xmlns:ds="http://schemas.openxmlformats.org/officeDocument/2006/customXml" ds:itemID="{CCBAA65A-E49E-4AF5-A4EB-97253853EED2}">
  <ds:schemaRefs>
    <ds:schemaRef ds:uri="http://schemas.openxmlformats.org/officeDocument/2006/bibliography"/>
  </ds:schemaRefs>
</ds:datastoreItem>
</file>

<file path=customXml/itemProps178.xml><?xml version="1.0" encoding="utf-8"?>
<ds:datastoreItem xmlns:ds="http://schemas.openxmlformats.org/officeDocument/2006/customXml" ds:itemID="{33083ED3-23A3-4D38-B046-27D38BF1A022}">
  <ds:schemaRefs>
    <ds:schemaRef ds:uri="http://schemas.openxmlformats.org/officeDocument/2006/bibliography"/>
  </ds:schemaRefs>
</ds:datastoreItem>
</file>

<file path=customXml/itemProps179.xml><?xml version="1.0" encoding="utf-8"?>
<ds:datastoreItem xmlns:ds="http://schemas.openxmlformats.org/officeDocument/2006/customXml" ds:itemID="{C92082B5-387B-4339-97EE-15D6EE4F4A6A}">
  <ds:schemaRefs>
    <ds:schemaRef ds:uri="http://schemas.openxmlformats.org/officeDocument/2006/bibliography"/>
  </ds:schemaRefs>
</ds:datastoreItem>
</file>

<file path=customXml/itemProps18.xml><?xml version="1.0" encoding="utf-8"?>
<ds:datastoreItem xmlns:ds="http://schemas.openxmlformats.org/officeDocument/2006/customXml" ds:itemID="{BEAC9CC5-55C9-44BA-9EC7-8E5D851B76B4}">
  <ds:schemaRefs>
    <ds:schemaRef ds:uri="http://schemas.openxmlformats.org/officeDocument/2006/bibliography"/>
  </ds:schemaRefs>
</ds:datastoreItem>
</file>

<file path=customXml/itemProps180.xml><?xml version="1.0" encoding="utf-8"?>
<ds:datastoreItem xmlns:ds="http://schemas.openxmlformats.org/officeDocument/2006/customXml" ds:itemID="{3E0556F5-CCD5-4FA2-9D2A-88460D804618}">
  <ds:schemaRefs>
    <ds:schemaRef ds:uri="http://schemas.openxmlformats.org/officeDocument/2006/bibliography"/>
  </ds:schemaRefs>
</ds:datastoreItem>
</file>

<file path=customXml/itemProps181.xml><?xml version="1.0" encoding="utf-8"?>
<ds:datastoreItem xmlns:ds="http://schemas.openxmlformats.org/officeDocument/2006/customXml" ds:itemID="{796AB3F9-2EDB-456B-8B99-2E03C6BD31E3}">
  <ds:schemaRefs>
    <ds:schemaRef ds:uri="http://schemas.openxmlformats.org/officeDocument/2006/bibliography"/>
  </ds:schemaRefs>
</ds:datastoreItem>
</file>

<file path=customXml/itemProps182.xml><?xml version="1.0" encoding="utf-8"?>
<ds:datastoreItem xmlns:ds="http://schemas.openxmlformats.org/officeDocument/2006/customXml" ds:itemID="{9F396327-CBD2-4297-A692-B7FED0EB8454}">
  <ds:schemaRefs>
    <ds:schemaRef ds:uri="http://schemas.openxmlformats.org/officeDocument/2006/bibliography"/>
  </ds:schemaRefs>
</ds:datastoreItem>
</file>

<file path=customXml/itemProps183.xml><?xml version="1.0" encoding="utf-8"?>
<ds:datastoreItem xmlns:ds="http://schemas.openxmlformats.org/officeDocument/2006/customXml" ds:itemID="{36711FDE-1B6D-4758-946D-9703A06F8482}">
  <ds:schemaRefs>
    <ds:schemaRef ds:uri="http://schemas.openxmlformats.org/officeDocument/2006/bibliography"/>
  </ds:schemaRefs>
</ds:datastoreItem>
</file>

<file path=customXml/itemProps184.xml><?xml version="1.0" encoding="utf-8"?>
<ds:datastoreItem xmlns:ds="http://schemas.openxmlformats.org/officeDocument/2006/customXml" ds:itemID="{B1977F3A-D109-4B11-9A46-908AEC7AE408}">
  <ds:schemaRefs>
    <ds:schemaRef ds:uri="http://schemas.openxmlformats.org/officeDocument/2006/bibliography"/>
  </ds:schemaRefs>
</ds:datastoreItem>
</file>

<file path=customXml/itemProps185.xml><?xml version="1.0" encoding="utf-8"?>
<ds:datastoreItem xmlns:ds="http://schemas.openxmlformats.org/officeDocument/2006/customXml" ds:itemID="{E664E92B-08ED-43AE-B2FF-71B7B4EDA6FE}">
  <ds:schemaRefs>
    <ds:schemaRef ds:uri="http://schemas.openxmlformats.org/officeDocument/2006/bibliography"/>
  </ds:schemaRefs>
</ds:datastoreItem>
</file>

<file path=customXml/itemProps186.xml><?xml version="1.0" encoding="utf-8"?>
<ds:datastoreItem xmlns:ds="http://schemas.openxmlformats.org/officeDocument/2006/customXml" ds:itemID="{FE4B45B8-5AD7-497F-BC73-E32666F1DADC}">
  <ds:schemaRefs>
    <ds:schemaRef ds:uri="http://schemas.openxmlformats.org/officeDocument/2006/bibliography"/>
  </ds:schemaRefs>
</ds:datastoreItem>
</file>

<file path=customXml/itemProps187.xml><?xml version="1.0" encoding="utf-8"?>
<ds:datastoreItem xmlns:ds="http://schemas.openxmlformats.org/officeDocument/2006/customXml" ds:itemID="{2F0FCA2B-A444-446E-B498-D2B34DB9FFD5}">
  <ds:schemaRefs>
    <ds:schemaRef ds:uri="http://schemas.openxmlformats.org/officeDocument/2006/bibliography"/>
  </ds:schemaRefs>
</ds:datastoreItem>
</file>

<file path=customXml/itemProps188.xml><?xml version="1.0" encoding="utf-8"?>
<ds:datastoreItem xmlns:ds="http://schemas.openxmlformats.org/officeDocument/2006/customXml" ds:itemID="{9FA8AF26-7410-402B-A56A-56FCC36F76BC}">
  <ds:schemaRefs>
    <ds:schemaRef ds:uri="http://schemas.openxmlformats.org/officeDocument/2006/bibliography"/>
  </ds:schemaRefs>
</ds:datastoreItem>
</file>

<file path=customXml/itemProps189.xml><?xml version="1.0" encoding="utf-8"?>
<ds:datastoreItem xmlns:ds="http://schemas.openxmlformats.org/officeDocument/2006/customXml" ds:itemID="{2801E759-A706-477B-A0DC-5BA680E1EEC2}">
  <ds:schemaRefs>
    <ds:schemaRef ds:uri="http://schemas.openxmlformats.org/officeDocument/2006/bibliography"/>
  </ds:schemaRefs>
</ds:datastoreItem>
</file>

<file path=customXml/itemProps19.xml><?xml version="1.0" encoding="utf-8"?>
<ds:datastoreItem xmlns:ds="http://schemas.openxmlformats.org/officeDocument/2006/customXml" ds:itemID="{12CC2FA0-4C74-4977-B34D-0010D984AC0F}">
  <ds:schemaRefs>
    <ds:schemaRef ds:uri="http://schemas.openxmlformats.org/officeDocument/2006/bibliography"/>
  </ds:schemaRefs>
</ds:datastoreItem>
</file>

<file path=customXml/itemProps190.xml><?xml version="1.0" encoding="utf-8"?>
<ds:datastoreItem xmlns:ds="http://schemas.openxmlformats.org/officeDocument/2006/customXml" ds:itemID="{3505C713-E81E-4EA6-AB78-83A2C3D5205C}">
  <ds:schemaRefs>
    <ds:schemaRef ds:uri="http://schemas.openxmlformats.org/officeDocument/2006/bibliography"/>
  </ds:schemaRefs>
</ds:datastoreItem>
</file>

<file path=customXml/itemProps191.xml><?xml version="1.0" encoding="utf-8"?>
<ds:datastoreItem xmlns:ds="http://schemas.openxmlformats.org/officeDocument/2006/customXml" ds:itemID="{15B9B42E-A43F-4879-9A49-CA953535A571}">
  <ds:schemaRefs>
    <ds:schemaRef ds:uri="http://schemas.openxmlformats.org/officeDocument/2006/bibliography"/>
  </ds:schemaRefs>
</ds:datastoreItem>
</file>

<file path=customXml/itemProps192.xml><?xml version="1.0" encoding="utf-8"?>
<ds:datastoreItem xmlns:ds="http://schemas.openxmlformats.org/officeDocument/2006/customXml" ds:itemID="{D8491229-987B-43C9-945A-E5D37F67BF4B}">
  <ds:schemaRefs>
    <ds:schemaRef ds:uri="http://schemas.openxmlformats.org/officeDocument/2006/bibliography"/>
  </ds:schemaRefs>
</ds:datastoreItem>
</file>

<file path=customXml/itemProps193.xml><?xml version="1.0" encoding="utf-8"?>
<ds:datastoreItem xmlns:ds="http://schemas.openxmlformats.org/officeDocument/2006/customXml" ds:itemID="{0CC337E9-185E-4843-A13E-BEE7E7D14487}">
  <ds:schemaRefs>
    <ds:schemaRef ds:uri="http://schemas.openxmlformats.org/officeDocument/2006/bibliography"/>
  </ds:schemaRefs>
</ds:datastoreItem>
</file>

<file path=customXml/itemProps194.xml><?xml version="1.0" encoding="utf-8"?>
<ds:datastoreItem xmlns:ds="http://schemas.openxmlformats.org/officeDocument/2006/customXml" ds:itemID="{62AEA39C-6E08-4A69-9AED-FAD636DB8DD0}">
  <ds:schemaRefs>
    <ds:schemaRef ds:uri="http://schemas.openxmlformats.org/officeDocument/2006/bibliography"/>
  </ds:schemaRefs>
</ds:datastoreItem>
</file>

<file path=customXml/itemProps195.xml><?xml version="1.0" encoding="utf-8"?>
<ds:datastoreItem xmlns:ds="http://schemas.openxmlformats.org/officeDocument/2006/customXml" ds:itemID="{72B2EAE8-8396-4356-9D99-43C0BF4E3AB8}">
  <ds:schemaRefs>
    <ds:schemaRef ds:uri="http://schemas.openxmlformats.org/officeDocument/2006/bibliography"/>
  </ds:schemaRefs>
</ds:datastoreItem>
</file>

<file path=customXml/itemProps196.xml><?xml version="1.0" encoding="utf-8"?>
<ds:datastoreItem xmlns:ds="http://schemas.openxmlformats.org/officeDocument/2006/customXml" ds:itemID="{FD4BF466-1619-43B0-9942-A53204E16130}">
  <ds:schemaRefs>
    <ds:schemaRef ds:uri="http://schemas.openxmlformats.org/officeDocument/2006/bibliography"/>
  </ds:schemaRefs>
</ds:datastoreItem>
</file>

<file path=customXml/itemProps197.xml><?xml version="1.0" encoding="utf-8"?>
<ds:datastoreItem xmlns:ds="http://schemas.openxmlformats.org/officeDocument/2006/customXml" ds:itemID="{B3A0538F-5C67-469F-8DB7-C01EE4303BB4}">
  <ds:schemaRefs>
    <ds:schemaRef ds:uri="http://schemas.openxmlformats.org/officeDocument/2006/bibliography"/>
  </ds:schemaRefs>
</ds:datastoreItem>
</file>

<file path=customXml/itemProps198.xml><?xml version="1.0" encoding="utf-8"?>
<ds:datastoreItem xmlns:ds="http://schemas.openxmlformats.org/officeDocument/2006/customXml" ds:itemID="{38AF2E86-6215-469F-96BF-496EEF7B0A0A}">
  <ds:schemaRefs>
    <ds:schemaRef ds:uri="http://schemas.openxmlformats.org/officeDocument/2006/bibliography"/>
  </ds:schemaRefs>
</ds:datastoreItem>
</file>

<file path=customXml/itemProps199.xml><?xml version="1.0" encoding="utf-8"?>
<ds:datastoreItem xmlns:ds="http://schemas.openxmlformats.org/officeDocument/2006/customXml" ds:itemID="{3FF1E387-49C3-40E0-BA2C-27FE5940713A}">
  <ds:schemaRefs>
    <ds:schemaRef ds:uri="http://schemas.openxmlformats.org/officeDocument/2006/bibliography"/>
  </ds:schemaRefs>
</ds:datastoreItem>
</file>

<file path=customXml/itemProps2.xml><?xml version="1.0" encoding="utf-8"?>
<ds:datastoreItem xmlns:ds="http://schemas.openxmlformats.org/officeDocument/2006/customXml" ds:itemID="{E41242E6-14E3-4109-89D8-D7FFFCCB7C42}">
  <ds:schemaRefs>
    <ds:schemaRef ds:uri="http://schemas.openxmlformats.org/officeDocument/2006/bibliography"/>
  </ds:schemaRefs>
</ds:datastoreItem>
</file>

<file path=customXml/itemProps20.xml><?xml version="1.0" encoding="utf-8"?>
<ds:datastoreItem xmlns:ds="http://schemas.openxmlformats.org/officeDocument/2006/customXml" ds:itemID="{94ABAF5C-665C-4E2C-AC7B-9BC41ECE99BE}">
  <ds:schemaRefs>
    <ds:schemaRef ds:uri="http://schemas.openxmlformats.org/officeDocument/2006/bibliography"/>
  </ds:schemaRefs>
</ds:datastoreItem>
</file>

<file path=customXml/itemProps200.xml><?xml version="1.0" encoding="utf-8"?>
<ds:datastoreItem xmlns:ds="http://schemas.openxmlformats.org/officeDocument/2006/customXml" ds:itemID="{8E2D51A9-3097-4C57-B79D-92EBEAD93F8D}">
  <ds:schemaRefs>
    <ds:schemaRef ds:uri="http://schemas.openxmlformats.org/officeDocument/2006/bibliography"/>
  </ds:schemaRefs>
</ds:datastoreItem>
</file>

<file path=customXml/itemProps201.xml><?xml version="1.0" encoding="utf-8"?>
<ds:datastoreItem xmlns:ds="http://schemas.openxmlformats.org/officeDocument/2006/customXml" ds:itemID="{7582744A-B3F7-4BC9-B0F0-AA3399974449}">
  <ds:schemaRefs>
    <ds:schemaRef ds:uri="http://schemas.openxmlformats.org/officeDocument/2006/bibliography"/>
  </ds:schemaRefs>
</ds:datastoreItem>
</file>

<file path=customXml/itemProps202.xml><?xml version="1.0" encoding="utf-8"?>
<ds:datastoreItem xmlns:ds="http://schemas.openxmlformats.org/officeDocument/2006/customXml" ds:itemID="{A6B5A3E8-F014-4FF6-A9BF-3CFB07F112EF}">
  <ds:schemaRefs>
    <ds:schemaRef ds:uri="http://schemas.openxmlformats.org/officeDocument/2006/bibliography"/>
  </ds:schemaRefs>
</ds:datastoreItem>
</file>

<file path=customXml/itemProps203.xml><?xml version="1.0" encoding="utf-8"?>
<ds:datastoreItem xmlns:ds="http://schemas.openxmlformats.org/officeDocument/2006/customXml" ds:itemID="{02968A59-1CDD-434E-A72B-C99EF41140CF}">
  <ds:schemaRefs>
    <ds:schemaRef ds:uri="http://schemas.openxmlformats.org/officeDocument/2006/bibliography"/>
  </ds:schemaRefs>
</ds:datastoreItem>
</file>

<file path=customXml/itemProps204.xml><?xml version="1.0" encoding="utf-8"?>
<ds:datastoreItem xmlns:ds="http://schemas.openxmlformats.org/officeDocument/2006/customXml" ds:itemID="{C30836CF-A0F9-4F24-93D4-F6E7C8153FDE}">
  <ds:schemaRefs>
    <ds:schemaRef ds:uri="http://schemas.openxmlformats.org/officeDocument/2006/bibliography"/>
  </ds:schemaRefs>
</ds:datastoreItem>
</file>

<file path=customXml/itemProps205.xml><?xml version="1.0" encoding="utf-8"?>
<ds:datastoreItem xmlns:ds="http://schemas.openxmlformats.org/officeDocument/2006/customXml" ds:itemID="{9330C85B-0833-4C4C-8242-CDA3A85E4DE1}">
  <ds:schemaRefs>
    <ds:schemaRef ds:uri="http://schemas.openxmlformats.org/officeDocument/2006/bibliography"/>
  </ds:schemaRefs>
</ds:datastoreItem>
</file>

<file path=customXml/itemProps206.xml><?xml version="1.0" encoding="utf-8"?>
<ds:datastoreItem xmlns:ds="http://schemas.openxmlformats.org/officeDocument/2006/customXml" ds:itemID="{2D76ED9A-5EB5-4207-89C6-19BE945EAE6A}">
  <ds:schemaRefs>
    <ds:schemaRef ds:uri="http://schemas.openxmlformats.org/officeDocument/2006/bibliography"/>
  </ds:schemaRefs>
</ds:datastoreItem>
</file>

<file path=customXml/itemProps207.xml><?xml version="1.0" encoding="utf-8"?>
<ds:datastoreItem xmlns:ds="http://schemas.openxmlformats.org/officeDocument/2006/customXml" ds:itemID="{199B6880-9062-42A0-B088-89335A6AD3A6}">
  <ds:schemaRefs>
    <ds:schemaRef ds:uri="http://schemas.openxmlformats.org/officeDocument/2006/bibliography"/>
  </ds:schemaRefs>
</ds:datastoreItem>
</file>

<file path=customXml/itemProps208.xml><?xml version="1.0" encoding="utf-8"?>
<ds:datastoreItem xmlns:ds="http://schemas.openxmlformats.org/officeDocument/2006/customXml" ds:itemID="{E169F326-0367-4F56-BDF7-9B9DF05CB985}">
  <ds:schemaRefs>
    <ds:schemaRef ds:uri="http://schemas.openxmlformats.org/officeDocument/2006/bibliography"/>
  </ds:schemaRefs>
</ds:datastoreItem>
</file>

<file path=customXml/itemProps209.xml><?xml version="1.0" encoding="utf-8"?>
<ds:datastoreItem xmlns:ds="http://schemas.openxmlformats.org/officeDocument/2006/customXml" ds:itemID="{36FFE887-8B31-4E38-AE15-CE5E954C4D0A}">
  <ds:schemaRefs>
    <ds:schemaRef ds:uri="http://schemas.openxmlformats.org/officeDocument/2006/bibliography"/>
  </ds:schemaRefs>
</ds:datastoreItem>
</file>

<file path=customXml/itemProps21.xml><?xml version="1.0" encoding="utf-8"?>
<ds:datastoreItem xmlns:ds="http://schemas.openxmlformats.org/officeDocument/2006/customXml" ds:itemID="{AF139034-9DCC-4BDE-BC60-B588C77EA275}">
  <ds:schemaRefs>
    <ds:schemaRef ds:uri="http://schemas.openxmlformats.org/officeDocument/2006/bibliography"/>
  </ds:schemaRefs>
</ds:datastoreItem>
</file>

<file path=customXml/itemProps210.xml><?xml version="1.0" encoding="utf-8"?>
<ds:datastoreItem xmlns:ds="http://schemas.openxmlformats.org/officeDocument/2006/customXml" ds:itemID="{579A6D7B-594E-4B56-8ABA-921ADCA2F38D}">
  <ds:schemaRefs>
    <ds:schemaRef ds:uri="http://schemas.openxmlformats.org/officeDocument/2006/bibliography"/>
  </ds:schemaRefs>
</ds:datastoreItem>
</file>

<file path=customXml/itemProps211.xml><?xml version="1.0" encoding="utf-8"?>
<ds:datastoreItem xmlns:ds="http://schemas.openxmlformats.org/officeDocument/2006/customXml" ds:itemID="{2047D5E8-F2E6-443A-A344-3AEC9A7C3D50}">
  <ds:schemaRefs>
    <ds:schemaRef ds:uri="http://schemas.openxmlformats.org/officeDocument/2006/bibliography"/>
  </ds:schemaRefs>
</ds:datastoreItem>
</file>

<file path=customXml/itemProps212.xml><?xml version="1.0" encoding="utf-8"?>
<ds:datastoreItem xmlns:ds="http://schemas.openxmlformats.org/officeDocument/2006/customXml" ds:itemID="{023BF0F5-9AFF-43B3-99C4-0C012A5D3C20}">
  <ds:schemaRefs>
    <ds:schemaRef ds:uri="http://schemas.openxmlformats.org/officeDocument/2006/bibliography"/>
  </ds:schemaRefs>
</ds:datastoreItem>
</file>

<file path=customXml/itemProps213.xml><?xml version="1.0" encoding="utf-8"?>
<ds:datastoreItem xmlns:ds="http://schemas.openxmlformats.org/officeDocument/2006/customXml" ds:itemID="{296DDAFF-A66E-4868-8CFC-C13F77E4BC57}">
  <ds:schemaRefs>
    <ds:schemaRef ds:uri="http://schemas.openxmlformats.org/officeDocument/2006/bibliography"/>
  </ds:schemaRefs>
</ds:datastoreItem>
</file>

<file path=customXml/itemProps214.xml><?xml version="1.0" encoding="utf-8"?>
<ds:datastoreItem xmlns:ds="http://schemas.openxmlformats.org/officeDocument/2006/customXml" ds:itemID="{9DD458F9-CE66-43A8-BB0E-2CA5D13F9889}">
  <ds:schemaRefs>
    <ds:schemaRef ds:uri="http://schemas.openxmlformats.org/officeDocument/2006/bibliography"/>
  </ds:schemaRefs>
</ds:datastoreItem>
</file>

<file path=customXml/itemProps215.xml><?xml version="1.0" encoding="utf-8"?>
<ds:datastoreItem xmlns:ds="http://schemas.openxmlformats.org/officeDocument/2006/customXml" ds:itemID="{B47DFDBB-64FE-4329-9DF0-A4DA8FCD5B74}">
  <ds:schemaRefs>
    <ds:schemaRef ds:uri="http://schemas.openxmlformats.org/officeDocument/2006/bibliography"/>
  </ds:schemaRefs>
</ds:datastoreItem>
</file>

<file path=customXml/itemProps216.xml><?xml version="1.0" encoding="utf-8"?>
<ds:datastoreItem xmlns:ds="http://schemas.openxmlformats.org/officeDocument/2006/customXml" ds:itemID="{6704D73D-0999-4A54-B7E8-6964BCD52C17}">
  <ds:schemaRefs>
    <ds:schemaRef ds:uri="http://schemas.openxmlformats.org/officeDocument/2006/bibliography"/>
  </ds:schemaRefs>
</ds:datastoreItem>
</file>

<file path=customXml/itemProps217.xml><?xml version="1.0" encoding="utf-8"?>
<ds:datastoreItem xmlns:ds="http://schemas.openxmlformats.org/officeDocument/2006/customXml" ds:itemID="{47AFF89A-89A1-42F6-9B52-A3041D9044F1}">
  <ds:schemaRefs>
    <ds:schemaRef ds:uri="http://schemas.openxmlformats.org/officeDocument/2006/bibliography"/>
  </ds:schemaRefs>
</ds:datastoreItem>
</file>

<file path=customXml/itemProps218.xml><?xml version="1.0" encoding="utf-8"?>
<ds:datastoreItem xmlns:ds="http://schemas.openxmlformats.org/officeDocument/2006/customXml" ds:itemID="{34177AD4-C791-4DC0-A60E-2D076DE60ACB}">
  <ds:schemaRefs>
    <ds:schemaRef ds:uri="http://schemas.openxmlformats.org/officeDocument/2006/bibliography"/>
  </ds:schemaRefs>
</ds:datastoreItem>
</file>

<file path=customXml/itemProps219.xml><?xml version="1.0" encoding="utf-8"?>
<ds:datastoreItem xmlns:ds="http://schemas.openxmlformats.org/officeDocument/2006/customXml" ds:itemID="{8BC295B2-9E10-469A-99F2-C1B0FA0132EC}">
  <ds:schemaRefs>
    <ds:schemaRef ds:uri="http://schemas.openxmlformats.org/officeDocument/2006/bibliography"/>
  </ds:schemaRefs>
</ds:datastoreItem>
</file>

<file path=customXml/itemProps22.xml><?xml version="1.0" encoding="utf-8"?>
<ds:datastoreItem xmlns:ds="http://schemas.openxmlformats.org/officeDocument/2006/customXml" ds:itemID="{79DA1518-AF54-479E-B928-63510EAF132E}">
  <ds:schemaRefs>
    <ds:schemaRef ds:uri="http://schemas.openxmlformats.org/officeDocument/2006/bibliography"/>
  </ds:schemaRefs>
</ds:datastoreItem>
</file>

<file path=customXml/itemProps220.xml><?xml version="1.0" encoding="utf-8"?>
<ds:datastoreItem xmlns:ds="http://schemas.openxmlformats.org/officeDocument/2006/customXml" ds:itemID="{6074AC46-4480-4575-B674-2AE71460BC1D}">
  <ds:schemaRefs>
    <ds:schemaRef ds:uri="http://schemas.openxmlformats.org/officeDocument/2006/bibliography"/>
  </ds:schemaRefs>
</ds:datastoreItem>
</file>

<file path=customXml/itemProps221.xml><?xml version="1.0" encoding="utf-8"?>
<ds:datastoreItem xmlns:ds="http://schemas.openxmlformats.org/officeDocument/2006/customXml" ds:itemID="{3DD438BB-23F8-4436-B12E-7357AFA84DFF}">
  <ds:schemaRefs>
    <ds:schemaRef ds:uri="http://schemas.openxmlformats.org/officeDocument/2006/bibliography"/>
  </ds:schemaRefs>
</ds:datastoreItem>
</file>

<file path=customXml/itemProps222.xml><?xml version="1.0" encoding="utf-8"?>
<ds:datastoreItem xmlns:ds="http://schemas.openxmlformats.org/officeDocument/2006/customXml" ds:itemID="{4EB0E137-E8AE-4803-A629-36A0065DD01E}">
  <ds:schemaRefs>
    <ds:schemaRef ds:uri="http://schemas.openxmlformats.org/officeDocument/2006/bibliography"/>
  </ds:schemaRefs>
</ds:datastoreItem>
</file>

<file path=customXml/itemProps223.xml><?xml version="1.0" encoding="utf-8"?>
<ds:datastoreItem xmlns:ds="http://schemas.openxmlformats.org/officeDocument/2006/customXml" ds:itemID="{593F452D-087B-41B3-9CF9-84A361006EDC}">
  <ds:schemaRefs>
    <ds:schemaRef ds:uri="http://schemas.openxmlformats.org/officeDocument/2006/bibliography"/>
  </ds:schemaRefs>
</ds:datastoreItem>
</file>

<file path=customXml/itemProps224.xml><?xml version="1.0" encoding="utf-8"?>
<ds:datastoreItem xmlns:ds="http://schemas.openxmlformats.org/officeDocument/2006/customXml" ds:itemID="{011FFCC0-4408-4BE4-9207-2123BBBA0991}">
  <ds:schemaRefs>
    <ds:schemaRef ds:uri="http://schemas.openxmlformats.org/officeDocument/2006/bibliography"/>
  </ds:schemaRefs>
</ds:datastoreItem>
</file>

<file path=customXml/itemProps23.xml><?xml version="1.0" encoding="utf-8"?>
<ds:datastoreItem xmlns:ds="http://schemas.openxmlformats.org/officeDocument/2006/customXml" ds:itemID="{38EC91D5-C430-4768-86E2-461625DDCA44}">
  <ds:schemaRefs>
    <ds:schemaRef ds:uri="http://schemas.openxmlformats.org/officeDocument/2006/bibliography"/>
  </ds:schemaRefs>
</ds:datastoreItem>
</file>

<file path=customXml/itemProps24.xml><?xml version="1.0" encoding="utf-8"?>
<ds:datastoreItem xmlns:ds="http://schemas.openxmlformats.org/officeDocument/2006/customXml" ds:itemID="{C313F138-3623-4FEE-9777-9D409327DEF9}">
  <ds:schemaRefs>
    <ds:schemaRef ds:uri="http://schemas.openxmlformats.org/officeDocument/2006/bibliography"/>
  </ds:schemaRefs>
</ds:datastoreItem>
</file>

<file path=customXml/itemProps25.xml><?xml version="1.0" encoding="utf-8"?>
<ds:datastoreItem xmlns:ds="http://schemas.openxmlformats.org/officeDocument/2006/customXml" ds:itemID="{243AEC75-C187-4C7B-B701-6E002A681A90}">
  <ds:schemaRefs>
    <ds:schemaRef ds:uri="http://schemas.openxmlformats.org/officeDocument/2006/bibliography"/>
  </ds:schemaRefs>
</ds:datastoreItem>
</file>

<file path=customXml/itemProps26.xml><?xml version="1.0" encoding="utf-8"?>
<ds:datastoreItem xmlns:ds="http://schemas.openxmlformats.org/officeDocument/2006/customXml" ds:itemID="{EBCE77C5-B569-466C-9C9C-F18EE8662269}">
  <ds:schemaRefs>
    <ds:schemaRef ds:uri="http://schemas.openxmlformats.org/officeDocument/2006/bibliography"/>
  </ds:schemaRefs>
</ds:datastoreItem>
</file>

<file path=customXml/itemProps27.xml><?xml version="1.0" encoding="utf-8"?>
<ds:datastoreItem xmlns:ds="http://schemas.openxmlformats.org/officeDocument/2006/customXml" ds:itemID="{F773E64E-CE38-4E18-8B19-331204265207}">
  <ds:schemaRefs>
    <ds:schemaRef ds:uri="http://schemas.openxmlformats.org/officeDocument/2006/bibliography"/>
  </ds:schemaRefs>
</ds:datastoreItem>
</file>

<file path=customXml/itemProps28.xml><?xml version="1.0" encoding="utf-8"?>
<ds:datastoreItem xmlns:ds="http://schemas.openxmlformats.org/officeDocument/2006/customXml" ds:itemID="{8541BD97-8132-429C-8780-719D81209B3E}">
  <ds:schemaRefs>
    <ds:schemaRef ds:uri="http://schemas.openxmlformats.org/officeDocument/2006/bibliography"/>
  </ds:schemaRefs>
</ds:datastoreItem>
</file>

<file path=customXml/itemProps29.xml><?xml version="1.0" encoding="utf-8"?>
<ds:datastoreItem xmlns:ds="http://schemas.openxmlformats.org/officeDocument/2006/customXml" ds:itemID="{7FA35E50-1A32-48FA-81BB-92A8B1CDFD1B}">
  <ds:schemaRefs>
    <ds:schemaRef ds:uri="http://schemas.openxmlformats.org/officeDocument/2006/bibliography"/>
  </ds:schemaRefs>
</ds:datastoreItem>
</file>

<file path=customXml/itemProps3.xml><?xml version="1.0" encoding="utf-8"?>
<ds:datastoreItem xmlns:ds="http://schemas.openxmlformats.org/officeDocument/2006/customXml" ds:itemID="{B1E5FCC1-9B08-484F-BD72-E4B0DAF6EB58}">
  <ds:schemaRefs>
    <ds:schemaRef ds:uri="http://schemas.openxmlformats.org/officeDocument/2006/bibliography"/>
  </ds:schemaRefs>
</ds:datastoreItem>
</file>

<file path=customXml/itemProps30.xml><?xml version="1.0" encoding="utf-8"?>
<ds:datastoreItem xmlns:ds="http://schemas.openxmlformats.org/officeDocument/2006/customXml" ds:itemID="{2DC57BE3-5777-4DDF-96D6-8C4D145BB371}">
  <ds:schemaRefs>
    <ds:schemaRef ds:uri="http://schemas.openxmlformats.org/officeDocument/2006/bibliography"/>
  </ds:schemaRefs>
</ds:datastoreItem>
</file>

<file path=customXml/itemProps31.xml><?xml version="1.0" encoding="utf-8"?>
<ds:datastoreItem xmlns:ds="http://schemas.openxmlformats.org/officeDocument/2006/customXml" ds:itemID="{8205B153-452A-451B-A1A9-0B5AE095BDF0}">
  <ds:schemaRefs>
    <ds:schemaRef ds:uri="http://schemas.openxmlformats.org/officeDocument/2006/bibliography"/>
  </ds:schemaRefs>
</ds:datastoreItem>
</file>

<file path=customXml/itemProps32.xml><?xml version="1.0" encoding="utf-8"?>
<ds:datastoreItem xmlns:ds="http://schemas.openxmlformats.org/officeDocument/2006/customXml" ds:itemID="{D962ECDF-9C85-4D92-95B4-F31EFB5FF395}">
  <ds:schemaRefs>
    <ds:schemaRef ds:uri="http://schemas.openxmlformats.org/officeDocument/2006/bibliography"/>
  </ds:schemaRefs>
</ds:datastoreItem>
</file>

<file path=customXml/itemProps33.xml><?xml version="1.0" encoding="utf-8"?>
<ds:datastoreItem xmlns:ds="http://schemas.openxmlformats.org/officeDocument/2006/customXml" ds:itemID="{BC5BBA72-47E0-452D-AEAC-D758D8BD32D3}">
  <ds:schemaRefs>
    <ds:schemaRef ds:uri="http://schemas.openxmlformats.org/officeDocument/2006/bibliography"/>
  </ds:schemaRefs>
</ds:datastoreItem>
</file>

<file path=customXml/itemProps34.xml><?xml version="1.0" encoding="utf-8"?>
<ds:datastoreItem xmlns:ds="http://schemas.openxmlformats.org/officeDocument/2006/customXml" ds:itemID="{E5A2D904-9579-447C-A4DB-C3E1851E949F}">
  <ds:schemaRefs>
    <ds:schemaRef ds:uri="http://schemas.openxmlformats.org/officeDocument/2006/bibliography"/>
  </ds:schemaRefs>
</ds:datastoreItem>
</file>

<file path=customXml/itemProps35.xml><?xml version="1.0" encoding="utf-8"?>
<ds:datastoreItem xmlns:ds="http://schemas.openxmlformats.org/officeDocument/2006/customXml" ds:itemID="{8CF7C72F-B552-4180-8095-6AB722D80B17}">
  <ds:schemaRefs>
    <ds:schemaRef ds:uri="http://schemas.openxmlformats.org/officeDocument/2006/bibliography"/>
  </ds:schemaRefs>
</ds:datastoreItem>
</file>

<file path=customXml/itemProps36.xml><?xml version="1.0" encoding="utf-8"?>
<ds:datastoreItem xmlns:ds="http://schemas.openxmlformats.org/officeDocument/2006/customXml" ds:itemID="{EA216969-045C-4C37-AC43-8F4B822D79DB}">
  <ds:schemaRefs>
    <ds:schemaRef ds:uri="http://schemas.openxmlformats.org/officeDocument/2006/bibliography"/>
  </ds:schemaRefs>
</ds:datastoreItem>
</file>

<file path=customXml/itemProps37.xml><?xml version="1.0" encoding="utf-8"?>
<ds:datastoreItem xmlns:ds="http://schemas.openxmlformats.org/officeDocument/2006/customXml" ds:itemID="{42A1469F-0FF7-4F19-8DC8-F69B71DA5919}">
  <ds:schemaRefs>
    <ds:schemaRef ds:uri="http://schemas.openxmlformats.org/officeDocument/2006/bibliography"/>
  </ds:schemaRefs>
</ds:datastoreItem>
</file>

<file path=customXml/itemProps38.xml><?xml version="1.0" encoding="utf-8"?>
<ds:datastoreItem xmlns:ds="http://schemas.openxmlformats.org/officeDocument/2006/customXml" ds:itemID="{2E7DBE95-56A9-40CD-BCA2-34DF10FC18CA}">
  <ds:schemaRefs>
    <ds:schemaRef ds:uri="http://schemas.openxmlformats.org/officeDocument/2006/bibliography"/>
  </ds:schemaRefs>
</ds:datastoreItem>
</file>

<file path=customXml/itemProps39.xml><?xml version="1.0" encoding="utf-8"?>
<ds:datastoreItem xmlns:ds="http://schemas.openxmlformats.org/officeDocument/2006/customXml" ds:itemID="{0B2B9D45-5C82-4521-82F3-EB0C929D6849}">
  <ds:schemaRefs>
    <ds:schemaRef ds:uri="http://schemas.openxmlformats.org/officeDocument/2006/bibliography"/>
  </ds:schemaRefs>
</ds:datastoreItem>
</file>

<file path=customXml/itemProps4.xml><?xml version="1.0" encoding="utf-8"?>
<ds:datastoreItem xmlns:ds="http://schemas.openxmlformats.org/officeDocument/2006/customXml" ds:itemID="{D595B69A-1357-46CE-8A92-D6E245FEC308}">
  <ds:schemaRefs>
    <ds:schemaRef ds:uri="http://schemas.openxmlformats.org/officeDocument/2006/bibliography"/>
  </ds:schemaRefs>
</ds:datastoreItem>
</file>

<file path=customXml/itemProps40.xml><?xml version="1.0" encoding="utf-8"?>
<ds:datastoreItem xmlns:ds="http://schemas.openxmlformats.org/officeDocument/2006/customXml" ds:itemID="{D4BE644D-0B8B-4BBE-B505-ADB674D7625B}">
  <ds:schemaRefs>
    <ds:schemaRef ds:uri="http://schemas.openxmlformats.org/officeDocument/2006/bibliography"/>
  </ds:schemaRefs>
</ds:datastoreItem>
</file>

<file path=customXml/itemProps41.xml><?xml version="1.0" encoding="utf-8"?>
<ds:datastoreItem xmlns:ds="http://schemas.openxmlformats.org/officeDocument/2006/customXml" ds:itemID="{DFBF838A-4615-4698-B8AE-5C2ECFCFA54A}">
  <ds:schemaRefs>
    <ds:schemaRef ds:uri="http://schemas.openxmlformats.org/officeDocument/2006/bibliography"/>
  </ds:schemaRefs>
</ds:datastoreItem>
</file>

<file path=customXml/itemProps42.xml><?xml version="1.0" encoding="utf-8"?>
<ds:datastoreItem xmlns:ds="http://schemas.openxmlformats.org/officeDocument/2006/customXml" ds:itemID="{449D5EDC-A3BD-4072-BFBC-0FB28E6C0611}">
  <ds:schemaRefs>
    <ds:schemaRef ds:uri="http://schemas.openxmlformats.org/officeDocument/2006/bibliography"/>
  </ds:schemaRefs>
</ds:datastoreItem>
</file>

<file path=customXml/itemProps43.xml><?xml version="1.0" encoding="utf-8"?>
<ds:datastoreItem xmlns:ds="http://schemas.openxmlformats.org/officeDocument/2006/customXml" ds:itemID="{700C5549-5410-40F9-A02E-D627D7200783}">
  <ds:schemaRefs>
    <ds:schemaRef ds:uri="http://schemas.openxmlformats.org/officeDocument/2006/bibliography"/>
  </ds:schemaRefs>
</ds:datastoreItem>
</file>

<file path=customXml/itemProps44.xml><?xml version="1.0" encoding="utf-8"?>
<ds:datastoreItem xmlns:ds="http://schemas.openxmlformats.org/officeDocument/2006/customXml" ds:itemID="{A4630D63-DFFC-40D0-A7B3-6C64EDDF78CF}">
  <ds:schemaRefs>
    <ds:schemaRef ds:uri="http://schemas.openxmlformats.org/officeDocument/2006/bibliography"/>
  </ds:schemaRefs>
</ds:datastoreItem>
</file>

<file path=customXml/itemProps45.xml><?xml version="1.0" encoding="utf-8"?>
<ds:datastoreItem xmlns:ds="http://schemas.openxmlformats.org/officeDocument/2006/customXml" ds:itemID="{4C165F58-2CE8-4C48-BAD8-646575BFF5F7}">
  <ds:schemaRefs>
    <ds:schemaRef ds:uri="http://schemas.openxmlformats.org/officeDocument/2006/bibliography"/>
  </ds:schemaRefs>
</ds:datastoreItem>
</file>

<file path=customXml/itemProps46.xml><?xml version="1.0" encoding="utf-8"?>
<ds:datastoreItem xmlns:ds="http://schemas.openxmlformats.org/officeDocument/2006/customXml" ds:itemID="{2261A5BE-6208-4632-9686-07AC74C4D464}">
  <ds:schemaRefs>
    <ds:schemaRef ds:uri="http://schemas.openxmlformats.org/officeDocument/2006/bibliography"/>
  </ds:schemaRefs>
</ds:datastoreItem>
</file>

<file path=customXml/itemProps47.xml><?xml version="1.0" encoding="utf-8"?>
<ds:datastoreItem xmlns:ds="http://schemas.openxmlformats.org/officeDocument/2006/customXml" ds:itemID="{118C42CE-74BD-4B20-BA4A-845AEBDD6F8B}">
  <ds:schemaRefs>
    <ds:schemaRef ds:uri="http://schemas.openxmlformats.org/officeDocument/2006/bibliography"/>
  </ds:schemaRefs>
</ds:datastoreItem>
</file>

<file path=customXml/itemProps48.xml><?xml version="1.0" encoding="utf-8"?>
<ds:datastoreItem xmlns:ds="http://schemas.openxmlformats.org/officeDocument/2006/customXml" ds:itemID="{44C12998-7DCA-4EC6-8661-71289E7CBBDB}">
  <ds:schemaRefs>
    <ds:schemaRef ds:uri="http://schemas.openxmlformats.org/officeDocument/2006/bibliography"/>
  </ds:schemaRefs>
</ds:datastoreItem>
</file>

<file path=customXml/itemProps49.xml><?xml version="1.0" encoding="utf-8"?>
<ds:datastoreItem xmlns:ds="http://schemas.openxmlformats.org/officeDocument/2006/customXml" ds:itemID="{0638837D-C3FD-47AF-9E35-9A4D12804FA8}">
  <ds:schemaRefs>
    <ds:schemaRef ds:uri="http://schemas.openxmlformats.org/officeDocument/2006/bibliography"/>
  </ds:schemaRefs>
</ds:datastoreItem>
</file>

<file path=customXml/itemProps5.xml><?xml version="1.0" encoding="utf-8"?>
<ds:datastoreItem xmlns:ds="http://schemas.openxmlformats.org/officeDocument/2006/customXml" ds:itemID="{BCDA34A3-1339-4D44-80D3-15AEC13E66CF}">
  <ds:schemaRefs>
    <ds:schemaRef ds:uri="http://schemas.openxmlformats.org/officeDocument/2006/bibliography"/>
  </ds:schemaRefs>
</ds:datastoreItem>
</file>

<file path=customXml/itemProps50.xml><?xml version="1.0" encoding="utf-8"?>
<ds:datastoreItem xmlns:ds="http://schemas.openxmlformats.org/officeDocument/2006/customXml" ds:itemID="{F309E136-8B2A-4DC6-961C-56A16B998E85}">
  <ds:schemaRefs>
    <ds:schemaRef ds:uri="http://schemas.openxmlformats.org/officeDocument/2006/bibliography"/>
  </ds:schemaRefs>
</ds:datastoreItem>
</file>

<file path=customXml/itemProps51.xml><?xml version="1.0" encoding="utf-8"?>
<ds:datastoreItem xmlns:ds="http://schemas.openxmlformats.org/officeDocument/2006/customXml" ds:itemID="{599B6C7F-0E19-459C-AA03-FDDFFABCBCE1}">
  <ds:schemaRefs>
    <ds:schemaRef ds:uri="http://schemas.openxmlformats.org/officeDocument/2006/bibliography"/>
  </ds:schemaRefs>
</ds:datastoreItem>
</file>

<file path=customXml/itemProps52.xml><?xml version="1.0" encoding="utf-8"?>
<ds:datastoreItem xmlns:ds="http://schemas.openxmlformats.org/officeDocument/2006/customXml" ds:itemID="{CEA2BCFD-2C19-4018-96C1-2F3927D9547A}">
  <ds:schemaRefs>
    <ds:schemaRef ds:uri="http://schemas.openxmlformats.org/officeDocument/2006/bibliography"/>
  </ds:schemaRefs>
</ds:datastoreItem>
</file>

<file path=customXml/itemProps53.xml><?xml version="1.0" encoding="utf-8"?>
<ds:datastoreItem xmlns:ds="http://schemas.openxmlformats.org/officeDocument/2006/customXml" ds:itemID="{DE81425E-0C2F-42F9-884B-4D94845E9E9C}">
  <ds:schemaRefs>
    <ds:schemaRef ds:uri="http://schemas.openxmlformats.org/officeDocument/2006/bibliography"/>
  </ds:schemaRefs>
</ds:datastoreItem>
</file>

<file path=customXml/itemProps54.xml><?xml version="1.0" encoding="utf-8"?>
<ds:datastoreItem xmlns:ds="http://schemas.openxmlformats.org/officeDocument/2006/customXml" ds:itemID="{C7FBBE67-E246-46BD-B63A-57170B12AC92}">
  <ds:schemaRefs>
    <ds:schemaRef ds:uri="http://schemas.openxmlformats.org/officeDocument/2006/bibliography"/>
  </ds:schemaRefs>
</ds:datastoreItem>
</file>

<file path=customXml/itemProps55.xml><?xml version="1.0" encoding="utf-8"?>
<ds:datastoreItem xmlns:ds="http://schemas.openxmlformats.org/officeDocument/2006/customXml" ds:itemID="{1892C650-E27B-422B-9C9C-2588A5D01D37}">
  <ds:schemaRefs>
    <ds:schemaRef ds:uri="http://schemas.openxmlformats.org/officeDocument/2006/bibliography"/>
  </ds:schemaRefs>
</ds:datastoreItem>
</file>

<file path=customXml/itemProps56.xml><?xml version="1.0" encoding="utf-8"?>
<ds:datastoreItem xmlns:ds="http://schemas.openxmlformats.org/officeDocument/2006/customXml" ds:itemID="{22B8B4F8-5711-4037-8F53-DB79A2442630}">
  <ds:schemaRefs>
    <ds:schemaRef ds:uri="http://schemas.openxmlformats.org/officeDocument/2006/bibliography"/>
  </ds:schemaRefs>
</ds:datastoreItem>
</file>

<file path=customXml/itemProps57.xml><?xml version="1.0" encoding="utf-8"?>
<ds:datastoreItem xmlns:ds="http://schemas.openxmlformats.org/officeDocument/2006/customXml" ds:itemID="{32683553-81E8-4DE2-891F-ACD48B798EBB}">
  <ds:schemaRefs>
    <ds:schemaRef ds:uri="http://schemas.openxmlformats.org/officeDocument/2006/bibliography"/>
  </ds:schemaRefs>
</ds:datastoreItem>
</file>

<file path=customXml/itemProps58.xml><?xml version="1.0" encoding="utf-8"?>
<ds:datastoreItem xmlns:ds="http://schemas.openxmlformats.org/officeDocument/2006/customXml" ds:itemID="{743DE989-F05D-4F94-989D-A6B08C4FF1F3}">
  <ds:schemaRefs>
    <ds:schemaRef ds:uri="http://schemas.openxmlformats.org/officeDocument/2006/bibliography"/>
  </ds:schemaRefs>
</ds:datastoreItem>
</file>

<file path=customXml/itemProps59.xml><?xml version="1.0" encoding="utf-8"?>
<ds:datastoreItem xmlns:ds="http://schemas.openxmlformats.org/officeDocument/2006/customXml" ds:itemID="{BDCF3339-0A72-4F54-8E9B-7B1C8DF17F45}">
  <ds:schemaRefs>
    <ds:schemaRef ds:uri="http://schemas.openxmlformats.org/officeDocument/2006/bibliography"/>
  </ds:schemaRefs>
</ds:datastoreItem>
</file>

<file path=customXml/itemProps6.xml><?xml version="1.0" encoding="utf-8"?>
<ds:datastoreItem xmlns:ds="http://schemas.openxmlformats.org/officeDocument/2006/customXml" ds:itemID="{C8C9A26D-7EE6-4D3C-9421-779461B62222}">
  <ds:schemaRefs>
    <ds:schemaRef ds:uri="http://schemas.openxmlformats.org/officeDocument/2006/bibliography"/>
  </ds:schemaRefs>
</ds:datastoreItem>
</file>

<file path=customXml/itemProps60.xml><?xml version="1.0" encoding="utf-8"?>
<ds:datastoreItem xmlns:ds="http://schemas.openxmlformats.org/officeDocument/2006/customXml" ds:itemID="{B894D605-1FE3-4742-8D19-92A93AD33C47}">
  <ds:schemaRefs>
    <ds:schemaRef ds:uri="http://schemas.openxmlformats.org/officeDocument/2006/bibliography"/>
  </ds:schemaRefs>
</ds:datastoreItem>
</file>

<file path=customXml/itemProps61.xml><?xml version="1.0" encoding="utf-8"?>
<ds:datastoreItem xmlns:ds="http://schemas.openxmlformats.org/officeDocument/2006/customXml" ds:itemID="{FA70F7C2-2ECC-47B2-87C3-0189F66C223C}">
  <ds:schemaRefs>
    <ds:schemaRef ds:uri="http://schemas.openxmlformats.org/officeDocument/2006/bibliography"/>
  </ds:schemaRefs>
</ds:datastoreItem>
</file>

<file path=customXml/itemProps62.xml><?xml version="1.0" encoding="utf-8"?>
<ds:datastoreItem xmlns:ds="http://schemas.openxmlformats.org/officeDocument/2006/customXml" ds:itemID="{243E8F22-9E97-45E7-A5BA-2B1D95FAACCF}">
  <ds:schemaRefs>
    <ds:schemaRef ds:uri="http://schemas.openxmlformats.org/officeDocument/2006/bibliography"/>
  </ds:schemaRefs>
</ds:datastoreItem>
</file>

<file path=customXml/itemProps63.xml><?xml version="1.0" encoding="utf-8"?>
<ds:datastoreItem xmlns:ds="http://schemas.openxmlformats.org/officeDocument/2006/customXml" ds:itemID="{80F098E4-C87A-4D89-B7C1-62136FFD09A0}">
  <ds:schemaRefs>
    <ds:schemaRef ds:uri="http://schemas.openxmlformats.org/officeDocument/2006/bibliography"/>
  </ds:schemaRefs>
</ds:datastoreItem>
</file>

<file path=customXml/itemProps64.xml><?xml version="1.0" encoding="utf-8"?>
<ds:datastoreItem xmlns:ds="http://schemas.openxmlformats.org/officeDocument/2006/customXml" ds:itemID="{CFE031A5-0FDE-4539-B3CA-0C5A7602F9B9}">
  <ds:schemaRefs>
    <ds:schemaRef ds:uri="http://schemas.openxmlformats.org/officeDocument/2006/bibliography"/>
  </ds:schemaRefs>
</ds:datastoreItem>
</file>

<file path=customXml/itemProps65.xml><?xml version="1.0" encoding="utf-8"?>
<ds:datastoreItem xmlns:ds="http://schemas.openxmlformats.org/officeDocument/2006/customXml" ds:itemID="{1B2DDE24-A7A4-44B0-BE34-448411E47393}">
  <ds:schemaRefs>
    <ds:schemaRef ds:uri="http://schemas.openxmlformats.org/officeDocument/2006/bibliography"/>
  </ds:schemaRefs>
</ds:datastoreItem>
</file>

<file path=customXml/itemProps66.xml><?xml version="1.0" encoding="utf-8"?>
<ds:datastoreItem xmlns:ds="http://schemas.openxmlformats.org/officeDocument/2006/customXml" ds:itemID="{88BFE282-5635-4374-84FE-768E0A9D1A66}">
  <ds:schemaRefs>
    <ds:schemaRef ds:uri="http://schemas.openxmlformats.org/officeDocument/2006/bibliography"/>
  </ds:schemaRefs>
</ds:datastoreItem>
</file>

<file path=customXml/itemProps67.xml><?xml version="1.0" encoding="utf-8"?>
<ds:datastoreItem xmlns:ds="http://schemas.openxmlformats.org/officeDocument/2006/customXml" ds:itemID="{37C891FB-C0E8-4D1D-8E8B-BC5E15CD50C3}">
  <ds:schemaRefs>
    <ds:schemaRef ds:uri="http://schemas.openxmlformats.org/officeDocument/2006/bibliography"/>
  </ds:schemaRefs>
</ds:datastoreItem>
</file>

<file path=customXml/itemProps68.xml><?xml version="1.0" encoding="utf-8"?>
<ds:datastoreItem xmlns:ds="http://schemas.openxmlformats.org/officeDocument/2006/customXml" ds:itemID="{607C387B-2777-4765-BAEA-03B19057727C}">
  <ds:schemaRefs>
    <ds:schemaRef ds:uri="http://schemas.openxmlformats.org/officeDocument/2006/bibliography"/>
  </ds:schemaRefs>
</ds:datastoreItem>
</file>

<file path=customXml/itemProps69.xml><?xml version="1.0" encoding="utf-8"?>
<ds:datastoreItem xmlns:ds="http://schemas.openxmlformats.org/officeDocument/2006/customXml" ds:itemID="{CB27DB07-3374-4C71-8C87-A0D1389C33AD}">
  <ds:schemaRefs>
    <ds:schemaRef ds:uri="http://schemas.openxmlformats.org/officeDocument/2006/bibliography"/>
  </ds:schemaRefs>
</ds:datastoreItem>
</file>

<file path=customXml/itemProps7.xml><?xml version="1.0" encoding="utf-8"?>
<ds:datastoreItem xmlns:ds="http://schemas.openxmlformats.org/officeDocument/2006/customXml" ds:itemID="{46D5E105-0D5A-4EE1-8452-DA6129CC9374}">
  <ds:schemaRefs>
    <ds:schemaRef ds:uri="http://schemas.openxmlformats.org/officeDocument/2006/bibliography"/>
  </ds:schemaRefs>
</ds:datastoreItem>
</file>

<file path=customXml/itemProps70.xml><?xml version="1.0" encoding="utf-8"?>
<ds:datastoreItem xmlns:ds="http://schemas.openxmlformats.org/officeDocument/2006/customXml" ds:itemID="{516C4A7D-91FE-4E32-80BD-D12E5A9DE350}">
  <ds:schemaRefs>
    <ds:schemaRef ds:uri="http://schemas.openxmlformats.org/officeDocument/2006/bibliography"/>
  </ds:schemaRefs>
</ds:datastoreItem>
</file>

<file path=customXml/itemProps71.xml><?xml version="1.0" encoding="utf-8"?>
<ds:datastoreItem xmlns:ds="http://schemas.openxmlformats.org/officeDocument/2006/customXml" ds:itemID="{D9570272-9208-403B-8AB5-7DBB64BB518A}">
  <ds:schemaRefs>
    <ds:schemaRef ds:uri="http://schemas.openxmlformats.org/officeDocument/2006/bibliography"/>
  </ds:schemaRefs>
</ds:datastoreItem>
</file>

<file path=customXml/itemProps72.xml><?xml version="1.0" encoding="utf-8"?>
<ds:datastoreItem xmlns:ds="http://schemas.openxmlformats.org/officeDocument/2006/customXml" ds:itemID="{EFB43D1D-5B45-4540-91D1-B411FB71998B}">
  <ds:schemaRefs>
    <ds:schemaRef ds:uri="http://schemas.openxmlformats.org/officeDocument/2006/bibliography"/>
  </ds:schemaRefs>
</ds:datastoreItem>
</file>

<file path=customXml/itemProps73.xml><?xml version="1.0" encoding="utf-8"?>
<ds:datastoreItem xmlns:ds="http://schemas.openxmlformats.org/officeDocument/2006/customXml" ds:itemID="{9A7DF238-5CB5-4795-85EF-A43CF4E7127F}">
  <ds:schemaRefs>
    <ds:schemaRef ds:uri="http://schemas.openxmlformats.org/officeDocument/2006/bibliography"/>
  </ds:schemaRefs>
</ds:datastoreItem>
</file>

<file path=customXml/itemProps74.xml><?xml version="1.0" encoding="utf-8"?>
<ds:datastoreItem xmlns:ds="http://schemas.openxmlformats.org/officeDocument/2006/customXml" ds:itemID="{E7394909-5CB6-495B-BD6E-9D0B3E1A6DB9}">
  <ds:schemaRefs>
    <ds:schemaRef ds:uri="http://schemas.openxmlformats.org/officeDocument/2006/bibliography"/>
  </ds:schemaRefs>
</ds:datastoreItem>
</file>

<file path=customXml/itemProps75.xml><?xml version="1.0" encoding="utf-8"?>
<ds:datastoreItem xmlns:ds="http://schemas.openxmlformats.org/officeDocument/2006/customXml" ds:itemID="{D188CB98-8F8C-4689-8CFA-68DC8C2DD78A}">
  <ds:schemaRefs>
    <ds:schemaRef ds:uri="http://schemas.openxmlformats.org/officeDocument/2006/bibliography"/>
  </ds:schemaRefs>
</ds:datastoreItem>
</file>

<file path=customXml/itemProps76.xml><?xml version="1.0" encoding="utf-8"?>
<ds:datastoreItem xmlns:ds="http://schemas.openxmlformats.org/officeDocument/2006/customXml" ds:itemID="{16CF22B4-E715-4069-9991-AB7E3EA62394}">
  <ds:schemaRefs>
    <ds:schemaRef ds:uri="http://schemas.openxmlformats.org/officeDocument/2006/bibliography"/>
  </ds:schemaRefs>
</ds:datastoreItem>
</file>

<file path=customXml/itemProps77.xml><?xml version="1.0" encoding="utf-8"?>
<ds:datastoreItem xmlns:ds="http://schemas.openxmlformats.org/officeDocument/2006/customXml" ds:itemID="{33D994F7-97C7-4E63-8DC7-7C873EEC08B7}">
  <ds:schemaRefs>
    <ds:schemaRef ds:uri="http://schemas.openxmlformats.org/officeDocument/2006/bibliography"/>
  </ds:schemaRefs>
</ds:datastoreItem>
</file>

<file path=customXml/itemProps78.xml><?xml version="1.0" encoding="utf-8"?>
<ds:datastoreItem xmlns:ds="http://schemas.openxmlformats.org/officeDocument/2006/customXml" ds:itemID="{6E6AC791-0C72-4763-9CA6-2A285161A638}">
  <ds:schemaRefs>
    <ds:schemaRef ds:uri="http://schemas.openxmlformats.org/officeDocument/2006/bibliography"/>
  </ds:schemaRefs>
</ds:datastoreItem>
</file>

<file path=customXml/itemProps79.xml><?xml version="1.0" encoding="utf-8"?>
<ds:datastoreItem xmlns:ds="http://schemas.openxmlformats.org/officeDocument/2006/customXml" ds:itemID="{B7B84ED8-7234-40C3-BD8C-3666BAC65FC4}">
  <ds:schemaRefs>
    <ds:schemaRef ds:uri="http://schemas.openxmlformats.org/officeDocument/2006/bibliography"/>
  </ds:schemaRefs>
</ds:datastoreItem>
</file>

<file path=customXml/itemProps8.xml><?xml version="1.0" encoding="utf-8"?>
<ds:datastoreItem xmlns:ds="http://schemas.openxmlformats.org/officeDocument/2006/customXml" ds:itemID="{EC15C455-F775-445C-BBC4-FC175EC35923}">
  <ds:schemaRefs>
    <ds:schemaRef ds:uri="http://schemas.openxmlformats.org/officeDocument/2006/bibliography"/>
  </ds:schemaRefs>
</ds:datastoreItem>
</file>

<file path=customXml/itemProps80.xml><?xml version="1.0" encoding="utf-8"?>
<ds:datastoreItem xmlns:ds="http://schemas.openxmlformats.org/officeDocument/2006/customXml" ds:itemID="{8F5331C4-89D8-47A9-A8C1-735F074CAF20}">
  <ds:schemaRefs>
    <ds:schemaRef ds:uri="http://schemas.openxmlformats.org/officeDocument/2006/bibliography"/>
  </ds:schemaRefs>
</ds:datastoreItem>
</file>

<file path=customXml/itemProps81.xml><?xml version="1.0" encoding="utf-8"?>
<ds:datastoreItem xmlns:ds="http://schemas.openxmlformats.org/officeDocument/2006/customXml" ds:itemID="{1650B1C2-1D87-4C11-853D-AF1AEF0FC7C2}">
  <ds:schemaRefs>
    <ds:schemaRef ds:uri="http://schemas.openxmlformats.org/officeDocument/2006/bibliography"/>
  </ds:schemaRefs>
</ds:datastoreItem>
</file>

<file path=customXml/itemProps82.xml><?xml version="1.0" encoding="utf-8"?>
<ds:datastoreItem xmlns:ds="http://schemas.openxmlformats.org/officeDocument/2006/customXml" ds:itemID="{15C35926-2862-4E55-AC4B-BB3D91B0F0B6}">
  <ds:schemaRefs>
    <ds:schemaRef ds:uri="http://schemas.openxmlformats.org/officeDocument/2006/bibliography"/>
  </ds:schemaRefs>
</ds:datastoreItem>
</file>

<file path=customXml/itemProps83.xml><?xml version="1.0" encoding="utf-8"?>
<ds:datastoreItem xmlns:ds="http://schemas.openxmlformats.org/officeDocument/2006/customXml" ds:itemID="{CE36A019-3290-4FE8-B972-86BAD9826AA1}">
  <ds:schemaRefs>
    <ds:schemaRef ds:uri="http://schemas.openxmlformats.org/officeDocument/2006/bibliography"/>
  </ds:schemaRefs>
</ds:datastoreItem>
</file>

<file path=customXml/itemProps84.xml><?xml version="1.0" encoding="utf-8"?>
<ds:datastoreItem xmlns:ds="http://schemas.openxmlformats.org/officeDocument/2006/customXml" ds:itemID="{07EB01C2-A8C9-4B43-8B33-EF123E8D21C1}">
  <ds:schemaRefs>
    <ds:schemaRef ds:uri="http://schemas.openxmlformats.org/officeDocument/2006/bibliography"/>
  </ds:schemaRefs>
</ds:datastoreItem>
</file>

<file path=customXml/itemProps85.xml><?xml version="1.0" encoding="utf-8"?>
<ds:datastoreItem xmlns:ds="http://schemas.openxmlformats.org/officeDocument/2006/customXml" ds:itemID="{2AB297AF-DAEE-42C6-A041-43F917FE095C}">
  <ds:schemaRefs>
    <ds:schemaRef ds:uri="http://schemas.openxmlformats.org/officeDocument/2006/bibliography"/>
  </ds:schemaRefs>
</ds:datastoreItem>
</file>

<file path=customXml/itemProps86.xml><?xml version="1.0" encoding="utf-8"?>
<ds:datastoreItem xmlns:ds="http://schemas.openxmlformats.org/officeDocument/2006/customXml" ds:itemID="{619FDA2B-94F1-4439-B3DA-CA3ED4C4FEAD}">
  <ds:schemaRefs>
    <ds:schemaRef ds:uri="http://schemas.openxmlformats.org/officeDocument/2006/bibliography"/>
  </ds:schemaRefs>
</ds:datastoreItem>
</file>

<file path=customXml/itemProps87.xml><?xml version="1.0" encoding="utf-8"?>
<ds:datastoreItem xmlns:ds="http://schemas.openxmlformats.org/officeDocument/2006/customXml" ds:itemID="{A903FBCE-D8AA-400C-9849-291E37923B77}">
  <ds:schemaRefs>
    <ds:schemaRef ds:uri="http://schemas.openxmlformats.org/officeDocument/2006/bibliography"/>
  </ds:schemaRefs>
</ds:datastoreItem>
</file>

<file path=customXml/itemProps88.xml><?xml version="1.0" encoding="utf-8"?>
<ds:datastoreItem xmlns:ds="http://schemas.openxmlformats.org/officeDocument/2006/customXml" ds:itemID="{5350AA25-9D64-4F19-9720-A2DB4A0095AF}">
  <ds:schemaRefs>
    <ds:schemaRef ds:uri="http://schemas.openxmlformats.org/officeDocument/2006/bibliography"/>
  </ds:schemaRefs>
</ds:datastoreItem>
</file>

<file path=customXml/itemProps89.xml><?xml version="1.0" encoding="utf-8"?>
<ds:datastoreItem xmlns:ds="http://schemas.openxmlformats.org/officeDocument/2006/customXml" ds:itemID="{E3E6CDA7-0BC5-446B-94C2-A9CD4A944845}">
  <ds:schemaRefs>
    <ds:schemaRef ds:uri="http://schemas.openxmlformats.org/officeDocument/2006/bibliography"/>
  </ds:schemaRefs>
</ds:datastoreItem>
</file>

<file path=customXml/itemProps9.xml><?xml version="1.0" encoding="utf-8"?>
<ds:datastoreItem xmlns:ds="http://schemas.openxmlformats.org/officeDocument/2006/customXml" ds:itemID="{FD9EF945-B60A-4220-9E9A-14373FB0A6FF}">
  <ds:schemaRefs>
    <ds:schemaRef ds:uri="http://schemas.openxmlformats.org/officeDocument/2006/bibliography"/>
  </ds:schemaRefs>
</ds:datastoreItem>
</file>

<file path=customXml/itemProps90.xml><?xml version="1.0" encoding="utf-8"?>
<ds:datastoreItem xmlns:ds="http://schemas.openxmlformats.org/officeDocument/2006/customXml" ds:itemID="{103E81B3-2A0F-4712-A1F8-5435833CA359}">
  <ds:schemaRefs>
    <ds:schemaRef ds:uri="http://schemas.openxmlformats.org/officeDocument/2006/bibliography"/>
  </ds:schemaRefs>
</ds:datastoreItem>
</file>

<file path=customXml/itemProps91.xml><?xml version="1.0" encoding="utf-8"?>
<ds:datastoreItem xmlns:ds="http://schemas.openxmlformats.org/officeDocument/2006/customXml" ds:itemID="{EE298CA9-33BB-4477-8A12-933B9BAF7F4E}">
  <ds:schemaRefs>
    <ds:schemaRef ds:uri="http://schemas.openxmlformats.org/officeDocument/2006/bibliography"/>
  </ds:schemaRefs>
</ds:datastoreItem>
</file>

<file path=customXml/itemProps92.xml><?xml version="1.0" encoding="utf-8"?>
<ds:datastoreItem xmlns:ds="http://schemas.openxmlformats.org/officeDocument/2006/customXml" ds:itemID="{2690D349-81B3-4F28-80C1-54C0096E552A}">
  <ds:schemaRefs>
    <ds:schemaRef ds:uri="http://schemas.openxmlformats.org/officeDocument/2006/bibliography"/>
  </ds:schemaRefs>
</ds:datastoreItem>
</file>

<file path=customXml/itemProps93.xml><?xml version="1.0" encoding="utf-8"?>
<ds:datastoreItem xmlns:ds="http://schemas.openxmlformats.org/officeDocument/2006/customXml" ds:itemID="{7A3372D4-6D35-4D0C-BE8D-1B79F4483EC4}">
  <ds:schemaRefs>
    <ds:schemaRef ds:uri="http://schemas.openxmlformats.org/officeDocument/2006/bibliography"/>
  </ds:schemaRefs>
</ds:datastoreItem>
</file>

<file path=customXml/itemProps94.xml><?xml version="1.0" encoding="utf-8"?>
<ds:datastoreItem xmlns:ds="http://schemas.openxmlformats.org/officeDocument/2006/customXml" ds:itemID="{2927BC79-2B79-42C1-8686-B93C2C1B87AC}">
  <ds:schemaRefs>
    <ds:schemaRef ds:uri="http://schemas.openxmlformats.org/officeDocument/2006/bibliography"/>
  </ds:schemaRefs>
</ds:datastoreItem>
</file>

<file path=customXml/itemProps95.xml><?xml version="1.0" encoding="utf-8"?>
<ds:datastoreItem xmlns:ds="http://schemas.openxmlformats.org/officeDocument/2006/customXml" ds:itemID="{CA470196-83D5-4901-B148-A5CF30A69473}">
  <ds:schemaRefs>
    <ds:schemaRef ds:uri="http://schemas.openxmlformats.org/officeDocument/2006/bibliography"/>
  </ds:schemaRefs>
</ds:datastoreItem>
</file>

<file path=customXml/itemProps96.xml><?xml version="1.0" encoding="utf-8"?>
<ds:datastoreItem xmlns:ds="http://schemas.openxmlformats.org/officeDocument/2006/customXml" ds:itemID="{19CD234A-830B-4DF5-94FD-6CC4B4DC5B0D}">
  <ds:schemaRefs>
    <ds:schemaRef ds:uri="http://schemas.openxmlformats.org/officeDocument/2006/bibliography"/>
  </ds:schemaRefs>
</ds:datastoreItem>
</file>

<file path=customXml/itemProps97.xml><?xml version="1.0" encoding="utf-8"?>
<ds:datastoreItem xmlns:ds="http://schemas.openxmlformats.org/officeDocument/2006/customXml" ds:itemID="{7BAFE74B-0DE2-4AB8-9581-A883614ED419}">
  <ds:schemaRefs>
    <ds:schemaRef ds:uri="http://schemas.openxmlformats.org/officeDocument/2006/bibliography"/>
  </ds:schemaRefs>
</ds:datastoreItem>
</file>

<file path=customXml/itemProps98.xml><?xml version="1.0" encoding="utf-8"?>
<ds:datastoreItem xmlns:ds="http://schemas.openxmlformats.org/officeDocument/2006/customXml" ds:itemID="{44E2D7E5-DD44-4D16-83DF-CED76334D91A}">
  <ds:schemaRefs>
    <ds:schemaRef ds:uri="http://schemas.openxmlformats.org/officeDocument/2006/bibliography"/>
  </ds:schemaRefs>
</ds:datastoreItem>
</file>

<file path=customXml/itemProps99.xml><?xml version="1.0" encoding="utf-8"?>
<ds:datastoreItem xmlns:ds="http://schemas.openxmlformats.org/officeDocument/2006/customXml" ds:itemID="{FEC7E3E2-E421-4AAF-9B07-B04DB51D2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47254</Words>
  <Characters>269349</Characters>
  <Application>Microsoft Office Word</Application>
  <DocSecurity>0</DocSecurity>
  <Lines>2244</Lines>
  <Paragraphs>631</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315972</CharactersWithSpaces>
  <SharedDoc>false</SharedDoc>
  <HLinks>
    <vt:vector size="54" baseType="variant">
      <vt:variant>
        <vt:i4>7995517</vt:i4>
      </vt:variant>
      <vt:variant>
        <vt:i4>24</vt:i4>
      </vt:variant>
      <vt:variant>
        <vt:i4>0</vt:i4>
      </vt:variant>
      <vt:variant>
        <vt:i4>5</vt:i4>
      </vt:variant>
      <vt:variant>
        <vt:lpwstr>file://C:\Users\feinberg-carol\AppData\Local\Microsoft\Windows\Luetkenhaus.eric.ETA\Local Settings\Temporary Internet Files\feinberg-carol\Local Settings\Luetkenhaus.eric\Local Settings\hines-robert\Local Settings\feinberg-carol\Local Settings\Luetkenhaus.eric\Luetkenhaus.eric\Local Settings\kelly.donna\Local Settings\Temporary Internet Files\Local Settings\Temporary Internet Files\Local Settings\Pirtle.Jennifer\Local Settings\Temporary Internet Files\old drafts\2 16 2010 draft\Workforce3One</vt:lpwstr>
      </vt:variant>
      <vt:variant>
        <vt:lpwstr/>
      </vt:variant>
      <vt:variant>
        <vt:i4>3932199</vt:i4>
      </vt:variant>
      <vt:variant>
        <vt:i4>21</vt:i4>
      </vt:variant>
      <vt:variant>
        <vt:i4>0</vt:i4>
      </vt:variant>
      <vt:variant>
        <vt:i4>5</vt:i4>
      </vt:variant>
      <vt:variant>
        <vt:lpwstr>http://www.careerclusters.org/</vt:lpwstr>
      </vt:variant>
      <vt:variant>
        <vt:lpwstr/>
      </vt:variant>
      <vt:variant>
        <vt:i4>983054</vt:i4>
      </vt:variant>
      <vt:variant>
        <vt:i4>18</vt:i4>
      </vt:variant>
      <vt:variant>
        <vt:i4>0</vt:i4>
      </vt:variant>
      <vt:variant>
        <vt:i4>5</vt:i4>
      </vt:variant>
      <vt:variant>
        <vt:lpwstr>http://edocket.access.gpo.gov/2010/pdf/2010-22705.pdf</vt:lpwstr>
      </vt:variant>
      <vt:variant>
        <vt:lpwstr/>
      </vt:variant>
      <vt:variant>
        <vt:i4>2359330</vt:i4>
      </vt:variant>
      <vt:variant>
        <vt:i4>15</vt:i4>
      </vt:variant>
      <vt:variant>
        <vt:i4>0</vt:i4>
      </vt:variant>
      <vt:variant>
        <vt:i4>5</vt:i4>
      </vt:variant>
      <vt:variant>
        <vt:lpwstr>http://apply07.grants.gov/apply/FormLinks?family=15</vt:lpwstr>
      </vt:variant>
      <vt:variant>
        <vt:lpwstr/>
      </vt:variant>
      <vt:variant>
        <vt:i4>5636189</vt:i4>
      </vt:variant>
      <vt:variant>
        <vt:i4>12</vt:i4>
      </vt:variant>
      <vt:variant>
        <vt:i4>0</vt:i4>
      </vt:variant>
      <vt:variant>
        <vt:i4>5</vt:i4>
      </vt:variant>
      <vt:variant>
        <vt:lpwstr>https://www.bpn.gov/</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1900554</vt:i4>
      </vt:variant>
      <vt:variant>
        <vt:i4>6</vt:i4>
      </vt:variant>
      <vt:variant>
        <vt:i4>0</vt:i4>
      </vt:variant>
      <vt:variant>
        <vt:i4>5</vt:i4>
      </vt:variant>
      <vt:variant>
        <vt:lpwstr>http://fedgov.dnb.com/webform/displayHomePage.do</vt:lpwstr>
      </vt:variant>
      <vt:variant>
        <vt:lpwstr/>
      </vt:variant>
      <vt:variant>
        <vt:i4>2359330</vt:i4>
      </vt:variant>
      <vt:variant>
        <vt:i4>3</vt:i4>
      </vt:variant>
      <vt:variant>
        <vt:i4>0</vt:i4>
      </vt:variant>
      <vt:variant>
        <vt:i4>5</vt:i4>
      </vt:variant>
      <vt:variant>
        <vt:lpwstr>http://apply07.grants.gov/apply/FormLinks?family=15</vt:lpwstr>
      </vt:variant>
      <vt:variant>
        <vt:lpwstr/>
      </vt:variant>
      <vt:variant>
        <vt:i4>2359330</vt:i4>
      </vt:variant>
      <vt:variant>
        <vt:i4>0</vt:i4>
      </vt:variant>
      <vt:variant>
        <vt:i4>0</vt:i4>
      </vt:variant>
      <vt:variant>
        <vt:i4>5</vt:i4>
      </vt:variant>
      <vt:variant>
        <vt:lpwstr>http://apply07.grants.gov/apply/FormLinks?family=15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Windows User</cp:lastModifiedBy>
  <cp:revision>2</cp:revision>
  <cp:lastPrinted>2014-03-21T14:24:00Z</cp:lastPrinted>
  <dcterms:created xsi:type="dcterms:W3CDTF">2014-03-26T21:27:00Z</dcterms:created>
  <dcterms:modified xsi:type="dcterms:W3CDTF">2014-03-26T21:27:00Z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