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DE" w:rsidRPr="006508AA" w:rsidRDefault="00F809DE" w:rsidP="00F809DE">
      <w:pPr>
        <w:jc w:val="center"/>
        <w:rPr>
          <w:rFonts w:ascii="Times New Roman" w:hAnsi="Times New Roman" w:cs="Times New Roman"/>
          <w:b/>
          <w:sz w:val="24"/>
          <w:szCs w:val="24"/>
        </w:rPr>
      </w:pPr>
      <w:r w:rsidRPr="006508AA">
        <w:rPr>
          <w:rFonts w:ascii="Times New Roman" w:hAnsi="Times New Roman" w:cs="Times New Roman"/>
          <w:b/>
          <w:sz w:val="24"/>
          <w:szCs w:val="24"/>
        </w:rPr>
        <w:t>A Controlled Evaluation of Expect Respect Support Groups (ERSG): Preventing and Interrupting Teen Dating Violence among At-Risk Middle and High School Students</w:t>
      </w:r>
    </w:p>
    <w:p w:rsidR="00A24630" w:rsidRPr="006508AA" w:rsidRDefault="00F809DE" w:rsidP="00F809DE">
      <w:pPr>
        <w:pStyle w:val="Heading1"/>
        <w:tabs>
          <w:tab w:val="right" w:pos="10080"/>
        </w:tabs>
        <w:jc w:val="center"/>
        <w:rPr>
          <w:szCs w:val="24"/>
        </w:rPr>
      </w:pPr>
      <w:r w:rsidRPr="006508AA">
        <w:rPr>
          <w:szCs w:val="24"/>
        </w:rPr>
        <w:t xml:space="preserve"> </w:t>
      </w:r>
      <w:r w:rsidR="00A24630" w:rsidRPr="006508AA">
        <w:rPr>
          <w:szCs w:val="24"/>
        </w:rPr>
        <w:t>(OMB no. 0920-</w:t>
      </w:r>
      <w:r w:rsidRPr="006508AA">
        <w:rPr>
          <w:szCs w:val="24"/>
        </w:rPr>
        <w:t>0861</w:t>
      </w:r>
      <w:r w:rsidR="00A24630" w:rsidRPr="006508AA">
        <w:rPr>
          <w:szCs w:val="24"/>
        </w:rPr>
        <w:t xml:space="preserve"> exp. date </w:t>
      </w:r>
      <w:r w:rsidRPr="006508AA">
        <w:rPr>
          <w:szCs w:val="24"/>
        </w:rPr>
        <w:t>08/31/2013</w:t>
      </w:r>
      <w:r w:rsidR="00A24630" w:rsidRPr="006508AA">
        <w:rPr>
          <w:szCs w:val="24"/>
        </w:rPr>
        <w:t>)</w:t>
      </w:r>
    </w:p>
    <w:p w:rsidR="00A24630" w:rsidRPr="006508AA" w:rsidRDefault="00A24630" w:rsidP="00A24630">
      <w:pPr>
        <w:rPr>
          <w:rFonts w:ascii="Times New Roman" w:hAnsi="Times New Roman" w:cs="Times New Roman"/>
          <w:sz w:val="24"/>
          <w:szCs w:val="24"/>
        </w:rPr>
      </w:pPr>
    </w:p>
    <w:p w:rsidR="00A24630" w:rsidRPr="006508AA" w:rsidRDefault="00A24630" w:rsidP="00A24630">
      <w:pPr>
        <w:pStyle w:val="Heading1"/>
        <w:tabs>
          <w:tab w:val="right" w:pos="10080"/>
        </w:tabs>
        <w:jc w:val="center"/>
        <w:rPr>
          <w:b/>
          <w:bCs/>
          <w:szCs w:val="24"/>
        </w:rPr>
      </w:pPr>
      <w:r w:rsidRPr="006508AA">
        <w:rPr>
          <w:b/>
          <w:bCs/>
          <w:szCs w:val="24"/>
        </w:rPr>
        <w:t>Proposed Changes: Justification and Overview</w:t>
      </w:r>
    </w:p>
    <w:p w:rsidR="00A24630" w:rsidRPr="006508AA" w:rsidRDefault="00421128" w:rsidP="00A24630">
      <w:pPr>
        <w:jc w:val="center"/>
        <w:rPr>
          <w:rFonts w:ascii="Times New Roman" w:hAnsi="Times New Roman" w:cs="Times New Roman"/>
          <w:sz w:val="24"/>
          <w:szCs w:val="24"/>
        </w:rPr>
      </w:pPr>
      <w:r>
        <w:rPr>
          <w:rFonts w:ascii="Times New Roman" w:hAnsi="Times New Roman" w:cs="Times New Roman"/>
          <w:sz w:val="24"/>
          <w:szCs w:val="24"/>
        </w:rPr>
        <w:t xml:space="preserve">September 24, </w:t>
      </w:r>
      <w:r w:rsidR="00717EEA" w:rsidRPr="006508AA">
        <w:rPr>
          <w:rFonts w:ascii="Times New Roman" w:hAnsi="Times New Roman" w:cs="Times New Roman"/>
          <w:sz w:val="24"/>
          <w:szCs w:val="24"/>
        </w:rPr>
        <w:t>2012</w:t>
      </w:r>
    </w:p>
    <w:p w:rsidR="00A24630" w:rsidRPr="006508AA" w:rsidRDefault="00A24630" w:rsidP="006508AA">
      <w:pPr>
        <w:pStyle w:val="Heading1"/>
        <w:tabs>
          <w:tab w:val="right" w:pos="10080"/>
        </w:tabs>
        <w:rPr>
          <w:b/>
          <w:szCs w:val="24"/>
        </w:rPr>
      </w:pPr>
      <w:r w:rsidRPr="006508AA">
        <w:rPr>
          <w:b/>
          <w:szCs w:val="24"/>
        </w:rPr>
        <w:t>Project Description</w:t>
      </w:r>
    </w:p>
    <w:p w:rsidR="00F809DE" w:rsidRPr="006508AA" w:rsidRDefault="00F809DE" w:rsidP="006508AA">
      <w:pPr>
        <w:spacing w:after="0" w:line="240" w:lineRule="auto"/>
        <w:rPr>
          <w:rFonts w:ascii="Times New Roman" w:hAnsi="Times New Roman" w:cs="Times New Roman"/>
          <w:color w:val="000000"/>
          <w:sz w:val="24"/>
          <w:szCs w:val="24"/>
        </w:rPr>
      </w:pPr>
      <w:r w:rsidRPr="006508AA">
        <w:rPr>
          <w:rFonts w:ascii="Times New Roman" w:hAnsi="Times New Roman" w:cs="Times New Roman"/>
          <w:sz w:val="24"/>
          <w:szCs w:val="24"/>
        </w:rPr>
        <w:t>The prevalence and consequences of teen dating violence (TDV) make it a public health concern that requires early and effective prevention. In order to protect young people and build an evidence-base of effective prevention strategies, evaluation of TDV prevention programs is needed, including those programs currently in the field. Expect Respect Support Groups (ERSG) were identified by CDC through the empowerment evaluation process as a program in the field (Austin Independent School District) that is in need of rigorous evaluation. The ERSG program has demonstrated favorable, albeit preliminary, results in a pre-post program evalu</w:t>
      </w:r>
      <w:r w:rsidR="00066492">
        <w:rPr>
          <w:rFonts w:ascii="Times New Roman" w:hAnsi="Times New Roman" w:cs="Times New Roman"/>
          <w:sz w:val="24"/>
          <w:szCs w:val="24"/>
        </w:rPr>
        <w:t>ation, which strongly suggests</w:t>
      </w:r>
      <w:r w:rsidRPr="006508AA">
        <w:rPr>
          <w:rFonts w:ascii="Times New Roman" w:hAnsi="Times New Roman" w:cs="Times New Roman"/>
          <w:sz w:val="24"/>
          <w:szCs w:val="24"/>
        </w:rPr>
        <w:t xml:space="preserve"> that a controlled evaluation is needed to more rigorously examine program effects. </w:t>
      </w:r>
      <w:r w:rsidRPr="006508AA">
        <w:rPr>
          <w:rFonts w:ascii="Times New Roman" w:hAnsi="Times New Roman" w:cs="Times New Roman"/>
          <w:color w:val="000000"/>
          <w:sz w:val="24"/>
          <w:szCs w:val="24"/>
        </w:rPr>
        <w:t>The proposed study has two primary goals and two exploratory aims. The primary goals are: 1) To evaluate the effectiveness of ERSG in preventing and reducing TDV, and 2) Comparing whether there are increased healthy conflict resolution skills reported by at-risk male and female middle and high school students supported by ERSG, compared to at-risk students in control schools who do not receive ERSG. The exploratory aims are: 1) To evaluate whether the effectiveness of ERSG is enhanced by the presence of a universal, school-wide prevention program, and 2) To examine whether participants with different characteristics respond differently to the intervention.  For example, we will examine whether outcome for boys or girls are the same.</w:t>
      </w:r>
    </w:p>
    <w:p w:rsidR="00A74B33" w:rsidRDefault="00A74B33" w:rsidP="006508AA">
      <w:pPr>
        <w:spacing w:after="0" w:line="240" w:lineRule="auto"/>
        <w:rPr>
          <w:rFonts w:ascii="Times New Roman" w:hAnsi="Times New Roman" w:cs="Times New Roman"/>
          <w:color w:val="000000"/>
          <w:sz w:val="24"/>
          <w:szCs w:val="24"/>
        </w:rPr>
      </w:pPr>
    </w:p>
    <w:p w:rsidR="00F809DE" w:rsidRPr="006508AA" w:rsidRDefault="00F809DE" w:rsidP="006508AA">
      <w:pPr>
        <w:spacing w:after="0" w:line="240" w:lineRule="auto"/>
        <w:rPr>
          <w:rFonts w:ascii="Times New Roman" w:hAnsi="Times New Roman" w:cs="Times New Roman"/>
          <w:color w:val="000000"/>
          <w:sz w:val="24"/>
          <w:szCs w:val="24"/>
        </w:rPr>
      </w:pPr>
      <w:r w:rsidRPr="006508AA">
        <w:rPr>
          <w:rFonts w:ascii="Times New Roman" w:hAnsi="Times New Roman" w:cs="Times New Roman"/>
          <w:color w:val="000000"/>
          <w:sz w:val="24"/>
          <w:szCs w:val="24"/>
        </w:rPr>
        <w:t xml:space="preserve">The requested changes to this study are non-substantive and will not change the </w:t>
      </w:r>
      <w:r w:rsidR="004939C1">
        <w:rPr>
          <w:rFonts w:ascii="Times New Roman" w:hAnsi="Times New Roman" w:cs="Times New Roman"/>
          <w:color w:val="000000"/>
          <w:sz w:val="24"/>
          <w:szCs w:val="24"/>
        </w:rPr>
        <w:t xml:space="preserve">study’s </w:t>
      </w:r>
      <w:r w:rsidRPr="006508AA">
        <w:rPr>
          <w:rFonts w:ascii="Times New Roman" w:hAnsi="Times New Roman" w:cs="Times New Roman"/>
          <w:color w:val="000000"/>
          <w:sz w:val="24"/>
          <w:szCs w:val="24"/>
        </w:rPr>
        <w:t xml:space="preserve">scope of work.  We are requesting </w:t>
      </w:r>
      <w:r w:rsidR="00605478">
        <w:rPr>
          <w:rFonts w:ascii="Times New Roman" w:hAnsi="Times New Roman" w:cs="Times New Roman"/>
          <w:color w:val="000000"/>
          <w:sz w:val="24"/>
          <w:szCs w:val="24"/>
        </w:rPr>
        <w:t xml:space="preserve">to </w:t>
      </w:r>
      <w:r w:rsidR="002F7DB0" w:rsidRPr="006508AA">
        <w:rPr>
          <w:rFonts w:ascii="Times New Roman" w:hAnsi="Times New Roman" w:cs="Times New Roman"/>
          <w:color w:val="000000"/>
          <w:sz w:val="24"/>
          <w:szCs w:val="24"/>
        </w:rPr>
        <w:t xml:space="preserve">add qualitative interviews with ERSG facilitators to the study.  </w:t>
      </w:r>
      <w:r w:rsidR="00494876" w:rsidRPr="006508AA">
        <w:rPr>
          <w:rFonts w:ascii="Times New Roman" w:hAnsi="Times New Roman" w:cs="Times New Roman"/>
          <w:color w:val="000000"/>
          <w:sz w:val="24"/>
          <w:szCs w:val="24"/>
        </w:rPr>
        <w:t xml:space="preserve">The goal of these interviews is </w:t>
      </w:r>
      <w:r w:rsidR="004939C1">
        <w:rPr>
          <w:rFonts w:ascii="Times New Roman" w:hAnsi="Times New Roman" w:cs="Times New Roman"/>
          <w:color w:val="000000"/>
          <w:sz w:val="24"/>
          <w:szCs w:val="24"/>
        </w:rPr>
        <w:t xml:space="preserve">to </w:t>
      </w:r>
      <w:r w:rsidR="00494876" w:rsidRPr="006508AA">
        <w:rPr>
          <w:rFonts w:ascii="Times New Roman" w:hAnsi="Times New Roman" w:cs="Times New Roman"/>
          <w:color w:val="000000"/>
          <w:sz w:val="24"/>
          <w:szCs w:val="24"/>
        </w:rPr>
        <w:t xml:space="preserve">better understand </w:t>
      </w:r>
      <w:r w:rsidR="00605478">
        <w:rPr>
          <w:rFonts w:ascii="Times New Roman" w:hAnsi="Times New Roman" w:cs="Times New Roman"/>
          <w:color w:val="000000"/>
          <w:sz w:val="24"/>
          <w:szCs w:val="24"/>
        </w:rPr>
        <w:t>the implementation process for ERSG</w:t>
      </w:r>
      <w:r w:rsidR="00494876" w:rsidRPr="006508AA">
        <w:rPr>
          <w:rFonts w:ascii="Times New Roman" w:hAnsi="Times New Roman" w:cs="Times New Roman"/>
          <w:color w:val="000000"/>
          <w:sz w:val="24"/>
          <w:szCs w:val="24"/>
        </w:rPr>
        <w:t xml:space="preserve">.  For example, interview questions will aim to explore </w:t>
      </w:r>
      <w:r w:rsidR="00605478">
        <w:rPr>
          <w:rFonts w:ascii="Times New Roman" w:hAnsi="Times New Roman" w:cs="Times New Roman"/>
          <w:color w:val="000000"/>
          <w:sz w:val="24"/>
          <w:szCs w:val="24"/>
        </w:rPr>
        <w:t xml:space="preserve">factors that contribute to group engagement for participants, how facilitators make decisions about the format and delivery of session content, and the various group dynamics within ERSG. </w:t>
      </w:r>
      <w:r w:rsidR="00494876" w:rsidRPr="006508AA">
        <w:rPr>
          <w:rFonts w:ascii="Times New Roman" w:hAnsi="Times New Roman" w:cs="Times New Roman"/>
          <w:color w:val="000000"/>
          <w:sz w:val="24"/>
          <w:szCs w:val="24"/>
        </w:rPr>
        <w:t>Substantive changes to the program will not be made during the study period so as not to impact evaluation results.</w:t>
      </w:r>
      <w:r w:rsidR="00605478">
        <w:rPr>
          <w:rFonts w:ascii="Times New Roman" w:hAnsi="Times New Roman" w:cs="Times New Roman"/>
          <w:color w:val="000000"/>
          <w:sz w:val="24"/>
          <w:szCs w:val="24"/>
        </w:rPr>
        <w:t xml:space="preserve"> The qualitative information will provide a more nuanced picture of implementation processes for the program.</w:t>
      </w:r>
    </w:p>
    <w:p w:rsidR="00D36236" w:rsidRPr="006508AA" w:rsidRDefault="00D36236" w:rsidP="00232807">
      <w:pPr>
        <w:spacing w:after="0" w:line="240" w:lineRule="auto"/>
        <w:rPr>
          <w:rFonts w:ascii="Times New Roman" w:hAnsi="Times New Roman" w:cs="Times New Roman"/>
          <w:b/>
          <w:sz w:val="24"/>
          <w:szCs w:val="24"/>
        </w:rPr>
      </w:pPr>
    </w:p>
    <w:p w:rsidR="00A24630" w:rsidRPr="006508AA" w:rsidRDefault="00A24630" w:rsidP="00232807">
      <w:pPr>
        <w:spacing w:after="0" w:line="240" w:lineRule="auto"/>
        <w:rPr>
          <w:rFonts w:ascii="Times New Roman" w:hAnsi="Times New Roman" w:cs="Times New Roman"/>
          <w:b/>
          <w:sz w:val="24"/>
          <w:szCs w:val="24"/>
        </w:rPr>
      </w:pPr>
      <w:r w:rsidRPr="006508AA">
        <w:rPr>
          <w:rFonts w:ascii="Times New Roman" w:hAnsi="Times New Roman" w:cs="Times New Roman"/>
          <w:b/>
          <w:sz w:val="24"/>
          <w:szCs w:val="24"/>
        </w:rPr>
        <w:t>Proposed Changes</w:t>
      </w:r>
    </w:p>
    <w:p w:rsidR="00652F6F" w:rsidRPr="006508AA" w:rsidRDefault="00652F6F" w:rsidP="00232807">
      <w:pPr>
        <w:spacing w:after="0" w:line="240" w:lineRule="auto"/>
        <w:rPr>
          <w:rFonts w:ascii="Times New Roman" w:hAnsi="Times New Roman" w:cs="Times New Roman"/>
          <w:b/>
          <w:sz w:val="24"/>
          <w:szCs w:val="24"/>
        </w:rPr>
      </w:pPr>
    </w:p>
    <w:p w:rsidR="00CD231A" w:rsidRPr="006508AA" w:rsidRDefault="00D36236" w:rsidP="006508AA">
      <w:pPr>
        <w:pStyle w:val="ListParagraph"/>
        <w:numPr>
          <w:ilvl w:val="0"/>
          <w:numId w:val="13"/>
        </w:numPr>
        <w:spacing w:after="0" w:line="240" w:lineRule="auto"/>
        <w:rPr>
          <w:rFonts w:ascii="Times New Roman" w:hAnsi="Times New Roman" w:cs="Times New Roman"/>
          <w:b/>
          <w:sz w:val="24"/>
          <w:szCs w:val="24"/>
        </w:rPr>
      </w:pPr>
      <w:r w:rsidRPr="006508AA">
        <w:rPr>
          <w:rFonts w:ascii="Times New Roman" w:hAnsi="Times New Roman" w:cs="Times New Roman"/>
          <w:sz w:val="24"/>
          <w:szCs w:val="24"/>
        </w:rPr>
        <w:t>We request</w:t>
      </w:r>
      <w:r w:rsidR="006508AA" w:rsidRPr="006508AA">
        <w:rPr>
          <w:rFonts w:ascii="Times New Roman" w:hAnsi="Times New Roman" w:cs="Times New Roman"/>
          <w:sz w:val="24"/>
          <w:szCs w:val="24"/>
        </w:rPr>
        <w:t xml:space="preserve"> to conduct two interviews per year with each ERSG facilitator.  ERSG facilitators will take part in a qualitative interview at one mid-year time point (around December) and at the end of each school year (around June).  This interview will serve to help program evaluators understand </w:t>
      </w:r>
      <w:r w:rsidR="00605478">
        <w:rPr>
          <w:rFonts w:ascii="Times New Roman" w:hAnsi="Times New Roman" w:cs="Times New Roman"/>
          <w:sz w:val="24"/>
          <w:szCs w:val="24"/>
        </w:rPr>
        <w:t>the implementation process for ERSG</w:t>
      </w:r>
      <w:r w:rsidR="006508AA" w:rsidRPr="006508AA">
        <w:rPr>
          <w:rFonts w:ascii="Times New Roman" w:hAnsi="Times New Roman" w:cs="Times New Roman"/>
          <w:sz w:val="24"/>
          <w:szCs w:val="24"/>
        </w:rPr>
        <w:t xml:space="preserve">.  The interviews will explore </w:t>
      </w:r>
      <w:r w:rsidR="00605478">
        <w:rPr>
          <w:rFonts w:ascii="Times New Roman" w:hAnsi="Times New Roman" w:cs="Times New Roman"/>
          <w:color w:val="000000"/>
          <w:sz w:val="24"/>
          <w:szCs w:val="24"/>
        </w:rPr>
        <w:t>factors that contribute to group engagement for participants, how facilitators make decisions about the format and delivery of session content, and the various group dynamics within ERSG</w:t>
      </w:r>
      <w:r w:rsidR="006508AA" w:rsidRPr="006508AA">
        <w:rPr>
          <w:rFonts w:ascii="Times New Roman" w:hAnsi="Times New Roman" w:cs="Times New Roman"/>
          <w:sz w:val="24"/>
          <w:szCs w:val="24"/>
        </w:rPr>
        <w:t xml:space="preserve">.  </w:t>
      </w:r>
      <w:r w:rsidR="0060631E" w:rsidRPr="006508AA">
        <w:rPr>
          <w:rFonts w:ascii="Times New Roman" w:hAnsi="Times New Roman" w:cs="Times New Roman"/>
          <w:sz w:val="24"/>
          <w:szCs w:val="24"/>
        </w:rPr>
        <w:t xml:space="preserve">The two distinct </w:t>
      </w:r>
      <w:r w:rsidR="006508AA" w:rsidRPr="006508AA">
        <w:rPr>
          <w:rFonts w:ascii="Times New Roman" w:hAnsi="Times New Roman" w:cs="Times New Roman"/>
          <w:sz w:val="24"/>
          <w:szCs w:val="24"/>
        </w:rPr>
        <w:t>interview guides</w:t>
      </w:r>
      <w:r w:rsidR="0060631E" w:rsidRPr="006508AA">
        <w:rPr>
          <w:rFonts w:ascii="Times New Roman" w:hAnsi="Times New Roman" w:cs="Times New Roman"/>
          <w:sz w:val="24"/>
          <w:szCs w:val="24"/>
        </w:rPr>
        <w:t xml:space="preserve"> are attached as </w:t>
      </w:r>
      <w:r w:rsidR="0004792B">
        <w:rPr>
          <w:rFonts w:ascii="Times New Roman" w:hAnsi="Times New Roman" w:cs="Times New Roman"/>
          <w:sz w:val="24"/>
          <w:szCs w:val="24"/>
        </w:rPr>
        <w:t>Attachments K and L</w:t>
      </w:r>
      <w:bookmarkStart w:id="0" w:name="_GoBack"/>
      <w:bookmarkEnd w:id="0"/>
      <w:r w:rsidR="0060631E" w:rsidRPr="006508AA">
        <w:rPr>
          <w:rFonts w:ascii="Times New Roman" w:hAnsi="Times New Roman" w:cs="Times New Roman"/>
          <w:sz w:val="24"/>
          <w:szCs w:val="24"/>
        </w:rPr>
        <w:t>, respectively.</w:t>
      </w:r>
    </w:p>
    <w:p w:rsidR="0060631E" w:rsidRPr="006508AA" w:rsidRDefault="0060631E" w:rsidP="00232807">
      <w:pPr>
        <w:spacing w:after="0" w:line="240" w:lineRule="auto"/>
        <w:rPr>
          <w:rFonts w:ascii="Times New Roman" w:hAnsi="Times New Roman" w:cs="Times New Roman"/>
          <w:b/>
          <w:sz w:val="24"/>
          <w:szCs w:val="24"/>
        </w:rPr>
      </w:pPr>
    </w:p>
    <w:p w:rsidR="00A24630" w:rsidRPr="006508AA" w:rsidRDefault="00A24630" w:rsidP="00232807">
      <w:pPr>
        <w:spacing w:after="0" w:line="240" w:lineRule="auto"/>
        <w:rPr>
          <w:rFonts w:ascii="Times New Roman" w:hAnsi="Times New Roman" w:cs="Times New Roman"/>
          <w:b/>
          <w:sz w:val="24"/>
          <w:szCs w:val="24"/>
        </w:rPr>
      </w:pPr>
      <w:r w:rsidRPr="006508AA">
        <w:rPr>
          <w:rFonts w:ascii="Times New Roman" w:hAnsi="Times New Roman" w:cs="Times New Roman"/>
          <w:b/>
          <w:sz w:val="24"/>
          <w:szCs w:val="24"/>
        </w:rPr>
        <w:t>Change to Burden and/or Cost</w:t>
      </w:r>
    </w:p>
    <w:p w:rsidR="00732255" w:rsidRDefault="00CD231A" w:rsidP="00CD231A">
      <w:pPr>
        <w:pStyle w:val="Heading1"/>
        <w:numPr>
          <w:ilvl w:val="0"/>
          <w:numId w:val="10"/>
        </w:numPr>
        <w:tabs>
          <w:tab w:val="right" w:pos="10080"/>
        </w:tabs>
        <w:ind w:left="360"/>
        <w:rPr>
          <w:szCs w:val="24"/>
        </w:rPr>
      </w:pPr>
      <w:r w:rsidRPr="006508AA">
        <w:rPr>
          <w:szCs w:val="24"/>
        </w:rPr>
        <w:t>The non-substantive change</w:t>
      </w:r>
      <w:r w:rsidR="00652F6F" w:rsidRPr="006508AA">
        <w:rPr>
          <w:szCs w:val="24"/>
        </w:rPr>
        <w:t xml:space="preserve"> </w:t>
      </w:r>
      <w:r w:rsidRPr="006508AA">
        <w:rPr>
          <w:szCs w:val="24"/>
        </w:rPr>
        <w:t xml:space="preserve">request for addition of </w:t>
      </w:r>
      <w:r w:rsidR="006508AA" w:rsidRPr="006508AA">
        <w:rPr>
          <w:szCs w:val="24"/>
        </w:rPr>
        <w:t>qualitative interviews</w:t>
      </w:r>
      <w:r w:rsidRPr="006508AA">
        <w:rPr>
          <w:szCs w:val="24"/>
        </w:rPr>
        <w:t xml:space="preserve"> to be completed by the eight ERSG facilitators will increase the burden to facilitators by </w:t>
      </w:r>
      <w:r w:rsidR="006508AA" w:rsidRPr="006508AA">
        <w:rPr>
          <w:szCs w:val="24"/>
        </w:rPr>
        <w:t>1</w:t>
      </w:r>
      <w:r w:rsidRPr="006508AA">
        <w:rPr>
          <w:szCs w:val="24"/>
        </w:rPr>
        <w:t xml:space="preserve">4 hours, but does not change the scope of the project.  The goals of the project remain the same, and the additional fidelity measure will be used for program improvement purposes.  </w:t>
      </w:r>
      <w:r w:rsidR="0060631E" w:rsidRPr="006508AA">
        <w:rPr>
          <w:szCs w:val="24"/>
        </w:rPr>
        <w:t>A completed burden hour table is shown below.</w:t>
      </w:r>
      <w:r w:rsidR="00DD0C28">
        <w:rPr>
          <w:szCs w:val="24"/>
        </w:rPr>
        <w:t xml:space="preserve"> </w:t>
      </w:r>
    </w:p>
    <w:p w:rsidR="00CD231A" w:rsidRPr="006508AA" w:rsidRDefault="00B35315" w:rsidP="00CD231A">
      <w:pPr>
        <w:pStyle w:val="Heading1"/>
        <w:numPr>
          <w:ilvl w:val="0"/>
          <w:numId w:val="10"/>
        </w:numPr>
        <w:tabs>
          <w:tab w:val="right" w:pos="10080"/>
        </w:tabs>
        <w:ind w:left="360"/>
        <w:rPr>
          <w:szCs w:val="24"/>
        </w:rPr>
      </w:pPr>
      <w:r>
        <w:rPr>
          <w:szCs w:val="24"/>
        </w:rPr>
        <w:t>The</w:t>
      </w:r>
      <w:r w:rsidR="00DD0C28">
        <w:rPr>
          <w:szCs w:val="24"/>
        </w:rPr>
        <w:t xml:space="preserve"> </w:t>
      </w:r>
      <w:r w:rsidR="00732255">
        <w:rPr>
          <w:szCs w:val="24"/>
        </w:rPr>
        <w:t>average salary of Expect Respect Support Group facilitators is $22.76 per hour.  This estimate was used to calculate the cost burden associated with the proposed interviews.</w:t>
      </w:r>
      <w:r w:rsidR="00DD0C28">
        <w:rPr>
          <w:szCs w:val="24"/>
        </w:rPr>
        <w:t xml:space="preserve"> </w:t>
      </w:r>
    </w:p>
    <w:p w:rsidR="0060631E" w:rsidRDefault="0060631E" w:rsidP="006508AA">
      <w:pPr>
        <w:pStyle w:val="Heading1"/>
        <w:tabs>
          <w:tab w:val="right" w:pos="10080"/>
        </w:tabs>
        <w:rPr>
          <w:szCs w:val="24"/>
        </w:rPr>
      </w:pPr>
    </w:p>
    <w:p w:rsidR="00732255" w:rsidRPr="00732255" w:rsidRDefault="00732255" w:rsidP="00732255">
      <w:pPr>
        <w:rPr>
          <w:rFonts w:ascii="Times New Roman" w:hAnsi="Times New Roman" w:cs="Times New Roman"/>
          <w:sz w:val="24"/>
          <w:szCs w:val="24"/>
        </w:rPr>
      </w:pPr>
      <w:proofErr w:type="gramStart"/>
      <w:r w:rsidRPr="00732255">
        <w:rPr>
          <w:rFonts w:ascii="Times New Roman" w:hAnsi="Times New Roman" w:cs="Times New Roman"/>
          <w:sz w:val="24"/>
          <w:szCs w:val="24"/>
        </w:rPr>
        <w:t>Table 1.</w:t>
      </w:r>
      <w:proofErr w:type="gramEnd"/>
      <w:r w:rsidRPr="00732255">
        <w:rPr>
          <w:rFonts w:ascii="Times New Roman" w:hAnsi="Times New Roman" w:cs="Times New Roman"/>
          <w:sz w:val="24"/>
          <w:szCs w:val="24"/>
        </w:rPr>
        <w:t xml:space="preserve"> Burden associated with interviews.</w:t>
      </w:r>
    </w:p>
    <w:tbl>
      <w:tblPr>
        <w:tblpPr w:leftFromText="180" w:rightFromText="180" w:vertAnchor="text"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2"/>
        <w:gridCol w:w="1659"/>
        <w:gridCol w:w="1687"/>
        <w:gridCol w:w="1641"/>
        <w:gridCol w:w="1538"/>
        <w:gridCol w:w="1109"/>
      </w:tblGrid>
      <w:tr w:rsidR="00BB1784" w:rsidRPr="006508AA" w:rsidTr="00BB1784">
        <w:tc>
          <w:tcPr>
            <w:tcW w:w="1942" w:type="dxa"/>
          </w:tcPr>
          <w:p w:rsidR="00BB1784" w:rsidRPr="006508AA" w:rsidRDefault="00BB1784" w:rsidP="00BB1784">
            <w:pPr>
              <w:rPr>
                <w:rFonts w:ascii="Times New Roman" w:hAnsi="Times New Roman" w:cs="Times New Roman"/>
                <w:b/>
                <w:sz w:val="24"/>
                <w:szCs w:val="24"/>
              </w:rPr>
            </w:pPr>
            <w:r w:rsidRPr="006508AA">
              <w:rPr>
                <w:rFonts w:ascii="Times New Roman" w:hAnsi="Times New Roman" w:cs="Times New Roman"/>
                <w:b/>
                <w:sz w:val="24"/>
                <w:szCs w:val="24"/>
              </w:rPr>
              <w:t xml:space="preserve">Type of Respondent </w:t>
            </w:r>
          </w:p>
        </w:tc>
        <w:tc>
          <w:tcPr>
            <w:tcW w:w="1659" w:type="dxa"/>
          </w:tcPr>
          <w:p w:rsidR="00BB1784" w:rsidRPr="006508AA" w:rsidRDefault="00BB1784" w:rsidP="00BB1784">
            <w:pPr>
              <w:rPr>
                <w:rFonts w:ascii="Times New Roman" w:hAnsi="Times New Roman" w:cs="Times New Roman"/>
                <w:b/>
                <w:sz w:val="24"/>
                <w:szCs w:val="24"/>
              </w:rPr>
            </w:pPr>
            <w:r w:rsidRPr="006508AA">
              <w:rPr>
                <w:rFonts w:ascii="Times New Roman" w:hAnsi="Times New Roman" w:cs="Times New Roman"/>
                <w:b/>
                <w:sz w:val="24"/>
                <w:szCs w:val="24"/>
              </w:rPr>
              <w:t>Form Name</w:t>
            </w:r>
          </w:p>
        </w:tc>
        <w:tc>
          <w:tcPr>
            <w:tcW w:w="1687" w:type="dxa"/>
          </w:tcPr>
          <w:p w:rsidR="00BB1784" w:rsidRPr="006508AA" w:rsidRDefault="00BB1784" w:rsidP="00BB1784">
            <w:pPr>
              <w:rPr>
                <w:rFonts w:ascii="Times New Roman" w:hAnsi="Times New Roman" w:cs="Times New Roman"/>
                <w:b/>
                <w:sz w:val="24"/>
                <w:szCs w:val="24"/>
              </w:rPr>
            </w:pPr>
            <w:r w:rsidRPr="006508AA">
              <w:rPr>
                <w:rFonts w:ascii="Times New Roman" w:hAnsi="Times New Roman" w:cs="Times New Roman"/>
                <w:b/>
                <w:sz w:val="24"/>
                <w:szCs w:val="24"/>
              </w:rPr>
              <w:t xml:space="preserve">No. of </w:t>
            </w:r>
          </w:p>
          <w:p w:rsidR="00BB1784" w:rsidRPr="006508AA" w:rsidRDefault="00BB1784" w:rsidP="00BB1784">
            <w:pPr>
              <w:rPr>
                <w:rFonts w:ascii="Times New Roman" w:hAnsi="Times New Roman" w:cs="Times New Roman"/>
                <w:b/>
                <w:sz w:val="24"/>
                <w:szCs w:val="24"/>
              </w:rPr>
            </w:pPr>
            <w:r w:rsidRPr="006508AA">
              <w:rPr>
                <w:rFonts w:ascii="Times New Roman" w:hAnsi="Times New Roman" w:cs="Times New Roman"/>
                <w:b/>
                <w:sz w:val="24"/>
                <w:szCs w:val="24"/>
              </w:rPr>
              <w:t>Respondents</w:t>
            </w:r>
          </w:p>
        </w:tc>
        <w:tc>
          <w:tcPr>
            <w:tcW w:w="1641" w:type="dxa"/>
          </w:tcPr>
          <w:p w:rsidR="00BB1784" w:rsidRPr="006508AA" w:rsidRDefault="00BB1784" w:rsidP="00BB1784">
            <w:pPr>
              <w:rPr>
                <w:rFonts w:ascii="Times New Roman" w:hAnsi="Times New Roman" w:cs="Times New Roman"/>
                <w:b/>
                <w:sz w:val="24"/>
                <w:szCs w:val="24"/>
              </w:rPr>
            </w:pPr>
            <w:r w:rsidRPr="006508AA">
              <w:rPr>
                <w:rFonts w:ascii="Times New Roman" w:hAnsi="Times New Roman" w:cs="Times New Roman"/>
                <w:b/>
                <w:sz w:val="24"/>
                <w:szCs w:val="24"/>
              </w:rPr>
              <w:t xml:space="preserve">No. of </w:t>
            </w:r>
          </w:p>
          <w:p w:rsidR="00BB1784" w:rsidRPr="006508AA" w:rsidRDefault="00BB1784" w:rsidP="00BB1784">
            <w:pPr>
              <w:rPr>
                <w:rFonts w:ascii="Times New Roman" w:hAnsi="Times New Roman" w:cs="Times New Roman"/>
                <w:b/>
                <w:sz w:val="24"/>
                <w:szCs w:val="24"/>
              </w:rPr>
            </w:pPr>
            <w:r w:rsidRPr="006508AA">
              <w:rPr>
                <w:rFonts w:ascii="Times New Roman" w:hAnsi="Times New Roman" w:cs="Times New Roman"/>
                <w:b/>
                <w:sz w:val="24"/>
                <w:szCs w:val="24"/>
              </w:rPr>
              <w:t xml:space="preserve">Responses per Respondent </w:t>
            </w:r>
          </w:p>
        </w:tc>
        <w:tc>
          <w:tcPr>
            <w:tcW w:w="1538" w:type="dxa"/>
          </w:tcPr>
          <w:p w:rsidR="00BB1784" w:rsidRPr="006508AA" w:rsidRDefault="00BB1784" w:rsidP="00BB1784">
            <w:pPr>
              <w:rPr>
                <w:rFonts w:ascii="Times New Roman" w:hAnsi="Times New Roman" w:cs="Times New Roman"/>
                <w:b/>
                <w:sz w:val="24"/>
                <w:szCs w:val="24"/>
              </w:rPr>
            </w:pPr>
            <w:r w:rsidRPr="006508AA">
              <w:rPr>
                <w:rFonts w:ascii="Times New Roman" w:hAnsi="Times New Roman" w:cs="Times New Roman"/>
                <w:b/>
                <w:sz w:val="24"/>
                <w:szCs w:val="24"/>
              </w:rPr>
              <w:t xml:space="preserve">Response Burden (hours) </w:t>
            </w:r>
          </w:p>
        </w:tc>
        <w:tc>
          <w:tcPr>
            <w:tcW w:w="1109" w:type="dxa"/>
          </w:tcPr>
          <w:p w:rsidR="00BB1784" w:rsidRPr="006508AA" w:rsidRDefault="00BB1784" w:rsidP="00BB1784">
            <w:pPr>
              <w:rPr>
                <w:rFonts w:ascii="Times New Roman" w:hAnsi="Times New Roman" w:cs="Times New Roman"/>
                <w:b/>
                <w:sz w:val="24"/>
                <w:szCs w:val="24"/>
              </w:rPr>
            </w:pPr>
            <w:r w:rsidRPr="006508AA">
              <w:rPr>
                <w:rFonts w:ascii="Times New Roman" w:hAnsi="Times New Roman" w:cs="Times New Roman"/>
                <w:b/>
                <w:sz w:val="24"/>
                <w:szCs w:val="24"/>
              </w:rPr>
              <w:t>Total Burden Hours</w:t>
            </w:r>
          </w:p>
        </w:tc>
      </w:tr>
      <w:tr w:rsidR="002F7DB0" w:rsidRPr="006508AA" w:rsidTr="00BB1784">
        <w:trPr>
          <w:trHeight w:val="1385"/>
        </w:trPr>
        <w:tc>
          <w:tcPr>
            <w:tcW w:w="1942"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ERSG Facilitator</w:t>
            </w:r>
          </w:p>
        </w:tc>
        <w:tc>
          <w:tcPr>
            <w:tcW w:w="1659" w:type="dxa"/>
          </w:tcPr>
          <w:p w:rsidR="002F7DB0" w:rsidRPr="006508AA" w:rsidRDefault="002F7DB0" w:rsidP="002F7DB0">
            <w:pPr>
              <w:widowControl w:val="0"/>
              <w:autoSpaceDE w:val="0"/>
              <w:autoSpaceDN w:val="0"/>
              <w:adjustRightInd w:val="0"/>
              <w:rPr>
                <w:rFonts w:ascii="Times New Roman" w:hAnsi="Times New Roman" w:cs="Times New Roman"/>
                <w:sz w:val="24"/>
                <w:szCs w:val="24"/>
              </w:rPr>
            </w:pPr>
            <w:r w:rsidRPr="006508AA">
              <w:rPr>
                <w:rFonts w:ascii="Times New Roman" w:hAnsi="Times New Roman" w:cs="Times New Roman"/>
                <w:bCs/>
                <w:iCs/>
                <w:sz w:val="24"/>
                <w:szCs w:val="24"/>
              </w:rPr>
              <w:t xml:space="preserve">Mid-Year Qualitative Interview with ERSG Facilitators </w:t>
            </w:r>
          </w:p>
        </w:tc>
        <w:tc>
          <w:tcPr>
            <w:tcW w:w="1687"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8</w:t>
            </w:r>
          </w:p>
        </w:tc>
        <w:tc>
          <w:tcPr>
            <w:tcW w:w="1641"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1</w:t>
            </w:r>
          </w:p>
        </w:tc>
        <w:tc>
          <w:tcPr>
            <w:tcW w:w="1538"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45/60</w:t>
            </w:r>
          </w:p>
        </w:tc>
        <w:tc>
          <w:tcPr>
            <w:tcW w:w="1109"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6</w:t>
            </w:r>
          </w:p>
        </w:tc>
      </w:tr>
      <w:tr w:rsidR="002F7DB0" w:rsidRPr="006508AA" w:rsidTr="00BB1784">
        <w:trPr>
          <w:trHeight w:val="1628"/>
        </w:trPr>
        <w:tc>
          <w:tcPr>
            <w:tcW w:w="1942"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 xml:space="preserve">ERSG Facilitator </w:t>
            </w:r>
          </w:p>
        </w:tc>
        <w:tc>
          <w:tcPr>
            <w:tcW w:w="1659" w:type="dxa"/>
          </w:tcPr>
          <w:p w:rsidR="002F7DB0" w:rsidRPr="006508AA" w:rsidRDefault="002F7DB0" w:rsidP="002F7DB0">
            <w:pPr>
              <w:spacing w:line="240" w:lineRule="auto"/>
              <w:rPr>
                <w:rFonts w:ascii="Times New Roman" w:hAnsi="Times New Roman" w:cs="Times New Roman"/>
                <w:sz w:val="24"/>
                <w:szCs w:val="24"/>
              </w:rPr>
            </w:pPr>
            <w:r w:rsidRPr="006508AA">
              <w:rPr>
                <w:rFonts w:ascii="Times New Roman" w:hAnsi="Times New Roman" w:cs="Times New Roman"/>
                <w:bCs/>
                <w:iCs/>
                <w:sz w:val="24"/>
                <w:szCs w:val="24"/>
              </w:rPr>
              <w:t xml:space="preserve">End of Year Qualitative Interview with ERSG Facilitators </w:t>
            </w:r>
          </w:p>
        </w:tc>
        <w:tc>
          <w:tcPr>
            <w:tcW w:w="1687"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8</w:t>
            </w:r>
          </w:p>
        </w:tc>
        <w:tc>
          <w:tcPr>
            <w:tcW w:w="1641"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 xml:space="preserve">1 </w:t>
            </w:r>
          </w:p>
        </w:tc>
        <w:tc>
          <w:tcPr>
            <w:tcW w:w="1538"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1</w:t>
            </w:r>
          </w:p>
        </w:tc>
        <w:tc>
          <w:tcPr>
            <w:tcW w:w="1109" w:type="dxa"/>
          </w:tcPr>
          <w:p w:rsidR="002F7DB0" w:rsidRPr="006508AA" w:rsidRDefault="002F7DB0" w:rsidP="002F7DB0">
            <w:pPr>
              <w:spacing w:line="480" w:lineRule="auto"/>
              <w:rPr>
                <w:rFonts w:ascii="Times New Roman" w:hAnsi="Times New Roman" w:cs="Times New Roman"/>
                <w:sz w:val="24"/>
                <w:szCs w:val="24"/>
              </w:rPr>
            </w:pPr>
            <w:r w:rsidRPr="006508AA">
              <w:rPr>
                <w:rFonts w:ascii="Times New Roman" w:hAnsi="Times New Roman" w:cs="Times New Roman"/>
                <w:sz w:val="24"/>
                <w:szCs w:val="24"/>
              </w:rPr>
              <w:t>8</w:t>
            </w:r>
          </w:p>
        </w:tc>
      </w:tr>
      <w:tr w:rsidR="00BB1784" w:rsidRPr="006508AA" w:rsidTr="00BB1784">
        <w:tc>
          <w:tcPr>
            <w:tcW w:w="6929" w:type="dxa"/>
            <w:gridSpan w:val="4"/>
          </w:tcPr>
          <w:p w:rsidR="00BB1784" w:rsidRPr="006508AA" w:rsidRDefault="00BB1784" w:rsidP="00BB1784">
            <w:pPr>
              <w:spacing w:line="480" w:lineRule="auto"/>
              <w:rPr>
                <w:rFonts w:ascii="Times New Roman" w:hAnsi="Times New Roman" w:cs="Times New Roman"/>
                <w:sz w:val="24"/>
                <w:szCs w:val="24"/>
              </w:rPr>
            </w:pPr>
            <w:r w:rsidRPr="006508AA">
              <w:rPr>
                <w:rFonts w:ascii="Times New Roman" w:hAnsi="Times New Roman" w:cs="Times New Roman"/>
                <w:sz w:val="24"/>
                <w:szCs w:val="24"/>
              </w:rPr>
              <w:t>Total</w:t>
            </w:r>
          </w:p>
        </w:tc>
        <w:tc>
          <w:tcPr>
            <w:tcW w:w="1538" w:type="dxa"/>
          </w:tcPr>
          <w:p w:rsidR="00BB1784" w:rsidRPr="006508AA" w:rsidRDefault="00BB1784" w:rsidP="00BB1784">
            <w:pPr>
              <w:spacing w:line="480" w:lineRule="auto"/>
              <w:rPr>
                <w:rFonts w:ascii="Times New Roman" w:hAnsi="Times New Roman" w:cs="Times New Roman"/>
                <w:sz w:val="24"/>
                <w:szCs w:val="24"/>
              </w:rPr>
            </w:pPr>
          </w:p>
        </w:tc>
        <w:tc>
          <w:tcPr>
            <w:tcW w:w="1109" w:type="dxa"/>
          </w:tcPr>
          <w:p w:rsidR="00BB1784" w:rsidRPr="006508AA" w:rsidRDefault="002F7DB0" w:rsidP="00BB1784">
            <w:pPr>
              <w:spacing w:line="480" w:lineRule="auto"/>
              <w:rPr>
                <w:rFonts w:ascii="Times New Roman" w:hAnsi="Times New Roman" w:cs="Times New Roman"/>
                <w:sz w:val="24"/>
                <w:szCs w:val="24"/>
              </w:rPr>
            </w:pPr>
            <w:r w:rsidRPr="006508AA">
              <w:rPr>
                <w:rFonts w:ascii="Times New Roman" w:hAnsi="Times New Roman" w:cs="Times New Roman"/>
                <w:sz w:val="24"/>
                <w:szCs w:val="24"/>
              </w:rPr>
              <w:t>14</w:t>
            </w:r>
          </w:p>
        </w:tc>
      </w:tr>
    </w:tbl>
    <w:p w:rsidR="00B957D1" w:rsidRDefault="00B957D1" w:rsidP="00B957D1">
      <w:pPr>
        <w:rPr>
          <w:rFonts w:ascii="Times New Roman" w:hAnsi="Times New Roman" w:cs="Times New Roman"/>
          <w:sz w:val="24"/>
          <w:szCs w:val="24"/>
        </w:rPr>
      </w:pPr>
    </w:p>
    <w:p w:rsidR="00732255" w:rsidRDefault="00732255" w:rsidP="00B957D1">
      <w:pPr>
        <w:rPr>
          <w:rFonts w:ascii="Times New Roman" w:hAnsi="Times New Roman" w:cs="Times New Roman"/>
          <w:sz w:val="24"/>
          <w:szCs w:val="24"/>
        </w:rPr>
      </w:pPr>
      <w:proofErr w:type="gramStart"/>
      <w:r>
        <w:rPr>
          <w:rFonts w:ascii="Times New Roman" w:hAnsi="Times New Roman" w:cs="Times New Roman"/>
          <w:sz w:val="24"/>
          <w:szCs w:val="24"/>
        </w:rPr>
        <w:t>Table 2.</w:t>
      </w:r>
      <w:proofErr w:type="gramEnd"/>
      <w:r>
        <w:rPr>
          <w:rFonts w:ascii="Times New Roman" w:hAnsi="Times New Roman" w:cs="Times New Roman"/>
          <w:sz w:val="24"/>
          <w:szCs w:val="24"/>
        </w:rPr>
        <w:t xml:space="preserve"> Cost associated with interviews.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1350"/>
        <w:gridCol w:w="1530"/>
        <w:gridCol w:w="1620"/>
        <w:gridCol w:w="1260"/>
        <w:gridCol w:w="1080"/>
        <w:gridCol w:w="1530"/>
      </w:tblGrid>
      <w:tr w:rsidR="001D44BE" w:rsidRPr="00036F01" w:rsidTr="0059456A">
        <w:tc>
          <w:tcPr>
            <w:tcW w:w="1638" w:type="dxa"/>
          </w:tcPr>
          <w:p w:rsidR="001D44BE" w:rsidRPr="001B5D5B" w:rsidRDefault="001D44BE" w:rsidP="0059456A">
            <w:pPr>
              <w:spacing w:after="0" w:line="240" w:lineRule="auto"/>
              <w:rPr>
                <w:b/>
              </w:rPr>
            </w:pPr>
            <w:r w:rsidRPr="001B5D5B">
              <w:rPr>
                <w:b/>
              </w:rPr>
              <w:t xml:space="preserve">Type of Respondent </w:t>
            </w:r>
          </w:p>
        </w:tc>
        <w:tc>
          <w:tcPr>
            <w:tcW w:w="1350" w:type="dxa"/>
          </w:tcPr>
          <w:p w:rsidR="001D44BE" w:rsidRPr="001B5D5B" w:rsidRDefault="001D44BE" w:rsidP="0059456A">
            <w:pPr>
              <w:spacing w:after="0" w:line="240" w:lineRule="auto"/>
              <w:rPr>
                <w:b/>
              </w:rPr>
            </w:pPr>
            <w:r w:rsidRPr="001B5D5B">
              <w:rPr>
                <w:b/>
              </w:rPr>
              <w:t>Form Name</w:t>
            </w:r>
          </w:p>
        </w:tc>
        <w:tc>
          <w:tcPr>
            <w:tcW w:w="1530" w:type="dxa"/>
          </w:tcPr>
          <w:p w:rsidR="001D44BE" w:rsidRPr="001B5D5B" w:rsidRDefault="001D44BE" w:rsidP="0059456A">
            <w:pPr>
              <w:spacing w:after="0" w:line="240" w:lineRule="auto"/>
              <w:rPr>
                <w:b/>
              </w:rPr>
            </w:pPr>
            <w:r w:rsidRPr="001B5D5B">
              <w:rPr>
                <w:b/>
              </w:rPr>
              <w:t xml:space="preserve">No. of </w:t>
            </w:r>
          </w:p>
          <w:p w:rsidR="001D44BE" w:rsidRPr="001B5D5B" w:rsidRDefault="001D44BE" w:rsidP="0059456A">
            <w:pPr>
              <w:spacing w:after="0" w:line="240" w:lineRule="auto"/>
              <w:rPr>
                <w:b/>
              </w:rPr>
            </w:pPr>
            <w:r w:rsidRPr="001B5D5B">
              <w:rPr>
                <w:b/>
              </w:rPr>
              <w:t>Respondents</w:t>
            </w:r>
          </w:p>
        </w:tc>
        <w:tc>
          <w:tcPr>
            <w:tcW w:w="1620" w:type="dxa"/>
          </w:tcPr>
          <w:p w:rsidR="001D44BE" w:rsidRPr="001B5D5B" w:rsidRDefault="001D44BE" w:rsidP="0059456A">
            <w:pPr>
              <w:spacing w:after="0" w:line="240" w:lineRule="auto"/>
              <w:rPr>
                <w:b/>
              </w:rPr>
            </w:pPr>
            <w:r w:rsidRPr="001B5D5B">
              <w:rPr>
                <w:b/>
              </w:rPr>
              <w:t xml:space="preserve">No. of </w:t>
            </w:r>
          </w:p>
          <w:p w:rsidR="001D44BE" w:rsidRPr="001B5D5B" w:rsidRDefault="001D44BE" w:rsidP="0059456A">
            <w:pPr>
              <w:spacing w:after="0" w:line="240" w:lineRule="auto"/>
              <w:rPr>
                <w:b/>
              </w:rPr>
            </w:pPr>
            <w:r w:rsidRPr="001B5D5B">
              <w:rPr>
                <w:b/>
              </w:rPr>
              <w:t xml:space="preserve">Responses per Respondent </w:t>
            </w:r>
          </w:p>
        </w:tc>
        <w:tc>
          <w:tcPr>
            <w:tcW w:w="1260" w:type="dxa"/>
          </w:tcPr>
          <w:p w:rsidR="001D44BE" w:rsidRPr="001B5D5B" w:rsidRDefault="001D44BE" w:rsidP="0059456A">
            <w:pPr>
              <w:spacing w:after="0" w:line="240" w:lineRule="auto"/>
              <w:rPr>
                <w:b/>
              </w:rPr>
            </w:pPr>
            <w:r w:rsidRPr="001B5D5B">
              <w:rPr>
                <w:b/>
              </w:rPr>
              <w:t xml:space="preserve">Response Burden (hours) </w:t>
            </w:r>
          </w:p>
        </w:tc>
        <w:tc>
          <w:tcPr>
            <w:tcW w:w="1080" w:type="dxa"/>
          </w:tcPr>
          <w:p w:rsidR="001D44BE" w:rsidRPr="001B5D5B" w:rsidRDefault="001D44BE" w:rsidP="0059456A">
            <w:pPr>
              <w:spacing w:after="0" w:line="240" w:lineRule="auto"/>
              <w:rPr>
                <w:b/>
              </w:rPr>
            </w:pPr>
            <w:r w:rsidRPr="001B5D5B">
              <w:rPr>
                <w:b/>
              </w:rPr>
              <w:t>Hourly Wage Cost</w:t>
            </w:r>
          </w:p>
        </w:tc>
        <w:tc>
          <w:tcPr>
            <w:tcW w:w="1530" w:type="dxa"/>
          </w:tcPr>
          <w:p w:rsidR="001D44BE" w:rsidRPr="001B5D5B" w:rsidRDefault="001D44BE" w:rsidP="0059456A">
            <w:pPr>
              <w:spacing w:after="0" w:line="240" w:lineRule="auto"/>
              <w:rPr>
                <w:b/>
              </w:rPr>
            </w:pPr>
            <w:r w:rsidRPr="001B5D5B">
              <w:rPr>
                <w:b/>
              </w:rPr>
              <w:t>Respondent Cost</w:t>
            </w:r>
          </w:p>
        </w:tc>
      </w:tr>
      <w:tr w:rsidR="001D44BE" w:rsidRPr="00036F01" w:rsidTr="0059456A">
        <w:tc>
          <w:tcPr>
            <w:tcW w:w="1638" w:type="dxa"/>
            <w:vMerge w:val="restart"/>
          </w:tcPr>
          <w:p w:rsidR="001D44BE" w:rsidRPr="00165481" w:rsidRDefault="001D44BE" w:rsidP="0059456A">
            <w:pPr>
              <w:spacing w:after="0" w:line="240" w:lineRule="auto"/>
            </w:pPr>
            <w:r>
              <w:t>Facilitators</w:t>
            </w:r>
          </w:p>
          <w:p w:rsidR="001D44BE" w:rsidRPr="00165481" w:rsidRDefault="001D44BE" w:rsidP="0059456A">
            <w:pPr>
              <w:spacing w:after="0" w:line="240" w:lineRule="auto"/>
            </w:pPr>
          </w:p>
        </w:tc>
        <w:tc>
          <w:tcPr>
            <w:tcW w:w="1350" w:type="dxa"/>
          </w:tcPr>
          <w:p w:rsidR="001D44BE" w:rsidRPr="00036F01" w:rsidRDefault="001D44BE" w:rsidP="0059456A">
            <w:pPr>
              <w:spacing w:after="0" w:line="240" w:lineRule="auto"/>
              <w:rPr>
                <w:rFonts w:ascii="Courier New" w:hAnsi="Courier New" w:cs="Courier New"/>
              </w:rPr>
            </w:pPr>
            <w:r w:rsidRPr="006508AA">
              <w:rPr>
                <w:rFonts w:ascii="Times New Roman" w:hAnsi="Times New Roman" w:cs="Times New Roman"/>
                <w:bCs/>
                <w:iCs/>
                <w:sz w:val="24"/>
                <w:szCs w:val="24"/>
              </w:rPr>
              <w:t>Mid-Year Qualitative Interview with ERSG Facilitators</w:t>
            </w:r>
          </w:p>
        </w:tc>
        <w:tc>
          <w:tcPr>
            <w:tcW w:w="1530" w:type="dxa"/>
          </w:tcPr>
          <w:p w:rsidR="001D44BE" w:rsidRPr="00036F01" w:rsidRDefault="001D44BE" w:rsidP="0059456A">
            <w:pPr>
              <w:spacing w:after="0" w:line="240" w:lineRule="auto"/>
              <w:rPr>
                <w:rFonts w:ascii="Courier New" w:hAnsi="Courier New" w:cs="Courier New"/>
              </w:rPr>
            </w:pPr>
            <w:r>
              <w:t>8</w:t>
            </w:r>
          </w:p>
        </w:tc>
        <w:tc>
          <w:tcPr>
            <w:tcW w:w="1620" w:type="dxa"/>
          </w:tcPr>
          <w:p w:rsidR="001D44BE" w:rsidRPr="00036F01" w:rsidRDefault="001D44BE" w:rsidP="0059456A">
            <w:pPr>
              <w:spacing w:after="0" w:line="240" w:lineRule="auto"/>
              <w:rPr>
                <w:rFonts w:ascii="Courier New" w:hAnsi="Courier New" w:cs="Courier New"/>
              </w:rPr>
            </w:pPr>
            <w:r w:rsidRPr="009B764C">
              <w:t>1</w:t>
            </w:r>
          </w:p>
        </w:tc>
        <w:tc>
          <w:tcPr>
            <w:tcW w:w="1260" w:type="dxa"/>
          </w:tcPr>
          <w:p w:rsidR="001D44BE" w:rsidRPr="00036F01" w:rsidRDefault="001D44BE" w:rsidP="0059456A">
            <w:pPr>
              <w:spacing w:after="0" w:line="240" w:lineRule="auto"/>
              <w:rPr>
                <w:rFonts w:ascii="Courier New" w:hAnsi="Courier New" w:cs="Courier New"/>
              </w:rPr>
            </w:pPr>
            <w:r>
              <w:t>4</w:t>
            </w:r>
            <w:r w:rsidRPr="009B764C">
              <w:t>5/60</w:t>
            </w:r>
          </w:p>
        </w:tc>
        <w:tc>
          <w:tcPr>
            <w:tcW w:w="1080" w:type="dxa"/>
          </w:tcPr>
          <w:p w:rsidR="001D44BE" w:rsidRPr="009B764C" w:rsidRDefault="001D44BE" w:rsidP="0059456A">
            <w:pPr>
              <w:spacing w:after="0" w:line="240" w:lineRule="auto"/>
            </w:pPr>
            <w:r>
              <w:t>$22.76</w:t>
            </w:r>
          </w:p>
        </w:tc>
        <w:tc>
          <w:tcPr>
            <w:tcW w:w="1530" w:type="dxa"/>
          </w:tcPr>
          <w:p w:rsidR="001D44BE" w:rsidRPr="009B764C" w:rsidRDefault="001D44BE" w:rsidP="0059456A">
            <w:pPr>
              <w:spacing w:after="0" w:line="240" w:lineRule="auto"/>
            </w:pPr>
            <w:r>
              <w:t>$136.56</w:t>
            </w:r>
          </w:p>
        </w:tc>
      </w:tr>
      <w:tr w:rsidR="001B09D1" w:rsidRPr="00036F01" w:rsidTr="0059456A">
        <w:trPr>
          <w:trHeight w:val="1880"/>
        </w:trPr>
        <w:tc>
          <w:tcPr>
            <w:tcW w:w="1638" w:type="dxa"/>
            <w:vMerge/>
          </w:tcPr>
          <w:p w:rsidR="001B09D1" w:rsidRPr="00165481" w:rsidRDefault="001B09D1" w:rsidP="0059456A">
            <w:pPr>
              <w:spacing w:after="0" w:line="240" w:lineRule="auto"/>
            </w:pPr>
          </w:p>
        </w:tc>
        <w:tc>
          <w:tcPr>
            <w:tcW w:w="1350" w:type="dxa"/>
          </w:tcPr>
          <w:p w:rsidR="001B09D1" w:rsidRPr="009B764C" w:rsidRDefault="001B09D1" w:rsidP="0059456A">
            <w:pPr>
              <w:spacing w:after="0" w:line="240" w:lineRule="auto"/>
            </w:pPr>
            <w:r w:rsidRPr="006508AA">
              <w:rPr>
                <w:rFonts w:ascii="Times New Roman" w:hAnsi="Times New Roman" w:cs="Times New Roman"/>
                <w:bCs/>
                <w:iCs/>
                <w:sz w:val="24"/>
                <w:szCs w:val="24"/>
              </w:rPr>
              <w:t>End of Year Qualitative Interview with ERSG Facilitators</w:t>
            </w:r>
          </w:p>
        </w:tc>
        <w:tc>
          <w:tcPr>
            <w:tcW w:w="1530" w:type="dxa"/>
          </w:tcPr>
          <w:p w:rsidR="001B09D1" w:rsidRPr="00036F01" w:rsidRDefault="001B09D1" w:rsidP="0059456A">
            <w:pPr>
              <w:spacing w:after="0" w:line="240" w:lineRule="auto"/>
              <w:rPr>
                <w:rFonts w:ascii="Courier New" w:hAnsi="Courier New" w:cs="Courier New"/>
              </w:rPr>
            </w:pPr>
            <w:r>
              <w:t>8</w:t>
            </w:r>
          </w:p>
        </w:tc>
        <w:tc>
          <w:tcPr>
            <w:tcW w:w="1620" w:type="dxa"/>
          </w:tcPr>
          <w:p w:rsidR="001B09D1" w:rsidRPr="00036F01" w:rsidRDefault="001B09D1" w:rsidP="0059456A">
            <w:pPr>
              <w:spacing w:after="0" w:line="240" w:lineRule="auto"/>
              <w:rPr>
                <w:rFonts w:ascii="Courier New" w:hAnsi="Courier New" w:cs="Courier New"/>
              </w:rPr>
            </w:pPr>
            <w:r w:rsidRPr="009B764C">
              <w:t>1</w:t>
            </w:r>
          </w:p>
        </w:tc>
        <w:tc>
          <w:tcPr>
            <w:tcW w:w="1260" w:type="dxa"/>
          </w:tcPr>
          <w:p w:rsidR="001B09D1" w:rsidRPr="00036F01" w:rsidRDefault="001B09D1" w:rsidP="0059456A">
            <w:pPr>
              <w:spacing w:after="0" w:line="240" w:lineRule="auto"/>
              <w:rPr>
                <w:rFonts w:ascii="Courier New" w:hAnsi="Courier New" w:cs="Courier New"/>
              </w:rPr>
            </w:pPr>
            <w:r w:rsidRPr="009B764C">
              <w:t>1</w:t>
            </w:r>
          </w:p>
        </w:tc>
        <w:tc>
          <w:tcPr>
            <w:tcW w:w="1080" w:type="dxa"/>
          </w:tcPr>
          <w:p w:rsidR="001B09D1" w:rsidRPr="009B764C" w:rsidRDefault="001B09D1" w:rsidP="0059456A">
            <w:pPr>
              <w:spacing w:after="0" w:line="240" w:lineRule="auto"/>
            </w:pPr>
            <w:r>
              <w:t>$22.76</w:t>
            </w:r>
          </w:p>
        </w:tc>
        <w:tc>
          <w:tcPr>
            <w:tcW w:w="1530" w:type="dxa"/>
          </w:tcPr>
          <w:p w:rsidR="001B09D1" w:rsidRPr="009B764C" w:rsidRDefault="001B09D1" w:rsidP="0059456A">
            <w:pPr>
              <w:spacing w:after="0" w:line="240" w:lineRule="auto"/>
            </w:pPr>
            <w:r>
              <w:t>$182.08</w:t>
            </w:r>
          </w:p>
        </w:tc>
      </w:tr>
      <w:tr w:rsidR="001D44BE" w:rsidRPr="00036F01" w:rsidTr="0059456A">
        <w:tc>
          <w:tcPr>
            <w:tcW w:w="6138" w:type="dxa"/>
            <w:gridSpan w:val="4"/>
          </w:tcPr>
          <w:p w:rsidR="001D44BE" w:rsidRPr="009B764C" w:rsidRDefault="001D44BE" w:rsidP="0059456A">
            <w:pPr>
              <w:spacing w:after="0" w:line="240" w:lineRule="auto"/>
            </w:pPr>
            <w:r>
              <w:t>Total</w:t>
            </w:r>
          </w:p>
        </w:tc>
        <w:tc>
          <w:tcPr>
            <w:tcW w:w="1260" w:type="dxa"/>
          </w:tcPr>
          <w:p w:rsidR="001D44BE" w:rsidRPr="009B764C" w:rsidRDefault="001D44BE" w:rsidP="0059456A">
            <w:pPr>
              <w:spacing w:after="0" w:line="240" w:lineRule="auto"/>
            </w:pPr>
          </w:p>
        </w:tc>
        <w:tc>
          <w:tcPr>
            <w:tcW w:w="1080" w:type="dxa"/>
          </w:tcPr>
          <w:p w:rsidR="001D44BE" w:rsidRDefault="001D44BE" w:rsidP="0059456A">
            <w:pPr>
              <w:spacing w:after="0" w:line="240" w:lineRule="auto"/>
            </w:pPr>
          </w:p>
        </w:tc>
        <w:tc>
          <w:tcPr>
            <w:tcW w:w="1530" w:type="dxa"/>
          </w:tcPr>
          <w:p w:rsidR="001D44BE" w:rsidRDefault="001D44BE" w:rsidP="0059456A">
            <w:pPr>
              <w:spacing w:after="0" w:line="240" w:lineRule="auto"/>
            </w:pPr>
            <w:r>
              <w:t>$</w:t>
            </w:r>
            <w:r w:rsidR="001B09D1">
              <w:t>318.64</w:t>
            </w:r>
          </w:p>
        </w:tc>
      </w:tr>
    </w:tbl>
    <w:p w:rsidR="001D44BE" w:rsidRPr="006508AA" w:rsidRDefault="001D44BE" w:rsidP="00B957D1">
      <w:pPr>
        <w:rPr>
          <w:rFonts w:ascii="Times New Roman" w:hAnsi="Times New Roman" w:cs="Times New Roman"/>
          <w:sz w:val="24"/>
          <w:szCs w:val="24"/>
        </w:rPr>
      </w:pPr>
    </w:p>
    <w:p w:rsidR="002F7DB0" w:rsidRDefault="002F7DB0" w:rsidP="00DE3048">
      <w:pPr>
        <w:jc w:val="center"/>
        <w:rPr>
          <w:rFonts w:ascii="Times New Roman" w:hAnsi="Times New Roman" w:cs="Times New Roman"/>
          <w:b/>
          <w:sz w:val="24"/>
          <w:szCs w:val="24"/>
        </w:rPr>
      </w:pPr>
    </w:p>
    <w:p w:rsidR="006508AA" w:rsidRDefault="006508AA" w:rsidP="00DE3048">
      <w:pPr>
        <w:jc w:val="center"/>
        <w:rPr>
          <w:rFonts w:ascii="Times New Roman" w:hAnsi="Times New Roman" w:cs="Times New Roman"/>
          <w:b/>
          <w:sz w:val="24"/>
          <w:szCs w:val="24"/>
        </w:rPr>
      </w:pPr>
    </w:p>
    <w:p w:rsidR="006508AA" w:rsidRDefault="006508AA" w:rsidP="00DE3048">
      <w:pPr>
        <w:jc w:val="center"/>
        <w:rPr>
          <w:rFonts w:ascii="Times New Roman" w:hAnsi="Times New Roman" w:cs="Times New Roman"/>
          <w:b/>
          <w:sz w:val="24"/>
          <w:szCs w:val="24"/>
        </w:rPr>
      </w:pPr>
    </w:p>
    <w:p w:rsidR="006508AA" w:rsidRDefault="006508AA" w:rsidP="00DE3048">
      <w:pPr>
        <w:jc w:val="center"/>
        <w:rPr>
          <w:rFonts w:ascii="Times New Roman" w:hAnsi="Times New Roman" w:cs="Times New Roman"/>
          <w:b/>
          <w:sz w:val="24"/>
          <w:szCs w:val="24"/>
        </w:rPr>
      </w:pPr>
    </w:p>
    <w:p w:rsidR="006508AA" w:rsidRDefault="006508AA" w:rsidP="00DE3048">
      <w:pPr>
        <w:jc w:val="center"/>
        <w:rPr>
          <w:rFonts w:ascii="Times New Roman" w:hAnsi="Times New Roman" w:cs="Times New Roman"/>
          <w:b/>
          <w:sz w:val="24"/>
          <w:szCs w:val="24"/>
        </w:rPr>
      </w:pPr>
    </w:p>
    <w:p w:rsidR="006508AA" w:rsidRPr="006508AA" w:rsidRDefault="006508AA" w:rsidP="00DE3048">
      <w:pPr>
        <w:jc w:val="center"/>
        <w:rPr>
          <w:rFonts w:ascii="Times New Roman" w:hAnsi="Times New Roman" w:cs="Times New Roman"/>
          <w:b/>
          <w:sz w:val="24"/>
          <w:szCs w:val="24"/>
        </w:rPr>
      </w:pPr>
    </w:p>
    <w:p w:rsidR="00DD0C28" w:rsidRDefault="00DD0C28" w:rsidP="00DE3048">
      <w:pPr>
        <w:jc w:val="center"/>
        <w:rPr>
          <w:rFonts w:ascii="Times New Roman" w:hAnsi="Times New Roman" w:cs="Times New Roman"/>
          <w:b/>
          <w:sz w:val="24"/>
          <w:szCs w:val="24"/>
        </w:rPr>
      </w:pPr>
    </w:p>
    <w:p w:rsidR="00DD0C28" w:rsidRDefault="00DD0C28" w:rsidP="00DE3048">
      <w:pPr>
        <w:jc w:val="center"/>
        <w:rPr>
          <w:rFonts w:ascii="Times New Roman" w:hAnsi="Times New Roman" w:cs="Times New Roman"/>
          <w:b/>
          <w:sz w:val="24"/>
          <w:szCs w:val="24"/>
        </w:rPr>
      </w:pPr>
    </w:p>
    <w:p w:rsidR="00CF3E5A" w:rsidRDefault="00CF3E5A">
      <w:pPr>
        <w:rPr>
          <w:rFonts w:ascii="Times New Roman" w:hAnsi="Times New Roman" w:cs="Times New Roman"/>
          <w:b/>
          <w:sz w:val="24"/>
          <w:szCs w:val="24"/>
        </w:rPr>
      </w:pPr>
      <w:r>
        <w:rPr>
          <w:rFonts w:ascii="Times New Roman" w:hAnsi="Times New Roman" w:cs="Times New Roman"/>
          <w:b/>
          <w:sz w:val="24"/>
          <w:szCs w:val="24"/>
        </w:rPr>
        <w:br w:type="page"/>
      </w:r>
    </w:p>
    <w:p w:rsidR="00DE3048" w:rsidRPr="006508AA" w:rsidRDefault="00DE3048" w:rsidP="00DE3048">
      <w:pPr>
        <w:jc w:val="center"/>
        <w:rPr>
          <w:rFonts w:ascii="Times New Roman" w:hAnsi="Times New Roman" w:cs="Times New Roman"/>
          <w:b/>
          <w:sz w:val="24"/>
          <w:szCs w:val="24"/>
        </w:rPr>
      </w:pPr>
      <w:r w:rsidRPr="006508AA">
        <w:rPr>
          <w:rFonts w:ascii="Times New Roman" w:hAnsi="Times New Roman" w:cs="Times New Roman"/>
          <w:b/>
          <w:sz w:val="24"/>
          <w:szCs w:val="24"/>
        </w:rPr>
        <w:lastRenderedPageBreak/>
        <w:t>Appendices</w:t>
      </w:r>
    </w:p>
    <w:p w:rsidR="00DE3048" w:rsidRPr="006508AA" w:rsidRDefault="00DE3048" w:rsidP="00DE3048">
      <w:pPr>
        <w:jc w:val="center"/>
        <w:rPr>
          <w:rFonts w:ascii="Times New Roman" w:hAnsi="Times New Roman" w:cs="Times New Roman"/>
          <w:b/>
          <w:sz w:val="24"/>
          <w:szCs w:val="24"/>
        </w:rPr>
      </w:pPr>
    </w:p>
    <w:p w:rsidR="00DE3048" w:rsidRPr="006508AA" w:rsidRDefault="00CB5AAB" w:rsidP="00B957D1">
      <w:pPr>
        <w:rPr>
          <w:rFonts w:ascii="Times New Roman" w:hAnsi="Times New Roman" w:cs="Times New Roman"/>
          <w:sz w:val="24"/>
          <w:szCs w:val="24"/>
        </w:rPr>
      </w:pPr>
      <w:r>
        <w:rPr>
          <w:rFonts w:ascii="Times New Roman" w:hAnsi="Times New Roman" w:cs="Times New Roman"/>
          <w:sz w:val="24"/>
          <w:szCs w:val="24"/>
        </w:rPr>
        <w:t>Attachment K</w:t>
      </w:r>
      <w:r w:rsidR="00DE3048" w:rsidRPr="006508AA">
        <w:rPr>
          <w:rFonts w:ascii="Times New Roman" w:hAnsi="Times New Roman" w:cs="Times New Roman"/>
          <w:sz w:val="24"/>
          <w:szCs w:val="24"/>
        </w:rPr>
        <w:t xml:space="preserve">:  </w:t>
      </w:r>
      <w:r w:rsidR="002F7DB0" w:rsidRPr="006508AA">
        <w:rPr>
          <w:rFonts w:ascii="Times New Roman" w:hAnsi="Times New Roman" w:cs="Times New Roman"/>
          <w:sz w:val="24"/>
          <w:szCs w:val="24"/>
        </w:rPr>
        <w:t xml:space="preserve">Mid-Year ERSG Facilitator Qualitative Interview Guide </w:t>
      </w:r>
    </w:p>
    <w:p w:rsidR="00DE3048" w:rsidRPr="006508AA" w:rsidRDefault="00CB5AAB" w:rsidP="00B957D1">
      <w:pPr>
        <w:rPr>
          <w:rFonts w:ascii="Times New Roman" w:hAnsi="Times New Roman" w:cs="Times New Roman"/>
          <w:sz w:val="24"/>
          <w:szCs w:val="24"/>
        </w:rPr>
      </w:pPr>
      <w:r>
        <w:rPr>
          <w:rFonts w:ascii="Times New Roman" w:hAnsi="Times New Roman" w:cs="Times New Roman"/>
          <w:sz w:val="24"/>
          <w:szCs w:val="24"/>
        </w:rPr>
        <w:t>Attachment L</w:t>
      </w:r>
      <w:r w:rsidR="00DE3048" w:rsidRPr="006508AA">
        <w:rPr>
          <w:rFonts w:ascii="Times New Roman" w:hAnsi="Times New Roman" w:cs="Times New Roman"/>
          <w:sz w:val="24"/>
          <w:szCs w:val="24"/>
        </w:rPr>
        <w:t xml:space="preserve">:  </w:t>
      </w:r>
      <w:r w:rsidR="002F7DB0" w:rsidRPr="006508AA">
        <w:rPr>
          <w:rFonts w:ascii="Times New Roman" w:hAnsi="Times New Roman" w:cs="Times New Roman"/>
          <w:sz w:val="24"/>
          <w:szCs w:val="24"/>
        </w:rPr>
        <w:t>End of Year ERSG Facilitator Qualitative Interview Guide</w:t>
      </w:r>
    </w:p>
    <w:sectPr w:rsidR="00DE3048" w:rsidRPr="006508AA" w:rsidSect="008824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28" w:rsidRDefault="00421128" w:rsidP="00A65403">
      <w:pPr>
        <w:spacing w:after="0" w:line="240" w:lineRule="auto"/>
      </w:pPr>
      <w:r>
        <w:separator/>
      </w:r>
    </w:p>
  </w:endnote>
  <w:endnote w:type="continuationSeparator" w:id="0">
    <w:p w:rsidR="00421128" w:rsidRDefault="00421128"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28" w:rsidRDefault="00421128">
    <w:pPr>
      <w:pStyle w:val="Footer"/>
    </w:pPr>
    <w:r>
      <w:t>Created:  August 9,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28" w:rsidRDefault="00421128" w:rsidP="00A65403">
      <w:pPr>
        <w:spacing w:after="0" w:line="240" w:lineRule="auto"/>
      </w:pPr>
      <w:r>
        <w:separator/>
      </w:r>
    </w:p>
  </w:footnote>
  <w:footnote w:type="continuationSeparator" w:id="0">
    <w:p w:rsidR="00421128" w:rsidRDefault="00421128"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2A82DB8"/>
    <w:lvl w:ilvl="0">
      <w:numFmt w:val="bullet"/>
      <w:lvlText w:val="*"/>
      <w:lvlJc w:val="left"/>
      <w:pPr>
        <w:ind w:left="0" w:firstLine="0"/>
      </w:pPr>
    </w:lvl>
  </w:abstractNum>
  <w:abstractNum w:abstractNumId="1">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7D282D"/>
    <w:multiLevelType w:val="hybridMultilevel"/>
    <w:tmpl w:val="A912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1267F"/>
    <w:multiLevelType w:val="hybridMultilevel"/>
    <w:tmpl w:val="59884934"/>
    <w:lvl w:ilvl="0" w:tplc="0409000F">
      <w:start w:val="1"/>
      <w:numFmt w:val="decimal"/>
      <w:lvlText w:val="%1."/>
      <w:lvlJc w:val="left"/>
      <w:pPr>
        <w:ind w:left="72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3C6D6805"/>
    <w:multiLevelType w:val="hybridMultilevel"/>
    <w:tmpl w:val="6B88D7C6"/>
    <w:lvl w:ilvl="0" w:tplc="04090015">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5A07CD"/>
    <w:multiLevelType w:val="hybridMultilevel"/>
    <w:tmpl w:val="DF508B82"/>
    <w:lvl w:ilvl="0" w:tplc="340E7A3A">
      <w:start w:val="1"/>
      <w:numFmt w:val="bullet"/>
      <w:lvlText w:val=""/>
      <w:lvlJc w:val="left"/>
      <w:pPr>
        <w:tabs>
          <w:tab w:val="num" w:pos="144"/>
        </w:tabs>
        <w:ind w:left="288" w:hanging="288"/>
      </w:pPr>
      <w:rPr>
        <w:rFonts w:ascii="Wingdings" w:hAnsi="Wingdings" w:hint="default"/>
        <w:sz w:val="28"/>
      </w:rPr>
    </w:lvl>
    <w:lvl w:ilvl="1" w:tplc="A0D47072">
      <w:start w:val="1"/>
      <w:numFmt w:val="bullet"/>
      <w:lvlText w:val=""/>
      <w:lvlJc w:val="left"/>
      <w:pPr>
        <w:tabs>
          <w:tab w:val="num" w:pos="864"/>
        </w:tabs>
        <w:ind w:left="1008" w:hanging="288"/>
      </w:pPr>
      <w:rPr>
        <w:rFonts w:ascii="Wingdings" w:hAnsi="Wingdings" w:hint="default"/>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nsid w:val="55C531D1"/>
    <w:multiLevelType w:val="hybridMultilevel"/>
    <w:tmpl w:val="C8C4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101E4F"/>
    <w:multiLevelType w:val="hybridMultilevel"/>
    <w:tmpl w:val="C93E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965501"/>
    <w:multiLevelType w:val="hybridMultilevel"/>
    <w:tmpl w:val="A6CC4CC2"/>
    <w:lvl w:ilvl="0" w:tplc="3D3A5516">
      <w:start w:val="1"/>
      <w:numFmt w:val="bullet"/>
      <w:lvlText w:val=""/>
      <w:lvlJc w:val="left"/>
      <w:pPr>
        <w:tabs>
          <w:tab w:val="num" w:pos="144"/>
        </w:tabs>
        <w:ind w:left="288" w:hanging="288"/>
      </w:pPr>
      <w:rPr>
        <w:rFonts w:ascii="Wingdings" w:hAnsi="Wingdings" w:hint="default"/>
        <w:sz w:val="28"/>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DFA183A"/>
    <w:multiLevelType w:val="hybridMultilevel"/>
    <w:tmpl w:val="DD964A66"/>
    <w:lvl w:ilvl="0" w:tplc="5762A262">
      <w:start w:val="1"/>
      <w:numFmt w:val="bullet"/>
      <w:lvlText w:val=""/>
      <w:lvlJc w:val="left"/>
      <w:pPr>
        <w:tabs>
          <w:tab w:val="num" w:pos="144"/>
        </w:tabs>
        <w:ind w:left="288" w:hanging="288"/>
      </w:pPr>
      <w:rPr>
        <w:rFonts w:ascii="Wingdings" w:hAnsi="Wingdings" w:hint="default"/>
        <w:sz w:val="28"/>
      </w:rPr>
    </w:lvl>
    <w:lvl w:ilvl="1" w:tplc="A0D47072">
      <w:start w:val="1"/>
      <w:numFmt w:val="bullet"/>
      <w:lvlText w:val=""/>
      <w:lvlJc w:val="left"/>
      <w:pPr>
        <w:tabs>
          <w:tab w:val="num" w:pos="864"/>
        </w:tabs>
        <w:ind w:left="1008" w:hanging="288"/>
      </w:pPr>
      <w:rPr>
        <w:rFonts w:ascii="Wingdings" w:hAnsi="Wingdings" w:hint="default"/>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0B5B55"/>
    <w:multiLevelType w:val="hybridMultilevel"/>
    <w:tmpl w:val="E6E09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2"/>
  </w:num>
  <w:num w:numId="5">
    <w:abstractNumId w:val="0"/>
    <w:lvlOverride w:ilvl="0">
      <w:lvl w:ilvl="0">
        <w:numFmt w:val="bullet"/>
        <w:lvlText w:val=""/>
        <w:legacy w:legacy="1" w:legacySpace="0" w:legacyIndent="360"/>
        <w:lvlJc w:val="left"/>
        <w:pPr>
          <w:ind w:left="0" w:firstLine="0"/>
        </w:pPr>
        <w:rPr>
          <w:rFonts w:ascii="Symbol" w:hAnsi="Symbol" w:hint="default"/>
        </w:rPr>
      </w:lvl>
    </w:lvlOverride>
  </w:num>
  <w:num w:numId="6">
    <w:abstractNumId w:val="10"/>
  </w:num>
  <w:num w:numId="7">
    <w:abstractNumId w:val="11"/>
  </w:num>
  <w:num w:numId="8">
    <w:abstractNumId w:val="6"/>
  </w:num>
  <w:num w:numId="9">
    <w:abstractNumId w:val="8"/>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0533F"/>
    <w:rsid w:val="0004792B"/>
    <w:rsid w:val="00066492"/>
    <w:rsid w:val="00083415"/>
    <w:rsid w:val="000E1AB7"/>
    <w:rsid w:val="001046E8"/>
    <w:rsid w:val="00112332"/>
    <w:rsid w:val="00124F33"/>
    <w:rsid w:val="001B09D1"/>
    <w:rsid w:val="001D44BE"/>
    <w:rsid w:val="00232807"/>
    <w:rsid w:val="00275DB4"/>
    <w:rsid w:val="002B7FB5"/>
    <w:rsid w:val="002F7DB0"/>
    <w:rsid w:val="003E0BEB"/>
    <w:rsid w:val="0041472A"/>
    <w:rsid w:val="00421128"/>
    <w:rsid w:val="004939C1"/>
    <w:rsid w:val="00494876"/>
    <w:rsid w:val="004A3F5C"/>
    <w:rsid w:val="004B385C"/>
    <w:rsid w:val="00540EBE"/>
    <w:rsid w:val="0059456A"/>
    <w:rsid w:val="005D1F9C"/>
    <w:rsid w:val="00605478"/>
    <w:rsid w:val="0060631E"/>
    <w:rsid w:val="006109EC"/>
    <w:rsid w:val="006213C3"/>
    <w:rsid w:val="00641E75"/>
    <w:rsid w:val="006508AA"/>
    <w:rsid w:val="00652F6F"/>
    <w:rsid w:val="0067363D"/>
    <w:rsid w:val="006D34D8"/>
    <w:rsid w:val="006D7EA6"/>
    <w:rsid w:val="00717EEA"/>
    <w:rsid w:val="00732255"/>
    <w:rsid w:val="00750A96"/>
    <w:rsid w:val="00882415"/>
    <w:rsid w:val="008F4328"/>
    <w:rsid w:val="00936A33"/>
    <w:rsid w:val="00956B94"/>
    <w:rsid w:val="009F14E5"/>
    <w:rsid w:val="00A24630"/>
    <w:rsid w:val="00A65403"/>
    <w:rsid w:val="00A74B33"/>
    <w:rsid w:val="00AB73AA"/>
    <w:rsid w:val="00AD7CCC"/>
    <w:rsid w:val="00B35315"/>
    <w:rsid w:val="00B411CB"/>
    <w:rsid w:val="00B957D1"/>
    <w:rsid w:val="00BB1784"/>
    <w:rsid w:val="00C015BB"/>
    <w:rsid w:val="00CB5AAB"/>
    <w:rsid w:val="00CC0F49"/>
    <w:rsid w:val="00CD231A"/>
    <w:rsid w:val="00CF3E5A"/>
    <w:rsid w:val="00D17EBC"/>
    <w:rsid w:val="00D20640"/>
    <w:rsid w:val="00D36236"/>
    <w:rsid w:val="00D41859"/>
    <w:rsid w:val="00D5079E"/>
    <w:rsid w:val="00D5416B"/>
    <w:rsid w:val="00DC73F2"/>
    <w:rsid w:val="00DD0C28"/>
    <w:rsid w:val="00DE3048"/>
    <w:rsid w:val="00E6522D"/>
    <w:rsid w:val="00E673BB"/>
    <w:rsid w:val="00ED5DBC"/>
    <w:rsid w:val="00F809DE"/>
    <w:rsid w:val="00FB06DA"/>
    <w:rsid w:val="00FC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4630"/>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unhideWhenUsed/>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403"/>
  </w:style>
  <w:style w:type="paragraph" w:styleId="Footer">
    <w:name w:val="footer"/>
    <w:basedOn w:val="Normal"/>
    <w:link w:val="FooterChar"/>
    <w:uiPriority w:val="99"/>
    <w:unhideWhenUsed/>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403"/>
  </w:style>
  <w:style w:type="character" w:customStyle="1" w:styleId="Heading1Char">
    <w:name w:val="Heading 1 Char"/>
    <w:basedOn w:val="DefaultParagraphFont"/>
    <w:link w:val="Heading1"/>
    <w:rsid w:val="00A24630"/>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F809DE"/>
    <w:rPr>
      <w:sz w:val="16"/>
      <w:szCs w:val="16"/>
    </w:rPr>
  </w:style>
  <w:style w:type="paragraph" w:styleId="CommentText">
    <w:name w:val="annotation text"/>
    <w:basedOn w:val="Normal"/>
    <w:link w:val="CommentTextChar"/>
    <w:semiHidden/>
    <w:unhideWhenUsed/>
    <w:rsid w:val="00F809DE"/>
    <w:pPr>
      <w:spacing w:line="240" w:lineRule="auto"/>
    </w:pPr>
    <w:rPr>
      <w:sz w:val="20"/>
      <w:szCs w:val="20"/>
    </w:rPr>
  </w:style>
  <w:style w:type="character" w:customStyle="1" w:styleId="CommentTextChar">
    <w:name w:val="Comment Text Char"/>
    <w:basedOn w:val="DefaultParagraphFont"/>
    <w:link w:val="CommentText"/>
    <w:uiPriority w:val="99"/>
    <w:semiHidden/>
    <w:rsid w:val="00F809DE"/>
    <w:rPr>
      <w:sz w:val="20"/>
      <w:szCs w:val="20"/>
    </w:rPr>
  </w:style>
  <w:style w:type="paragraph" w:styleId="CommentSubject">
    <w:name w:val="annotation subject"/>
    <w:basedOn w:val="CommentText"/>
    <w:next w:val="CommentText"/>
    <w:link w:val="CommentSubjectChar"/>
    <w:uiPriority w:val="99"/>
    <w:semiHidden/>
    <w:unhideWhenUsed/>
    <w:rsid w:val="00F809DE"/>
    <w:rPr>
      <w:b/>
      <w:bCs/>
    </w:rPr>
  </w:style>
  <w:style w:type="character" w:customStyle="1" w:styleId="CommentSubjectChar">
    <w:name w:val="Comment Subject Char"/>
    <w:basedOn w:val="CommentTextChar"/>
    <w:link w:val="CommentSubject"/>
    <w:uiPriority w:val="99"/>
    <w:semiHidden/>
    <w:rsid w:val="00F809DE"/>
    <w:rPr>
      <w:b/>
      <w:bCs/>
      <w:sz w:val="20"/>
      <w:szCs w:val="20"/>
    </w:rPr>
  </w:style>
  <w:style w:type="paragraph" w:styleId="BalloonText">
    <w:name w:val="Balloon Text"/>
    <w:basedOn w:val="Normal"/>
    <w:link w:val="BalloonTextChar"/>
    <w:uiPriority w:val="99"/>
    <w:semiHidden/>
    <w:unhideWhenUsed/>
    <w:rsid w:val="00F80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9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4630"/>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unhideWhenUsed/>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403"/>
  </w:style>
  <w:style w:type="paragraph" w:styleId="Footer">
    <w:name w:val="footer"/>
    <w:basedOn w:val="Normal"/>
    <w:link w:val="FooterChar"/>
    <w:uiPriority w:val="99"/>
    <w:unhideWhenUsed/>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403"/>
  </w:style>
  <w:style w:type="character" w:customStyle="1" w:styleId="Heading1Char">
    <w:name w:val="Heading 1 Char"/>
    <w:basedOn w:val="DefaultParagraphFont"/>
    <w:link w:val="Heading1"/>
    <w:rsid w:val="00A24630"/>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F809DE"/>
    <w:rPr>
      <w:sz w:val="16"/>
      <w:szCs w:val="16"/>
    </w:rPr>
  </w:style>
  <w:style w:type="paragraph" w:styleId="CommentText">
    <w:name w:val="annotation text"/>
    <w:basedOn w:val="Normal"/>
    <w:link w:val="CommentTextChar"/>
    <w:semiHidden/>
    <w:unhideWhenUsed/>
    <w:rsid w:val="00F809DE"/>
    <w:pPr>
      <w:spacing w:line="240" w:lineRule="auto"/>
    </w:pPr>
    <w:rPr>
      <w:sz w:val="20"/>
      <w:szCs w:val="20"/>
    </w:rPr>
  </w:style>
  <w:style w:type="character" w:customStyle="1" w:styleId="CommentTextChar">
    <w:name w:val="Comment Text Char"/>
    <w:basedOn w:val="DefaultParagraphFont"/>
    <w:link w:val="CommentText"/>
    <w:uiPriority w:val="99"/>
    <w:semiHidden/>
    <w:rsid w:val="00F809DE"/>
    <w:rPr>
      <w:sz w:val="20"/>
      <w:szCs w:val="20"/>
    </w:rPr>
  </w:style>
  <w:style w:type="paragraph" w:styleId="CommentSubject">
    <w:name w:val="annotation subject"/>
    <w:basedOn w:val="CommentText"/>
    <w:next w:val="CommentText"/>
    <w:link w:val="CommentSubjectChar"/>
    <w:uiPriority w:val="99"/>
    <w:semiHidden/>
    <w:unhideWhenUsed/>
    <w:rsid w:val="00F809DE"/>
    <w:rPr>
      <w:b/>
      <w:bCs/>
    </w:rPr>
  </w:style>
  <w:style w:type="character" w:customStyle="1" w:styleId="CommentSubjectChar">
    <w:name w:val="Comment Subject Char"/>
    <w:basedOn w:val="CommentTextChar"/>
    <w:link w:val="CommentSubject"/>
    <w:uiPriority w:val="99"/>
    <w:semiHidden/>
    <w:rsid w:val="00F809DE"/>
    <w:rPr>
      <w:b/>
      <w:bCs/>
      <w:sz w:val="20"/>
      <w:szCs w:val="20"/>
    </w:rPr>
  </w:style>
  <w:style w:type="paragraph" w:styleId="BalloonText">
    <w:name w:val="Balloon Text"/>
    <w:basedOn w:val="Normal"/>
    <w:link w:val="BalloonTextChar"/>
    <w:uiPriority w:val="99"/>
    <w:semiHidden/>
    <w:unhideWhenUsed/>
    <w:rsid w:val="00F80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591167">
      <w:bodyDiv w:val="1"/>
      <w:marLeft w:val="0"/>
      <w:marRight w:val="0"/>
      <w:marTop w:val="0"/>
      <w:marBottom w:val="0"/>
      <w:divBdr>
        <w:top w:val="none" w:sz="0" w:space="0" w:color="auto"/>
        <w:left w:val="none" w:sz="0" w:space="0" w:color="auto"/>
        <w:bottom w:val="none" w:sz="0" w:space="0" w:color="auto"/>
        <w:right w:val="none" w:sz="0" w:space="0" w:color="auto"/>
      </w:divBdr>
    </w:div>
    <w:div w:id="17202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jahlani akil</dc:creator>
  <cp:lastModifiedBy>CDC User</cp:lastModifiedBy>
  <cp:revision>6</cp:revision>
  <cp:lastPrinted>2011-03-07T20:54:00Z</cp:lastPrinted>
  <dcterms:created xsi:type="dcterms:W3CDTF">2012-09-14T13:11:00Z</dcterms:created>
  <dcterms:modified xsi:type="dcterms:W3CDTF">2012-09-24T17:42:00Z</dcterms:modified>
</cp:coreProperties>
</file>