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Supporting Statement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For OMB Information Collection Request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Part B</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OMB# 0920-0822</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08/08/2012</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The National Intimate Partner and Sexual Violence Survey (NISVS)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Supported by:</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Department of Health and Human Services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Division of Violence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Project Officer:</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Mikel L. Walters, PhD</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Behavioral Scientist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Contact Information: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4770 Buford Highway NE  MS F-64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Atlanta, GA 30341-3724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phone: 770-488-1361</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fax:     770-488-4349</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email: </w:t>
      </w:r>
      <w:hyperlink r:id="rId8" w:history="1">
        <w:r w:rsidRPr="00A46E5B">
          <w:rPr>
            <w:rFonts w:ascii="Times New Roman" w:eastAsia="Times New Roman" w:hAnsi="Times New Roman" w:cs="Times New Roman"/>
            <w:b/>
            <w:bCs/>
            <w:color w:val="0000FF"/>
            <w:sz w:val="24"/>
            <w:szCs w:val="24"/>
            <w:u w:val="single"/>
          </w:rPr>
          <w:t>wai6@cdc.gov</w:t>
        </w:r>
      </w:hyperlink>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 COLLECTIONS OF INFORMATION EMPLOYING STATISTICAL METHODS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A46E5B" w:rsidRPr="00A46E5B" w:rsidRDefault="00A46E5B" w:rsidP="00A46E5B">
      <w:pPr>
        <w:spacing w:after="120" w:line="240" w:lineRule="auto"/>
        <w:ind w:firstLine="360"/>
        <w:rPr>
          <w:rFonts w:ascii="Times New Roman" w:eastAsia="SimSu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target population for the civilian NISVS is English or Spanish speaking men and women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 line telephone used for voice purposes and also do not have a working cell phone; or 4) unable to speak English or Spanish well enough to be interviewed. Those who do not speak English or Spanish are excluded because the instrument and survey materials are currently limited to those two languages.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targeted sample size is driven by the number of  respondents needed to provide precise (+/- 1 to 2%) and unsuppressed (relative standard error &lt; .30) national prevalence estimates each year and to provide stable lifetime state-level prevalence estimates within 2-3 years depending on state population size.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B.1.b)</w:t>
      </w:r>
      <w:r w:rsidRPr="00A46E5B">
        <w:rPr>
          <w:rFonts w:ascii="Times New Roman" w:eastAsia="Times New Roman" w:hAnsi="Times New Roman" w:cs="Times New Roman"/>
          <w:sz w:val="24"/>
          <w:szCs w:val="24"/>
        </w:rPr>
        <w:tab/>
      </w:r>
      <w:r w:rsidRPr="00A46E5B">
        <w:rPr>
          <w:rFonts w:ascii="Times New Roman" w:eastAsia="Times New Roman" w:hAnsi="Times New Roman" w:cs="Times New Roman"/>
          <w:sz w:val="24"/>
          <w:szCs w:val="24"/>
          <w:u w:val="single"/>
        </w:rPr>
        <w:t>Sampling Plan</w:t>
      </w:r>
      <w:r w:rsidRPr="00A46E5B">
        <w:rPr>
          <w:rFonts w:ascii="Times New Roman" w:eastAsia="Times New Roman" w:hAnsi="Times New Roman" w:cs="Times New Roman"/>
          <w:sz w:val="24"/>
          <w:szCs w:val="24"/>
        </w:rPr>
        <w:t xml:space="preserve"> </w:t>
      </w:r>
    </w:p>
    <w:p w:rsidR="00A46E5B" w:rsidRPr="00A46E5B" w:rsidRDefault="00A46E5B" w:rsidP="00A46E5B">
      <w:pPr>
        <w:spacing w:after="120" w:line="240" w:lineRule="auto"/>
        <w:outlineLvl w:val="2"/>
        <w:rPr>
          <w:rFonts w:ascii="Times New Roman" w:eastAsia="SimSun" w:hAnsi="Times New Roman" w:cs="Times New Roman"/>
          <w:sz w:val="24"/>
          <w:szCs w:val="24"/>
        </w:rPr>
      </w:pPr>
    </w:p>
    <w:p w:rsidR="00A46E5B" w:rsidRPr="00A46E5B" w:rsidRDefault="00A46E5B" w:rsidP="00A46E5B">
      <w:pPr>
        <w:spacing w:after="12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According to the National Health Interview Survey (NHIS), 32.3% of adults in the United States have only a cell phone (no landline phone); this percentage has been increasing by about 2 percentage points per year (Blumberg and Luke, 2012). Those with only a cell phone are two to three times more likely to be under 35 years old (Tucker, Brick, Meekins, and Morganstein, 2004). Furthermore, 56% of those with a landline phone also have a cell phone and there is limited evidence that respondents who have both types of service can be different depending on whether they were reached and interviewed from the landline or cell phone frame (Kennedy, 2007). They are likely differentiated on which phone service they use most (Blumberg and Luke, 2012). This provides motivation for selecting 1) adults with only cell phones and 2) adults who have both cell and landline phones but are selected through their cell phones. To maximize the coverage of the target population, a dual frame design that randomly samples landline and cell phone numbers, is used. The dual frame design to reduce undercoverage is discussed in more detail in section B.4.</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there is an overlap between the cell phone frame and the landline frame, the gains in coverage achieved by sampling both frames and the efficiency from not excluding any adults with both types of phone service outweigh the resulting design effect due to inclusion of adults with multiple selection probabilities, who can be selected from either frame.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Only 8.3% of adults are estimated to live in households with only landlines as of the end of 2011 (Blumberg and Luke, 2012), a percentage that can be projected to fall below 2% by the end of 2013 based on the trends observed in the NHIS data. That is, a single frame RDD survey with </w:t>
      </w:r>
      <w:r w:rsidRPr="00A46E5B">
        <w:rPr>
          <w:rFonts w:ascii="Times New Roman" w:eastAsia="Times New Roman" w:hAnsi="Times New Roman" w:cs="Times New Roman"/>
          <w:sz w:val="24"/>
          <w:szCs w:val="24"/>
        </w:rPr>
        <w:lastRenderedPageBreak/>
        <w:t>cell phone numbers will have near complete coverage of the population. There are great efficiencies to be gained from a single frame design, as well as new challenges. Such an alternative will be evaluated in terms of potential bias and variance reduction, to allow the survey design to be responsive to changes in the survey environment.</w:t>
      </w:r>
    </w:p>
    <w:p w:rsidR="00A46E5B" w:rsidRPr="00A46E5B" w:rsidRDefault="00A46E5B" w:rsidP="00A46E5B">
      <w:pPr>
        <w:spacing w:after="120" w:line="240" w:lineRule="auto"/>
        <w:ind w:left="5490"/>
        <w:rPr>
          <w:rFonts w:ascii="Times New Roman" w:eastAsia="SimSun" w:hAnsi="Times New Roman" w:cs="Times New Roman"/>
          <w:sz w:val="24"/>
          <w:szCs w:val="24"/>
        </w:rPr>
      </w:pPr>
    </w:p>
    <w:p w:rsidR="00A46E5B" w:rsidRPr="00A46E5B" w:rsidRDefault="00A46E5B" w:rsidP="00A46E5B">
      <w:pPr>
        <w:spacing w:after="120" w:line="240" w:lineRule="auto"/>
        <w:ind w:left="5490"/>
        <w:rPr>
          <w:rFonts w:ascii="Times New Roman" w:eastAsia="SimSun" w:hAnsi="Times New Roman" w:cs="Times New Roman"/>
          <w:sz w:val="24"/>
          <w:szCs w:val="24"/>
        </w:rPr>
      </w:pPr>
      <w:r w:rsidRPr="00A46E5B">
        <w:rPr>
          <w:rFonts w:ascii="Times New Roman" w:eastAsia="SimSun" w:hAnsi="Times New Roman" w:cs="Times New Roman"/>
          <w:sz w:val="24"/>
          <w:szCs w:val="24"/>
        </w:rPr>
        <w:t>Table 5. Sampling Strata</w:t>
      </w:r>
    </w:p>
    <w:tbl>
      <w:tblPr>
        <w:tblpPr w:leftFromText="288" w:rightFromText="187" w:bottomFromText="288" w:vertAnchor="text" w:tblpXSpec="right" w:tblpY="1"/>
        <w:tblOverlap w:val="never"/>
        <w:tblW w:w="3924" w:type="dxa"/>
        <w:tblCellMar>
          <w:left w:w="72" w:type="dxa"/>
          <w:right w:w="72" w:type="dxa"/>
        </w:tblCellMar>
        <w:tblLook w:val="01E0" w:firstRow="1" w:lastRow="1" w:firstColumn="1" w:lastColumn="1" w:noHBand="0" w:noVBand="0"/>
      </w:tblPr>
      <w:tblGrid>
        <w:gridCol w:w="1206"/>
        <w:gridCol w:w="2718"/>
      </w:tblGrid>
      <w:tr w:rsidR="00A46E5B" w:rsidRPr="00A46E5B" w:rsidTr="00591CEA">
        <w:tc>
          <w:tcPr>
            <w:tcW w:w="3924" w:type="dxa"/>
            <w:gridSpan w:val="2"/>
            <w:tcBorders>
              <w:bottom w:val="single" w:sz="12" w:space="0" w:color="auto"/>
            </w:tcBorders>
          </w:tcPr>
          <w:p w:rsidR="00A46E5B" w:rsidRPr="00A46E5B" w:rsidRDefault="00A46E5B" w:rsidP="00A46E5B">
            <w:pPr>
              <w:keepNext/>
              <w:keepLines/>
              <w:spacing w:after="60" w:line="260" w:lineRule="exact"/>
              <w:ind w:left="1440" w:hanging="1440"/>
              <w:rPr>
                <w:rFonts w:ascii="Arial Black" w:eastAsia="SimSun" w:hAnsi="Arial Black" w:cs="Arial Black"/>
                <w:color w:val="0A357E"/>
              </w:rPr>
            </w:pPr>
            <w:bookmarkStart w:id="0" w:name="_Toc197929440"/>
            <w:bookmarkStart w:id="1" w:name="_Toc199033680"/>
            <w:r w:rsidRPr="00A46E5B">
              <w:rPr>
                <w:rFonts w:ascii="Arial Black" w:eastAsia="SimSun" w:hAnsi="Arial Black" w:cs="Arial Black"/>
                <w:color w:val="0A357E"/>
              </w:rPr>
              <w:t>Cell Phone Strata</w:t>
            </w:r>
            <w:bookmarkEnd w:id="0"/>
            <w:bookmarkEnd w:id="1"/>
          </w:p>
        </w:tc>
      </w:tr>
      <w:tr w:rsidR="00A46E5B" w:rsidRPr="00A46E5B" w:rsidTr="00591CEA">
        <w:tc>
          <w:tcPr>
            <w:tcW w:w="1206"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591CEA">
        <w:tc>
          <w:tcPr>
            <w:tcW w:w="1206" w:type="dxa"/>
            <w:tcBorders>
              <w:top w:val="single" w:sz="6" w:space="0" w:color="auto"/>
            </w:tcBorders>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1</w:t>
            </w:r>
          </w:p>
        </w:tc>
        <w:tc>
          <w:tcPr>
            <w:tcW w:w="2718" w:type="dxa"/>
            <w:tcBorders>
              <w:top w:val="single" w:sz="6"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591CEA">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51</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p>
        </w:tc>
      </w:tr>
      <w:tr w:rsidR="00A46E5B" w:rsidRPr="00A46E5B" w:rsidTr="00591CEA">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p>
        </w:tc>
      </w:tr>
      <w:tr w:rsidR="00A46E5B" w:rsidRPr="00A46E5B" w:rsidTr="00591CEA">
        <w:tc>
          <w:tcPr>
            <w:tcW w:w="3924" w:type="dxa"/>
            <w:gridSpan w:val="2"/>
          </w:tcPr>
          <w:p w:rsidR="00A46E5B" w:rsidRPr="00A46E5B" w:rsidRDefault="00A46E5B" w:rsidP="00A46E5B">
            <w:pPr>
              <w:keepNext/>
              <w:keepLines/>
              <w:spacing w:after="60" w:line="260" w:lineRule="exact"/>
              <w:ind w:left="1440" w:hanging="1440"/>
              <w:rPr>
                <w:rFonts w:ascii="Arial" w:eastAsia="SimSun" w:hAnsi="Arial" w:cs="Times New Roman"/>
                <w:color w:val="0A357E"/>
                <w:sz w:val="18"/>
                <w:szCs w:val="18"/>
              </w:rPr>
            </w:pPr>
            <w:bookmarkStart w:id="2" w:name="_Toc199033681"/>
            <w:r w:rsidRPr="00A46E5B">
              <w:rPr>
                <w:rFonts w:ascii="Arial Black" w:eastAsia="SimSun" w:hAnsi="Arial Black" w:cs="Arial Black"/>
                <w:color w:val="0A357E"/>
              </w:rPr>
              <w:t>Landline Strata</w:t>
            </w:r>
            <w:bookmarkEnd w:id="2"/>
          </w:p>
        </w:tc>
      </w:tr>
      <w:tr w:rsidR="00A46E5B" w:rsidRPr="00A46E5B" w:rsidTr="00591CEA">
        <w:tc>
          <w:tcPr>
            <w:tcW w:w="1206"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591CEA">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52</w:t>
            </w: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53</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103</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Arial"/>
                <w:sz w:val="18"/>
                <w:szCs w:val="18"/>
              </w:rPr>
            </w:pPr>
            <w:r w:rsidRPr="00A46E5B">
              <w:rPr>
                <w:rFonts w:ascii="Arial" w:eastAsia="SimSun" w:hAnsi="Arial" w:cs="Arial"/>
                <w:sz w:val="18"/>
                <w:szCs w:val="18"/>
              </w:rPr>
              <w:t>AI/AN Zip Codes</w:t>
            </w:r>
          </w:p>
        </w:tc>
      </w:tr>
    </w:tbl>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national sample is allocated across 103 strata; 51 cell phone frame strata and 52 landline frame strata, shown in Table 5. The cell phone sample is stratified by state, one for each state and the District of Columbia.</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goal of NISVS is to provide national and state level prevalence rates. For most state level estimates, data is pooled across years. To use existing resources most efficiently, the 34 smallest states are also oversampled by setting a minimum target number of 592 interviews per state. There is a direct trade-off between optimizing the sample design for national or state level estimates. By comparing different options, using a target of at least 592 interviews per state allows for state level lifetime estimates based on 2-3 years of cumulated data, while increasing the variance of national estimates by an estimated less than 25%.</w:t>
      </w:r>
    </w:p>
    <w:p w:rsidR="00A46E5B" w:rsidRPr="00A46E5B" w:rsidRDefault="00A46E5B" w:rsidP="00A46E5B">
      <w:pPr>
        <w:spacing w:after="120" w:line="240" w:lineRule="auto"/>
        <w:outlineLvl w:val="2"/>
        <w:rPr>
          <w:rFonts w:ascii="Times New Roman" w:eastAsia="SimSun" w:hAnsi="Times New Roman" w:cs="Times New Roman"/>
          <w:sz w:val="24"/>
          <w:szCs w:val="24"/>
        </w:rPr>
      </w:pPr>
      <w:r w:rsidRPr="00A46E5B">
        <w:rPr>
          <w:rFonts w:ascii="Times New Roman" w:eastAsia="SimSun" w:hAnsi="Times New Roman" w:cs="Times New Roman"/>
          <w:sz w:val="24"/>
          <w:szCs w:val="24"/>
          <w:u w:val="single"/>
        </w:rPr>
        <w:t>Sampling Frames</w:t>
      </w:r>
      <w:r w:rsidRPr="00A46E5B">
        <w:rPr>
          <w:rFonts w:ascii="Times New Roman" w:eastAsia="SimSun" w:hAnsi="Times New Roman" w:cs="Times New Roman"/>
          <w:b/>
          <w:bCs/>
          <w:sz w:val="24"/>
          <w:szCs w:val="24"/>
        </w:rPr>
        <w:t xml:space="preserve"> </w:t>
      </w:r>
      <w:r w:rsidRPr="00A46E5B">
        <w:rPr>
          <w:rFonts w:ascii="Times New Roman" w:eastAsia="SimSun" w:hAnsi="Times New Roman" w:cs="Times New Roman"/>
          <w:sz w:val="24"/>
          <w:szCs w:val="24"/>
        </w:rPr>
        <w:t xml:space="preserve">For the landline strata, the recommended sampling frame is maintained by Marketing Systems Group (MSG) using its Genesys application. A list-assisted RDD sample was selected and stratified by state. Exchanges that are known to be limited to cell phones are excluded from the landline strata. For the cell phone strata defined by state, an RDD sample of cell phone numbers are selected within exchanges assigned to wireless providers. </w:t>
      </w:r>
    </w:p>
    <w:p w:rsidR="00A46E5B" w:rsidRPr="00A46E5B" w:rsidRDefault="00A46E5B" w:rsidP="00A46E5B">
      <w:pPr>
        <w:spacing w:after="120" w:line="240" w:lineRule="auto"/>
        <w:rPr>
          <w:rFonts w:ascii="Times New Roman" w:eastAsia="SimSun" w:hAnsi="Times New Roman" w:cs="Times New Roman"/>
          <w:sz w:val="24"/>
          <w:szCs w:val="24"/>
          <w:u w:val="single"/>
        </w:rPr>
      </w:pPr>
    </w:p>
    <w:p w:rsidR="00A46E5B" w:rsidRPr="00A46E5B" w:rsidRDefault="00A46E5B" w:rsidP="00A46E5B">
      <w:pPr>
        <w:spacing w:after="120" w:line="240" w:lineRule="auto"/>
        <w:rPr>
          <w:rFonts w:ascii="Times New Roman" w:eastAsia="SimSun" w:hAnsi="Times New Roman" w:cs="Times New Roman"/>
          <w:b/>
          <w:bCs/>
          <w:sz w:val="24"/>
          <w:szCs w:val="24"/>
        </w:rPr>
      </w:pPr>
      <w:r w:rsidRPr="00A46E5B">
        <w:rPr>
          <w:rFonts w:ascii="Times New Roman" w:eastAsia="SimSun" w:hAnsi="Times New Roman" w:cs="Times New Roman"/>
          <w:sz w:val="24"/>
          <w:szCs w:val="24"/>
        </w:rPr>
        <w:t xml:space="preserve">B.1.c) </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Multi-year data collection plan</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rPr>
          <w:rFonts w:ascii="Times New Roman" w:eastAsia="SimSun" w:hAnsi="Times New Roman" w:cs="Times New Roman"/>
          <w:b/>
          <w:bCs/>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As a surveillance system, NISVS plans to collect data on an annual basis to track national and state level estimates of IPV, SV, and stalking. Data collection is conducted continuously throughout every calendar year, producing annual estimates early in the following year. The continuous data collection allows a steady workflow and the retention of skilled interviewing staff. A new sample is selected every quarter, avoiding problems associated with an old sample of telephone numbers. The quarterly sample design also allows the implementation of any changes for the next quarter as the need arises, rather than being unable to implement a change until the following year. The main features of the sampling and data collection design for each survey year are the same as 2010 in order to preserve the trend in estimates, but allowing for an annual sample size as high as 35,000 interviews, depending on anticipated resources.</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lastRenderedPageBreak/>
        <w:t>B.1.d)</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Sample Allocation and Precision</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p>
    <w:p w:rsidR="00A46E5B" w:rsidRPr="00A46E5B" w:rsidRDefault="00A46E5B" w:rsidP="00A46E5B">
      <w:pPr>
        <w:spacing w:after="120" w:line="240" w:lineRule="auto"/>
        <w:outlineLvl w:val="2"/>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t xml:space="preserve">Based on the study goal of producing national estimates, each sample is allocated to distribute the intended interviews across the national landline frame, and the cell phone frame. To address the study goal of achieving state-level estimates for selected prevalence rates through cumulating data across years, the samples are further stratified by state. Sample size within states is determined primarily by proportional allocation based on the relative size of individual state populations. However, to decrease the number of years required to generate stable state estimates among smaller states, a minimum target of 592 interviews per year was set. This over-allocation to smaller states was done within both landline and cell phone frames.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most recent NHIS results based on data from June-December 2011 (Blumberg and Luke, 2012) estimate that 32% of adults live in households with only cell phones while only 8% live in households with only landlines (57% have both types of service and 2% no phone service). We use this information together with cost of interviewing data to optimize the sample allocation to the cell and landline frames (Brick et al., 2011). Since the cell phone only rate continues to increase and the landline only rate continues to decrease, NISVS uses projections to plan sample allocation and also evaluates the point at which a dual frame design becomes suboptimal compared to a single frame RDD design.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B.1.e)</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Responsive Design</w:t>
      </w:r>
      <w:r w:rsidRPr="00A46E5B">
        <w:rPr>
          <w:rFonts w:ascii="Times New Roman" w:eastAsia="SimSun" w:hAnsi="Times New Roman" w:cs="Times New Roman"/>
          <w:sz w:val="24"/>
          <w:szCs w:val="24"/>
        </w:rPr>
        <w:t xml:space="preserve"> </w:t>
      </w:r>
    </w:p>
    <w:p w:rsidR="00A46E5B" w:rsidRPr="00A46E5B" w:rsidRDefault="00A46E5B" w:rsidP="00A46E5B">
      <w:pPr>
        <w:spacing w:after="120" w:line="240" w:lineRule="auto"/>
        <w:rPr>
          <w:rFonts w:ascii="Times New Roman" w:eastAsia="SimSun" w:hAnsi="Times New Roman" w:cs="Times New Roman"/>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Landline and cell phone samples perform differently for many reasons. Examples include the inability to screen cell phone samples for known nonworking and business numbers and the responsibility of the cell phone owner for air time cost. The cost per interview in each sample is be closely monitored and the allocation between landline and cell phone numbers are adjusted during data collection to achieve a more optimal allocation. Releasing the sample in replicates provides some control during the initial weeks of data collection, while more major changes can be made across quarters of data collection, if needed.</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Males, particularly in the landline frame, tend to respond at a lower rate than females. While greater substantive interest may lie in victimization of females, the proportion of males and females is also monitored. The instrument provides the capacity to change selection probability during data collection for males and females in households with adults from both sexes, during data collection. If the percent of respondents who are male drops below 40%, oversampling of males will be reconsidered. As with the allocation by telephone service, if substantial changes are needed, changes in allocation are made between quarters of data collection, to avoid the creation of extreme weights (e.g., for males and females in such households, interviewed late in the data collection period).</w:t>
      </w:r>
    </w:p>
    <w:p w:rsidR="00A46E5B" w:rsidRPr="00A46E5B" w:rsidRDefault="00A46E5B" w:rsidP="00A46E5B">
      <w:pPr>
        <w:spacing w:after="120" w:line="240" w:lineRule="auto"/>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t xml:space="preserve">To address nonresponse, a nonresponse protocol has been implemented, as described in section B.3.d.  Briefly, the nonresponse phase is a protocol implemented at some point during survey recruitment, in order to decrease nonresponse and gain information from sample members who have not yet chosen to respond or participate. Importantly, the point at which the nonresponse protocol is implemented during the requirement process has cost implications. For example, a decision could be made to move a phone number into the nonresponse recruitment protocol after </w:t>
      </w:r>
      <w:r w:rsidRPr="00A46E5B">
        <w:rPr>
          <w:rFonts w:ascii="Times New Roman" w:eastAsia="SimSun" w:hAnsi="Times New Roman" w:cs="Times New Roman"/>
          <w:sz w:val="24"/>
          <w:szCs w:val="24"/>
        </w:rPr>
        <w:lastRenderedPageBreak/>
        <w:t>8 unsuccessful attempts or after 15 unsuccessful recruitment attempts. As described in section B.3.d, indicators of cost and survey measures are monitored to determine when the nonresponse protocol is implemented. This approach is “responsive” to maintain the most effective data collection.</w:t>
      </w:r>
    </w:p>
    <w:p w:rsidR="00A46E5B" w:rsidRPr="00A46E5B" w:rsidRDefault="00A46E5B" w:rsidP="00A46E5B">
      <w:pPr>
        <w:spacing w:after="0" w:line="240" w:lineRule="auto"/>
        <w:outlineLvl w:val="2"/>
        <w:rPr>
          <w:rFonts w:ascii="Times New Roman" w:eastAsia="SimSun" w:hAnsi="Times New Roman" w:cs="Times New Roman"/>
          <w:sz w:val="24"/>
          <w:szCs w:val="24"/>
          <w:u w:val="single"/>
        </w:rPr>
      </w:pPr>
    </w:p>
    <w:p w:rsidR="00A46E5B" w:rsidRPr="00A46E5B" w:rsidRDefault="00A46E5B" w:rsidP="00A46E5B">
      <w:pPr>
        <w:spacing w:after="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B.1.f)</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Response Rates</w:t>
      </w:r>
      <w:r w:rsidRPr="00A46E5B">
        <w:rPr>
          <w:rFonts w:ascii="Times New Roman" w:eastAsia="SimSun" w:hAnsi="Times New Roman" w:cs="Times New Roman"/>
          <w:b/>
          <w:bCs/>
          <w:sz w:val="24"/>
          <w:szCs w:val="24"/>
        </w:rPr>
        <w:t xml:space="preserve">  </w:t>
      </w:r>
    </w:p>
    <w:p w:rsidR="00A46E5B" w:rsidRPr="00A46E5B" w:rsidRDefault="00A46E5B" w:rsidP="00A46E5B">
      <w:pPr>
        <w:spacing w:after="0" w:line="240" w:lineRule="auto"/>
        <w:outlineLvl w:val="2"/>
        <w:rPr>
          <w:rFonts w:ascii="Times New Roman" w:eastAsia="SimSun" w:hAnsi="Times New Roman" w:cs="Times New Roman"/>
          <w:b/>
          <w:bCs/>
          <w:sz w:val="24"/>
          <w:szCs w:val="24"/>
        </w:rPr>
      </w:pPr>
    </w:p>
    <w:p w:rsidR="00A46E5B" w:rsidRPr="00A46E5B" w:rsidRDefault="00A46E5B" w:rsidP="00A46E5B">
      <w:pPr>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Response rates are maximized, in part, by utilizing </w:t>
      </w:r>
      <w:r w:rsidRPr="00A46E5B">
        <w:rPr>
          <w:rFonts w:ascii="Times New Roman" w:eastAsia="Times New Roman" w:hAnsi="Times New Roman" w:cs="Times New Roman"/>
          <w:sz w:val="24"/>
          <w:szCs w:val="24"/>
        </w:rPr>
        <w:t>experience from previous surveillance efforts, such as BRFSS and ICARIS-2 and improving response rates be using  sophisticated methodological techniques (for example, using responsive design elements).</w:t>
      </w:r>
      <w:r w:rsidRPr="00A46E5B">
        <w:rPr>
          <w:rFonts w:ascii="Times New Roman" w:eastAsia="Times New Roman" w:hAnsi="Times New Roman" w:cs="Times New Roman"/>
          <w:color w:val="000000"/>
          <w:sz w:val="24"/>
          <w:szCs w:val="24"/>
        </w:rPr>
        <w:t xml:space="preserve"> Most telephone surveys have seen a decrease in response rates in recent years. </w:t>
      </w:r>
      <w:r w:rsidRPr="00A46E5B">
        <w:rPr>
          <w:rFonts w:ascii="Times New Roman" w:eastAsia="Times New Roman" w:hAnsi="Times New Roman" w:cs="Times New Roman"/>
          <w:sz w:val="24"/>
          <w:szCs w:val="24"/>
        </w:rPr>
        <w:t xml:space="preserve">One comparison for telephone survey response rates is the Behavioral Risk Factor Surveillance System (BRFSS).  For example, in the 2002 BRFSS, response rates ranged from a low of 43.8% in </w:t>
      </w:r>
      <w:smartTag w:uri="urn:schemas-microsoft-com:office:smarttags" w:element="State">
        <w:r w:rsidRPr="00A46E5B">
          <w:rPr>
            <w:rFonts w:ascii="Times New Roman" w:eastAsia="Times New Roman" w:hAnsi="Times New Roman" w:cs="Times New Roman"/>
            <w:sz w:val="24"/>
            <w:szCs w:val="24"/>
          </w:rPr>
          <w:t>New York</w:t>
        </w:r>
      </w:smartTag>
      <w:r w:rsidRPr="00A46E5B">
        <w:rPr>
          <w:rFonts w:ascii="Times New Roman" w:eastAsia="Times New Roman" w:hAnsi="Times New Roman" w:cs="Times New Roman"/>
          <w:sz w:val="24"/>
          <w:szCs w:val="24"/>
        </w:rPr>
        <w:t xml:space="preserve"> to a high of 82.6% in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Minnesota</w:t>
          </w:r>
        </w:smartTag>
      </w:smartTag>
      <w:r w:rsidRPr="00A46E5B">
        <w:rPr>
          <w:rFonts w:ascii="Times New Roman" w:eastAsia="Times New Roman" w:hAnsi="Times New Roman" w:cs="Times New Roman"/>
          <w:sz w:val="24"/>
          <w:szCs w:val="24"/>
        </w:rPr>
        <w:t xml:space="preserve">, with a median of 58.3%. The 2002 median response rate is 11.5% lower than the 1996 median response of 69.8% (Behavioral Risk Factor Surveillance System Summary Data Quality Report, 2002). </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For the NISVS, the response rate is computed based on the American Association of Public Opinion Research (AAPOR) response rate #4 formula (AAPOR, 2008). The AAPOR calculation is a standard developed by researchers and established as a requirement by a leading journal for survey methodology (Public Opinion Quarterly). This particular formula is the most commonly implemented formula that 1) accounts for ineligibility among cases with unknown eligibility; and 2) treats partial interviews (by respondents who have answered all pre-identified essential questions) as interviews. The response rate for the previous NCIPC ICARIS survey </w:t>
      </w:r>
      <w:r w:rsidRPr="00A46E5B">
        <w:rPr>
          <w:rFonts w:ascii="Times New Roman" w:eastAsia="Times New Roman" w:hAnsi="Times New Roman" w:cs="Times New Roman"/>
          <w:sz w:val="24"/>
          <w:szCs w:val="24"/>
        </w:rPr>
        <w:t xml:space="preserve">was 47.9% (Black et al, 2006). The response rate for NISVS in 2010 was 25.86% for landlines and 28.78% for cell phones. In 2011, the response rate for landlines was 24.59% for landline and 28.28% for cell phones.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importance of increasing and maintaining response rates is well recognized. Even if evidence is provided that various survey estimates do not suffer from nonresponse bias, the response rate remains the single number that is reported and used to gauge the representativeness of the survey data. One way to increase response rates is the use of an advance letter to inform households about a forthcoming telephone call (Traugott et al., 1987).  Another way is through interviewer training, reducing the variation of response rates by interviewer through improving techniques among lower performing interviewers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Groves</w:t>
          </w:r>
        </w:smartTag>
      </w:smartTag>
      <w:r w:rsidRPr="00A46E5B">
        <w:rPr>
          <w:rFonts w:ascii="Times New Roman" w:eastAsia="Times New Roman" w:hAnsi="Times New Roman" w:cs="Times New Roman"/>
          <w:sz w:val="24"/>
          <w:szCs w:val="24"/>
        </w:rPr>
        <w:t xml:space="preserve"> and McGonagle, 2001). Promised incentives for completing the survey have been shown to increase response rates in RDD surveys (e.g., Cantor, Wang, and Abi-Habib 2003), while incentives also help reduce nonresponse bias in estimates related to the topic of the survey (e.g., Groves et al. 2006; Groves, Singer, and Corning 2000). Implementing an effective incentive plan can, over the course of data collection, reduce overall costs and burden to respondents by reducing the need for additional calls to potential respondents. Furthermore, we have tried to improve the impact of incentives on increasing response rates and reducing nonresponse bias by implementing a phased design. The implementation of these methods in the NISVS is described in section B.3.</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B.2. </w:t>
      </w:r>
      <w:r w:rsidRPr="00A46E5B">
        <w:rPr>
          <w:rFonts w:ascii="Times New Roman" w:eastAsia="Times New Roman" w:hAnsi="Times New Roman" w:cs="Times New Roman"/>
          <w:b/>
          <w:bCs/>
          <w:sz w:val="24"/>
          <w:szCs w:val="24"/>
        </w:rPr>
        <w:tab/>
        <w:t>Procedures for the Collection of Information</w:t>
      </w:r>
      <w:r w:rsidRPr="00A46E5B">
        <w:rPr>
          <w:rFonts w:ascii="Times New Roman" w:eastAsia="Times New Roman" w:hAnsi="Times New Roman" w:cs="Times New Roman"/>
          <w:b/>
          <w:bCs/>
          <w:color w:val="FF0000"/>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B.2.a)</w:t>
      </w:r>
      <w:r w:rsidRPr="00A46E5B">
        <w:rPr>
          <w:rFonts w:ascii="Times New Roman" w:eastAsia="Times New Roman" w:hAnsi="Times New Roman" w:cs="Times New Roman"/>
          <w:sz w:val="24"/>
          <w:szCs w:val="24"/>
        </w:rPr>
        <w:tab/>
        <w:t xml:space="preserve"> </w:t>
      </w:r>
      <w:r w:rsidRPr="00A46E5B">
        <w:rPr>
          <w:rFonts w:ascii="Times New Roman" w:eastAsia="Times New Roman" w:hAnsi="Times New Roman" w:cs="Times New Roman"/>
          <w:sz w:val="24"/>
          <w:szCs w:val="24"/>
          <w:u w:val="single"/>
        </w:rPr>
        <w:t>Address Matching and Advance Letter of Introduction</w:t>
      </w:r>
      <w:r w:rsidRPr="00A46E5B">
        <w:rPr>
          <w:rFonts w:ascii="Times New Roman" w:eastAsia="Times New Roman" w:hAnsi="Times New Roman" w:cs="Times New Roman"/>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Using a letter to inform households about a forthcoming telephone call and giving them a general description of the survey being conducted has been shown to increase survey response rates. For the purpose of mailing advance letters of introduction, released telephone numbers are address-matched to the extent possible. The sample and address matches are obtained from Genesys Sampling, Inc.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Based on the NISVS Pilot study, an estimated 45% of address matches are found for the released landline telephone numbers.  Following the procedure used in the NISVS Pilot (OMB # 0920-0724), respondents with an address match are mailed an advance letter approximately 1- 2 weeks prior to the first telephone contact (Attachment I). The letter describes the purpose of the survey in both English and Spanish and</w:t>
      </w:r>
      <w:r w:rsidRPr="00A46E5B">
        <w:rPr>
          <w:rFonts w:ascii="TimesNewRomanPSMT" w:eastAsia="Times New Roman" w:hAnsi="TimesNewRomanPSMT" w:cs="TimesNewRomanPSMT"/>
          <w:sz w:val="24"/>
          <w:szCs w:val="24"/>
        </w:rPr>
        <w:t xml:space="preserve">: 1) inform sample members that their household has been randomly chosen to participate in the survey; 2) provide useful information regarding the survey; 3) include a toll-free telephone number that respondents can call if they have questions; and 4) </w:t>
      </w:r>
      <w:r w:rsidRPr="00A46E5B">
        <w:rPr>
          <w:rFonts w:ascii="Times New Roman" w:eastAsia="Times New Roman" w:hAnsi="Times New Roman" w:cs="Times New Roman"/>
          <w:sz w:val="24"/>
          <w:szCs w:val="24"/>
        </w:rPr>
        <w:t xml:space="preserve">include information regarding the incentive that is offered to eligible respondents who agree to participate.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study identification numbers contains an indicator specifying whether or not the household was mailed a letter.  The anonymity of those households receiving the letter are protected because at no time are the address file be linked to data collected during the telephone interview.  In addition, upon completion of the study the address file are destroyed to further prevent any matching.</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To maximize human subject protection, the introductory letter has been carefully written to be very general and describe the study in broad terms (Attachment I). The lack of detailed study information in the advance letter is intentional for the protection of the prospective study participant.  If the prospective study participant is in a relationship where </w:t>
      </w:r>
      <w:smartTag w:uri="urn:schemas-microsoft-com:office:smarttags" w:element="PersonName">
        <w:r w:rsidRPr="00A46E5B">
          <w:rPr>
            <w:rFonts w:ascii="Times New Roman" w:eastAsia="Times New Roman" w:hAnsi="Times New Roman" w:cs="Times New Roman"/>
            <w:sz w:val="24"/>
            <w:szCs w:val="24"/>
          </w:rPr>
          <w:t>IPV</w:t>
        </w:r>
      </w:smartTag>
      <w:r w:rsidRPr="00A46E5B">
        <w:rPr>
          <w:rFonts w:ascii="Times New Roman" w:eastAsia="Times New Roman" w:hAnsi="Times New Roman" w:cs="Times New Roman"/>
          <w:sz w:val="24"/>
          <w:szCs w:val="24"/>
        </w:rPr>
        <w:t xml:space="preserve"> is present, a more general introductory letter is less likely to raise suspicion or incite potential perpetrators.</w:t>
      </w:r>
    </w:p>
    <w:p w:rsidR="00A46E5B" w:rsidRPr="00A46E5B" w:rsidRDefault="00A46E5B" w:rsidP="00A46E5B">
      <w:pPr>
        <w:spacing w:after="0" w:line="240" w:lineRule="auto"/>
        <w:ind w:firstLine="432"/>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B.2.b) </w:t>
      </w:r>
      <w:r w:rsidRPr="00A46E5B">
        <w:rPr>
          <w:rFonts w:ascii="Times New Roman" w:eastAsia="Times New Roman" w:hAnsi="Times New Roman" w:cs="Times New Roman"/>
          <w:sz w:val="24"/>
          <w:szCs w:val="24"/>
        </w:rPr>
        <w:tab/>
      </w:r>
      <w:r w:rsidRPr="00A46E5B">
        <w:rPr>
          <w:rFonts w:ascii="Times New Roman" w:eastAsia="Times New Roman" w:hAnsi="Times New Roman" w:cs="Times New Roman"/>
          <w:sz w:val="24"/>
          <w:szCs w:val="24"/>
          <w:u w:val="single"/>
        </w:rPr>
        <w:t>Interviewer Training</w:t>
      </w: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Interviewers are highly trained female staff.  The decision to use only female interviewers is based on both the survey topics and the literature regarding gender and reporting. A study conducted by Pollner (1998) indicates that interviewer gender is significantly related to respondents' reports of psychiatric symptoms. Male and female respondents interviewed by women reported more symptoms of depression, substance abuse, and conduct disorders than respondents interviewed by men. These results suggest that female interviewers may create conditions more conducive to disclosure and be perceived as more sympathetic than male interviewers (Pollner, 1998). Furthermore, the sex of the respondent selected from a specific household is unknown until the respondent has been randomly selected. Thus, it is not feasible to match interviewer and respondent by sex.</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A study of the relationship between interviewer characteristics and disclosure of physical and sexual abuse showed that matching clients and interviewers on sex, race, and age did not increase disclosures of either physical or sexual abuse.  Rather, respondents were more likely to disclose sexual abuse to female interviewers than to male interviewers (Dailey and Claus, 2001). An earlier study showed that, in most cases, the socio-demographic characteristics of the interviewer did not affect the quality of participants' responses (Fowler and Mangione, 1990).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An additional consideration specifically related to interviews about IPV, SV, and stalking includes the fact that the majority of victims are female and the majority of the perpetrators are male.  Thus, females may be less comfortable reporting IPV, SV, and stalking to a male interviewer.  Based on the lack of evidence to suggest the need for matching interviewers and respondents by gender and because evidence suggests that female interviewers may create conditions more conducive to disclosure, only female interviewers conduct interviews for this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Similarly, female interviewers may be more comfortable asking these questions than would a male interviewer.  It is essential that the interviewers be comfortable with the survey because their level of comfort, in turn, impacts the quality with which they administer the interview. During the hiring process, potential English and Spanish speaking interviewers are informed about the background and purpose of the study and carefully screened to ensure that they are comfortable conducting interviews about the topics included. </w:t>
      </w:r>
    </w:p>
    <w:p w:rsidR="00A46E5B" w:rsidRPr="00A46E5B" w:rsidRDefault="00A46E5B" w:rsidP="00A46E5B">
      <w:pPr>
        <w:spacing w:after="0" w:line="240" w:lineRule="auto"/>
        <w:ind w:firstLine="432"/>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Interviewers receive a minimum of 16 hours of training. Only those who successfully complete all training sessions conduct interviews.  Training topics include the purpose of the study, question-by-question review of the instrument, ways to engage respondents, role-playing, and techniques to foster cooperation and completed surveys.  I</w:t>
      </w:r>
      <w:r w:rsidRPr="00A46E5B">
        <w:rPr>
          <w:rFonts w:ascii="Times New Roman" w:eastAsia="Times New Roman" w:hAnsi="Times New Roman" w:cs="Times New Roman"/>
          <w:color w:val="000000"/>
          <w:sz w:val="24"/>
          <w:szCs w:val="24"/>
        </w:rPr>
        <w:t xml:space="preserve">nterviewers are briefed on the potential challenges of administering a survey on IPV, SV, and stalking. </w:t>
      </w:r>
    </w:p>
    <w:p w:rsidR="00A46E5B" w:rsidRPr="00A46E5B" w:rsidRDefault="00A46E5B" w:rsidP="00A46E5B">
      <w:pPr>
        <w:spacing w:after="0" w:line="240" w:lineRule="auto"/>
        <w:ind w:firstLine="432"/>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trained to follow specific </w:t>
      </w:r>
      <w:r w:rsidRPr="00A46E5B">
        <w:rPr>
          <w:rFonts w:ascii="Times New Roman" w:eastAsia="Times New Roman" w:hAnsi="Times New Roman" w:cs="Times New Roman"/>
          <w:color w:val="000000"/>
          <w:sz w:val="24"/>
          <w:szCs w:val="24"/>
        </w:rPr>
        <w:t xml:space="preserve">interviewing procedures that have been proven in previous studies. </w:t>
      </w:r>
      <w:r w:rsidRPr="00A46E5B">
        <w:rPr>
          <w:rFonts w:ascii="Times New Roman" w:eastAsia="Times New Roman" w:hAnsi="Times New Roman" w:cs="Times New Roman"/>
          <w:sz w:val="24"/>
          <w:szCs w:val="24"/>
        </w:rPr>
        <w:t>Interviewers are properly trained in the art of administering questions about IPV, SV, and stalking.  For example, interviewers learn about respondent reactions to similar surveys conducted by CDC (as described in Section A.11). They learn about the need for the use of explicit language and are coached on being matter-of-fact in their delivery.  Interviewers also learn about resource information that is provided for participants to learn about resources that are available to those who are coping with traumatic and violent events.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detailed written training manual specific to this study has been developed. The content of the training focuses on the study background, project specific protocols, confidentiality procedures, questionnaire content, refusal avoidance and well-defined conversion protocols.  The information is presented using a variety of methods, including lecture, demonstration, round-robin practice, paired-practice, and group and paired mock interviews.  Due to the nature of the study, particular attention is paid to the distressed respondent protocol for this study.  </w:t>
      </w:r>
    </w:p>
    <w:p w:rsidR="00A46E5B" w:rsidRPr="00A46E5B" w:rsidRDefault="00A46E5B" w:rsidP="00A46E5B">
      <w:pPr>
        <w:spacing w:before="120" w:after="120" w:line="240" w:lineRule="auto"/>
        <w:rPr>
          <w:rFonts w:ascii="Times New Roman" w:eastAsia="SimSun" w:hAnsi="Times New Roman" w:cs="Times New Roman"/>
          <w:sz w:val="24"/>
          <w:szCs w:val="24"/>
        </w:rPr>
      </w:pPr>
    </w:p>
    <w:p w:rsidR="00A46E5B" w:rsidRPr="00A46E5B" w:rsidRDefault="00A46E5B" w:rsidP="00A46E5B">
      <w:pPr>
        <w:spacing w:before="120" w:after="12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Respondent safety is a primary concern for any data collection asking about violence, particularly IPV, SV, and stalking. This protocol addresses how telephone interviewers should respond and record issues of emotional, physical, or unknown sources of distress throughout the </w:t>
      </w:r>
      <w:r w:rsidRPr="00A46E5B">
        <w:rPr>
          <w:rFonts w:ascii="Times New Roman" w:eastAsia="SimSun" w:hAnsi="Times New Roman" w:cs="Times New Roman"/>
          <w:sz w:val="24"/>
          <w:szCs w:val="24"/>
        </w:rPr>
        <w:lastRenderedPageBreak/>
        <w:t>interview process. The distress protocol is covered extensively during interviewer training. Any information entered into CATI regarding distress cases are reviewed by project staff, including the staff clinical psychologist. Project staff forward information regarding distressed respondents to RTI’s IRB, and includes information regarding these cases on the weekly report to CDC. Further, to ensure the safety of respondents, we provide them with a code word that they can use to end the interview at any time they feel concerned for their safety.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clinical psychologist with prior experience working with victims of interpersonal violence participates in the training and in ongoing monitoring and supervision of interviewers.  Only interviewers whose work has been reviewed and certified by the project team are permitted to conduct actual interviews. The certification process involves completing two paired practice interviews, orally answering the 6-8 most frequently asked questions, completing 2-3 written quizzes covering the distress protocol, refusal avoidance, and an overview of the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participation in surveys is typically not distressful, it is important for researchers to anticipate potential respondent reactions to the questions being asked and to minimize any adverse impact to the fullest extent possible. Although distress is unlikely, both telephone interviewers and supervisors are trained in the distress protocol appropriate for this study.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distress protocol includes step-by-step instructions on handling different types of distress. Interviewers are properly trained with well established contingency plans, including early termination of the interview if the respondent becomes distressed or concerned for their safety.  The protocol includes instructions on steps to follow for different types of distress: physical, emotional, and unknown.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If a respondent does display distress, either verbally or non-verbally (i.e., crying) the interviewer immediately offers to finish the interview at another time and offers the respondent the telephone numbers for the National Domestic Violence Hotline and The Rape, Abuse, and Incest National Network so that the respondent may obtain services to help alleviate their emotional distress. Similarly, in the unlikely event that a respondent expresses thoughts/intentions of suicide, the interviewer stops the interview and encourages the respondent to call the National Suicide Hotline.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 surveys conducted by NCIPC or by RTI International there have been no instances where interviewers actually had to transfer respondents to 911. In the extremely unlikely event that a respondent is in immediate physical danger, the interviewer will advise the respondent to hang up and dial 911 for immediate police assistance. If the respondent specifically asks the interviewer to call 911, the call will be transferred directly and the interviewer will then hang up.  The supervisor will then record the details of the event, and relay them to a project staff member as soon as possible.  The project staff member will evaluate any events as they are reported, and relay them to the project director and CDC/NICPC staff as soon as possible.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Resource information will also be provided for participants to access for assistance in coping with traumatic and violent events.  These measures have been recommended in the literature (Gondolf &amp; Heckert, 2003; Johnson, 1996; Tjaden and Thoennes, 2000; Sullivan &amp; Cain, 2004; Weisz et al., 2000) and have been consistently used in NCIPC’s previous studies, including ICARIS-2 and the SIPV Pilot Survey.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Throughout data collection, interviewers are monitored to check the quality of their work and to identify areas needing more training or clarification. Silent audio and video monitoring of interviewers take place throughout data collection.  Approximately 10% of all interviewing time are observed.  Interviewers are scored on their performance during these sessions, which are unknown to the interviewer at the time of administration, and are given written and verbal feedback on their performance. This process allows the identification of any individual interviewer performance issues, as well as larger issues that might affect the data collection.  The information obtained is then used as a teaching tool for other interviewers, as appropriate.</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SimSun" w:hAnsi="Times New Roman" w:cs="Times New Roman"/>
          <w:sz w:val="24"/>
          <w:szCs w:val="24"/>
        </w:rPr>
      </w:pPr>
      <w:r w:rsidRPr="00A46E5B">
        <w:rPr>
          <w:rFonts w:ascii="Times New Roman" w:eastAsia="Times New Roman" w:hAnsi="Times New Roman" w:cs="Times New Roman"/>
          <w:sz w:val="24"/>
          <w:szCs w:val="24"/>
        </w:rPr>
        <w:t xml:space="preserve">Because of the prevalence of IPV, SV, and stalking, it can be anticipated that potential or selected interviewers may have personal experience with the topics being addressed during the interview.  Although disclosure of this private information is not requested, it is important for the interviewers to have support available, as needed, and opportunities to debrief (regardless of their personal history) on a regular basis during the conduct of this study.  In addition to participating in the interviewer training and ongoing monitoring and supervision of interviewers, interviewers attend weekly meetings with members of project staff.  The purpose of these meetings, which occur throughout data collection, is typically to discuss progress in data collection, problems in interviewing, and survey instrument changes. These meetings allow the interviewers to discuss specific experiences as well as their responses to difficult situations.  The clinical psychologist is available to provide this support during regularly scheduled meetings with the interviewers.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B.2.c)</w:t>
      </w:r>
      <w:r w:rsidRPr="00A46E5B">
        <w:rPr>
          <w:rFonts w:ascii="Times New Roman" w:eastAsia="Times New Roman" w:hAnsi="Times New Roman" w:cs="Times New Roman"/>
          <w:sz w:val="24"/>
          <w:szCs w:val="24"/>
        </w:rPr>
        <w:tab/>
        <w:t xml:space="preserve"> </w:t>
      </w:r>
      <w:r w:rsidRPr="00A46E5B">
        <w:rPr>
          <w:rFonts w:ascii="Times New Roman" w:eastAsia="Times New Roman" w:hAnsi="Times New Roman" w:cs="Times New Roman"/>
          <w:sz w:val="24"/>
          <w:szCs w:val="24"/>
          <w:u w:val="single"/>
        </w:rPr>
        <w:t>Collection of Survey Data</w:t>
      </w: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Households are contacted by telephone approximately one week after the introductory letter has been sent.  Interviewers introduce themselves and (when applicable) state "You may have received a letter from us” (Attachment I), then informs the potential participant about the study, select a respondent, and proceed with the introductory script.  Households with multiple 18 year old or older residents are selected using the most recent birthday method.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letter of introduction and survey has been translated into Spanish.  To ensure accuracy and usability of the Spanish versions of the introductory letter and survey instrument, several steps have been taken.  A translator translates the documents into Spanish and another translator translates the instruments back into English to ensure that all study materials were properly translated and that the meaning of the questions has been preserved.  Both the letter and survey have been written in language that is commonly understood; to ensure that people of different Hispanic backgrounds can understand the Spanish versions, a third translator has reviewed the study instruments.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If it is determined that the respondent speaks Spanish and not English, a bilingual interviewer will continue with the introductory script, respondent selection, oral consent, and survey administration.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r w:rsidRPr="00A46E5B">
        <w:rPr>
          <w:rFonts w:ascii="Times New Roman" w:eastAsia="Times New Roman" w:hAnsi="Times New Roman" w:cs="Times New Roman"/>
          <w:sz w:val="24"/>
          <w:szCs w:val="24"/>
        </w:rPr>
        <w:br w:type="page"/>
      </w:r>
      <w:r w:rsidRPr="00A46E5B">
        <w:rPr>
          <w:rFonts w:ascii="Times New Roman" w:eastAsia="Times New Roman" w:hAnsi="Times New Roman" w:cs="Times New Roman"/>
          <w:sz w:val="24"/>
          <w:szCs w:val="24"/>
        </w:rPr>
        <w:lastRenderedPageBreak/>
        <w:t xml:space="preserve">B.2.d) </w:t>
      </w:r>
      <w:r w:rsidRPr="00A46E5B">
        <w:rPr>
          <w:rFonts w:ascii="Times New Roman" w:eastAsia="Times New Roman" w:hAnsi="Times New Roman" w:cs="Times New Roman"/>
          <w:sz w:val="24"/>
          <w:szCs w:val="24"/>
        </w:rPr>
        <w:tab/>
      </w:r>
      <w:r w:rsidRPr="00A46E5B">
        <w:rPr>
          <w:rFonts w:ascii="Times New Roman" w:eastAsia="Times New Roman" w:hAnsi="Times New Roman" w:cs="Times New Roman"/>
          <w:sz w:val="24"/>
          <w:szCs w:val="24"/>
          <w:u w:val="single"/>
        </w:rPr>
        <w:t>Estimation procedure</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All estimates are weighted to account for the stratified dual-frame sample design, multiple phases, and additional post-survey adjustments for coverage and nonresponse.  The latest National Health Interview Survey data and reported estimates are used to adjust selection weights in order to combine the landline and cell phone samples, to inform the relative size of each sampling frame and the demographic composition within each frame.  Census estimated totals are used to adjust the combined sample to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U.S.</w:t>
          </w:r>
        </w:smartTag>
      </w:smartTag>
      <w:r w:rsidRPr="00A46E5B">
        <w:rPr>
          <w:rFonts w:ascii="Times New Roman" w:eastAsia="Times New Roman" w:hAnsi="Times New Roman" w:cs="Times New Roman"/>
          <w:color w:val="000000"/>
          <w:sz w:val="24"/>
          <w:szCs w:val="24"/>
        </w:rPr>
        <w:t xml:space="preserve"> adult population.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variance of survey estimates are computed using statistical software designed for survey data analyses (e.g., SAS and SUDAAN).  These procedures, such as CROSSTAB in SUDAAN, take into account the complex survey design and unequal weighting, and the option for Taylor Series Linearization for estimating variances of proportions are used.</w:t>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b/>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Methods to Maximize Response Rates and Deal with Nonresponse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B.3.a) </w:t>
      </w:r>
      <w:r w:rsidRPr="00A46E5B">
        <w:rPr>
          <w:rFonts w:ascii="Times New Roman" w:eastAsia="Times New Roman" w:hAnsi="Times New Roman" w:cs="Times New Roman"/>
          <w:sz w:val="24"/>
          <w:szCs w:val="24"/>
        </w:rPr>
        <w:tab/>
      </w:r>
      <w:r w:rsidRPr="00A46E5B">
        <w:rPr>
          <w:rFonts w:ascii="Times New Roman" w:eastAsia="Times New Roman" w:hAnsi="Times New Roman" w:cs="Times New Roman"/>
          <w:sz w:val="24"/>
          <w:szCs w:val="24"/>
          <w:u w:val="single"/>
        </w:rPr>
        <w:t>Address Matching</w:t>
      </w:r>
      <w:r w:rsidRPr="00A46E5B">
        <w:rPr>
          <w:rFonts w:ascii="Times New Roman" w:eastAsia="Times New Roman" w:hAnsi="Times New Roman" w:cs="Times New Roman"/>
          <w:sz w:val="24"/>
          <w:szCs w:val="24"/>
        </w:rPr>
        <w:t xml:space="preserv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r w:rsidRPr="00A46E5B">
        <w:rPr>
          <w:rFonts w:ascii="Times New Roman" w:eastAsia="Times New Roman" w:hAnsi="Times New Roman" w:cs="Times New Roman"/>
          <w:sz w:val="24"/>
          <w:szCs w:val="24"/>
        </w:rPr>
        <w:t>As mentioned in B.2.a, using a letter to inform households about a forthcoming telephone call and giving them a general description of the survey being conducted has been shown to increase survey response rates.</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B.3.b) </w:t>
      </w:r>
      <w:r w:rsidRPr="00A46E5B">
        <w:rPr>
          <w:rFonts w:ascii="Times New Roman" w:eastAsia="Times New Roman" w:hAnsi="Times New Roman" w:cs="Times New Roman"/>
          <w:sz w:val="24"/>
          <w:szCs w:val="24"/>
        </w:rPr>
        <w:tab/>
      </w:r>
      <w:r w:rsidRPr="00A46E5B">
        <w:rPr>
          <w:rFonts w:ascii="Times New Roman" w:eastAsia="Times New Roman" w:hAnsi="Times New Roman" w:cs="Times New Roman"/>
          <w:sz w:val="24"/>
          <w:szCs w:val="24"/>
          <w:u w:val="single"/>
        </w:rPr>
        <w:t>Incentives</w:t>
      </w:r>
      <w:r w:rsidRPr="00A46E5B">
        <w:rPr>
          <w:rFonts w:ascii="Times New Roman" w:eastAsia="Times New Roman" w:hAnsi="Times New Roman" w:cs="Times New Roman"/>
          <w:sz w:val="24"/>
          <w:szCs w:val="24"/>
        </w:rPr>
        <w:t xml:space="preserv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Upon completion of the survey, respondents may choose to receive a $10 incentive or to have a similar contribution sent to the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United Way</w:t>
          </w:r>
        </w:smartTag>
      </w:smartTag>
      <w:r w:rsidRPr="00A46E5B">
        <w:rPr>
          <w:rFonts w:ascii="Times New Roman" w:eastAsia="Times New Roman" w:hAnsi="Times New Roman" w:cs="Times New Roman"/>
          <w:sz w:val="24"/>
          <w:szCs w:val="24"/>
        </w:rPr>
        <w:t>.  Offering an incentive/donation helps gain cooperation from a larger proportion of the sample as well as compensates respondents on cell phones for the air time used. Promised incentives have been found to be an effective means of increasing response rates in RDD surveys (e.g., Cantor, Wang, and Abi-Habib 2003)</w:t>
      </w:r>
      <w:r w:rsidRPr="00A46E5B">
        <w:rPr>
          <w:rFonts w:ascii="Times New Roman" w:eastAsia="Times New Roman" w:hAnsi="Times New Roman" w:cs="Times New Roman"/>
          <w:sz w:val="24"/>
          <w:szCs w:val="24"/>
          <w:vertAlign w:val="superscript"/>
        </w:rPr>
        <w:footnoteReference w:id="1"/>
      </w:r>
      <w:r w:rsidRPr="00A46E5B">
        <w:rPr>
          <w:rFonts w:ascii="Times New Roman" w:eastAsia="Times New Roman" w:hAnsi="Times New Roman" w:cs="Times New Roman"/>
          <w:sz w:val="24"/>
          <w:szCs w:val="24"/>
        </w:rPr>
        <w:t xml:space="preserve"> and reducing nonresponse bias by gaining cooperation from those less interested in the topic (e.g., Groves et al. 2006; Groves, Singer, and Corning 2000). Approximately 75% of respondents in ICARIS 2.5 choose to make a contribution to the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United Way</w:t>
          </w:r>
        </w:smartTag>
      </w:smartTag>
      <w:r w:rsidRPr="00A46E5B">
        <w:rPr>
          <w:rFonts w:ascii="Times New Roman" w:eastAsia="Times New Roman" w:hAnsi="Times New Roman" w:cs="Times New Roman"/>
          <w:sz w:val="24"/>
          <w:szCs w:val="24"/>
        </w:rPr>
        <w:t xml:space="preserve"> rather than receive the $10 themselves (unpublished data).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In order to measure and reduce nonresponse bias, a subsample of nonrespondents are selected and an incentive of $40 is offered to help gain their cooperation. This design should also achieve higher overall response rates by focusing a more effective method on a subsample of nonrespondents. Therefore, the objective of this design for implementation of higher incentives is to increase response rates, measure, and reduce nonresponse bias in survey estimates, with a likely trade-off in increased variance due to weighting. This approach is described in more detail below in B.3.d. </w:t>
      </w:r>
    </w:p>
    <w:p w:rsidR="00A46E5B" w:rsidRPr="00A46E5B" w:rsidRDefault="00A46E5B" w:rsidP="00A46E5B">
      <w:pPr>
        <w:spacing w:after="0" w:line="240" w:lineRule="auto"/>
        <w:outlineLvl w:val="2"/>
        <w:rPr>
          <w:rFonts w:ascii="Times New Roman" w:eastAsia="Times New Roman" w:hAnsi="Times New Roman" w:cs="Times New Roman"/>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B.3.c)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u w:val="single"/>
        </w:rPr>
        <w:t>Interviewer Training and Calling Procedures</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Response rates vary greatly across interviewers (e.g., O’Muircheartaigh and Campanelli 1999). Improving interviewer training has been found effective in increasing response rates, particularly among interviewers with lower response rates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and McGonagle 2001). For this reason, extensive interviewer training is a key aspect of the success of this data collection effort. The following interviewing procedures, all of which have been proven in the NISVS Pilot and other previous surveys,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color w:val="000000"/>
          <w:sz w:val="24"/>
          <w:szCs w:val="24"/>
        </w:rPr>
        <w:t>are used to maximize response rates: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widowControl w:val="0"/>
        <w:numPr>
          <w:ilvl w:val="0"/>
          <w:numId w:val="3"/>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Interviewers are briefed on the potential challenges of administering a survey on IPV, SV, and stalking. Well-defined conversion procedures have been established.</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The main purpose of this contact is to ensure that the potential respondent understands the importance of the survey and to determine if anything can be done to make the survey process easier (e.g., schedule a convenient call-back time).  At </w:t>
      </w:r>
      <w:r w:rsidRPr="00A46E5B">
        <w:rPr>
          <w:rFonts w:ascii="Times New Roman" w:eastAsia="Times New Roman" w:hAnsi="Times New Roman" w:cs="Times New Roman"/>
          <w:i/>
          <w:iCs/>
          <w:color w:val="000000"/>
          <w:sz w:val="24"/>
          <w:szCs w:val="24"/>
        </w:rPr>
        <w:t>no</w:t>
      </w:r>
      <w:r w:rsidRPr="00A46E5B">
        <w:rPr>
          <w:rFonts w:ascii="Times New Roman" w:eastAsia="Times New Roman" w:hAnsi="Times New Roman" w:cs="Times New Roman"/>
          <w:color w:val="000000"/>
          <w:sz w:val="24"/>
          <w:szCs w:val="24"/>
        </w:rPr>
        <w:t xml:space="preserve"> time do staff pressure or coerce a potential respondent to change their mind about their participation in the survey, and this is carefully monitored throughout survey administration to ensure that no undue pressure is placed on potential respondents.</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Should a respondent interrupt an interview for reasons such as needing to tend to a household matter, the respondent is given two options: (1) the interviewer will reschedule the interview for completion at a later time or (2) they will be given a toll-free number designated specifically for this project, for them to call back and complete their interview at their convenience. </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Fielding of the survey takes place on an ongoing basis.  </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Conversion staff is able to provide a reluctant respondent with the name and telephone number of the contractor’s project manager</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who can provide respondents with additional information regarding the importance of their participation.</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contractor has established a toll-free number, dedicated to the project, so potential respondents may call to confirm the study’s legitimacy.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Special attention has been given to scheduling call backs and refusal procedures. The contractor works closely with CDC/NCIPC to set up these rules and procedures.  Examples include:</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Detailed definition when a refusal is considered final </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Monitoring of hang-ups, when they occur during the interview, and finalization of the case once the maximum number of hang-ups allowed are reached</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Calling occurs only during weekdays from 9am to 9pm, Saturdays from 9am to 6pm, and Sundays from noon to 9pm (respondent’s time).</w:t>
      </w:r>
    </w:p>
    <w:p w:rsidR="00A46E5B" w:rsidRPr="00A46E5B" w:rsidRDefault="00A46E5B" w:rsidP="00A46E5B">
      <w:pPr>
        <w:numPr>
          <w:ilvl w:val="0"/>
          <w:numId w:val="17"/>
        </w:numPr>
        <w:spacing w:after="0" w:line="240" w:lineRule="auto"/>
        <w:rPr>
          <w:rFonts w:ascii="Times New Roman" w:eastAsia="Times New Roman" w:hAnsi="Times New Roman" w:cs="Times New Roman"/>
        </w:rPr>
      </w:pPr>
      <w:r w:rsidRPr="00A46E5B">
        <w:rPr>
          <w:rFonts w:ascii="Times New Roman" w:eastAsia="Times New Roman" w:hAnsi="Times New Roman" w:cs="Times New Roman"/>
          <w:sz w:val="24"/>
          <w:szCs w:val="24"/>
        </w:rPr>
        <w:t xml:space="preserve">Calling occurs </w:t>
      </w:r>
      <w:r w:rsidRPr="00A46E5B">
        <w:rPr>
          <w:rFonts w:ascii="Times New Roman" w:eastAsia="Times New Roman" w:hAnsi="Times New Roman" w:cs="Times New Roman"/>
        </w:rPr>
        <w:t>across all days of the week and times of the day (up to 9pm).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Refusal avoidance training takes place approximately 2-4 weeks after data collection begins.  During the early period of fielding the survey, supervisors, monitors, and project staff observe interviewers to evaluate their effectiveness in dealing with respondent objections and overcoming barriers to participation.  They select a team of refusal avoidance specialists from among the interviewers who demonstrate special talents for obtaining cooperation and avoiding initial refusals.  These interviewers are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attempt to determine their reason(s) for refusing to participate, by asking the following question:</w:t>
      </w:r>
      <w:r w:rsidRPr="00A46E5B">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sz w:val="24"/>
          <w:szCs w:val="24"/>
        </w:rPr>
        <w:t>“Could you please tell me why you do not wish to participate in the study?”  The interviewer then code the response and any other additional relevant information.  Particular categories of interest include “Don’t have the time,” “Inconvenient now,” “Not interested,” “Don’t participate in any surveys,” and “Opposed to government intrusiveness into my privacy.”</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B.3.d) </w:t>
      </w:r>
      <w:r w:rsidRPr="00A46E5B">
        <w:rPr>
          <w:rFonts w:ascii="Times New Roman" w:eastAsia="Times New Roman" w:hAnsi="Times New Roman" w:cs="Times New Roman"/>
          <w:color w:val="000000"/>
          <w:sz w:val="24"/>
          <w:szCs w:val="24"/>
          <w:u w:val="single"/>
        </w:rPr>
        <w:t>Phased Design</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t>A nonresponse phase is introduced toward the end of each year’s data collection period. The primary objective of this design is to reduce nonresponse bias while minimizing the impact on cost. There are several components of the implementation of the nonresponse phase:</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Indicators of cost and survey measures are monitored separately throughout data collection for the landline and cell phone samples.</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When phase capacity is reached—the cost indicators start to change (e.g., increasing number of interviewing hours per completed interview) and survey measures stabilize (e.g., sexual victimization rates do not change with additional interviews)—the nonresponse phase is initiated. This occurs at about two-thirds into each data collection period, but is informed by the above indicators.</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 stratified sample of nonrespondents to the initial phase is selected. Stratification variables include sampling frame (landline/cell phone) and state.</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incentive is increased to $40 for the nonresponse phase and letters are sent to those in the landline sample for whom addresses could be matched. An answering machine and voice mail message about the new contact attempt and higher incentive are left for each number.</w:t>
      </w:r>
    </w:p>
    <w:p w:rsidR="00A46E5B" w:rsidRPr="00A46E5B" w:rsidRDefault="00A46E5B" w:rsidP="00A46E5B">
      <w:pPr>
        <w:spacing w:after="0" w:line="240" w:lineRule="auto"/>
        <w:rPr>
          <w:rFonts w:ascii="Times New Roman" w:eastAsia="Times New Roman" w:hAnsi="Times New Roman" w:cs="Times New Roman"/>
          <w:sz w:val="16"/>
          <w:szCs w:val="2"/>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This approach is informed by a number of theoretical developments and past empirical research. Ideally, nonresponse bias is eliminated when the response rate is at 100%. The double sample approach allows the allocation of greater resources to a subsample, in an attempt to substantially increase response rates, as originally proposed by Deming (1953). While 100% response rate is still not achieved in an RDD survey, of importance is how it is increased. </w:t>
      </w:r>
      <w:smartTag w:uri="urn:schemas-microsoft-com:office:smarttags" w:element="City">
        <w:r w:rsidRPr="00A46E5B">
          <w:rPr>
            <w:rFonts w:ascii="Times New Roman" w:eastAsia="Times New Roman" w:hAnsi="Times New Roman" w:cs="Times New Roman"/>
            <w:sz w:val="24"/>
            <w:szCs w:val="24"/>
          </w:rPr>
          <w:t>Groves</w:t>
        </w:r>
      </w:smartTag>
      <w:r w:rsidRPr="00A46E5B">
        <w:rPr>
          <w:rFonts w:ascii="Times New Roman" w:eastAsia="Times New Roman" w:hAnsi="Times New Roman" w:cs="Times New Roman"/>
          <w:sz w:val="24"/>
          <w:szCs w:val="24"/>
        </w:rPr>
        <w:t xml:space="preserve"> and colleagues (Groves et al. 2006; </w:t>
      </w:r>
      <w:smartTag w:uri="urn:schemas-microsoft-com:office:smarttags" w:element="City">
        <w:r w:rsidRPr="00A46E5B">
          <w:rPr>
            <w:rFonts w:ascii="Times New Roman" w:eastAsia="Times New Roman" w:hAnsi="Times New Roman" w:cs="Times New Roman"/>
            <w:sz w:val="24"/>
            <w:szCs w:val="24"/>
          </w:rPr>
          <w:t>Groves</w:t>
        </w:r>
      </w:smartTag>
      <w:r w:rsidRPr="00A46E5B">
        <w:rPr>
          <w:rFonts w:ascii="Times New Roman" w:eastAsia="Times New Roman" w:hAnsi="Times New Roman" w:cs="Times New Roman"/>
          <w:sz w:val="24"/>
          <w:szCs w:val="24"/>
        </w:rPr>
        <w:t xml:space="preserve">, Singer, and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Corning</w:t>
          </w:r>
        </w:smartTag>
      </w:smartTag>
      <w:r w:rsidRPr="00A46E5B">
        <w:rPr>
          <w:rFonts w:ascii="Times New Roman" w:eastAsia="Times New Roman" w:hAnsi="Times New Roman" w:cs="Times New Roman"/>
          <w:sz w:val="24"/>
          <w:szCs w:val="24"/>
        </w:rPr>
        <w:t xml:space="preserve"> 2000) have developed a leverage-salience theory of survey participation, postulating that individuals vary in the reasons for which their cooperation can be gained. In particular, their experiments show that while individuals with </w:t>
      </w:r>
      <w:r w:rsidRPr="00A46E5B">
        <w:rPr>
          <w:rFonts w:ascii="Times New Roman" w:eastAsia="Times New Roman" w:hAnsi="Times New Roman" w:cs="Times New Roman"/>
          <w:sz w:val="24"/>
          <w:szCs w:val="24"/>
        </w:rPr>
        <w:lastRenderedPageBreak/>
        <w:t xml:space="preserve">greater interest or involvement in the survey topic are more likely to respond, which can bias survey estimates, incentives can offset such selection bias as incentives are disproportionately more effective in gaining cooperation from those less interested in the topic.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Cs/>
          <w:sz w:val="24"/>
          <w:szCs w:val="24"/>
        </w:rPr>
      </w:pPr>
      <w:r w:rsidRPr="00A46E5B">
        <w:rPr>
          <w:rFonts w:ascii="Times New Roman" w:eastAsia="Times New Roman" w:hAnsi="Times New Roman" w:cs="Times New Roman"/>
          <w:bCs/>
          <w:sz w:val="24"/>
          <w:szCs w:val="24"/>
        </w:rPr>
        <w:t xml:space="preserve">B.3.e) </w:t>
      </w:r>
      <w:r w:rsidRPr="00A46E5B">
        <w:rPr>
          <w:rFonts w:ascii="Times New Roman" w:eastAsia="Times New Roman" w:hAnsi="Times New Roman" w:cs="Times New Roman"/>
          <w:bCs/>
          <w:sz w:val="24"/>
          <w:szCs w:val="24"/>
        </w:rPr>
        <w:tab/>
      </w:r>
      <w:r w:rsidRPr="00A46E5B">
        <w:rPr>
          <w:rFonts w:ascii="Times New Roman" w:eastAsia="Times New Roman" w:hAnsi="Times New Roman" w:cs="Times New Roman"/>
          <w:bCs/>
          <w:sz w:val="24"/>
          <w:szCs w:val="24"/>
          <w:u w:val="single"/>
        </w:rPr>
        <w:t>Methods to Maximize Coverage</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As briefly described in the sampling plan, approximately 15% of adults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have a cell phone and do not have a landline in the household (Blumberg and Luke, 2008). The substantial rate, coupled with its continuous increase, necessitates that a surveillance system such as NISVS incorporate this cell phone-only population, which would be missing from a landline telephone frame. To address this growing undercoverage problem, a dual-frame approach has been</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implemented with RDD samples of landline and cell phone numbers. Gaining cooperation on cell phones can be at least as challenging as landlines; the intensive methods to increase response rates and reduce nonresponse bias described in section B.3 has been implemented for both landline and cell phone samples.</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Despite the dual-frame approach, additional bias may result from the differential likelihood of reaching respondents with both types of telephone service, depending on which service they are being contacted on. If individuals with both types of service are selected only through the landline frame, and adults from the cell phone frame are screened for having only cell phones, a bias may result because people with both types of service tend to mostly use their landlines. To alleviate this potential problem and to increase the efficiency of data collection, adults with both types of service are interviewed from each frame. Those with both cell phones and landlines who predominantly use their cell phones (and are therefore unlikely to be interviewed on a landline) are more likely to be interviewed than if such procedures were not followed. The resulting increased complexity in identifying selection probabilities are addressed through weighting using the individual and household level telephone service questions asked during the interview (Attachment G).</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rsidR="00A46E5B" w:rsidRPr="00A46E5B" w:rsidRDefault="00A46E5B" w:rsidP="00A46E5B">
      <w:pPr>
        <w:spacing w:after="120" w:line="240" w:lineRule="auto"/>
        <w:rPr>
          <w:rFonts w:ascii="Times New Roman" w:eastAsia="Times New Roman" w:hAnsi="Times New Roman" w:cs="Times New Roman"/>
          <w:color w:val="000000"/>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To ensure that all skip patterns and data collection procedures are operating correctly, the first several months of data collection were closely monitored and any necessary adjustments to the CATI instrument or survey protocols were made during the initial weeks of data collection.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color w:val="FF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B.5.a)</w:t>
      </w:r>
      <w:r w:rsidRPr="00A46E5B">
        <w:rPr>
          <w:rFonts w:ascii="Times New Roman" w:eastAsia="Times New Roman" w:hAnsi="Times New Roman" w:cs="Times New Roman"/>
          <w:color w:val="000000"/>
          <w:sz w:val="24"/>
          <w:szCs w:val="24"/>
        </w:rPr>
        <w:tab/>
        <w:t>Individuals who have participated in designing the data collection:</w:t>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CDC staff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Michele Lynberg Black, Ph.D., M.P.H.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770-488-4406</w:t>
      </w:r>
      <w:r w:rsidRPr="00A46E5B">
        <w:rPr>
          <w:rFonts w:ascii="Times New Roman" w:eastAsia="Times New Roman" w:hAnsi="Times New Roman" w:cs="Times New Roman"/>
          <w:color w:val="000000"/>
          <w:sz w:val="24"/>
          <w:szCs w:val="24"/>
          <w:lang w:val="de-DE"/>
        </w:rPr>
        <w:tab/>
        <w:t>mcl2@cdc.gov</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Kathleen Basile,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770-488-4224 </w:t>
      </w:r>
      <w:hyperlink r:id="rId9" w:history="1">
        <w:r w:rsidRPr="00A46E5B">
          <w:rPr>
            <w:rFonts w:ascii="Times New Roman" w:eastAsia="Times New Roman" w:hAnsi="Times New Roman" w:cs="Times New Roman"/>
            <w:color w:val="0000FF"/>
            <w:sz w:val="24"/>
            <w:szCs w:val="24"/>
            <w:u w:val="single"/>
            <w:lang w:val="de-DE"/>
          </w:rPr>
          <w:t>ksb9@cdc.gov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Matthew Breiding,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770-488-1396 </w:t>
      </w:r>
      <w:hyperlink r:id="rId10" w:history="1">
        <w:r w:rsidRPr="00A46E5B">
          <w:rPr>
            <w:rFonts w:ascii="Times New Roman" w:eastAsia="Times New Roman" w:hAnsi="Times New Roman" w:cs="Times New Roman"/>
            <w:color w:val="0000FF"/>
            <w:sz w:val="24"/>
            <w:szCs w:val="24"/>
            <w:u w:val="single"/>
            <w:lang w:val="de-DE"/>
          </w:rPr>
          <w:t>dvi8@cdc.gov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hyperlink r:id="rId11" w:history="1">
        <w:r w:rsidRPr="00A46E5B">
          <w:rPr>
            <w:rFonts w:ascii="Times New Roman" w:eastAsia="Times New Roman" w:hAnsi="Times New Roman" w:cs="Times New Roman"/>
            <w:color w:val="0000FF"/>
            <w:sz w:val="24"/>
            <w:szCs w:val="24"/>
            <w:u w:val="single"/>
            <w:lang w:val="de-DE"/>
          </w:rPr>
          <w:t>ziy4@cdc.gov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lastRenderedPageBreak/>
        <w:tab/>
      </w:r>
      <w:r w:rsidRPr="00A46E5B">
        <w:rPr>
          <w:rFonts w:ascii="Times New Roman" w:eastAsia="Times New Roman" w:hAnsi="Times New Roman" w:cs="Times New Roman"/>
          <w:color w:val="000000"/>
          <w:sz w:val="24"/>
          <w:szCs w:val="24"/>
          <w:lang w:val="de-DE"/>
        </w:rPr>
        <w:tab/>
        <w:t>Melissa Merrick,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770-488-7464 </w:t>
      </w:r>
      <w:hyperlink r:id="rId12" w:history="1">
        <w:r w:rsidRPr="00A46E5B">
          <w:rPr>
            <w:rFonts w:ascii="Times New Roman" w:eastAsia="Times New Roman" w:hAnsi="Times New Roman" w:cs="Times New Roman"/>
            <w:color w:val="0000FF"/>
            <w:sz w:val="24"/>
            <w:szCs w:val="24"/>
            <w:u w:val="single"/>
            <w:lang w:val="de-DE"/>
          </w:rPr>
          <w:t>kcq7@cdc.gov</w:t>
        </w:r>
      </w:hyperlink>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Sharon Smith,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770-488-1368 </w:t>
      </w:r>
      <w:hyperlink r:id="rId13" w:history="1">
        <w:r w:rsidRPr="00A46E5B">
          <w:rPr>
            <w:rFonts w:ascii="Times New Roman" w:eastAsia="Times New Roman" w:hAnsi="Times New Roman" w:cs="Times New Roman"/>
            <w:color w:val="0000FF"/>
            <w:sz w:val="24"/>
            <w:szCs w:val="24"/>
            <w:u w:val="single"/>
          </w:rPr>
          <w:t>zhp5@cdc.gov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Mark Stevens,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770-488-1389 </w:t>
      </w:r>
      <w:hyperlink r:id="rId14" w:history="1">
        <w:r w:rsidRPr="00A46E5B">
          <w:rPr>
            <w:rFonts w:ascii="Times New Roman" w:eastAsia="Times New Roman" w:hAnsi="Times New Roman" w:cs="Times New Roman"/>
            <w:color w:val="0000FF"/>
            <w:sz w:val="24"/>
            <w:szCs w:val="24"/>
            <w:u w:val="single"/>
            <w:lang w:val="de-DE"/>
          </w:rPr>
          <w:t>zbd3@cdc.gov</w:t>
        </w:r>
      </w:hyperlink>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Mikel Walters,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770-488-1361</w:t>
      </w:r>
      <w:r w:rsidRPr="00A46E5B">
        <w:rPr>
          <w:rFonts w:ascii="Times New Roman" w:eastAsia="Times New Roman" w:hAnsi="Times New Roman" w:cs="Times New Roman"/>
          <w:color w:val="000000"/>
          <w:sz w:val="24"/>
          <w:szCs w:val="24"/>
        </w:rPr>
        <w:tab/>
      </w:r>
      <w:hyperlink r:id="rId15" w:history="1">
        <w:r w:rsidRPr="00A46E5B">
          <w:rPr>
            <w:rFonts w:ascii="Times New Roman" w:eastAsia="Times New Roman" w:hAnsi="Times New Roman" w:cs="Times New Roman"/>
            <w:color w:val="0000FF"/>
            <w:sz w:val="24"/>
            <w:szCs w:val="24"/>
            <w:u w:val="single"/>
          </w:rPr>
          <w:t>wai6@cdc.gov</w:t>
        </w:r>
      </w:hyperlink>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RTI International Staff</w:t>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16"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Andy Peytchev,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17"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nl-NL"/>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nl-NL"/>
        </w:rPr>
        <w:t>Karol Krotki, Ph.D.</w:t>
      </w:r>
      <w:r w:rsidRPr="00A46E5B">
        <w:rPr>
          <w:rFonts w:ascii="Times New Roman" w:eastAsia="Times New Roman" w:hAnsi="Times New Roman" w:cs="Times New Roman"/>
          <w:color w:val="000000"/>
          <w:sz w:val="24"/>
          <w:szCs w:val="24"/>
          <w:lang w:val="nl-NL"/>
        </w:rPr>
        <w:tab/>
      </w:r>
      <w:r w:rsidRPr="00A46E5B">
        <w:rPr>
          <w:rFonts w:ascii="Times New Roman" w:eastAsia="Times New Roman" w:hAnsi="Times New Roman" w:cs="Times New Roman"/>
          <w:color w:val="000000"/>
          <w:sz w:val="24"/>
          <w:szCs w:val="24"/>
          <w:lang w:val="nl-NL"/>
        </w:rPr>
        <w:tab/>
        <w:t>202-728-2485</w:t>
      </w:r>
      <w:r w:rsidRPr="00A46E5B">
        <w:rPr>
          <w:rFonts w:ascii="Times New Roman" w:eastAsia="Times New Roman" w:hAnsi="Times New Roman" w:cs="Times New Roman"/>
          <w:color w:val="000000"/>
          <w:sz w:val="24"/>
          <w:szCs w:val="24"/>
          <w:lang w:val="nl-NL"/>
        </w:rPr>
        <w:tab/>
      </w:r>
      <w:hyperlink r:id="rId18" w:history="1">
        <w:r w:rsidRPr="00A46E5B">
          <w:rPr>
            <w:rFonts w:ascii="Times New Roman" w:eastAsia="Times New Roman" w:hAnsi="Times New Roman" w:cs="Times New Roman"/>
            <w:color w:val="0000FF"/>
            <w:sz w:val="24"/>
            <w:szCs w:val="24"/>
            <w:u w:val="single"/>
            <w:lang w:val="nl-NL"/>
          </w:rPr>
          <w:t>kkrotki@rti.org</w:t>
        </w:r>
      </w:hyperlink>
      <w:r w:rsidRPr="00A46E5B">
        <w:rPr>
          <w:rFonts w:ascii="Times New Roman" w:eastAsia="Times New Roman" w:hAnsi="Times New Roman" w:cs="Times New Roman"/>
          <w:color w:val="000000"/>
          <w:sz w:val="24"/>
          <w:szCs w:val="24"/>
          <w:lang w:val="nl-NL"/>
        </w:rPr>
        <w:t xml:space="preserve"> </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Christopher Krebs, Ph.D.</w:t>
      </w:r>
      <w:r w:rsidRPr="00A46E5B">
        <w:rPr>
          <w:rFonts w:ascii="Times New Roman" w:eastAsia="Times New Roman" w:hAnsi="Times New Roman" w:cs="Times New Roman"/>
          <w:color w:val="000000"/>
          <w:sz w:val="24"/>
          <w:szCs w:val="24"/>
          <w:lang w:val="de-DE"/>
        </w:rPr>
        <w:tab/>
        <w:t>919-485-5714</w:t>
      </w:r>
      <w:r w:rsidRPr="00A46E5B">
        <w:rPr>
          <w:rFonts w:ascii="Times New Roman" w:eastAsia="Times New Roman" w:hAnsi="Times New Roman" w:cs="Times New Roman"/>
          <w:color w:val="000000"/>
          <w:sz w:val="24"/>
          <w:szCs w:val="24"/>
          <w:lang w:val="de-DE"/>
        </w:rPr>
        <w:tab/>
      </w:r>
      <w:hyperlink r:id="rId19" w:history="1">
        <w:r w:rsidRPr="00A46E5B">
          <w:rPr>
            <w:rFonts w:ascii="Times New Roman" w:eastAsia="Times New Roman" w:hAnsi="Times New Roman" w:cs="Times New Roman"/>
            <w:color w:val="0000FF"/>
            <w:sz w:val="24"/>
            <w:szCs w:val="24"/>
            <w:u w:val="single"/>
            <w:lang w:val="de-DE"/>
          </w:rPr>
          <w:t>krebs@rti.org</w:t>
        </w:r>
      </w:hyperlink>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B.5.b) </w:t>
      </w:r>
      <w:r w:rsidRPr="00A46E5B">
        <w:rPr>
          <w:rFonts w:ascii="Times New Roman" w:eastAsia="Times New Roman" w:hAnsi="Times New Roman" w:cs="Times New Roman"/>
          <w:color w:val="000000"/>
          <w:sz w:val="24"/>
          <w:szCs w:val="24"/>
        </w:rPr>
        <w:tab/>
        <w:t xml:space="preserve">The following individuals from RTI International participating in the collection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of data: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20"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Andy Peytchev,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21"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B.5.c)</w:t>
      </w:r>
      <w:r w:rsidRPr="00A46E5B">
        <w:rPr>
          <w:rFonts w:ascii="Times New Roman" w:eastAsia="Times New Roman" w:hAnsi="Times New Roman" w:cs="Times New Roman"/>
          <w:color w:val="000000"/>
          <w:sz w:val="24"/>
          <w:szCs w:val="24"/>
        </w:rPr>
        <w:tab/>
        <w:t>The following individuals participating in data analysis: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CDC Staff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hyperlink r:id="rId22" w:history="1">
        <w:r w:rsidRPr="00A46E5B">
          <w:rPr>
            <w:rFonts w:ascii="Times New Roman" w:eastAsia="Times New Roman" w:hAnsi="Times New Roman" w:cs="Times New Roman"/>
            <w:color w:val="0000FF"/>
            <w:sz w:val="24"/>
            <w:szCs w:val="24"/>
            <w:u w:val="single"/>
            <w:lang w:val="de-DE"/>
          </w:rPr>
          <w:t>ziy4@cdc.gov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Mark Stevens,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770-488-1389 </w:t>
      </w:r>
      <w:hyperlink r:id="rId23" w:history="1">
        <w:r w:rsidRPr="00A46E5B">
          <w:rPr>
            <w:rFonts w:ascii="Times New Roman" w:eastAsia="Times New Roman" w:hAnsi="Times New Roman" w:cs="Times New Roman"/>
            <w:color w:val="0000FF"/>
            <w:sz w:val="24"/>
            <w:szCs w:val="24"/>
            <w:u w:val="single"/>
            <w:lang w:val="de-DE"/>
          </w:rPr>
          <w:t>zbd3@cdc.gov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Nimesh Patel, M.S.</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770-488-4269 </w:t>
      </w:r>
      <w:hyperlink r:id="rId24" w:history="1">
        <w:r w:rsidRPr="00A46E5B">
          <w:rPr>
            <w:rFonts w:ascii="Times New Roman" w:eastAsia="Times New Roman" w:hAnsi="Times New Roman" w:cs="Times New Roman"/>
            <w:color w:val="0000FF"/>
            <w:sz w:val="24"/>
            <w:szCs w:val="24"/>
            <w:u w:val="single"/>
          </w:rPr>
          <w:t>cva2@cdc.gov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Margie Walling, Ph.D.</w:t>
      </w:r>
      <w:r w:rsidRPr="00A46E5B">
        <w:rPr>
          <w:rFonts w:ascii="Times New Roman" w:eastAsia="Times New Roman" w:hAnsi="Times New Roman" w:cs="Times New Roman"/>
          <w:color w:val="000000"/>
          <w:sz w:val="24"/>
          <w:szCs w:val="24"/>
        </w:rPr>
        <w:tab/>
        <w:t xml:space="preserve">770-488-3781 </w:t>
      </w:r>
      <w:hyperlink r:id="rId25" w:history="1">
        <w:r w:rsidRPr="00A46E5B">
          <w:rPr>
            <w:rFonts w:ascii="Times New Roman" w:eastAsia="Times New Roman" w:hAnsi="Times New Roman" w:cs="Times New Roman"/>
            <w:color w:val="0000FF"/>
            <w:sz w:val="24"/>
            <w:szCs w:val="24"/>
            <w:u w:val="single"/>
          </w:rPr>
          <w:t>itk8@cdc.gov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864" w:firstLine="576"/>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RTI International Staff</w:t>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26"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Andy Peytchev,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27"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nl-NL"/>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nl-NL"/>
        </w:rPr>
        <w:t>Karol Krotki, Ph.D.</w:t>
      </w:r>
      <w:r w:rsidRPr="00A46E5B">
        <w:rPr>
          <w:rFonts w:ascii="Times New Roman" w:eastAsia="Times New Roman" w:hAnsi="Times New Roman" w:cs="Times New Roman"/>
          <w:color w:val="000000"/>
          <w:sz w:val="24"/>
          <w:szCs w:val="24"/>
          <w:lang w:val="nl-NL"/>
        </w:rPr>
        <w:tab/>
      </w:r>
      <w:r w:rsidRPr="00A46E5B">
        <w:rPr>
          <w:rFonts w:ascii="Times New Roman" w:eastAsia="Times New Roman" w:hAnsi="Times New Roman" w:cs="Times New Roman"/>
          <w:color w:val="000000"/>
          <w:sz w:val="24"/>
          <w:szCs w:val="24"/>
          <w:lang w:val="nl-NL"/>
        </w:rPr>
        <w:tab/>
        <w:t>202-728-2485</w:t>
      </w:r>
      <w:r w:rsidRPr="00A46E5B">
        <w:rPr>
          <w:rFonts w:ascii="Times New Roman" w:eastAsia="Times New Roman" w:hAnsi="Times New Roman" w:cs="Times New Roman"/>
          <w:color w:val="000000"/>
          <w:sz w:val="24"/>
          <w:szCs w:val="24"/>
          <w:lang w:val="nl-NL"/>
        </w:rPr>
        <w:tab/>
      </w:r>
      <w:hyperlink r:id="rId28" w:history="1">
        <w:r w:rsidRPr="00A46E5B">
          <w:rPr>
            <w:rFonts w:ascii="Times New Roman" w:eastAsia="Times New Roman" w:hAnsi="Times New Roman" w:cs="Times New Roman"/>
            <w:color w:val="0000FF"/>
            <w:sz w:val="24"/>
            <w:szCs w:val="24"/>
            <w:u w:val="single"/>
            <w:lang w:val="nl-NL"/>
          </w:rPr>
          <w:t>kkrotki@rti.org</w:t>
        </w:r>
      </w:hyperlink>
      <w:r w:rsidRPr="00A46E5B">
        <w:rPr>
          <w:rFonts w:ascii="Times New Roman" w:eastAsia="Times New Roman" w:hAnsi="Times New Roman" w:cs="Times New Roman"/>
          <w:color w:val="000000"/>
          <w:sz w:val="24"/>
          <w:szCs w:val="24"/>
          <w:lang w:val="nl-NL"/>
        </w:rPr>
        <w:t xml:space="preserve"> </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Christopher Krebs, Ph.D.</w:t>
      </w:r>
      <w:r w:rsidRPr="00A46E5B">
        <w:rPr>
          <w:rFonts w:ascii="Times New Roman" w:eastAsia="Times New Roman" w:hAnsi="Times New Roman" w:cs="Times New Roman"/>
          <w:color w:val="000000"/>
          <w:sz w:val="24"/>
          <w:szCs w:val="24"/>
          <w:lang w:val="de-DE"/>
        </w:rPr>
        <w:tab/>
        <w:t>919-485-5714</w:t>
      </w:r>
      <w:r w:rsidRPr="00A46E5B">
        <w:rPr>
          <w:rFonts w:ascii="Times New Roman" w:eastAsia="Times New Roman" w:hAnsi="Times New Roman" w:cs="Times New Roman"/>
          <w:color w:val="000000"/>
          <w:sz w:val="24"/>
          <w:szCs w:val="24"/>
          <w:lang w:val="de-DE"/>
        </w:rPr>
        <w:tab/>
      </w:r>
      <w:hyperlink r:id="rId29" w:history="1">
        <w:r w:rsidRPr="00A46E5B">
          <w:rPr>
            <w:rFonts w:ascii="Times New Roman" w:eastAsia="Times New Roman" w:hAnsi="Times New Roman" w:cs="Times New Roman"/>
            <w:color w:val="0000FF"/>
            <w:sz w:val="24"/>
            <w:szCs w:val="24"/>
            <w:u w:val="single"/>
            <w:lang w:val="de-DE"/>
          </w:rPr>
          <w:t>krebs@rti.org</w:t>
        </w:r>
      </w:hyperlink>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b/>
          <w:bCs/>
          <w:sz w:val="28"/>
          <w:szCs w:val="28"/>
        </w:rPr>
      </w:pPr>
    </w:p>
    <w:p w:rsidR="00A46E5B" w:rsidRPr="00A46E5B" w:rsidRDefault="00A46E5B" w:rsidP="00A46E5B">
      <w:pPr>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REFERENCES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American Association for Public Opinion Research (2008). </w:t>
      </w:r>
      <w:r w:rsidRPr="00A46E5B">
        <w:rPr>
          <w:rFonts w:ascii="Times New Roman" w:eastAsia="Times New Roman" w:hAnsi="Times New Roman" w:cs="Times New Roman"/>
          <w:i/>
          <w:iCs/>
          <w:sz w:val="24"/>
          <w:szCs w:val="24"/>
        </w:rPr>
        <w:t>Standard Definitions: Final Dispositions of Case Codes and Outcome Rates for Surveys</w:t>
      </w:r>
      <w:r w:rsidRPr="00A46E5B">
        <w:rPr>
          <w:rFonts w:ascii="Times New Roman" w:eastAsia="Times New Roman" w:hAnsi="Times New Roman" w:cs="Times New Roman"/>
          <w:sz w:val="24"/>
          <w:szCs w:val="24"/>
        </w:rPr>
        <w:t>, 5</w:t>
      </w:r>
      <w:r w:rsidRPr="00A46E5B">
        <w:rPr>
          <w:rFonts w:ascii="Times New Roman" w:eastAsia="Times New Roman" w:hAnsi="Times New Roman" w:cs="Times New Roman"/>
          <w:sz w:val="24"/>
          <w:szCs w:val="24"/>
          <w:vertAlign w:val="superscript"/>
        </w:rPr>
        <w:t>th</w:t>
      </w:r>
      <w:r w:rsidRPr="00A46E5B">
        <w:rPr>
          <w:rFonts w:ascii="Times New Roman" w:eastAsia="Times New Roman" w:hAnsi="Times New Roman" w:cs="Times New Roman"/>
          <w:sz w:val="24"/>
          <w:szCs w:val="24"/>
        </w:rPr>
        <w:t xml:space="preserve"> edition.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Lenexa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Kansas</w:t>
          </w:r>
        </w:smartTag>
      </w:smartTag>
      <w:r w:rsidRPr="00A46E5B">
        <w:rPr>
          <w:rFonts w:ascii="Times New Roman" w:eastAsia="Times New Roman" w:hAnsi="Times New Roman" w:cs="Times New Roman"/>
          <w:sz w:val="24"/>
          <w:szCs w:val="24"/>
        </w:rPr>
        <w:t>: AAPOR.</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bookmarkStart w:id="3" w:name="OLE_LINK2"/>
      <w:r w:rsidRPr="00A46E5B">
        <w:rPr>
          <w:rFonts w:ascii="Times New Roman" w:eastAsia="Times New Roman" w:hAnsi="Times New Roman" w:cs="Times New Roman"/>
          <w:sz w:val="24"/>
          <w:szCs w:val="24"/>
        </w:rPr>
        <w:t xml:space="preserve">Armstrong, J.S.  (1975). Monetary Incentives in Mail Surveys.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39, 111-116.</w:t>
      </w:r>
    </w:p>
    <w:bookmarkEnd w:id="3"/>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Bachar K, Koss MP. (2001). </w:t>
      </w:r>
      <w:r w:rsidRPr="00A46E5B">
        <w:rPr>
          <w:rFonts w:ascii="Times New Roman" w:eastAsia="Times New Roman" w:hAnsi="Times New Roman" w:cs="Times New Roman"/>
          <w:iCs/>
          <w:sz w:val="24"/>
          <w:szCs w:val="24"/>
        </w:rPr>
        <w:t>From prevalence to prevention: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Cs/>
          <w:sz w:val="24"/>
          <w:szCs w:val="24"/>
        </w:rPr>
        <w:t>Closing the gap between what we know about rape and what we do</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In: Renzetti C, Edleson J, Bergen RK, editors. Sourcebook on Violence Against Women.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Thousand Oaks</w:t>
          </w:r>
        </w:smartTag>
      </w:smartTag>
      <w:r w:rsidRPr="00A46E5B">
        <w:rPr>
          <w:rFonts w:ascii="Times New Roman" w:eastAsia="Times New Roman" w:hAnsi="Times New Roman" w:cs="Times New Roman"/>
          <w:sz w:val="24"/>
          <w:szCs w:val="24"/>
        </w:rPr>
        <w:t xml:space="preserve"> (CA): Sage Publications.</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Black MC, Simon TR, Arias I, Brener ND &amp; Saltzman LE. (2006). The Association between self reported lifetime history of forced sexual intercourse and recent health risk behaviors: findings from the 2003 National Youth Risk Behavior Survey. </w:t>
      </w:r>
      <w:r w:rsidRPr="00A46E5B">
        <w:rPr>
          <w:rFonts w:ascii="Times New Roman" w:eastAsia="Times New Roman" w:hAnsi="Times New Roman" w:cs="Times New Roman"/>
          <w:i/>
          <w:iCs/>
          <w:sz w:val="24"/>
          <w:szCs w:val="24"/>
        </w:rPr>
        <w:t>Journal of Adolescent Health</w:t>
      </w:r>
      <w:r w:rsidRPr="00A46E5B">
        <w:rPr>
          <w:rFonts w:ascii="Times New Roman" w:eastAsia="Times New Roman" w:hAnsi="Times New Roman" w:cs="Times New Roman"/>
          <w:sz w:val="24"/>
          <w:szCs w:val="24"/>
        </w:rPr>
        <w:t>, 39, 752.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CG Times" w:eastAsia="Times New Roman" w:hAnsi="CG Times" w:cs="CG Times"/>
          <w:sz w:val="24"/>
          <w:szCs w:val="24"/>
        </w:rPr>
      </w:pPr>
      <w:r w:rsidRPr="00A46E5B">
        <w:rPr>
          <w:rFonts w:ascii="Times New Roman" w:eastAsia="Times New Roman" w:hAnsi="Times New Roman" w:cs="Times New Roman"/>
          <w:sz w:val="24"/>
          <w:szCs w:val="24"/>
        </w:rPr>
        <w:t xml:space="preserve">Basile KC, Chen J, Black MC, &amp; Saltzman LE. (2007). Prevalence and characteristics of sexual violence victimization among U.S. Adults 2001-2003. </w:t>
      </w:r>
      <w:r w:rsidRPr="00A46E5B">
        <w:rPr>
          <w:rFonts w:ascii="Times New Roman" w:eastAsia="Times New Roman" w:hAnsi="Times New Roman" w:cs="Times New Roman"/>
          <w:i/>
          <w:iCs/>
          <w:sz w:val="24"/>
          <w:szCs w:val="24"/>
        </w:rPr>
        <w:t>Violence and Victims,</w:t>
      </w:r>
      <w:r w:rsidRPr="00A46E5B">
        <w:rPr>
          <w:rFonts w:ascii="CG Times" w:eastAsia="Times New Roman" w:hAnsi="CG Times" w:cs="CG Times"/>
          <w:sz w:val="24"/>
          <w:szCs w:val="24"/>
        </w:rPr>
        <w:t xml:space="preserve"> 22, 437-448.</w:t>
      </w:r>
    </w:p>
    <w:p w:rsidR="00A46E5B" w:rsidRPr="00A46E5B" w:rsidRDefault="00A46E5B" w:rsidP="00A46E5B">
      <w:pPr>
        <w:spacing w:after="0" w:line="240" w:lineRule="auto"/>
        <w:ind w:left="720" w:hanging="720"/>
        <w:rPr>
          <w:rFonts w:ascii="Times New Roman" w:eastAsia="Times New Roman" w:hAnsi="Times New Roman" w:cs="Times New Roman"/>
          <w:i/>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&amp; Saltzman LE. (2002). </w:t>
      </w:r>
      <w:r w:rsidRPr="00A46E5B">
        <w:rPr>
          <w:rFonts w:ascii="Times New Roman" w:eastAsia="Times New Roman" w:hAnsi="Times New Roman" w:cs="Times New Roman"/>
          <w:iCs/>
          <w:sz w:val="24"/>
          <w:szCs w:val="24"/>
        </w:rPr>
        <w:t>Sexual violence surveillance: uniform definitions and recommended data elements.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Version 1.0. </w:t>
      </w:r>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Centers for Disease Control and Prevention, </w:t>
      </w:r>
      <w:smartTag w:uri="urn:schemas-microsoft-com:office:smarttags" w:element="place">
        <w:smartTag w:uri="urn:schemas-microsoft-com:office:smarttags" w:element="PlaceName">
          <w:r w:rsidRPr="00A46E5B">
            <w:rPr>
              <w:rFonts w:ascii="Times New Roman" w:eastAsia="Times New Roman" w:hAnsi="Times New Roman" w:cs="Times New Roman"/>
              <w:i/>
              <w:sz w:val="24"/>
              <w:szCs w:val="24"/>
            </w:rPr>
            <w:t>National</w:t>
          </w:r>
        </w:smartTag>
        <w:r w:rsidRPr="00A46E5B">
          <w:rPr>
            <w:rFonts w:ascii="Times New Roman" w:eastAsia="Times New Roman" w:hAnsi="Times New Roman" w:cs="Times New Roman"/>
            <w:i/>
            <w:sz w:val="24"/>
            <w:szCs w:val="24"/>
          </w:rPr>
          <w:t xml:space="preserve"> </w:t>
        </w:r>
        <w:smartTag w:uri="urn:schemas-microsoft-com:office:smarttags" w:element="PlaceType">
          <w:r w:rsidRPr="00A46E5B">
            <w:rPr>
              <w:rFonts w:ascii="Times New Roman" w:eastAsia="Times New Roman" w:hAnsi="Times New Roman" w:cs="Times New Roman"/>
              <w:i/>
              <w:sz w:val="24"/>
              <w:szCs w:val="24"/>
            </w:rPr>
            <w:t>Center</w:t>
          </w:r>
        </w:smartTag>
      </w:smartTag>
      <w:r w:rsidRPr="00A46E5B">
        <w:rPr>
          <w:rFonts w:ascii="Times New Roman" w:eastAsia="Times New Roman" w:hAnsi="Times New Roman" w:cs="Times New Roman"/>
          <w:i/>
          <w:sz w:val="24"/>
          <w:szCs w:val="24"/>
        </w:rPr>
        <w:t xml:space="preserve"> for Injury Prevention and Control.</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360" w:hanging="36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de-DE"/>
        </w:rPr>
        <w:t xml:space="preserve">Basile KC, Swahn MH, Chen J &amp; Saltzman LE. </w:t>
      </w:r>
      <w:r w:rsidRPr="00A46E5B">
        <w:rPr>
          <w:rFonts w:ascii="Times New Roman" w:eastAsia="Times New Roman" w:hAnsi="Times New Roman" w:cs="Times New Roman"/>
          <w:sz w:val="24"/>
          <w:szCs w:val="24"/>
        </w:rPr>
        <w:t xml:space="preserve">(2006). Stalking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Recent National Prevalence Estimates. </w:t>
      </w:r>
      <w:r w:rsidRPr="00A46E5B">
        <w:rPr>
          <w:rFonts w:ascii="Times New Roman" w:eastAsia="Times New Roman" w:hAnsi="Times New Roman" w:cs="Times New Roman"/>
          <w:i/>
          <w:sz w:val="24"/>
          <w:szCs w:val="24"/>
        </w:rPr>
        <w:t xml:space="preserve">American Journal of Preventive Medicine, </w:t>
      </w:r>
      <w:r w:rsidRPr="00A46E5B">
        <w:rPr>
          <w:rFonts w:ascii="Times New Roman" w:eastAsia="Times New Roman" w:hAnsi="Times New Roman" w:cs="Times New Roman"/>
          <w:sz w:val="24"/>
          <w:szCs w:val="24"/>
        </w:rPr>
        <w:t>31, 172-175.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Behavioral Risk Factor Surveillance System Summary Data Quality Report: </w:t>
      </w:r>
      <w:hyperlink r:id="rId30" w:history="1">
        <w:r w:rsidRPr="00A46E5B">
          <w:rPr>
            <w:rFonts w:ascii="Times New Roman" w:eastAsia="Times New Roman" w:hAnsi="Times New Roman" w:cs="Times New Roman"/>
            <w:sz w:val="24"/>
            <w:szCs w:val="24"/>
          </w:rPr>
          <w:t>http://www.cdc.gov/brfss/technical_infodata/pdf/2002SummaryDataQualityReport.pdf</w:t>
        </w:r>
      </w:hyperlink>
    </w:p>
    <w:p w:rsidR="00A46E5B" w:rsidRPr="00A46E5B" w:rsidRDefault="00A46E5B" w:rsidP="00A46E5B">
      <w:pPr>
        <w:spacing w:after="0" w:line="240" w:lineRule="auto"/>
        <w:rPr>
          <w:rFonts w:ascii="Times New Roman" w:eastAsia="Times New Roman" w:hAnsi="Times New Roman" w:cs="Times New Roman"/>
          <w:b/>
          <w:bCs/>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r w:rsidRPr="00A46E5B">
        <w:rPr>
          <w:rFonts w:ascii="Times New Roman" w:eastAsia="Times New Roman" w:hAnsi="Times New Roman" w:cs="Arial"/>
          <w:sz w:val="24"/>
          <w:szCs w:val="24"/>
        </w:rPr>
        <w:t xml:space="preserve">Black MC &amp; Black RS. (2007). A public health perspective on the ethics of asking and not asking about abuse. </w:t>
      </w:r>
      <w:r w:rsidRPr="00A46E5B">
        <w:rPr>
          <w:rFonts w:ascii="Times New Roman" w:eastAsia="Times New Roman" w:hAnsi="Times New Roman" w:cs="Arial"/>
          <w:i/>
          <w:sz w:val="24"/>
          <w:szCs w:val="24"/>
        </w:rPr>
        <w:t>American Psychologist,</w:t>
      </w:r>
      <w:r w:rsidRPr="00A46E5B">
        <w:rPr>
          <w:rFonts w:ascii="Times New Roman" w:eastAsia="Times New Roman" w:hAnsi="Times New Roman" w:cs="Arial"/>
          <w:sz w:val="24"/>
          <w:szCs w:val="24"/>
        </w:rPr>
        <w:t xml:space="preserve"> 62, 328. </w:t>
      </w: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Black MC &amp; Breiding, MJ. (2008) Adverse health conditions and health risk behaviors associated with  intimate partner violence –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United States</w:t>
          </w:r>
        </w:smartTag>
      </w:smartTag>
      <w:r w:rsidRPr="00A46E5B">
        <w:rPr>
          <w:rFonts w:ascii="Times New Roman" w:eastAsia="Times New Roman" w:hAnsi="Times New Roman" w:cs="Times New Roman"/>
          <w:color w:val="000000"/>
          <w:sz w:val="24"/>
          <w:szCs w:val="24"/>
        </w:rPr>
        <w:t xml:space="preserve">, 2005. </w:t>
      </w:r>
      <w:r w:rsidRPr="00A46E5B">
        <w:rPr>
          <w:rFonts w:ascii="Times New Roman" w:eastAsia="Times New Roman" w:hAnsi="Times New Roman" w:cs="Times New Roman"/>
          <w:i/>
          <w:color w:val="000000"/>
          <w:sz w:val="24"/>
          <w:szCs w:val="24"/>
        </w:rPr>
        <w:t>MMWR</w:t>
      </w:r>
      <w:r w:rsidRPr="00A46E5B">
        <w:rPr>
          <w:rFonts w:ascii="Times New Roman" w:eastAsia="Times New Roman" w:hAnsi="Times New Roman" w:cs="Times New Roman"/>
          <w:color w:val="000000"/>
          <w:sz w:val="24"/>
          <w:szCs w:val="24"/>
        </w:rPr>
        <w:t>, 57, 113-117.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Blumberg S J &amp; Luke JV. (2008). Wireless Substitution: Early Release of Estimates Based on Data from the National Health Interview Survey, July-December 2007. Retrieved May 13, 2008, from </w:t>
      </w:r>
      <w:hyperlink r:id="rId31" w:history="1">
        <w:r w:rsidRPr="00A46E5B">
          <w:rPr>
            <w:rFonts w:ascii="Times New Roman" w:eastAsia="Times New Roman" w:hAnsi="Times New Roman" w:cs="Times New Roman"/>
            <w:color w:val="0000FF"/>
            <w:sz w:val="24"/>
            <w:szCs w:val="24"/>
            <w:u w:val="single"/>
          </w:rPr>
          <w:t>http://www.cdc.gov/nchs/nhis.htm</w:t>
        </w:r>
      </w:hyperlink>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Blumberg, S. J., &amp; Luke, J. V. (2012). Wireless Substitution: Early Release of Estimates Based</w:t>
      </w:r>
      <w:r w:rsidRPr="00A46E5B">
        <w:rPr>
          <w:rFonts w:ascii="Times New Roman" w:eastAsia="Times New Roman" w:hAnsi="Times New Roman" w:cs="Times New Roman"/>
          <w:sz w:val="24"/>
          <w:szCs w:val="24"/>
        </w:rPr>
        <w:tab/>
        <w:t>on Data from the National Health Interview Survey, July-December 2011  Retrieved June</w:t>
      </w:r>
      <w:r w:rsidRPr="00A46E5B">
        <w:rPr>
          <w:rFonts w:ascii="Times New Roman" w:eastAsia="Times New Roman" w:hAnsi="Times New Roman" w:cs="Times New Roman"/>
          <w:sz w:val="24"/>
          <w:szCs w:val="24"/>
        </w:rPr>
        <w:tab/>
        <w:t xml:space="preserve">28, 2012, from </w:t>
      </w:r>
      <w:hyperlink r:id="rId32" w:history="1">
        <w:r w:rsidRPr="00A46E5B">
          <w:rPr>
            <w:rFonts w:ascii="Times New Roman" w:eastAsia="Times New Roman" w:hAnsi="Times New Roman" w:cs="Times New Roman"/>
            <w:color w:val="0000FF"/>
            <w:sz w:val="24"/>
            <w:szCs w:val="24"/>
            <w:u w:val="single"/>
          </w:rPr>
          <w:t>http://www.cdc.gov/nchs/nhis.htm</w:t>
        </w:r>
      </w:hyperlink>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fr-FR"/>
        </w:rPr>
        <w:lastRenderedPageBreak/>
        <w:t xml:space="preserve">Bonomi AE, Thompson RS &amp; Anderson Ml. (2006).  </w:t>
      </w:r>
      <w:r w:rsidRPr="00A46E5B">
        <w:rPr>
          <w:rFonts w:ascii="Times New Roman" w:eastAsia="Times New Roman" w:hAnsi="Times New Roman" w:cs="Times New Roman"/>
          <w:sz w:val="24"/>
          <w:szCs w:val="24"/>
        </w:rPr>
        <w:t xml:space="preserve">Intimate partner violence and women’s physical, mental, and social functioning.  </w:t>
      </w:r>
      <w:r w:rsidRPr="00A46E5B">
        <w:rPr>
          <w:rFonts w:ascii="Times New Roman" w:eastAsia="Times New Roman" w:hAnsi="Times New Roman" w:cs="Times New Roman"/>
          <w:i/>
          <w:sz w:val="24"/>
          <w:szCs w:val="24"/>
        </w:rPr>
        <w:t>Am J Prev Med,</w:t>
      </w:r>
      <w:r w:rsidRPr="00A46E5B">
        <w:rPr>
          <w:rFonts w:ascii="Times New Roman" w:eastAsia="Times New Roman" w:hAnsi="Times New Roman" w:cs="Times New Roman"/>
          <w:sz w:val="24"/>
          <w:szCs w:val="24"/>
        </w:rPr>
        <w:t xml:space="preserve"> 30, 458-466</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r w:rsidRPr="00A46E5B">
        <w:rPr>
          <w:rFonts w:ascii="Times New Roman" w:eastAsia="Times New Roman" w:hAnsi="Times New Roman" w:cs="Times New Roman"/>
          <w:sz w:val="24"/>
          <w:szCs w:val="24"/>
        </w:rPr>
        <w:t xml:space="preserve">Breiding MJ, Black MC &amp; Ryan GW. (2008). Prevalence and risk factors of intimate partner violence in Eighteen U.S. States/Territories, 2005.  </w:t>
      </w:r>
      <w:r w:rsidRPr="00A46E5B">
        <w:rPr>
          <w:rFonts w:ascii="Times New Roman" w:eastAsia="Times New Roman" w:hAnsi="Times New Roman" w:cs="Times New Roman"/>
          <w:i/>
          <w:iCs/>
          <w:sz w:val="24"/>
          <w:szCs w:val="24"/>
        </w:rPr>
        <w:t xml:space="preserve">American Journal of Preventive Medicine, </w:t>
      </w:r>
      <w:r w:rsidRPr="00A46E5B">
        <w:rPr>
          <w:rFonts w:ascii="Times New Roman" w:eastAsia="Times New Roman" w:hAnsi="Times New Roman" w:cs="Times New Roman"/>
          <w:iCs/>
          <w:sz w:val="24"/>
          <w:szCs w:val="24"/>
        </w:rPr>
        <w:t>34, 112-118.</w:t>
      </w: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Brick, J. M., Cervantes, I. F., Lee, S., &amp; Norman, G. (2011). Nonsampling errors in dual</w:t>
      </w:r>
      <w:r w:rsidRPr="00A46E5B">
        <w:rPr>
          <w:rFonts w:ascii="Times New Roman" w:eastAsia="Times New Roman" w:hAnsi="Times New Roman" w:cs="Times New Roman"/>
          <w:sz w:val="24"/>
          <w:szCs w:val="24"/>
        </w:rPr>
        <w:tab/>
        <w:t xml:space="preserve">frame telephone surveys. </w:t>
      </w:r>
      <w:r w:rsidRPr="00A46E5B">
        <w:rPr>
          <w:rFonts w:ascii="Times New Roman" w:eastAsia="Times New Roman" w:hAnsi="Times New Roman" w:cs="Times New Roman"/>
          <w:i/>
          <w:iCs/>
          <w:sz w:val="24"/>
          <w:szCs w:val="24"/>
        </w:rPr>
        <w:t>Survey Methodology, 37</w:t>
      </w:r>
      <w:r w:rsidRPr="00A46E5B">
        <w:rPr>
          <w:rFonts w:ascii="Times New Roman" w:eastAsia="Times New Roman" w:hAnsi="Times New Roman" w:cs="Times New Roman"/>
          <w:sz w:val="24"/>
          <w:szCs w:val="24"/>
        </w:rPr>
        <w:t>(1), 1-12.</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Brush LD. (1990). </w:t>
      </w:r>
      <w:r w:rsidRPr="00A46E5B">
        <w:rPr>
          <w:rFonts w:ascii="Times New Roman" w:eastAsia="Times New Roman" w:hAnsi="Times New Roman" w:cs="Times New Roman"/>
          <w:iCs/>
          <w:color w:val="000000"/>
          <w:sz w:val="24"/>
          <w:szCs w:val="24"/>
          <w:highlight w:val="white"/>
        </w:rPr>
        <w:t xml:space="preserve">Violent acts and injurious outcomes in married couples: methodological issues in the National Survey of Families and Households. </w:t>
      </w:r>
      <w:r w:rsidRPr="00A46E5B">
        <w:rPr>
          <w:rFonts w:ascii="Times New Roman" w:eastAsia="Times New Roman" w:hAnsi="Times New Roman" w:cs="Times New Roman"/>
          <w:i/>
          <w:color w:val="000000"/>
          <w:sz w:val="24"/>
          <w:szCs w:val="24"/>
          <w:highlight w:val="white"/>
        </w:rPr>
        <w:t>Gender and Society</w:t>
      </w:r>
      <w:r w:rsidRPr="00A46E5B">
        <w:rPr>
          <w:rFonts w:ascii="Times New Roman" w:eastAsia="Times New Roman" w:hAnsi="Times New Roman" w:cs="Times New Roman"/>
          <w:color w:val="000000"/>
          <w:sz w:val="24"/>
          <w:szCs w:val="24"/>
          <w:highlight w:val="white"/>
        </w:rPr>
        <w:t>, 4, 56-67.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Caetano R &amp; Cunradi C. (2003). </w:t>
      </w:r>
      <w:r w:rsidRPr="00A46E5B">
        <w:rPr>
          <w:rFonts w:ascii="Times New Roman" w:eastAsia="Times New Roman" w:hAnsi="Times New Roman" w:cs="Times New Roman"/>
          <w:iCs/>
          <w:sz w:val="24"/>
          <w:szCs w:val="24"/>
        </w:rPr>
        <w:t>Intimate partner violence and depression among whites, blacks, and Hispanics.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Annals of Epidemiology, </w:t>
      </w:r>
      <w:r w:rsidRPr="00A46E5B">
        <w:rPr>
          <w:rFonts w:ascii="Times New Roman" w:eastAsia="Times New Roman" w:hAnsi="Times New Roman" w:cs="Times New Roman"/>
          <w:sz w:val="24"/>
          <w:szCs w:val="24"/>
        </w:rPr>
        <w:t>13, 661–5.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Campbell J, Sullivan CM &amp; Davidson WD. (1995). Women who use domestic violence shelters: changes in depression over time.</w:t>
      </w:r>
      <w:r w:rsidRPr="00A46E5B">
        <w:rPr>
          <w:rFonts w:ascii="Times New Roman" w:eastAsia="Times New Roman" w:hAnsi="Times New Roman" w:cs="Times New Roman"/>
          <w:i/>
          <w:sz w:val="24"/>
          <w:szCs w:val="24"/>
        </w:rPr>
        <w:t xml:space="preserve"> Psychology of Women Quarterly</w:t>
      </w:r>
      <w:r w:rsidRPr="00A46E5B">
        <w:rPr>
          <w:rFonts w:ascii="Times New Roman" w:eastAsia="Times New Roman" w:hAnsi="Times New Roman" w:cs="Times New Roman"/>
          <w:sz w:val="24"/>
          <w:szCs w:val="24"/>
        </w:rPr>
        <w:t xml:space="preserve"> 19, 237-55.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Campbell</w:t>
          </w:r>
        </w:smartTag>
      </w:smartTag>
      <w:r w:rsidRPr="00A46E5B">
        <w:rPr>
          <w:rFonts w:ascii="Times New Roman" w:eastAsia="Times New Roman" w:hAnsi="Times New Roman" w:cs="Times New Roman"/>
          <w:sz w:val="24"/>
          <w:szCs w:val="24"/>
        </w:rPr>
        <w:t xml:space="preserve"> JC. (</w:t>
      </w:r>
      <w:r w:rsidRPr="00A46E5B">
        <w:rPr>
          <w:rFonts w:ascii="Times New Roman" w:eastAsia="Times New Roman" w:hAnsi="Times New Roman" w:cs="Times New Roman"/>
          <w:iCs/>
          <w:sz w:val="24"/>
          <w:szCs w:val="24"/>
        </w:rPr>
        <w:t xml:space="preserve">2002). </w:t>
      </w:r>
      <w:r w:rsidRPr="00A46E5B">
        <w:rPr>
          <w:rFonts w:ascii="Times New Roman" w:eastAsia="Times New Roman" w:hAnsi="Times New Roman" w:cs="Times New Roman"/>
          <w:sz w:val="24"/>
          <w:szCs w:val="24"/>
        </w:rPr>
        <w:t>Health consequences of intimate partner violence</w:t>
      </w:r>
      <w:r w:rsidRPr="00A46E5B">
        <w:rPr>
          <w:rFonts w:ascii="Times New Roman" w:eastAsia="Times New Roman" w:hAnsi="Times New Roman" w:cs="Times New Roman"/>
          <w:i/>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Lancet</w:t>
      </w:r>
      <w:r w:rsidRPr="00A46E5B">
        <w:rPr>
          <w:rFonts w:ascii="Times New Roman" w:eastAsia="Times New Roman" w:hAnsi="Times New Roman" w:cs="Times New Roman"/>
          <w:iCs/>
          <w:sz w:val="24"/>
          <w:szCs w:val="24"/>
        </w:rPr>
        <w:t xml:space="preserve">, 359, </w:t>
      </w:r>
      <w:r w:rsidRPr="00A46E5B">
        <w:rPr>
          <w:rFonts w:ascii="Times New Roman" w:eastAsia="Times New Roman" w:hAnsi="Times New Roman" w:cs="Times New Roman"/>
          <w:sz w:val="24"/>
          <w:szCs w:val="24"/>
        </w:rPr>
        <w:t>1331–6.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Cantor  D, O’Hare, BC &amp; O’Connor KS.  (2007). The Use of Monetary Incentives to Reduce Non-Response in Random Digit Dial Telephone Surveys.  Pp. 471-498 in Advances in Telephone Survey Methodology, edited by J.M. Lepkowski, C. Tucker, J.M. Brick, E. de Leeuw, L. Japec, P.J. Lavrakas, M.W. Link, and R.L. Sangester.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Cantor D, Wang K &amp; Abi-Habib N. (2003). </w:t>
      </w:r>
      <w:r w:rsidRPr="00A46E5B">
        <w:rPr>
          <w:rFonts w:ascii="Times New Roman" w:eastAsia="Times New Roman" w:hAnsi="Times New Roman" w:cs="Times New Roman"/>
          <w:iCs/>
          <w:sz w:val="24"/>
          <w:szCs w:val="24"/>
        </w:rPr>
        <w:t>Comparing Promised and Pre-Paid Incentives for an Extended Interview on a Random Digit Dial Survey</w:t>
      </w:r>
      <w:r w:rsidRPr="00A46E5B">
        <w:rPr>
          <w:rFonts w:ascii="Times New Roman" w:eastAsia="Times New Roman" w:hAnsi="Times New Roman" w:cs="Times New Roman"/>
          <w:i/>
          <w:sz w:val="24"/>
          <w:szCs w:val="24"/>
        </w:rPr>
        <w:t>. Proceedings of the Survey Research Methods Section of the ASA.</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Centers for Disease Control and Prevention (CDC). (2009). </w:t>
      </w:r>
      <w:r w:rsidRPr="00A46E5B">
        <w:rPr>
          <w:rFonts w:ascii="Times New Roman" w:eastAsia="Times New Roman" w:hAnsi="Times New Roman" w:cs="Times New Roman"/>
          <w:iCs/>
          <w:sz w:val="24"/>
          <w:szCs w:val="24"/>
        </w:rPr>
        <w:t>Building data systems for monitoring and responding to violence against women: recommendations from a workshop</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MMWR </w:t>
      </w:r>
      <w:r w:rsidRPr="00A46E5B">
        <w:rPr>
          <w:rFonts w:ascii="Times New Roman" w:eastAsia="Times New Roman" w:hAnsi="Times New Roman" w:cs="Times New Roman"/>
          <w:sz w:val="24"/>
          <w:szCs w:val="24"/>
        </w:rPr>
        <w:t>49, No. RR-11).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Church AH. (1993). </w:t>
      </w:r>
      <w:r w:rsidRPr="00A46E5B">
        <w:rPr>
          <w:rFonts w:ascii="Times New Roman" w:eastAsia="Times New Roman" w:hAnsi="Times New Roman" w:cs="Times New Roman"/>
          <w:iCs/>
          <w:sz w:val="24"/>
          <w:szCs w:val="24"/>
        </w:rPr>
        <w:t>Estimating the Effect of Incentives on Mail Survey Response Rates: A Meta-Analysis.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57, 62-79.</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Coker AL, Smith PH, Bethea L, King MR &amp; McKeown RE. (2000). </w:t>
      </w:r>
      <w:r w:rsidRPr="00A46E5B">
        <w:rPr>
          <w:rFonts w:ascii="Times New Roman" w:eastAsia="Times New Roman" w:hAnsi="Times New Roman" w:cs="Times New Roman"/>
          <w:iCs/>
          <w:sz w:val="24"/>
          <w:szCs w:val="24"/>
        </w:rPr>
        <w:t>Physical health consequences of physical and psychological intimate partner violence.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Archives of Family Medicine, </w:t>
      </w:r>
      <w:r w:rsidRPr="00A46E5B">
        <w:rPr>
          <w:rFonts w:ascii="Times New Roman" w:eastAsia="Times New Roman" w:hAnsi="Times New Roman" w:cs="Times New Roman"/>
          <w:sz w:val="24"/>
          <w:szCs w:val="24"/>
        </w:rPr>
        <w:t xml:space="preserve">9, 451-7.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Corso PS, Mercy JA, Simon TR, Finkelstein EA &amp; Miller TR. (2007). Medical Costs and Productivity Losses Due to Interpersonal and Self-Directed Violence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American Journal of Prevention Medicine</w:t>
      </w:r>
      <w:r w:rsidRPr="00A46E5B">
        <w:rPr>
          <w:rFonts w:ascii="Times New Roman" w:eastAsia="Times New Roman" w:hAnsi="Times New Roman" w:cs="Times New Roman"/>
          <w:sz w:val="24"/>
          <w:szCs w:val="24"/>
        </w:rPr>
        <w:t>, 32, 474-482.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Crowell NA, Burgess AW, eds. </w:t>
      </w:r>
      <w:r w:rsidRPr="00A46E5B">
        <w:rPr>
          <w:rFonts w:ascii="Times New Roman" w:eastAsia="Times New Roman" w:hAnsi="Times New Roman" w:cs="Times New Roman"/>
          <w:iCs/>
          <w:sz w:val="24"/>
          <w:szCs w:val="24"/>
        </w:rPr>
        <w:t>Understanding Violence Against Women</w:t>
      </w:r>
      <w:r w:rsidRPr="00A46E5B">
        <w:rPr>
          <w:rFonts w:ascii="Times New Roman" w:eastAsia="Times New Roman" w:hAnsi="Times New Roman" w:cs="Times New Roman"/>
          <w:i/>
          <w:iCs/>
          <w:sz w:val="24"/>
          <w:szCs w:val="24"/>
        </w:rPr>
        <w:t xml:space="preserve">. </w:t>
      </w:r>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Academy</w:t>
          </w:r>
        </w:smartTag>
      </w:smartTag>
      <w:r w:rsidRPr="00A46E5B">
        <w:rPr>
          <w:rFonts w:ascii="Times New Roman" w:eastAsia="Times New Roman" w:hAnsi="Times New Roman" w:cs="Times New Roman"/>
          <w:sz w:val="24"/>
          <w:szCs w:val="24"/>
        </w:rPr>
        <w:t xml:space="preserve"> Press; 1996.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Dailey R &amp; Claus RE. (2001). </w:t>
      </w:r>
      <w:r w:rsidRPr="00A46E5B">
        <w:rPr>
          <w:rFonts w:ascii="Times New Roman" w:eastAsia="Times New Roman" w:hAnsi="Times New Roman" w:cs="Times New Roman"/>
          <w:iCs/>
          <w:sz w:val="24"/>
          <w:szCs w:val="24"/>
        </w:rPr>
        <w:t xml:space="preserve">The relationship between interviewer characteristics and physical   </w:t>
      </w:r>
      <w:r w:rsidRPr="00A46E5B">
        <w:rPr>
          <w:rFonts w:ascii="Times New Roman" w:eastAsia="Times New Roman" w:hAnsi="Times New Roman" w:cs="Times New Roman"/>
          <w:iCs/>
          <w:sz w:val="24"/>
          <w:szCs w:val="24"/>
        </w:rPr>
        <w:tab/>
        <w:t>and sexual abuse disclosures among substance users: A multilevel 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w:t>
      </w: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i/>
          <w:sz w:val="24"/>
          <w:szCs w:val="24"/>
        </w:rPr>
        <w:t xml:space="preserve">Drug Issues, </w:t>
      </w:r>
      <w:r w:rsidRPr="00A46E5B">
        <w:rPr>
          <w:rFonts w:ascii="Times New Roman" w:eastAsia="Times New Roman" w:hAnsi="Times New Roman" w:cs="Times New Roman"/>
          <w:sz w:val="24"/>
          <w:szCs w:val="24"/>
        </w:rPr>
        <w:t xml:space="preserve">31, 867-88.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Defense</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Manpower</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Data</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(2008). “August 2007 Status of Services Survey of Active Duty Members: Tabulations and Responses.” DMDC Report No. 2007–049.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Deming W E. (1953). On a Probability Mechanism to Attain an Economic Balance between the Resultant Error of Nonresponse and the Bias of Nonresponse.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xml:space="preserve"> 48, 743-772.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Dillman D. (2000) </w:t>
      </w:r>
      <w:r w:rsidRPr="00A46E5B">
        <w:rPr>
          <w:rFonts w:ascii="Times New Roman" w:eastAsia="Times New Roman" w:hAnsi="Times New Roman" w:cs="Times New Roman"/>
          <w:iCs/>
          <w:sz w:val="24"/>
          <w:szCs w:val="24"/>
        </w:rPr>
        <w:t>Mail and Internet Surveys</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New York</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NY</w:t>
          </w:r>
        </w:smartTag>
      </w:smartTag>
      <w:r w:rsidRPr="00A46E5B">
        <w:rPr>
          <w:rFonts w:ascii="Times New Roman" w:eastAsia="Times New Roman" w:hAnsi="Times New Roman" w:cs="Times New Roman"/>
          <w:sz w:val="24"/>
          <w:szCs w:val="24"/>
        </w:rPr>
        <w:t>: John Wiley &amp; Sons, Inc.</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Evans-Campbell T, Lindhorst T, Huang B &amp; Walters KL. (2006). Interpersonal Violence in the Lives of Urban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Women: Implications for Health, Mental Health, and Help-Seeking.</w:t>
      </w:r>
      <w:r w:rsidRPr="00A46E5B">
        <w:rPr>
          <w:rFonts w:ascii="Times New Roman" w:eastAsia="Times New Roman" w:hAnsi="Times New Roman" w:cs="Times New Roman"/>
          <w:i/>
          <w:iCs/>
          <w:sz w:val="24"/>
          <w:szCs w:val="24"/>
        </w:rPr>
        <w:t xml:space="preserve"> American Journal of Public Health</w:t>
      </w:r>
      <w:r w:rsidRPr="00A46E5B">
        <w:rPr>
          <w:rFonts w:ascii="Times New Roman" w:eastAsia="Times New Roman" w:hAnsi="Times New Roman" w:cs="Times New Roman"/>
          <w:sz w:val="24"/>
          <w:szCs w:val="24"/>
        </w:rPr>
        <w:t>, 96, 1416-1422.</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Fahimi M, Kulp D, &amp;  Brick JM. (2008). Bias in List-Assisted 100-Series RDD Sampling. Survey Practice. September 2008.</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Fisher BJ. (2004). </w:t>
      </w:r>
      <w:r w:rsidRPr="00A46E5B">
        <w:rPr>
          <w:rFonts w:ascii="Times New Roman" w:eastAsia="Times New Roman" w:hAnsi="Times New Roman" w:cs="Times New Roman"/>
          <w:iCs/>
          <w:sz w:val="24"/>
          <w:szCs w:val="24"/>
        </w:rPr>
        <w:t>Measuring Rape Against Women: The Significance of Survey Questions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t>Department of Justice.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Fowler Jr FJ &amp; Mangione TW. (1990). </w:t>
      </w:r>
      <w:r w:rsidRPr="00A46E5B">
        <w:rPr>
          <w:rFonts w:ascii="Times New Roman" w:eastAsia="Times New Roman" w:hAnsi="Times New Roman" w:cs="Times New Roman"/>
          <w:iCs/>
          <w:sz w:val="24"/>
          <w:szCs w:val="24"/>
        </w:rPr>
        <w:t>Standardized Survey Interviewing</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Newbury</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Park</w:t>
          </w:r>
        </w:smartTag>
      </w:smartTag>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Sage 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Gelles RJ. (1997). </w:t>
      </w:r>
      <w:r w:rsidRPr="00A46E5B">
        <w:rPr>
          <w:rFonts w:ascii="Times New Roman" w:eastAsia="Times New Roman" w:hAnsi="Times New Roman" w:cs="Times New Roman"/>
          <w:iCs/>
          <w:color w:val="000000"/>
          <w:sz w:val="24"/>
          <w:szCs w:val="24"/>
          <w:highlight w:val="white"/>
        </w:rPr>
        <w:t>Intimate Violence in Families</w:t>
      </w:r>
      <w:r w:rsidRPr="00A46E5B">
        <w:rPr>
          <w:rFonts w:ascii="Times New Roman" w:eastAsia="Times New Roman" w:hAnsi="Times New Roman" w:cs="Times New Roman"/>
          <w:i/>
          <w:iCs/>
          <w:color w:val="000000"/>
          <w:sz w:val="24"/>
          <w:szCs w:val="24"/>
          <w:highlight w:val="white"/>
        </w:rPr>
        <w:t>.</w:t>
      </w:r>
      <w:r w:rsidRPr="00A46E5B">
        <w:rPr>
          <w:rFonts w:ascii="Times New Roman" w:eastAsia="Times New Roman" w:hAnsi="Times New Roman" w:cs="Times New Roman"/>
          <w:color w:val="000000"/>
          <w:sz w:val="24"/>
          <w:szCs w:val="24"/>
          <w:highlight w:val="white"/>
        </w:rPr>
        <w:t xml:space="preserve"> 3</w:t>
      </w:r>
      <w:r w:rsidRPr="00A46E5B">
        <w:rPr>
          <w:rFonts w:ascii="Times New Roman" w:eastAsia="Times New Roman" w:hAnsi="Times New Roman" w:cs="Times New Roman"/>
          <w:color w:val="000000"/>
          <w:sz w:val="24"/>
          <w:szCs w:val="24"/>
          <w:highlight w:val="white"/>
          <w:vertAlign w:val="superscript"/>
        </w:rPr>
        <w:t>rd</w:t>
      </w:r>
      <w:r w:rsidRPr="00A46E5B">
        <w:rPr>
          <w:rFonts w:ascii="Times New Roman" w:eastAsia="Times New Roman" w:hAnsi="Times New Roman" w:cs="Times New Roman"/>
          <w:color w:val="000000"/>
          <w:sz w:val="24"/>
          <w:szCs w:val="24"/>
          <w:highlight w:val="white"/>
        </w:rPr>
        <w:t xml:space="preserve"> ed.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highlight w:val="white"/>
            </w:rPr>
            <w:t>Thousand Oaks</w:t>
          </w:r>
        </w:smartTag>
      </w:smartTag>
      <w:r w:rsidRPr="00A46E5B">
        <w:rPr>
          <w:rFonts w:ascii="Times New Roman" w:eastAsia="Times New Roman" w:hAnsi="Times New Roman" w:cs="Times New Roman"/>
          <w:color w:val="000000"/>
          <w:sz w:val="24"/>
          <w:szCs w:val="24"/>
          <w:highlight w:val="white"/>
        </w:rPr>
        <w:t xml:space="preserve"> (CA): Sage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yellow"/>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Golding JM. (1996). Sexual assault history and limitations in physical functioning in two general </w:t>
      </w: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population samples. </w:t>
      </w:r>
      <w:r w:rsidRPr="00A46E5B">
        <w:rPr>
          <w:rFonts w:ascii="Times New Roman" w:eastAsia="Times New Roman" w:hAnsi="Times New Roman" w:cs="Times New Roman"/>
          <w:i/>
          <w:color w:val="000000"/>
          <w:sz w:val="24"/>
          <w:szCs w:val="24"/>
          <w:highlight w:val="white"/>
        </w:rPr>
        <w:t xml:space="preserve">Research in Nursing and Health, </w:t>
      </w:r>
      <w:r w:rsidRPr="00A46E5B">
        <w:rPr>
          <w:rFonts w:ascii="Times New Roman" w:eastAsia="Times New Roman" w:hAnsi="Times New Roman" w:cs="Times New Roman"/>
          <w:color w:val="000000"/>
          <w:sz w:val="24"/>
          <w:szCs w:val="24"/>
          <w:highlight w:val="white"/>
        </w:rPr>
        <w:t xml:space="preserve">9, 33-44.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Gondolf  EW &amp; Heckert DA. (2003). </w:t>
      </w:r>
      <w:r w:rsidRPr="00A46E5B">
        <w:rPr>
          <w:rFonts w:ascii="Times New Roman" w:eastAsia="Times New Roman" w:hAnsi="Times New Roman" w:cs="Times New Roman"/>
          <w:iCs/>
          <w:sz w:val="24"/>
          <w:szCs w:val="24"/>
        </w:rPr>
        <w:t xml:space="preserve">Determinants of women's perceptions of risk in battering </w:t>
      </w:r>
      <w:r w:rsidRPr="00A46E5B">
        <w:rPr>
          <w:rFonts w:ascii="Times New Roman" w:eastAsia="Times New Roman" w:hAnsi="Times New Roman" w:cs="Times New Roman"/>
          <w:iCs/>
          <w:sz w:val="24"/>
          <w:szCs w:val="24"/>
        </w:rPr>
        <w:tab/>
        <w:t>relationships.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Violence &amp; Victims, </w:t>
      </w:r>
      <w:r w:rsidRPr="00A46E5B">
        <w:rPr>
          <w:rFonts w:ascii="Times New Roman" w:eastAsia="Times New Roman" w:hAnsi="Times New Roman" w:cs="Times New Roman"/>
          <w:sz w:val="24"/>
          <w:szCs w:val="24"/>
        </w:rPr>
        <w:t>18, 371-386.</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r w:rsidRPr="00A46E5B">
        <w:rPr>
          <w:rFonts w:ascii="Times New Roman" w:eastAsia="Times New Roman" w:hAnsi="Times New Roman" w:cs="Times New Roman"/>
          <w:sz w:val="24"/>
          <w:szCs w:val="24"/>
          <w:lang w:val="fr-FR"/>
        </w:rPr>
        <w:t xml:space="preserve">Grossman, S. F., &amp; Lundy, M. (2003). Use of domestic violence services across race and ethnicity by women aged 55 and older. </w:t>
      </w:r>
      <w:r w:rsidRPr="00A46E5B">
        <w:rPr>
          <w:rFonts w:ascii="Times New Roman" w:eastAsia="Times New Roman" w:hAnsi="Times New Roman" w:cs="Times New Roman"/>
          <w:i/>
          <w:sz w:val="24"/>
          <w:szCs w:val="24"/>
          <w:lang w:val="fr-FR"/>
        </w:rPr>
        <w:t>Violence Against Women</w:t>
      </w:r>
      <w:r w:rsidRPr="00A46E5B">
        <w:rPr>
          <w:rFonts w:ascii="Times New Roman" w:eastAsia="Times New Roman" w:hAnsi="Times New Roman" w:cs="Times New Roman"/>
          <w:sz w:val="24"/>
          <w:szCs w:val="24"/>
          <w:lang w:val="fr-FR"/>
        </w:rPr>
        <w:t>, 9(12), 2003.</w:t>
      </w: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p>
    <w:p w:rsidR="00A46E5B" w:rsidRPr="00A46E5B" w:rsidRDefault="00A46E5B" w:rsidP="00A46E5B">
      <w:pPr>
        <w:spacing w:after="0" w:line="240" w:lineRule="auto"/>
        <w:rPr>
          <w:rFonts w:ascii="Times New Roman" w:eastAsia="Times New Roman" w:hAnsi="Times New Roman" w:cs="Times New Roman"/>
          <w:i/>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(2006). Nonresponse rates and nonresponse bias in household surveys. </w:t>
      </w:r>
      <w:r w:rsidRPr="00A46E5B">
        <w:rPr>
          <w:rFonts w:ascii="Times New Roman" w:eastAsia="Times New Roman" w:hAnsi="Times New Roman" w:cs="Times New Roman"/>
          <w:i/>
          <w:color w:val="000000"/>
          <w:sz w:val="24"/>
          <w:szCs w:val="24"/>
        </w:rPr>
        <w:t xml:space="preserve">Public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i/>
          <w:color w:val="000000"/>
          <w:sz w:val="24"/>
          <w:szCs w:val="24"/>
        </w:rPr>
        <w:tab/>
        <w:t>Opinion Quarterly</w:t>
      </w:r>
      <w:r w:rsidRPr="00A46E5B">
        <w:rPr>
          <w:rFonts w:ascii="Times New Roman" w:eastAsia="Times New Roman" w:hAnsi="Times New Roman" w:cs="Times New Roman"/>
          <w:color w:val="000000"/>
          <w:sz w:val="24"/>
          <w:szCs w:val="24"/>
        </w:rPr>
        <w:t xml:space="preserve"> 70(5): 646-675.</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 M, Couper MP, Presser S, Singer E, Tourangeau R, Acosta GP &amp; Nelson L. (2006). Experiments in Producing Nonresponse Bias. </w:t>
      </w:r>
      <w:r w:rsidRPr="00A46E5B">
        <w:rPr>
          <w:rFonts w:ascii="Times New Roman" w:eastAsia="Times New Roman" w:hAnsi="Times New Roman" w:cs="Times New Roman"/>
          <w:i/>
          <w:color w:val="000000"/>
          <w:sz w:val="24"/>
          <w:szCs w:val="24"/>
        </w:rPr>
        <w:t xml:space="preserve">Public Opinion Quarterly </w:t>
      </w:r>
      <w:r w:rsidRPr="00A46E5B">
        <w:rPr>
          <w:rFonts w:ascii="Times New Roman" w:eastAsia="Times New Roman" w:hAnsi="Times New Roman" w:cs="Times New Roman"/>
          <w:color w:val="000000"/>
          <w:sz w:val="24"/>
          <w:szCs w:val="24"/>
        </w:rPr>
        <w:t>70, 720-736.</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RM &amp; Heeringa S. (2006). Responsive Design for Household Surveys: Tools for Actively Controlling Survey Errors and Costs. </w:t>
      </w:r>
      <w:r w:rsidRPr="00A46E5B">
        <w:rPr>
          <w:rFonts w:ascii="Times New Roman" w:eastAsia="Times New Roman" w:hAnsi="Times New Roman" w:cs="Times New Roman"/>
          <w:i/>
          <w:color w:val="000000"/>
          <w:sz w:val="24"/>
          <w:szCs w:val="24"/>
        </w:rPr>
        <w:t xml:space="preserve">Journal of the Royal Statistical Society </w:t>
      </w:r>
      <w:r w:rsidRPr="00A46E5B">
        <w:rPr>
          <w:rFonts w:ascii="Times New Roman" w:eastAsia="Times New Roman" w:hAnsi="Times New Roman" w:cs="Times New Roman"/>
          <w:i/>
          <w:color w:val="000000"/>
          <w:sz w:val="24"/>
          <w:szCs w:val="24"/>
        </w:rPr>
        <w:lastRenderedPageBreak/>
        <w:t>Series A: Statistics in Society</w:t>
      </w:r>
      <w:r w:rsidRPr="00A46E5B">
        <w:rPr>
          <w:rFonts w:ascii="Times New Roman" w:eastAsia="Times New Roman" w:hAnsi="Times New Roman" w:cs="Times New Roman"/>
          <w:color w:val="000000"/>
          <w:sz w:val="24"/>
          <w:szCs w:val="24"/>
        </w:rPr>
        <w:t xml:space="preserve"> 169, 439-457.</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&amp; McGonagle KA. (2001). A Theory-Guided Interviewer Training Protocol Regarding Survey Participation. </w:t>
      </w:r>
      <w:r w:rsidRPr="00A46E5B">
        <w:rPr>
          <w:rFonts w:ascii="Times New Roman" w:eastAsia="Times New Roman" w:hAnsi="Times New Roman" w:cs="Times New Roman"/>
          <w:i/>
          <w:color w:val="000000"/>
          <w:sz w:val="24"/>
          <w:szCs w:val="24"/>
        </w:rPr>
        <w:t>Journal of Official Statistics</w:t>
      </w:r>
      <w:r w:rsidRPr="00A46E5B">
        <w:rPr>
          <w:rFonts w:ascii="Times New Roman" w:eastAsia="Times New Roman" w:hAnsi="Times New Roman" w:cs="Times New Roman"/>
          <w:color w:val="000000"/>
          <w:sz w:val="24"/>
          <w:szCs w:val="24"/>
        </w:rPr>
        <w:t xml:space="preserve"> 17, 249-265.</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highlight w:val="white"/>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Singer E &amp; Corning A.(2000). Leverage-Saliency Theory of Survey Participation - Description and an Illustration. </w:t>
      </w:r>
      <w:r w:rsidRPr="00A46E5B">
        <w:rPr>
          <w:rFonts w:ascii="Times New Roman" w:eastAsia="Times New Roman" w:hAnsi="Times New Roman" w:cs="Times New Roman"/>
          <w:i/>
          <w:color w:val="000000"/>
          <w:sz w:val="24"/>
          <w:szCs w:val="24"/>
        </w:rPr>
        <w:t>Public Opinion Quarterly</w:t>
      </w:r>
      <w:r w:rsidRPr="00A46E5B">
        <w:rPr>
          <w:rFonts w:ascii="Times New Roman" w:eastAsia="Times New Roman" w:hAnsi="Times New Roman" w:cs="Times New Roman"/>
          <w:color w:val="000000"/>
          <w:sz w:val="24"/>
          <w:szCs w:val="24"/>
        </w:rPr>
        <w:t>, 64</w:t>
      </w:r>
      <w:r w:rsidRPr="00A46E5B">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color w:val="000000"/>
          <w:sz w:val="24"/>
          <w:szCs w:val="24"/>
        </w:rPr>
        <w:t xml:space="preserve"> 299-308.</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Heyman RE, Schaffer R, Gimbel C &amp; Kemer-Hoeg S. (1996). A Comparison of the Prevalence of Army and Civilian Spouse Violence. Prepared by Caliber Associates and Behavioral Science Associates for </w:t>
      </w:r>
      <w:smartTag w:uri="urn:schemas-microsoft-com:office:smarttags" w:element="country-region">
        <w:r w:rsidRPr="00A46E5B">
          <w:rPr>
            <w:rFonts w:ascii="Times New Roman" w:eastAsia="Times New Roman" w:hAnsi="Times New Roman" w:cs="Times New Roman"/>
            <w:sz w:val="24"/>
            <w:szCs w:val="24"/>
          </w:rPr>
          <w:t>U.S.</w:t>
        </w:r>
      </w:smartTag>
      <w:r w:rsidRPr="00A46E5B">
        <w:rPr>
          <w:rFonts w:ascii="Times New Roman" w:eastAsia="Times New Roman" w:hAnsi="Times New Roman" w:cs="Times New Roman"/>
          <w:sz w:val="24"/>
          <w:szCs w:val="24"/>
        </w:rPr>
        <w:t xml:space="preserve"> Army Community and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Family</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Support</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September, 1996.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Health Information National Trends Study.</w:t>
      </w:r>
      <w:r w:rsidRPr="00A46E5B">
        <w:rPr>
          <w:rFonts w:ascii="Times New Roman" w:eastAsia="Times New Roman" w:hAnsi="Times New Roman" w:cs="Times New Roman"/>
          <w:sz w:val="20"/>
          <w:szCs w:val="20"/>
        </w:rPr>
        <w:t xml:space="preserve"> </w:t>
      </w:r>
      <w:r w:rsidRPr="00A46E5B">
        <w:rPr>
          <w:rFonts w:ascii="Times New Roman" w:eastAsia="Times New Roman" w:hAnsi="Times New Roman" w:cs="Times New Roman"/>
          <w:sz w:val="20"/>
          <w:szCs w:val="20"/>
        </w:rPr>
        <w:tab/>
        <w:t>(</w:t>
      </w:r>
      <w:hyperlink r:id="rId33" w:history="1">
        <w:r w:rsidRPr="00A46E5B">
          <w:rPr>
            <w:rFonts w:ascii="Times New Roman" w:eastAsia="Times New Roman" w:hAnsi="Times New Roman" w:cs="Times New Roman"/>
            <w:sz w:val="20"/>
            <w:szCs w:val="20"/>
          </w:rPr>
          <w:t>http://cancercontrol.cancer.gov/hints/docs/HINTS_refusal_incentive_abstr</w:t>
        </w:r>
      </w:hyperlink>
      <w:r w:rsidRPr="00A46E5B">
        <w:rPr>
          <w:rFonts w:ascii="Times New Roman" w:eastAsia="Times New Roman" w:hAnsi="Times New Roman" w:cs="Times New Roman"/>
          <w:sz w:val="20"/>
          <w:szCs w:val="20"/>
        </w:rPr>
        <w:t>act.pdf ).</w:t>
      </w:r>
      <w:r w:rsidRPr="00A46E5B">
        <w:rPr>
          <w:rFonts w:ascii="Times New Roman" w:eastAsia="Times New Roman" w:hAnsi="Times New Roman" w:cs="Times New Roman"/>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Johnson H. (1996). </w:t>
      </w:r>
      <w:r w:rsidRPr="00A46E5B">
        <w:rPr>
          <w:rFonts w:ascii="Times New Roman" w:eastAsia="Times New Roman" w:hAnsi="Times New Roman" w:cs="Times New Roman"/>
          <w:iCs/>
          <w:sz w:val="24"/>
          <w:szCs w:val="24"/>
        </w:rPr>
        <w:t xml:space="preserve">Dangerous Domains: Violence Against Women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Canada</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place">
        <w:r w:rsidRPr="00A46E5B">
          <w:rPr>
            <w:rFonts w:ascii="Times New Roman" w:eastAsia="Times New Roman" w:hAnsi="Times New Roman" w:cs="Times New Roman"/>
            <w:sz w:val="24"/>
            <w:szCs w:val="24"/>
          </w:rPr>
          <w:t>Scarborough</w:t>
        </w:r>
      </w:smartTag>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ab/>
        <w:t>ON: Nelson Canada; 1996.</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iCs/>
          <w:sz w:val="24"/>
          <w:szCs w:val="24"/>
        </w:rPr>
      </w:pPr>
      <w:r w:rsidRPr="00A46E5B">
        <w:rPr>
          <w:rFonts w:ascii="Times New Roman" w:eastAsia="Times New Roman" w:hAnsi="Times New Roman" w:cs="Times New Roman"/>
          <w:sz w:val="24"/>
          <w:szCs w:val="24"/>
        </w:rPr>
        <w:t xml:space="preserve">Kaslow N, Thompson MP, Meadows L, Jacobs D, Chance S &amp; Gibb B. (1998). </w:t>
      </w:r>
      <w:r w:rsidRPr="00A46E5B">
        <w:rPr>
          <w:rFonts w:ascii="Times New Roman" w:eastAsia="Times New Roman" w:hAnsi="Times New Roman" w:cs="Times New Roman"/>
          <w:iCs/>
          <w:sz w:val="24"/>
          <w:szCs w:val="24"/>
        </w:rPr>
        <w:t xml:space="preserve">Factors that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iCs/>
          <w:sz w:val="24"/>
          <w:szCs w:val="24"/>
        </w:rPr>
        <w:t>mediate or moderate the link between partner abuse and suicidal behavior in African American Women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Consulting and Clinical Psychology</w:t>
      </w:r>
      <w:r w:rsidRPr="00A46E5B">
        <w:rPr>
          <w:rFonts w:ascii="Times New Roman" w:eastAsia="Times New Roman" w:hAnsi="Times New Roman" w:cs="Times New Roman"/>
          <w:sz w:val="24"/>
          <w:szCs w:val="24"/>
        </w:rPr>
        <w:t xml:space="preserve">; 66, 533-40.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Kennedy C. (2007). Constructing Weights for Landline and Cell Phone RDD Surveys. Paper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presented at the </w:t>
      </w:r>
      <w:r w:rsidRPr="00A46E5B">
        <w:rPr>
          <w:rFonts w:ascii="Times New Roman" w:eastAsia="Times New Roman" w:hAnsi="Times New Roman" w:cs="Times New Roman"/>
          <w:i/>
          <w:sz w:val="24"/>
          <w:szCs w:val="24"/>
        </w:rPr>
        <w:t>Annual Meeting of the American Association for Public Opinion Research</w:t>
      </w:r>
      <w:r w:rsidRPr="00A46E5B">
        <w:rPr>
          <w:rFonts w:ascii="Times New Roman" w:eastAsia="Times New Roman" w:hAnsi="Times New Roman" w:cs="Times New Roman"/>
          <w:sz w:val="24"/>
          <w:szCs w:val="24"/>
        </w:rPr>
        <w:t xml:space="preserve">, May 17-20,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Anaheim</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CA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Kessler RC, McGoangle KA, Zhao S, Nelson CB, Hughes M, &amp; Eshleman S. (1994).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Lifetime and 12-month prevalence of DSM-II-R psychiatric disorders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results from the National Comorbidity Survey. </w:t>
      </w:r>
      <w:r w:rsidRPr="00A46E5B">
        <w:rPr>
          <w:rFonts w:ascii="Times New Roman" w:eastAsia="Times New Roman" w:hAnsi="Times New Roman" w:cs="Times New Roman"/>
          <w:i/>
          <w:sz w:val="24"/>
          <w:szCs w:val="24"/>
        </w:rPr>
        <w:t>Archives of General Psychiatry</w:t>
      </w:r>
      <w:r w:rsidRPr="00A46E5B">
        <w:rPr>
          <w:rFonts w:ascii="Times New Roman" w:eastAsia="Times New Roman" w:hAnsi="Times New Roman" w:cs="Times New Roman"/>
          <w:sz w:val="24"/>
          <w:szCs w:val="24"/>
        </w:rPr>
        <w:t xml:space="preserve">, 51, 8-19.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 xml:space="preserve">Kilpatrick DG, Edmunds CN,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Seymour</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AK</w:t>
          </w:r>
        </w:smartTag>
      </w:smartTag>
      <w:r w:rsidRPr="00A46E5B">
        <w:rPr>
          <w:rFonts w:ascii="Times New Roman" w:eastAsia="Times New Roman" w:hAnsi="Times New Roman" w:cs="Times New Roman"/>
          <w:sz w:val="24"/>
          <w:szCs w:val="24"/>
        </w:rPr>
        <w:t xml:space="preserve">. (1992). </w:t>
      </w:r>
      <w:r w:rsidRPr="00A46E5B">
        <w:rPr>
          <w:rFonts w:ascii="Times New Roman" w:eastAsia="Times New Roman" w:hAnsi="Times New Roman" w:cs="Times New Roman"/>
          <w:iCs/>
          <w:sz w:val="24"/>
          <w:szCs w:val="24"/>
        </w:rPr>
        <w:t xml:space="preserve">Rape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America</w:t>
          </w:r>
        </w:smartTag>
      </w:smartTag>
      <w:r w:rsidRPr="00A46E5B">
        <w:rPr>
          <w:rFonts w:ascii="Times New Roman" w:eastAsia="Times New Roman" w:hAnsi="Times New Roman" w:cs="Times New Roman"/>
          <w:iCs/>
          <w:sz w:val="24"/>
          <w:szCs w:val="24"/>
        </w:rPr>
        <w:t>: A Report to the Nation.</w:t>
      </w:r>
      <w:r w:rsidRPr="00A46E5B">
        <w:rPr>
          <w:rFonts w:ascii="Times New Roman" w:eastAsia="Times New Roman" w:hAnsi="Times New Roman" w:cs="Times New Roman"/>
          <w:i/>
          <w:iCs/>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i/>
          <w:iCs/>
          <w:sz w:val="24"/>
          <w:szCs w:val="24"/>
        </w:rPr>
        <w:tab/>
      </w:r>
      <w:r w:rsidRPr="00A46E5B">
        <w:rPr>
          <w:rFonts w:ascii="Times New Roman" w:eastAsia="Times New Roman" w:hAnsi="Times New Roman" w:cs="Times New Roman"/>
          <w:i/>
          <w:iCs/>
          <w:sz w:val="24"/>
          <w:szCs w:val="24"/>
        </w:rPr>
        <w:tab/>
      </w:r>
      <w:smartTag w:uri="urn:schemas-microsoft-com:office:smarttags" w:element="City">
        <w:r w:rsidRPr="00A46E5B">
          <w:rPr>
            <w:rFonts w:ascii="Times New Roman" w:eastAsia="Times New Roman" w:hAnsi="Times New Roman" w:cs="Times New Roman"/>
            <w:sz w:val="24"/>
            <w:szCs w:val="24"/>
          </w:rPr>
          <w:t>Arlington</w:t>
        </w:r>
      </w:smartTag>
      <w:r w:rsidRPr="00A46E5B">
        <w:rPr>
          <w:rFonts w:ascii="Times New Roman" w:eastAsia="Times New Roman" w:hAnsi="Times New Roman" w:cs="Times New Roman"/>
          <w:sz w:val="24"/>
          <w:szCs w:val="24"/>
        </w:rPr>
        <w:t>,</w:t>
      </w:r>
      <w:smartTag w:uri="urn:schemas-microsoft-com:office:smarttags" w:element="State">
        <w:r w:rsidRPr="00A46E5B">
          <w:rPr>
            <w:rFonts w:ascii="Times New Roman" w:eastAsia="Times New Roman" w:hAnsi="Times New Roman" w:cs="Times New Roman"/>
            <w:sz w:val="24"/>
            <w:szCs w:val="24"/>
          </w:rPr>
          <w:t>VA</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Victim</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 &amp; Medical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University</w:t>
        </w:r>
      </w:smartTag>
      <w:r w:rsidRPr="00A46E5B">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South Carolina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Kish</w:t>
          </w:r>
        </w:smartTag>
      </w:smartTag>
      <w:r w:rsidRPr="00A46E5B">
        <w:rPr>
          <w:rFonts w:ascii="Times New Roman" w:eastAsia="Times New Roman" w:hAnsi="Times New Roman" w:cs="Times New Roman"/>
          <w:sz w:val="24"/>
          <w:szCs w:val="24"/>
        </w:rPr>
        <w:t xml:space="preserve"> L. </w:t>
      </w:r>
      <w:r w:rsidRPr="00A46E5B">
        <w:rPr>
          <w:rFonts w:ascii="Times New Roman" w:eastAsia="Times New Roman" w:hAnsi="Times New Roman" w:cs="Times New Roman"/>
          <w:iCs/>
          <w:sz w:val="24"/>
          <w:szCs w:val="24"/>
          <w:u w:val="single"/>
        </w:rPr>
        <w:t>Survey Sampling</w:t>
      </w:r>
      <w:r w:rsidRPr="00A46E5B">
        <w:rPr>
          <w:rFonts w:ascii="Times New Roman" w:eastAsia="Times New Roman" w:hAnsi="Times New Roman" w:cs="Times New Roman"/>
          <w:sz w:val="24"/>
          <w:szCs w:val="24"/>
        </w:rPr>
        <w:t xml:space="preserve">. John Wiley and Sons, Inc.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1965.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Koss MP, Bailey JA, Yuan NP, Herrera VM &amp; Lichter EL. (2003). </w:t>
      </w:r>
      <w:r w:rsidRPr="00A46E5B">
        <w:rPr>
          <w:rFonts w:ascii="Times New Roman" w:eastAsia="Times New Roman" w:hAnsi="Times New Roman" w:cs="Times New Roman"/>
          <w:iCs/>
          <w:sz w:val="24"/>
          <w:szCs w:val="24"/>
        </w:rPr>
        <w:t>Depression and PTSD in survivors of male violence: research and training initiatives to facilitate recovery</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Psychology of Women Quarterly, </w:t>
      </w:r>
      <w:r w:rsidRPr="00A46E5B">
        <w:rPr>
          <w:rFonts w:ascii="Times New Roman" w:eastAsia="Times New Roman" w:hAnsi="Times New Roman" w:cs="Times New Roman"/>
          <w:sz w:val="24"/>
          <w:szCs w:val="24"/>
        </w:rPr>
        <w:t>27, 130–42.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Krug et al., eds. (2002). </w:t>
      </w:r>
      <w:r w:rsidRPr="00A46E5B">
        <w:rPr>
          <w:rFonts w:ascii="Times New Roman" w:eastAsia="Times New Roman" w:hAnsi="Times New Roman" w:cs="Times New Roman"/>
          <w:iCs/>
          <w:sz w:val="24"/>
          <w:szCs w:val="24"/>
        </w:rPr>
        <w:t>World Report on Violence and Health</w:t>
      </w:r>
      <w:r w:rsidRPr="00A46E5B">
        <w:rPr>
          <w:rFonts w:ascii="Times New Roman" w:eastAsia="Times New Roman" w:hAnsi="Times New Roman" w:cs="Times New Roman"/>
          <w:i/>
          <w:iCs/>
          <w:sz w:val="24"/>
          <w:szCs w:val="24"/>
        </w:rPr>
        <w:t xml:space="preserv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Geneva</w:t>
          </w:r>
        </w:smartTag>
      </w:smartTag>
      <w:r w:rsidRPr="00A46E5B">
        <w:rPr>
          <w:rFonts w:ascii="Times New Roman" w:eastAsia="Times New Roman" w:hAnsi="Times New Roman" w:cs="Times New Roman"/>
          <w:sz w:val="24"/>
          <w:szCs w:val="24"/>
        </w:rPr>
        <w:t xml:space="preserve">, World Health Organization; 2002.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Lundy M &amp; Grossman SF. (2004). Elder abuse: spouse/intimate partner abuse and family abuse among elders. </w:t>
      </w:r>
      <w:r w:rsidRPr="00A46E5B">
        <w:rPr>
          <w:rFonts w:ascii="Times New Roman" w:eastAsia="Times New Roman" w:hAnsi="Times New Roman" w:cs="Times New Roman"/>
          <w:i/>
          <w:sz w:val="24"/>
          <w:szCs w:val="24"/>
        </w:rPr>
        <w:t xml:space="preserve">Journal of Elder Abuse &amp; Neglect, </w:t>
      </w:r>
      <w:r w:rsidRPr="00A46E5B">
        <w:rPr>
          <w:rFonts w:ascii="Times New Roman" w:eastAsia="Times New Roman" w:hAnsi="Times New Roman" w:cs="Times New Roman"/>
          <w:sz w:val="24"/>
          <w:szCs w:val="24"/>
        </w:rPr>
        <w:t>16, 85-102.</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Malcoe LH, Duran BM &amp; Montgomery JM. (2004). Socioeconomic Disparities in Intimate Partner Violence Against Native American Women: A Cross-Sectional Study. </w:t>
      </w:r>
      <w:r w:rsidRPr="00A46E5B">
        <w:rPr>
          <w:rFonts w:ascii="Times New Roman" w:eastAsia="Times New Roman" w:hAnsi="Times New Roman" w:cs="Times New Roman"/>
          <w:i/>
          <w:iCs/>
          <w:sz w:val="24"/>
          <w:szCs w:val="24"/>
        </w:rPr>
        <w:t>BMC Medicine</w:t>
      </w:r>
      <w:r w:rsidRPr="00A46E5B">
        <w:rPr>
          <w:rFonts w:ascii="Times New Roman" w:eastAsia="Times New Roman" w:hAnsi="Times New Roman" w:cs="Times New Roman"/>
          <w:sz w:val="24"/>
          <w:szCs w:val="24"/>
        </w:rPr>
        <w:t>, 2, 20.</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 xml:space="preserve">Marshall A, Panuzioa J &amp;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Taft CT.</w:t>
          </w:r>
        </w:smartTag>
      </w:smartTag>
      <w:r w:rsidRPr="00A46E5B">
        <w:rPr>
          <w:rFonts w:ascii="Times New Roman" w:eastAsia="Times New Roman" w:hAnsi="Times New Roman" w:cs="Times New Roman"/>
          <w:sz w:val="24"/>
          <w:szCs w:val="24"/>
        </w:rPr>
        <w:t xml:space="preserve"> (2005). Intimate Partner Violence Among Military Veterans and Active Duty Servicemen. </w:t>
      </w:r>
      <w:r w:rsidRPr="00A46E5B">
        <w:rPr>
          <w:rFonts w:ascii="Times New Roman" w:eastAsia="Times New Roman" w:hAnsi="Times New Roman" w:cs="Times New Roman"/>
          <w:i/>
          <w:iCs/>
          <w:sz w:val="24"/>
          <w:szCs w:val="24"/>
        </w:rPr>
        <w:t>Clinical Psychology Review</w:t>
      </w:r>
      <w:r w:rsidRPr="00A46E5B">
        <w:rPr>
          <w:rFonts w:ascii="Times New Roman" w:eastAsia="Times New Roman" w:hAnsi="Times New Roman" w:cs="Times New Roman"/>
          <w:sz w:val="24"/>
          <w:szCs w:val="24"/>
        </w:rPr>
        <w:t>, 25, 862-876.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Martin SL, Gibbs DA, Johnson RE, Rentz ED, Clinton-Sherrod AM &amp; Hardison J. (In Press). Spouse Abuse and Child Abuse by Army Soldiers. </w:t>
      </w:r>
      <w:r w:rsidRPr="00A46E5B">
        <w:rPr>
          <w:rFonts w:ascii="Times New Roman" w:eastAsia="Times New Roman" w:hAnsi="Times New Roman" w:cs="Times New Roman"/>
          <w:i/>
          <w:iCs/>
          <w:sz w:val="24"/>
          <w:szCs w:val="24"/>
        </w:rPr>
        <w:t>Journal of Family Violence</w:t>
      </w:r>
      <w:r w:rsidRPr="00A46E5B">
        <w:rPr>
          <w:rFonts w:ascii="Times New Roman" w:eastAsia="Times New Roman" w:hAnsi="Times New Roman" w:cs="Times New Roman"/>
          <w:sz w:val="24"/>
          <w:szCs w:val="24"/>
        </w:rPr>
        <w:t>.</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Max W, Rice DP, Finkelstein E, Bardwell RA, Leadbetter S. The economic toll of intimate partner violence against women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Violence Vict. 2004;19(3):259-72.</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McCarroll JE, Newby JH, Thayer LE, </w:t>
      </w:r>
      <w:smartTag w:uri="urn:schemas-microsoft-com:office:smarttags" w:element="City">
        <w:r w:rsidRPr="00A46E5B">
          <w:rPr>
            <w:rFonts w:ascii="Times New Roman" w:eastAsia="Times New Roman" w:hAnsi="Times New Roman" w:cs="Times New Roman"/>
            <w:sz w:val="24"/>
            <w:szCs w:val="24"/>
          </w:rPr>
          <w:t>Norwood</w:t>
        </w:r>
      </w:smartTag>
      <w:r w:rsidRPr="00A46E5B">
        <w:rPr>
          <w:rFonts w:ascii="Times New Roman" w:eastAsia="Times New Roman" w:hAnsi="Times New Roman" w:cs="Times New Roman"/>
          <w:sz w:val="24"/>
          <w:szCs w:val="24"/>
        </w:rPr>
        <w:t xml:space="preserve"> AE,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Fullerton</w:t>
          </w:r>
        </w:smartTag>
      </w:smartTag>
      <w:r w:rsidRPr="00A46E5B">
        <w:rPr>
          <w:rFonts w:ascii="Times New Roman" w:eastAsia="Times New Roman" w:hAnsi="Times New Roman" w:cs="Times New Roman"/>
          <w:sz w:val="24"/>
          <w:szCs w:val="24"/>
        </w:rPr>
        <w:t xml:space="preserve"> CS &amp; Ursano RJ. (1999). Reports of Spouse Abuse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Army Central Registry (1989-1997). </w:t>
      </w:r>
      <w:r w:rsidRPr="00A46E5B">
        <w:rPr>
          <w:rFonts w:ascii="Times New Roman" w:eastAsia="Times New Roman" w:hAnsi="Times New Roman" w:cs="Times New Roman"/>
          <w:i/>
          <w:iCs/>
          <w:sz w:val="24"/>
          <w:szCs w:val="24"/>
        </w:rPr>
        <w:t>Military Medicine,</w:t>
      </w:r>
      <w:r w:rsidRPr="00A46E5B">
        <w:rPr>
          <w:rFonts w:ascii="Times New Roman" w:eastAsia="Times New Roman" w:hAnsi="Times New Roman" w:cs="Times New Roman"/>
          <w:sz w:val="24"/>
          <w:szCs w:val="24"/>
        </w:rPr>
        <w:t xml:space="preserve"> 164, 77–84.</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McCarty C. (2003) Differences in Response Rates Using Most Recent Versus Final Dispositions in Telephone Surveys. </w:t>
      </w:r>
      <w:r w:rsidRPr="00A46E5B">
        <w:rPr>
          <w:rFonts w:ascii="Times New Roman" w:eastAsia="Times New Roman" w:hAnsi="Times New Roman" w:cs="Times New Roman"/>
          <w:i/>
          <w:iCs/>
          <w:sz w:val="24"/>
          <w:szCs w:val="24"/>
        </w:rPr>
        <w:t>Public Opinion Quarterly</w:t>
      </w:r>
      <w:r w:rsidRPr="00A46E5B">
        <w:rPr>
          <w:rFonts w:ascii="Times New Roman" w:eastAsia="Times New Roman" w:hAnsi="Times New Roman" w:cs="Times New Roman"/>
          <w:sz w:val="24"/>
          <w:szCs w:val="24"/>
        </w:rPr>
        <w:t>, 67, 396-406.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Mechanic</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MB</w:t>
          </w:r>
        </w:smartTag>
      </w:smartTag>
      <w:r w:rsidRPr="00A46E5B">
        <w:rPr>
          <w:rFonts w:ascii="Times New Roman" w:eastAsia="Times New Roman" w:hAnsi="Times New Roman" w:cs="Times New Roman"/>
          <w:sz w:val="24"/>
          <w:szCs w:val="24"/>
        </w:rPr>
        <w:t xml:space="preserve">, Uhlmansiek MH, Weaver TL &amp; Resick PA. (2000). The impact of severe stalking experienced by acutely battered women: an examination of violence, psychological symptoms and strategic responding. </w:t>
      </w:r>
      <w:r w:rsidRPr="00A46E5B">
        <w:rPr>
          <w:rFonts w:ascii="Times New Roman" w:eastAsia="Times New Roman" w:hAnsi="Times New Roman" w:cs="Times New Roman"/>
          <w:i/>
          <w:sz w:val="24"/>
          <w:szCs w:val="24"/>
        </w:rPr>
        <w:t>Violence and Victims</w:t>
      </w:r>
      <w:r w:rsidRPr="00A46E5B">
        <w:rPr>
          <w:rFonts w:ascii="Times New Roman" w:eastAsia="Times New Roman" w:hAnsi="Times New Roman" w:cs="Times New Roman"/>
          <w:sz w:val="24"/>
          <w:szCs w:val="24"/>
        </w:rPr>
        <w:t>, 15, 443–58.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Merrill LL, Newell CE, Milner JS, Koss MP, Hervig LK, Gold SR, Rosswork SG &amp; Thornton SR. (1998). </w:t>
      </w:r>
      <w:r w:rsidRPr="00A46E5B">
        <w:rPr>
          <w:rFonts w:ascii="Times New Roman" w:eastAsia="Times New Roman" w:hAnsi="Times New Roman" w:cs="Times New Roman"/>
          <w:iCs/>
          <w:sz w:val="24"/>
          <w:szCs w:val="24"/>
        </w:rPr>
        <w:t>Prevalence of premilitary adult sexual victimization and aggression in a Navy</w:t>
      </w:r>
      <w:r w:rsidRPr="00A46E5B">
        <w:rPr>
          <w:rFonts w:ascii="Times New Roman" w:eastAsia="Times New Roman" w:hAnsi="Times New Roman" w:cs="Times New Roman"/>
          <w:iCs/>
          <w:sz w:val="24"/>
          <w:szCs w:val="24"/>
        </w:rPr>
        <w:tab/>
        <w:t xml:space="preserve"> recruit sample.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Military Medicine, </w:t>
      </w:r>
      <w:r w:rsidRPr="00A46E5B">
        <w:rPr>
          <w:rFonts w:ascii="Times New Roman" w:eastAsia="Times New Roman" w:hAnsi="Times New Roman" w:cs="Times New Roman"/>
          <w:sz w:val="24"/>
          <w:szCs w:val="24"/>
        </w:rPr>
        <w:t xml:space="preserve">163, 209-212. </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fr-FR"/>
        </w:rPr>
        <w:t xml:space="preserve">Mouton CP, Rovi S, Furniss K &amp; Lasser NL. (1999). </w:t>
      </w:r>
      <w:r w:rsidRPr="00A46E5B">
        <w:rPr>
          <w:rFonts w:ascii="Times New Roman" w:eastAsia="Times New Roman" w:hAnsi="Times New Roman" w:cs="Times New Roman"/>
          <w:sz w:val="24"/>
          <w:szCs w:val="24"/>
        </w:rPr>
        <w:t xml:space="preserve">The associations between health and domestic violence in older women: results of a pilot study. </w:t>
      </w:r>
      <w:r w:rsidRPr="00A46E5B">
        <w:rPr>
          <w:rFonts w:ascii="Times New Roman" w:eastAsia="Times New Roman" w:hAnsi="Times New Roman" w:cs="Times New Roman"/>
          <w:i/>
          <w:sz w:val="24"/>
          <w:szCs w:val="24"/>
        </w:rPr>
        <w:t xml:space="preserve">Journal of Women’s Health &amp; Gender-Based Medicine, </w:t>
      </w:r>
      <w:r w:rsidRPr="00A46E5B">
        <w:rPr>
          <w:rFonts w:ascii="Times New Roman" w:eastAsia="Times New Roman" w:hAnsi="Times New Roman" w:cs="Times New Roman"/>
          <w:sz w:val="24"/>
          <w:szCs w:val="24"/>
        </w:rPr>
        <w:t>8, 1173-1179.</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for Injury Prevention and Control. (2008). CDC Injury Research Agenda, 2009–2018.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smartTag>
      <w:r w:rsidRPr="00A46E5B">
        <w:rPr>
          <w:rFonts w:ascii="Times New Roman" w:eastAsia="Times New Roman" w:hAnsi="Times New Roman" w:cs="Times New Roman"/>
          <w:sz w:val="24"/>
          <w:szCs w:val="24"/>
        </w:rPr>
        <w:t xml:space="preserve">: US Department of Health and Human Services, Centers for Disease Control and Prevention. Available at: </w:t>
      </w:r>
      <w:hyperlink r:id="rId34" w:tgtFrame="_blank" w:history="1">
        <w:r w:rsidRPr="00A46E5B">
          <w:rPr>
            <w:rFonts w:ascii="Times New Roman" w:eastAsia="Times New Roman" w:hAnsi="Times New Roman" w:cs="Times New Roman"/>
            <w:color w:val="0000FF"/>
            <w:sz w:val="24"/>
            <w:szCs w:val="24"/>
            <w:u w:val="single"/>
          </w:rPr>
          <w:t>http://www.cdc.gov/ncipc</w:t>
        </w:r>
      </w:hyperlink>
      <w:r w:rsidRPr="00A46E5B">
        <w:rPr>
          <w:rFonts w:ascii="Times New Roman" w:eastAsia="Times New Roman" w:hAnsi="Times New Roman" w:cs="Times New Roman"/>
          <w:sz w:val="24"/>
          <w:szCs w:val="24"/>
        </w:rPr>
        <w:t>.</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for Injury Prevention and Control (NCIPC). (2003). </w:t>
      </w:r>
      <w:r w:rsidRPr="00A46E5B">
        <w:rPr>
          <w:rFonts w:ascii="Times New Roman" w:eastAsia="Times New Roman" w:hAnsi="Times New Roman" w:cs="Times New Roman"/>
          <w:iCs/>
          <w:sz w:val="24"/>
          <w:szCs w:val="24"/>
        </w:rPr>
        <w:t xml:space="preserve">Costs of Intimate Partner Violence Against Women in the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City">
        <w:smartTag w:uri="urn:schemas-microsoft-com:office:smarttags" w:element="place">
          <w:r w:rsidRPr="00A46E5B">
            <w:rPr>
              <w:rFonts w:ascii="Times New Roman" w:eastAsia="Times New Roman" w:hAnsi="Times New Roman" w:cs="Times New Roman"/>
              <w:sz w:val="24"/>
              <w:szCs w:val="24"/>
            </w:rPr>
            <w:t>Atlanta</w:t>
          </w:r>
        </w:smartTag>
      </w:smartTag>
      <w:r w:rsidRPr="00A46E5B">
        <w:rPr>
          <w:rFonts w:ascii="Times New Roman" w:eastAsia="Times New Roman" w:hAnsi="Times New Roman" w:cs="Times New Roman"/>
          <w:sz w:val="24"/>
          <w:szCs w:val="24"/>
        </w:rPr>
        <w:t xml:space="preserve"> (GA): Centers for Disease Control and Prevention.</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r w:rsidRPr="00A46E5B">
        <w:rPr>
          <w:rFonts w:ascii="Times New Roman" w:eastAsia="Times New Roman" w:hAnsi="Times New Roman" w:cs="Times New Roman"/>
          <w:sz w:val="24"/>
          <w:szCs w:val="24"/>
        </w:rPr>
        <w:t xml:space="preserve">National Household Education Survey. </w:t>
      </w:r>
      <w:r w:rsidRPr="00A46E5B">
        <w:rPr>
          <w:rFonts w:ascii="Times New Roman" w:eastAsia="Times New Roman" w:hAnsi="Times New Roman" w:cs="Times New Roman"/>
          <w:sz w:val="20"/>
          <w:szCs w:val="20"/>
        </w:rPr>
        <w:t>(</w:t>
      </w:r>
      <w:hyperlink r:id="rId35" w:history="1">
        <w:r w:rsidRPr="00A46E5B">
          <w:rPr>
            <w:rFonts w:ascii="Times New Roman" w:eastAsia="Times New Roman" w:hAnsi="Times New Roman" w:cs="Times New Roman"/>
            <w:sz w:val="20"/>
            <w:szCs w:val="20"/>
          </w:rPr>
          <w:t>http://www.amstat.org/sections/srms/Proceedings/papers/1997_181.pdf</w:t>
        </w:r>
      </w:hyperlink>
      <w:r w:rsidRPr="00A46E5B">
        <w:rPr>
          <w:rFonts w:ascii="Times New Roman" w:eastAsia="Times New Roman" w:hAnsi="Times New Roman" w:cs="Times New Roman"/>
          <w:sz w:val="20"/>
          <w:szCs w:val="20"/>
        </w:rPr>
        <w:t xml:space="preserve">).  </w:t>
      </w: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National Research Council. (2003). Elder Mistreatment: Abuse, Neglect, and Exploitation in an Aging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xml:space="preserve">. Panel to Review Risk and Prevalence of Elder Abuse and Neglect. Richard J. Bonnie and Robert B. Wallace, Editors. Committee on National Statistics and </w:t>
      </w:r>
      <w:r w:rsidRPr="00A46E5B">
        <w:rPr>
          <w:rFonts w:ascii="Times New Roman" w:eastAsia="Times New Roman" w:hAnsi="Times New Roman" w:cs="Times New Roman"/>
          <w:sz w:val="24"/>
          <w:szCs w:val="24"/>
        </w:rPr>
        <w:lastRenderedPageBreak/>
        <w:t xml:space="preserve">Committee on Law and Justice, Division of Behavioral and Social Sciences and Education.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The National Academies Press.</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Oetzel J &amp; Duran B. (2004). Intimate Partner Violence in American Indian and/or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Communities: A Social Ecological Framework of Determinants and Interventions.</w:t>
      </w:r>
      <w:r w:rsidRPr="00A46E5B">
        <w:rPr>
          <w:rFonts w:ascii="Times New Roman" w:eastAsia="Times New Roman" w:hAnsi="Times New Roman" w:cs="Times New Roman"/>
          <w:i/>
          <w:iCs/>
          <w:sz w:val="24"/>
          <w:szCs w:val="24"/>
        </w:rPr>
        <w:t xml:space="preserve">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i/>
              <w:iCs/>
              <w:sz w:val="24"/>
              <w:szCs w:val="24"/>
            </w:rPr>
            <w:t>Alaska</w:t>
          </w:r>
        </w:smartTag>
      </w:smartTag>
      <w:r w:rsidRPr="00A46E5B">
        <w:rPr>
          <w:rFonts w:ascii="Times New Roman" w:eastAsia="Times New Roman" w:hAnsi="Times New Roman" w:cs="Times New Roman"/>
          <w:i/>
          <w:iCs/>
          <w:sz w:val="24"/>
          <w:szCs w:val="24"/>
        </w:rPr>
        <w:t xml:space="preserve"> Native Mental Health Research</w:t>
      </w:r>
      <w:r w:rsidRPr="00A46E5B">
        <w:rPr>
          <w:rFonts w:ascii="Times New Roman" w:eastAsia="Times New Roman" w:hAnsi="Times New Roman" w:cs="Times New Roman"/>
          <w:sz w:val="24"/>
          <w:szCs w:val="24"/>
        </w:rPr>
        <w:t>, 11, 49-68.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O'Muircheartaigh C &amp; Campanelli P. (1999). A Multilevel Exploration of the Role of Interviewers in Survey Non-Response. </w:t>
      </w:r>
      <w:r w:rsidRPr="00A46E5B">
        <w:rPr>
          <w:rFonts w:ascii="Times New Roman" w:eastAsia="Times New Roman" w:hAnsi="Times New Roman" w:cs="Times New Roman"/>
          <w:i/>
          <w:sz w:val="24"/>
          <w:szCs w:val="24"/>
        </w:rPr>
        <w:t>Journal of the Royal Statistical Society,</w:t>
      </w:r>
      <w:r w:rsidRPr="00A46E5B">
        <w:rPr>
          <w:rFonts w:ascii="Times New Roman" w:eastAsia="Times New Roman" w:hAnsi="Times New Roman" w:cs="Times New Roman"/>
          <w:sz w:val="24"/>
          <w:szCs w:val="24"/>
        </w:rPr>
        <w:t xml:space="preserve"> 162, 437-446.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Peytchev, A., R. Baxter and L. R. Carley-Baxter (in press). Not All Survey Effort is Equal: Reduction of Nonresponse Bias and Nonresponse Error.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Pollner M. (1998). </w:t>
      </w:r>
      <w:r w:rsidRPr="00A46E5B">
        <w:rPr>
          <w:rFonts w:ascii="Times New Roman" w:eastAsia="Times New Roman" w:hAnsi="Times New Roman" w:cs="Times New Roman"/>
          <w:iCs/>
          <w:sz w:val="24"/>
          <w:szCs w:val="24"/>
        </w:rPr>
        <w:t>The effects of interviewer gender in mental health interviews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Journal of Nervous &amp; Mental Disease, </w:t>
      </w:r>
      <w:r w:rsidRPr="00A46E5B">
        <w:rPr>
          <w:rFonts w:ascii="Times New Roman" w:eastAsia="Times New Roman" w:hAnsi="Times New Roman" w:cs="Times New Roman"/>
          <w:sz w:val="24"/>
          <w:szCs w:val="24"/>
        </w:rPr>
        <w:t xml:space="preserve">186, 369-73. </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Puzone CA, Saltzman LE, Kresnow MJ, Thompson MP &amp; Mercy JA. (2000). </w:t>
      </w:r>
      <w:r w:rsidRPr="00A46E5B">
        <w:rPr>
          <w:rFonts w:ascii="Times New Roman" w:eastAsia="Times New Roman" w:hAnsi="Times New Roman" w:cs="Times New Roman"/>
          <w:iCs/>
          <w:sz w:val="24"/>
          <w:szCs w:val="24"/>
        </w:rPr>
        <w:t>National trends in intimate partner homicide.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6, 409–26.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Rennison C &amp; Rand M. (2003). Non-lethal intimate partner violence: women age 55 or older.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xml:space="preserve">, 12, 1417-1428. </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Robin RW,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Chester</w:t>
          </w:r>
        </w:smartTag>
      </w:smartTag>
      <w:r w:rsidRPr="00A46E5B">
        <w:rPr>
          <w:rFonts w:ascii="Times New Roman" w:eastAsia="Times New Roman" w:hAnsi="Times New Roman" w:cs="Times New Roman"/>
          <w:sz w:val="24"/>
          <w:szCs w:val="24"/>
        </w:rPr>
        <w:t xml:space="preserve"> B, Rasmussen JK, Jaranson JM &amp; Goldman JK. (1997). Prevalence and Characteristics of Trauma and Post-Traumatic Stress Disorder in a Southwestern American Indian Community. </w:t>
      </w:r>
      <w:r w:rsidRPr="00A46E5B">
        <w:rPr>
          <w:rFonts w:ascii="Times New Roman" w:eastAsia="Times New Roman" w:hAnsi="Times New Roman" w:cs="Times New Roman"/>
          <w:i/>
          <w:iCs/>
          <w:sz w:val="24"/>
          <w:szCs w:val="24"/>
        </w:rPr>
        <w:t>American Journal of Psychiatry</w:t>
      </w:r>
      <w:r w:rsidRPr="00A46E5B">
        <w:rPr>
          <w:rFonts w:ascii="Times New Roman" w:eastAsia="Times New Roman" w:hAnsi="Times New Roman" w:cs="Times New Roman"/>
          <w:sz w:val="24"/>
          <w:szCs w:val="24"/>
        </w:rPr>
        <w:t>, 154, 1582-1588.</w:t>
      </w: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color w:val="141314"/>
          <w:sz w:val="24"/>
          <w:szCs w:val="24"/>
        </w:rPr>
      </w:pPr>
      <w:r w:rsidRPr="00A46E5B">
        <w:rPr>
          <w:rFonts w:ascii="Times New Roman" w:eastAsia="Times New Roman" w:hAnsi="Times New Roman" w:cs="Times New Roman"/>
          <w:color w:val="141314"/>
          <w:sz w:val="24"/>
          <w:szCs w:val="24"/>
        </w:rPr>
        <w:t xml:space="preserve">Sadler AG, Booth BM &amp; Doebbeling BN. (2005). Gang and Multiple Rapes During Military Service: Health Consequences and Health Care. </w:t>
      </w:r>
      <w:r w:rsidRPr="00A46E5B">
        <w:rPr>
          <w:rFonts w:ascii="Times New Roman" w:eastAsia="Times New Roman" w:hAnsi="Times New Roman" w:cs="Times New Roman"/>
          <w:i/>
          <w:iCs/>
          <w:color w:val="141314"/>
          <w:sz w:val="24"/>
          <w:szCs w:val="24"/>
        </w:rPr>
        <w:t>Journal of the American Medical Women’s Association</w:t>
      </w:r>
      <w:r w:rsidRPr="00A46E5B">
        <w:rPr>
          <w:rFonts w:ascii="Times New Roman" w:eastAsia="Times New Roman" w:hAnsi="Times New Roman" w:cs="Times New Roman"/>
          <w:color w:val="141314"/>
          <w:sz w:val="24"/>
          <w:szCs w:val="24"/>
        </w:rPr>
        <w:t>, 60, 33-41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Sahr, R. Consumer Price Index (CPI) Conversion Factors 1800 to Estimated 2015 to Convert Dollars of 2005. (Revised January, 18, 2006). Available: </w:t>
      </w:r>
      <w:hyperlink r:id="rId36" w:history="1">
        <w:r w:rsidRPr="00A46E5B">
          <w:rPr>
            <w:rFonts w:ascii="Times New Roman" w:eastAsia="Times New Roman" w:hAnsi="Times New Roman" w:cs="Times New Roman"/>
            <w:color w:val="0000FF"/>
            <w:sz w:val="24"/>
            <w:szCs w:val="24"/>
            <w:u w:val="single"/>
          </w:rPr>
          <w:t>http://oregonstate.edu/Dept/pol_sci/fac/sahr/cv2005.xls</w:t>
        </w:r>
      </w:hyperlink>
      <w:r w:rsidRPr="00A46E5B">
        <w:rPr>
          <w:rFonts w:ascii="Times New Roman" w:eastAsia="Times New Roman" w:hAnsi="Times New Roman" w:cs="Times New Roman"/>
          <w:sz w:val="24"/>
          <w:szCs w:val="24"/>
        </w:rPr>
        <w:t xml:space="preserve"> (Accessibility Verified January 23, 2006).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Singer E.  (2002). The Use of Incentives to Reduce Nonresponse in Household Surveys.  Pp. 163-178 in Survey Nonresponse, edited by R.M. Groves, D.A. Dillman, J.L. Eltinge, and R. J.A. Little.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Singer E &amp; Bossarte RM. (2006). Incentives for survey participation: when are they coercive? </w:t>
      </w:r>
      <w:r w:rsidRPr="00A46E5B">
        <w:rPr>
          <w:rFonts w:ascii="Times New Roman" w:eastAsia="Times New Roman" w:hAnsi="Times New Roman" w:cs="Times New Roman"/>
          <w:i/>
          <w:sz w:val="24"/>
          <w:szCs w:val="24"/>
        </w:rPr>
        <w:t>Am J Prev Med</w:t>
      </w:r>
      <w:r w:rsidRPr="00A46E5B">
        <w:rPr>
          <w:rFonts w:ascii="Times New Roman" w:eastAsia="Times New Roman" w:hAnsi="Times New Roman" w:cs="Times New Roman"/>
          <w:sz w:val="24"/>
          <w:szCs w:val="24"/>
        </w:rPr>
        <w:t xml:space="preserve"> 31, 411-418.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Sullivan CM &amp; Cain D. (2004). </w:t>
      </w:r>
      <w:r w:rsidRPr="00A46E5B">
        <w:rPr>
          <w:rFonts w:ascii="Times New Roman" w:eastAsia="Times New Roman" w:hAnsi="Times New Roman" w:cs="Times New Roman"/>
          <w:iCs/>
          <w:sz w:val="24"/>
          <w:szCs w:val="24"/>
        </w:rPr>
        <w:t>Ethical and safety considerations when obtaining information from or about battered women for research purposes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19, 603-18.</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Teaster, P.A. (2002). A response to the abuse of vulnerable adults: the 2000 survey of state adult protective services. </w:t>
      </w:r>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on Elder Abuse.</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Thompson M, Arias I, Basile KC, &amp; Desai S. (2002). The Association Between Childhood Physical and Sexual Victimization and Health Problems in Adulthood in a Nationally Representative Sample of Women.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sz w:val="24"/>
          <w:szCs w:val="24"/>
        </w:rPr>
        <w:t>, 17, 1115-1129.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Thornberry O, Massey J. (1998).  </w:t>
      </w:r>
      <w:r w:rsidRPr="00A46E5B">
        <w:rPr>
          <w:rFonts w:ascii="Times New Roman" w:eastAsia="Times New Roman" w:hAnsi="Times New Roman" w:cs="Times New Roman"/>
          <w:iCs/>
          <w:sz w:val="24"/>
          <w:szCs w:val="24"/>
        </w:rPr>
        <w:t xml:space="preserve">Trends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 xml:space="preserve"> Telephone Coverage Across Time and Subgroups.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In R.M. Groves, P.P. Biemer, L.E. Lyberg, J.T. Massey, W.L. Nicholls, II, &amp; J. Wakesberg (Eds.), </w:t>
      </w:r>
      <w:r w:rsidRPr="00A46E5B">
        <w:rPr>
          <w:rFonts w:ascii="Times New Roman" w:eastAsia="Times New Roman" w:hAnsi="Times New Roman" w:cs="Times New Roman"/>
          <w:iCs/>
          <w:sz w:val="24"/>
          <w:szCs w:val="24"/>
        </w:rPr>
        <w:t>Telephone Survey Methodology</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Tjaden P &amp; Thoennes N. (1998). </w:t>
      </w:r>
      <w:r w:rsidRPr="00A46E5B">
        <w:rPr>
          <w:rFonts w:ascii="Times New Roman" w:eastAsia="Times New Roman" w:hAnsi="Times New Roman" w:cs="Times New Roman"/>
          <w:iCs/>
          <w:color w:val="000000"/>
          <w:sz w:val="24"/>
          <w:szCs w:val="24"/>
        </w:rPr>
        <w:t>Prevalence, Incidence, and Consequences of Violence against Women: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 No. NCJ 172837.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Tjaden P &amp; Thoennes N. (1998). Stalking in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xml:space="preserve">: Findings from the National Violence Against Women Survey: research brief.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Justice; 1998.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Tjaden P &amp; Thoennes N. (2000).</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Cs/>
          <w:sz w:val="24"/>
          <w:szCs w:val="24"/>
        </w:rPr>
        <w:t>Full Report on the Prevalence, Incidence, and Consequences of Violence Against Women</w:t>
      </w:r>
      <w:r w:rsidRPr="00A46E5B">
        <w:rPr>
          <w:rFonts w:ascii="Times New Roman" w:eastAsia="Times New Roman" w:hAnsi="Times New Roman" w:cs="Times New Roman"/>
          <w:sz w:val="24"/>
          <w:szCs w:val="24"/>
        </w:rPr>
        <w:t xml:space="preserve">. NCJ Publication # 183781,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National Institute of Justice.</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Tjaden P &amp; Thoennes N. (2006). </w:t>
      </w:r>
      <w:r w:rsidRPr="00A46E5B">
        <w:rPr>
          <w:rFonts w:ascii="Times New Roman" w:eastAsia="Times New Roman" w:hAnsi="Times New Roman" w:cs="Times New Roman"/>
          <w:iCs/>
          <w:color w:val="000000"/>
          <w:sz w:val="24"/>
          <w:szCs w:val="24"/>
        </w:rPr>
        <w:t>Extent, Nature, and Consequences of Rape Victimization: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No.</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NCJ 210346.</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Traugott MW,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Groves</w:t>
          </w:r>
        </w:smartTag>
      </w:smartTag>
      <w:r w:rsidRPr="00A46E5B">
        <w:rPr>
          <w:rFonts w:ascii="Times New Roman" w:eastAsia="Times New Roman" w:hAnsi="Times New Roman" w:cs="Times New Roman"/>
          <w:sz w:val="24"/>
          <w:szCs w:val="24"/>
        </w:rPr>
        <w:t xml:space="preserve"> RM &amp; Lepkowski J. (1987). </w:t>
      </w:r>
      <w:r w:rsidRPr="00A46E5B">
        <w:rPr>
          <w:rFonts w:ascii="Times New Roman" w:eastAsia="Times New Roman" w:hAnsi="Times New Roman" w:cs="Times New Roman"/>
          <w:iCs/>
          <w:sz w:val="24"/>
          <w:szCs w:val="24"/>
        </w:rPr>
        <w:t xml:space="preserve">Using Dual Frame Designs to Reduce </w:t>
      </w:r>
      <w:r w:rsidRPr="00A46E5B">
        <w:rPr>
          <w:rFonts w:ascii="Times New Roman" w:eastAsia="Times New Roman" w:hAnsi="Times New Roman" w:cs="Times New Roman"/>
          <w:iCs/>
          <w:sz w:val="24"/>
          <w:szCs w:val="24"/>
        </w:rPr>
        <w:tab/>
        <w:t>Nonresponse in Telephone Surveys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Public Opinion Quarterly, </w:t>
      </w:r>
      <w:r w:rsidRPr="00A46E5B">
        <w:rPr>
          <w:rFonts w:ascii="Times New Roman" w:eastAsia="Times New Roman" w:hAnsi="Times New Roman" w:cs="Times New Roman"/>
          <w:sz w:val="24"/>
          <w:szCs w:val="24"/>
        </w:rPr>
        <w:t>51, 522-539.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Tucker C, Brick JM, Meekins B, Morganstein D. (2004).  Household Telephone Service and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t xml:space="preserve">Usage Patterns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in 2004. Proceedings of the Section on Survey Research</w:t>
      </w:r>
      <w:r w:rsidRPr="00A46E5B">
        <w:rPr>
          <w:rFonts w:ascii="Times New Roman" w:eastAsia="Times New Roman" w:hAnsi="Times New Roman" w:cs="Times New Roman"/>
          <w:sz w:val="24"/>
          <w:szCs w:val="24"/>
        </w:rPr>
        <w:tab/>
        <w:t>Methods, American Statistical Association, pp. 4528 -4534.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Bureau of Statistics. </w:t>
      </w:r>
      <w:hyperlink r:id="rId37" w:history="1">
        <w:r w:rsidRPr="00A46E5B">
          <w:rPr>
            <w:rFonts w:ascii="Times New Roman" w:eastAsia="Times New Roman" w:hAnsi="Times New Roman" w:cs="Times New Roman"/>
            <w:color w:val="0000FF"/>
            <w:sz w:val="24"/>
            <w:szCs w:val="24"/>
            <w:u w:val="single"/>
          </w:rPr>
          <w:t>http://www.dol.gov/dol/topic/statistics/index.htm</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Census. </w:t>
      </w:r>
      <w:hyperlink r:id="rId38" w:history="1">
        <w:r w:rsidRPr="00A46E5B">
          <w:rPr>
            <w:rFonts w:ascii="Times New Roman" w:eastAsia="Times New Roman" w:hAnsi="Times New Roman" w:cs="Times New Roman"/>
            <w:color w:val="0000FF"/>
            <w:sz w:val="24"/>
            <w:szCs w:val="24"/>
            <w:u w:val="single"/>
          </w:rPr>
          <w:t>http://www.census.gov/popest/national/asrh/NC-EST2004/NC-EST2004-01.xls</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Health and Human Services (DHHS). Healthy People 2010. 2nd ed. With Understanding and Improving Health and Objectives for Improving Health 2 vols.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U.S. Government Printing Office; 2000.</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Health and Human Services. Report from the Secretaries Task Force on Elder Abuse. Feb 1992.  </w:t>
      </w:r>
      <w:hyperlink r:id="rId39" w:history="1">
        <w:r w:rsidRPr="00A46E5B">
          <w:rPr>
            <w:rFonts w:ascii="Times New Roman" w:eastAsia="Times New Roman" w:hAnsi="Times New Roman" w:cs="Times New Roman"/>
            <w:color w:val="0000FF"/>
            <w:sz w:val="24"/>
            <w:szCs w:val="24"/>
            <w:u w:val="single"/>
          </w:rPr>
          <w:t>http://aspe.hhs.gov/daltcp/reports/elderab.htm</w:t>
        </w:r>
      </w:hyperlink>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Vos T, Astbury J, Piers LS, Magnus A, Heenan M, Stanley L, Walker L &amp; Webster K. (2006). Measuring the Impact of Intimate Partner Violence on the Health of Women in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Victoria</w:t>
          </w:r>
        </w:smartTag>
        <w:r w:rsidRPr="00A46E5B">
          <w:rPr>
            <w:rFonts w:ascii="Times New Roman" w:eastAsia="Times New Roman" w:hAnsi="Times New Roman" w:cs="Times New Roman"/>
            <w:sz w:val="24"/>
            <w:szCs w:val="24"/>
          </w:rPr>
          <w:t xml:space="preserve">, </w:t>
        </w:r>
        <w:smartTag w:uri="urn:schemas-microsoft-com:office:smarttags" w:element="country-region">
          <w:r w:rsidRPr="00A46E5B">
            <w:rPr>
              <w:rFonts w:ascii="Times New Roman" w:eastAsia="Times New Roman" w:hAnsi="Times New Roman" w:cs="Times New Roman"/>
              <w:sz w:val="24"/>
              <w:szCs w:val="24"/>
            </w:rPr>
            <w:t>Australia</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Bulletin of the World Health Organization</w:t>
      </w:r>
      <w:r w:rsidRPr="00A46E5B">
        <w:rPr>
          <w:rFonts w:ascii="Times New Roman" w:eastAsia="Times New Roman" w:hAnsi="Times New Roman" w:cs="Times New Roman"/>
          <w:sz w:val="24"/>
          <w:szCs w:val="24"/>
        </w:rPr>
        <w:t>, 84, 9.</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Waksberg J (1978). Sampling Methods for Random Digit Dialing.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73, 40-46.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Watts C, Heise L, Ellsberg M &amp;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Moreno</w:t>
          </w:r>
        </w:smartTag>
      </w:smartTag>
      <w:r w:rsidRPr="00A46E5B">
        <w:rPr>
          <w:rFonts w:ascii="Times New Roman" w:eastAsia="Times New Roman" w:hAnsi="Times New Roman" w:cs="Times New Roman"/>
          <w:sz w:val="24"/>
          <w:szCs w:val="24"/>
        </w:rPr>
        <w:t>, G. (2001). Putting women first: ethical and safety recommendations for research on domestic violence against women</w:t>
      </w:r>
      <w:r w:rsidRPr="00A46E5B">
        <w:rPr>
          <w:rFonts w:ascii="Times New Roman" w:eastAsia="Times New Roman" w:hAnsi="Times New Roman" w:cs="Times New Roman"/>
          <w:i/>
          <w:sz w:val="24"/>
          <w:szCs w:val="24"/>
        </w:rPr>
        <w:t xml:space="preserve">. </w:t>
      </w:r>
      <w:r w:rsidRPr="00A46E5B">
        <w:rPr>
          <w:rFonts w:ascii="Times New Roman" w:eastAsia="Times New Roman" w:hAnsi="Times New Roman" w:cs="Times New Roman"/>
          <w:sz w:val="24"/>
          <w:szCs w:val="24"/>
        </w:rPr>
        <w:t xml:space="preserve">(Document WHO/EIP/GPE/01.1).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Geneva</w:t>
          </w:r>
        </w:smartTag>
      </w:smartTag>
      <w:r w:rsidRPr="00A46E5B">
        <w:rPr>
          <w:rFonts w:ascii="Times New Roman" w:eastAsia="Times New Roman" w:hAnsi="Times New Roman" w:cs="Times New Roman"/>
          <w:sz w:val="24"/>
          <w:szCs w:val="24"/>
        </w:rPr>
        <w:t>: World Health Organization, Global Programme on Evidence for Health Policy.</w:t>
      </w:r>
    </w:p>
    <w:p w:rsidR="00A46E5B" w:rsidRPr="00A46E5B" w:rsidRDefault="00A46E5B" w:rsidP="00A46E5B">
      <w:pPr>
        <w:spacing w:after="0" w:line="240" w:lineRule="auto"/>
        <w:rPr>
          <w:rFonts w:ascii="Times New Roman" w:eastAsia="Times New Roman" w:hAnsi="Times New Roman" w:cs="Times New Roman"/>
          <w:sz w:val="24"/>
          <w:szCs w:val="24"/>
          <w:highlight w:val="yellow"/>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Yu J &amp; Cooper H. (1983). Quantitative Review of Research Design Effects on Response Rates to </w:t>
      </w:r>
      <w:r w:rsidRPr="00A46E5B">
        <w:rPr>
          <w:rFonts w:ascii="Times New Roman" w:eastAsia="Times New Roman" w:hAnsi="Times New Roman" w:cs="Times New Roman"/>
          <w:sz w:val="24"/>
          <w:szCs w:val="24"/>
        </w:rPr>
        <w:tab/>
        <w:t xml:space="preserve">Questionnaires. </w:t>
      </w:r>
      <w:r w:rsidRPr="00A46E5B">
        <w:rPr>
          <w:rFonts w:ascii="Times New Roman" w:eastAsia="Times New Roman" w:hAnsi="Times New Roman" w:cs="Times New Roman"/>
          <w:i/>
          <w:sz w:val="24"/>
          <w:szCs w:val="24"/>
        </w:rPr>
        <w:t>Journal of Marketing Research</w:t>
      </w:r>
      <w:r w:rsidRPr="00A46E5B">
        <w:rPr>
          <w:rFonts w:ascii="Times New Roman" w:eastAsia="Times New Roman" w:hAnsi="Times New Roman" w:cs="Times New Roman"/>
          <w:sz w:val="24"/>
          <w:szCs w:val="24"/>
        </w:rPr>
        <w:t>, 20, 36-44.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BB69D1" w:rsidRDefault="00BB69D1">
      <w:bookmarkStart w:id="4" w:name="_GoBack"/>
      <w:bookmarkEnd w:id="4"/>
    </w:p>
    <w:sectPr w:rsidR="00BB69D1" w:rsidSect="001A0A8C">
      <w:footerReference w:type="even" r:id="rId40"/>
      <w:footerReference w:type="default" r:id="rId41"/>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5B" w:rsidRDefault="00A46E5B" w:rsidP="00A46E5B">
      <w:pPr>
        <w:spacing w:after="0" w:line="240" w:lineRule="auto"/>
      </w:pPr>
      <w:r>
        <w:separator/>
      </w:r>
    </w:p>
  </w:endnote>
  <w:endnote w:type="continuationSeparator" w:id="0">
    <w:p w:rsidR="00A46E5B" w:rsidRDefault="00A46E5B"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2" w:rsidRDefault="00A46E5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682" w:rsidRDefault="00A46E5B"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2" w:rsidRDefault="00A46E5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91682" w:rsidRPr="00BB4559" w:rsidRDefault="00A46E5B"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5B" w:rsidRDefault="00A46E5B" w:rsidP="00A46E5B">
      <w:pPr>
        <w:spacing w:after="0" w:line="240" w:lineRule="auto"/>
      </w:pPr>
      <w:r>
        <w:separator/>
      </w:r>
    </w:p>
  </w:footnote>
  <w:footnote w:type="continuationSeparator" w:id="0">
    <w:p w:rsidR="00A46E5B" w:rsidRDefault="00A46E5B" w:rsidP="00A46E5B">
      <w:pPr>
        <w:spacing w:after="0" w:line="240" w:lineRule="auto"/>
      </w:pPr>
      <w:r>
        <w:continuationSeparator/>
      </w:r>
    </w:p>
  </w:footnote>
  <w:footnote w:id="1">
    <w:p w:rsidR="00A46E5B" w:rsidRDefault="00A46E5B" w:rsidP="00A46E5B">
      <w:pPr>
        <w:pStyle w:val="FootnoteText"/>
      </w:pPr>
      <w:r>
        <w:rPr>
          <w:rStyle w:val="FootnoteReference"/>
        </w:rPr>
        <w:footnoteRef/>
      </w:r>
      <w:r>
        <w:t xml:space="preserve"> Singer and colleagues [</w:t>
      </w:r>
      <w:r w:rsidRPr="00C4401B">
        <w:t>Singer, E., J. Van Hoewyk and M. P. Maher (2000). "</w:t>
      </w:r>
      <w:r w:rsidRPr="00484B83">
        <w:t>Experiments with Incentives in Telephone Surveys.</w:t>
      </w:r>
      <w:r w:rsidRPr="00C4401B">
        <w:t>" Public O</w:t>
      </w:r>
      <w:r>
        <w:t>pinion Quarterly 64(2): 171-188] have been cited as providing evidence toward the ineffectiveness of promised incentives to increase survey response rates. However, approximately 200 sample cases were assigned to each condition (with or without incentive) in their experiments, requiring very large differences to reach statistical significance. The pattern supported the effectiveness of promised incentives, as in all four of their experiments the response rate was higher in the condition with an incentive. Furthermore, the experiments were conducted in 1996 with response rates close to 70%, seemingly more difficult to be increased through incentives relative to the lower current response rates (below 50% on that same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2">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6">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1">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29"/>
  </w:num>
  <w:num w:numId="7">
    <w:abstractNumId w:val="25"/>
  </w:num>
  <w:num w:numId="8">
    <w:abstractNumId w:val="13"/>
  </w:num>
  <w:num w:numId="9">
    <w:abstractNumId w:val="39"/>
  </w:num>
  <w:num w:numId="10">
    <w:abstractNumId w:val="34"/>
  </w:num>
  <w:num w:numId="11">
    <w:abstractNumId w:val="40"/>
  </w:num>
  <w:num w:numId="12">
    <w:abstractNumId w:val="33"/>
  </w:num>
  <w:num w:numId="13">
    <w:abstractNumId w:val="28"/>
  </w:num>
  <w:num w:numId="14">
    <w:abstractNumId w:val="27"/>
  </w:num>
  <w:num w:numId="15">
    <w:abstractNumId w:val="11"/>
  </w:num>
  <w:num w:numId="16">
    <w:abstractNumId w:val="20"/>
  </w:num>
  <w:num w:numId="17">
    <w:abstractNumId w:val="19"/>
  </w:num>
  <w:num w:numId="18">
    <w:abstractNumId w:val="22"/>
  </w:num>
  <w:num w:numId="19">
    <w:abstractNumId w:val="37"/>
  </w:num>
  <w:num w:numId="20">
    <w:abstractNumId w:val="35"/>
  </w:num>
  <w:num w:numId="21">
    <w:abstractNumId w:val="41"/>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6"/>
  </w:num>
  <w:num w:numId="34">
    <w:abstractNumId w:val="21"/>
  </w:num>
  <w:num w:numId="35">
    <w:abstractNumId w:val="32"/>
  </w:num>
  <w:num w:numId="36">
    <w:abstractNumId w:val="12"/>
  </w:num>
  <w:num w:numId="37">
    <w:abstractNumId w:val="16"/>
  </w:num>
  <w:num w:numId="38">
    <w:abstractNumId w:val="10"/>
  </w:num>
  <w:num w:numId="39">
    <w:abstractNumId w:val="31"/>
  </w:num>
  <w:num w:numId="40">
    <w:abstractNumId w:val="30"/>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A46E5B"/>
    <w:rsid w:val="00BB69D1"/>
    <w:rsid w:val="00CD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
    <w:name w:val="body text"/>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
    <w:name w:val="body text"/>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i6@cdc.gov" TargetMode="External"/><Relationship Id="rId13" Type="http://schemas.openxmlformats.org/officeDocument/2006/relationships/hyperlink" Target="mailto:zhp5@cdc.gov" TargetMode="External"/><Relationship Id="rId18" Type="http://schemas.openxmlformats.org/officeDocument/2006/relationships/hyperlink" Target="mailto:kkrotki@rti.org" TargetMode="External"/><Relationship Id="rId26" Type="http://schemas.openxmlformats.org/officeDocument/2006/relationships/hyperlink" Target="mailto:lcbaxter@rti.org" TargetMode="External"/><Relationship Id="rId39" Type="http://schemas.openxmlformats.org/officeDocument/2006/relationships/hyperlink" Target="http://aspe.hhs.gov/daltcp/reports/elderab.htm" TargetMode="External"/><Relationship Id="rId3" Type="http://schemas.microsoft.com/office/2007/relationships/stylesWithEffects" Target="stylesWithEffects.xml"/><Relationship Id="rId21" Type="http://schemas.openxmlformats.org/officeDocument/2006/relationships/hyperlink" Target="mailto:apeytchev@rti.org" TargetMode="External"/><Relationship Id="rId34" Type="http://schemas.openxmlformats.org/officeDocument/2006/relationships/hyperlink" Target="https://atlanta.securemail.hhs.gov/exchweb/bin/redir.asp?URL=http://www.cdc.gov/ncip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cq7@cdc.gov" TargetMode="External"/><Relationship Id="rId17" Type="http://schemas.openxmlformats.org/officeDocument/2006/relationships/hyperlink" Target="mailto:apeytchev@rti.org" TargetMode="External"/><Relationship Id="rId25" Type="http://schemas.openxmlformats.org/officeDocument/2006/relationships/hyperlink" Target="mailto:itk8@cdc.gov" TargetMode="External"/><Relationship Id="rId33" Type="http://schemas.openxmlformats.org/officeDocument/2006/relationships/hyperlink" Target="http://cancercontrol.cancer.gov/hints/docs/HINTS_refusal_incentive_abstr" TargetMode="External"/><Relationship Id="rId38" Type="http://schemas.openxmlformats.org/officeDocument/2006/relationships/hyperlink" Target="http://www.census.gov/popest/national/asrh/NC-EST2004/NC-EST2004-01.xls" TargetMode="External"/><Relationship Id="rId2" Type="http://schemas.openxmlformats.org/officeDocument/2006/relationships/styles" Target="styles.xml"/><Relationship Id="rId16" Type="http://schemas.openxmlformats.org/officeDocument/2006/relationships/hyperlink" Target="mailto:lcbaxter@rti.org" TargetMode="External"/><Relationship Id="rId20" Type="http://schemas.openxmlformats.org/officeDocument/2006/relationships/hyperlink" Target="mailto:lcbaxter@rti.org" TargetMode="External"/><Relationship Id="rId29" Type="http://schemas.openxmlformats.org/officeDocument/2006/relationships/hyperlink" Target="mailto:krebs@rti.org"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iy4@cdc.gov" TargetMode="External"/><Relationship Id="rId24" Type="http://schemas.openxmlformats.org/officeDocument/2006/relationships/hyperlink" Target="mailto:cva2@cdc.gov" TargetMode="External"/><Relationship Id="rId32" Type="http://schemas.openxmlformats.org/officeDocument/2006/relationships/hyperlink" Target="http://www.cdc.gov/nchs/nhis.htm" TargetMode="External"/><Relationship Id="rId37" Type="http://schemas.openxmlformats.org/officeDocument/2006/relationships/hyperlink" Target="http://www.dol.gov/dol/topic/statistics/index.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ai6@cdc.gov" TargetMode="External"/><Relationship Id="rId23" Type="http://schemas.openxmlformats.org/officeDocument/2006/relationships/hyperlink" Target="mailto:zbd3@cdc.gov" TargetMode="External"/><Relationship Id="rId28" Type="http://schemas.openxmlformats.org/officeDocument/2006/relationships/hyperlink" Target="mailto:kkrotki@rti.org" TargetMode="External"/><Relationship Id="rId36" Type="http://schemas.openxmlformats.org/officeDocument/2006/relationships/hyperlink" Target="http://oregonstate.edu/Dept/pol_sci/fac/sahr/cv2005.xls" TargetMode="External"/><Relationship Id="rId10" Type="http://schemas.openxmlformats.org/officeDocument/2006/relationships/hyperlink" Target="mailto:dvi8@cdc.gov" TargetMode="External"/><Relationship Id="rId19" Type="http://schemas.openxmlformats.org/officeDocument/2006/relationships/hyperlink" Target="mailto:krebs@rti.org" TargetMode="External"/><Relationship Id="rId31" Type="http://schemas.openxmlformats.org/officeDocument/2006/relationships/hyperlink" Target="http://www.cdc.gov/nchs/nhis.htm" TargetMode="External"/><Relationship Id="rId4" Type="http://schemas.openxmlformats.org/officeDocument/2006/relationships/settings" Target="settings.xml"/><Relationship Id="rId9" Type="http://schemas.openxmlformats.org/officeDocument/2006/relationships/hyperlink" Target="mailto:ksb9@cdc.gov" TargetMode="External"/><Relationship Id="rId14" Type="http://schemas.openxmlformats.org/officeDocument/2006/relationships/hyperlink" Target="mailto:zbd3@cdc.gov" TargetMode="External"/><Relationship Id="rId22" Type="http://schemas.openxmlformats.org/officeDocument/2006/relationships/hyperlink" Target="mailto:ziy4@cdc.gov" TargetMode="External"/><Relationship Id="rId27" Type="http://schemas.openxmlformats.org/officeDocument/2006/relationships/hyperlink" Target="mailto:apeytchev@rti.org" TargetMode="External"/><Relationship Id="rId30" Type="http://schemas.openxmlformats.org/officeDocument/2006/relationships/hyperlink" Target="http://www.cdc.gov/brfss/technical_infodata/pdf/2002SummaryDataQualityReport.pdf" TargetMode="External"/><Relationship Id="rId35" Type="http://schemas.openxmlformats.org/officeDocument/2006/relationships/hyperlink" Target="http://www.amstat.org/sections/srms/Proceedings/papers/1997_181.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8800</Words>
  <Characters>50164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2012-08-08T18:56:00Z</dcterms:created>
  <dcterms:modified xsi:type="dcterms:W3CDTF">2012-08-08T18:56:00Z</dcterms:modified>
</cp:coreProperties>
</file>