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E78" w:rsidRPr="008B290C" w:rsidRDefault="009F1E78" w:rsidP="009F1E78">
      <w:pPr>
        <w:tabs>
          <w:tab w:val="center" w:pos="4680"/>
          <w:tab w:val="right" w:pos="9360"/>
        </w:tabs>
        <w:jc w:val="center"/>
        <w:rPr>
          <w:b/>
          <w:bCs/>
          <w:sz w:val="24"/>
          <w:szCs w:val="24"/>
        </w:rPr>
      </w:pPr>
      <w:r w:rsidRPr="008B290C">
        <w:rPr>
          <w:b/>
          <w:bCs/>
          <w:sz w:val="24"/>
          <w:szCs w:val="24"/>
        </w:rPr>
        <w:t>SUPPORTING STATEMENT</w:t>
      </w:r>
    </w:p>
    <w:p w:rsidR="009F1E78" w:rsidRPr="008B290C" w:rsidRDefault="009F1E78" w:rsidP="009F1E78">
      <w:pPr>
        <w:jc w:val="center"/>
        <w:rPr>
          <w:b/>
          <w:bCs/>
          <w:sz w:val="24"/>
          <w:szCs w:val="24"/>
        </w:rPr>
      </w:pPr>
      <w:r w:rsidRPr="008B290C">
        <w:rPr>
          <w:b/>
          <w:bCs/>
          <w:sz w:val="24"/>
          <w:szCs w:val="24"/>
        </w:rPr>
        <w:t xml:space="preserve">NOAA </w:t>
      </w:r>
      <w:r>
        <w:rPr>
          <w:b/>
          <w:bCs/>
          <w:sz w:val="24"/>
          <w:szCs w:val="24"/>
        </w:rPr>
        <w:t>BAY WATERSHED EDUCATION AND TRAINING (</w:t>
      </w:r>
      <w:r w:rsidRPr="008B290C">
        <w:rPr>
          <w:b/>
          <w:bCs/>
          <w:sz w:val="24"/>
          <w:szCs w:val="24"/>
        </w:rPr>
        <w:t>B-WET</w:t>
      </w:r>
      <w:r>
        <w:rPr>
          <w:b/>
          <w:bCs/>
          <w:sz w:val="24"/>
          <w:szCs w:val="24"/>
        </w:rPr>
        <w:t>) PROGRAM</w:t>
      </w:r>
      <w:r w:rsidRPr="008B290C">
        <w:rPr>
          <w:b/>
          <w:bCs/>
          <w:sz w:val="24"/>
          <w:szCs w:val="24"/>
        </w:rPr>
        <w:t xml:space="preserve"> NATIONAL EVALUATION SYSTEM</w:t>
      </w:r>
    </w:p>
    <w:p w:rsidR="009F1E78" w:rsidRPr="008B290C" w:rsidRDefault="009F1E78" w:rsidP="009F1E78">
      <w:pPr>
        <w:jc w:val="center"/>
        <w:rPr>
          <w:sz w:val="24"/>
          <w:szCs w:val="24"/>
        </w:rPr>
      </w:pPr>
      <w:proofErr w:type="gramStart"/>
      <w:r w:rsidRPr="008B290C">
        <w:rPr>
          <w:b/>
          <w:bCs/>
          <w:sz w:val="24"/>
          <w:szCs w:val="24"/>
        </w:rPr>
        <w:t>OMB CONTROL NO.</w:t>
      </w:r>
      <w:proofErr w:type="gramEnd"/>
      <w:r w:rsidRPr="008B290C">
        <w:rPr>
          <w:b/>
          <w:bCs/>
          <w:sz w:val="24"/>
          <w:szCs w:val="24"/>
        </w:rPr>
        <w:t xml:space="preserve"> 0648-xxxx</w:t>
      </w:r>
    </w:p>
    <w:p w:rsidR="009F1E78" w:rsidRDefault="009F1E78" w:rsidP="009F1E78">
      <w:pPr>
        <w:rPr>
          <w:b/>
          <w:bCs/>
          <w:sz w:val="24"/>
          <w:szCs w:val="24"/>
        </w:rPr>
      </w:pPr>
    </w:p>
    <w:p w:rsidR="009F1E78" w:rsidRDefault="009F1E78" w:rsidP="009F1E78">
      <w:pPr>
        <w:rPr>
          <w:b/>
          <w:bCs/>
          <w:sz w:val="24"/>
          <w:szCs w:val="24"/>
        </w:rPr>
      </w:pPr>
    </w:p>
    <w:p w:rsidR="009F1E78" w:rsidRDefault="009F1E78" w:rsidP="009F1E78">
      <w:pPr>
        <w:rPr>
          <w:sz w:val="24"/>
          <w:szCs w:val="24"/>
        </w:rPr>
      </w:pPr>
      <w:r>
        <w:rPr>
          <w:b/>
          <w:bCs/>
          <w:sz w:val="24"/>
          <w:szCs w:val="24"/>
        </w:rPr>
        <w:t>B. COLLECTIONS OF INFORMATION EMPLOYING STATISTICAL METHODS</w:t>
      </w:r>
    </w:p>
    <w:p w:rsidR="009F1E78" w:rsidRDefault="009F1E78" w:rsidP="009F1E78">
      <w:pPr>
        <w:rPr>
          <w:sz w:val="24"/>
          <w:szCs w:val="24"/>
        </w:rPr>
      </w:pP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Censuses will be conducted in light of the relatively small sample sizes (Table 2) and the sophisticated analyses planned to be conducted by an external evaluator. </w:t>
      </w:r>
      <w:r>
        <w:rPr>
          <w:rFonts w:cs="Calibri"/>
          <w:sz w:val="24"/>
          <w:szCs w:val="24"/>
        </w:rPr>
        <w:t xml:space="preserve">More specifically, models will be tested with </w:t>
      </w:r>
      <w:proofErr w:type="spellStart"/>
      <w:r>
        <w:rPr>
          <w:rFonts w:cs="Calibri"/>
          <w:sz w:val="24"/>
          <w:szCs w:val="24"/>
        </w:rPr>
        <w:t>Mplus</w:t>
      </w:r>
      <w:proofErr w:type="spellEnd"/>
      <w:r>
        <w:rPr>
          <w:rFonts w:cs="Calibri"/>
          <w:sz w:val="24"/>
          <w:szCs w:val="24"/>
        </w:rPr>
        <w:t xml:space="preserve"> statistical modeling program using multilevel (i.e., to account for teachers nested in professional development programs and repeated measures from the same individuals) </w:t>
      </w:r>
      <w:r>
        <w:rPr>
          <w:sz w:val="24"/>
          <w:szCs w:val="24"/>
        </w:rPr>
        <w:t xml:space="preserve">structural equation modeling (SEM) to explore the direct and indirect relationships between teachers’ practices and perceived student outcomes based on their MWEE </w:t>
      </w:r>
      <w:r>
        <w:rPr>
          <w:rFonts w:cs="Calibri"/>
          <w:sz w:val="24"/>
          <w:szCs w:val="24"/>
        </w:rPr>
        <w:t xml:space="preserve">professional development experiences and background. Benefits of </w:t>
      </w:r>
      <w:r>
        <w:rPr>
          <w:sz w:val="24"/>
          <w:szCs w:val="24"/>
        </w:rPr>
        <w:t>SEM include that it allows for exploring direct and indirect causal relationships between variables while also taking into account measurement error (</w:t>
      </w:r>
      <w:proofErr w:type="spellStart"/>
      <w:r>
        <w:rPr>
          <w:sz w:val="24"/>
          <w:szCs w:val="24"/>
        </w:rPr>
        <w:t>Bollen</w:t>
      </w:r>
      <w:proofErr w:type="spellEnd"/>
      <w:r>
        <w:rPr>
          <w:sz w:val="24"/>
          <w:szCs w:val="24"/>
        </w:rPr>
        <w:t xml:space="preserve"> 1989). SEM permits the combination of factor and path analysis into a single model. SEM models require large sample sizes because they estimate 1) regression coefficients, 2) variances and </w:t>
      </w:r>
      <w:proofErr w:type="spellStart"/>
      <w:r>
        <w:rPr>
          <w:sz w:val="24"/>
          <w:szCs w:val="24"/>
        </w:rPr>
        <w:t>covariances</w:t>
      </w:r>
      <w:proofErr w:type="spellEnd"/>
      <w:r>
        <w:rPr>
          <w:sz w:val="24"/>
          <w:szCs w:val="24"/>
        </w:rPr>
        <w:t xml:space="preserve"> of unobserved variables, and 3) variances and </w:t>
      </w:r>
      <w:proofErr w:type="spellStart"/>
      <w:r>
        <w:rPr>
          <w:sz w:val="24"/>
          <w:szCs w:val="24"/>
        </w:rPr>
        <w:t>covariances</w:t>
      </w:r>
      <w:proofErr w:type="spellEnd"/>
      <w:r>
        <w:rPr>
          <w:sz w:val="24"/>
          <w:szCs w:val="24"/>
        </w:rPr>
        <w:t xml:space="preserve"> of errors. Because of the number of direct and indirect paths that the models will estimate, they will have few degrees of freedom (</w:t>
      </w:r>
      <w:proofErr w:type="spellStart"/>
      <w:proofErr w:type="gramStart"/>
      <w:r>
        <w:rPr>
          <w:sz w:val="24"/>
          <w:szCs w:val="24"/>
        </w:rPr>
        <w:t>df</w:t>
      </w:r>
      <w:proofErr w:type="spellEnd"/>
      <w:proofErr w:type="gramEnd"/>
      <w:r>
        <w:rPr>
          <w:sz w:val="24"/>
          <w:szCs w:val="24"/>
        </w:rPr>
        <w:t xml:space="preserve">). Based on the expected </w:t>
      </w:r>
      <w:proofErr w:type="spellStart"/>
      <w:r>
        <w:rPr>
          <w:sz w:val="24"/>
          <w:szCs w:val="24"/>
        </w:rPr>
        <w:t>df</w:t>
      </w:r>
      <w:proofErr w:type="spellEnd"/>
      <w:r>
        <w:rPr>
          <w:sz w:val="24"/>
          <w:szCs w:val="24"/>
        </w:rPr>
        <w:t>=4 and an approximate sample size of 1,280,</w:t>
      </w:r>
      <w:bookmarkStart w:id="0" w:name="_Ref347476736"/>
      <w:r>
        <w:rPr>
          <w:rStyle w:val="FootnoteReference"/>
          <w:sz w:val="24"/>
          <w:szCs w:val="24"/>
        </w:rPr>
        <w:footnoteReference w:id="1"/>
      </w:r>
      <w:bookmarkEnd w:id="0"/>
      <w:r>
        <w:rPr>
          <w:sz w:val="24"/>
          <w:szCs w:val="24"/>
        </w:rPr>
        <w:t xml:space="preserve"> a power of 80% will be achieved for testing model fit (see Table 4 in </w:t>
      </w:r>
      <w:proofErr w:type="spellStart"/>
      <w:r>
        <w:rPr>
          <w:sz w:val="24"/>
          <w:szCs w:val="24"/>
        </w:rPr>
        <w:t>MacCallum</w:t>
      </w:r>
      <w:proofErr w:type="spellEnd"/>
      <w:r>
        <w:rPr>
          <w:sz w:val="24"/>
          <w:szCs w:val="24"/>
        </w:rPr>
        <w:t xml:space="preserve"> et al. 1996).</w:t>
      </w: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 similar OMB-approved data collection has been conducted for the Chesapeake Bay area only (“</w:t>
      </w:r>
      <w:r>
        <w:rPr>
          <w:i/>
          <w:sz w:val="24"/>
          <w:szCs w:val="24"/>
        </w:rPr>
        <w:t>Evaluation of National Oceanic and Atmospheric Administration Chesapeake Bay Watershed Education and Training Program</w:t>
      </w:r>
      <w:r>
        <w:rPr>
          <w:sz w:val="24"/>
          <w:szCs w:val="24"/>
        </w:rPr>
        <w:t xml:space="preserve">” </w:t>
      </w:r>
      <w:hyperlink r:id="rId8" w:history="1">
        <w:r>
          <w:rPr>
            <w:rStyle w:val="Hyperlink"/>
            <w:sz w:val="24"/>
            <w:szCs w:val="24"/>
          </w:rPr>
          <w:t>http://chesapeakebay.noaa.gov/images/stories/pdf/BWETevalsummary.pdf</w:t>
        </w:r>
      </w:hyperlink>
      <w:r>
        <w:rPr>
          <w:sz w:val="24"/>
          <w:szCs w:val="24"/>
        </w:rPr>
        <w:t>). The expected response rates below are informed by the response rates achieved by this previous data collection (see additional detail in Question 3).</w:t>
      </w: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1E78" w:rsidRDefault="009F1E78">
      <w:pPr>
        <w:widowControl/>
        <w:autoSpaceDE/>
        <w:autoSpaceDN/>
        <w:adjustRightInd/>
        <w:spacing w:after="200" w:line="276" w:lineRule="auto"/>
        <w:rPr>
          <w:sz w:val="24"/>
          <w:szCs w:val="24"/>
        </w:rPr>
      </w:pPr>
      <w:r>
        <w:rPr>
          <w:sz w:val="24"/>
          <w:szCs w:val="24"/>
        </w:rPr>
        <w:br w:type="page"/>
      </w:r>
    </w:p>
    <w:p w:rsidR="009F1E78" w:rsidRDefault="009F1E78" w:rsidP="009F1E78">
      <w:pPr>
        <w:pStyle w:val="Caption"/>
        <w:rPr>
          <w:sz w:val="24"/>
          <w:szCs w:val="24"/>
        </w:rPr>
      </w:pPr>
      <w:r>
        <w:lastRenderedPageBreak/>
        <w:t>Table 2: Potential respondent universe, sampling strategy, and expected response rates</w:t>
      </w:r>
    </w:p>
    <w:tbl>
      <w:tblPr>
        <w:tblW w:w="0" w:type="auto"/>
        <w:tblBorders>
          <w:top w:val="single" w:sz="12" w:space="0" w:color="000000"/>
          <w:bottom w:val="single" w:sz="12" w:space="0" w:color="000000"/>
          <w:insideH w:val="single" w:sz="6" w:space="0" w:color="000000"/>
        </w:tblBorders>
        <w:tblLook w:val="0020" w:firstRow="1" w:lastRow="0" w:firstColumn="0" w:lastColumn="0" w:noHBand="0" w:noVBand="0"/>
      </w:tblPr>
      <w:tblGrid>
        <w:gridCol w:w="2281"/>
        <w:gridCol w:w="850"/>
        <w:gridCol w:w="666"/>
        <w:gridCol w:w="1355"/>
      </w:tblGrid>
      <w:tr w:rsidR="009F1E78" w:rsidTr="009F1E78">
        <w:tc>
          <w:tcPr>
            <w:tcW w:w="0" w:type="auto"/>
            <w:tcBorders>
              <w:top w:val="single" w:sz="12" w:space="0" w:color="000000"/>
              <w:left w:val="nil"/>
              <w:bottom w:val="single" w:sz="12" w:space="0" w:color="000000"/>
              <w:right w:val="nil"/>
            </w:tcBorders>
            <w:hideMark/>
          </w:tcPr>
          <w:p w:rsidR="009F1E78" w:rsidRDefault="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80"/>
              </w:rPr>
            </w:pPr>
            <w:r>
              <w:rPr>
                <w:b/>
                <w:bCs/>
                <w:color w:val="000080"/>
              </w:rPr>
              <w:t>Population</w:t>
            </w:r>
          </w:p>
        </w:tc>
        <w:tc>
          <w:tcPr>
            <w:tcW w:w="0" w:type="auto"/>
            <w:tcBorders>
              <w:top w:val="single" w:sz="12" w:space="0" w:color="000000"/>
              <w:left w:val="nil"/>
              <w:bottom w:val="single" w:sz="12" w:space="0" w:color="000000"/>
              <w:right w:val="nil"/>
            </w:tcBorders>
            <w:hideMark/>
          </w:tcPr>
          <w:p w:rsidR="009F1E78" w:rsidRDefault="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80"/>
              </w:rPr>
            </w:pPr>
            <w:r>
              <w:rPr>
                <w:b/>
                <w:bCs/>
                <w:color w:val="000080"/>
              </w:rPr>
              <w:t>Sample</w:t>
            </w:r>
          </w:p>
        </w:tc>
        <w:tc>
          <w:tcPr>
            <w:tcW w:w="0" w:type="auto"/>
            <w:tcBorders>
              <w:top w:val="single" w:sz="12" w:space="0" w:color="000000"/>
              <w:left w:val="nil"/>
              <w:bottom w:val="single" w:sz="12" w:space="0" w:color="000000"/>
              <w:right w:val="nil"/>
            </w:tcBorders>
            <w:hideMark/>
          </w:tcPr>
          <w:p w:rsidR="009F1E78" w:rsidRDefault="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80"/>
                <w:vertAlign w:val="superscript"/>
              </w:rPr>
            </w:pPr>
            <w:r>
              <w:rPr>
                <w:b/>
                <w:bCs/>
                <w:color w:val="000080"/>
              </w:rPr>
              <w:t>N</w:t>
            </w:r>
            <w:r>
              <w:rPr>
                <w:b/>
                <w:bCs/>
                <w:color w:val="000080"/>
                <w:vertAlign w:val="superscript"/>
              </w:rPr>
              <w:t>a</w:t>
            </w:r>
          </w:p>
        </w:tc>
        <w:tc>
          <w:tcPr>
            <w:tcW w:w="0" w:type="auto"/>
            <w:tcBorders>
              <w:top w:val="single" w:sz="12" w:space="0" w:color="000000"/>
              <w:left w:val="nil"/>
              <w:bottom w:val="single" w:sz="12" w:space="0" w:color="000000"/>
              <w:right w:val="nil"/>
            </w:tcBorders>
            <w:hideMark/>
          </w:tcPr>
          <w:p w:rsidR="009F1E78" w:rsidRDefault="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80"/>
              </w:rPr>
            </w:pPr>
            <w:r>
              <w:rPr>
                <w:b/>
                <w:bCs/>
                <w:color w:val="000080"/>
              </w:rPr>
              <w:t xml:space="preserve">Expected </w:t>
            </w:r>
          </w:p>
          <w:p w:rsidR="009F1E78" w:rsidRDefault="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80"/>
              </w:rPr>
            </w:pPr>
            <w:r>
              <w:rPr>
                <w:b/>
                <w:bCs/>
                <w:color w:val="000080"/>
              </w:rPr>
              <w:t>response rate</w:t>
            </w:r>
          </w:p>
          <w:p w:rsidR="009F1E78" w:rsidRDefault="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80"/>
              </w:rPr>
            </w:pPr>
            <w:r>
              <w:rPr>
                <w:b/>
                <w:bCs/>
                <w:color w:val="000080"/>
              </w:rPr>
              <w:t>%</w:t>
            </w:r>
          </w:p>
        </w:tc>
      </w:tr>
      <w:tr w:rsidR="009F1E78" w:rsidTr="009F1E78">
        <w:tc>
          <w:tcPr>
            <w:tcW w:w="0" w:type="auto"/>
            <w:tcBorders>
              <w:top w:val="single" w:sz="6" w:space="0" w:color="000000"/>
              <w:left w:val="nil"/>
              <w:bottom w:val="single" w:sz="6" w:space="0" w:color="000000"/>
              <w:right w:val="nil"/>
            </w:tcBorders>
            <w:hideMark/>
          </w:tcPr>
          <w:p w:rsidR="009F1E78" w:rsidRDefault="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B-WET Grantees</w:t>
            </w:r>
          </w:p>
        </w:tc>
        <w:tc>
          <w:tcPr>
            <w:tcW w:w="0" w:type="auto"/>
            <w:tcBorders>
              <w:top w:val="single" w:sz="6" w:space="0" w:color="000000"/>
              <w:left w:val="nil"/>
              <w:bottom w:val="single" w:sz="6" w:space="0" w:color="000000"/>
              <w:right w:val="nil"/>
            </w:tcBorders>
            <w:hideMark/>
          </w:tcPr>
          <w:p w:rsidR="009F1E78" w:rsidRDefault="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Census</w:t>
            </w:r>
          </w:p>
        </w:tc>
        <w:tc>
          <w:tcPr>
            <w:tcW w:w="0" w:type="auto"/>
            <w:tcBorders>
              <w:top w:val="single" w:sz="6" w:space="0" w:color="000000"/>
              <w:left w:val="nil"/>
              <w:bottom w:val="single" w:sz="6" w:space="0" w:color="000000"/>
              <w:right w:val="nil"/>
            </w:tcBorders>
            <w:hideMark/>
          </w:tcPr>
          <w:p w:rsidR="009F1E78" w:rsidRDefault="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125</w:t>
            </w:r>
          </w:p>
        </w:tc>
        <w:tc>
          <w:tcPr>
            <w:tcW w:w="0" w:type="auto"/>
            <w:tcBorders>
              <w:top w:val="single" w:sz="6" w:space="0" w:color="000000"/>
              <w:left w:val="nil"/>
              <w:bottom w:val="single" w:sz="6" w:space="0" w:color="000000"/>
              <w:right w:val="nil"/>
            </w:tcBorders>
            <w:hideMark/>
          </w:tcPr>
          <w:p w:rsidR="009F1E78" w:rsidRDefault="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90</w:t>
            </w:r>
          </w:p>
        </w:tc>
      </w:tr>
      <w:tr w:rsidR="009F1E78" w:rsidTr="009F1E78">
        <w:tc>
          <w:tcPr>
            <w:tcW w:w="0" w:type="auto"/>
            <w:tcBorders>
              <w:top w:val="single" w:sz="6" w:space="0" w:color="000000"/>
              <w:left w:val="nil"/>
              <w:bottom w:val="single" w:sz="6" w:space="0" w:color="000000"/>
              <w:right w:val="nil"/>
            </w:tcBorders>
            <w:hideMark/>
          </w:tcPr>
          <w:p w:rsidR="009F1E78" w:rsidRDefault="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B-WET PD teachers</w:t>
            </w:r>
          </w:p>
        </w:tc>
        <w:tc>
          <w:tcPr>
            <w:tcW w:w="0" w:type="auto"/>
            <w:tcBorders>
              <w:top w:val="single" w:sz="6" w:space="0" w:color="000000"/>
              <w:left w:val="nil"/>
              <w:bottom w:val="single" w:sz="6" w:space="0" w:color="000000"/>
              <w:right w:val="nil"/>
            </w:tcBorders>
            <w:hideMark/>
          </w:tcPr>
          <w:p w:rsidR="009F1E78" w:rsidRDefault="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Census</w:t>
            </w:r>
          </w:p>
        </w:tc>
        <w:tc>
          <w:tcPr>
            <w:tcW w:w="0" w:type="auto"/>
            <w:tcBorders>
              <w:top w:val="single" w:sz="6" w:space="0" w:color="000000"/>
              <w:left w:val="nil"/>
              <w:bottom w:val="single" w:sz="6" w:space="0" w:color="000000"/>
              <w:right w:val="nil"/>
            </w:tcBorders>
            <w:hideMark/>
          </w:tcPr>
          <w:p w:rsidR="009F1E78" w:rsidRDefault="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4,000</w:t>
            </w:r>
          </w:p>
        </w:tc>
        <w:tc>
          <w:tcPr>
            <w:tcW w:w="0" w:type="auto"/>
            <w:tcBorders>
              <w:top w:val="single" w:sz="6" w:space="0" w:color="000000"/>
              <w:left w:val="nil"/>
              <w:bottom w:val="single" w:sz="6" w:space="0" w:color="000000"/>
              <w:right w:val="nil"/>
            </w:tcBorders>
            <w:hideMark/>
          </w:tcPr>
          <w:p w:rsidR="009F1E78" w:rsidRDefault="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80</w:t>
            </w:r>
          </w:p>
        </w:tc>
      </w:tr>
      <w:tr w:rsidR="009F1E78" w:rsidTr="009F1E78">
        <w:tc>
          <w:tcPr>
            <w:tcW w:w="0" w:type="auto"/>
            <w:tcBorders>
              <w:top w:val="single" w:sz="6" w:space="0" w:color="000000"/>
              <w:left w:val="nil"/>
              <w:bottom w:val="single" w:sz="12" w:space="0" w:color="000000"/>
              <w:right w:val="nil"/>
            </w:tcBorders>
            <w:hideMark/>
          </w:tcPr>
          <w:p w:rsidR="009F1E78" w:rsidRDefault="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vertAlign w:val="superscript"/>
              </w:rPr>
            </w:pPr>
            <w:r>
              <w:t xml:space="preserve">B-WET MWEE </w:t>
            </w:r>
            <w:proofErr w:type="spellStart"/>
            <w:r>
              <w:t>teachers</w:t>
            </w:r>
            <w:r>
              <w:rPr>
                <w:vertAlign w:val="superscript"/>
              </w:rPr>
              <w:t>b</w:t>
            </w:r>
            <w:proofErr w:type="spellEnd"/>
          </w:p>
        </w:tc>
        <w:tc>
          <w:tcPr>
            <w:tcW w:w="0" w:type="auto"/>
            <w:tcBorders>
              <w:top w:val="single" w:sz="6" w:space="0" w:color="000000"/>
              <w:left w:val="nil"/>
              <w:bottom w:val="single" w:sz="12" w:space="0" w:color="000000"/>
              <w:right w:val="nil"/>
            </w:tcBorders>
            <w:hideMark/>
          </w:tcPr>
          <w:p w:rsidR="009F1E78" w:rsidRDefault="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Census</w:t>
            </w:r>
          </w:p>
        </w:tc>
        <w:tc>
          <w:tcPr>
            <w:tcW w:w="0" w:type="auto"/>
            <w:tcBorders>
              <w:top w:val="single" w:sz="6" w:space="0" w:color="000000"/>
              <w:left w:val="nil"/>
              <w:bottom w:val="single" w:sz="12" w:space="0" w:color="000000"/>
              <w:right w:val="nil"/>
            </w:tcBorders>
            <w:hideMark/>
          </w:tcPr>
          <w:p w:rsidR="009F1E78" w:rsidRDefault="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3,200</w:t>
            </w:r>
          </w:p>
        </w:tc>
        <w:tc>
          <w:tcPr>
            <w:tcW w:w="0" w:type="auto"/>
            <w:tcBorders>
              <w:top w:val="single" w:sz="6" w:space="0" w:color="000000"/>
              <w:left w:val="nil"/>
              <w:bottom w:val="single" w:sz="12" w:space="0" w:color="000000"/>
              <w:right w:val="nil"/>
            </w:tcBorders>
            <w:hideMark/>
          </w:tcPr>
          <w:p w:rsidR="009F1E78" w:rsidRDefault="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40</w:t>
            </w:r>
          </w:p>
        </w:tc>
      </w:tr>
    </w:tbl>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roofErr w:type="spellStart"/>
      <w:proofErr w:type="gramStart"/>
      <w:r>
        <w:rPr>
          <w:sz w:val="16"/>
          <w:szCs w:val="16"/>
          <w:vertAlign w:val="superscript"/>
        </w:rPr>
        <w:t>a</w:t>
      </w:r>
      <w:r>
        <w:rPr>
          <w:sz w:val="16"/>
          <w:szCs w:val="16"/>
        </w:rPr>
        <w:t>Estimated</w:t>
      </w:r>
      <w:proofErr w:type="spellEnd"/>
      <w:proofErr w:type="gramEnd"/>
      <w:r>
        <w:rPr>
          <w:sz w:val="16"/>
          <w:szCs w:val="16"/>
        </w:rPr>
        <w:t xml:space="preserve"> populations based on FY2010 B-WET awards [124 active awards (grantees) and 4,489 teachers reached (proposed)]</w:t>
      </w:r>
    </w:p>
    <w:p w:rsidR="009F1E78" w:rsidRDefault="009F1E78" w:rsidP="009F1E78">
      <w:pPr>
        <w:rPr>
          <w:sz w:val="16"/>
          <w:szCs w:val="16"/>
        </w:rPr>
      </w:pPr>
      <w:proofErr w:type="spellStart"/>
      <w:proofErr w:type="gramStart"/>
      <w:r>
        <w:rPr>
          <w:sz w:val="16"/>
          <w:szCs w:val="16"/>
          <w:vertAlign w:val="superscript"/>
        </w:rPr>
        <w:t>b</w:t>
      </w:r>
      <w:r>
        <w:rPr>
          <w:sz w:val="16"/>
          <w:szCs w:val="16"/>
        </w:rPr>
        <w:t>Some</w:t>
      </w:r>
      <w:proofErr w:type="spellEnd"/>
      <w:proofErr w:type="gramEnd"/>
      <w:r>
        <w:rPr>
          <w:sz w:val="16"/>
          <w:szCs w:val="16"/>
        </w:rPr>
        <w:t xml:space="preserve"> of the PD teachers may respond as MWEE teachers in the same year, but because that number is unknown, the highest possible number of respondents is used to calculate burden hours.</w:t>
      </w: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As there will be censuses of the respective populations, there will be no sampling. </w:t>
      </w: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Grantee Questionnaire Response Rate</w:t>
      </w: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Grantee response rates will be maximized (1) by ensuring that the B-WET federal funding opportunity (FFO) and contract will include information about the questionnaires and (2) through an email request initiated by B-WET coordinators to complete the questionnaire at the end of the grant period (with up to two automatically-generated follow-up requests). Because B-WET grantees receive funds from NOAA to conduct their MWEE projects, they are highly invested in the B-WET program. It would be very unlikely that a grantee would not respond to a request from B-WET to complete an end-of-year questionnaire. In addition, grantees will receive a personalized request from their respective NOAA B-WET regional coordinator with whom they are all familiar, as well as a pre-notification and two follow up requests (one and two weeks later), all practices that increase response rates (</w:t>
      </w:r>
      <w:proofErr w:type="spellStart"/>
      <w:r>
        <w:rPr>
          <w:sz w:val="24"/>
          <w:szCs w:val="24"/>
        </w:rPr>
        <w:t>Dillman</w:t>
      </w:r>
      <w:proofErr w:type="spellEnd"/>
      <w:r>
        <w:rPr>
          <w:sz w:val="24"/>
          <w:szCs w:val="24"/>
        </w:rPr>
        <w:t xml:space="preserve"> et al., 2009. A 90% response rate is therefore expected from grantees.</w:t>
      </w: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Teacher Post-PD Questionnaire Response Rate</w:t>
      </w: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Teacher response rates will be maximized by encouraging B-WET grantees to provide information about the two questionnaires up front, asking teachers to complete the professional development questionnaire at the close of the professional development experience, and prompting teachers to complete the MWEE questionnaire before the end of the following school year. Up to two automatically-generated follow-up requests will be made for all data response requests. Follow-up reminders, along with advance notice of an impending survey request, improve response rates (Yu and Cooper, 1983). We know from the “Evaluation of National Oceanic and Atmospheric Administration Chesapeake Bay Watershed Education and Training Program” (</w:t>
      </w:r>
      <w:hyperlink r:id="rId9" w:history="1">
        <w:r>
          <w:rPr>
            <w:rStyle w:val="Hyperlink"/>
            <w:sz w:val="24"/>
            <w:szCs w:val="24"/>
          </w:rPr>
          <w:t>http://chesapeakebay.noaa.gov/images/stories/pdf/BWETevalsummary.pdf</w:t>
        </w:r>
      </w:hyperlink>
      <w:r>
        <w:rPr>
          <w:sz w:val="24"/>
          <w:szCs w:val="24"/>
        </w:rPr>
        <w:t xml:space="preserve">) that when teachers who participated in this program were contacted by email two months after the </w:t>
      </w:r>
      <w:r>
        <w:rPr>
          <w:sz w:val="24"/>
          <w:szCs w:val="24"/>
        </w:rPr>
        <w:lastRenderedPageBreak/>
        <w:t xml:space="preserve">professional development and asked to complete an online questionnaire, a response rate of 70% was attained. </w:t>
      </w: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We anticipate a higher response rate of 80% to the post-professional development questionnaire because teachers will be asked to complete it at the close of the professional development (when response rates typically tend to be almost 100%) and these additional best practices (</w:t>
      </w:r>
      <w:proofErr w:type="spellStart"/>
      <w:r>
        <w:rPr>
          <w:sz w:val="24"/>
          <w:szCs w:val="24"/>
        </w:rPr>
        <w:t>Dillman</w:t>
      </w:r>
      <w:proofErr w:type="spellEnd"/>
      <w:r>
        <w:rPr>
          <w:sz w:val="24"/>
          <w:szCs w:val="24"/>
        </w:rPr>
        <w:t xml:space="preserve"> et al., 2009) will be used:</w:t>
      </w:r>
    </w:p>
    <w:p w:rsidR="009F1E78" w:rsidRDefault="009F1E78" w:rsidP="009F1E7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Grantees typically offer teacher stipends or credits for completing their professional development responsibilities and will be encouraged to ask their teachers to complete the survey as part of these responsibilities. </w:t>
      </w:r>
    </w:p>
    <w:p w:rsidR="009F1E78" w:rsidRDefault="009F1E78" w:rsidP="009F1E7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Time will be allowed for completing the questionnaire before teachers leave the professional development and/or they will be asked to complete the questionnaire immediately thereafter. </w:t>
      </w:r>
    </w:p>
    <w:p w:rsidR="009F1E78" w:rsidRDefault="009F1E78" w:rsidP="009F1E7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Teachers will be asked to complete the questionnaire by grantees with </w:t>
      </w:r>
      <w:proofErr w:type="gramStart"/>
      <w:r>
        <w:rPr>
          <w:rFonts w:ascii="Times New Roman" w:hAnsi="Times New Roman"/>
          <w:sz w:val="24"/>
          <w:szCs w:val="24"/>
        </w:rPr>
        <w:t>whom</w:t>
      </w:r>
      <w:proofErr w:type="gramEnd"/>
      <w:r>
        <w:rPr>
          <w:rFonts w:ascii="Times New Roman" w:hAnsi="Times New Roman"/>
          <w:sz w:val="24"/>
          <w:szCs w:val="24"/>
        </w:rPr>
        <w:t xml:space="preserve"> they have developed a relationship through their professional development experience. </w:t>
      </w:r>
    </w:p>
    <w:p w:rsidR="009F1E78" w:rsidRDefault="009F1E78" w:rsidP="009F1E7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Teachers will receive a pre-notification and up to two additional reminders to complete the questionnaire.</w:t>
      </w: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Teacher Post-MWEE Questionnaire Response Rate</w:t>
      </w: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We also anticipate a sufficient response rate for the post-MWEE questionnaire because the request to complete this instrument will come from the provider of the professional development rather than from unfamiliar researchers and, again, teachers will know in advance that they will be asked to complete this questionnaire as part of their professional development responsibilities. For this survey, we expect that the response rate will be 40%, lower than at the close of the professional development given the time that will have passed since the professional development (possibly 6-9 months). Similar evaluations (i.e., ones including Internet-based questionnaires administered within same time frames after teacher professional development by the providers of these programs) offered by environmental educators have resulted in 35-80% response rates (</w:t>
      </w:r>
      <w:proofErr w:type="spellStart"/>
      <w:r>
        <w:rPr>
          <w:sz w:val="24"/>
          <w:szCs w:val="24"/>
        </w:rPr>
        <w:t>Zint</w:t>
      </w:r>
      <w:proofErr w:type="spellEnd"/>
      <w:r>
        <w:rPr>
          <w:sz w:val="24"/>
          <w:szCs w:val="24"/>
        </w:rPr>
        <w:t>, 2010, 2009, 2008).</w:t>
      </w: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 addition, and as alluded to above, multiple contacts will be incorporated into the evaluation system’s design because they have been shown to be more effective than any other technique for increasing response to questionnaires distributed by email (</w:t>
      </w:r>
      <w:proofErr w:type="spellStart"/>
      <w:r>
        <w:rPr>
          <w:sz w:val="24"/>
          <w:szCs w:val="24"/>
        </w:rPr>
        <w:t>Dillman</w:t>
      </w:r>
      <w:proofErr w:type="spellEnd"/>
      <w:r>
        <w:rPr>
          <w:sz w:val="24"/>
          <w:szCs w:val="24"/>
        </w:rPr>
        <w:t xml:space="preserve"> et al., 2009). These contacts will be personalized and the questionnaire has been designed to be respondent-friendly (e.g., almost all questions are closed-ended, worded in a clear, easy to understand manner, and skip logic has been incorporated). These latter features have also been found to yield increased response rates (</w:t>
      </w:r>
      <w:proofErr w:type="spellStart"/>
      <w:r>
        <w:rPr>
          <w:sz w:val="24"/>
          <w:szCs w:val="24"/>
        </w:rPr>
        <w:t>Dillman</w:t>
      </w:r>
      <w:proofErr w:type="spellEnd"/>
      <w:r>
        <w:rPr>
          <w:sz w:val="24"/>
          <w:szCs w:val="24"/>
        </w:rPr>
        <w:t xml:space="preserve"> et al., 2009; </w:t>
      </w:r>
      <w:proofErr w:type="spellStart"/>
      <w:r>
        <w:rPr>
          <w:sz w:val="24"/>
          <w:szCs w:val="24"/>
        </w:rPr>
        <w:t>Dillman</w:t>
      </w:r>
      <w:proofErr w:type="spellEnd"/>
      <w:r>
        <w:rPr>
          <w:sz w:val="24"/>
          <w:szCs w:val="24"/>
        </w:rPr>
        <w:t xml:space="preserve">, Sinclair, and Clark, 1993). </w:t>
      </w: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Finally, questionnaires that ask for little personal or sensitive information result in higher response rates (</w:t>
      </w:r>
      <w:proofErr w:type="spellStart"/>
      <w:r>
        <w:rPr>
          <w:sz w:val="24"/>
          <w:szCs w:val="24"/>
        </w:rPr>
        <w:t>Dillman</w:t>
      </w:r>
      <w:proofErr w:type="spellEnd"/>
      <w:r>
        <w:rPr>
          <w:sz w:val="24"/>
          <w:szCs w:val="24"/>
        </w:rPr>
        <w:t xml:space="preserve"> et al., 2009). Because this will be the case for the evaluation’s questionnaires, this should also contribute to encouraging respondents to complete the questionnaire.</w:t>
      </w:r>
    </w:p>
    <w:p w:rsidR="009F1E78" w:rsidRDefault="009F1E78" w:rsidP="009F1E78">
      <w:pPr>
        <w:rPr>
          <w:b/>
          <w:sz w:val="24"/>
          <w:szCs w:val="24"/>
        </w:rPr>
      </w:pPr>
    </w:p>
    <w:p w:rsidR="009F1E78" w:rsidRDefault="009F1E78" w:rsidP="009F1E78">
      <w:pPr>
        <w:rPr>
          <w:sz w:val="24"/>
          <w:szCs w:val="24"/>
        </w:rPr>
      </w:pPr>
      <w:r>
        <w:rPr>
          <w:b/>
          <w:sz w:val="24"/>
          <w:szCs w:val="24"/>
        </w:rPr>
        <w:t xml:space="preserve">Nonresponse Surveys </w:t>
      </w:r>
    </w:p>
    <w:p w:rsidR="009F1E78" w:rsidRDefault="009F1E78" w:rsidP="009F1E78">
      <w:pPr>
        <w:rPr>
          <w:sz w:val="24"/>
          <w:szCs w:val="24"/>
        </w:rPr>
      </w:pPr>
      <w:r>
        <w:rPr>
          <w:sz w:val="24"/>
          <w:szCs w:val="24"/>
        </w:rPr>
        <w:t>Should response rates for the teacher PD and MWEE surveys fall below 80%</w:t>
      </w:r>
      <w:proofErr w:type="gramStart"/>
      <w:r>
        <w:rPr>
          <w:sz w:val="24"/>
          <w:szCs w:val="24"/>
        </w:rPr>
        <w:t>,</w:t>
      </w:r>
      <w:proofErr w:type="gramEnd"/>
      <w:r>
        <w:rPr>
          <w:sz w:val="24"/>
          <w:szCs w:val="24"/>
        </w:rPr>
        <w:t xml:space="preserve"> B-WET will engage an external contractor to conduct non-response surveys and analysis of those results. </w:t>
      </w:r>
    </w:p>
    <w:p w:rsidR="009F1E78" w:rsidRDefault="009F1E78" w:rsidP="009F1E78">
      <w:pPr>
        <w:rPr>
          <w:sz w:val="24"/>
          <w:szCs w:val="24"/>
        </w:rPr>
      </w:pPr>
    </w:p>
    <w:p w:rsidR="009F1E78" w:rsidRDefault="009F1E78" w:rsidP="009F1E78">
      <w:pPr>
        <w:rPr>
          <w:sz w:val="24"/>
          <w:szCs w:val="24"/>
        </w:rPr>
      </w:pPr>
      <w:r>
        <w:rPr>
          <w:sz w:val="24"/>
          <w:szCs w:val="24"/>
        </w:rPr>
        <w:lastRenderedPageBreak/>
        <w:t>As part of these surveys, all non-respondents will receive an email invitation with a Web link to an abbreviated version of the questionnaires (automatic reminders will again be sent twice). Results from these questionnaires will be compared with those from earlier respondents to determine if there are significant differences.</w:t>
      </w:r>
    </w:p>
    <w:p w:rsidR="009F1E78" w:rsidRDefault="009F1E78" w:rsidP="009F1E78">
      <w:pPr>
        <w:rPr>
          <w:sz w:val="24"/>
          <w:szCs w:val="24"/>
        </w:rPr>
      </w:pPr>
    </w:p>
    <w:p w:rsidR="009F1E78" w:rsidRDefault="009F1E78" w:rsidP="009F1E78">
      <w:pPr>
        <w:rPr>
          <w:sz w:val="24"/>
          <w:szCs w:val="24"/>
        </w:rPr>
      </w:pPr>
      <w:r>
        <w:rPr>
          <w:sz w:val="24"/>
          <w:szCs w:val="24"/>
        </w:rPr>
        <w:t xml:space="preserve">If the earlier respondent and non-respondent populations are determined not to be significantly different, no further analysis will occur. If it is determined that the non-respondent population is significantly different from the earlier respondent population, analysis with weighted adjustments for nonresponse, using a method such as those described in Part IV of </w:t>
      </w:r>
      <w:r>
        <w:rPr>
          <w:i/>
          <w:sz w:val="24"/>
          <w:szCs w:val="24"/>
        </w:rPr>
        <w:t xml:space="preserve">Survey Nonresponse </w:t>
      </w:r>
      <w:r>
        <w:rPr>
          <w:sz w:val="24"/>
          <w:szCs w:val="24"/>
        </w:rPr>
        <w:t>(Groves et. al. 2002), will be conducted.</w:t>
      </w: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majority of measures and procedures that will be used as part of the proposed B-WET evaluation system have been tested and successfully implemented by previous studies (e.g., “Evaluation of National Oceanic and Atmospheric Administration Chesapeake Bay Watershed Education and Training Program”). Moreover, an exploratory study of the benefits of MWEEs found that the scales that will also be used as part of the proposed B-WET evaluation system (examined using exploratory factor analysis in SPSS and M+) are reliable and valid. Reliabilities, for example, ranged between good and excellent (i.e., </w:t>
      </w:r>
      <w:proofErr w:type="spellStart"/>
      <w:r>
        <w:rPr>
          <w:sz w:val="24"/>
          <w:szCs w:val="24"/>
        </w:rPr>
        <w:t>Cronbach</w:t>
      </w:r>
      <w:proofErr w:type="spellEnd"/>
      <w:r>
        <w:rPr>
          <w:sz w:val="24"/>
          <w:szCs w:val="24"/>
        </w:rPr>
        <w:t xml:space="preserve"> Alpha range: .70 to .90) and the amount of variance explained by the factors were substantial (i.e., range: 40% to 90) (</w:t>
      </w:r>
      <w:proofErr w:type="spellStart"/>
      <w:r>
        <w:rPr>
          <w:sz w:val="24"/>
          <w:szCs w:val="24"/>
        </w:rPr>
        <w:t>Zint</w:t>
      </w:r>
      <w:proofErr w:type="spellEnd"/>
      <w:r>
        <w:rPr>
          <w:sz w:val="24"/>
          <w:szCs w:val="24"/>
        </w:rPr>
        <w:t>, In Process). Lastly, the measures that will be used as part of the evaluation system have been examined for face and content validity by stakeholders consisting of the nine members of NOAA’s internal B-WET Advisory group, three evaluation experts with knowledge of B-WET, three B-WET grantees, and two watershed scientists. The proposed instruments have thus been sufficiently tested and no additional testing is planned.</w:t>
      </w: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F1E78" w:rsidRDefault="009F1E78" w:rsidP="009F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9F1E78" w:rsidRDefault="009F1E78" w:rsidP="009F1E78">
      <w:pPr>
        <w:rPr>
          <w:sz w:val="24"/>
          <w:szCs w:val="24"/>
        </w:rPr>
      </w:pPr>
    </w:p>
    <w:p w:rsidR="009F1E78" w:rsidRDefault="009F1E78" w:rsidP="009F1E78">
      <w:pPr>
        <w:rPr>
          <w:sz w:val="24"/>
          <w:szCs w:val="24"/>
          <w:u w:val="single"/>
        </w:rPr>
      </w:pPr>
      <w:r>
        <w:rPr>
          <w:sz w:val="24"/>
          <w:szCs w:val="24"/>
          <w:u w:val="single"/>
        </w:rPr>
        <w:t>Individuals Consulted on Statistical Design:</w:t>
      </w:r>
    </w:p>
    <w:p w:rsidR="009F1E78" w:rsidRDefault="009F1E78" w:rsidP="009F1E78">
      <w:pPr>
        <w:rPr>
          <w:sz w:val="24"/>
          <w:szCs w:val="24"/>
        </w:rPr>
      </w:pPr>
      <w:r>
        <w:rPr>
          <w:sz w:val="24"/>
          <w:szCs w:val="24"/>
        </w:rPr>
        <w:t xml:space="preserve">Dr. Michaela </w:t>
      </w:r>
      <w:proofErr w:type="spellStart"/>
      <w:r>
        <w:rPr>
          <w:sz w:val="24"/>
          <w:szCs w:val="24"/>
        </w:rPr>
        <w:t>Zint</w:t>
      </w:r>
      <w:proofErr w:type="spellEnd"/>
      <w:r>
        <w:rPr>
          <w:sz w:val="24"/>
          <w:szCs w:val="24"/>
        </w:rPr>
        <w:t>, Associate Professor, School of Natural Resources &amp; Environment, School of Education, and College of Literature, Science &amp; the Arts at the University of Michigan developed the statistical design for the proposed evaluation system. She, in turn, consulted with:</w:t>
      </w:r>
    </w:p>
    <w:p w:rsidR="009F1E78" w:rsidRDefault="009F1E78" w:rsidP="009F1E78">
      <w:pPr>
        <w:numPr>
          <w:ilvl w:val="0"/>
          <w:numId w:val="2"/>
        </w:numPr>
        <w:rPr>
          <w:sz w:val="24"/>
          <w:szCs w:val="24"/>
        </w:rPr>
      </w:pPr>
      <w:r>
        <w:rPr>
          <w:sz w:val="24"/>
          <w:szCs w:val="24"/>
        </w:rPr>
        <w:t xml:space="preserve">Dr. </w:t>
      </w:r>
      <w:proofErr w:type="spellStart"/>
      <w:r>
        <w:rPr>
          <w:sz w:val="24"/>
          <w:szCs w:val="24"/>
        </w:rPr>
        <w:t>Heeringa</w:t>
      </w:r>
      <w:proofErr w:type="spellEnd"/>
      <w:r>
        <w:rPr>
          <w:sz w:val="24"/>
          <w:szCs w:val="24"/>
        </w:rPr>
        <w:t xml:space="preserve"> &amp; Statistical Design Group members, Institute for Social Research, University of Michigan</w:t>
      </w:r>
    </w:p>
    <w:p w:rsidR="009F1E78" w:rsidRDefault="009F1E78" w:rsidP="009F1E78">
      <w:pPr>
        <w:numPr>
          <w:ilvl w:val="0"/>
          <w:numId w:val="2"/>
        </w:numPr>
        <w:rPr>
          <w:sz w:val="24"/>
          <w:szCs w:val="24"/>
        </w:rPr>
      </w:pPr>
      <w:r>
        <w:rPr>
          <w:sz w:val="24"/>
          <w:szCs w:val="24"/>
        </w:rPr>
        <w:t>Dr. Lee &amp; Dr. Rowan, School of Education, University of Michigan</w:t>
      </w:r>
    </w:p>
    <w:p w:rsidR="009F1E78" w:rsidRDefault="009F1E78" w:rsidP="009F1E78">
      <w:pPr>
        <w:numPr>
          <w:ilvl w:val="0"/>
          <w:numId w:val="2"/>
        </w:numPr>
        <w:rPr>
          <w:sz w:val="24"/>
          <w:szCs w:val="24"/>
        </w:rPr>
      </w:pPr>
      <w:r>
        <w:rPr>
          <w:sz w:val="24"/>
          <w:szCs w:val="24"/>
        </w:rPr>
        <w:t>Dr. Rutherford &amp; Dr. West, Center for Statistical Consultation and Research, University of Michigan</w:t>
      </w:r>
    </w:p>
    <w:p w:rsidR="009F1E78" w:rsidRDefault="009F1E78" w:rsidP="009F1E78">
      <w:pPr>
        <w:rPr>
          <w:sz w:val="24"/>
          <w:szCs w:val="24"/>
        </w:rPr>
      </w:pPr>
      <w:r>
        <w:rPr>
          <w:sz w:val="24"/>
          <w:szCs w:val="24"/>
        </w:rPr>
        <w:t xml:space="preserve">If you have any questions about the statistics design of the study, please contact Dr. Michaela </w:t>
      </w:r>
      <w:proofErr w:type="spellStart"/>
      <w:r>
        <w:rPr>
          <w:sz w:val="24"/>
          <w:szCs w:val="24"/>
        </w:rPr>
        <w:t>Zint</w:t>
      </w:r>
      <w:proofErr w:type="spellEnd"/>
      <w:r>
        <w:rPr>
          <w:sz w:val="24"/>
          <w:szCs w:val="24"/>
        </w:rPr>
        <w:t xml:space="preserve">: </w:t>
      </w:r>
      <w:hyperlink r:id="rId10" w:history="1">
        <w:r>
          <w:rPr>
            <w:rStyle w:val="Hyperlink"/>
            <w:sz w:val="24"/>
            <w:szCs w:val="24"/>
          </w:rPr>
          <w:t>zintmich@umich.edu</w:t>
        </w:r>
      </w:hyperlink>
      <w:r>
        <w:rPr>
          <w:sz w:val="24"/>
          <w:szCs w:val="24"/>
        </w:rPr>
        <w:t>, 734.763.6961.</w:t>
      </w:r>
    </w:p>
    <w:p w:rsidR="009F1E78" w:rsidRDefault="009F1E78" w:rsidP="009F1E78">
      <w:pPr>
        <w:rPr>
          <w:sz w:val="24"/>
          <w:szCs w:val="24"/>
        </w:rPr>
      </w:pPr>
    </w:p>
    <w:p w:rsidR="009F1E78" w:rsidRDefault="009F1E78">
      <w:pPr>
        <w:widowControl/>
        <w:autoSpaceDE/>
        <w:autoSpaceDN/>
        <w:adjustRightInd/>
        <w:spacing w:after="200" w:line="276" w:lineRule="auto"/>
        <w:rPr>
          <w:sz w:val="24"/>
          <w:szCs w:val="24"/>
          <w:u w:val="single"/>
        </w:rPr>
      </w:pPr>
      <w:r>
        <w:rPr>
          <w:sz w:val="24"/>
          <w:szCs w:val="24"/>
          <w:u w:val="single"/>
        </w:rPr>
        <w:br w:type="page"/>
      </w:r>
    </w:p>
    <w:p w:rsidR="009F1E78" w:rsidRDefault="009F1E78" w:rsidP="009F1E78">
      <w:pPr>
        <w:rPr>
          <w:sz w:val="24"/>
          <w:szCs w:val="24"/>
          <w:u w:val="single"/>
        </w:rPr>
      </w:pPr>
      <w:r>
        <w:rPr>
          <w:sz w:val="24"/>
          <w:szCs w:val="24"/>
          <w:u w:val="single"/>
        </w:rPr>
        <w:lastRenderedPageBreak/>
        <w:t>Individual Who Will Conduct Data Collection and Analysis:</w:t>
      </w:r>
    </w:p>
    <w:p w:rsidR="009F1E78" w:rsidRDefault="009F1E78" w:rsidP="009F1E78">
      <w:pPr>
        <w:rPr>
          <w:sz w:val="24"/>
          <w:szCs w:val="24"/>
        </w:rPr>
      </w:pPr>
      <w:r>
        <w:rPr>
          <w:sz w:val="24"/>
          <w:szCs w:val="24"/>
        </w:rPr>
        <w:t xml:space="preserve">The evaluation system is designed to collect data through an online portal and the database housing this portal will automatically generate descriptive statistics. Data may also be downloaded from the database for more sophisticated analysis by an external contractor. </w:t>
      </w:r>
    </w:p>
    <w:p w:rsidR="009F1E78" w:rsidRDefault="009F1E78" w:rsidP="009F1E78">
      <w:pPr>
        <w:rPr>
          <w:sz w:val="24"/>
          <w:szCs w:val="24"/>
        </w:rPr>
      </w:pPr>
      <w:r>
        <w:rPr>
          <w:sz w:val="24"/>
          <w:szCs w:val="24"/>
        </w:rPr>
        <w:t xml:space="preserve"> </w:t>
      </w:r>
    </w:p>
    <w:p w:rsidR="009F1E78" w:rsidRDefault="009F1E78" w:rsidP="009F1E78">
      <w:pPr>
        <w:rPr>
          <w:sz w:val="24"/>
          <w:szCs w:val="24"/>
        </w:rPr>
      </w:pPr>
      <w:proofErr w:type="spellStart"/>
      <w:r>
        <w:rPr>
          <w:sz w:val="24"/>
          <w:szCs w:val="24"/>
        </w:rPr>
        <w:t>Bronwen</w:t>
      </w:r>
      <w:proofErr w:type="spellEnd"/>
      <w:r>
        <w:rPr>
          <w:sz w:val="24"/>
          <w:szCs w:val="24"/>
        </w:rPr>
        <w:t xml:space="preserve"> Rice, B-WET National Coordinator, NOAA Office of Education (</w:t>
      </w:r>
      <w:hyperlink r:id="rId11" w:history="1">
        <w:r>
          <w:rPr>
            <w:rStyle w:val="Hyperlink"/>
            <w:sz w:val="24"/>
            <w:szCs w:val="24"/>
          </w:rPr>
          <w:t>Bronwen.Rice@noaa.gov</w:t>
        </w:r>
      </w:hyperlink>
      <w:r>
        <w:rPr>
          <w:sz w:val="24"/>
          <w:szCs w:val="24"/>
        </w:rPr>
        <w:t xml:space="preserve">, </w:t>
      </w:r>
      <w:hyperlink r:id="rId12" w:tgtFrame="_blank" w:history="1">
        <w:r>
          <w:rPr>
            <w:rStyle w:val="Hyperlink"/>
            <w:sz w:val="24"/>
            <w:szCs w:val="24"/>
          </w:rPr>
          <w:t>202.482.6797</w:t>
        </w:r>
      </w:hyperlink>
      <w:r>
        <w:rPr>
          <w:sz w:val="24"/>
          <w:szCs w:val="24"/>
        </w:rPr>
        <w:t>) will be responsible for initiating the automated data collection process and for ensuring the functioning and maintenance of the evaluation system.</w:t>
      </w:r>
    </w:p>
    <w:p w:rsidR="009F1E78" w:rsidRDefault="009F1E78" w:rsidP="009F1E78">
      <w:pPr>
        <w:rPr>
          <w:b/>
          <w:sz w:val="24"/>
          <w:szCs w:val="24"/>
        </w:rPr>
      </w:pPr>
    </w:p>
    <w:p w:rsidR="009F1E78" w:rsidRDefault="009F1E78" w:rsidP="009F1E78">
      <w:pPr>
        <w:rPr>
          <w:b/>
          <w:sz w:val="24"/>
          <w:szCs w:val="24"/>
        </w:rPr>
      </w:pPr>
      <w:r>
        <w:rPr>
          <w:b/>
          <w:sz w:val="24"/>
          <w:szCs w:val="24"/>
        </w:rPr>
        <w:t>LITERATURE CITED</w:t>
      </w:r>
    </w:p>
    <w:p w:rsidR="009F1E78" w:rsidRDefault="009F1E78" w:rsidP="009F1E78">
      <w:pPr>
        <w:ind w:left="720" w:hanging="720"/>
        <w:rPr>
          <w:sz w:val="24"/>
          <w:szCs w:val="24"/>
        </w:rPr>
      </w:pPr>
      <w:proofErr w:type="spellStart"/>
      <w:r>
        <w:rPr>
          <w:sz w:val="24"/>
          <w:szCs w:val="24"/>
        </w:rPr>
        <w:t>Bollen</w:t>
      </w:r>
      <w:proofErr w:type="spellEnd"/>
      <w:r>
        <w:rPr>
          <w:sz w:val="24"/>
          <w:szCs w:val="24"/>
        </w:rPr>
        <w:t xml:space="preserve">, K.A. 1989. </w:t>
      </w:r>
      <w:proofErr w:type="gramStart"/>
      <w:r>
        <w:rPr>
          <w:sz w:val="24"/>
          <w:szCs w:val="24"/>
        </w:rPr>
        <w:t>Structural equations with latent variables.</w:t>
      </w:r>
      <w:proofErr w:type="gramEnd"/>
      <w:r>
        <w:rPr>
          <w:sz w:val="24"/>
          <w:szCs w:val="24"/>
        </w:rPr>
        <w:t xml:space="preserve">  New York: Wiley.</w:t>
      </w:r>
    </w:p>
    <w:p w:rsidR="009F1E78" w:rsidRDefault="009F1E78" w:rsidP="009F1E78">
      <w:pPr>
        <w:widowControl/>
        <w:shd w:val="clear" w:color="auto" w:fill="FFFFFF"/>
        <w:autoSpaceDE/>
        <w:adjustRightInd/>
        <w:ind w:left="720" w:hanging="720"/>
        <w:rPr>
          <w:color w:val="222222"/>
          <w:sz w:val="24"/>
          <w:szCs w:val="24"/>
        </w:rPr>
      </w:pPr>
      <w:r>
        <w:rPr>
          <w:color w:val="222222"/>
          <w:sz w:val="24"/>
          <w:szCs w:val="24"/>
        </w:rPr>
        <w:t xml:space="preserve">Burton, L.J. and </w:t>
      </w:r>
      <w:proofErr w:type="spellStart"/>
      <w:r>
        <w:rPr>
          <w:color w:val="222222"/>
          <w:sz w:val="24"/>
          <w:szCs w:val="24"/>
        </w:rPr>
        <w:t>Mazerolle</w:t>
      </w:r>
      <w:proofErr w:type="spellEnd"/>
      <w:r>
        <w:rPr>
          <w:color w:val="222222"/>
          <w:sz w:val="24"/>
          <w:szCs w:val="24"/>
        </w:rPr>
        <w:t xml:space="preserve">, S.M. 2011. Survey Instrument Validity Part I: Principles of Survey Instrument Development and Validation in Athletic Training Education Research. </w:t>
      </w:r>
      <w:proofErr w:type="gramStart"/>
      <w:r>
        <w:rPr>
          <w:color w:val="222222"/>
          <w:sz w:val="24"/>
          <w:szCs w:val="24"/>
        </w:rPr>
        <w:t>Athletic Training Education Journal.</w:t>
      </w:r>
      <w:proofErr w:type="gramEnd"/>
      <w:r>
        <w:rPr>
          <w:color w:val="222222"/>
          <w:sz w:val="24"/>
          <w:szCs w:val="24"/>
        </w:rPr>
        <w:t xml:space="preserve"> Vol. 6, No. 1, 27-35.</w:t>
      </w:r>
    </w:p>
    <w:p w:rsidR="009F1E78" w:rsidRDefault="009F1E78" w:rsidP="009F1E78">
      <w:pPr>
        <w:ind w:left="720" w:hanging="720"/>
        <w:rPr>
          <w:sz w:val="24"/>
          <w:szCs w:val="24"/>
        </w:rPr>
      </w:pPr>
      <w:proofErr w:type="gramStart"/>
      <w:r>
        <w:rPr>
          <w:sz w:val="24"/>
          <w:szCs w:val="24"/>
        </w:rPr>
        <w:t>Carmines, E. G. and Zeller, R. A. 1979.</w:t>
      </w:r>
      <w:proofErr w:type="gramEnd"/>
      <w:r>
        <w:rPr>
          <w:sz w:val="24"/>
          <w:szCs w:val="24"/>
        </w:rPr>
        <w:t xml:space="preserve"> </w:t>
      </w:r>
      <w:proofErr w:type="gramStart"/>
      <w:r>
        <w:rPr>
          <w:sz w:val="24"/>
          <w:szCs w:val="24"/>
        </w:rPr>
        <w:t>Reliability and Validity Assessment.</w:t>
      </w:r>
      <w:proofErr w:type="gramEnd"/>
      <w:r>
        <w:rPr>
          <w:sz w:val="24"/>
          <w:szCs w:val="24"/>
        </w:rPr>
        <w:t xml:space="preserve"> Sage: Beverly Hills, CA.</w:t>
      </w:r>
    </w:p>
    <w:p w:rsidR="009F1E78" w:rsidRDefault="009F1E78" w:rsidP="009F1E78">
      <w:pPr>
        <w:widowControl/>
        <w:shd w:val="clear" w:color="auto" w:fill="FFFFFF"/>
        <w:autoSpaceDE/>
        <w:adjustRightInd/>
        <w:ind w:left="720" w:hanging="720"/>
        <w:rPr>
          <w:sz w:val="24"/>
          <w:szCs w:val="24"/>
        </w:rPr>
      </w:pPr>
      <w:proofErr w:type="spellStart"/>
      <w:r>
        <w:rPr>
          <w:sz w:val="24"/>
          <w:szCs w:val="24"/>
        </w:rPr>
        <w:t>Dillman</w:t>
      </w:r>
      <w:proofErr w:type="spellEnd"/>
      <w:r>
        <w:rPr>
          <w:sz w:val="24"/>
          <w:szCs w:val="24"/>
        </w:rPr>
        <w:t xml:space="preserve">, D.A., Sinclair, M.D., and Clark, J.R. 1993. </w:t>
      </w:r>
      <w:proofErr w:type="gramStart"/>
      <w:r>
        <w:rPr>
          <w:sz w:val="24"/>
          <w:szCs w:val="24"/>
        </w:rPr>
        <w:t>Effects of questionnaire length,   respondent-friendly design, and a difficult question on response rates for occupant-addressed census mail surveys.</w:t>
      </w:r>
      <w:proofErr w:type="gramEnd"/>
      <w:r>
        <w:rPr>
          <w:sz w:val="24"/>
          <w:szCs w:val="24"/>
        </w:rPr>
        <w:t xml:space="preserve"> </w:t>
      </w:r>
      <w:proofErr w:type="gramStart"/>
      <w:r>
        <w:rPr>
          <w:sz w:val="24"/>
          <w:szCs w:val="24"/>
        </w:rPr>
        <w:t>Public Opinion Quarterly.</w:t>
      </w:r>
      <w:proofErr w:type="gramEnd"/>
      <w:r>
        <w:rPr>
          <w:sz w:val="24"/>
          <w:szCs w:val="24"/>
        </w:rPr>
        <w:t xml:space="preserve"> Vol. 57, 289-304.</w:t>
      </w:r>
    </w:p>
    <w:p w:rsidR="009F1E78" w:rsidRDefault="009F1E78" w:rsidP="009F1E78">
      <w:pPr>
        <w:ind w:left="720" w:hanging="720"/>
        <w:rPr>
          <w:sz w:val="24"/>
          <w:szCs w:val="24"/>
        </w:rPr>
      </w:pPr>
      <w:proofErr w:type="spellStart"/>
      <w:r>
        <w:rPr>
          <w:sz w:val="24"/>
          <w:szCs w:val="24"/>
        </w:rPr>
        <w:t>Dillman</w:t>
      </w:r>
      <w:proofErr w:type="spellEnd"/>
      <w:r>
        <w:rPr>
          <w:sz w:val="24"/>
          <w:szCs w:val="24"/>
        </w:rPr>
        <w:t xml:space="preserve">, D. A., Smyth, J.D. and Christian, </w:t>
      </w:r>
      <w:proofErr w:type="gramStart"/>
      <w:r>
        <w:rPr>
          <w:sz w:val="24"/>
          <w:szCs w:val="24"/>
        </w:rPr>
        <w:t>L.M..</w:t>
      </w:r>
      <w:proofErr w:type="gramEnd"/>
      <w:r>
        <w:rPr>
          <w:sz w:val="24"/>
          <w:szCs w:val="24"/>
        </w:rPr>
        <w:t xml:space="preserve"> 2009. Internet, Mail and Mixed-Mode Surveys: The Tailored Design Method, 3rd edition. John Wiley: Hoboken, NJ. </w:t>
      </w:r>
    </w:p>
    <w:p w:rsidR="009F1E78" w:rsidRDefault="009F1E78" w:rsidP="009F1E78">
      <w:pPr>
        <w:ind w:left="720" w:hanging="720"/>
        <w:rPr>
          <w:sz w:val="24"/>
          <w:szCs w:val="24"/>
        </w:rPr>
      </w:pPr>
      <w:proofErr w:type="gramStart"/>
      <w:r>
        <w:rPr>
          <w:sz w:val="24"/>
          <w:szCs w:val="24"/>
        </w:rPr>
        <w:t xml:space="preserve">Groves, R. M., </w:t>
      </w:r>
      <w:proofErr w:type="spellStart"/>
      <w:r>
        <w:rPr>
          <w:sz w:val="24"/>
          <w:szCs w:val="24"/>
        </w:rPr>
        <w:t>Dillman</w:t>
      </w:r>
      <w:proofErr w:type="spellEnd"/>
      <w:r>
        <w:rPr>
          <w:sz w:val="24"/>
          <w:szCs w:val="24"/>
        </w:rPr>
        <w:t xml:space="preserve">, D. A., </w:t>
      </w:r>
      <w:proofErr w:type="spellStart"/>
      <w:r>
        <w:rPr>
          <w:sz w:val="24"/>
          <w:szCs w:val="24"/>
        </w:rPr>
        <w:t>Eltinge</w:t>
      </w:r>
      <w:proofErr w:type="spellEnd"/>
      <w:r>
        <w:rPr>
          <w:sz w:val="24"/>
          <w:szCs w:val="24"/>
        </w:rPr>
        <w:t>, J. L., and Little, R. J. A. 2002.</w:t>
      </w:r>
      <w:proofErr w:type="gramEnd"/>
      <w:r>
        <w:rPr>
          <w:sz w:val="24"/>
          <w:szCs w:val="24"/>
        </w:rPr>
        <w:t xml:space="preserve"> </w:t>
      </w:r>
      <w:proofErr w:type="gramStart"/>
      <w:r>
        <w:rPr>
          <w:sz w:val="24"/>
          <w:szCs w:val="24"/>
        </w:rPr>
        <w:t>Survey Nonresponse.</w:t>
      </w:r>
      <w:proofErr w:type="gramEnd"/>
      <w:r>
        <w:rPr>
          <w:sz w:val="24"/>
          <w:szCs w:val="24"/>
        </w:rPr>
        <w:t xml:space="preserve"> John Wiley &amp; Sons, Inc.: New York.</w:t>
      </w:r>
    </w:p>
    <w:p w:rsidR="009F1E78" w:rsidRDefault="009F1E78" w:rsidP="009F1E78">
      <w:pPr>
        <w:widowControl/>
        <w:shd w:val="clear" w:color="auto" w:fill="FFFFFF"/>
        <w:autoSpaceDE/>
        <w:adjustRightInd/>
        <w:ind w:left="720" w:hanging="720"/>
        <w:rPr>
          <w:color w:val="222222"/>
          <w:sz w:val="24"/>
          <w:szCs w:val="24"/>
        </w:rPr>
      </w:pPr>
      <w:proofErr w:type="spellStart"/>
      <w:r>
        <w:rPr>
          <w:color w:val="222222"/>
          <w:sz w:val="24"/>
          <w:szCs w:val="24"/>
        </w:rPr>
        <w:t>Litwin</w:t>
      </w:r>
      <w:proofErr w:type="spellEnd"/>
      <w:r>
        <w:rPr>
          <w:color w:val="222222"/>
          <w:sz w:val="24"/>
          <w:szCs w:val="24"/>
        </w:rPr>
        <w:t xml:space="preserve">, Mark S. 1995. </w:t>
      </w:r>
      <w:proofErr w:type="gramStart"/>
      <w:r>
        <w:rPr>
          <w:color w:val="222222"/>
          <w:sz w:val="24"/>
          <w:szCs w:val="24"/>
        </w:rPr>
        <w:t>How to Measure Survey Reliability and Validity.</w:t>
      </w:r>
      <w:proofErr w:type="gramEnd"/>
      <w:r>
        <w:rPr>
          <w:color w:val="222222"/>
          <w:sz w:val="24"/>
          <w:szCs w:val="24"/>
        </w:rPr>
        <w:t xml:space="preserve"> Sage: Thousand Oaks, CA.</w:t>
      </w:r>
    </w:p>
    <w:p w:rsidR="009F1E78" w:rsidRDefault="009F1E78" w:rsidP="009F1E78">
      <w:pPr>
        <w:ind w:left="720" w:hanging="720"/>
        <w:rPr>
          <w:sz w:val="24"/>
          <w:szCs w:val="24"/>
        </w:rPr>
      </w:pPr>
      <w:proofErr w:type="spellStart"/>
      <w:proofErr w:type="gramStart"/>
      <w:r>
        <w:rPr>
          <w:sz w:val="24"/>
          <w:szCs w:val="24"/>
        </w:rPr>
        <w:t>MacCallum</w:t>
      </w:r>
      <w:proofErr w:type="spellEnd"/>
      <w:r>
        <w:rPr>
          <w:sz w:val="24"/>
          <w:szCs w:val="24"/>
        </w:rPr>
        <w:t>, R. C., Browne, M. W, and Sugawara, H. M. 1996.</w:t>
      </w:r>
      <w:proofErr w:type="gramEnd"/>
      <w:r>
        <w:rPr>
          <w:sz w:val="24"/>
          <w:szCs w:val="24"/>
        </w:rPr>
        <w:t xml:space="preserve">  Power analysis and determination of sample size for covariance structure modeling.  Psychological Methods 1(2):130-149.  </w:t>
      </w:r>
    </w:p>
    <w:p w:rsidR="009F1E78" w:rsidRDefault="009F1E78" w:rsidP="009F1E78">
      <w:pPr>
        <w:ind w:left="720" w:hanging="720"/>
        <w:rPr>
          <w:sz w:val="24"/>
          <w:szCs w:val="24"/>
        </w:rPr>
      </w:pPr>
      <w:proofErr w:type="spellStart"/>
      <w:r>
        <w:rPr>
          <w:sz w:val="24"/>
          <w:szCs w:val="24"/>
        </w:rPr>
        <w:t>Nunally</w:t>
      </w:r>
      <w:proofErr w:type="spellEnd"/>
      <w:r>
        <w:rPr>
          <w:sz w:val="24"/>
          <w:szCs w:val="24"/>
        </w:rPr>
        <w:t xml:space="preserve">, J. C. and </w:t>
      </w:r>
      <w:proofErr w:type="spellStart"/>
      <w:r>
        <w:rPr>
          <w:sz w:val="24"/>
          <w:szCs w:val="24"/>
        </w:rPr>
        <w:t>Bernstain</w:t>
      </w:r>
      <w:proofErr w:type="spellEnd"/>
      <w:r>
        <w:rPr>
          <w:sz w:val="24"/>
          <w:szCs w:val="24"/>
        </w:rPr>
        <w:t xml:space="preserve">, I.H. 1994. </w:t>
      </w:r>
      <w:proofErr w:type="gramStart"/>
      <w:r>
        <w:rPr>
          <w:sz w:val="24"/>
          <w:szCs w:val="24"/>
        </w:rPr>
        <w:t>Psychometric Theory.</w:t>
      </w:r>
      <w:proofErr w:type="gramEnd"/>
      <w:r>
        <w:rPr>
          <w:sz w:val="24"/>
          <w:szCs w:val="24"/>
        </w:rPr>
        <w:t xml:space="preserve"> McGraw-Hill: New York.</w:t>
      </w:r>
    </w:p>
    <w:p w:rsidR="009F1E78" w:rsidRDefault="009F1E78" w:rsidP="009F1E78">
      <w:pPr>
        <w:ind w:left="720" w:hanging="720"/>
        <w:rPr>
          <w:color w:val="292526"/>
          <w:sz w:val="24"/>
          <w:szCs w:val="24"/>
        </w:rPr>
      </w:pPr>
      <w:proofErr w:type="gramStart"/>
      <w:r>
        <w:rPr>
          <w:color w:val="292526"/>
          <w:sz w:val="24"/>
          <w:szCs w:val="24"/>
        </w:rPr>
        <w:t>Patton, M.Q. 2008.</w:t>
      </w:r>
      <w:proofErr w:type="gramEnd"/>
      <w:r>
        <w:rPr>
          <w:color w:val="292526"/>
          <w:sz w:val="24"/>
          <w:szCs w:val="24"/>
        </w:rPr>
        <w:t xml:space="preserve"> </w:t>
      </w:r>
      <w:proofErr w:type="gramStart"/>
      <w:r>
        <w:rPr>
          <w:iCs/>
          <w:color w:val="292526"/>
          <w:sz w:val="24"/>
          <w:szCs w:val="24"/>
        </w:rPr>
        <w:t>Utilization-focused evaluation.</w:t>
      </w:r>
      <w:proofErr w:type="gramEnd"/>
      <w:r>
        <w:rPr>
          <w:iCs/>
          <w:color w:val="292526"/>
          <w:sz w:val="24"/>
          <w:szCs w:val="24"/>
        </w:rPr>
        <w:t xml:space="preserve"> </w:t>
      </w:r>
      <w:r>
        <w:rPr>
          <w:color w:val="292526"/>
          <w:sz w:val="24"/>
          <w:szCs w:val="24"/>
        </w:rPr>
        <w:t>4th ed. Sage: Los Angeles.</w:t>
      </w:r>
    </w:p>
    <w:p w:rsidR="009F1E78" w:rsidRDefault="009F1E78" w:rsidP="009F1E78">
      <w:pPr>
        <w:ind w:left="720" w:hanging="720"/>
        <w:rPr>
          <w:sz w:val="24"/>
          <w:szCs w:val="24"/>
        </w:rPr>
      </w:pPr>
      <w:r>
        <w:rPr>
          <w:sz w:val="24"/>
          <w:szCs w:val="24"/>
        </w:rPr>
        <w:t xml:space="preserve">U. S. Department of Labor, Bureau of Labor Statistics. May 2011. National Compensation Survey: Occupational Earnings in the United States, 2010. Table 5: Full-time State and local government workers: Mean and median hourly, weekly, and annual earnings and mean weekly and annual hours: </w:t>
      </w:r>
      <w:hyperlink r:id="rId13" w:history="1">
        <w:r>
          <w:rPr>
            <w:rStyle w:val="Hyperlink"/>
            <w:sz w:val="24"/>
            <w:szCs w:val="24"/>
          </w:rPr>
          <w:t>http://www.bls.gov/ncs/ocs/sp/nctb1479.pdf</w:t>
        </w:r>
      </w:hyperlink>
      <w:r>
        <w:rPr>
          <w:rStyle w:val="Hyperlink"/>
          <w:sz w:val="24"/>
          <w:szCs w:val="24"/>
        </w:rPr>
        <w:t>.</w:t>
      </w:r>
    </w:p>
    <w:p w:rsidR="009F1E78" w:rsidRDefault="009F1E78" w:rsidP="009F1E78">
      <w:pPr>
        <w:widowControl/>
        <w:autoSpaceDE/>
        <w:adjustRightInd/>
        <w:ind w:left="720" w:hanging="720"/>
        <w:rPr>
          <w:sz w:val="24"/>
          <w:szCs w:val="24"/>
        </w:rPr>
      </w:pPr>
      <w:r>
        <w:rPr>
          <w:sz w:val="24"/>
          <w:szCs w:val="24"/>
        </w:rPr>
        <w:t xml:space="preserve">Yu, J. and Cooper, H. 1983. </w:t>
      </w:r>
      <w:proofErr w:type="gramStart"/>
      <w:r>
        <w:rPr>
          <w:sz w:val="24"/>
          <w:szCs w:val="24"/>
        </w:rPr>
        <w:t>A Quantitative Review of Research Design Effects on Response Rates to Questionnaires.</w:t>
      </w:r>
      <w:proofErr w:type="gramEnd"/>
      <w:r>
        <w:rPr>
          <w:sz w:val="24"/>
          <w:szCs w:val="24"/>
        </w:rPr>
        <w:t xml:space="preserve"> </w:t>
      </w:r>
      <w:proofErr w:type="gramStart"/>
      <w:r>
        <w:rPr>
          <w:sz w:val="24"/>
          <w:szCs w:val="24"/>
        </w:rPr>
        <w:t>Journal of Marketing Research.</w:t>
      </w:r>
      <w:proofErr w:type="gramEnd"/>
      <w:r>
        <w:rPr>
          <w:sz w:val="24"/>
          <w:szCs w:val="24"/>
        </w:rPr>
        <w:t xml:space="preserve"> Vol. XX, 36-44.</w:t>
      </w:r>
    </w:p>
    <w:p w:rsidR="009F1E78" w:rsidRDefault="009F1E78" w:rsidP="009F1E78">
      <w:pPr>
        <w:widowControl/>
        <w:autoSpaceDE/>
        <w:adjustRightInd/>
        <w:ind w:left="720" w:hanging="720"/>
        <w:rPr>
          <w:rStyle w:val="Hyperlink"/>
        </w:rPr>
      </w:pPr>
      <w:proofErr w:type="spellStart"/>
      <w:r>
        <w:rPr>
          <w:rStyle w:val="Hyperlink"/>
          <w:sz w:val="24"/>
          <w:szCs w:val="24"/>
        </w:rPr>
        <w:t>Zint</w:t>
      </w:r>
      <w:proofErr w:type="spellEnd"/>
      <w:r>
        <w:rPr>
          <w:rStyle w:val="Hyperlink"/>
          <w:sz w:val="24"/>
          <w:szCs w:val="24"/>
        </w:rPr>
        <w:t xml:space="preserve">, M.  </w:t>
      </w:r>
      <w:proofErr w:type="gramStart"/>
      <w:r>
        <w:rPr>
          <w:rStyle w:val="Hyperlink"/>
          <w:sz w:val="24"/>
          <w:szCs w:val="24"/>
        </w:rPr>
        <w:t>2008, 2009 &amp; 2010.</w:t>
      </w:r>
      <w:proofErr w:type="gramEnd"/>
      <w:r>
        <w:rPr>
          <w:rStyle w:val="Hyperlink"/>
          <w:sz w:val="24"/>
          <w:szCs w:val="24"/>
        </w:rPr>
        <w:t xml:space="preserve">  </w:t>
      </w:r>
      <w:proofErr w:type="gramStart"/>
      <w:r>
        <w:rPr>
          <w:rStyle w:val="Hyperlink"/>
          <w:sz w:val="24"/>
          <w:szCs w:val="24"/>
        </w:rPr>
        <w:t>Summary of annual Environmental Education and Training Partnership achievements.</w:t>
      </w:r>
      <w:proofErr w:type="gramEnd"/>
      <w:r>
        <w:rPr>
          <w:rStyle w:val="Hyperlink"/>
          <w:sz w:val="24"/>
          <w:szCs w:val="24"/>
        </w:rPr>
        <w:t xml:space="preserve">  </w:t>
      </w:r>
      <w:proofErr w:type="gramStart"/>
      <w:r>
        <w:rPr>
          <w:rStyle w:val="Hyperlink"/>
          <w:sz w:val="24"/>
          <w:szCs w:val="24"/>
        </w:rPr>
        <w:t>Annual reports to the U.S. Environmental Protection Agency’s Office of Environmental Education, Washington, DC.</w:t>
      </w:r>
      <w:proofErr w:type="gramEnd"/>
    </w:p>
    <w:p w:rsidR="009F1E78" w:rsidRDefault="009F1E78" w:rsidP="009F1E78">
      <w:pPr>
        <w:widowControl/>
        <w:autoSpaceDE/>
        <w:adjustRightInd/>
        <w:ind w:left="720" w:hanging="720"/>
      </w:pPr>
      <w:proofErr w:type="spellStart"/>
      <w:r>
        <w:rPr>
          <w:rStyle w:val="Hyperlink"/>
          <w:sz w:val="24"/>
          <w:szCs w:val="24"/>
        </w:rPr>
        <w:t>Zint</w:t>
      </w:r>
      <w:proofErr w:type="spellEnd"/>
      <w:r>
        <w:rPr>
          <w:rStyle w:val="Hyperlink"/>
          <w:sz w:val="24"/>
          <w:szCs w:val="24"/>
        </w:rPr>
        <w:t xml:space="preserve">, M. T. (In Process). </w:t>
      </w:r>
      <w:proofErr w:type="gramStart"/>
      <w:r>
        <w:rPr>
          <w:rStyle w:val="Hyperlink"/>
          <w:sz w:val="24"/>
          <w:szCs w:val="24"/>
        </w:rPr>
        <w:t>An exploratory assessment of the benefits of MWEEs.</w:t>
      </w:r>
      <w:proofErr w:type="gramEnd"/>
      <w:r>
        <w:rPr>
          <w:rStyle w:val="Hyperlink"/>
          <w:sz w:val="24"/>
          <w:szCs w:val="24"/>
        </w:rPr>
        <w:t xml:space="preserve"> To be submitted to Applied Environmental Education &amp; Communication. </w:t>
      </w:r>
    </w:p>
    <w:p w:rsidR="003E60F1" w:rsidRDefault="003E60F1">
      <w:bookmarkStart w:id="1" w:name="_GoBack"/>
      <w:bookmarkEnd w:id="1"/>
    </w:p>
    <w:sectPr w:rsidR="003E60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9F8" w:rsidRDefault="006769F8" w:rsidP="009F1E78">
      <w:r>
        <w:separator/>
      </w:r>
    </w:p>
  </w:endnote>
  <w:endnote w:type="continuationSeparator" w:id="0">
    <w:p w:rsidR="006769F8" w:rsidRDefault="006769F8" w:rsidP="009F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9F8" w:rsidRDefault="006769F8" w:rsidP="009F1E78">
      <w:r>
        <w:separator/>
      </w:r>
    </w:p>
  </w:footnote>
  <w:footnote w:type="continuationSeparator" w:id="0">
    <w:p w:rsidR="006769F8" w:rsidRDefault="006769F8" w:rsidP="009F1E78">
      <w:r>
        <w:continuationSeparator/>
      </w:r>
    </w:p>
  </w:footnote>
  <w:footnote w:id="1">
    <w:p w:rsidR="009F1E78" w:rsidRDefault="009F1E78" w:rsidP="009F1E78">
      <w:pPr>
        <w:pStyle w:val="FootnoteText"/>
      </w:pPr>
      <w:r>
        <w:rPr>
          <w:rStyle w:val="FootnoteReference"/>
        </w:rPr>
        <w:footnoteRef/>
      </w:r>
      <w:r>
        <w:t xml:space="preserve"> This sample size is based on a 32% compound response rate, based on an 80% response rate to the first survey and a 40% response rate to the second survey.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22543"/>
    <w:multiLevelType w:val="hybridMultilevel"/>
    <w:tmpl w:val="366E7920"/>
    <w:lvl w:ilvl="0" w:tplc="04090011">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nsid w:val="42F337DF"/>
    <w:multiLevelType w:val="hybridMultilevel"/>
    <w:tmpl w:val="31E6BE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78"/>
    <w:rsid w:val="003E60F1"/>
    <w:rsid w:val="006769F8"/>
    <w:rsid w:val="009F1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E7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1E78"/>
    <w:rPr>
      <w:color w:val="0000FF"/>
      <w:u w:val="single"/>
    </w:rPr>
  </w:style>
  <w:style w:type="paragraph" w:styleId="FootnoteText">
    <w:name w:val="footnote text"/>
    <w:basedOn w:val="Normal"/>
    <w:link w:val="FootnoteTextChar"/>
    <w:uiPriority w:val="99"/>
    <w:semiHidden/>
    <w:unhideWhenUsed/>
    <w:rsid w:val="009F1E78"/>
    <w:pPr>
      <w:widowControl/>
      <w:autoSpaceDE/>
      <w:autoSpaceDN/>
      <w:adjustRightInd/>
    </w:pPr>
    <w:rPr>
      <w:rFonts w:ascii="Calibri" w:hAnsi="Calibri"/>
    </w:rPr>
  </w:style>
  <w:style w:type="character" w:customStyle="1" w:styleId="FootnoteTextChar">
    <w:name w:val="Footnote Text Char"/>
    <w:basedOn w:val="DefaultParagraphFont"/>
    <w:link w:val="FootnoteText"/>
    <w:uiPriority w:val="99"/>
    <w:semiHidden/>
    <w:rsid w:val="009F1E78"/>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9F1E78"/>
    <w:rPr>
      <w:b/>
      <w:bCs/>
    </w:rPr>
  </w:style>
  <w:style w:type="paragraph" w:styleId="ListParagraph">
    <w:name w:val="List Paragraph"/>
    <w:basedOn w:val="Normal"/>
    <w:uiPriority w:val="34"/>
    <w:qFormat/>
    <w:rsid w:val="009F1E78"/>
    <w:pPr>
      <w:widowControl/>
      <w:autoSpaceDE/>
      <w:autoSpaceDN/>
      <w:adjustRightInd/>
      <w:spacing w:after="200" w:line="276" w:lineRule="auto"/>
      <w:ind w:left="720"/>
      <w:contextualSpacing/>
    </w:pPr>
    <w:rPr>
      <w:rFonts w:ascii="Calibri" w:hAnsi="Calibri"/>
      <w:sz w:val="22"/>
      <w:szCs w:val="22"/>
    </w:rPr>
  </w:style>
  <w:style w:type="character" w:styleId="FootnoteReference">
    <w:name w:val="footnote reference"/>
    <w:basedOn w:val="DefaultParagraphFont"/>
    <w:uiPriority w:val="99"/>
    <w:semiHidden/>
    <w:unhideWhenUsed/>
    <w:rsid w:val="009F1E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E7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1E78"/>
    <w:rPr>
      <w:color w:val="0000FF"/>
      <w:u w:val="single"/>
    </w:rPr>
  </w:style>
  <w:style w:type="paragraph" w:styleId="FootnoteText">
    <w:name w:val="footnote text"/>
    <w:basedOn w:val="Normal"/>
    <w:link w:val="FootnoteTextChar"/>
    <w:uiPriority w:val="99"/>
    <w:semiHidden/>
    <w:unhideWhenUsed/>
    <w:rsid w:val="009F1E78"/>
    <w:pPr>
      <w:widowControl/>
      <w:autoSpaceDE/>
      <w:autoSpaceDN/>
      <w:adjustRightInd/>
    </w:pPr>
    <w:rPr>
      <w:rFonts w:ascii="Calibri" w:hAnsi="Calibri"/>
    </w:rPr>
  </w:style>
  <w:style w:type="character" w:customStyle="1" w:styleId="FootnoteTextChar">
    <w:name w:val="Footnote Text Char"/>
    <w:basedOn w:val="DefaultParagraphFont"/>
    <w:link w:val="FootnoteText"/>
    <w:uiPriority w:val="99"/>
    <w:semiHidden/>
    <w:rsid w:val="009F1E78"/>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9F1E78"/>
    <w:rPr>
      <w:b/>
      <w:bCs/>
    </w:rPr>
  </w:style>
  <w:style w:type="paragraph" w:styleId="ListParagraph">
    <w:name w:val="List Paragraph"/>
    <w:basedOn w:val="Normal"/>
    <w:uiPriority w:val="34"/>
    <w:qFormat/>
    <w:rsid w:val="009F1E78"/>
    <w:pPr>
      <w:widowControl/>
      <w:autoSpaceDE/>
      <w:autoSpaceDN/>
      <w:adjustRightInd/>
      <w:spacing w:after="200" w:line="276" w:lineRule="auto"/>
      <w:ind w:left="720"/>
      <w:contextualSpacing/>
    </w:pPr>
    <w:rPr>
      <w:rFonts w:ascii="Calibri" w:hAnsi="Calibri"/>
      <w:sz w:val="22"/>
      <w:szCs w:val="22"/>
    </w:rPr>
  </w:style>
  <w:style w:type="character" w:styleId="FootnoteReference">
    <w:name w:val="footnote reference"/>
    <w:basedOn w:val="DefaultParagraphFont"/>
    <w:uiPriority w:val="99"/>
    <w:semiHidden/>
    <w:unhideWhenUsed/>
    <w:rsid w:val="009F1E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85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sapeakebay.noaa.gov/images/stories/pdf/BWETevalsummary.pdf" TargetMode="External"/><Relationship Id="rId13" Type="http://schemas.openxmlformats.org/officeDocument/2006/relationships/hyperlink" Target="http://www.bls.gov/ncs/ocs/sp/nctb1479.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tel:%28202%29%20482-67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ronwen.Rice@noa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intmich@umich.edu" TargetMode="External"/><Relationship Id="rId4" Type="http://schemas.openxmlformats.org/officeDocument/2006/relationships/settings" Target="settings.xml"/><Relationship Id="rId9" Type="http://schemas.openxmlformats.org/officeDocument/2006/relationships/hyperlink" Target="http://chesapeakebay.noaa.gov/images/stories/pdf/BWETevalsummar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2284</Words>
  <Characters>13022</Characters>
  <Application>Microsoft Office Word</Application>
  <DocSecurity>0</DocSecurity>
  <Lines>108</Lines>
  <Paragraphs>30</Paragraphs>
  <ScaleCrop>false</ScaleCrop>
  <Company>NOAA</Company>
  <LinksUpToDate>false</LinksUpToDate>
  <CharactersWithSpaces>15276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2013-02-03T16:58:00Z</dcterms:created>
  <dcterms:modified xsi:type="dcterms:W3CDTF">2013-02-03T16:59:00Z</dcterms:modified>
</cp:coreProperties>
</file>