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69C" w:rsidRPr="00136927" w:rsidRDefault="00136927">
      <w:pPr>
        <w:pStyle w:val="Title"/>
        <w:rPr>
          <w:rFonts w:ascii="Times New Roman" w:hAnsi="Times New Roman"/>
        </w:rPr>
      </w:pPr>
      <w:r w:rsidRPr="00136927">
        <w:rPr>
          <w:rFonts w:ascii="Times New Roman" w:hAnsi="Times New Roman"/>
        </w:rPr>
        <w:t>Supporting Statement for the</w:t>
      </w:r>
    </w:p>
    <w:p w:rsidR="0057669C" w:rsidRPr="00136927" w:rsidRDefault="0057669C">
      <w:pPr>
        <w:jc w:val="center"/>
        <w:rPr>
          <w:rFonts w:ascii="Times New Roman" w:hAnsi="Times New Roman"/>
          <w:b/>
        </w:rPr>
      </w:pPr>
      <w:r w:rsidRPr="00136927">
        <w:rPr>
          <w:rFonts w:ascii="Times New Roman" w:hAnsi="Times New Roman"/>
          <w:b/>
        </w:rPr>
        <w:t xml:space="preserve">Country Exposure Report for </w:t>
      </w:r>
      <w:smartTag w:uri="urn:schemas-microsoft-com:office:smarttags" w:element="country-region">
        <w:smartTag w:uri="urn:schemas-microsoft-com:office:smarttags" w:element="place">
          <w:r w:rsidRPr="00136927">
            <w:rPr>
              <w:rFonts w:ascii="Times New Roman" w:hAnsi="Times New Roman"/>
              <w:b/>
            </w:rPr>
            <w:t>U.S.</w:t>
          </w:r>
        </w:smartTag>
      </w:smartTag>
      <w:r w:rsidRPr="00136927">
        <w:rPr>
          <w:rFonts w:ascii="Times New Roman" w:hAnsi="Times New Roman"/>
          <w:b/>
        </w:rPr>
        <w:t xml:space="preserve"> Branche</w:t>
      </w:r>
      <w:r w:rsidR="00136927" w:rsidRPr="00136927">
        <w:rPr>
          <w:rFonts w:ascii="Times New Roman" w:hAnsi="Times New Roman"/>
          <w:b/>
        </w:rPr>
        <w:t>s and Agencies of Foreign Banks</w:t>
      </w:r>
    </w:p>
    <w:p w:rsidR="0057669C" w:rsidRPr="00136927" w:rsidRDefault="0057669C">
      <w:pPr>
        <w:jc w:val="center"/>
        <w:rPr>
          <w:rFonts w:ascii="Times New Roman" w:hAnsi="Times New Roman"/>
          <w:b/>
        </w:rPr>
      </w:pPr>
      <w:r w:rsidRPr="00136927">
        <w:rPr>
          <w:rFonts w:ascii="Times New Roman" w:hAnsi="Times New Roman"/>
          <w:b/>
        </w:rPr>
        <w:t>(FFIEC</w:t>
      </w:r>
      <w:r w:rsidR="00136927">
        <w:rPr>
          <w:rFonts w:ascii="Times New Roman" w:hAnsi="Times New Roman"/>
          <w:b/>
        </w:rPr>
        <w:t> </w:t>
      </w:r>
      <w:r w:rsidRPr="00136927">
        <w:rPr>
          <w:rFonts w:ascii="Times New Roman" w:hAnsi="Times New Roman"/>
          <w:b/>
        </w:rPr>
        <w:t>019; OMB No. 7100</w:t>
      </w:r>
      <w:r w:rsidRPr="00136927">
        <w:rPr>
          <w:rFonts w:ascii="Times New Roman" w:hAnsi="Times New Roman"/>
          <w:b/>
        </w:rPr>
        <w:noBreakHyphen/>
        <w:t>0213)</w:t>
      </w:r>
    </w:p>
    <w:p w:rsidR="0057669C" w:rsidRPr="00136927" w:rsidRDefault="0057669C">
      <w:pPr>
        <w:rPr>
          <w:rFonts w:ascii="Times New Roman" w:hAnsi="Times New Roman"/>
        </w:rPr>
      </w:pPr>
    </w:p>
    <w:p w:rsidR="0057669C" w:rsidRPr="00136927" w:rsidRDefault="0057669C">
      <w:pPr>
        <w:rPr>
          <w:rFonts w:ascii="Times New Roman" w:hAnsi="Times New Roman"/>
        </w:rPr>
      </w:pPr>
      <w:r w:rsidRPr="00136927">
        <w:rPr>
          <w:rFonts w:ascii="Times New Roman" w:hAnsi="Times New Roman"/>
          <w:b/>
        </w:rPr>
        <w:t>Summary</w:t>
      </w:r>
    </w:p>
    <w:p w:rsidR="0057669C" w:rsidRPr="00136927" w:rsidRDefault="0057669C">
      <w:pPr>
        <w:rPr>
          <w:rFonts w:ascii="Times New Roman" w:hAnsi="Times New Roman"/>
        </w:rPr>
      </w:pPr>
    </w:p>
    <w:p w:rsidR="0057669C" w:rsidRPr="00136927" w:rsidRDefault="0057669C" w:rsidP="003B77A2">
      <w:pPr>
        <w:ind w:firstLine="720"/>
        <w:rPr>
          <w:rFonts w:ascii="Times New Roman" w:hAnsi="Times New Roman"/>
        </w:rPr>
      </w:pPr>
      <w:r w:rsidRPr="00136927">
        <w:rPr>
          <w:rFonts w:ascii="Times New Roman" w:hAnsi="Times New Roman"/>
        </w:rPr>
        <w:t xml:space="preserve">The Board of Governors of the Federal Reserve System (Board) requests approval from the Office of Management and Budget (OMB) to extend, without revision, </w:t>
      </w:r>
      <w:r w:rsidR="007F1940" w:rsidRPr="00FE534E">
        <w:rPr>
          <w:rFonts w:ascii="Times New Roman" w:hAnsi="Times New Roman"/>
          <w:szCs w:val="24"/>
        </w:rPr>
        <w:t>the Federal Financial Institutions Examination Council (FFIEC)</w:t>
      </w:r>
      <w:r w:rsidRPr="00136927">
        <w:rPr>
          <w:rFonts w:ascii="Times New Roman" w:hAnsi="Times New Roman"/>
        </w:rPr>
        <w:t xml:space="preserve"> Country Exposure Report for U.S. Branches and Agencies of Foreign Banks (FFIEC</w:t>
      </w:r>
      <w:r w:rsidR="00136927">
        <w:rPr>
          <w:rFonts w:ascii="Times New Roman" w:hAnsi="Times New Roman"/>
        </w:rPr>
        <w:t> </w:t>
      </w:r>
      <w:r w:rsidRPr="00136927">
        <w:rPr>
          <w:rFonts w:ascii="Times New Roman" w:hAnsi="Times New Roman"/>
        </w:rPr>
        <w:t>019; OMB No. 7100</w:t>
      </w:r>
      <w:r w:rsidR="00076BAD">
        <w:rPr>
          <w:rFonts w:ascii="Times New Roman" w:hAnsi="Times New Roman"/>
        </w:rPr>
        <w:t>-</w:t>
      </w:r>
      <w:r w:rsidRPr="00136927">
        <w:rPr>
          <w:rFonts w:ascii="Times New Roman" w:hAnsi="Times New Roman"/>
        </w:rPr>
        <w:t xml:space="preserve">0213).  The Board submits this request on behalf of the Federal Deposit Insurance Corporation (FDIC) and the Office of the Comptroller of the Currency (OCC).  No separate submission will be made by either of those agencies.  The report is required and must be submitted quarterly by all individual </w:t>
      </w:r>
      <w:smartTag w:uri="urn:schemas-microsoft-com:office:smarttags" w:element="country-region">
        <w:smartTag w:uri="urn:schemas-microsoft-com:office:smarttags" w:element="place">
          <w:r w:rsidRPr="00136927">
            <w:rPr>
              <w:rFonts w:ascii="Times New Roman" w:hAnsi="Times New Roman"/>
            </w:rPr>
            <w:t>U.S.</w:t>
          </w:r>
        </w:smartTag>
      </w:smartTag>
      <w:r w:rsidRPr="00136927">
        <w:rPr>
          <w:rFonts w:ascii="Times New Roman" w:hAnsi="Times New Roman"/>
        </w:rPr>
        <w:t xml:space="preserve"> branches and agencies of foreign banks that have more than $30 million in direct claims on residents of foreign countries.  Each reporting branch or agency provides information for supervisory purposes on its direct and indirect claims, total adjusted claims on foreign residents, and information on commitments.  The current annual burden for the FFIEC</w:t>
      </w:r>
      <w:r w:rsidR="00136927">
        <w:rPr>
          <w:rFonts w:ascii="Times New Roman" w:hAnsi="Times New Roman"/>
        </w:rPr>
        <w:t> </w:t>
      </w:r>
      <w:r w:rsidRPr="00136927">
        <w:rPr>
          <w:rFonts w:ascii="Times New Roman" w:hAnsi="Times New Roman"/>
        </w:rPr>
        <w:t xml:space="preserve">019 is estimated to be </w:t>
      </w:r>
      <w:r w:rsidR="00F44551">
        <w:rPr>
          <w:rFonts w:ascii="Times New Roman" w:hAnsi="Times New Roman"/>
        </w:rPr>
        <w:t>6,720</w:t>
      </w:r>
      <w:r w:rsidRPr="00136927">
        <w:rPr>
          <w:rFonts w:ascii="Times New Roman" w:hAnsi="Times New Roman"/>
        </w:rPr>
        <w:t xml:space="preserve"> hours.</w:t>
      </w:r>
    </w:p>
    <w:p w:rsidR="0057669C" w:rsidRPr="00136927" w:rsidRDefault="0057669C">
      <w:pPr>
        <w:rPr>
          <w:rFonts w:ascii="Times New Roman" w:hAnsi="Times New Roman"/>
        </w:rPr>
      </w:pPr>
    </w:p>
    <w:p w:rsidR="0057669C" w:rsidRPr="00136927" w:rsidRDefault="0057669C">
      <w:pPr>
        <w:rPr>
          <w:rFonts w:ascii="Times New Roman" w:hAnsi="Times New Roman"/>
        </w:rPr>
      </w:pPr>
      <w:r w:rsidRPr="00136927">
        <w:rPr>
          <w:rFonts w:ascii="Times New Roman" w:hAnsi="Times New Roman"/>
          <w:b/>
        </w:rPr>
        <w:t>Background and Justification</w:t>
      </w:r>
    </w:p>
    <w:p w:rsidR="0057669C" w:rsidRPr="00136927" w:rsidRDefault="0057669C">
      <w:pPr>
        <w:rPr>
          <w:rFonts w:ascii="Times New Roman" w:hAnsi="Times New Roman"/>
        </w:rPr>
      </w:pPr>
    </w:p>
    <w:p w:rsidR="0057669C" w:rsidRPr="00136927" w:rsidRDefault="0057669C" w:rsidP="003B77A2">
      <w:pPr>
        <w:ind w:firstLine="720"/>
        <w:rPr>
          <w:rFonts w:ascii="Times New Roman" w:hAnsi="Times New Roman"/>
        </w:rPr>
      </w:pPr>
      <w:r w:rsidRPr="00136927">
        <w:rPr>
          <w:rFonts w:ascii="Times New Roman" w:hAnsi="Times New Roman"/>
        </w:rPr>
        <w:t>The FFIEC implemented the FFIEC</w:t>
      </w:r>
      <w:r w:rsidR="00FE0230">
        <w:rPr>
          <w:rFonts w:ascii="Times New Roman" w:hAnsi="Times New Roman"/>
        </w:rPr>
        <w:t> </w:t>
      </w:r>
      <w:r w:rsidRPr="00136927">
        <w:rPr>
          <w:rFonts w:ascii="Times New Roman" w:hAnsi="Times New Roman"/>
        </w:rPr>
        <w:t xml:space="preserve">019 report in June </w:t>
      </w:r>
      <w:smartTag w:uri="urn:schemas-microsoft-com:office:smarttags" w:element="metricconverter">
        <w:smartTagPr>
          <w:attr w:name="ProductID" w:val="1986 in"/>
        </w:smartTagPr>
        <w:r w:rsidRPr="00136927">
          <w:rPr>
            <w:rFonts w:ascii="Times New Roman" w:hAnsi="Times New Roman"/>
          </w:rPr>
          <w:t>1986 in</w:t>
        </w:r>
      </w:smartTag>
      <w:r w:rsidRPr="00136927">
        <w:rPr>
          <w:rFonts w:ascii="Times New Roman" w:hAnsi="Times New Roman"/>
        </w:rPr>
        <w:t xml:space="preserve"> response to supervisory concerns relating to funding practices of certain </w:t>
      </w:r>
      <w:smartTag w:uri="urn:schemas-microsoft-com:office:smarttags" w:element="country-region">
        <w:smartTag w:uri="urn:schemas-microsoft-com:office:smarttags" w:element="place">
          <w:r w:rsidRPr="00136927">
            <w:rPr>
              <w:rFonts w:ascii="Times New Roman" w:hAnsi="Times New Roman"/>
            </w:rPr>
            <w:t>U.S.</w:t>
          </w:r>
        </w:smartTag>
      </w:smartTag>
      <w:r w:rsidRPr="00136927">
        <w:rPr>
          <w:rFonts w:ascii="Times New Roman" w:hAnsi="Times New Roman"/>
        </w:rPr>
        <w:t xml:space="preserve"> branches and agencies of foreign banks that were raising funds in the </w:t>
      </w:r>
      <w:smartTag w:uri="urn:schemas-microsoft-com:office:smarttags" w:element="country-region">
        <w:smartTag w:uri="urn:schemas-microsoft-com:office:smarttags" w:element="place">
          <w:r w:rsidRPr="00136927">
            <w:rPr>
              <w:rFonts w:ascii="Times New Roman" w:hAnsi="Times New Roman"/>
            </w:rPr>
            <w:t>United States</w:t>
          </w:r>
        </w:smartTag>
      </w:smartTag>
      <w:r w:rsidRPr="00136927">
        <w:rPr>
          <w:rFonts w:ascii="Times New Roman" w:hAnsi="Times New Roman"/>
        </w:rPr>
        <w:t xml:space="preserve"> and other nations</w:t>
      </w:r>
      <w:r w:rsidR="0085162C">
        <w:rPr>
          <w:rFonts w:ascii="Times New Roman" w:hAnsi="Times New Roman"/>
        </w:rPr>
        <w:t>’</w:t>
      </w:r>
      <w:r w:rsidRPr="00136927">
        <w:rPr>
          <w:rFonts w:ascii="Times New Roman" w:hAnsi="Times New Roman"/>
        </w:rPr>
        <w:t xml:space="preserve"> interbank markets and lending the bulk of the funds to home</w:t>
      </w:r>
      <w:r w:rsidRPr="00136927">
        <w:rPr>
          <w:rFonts w:ascii="Times New Roman" w:hAnsi="Times New Roman"/>
        </w:rPr>
        <w:noBreakHyphen/>
        <w:t xml:space="preserve">country residents.  Major funding problems emerged for these </w:t>
      </w:r>
      <w:smartTag w:uri="urn:schemas-microsoft-com:office:smarttags" w:element="country-region">
        <w:smartTag w:uri="urn:schemas-microsoft-com:office:smarttags" w:element="place">
          <w:r w:rsidRPr="00136927">
            <w:rPr>
              <w:rFonts w:ascii="Times New Roman" w:hAnsi="Times New Roman"/>
            </w:rPr>
            <w:t>U.S.</w:t>
          </w:r>
        </w:smartTag>
      </w:smartTag>
      <w:r w:rsidRPr="00136927">
        <w:rPr>
          <w:rFonts w:ascii="Times New Roman" w:hAnsi="Times New Roman"/>
        </w:rPr>
        <w:t xml:space="preserve"> offices when the governments of the home countries of the parent banks encountered severe difficulties in servicing their external debt.  In 1985 the Board, the FDIC, and the OCC proposed collection of country exposure information from </w:t>
      </w:r>
      <w:smartTag w:uri="urn:schemas-microsoft-com:office:smarttags" w:element="country-region">
        <w:smartTag w:uri="urn:schemas-microsoft-com:office:smarttags" w:element="place">
          <w:r w:rsidRPr="00136927">
            <w:rPr>
              <w:rFonts w:ascii="Times New Roman" w:hAnsi="Times New Roman"/>
            </w:rPr>
            <w:t>U.S.</w:t>
          </w:r>
        </w:smartTag>
      </w:smartTag>
      <w:r w:rsidRPr="00136927">
        <w:rPr>
          <w:rFonts w:ascii="Times New Roman" w:hAnsi="Times New Roman"/>
        </w:rPr>
        <w:t xml:space="preserve"> branches and agencies in order to supervise their operations more effectively.  The FFIEC</w:t>
      </w:r>
      <w:r w:rsidR="00136927">
        <w:rPr>
          <w:rFonts w:ascii="Times New Roman" w:hAnsi="Times New Roman"/>
        </w:rPr>
        <w:t> </w:t>
      </w:r>
      <w:r w:rsidRPr="00136927">
        <w:rPr>
          <w:rFonts w:ascii="Times New Roman" w:hAnsi="Times New Roman"/>
        </w:rPr>
        <w:t>019 is an important and unique tool for surveillance and oversight that collects the minimal amount of information needed for supervisory purposes.</w:t>
      </w:r>
    </w:p>
    <w:p w:rsidR="0057669C" w:rsidRPr="00136927" w:rsidRDefault="0057669C" w:rsidP="00136927">
      <w:pPr>
        <w:jc w:val="both"/>
        <w:rPr>
          <w:rFonts w:ascii="Times New Roman" w:hAnsi="Times New Roman"/>
        </w:rPr>
      </w:pPr>
    </w:p>
    <w:p w:rsidR="0057669C" w:rsidRPr="00136927" w:rsidRDefault="0057669C" w:rsidP="003B77A2">
      <w:pPr>
        <w:ind w:firstLine="720"/>
        <w:rPr>
          <w:rFonts w:ascii="Times New Roman" w:hAnsi="Times New Roman"/>
        </w:rPr>
      </w:pPr>
      <w:r w:rsidRPr="00136927">
        <w:rPr>
          <w:rFonts w:ascii="Times New Roman" w:hAnsi="Times New Roman"/>
        </w:rPr>
        <w:t xml:space="preserve">Oversight of the liquidity positions of all banking offices in the </w:t>
      </w:r>
      <w:smartTag w:uri="urn:schemas-microsoft-com:office:smarttags" w:element="country-region">
        <w:smartTag w:uri="urn:schemas-microsoft-com:office:smarttags" w:element="place">
          <w:r w:rsidRPr="00136927">
            <w:rPr>
              <w:rFonts w:ascii="Times New Roman" w:hAnsi="Times New Roman"/>
            </w:rPr>
            <w:t>United States</w:t>
          </w:r>
        </w:smartTag>
      </w:smartTag>
      <w:r w:rsidRPr="00136927">
        <w:rPr>
          <w:rFonts w:ascii="Times New Roman" w:hAnsi="Times New Roman"/>
        </w:rPr>
        <w:t xml:space="preserve"> is the primary responsibility of the three federal bank supervisory agencies under the Basle Concordat, which is an understanding among bank regulators of several countries relating to mutual supervision of banks operating in international markets.  Quarterly information on significant country risk exposures is very important in measuring and supervising liquidity positions of the branches and agencies of foreign banks, which fund themselves primarily in the </w:t>
      </w:r>
      <w:smartTag w:uri="urn:schemas-microsoft-com:office:smarttags" w:element="country-region">
        <w:smartTag w:uri="urn:schemas-microsoft-com:office:smarttags" w:element="place">
          <w:r w:rsidRPr="00136927">
            <w:rPr>
              <w:rFonts w:ascii="Times New Roman" w:hAnsi="Times New Roman"/>
            </w:rPr>
            <w:t>U.S.</w:t>
          </w:r>
        </w:smartTag>
      </w:smartTag>
      <w:r w:rsidRPr="00136927">
        <w:rPr>
          <w:rFonts w:ascii="Times New Roman" w:hAnsi="Times New Roman"/>
        </w:rPr>
        <w:t xml:space="preserve"> domestic money markets by taking large uninsured deposits from banks, corporations, and individuals.  Those branches that are insured by the FDIC also raise funds from retail customers.  The financial regulatory agencies need to be able to assess the institutions</w:t>
      </w:r>
      <w:r w:rsidR="0085162C">
        <w:rPr>
          <w:rFonts w:ascii="Times New Roman" w:hAnsi="Times New Roman"/>
        </w:rPr>
        <w:t>’</w:t>
      </w:r>
      <w:r w:rsidRPr="00136927">
        <w:rPr>
          <w:rFonts w:ascii="Times New Roman" w:hAnsi="Times New Roman"/>
        </w:rPr>
        <w:t xml:space="preserve"> ability to repay these deposits, which is jeopardized in branches that have an excessive volume of poor quality or slow paying assets.</w:t>
      </w:r>
    </w:p>
    <w:p w:rsidR="0057669C" w:rsidRPr="00136927" w:rsidRDefault="0057669C">
      <w:pPr>
        <w:pStyle w:val="Header"/>
        <w:tabs>
          <w:tab w:val="clear" w:pos="4320"/>
          <w:tab w:val="clear" w:pos="8640"/>
        </w:tabs>
        <w:rPr>
          <w:rFonts w:ascii="Times New Roman" w:hAnsi="Times New Roman"/>
        </w:rPr>
      </w:pPr>
    </w:p>
    <w:p w:rsidR="0057669C" w:rsidRPr="00136927" w:rsidRDefault="0057669C" w:rsidP="003B77A2">
      <w:pPr>
        <w:ind w:firstLine="720"/>
        <w:rPr>
          <w:rFonts w:ascii="Times New Roman" w:hAnsi="Times New Roman"/>
        </w:rPr>
      </w:pPr>
      <w:r w:rsidRPr="00136927">
        <w:rPr>
          <w:rFonts w:ascii="Times New Roman" w:hAnsi="Times New Roman"/>
        </w:rPr>
        <w:t xml:space="preserve">One important indicator of potential underlying problems is an excessive concentration by the </w:t>
      </w:r>
      <w:smartTag w:uri="urn:schemas-microsoft-com:office:smarttags" w:element="country-region">
        <w:smartTag w:uri="urn:schemas-microsoft-com:office:smarttags" w:element="place">
          <w:r w:rsidRPr="00136927">
            <w:rPr>
              <w:rFonts w:ascii="Times New Roman" w:hAnsi="Times New Roman"/>
            </w:rPr>
            <w:t>U.S.</w:t>
          </w:r>
        </w:smartTag>
      </w:smartTag>
      <w:r w:rsidRPr="00136927">
        <w:rPr>
          <w:rFonts w:ascii="Times New Roman" w:hAnsi="Times New Roman"/>
        </w:rPr>
        <w:t xml:space="preserve"> branch or agency in assets due from a single country or a small number of countries.  Therefore, the regulatory agencies need to be able to make informed judgments regarding the level of country concentrations within a specific branch or agency, to ensure that these </w:t>
      </w:r>
      <w:r w:rsidRPr="00136927">
        <w:rPr>
          <w:rFonts w:ascii="Times New Roman" w:hAnsi="Times New Roman"/>
        </w:rPr>
        <w:lastRenderedPageBreak/>
        <w:t>institutions, like domestic banking institutions, are practicing reasonable country risk diversification.  The FFIEC</w:t>
      </w:r>
      <w:r w:rsidR="00FE0230">
        <w:rPr>
          <w:rFonts w:ascii="Times New Roman" w:hAnsi="Times New Roman"/>
        </w:rPr>
        <w:t> </w:t>
      </w:r>
      <w:r w:rsidRPr="00136927">
        <w:rPr>
          <w:rFonts w:ascii="Times New Roman" w:hAnsi="Times New Roman"/>
        </w:rPr>
        <w:t xml:space="preserve">019 assists the agencies in monitoring the extent to which the </w:t>
      </w:r>
      <w:smartTag w:uri="urn:schemas-microsoft-com:office:smarttags" w:element="country-region">
        <w:smartTag w:uri="urn:schemas-microsoft-com:office:smarttags" w:element="place">
          <w:r w:rsidRPr="00136927">
            <w:rPr>
              <w:rFonts w:ascii="Times New Roman" w:hAnsi="Times New Roman"/>
            </w:rPr>
            <w:t>U.S.</w:t>
          </w:r>
        </w:smartTag>
      </w:smartTag>
      <w:r w:rsidRPr="00136927">
        <w:rPr>
          <w:rFonts w:ascii="Times New Roman" w:hAnsi="Times New Roman"/>
        </w:rPr>
        <w:t xml:space="preserve"> branches and agencies are pursuing prudent diversification policies and limiting potential liquidity pressures.</w:t>
      </w:r>
    </w:p>
    <w:p w:rsidR="0057669C" w:rsidRPr="00136927" w:rsidRDefault="0057669C" w:rsidP="00136927">
      <w:pPr>
        <w:jc w:val="both"/>
        <w:rPr>
          <w:rFonts w:ascii="Times New Roman" w:hAnsi="Times New Roman"/>
        </w:rPr>
      </w:pPr>
    </w:p>
    <w:p w:rsidR="0057669C" w:rsidRPr="00136927" w:rsidRDefault="0057669C" w:rsidP="003B77A2">
      <w:pPr>
        <w:ind w:firstLine="720"/>
        <w:rPr>
          <w:rFonts w:ascii="Times New Roman" w:hAnsi="Times New Roman"/>
        </w:rPr>
      </w:pPr>
      <w:r w:rsidRPr="00136927">
        <w:rPr>
          <w:rFonts w:ascii="Times New Roman" w:hAnsi="Times New Roman"/>
        </w:rPr>
        <w:t>In addition, FDIC</w:t>
      </w:r>
      <w:r w:rsidRPr="00136927">
        <w:rPr>
          <w:rFonts w:ascii="Times New Roman" w:hAnsi="Times New Roman"/>
        </w:rPr>
        <w:noBreakHyphen/>
        <w:t xml:space="preserve">insured branches of foreign banks are subject to </w:t>
      </w:r>
      <w:r w:rsidR="00231660">
        <w:rPr>
          <w:rFonts w:ascii="Times New Roman" w:hAnsi="Times New Roman"/>
        </w:rPr>
        <w:t>an asset maintenance requirement</w:t>
      </w:r>
      <w:r w:rsidRPr="00136927">
        <w:rPr>
          <w:rFonts w:ascii="Times New Roman" w:hAnsi="Times New Roman"/>
        </w:rPr>
        <w:t xml:space="preserve"> (12 CFR 34</w:t>
      </w:r>
      <w:r w:rsidR="00231660">
        <w:rPr>
          <w:rFonts w:ascii="Times New Roman" w:hAnsi="Times New Roman"/>
        </w:rPr>
        <w:t>7</w:t>
      </w:r>
      <w:r w:rsidRPr="00136927">
        <w:rPr>
          <w:rFonts w:ascii="Times New Roman" w:hAnsi="Times New Roman"/>
        </w:rPr>
        <w:t>.2</w:t>
      </w:r>
      <w:r w:rsidR="00231660">
        <w:rPr>
          <w:rFonts w:ascii="Times New Roman" w:hAnsi="Times New Roman"/>
        </w:rPr>
        <w:t>10</w:t>
      </w:r>
      <w:r w:rsidRPr="00136927">
        <w:rPr>
          <w:rFonts w:ascii="Times New Roman" w:hAnsi="Times New Roman"/>
        </w:rPr>
        <w:t xml:space="preserve">).  </w:t>
      </w:r>
      <w:r w:rsidR="00231660">
        <w:rPr>
          <w:rFonts w:ascii="Times New Roman" w:hAnsi="Times New Roman"/>
        </w:rPr>
        <w:t>Under this requirement, in general, an insured branch must maintain on a daily basis eligible assets in an amount not less than 106 percent of the preceding quarter’s average book value of the branch’s liabilities, exclusive of liabilities due to related offices of the foreign bank.  The FDIC may require that a higher ratio of eligible assets be maintained if the financial condition of the insured branch warrants such action</w:t>
      </w:r>
      <w:r w:rsidRPr="00136927">
        <w:rPr>
          <w:rFonts w:ascii="Times New Roman" w:hAnsi="Times New Roman"/>
        </w:rPr>
        <w:t xml:space="preserve">.  </w:t>
      </w:r>
      <w:r w:rsidR="00231660">
        <w:rPr>
          <w:rFonts w:ascii="Times New Roman" w:hAnsi="Times New Roman"/>
        </w:rPr>
        <w:t xml:space="preserve">Among the factors that the FDIC considers in requiring a higher ratio is the concentration of transfer risk to any one country, including the country in which the foreign branch’s head office is located.  </w:t>
      </w:r>
      <w:r w:rsidRPr="00136927">
        <w:rPr>
          <w:rFonts w:ascii="Times New Roman" w:hAnsi="Times New Roman"/>
        </w:rPr>
        <w:t>The data from the FFIEC 019 report assist the FDIC in</w:t>
      </w:r>
      <w:r w:rsidR="00231660">
        <w:rPr>
          <w:rFonts w:ascii="Times New Roman" w:hAnsi="Times New Roman"/>
        </w:rPr>
        <w:t xml:space="preserve"> evaluating the existence of such concentrations and determining whether to require that an insured branch maintain a higher ratio of eligible assets than the 106 percent minimum</w:t>
      </w:r>
      <w:r w:rsidRPr="00136927">
        <w:rPr>
          <w:rFonts w:ascii="Times New Roman" w:hAnsi="Times New Roman"/>
        </w:rPr>
        <w:t>.</w:t>
      </w:r>
    </w:p>
    <w:p w:rsidR="0057669C" w:rsidRPr="00136927" w:rsidRDefault="0057669C" w:rsidP="003B77A2">
      <w:pPr>
        <w:rPr>
          <w:rFonts w:ascii="Times New Roman" w:hAnsi="Times New Roman"/>
        </w:rPr>
      </w:pPr>
    </w:p>
    <w:p w:rsidR="0057669C" w:rsidRPr="00136927" w:rsidRDefault="0057669C" w:rsidP="003B77A2">
      <w:pPr>
        <w:ind w:firstLine="720"/>
        <w:rPr>
          <w:rFonts w:ascii="Times New Roman" w:hAnsi="Times New Roman"/>
        </w:rPr>
      </w:pPr>
      <w:r w:rsidRPr="00136927">
        <w:rPr>
          <w:rFonts w:ascii="Times New Roman" w:hAnsi="Times New Roman"/>
        </w:rPr>
        <w:t>In order to limit reporting burden, the FFIEC</w:t>
      </w:r>
      <w:r w:rsidR="00FE0230">
        <w:rPr>
          <w:rFonts w:ascii="Times New Roman" w:hAnsi="Times New Roman"/>
        </w:rPr>
        <w:t> </w:t>
      </w:r>
      <w:r w:rsidRPr="00136927">
        <w:rPr>
          <w:rFonts w:ascii="Times New Roman" w:hAnsi="Times New Roman"/>
        </w:rPr>
        <w:t xml:space="preserve">019 has been designed to collect the minimum amount of information needed to assess country exposure.  The report requires each of the </w:t>
      </w:r>
      <w:smartTag w:uri="urn:schemas-microsoft-com:office:smarttags" w:element="country-region">
        <w:smartTag w:uri="urn:schemas-microsoft-com:office:smarttags" w:element="place">
          <w:r w:rsidRPr="00136927">
            <w:rPr>
              <w:rFonts w:ascii="Times New Roman" w:hAnsi="Times New Roman"/>
            </w:rPr>
            <w:t>U.S.</w:t>
          </w:r>
        </w:smartTag>
      </w:smartTag>
      <w:r w:rsidRPr="00136927">
        <w:rPr>
          <w:rFonts w:ascii="Times New Roman" w:hAnsi="Times New Roman"/>
        </w:rPr>
        <w:t xml:space="preserve"> branches and agencies with claims on foreign parties exceeding $30 million to report (1) its exposure to borrowers in its home country and (2) each of the next five largest country exposures, provided the exposure exceeds $</w:t>
      </w:r>
      <w:r w:rsidR="00231660">
        <w:rPr>
          <w:rFonts w:ascii="Times New Roman" w:hAnsi="Times New Roman"/>
        </w:rPr>
        <w:t>20</w:t>
      </w:r>
      <w:r w:rsidRPr="00136927">
        <w:rPr>
          <w:rFonts w:ascii="Times New Roman" w:hAnsi="Times New Roman"/>
        </w:rPr>
        <w:t xml:space="preserve"> million.  These requirements are considerably less burdensome than the information required of domestic banking institutions on the FFIEC</w:t>
      </w:r>
      <w:r w:rsidR="008A3B7F">
        <w:rPr>
          <w:rFonts w:ascii="Times New Roman" w:hAnsi="Times New Roman"/>
        </w:rPr>
        <w:t> </w:t>
      </w:r>
      <w:r w:rsidRPr="00136927">
        <w:rPr>
          <w:rFonts w:ascii="Times New Roman" w:hAnsi="Times New Roman"/>
        </w:rPr>
        <w:t>009 Country Exposure Report (OMB No. 7100</w:t>
      </w:r>
      <w:r w:rsidRPr="00136927">
        <w:rPr>
          <w:rFonts w:ascii="Times New Roman" w:hAnsi="Times New Roman"/>
        </w:rPr>
        <w:noBreakHyphen/>
        <w:t>0035), which requires information on all country exposures and requires considerably greater maturity detail.  Because smaller institutions are often more likely to encounter funding problems than larger ones, the regulatory agencies do not believe that it is appropriate to increase the minimum exposure level that must be reported.</w:t>
      </w:r>
    </w:p>
    <w:p w:rsidR="0057669C" w:rsidRPr="00136927" w:rsidRDefault="0057669C">
      <w:pPr>
        <w:rPr>
          <w:rFonts w:ascii="Times New Roman" w:hAnsi="Times New Roman"/>
        </w:rPr>
      </w:pPr>
    </w:p>
    <w:p w:rsidR="0057669C" w:rsidRPr="00136927" w:rsidRDefault="0057669C">
      <w:pPr>
        <w:rPr>
          <w:rFonts w:ascii="Times New Roman" w:hAnsi="Times New Roman"/>
        </w:rPr>
      </w:pPr>
      <w:r w:rsidRPr="00136927">
        <w:rPr>
          <w:rFonts w:ascii="Times New Roman" w:hAnsi="Times New Roman"/>
          <w:b/>
        </w:rPr>
        <w:t>Description of Information Collection</w:t>
      </w:r>
    </w:p>
    <w:p w:rsidR="0057669C" w:rsidRPr="00136927" w:rsidRDefault="0057669C">
      <w:pPr>
        <w:rPr>
          <w:rFonts w:ascii="Times New Roman" w:hAnsi="Times New Roman"/>
        </w:rPr>
      </w:pPr>
    </w:p>
    <w:p w:rsidR="0057669C" w:rsidRPr="00136927" w:rsidRDefault="0057669C" w:rsidP="003B77A2">
      <w:pPr>
        <w:ind w:firstLine="720"/>
        <w:rPr>
          <w:rFonts w:ascii="Times New Roman" w:hAnsi="Times New Roman"/>
        </w:rPr>
      </w:pPr>
      <w:r w:rsidRPr="00136927">
        <w:rPr>
          <w:rFonts w:ascii="Times New Roman" w:hAnsi="Times New Roman"/>
        </w:rPr>
        <w:t>The FFIEC</w:t>
      </w:r>
      <w:r w:rsidR="00FE0230">
        <w:rPr>
          <w:rFonts w:ascii="Times New Roman" w:hAnsi="Times New Roman"/>
        </w:rPr>
        <w:t> </w:t>
      </w:r>
      <w:r w:rsidRPr="00136927">
        <w:rPr>
          <w:rFonts w:ascii="Times New Roman" w:hAnsi="Times New Roman"/>
        </w:rPr>
        <w:t xml:space="preserve">019 report must be filed by each </w:t>
      </w:r>
      <w:smartTag w:uri="urn:schemas-microsoft-com:office:smarttags" w:element="country-region">
        <w:smartTag w:uri="urn:schemas-microsoft-com:office:smarttags" w:element="place">
          <w:r w:rsidRPr="00136927">
            <w:rPr>
              <w:rFonts w:ascii="Times New Roman" w:hAnsi="Times New Roman"/>
            </w:rPr>
            <w:t>U.S.</w:t>
          </w:r>
        </w:smartTag>
      </w:smartTag>
      <w:r w:rsidRPr="00136927">
        <w:rPr>
          <w:rFonts w:ascii="Times New Roman" w:hAnsi="Times New Roman"/>
        </w:rPr>
        <w:t xml:space="preserve"> branch or agency of a foreign bank that has more than $30 million in total direct claims on foreign residents.  The branch or agency reports its total exposure (1) to residents of its home country and (2) to the other five foreign nations to which its exposure is largest and is at least $</w:t>
      </w:r>
      <w:r w:rsidR="00231660">
        <w:rPr>
          <w:rFonts w:ascii="Times New Roman" w:hAnsi="Times New Roman"/>
        </w:rPr>
        <w:t>20</w:t>
      </w:r>
      <w:r w:rsidRPr="00136927">
        <w:rPr>
          <w:rFonts w:ascii="Times New Roman" w:hAnsi="Times New Roman"/>
        </w:rPr>
        <w:t xml:space="preserve"> million.  The home country exposure must be reported regardless of the size of the total claims for that nation.</w:t>
      </w:r>
    </w:p>
    <w:p w:rsidR="0057669C" w:rsidRPr="00136927" w:rsidRDefault="0057669C" w:rsidP="003B77A2">
      <w:pPr>
        <w:rPr>
          <w:rFonts w:ascii="Times New Roman" w:hAnsi="Times New Roman"/>
        </w:rPr>
      </w:pPr>
    </w:p>
    <w:p w:rsidR="0057669C" w:rsidRDefault="0057669C" w:rsidP="003B77A2">
      <w:pPr>
        <w:ind w:firstLine="720"/>
        <w:rPr>
          <w:rFonts w:ascii="Times New Roman" w:hAnsi="Times New Roman"/>
        </w:rPr>
      </w:pPr>
      <w:r w:rsidRPr="00136927">
        <w:rPr>
          <w:rFonts w:ascii="Times New Roman" w:hAnsi="Times New Roman"/>
        </w:rPr>
        <w:t>Each reporting branch or agency must report, by country as appropriate, the information on its direct claims (assets such as deposit balances, loans, or securities), indirect claims (which include guarantees), and total adjusted claims on foreign residents, as well as information on commitments.  The respondent also must report information on claims on related non</w:t>
      </w:r>
      <w:r w:rsidR="00815AAB">
        <w:rPr>
          <w:rFonts w:ascii="Times New Roman" w:hAnsi="Times New Roman"/>
        </w:rPr>
        <w:t>-</w:t>
      </w:r>
      <w:r w:rsidRPr="00136927">
        <w:rPr>
          <w:rFonts w:ascii="Times New Roman" w:hAnsi="Times New Roman"/>
        </w:rPr>
        <w:t>U.S. offices that are included in total adjusted claims on the home country, as well as a breakdown, for the home country and each other reported country, of adjusted claims on unrelated foreign residents by the sector of borrower or guarantor, and by maturity (in two categories: one year or less, and over one year).  The regulatory agencies are proposin</w:t>
      </w:r>
      <w:r w:rsidR="00136927">
        <w:rPr>
          <w:rFonts w:ascii="Times New Roman" w:hAnsi="Times New Roman"/>
        </w:rPr>
        <w:t>g no changes to the FFIEC</w:t>
      </w:r>
      <w:r w:rsidR="00FE0230">
        <w:rPr>
          <w:rFonts w:ascii="Times New Roman" w:hAnsi="Times New Roman"/>
        </w:rPr>
        <w:t> </w:t>
      </w:r>
      <w:r w:rsidR="00136927">
        <w:rPr>
          <w:rFonts w:ascii="Times New Roman" w:hAnsi="Times New Roman"/>
        </w:rPr>
        <w:t>019.</w:t>
      </w:r>
    </w:p>
    <w:p w:rsidR="008A3B7F" w:rsidRPr="00136927" w:rsidRDefault="008A3B7F" w:rsidP="003B77A2">
      <w:pPr>
        <w:rPr>
          <w:rFonts w:ascii="Times New Roman" w:hAnsi="Times New Roman"/>
        </w:rPr>
      </w:pPr>
    </w:p>
    <w:p w:rsidR="0057669C" w:rsidRPr="00136927" w:rsidRDefault="00361D6F">
      <w:pPr>
        <w:rPr>
          <w:rFonts w:ascii="Times New Roman" w:hAnsi="Times New Roman"/>
        </w:rPr>
      </w:pPr>
      <w:r>
        <w:rPr>
          <w:rFonts w:ascii="Times New Roman" w:hAnsi="Times New Roman"/>
          <w:b/>
        </w:rPr>
        <w:br w:type="page"/>
      </w:r>
      <w:r w:rsidR="0057669C" w:rsidRPr="00136927">
        <w:rPr>
          <w:rFonts w:ascii="Times New Roman" w:hAnsi="Times New Roman"/>
          <w:b/>
        </w:rPr>
        <w:lastRenderedPageBreak/>
        <w:t>Time Schedule for Information Collection</w:t>
      </w:r>
    </w:p>
    <w:p w:rsidR="0057669C" w:rsidRPr="00136927" w:rsidRDefault="0057669C">
      <w:pPr>
        <w:rPr>
          <w:rFonts w:ascii="Times New Roman" w:hAnsi="Times New Roman"/>
        </w:rPr>
      </w:pPr>
    </w:p>
    <w:p w:rsidR="0057669C" w:rsidRDefault="0057669C" w:rsidP="003B77A2">
      <w:pPr>
        <w:ind w:firstLine="720"/>
        <w:rPr>
          <w:rFonts w:ascii="Times New Roman" w:hAnsi="Times New Roman"/>
        </w:rPr>
      </w:pPr>
      <w:r w:rsidRPr="00136927">
        <w:rPr>
          <w:rFonts w:ascii="Times New Roman" w:hAnsi="Times New Roman"/>
        </w:rPr>
        <w:t>The FFIEC</w:t>
      </w:r>
      <w:r w:rsidR="00FE0230">
        <w:rPr>
          <w:rFonts w:ascii="Times New Roman" w:hAnsi="Times New Roman"/>
        </w:rPr>
        <w:t> </w:t>
      </w:r>
      <w:r w:rsidRPr="00136927">
        <w:rPr>
          <w:rFonts w:ascii="Times New Roman" w:hAnsi="Times New Roman"/>
        </w:rPr>
        <w:t>019 is filed quarterly as of the last business day of March, June, September and December.  Each reporting branch or agency must file its report with the appropriate Reserve Bank within 45 days of the report date.  Because the information contained in the reports is confidential, the information is not published.</w:t>
      </w:r>
    </w:p>
    <w:p w:rsidR="007F1940" w:rsidRDefault="007F1940" w:rsidP="007F1940">
      <w:pPr>
        <w:jc w:val="both"/>
        <w:rPr>
          <w:rFonts w:ascii="Times New Roman" w:hAnsi="Times New Roman"/>
        </w:rPr>
      </w:pPr>
    </w:p>
    <w:p w:rsidR="0057669C" w:rsidRPr="00136927" w:rsidRDefault="0057669C" w:rsidP="002958A6">
      <w:pPr>
        <w:jc w:val="both"/>
        <w:rPr>
          <w:rFonts w:ascii="Times New Roman" w:hAnsi="Times New Roman"/>
        </w:rPr>
      </w:pPr>
      <w:r w:rsidRPr="00136927">
        <w:rPr>
          <w:rFonts w:ascii="Times New Roman" w:hAnsi="Times New Roman"/>
          <w:b/>
        </w:rPr>
        <w:t>Legal Status</w:t>
      </w:r>
    </w:p>
    <w:p w:rsidR="0057669C" w:rsidRPr="00136927" w:rsidRDefault="0057669C">
      <w:pPr>
        <w:rPr>
          <w:rFonts w:ascii="Times New Roman" w:hAnsi="Times New Roman"/>
        </w:rPr>
      </w:pPr>
    </w:p>
    <w:p w:rsidR="00AF4D83" w:rsidRPr="00AF4D83" w:rsidRDefault="0057669C" w:rsidP="003B77A2">
      <w:pPr>
        <w:ind w:firstLine="720"/>
        <w:rPr>
          <w:rFonts w:ascii="Times New Roman" w:hAnsi="Times New Roman"/>
        </w:rPr>
      </w:pPr>
      <w:r w:rsidRPr="00AF4D83">
        <w:rPr>
          <w:rFonts w:ascii="Times New Roman" w:hAnsi="Times New Roman"/>
        </w:rPr>
        <w:t>The Board</w:t>
      </w:r>
      <w:r w:rsidR="0085162C">
        <w:rPr>
          <w:rFonts w:ascii="Times New Roman" w:hAnsi="Times New Roman"/>
        </w:rPr>
        <w:t>’</w:t>
      </w:r>
      <w:r w:rsidRPr="00AF4D83">
        <w:rPr>
          <w:rFonts w:ascii="Times New Roman" w:hAnsi="Times New Roman"/>
        </w:rPr>
        <w:t xml:space="preserve">s Legal Division has determined that </w:t>
      </w:r>
      <w:r w:rsidR="007D6E00">
        <w:rPr>
          <w:rFonts w:ascii="Times New Roman" w:hAnsi="Times New Roman"/>
        </w:rPr>
        <w:t>sections 7 and 13 of the International Banking Act (</w:t>
      </w:r>
      <w:r w:rsidRPr="00AF4D83">
        <w:rPr>
          <w:rFonts w:ascii="Times New Roman" w:hAnsi="Times New Roman"/>
        </w:rPr>
        <w:t>12 U.S.C.</w:t>
      </w:r>
      <w:r w:rsidR="00AF4D83" w:rsidRPr="00AF4D83">
        <w:rPr>
          <w:rFonts w:ascii="Times New Roman" w:hAnsi="Times New Roman"/>
        </w:rPr>
        <w:t xml:space="preserve"> </w:t>
      </w:r>
      <w:r w:rsidR="00506D6C" w:rsidRPr="00AF4D83">
        <w:rPr>
          <w:rFonts w:ascii="Times New Roman" w:hAnsi="Times New Roman"/>
        </w:rPr>
        <w:t>§</w:t>
      </w:r>
      <w:r w:rsidR="00AF4D83" w:rsidRPr="00AF4D83">
        <w:rPr>
          <w:rFonts w:ascii="Times New Roman" w:hAnsi="Times New Roman"/>
        </w:rPr>
        <w:t>§</w:t>
      </w:r>
      <w:r w:rsidRPr="00AF4D83">
        <w:rPr>
          <w:rFonts w:ascii="Times New Roman" w:hAnsi="Times New Roman"/>
        </w:rPr>
        <w:t xml:space="preserve"> 3105 and 3108</w:t>
      </w:r>
      <w:r w:rsidR="007D6E00">
        <w:rPr>
          <w:rFonts w:ascii="Times New Roman" w:hAnsi="Times New Roman"/>
        </w:rPr>
        <w:t>)</w:t>
      </w:r>
      <w:r w:rsidRPr="00AF4D83">
        <w:rPr>
          <w:rFonts w:ascii="Times New Roman" w:hAnsi="Times New Roman"/>
        </w:rPr>
        <w:t xml:space="preserve"> </w:t>
      </w:r>
      <w:r w:rsidR="00D47F6B" w:rsidRPr="00AF4D83">
        <w:rPr>
          <w:rFonts w:ascii="Times New Roman" w:hAnsi="Times New Roman"/>
          <w:szCs w:val="24"/>
          <w:lang w:val="en-CA"/>
        </w:rPr>
        <w:fldChar w:fldCharType="begin"/>
      </w:r>
      <w:r w:rsidR="00AF4D83" w:rsidRPr="00AF4D83">
        <w:rPr>
          <w:rFonts w:ascii="Times New Roman" w:hAnsi="Times New Roman"/>
          <w:szCs w:val="24"/>
          <w:lang w:val="en-CA"/>
        </w:rPr>
        <w:instrText xml:space="preserve"> SEQ CHAPTER \h \r 1</w:instrText>
      </w:r>
      <w:r w:rsidR="00D47F6B" w:rsidRPr="00AF4D83">
        <w:rPr>
          <w:rFonts w:ascii="Times New Roman" w:hAnsi="Times New Roman"/>
          <w:szCs w:val="24"/>
          <w:lang w:val="en-CA"/>
        </w:rPr>
        <w:fldChar w:fldCharType="end"/>
      </w:r>
      <w:r w:rsidR="007D6E00">
        <w:rPr>
          <w:rFonts w:ascii="Times New Roman" w:hAnsi="Times New Roman"/>
          <w:szCs w:val="24"/>
        </w:rPr>
        <w:t>authorize</w:t>
      </w:r>
      <w:r w:rsidR="00AF4D83" w:rsidRPr="00AF4D83">
        <w:rPr>
          <w:rFonts w:ascii="Times New Roman" w:hAnsi="Times New Roman"/>
          <w:szCs w:val="24"/>
        </w:rPr>
        <w:t xml:space="preserve"> the Board to require the report. </w:t>
      </w:r>
      <w:r w:rsidRPr="00AF4D83">
        <w:rPr>
          <w:rFonts w:ascii="Times New Roman" w:hAnsi="Times New Roman"/>
        </w:rPr>
        <w:t xml:space="preserve"> </w:t>
      </w:r>
      <w:r w:rsidR="00D47F6B" w:rsidRPr="00AF4D83">
        <w:rPr>
          <w:rFonts w:ascii="Times New Roman" w:hAnsi="Times New Roman"/>
          <w:szCs w:val="24"/>
          <w:lang w:val="en-CA"/>
        </w:rPr>
        <w:fldChar w:fldCharType="begin"/>
      </w:r>
      <w:r w:rsidR="00AF4D83" w:rsidRPr="00AF4D83">
        <w:rPr>
          <w:rFonts w:ascii="Times New Roman" w:hAnsi="Times New Roman"/>
          <w:szCs w:val="24"/>
          <w:lang w:val="en-CA"/>
        </w:rPr>
        <w:instrText xml:space="preserve"> SEQ CHAPTER \h \r 1</w:instrText>
      </w:r>
      <w:r w:rsidR="00D47F6B" w:rsidRPr="00AF4D83">
        <w:rPr>
          <w:rFonts w:ascii="Times New Roman" w:hAnsi="Times New Roman"/>
          <w:szCs w:val="24"/>
          <w:lang w:val="en-CA"/>
        </w:rPr>
        <w:fldChar w:fldCharType="end"/>
      </w:r>
      <w:r w:rsidR="00AF4D83" w:rsidRPr="00AF4D83">
        <w:rPr>
          <w:rFonts w:ascii="Times New Roman" w:hAnsi="Times New Roman"/>
          <w:szCs w:val="24"/>
        </w:rPr>
        <w:t xml:space="preserve">The report is also authorized by </w:t>
      </w:r>
      <w:r w:rsidRPr="00AF4D83">
        <w:rPr>
          <w:rFonts w:ascii="Times New Roman" w:hAnsi="Times New Roman"/>
        </w:rPr>
        <w:t>sections 7 and 10 of the Federal Deposit Insurance Act (12 U.S.C.</w:t>
      </w:r>
      <w:r w:rsidR="00AF4D83" w:rsidRPr="00AF4D83">
        <w:rPr>
          <w:rFonts w:ascii="Times New Roman" w:hAnsi="Times New Roman"/>
        </w:rPr>
        <w:t xml:space="preserve"> </w:t>
      </w:r>
      <w:r w:rsidR="00506D6C" w:rsidRPr="00AF4D83">
        <w:rPr>
          <w:rFonts w:ascii="Times New Roman" w:hAnsi="Times New Roman"/>
        </w:rPr>
        <w:t>§</w:t>
      </w:r>
      <w:r w:rsidR="00AF4D83" w:rsidRPr="00AF4D83">
        <w:rPr>
          <w:rFonts w:ascii="Times New Roman" w:hAnsi="Times New Roman"/>
        </w:rPr>
        <w:t>§</w:t>
      </w:r>
      <w:r w:rsidRPr="00AF4D83">
        <w:rPr>
          <w:rFonts w:ascii="Times New Roman" w:hAnsi="Times New Roman"/>
        </w:rPr>
        <w:t xml:space="preserve"> 1817</w:t>
      </w:r>
      <w:r w:rsidR="00AF4D83" w:rsidRPr="00AF4D83">
        <w:rPr>
          <w:rFonts w:ascii="Times New Roman" w:hAnsi="Times New Roman"/>
        </w:rPr>
        <w:t xml:space="preserve"> and</w:t>
      </w:r>
      <w:r w:rsidRPr="00AF4D83">
        <w:rPr>
          <w:rFonts w:ascii="Times New Roman" w:hAnsi="Times New Roman"/>
        </w:rPr>
        <w:t xml:space="preserve"> 1820) for the FDIC and the National Bank Act (12 U.S.C.</w:t>
      </w:r>
      <w:r w:rsidR="00AF4D83" w:rsidRPr="00AF4D83">
        <w:rPr>
          <w:rFonts w:ascii="Times New Roman" w:hAnsi="Times New Roman"/>
        </w:rPr>
        <w:t xml:space="preserve"> §</w:t>
      </w:r>
      <w:r w:rsidRPr="00AF4D83">
        <w:rPr>
          <w:rFonts w:ascii="Times New Roman" w:hAnsi="Times New Roman"/>
        </w:rPr>
        <w:t xml:space="preserve"> 161) for the OC</w:t>
      </w:r>
      <w:r w:rsidR="00AF4D83" w:rsidRPr="00AF4D83">
        <w:rPr>
          <w:rFonts w:ascii="Times New Roman" w:hAnsi="Times New Roman"/>
        </w:rPr>
        <w:t>C</w:t>
      </w:r>
      <w:r w:rsidRPr="00AF4D83">
        <w:rPr>
          <w:rFonts w:ascii="Times New Roman" w:hAnsi="Times New Roman"/>
        </w:rPr>
        <w:t xml:space="preserve">.  </w:t>
      </w:r>
      <w:r w:rsidR="00AF4D83" w:rsidRPr="00AF4D83">
        <w:rPr>
          <w:rFonts w:ascii="Times New Roman" w:hAnsi="Times New Roman"/>
        </w:rPr>
        <w:t xml:space="preserve">Individual respondent data are regarded as confidential under the Freedom of Information Act </w:t>
      </w:r>
      <w:r w:rsidR="00506D6C">
        <w:rPr>
          <w:rFonts w:ascii="Times New Roman" w:hAnsi="Times New Roman"/>
        </w:rPr>
        <w:t>(</w:t>
      </w:r>
      <w:r w:rsidR="00AF4D83" w:rsidRPr="00AF4D83">
        <w:rPr>
          <w:rFonts w:ascii="Times New Roman" w:hAnsi="Times New Roman"/>
        </w:rPr>
        <w:t>5 U.S.C. §</w:t>
      </w:r>
      <w:r w:rsidR="00506D6C">
        <w:rPr>
          <w:rFonts w:ascii="Times New Roman" w:hAnsi="Times New Roman"/>
        </w:rPr>
        <w:t xml:space="preserve"> </w:t>
      </w:r>
      <w:r w:rsidR="00AF4D83" w:rsidRPr="00AF4D83">
        <w:rPr>
          <w:rFonts w:ascii="Times New Roman" w:hAnsi="Times New Roman"/>
        </w:rPr>
        <w:t>552(b</w:t>
      </w:r>
      <w:proofErr w:type="gramStart"/>
      <w:r w:rsidR="00AF4D83" w:rsidRPr="00AF4D83">
        <w:rPr>
          <w:rFonts w:ascii="Times New Roman" w:hAnsi="Times New Roman"/>
        </w:rPr>
        <w:t>)(</w:t>
      </w:r>
      <w:proofErr w:type="gramEnd"/>
      <w:r w:rsidR="00506D6C">
        <w:rPr>
          <w:rFonts w:ascii="Times New Roman" w:hAnsi="Times New Roman"/>
        </w:rPr>
        <w:t>8</w:t>
      </w:r>
      <w:r w:rsidR="00AF4D83" w:rsidRPr="00AF4D83">
        <w:rPr>
          <w:rFonts w:ascii="Times New Roman" w:hAnsi="Times New Roman"/>
        </w:rPr>
        <w:t>)</w:t>
      </w:r>
      <w:r w:rsidR="00506D6C">
        <w:rPr>
          <w:rFonts w:ascii="Times New Roman" w:hAnsi="Times New Roman"/>
        </w:rPr>
        <w:t>)</w:t>
      </w:r>
      <w:r w:rsidR="00AF4D83" w:rsidRPr="00AF4D83">
        <w:rPr>
          <w:rFonts w:ascii="Times New Roman" w:hAnsi="Times New Roman"/>
        </w:rPr>
        <w:t>.</w:t>
      </w:r>
    </w:p>
    <w:p w:rsidR="0057669C" w:rsidRPr="00136927" w:rsidRDefault="0057669C">
      <w:pPr>
        <w:rPr>
          <w:rFonts w:ascii="Times New Roman" w:hAnsi="Times New Roman"/>
        </w:rPr>
      </w:pPr>
    </w:p>
    <w:p w:rsidR="0057669C" w:rsidRPr="00136927" w:rsidRDefault="0057669C">
      <w:pPr>
        <w:rPr>
          <w:rFonts w:ascii="Times New Roman" w:hAnsi="Times New Roman"/>
        </w:rPr>
      </w:pPr>
      <w:r w:rsidRPr="00136927">
        <w:rPr>
          <w:rFonts w:ascii="Times New Roman" w:hAnsi="Times New Roman"/>
          <w:b/>
        </w:rPr>
        <w:t xml:space="preserve">Consultation </w:t>
      </w:r>
      <w:proofErr w:type="gramStart"/>
      <w:r w:rsidRPr="00136927">
        <w:rPr>
          <w:rFonts w:ascii="Times New Roman" w:hAnsi="Times New Roman"/>
          <w:b/>
        </w:rPr>
        <w:t>Outside</w:t>
      </w:r>
      <w:proofErr w:type="gramEnd"/>
      <w:r w:rsidRPr="00136927">
        <w:rPr>
          <w:rFonts w:ascii="Times New Roman" w:hAnsi="Times New Roman"/>
          <w:b/>
        </w:rPr>
        <w:t xml:space="preserve"> the Agency</w:t>
      </w:r>
    </w:p>
    <w:p w:rsidR="0057669C" w:rsidRPr="00136927" w:rsidRDefault="0057669C">
      <w:pPr>
        <w:rPr>
          <w:rFonts w:ascii="Times New Roman" w:hAnsi="Times New Roman"/>
        </w:rPr>
      </w:pPr>
    </w:p>
    <w:p w:rsidR="00086FC1" w:rsidRDefault="007F1940" w:rsidP="00086FC1">
      <w:pPr>
        <w:widowControl/>
        <w:ind w:firstLine="720"/>
        <w:rPr>
          <w:rFonts w:ascii="Times New Roman" w:hAnsi="Times New Roman"/>
        </w:rPr>
      </w:pPr>
      <w:r>
        <w:rPr>
          <w:rFonts w:ascii="Times New Roman" w:hAnsi="Times New Roman"/>
        </w:rPr>
        <w:t xml:space="preserve">On </w:t>
      </w:r>
      <w:r w:rsidR="00F44551">
        <w:rPr>
          <w:rFonts w:ascii="Times New Roman" w:hAnsi="Times New Roman"/>
        </w:rPr>
        <w:t>May 17</w:t>
      </w:r>
      <w:r w:rsidR="003B77A2">
        <w:rPr>
          <w:rFonts w:ascii="Times New Roman" w:hAnsi="Times New Roman"/>
        </w:rPr>
        <w:t>, 2012</w:t>
      </w:r>
      <w:r>
        <w:rPr>
          <w:rFonts w:ascii="Times New Roman" w:hAnsi="Times New Roman"/>
        </w:rPr>
        <w:t xml:space="preserve">, the Board, under the auspices of the FFIEC and on behalf of the FDIC and the OCC, published a notice in the </w:t>
      </w:r>
      <w:r w:rsidRPr="003B2E58">
        <w:rPr>
          <w:rFonts w:ascii="Times New Roman" w:hAnsi="Times New Roman"/>
          <w:i/>
        </w:rPr>
        <w:t>Federal Register</w:t>
      </w:r>
      <w:r>
        <w:rPr>
          <w:rFonts w:ascii="Times New Roman" w:hAnsi="Times New Roman"/>
        </w:rPr>
        <w:t xml:space="preserve"> (</w:t>
      </w:r>
      <w:r w:rsidR="003B77A2">
        <w:rPr>
          <w:rFonts w:ascii="Times New Roman" w:hAnsi="Times New Roman"/>
        </w:rPr>
        <w:t>77</w:t>
      </w:r>
      <w:r>
        <w:rPr>
          <w:rFonts w:ascii="Times New Roman" w:hAnsi="Times New Roman"/>
        </w:rPr>
        <w:t> FR </w:t>
      </w:r>
      <w:r w:rsidR="00F44551">
        <w:rPr>
          <w:rFonts w:ascii="Times New Roman" w:hAnsi="Times New Roman"/>
        </w:rPr>
        <w:t>29345</w:t>
      </w:r>
      <w:r>
        <w:rPr>
          <w:rFonts w:ascii="Times New Roman" w:hAnsi="Times New Roman"/>
        </w:rPr>
        <w:t>) requesting public comment for 60 days on the extension, without revision, of the FFIEC 019</w:t>
      </w:r>
      <w:r w:rsidR="000E6779">
        <w:rPr>
          <w:rFonts w:ascii="Times New Roman" w:hAnsi="Times New Roman"/>
        </w:rPr>
        <w:t>.</w:t>
      </w:r>
      <w:r>
        <w:rPr>
          <w:rFonts w:ascii="Times New Roman" w:hAnsi="Times New Roman"/>
        </w:rPr>
        <w:t xml:space="preserve">  The comment period for this notice expire</w:t>
      </w:r>
      <w:r w:rsidR="00086FC1">
        <w:rPr>
          <w:rFonts w:ascii="Times New Roman" w:hAnsi="Times New Roman"/>
        </w:rPr>
        <w:t>d</w:t>
      </w:r>
      <w:r>
        <w:rPr>
          <w:rFonts w:ascii="Times New Roman" w:hAnsi="Times New Roman"/>
        </w:rPr>
        <w:t xml:space="preserve"> on </w:t>
      </w:r>
      <w:r w:rsidR="00F44551">
        <w:rPr>
          <w:rFonts w:ascii="Times New Roman" w:hAnsi="Times New Roman"/>
        </w:rPr>
        <w:t>July</w:t>
      </w:r>
      <w:r>
        <w:rPr>
          <w:rFonts w:ascii="Times New Roman" w:hAnsi="Times New Roman"/>
        </w:rPr>
        <w:t xml:space="preserve"> </w:t>
      </w:r>
      <w:r w:rsidR="00F44551">
        <w:rPr>
          <w:rFonts w:ascii="Times New Roman" w:hAnsi="Times New Roman"/>
        </w:rPr>
        <w:t>16</w:t>
      </w:r>
      <w:r>
        <w:rPr>
          <w:rFonts w:ascii="Times New Roman" w:hAnsi="Times New Roman"/>
        </w:rPr>
        <w:t>, 20</w:t>
      </w:r>
      <w:r w:rsidR="003B77A2">
        <w:rPr>
          <w:rFonts w:ascii="Times New Roman" w:hAnsi="Times New Roman"/>
        </w:rPr>
        <w:t>12</w:t>
      </w:r>
      <w:r>
        <w:rPr>
          <w:rFonts w:ascii="Times New Roman" w:hAnsi="Times New Roman"/>
        </w:rPr>
        <w:t>.</w:t>
      </w:r>
      <w:r w:rsidR="00B64E67">
        <w:rPr>
          <w:rFonts w:ascii="Times New Roman" w:hAnsi="Times New Roman"/>
        </w:rPr>
        <w:t xml:space="preserve">  </w:t>
      </w:r>
      <w:r w:rsidR="00086FC1">
        <w:rPr>
          <w:rFonts w:ascii="Times New Roman" w:hAnsi="Times New Roman"/>
        </w:rPr>
        <w:t xml:space="preserve">The Board did not receive any comments.  On August, </w:t>
      </w:r>
      <w:r w:rsidR="00D252D4">
        <w:rPr>
          <w:rFonts w:ascii="Times New Roman" w:hAnsi="Times New Roman"/>
        </w:rPr>
        <w:t>6</w:t>
      </w:r>
      <w:r w:rsidR="00086FC1">
        <w:rPr>
          <w:rFonts w:ascii="Times New Roman" w:hAnsi="Times New Roman"/>
        </w:rPr>
        <w:t>, 2012,</w:t>
      </w:r>
      <w:r w:rsidR="00086FC1" w:rsidRPr="007C10B7">
        <w:rPr>
          <w:rFonts w:ascii="Times New Roman" w:hAnsi="Times New Roman"/>
        </w:rPr>
        <w:t xml:space="preserve"> the </w:t>
      </w:r>
      <w:r w:rsidR="00086FC1">
        <w:rPr>
          <w:rFonts w:ascii="Times New Roman" w:hAnsi="Times New Roman"/>
          <w:szCs w:val="24"/>
        </w:rPr>
        <w:t>Board</w:t>
      </w:r>
      <w:r w:rsidR="00086FC1" w:rsidRPr="007C10B7">
        <w:rPr>
          <w:rFonts w:ascii="Times New Roman" w:hAnsi="Times New Roman"/>
        </w:rPr>
        <w:t xml:space="preserve"> published a final </w:t>
      </w:r>
      <w:r w:rsidR="00086FC1">
        <w:rPr>
          <w:rFonts w:ascii="Times New Roman" w:hAnsi="Times New Roman"/>
        </w:rPr>
        <w:t xml:space="preserve">30-day </w:t>
      </w:r>
      <w:r w:rsidR="00086FC1" w:rsidRPr="007C10B7">
        <w:rPr>
          <w:rFonts w:ascii="Times New Roman" w:hAnsi="Times New Roman"/>
        </w:rPr>
        <w:t xml:space="preserve">notice in the </w:t>
      </w:r>
      <w:r w:rsidR="00086FC1" w:rsidRPr="007C10B7">
        <w:rPr>
          <w:rFonts w:ascii="Times New Roman" w:hAnsi="Times New Roman"/>
          <w:i/>
        </w:rPr>
        <w:t>Federal Register</w:t>
      </w:r>
      <w:r w:rsidR="00086FC1" w:rsidRPr="007C10B7">
        <w:rPr>
          <w:rFonts w:ascii="Times New Roman" w:hAnsi="Times New Roman"/>
        </w:rPr>
        <w:t xml:space="preserve"> (</w:t>
      </w:r>
      <w:r w:rsidR="00086FC1">
        <w:rPr>
          <w:rFonts w:ascii="Times New Roman" w:hAnsi="Times New Roman"/>
        </w:rPr>
        <w:t>77</w:t>
      </w:r>
      <w:r w:rsidR="00086FC1" w:rsidRPr="007C10B7">
        <w:rPr>
          <w:rFonts w:ascii="Times New Roman" w:hAnsi="Times New Roman"/>
        </w:rPr>
        <w:t> FR </w:t>
      </w:r>
      <w:r w:rsidR="00982790">
        <w:rPr>
          <w:rFonts w:ascii="Times New Roman" w:hAnsi="Times New Roman"/>
        </w:rPr>
        <w:t>46761</w:t>
      </w:r>
      <w:r w:rsidR="00086FC1">
        <w:rPr>
          <w:rFonts w:ascii="Times New Roman" w:hAnsi="Times New Roman"/>
        </w:rPr>
        <w:t>)</w:t>
      </w:r>
      <w:r w:rsidR="00086FC1" w:rsidRPr="007C10B7">
        <w:rPr>
          <w:rFonts w:ascii="Times New Roman" w:hAnsi="Times New Roman"/>
        </w:rPr>
        <w:t>.</w:t>
      </w:r>
      <w:r w:rsidR="00086FC1">
        <w:rPr>
          <w:rFonts w:ascii="Times New Roman" w:hAnsi="Times New Roman"/>
        </w:rPr>
        <w:t xml:space="preserve">  </w:t>
      </w:r>
      <w:r w:rsidR="00086FC1" w:rsidRPr="007C10B7">
        <w:rPr>
          <w:rFonts w:ascii="Times New Roman" w:hAnsi="Times New Roman"/>
          <w:szCs w:val="24"/>
        </w:rPr>
        <w:t>The comment period for this notice expire</w:t>
      </w:r>
      <w:r w:rsidR="00086FC1">
        <w:rPr>
          <w:rFonts w:ascii="Times New Roman" w:hAnsi="Times New Roman"/>
          <w:szCs w:val="24"/>
        </w:rPr>
        <w:t>s</w:t>
      </w:r>
      <w:r w:rsidR="00086FC1" w:rsidRPr="007C10B7">
        <w:rPr>
          <w:rFonts w:ascii="Times New Roman" w:hAnsi="Times New Roman"/>
          <w:szCs w:val="24"/>
        </w:rPr>
        <w:t xml:space="preserve"> on </w:t>
      </w:r>
      <w:r w:rsidR="00086FC1">
        <w:rPr>
          <w:rFonts w:ascii="Times New Roman" w:hAnsi="Times New Roman"/>
          <w:szCs w:val="24"/>
        </w:rPr>
        <w:t xml:space="preserve">September </w:t>
      </w:r>
      <w:r w:rsidR="00982790">
        <w:rPr>
          <w:rFonts w:ascii="Times New Roman" w:hAnsi="Times New Roman"/>
          <w:szCs w:val="24"/>
        </w:rPr>
        <w:t>5</w:t>
      </w:r>
      <w:r w:rsidR="00086FC1" w:rsidRPr="007C10B7">
        <w:rPr>
          <w:rFonts w:ascii="Times New Roman" w:hAnsi="Times New Roman"/>
          <w:szCs w:val="24"/>
        </w:rPr>
        <w:t>, 20</w:t>
      </w:r>
      <w:r w:rsidR="00086FC1">
        <w:rPr>
          <w:rFonts w:ascii="Times New Roman" w:hAnsi="Times New Roman"/>
          <w:szCs w:val="24"/>
        </w:rPr>
        <w:t>12</w:t>
      </w:r>
      <w:r w:rsidR="00086FC1" w:rsidRPr="007C10B7">
        <w:rPr>
          <w:rFonts w:ascii="Times New Roman" w:hAnsi="Times New Roman"/>
          <w:szCs w:val="24"/>
        </w:rPr>
        <w:t>.</w:t>
      </w:r>
    </w:p>
    <w:p w:rsidR="0057669C" w:rsidRPr="00136927" w:rsidRDefault="0057669C" w:rsidP="00086FC1">
      <w:pPr>
        <w:ind w:firstLine="720"/>
        <w:rPr>
          <w:rFonts w:ascii="Times New Roman" w:hAnsi="Times New Roman"/>
        </w:rPr>
      </w:pPr>
    </w:p>
    <w:p w:rsidR="0057669C" w:rsidRPr="00136927" w:rsidRDefault="0057669C">
      <w:pPr>
        <w:rPr>
          <w:rFonts w:ascii="Times New Roman" w:hAnsi="Times New Roman"/>
        </w:rPr>
      </w:pPr>
      <w:r w:rsidRPr="00136927">
        <w:rPr>
          <w:rFonts w:ascii="Times New Roman" w:hAnsi="Times New Roman"/>
          <w:b/>
        </w:rPr>
        <w:t>Estimate of Respondent Burden</w:t>
      </w:r>
    </w:p>
    <w:p w:rsidR="0057669C" w:rsidRPr="00136927" w:rsidRDefault="0057669C">
      <w:pPr>
        <w:rPr>
          <w:rFonts w:ascii="Times New Roman" w:hAnsi="Times New Roman"/>
        </w:rPr>
      </w:pPr>
    </w:p>
    <w:p w:rsidR="0057669C" w:rsidRPr="00136927" w:rsidRDefault="0057669C" w:rsidP="003B77A2">
      <w:pPr>
        <w:ind w:firstLine="720"/>
        <w:rPr>
          <w:rFonts w:ascii="Times New Roman" w:hAnsi="Times New Roman"/>
        </w:rPr>
      </w:pPr>
      <w:r w:rsidRPr="00136927">
        <w:rPr>
          <w:rFonts w:ascii="Times New Roman" w:hAnsi="Times New Roman"/>
        </w:rPr>
        <w:t>The FFIEC</w:t>
      </w:r>
      <w:r w:rsidR="00FE0230">
        <w:rPr>
          <w:rFonts w:ascii="Times New Roman" w:hAnsi="Times New Roman"/>
        </w:rPr>
        <w:t> </w:t>
      </w:r>
      <w:r w:rsidRPr="00136927">
        <w:rPr>
          <w:rFonts w:ascii="Times New Roman" w:hAnsi="Times New Roman"/>
        </w:rPr>
        <w:t xml:space="preserve">019 respondent panel comprises </w:t>
      </w:r>
      <w:r w:rsidR="001D7F21">
        <w:rPr>
          <w:rFonts w:ascii="Times New Roman" w:hAnsi="Times New Roman"/>
        </w:rPr>
        <w:t>168</w:t>
      </w:r>
      <w:r w:rsidRPr="00136927">
        <w:rPr>
          <w:rFonts w:ascii="Times New Roman" w:hAnsi="Times New Roman"/>
        </w:rPr>
        <w:t xml:space="preserve"> U.S. branches and agencies of foreign banks.  The current annual burden </w:t>
      </w:r>
      <w:r w:rsidR="00136927">
        <w:rPr>
          <w:rFonts w:ascii="Times New Roman" w:hAnsi="Times New Roman"/>
        </w:rPr>
        <w:t xml:space="preserve">is estimated to be </w:t>
      </w:r>
      <w:r w:rsidR="001D7F21">
        <w:rPr>
          <w:rFonts w:ascii="Times New Roman" w:hAnsi="Times New Roman"/>
        </w:rPr>
        <w:t>6,720</w:t>
      </w:r>
      <w:r w:rsidR="00136927">
        <w:rPr>
          <w:rFonts w:ascii="Times New Roman" w:hAnsi="Times New Roman"/>
        </w:rPr>
        <w:t xml:space="preserve"> hours.</w:t>
      </w:r>
      <w:r w:rsidR="008A3B7F">
        <w:rPr>
          <w:rFonts w:ascii="Times New Roman" w:hAnsi="Times New Roman"/>
        </w:rPr>
        <w:t xml:space="preserve">  </w:t>
      </w:r>
      <w:r w:rsidR="008A3B7F" w:rsidRPr="00D82F8F">
        <w:rPr>
          <w:rFonts w:ascii="Times New Roman" w:hAnsi="Times New Roman"/>
          <w:szCs w:val="24"/>
        </w:rPr>
        <w:t>The total burden represents less than 1 percent of the total Federal Reserve System burden.</w:t>
      </w:r>
    </w:p>
    <w:p w:rsidR="0057669C" w:rsidRPr="00136927" w:rsidRDefault="0057669C" w:rsidP="00076BAD">
      <w:pPr>
        <w:rPr>
          <w:rFonts w:ascii="Times New Roman" w:hAnsi="Times New Roman"/>
        </w:rPr>
      </w:pPr>
    </w:p>
    <w:p w:rsidR="0057669C" w:rsidRPr="00136927" w:rsidRDefault="00D47F6B">
      <w:pPr>
        <w:spacing w:line="19" w:lineRule="exact"/>
        <w:rPr>
          <w:rFonts w:ascii="Times New Roman" w:hAnsi="Times New Roman"/>
        </w:rPr>
      </w:pPr>
      <w:r>
        <w:rPr>
          <w:rFonts w:ascii="Times New Roman" w:hAnsi="Times New Roman"/>
          <w:noProof/>
          <w:snapToGrid/>
        </w:rPr>
        <w:pict>
          <v:rect id="_x0000_s1026" style="position:absolute;margin-left:1in;margin-top:0;width:468pt;height:.95pt;z-index:-251659264;mso-position-horizontal-relative:page" o:allowincell="f" fillcolor="black" stroked="f" strokeweight="0">
            <v:fill color2="black"/>
            <w10:wrap anchorx="page"/>
            <w10:anchorlock/>
          </v:rect>
        </w:pict>
      </w:r>
    </w:p>
    <w:tbl>
      <w:tblPr>
        <w:tblW w:w="0" w:type="auto"/>
        <w:tblInd w:w="120" w:type="dxa"/>
        <w:tblLayout w:type="fixed"/>
        <w:tblCellMar>
          <w:left w:w="120" w:type="dxa"/>
          <w:right w:w="120" w:type="dxa"/>
        </w:tblCellMar>
        <w:tblLook w:val="0000"/>
      </w:tblPr>
      <w:tblGrid>
        <w:gridCol w:w="2160"/>
        <w:gridCol w:w="1800"/>
        <w:gridCol w:w="1828"/>
        <w:gridCol w:w="1771"/>
        <w:gridCol w:w="1800"/>
      </w:tblGrid>
      <w:tr w:rsidR="00D913F2">
        <w:tc>
          <w:tcPr>
            <w:tcW w:w="2160" w:type="dxa"/>
          </w:tcPr>
          <w:p w:rsidR="00D913F2" w:rsidRPr="00D913F2" w:rsidRDefault="00D913F2" w:rsidP="00D913F2">
            <w:pPr>
              <w:widowControl/>
              <w:tabs>
                <w:tab w:val="left" w:pos="360"/>
              </w:tabs>
              <w:rPr>
                <w:rFonts w:ascii="Times New Roman" w:hAnsi="Times New Roman"/>
                <w:szCs w:val="24"/>
              </w:rPr>
            </w:pPr>
          </w:p>
        </w:tc>
        <w:tc>
          <w:tcPr>
            <w:tcW w:w="1800" w:type="dxa"/>
          </w:tcPr>
          <w:p w:rsidR="00D913F2" w:rsidRPr="00D913F2" w:rsidRDefault="00D913F2" w:rsidP="00D913F2">
            <w:pPr>
              <w:pStyle w:val="Heading3"/>
              <w:rPr>
                <w:szCs w:val="24"/>
              </w:rPr>
            </w:pPr>
            <w:r w:rsidRPr="00D913F2">
              <w:rPr>
                <w:szCs w:val="24"/>
              </w:rPr>
              <w:t>Number of</w:t>
            </w:r>
          </w:p>
          <w:p w:rsidR="00D913F2" w:rsidRPr="00D913F2" w:rsidRDefault="00D913F2" w:rsidP="00D913F2">
            <w:pPr>
              <w:widowControl/>
              <w:tabs>
                <w:tab w:val="left" w:pos="360"/>
              </w:tabs>
              <w:jc w:val="center"/>
              <w:rPr>
                <w:rFonts w:ascii="Times New Roman" w:hAnsi="Times New Roman"/>
                <w:szCs w:val="24"/>
              </w:rPr>
            </w:pPr>
            <w:r w:rsidRPr="00D913F2">
              <w:rPr>
                <w:rFonts w:ascii="Times New Roman" w:hAnsi="Times New Roman"/>
                <w:i/>
                <w:szCs w:val="24"/>
              </w:rPr>
              <w:t>respondents</w:t>
            </w:r>
          </w:p>
        </w:tc>
        <w:tc>
          <w:tcPr>
            <w:tcW w:w="1828" w:type="dxa"/>
          </w:tcPr>
          <w:p w:rsidR="00D913F2" w:rsidRPr="00D913F2" w:rsidRDefault="00D913F2" w:rsidP="00D913F2">
            <w:pPr>
              <w:pStyle w:val="Heading3"/>
              <w:rPr>
                <w:szCs w:val="24"/>
              </w:rPr>
            </w:pPr>
            <w:r w:rsidRPr="00D913F2">
              <w:rPr>
                <w:szCs w:val="24"/>
              </w:rPr>
              <w:t>Annual</w:t>
            </w:r>
          </w:p>
          <w:p w:rsidR="00D913F2" w:rsidRPr="00D913F2" w:rsidRDefault="00D913F2" w:rsidP="00D913F2">
            <w:pPr>
              <w:widowControl/>
              <w:tabs>
                <w:tab w:val="left" w:pos="360"/>
              </w:tabs>
              <w:jc w:val="center"/>
              <w:rPr>
                <w:rFonts w:ascii="Times New Roman" w:hAnsi="Times New Roman"/>
                <w:szCs w:val="24"/>
              </w:rPr>
            </w:pPr>
            <w:r w:rsidRPr="00D913F2">
              <w:rPr>
                <w:rFonts w:ascii="Times New Roman" w:hAnsi="Times New Roman"/>
                <w:i/>
                <w:szCs w:val="24"/>
              </w:rPr>
              <w:t>frequency</w:t>
            </w:r>
          </w:p>
        </w:tc>
        <w:tc>
          <w:tcPr>
            <w:tcW w:w="1771" w:type="dxa"/>
          </w:tcPr>
          <w:p w:rsidR="00D913F2" w:rsidRPr="00D913F2" w:rsidRDefault="00D913F2" w:rsidP="00D913F2">
            <w:pPr>
              <w:widowControl/>
              <w:tabs>
                <w:tab w:val="left" w:pos="360"/>
              </w:tabs>
              <w:jc w:val="center"/>
              <w:rPr>
                <w:rFonts w:ascii="Times New Roman" w:hAnsi="Times New Roman"/>
                <w:i/>
                <w:szCs w:val="24"/>
              </w:rPr>
            </w:pPr>
            <w:r w:rsidRPr="00D913F2">
              <w:rPr>
                <w:rFonts w:ascii="Times New Roman" w:hAnsi="Times New Roman"/>
                <w:i/>
                <w:szCs w:val="24"/>
              </w:rPr>
              <w:t>Estimated</w:t>
            </w:r>
          </w:p>
          <w:p w:rsidR="00D913F2" w:rsidRPr="00D913F2" w:rsidRDefault="00D913F2" w:rsidP="00D913F2">
            <w:pPr>
              <w:widowControl/>
              <w:tabs>
                <w:tab w:val="left" w:pos="360"/>
              </w:tabs>
              <w:jc w:val="center"/>
              <w:rPr>
                <w:rFonts w:ascii="Times New Roman" w:hAnsi="Times New Roman"/>
                <w:i/>
                <w:szCs w:val="24"/>
              </w:rPr>
            </w:pPr>
            <w:r w:rsidRPr="00D913F2">
              <w:rPr>
                <w:rFonts w:ascii="Times New Roman" w:hAnsi="Times New Roman"/>
                <w:i/>
                <w:szCs w:val="24"/>
              </w:rPr>
              <w:t>average hours</w:t>
            </w:r>
          </w:p>
          <w:p w:rsidR="00D913F2" w:rsidRPr="00D913F2" w:rsidRDefault="00D913F2" w:rsidP="00D913F2">
            <w:pPr>
              <w:widowControl/>
              <w:tabs>
                <w:tab w:val="left" w:pos="360"/>
              </w:tabs>
              <w:jc w:val="center"/>
              <w:rPr>
                <w:rFonts w:ascii="Times New Roman" w:hAnsi="Times New Roman"/>
                <w:szCs w:val="24"/>
              </w:rPr>
            </w:pPr>
            <w:r w:rsidRPr="00D913F2">
              <w:rPr>
                <w:rFonts w:ascii="Times New Roman" w:hAnsi="Times New Roman"/>
                <w:i/>
                <w:szCs w:val="24"/>
              </w:rPr>
              <w:t>per response</w:t>
            </w:r>
          </w:p>
        </w:tc>
        <w:tc>
          <w:tcPr>
            <w:tcW w:w="1800" w:type="dxa"/>
            <w:vAlign w:val="center"/>
          </w:tcPr>
          <w:p w:rsidR="00D913F2" w:rsidRPr="00D913F2" w:rsidRDefault="00D913F2" w:rsidP="00D913F2">
            <w:pPr>
              <w:widowControl/>
              <w:tabs>
                <w:tab w:val="left" w:pos="360"/>
              </w:tabs>
              <w:jc w:val="center"/>
              <w:rPr>
                <w:rFonts w:ascii="Times New Roman" w:hAnsi="Times New Roman"/>
                <w:i/>
                <w:iCs/>
                <w:szCs w:val="24"/>
              </w:rPr>
            </w:pPr>
            <w:r w:rsidRPr="00D913F2">
              <w:rPr>
                <w:rFonts w:ascii="Times New Roman" w:hAnsi="Times New Roman"/>
                <w:i/>
                <w:iCs/>
                <w:szCs w:val="24"/>
              </w:rPr>
              <w:t>Estimated</w:t>
            </w:r>
          </w:p>
          <w:p w:rsidR="00D913F2" w:rsidRPr="00D913F2" w:rsidRDefault="00D913F2" w:rsidP="00D913F2">
            <w:pPr>
              <w:widowControl/>
              <w:tabs>
                <w:tab w:val="left" w:pos="360"/>
              </w:tabs>
              <w:jc w:val="center"/>
              <w:rPr>
                <w:rFonts w:ascii="Times New Roman" w:hAnsi="Times New Roman"/>
                <w:i/>
                <w:iCs/>
                <w:szCs w:val="24"/>
              </w:rPr>
            </w:pPr>
            <w:r w:rsidRPr="00D913F2">
              <w:rPr>
                <w:rFonts w:ascii="Times New Roman" w:hAnsi="Times New Roman"/>
                <w:i/>
                <w:iCs/>
                <w:szCs w:val="24"/>
              </w:rPr>
              <w:t>annual burden</w:t>
            </w:r>
          </w:p>
          <w:p w:rsidR="00D913F2" w:rsidRPr="00D913F2" w:rsidRDefault="00D913F2" w:rsidP="00D913F2">
            <w:pPr>
              <w:widowControl/>
              <w:tabs>
                <w:tab w:val="left" w:pos="360"/>
              </w:tabs>
              <w:jc w:val="center"/>
              <w:rPr>
                <w:rFonts w:ascii="Times New Roman" w:hAnsi="Times New Roman"/>
                <w:szCs w:val="24"/>
              </w:rPr>
            </w:pPr>
            <w:r w:rsidRPr="00D913F2">
              <w:rPr>
                <w:rFonts w:ascii="Times New Roman" w:hAnsi="Times New Roman"/>
                <w:i/>
                <w:iCs/>
                <w:szCs w:val="24"/>
              </w:rPr>
              <w:t>hours</w:t>
            </w:r>
          </w:p>
        </w:tc>
      </w:tr>
      <w:tr w:rsidR="00D913F2">
        <w:trPr>
          <w:trHeight w:val="300"/>
        </w:trPr>
        <w:tc>
          <w:tcPr>
            <w:tcW w:w="2160" w:type="dxa"/>
          </w:tcPr>
          <w:p w:rsidR="00D913F2" w:rsidRPr="00D913F2" w:rsidRDefault="00D913F2" w:rsidP="00D913F2">
            <w:pPr>
              <w:pStyle w:val="Heading2"/>
              <w:jc w:val="left"/>
              <w:rPr>
                <w:b/>
                <w:i w:val="0"/>
                <w:szCs w:val="24"/>
              </w:rPr>
            </w:pPr>
          </w:p>
        </w:tc>
        <w:tc>
          <w:tcPr>
            <w:tcW w:w="1800" w:type="dxa"/>
          </w:tcPr>
          <w:p w:rsidR="00D913F2" w:rsidRPr="00D913F2" w:rsidRDefault="00D913F2" w:rsidP="00D913F2">
            <w:pPr>
              <w:widowControl/>
              <w:spacing w:after="19"/>
              <w:jc w:val="center"/>
              <w:rPr>
                <w:rFonts w:ascii="Times New Roman" w:hAnsi="Times New Roman"/>
                <w:szCs w:val="24"/>
              </w:rPr>
            </w:pPr>
          </w:p>
        </w:tc>
        <w:tc>
          <w:tcPr>
            <w:tcW w:w="1828" w:type="dxa"/>
          </w:tcPr>
          <w:p w:rsidR="00D913F2" w:rsidRPr="00D913F2" w:rsidRDefault="00D913F2" w:rsidP="00D913F2">
            <w:pPr>
              <w:widowControl/>
              <w:spacing w:after="19"/>
              <w:jc w:val="center"/>
              <w:rPr>
                <w:rFonts w:ascii="Times New Roman" w:hAnsi="Times New Roman"/>
                <w:szCs w:val="24"/>
              </w:rPr>
            </w:pPr>
          </w:p>
        </w:tc>
        <w:tc>
          <w:tcPr>
            <w:tcW w:w="1771" w:type="dxa"/>
          </w:tcPr>
          <w:p w:rsidR="00D913F2" w:rsidRPr="00D913F2" w:rsidRDefault="00D913F2" w:rsidP="00D913F2">
            <w:pPr>
              <w:widowControl/>
              <w:spacing w:after="19"/>
              <w:jc w:val="center"/>
              <w:rPr>
                <w:rFonts w:ascii="Times New Roman" w:hAnsi="Times New Roman"/>
                <w:szCs w:val="24"/>
              </w:rPr>
            </w:pPr>
          </w:p>
        </w:tc>
        <w:tc>
          <w:tcPr>
            <w:tcW w:w="1800" w:type="dxa"/>
            <w:vAlign w:val="bottom"/>
          </w:tcPr>
          <w:p w:rsidR="00D913F2" w:rsidRPr="00D913F2" w:rsidRDefault="00D913F2" w:rsidP="00D913F2">
            <w:pPr>
              <w:tabs>
                <w:tab w:val="right" w:pos="1152"/>
              </w:tabs>
              <w:rPr>
                <w:rFonts w:ascii="Times New Roman" w:hAnsi="Times New Roman"/>
                <w:noProof/>
                <w:snapToGrid/>
                <w:szCs w:val="24"/>
              </w:rPr>
            </w:pPr>
          </w:p>
        </w:tc>
      </w:tr>
      <w:tr w:rsidR="004E1853">
        <w:trPr>
          <w:trHeight w:val="300"/>
        </w:trPr>
        <w:tc>
          <w:tcPr>
            <w:tcW w:w="2160" w:type="dxa"/>
          </w:tcPr>
          <w:p w:rsidR="004E1853" w:rsidRPr="00D913F2" w:rsidRDefault="004E1853" w:rsidP="00D913F2">
            <w:pPr>
              <w:pStyle w:val="Heading1"/>
              <w:widowControl w:val="0"/>
              <w:rPr>
                <w:rFonts w:ascii="Times New Roman" w:hAnsi="Times New Roman"/>
                <w:b w:val="0"/>
                <w:szCs w:val="24"/>
              </w:rPr>
            </w:pPr>
            <w:r w:rsidRPr="00D913F2">
              <w:rPr>
                <w:rFonts w:ascii="Times New Roman" w:hAnsi="Times New Roman"/>
                <w:b w:val="0"/>
                <w:szCs w:val="24"/>
              </w:rPr>
              <w:t>FFIEC 0</w:t>
            </w:r>
            <w:r>
              <w:rPr>
                <w:rFonts w:ascii="Times New Roman" w:hAnsi="Times New Roman"/>
                <w:b w:val="0"/>
                <w:szCs w:val="24"/>
              </w:rPr>
              <w:t>1</w:t>
            </w:r>
            <w:r w:rsidRPr="00D913F2">
              <w:rPr>
                <w:rFonts w:ascii="Times New Roman" w:hAnsi="Times New Roman"/>
                <w:b w:val="0"/>
                <w:szCs w:val="24"/>
              </w:rPr>
              <w:t>9</w:t>
            </w:r>
          </w:p>
        </w:tc>
        <w:tc>
          <w:tcPr>
            <w:tcW w:w="1800" w:type="dxa"/>
          </w:tcPr>
          <w:p w:rsidR="004E1853" w:rsidRDefault="00BA3351" w:rsidP="00D913F2">
            <w:pPr>
              <w:pStyle w:val="Header"/>
              <w:tabs>
                <w:tab w:val="clear" w:pos="4320"/>
                <w:tab w:val="clear" w:pos="8640"/>
                <w:tab w:val="right" w:pos="870"/>
              </w:tabs>
              <w:jc w:val="center"/>
              <w:rPr>
                <w:rFonts w:ascii="Times New Roman" w:hAnsi="Times New Roman"/>
                <w:szCs w:val="24"/>
              </w:rPr>
            </w:pPr>
            <w:r>
              <w:rPr>
                <w:rFonts w:ascii="Times New Roman" w:hAnsi="Times New Roman"/>
                <w:szCs w:val="24"/>
              </w:rPr>
              <w:t>1</w:t>
            </w:r>
            <w:r w:rsidR="00F44551">
              <w:rPr>
                <w:rFonts w:ascii="Times New Roman" w:hAnsi="Times New Roman"/>
                <w:szCs w:val="24"/>
              </w:rPr>
              <w:t>68</w:t>
            </w:r>
          </w:p>
        </w:tc>
        <w:tc>
          <w:tcPr>
            <w:tcW w:w="1828" w:type="dxa"/>
            <w:vAlign w:val="center"/>
          </w:tcPr>
          <w:p w:rsidR="004E1853" w:rsidRPr="00D913F2" w:rsidRDefault="004E1853" w:rsidP="00D913F2">
            <w:pPr>
              <w:ind w:right="-2"/>
              <w:jc w:val="center"/>
              <w:rPr>
                <w:rFonts w:ascii="Times New Roman" w:hAnsi="Times New Roman"/>
                <w:szCs w:val="24"/>
              </w:rPr>
            </w:pPr>
            <w:r w:rsidRPr="00D913F2">
              <w:rPr>
                <w:rFonts w:ascii="Times New Roman" w:hAnsi="Times New Roman"/>
                <w:szCs w:val="24"/>
              </w:rPr>
              <w:t>4</w:t>
            </w:r>
          </w:p>
        </w:tc>
        <w:tc>
          <w:tcPr>
            <w:tcW w:w="1771" w:type="dxa"/>
          </w:tcPr>
          <w:p w:rsidR="004E1853" w:rsidRDefault="004E1853" w:rsidP="00D913F2">
            <w:pPr>
              <w:pStyle w:val="Header"/>
              <w:tabs>
                <w:tab w:val="clear" w:pos="4320"/>
                <w:tab w:val="clear" w:pos="8640"/>
              </w:tabs>
              <w:jc w:val="center"/>
              <w:rPr>
                <w:rFonts w:ascii="Times New Roman" w:hAnsi="Times New Roman"/>
                <w:szCs w:val="24"/>
              </w:rPr>
            </w:pPr>
            <w:r>
              <w:rPr>
                <w:rFonts w:ascii="Times New Roman" w:hAnsi="Times New Roman"/>
                <w:szCs w:val="24"/>
              </w:rPr>
              <w:t>1</w:t>
            </w:r>
            <w:r w:rsidRPr="00D913F2">
              <w:rPr>
                <w:rFonts w:ascii="Times New Roman" w:hAnsi="Times New Roman"/>
                <w:szCs w:val="24"/>
              </w:rPr>
              <w:t>0</w:t>
            </w:r>
          </w:p>
        </w:tc>
        <w:tc>
          <w:tcPr>
            <w:tcW w:w="1800" w:type="dxa"/>
          </w:tcPr>
          <w:p w:rsidR="004E1853" w:rsidRPr="00D913F2" w:rsidRDefault="004E1853" w:rsidP="00F44551">
            <w:pPr>
              <w:tabs>
                <w:tab w:val="right" w:pos="1152"/>
              </w:tabs>
              <w:rPr>
                <w:rFonts w:ascii="Times New Roman" w:hAnsi="Times New Roman"/>
                <w:szCs w:val="24"/>
              </w:rPr>
            </w:pPr>
            <w:r w:rsidRPr="00D913F2">
              <w:rPr>
                <w:rFonts w:ascii="Times New Roman" w:hAnsi="Times New Roman"/>
                <w:szCs w:val="24"/>
              </w:rPr>
              <w:tab/>
            </w:r>
            <w:r w:rsidR="00F44551">
              <w:rPr>
                <w:rFonts w:ascii="Times New Roman" w:hAnsi="Times New Roman"/>
                <w:szCs w:val="24"/>
              </w:rPr>
              <w:t>6,720</w:t>
            </w:r>
          </w:p>
        </w:tc>
      </w:tr>
      <w:tr w:rsidR="00D913F2">
        <w:trPr>
          <w:trHeight w:val="300"/>
        </w:trPr>
        <w:tc>
          <w:tcPr>
            <w:tcW w:w="2160" w:type="dxa"/>
          </w:tcPr>
          <w:p w:rsidR="00D913F2" w:rsidRPr="00D913F2" w:rsidRDefault="00D913F2" w:rsidP="00D913F2">
            <w:pPr>
              <w:pStyle w:val="Heading1"/>
              <w:widowControl w:val="0"/>
              <w:rPr>
                <w:rFonts w:ascii="Times New Roman" w:hAnsi="Times New Roman"/>
                <w:b w:val="0"/>
                <w:bCs w:val="0"/>
                <w:szCs w:val="24"/>
              </w:rPr>
            </w:pPr>
          </w:p>
        </w:tc>
        <w:tc>
          <w:tcPr>
            <w:tcW w:w="1800" w:type="dxa"/>
          </w:tcPr>
          <w:p w:rsidR="00D913F2" w:rsidRPr="00D913F2" w:rsidRDefault="00D913F2" w:rsidP="00D913F2">
            <w:pPr>
              <w:pStyle w:val="Header"/>
              <w:tabs>
                <w:tab w:val="clear" w:pos="4320"/>
                <w:tab w:val="clear" w:pos="8640"/>
                <w:tab w:val="right" w:pos="870"/>
              </w:tabs>
              <w:jc w:val="center"/>
              <w:rPr>
                <w:rFonts w:ascii="Times New Roman" w:hAnsi="Times New Roman"/>
                <w:szCs w:val="24"/>
              </w:rPr>
            </w:pPr>
          </w:p>
        </w:tc>
        <w:tc>
          <w:tcPr>
            <w:tcW w:w="1828" w:type="dxa"/>
            <w:vAlign w:val="center"/>
          </w:tcPr>
          <w:p w:rsidR="00D913F2" w:rsidRPr="00D913F2" w:rsidRDefault="00D913F2" w:rsidP="00D913F2">
            <w:pPr>
              <w:ind w:right="-2"/>
              <w:jc w:val="center"/>
              <w:rPr>
                <w:rFonts w:ascii="Times New Roman" w:hAnsi="Times New Roman"/>
                <w:szCs w:val="24"/>
              </w:rPr>
            </w:pPr>
          </w:p>
        </w:tc>
        <w:tc>
          <w:tcPr>
            <w:tcW w:w="1771" w:type="dxa"/>
          </w:tcPr>
          <w:p w:rsidR="00D913F2" w:rsidRPr="00D913F2" w:rsidRDefault="00D913F2" w:rsidP="00D913F2">
            <w:pPr>
              <w:pStyle w:val="Header"/>
              <w:tabs>
                <w:tab w:val="clear" w:pos="4320"/>
                <w:tab w:val="clear" w:pos="8640"/>
              </w:tabs>
              <w:jc w:val="center"/>
              <w:rPr>
                <w:rFonts w:ascii="Times New Roman" w:hAnsi="Times New Roman"/>
                <w:szCs w:val="24"/>
              </w:rPr>
            </w:pPr>
          </w:p>
        </w:tc>
        <w:tc>
          <w:tcPr>
            <w:tcW w:w="1800" w:type="dxa"/>
          </w:tcPr>
          <w:p w:rsidR="00D913F2" w:rsidRPr="00D913F2" w:rsidRDefault="00D913F2" w:rsidP="00D913F2">
            <w:pPr>
              <w:tabs>
                <w:tab w:val="right" w:pos="1152"/>
              </w:tabs>
              <w:rPr>
                <w:rFonts w:ascii="Times New Roman" w:hAnsi="Times New Roman"/>
                <w:szCs w:val="24"/>
              </w:rPr>
            </w:pPr>
          </w:p>
        </w:tc>
      </w:tr>
    </w:tbl>
    <w:p w:rsidR="0057669C" w:rsidRPr="00136927" w:rsidRDefault="00D47F6B">
      <w:pPr>
        <w:tabs>
          <w:tab w:val="left" w:pos="-720"/>
          <w:tab w:val="left" w:pos="0"/>
          <w:tab w:val="left" w:pos="720"/>
          <w:tab w:val="left" w:pos="1440"/>
          <w:tab w:val="left" w:pos="2160"/>
          <w:tab w:val="left" w:pos="2880"/>
          <w:tab w:val="left" w:pos="3600"/>
          <w:tab w:val="left" w:pos="4320"/>
          <w:tab w:val="left" w:pos="4860"/>
          <w:tab w:val="left" w:pos="5760"/>
          <w:tab w:val="left" w:pos="6570"/>
          <w:tab w:val="left" w:pos="7290"/>
          <w:tab w:val="left" w:pos="7920"/>
          <w:tab w:val="left" w:pos="8640"/>
          <w:tab w:val="left" w:pos="9360"/>
        </w:tabs>
        <w:spacing w:line="19" w:lineRule="exact"/>
        <w:rPr>
          <w:rFonts w:ascii="Times New Roman" w:hAnsi="Times New Roman"/>
        </w:rPr>
      </w:pPr>
      <w:r>
        <w:rPr>
          <w:rFonts w:ascii="Times New Roman" w:hAnsi="Times New Roman"/>
          <w:noProof/>
          <w:snapToGrid/>
        </w:rPr>
        <w:pict>
          <v:rect id="_x0000_s1027" style="position:absolute;margin-left:1in;margin-top:0;width:468pt;height:.95pt;z-index:-251658240;mso-position-horizontal-relative:page;mso-position-vertical-relative:text" o:allowincell="f" fillcolor="black" stroked="f" strokeweight="0">
            <v:fill color2="black"/>
            <w10:wrap anchorx="page"/>
            <w10:anchorlock/>
          </v:rect>
        </w:pict>
      </w:r>
    </w:p>
    <w:p w:rsidR="0057669C" w:rsidRPr="00136927" w:rsidRDefault="0057669C" w:rsidP="00076BAD">
      <w:pPr>
        <w:tabs>
          <w:tab w:val="left" w:pos="-720"/>
          <w:tab w:val="left" w:pos="0"/>
          <w:tab w:val="left" w:pos="720"/>
          <w:tab w:val="left" w:pos="1440"/>
          <w:tab w:val="left" w:pos="2160"/>
          <w:tab w:val="left" w:pos="2880"/>
          <w:tab w:val="left" w:pos="3600"/>
          <w:tab w:val="left" w:pos="4320"/>
          <w:tab w:val="left" w:pos="4860"/>
          <w:tab w:val="left" w:pos="5760"/>
          <w:tab w:val="left" w:pos="6570"/>
          <w:tab w:val="left" w:pos="7290"/>
          <w:tab w:val="left" w:pos="7920"/>
          <w:tab w:val="left" w:pos="8640"/>
          <w:tab w:val="left" w:pos="9360"/>
        </w:tabs>
        <w:rPr>
          <w:rFonts w:ascii="Times New Roman" w:hAnsi="Times New Roman"/>
        </w:rPr>
      </w:pPr>
    </w:p>
    <w:p w:rsidR="00506D6C" w:rsidRDefault="00506D6C" w:rsidP="00506D6C">
      <w:pPr>
        <w:pStyle w:val="BodyTextIndent"/>
        <w:tabs>
          <w:tab w:val="clear" w:pos="-1440"/>
          <w:tab w:val="clear" w:pos="-720"/>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jc w:val="both"/>
      </w:pPr>
      <w:r w:rsidRPr="00EB50D5">
        <w:t>The total cost to the public is estimated to be</w:t>
      </w:r>
      <w:r>
        <w:t xml:space="preserve"> $</w:t>
      </w:r>
      <w:r w:rsidR="00F44551">
        <w:t>301</w:t>
      </w:r>
      <w:r>
        <w:t>,</w:t>
      </w:r>
      <w:r w:rsidR="00F44551">
        <w:t>392</w:t>
      </w:r>
      <w:r>
        <w:t>.</w:t>
      </w:r>
      <w:r w:rsidR="00F44551" w:rsidRPr="00F44551">
        <w:rPr>
          <w:rStyle w:val="FootnoteReference"/>
          <w:vertAlign w:val="superscript"/>
        </w:rPr>
        <w:footnoteReference w:id="1"/>
      </w:r>
    </w:p>
    <w:p w:rsidR="0057669C" w:rsidRDefault="0057669C">
      <w:pPr>
        <w:tabs>
          <w:tab w:val="left" w:pos="-720"/>
          <w:tab w:val="left" w:pos="0"/>
          <w:tab w:val="left" w:pos="720"/>
          <w:tab w:val="left" w:pos="1440"/>
          <w:tab w:val="left" w:pos="2160"/>
          <w:tab w:val="left" w:pos="2880"/>
          <w:tab w:val="left" w:pos="3600"/>
          <w:tab w:val="left" w:pos="4320"/>
          <w:tab w:val="left" w:pos="4860"/>
          <w:tab w:val="left" w:pos="5760"/>
          <w:tab w:val="left" w:pos="6570"/>
          <w:tab w:val="left" w:pos="7290"/>
          <w:tab w:val="left" w:pos="7920"/>
          <w:tab w:val="left" w:pos="8640"/>
          <w:tab w:val="left" w:pos="9360"/>
        </w:tabs>
        <w:rPr>
          <w:rFonts w:ascii="Times New Roman" w:hAnsi="Times New Roman"/>
        </w:rPr>
      </w:pPr>
    </w:p>
    <w:p w:rsidR="00076BAD" w:rsidRPr="00136927" w:rsidRDefault="00361D6F" w:rsidP="00076BAD">
      <w:pPr>
        <w:rPr>
          <w:rFonts w:ascii="Times New Roman" w:hAnsi="Times New Roman"/>
        </w:rPr>
      </w:pPr>
      <w:r>
        <w:rPr>
          <w:rFonts w:ascii="Times New Roman" w:hAnsi="Times New Roman"/>
          <w:b/>
        </w:rPr>
        <w:br w:type="page"/>
      </w:r>
      <w:r w:rsidR="00076BAD" w:rsidRPr="00136927">
        <w:rPr>
          <w:rFonts w:ascii="Times New Roman" w:hAnsi="Times New Roman"/>
          <w:b/>
        </w:rPr>
        <w:lastRenderedPageBreak/>
        <w:t>Sensitive Questions</w:t>
      </w:r>
    </w:p>
    <w:p w:rsidR="00076BAD" w:rsidRPr="00136927" w:rsidRDefault="00076BAD" w:rsidP="00076BAD">
      <w:pPr>
        <w:rPr>
          <w:rFonts w:ascii="Times New Roman" w:hAnsi="Times New Roman"/>
        </w:rPr>
      </w:pPr>
    </w:p>
    <w:p w:rsidR="00076BAD" w:rsidRDefault="00076BAD" w:rsidP="003B77A2">
      <w:pPr>
        <w:ind w:firstLine="720"/>
        <w:rPr>
          <w:rFonts w:ascii="Times New Roman" w:hAnsi="Times New Roman"/>
        </w:rPr>
      </w:pPr>
      <w:r w:rsidRPr="00136927">
        <w:rPr>
          <w:rFonts w:ascii="Times New Roman" w:hAnsi="Times New Roman"/>
        </w:rPr>
        <w:t>This collection of information contains no questions of a sensitive nature, as defined by OMB guidelines.</w:t>
      </w:r>
    </w:p>
    <w:p w:rsidR="00815AAB" w:rsidRPr="00136927" w:rsidRDefault="00815AAB" w:rsidP="00815AAB">
      <w:pPr>
        <w:jc w:val="both"/>
        <w:rPr>
          <w:rFonts w:ascii="Times New Roman" w:hAnsi="Times New Roman"/>
        </w:rPr>
      </w:pPr>
    </w:p>
    <w:p w:rsidR="0057669C" w:rsidRPr="00136927" w:rsidRDefault="0057669C">
      <w:pPr>
        <w:tabs>
          <w:tab w:val="left" w:pos="-720"/>
          <w:tab w:val="left" w:pos="0"/>
          <w:tab w:val="left" w:pos="720"/>
          <w:tab w:val="left" w:pos="1440"/>
          <w:tab w:val="left" w:pos="2160"/>
          <w:tab w:val="left" w:pos="2880"/>
          <w:tab w:val="left" w:pos="3600"/>
          <w:tab w:val="left" w:pos="4320"/>
          <w:tab w:val="left" w:pos="4860"/>
          <w:tab w:val="left" w:pos="5760"/>
          <w:tab w:val="left" w:pos="6570"/>
          <w:tab w:val="left" w:pos="7290"/>
          <w:tab w:val="left" w:pos="7920"/>
          <w:tab w:val="left" w:pos="8640"/>
          <w:tab w:val="left" w:pos="9360"/>
        </w:tabs>
        <w:rPr>
          <w:rFonts w:ascii="Times New Roman" w:hAnsi="Times New Roman"/>
        </w:rPr>
      </w:pPr>
      <w:r w:rsidRPr="00136927">
        <w:rPr>
          <w:rFonts w:ascii="Times New Roman" w:hAnsi="Times New Roman"/>
          <w:b/>
        </w:rPr>
        <w:t>Estimate</w:t>
      </w:r>
      <w:r w:rsidR="00076BAD">
        <w:rPr>
          <w:rFonts w:ascii="Times New Roman" w:hAnsi="Times New Roman"/>
          <w:b/>
        </w:rPr>
        <w:t xml:space="preserve"> of</w:t>
      </w:r>
      <w:r w:rsidRPr="00136927">
        <w:rPr>
          <w:rFonts w:ascii="Times New Roman" w:hAnsi="Times New Roman"/>
          <w:b/>
        </w:rPr>
        <w:t xml:space="preserve"> Cost to the Federal Reserve System</w:t>
      </w:r>
    </w:p>
    <w:p w:rsidR="0057669C" w:rsidRPr="00136927" w:rsidRDefault="0057669C">
      <w:pPr>
        <w:tabs>
          <w:tab w:val="left" w:pos="-720"/>
          <w:tab w:val="left" w:pos="0"/>
          <w:tab w:val="left" w:pos="720"/>
          <w:tab w:val="left" w:pos="1440"/>
          <w:tab w:val="left" w:pos="2160"/>
          <w:tab w:val="left" w:pos="2880"/>
          <w:tab w:val="left" w:pos="3600"/>
          <w:tab w:val="left" w:pos="4320"/>
          <w:tab w:val="left" w:pos="4860"/>
          <w:tab w:val="left" w:pos="5760"/>
          <w:tab w:val="left" w:pos="6570"/>
          <w:tab w:val="left" w:pos="7290"/>
          <w:tab w:val="left" w:pos="7920"/>
          <w:tab w:val="left" w:pos="8640"/>
          <w:tab w:val="left" w:pos="9360"/>
        </w:tabs>
        <w:rPr>
          <w:rFonts w:ascii="Times New Roman" w:hAnsi="Times New Roman"/>
        </w:rPr>
      </w:pPr>
    </w:p>
    <w:p w:rsidR="0057669C" w:rsidRPr="00136927" w:rsidRDefault="0057669C" w:rsidP="003B77A2">
      <w:pPr>
        <w:tabs>
          <w:tab w:val="left" w:pos="-720"/>
          <w:tab w:val="left" w:pos="0"/>
          <w:tab w:val="left" w:pos="720"/>
          <w:tab w:val="left" w:pos="1440"/>
          <w:tab w:val="left" w:pos="2160"/>
          <w:tab w:val="left" w:pos="2880"/>
          <w:tab w:val="left" w:pos="3600"/>
          <w:tab w:val="left" w:pos="4320"/>
          <w:tab w:val="left" w:pos="4860"/>
          <w:tab w:val="left" w:pos="5760"/>
          <w:tab w:val="left" w:pos="6570"/>
          <w:tab w:val="left" w:pos="7290"/>
          <w:tab w:val="left" w:pos="7920"/>
          <w:tab w:val="left" w:pos="8640"/>
          <w:tab w:val="left" w:pos="9360"/>
        </w:tabs>
        <w:ind w:firstLine="720"/>
        <w:rPr>
          <w:rFonts w:ascii="Times New Roman" w:hAnsi="Times New Roman"/>
        </w:rPr>
      </w:pPr>
      <w:r w:rsidRPr="00136927">
        <w:rPr>
          <w:rFonts w:ascii="Times New Roman" w:hAnsi="Times New Roman"/>
        </w:rPr>
        <w:t>The annual cost to the Federal Reserve System for collecting and processing the FFIEC</w:t>
      </w:r>
      <w:r w:rsidR="00FE0230">
        <w:rPr>
          <w:rFonts w:ascii="Times New Roman" w:hAnsi="Times New Roman"/>
        </w:rPr>
        <w:t> </w:t>
      </w:r>
      <w:r w:rsidRPr="00136927">
        <w:rPr>
          <w:rFonts w:ascii="Times New Roman" w:hAnsi="Times New Roman"/>
        </w:rPr>
        <w:t>019 reports is estimated to be $160,000.  The Federal Reserve System collects and processes the data for all three of the federal bank regulatory agencies.</w:t>
      </w:r>
    </w:p>
    <w:sectPr w:rsidR="0057669C" w:rsidRPr="00136927" w:rsidSect="00D913F2">
      <w:footerReference w:type="default" r:id="rId8"/>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D99" w:rsidRDefault="004A3D99">
      <w:r>
        <w:separator/>
      </w:r>
    </w:p>
  </w:endnote>
  <w:endnote w:type="continuationSeparator" w:id="0">
    <w:p w:rsidR="004A3D99" w:rsidRDefault="004A3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altName w:val="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D99" w:rsidRPr="00136927" w:rsidRDefault="00D47F6B" w:rsidP="00136927">
    <w:pPr>
      <w:pStyle w:val="Footer"/>
      <w:jc w:val="center"/>
      <w:rPr>
        <w:rFonts w:ascii="Times New Roman" w:hAnsi="Times New Roman"/>
      </w:rPr>
    </w:pPr>
    <w:r w:rsidRPr="00136927">
      <w:rPr>
        <w:rStyle w:val="PageNumber"/>
        <w:rFonts w:ascii="Times New Roman" w:hAnsi="Times New Roman"/>
      </w:rPr>
      <w:fldChar w:fldCharType="begin"/>
    </w:r>
    <w:r w:rsidR="004A3D99" w:rsidRPr="00136927">
      <w:rPr>
        <w:rStyle w:val="PageNumber"/>
        <w:rFonts w:ascii="Times New Roman" w:hAnsi="Times New Roman"/>
      </w:rPr>
      <w:instrText xml:space="preserve"> PAGE </w:instrText>
    </w:r>
    <w:r w:rsidRPr="00136927">
      <w:rPr>
        <w:rStyle w:val="PageNumber"/>
        <w:rFonts w:ascii="Times New Roman" w:hAnsi="Times New Roman"/>
      </w:rPr>
      <w:fldChar w:fldCharType="separate"/>
    </w:r>
    <w:r w:rsidR="00982790">
      <w:rPr>
        <w:rStyle w:val="PageNumber"/>
        <w:rFonts w:ascii="Times New Roman" w:hAnsi="Times New Roman"/>
        <w:noProof/>
      </w:rPr>
      <w:t>3</w:t>
    </w:r>
    <w:r w:rsidRPr="00136927">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D99" w:rsidRDefault="004A3D99">
      <w:r>
        <w:separator/>
      </w:r>
    </w:p>
  </w:footnote>
  <w:footnote w:type="continuationSeparator" w:id="0">
    <w:p w:rsidR="004A3D99" w:rsidRDefault="004A3D99">
      <w:r>
        <w:continuationSeparator/>
      </w:r>
    </w:p>
  </w:footnote>
  <w:footnote w:id="1">
    <w:p w:rsidR="004A3D99" w:rsidRDefault="004A3D99">
      <w:pPr>
        <w:pStyle w:val="FootnoteText"/>
      </w:pPr>
      <w:r w:rsidRPr="00F44551">
        <w:rPr>
          <w:rStyle w:val="FootnoteReference"/>
          <w:vertAlign w:val="superscript"/>
        </w:rPr>
        <w:footnoteRef/>
      </w:r>
      <w:r w:rsidRPr="00F44551">
        <w:rPr>
          <w:vertAlign w:val="superscript"/>
        </w:rPr>
        <w:t xml:space="preserve"> </w:t>
      </w:r>
      <w:r w:rsidRPr="00F44551">
        <w:t xml:space="preserve">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www.bls.gov/news.release/ocwage.nr0.htm  Occupations are defined using the BLS Occupational Classification System,  www.bls.gov/soc/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9385A"/>
    <w:multiLevelType w:val="hybridMultilevel"/>
    <w:tmpl w:val="06E01866"/>
    <w:lvl w:ilvl="0" w:tplc="02F6CE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BF24C7"/>
    <w:rsid w:val="00002D04"/>
    <w:rsid w:val="00003549"/>
    <w:rsid w:val="000274F5"/>
    <w:rsid w:val="000572A6"/>
    <w:rsid w:val="00076BAD"/>
    <w:rsid w:val="00086FC1"/>
    <w:rsid w:val="000A0FC1"/>
    <w:rsid w:val="000E6779"/>
    <w:rsid w:val="00136927"/>
    <w:rsid w:val="00196008"/>
    <w:rsid w:val="001D7F21"/>
    <w:rsid w:val="00231660"/>
    <w:rsid w:val="002369D5"/>
    <w:rsid w:val="00294E1E"/>
    <w:rsid w:val="002958A6"/>
    <w:rsid w:val="002E4B4C"/>
    <w:rsid w:val="00354F8C"/>
    <w:rsid w:val="00361D6F"/>
    <w:rsid w:val="00384CE9"/>
    <w:rsid w:val="003B2E58"/>
    <w:rsid w:val="003B77A2"/>
    <w:rsid w:val="00487B36"/>
    <w:rsid w:val="004A3D99"/>
    <w:rsid w:val="004E1853"/>
    <w:rsid w:val="00506D6C"/>
    <w:rsid w:val="00560A96"/>
    <w:rsid w:val="0057669C"/>
    <w:rsid w:val="00586E08"/>
    <w:rsid w:val="00597BFE"/>
    <w:rsid w:val="007064C1"/>
    <w:rsid w:val="00712A5A"/>
    <w:rsid w:val="00774773"/>
    <w:rsid w:val="007D6E00"/>
    <w:rsid w:val="007F1940"/>
    <w:rsid w:val="00815AAB"/>
    <w:rsid w:val="0085162C"/>
    <w:rsid w:val="00892097"/>
    <w:rsid w:val="008A3B7F"/>
    <w:rsid w:val="008F342E"/>
    <w:rsid w:val="00932FBF"/>
    <w:rsid w:val="00946D21"/>
    <w:rsid w:val="00982790"/>
    <w:rsid w:val="00AF2A77"/>
    <w:rsid w:val="00AF4D83"/>
    <w:rsid w:val="00B55FBC"/>
    <w:rsid w:val="00B64E67"/>
    <w:rsid w:val="00BA3351"/>
    <w:rsid w:val="00BA535A"/>
    <w:rsid w:val="00BF24C7"/>
    <w:rsid w:val="00C8386F"/>
    <w:rsid w:val="00C87E5B"/>
    <w:rsid w:val="00D23B7B"/>
    <w:rsid w:val="00D252D4"/>
    <w:rsid w:val="00D47F6B"/>
    <w:rsid w:val="00D76615"/>
    <w:rsid w:val="00D913F2"/>
    <w:rsid w:val="00DB3C63"/>
    <w:rsid w:val="00E97C1C"/>
    <w:rsid w:val="00EC6B8D"/>
    <w:rsid w:val="00F44551"/>
    <w:rsid w:val="00F74EA2"/>
    <w:rsid w:val="00FE0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EA2"/>
    <w:pPr>
      <w:widowControl w:val="0"/>
    </w:pPr>
    <w:rPr>
      <w:rFonts w:ascii="Courier" w:hAnsi="Courier"/>
      <w:snapToGrid w:val="0"/>
      <w:sz w:val="24"/>
    </w:rPr>
  </w:style>
  <w:style w:type="paragraph" w:styleId="Heading1">
    <w:name w:val="heading 1"/>
    <w:basedOn w:val="Normal"/>
    <w:next w:val="Normal"/>
    <w:qFormat/>
    <w:rsid w:val="00D913F2"/>
    <w:pPr>
      <w:keepNext/>
      <w:widowControl/>
      <w:jc w:val="both"/>
      <w:outlineLvl w:val="0"/>
    </w:pPr>
    <w:rPr>
      <w:rFonts w:ascii="Times" w:hAnsi="Times"/>
      <w:b/>
      <w:bCs/>
    </w:rPr>
  </w:style>
  <w:style w:type="paragraph" w:styleId="Heading2">
    <w:name w:val="heading 2"/>
    <w:basedOn w:val="Normal"/>
    <w:next w:val="Normal"/>
    <w:qFormat/>
    <w:rsid w:val="00D913F2"/>
    <w:pPr>
      <w:keepNext/>
      <w:widowControl/>
      <w:tabs>
        <w:tab w:val="left" w:pos="360"/>
      </w:tabs>
      <w:jc w:val="right"/>
      <w:outlineLvl w:val="1"/>
    </w:pPr>
    <w:rPr>
      <w:rFonts w:ascii="Times New Roman" w:hAnsi="Times New Roman"/>
      <w:i/>
    </w:rPr>
  </w:style>
  <w:style w:type="paragraph" w:styleId="Heading3">
    <w:name w:val="heading 3"/>
    <w:basedOn w:val="Normal"/>
    <w:next w:val="Normal"/>
    <w:qFormat/>
    <w:rsid w:val="00D913F2"/>
    <w:pPr>
      <w:keepNext/>
      <w:widowControl/>
      <w:tabs>
        <w:tab w:val="left" w:pos="360"/>
      </w:tabs>
      <w:jc w:val="center"/>
      <w:outlineLvl w:val="2"/>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4EA2"/>
  </w:style>
  <w:style w:type="paragraph" w:styleId="Header">
    <w:name w:val="header"/>
    <w:basedOn w:val="Normal"/>
    <w:link w:val="HeaderChar"/>
    <w:rsid w:val="00F74EA2"/>
    <w:pPr>
      <w:tabs>
        <w:tab w:val="center" w:pos="4320"/>
        <w:tab w:val="right" w:pos="8640"/>
      </w:tabs>
    </w:pPr>
  </w:style>
  <w:style w:type="paragraph" w:styleId="Footer">
    <w:name w:val="footer"/>
    <w:basedOn w:val="Normal"/>
    <w:rsid w:val="00F74EA2"/>
    <w:pPr>
      <w:tabs>
        <w:tab w:val="center" w:pos="4320"/>
        <w:tab w:val="right" w:pos="8640"/>
      </w:tabs>
    </w:pPr>
  </w:style>
  <w:style w:type="paragraph" w:styleId="Title">
    <w:name w:val="Title"/>
    <w:basedOn w:val="Normal"/>
    <w:qFormat/>
    <w:rsid w:val="00F74EA2"/>
    <w:pPr>
      <w:jc w:val="center"/>
    </w:pPr>
    <w:rPr>
      <w:rFonts w:ascii="Times" w:hAnsi="Times"/>
      <w:b/>
    </w:rPr>
  </w:style>
  <w:style w:type="character" w:styleId="PageNumber">
    <w:name w:val="page number"/>
    <w:basedOn w:val="DefaultParagraphFont"/>
    <w:rsid w:val="00136927"/>
  </w:style>
  <w:style w:type="character" w:customStyle="1" w:styleId="HeaderChar">
    <w:name w:val="Header Char"/>
    <w:basedOn w:val="DefaultParagraphFont"/>
    <w:link w:val="Header"/>
    <w:rsid w:val="00D913F2"/>
    <w:rPr>
      <w:rFonts w:ascii="Courier" w:hAnsi="Courier"/>
      <w:snapToGrid w:val="0"/>
      <w:sz w:val="24"/>
      <w:lang w:val="en-US" w:eastAsia="en-US" w:bidi="ar-SA"/>
    </w:rPr>
  </w:style>
  <w:style w:type="paragraph" w:styleId="BodyTextIndent">
    <w:name w:val="Body Text Indent"/>
    <w:basedOn w:val="Normal"/>
    <w:rsid w:val="00506D6C"/>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pPr>
    <w:rPr>
      <w:rFonts w:ascii="Times New Roman" w:hAnsi="Times New Roman"/>
      <w:snapToGrid/>
      <w:szCs w:val="24"/>
    </w:rPr>
  </w:style>
  <w:style w:type="paragraph" w:styleId="FootnoteText">
    <w:name w:val="footnote text"/>
    <w:basedOn w:val="Normal"/>
    <w:semiHidden/>
    <w:rsid w:val="00506D6C"/>
    <w:pPr>
      <w:autoSpaceDE w:val="0"/>
      <w:autoSpaceDN w:val="0"/>
      <w:adjustRightInd w:val="0"/>
    </w:pPr>
    <w:rPr>
      <w:rFonts w:ascii="Times New Roman" w:hAnsi="Times New Roman"/>
      <w:snapToGrid/>
      <w:sz w:val="20"/>
      <w:szCs w:val="24"/>
    </w:rPr>
  </w:style>
  <w:style w:type="character" w:styleId="FollowedHyperlink">
    <w:name w:val="FollowedHyperlink"/>
    <w:basedOn w:val="DefaultParagraphFont"/>
    <w:rsid w:val="000274F5"/>
    <w:rPr>
      <w:color w:val="FF8040"/>
      <w:u w:val="single"/>
    </w:rPr>
  </w:style>
  <w:style w:type="character" w:styleId="Hyperlink">
    <w:name w:val="Hyperlink"/>
    <w:basedOn w:val="DefaultParagraphFont"/>
    <w:rsid w:val="00712A5A"/>
    <w:rPr>
      <w:color w:val="0000FF"/>
      <w:u w:val="single"/>
    </w:rPr>
  </w:style>
  <w:style w:type="character" w:styleId="CommentReference">
    <w:name w:val="annotation reference"/>
    <w:basedOn w:val="DefaultParagraphFont"/>
    <w:uiPriority w:val="99"/>
    <w:semiHidden/>
    <w:unhideWhenUsed/>
    <w:rsid w:val="00487B36"/>
    <w:rPr>
      <w:sz w:val="16"/>
      <w:szCs w:val="16"/>
    </w:rPr>
  </w:style>
  <w:style w:type="paragraph" w:styleId="CommentText">
    <w:name w:val="annotation text"/>
    <w:basedOn w:val="Normal"/>
    <w:link w:val="CommentTextChar"/>
    <w:uiPriority w:val="99"/>
    <w:semiHidden/>
    <w:unhideWhenUsed/>
    <w:rsid w:val="00487B36"/>
    <w:rPr>
      <w:sz w:val="20"/>
    </w:rPr>
  </w:style>
  <w:style w:type="character" w:customStyle="1" w:styleId="CommentTextChar">
    <w:name w:val="Comment Text Char"/>
    <w:basedOn w:val="DefaultParagraphFont"/>
    <w:link w:val="CommentText"/>
    <w:uiPriority w:val="99"/>
    <w:semiHidden/>
    <w:rsid w:val="00487B36"/>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487B36"/>
    <w:rPr>
      <w:b/>
      <w:bCs/>
    </w:rPr>
  </w:style>
  <w:style w:type="character" w:customStyle="1" w:styleId="CommentSubjectChar">
    <w:name w:val="Comment Subject Char"/>
    <w:basedOn w:val="CommentTextChar"/>
    <w:link w:val="CommentSubject"/>
    <w:uiPriority w:val="99"/>
    <w:semiHidden/>
    <w:rsid w:val="00487B36"/>
    <w:rPr>
      <w:b/>
      <w:bCs/>
    </w:rPr>
  </w:style>
  <w:style w:type="paragraph" w:styleId="BalloonText">
    <w:name w:val="Balloon Text"/>
    <w:basedOn w:val="Normal"/>
    <w:link w:val="BalloonTextChar"/>
    <w:uiPriority w:val="99"/>
    <w:semiHidden/>
    <w:unhideWhenUsed/>
    <w:rsid w:val="00487B36"/>
    <w:rPr>
      <w:rFonts w:ascii="Tahoma" w:hAnsi="Tahoma" w:cs="Tahoma"/>
      <w:sz w:val="16"/>
      <w:szCs w:val="16"/>
    </w:rPr>
  </w:style>
  <w:style w:type="character" w:customStyle="1" w:styleId="BalloonTextChar">
    <w:name w:val="Balloon Text Char"/>
    <w:basedOn w:val="DefaultParagraphFont"/>
    <w:link w:val="BalloonText"/>
    <w:uiPriority w:val="99"/>
    <w:semiHidden/>
    <w:rsid w:val="00487B36"/>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575285932">
      <w:bodyDiv w:val="1"/>
      <w:marLeft w:val="0"/>
      <w:marRight w:val="0"/>
      <w:marTop w:val="0"/>
      <w:marBottom w:val="0"/>
      <w:divBdr>
        <w:top w:val="none" w:sz="0" w:space="0" w:color="auto"/>
        <w:left w:val="none" w:sz="0" w:space="0" w:color="auto"/>
        <w:bottom w:val="none" w:sz="0" w:space="0" w:color="auto"/>
        <w:right w:val="none" w:sz="0" w:space="0" w:color="auto"/>
      </w:divBdr>
      <w:divsChild>
        <w:div w:id="80577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4E28A-0C99-4806-B6B0-122E1531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4</Pages>
  <Words>1429</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Links>
    <vt:vector size="12" baseType="variant">
      <vt:variant>
        <vt:i4>1769488</vt:i4>
      </vt:variant>
      <vt:variant>
        <vt:i4>3</vt:i4>
      </vt:variant>
      <vt:variant>
        <vt:i4>0</vt:i4>
      </vt:variant>
      <vt:variant>
        <vt:i4>5</vt:i4>
      </vt:variant>
      <vt:variant>
        <vt:lpwstr>www.bls.gov/soc/</vt:lpwstr>
      </vt:variant>
      <vt:variant>
        <vt:lpwstr/>
      </vt:variant>
      <vt:variant>
        <vt:i4>3014714</vt:i4>
      </vt:variant>
      <vt:variant>
        <vt:i4>0</vt:i4>
      </vt:variant>
      <vt:variant>
        <vt:i4>0</vt:i4>
      </vt:variant>
      <vt:variant>
        <vt:i4>5</vt:i4>
      </vt:variant>
      <vt:variant>
        <vt:lpwstr>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William Farmer</dc:creator>
  <cp:keywords/>
  <dc:description/>
  <cp:lastModifiedBy>Scott William Farmer</cp:lastModifiedBy>
  <cp:revision>12</cp:revision>
  <cp:lastPrinted>2012-07-31T19:39:00Z</cp:lastPrinted>
  <dcterms:created xsi:type="dcterms:W3CDTF">2012-03-16T15:12:00Z</dcterms:created>
  <dcterms:modified xsi:type="dcterms:W3CDTF">2012-08-07T14:58:00Z</dcterms:modified>
</cp:coreProperties>
</file>