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AC" w:rsidRPr="00202188" w:rsidRDefault="00C315AC" w:rsidP="009D4BD9">
      <w:pPr>
        <w:pStyle w:val="CM12"/>
        <w:tabs>
          <w:tab w:val="left" w:pos="8280"/>
        </w:tabs>
        <w:spacing w:line="276" w:lineRule="atLeast"/>
        <w:ind w:right="990"/>
        <w:jc w:val="center"/>
        <w:rPr>
          <w:b/>
          <w:bCs/>
          <w:color w:val="000000"/>
        </w:rPr>
      </w:pPr>
      <w:r w:rsidRPr="00202188">
        <w:rPr>
          <w:b/>
          <w:bCs/>
          <w:color w:val="000000"/>
        </w:rPr>
        <w:t>CONSUMER FINANCIAL PROTECTION BUREAU</w:t>
      </w:r>
    </w:p>
    <w:p w:rsidR="00584755" w:rsidRPr="00202188" w:rsidRDefault="00584755" w:rsidP="00584755">
      <w:pPr>
        <w:pStyle w:val="CM12"/>
        <w:spacing w:line="276" w:lineRule="atLeast"/>
        <w:jc w:val="center"/>
        <w:rPr>
          <w:b/>
          <w:bCs/>
          <w:color w:val="000000"/>
        </w:rPr>
      </w:pPr>
      <w:r w:rsidRPr="00202188">
        <w:rPr>
          <w:b/>
          <w:bCs/>
          <w:color w:val="000000"/>
        </w:rPr>
        <w:t>INFORMATION COLLECTION REQUEST</w:t>
      </w:r>
      <w:r>
        <w:rPr>
          <w:b/>
          <w:bCs/>
          <w:color w:val="000000"/>
        </w:rPr>
        <w:t xml:space="preserve"> – SUPPORTING STATEMENT</w:t>
      </w:r>
    </w:p>
    <w:p w:rsidR="00C315AC" w:rsidRDefault="00291CC2" w:rsidP="009D4BD9">
      <w:pPr>
        <w:pStyle w:val="Default"/>
        <w:tabs>
          <w:tab w:val="left" w:pos="8280"/>
          <w:tab w:val="left" w:pos="9270"/>
        </w:tabs>
        <w:ind w:right="990"/>
        <w:jc w:val="center"/>
        <w:rPr>
          <w:b/>
          <w:bCs/>
        </w:rPr>
      </w:pPr>
      <w:r>
        <w:rPr>
          <w:b/>
          <w:bCs/>
        </w:rPr>
        <w:t xml:space="preserve">REAL ESTATE SETTLEMENT PROCEDURES ACT </w:t>
      </w:r>
      <w:r w:rsidR="00C315AC">
        <w:rPr>
          <w:b/>
          <w:bCs/>
        </w:rPr>
        <w:t>(REGULATION X</w:t>
      </w:r>
      <w:r>
        <w:rPr>
          <w:b/>
          <w:bCs/>
        </w:rPr>
        <w:t>) 12 CFR 1024</w:t>
      </w:r>
    </w:p>
    <w:p w:rsidR="00311C45" w:rsidRDefault="00311C45" w:rsidP="009D4BD9">
      <w:pPr>
        <w:pStyle w:val="Default"/>
        <w:tabs>
          <w:tab w:val="left" w:pos="8280"/>
          <w:tab w:val="left" w:pos="9270"/>
        </w:tabs>
        <w:ind w:right="990"/>
        <w:jc w:val="center"/>
        <w:rPr>
          <w:b/>
          <w:bCs/>
        </w:rPr>
      </w:pPr>
      <w:r w:rsidRPr="003001B7">
        <w:rPr>
          <w:b/>
          <w:bCs/>
        </w:rPr>
        <w:t xml:space="preserve">(OMB CONTROL NUMBER: </w:t>
      </w:r>
      <w:r w:rsidRPr="003001B7">
        <w:rPr>
          <w:b/>
        </w:rPr>
        <w:t>3170-0016</w:t>
      </w:r>
      <w:r>
        <w:rPr>
          <w:b/>
        </w:rPr>
        <w:t>)</w:t>
      </w:r>
    </w:p>
    <w:p w:rsidR="009B3433" w:rsidRDefault="009B3433"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CE497D" w:rsidRPr="00CE497D" w:rsidRDefault="00CE497D" w:rsidP="00DA2796">
      <w:pPr>
        <w:tabs>
          <w:tab w:val="left" w:pos="7560"/>
        </w:tabs>
        <w:ind w:firstLine="720"/>
        <w:rPr>
          <w:sz w:val="24"/>
          <w:szCs w:val="24"/>
        </w:rPr>
      </w:pPr>
      <w:r w:rsidRPr="00CE497D">
        <w:rPr>
          <w:sz w:val="24"/>
          <w:szCs w:val="24"/>
        </w:rPr>
        <w:t>The Bureau of Consumer Financial Protection (CFPB) is providing a supplement to its previous supporting statement for Regulation X.  This supplement addresses the information collection</w:t>
      </w:r>
      <w:r w:rsidR="00A205CA">
        <w:rPr>
          <w:sz w:val="24"/>
          <w:szCs w:val="24"/>
        </w:rPr>
        <w:t xml:space="preserve"> requirements </w:t>
      </w:r>
      <w:r w:rsidRPr="00CE497D">
        <w:rPr>
          <w:sz w:val="24"/>
          <w:szCs w:val="24"/>
        </w:rPr>
        <w:t>in Regulation X that are affected by the CFPB’s proposed change as described below.</w:t>
      </w:r>
    </w:p>
    <w:p w:rsidR="00CE497D" w:rsidRDefault="00CE497D"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Pr="000C23E7" w:rsidRDefault="00291CC2" w:rsidP="00291CC2">
      <w:pPr>
        <w:pStyle w:val="Default"/>
        <w:ind w:right="990"/>
        <w:rPr>
          <w:b/>
          <w:u w:val="single"/>
        </w:rPr>
      </w:pPr>
      <w:r w:rsidRPr="000C23E7">
        <w:rPr>
          <w:b/>
          <w:u w:val="single"/>
        </w:rPr>
        <w:t>A.  JUSTIFICATION</w:t>
      </w:r>
    </w:p>
    <w:p w:rsidR="0099609C" w:rsidRPr="00202188" w:rsidRDefault="0099609C" w:rsidP="00291CC2">
      <w:pPr>
        <w:pStyle w:val="Default"/>
        <w:ind w:right="990"/>
      </w:pPr>
    </w:p>
    <w:p w:rsidR="0099609C" w:rsidRDefault="00291CC2" w:rsidP="0099609C">
      <w:pPr>
        <w:pStyle w:val="Default"/>
        <w:rPr>
          <w:b/>
          <w:bCs/>
          <w:u w:val="single"/>
        </w:rPr>
      </w:pPr>
      <w:r w:rsidRPr="00202188">
        <w:rPr>
          <w:b/>
          <w:bCs/>
        </w:rPr>
        <w:t>1.</w:t>
      </w:r>
      <w:r w:rsidR="00945E87">
        <w:rPr>
          <w:b/>
          <w:bCs/>
        </w:rPr>
        <w:t xml:space="preserve">  </w:t>
      </w:r>
      <w:r w:rsidRPr="00202188">
        <w:rPr>
          <w:b/>
          <w:bCs/>
          <w:u w:val="single"/>
        </w:rPr>
        <w:t>Circumstances Necessitating the Data Collection</w:t>
      </w:r>
    </w:p>
    <w:p w:rsidR="0099609C" w:rsidRDefault="0099609C" w:rsidP="0099609C">
      <w:pPr>
        <w:pStyle w:val="Default"/>
      </w:pPr>
    </w:p>
    <w:p w:rsidR="00B51BE7" w:rsidRDefault="0099609C" w:rsidP="00980DBB">
      <w:pPr>
        <w:pStyle w:val="Default"/>
        <w:ind w:firstLine="720"/>
        <w:rPr>
          <w:iCs/>
        </w:rPr>
      </w:pPr>
      <w:r w:rsidRPr="00C315AC">
        <w:rPr>
          <w:noProof/>
        </w:rPr>
        <w:t>Certain disclosures are required by the Real Estate Settlement Procedures Act (RESPA) of 1974</w:t>
      </w:r>
      <w:r>
        <w:rPr>
          <w:noProof/>
        </w:rPr>
        <w:t>, as</w:t>
      </w:r>
      <w:r w:rsidRPr="00C315AC">
        <w:rPr>
          <w:noProof/>
        </w:rPr>
        <w:t xml:space="preserve"> amended by Section 461 of the Housing and Urban-Rural Recovery Act of 1983 (HURRA), and other various amendments.  The statute is found at 12 U.S.C. 2601 </w:t>
      </w:r>
      <w:r w:rsidRPr="00615F84">
        <w:rPr>
          <w:i/>
          <w:noProof/>
        </w:rPr>
        <w:t>et seq</w:t>
      </w:r>
      <w:r w:rsidRPr="00C315AC">
        <w:rPr>
          <w:noProof/>
        </w:rPr>
        <w:t xml:space="preserve">.  The implementing regulations </w:t>
      </w:r>
      <w:r w:rsidR="00B51BE7">
        <w:rPr>
          <w:noProof/>
        </w:rPr>
        <w:t>were historically</w:t>
      </w:r>
      <w:r w:rsidRPr="00C315AC">
        <w:rPr>
          <w:noProof/>
        </w:rPr>
        <w:t xml:space="preserve"> published by the Department of Housing and Urban Development (HUD) at 24 CFR 3500.  In light of the transfer of HUD’s rulemaking authority for RESPA to the Bureau of Consumer Financial Protection</w:t>
      </w:r>
      <w:r>
        <w:rPr>
          <w:noProof/>
        </w:rPr>
        <w:t xml:space="preserve"> (CFPB)</w:t>
      </w:r>
      <w:r w:rsidRPr="00C315AC">
        <w:rPr>
          <w:noProof/>
        </w:rPr>
        <w:t xml:space="preserve">, the </w:t>
      </w:r>
      <w:r>
        <w:rPr>
          <w:noProof/>
        </w:rPr>
        <w:t>CFPB</w:t>
      </w:r>
      <w:r w:rsidRPr="00C315AC">
        <w:rPr>
          <w:noProof/>
        </w:rPr>
        <w:t xml:space="preserve"> </w:t>
      </w:r>
      <w:r w:rsidR="001E53B9" w:rsidRPr="00C315AC">
        <w:rPr>
          <w:noProof/>
        </w:rPr>
        <w:t>adopt</w:t>
      </w:r>
      <w:r w:rsidR="001E53B9">
        <w:rPr>
          <w:noProof/>
        </w:rPr>
        <w:t>ed</w:t>
      </w:r>
      <w:r w:rsidR="001E53B9" w:rsidRPr="00C315AC">
        <w:rPr>
          <w:noProof/>
        </w:rPr>
        <w:t xml:space="preserve"> </w:t>
      </w:r>
      <w:r w:rsidRPr="00C315AC">
        <w:rPr>
          <w:noProof/>
        </w:rPr>
        <w:t xml:space="preserve">an interim final rule (Interim Final Rule) recodifying </w:t>
      </w:r>
      <w:r w:rsidRPr="00C315AC">
        <w:t>HUD’s</w:t>
      </w:r>
      <w:r>
        <w:t xml:space="preserve"> </w:t>
      </w:r>
      <w:r w:rsidRPr="00C315AC">
        <w:rPr>
          <w:iCs/>
        </w:rPr>
        <w:t xml:space="preserve">Regulation X at 12 CFR 1024 to reflect the transfer of authority and to help facilitate compliance with RESPA and its implementing regulations to help prevent confusion regarding regulatory and supervisory authority.  </w:t>
      </w:r>
    </w:p>
    <w:p w:rsidR="00B51BE7" w:rsidRDefault="00B51BE7" w:rsidP="0099609C">
      <w:pPr>
        <w:pStyle w:val="Default"/>
        <w:rPr>
          <w:iCs/>
        </w:rPr>
      </w:pPr>
    </w:p>
    <w:p w:rsidR="0027490B" w:rsidRDefault="0099609C" w:rsidP="00980DBB">
      <w:pPr>
        <w:pStyle w:val="Default"/>
        <w:ind w:firstLine="720"/>
        <w:rPr>
          <w:noProof/>
        </w:rPr>
      </w:pPr>
      <w:r w:rsidRPr="00405FE6">
        <w:rPr>
          <w:noProof/>
        </w:rPr>
        <w:t xml:space="preserve">Required disclosures include: the Good Faith Estimate (GFE), the HUD-1/HUD-1A Settlement Statements, the Servicing Disclosure Statement, and, as applicable, the Servicing Transfer Disclosure.  Other disclosures may be required under certain circumstances and include: the Initial Escrow Account Statement, the Annual Escrow Account Statement, </w:t>
      </w:r>
      <w:r w:rsidR="00FD472B">
        <w:rPr>
          <w:noProof/>
        </w:rPr>
        <w:t xml:space="preserve">and </w:t>
      </w:r>
      <w:r w:rsidRPr="00405FE6">
        <w:rPr>
          <w:noProof/>
        </w:rPr>
        <w:t xml:space="preserve">the Affiliated Business </w:t>
      </w:r>
      <w:r w:rsidR="00FD472B">
        <w:rPr>
          <w:noProof/>
        </w:rPr>
        <w:t xml:space="preserve">Arrangement </w:t>
      </w:r>
      <w:r w:rsidRPr="00405FE6">
        <w:rPr>
          <w:noProof/>
        </w:rPr>
        <w:t>Disclosure.</w:t>
      </w:r>
      <w:r w:rsidR="00FD472B">
        <w:rPr>
          <w:rStyle w:val="FootnoteReference"/>
          <w:noProof/>
        </w:rPr>
        <w:footnoteReference w:id="1"/>
      </w:r>
      <w:r w:rsidRPr="00405FE6">
        <w:rPr>
          <w:noProof/>
        </w:rPr>
        <w:t xml:space="preserve">  This collection helps to protect consumers in several respects.  The GFE and HUD-1/HUD-1A Settlement Statements enable consumers to compare estimated settlement costs with actual settlement costs.  The Affiliated Business </w:t>
      </w:r>
      <w:r w:rsidR="00FD472B">
        <w:rPr>
          <w:noProof/>
        </w:rPr>
        <w:t xml:space="preserve">Arrangement </w:t>
      </w:r>
      <w:r w:rsidRPr="00405FE6">
        <w:rPr>
          <w:noProof/>
        </w:rPr>
        <w:t>Disclosure helps to protect borrowers from unn</w:t>
      </w:r>
      <w:r w:rsidR="00327608">
        <w:rPr>
          <w:noProof/>
        </w:rPr>
        <w:t>e</w:t>
      </w:r>
      <w:r w:rsidRPr="00405FE6">
        <w:rPr>
          <w:noProof/>
        </w:rPr>
        <w:t>cessarily high settlement service charges due to the settlement service provider’s use of an affiliated provider.  Disclosures related to the servicing of the mortgage loan help to protect consumers if the servicing of the loan could be or is transferred.</w:t>
      </w:r>
      <w:r w:rsidR="00CE497D" w:rsidRPr="00405FE6">
        <w:rPr>
          <w:noProof/>
        </w:rPr>
        <w:t xml:space="preserve"> </w:t>
      </w:r>
      <w:r w:rsidRPr="00405FE6">
        <w:rPr>
          <w:noProof/>
        </w:rPr>
        <w:t xml:space="preserve">Disclosures related to consumers’ escrow accounts </w:t>
      </w:r>
      <w:r w:rsidR="0030689D">
        <w:rPr>
          <w:noProof/>
        </w:rPr>
        <w:t>help to protect them from unnec</w:t>
      </w:r>
      <w:r w:rsidRPr="00405FE6">
        <w:rPr>
          <w:noProof/>
        </w:rPr>
        <w:t>essarily high escrow charges.</w:t>
      </w:r>
    </w:p>
    <w:p w:rsidR="001E53B9" w:rsidRDefault="001E53B9" w:rsidP="0099609C">
      <w:pPr>
        <w:pStyle w:val="Default"/>
        <w:rPr>
          <w:noProof/>
        </w:rPr>
      </w:pPr>
      <w:bookmarkStart w:id="0" w:name="_GoBack"/>
      <w:bookmarkEnd w:id="0"/>
    </w:p>
    <w:p w:rsidR="00CE497D" w:rsidRDefault="001E53B9" w:rsidP="00980DBB">
      <w:pPr>
        <w:pStyle w:val="Default"/>
        <w:ind w:firstLine="720"/>
      </w:pPr>
      <w:r>
        <w:t>T</w:t>
      </w:r>
      <w:r w:rsidRPr="00795057">
        <w:t xml:space="preserve">he Dodd-Frank </w:t>
      </w:r>
      <w:r w:rsidR="00F739CB">
        <w:t xml:space="preserve">Wall Street Reform and Consumer Protection Act (Dodd-Frank Act), Pub. L. 111-203, </w:t>
      </w:r>
      <w:r w:rsidRPr="00795057">
        <w:t xml:space="preserve">amended RESPA </w:t>
      </w:r>
      <w:r w:rsidR="007F186C">
        <w:t>to mandate that lenders provide to potential borrowers of fe</w:t>
      </w:r>
      <w:r w:rsidR="00091733">
        <w:t>derally related mortgage loans a “reasonably complete or updated list of homeownership counselors who are certified pursuant to section 106(e) of the Housing and Urban Development Act of 1968 (12 U.S.C. 1701x(e)) and located in the area of the lender.”</w:t>
      </w:r>
      <w:r w:rsidR="00091733">
        <w:rPr>
          <w:rStyle w:val="FootnoteReference"/>
        </w:rPr>
        <w:footnoteReference w:id="2"/>
      </w:r>
      <w:r w:rsidR="00CE497D">
        <w:t xml:space="preserve">  Accordingly, through a proposed rule published in </w:t>
      </w:r>
      <w:r w:rsidR="00710AA2">
        <w:t xml:space="preserve">the Federal Register in August </w:t>
      </w:r>
      <w:r w:rsidR="00CE497D">
        <w:t>2012, the CFPB is proposing to revise Regulation X to r</w:t>
      </w:r>
      <w:r w:rsidR="007F186C">
        <w:t xml:space="preserve">equire lenders to provide a list </w:t>
      </w:r>
      <w:r w:rsidR="007F186C">
        <w:lastRenderedPageBreak/>
        <w:t xml:space="preserve">of homeownership counselors </w:t>
      </w:r>
      <w:r w:rsidR="00785276">
        <w:t xml:space="preserve">or counseling organizations </w:t>
      </w:r>
      <w:r w:rsidR="007F186C">
        <w:t>to applicants for federally related mortgage loans.</w:t>
      </w:r>
    </w:p>
    <w:p w:rsidR="00311C45" w:rsidRDefault="00311C45" w:rsidP="00311C45">
      <w:pPr>
        <w:pStyle w:val="Default"/>
      </w:pPr>
    </w:p>
    <w:p w:rsidR="009D4BD9" w:rsidRPr="00202188" w:rsidRDefault="009D4BD9" w:rsidP="00260366">
      <w:pPr>
        <w:pStyle w:val="CM12"/>
        <w:keepNext/>
        <w:widowControl/>
        <w:spacing w:line="276" w:lineRule="atLeast"/>
      </w:pPr>
      <w:r w:rsidRPr="00202188">
        <w:rPr>
          <w:b/>
          <w:bCs/>
        </w:rPr>
        <w:t xml:space="preserve">2. </w:t>
      </w:r>
      <w:r w:rsidR="00945E87">
        <w:rPr>
          <w:b/>
          <w:bCs/>
        </w:rPr>
        <w:t xml:space="preserve"> </w:t>
      </w:r>
      <w:r w:rsidRPr="00202188">
        <w:rPr>
          <w:b/>
          <w:bCs/>
          <w:u w:val="single"/>
        </w:rPr>
        <w:t>Use of the Information</w:t>
      </w:r>
    </w:p>
    <w:p w:rsidR="009D4BD9" w:rsidRPr="00C315AC" w:rsidRDefault="009D4BD9" w:rsidP="00260366">
      <w:pPr>
        <w:keepNext/>
        <w:keepLines/>
        <w:tabs>
          <w:tab w:val="left" w:pos="360"/>
        </w:tabs>
        <w:ind w:left="360" w:right="990"/>
        <w:rPr>
          <w:noProof/>
          <w:sz w:val="24"/>
          <w:szCs w:val="24"/>
        </w:rPr>
      </w:pPr>
    </w:p>
    <w:p w:rsidR="00104DEC" w:rsidRDefault="008A00CE" w:rsidP="00260366">
      <w:pPr>
        <w:keepNext/>
        <w:tabs>
          <w:tab w:val="left" w:pos="360"/>
          <w:tab w:val="left" w:pos="720"/>
        </w:tabs>
        <w:ind w:right="990" w:firstLine="720"/>
        <w:rPr>
          <w:sz w:val="24"/>
          <w:szCs w:val="24"/>
        </w:rPr>
      </w:pPr>
      <w:r>
        <w:rPr>
          <w:sz w:val="24"/>
          <w:szCs w:val="24"/>
        </w:rPr>
        <w:t>T</w:t>
      </w:r>
      <w:r w:rsidR="00104DEC" w:rsidRPr="00C315AC">
        <w:rPr>
          <w:bCs/>
          <w:sz w:val="24"/>
          <w:szCs w:val="24"/>
        </w:rPr>
        <w:t>he</w:t>
      </w:r>
      <w:r w:rsidR="00F912A7">
        <w:rPr>
          <w:bCs/>
          <w:sz w:val="24"/>
          <w:szCs w:val="24"/>
        </w:rPr>
        <w:t xml:space="preserve"> third party disclosures in this collection </w:t>
      </w:r>
      <w:r w:rsidR="00104DEC" w:rsidRPr="00C315AC">
        <w:rPr>
          <w:sz w:val="24"/>
          <w:szCs w:val="24"/>
        </w:rPr>
        <w:t xml:space="preserve">are required by statute and regulations.  </w:t>
      </w:r>
      <w:r w:rsidR="00F912A7">
        <w:rPr>
          <w:sz w:val="24"/>
          <w:szCs w:val="24"/>
        </w:rPr>
        <w:t xml:space="preserve">The CFPB expects to make further explanations of RESPA </w:t>
      </w:r>
      <w:r w:rsidR="003E1415">
        <w:rPr>
          <w:sz w:val="24"/>
          <w:szCs w:val="24"/>
        </w:rPr>
        <w:t xml:space="preserve">available </w:t>
      </w:r>
      <w:r w:rsidR="00F912A7">
        <w:rPr>
          <w:sz w:val="24"/>
          <w:szCs w:val="24"/>
        </w:rPr>
        <w:t xml:space="preserve">through its website, </w:t>
      </w:r>
      <w:r w:rsidR="004F6A90" w:rsidRPr="004F6A90">
        <w:rPr>
          <w:sz w:val="24"/>
          <w:szCs w:val="24"/>
        </w:rPr>
        <w:t>http://www.consumerfinance.gov</w:t>
      </w:r>
      <w:r w:rsidR="00F912A7">
        <w:rPr>
          <w:sz w:val="24"/>
          <w:szCs w:val="24"/>
        </w:rPr>
        <w:t xml:space="preserve">.  </w:t>
      </w:r>
      <w:r w:rsidR="00091733">
        <w:rPr>
          <w:sz w:val="24"/>
          <w:szCs w:val="24"/>
        </w:rPr>
        <w:t>Lenders make these disclosures to applicants of federal</w:t>
      </w:r>
      <w:r w:rsidR="00E76EF2">
        <w:rPr>
          <w:sz w:val="24"/>
          <w:szCs w:val="24"/>
        </w:rPr>
        <w:t>ly</w:t>
      </w:r>
      <w:r w:rsidR="00091733">
        <w:rPr>
          <w:sz w:val="24"/>
          <w:szCs w:val="24"/>
        </w:rPr>
        <w:t xml:space="preserve"> related mortgage loans.</w:t>
      </w:r>
      <w:r w:rsidR="00104DEC" w:rsidRPr="00C315AC">
        <w:rPr>
          <w:sz w:val="24"/>
          <w:szCs w:val="24"/>
        </w:rPr>
        <w:t xml:space="preserve">  Disclosures are not submitted to the </w:t>
      </w:r>
      <w:r w:rsidR="001F3B8F" w:rsidRPr="00C315AC">
        <w:rPr>
          <w:sz w:val="24"/>
          <w:szCs w:val="24"/>
        </w:rPr>
        <w:t>federal government</w:t>
      </w:r>
      <w:r w:rsidR="00104DEC" w:rsidRPr="00C315AC">
        <w:rPr>
          <w:sz w:val="24"/>
          <w:szCs w:val="24"/>
        </w:rPr>
        <w:t>.</w:t>
      </w:r>
    </w:p>
    <w:p w:rsidR="00A25966" w:rsidRDefault="00A25966" w:rsidP="00945E87">
      <w:pPr>
        <w:tabs>
          <w:tab w:val="left" w:pos="360"/>
          <w:tab w:val="left" w:pos="720"/>
        </w:tabs>
        <w:ind w:right="990" w:firstLine="720"/>
        <w:rPr>
          <w:sz w:val="24"/>
          <w:szCs w:val="24"/>
        </w:rPr>
      </w:pPr>
    </w:p>
    <w:p w:rsidR="00104DEC" w:rsidRPr="00C315AC" w:rsidRDefault="00405FE6" w:rsidP="00FE46F8">
      <w:pPr>
        <w:tabs>
          <w:tab w:val="left" w:pos="360"/>
          <w:tab w:val="left" w:pos="720"/>
        </w:tabs>
        <w:ind w:right="990" w:firstLine="720"/>
        <w:rPr>
          <w:sz w:val="24"/>
          <w:szCs w:val="24"/>
        </w:rPr>
      </w:pPr>
      <w:r>
        <w:rPr>
          <w:sz w:val="24"/>
          <w:szCs w:val="24"/>
        </w:rPr>
        <w:t>Under the proposed rule, l</w:t>
      </w:r>
      <w:r w:rsidR="00A25966">
        <w:rPr>
          <w:sz w:val="24"/>
          <w:szCs w:val="24"/>
        </w:rPr>
        <w:t xml:space="preserve">enders </w:t>
      </w:r>
      <w:r>
        <w:rPr>
          <w:sz w:val="24"/>
          <w:szCs w:val="24"/>
        </w:rPr>
        <w:t>would be required to</w:t>
      </w:r>
      <w:r w:rsidR="00A25966">
        <w:rPr>
          <w:sz w:val="24"/>
          <w:szCs w:val="24"/>
        </w:rPr>
        <w:t xml:space="preserve"> gi</w:t>
      </w:r>
      <w:r w:rsidR="00E76EF2">
        <w:rPr>
          <w:sz w:val="24"/>
          <w:szCs w:val="24"/>
        </w:rPr>
        <w:t>ve applicants for a federally related mortgage loan a clear and conspicuous written list of five homeownership counselors or counseling organizations</w:t>
      </w:r>
      <w:r w:rsidR="00FE46F8">
        <w:rPr>
          <w:sz w:val="24"/>
          <w:szCs w:val="24"/>
        </w:rPr>
        <w:t xml:space="preserve"> located in the zip code of the applicant, or the nearest zip codes to the applicant.  </w:t>
      </w:r>
      <w:r w:rsidR="00E76EF2">
        <w:rPr>
          <w:sz w:val="24"/>
          <w:szCs w:val="24"/>
        </w:rPr>
        <w:t xml:space="preserve">Under the proposed rule, the homeownership counselor list must be provided to all applicants for purchase money mortgages, </w:t>
      </w:r>
      <w:proofErr w:type="spellStart"/>
      <w:r w:rsidR="00E76EF2">
        <w:rPr>
          <w:sz w:val="24"/>
          <w:szCs w:val="24"/>
        </w:rPr>
        <w:t>refinancings</w:t>
      </w:r>
      <w:proofErr w:type="spellEnd"/>
      <w:r w:rsidR="00E76EF2">
        <w:rPr>
          <w:sz w:val="24"/>
          <w:szCs w:val="24"/>
        </w:rPr>
        <w:t xml:space="preserve">, </w:t>
      </w:r>
      <w:r w:rsidR="00327608">
        <w:rPr>
          <w:sz w:val="24"/>
          <w:szCs w:val="24"/>
        </w:rPr>
        <w:t>home-equity mortgage loans,</w:t>
      </w:r>
      <w:r w:rsidR="00E76EF2">
        <w:rPr>
          <w:sz w:val="24"/>
          <w:szCs w:val="24"/>
        </w:rPr>
        <w:t xml:space="preserve"> home-equity lines of credit,</w:t>
      </w:r>
      <w:r w:rsidR="00327608">
        <w:rPr>
          <w:sz w:val="24"/>
          <w:szCs w:val="24"/>
        </w:rPr>
        <w:t xml:space="preserve"> and reverse mortgages,</w:t>
      </w:r>
      <w:r w:rsidR="00E76EF2">
        <w:rPr>
          <w:sz w:val="24"/>
          <w:szCs w:val="24"/>
        </w:rPr>
        <w:t xml:space="preserve"> except applicants for</w:t>
      </w:r>
      <w:r w:rsidR="00FE46F8">
        <w:rPr>
          <w:sz w:val="24"/>
          <w:szCs w:val="24"/>
        </w:rPr>
        <w:t xml:space="preserve"> a </w:t>
      </w:r>
      <w:r w:rsidR="00CB7EE1">
        <w:rPr>
          <w:sz w:val="24"/>
          <w:szCs w:val="24"/>
        </w:rPr>
        <w:t>Home Equity Conversion Mortgage (HECM)</w:t>
      </w:r>
      <w:r w:rsidR="00327608">
        <w:rPr>
          <w:sz w:val="24"/>
          <w:szCs w:val="24"/>
        </w:rPr>
        <w:t>,</w:t>
      </w:r>
      <w:r w:rsidR="00CB7EE1">
        <w:rPr>
          <w:sz w:val="24"/>
          <w:szCs w:val="24"/>
        </w:rPr>
        <w:t xml:space="preserve"> </w:t>
      </w:r>
      <w:r w:rsidR="00E76EF2">
        <w:rPr>
          <w:sz w:val="24"/>
          <w:szCs w:val="24"/>
        </w:rPr>
        <w:t>as defi</w:t>
      </w:r>
      <w:r w:rsidR="00FE46F8">
        <w:rPr>
          <w:sz w:val="24"/>
          <w:szCs w:val="24"/>
        </w:rPr>
        <w:t>ned in 12 U.S.C. 1725z-20(b)(3)</w:t>
      </w:r>
      <w:r w:rsidR="00327608">
        <w:rPr>
          <w:sz w:val="24"/>
          <w:szCs w:val="24"/>
        </w:rPr>
        <w:t>,</w:t>
      </w:r>
      <w:r w:rsidR="00E76EF2">
        <w:rPr>
          <w:sz w:val="24"/>
          <w:szCs w:val="24"/>
        </w:rPr>
        <w:t xml:space="preserve"> if the lender provides </w:t>
      </w:r>
      <w:r w:rsidR="00FE46F8">
        <w:rPr>
          <w:sz w:val="24"/>
          <w:szCs w:val="24"/>
        </w:rPr>
        <w:t xml:space="preserve">the applicant </w:t>
      </w:r>
      <w:r w:rsidR="00E76EF2">
        <w:rPr>
          <w:sz w:val="24"/>
          <w:szCs w:val="24"/>
        </w:rPr>
        <w:t xml:space="preserve">a </w:t>
      </w:r>
      <w:r w:rsidR="00327608">
        <w:rPr>
          <w:sz w:val="24"/>
          <w:szCs w:val="24"/>
        </w:rPr>
        <w:t xml:space="preserve">HUD-required </w:t>
      </w:r>
      <w:r w:rsidR="00E76EF2">
        <w:rPr>
          <w:sz w:val="24"/>
          <w:szCs w:val="24"/>
        </w:rPr>
        <w:t>list of HECM couns</w:t>
      </w:r>
      <w:r w:rsidR="00327608">
        <w:rPr>
          <w:sz w:val="24"/>
          <w:szCs w:val="24"/>
        </w:rPr>
        <w:t xml:space="preserve">elors or counseling agencies.  </w:t>
      </w:r>
      <w:r w:rsidR="00E76EF2">
        <w:rPr>
          <w:sz w:val="24"/>
          <w:szCs w:val="24"/>
        </w:rPr>
        <w:t>The lender would have to provide the list no later than three business days after the lender, mortgage broker, or dealer receives a loan application (or information sufficient to complete a loan application)</w:t>
      </w:r>
      <w:r w:rsidR="00FE46F8">
        <w:rPr>
          <w:sz w:val="24"/>
          <w:szCs w:val="24"/>
        </w:rPr>
        <w:t xml:space="preserve"> under the proposal.  </w:t>
      </w:r>
      <w:r w:rsidR="00E76EF2">
        <w:rPr>
          <w:sz w:val="24"/>
          <w:szCs w:val="24"/>
        </w:rPr>
        <w:t xml:space="preserve"> </w:t>
      </w:r>
    </w:p>
    <w:p w:rsidR="00104DEC" w:rsidRPr="00C315AC" w:rsidRDefault="00104DEC" w:rsidP="00291CC2">
      <w:pPr>
        <w:keepLines/>
        <w:tabs>
          <w:tab w:val="left" w:pos="360"/>
        </w:tabs>
        <w:ind w:left="360" w:right="990"/>
        <w:rPr>
          <w:noProof/>
          <w:sz w:val="24"/>
          <w:szCs w:val="24"/>
        </w:rPr>
      </w:pPr>
    </w:p>
    <w:p w:rsidR="009D4BD9" w:rsidRPr="00202188" w:rsidRDefault="009D4BD9" w:rsidP="009D4BD9">
      <w:pPr>
        <w:pStyle w:val="Default"/>
        <w:rPr>
          <w:color w:val="auto"/>
        </w:rPr>
      </w:pPr>
      <w:r w:rsidRPr="00202188">
        <w:rPr>
          <w:b/>
          <w:bCs/>
        </w:rPr>
        <w:t xml:space="preserve">3. </w:t>
      </w:r>
      <w:r w:rsidR="00945E87">
        <w:rPr>
          <w:b/>
          <w:bCs/>
        </w:rPr>
        <w:t xml:space="preserve"> </w:t>
      </w:r>
      <w:r w:rsidRPr="00202188">
        <w:rPr>
          <w:b/>
          <w:bCs/>
          <w:u w:val="single"/>
        </w:rPr>
        <w:t>Use of Information Technology</w:t>
      </w:r>
    </w:p>
    <w:p w:rsidR="009D4BD9" w:rsidRDefault="009D4BD9" w:rsidP="009D4BD9">
      <w:pPr>
        <w:keepLines/>
        <w:tabs>
          <w:tab w:val="left" w:pos="360"/>
        </w:tabs>
        <w:ind w:left="360" w:right="990"/>
        <w:rPr>
          <w:noProof/>
          <w:sz w:val="24"/>
          <w:szCs w:val="24"/>
        </w:rPr>
      </w:pPr>
    </w:p>
    <w:p w:rsidR="00104DEC" w:rsidRPr="00C315AC" w:rsidRDefault="00C2052A" w:rsidP="00260366">
      <w:pPr>
        <w:keepLines/>
        <w:ind w:right="990" w:firstLine="720"/>
        <w:rPr>
          <w:noProof/>
          <w:sz w:val="24"/>
          <w:szCs w:val="24"/>
        </w:rPr>
      </w:pPr>
      <w:r w:rsidRPr="00C315AC">
        <w:rPr>
          <w:noProof/>
          <w:sz w:val="24"/>
          <w:szCs w:val="24"/>
        </w:rPr>
        <w:t>T</w:t>
      </w:r>
      <w:r w:rsidR="00FE46F8">
        <w:rPr>
          <w:noProof/>
          <w:sz w:val="24"/>
          <w:szCs w:val="24"/>
        </w:rPr>
        <w:t>his third party disclosure</w:t>
      </w:r>
      <w:r w:rsidR="00104DEC" w:rsidRPr="00C315AC">
        <w:rPr>
          <w:noProof/>
          <w:sz w:val="24"/>
          <w:szCs w:val="24"/>
        </w:rPr>
        <w:t xml:space="preserve"> </w:t>
      </w:r>
      <w:r w:rsidR="00477734">
        <w:rPr>
          <w:noProof/>
          <w:sz w:val="24"/>
          <w:szCs w:val="24"/>
        </w:rPr>
        <w:t xml:space="preserve">described above </w:t>
      </w:r>
      <w:r w:rsidR="00104DEC" w:rsidRPr="00C315AC">
        <w:rPr>
          <w:noProof/>
          <w:sz w:val="24"/>
          <w:szCs w:val="24"/>
        </w:rPr>
        <w:t xml:space="preserve">may be submitted to consumers electronically.  </w:t>
      </w:r>
      <w:r w:rsidR="001A12F9" w:rsidRPr="00C315AC">
        <w:rPr>
          <w:noProof/>
          <w:sz w:val="24"/>
          <w:szCs w:val="24"/>
        </w:rPr>
        <w:t>Additionally, most disclosures are computer generated.</w:t>
      </w:r>
      <w:r w:rsidR="001A12F9">
        <w:rPr>
          <w:noProof/>
          <w:sz w:val="24"/>
          <w:szCs w:val="24"/>
        </w:rPr>
        <w:t xml:space="preserve">  </w:t>
      </w:r>
      <w:r w:rsidR="00477734">
        <w:rPr>
          <w:noProof/>
          <w:sz w:val="24"/>
          <w:szCs w:val="24"/>
        </w:rPr>
        <w:t>The CFPB expects that l</w:t>
      </w:r>
      <w:r w:rsidR="00FE46F8">
        <w:rPr>
          <w:noProof/>
          <w:sz w:val="24"/>
          <w:szCs w:val="24"/>
        </w:rPr>
        <w:t xml:space="preserve">enders </w:t>
      </w:r>
      <w:r w:rsidR="00AA1DEC">
        <w:rPr>
          <w:noProof/>
          <w:sz w:val="24"/>
          <w:szCs w:val="24"/>
        </w:rPr>
        <w:t>will be able to access a website where they could</w:t>
      </w:r>
      <w:r w:rsidR="00FE46F8">
        <w:rPr>
          <w:noProof/>
          <w:sz w:val="24"/>
          <w:szCs w:val="24"/>
        </w:rPr>
        <w:t xml:space="preserve"> type in the loan applicant’s zip code to generate the requisite list, which could then be </w:t>
      </w:r>
      <w:r w:rsidR="001A12F9">
        <w:rPr>
          <w:noProof/>
          <w:sz w:val="24"/>
          <w:szCs w:val="24"/>
        </w:rPr>
        <w:t xml:space="preserve">transmitted </w:t>
      </w:r>
      <w:r w:rsidR="00FE46F8">
        <w:rPr>
          <w:noProof/>
          <w:sz w:val="24"/>
          <w:szCs w:val="24"/>
        </w:rPr>
        <w:t>to the loan applicant</w:t>
      </w:r>
      <w:r w:rsidR="001A12F9">
        <w:rPr>
          <w:noProof/>
          <w:sz w:val="24"/>
          <w:szCs w:val="24"/>
        </w:rPr>
        <w:t xml:space="preserve"> either electronically or in hard copy</w:t>
      </w:r>
      <w:r w:rsidR="00FE46F8">
        <w:rPr>
          <w:noProof/>
          <w:sz w:val="24"/>
          <w:szCs w:val="24"/>
        </w:rPr>
        <w:t xml:space="preserve">.  </w:t>
      </w:r>
    </w:p>
    <w:p w:rsidR="00104DEC" w:rsidRPr="00C315AC" w:rsidRDefault="00104DEC" w:rsidP="00291CC2">
      <w:pPr>
        <w:pStyle w:val="BodyText"/>
        <w:tabs>
          <w:tab w:val="clear" w:pos="360"/>
          <w:tab w:val="left" w:pos="90"/>
        </w:tabs>
        <w:spacing w:after="0"/>
        <w:ind w:right="990"/>
        <w:rPr>
          <w:noProof/>
          <w:szCs w:val="24"/>
        </w:rPr>
      </w:pPr>
    </w:p>
    <w:p w:rsidR="009D4BD9" w:rsidRPr="00202188" w:rsidRDefault="009D4BD9" w:rsidP="009D4BD9">
      <w:pPr>
        <w:pStyle w:val="CM12"/>
        <w:spacing w:line="276" w:lineRule="atLeast"/>
      </w:pPr>
      <w:r w:rsidRPr="00202188">
        <w:rPr>
          <w:b/>
          <w:bCs/>
        </w:rPr>
        <w:t xml:space="preserve">4. </w:t>
      </w:r>
      <w:r w:rsidR="00945E87">
        <w:rPr>
          <w:b/>
          <w:bCs/>
        </w:rPr>
        <w:t xml:space="preserve"> </w:t>
      </w:r>
      <w:r w:rsidRPr="00202188">
        <w:rPr>
          <w:b/>
          <w:bCs/>
          <w:u w:val="single"/>
        </w:rPr>
        <w:t>Efforts to Identify Duplication</w:t>
      </w:r>
    </w:p>
    <w:p w:rsidR="009D4BD9" w:rsidRDefault="009D4BD9" w:rsidP="009D4BD9">
      <w:pPr>
        <w:keepLines/>
        <w:ind w:left="360" w:right="990"/>
        <w:rPr>
          <w:noProof/>
          <w:sz w:val="24"/>
          <w:szCs w:val="24"/>
        </w:rPr>
      </w:pPr>
    </w:p>
    <w:p w:rsidR="00F14ED0" w:rsidRPr="00CB7EE1" w:rsidRDefault="00FE46F8" w:rsidP="00CB7EE1">
      <w:pPr>
        <w:keepLines/>
        <w:ind w:right="990" w:firstLine="720"/>
        <w:rPr>
          <w:b/>
          <w:noProof/>
          <w:sz w:val="24"/>
          <w:szCs w:val="24"/>
        </w:rPr>
      </w:pPr>
      <w:r>
        <w:rPr>
          <w:noProof/>
          <w:sz w:val="24"/>
          <w:szCs w:val="24"/>
        </w:rPr>
        <w:t>This information collection does not duplicate any other Federal effort.</w:t>
      </w:r>
      <w:r w:rsidR="00260366">
        <w:rPr>
          <w:noProof/>
          <w:sz w:val="24"/>
          <w:szCs w:val="24"/>
        </w:rPr>
        <w:t xml:space="preserve">  In order to prevent duplication, the proposed rule exempts </w:t>
      </w:r>
      <w:r w:rsidR="00785276">
        <w:rPr>
          <w:noProof/>
          <w:sz w:val="24"/>
          <w:szCs w:val="24"/>
        </w:rPr>
        <w:t>HECM</w:t>
      </w:r>
      <w:r w:rsidR="00405FE6">
        <w:rPr>
          <w:noProof/>
          <w:sz w:val="24"/>
          <w:szCs w:val="24"/>
        </w:rPr>
        <w:t xml:space="preserve"> lenders that provide applica</w:t>
      </w:r>
      <w:r w:rsidR="00260366">
        <w:rPr>
          <w:noProof/>
          <w:sz w:val="24"/>
          <w:szCs w:val="24"/>
        </w:rPr>
        <w:t xml:space="preserve">nts with </w:t>
      </w:r>
      <w:r w:rsidR="00AA1DEC">
        <w:rPr>
          <w:noProof/>
          <w:sz w:val="24"/>
          <w:szCs w:val="24"/>
        </w:rPr>
        <w:t>a HUD-required list</w:t>
      </w:r>
      <w:r w:rsidR="00260366">
        <w:rPr>
          <w:noProof/>
          <w:sz w:val="24"/>
          <w:szCs w:val="24"/>
        </w:rPr>
        <w:t xml:space="preserve"> of HECM counseling resources.</w:t>
      </w:r>
      <w:r w:rsidR="00A32B5E">
        <w:rPr>
          <w:noProof/>
          <w:sz w:val="24"/>
          <w:szCs w:val="24"/>
        </w:rPr>
        <w:t xml:space="preserve">  In addition, </w:t>
      </w:r>
      <w:r w:rsidR="00A32B5E" w:rsidRPr="00A32B5E">
        <w:rPr>
          <w:sz w:val="24"/>
          <w:szCs w:val="24"/>
        </w:rPr>
        <w:t>as discussed in the CFPB’s supplement to its Suppo</w:t>
      </w:r>
      <w:r w:rsidR="00A32B5E">
        <w:rPr>
          <w:sz w:val="24"/>
          <w:szCs w:val="24"/>
        </w:rPr>
        <w:t>rting Statement for Regulation Z</w:t>
      </w:r>
      <w:r w:rsidR="00A32B5E" w:rsidRPr="00A32B5E">
        <w:rPr>
          <w:sz w:val="24"/>
          <w:szCs w:val="24"/>
        </w:rPr>
        <w:t>, 12 </w:t>
      </w:r>
      <w:r w:rsidR="00A32B5E">
        <w:rPr>
          <w:sz w:val="24"/>
          <w:szCs w:val="24"/>
        </w:rPr>
        <w:t>CFR part 1026</w:t>
      </w:r>
      <w:r w:rsidR="00A32B5E" w:rsidRPr="00A32B5E">
        <w:rPr>
          <w:sz w:val="24"/>
          <w:szCs w:val="24"/>
        </w:rPr>
        <w:t xml:space="preserve"> (also filed with OMB today),</w:t>
      </w:r>
      <w:r w:rsidR="00A32B5E">
        <w:rPr>
          <w:sz w:val="24"/>
          <w:szCs w:val="24"/>
        </w:rPr>
        <w:t xml:space="preserve"> the CFPB is proposing that creditors who satisfy the homeownership counselor list discussed herein will be deemed to have complied with the proposed requirements under Regulation Z to provide a list of homeownership counselors to borrowers in high-cost mortgages and first-time borrowers in negatively-amortizing mortgage loans.</w:t>
      </w:r>
      <w:r w:rsidRPr="00CB7EE1">
        <w:rPr>
          <w:b/>
          <w:noProof/>
          <w:sz w:val="24"/>
          <w:szCs w:val="24"/>
        </w:rPr>
        <w:t xml:space="preserve">   </w:t>
      </w:r>
    </w:p>
    <w:p w:rsidR="00104DEC" w:rsidRDefault="00104DEC" w:rsidP="00291CC2">
      <w:pPr>
        <w:tabs>
          <w:tab w:val="left" w:pos="360"/>
        </w:tabs>
        <w:ind w:right="990"/>
        <w:rPr>
          <w:noProof/>
          <w:sz w:val="24"/>
          <w:szCs w:val="24"/>
        </w:rPr>
      </w:pPr>
    </w:p>
    <w:p w:rsidR="009D4BD9" w:rsidRPr="003A69C1" w:rsidRDefault="009D4BD9" w:rsidP="009D4BD9">
      <w:pPr>
        <w:pStyle w:val="CM12"/>
        <w:spacing w:line="276" w:lineRule="atLeast"/>
      </w:pPr>
      <w:r w:rsidRPr="00202188">
        <w:rPr>
          <w:b/>
          <w:bCs/>
        </w:rPr>
        <w:t xml:space="preserve">5. </w:t>
      </w:r>
      <w:r w:rsidR="00945E87">
        <w:rPr>
          <w:b/>
          <w:bCs/>
        </w:rPr>
        <w:t xml:space="preserve"> </w:t>
      </w:r>
      <w:r w:rsidRPr="00202188">
        <w:rPr>
          <w:b/>
          <w:bCs/>
          <w:u w:val="single"/>
        </w:rPr>
        <w:t>Efforts to Minimize Burdens on Small Entities</w:t>
      </w:r>
    </w:p>
    <w:p w:rsidR="009D4BD9" w:rsidRPr="00C315AC" w:rsidRDefault="009D4BD9" w:rsidP="00291CC2">
      <w:pPr>
        <w:tabs>
          <w:tab w:val="left" w:pos="360"/>
        </w:tabs>
        <w:ind w:right="990"/>
        <w:rPr>
          <w:noProof/>
          <w:sz w:val="24"/>
          <w:szCs w:val="24"/>
        </w:rPr>
      </w:pPr>
    </w:p>
    <w:p w:rsidR="00DF5847" w:rsidRPr="00176544" w:rsidRDefault="00F14ED0" w:rsidP="00DF5847">
      <w:pPr>
        <w:ind w:right="990" w:firstLine="720"/>
        <w:rPr>
          <w:sz w:val="24"/>
          <w:szCs w:val="24"/>
        </w:rPr>
      </w:pPr>
      <w:r w:rsidRPr="00405FE6">
        <w:rPr>
          <w:sz w:val="24"/>
          <w:szCs w:val="24"/>
        </w:rPr>
        <w:t>As noted</w:t>
      </w:r>
      <w:r w:rsidR="001A12F9">
        <w:rPr>
          <w:sz w:val="24"/>
          <w:szCs w:val="24"/>
        </w:rPr>
        <w:t xml:space="preserve"> in</w:t>
      </w:r>
      <w:r w:rsidRPr="00405FE6">
        <w:rPr>
          <w:sz w:val="24"/>
          <w:szCs w:val="24"/>
        </w:rPr>
        <w:t xml:space="preserve"> </w:t>
      </w:r>
      <w:r w:rsidR="00405FE6" w:rsidRPr="00405FE6">
        <w:rPr>
          <w:noProof/>
          <w:sz w:val="24"/>
          <w:szCs w:val="24"/>
        </w:rPr>
        <w:t>the CFPB</w:t>
      </w:r>
      <w:r w:rsidR="001A12F9">
        <w:rPr>
          <w:noProof/>
          <w:sz w:val="24"/>
          <w:szCs w:val="24"/>
        </w:rPr>
        <w:t>’s proposed rule, the CFPB</w:t>
      </w:r>
      <w:r w:rsidR="00405FE6" w:rsidRPr="00405FE6">
        <w:rPr>
          <w:noProof/>
          <w:sz w:val="24"/>
          <w:szCs w:val="24"/>
        </w:rPr>
        <w:t xml:space="preserve"> expects</w:t>
      </w:r>
      <w:r w:rsidR="00AA1DEC">
        <w:rPr>
          <w:noProof/>
          <w:sz w:val="24"/>
          <w:szCs w:val="24"/>
        </w:rPr>
        <w:t xml:space="preserve"> that </w:t>
      </w:r>
      <w:r w:rsidR="001A12F9">
        <w:rPr>
          <w:noProof/>
          <w:sz w:val="24"/>
          <w:szCs w:val="24"/>
        </w:rPr>
        <w:t xml:space="preserve">lenders </w:t>
      </w:r>
      <w:r w:rsidR="00AA1DEC">
        <w:rPr>
          <w:noProof/>
          <w:sz w:val="24"/>
          <w:szCs w:val="24"/>
        </w:rPr>
        <w:t xml:space="preserve">will be able to access a website </w:t>
      </w:r>
      <w:r w:rsidR="00405FE6" w:rsidRPr="00405FE6">
        <w:rPr>
          <w:noProof/>
          <w:sz w:val="24"/>
          <w:szCs w:val="24"/>
        </w:rPr>
        <w:t xml:space="preserve">that would allow </w:t>
      </w:r>
      <w:r w:rsidR="001A12F9">
        <w:rPr>
          <w:noProof/>
          <w:sz w:val="24"/>
          <w:szCs w:val="24"/>
        </w:rPr>
        <w:t xml:space="preserve">them </w:t>
      </w:r>
      <w:r w:rsidR="00405FE6" w:rsidRPr="00405FE6">
        <w:rPr>
          <w:noProof/>
          <w:sz w:val="24"/>
          <w:szCs w:val="24"/>
        </w:rPr>
        <w:t xml:space="preserve">to type in the loan applicant’s zip code to generate the requisite </w:t>
      </w:r>
      <w:r w:rsidR="001A12F9">
        <w:rPr>
          <w:noProof/>
          <w:sz w:val="24"/>
          <w:szCs w:val="24"/>
        </w:rPr>
        <w:t xml:space="preserve">housing counselor </w:t>
      </w:r>
      <w:r w:rsidR="00405FE6" w:rsidRPr="00405FE6">
        <w:rPr>
          <w:noProof/>
          <w:sz w:val="24"/>
          <w:szCs w:val="24"/>
        </w:rPr>
        <w:t xml:space="preserve">list, which could then be </w:t>
      </w:r>
      <w:r w:rsidR="003E1415">
        <w:rPr>
          <w:noProof/>
          <w:sz w:val="24"/>
          <w:szCs w:val="24"/>
        </w:rPr>
        <w:t xml:space="preserve">transmitted to </w:t>
      </w:r>
      <w:r w:rsidR="00405FE6" w:rsidRPr="00405FE6">
        <w:rPr>
          <w:noProof/>
          <w:sz w:val="24"/>
          <w:szCs w:val="24"/>
        </w:rPr>
        <w:t>the loan applicant</w:t>
      </w:r>
      <w:r w:rsidR="003E1415">
        <w:rPr>
          <w:noProof/>
          <w:sz w:val="24"/>
          <w:szCs w:val="24"/>
        </w:rPr>
        <w:t xml:space="preserve"> </w:t>
      </w:r>
      <w:r w:rsidR="003E1415">
        <w:rPr>
          <w:noProof/>
          <w:sz w:val="24"/>
          <w:szCs w:val="24"/>
        </w:rPr>
        <w:lastRenderedPageBreak/>
        <w:t>electronically or in hard copy</w:t>
      </w:r>
      <w:r w:rsidR="00405FE6" w:rsidRPr="00405FE6">
        <w:rPr>
          <w:noProof/>
          <w:sz w:val="24"/>
          <w:szCs w:val="24"/>
        </w:rPr>
        <w:t>.</w:t>
      </w:r>
      <w:r w:rsidR="001A12F9">
        <w:rPr>
          <w:noProof/>
          <w:sz w:val="24"/>
          <w:szCs w:val="24"/>
        </w:rPr>
        <w:t xml:space="preserve">  </w:t>
      </w:r>
      <w:r w:rsidR="00AA1DEC">
        <w:rPr>
          <w:noProof/>
          <w:sz w:val="24"/>
          <w:szCs w:val="24"/>
        </w:rPr>
        <w:t xml:space="preserve">This </w:t>
      </w:r>
      <w:r w:rsidR="001A12F9">
        <w:rPr>
          <w:noProof/>
          <w:sz w:val="24"/>
          <w:szCs w:val="24"/>
        </w:rPr>
        <w:t>should minimize burden by reducing the time and resources necessary to compile and distribute the housing counselor list.</w:t>
      </w:r>
      <w:r>
        <w:rPr>
          <w:sz w:val="24"/>
          <w:szCs w:val="24"/>
        </w:rPr>
        <w:t xml:space="preserve"> </w:t>
      </w:r>
    </w:p>
    <w:p w:rsidR="00104DEC" w:rsidRPr="00C315AC" w:rsidRDefault="00104DEC" w:rsidP="00291CC2">
      <w:pPr>
        <w:ind w:left="360" w:right="990"/>
        <w:rPr>
          <w:sz w:val="24"/>
          <w:szCs w:val="24"/>
        </w:rPr>
      </w:pPr>
    </w:p>
    <w:p w:rsidR="00DB229D" w:rsidRPr="004D683B" w:rsidRDefault="00DB229D" w:rsidP="00477734">
      <w:pPr>
        <w:pStyle w:val="CM12"/>
        <w:keepNext/>
        <w:widowControl/>
        <w:spacing w:line="276" w:lineRule="atLeast"/>
      </w:pPr>
      <w:r w:rsidRPr="004D683B">
        <w:rPr>
          <w:b/>
          <w:bCs/>
        </w:rPr>
        <w:t xml:space="preserve">6.  </w:t>
      </w:r>
      <w:r w:rsidRPr="004D683B">
        <w:rPr>
          <w:b/>
          <w:bCs/>
          <w:u w:val="single"/>
        </w:rPr>
        <w:t>Consequences of Less Frequent Collection and Obstacles to Burden Reduction</w:t>
      </w:r>
    </w:p>
    <w:p w:rsidR="009D4BD9" w:rsidRDefault="009D4BD9" w:rsidP="00477734">
      <w:pPr>
        <w:keepNext/>
        <w:ind w:right="994"/>
        <w:rPr>
          <w:sz w:val="24"/>
          <w:szCs w:val="24"/>
        </w:rPr>
      </w:pPr>
    </w:p>
    <w:p w:rsidR="00104DEC" w:rsidRPr="00C315AC" w:rsidRDefault="00104DEC" w:rsidP="00DB229D">
      <w:pPr>
        <w:ind w:right="990" w:firstLine="720"/>
        <w:rPr>
          <w:sz w:val="24"/>
          <w:szCs w:val="24"/>
        </w:rPr>
      </w:pPr>
      <w:r w:rsidRPr="00C315AC">
        <w:rPr>
          <w:sz w:val="24"/>
          <w:szCs w:val="24"/>
        </w:rPr>
        <w:t xml:space="preserve">This information is not submitted to the </w:t>
      </w:r>
      <w:r w:rsidR="00F33F0B" w:rsidRPr="00C315AC">
        <w:rPr>
          <w:sz w:val="24"/>
          <w:szCs w:val="24"/>
        </w:rPr>
        <w:t>federal government</w:t>
      </w:r>
      <w:r w:rsidRPr="00C315AC">
        <w:rPr>
          <w:sz w:val="24"/>
          <w:szCs w:val="24"/>
        </w:rPr>
        <w:t xml:space="preserve">.  These third-party disclosures are required by statute, 12 U.S.C. 2601 </w:t>
      </w:r>
      <w:r w:rsidRPr="00615F84">
        <w:rPr>
          <w:i/>
          <w:sz w:val="24"/>
          <w:szCs w:val="24"/>
        </w:rPr>
        <w:t>et seq</w:t>
      </w:r>
      <w:r w:rsidRPr="00615F84">
        <w:rPr>
          <w:sz w:val="24"/>
          <w:szCs w:val="24"/>
        </w:rPr>
        <w:t>.</w:t>
      </w:r>
      <w:r w:rsidR="00F47789" w:rsidRPr="00BD0784">
        <w:rPr>
          <w:sz w:val="24"/>
          <w:szCs w:val="24"/>
        </w:rPr>
        <w:t>,</w:t>
      </w:r>
      <w:r w:rsidR="00176544">
        <w:rPr>
          <w:sz w:val="24"/>
          <w:szCs w:val="24"/>
        </w:rPr>
        <w:t xml:space="preserve"> </w:t>
      </w:r>
      <w:r w:rsidRPr="00C315AC">
        <w:rPr>
          <w:sz w:val="24"/>
          <w:szCs w:val="24"/>
        </w:rPr>
        <w:t xml:space="preserve">and regulations.  </w:t>
      </w:r>
      <w:r w:rsidRPr="00C315AC">
        <w:rPr>
          <w:noProof/>
          <w:sz w:val="24"/>
          <w:szCs w:val="24"/>
        </w:rPr>
        <w:t xml:space="preserve">The burdens on respondents are the minimum necessary to comply with the statute, and to assist borrowers in </w:t>
      </w:r>
      <w:r w:rsidR="00260366">
        <w:rPr>
          <w:noProof/>
          <w:sz w:val="24"/>
          <w:szCs w:val="24"/>
        </w:rPr>
        <w:t xml:space="preserve">obtaining information about available homeownership counseling resources. </w:t>
      </w:r>
    </w:p>
    <w:p w:rsidR="00104DEC" w:rsidRPr="00C315AC" w:rsidRDefault="00104DEC" w:rsidP="00291CC2">
      <w:pPr>
        <w:tabs>
          <w:tab w:val="left" w:pos="360"/>
          <w:tab w:val="left" w:pos="720"/>
        </w:tabs>
        <w:ind w:right="990"/>
        <w:rPr>
          <w:sz w:val="24"/>
          <w:szCs w:val="24"/>
        </w:rPr>
      </w:pPr>
    </w:p>
    <w:p w:rsidR="00DB229D" w:rsidRPr="004D683B" w:rsidRDefault="00DB229D" w:rsidP="00DB229D">
      <w:pPr>
        <w:pStyle w:val="Default"/>
        <w:rPr>
          <w:b/>
          <w:bCs/>
          <w:u w:val="single"/>
        </w:rPr>
      </w:pPr>
      <w:r w:rsidRPr="004D683B">
        <w:rPr>
          <w:b/>
          <w:bCs/>
        </w:rPr>
        <w:t xml:space="preserve">7.  </w:t>
      </w:r>
      <w:r w:rsidRPr="004D683B">
        <w:rPr>
          <w:b/>
          <w:bCs/>
          <w:u w:val="single"/>
        </w:rPr>
        <w:t>Circumstances Requiring Special Information Collection</w:t>
      </w:r>
    </w:p>
    <w:p w:rsidR="00DB229D" w:rsidRDefault="00DB229D" w:rsidP="00DB229D">
      <w:pPr>
        <w:ind w:right="990"/>
        <w:rPr>
          <w:noProof/>
          <w:sz w:val="24"/>
          <w:szCs w:val="24"/>
        </w:rPr>
      </w:pPr>
    </w:p>
    <w:p w:rsidR="00104DEC" w:rsidRPr="00C315AC" w:rsidRDefault="00104DEC" w:rsidP="00DB229D">
      <w:pPr>
        <w:ind w:right="990" w:firstLine="720"/>
        <w:rPr>
          <w:noProof/>
          <w:sz w:val="24"/>
          <w:szCs w:val="24"/>
        </w:rPr>
      </w:pPr>
      <w:r w:rsidRPr="00C315AC">
        <w:rPr>
          <w:noProof/>
          <w:sz w:val="24"/>
          <w:szCs w:val="24"/>
        </w:rPr>
        <w:t xml:space="preserve">Information is not reported to </w:t>
      </w:r>
      <w:r w:rsidR="003A7A8E" w:rsidRPr="00C315AC">
        <w:rPr>
          <w:noProof/>
          <w:sz w:val="24"/>
          <w:szCs w:val="24"/>
        </w:rPr>
        <w:t xml:space="preserve">the </w:t>
      </w:r>
      <w:r w:rsidR="009D4BD9">
        <w:rPr>
          <w:noProof/>
          <w:sz w:val="24"/>
          <w:szCs w:val="24"/>
        </w:rPr>
        <w:t>CFPB</w:t>
      </w:r>
      <w:r w:rsidRPr="00C315AC">
        <w:rPr>
          <w:noProof/>
          <w:sz w:val="24"/>
          <w:szCs w:val="24"/>
        </w:rPr>
        <w:t xml:space="preserve">.  </w:t>
      </w:r>
      <w:r w:rsidR="001A12F9">
        <w:rPr>
          <w:noProof/>
          <w:sz w:val="24"/>
          <w:szCs w:val="24"/>
        </w:rPr>
        <w:t>T</w:t>
      </w:r>
      <w:r w:rsidR="00AB7FD0">
        <w:rPr>
          <w:sz w:val="24"/>
          <w:szCs w:val="24"/>
        </w:rPr>
        <w:t xml:space="preserve">he collection of information in Regulation X </w:t>
      </w:r>
      <w:r w:rsidR="005F663D">
        <w:rPr>
          <w:sz w:val="24"/>
          <w:szCs w:val="24"/>
        </w:rPr>
        <w:t>is</w:t>
      </w:r>
      <w:r w:rsidR="00AB7FD0">
        <w:rPr>
          <w:sz w:val="24"/>
          <w:szCs w:val="24"/>
        </w:rPr>
        <w:t xml:space="preserve"> consistent with the applicable guidelines contained in </w:t>
      </w:r>
      <w:r w:rsidR="00B93DA7" w:rsidRPr="00B93DA7">
        <w:rPr>
          <w:sz w:val="24"/>
          <w:szCs w:val="24"/>
        </w:rPr>
        <w:t>5 CFR 1320.5(d)(2).</w:t>
      </w:r>
    </w:p>
    <w:p w:rsidR="00F47789" w:rsidRDefault="00F47789" w:rsidP="00291CC2">
      <w:pPr>
        <w:ind w:left="360" w:right="990"/>
        <w:rPr>
          <w:noProof/>
          <w:sz w:val="24"/>
          <w:szCs w:val="24"/>
        </w:rPr>
      </w:pPr>
    </w:p>
    <w:p w:rsidR="00DB229D" w:rsidRPr="004D683B" w:rsidRDefault="00DB229D" w:rsidP="00DB229D">
      <w:pPr>
        <w:pStyle w:val="CM12"/>
        <w:spacing w:line="276" w:lineRule="atLeast"/>
        <w:rPr>
          <w:b/>
          <w:bCs/>
          <w:u w:val="single"/>
        </w:rPr>
      </w:pPr>
      <w:r w:rsidRPr="004D683B">
        <w:rPr>
          <w:b/>
          <w:bCs/>
        </w:rPr>
        <w:t xml:space="preserve">8.  </w:t>
      </w:r>
      <w:r w:rsidRPr="004D683B">
        <w:rPr>
          <w:b/>
          <w:bCs/>
          <w:u w:val="single"/>
        </w:rPr>
        <w:t>Consultation Outside the Agency</w:t>
      </w:r>
    </w:p>
    <w:p w:rsidR="00DB229D" w:rsidRPr="00C315AC" w:rsidRDefault="00DB229D" w:rsidP="00291CC2">
      <w:pPr>
        <w:ind w:left="360" w:right="990"/>
        <w:rPr>
          <w:noProof/>
          <w:sz w:val="24"/>
          <w:szCs w:val="24"/>
        </w:rPr>
      </w:pPr>
    </w:p>
    <w:p w:rsidR="00DF5847" w:rsidRPr="005F3AA8" w:rsidRDefault="00AA03DE" w:rsidP="00260366">
      <w:pPr>
        <w:pStyle w:val="CM10"/>
        <w:spacing w:line="276" w:lineRule="atLeast"/>
        <w:ind w:firstLine="720"/>
      </w:pPr>
      <w:r>
        <w:t>T</w:t>
      </w:r>
      <w:r w:rsidR="00DF5847">
        <w:t xml:space="preserve">he CFPB published a notice of proposed rulemaking in the </w:t>
      </w:r>
      <w:r w:rsidR="00DF5847">
        <w:rPr>
          <w:i/>
        </w:rPr>
        <w:t>Federal Register</w:t>
      </w:r>
      <w:r w:rsidR="00DF5847">
        <w:t xml:space="preserve"> for public comment.  The comment period </w:t>
      </w:r>
      <w:r w:rsidR="00CB7EE1">
        <w:t xml:space="preserve">for the Paperwork Reduction Act analysis will </w:t>
      </w:r>
      <w:r w:rsidR="00DF5847">
        <w:t xml:space="preserve">expire </w:t>
      </w:r>
      <w:r>
        <w:t xml:space="preserve">on </w:t>
      </w:r>
      <w:r w:rsidR="00DA2796">
        <w:t>October 15, 2012</w:t>
      </w:r>
      <w:r>
        <w:t xml:space="preserve">.  </w:t>
      </w:r>
      <w:r w:rsidR="004A69FE">
        <w:t xml:space="preserve">Prior to issuing the proposed rule, the </w:t>
      </w:r>
      <w:r w:rsidR="00A32B5E">
        <w:t>CFPB</w:t>
      </w:r>
      <w:r w:rsidR="00AA1DEC">
        <w:t xml:space="preserve"> </w:t>
      </w:r>
      <w:r w:rsidR="004A69FE">
        <w:t xml:space="preserve">consulted with HUD and other </w:t>
      </w:r>
      <w:r w:rsidR="0019157E">
        <w:t xml:space="preserve">Federal agencies consistent with section 1022 of the Dodd-Frank </w:t>
      </w:r>
      <w:r w:rsidR="00CB7EE1">
        <w:t>Act.</w:t>
      </w:r>
    </w:p>
    <w:p w:rsidR="00DB229D" w:rsidRPr="004D683B" w:rsidRDefault="00DB229D" w:rsidP="00DB229D">
      <w:pPr>
        <w:rPr>
          <w:sz w:val="24"/>
          <w:szCs w:val="24"/>
        </w:rPr>
      </w:pPr>
    </w:p>
    <w:p w:rsidR="00DB229D" w:rsidRPr="004D683B" w:rsidRDefault="00DB229D" w:rsidP="00DB229D">
      <w:pPr>
        <w:pStyle w:val="Default"/>
        <w:tabs>
          <w:tab w:val="left" w:pos="720"/>
        </w:tabs>
        <w:rPr>
          <w:color w:val="auto"/>
        </w:rPr>
      </w:pPr>
      <w:r w:rsidRPr="004D683B">
        <w:rPr>
          <w:b/>
          <w:bCs/>
          <w:color w:val="auto"/>
        </w:rPr>
        <w:t xml:space="preserve">9. </w:t>
      </w:r>
      <w:r w:rsidR="00945E87">
        <w:rPr>
          <w:b/>
          <w:bCs/>
          <w:color w:val="auto"/>
        </w:rPr>
        <w:t xml:space="preserve"> </w:t>
      </w:r>
      <w:r w:rsidRPr="004D683B">
        <w:rPr>
          <w:b/>
          <w:bCs/>
          <w:color w:val="auto"/>
          <w:u w:val="single"/>
        </w:rPr>
        <w:t>Payments or Gifts to Respondents</w:t>
      </w:r>
    </w:p>
    <w:p w:rsidR="00DB229D" w:rsidRPr="004D683B" w:rsidRDefault="00DB229D" w:rsidP="00DB229D">
      <w:pPr>
        <w:ind w:left="360"/>
        <w:rPr>
          <w:sz w:val="24"/>
          <w:szCs w:val="24"/>
        </w:rPr>
      </w:pPr>
    </w:p>
    <w:p w:rsidR="00DB229D" w:rsidRPr="004D683B" w:rsidRDefault="00DB229D" w:rsidP="00DB229D">
      <w:pPr>
        <w:ind w:left="360" w:firstLine="360"/>
        <w:rPr>
          <w:sz w:val="24"/>
          <w:szCs w:val="24"/>
        </w:rPr>
      </w:pPr>
      <w:r w:rsidRPr="004D683B">
        <w:rPr>
          <w:sz w:val="24"/>
          <w:szCs w:val="24"/>
        </w:rPr>
        <w:t>Not applicable.</w:t>
      </w:r>
    </w:p>
    <w:p w:rsidR="00104DEC" w:rsidRPr="00C315AC" w:rsidRDefault="00104DEC" w:rsidP="00291CC2">
      <w:pPr>
        <w:ind w:right="990"/>
        <w:rPr>
          <w:sz w:val="24"/>
          <w:szCs w:val="24"/>
        </w:rPr>
      </w:pPr>
    </w:p>
    <w:p w:rsidR="00DB229D" w:rsidRDefault="00DB229D" w:rsidP="00DB229D">
      <w:pPr>
        <w:ind w:right="990"/>
        <w:rPr>
          <w:sz w:val="24"/>
          <w:szCs w:val="24"/>
        </w:rPr>
      </w:pPr>
      <w:r w:rsidRPr="00DB229D">
        <w:rPr>
          <w:b/>
          <w:bCs/>
          <w:sz w:val="24"/>
          <w:szCs w:val="24"/>
        </w:rPr>
        <w:t xml:space="preserve">10.  </w:t>
      </w:r>
      <w:r w:rsidRPr="004D683B">
        <w:rPr>
          <w:b/>
          <w:bCs/>
          <w:sz w:val="24"/>
          <w:szCs w:val="24"/>
          <w:u w:val="single"/>
        </w:rPr>
        <w:t>Assurances of Confidentiality</w:t>
      </w:r>
    </w:p>
    <w:p w:rsidR="00DB229D" w:rsidRDefault="00DB229D" w:rsidP="00DB229D">
      <w:pPr>
        <w:ind w:right="990" w:firstLine="720"/>
        <w:rPr>
          <w:sz w:val="24"/>
          <w:szCs w:val="24"/>
        </w:rPr>
      </w:pPr>
    </w:p>
    <w:p w:rsidR="00104DEC" w:rsidRPr="00C315AC" w:rsidRDefault="00104DEC" w:rsidP="00DB229D">
      <w:pPr>
        <w:ind w:right="990" w:firstLine="720"/>
        <w:rPr>
          <w:noProof/>
          <w:sz w:val="24"/>
          <w:szCs w:val="24"/>
        </w:rPr>
      </w:pPr>
      <w:r w:rsidRPr="00C315AC">
        <w:rPr>
          <w:sz w:val="24"/>
          <w:szCs w:val="24"/>
        </w:rPr>
        <w:t>There are no assurances of confidentiality provided to respondents.</w:t>
      </w:r>
    </w:p>
    <w:p w:rsidR="00104DEC" w:rsidRDefault="00104DEC" w:rsidP="00291CC2">
      <w:pPr>
        <w:ind w:right="990"/>
        <w:rPr>
          <w:sz w:val="24"/>
          <w:szCs w:val="24"/>
        </w:rPr>
      </w:pPr>
    </w:p>
    <w:p w:rsidR="00DB229D" w:rsidRPr="004D683B" w:rsidRDefault="00DB229D" w:rsidP="00DB229D">
      <w:pPr>
        <w:pStyle w:val="Default"/>
        <w:rPr>
          <w:color w:val="auto"/>
        </w:rPr>
      </w:pPr>
      <w:r w:rsidRPr="00DB229D">
        <w:rPr>
          <w:b/>
        </w:rPr>
        <w:t>11.</w:t>
      </w:r>
      <w:r w:rsidR="00945E87">
        <w:rPr>
          <w:b/>
        </w:rPr>
        <w:t xml:space="preserve">  </w:t>
      </w:r>
      <w:r w:rsidRPr="004D683B">
        <w:rPr>
          <w:b/>
          <w:bCs/>
          <w:color w:val="auto"/>
          <w:u w:val="single"/>
        </w:rPr>
        <w:t>Justification for Sensitive Questions</w:t>
      </w:r>
    </w:p>
    <w:p w:rsidR="00DB229D" w:rsidRPr="00C315AC" w:rsidRDefault="00DB229D" w:rsidP="00291CC2">
      <w:pPr>
        <w:ind w:right="990"/>
        <w:rPr>
          <w:sz w:val="24"/>
          <w:szCs w:val="24"/>
        </w:rPr>
      </w:pPr>
    </w:p>
    <w:p w:rsidR="00104DEC" w:rsidRPr="00C315AC" w:rsidRDefault="00104DEC" w:rsidP="00DB229D">
      <w:pPr>
        <w:ind w:right="990" w:firstLine="720"/>
        <w:rPr>
          <w:sz w:val="24"/>
          <w:szCs w:val="24"/>
        </w:rPr>
      </w:pPr>
      <w:r w:rsidRPr="00C315AC">
        <w:rPr>
          <w:sz w:val="24"/>
          <w:szCs w:val="24"/>
        </w:rPr>
        <w:t>There is no information of a sensitive nature being requested.</w:t>
      </w:r>
    </w:p>
    <w:p w:rsidR="00104DEC" w:rsidRPr="00DB229D" w:rsidRDefault="00104DEC" w:rsidP="00291CC2">
      <w:pPr>
        <w:keepNext/>
        <w:ind w:left="360" w:right="990"/>
        <w:rPr>
          <w:b/>
          <w:sz w:val="24"/>
          <w:szCs w:val="24"/>
        </w:rPr>
      </w:pPr>
    </w:p>
    <w:p w:rsidR="00846ACF" w:rsidRDefault="00DB229D" w:rsidP="00846ACF">
      <w:pPr>
        <w:pStyle w:val="Default"/>
        <w:rPr>
          <w:b/>
          <w:bCs/>
          <w:u w:val="single"/>
        </w:rPr>
      </w:pPr>
      <w:r w:rsidRPr="004D683B">
        <w:rPr>
          <w:b/>
          <w:bCs/>
        </w:rPr>
        <w:t xml:space="preserve">12.  </w:t>
      </w:r>
      <w:r w:rsidRPr="00241170">
        <w:rPr>
          <w:b/>
          <w:bCs/>
          <w:u w:val="single"/>
        </w:rPr>
        <w:t>Estimated Burden of Information Collection</w:t>
      </w:r>
    </w:p>
    <w:p w:rsidR="00846ACF" w:rsidRDefault="00846ACF" w:rsidP="00846ACF">
      <w:pPr>
        <w:pStyle w:val="Default"/>
        <w:rPr>
          <w:b/>
          <w:bCs/>
          <w:u w:val="single"/>
        </w:rPr>
      </w:pPr>
    </w:p>
    <w:p w:rsidR="00F209A2" w:rsidRPr="00F209A2" w:rsidRDefault="00F209A2" w:rsidP="00F209A2">
      <w:pPr>
        <w:tabs>
          <w:tab w:val="left" w:pos="360"/>
        </w:tabs>
        <w:ind w:right="990" w:firstLine="720"/>
        <w:rPr>
          <w:noProof/>
          <w:sz w:val="24"/>
          <w:szCs w:val="24"/>
        </w:rPr>
      </w:pPr>
      <w:r w:rsidRPr="00F209A2">
        <w:rPr>
          <w:noProof/>
          <w:sz w:val="24"/>
          <w:szCs w:val="24"/>
        </w:rPr>
        <w:t>Under the proposed rule, the CFPB generally would account for the paperwork bur</w:t>
      </w:r>
      <w:r>
        <w:rPr>
          <w:noProof/>
          <w:sz w:val="24"/>
          <w:szCs w:val="24"/>
        </w:rPr>
        <w:t xml:space="preserve">den </w:t>
      </w:r>
      <w:r w:rsidR="00AA03DE">
        <w:rPr>
          <w:noProof/>
          <w:sz w:val="24"/>
          <w:szCs w:val="24"/>
        </w:rPr>
        <w:t xml:space="preserve">for all respondents </w:t>
      </w:r>
      <w:r w:rsidR="003A1546">
        <w:rPr>
          <w:noProof/>
          <w:sz w:val="24"/>
          <w:szCs w:val="24"/>
        </w:rPr>
        <w:t>that will be required to comply with the</w:t>
      </w:r>
      <w:r>
        <w:rPr>
          <w:noProof/>
          <w:sz w:val="24"/>
          <w:szCs w:val="24"/>
        </w:rPr>
        <w:t xml:space="preserve"> </w:t>
      </w:r>
      <w:r w:rsidR="003A1546">
        <w:rPr>
          <w:noProof/>
          <w:sz w:val="24"/>
          <w:szCs w:val="24"/>
        </w:rPr>
        <w:t xml:space="preserve">amendments to </w:t>
      </w:r>
      <w:r>
        <w:rPr>
          <w:noProof/>
          <w:sz w:val="24"/>
          <w:szCs w:val="24"/>
        </w:rPr>
        <w:t>Regulation X</w:t>
      </w:r>
      <w:r w:rsidR="003A1546">
        <w:rPr>
          <w:noProof/>
          <w:sz w:val="24"/>
          <w:szCs w:val="24"/>
        </w:rPr>
        <w:t xml:space="preserve"> in </w:t>
      </w:r>
      <w:r w:rsidR="00AA03DE">
        <w:rPr>
          <w:noProof/>
          <w:sz w:val="24"/>
          <w:szCs w:val="24"/>
        </w:rPr>
        <w:t>the proposed rule</w:t>
      </w:r>
      <w:r w:rsidRPr="00F209A2">
        <w:rPr>
          <w:noProof/>
          <w:sz w:val="24"/>
          <w:szCs w:val="24"/>
        </w:rPr>
        <w:t>.</w:t>
      </w:r>
      <w:r w:rsidR="00A55528">
        <w:rPr>
          <w:noProof/>
          <w:sz w:val="24"/>
          <w:szCs w:val="24"/>
        </w:rPr>
        <w:t xml:space="preserve"> Specifically, for the purposes of this PRA analysis, the CFPB’s respondents under Regulation X are an estimated 12,392 depository institutions and 2,515 non-depository institutions that are estimated to originate open- or closed-end mortgages (</w:t>
      </w:r>
      <w:r w:rsidR="00A55528" w:rsidRPr="00DA2796">
        <w:rPr>
          <w:i/>
          <w:noProof/>
          <w:sz w:val="24"/>
          <w:szCs w:val="24"/>
        </w:rPr>
        <w:t>i.e.</w:t>
      </w:r>
      <w:r w:rsidR="00A55528">
        <w:rPr>
          <w:noProof/>
          <w:sz w:val="24"/>
          <w:szCs w:val="24"/>
        </w:rPr>
        <w:t>, 14,907 institutions in total).</w:t>
      </w:r>
    </w:p>
    <w:p w:rsidR="00643B6C" w:rsidRDefault="00643B6C" w:rsidP="00F209A2">
      <w:pPr>
        <w:tabs>
          <w:tab w:val="left" w:pos="360"/>
        </w:tabs>
        <w:ind w:right="990" w:firstLine="720"/>
        <w:rPr>
          <w:noProof/>
          <w:sz w:val="24"/>
          <w:szCs w:val="24"/>
        </w:rPr>
      </w:pPr>
    </w:p>
    <w:p w:rsidR="00643B6C" w:rsidRDefault="00643B6C" w:rsidP="00643B6C">
      <w:pPr>
        <w:pStyle w:val="Default"/>
        <w:ind w:firstLine="720"/>
      </w:pPr>
      <w:r w:rsidRPr="00E00848">
        <w:t>The CFPB calculate</w:t>
      </w:r>
      <w:r>
        <w:t>s</w:t>
      </w:r>
      <w:r w:rsidRPr="00E00848">
        <w:t xml:space="preserve"> labor costs by applying appropriate hourly cost figures to the burden hours described </w:t>
      </w:r>
      <w:r>
        <w:t>below</w:t>
      </w:r>
      <w:r w:rsidRPr="00EB75EF">
        <w:t xml:space="preserve">.  </w:t>
      </w:r>
      <w:r w:rsidRPr="00343AB7">
        <w:t xml:space="preserve">The hourly rates used are based on </w:t>
      </w:r>
      <w:r>
        <w:t xml:space="preserve">occupation-specific average earnings data from the </w:t>
      </w:r>
      <w:r w:rsidRPr="00343AB7">
        <w:t>Bureau of Labor Statistics</w:t>
      </w:r>
      <w:r>
        <w:t xml:space="preserve"> for workers in the depository credit intermediation and non-depository credit </w:t>
      </w:r>
      <w:r>
        <w:lastRenderedPageBreak/>
        <w:t xml:space="preserve">intermediation industries.  To obtain fully-loaded hourly rates, the </w:t>
      </w:r>
      <w:r w:rsidR="00A32B5E">
        <w:t>CFPB</w:t>
      </w:r>
      <w:r>
        <w:t xml:space="preserve"> divides hourly wages by 67.5%.</w:t>
      </w:r>
      <w:r>
        <w:rPr>
          <w:rStyle w:val="FootnoteReference"/>
        </w:rPr>
        <w:footnoteReference w:id="3"/>
      </w:r>
      <w:r>
        <w:t xml:space="preserve">  The fully-loaded hourly labor cost by occupation (rounded to the nearest dollar) is given below.</w:t>
      </w:r>
    </w:p>
    <w:p w:rsidR="00643B6C" w:rsidRDefault="00643B6C" w:rsidP="00643B6C">
      <w:pPr>
        <w:pStyle w:val="Default"/>
        <w:keepNext/>
        <w:keepLines/>
        <w:ind w:firstLine="720"/>
      </w:pPr>
    </w:p>
    <w:tbl>
      <w:tblPr>
        <w:tblW w:w="7210" w:type="dxa"/>
        <w:jc w:val="center"/>
        <w:tblInd w:w="93" w:type="dxa"/>
        <w:tblLook w:val="04A0" w:firstRow="1" w:lastRow="0" w:firstColumn="1" w:lastColumn="0" w:noHBand="0" w:noVBand="1"/>
      </w:tblPr>
      <w:tblGrid>
        <w:gridCol w:w="4000"/>
        <w:gridCol w:w="1480"/>
        <w:gridCol w:w="1730"/>
      </w:tblGrid>
      <w:tr w:rsidR="00643B6C" w:rsidRPr="00643B6C" w:rsidTr="00643B6C">
        <w:trPr>
          <w:trHeight w:val="630"/>
          <w:jc w:val="center"/>
        </w:trPr>
        <w:tc>
          <w:tcPr>
            <w:tcW w:w="4000" w:type="dxa"/>
            <w:tcBorders>
              <w:top w:val="nil"/>
              <w:left w:val="nil"/>
              <w:bottom w:val="single" w:sz="4" w:space="0" w:color="auto"/>
              <w:right w:val="nil"/>
            </w:tcBorders>
            <w:shd w:val="clear" w:color="auto" w:fill="auto"/>
            <w:vAlign w:val="bottom"/>
            <w:hideMark/>
          </w:tcPr>
          <w:p w:rsidR="00643B6C" w:rsidRPr="00643B6C" w:rsidRDefault="00643B6C" w:rsidP="009D74CC">
            <w:pPr>
              <w:rPr>
                <w:color w:val="000000"/>
                <w:sz w:val="24"/>
                <w:szCs w:val="24"/>
              </w:rPr>
            </w:pPr>
            <w:r w:rsidRPr="00643B6C">
              <w:rPr>
                <w:color w:val="000000"/>
                <w:sz w:val="24"/>
                <w:szCs w:val="24"/>
              </w:rPr>
              <w:t>Occupation</w:t>
            </w:r>
          </w:p>
        </w:tc>
        <w:tc>
          <w:tcPr>
            <w:tcW w:w="1480" w:type="dxa"/>
            <w:tcBorders>
              <w:top w:val="nil"/>
              <w:left w:val="nil"/>
              <w:bottom w:val="single" w:sz="4" w:space="0" w:color="auto"/>
              <w:right w:val="nil"/>
            </w:tcBorders>
            <w:shd w:val="clear" w:color="auto" w:fill="auto"/>
            <w:vAlign w:val="bottom"/>
            <w:hideMark/>
          </w:tcPr>
          <w:p w:rsidR="00643B6C" w:rsidRPr="00643B6C" w:rsidRDefault="00643B6C" w:rsidP="009D74CC">
            <w:pPr>
              <w:jc w:val="center"/>
              <w:rPr>
                <w:color w:val="000000"/>
                <w:sz w:val="24"/>
                <w:szCs w:val="24"/>
              </w:rPr>
            </w:pPr>
            <w:r w:rsidRPr="00643B6C">
              <w:rPr>
                <w:color w:val="000000"/>
                <w:sz w:val="24"/>
                <w:szCs w:val="24"/>
              </w:rPr>
              <w:t>Depository Institutions</w:t>
            </w:r>
          </w:p>
        </w:tc>
        <w:tc>
          <w:tcPr>
            <w:tcW w:w="1730" w:type="dxa"/>
            <w:tcBorders>
              <w:top w:val="nil"/>
              <w:left w:val="nil"/>
              <w:bottom w:val="single" w:sz="4" w:space="0" w:color="auto"/>
              <w:right w:val="nil"/>
            </w:tcBorders>
            <w:shd w:val="clear" w:color="auto" w:fill="auto"/>
            <w:vAlign w:val="bottom"/>
            <w:hideMark/>
          </w:tcPr>
          <w:p w:rsidR="00643B6C" w:rsidRPr="00643B6C" w:rsidRDefault="00643B6C" w:rsidP="009D74CC">
            <w:pPr>
              <w:jc w:val="center"/>
              <w:rPr>
                <w:color w:val="000000"/>
                <w:sz w:val="24"/>
                <w:szCs w:val="24"/>
              </w:rPr>
            </w:pPr>
            <w:r w:rsidRPr="00643B6C">
              <w:rPr>
                <w:color w:val="000000"/>
                <w:sz w:val="24"/>
                <w:szCs w:val="24"/>
              </w:rPr>
              <w:t>Non-depository Institutions</w:t>
            </w:r>
          </w:p>
        </w:tc>
      </w:tr>
      <w:tr w:rsidR="00643B6C" w:rsidRPr="00643B6C" w:rsidTr="00643B6C">
        <w:trPr>
          <w:trHeight w:val="315"/>
          <w:jc w:val="center"/>
        </w:trPr>
        <w:tc>
          <w:tcPr>
            <w:tcW w:w="4000" w:type="dxa"/>
            <w:tcBorders>
              <w:top w:val="nil"/>
              <w:left w:val="nil"/>
              <w:bottom w:val="nil"/>
              <w:right w:val="nil"/>
            </w:tcBorders>
            <w:shd w:val="clear" w:color="auto" w:fill="auto"/>
            <w:noWrap/>
            <w:vAlign w:val="center"/>
            <w:hideMark/>
          </w:tcPr>
          <w:p w:rsidR="00643B6C" w:rsidRPr="00643B6C" w:rsidRDefault="00643B6C" w:rsidP="009D74CC">
            <w:pPr>
              <w:rPr>
                <w:color w:val="000000"/>
                <w:sz w:val="24"/>
                <w:szCs w:val="24"/>
              </w:rPr>
            </w:pPr>
            <w:r w:rsidRPr="00643B6C">
              <w:rPr>
                <w:color w:val="000000"/>
                <w:sz w:val="24"/>
                <w:szCs w:val="24"/>
              </w:rPr>
              <w:t>Attorneys</w:t>
            </w:r>
          </w:p>
        </w:tc>
        <w:tc>
          <w:tcPr>
            <w:tcW w:w="148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$114 </w:t>
            </w:r>
          </w:p>
        </w:tc>
        <w:tc>
          <w:tcPr>
            <w:tcW w:w="173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$113 </w:t>
            </w:r>
          </w:p>
        </w:tc>
      </w:tr>
      <w:tr w:rsidR="00643B6C" w:rsidRPr="00643B6C" w:rsidTr="00643B6C">
        <w:trPr>
          <w:trHeight w:val="315"/>
          <w:jc w:val="center"/>
        </w:trPr>
        <w:tc>
          <w:tcPr>
            <w:tcW w:w="4000" w:type="dxa"/>
            <w:tcBorders>
              <w:top w:val="nil"/>
              <w:left w:val="nil"/>
              <w:bottom w:val="nil"/>
              <w:right w:val="nil"/>
            </w:tcBorders>
            <w:shd w:val="clear" w:color="auto" w:fill="auto"/>
            <w:noWrap/>
            <w:vAlign w:val="center"/>
            <w:hideMark/>
          </w:tcPr>
          <w:p w:rsidR="00643B6C" w:rsidRPr="00643B6C" w:rsidRDefault="00643B6C" w:rsidP="009D74CC">
            <w:pPr>
              <w:rPr>
                <w:color w:val="000000"/>
                <w:sz w:val="24"/>
                <w:szCs w:val="24"/>
              </w:rPr>
            </w:pPr>
            <w:r w:rsidRPr="00643B6C">
              <w:rPr>
                <w:color w:val="000000"/>
                <w:sz w:val="24"/>
                <w:szCs w:val="24"/>
              </w:rPr>
              <w:t>Compliance officers</w:t>
            </w:r>
          </w:p>
        </w:tc>
        <w:tc>
          <w:tcPr>
            <w:tcW w:w="148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$44 </w:t>
            </w:r>
          </w:p>
        </w:tc>
        <w:tc>
          <w:tcPr>
            <w:tcW w:w="173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$49 </w:t>
            </w:r>
          </w:p>
        </w:tc>
      </w:tr>
      <w:tr w:rsidR="00643B6C" w:rsidRPr="00643B6C" w:rsidTr="00643B6C">
        <w:trPr>
          <w:trHeight w:val="315"/>
          <w:jc w:val="center"/>
        </w:trPr>
        <w:tc>
          <w:tcPr>
            <w:tcW w:w="4000" w:type="dxa"/>
            <w:tcBorders>
              <w:top w:val="nil"/>
              <w:left w:val="nil"/>
              <w:bottom w:val="nil"/>
              <w:right w:val="nil"/>
            </w:tcBorders>
            <w:shd w:val="clear" w:color="auto" w:fill="auto"/>
            <w:noWrap/>
            <w:vAlign w:val="center"/>
            <w:hideMark/>
          </w:tcPr>
          <w:p w:rsidR="00643B6C" w:rsidRPr="00643B6C" w:rsidRDefault="00643B6C" w:rsidP="009D74CC">
            <w:pPr>
              <w:rPr>
                <w:color w:val="000000"/>
                <w:sz w:val="24"/>
                <w:szCs w:val="24"/>
              </w:rPr>
            </w:pPr>
            <w:r w:rsidRPr="00643B6C">
              <w:rPr>
                <w:color w:val="000000"/>
                <w:sz w:val="24"/>
                <w:szCs w:val="24"/>
              </w:rPr>
              <w:t>Loan officers</w:t>
            </w:r>
          </w:p>
        </w:tc>
        <w:tc>
          <w:tcPr>
            <w:tcW w:w="148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$45 </w:t>
            </w:r>
          </w:p>
        </w:tc>
        <w:tc>
          <w:tcPr>
            <w:tcW w:w="173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$47 </w:t>
            </w:r>
          </w:p>
        </w:tc>
      </w:tr>
      <w:tr w:rsidR="00643B6C" w:rsidRPr="00643B6C" w:rsidTr="00643B6C">
        <w:trPr>
          <w:trHeight w:val="315"/>
          <w:jc w:val="center"/>
        </w:trPr>
        <w:tc>
          <w:tcPr>
            <w:tcW w:w="4000" w:type="dxa"/>
            <w:tcBorders>
              <w:top w:val="nil"/>
              <w:left w:val="nil"/>
              <w:bottom w:val="nil"/>
              <w:right w:val="nil"/>
            </w:tcBorders>
            <w:shd w:val="clear" w:color="auto" w:fill="auto"/>
            <w:noWrap/>
            <w:vAlign w:val="center"/>
            <w:hideMark/>
          </w:tcPr>
          <w:p w:rsidR="00643B6C" w:rsidRPr="00643B6C" w:rsidRDefault="00643B6C" w:rsidP="009D74CC">
            <w:pPr>
              <w:rPr>
                <w:color w:val="000000"/>
                <w:sz w:val="24"/>
                <w:szCs w:val="24"/>
              </w:rPr>
            </w:pPr>
            <w:r w:rsidRPr="00643B6C">
              <w:rPr>
                <w:color w:val="000000"/>
                <w:sz w:val="24"/>
                <w:szCs w:val="24"/>
              </w:rPr>
              <w:t>Training and development specialists</w:t>
            </w:r>
          </w:p>
        </w:tc>
        <w:tc>
          <w:tcPr>
            <w:tcW w:w="148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$38 </w:t>
            </w:r>
          </w:p>
        </w:tc>
        <w:tc>
          <w:tcPr>
            <w:tcW w:w="173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$40 </w:t>
            </w:r>
          </w:p>
        </w:tc>
      </w:tr>
      <w:tr w:rsidR="00643B6C" w:rsidRPr="00643B6C" w:rsidTr="00643B6C">
        <w:trPr>
          <w:trHeight w:val="315"/>
          <w:jc w:val="center"/>
        </w:trPr>
        <w:tc>
          <w:tcPr>
            <w:tcW w:w="4000" w:type="dxa"/>
            <w:tcBorders>
              <w:top w:val="nil"/>
              <w:left w:val="nil"/>
              <w:bottom w:val="nil"/>
              <w:right w:val="nil"/>
            </w:tcBorders>
            <w:shd w:val="clear" w:color="auto" w:fill="auto"/>
            <w:noWrap/>
            <w:vAlign w:val="center"/>
            <w:hideMark/>
          </w:tcPr>
          <w:p w:rsidR="00643B6C" w:rsidRPr="00643B6C" w:rsidRDefault="00643B6C" w:rsidP="009D74CC">
            <w:pPr>
              <w:rPr>
                <w:color w:val="000000"/>
                <w:sz w:val="24"/>
                <w:szCs w:val="24"/>
              </w:rPr>
            </w:pPr>
            <w:r w:rsidRPr="00643B6C">
              <w:rPr>
                <w:color w:val="000000"/>
                <w:sz w:val="24"/>
                <w:szCs w:val="24"/>
              </w:rPr>
              <w:t>Computer and IT staff</w:t>
            </w:r>
          </w:p>
        </w:tc>
        <w:tc>
          <w:tcPr>
            <w:tcW w:w="148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$53 </w:t>
            </w:r>
          </w:p>
        </w:tc>
        <w:tc>
          <w:tcPr>
            <w:tcW w:w="1730" w:type="dxa"/>
            <w:tcBorders>
              <w:top w:val="nil"/>
              <w:left w:val="nil"/>
              <w:bottom w:val="nil"/>
              <w:right w:val="nil"/>
            </w:tcBorders>
            <w:shd w:val="clear" w:color="auto" w:fill="auto"/>
            <w:noWrap/>
            <w:vAlign w:val="center"/>
            <w:hideMark/>
          </w:tcPr>
          <w:p w:rsidR="00643B6C" w:rsidRPr="00643B6C" w:rsidRDefault="00643B6C" w:rsidP="009D74CC">
            <w:pPr>
              <w:jc w:val="center"/>
              <w:rPr>
                <w:color w:val="000000"/>
                <w:sz w:val="24"/>
                <w:szCs w:val="24"/>
              </w:rPr>
            </w:pPr>
            <w:r w:rsidRPr="00643B6C">
              <w:rPr>
                <w:color w:val="000000"/>
                <w:sz w:val="24"/>
                <w:szCs w:val="24"/>
              </w:rPr>
              <w:t xml:space="preserve">$58 </w:t>
            </w:r>
          </w:p>
        </w:tc>
      </w:tr>
    </w:tbl>
    <w:p w:rsidR="00643B6C" w:rsidRDefault="00643B6C" w:rsidP="00F209A2">
      <w:pPr>
        <w:tabs>
          <w:tab w:val="left" w:pos="360"/>
        </w:tabs>
        <w:ind w:right="990" w:firstLine="720"/>
        <w:rPr>
          <w:noProof/>
          <w:sz w:val="24"/>
          <w:szCs w:val="24"/>
        </w:rPr>
      </w:pPr>
    </w:p>
    <w:p w:rsidR="00643B6C" w:rsidRDefault="00643B6C" w:rsidP="00643B6C">
      <w:pPr>
        <w:tabs>
          <w:tab w:val="left" w:pos="0"/>
        </w:tabs>
        <w:rPr>
          <w:i/>
          <w:sz w:val="24"/>
          <w:szCs w:val="24"/>
        </w:rPr>
      </w:pPr>
      <w:r w:rsidRPr="00643B6C">
        <w:rPr>
          <w:i/>
          <w:color w:val="000000"/>
          <w:sz w:val="24"/>
          <w:szCs w:val="24"/>
        </w:rPr>
        <w:t>A</w:t>
      </w:r>
      <w:r>
        <w:rPr>
          <w:i/>
          <w:color w:val="000000"/>
          <w:sz w:val="24"/>
          <w:szCs w:val="24"/>
        </w:rPr>
        <w:t>. Provision of</w:t>
      </w:r>
      <w:r w:rsidRPr="00643B6C">
        <w:rPr>
          <w:i/>
          <w:sz w:val="24"/>
          <w:szCs w:val="24"/>
        </w:rPr>
        <w:t xml:space="preserve"> </w:t>
      </w:r>
      <w:r>
        <w:rPr>
          <w:i/>
          <w:sz w:val="24"/>
          <w:szCs w:val="24"/>
        </w:rPr>
        <w:t>List of H</w:t>
      </w:r>
      <w:r w:rsidRPr="00643B6C">
        <w:rPr>
          <w:i/>
          <w:sz w:val="24"/>
          <w:szCs w:val="24"/>
        </w:rPr>
        <w:t>omeownershi</w:t>
      </w:r>
      <w:r>
        <w:rPr>
          <w:i/>
          <w:sz w:val="24"/>
          <w:szCs w:val="24"/>
        </w:rPr>
        <w:t>p C</w:t>
      </w:r>
      <w:r w:rsidRPr="00643B6C">
        <w:rPr>
          <w:i/>
          <w:sz w:val="24"/>
          <w:szCs w:val="24"/>
        </w:rPr>
        <w:t xml:space="preserve">ounselors </w:t>
      </w:r>
      <w:r>
        <w:rPr>
          <w:i/>
          <w:sz w:val="24"/>
          <w:szCs w:val="24"/>
        </w:rPr>
        <w:t>or Counseling O</w:t>
      </w:r>
      <w:r w:rsidRPr="00643B6C">
        <w:rPr>
          <w:i/>
          <w:sz w:val="24"/>
          <w:szCs w:val="24"/>
        </w:rPr>
        <w:t xml:space="preserve">rganizations to </w:t>
      </w:r>
      <w:r>
        <w:rPr>
          <w:i/>
          <w:sz w:val="24"/>
          <w:szCs w:val="24"/>
        </w:rPr>
        <w:t>Applicants for Federally Related Mortgage L</w:t>
      </w:r>
      <w:r w:rsidRPr="00643B6C">
        <w:rPr>
          <w:i/>
          <w:sz w:val="24"/>
          <w:szCs w:val="24"/>
        </w:rPr>
        <w:t>oans</w:t>
      </w:r>
    </w:p>
    <w:p w:rsidR="00643B6C" w:rsidRPr="00643B6C" w:rsidRDefault="00643B6C" w:rsidP="00643B6C">
      <w:pPr>
        <w:tabs>
          <w:tab w:val="left" w:pos="0"/>
        </w:tabs>
        <w:rPr>
          <w:i/>
          <w:color w:val="000000"/>
          <w:sz w:val="24"/>
          <w:szCs w:val="24"/>
        </w:rPr>
      </w:pPr>
    </w:p>
    <w:p w:rsidR="00F209A2" w:rsidRPr="00643B6C" w:rsidRDefault="00F209A2" w:rsidP="00F209A2">
      <w:pPr>
        <w:tabs>
          <w:tab w:val="left" w:pos="0"/>
        </w:tabs>
        <w:ind w:firstLine="720"/>
        <w:rPr>
          <w:i/>
          <w:color w:val="000000"/>
          <w:sz w:val="24"/>
          <w:szCs w:val="24"/>
        </w:rPr>
      </w:pPr>
      <w:proofErr w:type="spellStart"/>
      <w:r w:rsidRPr="00643B6C">
        <w:rPr>
          <w:i/>
          <w:color w:val="000000"/>
          <w:sz w:val="24"/>
          <w:szCs w:val="24"/>
        </w:rPr>
        <w:t>i</w:t>
      </w:r>
      <w:proofErr w:type="spellEnd"/>
      <w:r w:rsidRPr="00643B6C">
        <w:rPr>
          <w:i/>
          <w:color w:val="000000"/>
          <w:sz w:val="24"/>
          <w:szCs w:val="24"/>
        </w:rPr>
        <w:t>. One-time burden</w:t>
      </w:r>
    </w:p>
    <w:p w:rsidR="00F209A2" w:rsidRDefault="00F209A2" w:rsidP="00F209A2">
      <w:pPr>
        <w:tabs>
          <w:tab w:val="left" w:pos="0"/>
        </w:tabs>
        <w:ind w:firstLine="720"/>
        <w:rPr>
          <w:color w:val="000000"/>
          <w:sz w:val="24"/>
          <w:szCs w:val="24"/>
        </w:rPr>
      </w:pPr>
    </w:p>
    <w:p w:rsidR="00841F53" w:rsidRPr="00841F53" w:rsidRDefault="00841F53" w:rsidP="00841F53">
      <w:pPr>
        <w:tabs>
          <w:tab w:val="left" w:pos="0"/>
        </w:tabs>
        <w:ind w:firstLine="720"/>
        <w:rPr>
          <w:i/>
          <w:color w:val="000000"/>
          <w:sz w:val="24"/>
          <w:szCs w:val="24"/>
          <w:u w:val="single"/>
        </w:rPr>
      </w:pPr>
      <w:r>
        <w:rPr>
          <w:i/>
          <w:color w:val="000000"/>
          <w:sz w:val="24"/>
          <w:szCs w:val="24"/>
          <w:u w:val="single"/>
        </w:rPr>
        <w:t>Reviewing the regulation</w:t>
      </w:r>
    </w:p>
    <w:p w:rsidR="00841F53" w:rsidRDefault="00841F53" w:rsidP="00F209A2">
      <w:pPr>
        <w:tabs>
          <w:tab w:val="left" w:pos="0"/>
        </w:tabs>
        <w:ind w:firstLine="720"/>
        <w:rPr>
          <w:color w:val="000000"/>
          <w:sz w:val="24"/>
          <w:szCs w:val="24"/>
        </w:rPr>
      </w:pPr>
    </w:p>
    <w:p w:rsidR="00F209A2" w:rsidRDefault="00F209A2" w:rsidP="00F209A2">
      <w:pPr>
        <w:tabs>
          <w:tab w:val="left" w:pos="360"/>
        </w:tabs>
        <w:ind w:right="990" w:firstLine="720"/>
        <w:rPr>
          <w:noProof/>
          <w:sz w:val="24"/>
          <w:szCs w:val="24"/>
        </w:rPr>
      </w:pPr>
      <w:r w:rsidRPr="00F209A2">
        <w:rPr>
          <w:noProof/>
          <w:sz w:val="24"/>
          <w:szCs w:val="24"/>
        </w:rPr>
        <w:t xml:space="preserve">The CFPB estimates that, for each covered person, one attorney and one compliance officer would each take </w:t>
      </w:r>
      <w:r>
        <w:rPr>
          <w:noProof/>
          <w:sz w:val="24"/>
          <w:szCs w:val="24"/>
        </w:rPr>
        <w:t xml:space="preserve">7.5 minutes (0.125 hours) to </w:t>
      </w:r>
      <w:r w:rsidRPr="00F209A2">
        <w:rPr>
          <w:noProof/>
          <w:sz w:val="24"/>
          <w:szCs w:val="24"/>
        </w:rPr>
        <w:t xml:space="preserve">read and review the sections of the proposed </w:t>
      </w:r>
      <w:r>
        <w:rPr>
          <w:noProof/>
          <w:sz w:val="24"/>
          <w:szCs w:val="24"/>
        </w:rPr>
        <w:t xml:space="preserve">rule </w:t>
      </w:r>
      <w:r w:rsidRPr="00F209A2">
        <w:rPr>
          <w:noProof/>
          <w:sz w:val="24"/>
          <w:szCs w:val="24"/>
        </w:rPr>
        <w:t xml:space="preserve">that describe the </w:t>
      </w:r>
      <w:r>
        <w:rPr>
          <w:noProof/>
          <w:sz w:val="24"/>
          <w:szCs w:val="24"/>
        </w:rPr>
        <w:t>homeownership counselor list requirement</w:t>
      </w:r>
      <w:r w:rsidRPr="00F209A2">
        <w:rPr>
          <w:noProof/>
          <w:sz w:val="24"/>
          <w:szCs w:val="24"/>
        </w:rPr>
        <w:t xml:space="preserve">, based on the length of the sections.  The burden allocated to the CFPB for </w:t>
      </w:r>
      <w:r w:rsidR="00AA03DE">
        <w:rPr>
          <w:noProof/>
          <w:sz w:val="24"/>
          <w:szCs w:val="24"/>
        </w:rPr>
        <w:t>respondents subject to the proposed changes to Regulation X</w:t>
      </w:r>
      <w:r w:rsidRPr="00F209A2">
        <w:rPr>
          <w:noProof/>
          <w:sz w:val="24"/>
          <w:szCs w:val="24"/>
        </w:rPr>
        <w:t xml:space="preserve"> is </w:t>
      </w:r>
      <w:r>
        <w:rPr>
          <w:noProof/>
          <w:sz w:val="24"/>
          <w:szCs w:val="24"/>
        </w:rPr>
        <w:t xml:space="preserve">roughly </w:t>
      </w:r>
      <w:r w:rsidR="00A55528">
        <w:rPr>
          <w:noProof/>
          <w:sz w:val="24"/>
          <w:szCs w:val="24"/>
        </w:rPr>
        <w:t>3,</w:t>
      </w:r>
      <w:r>
        <w:rPr>
          <w:noProof/>
          <w:sz w:val="24"/>
          <w:szCs w:val="24"/>
        </w:rPr>
        <w:t>700 hours.</w:t>
      </w:r>
      <w:r>
        <w:rPr>
          <w:rStyle w:val="FootnoteReference"/>
          <w:noProof/>
          <w:sz w:val="24"/>
          <w:szCs w:val="24"/>
        </w:rPr>
        <w:footnoteReference w:id="4"/>
      </w:r>
      <w:r>
        <w:rPr>
          <w:noProof/>
          <w:sz w:val="24"/>
          <w:szCs w:val="24"/>
        </w:rPr>
        <w:t xml:space="preserve">  </w:t>
      </w:r>
      <w:r w:rsidRPr="00F209A2">
        <w:rPr>
          <w:noProof/>
          <w:sz w:val="24"/>
          <w:szCs w:val="24"/>
        </w:rPr>
        <w:t xml:space="preserve">Based on the respective labor cost of attorneys and compliance officers, the associated labor cost is </w:t>
      </w:r>
      <w:r>
        <w:rPr>
          <w:noProof/>
          <w:sz w:val="24"/>
          <w:szCs w:val="24"/>
        </w:rPr>
        <w:t xml:space="preserve">roughly </w:t>
      </w:r>
      <w:r w:rsidR="009D74CC">
        <w:rPr>
          <w:noProof/>
          <w:sz w:val="24"/>
          <w:szCs w:val="24"/>
        </w:rPr>
        <w:t>300</w:t>
      </w:r>
      <w:r>
        <w:rPr>
          <w:noProof/>
          <w:sz w:val="24"/>
          <w:szCs w:val="24"/>
        </w:rPr>
        <w:t>,000 dollars</w:t>
      </w:r>
      <w:r w:rsidRPr="00F209A2">
        <w:rPr>
          <w:noProof/>
          <w:sz w:val="24"/>
          <w:szCs w:val="24"/>
        </w:rPr>
        <w:t>.</w:t>
      </w:r>
      <w:r w:rsidR="001918E9">
        <w:rPr>
          <w:rStyle w:val="FootnoteReference"/>
          <w:noProof/>
          <w:sz w:val="24"/>
          <w:szCs w:val="24"/>
        </w:rPr>
        <w:footnoteReference w:id="5"/>
      </w:r>
    </w:p>
    <w:p w:rsidR="00841F53" w:rsidRDefault="00841F53" w:rsidP="00F209A2">
      <w:pPr>
        <w:tabs>
          <w:tab w:val="left" w:pos="360"/>
        </w:tabs>
        <w:ind w:right="990" w:firstLine="720"/>
        <w:rPr>
          <w:noProof/>
          <w:sz w:val="24"/>
          <w:szCs w:val="24"/>
        </w:rPr>
      </w:pPr>
    </w:p>
    <w:p w:rsidR="00841F53" w:rsidRPr="00841F53" w:rsidRDefault="00841F53" w:rsidP="00841F53">
      <w:pPr>
        <w:tabs>
          <w:tab w:val="left" w:pos="0"/>
        </w:tabs>
        <w:ind w:firstLine="720"/>
        <w:rPr>
          <w:i/>
          <w:color w:val="000000"/>
          <w:sz w:val="24"/>
          <w:szCs w:val="24"/>
          <w:u w:val="single"/>
        </w:rPr>
      </w:pPr>
      <w:r w:rsidRPr="00841F53">
        <w:rPr>
          <w:i/>
          <w:color w:val="000000"/>
          <w:sz w:val="24"/>
          <w:szCs w:val="24"/>
          <w:u w:val="single"/>
        </w:rPr>
        <w:t>Training</w:t>
      </w:r>
    </w:p>
    <w:p w:rsidR="00841F53" w:rsidRDefault="00841F53" w:rsidP="00F209A2">
      <w:pPr>
        <w:tabs>
          <w:tab w:val="left" w:pos="360"/>
        </w:tabs>
        <w:ind w:right="990" w:firstLine="720"/>
        <w:rPr>
          <w:noProof/>
          <w:sz w:val="24"/>
          <w:szCs w:val="24"/>
        </w:rPr>
      </w:pPr>
    </w:p>
    <w:p w:rsidR="00841F53" w:rsidRPr="00841F53" w:rsidRDefault="00841F53" w:rsidP="00841F53">
      <w:pPr>
        <w:tabs>
          <w:tab w:val="left" w:pos="360"/>
        </w:tabs>
        <w:ind w:right="990" w:firstLine="720"/>
        <w:rPr>
          <w:noProof/>
          <w:sz w:val="24"/>
          <w:szCs w:val="24"/>
        </w:rPr>
      </w:pPr>
      <w:r w:rsidRPr="00841F53">
        <w:rPr>
          <w:noProof/>
          <w:sz w:val="24"/>
          <w:szCs w:val="24"/>
        </w:rPr>
        <w:t xml:space="preserve">Covered persons would incur one-time costs associated with training employees </w:t>
      </w:r>
      <w:r>
        <w:rPr>
          <w:noProof/>
          <w:sz w:val="24"/>
          <w:szCs w:val="24"/>
        </w:rPr>
        <w:t>regarding the list of homeownership counselors or counseling organizations</w:t>
      </w:r>
      <w:r w:rsidRPr="00841F53">
        <w:rPr>
          <w:noProof/>
          <w:sz w:val="24"/>
          <w:szCs w:val="24"/>
        </w:rPr>
        <w:t xml:space="preserve">.  The CFPB estimates that each loan officer or other loan originator will need to receive </w:t>
      </w:r>
      <w:r>
        <w:rPr>
          <w:noProof/>
          <w:sz w:val="24"/>
          <w:szCs w:val="24"/>
        </w:rPr>
        <w:t>7.5 minutes (0.125 hours)</w:t>
      </w:r>
      <w:r w:rsidRPr="00841F53">
        <w:rPr>
          <w:noProof/>
          <w:sz w:val="24"/>
          <w:szCs w:val="24"/>
        </w:rPr>
        <w:t xml:space="preserve"> of training, and that one trainer could train ten loan officers at a time, for an additional one hour of trainer time per ten hours of trainee time.  The CFPB estimates that there are approximately </w:t>
      </w:r>
      <w:r w:rsidR="009D74CC">
        <w:rPr>
          <w:noProof/>
          <w:sz w:val="24"/>
          <w:szCs w:val="24"/>
        </w:rPr>
        <w:t>7</w:t>
      </w:r>
      <w:r>
        <w:rPr>
          <w:noProof/>
          <w:sz w:val="24"/>
          <w:szCs w:val="24"/>
        </w:rPr>
        <w:t>2</w:t>
      </w:r>
      <w:r w:rsidRPr="00841F53">
        <w:rPr>
          <w:noProof/>
          <w:sz w:val="24"/>
          <w:szCs w:val="24"/>
        </w:rPr>
        <w:t xml:space="preserve">,000 loan officers at the depository institutions and </w:t>
      </w:r>
      <w:r w:rsidR="009D74CC">
        <w:rPr>
          <w:noProof/>
          <w:sz w:val="24"/>
          <w:szCs w:val="24"/>
        </w:rPr>
        <w:t xml:space="preserve">about </w:t>
      </w:r>
      <w:r w:rsidRPr="00841F53">
        <w:rPr>
          <w:noProof/>
          <w:sz w:val="24"/>
          <w:szCs w:val="24"/>
        </w:rPr>
        <w:t>21,000 at no</w:t>
      </w:r>
      <w:r>
        <w:rPr>
          <w:noProof/>
          <w:sz w:val="24"/>
          <w:szCs w:val="24"/>
        </w:rPr>
        <w:t>n-</w:t>
      </w:r>
      <w:r w:rsidRPr="00841F53">
        <w:rPr>
          <w:noProof/>
          <w:sz w:val="24"/>
          <w:szCs w:val="24"/>
        </w:rPr>
        <w:t xml:space="preserve">depository institutions that would need training.  </w:t>
      </w:r>
      <w:r>
        <w:rPr>
          <w:noProof/>
          <w:sz w:val="24"/>
          <w:szCs w:val="24"/>
        </w:rPr>
        <w:t xml:space="preserve">Given the estimates, the estimated training-hours burden is approximately </w:t>
      </w:r>
      <w:r w:rsidR="00CB4C09">
        <w:rPr>
          <w:noProof/>
          <w:sz w:val="24"/>
          <w:szCs w:val="24"/>
        </w:rPr>
        <w:t>12</w:t>
      </w:r>
      <w:r>
        <w:rPr>
          <w:noProof/>
          <w:sz w:val="24"/>
          <w:szCs w:val="24"/>
        </w:rPr>
        <w:t>,</w:t>
      </w:r>
      <w:r w:rsidR="00CB4C09">
        <w:rPr>
          <w:noProof/>
          <w:sz w:val="24"/>
          <w:szCs w:val="24"/>
        </w:rPr>
        <w:t>7</w:t>
      </w:r>
      <w:r>
        <w:rPr>
          <w:noProof/>
          <w:sz w:val="24"/>
          <w:szCs w:val="24"/>
        </w:rPr>
        <w:t xml:space="preserve">00 hours, and the associated labor costs are estimated to be </w:t>
      </w:r>
      <w:r w:rsidR="00DF4150">
        <w:rPr>
          <w:noProof/>
          <w:sz w:val="24"/>
          <w:szCs w:val="24"/>
        </w:rPr>
        <w:t>roughly 570</w:t>
      </w:r>
      <w:r>
        <w:rPr>
          <w:noProof/>
          <w:sz w:val="24"/>
          <w:szCs w:val="24"/>
        </w:rPr>
        <w:t>,000 dollars</w:t>
      </w:r>
      <w:r w:rsidRPr="00841F53">
        <w:rPr>
          <w:noProof/>
          <w:sz w:val="24"/>
          <w:szCs w:val="24"/>
        </w:rPr>
        <w:t>.</w:t>
      </w:r>
      <w:r>
        <w:rPr>
          <w:rStyle w:val="FootnoteReference"/>
          <w:noProof/>
          <w:sz w:val="24"/>
          <w:szCs w:val="24"/>
        </w:rPr>
        <w:footnoteReference w:id="6"/>
      </w:r>
    </w:p>
    <w:p w:rsidR="001918E9" w:rsidRPr="00F209A2" w:rsidRDefault="001918E9" w:rsidP="00F209A2">
      <w:pPr>
        <w:tabs>
          <w:tab w:val="left" w:pos="0"/>
        </w:tabs>
        <w:ind w:firstLine="720"/>
        <w:rPr>
          <w:color w:val="000000"/>
          <w:sz w:val="24"/>
          <w:szCs w:val="24"/>
        </w:rPr>
      </w:pPr>
    </w:p>
    <w:p w:rsidR="00F209A2" w:rsidRDefault="00F209A2" w:rsidP="00846ACF">
      <w:pPr>
        <w:pStyle w:val="Default"/>
        <w:ind w:right="720" w:firstLine="360"/>
        <w:rPr>
          <w:i/>
        </w:rPr>
      </w:pPr>
      <w:r>
        <w:rPr>
          <w:i/>
        </w:rPr>
        <w:t xml:space="preserve"> </w:t>
      </w:r>
      <w:r>
        <w:rPr>
          <w:i/>
        </w:rPr>
        <w:tab/>
        <w:t>ii. Ongoing</w:t>
      </w:r>
      <w:r w:rsidRPr="00F209A2">
        <w:rPr>
          <w:i/>
        </w:rPr>
        <w:t xml:space="preserve"> burden</w:t>
      </w:r>
    </w:p>
    <w:p w:rsidR="002B7976" w:rsidRDefault="002B7976" w:rsidP="00846ACF">
      <w:pPr>
        <w:pStyle w:val="Default"/>
        <w:ind w:right="720" w:firstLine="360"/>
        <w:rPr>
          <w:i/>
        </w:rPr>
      </w:pPr>
    </w:p>
    <w:p w:rsidR="002B7976" w:rsidRPr="00AC4587" w:rsidRDefault="002B7976" w:rsidP="00AC4587">
      <w:pPr>
        <w:pStyle w:val="Default"/>
        <w:ind w:right="720" w:firstLine="360"/>
      </w:pPr>
      <w:r>
        <w:t xml:space="preserve">The </w:t>
      </w:r>
      <w:r w:rsidR="00A32B5E">
        <w:t>CFPB</w:t>
      </w:r>
      <w:r>
        <w:t xml:space="preserve"> estimates that, on average, covered persons will require 1 minute to produce and to provide the list of homeownership counselors or counseling or</w:t>
      </w:r>
      <w:r w:rsidR="00AC4587">
        <w:t xml:space="preserve">ganizations to each applicant.  </w:t>
      </w:r>
      <w:r w:rsidR="00AC4587" w:rsidRPr="00AC4587">
        <w:t>Given the estimated 1</w:t>
      </w:r>
      <w:r w:rsidR="00283BD4">
        <w:t>5</w:t>
      </w:r>
      <w:r w:rsidR="00AC4587" w:rsidRPr="00AC4587">
        <w:t>.</w:t>
      </w:r>
      <w:r w:rsidR="00283BD4">
        <w:t>5</w:t>
      </w:r>
      <w:r w:rsidR="00AC4587" w:rsidRPr="00AC4587">
        <w:t xml:space="preserve"> million applications for the universe of relevant respondents, the </w:t>
      </w:r>
      <w:r w:rsidR="00A32B5E">
        <w:t>CFPB</w:t>
      </w:r>
      <w:r w:rsidR="00A32B5E" w:rsidRPr="00AC4587">
        <w:t xml:space="preserve"> </w:t>
      </w:r>
      <w:r w:rsidR="00AC4587" w:rsidRPr="00AC4587">
        <w:t xml:space="preserve">estimates the burden would be about </w:t>
      </w:r>
      <w:r w:rsidR="00283BD4">
        <w:t>2</w:t>
      </w:r>
      <w:r w:rsidR="00290FF0">
        <w:t>60</w:t>
      </w:r>
      <w:r w:rsidR="00AC4587" w:rsidRPr="00AC4587">
        <w:t>,000 hours (1</w:t>
      </w:r>
      <w:r w:rsidR="00283BD4">
        <w:t>5</w:t>
      </w:r>
      <w:r w:rsidR="00AC4587" w:rsidRPr="00AC4587">
        <w:t>.</w:t>
      </w:r>
      <w:r w:rsidR="00283BD4">
        <w:t>5</w:t>
      </w:r>
      <w:r w:rsidR="00AC4587" w:rsidRPr="00AC4587">
        <w:t xml:space="preserve"> million applications * (1/60 hour)) and associated labor cost of </w:t>
      </w:r>
      <w:r w:rsidR="00283BD4">
        <w:t>11</w:t>
      </w:r>
      <w:r w:rsidR="00AC4587" w:rsidRPr="00AC4587">
        <w:t>.</w:t>
      </w:r>
      <w:r w:rsidR="00283BD4">
        <w:t>9</w:t>
      </w:r>
      <w:r w:rsidR="00AC4587" w:rsidRPr="00AC4587">
        <w:t xml:space="preserve"> million dollars.</w:t>
      </w:r>
      <w:r w:rsidR="0089118C">
        <w:rPr>
          <w:rStyle w:val="FootnoteReference"/>
        </w:rPr>
        <w:footnoteReference w:id="7"/>
      </w:r>
    </w:p>
    <w:p w:rsidR="00104DEC" w:rsidRPr="00945E87" w:rsidRDefault="00104DEC" w:rsidP="00181D61">
      <w:pPr>
        <w:tabs>
          <w:tab w:val="left" w:pos="360"/>
        </w:tabs>
        <w:ind w:right="990"/>
        <w:rPr>
          <w:sz w:val="24"/>
          <w:szCs w:val="24"/>
        </w:rPr>
      </w:pPr>
    </w:p>
    <w:p w:rsidR="00DB229D" w:rsidRPr="004D683B" w:rsidRDefault="00DB229D" w:rsidP="00DB229D">
      <w:pPr>
        <w:pStyle w:val="CM12"/>
        <w:spacing w:line="276" w:lineRule="atLeast"/>
      </w:pPr>
      <w:r w:rsidRPr="004D683B">
        <w:rPr>
          <w:b/>
          <w:bCs/>
        </w:rPr>
        <w:t xml:space="preserve">13.  </w:t>
      </w:r>
      <w:r w:rsidRPr="004D683B">
        <w:rPr>
          <w:b/>
          <w:bCs/>
          <w:u w:val="single"/>
        </w:rPr>
        <w:t xml:space="preserve">Estimated Total Annual Cost Burden to Respondents or </w:t>
      </w:r>
      <w:proofErr w:type="spellStart"/>
      <w:r w:rsidRPr="004D683B">
        <w:rPr>
          <w:b/>
          <w:bCs/>
          <w:u w:val="single"/>
        </w:rPr>
        <w:t>Recordkeepers</w:t>
      </w:r>
      <w:proofErr w:type="spellEnd"/>
      <w:r w:rsidRPr="004D683B">
        <w:rPr>
          <w:b/>
          <w:bCs/>
          <w:u w:val="single"/>
        </w:rPr>
        <w:t xml:space="preserve"> </w:t>
      </w:r>
    </w:p>
    <w:p w:rsidR="00DB229D" w:rsidRDefault="00DB229D" w:rsidP="00DB229D">
      <w:pPr>
        <w:ind w:left="360" w:right="990"/>
        <w:rPr>
          <w:noProof/>
          <w:sz w:val="24"/>
          <w:szCs w:val="24"/>
        </w:rPr>
      </w:pPr>
    </w:p>
    <w:p w:rsidR="00241170" w:rsidRDefault="00EB4F9F" w:rsidP="0060731A">
      <w:pPr>
        <w:tabs>
          <w:tab w:val="left" w:pos="360"/>
        </w:tabs>
        <w:ind w:right="990" w:firstLine="720"/>
        <w:rPr>
          <w:noProof/>
          <w:sz w:val="24"/>
          <w:szCs w:val="24"/>
        </w:rPr>
      </w:pPr>
      <w:r>
        <w:rPr>
          <w:noProof/>
          <w:sz w:val="24"/>
          <w:szCs w:val="24"/>
        </w:rPr>
        <w:t xml:space="preserve">The </w:t>
      </w:r>
      <w:r w:rsidR="00A32B5E">
        <w:rPr>
          <w:noProof/>
          <w:sz w:val="24"/>
          <w:szCs w:val="24"/>
        </w:rPr>
        <w:t xml:space="preserve">CFPB </w:t>
      </w:r>
      <w:r w:rsidR="00241170">
        <w:rPr>
          <w:noProof/>
          <w:sz w:val="24"/>
          <w:szCs w:val="24"/>
        </w:rPr>
        <w:t>estimates that respondents will incur a burden of $0.1</w:t>
      </w:r>
      <w:r w:rsidR="007B7B05">
        <w:rPr>
          <w:noProof/>
          <w:sz w:val="24"/>
          <w:szCs w:val="24"/>
        </w:rPr>
        <w:t>0</w:t>
      </w:r>
      <w:r w:rsidR="00241170">
        <w:rPr>
          <w:noProof/>
          <w:sz w:val="24"/>
          <w:szCs w:val="24"/>
        </w:rPr>
        <w:t xml:space="preserve"> dollars per application to produce the list of homeownership counselors or counseling organizations.  The </w:t>
      </w:r>
      <w:r w:rsidR="00A32B5E">
        <w:rPr>
          <w:noProof/>
          <w:sz w:val="24"/>
          <w:szCs w:val="24"/>
        </w:rPr>
        <w:t xml:space="preserve">CFPB </w:t>
      </w:r>
      <w:r w:rsidR="00241170">
        <w:rPr>
          <w:noProof/>
          <w:sz w:val="24"/>
          <w:szCs w:val="24"/>
        </w:rPr>
        <w:t>estimates that the 1</w:t>
      </w:r>
      <w:r w:rsidR="00C74952">
        <w:rPr>
          <w:noProof/>
          <w:sz w:val="24"/>
          <w:szCs w:val="24"/>
        </w:rPr>
        <w:t>2,392</w:t>
      </w:r>
      <w:r w:rsidR="00241170">
        <w:rPr>
          <w:noProof/>
          <w:sz w:val="24"/>
          <w:szCs w:val="24"/>
        </w:rPr>
        <w:t xml:space="preserve"> depository institutions and 2,515 non-depository institutions subject to the </w:t>
      </w:r>
      <w:r w:rsidR="00A32B5E">
        <w:rPr>
          <w:noProof/>
          <w:sz w:val="24"/>
          <w:szCs w:val="24"/>
        </w:rPr>
        <w:t xml:space="preserve">CFPB’s </w:t>
      </w:r>
      <w:r w:rsidR="00241170">
        <w:rPr>
          <w:noProof/>
          <w:sz w:val="24"/>
          <w:szCs w:val="24"/>
        </w:rPr>
        <w:t>administrative enforcement authority receive roughly 1</w:t>
      </w:r>
      <w:r w:rsidR="00C74952">
        <w:rPr>
          <w:noProof/>
          <w:sz w:val="24"/>
          <w:szCs w:val="24"/>
        </w:rPr>
        <w:t>5</w:t>
      </w:r>
      <w:r w:rsidR="00241170">
        <w:rPr>
          <w:noProof/>
          <w:sz w:val="24"/>
          <w:szCs w:val="24"/>
        </w:rPr>
        <w:t>.</w:t>
      </w:r>
      <w:r w:rsidR="00C74952">
        <w:rPr>
          <w:noProof/>
          <w:sz w:val="24"/>
          <w:szCs w:val="24"/>
        </w:rPr>
        <w:t>5</w:t>
      </w:r>
      <w:r w:rsidR="00241170">
        <w:rPr>
          <w:noProof/>
          <w:sz w:val="24"/>
          <w:szCs w:val="24"/>
        </w:rPr>
        <w:t xml:space="preserve"> million applications for open-end or closed-end mortgages.  Given this, the </w:t>
      </w:r>
      <w:r w:rsidR="00A32B5E">
        <w:rPr>
          <w:noProof/>
          <w:sz w:val="24"/>
          <w:szCs w:val="24"/>
        </w:rPr>
        <w:t xml:space="preserve">CFPB </w:t>
      </w:r>
      <w:r w:rsidR="00241170">
        <w:rPr>
          <w:noProof/>
          <w:sz w:val="24"/>
          <w:szCs w:val="24"/>
        </w:rPr>
        <w:t>estimates the total burden ac</w:t>
      </w:r>
      <w:r w:rsidR="007B7B05">
        <w:rPr>
          <w:noProof/>
          <w:sz w:val="24"/>
          <w:szCs w:val="24"/>
        </w:rPr>
        <w:t>ross all relevant respondents would be</w:t>
      </w:r>
      <w:r w:rsidR="00241170">
        <w:rPr>
          <w:noProof/>
          <w:sz w:val="24"/>
          <w:szCs w:val="24"/>
        </w:rPr>
        <w:t xml:space="preserve"> 1.</w:t>
      </w:r>
      <w:r w:rsidR="00C74952">
        <w:rPr>
          <w:noProof/>
          <w:sz w:val="24"/>
          <w:szCs w:val="24"/>
        </w:rPr>
        <w:t>55</w:t>
      </w:r>
      <w:r w:rsidR="00241170">
        <w:rPr>
          <w:noProof/>
          <w:sz w:val="24"/>
          <w:szCs w:val="24"/>
        </w:rPr>
        <w:t xml:space="preserve"> million dollars (($0.1</w:t>
      </w:r>
      <w:r w:rsidR="007B7B05">
        <w:rPr>
          <w:noProof/>
          <w:sz w:val="24"/>
          <w:szCs w:val="24"/>
        </w:rPr>
        <w:t>0</w:t>
      </w:r>
      <w:r w:rsidR="00241170">
        <w:rPr>
          <w:noProof/>
          <w:sz w:val="24"/>
          <w:szCs w:val="24"/>
        </w:rPr>
        <w:t>) * 1</w:t>
      </w:r>
      <w:r w:rsidR="00C74952">
        <w:rPr>
          <w:noProof/>
          <w:sz w:val="24"/>
          <w:szCs w:val="24"/>
        </w:rPr>
        <w:t>5</w:t>
      </w:r>
      <w:r w:rsidR="00241170">
        <w:rPr>
          <w:noProof/>
          <w:sz w:val="24"/>
          <w:szCs w:val="24"/>
        </w:rPr>
        <w:t>.</w:t>
      </w:r>
      <w:r w:rsidR="00C74952">
        <w:rPr>
          <w:noProof/>
          <w:sz w:val="24"/>
          <w:szCs w:val="24"/>
        </w:rPr>
        <w:t>5</w:t>
      </w:r>
      <w:r w:rsidR="00241170">
        <w:rPr>
          <w:noProof/>
          <w:sz w:val="24"/>
          <w:szCs w:val="24"/>
        </w:rPr>
        <w:t xml:space="preserve"> million applications).</w:t>
      </w:r>
    </w:p>
    <w:p w:rsidR="001918E9" w:rsidRDefault="001918E9" w:rsidP="0060731A">
      <w:pPr>
        <w:tabs>
          <w:tab w:val="left" w:pos="360"/>
        </w:tabs>
        <w:ind w:right="990" w:firstLine="720"/>
        <w:rPr>
          <w:noProof/>
          <w:sz w:val="24"/>
          <w:szCs w:val="24"/>
        </w:rPr>
      </w:pPr>
    </w:p>
    <w:p w:rsidR="00DB229D" w:rsidRDefault="00DB229D" w:rsidP="00C6539E">
      <w:pPr>
        <w:pStyle w:val="CM12"/>
        <w:spacing w:line="276" w:lineRule="atLeast"/>
      </w:pPr>
      <w:r w:rsidRPr="004D683B">
        <w:rPr>
          <w:b/>
          <w:bCs/>
        </w:rPr>
        <w:t xml:space="preserve">14.  </w:t>
      </w:r>
      <w:r w:rsidRPr="004D683B">
        <w:rPr>
          <w:b/>
          <w:bCs/>
          <w:u w:val="single"/>
        </w:rPr>
        <w:t>Estimated Cost to the Federal Government</w:t>
      </w:r>
    </w:p>
    <w:p w:rsidR="00C6539E" w:rsidRDefault="00C6539E" w:rsidP="00291CC2">
      <w:pPr>
        <w:tabs>
          <w:tab w:val="left" w:pos="360"/>
        </w:tabs>
        <w:ind w:right="990"/>
      </w:pPr>
    </w:p>
    <w:p w:rsidR="00104DEC" w:rsidRPr="00C6539E" w:rsidRDefault="00C6539E" w:rsidP="00C6539E">
      <w:pPr>
        <w:tabs>
          <w:tab w:val="left" w:pos="360"/>
        </w:tabs>
        <w:ind w:firstLine="720"/>
        <w:rPr>
          <w:sz w:val="24"/>
          <w:szCs w:val="24"/>
        </w:rPr>
      </w:pPr>
      <w:r w:rsidRPr="00C6539E">
        <w:rPr>
          <w:sz w:val="24"/>
          <w:szCs w:val="24"/>
        </w:rPr>
        <w:t>As the CFPB does not collect any information, the cost to the CFPB is negligible.</w:t>
      </w:r>
    </w:p>
    <w:p w:rsidR="00C6539E" w:rsidRPr="00C6539E" w:rsidRDefault="00C6539E" w:rsidP="00C6539E">
      <w:pPr>
        <w:tabs>
          <w:tab w:val="left" w:pos="360"/>
        </w:tabs>
        <w:ind w:firstLine="720"/>
        <w:rPr>
          <w:sz w:val="24"/>
          <w:szCs w:val="24"/>
        </w:rPr>
      </w:pPr>
    </w:p>
    <w:p w:rsidR="00DB229D" w:rsidRPr="004D683B" w:rsidRDefault="00DB229D" w:rsidP="00DB229D">
      <w:pPr>
        <w:pStyle w:val="Default"/>
        <w:rPr>
          <w:b/>
          <w:bCs/>
          <w:u w:val="single"/>
        </w:rPr>
      </w:pPr>
      <w:r w:rsidRPr="004D683B">
        <w:rPr>
          <w:b/>
          <w:bCs/>
        </w:rPr>
        <w:t xml:space="preserve">15.  </w:t>
      </w:r>
      <w:r w:rsidRPr="004D683B">
        <w:rPr>
          <w:b/>
          <w:bCs/>
          <w:u w:val="single"/>
        </w:rPr>
        <w:t>Program Changes or Adjustments</w:t>
      </w:r>
    </w:p>
    <w:p w:rsidR="00DB229D" w:rsidRPr="00C315AC" w:rsidRDefault="00DB229D" w:rsidP="001414AC">
      <w:pPr>
        <w:tabs>
          <w:tab w:val="left" w:pos="360"/>
        </w:tabs>
        <w:rPr>
          <w:sz w:val="24"/>
          <w:szCs w:val="24"/>
        </w:rPr>
      </w:pPr>
    </w:p>
    <w:p w:rsidR="001414AC" w:rsidRPr="00244629" w:rsidRDefault="00244629" w:rsidP="00244629">
      <w:pPr>
        <w:tabs>
          <w:tab w:val="left" w:pos="360"/>
        </w:tabs>
        <w:ind w:firstLine="720"/>
        <w:rPr>
          <w:noProof/>
          <w:sz w:val="24"/>
          <w:szCs w:val="24"/>
        </w:rPr>
      </w:pPr>
      <w:r w:rsidRPr="00244629">
        <w:rPr>
          <w:sz w:val="24"/>
          <w:szCs w:val="24"/>
        </w:rPr>
        <w:t>T</w:t>
      </w:r>
      <w:r w:rsidR="00E1185D">
        <w:rPr>
          <w:sz w:val="24"/>
          <w:szCs w:val="24"/>
        </w:rPr>
        <w:t xml:space="preserve">he CFPB’s proposal would </w:t>
      </w:r>
      <w:r w:rsidRPr="00244629">
        <w:rPr>
          <w:sz w:val="24"/>
          <w:szCs w:val="24"/>
        </w:rPr>
        <w:t xml:space="preserve">implement in Regulation </w:t>
      </w:r>
      <w:r w:rsidR="00E1185D">
        <w:rPr>
          <w:sz w:val="24"/>
          <w:szCs w:val="24"/>
        </w:rPr>
        <w:t>X</w:t>
      </w:r>
      <w:r w:rsidRPr="00244629">
        <w:rPr>
          <w:sz w:val="24"/>
          <w:szCs w:val="24"/>
        </w:rPr>
        <w:t xml:space="preserve"> the </w:t>
      </w:r>
      <w:r w:rsidR="00E1185D">
        <w:rPr>
          <w:sz w:val="24"/>
          <w:szCs w:val="24"/>
        </w:rPr>
        <w:t>information collection</w:t>
      </w:r>
      <w:r w:rsidRPr="00244629">
        <w:rPr>
          <w:sz w:val="24"/>
          <w:szCs w:val="24"/>
        </w:rPr>
        <w:t xml:space="preserve"> </w:t>
      </w:r>
      <w:r w:rsidR="00AA03DE">
        <w:rPr>
          <w:sz w:val="24"/>
          <w:szCs w:val="24"/>
        </w:rPr>
        <w:t xml:space="preserve">requirements </w:t>
      </w:r>
      <w:r w:rsidRPr="00244629">
        <w:rPr>
          <w:sz w:val="24"/>
          <w:szCs w:val="24"/>
        </w:rPr>
        <w:t xml:space="preserve">described above.  </w:t>
      </w:r>
      <w:r w:rsidR="00E1185D">
        <w:rPr>
          <w:sz w:val="24"/>
          <w:szCs w:val="24"/>
        </w:rPr>
        <w:t xml:space="preserve">The CFPB’s proposal </w:t>
      </w:r>
      <w:r w:rsidRPr="00244629">
        <w:rPr>
          <w:sz w:val="24"/>
          <w:szCs w:val="24"/>
        </w:rPr>
        <w:t xml:space="preserve">makes no changes to the other information collections </w:t>
      </w:r>
      <w:r w:rsidR="00E1185D">
        <w:rPr>
          <w:sz w:val="24"/>
          <w:szCs w:val="24"/>
        </w:rPr>
        <w:t xml:space="preserve">in Regulation X </w:t>
      </w:r>
      <w:r w:rsidRPr="00244629">
        <w:rPr>
          <w:sz w:val="24"/>
          <w:szCs w:val="24"/>
        </w:rPr>
        <w:t>since the last OMB approval.</w:t>
      </w:r>
      <w:r w:rsidR="001414AC" w:rsidRPr="00244629">
        <w:rPr>
          <w:color w:val="000000"/>
          <w:sz w:val="24"/>
          <w:szCs w:val="24"/>
        </w:rPr>
        <w:t xml:space="preserve">  </w:t>
      </w:r>
    </w:p>
    <w:p w:rsidR="001414AC" w:rsidRPr="00C315AC" w:rsidRDefault="001414AC" w:rsidP="001414AC">
      <w:pPr>
        <w:tabs>
          <w:tab w:val="left" w:pos="360"/>
        </w:tabs>
        <w:rPr>
          <w:sz w:val="24"/>
          <w:szCs w:val="24"/>
        </w:rPr>
      </w:pPr>
    </w:p>
    <w:p w:rsidR="00DB229D" w:rsidRPr="004D683B" w:rsidRDefault="00DB229D" w:rsidP="00DB229D">
      <w:pPr>
        <w:pStyle w:val="CM12"/>
        <w:spacing w:line="276" w:lineRule="atLeast"/>
      </w:pPr>
      <w:r w:rsidRPr="004D683B">
        <w:rPr>
          <w:b/>
          <w:bCs/>
        </w:rPr>
        <w:t xml:space="preserve">16.  </w:t>
      </w:r>
      <w:r w:rsidRPr="004D683B">
        <w:rPr>
          <w:b/>
          <w:bCs/>
          <w:u w:val="single"/>
        </w:rPr>
        <w:t>Plans for Tabulation, Statistical Analysis, and Publication</w:t>
      </w:r>
    </w:p>
    <w:p w:rsidR="00DB229D" w:rsidRDefault="00DB229D" w:rsidP="00DB229D">
      <w:pPr>
        <w:tabs>
          <w:tab w:val="left" w:pos="720"/>
        </w:tabs>
        <w:ind w:right="990"/>
        <w:rPr>
          <w:sz w:val="24"/>
          <w:szCs w:val="24"/>
        </w:rPr>
      </w:pPr>
    </w:p>
    <w:p w:rsidR="00104DEC" w:rsidRPr="00C315AC" w:rsidRDefault="00DB229D" w:rsidP="00DB229D">
      <w:pPr>
        <w:tabs>
          <w:tab w:val="left" w:pos="720"/>
        </w:tabs>
        <w:ind w:right="990"/>
        <w:rPr>
          <w:sz w:val="24"/>
          <w:szCs w:val="24"/>
        </w:rPr>
      </w:pPr>
      <w:r>
        <w:rPr>
          <w:sz w:val="24"/>
          <w:szCs w:val="24"/>
        </w:rPr>
        <w:tab/>
      </w:r>
      <w:r w:rsidR="00104DEC" w:rsidRPr="00C315AC">
        <w:rPr>
          <w:sz w:val="24"/>
          <w:szCs w:val="24"/>
        </w:rPr>
        <w:t>The results of the information collection will not be published.</w:t>
      </w:r>
    </w:p>
    <w:p w:rsidR="00104DEC" w:rsidRPr="00C315AC" w:rsidRDefault="00104DEC" w:rsidP="00291CC2">
      <w:pPr>
        <w:tabs>
          <w:tab w:val="left" w:pos="720"/>
        </w:tabs>
        <w:ind w:left="720" w:right="990" w:hanging="360"/>
        <w:rPr>
          <w:sz w:val="24"/>
          <w:szCs w:val="24"/>
        </w:rPr>
      </w:pPr>
    </w:p>
    <w:p w:rsidR="00DB229D" w:rsidRPr="004D683B" w:rsidRDefault="00DB229D" w:rsidP="00DE6236">
      <w:pPr>
        <w:pStyle w:val="Default"/>
        <w:keepNext/>
        <w:widowControl/>
        <w:rPr>
          <w:b/>
          <w:bCs/>
          <w:color w:val="auto"/>
          <w:u w:val="single"/>
        </w:rPr>
      </w:pPr>
      <w:r w:rsidRPr="004D683B">
        <w:rPr>
          <w:b/>
          <w:bCs/>
          <w:color w:val="auto"/>
        </w:rPr>
        <w:t>17.</w:t>
      </w:r>
      <w:r w:rsidR="00CE497D">
        <w:rPr>
          <w:b/>
          <w:bCs/>
          <w:color w:val="auto"/>
        </w:rPr>
        <w:t xml:space="preserve">  </w:t>
      </w:r>
      <w:r w:rsidRPr="004D683B">
        <w:rPr>
          <w:b/>
          <w:bCs/>
          <w:color w:val="auto"/>
          <w:u w:val="single"/>
        </w:rPr>
        <w:t>Display of Expiration Date</w:t>
      </w:r>
    </w:p>
    <w:p w:rsidR="00DB229D" w:rsidRDefault="00DB229D" w:rsidP="00DE6236">
      <w:pPr>
        <w:keepNext/>
        <w:tabs>
          <w:tab w:val="left" w:pos="720"/>
        </w:tabs>
        <w:ind w:right="994"/>
        <w:rPr>
          <w:sz w:val="24"/>
          <w:szCs w:val="24"/>
        </w:rPr>
      </w:pPr>
    </w:p>
    <w:p w:rsidR="00105852" w:rsidRPr="00105852" w:rsidRDefault="00DB229D" w:rsidP="00105852">
      <w:pPr>
        <w:tabs>
          <w:tab w:val="left" w:pos="720"/>
        </w:tabs>
        <w:ind w:right="990"/>
        <w:rPr>
          <w:sz w:val="24"/>
          <w:szCs w:val="24"/>
        </w:rPr>
      </w:pPr>
      <w:r>
        <w:rPr>
          <w:sz w:val="24"/>
          <w:szCs w:val="24"/>
        </w:rPr>
        <w:tab/>
      </w:r>
      <w:r w:rsidR="00105852" w:rsidRPr="00105852">
        <w:rPr>
          <w:sz w:val="24"/>
          <w:szCs w:val="24"/>
        </w:rPr>
        <w:t xml:space="preserve">We believe that displaying the OMB expiration date is inappropriate because it could cause confusion by leading consumers to believe that the regulation sunsets as of the expiration date.  Consumers are not likely to be aware that the </w:t>
      </w:r>
      <w:r w:rsidR="00A32B5E">
        <w:rPr>
          <w:sz w:val="24"/>
          <w:szCs w:val="24"/>
        </w:rPr>
        <w:t>CFPB</w:t>
      </w:r>
      <w:r w:rsidR="00A32B5E" w:rsidRPr="00105852">
        <w:rPr>
          <w:sz w:val="24"/>
          <w:szCs w:val="24"/>
        </w:rPr>
        <w:t xml:space="preserve"> </w:t>
      </w:r>
      <w:r w:rsidR="00105852" w:rsidRPr="00105852">
        <w:rPr>
          <w:sz w:val="24"/>
          <w:szCs w:val="24"/>
        </w:rPr>
        <w:t>intends to request renewal of OMB approval and obtain a new expiration date before the old one expires.</w:t>
      </w:r>
    </w:p>
    <w:p w:rsidR="00B66CBC" w:rsidRDefault="00B66CBC" w:rsidP="00B66CBC">
      <w:pPr>
        <w:tabs>
          <w:tab w:val="left" w:pos="720"/>
        </w:tabs>
        <w:ind w:right="990"/>
        <w:rPr>
          <w:sz w:val="24"/>
          <w:szCs w:val="24"/>
        </w:rPr>
      </w:pPr>
    </w:p>
    <w:p w:rsidR="009D4BD9" w:rsidRPr="004D683B" w:rsidRDefault="009D4BD9" w:rsidP="009D4BD9">
      <w:pPr>
        <w:pStyle w:val="Default"/>
      </w:pPr>
      <w:r w:rsidRPr="004D683B">
        <w:rPr>
          <w:b/>
          <w:bCs/>
          <w:color w:val="auto"/>
        </w:rPr>
        <w:lastRenderedPageBreak/>
        <w:t>18.</w:t>
      </w:r>
      <w:r w:rsidR="00945E87">
        <w:rPr>
          <w:b/>
          <w:bCs/>
          <w:color w:val="auto"/>
        </w:rPr>
        <w:t xml:space="preserve"> </w:t>
      </w:r>
      <w:r w:rsidRPr="004D683B">
        <w:rPr>
          <w:b/>
          <w:bCs/>
          <w:color w:val="auto"/>
        </w:rPr>
        <w:t xml:space="preserve"> </w:t>
      </w:r>
      <w:r w:rsidRPr="004D683B">
        <w:rPr>
          <w:b/>
          <w:bCs/>
          <w:color w:val="auto"/>
          <w:u w:val="single"/>
        </w:rPr>
        <w:t>Exceptions to the Certification Requirement</w:t>
      </w:r>
    </w:p>
    <w:p w:rsidR="009D4BD9" w:rsidRDefault="009D4BD9" w:rsidP="00291CC2">
      <w:pPr>
        <w:tabs>
          <w:tab w:val="left" w:pos="360"/>
        </w:tabs>
        <w:ind w:right="990"/>
        <w:rPr>
          <w:sz w:val="24"/>
          <w:szCs w:val="24"/>
        </w:rPr>
      </w:pPr>
    </w:p>
    <w:p w:rsidR="00105852" w:rsidRPr="00105852" w:rsidRDefault="00105852" w:rsidP="00105852">
      <w:pPr>
        <w:tabs>
          <w:tab w:val="left" w:pos="360"/>
        </w:tabs>
        <w:ind w:right="990" w:firstLine="720"/>
        <w:rPr>
          <w:sz w:val="24"/>
          <w:szCs w:val="24"/>
        </w:rPr>
      </w:pPr>
      <w:r w:rsidRPr="00105852">
        <w:rPr>
          <w:sz w:val="24"/>
          <w:szCs w:val="24"/>
        </w:rPr>
        <w:t>None.</w:t>
      </w: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r w:rsidRPr="00105852">
        <w:rPr>
          <w:b/>
          <w:sz w:val="24"/>
          <w:szCs w:val="24"/>
          <w:u w:val="single"/>
        </w:rPr>
        <w:t>Note</w:t>
      </w:r>
      <w:r w:rsidRPr="00105852">
        <w:rPr>
          <w:sz w:val="24"/>
          <w:szCs w:val="24"/>
        </w:rPr>
        <w:t>:</w:t>
      </w:r>
      <w:r w:rsidRPr="00105852">
        <w:rPr>
          <w:sz w:val="24"/>
          <w:szCs w:val="24"/>
        </w:rPr>
        <w:tab/>
        <w:t>The following paragraph applies to all of the collections of information in this submission:</w:t>
      </w:r>
    </w:p>
    <w:p w:rsidR="00105852" w:rsidRPr="00105852" w:rsidRDefault="00105852" w:rsidP="00105852">
      <w:pPr>
        <w:tabs>
          <w:tab w:val="left" w:pos="360"/>
        </w:tabs>
        <w:ind w:right="990" w:firstLine="720"/>
        <w:rPr>
          <w:sz w:val="24"/>
          <w:szCs w:val="24"/>
        </w:rPr>
      </w:pPr>
    </w:p>
    <w:p w:rsidR="00105852" w:rsidRPr="00105852" w:rsidRDefault="00105852" w:rsidP="00105852">
      <w:pPr>
        <w:tabs>
          <w:tab w:val="left" w:pos="360"/>
        </w:tabs>
        <w:ind w:right="990" w:firstLine="720"/>
        <w:rPr>
          <w:sz w:val="24"/>
          <w:szCs w:val="24"/>
        </w:rPr>
      </w:pPr>
      <w:r w:rsidRPr="00105852">
        <w:rPr>
          <w:sz w:val="24"/>
          <w:szCs w:val="24"/>
        </w:rPr>
        <w:t>An agency may not conduct or sponsor, and a person is not required to respond to, a collection of information unless the collection of information displays a valid OMB control number.</w:t>
      </w:r>
    </w:p>
    <w:p w:rsidR="00104DEC" w:rsidRPr="00DB229D" w:rsidRDefault="00104DEC" w:rsidP="002C1E9C">
      <w:pPr>
        <w:tabs>
          <w:tab w:val="left" w:pos="360"/>
        </w:tabs>
        <w:ind w:right="990"/>
        <w:rPr>
          <w:sz w:val="23"/>
          <w:szCs w:val="23"/>
        </w:rPr>
      </w:pPr>
    </w:p>
    <w:sectPr w:rsidR="00104DEC" w:rsidRPr="00DB229D" w:rsidSect="00291CC2">
      <w:headerReference w:type="default" r:id="rId9"/>
      <w:footerReference w:type="even" r:id="rId10"/>
      <w:footerReference w:type="default" r:id="rId11"/>
      <w:headerReference w:type="first" r:id="rId12"/>
      <w:pgSz w:w="12240" w:h="15840"/>
      <w:pgMar w:top="1440" w:right="1440" w:bottom="1440" w:left="1440" w:header="475" w:footer="475" w:gutter="0"/>
      <w:cols w:space="480" w:equalWidth="0">
        <w:col w:w="10181"/>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D6" w:rsidRDefault="005748D6">
      <w:r>
        <w:separator/>
      </w:r>
    </w:p>
  </w:endnote>
  <w:endnote w:type="continuationSeparator" w:id="0">
    <w:p w:rsidR="005748D6" w:rsidRDefault="0057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D4" w:rsidRDefault="00283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3BD4" w:rsidRDefault="00283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D4" w:rsidRPr="004E75AA" w:rsidRDefault="00283BD4">
    <w:pPr>
      <w:pStyle w:val="Footer"/>
      <w:framePr w:wrap="around" w:vAnchor="text" w:hAnchor="margin" w:xAlign="center" w:y="1"/>
      <w:rPr>
        <w:rStyle w:val="PageNumber"/>
        <w:sz w:val="24"/>
        <w:szCs w:val="24"/>
      </w:rPr>
    </w:pPr>
    <w:r w:rsidRPr="004E75AA">
      <w:rPr>
        <w:rStyle w:val="PageNumber"/>
        <w:sz w:val="24"/>
        <w:szCs w:val="24"/>
      </w:rPr>
      <w:fldChar w:fldCharType="begin"/>
    </w:r>
    <w:r w:rsidRPr="004E75AA">
      <w:rPr>
        <w:rStyle w:val="PageNumber"/>
        <w:sz w:val="24"/>
        <w:szCs w:val="24"/>
      </w:rPr>
      <w:instrText xml:space="preserve">PAGE  </w:instrText>
    </w:r>
    <w:r w:rsidRPr="004E75AA">
      <w:rPr>
        <w:rStyle w:val="PageNumber"/>
        <w:sz w:val="24"/>
        <w:szCs w:val="24"/>
      </w:rPr>
      <w:fldChar w:fldCharType="separate"/>
    </w:r>
    <w:r w:rsidR="00710AA2">
      <w:rPr>
        <w:rStyle w:val="PageNumber"/>
        <w:noProof/>
        <w:sz w:val="24"/>
        <w:szCs w:val="24"/>
      </w:rPr>
      <w:t>2</w:t>
    </w:r>
    <w:r w:rsidRPr="004E75AA">
      <w:rPr>
        <w:rStyle w:val="PageNumber"/>
        <w:sz w:val="24"/>
        <w:szCs w:val="24"/>
      </w:rPr>
      <w:fldChar w:fldCharType="end"/>
    </w:r>
  </w:p>
  <w:p w:rsidR="00283BD4" w:rsidRDefault="00283BD4">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D6" w:rsidRDefault="005748D6">
      <w:r>
        <w:separator/>
      </w:r>
    </w:p>
  </w:footnote>
  <w:footnote w:type="continuationSeparator" w:id="0">
    <w:p w:rsidR="005748D6" w:rsidRDefault="005748D6">
      <w:r>
        <w:continuationSeparator/>
      </w:r>
    </w:p>
  </w:footnote>
  <w:footnote w:id="1">
    <w:p w:rsidR="00FD472B" w:rsidRDefault="00FD472B" w:rsidP="00FD472B">
      <w:pPr>
        <w:pStyle w:val="FootnoteText"/>
      </w:pPr>
      <w:r>
        <w:rPr>
          <w:rStyle w:val="FootnoteReference"/>
        </w:rPr>
        <w:footnoteRef/>
      </w:r>
      <w:r>
        <w:t xml:space="preserve"> T</w:t>
      </w:r>
      <w:r w:rsidRPr="00FE26F4">
        <w:rPr>
          <w:noProof/>
        </w:rPr>
        <w:t xml:space="preserve">he CFPB understands that the Special Information Booklet </w:t>
      </w:r>
      <w:r>
        <w:rPr>
          <w:noProof/>
        </w:rPr>
        <w:t xml:space="preserve">that Regulation X currently requires lenders to distribute to applicants for </w:t>
      </w:r>
      <w:r w:rsidRPr="00B0384A">
        <w:t>first-lien purchase money mortgages</w:t>
      </w:r>
      <w:r w:rsidRPr="00FE26F4">
        <w:rPr>
          <w:noProof/>
        </w:rPr>
        <w:t xml:space="preserve"> would not be an information collection because it does not require any information that is specific to the lenders or the transaction.   HUD had previously classified the Special Information Booklet as an information collection with minimal burden.</w:t>
      </w:r>
    </w:p>
  </w:footnote>
  <w:footnote w:id="2">
    <w:p w:rsidR="00283BD4" w:rsidRDefault="00283BD4">
      <w:pPr>
        <w:pStyle w:val="FootnoteText"/>
      </w:pPr>
      <w:r>
        <w:rPr>
          <w:rStyle w:val="FootnoteReference"/>
        </w:rPr>
        <w:footnoteRef/>
      </w:r>
      <w:r>
        <w:t xml:space="preserve"> Dodd-Frank Act § 1450.</w:t>
      </w:r>
    </w:p>
  </w:footnote>
  <w:footnote w:id="3">
    <w:p w:rsidR="00283BD4" w:rsidRPr="00343AB7" w:rsidRDefault="00283BD4" w:rsidP="00643B6C">
      <w:pPr>
        <w:pStyle w:val="FootnoteText"/>
      </w:pPr>
      <w:r>
        <w:rPr>
          <w:rStyle w:val="FootnoteReference"/>
        </w:rPr>
        <w:footnoteRef/>
      </w:r>
      <w:r>
        <w:t xml:space="preserve"> Bureau of Labor Statistics data indicate that in Q4 2010 wages accounted for 67.5% of the total cost of compensation for credit intermediation and related activities.</w:t>
      </w:r>
    </w:p>
  </w:footnote>
  <w:footnote w:id="4">
    <w:p w:rsidR="00283BD4" w:rsidRDefault="00283BD4" w:rsidP="0089118C">
      <w:pPr>
        <w:pStyle w:val="FootnoteText"/>
      </w:pPr>
      <w:r>
        <w:rPr>
          <w:rStyle w:val="FootnoteReference"/>
        </w:rPr>
        <w:footnoteRef/>
      </w:r>
      <w:r>
        <w:t xml:space="preserve"> The hours burden is calculated as (2*0.125 hours) * [(1</w:t>
      </w:r>
      <w:r>
        <w:t>2,392</w:t>
      </w:r>
      <w:r>
        <w:t xml:space="preserve"> depository institutions) + (2,515 non-depository institutions)].</w:t>
      </w:r>
    </w:p>
  </w:footnote>
  <w:footnote w:id="5">
    <w:p w:rsidR="00283BD4" w:rsidRDefault="00283BD4">
      <w:pPr>
        <w:pStyle w:val="FootnoteText"/>
      </w:pPr>
      <w:r>
        <w:rPr>
          <w:rStyle w:val="FootnoteReference"/>
        </w:rPr>
        <w:footnoteRef/>
      </w:r>
      <w:r>
        <w:t xml:space="preserve"> This estimate is calculated as (0.125 hours) *{(</w:t>
      </w:r>
      <w:r>
        <w:t>12,392</w:t>
      </w:r>
      <w:r>
        <w:t xml:space="preserve"> depository institutions) *</w:t>
      </w:r>
      <w:r>
        <w:t xml:space="preserve"> [</w:t>
      </w:r>
      <w:r>
        <w:t>($114/hr. average wage for attorney at depository institution) + ($44/hr. average wage for compliance officer at depository institution)] + (2,515 non-depository institutions) *</w:t>
      </w:r>
      <w:r>
        <w:t xml:space="preserve"> [</w:t>
      </w:r>
      <w:r>
        <w:t>($113/hr. average wage for attorney at non-depository institution) + ($49/hr. average wage for compliance officer at non-depository institution)]}.</w:t>
      </w:r>
    </w:p>
  </w:footnote>
  <w:footnote w:id="6">
    <w:p w:rsidR="00283BD4" w:rsidRDefault="00283BD4" w:rsidP="0089118C">
      <w:pPr>
        <w:pStyle w:val="FootnoteText"/>
      </w:pPr>
      <w:r>
        <w:rPr>
          <w:rStyle w:val="FootnoteReference"/>
        </w:rPr>
        <w:footnoteRef/>
      </w:r>
      <w:r>
        <w:t xml:space="preserve"> Rounding the number of loan officers to the nearest thousand, the hours burden is estimated as (0.125 training hours) * [(</w:t>
      </w:r>
      <w:r>
        <w:t>7</w:t>
      </w:r>
      <w:r>
        <w:t>2,000 loan officers at depository institutions) + (21,000 loan officers at non-depository institutions)] * (1.1 to account for trainer hours).  The associated costs burden is calculated as (0.125 training hours) * {[(</w:t>
      </w:r>
      <w:r>
        <w:t>7</w:t>
      </w:r>
      <w:r>
        <w:t>2,000 loan officers at depository institutions) * ($45/hr. average wage for loan officer at depository institution) + (1/10) * (</w:t>
      </w:r>
      <w:r>
        <w:t>7</w:t>
      </w:r>
      <w:r>
        <w:t>2,000 loan officers at depository institutions) * ($38/hr. average wage for trainer at depository institutions)] + [(21,000 loan officers at non-depository institutions) * ($47/hr. average wage for loan officer at non-depository institution) + (1/10) * (21,000 loan officers at non-depository institutions) * ($40/hr. average wage for trainer at non-depository institutions)]}.</w:t>
      </w:r>
    </w:p>
  </w:footnote>
  <w:footnote w:id="7">
    <w:p w:rsidR="00283BD4" w:rsidRDefault="00283BD4">
      <w:pPr>
        <w:pStyle w:val="FootnoteText"/>
      </w:pPr>
      <w:r>
        <w:rPr>
          <w:rStyle w:val="FootnoteReference"/>
        </w:rPr>
        <w:footnoteRef/>
      </w:r>
      <w:r>
        <w:t xml:space="preserve"> Using application counts rounded to the nearest 100,000, the labor costs are estimated as (1/60) * [(</w:t>
      </w:r>
      <w:r w:rsidR="00C74952">
        <w:t>12</w:t>
      </w:r>
      <w:r>
        <w:t>.</w:t>
      </w:r>
      <w:r w:rsidR="00C74952">
        <w:t>0</w:t>
      </w:r>
      <w:r>
        <w:t xml:space="preserve"> million applications at respondent depository institutions) * ($45/hr. average wage for loan officer at depository institution) + (3.6 million applications at respondent non-depository institutions) * ($47/hr. average wage for loan officer at non-depository institution)].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D4" w:rsidRDefault="00283BD4" w:rsidP="00631772">
    <w:pPr>
      <w:pStyle w:val="Header"/>
      <w:tabs>
        <w:tab w:val="clear" w:pos="4320"/>
        <w:tab w:val="clear" w:pos="8640"/>
        <w:tab w:val="center" w:pos="4680"/>
        <w:tab w:val="right" w:pos="9360"/>
      </w:tabs>
    </w:pPr>
    <w:r>
      <w:t>Sensitive &amp; Pre-decisional</w:t>
    </w:r>
    <w:r>
      <w:tab/>
    </w:r>
    <w:r>
      <w:tab/>
    </w:r>
  </w:p>
  <w:p w:rsidR="00283BD4" w:rsidRDefault="00283BD4" w:rsidP="00631772">
    <w:pPr>
      <w:pStyle w:val="Header"/>
      <w:tabs>
        <w:tab w:val="clear" w:pos="4320"/>
        <w:tab w:val="clear" w:pos="8640"/>
        <w:tab w:val="center" w:pos="4680"/>
        <w:tab w:val="right" w:pos="9360"/>
      </w:tabs>
    </w:pPr>
    <w:r>
      <w:t>Not for external distribution</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D4" w:rsidRDefault="00283BD4" w:rsidP="007510D6">
    <w:pPr>
      <w:pStyle w:val="Header"/>
      <w:tabs>
        <w:tab w:val="clear" w:pos="4320"/>
        <w:tab w:val="clear" w:pos="8640"/>
        <w:tab w:val="center" w:pos="4680"/>
        <w:tab w:val="right" w:pos="9360"/>
      </w:tabs>
    </w:pPr>
    <w:r>
      <w:t>Sensitive &amp; Pre-decisional</w:t>
    </w:r>
    <w:r>
      <w:tab/>
    </w:r>
    <w:r>
      <w:tab/>
    </w:r>
  </w:p>
  <w:p w:rsidR="00283BD4" w:rsidRDefault="00283BD4" w:rsidP="007510D6">
    <w:pPr>
      <w:pStyle w:val="Header"/>
      <w:tabs>
        <w:tab w:val="clear" w:pos="4320"/>
        <w:tab w:val="clear" w:pos="8640"/>
        <w:tab w:val="center" w:pos="4680"/>
        <w:tab w:val="right" w:pos="9360"/>
      </w:tabs>
    </w:pPr>
    <w:r>
      <w:t>Not for external distribution</w:t>
    </w:r>
    <w:r>
      <w:tab/>
    </w:r>
    <w:r>
      <w:tab/>
    </w:r>
  </w:p>
  <w:p w:rsidR="00283BD4" w:rsidRPr="007510D6" w:rsidRDefault="00283BD4" w:rsidP="00751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74FA"/>
    <w:multiLevelType w:val="multilevel"/>
    <w:tmpl w:val="687857AE"/>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B3741D"/>
    <w:multiLevelType w:val="multilevel"/>
    <w:tmpl w:val="E7FE775C"/>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BB0208"/>
    <w:multiLevelType w:val="hybridMultilevel"/>
    <w:tmpl w:val="F3F47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81F16C0"/>
    <w:multiLevelType w:val="hybridMultilevel"/>
    <w:tmpl w:val="F21CD6B0"/>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F0759"/>
    <w:multiLevelType w:val="multilevel"/>
    <w:tmpl w:val="E640AC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71A08"/>
    <w:multiLevelType w:val="hybridMultilevel"/>
    <w:tmpl w:val="9CA63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C96B69"/>
    <w:multiLevelType w:val="hybridMultilevel"/>
    <w:tmpl w:val="3BA6AFE4"/>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ED6D82"/>
    <w:multiLevelType w:val="hybridMultilevel"/>
    <w:tmpl w:val="DF8C8126"/>
    <w:lvl w:ilvl="0" w:tplc="FA6EFA1E">
      <w:start w:val="1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2810AC"/>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9BB0233"/>
    <w:multiLevelType w:val="multilevel"/>
    <w:tmpl w:val="345E54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D232158"/>
    <w:multiLevelType w:val="hybridMultilevel"/>
    <w:tmpl w:val="4460A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6C229B"/>
    <w:multiLevelType w:val="multilevel"/>
    <w:tmpl w:val="43F6ADEA"/>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8D1BE2"/>
    <w:multiLevelType w:val="hybridMultilevel"/>
    <w:tmpl w:val="F1247FB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5AFA927A">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475604"/>
    <w:multiLevelType w:val="hybridMultilevel"/>
    <w:tmpl w:val="DD489AEE"/>
    <w:lvl w:ilvl="0" w:tplc="29D2A4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43BD77EA"/>
    <w:multiLevelType w:val="hybridMultilevel"/>
    <w:tmpl w:val="345E5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4AC4041"/>
    <w:multiLevelType w:val="hybridMultilevel"/>
    <w:tmpl w:val="19262D18"/>
    <w:lvl w:ilvl="0" w:tplc="62D2665C">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47FE2"/>
    <w:multiLevelType w:val="hybridMultilevel"/>
    <w:tmpl w:val="CD2EFC98"/>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519167A6"/>
    <w:multiLevelType w:val="hybridMultilevel"/>
    <w:tmpl w:val="5004137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A13C7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7A2BCA"/>
    <w:multiLevelType w:val="hybridMultilevel"/>
    <w:tmpl w:val="E7FE775C"/>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F1B81"/>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6ADC4CAE"/>
    <w:multiLevelType w:val="multilevel"/>
    <w:tmpl w:val="B33A5338"/>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101A24"/>
    <w:multiLevelType w:val="hybridMultilevel"/>
    <w:tmpl w:val="3DC40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9567B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08437A7"/>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3520FD"/>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51166DF"/>
    <w:multiLevelType w:val="hybridMultilevel"/>
    <w:tmpl w:val="85B26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8A0485"/>
    <w:multiLevelType w:val="multilevel"/>
    <w:tmpl w:val="1CECD604"/>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8C2CB9"/>
    <w:multiLevelType w:val="hybridMultilevel"/>
    <w:tmpl w:val="2912E1E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5">
    <w:nsid w:val="7FE36F44"/>
    <w:multiLevelType w:val="multilevel"/>
    <w:tmpl w:val="F1247FB0"/>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4"/>
  </w:num>
  <w:num w:numId="3">
    <w:abstractNumId w:val="3"/>
  </w:num>
  <w:num w:numId="4">
    <w:abstractNumId w:val="25"/>
  </w:num>
  <w:num w:numId="5">
    <w:abstractNumId w:val="16"/>
  </w:num>
  <w:num w:numId="6">
    <w:abstractNumId w:val="2"/>
  </w:num>
  <w:num w:numId="7">
    <w:abstractNumId w:val="12"/>
  </w:num>
  <w:num w:numId="8">
    <w:abstractNumId w:val="14"/>
  </w:num>
  <w:num w:numId="9">
    <w:abstractNumId w:val="18"/>
  </w:num>
  <w:num w:numId="10">
    <w:abstractNumId w:val="8"/>
  </w:num>
  <w:num w:numId="11">
    <w:abstractNumId w:val="6"/>
  </w:num>
  <w:num w:numId="12">
    <w:abstractNumId w:val="31"/>
  </w:num>
  <w:num w:numId="13">
    <w:abstractNumId w:val="17"/>
  </w:num>
  <w:num w:numId="14">
    <w:abstractNumId w:val="11"/>
  </w:num>
  <w:num w:numId="15">
    <w:abstractNumId w:val="7"/>
  </w:num>
  <w:num w:numId="16">
    <w:abstractNumId w:val="5"/>
  </w:num>
  <w:num w:numId="17">
    <w:abstractNumId w:val="4"/>
  </w:num>
  <w:num w:numId="18">
    <w:abstractNumId w:val="13"/>
  </w:num>
  <w:num w:numId="19">
    <w:abstractNumId w:val="22"/>
  </w:num>
  <w:num w:numId="20">
    <w:abstractNumId w:val="26"/>
  </w:num>
  <w:num w:numId="21">
    <w:abstractNumId w:val="28"/>
  </w:num>
  <w:num w:numId="22">
    <w:abstractNumId w:val="21"/>
  </w:num>
  <w:num w:numId="23">
    <w:abstractNumId w:val="35"/>
  </w:num>
  <w:num w:numId="24">
    <w:abstractNumId w:val="23"/>
  </w:num>
  <w:num w:numId="25">
    <w:abstractNumId w:val="32"/>
  </w:num>
  <w:num w:numId="26">
    <w:abstractNumId w:val="9"/>
  </w:num>
  <w:num w:numId="27">
    <w:abstractNumId w:val="30"/>
  </w:num>
  <w:num w:numId="28">
    <w:abstractNumId w:val="0"/>
  </w:num>
  <w:num w:numId="29">
    <w:abstractNumId w:val="19"/>
  </w:num>
  <w:num w:numId="30">
    <w:abstractNumId w:val="10"/>
  </w:num>
  <w:num w:numId="31">
    <w:abstractNumId w:val="1"/>
  </w:num>
  <w:num w:numId="32">
    <w:abstractNumId w:val="24"/>
  </w:num>
  <w:num w:numId="33">
    <w:abstractNumId w:val="27"/>
  </w:num>
  <w:num w:numId="34">
    <w:abstractNumId w:val="29"/>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C2"/>
    <w:rsid w:val="00020201"/>
    <w:rsid w:val="00036B43"/>
    <w:rsid w:val="00043989"/>
    <w:rsid w:val="000578AF"/>
    <w:rsid w:val="00062776"/>
    <w:rsid w:val="00070AB1"/>
    <w:rsid w:val="000741B2"/>
    <w:rsid w:val="00087661"/>
    <w:rsid w:val="00091733"/>
    <w:rsid w:val="000C3259"/>
    <w:rsid w:val="000D0239"/>
    <w:rsid w:val="000F03F7"/>
    <w:rsid w:val="000F1849"/>
    <w:rsid w:val="000F1BA9"/>
    <w:rsid w:val="000F29CC"/>
    <w:rsid w:val="0010370B"/>
    <w:rsid w:val="00104DEC"/>
    <w:rsid w:val="00105852"/>
    <w:rsid w:val="00115896"/>
    <w:rsid w:val="001178AD"/>
    <w:rsid w:val="00127404"/>
    <w:rsid w:val="001355F3"/>
    <w:rsid w:val="001414AC"/>
    <w:rsid w:val="001617F6"/>
    <w:rsid w:val="00176544"/>
    <w:rsid w:val="00181263"/>
    <w:rsid w:val="00181D61"/>
    <w:rsid w:val="0019000D"/>
    <w:rsid w:val="0019157E"/>
    <w:rsid w:val="001918E9"/>
    <w:rsid w:val="001A05BD"/>
    <w:rsid w:val="001A12F9"/>
    <w:rsid w:val="001B403E"/>
    <w:rsid w:val="001C1E50"/>
    <w:rsid w:val="001E42C8"/>
    <w:rsid w:val="001E53B9"/>
    <w:rsid w:val="001F3B8F"/>
    <w:rsid w:val="002009B9"/>
    <w:rsid w:val="00213494"/>
    <w:rsid w:val="00241170"/>
    <w:rsid w:val="00243895"/>
    <w:rsid w:val="00244629"/>
    <w:rsid w:val="00256218"/>
    <w:rsid w:val="00260366"/>
    <w:rsid w:val="0027490B"/>
    <w:rsid w:val="00280E88"/>
    <w:rsid w:val="00283BD4"/>
    <w:rsid w:val="00290FF0"/>
    <w:rsid w:val="00291CC2"/>
    <w:rsid w:val="002934BD"/>
    <w:rsid w:val="002A534A"/>
    <w:rsid w:val="002A6FCE"/>
    <w:rsid w:val="002B7976"/>
    <w:rsid w:val="002C1E9C"/>
    <w:rsid w:val="002D3550"/>
    <w:rsid w:val="002D584B"/>
    <w:rsid w:val="002E47EE"/>
    <w:rsid w:val="002E7217"/>
    <w:rsid w:val="0030611E"/>
    <w:rsid w:val="0030689D"/>
    <w:rsid w:val="00311C45"/>
    <w:rsid w:val="00313C80"/>
    <w:rsid w:val="00322543"/>
    <w:rsid w:val="00327608"/>
    <w:rsid w:val="00360C83"/>
    <w:rsid w:val="003724B4"/>
    <w:rsid w:val="00373439"/>
    <w:rsid w:val="00381081"/>
    <w:rsid w:val="003975A7"/>
    <w:rsid w:val="003A1546"/>
    <w:rsid w:val="003A3380"/>
    <w:rsid w:val="003A4369"/>
    <w:rsid w:val="003A7A8E"/>
    <w:rsid w:val="003C586E"/>
    <w:rsid w:val="003D6F96"/>
    <w:rsid w:val="003E1415"/>
    <w:rsid w:val="00405FE6"/>
    <w:rsid w:val="00422152"/>
    <w:rsid w:val="0044631F"/>
    <w:rsid w:val="0046412E"/>
    <w:rsid w:val="00466A92"/>
    <w:rsid w:val="00467552"/>
    <w:rsid w:val="00477734"/>
    <w:rsid w:val="00495965"/>
    <w:rsid w:val="00497DCD"/>
    <w:rsid w:val="004A69FE"/>
    <w:rsid w:val="004B54AB"/>
    <w:rsid w:val="004C0D33"/>
    <w:rsid w:val="004C1F0A"/>
    <w:rsid w:val="004C5BBB"/>
    <w:rsid w:val="004E75AA"/>
    <w:rsid w:val="004F6A90"/>
    <w:rsid w:val="004F7FC5"/>
    <w:rsid w:val="005039E9"/>
    <w:rsid w:val="005140BA"/>
    <w:rsid w:val="0052474B"/>
    <w:rsid w:val="00537E1F"/>
    <w:rsid w:val="005561D5"/>
    <w:rsid w:val="0056717D"/>
    <w:rsid w:val="005748D6"/>
    <w:rsid w:val="00582FFF"/>
    <w:rsid w:val="00584755"/>
    <w:rsid w:val="00586DF0"/>
    <w:rsid w:val="005905FD"/>
    <w:rsid w:val="005B2522"/>
    <w:rsid w:val="005B349C"/>
    <w:rsid w:val="005B4ED3"/>
    <w:rsid w:val="005D0FD4"/>
    <w:rsid w:val="005F27A1"/>
    <w:rsid w:val="005F663D"/>
    <w:rsid w:val="005F7DD1"/>
    <w:rsid w:val="00606681"/>
    <w:rsid w:val="0060731A"/>
    <w:rsid w:val="006132AB"/>
    <w:rsid w:val="00615F84"/>
    <w:rsid w:val="0062005A"/>
    <w:rsid w:val="00623921"/>
    <w:rsid w:val="006302AF"/>
    <w:rsid w:val="00630F2F"/>
    <w:rsid w:val="00631772"/>
    <w:rsid w:val="00643B6C"/>
    <w:rsid w:val="00664E46"/>
    <w:rsid w:val="00673F80"/>
    <w:rsid w:val="006D7DD5"/>
    <w:rsid w:val="006E2336"/>
    <w:rsid w:val="006E6302"/>
    <w:rsid w:val="006E7420"/>
    <w:rsid w:val="006F2834"/>
    <w:rsid w:val="00710AA2"/>
    <w:rsid w:val="007510D6"/>
    <w:rsid w:val="00753713"/>
    <w:rsid w:val="00754F31"/>
    <w:rsid w:val="00772829"/>
    <w:rsid w:val="00783451"/>
    <w:rsid w:val="00785276"/>
    <w:rsid w:val="007959E3"/>
    <w:rsid w:val="007A146C"/>
    <w:rsid w:val="007A48D6"/>
    <w:rsid w:val="007B7B05"/>
    <w:rsid w:val="007D3B7A"/>
    <w:rsid w:val="007D63ED"/>
    <w:rsid w:val="007F186C"/>
    <w:rsid w:val="008205DC"/>
    <w:rsid w:val="00841F53"/>
    <w:rsid w:val="00843DE3"/>
    <w:rsid w:val="00846ACF"/>
    <w:rsid w:val="00853AD9"/>
    <w:rsid w:val="00854EB8"/>
    <w:rsid w:val="0089118C"/>
    <w:rsid w:val="00893E78"/>
    <w:rsid w:val="008971E9"/>
    <w:rsid w:val="008A00CE"/>
    <w:rsid w:val="008A320E"/>
    <w:rsid w:val="008B359E"/>
    <w:rsid w:val="008B6159"/>
    <w:rsid w:val="008C0079"/>
    <w:rsid w:val="008C482B"/>
    <w:rsid w:val="008E7CF9"/>
    <w:rsid w:val="00901D2C"/>
    <w:rsid w:val="00904379"/>
    <w:rsid w:val="00940D99"/>
    <w:rsid w:val="00945E87"/>
    <w:rsid w:val="00946062"/>
    <w:rsid w:val="00975C22"/>
    <w:rsid w:val="00980DBB"/>
    <w:rsid w:val="0099609C"/>
    <w:rsid w:val="009B3433"/>
    <w:rsid w:val="009D4BD9"/>
    <w:rsid w:val="009D74CC"/>
    <w:rsid w:val="009F2360"/>
    <w:rsid w:val="00A203C3"/>
    <w:rsid w:val="00A205CA"/>
    <w:rsid w:val="00A25966"/>
    <w:rsid w:val="00A32B5E"/>
    <w:rsid w:val="00A3557B"/>
    <w:rsid w:val="00A534B9"/>
    <w:rsid w:val="00A55528"/>
    <w:rsid w:val="00A5793B"/>
    <w:rsid w:val="00A639BB"/>
    <w:rsid w:val="00A64FD8"/>
    <w:rsid w:val="00A86EB2"/>
    <w:rsid w:val="00A950A5"/>
    <w:rsid w:val="00A959D1"/>
    <w:rsid w:val="00A96A0B"/>
    <w:rsid w:val="00AA03DE"/>
    <w:rsid w:val="00AA04BD"/>
    <w:rsid w:val="00AA1DEC"/>
    <w:rsid w:val="00AB75C3"/>
    <w:rsid w:val="00AB7FD0"/>
    <w:rsid w:val="00AC2142"/>
    <w:rsid w:val="00AC4587"/>
    <w:rsid w:val="00AD2830"/>
    <w:rsid w:val="00AD33D2"/>
    <w:rsid w:val="00AD5D8E"/>
    <w:rsid w:val="00AE104E"/>
    <w:rsid w:val="00B048E4"/>
    <w:rsid w:val="00B37CED"/>
    <w:rsid w:val="00B51BE7"/>
    <w:rsid w:val="00B51C70"/>
    <w:rsid w:val="00B66CBC"/>
    <w:rsid w:val="00B93DA7"/>
    <w:rsid w:val="00B975BF"/>
    <w:rsid w:val="00BA0765"/>
    <w:rsid w:val="00BA195B"/>
    <w:rsid w:val="00BA6964"/>
    <w:rsid w:val="00BC629C"/>
    <w:rsid w:val="00BD0784"/>
    <w:rsid w:val="00BE0535"/>
    <w:rsid w:val="00BE0679"/>
    <w:rsid w:val="00BF0799"/>
    <w:rsid w:val="00C2052A"/>
    <w:rsid w:val="00C315AC"/>
    <w:rsid w:val="00C34DAA"/>
    <w:rsid w:val="00C3577B"/>
    <w:rsid w:val="00C526E8"/>
    <w:rsid w:val="00C6539E"/>
    <w:rsid w:val="00C67138"/>
    <w:rsid w:val="00C70992"/>
    <w:rsid w:val="00C738BB"/>
    <w:rsid w:val="00C74952"/>
    <w:rsid w:val="00C75BD6"/>
    <w:rsid w:val="00C9169E"/>
    <w:rsid w:val="00C967DB"/>
    <w:rsid w:val="00CA323D"/>
    <w:rsid w:val="00CB359F"/>
    <w:rsid w:val="00CB4C09"/>
    <w:rsid w:val="00CB638A"/>
    <w:rsid w:val="00CB7EE1"/>
    <w:rsid w:val="00CC446D"/>
    <w:rsid w:val="00CD3D32"/>
    <w:rsid w:val="00CE497D"/>
    <w:rsid w:val="00D23B56"/>
    <w:rsid w:val="00D34716"/>
    <w:rsid w:val="00D407B3"/>
    <w:rsid w:val="00D453C7"/>
    <w:rsid w:val="00D51EE4"/>
    <w:rsid w:val="00D530FF"/>
    <w:rsid w:val="00D67558"/>
    <w:rsid w:val="00D82939"/>
    <w:rsid w:val="00D92B1E"/>
    <w:rsid w:val="00D9354C"/>
    <w:rsid w:val="00DA2796"/>
    <w:rsid w:val="00DA2D3B"/>
    <w:rsid w:val="00DB229D"/>
    <w:rsid w:val="00DC26CC"/>
    <w:rsid w:val="00DD17F5"/>
    <w:rsid w:val="00DD2C03"/>
    <w:rsid w:val="00DD3247"/>
    <w:rsid w:val="00DD7A56"/>
    <w:rsid w:val="00DE2616"/>
    <w:rsid w:val="00DE2D7B"/>
    <w:rsid w:val="00DE6236"/>
    <w:rsid w:val="00DE7F62"/>
    <w:rsid w:val="00DF4150"/>
    <w:rsid w:val="00DF5847"/>
    <w:rsid w:val="00E05884"/>
    <w:rsid w:val="00E05B6B"/>
    <w:rsid w:val="00E1185D"/>
    <w:rsid w:val="00E21557"/>
    <w:rsid w:val="00E224CE"/>
    <w:rsid w:val="00E3137A"/>
    <w:rsid w:val="00E41315"/>
    <w:rsid w:val="00E41DD6"/>
    <w:rsid w:val="00E608F8"/>
    <w:rsid w:val="00E646A4"/>
    <w:rsid w:val="00E725A1"/>
    <w:rsid w:val="00E76EF2"/>
    <w:rsid w:val="00E835B9"/>
    <w:rsid w:val="00E9036E"/>
    <w:rsid w:val="00E95138"/>
    <w:rsid w:val="00EB4F9F"/>
    <w:rsid w:val="00EB66FB"/>
    <w:rsid w:val="00EC5FC2"/>
    <w:rsid w:val="00EE14C3"/>
    <w:rsid w:val="00F14ED0"/>
    <w:rsid w:val="00F209A2"/>
    <w:rsid w:val="00F277F7"/>
    <w:rsid w:val="00F33F0B"/>
    <w:rsid w:val="00F405CE"/>
    <w:rsid w:val="00F47789"/>
    <w:rsid w:val="00F6557E"/>
    <w:rsid w:val="00F72663"/>
    <w:rsid w:val="00F739CB"/>
    <w:rsid w:val="00F7669A"/>
    <w:rsid w:val="00F818A1"/>
    <w:rsid w:val="00F912A7"/>
    <w:rsid w:val="00F972E1"/>
    <w:rsid w:val="00FA2E48"/>
    <w:rsid w:val="00FC6C06"/>
    <w:rsid w:val="00FD472B"/>
    <w:rsid w:val="00FE05BC"/>
    <w:rsid w:val="00FE26F4"/>
    <w:rsid w:val="00FE46F8"/>
    <w:rsid w:val="00FF62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uiPriority w:val="99"/>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uiPriority w:val="99"/>
    <w:rsid w:val="002A534A"/>
    <w:rPr>
      <w:b/>
      <w:bCs/>
    </w:rPr>
  </w:style>
  <w:style w:type="character" w:customStyle="1" w:styleId="CommentSubjectChar">
    <w:name w:val="Comment Subject Char"/>
    <w:link w:val="CommentSubject"/>
    <w:uiPriority w:val="99"/>
    <w:rsid w:val="002A534A"/>
    <w:rPr>
      <w:b/>
      <w:bCs/>
    </w:rPr>
  </w:style>
  <w:style w:type="paragraph" w:customStyle="1" w:styleId="CM13">
    <w:name w:val="CM13"/>
    <w:basedOn w:val="Default"/>
    <w:next w:val="Default"/>
    <w:uiPriority w:val="99"/>
    <w:rsid w:val="00846ACF"/>
    <w:rPr>
      <w:color w:val="auto"/>
    </w:rPr>
  </w:style>
  <w:style w:type="paragraph" w:customStyle="1" w:styleId="CM10">
    <w:name w:val="CM10"/>
    <w:basedOn w:val="Default"/>
    <w:next w:val="Default"/>
    <w:uiPriority w:val="99"/>
    <w:rsid w:val="00DF584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uiPriority w:val="99"/>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uiPriority w:val="99"/>
    <w:rsid w:val="002A534A"/>
    <w:rPr>
      <w:b/>
      <w:bCs/>
    </w:rPr>
  </w:style>
  <w:style w:type="character" w:customStyle="1" w:styleId="CommentSubjectChar">
    <w:name w:val="Comment Subject Char"/>
    <w:link w:val="CommentSubject"/>
    <w:uiPriority w:val="99"/>
    <w:rsid w:val="002A534A"/>
    <w:rPr>
      <w:b/>
      <w:bCs/>
    </w:rPr>
  </w:style>
  <w:style w:type="paragraph" w:customStyle="1" w:styleId="CM13">
    <w:name w:val="CM13"/>
    <w:basedOn w:val="Default"/>
    <w:next w:val="Default"/>
    <w:uiPriority w:val="99"/>
    <w:rsid w:val="00846ACF"/>
    <w:rPr>
      <w:color w:val="auto"/>
    </w:rPr>
  </w:style>
  <w:style w:type="paragraph" w:customStyle="1" w:styleId="CM10">
    <w:name w:val="CM10"/>
    <w:basedOn w:val="Default"/>
    <w:next w:val="Default"/>
    <w:uiPriority w:val="99"/>
    <w:rsid w:val="00DF58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1351">
      <w:bodyDiv w:val="1"/>
      <w:marLeft w:val="0"/>
      <w:marRight w:val="0"/>
      <w:marTop w:val="0"/>
      <w:marBottom w:val="0"/>
      <w:divBdr>
        <w:top w:val="none" w:sz="0" w:space="0" w:color="auto"/>
        <w:left w:val="none" w:sz="0" w:space="0" w:color="auto"/>
        <w:bottom w:val="none" w:sz="0" w:space="0" w:color="auto"/>
        <w:right w:val="none" w:sz="0" w:space="0" w:color="auto"/>
      </w:divBdr>
    </w:div>
    <w:div w:id="1142700072">
      <w:bodyDiv w:val="1"/>
      <w:marLeft w:val="0"/>
      <w:marRight w:val="0"/>
      <w:marTop w:val="0"/>
      <w:marBottom w:val="0"/>
      <w:divBdr>
        <w:top w:val="none" w:sz="0" w:space="0" w:color="auto"/>
        <w:left w:val="none" w:sz="0" w:space="0" w:color="auto"/>
        <w:bottom w:val="none" w:sz="0" w:space="0" w:color="auto"/>
        <w:right w:val="none" w:sz="0" w:space="0" w:color="auto"/>
      </w:divBdr>
    </w:div>
    <w:div w:id="1257667048">
      <w:bodyDiv w:val="1"/>
      <w:marLeft w:val="0"/>
      <w:marRight w:val="0"/>
      <w:marTop w:val="0"/>
      <w:marBottom w:val="0"/>
      <w:divBdr>
        <w:top w:val="none" w:sz="0" w:space="0" w:color="auto"/>
        <w:left w:val="none" w:sz="0" w:space="0" w:color="auto"/>
        <w:bottom w:val="none" w:sz="0" w:space="0" w:color="auto"/>
        <w:right w:val="none" w:sz="0" w:space="0" w:color="auto"/>
      </w:divBdr>
    </w:div>
    <w:div w:id="1914317974">
      <w:bodyDiv w:val="1"/>
      <w:marLeft w:val="0"/>
      <w:marRight w:val="0"/>
      <w:marTop w:val="0"/>
      <w:marBottom w:val="0"/>
      <w:divBdr>
        <w:top w:val="none" w:sz="0" w:space="0" w:color="auto"/>
        <w:left w:val="none" w:sz="0" w:space="0" w:color="auto"/>
        <w:bottom w:val="none" w:sz="0" w:space="0" w:color="auto"/>
        <w:right w:val="none" w:sz="0" w:space="0" w:color="auto"/>
      </w:divBdr>
    </w:div>
    <w:div w:id="196438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36850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DDBD-3165-42F5-BE5F-614BF9F0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~3685087</Template>
  <TotalTime>3</TotalTime>
  <Pages>6</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12411</CharactersWithSpaces>
  <SharedDoc>false</SharedDoc>
  <HLinks>
    <vt:vector size="6" baseType="variant">
      <vt:variant>
        <vt:i4>65661</vt:i4>
      </vt:variant>
      <vt:variant>
        <vt:i4>0</vt:i4>
      </vt:variant>
      <vt:variant>
        <vt:i4>0</vt:i4>
      </vt:variant>
      <vt:variant>
        <vt:i4>5</vt:i4>
      </vt:variant>
      <vt:variant>
        <vt:lpwstr>http://www.reginfo.gov/public/do/PRAViewDocument?ref_nbr=200810-2502-001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D. McCullough - TSB</dc:creator>
  <cp:lastModifiedBy>Courtney Jean</cp:lastModifiedBy>
  <cp:revision>3</cp:revision>
  <cp:lastPrinted>2012-07-11T20:49:00Z</cp:lastPrinted>
  <dcterms:created xsi:type="dcterms:W3CDTF">2012-08-15T14:21:00Z</dcterms:created>
  <dcterms:modified xsi:type="dcterms:W3CDTF">2012-08-15T14:29:00Z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gFAAXJDLFUo5N7sTcZCERV3dRiO3odeAxXSLY2So+d4mKpKXqLyIxqr2mw9z41kw4//uDH2wVDSxFhAc
D7mNfOyLmI29XTPy6vG8iwbf1ws5Yxd2iALJLEK/UWWohgPqL4QvPaTBmdH0y+gazH0Nce1VFNHL
6YsaAgBNd6E8t9DObMuiT3upc4RE2z4VtBKL3q/JLkAV68l4iSVSxFeW1jwrRstUgFtuLTUsnrWf
2Tlph7ZHRlctW5eXZ</vt:lpwstr>
  </property>
  <property fmtid="{D5CDD505-2E9C-101B-9397-08002B2CF9AE}" pid="4" name="MAIL_MSG_ID2">
    <vt:lpwstr>5N39sIG5Lx0vsfvKa+Er7JV1uDy9DLfiGhYNMa6BJm6dF8Y2ymY3+j+w6pe
iYqsa+wlz1JcWQd6XOsgQGWtpwU5HB9FvH9mHw==</vt:lpwstr>
  </property>
  <property fmtid="{D5CDD505-2E9C-101B-9397-08002B2CF9AE}" pid="5" name="RESPONSE_SENDER_NAME">
    <vt:lpwstr>sAAAb0xRtPDW5UtKBEMd58PsEHExJIV9oT6Z3gaglZWvOXU=</vt:lpwstr>
  </property>
  <property fmtid="{D5CDD505-2E9C-101B-9397-08002B2CF9AE}" pid="6" name="EMAIL_OWNER_ADDRESS">
    <vt:lpwstr>4AAA4Lxe55UJ0C+qv/A3Qyj8uOyGUEhQDQ45i+OjI1ZefESoRfRLZbrXxQ==</vt:lpwstr>
  </property>
</Properties>
</file>